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3B9D" w14:textId="77777777" w:rsidR="00B91E46" w:rsidRDefault="00B91E46" w:rsidP="00B91E46">
      <w:pPr>
        <w:spacing w:line="360" w:lineRule="auto"/>
        <w:jc w:val="center"/>
        <w:rPr>
          <w:sz w:val="25"/>
          <w:szCs w:val="25"/>
        </w:rPr>
      </w:pPr>
      <w:r>
        <w:rPr>
          <w:noProof/>
          <w:lang w:eastAsia="en-ZA"/>
        </w:rPr>
        <w:drawing>
          <wp:inline distT="0" distB="0" distL="0" distR="0" wp14:anchorId="0A43B659" wp14:editId="62B733A5">
            <wp:extent cx="1225550"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6500"/>
                    </a:xfrm>
                    <a:prstGeom prst="rect">
                      <a:avLst/>
                    </a:prstGeom>
                    <a:noFill/>
                    <a:ln>
                      <a:noFill/>
                    </a:ln>
                  </pic:spPr>
                </pic:pic>
              </a:graphicData>
            </a:graphic>
          </wp:inline>
        </w:drawing>
      </w:r>
    </w:p>
    <w:p w14:paraId="3E8AEA06" w14:textId="77777777" w:rsidR="00240F5B" w:rsidRDefault="00240F5B" w:rsidP="00B91E46">
      <w:pPr>
        <w:spacing w:line="360" w:lineRule="auto"/>
        <w:jc w:val="center"/>
        <w:rPr>
          <w:sz w:val="25"/>
          <w:szCs w:val="25"/>
        </w:rPr>
      </w:pPr>
    </w:p>
    <w:p w14:paraId="7240C8E9" w14:textId="77777777" w:rsidR="00B91E46" w:rsidRDefault="00B91E46" w:rsidP="00B91E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SOUTH AFRICA</w:t>
      </w:r>
    </w:p>
    <w:p w14:paraId="3A687F97" w14:textId="77777777" w:rsidR="00B91E46" w:rsidRDefault="00B91E46" w:rsidP="00B91E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EASTERN CAPE DIVISION, BHISHO</w:t>
      </w:r>
    </w:p>
    <w:p w14:paraId="55F3A1E4" w14:textId="77777777" w:rsidR="00B91E46" w:rsidRDefault="00B91E46" w:rsidP="00B91E46">
      <w:pPr>
        <w:spacing w:line="360" w:lineRule="auto"/>
        <w:ind w:left="5760"/>
        <w:rPr>
          <w:rFonts w:ascii="Times New Roman" w:hAnsi="Times New Roman" w:cs="Times New Roman"/>
          <w:b/>
          <w:sz w:val="28"/>
          <w:szCs w:val="28"/>
        </w:rPr>
      </w:pPr>
      <w:r>
        <w:rPr>
          <w:rFonts w:ascii="Times New Roman" w:hAnsi="Times New Roman" w:cs="Times New Roman"/>
          <w:b/>
          <w:sz w:val="28"/>
          <w:szCs w:val="28"/>
        </w:rPr>
        <w:t xml:space="preserve">         </w:t>
      </w:r>
    </w:p>
    <w:p w14:paraId="7E968017" w14:textId="77777777" w:rsidR="00B91E46" w:rsidRDefault="00B91E46" w:rsidP="00B91E46">
      <w:pPr>
        <w:spacing w:line="360" w:lineRule="auto"/>
        <w:ind w:left="5760"/>
        <w:rPr>
          <w:rFonts w:ascii="Times New Roman" w:hAnsi="Times New Roman" w:cs="Times New Roman"/>
          <w:b/>
          <w:sz w:val="28"/>
          <w:szCs w:val="28"/>
        </w:rPr>
      </w:pPr>
      <w:r>
        <w:rPr>
          <w:rFonts w:ascii="Times New Roman" w:hAnsi="Times New Roman" w:cs="Times New Roman"/>
          <w:b/>
          <w:sz w:val="28"/>
          <w:szCs w:val="28"/>
        </w:rPr>
        <w:t xml:space="preserve">           CASE NO: 104/2022</w:t>
      </w:r>
    </w:p>
    <w:p w14:paraId="6EBCF182" w14:textId="77777777" w:rsidR="00B91E46" w:rsidRDefault="00B91E46" w:rsidP="00B91E46">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6189EB81" w14:textId="77777777" w:rsidR="005D0972" w:rsidRDefault="005D0972" w:rsidP="00B91E46">
      <w:pPr>
        <w:spacing w:line="360" w:lineRule="auto"/>
        <w:jc w:val="both"/>
        <w:rPr>
          <w:rFonts w:ascii="Times New Roman" w:hAnsi="Times New Roman" w:cs="Times New Roman"/>
          <w:b/>
          <w:sz w:val="28"/>
          <w:szCs w:val="28"/>
        </w:rPr>
      </w:pPr>
    </w:p>
    <w:p w14:paraId="031CA7A2" w14:textId="77777777" w:rsidR="00B91E46" w:rsidRDefault="00B91E46" w:rsidP="00B91E4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ELEGANT LINE TRADING </w:t>
      </w:r>
      <w:r w:rsidR="00AE403D">
        <w:rPr>
          <w:rFonts w:ascii="Times New Roman" w:hAnsi="Times New Roman" w:cs="Times New Roman"/>
          <w:b/>
          <w:sz w:val="28"/>
          <w:szCs w:val="28"/>
        </w:rPr>
        <w:t xml:space="preserve">257 </w:t>
      </w:r>
      <w:r>
        <w:rPr>
          <w:rFonts w:ascii="Times New Roman" w:hAnsi="Times New Roman" w:cs="Times New Roman"/>
          <w:b/>
          <w:sz w:val="28"/>
          <w:szCs w:val="28"/>
        </w:rPr>
        <w:t>CC</w:t>
      </w:r>
    </w:p>
    <w:p w14:paraId="7D579750" w14:textId="77777777" w:rsidR="00B91E46" w:rsidRDefault="00B91E46" w:rsidP="00B91E46">
      <w:pPr>
        <w:spacing w:line="360" w:lineRule="auto"/>
        <w:jc w:val="both"/>
        <w:rPr>
          <w:rFonts w:ascii="Times New Roman" w:hAnsi="Times New Roman" w:cs="Times New Roman"/>
          <w:sz w:val="28"/>
          <w:szCs w:val="28"/>
        </w:rPr>
      </w:pPr>
      <w:r>
        <w:rPr>
          <w:rFonts w:ascii="Times New Roman" w:hAnsi="Times New Roman" w:cs="Times New Roman"/>
          <w:b/>
          <w:sz w:val="28"/>
          <w:szCs w:val="28"/>
        </w:rPr>
        <w:t>(Registration No. 2005/0</w:t>
      </w:r>
      <w:r w:rsidR="00AE403D">
        <w:rPr>
          <w:rFonts w:ascii="Times New Roman" w:hAnsi="Times New Roman" w:cs="Times New Roman"/>
          <w:b/>
          <w:sz w:val="28"/>
          <w:szCs w:val="28"/>
        </w:rPr>
        <w:t>3</w:t>
      </w:r>
      <w:r>
        <w:rPr>
          <w:rFonts w:ascii="Times New Roman" w:hAnsi="Times New Roman" w:cs="Times New Roman"/>
          <w:b/>
          <w:sz w:val="28"/>
          <w:szCs w:val="28"/>
        </w:rPr>
        <w:t>7911/23)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Applicant</w:t>
      </w:r>
    </w:p>
    <w:p w14:paraId="2454D160" w14:textId="77777777" w:rsidR="00B91E46" w:rsidRDefault="00B91E46" w:rsidP="00B91E46">
      <w:pPr>
        <w:spacing w:line="360" w:lineRule="auto"/>
        <w:jc w:val="both"/>
        <w:rPr>
          <w:rFonts w:ascii="Times New Roman" w:hAnsi="Times New Roman" w:cs="Times New Roman"/>
          <w:sz w:val="28"/>
          <w:szCs w:val="28"/>
        </w:rPr>
      </w:pPr>
    </w:p>
    <w:p w14:paraId="64F11D46" w14:textId="77777777" w:rsidR="00B91E46" w:rsidRDefault="00B91E46" w:rsidP="00B91E46">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10FCF8A0" w14:textId="77777777" w:rsidR="00B91E46" w:rsidRDefault="00B91E46" w:rsidP="00B91E46">
      <w:pPr>
        <w:spacing w:line="360" w:lineRule="auto"/>
        <w:jc w:val="both"/>
        <w:rPr>
          <w:rFonts w:ascii="Times New Roman" w:hAnsi="Times New Roman" w:cs="Times New Roman"/>
          <w:sz w:val="28"/>
          <w:szCs w:val="28"/>
        </w:rPr>
      </w:pPr>
    </w:p>
    <w:p w14:paraId="53DABEB5" w14:textId="77777777" w:rsidR="00B91E46" w:rsidRDefault="00B91E46" w:rsidP="00B91E46">
      <w:pPr>
        <w:spacing w:line="360" w:lineRule="auto"/>
        <w:jc w:val="both"/>
        <w:rPr>
          <w:rFonts w:ascii="Times New Roman" w:hAnsi="Times New Roman" w:cs="Times New Roman"/>
          <w:b/>
          <w:sz w:val="28"/>
          <w:szCs w:val="28"/>
        </w:rPr>
      </w:pPr>
      <w:r>
        <w:rPr>
          <w:rFonts w:ascii="Times New Roman" w:hAnsi="Times New Roman" w:cs="Times New Roman"/>
          <w:b/>
          <w:sz w:val="28"/>
          <w:szCs w:val="28"/>
        </w:rPr>
        <w:t>MEMBER OF THE EXECUTIVE COUNCIL</w:t>
      </w:r>
    </w:p>
    <w:p w14:paraId="09D30285" w14:textId="77777777" w:rsidR="00B91E46" w:rsidRDefault="00B91E46" w:rsidP="00B91E46">
      <w:pPr>
        <w:spacing w:line="360" w:lineRule="auto"/>
        <w:jc w:val="both"/>
        <w:rPr>
          <w:rFonts w:ascii="Times New Roman" w:hAnsi="Times New Roman" w:cs="Times New Roman"/>
          <w:sz w:val="28"/>
          <w:szCs w:val="28"/>
        </w:rPr>
      </w:pPr>
      <w:r>
        <w:rPr>
          <w:rFonts w:ascii="Times New Roman" w:hAnsi="Times New Roman" w:cs="Times New Roman"/>
          <w:b/>
          <w:sz w:val="28"/>
          <w:szCs w:val="28"/>
        </w:rPr>
        <w:t>FOR TRANSPORT – EASTERN CAPE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6607B0">
        <w:rPr>
          <w:rFonts w:ascii="Times New Roman" w:hAnsi="Times New Roman" w:cs="Times New Roman"/>
          <w:b/>
          <w:sz w:val="28"/>
          <w:szCs w:val="28"/>
        </w:rPr>
        <w:tab/>
        <w:t xml:space="preserve">       </w:t>
      </w:r>
      <w:r>
        <w:rPr>
          <w:rFonts w:ascii="Times New Roman" w:hAnsi="Times New Roman" w:cs="Times New Roman"/>
          <w:sz w:val="28"/>
          <w:szCs w:val="28"/>
        </w:rPr>
        <w:t>Respondent</w:t>
      </w:r>
    </w:p>
    <w:p w14:paraId="7F1456D8" w14:textId="77777777" w:rsidR="00354A12" w:rsidRDefault="00354A12" w:rsidP="00354A12">
      <w:pPr>
        <w:pBdr>
          <w:bottom w:val="single" w:sz="12" w:space="1" w:color="auto"/>
        </w:pBdr>
        <w:spacing w:line="240" w:lineRule="auto"/>
        <w:jc w:val="both"/>
        <w:rPr>
          <w:rFonts w:ascii="Times New Roman" w:hAnsi="Times New Roman" w:cs="Times New Roman"/>
          <w:sz w:val="28"/>
          <w:szCs w:val="28"/>
        </w:rPr>
      </w:pPr>
    </w:p>
    <w:p w14:paraId="4A5494F4" w14:textId="77777777" w:rsidR="005D0972" w:rsidRPr="003328A3" w:rsidRDefault="005D0972" w:rsidP="00354A12">
      <w:pPr>
        <w:pBdr>
          <w:bottom w:val="single" w:sz="12" w:space="1" w:color="auto"/>
        </w:pBdr>
        <w:spacing w:line="240" w:lineRule="auto"/>
        <w:jc w:val="both"/>
        <w:rPr>
          <w:rFonts w:ascii="Times New Roman" w:hAnsi="Times New Roman" w:cs="Times New Roman"/>
          <w:sz w:val="28"/>
          <w:szCs w:val="28"/>
        </w:rPr>
      </w:pPr>
    </w:p>
    <w:p w14:paraId="29E3317A" w14:textId="77777777" w:rsidR="00354A12" w:rsidRPr="003328A3" w:rsidRDefault="00354A12" w:rsidP="00354A12">
      <w:pPr>
        <w:spacing w:line="240" w:lineRule="auto"/>
        <w:jc w:val="both"/>
        <w:rPr>
          <w:rFonts w:ascii="Times New Roman" w:hAnsi="Times New Roman" w:cs="Times New Roman"/>
          <w:sz w:val="28"/>
          <w:szCs w:val="28"/>
        </w:rPr>
      </w:pPr>
    </w:p>
    <w:p w14:paraId="0BEDF130" w14:textId="77777777"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14:paraId="424A6613"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3B3AC41D" w14:textId="77777777" w:rsidR="00354A12" w:rsidRPr="003328A3" w:rsidRDefault="00354A12" w:rsidP="00354A12">
      <w:pPr>
        <w:spacing w:line="240" w:lineRule="auto"/>
        <w:jc w:val="both"/>
        <w:rPr>
          <w:rFonts w:ascii="Times New Roman" w:hAnsi="Times New Roman" w:cs="Times New Roman"/>
          <w:sz w:val="28"/>
          <w:szCs w:val="28"/>
        </w:rPr>
      </w:pPr>
    </w:p>
    <w:p w14:paraId="588264E0" w14:textId="77777777" w:rsidR="00354A12" w:rsidRPr="003328A3" w:rsidRDefault="00354A12" w:rsidP="00354A12">
      <w:pPr>
        <w:spacing w:line="360" w:lineRule="auto"/>
        <w:jc w:val="both"/>
        <w:rPr>
          <w:rFonts w:ascii="Times New Roman" w:hAnsi="Times New Roman" w:cs="Times New Roman"/>
          <w:b/>
          <w:sz w:val="28"/>
          <w:szCs w:val="28"/>
        </w:rPr>
      </w:pPr>
    </w:p>
    <w:p w14:paraId="1D64C523" w14:textId="77777777"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F22CA">
        <w:rPr>
          <w:rFonts w:ascii="Times New Roman" w:hAnsi="Times New Roman" w:cs="Times New Roman"/>
          <w:b/>
          <w:sz w:val="28"/>
          <w:szCs w:val="28"/>
        </w:rPr>
        <w:t xml:space="preserve">ugunanan </w:t>
      </w:r>
      <w:r>
        <w:rPr>
          <w:rFonts w:ascii="Times New Roman" w:hAnsi="Times New Roman" w:cs="Times New Roman"/>
          <w:b/>
          <w:sz w:val="28"/>
          <w:szCs w:val="28"/>
        </w:rPr>
        <w:t>J</w:t>
      </w:r>
    </w:p>
    <w:p w14:paraId="3DEB8870" w14:textId="77777777" w:rsidR="00354A12" w:rsidRPr="003328A3" w:rsidRDefault="00354A12" w:rsidP="00354A12">
      <w:pPr>
        <w:spacing w:line="360" w:lineRule="auto"/>
        <w:jc w:val="both"/>
        <w:rPr>
          <w:rFonts w:ascii="Times New Roman" w:hAnsi="Times New Roman" w:cs="Times New Roman"/>
          <w:b/>
          <w:sz w:val="28"/>
          <w:szCs w:val="28"/>
        </w:rPr>
      </w:pPr>
    </w:p>
    <w:p w14:paraId="0FDDF76C" w14:textId="5F6E242A" w:rsidR="00B27EF5"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EC68DF">
        <w:rPr>
          <w:rFonts w:ascii="Times New Roman" w:hAnsi="Times New Roman"/>
          <w:sz w:val="28"/>
          <w:szCs w:val="28"/>
        </w:rPr>
        <w:t>This is a decidedly brief judgment</w:t>
      </w:r>
      <w:r w:rsidR="002A258D">
        <w:rPr>
          <w:rFonts w:ascii="Times New Roman" w:hAnsi="Times New Roman"/>
          <w:sz w:val="28"/>
          <w:szCs w:val="28"/>
        </w:rPr>
        <w:t xml:space="preserve"> </w:t>
      </w:r>
      <w:r w:rsidR="005D0972">
        <w:rPr>
          <w:rFonts w:ascii="Times New Roman" w:hAnsi="Times New Roman"/>
          <w:sz w:val="28"/>
          <w:szCs w:val="28"/>
        </w:rPr>
        <w:t xml:space="preserve">that </w:t>
      </w:r>
      <w:r w:rsidR="002A258D">
        <w:rPr>
          <w:rFonts w:ascii="Times New Roman" w:hAnsi="Times New Roman"/>
          <w:sz w:val="28"/>
          <w:szCs w:val="28"/>
        </w:rPr>
        <w:t>illustrates the enduring purpose of affidavits in motion proceedings.</w:t>
      </w:r>
    </w:p>
    <w:p w14:paraId="5169AFB1" w14:textId="1341D3FC" w:rsidR="00B27EF5"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00A00772">
        <w:rPr>
          <w:rFonts w:ascii="Times New Roman" w:hAnsi="Times New Roman"/>
          <w:sz w:val="28"/>
          <w:szCs w:val="28"/>
        </w:rPr>
        <w:t>In motion proceedings the affidavits constitute both the pleadings and the evidence and the issues and averments in support of the parties’ cases should appear clearly therefrom</w:t>
      </w:r>
      <w:r w:rsidR="00A00772">
        <w:rPr>
          <w:rStyle w:val="FootnoteReference"/>
          <w:rFonts w:ascii="Times New Roman" w:hAnsi="Times New Roman"/>
          <w:sz w:val="28"/>
          <w:szCs w:val="28"/>
        </w:rPr>
        <w:footnoteReference w:id="1"/>
      </w:r>
      <w:r w:rsidR="00DC64A8">
        <w:rPr>
          <w:rFonts w:ascii="Times New Roman" w:hAnsi="Times New Roman"/>
          <w:sz w:val="28"/>
          <w:szCs w:val="28"/>
        </w:rPr>
        <w:t xml:space="preserve">. </w:t>
      </w:r>
      <w:r w:rsidR="002F2971">
        <w:rPr>
          <w:rFonts w:ascii="Times New Roman" w:hAnsi="Times New Roman"/>
          <w:sz w:val="28"/>
          <w:szCs w:val="28"/>
        </w:rPr>
        <w:t>I</w:t>
      </w:r>
      <w:r w:rsidR="00DC64A8">
        <w:rPr>
          <w:rFonts w:ascii="Times New Roman" w:hAnsi="Times New Roman"/>
          <w:sz w:val="28"/>
          <w:szCs w:val="28"/>
        </w:rPr>
        <w:t>t is trite that an applicant must make out its case in the founding affidavit</w:t>
      </w:r>
      <w:r w:rsidR="002F2971">
        <w:rPr>
          <w:rFonts w:ascii="Times New Roman" w:hAnsi="Times New Roman"/>
          <w:sz w:val="28"/>
          <w:szCs w:val="28"/>
        </w:rPr>
        <w:t xml:space="preserve"> which must contain sufficient facts </w:t>
      </w:r>
      <w:proofErr w:type="gramStart"/>
      <w:r w:rsidR="002F2971">
        <w:rPr>
          <w:rFonts w:ascii="Times New Roman" w:hAnsi="Times New Roman"/>
          <w:sz w:val="28"/>
          <w:szCs w:val="28"/>
        </w:rPr>
        <w:t>in itself upon</w:t>
      </w:r>
      <w:proofErr w:type="gramEnd"/>
      <w:r w:rsidR="002F2971">
        <w:rPr>
          <w:rFonts w:ascii="Times New Roman" w:hAnsi="Times New Roman"/>
          <w:sz w:val="28"/>
          <w:szCs w:val="28"/>
        </w:rPr>
        <w:t xml:space="preserve"> which a court may find in the applicant’s favour</w:t>
      </w:r>
      <w:r w:rsidR="003B5537">
        <w:rPr>
          <w:rFonts w:ascii="Times New Roman" w:hAnsi="Times New Roman"/>
          <w:sz w:val="28"/>
          <w:szCs w:val="28"/>
        </w:rPr>
        <w:t>.</w:t>
      </w:r>
    </w:p>
    <w:p w14:paraId="5E8601C0" w14:textId="08933AC2" w:rsidR="00B27EF5"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634FFB">
        <w:rPr>
          <w:rFonts w:ascii="Times New Roman" w:hAnsi="Times New Roman"/>
          <w:sz w:val="28"/>
          <w:szCs w:val="28"/>
        </w:rPr>
        <w:t xml:space="preserve">Quoting </w:t>
      </w:r>
      <w:r w:rsidR="00760B40">
        <w:rPr>
          <w:rFonts w:ascii="Times New Roman" w:hAnsi="Times New Roman"/>
          <w:sz w:val="28"/>
          <w:szCs w:val="28"/>
        </w:rPr>
        <w:t xml:space="preserve">where relevant, </w:t>
      </w:r>
      <w:r w:rsidR="00634FFB">
        <w:rPr>
          <w:rFonts w:ascii="Times New Roman" w:hAnsi="Times New Roman"/>
          <w:sz w:val="28"/>
          <w:szCs w:val="28"/>
        </w:rPr>
        <w:t>in</w:t>
      </w:r>
      <w:r w:rsidR="003B5537">
        <w:rPr>
          <w:rFonts w:ascii="Times New Roman" w:hAnsi="Times New Roman"/>
          <w:sz w:val="28"/>
          <w:szCs w:val="28"/>
        </w:rPr>
        <w:t xml:space="preserve"> </w:t>
      </w:r>
      <w:r w:rsidR="003B5537" w:rsidRPr="00760B40">
        <w:rPr>
          <w:rFonts w:ascii="Times New Roman" w:hAnsi="Times New Roman"/>
          <w:i/>
          <w:sz w:val="28"/>
          <w:szCs w:val="28"/>
        </w:rPr>
        <w:t>Director of Hospital Services</w:t>
      </w:r>
      <w:r w:rsidR="00652D50" w:rsidRPr="00760B40">
        <w:rPr>
          <w:rFonts w:ascii="Times New Roman" w:hAnsi="Times New Roman"/>
          <w:i/>
          <w:sz w:val="28"/>
          <w:szCs w:val="28"/>
        </w:rPr>
        <w:t xml:space="preserve"> v Mistry</w:t>
      </w:r>
      <w:r w:rsidR="00652D50">
        <w:rPr>
          <w:rStyle w:val="FootnoteReference"/>
          <w:rFonts w:ascii="Times New Roman" w:hAnsi="Times New Roman"/>
          <w:sz w:val="28"/>
          <w:szCs w:val="28"/>
        </w:rPr>
        <w:footnoteReference w:id="2"/>
      </w:r>
      <w:r w:rsidR="001A1F3F">
        <w:rPr>
          <w:rFonts w:ascii="Times New Roman" w:hAnsi="Times New Roman"/>
          <w:sz w:val="28"/>
          <w:szCs w:val="28"/>
        </w:rPr>
        <w:t xml:space="preserve"> the court </w:t>
      </w:r>
      <w:r w:rsidR="006B3DF2">
        <w:rPr>
          <w:rFonts w:ascii="Times New Roman" w:hAnsi="Times New Roman"/>
          <w:sz w:val="28"/>
          <w:szCs w:val="28"/>
        </w:rPr>
        <w:t>put the position as</w:t>
      </w:r>
      <w:r w:rsidR="00634FFB">
        <w:rPr>
          <w:rFonts w:ascii="Times New Roman" w:hAnsi="Times New Roman"/>
          <w:sz w:val="28"/>
          <w:szCs w:val="28"/>
        </w:rPr>
        <w:t xml:space="preserve"> follows</w:t>
      </w:r>
      <w:r w:rsidR="001A1F3F">
        <w:rPr>
          <w:rFonts w:ascii="Times New Roman" w:hAnsi="Times New Roman"/>
          <w:sz w:val="28"/>
          <w:szCs w:val="28"/>
        </w:rPr>
        <w:t>:</w:t>
      </w:r>
    </w:p>
    <w:p w14:paraId="55FE0488" w14:textId="77777777" w:rsidR="001A1F3F" w:rsidRPr="00C83633" w:rsidRDefault="001A1F3F" w:rsidP="00C83633">
      <w:pPr>
        <w:pStyle w:val="LegalList1"/>
        <w:spacing w:line="360" w:lineRule="auto"/>
        <w:ind w:left="851"/>
        <w:rPr>
          <w:rFonts w:ascii="Times New Roman" w:hAnsi="Times New Roman"/>
        </w:rPr>
      </w:pPr>
      <w:r w:rsidRPr="00C83633">
        <w:rPr>
          <w:rFonts w:ascii="Times New Roman" w:hAnsi="Times New Roman"/>
        </w:rPr>
        <w:t>‘</w:t>
      </w:r>
      <w:r w:rsidR="002534AC" w:rsidRPr="00C83633">
        <w:rPr>
          <w:rFonts w:ascii="Times New Roman" w:hAnsi="Times New Roman"/>
        </w:rPr>
        <w:t>W</w:t>
      </w:r>
      <w:r w:rsidRPr="00C83633">
        <w:rPr>
          <w:rFonts w:ascii="Times New Roman" w:hAnsi="Times New Roman"/>
        </w:rPr>
        <w:t xml:space="preserve">hen, as in this case, the proceedings are launched by way of notice of motion, it is </w:t>
      </w:r>
      <w:r w:rsidR="006B3DF2">
        <w:rPr>
          <w:rFonts w:ascii="Times New Roman" w:hAnsi="Times New Roman"/>
        </w:rPr>
        <w:t> </w:t>
      </w:r>
      <w:r w:rsidRPr="00C83633">
        <w:rPr>
          <w:rFonts w:ascii="Times New Roman" w:hAnsi="Times New Roman"/>
        </w:rPr>
        <w:t xml:space="preserve">to the founding affidavit which a </w:t>
      </w:r>
      <w:r w:rsidR="00431855">
        <w:rPr>
          <w:rFonts w:ascii="Times New Roman" w:hAnsi="Times New Roman"/>
        </w:rPr>
        <w:t>J</w:t>
      </w:r>
      <w:r w:rsidRPr="00C83633">
        <w:rPr>
          <w:rFonts w:ascii="Times New Roman" w:hAnsi="Times New Roman"/>
        </w:rPr>
        <w:t>udge will look to determine what the complaint is</w:t>
      </w:r>
      <w:r w:rsidR="006B3DF2">
        <w:rPr>
          <w:rFonts w:ascii="Times New Roman" w:hAnsi="Times New Roman"/>
        </w:rPr>
        <w:t> </w:t>
      </w:r>
      <w:r w:rsidRPr="00C83633">
        <w:rPr>
          <w:rFonts w:ascii="Times New Roman" w:hAnsi="Times New Roman"/>
        </w:rPr>
        <w:t xml:space="preserve">… and </w:t>
      </w:r>
      <w:proofErr w:type="spellStart"/>
      <w:r w:rsidRPr="00C83633">
        <w:rPr>
          <w:rFonts w:ascii="Times New Roman" w:hAnsi="Times New Roman"/>
        </w:rPr>
        <w:t>as</w:t>
      </w:r>
      <w:proofErr w:type="spellEnd"/>
      <w:r w:rsidRPr="00C83633">
        <w:rPr>
          <w:rFonts w:ascii="Times New Roman" w:hAnsi="Times New Roman"/>
        </w:rPr>
        <w:t xml:space="preserve"> been said in many other cases</w:t>
      </w:r>
      <w:r w:rsidR="003173E5">
        <w:rPr>
          <w:rFonts w:ascii="Times New Roman" w:hAnsi="Times New Roman"/>
        </w:rPr>
        <w:t>:</w:t>
      </w:r>
      <w:r w:rsidRPr="00C83633">
        <w:rPr>
          <w:rFonts w:ascii="Times New Roman" w:hAnsi="Times New Roman"/>
        </w:rPr>
        <w:t xml:space="preserve"> </w:t>
      </w:r>
      <w:r w:rsidR="00AB255E">
        <w:rPr>
          <w:rFonts w:ascii="Times New Roman" w:hAnsi="Times New Roman"/>
        </w:rPr>
        <w:t>“</w:t>
      </w:r>
      <w:r w:rsidRPr="00C83633">
        <w:rPr>
          <w:rFonts w:ascii="Times New Roman" w:hAnsi="Times New Roman"/>
        </w:rPr>
        <w:t>…</w:t>
      </w:r>
      <w:r w:rsidR="002534AC" w:rsidRPr="00C83633">
        <w:rPr>
          <w:rFonts w:ascii="Times New Roman" w:hAnsi="Times New Roman"/>
        </w:rPr>
        <w:t xml:space="preserve"> an applicant must stand or fall by his petition and the facts alleged therein and that, although sometimes it is permissible to supplement the allegations contained in the petition, still the main foundation of the application is the allegation of facts stated therein, because those are the facts which the respondent is called upon either to affirm or deny</w:t>
      </w:r>
      <w:r w:rsidRPr="00C83633">
        <w:rPr>
          <w:rFonts w:ascii="Times New Roman" w:hAnsi="Times New Roman"/>
        </w:rPr>
        <w:t>”</w:t>
      </w:r>
      <w:r w:rsidR="002534AC" w:rsidRPr="00C83633">
        <w:rPr>
          <w:rFonts w:ascii="Times New Roman" w:hAnsi="Times New Roman"/>
        </w:rPr>
        <w:t>.’</w:t>
      </w:r>
    </w:p>
    <w:p w14:paraId="0D00B0D2" w14:textId="101B763A" w:rsidR="00B27EF5"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AB255E">
        <w:rPr>
          <w:rFonts w:ascii="Times New Roman" w:hAnsi="Times New Roman"/>
          <w:sz w:val="28"/>
          <w:szCs w:val="28"/>
        </w:rPr>
        <w:t xml:space="preserve">Since </w:t>
      </w:r>
      <w:proofErr w:type="gramStart"/>
      <w:r w:rsidR="00AB255E">
        <w:rPr>
          <w:rFonts w:ascii="Times New Roman" w:hAnsi="Times New Roman"/>
          <w:sz w:val="28"/>
          <w:szCs w:val="28"/>
        </w:rPr>
        <w:t xml:space="preserve">it is clear </w:t>
      </w:r>
      <w:r w:rsidR="00561E72">
        <w:rPr>
          <w:rFonts w:ascii="Times New Roman" w:hAnsi="Times New Roman"/>
          <w:sz w:val="28"/>
          <w:szCs w:val="28"/>
        </w:rPr>
        <w:t>that the</w:t>
      </w:r>
      <w:proofErr w:type="gramEnd"/>
      <w:r w:rsidR="00561E72">
        <w:rPr>
          <w:rFonts w:ascii="Times New Roman" w:hAnsi="Times New Roman"/>
          <w:sz w:val="28"/>
          <w:szCs w:val="28"/>
        </w:rPr>
        <w:t xml:space="preserve"> applicant stands or falls by its petition and the facts alleged</w:t>
      </w:r>
      <w:r w:rsidR="00561E72" w:rsidRPr="00561E72">
        <w:rPr>
          <w:rFonts w:ascii="Times New Roman" w:hAnsi="Times New Roman"/>
          <w:sz w:val="28"/>
          <w:szCs w:val="28"/>
        </w:rPr>
        <w:t xml:space="preserve"> </w:t>
      </w:r>
      <w:r w:rsidR="00561E72">
        <w:rPr>
          <w:rFonts w:ascii="Times New Roman" w:hAnsi="Times New Roman"/>
          <w:sz w:val="28"/>
          <w:szCs w:val="28"/>
        </w:rPr>
        <w:t>therein, ‘it is not permissible to make out new grounds for the application in the replying affidavit’</w:t>
      </w:r>
      <w:r w:rsidR="00561E72">
        <w:rPr>
          <w:rStyle w:val="FootnoteReference"/>
          <w:rFonts w:ascii="Times New Roman" w:hAnsi="Times New Roman"/>
          <w:sz w:val="28"/>
          <w:szCs w:val="28"/>
        </w:rPr>
        <w:footnoteReference w:id="3"/>
      </w:r>
      <w:r w:rsidR="00561E72">
        <w:rPr>
          <w:rFonts w:ascii="Times New Roman" w:hAnsi="Times New Roman"/>
          <w:sz w:val="28"/>
          <w:szCs w:val="28"/>
        </w:rPr>
        <w:t>.</w:t>
      </w:r>
    </w:p>
    <w:p w14:paraId="6E8C32D7" w14:textId="0BEFF876" w:rsidR="00F47F88"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F47F88">
        <w:rPr>
          <w:rFonts w:ascii="Times New Roman" w:hAnsi="Times New Roman"/>
          <w:sz w:val="28"/>
          <w:szCs w:val="28"/>
        </w:rPr>
        <w:t xml:space="preserve">The rule against allowing new matter or new grounds in reply was held in </w:t>
      </w:r>
      <w:proofErr w:type="spellStart"/>
      <w:r w:rsidR="00F47F88" w:rsidRPr="0067107A">
        <w:rPr>
          <w:rFonts w:ascii="Times New Roman" w:hAnsi="Times New Roman"/>
          <w:i/>
          <w:sz w:val="28"/>
          <w:szCs w:val="28"/>
        </w:rPr>
        <w:t>Bayat</w:t>
      </w:r>
      <w:proofErr w:type="spellEnd"/>
      <w:r w:rsidR="00F47F88" w:rsidRPr="0067107A">
        <w:rPr>
          <w:rFonts w:ascii="Times New Roman" w:hAnsi="Times New Roman"/>
          <w:i/>
          <w:sz w:val="28"/>
          <w:szCs w:val="28"/>
        </w:rPr>
        <w:t xml:space="preserve"> and Others v Hansa and Another</w:t>
      </w:r>
      <w:r w:rsidR="00F47F88">
        <w:rPr>
          <w:rStyle w:val="FootnoteReference"/>
          <w:rFonts w:ascii="Times New Roman" w:hAnsi="Times New Roman"/>
          <w:sz w:val="28"/>
          <w:szCs w:val="28"/>
        </w:rPr>
        <w:footnoteReference w:id="4"/>
      </w:r>
      <w:r w:rsidR="005A03E7">
        <w:rPr>
          <w:rFonts w:ascii="Times New Roman" w:hAnsi="Times New Roman"/>
          <w:sz w:val="28"/>
          <w:szCs w:val="28"/>
        </w:rPr>
        <w:t xml:space="preserve"> to be capable of being departed from only in exceptional circumstances.</w:t>
      </w:r>
      <w:r w:rsidR="00F4772F">
        <w:rPr>
          <w:rFonts w:ascii="Times New Roman" w:hAnsi="Times New Roman"/>
          <w:sz w:val="28"/>
          <w:szCs w:val="28"/>
        </w:rPr>
        <w:t xml:space="preserve"> </w:t>
      </w:r>
      <w:r w:rsidR="000B5FF7">
        <w:rPr>
          <w:rFonts w:ascii="Times New Roman" w:hAnsi="Times New Roman"/>
          <w:sz w:val="28"/>
          <w:szCs w:val="28"/>
        </w:rPr>
        <w:t>T</w:t>
      </w:r>
      <w:r w:rsidR="00A67E2C">
        <w:rPr>
          <w:rFonts w:ascii="Times New Roman" w:hAnsi="Times New Roman"/>
          <w:sz w:val="28"/>
          <w:szCs w:val="28"/>
        </w:rPr>
        <w:t xml:space="preserve">he </w:t>
      </w:r>
      <w:r w:rsidR="00317B02">
        <w:rPr>
          <w:rFonts w:ascii="Times New Roman" w:hAnsi="Times New Roman"/>
          <w:sz w:val="28"/>
          <w:szCs w:val="28"/>
        </w:rPr>
        <w:t>principle</w:t>
      </w:r>
      <w:r w:rsidR="00A67E2C">
        <w:rPr>
          <w:rFonts w:ascii="Times New Roman" w:hAnsi="Times New Roman"/>
          <w:sz w:val="28"/>
          <w:szCs w:val="28"/>
        </w:rPr>
        <w:t xml:space="preserve"> </w:t>
      </w:r>
      <w:r w:rsidR="000B5FF7">
        <w:rPr>
          <w:rFonts w:ascii="Times New Roman" w:hAnsi="Times New Roman"/>
          <w:sz w:val="28"/>
          <w:szCs w:val="28"/>
        </w:rPr>
        <w:t xml:space="preserve">nonetheless </w:t>
      </w:r>
      <w:r w:rsidR="00A67E2C">
        <w:rPr>
          <w:rFonts w:ascii="Times New Roman" w:hAnsi="Times New Roman"/>
          <w:sz w:val="28"/>
          <w:szCs w:val="28"/>
        </w:rPr>
        <w:t>remains that a case must be made</w:t>
      </w:r>
      <w:r w:rsidR="00760B40">
        <w:rPr>
          <w:rFonts w:ascii="Times New Roman" w:hAnsi="Times New Roman"/>
          <w:sz w:val="28"/>
          <w:szCs w:val="28"/>
        </w:rPr>
        <w:t xml:space="preserve"> out in the founding papers. </w:t>
      </w:r>
      <w:r w:rsidR="00317B02">
        <w:rPr>
          <w:rFonts w:ascii="Times New Roman" w:hAnsi="Times New Roman"/>
          <w:sz w:val="28"/>
          <w:szCs w:val="28"/>
        </w:rPr>
        <w:t xml:space="preserve">Its </w:t>
      </w:r>
      <w:r w:rsidR="00760B40">
        <w:rPr>
          <w:rFonts w:ascii="Times New Roman" w:hAnsi="Times New Roman"/>
          <w:sz w:val="28"/>
          <w:szCs w:val="28"/>
        </w:rPr>
        <w:t xml:space="preserve">rationale </w:t>
      </w:r>
      <w:r w:rsidR="00317B02">
        <w:rPr>
          <w:rFonts w:ascii="Times New Roman" w:hAnsi="Times New Roman"/>
          <w:sz w:val="28"/>
          <w:szCs w:val="28"/>
        </w:rPr>
        <w:t xml:space="preserve">promotes </w:t>
      </w:r>
      <w:r w:rsidR="00A67E2C">
        <w:rPr>
          <w:rFonts w:ascii="Times New Roman" w:hAnsi="Times New Roman"/>
          <w:sz w:val="28"/>
          <w:szCs w:val="28"/>
        </w:rPr>
        <w:t>legal certainty</w:t>
      </w:r>
      <w:r w:rsidR="009D7CCB">
        <w:rPr>
          <w:rFonts w:ascii="Times New Roman" w:hAnsi="Times New Roman"/>
          <w:sz w:val="28"/>
          <w:szCs w:val="28"/>
        </w:rPr>
        <w:t xml:space="preserve">. This </w:t>
      </w:r>
      <w:r w:rsidR="00036F2F">
        <w:rPr>
          <w:rFonts w:ascii="Times New Roman" w:hAnsi="Times New Roman"/>
          <w:sz w:val="28"/>
          <w:szCs w:val="28"/>
        </w:rPr>
        <w:t xml:space="preserve">is evident from </w:t>
      </w:r>
      <w:r w:rsidR="00F4772F">
        <w:rPr>
          <w:rFonts w:ascii="Times New Roman" w:hAnsi="Times New Roman"/>
          <w:sz w:val="28"/>
          <w:szCs w:val="28"/>
        </w:rPr>
        <w:t xml:space="preserve">the </w:t>
      </w:r>
      <w:r w:rsidR="006B4885">
        <w:rPr>
          <w:rFonts w:ascii="Times New Roman" w:hAnsi="Times New Roman"/>
          <w:sz w:val="28"/>
          <w:szCs w:val="28"/>
        </w:rPr>
        <w:t xml:space="preserve">contemporary approach </w:t>
      </w:r>
      <w:r w:rsidR="00F4772F">
        <w:rPr>
          <w:rFonts w:ascii="Times New Roman" w:hAnsi="Times New Roman"/>
          <w:sz w:val="28"/>
          <w:szCs w:val="28"/>
        </w:rPr>
        <w:t xml:space="preserve">adopted by the Constitutional Court in </w:t>
      </w:r>
      <w:r w:rsidR="00F4772F" w:rsidRPr="000B5FF7">
        <w:rPr>
          <w:rFonts w:ascii="Times New Roman" w:hAnsi="Times New Roman"/>
          <w:i/>
          <w:sz w:val="28"/>
          <w:szCs w:val="28"/>
        </w:rPr>
        <w:t xml:space="preserve">South African Transport and Allied </w:t>
      </w:r>
      <w:r w:rsidR="00F4772F" w:rsidRPr="000B5FF7">
        <w:rPr>
          <w:rFonts w:ascii="Times New Roman" w:hAnsi="Times New Roman"/>
          <w:i/>
          <w:sz w:val="28"/>
          <w:szCs w:val="28"/>
        </w:rPr>
        <w:lastRenderedPageBreak/>
        <w:t>W</w:t>
      </w:r>
      <w:r w:rsidR="00431855">
        <w:rPr>
          <w:rFonts w:ascii="Times New Roman" w:hAnsi="Times New Roman"/>
          <w:i/>
          <w:sz w:val="28"/>
          <w:szCs w:val="28"/>
        </w:rPr>
        <w:t xml:space="preserve">orkers Union and another v </w:t>
      </w:r>
      <w:proofErr w:type="spellStart"/>
      <w:r w:rsidR="00431855">
        <w:rPr>
          <w:rFonts w:ascii="Times New Roman" w:hAnsi="Times New Roman"/>
          <w:i/>
          <w:sz w:val="28"/>
          <w:szCs w:val="28"/>
        </w:rPr>
        <w:t>Garva</w:t>
      </w:r>
      <w:r w:rsidR="00F4772F" w:rsidRPr="000B5FF7">
        <w:rPr>
          <w:rFonts w:ascii="Times New Roman" w:hAnsi="Times New Roman"/>
          <w:i/>
          <w:sz w:val="28"/>
          <w:szCs w:val="28"/>
        </w:rPr>
        <w:t>s</w:t>
      </w:r>
      <w:proofErr w:type="spellEnd"/>
      <w:r w:rsidR="00F4772F" w:rsidRPr="000B5FF7">
        <w:rPr>
          <w:rFonts w:ascii="Times New Roman" w:hAnsi="Times New Roman"/>
          <w:i/>
          <w:sz w:val="28"/>
          <w:szCs w:val="28"/>
        </w:rPr>
        <w:t xml:space="preserve"> and others</w:t>
      </w:r>
      <w:r w:rsidR="00F4772F">
        <w:rPr>
          <w:rStyle w:val="FootnoteReference"/>
          <w:rFonts w:ascii="Times New Roman" w:hAnsi="Times New Roman"/>
          <w:sz w:val="28"/>
          <w:szCs w:val="28"/>
        </w:rPr>
        <w:footnoteReference w:id="5"/>
      </w:r>
      <w:r w:rsidR="00F4772F">
        <w:rPr>
          <w:rFonts w:ascii="Times New Roman" w:hAnsi="Times New Roman"/>
          <w:sz w:val="28"/>
          <w:szCs w:val="28"/>
        </w:rPr>
        <w:t xml:space="preserve"> where it held as follows:</w:t>
      </w:r>
    </w:p>
    <w:p w14:paraId="1387580C" w14:textId="77777777" w:rsidR="002F02BC" w:rsidRPr="0067107A" w:rsidRDefault="002F02BC" w:rsidP="0067107A">
      <w:pPr>
        <w:pStyle w:val="LegalList1"/>
        <w:spacing w:line="360" w:lineRule="auto"/>
        <w:ind w:left="851"/>
        <w:rPr>
          <w:rFonts w:ascii="Times New Roman" w:hAnsi="Times New Roman"/>
        </w:rPr>
      </w:pPr>
      <w:r w:rsidRPr="0067107A">
        <w:rPr>
          <w:rFonts w:ascii="Times New Roman" w:hAnsi="Times New Roman"/>
        </w:rPr>
        <w:t xml:space="preserve">‘Holding parties to pleadings is not pedantry. It is an integral part of the principle of legal </w:t>
      </w:r>
      <w:proofErr w:type="gramStart"/>
      <w:r w:rsidRPr="0067107A">
        <w:rPr>
          <w:rFonts w:ascii="Times New Roman" w:hAnsi="Times New Roman"/>
        </w:rPr>
        <w:t>certainty</w:t>
      </w:r>
      <w:proofErr w:type="gramEnd"/>
      <w:r w:rsidRPr="0067107A">
        <w:rPr>
          <w:rFonts w:ascii="Times New Roman" w:hAnsi="Times New Roman"/>
        </w:rPr>
        <w:t xml:space="preserve"> which is an element of the rule of law, one of the values on which our Constitution is founded. Every party contemplating a constitutional challenge should know the requirements it needs to satisfy and every other party likely to be affected by the relief sought must </w:t>
      </w:r>
      <w:proofErr w:type="gramStart"/>
      <w:r w:rsidRPr="0067107A">
        <w:rPr>
          <w:rFonts w:ascii="Times New Roman" w:hAnsi="Times New Roman"/>
        </w:rPr>
        <w:t>know precisely</w:t>
      </w:r>
      <w:proofErr w:type="gramEnd"/>
      <w:r w:rsidRPr="0067107A">
        <w:rPr>
          <w:rFonts w:ascii="Times New Roman" w:hAnsi="Times New Roman"/>
        </w:rPr>
        <w:t xml:space="preserve"> the case it is expected to meet.’</w:t>
      </w:r>
    </w:p>
    <w:p w14:paraId="4A49743D" w14:textId="2881859F" w:rsidR="00FB7C4A"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020C5F">
        <w:rPr>
          <w:rFonts w:ascii="Times New Roman" w:hAnsi="Times New Roman"/>
          <w:sz w:val="28"/>
          <w:szCs w:val="28"/>
        </w:rPr>
        <w:t>I</w:t>
      </w:r>
      <w:r w:rsidR="00F35D14">
        <w:rPr>
          <w:rFonts w:ascii="Times New Roman" w:hAnsi="Times New Roman"/>
          <w:sz w:val="28"/>
          <w:szCs w:val="28"/>
        </w:rPr>
        <w:t>t</w:t>
      </w:r>
      <w:r w:rsidR="00020C5F">
        <w:rPr>
          <w:rFonts w:ascii="Times New Roman" w:hAnsi="Times New Roman"/>
          <w:sz w:val="28"/>
          <w:szCs w:val="28"/>
        </w:rPr>
        <w:t xml:space="preserve"> occurs frequently in practi</w:t>
      </w:r>
      <w:r w:rsidR="00054D9A">
        <w:rPr>
          <w:rFonts w:ascii="Times New Roman" w:hAnsi="Times New Roman"/>
          <w:sz w:val="28"/>
          <w:szCs w:val="28"/>
        </w:rPr>
        <w:t>c</w:t>
      </w:r>
      <w:r w:rsidR="00020C5F">
        <w:rPr>
          <w:rFonts w:ascii="Times New Roman" w:hAnsi="Times New Roman"/>
          <w:sz w:val="28"/>
          <w:szCs w:val="28"/>
        </w:rPr>
        <w:t xml:space="preserve">e that parties may attach </w:t>
      </w:r>
      <w:r w:rsidR="00C65EE4">
        <w:rPr>
          <w:rFonts w:ascii="Times New Roman" w:hAnsi="Times New Roman"/>
          <w:sz w:val="28"/>
          <w:szCs w:val="28"/>
        </w:rPr>
        <w:t xml:space="preserve">documentary </w:t>
      </w:r>
      <w:r w:rsidR="00020C5F">
        <w:rPr>
          <w:rFonts w:ascii="Times New Roman" w:hAnsi="Times New Roman"/>
          <w:sz w:val="28"/>
          <w:szCs w:val="28"/>
        </w:rPr>
        <w:t>annexures to their a</w:t>
      </w:r>
      <w:r w:rsidR="00FB7C4A">
        <w:rPr>
          <w:rFonts w:ascii="Times New Roman" w:hAnsi="Times New Roman"/>
          <w:sz w:val="28"/>
          <w:szCs w:val="28"/>
        </w:rPr>
        <w:t>ffidavits.</w:t>
      </w:r>
    </w:p>
    <w:p w14:paraId="7EFD249E" w14:textId="2128779D" w:rsidR="00FB7C4A"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0B5FF7">
        <w:rPr>
          <w:rFonts w:ascii="Times New Roman" w:hAnsi="Times New Roman"/>
          <w:sz w:val="28"/>
          <w:szCs w:val="28"/>
        </w:rPr>
        <w:t xml:space="preserve">Where </w:t>
      </w:r>
      <w:r w:rsidR="00C65EE4">
        <w:rPr>
          <w:rFonts w:ascii="Times New Roman" w:hAnsi="Times New Roman"/>
          <w:sz w:val="28"/>
          <w:szCs w:val="28"/>
        </w:rPr>
        <w:t>this occurs</w:t>
      </w:r>
      <w:r w:rsidR="000B5FF7">
        <w:rPr>
          <w:rFonts w:ascii="Times New Roman" w:hAnsi="Times New Roman"/>
          <w:sz w:val="28"/>
          <w:szCs w:val="28"/>
        </w:rPr>
        <w:t xml:space="preserve"> it is not open to a party to </w:t>
      </w:r>
      <w:r w:rsidR="005B5D52">
        <w:rPr>
          <w:rFonts w:ascii="Times New Roman" w:hAnsi="Times New Roman"/>
          <w:sz w:val="28"/>
          <w:szCs w:val="28"/>
        </w:rPr>
        <w:t>request the court to have regard thereto. What is incumbent is the identification of portions thereof on which reliance is placed as an indication of the case which is sought to be made out on the strength of the document concerned.</w:t>
      </w:r>
    </w:p>
    <w:p w14:paraId="5072C725" w14:textId="39DAFCFE" w:rsidR="00FB7C4A"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5B5D52">
        <w:rPr>
          <w:rFonts w:ascii="Times New Roman" w:hAnsi="Times New Roman"/>
          <w:sz w:val="28"/>
          <w:szCs w:val="28"/>
        </w:rPr>
        <w:t>The document serves as proof of the source of the information</w:t>
      </w:r>
      <w:r w:rsidR="008066DA">
        <w:rPr>
          <w:rFonts w:ascii="Times New Roman" w:hAnsi="Times New Roman"/>
          <w:sz w:val="28"/>
          <w:szCs w:val="28"/>
        </w:rPr>
        <w:t>.</w:t>
      </w:r>
    </w:p>
    <w:p w14:paraId="5E4EB91F" w14:textId="6BB5D5E1" w:rsidR="00B27EF5"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78739D">
        <w:rPr>
          <w:rFonts w:ascii="Times New Roman" w:hAnsi="Times New Roman"/>
          <w:sz w:val="28"/>
          <w:szCs w:val="28"/>
        </w:rPr>
        <w:t xml:space="preserve">Regard being had to the function of </w:t>
      </w:r>
      <w:proofErr w:type="gramStart"/>
      <w:r w:rsidR="0078739D">
        <w:rPr>
          <w:rFonts w:ascii="Times New Roman" w:hAnsi="Times New Roman"/>
          <w:sz w:val="28"/>
          <w:szCs w:val="28"/>
        </w:rPr>
        <w:t>affidavits,</w:t>
      </w:r>
      <w:proofErr w:type="gramEnd"/>
      <w:r w:rsidR="0078739D">
        <w:rPr>
          <w:rFonts w:ascii="Times New Roman" w:hAnsi="Times New Roman"/>
          <w:sz w:val="28"/>
          <w:szCs w:val="28"/>
        </w:rPr>
        <w:t xml:space="preserve"> i</w:t>
      </w:r>
      <w:r w:rsidR="008066DA">
        <w:rPr>
          <w:rFonts w:ascii="Times New Roman" w:hAnsi="Times New Roman"/>
          <w:sz w:val="28"/>
          <w:szCs w:val="28"/>
        </w:rPr>
        <w:t xml:space="preserve">t cannot be expected of a </w:t>
      </w:r>
      <w:r w:rsidR="0078739D">
        <w:rPr>
          <w:rFonts w:ascii="Times New Roman" w:hAnsi="Times New Roman"/>
          <w:sz w:val="28"/>
          <w:szCs w:val="28"/>
        </w:rPr>
        <w:t xml:space="preserve">party nor of a </w:t>
      </w:r>
      <w:r w:rsidR="008066DA">
        <w:rPr>
          <w:rFonts w:ascii="Times New Roman" w:hAnsi="Times New Roman"/>
          <w:sz w:val="28"/>
          <w:szCs w:val="28"/>
        </w:rPr>
        <w:t>court to trawl through a series of annexures reduced to a mass of print and to speculate on the relevance of their contents</w:t>
      </w:r>
      <w:r w:rsidR="00712E41">
        <w:rPr>
          <w:rStyle w:val="FootnoteReference"/>
          <w:rFonts w:ascii="Times New Roman" w:hAnsi="Times New Roman"/>
          <w:sz w:val="28"/>
          <w:szCs w:val="28"/>
        </w:rPr>
        <w:footnoteReference w:id="6"/>
      </w:r>
      <w:r w:rsidR="008066DA">
        <w:rPr>
          <w:rFonts w:ascii="Times New Roman" w:hAnsi="Times New Roman"/>
          <w:sz w:val="28"/>
          <w:szCs w:val="28"/>
        </w:rPr>
        <w:t xml:space="preserve"> or to establish if there is material </w:t>
      </w:r>
      <w:r w:rsidR="00B33535">
        <w:rPr>
          <w:rFonts w:ascii="Times New Roman" w:hAnsi="Times New Roman"/>
          <w:sz w:val="28"/>
          <w:szCs w:val="28"/>
        </w:rPr>
        <w:t xml:space="preserve">that adds substance to </w:t>
      </w:r>
      <w:r w:rsidR="00C132B0">
        <w:rPr>
          <w:rFonts w:ascii="Times New Roman" w:hAnsi="Times New Roman"/>
          <w:sz w:val="28"/>
          <w:szCs w:val="28"/>
        </w:rPr>
        <w:t xml:space="preserve">loose </w:t>
      </w:r>
      <w:r w:rsidR="008066DA">
        <w:rPr>
          <w:rFonts w:ascii="Times New Roman" w:hAnsi="Times New Roman"/>
          <w:sz w:val="28"/>
          <w:szCs w:val="28"/>
        </w:rPr>
        <w:t xml:space="preserve">averments in </w:t>
      </w:r>
      <w:r w:rsidR="001D519F">
        <w:rPr>
          <w:rFonts w:ascii="Times New Roman" w:hAnsi="Times New Roman"/>
          <w:sz w:val="28"/>
          <w:szCs w:val="28"/>
        </w:rPr>
        <w:t>an</w:t>
      </w:r>
      <w:r w:rsidR="008066DA">
        <w:rPr>
          <w:rFonts w:ascii="Times New Roman" w:hAnsi="Times New Roman"/>
          <w:sz w:val="28"/>
          <w:szCs w:val="28"/>
        </w:rPr>
        <w:t xml:space="preserve"> affidavit.</w:t>
      </w:r>
    </w:p>
    <w:p w14:paraId="0D20BC92" w14:textId="66B93F14" w:rsidR="00773D64"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1D519F">
        <w:rPr>
          <w:rFonts w:ascii="Times New Roman" w:hAnsi="Times New Roman"/>
          <w:sz w:val="28"/>
          <w:szCs w:val="28"/>
        </w:rPr>
        <w:t xml:space="preserve">The </w:t>
      </w:r>
      <w:r w:rsidR="00283B71">
        <w:rPr>
          <w:rFonts w:ascii="Times New Roman" w:hAnsi="Times New Roman"/>
          <w:sz w:val="28"/>
          <w:szCs w:val="28"/>
        </w:rPr>
        <w:t xml:space="preserve">relief claimed </w:t>
      </w:r>
      <w:r w:rsidR="00863EDC">
        <w:rPr>
          <w:rFonts w:ascii="Times New Roman" w:hAnsi="Times New Roman"/>
          <w:sz w:val="28"/>
          <w:szCs w:val="28"/>
        </w:rPr>
        <w:t>against the respondent</w:t>
      </w:r>
      <w:r w:rsidR="00CE65E5">
        <w:rPr>
          <w:rFonts w:ascii="Times New Roman" w:hAnsi="Times New Roman"/>
          <w:sz w:val="28"/>
          <w:szCs w:val="28"/>
        </w:rPr>
        <w:t xml:space="preserve"> </w:t>
      </w:r>
      <w:r w:rsidR="00BA6DF0">
        <w:rPr>
          <w:rFonts w:ascii="Times New Roman" w:hAnsi="Times New Roman"/>
          <w:sz w:val="28"/>
          <w:szCs w:val="28"/>
        </w:rPr>
        <w:t xml:space="preserve">arises from </w:t>
      </w:r>
      <w:r w:rsidR="00B7124E">
        <w:rPr>
          <w:rFonts w:ascii="Times New Roman" w:hAnsi="Times New Roman"/>
          <w:sz w:val="28"/>
          <w:szCs w:val="28"/>
        </w:rPr>
        <w:t xml:space="preserve">a </w:t>
      </w:r>
      <w:r w:rsidR="00697BE0">
        <w:rPr>
          <w:rFonts w:ascii="Times New Roman" w:hAnsi="Times New Roman"/>
          <w:sz w:val="28"/>
          <w:szCs w:val="28"/>
        </w:rPr>
        <w:t xml:space="preserve">scholar transport </w:t>
      </w:r>
      <w:r w:rsidR="00B7124E">
        <w:rPr>
          <w:rFonts w:ascii="Times New Roman" w:hAnsi="Times New Roman"/>
          <w:sz w:val="28"/>
          <w:szCs w:val="28"/>
        </w:rPr>
        <w:t xml:space="preserve">service level agreement </w:t>
      </w:r>
      <w:r w:rsidR="00CB76A2">
        <w:rPr>
          <w:rFonts w:ascii="Times New Roman" w:hAnsi="Times New Roman"/>
          <w:sz w:val="28"/>
          <w:szCs w:val="28"/>
        </w:rPr>
        <w:t xml:space="preserve">(‘the agreement’) </w:t>
      </w:r>
      <w:r w:rsidR="00B7124E">
        <w:rPr>
          <w:rFonts w:ascii="Times New Roman" w:hAnsi="Times New Roman"/>
          <w:sz w:val="28"/>
          <w:szCs w:val="28"/>
        </w:rPr>
        <w:t>concluded with the Eastern Cape Department of Transport (‘the department</w:t>
      </w:r>
      <w:r w:rsidR="00A31AF0">
        <w:rPr>
          <w:rFonts w:ascii="Times New Roman" w:hAnsi="Times New Roman"/>
          <w:sz w:val="28"/>
          <w:szCs w:val="28"/>
        </w:rPr>
        <w:t>’</w:t>
      </w:r>
      <w:r w:rsidR="00B7124E">
        <w:rPr>
          <w:rFonts w:ascii="Times New Roman" w:hAnsi="Times New Roman"/>
          <w:sz w:val="28"/>
          <w:szCs w:val="28"/>
        </w:rPr>
        <w:t xml:space="preserve">) </w:t>
      </w:r>
      <w:r w:rsidR="00697BE0">
        <w:rPr>
          <w:rFonts w:ascii="Times New Roman" w:hAnsi="Times New Roman"/>
          <w:sz w:val="28"/>
          <w:szCs w:val="28"/>
        </w:rPr>
        <w:t xml:space="preserve">in respect of the </w:t>
      </w:r>
      <w:r w:rsidR="004B4E5E">
        <w:rPr>
          <w:rFonts w:ascii="Times New Roman" w:hAnsi="Times New Roman"/>
          <w:sz w:val="28"/>
          <w:szCs w:val="28"/>
        </w:rPr>
        <w:t xml:space="preserve">award </w:t>
      </w:r>
      <w:r w:rsidR="004B4E5E">
        <w:rPr>
          <w:rFonts w:ascii="Times New Roman" w:hAnsi="Times New Roman"/>
          <w:sz w:val="28"/>
          <w:szCs w:val="28"/>
        </w:rPr>
        <w:lastRenderedPageBreak/>
        <w:t xml:space="preserve">to the </w:t>
      </w:r>
      <w:r w:rsidR="00697BE0">
        <w:rPr>
          <w:rFonts w:ascii="Times New Roman" w:hAnsi="Times New Roman"/>
          <w:sz w:val="28"/>
          <w:szCs w:val="28"/>
        </w:rPr>
        <w:t xml:space="preserve">applicant </w:t>
      </w:r>
      <w:r w:rsidR="004B4E5E">
        <w:rPr>
          <w:rFonts w:ascii="Times New Roman" w:hAnsi="Times New Roman"/>
          <w:sz w:val="28"/>
          <w:szCs w:val="28"/>
        </w:rPr>
        <w:t xml:space="preserve">of </w:t>
      </w:r>
      <w:r w:rsidR="00B772B0">
        <w:rPr>
          <w:rFonts w:ascii="Times New Roman" w:hAnsi="Times New Roman"/>
          <w:sz w:val="28"/>
          <w:szCs w:val="28"/>
        </w:rPr>
        <w:t xml:space="preserve">a </w:t>
      </w:r>
      <w:r w:rsidR="00E73D66">
        <w:rPr>
          <w:rFonts w:ascii="Times New Roman" w:hAnsi="Times New Roman"/>
          <w:sz w:val="28"/>
          <w:szCs w:val="28"/>
        </w:rPr>
        <w:t xml:space="preserve">bid </w:t>
      </w:r>
      <w:r w:rsidR="00BA6DF0">
        <w:rPr>
          <w:rFonts w:ascii="Times New Roman" w:hAnsi="Times New Roman"/>
          <w:sz w:val="28"/>
          <w:szCs w:val="28"/>
        </w:rPr>
        <w:t>for the</w:t>
      </w:r>
      <w:r w:rsidR="00B9751C">
        <w:rPr>
          <w:rFonts w:ascii="Times New Roman" w:hAnsi="Times New Roman"/>
          <w:sz w:val="28"/>
          <w:szCs w:val="28"/>
        </w:rPr>
        <w:t xml:space="preserve"> provision of transport services </w:t>
      </w:r>
      <w:r w:rsidR="00B772B0">
        <w:rPr>
          <w:rFonts w:ascii="Times New Roman" w:hAnsi="Times New Roman"/>
          <w:sz w:val="28"/>
          <w:szCs w:val="28"/>
        </w:rPr>
        <w:t>in the</w:t>
      </w:r>
      <w:r w:rsidR="00B772B0" w:rsidRPr="00B772B0">
        <w:rPr>
          <w:rFonts w:ascii="Times New Roman" w:hAnsi="Times New Roman"/>
          <w:sz w:val="28"/>
          <w:szCs w:val="28"/>
        </w:rPr>
        <w:t xml:space="preserve"> </w:t>
      </w:r>
      <w:r w:rsidR="00B772B0">
        <w:rPr>
          <w:rFonts w:ascii="Times New Roman" w:hAnsi="Times New Roman"/>
          <w:sz w:val="28"/>
          <w:szCs w:val="28"/>
        </w:rPr>
        <w:t>Chris Hani West District, Queenstown</w:t>
      </w:r>
      <w:r w:rsidR="003173E5">
        <w:rPr>
          <w:rFonts w:ascii="Times New Roman" w:hAnsi="Times New Roman"/>
          <w:sz w:val="28"/>
          <w:szCs w:val="28"/>
        </w:rPr>
        <w:t xml:space="preserve"> (now Komani)</w:t>
      </w:r>
      <w:r w:rsidR="00B772B0">
        <w:rPr>
          <w:rFonts w:ascii="Times New Roman" w:hAnsi="Times New Roman"/>
          <w:sz w:val="28"/>
          <w:szCs w:val="28"/>
        </w:rPr>
        <w:t xml:space="preserve">, </w:t>
      </w:r>
      <w:r w:rsidR="00B9751C">
        <w:rPr>
          <w:rFonts w:ascii="Times New Roman" w:hAnsi="Times New Roman"/>
          <w:sz w:val="28"/>
          <w:szCs w:val="28"/>
        </w:rPr>
        <w:t>for the period</w:t>
      </w:r>
      <w:r w:rsidR="008C2827">
        <w:rPr>
          <w:rFonts w:ascii="Times New Roman" w:hAnsi="Times New Roman"/>
          <w:sz w:val="28"/>
          <w:szCs w:val="28"/>
        </w:rPr>
        <w:t xml:space="preserve"> </w:t>
      </w:r>
      <w:r w:rsidR="00B9751C">
        <w:rPr>
          <w:rFonts w:ascii="Times New Roman" w:hAnsi="Times New Roman"/>
          <w:sz w:val="28"/>
          <w:szCs w:val="28"/>
        </w:rPr>
        <w:t>11 January 2017 to 10</w:t>
      </w:r>
      <w:r w:rsidR="008C2827">
        <w:rPr>
          <w:rFonts w:ascii="Times New Roman" w:hAnsi="Times New Roman"/>
          <w:sz w:val="28"/>
          <w:szCs w:val="28"/>
        </w:rPr>
        <w:t> </w:t>
      </w:r>
      <w:r w:rsidR="00B9751C">
        <w:rPr>
          <w:rFonts w:ascii="Times New Roman" w:hAnsi="Times New Roman"/>
          <w:sz w:val="28"/>
          <w:szCs w:val="28"/>
        </w:rPr>
        <w:t>December 2019.</w:t>
      </w:r>
    </w:p>
    <w:p w14:paraId="3BEEEC81" w14:textId="3A36E342" w:rsidR="0095475C"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E73D66">
        <w:rPr>
          <w:rFonts w:ascii="Times New Roman" w:hAnsi="Times New Roman"/>
          <w:sz w:val="28"/>
          <w:szCs w:val="28"/>
        </w:rPr>
        <w:t xml:space="preserve">It </w:t>
      </w:r>
      <w:r w:rsidR="00916532">
        <w:rPr>
          <w:rFonts w:ascii="Times New Roman" w:hAnsi="Times New Roman"/>
          <w:sz w:val="28"/>
          <w:szCs w:val="28"/>
        </w:rPr>
        <w:t>is common cause</w:t>
      </w:r>
      <w:r w:rsidR="0095475C">
        <w:rPr>
          <w:rFonts w:ascii="Times New Roman" w:hAnsi="Times New Roman"/>
          <w:sz w:val="28"/>
          <w:szCs w:val="28"/>
        </w:rPr>
        <w:t>:</w:t>
      </w:r>
    </w:p>
    <w:p w14:paraId="57F3E4EF" w14:textId="77777777" w:rsidR="00E73D66" w:rsidRDefault="00F3589E" w:rsidP="00646C08">
      <w:pPr>
        <w:pStyle w:val="LegalList1"/>
        <w:spacing w:line="360" w:lineRule="auto"/>
        <w:ind w:left="1571" w:hanging="72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i</w:t>
      </w:r>
      <w:proofErr w:type="spellEnd"/>
      <w:r>
        <w:rPr>
          <w:rFonts w:ascii="Times New Roman" w:hAnsi="Times New Roman"/>
          <w:sz w:val="28"/>
          <w:szCs w:val="28"/>
        </w:rPr>
        <w:t>)</w:t>
      </w:r>
      <w:r w:rsidR="00646C08">
        <w:rPr>
          <w:rFonts w:ascii="Times New Roman" w:hAnsi="Times New Roman"/>
          <w:sz w:val="28"/>
          <w:szCs w:val="28"/>
        </w:rPr>
        <w:tab/>
      </w:r>
      <w:r w:rsidR="0095475C">
        <w:rPr>
          <w:rFonts w:ascii="Times New Roman" w:hAnsi="Times New Roman"/>
          <w:sz w:val="28"/>
          <w:szCs w:val="28"/>
        </w:rPr>
        <w:t xml:space="preserve">that </w:t>
      </w:r>
      <w:r w:rsidR="00E73D66">
        <w:rPr>
          <w:rFonts w:ascii="Times New Roman" w:hAnsi="Times New Roman"/>
          <w:sz w:val="28"/>
          <w:szCs w:val="28"/>
        </w:rPr>
        <w:t>the applicant was appointed</w:t>
      </w:r>
      <w:r w:rsidR="00022CC0">
        <w:rPr>
          <w:rFonts w:ascii="Times New Roman" w:hAnsi="Times New Roman"/>
          <w:sz w:val="28"/>
          <w:szCs w:val="28"/>
        </w:rPr>
        <w:t xml:space="preserve"> to provide transport for children schooling at </w:t>
      </w:r>
      <w:proofErr w:type="spellStart"/>
      <w:r w:rsidR="00022CC0">
        <w:rPr>
          <w:rFonts w:ascii="Times New Roman" w:hAnsi="Times New Roman"/>
          <w:sz w:val="28"/>
          <w:szCs w:val="28"/>
        </w:rPr>
        <w:t>Mapasakraal</w:t>
      </w:r>
      <w:proofErr w:type="spellEnd"/>
      <w:r w:rsidR="00022CC0">
        <w:rPr>
          <w:rFonts w:ascii="Times New Roman" w:hAnsi="Times New Roman"/>
          <w:sz w:val="28"/>
          <w:szCs w:val="28"/>
        </w:rPr>
        <w:t xml:space="preserve"> Farm School </w:t>
      </w:r>
      <w:r w:rsidR="0095475C">
        <w:rPr>
          <w:rFonts w:ascii="Times New Roman" w:hAnsi="Times New Roman"/>
          <w:sz w:val="28"/>
          <w:szCs w:val="28"/>
        </w:rPr>
        <w:t>(‘</w:t>
      </w:r>
      <w:proofErr w:type="spellStart"/>
      <w:r w:rsidR="004F0485">
        <w:rPr>
          <w:rFonts w:ascii="Times New Roman" w:hAnsi="Times New Roman"/>
          <w:sz w:val="28"/>
          <w:szCs w:val="28"/>
        </w:rPr>
        <w:t>Mapasakraal</w:t>
      </w:r>
      <w:proofErr w:type="spellEnd"/>
      <w:r w:rsidR="0095475C">
        <w:rPr>
          <w:rFonts w:ascii="Times New Roman" w:hAnsi="Times New Roman"/>
          <w:sz w:val="28"/>
          <w:szCs w:val="28"/>
        </w:rPr>
        <w:t xml:space="preserve">’) </w:t>
      </w:r>
      <w:r w:rsidR="00022CC0">
        <w:rPr>
          <w:rFonts w:ascii="Times New Roman" w:hAnsi="Times New Roman"/>
          <w:sz w:val="28"/>
          <w:szCs w:val="28"/>
        </w:rPr>
        <w:t>from pickup points at Cheviot, Thornlands, Prospect</w:t>
      </w:r>
      <w:r w:rsidR="004951DF">
        <w:rPr>
          <w:rFonts w:ascii="Times New Roman" w:hAnsi="Times New Roman"/>
          <w:sz w:val="28"/>
          <w:szCs w:val="28"/>
        </w:rPr>
        <w:t>,</w:t>
      </w:r>
      <w:r w:rsidR="00022CC0">
        <w:rPr>
          <w:rFonts w:ascii="Times New Roman" w:hAnsi="Times New Roman"/>
          <w:sz w:val="28"/>
          <w:szCs w:val="28"/>
        </w:rPr>
        <w:t xml:space="preserve"> and Peace F</w:t>
      </w:r>
      <w:r w:rsidR="0095475C">
        <w:rPr>
          <w:rFonts w:ascii="Times New Roman" w:hAnsi="Times New Roman"/>
          <w:sz w:val="28"/>
          <w:szCs w:val="28"/>
        </w:rPr>
        <w:t>arm</w:t>
      </w:r>
      <w:r w:rsidR="00383FED">
        <w:rPr>
          <w:rFonts w:ascii="Times New Roman" w:hAnsi="Times New Roman"/>
          <w:sz w:val="28"/>
          <w:szCs w:val="28"/>
        </w:rPr>
        <w:t xml:space="preserve"> (I pause to state that the pickup points are identified by the respondent – no mention thereof by the applicant in the founding affidavit)</w:t>
      </w:r>
      <w:r w:rsidR="0095475C">
        <w:rPr>
          <w:rFonts w:ascii="Times New Roman" w:hAnsi="Times New Roman"/>
          <w:sz w:val="28"/>
          <w:szCs w:val="28"/>
        </w:rPr>
        <w:t>; and</w:t>
      </w:r>
    </w:p>
    <w:p w14:paraId="42A27705" w14:textId="77777777" w:rsidR="0095475C" w:rsidRDefault="00F3589E" w:rsidP="00646C08">
      <w:pPr>
        <w:pStyle w:val="LegalList1"/>
        <w:spacing w:line="360" w:lineRule="auto"/>
        <w:ind w:left="1571" w:hanging="720"/>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r>
      <w:r w:rsidR="0095475C">
        <w:rPr>
          <w:rFonts w:ascii="Times New Roman" w:hAnsi="Times New Roman"/>
          <w:sz w:val="28"/>
          <w:szCs w:val="28"/>
        </w:rPr>
        <w:t>that in January 2018, the Department of Education closed</w:t>
      </w:r>
      <w:r w:rsidR="00646C08">
        <w:rPr>
          <w:rFonts w:ascii="Times New Roman" w:hAnsi="Times New Roman"/>
          <w:sz w:val="28"/>
          <w:szCs w:val="28"/>
        </w:rPr>
        <w:t xml:space="preserve"> </w:t>
      </w:r>
      <w:proofErr w:type="spellStart"/>
      <w:r w:rsidR="004F0485">
        <w:rPr>
          <w:rFonts w:ascii="Times New Roman" w:hAnsi="Times New Roman"/>
          <w:sz w:val="28"/>
          <w:szCs w:val="28"/>
        </w:rPr>
        <w:t>Mapasakraal</w:t>
      </w:r>
      <w:proofErr w:type="spellEnd"/>
      <w:r w:rsidR="00646C08">
        <w:rPr>
          <w:rFonts w:ascii="Times New Roman" w:hAnsi="Times New Roman"/>
          <w:sz w:val="28"/>
          <w:szCs w:val="28"/>
        </w:rPr>
        <w:t xml:space="preserve"> and enrolled the attending learners at </w:t>
      </w:r>
      <w:proofErr w:type="spellStart"/>
      <w:r w:rsidR="00646C08">
        <w:rPr>
          <w:rFonts w:ascii="Times New Roman" w:hAnsi="Times New Roman"/>
          <w:sz w:val="28"/>
          <w:szCs w:val="28"/>
        </w:rPr>
        <w:t>Nonesi</w:t>
      </w:r>
      <w:proofErr w:type="spellEnd"/>
      <w:r w:rsidR="00646C08">
        <w:rPr>
          <w:rFonts w:ascii="Times New Roman" w:hAnsi="Times New Roman"/>
          <w:sz w:val="28"/>
          <w:szCs w:val="28"/>
        </w:rPr>
        <w:t xml:space="preserve"> Primary School in Queenstown.</w:t>
      </w:r>
    </w:p>
    <w:p w14:paraId="6DBCDE9E" w14:textId="5FB4E80B" w:rsidR="00B27EF5"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773D64">
        <w:rPr>
          <w:rFonts w:ascii="Times New Roman" w:hAnsi="Times New Roman"/>
          <w:sz w:val="28"/>
          <w:szCs w:val="28"/>
        </w:rPr>
        <w:t xml:space="preserve">The applicant </w:t>
      </w:r>
      <w:r w:rsidR="00135460">
        <w:rPr>
          <w:rFonts w:ascii="Times New Roman" w:hAnsi="Times New Roman"/>
          <w:sz w:val="28"/>
          <w:szCs w:val="28"/>
        </w:rPr>
        <w:t xml:space="preserve">essentially </w:t>
      </w:r>
      <w:r w:rsidR="00773D64">
        <w:rPr>
          <w:rFonts w:ascii="Times New Roman" w:hAnsi="Times New Roman"/>
          <w:sz w:val="28"/>
          <w:szCs w:val="28"/>
        </w:rPr>
        <w:t xml:space="preserve">seeks </w:t>
      </w:r>
      <w:r w:rsidR="00CE65E5">
        <w:rPr>
          <w:rFonts w:ascii="Times New Roman" w:hAnsi="Times New Roman"/>
          <w:sz w:val="28"/>
          <w:szCs w:val="28"/>
        </w:rPr>
        <w:t>orders:</w:t>
      </w:r>
    </w:p>
    <w:p w14:paraId="01B55182" w14:textId="5F9E872E" w:rsidR="00CE65E5" w:rsidRDefault="00ED20F0" w:rsidP="00ED20F0">
      <w:pPr>
        <w:pStyle w:val="LegalList1"/>
        <w:spacing w:line="360" w:lineRule="auto"/>
        <w:ind w:left="1571" w:hanging="72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i</w:t>
      </w:r>
      <w:proofErr w:type="spellEnd"/>
      <w:r>
        <w:rPr>
          <w:rFonts w:ascii="Times New Roman" w:hAnsi="Times New Roman"/>
          <w:sz w:val="28"/>
          <w:szCs w:val="28"/>
        </w:rPr>
        <w:t>)</w:t>
      </w:r>
      <w:r>
        <w:rPr>
          <w:rFonts w:ascii="Times New Roman" w:hAnsi="Times New Roman"/>
          <w:sz w:val="28"/>
          <w:szCs w:val="28"/>
        </w:rPr>
        <w:tab/>
      </w:r>
      <w:r w:rsidR="00CB76A2">
        <w:rPr>
          <w:rFonts w:ascii="Times New Roman" w:hAnsi="Times New Roman"/>
          <w:sz w:val="28"/>
          <w:szCs w:val="28"/>
        </w:rPr>
        <w:t>f</w:t>
      </w:r>
      <w:r w:rsidR="004B4E5E">
        <w:rPr>
          <w:rFonts w:ascii="Times New Roman" w:hAnsi="Times New Roman"/>
          <w:sz w:val="28"/>
          <w:szCs w:val="28"/>
        </w:rPr>
        <w:t xml:space="preserve">or payment of </w:t>
      </w:r>
      <w:r w:rsidR="00863EDC">
        <w:rPr>
          <w:rFonts w:ascii="Times New Roman" w:hAnsi="Times New Roman"/>
          <w:sz w:val="28"/>
          <w:szCs w:val="28"/>
        </w:rPr>
        <w:t xml:space="preserve">an amount of R1 217 752.24 for the extra distance travelled from </w:t>
      </w:r>
      <w:r w:rsidR="00F3589E">
        <w:rPr>
          <w:rFonts w:ascii="Times New Roman" w:hAnsi="Times New Roman"/>
          <w:sz w:val="28"/>
          <w:szCs w:val="28"/>
        </w:rPr>
        <w:t xml:space="preserve">the </w:t>
      </w:r>
      <w:r w:rsidR="0081504E">
        <w:rPr>
          <w:rFonts w:ascii="Times New Roman" w:hAnsi="Times New Roman"/>
          <w:sz w:val="28"/>
          <w:szCs w:val="28"/>
        </w:rPr>
        <w:t>‘</w:t>
      </w:r>
      <w:r w:rsidR="00A07BC8">
        <w:rPr>
          <w:rFonts w:ascii="Times New Roman" w:hAnsi="Times New Roman"/>
          <w:sz w:val="28"/>
          <w:szCs w:val="28"/>
        </w:rPr>
        <w:t xml:space="preserve">extended </w:t>
      </w:r>
      <w:r w:rsidR="00863EDC">
        <w:rPr>
          <w:rFonts w:ascii="Times New Roman" w:hAnsi="Times New Roman"/>
          <w:sz w:val="28"/>
          <w:szCs w:val="28"/>
        </w:rPr>
        <w:t>pickup points</w:t>
      </w:r>
      <w:r w:rsidR="0081504E">
        <w:rPr>
          <w:rFonts w:ascii="Times New Roman" w:hAnsi="Times New Roman"/>
          <w:sz w:val="28"/>
          <w:szCs w:val="28"/>
        </w:rPr>
        <w:t>’</w:t>
      </w:r>
      <w:r w:rsidR="00081436">
        <w:rPr>
          <w:rFonts w:ascii="Times New Roman" w:hAnsi="Times New Roman"/>
          <w:sz w:val="28"/>
          <w:szCs w:val="28"/>
        </w:rPr>
        <w:t xml:space="preserve"> post closure of </w:t>
      </w:r>
      <w:proofErr w:type="spellStart"/>
      <w:r w:rsidR="00863EDC">
        <w:rPr>
          <w:rFonts w:ascii="Times New Roman" w:hAnsi="Times New Roman"/>
          <w:sz w:val="28"/>
          <w:szCs w:val="28"/>
        </w:rPr>
        <w:t>Mapasakraal</w:t>
      </w:r>
      <w:proofErr w:type="spellEnd"/>
      <w:r w:rsidR="00863EDC">
        <w:rPr>
          <w:rFonts w:ascii="Times New Roman" w:hAnsi="Times New Roman"/>
          <w:sz w:val="28"/>
          <w:szCs w:val="28"/>
        </w:rPr>
        <w:t xml:space="preserve"> </w:t>
      </w:r>
      <w:r w:rsidR="00081436">
        <w:rPr>
          <w:rFonts w:ascii="Times New Roman" w:hAnsi="Times New Roman"/>
          <w:sz w:val="28"/>
          <w:szCs w:val="28"/>
        </w:rPr>
        <w:t xml:space="preserve">and the relocation of learners to attend </w:t>
      </w:r>
      <w:proofErr w:type="gramStart"/>
      <w:r w:rsidR="00081436">
        <w:rPr>
          <w:rFonts w:ascii="Times New Roman" w:hAnsi="Times New Roman"/>
          <w:sz w:val="28"/>
          <w:szCs w:val="28"/>
        </w:rPr>
        <w:t>in  Q</w:t>
      </w:r>
      <w:r w:rsidR="0081504E">
        <w:rPr>
          <w:rFonts w:ascii="Times New Roman" w:hAnsi="Times New Roman"/>
          <w:sz w:val="28"/>
          <w:szCs w:val="28"/>
        </w:rPr>
        <w:t>u</w:t>
      </w:r>
      <w:r w:rsidR="00863EDC">
        <w:rPr>
          <w:rFonts w:ascii="Times New Roman" w:hAnsi="Times New Roman"/>
          <w:sz w:val="28"/>
          <w:szCs w:val="28"/>
        </w:rPr>
        <w:t>eenstown</w:t>
      </w:r>
      <w:proofErr w:type="gramEnd"/>
      <w:r w:rsidR="00773D64">
        <w:rPr>
          <w:rFonts w:ascii="Times New Roman" w:hAnsi="Times New Roman"/>
          <w:sz w:val="28"/>
          <w:szCs w:val="28"/>
        </w:rPr>
        <w:t>;</w:t>
      </w:r>
      <w:r w:rsidR="004B4E5E">
        <w:rPr>
          <w:rFonts w:ascii="Times New Roman" w:hAnsi="Times New Roman"/>
          <w:sz w:val="28"/>
          <w:szCs w:val="28"/>
        </w:rPr>
        <w:t xml:space="preserve"> and</w:t>
      </w:r>
    </w:p>
    <w:p w14:paraId="24049051" w14:textId="510FA0F4" w:rsidR="00773D64" w:rsidRPr="00CB76A2" w:rsidRDefault="00ED20F0" w:rsidP="00ED20F0">
      <w:pPr>
        <w:pStyle w:val="LegalList1"/>
        <w:spacing w:line="360" w:lineRule="auto"/>
        <w:ind w:left="1571" w:hanging="720"/>
        <w:rPr>
          <w:rFonts w:ascii="Times New Roman" w:hAnsi="Times New Roman"/>
          <w:sz w:val="28"/>
          <w:szCs w:val="28"/>
        </w:rPr>
      </w:pPr>
      <w:r w:rsidRPr="00CB76A2">
        <w:rPr>
          <w:rFonts w:ascii="Times New Roman" w:hAnsi="Times New Roman"/>
          <w:sz w:val="28"/>
          <w:szCs w:val="28"/>
        </w:rPr>
        <w:t>(ii)</w:t>
      </w:r>
      <w:r w:rsidRPr="00CB76A2">
        <w:rPr>
          <w:rFonts w:ascii="Times New Roman" w:hAnsi="Times New Roman"/>
          <w:sz w:val="28"/>
          <w:szCs w:val="28"/>
        </w:rPr>
        <w:tab/>
      </w:r>
      <w:r w:rsidR="00CB76A2" w:rsidRPr="00CB76A2">
        <w:rPr>
          <w:rFonts w:ascii="Times New Roman" w:hAnsi="Times New Roman"/>
          <w:sz w:val="28"/>
          <w:szCs w:val="28"/>
        </w:rPr>
        <w:t>t</w:t>
      </w:r>
      <w:r w:rsidR="00250AE8" w:rsidRPr="00CB76A2">
        <w:rPr>
          <w:rFonts w:ascii="Times New Roman" w:hAnsi="Times New Roman"/>
          <w:sz w:val="28"/>
          <w:szCs w:val="28"/>
        </w:rPr>
        <w:t>hat it be paid</w:t>
      </w:r>
      <w:r w:rsidR="00773D64" w:rsidRPr="00CB76A2">
        <w:rPr>
          <w:rFonts w:ascii="Times New Roman" w:hAnsi="Times New Roman"/>
          <w:sz w:val="28"/>
          <w:szCs w:val="28"/>
        </w:rPr>
        <w:t xml:space="preserve"> the amount of R614 498.21 </w:t>
      </w:r>
      <w:r w:rsidR="00250AE8" w:rsidRPr="00CB76A2">
        <w:rPr>
          <w:rFonts w:ascii="Times New Roman" w:hAnsi="Times New Roman"/>
          <w:sz w:val="28"/>
          <w:szCs w:val="28"/>
        </w:rPr>
        <w:t xml:space="preserve">representing </w:t>
      </w:r>
      <w:proofErr w:type="gramStart"/>
      <w:r w:rsidR="004B4E5E" w:rsidRPr="00CB76A2">
        <w:rPr>
          <w:rFonts w:ascii="Times New Roman" w:hAnsi="Times New Roman"/>
          <w:sz w:val="28"/>
          <w:szCs w:val="28"/>
        </w:rPr>
        <w:t>short-payments</w:t>
      </w:r>
      <w:proofErr w:type="gramEnd"/>
      <w:r w:rsidR="00250AE8" w:rsidRPr="00CB76A2">
        <w:rPr>
          <w:rFonts w:ascii="Times New Roman" w:hAnsi="Times New Roman"/>
          <w:sz w:val="28"/>
          <w:szCs w:val="28"/>
        </w:rPr>
        <w:t xml:space="preserve"> for</w:t>
      </w:r>
      <w:r w:rsidR="00773D64" w:rsidRPr="00CB76A2">
        <w:rPr>
          <w:rFonts w:ascii="Times New Roman" w:hAnsi="Times New Roman"/>
          <w:sz w:val="28"/>
          <w:szCs w:val="28"/>
        </w:rPr>
        <w:t xml:space="preserve"> the period July 2019 to December 2019.</w:t>
      </w:r>
    </w:p>
    <w:p w14:paraId="5E212DB9" w14:textId="6BAFC46E" w:rsidR="00501841"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E11D1C">
        <w:rPr>
          <w:rFonts w:ascii="Times New Roman" w:hAnsi="Times New Roman"/>
          <w:sz w:val="28"/>
          <w:szCs w:val="28"/>
        </w:rPr>
        <w:t>The applicant is a registered close corporation. The deponent to its foundi</w:t>
      </w:r>
      <w:r w:rsidR="00063CF2">
        <w:rPr>
          <w:rFonts w:ascii="Times New Roman" w:hAnsi="Times New Roman"/>
          <w:sz w:val="28"/>
          <w:szCs w:val="28"/>
        </w:rPr>
        <w:t>ng affidavit is its sole member</w:t>
      </w:r>
      <w:r w:rsidR="004D46EA">
        <w:rPr>
          <w:rFonts w:ascii="Times New Roman" w:hAnsi="Times New Roman"/>
          <w:sz w:val="28"/>
          <w:szCs w:val="28"/>
        </w:rPr>
        <w:t>.</w:t>
      </w:r>
    </w:p>
    <w:p w14:paraId="39E3E8D3" w14:textId="5EA143B8" w:rsidR="004D46EA"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[14]</w:t>
      </w:r>
      <w:r>
        <w:rPr>
          <w:rFonts w:ascii="Times New Roman" w:hAnsi="Times New Roman"/>
          <w:sz w:val="28"/>
          <w:szCs w:val="28"/>
        </w:rPr>
        <w:tab/>
      </w:r>
      <w:r w:rsidR="005708B9">
        <w:rPr>
          <w:rFonts w:ascii="Times New Roman" w:hAnsi="Times New Roman"/>
          <w:sz w:val="28"/>
          <w:szCs w:val="28"/>
        </w:rPr>
        <w:t>The entire evidentiary basis on which the application is brought resides in the founding affidavit.</w:t>
      </w:r>
      <w:r w:rsidR="00C43D8B">
        <w:rPr>
          <w:rFonts w:ascii="Times New Roman" w:hAnsi="Times New Roman"/>
          <w:sz w:val="28"/>
          <w:szCs w:val="28"/>
        </w:rPr>
        <w:t xml:space="preserve"> </w:t>
      </w:r>
      <w:r w:rsidR="00063CF2">
        <w:rPr>
          <w:rFonts w:ascii="Times New Roman" w:hAnsi="Times New Roman"/>
          <w:sz w:val="28"/>
          <w:szCs w:val="28"/>
        </w:rPr>
        <w:t xml:space="preserve">It is alleged by the deponent that the applicant has complied with </w:t>
      </w:r>
      <w:r w:rsidR="00E96331">
        <w:rPr>
          <w:rFonts w:ascii="Times New Roman" w:hAnsi="Times New Roman"/>
          <w:sz w:val="28"/>
          <w:szCs w:val="28"/>
        </w:rPr>
        <w:t>its obligations under</w:t>
      </w:r>
      <w:r w:rsidR="00063CF2">
        <w:rPr>
          <w:rFonts w:ascii="Times New Roman" w:hAnsi="Times New Roman"/>
          <w:sz w:val="28"/>
          <w:szCs w:val="28"/>
        </w:rPr>
        <w:t xml:space="preserve"> the agreement</w:t>
      </w:r>
      <w:r w:rsidR="00910F3E">
        <w:rPr>
          <w:rFonts w:ascii="Times New Roman" w:hAnsi="Times New Roman"/>
          <w:sz w:val="28"/>
          <w:szCs w:val="28"/>
        </w:rPr>
        <w:t>.</w:t>
      </w:r>
    </w:p>
    <w:p w14:paraId="7767BF97" w14:textId="26B0906C" w:rsidR="00867A0E"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910F3E">
        <w:rPr>
          <w:rFonts w:ascii="Times New Roman" w:hAnsi="Times New Roman"/>
          <w:sz w:val="28"/>
          <w:szCs w:val="28"/>
        </w:rPr>
        <w:t xml:space="preserve">Of </w:t>
      </w:r>
      <w:r w:rsidR="00C43D8B">
        <w:rPr>
          <w:rFonts w:ascii="Times New Roman" w:hAnsi="Times New Roman"/>
          <w:sz w:val="28"/>
          <w:szCs w:val="28"/>
        </w:rPr>
        <w:t>relevance to the applicant’s specific claims are the following averments:</w:t>
      </w:r>
    </w:p>
    <w:p w14:paraId="622DF4FF" w14:textId="77777777" w:rsidR="00C43D8B" w:rsidRPr="00D74F09" w:rsidRDefault="00363425" w:rsidP="00C82DB6">
      <w:pPr>
        <w:pStyle w:val="LegalList1"/>
        <w:spacing w:line="360" w:lineRule="auto"/>
        <w:ind w:left="1440" w:hanging="589"/>
        <w:rPr>
          <w:rFonts w:ascii="Times New Roman" w:hAnsi="Times New Roman"/>
        </w:rPr>
      </w:pPr>
      <w:r>
        <w:rPr>
          <w:rFonts w:ascii="Times New Roman" w:hAnsi="Times New Roman"/>
        </w:rPr>
        <w:t>‘</w:t>
      </w:r>
      <w:r w:rsidR="00C82DB6" w:rsidRPr="00D74F09">
        <w:rPr>
          <w:rFonts w:ascii="Times New Roman" w:hAnsi="Times New Roman"/>
        </w:rPr>
        <w:t>11</w:t>
      </w:r>
      <w:r>
        <w:rPr>
          <w:rFonts w:ascii="Times New Roman" w:hAnsi="Times New Roman"/>
        </w:rPr>
        <w:t>.</w:t>
      </w:r>
      <w:r w:rsidR="00C82DB6" w:rsidRPr="00D74F09">
        <w:rPr>
          <w:rFonts w:ascii="Times New Roman" w:hAnsi="Times New Roman"/>
        </w:rPr>
        <w:tab/>
      </w:r>
      <w:r w:rsidR="00C43D8B" w:rsidRPr="00D74F09">
        <w:rPr>
          <w:rFonts w:ascii="Times New Roman" w:hAnsi="Times New Roman"/>
        </w:rPr>
        <w:t>During the month of January 2018</w:t>
      </w:r>
      <w:r w:rsidR="00926D88" w:rsidRPr="00D74F09">
        <w:rPr>
          <w:rFonts w:ascii="Times New Roman" w:hAnsi="Times New Roman"/>
        </w:rPr>
        <w:t>, [</w:t>
      </w:r>
      <w:proofErr w:type="spellStart"/>
      <w:r w:rsidR="004F0485">
        <w:rPr>
          <w:rFonts w:ascii="Times New Roman" w:hAnsi="Times New Roman"/>
        </w:rPr>
        <w:t>Mapasakraal</w:t>
      </w:r>
      <w:proofErr w:type="spellEnd"/>
      <w:r w:rsidR="00926D88" w:rsidRPr="00D74F09">
        <w:rPr>
          <w:rFonts w:ascii="Times New Roman" w:hAnsi="Times New Roman"/>
        </w:rPr>
        <w:t xml:space="preserve">] was closed and its learners were moved to </w:t>
      </w:r>
      <w:proofErr w:type="spellStart"/>
      <w:r w:rsidR="00926D88" w:rsidRPr="00D74F09">
        <w:rPr>
          <w:rFonts w:ascii="Times New Roman" w:hAnsi="Times New Roman"/>
        </w:rPr>
        <w:t>Nonesi</w:t>
      </w:r>
      <w:proofErr w:type="spellEnd"/>
      <w:r w:rsidR="00926D88" w:rsidRPr="00D74F09">
        <w:rPr>
          <w:rFonts w:ascii="Times New Roman" w:hAnsi="Times New Roman"/>
        </w:rPr>
        <w:t xml:space="preserve"> Primary School. The effect of this change was a phenomenal increase on the kilometres travelled from the pickup points to the school</w:t>
      </w:r>
      <w:r w:rsidR="001D3B2F" w:rsidRPr="00D74F09">
        <w:rPr>
          <w:rFonts w:ascii="Times New Roman" w:hAnsi="Times New Roman"/>
        </w:rPr>
        <w:t>. A letter of confirmation by the District Director of [the] Eastern Cape Department of Education is attached as KM4.</w:t>
      </w:r>
    </w:p>
    <w:p w14:paraId="181CBF45" w14:textId="77777777" w:rsidR="001D3B2F" w:rsidRPr="00D74F09" w:rsidRDefault="00C82DB6" w:rsidP="00C82DB6">
      <w:pPr>
        <w:pStyle w:val="LegalList1"/>
        <w:spacing w:line="360" w:lineRule="auto"/>
        <w:ind w:left="1440" w:hanging="589"/>
        <w:rPr>
          <w:rFonts w:ascii="Times New Roman" w:hAnsi="Times New Roman"/>
        </w:rPr>
      </w:pPr>
      <w:r w:rsidRPr="00D74F09">
        <w:rPr>
          <w:rFonts w:ascii="Times New Roman" w:hAnsi="Times New Roman"/>
        </w:rPr>
        <w:t>12</w:t>
      </w:r>
      <w:r w:rsidR="00363425">
        <w:rPr>
          <w:rFonts w:ascii="Times New Roman" w:hAnsi="Times New Roman"/>
        </w:rPr>
        <w:t>.</w:t>
      </w:r>
      <w:r w:rsidRPr="00D74F09">
        <w:rPr>
          <w:rFonts w:ascii="Times New Roman" w:hAnsi="Times New Roman"/>
        </w:rPr>
        <w:tab/>
      </w:r>
      <w:r w:rsidR="009E0C51" w:rsidRPr="00D74F09">
        <w:rPr>
          <w:rFonts w:ascii="Times New Roman" w:hAnsi="Times New Roman"/>
        </w:rPr>
        <w:t xml:space="preserve">Despite the increased travelling distance, the Respondent did not adjust the contracted kilometres in respect of the scheduled trips. As a result of this non-adjustment of contracted kilometres, the applicant was under paid </w:t>
      </w:r>
      <w:r w:rsidR="00453885" w:rsidRPr="00D74F09">
        <w:rPr>
          <w:rFonts w:ascii="Times New Roman" w:hAnsi="Times New Roman"/>
        </w:rPr>
        <w:t>in the amount of R1 217 752.24.</w:t>
      </w:r>
    </w:p>
    <w:p w14:paraId="21E26B5F" w14:textId="77777777" w:rsidR="00453885" w:rsidRPr="00D74F09" w:rsidRDefault="00C82DB6" w:rsidP="00C82DB6">
      <w:pPr>
        <w:pStyle w:val="LegalList1"/>
        <w:spacing w:line="360" w:lineRule="auto"/>
        <w:ind w:left="1440" w:hanging="589"/>
        <w:rPr>
          <w:rFonts w:ascii="Times New Roman" w:hAnsi="Times New Roman"/>
        </w:rPr>
      </w:pPr>
      <w:r w:rsidRPr="00D74F09">
        <w:rPr>
          <w:rFonts w:ascii="Times New Roman" w:hAnsi="Times New Roman"/>
        </w:rPr>
        <w:t>13</w:t>
      </w:r>
      <w:r w:rsidR="00363425">
        <w:rPr>
          <w:rFonts w:ascii="Times New Roman" w:hAnsi="Times New Roman"/>
        </w:rPr>
        <w:t>.</w:t>
      </w:r>
      <w:r w:rsidRPr="00D74F09">
        <w:rPr>
          <w:rFonts w:ascii="Times New Roman" w:hAnsi="Times New Roman"/>
        </w:rPr>
        <w:tab/>
      </w:r>
      <w:r w:rsidR="00453885" w:rsidRPr="00D74F09">
        <w:rPr>
          <w:rFonts w:ascii="Times New Roman" w:hAnsi="Times New Roman"/>
        </w:rPr>
        <w:t>During the month of July 2019 up to December 2019 the Applicant was short paid, as a result thereof the applicant is short paid by an amount of R614 498.21 which is due and payable by the Respondent</w:t>
      </w:r>
      <w:r w:rsidR="00C20C11" w:rsidRPr="00D74F09">
        <w:rPr>
          <w:rFonts w:ascii="Times New Roman" w:hAnsi="Times New Roman"/>
        </w:rPr>
        <w:t>.</w:t>
      </w:r>
    </w:p>
    <w:p w14:paraId="063DE2EC" w14:textId="77777777" w:rsidR="00C20C11" w:rsidRPr="00D74F09" w:rsidRDefault="00C82DB6" w:rsidP="00D74F09">
      <w:pPr>
        <w:pStyle w:val="LegalList1"/>
        <w:spacing w:line="360" w:lineRule="auto"/>
        <w:ind w:left="1440" w:hanging="589"/>
        <w:rPr>
          <w:rFonts w:ascii="Times New Roman" w:hAnsi="Times New Roman"/>
        </w:rPr>
      </w:pPr>
      <w:r w:rsidRPr="00D74F09">
        <w:rPr>
          <w:rFonts w:ascii="Times New Roman" w:hAnsi="Times New Roman"/>
        </w:rPr>
        <w:t>14</w:t>
      </w:r>
      <w:r w:rsidR="00363425">
        <w:rPr>
          <w:rFonts w:ascii="Times New Roman" w:hAnsi="Times New Roman"/>
        </w:rPr>
        <w:t>.</w:t>
      </w:r>
      <w:r w:rsidRPr="00D74F09">
        <w:rPr>
          <w:rFonts w:ascii="Times New Roman" w:hAnsi="Times New Roman"/>
        </w:rPr>
        <w:tab/>
      </w:r>
      <w:r w:rsidR="00C20C11" w:rsidRPr="00D74F09">
        <w:rPr>
          <w:rFonts w:ascii="Times New Roman" w:hAnsi="Times New Roman"/>
        </w:rPr>
        <w:t xml:space="preserve">I have on numerous occasions approached relevant officials of [the department] in want of having this inaccurate payment of Applicant’s claims rectified. However, my pleas and cajoling have yielded </w:t>
      </w:r>
      <w:r w:rsidR="007063D9" w:rsidRPr="00D74F09">
        <w:rPr>
          <w:rFonts w:ascii="Times New Roman" w:hAnsi="Times New Roman"/>
        </w:rPr>
        <w:t xml:space="preserve">to </w:t>
      </w:r>
      <w:r w:rsidR="00C20C11" w:rsidRPr="00D74F09">
        <w:rPr>
          <w:rFonts w:ascii="Times New Roman" w:hAnsi="Times New Roman"/>
        </w:rPr>
        <w:t>nought</w:t>
      </w:r>
      <w:r w:rsidR="007063D9" w:rsidRPr="00D74F09">
        <w:rPr>
          <w:rFonts w:ascii="Times New Roman" w:hAnsi="Times New Roman"/>
        </w:rPr>
        <w:t>. I am therefore left with no option but to approach this court for relief</w:t>
      </w:r>
      <w:r w:rsidRPr="00D74F09">
        <w:rPr>
          <w:rFonts w:ascii="Times New Roman" w:hAnsi="Times New Roman"/>
        </w:rPr>
        <w:t xml:space="preserve"> …’</w:t>
      </w:r>
    </w:p>
    <w:p w14:paraId="0F372F2F" w14:textId="136BB94E" w:rsidR="00867A0E" w:rsidRPr="00CF6596" w:rsidRDefault="00ED20F0" w:rsidP="00ED20F0">
      <w:pPr>
        <w:pStyle w:val="LegalList1"/>
        <w:spacing w:line="360" w:lineRule="auto"/>
        <w:ind w:left="851" w:hanging="851"/>
        <w:rPr>
          <w:rFonts w:ascii="Times New Roman" w:hAnsi="Times New Roman"/>
          <w:sz w:val="28"/>
          <w:szCs w:val="28"/>
        </w:rPr>
      </w:pPr>
      <w:r w:rsidRPr="00CF6596">
        <w:rPr>
          <w:rFonts w:ascii="Times New Roman" w:hAnsi="Times New Roman"/>
          <w:sz w:val="28"/>
          <w:szCs w:val="28"/>
        </w:rPr>
        <w:t>[16]</w:t>
      </w:r>
      <w:r w:rsidRPr="00CF6596">
        <w:rPr>
          <w:rFonts w:ascii="Times New Roman" w:hAnsi="Times New Roman"/>
          <w:sz w:val="28"/>
          <w:szCs w:val="28"/>
        </w:rPr>
        <w:tab/>
      </w:r>
      <w:r w:rsidR="00923DC8" w:rsidRPr="00CF6596">
        <w:rPr>
          <w:rFonts w:ascii="Times New Roman" w:hAnsi="Times New Roman"/>
          <w:sz w:val="28"/>
          <w:szCs w:val="28"/>
        </w:rPr>
        <w:t xml:space="preserve">Leaving aside for a moment the respondent’s answer to these averments, it is </w:t>
      </w:r>
      <w:r w:rsidR="00A53F35" w:rsidRPr="00CF6596">
        <w:rPr>
          <w:rFonts w:ascii="Times New Roman" w:hAnsi="Times New Roman"/>
          <w:sz w:val="28"/>
          <w:szCs w:val="28"/>
        </w:rPr>
        <w:t>not</w:t>
      </w:r>
      <w:r w:rsidR="00923DC8" w:rsidRPr="00CF6596">
        <w:rPr>
          <w:rFonts w:ascii="Times New Roman" w:hAnsi="Times New Roman"/>
          <w:sz w:val="28"/>
          <w:szCs w:val="28"/>
        </w:rPr>
        <w:t xml:space="preserve"> apparent from the content of these extracts </w:t>
      </w:r>
      <w:r w:rsidR="007056AA" w:rsidRPr="00CF6596">
        <w:rPr>
          <w:rFonts w:ascii="Times New Roman" w:hAnsi="Times New Roman"/>
          <w:i/>
          <w:sz w:val="28"/>
          <w:szCs w:val="28"/>
        </w:rPr>
        <w:t xml:space="preserve">per se </w:t>
      </w:r>
      <w:r w:rsidR="00923DC8" w:rsidRPr="00CF6596">
        <w:rPr>
          <w:rFonts w:ascii="Times New Roman" w:hAnsi="Times New Roman"/>
          <w:sz w:val="28"/>
          <w:szCs w:val="28"/>
        </w:rPr>
        <w:t>how the applicant has computed</w:t>
      </w:r>
      <w:r w:rsidR="00776A17" w:rsidRPr="00CF6596">
        <w:rPr>
          <w:rFonts w:ascii="Times New Roman" w:hAnsi="Times New Roman"/>
          <w:sz w:val="28"/>
          <w:szCs w:val="28"/>
        </w:rPr>
        <w:t xml:space="preserve"> the respective amounts</w:t>
      </w:r>
      <w:r w:rsidR="00E80063" w:rsidRPr="00CF6596">
        <w:rPr>
          <w:rFonts w:ascii="Times New Roman" w:hAnsi="Times New Roman"/>
          <w:sz w:val="28"/>
          <w:szCs w:val="28"/>
        </w:rPr>
        <w:t xml:space="preserve">, nor from the </w:t>
      </w:r>
      <w:r w:rsidR="00A31AF0" w:rsidRPr="00CF6596">
        <w:rPr>
          <w:rFonts w:ascii="Times New Roman" w:hAnsi="Times New Roman"/>
          <w:sz w:val="28"/>
          <w:szCs w:val="28"/>
        </w:rPr>
        <w:t xml:space="preserve">complement of </w:t>
      </w:r>
      <w:r w:rsidR="00E80063" w:rsidRPr="00CF6596">
        <w:rPr>
          <w:rFonts w:ascii="Times New Roman" w:hAnsi="Times New Roman"/>
          <w:sz w:val="28"/>
          <w:szCs w:val="28"/>
        </w:rPr>
        <w:t xml:space="preserve">annexures mentioned </w:t>
      </w:r>
      <w:r w:rsidR="00A31AF0" w:rsidRPr="00CF6596">
        <w:rPr>
          <w:rFonts w:ascii="Times New Roman" w:hAnsi="Times New Roman"/>
          <w:sz w:val="28"/>
          <w:szCs w:val="28"/>
        </w:rPr>
        <w:t xml:space="preserve">and attached to the founding affidavit </w:t>
      </w:r>
      <w:r w:rsidR="007056AA" w:rsidRPr="00CF6596">
        <w:rPr>
          <w:rFonts w:ascii="Times New Roman" w:hAnsi="Times New Roman"/>
          <w:sz w:val="28"/>
          <w:szCs w:val="28"/>
        </w:rPr>
        <w:t xml:space="preserve">– which </w:t>
      </w:r>
      <w:r w:rsidR="00E80063" w:rsidRPr="00CF6596">
        <w:rPr>
          <w:rFonts w:ascii="Times New Roman" w:hAnsi="Times New Roman"/>
          <w:sz w:val="28"/>
          <w:szCs w:val="28"/>
        </w:rPr>
        <w:t xml:space="preserve">in any event are by themselves deficient for want of inclusion of </w:t>
      </w:r>
      <w:r w:rsidR="00276556" w:rsidRPr="00CF6596">
        <w:rPr>
          <w:rFonts w:ascii="Times New Roman" w:hAnsi="Times New Roman"/>
          <w:sz w:val="28"/>
          <w:szCs w:val="28"/>
        </w:rPr>
        <w:t xml:space="preserve">the </w:t>
      </w:r>
      <w:r w:rsidR="00E80063" w:rsidRPr="00CF6596">
        <w:rPr>
          <w:rFonts w:ascii="Times New Roman" w:hAnsi="Times New Roman"/>
          <w:sz w:val="28"/>
          <w:szCs w:val="28"/>
        </w:rPr>
        <w:t xml:space="preserve">additional documentation </w:t>
      </w:r>
      <w:r w:rsidR="00CF6596" w:rsidRPr="00CF6596">
        <w:rPr>
          <w:rFonts w:ascii="Times New Roman" w:hAnsi="Times New Roman"/>
          <w:sz w:val="28"/>
          <w:szCs w:val="28"/>
        </w:rPr>
        <w:t xml:space="preserve">specifically </w:t>
      </w:r>
      <w:r w:rsidR="00E80063" w:rsidRPr="00CF6596">
        <w:rPr>
          <w:rFonts w:ascii="Times New Roman" w:hAnsi="Times New Roman"/>
          <w:sz w:val="28"/>
          <w:szCs w:val="28"/>
        </w:rPr>
        <w:t xml:space="preserve">mentioned </w:t>
      </w:r>
      <w:r w:rsidR="00CF6596" w:rsidRPr="00CF6596">
        <w:rPr>
          <w:rFonts w:ascii="Times New Roman" w:hAnsi="Times New Roman"/>
          <w:sz w:val="28"/>
          <w:szCs w:val="28"/>
        </w:rPr>
        <w:t>in the annexures</w:t>
      </w:r>
      <w:r w:rsidR="00E80063" w:rsidRPr="00CF6596">
        <w:rPr>
          <w:rFonts w:ascii="Times New Roman" w:hAnsi="Times New Roman"/>
          <w:sz w:val="28"/>
          <w:szCs w:val="28"/>
        </w:rPr>
        <w:t>.</w:t>
      </w:r>
      <w:r w:rsidR="00363425" w:rsidRPr="00CF6596">
        <w:rPr>
          <w:rFonts w:ascii="Times New Roman" w:hAnsi="Times New Roman"/>
          <w:sz w:val="28"/>
          <w:szCs w:val="28"/>
        </w:rPr>
        <w:t xml:space="preserve"> </w:t>
      </w:r>
      <w:r w:rsidR="00D417D4" w:rsidRPr="00CF6596">
        <w:rPr>
          <w:rFonts w:ascii="Times New Roman" w:hAnsi="Times New Roman"/>
          <w:sz w:val="28"/>
          <w:szCs w:val="28"/>
        </w:rPr>
        <w:t xml:space="preserve">The </w:t>
      </w:r>
      <w:r w:rsidR="00D417D4" w:rsidRPr="00CF6596">
        <w:rPr>
          <w:rFonts w:ascii="Times New Roman" w:hAnsi="Times New Roman"/>
          <w:sz w:val="28"/>
          <w:szCs w:val="28"/>
        </w:rPr>
        <w:lastRenderedPageBreak/>
        <w:t xml:space="preserve">assertion of a ‘phenomenal increase’ in kilometres travelled </w:t>
      </w:r>
      <w:r w:rsidR="00E4544B" w:rsidRPr="00CF6596">
        <w:rPr>
          <w:rFonts w:ascii="Times New Roman" w:hAnsi="Times New Roman"/>
          <w:sz w:val="28"/>
          <w:szCs w:val="28"/>
        </w:rPr>
        <w:t>is not borne by a meaning</w:t>
      </w:r>
      <w:r w:rsidR="003806CB" w:rsidRPr="00CF6596">
        <w:rPr>
          <w:rFonts w:ascii="Times New Roman" w:hAnsi="Times New Roman"/>
          <w:sz w:val="28"/>
          <w:szCs w:val="28"/>
        </w:rPr>
        <w:t xml:space="preserve">ful </w:t>
      </w:r>
      <w:r w:rsidR="00E4544B" w:rsidRPr="00CF6596">
        <w:rPr>
          <w:rFonts w:ascii="Times New Roman" w:hAnsi="Times New Roman"/>
          <w:sz w:val="28"/>
          <w:szCs w:val="28"/>
        </w:rPr>
        <w:t xml:space="preserve">formula </w:t>
      </w:r>
      <w:r w:rsidR="003806CB" w:rsidRPr="00CF6596">
        <w:rPr>
          <w:rFonts w:ascii="Times New Roman" w:hAnsi="Times New Roman"/>
          <w:sz w:val="28"/>
          <w:szCs w:val="28"/>
        </w:rPr>
        <w:t xml:space="preserve">or explanation </w:t>
      </w:r>
      <w:r w:rsidR="00E4544B" w:rsidRPr="00CF6596">
        <w:rPr>
          <w:rFonts w:ascii="Times New Roman" w:hAnsi="Times New Roman"/>
          <w:sz w:val="28"/>
          <w:szCs w:val="28"/>
        </w:rPr>
        <w:t xml:space="preserve">from which a readily quantifiable </w:t>
      </w:r>
      <w:r w:rsidR="007056AA" w:rsidRPr="00CF6596">
        <w:rPr>
          <w:rFonts w:ascii="Times New Roman" w:hAnsi="Times New Roman"/>
          <w:sz w:val="28"/>
          <w:szCs w:val="28"/>
        </w:rPr>
        <w:t xml:space="preserve">arithmetical </w:t>
      </w:r>
      <w:r w:rsidR="00E4544B" w:rsidRPr="00CF6596">
        <w:rPr>
          <w:rFonts w:ascii="Times New Roman" w:hAnsi="Times New Roman"/>
          <w:sz w:val="28"/>
          <w:szCs w:val="28"/>
        </w:rPr>
        <w:t>deduction may be made to arrive at the respective amounts claimed</w:t>
      </w:r>
      <w:r w:rsidR="001C0A3E" w:rsidRPr="00CF6596">
        <w:rPr>
          <w:rFonts w:ascii="Times New Roman" w:hAnsi="Times New Roman"/>
          <w:sz w:val="28"/>
          <w:szCs w:val="28"/>
        </w:rPr>
        <w:t xml:space="preserve">, much less does the asserted compliance with obligations under the agreement clarify the quantification conundrum. </w:t>
      </w:r>
      <w:r w:rsidR="00010B22" w:rsidRPr="00CF6596">
        <w:rPr>
          <w:rFonts w:ascii="Times New Roman" w:hAnsi="Times New Roman"/>
          <w:sz w:val="28"/>
          <w:szCs w:val="28"/>
        </w:rPr>
        <w:t xml:space="preserve">With these limitations in the founding affidavit, </w:t>
      </w:r>
      <w:r w:rsidR="00CF6596">
        <w:rPr>
          <w:rFonts w:ascii="Times New Roman" w:hAnsi="Times New Roman"/>
          <w:sz w:val="28"/>
          <w:szCs w:val="28"/>
        </w:rPr>
        <w:t xml:space="preserve">nothing </w:t>
      </w:r>
      <w:r w:rsidR="00363425" w:rsidRPr="00CF6596">
        <w:rPr>
          <w:rFonts w:ascii="Times New Roman" w:hAnsi="Times New Roman"/>
          <w:sz w:val="28"/>
          <w:szCs w:val="28"/>
        </w:rPr>
        <w:t xml:space="preserve">further needs </w:t>
      </w:r>
      <w:r w:rsidR="004B6263" w:rsidRPr="00CF6596">
        <w:rPr>
          <w:rFonts w:ascii="Times New Roman" w:hAnsi="Times New Roman"/>
          <w:sz w:val="28"/>
          <w:szCs w:val="28"/>
        </w:rPr>
        <w:t xml:space="preserve">to </w:t>
      </w:r>
      <w:r w:rsidR="00363425" w:rsidRPr="00CF6596">
        <w:rPr>
          <w:rFonts w:ascii="Times New Roman" w:hAnsi="Times New Roman"/>
          <w:sz w:val="28"/>
          <w:szCs w:val="28"/>
        </w:rPr>
        <w:t xml:space="preserve">be said other than to </w:t>
      </w:r>
      <w:r w:rsidR="004B6263" w:rsidRPr="00CF6596">
        <w:rPr>
          <w:rFonts w:ascii="Times New Roman" w:hAnsi="Times New Roman"/>
          <w:sz w:val="28"/>
          <w:szCs w:val="28"/>
        </w:rPr>
        <w:t xml:space="preserve">reiterate the legal prescripts </w:t>
      </w:r>
      <w:r w:rsidR="00681C81">
        <w:rPr>
          <w:rFonts w:ascii="Times New Roman" w:hAnsi="Times New Roman"/>
          <w:sz w:val="28"/>
          <w:szCs w:val="28"/>
        </w:rPr>
        <w:t xml:space="preserve">set out </w:t>
      </w:r>
      <w:r w:rsidR="00CF6596">
        <w:rPr>
          <w:rFonts w:ascii="Times New Roman" w:hAnsi="Times New Roman"/>
          <w:sz w:val="28"/>
          <w:szCs w:val="28"/>
        </w:rPr>
        <w:t xml:space="preserve">at the </w:t>
      </w:r>
      <w:r w:rsidR="004B6263" w:rsidRPr="00CF6596">
        <w:rPr>
          <w:rFonts w:ascii="Times New Roman" w:hAnsi="Times New Roman"/>
          <w:sz w:val="28"/>
          <w:szCs w:val="28"/>
        </w:rPr>
        <w:t>commenc</w:t>
      </w:r>
      <w:r w:rsidR="00CF6596">
        <w:rPr>
          <w:rFonts w:ascii="Times New Roman" w:hAnsi="Times New Roman"/>
          <w:sz w:val="28"/>
          <w:szCs w:val="28"/>
        </w:rPr>
        <w:t>eme</w:t>
      </w:r>
      <w:r w:rsidR="00681C81">
        <w:rPr>
          <w:rFonts w:ascii="Times New Roman" w:hAnsi="Times New Roman"/>
          <w:sz w:val="28"/>
          <w:szCs w:val="28"/>
        </w:rPr>
        <w:t>n</w:t>
      </w:r>
      <w:r w:rsidR="00CF6596">
        <w:rPr>
          <w:rFonts w:ascii="Times New Roman" w:hAnsi="Times New Roman"/>
          <w:sz w:val="28"/>
          <w:szCs w:val="28"/>
        </w:rPr>
        <w:t>t of</w:t>
      </w:r>
      <w:r w:rsidR="004B6263" w:rsidRPr="00CF6596">
        <w:rPr>
          <w:rFonts w:ascii="Times New Roman" w:hAnsi="Times New Roman"/>
          <w:sz w:val="28"/>
          <w:szCs w:val="28"/>
        </w:rPr>
        <w:t xml:space="preserve"> this judgment.</w:t>
      </w:r>
    </w:p>
    <w:p w14:paraId="5319E16F" w14:textId="58ECE721" w:rsidR="0056301B"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6A75C1" w:rsidRPr="0056301B">
        <w:rPr>
          <w:rFonts w:ascii="Times New Roman" w:hAnsi="Times New Roman"/>
          <w:sz w:val="28"/>
          <w:szCs w:val="28"/>
        </w:rPr>
        <w:t>In answer</w:t>
      </w:r>
      <w:r w:rsidR="0056301B" w:rsidRPr="0056301B">
        <w:rPr>
          <w:rFonts w:ascii="Times New Roman" w:hAnsi="Times New Roman"/>
          <w:sz w:val="28"/>
          <w:szCs w:val="28"/>
        </w:rPr>
        <w:t>,</w:t>
      </w:r>
      <w:r w:rsidR="0056301B">
        <w:rPr>
          <w:rFonts w:ascii="Times New Roman" w:hAnsi="Times New Roman"/>
          <w:sz w:val="28"/>
          <w:szCs w:val="28"/>
        </w:rPr>
        <w:t xml:space="preserve"> t</w:t>
      </w:r>
      <w:r w:rsidR="00891CC3" w:rsidRPr="0056301B">
        <w:rPr>
          <w:rFonts w:ascii="Times New Roman" w:hAnsi="Times New Roman"/>
          <w:sz w:val="28"/>
          <w:szCs w:val="28"/>
        </w:rPr>
        <w:t>he respondent denies that the amount of R1 217 752.24</w:t>
      </w:r>
      <w:r w:rsidR="00F1731B" w:rsidRPr="0056301B">
        <w:rPr>
          <w:rFonts w:ascii="Times New Roman" w:hAnsi="Times New Roman"/>
          <w:sz w:val="28"/>
          <w:szCs w:val="28"/>
        </w:rPr>
        <w:t xml:space="preserve"> is owed to the applicant</w:t>
      </w:r>
      <w:r w:rsidR="008239C8" w:rsidRPr="0056301B">
        <w:rPr>
          <w:rFonts w:ascii="Times New Roman" w:hAnsi="Times New Roman"/>
          <w:sz w:val="28"/>
          <w:szCs w:val="28"/>
        </w:rPr>
        <w:t xml:space="preserve"> </w:t>
      </w:r>
      <w:proofErr w:type="gramStart"/>
      <w:r w:rsidR="00341BE1" w:rsidRPr="0056301B">
        <w:rPr>
          <w:rFonts w:ascii="Times New Roman" w:hAnsi="Times New Roman"/>
          <w:sz w:val="28"/>
          <w:szCs w:val="28"/>
        </w:rPr>
        <w:t>for the reason that</w:t>
      </w:r>
      <w:proofErr w:type="gramEnd"/>
      <w:r w:rsidR="00341BE1" w:rsidRPr="0056301B">
        <w:rPr>
          <w:rFonts w:ascii="Times New Roman" w:hAnsi="Times New Roman"/>
          <w:sz w:val="28"/>
          <w:szCs w:val="28"/>
        </w:rPr>
        <w:t xml:space="preserve"> </w:t>
      </w:r>
      <w:r w:rsidR="008239C8" w:rsidRPr="0056301B">
        <w:rPr>
          <w:rFonts w:ascii="Times New Roman" w:hAnsi="Times New Roman"/>
          <w:sz w:val="28"/>
          <w:szCs w:val="28"/>
        </w:rPr>
        <w:t xml:space="preserve">the applicant has failed to </w:t>
      </w:r>
      <w:r w:rsidR="001C7FBA" w:rsidRPr="0056301B">
        <w:rPr>
          <w:rFonts w:ascii="Times New Roman" w:hAnsi="Times New Roman"/>
          <w:sz w:val="28"/>
          <w:szCs w:val="28"/>
        </w:rPr>
        <w:t>include supporting documentation in its founding p</w:t>
      </w:r>
      <w:r w:rsidR="0056301B">
        <w:rPr>
          <w:rFonts w:ascii="Times New Roman" w:hAnsi="Times New Roman"/>
          <w:sz w:val="28"/>
          <w:szCs w:val="28"/>
        </w:rPr>
        <w:t>apers clearly indicating how that</w:t>
      </w:r>
      <w:r w:rsidR="001C7FBA" w:rsidRPr="0056301B">
        <w:rPr>
          <w:rFonts w:ascii="Times New Roman" w:hAnsi="Times New Roman"/>
          <w:sz w:val="28"/>
          <w:szCs w:val="28"/>
        </w:rPr>
        <w:t xml:space="preserve"> amount is calculated</w:t>
      </w:r>
      <w:r w:rsidR="00F1731B" w:rsidRPr="0056301B">
        <w:rPr>
          <w:rFonts w:ascii="Times New Roman" w:hAnsi="Times New Roman"/>
          <w:sz w:val="28"/>
          <w:szCs w:val="28"/>
        </w:rPr>
        <w:t>.</w:t>
      </w:r>
      <w:r w:rsidR="0056301B" w:rsidRPr="0056301B">
        <w:rPr>
          <w:rFonts w:ascii="Times New Roman" w:hAnsi="Times New Roman"/>
          <w:sz w:val="28"/>
          <w:szCs w:val="28"/>
        </w:rPr>
        <w:t xml:space="preserve"> In respect of the claim for R614 498.21 the respondent disputes that the applicant rendered transportation services for the period August 2019 to December 2019 and further disputes that the applicant submitted invoices for that period.</w:t>
      </w:r>
      <w:r w:rsidR="00010B22">
        <w:rPr>
          <w:rFonts w:ascii="Times New Roman" w:hAnsi="Times New Roman"/>
          <w:sz w:val="28"/>
          <w:szCs w:val="28"/>
        </w:rPr>
        <w:t xml:space="preserve"> In the instance of either claim,</w:t>
      </w:r>
      <w:r w:rsidR="00010B22" w:rsidRPr="00010B22">
        <w:rPr>
          <w:rFonts w:ascii="Times New Roman" w:hAnsi="Times New Roman"/>
          <w:sz w:val="28"/>
          <w:szCs w:val="28"/>
        </w:rPr>
        <w:t xml:space="preserve"> </w:t>
      </w:r>
      <w:r w:rsidR="00010B22">
        <w:rPr>
          <w:rFonts w:ascii="Times New Roman" w:hAnsi="Times New Roman"/>
          <w:sz w:val="28"/>
          <w:szCs w:val="28"/>
        </w:rPr>
        <w:t>there is accordingly weighty justification in the respondent’s contention that the applicant’s appointment did not contain a contract amount as the applicant was to be paid according to kilometres travelled.</w:t>
      </w:r>
      <w:r w:rsidR="004F0485">
        <w:rPr>
          <w:rFonts w:ascii="Times New Roman" w:hAnsi="Times New Roman"/>
          <w:sz w:val="28"/>
          <w:szCs w:val="28"/>
        </w:rPr>
        <w:t xml:space="preserve"> This underscores the necessity </w:t>
      </w:r>
      <w:r w:rsidR="002049DB">
        <w:rPr>
          <w:rFonts w:ascii="Times New Roman" w:hAnsi="Times New Roman"/>
          <w:sz w:val="28"/>
          <w:szCs w:val="28"/>
        </w:rPr>
        <w:t xml:space="preserve">for the applicant to have </w:t>
      </w:r>
      <w:r w:rsidR="00C75258">
        <w:rPr>
          <w:rFonts w:ascii="Times New Roman" w:hAnsi="Times New Roman"/>
          <w:sz w:val="28"/>
          <w:szCs w:val="28"/>
        </w:rPr>
        <w:t xml:space="preserve">arithmetically </w:t>
      </w:r>
      <w:r w:rsidR="004F0485">
        <w:rPr>
          <w:rFonts w:ascii="Times New Roman" w:hAnsi="Times New Roman"/>
          <w:sz w:val="28"/>
          <w:szCs w:val="28"/>
        </w:rPr>
        <w:t>factor</w:t>
      </w:r>
      <w:r w:rsidR="002049DB">
        <w:rPr>
          <w:rFonts w:ascii="Times New Roman" w:hAnsi="Times New Roman"/>
          <w:sz w:val="28"/>
          <w:szCs w:val="28"/>
        </w:rPr>
        <w:t>ed</w:t>
      </w:r>
      <w:r w:rsidR="005D0D00">
        <w:rPr>
          <w:rFonts w:ascii="Times New Roman" w:hAnsi="Times New Roman"/>
          <w:sz w:val="28"/>
          <w:szCs w:val="28"/>
        </w:rPr>
        <w:t xml:space="preserve"> the distance component in whatever formula </w:t>
      </w:r>
      <w:r w:rsidR="002049DB">
        <w:rPr>
          <w:rFonts w:ascii="Times New Roman" w:hAnsi="Times New Roman"/>
          <w:sz w:val="28"/>
          <w:szCs w:val="28"/>
        </w:rPr>
        <w:t>it</w:t>
      </w:r>
      <w:r w:rsidR="005D0D00">
        <w:rPr>
          <w:rFonts w:ascii="Times New Roman" w:hAnsi="Times New Roman"/>
          <w:sz w:val="28"/>
          <w:szCs w:val="28"/>
        </w:rPr>
        <w:t xml:space="preserve"> </w:t>
      </w:r>
      <w:r w:rsidR="002049DB">
        <w:rPr>
          <w:rFonts w:ascii="Times New Roman" w:hAnsi="Times New Roman"/>
          <w:sz w:val="28"/>
          <w:szCs w:val="28"/>
        </w:rPr>
        <w:t xml:space="preserve">applied </w:t>
      </w:r>
      <w:r w:rsidR="005D0D00">
        <w:rPr>
          <w:rFonts w:ascii="Times New Roman" w:hAnsi="Times New Roman"/>
          <w:sz w:val="28"/>
          <w:szCs w:val="28"/>
        </w:rPr>
        <w:t xml:space="preserve">to arrive at </w:t>
      </w:r>
      <w:r w:rsidR="002049DB">
        <w:rPr>
          <w:rFonts w:ascii="Times New Roman" w:hAnsi="Times New Roman"/>
          <w:sz w:val="28"/>
          <w:szCs w:val="28"/>
        </w:rPr>
        <w:t>the amounts</w:t>
      </w:r>
      <w:r w:rsidR="004C4A67">
        <w:rPr>
          <w:rFonts w:ascii="Times New Roman" w:hAnsi="Times New Roman"/>
          <w:sz w:val="28"/>
          <w:szCs w:val="28"/>
        </w:rPr>
        <w:t xml:space="preserve"> claimed (</w:t>
      </w:r>
      <w:r w:rsidR="002049DB">
        <w:rPr>
          <w:rFonts w:ascii="Times New Roman" w:hAnsi="Times New Roman"/>
          <w:sz w:val="28"/>
          <w:szCs w:val="28"/>
        </w:rPr>
        <w:t xml:space="preserve">an exercise which it has not </w:t>
      </w:r>
      <w:r w:rsidR="004C4A67">
        <w:rPr>
          <w:rFonts w:ascii="Times New Roman" w:hAnsi="Times New Roman"/>
          <w:sz w:val="28"/>
          <w:szCs w:val="28"/>
        </w:rPr>
        <w:t>undertaken).</w:t>
      </w:r>
    </w:p>
    <w:p w14:paraId="22EA447B" w14:textId="50333E61" w:rsidR="00EE5922" w:rsidRPr="0056301B" w:rsidRDefault="00ED20F0" w:rsidP="00ED20F0">
      <w:pPr>
        <w:pStyle w:val="LegalList1"/>
        <w:spacing w:line="360" w:lineRule="auto"/>
        <w:ind w:left="851" w:hanging="851"/>
        <w:rPr>
          <w:rFonts w:ascii="Times New Roman" w:hAnsi="Times New Roman"/>
          <w:sz w:val="28"/>
          <w:szCs w:val="28"/>
        </w:rPr>
      </w:pPr>
      <w:r w:rsidRPr="0056301B">
        <w:rPr>
          <w:rFonts w:ascii="Times New Roman" w:hAnsi="Times New Roman"/>
          <w:sz w:val="28"/>
          <w:szCs w:val="28"/>
        </w:rPr>
        <w:t>[18]</w:t>
      </w:r>
      <w:r w:rsidRPr="0056301B">
        <w:rPr>
          <w:rFonts w:ascii="Times New Roman" w:hAnsi="Times New Roman"/>
          <w:sz w:val="28"/>
          <w:szCs w:val="28"/>
        </w:rPr>
        <w:tab/>
      </w:r>
      <w:r w:rsidR="00EE5922">
        <w:rPr>
          <w:rFonts w:ascii="Times New Roman" w:hAnsi="Times New Roman"/>
          <w:sz w:val="28"/>
          <w:szCs w:val="28"/>
        </w:rPr>
        <w:t xml:space="preserve">Significantly, it is stated in answer that the </w:t>
      </w:r>
      <w:r w:rsidR="008D4E8F">
        <w:rPr>
          <w:rFonts w:ascii="Times New Roman" w:hAnsi="Times New Roman"/>
          <w:sz w:val="28"/>
          <w:szCs w:val="28"/>
        </w:rPr>
        <w:t>D</w:t>
      </w:r>
      <w:r w:rsidR="00EE5922">
        <w:rPr>
          <w:rFonts w:ascii="Times New Roman" w:hAnsi="Times New Roman"/>
          <w:sz w:val="28"/>
          <w:szCs w:val="28"/>
        </w:rPr>
        <w:t xml:space="preserve">epartment </w:t>
      </w:r>
      <w:r w:rsidR="008D4E8F">
        <w:rPr>
          <w:rFonts w:ascii="Times New Roman" w:hAnsi="Times New Roman"/>
          <w:sz w:val="28"/>
          <w:szCs w:val="28"/>
        </w:rPr>
        <w:t xml:space="preserve">of Transport </w:t>
      </w:r>
      <w:r w:rsidR="00EE5922">
        <w:rPr>
          <w:rFonts w:ascii="Times New Roman" w:hAnsi="Times New Roman"/>
          <w:sz w:val="28"/>
          <w:szCs w:val="28"/>
        </w:rPr>
        <w:t xml:space="preserve">was only advised by the Department of Education about the closure of </w:t>
      </w:r>
      <w:proofErr w:type="spellStart"/>
      <w:r w:rsidR="004F0485">
        <w:rPr>
          <w:rFonts w:ascii="Times New Roman" w:hAnsi="Times New Roman"/>
          <w:sz w:val="28"/>
          <w:szCs w:val="28"/>
        </w:rPr>
        <w:t>Mapasakraal</w:t>
      </w:r>
      <w:proofErr w:type="spellEnd"/>
      <w:r w:rsidR="00EE5922">
        <w:rPr>
          <w:rFonts w:ascii="Times New Roman" w:hAnsi="Times New Roman"/>
          <w:sz w:val="28"/>
          <w:szCs w:val="28"/>
        </w:rPr>
        <w:t xml:space="preserve"> on or about 20 June 2018, and in this regard the applicant breached its contractual obligation</w:t>
      </w:r>
      <w:r w:rsidR="008D4E8F">
        <w:rPr>
          <w:rFonts w:ascii="Times New Roman" w:hAnsi="Times New Roman"/>
          <w:sz w:val="28"/>
          <w:szCs w:val="28"/>
        </w:rPr>
        <w:t xml:space="preserve"> to communicate and seek approval from the transport department for any changes of pickup points, routes, </w:t>
      </w:r>
      <w:proofErr w:type="gramStart"/>
      <w:r w:rsidR="008D4E8F">
        <w:rPr>
          <w:rFonts w:ascii="Times New Roman" w:hAnsi="Times New Roman"/>
          <w:sz w:val="28"/>
          <w:szCs w:val="28"/>
        </w:rPr>
        <w:t>schools</w:t>
      </w:r>
      <w:proofErr w:type="gramEnd"/>
      <w:r w:rsidR="008D4E8F">
        <w:rPr>
          <w:rFonts w:ascii="Times New Roman" w:hAnsi="Times New Roman"/>
          <w:sz w:val="28"/>
          <w:szCs w:val="28"/>
        </w:rPr>
        <w:t xml:space="preserve"> and number of learners</w:t>
      </w:r>
      <w:r w:rsidR="001C35E8">
        <w:rPr>
          <w:rFonts w:ascii="Times New Roman" w:hAnsi="Times New Roman"/>
          <w:sz w:val="28"/>
          <w:szCs w:val="28"/>
        </w:rPr>
        <w:t xml:space="preserve"> involved.</w:t>
      </w:r>
    </w:p>
    <w:p w14:paraId="1051DE68" w14:textId="046C778E" w:rsidR="002A2107" w:rsidRPr="002A2107" w:rsidRDefault="00ED20F0" w:rsidP="00ED20F0">
      <w:pPr>
        <w:pStyle w:val="LegalList1"/>
        <w:spacing w:line="360" w:lineRule="auto"/>
        <w:ind w:left="851" w:hanging="851"/>
        <w:rPr>
          <w:rFonts w:ascii="Times New Roman" w:hAnsi="Times New Roman"/>
          <w:sz w:val="28"/>
          <w:szCs w:val="28"/>
        </w:rPr>
      </w:pPr>
      <w:r w:rsidRPr="002A2107">
        <w:rPr>
          <w:rFonts w:ascii="Times New Roman" w:hAnsi="Times New Roman"/>
          <w:sz w:val="28"/>
          <w:szCs w:val="28"/>
        </w:rPr>
        <w:lastRenderedPageBreak/>
        <w:t>[19]</w:t>
      </w:r>
      <w:r w:rsidRPr="002A2107">
        <w:rPr>
          <w:rFonts w:ascii="Times New Roman" w:hAnsi="Times New Roman"/>
          <w:sz w:val="28"/>
          <w:szCs w:val="28"/>
        </w:rPr>
        <w:tab/>
      </w:r>
      <w:r w:rsidR="003A414C">
        <w:rPr>
          <w:rFonts w:ascii="Times New Roman" w:hAnsi="Times New Roman"/>
          <w:sz w:val="28"/>
          <w:szCs w:val="28"/>
        </w:rPr>
        <w:t>T</w:t>
      </w:r>
      <w:r w:rsidR="00F1731B" w:rsidRPr="002A2107">
        <w:rPr>
          <w:rFonts w:ascii="Times New Roman" w:hAnsi="Times New Roman"/>
          <w:sz w:val="28"/>
          <w:szCs w:val="28"/>
        </w:rPr>
        <w:t xml:space="preserve">he respondent </w:t>
      </w:r>
      <w:r w:rsidR="003A414C">
        <w:rPr>
          <w:rFonts w:ascii="Times New Roman" w:hAnsi="Times New Roman"/>
          <w:sz w:val="28"/>
          <w:szCs w:val="28"/>
        </w:rPr>
        <w:t xml:space="preserve">however </w:t>
      </w:r>
      <w:r w:rsidR="00F1731B" w:rsidRPr="002A2107">
        <w:rPr>
          <w:rFonts w:ascii="Times New Roman" w:hAnsi="Times New Roman"/>
          <w:sz w:val="28"/>
          <w:szCs w:val="28"/>
        </w:rPr>
        <w:t xml:space="preserve">contends, </w:t>
      </w:r>
      <w:proofErr w:type="gramStart"/>
      <w:r w:rsidR="00F1731B" w:rsidRPr="002A2107">
        <w:rPr>
          <w:rFonts w:ascii="Times New Roman" w:hAnsi="Times New Roman"/>
          <w:sz w:val="28"/>
          <w:szCs w:val="28"/>
        </w:rPr>
        <w:t>o</w:t>
      </w:r>
      <w:r w:rsidR="00C95107" w:rsidRPr="002A2107">
        <w:rPr>
          <w:rFonts w:ascii="Times New Roman" w:hAnsi="Times New Roman"/>
          <w:sz w:val="28"/>
          <w:szCs w:val="28"/>
        </w:rPr>
        <w:t>n the basis of</w:t>
      </w:r>
      <w:proofErr w:type="gramEnd"/>
      <w:r w:rsidR="00C95107" w:rsidRPr="002A2107">
        <w:rPr>
          <w:rFonts w:ascii="Times New Roman" w:hAnsi="Times New Roman"/>
          <w:sz w:val="28"/>
          <w:szCs w:val="28"/>
        </w:rPr>
        <w:t xml:space="preserve"> </w:t>
      </w:r>
      <w:r w:rsidR="00BA60F0" w:rsidRPr="002A2107">
        <w:rPr>
          <w:rFonts w:ascii="Times New Roman" w:hAnsi="Times New Roman"/>
          <w:sz w:val="28"/>
          <w:szCs w:val="28"/>
        </w:rPr>
        <w:t xml:space="preserve">trip data information </w:t>
      </w:r>
      <w:r w:rsidR="005D61B5" w:rsidRPr="002A2107">
        <w:rPr>
          <w:rFonts w:ascii="Times New Roman" w:hAnsi="Times New Roman"/>
          <w:sz w:val="28"/>
          <w:szCs w:val="28"/>
        </w:rPr>
        <w:t xml:space="preserve">reflected </w:t>
      </w:r>
      <w:r w:rsidR="003F5424">
        <w:rPr>
          <w:rFonts w:ascii="Times New Roman" w:hAnsi="Times New Roman"/>
          <w:sz w:val="28"/>
          <w:szCs w:val="28"/>
        </w:rPr>
        <w:t>i</w:t>
      </w:r>
      <w:r w:rsidR="005D61B5" w:rsidRPr="002A2107">
        <w:rPr>
          <w:rFonts w:ascii="Times New Roman" w:hAnsi="Times New Roman"/>
          <w:sz w:val="28"/>
          <w:szCs w:val="28"/>
        </w:rPr>
        <w:t xml:space="preserve">n spreadsheets (annexures </w:t>
      </w:r>
      <w:r w:rsidR="00B91C49">
        <w:rPr>
          <w:rFonts w:ascii="Times New Roman" w:hAnsi="Times New Roman"/>
          <w:sz w:val="28"/>
          <w:szCs w:val="28"/>
        </w:rPr>
        <w:t>‘</w:t>
      </w:r>
      <w:r w:rsidR="005D61B5" w:rsidRPr="002A2107">
        <w:rPr>
          <w:rFonts w:ascii="Times New Roman" w:hAnsi="Times New Roman"/>
          <w:sz w:val="28"/>
          <w:szCs w:val="28"/>
        </w:rPr>
        <w:t>MCM3</w:t>
      </w:r>
      <w:r w:rsidR="00B91C49">
        <w:rPr>
          <w:rFonts w:ascii="Times New Roman" w:hAnsi="Times New Roman"/>
          <w:sz w:val="28"/>
          <w:szCs w:val="28"/>
        </w:rPr>
        <w:t>’</w:t>
      </w:r>
      <w:r w:rsidR="005D61B5" w:rsidRPr="002A2107">
        <w:rPr>
          <w:rFonts w:ascii="Times New Roman" w:hAnsi="Times New Roman"/>
          <w:sz w:val="28"/>
          <w:szCs w:val="28"/>
        </w:rPr>
        <w:t xml:space="preserve"> and </w:t>
      </w:r>
      <w:r w:rsidR="00B91C49">
        <w:rPr>
          <w:rFonts w:ascii="Times New Roman" w:hAnsi="Times New Roman"/>
          <w:sz w:val="28"/>
          <w:szCs w:val="28"/>
        </w:rPr>
        <w:t>‘</w:t>
      </w:r>
      <w:r w:rsidR="005D61B5" w:rsidRPr="002A2107">
        <w:rPr>
          <w:rFonts w:ascii="Times New Roman" w:hAnsi="Times New Roman"/>
          <w:sz w:val="28"/>
          <w:szCs w:val="28"/>
        </w:rPr>
        <w:t>MCM4</w:t>
      </w:r>
      <w:r w:rsidR="00B91C49">
        <w:rPr>
          <w:rFonts w:ascii="Times New Roman" w:hAnsi="Times New Roman"/>
          <w:sz w:val="28"/>
          <w:szCs w:val="28"/>
        </w:rPr>
        <w:t>’</w:t>
      </w:r>
      <w:r w:rsidR="005D61B5" w:rsidRPr="002A2107">
        <w:rPr>
          <w:rFonts w:ascii="Times New Roman" w:hAnsi="Times New Roman"/>
          <w:sz w:val="28"/>
          <w:szCs w:val="28"/>
        </w:rPr>
        <w:t xml:space="preserve">) </w:t>
      </w:r>
      <w:r w:rsidR="00F1731B" w:rsidRPr="002A2107">
        <w:rPr>
          <w:rFonts w:ascii="Times New Roman" w:hAnsi="Times New Roman"/>
          <w:sz w:val="28"/>
          <w:szCs w:val="28"/>
        </w:rPr>
        <w:t>that the applicant ‘may be owed some kilometres to the amount of R74 366.92’</w:t>
      </w:r>
      <w:r w:rsidR="00265E42" w:rsidRPr="002A2107">
        <w:rPr>
          <w:rFonts w:ascii="Times New Roman" w:hAnsi="Times New Roman"/>
          <w:sz w:val="28"/>
          <w:szCs w:val="28"/>
        </w:rPr>
        <w:t>.</w:t>
      </w:r>
      <w:r w:rsidR="00826E4F">
        <w:rPr>
          <w:rFonts w:ascii="Times New Roman" w:hAnsi="Times New Roman"/>
          <w:sz w:val="28"/>
          <w:szCs w:val="28"/>
        </w:rPr>
        <w:t xml:space="preserve"> </w:t>
      </w:r>
      <w:r w:rsidR="00A12293" w:rsidRPr="002A2107">
        <w:rPr>
          <w:rFonts w:ascii="Times New Roman" w:hAnsi="Times New Roman"/>
          <w:sz w:val="28"/>
          <w:szCs w:val="28"/>
        </w:rPr>
        <w:t>T</w:t>
      </w:r>
      <w:r w:rsidR="00631969" w:rsidRPr="002A2107">
        <w:rPr>
          <w:rFonts w:ascii="Times New Roman" w:hAnsi="Times New Roman"/>
          <w:sz w:val="28"/>
          <w:szCs w:val="28"/>
        </w:rPr>
        <w:t xml:space="preserve">he spreadsheets </w:t>
      </w:r>
      <w:r w:rsidR="00534B90" w:rsidRPr="002A2107">
        <w:rPr>
          <w:rFonts w:ascii="Times New Roman" w:hAnsi="Times New Roman"/>
          <w:sz w:val="28"/>
          <w:szCs w:val="28"/>
        </w:rPr>
        <w:t xml:space="preserve">comprise of numerical data in a mass of </w:t>
      </w:r>
      <w:r w:rsidR="00631969" w:rsidRPr="002A2107">
        <w:rPr>
          <w:rFonts w:ascii="Times New Roman" w:hAnsi="Times New Roman"/>
          <w:sz w:val="28"/>
          <w:szCs w:val="28"/>
        </w:rPr>
        <w:t>fine print. Taken together they contain no less than 130 horizontal rows and 28 vertical columns</w:t>
      </w:r>
      <w:r w:rsidR="00A12293" w:rsidRPr="002A2107">
        <w:rPr>
          <w:rFonts w:ascii="Times New Roman" w:hAnsi="Times New Roman"/>
          <w:sz w:val="28"/>
          <w:szCs w:val="28"/>
        </w:rPr>
        <w:t>.</w:t>
      </w:r>
      <w:r w:rsidR="00631969" w:rsidRPr="002A2107">
        <w:rPr>
          <w:rFonts w:ascii="Times New Roman" w:hAnsi="Times New Roman"/>
          <w:sz w:val="28"/>
          <w:szCs w:val="28"/>
        </w:rPr>
        <w:t xml:space="preserve"> </w:t>
      </w:r>
      <w:r w:rsidR="00DC5A33" w:rsidRPr="002A2107">
        <w:rPr>
          <w:rFonts w:ascii="Times New Roman" w:hAnsi="Times New Roman"/>
          <w:sz w:val="28"/>
          <w:szCs w:val="28"/>
        </w:rPr>
        <w:t>Th</w:t>
      </w:r>
      <w:r w:rsidR="00A12293" w:rsidRPr="002A2107">
        <w:rPr>
          <w:rFonts w:ascii="Times New Roman" w:hAnsi="Times New Roman"/>
          <w:sz w:val="28"/>
          <w:szCs w:val="28"/>
        </w:rPr>
        <w:t>e</w:t>
      </w:r>
      <w:r w:rsidR="00DC5A33" w:rsidRPr="002A2107">
        <w:rPr>
          <w:rFonts w:ascii="Times New Roman" w:hAnsi="Times New Roman"/>
          <w:sz w:val="28"/>
          <w:szCs w:val="28"/>
        </w:rPr>
        <w:t xml:space="preserve"> information was collated by an official who </w:t>
      </w:r>
      <w:r w:rsidR="00341BE1" w:rsidRPr="002A2107">
        <w:rPr>
          <w:rFonts w:ascii="Times New Roman" w:hAnsi="Times New Roman"/>
          <w:sz w:val="28"/>
          <w:szCs w:val="28"/>
        </w:rPr>
        <w:t>deposed to a confirmatory affidavit</w:t>
      </w:r>
      <w:r w:rsidR="006C4944" w:rsidRPr="002A2107">
        <w:rPr>
          <w:rFonts w:ascii="Times New Roman" w:hAnsi="Times New Roman"/>
          <w:sz w:val="28"/>
          <w:szCs w:val="28"/>
        </w:rPr>
        <w:t xml:space="preserve"> </w:t>
      </w:r>
      <w:r w:rsidR="002A2107">
        <w:rPr>
          <w:rFonts w:ascii="Times New Roman" w:hAnsi="Times New Roman"/>
          <w:sz w:val="28"/>
          <w:szCs w:val="28"/>
        </w:rPr>
        <w:t xml:space="preserve">from which it appears that </w:t>
      </w:r>
      <w:r w:rsidR="002A2107" w:rsidRPr="002A2107">
        <w:rPr>
          <w:rFonts w:ascii="Times New Roman" w:hAnsi="Times New Roman"/>
          <w:sz w:val="28"/>
          <w:szCs w:val="28"/>
        </w:rPr>
        <w:t xml:space="preserve">the amount was arrived at </w:t>
      </w:r>
      <w:proofErr w:type="gramStart"/>
      <w:r w:rsidR="002A2107" w:rsidRPr="002A2107">
        <w:rPr>
          <w:rFonts w:ascii="Times New Roman" w:hAnsi="Times New Roman"/>
          <w:sz w:val="28"/>
          <w:szCs w:val="28"/>
        </w:rPr>
        <w:t>on the basis of</w:t>
      </w:r>
      <w:proofErr w:type="gramEnd"/>
      <w:r w:rsidR="002A2107" w:rsidRPr="002A2107">
        <w:rPr>
          <w:rFonts w:ascii="Times New Roman" w:hAnsi="Times New Roman"/>
          <w:sz w:val="28"/>
          <w:szCs w:val="28"/>
        </w:rPr>
        <w:t xml:space="preserve"> </w:t>
      </w:r>
      <w:r w:rsidR="00504787">
        <w:rPr>
          <w:rFonts w:ascii="Times New Roman" w:hAnsi="Times New Roman"/>
          <w:sz w:val="28"/>
          <w:szCs w:val="28"/>
        </w:rPr>
        <w:t xml:space="preserve">the applicant’s </w:t>
      </w:r>
      <w:r w:rsidR="002A2107" w:rsidRPr="002A2107">
        <w:rPr>
          <w:rFonts w:ascii="Times New Roman" w:hAnsi="Times New Roman"/>
          <w:sz w:val="28"/>
          <w:szCs w:val="28"/>
        </w:rPr>
        <w:t>‘non-submission of invoices’</w:t>
      </w:r>
      <w:r w:rsidR="00826E4F">
        <w:rPr>
          <w:rFonts w:ascii="Times New Roman" w:hAnsi="Times New Roman"/>
          <w:sz w:val="28"/>
          <w:szCs w:val="28"/>
        </w:rPr>
        <w:t xml:space="preserve">, </w:t>
      </w:r>
      <w:r w:rsidR="00483ABB" w:rsidRPr="002A2107">
        <w:rPr>
          <w:rFonts w:ascii="Times New Roman" w:hAnsi="Times New Roman"/>
          <w:sz w:val="28"/>
          <w:szCs w:val="28"/>
        </w:rPr>
        <w:t xml:space="preserve">albeit </w:t>
      </w:r>
      <w:r w:rsidR="00826E4F">
        <w:rPr>
          <w:rFonts w:ascii="Times New Roman" w:hAnsi="Times New Roman"/>
          <w:sz w:val="28"/>
          <w:szCs w:val="28"/>
        </w:rPr>
        <w:t xml:space="preserve">that </w:t>
      </w:r>
      <w:r w:rsidR="002A2107" w:rsidRPr="002A2107">
        <w:rPr>
          <w:rFonts w:ascii="Times New Roman" w:hAnsi="Times New Roman"/>
          <w:sz w:val="28"/>
          <w:szCs w:val="28"/>
        </w:rPr>
        <w:t xml:space="preserve">the </w:t>
      </w:r>
      <w:r w:rsidR="00A12293" w:rsidRPr="002A2107">
        <w:rPr>
          <w:rFonts w:ascii="Times New Roman" w:hAnsi="Times New Roman"/>
          <w:sz w:val="28"/>
          <w:szCs w:val="28"/>
        </w:rPr>
        <w:t xml:space="preserve">portions </w:t>
      </w:r>
      <w:r w:rsidR="00826E4F">
        <w:rPr>
          <w:rFonts w:ascii="Times New Roman" w:hAnsi="Times New Roman"/>
          <w:sz w:val="28"/>
          <w:szCs w:val="28"/>
        </w:rPr>
        <w:t xml:space="preserve">in the spreadsheets </w:t>
      </w:r>
      <w:r w:rsidR="00534B90" w:rsidRPr="002A2107">
        <w:rPr>
          <w:rFonts w:ascii="Times New Roman" w:hAnsi="Times New Roman"/>
          <w:sz w:val="28"/>
          <w:szCs w:val="28"/>
        </w:rPr>
        <w:t xml:space="preserve">that support the amount which </w:t>
      </w:r>
      <w:r w:rsidR="002A2107" w:rsidRPr="002A2107">
        <w:rPr>
          <w:rFonts w:ascii="Times New Roman" w:hAnsi="Times New Roman"/>
          <w:sz w:val="28"/>
          <w:szCs w:val="28"/>
        </w:rPr>
        <w:t xml:space="preserve">it is contended </w:t>
      </w:r>
      <w:r w:rsidR="00534B90" w:rsidRPr="002A2107">
        <w:rPr>
          <w:rFonts w:ascii="Times New Roman" w:hAnsi="Times New Roman"/>
          <w:sz w:val="28"/>
          <w:szCs w:val="28"/>
        </w:rPr>
        <w:t>may be owed</w:t>
      </w:r>
      <w:r w:rsidR="0056301B">
        <w:rPr>
          <w:rFonts w:ascii="Times New Roman" w:hAnsi="Times New Roman"/>
          <w:sz w:val="28"/>
          <w:szCs w:val="28"/>
        </w:rPr>
        <w:t>, have not been identified, nor</w:t>
      </w:r>
      <w:r w:rsidR="00CD6F9D">
        <w:rPr>
          <w:rFonts w:ascii="Times New Roman" w:hAnsi="Times New Roman"/>
          <w:sz w:val="28"/>
          <w:szCs w:val="28"/>
        </w:rPr>
        <w:t xml:space="preserve"> </w:t>
      </w:r>
      <w:r w:rsidR="003F5424">
        <w:rPr>
          <w:rFonts w:ascii="Times New Roman" w:hAnsi="Times New Roman"/>
          <w:sz w:val="28"/>
          <w:szCs w:val="28"/>
        </w:rPr>
        <w:t xml:space="preserve">has </w:t>
      </w:r>
      <w:r w:rsidR="00681C81">
        <w:rPr>
          <w:rFonts w:ascii="Times New Roman" w:hAnsi="Times New Roman"/>
          <w:sz w:val="28"/>
          <w:szCs w:val="28"/>
        </w:rPr>
        <w:t xml:space="preserve">the </w:t>
      </w:r>
      <w:r w:rsidR="00CD6F9D">
        <w:rPr>
          <w:rFonts w:ascii="Times New Roman" w:hAnsi="Times New Roman"/>
          <w:sz w:val="28"/>
          <w:szCs w:val="28"/>
        </w:rPr>
        <w:t>applicable period.</w:t>
      </w:r>
    </w:p>
    <w:p w14:paraId="2FCDE658" w14:textId="3AA91A8D" w:rsidR="001A151F"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4976CD">
        <w:rPr>
          <w:rFonts w:ascii="Times New Roman" w:hAnsi="Times New Roman"/>
          <w:sz w:val="28"/>
          <w:szCs w:val="28"/>
        </w:rPr>
        <w:t xml:space="preserve">In reply, </w:t>
      </w:r>
      <w:r w:rsidR="00D91D32">
        <w:rPr>
          <w:rFonts w:ascii="Times New Roman" w:hAnsi="Times New Roman"/>
          <w:sz w:val="28"/>
          <w:szCs w:val="28"/>
        </w:rPr>
        <w:t xml:space="preserve">the applicant has </w:t>
      </w:r>
      <w:r w:rsidR="00604743">
        <w:rPr>
          <w:rFonts w:ascii="Times New Roman" w:hAnsi="Times New Roman"/>
          <w:sz w:val="28"/>
          <w:szCs w:val="28"/>
        </w:rPr>
        <w:t xml:space="preserve">attached annexures </w:t>
      </w:r>
      <w:r w:rsidR="003A414C">
        <w:rPr>
          <w:rFonts w:ascii="Times New Roman" w:hAnsi="Times New Roman"/>
          <w:sz w:val="28"/>
          <w:szCs w:val="28"/>
        </w:rPr>
        <w:t>‘</w:t>
      </w:r>
      <w:r w:rsidR="00604743">
        <w:rPr>
          <w:rFonts w:ascii="Times New Roman" w:hAnsi="Times New Roman"/>
          <w:sz w:val="28"/>
          <w:szCs w:val="28"/>
        </w:rPr>
        <w:t>KM9</w:t>
      </w:r>
      <w:r w:rsidR="003A414C">
        <w:rPr>
          <w:rFonts w:ascii="Times New Roman" w:hAnsi="Times New Roman"/>
          <w:sz w:val="28"/>
          <w:szCs w:val="28"/>
        </w:rPr>
        <w:t>’</w:t>
      </w:r>
      <w:r w:rsidR="00604743">
        <w:rPr>
          <w:rFonts w:ascii="Times New Roman" w:hAnsi="Times New Roman"/>
          <w:sz w:val="28"/>
          <w:szCs w:val="28"/>
        </w:rPr>
        <w:t xml:space="preserve">, </w:t>
      </w:r>
      <w:r w:rsidR="003A414C">
        <w:rPr>
          <w:rFonts w:ascii="Times New Roman" w:hAnsi="Times New Roman"/>
          <w:sz w:val="28"/>
          <w:szCs w:val="28"/>
        </w:rPr>
        <w:t>‘</w:t>
      </w:r>
      <w:r w:rsidR="00604743">
        <w:rPr>
          <w:rFonts w:ascii="Times New Roman" w:hAnsi="Times New Roman"/>
          <w:sz w:val="28"/>
          <w:szCs w:val="28"/>
        </w:rPr>
        <w:t>KM10</w:t>
      </w:r>
      <w:r w:rsidR="003A414C">
        <w:rPr>
          <w:rFonts w:ascii="Times New Roman" w:hAnsi="Times New Roman"/>
          <w:sz w:val="28"/>
          <w:szCs w:val="28"/>
        </w:rPr>
        <w:t>’</w:t>
      </w:r>
      <w:r w:rsidR="00604743">
        <w:rPr>
          <w:rFonts w:ascii="Times New Roman" w:hAnsi="Times New Roman"/>
          <w:sz w:val="28"/>
          <w:szCs w:val="28"/>
        </w:rPr>
        <w:t xml:space="preserve">, and </w:t>
      </w:r>
      <w:r w:rsidR="003A414C">
        <w:rPr>
          <w:rFonts w:ascii="Times New Roman" w:hAnsi="Times New Roman"/>
          <w:sz w:val="28"/>
          <w:szCs w:val="28"/>
        </w:rPr>
        <w:t>‘</w:t>
      </w:r>
      <w:r w:rsidR="00604743">
        <w:rPr>
          <w:rFonts w:ascii="Times New Roman" w:hAnsi="Times New Roman"/>
          <w:sz w:val="28"/>
          <w:szCs w:val="28"/>
        </w:rPr>
        <w:t>KM11</w:t>
      </w:r>
      <w:r w:rsidR="003A414C">
        <w:rPr>
          <w:rFonts w:ascii="Times New Roman" w:hAnsi="Times New Roman"/>
          <w:sz w:val="28"/>
          <w:szCs w:val="28"/>
        </w:rPr>
        <w:t>’</w:t>
      </w:r>
      <w:r w:rsidR="00AC0EA6">
        <w:rPr>
          <w:rFonts w:ascii="Times New Roman" w:hAnsi="Times New Roman"/>
          <w:sz w:val="28"/>
          <w:szCs w:val="28"/>
        </w:rPr>
        <w:t xml:space="preserve">, </w:t>
      </w:r>
      <w:r w:rsidR="00681C81">
        <w:rPr>
          <w:rFonts w:ascii="Times New Roman" w:hAnsi="Times New Roman"/>
          <w:sz w:val="28"/>
          <w:szCs w:val="28"/>
        </w:rPr>
        <w:t xml:space="preserve">with the qualification by the deponent that </w:t>
      </w:r>
      <w:r w:rsidR="00A01BBA">
        <w:rPr>
          <w:rFonts w:ascii="Times New Roman" w:hAnsi="Times New Roman"/>
          <w:sz w:val="28"/>
          <w:szCs w:val="28"/>
        </w:rPr>
        <w:t xml:space="preserve">they </w:t>
      </w:r>
      <w:r w:rsidR="00AC0EA6">
        <w:rPr>
          <w:rFonts w:ascii="Times New Roman" w:hAnsi="Times New Roman"/>
          <w:sz w:val="28"/>
          <w:szCs w:val="28"/>
        </w:rPr>
        <w:t xml:space="preserve">are </w:t>
      </w:r>
      <w:r w:rsidR="00A01BBA">
        <w:rPr>
          <w:rFonts w:ascii="Times New Roman" w:hAnsi="Times New Roman"/>
          <w:sz w:val="28"/>
          <w:szCs w:val="28"/>
        </w:rPr>
        <w:t>‘</w:t>
      </w:r>
      <w:r w:rsidR="00AC0EA6">
        <w:rPr>
          <w:rFonts w:ascii="Times New Roman" w:hAnsi="Times New Roman"/>
          <w:sz w:val="28"/>
          <w:szCs w:val="28"/>
        </w:rPr>
        <w:t>self-explanatory</w:t>
      </w:r>
      <w:r w:rsidR="00A01BBA">
        <w:rPr>
          <w:rFonts w:ascii="Times New Roman" w:hAnsi="Times New Roman"/>
          <w:sz w:val="28"/>
          <w:szCs w:val="28"/>
        </w:rPr>
        <w:t>’</w:t>
      </w:r>
      <w:r w:rsidR="00AC0EA6">
        <w:rPr>
          <w:rFonts w:ascii="Times New Roman" w:hAnsi="Times New Roman"/>
          <w:sz w:val="28"/>
          <w:szCs w:val="28"/>
        </w:rPr>
        <w:t xml:space="preserve">. </w:t>
      </w:r>
      <w:r w:rsidR="00A01BBA">
        <w:rPr>
          <w:rFonts w:ascii="Times New Roman" w:hAnsi="Times New Roman"/>
          <w:sz w:val="28"/>
          <w:szCs w:val="28"/>
        </w:rPr>
        <w:t>T</w:t>
      </w:r>
      <w:r w:rsidR="00AC0EA6">
        <w:rPr>
          <w:rFonts w:ascii="Times New Roman" w:hAnsi="Times New Roman"/>
          <w:sz w:val="28"/>
          <w:szCs w:val="28"/>
        </w:rPr>
        <w:t>hese</w:t>
      </w:r>
      <w:r w:rsidR="00853771">
        <w:rPr>
          <w:rFonts w:ascii="Times New Roman" w:hAnsi="Times New Roman"/>
          <w:sz w:val="28"/>
          <w:szCs w:val="28"/>
        </w:rPr>
        <w:t xml:space="preserve"> are </w:t>
      </w:r>
      <w:r w:rsidR="00A01BBA">
        <w:rPr>
          <w:rFonts w:ascii="Times New Roman" w:hAnsi="Times New Roman"/>
          <w:sz w:val="28"/>
          <w:szCs w:val="28"/>
        </w:rPr>
        <w:t xml:space="preserve">respectively </w:t>
      </w:r>
      <w:r w:rsidR="00853771">
        <w:rPr>
          <w:rFonts w:ascii="Times New Roman" w:hAnsi="Times New Roman"/>
          <w:sz w:val="28"/>
          <w:szCs w:val="28"/>
        </w:rPr>
        <w:t>a legal opinion for the state attorney</w:t>
      </w:r>
      <w:r w:rsidR="008A6A03">
        <w:rPr>
          <w:rFonts w:ascii="Times New Roman" w:hAnsi="Times New Roman"/>
          <w:sz w:val="28"/>
          <w:szCs w:val="28"/>
        </w:rPr>
        <w:t xml:space="preserve"> </w:t>
      </w:r>
      <w:r w:rsidR="00627330">
        <w:rPr>
          <w:rFonts w:ascii="Times New Roman" w:hAnsi="Times New Roman"/>
          <w:sz w:val="28"/>
          <w:szCs w:val="28"/>
        </w:rPr>
        <w:t>(</w:t>
      </w:r>
      <w:r w:rsidR="008A6A03">
        <w:rPr>
          <w:rFonts w:ascii="Times New Roman" w:hAnsi="Times New Roman"/>
          <w:sz w:val="28"/>
          <w:szCs w:val="28"/>
        </w:rPr>
        <w:t>acting on behalf of the department</w:t>
      </w:r>
      <w:r w:rsidR="00627330">
        <w:rPr>
          <w:rFonts w:ascii="Times New Roman" w:hAnsi="Times New Roman"/>
          <w:sz w:val="28"/>
          <w:szCs w:val="28"/>
        </w:rPr>
        <w:t>)</w:t>
      </w:r>
      <w:r w:rsidR="00853771">
        <w:rPr>
          <w:rFonts w:ascii="Times New Roman" w:hAnsi="Times New Roman"/>
          <w:sz w:val="28"/>
          <w:szCs w:val="28"/>
        </w:rPr>
        <w:t>, and a series of two addenda thereto</w:t>
      </w:r>
      <w:r w:rsidR="008A6A03">
        <w:rPr>
          <w:rFonts w:ascii="Times New Roman" w:hAnsi="Times New Roman"/>
          <w:sz w:val="28"/>
          <w:szCs w:val="28"/>
        </w:rPr>
        <w:t>.</w:t>
      </w:r>
      <w:r w:rsidR="00627330">
        <w:rPr>
          <w:rFonts w:ascii="Times New Roman" w:hAnsi="Times New Roman"/>
          <w:sz w:val="28"/>
          <w:szCs w:val="28"/>
        </w:rPr>
        <w:t xml:space="preserve"> </w:t>
      </w:r>
      <w:r w:rsidR="0081444E">
        <w:rPr>
          <w:rFonts w:ascii="Times New Roman" w:hAnsi="Times New Roman"/>
          <w:sz w:val="28"/>
          <w:szCs w:val="28"/>
        </w:rPr>
        <w:t xml:space="preserve">This is new matter. </w:t>
      </w:r>
      <w:r w:rsidR="00627330">
        <w:rPr>
          <w:rFonts w:ascii="Times New Roman" w:hAnsi="Times New Roman"/>
          <w:sz w:val="28"/>
          <w:szCs w:val="28"/>
        </w:rPr>
        <w:t xml:space="preserve">The documentation recommends payment to the applicant of the amounts of R1 406 568.67 and </w:t>
      </w:r>
      <w:r w:rsidR="00627330" w:rsidRPr="0056301B">
        <w:rPr>
          <w:rFonts w:ascii="Times New Roman" w:hAnsi="Times New Roman"/>
          <w:sz w:val="28"/>
          <w:szCs w:val="28"/>
        </w:rPr>
        <w:t>R614 498.21</w:t>
      </w:r>
      <w:r w:rsidR="00627330">
        <w:rPr>
          <w:rFonts w:ascii="Times New Roman" w:hAnsi="Times New Roman"/>
          <w:sz w:val="28"/>
          <w:szCs w:val="28"/>
        </w:rPr>
        <w:t>.</w:t>
      </w:r>
    </w:p>
    <w:p w14:paraId="090A780B" w14:textId="3A2864A0" w:rsidR="00BB3607" w:rsidRPr="00BB3607" w:rsidRDefault="00ED20F0" w:rsidP="00ED20F0">
      <w:pPr>
        <w:pStyle w:val="LegalList1"/>
        <w:spacing w:line="360" w:lineRule="auto"/>
        <w:ind w:left="851" w:hanging="851"/>
        <w:rPr>
          <w:rFonts w:ascii="Times New Roman" w:hAnsi="Times New Roman"/>
          <w:sz w:val="28"/>
          <w:szCs w:val="28"/>
        </w:rPr>
      </w:pPr>
      <w:r w:rsidRPr="00BB3607">
        <w:rPr>
          <w:rFonts w:ascii="Times New Roman" w:hAnsi="Times New Roman"/>
          <w:sz w:val="28"/>
          <w:szCs w:val="28"/>
        </w:rPr>
        <w:t>[21]</w:t>
      </w:r>
      <w:r w:rsidRPr="00BB3607">
        <w:rPr>
          <w:rFonts w:ascii="Times New Roman" w:hAnsi="Times New Roman"/>
          <w:sz w:val="28"/>
          <w:szCs w:val="28"/>
        </w:rPr>
        <w:tab/>
      </w:r>
      <w:r w:rsidR="00BB3607" w:rsidRPr="00BB3607">
        <w:rPr>
          <w:rFonts w:ascii="Times New Roman" w:hAnsi="Times New Roman"/>
          <w:sz w:val="28"/>
          <w:szCs w:val="28"/>
        </w:rPr>
        <w:t xml:space="preserve">Quite apart from new matter in reply, </w:t>
      </w:r>
      <w:r w:rsidR="0081444E">
        <w:rPr>
          <w:rFonts w:ascii="Times New Roman" w:hAnsi="Times New Roman"/>
          <w:sz w:val="28"/>
          <w:szCs w:val="28"/>
        </w:rPr>
        <w:t xml:space="preserve">it constitutes </w:t>
      </w:r>
      <w:r w:rsidR="00BB3607" w:rsidRPr="00BB3607">
        <w:rPr>
          <w:rFonts w:ascii="Times New Roman" w:hAnsi="Times New Roman"/>
          <w:sz w:val="28"/>
          <w:szCs w:val="28"/>
        </w:rPr>
        <w:t xml:space="preserve">hearsay evidence </w:t>
      </w:r>
      <w:r w:rsidR="00896FBC">
        <w:rPr>
          <w:rFonts w:ascii="Times New Roman" w:hAnsi="Times New Roman"/>
          <w:sz w:val="28"/>
          <w:szCs w:val="28"/>
        </w:rPr>
        <w:t xml:space="preserve">without </w:t>
      </w:r>
      <w:r w:rsidR="00BB3607" w:rsidRPr="00BB3607">
        <w:rPr>
          <w:rFonts w:ascii="Times New Roman" w:hAnsi="Times New Roman"/>
          <w:sz w:val="28"/>
          <w:szCs w:val="28"/>
        </w:rPr>
        <w:t>providing confirmatory affidavits from the</w:t>
      </w:r>
      <w:r w:rsidR="00896FBC">
        <w:rPr>
          <w:rFonts w:ascii="Times New Roman" w:hAnsi="Times New Roman"/>
          <w:sz w:val="28"/>
          <w:szCs w:val="28"/>
        </w:rPr>
        <w:t xml:space="preserve">ir source. </w:t>
      </w:r>
      <w:r w:rsidR="00BB3607" w:rsidRPr="00BB3607">
        <w:rPr>
          <w:rFonts w:ascii="Times New Roman" w:hAnsi="Times New Roman"/>
          <w:sz w:val="28"/>
          <w:szCs w:val="28"/>
        </w:rPr>
        <w:t xml:space="preserve">The obvious </w:t>
      </w:r>
      <w:r w:rsidR="005A5BC1">
        <w:rPr>
          <w:rFonts w:ascii="Times New Roman" w:hAnsi="Times New Roman"/>
          <w:sz w:val="28"/>
          <w:szCs w:val="28"/>
        </w:rPr>
        <w:t xml:space="preserve">needs to be </w:t>
      </w:r>
      <w:r w:rsidR="00A01BBA">
        <w:rPr>
          <w:rFonts w:ascii="Times New Roman" w:hAnsi="Times New Roman"/>
          <w:sz w:val="28"/>
          <w:szCs w:val="28"/>
        </w:rPr>
        <w:t>stated</w:t>
      </w:r>
      <w:r w:rsidR="005A5BC1">
        <w:rPr>
          <w:rFonts w:ascii="Times New Roman" w:hAnsi="Times New Roman"/>
          <w:sz w:val="28"/>
          <w:szCs w:val="28"/>
        </w:rPr>
        <w:t xml:space="preserve">. Neither this court nor the respondent can be expected to speculate on the possible relevance </w:t>
      </w:r>
      <w:r w:rsidR="00174ADB">
        <w:rPr>
          <w:rFonts w:ascii="Times New Roman" w:hAnsi="Times New Roman"/>
          <w:sz w:val="28"/>
          <w:szCs w:val="28"/>
        </w:rPr>
        <w:t xml:space="preserve">of the material </w:t>
      </w:r>
      <w:r w:rsidR="00935C4B">
        <w:rPr>
          <w:rFonts w:ascii="Times New Roman" w:hAnsi="Times New Roman"/>
          <w:sz w:val="28"/>
          <w:szCs w:val="28"/>
        </w:rPr>
        <w:t xml:space="preserve">prepared </w:t>
      </w:r>
      <w:r w:rsidR="00174ADB">
        <w:rPr>
          <w:rFonts w:ascii="Times New Roman" w:hAnsi="Times New Roman"/>
          <w:sz w:val="28"/>
          <w:szCs w:val="28"/>
        </w:rPr>
        <w:t>for the state attorney – the contents of which, far from constituting factual findings, is untested opinion evidence.</w:t>
      </w:r>
      <w:r w:rsidR="00174ADB">
        <w:rPr>
          <w:rStyle w:val="FootnoteReference"/>
          <w:rFonts w:ascii="Times New Roman" w:hAnsi="Times New Roman"/>
          <w:sz w:val="28"/>
          <w:szCs w:val="28"/>
        </w:rPr>
        <w:footnoteReference w:id="7"/>
      </w:r>
      <w:r w:rsidR="00174ADB">
        <w:rPr>
          <w:rFonts w:ascii="Times New Roman" w:hAnsi="Times New Roman"/>
          <w:sz w:val="28"/>
          <w:szCs w:val="28"/>
        </w:rPr>
        <w:t xml:space="preserve"> </w:t>
      </w:r>
      <w:r w:rsidR="009D7EFC">
        <w:rPr>
          <w:rFonts w:ascii="Times New Roman" w:hAnsi="Times New Roman"/>
          <w:sz w:val="28"/>
          <w:szCs w:val="28"/>
        </w:rPr>
        <w:t xml:space="preserve">The respondent, of course, </w:t>
      </w:r>
      <w:r w:rsidR="00BB3607" w:rsidRPr="00BB3607">
        <w:rPr>
          <w:rFonts w:ascii="Times New Roman" w:hAnsi="Times New Roman"/>
          <w:sz w:val="28"/>
          <w:szCs w:val="28"/>
        </w:rPr>
        <w:t>does</w:t>
      </w:r>
      <w:r w:rsidR="009D7EFC">
        <w:rPr>
          <w:rFonts w:ascii="Times New Roman" w:hAnsi="Times New Roman"/>
          <w:sz w:val="28"/>
          <w:szCs w:val="28"/>
        </w:rPr>
        <w:t xml:space="preserve"> not enjoy the right to answer, though I am of the view that</w:t>
      </w:r>
      <w:r w:rsidR="00BB3607" w:rsidRPr="00BB3607">
        <w:rPr>
          <w:rFonts w:ascii="Times New Roman" w:hAnsi="Times New Roman"/>
          <w:sz w:val="28"/>
          <w:szCs w:val="28"/>
        </w:rPr>
        <w:t xml:space="preserve"> to do so would be wasteful </w:t>
      </w:r>
      <w:r w:rsidR="00BB3607" w:rsidRPr="00BB3607">
        <w:rPr>
          <w:rFonts w:ascii="Times New Roman" w:hAnsi="Times New Roman"/>
          <w:sz w:val="28"/>
          <w:szCs w:val="28"/>
        </w:rPr>
        <w:lastRenderedPageBreak/>
        <w:t xml:space="preserve">in circumstances where it is unnecessary for purposes of </w:t>
      </w:r>
      <w:r w:rsidR="009D7EFC">
        <w:rPr>
          <w:rFonts w:ascii="Times New Roman" w:hAnsi="Times New Roman"/>
          <w:sz w:val="28"/>
          <w:szCs w:val="28"/>
        </w:rPr>
        <w:t xml:space="preserve">determining </w:t>
      </w:r>
      <w:r w:rsidR="00A24617">
        <w:rPr>
          <w:rFonts w:ascii="Times New Roman" w:hAnsi="Times New Roman"/>
          <w:sz w:val="28"/>
          <w:szCs w:val="28"/>
        </w:rPr>
        <w:t xml:space="preserve">whether </w:t>
      </w:r>
      <w:r w:rsidR="009D7EFC">
        <w:rPr>
          <w:rFonts w:ascii="Times New Roman" w:hAnsi="Times New Roman"/>
          <w:sz w:val="28"/>
          <w:szCs w:val="28"/>
        </w:rPr>
        <w:t>the relief sought</w:t>
      </w:r>
      <w:r w:rsidR="00A24617">
        <w:rPr>
          <w:rFonts w:ascii="Times New Roman" w:hAnsi="Times New Roman"/>
          <w:sz w:val="28"/>
          <w:szCs w:val="28"/>
        </w:rPr>
        <w:t xml:space="preserve"> is competent.</w:t>
      </w:r>
      <w:r w:rsidR="00A24617">
        <w:rPr>
          <w:rStyle w:val="FootnoteReference"/>
          <w:rFonts w:ascii="Times New Roman" w:hAnsi="Times New Roman"/>
          <w:sz w:val="28"/>
          <w:szCs w:val="28"/>
        </w:rPr>
        <w:footnoteReference w:id="8"/>
      </w:r>
    </w:p>
    <w:p w14:paraId="71ABE8B4" w14:textId="145C7605" w:rsidR="002E57F7"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1242F6">
        <w:rPr>
          <w:rFonts w:ascii="Times New Roman" w:hAnsi="Times New Roman"/>
          <w:sz w:val="28"/>
          <w:szCs w:val="28"/>
        </w:rPr>
        <w:t xml:space="preserve">As for the respondent’s </w:t>
      </w:r>
      <w:r w:rsidR="003A6D56">
        <w:rPr>
          <w:rFonts w:ascii="Times New Roman" w:hAnsi="Times New Roman"/>
          <w:sz w:val="28"/>
          <w:szCs w:val="28"/>
        </w:rPr>
        <w:t xml:space="preserve">assertion of a breach of the service level agreement and </w:t>
      </w:r>
      <w:r w:rsidR="001242F6">
        <w:rPr>
          <w:rFonts w:ascii="Times New Roman" w:hAnsi="Times New Roman"/>
          <w:sz w:val="28"/>
          <w:szCs w:val="28"/>
        </w:rPr>
        <w:t xml:space="preserve">denial that </w:t>
      </w:r>
      <w:r w:rsidR="001242F6" w:rsidRPr="0056301B">
        <w:rPr>
          <w:rFonts w:ascii="Times New Roman" w:hAnsi="Times New Roman"/>
          <w:sz w:val="28"/>
          <w:szCs w:val="28"/>
        </w:rPr>
        <w:t>the applicant rendered transportation services for the period August 2019 to December 2019</w:t>
      </w:r>
      <w:r w:rsidR="003A6D56">
        <w:rPr>
          <w:rFonts w:ascii="Times New Roman" w:hAnsi="Times New Roman"/>
          <w:sz w:val="28"/>
          <w:szCs w:val="28"/>
        </w:rPr>
        <w:t>,</w:t>
      </w:r>
      <w:r w:rsidR="001242F6" w:rsidRPr="0056301B">
        <w:rPr>
          <w:rFonts w:ascii="Times New Roman" w:hAnsi="Times New Roman"/>
          <w:sz w:val="28"/>
          <w:szCs w:val="28"/>
        </w:rPr>
        <w:t xml:space="preserve"> </w:t>
      </w:r>
      <w:r w:rsidR="008A39D0">
        <w:rPr>
          <w:rFonts w:ascii="Times New Roman" w:hAnsi="Times New Roman"/>
          <w:sz w:val="28"/>
          <w:szCs w:val="28"/>
        </w:rPr>
        <w:t>together with</w:t>
      </w:r>
      <w:r w:rsidR="001242F6" w:rsidRPr="0056301B">
        <w:rPr>
          <w:rFonts w:ascii="Times New Roman" w:hAnsi="Times New Roman"/>
          <w:sz w:val="28"/>
          <w:szCs w:val="28"/>
        </w:rPr>
        <w:t xml:space="preserve"> </w:t>
      </w:r>
      <w:r w:rsidR="00835BC3">
        <w:rPr>
          <w:rFonts w:ascii="Times New Roman" w:hAnsi="Times New Roman"/>
          <w:sz w:val="28"/>
          <w:szCs w:val="28"/>
        </w:rPr>
        <w:t xml:space="preserve">the </w:t>
      </w:r>
      <w:r w:rsidR="001242F6" w:rsidRPr="0056301B">
        <w:rPr>
          <w:rFonts w:ascii="Times New Roman" w:hAnsi="Times New Roman"/>
          <w:sz w:val="28"/>
          <w:szCs w:val="28"/>
        </w:rPr>
        <w:t xml:space="preserve">further </w:t>
      </w:r>
      <w:r w:rsidR="00835BC3">
        <w:rPr>
          <w:rFonts w:ascii="Times New Roman" w:hAnsi="Times New Roman"/>
          <w:sz w:val="28"/>
          <w:szCs w:val="28"/>
        </w:rPr>
        <w:t xml:space="preserve">denial </w:t>
      </w:r>
      <w:r w:rsidR="001242F6" w:rsidRPr="0056301B">
        <w:rPr>
          <w:rFonts w:ascii="Times New Roman" w:hAnsi="Times New Roman"/>
          <w:sz w:val="28"/>
          <w:szCs w:val="28"/>
        </w:rPr>
        <w:t>that the applicant submitted invoices for that period</w:t>
      </w:r>
      <w:r w:rsidR="00835BC3">
        <w:rPr>
          <w:rFonts w:ascii="Times New Roman" w:hAnsi="Times New Roman"/>
          <w:sz w:val="28"/>
          <w:szCs w:val="28"/>
        </w:rPr>
        <w:t xml:space="preserve">, this is </w:t>
      </w:r>
      <w:r w:rsidR="009D7EFC">
        <w:rPr>
          <w:rFonts w:ascii="Times New Roman" w:hAnsi="Times New Roman"/>
          <w:sz w:val="28"/>
          <w:szCs w:val="28"/>
        </w:rPr>
        <w:t>contradicted in reply by the applicant attaching proof of receipt of the invoices for the specified period</w:t>
      </w:r>
      <w:r w:rsidR="009D11AB">
        <w:rPr>
          <w:rFonts w:ascii="Times New Roman" w:hAnsi="Times New Roman"/>
          <w:sz w:val="28"/>
          <w:szCs w:val="28"/>
        </w:rPr>
        <w:t xml:space="preserve"> (the annexures are marked ‘Doc F’)</w:t>
      </w:r>
      <w:r w:rsidR="004E337F">
        <w:rPr>
          <w:rFonts w:ascii="Times New Roman" w:hAnsi="Times New Roman"/>
          <w:sz w:val="28"/>
          <w:szCs w:val="28"/>
        </w:rPr>
        <w:t xml:space="preserve">. The proof consists of a series of notes </w:t>
      </w:r>
      <w:r w:rsidR="00953FCA">
        <w:rPr>
          <w:rFonts w:ascii="Times New Roman" w:hAnsi="Times New Roman"/>
          <w:sz w:val="28"/>
          <w:szCs w:val="28"/>
        </w:rPr>
        <w:t xml:space="preserve">in typescript </w:t>
      </w:r>
      <w:r w:rsidR="004E337F">
        <w:rPr>
          <w:rFonts w:ascii="Times New Roman" w:hAnsi="Times New Roman"/>
          <w:sz w:val="28"/>
          <w:szCs w:val="28"/>
        </w:rPr>
        <w:t>acknowledging</w:t>
      </w:r>
      <w:r w:rsidR="00274A06">
        <w:rPr>
          <w:rFonts w:ascii="Times New Roman" w:hAnsi="Times New Roman"/>
          <w:sz w:val="28"/>
          <w:szCs w:val="28"/>
        </w:rPr>
        <w:t xml:space="preserve"> receipt of invoices. The notes do not mention whether what was received were invoices </w:t>
      </w:r>
      <w:r w:rsidR="00A02591">
        <w:rPr>
          <w:rFonts w:ascii="Times New Roman" w:hAnsi="Times New Roman"/>
          <w:sz w:val="28"/>
          <w:szCs w:val="28"/>
        </w:rPr>
        <w:t xml:space="preserve">specifically </w:t>
      </w:r>
      <w:r w:rsidR="00274A06">
        <w:rPr>
          <w:rFonts w:ascii="Times New Roman" w:hAnsi="Times New Roman"/>
          <w:sz w:val="28"/>
          <w:szCs w:val="28"/>
        </w:rPr>
        <w:t>for transportation services rendered</w:t>
      </w:r>
      <w:r w:rsidR="009D11AB">
        <w:rPr>
          <w:rFonts w:ascii="Times New Roman" w:hAnsi="Times New Roman"/>
          <w:sz w:val="28"/>
          <w:szCs w:val="28"/>
        </w:rPr>
        <w:t>. Although each note bears the departmental stamp</w:t>
      </w:r>
      <w:r w:rsidR="009D7EFC">
        <w:rPr>
          <w:rFonts w:ascii="Times New Roman" w:hAnsi="Times New Roman"/>
          <w:sz w:val="28"/>
          <w:szCs w:val="28"/>
        </w:rPr>
        <w:t xml:space="preserve">, </w:t>
      </w:r>
      <w:r w:rsidR="00BC5964">
        <w:rPr>
          <w:rFonts w:ascii="Times New Roman" w:hAnsi="Times New Roman"/>
          <w:sz w:val="28"/>
          <w:szCs w:val="28"/>
        </w:rPr>
        <w:t>the designation of the signatory thereto is unknown.</w:t>
      </w:r>
    </w:p>
    <w:p w14:paraId="6B0B2FC2" w14:textId="7386C5BA" w:rsidR="009D7EFC"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2E57F7">
        <w:rPr>
          <w:rFonts w:ascii="Times New Roman" w:hAnsi="Times New Roman"/>
          <w:sz w:val="28"/>
          <w:szCs w:val="28"/>
        </w:rPr>
        <w:t>In my view t</w:t>
      </w:r>
      <w:r w:rsidR="00B73370">
        <w:rPr>
          <w:rFonts w:ascii="Times New Roman" w:hAnsi="Times New Roman"/>
          <w:sz w:val="28"/>
          <w:szCs w:val="28"/>
        </w:rPr>
        <w:t xml:space="preserve">he annexures serve no purpose other than an acknowledgment </w:t>
      </w:r>
      <w:r w:rsidR="00E3431C">
        <w:rPr>
          <w:rFonts w:ascii="Times New Roman" w:hAnsi="Times New Roman"/>
          <w:sz w:val="28"/>
          <w:szCs w:val="28"/>
        </w:rPr>
        <w:t xml:space="preserve">of a nondescript nature </w:t>
      </w:r>
      <w:r w:rsidR="00B73370">
        <w:rPr>
          <w:rFonts w:ascii="Times New Roman" w:hAnsi="Times New Roman"/>
          <w:sz w:val="28"/>
          <w:szCs w:val="28"/>
        </w:rPr>
        <w:t>– the</w:t>
      </w:r>
      <w:r w:rsidR="00062151">
        <w:rPr>
          <w:rFonts w:ascii="Times New Roman" w:hAnsi="Times New Roman"/>
          <w:sz w:val="28"/>
          <w:szCs w:val="28"/>
        </w:rPr>
        <w:t xml:space="preserve">y do not establish proof as to how the </w:t>
      </w:r>
      <w:r w:rsidR="00B73370">
        <w:rPr>
          <w:rFonts w:ascii="Times New Roman" w:hAnsi="Times New Roman"/>
          <w:sz w:val="28"/>
          <w:szCs w:val="28"/>
        </w:rPr>
        <w:t>claim for the period</w:t>
      </w:r>
      <w:r w:rsidR="00315557">
        <w:rPr>
          <w:rFonts w:ascii="Times New Roman" w:hAnsi="Times New Roman"/>
          <w:sz w:val="28"/>
          <w:szCs w:val="28"/>
        </w:rPr>
        <w:t xml:space="preserve"> in question</w:t>
      </w:r>
      <w:r w:rsidR="00062151">
        <w:rPr>
          <w:rFonts w:ascii="Times New Roman" w:hAnsi="Times New Roman"/>
          <w:sz w:val="28"/>
          <w:szCs w:val="28"/>
        </w:rPr>
        <w:t xml:space="preserve"> has been calculated</w:t>
      </w:r>
      <w:r w:rsidR="00B73370">
        <w:rPr>
          <w:rFonts w:ascii="Times New Roman" w:hAnsi="Times New Roman"/>
          <w:sz w:val="28"/>
          <w:szCs w:val="28"/>
        </w:rPr>
        <w:t>.</w:t>
      </w:r>
    </w:p>
    <w:p w14:paraId="273414BF" w14:textId="430A0C4D" w:rsidR="00315557" w:rsidRPr="00315557" w:rsidRDefault="00ED20F0" w:rsidP="00ED20F0">
      <w:pPr>
        <w:pStyle w:val="LegalList1"/>
        <w:spacing w:line="360" w:lineRule="auto"/>
        <w:ind w:left="851" w:hanging="851"/>
        <w:rPr>
          <w:rFonts w:ascii="Times New Roman" w:hAnsi="Times New Roman"/>
          <w:sz w:val="28"/>
          <w:szCs w:val="28"/>
        </w:rPr>
      </w:pPr>
      <w:r w:rsidRPr="00315557">
        <w:rPr>
          <w:rFonts w:ascii="Times New Roman" w:hAnsi="Times New Roman"/>
          <w:sz w:val="28"/>
          <w:szCs w:val="28"/>
        </w:rPr>
        <w:t>[24]</w:t>
      </w:r>
      <w:r w:rsidRPr="00315557">
        <w:rPr>
          <w:rFonts w:ascii="Times New Roman" w:hAnsi="Times New Roman"/>
          <w:sz w:val="28"/>
          <w:szCs w:val="28"/>
        </w:rPr>
        <w:tab/>
      </w:r>
      <w:r w:rsidR="00F71B80">
        <w:rPr>
          <w:rFonts w:ascii="Times New Roman" w:hAnsi="Times New Roman"/>
          <w:color w:val="000000"/>
          <w:sz w:val="28"/>
          <w:szCs w:val="28"/>
          <w:lang w:eastAsia="en-ZA"/>
        </w:rPr>
        <w:t>To the extent that disputes of fact might exist regarding contractual performance and submission of invoices</w:t>
      </w:r>
      <w:r w:rsidR="00953FCA">
        <w:rPr>
          <w:rFonts w:ascii="Times New Roman" w:hAnsi="Times New Roman"/>
          <w:color w:val="000000"/>
          <w:sz w:val="28"/>
          <w:szCs w:val="28"/>
          <w:lang w:eastAsia="en-ZA"/>
        </w:rPr>
        <w:t>,</w:t>
      </w:r>
      <w:r w:rsidR="00F71B80" w:rsidRPr="009A1ED6">
        <w:rPr>
          <w:rFonts w:ascii="Times New Roman" w:hAnsi="Times New Roman"/>
          <w:color w:val="000000"/>
          <w:sz w:val="28"/>
          <w:szCs w:val="28"/>
          <w:lang w:eastAsia="en-ZA"/>
        </w:rPr>
        <w:t xml:space="preserve"> the test enunciated i</w:t>
      </w:r>
      <w:r w:rsidR="00F71B80" w:rsidRPr="008D253E">
        <w:rPr>
          <w:rFonts w:ascii="Times New Roman" w:hAnsi="Times New Roman"/>
          <w:color w:val="000000"/>
          <w:sz w:val="28"/>
          <w:szCs w:val="28"/>
          <w:lang w:eastAsia="en-ZA"/>
        </w:rPr>
        <w:t xml:space="preserve">n </w:t>
      </w:r>
      <w:proofErr w:type="spellStart"/>
      <w:r w:rsidR="00F71B80" w:rsidRPr="003C4071">
        <w:rPr>
          <w:rFonts w:ascii="Times New Roman" w:hAnsi="Times New Roman"/>
          <w:i/>
          <w:sz w:val="28"/>
          <w:szCs w:val="28"/>
        </w:rPr>
        <w:t>Plascon</w:t>
      </w:r>
      <w:proofErr w:type="spellEnd"/>
      <w:r w:rsidR="00F71B80" w:rsidRPr="003C4071">
        <w:rPr>
          <w:rFonts w:ascii="Times New Roman" w:hAnsi="Times New Roman"/>
          <w:i/>
          <w:sz w:val="28"/>
          <w:szCs w:val="28"/>
        </w:rPr>
        <w:t xml:space="preserve"> Evans-Paints Ltd v Van </w:t>
      </w:r>
      <w:proofErr w:type="spellStart"/>
      <w:r w:rsidR="00F71B80" w:rsidRPr="003C4071">
        <w:rPr>
          <w:rFonts w:ascii="Times New Roman" w:hAnsi="Times New Roman"/>
          <w:i/>
          <w:sz w:val="28"/>
          <w:szCs w:val="28"/>
        </w:rPr>
        <w:t>Riebeeck</w:t>
      </w:r>
      <w:proofErr w:type="spellEnd"/>
      <w:r w:rsidR="00F71B80" w:rsidRPr="003C4071">
        <w:rPr>
          <w:rFonts w:ascii="Times New Roman" w:hAnsi="Times New Roman"/>
          <w:i/>
          <w:sz w:val="28"/>
          <w:szCs w:val="28"/>
        </w:rPr>
        <w:t xml:space="preserve"> Paints (Pty) Ltd</w:t>
      </w:r>
      <w:r w:rsidR="00F71B80">
        <w:rPr>
          <w:rStyle w:val="FootnoteReference"/>
          <w:rFonts w:ascii="Times New Roman" w:hAnsi="Times New Roman"/>
          <w:sz w:val="28"/>
          <w:szCs w:val="28"/>
        </w:rPr>
        <w:footnoteReference w:id="9"/>
      </w:r>
      <w:r w:rsidR="00F71B80" w:rsidRPr="008D253E">
        <w:rPr>
          <w:rFonts w:ascii="Times New Roman" w:hAnsi="Times New Roman"/>
          <w:sz w:val="28"/>
          <w:szCs w:val="28"/>
        </w:rPr>
        <w:t xml:space="preserve"> </w:t>
      </w:r>
      <w:r w:rsidR="00F71B80" w:rsidRPr="008D253E">
        <w:rPr>
          <w:rFonts w:ascii="Times New Roman" w:hAnsi="Times New Roman"/>
          <w:color w:val="000000"/>
          <w:sz w:val="28"/>
          <w:szCs w:val="28"/>
          <w:lang w:eastAsia="en-ZA"/>
        </w:rPr>
        <w:t>m</w:t>
      </w:r>
      <w:r w:rsidR="00F71B80" w:rsidRPr="009A1ED6">
        <w:rPr>
          <w:rFonts w:ascii="Times New Roman" w:hAnsi="Times New Roman"/>
          <w:color w:val="000000"/>
          <w:sz w:val="28"/>
          <w:szCs w:val="28"/>
          <w:lang w:eastAsia="en-ZA"/>
        </w:rPr>
        <w:t>ust therefore be applied and final relief can only be granted if those facts averred by</w:t>
      </w:r>
      <w:r w:rsidR="00062151">
        <w:rPr>
          <w:rFonts w:ascii="Times New Roman" w:hAnsi="Times New Roman"/>
          <w:color w:val="000000"/>
          <w:sz w:val="28"/>
          <w:szCs w:val="28"/>
          <w:lang w:eastAsia="en-ZA"/>
        </w:rPr>
        <w:t xml:space="preserve"> the</w:t>
      </w:r>
      <w:r w:rsidR="00F71B80" w:rsidRPr="009A1ED6">
        <w:rPr>
          <w:rFonts w:ascii="Times New Roman" w:hAnsi="Times New Roman"/>
          <w:color w:val="000000"/>
          <w:sz w:val="28"/>
          <w:szCs w:val="28"/>
          <w:lang w:eastAsia="en-ZA"/>
        </w:rPr>
        <w:t xml:space="preserve"> applicant which have been admitted by the respondent, together with the facts alleged by the respondent, justify such an order.</w:t>
      </w:r>
    </w:p>
    <w:p w14:paraId="140CB330" w14:textId="4864186E" w:rsidR="00F71B80" w:rsidRPr="009A1ED6" w:rsidRDefault="00ED20F0" w:rsidP="00ED20F0">
      <w:pPr>
        <w:pStyle w:val="LegalList1"/>
        <w:spacing w:line="360" w:lineRule="auto"/>
        <w:ind w:left="851" w:hanging="851"/>
        <w:rPr>
          <w:rFonts w:ascii="Times New Roman" w:hAnsi="Times New Roman"/>
          <w:sz w:val="28"/>
          <w:szCs w:val="28"/>
        </w:rPr>
      </w:pPr>
      <w:r w:rsidRPr="009A1ED6">
        <w:rPr>
          <w:rFonts w:ascii="Times New Roman" w:hAnsi="Times New Roman"/>
          <w:sz w:val="28"/>
          <w:szCs w:val="28"/>
        </w:rPr>
        <w:t>[25]</w:t>
      </w:r>
      <w:r w:rsidRPr="009A1ED6">
        <w:rPr>
          <w:rFonts w:ascii="Times New Roman" w:hAnsi="Times New Roman"/>
          <w:sz w:val="28"/>
          <w:szCs w:val="28"/>
        </w:rPr>
        <w:tab/>
      </w:r>
      <w:r w:rsidR="00F71B80" w:rsidRPr="009A1ED6">
        <w:rPr>
          <w:rFonts w:ascii="Times New Roman" w:hAnsi="Times New Roman"/>
          <w:color w:val="000000"/>
          <w:sz w:val="28"/>
          <w:szCs w:val="28"/>
          <w:lang w:eastAsia="en-ZA"/>
        </w:rPr>
        <w:t>In the pre</w:t>
      </w:r>
      <w:r w:rsidR="00F71B80">
        <w:rPr>
          <w:rFonts w:ascii="Times New Roman" w:hAnsi="Times New Roman"/>
          <w:color w:val="000000"/>
          <w:sz w:val="28"/>
          <w:szCs w:val="28"/>
          <w:lang w:eastAsia="en-ZA"/>
        </w:rPr>
        <w:t>sent matter they clearly do not.</w:t>
      </w:r>
    </w:p>
    <w:p w14:paraId="4642FD12" w14:textId="66D30498" w:rsidR="008A39D0"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[26]</w:t>
      </w:r>
      <w:r>
        <w:rPr>
          <w:rFonts w:ascii="Times New Roman" w:hAnsi="Times New Roman"/>
          <w:sz w:val="28"/>
          <w:szCs w:val="28"/>
        </w:rPr>
        <w:tab/>
      </w:r>
      <w:r w:rsidR="008249F1" w:rsidRPr="005335D9">
        <w:rPr>
          <w:rFonts w:ascii="Times New Roman" w:hAnsi="Times New Roman"/>
          <w:sz w:val="28"/>
          <w:szCs w:val="28"/>
        </w:rPr>
        <w:t xml:space="preserve">From what has been dealt with in this judgment, </w:t>
      </w:r>
      <w:proofErr w:type="gramStart"/>
      <w:r w:rsidR="008249F1" w:rsidRPr="005335D9">
        <w:rPr>
          <w:rFonts w:ascii="Times New Roman" w:hAnsi="Times New Roman"/>
          <w:sz w:val="28"/>
          <w:szCs w:val="28"/>
        </w:rPr>
        <w:t>it is clear that the</w:t>
      </w:r>
      <w:proofErr w:type="gramEnd"/>
      <w:r w:rsidR="008249F1" w:rsidRPr="005335D9">
        <w:rPr>
          <w:rFonts w:ascii="Times New Roman" w:hAnsi="Times New Roman"/>
          <w:sz w:val="28"/>
          <w:szCs w:val="28"/>
        </w:rPr>
        <w:t xml:space="preserve"> applicant’s founding affidavit is wholly unsustainable. </w:t>
      </w:r>
      <w:r w:rsidR="005335D9" w:rsidRPr="005335D9">
        <w:rPr>
          <w:rFonts w:ascii="Times New Roman" w:hAnsi="Times New Roman"/>
          <w:sz w:val="28"/>
          <w:szCs w:val="28"/>
        </w:rPr>
        <w:t xml:space="preserve">The scathing and ignominious tone of the replying affidavit is </w:t>
      </w:r>
      <w:r w:rsidR="0024502B">
        <w:rPr>
          <w:rFonts w:ascii="Times New Roman" w:hAnsi="Times New Roman"/>
          <w:sz w:val="28"/>
          <w:szCs w:val="28"/>
        </w:rPr>
        <w:t>gratuitous</w:t>
      </w:r>
      <w:r w:rsidR="0024502B" w:rsidRPr="005335D9">
        <w:rPr>
          <w:rFonts w:ascii="Times New Roman" w:hAnsi="Times New Roman"/>
          <w:sz w:val="28"/>
          <w:szCs w:val="28"/>
        </w:rPr>
        <w:t xml:space="preserve"> </w:t>
      </w:r>
      <w:r w:rsidR="005335D9" w:rsidRPr="005335D9">
        <w:rPr>
          <w:rFonts w:ascii="Times New Roman" w:hAnsi="Times New Roman"/>
          <w:sz w:val="28"/>
          <w:szCs w:val="28"/>
        </w:rPr>
        <w:t xml:space="preserve">and may </w:t>
      </w:r>
      <w:r w:rsidR="00E6060D">
        <w:rPr>
          <w:rFonts w:ascii="Times New Roman" w:hAnsi="Times New Roman"/>
          <w:sz w:val="28"/>
          <w:szCs w:val="28"/>
        </w:rPr>
        <w:t xml:space="preserve">appropriately </w:t>
      </w:r>
      <w:r w:rsidR="005335D9" w:rsidRPr="005335D9">
        <w:rPr>
          <w:rFonts w:ascii="Times New Roman" w:hAnsi="Times New Roman"/>
          <w:sz w:val="28"/>
          <w:szCs w:val="28"/>
        </w:rPr>
        <w:t xml:space="preserve">be attributed to the founding affidavit which </w:t>
      </w:r>
      <w:r w:rsidR="00062151">
        <w:rPr>
          <w:rFonts w:ascii="Times New Roman" w:hAnsi="Times New Roman"/>
          <w:sz w:val="28"/>
          <w:szCs w:val="28"/>
        </w:rPr>
        <w:t xml:space="preserve">may </w:t>
      </w:r>
      <w:r w:rsidR="005335D9" w:rsidRPr="005335D9">
        <w:rPr>
          <w:rFonts w:ascii="Times New Roman" w:hAnsi="Times New Roman"/>
          <w:sz w:val="28"/>
          <w:szCs w:val="28"/>
        </w:rPr>
        <w:t xml:space="preserve">deservedly be </w:t>
      </w:r>
      <w:r w:rsidR="00413C18">
        <w:rPr>
          <w:rFonts w:ascii="Times New Roman" w:hAnsi="Times New Roman"/>
          <w:sz w:val="28"/>
          <w:szCs w:val="28"/>
        </w:rPr>
        <w:t xml:space="preserve">censured </w:t>
      </w:r>
      <w:r w:rsidR="005335D9" w:rsidRPr="005335D9">
        <w:rPr>
          <w:rFonts w:ascii="Times New Roman" w:hAnsi="Times New Roman"/>
          <w:sz w:val="28"/>
          <w:szCs w:val="28"/>
        </w:rPr>
        <w:t>as a</w:t>
      </w:r>
      <w:r w:rsidR="00062151">
        <w:rPr>
          <w:rFonts w:ascii="Times New Roman" w:hAnsi="Times New Roman"/>
          <w:sz w:val="28"/>
          <w:szCs w:val="28"/>
        </w:rPr>
        <w:t>n</w:t>
      </w:r>
      <w:r w:rsidR="005335D9" w:rsidRPr="005335D9">
        <w:rPr>
          <w:rFonts w:ascii="Times New Roman" w:hAnsi="Times New Roman"/>
          <w:sz w:val="28"/>
          <w:szCs w:val="28"/>
        </w:rPr>
        <w:t xml:space="preserve"> </w:t>
      </w:r>
      <w:r w:rsidR="00F71B80">
        <w:rPr>
          <w:rFonts w:ascii="Times New Roman" w:hAnsi="Times New Roman"/>
          <w:sz w:val="28"/>
          <w:szCs w:val="28"/>
        </w:rPr>
        <w:t>inadequately</w:t>
      </w:r>
      <w:r w:rsidR="00F71B80" w:rsidRPr="005335D9">
        <w:rPr>
          <w:rFonts w:ascii="Times New Roman" w:hAnsi="Times New Roman"/>
          <w:sz w:val="28"/>
          <w:szCs w:val="28"/>
        </w:rPr>
        <w:t xml:space="preserve"> </w:t>
      </w:r>
      <w:r w:rsidR="005335D9" w:rsidRPr="005335D9">
        <w:rPr>
          <w:rFonts w:ascii="Times New Roman" w:hAnsi="Times New Roman"/>
          <w:sz w:val="28"/>
          <w:szCs w:val="28"/>
        </w:rPr>
        <w:t>conceptualised effort.</w:t>
      </w:r>
    </w:p>
    <w:p w14:paraId="12F38411" w14:textId="656B7777" w:rsidR="009D7EFC" w:rsidRDefault="00ED20F0" w:rsidP="00ED20F0">
      <w:pPr>
        <w:pStyle w:val="LegalList1"/>
        <w:spacing w:line="360" w:lineRule="auto"/>
        <w:ind w:left="851" w:hanging="851"/>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8249F1" w:rsidRPr="005335D9">
        <w:rPr>
          <w:rFonts w:ascii="Times New Roman" w:hAnsi="Times New Roman"/>
          <w:sz w:val="28"/>
          <w:szCs w:val="28"/>
        </w:rPr>
        <w:t xml:space="preserve">A </w:t>
      </w:r>
      <w:r w:rsidR="00B3083C" w:rsidRPr="005335D9">
        <w:rPr>
          <w:rFonts w:ascii="Times New Roman" w:hAnsi="Times New Roman"/>
          <w:sz w:val="28"/>
          <w:szCs w:val="28"/>
        </w:rPr>
        <w:t xml:space="preserve">concerning </w:t>
      </w:r>
      <w:r w:rsidR="008249F1" w:rsidRPr="005335D9">
        <w:rPr>
          <w:rFonts w:ascii="Times New Roman" w:hAnsi="Times New Roman"/>
          <w:sz w:val="28"/>
          <w:szCs w:val="28"/>
        </w:rPr>
        <w:t xml:space="preserve">aspect of the matter is that both parties </w:t>
      </w:r>
      <w:r w:rsidR="009C7329" w:rsidRPr="005335D9">
        <w:rPr>
          <w:rFonts w:ascii="Times New Roman" w:hAnsi="Times New Roman"/>
          <w:sz w:val="28"/>
          <w:szCs w:val="28"/>
        </w:rPr>
        <w:t xml:space="preserve">have attached material without endeavouring to identify what </w:t>
      </w:r>
      <w:r w:rsidR="00E6060D">
        <w:rPr>
          <w:rFonts w:ascii="Times New Roman" w:hAnsi="Times New Roman"/>
          <w:sz w:val="28"/>
          <w:szCs w:val="28"/>
        </w:rPr>
        <w:t xml:space="preserve">exactly </w:t>
      </w:r>
      <w:r w:rsidR="009C7329" w:rsidRPr="005335D9">
        <w:rPr>
          <w:rFonts w:ascii="Times New Roman" w:hAnsi="Times New Roman"/>
          <w:sz w:val="28"/>
          <w:szCs w:val="28"/>
        </w:rPr>
        <w:t xml:space="preserve">is relevant in support of their respective cases. </w:t>
      </w:r>
      <w:r w:rsidR="0024502B">
        <w:rPr>
          <w:rFonts w:ascii="Times New Roman" w:hAnsi="Times New Roman"/>
          <w:sz w:val="28"/>
          <w:szCs w:val="28"/>
        </w:rPr>
        <w:t xml:space="preserve">It is not the task of this court to go behind their affidavits and undertake a forensic analysis. </w:t>
      </w:r>
      <w:r w:rsidR="00941F13">
        <w:rPr>
          <w:rFonts w:ascii="Times New Roman" w:hAnsi="Times New Roman"/>
          <w:sz w:val="28"/>
          <w:szCs w:val="28"/>
        </w:rPr>
        <w:t xml:space="preserve">Courts are a public resource under </w:t>
      </w:r>
      <w:r w:rsidR="00E6060D" w:rsidRPr="007B012A">
        <w:rPr>
          <w:rFonts w:ascii="Times New Roman" w:hAnsi="Times New Roman"/>
          <w:sz w:val="28"/>
          <w:szCs w:val="28"/>
        </w:rPr>
        <w:t>severe pressure.</w:t>
      </w:r>
      <w:r w:rsidR="00941F13">
        <w:rPr>
          <w:rStyle w:val="FootnoteReference"/>
          <w:rFonts w:ascii="Times New Roman" w:hAnsi="Times New Roman"/>
          <w:sz w:val="28"/>
          <w:szCs w:val="28"/>
        </w:rPr>
        <w:footnoteReference w:id="10"/>
      </w:r>
      <w:r w:rsidR="00B60DD2" w:rsidRPr="00B60DD2">
        <w:rPr>
          <w:rFonts w:ascii="Times New Roman" w:hAnsi="Times New Roman"/>
          <w:sz w:val="28"/>
          <w:szCs w:val="28"/>
        </w:rPr>
        <w:t xml:space="preserve"> </w:t>
      </w:r>
      <w:r w:rsidR="00B60DD2">
        <w:rPr>
          <w:rFonts w:ascii="Times New Roman" w:hAnsi="Times New Roman"/>
          <w:sz w:val="28"/>
          <w:szCs w:val="28"/>
        </w:rPr>
        <w:t xml:space="preserve">It does not bode well for litigants to introduce </w:t>
      </w:r>
      <w:r w:rsidR="00B60DD2" w:rsidRPr="005335D9">
        <w:rPr>
          <w:rFonts w:ascii="Times New Roman" w:hAnsi="Times New Roman"/>
          <w:sz w:val="28"/>
          <w:szCs w:val="28"/>
        </w:rPr>
        <w:t xml:space="preserve">matter </w:t>
      </w:r>
      <w:r w:rsidR="00B60DD2">
        <w:rPr>
          <w:rFonts w:ascii="Times New Roman" w:hAnsi="Times New Roman"/>
          <w:sz w:val="28"/>
          <w:szCs w:val="28"/>
        </w:rPr>
        <w:t>that unnecessarily labours</w:t>
      </w:r>
      <w:r w:rsidR="00B60DD2" w:rsidRPr="005335D9">
        <w:rPr>
          <w:rFonts w:ascii="Times New Roman" w:hAnsi="Times New Roman"/>
          <w:sz w:val="28"/>
          <w:szCs w:val="28"/>
        </w:rPr>
        <w:t xml:space="preserve"> </w:t>
      </w:r>
      <w:r w:rsidR="00B60DD2" w:rsidRPr="007B012A">
        <w:rPr>
          <w:rFonts w:ascii="Times New Roman" w:hAnsi="Times New Roman"/>
          <w:sz w:val="28"/>
          <w:szCs w:val="28"/>
        </w:rPr>
        <w:t>the issues for determination</w:t>
      </w:r>
      <w:r w:rsidR="00B60DD2">
        <w:rPr>
          <w:rFonts w:ascii="Times New Roman" w:hAnsi="Times New Roman"/>
          <w:sz w:val="28"/>
          <w:szCs w:val="28"/>
        </w:rPr>
        <w:t xml:space="preserve">. </w:t>
      </w:r>
      <w:r w:rsidR="00F71B80">
        <w:rPr>
          <w:rFonts w:ascii="Times New Roman" w:hAnsi="Times New Roman"/>
          <w:sz w:val="28"/>
          <w:szCs w:val="28"/>
        </w:rPr>
        <w:t xml:space="preserve">This sentiment </w:t>
      </w:r>
      <w:r w:rsidR="00FD57AC">
        <w:rPr>
          <w:rFonts w:ascii="Times New Roman" w:hAnsi="Times New Roman"/>
          <w:sz w:val="28"/>
          <w:szCs w:val="28"/>
        </w:rPr>
        <w:t>influences my discretion on costs.</w:t>
      </w:r>
    </w:p>
    <w:p w14:paraId="231E4290" w14:textId="3C51068C" w:rsidR="005335D9" w:rsidRPr="007B012A" w:rsidRDefault="00ED20F0" w:rsidP="00ED20F0">
      <w:pPr>
        <w:pStyle w:val="LegalList1"/>
        <w:spacing w:line="360" w:lineRule="auto"/>
        <w:ind w:left="851" w:hanging="851"/>
        <w:rPr>
          <w:rFonts w:ascii="Times New Roman" w:hAnsi="Times New Roman"/>
          <w:sz w:val="28"/>
          <w:szCs w:val="28"/>
        </w:rPr>
      </w:pPr>
      <w:r w:rsidRPr="007B012A">
        <w:rPr>
          <w:rFonts w:ascii="Times New Roman" w:hAnsi="Times New Roman"/>
          <w:sz w:val="28"/>
          <w:szCs w:val="28"/>
        </w:rPr>
        <w:t>[28]</w:t>
      </w:r>
      <w:r w:rsidRPr="007B012A">
        <w:rPr>
          <w:rFonts w:ascii="Times New Roman" w:hAnsi="Times New Roman"/>
          <w:sz w:val="28"/>
          <w:szCs w:val="28"/>
        </w:rPr>
        <w:tab/>
      </w:r>
      <w:r w:rsidR="007B012A" w:rsidRPr="007B012A">
        <w:rPr>
          <w:rFonts w:ascii="Times New Roman" w:hAnsi="Times New Roman"/>
          <w:sz w:val="28"/>
          <w:szCs w:val="28"/>
        </w:rPr>
        <w:t>In the circumstances the following order issues:</w:t>
      </w:r>
    </w:p>
    <w:p w14:paraId="5AEC659A" w14:textId="3906289E" w:rsidR="007B012A" w:rsidRDefault="00ED20F0" w:rsidP="00ED20F0">
      <w:pPr>
        <w:pStyle w:val="LegalList1"/>
        <w:spacing w:line="360" w:lineRule="auto"/>
        <w:ind w:left="1211"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012A" w:rsidRPr="007B012A">
        <w:rPr>
          <w:rFonts w:ascii="Times New Roman" w:hAnsi="Times New Roman"/>
          <w:sz w:val="28"/>
          <w:szCs w:val="28"/>
        </w:rPr>
        <w:t>The application is dismissed.</w:t>
      </w:r>
    </w:p>
    <w:p w14:paraId="3A02B63D" w14:textId="6E07B70C" w:rsidR="007B012A" w:rsidRPr="00F001C3" w:rsidRDefault="00ED20F0" w:rsidP="00ED20F0">
      <w:pPr>
        <w:pStyle w:val="LegalList1"/>
        <w:spacing w:line="360" w:lineRule="auto"/>
        <w:ind w:left="1211" w:hanging="360"/>
        <w:rPr>
          <w:rFonts w:ascii="Times New Roman" w:hAnsi="Times New Roman"/>
          <w:sz w:val="28"/>
          <w:szCs w:val="28"/>
        </w:rPr>
      </w:pPr>
      <w:r w:rsidRPr="00F001C3">
        <w:rPr>
          <w:rFonts w:ascii="Times New Roman" w:hAnsi="Times New Roman"/>
          <w:sz w:val="28"/>
          <w:szCs w:val="28"/>
        </w:rPr>
        <w:t>2.</w:t>
      </w:r>
      <w:r w:rsidRPr="00F001C3">
        <w:rPr>
          <w:rFonts w:ascii="Times New Roman" w:hAnsi="Times New Roman"/>
          <w:sz w:val="28"/>
          <w:szCs w:val="28"/>
        </w:rPr>
        <w:tab/>
      </w:r>
      <w:r w:rsidR="007B012A" w:rsidRPr="00F001C3">
        <w:rPr>
          <w:rFonts w:ascii="Times New Roman" w:hAnsi="Times New Roman"/>
          <w:sz w:val="28"/>
          <w:szCs w:val="28"/>
        </w:rPr>
        <w:t>Each party shall pay their own costs.</w:t>
      </w:r>
    </w:p>
    <w:p w14:paraId="15160E37" w14:textId="77777777" w:rsidR="005335D9" w:rsidRPr="007B012A" w:rsidRDefault="005335D9" w:rsidP="00522840">
      <w:pPr>
        <w:rPr>
          <w:rFonts w:ascii="Times New Roman" w:hAnsi="Times New Roman" w:cs="Times New Roman"/>
          <w:sz w:val="28"/>
          <w:szCs w:val="28"/>
        </w:rPr>
      </w:pPr>
    </w:p>
    <w:p w14:paraId="0A2C1579" w14:textId="77777777" w:rsidR="005335D9" w:rsidRPr="007B012A" w:rsidRDefault="005335D9" w:rsidP="005335D9">
      <w:pPr>
        <w:spacing w:line="360" w:lineRule="auto"/>
        <w:jc w:val="both"/>
        <w:rPr>
          <w:rFonts w:ascii="Times New Roman" w:hAnsi="Times New Roman" w:cs="Times New Roman"/>
          <w:color w:val="000000"/>
          <w:sz w:val="28"/>
          <w:szCs w:val="28"/>
        </w:rPr>
      </w:pPr>
    </w:p>
    <w:p w14:paraId="58406CFE" w14:textId="77777777" w:rsidR="005335D9" w:rsidRDefault="005335D9" w:rsidP="005335D9">
      <w:pPr>
        <w:spacing w:line="360" w:lineRule="auto"/>
        <w:jc w:val="both"/>
        <w:rPr>
          <w:rFonts w:ascii="Times New Roman" w:hAnsi="Times New Roman"/>
          <w:color w:val="000000"/>
          <w:sz w:val="28"/>
          <w:szCs w:val="28"/>
        </w:rPr>
      </w:pPr>
    </w:p>
    <w:p w14:paraId="3AA2224B" w14:textId="77777777" w:rsidR="00F001C3" w:rsidRDefault="00F001C3" w:rsidP="005335D9">
      <w:pPr>
        <w:spacing w:line="360" w:lineRule="auto"/>
        <w:jc w:val="both"/>
        <w:rPr>
          <w:rFonts w:ascii="Times New Roman" w:hAnsi="Times New Roman"/>
          <w:color w:val="000000"/>
          <w:sz w:val="28"/>
          <w:szCs w:val="28"/>
        </w:rPr>
      </w:pPr>
    </w:p>
    <w:p w14:paraId="790A5ECD" w14:textId="77777777" w:rsidR="005335D9" w:rsidRDefault="005335D9" w:rsidP="005335D9">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14:paraId="1DE3CA39" w14:textId="77777777" w:rsidR="005335D9" w:rsidRPr="009E483B" w:rsidRDefault="005335D9" w:rsidP="005335D9">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14:paraId="46D1A7FA" w14:textId="77777777" w:rsidR="005335D9" w:rsidRPr="009E483B" w:rsidRDefault="005335D9" w:rsidP="005335D9">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14:paraId="7425EF4B" w14:textId="77777777" w:rsidR="005335D9" w:rsidRDefault="005335D9" w:rsidP="005335D9">
      <w:pPr>
        <w:pStyle w:val="LegalList1"/>
        <w:spacing w:line="240" w:lineRule="auto"/>
        <w:ind w:left="851"/>
        <w:rPr>
          <w:rFonts w:ascii="Times New Roman" w:hAnsi="Times New Roman"/>
          <w:sz w:val="28"/>
          <w:szCs w:val="28"/>
        </w:rPr>
      </w:pPr>
    </w:p>
    <w:p w14:paraId="6E5A0967" w14:textId="77777777" w:rsidR="005335D9" w:rsidRDefault="005335D9" w:rsidP="005335D9">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14:paraId="0F27A9AF" w14:textId="77777777" w:rsidR="005335D9" w:rsidRPr="009E483B" w:rsidRDefault="005335D9" w:rsidP="005335D9">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BD2A2D">
        <w:rPr>
          <w:rFonts w:ascii="Times New Roman" w:hAnsi="Times New Roman" w:cs="Times New Roman"/>
          <w:sz w:val="28"/>
          <w:szCs w:val="28"/>
        </w:rPr>
        <w:t>Applicant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sidR="00BD2A2D">
        <w:rPr>
          <w:rFonts w:ascii="Times New Roman" w:hAnsi="Times New Roman" w:cs="Times New Roman"/>
          <w:sz w:val="28"/>
          <w:szCs w:val="28"/>
        </w:rPr>
        <w:t>B. Metu</w:t>
      </w:r>
    </w:p>
    <w:p w14:paraId="7FA55C63" w14:textId="77777777" w:rsidR="005335D9" w:rsidRDefault="005335D9" w:rsidP="005335D9">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Instructed by</w:t>
      </w:r>
    </w:p>
    <w:p w14:paraId="05D63C8D" w14:textId="77777777" w:rsidR="005335D9" w:rsidRPr="009E483B" w:rsidRDefault="005335D9" w:rsidP="005335D9">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D2A2D">
        <w:rPr>
          <w:rFonts w:ascii="Times New Roman" w:hAnsi="Times New Roman" w:cs="Times New Roman"/>
          <w:sz w:val="28"/>
          <w:szCs w:val="28"/>
        </w:rPr>
        <w:t xml:space="preserve">G. N. </w:t>
      </w:r>
      <w:proofErr w:type="spellStart"/>
      <w:r w:rsidR="00BD2A2D">
        <w:rPr>
          <w:rFonts w:ascii="Times New Roman" w:hAnsi="Times New Roman" w:cs="Times New Roman"/>
          <w:sz w:val="28"/>
          <w:szCs w:val="28"/>
        </w:rPr>
        <w:t>Jojwana</w:t>
      </w:r>
      <w:proofErr w:type="spellEnd"/>
      <w:r w:rsidR="00BD2A2D">
        <w:rPr>
          <w:rFonts w:ascii="Times New Roman" w:hAnsi="Times New Roman" w:cs="Times New Roman"/>
          <w:sz w:val="28"/>
          <w:szCs w:val="28"/>
        </w:rPr>
        <w:t xml:space="preserve"> Attorneys Inc.</w:t>
      </w:r>
    </w:p>
    <w:p w14:paraId="06DDA6FF" w14:textId="77777777" w:rsidR="00BD2A2D" w:rsidRDefault="005335D9" w:rsidP="005335D9">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 xml:space="preserve">c/o </w:t>
      </w:r>
      <w:r w:rsidR="00BD2A2D">
        <w:rPr>
          <w:rFonts w:ascii="Times New Roman" w:hAnsi="Times New Roman" w:cs="Times New Roman"/>
          <w:sz w:val="28"/>
          <w:szCs w:val="28"/>
        </w:rPr>
        <w:t xml:space="preserve">Khaya </w:t>
      </w:r>
      <w:proofErr w:type="spellStart"/>
      <w:r w:rsidR="00BD2A2D">
        <w:rPr>
          <w:rFonts w:ascii="Times New Roman" w:hAnsi="Times New Roman" w:cs="Times New Roman"/>
          <w:sz w:val="28"/>
          <w:szCs w:val="28"/>
        </w:rPr>
        <w:t>Dywanisi</w:t>
      </w:r>
      <w:proofErr w:type="spellEnd"/>
      <w:r w:rsidR="00BD2A2D">
        <w:rPr>
          <w:rFonts w:ascii="Times New Roman" w:hAnsi="Times New Roman" w:cs="Times New Roman"/>
          <w:sz w:val="28"/>
          <w:szCs w:val="28"/>
        </w:rPr>
        <w:t xml:space="preserve"> Attorneys Inc.</w:t>
      </w:r>
    </w:p>
    <w:p w14:paraId="005C39D7" w14:textId="77777777" w:rsidR="00BD2A2D" w:rsidRDefault="00BD2A2D" w:rsidP="00BD2A2D">
      <w:pPr>
        <w:ind w:left="3862" w:firstLine="458"/>
        <w:rPr>
          <w:rFonts w:ascii="Times New Roman" w:hAnsi="Times New Roman" w:cs="Times New Roman"/>
          <w:sz w:val="28"/>
          <w:szCs w:val="28"/>
        </w:rPr>
      </w:pPr>
      <w:proofErr w:type="spellStart"/>
      <w:r>
        <w:rPr>
          <w:rFonts w:ascii="Times New Roman" w:hAnsi="Times New Roman" w:cs="Times New Roman"/>
          <w:sz w:val="28"/>
          <w:szCs w:val="28"/>
        </w:rPr>
        <w:t>Qonce</w:t>
      </w:r>
      <w:proofErr w:type="spellEnd"/>
    </w:p>
    <w:p w14:paraId="6D239F3B" w14:textId="77777777" w:rsidR="005335D9" w:rsidRDefault="00BD2A2D" w:rsidP="00BD2A2D">
      <w:pPr>
        <w:ind w:left="3862" w:firstLine="458"/>
        <w:rPr>
          <w:rFonts w:ascii="Times New Roman" w:hAnsi="Times New Roman" w:cs="Times New Roman"/>
          <w:sz w:val="28"/>
          <w:szCs w:val="28"/>
        </w:rPr>
      </w:pPr>
      <w:r>
        <w:rPr>
          <w:rFonts w:ascii="Times New Roman" w:hAnsi="Times New Roman" w:cs="Times New Roman"/>
          <w:sz w:val="28"/>
          <w:szCs w:val="28"/>
        </w:rPr>
        <w:t>Tel: 043-6436 109 or 084 2197 049</w:t>
      </w:r>
    </w:p>
    <w:p w14:paraId="0AA08822" w14:textId="77777777" w:rsidR="000B0A25" w:rsidRDefault="00BD2A2D" w:rsidP="006F5347">
      <w:pPr>
        <w:ind w:left="3862" w:firstLine="458"/>
        <w:rPr>
          <w:rFonts w:ascii="Times New Roman" w:hAnsi="Times New Roman" w:cs="Times New Roman"/>
          <w:sz w:val="28"/>
          <w:szCs w:val="28"/>
        </w:rPr>
      </w:pPr>
      <w:r>
        <w:rPr>
          <w:rFonts w:ascii="Times New Roman" w:hAnsi="Times New Roman" w:cs="Times New Roman"/>
          <w:sz w:val="28"/>
          <w:szCs w:val="28"/>
        </w:rPr>
        <w:t xml:space="preserve">Email: </w:t>
      </w:r>
      <w:hyperlink r:id="rId9" w:history="1">
        <w:r w:rsidR="000B0A25" w:rsidRPr="00AF4A2B">
          <w:rPr>
            <w:rStyle w:val="Hyperlink"/>
            <w:rFonts w:ascii="Times New Roman" w:hAnsi="Times New Roman" w:cs="Times New Roman"/>
            <w:sz w:val="28"/>
            <w:szCs w:val="28"/>
          </w:rPr>
          <w:t>khaya@kkdattorneys.co.za</w:t>
        </w:r>
      </w:hyperlink>
    </w:p>
    <w:p w14:paraId="4B933F37" w14:textId="77777777" w:rsidR="00FD57AC" w:rsidRDefault="00000000" w:rsidP="006F5347">
      <w:pPr>
        <w:ind w:left="3862" w:firstLine="458"/>
        <w:rPr>
          <w:rFonts w:ascii="Times New Roman" w:hAnsi="Times New Roman" w:cs="Times New Roman"/>
          <w:sz w:val="28"/>
          <w:szCs w:val="28"/>
        </w:rPr>
      </w:pPr>
      <w:hyperlink r:id="rId10" w:history="1">
        <w:r w:rsidR="00FD57AC" w:rsidRPr="00AF4A2B">
          <w:rPr>
            <w:rStyle w:val="Hyperlink"/>
            <w:rFonts w:ascii="Times New Roman" w:hAnsi="Times New Roman" w:cs="Times New Roman"/>
            <w:sz w:val="28"/>
            <w:szCs w:val="28"/>
          </w:rPr>
          <w:t>babalo.metu@gmail.com</w:t>
        </w:r>
      </w:hyperlink>
    </w:p>
    <w:p w14:paraId="6AED0A07" w14:textId="77777777" w:rsidR="005335D9" w:rsidRDefault="005335D9" w:rsidP="006F5347">
      <w:pPr>
        <w:ind w:left="3862" w:firstLine="458"/>
        <w:rPr>
          <w:rFonts w:ascii="Times New Roman" w:hAnsi="Times New Roman" w:cs="Times New Roman"/>
          <w:sz w:val="28"/>
          <w:szCs w:val="28"/>
        </w:rPr>
      </w:pPr>
      <w:r w:rsidRPr="009E483B">
        <w:rPr>
          <w:rFonts w:ascii="Times New Roman" w:hAnsi="Times New Roman" w:cs="Times New Roman"/>
          <w:sz w:val="28"/>
          <w:szCs w:val="28"/>
        </w:rPr>
        <w:t xml:space="preserve">(Ref: </w:t>
      </w:r>
      <w:r w:rsidR="000B0A25">
        <w:rPr>
          <w:rFonts w:ascii="Times New Roman" w:hAnsi="Times New Roman" w:cs="Times New Roman"/>
          <w:sz w:val="28"/>
          <w:szCs w:val="28"/>
        </w:rPr>
        <w:t xml:space="preserve">K </w:t>
      </w:r>
      <w:proofErr w:type="spellStart"/>
      <w:r w:rsidR="000B0A25">
        <w:rPr>
          <w:rFonts w:ascii="Times New Roman" w:hAnsi="Times New Roman" w:cs="Times New Roman"/>
          <w:sz w:val="28"/>
          <w:szCs w:val="28"/>
        </w:rPr>
        <w:t>Dywanisi</w:t>
      </w:r>
      <w:proofErr w:type="spellEnd"/>
      <w:r w:rsidRPr="009E483B">
        <w:rPr>
          <w:rFonts w:ascii="Times New Roman" w:hAnsi="Times New Roman" w:cs="Times New Roman"/>
          <w:sz w:val="28"/>
          <w:szCs w:val="28"/>
        </w:rPr>
        <w:t>)</w:t>
      </w:r>
    </w:p>
    <w:p w14:paraId="22A6A1B6" w14:textId="77777777" w:rsidR="005335D9" w:rsidRPr="009E483B" w:rsidRDefault="005335D9" w:rsidP="005335D9">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D967DA2" w14:textId="77777777" w:rsidR="005335D9" w:rsidRPr="00DE1B37" w:rsidRDefault="005335D9" w:rsidP="005335D9">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6F5347">
        <w:rPr>
          <w:rFonts w:ascii="Times New Roman" w:hAnsi="Times New Roman" w:cs="Times New Roman"/>
          <w:sz w:val="28"/>
          <w:szCs w:val="28"/>
        </w:rPr>
        <w:t>Respondent</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sidR="006F5347">
        <w:rPr>
          <w:rFonts w:ascii="Times New Roman" w:hAnsi="Times New Roman" w:cs="Times New Roman"/>
          <w:sz w:val="28"/>
          <w:szCs w:val="28"/>
        </w:rPr>
        <w:t xml:space="preserve">L. X. </w:t>
      </w:r>
      <w:proofErr w:type="spellStart"/>
      <w:r w:rsidR="006F5347">
        <w:rPr>
          <w:rFonts w:ascii="Times New Roman" w:hAnsi="Times New Roman" w:cs="Times New Roman"/>
          <w:sz w:val="28"/>
          <w:szCs w:val="28"/>
        </w:rPr>
        <w:t>Mpiti</w:t>
      </w:r>
      <w:proofErr w:type="spellEnd"/>
    </w:p>
    <w:p w14:paraId="415EAABC" w14:textId="77777777" w:rsidR="005335D9" w:rsidRDefault="005335D9" w:rsidP="005335D9">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14:paraId="67C8C3F0" w14:textId="77777777" w:rsidR="005335D9" w:rsidRDefault="006F5347" w:rsidP="005335D9">
      <w:pPr>
        <w:ind w:left="3600" w:firstLine="720"/>
        <w:rPr>
          <w:rFonts w:ascii="Times New Roman" w:hAnsi="Times New Roman" w:cs="Times New Roman"/>
          <w:sz w:val="28"/>
          <w:szCs w:val="28"/>
        </w:rPr>
      </w:pPr>
      <w:r>
        <w:rPr>
          <w:rFonts w:ascii="Times New Roman" w:hAnsi="Times New Roman" w:cs="Times New Roman"/>
          <w:sz w:val="28"/>
          <w:szCs w:val="28"/>
        </w:rPr>
        <w:t xml:space="preserve">The </w:t>
      </w:r>
      <w:r w:rsidR="008D4B7D">
        <w:rPr>
          <w:rFonts w:ascii="Times New Roman" w:hAnsi="Times New Roman" w:cs="Times New Roman"/>
          <w:sz w:val="28"/>
          <w:szCs w:val="28"/>
        </w:rPr>
        <w:t>Of</w:t>
      </w:r>
      <w:r>
        <w:rPr>
          <w:rFonts w:ascii="Times New Roman" w:hAnsi="Times New Roman" w:cs="Times New Roman"/>
          <w:sz w:val="28"/>
          <w:szCs w:val="28"/>
        </w:rPr>
        <w:t>fice of the State Attorney</w:t>
      </w:r>
    </w:p>
    <w:p w14:paraId="1C11BFA2" w14:textId="77777777" w:rsidR="005335D9" w:rsidRDefault="006F5347" w:rsidP="005335D9">
      <w:pPr>
        <w:ind w:left="3600" w:firstLine="720"/>
        <w:rPr>
          <w:rFonts w:ascii="Times New Roman" w:hAnsi="Times New Roman" w:cs="Times New Roman"/>
          <w:sz w:val="28"/>
          <w:szCs w:val="28"/>
        </w:rPr>
      </w:pPr>
      <w:r>
        <w:rPr>
          <w:rFonts w:ascii="Times New Roman" w:hAnsi="Times New Roman" w:cs="Times New Roman"/>
          <w:sz w:val="28"/>
          <w:szCs w:val="28"/>
        </w:rPr>
        <w:t>East London</w:t>
      </w:r>
    </w:p>
    <w:p w14:paraId="6FF15D79" w14:textId="77777777" w:rsidR="008D4B7D" w:rsidRDefault="008D4B7D" w:rsidP="005335D9">
      <w:pPr>
        <w:ind w:left="3600" w:firstLine="720"/>
        <w:rPr>
          <w:rFonts w:ascii="Times New Roman" w:hAnsi="Times New Roman" w:cs="Times New Roman"/>
          <w:sz w:val="28"/>
          <w:szCs w:val="28"/>
        </w:rPr>
      </w:pPr>
      <w:r>
        <w:rPr>
          <w:rFonts w:ascii="Times New Roman" w:hAnsi="Times New Roman" w:cs="Times New Roman"/>
          <w:sz w:val="28"/>
          <w:szCs w:val="28"/>
        </w:rPr>
        <w:t>(Ref: 164/22-P15</w:t>
      </w:r>
      <w:r w:rsidR="00B902E1">
        <w:rPr>
          <w:rFonts w:ascii="Times New Roman" w:hAnsi="Times New Roman" w:cs="Times New Roman"/>
          <w:sz w:val="28"/>
          <w:szCs w:val="28"/>
        </w:rPr>
        <w:t xml:space="preserve"> Mrs. </w:t>
      </w:r>
      <w:proofErr w:type="spellStart"/>
      <w:r w:rsidR="00B902E1">
        <w:rPr>
          <w:rFonts w:ascii="Times New Roman" w:hAnsi="Times New Roman" w:cs="Times New Roman"/>
          <w:sz w:val="28"/>
          <w:szCs w:val="28"/>
        </w:rPr>
        <w:t>Gabula</w:t>
      </w:r>
      <w:proofErr w:type="spellEnd"/>
      <w:r w:rsidR="00B902E1">
        <w:rPr>
          <w:rFonts w:ascii="Times New Roman" w:hAnsi="Times New Roman" w:cs="Times New Roman"/>
          <w:sz w:val="28"/>
          <w:szCs w:val="28"/>
        </w:rPr>
        <w:t>)</w:t>
      </w:r>
    </w:p>
    <w:p w14:paraId="199BF0EE" w14:textId="77777777" w:rsidR="00B902E1" w:rsidRDefault="00B902E1" w:rsidP="005335D9">
      <w:pPr>
        <w:ind w:left="3600" w:firstLine="720"/>
        <w:rPr>
          <w:rFonts w:ascii="Times New Roman" w:hAnsi="Times New Roman" w:cs="Times New Roman"/>
          <w:sz w:val="28"/>
          <w:szCs w:val="28"/>
        </w:rPr>
      </w:pPr>
      <w:r>
        <w:rPr>
          <w:rFonts w:ascii="Times New Roman" w:hAnsi="Times New Roman" w:cs="Times New Roman"/>
          <w:sz w:val="28"/>
          <w:szCs w:val="28"/>
        </w:rPr>
        <w:t>Tel:</w:t>
      </w:r>
      <w:r w:rsidR="000B0A25">
        <w:rPr>
          <w:rFonts w:ascii="Times New Roman" w:hAnsi="Times New Roman" w:cs="Times New Roman"/>
          <w:sz w:val="28"/>
          <w:szCs w:val="28"/>
        </w:rPr>
        <w:t xml:space="preserve"> 082 948 1856 / 083 466 4673</w:t>
      </w:r>
    </w:p>
    <w:p w14:paraId="0E76AB9D" w14:textId="77777777" w:rsidR="00B902E1" w:rsidRDefault="00B902E1" w:rsidP="005335D9">
      <w:pPr>
        <w:ind w:left="3600" w:firstLine="720"/>
        <w:rPr>
          <w:rFonts w:ascii="Times New Roman" w:hAnsi="Times New Roman" w:cs="Times New Roman"/>
          <w:sz w:val="28"/>
          <w:szCs w:val="28"/>
        </w:rPr>
      </w:pPr>
      <w:r>
        <w:rPr>
          <w:rFonts w:ascii="Times New Roman" w:hAnsi="Times New Roman" w:cs="Times New Roman"/>
          <w:sz w:val="28"/>
          <w:szCs w:val="28"/>
        </w:rPr>
        <w:t>Email:</w:t>
      </w:r>
      <w:r w:rsidR="000B0A25">
        <w:rPr>
          <w:rFonts w:ascii="Times New Roman" w:hAnsi="Times New Roman" w:cs="Times New Roman"/>
          <w:sz w:val="28"/>
          <w:szCs w:val="28"/>
        </w:rPr>
        <w:t xml:space="preserve">  </w:t>
      </w:r>
      <w:hyperlink r:id="rId11" w:history="1">
        <w:r w:rsidR="00C7374B" w:rsidRPr="00AF4A2B">
          <w:rPr>
            <w:rStyle w:val="Hyperlink"/>
            <w:rFonts w:ascii="Times New Roman" w:hAnsi="Times New Roman" w:cs="Times New Roman"/>
            <w:sz w:val="28"/>
            <w:szCs w:val="28"/>
          </w:rPr>
          <w:t>AGabula@justice.gov.za</w:t>
        </w:r>
      </w:hyperlink>
    </w:p>
    <w:p w14:paraId="79A24EA5" w14:textId="77777777" w:rsidR="00C7374B" w:rsidRDefault="00000000" w:rsidP="005335D9">
      <w:pPr>
        <w:ind w:left="3600" w:firstLine="720"/>
        <w:rPr>
          <w:rFonts w:ascii="Times New Roman" w:hAnsi="Times New Roman" w:cs="Times New Roman"/>
          <w:sz w:val="28"/>
          <w:szCs w:val="28"/>
        </w:rPr>
      </w:pPr>
      <w:hyperlink r:id="rId12" w:history="1">
        <w:r w:rsidR="00AB51E0" w:rsidRPr="00AF4A2B">
          <w:rPr>
            <w:rStyle w:val="Hyperlink"/>
            <w:rFonts w:ascii="Times New Roman" w:hAnsi="Times New Roman" w:cs="Times New Roman"/>
            <w:sz w:val="28"/>
            <w:szCs w:val="28"/>
          </w:rPr>
          <w:t>nolithagabula63@gmail.com</w:t>
        </w:r>
      </w:hyperlink>
    </w:p>
    <w:p w14:paraId="62AFFB03" w14:textId="77777777" w:rsidR="00B91C49" w:rsidRDefault="00000000" w:rsidP="005335D9">
      <w:pPr>
        <w:ind w:left="3600" w:firstLine="720"/>
        <w:rPr>
          <w:rFonts w:ascii="Times New Roman" w:hAnsi="Times New Roman" w:cs="Times New Roman"/>
          <w:sz w:val="28"/>
          <w:szCs w:val="28"/>
        </w:rPr>
      </w:pPr>
      <w:hyperlink r:id="rId13" w:history="1">
        <w:r w:rsidR="00B91C49" w:rsidRPr="00AF4A2B">
          <w:rPr>
            <w:rStyle w:val="Hyperlink"/>
            <w:rFonts w:ascii="Times New Roman" w:hAnsi="Times New Roman" w:cs="Times New Roman"/>
            <w:sz w:val="28"/>
            <w:szCs w:val="28"/>
          </w:rPr>
          <w:t>mpitilx@gmail.com</w:t>
        </w:r>
      </w:hyperlink>
    </w:p>
    <w:p w14:paraId="143D91A9" w14:textId="77777777" w:rsidR="00B91C49" w:rsidRDefault="00B91C49" w:rsidP="005335D9">
      <w:pPr>
        <w:ind w:left="3600" w:firstLine="720"/>
        <w:rPr>
          <w:rFonts w:ascii="Times New Roman" w:hAnsi="Times New Roman" w:cs="Times New Roman"/>
          <w:sz w:val="28"/>
          <w:szCs w:val="28"/>
        </w:rPr>
      </w:pPr>
    </w:p>
    <w:p w14:paraId="1909C5A2" w14:textId="77777777" w:rsidR="00AB51E0" w:rsidRDefault="00AB51E0" w:rsidP="005335D9">
      <w:pPr>
        <w:ind w:left="3600" w:firstLine="720"/>
        <w:rPr>
          <w:rFonts w:ascii="Times New Roman" w:hAnsi="Times New Roman" w:cs="Times New Roman"/>
          <w:sz w:val="28"/>
          <w:szCs w:val="28"/>
        </w:rPr>
      </w:pPr>
    </w:p>
    <w:p w14:paraId="26EF8509" w14:textId="77777777" w:rsidR="005335D9" w:rsidRDefault="005335D9" w:rsidP="005335D9">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15 September 2022</w:t>
      </w:r>
      <w:r w:rsidR="00DE0BD7">
        <w:rPr>
          <w:rFonts w:ascii="Times New Roman" w:hAnsi="Times New Roman"/>
          <w:sz w:val="28"/>
          <w:szCs w:val="28"/>
        </w:rPr>
        <w:t>.</w:t>
      </w:r>
    </w:p>
    <w:p w14:paraId="4DCF720D" w14:textId="77777777" w:rsidR="003B27BE" w:rsidRPr="00EB6675" w:rsidRDefault="005335D9" w:rsidP="00DE0BD7">
      <w:pPr>
        <w:pStyle w:val="LegalList1"/>
        <w:spacing w:line="360" w:lineRule="auto"/>
        <w:ind w:left="851"/>
        <w:rPr>
          <w:rFonts w:ascii="Times New Roman" w:hAnsi="Times New Roman"/>
          <w:sz w:val="28"/>
          <w:szCs w:val="28"/>
        </w:rPr>
      </w:pPr>
      <w:r w:rsidRPr="00EB6675">
        <w:rPr>
          <w:rFonts w:ascii="Times New Roman" w:hAnsi="Times New Roman"/>
          <w:sz w:val="28"/>
          <w:szCs w:val="28"/>
        </w:rPr>
        <w:t>Date delivered:</w:t>
      </w:r>
      <w:r w:rsidRPr="00EB6675">
        <w:rPr>
          <w:rFonts w:ascii="Times New Roman" w:hAnsi="Times New Roman"/>
          <w:sz w:val="28"/>
          <w:szCs w:val="28"/>
        </w:rPr>
        <w:tab/>
      </w:r>
      <w:r w:rsidRPr="00EB6675">
        <w:rPr>
          <w:rFonts w:ascii="Times New Roman" w:hAnsi="Times New Roman"/>
          <w:sz w:val="28"/>
          <w:szCs w:val="28"/>
        </w:rPr>
        <w:tab/>
      </w:r>
      <w:r w:rsidRPr="00EB6675">
        <w:rPr>
          <w:rFonts w:ascii="Times New Roman" w:hAnsi="Times New Roman"/>
          <w:sz w:val="28"/>
          <w:szCs w:val="28"/>
        </w:rPr>
        <w:tab/>
        <w:t>14 December 2022</w:t>
      </w:r>
      <w:r w:rsidR="00DE0BD7" w:rsidRPr="00EB6675">
        <w:rPr>
          <w:rFonts w:ascii="Times New Roman" w:hAnsi="Times New Roman"/>
          <w:sz w:val="28"/>
          <w:szCs w:val="28"/>
        </w:rPr>
        <w:t>.</w:t>
      </w:r>
    </w:p>
    <w:p w14:paraId="2A573703" w14:textId="77777777" w:rsidR="00EB6675" w:rsidRPr="00EB6675" w:rsidRDefault="00EB6675" w:rsidP="00EB6675">
      <w:pPr>
        <w:spacing w:line="360" w:lineRule="auto"/>
        <w:jc w:val="both"/>
        <w:rPr>
          <w:rFonts w:ascii="Times New Roman" w:hAnsi="Times New Roman" w:cs="Times New Roman"/>
          <w:b/>
          <w:sz w:val="28"/>
          <w:szCs w:val="28"/>
        </w:rPr>
      </w:pPr>
    </w:p>
    <w:p w14:paraId="6EE64335" w14:textId="77777777" w:rsidR="00EB6675" w:rsidRPr="0070307F" w:rsidRDefault="00EB6675" w:rsidP="00EB6675">
      <w:pPr>
        <w:spacing w:line="360" w:lineRule="auto"/>
        <w:ind w:left="851"/>
        <w:jc w:val="both"/>
        <w:rPr>
          <w:rFonts w:ascii="Times New Roman" w:hAnsi="Times New Roman" w:cs="Times New Roman"/>
          <w:sz w:val="28"/>
          <w:szCs w:val="28"/>
        </w:rPr>
      </w:pPr>
      <w:r w:rsidRPr="0070307F">
        <w:rPr>
          <w:rFonts w:ascii="Times New Roman" w:hAnsi="Times New Roman" w:cs="Times New Roman"/>
          <w:sz w:val="28"/>
          <w:szCs w:val="28"/>
        </w:rPr>
        <w:t xml:space="preserve">This judgment was handed down electronically </w:t>
      </w:r>
      <w:r w:rsidR="0070307F">
        <w:rPr>
          <w:rFonts w:ascii="Times New Roman" w:hAnsi="Times New Roman" w:cs="Times New Roman"/>
          <w:sz w:val="28"/>
          <w:szCs w:val="28"/>
        </w:rPr>
        <w:t xml:space="preserve">with the consent of and </w:t>
      </w:r>
      <w:r w:rsidRPr="0070307F">
        <w:rPr>
          <w:rFonts w:ascii="Times New Roman" w:hAnsi="Times New Roman" w:cs="Times New Roman"/>
          <w:sz w:val="28"/>
          <w:szCs w:val="28"/>
        </w:rPr>
        <w:t>by circulation to the abovementioned legal representatives by email. The date and time for hand-down is deemed to be 10h00 on 14 December 2022.</w:t>
      </w:r>
    </w:p>
    <w:p w14:paraId="12AD2F49" w14:textId="77777777" w:rsidR="00EB6675" w:rsidRDefault="00EB6675" w:rsidP="00EB6675">
      <w:pPr>
        <w:spacing w:line="360" w:lineRule="auto"/>
        <w:jc w:val="both"/>
        <w:rPr>
          <w:b/>
          <w:sz w:val="25"/>
          <w:szCs w:val="25"/>
        </w:rPr>
      </w:pPr>
    </w:p>
    <w:p w14:paraId="18FBADB5" w14:textId="77777777" w:rsidR="00EB6675" w:rsidRPr="00DE0BD7" w:rsidRDefault="00EB6675" w:rsidP="00DE0BD7">
      <w:pPr>
        <w:pStyle w:val="LegalList1"/>
        <w:spacing w:line="360" w:lineRule="auto"/>
        <w:ind w:left="851"/>
        <w:rPr>
          <w:rFonts w:ascii="Times New Roman" w:hAnsi="Times New Roman"/>
          <w:sz w:val="28"/>
          <w:szCs w:val="28"/>
        </w:rPr>
      </w:pPr>
    </w:p>
    <w:sectPr w:rsidR="00EB6675" w:rsidRPr="00DE0BD7" w:rsidSect="00A572D4">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6299" w14:textId="77777777" w:rsidR="0037337E" w:rsidRDefault="0037337E" w:rsidP="00354A12">
      <w:pPr>
        <w:spacing w:line="240" w:lineRule="auto"/>
      </w:pPr>
      <w:r>
        <w:separator/>
      </w:r>
    </w:p>
  </w:endnote>
  <w:endnote w:type="continuationSeparator" w:id="0">
    <w:p w14:paraId="493ED435" w14:textId="77777777" w:rsidR="0037337E" w:rsidRDefault="0037337E"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4441" w14:textId="77777777" w:rsidR="0037337E" w:rsidRDefault="0037337E" w:rsidP="00354A12">
      <w:pPr>
        <w:spacing w:line="240" w:lineRule="auto"/>
      </w:pPr>
      <w:r>
        <w:separator/>
      </w:r>
    </w:p>
  </w:footnote>
  <w:footnote w:type="continuationSeparator" w:id="0">
    <w:p w14:paraId="2EF3A8AB" w14:textId="77777777" w:rsidR="0037337E" w:rsidRDefault="0037337E" w:rsidP="00354A12">
      <w:pPr>
        <w:spacing w:line="240" w:lineRule="auto"/>
      </w:pPr>
      <w:r>
        <w:continuationSeparator/>
      </w:r>
    </w:p>
  </w:footnote>
  <w:footnote w:id="1">
    <w:p w14:paraId="5CBECE4B" w14:textId="77777777" w:rsidR="00A00772" w:rsidRPr="00CB5E1B" w:rsidRDefault="00A00772" w:rsidP="00173ABE">
      <w:pPr>
        <w:pStyle w:val="FootnoteText"/>
        <w:jc w:val="both"/>
        <w:rPr>
          <w:rFonts w:ascii="Times New Roman" w:hAnsi="Times New Roman" w:cs="Times New Roman"/>
        </w:rPr>
      </w:pPr>
      <w:r>
        <w:rPr>
          <w:rStyle w:val="FootnoteReference"/>
        </w:rPr>
        <w:footnoteRef/>
      </w:r>
      <w:r>
        <w:t xml:space="preserve"> </w:t>
      </w:r>
      <w:r w:rsidR="003B27BE" w:rsidRPr="00CB5E1B">
        <w:rPr>
          <w:rFonts w:ascii="Times New Roman" w:hAnsi="Times New Roman" w:cs="Times New Roman"/>
          <w:i/>
        </w:rPr>
        <w:t xml:space="preserve">Minister of Land Affairs and Agriculture v D &amp; F </w:t>
      </w:r>
      <w:proofErr w:type="spellStart"/>
      <w:r w:rsidR="003B27BE" w:rsidRPr="00CB5E1B">
        <w:rPr>
          <w:rFonts w:ascii="Times New Roman" w:hAnsi="Times New Roman" w:cs="Times New Roman"/>
          <w:i/>
        </w:rPr>
        <w:t>Wevell</w:t>
      </w:r>
      <w:proofErr w:type="spellEnd"/>
      <w:r w:rsidR="003B27BE" w:rsidRPr="00CB5E1B">
        <w:rPr>
          <w:rFonts w:ascii="Times New Roman" w:hAnsi="Times New Roman" w:cs="Times New Roman"/>
          <w:i/>
        </w:rPr>
        <w:t xml:space="preserve"> Trust</w:t>
      </w:r>
      <w:r w:rsidR="003B27BE" w:rsidRPr="00CB5E1B">
        <w:rPr>
          <w:rFonts w:ascii="Times New Roman" w:hAnsi="Times New Roman" w:cs="Times New Roman"/>
        </w:rPr>
        <w:t xml:space="preserve"> 2008 (2) SA 184 (SCA) at 200D.</w:t>
      </w:r>
    </w:p>
  </w:footnote>
  <w:footnote w:id="2">
    <w:p w14:paraId="1EFCF913" w14:textId="77777777" w:rsidR="00652D50" w:rsidRPr="00CB5E1B" w:rsidRDefault="00652D50"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1979 (1) SA 626 (A) at 635H-636B</w:t>
      </w:r>
      <w:r w:rsidR="000610F5">
        <w:rPr>
          <w:rFonts w:ascii="Times New Roman" w:hAnsi="Times New Roman" w:cs="Times New Roman"/>
        </w:rPr>
        <w:t>.</w:t>
      </w:r>
    </w:p>
  </w:footnote>
  <w:footnote w:id="3">
    <w:p w14:paraId="69EC21F8" w14:textId="77777777" w:rsidR="00561E72" w:rsidRPr="00CB5E1B" w:rsidRDefault="00561E72"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w:t>
      </w:r>
      <w:r w:rsidRPr="00CB5E1B">
        <w:rPr>
          <w:rFonts w:ascii="Times New Roman" w:hAnsi="Times New Roman" w:cs="Times New Roman"/>
          <w:i/>
        </w:rPr>
        <w:t xml:space="preserve">SA Railways Recreation Club and Another v </w:t>
      </w:r>
      <w:proofErr w:type="spellStart"/>
      <w:r w:rsidRPr="00CB5E1B">
        <w:rPr>
          <w:rFonts w:ascii="Times New Roman" w:hAnsi="Times New Roman" w:cs="Times New Roman"/>
          <w:i/>
        </w:rPr>
        <w:t>Gordonia</w:t>
      </w:r>
      <w:proofErr w:type="spellEnd"/>
      <w:r w:rsidRPr="00CB5E1B">
        <w:rPr>
          <w:rFonts w:ascii="Times New Roman" w:hAnsi="Times New Roman" w:cs="Times New Roman"/>
          <w:i/>
        </w:rPr>
        <w:t xml:space="preserve"> L</w:t>
      </w:r>
      <w:r w:rsidR="00885D94" w:rsidRPr="00CB5E1B">
        <w:rPr>
          <w:rFonts w:ascii="Times New Roman" w:hAnsi="Times New Roman" w:cs="Times New Roman"/>
          <w:i/>
        </w:rPr>
        <w:t>i</w:t>
      </w:r>
      <w:r w:rsidRPr="00CB5E1B">
        <w:rPr>
          <w:rFonts w:ascii="Times New Roman" w:hAnsi="Times New Roman" w:cs="Times New Roman"/>
          <w:i/>
        </w:rPr>
        <w:t xml:space="preserve">quor </w:t>
      </w:r>
      <w:r w:rsidR="00885D94" w:rsidRPr="00CB5E1B">
        <w:rPr>
          <w:rFonts w:ascii="Times New Roman" w:hAnsi="Times New Roman" w:cs="Times New Roman"/>
          <w:i/>
        </w:rPr>
        <w:t>L</w:t>
      </w:r>
      <w:r w:rsidRPr="00CB5E1B">
        <w:rPr>
          <w:rFonts w:ascii="Times New Roman" w:hAnsi="Times New Roman" w:cs="Times New Roman"/>
          <w:i/>
        </w:rPr>
        <w:t xml:space="preserve">icensing </w:t>
      </w:r>
      <w:r w:rsidR="00885D94" w:rsidRPr="00CB5E1B">
        <w:rPr>
          <w:rFonts w:ascii="Times New Roman" w:hAnsi="Times New Roman" w:cs="Times New Roman"/>
          <w:i/>
        </w:rPr>
        <w:t>B</w:t>
      </w:r>
      <w:r w:rsidRPr="00CB5E1B">
        <w:rPr>
          <w:rFonts w:ascii="Times New Roman" w:hAnsi="Times New Roman" w:cs="Times New Roman"/>
          <w:i/>
        </w:rPr>
        <w:t>oard</w:t>
      </w:r>
      <w:r w:rsidRPr="00CB5E1B">
        <w:rPr>
          <w:rFonts w:ascii="Times New Roman" w:hAnsi="Times New Roman" w:cs="Times New Roman"/>
        </w:rPr>
        <w:t xml:space="preserve"> 1953 (3) SA 256 (C) at 260</w:t>
      </w:r>
      <w:r w:rsidR="00431855">
        <w:rPr>
          <w:rFonts w:ascii="Times New Roman" w:hAnsi="Times New Roman" w:cs="Times New Roman"/>
        </w:rPr>
        <w:t>A-D</w:t>
      </w:r>
    </w:p>
  </w:footnote>
  <w:footnote w:id="4">
    <w:p w14:paraId="22E01FA8" w14:textId="77777777" w:rsidR="00F47F88" w:rsidRPr="00CB5E1B" w:rsidRDefault="00F47F88"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1955 (3) SA 547 (N) at 553D</w:t>
      </w:r>
      <w:r w:rsidR="005A03E7" w:rsidRPr="00CB5E1B">
        <w:rPr>
          <w:rFonts w:ascii="Times New Roman" w:hAnsi="Times New Roman" w:cs="Times New Roman"/>
        </w:rPr>
        <w:t xml:space="preserve">; see also </w:t>
      </w:r>
      <w:r w:rsidR="005A03E7" w:rsidRPr="00CB5E1B">
        <w:rPr>
          <w:rFonts w:ascii="Times New Roman" w:hAnsi="Times New Roman" w:cs="Times New Roman"/>
          <w:i/>
        </w:rPr>
        <w:t>Poseidon Ships Agencies (Pty)</w:t>
      </w:r>
      <w:r w:rsidR="000B0D17" w:rsidRPr="00CB5E1B">
        <w:rPr>
          <w:rFonts w:ascii="Times New Roman" w:hAnsi="Times New Roman" w:cs="Times New Roman"/>
          <w:i/>
        </w:rPr>
        <w:t xml:space="preserve"> L</w:t>
      </w:r>
      <w:r w:rsidR="005A03E7" w:rsidRPr="00CB5E1B">
        <w:rPr>
          <w:rFonts w:ascii="Times New Roman" w:hAnsi="Times New Roman" w:cs="Times New Roman"/>
          <w:i/>
        </w:rPr>
        <w:t xml:space="preserve">td v African Coaling and Exporting Co (Durban) </w:t>
      </w:r>
      <w:r w:rsidR="008B61EF" w:rsidRPr="00CB5E1B">
        <w:rPr>
          <w:rFonts w:ascii="Times New Roman" w:hAnsi="Times New Roman" w:cs="Times New Roman"/>
          <w:i/>
        </w:rPr>
        <w:t>(</w:t>
      </w:r>
      <w:r w:rsidR="005A03E7" w:rsidRPr="00CB5E1B">
        <w:rPr>
          <w:rFonts w:ascii="Times New Roman" w:hAnsi="Times New Roman" w:cs="Times New Roman"/>
          <w:i/>
        </w:rPr>
        <w:t>Pty</w:t>
      </w:r>
      <w:r w:rsidR="008B61EF" w:rsidRPr="00CB5E1B">
        <w:rPr>
          <w:rFonts w:ascii="Times New Roman" w:hAnsi="Times New Roman" w:cs="Times New Roman"/>
          <w:i/>
        </w:rPr>
        <w:t>) Ltd</w:t>
      </w:r>
      <w:r w:rsidR="005A03E7" w:rsidRPr="00CB5E1B">
        <w:rPr>
          <w:rFonts w:ascii="Times New Roman" w:hAnsi="Times New Roman" w:cs="Times New Roman"/>
          <w:i/>
        </w:rPr>
        <w:t xml:space="preserve"> </w:t>
      </w:r>
      <w:r w:rsidR="000B0D17" w:rsidRPr="00CB5E1B">
        <w:rPr>
          <w:rFonts w:ascii="Times New Roman" w:hAnsi="Times New Roman" w:cs="Times New Roman"/>
          <w:i/>
        </w:rPr>
        <w:t>and Another</w:t>
      </w:r>
      <w:r w:rsidR="000B0D17" w:rsidRPr="00CB5E1B">
        <w:rPr>
          <w:rFonts w:ascii="Times New Roman" w:hAnsi="Times New Roman" w:cs="Times New Roman"/>
        </w:rPr>
        <w:t xml:space="preserve"> 1980 (1) SA 313 (D&amp;CLD) at 315E-H and 316A</w:t>
      </w:r>
      <w:r w:rsidR="00F4772F" w:rsidRPr="00CB5E1B">
        <w:rPr>
          <w:rFonts w:ascii="Times New Roman" w:hAnsi="Times New Roman" w:cs="Times New Roman"/>
        </w:rPr>
        <w:t>.</w:t>
      </w:r>
    </w:p>
  </w:footnote>
  <w:footnote w:id="5">
    <w:p w14:paraId="0B2B2D7A" w14:textId="77777777" w:rsidR="00F4772F" w:rsidRPr="00CB5E1B" w:rsidRDefault="00F4772F"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20</w:t>
      </w:r>
      <w:r w:rsidR="00431855">
        <w:rPr>
          <w:rFonts w:ascii="Times New Roman" w:hAnsi="Times New Roman" w:cs="Times New Roman"/>
        </w:rPr>
        <w:t>1</w:t>
      </w:r>
      <w:r w:rsidRPr="00CB5E1B">
        <w:rPr>
          <w:rFonts w:ascii="Times New Roman" w:hAnsi="Times New Roman" w:cs="Times New Roman"/>
        </w:rPr>
        <w:t>3 (1) SA 83 (CC) para 114.</w:t>
      </w:r>
    </w:p>
  </w:footnote>
  <w:footnote w:id="6">
    <w:p w14:paraId="127C52B3" w14:textId="77777777" w:rsidR="00712E41" w:rsidRPr="00CB5E1B" w:rsidRDefault="00712E41"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Van </w:t>
      </w:r>
      <w:proofErr w:type="spellStart"/>
      <w:r w:rsidRPr="00CB5E1B">
        <w:rPr>
          <w:rFonts w:ascii="Times New Roman" w:hAnsi="Times New Roman" w:cs="Times New Roman"/>
        </w:rPr>
        <w:t>Loggerenberg</w:t>
      </w:r>
      <w:proofErr w:type="spellEnd"/>
      <w:r w:rsidRPr="00CB5E1B">
        <w:rPr>
          <w:rFonts w:ascii="Times New Roman" w:hAnsi="Times New Roman" w:cs="Times New Roman"/>
        </w:rPr>
        <w:t xml:space="preserve">, </w:t>
      </w:r>
      <w:r w:rsidRPr="00CB5E1B">
        <w:rPr>
          <w:rFonts w:ascii="Times New Roman" w:hAnsi="Times New Roman" w:cs="Times New Roman"/>
          <w:i/>
        </w:rPr>
        <w:t>Erasmus Superior Court Practice</w:t>
      </w:r>
      <w:r w:rsidRPr="00CB5E1B">
        <w:rPr>
          <w:rFonts w:ascii="Times New Roman" w:hAnsi="Times New Roman" w:cs="Times New Roman"/>
        </w:rPr>
        <w:t>, 2</w:t>
      </w:r>
      <w:r w:rsidRPr="00CB5E1B">
        <w:rPr>
          <w:rFonts w:ascii="Times New Roman" w:hAnsi="Times New Roman" w:cs="Times New Roman"/>
          <w:vertAlign w:val="superscript"/>
        </w:rPr>
        <w:t>nd</w:t>
      </w:r>
      <w:r w:rsidRPr="00CB5E1B">
        <w:rPr>
          <w:rFonts w:ascii="Times New Roman" w:hAnsi="Times New Roman" w:cs="Times New Roman"/>
        </w:rPr>
        <w:t xml:space="preserve"> ed Vol 2 </w:t>
      </w:r>
      <w:r w:rsidR="00F13E16" w:rsidRPr="00CB5E1B">
        <w:rPr>
          <w:rFonts w:ascii="Times New Roman" w:hAnsi="Times New Roman" w:cs="Times New Roman"/>
        </w:rPr>
        <w:t xml:space="preserve">[Service 5, 2027] at </w:t>
      </w:r>
      <w:r w:rsidR="0078739D" w:rsidRPr="00CB5E1B">
        <w:rPr>
          <w:rFonts w:ascii="Times New Roman" w:hAnsi="Times New Roman" w:cs="Times New Roman"/>
        </w:rPr>
        <w:t xml:space="preserve">D1-58D – D1-59; </w:t>
      </w:r>
      <w:proofErr w:type="spellStart"/>
      <w:r w:rsidR="0078739D" w:rsidRPr="00CB5E1B">
        <w:rPr>
          <w:rFonts w:ascii="Times New Roman" w:hAnsi="Times New Roman" w:cs="Times New Roman"/>
          <w:i/>
        </w:rPr>
        <w:t>Swissborough</w:t>
      </w:r>
      <w:proofErr w:type="spellEnd"/>
      <w:r w:rsidR="0078739D" w:rsidRPr="00CB5E1B">
        <w:rPr>
          <w:rFonts w:ascii="Times New Roman" w:hAnsi="Times New Roman" w:cs="Times New Roman"/>
          <w:i/>
        </w:rPr>
        <w:t xml:space="preserve"> Diamond Mines (Pty) Ltd &amp; Others v Government of the Republic of South Africa </w:t>
      </w:r>
      <w:r w:rsidR="0078739D" w:rsidRPr="00CB5E1B">
        <w:rPr>
          <w:rFonts w:ascii="Times New Roman" w:hAnsi="Times New Roman" w:cs="Times New Roman"/>
        </w:rPr>
        <w:t>1999 (2) SA 279 (T) at 324F-G.</w:t>
      </w:r>
    </w:p>
  </w:footnote>
  <w:footnote w:id="7">
    <w:p w14:paraId="467D6B67" w14:textId="77777777" w:rsidR="00174ADB" w:rsidRPr="008B7182" w:rsidRDefault="00174ADB"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w:t>
      </w:r>
      <w:r w:rsidRPr="008B7182">
        <w:rPr>
          <w:rFonts w:ascii="Times New Roman" w:hAnsi="Times New Roman" w:cs="Times New Roman"/>
        </w:rPr>
        <w:t>Cf</w:t>
      </w:r>
      <w:r w:rsidRPr="008B7182">
        <w:rPr>
          <w:rFonts w:ascii="Times New Roman" w:hAnsi="Times New Roman" w:cs="Times New Roman"/>
          <w:i/>
        </w:rPr>
        <w:t xml:space="preserve">. </w:t>
      </w:r>
      <w:r w:rsidR="00935C4B" w:rsidRPr="008B7182">
        <w:rPr>
          <w:rFonts w:ascii="Times New Roman" w:hAnsi="Times New Roman" w:cs="Times New Roman"/>
          <w:i/>
        </w:rPr>
        <w:t xml:space="preserve">Minister of Land Affairs &amp; Agriculture v D &amp; F </w:t>
      </w:r>
      <w:proofErr w:type="spellStart"/>
      <w:r w:rsidR="00935C4B" w:rsidRPr="008B7182">
        <w:rPr>
          <w:rFonts w:ascii="Times New Roman" w:hAnsi="Times New Roman" w:cs="Times New Roman"/>
          <w:i/>
        </w:rPr>
        <w:t>Wevell</w:t>
      </w:r>
      <w:proofErr w:type="spellEnd"/>
      <w:r w:rsidR="00935C4B" w:rsidRPr="008B7182">
        <w:rPr>
          <w:rFonts w:ascii="Times New Roman" w:hAnsi="Times New Roman" w:cs="Times New Roman"/>
          <w:i/>
        </w:rPr>
        <w:t xml:space="preserve"> Trust</w:t>
      </w:r>
      <w:r w:rsidR="00935C4B" w:rsidRPr="008B7182">
        <w:rPr>
          <w:rFonts w:ascii="Times New Roman" w:hAnsi="Times New Roman" w:cs="Times New Roman"/>
        </w:rPr>
        <w:t xml:space="preserve"> </w:t>
      </w:r>
      <w:r w:rsidR="00CB5E1B" w:rsidRPr="008B7182">
        <w:rPr>
          <w:rFonts w:ascii="Times New Roman" w:hAnsi="Times New Roman" w:cs="Times New Roman"/>
          <w:i/>
        </w:rPr>
        <w:t>supra</w:t>
      </w:r>
      <w:r w:rsidR="00CB5E1B" w:rsidRPr="008B7182">
        <w:rPr>
          <w:rFonts w:ascii="Times New Roman" w:hAnsi="Times New Roman" w:cs="Times New Roman"/>
        </w:rPr>
        <w:t xml:space="preserve"> at </w:t>
      </w:r>
      <w:r w:rsidR="00935C4B" w:rsidRPr="008B7182">
        <w:rPr>
          <w:rFonts w:ascii="Times New Roman" w:hAnsi="Times New Roman" w:cs="Times New Roman"/>
        </w:rPr>
        <w:t>200D</w:t>
      </w:r>
    </w:p>
  </w:footnote>
  <w:footnote w:id="8">
    <w:p w14:paraId="548E281B" w14:textId="77777777" w:rsidR="00A24617" w:rsidRPr="008B7182" w:rsidRDefault="00A24617">
      <w:pPr>
        <w:pStyle w:val="FootnoteText"/>
        <w:rPr>
          <w:rFonts w:ascii="Times New Roman" w:hAnsi="Times New Roman" w:cs="Times New Roman"/>
        </w:rPr>
      </w:pPr>
      <w:r w:rsidRPr="008B7182">
        <w:rPr>
          <w:rStyle w:val="FootnoteReference"/>
          <w:rFonts w:ascii="Times New Roman" w:hAnsi="Times New Roman" w:cs="Times New Roman"/>
        </w:rPr>
        <w:footnoteRef/>
      </w:r>
      <w:r w:rsidRPr="008B7182">
        <w:rPr>
          <w:rFonts w:ascii="Times New Roman" w:hAnsi="Times New Roman" w:cs="Times New Roman"/>
        </w:rPr>
        <w:t xml:space="preserve"> Cf. </w:t>
      </w:r>
      <w:proofErr w:type="spellStart"/>
      <w:r w:rsidRPr="008B7182">
        <w:rPr>
          <w:rFonts w:ascii="Times New Roman" w:hAnsi="Times New Roman" w:cs="Times New Roman"/>
          <w:i/>
        </w:rPr>
        <w:t>Gelyke</w:t>
      </w:r>
      <w:proofErr w:type="spellEnd"/>
      <w:r w:rsidRPr="008B7182">
        <w:rPr>
          <w:rFonts w:ascii="Times New Roman" w:hAnsi="Times New Roman" w:cs="Times New Roman"/>
          <w:i/>
        </w:rPr>
        <w:t xml:space="preserve"> </w:t>
      </w:r>
      <w:proofErr w:type="spellStart"/>
      <w:r w:rsidRPr="008B7182">
        <w:rPr>
          <w:rFonts w:ascii="Times New Roman" w:hAnsi="Times New Roman" w:cs="Times New Roman"/>
          <w:i/>
        </w:rPr>
        <w:t>Kanse</w:t>
      </w:r>
      <w:proofErr w:type="spellEnd"/>
      <w:r w:rsidRPr="008B7182">
        <w:rPr>
          <w:rFonts w:ascii="Times New Roman" w:hAnsi="Times New Roman" w:cs="Times New Roman"/>
          <w:i/>
        </w:rPr>
        <w:t xml:space="preserve"> and Others v Chairman of the Senate of the Stellenbosch University and Others</w:t>
      </w:r>
      <w:r w:rsidRPr="008B7182">
        <w:rPr>
          <w:rFonts w:ascii="Times New Roman" w:hAnsi="Times New Roman" w:cs="Times New Roman"/>
        </w:rPr>
        <w:t xml:space="preserve"> [2017] ZAWCHC</w:t>
      </w:r>
      <w:r w:rsidR="008B7182" w:rsidRPr="008B7182">
        <w:rPr>
          <w:rFonts w:ascii="Times New Roman" w:hAnsi="Times New Roman" w:cs="Times New Roman"/>
        </w:rPr>
        <w:t xml:space="preserve"> 119 para 169.</w:t>
      </w:r>
    </w:p>
  </w:footnote>
  <w:footnote w:id="9">
    <w:p w14:paraId="6CA57DE8" w14:textId="77777777" w:rsidR="00F71B80" w:rsidRPr="00B60DD2" w:rsidRDefault="00F71B80" w:rsidP="00173ABE">
      <w:pPr>
        <w:pStyle w:val="FootnoteText"/>
        <w:jc w:val="both"/>
        <w:rPr>
          <w:rFonts w:ascii="Times New Roman" w:hAnsi="Times New Roman" w:cs="Times New Roman"/>
        </w:rPr>
      </w:pPr>
      <w:r w:rsidRPr="008B7182">
        <w:rPr>
          <w:rStyle w:val="FootnoteReference"/>
          <w:rFonts w:ascii="Times New Roman" w:hAnsi="Times New Roman" w:cs="Times New Roman"/>
        </w:rPr>
        <w:footnoteRef/>
      </w:r>
      <w:r w:rsidRPr="008B7182">
        <w:rPr>
          <w:rFonts w:ascii="Times New Roman" w:hAnsi="Times New Roman" w:cs="Times New Roman"/>
        </w:rPr>
        <w:t xml:space="preserve"> </w:t>
      </w:r>
      <w:r w:rsidRPr="00B60DD2">
        <w:rPr>
          <w:rFonts w:ascii="Times New Roman" w:hAnsi="Times New Roman" w:cs="Times New Roman"/>
        </w:rPr>
        <w:t>1984 (3) SA 623 (AD at 634E-635C.</w:t>
      </w:r>
    </w:p>
  </w:footnote>
  <w:footnote w:id="10">
    <w:p w14:paraId="23DC0EEA" w14:textId="77777777" w:rsidR="00941F13" w:rsidRPr="00B60DD2" w:rsidRDefault="00941F13">
      <w:pPr>
        <w:pStyle w:val="FootnoteText"/>
        <w:rPr>
          <w:rFonts w:ascii="Times New Roman" w:hAnsi="Times New Roman" w:cs="Times New Roman"/>
        </w:rPr>
      </w:pPr>
      <w:r w:rsidRPr="00B60DD2">
        <w:rPr>
          <w:rStyle w:val="FootnoteReference"/>
          <w:rFonts w:ascii="Times New Roman" w:hAnsi="Times New Roman" w:cs="Times New Roman"/>
        </w:rPr>
        <w:footnoteRef/>
      </w:r>
      <w:r w:rsidRPr="00B60DD2">
        <w:rPr>
          <w:rFonts w:ascii="Times New Roman" w:hAnsi="Times New Roman" w:cs="Times New Roman"/>
        </w:rPr>
        <w:t xml:space="preserve"> </w:t>
      </w:r>
      <w:proofErr w:type="spellStart"/>
      <w:r w:rsidR="00B456A7" w:rsidRPr="00B60DD2">
        <w:rPr>
          <w:rFonts w:ascii="Times New Roman" w:hAnsi="Times New Roman" w:cs="Times New Roman"/>
          <w:i/>
        </w:rPr>
        <w:t>Savvas</w:t>
      </w:r>
      <w:proofErr w:type="spellEnd"/>
      <w:r w:rsidR="00B456A7" w:rsidRPr="00B60DD2">
        <w:rPr>
          <w:rFonts w:ascii="Times New Roman" w:hAnsi="Times New Roman" w:cs="Times New Roman"/>
          <w:i/>
        </w:rPr>
        <w:t xml:space="preserve"> </w:t>
      </w:r>
      <w:proofErr w:type="spellStart"/>
      <w:r w:rsidR="00B456A7" w:rsidRPr="00B60DD2">
        <w:rPr>
          <w:rFonts w:ascii="Times New Roman" w:hAnsi="Times New Roman" w:cs="Times New Roman"/>
          <w:i/>
        </w:rPr>
        <w:t>Socratous</w:t>
      </w:r>
      <w:proofErr w:type="spellEnd"/>
      <w:r w:rsidR="00B456A7" w:rsidRPr="00B60DD2">
        <w:rPr>
          <w:rFonts w:ascii="Times New Roman" w:hAnsi="Times New Roman" w:cs="Times New Roman"/>
          <w:i/>
        </w:rPr>
        <w:t xml:space="preserve"> v Grindstone Investments 134 (Pty) Ltd </w:t>
      </w:r>
      <w:r w:rsidR="00B456A7" w:rsidRPr="00B60DD2">
        <w:rPr>
          <w:rFonts w:ascii="Times New Roman" w:hAnsi="Times New Roman" w:cs="Times New Roman"/>
        </w:rPr>
        <w:t>[2011] ZASCA 8 para</w:t>
      </w:r>
      <w:r w:rsidR="00B60DD2" w:rsidRPr="00B60DD2">
        <w:rPr>
          <w:rFonts w:ascii="Times New Roman" w:hAnsi="Times New Roman" w:cs="Times New Roman"/>
        </w:rPr>
        <w:t xml:space="preserv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5982"/>
      <w:docPartObj>
        <w:docPartGallery w:val="Page Numbers (Top of Page)"/>
        <w:docPartUnique/>
      </w:docPartObj>
    </w:sdtPr>
    <w:sdtEndPr>
      <w:rPr>
        <w:noProof/>
      </w:rPr>
    </w:sdtEndPr>
    <w:sdtContent>
      <w:p w14:paraId="6AFCDFDD" w14:textId="77777777" w:rsidR="00A572D4" w:rsidRDefault="00A572D4">
        <w:pPr>
          <w:pStyle w:val="Header"/>
          <w:jc w:val="center"/>
        </w:pPr>
        <w:r>
          <w:fldChar w:fldCharType="begin"/>
        </w:r>
        <w:r>
          <w:instrText xml:space="preserve"> PAGE   \* MERGEFORMAT </w:instrText>
        </w:r>
        <w:r>
          <w:fldChar w:fldCharType="separate"/>
        </w:r>
        <w:r w:rsidR="009F0F5D">
          <w:rPr>
            <w:noProof/>
          </w:rPr>
          <w:t>4</w:t>
        </w:r>
        <w:r>
          <w:rPr>
            <w:noProof/>
          </w:rPr>
          <w:fldChar w:fldCharType="end"/>
        </w:r>
      </w:p>
    </w:sdtContent>
  </w:sdt>
  <w:p w14:paraId="02250AB7" w14:textId="77777777"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669A9"/>
    <w:multiLevelType w:val="hybridMultilevel"/>
    <w:tmpl w:val="F60A8988"/>
    <w:lvl w:ilvl="0" w:tplc="082CD99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15:restartNumberingAfterBreak="0">
    <w:nsid w:val="523571FE"/>
    <w:multiLevelType w:val="hybridMultilevel"/>
    <w:tmpl w:val="5EAC7ACA"/>
    <w:lvl w:ilvl="0" w:tplc="F634B0A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05432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9885731">
    <w:abstractNumId w:val="2"/>
  </w:num>
  <w:num w:numId="3" w16cid:durableId="1537617042">
    <w:abstractNumId w:val="1"/>
  </w:num>
  <w:num w:numId="4" w16cid:durableId="1756629175">
    <w:abstractNumId w:val="4"/>
  </w:num>
  <w:num w:numId="5" w16cid:durableId="1248199177">
    <w:abstractNumId w:val="5"/>
  </w:num>
  <w:num w:numId="6" w16cid:durableId="1705715325">
    <w:abstractNumId w:val="0"/>
  </w:num>
  <w:num w:numId="7" w16cid:durableId="106699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12"/>
    <w:rsid w:val="000006AD"/>
    <w:rsid w:val="00010B22"/>
    <w:rsid w:val="000116B2"/>
    <w:rsid w:val="00020C5F"/>
    <w:rsid w:val="00022CC0"/>
    <w:rsid w:val="00036F2F"/>
    <w:rsid w:val="00054D9A"/>
    <w:rsid w:val="0005552B"/>
    <w:rsid w:val="000610F5"/>
    <w:rsid w:val="00062151"/>
    <w:rsid w:val="00063CF2"/>
    <w:rsid w:val="00066F15"/>
    <w:rsid w:val="00081436"/>
    <w:rsid w:val="000B0A25"/>
    <w:rsid w:val="000B0D17"/>
    <w:rsid w:val="000B3BA1"/>
    <w:rsid w:val="000B5FF7"/>
    <w:rsid w:val="000D1DCE"/>
    <w:rsid w:val="000D32DC"/>
    <w:rsid w:val="000D6DA7"/>
    <w:rsid w:val="000E054D"/>
    <w:rsid w:val="00115937"/>
    <w:rsid w:val="001242F6"/>
    <w:rsid w:val="00131176"/>
    <w:rsid w:val="00135460"/>
    <w:rsid w:val="0016028C"/>
    <w:rsid w:val="00167BDA"/>
    <w:rsid w:val="00173ABE"/>
    <w:rsid w:val="00174ADB"/>
    <w:rsid w:val="00176E9E"/>
    <w:rsid w:val="001A151F"/>
    <w:rsid w:val="001A1F3F"/>
    <w:rsid w:val="001B21C4"/>
    <w:rsid w:val="001B2FE7"/>
    <w:rsid w:val="001C0A3E"/>
    <w:rsid w:val="001C35E8"/>
    <w:rsid w:val="001C7FBA"/>
    <w:rsid w:val="001D055A"/>
    <w:rsid w:val="001D3B2F"/>
    <w:rsid w:val="001D519F"/>
    <w:rsid w:val="002049DB"/>
    <w:rsid w:val="00211786"/>
    <w:rsid w:val="00240F5B"/>
    <w:rsid w:val="00240F5D"/>
    <w:rsid w:val="0024502B"/>
    <w:rsid w:val="00250AE8"/>
    <w:rsid w:val="002534AC"/>
    <w:rsid w:val="00265E42"/>
    <w:rsid w:val="00274A06"/>
    <w:rsid w:val="00276556"/>
    <w:rsid w:val="00283B71"/>
    <w:rsid w:val="002A2107"/>
    <w:rsid w:val="002A21A5"/>
    <w:rsid w:val="002A258D"/>
    <w:rsid w:val="002B7A11"/>
    <w:rsid w:val="002C597C"/>
    <w:rsid w:val="002D391B"/>
    <w:rsid w:val="002D5BBF"/>
    <w:rsid w:val="002E57F7"/>
    <w:rsid w:val="002F02BC"/>
    <w:rsid w:val="002F2971"/>
    <w:rsid w:val="00315557"/>
    <w:rsid w:val="003173E5"/>
    <w:rsid w:val="00317B02"/>
    <w:rsid w:val="00324991"/>
    <w:rsid w:val="003250EC"/>
    <w:rsid w:val="003328A3"/>
    <w:rsid w:val="00334654"/>
    <w:rsid w:val="00341BE1"/>
    <w:rsid w:val="00354A12"/>
    <w:rsid w:val="00363425"/>
    <w:rsid w:val="003708E2"/>
    <w:rsid w:val="0037337E"/>
    <w:rsid w:val="003806CB"/>
    <w:rsid w:val="00383166"/>
    <w:rsid w:val="00383FED"/>
    <w:rsid w:val="0038713E"/>
    <w:rsid w:val="00390BCC"/>
    <w:rsid w:val="003A414C"/>
    <w:rsid w:val="003A6D56"/>
    <w:rsid w:val="003B27BE"/>
    <w:rsid w:val="003B5537"/>
    <w:rsid w:val="003B7346"/>
    <w:rsid w:val="003C3BAD"/>
    <w:rsid w:val="003C4071"/>
    <w:rsid w:val="003C7876"/>
    <w:rsid w:val="003D397A"/>
    <w:rsid w:val="003E3543"/>
    <w:rsid w:val="003F5424"/>
    <w:rsid w:val="00413C18"/>
    <w:rsid w:val="00423B64"/>
    <w:rsid w:val="00431855"/>
    <w:rsid w:val="00453885"/>
    <w:rsid w:val="00454B0D"/>
    <w:rsid w:val="004713AF"/>
    <w:rsid w:val="004804E0"/>
    <w:rsid w:val="00483ABB"/>
    <w:rsid w:val="004951DF"/>
    <w:rsid w:val="004976CD"/>
    <w:rsid w:val="004B4E5E"/>
    <w:rsid w:val="004B6263"/>
    <w:rsid w:val="004C1A1E"/>
    <w:rsid w:val="004C4A67"/>
    <w:rsid w:val="004D46EA"/>
    <w:rsid w:val="004D49B9"/>
    <w:rsid w:val="004E337F"/>
    <w:rsid w:val="004F0485"/>
    <w:rsid w:val="004F5815"/>
    <w:rsid w:val="004F74AC"/>
    <w:rsid w:val="00501841"/>
    <w:rsid w:val="00504787"/>
    <w:rsid w:val="005125C0"/>
    <w:rsid w:val="0051650F"/>
    <w:rsid w:val="00516E5A"/>
    <w:rsid w:val="005177DD"/>
    <w:rsid w:val="00522840"/>
    <w:rsid w:val="005335D9"/>
    <w:rsid w:val="00534B90"/>
    <w:rsid w:val="00561E72"/>
    <w:rsid w:val="0056301B"/>
    <w:rsid w:val="005635D2"/>
    <w:rsid w:val="00563A15"/>
    <w:rsid w:val="005708B9"/>
    <w:rsid w:val="005A03E7"/>
    <w:rsid w:val="005A5BC1"/>
    <w:rsid w:val="005B5D52"/>
    <w:rsid w:val="005B7B4F"/>
    <w:rsid w:val="005D0972"/>
    <w:rsid w:val="005D0D00"/>
    <w:rsid w:val="005D61B5"/>
    <w:rsid w:val="005F2279"/>
    <w:rsid w:val="00601CF9"/>
    <w:rsid w:val="00604743"/>
    <w:rsid w:val="00610062"/>
    <w:rsid w:val="006161BD"/>
    <w:rsid w:val="006211FC"/>
    <w:rsid w:val="00627330"/>
    <w:rsid w:val="00631969"/>
    <w:rsid w:val="00633710"/>
    <w:rsid w:val="00634FFB"/>
    <w:rsid w:val="006426BB"/>
    <w:rsid w:val="00646C08"/>
    <w:rsid w:val="00652D50"/>
    <w:rsid w:val="006607B0"/>
    <w:rsid w:val="00664F8F"/>
    <w:rsid w:val="00670B4B"/>
    <w:rsid w:val="0067107A"/>
    <w:rsid w:val="00673625"/>
    <w:rsid w:val="00681C81"/>
    <w:rsid w:val="00681EC7"/>
    <w:rsid w:val="00697BE0"/>
    <w:rsid w:val="006A75C1"/>
    <w:rsid w:val="006B3DF2"/>
    <w:rsid w:val="006B4885"/>
    <w:rsid w:val="006C1A46"/>
    <w:rsid w:val="006C4944"/>
    <w:rsid w:val="006C6D65"/>
    <w:rsid w:val="006F5347"/>
    <w:rsid w:val="007018DB"/>
    <w:rsid w:val="0070307F"/>
    <w:rsid w:val="007056AA"/>
    <w:rsid w:val="007063D9"/>
    <w:rsid w:val="00712E41"/>
    <w:rsid w:val="00760B40"/>
    <w:rsid w:val="00772450"/>
    <w:rsid w:val="00773D64"/>
    <w:rsid w:val="00776A17"/>
    <w:rsid w:val="0078739D"/>
    <w:rsid w:val="00790C0C"/>
    <w:rsid w:val="007A79D4"/>
    <w:rsid w:val="007B012A"/>
    <w:rsid w:val="007B3F41"/>
    <w:rsid w:val="008066DA"/>
    <w:rsid w:val="0081444E"/>
    <w:rsid w:val="0081504E"/>
    <w:rsid w:val="008239C8"/>
    <w:rsid w:val="008249F1"/>
    <w:rsid w:val="00826E4F"/>
    <w:rsid w:val="00835BC3"/>
    <w:rsid w:val="00853771"/>
    <w:rsid w:val="008543AB"/>
    <w:rsid w:val="00857BB7"/>
    <w:rsid w:val="00863EDC"/>
    <w:rsid w:val="008642AF"/>
    <w:rsid w:val="00867A0E"/>
    <w:rsid w:val="00885D94"/>
    <w:rsid w:val="008861AF"/>
    <w:rsid w:val="00891CC3"/>
    <w:rsid w:val="00896FBC"/>
    <w:rsid w:val="008978BB"/>
    <w:rsid w:val="008A39D0"/>
    <w:rsid w:val="008A6A03"/>
    <w:rsid w:val="008B61EF"/>
    <w:rsid w:val="008B7182"/>
    <w:rsid w:val="008B72E1"/>
    <w:rsid w:val="008C2827"/>
    <w:rsid w:val="008D19BC"/>
    <w:rsid w:val="008D253E"/>
    <w:rsid w:val="008D4B7D"/>
    <w:rsid w:val="008D4E8F"/>
    <w:rsid w:val="008E2ECD"/>
    <w:rsid w:val="008F22CA"/>
    <w:rsid w:val="00900F64"/>
    <w:rsid w:val="00906DD1"/>
    <w:rsid w:val="00910716"/>
    <w:rsid w:val="00910F3E"/>
    <w:rsid w:val="00912ABB"/>
    <w:rsid w:val="00916532"/>
    <w:rsid w:val="00923DC8"/>
    <w:rsid w:val="00926D88"/>
    <w:rsid w:val="00932C3F"/>
    <w:rsid w:val="00935C4B"/>
    <w:rsid w:val="00941F13"/>
    <w:rsid w:val="00953FCA"/>
    <w:rsid w:val="009541A5"/>
    <w:rsid w:val="0095475C"/>
    <w:rsid w:val="00961B4F"/>
    <w:rsid w:val="00980272"/>
    <w:rsid w:val="009A1ED6"/>
    <w:rsid w:val="009A409E"/>
    <w:rsid w:val="009C49FC"/>
    <w:rsid w:val="009C7329"/>
    <w:rsid w:val="009D11AB"/>
    <w:rsid w:val="009D7CCB"/>
    <w:rsid w:val="009D7EFC"/>
    <w:rsid w:val="009E0C51"/>
    <w:rsid w:val="009F0F5D"/>
    <w:rsid w:val="009F48A6"/>
    <w:rsid w:val="00A00772"/>
    <w:rsid w:val="00A01BBA"/>
    <w:rsid w:val="00A02591"/>
    <w:rsid w:val="00A07BC8"/>
    <w:rsid w:val="00A12293"/>
    <w:rsid w:val="00A24617"/>
    <w:rsid w:val="00A27D5A"/>
    <w:rsid w:val="00A31AF0"/>
    <w:rsid w:val="00A411BB"/>
    <w:rsid w:val="00A435E1"/>
    <w:rsid w:val="00A45621"/>
    <w:rsid w:val="00A47FC3"/>
    <w:rsid w:val="00A53F35"/>
    <w:rsid w:val="00A572D4"/>
    <w:rsid w:val="00A604C0"/>
    <w:rsid w:val="00A61CB7"/>
    <w:rsid w:val="00A62CE5"/>
    <w:rsid w:val="00A63BB0"/>
    <w:rsid w:val="00A664FC"/>
    <w:rsid w:val="00A67E2C"/>
    <w:rsid w:val="00A9019F"/>
    <w:rsid w:val="00A9467A"/>
    <w:rsid w:val="00AB255E"/>
    <w:rsid w:val="00AB4E02"/>
    <w:rsid w:val="00AB51E0"/>
    <w:rsid w:val="00AC0EA6"/>
    <w:rsid w:val="00AD4ECD"/>
    <w:rsid w:val="00AD7016"/>
    <w:rsid w:val="00AE403D"/>
    <w:rsid w:val="00AF0451"/>
    <w:rsid w:val="00B14C07"/>
    <w:rsid w:val="00B27EF5"/>
    <w:rsid w:val="00B3083C"/>
    <w:rsid w:val="00B33535"/>
    <w:rsid w:val="00B43022"/>
    <w:rsid w:val="00B456A7"/>
    <w:rsid w:val="00B60DD2"/>
    <w:rsid w:val="00B60F69"/>
    <w:rsid w:val="00B6756B"/>
    <w:rsid w:val="00B7124E"/>
    <w:rsid w:val="00B73370"/>
    <w:rsid w:val="00B772B0"/>
    <w:rsid w:val="00B800F5"/>
    <w:rsid w:val="00B80352"/>
    <w:rsid w:val="00B85312"/>
    <w:rsid w:val="00B902E1"/>
    <w:rsid w:val="00B91C49"/>
    <w:rsid w:val="00B91E46"/>
    <w:rsid w:val="00B948B9"/>
    <w:rsid w:val="00B9751C"/>
    <w:rsid w:val="00BA60F0"/>
    <w:rsid w:val="00BA6DF0"/>
    <w:rsid w:val="00BB3607"/>
    <w:rsid w:val="00BC0127"/>
    <w:rsid w:val="00BC5964"/>
    <w:rsid w:val="00BD2A2D"/>
    <w:rsid w:val="00BD2EE4"/>
    <w:rsid w:val="00BE3D8A"/>
    <w:rsid w:val="00C01C69"/>
    <w:rsid w:val="00C132B0"/>
    <w:rsid w:val="00C20C11"/>
    <w:rsid w:val="00C43D8B"/>
    <w:rsid w:val="00C44F3D"/>
    <w:rsid w:val="00C655C9"/>
    <w:rsid w:val="00C65EE4"/>
    <w:rsid w:val="00C7374B"/>
    <w:rsid w:val="00C73ADC"/>
    <w:rsid w:val="00C75258"/>
    <w:rsid w:val="00C82DB6"/>
    <w:rsid w:val="00C83633"/>
    <w:rsid w:val="00C857D9"/>
    <w:rsid w:val="00C92C47"/>
    <w:rsid w:val="00C95107"/>
    <w:rsid w:val="00CB5E1B"/>
    <w:rsid w:val="00CB76A2"/>
    <w:rsid w:val="00CC3C69"/>
    <w:rsid w:val="00CC573E"/>
    <w:rsid w:val="00CD6F9D"/>
    <w:rsid w:val="00CE1F27"/>
    <w:rsid w:val="00CE65E5"/>
    <w:rsid w:val="00CF6596"/>
    <w:rsid w:val="00D042F4"/>
    <w:rsid w:val="00D256A7"/>
    <w:rsid w:val="00D35002"/>
    <w:rsid w:val="00D417D4"/>
    <w:rsid w:val="00D45647"/>
    <w:rsid w:val="00D602FA"/>
    <w:rsid w:val="00D74F09"/>
    <w:rsid w:val="00D81452"/>
    <w:rsid w:val="00D81518"/>
    <w:rsid w:val="00D91D32"/>
    <w:rsid w:val="00D9251B"/>
    <w:rsid w:val="00DC5A33"/>
    <w:rsid w:val="00DC64A8"/>
    <w:rsid w:val="00DC7A3C"/>
    <w:rsid w:val="00DD1614"/>
    <w:rsid w:val="00DD38F4"/>
    <w:rsid w:val="00DE0BD7"/>
    <w:rsid w:val="00DE3DAC"/>
    <w:rsid w:val="00DF1E40"/>
    <w:rsid w:val="00E0233D"/>
    <w:rsid w:val="00E11D1C"/>
    <w:rsid w:val="00E16EEF"/>
    <w:rsid w:val="00E332A3"/>
    <w:rsid w:val="00E3431C"/>
    <w:rsid w:val="00E41829"/>
    <w:rsid w:val="00E4544B"/>
    <w:rsid w:val="00E57D23"/>
    <w:rsid w:val="00E57FBF"/>
    <w:rsid w:val="00E6060D"/>
    <w:rsid w:val="00E65923"/>
    <w:rsid w:val="00E73D66"/>
    <w:rsid w:val="00E80063"/>
    <w:rsid w:val="00E82D21"/>
    <w:rsid w:val="00E95379"/>
    <w:rsid w:val="00E95C8A"/>
    <w:rsid w:val="00E96331"/>
    <w:rsid w:val="00EB6675"/>
    <w:rsid w:val="00EC68DF"/>
    <w:rsid w:val="00ED20F0"/>
    <w:rsid w:val="00EE1E9E"/>
    <w:rsid w:val="00EE5922"/>
    <w:rsid w:val="00EE5EC6"/>
    <w:rsid w:val="00EE6AFC"/>
    <w:rsid w:val="00F001C3"/>
    <w:rsid w:val="00F12E8C"/>
    <w:rsid w:val="00F136FB"/>
    <w:rsid w:val="00F13E16"/>
    <w:rsid w:val="00F1731B"/>
    <w:rsid w:val="00F3589E"/>
    <w:rsid w:val="00F35D14"/>
    <w:rsid w:val="00F4772F"/>
    <w:rsid w:val="00F47F88"/>
    <w:rsid w:val="00F5129D"/>
    <w:rsid w:val="00F62BAE"/>
    <w:rsid w:val="00F66332"/>
    <w:rsid w:val="00F71B80"/>
    <w:rsid w:val="00F757D6"/>
    <w:rsid w:val="00F85BC0"/>
    <w:rsid w:val="00F97C22"/>
    <w:rsid w:val="00FB53B7"/>
    <w:rsid w:val="00FB7C4A"/>
    <w:rsid w:val="00FC280A"/>
    <w:rsid w:val="00FD57AC"/>
    <w:rsid w:val="00FE338A"/>
    <w:rsid w:val="00FE45BF"/>
    <w:rsid w:val="00FF44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9630"/>
  <w15:chartTrackingRefBased/>
  <w15:docId w15:val="{F1322656-AAAD-4A52-B070-D2FB6A5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1,Footnotes refss"/>
    <w:basedOn w:val="Normal"/>
    <w:link w:val="FootnoteTextChar"/>
    <w:uiPriority w:val="99"/>
    <w:unhideWhenUsed/>
    <w:rsid w:val="00354A12"/>
    <w:pPr>
      <w:spacing w:line="240" w:lineRule="auto"/>
    </w:pPr>
    <w:rPr>
      <w:sz w:val="20"/>
      <w:szCs w:val="20"/>
    </w:rPr>
  </w:style>
  <w:style w:type="character" w:customStyle="1" w:styleId="FootnoteTextChar">
    <w:name w:val="Footnote Text Char"/>
    <w:aliases w:val="Footnote Reference1 Char,Footnotes refss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character" w:styleId="Hyperlink">
    <w:name w:val="Hyperlink"/>
    <w:basedOn w:val="DefaultParagraphFont"/>
    <w:uiPriority w:val="99"/>
    <w:unhideWhenUsed/>
    <w:rsid w:val="000B0A25"/>
    <w:rPr>
      <w:color w:val="0563C1" w:themeColor="hyperlink"/>
      <w:u w:val="single"/>
    </w:rPr>
  </w:style>
  <w:style w:type="paragraph" w:styleId="BalloonText">
    <w:name w:val="Balloon Text"/>
    <w:basedOn w:val="Normal"/>
    <w:link w:val="BalloonTextChar"/>
    <w:uiPriority w:val="99"/>
    <w:semiHidden/>
    <w:unhideWhenUsed/>
    <w:rsid w:val="00857B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4499">
      <w:bodyDiv w:val="1"/>
      <w:marLeft w:val="0"/>
      <w:marRight w:val="0"/>
      <w:marTop w:val="0"/>
      <w:marBottom w:val="0"/>
      <w:divBdr>
        <w:top w:val="none" w:sz="0" w:space="0" w:color="auto"/>
        <w:left w:val="none" w:sz="0" w:space="0" w:color="auto"/>
        <w:bottom w:val="none" w:sz="0" w:space="0" w:color="auto"/>
        <w:right w:val="none" w:sz="0" w:space="0" w:color="auto"/>
      </w:divBdr>
    </w:div>
    <w:div w:id="885605514">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282028770">
      <w:bodyDiv w:val="1"/>
      <w:marLeft w:val="0"/>
      <w:marRight w:val="0"/>
      <w:marTop w:val="0"/>
      <w:marBottom w:val="0"/>
      <w:divBdr>
        <w:top w:val="none" w:sz="0" w:space="0" w:color="auto"/>
        <w:left w:val="none" w:sz="0" w:space="0" w:color="auto"/>
        <w:bottom w:val="none" w:sz="0" w:space="0" w:color="auto"/>
        <w:right w:val="none" w:sz="0" w:space="0" w:color="auto"/>
      </w:divBdr>
    </w:div>
    <w:div w:id="16424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pitilx@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lithagabula63@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bula@justice.gov.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balo.metu@gmail.com" TargetMode="External"/><Relationship Id="rId4" Type="http://schemas.openxmlformats.org/officeDocument/2006/relationships/settings" Target="settings.xml"/><Relationship Id="rId9" Type="http://schemas.openxmlformats.org/officeDocument/2006/relationships/hyperlink" Target="mailto:khaya@kkdattorneys.co.z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A0E4-9CC1-4C57-94D4-5AB01083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2022-12-12T18:26:00Z</cp:lastPrinted>
  <dcterms:created xsi:type="dcterms:W3CDTF">2022-12-14T08:23:00Z</dcterms:created>
  <dcterms:modified xsi:type="dcterms:W3CDTF">2022-12-18T18:16:00Z</dcterms:modified>
  <cp:contentStatus/>
</cp:coreProperties>
</file>