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749C" w14:textId="77777777" w:rsidR="00EB4FA2" w:rsidRPr="00B05C5F" w:rsidRDefault="00EB4FA2" w:rsidP="00EB4FA2">
      <w:pPr>
        <w:widowControl w:val="0"/>
        <w:spacing w:after="0" w:line="360" w:lineRule="auto"/>
        <w:jc w:val="center"/>
        <w:rPr>
          <w:rFonts w:ascii="Arial" w:eastAsia="Times New Roman" w:hAnsi="Arial" w:cs="Arial"/>
          <w:sz w:val="24"/>
          <w:szCs w:val="24"/>
        </w:rPr>
      </w:pPr>
      <w:bookmarkStart w:id="0" w:name="_GoBack"/>
      <w:bookmarkEnd w:id="0"/>
      <w:r w:rsidRPr="00B05C5F">
        <w:rPr>
          <w:rFonts w:ascii="Arial" w:eastAsia="Times New Roman" w:hAnsi="Arial" w:cs="Arial"/>
          <w:noProof/>
          <w:sz w:val="24"/>
          <w:szCs w:val="24"/>
          <w:lang w:eastAsia="en-ZA"/>
        </w:rPr>
        <w:drawing>
          <wp:inline distT="0" distB="0" distL="0" distR="0" wp14:anchorId="02C4CC07" wp14:editId="52D3E9F4">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21C75AD7" w14:textId="77777777" w:rsidR="00EB4FA2" w:rsidRPr="00B05C5F" w:rsidRDefault="00EB4FA2" w:rsidP="00EB4FA2">
      <w:pPr>
        <w:widowControl w:val="0"/>
        <w:spacing w:after="0" w:line="360" w:lineRule="auto"/>
        <w:jc w:val="center"/>
        <w:rPr>
          <w:rFonts w:ascii="Arial" w:eastAsia="Times New Roman" w:hAnsi="Arial" w:cs="Arial"/>
          <w:b/>
          <w:sz w:val="24"/>
          <w:szCs w:val="24"/>
        </w:rPr>
      </w:pPr>
      <w:r w:rsidRPr="00B05C5F">
        <w:rPr>
          <w:rFonts w:ascii="Arial" w:eastAsia="Times New Roman" w:hAnsi="Arial" w:cs="Arial"/>
          <w:b/>
          <w:sz w:val="24"/>
          <w:szCs w:val="24"/>
        </w:rPr>
        <w:t>IN THE HIGH COURT OF SOUTH AFRICA</w:t>
      </w:r>
    </w:p>
    <w:p w14:paraId="77F4BF98" w14:textId="77777777" w:rsidR="00EB4FA2" w:rsidRPr="00B05C5F" w:rsidRDefault="009C30CD" w:rsidP="00EB4FA2">
      <w:pPr>
        <w:widowControl w:val="0"/>
        <w:tabs>
          <w:tab w:val="right" w:pos="9213"/>
        </w:tabs>
        <w:spacing w:line="360" w:lineRule="auto"/>
        <w:jc w:val="center"/>
        <w:rPr>
          <w:rFonts w:ascii="Arial" w:hAnsi="Arial" w:cs="Arial"/>
          <w:b/>
          <w:sz w:val="24"/>
          <w:szCs w:val="24"/>
        </w:rPr>
      </w:pPr>
      <w:r>
        <w:rPr>
          <w:rFonts w:ascii="Arial" w:hAnsi="Arial" w:cs="Arial"/>
          <w:b/>
          <w:sz w:val="24"/>
          <w:szCs w:val="24"/>
        </w:rPr>
        <w:t>(</w:t>
      </w:r>
      <w:r w:rsidR="00EB4FA2" w:rsidRPr="00B05C5F">
        <w:rPr>
          <w:rFonts w:ascii="Arial" w:hAnsi="Arial" w:cs="Arial"/>
          <w:b/>
          <w:sz w:val="24"/>
          <w:szCs w:val="24"/>
        </w:rPr>
        <w:t xml:space="preserve">EASTERN CAPE DIVISION, </w:t>
      </w:r>
      <w:r w:rsidR="00EB4FA2">
        <w:rPr>
          <w:rFonts w:ascii="Arial" w:hAnsi="Arial" w:cs="Arial"/>
          <w:b/>
          <w:sz w:val="24"/>
          <w:szCs w:val="24"/>
        </w:rPr>
        <w:t>BHISHO</w:t>
      </w:r>
      <w:r>
        <w:rPr>
          <w:rFonts w:ascii="Arial" w:hAnsi="Arial" w:cs="Arial"/>
          <w:b/>
          <w:sz w:val="24"/>
          <w:szCs w:val="24"/>
        </w:rPr>
        <w:t>)</w:t>
      </w:r>
    </w:p>
    <w:p w14:paraId="03673417" w14:textId="77777777" w:rsidR="00EB4FA2" w:rsidRDefault="00EB4FA2" w:rsidP="00EB4FA2">
      <w:pPr>
        <w:widowControl w:val="0"/>
        <w:tabs>
          <w:tab w:val="right" w:pos="9213"/>
        </w:tabs>
        <w:spacing w:line="240" w:lineRule="auto"/>
        <w:rPr>
          <w:rFonts w:ascii="Arial" w:hAnsi="Arial" w:cs="Arial"/>
          <w:sz w:val="24"/>
          <w:szCs w:val="24"/>
        </w:rPr>
      </w:pPr>
      <w:r w:rsidRPr="00B05C5F">
        <w:rPr>
          <w:rFonts w:ascii="Arial" w:hAnsi="Arial" w:cs="Arial"/>
          <w:sz w:val="24"/>
          <w:szCs w:val="24"/>
        </w:rPr>
        <w:tab/>
        <w:t xml:space="preserve">CASE NO. </w:t>
      </w:r>
      <w:r>
        <w:rPr>
          <w:rFonts w:ascii="Arial" w:hAnsi="Arial" w:cs="Arial"/>
          <w:sz w:val="24"/>
          <w:szCs w:val="24"/>
        </w:rPr>
        <w:t>CA&amp;R 09/2022</w:t>
      </w:r>
    </w:p>
    <w:p w14:paraId="2946123A" w14:textId="113ED12A" w:rsidR="00EB4FA2" w:rsidRDefault="00AC7FE2" w:rsidP="00EB4FA2">
      <w:pPr>
        <w:widowControl w:val="0"/>
        <w:tabs>
          <w:tab w:val="right" w:pos="9213"/>
        </w:tabs>
        <w:spacing w:line="240" w:lineRule="auto"/>
        <w:rPr>
          <w:rFonts w:ascii="Arial" w:hAnsi="Arial" w:cs="Arial"/>
          <w:sz w:val="24"/>
          <w:szCs w:val="24"/>
        </w:rPr>
      </w:pPr>
      <w:r>
        <w:rPr>
          <w:rFonts w:ascii="Arial" w:hAnsi="Arial" w:cs="Arial"/>
          <w:sz w:val="24"/>
          <w:szCs w:val="24"/>
        </w:rPr>
        <w:tab/>
        <w:t xml:space="preserve">REPORTABLE </w:t>
      </w:r>
    </w:p>
    <w:p w14:paraId="31EAE8BD" w14:textId="77777777" w:rsidR="00AC7FE2" w:rsidRDefault="00AC7FE2" w:rsidP="00EB4FA2">
      <w:pPr>
        <w:widowControl w:val="0"/>
        <w:tabs>
          <w:tab w:val="right" w:pos="9213"/>
        </w:tabs>
        <w:spacing w:line="240" w:lineRule="auto"/>
        <w:rPr>
          <w:rFonts w:ascii="Arial" w:hAnsi="Arial" w:cs="Arial"/>
          <w:sz w:val="24"/>
          <w:szCs w:val="24"/>
        </w:rPr>
      </w:pPr>
    </w:p>
    <w:p w14:paraId="0035F392" w14:textId="77777777" w:rsidR="00EB4FA2" w:rsidRDefault="00EB4FA2" w:rsidP="00EB4FA2">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7D950CA0" w14:textId="77777777" w:rsidR="00E2727B" w:rsidRDefault="00E2727B" w:rsidP="00EB4FA2">
      <w:pPr>
        <w:widowControl w:val="0"/>
        <w:tabs>
          <w:tab w:val="right" w:pos="9356"/>
        </w:tabs>
        <w:spacing w:line="240" w:lineRule="auto"/>
        <w:rPr>
          <w:rFonts w:ascii="Arial" w:hAnsi="Arial" w:cs="Arial"/>
          <w:b/>
          <w:bCs/>
          <w:sz w:val="24"/>
          <w:szCs w:val="24"/>
        </w:rPr>
      </w:pPr>
    </w:p>
    <w:p w14:paraId="30CDD9DE" w14:textId="656F657B" w:rsidR="00EB4FA2" w:rsidRDefault="00EB4FA2" w:rsidP="00EB4FA2">
      <w:pPr>
        <w:widowControl w:val="0"/>
        <w:tabs>
          <w:tab w:val="right" w:pos="9356"/>
        </w:tabs>
        <w:spacing w:line="240" w:lineRule="auto"/>
        <w:rPr>
          <w:rFonts w:ascii="Arial" w:hAnsi="Arial" w:cs="Arial"/>
          <w:b/>
          <w:sz w:val="24"/>
          <w:szCs w:val="24"/>
        </w:rPr>
      </w:pPr>
      <w:r>
        <w:rPr>
          <w:rFonts w:ascii="Arial" w:hAnsi="Arial" w:cs="Arial"/>
          <w:b/>
          <w:bCs/>
          <w:sz w:val="24"/>
          <w:szCs w:val="24"/>
        </w:rPr>
        <w:t>MCEBISI</w:t>
      </w:r>
      <w:r w:rsidR="00C50193">
        <w:rPr>
          <w:rFonts w:ascii="Arial" w:hAnsi="Arial" w:cs="Arial"/>
          <w:b/>
          <w:bCs/>
          <w:sz w:val="24"/>
          <w:szCs w:val="24"/>
        </w:rPr>
        <w:t xml:space="preserve"> MAKEKE</w:t>
      </w:r>
      <w:r w:rsidRPr="00B05C5F">
        <w:rPr>
          <w:rFonts w:ascii="Arial" w:hAnsi="Arial" w:cs="Arial"/>
          <w:b/>
          <w:sz w:val="24"/>
          <w:szCs w:val="24"/>
        </w:rPr>
        <w:tab/>
        <w:t>Appellant</w:t>
      </w:r>
    </w:p>
    <w:p w14:paraId="642BEB78" w14:textId="77777777" w:rsidR="00EB4FA2" w:rsidRDefault="00EB4FA2" w:rsidP="00EB4FA2">
      <w:pPr>
        <w:widowControl w:val="0"/>
        <w:tabs>
          <w:tab w:val="right" w:pos="8931"/>
        </w:tabs>
        <w:spacing w:line="240" w:lineRule="auto"/>
        <w:rPr>
          <w:rFonts w:ascii="Arial" w:hAnsi="Arial" w:cs="Arial"/>
          <w:b/>
          <w:sz w:val="24"/>
          <w:szCs w:val="24"/>
        </w:rPr>
      </w:pPr>
    </w:p>
    <w:p w14:paraId="03F5504F" w14:textId="77777777" w:rsidR="00EB4FA2" w:rsidRDefault="00EB4FA2" w:rsidP="00EB4FA2">
      <w:pPr>
        <w:widowControl w:val="0"/>
        <w:tabs>
          <w:tab w:val="right" w:pos="9213"/>
        </w:tabs>
        <w:spacing w:line="240" w:lineRule="auto"/>
        <w:rPr>
          <w:rFonts w:ascii="Arial" w:hAnsi="Arial" w:cs="Arial"/>
          <w:b/>
          <w:sz w:val="24"/>
          <w:szCs w:val="24"/>
        </w:rPr>
      </w:pPr>
      <w:r>
        <w:rPr>
          <w:rFonts w:ascii="Arial" w:hAnsi="Arial" w:cs="Arial"/>
          <w:b/>
          <w:sz w:val="24"/>
          <w:szCs w:val="24"/>
        </w:rPr>
        <w:t xml:space="preserve">and </w:t>
      </w:r>
    </w:p>
    <w:p w14:paraId="7516A7E2" w14:textId="77777777" w:rsidR="00EB4FA2" w:rsidRDefault="00EB4FA2" w:rsidP="00EB4FA2">
      <w:pPr>
        <w:widowControl w:val="0"/>
        <w:tabs>
          <w:tab w:val="right" w:pos="9213"/>
        </w:tabs>
        <w:spacing w:line="240" w:lineRule="auto"/>
        <w:rPr>
          <w:rFonts w:ascii="Arial" w:hAnsi="Arial" w:cs="Arial"/>
          <w:b/>
          <w:sz w:val="24"/>
          <w:szCs w:val="24"/>
        </w:rPr>
      </w:pPr>
    </w:p>
    <w:p w14:paraId="01338A5B" w14:textId="77777777" w:rsidR="00057A22" w:rsidRDefault="00EB4FA2" w:rsidP="00EB4FA2">
      <w:pPr>
        <w:widowControl w:val="0"/>
        <w:tabs>
          <w:tab w:val="right" w:pos="9356"/>
        </w:tabs>
        <w:spacing w:line="240" w:lineRule="auto"/>
        <w:rPr>
          <w:rFonts w:ascii="Arial" w:hAnsi="Arial" w:cs="Arial"/>
          <w:sz w:val="24"/>
          <w:szCs w:val="24"/>
        </w:rPr>
      </w:pPr>
      <w:r>
        <w:rPr>
          <w:rFonts w:ascii="Arial" w:hAnsi="Arial" w:cs="Arial"/>
          <w:b/>
          <w:sz w:val="24"/>
          <w:szCs w:val="24"/>
        </w:rPr>
        <w:t>THE STATE</w:t>
      </w:r>
      <w:r>
        <w:rPr>
          <w:rFonts w:ascii="Arial" w:hAnsi="Arial" w:cs="Arial"/>
          <w:b/>
          <w:sz w:val="24"/>
          <w:szCs w:val="24"/>
        </w:rPr>
        <w:tab/>
        <w:t>Respondent</w:t>
      </w:r>
    </w:p>
    <w:p w14:paraId="314F8546" w14:textId="77777777" w:rsidR="00057A22" w:rsidRPr="00057A22" w:rsidRDefault="00057A22" w:rsidP="00057A22">
      <w:pPr>
        <w:spacing w:line="360" w:lineRule="auto"/>
        <w:rPr>
          <w:rFonts w:ascii="Arial" w:hAnsi="Arial" w:cs="Arial"/>
          <w:sz w:val="24"/>
          <w:szCs w:val="24"/>
        </w:rPr>
      </w:pPr>
      <w:r w:rsidRPr="00057A22">
        <w:rPr>
          <w:rFonts w:ascii="Arial" w:hAnsi="Arial" w:cs="Arial"/>
          <w:sz w:val="24"/>
          <w:szCs w:val="24"/>
        </w:rPr>
        <w:t>______________________________________________________________________</w:t>
      </w:r>
    </w:p>
    <w:p w14:paraId="52B89B75" w14:textId="77777777" w:rsidR="00057A22" w:rsidRPr="00057A22" w:rsidRDefault="00057A22" w:rsidP="00057A22">
      <w:pPr>
        <w:spacing w:line="360" w:lineRule="auto"/>
        <w:jc w:val="center"/>
        <w:rPr>
          <w:rFonts w:ascii="Arial" w:hAnsi="Arial" w:cs="Arial"/>
          <w:b/>
          <w:bCs/>
          <w:sz w:val="24"/>
          <w:szCs w:val="24"/>
        </w:rPr>
      </w:pPr>
      <w:r w:rsidRPr="00057A22">
        <w:rPr>
          <w:rFonts w:ascii="Arial" w:hAnsi="Arial" w:cs="Arial"/>
          <w:b/>
          <w:bCs/>
          <w:sz w:val="24"/>
          <w:szCs w:val="24"/>
        </w:rPr>
        <w:t>JUDGMENT</w:t>
      </w:r>
    </w:p>
    <w:p w14:paraId="0F30B25C" w14:textId="77777777" w:rsidR="00057A22" w:rsidRPr="00057A22" w:rsidRDefault="00057A22" w:rsidP="00057A22">
      <w:pPr>
        <w:spacing w:line="360" w:lineRule="auto"/>
        <w:rPr>
          <w:rFonts w:ascii="Arial" w:hAnsi="Arial" w:cs="Arial"/>
          <w:sz w:val="24"/>
          <w:szCs w:val="24"/>
        </w:rPr>
      </w:pPr>
      <w:r w:rsidRPr="00057A22">
        <w:rPr>
          <w:rFonts w:ascii="Arial" w:hAnsi="Arial" w:cs="Arial"/>
          <w:sz w:val="24"/>
          <w:szCs w:val="24"/>
        </w:rPr>
        <w:t>______________________________________________________________________</w:t>
      </w:r>
    </w:p>
    <w:p w14:paraId="5DAA6329" w14:textId="77777777" w:rsidR="00E2727B" w:rsidRDefault="00E2727B" w:rsidP="00057A22">
      <w:pPr>
        <w:spacing w:line="360" w:lineRule="auto"/>
        <w:rPr>
          <w:rFonts w:ascii="Arial" w:hAnsi="Arial" w:cs="Arial"/>
          <w:b/>
          <w:bCs/>
          <w:sz w:val="24"/>
          <w:szCs w:val="24"/>
        </w:rPr>
      </w:pPr>
    </w:p>
    <w:p w14:paraId="5A371CEE" w14:textId="2A461543" w:rsidR="00057A22" w:rsidRPr="00057A22" w:rsidRDefault="00057A22" w:rsidP="00057A22">
      <w:pPr>
        <w:spacing w:line="360" w:lineRule="auto"/>
        <w:rPr>
          <w:rFonts w:ascii="Arial" w:hAnsi="Arial" w:cs="Arial"/>
          <w:b/>
          <w:bCs/>
          <w:sz w:val="24"/>
          <w:szCs w:val="24"/>
        </w:rPr>
      </w:pPr>
      <w:r w:rsidRPr="00057A22">
        <w:rPr>
          <w:rFonts w:ascii="Arial" w:hAnsi="Arial" w:cs="Arial"/>
          <w:b/>
          <w:bCs/>
          <w:sz w:val="24"/>
          <w:szCs w:val="24"/>
        </w:rPr>
        <w:t>LAING J</w:t>
      </w:r>
    </w:p>
    <w:p w14:paraId="5AE9E6A1" w14:textId="77777777" w:rsidR="00E2727B" w:rsidRDefault="00E2727B" w:rsidP="00E05DB3">
      <w:pPr>
        <w:pStyle w:val="ListParagraph"/>
        <w:spacing w:line="360" w:lineRule="auto"/>
        <w:ind w:left="0"/>
        <w:jc w:val="both"/>
        <w:rPr>
          <w:rFonts w:ascii="Arial" w:hAnsi="Arial" w:cs="Arial"/>
          <w:sz w:val="24"/>
          <w:szCs w:val="24"/>
        </w:rPr>
      </w:pPr>
    </w:p>
    <w:p w14:paraId="0F5DC86E" w14:textId="62328D69" w:rsidR="00EB4FA2" w:rsidRDefault="00057A22" w:rsidP="00057A22">
      <w:pPr>
        <w:pStyle w:val="ListParagraph"/>
        <w:numPr>
          <w:ilvl w:val="0"/>
          <w:numId w:val="3"/>
        </w:numPr>
        <w:spacing w:line="360" w:lineRule="auto"/>
        <w:ind w:left="0" w:firstLine="0"/>
        <w:jc w:val="both"/>
        <w:rPr>
          <w:rFonts w:ascii="Arial" w:hAnsi="Arial" w:cs="Arial"/>
          <w:sz w:val="24"/>
          <w:szCs w:val="24"/>
        </w:rPr>
      </w:pPr>
      <w:r w:rsidRPr="00EB4FA2">
        <w:rPr>
          <w:rFonts w:ascii="Arial" w:hAnsi="Arial" w:cs="Arial"/>
          <w:sz w:val="24"/>
          <w:szCs w:val="24"/>
        </w:rPr>
        <w:t>This is an appeal against</w:t>
      </w:r>
      <w:r w:rsidR="00CA7EC2" w:rsidRPr="00EB4FA2">
        <w:rPr>
          <w:rFonts w:ascii="Arial" w:hAnsi="Arial" w:cs="Arial"/>
          <w:sz w:val="24"/>
          <w:szCs w:val="24"/>
        </w:rPr>
        <w:t xml:space="preserve"> </w:t>
      </w:r>
      <w:r w:rsidR="00256A51" w:rsidRPr="00EB4FA2">
        <w:rPr>
          <w:rFonts w:ascii="Arial" w:hAnsi="Arial" w:cs="Arial"/>
          <w:sz w:val="24"/>
          <w:szCs w:val="24"/>
        </w:rPr>
        <w:t>sentence</w:t>
      </w:r>
      <w:r w:rsidR="00CA7EC2" w:rsidRPr="00EB4FA2">
        <w:rPr>
          <w:rFonts w:ascii="Arial" w:hAnsi="Arial" w:cs="Arial"/>
          <w:sz w:val="24"/>
          <w:szCs w:val="24"/>
        </w:rPr>
        <w:t xml:space="preserve"> handed down in the Regional Court, Zwelitsha</w:t>
      </w:r>
      <w:r w:rsidR="00EB4FA2">
        <w:rPr>
          <w:rFonts w:ascii="Arial" w:hAnsi="Arial" w:cs="Arial"/>
          <w:sz w:val="24"/>
          <w:szCs w:val="24"/>
        </w:rPr>
        <w:t>.</w:t>
      </w:r>
    </w:p>
    <w:p w14:paraId="1BDEE201" w14:textId="77777777" w:rsidR="00EB4FA2" w:rsidRDefault="00EB4FA2" w:rsidP="00EB4FA2">
      <w:pPr>
        <w:pStyle w:val="ListParagraph"/>
        <w:spacing w:line="360" w:lineRule="auto"/>
        <w:ind w:left="0"/>
        <w:jc w:val="both"/>
        <w:rPr>
          <w:rFonts w:ascii="Arial" w:hAnsi="Arial" w:cs="Arial"/>
          <w:sz w:val="24"/>
          <w:szCs w:val="24"/>
        </w:rPr>
      </w:pPr>
    </w:p>
    <w:p w14:paraId="50910320" w14:textId="77777777" w:rsidR="007947B2" w:rsidRDefault="007947B2" w:rsidP="00EB4FA2">
      <w:pPr>
        <w:pStyle w:val="ListParagraph"/>
        <w:spacing w:line="360" w:lineRule="auto"/>
        <w:ind w:left="0"/>
        <w:jc w:val="both"/>
        <w:rPr>
          <w:rFonts w:ascii="Arial" w:hAnsi="Arial" w:cs="Arial"/>
          <w:sz w:val="24"/>
          <w:szCs w:val="24"/>
        </w:rPr>
      </w:pPr>
    </w:p>
    <w:p w14:paraId="6631B665" w14:textId="77777777" w:rsidR="00EB4FA2" w:rsidRPr="00EB4FA2" w:rsidRDefault="008E0954" w:rsidP="00EB4FA2">
      <w:pPr>
        <w:pStyle w:val="ListParagraph"/>
        <w:spacing w:line="360" w:lineRule="auto"/>
        <w:ind w:left="0"/>
        <w:jc w:val="both"/>
        <w:rPr>
          <w:rFonts w:ascii="Arial" w:hAnsi="Arial" w:cs="Arial"/>
          <w:sz w:val="24"/>
          <w:szCs w:val="24"/>
        </w:rPr>
      </w:pPr>
      <w:r w:rsidRPr="00EB4FA2">
        <w:rPr>
          <w:rFonts w:ascii="Arial" w:hAnsi="Arial" w:cs="Arial"/>
          <w:b/>
          <w:bCs/>
          <w:sz w:val="24"/>
          <w:szCs w:val="24"/>
        </w:rPr>
        <w:t>Background</w:t>
      </w:r>
    </w:p>
    <w:p w14:paraId="1C2F1D61" w14:textId="77777777" w:rsidR="00EB4FA2" w:rsidRPr="00EB4FA2" w:rsidRDefault="00EB4FA2" w:rsidP="00EB4FA2">
      <w:pPr>
        <w:pStyle w:val="ListParagraph"/>
        <w:rPr>
          <w:rFonts w:ascii="Arial" w:hAnsi="Arial" w:cs="Arial"/>
          <w:sz w:val="24"/>
          <w:szCs w:val="24"/>
        </w:rPr>
      </w:pPr>
    </w:p>
    <w:p w14:paraId="5686E02A" w14:textId="5331578F" w:rsidR="00EB4FA2" w:rsidRDefault="001C36A9" w:rsidP="00057A22">
      <w:pPr>
        <w:pStyle w:val="ListParagraph"/>
        <w:numPr>
          <w:ilvl w:val="0"/>
          <w:numId w:val="3"/>
        </w:numPr>
        <w:spacing w:line="360" w:lineRule="auto"/>
        <w:ind w:left="0" w:firstLine="0"/>
        <w:jc w:val="both"/>
        <w:rPr>
          <w:rFonts w:ascii="Arial" w:hAnsi="Arial" w:cs="Arial"/>
          <w:sz w:val="24"/>
          <w:szCs w:val="24"/>
        </w:rPr>
      </w:pPr>
      <w:r w:rsidRPr="00EB4FA2">
        <w:rPr>
          <w:rFonts w:ascii="Arial" w:hAnsi="Arial" w:cs="Arial"/>
          <w:sz w:val="24"/>
          <w:szCs w:val="24"/>
        </w:rPr>
        <w:lastRenderedPageBreak/>
        <w:t xml:space="preserve">The </w:t>
      </w:r>
      <w:r w:rsidR="00DB2E96" w:rsidRPr="00EB4FA2">
        <w:rPr>
          <w:rFonts w:ascii="Arial" w:hAnsi="Arial" w:cs="Arial"/>
          <w:sz w:val="24"/>
          <w:szCs w:val="24"/>
        </w:rPr>
        <w:t xml:space="preserve">appellant </w:t>
      </w:r>
      <w:r w:rsidR="008E0954" w:rsidRPr="00EB4FA2">
        <w:rPr>
          <w:rFonts w:ascii="Arial" w:hAnsi="Arial" w:cs="Arial"/>
          <w:sz w:val="24"/>
          <w:szCs w:val="24"/>
        </w:rPr>
        <w:t>was</w:t>
      </w:r>
      <w:r w:rsidR="00DB2E96" w:rsidRPr="00EB4FA2">
        <w:rPr>
          <w:rFonts w:ascii="Arial" w:hAnsi="Arial" w:cs="Arial"/>
          <w:sz w:val="24"/>
          <w:szCs w:val="24"/>
        </w:rPr>
        <w:t xml:space="preserve"> charged with the rape of </w:t>
      </w:r>
      <w:r w:rsidR="00826EC3" w:rsidRPr="00EB4FA2">
        <w:rPr>
          <w:rFonts w:ascii="Arial" w:hAnsi="Arial" w:cs="Arial"/>
          <w:sz w:val="24"/>
          <w:szCs w:val="24"/>
        </w:rPr>
        <w:t>a ten-year old girl</w:t>
      </w:r>
      <w:r w:rsidR="003967F1" w:rsidRPr="00EB4FA2">
        <w:rPr>
          <w:rFonts w:ascii="Arial" w:hAnsi="Arial" w:cs="Arial"/>
          <w:sz w:val="24"/>
          <w:szCs w:val="24"/>
        </w:rPr>
        <w:t xml:space="preserve"> at or near Tolof</w:t>
      </w:r>
      <w:r w:rsidR="00C726D2">
        <w:rPr>
          <w:rFonts w:ascii="Arial" w:hAnsi="Arial" w:cs="Arial"/>
          <w:sz w:val="24"/>
          <w:szCs w:val="24"/>
        </w:rPr>
        <w:t>iy</w:t>
      </w:r>
      <w:r w:rsidR="003967F1" w:rsidRPr="00EB4FA2">
        <w:rPr>
          <w:rFonts w:ascii="Arial" w:hAnsi="Arial" w:cs="Arial"/>
          <w:sz w:val="24"/>
          <w:szCs w:val="24"/>
        </w:rPr>
        <w:t xml:space="preserve">eni, in the Eastern Cape. </w:t>
      </w:r>
      <w:r w:rsidR="003967F1" w:rsidRPr="00942BB2">
        <w:rPr>
          <w:rFonts w:ascii="Arial" w:hAnsi="Arial" w:cs="Arial"/>
          <w:sz w:val="24"/>
          <w:szCs w:val="24"/>
        </w:rPr>
        <w:t>It was alleged that</w:t>
      </w:r>
      <w:r w:rsidR="00350842" w:rsidRPr="00942BB2">
        <w:rPr>
          <w:rFonts w:ascii="Arial" w:hAnsi="Arial" w:cs="Arial"/>
          <w:sz w:val="24"/>
          <w:szCs w:val="24"/>
        </w:rPr>
        <w:t xml:space="preserve"> </w:t>
      </w:r>
      <w:r w:rsidR="00080765" w:rsidRPr="00942BB2">
        <w:rPr>
          <w:rFonts w:ascii="Arial" w:hAnsi="Arial" w:cs="Arial"/>
          <w:sz w:val="24"/>
          <w:szCs w:val="24"/>
        </w:rPr>
        <w:t>section 51(1)</w:t>
      </w:r>
      <w:r w:rsidR="00E2727B">
        <w:rPr>
          <w:rFonts w:ascii="Arial" w:hAnsi="Arial" w:cs="Arial"/>
          <w:sz w:val="24"/>
          <w:szCs w:val="24"/>
        </w:rPr>
        <w:t xml:space="preserve"> applied</w:t>
      </w:r>
      <w:r w:rsidR="00080765" w:rsidRPr="00942BB2">
        <w:rPr>
          <w:rFonts w:ascii="Arial" w:hAnsi="Arial" w:cs="Arial"/>
          <w:sz w:val="24"/>
          <w:szCs w:val="24"/>
        </w:rPr>
        <w:t xml:space="preserve">, read with Part 1 of Schedule 2 </w:t>
      </w:r>
      <w:r w:rsidR="00350842" w:rsidRPr="00942BB2">
        <w:rPr>
          <w:rFonts w:ascii="Arial" w:hAnsi="Arial" w:cs="Arial"/>
          <w:sz w:val="24"/>
          <w:szCs w:val="24"/>
        </w:rPr>
        <w:t>of</w:t>
      </w:r>
      <w:r w:rsidR="00080765" w:rsidRPr="00942BB2">
        <w:rPr>
          <w:rFonts w:ascii="Arial" w:hAnsi="Arial" w:cs="Arial"/>
          <w:sz w:val="24"/>
          <w:szCs w:val="24"/>
        </w:rPr>
        <w:t xml:space="preserve"> the Criminal Law Amendment Act 105 of 1997 (‘the CLAA’)</w:t>
      </w:r>
      <w:r w:rsidR="00D857BC">
        <w:rPr>
          <w:rFonts w:ascii="Arial" w:hAnsi="Arial" w:cs="Arial"/>
          <w:sz w:val="24"/>
          <w:szCs w:val="24"/>
        </w:rPr>
        <w:t>,</w:t>
      </w:r>
      <w:r w:rsidR="00080765" w:rsidRPr="00942BB2">
        <w:rPr>
          <w:rFonts w:ascii="Arial" w:hAnsi="Arial" w:cs="Arial"/>
          <w:sz w:val="24"/>
          <w:szCs w:val="24"/>
        </w:rPr>
        <w:t xml:space="preserve"> </w:t>
      </w:r>
      <w:r w:rsidR="00E2727B" w:rsidRPr="00942BB2">
        <w:rPr>
          <w:rFonts w:ascii="Arial" w:hAnsi="Arial" w:cs="Arial"/>
          <w:sz w:val="24"/>
          <w:szCs w:val="24"/>
        </w:rPr>
        <w:t>since</w:t>
      </w:r>
      <w:r w:rsidR="00080765" w:rsidRPr="00942BB2">
        <w:rPr>
          <w:rFonts w:ascii="Arial" w:hAnsi="Arial" w:cs="Arial"/>
          <w:sz w:val="24"/>
          <w:szCs w:val="24"/>
        </w:rPr>
        <w:t xml:space="preserve"> the complainant was alleged to have been raped more than once and had been under the age of 16 years at the time.</w:t>
      </w:r>
      <w:r w:rsidR="00080765">
        <w:rPr>
          <w:rFonts w:ascii="Arial" w:hAnsi="Arial" w:cs="Arial"/>
          <w:sz w:val="24"/>
          <w:szCs w:val="24"/>
        </w:rPr>
        <w:t xml:space="preserve"> </w:t>
      </w:r>
    </w:p>
    <w:p w14:paraId="0F528181" w14:textId="77777777" w:rsidR="00EB4FA2" w:rsidRDefault="00EB4FA2" w:rsidP="00EB4FA2">
      <w:pPr>
        <w:pStyle w:val="ListParagraph"/>
        <w:spacing w:line="360" w:lineRule="auto"/>
        <w:ind w:left="0"/>
        <w:jc w:val="both"/>
        <w:rPr>
          <w:rFonts w:ascii="Arial" w:hAnsi="Arial" w:cs="Arial"/>
          <w:sz w:val="24"/>
          <w:szCs w:val="24"/>
        </w:rPr>
      </w:pPr>
    </w:p>
    <w:p w14:paraId="6B3EE7F6" w14:textId="77777777" w:rsidR="007E1010" w:rsidRDefault="0069343D" w:rsidP="00057A22">
      <w:pPr>
        <w:pStyle w:val="ListParagraph"/>
        <w:numPr>
          <w:ilvl w:val="0"/>
          <w:numId w:val="3"/>
        </w:numPr>
        <w:spacing w:line="360" w:lineRule="auto"/>
        <w:ind w:left="0" w:firstLine="0"/>
        <w:jc w:val="both"/>
        <w:rPr>
          <w:rFonts w:ascii="Arial" w:hAnsi="Arial" w:cs="Arial"/>
          <w:sz w:val="24"/>
          <w:szCs w:val="24"/>
        </w:rPr>
      </w:pPr>
      <w:r w:rsidRPr="00EB4FA2">
        <w:rPr>
          <w:rFonts w:ascii="Arial" w:hAnsi="Arial" w:cs="Arial"/>
          <w:sz w:val="24"/>
          <w:szCs w:val="24"/>
        </w:rPr>
        <w:t xml:space="preserve">The </w:t>
      </w:r>
      <w:r w:rsidR="00B257A2" w:rsidRPr="00EB4FA2">
        <w:rPr>
          <w:rFonts w:ascii="Arial" w:hAnsi="Arial" w:cs="Arial"/>
          <w:sz w:val="24"/>
          <w:szCs w:val="24"/>
        </w:rPr>
        <w:t xml:space="preserve">appellant pleaded not guilty, and the matter went to trial. The court </w:t>
      </w:r>
      <w:r w:rsidR="00AE5A58" w:rsidRPr="00066A63">
        <w:rPr>
          <w:rFonts w:ascii="Arial" w:hAnsi="Arial" w:cs="Arial"/>
          <w:i/>
          <w:sz w:val="24"/>
          <w:szCs w:val="24"/>
        </w:rPr>
        <w:t>a quo</w:t>
      </w:r>
      <w:r w:rsidR="00AE5A58">
        <w:rPr>
          <w:rFonts w:ascii="Arial" w:hAnsi="Arial" w:cs="Arial"/>
          <w:sz w:val="24"/>
          <w:szCs w:val="24"/>
        </w:rPr>
        <w:t xml:space="preserve"> </w:t>
      </w:r>
      <w:r w:rsidR="00B257A2" w:rsidRPr="00EB4FA2">
        <w:rPr>
          <w:rFonts w:ascii="Arial" w:hAnsi="Arial" w:cs="Arial"/>
          <w:sz w:val="24"/>
          <w:szCs w:val="24"/>
        </w:rPr>
        <w:t>found him guilty and applied the provisions</w:t>
      </w:r>
      <w:r w:rsidR="008C1354" w:rsidRPr="00EB4FA2">
        <w:rPr>
          <w:rFonts w:ascii="Arial" w:hAnsi="Arial" w:cs="Arial"/>
          <w:sz w:val="24"/>
          <w:szCs w:val="24"/>
        </w:rPr>
        <w:t xml:space="preserve"> of </w:t>
      </w:r>
      <w:r w:rsidR="002D3991" w:rsidRPr="00EB4FA2">
        <w:rPr>
          <w:rFonts w:ascii="Arial" w:hAnsi="Arial" w:cs="Arial"/>
          <w:sz w:val="24"/>
          <w:szCs w:val="24"/>
        </w:rPr>
        <w:t>the CLA</w:t>
      </w:r>
      <w:r w:rsidR="00436DBF" w:rsidRPr="00EB4FA2">
        <w:rPr>
          <w:rFonts w:ascii="Arial" w:hAnsi="Arial" w:cs="Arial"/>
          <w:sz w:val="24"/>
          <w:szCs w:val="24"/>
        </w:rPr>
        <w:t>A</w:t>
      </w:r>
      <w:r w:rsidR="00273DFB" w:rsidRPr="00EB4FA2">
        <w:rPr>
          <w:rFonts w:ascii="Arial" w:hAnsi="Arial" w:cs="Arial"/>
          <w:sz w:val="24"/>
          <w:szCs w:val="24"/>
        </w:rPr>
        <w:t xml:space="preserve"> when handing down a sentence of life imprisonment</w:t>
      </w:r>
      <w:r w:rsidR="00B57010" w:rsidRPr="00EB4FA2">
        <w:rPr>
          <w:rFonts w:ascii="Arial" w:hAnsi="Arial" w:cs="Arial"/>
          <w:sz w:val="24"/>
          <w:szCs w:val="24"/>
        </w:rPr>
        <w:t>.</w:t>
      </w:r>
    </w:p>
    <w:p w14:paraId="6755A7C0" w14:textId="77777777" w:rsidR="007E1010" w:rsidRPr="007E1010" w:rsidRDefault="007E1010" w:rsidP="007E1010">
      <w:pPr>
        <w:pStyle w:val="ListParagraph"/>
        <w:rPr>
          <w:rFonts w:ascii="Arial" w:hAnsi="Arial" w:cs="Arial"/>
          <w:sz w:val="24"/>
          <w:szCs w:val="24"/>
        </w:rPr>
      </w:pPr>
    </w:p>
    <w:p w14:paraId="5C11536E" w14:textId="77777777" w:rsidR="007E1010" w:rsidRDefault="00B57010" w:rsidP="00057A22">
      <w:pPr>
        <w:pStyle w:val="ListParagraph"/>
        <w:numPr>
          <w:ilvl w:val="0"/>
          <w:numId w:val="3"/>
        </w:numPr>
        <w:spacing w:line="360" w:lineRule="auto"/>
        <w:ind w:left="0" w:firstLine="0"/>
        <w:jc w:val="both"/>
        <w:rPr>
          <w:rFonts w:ascii="Arial" w:hAnsi="Arial" w:cs="Arial"/>
          <w:sz w:val="24"/>
          <w:szCs w:val="24"/>
        </w:rPr>
      </w:pPr>
      <w:r w:rsidRPr="007E1010">
        <w:rPr>
          <w:rFonts w:ascii="Arial" w:hAnsi="Arial" w:cs="Arial"/>
          <w:sz w:val="24"/>
          <w:szCs w:val="24"/>
        </w:rPr>
        <w:t xml:space="preserve">The </w:t>
      </w:r>
      <w:r w:rsidR="00F67FDE" w:rsidRPr="007E1010">
        <w:rPr>
          <w:rFonts w:ascii="Arial" w:hAnsi="Arial" w:cs="Arial"/>
          <w:sz w:val="24"/>
          <w:szCs w:val="24"/>
        </w:rPr>
        <w:t xml:space="preserve">appellant </w:t>
      </w:r>
      <w:r w:rsidR="00482DC2" w:rsidRPr="007E1010">
        <w:rPr>
          <w:rFonts w:ascii="Arial" w:hAnsi="Arial" w:cs="Arial"/>
          <w:sz w:val="24"/>
          <w:szCs w:val="24"/>
        </w:rPr>
        <w:t>has not appealed against his conviction.</w:t>
      </w:r>
    </w:p>
    <w:p w14:paraId="1FBA8545" w14:textId="77777777" w:rsidR="007E1010" w:rsidRPr="007E1010" w:rsidRDefault="007E1010" w:rsidP="007E1010">
      <w:pPr>
        <w:pStyle w:val="ListParagraph"/>
        <w:rPr>
          <w:rFonts w:ascii="Arial" w:hAnsi="Arial" w:cs="Arial"/>
          <w:sz w:val="24"/>
          <w:szCs w:val="24"/>
        </w:rPr>
      </w:pPr>
    </w:p>
    <w:p w14:paraId="51976788" w14:textId="77777777" w:rsidR="007E1010" w:rsidRPr="007E1010" w:rsidRDefault="007E1010" w:rsidP="007E1010">
      <w:pPr>
        <w:pStyle w:val="ListParagraph"/>
        <w:rPr>
          <w:rFonts w:ascii="Arial" w:hAnsi="Arial" w:cs="Arial"/>
          <w:b/>
          <w:bCs/>
          <w:sz w:val="24"/>
          <w:szCs w:val="24"/>
        </w:rPr>
      </w:pPr>
    </w:p>
    <w:p w14:paraId="386BA07A" w14:textId="77777777" w:rsidR="007E1010" w:rsidRPr="007E1010" w:rsidRDefault="000033E0" w:rsidP="007E1010">
      <w:pPr>
        <w:pStyle w:val="ListParagraph"/>
        <w:spacing w:line="360" w:lineRule="auto"/>
        <w:ind w:left="0"/>
        <w:jc w:val="both"/>
        <w:rPr>
          <w:rFonts w:ascii="Arial" w:hAnsi="Arial" w:cs="Arial"/>
          <w:sz w:val="24"/>
          <w:szCs w:val="24"/>
        </w:rPr>
      </w:pPr>
      <w:r w:rsidRPr="007E1010">
        <w:rPr>
          <w:rFonts w:ascii="Arial" w:hAnsi="Arial" w:cs="Arial"/>
          <w:b/>
          <w:bCs/>
          <w:sz w:val="24"/>
          <w:szCs w:val="24"/>
        </w:rPr>
        <w:t>Issues to be decided</w:t>
      </w:r>
      <w:r w:rsidR="000674C2" w:rsidRPr="007E1010">
        <w:rPr>
          <w:rFonts w:ascii="Arial" w:hAnsi="Arial" w:cs="Arial"/>
          <w:b/>
          <w:bCs/>
          <w:sz w:val="24"/>
          <w:szCs w:val="24"/>
        </w:rPr>
        <w:t xml:space="preserve"> and approach to be adopted</w:t>
      </w:r>
    </w:p>
    <w:p w14:paraId="13F83A85" w14:textId="77777777" w:rsidR="007E1010" w:rsidRPr="007E1010" w:rsidRDefault="007E1010" w:rsidP="007E1010">
      <w:pPr>
        <w:pStyle w:val="ListParagraph"/>
        <w:spacing w:line="360" w:lineRule="auto"/>
        <w:ind w:left="0"/>
        <w:jc w:val="both"/>
        <w:rPr>
          <w:rFonts w:ascii="Arial" w:hAnsi="Arial" w:cs="Arial"/>
          <w:sz w:val="24"/>
          <w:szCs w:val="24"/>
        </w:rPr>
      </w:pPr>
    </w:p>
    <w:p w14:paraId="34E9BDC2" w14:textId="77777777" w:rsidR="007E1010" w:rsidRDefault="000033E0" w:rsidP="00E21FB8">
      <w:pPr>
        <w:pStyle w:val="ListParagraph"/>
        <w:numPr>
          <w:ilvl w:val="0"/>
          <w:numId w:val="3"/>
        </w:numPr>
        <w:spacing w:line="360" w:lineRule="auto"/>
        <w:ind w:left="0" w:firstLine="0"/>
        <w:jc w:val="both"/>
        <w:rPr>
          <w:rFonts w:ascii="Arial" w:hAnsi="Arial" w:cs="Arial"/>
          <w:sz w:val="24"/>
          <w:szCs w:val="24"/>
        </w:rPr>
      </w:pPr>
      <w:r w:rsidRPr="007E1010">
        <w:rPr>
          <w:rFonts w:ascii="Arial" w:hAnsi="Arial" w:cs="Arial"/>
          <w:sz w:val="24"/>
          <w:szCs w:val="24"/>
        </w:rPr>
        <w:t xml:space="preserve">The </w:t>
      </w:r>
      <w:r w:rsidR="00E92AC6" w:rsidRPr="007E1010">
        <w:rPr>
          <w:rFonts w:ascii="Arial" w:hAnsi="Arial" w:cs="Arial"/>
          <w:sz w:val="24"/>
          <w:szCs w:val="24"/>
        </w:rPr>
        <w:t xml:space="preserve">grounds of </w:t>
      </w:r>
      <w:r w:rsidRPr="007E1010">
        <w:rPr>
          <w:rFonts w:ascii="Arial" w:hAnsi="Arial" w:cs="Arial"/>
          <w:sz w:val="24"/>
          <w:szCs w:val="24"/>
        </w:rPr>
        <w:t xml:space="preserve">appeal </w:t>
      </w:r>
      <w:r w:rsidR="00AE5A58">
        <w:rPr>
          <w:rFonts w:ascii="Arial" w:hAnsi="Arial" w:cs="Arial"/>
          <w:sz w:val="24"/>
          <w:szCs w:val="24"/>
        </w:rPr>
        <w:t xml:space="preserve">relied on </w:t>
      </w:r>
      <w:r w:rsidR="00E92AC6" w:rsidRPr="007E1010">
        <w:rPr>
          <w:rFonts w:ascii="Arial" w:hAnsi="Arial" w:cs="Arial"/>
          <w:sz w:val="24"/>
          <w:szCs w:val="24"/>
        </w:rPr>
        <w:t>are</w:t>
      </w:r>
      <w:r w:rsidRPr="007E1010">
        <w:rPr>
          <w:rFonts w:ascii="Arial" w:hAnsi="Arial" w:cs="Arial"/>
          <w:sz w:val="24"/>
          <w:szCs w:val="24"/>
        </w:rPr>
        <w:t xml:space="preserve"> that </w:t>
      </w:r>
      <w:r w:rsidR="009218D0" w:rsidRPr="007E1010">
        <w:rPr>
          <w:rFonts w:ascii="Arial" w:hAnsi="Arial" w:cs="Arial"/>
          <w:sz w:val="24"/>
          <w:szCs w:val="24"/>
        </w:rPr>
        <w:t xml:space="preserve">the court </w:t>
      </w:r>
      <w:r w:rsidR="009218D0" w:rsidRPr="007E1010">
        <w:rPr>
          <w:rFonts w:ascii="Arial" w:hAnsi="Arial" w:cs="Arial"/>
          <w:i/>
          <w:iCs/>
          <w:sz w:val="24"/>
          <w:szCs w:val="24"/>
        </w:rPr>
        <w:t>a quo</w:t>
      </w:r>
      <w:r w:rsidR="009218D0" w:rsidRPr="007E1010">
        <w:rPr>
          <w:rFonts w:ascii="Arial" w:hAnsi="Arial" w:cs="Arial"/>
          <w:sz w:val="24"/>
          <w:szCs w:val="24"/>
        </w:rPr>
        <w:t xml:space="preserve"> erred in finding that there were no substantial and compelling circumstances to </w:t>
      </w:r>
      <w:r w:rsidR="00A21C2A" w:rsidRPr="007E1010">
        <w:rPr>
          <w:rFonts w:ascii="Arial" w:hAnsi="Arial" w:cs="Arial"/>
          <w:sz w:val="24"/>
          <w:szCs w:val="24"/>
        </w:rPr>
        <w:t xml:space="preserve">warrant </w:t>
      </w:r>
      <w:r w:rsidR="000825E5" w:rsidRPr="007E1010">
        <w:rPr>
          <w:rFonts w:ascii="Arial" w:hAnsi="Arial" w:cs="Arial"/>
          <w:sz w:val="24"/>
          <w:szCs w:val="24"/>
        </w:rPr>
        <w:t xml:space="preserve">the imposition of a lesser sentence. More specifically, </w:t>
      </w:r>
      <w:r w:rsidR="00C64CE8" w:rsidRPr="007E1010">
        <w:rPr>
          <w:rFonts w:ascii="Arial" w:hAnsi="Arial" w:cs="Arial"/>
          <w:sz w:val="24"/>
          <w:szCs w:val="24"/>
        </w:rPr>
        <w:t xml:space="preserve">the appellant </w:t>
      </w:r>
      <w:r w:rsidR="00E62279" w:rsidRPr="007E1010">
        <w:rPr>
          <w:rFonts w:ascii="Arial" w:hAnsi="Arial" w:cs="Arial"/>
          <w:sz w:val="24"/>
          <w:szCs w:val="24"/>
        </w:rPr>
        <w:t>argues that</w:t>
      </w:r>
      <w:r w:rsidR="005179DB" w:rsidRPr="007E1010">
        <w:rPr>
          <w:rFonts w:ascii="Arial" w:hAnsi="Arial" w:cs="Arial"/>
          <w:sz w:val="24"/>
          <w:szCs w:val="24"/>
        </w:rPr>
        <w:t>: (a) he was a first offender; and (b) he was 44 years old and capable of rehabilitation</w:t>
      </w:r>
      <w:r w:rsidR="003A25E5" w:rsidRPr="007E1010">
        <w:rPr>
          <w:rFonts w:ascii="Arial" w:hAnsi="Arial" w:cs="Arial"/>
          <w:sz w:val="24"/>
          <w:szCs w:val="24"/>
        </w:rPr>
        <w:t xml:space="preserve">. The appellant also argues that the </w:t>
      </w:r>
      <w:r w:rsidR="00536517" w:rsidRPr="007E1010">
        <w:rPr>
          <w:rFonts w:ascii="Arial" w:hAnsi="Arial" w:cs="Arial"/>
          <w:sz w:val="24"/>
          <w:szCs w:val="24"/>
        </w:rPr>
        <w:t xml:space="preserve">court </w:t>
      </w:r>
      <w:r w:rsidR="00536517" w:rsidRPr="007E1010">
        <w:rPr>
          <w:rFonts w:ascii="Arial" w:hAnsi="Arial" w:cs="Arial"/>
          <w:i/>
          <w:iCs/>
          <w:sz w:val="24"/>
          <w:szCs w:val="24"/>
        </w:rPr>
        <w:t>a quo</w:t>
      </w:r>
      <w:r w:rsidR="00536517" w:rsidRPr="007E1010">
        <w:rPr>
          <w:rFonts w:ascii="Arial" w:hAnsi="Arial" w:cs="Arial"/>
          <w:sz w:val="24"/>
          <w:szCs w:val="24"/>
        </w:rPr>
        <w:t xml:space="preserve"> over-emphasised the seriousness of the offence</w:t>
      </w:r>
      <w:r w:rsidR="00161301" w:rsidRPr="007E1010">
        <w:rPr>
          <w:rFonts w:ascii="Arial" w:hAnsi="Arial" w:cs="Arial"/>
          <w:sz w:val="24"/>
          <w:szCs w:val="24"/>
        </w:rPr>
        <w:t xml:space="preserve"> in relation to the appellant’s personal circumstances.</w:t>
      </w:r>
    </w:p>
    <w:p w14:paraId="06219339" w14:textId="77777777" w:rsidR="007E1010" w:rsidRDefault="007E1010" w:rsidP="007E1010">
      <w:pPr>
        <w:pStyle w:val="ListParagraph"/>
        <w:spacing w:line="360" w:lineRule="auto"/>
        <w:ind w:left="0"/>
        <w:jc w:val="both"/>
        <w:rPr>
          <w:rFonts w:ascii="Arial" w:hAnsi="Arial" w:cs="Arial"/>
          <w:sz w:val="24"/>
          <w:szCs w:val="24"/>
        </w:rPr>
      </w:pPr>
    </w:p>
    <w:p w14:paraId="511999B8" w14:textId="77777777" w:rsidR="00E21FB8" w:rsidRPr="007E1010" w:rsidRDefault="00A977B5" w:rsidP="00E21FB8">
      <w:pPr>
        <w:pStyle w:val="ListParagraph"/>
        <w:numPr>
          <w:ilvl w:val="0"/>
          <w:numId w:val="3"/>
        </w:numPr>
        <w:spacing w:line="360" w:lineRule="auto"/>
        <w:ind w:left="0" w:firstLine="0"/>
        <w:jc w:val="both"/>
        <w:rPr>
          <w:rFonts w:ascii="Arial" w:hAnsi="Arial" w:cs="Arial"/>
          <w:sz w:val="24"/>
          <w:szCs w:val="24"/>
        </w:rPr>
      </w:pPr>
      <w:r w:rsidRPr="007E1010">
        <w:rPr>
          <w:rFonts w:ascii="Arial" w:hAnsi="Arial" w:cs="Arial"/>
          <w:sz w:val="24"/>
          <w:szCs w:val="24"/>
          <w:lang w:val="en-GB"/>
        </w:rPr>
        <w:t>A</w:t>
      </w:r>
      <w:r w:rsidR="00E21FB8" w:rsidRPr="007E1010">
        <w:rPr>
          <w:rFonts w:ascii="Arial" w:hAnsi="Arial" w:cs="Arial"/>
          <w:sz w:val="24"/>
          <w:szCs w:val="24"/>
          <w:lang w:val="en-GB"/>
        </w:rPr>
        <w:t xml:space="preserve"> court of appeal will not interfere lightly with the trial court’s exercise of its discretion.</w:t>
      </w:r>
      <w:r w:rsidR="00E21FB8" w:rsidRPr="00E21FB8">
        <w:rPr>
          <w:vertAlign w:val="superscript"/>
          <w:lang w:val="en-GB"/>
        </w:rPr>
        <w:footnoteReference w:id="1"/>
      </w:r>
      <w:r w:rsidR="00E21FB8" w:rsidRPr="007E1010">
        <w:rPr>
          <w:rFonts w:ascii="Arial" w:hAnsi="Arial" w:cs="Arial"/>
          <w:sz w:val="24"/>
          <w:szCs w:val="24"/>
          <w:lang w:val="en-GB"/>
        </w:rPr>
        <w:t xml:space="preserve"> In </w:t>
      </w:r>
      <w:r w:rsidR="007B7F76" w:rsidRPr="007E1010">
        <w:rPr>
          <w:rFonts w:ascii="Arial" w:hAnsi="Arial" w:cs="Arial"/>
          <w:sz w:val="24"/>
          <w:szCs w:val="24"/>
          <w:lang w:val="en-GB"/>
        </w:rPr>
        <w:t>D</w:t>
      </w:r>
      <w:r w:rsidR="00E21FB8" w:rsidRPr="007E1010">
        <w:rPr>
          <w:rFonts w:ascii="Arial" w:hAnsi="Arial" w:cs="Arial"/>
          <w:sz w:val="24"/>
          <w:szCs w:val="24"/>
          <w:lang w:val="en-GB"/>
        </w:rPr>
        <w:t>u Toit</w:t>
      </w:r>
      <w:r w:rsidR="007B7F76" w:rsidRPr="007E1010">
        <w:rPr>
          <w:rFonts w:ascii="Arial" w:hAnsi="Arial" w:cs="Arial"/>
          <w:sz w:val="24"/>
          <w:szCs w:val="24"/>
          <w:lang w:val="en-GB"/>
        </w:rPr>
        <w:t>’s</w:t>
      </w:r>
      <w:r w:rsidR="00E21FB8" w:rsidRPr="007E1010">
        <w:rPr>
          <w:rFonts w:ascii="Arial" w:hAnsi="Arial" w:cs="Arial"/>
          <w:sz w:val="24"/>
          <w:szCs w:val="24"/>
          <w:lang w:val="en-GB"/>
        </w:rPr>
        <w:t xml:space="preserve"> </w:t>
      </w:r>
      <w:r w:rsidR="00366E07" w:rsidRPr="007E1010">
        <w:rPr>
          <w:rFonts w:ascii="Arial" w:hAnsi="Arial" w:cs="Arial"/>
          <w:sz w:val="24"/>
          <w:szCs w:val="24"/>
          <w:lang w:val="en-GB"/>
        </w:rPr>
        <w:t xml:space="preserve">well-known </w:t>
      </w:r>
      <w:r w:rsidR="001A6844" w:rsidRPr="007E1010">
        <w:rPr>
          <w:rFonts w:ascii="Arial" w:hAnsi="Arial" w:cs="Arial"/>
          <w:sz w:val="24"/>
          <w:szCs w:val="24"/>
          <w:lang w:val="en-GB"/>
        </w:rPr>
        <w:t>commentary</w:t>
      </w:r>
      <w:r w:rsidR="00E21FB8" w:rsidRPr="007E1010">
        <w:rPr>
          <w:rFonts w:ascii="Arial" w:hAnsi="Arial" w:cs="Arial"/>
          <w:sz w:val="24"/>
          <w:szCs w:val="24"/>
          <w:lang w:val="en-GB"/>
        </w:rPr>
        <w:t>,</w:t>
      </w:r>
      <w:r w:rsidR="003713D6">
        <w:rPr>
          <w:rStyle w:val="FootnoteReference"/>
          <w:rFonts w:ascii="Arial" w:hAnsi="Arial" w:cs="Arial"/>
          <w:sz w:val="24"/>
          <w:szCs w:val="24"/>
          <w:lang w:val="en-GB"/>
        </w:rPr>
        <w:footnoteReference w:id="2"/>
      </w:r>
      <w:r w:rsidR="00E21FB8" w:rsidRPr="007E1010">
        <w:rPr>
          <w:rFonts w:ascii="Arial" w:hAnsi="Arial" w:cs="Arial"/>
          <w:sz w:val="24"/>
          <w:szCs w:val="24"/>
          <w:lang w:val="en-GB"/>
        </w:rPr>
        <w:t xml:space="preserve"> the learned authors observe that:</w:t>
      </w:r>
    </w:p>
    <w:p w14:paraId="5E2B0188" w14:textId="77777777" w:rsidR="00E21FB8" w:rsidRPr="00E21FB8" w:rsidRDefault="00E21FB8" w:rsidP="007E1010">
      <w:pPr>
        <w:spacing w:line="360" w:lineRule="auto"/>
        <w:ind w:left="720"/>
        <w:jc w:val="both"/>
        <w:rPr>
          <w:rFonts w:ascii="Arial" w:hAnsi="Arial" w:cs="Arial"/>
          <w:sz w:val="20"/>
          <w:szCs w:val="20"/>
          <w:lang w:val="en-GB"/>
        </w:rPr>
      </w:pPr>
      <w:r w:rsidRPr="00E21FB8">
        <w:rPr>
          <w:rFonts w:ascii="Arial" w:hAnsi="Arial" w:cs="Arial"/>
          <w:sz w:val="20"/>
          <w:szCs w:val="20"/>
          <w:lang w:val="en-GB"/>
        </w:rPr>
        <w:t xml:space="preserve">‘A court of appeal will not, in the absence of material misdirection by the trial court, approach the question of sentence as if it were the trial court and then substitute the sentence arrived at by it </w:t>
      </w:r>
      <w:r w:rsidRPr="00E21FB8">
        <w:rPr>
          <w:rFonts w:ascii="Arial" w:hAnsi="Arial" w:cs="Arial"/>
          <w:sz w:val="20"/>
          <w:szCs w:val="20"/>
          <w:lang w:val="en-GB"/>
        </w:rPr>
        <w:lastRenderedPageBreak/>
        <w:t>simply because it prefers it. To do so would be to usurp the sentencing discretion of the trial court…’</w:t>
      </w:r>
      <w:r w:rsidRPr="00E21FB8">
        <w:rPr>
          <w:rFonts w:ascii="Arial" w:hAnsi="Arial" w:cs="Arial"/>
          <w:sz w:val="20"/>
          <w:szCs w:val="20"/>
          <w:vertAlign w:val="superscript"/>
          <w:lang w:val="en-GB"/>
        </w:rPr>
        <w:footnoteReference w:id="3"/>
      </w:r>
    </w:p>
    <w:p w14:paraId="32E6A881" w14:textId="77777777" w:rsidR="00D1432D" w:rsidRDefault="00D1432D" w:rsidP="00E21FB8">
      <w:pPr>
        <w:spacing w:line="360" w:lineRule="auto"/>
        <w:rPr>
          <w:rFonts w:ascii="Arial" w:hAnsi="Arial" w:cs="Arial"/>
          <w:sz w:val="24"/>
          <w:szCs w:val="24"/>
          <w:lang w:val="en-GB"/>
        </w:rPr>
      </w:pPr>
    </w:p>
    <w:p w14:paraId="55DB3E7E" w14:textId="77777777" w:rsidR="00E21FB8" w:rsidRPr="007E1010" w:rsidRDefault="00AE5A58" w:rsidP="007E1010">
      <w:pPr>
        <w:pStyle w:val="ListParagraph"/>
        <w:numPr>
          <w:ilvl w:val="0"/>
          <w:numId w:val="3"/>
        </w:numPr>
        <w:spacing w:line="360" w:lineRule="auto"/>
        <w:ind w:left="0" w:firstLine="0"/>
        <w:rPr>
          <w:rFonts w:ascii="Arial" w:hAnsi="Arial" w:cs="Arial"/>
          <w:sz w:val="24"/>
          <w:szCs w:val="24"/>
          <w:lang w:val="en-GB"/>
        </w:rPr>
      </w:pPr>
      <w:r>
        <w:rPr>
          <w:rFonts w:ascii="Arial" w:hAnsi="Arial" w:cs="Arial"/>
          <w:sz w:val="24"/>
          <w:szCs w:val="24"/>
          <w:lang w:val="en-GB"/>
        </w:rPr>
        <w:t>C</w:t>
      </w:r>
      <w:r w:rsidR="00EB1DB2" w:rsidRPr="007E1010">
        <w:rPr>
          <w:rFonts w:ascii="Arial" w:hAnsi="Arial" w:cs="Arial"/>
          <w:sz w:val="24"/>
          <w:szCs w:val="24"/>
          <w:lang w:val="en-GB"/>
        </w:rPr>
        <w:t xml:space="preserve">ase law </w:t>
      </w:r>
      <w:r w:rsidR="00CB69A5" w:rsidRPr="007E1010">
        <w:rPr>
          <w:rFonts w:ascii="Arial" w:hAnsi="Arial" w:cs="Arial"/>
          <w:sz w:val="24"/>
          <w:szCs w:val="24"/>
          <w:lang w:val="en-GB"/>
        </w:rPr>
        <w:t xml:space="preserve">supports the cautious </w:t>
      </w:r>
      <w:r w:rsidR="00E21FB8" w:rsidRPr="007E1010">
        <w:rPr>
          <w:rFonts w:ascii="Arial" w:hAnsi="Arial" w:cs="Arial"/>
          <w:sz w:val="24"/>
          <w:szCs w:val="24"/>
          <w:lang w:val="en-GB"/>
        </w:rPr>
        <w:t xml:space="preserve">approach to be </w:t>
      </w:r>
      <w:r w:rsidR="00CB69A5" w:rsidRPr="007E1010">
        <w:rPr>
          <w:rFonts w:ascii="Arial" w:hAnsi="Arial" w:cs="Arial"/>
          <w:sz w:val="24"/>
          <w:szCs w:val="24"/>
          <w:lang w:val="en-GB"/>
        </w:rPr>
        <w:t>taken</w:t>
      </w:r>
      <w:r w:rsidR="00E21FB8" w:rsidRPr="007E1010">
        <w:rPr>
          <w:rFonts w:ascii="Arial" w:hAnsi="Arial" w:cs="Arial"/>
          <w:sz w:val="24"/>
          <w:szCs w:val="24"/>
          <w:lang w:val="en-GB"/>
        </w:rPr>
        <w:t xml:space="preserve"> by </w:t>
      </w:r>
      <w:r w:rsidR="00CB69A5" w:rsidRPr="007E1010">
        <w:rPr>
          <w:rFonts w:ascii="Arial" w:hAnsi="Arial" w:cs="Arial"/>
          <w:sz w:val="24"/>
          <w:szCs w:val="24"/>
          <w:lang w:val="en-GB"/>
        </w:rPr>
        <w:t>a</w:t>
      </w:r>
      <w:r w:rsidR="00E21FB8" w:rsidRPr="007E1010">
        <w:rPr>
          <w:rFonts w:ascii="Arial" w:hAnsi="Arial" w:cs="Arial"/>
          <w:sz w:val="24"/>
          <w:szCs w:val="24"/>
          <w:lang w:val="en-GB"/>
        </w:rPr>
        <w:t xml:space="preserve"> court of appeal. In </w:t>
      </w:r>
      <w:r w:rsidR="00E21FB8" w:rsidRPr="007E1010">
        <w:rPr>
          <w:rFonts w:ascii="Arial" w:hAnsi="Arial" w:cs="Arial"/>
          <w:i/>
          <w:iCs/>
          <w:sz w:val="24"/>
          <w:szCs w:val="24"/>
          <w:lang w:val="en-GB"/>
        </w:rPr>
        <w:t>S v Bogaards</w:t>
      </w:r>
      <w:r w:rsidR="00E21FB8" w:rsidRPr="007E1010">
        <w:rPr>
          <w:rFonts w:ascii="Arial" w:hAnsi="Arial" w:cs="Arial"/>
          <w:sz w:val="24"/>
          <w:szCs w:val="24"/>
          <w:lang w:val="en-GB"/>
        </w:rPr>
        <w:t>,</w:t>
      </w:r>
      <w:r w:rsidR="00C04E94">
        <w:rPr>
          <w:rStyle w:val="FootnoteReference"/>
          <w:rFonts w:ascii="Arial" w:hAnsi="Arial" w:cs="Arial"/>
          <w:sz w:val="24"/>
          <w:szCs w:val="24"/>
          <w:lang w:val="en-GB"/>
        </w:rPr>
        <w:footnoteReference w:id="4"/>
      </w:r>
      <w:r w:rsidR="00E21FB8" w:rsidRPr="007E1010">
        <w:rPr>
          <w:rFonts w:ascii="Arial" w:hAnsi="Arial" w:cs="Arial"/>
          <w:sz w:val="24"/>
          <w:szCs w:val="24"/>
          <w:lang w:val="en-GB"/>
        </w:rPr>
        <w:t xml:space="preserve"> Khampepe J held, at [41], that:</w:t>
      </w:r>
    </w:p>
    <w:p w14:paraId="56F95B9D" w14:textId="77777777" w:rsidR="00E21FB8" w:rsidRPr="00E21FB8" w:rsidRDefault="00E21FB8" w:rsidP="007E1010">
      <w:pPr>
        <w:spacing w:line="360" w:lineRule="auto"/>
        <w:ind w:left="720"/>
        <w:jc w:val="both"/>
        <w:rPr>
          <w:rFonts w:ascii="Arial" w:hAnsi="Arial" w:cs="Arial"/>
          <w:sz w:val="20"/>
          <w:szCs w:val="20"/>
          <w:lang w:val="en-GB"/>
        </w:rPr>
      </w:pPr>
      <w:r w:rsidRPr="00E21FB8">
        <w:rPr>
          <w:rFonts w:ascii="Arial" w:hAnsi="Arial" w:cs="Arial"/>
          <w:sz w:val="20"/>
          <w:szCs w:val="20"/>
          <w:lang w:val="en-GB"/>
        </w:rPr>
        <w:t>‘It can only do so [i.e. interfere with the sentence imposed] where there has been an irregularity that results in the failure of justice; the court below misdirected itself to such an extent that its decision on sentence is vitiated; or the sentence is so disproportionate or shocking that no reasonable court could have imposed it.’</w:t>
      </w:r>
      <w:r w:rsidR="00C04E94" w:rsidRPr="00C04E94">
        <w:rPr>
          <w:rStyle w:val="FootnoteReference"/>
          <w:rFonts w:ascii="Arial" w:hAnsi="Arial" w:cs="Arial"/>
          <w:sz w:val="20"/>
          <w:szCs w:val="20"/>
          <w:lang w:val="en-GB"/>
        </w:rPr>
        <w:footnoteReference w:id="5"/>
      </w:r>
    </w:p>
    <w:p w14:paraId="373C68D5" w14:textId="77777777" w:rsidR="00C04E94" w:rsidRDefault="00C04E94" w:rsidP="00E21FB8">
      <w:pPr>
        <w:spacing w:line="360" w:lineRule="auto"/>
        <w:rPr>
          <w:rFonts w:ascii="Arial" w:hAnsi="Arial" w:cs="Arial"/>
          <w:sz w:val="24"/>
          <w:szCs w:val="24"/>
          <w:lang w:val="en-GB"/>
        </w:rPr>
      </w:pPr>
    </w:p>
    <w:p w14:paraId="238E8235" w14:textId="77777777" w:rsidR="00E21FB8" w:rsidRPr="007E1010" w:rsidRDefault="00802B27" w:rsidP="007E1010">
      <w:pPr>
        <w:pStyle w:val="ListParagraph"/>
        <w:numPr>
          <w:ilvl w:val="0"/>
          <w:numId w:val="3"/>
        </w:numPr>
        <w:spacing w:line="360" w:lineRule="auto"/>
        <w:ind w:left="0" w:firstLine="0"/>
        <w:jc w:val="both"/>
        <w:rPr>
          <w:rFonts w:ascii="Arial" w:hAnsi="Arial" w:cs="Arial"/>
          <w:sz w:val="24"/>
          <w:szCs w:val="24"/>
          <w:lang w:val="en-GB"/>
        </w:rPr>
      </w:pPr>
      <w:r w:rsidRPr="007E1010">
        <w:rPr>
          <w:rFonts w:ascii="Arial" w:hAnsi="Arial" w:cs="Arial"/>
          <w:sz w:val="24"/>
          <w:szCs w:val="24"/>
          <w:lang w:val="en-GB"/>
        </w:rPr>
        <w:t>This</w:t>
      </w:r>
      <w:r w:rsidR="00481050" w:rsidRPr="007E1010">
        <w:rPr>
          <w:rFonts w:ascii="Arial" w:hAnsi="Arial" w:cs="Arial"/>
          <w:sz w:val="24"/>
          <w:szCs w:val="24"/>
          <w:lang w:val="en-GB"/>
        </w:rPr>
        <w:t xml:space="preserve"> is also apparent from </w:t>
      </w:r>
      <w:r w:rsidR="00E21FB8" w:rsidRPr="007E1010">
        <w:rPr>
          <w:rFonts w:ascii="Arial" w:hAnsi="Arial" w:cs="Arial"/>
          <w:i/>
          <w:iCs/>
          <w:sz w:val="24"/>
          <w:szCs w:val="24"/>
          <w:lang w:val="en-GB"/>
        </w:rPr>
        <w:t>S v Hewitt</w:t>
      </w:r>
      <w:r w:rsidR="00E21FB8" w:rsidRPr="007E1010">
        <w:rPr>
          <w:rFonts w:ascii="Arial" w:hAnsi="Arial" w:cs="Arial"/>
          <w:sz w:val="24"/>
          <w:szCs w:val="24"/>
          <w:lang w:val="en-GB"/>
        </w:rPr>
        <w:t>,</w:t>
      </w:r>
      <w:r w:rsidR="009D3E2B">
        <w:rPr>
          <w:rStyle w:val="FootnoteReference"/>
          <w:rFonts w:ascii="Arial" w:hAnsi="Arial" w:cs="Arial"/>
          <w:sz w:val="24"/>
          <w:szCs w:val="24"/>
          <w:lang w:val="en-GB"/>
        </w:rPr>
        <w:footnoteReference w:id="6"/>
      </w:r>
      <w:r w:rsidR="00E21FB8" w:rsidRPr="007E1010">
        <w:rPr>
          <w:rFonts w:ascii="Arial" w:hAnsi="Arial" w:cs="Arial"/>
          <w:sz w:val="24"/>
          <w:szCs w:val="24"/>
          <w:lang w:val="en-GB"/>
        </w:rPr>
        <w:t xml:space="preserve"> </w:t>
      </w:r>
      <w:r w:rsidR="00481050" w:rsidRPr="007E1010">
        <w:rPr>
          <w:rFonts w:ascii="Arial" w:hAnsi="Arial" w:cs="Arial"/>
          <w:sz w:val="24"/>
          <w:szCs w:val="24"/>
          <w:lang w:val="en-GB"/>
        </w:rPr>
        <w:t>where Maya DP held</w:t>
      </w:r>
      <w:r w:rsidR="009D3E2B" w:rsidRPr="007E1010">
        <w:rPr>
          <w:rFonts w:ascii="Arial" w:hAnsi="Arial" w:cs="Arial"/>
          <w:sz w:val="24"/>
          <w:szCs w:val="24"/>
          <w:lang w:val="en-GB"/>
        </w:rPr>
        <w:t xml:space="preserve"> </w:t>
      </w:r>
      <w:r w:rsidR="00E21FB8" w:rsidRPr="007E1010">
        <w:rPr>
          <w:rFonts w:ascii="Arial" w:hAnsi="Arial" w:cs="Arial"/>
          <w:sz w:val="24"/>
          <w:szCs w:val="24"/>
          <w:lang w:val="en-GB"/>
        </w:rPr>
        <w:t>that:</w:t>
      </w:r>
    </w:p>
    <w:p w14:paraId="2D25E207" w14:textId="77777777" w:rsidR="00E21FB8" w:rsidRPr="00E21FB8" w:rsidRDefault="00E21FB8" w:rsidP="00E2727B">
      <w:pPr>
        <w:spacing w:line="360" w:lineRule="auto"/>
        <w:ind w:left="720"/>
        <w:jc w:val="both"/>
        <w:rPr>
          <w:rFonts w:ascii="Arial" w:hAnsi="Arial" w:cs="Arial"/>
          <w:sz w:val="20"/>
          <w:szCs w:val="20"/>
          <w:lang w:val="en-GB"/>
        </w:rPr>
      </w:pPr>
      <w:r w:rsidRPr="00E21FB8">
        <w:rPr>
          <w:rFonts w:ascii="Arial" w:hAnsi="Arial" w:cs="Arial"/>
          <w:sz w:val="20"/>
          <w:szCs w:val="20"/>
          <w:lang w:val="en-GB"/>
        </w:rPr>
        <w:t>‘It is a trite principle of our law that the imposition of sentence is the prerogative of the trial court. An appellate court may not interfere with this discretion merely because it would have imposed a different sentence. In other words, it is not enough to conclude that its own choice of penalty would have been an appropriate penalty. Something more is required; it must conclude that its own choice of penalty is the appropriate penalty and that the penalty chosen by the trial court is not. Thus, the appellate court must be satisfied that the trial court committed a misdirection of such a nature, degree and seriousness that shows it did not exercise its sentencing discretion at all or exercised it improperly or unreasonably when imposing it. So, interference is justified only where there exists a “striking” or “startling” or “disturbing” disparity between the trial court’s sentence and that which the appellate court would have imposed. And in such instances the trial court’s discretion is regarded as having been unreasonably exercised.’</w:t>
      </w:r>
      <w:r w:rsidR="009D3E2B" w:rsidRPr="00AD054C">
        <w:rPr>
          <w:rStyle w:val="FootnoteReference"/>
          <w:rFonts w:ascii="Arial" w:hAnsi="Arial" w:cs="Arial"/>
          <w:sz w:val="20"/>
          <w:szCs w:val="20"/>
          <w:lang w:val="en-GB"/>
        </w:rPr>
        <w:footnoteReference w:id="7"/>
      </w:r>
    </w:p>
    <w:p w14:paraId="215CF7EB" w14:textId="77777777" w:rsidR="00AD054C" w:rsidRDefault="00AD054C" w:rsidP="00E21FB8">
      <w:pPr>
        <w:spacing w:line="360" w:lineRule="auto"/>
        <w:rPr>
          <w:rFonts w:ascii="Arial" w:hAnsi="Arial" w:cs="Arial"/>
          <w:sz w:val="24"/>
          <w:szCs w:val="24"/>
          <w:lang w:val="en-GB"/>
        </w:rPr>
      </w:pPr>
    </w:p>
    <w:p w14:paraId="069FAFE4" w14:textId="77777777" w:rsidR="007E1010" w:rsidRDefault="00227525" w:rsidP="00E21FB8">
      <w:pPr>
        <w:pStyle w:val="ListParagraph"/>
        <w:numPr>
          <w:ilvl w:val="0"/>
          <w:numId w:val="3"/>
        </w:numPr>
        <w:spacing w:line="360" w:lineRule="auto"/>
        <w:ind w:left="0" w:firstLine="0"/>
        <w:jc w:val="both"/>
        <w:rPr>
          <w:rFonts w:ascii="Arial" w:hAnsi="Arial" w:cs="Arial"/>
          <w:sz w:val="24"/>
          <w:szCs w:val="24"/>
          <w:lang w:val="en-GB"/>
        </w:rPr>
      </w:pPr>
      <w:r w:rsidRPr="007E1010">
        <w:rPr>
          <w:rFonts w:ascii="Arial" w:hAnsi="Arial" w:cs="Arial"/>
          <w:sz w:val="24"/>
          <w:szCs w:val="24"/>
          <w:lang w:val="en-GB"/>
        </w:rPr>
        <w:t>Consequently, th</w:t>
      </w:r>
      <w:r w:rsidR="00E125B2" w:rsidRPr="007E1010">
        <w:rPr>
          <w:rFonts w:ascii="Arial" w:hAnsi="Arial" w:cs="Arial"/>
          <w:sz w:val="24"/>
          <w:szCs w:val="24"/>
          <w:lang w:val="en-GB"/>
        </w:rPr>
        <w:t xml:space="preserve">e </w:t>
      </w:r>
      <w:r w:rsidR="00E21FB8" w:rsidRPr="007E1010">
        <w:rPr>
          <w:rFonts w:ascii="Arial" w:hAnsi="Arial" w:cs="Arial"/>
          <w:sz w:val="24"/>
          <w:szCs w:val="24"/>
          <w:lang w:val="en-GB"/>
        </w:rPr>
        <w:t xml:space="preserve">court </w:t>
      </w:r>
      <w:r w:rsidR="00E125B2" w:rsidRPr="007E1010">
        <w:rPr>
          <w:rFonts w:ascii="Arial" w:hAnsi="Arial" w:cs="Arial"/>
          <w:sz w:val="24"/>
          <w:szCs w:val="24"/>
          <w:lang w:val="en-GB"/>
        </w:rPr>
        <w:t>in the present matter can only</w:t>
      </w:r>
      <w:r w:rsidR="00E21FB8" w:rsidRPr="007E1010">
        <w:rPr>
          <w:rFonts w:ascii="Arial" w:hAnsi="Arial" w:cs="Arial"/>
          <w:sz w:val="24"/>
          <w:szCs w:val="24"/>
          <w:lang w:val="en-GB"/>
        </w:rPr>
        <w:t xml:space="preserve"> interfere with the sentence where the trial court’s exercise of its discretion was </w:t>
      </w:r>
      <w:r w:rsidR="004C7635" w:rsidRPr="007E1010">
        <w:rPr>
          <w:rFonts w:ascii="Arial" w:hAnsi="Arial" w:cs="Arial"/>
          <w:sz w:val="24"/>
          <w:szCs w:val="24"/>
          <w:lang w:val="en-GB"/>
        </w:rPr>
        <w:t>patently incorrect</w:t>
      </w:r>
      <w:r w:rsidR="00E21FB8" w:rsidRPr="007E1010">
        <w:rPr>
          <w:rFonts w:ascii="Arial" w:hAnsi="Arial" w:cs="Arial"/>
          <w:sz w:val="24"/>
          <w:szCs w:val="24"/>
          <w:lang w:val="en-GB"/>
        </w:rPr>
        <w:t xml:space="preserve">. </w:t>
      </w:r>
      <w:r w:rsidR="004C7635" w:rsidRPr="007E1010">
        <w:rPr>
          <w:rFonts w:ascii="Arial" w:hAnsi="Arial" w:cs="Arial"/>
          <w:sz w:val="24"/>
          <w:szCs w:val="24"/>
          <w:lang w:val="en-GB"/>
        </w:rPr>
        <w:t>T</w:t>
      </w:r>
      <w:r w:rsidR="00E21FB8" w:rsidRPr="007E1010">
        <w:rPr>
          <w:rFonts w:ascii="Arial" w:hAnsi="Arial" w:cs="Arial"/>
          <w:sz w:val="24"/>
          <w:szCs w:val="24"/>
          <w:lang w:val="en-GB"/>
        </w:rPr>
        <w:t xml:space="preserve">he sentence must </w:t>
      </w:r>
      <w:r w:rsidR="004C7635" w:rsidRPr="007E1010">
        <w:rPr>
          <w:rFonts w:ascii="Arial" w:hAnsi="Arial" w:cs="Arial"/>
          <w:sz w:val="24"/>
          <w:szCs w:val="24"/>
          <w:lang w:val="en-GB"/>
        </w:rPr>
        <w:t xml:space="preserve">otherwise </w:t>
      </w:r>
      <w:r w:rsidR="00E21FB8" w:rsidRPr="007E1010">
        <w:rPr>
          <w:rFonts w:ascii="Arial" w:hAnsi="Arial" w:cs="Arial"/>
          <w:sz w:val="24"/>
          <w:szCs w:val="24"/>
          <w:lang w:val="en-GB"/>
        </w:rPr>
        <w:t>be left undisturbed.</w:t>
      </w:r>
    </w:p>
    <w:p w14:paraId="1961669B" w14:textId="77777777" w:rsidR="007E1010" w:rsidRDefault="00711835" w:rsidP="00E21FB8">
      <w:pPr>
        <w:pStyle w:val="ListParagraph"/>
        <w:numPr>
          <w:ilvl w:val="0"/>
          <w:numId w:val="3"/>
        </w:numPr>
        <w:spacing w:line="360" w:lineRule="auto"/>
        <w:ind w:left="0" w:firstLine="0"/>
        <w:jc w:val="both"/>
        <w:rPr>
          <w:rFonts w:ascii="Arial" w:hAnsi="Arial" w:cs="Arial"/>
          <w:sz w:val="24"/>
          <w:szCs w:val="24"/>
          <w:lang w:val="en-GB"/>
        </w:rPr>
      </w:pPr>
      <w:r w:rsidRPr="007E1010">
        <w:rPr>
          <w:rFonts w:ascii="Arial" w:hAnsi="Arial" w:cs="Arial"/>
          <w:sz w:val="24"/>
          <w:szCs w:val="24"/>
          <w:lang w:val="en-GB"/>
        </w:rPr>
        <w:lastRenderedPageBreak/>
        <w:t xml:space="preserve">The above principles must guide </w:t>
      </w:r>
      <w:r w:rsidR="00B9169E" w:rsidRPr="007E1010">
        <w:rPr>
          <w:rFonts w:ascii="Arial" w:hAnsi="Arial" w:cs="Arial"/>
          <w:sz w:val="24"/>
          <w:szCs w:val="24"/>
          <w:lang w:val="en-GB"/>
        </w:rPr>
        <w:t>the determination to be made in relation to the appellant’s grounds of appeal.</w:t>
      </w:r>
    </w:p>
    <w:p w14:paraId="48A9FC02" w14:textId="77777777" w:rsidR="007E1010" w:rsidRPr="007E1010" w:rsidRDefault="007E1010" w:rsidP="007E1010">
      <w:pPr>
        <w:pStyle w:val="ListParagraph"/>
        <w:rPr>
          <w:rFonts w:ascii="Arial" w:hAnsi="Arial" w:cs="Arial"/>
          <w:sz w:val="24"/>
          <w:szCs w:val="24"/>
          <w:lang w:val="en-GB"/>
        </w:rPr>
      </w:pPr>
    </w:p>
    <w:p w14:paraId="3C35BF4E" w14:textId="77777777" w:rsidR="007E1010" w:rsidRPr="007E1010" w:rsidRDefault="007E1010" w:rsidP="007E1010">
      <w:pPr>
        <w:pStyle w:val="ListParagraph"/>
        <w:rPr>
          <w:rFonts w:ascii="Arial" w:hAnsi="Arial" w:cs="Arial"/>
          <w:b/>
          <w:bCs/>
          <w:sz w:val="24"/>
          <w:szCs w:val="24"/>
          <w:lang w:val="en-GB"/>
        </w:rPr>
      </w:pPr>
    </w:p>
    <w:p w14:paraId="74F8E05C" w14:textId="77777777" w:rsidR="007E1010" w:rsidRDefault="00592A02" w:rsidP="007E1010">
      <w:pPr>
        <w:pStyle w:val="ListParagraph"/>
        <w:spacing w:line="360" w:lineRule="auto"/>
        <w:ind w:left="0"/>
        <w:jc w:val="both"/>
        <w:rPr>
          <w:rFonts w:ascii="Arial" w:hAnsi="Arial" w:cs="Arial"/>
          <w:b/>
          <w:bCs/>
          <w:sz w:val="24"/>
          <w:szCs w:val="24"/>
          <w:lang w:val="en-GB"/>
        </w:rPr>
      </w:pPr>
      <w:r>
        <w:rPr>
          <w:rFonts w:ascii="Arial" w:hAnsi="Arial" w:cs="Arial"/>
          <w:b/>
          <w:bCs/>
          <w:sz w:val="24"/>
          <w:szCs w:val="24"/>
          <w:lang w:val="en-GB"/>
        </w:rPr>
        <w:t>Substantial and compelling circumstances</w:t>
      </w:r>
    </w:p>
    <w:p w14:paraId="543B4518" w14:textId="77777777" w:rsidR="00E2727B" w:rsidRPr="00E05DB3" w:rsidRDefault="00E2727B" w:rsidP="00E05DB3">
      <w:pPr>
        <w:pStyle w:val="ListParagraph"/>
        <w:spacing w:line="360" w:lineRule="auto"/>
        <w:ind w:left="0"/>
        <w:jc w:val="both"/>
        <w:rPr>
          <w:rFonts w:ascii="Arial" w:hAnsi="Arial" w:cs="Arial"/>
          <w:b/>
          <w:bCs/>
          <w:sz w:val="24"/>
          <w:szCs w:val="24"/>
          <w:lang w:val="en-GB"/>
        </w:rPr>
      </w:pPr>
    </w:p>
    <w:p w14:paraId="0AC41F23" w14:textId="730CFC63" w:rsidR="007E1010" w:rsidRPr="007E1010" w:rsidRDefault="00C14887" w:rsidP="00E21FB8">
      <w:pPr>
        <w:pStyle w:val="ListParagraph"/>
        <w:numPr>
          <w:ilvl w:val="0"/>
          <w:numId w:val="3"/>
        </w:numPr>
        <w:spacing w:line="360" w:lineRule="auto"/>
        <w:ind w:left="0" w:firstLine="0"/>
        <w:jc w:val="both"/>
        <w:rPr>
          <w:rFonts w:ascii="Arial" w:hAnsi="Arial" w:cs="Arial"/>
          <w:b/>
          <w:bCs/>
          <w:sz w:val="24"/>
          <w:szCs w:val="24"/>
          <w:lang w:val="en-GB"/>
        </w:rPr>
      </w:pPr>
      <w:r w:rsidRPr="007E1010">
        <w:rPr>
          <w:rFonts w:ascii="Arial" w:hAnsi="Arial" w:cs="Arial"/>
          <w:sz w:val="24"/>
          <w:szCs w:val="24"/>
          <w:lang w:val="en-GB"/>
        </w:rPr>
        <w:t>T</w:t>
      </w:r>
      <w:r w:rsidR="0040327E" w:rsidRPr="007E1010">
        <w:rPr>
          <w:rFonts w:ascii="Arial" w:hAnsi="Arial" w:cs="Arial"/>
          <w:sz w:val="24"/>
          <w:szCs w:val="24"/>
          <w:lang w:val="en-GB"/>
        </w:rPr>
        <w:t xml:space="preserve">here is </w:t>
      </w:r>
      <w:r w:rsidR="00781192" w:rsidRPr="007E1010">
        <w:rPr>
          <w:rFonts w:ascii="Arial" w:hAnsi="Arial" w:cs="Arial"/>
          <w:sz w:val="24"/>
          <w:szCs w:val="24"/>
          <w:lang w:val="en-GB"/>
        </w:rPr>
        <w:t xml:space="preserve">little </w:t>
      </w:r>
      <w:r w:rsidR="0040327E" w:rsidRPr="007E1010">
        <w:rPr>
          <w:rFonts w:ascii="Arial" w:hAnsi="Arial" w:cs="Arial"/>
          <w:sz w:val="24"/>
          <w:szCs w:val="24"/>
          <w:lang w:val="en-GB"/>
        </w:rPr>
        <w:t xml:space="preserve">in the record </w:t>
      </w:r>
      <w:r w:rsidR="00781192" w:rsidRPr="007E1010">
        <w:rPr>
          <w:rFonts w:ascii="Arial" w:hAnsi="Arial" w:cs="Arial"/>
          <w:sz w:val="24"/>
          <w:szCs w:val="24"/>
          <w:lang w:val="en-GB"/>
        </w:rPr>
        <w:t xml:space="preserve">that </w:t>
      </w:r>
      <w:r w:rsidR="0040327E" w:rsidRPr="007E1010">
        <w:rPr>
          <w:rFonts w:ascii="Arial" w:hAnsi="Arial" w:cs="Arial"/>
          <w:sz w:val="24"/>
          <w:szCs w:val="24"/>
          <w:lang w:val="en-GB"/>
        </w:rPr>
        <w:t xml:space="preserve">serves to </w:t>
      </w:r>
      <w:r w:rsidR="00F86B89" w:rsidRPr="007E1010">
        <w:rPr>
          <w:rFonts w:ascii="Arial" w:hAnsi="Arial" w:cs="Arial"/>
          <w:sz w:val="24"/>
          <w:szCs w:val="24"/>
          <w:lang w:val="en-GB"/>
        </w:rPr>
        <w:t xml:space="preserve">advance the </w:t>
      </w:r>
      <w:r w:rsidR="00781192" w:rsidRPr="007E1010">
        <w:rPr>
          <w:rFonts w:ascii="Arial" w:hAnsi="Arial" w:cs="Arial"/>
          <w:sz w:val="24"/>
          <w:szCs w:val="24"/>
          <w:lang w:val="en-GB"/>
        </w:rPr>
        <w:t>appellant</w:t>
      </w:r>
      <w:r w:rsidR="00F86B89" w:rsidRPr="007E1010">
        <w:rPr>
          <w:rFonts w:ascii="Arial" w:hAnsi="Arial" w:cs="Arial"/>
          <w:sz w:val="24"/>
          <w:szCs w:val="24"/>
          <w:lang w:val="en-GB"/>
        </w:rPr>
        <w:t>’s case on appeal. His legal representative</w:t>
      </w:r>
      <w:r w:rsidR="00725DAC" w:rsidRPr="007E1010">
        <w:rPr>
          <w:rFonts w:ascii="Arial" w:hAnsi="Arial" w:cs="Arial"/>
          <w:sz w:val="24"/>
          <w:szCs w:val="24"/>
          <w:lang w:val="en-GB"/>
        </w:rPr>
        <w:t xml:space="preserve"> </w:t>
      </w:r>
      <w:r w:rsidR="00585A3C" w:rsidRPr="007E1010">
        <w:rPr>
          <w:rFonts w:ascii="Arial" w:hAnsi="Arial" w:cs="Arial"/>
          <w:sz w:val="24"/>
          <w:szCs w:val="24"/>
          <w:lang w:val="en-GB"/>
        </w:rPr>
        <w:t>made submissions</w:t>
      </w:r>
      <w:r w:rsidR="007A17DB">
        <w:rPr>
          <w:rFonts w:ascii="Arial" w:hAnsi="Arial" w:cs="Arial"/>
          <w:sz w:val="24"/>
          <w:szCs w:val="24"/>
          <w:lang w:val="en-GB"/>
        </w:rPr>
        <w:t xml:space="preserve"> that were very limited in nature</w:t>
      </w:r>
      <w:r w:rsidR="00024A2D" w:rsidRPr="007E1010">
        <w:rPr>
          <w:rFonts w:ascii="Arial" w:hAnsi="Arial" w:cs="Arial"/>
          <w:sz w:val="24"/>
          <w:szCs w:val="24"/>
          <w:lang w:val="en-GB"/>
        </w:rPr>
        <w:t>. In addition to the</w:t>
      </w:r>
      <w:r w:rsidR="008154F9" w:rsidRPr="007E1010">
        <w:rPr>
          <w:rFonts w:ascii="Arial" w:hAnsi="Arial" w:cs="Arial"/>
          <w:sz w:val="24"/>
          <w:szCs w:val="24"/>
          <w:lang w:val="en-GB"/>
        </w:rPr>
        <w:t xml:space="preserve"> fact that the appellant was a first offender and that he was</w:t>
      </w:r>
      <w:r w:rsidR="001D718E" w:rsidRPr="007E1010">
        <w:rPr>
          <w:rFonts w:ascii="Arial" w:hAnsi="Arial" w:cs="Arial"/>
          <w:sz w:val="24"/>
          <w:szCs w:val="24"/>
          <w:lang w:val="en-GB"/>
        </w:rPr>
        <w:t xml:space="preserve"> 44 years old and capable of rehabilitation, </w:t>
      </w:r>
      <w:r w:rsidR="009C6EE2" w:rsidRPr="007E1010">
        <w:rPr>
          <w:rFonts w:ascii="Arial" w:hAnsi="Arial" w:cs="Arial"/>
          <w:sz w:val="24"/>
          <w:szCs w:val="24"/>
          <w:lang w:val="en-GB"/>
        </w:rPr>
        <w:t xml:space="preserve">his attorney </w:t>
      </w:r>
      <w:r w:rsidR="00F70C5C" w:rsidRPr="007E1010">
        <w:rPr>
          <w:rFonts w:ascii="Arial" w:hAnsi="Arial" w:cs="Arial"/>
          <w:sz w:val="24"/>
          <w:szCs w:val="24"/>
          <w:lang w:val="en-GB"/>
        </w:rPr>
        <w:t xml:space="preserve">mentioned only that </w:t>
      </w:r>
      <w:r w:rsidR="008A15AC" w:rsidRPr="007E1010">
        <w:rPr>
          <w:rFonts w:ascii="Arial" w:hAnsi="Arial" w:cs="Arial"/>
          <w:sz w:val="24"/>
          <w:szCs w:val="24"/>
          <w:lang w:val="en-GB"/>
        </w:rPr>
        <w:t>the</w:t>
      </w:r>
      <w:r w:rsidR="00C574A2" w:rsidRPr="007E1010">
        <w:rPr>
          <w:rFonts w:ascii="Arial" w:hAnsi="Arial" w:cs="Arial"/>
          <w:sz w:val="24"/>
          <w:szCs w:val="24"/>
          <w:lang w:val="en-GB"/>
        </w:rPr>
        <w:t>re was no indication that the</w:t>
      </w:r>
      <w:r w:rsidR="008A15AC" w:rsidRPr="007E1010">
        <w:rPr>
          <w:rFonts w:ascii="Arial" w:hAnsi="Arial" w:cs="Arial"/>
          <w:sz w:val="24"/>
          <w:szCs w:val="24"/>
          <w:lang w:val="en-GB"/>
        </w:rPr>
        <w:t xml:space="preserve"> complainant suffer</w:t>
      </w:r>
      <w:r w:rsidR="00C574A2" w:rsidRPr="007E1010">
        <w:rPr>
          <w:rFonts w:ascii="Arial" w:hAnsi="Arial" w:cs="Arial"/>
          <w:sz w:val="24"/>
          <w:szCs w:val="24"/>
          <w:lang w:val="en-GB"/>
        </w:rPr>
        <w:t>ed</w:t>
      </w:r>
      <w:r w:rsidR="008A15AC" w:rsidRPr="007E1010">
        <w:rPr>
          <w:rFonts w:ascii="Arial" w:hAnsi="Arial" w:cs="Arial"/>
          <w:sz w:val="24"/>
          <w:szCs w:val="24"/>
          <w:lang w:val="en-GB"/>
        </w:rPr>
        <w:t xml:space="preserve"> any serious </w:t>
      </w:r>
      <w:r w:rsidR="007E7BED" w:rsidRPr="007E1010">
        <w:rPr>
          <w:rFonts w:ascii="Arial" w:hAnsi="Arial" w:cs="Arial"/>
          <w:sz w:val="24"/>
          <w:szCs w:val="24"/>
          <w:lang w:val="en-GB"/>
        </w:rPr>
        <w:t xml:space="preserve">physical </w:t>
      </w:r>
      <w:r w:rsidR="008A15AC" w:rsidRPr="007E1010">
        <w:rPr>
          <w:rFonts w:ascii="Arial" w:hAnsi="Arial" w:cs="Arial"/>
          <w:sz w:val="24"/>
          <w:szCs w:val="24"/>
          <w:lang w:val="en-GB"/>
        </w:rPr>
        <w:t xml:space="preserve">injury </w:t>
      </w:r>
      <w:r w:rsidR="00C574A2" w:rsidRPr="007E1010">
        <w:rPr>
          <w:rFonts w:ascii="Arial" w:hAnsi="Arial" w:cs="Arial"/>
          <w:sz w:val="24"/>
          <w:szCs w:val="24"/>
          <w:lang w:val="en-GB"/>
        </w:rPr>
        <w:t>or trauma.</w:t>
      </w:r>
      <w:r w:rsidR="00D85C20" w:rsidRPr="007E1010">
        <w:rPr>
          <w:rFonts w:ascii="Arial" w:hAnsi="Arial" w:cs="Arial"/>
          <w:sz w:val="24"/>
          <w:szCs w:val="24"/>
          <w:lang w:val="en-GB"/>
        </w:rPr>
        <w:t xml:space="preserve"> No evidence </w:t>
      </w:r>
      <w:r w:rsidR="001044C3" w:rsidRPr="007E1010">
        <w:rPr>
          <w:rFonts w:ascii="Arial" w:hAnsi="Arial" w:cs="Arial"/>
          <w:sz w:val="24"/>
          <w:szCs w:val="24"/>
          <w:lang w:val="en-GB"/>
        </w:rPr>
        <w:t>was led.</w:t>
      </w:r>
    </w:p>
    <w:p w14:paraId="20EB42FB" w14:textId="77777777" w:rsidR="007E1010" w:rsidRPr="007E1010" w:rsidRDefault="007E1010" w:rsidP="007E1010">
      <w:pPr>
        <w:pStyle w:val="ListParagraph"/>
        <w:spacing w:line="360" w:lineRule="auto"/>
        <w:ind w:left="0"/>
        <w:jc w:val="both"/>
        <w:rPr>
          <w:rFonts w:ascii="Arial" w:hAnsi="Arial" w:cs="Arial"/>
          <w:b/>
          <w:bCs/>
          <w:sz w:val="24"/>
          <w:szCs w:val="24"/>
          <w:lang w:val="en-GB"/>
        </w:rPr>
      </w:pPr>
    </w:p>
    <w:p w14:paraId="7C7552AC" w14:textId="77777777" w:rsidR="000A000B" w:rsidRPr="007E1010" w:rsidRDefault="00731A45" w:rsidP="00E21FB8">
      <w:pPr>
        <w:pStyle w:val="ListParagraph"/>
        <w:numPr>
          <w:ilvl w:val="0"/>
          <w:numId w:val="3"/>
        </w:numPr>
        <w:spacing w:line="360" w:lineRule="auto"/>
        <w:ind w:left="0" w:firstLine="0"/>
        <w:jc w:val="both"/>
        <w:rPr>
          <w:rFonts w:ascii="Arial" w:hAnsi="Arial" w:cs="Arial"/>
          <w:b/>
          <w:bCs/>
          <w:sz w:val="24"/>
          <w:szCs w:val="24"/>
          <w:lang w:val="en-GB"/>
        </w:rPr>
      </w:pPr>
      <w:r w:rsidRPr="007E1010">
        <w:rPr>
          <w:rFonts w:ascii="Arial" w:hAnsi="Arial" w:cs="Arial"/>
          <w:sz w:val="24"/>
          <w:szCs w:val="24"/>
          <w:lang w:val="en-GB"/>
        </w:rPr>
        <w:t xml:space="preserve">Counsel for the appellant referred to the </w:t>
      </w:r>
      <w:r w:rsidR="00201E86" w:rsidRPr="007E1010">
        <w:rPr>
          <w:rFonts w:ascii="Arial" w:hAnsi="Arial" w:cs="Arial"/>
          <w:sz w:val="24"/>
          <w:szCs w:val="24"/>
          <w:lang w:val="en-GB"/>
        </w:rPr>
        <w:t xml:space="preserve">seminal decision in </w:t>
      </w:r>
      <w:r w:rsidR="00201E86" w:rsidRPr="007E1010">
        <w:rPr>
          <w:rFonts w:ascii="Arial" w:hAnsi="Arial" w:cs="Arial"/>
          <w:i/>
          <w:iCs/>
          <w:sz w:val="24"/>
          <w:szCs w:val="24"/>
          <w:lang w:val="en-GB"/>
        </w:rPr>
        <w:t>S v Malgas</w:t>
      </w:r>
      <w:r w:rsidR="00985AE9" w:rsidRPr="007E1010">
        <w:rPr>
          <w:rFonts w:ascii="Arial" w:hAnsi="Arial" w:cs="Arial"/>
          <w:sz w:val="24"/>
          <w:szCs w:val="24"/>
          <w:lang w:val="en-GB"/>
        </w:rPr>
        <w:t>,</w:t>
      </w:r>
      <w:r w:rsidR="0097628F">
        <w:rPr>
          <w:rStyle w:val="FootnoteReference"/>
          <w:rFonts w:ascii="Arial" w:hAnsi="Arial" w:cs="Arial"/>
          <w:sz w:val="24"/>
          <w:szCs w:val="24"/>
          <w:lang w:val="en-GB"/>
        </w:rPr>
        <w:footnoteReference w:id="8"/>
      </w:r>
      <w:r w:rsidR="00201E86" w:rsidRPr="007E1010">
        <w:rPr>
          <w:rFonts w:ascii="Arial" w:hAnsi="Arial" w:cs="Arial"/>
          <w:sz w:val="24"/>
          <w:szCs w:val="24"/>
          <w:lang w:val="en-GB"/>
        </w:rPr>
        <w:t xml:space="preserve"> </w:t>
      </w:r>
      <w:r w:rsidR="00985AE9" w:rsidRPr="007E1010">
        <w:rPr>
          <w:rFonts w:ascii="Arial" w:hAnsi="Arial" w:cs="Arial"/>
          <w:sz w:val="24"/>
          <w:szCs w:val="24"/>
          <w:lang w:val="en-GB"/>
        </w:rPr>
        <w:t xml:space="preserve">which </w:t>
      </w:r>
      <w:r w:rsidR="00201E86" w:rsidRPr="007E1010">
        <w:rPr>
          <w:rFonts w:ascii="Arial" w:hAnsi="Arial" w:cs="Arial"/>
          <w:sz w:val="24"/>
          <w:szCs w:val="24"/>
          <w:lang w:val="en-GB"/>
        </w:rPr>
        <w:t xml:space="preserve">remains </w:t>
      </w:r>
      <w:r w:rsidR="0026271B" w:rsidRPr="007E1010">
        <w:rPr>
          <w:rFonts w:ascii="Arial" w:hAnsi="Arial" w:cs="Arial"/>
          <w:sz w:val="24"/>
          <w:szCs w:val="24"/>
          <w:lang w:val="en-GB"/>
        </w:rPr>
        <w:t xml:space="preserve">entirely relevant </w:t>
      </w:r>
      <w:r w:rsidR="00201E86" w:rsidRPr="007E1010">
        <w:rPr>
          <w:rFonts w:ascii="Arial" w:hAnsi="Arial" w:cs="Arial"/>
          <w:sz w:val="24"/>
          <w:szCs w:val="24"/>
          <w:lang w:val="en-GB"/>
        </w:rPr>
        <w:t xml:space="preserve">when deciding whether </w:t>
      </w:r>
      <w:r w:rsidR="0097628F" w:rsidRPr="007E1010">
        <w:rPr>
          <w:rFonts w:ascii="Arial" w:hAnsi="Arial" w:cs="Arial"/>
          <w:sz w:val="24"/>
          <w:szCs w:val="24"/>
          <w:lang w:val="en-GB"/>
        </w:rPr>
        <w:t>substantial and compelling circumstances exist</w:t>
      </w:r>
      <w:r w:rsidR="00FC6759" w:rsidRPr="007E1010">
        <w:rPr>
          <w:rFonts w:ascii="Arial" w:hAnsi="Arial" w:cs="Arial"/>
          <w:sz w:val="24"/>
          <w:szCs w:val="24"/>
          <w:lang w:val="en-GB"/>
        </w:rPr>
        <w:t xml:space="preserve">. </w:t>
      </w:r>
      <w:r w:rsidR="0026271B" w:rsidRPr="007E1010">
        <w:rPr>
          <w:rFonts w:ascii="Arial" w:hAnsi="Arial" w:cs="Arial"/>
          <w:sz w:val="24"/>
          <w:szCs w:val="24"/>
          <w:lang w:val="en-GB"/>
        </w:rPr>
        <w:t>The pe</w:t>
      </w:r>
      <w:r w:rsidR="00E107C9" w:rsidRPr="007E1010">
        <w:rPr>
          <w:rFonts w:ascii="Arial" w:hAnsi="Arial" w:cs="Arial"/>
          <w:sz w:val="24"/>
          <w:szCs w:val="24"/>
          <w:lang w:val="en-GB"/>
        </w:rPr>
        <w:t>r</w:t>
      </w:r>
      <w:r w:rsidR="0026271B" w:rsidRPr="007E1010">
        <w:rPr>
          <w:rFonts w:ascii="Arial" w:hAnsi="Arial" w:cs="Arial"/>
          <w:sz w:val="24"/>
          <w:szCs w:val="24"/>
          <w:lang w:val="en-GB"/>
        </w:rPr>
        <w:t xml:space="preserve">tinent </w:t>
      </w:r>
      <w:r w:rsidR="00E107C9" w:rsidRPr="007E1010">
        <w:rPr>
          <w:rFonts w:ascii="Arial" w:hAnsi="Arial" w:cs="Arial"/>
          <w:sz w:val="24"/>
          <w:szCs w:val="24"/>
          <w:lang w:val="en-GB"/>
        </w:rPr>
        <w:t xml:space="preserve">portions thereof are repeated below, where </w:t>
      </w:r>
      <w:r w:rsidR="00525F0C" w:rsidRPr="007E1010">
        <w:rPr>
          <w:rFonts w:ascii="Arial" w:hAnsi="Arial" w:cs="Arial"/>
          <w:sz w:val="24"/>
          <w:szCs w:val="24"/>
          <w:lang w:val="en-GB"/>
        </w:rPr>
        <w:t>Marais JA held as follows:</w:t>
      </w:r>
    </w:p>
    <w:p w14:paraId="3BF1993B" w14:textId="77777777" w:rsidR="00525F0C" w:rsidRPr="00E107C9" w:rsidRDefault="00525F0C" w:rsidP="007E1010">
      <w:pPr>
        <w:spacing w:line="360" w:lineRule="auto"/>
        <w:ind w:left="720"/>
        <w:jc w:val="both"/>
        <w:rPr>
          <w:rFonts w:ascii="Arial" w:hAnsi="Arial" w:cs="Arial"/>
          <w:sz w:val="20"/>
          <w:szCs w:val="20"/>
          <w:lang w:val="en-GB"/>
        </w:rPr>
      </w:pPr>
      <w:r w:rsidRPr="00E107C9">
        <w:rPr>
          <w:rFonts w:ascii="Arial" w:hAnsi="Arial" w:cs="Arial"/>
          <w:sz w:val="20"/>
          <w:szCs w:val="20"/>
          <w:lang w:val="en-GB"/>
        </w:rPr>
        <w:t xml:space="preserve">‘…The very fact that this </w:t>
      </w:r>
      <w:r w:rsidR="009D1F34" w:rsidRPr="00E107C9">
        <w:rPr>
          <w:rFonts w:ascii="Arial" w:hAnsi="Arial" w:cs="Arial"/>
          <w:sz w:val="20"/>
          <w:szCs w:val="20"/>
          <w:lang w:val="en-GB"/>
        </w:rPr>
        <w:t xml:space="preserve">amending legislation has been enacted indicates that Parliament was not content with that </w:t>
      </w:r>
      <w:r w:rsidR="00387BAA" w:rsidRPr="00E107C9">
        <w:rPr>
          <w:rFonts w:ascii="Arial" w:hAnsi="Arial" w:cs="Arial"/>
          <w:sz w:val="20"/>
          <w:szCs w:val="20"/>
          <w:lang w:val="en-GB"/>
        </w:rPr>
        <w:t>and that it was no longer to be “business as usual” when sentencing for the commission of the specified crimes.</w:t>
      </w:r>
    </w:p>
    <w:p w14:paraId="3E9032F1" w14:textId="77777777" w:rsidR="00387BAA" w:rsidRPr="00E107C9" w:rsidRDefault="004E3DCD" w:rsidP="007E1010">
      <w:pPr>
        <w:spacing w:line="360" w:lineRule="auto"/>
        <w:ind w:left="720"/>
        <w:jc w:val="both"/>
        <w:rPr>
          <w:rFonts w:ascii="Arial" w:hAnsi="Arial" w:cs="Arial"/>
          <w:sz w:val="20"/>
          <w:szCs w:val="20"/>
          <w:lang w:val="en-GB"/>
        </w:rPr>
      </w:pPr>
      <w:r w:rsidRPr="00E107C9">
        <w:rPr>
          <w:rFonts w:ascii="Arial" w:hAnsi="Arial" w:cs="Arial"/>
          <w:sz w:val="20"/>
          <w:szCs w:val="20"/>
          <w:lang w:val="en-GB"/>
        </w:rPr>
        <w:t xml:space="preserve">…In what respects was it no longer business as usual? First, a court was not to be given a clean slate on which </w:t>
      </w:r>
      <w:r w:rsidR="0025134B" w:rsidRPr="00E107C9">
        <w:rPr>
          <w:rFonts w:ascii="Arial" w:hAnsi="Arial" w:cs="Arial"/>
          <w:sz w:val="20"/>
          <w:szCs w:val="20"/>
          <w:lang w:val="en-GB"/>
        </w:rPr>
        <w:t>to inscribe whatever sentence it thought fit. Instead, it was required to approach that question conscious of the fact</w:t>
      </w:r>
      <w:r w:rsidR="008579C5" w:rsidRPr="00E107C9">
        <w:rPr>
          <w:rFonts w:ascii="Arial" w:hAnsi="Arial" w:cs="Arial"/>
          <w:sz w:val="20"/>
          <w:szCs w:val="20"/>
          <w:lang w:val="en-GB"/>
        </w:rPr>
        <w:t xml:space="preserve"> that the legislature has ordained life imprisonment or the particular prescribed period of </w:t>
      </w:r>
      <w:r w:rsidR="00CC12F5" w:rsidRPr="00E107C9">
        <w:rPr>
          <w:rFonts w:ascii="Arial" w:hAnsi="Arial" w:cs="Arial"/>
          <w:sz w:val="20"/>
          <w:szCs w:val="20"/>
          <w:lang w:val="en-GB"/>
        </w:rPr>
        <w:t xml:space="preserve">imprisonment as the sentence which should </w:t>
      </w:r>
      <w:r w:rsidR="00CC12F5" w:rsidRPr="00E107C9">
        <w:rPr>
          <w:rFonts w:ascii="Arial" w:hAnsi="Arial" w:cs="Arial"/>
          <w:i/>
          <w:iCs/>
          <w:sz w:val="20"/>
          <w:szCs w:val="20"/>
          <w:lang w:val="en-GB"/>
        </w:rPr>
        <w:t>ordinarily</w:t>
      </w:r>
      <w:r w:rsidR="00CC12F5" w:rsidRPr="00E107C9">
        <w:rPr>
          <w:rFonts w:ascii="Arial" w:hAnsi="Arial" w:cs="Arial"/>
          <w:sz w:val="20"/>
          <w:szCs w:val="20"/>
          <w:lang w:val="en-GB"/>
        </w:rPr>
        <w:t xml:space="preserve"> be imposed for the commission </w:t>
      </w:r>
      <w:r w:rsidR="002B5474" w:rsidRPr="00E107C9">
        <w:rPr>
          <w:rFonts w:ascii="Arial" w:hAnsi="Arial" w:cs="Arial"/>
          <w:sz w:val="20"/>
          <w:szCs w:val="20"/>
          <w:lang w:val="en-GB"/>
        </w:rPr>
        <w:t xml:space="preserve">of the listed crimes in the specified circumstances. </w:t>
      </w:r>
      <w:r w:rsidR="00A2667C" w:rsidRPr="00E107C9">
        <w:rPr>
          <w:rFonts w:ascii="Arial" w:hAnsi="Arial" w:cs="Arial"/>
          <w:sz w:val="20"/>
          <w:szCs w:val="20"/>
          <w:lang w:val="en-GB"/>
        </w:rPr>
        <w:t>in short, the legislature aimed at ensuring a severe, standardised, and consistent response from the courts</w:t>
      </w:r>
      <w:r w:rsidR="007A433B" w:rsidRPr="00E107C9">
        <w:rPr>
          <w:rFonts w:ascii="Arial" w:hAnsi="Arial" w:cs="Arial"/>
          <w:sz w:val="20"/>
          <w:szCs w:val="20"/>
          <w:lang w:val="en-GB"/>
        </w:rPr>
        <w:t xml:space="preserve"> to the commission of such crimes unless there were, and could be seen to be, truly </w:t>
      </w:r>
      <w:r w:rsidR="00F81C9E" w:rsidRPr="00E107C9">
        <w:rPr>
          <w:rFonts w:ascii="Arial" w:hAnsi="Arial" w:cs="Arial"/>
          <w:sz w:val="20"/>
          <w:szCs w:val="20"/>
          <w:lang w:val="en-GB"/>
        </w:rPr>
        <w:t xml:space="preserve">convincing reasons for a different response. When considering sentence the emphasis was to be shifted </w:t>
      </w:r>
      <w:r w:rsidR="00F57C61" w:rsidRPr="00E107C9">
        <w:rPr>
          <w:rFonts w:ascii="Arial" w:hAnsi="Arial" w:cs="Arial"/>
          <w:sz w:val="20"/>
          <w:szCs w:val="20"/>
          <w:lang w:val="en-GB"/>
        </w:rPr>
        <w:t xml:space="preserve">to the objective gravity of the type of crime and the public’s need for effective </w:t>
      </w:r>
      <w:r w:rsidR="009E60A8" w:rsidRPr="00E107C9">
        <w:rPr>
          <w:rFonts w:ascii="Arial" w:hAnsi="Arial" w:cs="Arial"/>
          <w:sz w:val="20"/>
          <w:szCs w:val="20"/>
          <w:lang w:val="en-GB"/>
        </w:rPr>
        <w:t xml:space="preserve">sanctions against it. But that did not mean that all other considerations were to be ignored. The residual discretion </w:t>
      </w:r>
      <w:r w:rsidR="006244CC" w:rsidRPr="00E107C9">
        <w:rPr>
          <w:rFonts w:ascii="Arial" w:hAnsi="Arial" w:cs="Arial"/>
          <w:sz w:val="20"/>
          <w:szCs w:val="20"/>
          <w:lang w:val="en-GB"/>
        </w:rPr>
        <w:t xml:space="preserve">to decline to pass the sentence which the commission of such an offence would ordinarily </w:t>
      </w:r>
      <w:r w:rsidR="007D3C38" w:rsidRPr="00E107C9">
        <w:rPr>
          <w:rFonts w:ascii="Arial" w:hAnsi="Arial" w:cs="Arial"/>
          <w:sz w:val="20"/>
          <w:szCs w:val="20"/>
          <w:lang w:val="en-GB"/>
        </w:rPr>
        <w:t xml:space="preserve">attract plainly was given to the courts in recognition of the easily foreseeable injustices </w:t>
      </w:r>
      <w:r w:rsidR="00793C47" w:rsidRPr="00E107C9">
        <w:rPr>
          <w:rFonts w:ascii="Arial" w:hAnsi="Arial" w:cs="Arial"/>
          <w:sz w:val="20"/>
          <w:szCs w:val="20"/>
          <w:lang w:val="en-GB"/>
        </w:rPr>
        <w:t>which could result from obliging them to pass the specified sentences come what may.</w:t>
      </w:r>
    </w:p>
    <w:p w14:paraId="3CFF1E78" w14:textId="77777777" w:rsidR="00793C47" w:rsidRDefault="00793C47" w:rsidP="007E1010">
      <w:pPr>
        <w:spacing w:line="360" w:lineRule="auto"/>
        <w:ind w:left="720"/>
        <w:jc w:val="both"/>
        <w:rPr>
          <w:rFonts w:ascii="Arial" w:hAnsi="Arial" w:cs="Arial"/>
          <w:sz w:val="20"/>
          <w:szCs w:val="20"/>
          <w:lang w:val="en-GB"/>
        </w:rPr>
      </w:pPr>
      <w:r w:rsidRPr="00E107C9">
        <w:rPr>
          <w:rFonts w:ascii="Arial" w:hAnsi="Arial" w:cs="Arial"/>
          <w:sz w:val="20"/>
          <w:szCs w:val="20"/>
          <w:lang w:val="en-GB"/>
        </w:rPr>
        <w:lastRenderedPageBreak/>
        <w:t xml:space="preserve">…Secondly, a court was required </w:t>
      </w:r>
      <w:r w:rsidR="007474C3" w:rsidRPr="00E107C9">
        <w:rPr>
          <w:rFonts w:ascii="Arial" w:hAnsi="Arial" w:cs="Arial"/>
          <w:sz w:val="20"/>
          <w:szCs w:val="20"/>
          <w:lang w:val="en-GB"/>
        </w:rPr>
        <w:t xml:space="preserve">to spell out and enter on the record the circumstances which it considered justified a refusal to impose </w:t>
      </w:r>
      <w:r w:rsidR="005403EB" w:rsidRPr="00E107C9">
        <w:rPr>
          <w:rFonts w:ascii="Arial" w:hAnsi="Arial" w:cs="Arial"/>
          <w:sz w:val="20"/>
          <w:szCs w:val="20"/>
          <w:lang w:val="en-GB"/>
        </w:rPr>
        <w:t xml:space="preserve">the specified sentence. As was observed in </w:t>
      </w:r>
      <w:r w:rsidR="005403EB" w:rsidRPr="00022296">
        <w:rPr>
          <w:rFonts w:ascii="Arial" w:hAnsi="Arial" w:cs="Arial"/>
          <w:i/>
          <w:iCs/>
          <w:sz w:val="20"/>
          <w:szCs w:val="20"/>
          <w:lang w:val="en-GB"/>
        </w:rPr>
        <w:t>Flannery v Halifax Estate Agencies</w:t>
      </w:r>
      <w:r w:rsidR="0039463C" w:rsidRPr="00022296">
        <w:rPr>
          <w:rFonts w:ascii="Arial" w:hAnsi="Arial" w:cs="Arial"/>
          <w:i/>
          <w:iCs/>
          <w:sz w:val="20"/>
          <w:szCs w:val="20"/>
          <w:lang w:val="en-GB"/>
        </w:rPr>
        <w:t xml:space="preserve"> Ltd by the Court of Appeal</w:t>
      </w:r>
      <w:r w:rsidR="0039463C" w:rsidRPr="00E107C9">
        <w:rPr>
          <w:rFonts w:ascii="Arial" w:hAnsi="Arial" w:cs="Arial"/>
          <w:sz w:val="20"/>
          <w:szCs w:val="20"/>
          <w:lang w:val="en-GB"/>
        </w:rPr>
        <w:t>, “a requirement to give reasons concentrates the mind, if it is fulfilled</w:t>
      </w:r>
      <w:r w:rsidR="00A248AC" w:rsidRPr="00E107C9">
        <w:rPr>
          <w:rFonts w:ascii="Arial" w:hAnsi="Arial" w:cs="Arial"/>
          <w:sz w:val="20"/>
          <w:szCs w:val="20"/>
          <w:lang w:val="en-GB"/>
        </w:rPr>
        <w:t xml:space="preserve"> the resulting decision is much more likely to be soundly based- than if it is not</w:t>
      </w:r>
      <w:r w:rsidR="00FD44CC" w:rsidRPr="00E107C9">
        <w:rPr>
          <w:rFonts w:ascii="Arial" w:hAnsi="Arial" w:cs="Arial"/>
          <w:sz w:val="20"/>
          <w:szCs w:val="20"/>
          <w:lang w:val="en-GB"/>
        </w:rPr>
        <w:t xml:space="preserve">”. Moreover, those circumstances had to be substantial and compelling. Whatever nuances of meaning may lurk </w:t>
      </w:r>
      <w:r w:rsidR="00046D4D" w:rsidRPr="00E107C9">
        <w:rPr>
          <w:rFonts w:ascii="Arial" w:hAnsi="Arial" w:cs="Arial"/>
          <w:sz w:val="20"/>
          <w:szCs w:val="20"/>
          <w:lang w:val="en-GB"/>
        </w:rPr>
        <w:t>in those words, their central thrust seems obvious.</w:t>
      </w:r>
      <w:r w:rsidR="00545F9D" w:rsidRPr="00E107C9">
        <w:rPr>
          <w:rFonts w:ascii="Arial" w:hAnsi="Arial" w:cs="Arial"/>
          <w:sz w:val="20"/>
          <w:szCs w:val="20"/>
          <w:lang w:val="en-GB"/>
        </w:rPr>
        <w:t xml:space="preserve"> </w:t>
      </w:r>
      <w:r w:rsidR="00545F9D" w:rsidRPr="00DA74CA">
        <w:rPr>
          <w:rFonts w:ascii="Arial" w:hAnsi="Arial" w:cs="Arial"/>
          <w:sz w:val="20"/>
          <w:szCs w:val="20"/>
          <w:lang w:val="en-GB"/>
        </w:rPr>
        <w:t>The specified sentences were not to be departed from lightly and for flimsy reasons</w:t>
      </w:r>
      <w:r w:rsidR="00E635FF" w:rsidRPr="00DA74CA">
        <w:rPr>
          <w:rFonts w:ascii="Arial" w:hAnsi="Arial" w:cs="Arial"/>
          <w:sz w:val="20"/>
          <w:szCs w:val="20"/>
          <w:lang w:val="en-GB"/>
        </w:rPr>
        <w:t xml:space="preserve"> which could not withstand scrutiny. Speculative hypotheses favourable to the offender</w:t>
      </w:r>
      <w:r w:rsidR="00372F22" w:rsidRPr="00DA74CA">
        <w:rPr>
          <w:rFonts w:ascii="Arial" w:hAnsi="Arial" w:cs="Arial"/>
          <w:sz w:val="20"/>
          <w:szCs w:val="20"/>
          <w:lang w:val="en-GB"/>
        </w:rPr>
        <w:t>, maudlin sympathy, aversion to imprisoning first offenders, personal doubts as to the efficacy of the policy</w:t>
      </w:r>
      <w:r w:rsidR="002876CC" w:rsidRPr="00DA74CA">
        <w:rPr>
          <w:rFonts w:ascii="Arial" w:hAnsi="Arial" w:cs="Arial"/>
          <w:sz w:val="20"/>
          <w:szCs w:val="20"/>
          <w:lang w:val="en-GB"/>
        </w:rPr>
        <w:t xml:space="preserve"> implicit in the amending legislation, and like considerations </w:t>
      </w:r>
      <w:r w:rsidR="00217DDE" w:rsidRPr="00DA74CA">
        <w:rPr>
          <w:rFonts w:ascii="Arial" w:hAnsi="Arial" w:cs="Arial"/>
          <w:sz w:val="20"/>
          <w:szCs w:val="20"/>
          <w:lang w:val="en-GB"/>
        </w:rPr>
        <w:t>were equally obviously not intended to qualify as substantial and compelling circumstances.</w:t>
      </w:r>
      <w:r w:rsidR="00217DDE" w:rsidRPr="00E107C9">
        <w:rPr>
          <w:rFonts w:ascii="Arial" w:hAnsi="Arial" w:cs="Arial"/>
          <w:sz w:val="20"/>
          <w:szCs w:val="20"/>
          <w:lang w:val="en-GB"/>
        </w:rPr>
        <w:t xml:space="preserve"> Nor were marginal differences</w:t>
      </w:r>
      <w:r w:rsidR="00345B72" w:rsidRPr="00E107C9">
        <w:rPr>
          <w:rFonts w:ascii="Arial" w:hAnsi="Arial" w:cs="Arial"/>
          <w:sz w:val="20"/>
          <w:szCs w:val="20"/>
          <w:lang w:val="en-GB"/>
        </w:rPr>
        <w:t xml:space="preserve"> in the personal circumstances or degrees of participation of co-offenders</w:t>
      </w:r>
      <w:r w:rsidR="00D0735E" w:rsidRPr="00E107C9">
        <w:rPr>
          <w:rFonts w:ascii="Arial" w:hAnsi="Arial" w:cs="Arial"/>
          <w:sz w:val="20"/>
          <w:szCs w:val="20"/>
          <w:lang w:val="en-GB"/>
        </w:rPr>
        <w:t xml:space="preserve"> which, but for the provisions, </w:t>
      </w:r>
      <w:r w:rsidR="00E95541" w:rsidRPr="00E107C9">
        <w:rPr>
          <w:rFonts w:ascii="Arial" w:hAnsi="Arial" w:cs="Arial"/>
          <w:sz w:val="20"/>
          <w:szCs w:val="20"/>
          <w:lang w:val="en-GB"/>
        </w:rPr>
        <w:t>might have justified differentiating between them. But for the rest I can see no</w:t>
      </w:r>
      <w:r w:rsidR="00795E98" w:rsidRPr="00E107C9">
        <w:rPr>
          <w:rFonts w:ascii="Arial" w:hAnsi="Arial" w:cs="Arial"/>
          <w:sz w:val="20"/>
          <w:szCs w:val="20"/>
          <w:lang w:val="en-GB"/>
        </w:rPr>
        <w:t xml:space="preserve"> warrant for deducing that the legislature intended a court</w:t>
      </w:r>
      <w:r w:rsidR="002A33C4" w:rsidRPr="00E107C9">
        <w:rPr>
          <w:rFonts w:ascii="Arial" w:hAnsi="Arial" w:cs="Arial"/>
          <w:sz w:val="20"/>
          <w:szCs w:val="20"/>
          <w:lang w:val="en-GB"/>
        </w:rPr>
        <w:t xml:space="preserve"> to exclude from consideration, ante omnia as it were, any or all of the many factors traditionally </w:t>
      </w:r>
      <w:r w:rsidR="00880E08" w:rsidRPr="00E107C9">
        <w:rPr>
          <w:rFonts w:ascii="Arial" w:hAnsi="Arial" w:cs="Arial"/>
          <w:sz w:val="20"/>
          <w:szCs w:val="20"/>
          <w:lang w:val="en-GB"/>
        </w:rPr>
        <w:t>and rightly taken into account by courts when sentencing offenders…’</w:t>
      </w:r>
      <w:r w:rsidR="005F1F63">
        <w:rPr>
          <w:rStyle w:val="FootnoteReference"/>
          <w:rFonts w:ascii="Arial" w:hAnsi="Arial" w:cs="Arial"/>
          <w:sz w:val="20"/>
          <w:szCs w:val="20"/>
          <w:lang w:val="en-GB"/>
        </w:rPr>
        <w:footnoteReference w:id="9"/>
      </w:r>
    </w:p>
    <w:p w14:paraId="2240B00C" w14:textId="77777777" w:rsidR="005F1F63" w:rsidRDefault="005F1F63" w:rsidP="005F1F63">
      <w:pPr>
        <w:spacing w:line="360" w:lineRule="auto"/>
        <w:rPr>
          <w:rFonts w:ascii="Arial" w:hAnsi="Arial" w:cs="Arial"/>
          <w:sz w:val="20"/>
          <w:szCs w:val="20"/>
          <w:lang w:val="en-GB"/>
        </w:rPr>
      </w:pPr>
    </w:p>
    <w:p w14:paraId="26AE76A8" w14:textId="77777777" w:rsidR="00AE7875" w:rsidRPr="007E1010" w:rsidRDefault="00504DB1" w:rsidP="007E1010">
      <w:pPr>
        <w:pStyle w:val="ListParagraph"/>
        <w:numPr>
          <w:ilvl w:val="0"/>
          <w:numId w:val="3"/>
        </w:numPr>
        <w:spacing w:line="360" w:lineRule="auto"/>
        <w:ind w:left="0" w:firstLine="0"/>
        <w:jc w:val="both"/>
        <w:rPr>
          <w:rFonts w:ascii="Arial" w:hAnsi="Arial" w:cs="Arial"/>
          <w:sz w:val="24"/>
          <w:szCs w:val="24"/>
          <w:lang w:val="en-US"/>
        </w:rPr>
      </w:pPr>
      <w:r w:rsidRPr="007E1010">
        <w:rPr>
          <w:rFonts w:ascii="Arial" w:hAnsi="Arial" w:cs="Arial"/>
          <w:sz w:val="24"/>
          <w:szCs w:val="24"/>
          <w:lang w:val="en-US"/>
        </w:rPr>
        <w:t xml:space="preserve">The decision </w:t>
      </w:r>
      <w:r w:rsidR="00246E15" w:rsidRPr="007E1010">
        <w:rPr>
          <w:rFonts w:ascii="Arial" w:hAnsi="Arial" w:cs="Arial"/>
          <w:sz w:val="24"/>
          <w:szCs w:val="24"/>
          <w:lang w:val="en-US"/>
        </w:rPr>
        <w:t xml:space="preserve">has had a significant impact on the approach to sentencing </w:t>
      </w:r>
      <w:r w:rsidR="00096743" w:rsidRPr="007E1010">
        <w:rPr>
          <w:rFonts w:ascii="Arial" w:hAnsi="Arial" w:cs="Arial"/>
          <w:sz w:val="24"/>
          <w:szCs w:val="24"/>
          <w:lang w:val="en-US"/>
        </w:rPr>
        <w:t>after</w:t>
      </w:r>
      <w:r w:rsidR="00246E15" w:rsidRPr="007E1010">
        <w:rPr>
          <w:rFonts w:ascii="Arial" w:hAnsi="Arial" w:cs="Arial"/>
          <w:sz w:val="24"/>
          <w:szCs w:val="24"/>
          <w:lang w:val="en-US"/>
        </w:rPr>
        <w:t xml:space="preserve"> the enactment of the </w:t>
      </w:r>
      <w:r w:rsidR="00436DBF" w:rsidRPr="007E1010">
        <w:rPr>
          <w:rFonts w:ascii="Arial" w:hAnsi="Arial" w:cs="Arial"/>
          <w:sz w:val="24"/>
          <w:szCs w:val="24"/>
          <w:lang w:val="en-US"/>
        </w:rPr>
        <w:t xml:space="preserve">CLAA. Over time, courts have </w:t>
      </w:r>
      <w:r w:rsidR="000E358C" w:rsidRPr="007E1010">
        <w:rPr>
          <w:rFonts w:ascii="Arial" w:hAnsi="Arial" w:cs="Arial"/>
          <w:sz w:val="24"/>
          <w:szCs w:val="24"/>
          <w:lang w:val="en-US"/>
        </w:rPr>
        <w:t xml:space="preserve">extended the borders of its interpretation and </w:t>
      </w:r>
      <w:r w:rsidR="00797C77" w:rsidRPr="007E1010">
        <w:rPr>
          <w:rFonts w:ascii="Arial" w:hAnsi="Arial" w:cs="Arial"/>
          <w:sz w:val="24"/>
          <w:szCs w:val="24"/>
          <w:lang w:val="en-US"/>
        </w:rPr>
        <w:t xml:space="preserve">application. For example, counsel for the appellant referred to </w:t>
      </w:r>
      <w:r w:rsidR="00913063" w:rsidRPr="007E1010">
        <w:rPr>
          <w:rFonts w:ascii="Arial" w:hAnsi="Arial" w:cs="Arial"/>
          <w:i/>
          <w:iCs/>
          <w:sz w:val="24"/>
          <w:szCs w:val="24"/>
          <w:lang w:val="en-US"/>
        </w:rPr>
        <w:t>S v GN</w:t>
      </w:r>
      <w:r w:rsidR="00913063" w:rsidRPr="007E1010">
        <w:rPr>
          <w:rFonts w:ascii="Arial" w:hAnsi="Arial" w:cs="Arial"/>
          <w:sz w:val="24"/>
          <w:szCs w:val="24"/>
          <w:lang w:val="en-US"/>
        </w:rPr>
        <w:t>,</w:t>
      </w:r>
      <w:r w:rsidR="00686C05">
        <w:rPr>
          <w:rStyle w:val="FootnoteReference"/>
          <w:rFonts w:ascii="Arial" w:hAnsi="Arial" w:cs="Arial"/>
          <w:sz w:val="24"/>
          <w:szCs w:val="24"/>
          <w:lang w:val="en-US"/>
        </w:rPr>
        <w:footnoteReference w:id="10"/>
      </w:r>
      <w:r w:rsidR="00913063" w:rsidRPr="007E1010">
        <w:rPr>
          <w:rFonts w:ascii="Arial" w:hAnsi="Arial" w:cs="Arial"/>
          <w:sz w:val="24"/>
          <w:szCs w:val="24"/>
          <w:lang w:val="en-US"/>
        </w:rPr>
        <w:t xml:space="preserve"> where </w:t>
      </w:r>
      <w:r w:rsidR="00AE7875" w:rsidRPr="007E1010">
        <w:rPr>
          <w:rFonts w:ascii="Arial" w:hAnsi="Arial" w:cs="Arial"/>
          <w:sz w:val="24"/>
          <w:szCs w:val="24"/>
          <w:lang w:val="en-US"/>
        </w:rPr>
        <w:t xml:space="preserve">Du Plessis J </w:t>
      </w:r>
      <w:r w:rsidR="00E1502F">
        <w:rPr>
          <w:rFonts w:ascii="Arial" w:hAnsi="Arial" w:cs="Arial"/>
          <w:sz w:val="24"/>
          <w:szCs w:val="24"/>
          <w:lang w:val="en-US"/>
        </w:rPr>
        <w:t>stated</w:t>
      </w:r>
      <w:r w:rsidR="00681CA4" w:rsidRPr="007E1010">
        <w:rPr>
          <w:rFonts w:ascii="Arial" w:hAnsi="Arial" w:cs="Arial"/>
          <w:sz w:val="24"/>
          <w:szCs w:val="24"/>
          <w:lang w:val="en-US"/>
        </w:rPr>
        <w:t>:</w:t>
      </w:r>
    </w:p>
    <w:p w14:paraId="0E0ACAA6" w14:textId="77777777" w:rsidR="00AE7875" w:rsidRPr="00681CA4" w:rsidRDefault="00AE7875" w:rsidP="007E1010">
      <w:pPr>
        <w:spacing w:line="360" w:lineRule="auto"/>
        <w:ind w:left="720"/>
        <w:jc w:val="both"/>
        <w:rPr>
          <w:rFonts w:ascii="Arial" w:hAnsi="Arial" w:cs="Arial"/>
          <w:sz w:val="20"/>
          <w:szCs w:val="20"/>
          <w:lang w:val="en-US"/>
        </w:rPr>
      </w:pPr>
      <w:r w:rsidRPr="00681CA4">
        <w:rPr>
          <w:rFonts w:ascii="Arial" w:hAnsi="Arial" w:cs="Arial"/>
          <w:sz w:val="20"/>
          <w:szCs w:val="20"/>
          <w:lang w:val="en-US"/>
        </w:rPr>
        <w:t>‘</w:t>
      </w:r>
      <w:r w:rsidR="006C6027" w:rsidRPr="00681CA4">
        <w:rPr>
          <w:rFonts w:ascii="Arial" w:hAnsi="Arial" w:cs="Arial"/>
          <w:sz w:val="20"/>
          <w:szCs w:val="20"/>
          <w:lang w:val="en-US"/>
        </w:rPr>
        <w:t xml:space="preserve">…As I understand the Malgas judgment, the prescribed minimum sentence may be departed from </w:t>
      </w:r>
      <w:r w:rsidR="00DF2D01" w:rsidRPr="00681CA4">
        <w:rPr>
          <w:rFonts w:ascii="Arial" w:hAnsi="Arial" w:cs="Arial"/>
          <w:sz w:val="20"/>
          <w:szCs w:val="20"/>
          <w:lang w:val="en-US"/>
        </w:rPr>
        <w:t xml:space="preserve">if, having regard to all the factors that play a role in determining a just sentence, the court concludes that the </w:t>
      </w:r>
      <w:r w:rsidR="00134D9C" w:rsidRPr="00681CA4">
        <w:rPr>
          <w:rFonts w:ascii="Arial" w:hAnsi="Arial" w:cs="Arial"/>
          <w:sz w:val="20"/>
          <w:szCs w:val="20"/>
          <w:lang w:val="en-US"/>
        </w:rPr>
        <w:t xml:space="preserve">imposition of the prescribed minimum would in the particular case constitute </w:t>
      </w:r>
      <w:r w:rsidR="00D3053B" w:rsidRPr="00681CA4">
        <w:rPr>
          <w:rFonts w:ascii="Arial" w:hAnsi="Arial" w:cs="Arial"/>
          <w:sz w:val="20"/>
          <w:szCs w:val="20"/>
        </w:rPr>
        <w:t>an injustice</w:t>
      </w:r>
      <w:r w:rsidR="008E6A18" w:rsidRPr="00681CA4">
        <w:rPr>
          <w:rFonts w:ascii="Arial" w:hAnsi="Arial" w:cs="Arial"/>
          <w:sz w:val="20"/>
          <w:szCs w:val="20"/>
        </w:rPr>
        <w:t xml:space="preserve"> or would be “disproportionate to the crime, the criminal and the </w:t>
      </w:r>
      <w:r w:rsidR="00074169" w:rsidRPr="00681CA4">
        <w:rPr>
          <w:rFonts w:ascii="Arial" w:hAnsi="Arial" w:cs="Arial"/>
          <w:sz w:val="20"/>
          <w:szCs w:val="20"/>
        </w:rPr>
        <w:t>legitimate needs</w:t>
      </w:r>
      <w:r w:rsidR="00686C05" w:rsidRPr="00681CA4">
        <w:rPr>
          <w:rFonts w:ascii="Arial" w:hAnsi="Arial" w:cs="Arial"/>
          <w:sz w:val="20"/>
          <w:szCs w:val="20"/>
        </w:rPr>
        <w:t xml:space="preserve"> of</w:t>
      </w:r>
      <w:r w:rsidR="00686C05" w:rsidRPr="00681CA4">
        <w:rPr>
          <w:rFonts w:ascii="Arial" w:hAnsi="Arial" w:cs="Arial"/>
          <w:sz w:val="20"/>
          <w:szCs w:val="20"/>
          <w:lang w:val="en-US"/>
        </w:rPr>
        <w:t xml:space="preserve"> society”…’</w:t>
      </w:r>
      <w:r w:rsidR="00686C05" w:rsidRPr="00681CA4">
        <w:rPr>
          <w:rStyle w:val="FootnoteReference"/>
          <w:rFonts w:ascii="Arial" w:hAnsi="Arial" w:cs="Arial"/>
          <w:sz w:val="20"/>
          <w:szCs w:val="20"/>
          <w:lang w:val="en-US"/>
        </w:rPr>
        <w:footnoteReference w:id="11"/>
      </w:r>
    </w:p>
    <w:p w14:paraId="4F0CFDF2" w14:textId="77777777" w:rsidR="007E1010" w:rsidRPr="007E1010" w:rsidRDefault="007E1010" w:rsidP="007E1010">
      <w:pPr>
        <w:pStyle w:val="ListParagraph"/>
        <w:spacing w:line="360" w:lineRule="auto"/>
        <w:ind w:left="0"/>
        <w:jc w:val="both"/>
        <w:rPr>
          <w:rFonts w:ascii="Arial" w:hAnsi="Arial" w:cs="Arial"/>
          <w:sz w:val="20"/>
          <w:szCs w:val="20"/>
          <w:lang w:val="en-US"/>
        </w:rPr>
      </w:pPr>
    </w:p>
    <w:p w14:paraId="40771D3B" w14:textId="77777777" w:rsidR="007E1010" w:rsidRPr="009C30CD" w:rsidRDefault="00427B49" w:rsidP="00E21FB8">
      <w:pPr>
        <w:pStyle w:val="ListParagraph"/>
        <w:numPr>
          <w:ilvl w:val="0"/>
          <w:numId w:val="3"/>
        </w:numPr>
        <w:spacing w:line="360" w:lineRule="auto"/>
        <w:ind w:left="0" w:firstLine="0"/>
        <w:jc w:val="both"/>
        <w:rPr>
          <w:rFonts w:ascii="Arial" w:hAnsi="Arial" w:cs="Arial"/>
          <w:sz w:val="20"/>
          <w:szCs w:val="20"/>
          <w:lang w:val="en-US"/>
        </w:rPr>
      </w:pPr>
      <w:r w:rsidRPr="007E1010">
        <w:rPr>
          <w:rFonts w:ascii="Arial" w:hAnsi="Arial" w:cs="Arial"/>
          <w:sz w:val="24"/>
          <w:szCs w:val="24"/>
          <w:lang w:val="en-GB"/>
        </w:rPr>
        <w:t xml:space="preserve">In the present matter, the fact that the appellant was a first offender </w:t>
      </w:r>
      <w:r w:rsidR="008B42E0" w:rsidRPr="007E1010">
        <w:rPr>
          <w:rFonts w:ascii="Arial" w:hAnsi="Arial" w:cs="Arial"/>
          <w:sz w:val="24"/>
          <w:szCs w:val="24"/>
          <w:lang w:val="en-GB"/>
        </w:rPr>
        <w:t xml:space="preserve">and </w:t>
      </w:r>
      <w:r w:rsidR="00C93902" w:rsidRPr="007E1010">
        <w:rPr>
          <w:rFonts w:ascii="Arial" w:hAnsi="Arial" w:cs="Arial"/>
          <w:sz w:val="24"/>
          <w:szCs w:val="24"/>
          <w:lang w:val="en-GB"/>
        </w:rPr>
        <w:t xml:space="preserve">44 years old </w:t>
      </w:r>
      <w:r w:rsidRPr="007E1010">
        <w:rPr>
          <w:rFonts w:ascii="Arial" w:hAnsi="Arial" w:cs="Arial"/>
          <w:sz w:val="24"/>
          <w:szCs w:val="24"/>
          <w:lang w:val="en-GB"/>
        </w:rPr>
        <w:t>would usually coun</w:t>
      </w:r>
      <w:r w:rsidR="00A263B8" w:rsidRPr="007E1010">
        <w:rPr>
          <w:rFonts w:ascii="Arial" w:hAnsi="Arial" w:cs="Arial"/>
          <w:sz w:val="24"/>
          <w:szCs w:val="24"/>
          <w:lang w:val="en-GB"/>
        </w:rPr>
        <w:t>t in his favour</w:t>
      </w:r>
      <w:r w:rsidR="004C55BE" w:rsidRPr="007E1010">
        <w:rPr>
          <w:rFonts w:ascii="Arial" w:hAnsi="Arial" w:cs="Arial"/>
          <w:sz w:val="24"/>
          <w:szCs w:val="24"/>
          <w:lang w:val="en-GB"/>
        </w:rPr>
        <w:t>.</w:t>
      </w:r>
      <w:r w:rsidR="003847CF">
        <w:rPr>
          <w:rStyle w:val="FootnoteReference"/>
          <w:rFonts w:ascii="Arial" w:hAnsi="Arial" w:cs="Arial"/>
          <w:sz w:val="24"/>
          <w:szCs w:val="24"/>
          <w:lang w:val="en-GB"/>
        </w:rPr>
        <w:footnoteReference w:id="12"/>
      </w:r>
      <w:r w:rsidR="004C55BE" w:rsidRPr="007E1010">
        <w:rPr>
          <w:rFonts w:ascii="Arial" w:hAnsi="Arial" w:cs="Arial"/>
          <w:sz w:val="24"/>
          <w:szCs w:val="24"/>
          <w:lang w:val="en-GB"/>
        </w:rPr>
        <w:t xml:space="preserve"> Where the </w:t>
      </w:r>
      <w:r w:rsidR="008B42E0" w:rsidRPr="007E1010">
        <w:rPr>
          <w:rFonts w:ascii="Arial" w:hAnsi="Arial" w:cs="Arial"/>
          <w:sz w:val="24"/>
          <w:szCs w:val="24"/>
          <w:lang w:val="en-GB"/>
        </w:rPr>
        <w:t xml:space="preserve">CLAA </w:t>
      </w:r>
      <w:r w:rsidR="004C55BE" w:rsidRPr="007E1010">
        <w:rPr>
          <w:rFonts w:ascii="Arial" w:hAnsi="Arial" w:cs="Arial"/>
          <w:sz w:val="24"/>
          <w:szCs w:val="24"/>
          <w:lang w:val="en-GB"/>
        </w:rPr>
        <w:t xml:space="preserve">applies, however, </w:t>
      </w:r>
      <w:r w:rsidR="008A4667" w:rsidRPr="007E1010">
        <w:rPr>
          <w:rFonts w:ascii="Arial" w:hAnsi="Arial" w:cs="Arial"/>
          <w:sz w:val="24"/>
          <w:szCs w:val="24"/>
          <w:lang w:val="en-GB"/>
        </w:rPr>
        <w:t xml:space="preserve">these factors are not </w:t>
      </w:r>
      <w:r w:rsidR="00337791" w:rsidRPr="007E1010">
        <w:rPr>
          <w:rFonts w:ascii="Arial" w:hAnsi="Arial" w:cs="Arial"/>
          <w:sz w:val="24"/>
          <w:szCs w:val="24"/>
          <w:lang w:val="en-GB"/>
        </w:rPr>
        <w:t>sufficient on their own to justify a departure from the imposition of a minimum sentence</w:t>
      </w:r>
      <w:r w:rsidR="002F570F" w:rsidRPr="007E1010">
        <w:rPr>
          <w:rFonts w:ascii="Arial" w:hAnsi="Arial" w:cs="Arial"/>
          <w:sz w:val="24"/>
          <w:szCs w:val="24"/>
          <w:lang w:val="en-GB"/>
        </w:rPr>
        <w:t>. There must be substantial and compelling reasons to do so.</w:t>
      </w:r>
    </w:p>
    <w:p w14:paraId="6487599C" w14:textId="77777777" w:rsidR="002C7571" w:rsidRPr="002C7571" w:rsidRDefault="002C7571" w:rsidP="002C7571">
      <w:pPr>
        <w:pStyle w:val="ListParagraph"/>
        <w:spacing w:line="360" w:lineRule="auto"/>
        <w:ind w:left="0"/>
        <w:jc w:val="both"/>
        <w:rPr>
          <w:rFonts w:ascii="Arial" w:hAnsi="Arial" w:cs="Arial"/>
          <w:b/>
          <w:bCs/>
          <w:sz w:val="20"/>
          <w:szCs w:val="20"/>
          <w:lang w:val="en-US"/>
        </w:rPr>
      </w:pPr>
      <w:r w:rsidRPr="002C7571">
        <w:rPr>
          <w:rFonts w:ascii="Arial" w:hAnsi="Arial" w:cs="Arial"/>
          <w:b/>
          <w:bCs/>
          <w:sz w:val="24"/>
          <w:szCs w:val="24"/>
          <w:lang w:val="en-GB"/>
        </w:rPr>
        <w:lastRenderedPageBreak/>
        <w:t>Proportionality</w:t>
      </w:r>
    </w:p>
    <w:p w14:paraId="3785AF6E" w14:textId="77777777" w:rsidR="007E1010" w:rsidRPr="007E1010" w:rsidRDefault="007E1010" w:rsidP="007E1010">
      <w:pPr>
        <w:pStyle w:val="ListParagraph"/>
        <w:rPr>
          <w:rFonts w:ascii="Arial" w:hAnsi="Arial" w:cs="Arial"/>
          <w:sz w:val="24"/>
          <w:szCs w:val="24"/>
          <w:lang w:val="en-GB"/>
        </w:rPr>
      </w:pPr>
    </w:p>
    <w:p w14:paraId="1EA7EF2C" w14:textId="77777777" w:rsidR="007E1010" w:rsidRPr="007E1010" w:rsidRDefault="0078241C" w:rsidP="009463EE">
      <w:pPr>
        <w:pStyle w:val="ListParagraph"/>
        <w:numPr>
          <w:ilvl w:val="0"/>
          <w:numId w:val="3"/>
        </w:numPr>
        <w:spacing w:line="360" w:lineRule="auto"/>
        <w:ind w:left="0" w:firstLine="0"/>
        <w:jc w:val="both"/>
        <w:rPr>
          <w:rFonts w:ascii="Arial" w:hAnsi="Arial" w:cs="Arial"/>
          <w:sz w:val="20"/>
          <w:szCs w:val="20"/>
          <w:lang w:val="en-US"/>
        </w:rPr>
      </w:pPr>
      <w:r w:rsidRPr="007E1010">
        <w:rPr>
          <w:rFonts w:ascii="Arial" w:hAnsi="Arial" w:cs="Arial"/>
          <w:sz w:val="24"/>
          <w:szCs w:val="24"/>
          <w:lang w:val="en-GB"/>
        </w:rPr>
        <w:t>T</w:t>
      </w:r>
      <w:r w:rsidR="009A2015" w:rsidRPr="007E1010">
        <w:rPr>
          <w:rFonts w:ascii="Arial" w:hAnsi="Arial" w:cs="Arial"/>
          <w:sz w:val="24"/>
          <w:szCs w:val="24"/>
          <w:lang w:val="en-GB"/>
        </w:rPr>
        <w:t xml:space="preserve">he </w:t>
      </w:r>
      <w:r w:rsidR="005129BB" w:rsidRPr="007E1010">
        <w:rPr>
          <w:rFonts w:ascii="Arial" w:hAnsi="Arial" w:cs="Arial"/>
          <w:sz w:val="24"/>
          <w:szCs w:val="24"/>
          <w:lang w:val="en-GB"/>
        </w:rPr>
        <w:t xml:space="preserve">usual triad of </w:t>
      </w:r>
      <w:r w:rsidR="00A82AC9" w:rsidRPr="007E1010">
        <w:rPr>
          <w:rFonts w:ascii="Arial" w:hAnsi="Arial" w:cs="Arial"/>
          <w:sz w:val="24"/>
          <w:szCs w:val="24"/>
          <w:lang w:val="en-GB"/>
        </w:rPr>
        <w:t>the</w:t>
      </w:r>
      <w:r w:rsidR="00424C17" w:rsidRPr="007E1010">
        <w:rPr>
          <w:rFonts w:ascii="Arial" w:hAnsi="Arial" w:cs="Arial"/>
          <w:sz w:val="24"/>
          <w:szCs w:val="24"/>
          <w:lang w:val="en-GB"/>
        </w:rPr>
        <w:t xml:space="preserve"> crime, the offender, and the interests of society</w:t>
      </w:r>
      <w:r w:rsidR="007A0CD0" w:rsidRPr="007E1010">
        <w:rPr>
          <w:rFonts w:ascii="Arial" w:hAnsi="Arial" w:cs="Arial"/>
          <w:sz w:val="24"/>
          <w:szCs w:val="24"/>
          <w:lang w:val="en-GB"/>
        </w:rPr>
        <w:t xml:space="preserve">, as enunciated in </w:t>
      </w:r>
      <w:r w:rsidR="007A0CD0" w:rsidRPr="007E1010">
        <w:rPr>
          <w:rFonts w:ascii="Arial" w:hAnsi="Arial" w:cs="Arial"/>
          <w:i/>
          <w:iCs/>
          <w:sz w:val="24"/>
          <w:szCs w:val="24"/>
          <w:lang w:val="en-GB"/>
        </w:rPr>
        <w:t>S v Zinn</w:t>
      </w:r>
      <w:r w:rsidR="007A0CD0" w:rsidRPr="007E1010">
        <w:rPr>
          <w:rFonts w:ascii="Arial" w:hAnsi="Arial" w:cs="Arial"/>
          <w:sz w:val="24"/>
          <w:szCs w:val="24"/>
          <w:lang w:val="en-GB"/>
        </w:rPr>
        <w:t>,</w:t>
      </w:r>
      <w:r w:rsidR="007A0CD0">
        <w:rPr>
          <w:rStyle w:val="FootnoteReference"/>
          <w:rFonts w:ascii="Arial" w:hAnsi="Arial" w:cs="Arial"/>
          <w:sz w:val="24"/>
          <w:szCs w:val="24"/>
          <w:lang w:val="en-GB"/>
        </w:rPr>
        <w:footnoteReference w:id="13"/>
      </w:r>
      <w:r w:rsidR="00F813C6" w:rsidRPr="007E1010">
        <w:rPr>
          <w:rFonts w:ascii="Arial" w:hAnsi="Arial" w:cs="Arial"/>
          <w:sz w:val="24"/>
          <w:szCs w:val="24"/>
          <w:lang w:val="en-GB"/>
        </w:rPr>
        <w:t xml:space="preserve"> must be considered. </w:t>
      </w:r>
      <w:r w:rsidR="00685473" w:rsidRPr="007E1010">
        <w:rPr>
          <w:rFonts w:ascii="Arial" w:hAnsi="Arial" w:cs="Arial"/>
          <w:sz w:val="24"/>
          <w:szCs w:val="24"/>
          <w:lang w:val="en-GB"/>
        </w:rPr>
        <w:t xml:space="preserve">The case at hand entailed the rape, on </w:t>
      </w:r>
      <w:r w:rsidR="00CC2E9C">
        <w:rPr>
          <w:rFonts w:ascii="Arial" w:hAnsi="Arial" w:cs="Arial"/>
          <w:sz w:val="24"/>
          <w:szCs w:val="24"/>
          <w:lang w:val="en-GB"/>
        </w:rPr>
        <w:t>‘diverse’</w:t>
      </w:r>
      <w:r w:rsidR="00685473" w:rsidRPr="007E1010">
        <w:rPr>
          <w:rFonts w:ascii="Arial" w:hAnsi="Arial" w:cs="Arial"/>
          <w:sz w:val="24"/>
          <w:szCs w:val="24"/>
          <w:lang w:val="en-GB"/>
        </w:rPr>
        <w:t xml:space="preserve"> occasions,</w:t>
      </w:r>
      <w:r w:rsidR="00CC2E9C">
        <w:rPr>
          <w:rStyle w:val="FootnoteReference"/>
          <w:rFonts w:ascii="Arial" w:hAnsi="Arial" w:cs="Arial"/>
          <w:sz w:val="24"/>
          <w:szCs w:val="24"/>
          <w:lang w:val="en-GB"/>
        </w:rPr>
        <w:footnoteReference w:id="14"/>
      </w:r>
      <w:r w:rsidR="00685473" w:rsidRPr="007E1010">
        <w:rPr>
          <w:rFonts w:ascii="Arial" w:hAnsi="Arial" w:cs="Arial"/>
          <w:sz w:val="24"/>
          <w:szCs w:val="24"/>
          <w:lang w:val="en-GB"/>
        </w:rPr>
        <w:t xml:space="preserve"> of a </w:t>
      </w:r>
      <w:r w:rsidR="00DC4EA4" w:rsidRPr="007E1010">
        <w:rPr>
          <w:rFonts w:ascii="Arial" w:hAnsi="Arial" w:cs="Arial"/>
          <w:sz w:val="24"/>
          <w:szCs w:val="24"/>
          <w:lang w:val="en-GB"/>
        </w:rPr>
        <w:t xml:space="preserve">ten-year-old </w:t>
      </w:r>
      <w:r w:rsidR="00685473" w:rsidRPr="007E1010">
        <w:rPr>
          <w:rFonts w:ascii="Arial" w:hAnsi="Arial" w:cs="Arial"/>
          <w:sz w:val="24"/>
          <w:szCs w:val="24"/>
          <w:lang w:val="en-GB"/>
        </w:rPr>
        <w:t>girl</w:t>
      </w:r>
      <w:r w:rsidR="004002E3" w:rsidRPr="007E1010">
        <w:rPr>
          <w:rFonts w:ascii="Arial" w:hAnsi="Arial" w:cs="Arial"/>
          <w:sz w:val="24"/>
          <w:szCs w:val="24"/>
          <w:lang w:val="en-GB"/>
        </w:rPr>
        <w:t xml:space="preserve">. Her mother had left her and two younger siblings under the indefinite care of </w:t>
      </w:r>
      <w:r w:rsidR="001D0714" w:rsidRPr="007E1010">
        <w:rPr>
          <w:rFonts w:ascii="Arial" w:hAnsi="Arial" w:cs="Arial"/>
          <w:sz w:val="24"/>
          <w:szCs w:val="24"/>
          <w:lang w:val="en-GB"/>
        </w:rPr>
        <w:t xml:space="preserve">an uncle, living in a rural area. </w:t>
      </w:r>
      <w:r w:rsidR="00A57B6A" w:rsidRPr="007E1010">
        <w:rPr>
          <w:rFonts w:ascii="Arial" w:hAnsi="Arial" w:cs="Arial"/>
          <w:sz w:val="24"/>
          <w:szCs w:val="24"/>
          <w:lang w:val="en-GB"/>
        </w:rPr>
        <w:t xml:space="preserve">They slept on sheets of cardboard </w:t>
      </w:r>
      <w:r w:rsidR="0071052A" w:rsidRPr="007E1010">
        <w:rPr>
          <w:rFonts w:ascii="Arial" w:hAnsi="Arial" w:cs="Arial"/>
          <w:sz w:val="24"/>
          <w:szCs w:val="24"/>
          <w:lang w:val="en-GB"/>
        </w:rPr>
        <w:t xml:space="preserve">in a small shack. </w:t>
      </w:r>
      <w:r w:rsidR="007B2C0A" w:rsidRPr="007E1010">
        <w:rPr>
          <w:rFonts w:ascii="Arial" w:hAnsi="Arial" w:cs="Arial"/>
          <w:sz w:val="24"/>
          <w:szCs w:val="24"/>
          <w:lang w:val="en-GB"/>
        </w:rPr>
        <w:t xml:space="preserve">In the absence of any meaningful </w:t>
      </w:r>
      <w:r w:rsidR="00A640EF" w:rsidRPr="007E1010">
        <w:rPr>
          <w:rFonts w:ascii="Arial" w:hAnsi="Arial" w:cs="Arial"/>
          <w:sz w:val="24"/>
          <w:szCs w:val="24"/>
          <w:lang w:val="en-GB"/>
        </w:rPr>
        <w:t xml:space="preserve">care and </w:t>
      </w:r>
      <w:r w:rsidR="00A57B6A" w:rsidRPr="007E1010">
        <w:rPr>
          <w:rFonts w:ascii="Arial" w:hAnsi="Arial" w:cs="Arial"/>
          <w:sz w:val="24"/>
          <w:szCs w:val="24"/>
          <w:lang w:val="en-GB"/>
        </w:rPr>
        <w:t>attention from the uncle, t</w:t>
      </w:r>
      <w:r w:rsidR="001D0714" w:rsidRPr="007E1010">
        <w:rPr>
          <w:rFonts w:ascii="Arial" w:hAnsi="Arial" w:cs="Arial"/>
          <w:sz w:val="24"/>
          <w:szCs w:val="24"/>
          <w:lang w:val="en-GB"/>
        </w:rPr>
        <w:t xml:space="preserve">he </w:t>
      </w:r>
      <w:r w:rsidR="007B2C0A" w:rsidRPr="007E1010">
        <w:rPr>
          <w:rFonts w:ascii="Arial" w:hAnsi="Arial" w:cs="Arial"/>
          <w:sz w:val="24"/>
          <w:szCs w:val="24"/>
          <w:lang w:val="en-GB"/>
        </w:rPr>
        <w:t xml:space="preserve">girl was left </w:t>
      </w:r>
      <w:r w:rsidR="00770DE3" w:rsidRPr="007E1010">
        <w:rPr>
          <w:rFonts w:ascii="Arial" w:hAnsi="Arial" w:cs="Arial"/>
          <w:sz w:val="24"/>
          <w:szCs w:val="24"/>
          <w:lang w:val="en-GB"/>
        </w:rPr>
        <w:t xml:space="preserve">on her own to look </w:t>
      </w:r>
      <w:r w:rsidR="00A640EF" w:rsidRPr="007E1010">
        <w:rPr>
          <w:rFonts w:ascii="Arial" w:hAnsi="Arial" w:cs="Arial"/>
          <w:sz w:val="24"/>
          <w:szCs w:val="24"/>
          <w:lang w:val="en-GB"/>
        </w:rPr>
        <w:t xml:space="preserve">after her </w:t>
      </w:r>
      <w:r w:rsidR="00DC4EA4" w:rsidRPr="007E1010">
        <w:rPr>
          <w:rFonts w:ascii="Arial" w:hAnsi="Arial" w:cs="Arial"/>
          <w:sz w:val="24"/>
          <w:szCs w:val="24"/>
          <w:lang w:val="en-GB"/>
        </w:rPr>
        <w:t>siblings.</w:t>
      </w:r>
      <w:r w:rsidR="00111149" w:rsidRPr="007E1010">
        <w:rPr>
          <w:rFonts w:ascii="Arial" w:hAnsi="Arial" w:cs="Arial"/>
          <w:sz w:val="24"/>
          <w:szCs w:val="24"/>
          <w:lang w:val="en-GB"/>
        </w:rPr>
        <w:t xml:space="preserve"> She cooked for them and changed the nappies of the youngest but resorted</w:t>
      </w:r>
      <w:r w:rsidR="00DC2B25" w:rsidRPr="007E1010">
        <w:rPr>
          <w:rFonts w:ascii="Arial" w:hAnsi="Arial" w:cs="Arial"/>
          <w:sz w:val="24"/>
          <w:szCs w:val="24"/>
          <w:lang w:val="en-GB"/>
        </w:rPr>
        <w:t>, ultimately,</w:t>
      </w:r>
      <w:r w:rsidR="00111149" w:rsidRPr="007E1010">
        <w:rPr>
          <w:rFonts w:ascii="Arial" w:hAnsi="Arial" w:cs="Arial"/>
          <w:sz w:val="24"/>
          <w:szCs w:val="24"/>
          <w:lang w:val="en-GB"/>
        </w:rPr>
        <w:t xml:space="preserve"> to begging</w:t>
      </w:r>
      <w:r w:rsidR="00544C12" w:rsidRPr="007E1010">
        <w:rPr>
          <w:rFonts w:ascii="Arial" w:hAnsi="Arial" w:cs="Arial"/>
          <w:sz w:val="24"/>
          <w:szCs w:val="24"/>
          <w:lang w:val="en-GB"/>
        </w:rPr>
        <w:t xml:space="preserve"> </w:t>
      </w:r>
      <w:r w:rsidR="00080765">
        <w:rPr>
          <w:rFonts w:ascii="Arial" w:hAnsi="Arial" w:cs="Arial"/>
          <w:sz w:val="24"/>
          <w:szCs w:val="24"/>
          <w:lang w:val="en-GB"/>
        </w:rPr>
        <w:t xml:space="preserve">for </w:t>
      </w:r>
      <w:r w:rsidR="00544C12" w:rsidRPr="007E1010">
        <w:rPr>
          <w:rFonts w:ascii="Arial" w:hAnsi="Arial" w:cs="Arial"/>
          <w:sz w:val="24"/>
          <w:szCs w:val="24"/>
          <w:lang w:val="en-GB"/>
        </w:rPr>
        <w:t xml:space="preserve">maize, </w:t>
      </w:r>
      <w:r w:rsidR="00B61BB2" w:rsidRPr="007E1010">
        <w:rPr>
          <w:rFonts w:ascii="Arial" w:hAnsi="Arial" w:cs="Arial"/>
          <w:sz w:val="24"/>
          <w:szCs w:val="24"/>
          <w:lang w:val="en-GB"/>
        </w:rPr>
        <w:t>bread,</w:t>
      </w:r>
      <w:r w:rsidR="00544C12" w:rsidRPr="007E1010">
        <w:rPr>
          <w:rFonts w:ascii="Arial" w:hAnsi="Arial" w:cs="Arial"/>
          <w:sz w:val="24"/>
          <w:szCs w:val="24"/>
          <w:lang w:val="en-GB"/>
        </w:rPr>
        <w:t xml:space="preserve"> and sugar from </w:t>
      </w:r>
      <w:r w:rsidR="00DC2B25" w:rsidRPr="007E1010">
        <w:rPr>
          <w:rFonts w:ascii="Arial" w:hAnsi="Arial" w:cs="Arial"/>
          <w:sz w:val="24"/>
          <w:szCs w:val="24"/>
          <w:lang w:val="en-GB"/>
        </w:rPr>
        <w:t xml:space="preserve">neighbours. </w:t>
      </w:r>
    </w:p>
    <w:p w14:paraId="2B8F2727" w14:textId="77777777" w:rsidR="007E1010" w:rsidRPr="007E1010" w:rsidRDefault="007E1010" w:rsidP="007E1010">
      <w:pPr>
        <w:pStyle w:val="ListParagraph"/>
        <w:rPr>
          <w:rFonts w:ascii="Arial" w:hAnsi="Arial" w:cs="Arial"/>
          <w:sz w:val="24"/>
          <w:szCs w:val="24"/>
          <w:lang w:val="en-GB"/>
        </w:rPr>
      </w:pPr>
    </w:p>
    <w:p w14:paraId="2DDDD78A" w14:textId="77777777" w:rsidR="00DB16FC" w:rsidRDefault="00B822C1" w:rsidP="00C97080">
      <w:pPr>
        <w:pStyle w:val="ListParagraph"/>
        <w:numPr>
          <w:ilvl w:val="0"/>
          <w:numId w:val="3"/>
        </w:numPr>
        <w:spacing w:line="360" w:lineRule="auto"/>
        <w:ind w:left="0" w:firstLine="0"/>
        <w:jc w:val="both"/>
        <w:rPr>
          <w:rFonts w:ascii="Arial" w:hAnsi="Arial" w:cs="Arial"/>
          <w:sz w:val="20"/>
          <w:szCs w:val="20"/>
          <w:lang w:val="en-US"/>
        </w:rPr>
      </w:pPr>
      <w:r w:rsidRPr="007E1010">
        <w:rPr>
          <w:rFonts w:ascii="Arial" w:hAnsi="Arial" w:cs="Arial"/>
          <w:sz w:val="24"/>
          <w:szCs w:val="24"/>
          <w:lang w:val="en-GB"/>
        </w:rPr>
        <w:t>The offences committed by the appellant, in the circumstances</w:t>
      </w:r>
      <w:r w:rsidR="009463EE" w:rsidRPr="007E1010">
        <w:rPr>
          <w:rFonts w:ascii="Arial" w:hAnsi="Arial" w:cs="Arial"/>
          <w:sz w:val="24"/>
          <w:szCs w:val="24"/>
          <w:lang w:val="en-GB"/>
        </w:rPr>
        <w:t xml:space="preserve"> described above</w:t>
      </w:r>
      <w:r w:rsidRPr="007E1010">
        <w:rPr>
          <w:rFonts w:ascii="Arial" w:hAnsi="Arial" w:cs="Arial"/>
          <w:sz w:val="24"/>
          <w:szCs w:val="24"/>
          <w:lang w:val="en-GB"/>
        </w:rPr>
        <w:t>, are</w:t>
      </w:r>
      <w:r w:rsidR="009463EE" w:rsidRPr="007E1010">
        <w:rPr>
          <w:rFonts w:ascii="Arial" w:hAnsi="Arial" w:cs="Arial"/>
          <w:sz w:val="24"/>
          <w:szCs w:val="24"/>
          <w:lang w:val="en-GB"/>
        </w:rPr>
        <w:t xml:space="preserve"> nothing short of</w:t>
      </w:r>
      <w:r w:rsidRPr="007E1010">
        <w:rPr>
          <w:rFonts w:ascii="Arial" w:hAnsi="Arial" w:cs="Arial"/>
          <w:sz w:val="24"/>
          <w:szCs w:val="24"/>
          <w:lang w:val="en-GB"/>
        </w:rPr>
        <w:t xml:space="preserve"> horrendous. </w:t>
      </w:r>
      <w:r w:rsidR="0096236E" w:rsidRPr="007E1010">
        <w:rPr>
          <w:rFonts w:ascii="Arial" w:hAnsi="Arial" w:cs="Arial"/>
          <w:sz w:val="24"/>
          <w:szCs w:val="24"/>
          <w:lang w:val="en-GB"/>
        </w:rPr>
        <w:t xml:space="preserve">He </w:t>
      </w:r>
      <w:r w:rsidR="004368E7">
        <w:rPr>
          <w:rFonts w:ascii="Arial" w:hAnsi="Arial" w:cs="Arial"/>
          <w:sz w:val="24"/>
          <w:szCs w:val="24"/>
          <w:lang w:val="en-GB"/>
        </w:rPr>
        <w:t xml:space="preserve">abused </w:t>
      </w:r>
      <w:r w:rsidR="00205F75">
        <w:rPr>
          <w:rFonts w:ascii="Arial" w:hAnsi="Arial" w:cs="Arial"/>
          <w:sz w:val="24"/>
          <w:szCs w:val="24"/>
          <w:lang w:val="en-GB"/>
        </w:rPr>
        <w:t>her</w:t>
      </w:r>
      <w:r w:rsidR="004368E7">
        <w:rPr>
          <w:rFonts w:ascii="Arial" w:hAnsi="Arial" w:cs="Arial"/>
          <w:sz w:val="24"/>
          <w:szCs w:val="24"/>
          <w:lang w:val="en-GB"/>
        </w:rPr>
        <w:t xml:space="preserve"> trust</w:t>
      </w:r>
      <w:r w:rsidR="00205F75">
        <w:rPr>
          <w:rFonts w:ascii="Arial" w:hAnsi="Arial" w:cs="Arial"/>
          <w:sz w:val="24"/>
          <w:szCs w:val="24"/>
          <w:lang w:val="en-GB"/>
        </w:rPr>
        <w:t xml:space="preserve"> </w:t>
      </w:r>
      <w:r w:rsidR="0085462B">
        <w:rPr>
          <w:rFonts w:ascii="Arial" w:hAnsi="Arial" w:cs="Arial"/>
          <w:sz w:val="24"/>
          <w:szCs w:val="24"/>
          <w:lang w:val="en-GB"/>
        </w:rPr>
        <w:t>in him as her uncle,</w:t>
      </w:r>
      <w:r w:rsidR="004368E7">
        <w:rPr>
          <w:rFonts w:ascii="Arial" w:hAnsi="Arial" w:cs="Arial"/>
          <w:sz w:val="24"/>
          <w:szCs w:val="24"/>
          <w:lang w:val="en-GB"/>
        </w:rPr>
        <w:t xml:space="preserve"> </w:t>
      </w:r>
      <w:r w:rsidR="0096236E" w:rsidRPr="007E1010">
        <w:rPr>
          <w:rFonts w:ascii="Arial" w:hAnsi="Arial" w:cs="Arial"/>
          <w:sz w:val="24"/>
          <w:szCs w:val="24"/>
          <w:lang w:val="en-GB"/>
        </w:rPr>
        <w:t xml:space="preserve">took </w:t>
      </w:r>
      <w:r w:rsidR="00887A63" w:rsidRPr="007E1010">
        <w:rPr>
          <w:rFonts w:ascii="Arial" w:hAnsi="Arial" w:cs="Arial"/>
          <w:sz w:val="24"/>
          <w:szCs w:val="24"/>
          <w:lang w:val="en-GB"/>
        </w:rPr>
        <w:t xml:space="preserve">complete </w:t>
      </w:r>
      <w:r w:rsidR="0096236E" w:rsidRPr="007E1010">
        <w:rPr>
          <w:rFonts w:ascii="Arial" w:hAnsi="Arial" w:cs="Arial"/>
          <w:sz w:val="24"/>
          <w:szCs w:val="24"/>
          <w:lang w:val="en-GB"/>
        </w:rPr>
        <w:t xml:space="preserve">advantage of her </w:t>
      </w:r>
      <w:r w:rsidR="00873319" w:rsidRPr="007E1010">
        <w:rPr>
          <w:rFonts w:ascii="Arial" w:hAnsi="Arial" w:cs="Arial"/>
          <w:sz w:val="24"/>
          <w:szCs w:val="24"/>
          <w:lang w:val="en-GB"/>
        </w:rPr>
        <w:t>vulnerability</w:t>
      </w:r>
      <w:r w:rsidR="0085462B">
        <w:rPr>
          <w:rFonts w:ascii="Arial" w:hAnsi="Arial" w:cs="Arial"/>
          <w:sz w:val="24"/>
          <w:szCs w:val="24"/>
          <w:lang w:val="en-GB"/>
        </w:rPr>
        <w:t>,</w:t>
      </w:r>
      <w:r w:rsidR="000B190A" w:rsidRPr="007E1010">
        <w:rPr>
          <w:rFonts w:ascii="Arial" w:hAnsi="Arial" w:cs="Arial"/>
          <w:sz w:val="24"/>
          <w:szCs w:val="24"/>
          <w:lang w:val="en-GB"/>
        </w:rPr>
        <w:t xml:space="preserve"> and used her to meet his own</w:t>
      </w:r>
      <w:r w:rsidR="00955C56" w:rsidRPr="007E1010">
        <w:rPr>
          <w:rFonts w:ascii="Arial" w:hAnsi="Arial" w:cs="Arial"/>
          <w:sz w:val="24"/>
          <w:szCs w:val="24"/>
          <w:lang w:val="en-GB"/>
        </w:rPr>
        <w:t xml:space="preserve"> needs</w:t>
      </w:r>
      <w:r w:rsidR="00873319" w:rsidRPr="007E1010">
        <w:rPr>
          <w:rFonts w:ascii="Arial" w:hAnsi="Arial" w:cs="Arial"/>
          <w:sz w:val="24"/>
          <w:szCs w:val="24"/>
          <w:lang w:val="en-GB"/>
        </w:rPr>
        <w:t xml:space="preserve">. </w:t>
      </w:r>
      <w:r w:rsidR="009463EE" w:rsidRPr="007E1010">
        <w:rPr>
          <w:rFonts w:ascii="Arial" w:hAnsi="Arial" w:cs="Arial"/>
          <w:sz w:val="24"/>
          <w:szCs w:val="24"/>
          <w:lang w:val="en-GB"/>
        </w:rPr>
        <w:t xml:space="preserve">Despite the argument of the appellant’s attorney that there was no indication of serious physical injury or trauma, the complainant clearly testified that the rapes had been painful. </w:t>
      </w:r>
      <w:r w:rsidR="00D80448">
        <w:rPr>
          <w:rFonts w:ascii="Arial" w:hAnsi="Arial" w:cs="Arial"/>
          <w:sz w:val="24"/>
          <w:szCs w:val="24"/>
          <w:lang w:val="en-GB"/>
        </w:rPr>
        <w:t xml:space="preserve">It is </w:t>
      </w:r>
      <w:r w:rsidR="00A13DA9">
        <w:rPr>
          <w:rFonts w:ascii="Arial" w:hAnsi="Arial" w:cs="Arial"/>
          <w:sz w:val="24"/>
          <w:szCs w:val="24"/>
          <w:lang w:val="en-GB"/>
        </w:rPr>
        <w:t>likely, too, that the complainant, a</w:t>
      </w:r>
      <w:r w:rsidR="009463EE" w:rsidRPr="007E1010">
        <w:rPr>
          <w:rFonts w:ascii="Arial" w:hAnsi="Arial" w:cs="Arial"/>
          <w:sz w:val="24"/>
          <w:szCs w:val="24"/>
          <w:lang w:val="en-GB"/>
        </w:rPr>
        <w:t xml:space="preserve">t so young an age, </w:t>
      </w:r>
      <w:r w:rsidR="00A13DA9">
        <w:rPr>
          <w:rFonts w:ascii="Arial" w:hAnsi="Arial" w:cs="Arial"/>
          <w:sz w:val="24"/>
          <w:szCs w:val="24"/>
          <w:lang w:val="en-GB"/>
        </w:rPr>
        <w:t>will not</w:t>
      </w:r>
      <w:r w:rsidR="009463EE" w:rsidRPr="007E1010">
        <w:rPr>
          <w:rFonts w:ascii="Arial" w:hAnsi="Arial" w:cs="Arial"/>
          <w:sz w:val="24"/>
          <w:szCs w:val="24"/>
          <w:lang w:val="en-GB"/>
        </w:rPr>
        <w:t xml:space="preserve"> emerge from the experience emotionally unscathed.</w:t>
      </w:r>
      <w:r w:rsidR="00105242" w:rsidRPr="007E1010">
        <w:rPr>
          <w:rFonts w:ascii="Arial" w:hAnsi="Arial" w:cs="Arial"/>
          <w:sz w:val="24"/>
          <w:szCs w:val="24"/>
          <w:lang w:val="en-GB"/>
        </w:rPr>
        <w:t xml:space="preserve"> The effects will </w:t>
      </w:r>
      <w:r w:rsidR="00A13DA9">
        <w:rPr>
          <w:rFonts w:ascii="Arial" w:hAnsi="Arial" w:cs="Arial"/>
          <w:sz w:val="24"/>
          <w:szCs w:val="24"/>
          <w:lang w:val="en-GB"/>
        </w:rPr>
        <w:t xml:space="preserve">probably </w:t>
      </w:r>
      <w:r w:rsidR="00A96452" w:rsidRPr="007E1010">
        <w:rPr>
          <w:rFonts w:ascii="Arial" w:hAnsi="Arial" w:cs="Arial"/>
          <w:sz w:val="24"/>
          <w:szCs w:val="24"/>
          <w:lang w:val="en-GB"/>
        </w:rPr>
        <w:t>last a lifetime.</w:t>
      </w:r>
    </w:p>
    <w:p w14:paraId="32A290D7" w14:textId="77777777" w:rsidR="00C97080" w:rsidRPr="00C97080" w:rsidRDefault="00C97080" w:rsidP="00C97080">
      <w:pPr>
        <w:pStyle w:val="ListParagraph"/>
        <w:rPr>
          <w:rFonts w:ascii="Arial" w:hAnsi="Arial" w:cs="Arial"/>
          <w:sz w:val="20"/>
          <w:szCs w:val="20"/>
          <w:lang w:val="en-US"/>
        </w:rPr>
      </w:pPr>
    </w:p>
    <w:p w14:paraId="219B5B6E" w14:textId="77777777" w:rsidR="00C97080" w:rsidRDefault="00C97080" w:rsidP="00C97080">
      <w:pPr>
        <w:pStyle w:val="ListParagraph"/>
        <w:numPr>
          <w:ilvl w:val="0"/>
          <w:numId w:val="3"/>
        </w:numPr>
        <w:spacing w:line="360" w:lineRule="auto"/>
        <w:ind w:left="0" w:firstLine="0"/>
        <w:jc w:val="both"/>
        <w:rPr>
          <w:rFonts w:ascii="Arial" w:hAnsi="Arial" w:cs="Arial"/>
          <w:sz w:val="24"/>
          <w:szCs w:val="24"/>
          <w:lang w:val="en-US"/>
        </w:rPr>
      </w:pPr>
      <w:r w:rsidRPr="00C97080">
        <w:rPr>
          <w:rFonts w:ascii="Arial" w:hAnsi="Arial" w:cs="Arial"/>
          <w:sz w:val="24"/>
          <w:szCs w:val="24"/>
          <w:lang w:val="en-US"/>
        </w:rPr>
        <w:t>The imposition of</w:t>
      </w:r>
      <w:r w:rsidR="00EE5C95">
        <w:rPr>
          <w:rFonts w:ascii="Arial" w:hAnsi="Arial" w:cs="Arial"/>
          <w:sz w:val="24"/>
          <w:szCs w:val="24"/>
          <w:lang w:val="en-US"/>
        </w:rPr>
        <w:t xml:space="preserve"> life imprisonment is</w:t>
      </w:r>
      <w:r w:rsidR="0054371E">
        <w:rPr>
          <w:rFonts w:ascii="Arial" w:hAnsi="Arial" w:cs="Arial"/>
          <w:sz w:val="24"/>
          <w:szCs w:val="24"/>
          <w:lang w:val="en-US"/>
        </w:rPr>
        <w:t>, however,</w:t>
      </w:r>
      <w:r w:rsidR="00EE5C95">
        <w:rPr>
          <w:rFonts w:ascii="Arial" w:hAnsi="Arial" w:cs="Arial"/>
          <w:sz w:val="24"/>
          <w:szCs w:val="24"/>
          <w:lang w:val="en-US"/>
        </w:rPr>
        <w:t xml:space="preserve"> the most severe sanction available to </w:t>
      </w:r>
      <w:r w:rsidR="00F10A8F">
        <w:rPr>
          <w:rFonts w:ascii="Arial" w:hAnsi="Arial" w:cs="Arial"/>
          <w:sz w:val="24"/>
          <w:szCs w:val="24"/>
          <w:lang w:val="en-US"/>
        </w:rPr>
        <w:t>the court. It is imperative, therefore, that the</w:t>
      </w:r>
      <w:r w:rsidR="00EA4C46">
        <w:rPr>
          <w:rFonts w:ascii="Arial" w:hAnsi="Arial" w:cs="Arial"/>
          <w:sz w:val="24"/>
          <w:szCs w:val="24"/>
          <w:lang w:val="en-US"/>
        </w:rPr>
        <w:t xml:space="preserve"> court is satisfied that the sentence is indeed proportiona</w:t>
      </w:r>
      <w:r w:rsidR="007A73C8">
        <w:rPr>
          <w:rFonts w:ascii="Arial" w:hAnsi="Arial" w:cs="Arial"/>
          <w:sz w:val="24"/>
          <w:szCs w:val="24"/>
          <w:lang w:val="en-US"/>
        </w:rPr>
        <w:t>te</w:t>
      </w:r>
      <w:r w:rsidR="00EA4C46">
        <w:rPr>
          <w:rFonts w:ascii="Arial" w:hAnsi="Arial" w:cs="Arial"/>
          <w:sz w:val="24"/>
          <w:szCs w:val="24"/>
          <w:lang w:val="en-US"/>
        </w:rPr>
        <w:t xml:space="preserve"> </w:t>
      </w:r>
      <w:r w:rsidR="007C1F34">
        <w:rPr>
          <w:rFonts w:ascii="Arial" w:hAnsi="Arial" w:cs="Arial"/>
          <w:sz w:val="24"/>
          <w:szCs w:val="24"/>
          <w:lang w:val="en-US"/>
        </w:rPr>
        <w:t xml:space="preserve">to the offence. </w:t>
      </w:r>
      <w:r w:rsidR="00702620">
        <w:rPr>
          <w:rFonts w:ascii="Arial" w:hAnsi="Arial" w:cs="Arial"/>
          <w:sz w:val="24"/>
          <w:szCs w:val="24"/>
          <w:lang w:val="en-US"/>
        </w:rPr>
        <w:t xml:space="preserve">In </w:t>
      </w:r>
      <w:r w:rsidR="00702620" w:rsidRPr="00121E6C">
        <w:rPr>
          <w:rFonts w:ascii="Arial" w:hAnsi="Arial" w:cs="Arial"/>
          <w:i/>
          <w:iCs/>
          <w:sz w:val="24"/>
          <w:szCs w:val="24"/>
          <w:lang w:val="en-US"/>
        </w:rPr>
        <w:t>S v Dodo</w:t>
      </w:r>
      <w:r w:rsidR="00702620">
        <w:rPr>
          <w:rFonts w:ascii="Arial" w:hAnsi="Arial" w:cs="Arial"/>
          <w:sz w:val="24"/>
          <w:szCs w:val="24"/>
          <w:lang w:val="en-US"/>
        </w:rPr>
        <w:t>,</w:t>
      </w:r>
      <w:r w:rsidR="00702620">
        <w:rPr>
          <w:rStyle w:val="FootnoteReference"/>
          <w:rFonts w:ascii="Arial" w:hAnsi="Arial" w:cs="Arial"/>
          <w:sz w:val="24"/>
          <w:szCs w:val="24"/>
          <w:lang w:val="en-US"/>
        </w:rPr>
        <w:footnoteReference w:id="15"/>
      </w:r>
      <w:r w:rsidR="00DA288B">
        <w:rPr>
          <w:rFonts w:ascii="Arial" w:hAnsi="Arial" w:cs="Arial"/>
          <w:sz w:val="24"/>
          <w:szCs w:val="24"/>
          <w:lang w:val="en-US"/>
        </w:rPr>
        <w:t xml:space="preserve"> Ackermann J remarked as follows:</w:t>
      </w:r>
    </w:p>
    <w:p w14:paraId="600F3DD6" w14:textId="77777777" w:rsidR="00DA288B" w:rsidRPr="00DA288B" w:rsidRDefault="00DA288B" w:rsidP="00DA288B">
      <w:pPr>
        <w:pStyle w:val="ListParagraph"/>
        <w:rPr>
          <w:rFonts w:ascii="Arial" w:hAnsi="Arial" w:cs="Arial"/>
          <w:sz w:val="24"/>
          <w:szCs w:val="24"/>
          <w:lang w:val="en-US"/>
        </w:rPr>
      </w:pPr>
    </w:p>
    <w:p w14:paraId="43C42165" w14:textId="77777777" w:rsidR="00AF616E" w:rsidRPr="00863C37" w:rsidRDefault="00AE0834" w:rsidP="00AF616E">
      <w:pPr>
        <w:pStyle w:val="ListParagraph"/>
        <w:spacing w:line="360" w:lineRule="auto"/>
        <w:jc w:val="both"/>
        <w:rPr>
          <w:rFonts w:ascii="Arial" w:hAnsi="Arial" w:cs="Arial"/>
          <w:sz w:val="20"/>
          <w:szCs w:val="20"/>
          <w:lang w:val="en-US"/>
        </w:rPr>
      </w:pPr>
      <w:r w:rsidRPr="00863C37">
        <w:rPr>
          <w:rFonts w:ascii="Arial" w:hAnsi="Arial" w:cs="Arial"/>
          <w:sz w:val="20"/>
          <w:szCs w:val="20"/>
          <w:lang w:val="en-US"/>
        </w:rPr>
        <w:t>‘</w:t>
      </w:r>
      <w:r w:rsidR="007A73C8" w:rsidRPr="00863C37">
        <w:rPr>
          <w:rFonts w:ascii="Arial" w:hAnsi="Arial" w:cs="Arial"/>
          <w:sz w:val="20"/>
          <w:szCs w:val="20"/>
          <w:lang w:val="en-US"/>
        </w:rPr>
        <w:t xml:space="preserve">…The concept of proportionality goes to the heart of </w:t>
      </w:r>
      <w:r w:rsidR="00F731CD" w:rsidRPr="00863C37">
        <w:rPr>
          <w:rFonts w:ascii="Arial" w:hAnsi="Arial" w:cs="Arial"/>
          <w:sz w:val="20"/>
          <w:szCs w:val="20"/>
          <w:lang w:val="en-US"/>
        </w:rPr>
        <w:t xml:space="preserve">the inquiry as to whether punishment is cruel, inhuman or degrading, </w:t>
      </w:r>
      <w:r w:rsidR="000A5FCD" w:rsidRPr="00863C37">
        <w:rPr>
          <w:rFonts w:ascii="Arial" w:hAnsi="Arial" w:cs="Arial"/>
          <w:sz w:val="20"/>
          <w:szCs w:val="20"/>
          <w:lang w:val="en-US"/>
        </w:rPr>
        <w:t xml:space="preserve">particularly where, as here, it is almost exclusively the length of time for which an offender </w:t>
      </w:r>
      <w:r w:rsidR="00FB6C07" w:rsidRPr="00863C37">
        <w:rPr>
          <w:rFonts w:ascii="Arial" w:hAnsi="Arial" w:cs="Arial"/>
          <w:sz w:val="20"/>
          <w:szCs w:val="20"/>
          <w:lang w:val="en-US"/>
        </w:rPr>
        <w:t xml:space="preserve">is sentenced that is in issue. This was recognized in </w:t>
      </w:r>
      <w:r w:rsidR="00FB6C07" w:rsidRPr="00863C37">
        <w:rPr>
          <w:rFonts w:ascii="Arial" w:hAnsi="Arial" w:cs="Arial"/>
          <w:i/>
          <w:iCs/>
          <w:sz w:val="20"/>
          <w:szCs w:val="20"/>
          <w:lang w:val="en-US"/>
        </w:rPr>
        <w:t>S v Makwanyane</w:t>
      </w:r>
      <w:r w:rsidR="004C7271" w:rsidRPr="00863C37">
        <w:rPr>
          <w:rFonts w:ascii="Arial" w:hAnsi="Arial" w:cs="Arial"/>
          <w:sz w:val="20"/>
          <w:szCs w:val="20"/>
          <w:lang w:val="en-US"/>
        </w:rPr>
        <w:t>. Section 12(1)(a) [of the Constitution] guarantees, amongst others,</w:t>
      </w:r>
      <w:r w:rsidR="00491DCD" w:rsidRPr="00863C37">
        <w:rPr>
          <w:rFonts w:ascii="Arial" w:hAnsi="Arial" w:cs="Arial"/>
          <w:sz w:val="20"/>
          <w:szCs w:val="20"/>
          <w:lang w:val="en-US"/>
        </w:rPr>
        <w:t xml:space="preserve"> the right “not to be deprived of freedom…</w:t>
      </w:r>
      <w:r w:rsidR="00821260" w:rsidRPr="00863C37">
        <w:rPr>
          <w:rFonts w:ascii="Arial" w:hAnsi="Arial" w:cs="Arial"/>
          <w:sz w:val="20"/>
          <w:szCs w:val="20"/>
          <w:lang w:val="en-US"/>
        </w:rPr>
        <w:t xml:space="preserve"> without just cause.” </w:t>
      </w:r>
      <w:r w:rsidR="00AE799D" w:rsidRPr="00863C37">
        <w:rPr>
          <w:rFonts w:ascii="Arial" w:hAnsi="Arial" w:cs="Arial"/>
          <w:sz w:val="20"/>
          <w:szCs w:val="20"/>
          <w:lang w:val="en-US"/>
        </w:rPr>
        <w:t>The “cause” justifying penal incarceration and thus the deprivation of the offender’s freedom</w:t>
      </w:r>
      <w:r w:rsidR="00F344FD" w:rsidRPr="00863C37">
        <w:rPr>
          <w:rFonts w:ascii="Arial" w:hAnsi="Arial" w:cs="Arial"/>
          <w:sz w:val="20"/>
          <w:szCs w:val="20"/>
          <w:lang w:val="en-US"/>
        </w:rPr>
        <w:t>, is the offence committed.</w:t>
      </w:r>
      <w:r w:rsidR="00BA3890" w:rsidRPr="00863C37">
        <w:rPr>
          <w:rFonts w:ascii="Arial" w:hAnsi="Arial" w:cs="Arial"/>
          <w:sz w:val="20"/>
          <w:szCs w:val="20"/>
          <w:lang w:val="en-US"/>
        </w:rPr>
        <w:t xml:space="preserve"> “Offence”, as used throughout in the present context, </w:t>
      </w:r>
      <w:r w:rsidR="00153FDE" w:rsidRPr="00863C37">
        <w:rPr>
          <w:rFonts w:ascii="Arial" w:hAnsi="Arial" w:cs="Arial"/>
          <w:sz w:val="20"/>
          <w:szCs w:val="20"/>
          <w:lang w:val="en-US"/>
        </w:rPr>
        <w:t>consists of all factors relevant to the nature and seriousness of the criminal act itself</w:t>
      </w:r>
      <w:r w:rsidR="00B312F5" w:rsidRPr="00863C37">
        <w:rPr>
          <w:rFonts w:ascii="Arial" w:hAnsi="Arial" w:cs="Arial"/>
          <w:sz w:val="20"/>
          <w:szCs w:val="20"/>
          <w:lang w:val="en-US"/>
        </w:rPr>
        <w:t>, as well as all relevant personal and other circumstances relating to the offender which</w:t>
      </w:r>
      <w:r w:rsidR="009B74EC" w:rsidRPr="00863C37">
        <w:rPr>
          <w:rFonts w:ascii="Arial" w:hAnsi="Arial" w:cs="Arial"/>
          <w:sz w:val="20"/>
          <w:szCs w:val="20"/>
          <w:lang w:val="en-US"/>
        </w:rPr>
        <w:t xml:space="preserve"> could have a bearing on </w:t>
      </w:r>
      <w:r w:rsidR="009B74EC" w:rsidRPr="00863C37">
        <w:rPr>
          <w:rFonts w:ascii="Arial" w:hAnsi="Arial" w:cs="Arial"/>
          <w:sz w:val="20"/>
          <w:szCs w:val="20"/>
          <w:lang w:val="en-US"/>
        </w:rPr>
        <w:lastRenderedPageBreak/>
        <w:t xml:space="preserve">the seriousness </w:t>
      </w:r>
      <w:r w:rsidR="00D97D53" w:rsidRPr="00863C37">
        <w:rPr>
          <w:rFonts w:ascii="Arial" w:hAnsi="Arial" w:cs="Arial"/>
          <w:sz w:val="20"/>
          <w:szCs w:val="20"/>
          <w:lang w:val="en-US"/>
        </w:rPr>
        <w:t>of the offence and the culpability of the offender.</w:t>
      </w:r>
      <w:r w:rsidR="00E11C18" w:rsidRPr="00863C37">
        <w:rPr>
          <w:rFonts w:ascii="Arial" w:hAnsi="Arial" w:cs="Arial"/>
          <w:sz w:val="20"/>
          <w:szCs w:val="20"/>
          <w:lang w:val="en-US"/>
        </w:rPr>
        <w:t xml:space="preserve"> In order to justify the deprivation of an offender’s freedom it must be shown that it is reasonably necessary</w:t>
      </w:r>
      <w:r w:rsidR="003434E8" w:rsidRPr="00863C37">
        <w:rPr>
          <w:rFonts w:ascii="Arial" w:hAnsi="Arial" w:cs="Arial"/>
          <w:sz w:val="20"/>
          <w:szCs w:val="20"/>
          <w:lang w:val="en-US"/>
        </w:rPr>
        <w:t xml:space="preserve"> to curb the offence and punish the offender. Thus the length of punishment </w:t>
      </w:r>
      <w:r w:rsidR="00C961F4" w:rsidRPr="00863C37">
        <w:rPr>
          <w:rFonts w:ascii="Arial" w:hAnsi="Arial" w:cs="Arial"/>
          <w:sz w:val="20"/>
          <w:szCs w:val="20"/>
          <w:lang w:val="en-US"/>
        </w:rPr>
        <w:t>must be proportionate to the offence.</w:t>
      </w:r>
    </w:p>
    <w:p w14:paraId="5641F3AF" w14:textId="77777777" w:rsidR="00AF616E" w:rsidRPr="00863C37" w:rsidRDefault="00AF616E" w:rsidP="00AF616E">
      <w:pPr>
        <w:pStyle w:val="ListParagraph"/>
        <w:spacing w:line="360" w:lineRule="auto"/>
        <w:jc w:val="both"/>
        <w:rPr>
          <w:rFonts w:ascii="Arial" w:hAnsi="Arial" w:cs="Arial"/>
          <w:sz w:val="20"/>
          <w:szCs w:val="20"/>
          <w:lang w:val="en-US"/>
        </w:rPr>
      </w:pPr>
    </w:p>
    <w:p w14:paraId="3B2E722B" w14:textId="77777777" w:rsidR="00C40D44" w:rsidRPr="00863C37" w:rsidRDefault="00C961F4" w:rsidP="00C40D44">
      <w:pPr>
        <w:pStyle w:val="ListParagraph"/>
        <w:spacing w:line="360" w:lineRule="auto"/>
        <w:jc w:val="both"/>
        <w:rPr>
          <w:rFonts w:ascii="Arial" w:hAnsi="Arial" w:cs="Arial"/>
          <w:sz w:val="20"/>
          <w:szCs w:val="20"/>
          <w:lang w:val="en-US"/>
        </w:rPr>
      </w:pPr>
      <w:r w:rsidRPr="00863C37">
        <w:rPr>
          <w:rFonts w:ascii="Arial" w:hAnsi="Arial" w:cs="Arial"/>
          <w:sz w:val="20"/>
          <w:szCs w:val="20"/>
          <w:lang w:val="en-US"/>
        </w:rPr>
        <w:t>…To attempt to justify any period of penal incarceration,</w:t>
      </w:r>
      <w:r w:rsidR="00AF616E" w:rsidRPr="00863C37">
        <w:rPr>
          <w:rFonts w:ascii="Arial" w:hAnsi="Arial" w:cs="Arial"/>
          <w:sz w:val="20"/>
          <w:szCs w:val="20"/>
          <w:lang w:val="en-US"/>
        </w:rPr>
        <w:t xml:space="preserve"> let alone imprisonment for life as in the present case, </w:t>
      </w:r>
      <w:r w:rsidR="005F3F7B" w:rsidRPr="00863C37">
        <w:rPr>
          <w:rFonts w:ascii="Arial" w:hAnsi="Arial" w:cs="Arial"/>
          <w:sz w:val="20"/>
          <w:szCs w:val="20"/>
          <w:lang w:val="en-US"/>
        </w:rPr>
        <w:t>without inquiring into the proportionality between the offence and the period of imprisonment</w:t>
      </w:r>
      <w:r w:rsidR="00643070" w:rsidRPr="00863C37">
        <w:rPr>
          <w:rFonts w:ascii="Arial" w:hAnsi="Arial" w:cs="Arial"/>
          <w:sz w:val="20"/>
          <w:szCs w:val="20"/>
          <w:lang w:val="en-US"/>
        </w:rPr>
        <w:t xml:space="preserve">, is to ignore, if not to deny, that which lies at the very heart of </w:t>
      </w:r>
      <w:r w:rsidR="003755B5" w:rsidRPr="00863C37">
        <w:rPr>
          <w:rFonts w:ascii="Arial" w:hAnsi="Arial" w:cs="Arial"/>
          <w:sz w:val="20"/>
          <w:szCs w:val="20"/>
          <w:lang w:val="en-US"/>
        </w:rPr>
        <w:t>human dignity. Human beings are not commodities to which a price can be attached</w:t>
      </w:r>
      <w:r w:rsidR="007A1260" w:rsidRPr="00863C37">
        <w:rPr>
          <w:rFonts w:ascii="Arial" w:hAnsi="Arial" w:cs="Arial"/>
          <w:sz w:val="20"/>
          <w:szCs w:val="20"/>
          <w:lang w:val="en-US"/>
        </w:rPr>
        <w:t>; they are creatures with inherent and infinite worth; they ought to be treated as ends in themselves</w:t>
      </w:r>
      <w:r w:rsidR="002B7BAC" w:rsidRPr="00863C37">
        <w:rPr>
          <w:rFonts w:ascii="Arial" w:hAnsi="Arial" w:cs="Arial"/>
          <w:sz w:val="20"/>
          <w:szCs w:val="20"/>
          <w:lang w:val="en-US"/>
        </w:rPr>
        <w:t>, never merely as means to an end. Where the length of a sentence</w:t>
      </w:r>
      <w:r w:rsidR="001270F3" w:rsidRPr="00863C37">
        <w:rPr>
          <w:rFonts w:ascii="Arial" w:hAnsi="Arial" w:cs="Arial"/>
          <w:sz w:val="20"/>
          <w:szCs w:val="20"/>
          <w:lang w:val="en-US"/>
        </w:rPr>
        <w:t>, which has been imposed because of its general deterrent effect on others</w:t>
      </w:r>
      <w:r w:rsidR="002140D4" w:rsidRPr="00863C37">
        <w:rPr>
          <w:rFonts w:ascii="Arial" w:hAnsi="Arial" w:cs="Arial"/>
          <w:sz w:val="20"/>
          <w:szCs w:val="20"/>
          <w:lang w:val="en-US"/>
        </w:rPr>
        <w:t>, bears no relation to the gravity of the offence</w:t>
      </w:r>
      <w:r w:rsidR="008E5CD0">
        <w:rPr>
          <w:rFonts w:ascii="Arial" w:hAnsi="Arial" w:cs="Arial"/>
          <w:sz w:val="20"/>
          <w:szCs w:val="20"/>
          <w:lang w:val="en-US"/>
        </w:rPr>
        <w:t xml:space="preserve"> (in the sense defined in paragraph 37 above)</w:t>
      </w:r>
      <w:r w:rsidR="000238CD">
        <w:rPr>
          <w:rFonts w:ascii="Arial" w:hAnsi="Arial" w:cs="Arial"/>
          <w:sz w:val="20"/>
          <w:szCs w:val="20"/>
          <w:lang w:val="en-US"/>
        </w:rPr>
        <w:t xml:space="preserve"> t</w:t>
      </w:r>
      <w:r w:rsidR="00063327" w:rsidRPr="00863C37">
        <w:rPr>
          <w:rFonts w:ascii="Arial" w:hAnsi="Arial" w:cs="Arial"/>
          <w:sz w:val="20"/>
          <w:szCs w:val="20"/>
          <w:lang w:val="en-US"/>
        </w:rPr>
        <w:t xml:space="preserve">he offender is being used essentially as a means </w:t>
      </w:r>
      <w:r w:rsidR="00296805" w:rsidRPr="00863C37">
        <w:rPr>
          <w:rFonts w:ascii="Arial" w:hAnsi="Arial" w:cs="Arial"/>
          <w:sz w:val="20"/>
          <w:szCs w:val="20"/>
          <w:lang w:val="en-US"/>
        </w:rPr>
        <w:t>t</w:t>
      </w:r>
      <w:r w:rsidR="00063327" w:rsidRPr="00863C37">
        <w:rPr>
          <w:rFonts w:ascii="Arial" w:hAnsi="Arial" w:cs="Arial"/>
          <w:sz w:val="20"/>
          <w:szCs w:val="20"/>
          <w:lang w:val="en-US"/>
        </w:rPr>
        <w:t>o another end</w:t>
      </w:r>
      <w:r w:rsidR="00296805" w:rsidRPr="00863C37">
        <w:rPr>
          <w:rFonts w:ascii="Arial" w:hAnsi="Arial" w:cs="Arial"/>
          <w:sz w:val="20"/>
          <w:szCs w:val="20"/>
          <w:lang w:val="en-US"/>
        </w:rPr>
        <w:t xml:space="preserve"> and the offender’s dignity assailed. So too where the reformative effect </w:t>
      </w:r>
      <w:r w:rsidR="00674DC8" w:rsidRPr="00863C37">
        <w:rPr>
          <w:rFonts w:ascii="Arial" w:hAnsi="Arial" w:cs="Arial"/>
          <w:sz w:val="20"/>
          <w:szCs w:val="20"/>
          <w:lang w:val="en-US"/>
        </w:rPr>
        <w:t>of the punishment is predominant and the offender sentenced to lengthy</w:t>
      </w:r>
      <w:r w:rsidR="00177346" w:rsidRPr="00863C37">
        <w:rPr>
          <w:rFonts w:ascii="Arial" w:hAnsi="Arial" w:cs="Arial"/>
          <w:sz w:val="20"/>
          <w:szCs w:val="20"/>
          <w:lang w:val="en-US"/>
        </w:rPr>
        <w:t xml:space="preserve"> imprisonment, principally because he cannot be reformed</w:t>
      </w:r>
      <w:r w:rsidR="00327E9F" w:rsidRPr="00863C37">
        <w:rPr>
          <w:rFonts w:ascii="Arial" w:hAnsi="Arial" w:cs="Arial"/>
          <w:sz w:val="20"/>
          <w:szCs w:val="20"/>
          <w:lang w:val="en-US"/>
        </w:rPr>
        <w:t xml:space="preserve"> in a shorter period, but the length of imprisonment bears no relationship to what the committed offence</w:t>
      </w:r>
      <w:r w:rsidR="00593179" w:rsidRPr="00863C37">
        <w:rPr>
          <w:rFonts w:ascii="Arial" w:hAnsi="Arial" w:cs="Arial"/>
          <w:sz w:val="20"/>
          <w:szCs w:val="20"/>
          <w:lang w:val="en-US"/>
        </w:rPr>
        <w:t xml:space="preserve"> merits. Even in the absence of such features, mere disproportionality</w:t>
      </w:r>
      <w:r w:rsidR="00E52236" w:rsidRPr="00863C37">
        <w:rPr>
          <w:rFonts w:ascii="Arial" w:hAnsi="Arial" w:cs="Arial"/>
          <w:sz w:val="20"/>
          <w:szCs w:val="20"/>
          <w:lang w:val="en-US"/>
        </w:rPr>
        <w:t xml:space="preserve"> between the offence and the period of imprisonment would also tend to treat the offender </w:t>
      </w:r>
      <w:r w:rsidR="00C23460" w:rsidRPr="00863C37">
        <w:rPr>
          <w:rFonts w:ascii="Arial" w:hAnsi="Arial" w:cs="Arial"/>
          <w:sz w:val="20"/>
          <w:szCs w:val="20"/>
          <w:lang w:val="en-US"/>
        </w:rPr>
        <w:t>as a means to an end, thereby denying the offender’s humanity.’</w:t>
      </w:r>
      <w:r w:rsidR="00121E6C" w:rsidRPr="00863C37">
        <w:rPr>
          <w:rStyle w:val="FootnoteReference"/>
          <w:rFonts w:ascii="Arial" w:hAnsi="Arial" w:cs="Arial"/>
          <w:sz w:val="20"/>
          <w:szCs w:val="20"/>
          <w:lang w:val="en-US"/>
        </w:rPr>
        <w:footnoteReference w:id="16"/>
      </w:r>
    </w:p>
    <w:p w14:paraId="7FDE9D2E" w14:textId="77777777" w:rsidR="00C40D44" w:rsidRDefault="00C40D44" w:rsidP="00C40D44">
      <w:pPr>
        <w:spacing w:line="360" w:lineRule="auto"/>
        <w:jc w:val="both"/>
        <w:rPr>
          <w:rFonts w:ascii="Arial" w:hAnsi="Arial" w:cs="Arial"/>
          <w:sz w:val="24"/>
          <w:szCs w:val="24"/>
          <w:lang w:val="en-US"/>
        </w:rPr>
      </w:pPr>
    </w:p>
    <w:p w14:paraId="1A40EB71" w14:textId="77777777" w:rsidR="00C40D44" w:rsidRPr="00C50193" w:rsidRDefault="00863C37" w:rsidP="00C50193">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 xml:space="preserve">The principle of proportionality was also addressed in </w:t>
      </w:r>
      <w:r w:rsidR="00121224" w:rsidRPr="00C50193">
        <w:rPr>
          <w:rFonts w:ascii="Arial" w:hAnsi="Arial" w:cs="Arial"/>
          <w:i/>
          <w:iCs/>
          <w:sz w:val="24"/>
          <w:szCs w:val="24"/>
          <w:lang w:val="en-US"/>
        </w:rPr>
        <w:t>Vilakazi v S</w:t>
      </w:r>
      <w:r w:rsidR="00121224" w:rsidRPr="00C50193">
        <w:rPr>
          <w:rFonts w:ascii="Arial" w:hAnsi="Arial" w:cs="Arial"/>
          <w:sz w:val="24"/>
          <w:szCs w:val="24"/>
          <w:lang w:val="en-US"/>
        </w:rPr>
        <w:t>,</w:t>
      </w:r>
      <w:r w:rsidR="00121224">
        <w:rPr>
          <w:rStyle w:val="FootnoteReference"/>
          <w:rFonts w:ascii="Arial" w:hAnsi="Arial" w:cs="Arial"/>
          <w:sz w:val="24"/>
          <w:szCs w:val="24"/>
          <w:lang w:val="en-US"/>
        </w:rPr>
        <w:footnoteReference w:id="17"/>
      </w:r>
      <w:r w:rsidR="00AD1EF2" w:rsidRPr="00C50193">
        <w:rPr>
          <w:rFonts w:ascii="Arial" w:hAnsi="Arial" w:cs="Arial"/>
          <w:sz w:val="24"/>
          <w:szCs w:val="24"/>
          <w:lang w:val="en-US"/>
        </w:rPr>
        <w:t xml:space="preserve"> where Nugent JA observed that a prescribed sentence cannot be assumed, </w:t>
      </w:r>
      <w:r w:rsidR="00AD1EF2" w:rsidRPr="00C50193">
        <w:rPr>
          <w:rFonts w:ascii="Arial" w:hAnsi="Arial" w:cs="Arial"/>
          <w:i/>
          <w:iCs/>
          <w:sz w:val="24"/>
          <w:szCs w:val="24"/>
          <w:lang w:val="en-US"/>
        </w:rPr>
        <w:t>a priori</w:t>
      </w:r>
      <w:r w:rsidR="00AD1EF2" w:rsidRPr="00C50193">
        <w:rPr>
          <w:rFonts w:ascii="Arial" w:hAnsi="Arial" w:cs="Arial"/>
          <w:sz w:val="24"/>
          <w:szCs w:val="24"/>
          <w:lang w:val="en-US"/>
        </w:rPr>
        <w:t xml:space="preserve">, </w:t>
      </w:r>
      <w:r w:rsidR="00E75C47" w:rsidRPr="00C50193">
        <w:rPr>
          <w:rFonts w:ascii="Arial" w:hAnsi="Arial" w:cs="Arial"/>
          <w:sz w:val="24"/>
          <w:szCs w:val="24"/>
          <w:lang w:val="en-US"/>
        </w:rPr>
        <w:t>to be proportionate in a particular case.</w:t>
      </w:r>
      <w:r w:rsidR="00813753" w:rsidRPr="00C50193">
        <w:rPr>
          <w:rFonts w:ascii="Arial" w:hAnsi="Arial" w:cs="Arial"/>
          <w:sz w:val="24"/>
          <w:szCs w:val="24"/>
          <w:lang w:val="en-US"/>
        </w:rPr>
        <w:t xml:space="preserve"> This was an issue to be determined </w:t>
      </w:r>
      <w:r w:rsidR="002448E5" w:rsidRPr="00C50193">
        <w:rPr>
          <w:rFonts w:ascii="Arial" w:hAnsi="Arial" w:cs="Arial"/>
          <w:sz w:val="24"/>
          <w:szCs w:val="24"/>
          <w:lang w:val="en-US"/>
        </w:rPr>
        <w:t>upon consideration of the circumstances</w:t>
      </w:r>
      <w:r w:rsidR="00D6473C" w:rsidRPr="00C50193">
        <w:rPr>
          <w:rFonts w:ascii="Arial" w:hAnsi="Arial" w:cs="Arial"/>
          <w:sz w:val="24"/>
          <w:szCs w:val="24"/>
          <w:lang w:val="en-US"/>
        </w:rPr>
        <w:t xml:space="preserve">. The essence of </w:t>
      </w:r>
      <w:r w:rsidR="00D6473C" w:rsidRPr="00C50193">
        <w:rPr>
          <w:rFonts w:ascii="Arial" w:hAnsi="Arial" w:cs="Arial"/>
          <w:i/>
          <w:iCs/>
          <w:sz w:val="24"/>
          <w:szCs w:val="24"/>
          <w:lang w:val="en-US"/>
        </w:rPr>
        <w:t>Malgas</w:t>
      </w:r>
      <w:r w:rsidR="00D6473C" w:rsidRPr="00C50193">
        <w:rPr>
          <w:rFonts w:ascii="Arial" w:hAnsi="Arial" w:cs="Arial"/>
          <w:sz w:val="24"/>
          <w:szCs w:val="24"/>
          <w:lang w:val="en-US"/>
        </w:rPr>
        <w:t xml:space="preserve"> and </w:t>
      </w:r>
      <w:r w:rsidR="00D6473C" w:rsidRPr="00C50193">
        <w:rPr>
          <w:rFonts w:ascii="Arial" w:hAnsi="Arial" w:cs="Arial"/>
          <w:i/>
          <w:iCs/>
          <w:sz w:val="24"/>
          <w:szCs w:val="24"/>
          <w:lang w:val="en-US"/>
        </w:rPr>
        <w:t>Dodo</w:t>
      </w:r>
      <w:r w:rsidR="00D6473C" w:rsidRPr="00C50193">
        <w:rPr>
          <w:rFonts w:ascii="Arial" w:hAnsi="Arial" w:cs="Arial"/>
          <w:sz w:val="24"/>
          <w:szCs w:val="24"/>
          <w:lang w:val="en-US"/>
        </w:rPr>
        <w:t xml:space="preserve">, </w:t>
      </w:r>
      <w:r w:rsidR="002C75BB" w:rsidRPr="00C50193">
        <w:rPr>
          <w:rFonts w:ascii="Arial" w:hAnsi="Arial" w:cs="Arial"/>
          <w:sz w:val="24"/>
          <w:szCs w:val="24"/>
          <w:lang w:val="en-US"/>
        </w:rPr>
        <w:t>said Nugent JA, was that disproportionate sentences were not to be imposed</w:t>
      </w:r>
      <w:r w:rsidR="00F64101" w:rsidRPr="00C50193">
        <w:rPr>
          <w:rFonts w:ascii="Arial" w:hAnsi="Arial" w:cs="Arial"/>
          <w:sz w:val="24"/>
          <w:szCs w:val="24"/>
          <w:lang w:val="en-US"/>
        </w:rPr>
        <w:t xml:space="preserve"> and that courts were not vehicles for injustice.</w:t>
      </w:r>
      <w:r w:rsidR="00F64101">
        <w:rPr>
          <w:rStyle w:val="FootnoteReference"/>
          <w:rFonts w:ascii="Arial" w:hAnsi="Arial" w:cs="Arial"/>
          <w:sz w:val="24"/>
          <w:szCs w:val="24"/>
          <w:lang w:val="en-US"/>
        </w:rPr>
        <w:footnoteReference w:id="18"/>
      </w:r>
      <w:r w:rsidR="00AD1EF2" w:rsidRPr="00C50193">
        <w:rPr>
          <w:rFonts w:ascii="Arial" w:hAnsi="Arial" w:cs="Arial"/>
          <w:sz w:val="24"/>
          <w:szCs w:val="24"/>
          <w:lang w:val="en-US"/>
        </w:rPr>
        <w:t xml:space="preserve"> </w:t>
      </w:r>
    </w:p>
    <w:p w14:paraId="47952019" w14:textId="77777777" w:rsidR="0038507E" w:rsidRDefault="0038507E" w:rsidP="00C40D44">
      <w:pPr>
        <w:spacing w:line="360" w:lineRule="auto"/>
        <w:jc w:val="both"/>
        <w:rPr>
          <w:rFonts w:ascii="Arial" w:hAnsi="Arial" w:cs="Arial"/>
          <w:sz w:val="24"/>
          <w:szCs w:val="24"/>
          <w:lang w:val="en-US"/>
        </w:rPr>
      </w:pPr>
    </w:p>
    <w:p w14:paraId="314F1D77" w14:textId="77777777" w:rsidR="00CE3EC9" w:rsidRPr="00CE3EC9" w:rsidRDefault="00CE3EC9" w:rsidP="00C40D44">
      <w:pPr>
        <w:spacing w:line="360" w:lineRule="auto"/>
        <w:jc w:val="both"/>
        <w:rPr>
          <w:rFonts w:ascii="Arial" w:hAnsi="Arial" w:cs="Arial"/>
          <w:b/>
          <w:bCs/>
          <w:sz w:val="24"/>
          <w:szCs w:val="24"/>
          <w:lang w:val="en-US"/>
        </w:rPr>
      </w:pPr>
      <w:r w:rsidRPr="00CE3EC9">
        <w:rPr>
          <w:rFonts w:ascii="Arial" w:hAnsi="Arial" w:cs="Arial"/>
          <w:b/>
          <w:bCs/>
          <w:sz w:val="24"/>
          <w:szCs w:val="24"/>
          <w:lang w:val="en-US"/>
        </w:rPr>
        <w:t>Sufficient information</w:t>
      </w:r>
    </w:p>
    <w:p w14:paraId="432A24E3" w14:textId="77777777" w:rsidR="00CE3EC9" w:rsidRDefault="00CE3EC9" w:rsidP="00C40D44">
      <w:pPr>
        <w:spacing w:line="360" w:lineRule="auto"/>
        <w:jc w:val="both"/>
        <w:rPr>
          <w:rFonts w:ascii="Arial" w:hAnsi="Arial" w:cs="Arial"/>
          <w:sz w:val="24"/>
          <w:szCs w:val="24"/>
          <w:lang w:val="en-US"/>
        </w:rPr>
      </w:pPr>
    </w:p>
    <w:p w14:paraId="42D5FD52" w14:textId="77777777" w:rsidR="001A02C4" w:rsidRPr="00C50193" w:rsidRDefault="00D8217F" w:rsidP="00C50193">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 xml:space="preserve">Dealing specifically </w:t>
      </w:r>
      <w:r w:rsidR="001A02C4" w:rsidRPr="00C50193">
        <w:rPr>
          <w:rFonts w:ascii="Arial" w:hAnsi="Arial" w:cs="Arial"/>
          <w:sz w:val="24"/>
          <w:szCs w:val="24"/>
          <w:lang w:val="en-US"/>
        </w:rPr>
        <w:t xml:space="preserve">with rape, the court in </w:t>
      </w:r>
      <w:r w:rsidR="001A02C4" w:rsidRPr="00C50193">
        <w:rPr>
          <w:rFonts w:ascii="Arial" w:hAnsi="Arial" w:cs="Arial"/>
          <w:i/>
          <w:iCs/>
          <w:sz w:val="24"/>
          <w:szCs w:val="24"/>
          <w:lang w:val="en-US"/>
        </w:rPr>
        <w:t>Vilakazi</w:t>
      </w:r>
      <w:r w:rsidR="001A02C4" w:rsidRPr="00C50193">
        <w:rPr>
          <w:rFonts w:ascii="Arial" w:hAnsi="Arial" w:cs="Arial"/>
          <w:sz w:val="24"/>
          <w:szCs w:val="24"/>
          <w:lang w:val="en-US"/>
        </w:rPr>
        <w:t xml:space="preserve"> held as follows:</w:t>
      </w:r>
    </w:p>
    <w:p w14:paraId="2663F900" w14:textId="77777777" w:rsidR="00440F7F" w:rsidRPr="000238CD" w:rsidRDefault="00440F7F" w:rsidP="00E2727B">
      <w:pPr>
        <w:spacing w:line="360" w:lineRule="auto"/>
        <w:ind w:left="720"/>
        <w:jc w:val="both"/>
        <w:rPr>
          <w:rFonts w:ascii="Arial" w:hAnsi="Arial" w:cs="Arial"/>
          <w:sz w:val="20"/>
          <w:szCs w:val="20"/>
          <w:lang w:val="en-US"/>
        </w:rPr>
      </w:pPr>
      <w:r w:rsidRPr="000238CD">
        <w:rPr>
          <w:rFonts w:ascii="Arial" w:hAnsi="Arial" w:cs="Arial"/>
          <w:sz w:val="20"/>
          <w:szCs w:val="20"/>
          <w:lang w:val="en-US"/>
        </w:rPr>
        <w:lastRenderedPageBreak/>
        <w:t>‘…The prosecution of rape presents</w:t>
      </w:r>
      <w:r w:rsidR="00194158" w:rsidRPr="000238CD">
        <w:rPr>
          <w:rFonts w:ascii="Arial" w:hAnsi="Arial" w:cs="Arial"/>
          <w:sz w:val="20"/>
          <w:szCs w:val="20"/>
          <w:lang w:val="en-US"/>
        </w:rPr>
        <w:t xml:space="preserve"> peculiar difficulties </w:t>
      </w:r>
      <w:r w:rsidR="00976BF2" w:rsidRPr="000238CD">
        <w:rPr>
          <w:rFonts w:ascii="Arial" w:hAnsi="Arial" w:cs="Arial"/>
          <w:sz w:val="20"/>
          <w:szCs w:val="20"/>
          <w:lang w:val="en-US"/>
        </w:rPr>
        <w:t>that always call for the greatest care to be taken, and even more so</w:t>
      </w:r>
      <w:r w:rsidR="00A27978" w:rsidRPr="000238CD">
        <w:rPr>
          <w:rFonts w:ascii="Arial" w:hAnsi="Arial" w:cs="Arial"/>
          <w:sz w:val="20"/>
          <w:szCs w:val="20"/>
          <w:lang w:val="en-US"/>
        </w:rPr>
        <w:t xml:space="preserve"> where the complainant is young. From prosecutors it calls for</w:t>
      </w:r>
      <w:r w:rsidR="00AD0099" w:rsidRPr="000238CD">
        <w:rPr>
          <w:rFonts w:ascii="Arial" w:hAnsi="Arial" w:cs="Arial"/>
          <w:sz w:val="20"/>
          <w:szCs w:val="20"/>
          <w:lang w:val="en-US"/>
        </w:rPr>
        <w:t xml:space="preserve"> thoughtful preparation, patient and sensitive presentation of all the available evidence</w:t>
      </w:r>
      <w:r w:rsidR="005C65EA" w:rsidRPr="000238CD">
        <w:rPr>
          <w:rFonts w:ascii="Arial" w:hAnsi="Arial" w:cs="Arial"/>
          <w:sz w:val="20"/>
          <w:szCs w:val="20"/>
          <w:lang w:val="en-US"/>
        </w:rPr>
        <w:t>, and meticulous attention to detail. From judicial officers who try such cases it calls for accurate</w:t>
      </w:r>
      <w:r w:rsidR="00C23076" w:rsidRPr="000238CD">
        <w:rPr>
          <w:rFonts w:ascii="Arial" w:hAnsi="Arial" w:cs="Arial"/>
          <w:sz w:val="20"/>
          <w:szCs w:val="20"/>
          <w:lang w:val="en-US"/>
        </w:rPr>
        <w:t xml:space="preserve"> understanding and careful analysis of all the evidence. For it is in the nature of </w:t>
      </w:r>
      <w:r w:rsidR="009B4FF6" w:rsidRPr="000238CD">
        <w:rPr>
          <w:rFonts w:ascii="Arial" w:hAnsi="Arial" w:cs="Arial"/>
          <w:sz w:val="20"/>
          <w:szCs w:val="20"/>
          <w:lang w:val="en-US"/>
        </w:rPr>
        <w:t>such cases that the available evidence is often scant</w:t>
      </w:r>
      <w:r w:rsidR="004411FE" w:rsidRPr="000238CD">
        <w:rPr>
          <w:rFonts w:ascii="Arial" w:hAnsi="Arial" w:cs="Arial"/>
          <w:sz w:val="20"/>
          <w:szCs w:val="20"/>
          <w:lang w:val="en-US"/>
        </w:rPr>
        <w:t xml:space="preserve"> and many prosecutions fail for that reason alone. In those circumstances each detail</w:t>
      </w:r>
      <w:r w:rsidR="00AD6416" w:rsidRPr="000238CD">
        <w:rPr>
          <w:rFonts w:ascii="Arial" w:hAnsi="Arial" w:cs="Arial"/>
          <w:sz w:val="20"/>
          <w:szCs w:val="20"/>
          <w:lang w:val="en-US"/>
        </w:rPr>
        <w:t xml:space="preserve"> can be vitally important. From those who are called upon to sentence</w:t>
      </w:r>
      <w:r w:rsidR="000B4247" w:rsidRPr="000238CD">
        <w:rPr>
          <w:rFonts w:ascii="Arial" w:hAnsi="Arial" w:cs="Arial"/>
          <w:sz w:val="20"/>
          <w:szCs w:val="20"/>
          <w:lang w:val="en-US"/>
        </w:rPr>
        <w:t xml:space="preserve"> convicted offenders such cases call for considerable reflection</w:t>
      </w:r>
      <w:r w:rsidR="007F01CE" w:rsidRPr="000238CD">
        <w:rPr>
          <w:rFonts w:ascii="Arial" w:hAnsi="Arial" w:cs="Arial"/>
          <w:sz w:val="20"/>
          <w:szCs w:val="20"/>
          <w:lang w:val="en-US"/>
        </w:rPr>
        <w:t>. Custodial sentences are not merely numbers. And familiarity with the sentence of life imprisonment must never blunt</w:t>
      </w:r>
      <w:r w:rsidR="002740AB" w:rsidRPr="000238CD">
        <w:rPr>
          <w:rFonts w:ascii="Arial" w:hAnsi="Arial" w:cs="Arial"/>
          <w:sz w:val="20"/>
          <w:szCs w:val="20"/>
          <w:lang w:val="en-US"/>
        </w:rPr>
        <w:t xml:space="preserve"> one to the fact that its consequences are profound.’</w:t>
      </w:r>
      <w:r w:rsidR="005645B3" w:rsidRPr="000238CD">
        <w:rPr>
          <w:rStyle w:val="FootnoteReference"/>
          <w:rFonts w:ascii="Arial" w:hAnsi="Arial" w:cs="Arial"/>
          <w:sz w:val="20"/>
          <w:szCs w:val="20"/>
          <w:lang w:val="en-US"/>
        </w:rPr>
        <w:footnoteReference w:id="19"/>
      </w:r>
    </w:p>
    <w:p w14:paraId="6454300B" w14:textId="77777777" w:rsidR="005F5ABD" w:rsidRDefault="005F5ABD" w:rsidP="005F5ABD">
      <w:pPr>
        <w:spacing w:line="360" w:lineRule="auto"/>
        <w:jc w:val="both"/>
        <w:rPr>
          <w:rFonts w:ascii="Arial" w:hAnsi="Arial" w:cs="Arial"/>
          <w:sz w:val="24"/>
          <w:szCs w:val="24"/>
          <w:lang w:val="en-US"/>
        </w:rPr>
      </w:pPr>
    </w:p>
    <w:p w14:paraId="0CC3F4EF" w14:textId="6E5B8E84" w:rsidR="005F5ABD" w:rsidRDefault="007823FA" w:rsidP="00C50193">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 xml:space="preserve">The </w:t>
      </w:r>
      <w:r w:rsidR="00473B0C" w:rsidRPr="00C50193">
        <w:rPr>
          <w:rFonts w:ascii="Arial" w:hAnsi="Arial" w:cs="Arial"/>
          <w:sz w:val="24"/>
          <w:szCs w:val="24"/>
          <w:lang w:val="en-US"/>
        </w:rPr>
        <w:t xml:space="preserve">availability of </w:t>
      </w:r>
      <w:r w:rsidR="009959E2" w:rsidRPr="00C50193">
        <w:rPr>
          <w:rFonts w:ascii="Arial" w:hAnsi="Arial" w:cs="Arial"/>
          <w:sz w:val="24"/>
          <w:szCs w:val="24"/>
          <w:lang w:val="en-US"/>
        </w:rPr>
        <w:t xml:space="preserve">evidence and the correct </w:t>
      </w:r>
      <w:r w:rsidR="00095BEA" w:rsidRPr="00C50193">
        <w:rPr>
          <w:rFonts w:ascii="Arial" w:hAnsi="Arial" w:cs="Arial"/>
          <w:sz w:val="24"/>
          <w:szCs w:val="24"/>
          <w:lang w:val="en-US"/>
        </w:rPr>
        <w:t xml:space="preserve">analysis and </w:t>
      </w:r>
      <w:r w:rsidR="009959E2" w:rsidRPr="00C50193">
        <w:rPr>
          <w:rFonts w:ascii="Arial" w:hAnsi="Arial" w:cs="Arial"/>
          <w:sz w:val="24"/>
          <w:szCs w:val="24"/>
          <w:lang w:val="en-US"/>
        </w:rPr>
        <w:t>understanding thereof remain j</w:t>
      </w:r>
      <w:r w:rsidR="00095BEA" w:rsidRPr="00C50193">
        <w:rPr>
          <w:rFonts w:ascii="Arial" w:hAnsi="Arial" w:cs="Arial"/>
          <w:sz w:val="24"/>
          <w:szCs w:val="24"/>
          <w:lang w:val="en-US"/>
        </w:rPr>
        <w:t xml:space="preserve">ust as important considerations during </w:t>
      </w:r>
      <w:r w:rsidR="001F36EC" w:rsidRPr="00C50193">
        <w:rPr>
          <w:rFonts w:ascii="Arial" w:hAnsi="Arial" w:cs="Arial"/>
          <w:sz w:val="24"/>
          <w:szCs w:val="24"/>
          <w:lang w:val="en-US"/>
        </w:rPr>
        <w:t xml:space="preserve">sentencing proceedings as the trial itself. </w:t>
      </w:r>
      <w:r w:rsidR="009518D1" w:rsidRPr="00C50193">
        <w:rPr>
          <w:rFonts w:ascii="Arial" w:hAnsi="Arial" w:cs="Arial"/>
          <w:sz w:val="24"/>
          <w:szCs w:val="24"/>
          <w:lang w:val="en-US"/>
        </w:rPr>
        <w:t xml:space="preserve">The </w:t>
      </w:r>
      <w:r w:rsidR="00A71E15" w:rsidRPr="00C50193">
        <w:rPr>
          <w:rFonts w:ascii="Arial" w:hAnsi="Arial" w:cs="Arial"/>
          <w:sz w:val="24"/>
          <w:szCs w:val="24"/>
          <w:lang w:val="en-US"/>
        </w:rPr>
        <w:t xml:space="preserve">exercise of </w:t>
      </w:r>
      <w:r w:rsidR="009518D1" w:rsidRPr="00C50193">
        <w:rPr>
          <w:rFonts w:ascii="Arial" w:hAnsi="Arial" w:cs="Arial"/>
          <w:sz w:val="24"/>
          <w:szCs w:val="24"/>
          <w:lang w:val="en-US"/>
        </w:rPr>
        <w:t>formulati</w:t>
      </w:r>
      <w:r w:rsidR="00A71E15" w:rsidRPr="00C50193">
        <w:rPr>
          <w:rFonts w:ascii="Arial" w:hAnsi="Arial" w:cs="Arial"/>
          <w:sz w:val="24"/>
          <w:szCs w:val="24"/>
          <w:lang w:val="en-US"/>
        </w:rPr>
        <w:t>ng</w:t>
      </w:r>
      <w:r w:rsidR="009518D1" w:rsidRPr="00C50193">
        <w:rPr>
          <w:rFonts w:ascii="Arial" w:hAnsi="Arial" w:cs="Arial"/>
          <w:sz w:val="24"/>
          <w:szCs w:val="24"/>
          <w:lang w:val="en-US"/>
        </w:rPr>
        <w:t xml:space="preserve"> and hand</w:t>
      </w:r>
      <w:r w:rsidR="00583D9F" w:rsidRPr="00C50193">
        <w:rPr>
          <w:rFonts w:ascii="Arial" w:hAnsi="Arial" w:cs="Arial"/>
          <w:sz w:val="24"/>
          <w:szCs w:val="24"/>
          <w:lang w:val="en-US"/>
        </w:rPr>
        <w:t xml:space="preserve">ing down sentence is not simply an afterthought, added </w:t>
      </w:r>
      <w:r w:rsidR="00250640" w:rsidRPr="00C50193">
        <w:rPr>
          <w:rFonts w:ascii="Arial" w:hAnsi="Arial" w:cs="Arial"/>
          <w:sz w:val="24"/>
          <w:szCs w:val="24"/>
          <w:lang w:val="en-US"/>
        </w:rPr>
        <w:t xml:space="preserve">at the very end of </w:t>
      </w:r>
      <w:r w:rsidR="00E2727B">
        <w:rPr>
          <w:rFonts w:ascii="Arial" w:hAnsi="Arial" w:cs="Arial"/>
          <w:sz w:val="24"/>
          <w:szCs w:val="24"/>
          <w:lang w:val="en-US"/>
        </w:rPr>
        <w:t>the</w:t>
      </w:r>
      <w:r w:rsidR="00D22A57" w:rsidRPr="00C50193">
        <w:rPr>
          <w:rFonts w:ascii="Arial" w:hAnsi="Arial" w:cs="Arial"/>
          <w:sz w:val="24"/>
          <w:szCs w:val="24"/>
          <w:lang w:val="en-US"/>
        </w:rPr>
        <w:t xml:space="preserve"> </w:t>
      </w:r>
      <w:r w:rsidR="00250640" w:rsidRPr="00C50193">
        <w:rPr>
          <w:rFonts w:ascii="Arial" w:hAnsi="Arial" w:cs="Arial"/>
          <w:sz w:val="24"/>
          <w:szCs w:val="24"/>
          <w:lang w:val="en-US"/>
        </w:rPr>
        <w:t xml:space="preserve">arduous </w:t>
      </w:r>
      <w:r w:rsidR="009D4999" w:rsidRPr="00C50193">
        <w:rPr>
          <w:rFonts w:ascii="Arial" w:hAnsi="Arial" w:cs="Arial"/>
          <w:sz w:val="24"/>
          <w:szCs w:val="24"/>
          <w:lang w:val="en-US"/>
        </w:rPr>
        <w:t xml:space="preserve">process of deciding whether the accused is guilty </w:t>
      </w:r>
      <w:r w:rsidR="004D7FD3" w:rsidRPr="00C50193">
        <w:rPr>
          <w:rFonts w:ascii="Arial" w:hAnsi="Arial" w:cs="Arial"/>
          <w:sz w:val="24"/>
          <w:szCs w:val="24"/>
          <w:lang w:val="en-US"/>
        </w:rPr>
        <w:t xml:space="preserve">or not. </w:t>
      </w:r>
      <w:r w:rsidR="00FD79C1" w:rsidRPr="00C50193">
        <w:rPr>
          <w:rFonts w:ascii="Arial" w:hAnsi="Arial" w:cs="Arial"/>
          <w:sz w:val="24"/>
          <w:szCs w:val="24"/>
          <w:lang w:val="en-US"/>
        </w:rPr>
        <w:t xml:space="preserve">A court </w:t>
      </w:r>
      <w:r w:rsidR="00461068" w:rsidRPr="00C50193">
        <w:rPr>
          <w:rFonts w:ascii="Arial" w:hAnsi="Arial" w:cs="Arial"/>
          <w:sz w:val="24"/>
          <w:szCs w:val="24"/>
          <w:lang w:val="en-US"/>
        </w:rPr>
        <w:t xml:space="preserve">has a compelling duty to ensure that the </w:t>
      </w:r>
      <w:r w:rsidR="003E488C" w:rsidRPr="00C50193">
        <w:rPr>
          <w:rFonts w:ascii="Arial" w:hAnsi="Arial" w:cs="Arial"/>
          <w:sz w:val="24"/>
          <w:szCs w:val="24"/>
          <w:lang w:val="en-US"/>
        </w:rPr>
        <w:t xml:space="preserve">punishment </w:t>
      </w:r>
      <w:r w:rsidR="00461068" w:rsidRPr="00C50193">
        <w:rPr>
          <w:rFonts w:ascii="Arial" w:hAnsi="Arial" w:cs="Arial"/>
          <w:sz w:val="24"/>
          <w:szCs w:val="24"/>
          <w:lang w:val="en-US"/>
        </w:rPr>
        <w:t xml:space="preserve">fits the </w:t>
      </w:r>
      <w:r w:rsidR="00AC383C" w:rsidRPr="00C50193">
        <w:rPr>
          <w:rFonts w:ascii="Arial" w:hAnsi="Arial" w:cs="Arial"/>
          <w:sz w:val="24"/>
          <w:szCs w:val="24"/>
          <w:lang w:val="en-US"/>
        </w:rPr>
        <w:t>crime</w:t>
      </w:r>
      <w:r w:rsidR="008D3069" w:rsidRPr="00C50193">
        <w:rPr>
          <w:rFonts w:ascii="Arial" w:hAnsi="Arial" w:cs="Arial"/>
          <w:sz w:val="24"/>
          <w:szCs w:val="24"/>
          <w:lang w:val="en-US"/>
        </w:rPr>
        <w:t xml:space="preserve"> (and, of course, the offender</w:t>
      </w:r>
      <w:r w:rsidR="00E5410F" w:rsidRPr="00C50193">
        <w:rPr>
          <w:rFonts w:ascii="Arial" w:hAnsi="Arial" w:cs="Arial"/>
          <w:sz w:val="24"/>
          <w:szCs w:val="24"/>
          <w:lang w:val="en-US"/>
        </w:rPr>
        <w:t>).</w:t>
      </w:r>
      <w:r w:rsidR="00631181" w:rsidRPr="00C50193">
        <w:rPr>
          <w:rFonts w:ascii="Arial" w:hAnsi="Arial" w:cs="Arial"/>
          <w:sz w:val="24"/>
          <w:szCs w:val="24"/>
          <w:lang w:val="en-US"/>
        </w:rPr>
        <w:t xml:space="preserve"> This relies, to a great extent, on the </w:t>
      </w:r>
      <w:r w:rsidR="006146C4" w:rsidRPr="00C50193">
        <w:rPr>
          <w:rFonts w:ascii="Arial" w:hAnsi="Arial" w:cs="Arial"/>
          <w:sz w:val="24"/>
          <w:szCs w:val="24"/>
          <w:lang w:val="en-US"/>
        </w:rPr>
        <w:t xml:space="preserve">quantity and </w:t>
      </w:r>
      <w:r w:rsidR="00631181" w:rsidRPr="00C50193">
        <w:rPr>
          <w:rFonts w:ascii="Arial" w:hAnsi="Arial" w:cs="Arial"/>
          <w:sz w:val="24"/>
          <w:szCs w:val="24"/>
          <w:lang w:val="en-US"/>
        </w:rPr>
        <w:t xml:space="preserve">quality </w:t>
      </w:r>
      <w:r w:rsidR="006146C4" w:rsidRPr="00C50193">
        <w:rPr>
          <w:rFonts w:ascii="Arial" w:hAnsi="Arial" w:cs="Arial"/>
          <w:sz w:val="24"/>
          <w:szCs w:val="24"/>
          <w:lang w:val="en-US"/>
        </w:rPr>
        <w:t xml:space="preserve">of the information </w:t>
      </w:r>
      <w:r w:rsidR="006D4B2D" w:rsidRPr="00C50193">
        <w:rPr>
          <w:rFonts w:ascii="Arial" w:hAnsi="Arial" w:cs="Arial"/>
          <w:sz w:val="24"/>
          <w:szCs w:val="24"/>
          <w:lang w:val="en-US"/>
        </w:rPr>
        <w:t>placed before the court.</w:t>
      </w:r>
    </w:p>
    <w:p w14:paraId="54982D9E" w14:textId="77777777" w:rsidR="00C50193" w:rsidRDefault="00C50193" w:rsidP="00C50193">
      <w:pPr>
        <w:pStyle w:val="ListParagraph"/>
        <w:spacing w:line="360" w:lineRule="auto"/>
        <w:ind w:left="0"/>
        <w:jc w:val="both"/>
        <w:rPr>
          <w:rFonts w:ascii="Arial" w:hAnsi="Arial" w:cs="Arial"/>
          <w:sz w:val="24"/>
          <w:szCs w:val="24"/>
          <w:lang w:val="en-US"/>
        </w:rPr>
      </w:pPr>
    </w:p>
    <w:p w14:paraId="6D1AFA76" w14:textId="77777777" w:rsidR="004C5C0A" w:rsidRPr="00C50193" w:rsidRDefault="004C5C0A" w:rsidP="005F5ABD">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 xml:space="preserve">In </w:t>
      </w:r>
      <w:r w:rsidRPr="00C50193">
        <w:rPr>
          <w:rFonts w:ascii="Arial" w:hAnsi="Arial" w:cs="Arial"/>
          <w:i/>
          <w:iCs/>
          <w:sz w:val="24"/>
          <w:szCs w:val="24"/>
          <w:lang w:val="en-US"/>
        </w:rPr>
        <w:t>Ndou v S</w:t>
      </w:r>
      <w:r w:rsidRPr="00C50193">
        <w:rPr>
          <w:rFonts w:ascii="Arial" w:hAnsi="Arial" w:cs="Arial"/>
          <w:sz w:val="24"/>
          <w:szCs w:val="24"/>
          <w:lang w:val="en-US"/>
        </w:rPr>
        <w:t>,</w:t>
      </w:r>
      <w:r>
        <w:rPr>
          <w:rStyle w:val="FootnoteReference"/>
          <w:rFonts w:ascii="Arial" w:hAnsi="Arial" w:cs="Arial"/>
          <w:sz w:val="24"/>
          <w:szCs w:val="24"/>
          <w:lang w:val="en-US"/>
        </w:rPr>
        <w:footnoteReference w:id="20"/>
      </w:r>
      <w:r w:rsidR="00B62362" w:rsidRPr="00C50193">
        <w:rPr>
          <w:rFonts w:ascii="Arial" w:hAnsi="Arial" w:cs="Arial"/>
          <w:sz w:val="24"/>
          <w:szCs w:val="24"/>
          <w:lang w:val="en-US"/>
        </w:rPr>
        <w:t xml:space="preserve"> Shongwe JA </w:t>
      </w:r>
      <w:r w:rsidR="00EF5152" w:rsidRPr="00C50193">
        <w:rPr>
          <w:rFonts w:ascii="Arial" w:hAnsi="Arial" w:cs="Arial"/>
          <w:sz w:val="24"/>
          <w:szCs w:val="24"/>
          <w:lang w:val="en-US"/>
        </w:rPr>
        <w:t>stated that</w:t>
      </w:r>
      <w:r w:rsidR="001C0EC6" w:rsidRPr="00C50193">
        <w:rPr>
          <w:rFonts w:ascii="Arial" w:hAnsi="Arial" w:cs="Arial"/>
          <w:sz w:val="24"/>
          <w:szCs w:val="24"/>
          <w:lang w:val="en-US"/>
        </w:rPr>
        <w:t>:</w:t>
      </w:r>
    </w:p>
    <w:p w14:paraId="3F076891" w14:textId="77777777" w:rsidR="001C0EC6" w:rsidRPr="00AD49A2" w:rsidRDefault="001C0EC6" w:rsidP="00E41CE5">
      <w:pPr>
        <w:spacing w:line="360" w:lineRule="auto"/>
        <w:ind w:left="720"/>
        <w:jc w:val="both"/>
        <w:rPr>
          <w:rFonts w:ascii="Arial" w:hAnsi="Arial" w:cs="Arial"/>
          <w:sz w:val="20"/>
          <w:szCs w:val="20"/>
          <w:lang w:val="en-US"/>
        </w:rPr>
      </w:pPr>
      <w:r w:rsidRPr="00AD49A2">
        <w:rPr>
          <w:rFonts w:ascii="Arial" w:hAnsi="Arial" w:cs="Arial"/>
          <w:sz w:val="20"/>
          <w:szCs w:val="20"/>
          <w:lang w:val="en-US"/>
        </w:rPr>
        <w:t>‘</w:t>
      </w:r>
      <w:r w:rsidR="00C2144E" w:rsidRPr="00AD49A2">
        <w:rPr>
          <w:rFonts w:ascii="Arial" w:hAnsi="Arial" w:cs="Arial"/>
          <w:sz w:val="20"/>
          <w:szCs w:val="20"/>
          <w:lang w:val="en-US"/>
        </w:rPr>
        <w:t>…Trial courts take months, and in some instances years, dealing with evidence and principles</w:t>
      </w:r>
      <w:r w:rsidR="00AF5B2C" w:rsidRPr="00AD49A2">
        <w:rPr>
          <w:rFonts w:ascii="Arial" w:hAnsi="Arial" w:cs="Arial"/>
          <w:sz w:val="20"/>
          <w:szCs w:val="20"/>
          <w:lang w:val="en-US"/>
        </w:rPr>
        <w:t xml:space="preserve"> of law to establish the guilt or innocence of an accused person.</w:t>
      </w:r>
      <w:r w:rsidR="00686196" w:rsidRPr="00AD49A2">
        <w:rPr>
          <w:rFonts w:ascii="Arial" w:hAnsi="Arial" w:cs="Arial"/>
          <w:sz w:val="20"/>
          <w:szCs w:val="20"/>
          <w:lang w:val="en-US"/>
        </w:rPr>
        <w:t xml:space="preserve"> However, my observation is that when it comes to the sentencing stage, that process usually happens</w:t>
      </w:r>
      <w:r w:rsidR="002202CD" w:rsidRPr="00AD49A2">
        <w:rPr>
          <w:rFonts w:ascii="Arial" w:hAnsi="Arial" w:cs="Arial"/>
          <w:sz w:val="20"/>
          <w:szCs w:val="20"/>
          <w:lang w:val="en-US"/>
        </w:rPr>
        <w:t xml:space="preserve"> very quickly and often immediately after conviction. Sentencing is the most difficult stage</w:t>
      </w:r>
      <w:r w:rsidR="00794A29" w:rsidRPr="00AD49A2">
        <w:rPr>
          <w:rFonts w:ascii="Arial" w:hAnsi="Arial" w:cs="Arial"/>
          <w:sz w:val="20"/>
          <w:szCs w:val="20"/>
          <w:lang w:val="en-US"/>
        </w:rPr>
        <w:t xml:space="preserve"> of a criminal trial, in my view. Courts should take care to elicit</w:t>
      </w:r>
      <w:r w:rsidR="001A35B5" w:rsidRPr="00AD49A2">
        <w:rPr>
          <w:rFonts w:ascii="Arial" w:hAnsi="Arial" w:cs="Arial"/>
          <w:sz w:val="20"/>
          <w:szCs w:val="20"/>
          <w:lang w:val="en-US"/>
        </w:rPr>
        <w:t xml:space="preserve"> the necessary information to put them in a position to exercise their sentencing discretion</w:t>
      </w:r>
      <w:r w:rsidR="001D31C9" w:rsidRPr="00AD49A2">
        <w:rPr>
          <w:rFonts w:ascii="Arial" w:hAnsi="Arial" w:cs="Arial"/>
          <w:sz w:val="20"/>
          <w:szCs w:val="20"/>
          <w:lang w:val="en-US"/>
        </w:rPr>
        <w:t xml:space="preserve"> properly. In rape cases, for instance, where a minor is a victim, </w:t>
      </w:r>
      <w:r w:rsidR="006A51B2" w:rsidRPr="00AD49A2">
        <w:rPr>
          <w:rFonts w:ascii="Arial" w:hAnsi="Arial" w:cs="Arial"/>
          <w:sz w:val="20"/>
          <w:szCs w:val="20"/>
          <w:lang w:val="en-US"/>
        </w:rPr>
        <w:t>more information on the mental effect of the rape on the victim should be required</w:t>
      </w:r>
      <w:r w:rsidR="00140578" w:rsidRPr="00AD49A2">
        <w:rPr>
          <w:rFonts w:ascii="Arial" w:hAnsi="Arial" w:cs="Arial"/>
          <w:sz w:val="20"/>
          <w:szCs w:val="20"/>
          <w:lang w:val="en-US"/>
        </w:rPr>
        <w:t>, perhaps in the form of calling for a report from a social worker. This is especially so in cases where</w:t>
      </w:r>
      <w:r w:rsidR="00587739" w:rsidRPr="00AD49A2">
        <w:rPr>
          <w:rFonts w:ascii="Arial" w:hAnsi="Arial" w:cs="Arial"/>
          <w:sz w:val="20"/>
          <w:szCs w:val="20"/>
          <w:lang w:val="en-US"/>
        </w:rPr>
        <w:t xml:space="preserve"> it is clear that life imprisonment is being considered to be an appropriate sentence</w:t>
      </w:r>
      <w:r w:rsidR="0091678C" w:rsidRPr="00AD49A2">
        <w:rPr>
          <w:rFonts w:ascii="Arial" w:hAnsi="Arial" w:cs="Arial"/>
          <w:sz w:val="20"/>
          <w:szCs w:val="20"/>
          <w:lang w:val="en-US"/>
        </w:rPr>
        <w:t xml:space="preserve">. Life imprisonment is the ultimate and most severe </w:t>
      </w:r>
      <w:r w:rsidR="0091678C" w:rsidRPr="00AD49A2">
        <w:rPr>
          <w:rFonts w:ascii="Arial" w:hAnsi="Arial" w:cs="Arial"/>
          <w:sz w:val="20"/>
          <w:szCs w:val="20"/>
          <w:lang w:val="en-US"/>
        </w:rPr>
        <w:lastRenderedPageBreak/>
        <w:t>sentence that our courts may impose</w:t>
      </w:r>
      <w:r w:rsidR="004F3E37" w:rsidRPr="00AD49A2">
        <w:rPr>
          <w:rFonts w:ascii="Arial" w:hAnsi="Arial" w:cs="Arial"/>
          <w:sz w:val="20"/>
          <w:szCs w:val="20"/>
          <w:lang w:val="en-US"/>
        </w:rPr>
        <w:t>; therefore a sentencing court should be seen to have sufficient information</w:t>
      </w:r>
      <w:r w:rsidR="0080355F" w:rsidRPr="00AD49A2">
        <w:rPr>
          <w:rFonts w:ascii="Arial" w:hAnsi="Arial" w:cs="Arial"/>
          <w:sz w:val="20"/>
          <w:szCs w:val="20"/>
          <w:lang w:val="en-US"/>
        </w:rPr>
        <w:t xml:space="preserve"> before it to justify that sentence…’</w:t>
      </w:r>
      <w:r w:rsidR="0080355F" w:rsidRPr="00AD49A2">
        <w:rPr>
          <w:rStyle w:val="FootnoteReference"/>
          <w:rFonts w:ascii="Arial" w:hAnsi="Arial" w:cs="Arial"/>
          <w:sz w:val="20"/>
          <w:szCs w:val="20"/>
          <w:lang w:val="en-US"/>
        </w:rPr>
        <w:footnoteReference w:id="21"/>
      </w:r>
    </w:p>
    <w:p w14:paraId="1A436B81" w14:textId="77777777" w:rsidR="00EF0D9E" w:rsidRDefault="00EF0D9E" w:rsidP="00EF0D9E">
      <w:pPr>
        <w:spacing w:line="360" w:lineRule="auto"/>
        <w:jc w:val="both"/>
        <w:rPr>
          <w:rFonts w:ascii="Arial" w:hAnsi="Arial" w:cs="Arial"/>
          <w:sz w:val="24"/>
          <w:szCs w:val="24"/>
          <w:lang w:val="en-US"/>
        </w:rPr>
      </w:pPr>
    </w:p>
    <w:p w14:paraId="277FEBC3" w14:textId="77777777" w:rsidR="00EF0D9E" w:rsidRPr="00C50193" w:rsidRDefault="00EF0D9E" w:rsidP="00C50193">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 xml:space="preserve">It is of no assistance to the </w:t>
      </w:r>
      <w:r w:rsidR="00F97EF0" w:rsidRPr="00C50193">
        <w:rPr>
          <w:rFonts w:ascii="Arial" w:hAnsi="Arial" w:cs="Arial"/>
          <w:sz w:val="24"/>
          <w:szCs w:val="24"/>
          <w:lang w:val="en-US"/>
        </w:rPr>
        <w:t>accused</w:t>
      </w:r>
      <w:r w:rsidR="009D65DA" w:rsidRPr="00C50193">
        <w:rPr>
          <w:rFonts w:ascii="Arial" w:hAnsi="Arial" w:cs="Arial"/>
          <w:sz w:val="24"/>
          <w:szCs w:val="24"/>
          <w:lang w:val="en-US"/>
        </w:rPr>
        <w:t xml:space="preserve">, </w:t>
      </w:r>
      <w:r w:rsidRPr="00C50193">
        <w:rPr>
          <w:rFonts w:ascii="Arial" w:hAnsi="Arial" w:cs="Arial"/>
          <w:sz w:val="24"/>
          <w:szCs w:val="24"/>
          <w:lang w:val="en-US"/>
        </w:rPr>
        <w:t>the court</w:t>
      </w:r>
      <w:r w:rsidR="009D65DA" w:rsidRPr="00C50193">
        <w:rPr>
          <w:rFonts w:ascii="Arial" w:hAnsi="Arial" w:cs="Arial"/>
          <w:sz w:val="24"/>
          <w:szCs w:val="24"/>
          <w:lang w:val="en-US"/>
        </w:rPr>
        <w:t xml:space="preserve">, or the </w:t>
      </w:r>
      <w:r w:rsidR="00C62024" w:rsidRPr="00C50193">
        <w:rPr>
          <w:rFonts w:ascii="Arial" w:hAnsi="Arial" w:cs="Arial"/>
          <w:sz w:val="24"/>
          <w:szCs w:val="24"/>
          <w:lang w:val="en-US"/>
        </w:rPr>
        <w:t xml:space="preserve">administration of justice, for </w:t>
      </w:r>
      <w:r w:rsidR="002006B0" w:rsidRPr="00C50193">
        <w:rPr>
          <w:rFonts w:ascii="Arial" w:hAnsi="Arial" w:cs="Arial"/>
          <w:sz w:val="24"/>
          <w:szCs w:val="24"/>
          <w:lang w:val="en-US"/>
        </w:rPr>
        <w:t xml:space="preserve">practitioners to place </w:t>
      </w:r>
      <w:r w:rsidR="002B701A" w:rsidRPr="00C50193">
        <w:rPr>
          <w:rFonts w:ascii="Arial" w:hAnsi="Arial" w:cs="Arial"/>
          <w:sz w:val="24"/>
          <w:szCs w:val="24"/>
          <w:lang w:val="en-US"/>
        </w:rPr>
        <w:t xml:space="preserve">a </w:t>
      </w:r>
      <w:r w:rsidR="00F92EF7" w:rsidRPr="00C50193">
        <w:rPr>
          <w:rFonts w:ascii="Arial" w:hAnsi="Arial" w:cs="Arial"/>
          <w:sz w:val="24"/>
          <w:szCs w:val="24"/>
          <w:lang w:val="en-US"/>
        </w:rPr>
        <w:t xml:space="preserve">bare </w:t>
      </w:r>
      <w:r w:rsidR="002B701A" w:rsidRPr="00C50193">
        <w:rPr>
          <w:rFonts w:ascii="Arial" w:hAnsi="Arial" w:cs="Arial"/>
          <w:sz w:val="24"/>
          <w:szCs w:val="24"/>
          <w:lang w:val="en-US"/>
        </w:rPr>
        <w:t>minim</w:t>
      </w:r>
      <w:r w:rsidR="00F92EF7" w:rsidRPr="00C50193">
        <w:rPr>
          <w:rFonts w:ascii="Arial" w:hAnsi="Arial" w:cs="Arial"/>
          <w:sz w:val="24"/>
          <w:szCs w:val="24"/>
          <w:lang w:val="en-US"/>
        </w:rPr>
        <w:t>um</w:t>
      </w:r>
      <w:r w:rsidR="002B701A" w:rsidRPr="00C50193">
        <w:rPr>
          <w:rFonts w:ascii="Arial" w:hAnsi="Arial" w:cs="Arial"/>
          <w:sz w:val="24"/>
          <w:szCs w:val="24"/>
          <w:lang w:val="en-US"/>
        </w:rPr>
        <w:t xml:space="preserve"> of </w:t>
      </w:r>
      <w:r w:rsidR="00F165A3" w:rsidRPr="00C50193">
        <w:rPr>
          <w:rFonts w:ascii="Arial" w:hAnsi="Arial" w:cs="Arial"/>
          <w:sz w:val="24"/>
          <w:szCs w:val="24"/>
          <w:lang w:val="en-US"/>
        </w:rPr>
        <w:t xml:space="preserve">information at the disposal of the presiding officer. </w:t>
      </w:r>
      <w:r w:rsidR="00952FCC" w:rsidRPr="00C50193">
        <w:rPr>
          <w:rFonts w:ascii="Arial" w:hAnsi="Arial" w:cs="Arial"/>
          <w:sz w:val="24"/>
          <w:szCs w:val="24"/>
          <w:lang w:val="en-US"/>
        </w:rPr>
        <w:t>There is a time and a place for s</w:t>
      </w:r>
      <w:r w:rsidR="00F92EF7" w:rsidRPr="00C50193">
        <w:rPr>
          <w:rFonts w:ascii="Arial" w:hAnsi="Arial" w:cs="Arial"/>
          <w:sz w:val="24"/>
          <w:szCs w:val="24"/>
          <w:lang w:val="en-US"/>
        </w:rPr>
        <w:t xml:space="preserve">ubmissions </w:t>
      </w:r>
      <w:r w:rsidR="00952FCC" w:rsidRPr="00C50193">
        <w:rPr>
          <w:rFonts w:ascii="Arial" w:hAnsi="Arial" w:cs="Arial"/>
          <w:sz w:val="24"/>
          <w:szCs w:val="24"/>
          <w:lang w:val="en-US"/>
        </w:rPr>
        <w:t xml:space="preserve">made </w:t>
      </w:r>
      <w:r w:rsidR="00F92EF7" w:rsidRPr="00C50193">
        <w:rPr>
          <w:rFonts w:ascii="Arial" w:hAnsi="Arial" w:cs="Arial"/>
          <w:sz w:val="24"/>
          <w:szCs w:val="24"/>
          <w:lang w:val="en-US"/>
        </w:rPr>
        <w:t>from the bar</w:t>
      </w:r>
      <w:r w:rsidR="00952FCC" w:rsidRPr="00C50193">
        <w:rPr>
          <w:rFonts w:ascii="Arial" w:hAnsi="Arial" w:cs="Arial"/>
          <w:sz w:val="24"/>
          <w:szCs w:val="24"/>
          <w:lang w:val="en-US"/>
        </w:rPr>
        <w:t xml:space="preserve">, </w:t>
      </w:r>
      <w:r w:rsidR="00087BD0" w:rsidRPr="00C50193">
        <w:rPr>
          <w:rFonts w:ascii="Arial" w:hAnsi="Arial" w:cs="Arial"/>
          <w:sz w:val="24"/>
          <w:szCs w:val="24"/>
          <w:lang w:val="en-US"/>
        </w:rPr>
        <w:t xml:space="preserve">but more is expected when </w:t>
      </w:r>
      <w:r w:rsidR="004A4611" w:rsidRPr="00C50193">
        <w:rPr>
          <w:rFonts w:ascii="Arial" w:hAnsi="Arial" w:cs="Arial"/>
          <w:sz w:val="24"/>
          <w:szCs w:val="24"/>
          <w:lang w:val="en-US"/>
        </w:rPr>
        <w:t xml:space="preserve">what is at stake is </w:t>
      </w:r>
      <w:r w:rsidR="0002339F" w:rsidRPr="00C50193">
        <w:rPr>
          <w:rFonts w:ascii="Arial" w:hAnsi="Arial" w:cs="Arial"/>
          <w:sz w:val="24"/>
          <w:szCs w:val="24"/>
          <w:lang w:val="en-US"/>
        </w:rPr>
        <w:t>a lifetime of incarceration</w:t>
      </w:r>
      <w:r w:rsidR="00AC67D5" w:rsidRPr="00C50193">
        <w:rPr>
          <w:rFonts w:ascii="Arial" w:hAnsi="Arial" w:cs="Arial"/>
          <w:sz w:val="24"/>
          <w:szCs w:val="24"/>
          <w:lang w:val="en-US"/>
        </w:rPr>
        <w:t>.</w:t>
      </w:r>
    </w:p>
    <w:p w14:paraId="71845EA5" w14:textId="77777777" w:rsidR="00270614" w:rsidRDefault="00270614" w:rsidP="00EF0D9E">
      <w:pPr>
        <w:spacing w:line="360" w:lineRule="auto"/>
        <w:jc w:val="both"/>
        <w:rPr>
          <w:rFonts w:ascii="Arial" w:hAnsi="Arial" w:cs="Arial"/>
          <w:sz w:val="24"/>
          <w:szCs w:val="24"/>
          <w:lang w:val="en-US"/>
        </w:rPr>
      </w:pPr>
    </w:p>
    <w:p w14:paraId="7E2FD2BA" w14:textId="77777777" w:rsidR="00270614" w:rsidRPr="00270614" w:rsidRDefault="00270614" w:rsidP="00EF0D9E">
      <w:pPr>
        <w:spacing w:line="360" w:lineRule="auto"/>
        <w:jc w:val="both"/>
        <w:rPr>
          <w:rFonts w:ascii="Arial" w:hAnsi="Arial" w:cs="Arial"/>
          <w:b/>
          <w:bCs/>
          <w:sz w:val="24"/>
          <w:szCs w:val="24"/>
          <w:lang w:val="en-US"/>
        </w:rPr>
      </w:pPr>
      <w:r w:rsidRPr="00270614">
        <w:rPr>
          <w:rFonts w:ascii="Arial" w:hAnsi="Arial" w:cs="Arial"/>
          <w:b/>
          <w:bCs/>
          <w:sz w:val="24"/>
          <w:szCs w:val="24"/>
          <w:lang w:val="en-US"/>
        </w:rPr>
        <w:t>Discussion</w:t>
      </w:r>
    </w:p>
    <w:p w14:paraId="0BB43444" w14:textId="77777777" w:rsidR="00270614" w:rsidRDefault="00270614" w:rsidP="00EF0D9E">
      <w:pPr>
        <w:spacing w:line="360" w:lineRule="auto"/>
        <w:jc w:val="both"/>
        <w:rPr>
          <w:rFonts w:ascii="Arial" w:hAnsi="Arial" w:cs="Arial"/>
          <w:sz w:val="24"/>
          <w:szCs w:val="24"/>
          <w:lang w:val="en-US"/>
        </w:rPr>
      </w:pPr>
    </w:p>
    <w:p w14:paraId="1B45D093" w14:textId="77777777" w:rsidR="00C50193" w:rsidRDefault="00AD49A2" w:rsidP="00EF0D9E">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 xml:space="preserve">In the present matter, the </w:t>
      </w:r>
      <w:r w:rsidR="00941EC9" w:rsidRPr="00C50193">
        <w:rPr>
          <w:rFonts w:ascii="Arial" w:hAnsi="Arial" w:cs="Arial"/>
          <w:sz w:val="24"/>
          <w:szCs w:val="24"/>
          <w:lang w:val="en-US"/>
        </w:rPr>
        <w:t xml:space="preserve">submissions made in mitigation </w:t>
      </w:r>
      <w:r w:rsidR="00C35EB4" w:rsidRPr="00C50193">
        <w:rPr>
          <w:rFonts w:ascii="Arial" w:hAnsi="Arial" w:cs="Arial"/>
          <w:sz w:val="24"/>
          <w:szCs w:val="24"/>
          <w:lang w:val="en-US"/>
        </w:rPr>
        <w:t>occupied no more than 16 lines of the record</w:t>
      </w:r>
      <w:r w:rsidR="00DD329E" w:rsidRPr="00C50193">
        <w:rPr>
          <w:rFonts w:ascii="Arial" w:hAnsi="Arial" w:cs="Arial"/>
          <w:sz w:val="24"/>
          <w:szCs w:val="24"/>
          <w:lang w:val="en-US"/>
        </w:rPr>
        <w:t xml:space="preserve">. Much of that was qualified by the transcriber’s comment that the submissions were inaudible. </w:t>
      </w:r>
      <w:r w:rsidR="00A824C1" w:rsidRPr="00C50193">
        <w:rPr>
          <w:rFonts w:ascii="Arial" w:hAnsi="Arial" w:cs="Arial"/>
          <w:sz w:val="24"/>
          <w:szCs w:val="24"/>
          <w:lang w:val="en-US"/>
        </w:rPr>
        <w:t xml:space="preserve">In aggravation, the record reflects </w:t>
      </w:r>
      <w:r w:rsidR="00F4323D" w:rsidRPr="00C50193">
        <w:rPr>
          <w:rFonts w:ascii="Arial" w:hAnsi="Arial" w:cs="Arial"/>
          <w:sz w:val="24"/>
          <w:szCs w:val="24"/>
          <w:lang w:val="en-US"/>
        </w:rPr>
        <w:t xml:space="preserve">a total of 12 lines of argument. </w:t>
      </w:r>
      <w:r w:rsidR="004029F4" w:rsidRPr="00C50193">
        <w:rPr>
          <w:rFonts w:ascii="Arial" w:hAnsi="Arial" w:cs="Arial"/>
          <w:sz w:val="24"/>
          <w:szCs w:val="24"/>
          <w:lang w:val="en-US"/>
        </w:rPr>
        <w:t>There was no victim impact assessment, there was no pre-sentencing report</w:t>
      </w:r>
      <w:r w:rsidR="0045685B" w:rsidRPr="00C50193">
        <w:rPr>
          <w:rFonts w:ascii="Arial" w:hAnsi="Arial" w:cs="Arial"/>
          <w:sz w:val="24"/>
          <w:szCs w:val="24"/>
          <w:lang w:val="en-US"/>
        </w:rPr>
        <w:t xml:space="preserve">. </w:t>
      </w:r>
      <w:r w:rsidR="000101B2" w:rsidRPr="00C50193">
        <w:rPr>
          <w:rFonts w:ascii="Arial" w:hAnsi="Arial" w:cs="Arial"/>
          <w:sz w:val="24"/>
          <w:szCs w:val="24"/>
          <w:lang w:val="en-US"/>
        </w:rPr>
        <w:t xml:space="preserve">To be frank, there was simply no information at all that permitted the court </w:t>
      </w:r>
      <w:r w:rsidR="000101B2" w:rsidRPr="00C50193">
        <w:rPr>
          <w:rFonts w:ascii="Arial" w:hAnsi="Arial" w:cs="Arial"/>
          <w:i/>
          <w:iCs/>
          <w:sz w:val="24"/>
          <w:szCs w:val="24"/>
          <w:lang w:val="en-US"/>
        </w:rPr>
        <w:t>a quo</w:t>
      </w:r>
      <w:r w:rsidR="000101B2" w:rsidRPr="00C50193">
        <w:rPr>
          <w:rFonts w:ascii="Arial" w:hAnsi="Arial" w:cs="Arial"/>
          <w:sz w:val="24"/>
          <w:szCs w:val="24"/>
          <w:lang w:val="en-US"/>
        </w:rPr>
        <w:t xml:space="preserve"> </w:t>
      </w:r>
      <w:r w:rsidR="0045685B" w:rsidRPr="00C50193">
        <w:rPr>
          <w:rFonts w:ascii="Arial" w:hAnsi="Arial" w:cs="Arial"/>
          <w:sz w:val="24"/>
          <w:szCs w:val="24"/>
          <w:lang w:val="en-US"/>
        </w:rPr>
        <w:t>t</w:t>
      </w:r>
      <w:r w:rsidR="005C7481" w:rsidRPr="00C50193">
        <w:rPr>
          <w:rFonts w:ascii="Arial" w:hAnsi="Arial" w:cs="Arial"/>
          <w:sz w:val="24"/>
          <w:szCs w:val="24"/>
          <w:lang w:val="en-US"/>
        </w:rPr>
        <w:t xml:space="preserve">he </w:t>
      </w:r>
      <w:r w:rsidR="009E5F41" w:rsidRPr="00C50193">
        <w:rPr>
          <w:rFonts w:ascii="Arial" w:hAnsi="Arial" w:cs="Arial"/>
          <w:sz w:val="24"/>
          <w:szCs w:val="24"/>
          <w:lang w:val="en-US"/>
        </w:rPr>
        <w:t>reflection necessary to ensure that the prescribed minimum sentence of life imprisonment was indeed proportional to the offence in question.</w:t>
      </w:r>
    </w:p>
    <w:p w14:paraId="605F4FE6" w14:textId="77777777" w:rsidR="00C50193" w:rsidRDefault="00C50193" w:rsidP="00C50193">
      <w:pPr>
        <w:pStyle w:val="ListParagraph"/>
        <w:spacing w:line="360" w:lineRule="auto"/>
        <w:ind w:left="0"/>
        <w:jc w:val="both"/>
        <w:rPr>
          <w:rFonts w:ascii="Arial" w:hAnsi="Arial" w:cs="Arial"/>
          <w:sz w:val="24"/>
          <w:szCs w:val="24"/>
          <w:lang w:val="en-US"/>
        </w:rPr>
      </w:pPr>
    </w:p>
    <w:p w14:paraId="438902BF" w14:textId="77777777" w:rsidR="00C50193" w:rsidRDefault="00556148" w:rsidP="00EF0D9E">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I</w:t>
      </w:r>
      <w:r w:rsidR="00047CDC" w:rsidRPr="00C50193">
        <w:rPr>
          <w:rFonts w:ascii="Arial" w:hAnsi="Arial" w:cs="Arial"/>
          <w:sz w:val="24"/>
          <w:szCs w:val="24"/>
          <w:lang w:val="en-US"/>
        </w:rPr>
        <w:t xml:space="preserve">t cannot be </w:t>
      </w:r>
      <w:r w:rsidR="00F12947" w:rsidRPr="00C50193">
        <w:rPr>
          <w:rFonts w:ascii="Arial" w:hAnsi="Arial" w:cs="Arial"/>
          <w:sz w:val="24"/>
          <w:szCs w:val="24"/>
          <w:lang w:val="en-US"/>
        </w:rPr>
        <w:t>disputed that</w:t>
      </w:r>
      <w:r w:rsidR="00455A93" w:rsidRPr="00C50193">
        <w:rPr>
          <w:rFonts w:ascii="Arial" w:hAnsi="Arial" w:cs="Arial"/>
          <w:sz w:val="24"/>
          <w:szCs w:val="24"/>
          <w:lang w:val="en-US"/>
        </w:rPr>
        <w:t xml:space="preserve">, </w:t>
      </w:r>
      <w:r w:rsidR="00A32360" w:rsidRPr="00C50193">
        <w:rPr>
          <w:rFonts w:ascii="Arial" w:hAnsi="Arial" w:cs="Arial"/>
          <w:sz w:val="24"/>
          <w:szCs w:val="24"/>
          <w:lang w:val="en-US"/>
        </w:rPr>
        <w:t xml:space="preserve">notwithstanding the </w:t>
      </w:r>
      <w:r w:rsidR="00E762ED" w:rsidRPr="00C50193">
        <w:rPr>
          <w:rFonts w:ascii="Arial" w:hAnsi="Arial" w:cs="Arial"/>
          <w:sz w:val="24"/>
          <w:szCs w:val="24"/>
          <w:lang w:val="en-US"/>
        </w:rPr>
        <w:t xml:space="preserve">possibility that </w:t>
      </w:r>
      <w:r w:rsidR="00455A93" w:rsidRPr="00C50193">
        <w:rPr>
          <w:rFonts w:ascii="Arial" w:hAnsi="Arial" w:cs="Arial"/>
          <w:sz w:val="24"/>
          <w:szCs w:val="24"/>
          <w:lang w:val="en-US"/>
        </w:rPr>
        <w:t xml:space="preserve">sufficient information </w:t>
      </w:r>
      <w:r w:rsidR="00E762ED" w:rsidRPr="00C50193">
        <w:rPr>
          <w:rFonts w:ascii="Arial" w:hAnsi="Arial" w:cs="Arial"/>
          <w:sz w:val="24"/>
          <w:szCs w:val="24"/>
          <w:lang w:val="en-US"/>
        </w:rPr>
        <w:t xml:space="preserve">could </w:t>
      </w:r>
      <w:r w:rsidR="000A4783" w:rsidRPr="00C50193">
        <w:rPr>
          <w:rFonts w:ascii="Arial" w:hAnsi="Arial" w:cs="Arial"/>
          <w:sz w:val="24"/>
          <w:szCs w:val="24"/>
          <w:lang w:val="en-US"/>
        </w:rPr>
        <w:t>hav</w:t>
      </w:r>
      <w:r w:rsidR="00E762ED" w:rsidRPr="00C50193">
        <w:rPr>
          <w:rFonts w:ascii="Arial" w:hAnsi="Arial" w:cs="Arial"/>
          <w:sz w:val="24"/>
          <w:szCs w:val="24"/>
          <w:lang w:val="en-US"/>
        </w:rPr>
        <w:t>e</w:t>
      </w:r>
      <w:r w:rsidR="000A4783" w:rsidRPr="00C50193">
        <w:rPr>
          <w:rFonts w:ascii="Arial" w:hAnsi="Arial" w:cs="Arial"/>
          <w:sz w:val="24"/>
          <w:szCs w:val="24"/>
          <w:lang w:val="en-US"/>
        </w:rPr>
        <w:t xml:space="preserve"> been </w:t>
      </w:r>
      <w:r w:rsidR="00455A93" w:rsidRPr="00C50193">
        <w:rPr>
          <w:rFonts w:ascii="Arial" w:hAnsi="Arial" w:cs="Arial"/>
          <w:sz w:val="24"/>
          <w:szCs w:val="24"/>
          <w:lang w:val="en-US"/>
        </w:rPr>
        <w:t>made available to the court</w:t>
      </w:r>
      <w:r w:rsidR="004E6C84" w:rsidRPr="00C50193">
        <w:rPr>
          <w:rFonts w:ascii="Arial" w:hAnsi="Arial" w:cs="Arial"/>
          <w:sz w:val="24"/>
          <w:szCs w:val="24"/>
          <w:lang w:val="en-US"/>
        </w:rPr>
        <w:t xml:space="preserve"> </w:t>
      </w:r>
      <w:r w:rsidR="004E6C84" w:rsidRPr="00C50193">
        <w:rPr>
          <w:rFonts w:ascii="Arial" w:hAnsi="Arial" w:cs="Arial"/>
          <w:i/>
          <w:iCs/>
          <w:sz w:val="24"/>
          <w:szCs w:val="24"/>
          <w:lang w:val="en-US"/>
        </w:rPr>
        <w:t>a quo</w:t>
      </w:r>
      <w:r w:rsidR="00455A93" w:rsidRPr="00C50193">
        <w:rPr>
          <w:rFonts w:ascii="Arial" w:hAnsi="Arial" w:cs="Arial"/>
          <w:sz w:val="24"/>
          <w:szCs w:val="24"/>
          <w:lang w:val="en-US"/>
        </w:rPr>
        <w:t xml:space="preserve">, </w:t>
      </w:r>
      <w:r w:rsidR="006678AD" w:rsidRPr="00C50193">
        <w:rPr>
          <w:rFonts w:ascii="Arial" w:hAnsi="Arial" w:cs="Arial"/>
          <w:sz w:val="24"/>
          <w:szCs w:val="24"/>
          <w:lang w:val="en-US"/>
        </w:rPr>
        <w:t xml:space="preserve">it </w:t>
      </w:r>
      <w:r w:rsidR="00B95FBF" w:rsidRPr="00C50193">
        <w:rPr>
          <w:rFonts w:ascii="Arial" w:hAnsi="Arial" w:cs="Arial"/>
          <w:sz w:val="24"/>
          <w:szCs w:val="24"/>
          <w:lang w:val="en-US"/>
        </w:rPr>
        <w:t xml:space="preserve">might </w:t>
      </w:r>
      <w:r w:rsidR="000A4783" w:rsidRPr="00C50193">
        <w:rPr>
          <w:rFonts w:ascii="Arial" w:hAnsi="Arial" w:cs="Arial"/>
          <w:sz w:val="24"/>
          <w:szCs w:val="24"/>
          <w:lang w:val="en-US"/>
        </w:rPr>
        <w:t>well</w:t>
      </w:r>
      <w:r w:rsidR="006678AD" w:rsidRPr="00C50193">
        <w:rPr>
          <w:rFonts w:ascii="Arial" w:hAnsi="Arial" w:cs="Arial"/>
          <w:sz w:val="24"/>
          <w:szCs w:val="24"/>
          <w:lang w:val="en-US"/>
        </w:rPr>
        <w:t xml:space="preserve"> </w:t>
      </w:r>
      <w:r w:rsidR="00DD749B" w:rsidRPr="00C50193">
        <w:rPr>
          <w:rFonts w:ascii="Arial" w:hAnsi="Arial" w:cs="Arial"/>
          <w:sz w:val="24"/>
          <w:szCs w:val="24"/>
          <w:lang w:val="en-US"/>
        </w:rPr>
        <w:t xml:space="preserve">have </w:t>
      </w:r>
      <w:r w:rsidR="00067FC7" w:rsidRPr="00C50193">
        <w:rPr>
          <w:rFonts w:ascii="Arial" w:hAnsi="Arial" w:cs="Arial"/>
          <w:sz w:val="24"/>
          <w:szCs w:val="24"/>
          <w:lang w:val="en-US"/>
        </w:rPr>
        <w:t xml:space="preserve">concluded, nonetheless, that there were simply no </w:t>
      </w:r>
      <w:r w:rsidR="006678AD" w:rsidRPr="00C50193">
        <w:rPr>
          <w:rFonts w:ascii="Arial" w:hAnsi="Arial" w:cs="Arial"/>
          <w:sz w:val="24"/>
          <w:szCs w:val="24"/>
          <w:lang w:val="en-US"/>
        </w:rPr>
        <w:t xml:space="preserve">substantial and compelling circumstances to </w:t>
      </w:r>
      <w:r w:rsidR="004D7746" w:rsidRPr="00C50193">
        <w:rPr>
          <w:rFonts w:ascii="Arial" w:hAnsi="Arial" w:cs="Arial"/>
          <w:sz w:val="24"/>
          <w:szCs w:val="24"/>
          <w:lang w:val="en-US"/>
        </w:rPr>
        <w:t xml:space="preserve">have </w:t>
      </w:r>
      <w:r w:rsidR="006678AD" w:rsidRPr="00C50193">
        <w:rPr>
          <w:rFonts w:ascii="Arial" w:hAnsi="Arial" w:cs="Arial"/>
          <w:sz w:val="24"/>
          <w:szCs w:val="24"/>
          <w:lang w:val="en-US"/>
        </w:rPr>
        <w:t>justif</w:t>
      </w:r>
      <w:r w:rsidR="004D7746" w:rsidRPr="00C50193">
        <w:rPr>
          <w:rFonts w:ascii="Arial" w:hAnsi="Arial" w:cs="Arial"/>
          <w:sz w:val="24"/>
          <w:szCs w:val="24"/>
          <w:lang w:val="en-US"/>
        </w:rPr>
        <w:t>ied</w:t>
      </w:r>
      <w:r w:rsidR="006678AD" w:rsidRPr="00C50193">
        <w:rPr>
          <w:rFonts w:ascii="Arial" w:hAnsi="Arial" w:cs="Arial"/>
          <w:sz w:val="24"/>
          <w:szCs w:val="24"/>
          <w:lang w:val="en-US"/>
        </w:rPr>
        <w:t xml:space="preserve"> the imposition of a lesser sentence</w:t>
      </w:r>
      <w:r w:rsidR="00E506BF" w:rsidRPr="00C50193">
        <w:rPr>
          <w:rFonts w:ascii="Arial" w:hAnsi="Arial" w:cs="Arial"/>
          <w:sz w:val="24"/>
          <w:szCs w:val="24"/>
          <w:lang w:val="en-US"/>
        </w:rPr>
        <w:t xml:space="preserve">. This is clearly apparent from a consideration of recent case law that </w:t>
      </w:r>
      <w:r w:rsidR="00B95FBF" w:rsidRPr="00C50193">
        <w:rPr>
          <w:rFonts w:ascii="Arial" w:hAnsi="Arial" w:cs="Arial"/>
          <w:sz w:val="24"/>
          <w:szCs w:val="24"/>
          <w:lang w:val="en-US"/>
        </w:rPr>
        <w:t xml:space="preserve">deals with </w:t>
      </w:r>
      <w:r w:rsidR="00E81E19" w:rsidRPr="00C50193">
        <w:rPr>
          <w:rFonts w:ascii="Arial" w:hAnsi="Arial" w:cs="Arial"/>
          <w:sz w:val="24"/>
          <w:szCs w:val="24"/>
          <w:lang w:val="en-US"/>
        </w:rPr>
        <w:t xml:space="preserve">similar </w:t>
      </w:r>
      <w:r w:rsidR="00B95FBF" w:rsidRPr="00C50193">
        <w:rPr>
          <w:rFonts w:ascii="Arial" w:hAnsi="Arial" w:cs="Arial"/>
          <w:sz w:val="24"/>
          <w:szCs w:val="24"/>
          <w:lang w:val="en-US"/>
        </w:rPr>
        <w:t>facts</w:t>
      </w:r>
      <w:r w:rsidR="00E81E19" w:rsidRPr="00C50193">
        <w:rPr>
          <w:rFonts w:ascii="Arial" w:hAnsi="Arial" w:cs="Arial"/>
          <w:sz w:val="24"/>
          <w:szCs w:val="24"/>
          <w:lang w:val="en-US"/>
        </w:rPr>
        <w:t>.</w:t>
      </w:r>
      <w:r w:rsidR="00DD749B">
        <w:rPr>
          <w:rStyle w:val="FootnoteReference"/>
          <w:rFonts w:ascii="Arial" w:hAnsi="Arial" w:cs="Arial"/>
          <w:sz w:val="24"/>
          <w:szCs w:val="24"/>
          <w:lang w:val="en-US"/>
        </w:rPr>
        <w:footnoteReference w:id="22"/>
      </w:r>
      <w:r w:rsidR="00E81E19" w:rsidRPr="00C50193">
        <w:rPr>
          <w:rFonts w:ascii="Arial" w:hAnsi="Arial" w:cs="Arial"/>
          <w:sz w:val="24"/>
          <w:szCs w:val="24"/>
          <w:lang w:val="en-US"/>
        </w:rPr>
        <w:t xml:space="preserve"> The rape of a ten-year-old girl by her 44-year-old uncle </w:t>
      </w:r>
      <w:r w:rsidR="00E93FC2" w:rsidRPr="00C50193">
        <w:rPr>
          <w:rFonts w:ascii="Arial" w:hAnsi="Arial" w:cs="Arial"/>
          <w:sz w:val="24"/>
          <w:szCs w:val="24"/>
          <w:lang w:val="en-US"/>
        </w:rPr>
        <w:t xml:space="preserve">is and </w:t>
      </w:r>
      <w:r w:rsidR="00FE006E" w:rsidRPr="00C50193">
        <w:rPr>
          <w:rFonts w:ascii="Arial" w:hAnsi="Arial" w:cs="Arial"/>
          <w:sz w:val="24"/>
          <w:szCs w:val="24"/>
          <w:lang w:val="en-US"/>
        </w:rPr>
        <w:t>remains a most heinous and shocking offence</w:t>
      </w:r>
      <w:r w:rsidR="00E93FC2" w:rsidRPr="00C50193">
        <w:rPr>
          <w:rFonts w:ascii="Arial" w:hAnsi="Arial" w:cs="Arial"/>
          <w:sz w:val="24"/>
          <w:szCs w:val="24"/>
          <w:lang w:val="en-US"/>
        </w:rPr>
        <w:t>.</w:t>
      </w:r>
      <w:r w:rsidR="005C3CB6" w:rsidRPr="00C50193">
        <w:rPr>
          <w:rFonts w:ascii="Arial" w:hAnsi="Arial" w:cs="Arial"/>
          <w:sz w:val="24"/>
          <w:szCs w:val="24"/>
          <w:lang w:val="en-US"/>
        </w:rPr>
        <w:t xml:space="preserve"> </w:t>
      </w:r>
    </w:p>
    <w:p w14:paraId="7A3B2B35" w14:textId="77777777" w:rsidR="00C50193" w:rsidRPr="00C50193" w:rsidRDefault="00C50193" w:rsidP="00C50193">
      <w:pPr>
        <w:pStyle w:val="ListParagraph"/>
        <w:rPr>
          <w:rFonts w:ascii="Arial" w:hAnsi="Arial" w:cs="Arial"/>
          <w:sz w:val="24"/>
          <w:szCs w:val="24"/>
          <w:lang w:val="en-US"/>
        </w:rPr>
      </w:pPr>
    </w:p>
    <w:p w14:paraId="4AF57794" w14:textId="77777777" w:rsidR="00E922AE" w:rsidRPr="00C50193" w:rsidRDefault="00377864" w:rsidP="00EF0D9E">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lastRenderedPageBreak/>
        <w:t>In the absence of sufficient information</w:t>
      </w:r>
      <w:r w:rsidR="00BA37E4" w:rsidRPr="00C50193">
        <w:rPr>
          <w:rFonts w:ascii="Arial" w:hAnsi="Arial" w:cs="Arial"/>
          <w:sz w:val="24"/>
          <w:szCs w:val="24"/>
          <w:lang w:val="en-US"/>
        </w:rPr>
        <w:t xml:space="preserve">, </w:t>
      </w:r>
      <w:r w:rsidR="00BF7653" w:rsidRPr="00C50193">
        <w:rPr>
          <w:rFonts w:ascii="Arial" w:hAnsi="Arial" w:cs="Arial"/>
          <w:sz w:val="24"/>
          <w:szCs w:val="24"/>
          <w:lang w:val="en-US"/>
        </w:rPr>
        <w:t xml:space="preserve">however, a court of appeal cannot </w:t>
      </w:r>
      <w:r w:rsidR="00B36FC9" w:rsidRPr="00C50193">
        <w:rPr>
          <w:rFonts w:ascii="Arial" w:hAnsi="Arial" w:cs="Arial"/>
          <w:sz w:val="24"/>
          <w:szCs w:val="24"/>
          <w:lang w:val="en-US"/>
        </w:rPr>
        <w:t xml:space="preserve">read </w:t>
      </w:r>
      <w:r w:rsidR="00141F57" w:rsidRPr="00C50193">
        <w:rPr>
          <w:rFonts w:ascii="Arial" w:hAnsi="Arial" w:cs="Arial"/>
          <w:sz w:val="24"/>
          <w:szCs w:val="24"/>
          <w:lang w:val="en-US"/>
        </w:rPr>
        <w:t xml:space="preserve">into </w:t>
      </w:r>
      <w:r w:rsidR="00B36FC9" w:rsidRPr="00C50193">
        <w:rPr>
          <w:rFonts w:ascii="Arial" w:hAnsi="Arial" w:cs="Arial"/>
          <w:sz w:val="24"/>
          <w:szCs w:val="24"/>
          <w:lang w:val="en-US"/>
        </w:rPr>
        <w:t xml:space="preserve">the </w:t>
      </w:r>
      <w:r w:rsidR="00141F57" w:rsidRPr="00C50193">
        <w:rPr>
          <w:rFonts w:ascii="Arial" w:hAnsi="Arial" w:cs="Arial"/>
          <w:sz w:val="24"/>
          <w:szCs w:val="24"/>
          <w:lang w:val="en-US"/>
        </w:rPr>
        <w:t xml:space="preserve">record, so to speak, the </w:t>
      </w:r>
      <w:r w:rsidR="005926A3" w:rsidRPr="00C50193">
        <w:rPr>
          <w:rFonts w:ascii="Arial" w:hAnsi="Arial" w:cs="Arial"/>
          <w:sz w:val="24"/>
          <w:szCs w:val="24"/>
          <w:lang w:val="en-US"/>
        </w:rPr>
        <w:t xml:space="preserve">existence or </w:t>
      </w:r>
      <w:r w:rsidR="00141F57" w:rsidRPr="00C50193">
        <w:rPr>
          <w:rFonts w:ascii="Arial" w:hAnsi="Arial" w:cs="Arial"/>
          <w:sz w:val="24"/>
          <w:szCs w:val="24"/>
          <w:lang w:val="en-US"/>
        </w:rPr>
        <w:t>otherwise</w:t>
      </w:r>
      <w:r w:rsidR="005926A3" w:rsidRPr="00C50193">
        <w:rPr>
          <w:rFonts w:ascii="Arial" w:hAnsi="Arial" w:cs="Arial"/>
          <w:sz w:val="24"/>
          <w:szCs w:val="24"/>
          <w:lang w:val="en-US"/>
        </w:rPr>
        <w:t xml:space="preserve"> of </w:t>
      </w:r>
      <w:r w:rsidR="00B36FC9" w:rsidRPr="00C50193">
        <w:rPr>
          <w:rFonts w:ascii="Arial" w:hAnsi="Arial" w:cs="Arial"/>
          <w:sz w:val="24"/>
          <w:szCs w:val="24"/>
          <w:lang w:val="en-US"/>
        </w:rPr>
        <w:t>substantial and compelling circumstances</w:t>
      </w:r>
      <w:r w:rsidR="00141F57" w:rsidRPr="00C50193">
        <w:rPr>
          <w:rFonts w:ascii="Arial" w:hAnsi="Arial" w:cs="Arial"/>
          <w:sz w:val="24"/>
          <w:szCs w:val="24"/>
          <w:lang w:val="en-US"/>
        </w:rPr>
        <w:t>.</w:t>
      </w:r>
      <w:r w:rsidR="00412C0A" w:rsidRPr="00C50193">
        <w:rPr>
          <w:rFonts w:ascii="Arial" w:hAnsi="Arial" w:cs="Arial"/>
          <w:sz w:val="24"/>
          <w:szCs w:val="24"/>
          <w:lang w:val="en-US"/>
        </w:rPr>
        <w:t xml:space="preserve"> The Supreme Court of Appeal addressed the subject in </w:t>
      </w:r>
      <w:r w:rsidR="00AF0861" w:rsidRPr="00C50193">
        <w:rPr>
          <w:rFonts w:ascii="Arial" w:hAnsi="Arial" w:cs="Arial"/>
          <w:i/>
          <w:iCs/>
          <w:sz w:val="24"/>
          <w:szCs w:val="24"/>
          <w:lang w:val="en-US"/>
        </w:rPr>
        <w:t>Rammmoko v Director of Public Prosecutions</w:t>
      </w:r>
      <w:r w:rsidR="00AF0861" w:rsidRPr="00C50193">
        <w:rPr>
          <w:rFonts w:ascii="Arial" w:hAnsi="Arial" w:cs="Arial"/>
          <w:sz w:val="24"/>
          <w:szCs w:val="24"/>
          <w:lang w:val="en-US"/>
        </w:rPr>
        <w:t>,</w:t>
      </w:r>
      <w:r w:rsidR="00AF0861">
        <w:rPr>
          <w:rStyle w:val="FootnoteReference"/>
          <w:rFonts w:ascii="Arial" w:hAnsi="Arial" w:cs="Arial"/>
          <w:sz w:val="24"/>
          <w:szCs w:val="24"/>
          <w:lang w:val="en-US"/>
        </w:rPr>
        <w:footnoteReference w:id="23"/>
      </w:r>
      <w:r w:rsidR="00DC314A" w:rsidRPr="00C50193">
        <w:rPr>
          <w:rFonts w:ascii="Arial" w:hAnsi="Arial" w:cs="Arial"/>
          <w:sz w:val="24"/>
          <w:szCs w:val="24"/>
          <w:lang w:val="en-US"/>
        </w:rPr>
        <w:t xml:space="preserve"> where Mpati JA </w:t>
      </w:r>
      <w:r w:rsidR="001078E6" w:rsidRPr="00C50193">
        <w:rPr>
          <w:rFonts w:ascii="Arial" w:hAnsi="Arial" w:cs="Arial"/>
          <w:sz w:val="24"/>
          <w:szCs w:val="24"/>
          <w:lang w:val="en-US"/>
        </w:rPr>
        <w:t>indicated that:</w:t>
      </w:r>
    </w:p>
    <w:p w14:paraId="45F95530" w14:textId="77777777" w:rsidR="001078E6" w:rsidRPr="00905C40" w:rsidRDefault="001078E6" w:rsidP="0075656C">
      <w:pPr>
        <w:spacing w:line="360" w:lineRule="auto"/>
        <w:ind w:left="720"/>
        <w:jc w:val="both"/>
        <w:rPr>
          <w:rFonts w:ascii="Arial" w:hAnsi="Arial" w:cs="Arial"/>
          <w:sz w:val="20"/>
          <w:szCs w:val="20"/>
          <w:lang w:val="en-US"/>
        </w:rPr>
      </w:pPr>
      <w:r w:rsidRPr="00905C40">
        <w:rPr>
          <w:rFonts w:ascii="Arial" w:hAnsi="Arial" w:cs="Arial"/>
          <w:sz w:val="20"/>
          <w:szCs w:val="20"/>
          <w:lang w:val="en-US"/>
        </w:rPr>
        <w:t>‘…Life imprisonment is the heaviest sentence</w:t>
      </w:r>
      <w:r w:rsidR="00CD0B0F" w:rsidRPr="00905C40">
        <w:rPr>
          <w:rFonts w:ascii="Arial" w:hAnsi="Arial" w:cs="Arial"/>
          <w:sz w:val="20"/>
          <w:szCs w:val="20"/>
          <w:lang w:val="en-US"/>
        </w:rPr>
        <w:t xml:space="preserve"> a person can be legally obliged to serve. Accordingly, where section 51(1) applies,</w:t>
      </w:r>
      <w:r w:rsidR="00B125B5" w:rsidRPr="00905C40">
        <w:rPr>
          <w:rFonts w:ascii="Arial" w:hAnsi="Arial" w:cs="Arial"/>
          <w:sz w:val="20"/>
          <w:szCs w:val="20"/>
          <w:lang w:val="en-US"/>
        </w:rPr>
        <w:t xml:space="preserve"> an accused must not be subjected to the risk that substantial and compelling circumstances</w:t>
      </w:r>
      <w:r w:rsidR="006D23D4" w:rsidRPr="00905C40">
        <w:rPr>
          <w:rFonts w:ascii="Arial" w:hAnsi="Arial" w:cs="Arial"/>
          <w:sz w:val="20"/>
          <w:szCs w:val="20"/>
          <w:lang w:val="en-US"/>
        </w:rPr>
        <w:t xml:space="preserve"> are, on inadequate evidence, held to be absent.</w:t>
      </w:r>
      <w:r w:rsidR="00551842" w:rsidRPr="00905C40">
        <w:rPr>
          <w:rFonts w:ascii="Arial" w:hAnsi="Arial" w:cs="Arial"/>
          <w:sz w:val="20"/>
          <w:szCs w:val="20"/>
          <w:lang w:val="en-US"/>
        </w:rPr>
        <w:t xml:space="preserve"> At the same time the community is entitled to expect that an offender will not escape life imprisonment</w:t>
      </w:r>
      <w:r w:rsidR="002D74C8" w:rsidRPr="00905C40">
        <w:rPr>
          <w:rFonts w:ascii="Arial" w:hAnsi="Arial" w:cs="Arial"/>
          <w:sz w:val="20"/>
          <w:szCs w:val="20"/>
          <w:lang w:val="en-US"/>
        </w:rPr>
        <w:t>- which has been prescribed for a very specific reason- simply because such circumstances are</w:t>
      </w:r>
      <w:r w:rsidR="00BB3882" w:rsidRPr="00905C40">
        <w:rPr>
          <w:rFonts w:ascii="Arial" w:hAnsi="Arial" w:cs="Arial"/>
          <w:sz w:val="20"/>
          <w:szCs w:val="20"/>
          <w:lang w:val="en-US"/>
        </w:rPr>
        <w:t xml:space="preserve">, </w:t>
      </w:r>
      <w:r w:rsidR="00D840D1" w:rsidRPr="00905C40">
        <w:rPr>
          <w:rFonts w:ascii="Arial" w:hAnsi="Arial" w:cs="Arial"/>
          <w:sz w:val="20"/>
          <w:szCs w:val="20"/>
          <w:lang w:val="en-US"/>
        </w:rPr>
        <w:t>unwarrantedly</w:t>
      </w:r>
      <w:r w:rsidR="00544940" w:rsidRPr="00905C40">
        <w:rPr>
          <w:rFonts w:ascii="Arial" w:hAnsi="Arial" w:cs="Arial"/>
          <w:sz w:val="20"/>
          <w:szCs w:val="20"/>
          <w:lang w:val="en-US"/>
        </w:rPr>
        <w:t xml:space="preserve">, </w:t>
      </w:r>
      <w:r w:rsidR="00BB3882" w:rsidRPr="00905C40">
        <w:rPr>
          <w:rFonts w:ascii="Arial" w:hAnsi="Arial" w:cs="Arial"/>
          <w:sz w:val="20"/>
          <w:szCs w:val="20"/>
          <w:lang w:val="en-US"/>
        </w:rPr>
        <w:t xml:space="preserve">held to be </w:t>
      </w:r>
      <w:r w:rsidR="00544940" w:rsidRPr="00905C40">
        <w:rPr>
          <w:rFonts w:ascii="Arial" w:hAnsi="Arial" w:cs="Arial"/>
          <w:sz w:val="20"/>
          <w:szCs w:val="20"/>
          <w:lang w:val="en-US"/>
        </w:rPr>
        <w:t>present</w:t>
      </w:r>
      <w:r w:rsidR="00BB3882" w:rsidRPr="00905C40">
        <w:rPr>
          <w:rFonts w:ascii="Arial" w:hAnsi="Arial" w:cs="Arial"/>
          <w:sz w:val="20"/>
          <w:szCs w:val="20"/>
          <w:lang w:val="en-US"/>
        </w:rPr>
        <w:t xml:space="preserve">. </w:t>
      </w:r>
      <w:r w:rsidR="00544940" w:rsidRPr="00905C40">
        <w:rPr>
          <w:rFonts w:ascii="Arial" w:hAnsi="Arial" w:cs="Arial"/>
          <w:sz w:val="20"/>
          <w:szCs w:val="20"/>
          <w:lang w:val="en-US"/>
        </w:rPr>
        <w:t>In the present matter evidence</w:t>
      </w:r>
      <w:r w:rsidR="00370BFE" w:rsidRPr="00905C40">
        <w:rPr>
          <w:rFonts w:ascii="Arial" w:hAnsi="Arial" w:cs="Arial"/>
          <w:sz w:val="20"/>
          <w:szCs w:val="20"/>
          <w:lang w:val="en-US"/>
        </w:rPr>
        <w:t xml:space="preserve"> relating to the extent to which the complainant has been affected by the rape</w:t>
      </w:r>
      <w:r w:rsidR="0074780D" w:rsidRPr="00905C40">
        <w:rPr>
          <w:rFonts w:ascii="Arial" w:hAnsi="Arial" w:cs="Arial"/>
          <w:sz w:val="20"/>
          <w:szCs w:val="20"/>
          <w:lang w:val="en-US"/>
        </w:rPr>
        <w:t xml:space="preserve"> and will be affected in future is relevant, and indeed important.</w:t>
      </w:r>
      <w:r w:rsidR="00AB6832" w:rsidRPr="00905C40">
        <w:rPr>
          <w:rFonts w:ascii="Arial" w:hAnsi="Arial" w:cs="Arial"/>
          <w:sz w:val="20"/>
          <w:szCs w:val="20"/>
          <w:lang w:val="en-US"/>
        </w:rPr>
        <w:t xml:space="preserve"> Such evidence could have been led from the complainant’s mother, her school teacher</w:t>
      </w:r>
      <w:r w:rsidR="009901ED" w:rsidRPr="00905C40">
        <w:rPr>
          <w:rFonts w:ascii="Arial" w:hAnsi="Arial" w:cs="Arial"/>
          <w:sz w:val="20"/>
          <w:szCs w:val="20"/>
          <w:lang w:val="en-US"/>
        </w:rPr>
        <w:t xml:space="preserve"> or a psychologist. No attempt was made to do so.</w:t>
      </w:r>
    </w:p>
    <w:p w14:paraId="0945E5E9" w14:textId="77777777" w:rsidR="009901ED" w:rsidRPr="00905C40" w:rsidRDefault="009901ED" w:rsidP="0075656C">
      <w:pPr>
        <w:spacing w:line="360" w:lineRule="auto"/>
        <w:ind w:left="720"/>
        <w:jc w:val="both"/>
        <w:rPr>
          <w:rFonts w:ascii="Arial" w:hAnsi="Arial" w:cs="Arial"/>
          <w:sz w:val="20"/>
          <w:szCs w:val="20"/>
          <w:lang w:val="en-US"/>
        </w:rPr>
      </w:pPr>
      <w:r w:rsidRPr="00905C40">
        <w:rPr>
          <w:rFonts w:ascii="Arial" w:hAnsi="Arial" w:cs="Arial"/>
          <w:sz w:val="20"/>
          <w:szCs w:val="20"/>
          <w:lang w:val="en-US"/>
        </w:rPr>
        <w:t xml:space="preserve">…And the placing of this important </w:t>
      </w:r>
      <w:r w:rsidR="00BB077D" w:rsidRPr="00905C40">
        <w:rPr>
          <w:rFonts w:ascii="Arial" w:hAnsi="Arial" w:cs="Arial"/>
          <w:sz w:val="20"/>
          <w:szCs w:val="20"/>
          <w:lang w:val="en-US"/>
        </w:rPr>
        <w:t>information before the sentencing court is not the responsibility of State counsel alone.</w:t>
      </w:r>
      <w:r w:rsidR="009A20A6" w:rsidRPr="00905C40">
        <w:rPr>
          <w:rFonts w:ascii="Arial" w:hAnsi="Arial" w:cs="Arial"/>
          <w:sz w:val="20"/>
          <w:szCs w:val="20"/>
          <w:lang w:val="en-US"/>
        </w:rPr>
        <w:t xml:space="preserve"> The presiding officer, who must satisfy himself before imposing the prescribed sentence</w:t>
      </w:r>
      <w:r w:rsidR="00787CD5" w:rsidRPr="00905C40">
        <w:rPr>
          <w:rFonts w:ascii="Arial" w:hAnsi="Arial" w:cs="Arial"/>
          <w:sz w:val="20"/>
          <w:szCs w:val="20"/>
          <w:lang w:val="en-US"/>
        </w:rPr>
        <w:t xml:space="preserve"> that no substantial and compelling circumstances are present, also bears some responsibility.</w:t>
      </w:r>
      <w:r w:rsidR="00814FF7" w:rsidRPr="00905C40">
        <w:rPr>
          <w:rFonts w:ascii="Arial" w:hAnsi="Arial" w:cs="Arial"/>
          <w:sz w:val="20"/>
          <w:szCs w:val="20"/>
          <w:lang w:val="en-US"/>
        </w:rPr>
        <w:t xml:space="preserve"> Van der Walt J, in </w:t>
      </w:r>
      <w:r w:rsidR="00814FF7" w:rsidRPr="00905C40">
        <w:rPr>
          <w:rFonts w:ascii="Arial" w:hAnsi="Arial" w:cs="Arial"/>
          <w:i/>
          <w:iCs/>
          <w:sz w:val="20"/>
          <w:szCs w:val="20"/>
          <w:lang w:val="en-US"/>
        </w:rPr>
        <w:t>S v Dlamini</w:t>
      </w:r>
      <w:r w:rsidR="00814FF7" w:rsidRPr="00905C40">
        <w:rPr>
          <w:rFonts w:ascii="Arial" w:hAnsi="Arial" w:cs="Arial"/>
          <w:sz w:val="20"/>
          <w:szCs w:val="20"/>
          <w:lang w:val="en-US"/>
        </w:rPr>
        <w:t xml:space="preserve"> 2000 (2) SACR </w:t>
      </w:r>
      <w:r w:rsidR="00390E25" w:rsidRPr="00905C40">
        <w:rPr>
          <w:rFonts w:ascii="Arial" w:hAnsi="Arial" w:cs="Arial"/>
          <w:sz w:val="20"/>
          <w:szCs w:val="20"/>
          <w:lang w:val="en-US"/>
        </w:rPr>
        <w:t xml:space="preserve">266 (T), correctly sums up the position, when he says (at </w:t>
      </w:r>
      <w:r w:rsidR="005A3DE9" w:rsidRPr="00905C40">
        <w:rPr>
          <w:rFonts w:ascii="Arial" w:hAnsi="Arial" w:cs="Arial"/>
          <w:sz w:val="20"/>
          <w:szCs w:val="20"/>
          <w:lang w:val="en-US"/>
        </w:rPr>
        <w:t>268d-e)</w:t>
      </w:r>
      <w:r w:rsidR="00E24C83" w:rsidRPr="00905C40">
        <w:rPr>
          <w:rFonts w:ascii="Arial" w:hAnsi="Arial" w:cs="Arial"/>
          <w:sz w:val="20"/>
          <w:szCs w:val="20"/>
          <w:lang w:val="en-US"/>
        </w:rPr>
        <w:t>:</w:t>
      </w:r>
    </w:p>
    <w:p w14:paraId="5991DC75" w14:textId="77777777" w:rsidR="00E24C83" w:rsidRPr="00905C40" w:rsidRDefault="00E24C83" w:rsidP="00905C40">
      <w:pPr>
        <w:spacing w:line="360" w:lineRule="auto"/>
        <w:ind w:left="1440"/>
        <w:jc w:val="both"/>
        <w:rPr>
          <w:rFonts w:ascii="Arial" w:hAnsi="Arial" w:cs="Arial"/>
          <w:sz w:val="20"/>
          <w:szCs w:val="20"/>
          <w:lang w:val="en-US"/>
        </w:rPr>
      </w:pPr>
      <w:r w:rsidRPr="00905C40">
        <w:rPr>
          <w:rFonts w:ascii="Arial" w:hAnsi="Arial" w:cs="Arial"/>
          <w:sz w:val="20"/>
          <w:szCs w:val="20"/>
          <w:lang w:val="en-US"/>
        </w:rPr>
        <w:t xml:space="preserve">“The Court that </w:t>
      </w:r>
      <w:r w:rsidR="000265A1" w:rsidRPr="00905C40">
        <w:rPr>
          <w:rFonts w:ascii="Arial" w:hAnsi="Arial" w:cs="Arial"/>
          <w:sz w:val="20"/>
          <w:szCs w:val="20"/>
          <w:lang w:val="en-US"/>
        </w:rPr>
        <w:t>imposes</w:t>
      </w:r>
      <w:r w:rsidRPr="00905C40">
        <w:rPr>
          <w:rFonts w:ascii="Arial" w:hAnsi="Arial" w:cs="Arial"/>
          <w:sz w:val="20"/>
          <w:szCs w:val="20"/>
          <w:lang w:val="en-US"/>
        </w:rPr>
        <w:t xml:space="preserve"> sentence</w:t>
      </w:r>
      <w:r w:rsidR="00A94C3C" w:rsidRPr="00905C40">
        <w:rPr>
          <w:rFonts w:ascii="Arial" w:hAnsi="Arial" w:cs="Arial"/>
          <w:sz w:val="20"/>
          <w:szCs w:val="20"/>
          <w:lang w:val="en-US"/>
        </w:rPr>
        <w:t xml:space="preserve"> in a criminal </w:t>
      </w:r>
      <w:r w:rsidR="007840AC" w:rsidRPr="00905C40">
        <w:rPr>
          <w:rFonts w:ascii="Arial" w:hAnsi="Arial" w:cs="Arial"/>
          <w:sz w:val="20"/>
          <w:szCs w:val="20"/>
          <w:lang w:val="en-US"/>
        </w:rPr>
        <w:t>case</w:t>
      </w:r>
      <w:r w:rsidR="00A94C3C" w:rsidRPr="00905C40">
        <w:rPr>
          <w:rFonts w:ascii="Arial" w:hAnsi="Arial" w:cs="Arial"/>
          <w:sz w:val="20"/>
          <w:szCs w:val="20"/>
          <w:lang w:val="en-US"/>
        </w:rPr>
        <w:t xml:space="preserve"> plays an active role in the trial</w:t>
      </w:r>
      <w:r w:rsidR="00590D7E" w:rsidRPr="00905C40">
        <w:rPr>
          <w:rFonts w:ascii="Arial" w:hAnsi="Arial" w:cs="Arial"/>
          <w:sz w:val="20"/>
          <w:szCs w:val="20"/>
          <w:lang w:val="en-US"/>
        </w:rPr>
        <w:t xml:space="preserve"> and does not sit </w:t>
      </w:r>
      <w:r w:rsidR="00584683" w:rsidRPr="00905C40">
        <w:rPr>
          <w:rFonts w:ascii="Arial" w:hAnsi="Arial" w:cs="Arial"/>
          <w:sz w:val="20"/>
          <w:szCs w:val="20"/>
          <w:lang w:val="en-US"/>
        </w:rPr>
        <w:t xml:space="preserve">by </w:t>
      </w:r>
      <w:r w:rsidR="00590D7E" w:rsidRPr="00905C40">
        <w:rPr>
          <w:rFonts w:ascii="Arial" w:hAnsi="Arial" w:cs="Arial"/>
          <w:sz w:val="20"/>
          <w:szCs w:val="20"/>
          <w:lang w:val="en-US"/>
        </w:rPr>
        <w:t xml:space="preserve">passively when </w:t>
      </w:r>
      <w:r w:rsidR="00B31B0E" w:rsidRPr="00905C40">
        <w:rPr>
          <w:rFonts w:ascii="Arial" w:hAnsi="Arial" w:cs="Arial"/>
          <w:sz w:val="20"/>
          <w:szCs w:val="20"/>
          <w:lang w:val="en-US"/>
        </w:rPr>
        <w:t>evidence</w:t>
      </w:r>
      <w:r w:rsidR="00AD1540" w:rsidRPr="00905C40">
        <w:rPr>
          <w:rFonts w:ascii="Arial" w:hAnsi="Arial" w:cs="Arial"/>
          <w:sz w:val="20"/>
          <w:szCs w:val="20"/>
          <w:lang w:val="en-US"/>
        </w:rPr>
        <w:t xml:space="preserve"> is led.</w:t>
      </w:r>
      <w:r w:rsidR="00D338EC" w:rsidRPr="00905C40">
        <w:rPr>
          <w:rFonts w:ascii="Arial" w:hAnsi="Arial" w:cs="Arial"/>
          <w:sz w:val="20"/>
          <w:szCs w:val="20"/>
          <w:lang w:val="en-US"/>
        </w:rPr>
        <w:t xml:space="preserve"> Indeed, section </w:t>
      </w:r>
      <w:r w:rsidR="00102AF4" w:rsidRPr="00905C40">
        <w:rPr>
          <w:rFonts w:ascii="Arial" w:hAnsi="Arial" w:cs="Arial"/>
          <w:sz w:val="20"/>
          <w:szCs w:val="20"/>
          <w:lang w:val="en-US"/>
        </w:rPr>
        <w:t>186 of the Criminal Procedure Act 51 of 1977 provides that the court can at any stage</w:t>
      </w:r>
      <w:r w:rsidR="009F22D2" w:rsidRPr="00905C40">
        <w:rPr>
          <w:rFonts w:ascii="Arial" w:hAnsi="Arial" w:cs="Arial"/>
          <w:sz w:val="20"/>
          <w:szCs w:val="20"/>
          <w:lang w:val="en-US"/>
        </w:rPr>
        <w:t xml:space="preserve"> of criminal proceedings </w:t>
      </w:r>
      <w:r w:rsidR="00577692" w:rsidRPr="00905C40">
        <w:rPr>
          <w:rFonts w:ascii="Arial" w:hAnsi="Arial" w:cs="Arial"/>
          <w:sz w:val="20"/>
          <w:szCs w:val="20"/>
          <w:lang w:val="en-US"/>
        </w:rPr>
        <w:t xml:space="preserve">subpoena or cause to be </w:t>
      </w:r>
      <w:r w:rsidR="00B51F57" w:rsidRPr="00905C40">
        <w:rPr>
          <w:rFonts w:ascii="Arial" w:hAnsi="Arial" w:cs="Arial"/>
          <w:sz w:val="20"/>
          <w:szCs w:val="20"/>
          <w:lang w:val="en-US"/>
        </w:rPr>
        <w:t>subpoenaed any person as a witness at such proceedings</w:t>
      </w:r>
      <w:r w:rsidR="00584683" w:rsidRPr="00905C40">
        <w:rPr>
          <w:rFonts w:ascii="Arial" w:hAnsi="Arial" w:cs="Arial"/>
          <w:sz w:val="20"/>
          <w:szCs w:val="20"/>
          <w:lang w:val="en-US"/>
        </w:rPr>
        <w:t xml:space="preserve"> </w:t>
      </w:r>
      <w:r w:rsidR="00955475" w:rsidRPr="00905C40">
        <w:rPr>
          <w:rFonts w:ascii="Arial" w:hAnsi="Arial" w:cs="Arial"/>
          <w:sz w:val="20"/>
          <w:szCs w:val="20"/>
          <w:lang w:val="en-US"/>
        </w:rPr>
        <w:t xml:space="preserve">and the court shall </w:t>
      </w:r>
      <w:r w:rsidR="00DC0135" w:rsidRPr="00905C40">
        <w:rPr>
          <w:rFonts w:ascii="Arial" w:hAnsi="Arial" w:cs="Arial"/>
          <w:sz w:val="20"/>
          <w:szCs w:val="20"/>
          <w:lang w:val="en-US"/>
        </w:rPr>
        <w:t xml:space="preserve">in this manner </w:t>
      </w:r>
      <w:r w:rsidR="006A6FBB" w:rsidRPr="00905C40">
        <w:rPr>
          <w:rFonts w:ascii="Arial" w:hAnsi="Arial" w:cs="Arial"/>
          <w:sz w:val="20"/>
          <w:szCs w:val="20"/>
          <w:lang w:val="en-US"/>
        </w:rPr>
        <w:t xml:space="preserve">cause </w:t>
      </w:r>
      <w:r w:rsidR="00955475" w:rsidRPr="00905C40">
        <w:rPr>
          <w:rFonts w:ascii="Arial" w:hAnsi="Arial" w:cs="Arial"/>
          <w:sz w:val="20"/>
          <w:szCs w:val="20"/>
          <w:lang w:val="en-US"/>
        </w:rPr>
        <w:t xml:space="preserve">a witness </w:t>
      </w:r>
      <w:r w:rsidR="006A6FBB" w:rsidRPr="00905C40">
        <w:rPr>
          <w:rFonts w:ascii="Arial" w:hAnsi="Arial" w:cs="Arial"/>
          <w:sz w:val="20"/>
          <w:szCs w:val="20"/>
          <w:lang w:val="en-US"/>
        </w:rPr>
        <w:t xml:space="preserve">to be subpoenaed </w:t>
      </w:r>
      <w:r w:rsidR="00745170" w:rsidRPr="00905C40">
        <w:rPr>
          <w:rFonts w:ascii="Arial" w:hAnsi="Arial" w:cs="Arial"/>
          <w:sz w:val="20"/>
          <w:szCs w:val="20"/>
          <w:lang w:val="en-US"/>
        </w:rPr>
        <w:t xml:space="preserve">if the evidence of such witness appears to the court </w:t>
      </w:r>
      <w:r w:rsidR="00F5236C" w:rsidRPr="00905C40">
        <w:rPr>
          <w:rFonts w:ascii="Arial" w:hAnsi="Arial" w:cs="Arial"/>
          <w:sz w:val="20"/>
          <w:szCs w:val="20"/>
          <w:lang w:val="en-US"/>
        </w:rPr>
        <w:t xml:space="preserve">necessary </w:t>
      </w:r>
      <w:r w:rsidR="00BE7A8D" w:rsidRPr="00905C40">
        <w:rPr>
          <w:rFonts w:ascii="Arial" w:hAnsi="Arial" w:cs="Arial"/>
          <w:sz w:val="20"/>
          <w:szCs w:val="20"/>
          <w:lang w:val="en-US"/>
        </w:rPr>
        <w:t xml:space="preserve">for the fair adjudication of the </w:t>
      </w:r>
      <w:r w:rsidR="00006C1F" w:rsidRPr="00905C40">
        <w:rPr>
          <w:rFonts w:ascii="Arial" w:hAnsi="Arial" w:cs="Arial"/>
          <w:sz w:val="20"/>
          <w:szCs w:val="20"/>
          <w:lang w:val="en-US"/>
        </w:rPr>
        <w:t>case</w:t>
      </w:r>
      <w:r w:rsidR="001A5F6B" w:rsidRPr="00905C40">
        <w:rPr>
          <w:rFonts w:ascii="Arial" w:hAnsi="Arial" w:cs="Arial"/>
          <w:sz w:val="20"/>
          <w:szCs w:val="20"/>
          <w:lang w:val="en-US"/>
        </w:rPr>
        <w:t>.</w:t>
      </w:r>
      <w:r w:rsidR="00006C1F" w:rsidRPr="00905C40">
        <w:rPr>
          <w:rFonts w:ascii="Arial" w:hAnsi="Arial" w:cs="Arial"/>
          <w:sz w:val="20"/>
          <w:szCs w:val="20"/>
          <w:lang w:val="en-US"/>
        </w:rPr>
        <w:t>”</w:t>
      </w:r>
      <w:r w:rsidR="00905C40" w:rsidRPr="00905C40">
        <w:rPr>
          <w:rStyle w:val="FootnoteReference"/>
          <w:rFonts w:ascii="Arial" w:hAnsi="Arial" w:cs="Arial"/>
          <w:sz w:val="20"/>
          <w:szCs w:val="20"/>
          <w:lang w:val="en-US"/>
        </w:rPr>
        <w:footnoteReference w:id="24"/>
      </w:r>
    </w:p>
    <w:p w14:paraId="4BC352EA" w14:textId="77777777" w:rsidR="001A5F6B" w:rsidRPr="00905C40" w:rsidRDefault="001A5F6B" w:rsidP="00905C40">
      <w:pPr>
        <w:spacing w:line="360" w:lineRule="auto"/>
        <w:ind w:left="720"/>
        <w:jc w:val="both"/>
        <w:rPr>
          <w:rFonts w:ascii="Arial" w:hAnsi="Arial" w:cs="Arial"/>
          <w:sz w:val="20"/>
          <w:szCs w:val="20"/>
          <w:lang w:val="en-US"/>
        </w:rPr>
      </w:pPr>
      <w:r w:rsidRPr="00905C40">
        <w:rPr>
          <w:rFonts w:ascii="Arial" w:hAnsi="Arial" w:cs="Arial"/>
          <w:sz w:val="20"/>
          <w:szCs w:val="20"/>
          <w:lang w:val="en-US"/>
        </w:rPr>
        <w:t>In the present case nothing</w:t>
      </w:r>
      <w:r w:rsidR="00C15526" w:rsidRPr="00905C40">
        <w:rPr>
          <w:rFonts w:ascii="Arial" w:hAnsi="Arial" w:cs="Arial"/>
          <w:sz w:val="20"/>
          <w:szCs w:val="20"/>
          <w:lang w:val="en-US"/>
        </w:rPr>
        <w:t xml:space="preserve"> prevented the court </w:t>
      </w:r>
      <w:r w:rsidR="00C15526" w:rsidRPr="00905C40">
        <w:rPr>
          <w:rFonts w:ascii="Arial" w:hAnsi="Arial" w:cs="Arial"/>
          <w:i/>
          <w:iCs/>
          <w:sz w:val="20"/>
          <w:szCs w:val="20"/>
          <w:lang w:val="en-US"/>
        </w:rPr>
        <w:t>a quo</w:t>
      </w:r>
      <w:r w:rsidR="00C15526" w:rsidRPr="00905C40">
        <w:rPr>
          <w:rFonts w:ascii="Arial" w:hAnsi="Arial" w:cs="Arial"/>
          <w:sz w:val="20"/>
          <w:szCs w:val="20"/>
          <w:lang w:val="en-US"/>
        </w:rPr>
        <w:t xml:space="preserve"> from directing, for example, that the complainant be interviewed</w:t>
      </w:r>
      <w:r w:rsidR="004D29FA" w:rsidRPr="00905C40">
        <w:rPr>
          <w:rFonts w:ascii="Arial" w:hAnsi="Arial" w:cs="Arial"/>
          <w:sz w:val="20"/>
          <w:szCs w:val="20"/>
          <w:lang w:val="en-US"/>
        </w:rPr>
        <w:t xml:space="preserve"> by a psychologist or other appropriately qualified or trained person</w:t>
      </w:r>
      <w:r w:rsidR="00C01585" w:rsidRPr="00905C40">
        <w:rPr>
          <w:rFonts w:ascii="Arial" w:hAnsi="Arial" w:cs="Arial"/>
          <w:sz w:val="20"/>
          <w:szCs w:val="20"/>
          <w:lang w:val="en-US"/>
        </w:rPr>
        <w:t xml:space="preserve"> to establish the effects of the rape on her, present and future.</w:t>
      </w:r>
      <w:r w:rsidR="00362228" w:rsidRPr="00905C40">
        <w:rPr>
          <w:rFonts w:ascii="Arial" w:hAnsi="Arial" w:cs="Arial"/>
          <w:sz w:val="20"/>
          <w:szCs w:val="20"/>
          <w:lang w:val="en-US"/>
        </w:rPr>
        <w:t>’</w:t>
      </w:r>
      <w:r w:rsidR="00362228" w:rsidRPr="00905C40">
        <w:rPr>
          <w:rStyle w:val="FootnoteReference"/>
          <w:rFonts w:ascii="Arial" w:hAnsi="Arial" w:cs="Arial"/>
          <w:sz w:val="20"/>
          <w:szCs w:val="20"/>
          <w:lang w:val="en-US"/>
        </w:rPr>
        <w:footnoteReference w:id="25"/>
      </w:r>
    </w:p>
    <w:p w14:paraId="1F50AFC1" w14:textId="77777777" w:rsidR="0075656C" w:rsidRDefault="0075656C" w:rsidP="00EF0D9E">
      <w:pPr>
        <w:spacing w:line="360" w:lineRule="auto"/>
        <w:jc w:val="both"/>
        <w:rPr>
          <w:rFonts w:ascii="Arial" w:hAnsi="Arial" w:cs="Arial"/>
          <w:sz w:val="24"/>
          <w:szCs w:val="24"/>
          <w:lang w:val="en-US"/>
        </w:rPr>
      </w:pPr>
    </w:p>
    <w:p w14:paraId="7573434C" w14:textId="77777777" w:rsidR="00081A86" w:rsidRPr="00C50193" w:rsidRDefault="0075656C" w:rsidP="00C50193">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lastRenderedPageBreak/>
        <w:t xml:space="preserve">The more active role </w:t>
      </w:r>
      <w:r w:rsidR="00B97948" w:rsidRPr="00C50193">
        <w:rPr>
          <w:rFonts w:ascii="Arial" w:hAnsi="Arial" w:cs="Arial"/>
          <w:sz w:val="24"/>
          <w:szCs w:val="24"/>
          <w:lang w:val="en-US"/>
        </w:rPr>
        <w:t xml:space="preserve">expected of a court </w:t>
      </w:r>
      <w:r w:rsidR="007703D2" w:rsidRPr="00C50193">
        <w:rPr>
          <w:rFonts w:ascii="Arial" w:hAnsi="Arial" w:cs="Arial"/>
          <w:sz w:val="24"/>
          <w:szCs w:val="24"/>
          <w:lang w:val="en-US"/>
        </w:rPr>
        <w:t xml:space="preserve">for purposes of </w:t>
      </w:r>
      <w:r w:rsidR="00B97948" w:rsidRPr="00C50193">
        <w:rPr>
          <w:rFonts w:ascii="Arial" w:hAnsi="Arial" w:cs="Arial"/>
          <w:sz w:val="24"/>
          <w:szCs w:val="24"/>
          <w:lang w:val="en-US"/>
        </w:rPr>
        <w:t xml:space="preserve">sentencing was </w:t>
      </w:r>
      <w:r w:rsidR="00994C76" w:rsidRPr="00C50193">
        <w:rPr>
          <w:rFonts w:ascii="Arial" w:hAnsi="Arial" w:cs="Arial"/>
          <w:sz w:val="24"/>
          <w:szCs w:val="24"/>
          <w:lang w:val="en-US"/>
        </w:rPr>
        <w:t xml:space="preserve">reiterated by the Supreme Court of Appeal in </w:t>
      </w:r>
      <w:r w:rsidR="00081A86" w:rsidRPr="00C50193">
        <w:rPr>
          <w:rFonts w:ascii="Arial" w:hAnsi="Arial" w:cs="Arial"/>
          <w:i/>
          <w:iCs/>
          <w:sz w:val="24"/>
          <w:szCs w:val="24"/>
          <w:lang w:val="en-US"/>
        </w:rPr>
        <w:t>Olivier v S</w:t>
      </w:r>
      <w:r w:rsidR="00081A86" w:rsidRPr="00C50193">
        <w:rPr>
          <w:rFonts w:ascii="Arial" w:hAnsi="Arial" w:cs="Arial"/>
          <w:sz w:val="24"/>
          <w:szCs w:val="24"/>
          <w:lang w:val="en-US"/>
        </w:rPr>
        <w:t>,</w:t>
      </w:r>
      <w:r w:rsidR="00C35D0B">
        <w:rPr>
          <w:rStyle w:val="FootnoteReference"/>
          <w:rFonts w:ascii="Arial" w:hAnsi="Arial" w:cs="Arial"/>
          <w:sz w:val="24"/>
          <w:szCs w:val="24"/>
          <w:lang w:val="en-US"/>
        </w:rPr>
        <w:footnoteReference w:id="26"/>
      </w:r>
      <w:r w:rsidR="00081A86" w:rsidRPr="00C50193">
        <w:rPr>
          <w:rFonts w:ascii="Arial" w:hAnsi="Arial" w:cs="Arial"/>
          <w:sz w:val="24"/>
          <w:szCs w:val="24"/>
          <w:lang w:val="en-US"/>
        </w:rPr>
        <w:t xml:space="preserve"> where Majiedt JA held:</w:t>
      </w:r>
    </w:p>
    <w:p w14:paraId="61E99FB0" w14:textId="77777777" w:rsidR="0075656C" w:rsidRPr="00F866B7" w:rsidRDefault="00081A86" w:rsidP="00BA5B85">
      <w:pPr>
        <w:spacing w:line="360" w:lineRule="auto"/>
        <w:ind w:left="720"/>
        <w:jc w:val="both"/>
        <w:rPr>
          <w:rFonts w:ascii="Arial" w:hAnsi="Arial" w:cs="Arial"/>
          <w:sz w:val="20"/>
          <w:szCs w:val="20"/>
          <w:lang w:val="en-US"/>
        </w:rPr>
      </w:pPr>
      <w:r w:rsidRPr="00F866B7">
        <w:rPr>
          <w:rFonts w:ascii="Arial" w:hAnsi="Arial" w:cs="Arial"/>
          <w:sz w:val="20"/>
          <w:szCs w:val="20"/>
          <w:lang w:val="en-US"/>
        </w:rPr>
        <w:t>‘</w:t>
      </w:r>
      <w:r w:rsidR="007703D2" w:rsidRPr="00F866B7">
        <w:rPr>
          <w:rFonts w:ascii="Arial" w:hAnsi="Arial" w:cs="Arial"/>
          <w:sz w:val="20"/>
          <w:szCs w:val="20"/>
          <w:lang w:val="en-US"/>
        </w:rPr>
        <w:t>…It is trite that during the sentencing</w:t>
      </w:r>
      <w:r w:rsidR="00C038E2" w:rsidRPr="00F866B7">
        <w:rPr>
          <w:rFonts w:ascii="Arial" w:hAnsi="Arial" w:cs="Arial"/>
          <w:sz w:val="20"/>
          <w:szCs w:val="20"/>
          <w:lang w:val="en-US"/>
        </w:rPr>
        <w:t xml:space="preserve"> phase, formalism takes a back seat and a more inquisitorial approac</w:t>
      </w:r>
      <w:r w:rsidR="000B0F38" w:rsidRPr="00F866B7">
        <w:rPr>
          <w:rFonts w:ascii="Arial" w:hAnsi="Arial" w:cs="Arial"/>
          <w:sz w:val="20"/>
          <w:szCs w:val="20"/>
          <w:lang w:val="en-US"/>
        </w:rPr>
        <w:t>h, aimed at collating all relevant information, is adopted.</w:t>
      </w:r>
      <w:r w:rsidR="00B72BB4" w:rsidRPr="00F866B7">
        <w:rPr>
          <w:rFonts w:ascii="Arial" w:hAnsi="Arial" w:cs="Arial"/>
          <w:sz w:val="20"/>
          <w:szCs w:val="20"/>
          <w:lang w:val="en-US"/>
        </w:rPr>
        <w:t xml:space="preserve"> The object of the exercise is to place before the court as much information as possible</w:t>
      </w:r>
      <w:r w:rsidR="00691C7A" w:rsidRPr="00F866B7">
        <w:rPr>
          <w:rFonts w:ascii="Arial" w:hAnsi="Arial" w:cs="Arial"/>
          <w:sz w:val="20"/>
          <w:szCs w:val="20"/>
          <w:lang w:val="en-US"/>
        </w:rPr>
        <w:t xml:space="preserve"> regarding the perpetrator, the circumstances of the commission of the offence</w:t>
      </w:r>
      <w:r w:rsidR="00575C4D" w:rsidRPr="00F866B7">
        <w:rPr>
          <w:rFonts w:ascii="Arial" w:hAnsi="Arial" w:cs="Arial"/>
          <w:sz w:val="20"/>
          <w:szCs w:val="20"/>
          <w:lang w:val="en-US"/>
        </w:rPr>
        <w:t xml:space="preserve"> and the victim’s circumstances, including the impact which the commission of the offence</w:t>
      </w:r>
      <w:r w:rsidR="00111A13" w:rsidRPr="00F866B7">
        <w:rPr>
          <w:rFonts w:ascii="Arial" w:hAnsi="Arial" w:cs="Arial"/>
          <w:sz w:val="20"/>
          <w:szCs w:val="20"/>
          <w:lang w:val="en-US"/>
        </w:rPr>
        <w:t xml:space="preserve"> had on the victim.</w:t>
      </w:r>
      <w:r w:rsidR="00B07D95" w:rsidRPr="00F866B7">
        <w:rPr>
          <w:rFonts w:ascii="Arial" w:hAnsi="Arial" w:cs="Arial"/>
          <w:sz w:val="20"/>
          <w:szCs w:val="20"/>
          <w:lang w:val="en-US"/>
        </w:rPr>
        <w:t xml:space="preserve"> The prosecutor, defence counsel and the presiding officer all have a duty to complete</w:t>
      </w:r>
      <w:r w:rsidR="00924C3D" w:rsidRPr="00F866B7">
        <w:rPr>
          <w:rFonts w:ascii="Arial" w:hAnsi="Arial" w:cs="Arial"/>
          <w:sz w:val="20"/>
          <w:szCs w:val="20"/>
          <w:lang w:val="en-US"/>
        </w:rPr>
        <w:t xml:space="preserve"> the picture as far as possible at sentencing stage. Material factual averments</w:t>
      </w:r>
      <w:r w:rsidR="00AC0C90" w:rsidRPr="00F866B7">
        <w:rPr>
          <w:rFonts w:ascii="Arial" w:hAnsi="Arial" w:cs="Arial"/>
          <w:sz w:val="20"/>
          <w:szCs w:val="20"/>
          <w:lang w:val="en-US"/>
        </w:rPr>
        <w:t xml:space="preserve"> made during this phase of the trial ought, as a general proposition</w:t>
      </w:r>
      <w:r w:rsidR="000A588F" w:rsidRPr="00F866B7">
        <w:rPr>
          <w:rFonts w:ascii="Arial" w:hAnsi="Arial" w:cs="Arial"/>
          <w:sz w:val="20"/>
          <w:szCs w:val="20"/>
          <w:lang w:val="en-US"/>
        </w:rPr>
        <w:t>, to be proved on oath.’</w:t>
      </w:r>
      <w:r w:rsidR="000A588F" w:rsidRPr="00F866B7">
        <w:rPr>
          <w:rStyle w:val="FootnoteReference"/>
          <w:rFonts w:ascii="Arial" w:hAnsi="Arial" w:cs="Arial"/>
          <w:sz w:val="20"/>
          <w:szCs w:val="20"/>
          <w:lang w:val="en-US"/>
        </w:rPr>
        <w:footnoteReference w:id="27"/>
      </w:r>
    </w:p>
    <w:p w14:paraId="5A9FFE20" w14:textId="77777777" w:rsidR="00991A03" w:rsidRDefault="00991A03" w:rsidP="00991A03">
      <w:pPr>
        <w:spacing w:line="360" w:lineRule="auto"/>
        <w:jc w:val="both"/>
        <w:rPr>
          <w:rFonts w:ascii="Arial" w:hAnsi="Arial" w:cs="Arial"/>
          <w:sz w:val="24"/>
          <w:szCs w:val="24"/>
          <w:lang w:val="en-US"/>
        </w:rPr>
      </w:pPr>
    </w:p>
    <w:p w14:paraId="46E4EDA3" w14:textId="77777777" w:rsidR="00CB7262" w:rsidRDefault="00FC4C20" w:rsidP="00C50193">
      <w:pPr>
        <w:pStyle w:val="ListParagraph"/>
        <w:numPr>
          <w:ilvl w:val="0"/>
          <w:numId w:val="3"/>
        </w:numPr>
        <w:spacing w:line="360" w:lineRule="auto"/>
        <w:ind w:left="0" w:firstLine="0"/>
        <w:jc w:val="both"/>
        <w:rPr>
          <w:rFonts w:ascii="Arial" w:hAnsi="Arial" w:cs="Arial"/>
          <w:sz w:val="24"/>
          <w:szCs w:val="24"/>
          <w:lang w:val="en-US"/>
        </w:rPr>
      </w:pPr>
      <w:r w:rsidRPr="00C50193">
        <w:rPr>
          <w:rFonts w:ascii="Arial" w:hAnsi="Arial" w:cs="Arial"/>
          <w:sz w:val="24"/>
          <w:szCs w:val="24"/>
          <w:lang w:val="en-US"/>
        </w:rPr>
        <w:t>At the very least, t</w:t>
      </w:r>
      <w:r w:rsidR="00CB7262" w:rsidRPr="00C50193">
        <w:rPr>
          <w:rFonts w:ascii="Arial" w:hAnsi="Arial" w:cs="Arial"/>
          <w:sz w:val="24"/>
          <w:szCs w:val="24"/>
          <w:lang w:val="en-US"/>
        </w:rPr>
        <w:t xml:space="preserve">he </w:t>
      </w:r>
      <w:r w:rsidR="00BF3BB3" w:rsidRPr="00C50193">
        <w:rPr>
          <w:rFonts w:ascii="Arial" w:hAnsi="Arial" w:cs="Arial"/>
          <w:sz w:val="24"/>
          <w:szCs w:val="24"/>
          <w:lang w:val="en-US"/>
        </w:rPr>
        <w:t xml:space="preserve">personal circumstances of the accused must </w:t>
      </w:r>
      <w:r w:rsidRPr="00C50193">
        <w:rPr>
          <w:rFonts w:ascii="Arial" w:hAnsi="Arial" w:cs="Arial"/>
          <w:sz w:val="24"/>
          <w:szCs w:val="24"/>
          <w:lang w:val="en-US"/>
        </w:rPr>
        <w:t xml:space="preserve">properly </w:t>
      </w:r>
      <w:r w:rsidR="00BF3BB3" w:rsidRPr="00C50193">
        <w:rPr>
          <w:rFonts w:ascii="Arial" w:hAnsi="Arial" w:cs="Arial"/>
          <w:sz w:val="24"/>
          <w:szCs w:val="24"/>
          <w:lang w:val="en-US"/>
        </w:rPr>
        <w:t xml:space="preserve">be </w:t>
      </w:r>
      <w:r w:rsidRPr="00C50193">
        <w:rPr>
          <w:rFonts w:ascii="Arial" w:hAnsi="Arial" w:cs="Arial"/>
          <w:sz w:val="24"/>
          <w:szCs w:val="24"/>
          <w:lang w:val="en-US"/>
        </w:rPr>
        <w:t>taken into account</w:t>
      </w:r>
      <w:r w:rsidR="0093422F" w:rsidRPr="00C50193">
        <w:rPr>
          <w:rFonts w:ascii="Arial" w:hAnsi="Arial" w:cs="Arial"/>
          <w:sz w:val="24"/>
          <w:szCs w:val="24"/>
          <w:lang w:val="en-US"/>
        </w:rPr>
        <w:t xml:space="preserve">. </w:t>
      </w:r>
      <w:r w:rsidR="007F1637" w:rsidRPr="00C50193">
        <w:rPr>
          <w:rFonts w:ascii="Arial" w:hAnsi="Arial" w:cs="Arial"/>
          <w:sz w:val="24"/>
          <w:szCs w:val="24"/>
          <w:lang w:val="en-US"/>
        </w:rPr>
        <w:t>Overall, however, t</w:t>
      </w:r>
      <w:r w:rsidR="00166A15" w:rsidRPr="00C50193">
        <w:rPr>
          <w:rFonts w:ascii="Arial" w:hAnsi="Arial" w:cs="Arial"/>
          <w:sz w:val="24"/>
          <w:szCs w:val="24"/>
          <w:lang w:val="en-US"/>
        </w:rPr>
        <w:t xml:space="preserve">he </w:t>
      </w:r>
      <w:r w:rsidR="00F63E7A" w:rsidRPr="00C50193">
        <w:rPr>
          <w:rFonts w:ascii="Arial" w:hAnsi="Arial" w:cs="Arial"/>
          <w:sz w:val="24"/>
          <w:szCs w:val="24"/>
          <w:lang w:val="en-US"/>
        </w:rPr>
        <w:t xml:space="preserve">court must </w:t>
      </w:r>
      <w:r w:rsidR="007A541A" w:rsidRPr="00C50193">
        <w:rPr>
          <w:rFonts w:ascii="Arial" w:hAnsi="Arial" w:cs="Arial"/>
          <w:sz w:val="24"/>
          <w:szCs w:val="24"/>
          <w:lang w:val="en-US"/>
        </w:rPr>
        <w:t xml:space="preserve">ensure that it has been </w:t>
      </w:r>
      <w:r w:rsidR="00F63E7A" w:rsidRPr="00C50193">
        <w:rPr>
          <w:rFonts w:ascii="Arial" w:hAnsi="Arial" w:cs="Arial"/>
          <w:sz w:val="24"/>
          <w:szCs w:val="24"/>
          <w:lang w:val="en-US"/>
        </w:rPr>
        <w:t xml:space="preserve">placed in possession of as </w:t>
      </w:r>
      <w:r w:rsidR="005A0822" w:rsidRPr="00C50193">
        <w:rPr>
          <w:rFonts w:ascii="Arial" w:hAnsi="Arial" w:cs="Arial"/>
          <w:sz w:val="24"/>
          <w:szCs w:val="24"/>
          <w:lang w:val="en-US"/>
        </w:rPr>
        <w:t xml:space="preserve">much </w:t>
      </w:r>
      <w:r w:rsidR="007A541A" w:rsidRPr="00C50193">
        <w:rPr>
          <w:rFonts w:ascii="Arial" w:hAnsi="Arial" w:cs="Arial"/>
          <w:sz w:val="24"/>
          <w:szCs w:val="24"/>
          <w:lang w:val="en-US"/>
        </w:rPr>
        <w:t xml:space="preserve">relevant </w:t>
      </w:r>
      <w:r w:rsidR="005A0822" w:rsidRPr="00C50193">
        <w:rPr>
          <w:rFonts w:ascii="Arial" w:hAnsi="Arial" w:cs="Arial"/>
          <w:sz w:val="24"/>
          <w:szCs w:val="24"/>
          <w:lang w:val="en-US"/>
        </w:rPr>
        <w:t xml:space="preserve">information </w:t>
      </w:r>
      <w:r w:rsidR="00F63E7A" w:rsidRPr="00C50193">
        <w:rPr>
          <w:rFonts w:ascii="Arial" w:hAnsi="Arial" w:cs="Arial"/>
          <w:sz w:val="24"/>
          <w:szCs w:val="24"/>
          <w:lang w:val="en-US"/>
        </w:rPr>
        <w:t xml:space="preserve">as possible before </w:t>
      </w:r>
      <w:r w:rsidR="008713CD" w:rsidRPr="00C50193">
        <w:rPr>
          <w:rFonts w:ascii="Arial" w:hAnsi="Arial" w:cs="Arial"/>
          <w:sz w:val="24"/>
          <w:szCs w:val="24"/>
          <w:lang w:val="en-US"/>
        </w:rPr>
        <w:t xml:space="preserve">imposing </w:t>
      </w:r>
      <w:r w:rsidR="00203999" w:rsidRPr="00C50193">
        <w:rPr>
          <w:rFonts w:ascii="Arial" w:hAnsi="Arial" w:cs="Arial"/>
          <w:sz w:val="24"/>
          <w:szCs w:val="24"/>
          <w:lang w:val="en-US"/>
        </w:rPr>
        <w:t xml:space="preserve">the prescribed minimum sentence. </w:t>
      </w:r>
      <w:r w:rsidR="006B4A78" w:rsidRPr="00C50193">
        <w:rPr>
          <w:rFonts w:ascii="Arial" w:hAnsi="Arial" w:cs="Arial"/>
          <w:sz w:val="24"/>
          <w:szCs w:val="24"/>
          <w:lang w:val="en-US"/>
        </w:rPr>
        <w:t>A l</w:t>
      </w:r>
      <w:r w:rsidR="0093422F" w:rsidRPr="00C50193">
        <w:rPr>
          <w:rFonts w:ascii="Arial" w:hAnsi="Arial" w:cs="Arial"/>
          <w:sz w:val="24"/>
          <w:szCs w:val="24"/>
          <w:lang w:val="en-US"/>
        </w:rPr>
        <w:t>ife sentence</w:t>
      </w:r>
      <w:r w:rsidR="006B4A78" w:rsidRPr="00C50193">
        <w:rPr>
          <w:rFonts w:ascii="Arial" w:hAnsi="Arial" w:cs="Arial"/>
          <w:sz w:val="24"/>
          <w:szCs w:val="24"/>
          <w:lang w:val="en-US"/>
        </w:rPr>
        <w:t xml:space="preserve"> must</w:t>
      </w:r>
      <w:r w:rsidR="00346D35" w:rsidRPr="00C50193">
        <w:rPr>
          <w:rFonts w:ascii="Arial" w:hAnsi="Arial" w:cs="Arial"/>
          <w:sz w:val="24"/>
          <w:szCs w:val="24"/>
          <w:lang w:val="en-US"/>
        </w:rPr>
        <w:t xml:space="preserve"> be reserved for cases devoid of substantial factor</w:t>
      </w:r>
      <w:r w:rsidR="00EC3E70" w:rsidRPr="00C50193">
        <w:rPr>
          <w:rFonts w:ascii="Arial" w:hAnsi="Arial" w:cs="Arial"/>
          <w:sz w:val="24"/>
          <w:szCs w:val="24"/>
          <w:lang w:val="en-US"/>
        </w:rPr>
        <w:t xml:space="preserve">s that would otherwise compel the conclusion that </w:t>
      </w:r>
      <w:r w:rsidR="006B4A78" w:rsidRPr="00C50193">
        <w:rPr>
          <w:rFonts w:ascii="Arial" w:hAnsi="Arial" w:cs="Arial"/>
          <w:sz w:val="24"/>
          <w:szCs w:val="24"/>
          <w:lang w:val="en-US"/>
        </w:rPr>
        <w:t xml:space="preserve">such a sentence </w:t>
      </w:r>
      <w:r w:rsidR="00F50A87" w:rsidRPr="00C50193">
        <w:rPr>
          <w:rFonts w:ascii="Arial" w:hAnsi="Arial" w:cs="Arial"/>
          <w:sz w:val="24"/>
          <w:szCs w:val="24"/>
          <w:lang w:val="en-US"/>
        </w:rPr>
        <w:t>wa</w:t>
      </w:r>
      <w:r w:rsidR="006B4A78" w:rsidRPr="00C50193">
        <w:rPr>
          <w:rFonts w:ascii="Arial" w:hAnsi="Arial" w:cs="Arial"/>
          <w:sz w:val="24"/>
          <w:szCs w:val="24"/>
          <w:lang w:val="en-US"/>
        </w:rPr>
        <w:t>s inappropriate and unjust.</w:t>
      </w:r>
      <w:r w:rsidR="00F50A87">
        <w:rPr>
          <w:rStyle w:val="FootnoteReference"/>
          <w:rFonts w:ascii="Arial" w:hAnsi="Arial" w:cs="Arial"/>
          <w:sz w:val="24"/>
          <w:szCs w:val="24"/>
          <w:lang w:val="en-US"/>
        </w:rPr>
        <w:footnoteReference w:id="28"/>
      </w:r>
    </w:p>
    <w:p w14:paraId="577D6227" w14:textId="77777777" w:rsidR="00C50193" w:rsidRPr="00C50193" w:rsidRDefault="00C50193" w:rsidP="00C50193">
      <w:pPr>
        <w:pStyle w:val="ListParagraph"/>
        <w:spacing w:line="360" w:lineRule="auto"/>
        <w:ind w:left="0"/>
        <w:jc w:val="both"/>
        <w:rPr>
          <w:rFonts w:ascii="Arial" w:hAnsi="Arial" w:cs="Arial"/>
          <w:sz w:val="24"/>
          <w:szCs w:val="24"/>
          <w:lang w:val="en-US"/>
        </w:rPr>
      </w:pPr>
    </w:p>
    <w:p w14:paraId="002B4724" w14:textId="77777777" w:rsidR="007947B2" w:rsidRPr="007E1010" w:rsidRDefault="007947B2" w:rsidP="007E1010">
      <w:pPr>
        <w:pStyle w:val="ListParagraph"/>
        <w:rPr>
          <w:rFonts w:ascii="Arial" w:hAnsi="Arial" w:cs="Arial"/>
          <w:sz w:val="20"/>
          <w:szCs w:val="20"/>
          <w:lang w:val="en-US"/>
        </w:rPr>
      </w:pPr>
    </w:p>
    <w:p w14:paraId="1754E2CF" w14:textId="77777777" w:rsidR="0097518A" w:rsidRDefault="00E12F0C" w:rsidP="0097518A">
      <w:pPr>
        <w:pStyle w:val="ListParagraph"/>
        <w:spacing w:line="360" w:lineRule="auto"/>
        <w:ind w:left="0"/>
        <w:jc w:val="both"/>
        <w:rPr>
          <w:rFonts w:ascii="Arial" w:hAnsi="Arial" w:cs="Arial"/>
          <w:b/>
          <w:bCs/>
          <w:sz w:val="24"/>
          <w:szCs w:val="24"/>
          <w:lang w:val="en-GB"/>
        </w:rPr>
      </w:pPr>
      <w:r w:rsidRPr="007E1010">
        <w:rPr>
          <w:rFonts w:ascii="Arial" w:hAnsi="Arial" w:cs="Arial"/>
          <w:b/>
          <w:bCs/>
          <w:sz w:val="24"/>
          <w:szCs w:val="24"/>
          <w:lang w:val="en-GB"/>
        </w:rPr>
        <w:t>Relief and order to be made</w:t>
      </w:r>
    </w:p>
    <w:p w14:paraId="2E8DD18E" w14:textId="77777777" w:rsidR="0097518A" w:rsidRDefault="0097518A" w:rsidP="0097518A">
      <w:pPr>
        <w:pStyle w:val="ListParagraph"/>
        <w:spacing w:line="360" w:lineRule="auto"/>
        <w:ind w:left="0"/>
        <w:jc w:val="both"/>
        <w:rPr>
          <w:rFonts w:ascii="Arial" w:hAnsi="Arial" w:cs="Arial"/>
          <w:b/>
          <w:bCs/>
          <w:sz w:val="24"/>
          <w:szCs w:val="24"/>
          <w:lang w:val="en-GB"/>
        </w:rPr>
      </w:pPr>
    </w:p>
    <w:p w14:paraId="11ACF8D4" w14:textId="77777777" w:rsidR="00C50193" w:rsidRDefault="00E07991" w:rsidP="0097518A">
      <w:pPr>
        <w:pStyle w:val="ListParagraph"/>
        <w:numPr>
          <w:ilvl w:val="0"/>
          <w:numId w:val="3"/>
        </w:numPr>
        <w:spacing w:line="360" w:lineRule="auto"/>
        <w:ind w:left="0" w:firstLine="0"/>
        <w:jc w:val="both"/>
        <w:rPr>
          <w:rFonts w:ascii="Arial" w:hAnsi="Arial" w:cs="Arial"/>
          <w:sz w:val="24"/>
          <w:szCs w:val="24"/>
          <w:lang w:val="en-GB"/>
        </w:rPr>
      </w:pPr>
      <w:r w:rsidRPr="00601D7B">
        <w:rPr>
          <w:rFonts w:ascii="Arial" w:hAnsi="Arial" w:cs="Arial"/>
          <w:sz w:val="24"/>
          <w:szCs w:val="24"/>
          <w:lang w:val="en-GB"/>
        </w:rPr>
        <w:t xml:space="preserve">The court cannot ignore the sense of shock and outrage that </w:t>
      </w:r>
      <w:r w:rsidR="008C2FED" w:rsidRPr="00601D7B">
        <w:rPr>
          <w:rFonts w:ascii="Arial" w:hAnsi="Arial" w:cs="Arial"/>
          <w:sz w:val="24"/>
          <w:szCs w:val="24"/>
          <w:lang w:val="en-GB"/>
        </w:rPr>
        <w:t>accompanies a crime such as th</w:t>
      </w:r>
      <w:r w:rsidR="0097518A">
        <w:rPr>
          <w:rFonts w:ascii="Arial" w:hAnsi="Arial" w:cs="Arial"/>
          <w:sz w:val="24"/>
          <w:szCs w:val="24"/>
          <w:lang w:val="en-GB"/>
        </w:rPr>
        <w:t>e one in the present matter</w:t>
      </w:r>
      <w:r w:rsidR="00A02D12" w:rsidRPr="00601D7B">
        <w:rPr>
          <w:rFonts w:ascii="Arial" w:hAnsi="Arial" w:cs="Arial"/>
          <w:sz w:val="24"/>
          <w:szCs w:val="24"/>
          <w:lang w:val="en-GB"/>
        </w:rPr>
        <w:t xml:space="preserve">. </w:t>
      </w:r>
      <w:r w:rsidR="006A3A31" w:rsidRPr="00601D7B">
        <w:rPr>
          <w:rFonts w:ascii="Arial" w:hAnsi="Arial" w:cs="Arial"/>
          <w:sz w:val="24"/>
          <w:szCs w:val="24"/>
          <w:lang w:val="en-GB"/>
        </w:rPr>
        <w:t xml:space="preserve">The rape of a child remains an anathema and it is in the interests of society that it </w:t>
      </w:r>
      <w:r w:rsidR="00F755A5" w:rsidRPr="00601D7B">
        <w:rPr>
          <w:rFonts w:ascii="Arial" w:hAnsi="Arial" w:cs="Arial"/>
          <w:sz w:val="24"/>
          <w:szCs w:val="24"/>
          <w:lang w:val="en-GB"/>
        </w:rPr>
        <w:t>continues</w:t>
      </w:r>
      <w:r w:rsidR="00BC0DFD" w:rsidRPr="00601D7B">
        <w:rPr>
          <w:rFonts w:ascii="Arial" w:hAnsi="Arial" w:cs="Arial"/>
          <w:sz w:val="24"/>
          <w:szCs w:val="24"/>
          <w:lang w:val="en-GB"/>
        </w:rPr>
        <w:t xml:space="preserve"> to be treated as such by the courts. </w:t>
      </w:r>
    </w:p>
    <w:p w14:paraId="33D2AA91" w14:textId="77777777" w:rsidR="00C50193" w:rsidRDefault="00C50193" w:rsidP="00C50193">
      <w:pPr>
        <w:pStyle w:val="ListParagraph"/>
        <w:spacing w:line="360" w:lineRule="auto"/>
        <w:ind w:left="0"/>
        <w:jc w:val="both"/>
        <w:rPr>
          <w:rFonts w:ascii="Arial" w:hAnsi="Arial" w:cs="Arial"/>
          <w:sz w:val="24"/>
          <w:szCs w:val="24"/>
          <w:lang w:val="en-GB"/>
        </w:rPr>
      </w:pPr>
    </w:p>
    <w:p w14:paraId="33E65671" w14:textId="77777777" w:rsidR="00C50193" w:rsidRDefault="0061749C" w:rsidP="0097518A">
      <w:pPr>
        <w:pStyle w:val="ListParagraph"/>
        <w:numPr>
          <w:ilvl w:val="0"/>
          <w:numId w:val="3"/>
        </w:numPr>
        <w:spacing w:line="360" w:lineRule="auto"/>
        <w:ind w:left="0" w:firstLine="0"/>
        <w:jc w:val="both"/>
        <w:rPr>
          <w:rFonts w:ascii="Arial" w:hAnsi="Arial" w:cs="Arial"/>
          <w:sz w:val="24"/>
          <w:szCs w:val="24"/>
          <w:lang w:val="en-GB"/>
        </w:rPr>
      </w:pPr>
      <w:r w:rsidRPr="00C50193">
        <w:rPr>
          <w:rFonts w:ascii="Arial" w:hAnsi="Arial" w:cs="Arial"/>
          <w:sz w:val="24"/>
          <w:szCs w:val="24"/>
          <w:lang w:val="en-GB"/>
        </w:rPr>
        <w:t xml:space="preserve">Nevertheless, a </w:t>
      </w:r>
      <w:r w:rsidR="00984136" w:rsidRPr="00C50193">
        <w:rPr>
          <w:rFonts w:ascii="Arial" w:hAnsi="Arial" w:cs="Arial"/>
          <w:sz w:val="24"/>
          <w:szCs w:val="24"/>
          <w:lang w:val="en-GB"/>
        </w:rPr>
        <w:t>presiding officer</w:t>
      </w:r>
      <w:r w:rsidR="00E73BE9" w:rsidRPr="00C50193">
        <w:rPr>
          <w:rFonts w:ascii="Arial" w:hAnsi="Arial" w:cs="Arial"/>
          <w:sz w:val="24"/>
          <w:szCs w:val="24"/>
          <w:lang w:val="en-GB"/>
        </w:rPr>
        <w:t xml:space="preserve"> is required to ensure that </w:t>
      </w:r>
      <w:r w:rsidR="005516CB" w:rsidRPr="00C50193">
        <w:rPr>
          <w:rFonts w:ascii="Arial" w:hAnsi="Arial" w:cs="Arial"/>
          <w:sz w:val="24"/>
          <w:szCs w:val="24"/>
          <w:lang w:val="en-GB"/>
        </w:rPr>
        <w:t>he or she</w:t>
      </w:r>
      <w:r w:rsidR="008E588A" w:rsidRPr="00C50193">
        <w:rPr>
          <w:rFonts w:ascii="Arial" w:hAnsi="Arial" w:cs="Arial"/>
          <w:sz w:val="24"/>
          <w:szCs w:val="24"/>
          <w:lang w:val="en-GB"/>
        </w:rPr>
        <w:t xml:space="preserve"> has sufficient information </w:t>
      </w:r>
      <w:r w:rsidR="005516CB" w:rsidRPr="00C50193">
        <w:rPr>
          <w:rFonts w:ascii="Arial" w:hAnsi="Arial" w:cs="Arial"/>
          <w:sz w:val="24"/>
          <w:szCs w:val="24"/>
          <w:lang w:val="en-GB"/>
        </w:rPr>
        <w:t xml:space="preserve">for </w:t>
      </w:r>
      <w:r w:rsidR="008E588A" w:rsidRPr="00C50193">
        <w:rPr>
          <w:rFonts w:ascii="Arial" w:hAnsi="Arial" w:cs="Arial"/>
          <w:sz w:val="24"/>
          <w:szCs w:val="24"/>
          <w:lang w:val="en-GB"/>
        </w:rPr>
        <w:t xml:space="preserve">deciding whether substantial and compelling circumstances exist to justify </w:t>
      </w:r>
      <w:r w:rsidR="002E1716" w:rsidRPr="00C50193">
        <w:rPr>
          <w:rFonts w:ascii="Arial" w:hAnsi="Arial" w:cs="Arial"/>
          <w:sz w:val="24"/>
          <w:szCs w:val="24"/>
          <w:lang w:val="en-GB"/>
        </w:rPr>
        <w:t xml:space="preserve">the imposition of a lesser sentence. </w:t>
      </w:r>
      <w:r w:rsidRPr="00C50193">
        <w:rPr>
          <w:rFonts w:ascii="Arial" w:hAnsi="Arial" w:cs="Arial"/>
          <w:sz w:val="24"/>
          <w:szCs w:val="24"/>
          <w:lang w:val="en-GB"/>
        </w:rPr>
        <w:t xml:space="preserve"> </w:t>
      </w:r>
      <w:r w:rsidR="00984136" w:rsidRPr="00C50193">
        <w:rPr>
          <w:rFonts w:ascii="Arial" w:hAnsi="Arial" w:cs="Arial"/>
          <w:sz w:val="24"/>
          <w:szCs w:val="24"/>
          <w:lang w:val="en-GB"/>
        </w:rPr>
        <w:t xml:space="preserve">The court </w:t>
      </w:r>
      <w:r w:rsidR="00984136" w:rsidRPr="00C50193">
        <w:rPr>
          <w:rFonts w:ascii="Arial" w:hAnsi="Arial" w:cs="Arial"/>
          <w:i/>
          <w:iCs/>
          <w:sz w:val="24"/>
          <w:szCs w:val="24"/>
          <w:lang w:val="en-GB"/>
        </w:rPr>
        <w:t>a quo</w:t>
      </w:r>
      <w:r w:rsidR="006A5430" w:rsidRPr="00C50193">
        <w:rPr>
          <w:rFonts w:ascii="Arial" w:hAnsi="Arial" w:cs="Arial"/>
          <w:sz w:val="24"/>
          <w:szCs w:val="24"/>
          <w:lang w:val="en-GB"/>
        </w:rPr>
        <w:t xml:space="preserve">, here, relied on the most perfunctory </w:t>
      </w:r>
      <w:r w:rsidR="006A5430" w:rsidRPr="00C50193">
        <w:rPr>
          <w:rFonts w:ascii="Arial" w:hAnsi="Arial" w:cs="Arial"/>
          <w:sz w:val="24"/>
          <w:szCs w:val="24"/>
          <w:lang w:val="en-GB"/>
        </w:rPr>
        <w:lastRenderedPageBreak/>
        <w:t xml:space="preserve">of submissions made by </w:t>
      </w:r>
      <w:r w:rsidR="00754A7A" w:rsidRPr="00C50193">
        <w:rPr>
          <w:rFonts w:ascii="Arial" w:hAnsi="Arial" w:cs="Arial"/>
          <w:sz w:val="24"/>
          <w:szCs w:val="24"/>
          <w:lang w:val="en-GB"/>
        </w:rPr>
        <w:t xml:space="preserve">the defence and the state before </w:t>
      </w:r>
      <w:r w:rsidR="009C060D" w:rsidRPr="00C50193">
        <w:rPr>
          <w:rFonts w:ascii="Arial" w:hAnsi="Arial" w:cs="Arial"/>
          <w:sz w:val="24"/>
          <w:szCs w:val="24"/>
          <w:lang w:val="en-GB"/>
        </w:rPr>
        <w:t>handing down a life sentence.</w:t>
      </w:r>
      <w:r w:rsidR="00827E96" w:rsidRPr="00C50193">
        <w:rPr>
          <w:rFonts w:ascii="Arial" w:hAnsi="Arial" w:cs="Arial"/>
          <w:sz w:val="24"/>
          <w:szCs w:val="24"/>
          <w:lang w:val="en-GB"/>
        </w:rPr>
        <w:t xml:space="preserve"> </w:t>
      </w:r>
      <w:r w:rsidR="00D513BC" w:rsidRPr="00C50193">
        <w:rPr>
          <w:rFonts w:ascii="Arial" w:hAnsi="Arial" w:cs="Arial"/>
          <w:sz w:val="24"/>
          <w:szCs w:val="24"/>
          <w:lang w:val="en-GB"/>
        </w:rPr>
        <w:t xml:space="preserve">From the record, it is simply not apparent that enough was known about </w:t>
      </w:r>
      <w:r w:rsidR="005C6930" w:rsidRPr="00C50193">
        <w:rPr>
          <w:rFonts w:ascii="Arial" w:hAnsi="Arial" w:cs="Arial"/>
          <w:sz w:val="24"/>
          <w:szCs w:val="24"/>
          <w:lang w:val="en-US"/>
        </w:rPr>
        <w:t xml:space="preserve">the </w:t>
      </w:r>
      <w:r w:rsidR="00D513BC" w:rsidRPr="00C50193">
        <w:rPr>
          <w:rFonts w:ascii="Arial" w:hAnsi="Arial" w:cs="Arial"/>
          <w:sz w:val="24"/>
          <w:szCs w:val="24"/>
          <w:lang w:val="en-US"/>
        </w:rPr>
        <w:t>accused</w:t>
      </w:r>
      <w:r w:rsidR="005C6930" w:rsidRPr="00C50193">
        <w:rPr>
          <w:rFonts w:ascii="Arial" w:hAnsi="Arial" w:cs="Arial"/>
          <w:sz w:val="24"/>
          <w:szCs w:val="24"/>
          <w:lang w:val="en-US"/>
        </w:rPr>
        <w:t xml:space="preserve">, the </w:t>
      </w:r>
      <w:r w:rsidR="00697653" w:rsidRPr="00C50193">
        <w:rPr>
          <w:rFonts w:ascii="Arial" w:hAnsi="Arial" w:cs="Arial"/>
          <w:sz w:val="24"/>
          <w:szCs w:val="24"/>
          <w:lang w:val="en-US"/>
        </w:rPr>
        <w:t xml:space="preserve">situation </w:t>
      </w:r>
      <w:r w:rsidR="00FD4066" w:rsidRPr="00C50193">
        <w:rPr>
          <w:rFonts w:ascii="Arial" w:hAnsi="Arial" w:cs="Arial"/>
          <w:sz w:val="24"/>
          <w:szCs w:val="24"/>
          <w:lang w:val="en-US"/>
        </w:rPr>
        <w:t xml:space="preserve">at the time that </w:t>
      </w:r>
      <w:r w:rsidR="005C6930" w:rsidRPr="00C50193">
        <w:rPr>
          <w:rFonts w:ascii="Arial" w:hAnsi="Arial" w:cs="Arial"/>
          <w:sz w:val="24"/>
          <w:szCs w:val="24"/>
          <w:lang w:val="en-US"/>
        </w:rPr>
        <w:t>the offence</w:t>
      </w:r>
      <w:r w:rsidR="00E30DC7" w:rsidRPr="00C50193">
        <w:rPr>
          <w:rFonts w:ascii="Arial" w:hAnsi="Arial" w:cs="Arial"/>
          <w:sz w:val="24"/>
          <w:szCs w:val="24"/>
          <w:lang w:val="en-US"/>
        </w:rPr>
        <w:t xml:space="preserve"> was</w:t>
      </w:r>
      <w:r w:rsidR="00697653" w:rsidRPr="00C50193">
        <w:rPr>
          <w:rFonts w:ascii="Arial" w:hAnsi="Arial" w:cs="Arial"/>
          <w:sz w:val="24"/>
          <w:szCs w:val="24"/>
          <w:lang w:val="en-US"/>
        </w:rPr>
        <w:t xml:space="preserve"> committed,</w:t>
      </w:r>
      <w:r w:rsidR="00332A02" w:rsidRPr="00C50193">
        <w:rPr>
          <w:rFonts w:ascii="Arial" w:hAnsi="Arial" w:cs="Arial"/>
          <w:sz w:val="24"/>
          <w:szCs w:val="24"/>
          <w:lang w:val="en-US"/>
        </w:rPr>
        <w:t xml:space="preserve"> or</w:t>
      </w:r>
      <w:r w:rsidR="005C6930" w:rsidRPr="00C50193">
        <w:rPr>
          <w:rFonts w:ascii="Arial" w:hAnsi="Arial" w:cs="Arial"/>
          <w:sz w:val="24"/>
          <w:szCs w:val="24"/>
          <w:lang w:val="en-US"/>
        </w:rPr>
        <w:t xml:space="preserve"> the </w:t>
      </w:r>
      <w:r w:rsidR="00697653" w:rsidRPr="00C50193">
        <w:rPr>
          <w:rFonts w:ascii="Arial" w:hAnsi="Arial" w:cs="Arial"/>
          <w:sz w:val="24"/>
          <w:szCs w:val="24"/>
          <w:lang w:val="en-US"/>
        </w:rPr>
        <w:t>complainant</w:t>
      </w:r>
      <w:r w:rsidR="005C6930" w:rsidRPr="00C50193">
        <w:rPr>
          <w:rFonts w:ascii="Arial" w:hAnsi="Arial" w:cs="Arial"/>
          <w:sz w:val="24"/>
          <w:szCs w:val="24"/>
          <w:lang w:val="en-US"/>
        </w:rPr>
        <w:t xml:space="preserve">’s circumstances, including the impact </w:t>
      </w:r>
      <w:r w:rsidR="00120615" w:rsidRPr="00C50193">
        <w:rPr>
          <w:rFonts w:ascii="Arial" w:hAnsi="Arial" w:cs="Arial"/>
          <w:sz w:val="24"/>
          <w:szCs w:val="24"/>
          <w:lang w:val="en-US"/>
        </w:rPr>
        <w:t xml:space="preserve">that the </w:t>
      </w:r>
      <w:r w:rsidR="005C6930" w:rsidRPr="00C50193">
        <w:rPr>
          <w:rFonts w:ascii="Arial" w:hAnsi="Arial" w:cs="Arial"/>
          <w:sz w:val="24"/>
          <w:szCs w:val="24"/>
          <w:lang w:val="en-US"/>
        </w:rPr>
        <w:t xml:space="preserve">commission of the offence </w:t>
      </w:r>
      <w:r w:rsidR="00120615" w:rsidRPr="00C50193">
        <w:rPr>
          <w:rFonts w:ascii="Arial" w:hAnsi="Arial" w:cs="Arial"/>
          <w:sz w:val="24"/>
          <w:szCs w:val="24"/>
          <w:lang w:val="en-US"/>
        </w:rPr>
        <w:t xml:space="preserve">has </w:t>
      </w:r>
      <w:r w:rsidR="005C6930" w:rsidRPr="00C50193">
        <w:rPr>
          <w:rFonts w:ascii="Arial" w:hAnsi="Arial" w:cs="Arial"/>
          <w:sz w:val="24"/>
          <w:szCs w:val="24"/>
          <w:lang w:val="en-US"/>
        </w:rPr>
        <w:t xml:space="preserve">had on </w:t>
      </w:r>
      <w:r w:rsidR="00120615" w:rsidRPr="00C50193">
        <w:rPr>
          <w:rFonts w:ascii="Arial" w:hAnsi="Arial" w:cs="Arial"/>
          <w:sz w:val="24"/>
          <w:szCs w:val="24"/>
          <w:lang w:val="en-US"/>
        </w:rPr>
        <w:t>her.</w:t>
      </w:r>
      <w:r w:rsidR="00B14A93" w:rsidRPr="00C50193">
        <w:rPr>
          <w:rFonts w:ascii="Arial" w:hAnsi="Arial" w:cs="Arial"/>
          <w:sz w:val="24"/>
          <w:szCs w:val="24"/>
          <w:lang w:val="en-US"/>
        </w:rPr>
        <w:t xml:space="preserve"> </w:t>
      </w:r>
      <w:r w:rsidR="00827E96" w:rsidRPr="00C50193">
        <w:rPr>
          <w:rFonts w:ascii="Arial" w:hAnsi="Arial" w:cs="Arial"/>
          <w:sz w:val="24"/>
          <w:szCs w:val="24"/>
          <w:lang w:val="en-GB"/>
        </w:rPr>
        <w:t>It cannot be said that the</w:t>
      </w:r>
      <w:r w:rsidR="00442CCF" w:rsidRPr="00C50193">
        <w:rPr>
          <w:rFonts w:ascii="Arial" w:hAnsi="Arial" w:cs="Arial"/>
          <w:sz w:val="24"/>
          <w:szCs w:val="24"/>
          <w:lang w:val="en-GB"/>
        </w:rPr>
        <w:t xml:space="preserve"> court was in possession </w:t>
      </w:r>
      <w:r w:rsidR="00425A9E" w:rsidRPr="00C50193">
        <w:rPr>
          <w:rFonts w:ascii="Arial" w:hAnsi="Arial" w:cs="Arial"/>
          <w:sz w:val="24"/>
          <w:szCs w:val="24"/>
          <w:lang w:val="en-GB"/>
        </w:rPr>
        <w:t xml:space="preserve">of enough </w:t>
      </w:r>
      <w:r w:rsidR="00827E96" w:rsidRPr="00C50193">
        <w:rPr>
          <w:rFonts w:ascii="Arial" w:hAnsi="Arial" w:cs="Arial"/>
          <w:sz w:val="24"/>
          <w:szCs w:val="24"/>
          <w:lang w:val="en-GB"/>
        </w:rPr>
        <w:t xml:space="preserve">information to have </w:t>
      </w:r>
      <w:r w:rsidR="002069EA" w:rsidRPr="00C50193">
        <w:rPr>
          <w:rFonts w:ascii="Arial" w:hAnsi="Arial" w:cs="Arial"/>
          <w:sz w:val="24"/>
          <w:szCs w:val="24"/>
          <w:lang w:val="en-GB"/>
        </w:rPr>
        <w:t xml:space="preserve">been satisfied </w:t>
      </w:r>
      <w:r w:rsidR="00155191" w:rsidRPr="00C50193">
        <w:rPr>
          <w:rFonts w:ascii="Arial" w:hAnsi="Arial" w:cs="Arial"/>
          <w:sz w:val="24"/>
          <w:szCs w:val="24"/>
          <w:lang w:val="en-GB"/>
        </w:rPr>
        <w:t xml:space="preserve">that the </w:t>
      </w:r>
      <w:r w:rsidR="00DA0487" w:rsidRPr="00C50193">
        <w:rPr>
          <w:rFonts w:ascii="Arial" w:hAnsi="Arial" w:cs="Arial"/>
          <w:sz w:val="24"/>
          <w:szCs w:val="24"/>
          <w:lang w:val="en-GB"/>
        </w:rPr>
        <w:t xml:space="preserve">prescribed minimum sentence </w:t>
      </w:r>
      <w:r w:rsidR="002069EA" w:rsidRPr="00C50193">
        <w:rPr>
          <w:rFonts w:ascii="Arial" w:hAnsi="Arial" w:cs="Arial"/>
          <w:sz w:val="24"/>
          <w:szCs w:val="24"/>
          <w:lang w:val="en-GB"/>
        </w:rPr>
        <w:t>would</w:t>
      </w:r>
      <w:r w:rsidR="00334AD1" w:rsidRPr="00C50193">
        <w:rPr>
          <w:rFonts w:ascii="Arial" w:hAnsi="Arial" w:cs="Arial"/>
          <w:sz w:val="24"/>
          <w:szCs w:val="24"/>
          <w:lang w:val="en-GB"/>
        </w:rPr>
        <w:t xml:space="preserve"> not infringe the </w:t>
      </w:r>
      <w:r w:rsidR="00E64D1B" w:rsidRPr="00C50193">
        <w:rPr>
          <w:rFonts w:ascii="Arial" w:hAnsi="Arial" w:cs="Arial"/>
          <w:sz w:val="24"/>
          <w:szCs w:val="24"/>
          <w:lang w:val="en-GB"/>
        </w:rPr>
        <w:t>principle of proportionality</w:t>
      </w:r>
      <w:r w:rsidR="00A64F1D" w:rsidRPr="00C50193">
        <w:rPr>
          <w:rFonts w:ascii="Arial" w:hAnsi="Arial" w:cs="Arial"/>
          <w:sz w:val="24"/>
          <w:szCs w:val="24"/>
          <w:lang w:val="en-GB"/>
        </w:rPr>
        <w:t xml:space="preserve">. </w:t>
      </w:r>
    </w:p>
    <w:p w14:paraId="268EF7C2" w14:textId="77777777" w:rsidR="00C50193" w:rsidRPr="00C50193" w:rsidRDefault="00C50193" w:rsidP="00C50193">
      <w:pPr>
        <w:pStyle w:val="ListParagraph"/>
        <w:rPr>
          <w:rFonts w:ascii="Arial" w:hAnsi="Arial" w:cs="Arial"/>
          <w:sz w:val="24"/>
          <w:szCs w:val="24"/>
          <w:lang w:val="en-GB"/>
        </w:rPr>
      </w:pPr>
    </w:p>
    <w:p w14:paraId="55C3849F" w14:textId="77777777" w:rsidR="00C50193" w:rsidRDefault="00E30DC7" w:rsidP="0097518A">
      <w:pPr>
        <w:pStyle w:val="ListParagraph"/>
        <w:numPr>
          <w:ilvl w:val="0"/>
          <w:numId w:val="3"/>
        </w:numPr>
        <w:spacing w:line="360" w:lineRule="auto"/>
        <w:ind w:left="0" w:firstLine="0"/>
        <w:jc w:val="both"/>
        <w:rPr>
          <w:rFonts w:ascii="Arial" w:hAnsi="Arial" w:cs="Arial"/>
          <w:sz w:val="24"/>
          <w:szCs w:val="24"/>
          <w:lang w:val="en-GB"/>
        </w:rPr>
      </w:pPr>
      <w:r w:rsidRPr="00C50193">
        <w:rPr>
          <w:rFonts w:ascii="Arial" w:hAnsi="Arial" w:cs="Arial"/>
          <w:sz w:val="24"/>
          <w:szCs w:val="24"/>
          <w:lang w:val="en-GB"/>
        </w:rPr>
        <w:t xml:space="preserve">Consequently, I am </w:t>
      </w:r>
      <w:r w:rsidR="00F01ADC" w:rsidRPr="00C50193">
        <w:rPr>
          <w:rFonts w:ascii="Arial" w:hAnsi="Arial" w:cs="Arial"/>
          <w:sz w:val="24"/>
          <w:szCs w:val="24"/>
          <w:lang w:val="en-GB"/>
        </w:rPr>
        <w:t>of the respectful view that t</w:t>
      </w:r>
      <w:r w:rsidR="005D6D2B" w:rsidRPr="00C50193">
        <w:rPr>
          <w:rFonts w:ascii="Arial" w:hAnsi="Arial" w:cs="Arial"/>
          <w:sz w:val="24"/>
          <w:szCs w:val="24"/>
          <w:lang w:val="en-GB"/>
        </w:rPr>
        <w:t xml:space="preserve">he court </w:t>
      </w:r>
      <w:r w:rsidR="005D6D2B" w:rsidRPr="00C50193">
        <w:rPr>
          <w:rFonts w:ascii="Arial" w:hAnsi="Arial" w:cs="Arial"/>
          <w:i/>
          <w:iCs/>
          <w:sz w:val="24"/>
          <w:szCs w:val="24"/>
          <w:lang w:val="en-GB"/>
        </w:rPr>
        <w:t>a quo</w:t>
      </w:r>
      <w:r w:rsidR="005D6D2B" w:rsidRPr="00C50193">
        <w:rPr>
          <w:rFonts w:ascii="Arial" w:hAnsi="Arial" w:cs="Arial"/>
          <w:sz w:val="24"/>
          <w:szCs w:val="24"/>
          <w:lang w:val="en-GB"/>
        </w:rPr>
        <w:t xml:space="preserve"> committed a material misdirection </w:t>
      </w:r>
      <w:r w:rsidR="00C170BE" w:rsidRPr="00C50193">
        <w:rPr>
          <w:rFonts w:ascii="Arial" w:hAnsi="Arial" w:cs="Arial"/>
          <w:sz w:val="24"/>
          <w:szCs w:val="24"/>
          <w:lang w:val="en-GB"/>
        </w:rPr>
        <w:t xml:space="preserve">in </w:t>
      </w:r>
      <w:r w:rsidR="00F74134" w:rsidRPr="00C50193">
        <w:rPr>
          <w:rFonts w:ascii="Arial" w:hAnsi="Arial" w:cs="Arial"/>
          <w:sz w:val="24"/>
          <w:szCs w:val="24"/>
          <w:lang w:val="en-GB"/>
        </w:rPr>
        <w:t xml:space="preserve">not ensuring that </w:t>
      </w:r>
      <w:r w:rsidR="00CB588E" w:rsidRPr="00C50193">
        <w:rPr>
          <w:rFonts w:ascii="Arial" w:hAnsi="Arial" w:cs="Arial"/>
          <w:sz w:val="24"/>
          <w:szCs w:val="24"/>
          <w:lang w:val="en-GB"/>
        </w:rPr>
        <w:t xml:space="preserve">it had been placed in possession of sufficient information before </w:t>
      </w:r>
      <w:r w:rsidR="00742069" w:rsidRPr="00C50193">
        <w:rPr>
          <w:rFonts w:ascii="Arial" w:hAnsi="Arial" w:cs="Arial"/>
          <w:sz w:val="24"/>
          <w:szCs w:val="24"/>
          <w:lang w:val="en-GB"/>
        </w:rPr>
        <w:t xml:space="preserve">imposing the prescribed minimum sentence. </w:t>
      </w:r>
      <w:r w:rsidR="009D7E14" w:rsidRPr="00C50193">
        <w:rPr>
          <w:rFonts w:ascii="Arial" w:hAnsi="Arial" w:cs="Arial"/>
          <w:sz w:val="24"/>
          <w:szCs w:val="24"/>
          <w:lang w:val="en-GB"/>
        </w:rPr>
        <w:t xml:space="preserve">The </w:t>
      </w:r>
      <w:r w:rsidR="00CD6864" w:rsidRPr="00C50193">
        <w:rPr>
          <w:rFonts w:ascii="Arial" w:hAnsi="Arial" w:cs="Arial"/>
          <w:sz w:val="24"/>
          <w:szCs w:val="24"/>
          <w:lang w:val="en-GB"/>
        </w:rPr>
        <w:t xml:space="preserve">discretion of the </w:t>
      </w:r>
      <w:r w:rsidR="009D7E14" w:rsidRPr="00C50193">
        <w:rPr>
          <w:rFonts w:ascii="Arial" w:hAnsi="Arial" w:cs="Arial"/>
          <w:sz w:val="24"/>
          <w:szCs w:val="24"/>
          <w:lang w:val="en-GB"/>
        </w:rPr>
        <w:t xml:space="preserve">court </w:t>
      </w:r>
      <w:r w:rsidR="009D7E14" w:rsidRPr="00C50193">
        <w:rPr>
          <w:rFonts w:ascii="Arial" w:hAnsi="Arial" w:cs="Arial"/>
          <w:i/>
          <w:iCs/>
          <w:sz w:val="24"/>
          <w:szCs w:val="24"/>
          <w:lang w:val="en-GB"/>
        </w:rPr>
        <w:t>a quo</w:t>
      </w:r>
      <w:r w:rsidR="009D7E14" w:rsidRPr="00C50193">
        <w:rPr>
          <w:rFonts w:ascii="Arial" w:hAnsi="Arial" w:cs="Arial"/>
          <w:sz w:val="24"/>
          <w:szCs w:val="24"/>
          <w:lang w:val="en-GB"/>
        </w:rPr>
        <w:t xml:space="preserve"> was </w:t>
      </w:r>
      <w:r w:rsidR="00CD6864" w:rsidRPr="00C50193">
        <w:rPr>
          <w:rFonts w:ascii="Arial" w:hAnsi="Arial" w:cs="Arial"/>
          <w:sz w:val="24"/>
          <w:szCs w:val="24"/>
          <w:lang w:val="en-GB"/>
        </w:rPr>
        <w:t xml:space="preserve">exercised </w:t>
      </w:r>
      <w:r w:rsidR="00915182" w:rsidRPr="00C50193">
        <w:rPr>
          <w:rFonts w:ascii="Arial" w:hAnsi="Arial" w:cs="Arial"/>
          <w:sz w:val="24"/>
          <w:szCs w:val="24"/>
          <w:lang w:val="en-GB"/>
        </w:rPr>
        <w:t xml:space="preserve">unreasonably and </w:t>
      </w:r>
      <w:r w:rsidR="009D7E14" w:rsidRPr="00C50193">
        <w:rPr>
          <w:rFonts w:ascii="Arial" w:hAnsi="Arial" w:cs="Arial"/>
          <w:sz w:val="24"/>
          <w:szCs w:val="24"/>
          <w:lang w:val="en-GB"/>
        </w:rPr>
        <w:t>incorrect</w:t>
      </w:r>
      <w:r w:rsidR="00915182" w:rsidRPr="00C50193">
        <w:rPr>
          <w:rFonts w:ascii="Arial" w:hAnsi="Arial" w:cs="Arial"/>
          <w:sz w:val="24"/>
          <w:szCs w:val="24"/>
          <w:lang w:val="en-GB"/>
        </w:rPr>
        <w:t>ly</w:t>
      </w:r>
      <w:r w:rsidR="00CF3C39" w:rsidRPr="00C50193">
        <w:rPr>
          <w:rFonts w:ascii="Arial" w:hAnsi="Arial" w:cs="Arial"/>
          <w:sz w:val="24"/>
          <w:szCs w:val="24"/>
          <w:lang w:val="en-GB"/>
        </w:rPr>
        <w:t>.</w:t>
      </w:r>
      <w:r w:rsidR="00742069" w:rsidRPr="00C50193">
        <w:rPr>
          <w:rFonts w:ascii="Arial" w:hAnsi="Arial" w:cs="Arial"/>
          <w:sz w:val="24"/>
          <w:szCs w:val="24"/>
          <w:lang w:val="en-GB"/>
        </w:rPr>
        <w:t xml:space="preserve"> </w:t>
      </w:r>
    </w:p>
    <w:p w14:paraId="48C3BBFA" w14:textId="77777777" w:rsidR="00C50193" w:rsidRPr="00C50193" w:rsidRDefault="00C50193" w:rsidP="00C50193">
      <w:pPr>
        <w:pStyle w:val="ListParagraph"/>
        <w:rPr>
          <w:rFonts w:ascii="Arial" w:hAnsi="Arial" w:cs="Arial"/>
          <w:sz w:val="24"/>
          <w:szCs w:val="24"/>
          <w:lang w:val="en-GB"/>
        </w:rPr>
      </w:pPr>
    </w:p>
    <w:p w14:paraId="180F3519" w14:textId="49775E15" w:rsidR="00C50193" w:rsidRDefault="002B24D3" w:rsidP="00CF3C39">
      <w:pPr>
        <w:pStyle w:val="ListParagraph"/>
        <w:numPr>
          <w:ilvl w:val="0"/>
          <w:numId w:val="3"/>
        </w:numPr>
        <w:spacing w:line="360" w:lineRule="auto"/>
        <w:ind w:left="0" w:firstLine="0"/>
        <w:jc w:val="both"/>
        <w:rPr>
          <w:rFonts w:ascii="Arial" w:hAnsi="Arial" w:cs="Arial"/>
          <w:sz w:val="24"/>
          <w:szCs w:val="24"/>
          <w:lang w:val="en-GB"/>
        </w:rPr>
      </w:pPr>
      <w:r w:rsidRPr="00C50193">
        <w:rPr>
          <w:rFonts w:ascii="Arial" w:hAnsi="Arial" w:cs="Arial"/>
          <w:sz w:val="24"/>
          <w:szCs w:val="24"/>
          <w:lang w:val="en-GB"/>
        </w:rPr>
        <w:t xml:space="preserve">The court of </w:t>
      </w:r>
      <w:r w:rsidR="001C3CCD" w:rsidRPr="00C50193">
        <w:rPr>
          <w:rFonts w:ascii="Arial" w:hAnsi="Arial" w:cs="Arial"/>
          <w:sz w:val="24"/>
          <w:szCs w:val="24"/>
          <w:lang w:val="en-GB"/>
        </w:rPr>
        <w:t xml:space="preserve">appeal, however, </w:t>
      </w:r>
      <w:r w:rsidR="000071D6" w:rsidRPr="00C50193">
        <w:rPr>
          <w:rFonts w:ascii="Arial" w:hAnsi="Arial" w:cs="Arial"/>
          <w:sz w:val="24"/>
          <w:szCs w:val="24"/>
          <w:lang w:val="en-GB"/>
        </w:rPr>
        <w:t xml:space="preserve">is not </w:t>
      </w:r>
      <w:r w:rsidR="00E05DB3" w:rsidRPr="00C50193">
        <w:rPr>
          <w:rFonts w:ascii="Arial" w:hAnsi="Arial" w:cs="Arial"/>
          <w:sz w:val="24"/>
          <w:szCs w:val="24"/>
          <w:lang w:val="en-GB"/>
        </w:rPr>
        <w:t>able</w:t>
      </w:r>
      <w:r w:rsidR="000071D6" w:rsidRPr="00C50193">
        <w:rPr>
          <w:rFonts w:ascii="Arial" w:hAnsi="Arial" w:cs="Arial"/>
          <w:sz w:val="24"/>
          <w:szCs w:val="24"/>
          <w:lang w:val="en-GB"/>
        </w:rPr>
        <w:t xml:space="preserve"> to consider sentence afresh</w:t>
      </w:r>
      <w:r w:rsidR="00F9235E" w:rsidRPr="00C50193">
        <w:rPr>
          <w:rFonts w:ascii="Arial" w:hAnsi="Arial" w:cs="Arial"/>
          <w:sz w:val="24"/>
          <w:szCs w:val="24"/>
          <w:lang w:val="en-GB"/>
        </w:rPr>
        <w:t xml:space="preserve">. </w:t>
      </w:r>
      <w:r w:rsidR="00DA5082" w:rsidRPr="00C50193">
        <w:rPr>
          <w:rFonts w:ascii="Arial" w:hAnsi="Arial" w:cs="Arial"/>
          <w:sz w:val="24"/>
          <w:szCs w:val="24"/>
          <w:lang w:val="en-GB"/>
        </w:rPr>
        <w:t>Instead, the</w:t>
      </w:r>
      <w:r w:rsidR="00D154A9" w:rsidRPr="00C50193">
        <w:rPr>
          <w:rFonts w:ascii="Arial" w:hAnsi="Arial" w:cs="Arial"/>
          <w:sz w:val="24"/>
          <w:szCs w:val="24"/>
          <w:lang w:val="en-GB"/>
        </w:rPr>
        <w:t xml:space="preserve"> </w:t>
      </w:r>
      <w:r w:rsidR="00475C35" w:rsidRPr="00C50193">
        <w:rPr>
          <w:rFonts w:ascii="Arial" w:hAnsi="Arial" w:cs="Arial"/>
          <w:sz w:val="24"/>
          <w:szCs w:val="24"/>
          <w:lang w:val="en-GB"/>
        </w:rPr>
        <w:t>approach adopted</w:t>
      </w:r>
      <w:r w:rsidR="00262938" w:rsidRPr="00C50193">
        <w:rPr>
          <w:rFonts w:ascii="Arial" w:hAnsi="Arial" w:cs="Arial"/>
          <w:sz w:val="24"/>
          <w:szCs w:val="24"/>
          <w:lang w:val="en-GB"/>
        </w:rPr>
        <w:t xml:space="preserve"> in </w:t>
      </w:r>
      <w:r w:rsidR="00262938" w:rsidRPr="00C50193">
        <w:rPr>
          <w:rFonts w:ascii="Arial" w:hAnsi="Arial" w:cs="Arial"/>
          <w:i/>
          <w:iCs/>
          <w:sz w:val="24"/>
          <w:szCs w:val="24"/>
          <w:lang w:val="en-GB"/>
        </w:rPr>
        <w:t>Rammoko</w:t>
      </w:r>
      <w:r w:rsidR="00262938" w:rsidRPr="00C50193">
        <w:rPr>
          <w:rFonts w:ascii="Arial" w:hAnsi="Arial" w:cs="Arial"/>
          <w:sz w:val="24"/>
          <w:szCs w:val="24"/>
          <w:lang w:val="en-GB"/>
        </w:rPr>
        <w:t xml:space="preserve"> </w:t>
      </w:r>
      <w:r w:rsidR="00475C35" w:rsidRPr="00C50193">
        <w:rPr>
          <w:rFonts w:ascii="Arial" w:hAnsi="Arial" w:cs="Arial"/>
          <w:sz w:val="24"/>
          <w:szCs w:val="24"/>
          <w:lang w:val="en-GB"/>
        </w:rPr>
        <w:t>provides, in my view,</w:t>
      </w:r>
      <w:r w:rsidR="007B603D" w:rsidRPr="00C50193">
        <w:rPr>
          <w:rFonts w:ascii="Arial" w:hAnsi="Arial" w:cs="Arial"/>
          <w:sz w:val="24"/>
          <w:szCs w:val="24"/>
          <w:lang w:val="en-GB"/>
        </w:rPr>
        <w:t xml:space="preserve"> the basis upon which </w:t>
      </w:r>
      <w:r w:rsidR="001C1E40" w:rsidRPr="00C50193">
        <w:rPr>
          <w:rFonts w:ascii="Arial" w:hAnsi="Arial" w:cs="Arial"/>
          <w:sz w:val="24"/>
          <w:szCs w:val="24"/>
          <w:lang w:val="en-GB"/>
        </w:rPr>
        <w:t xml:space="preserve">the matter </w:t>
      </w:r>
      <w:r w:rsidR="00475C35" w:rsidRPr="00C50193">
        <w:rPr>
          <w:rFonts w:ascii="Arial" w:hAnsi="Arial" w:cs="Arial"/>
          <w:sz w:val="24"/>
          <w:szCs w:val="24"/>
          <w:lang w:val="en-GB"/>
        </w:rPr>
        <w:t>can be re</w:t>
      </w:r>
      <w:r w:rsidR="005B27FA" w:rsidRPr="00C50193">
        <w:rPr>
          <w:rFonts w:ascii="Arial" w:hAnsi="Arial" w:cs="Arial"/>
          <w:sz w:val="24"/>
          <w:szCs w:val="24"/>
          <w:lang w:val="en-GB"/>
        </w:rPr>
        <w:t xml:space="preserve">mitted to the court </w:t>
      </w:r>
      <w:r w:rsidR="005B27FA" w:rsidRPr="00C50193">
        <w:rPr>
          <w:rFonts w:ascii="Arial" w:hAnsi="Arial" w:cs="Arial"/>
          <w:i/>
          <w:iCs/>
          <w:sz w:val="24"/>
          <w:szCs w:val="24"/>
          <w:lang w:val="en-GB"/>
        </w:rPr>
        <w:t>a quo</w:t>
      </w:r>
      <w:r w:rsidR="005B27FA" w:rsidRPr="00C50193">
        <w:rPr>
          <w:rFonts w:ascii="Arial" w:hAnsi="Arial" w:cs="Arial"/>
          <w:sz w:val="24"/>
          <w:szCs w:val="24"/>
          <w:lang w:val="en-GB"/>
        </w:rPr>
        <w:t xml:space="preserve"> for reconsideration</w:t>
      </w:r>
      <w:r w:rsidR="0096079E" w:rsidRPr="00C50193">
        <w:rPr>
          <w:rFonts w:ascii="Arial" w:hAnsi="Arial" w:cs="Arial"/>
          <w:sz w:val="24"/>
          <w:szCs w:val="24"/>
          <w:lang w:val="en-GB"/>
        </w:rPr>
        <w:t xml:space="preserve">. </w:t>
      </w:r>
    </w:p>
    <w:p w14:paraId="1A74BA4E" w14:textId="77777777" w:rsidR="00C50193" w:rsidRPr="00C50193" w:rsidRDefault="00C50193" w:rsidP="00C50193">
      <w:pPr>
        <w:pStyle w:val="ListParagraph"/>
        <w:rPr>
          <w:rFonts w:ascii="Arial" w:hAnsi="Arial" w:cs="Arial"/>
          <w:sz w:val="24"/>
          <w:szCs w:val="24"/>
          <w:lang w:val="en-GB"/>
        </w:rPr>
      </w:pPr>
    </w:p>
    <w:p w14:paraId="0B1BFAFC" w14:textId="77777777" w:rsidR="00CF3C39" w:rsidRPr="00C50193" w:rsidRDefault="00CF3C39" w:rsidP="00CF3C39">
      <w:pPr>
        <w:pStyle w:val="ListParagraph"/>
        <w:numPr>
          <w:ilvl w:val="0"/>
          <w:numId w:val="3"/>
        </w:numPr>
        <w:spacing w:line="360" w:lineRule="auto"/>
        <w:ind w:left="0" w:firstLine="0"/>
        <w:jc w:val="both"/>
        <w:rPr>
          <w:rFonts w:ascii="Arial" w:hAnsi="Arial" w:cs="Arial"/>
          <w:sz w:val="24"/>
          <w:szCs w:val="24"/>
          <w:lang w:val="en-GB"/>
        </w:rPr>
      </w:pPr>
      <w:r w:rsidRPr="00C50193">
        <w:rPr>
          <w:rFonts w:ascii="Arial" w:hAnsi="Arial" w:cs="Arial"/>
          <w:sz w:val="24"/>
          <w:szCs w:val="24"/>
          <w:lang w:val="en-GB"/>
        </w:rPr>
        <w:t>I</w:t>
      </w:r>
      <w:r w:rsidR="00742069" w:rsidRPr="00C50193">
        <w:rPr>
          <w:rFonts w:ascii="Arial" w:hAnsi="Arial" w:cs="Arial"/>
          <w:sz w:val="24"/>
          <w:szCs w:val="24"/>
          <w:lang w:val="en-GB"/>
        </w:rPr>
        <w:t>n the circumstances</w:t>
      </w:r>
      <w:r w:rsidRPr="00C50193">
        <w:rPr>
          <w:rFonts w:ascii="Arial" w:hAnsi="Arial" w:cs="Arial"/>
          <w:sz w:val="24"/>
          <w:szCs w:val="24"/>
          <w:lang w:val="en-GB"/>
        </w:rPr>
        <w:t>, the following order is made:</w:t>
      </w:r>
      <w:r w:rsidR="003F1B79" w:rsidRPr="00C50193">
        <w:rPr>
          <w:rFonts w:ascii="Arial" w:hAnsi="Arial" w:cs="Arial"/>
          <w:sz w:val="24"/>
          <w:szCs w:val="24"/>
          <w:lang w:val="en-GB"/>
        </w:rPr>
        <w:t xml:space="preserve"> </w:t>
      </w:r>
    </w:p>
    <w:p w14:paraId="4B78554F" w14:textId="77777777" w:rsidR="00CF3C39" w:rsidRDefault="00CF3C39" w:rsidP="00CF3C39">
      <w:pPr>
        <w:pStyle w:val="ListParagraph"/>
        <w:spacing w:line="360" w:lineRule="auto"/>
        <w:ind w:left="0"/>
        <w:jc w:val="both"/>
        <w:rPr>
          <w:rFonts w:ascii="Arial" w:hAnsi="Arial" w:cs="Arial"/>
          <w:sz w:val="24"/>
          <w:szCs w:val="24"/>
          <w:lang w:val="en-GB"/>
        </w:rPr>
      </w:pPr>
    </w:p>
    <w:p w14:paraId="626DA7A4" w14:textId="77777777" w:rsidR="00C50193" w:rsidRPr="00C50193" w:rsidRDefault="003F1B79" w:rsidP="00C50193">
      <w:pPr>
        <w:pStyle w:val="ListParagraph"/>
        <w:numPr>
          <w:ilvl w:val="0"/>
          <w:numId w:val="7"/>
        </w:numPr>
        <w:spacing w:line="360" w:lineRule="auto"/>
        <w:ind w:left="1418" w:hanging="709"/>
        <w:jc w:val="both"/>
        <w:rPr>
          <w:rFonts w:ascii="Arial" w:hAnsi="Arial" w:cs="Arial"/>
          <w:b/>
          <w:bCs/>
          <w:sz w:val="24"/>
          <w:szCs w:val="24"/>
          <w:lang w:val="en-GB"/>
        </w:rPr>
      </w:pPr>
      <w:r w:rsidRPr="00601D7B">
        <w:rPr>
          <w:rFonts w:ascii="Arial" w:hAnsi="Arial" w:cs="Arial"/>
          <w:sz w:val="24"/>
          <w:szCs w:val="24"/>
          <w:lang w:val="en-GB"/>
        </w:rPr>
        <w:t>t</w:t>
      </w:r>
      <w:r w:rsidR="000B7CE2" w:rsidRPr="00601D7B">
        <w:rPr>
          <w:rFonts w:ascii="Arial" w:hAnsi="Arial" w:cs="Arial"/>
          <w:sz w:val="24"/>
          <w:szCs w:val="24"/>
          <w:lang w:val="en-GB"/>
        </w:rPr>
        <w:t xml:space="preserve">he appeal </w:t>
      </w:r>
      <w:r w:rsidRPr="00601D7B">
        <w:rPr>
          <w:rFonts w:ascii="Arial" w:hAnsi="Arial" w:cs="Arial"/>
          <w:sz w:val="24"/>
          <w:szCs w:val="24"/>
          <w:lang w:val="en-GB"/>
        </w:rPr>
        <w:t xml:space="preserve">is </w:t>
      </w:r>
      <w:r w:rsidR="00A26A8F">
        <w:rPr>
          <w:rFonts w:ascii="Arial" w:hAnsi="Arial" w:cs="Arial"/>
          <w:sz w:val="24"/>
          <w:szCs w:val="24"/>
          <w:lang w:val="en-GB"/>
        </w:rPr>
        <w:t xml:space="preserve">upheld and the sentence </w:t>
      </w:r>
      <w:r w:rsidR="004D676D">
        <w:rPr>
          <w:rFonts w:ascii="Arial" w:hAnsi="Arial" w:cs="Arial"/>
          <w:sz w:val="24"/>
          <w:szCs w:val="24"/>
          <w:lang w:val="en-GB"/>
        </w:rPr>
        <w:t xml:space="preserve">of the court </w:t>
      </w:r>
      <w:r w:rsidR="004D676D" w:rsidRPr="00425BA6">
        <w:rPr>
          <w:rFonts w:ascii="Arial" w:hAnsi="Arial" w:cs="Arial"/>
          <w:i/>
          <w:iCs/>
          <w:sz w:val="24"/>
          <w:szCs w:val="24"/>
          <w:lang w:val="en-GB"/>
        </w:rPr>
        <w:t>a quo</w:t>
      </w:r>
      <w:r w:rsidR="004D676D">
        <w:rPr>
          <w:rFonts w:ascii="Arial" w:hAnsi="Arial" w:cs="Arial"/>
          <w:sz w:val="24"/>
          <w:szCs w:val="24"/>
          <w:lang w:val="en-GB"/>
        </w:rPr>
        <w:t xml:space="preserve"> is set aside;</w:t>
      </w:r>
    </w:p>
    <w:p w14:paraId="23C526A8" w14:textId="77777777" w:rsidR="00C50193" w:rsidRPr="00C50193" w:rsidRDefault="00C50193" w:rsidP="00C50193">
      <w:pPr>
        <w:pStyle w:val="ListParagraph"/>
        <w:spacing w:line="360" w:lineRule="auto"/>
        <w:ind w:left="1418"/>
        <w:jc w:val="both"/>
        <w:rPr>
          <w:rFonts w:ascii="Arial" w:hAnsi="Arial" w:cs="Arial"/>
          <w:b/>
          <w:bCs/>
          <w:sz w:val="24"/>
          <w:szCs w:val="24"/>
          <w:lang w:val="en-GB"/>
        </w:rPr>
      </w:pPr>
    </w:p>
    <w:p w14:paraId="5D68B9F8" w14:textId="77777777" w:rsidR="00C50193" w:rsidRPr="00C50193" w:rsidRDefault="004D676D" w:rsidP="00C50193">
      <w:pPr>
        <w:pStyle w:val="ListParagraph"/>
        <w:numPr>
          <w:ilvl w:val="0"/>
          <w:numId w:val="7"/>
        </w:numPr>
        <w:spacing w:line="360" w:lineRule="auto"/>
        <w:ind w:left="1418" w:hanging="709"/>
        <w:jc w:val="both"/>
        <w:rPr>
          <w:rFonts w:ascii="Arial" w:hAnsi="Arial" w:cs="Arial"/>
          <w:b/>
          <w:bCs/>
          <w:sz w:val="24"/>
          <w:szCs w:val="24"/>
          <w:lang w:val="en-GB"/>
        </w:rPr>
      </w:pPr>
      <w:r w:rsidRPr="00C50193">
        <w:rPr>
          <w:rFonts w:ascii="Arial" w:hAnsi="Arial" w:cs="Arial"/>
          <w:sz w:val="24"/>
          <w:szCs w:val="24"/>
          <w:lang w:val="en-GB"/>
        </w:rPr>
        <w:t>the</w:t>
      </w:r>
      <w:r w:rsidR="00425BA6" w:rsidRPr="00C50193">
        <w:rPr>
          <w:rFonts w:ascii="Arial" w:hAnsi="Arial" w:cs="Arial"/>
          <w:sz w:val="24"/>
          <w:szCs w:val="24"/>
          <w:lang w:val="en-GB"/>
        </w:rPr>
        <w:t xml:space="preserve"> </w:t>
      </w:r>
      <w:r w:rsidR="00AF4D43" w:rsidRPr="00C50193">
        <w:rPr>
          <w:rFonts w:ascii="Arial" w:hAnsi="Arial" w:cs="Arial"/>
          <w:sz w:val="24"/>
          <w:szCs w:val="24"/>
          <w:lang w:val="en-GB"/>
        </w:rPr>
        <w:t xml:space="preserve">matter is remitted to the court </w:t>
      </w:r>
      <w:r w:rsidR="00AF4D43" w:rsidRPr="00C50193">
        <w:rPr>
          <w:rFonts w:ascii="Arial" w:hAnsi="Arial" w:cs="Arial"/>
          <w:i/>
          <w:iCs/>
          <w:sz w:val="24"/>
          <w:szCs w:val="24"/>
          <w:lang w:val="en-GB"/>
        </w:rPr>
        <w:t>a quo</w:t>
      </w:r>
      <w:r w:rsidR="00AF4D43" w:rsidRPr="00C50193">
        <w:rPr>
          <w:rFonts w:ascii="Arial" w:hAnsi="Arial" w:cs="Arial"/>
          <w:sz w:val="24"/>
          <w:szCs w:val="24"/>
          <w:lang w:val="en-GB"/>
        </w:rPr>
        <w:t xml:space="preserve"> for reconsideration of the sentence to be imposed</w:t>
      </w:r>
      <w:r w:rsidR="00B97590" w:rsidRPr="00C50193">
        <w:rPr>
          <w:rFonts w:ascii="Arial" w:hAnsi="Arial" w:cs="Arial"/>
          <w:sz w:val="24"/>
          <w:szCs w:val="24"/>
          <w:lang w:val="en-GB"/>
        </w:rPr>
        <w:t>; and</w:t>
      </w:r>
    </w:p>
    <w:p w14:paraId="15B34F1D" w14:textId="77777777" w:rsidR="00C50193" w:rsidRPr="00C50193" w:rsidRDefault="00C50193" w:rsidP="00C50193">
      <w:pPr>
        <w:pStyle w:val="ListParagraph"/>
        <w:rPr>
          <w:rFonts w:ascii="Arial" w:hAnsi="Arial" w:cs="Arial"/>
          <w:sz w:val="24"/>
          <w:szCs w:val="24"/>
          <w:lang w:val="en-GB"/>
        </w:rPr>
      </w:pPr>
    </w:p>
    <w:p w14:paraId="1AEED438" w14:textId="77777777" w:rsidR="00C170BE" w:rsidRPr="00C50193" w:rsidRDefault="00B97590" w:rsidP="00C50193">
      <w:pPr>
        <w:pStyle w:val="ListParagraph"/>
        <w:numPr>
          <w:ilvl w:val="0"/>
          <w:numId w:val="7"/>
        </w:numPr>
        <w:spacing w:line="360" w:lineRule="auto"/>
        <w:ind w:left="1418" w:hanging="709"/>
        <w:jc w:val="both"/>
        <w:rPr>
          <w:rFonts w:ascii="Arial" w:hAnsi="Arial" w:cs="Arial"/>
          <w:b/>
          <w:bCs/>
          <w:sz w:val="24"/>
          <w:szCs w:val="24"/>
          <w:lang w:val="en-GB"/>
        </w:rPr>
      </w:pPr>
      <w:r w:rsidRPr="00C50193">
        <w:rPr>
          <w:rFonts w:ascii="Arial" w:hAnsi="Arial" w:cs="Arial"/>
          <w:sz w:val="24"/>
          <w:szCs w:val="24"/>
          <w:lang w:val="en-GB"/>
        </w:rPr>
        <w:t xml:space="preserve">the appellant shall remain in custody, pending the </w:t>
      </w:r>
      <w:r w:rsidR="0013090C" w:rsidRPr="00C50193">
        <w:rPr>
          <w:rFonts w:ascii="Arial" w:hAnsi="Arial" w:cs="Arial"/>
          <w:sz w:val="24"/>
          <w:szCs w:val="24"/>
          <w:lang w:val="en-GB"/>
        </w:rPr>
        <w:t>outcome of such reconsideration.</w:t>
      </w:r>
    </w:p>
    <w:p w14:paraId="57502329" w14:textId="77777777" w:rsidR="00F01B0B" w:rsidRDefault="00F01B0B" w:rsidP="009B0946">
      <w:pPr>
        <w:spacing w:line="360" w:lineRule="auto"/>
        <w:rPr>
          <w:rFonts w:ascii="Arial" w:hAnsi="Arial" w:cs="Arial"/>
          <w:sz w:val="24"/>
          <w:szCs w:val="24"/>
          <w:lang w:val="en-GB"/>
        </w:rPr>
      </w:pPr>
    </w:p>
    <w:p w14:paraId="3861CC4A" w14:textId="77777777" w:rsidR="007F2079" w:rsidRDefault="007F2079" w:rsidP="009B0946">
      <w:pPr>
        <w:spacing w:line="360" w:lineRule="auto"/>
        <w:rPr>
          <w:rFonts w:ascii="Arial" w:hAnsi="Arial" w:cs="Arial"/>
          <w:sz w:val="24"/>
          <w:szCs w:val="24"/>
          <w:lang w:val="en-GB"/>
        </w:rPr>
      </w:pPr>
    </w:p>
    <w:p w14:paraId="1AE6F80B" w14:textId="77777777" w:rsidR="009B0946" w:rsidRDefault="009B0946" w:rsidP="00F01B0B">
      <w:pPr>
        <w:spacing w:line="240" w:lineRule="auto"/>
        <w:rPr>
          <w:rFonts w:ascii="Arial" w:hAnsi="Arial" w:cs="Arial"/>
          <w:sz w:val="24"/>
          <w:szCs w:val="24"/>
          <w:lang w:val="en-GB"/>
        </w:rPr>
      </w:pPr>
      <w:r>
        <w:rPr>
          <w:rFonts w:ascii="Arial" w:hAnsi="Arial" w:cs="Arial"/>
          <w:sz w:val="24"/>
          <w:szCs w:val="24"/>
          <w:lang w:val="en-GB"/>
        </w:rPr>
        <w:t>______________________________</w:t>
      </w:r>
    </w:p>
    <w:p w14:paraId="29C68A93" w14:textId="77777777" w:rsidR="009B0946" w:rsidRPr="0088057C" w:rsidRDefault="009B0946" w:rsidP="00F01B0B">
      <w:pPr>
        <w:spacing w:line="240" w:lineRule="auto"/>
        <w:rPr>
          <w:rFonts w:ascii="Arial" w:hAnsi="Arial" w:cs="Arial"/>
          <w:b/>
          <w:bCs/>
          <w:sz w:val="24"/>
          <w:szCs w:val="24"/>
          <w:lang w:val="en-GB"/>
        </w:rPr>
      </w:pPr>
      <w:r w:rsidRPr="0088057C">
        <w:rPr>
          <w:rFonts w:ascii="Arial" w:hAnsi="Arial" w:cs="Arial"/>
          <w:b/>
          <w:bCs/>
          <w:sz w:val="24"/>
          <w:szCs w:val="24"/>
          <w:lang w:val="en-GB"/>
        </w:rPr>
        <w:t>JGA LAING</w:t>
      </w:r>
    </w:p>
    <w:p w14:paraId="40BEF54E" w14:textId="77777777" w:rsidR="009B0946" w:rsidRPr="0088057C" w:rsidRDefault="009B0946" w:rsidP="00F01B0B">
      <w:pPr>
        <w:spacing w:line="240" w:lineRule="auto"/>
        <w:rPr>
          <w:rFonts w:ascii="Arial" w:hAnsi="Arial" w:cs="Arial"/>
          <w:b/>
          <w:bCs/>
          <w:sz w:val="24"/>
          <w:szCs w:val="24"/>
          <w:lang w:val="en-GB"/>
        </w:rPr>
      </w:pPr>
      <w:r w:rsidRPr="0088057C">
        <w:rPr>
          <w:rFonts w:ascii="Arial" w:hAnsi="Arial" w:cs="Arial"/>
          <w:b/>
          <w:bCs/>
          <w:sz w:val="24"/>
          <w:szCs w:val="24"/>
          <w:lang w:val="en-GB"/>
        </w:rPr>
        <w:t>JUDGE OF THE HIGH COURT</w:t>
      </w:r>
    </w:p>
    <w:p w14:paraId="78D58B3F" w14:textId="77777777" w:rsidR="00157423" w:rsidRDefault="00157423" w:rsidP="009B0946">
      <w:pPr>
        <w:spacing w:line="360" w:lineRule="auto"/>
        <w:rPr>
          <w:rFonts w:ascii="Arial" w:hAnsi="Arial" w:cs="Arial"/>
          <w:sz w:val="24"/>
          <w:szCs w:val="24"/>
          <w:lang w:val="en-GB"/>
        </w:rPr>
      </w:pPr>
    </w:p>
    <w:p w14:paraId="334BEEE4" w14:textId="77777777" w:rsidR="00470799" w:rsidRDefault="00470799" w:rsidP="009B0946">
      <w:pPr>
        <w:spacing w:line="360" w:lineRule="auto"/>
        <w:rPr>
          <w:rFonts w:ascii="Arial" w:hAnsi="Arial" w:cs="Arial"/>
          <w:sz w:val="24"/>
          <w:szCs w:val="24"/>
          <w:lang w:val="en-GB"/>
        </w:rPr>
      </w:pPr>
    </w:p>
    <w:p w14:paraId="0318762D" w14:textId="77777777" w:rsidR="00157423" w:rsidRDefault="00157423" w:rsidP="009B0946">
      <w:pPr>
        <w:spacing w:line="360" w:lineRule="auto"/>
        <w:rPr>
          <w:rFonts w:ascii="Arial" w:hAnsi="Arial" w:cs="Arial"/>
          <w:sz w:val="24"/>
          <w:szCs w:val="24"/>
          <w:lang w:val="en-GB"/>
        </w:rPr>
      </w:pPr>
      <w:r>
        <w:rPr>
          <w:rFonts w:ascii="Arial" w:hAnsi="Arial" w:cs="Arial"/>
          <w:sz w:val="24"/>
          <w:szCs w:val="24"/>
          <w:lang w:val="en-GB"/>
        </w:rPr>
        <w:t>I agree.</w:t>
      </w:r>
    </w:p>
    <w:p w14:paraId="5C7A4B8D" w14:textId="77777777" w:rsidR="00865CCE" w:rsidRDefault="00865CCE" w:rsidP="00F01B0B">
      <w:pPr>
        <w:spacing w:line="240" w:lineRule="auto"/>
        <w:rPr>
          <w:rFonts w:ascii="Arial" w:hAnsi="Arial" w:cs="Arial"/>
          <w:sz w:val="24"/>
          <w:szCs w:val="24"/>
          <w:lang w:val="en-GB"/>
        </w:rPr>
      </w:pPr>
    </w:p>
    <w:p w14:paraId="5AB14AB2" w14:textId="77777777" w:rsidR="00C50193" w:rsidRDefault="00C50193" w:rsidP="00F01B0B">
      <w:pPr>
        <w:spacing w:line="240" w:lineRule="auto"/>
        <w:rPr>
          <w:rFonts w:ascii="Arial" w:hAnsi="Arial" w:cs="Arial"/>
          <w:sz w:val="24"/>
          <w:szCs w:val="24"/>
          <w:lang w:val="en-GB"/>
        </w:rPr>
      </w:pPr>
    </w:p>
    <w:p w14:paraId="5E8B83C7" w14:textId="77777777" w:rsidR="00157423" w:rsidRDefault="00157423" w:rsidP="00F01B0B">
      <w:pPr>
        <w:spacing w:line="240" w:lineRule="auto"/>
        <w:rPr>
          <w:rFonts w:ascii="Arial" w:hAnsi="Arial" w:cs="Arial"/>
          <w:sz w:val="24"/>
          <w:szCs w:val="24"/>
          <w:lang w:val="en-GB"/>
        </w:rPr>
      </w:pPr>
      <w:r>
        <w:rPr>
          <w:rFonts w:ascii="Arial" w:hAnsi="Arial" w:cs="Arial"/>
          <w:sz w:val="24"/>
          <w:szCs w:val="24"/>
          <w:lang w:val="en-GB"/>
        </w:rPr>
        <w:t>______________________________</w:t>
      </w:r>
    </w:p>
    <w:p w14:paraId="294B3F76" w14:textId="77777777" w:rsidR="0088057C" w:rsidRPr="0088057C" w:rsidRDefault="0088057C" w:rsidP="00F01B0B">
      <w:pPr>
        <w:spacing w:line="240" w:lineRule="auto"/>
        <w:rPr>
          <w:rFonts w:ascii="Arial" w:hAnsi="Arial" w:cs="Arial"/>
          <w:b/>
          <w:bCs/>
          <w:sz w:val="24"/>
          <w:szCs w:val="24"/>
          <w:lang w:val="en-GB"/>
        </w:rPr>
      </w:pPr>
      <w:r w:rsidRPr="0088057C">
        <w:rPr>
          <w:rFonts w:ascii="Arial" w:hAnsi="Arial" w:cs="Arial"/>
          <w:b/>
          <w:bCs/>
          <w:sz w:val="24"/>
          <w:szCs w:val="24"/>
          <w:lang w:val="en-GB"/>
        </w:rPr>
        <w:t>L RUSI</w:t>
      </w:r>
    </w:p>
    <w:p w14:paraId="46CE675C" w14:textId="77777777" w:rsidR="0088057C" w:rsidRPr="0088057C" w:rsidRDefault="0088057C" w:rsidP="00F01B0B">
      <w:pPr>
        <w:spacing w:line="240" w:lineRule="auto"/>
        <w:rPr>
          <w:rFonts w:ascii="Arial" w:hAnsi="Arial" w:cs="Arial"/>
          <w:b/>
          <w:bCs/>
          <w:sz w:val="24"/>
          <w:szCs w:val="24"/>
          <w:lang w:val="en-GB"/>
        </w:rPr>
      </w:pPr>
      <w:r w:rsidRPr="0088057C">
        <w:rPr>
          <w:rFonts w:ascii="Arial" w:hAnsi="Arial" w:cs="Arial"/>
          <w:b/>
          <w:bCs/>
          <w:sz w:val="24"/>
          <w:szCs w:val="24"/>
          <w:lang w:val="en-GB"/>
        </w:rPr>
        <w:t>JUDGE OF THE HIGH COURT</w:t>
      </w:r>
    </w:p>
    <w:p w14:paraId="5FEEB3F5" w14:textId="77777777" w:rsidR="00E05DB3" w:rsidRDefault="00E05DB3" w:rsidP="00057A22">
      <w:pPr>
        <w:spacing w:line="360" w:lineRule="auto"/>
        <w:rPr>
          <w:rFonts w:ascii="Arial" w:hAnsi="Arial" w:cs="Arial"/>
          <w:sz w:val="24"/>
          <w:szCs w:val="24"/>
        </w:rPr>
      </w:pPr>
    </w:p>
    <w:p w14:paraId="4B1FB19C" w14:textId="77777777" w:rsidR="00E05DB3" w:rsidRDefault="00E05DB3" w:rsidP="00057A22">
      <w:pPr>
        <w:spacing w:line="360" w:lineRule="auto"/>
        <w:rPr>
          <w:rFonts w:ascii="Arial" w:hAnsi="Arial" w:cs="Arial"/>
          <w:sz w:val="24"/>
          <w:szCs w:val="24"/>
        </w:rPr>
      </w:pPr>
    </w:p>
    <w:p w14:paraId="776017EC" w14:textId="1EDE2434" w:rsidR="00161301" w:rsidRDefault="007834DD" w:rsidP="00057A22">
      <w:pPr>
        <w:spacing w:line="360" w:lineRule="auto"/>
        <w:rPr>
          <w:rFonts w:ascii="Arial" w:hAnsi="Arial" w:cs="Arial"/>
          <w:sz w:val="24"/>
          <w:szCs w:val="24"/>
        </w:rPr>
      </w:pPr>
      <w:r>
        <w:rPr>
          <w:rFonts w:ascii="Arial" w:hAnsi="Arial" w:cs="Arial"/>
          <w:sz w:val="24"/>
          <w:szCs w:val="24"/>
        </w:rPr>
        <w:t>APPEARANCE</w:t>
      </w:r>
      <w:r w:rsidR="007F2079">
        <w:rPr>
          <w:rFonts w:ascii="Arial" w:hAnsi="Arial" w:cs="Arial"/>
          <w:sz w:val="24"/>
          <w:szCs w:val="24"/>
        </w:rPr>
        <w:t>S</w:t>
      </w:r>
      <w:r>
        <w:rPr>
          <w:rFonts w:ascii="Arial" w:hAnsi="Arial" w:cs="Arial"/>
          <w:sz w:val="24"/>
          <w:szCs w:val="24"/>
        </w:rPr>
        <w:t xml:space="preserve"> </w:t>
      </w:r>
    </w:p>
    <w:p w14:paraId="3C82C154" w14:textId="77777777" w:rsidR="007834DD" w:rsidRDefault="00F01B0B" w:rsidP="00F01B0B">
      <w:pPr>
        <w:spacing w:line="360" w:lineRule="auto"/>
        <w:ind w:left="3600" w:hanging="3600"/>
        <w:rPr>
          <w:rFonts w:ascii="Arial" w:hAnsi="Arial" w:cs="Arial"/>
          <w:sz w:val="24"/>
          <w:szCs w:val="24"/>
        </w:rPr>
      </w:pPr>
      <w:r>
        <w:rPr>
          <w:rFonts w:ascii="Arial" w:hAnsi="Arial" w:cs="Arial"/>
          <w:sz w:val="24"/>
          <w:szCs w:val="24"/>
        </w:rPr>
        <w:t>For the appellant:</w:t>
      </w:r>
      <w:r>
        <w:rPr>
          <w:rFonts w:ascii="Arial" w:hAnsi="Arial" w:cs="Arial"/>
          <w:sz w:val="24"/>
          <w:szCs w:val="24"/>
        </w:rPr>
        <w:tab/>
      </w:r>
      <w:r w:rsidR="007834DD">
        <w:rPr>
          <w:rFonts w:ascii="Arial" w:hAnsi="Arial" w:cs="Arial"/>
          <w:sz w:val="24"/>
          <w:szCs w:val="24"/>
        </w:rPr>
        <w:t xml:space="preserve">Ms Mtini, instructed by the Legal Aid South Africa, King Williams Town. </w:t>
      </w:r>
    </w:p>
    <w:p w14:paraId="7F3F9272" w14:textId="77777777" w:rsidR="007834DD" w:rsidRDefault="007834DD" w:rsidP="00F01B0B">
      <w:pPr>
        <w:spacing w:line="360" w:lineRule="auto"/>
        <w:ind w:left="3600" w:hanging="3600"/>
        <w:rPr>
          <w:rFonts w:ascii="Arial" w:hAnsi="Arial" w:cs="Arial"/>
          <w:sz w:val="24"/>
          <w:szCs w:val="24"/>
        </w:rPr>
      </w:pPr>
      <w:r>
        <w:rPr>
          <w:rFonts w:ascii="Arial" w:hAnsi="Arial" w:cs="Arial"/>
          <w:sz w:val="24"/>
          <w:szCs w:val="24"/>
        </w:rPr>
        <w:t>For the responde</w:t>
      </w:r>
      <w:r w:rsidR="00F01B0B">
        <w:rPr>
          <w:rFonts w:ascii="Arial" w:hAnsi="Arial" w:cs="Arial"/>
          <w:sz w:val="24"/>
          <w:szCs w:val="24"/>
        </w:rPr>
        <w:t>nt:</w:t>
      </w:r>
      <w:r w:rsidR="00F01B0B">
        <w:rPr>
          <w:rFonts w:ascii="Arial" w:hAnsi="Arial" w:cs="Arial"/>
          <w:sz w:val="24"/>
          <w:szCs w:val="24"/>
        </w:rPr>
        <w:tab/>
      </w:r>
      <w:r>
        <w:rPr>
          <w:rFonts w:ascii="Arial" w:hAnsi="Arial" w:cs="Arial"/>
          <w:sz w:val="24"/>
          <w:szCs w:val="24"/>
        </w:rPr>
        <w:t xml:space="preserve">Adv Tokota, instructed by the Director of Public Prosecutions, Bhisho. </w:t>
      </w:r>
    </w:p>
    <w:p w14:paraId="44E224F0" w14:textId="77777777" w:rsidR="007834DD" w:rsidRDefault="007834DD" w:rsidP="00057A22">
      <w:pPr>
        <w:spacing w:line="360" w:lineRule="auto"/>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r>
      <w:r w:rsidR="00F01B0B">
        <w:rPr>
          <w:rFonts w:ascii="Arial" w:hAnsi="Arial" w:cs="Arial"/>
          <w:sz w:val="24"/>
          <w:szCs w:val="24"/>
        </w:rPr>
        <w:tab/>
        <w:t>16 September 2022.</w:t>
      </w:r>
    </w:p>
    <w:p w14:paraId="32AFD90A" w14:textId="77777777" w:rsidR="007834DD" w:rsidRDefault="007834DD" w:rsidP="00057A22">
      <w:pPr>
        <w:spacing w:line="360" w:lineRule="auto"/>
        <w:rPr>
          <w:rFonts w:ascii="Arial" w:hAnsi="Arial" w:cs="Arial"/>
          <w:sz w:val="24"/>
          <w:szCs w:val="24"/>
        </w:rPr>
      </w:pPr>
      <w:r>
        <w:rPr>
          <w:rFonts w:ascii="Arial" w:hAnsi="Arial" w:cs="Arial"/>
          <w:sz w:val="24"/>
          <w:szCs w:val="24"/>
        </w:rPr>
        <w:t xml:space="preserve">Date of delivery of judgment: </w:t>
      </w:r>
      <w:r w:rsidR="00F01B0B">
        <w:rPr>
          <w:rFonts w:ascii="Arial" w:hAnsi="Arial" w:cs="Arial"/>
          <w:sz w:val="24"/>
          <w:szCs w:val="24"/>
        </w:rPr>
        <w:tab/>
      </w:r>
      <w:r w:rsidR="00FE4BC2">
        <w:rPr>
          <w:rFonts w:ascii="Arial" w:hAnsi="Arial" w:cs="Arial"/>
          <w:sz w:val="24"/>
          <w:szCs w:val="24"/>
        </w:rPr>
        <w:t>31</w:t>
      </w:r>
      <w:r>
        <w:rPr>
          <w:rFonts w:ascii="Arial" w:hAnsi="Arial" w:cs="Arial"/>
          <w:sz w:val="24"/>
          <w:szCs w:val="24"/>
        </w:rPr>
        <w:t xml:space="preserve"> January 2023.</w:t>
      </w:r>
      <w:r>
        <w:rPr>
          <w:rFonts w:ascii="Arial" w:hAnsi="Arial" w:cs="Arial"/>
          <w:sz w:val="24"/>
          <w:szCs w:val="24"/>
        </w:rPr>
        <w:tab/>
      </w:r>
    </w:p>
    <w:p w14:paraId="1F2623E9" w14:textId="77777777" w:rsidR="004A28DF" w:rsidRDefault="004A28DF" w:rsidP="00057A22">
      <w:pPr>
        <w:spacing w:line="360" w:lineRule="auto"/>
        <w:rPr>
          <w:rFonts w:ascii="Arial" w:hAnsi="Arial" w:cs="Arial"/>
          <w:sz w:val="24"/>
          <w:szCs w:val="24"/>
        </w:rPr>
      </w:pPr>
    </w:p>
    <w:p w14:paraId="153C5BDE" w14:textId="77777777" w:rsidR="004A28DF" w:rsidRDefault="004A28DF" w:rsidP="00057A22">
      <w:pPr>
        <w:spacing w:line="360" w:lineRule="auto"/>
        <w:rPr>
          <w:rFonts w:ascii="Arial" w:hAnsi="Arial" w:cs="Arial"/>
          <w:sz w:val="24"/>
          <w:szCs w:val="24"/>
        </w:rPr>
      </w:pPr>
    </w:p>
    <w:p w14:paraId="479D0C4B" w14:textId="77777777" w:rsidR="004A28DF" w:rsidRDefault="004A28DF" w:rsidP="00057A22">
      <w:pPr>
        <w:spacing w:line="360" w:lineRule="auto"/>
        <w:rPr>
          <w:rFonts w:ascii="Arial" w:hAnsi="Arial" w:cs="Arial"/>
          <w:sz w:val="24"/>
          <w:szCs w:val="24"/>
        </w:rPr>
      </w:pPr>
    </w:p>
    <w:p w14:paraId="6EED7F5F" w14:textId="77777777" w:rsidR="004A28DF" w:rsidRDefault="004A28DF" w:rsidP="004A28DF">
      <w:pPr>
        <w:tabs>
          <w:tab w:val="left" w:pos="720"/>
          <w:tab w:val="left" w:pos="1440"/>
          <w:tab w:val="left" w:pos="2160"/>
          <w:tab w:val="left" w:pos="2880"/>
          <w:tab w:val="left" w:pos="3600"/>
          <w:tab w:val="left" w:pos="4320"/>
          <w:tab w:val="left" w:pos="5040"/>
          <w:tab w:val="left" w:pos="5760"/>
          <w:tab w:val="left" w:pos="7366"/>
        </w:tabs>
        <w:spacing w:before="240" w:line="360" w:lineRule="auto"/>
        <w:jc w:val="both"/>
        <w:rPr>
          <w:rFonts w:ascii="Times New Roman" w:hAnsi="Times New Roman" w:cs="Times New Roman"/>
          <w:sz w:val="28"/>
          <w:szCs w:val="28"/>
        </w:rPr>
      </w:pPr>
    </w:p>
    <w:p w14:paraId="283C4F75" w14:textId="77777777" w:rsidR="004A28DF" w:rsidRDefault="004A28DF" w:rsidP="004A28DF"/>
    <w:p w14:paraId="2CC0FD5E" w14:textId="77777777" w:rsidR="004A28DF" w:rsidRPr="00066A63" w:rsidRDefault="004A28DF" w:rsidP="00057A22">
      <w:pPr>
        <w:spacing w:line="360" w:lineRule="auto"/>
        <w:rPr>
          <w:rFonts w:ascii="Arial" w:hAnsi="Arial" w:cs="Arial"/>
          <w:color w:val="FF0000"/>
          <w:sz w:val="24"/>
          <w:szCs w:val="24"/>
        </w:rPr>
      </w:pPr>
    </w:p>
    <w:sectPr w:rsidR="004A28DF" w:rsidRPr="00066A63" w:rsidSect="00F01B0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BFB3B" w14:textId="77777777" w:rsidR="006D1A1A" w:rsidRDefault="006D1A1A" w:rsidP="00E21FB8">
      <w:pPr>
        <w:spacing w:after="0" w:line="240" w:lineRule="auto"/>
      </w:pPr>
      <w:r>
        <w:separator/>
      </w:r>
    </w:p>
  </w:endnote>
  <w:endnote w:type="continuationSeparator" w:id="0">
    <w:p w14:paraId="3832AE46" w14:textId="77777777" w:rsidR="006D1A1A" w:rsidRDefault="006D1A1A" w:rsidP="00E2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3E02" w14:textId="77777777" w:rsidR="006D1A1A" w:rsidRDefault="006D1A1A" w:rsidP="00E21FB8">
      <w:pPr>
        <w:spacing w:after="0" w:line="240" w:lineRule="auto"/>
      </w:pPr>
      <w:r>
        <w:separator/>
      </w:r>
    </w:p>
  </w:footnote>
  <w:footnote w:type="continuationSeparator" w:id="0">
    <w:p w14:paraId="4688E924" w14:textId="77777777" w:rsidR="006D1A1A" w:rsidRDefault="006D1A1A" w:rsidP="00E21FB8">
      <w:pPr>
        <w:spacing w:after="0" w:line="240" w:lineRule="auto"/>
      </w:pPr>
      <w:r>
        <w:continuationSeparator/>
      </w:r>
    </w:p>
  </w:footnote>
  <w:footnote w:id="1">
    <w:p w14:paraId="56B6C01E" w14:textId="77777777" w:rsidR="00E21FB8" w:rsidRPr="0000433C" w:rsidRDefault="00E21FB8" w:rsidP="007E1010">
      <w:pPr>
        <w:pStyle w:val="FootnoteText"/>
        <w:jc w:val="both"/>
        <w:rPr>
          <w:lang w:val="en-US"/>
        </w:rPr>
      </w:pPr>
      <w:r>
        <w:rPr>
          <w:rStyle w:val="FootnoteReference"/>
        </w:rPr>
        <w:footnoteRef/>
      </w:r>
      <w:r>
        <w:t xml:space="preserve"> </w:t>
      </w:r>
      <w:r>
        <w:rPr>
          <w:lang w:val="en-US"/>
        </w:rPr>
        <w:t xml:space="preserve">See </w:t>
      </w:r>
      <w:r w:rsidRPr="00760C49">
        <w:rPr>
          <w:i/>
          <w:iCs/>
          <w:lang w:val="en-US"/>
        </w:rPr>
        <w:t>S v Romer</w:t>
      </w:r>
      <w:r w:rsidRPr="00760C49">
        <w:rPr>
          <w:lang w:val="en-US"/>
        </w:rPr>
        <w:t xml:space="preserve"> 2011 (2) SACR 153 (SCA); </w:t>
      </w:r>
      <w:r w:rsidRPr="00760C49">
        <w:rPr>
          <w:i/>
          <w:iCs/>
          <w:lang w:val="en-US"/>
        </w:rPr>
        <w:t>S v Hewitt</w:t>
      </w:r>
      <w:r w:rsidRPr="00760C49">
        <w:rPr>
          <w:lang w:val="en-US"/>
        </w:rPr>
        <w:t xml:space="preserve"> 2017 (1) SACR 309 (SCA); and </w:t>
      </w:r>
      <w:r w:rsidRPr="00760C49">
        <w:rPr>
          <w:i/>
          <w:iCs/>
          <w:lang w:val="en-US"/>
        </w:rPr>
        <w:t>S v Livanje</w:t>
      </w:r>
      <w:r w:rsidRPr="00760C49">
        <w:rPr>
          <w:lang w:val="en-US"/>
        </w:rPr>
        <w:t xml:space="preserve"> 2020 (2) SACR 451 (SCA).</w:t>
      </w:r>
    </w:p>
  </w:footnote>
  <w:footnote w:id="2">
    <w:p w14:paraId="3BF51C42" w14:textId="77777777" w:rsidR="003713D6" w:rsidRPr="003713D6" w:rsidRDefault="003713D6" w:rsidP="007E1010">
      <w:pPr>
        <w:pStyle w:val="FootnoteText"/>
        <w:jc w:val="both"/>
        <w:rPr>
          <w:lang w:val="en-US"/>
        </w:rPr>
      </w:pPr>
      <w:r>
        <w:rPr>
          <w:rStyle w:val="FootnoteReference"/>
        </w:rPr>
        <w:footnoteRef/>
      </w:r>
      <w:r>
        <w:t xml:space="preserve"> </w:t>
      </w:r>
      <w:r w:rsidR="007B7F76">
        <w:t>E du Toit (et al),</w:t>
      </w:r>
      <w:r w:rsidR="001A6844">
        <w:t xml:space="preserve"> </w:t>
      </w:r>
      <w:r w:rsidR="00366E07" w:rsidRPr="00E21FB8">
        <w:rPr>
          <w:i/>
          <w:iCs/>
          <w:lang w:val="en-ZA"/>
        </w:rPr>
        <w:t>Commentary on the Criminal Procedure Act</w:t>
      </w:r>
      <w:r w:rsidR="00366E07" w:rsidRPr="00E21FB8">
        <w:rPr>
          <w:lang w:val="en-ZA"/>
        </w:rPr>
        <w:t xml:space="preserve"> (Jutastat, RS 66, 2021), at ch30-p42A</w:t>
      </w:r>
      <w:r w:rsidR="00366E07">
        <w:rPr>
          <w:lang w:val="en-ZA"/>
        </w:rPr>
        <w:t>.</w:t>
      </w:r>
    </w:p>
  </w:footnote>
  <w:footnote w:id="3">
    <w:p w14:paraId="4549F641" w14:textId="77777777" w:rsidR="00E21FB8" w:rsidRPr="00DD53DE" w:rsidRDefault="00E21FB8" w:rsidP="007E1010">
      <w:pPr>
        <w:pStyle w:val="FootnoteText"/>
        <w:jc w:val="both"/>
        <w:rPr>
          <w:lang w:val="en-US"/>
        </w:rPr>
      </w:pPr>
      <w:r>
        <w:rPr>
          <w:rStyle w:val="FootnoteReference"/>
        </w:rPr>
        <w:footnoteRef/>
      </w:r>
      <w:r>
        <w:t xml:space="preserve"> </w:t>
      </w:r>
      <w:r w:rsidR="00EB2530">
        <w:rPr>
          <w:lang w:val="en-US"/>
        </w:rPr>
        <w:t>See, too,</w:t>
      </w:r>
      <w:r>
        <w:rPr>
          <w:lang w:val="en-US"/>
        </w:rPr>
        <w:t xml:space="preserve"> </w:t>
      </w:r>
      <w:r w:rsidRPr="00DD53DE">
        <w:rPr>
          <w:i/>
          <w:iCs/>
          <w:lang w:val="en-US"/>
        </w:rPr>
        <w:t>S v Malgas</w:t>
      </w:r>
      <w:r>
        <w:rPr>
          <w:lang w:val="en-US"/>
        </w:rPr>
        <w:t xml:space="preserve"> 2001 (1) SACR 469 (SCA); </w:t>
      </w:r>
      <w:r w:rsidRPr="00DD53DE">
        <w:rPr>
          <w:i/>
          <w:iCs/>
          <w:lang w:val="en-US"/>
        </w:rPr>
        <w:t>S v Fielies</w:t>
      </w:r>
      <w:r>
        <w:rPr>
          <w:lang w:val="en-US"/>
        </w:rPr>
        <w:t xml:space="preserve"> [2014] ZASCA 191 (unreported, SCA case no 851 / 2013, 28 November 2014); </w:t>
      </w:r>
      <w:r w:rsidRPr="00B23058">
        <w:rPr>
          <w:i/>
          <w:iCs/>
          <w:lang w:val="en-US"/>
        </w:rPr>
        <w:t>S v Mathekga and another</w:t>
      </w:r>
      <w:r>
        <w:rPr>
          <w:lang w:val="en-US"/>
        </w:rPr>
        <w:t xml:space="preserve"> 2020 (2) SACR 559 (SCA); and </w:t>
      </w:r>
      <w:r w:rsidRPr="00B23058">
        <w:rPr>
          <w:i/>
          <w:iCs/>
          <w:lang w:val="en-US"/>
        </w:rPr>
        <w:t>S v Gebengwana and another</w:t>
      </w:r>
      <w:r>
        <w:rPr>
          <w:lang w:val="en-US"/>
        </w:rPr>
        <w:t xml:space="preserve"> (unreported, ECG case no CA&amp;R 186 / 2015, 21 September 2016.</w:t>
      </w:r>
    </w:p>
  </w:footnote>
  <w:footnote w:id="4">
    <w:p w14:paraId="4178F321" w14:textId="77777777" w:rsidR="00C04E94" w:rsidRPr="00C04E94" w:rsidRDefault="00C04E94" w:rsidP="00C50193">
      <w:pPr>
        <w:pStyle w:val="FootnoteText"/>
        <w:jc w:val="both"/>
        <w:rPr>
          <w:lang w:val="en-US"/>
        </w:rPr>
      </w:pPr>
      <w:r>
        <w:rPr>
          <w:rStyle w:val="FootnoteReference"/>
        </w:rPr>
        <w:footnoteRef/>
      </w:r>
      <w:r>
        <w:t xml:space="preserve"> </w:t>
      </w:r>
      <w:r w:rsidRPr="00E21FB8">
        <w:rPr>
          <w:lang w:val="en-ZA"/>
        </w:rPr>
        <w:t>2013 (1) SACR 1 (CC)</w:t>
      </w:r>
      <w:r>
        <w:rPr>
          <w:lang w:val="en-ZA"/>
        </w:rPr>
        <w:t>.</w:t>
      </w:r>
    </w:p>
  </w:footnote>
  <w:footnote w:id="5">
    <w:p w14:paraId="581418D2" w14:textId="77777777" w:rsidR="00C04E94" w:rsidRPr="00C04E94" w:rsidRDefault="00C04E94" w:rsidP="00C50193">
      <w:pPr>
        <w:pStyle w:val="FootnoteText"/>
        <w:jc w:val="both"/>
        <w:rPr>
          <w:lang w:val="en-US"/>
        </w:rPr>
      </w:pPr>
      <w:r>
        <w:rPr>
          <w:rStyle w:val="FootnoteReference"/>
        </w:rPr>
        <w:footnoteRef/>
      </w:r>
      <w:r>
        <w:t xml:space="preserve"> </w:t>
      </w:r>
      <w:r>
        <w:rPr>
          <w:lang w:val="en-US"/>
        </w:rPr>
        <w:t>At paragraph [41].</w:t>
      </w:r>
    </w:p>
  </w:footnote>
  <w:footnote w:id="6">
    <w:p w14:paraId="16091658" w14:textId="77777777" w:rsidR="009D3E2B" w:rsidRPr="009D3E2B" w:rsidRDefault="009D3E2B" w:rsidP="00C50193">
      <w:pPr>
        <w:pStyle w:val="FootnoteText"/>
        <w:jc w:val="both"/>
        <w:rPr>
          <w:lang w:val="en-US"/>
        </w:rPr>
      </w:pPr>
      <w:r>
        <w:rPr>
          <w:rStyle w:val="FootnoteReference"/>
        </w:rPr>
        <w:footnoteRef/>
      </w:r>
      <w:r>
        <w:t xml:space="preserve"> </w:t>
      </w:r>
      <w:r w:rsidRPr="00E21FB8">
        <w:rPr>
          <w:lang w:val="en-ZA"/>
        </w:rPr>
        <w:t>2017 (1) SACR 309 (SCA)</w:t>
      </w:r>
      <w:r>
        <w:rPr>
          <w:lang w:val="en-ZA"/>
        </w:rPr>
        <w:t>.</w:t>
      </w:r>
    </w:p>
  </w:footnote>
  <w:footnote w:id="7">
    <w:p w14:paraId="75AAF094" w14:textId="77777777" w:rsidR="009D3E2B" w:rsidRPr="009D3E2B" w:rsidRDefault="009D3E2B" w:rsidP="00C50193">
      <w:pPr>
        <w:pStyle w:val="FootnoteText"/>
        <w:jc w:val="both"/>
        <w:rPr>
          <w:lang w:val="en-US"/>
        </w:rPr>
      </w:pPr>
      <w:r>
        <w:rPr>
          <w:rStyle w:val="FootnoteReference"/>
        </w:rPr>
        <w:footnoteRef/>
      </w:r>
      <w:r>
        <w:t xml:space="preserve"> </w:t>
      </w:r>
      <w:r>
        <w:rPr>
          <w:lang w:val="en-US"/>
        </w:rPr>
        <w:t>At paragraph [8].</w:t>
      </w:r>
    </w:p>
  </w:footnote>
  <w:footnote w:id="8">
    <w:p w14:paraId="39DC49F6" w14:textId="77777777" w:rsidR="0097628F" w:rsidRPr="0097628F" w:rsidRDefault="0097628F" w:rsidP="00C50193">
      <w:pPr>
        <w:pStyle w:val="FootnoteText"/>
        <w:jc w:val="both"/>
        <w:rPr>
          <w:lang w:val="en-US"/>
        </w:rPr>
      </w:pPr>
      <w:r>
        <w:rPr>
          <w:rStyle w:val="FootnoteReference"/>
        </w:rPr>
        <w:footnoteRef/>
      </w:r>
      <w:r>
        <w:t xml:space="preserve"> </w:t>
      </w:r>
      <w:r w:rsidR="00A515B5">
        <w:rPr>
          <w:lang w:val="en-US"/>
        </w:rPr>
        <w:t>2001 (1) SACR 469 (SCA).</w:t>
      </w:r>
    </w:p>
  </w:footnote>
  <w:footnote w:id="9">
    <w:p w14:paraId="530E474B" w14:textId="77777777" w:rsidR="005F1F63" w:rsidRPr="005F1F63" w:rsidRDefault="005F1F63" w:rsidP="00C50193">
      <w:pPr>
        <w:pStyle w:val="FootnoteText"/>
        <w:jc w:val="both"/>
        <w:rPr>
          <w:lang w:val="en-US"/>
        </w:rPr>
      </w:pPr>
      <w:r>
        <w:rPr>
          <w:rStyle w:val="FootnoteReference"/>
        </w:rPr>
        <w:footnoteRef/>
      </w:r>
      <w:r>
        <w:t xml:space="preserve"> </w:t>
      </w:r>
      <w:r>
        <w:rPr>
          <w:lang w:val="en-US"/>
        </w:rPr>
        <w:t xml:space="preserve">At </w:t>
      </w:r>
      <w:r w:rsidR="00035925">
        <w:rPr>
          <w:lang w:val="en-US"/>
        </w:rPr>
        <w:t xml:space="preserve">paragraphs [7] to [9]. </w:t>
      </w:r>
    </w:p>
  </w:footnote>
  <w:footnote w:id="10">
    <w:p w14:paraId="65D1FBC9" w14:textId="77777777" w:rsidR="00686C05" w:rsidRPr="00686C05" w:rsidRDefault="00686C05" w:rsidP="00C50193">
      <w:pPr>
        <w:pStyle w:val="FootnoteText"/>
        <w:jc w:val="both"/>
        <w:rPr>
          <w:lang w:val="en-US"/>
        </w:rPr>
      </w:pPr>
      <w:r>
        <w:rPr>
          <w:rStyle w:val="FootnoteReference"/>
        </w:rPr>
        <w:footnoteRef/>
      </w:r>
      <w:r>
        <w:t xml:space="preserve"> </w:t>
      </w:r>
      <w:r w:rsidR="00443220">
        <w:rPr>
          <w:lang w:val="en-US"/>
        </w:rPr>
        <w:t>2010 (1) SACR 93 (TPD).</w:t>
      </w:r>
    </w:p>
  </w:footnote>
  <w:footnote w:id="11">
    <w:p w14:paraId="43B52B4E" w14:textId="77777777" w:rsidR="00686C05" w:rsidRPr="00686C05" w:rsidRDefault="00686C05" w:rsidP="00C50193">
      <w:pPr>
        <w:pStyle w:val="FootnoteText"/>
        <w:jc w:val="both"/>
        <w:rPr>
          <w:lang w:val="en-US"/>
        </w:rPr>
      </w:pPr>
      <w:r>
        <w:rPr>
          <w:rStyle w:val="FootnoteReference"/>
        </w:rPr>
        <w:footnoteRef/>
      </w:r>
      <w:r>
        <w:t xml:space="preserve"> </w:t>
      </w:r>
      <w:r w:rsidR="00443220">
        <w:t xml:space="preserve">At </w:t>
      </w:r>
      <w:r w:rsidR="00681CA4">
        <w:t>paragraph [6].</w:t>
      </w:r>
    </w:p>
  </w:footnote>
  <w:footnote w:id="12">
    <w:p w14:paraId="184B2EA6" w14:textId="77777777" w:rsidR="003847CF" w:rsidRPr="003847CF" w:rsidRDefault="003847CF" w:rsidP="00C50193">
      <w:pPr>
        <w:pStyle w:val="FootnoteText"/>
        <w:jc w:val="both"/>
        <w:rPr>
          <w:lang w:val="en-US"/>
        </w:rPr>
      </w:pPr>
      <w:r>
        <w:rPr>
          <w:rStyle w:val="FootnoteReference"/>
        </w:rPr>
        <w:footnoteRef/>
      </w:r>
      <w:r>
        <w:t xml:space="preserve"> </w:t>
      </w:r>
      <w:r>
        <w:rPr>
          <w:lang w:val="en-US"/>
        </w:rPr>
        <w:t>See</w:t>
      </w:r>
      <w:r w:rsidR="005A63E0">
        <w:rPr>
          <w:lang w:val="en-US"/>
        </w:rPr>
        <w:t xml:space="preserve">, for example, </w:t>
      </w:r>
      <w:r w:rsidR="005A63E0" w:rsidRPr="00F76D17">
        <w:rPr>
          <w:i/>
          <w:iCs/>
          <w:lang w:val="en-US"/>
        </w:rPr>
        <w:t xml:space="preserve">S v </w:t>
      </w:r>
      <w:r w:rsidR="00527728" w:rsidRPr="00F76D17">
        <w:rPr>
          <w:i/>
          <w:iCs/>
          <w:lang w:val="en-US"/>
        </w:rPr>
        <w:t>Ngobeni</w:t>
      </w:r>
      <w:r w:rsidR="00527728">
        <w:rPr>
          <w:lang w:val="en-US"/>
        </w:rPr>
        <w:t xml:space="preserve"> 1992 (1) SACR 628 </w:t>
      </w:r>
      <w:r w:rsidR="00F76D17">
        <w:rPr>
          <w:lang w:val="en-US"/>
        </w:rPr>
        <w:t>(A), at 631i;</w:t>
      </w:r>
      <w:r>
        <w:rPr>
          <w:lang w:val="en-US"/>
        </w:rPr>
        <w:t xml:space="preserve"> </w:t>
      </w:r>
      <w:r w:rsidR="00D63136" w:rsidRPr="00F76D17">
        <w:rPr>
          <w:i/>
          <w:iCs/>
          <w:lang w:val="en-US"/>
        </w:rPr>
        <w:t xml:space="preserve">S v </w:t>
      </w:r>
      <w:r w:rsidR="009A41C7" w:rsidRPr="00F76D17">
        <w:rPr>
          <w:i/>
          <w:iCs/>
          <w:lang w:val="en-US"/>
        </w:rPr>
        <w:t>Mosemeng</w:t>
      </w:r>
      <w:r w:rsidR="009A41C7">
        <w:rPr>
          <w:lang w:val="en-US"/>
        </w:rPr>
        <w:t xml:space="preserve"> 1994 (1) SACR 591 (A), at </w:t>
      </w:r>
      <w:r w:rsidR="005A63E0">
        <w:rPr>
          <w:lang w:val="en-US"/>
        </w:rPr>
        <w:t xml:space="preserve">595c; </w:t>
      </w:r>
      <w:r w:rsidR="00F76D17">
        <w:rPr>
          <w:lang w:val="en-US"/>
        </w:rPr>
        <w:t xml:space="preserve">and </w:t>
      </w:r>
      <w:r w:rsidR="00B12CBF" w:rsidRPr="00F76D17">
        <w:rPr>
          <w:i/>
          <w:iCs/>
          <w:lang w:val="en-US"/>
        </w:rPr>
        <w:t>S v Kruger</w:t>
      </w:r>
      <w:r w:rsidR="00B12CBF">
        <w:rPr>
          <w:lang w:val="en-US"/>
        </w:rPr>
        <w:t xml:space="preserve"> 1995 (1) SACR 27 (A), at 29f</w:t>
      </w:r>
      <w:r w:rsidR="00F76D17">
        <w:rPr>
          <w:lang w:val="en-US"/>
        </w:rPr>
        <w:t>.</w:t>
      </w:r>
    </w:p>
  </w:footnote>
  <w:footnote w:id="13">
    <w:p w14:paraId="17494B95" w14:textId="77777777" w:rsidR="007A0CD0" w:rsidRPr="007A0CD0" w:rsidRDefault="007A0CD0" w:rsidP="00C50193">
      <w:pPr>
        <w:pStyle w:val="FootnoteText"/>
        <w:jc w:val="both"/>
        <w:rPr>
          <w:lang w:val="en-US"/>
        </w:rPr>
      </w:pPr>
      <w:r>
        <w:rPr>
          <w:rStyle w:val="FootnoteReference"/>
        </w:rPr>
        <w:footnoteRef/>
      </w:r>
      <w:r>
        <w:t xml:space="preserve"> </w:t>
      </w:r>
      <w:r>
        <w:rPr>
          <w:lang w:val="en-US"/>
        </w:rPr>
        <w:t xml:space="preserve">1969 </w:t>
      </w:r>
      <w:r w:rsidR="00A1261F">
        <w:rPr>
          <w:lang w:val="en-US"/>
        </w:rPr>
        <w:t>(2) SA 537 (A), at 540</w:t>
      </w:r>
      <w:r w:rsidR="00F813C6">
        <w:rPr>
          <w:lang w:val="en-US"/>
        </w:rPr>
        <w:t>G-H.</w:t>
      </w:r>
    </w:p>
  </w:footnote>
  <w:footnote w:id="14">
    <w:p w14:paraId="71E54C39" w14:textId="3EA85822" w:rsidR="00CC2E9C" w:rsidRPr="00CC2E9C" w:rsidRDefault="00CC2E9C" w:rsidP="00C50193">
      <w:pPr>
        <w:pStyle w:val="FootnoteText"/>
        <w:jc w:val="both"/>
        <w:rPr>
          <w:lang w:val="en-US"/>
        </w:rPr>
      </w:pPr>
      <w:r>
        <w:rPr>
          <w:rStyle w:val="FootnoteReference"/>
        </w:rPr>
        <w:footnoteRef/>
      </w:r>
      <w:r>
        <w:t xml:space="preserve"> </w:t>
      </w:r>
      <w:r>
        <w:rPr>
          <w:lang w:val="en-US"/>
        </w:rPr>
        <w:t xml:space="preserve">The </w:t>
      </w:r>
      <w:r w:rsidR="00D241D9">
        <w:rPr>
          <w:lang w:val="en-US"/>
        </w:rPr>
        <w:t>term appear</w:t>
      </w:r>
      <w:r w:rsidR="00E2727B">
        <w:rPr>
          <w:lang w:val="en-US"/>
        </w:rPr>
        <w:t>s</w:t>
      </w:r>
      <w:r w:rsidR="00D241D9">
        <w:rPr>
          <w:lang w:val="en-US"/>
        </w:rPr>
        <w:t xml:space="preserve"> in Annexure A to the charge sheet.</w:t>
      </w:r>
    </w:p>
  </w:footnote>
  <w:footnote w:id="15">
    <w:p w14:paraId="04AA1049" w14:textId="77777777" w:rsidR="00702620" w:rsidRPr="00702620" w:rsidRDefault="00702620" w:rsidP="00C50193">
      <w:pPr>
        <w:pStyle w:val="FootnoteText"/>
        <w:jc w:val="both"/>
        <w:rPr>
          <w:lang w:val="en-US"/>
        </w:rPr>
      </w:pPr>
      <w:r>
        <w:rPr>
          <w:rStyle w:val="FootnoteReference"/>
        </w:rPr>
        <w:footnoteRef/>
      </w:r>
      <w:r>
        <w:t xml:space="preserve"> </w:t>
      </w:r>
      <w:r>
        <w:rPr>
          <w:lang w:val="en-US"/>
        </w:rPr>
        <w:t xml:space="preserve">2001 (5) BCLR </w:t>
      </w:r>
      <w:r w:rsidR="00DA288B">
        <w:rPr>
          <w:lang w:val="en-US"/>
        </w:rPr>
        <w:t>423 (CC).</w:t>
      </w:r>
    </w:p>
  </w:footnote>
  <w:footnote w:id="16">
    <w:p w14:paraId="0B3F7174" w14:textId="77777777" w:rsidR="00121E6C" w:rsidRPr="00121E6C" w:rsidRDefault="00121E6C" w:rsidP="00C50193">
      <w:pPr>
        <w:pStyle w:val="FootnoteText"/>
        <w:jc w:val="both"/>
        <w:rPr>
          <w:lang w:val="en-US"/>
        </w:rPr>
      </w:pPr>
      <w:r>
        <w:rPr>
          <w:rStyle w:val="FootnoteReference"/>
        </w:rPr>
        <w:footnoteRef/>
      </w:r>
      <w:r>
        <w:t xml:space="preserve"> </w:t>
      </w:r>
      <w:r>
        <w:rPr>
          <w:lang w:val="en-US"/>
        </w:rPr>
        <w:t>At paragraphs [37] and [38].</w:t>
      </w:r>
    </w:p>
  </w:footnote>
  <w:footnote w:id="17">
    <w:p w14:paraId="1BF013B5" w14:textId="77777777" w:rsidR="00121224" w:rsidRPr="00121224" w:rsidRDefault="00121224" w:rsidP="00C50193">
      <w:pPr>
        <w:pStyle w:val="FootnoteText"/>
        <w:jc w:val="both"/>
        <w:rPr>
          <w:lang w:val="en-US"/>
        </w:rPr>
      </w:pPr>
      <w:r>
        <w:rPr>
          <w:rStyle w:val="FootnoteReference"/>
        </w:rPr>
        <w:footnoteRef/>
      </w:r>
      <w:r>
        <w:t xml:space="preserve"> </w:t>
      </w:r>
      <w:r>
        <w:rPr>
          <w:lang w:val="en-US"/>
        </w:rPr>
        <w:t>[2008] 4 All SA 396 (SCA).</w:t>
      </w:r>
    </w:p>
  </w:footnote>
  <w:footnote w:id="18">
    <w:p w14:paraId="6430D2CE" w14:textId="77777777" w:rsidR="00F64101" w:rsidRPr="00F64101" w:rsidRDefault="00F64101" w:rsidP="00C50193">
      <w:pPr>
        <w:pStyle w:val="FootnoteText"/>
        <w:jc w:val="both"/>
        <w:rPr>
          <w:lang w:val="en-US"/>
        </w:rPr>
      </w:pPr>
      <w:r>
        <w:rPr>
          <w:rStyle w:val="FootnoteReference"/>
        </w:rPr>
        <w:footnoteRef/>
      </w:r>
      <w:r>
        <w:t xml:space="preserve"> </w:t>
      </w:r>
      <w:r>
        <w:rPr>
          <w:lang w:val="en-US"/>
        </w:rPr>
        <w:t>At paragraph [18].</w:t>
      </w:r>
    </w:p>
  </w:footnote>
  <w:footnote w:id="19">
    <w:p w14:paraId="401410B0" w14:textId="77777777" w:rsidR="005645B3" w:rsidRPr="005645B3" w:rsidRDefault="005645B3" w:rsidP="00C50193">
      <w:pPr>
        <w:pStyle w:val="FootnoteText"/>
        <w:jc w:val="both"/>
        <w:rPr>
          <w:lang w:val="en-US"/>
        </w:rPr>
      </w:pPr>
      <w:r>
        <w:rPr>
          <w:rStyle w:val="FootnoteReference"/>
        </w:rPr>
        <w:footnoteRef/>
      </w:r>
      <w:r>
        <w:t xml:space="preserve"> </w:t>
      </w:r>
      <w:r>
        <w:rPr>
          <w:lang w:val="en-US"/>
        </w:rPr>
        <w:t>At paragraph [21].</w:t>
      </w:r>
    </w:p>
  </w:footnote>
  <w:footnote w:id="20">
    <w:p w14:paraId="5CD10056" w14:textId="77777777" w:rsidR="004C5C0A" w:rsidRPr="004C5C0A" w:rsidRDefault="004C5C0A" w:rsidP="00C50193">
      <w:pPr>
        <w:pStyle w:val="FootnoteText"/>
        <w:jc w:val="both"/>
        <w:rPr>
          <w:lang w:val="en-US"/>
        </w:rPr>
      </w:pPr>
      <w:r>
        <w:rPr>
          <w:rStyle w:val="FootnoteReference"/>
        </w:rPr>
        <w:footnoteRef/>
      </w:r>
      <w:r>
        <w:t xml:space="preserve"> </w:t>
      </w:r>
      <w:r w:rsidR="00F005A2">
        <w:rPr>
          <w:lang w:val="en-US"/>
        </w:rPr>
        <w:t>[2012] JOL 29522 (SCA).</w:t>
      </w:r>
    </w:p>
  </w:footnote>
  <w:footnote w:id="21">
    <w:p w14:paraId="5906B942" w14:textId="77777777" w:rsidR="0080355F" w:rsidRPr="0080355F" w:rsidRDefault="0080355F" w:rsidP="00C50193">
      <w:pPr>
        <w:pStyle w:val="FootnoteText"/>
        <w:jc w:val="both"/>
        <w:rPr>
          <w:lang w:val="en-US"/>
        </w:rPr>
      </w:pPr>
      <w:r>
        <w:rPr>
          <w:rStyle w:val="FootnoteReference"/>
        </w:rPr>
        <w:footnoteRef/>
      </w:r>
      <w:r>
        <w:t xml:space="preserve"> </w:t>
      </w:r>
      <w:r>
        <w:rPr>
          <w:lang w:val="en-US"/>
        </w:rPr>
        <w:t>At paragraph [14].</w:t>
      </w:r>
    </w:p>
  </w:footnote>
  <w:footnote w:id="22">
    <w:p w14:paraId="71FE06E5" w14:textId="77777777" w:rsidR="00DD749B" w:rsidRPr="00DD749B" w:rsidRDefault="00DD749B" w:rsidP="00C50193">
      <w:pPr>
        <w:pStyle w:val="FootnoteText"/>
        <w:jc w:val="both"/>
        <w:rPr>
          <w:lang w:val="en-US"/>
        </w:rPr>
      </w:pPr>
      <w:r>
        <w:rPr>
          <w:rStyle w:val="FootnoteReference"/>
        </w:rPr>
        <w:footnoteRef/>
      </w:r>
      <w:r>
        <w:t xml:space="preserve"> </w:t>
      </w:r>
      <w:r>
        <w:rPr>
          <w:lang w:val="en-US"/>
        </w:rPr>
        <w:t xml:space="preserve">See, for example, </w:t>
      </w:r>
      <w:r w:rsidR="00FE47CF" w:rsidRPr="00FE47CF">
        <w:rPr>
          <w:i/>
          <w:iCs/>
          <w:lang w:val="en-US"/>
        </w:rPr>
        <w:t>S v FM</w:t>
      </w:r>
      <w:r w:rsidR="00FE47CF" w:rsidRPr="00FE47CF">
        <w:rPr>
          <w:lang w:val="en-US"/>
        </w:rPr>
        <w:t xml:space="preserve"> 2016 JDR 1564 (GP)</w:t>
      </w:r>
      <w:r w:rsidR="00FE47CF">
        <w:rPr>
          <w:lang w:val="en-US"/>
        </w:rPr>
        <w:t xml:space="preserve">; </w:t>
      </w:r>
      <w:r w:rsidR="00FE47CF" w:rsidRPr="00FE47CF">
        <w:rPr>
          <w:i/>
          <w:iCs/>
          <w:lang w:val="en-US"/>
        </w:rPr>
        <w:t>S v Mgandela</w:t>
      </w:r>
      <w:r w:rsidR="00FE47CF" w:rsidRPr="00FE47CF">
        <w:rPr>
          <w:lang w:val="en-US"/>
        </w:rPr>
        <w:t xml:space="preserve"> 2016 JDR 1748 (ECM)</w:t>
      </w:r>
      <w:r w:rsidR="00FE47CF">
        <w:rPr>
          <w:lang w:val="en-US"/>
        </w:rPr>
        <w:t xml:space="preserve">; </w:t>
      </w:r>
      <w:r w:rsidR="00FE47CF" w:rsidRPr="00FE47CF">
        <w:rPr>
          <w:i/>
          <w:iCs/>
          <w:lang w:val="en-US"/>
        </w:rPr>
        <w:t>S v Radebe</w:t>
      </w:r>
      <w:r w:rsidR="00FE47CF" w:rsidRPr="00FE47CF">
        <w:rPr>
          <w:lang w:val="en-US"/>
        </w:rPr>
        <w:t xml:space="preserve"> 2019 JDR 1257 (GP); and </w:t>
      </w:r>
      <w:r w:rsidR="00FE47CF" w:rsidRPr="00FE47CF">
        <w:rPr>
          <w:i/>
          <w:iCs/>
          <w:lang w:val="en-US"/>
        </w:rPr>
        <w:t>S v Daile</w:t>
      </w:r>
      <w:r w:rsidR="00FE47CF" w:rsidRPr="00FE47CF">
        <w:rPr>
          <w:lang w:val="en-US"/>
        </w:rPr>
        <w:t xml:space="preserve"> 2021 JDR 1879 (GP)</w:t>
      </w:r>
      <w:r w:rsidR="00A46E2A">
        <w:rPr>
          <w:lang w:val="en-US"/>
        </w:rPr>
        <w:t>.</w:t>
      </w:r>
      <w:r w:rsidR="00667449">
        <w:rPr>
          <w:lang w:val="en-US"/>
        </w:rPr>
        <w:t xml:space="preserve"> The decision of the Supreme Court of Appeal in </w:t>
      </w:r>
      <w:r w:rsidR="00E740A1" w:rsidRPr="00DE08EF">
        <w:rPr>
          <w:i/>
          <w:iCs/>
          <w:lang w:val="en-US"/>
        </w:rPr>
        <w:t>Director of Public Prosecutions, Grahamstown v Mantashe</w:t>
      </w:r>
      <w:r w:rsidR="00E740A1">
        <w:rPr>
          <w:lang w:val="en-US"/>
        </w:rPr>
        <w:t xml:space="preserve"> [2020] </w:t>
      </w:r>
      <w:r w:rsidR="00F9007B">
        <w:rPr>
          <w:lang w:val="en-US"/>
        </w:rPr>
        <w:t xml:space="preserve">JOL 47313 (SCA), </w:t>
      </w:r>
      <w:r w:rsidR="000E488F">
        <w:rPr>
          <w:lang w:val="en-US"/>
        </w:rPr>
        <w:t xml:space="preserve">to which the court </w:t>
      </w:r>
      <w:r w:rsidR="000E488F" w:rsidRPr="000E488F">
        <w:rPr>
          <w:i/>
          <w:iCs/>
          <w:lang w:val="en-US"/>
        </w:rPr>
        <w:t>a quo</w:t>
      </w:r>
      <w:r w:rsidR="000E488F">
        <w:rPr>
          <w:lang w:val="en-US"/>
        </w:rPr>
        <w:t xml:space="preserve"> in the present matter </w:t>
      </w:r>
      <w:r w:rsidR="00F9007B">
        <w:rPr>
          <w:lang w:val="en-US"/>
        </w:rPr>
        <w:t>referred, is also</w:t>
      </w:r>
      <w:r w:rsidR="00A55504">
        <w:rPr>
          <w:lang w:val="en-US"/>
        </w:rPr>
        <w:t xml:space="preserve"> of </w:t>
      </w:r>
      <w:r w:rsidR="00DE08EF">
        <w:rPr>
          <w:lang w:val="en-US"/>
        </w:rPr>
        <w:t>relevance</w:t>
      </w:r>
      <w:r w:rsidR="00A55504">
        <w:rPr>
          <w:lang w:val="en-US"/>
        </w:rPr>
        <w:t xml:space="preserve"> (at paragraphs [1</w:t>
      </w:r>
      <w:r w:rsidR="00DE3E4F">
        <w:rPr>
          <w:lang w:val="en-US"/>
        </w:rPr>
        <w:t>1</w:t>
      </w:r>
      <w:r w:rsidR="00A55504">
        <w:rPr>
          <w:lang w:val="en-US"/>
        </w:rPr>
        <w:t>] and [1</w:t>
      </w:r>
      <w:r w:rsidR="00DE3E4F">
        <w:rPr>
          <w:lang w:val="en-US"/>
        </w:rPr>
        <w:t>2</w:t>
      </w:r>
      <w:r w:rsidR="00A55504">
        <w:rPr>
          <w:lang w:val="en-US"/>
        </w:rPr>
        <w:t>]).</w:t>
      </w:r>
    </w:p>
  </w:footnote>
  <w:footnote w:id="23">
    <w:p w14:paraId="395B6AF0" w14:textId="77777777" w:rsidR="00AF0861" w:rsidRPr="00AF0861" w:rsidRDefault="00AF0861" w:rsidP="00C50193">
      <w:pPr>
        <w:pStyle w:val="FootnoteText"/>
        <w:jc w:val="both"/>
        <w:rPr>
          <w:lang w:val="en-US"/>
        </w:rPr>
      </w:pPr>
      <w:r>
        <w:rPr>
          <w:rStyle w:val="FootnoteReference"/>
        </w:rPr>
        <w:footnoteRef/>
      </w:r>
      <w:r>
        <w:t xml:space="preserve"> </w:t>
      </w:r>
      <w:r>
        <w:rPr>
          <w:lang w:val="en-US"/>
        </w:rPr>
        <w:t>[2002]</w:t>
      </w:r>
      <w:r w:rsidR="001B7723">
        <w:rPr>
          <w:lang w:val="en-US"/>
        </w:rPr>
        <w:t xml:space="preserve"> JOL 10353</w:t>
      </w:r>
      <w:r w:rsidR="00A71E93">
        <w:rPr>
          <w:lang w:val="en-US"/>
        </w:rPr>
        <w:t xml:space="preserve"> (SCA).</w:t>
      </w:r>
    </w:p>
  </w:footnote>
  <w:footnote w:id="24">
    <w:p w14:paraId="03225AD3" w14:textId="77777777" w:rsidR="00905C40" w:rsidRPr="00905C40" w:rsidRDefault="00905C40" w:rsidP="00C50193">
      <w:pPr>
        <w:pStyle w:val="FootnoteText"/>
        <w:jc w:val="both"/>
        <w:rPr>
          <w:lang w:val="en-US"/>
        </w:rPr>
      </w:pPr>
      <w:r>
        <w:rPr>
          <w:rStyle w:val="FootnoteReference"/>
        </w:rPr>
        <w:footnoteRef/>
      </w:r>
      <w:r>
        <w:t xml:space="preserve"> </w:t>
      </w:r>
      <w:r>
        <w:rPr>
          <w:lang w:val="en-US"/>
        </w:rPr>
        <w:t>Own translation.</w:t>
      </w:r>
    </w:p>
  </w:footnote>
  <w:footnote w:id="25">
    <w:p w14:paraId="5802F7C4" w14:textId="77777777" w:rsidR="00362228" w:rsidRPr="00362228" w:rsidRDefault="00362228" w:rsidP="00C50193">
      <w:pPr>
        <w:pStyle w:val="FootnoteText"/>
        <w:jc w:val="both"/>
        <w:rPr>
          <w:lang w:val="en-US"/>
        </w:rPr>
      </w:pPr>
      <w:r>
        <w:rPr>
          <w:rStyle w:val="FootnoteReference"/>
        </w:rPr>
        <w:footnoteRef/>
      </w:r>
      <w:r>
        <w:t xml:space="preserve"> </w:t>
      </w:r>
      <w:r>
        <w:rPr>
          <w:lang w:val="en-US"/>
        </w:rPr>
        <w:t>At paragraphs [13] and [14].</w:t>
      </w:r>
    </w:p>
  </w:footnote>
  <w:footnote w:id="26">
    <w:p w14:paraId="04E7ED01" w14:textId="77777777" w:rsidR="00C35D0B" w:rsidRPr="00C35D0B" w:rsidRDefault="00C35D0B" w:rsidP="00C50193">
      <w:pPr>
        <w:pStyle w:val="FootnoteText"/>
        <w:jc w:val="both"/>
        <w:rPr>
          <w:lang w:val="en-US"/>
        </w:rPr>
      </w:pPr>
      <w:r>
        <w:rPr>
          <w:rStyle w:val="FootnoteReference"/>
        </w:rPr>
        <w:footnoteRef/>
      </w:r>
      <w:r>
        <w:t xml:space="preserve"> </w:t>
      </w:r>
      <w:r>
        <w:rPr>
          <w:lang w:val="en-US"/>
        </w:rPr>
        <w:t xml:space="preserve">[2010] JOL </w:t>
      </w:r>
      <w:r w:rsidR="00BA5B85">
        <w:rPr>
          <w:lang w:val="en-US"/>
        </w:rPr>
        <w:t>25319 (SCA).</w:t>
      </w:r>
    </w:p>
  </w:footnote>
  <w:footnote w:id="27">
    <w:p w14:paraId="507BFED4" w14:textId="77777777" w:rsidR="000A588F" w:rsidRPr="000A588F" w:rsidRDefault="000A588F" w:rsidP="00C50193">
      <w:pPr>
        <w:pStyle w:val="FootnoteText"/>
        <w:jc w:val="both"/>
        <w:rPr>
          <w:lang w:val="en-US"/>
        </w:rPr>
      </w:pPr>
      <w:r>
        <w:rPr>
          <w:rStyle w:val="FootnoteReference"/>
        </w:rPr>
        <w:footnoteRef/>
      </w:r>
      <w:r>
        <w:t xml:space="preserve"> </w:t>
      </w:r>
      <w:r>
        <w:rPr>
          <w:lang w:val="en-US"/>
        </w:rPr>
        <w:t xml:space="preserve">At paragraph </w:t>
      </w:r>
      <w:r w:rsidR="00C35D0B">
        <w:rPr>
          <w:lang w:val="en-US"/>
        </w:rPr>
        <w:t>[8].</w:t>
      </w:r>
    </w:p>
  </w:footnote>
  <w:footnote w:id="28">
    <w:p w14:paraId="3FEBDF16" w14:textId="77777777" w:rsidR="00F50A87" w:rsidRPr="00F50A87" w:rsidRDefault="00F50A87" w:rsidP="00C50193">
      <w:pPr>
        <w:pStyle w:val="FootnoteText"/>
        <w:jc w:val="both"/>
        <w:rPr>
          <w:lang w:val="en-US"/>
        </w:rPr>
      </w:pPr>
      <w:r>
        <w:rPr>
          <w:rStyle w:val="FootnoteReference"/>
        </w:rPr>
        <w:footnoteRef/>
      </w:r>
      <w:r>
        <w:t xml:space="preserve"> </w:t>
      </w:r>
      <w:r>
        <w:rPr>
          <w:lang w:val="en-US"/>
        </w:rPr>
        <w:t xml:space="preserve">See the full court decision in </w:t>
      </w:r>
      <w:r w:rsidR="009A4502" w:rsidRPr="00A15C17">
        <w:rPr>
          <w:i/>
          <w:iCs/>
          <w:lang w:val="en-US"/>
        </w:rPr>
        <w:t>S v FJH</w:t>
      </w:r>
      <w:r w:rsidR="009A4502">
        <w:rPr>
          <w:lang w:val="en-US"/>
        </w:rPr>
        <w:t xml:space="preserve"> 2015 JDR 0073 (GP), where </w:t>
      </w:r>
      <w:r w:rsidR="00E643FE">
        <w:rPr>
          <w:lang w:val="en-US"/>
        </w:rPr>
        <w:t xml:space="preserve">Southwood J </w:t>
      </w:r>
      <w:r w:rsidR="00F866B7">
        <w:rPr>
          <w:lang w:val="en-US"/>
        </w:rPr>
        <w:t>observ</w:t>
      </w:r>
      <w:r w:rsidR="00E643FE">
        <w:rPr>
          <w:lang w:val="en-US"/>
        </w:rPr>
        <w:t xml:space="preserve">ed that </w:t>
      </w:r>
      <w:r w:rsidR="00AE35BF">
        <w:rPr>
          <w:lang w:val="en-US"/>
        </w:rPr>
        <w:t>a</w:t>
      </w:r>
      <w:r w:rsidR="007A42BD">
        <w:rPr>
          <w:lang w:val="en-US"/>
        </w:rPr>
        <w:t xml:space="preserve"> case marked by extreme violence and humiliation would </w:t>
      </w:r>
      <w:r w:rsidR="00A15C17">
        <w:rPr>
          <w:lang w:val="en-US"/>
        </w:rPr>
        <w:t xml:space="preserve">usually </w:t>
      </w:r>
      <w:r w:rsidR="007A42BD">
        <w:rPr>
          <w:lang w:val="en-US"/>
        </w:rPr>
        <w:t>be regarded as such</w:t>
      </w:r>
      <w:r w:rsidR="00A15C17">
        <w:rPr>
          <w:lang w:val="en-US"/>
        </w:rPr>
        <w:t xml:space="preserve"> (at paragraph [23]).</w:t>
      </w:r>
      <w:r w:rsidR="00AE35B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51094"/>
      <w:docPartObj>
        <w:docPartGallery w:val="Page Numbers (Top of Page)"/>
        <w:docPartUnique/>
      </w:docPartObj>
    </w:sdtPr>
    <w:sdtEndPr>
      <w:rPr>
        <w:noProof/>
      </w:rPr>
    </w:sdtEndPr>
    <w:sdtContent>
      <w:p w14:paraId="772522AE" w14:textId="4DB6A641" w:rsidR="00F01B0B" w:rsidRDefault="00F01B0B">
        <w:pPr>
          <w:pStyle w:val="Header"/>
          <w:jc w:val="center"/>
        </w:pPr>
        <w:r>
          <w:fldChar w:fldCharType="begin"/>
        </w:r>
        <w:r>
          <w:instrText xml:space="preserve"> PAGE   \* MERGEFORMAT </w:instrText>
        </w:r>
        <w:r>
          <w:fldChar w:fldCharType="separate"/>
        </w:r>
        <w:r w:rsidR="004F3F72">
          <w:rPr>
            <w:noProof/>
          </w:rPr>
          <w:t>2</w:t>
        </w:r>
        <w:r>
          <w:rPr>
            <w:noProof/>
          </w:rPr>
          <w:fldChar w:fldCharType="end"/>
        </w:r>
      </w:p>
    </w:sdtContent>
  </w:sdt>
  <w:p w14:paraId="66B05D87" w14:textId="77777777" w:rsidR="00F01B0B" w:rsidRDefault="00F0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BA5"/>
    <w:multiLevelType w:val="hybridMultilevel"/>
    <w:tmpl w:val="BFF47318"/>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DE2BCA"/>
    <w:multiLevelType w:val="hybridMultilevel"/>
    <w:tmpl w:val="35705062"/>
    <w:lvl w:ilvl="0" w:tplc="A282F846">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E60C1F"/>
    <w:multiLevelType w:val="hybridMultilevel"/>
    <w:tmpl w:val="28BAE210"/>
    <w:lvl w:ilvl="0" w:tplc="442CA1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159A7"/>
    <w:multiLevelType w:val="hybridMultilevel"/>
    <w:tmpl w:val="3702B020"/>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943C51"/>
    <w:multiLevelType w:val="hybridMultilevel"/>
    <w:tmpl w:val="19682F5C"/>
    <w:lvl w:ilvl="0" w:tplc="13DC6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658B2"/>
    <w:multiLevelType w:val="hybridMultilevel"/>
    <w:tmpl w:val="CB3C4294"/>
    <w:lvl w:ilvl="0" w:tplc="A282F846">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7D35F7"/>
    <w:multiLevelType w:val="hybridMultilevel"/>
    <w:tmpl w:val="7CC4EF0A"/>
    <w:lvl w:ilvl="0" w:tplc="A282F846">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547D4F"/>
    <w:multiLevelType w:val="hybridMultilevel"/>
    <w:tmpl w:val="4000B7A8"/>
    <w:lvl w:ilvl="0" w:tplc="2AB0F3E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D6F7162"/>
    <w:multiLevelType w:val="hybridMultilevel"/>
    <w:tmpl w:val="FCBE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6414E1C"/>
    <w:multiLevelType w:val="multilevel"/>
    <w:tmpl w:val="8E943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3C16CE"/>
    <w:multiLevelType w:val="hybridMultilevel"/>
    <w:tmpl w:val="5DFE5FDE"/>
    <w:lvl w:ilvl="0" w:tplc="9588E8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7"/>
  </w:num>
  <w:num w:numId="6">
    <w:abstractNumId w:val="9"/>
  </w:num>
  <w:num w:numId="7">
    <w:abstractNumId w:val="2"/>
  </w:num>
  <w:num w:numId="8">
    <w:abstractNumId w:val="8"/>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22"/>
    <w:rsid w:val="000033E0"/>
    <w:rsid w:val="00006C1F"/>
    <w:rsid w:val="000071D6"/>
    <w:rsid w:val="000101B2"/>
    <w:rsid w:val="00022296"/>
    <w:rsid w:val="0002339F"/>
    <w:rsid w:val="000238CD"/>
    <w:rsid w:val="00024A2D"/>
    <w:rsid w:val="000265A1"/>
    <w:rsid w:val="00035925"/>
    <w:rsid w:val="00046D4D"/>
    <w:rsid w:val="00047CDC"/>
    <w:rsid w:val="00057A22"/>
    <w:rsid w:val="00063327"/>
    <w:rsid w:val="00066A63"/>
    <w:rsid w:val="000674C2"/>
    <w:rsid w:val="00067FC7"/>
    <w:rsid w:val="00074169"/>
    <w:rsid w:val="00080765"/>
    <w:rsid w:val="00081A86"/>
    <w:rsid w:val="000825E5"/>
    <w:rsid w:val="00087BD0"/>
    <w:rsid w:val="00095BEA"/>
    <w:rsid w:val="00096743"/>
    <w:rsid w:val="000A000B"/>
    <w:rsid w:val="000A4783"/>
    <w:rsid w:val="000A588F"/>
    <w:rsid w:val="000A5FCD"/>
    <w:rsid w:val="000A656C"/>
    <w:rsid w:val="000B02E7"/>
    <w:rsid w:val="000B0F38"/>
    <w:rsid w:val="000B190A"/>
    <w:rsid w:val="000B4247"/>
    <w:rsid w:val="000B7CE2"/>
    <w:rsid w:val="000C6C3A"/>
    <w:rsid w:val="000E2E7E"/>
    <w:rsid w:val="000E358C"/>
    <w:rsid w:val="000E488F"/>
    <w:rsid w:val="001016DA"/>
    <w:rsid w:val="00102AF4"/>
    <w:rsid w:val="001044C3"/>
    <w:rsid w:val="00104B2D"/>
    <w:rsid w:val="00105242"/>
    <w:rsid w:val="001078E6"/>
    <w:rsid w:val="00111149"/>
    <w:rsid w:val="00111A13"/>
    <w:rsid w:val="00120615"/>
    <w:rsid w:val="00121224"/>
    <w:rsid w:val="00121E6C"/>
    <w:rsid w:val="001270F3"/>
    <w:rsid w:val="0013090C"/>
    <w:rsid w:val="00134D9C"/>
    <w:rsid w:val="0014049A"/>
    <w:rsid w:val="00140578"/>
    <w:rsid w:val="00141F57"/>
    <w:rsid w:val="00153FDE"/>
    <w:rsid w:val="00155191"/>
    <w:rsid w:val="00155438"/>
    <w:rsid w:val="0015621F"/>
    <w:rsid w:val="00157423"/>
    <w:rsid w:val="00161301"/>
    <w:rsid w:val="00166A15"/>
    <w:rsid w:val="00177346"/>
    <w:rsid w:val="0018138C"/>
    <w:rsid w:val="00194158"/>
    <w:rsid w:val="001A02C4"/>
    <w:rsid w:val="001A35B5"/>
    <w:rsid w:val="001A5F6B"/>
    <w:rsid w:val="001A6844"/>
    <w:rsid w:val="001B20A7"/>
    <w:rsid w:val="001B7723"/>
    <w:rsid w:val="001C0EC6"/>
    <w:rsid w:val="001C1E40"/>
    <w:rsid w:val="001C36A9"/>
    <w:rsid w:val="001C3CCD"/>
    <w:rsid w:val="001D0714"/>
    <w:rsid w:val="001D31C9"/>
    <w:rsid w:val="001D62DB"/>
    <w:rsid w:val="001D718E"/>
    <w:rsid w:val="001F36EC"/>
    <w:rsid w:val="001F51E7"/>
    <w:rsid w:val="002006B0"/>
    <w:rsid w:val="00201E86"/>
    <w:rsid w:val="00203999"/>
    <w:rsid w:val="00203EA3"/>
    <w:rsid w:val="00205F75"/>
    <w:rsid w:val="002069EA"/>
    <w:rsid w:val="002129E1"/>
    <w:rsid w:val="002140D4"/>
    <w:rsid w:val="00216526"/>
    <w:rsid w:val="00217DDE"/>
    <w:rsid w:val="002202CD"/>
    <w:rsid w:val="00227525"/>
    <w:rsid w:val="00230840"/>
    <w:rsid w:val="002448E5"/>
    <w:rsid w:val="00246E15"/>
    <w:rsid w:val="00250640"/>
    <w:rsid w:val="0025134B"/>
    <w:rsid w:val="00256A51"/>
    <w:rsid w:val="0026077F"/>
    <w:rsid w:val="0026271B"/>
    <w:rsid w:val="00262938"/>
    <w:rsid w:val="0026564F"/>
    <w:rsid w:val="00270614"/>
    <w:rsid w:val="002724F2"/>
    <w:rsid w:val="00273DFB"/>
    <w:rsid w:val="002740AB"/>
    <w:rsid w:val="00282389"/>
    <w:rsid w:val="002876CC"/>
    <w:rsid w:val="00296805"/>
    <w:rsid w:val="002A05FB"/>
    <w:rsid w:val="002A33C4"/>
    <w:rsid w:val="002B24D3"/>
    <w:rsid w:val="002B5474"/>
    <w:rsid w:val="002B701A"/>
    <w:rsid w:val="002B7BAC"/>
    <w:rsid w:val="002C7571"/>
    <w:rsid w:val="002C75BB"/>
    <w:rsid w:val="002D1B85"/>
    <w:rsid w:val="002D3991"/>
    <w:rsid w:val="002D74C8"/>
    <w:rsid w:val="002E1716"/>
    <w:rsid w:val="002E57BA"/>
    <w:rsid w:val="002F570F"/>
    <w:rsid w:val="00327E9F"/>
    <w:rsid w:val="00332A02"/>
    <w:rsid w:val="00334AD1"/>
    <w:rsid w:val="00337791"/>
    <w:rsid w:val="00340BD5"/>
    <w:rsid w:val="003434E8"/>
    <w:rsid w:val="00345B72"/>
    <w:rsid w:val="00346D35"/>
    <w:rsid w:val="00350842"/>
    <w:rsid w:val="00362228"/>
    <w:rsid w:val="00366E07"/>
    <w:rsid w:val="00370BFE"/>
    <w:rsid w:val="003713D6"/>
    <w:rsid w:val="00372F22"/>
    <w:rsid w:val="003755B5"/>
    <w:rsid w:val="00377864"/>
    <w:rsid w:val="003847CF"/>
    <w:rsid w:val="0038507E"/>
    <w:rsid w:val="00387BAA"/>
    <w:rsid w:val="00390E25"/>
    <w:rsid w:val="00393709"/>
    <w:rsid w:val="0039463C"/>
    <w:rsid w:val="003967F1"/>
    <w:rsid w:val="003A25E5"/>
    <w:rsid w:val="003C75A2"/>
    <w:rsid w:val="003D1044"/>
    <w:rsid w:val="003E488C"/>
    <w:rsid w:val="003E5549"/>
    <w:rsid w:val="003F1B79"/>
    <w:rsid w:val="004002E3"/>
    <w:rsid w:val="004029F4"/>
    <w:rsid w:val="0040327E"/>
    <w:rsid w:val="00412C0A"/>
    <w:rsid w:val="00424C17"/>
    <w:rsid w:val="00425A9E"/>
    <w:rsid w:val="00425BA6"/>
    <w:rsid w:val="00427B49"/>
    <w:rsid w:val="004368E7"/>
    <w:rsid w:val="00436DBF"/>
    <w:rsid w:val="00440F7F"/>
    <w:rsid w:val="004411FE"/>
    <w:rsid w:val="00441666"/>
    <w:rsid w:val="00442CCF"/>
    <w:rsid w:val="00443220"/>
    <w:rsid w:val="00453AFD"/>
    <w:rsid w:val="00455A93"/>
    <w:rsid w:val="0045685B"/>
    <w:rsid w:val="00461068"/>
    <w:rsid w:val="00470799"/>
    <w:rsid w:val="00473B0C"/>
    <w:rsid w:val="00475C35"/>
    <w:rsid w:val="0047772B"/>
    <w:rsid w:val="00481050"/>
    <w:rsid w:val="00482DC2"/>
    <w:rsid w:val="00491DCD"/>
    <w:rsid w:val="004A0C4F"/>
    <w:rsid w:val="004A28DF"/>
    <w:rsid w:val="004A4611"/>
    <w:rsid w:val="004C511A"/>
    <w:rsid w:val="004C55BE"/>
    <w:rsid w:val="004C5C0A"/>
    <w:rsid w:val="004C7271"/>
    <w:rsid w:val="004C7635"/>
    <w:rsid w:val="004D29FA"/>
    <w:rsid w:val="004D676D"/>
    <w:rsid w:val="004D7746"/>
    <w:rsid w:val="004D7FD3"/>
    <w:rsid w:val="004E0B09"/>
    <w:rsid w:val="004E3DCD"/>
    <w:rsid w:val="004E532B"/>
    <w:rsid w:val="004E613B"/>
    <w:rsid w:val="004E6C84"/>
    <w:rsid w:val="004F3CDF"/>
    <w:rsid w:val="004F3E37"/>
    <w:rsid w:val="004F3F72"/>
    <w:rsid w:val="0050266B"/>
    <w:rsid w:val="00504DB1"/>
    <w:rsid w:val="005129BB"/>
    <w:rsid w:val="00515626"/>
    <w:rsid w:val="005179DB"/>
    <w:rsid w:val="00524552"/>
    <w:rsid w:val="00525F0C"/>
    <w:rsid w:val="00527728"/>
    <w:rsid w:val="00533B5D"/>
    <w:rsid w:val="00536517"/>
    <w:rsid w:val="005403EB"/>
    <w:rsid w:val="0054371E"/>
    <w:rsid w:val="00544940"/>
    <w:rsid w:val="00544C12"/>
    <w:rsid w:val="00545F9D"/>
    <w:rsid w:val="005516CB"/>
    <w:rsid w:val="00551842"/>
    <w:rsid w:val="00556148"/>
    <w:rsid w:val="005645B3"/>
    <w:rsid w:val="00575C4D"/>
    <w:rsid w:val="00577692"/>
    <w:rsid w:val="005813FA"/>
    <w:rsid w:val="00583D9F"/>
    <w:rsid w:val="00584683"/>
    <w:rsid w:val="00585A3C"/>
    <w:rsid w:val="00587739"/>
    <w:rsid w:val="00590D7E"/>
    <w:rsid w:val="005926A3"/>
    <w:rsid w:val="00592A02"/>
    <w:rsid w:val="00593179"/>
    <w:rsid w:val="005A0822"/>
    <w:rsid w:val="005A3DE9"/>
    <w:rsid w:val="005A63E0"/>
    <w:rsid w:val="005A7C56"/>
    <w:rsid w:val="005B27FA"/>
    <w:rsid w:val="005C266D"/>
    <w:rsid w:val="005C3CB6"/>
    <w:rsid w:val="005C65EA"/>
    <w:rsid w:val="005C6930"/>
    <w:rsid w:val="005C7481"/>
    <w:rsid w:val="005D6D2B"/>
    <w:rsid w:val="005F1F63"/>
    <w:rsid w:val="005F3F7B"/>
    <w:rsid w:val="005F4ED7"/>
    <w:rsid w:val="005F5ABD"/>
    <w:rsid w:val="00601D7B"/>
    <w:rsid w:val="006146C4"/>
    <w:rsid w:val="0061749C"/>
    <w:rsid w:val="006244CC"/>
    <w:rsid w:val="006244D7"/>
    <w:rsid w:val="00631181"/>
    <w:rsid w:val="00643070"/>
    <w:rsid w:val="00662059"/>
    <w:rsid w:val="00667449"/>
    <w:rsid w:val="006678AD"/>
    <w:rsid w:val="00674DC8"/>
    <w:rsid w:val="00681CA4"/>
    <w:rsid w:val="00685473"/>
    <w:rsid w:val="00686196"/>
    <w:rsid w:val="00686C05"/>
    <w:rsid w:val="00691C7A"/>
    <w:rsid w:val="0069343D"/>
    <w:rsid w:val="00693C26"/>
    <w:rsid w:val="00697653"/>
    <w:rsid w:val="006A3A31"/>
    <w:rsid w:val="006A51B2"/>
    <w:rsid w:val="006A5430"/>
    <w:rsid w:val="006A6FBB"/>
    <w:rsid w:val="006B4A78"/>
    <w:rsid w:val="006C6027"/>
    <w:rsid w:val="006D1A1A"/>
    <w:rsid w:val="006D23D4"/>
    <w:rsid w:val="006D4B2D"/>
    <w:rsid w:val="006F0232"/>
    <w:rsid w:val="006F1B6A"/>
    <w:rsid w:val="00702620"/>
    <w:rsid w:val="00706073"/>
    <w:rsid w:val="0071052A"/>
    <w:rsid w:val="00711835"/>
    <w:rsid w:val="007176DB"/>
    <w:rsid w:val="007201CA"/>
    <w:rsid w:val="00725DAC"/>
    <w:rsid w:val="00731A45"/>
    <w:rsid w:val="00742069"/>
    <w:rsid w:val="00745170"/>
    <w:rsid w:val="00745DCA"/>
    <w:rsid w:val="007474C3"/>
    <w:rsid w:val="0074780D"/>
    <w:rsid w:val="00754A7A"/>
    <w:rsid w:val="0075656C"/>
    <w:rsid w:val="00764802"/>
    <w:rsid w:val="007703D2"/>
    <w:rsid w:val="00770DE3"/>
    <w:rsid w:val="00781192"/>
    <w:rsid w:val="007823FA"/>
    <w:rsid w:val="0078241C"/>
    <w:rsid w:val="007834DD"/>
    <w:rsid w:val="007840AC"/>
    <w:rsid w:val="00787CD5"/>
    <w:rsid w:val="00793C47"/>
    <w:rsid w:val="007947B2"/>
    <w:rsid w:val="00794A29"/>
    <w:rsid w:val="00795E98"/>
    <w:rsid w:val="00797C77"/>
    <w:rsid w:val="007A0CD0"/>
    <w:rsid w:val="007A1260"/>
    <w:rsid w:val="007A17DB"/>
    <w:rsid w:val="007A42BD"/>
    <w:rsid w:val="007A433B"/>
    <w:rsid w:val="007A541A"/>
    <w:rsid w:val="007A73C8"/>
    <w:rsid w:val="007B2C0A"/>
    <w:rsid w:val="007B603D"/>
    <w:rsid w:val="007B7F76"/>
    <w:rsid w:val="007C1F34"/>
    <w:rsid w:val="007D3C38"/>
    <w:rsid w:val="007E1010"/>
    <w:rsid w:val="007E7BED"/>
    <w:rsid w:val="007F01CE"/>
    <w:rsid w:val="007F1637"/>
    <w:rsid w:val="007F2079"/>
    <w:rsid w:val="008013A3"/>
    <w:rsid w:val="00802B27"/>
    <w:rsid w:val="0080355F"/>
    <w:rsid w:val="00804C63"/>
    <w:rsid w:val="00813753"/>
    <w:rsid w:val="00814FF7"/>
    <w:rsid w:val="008154F9"/>
    <w:rsid w:val="00821260"/>
    <w:rsid w:val="00826EC3"/>
    <w:rsid w:val="00827E96"/>
    <w:rsid w:val="00834BE4"/>
    <w:rsid w:val="0084798E"/>
    <w:rsid w:val="0085462B"/>
    <w:rsid w:val="00854674"/>
    <w:rsid w:val="008554C2"/>
    <w:rsid w:val="00855DB2"/>
    <w:rsid w:val="00856414"/>
    <w:rsid w:val="008567E1"/>
    <w:rsid w:val="008579C5"/>
    <w:rsid w:val="00863C37"/>
    <w:rsid w:val="008644F8"/>
    <w:rsid w:val="00865CCE"/>
    <w:rsid w:val="008713CD"/>
    <w:rsid w:val="00873319"/>
    <w:rsid w:val="0088057C"/>
    <w:rsid w:val="00880E08"/>
    <w:rsid w:val="00887A63"/>
    <w:rsid w:val="008A15AC"/>
    <w:rsid w:val="008A4667"/>
    <w:rsid w:val="008B42E0"/>
    <w:rsid w:val="008B70DD"/>
    <w:rsid w:val="008C1354"/>
    <w:rsid w:val="008C2FED"/>
    <w:rsid w:val="008D3069"/>
    <w:rsid w:val="008E0954"/>
    <w:rsid w:val="008E588A"/>
    <w:rsid w:val="008E5CD0"/>
    <w:rsid w:val="008E6A18"/>
    <w:rsid w:val="008F28C4"/>
    <w:rsid w:val="00905C40"/>
    <w:rsid w:val="00913063"/>
    <w:rsid w:val="00915182"/>
    <w:rsid w:val="0091678C"/>
    <w:rsid w:val="009218D0"/>
    <w:rsid w:val="00924C3D"/>
    <w:rsid w:val="0093422F"/>
    <w:rsid w:val="00941EC9"/>
    <w:rsid w:val="00942BB2"/>
    <w:rsid w:val="00944A8C"/>
    <w:rsid w:val="009463EE"/>
    <w:rsid w:val="009518D1"/>
    <w:rsid w:val="00952FCC"/>
    <w:rsid w:val="00955475"/>
    <w:rsid w:val="00955C56"/>
    <w:rsid w:val="0096079E"/>
    <w:rsid w:val="0096236E"/>
    <w:rsid w:val="009669BE"/>
    <w:rsid w:val="0097518A"/>
    <w:rsid w:val="0097628F"/>
    <w:rsid w:val="00976BF2"/>
    <w:rsid w:val="00983FF6"/>
    <w:rsid w:val="00984136"/>
    <w:rsid w:val="00985AE9"/>
    <w:rsid w:val="009901ED"/>
    <w:rsid w:val="00991607"/>
    <w:rsid w:val="00991A03"/>
    <w:rsid w:val="00994C76"/>
    <w:rsid w:val="009959E2"/>
    <w:rsid w:val="009A2015"/>
    <w:rsid w:val="009A20A6"/>
    <w:rsid w:val="009A396A"/>
    <w:rsid w:val="009A41C7"/>
    <w:rsid w:val="009A4502"/>
    <w:rsid w:val="009A5A6B"/>
    <w:rsid w:val="009B0946"/>
    <w:rsid w:val="009B4FF6"/>
    <w:rsid w:val="009B74EC"/>
    <w:rsid w:val="009C060D"/>
    <w:rsid w:val="009C0EE5"/>
    <w:rsid w:val="009C30CD"/>
    <w:rsid w:val="009C541F"/>
    <w:rsid w:val="009C6EE2"/>
    <w:rsid w:val="009D1F34"/>
    <w:rsid w:val="009D3E2B"/>
    <w:rsid w:val="009D4999"/>
    <w:rsid w:val="009D65DA"/>
    <w:rsid w:val="009D7E14"/>
    <w:rsid w:val="009E5570"/>
    <w:rsid w:val="009E5F41"/>
    <w:rsid w:val="009E5FA3"/>
    <w:rsid w:val="009E60A8"/>
    <w:rsid w:val="009F22D2"/>
    <w:rsid w:val="00A02D12"/>
    <w:rsid w:val="00A1261F"/>
    <w:rsid w:val="00A13DA9"/>
    <w:rsid w:val="00A15C17"/>
    <w:rsid w:val="00A21C2A"/>
    <w:rsid w:val="00A248AC"/>
    <w:rsid w:val="00A263B8"/>
    <w:rsid w:val="00A2667C"/>
    <w:rsid w:val="00A26A8F"/>
    <w:rsid w:val="00A27978"/>
    <w:rsid w:val="00A32360"/>
    <w:rsid w:val="00A46E2A"/>
    <w:rsid w:val="00A515B5"/>
    <w:rsid w:val="00A55504"/>
    <w:rsid w:val="00A57B6A"/>
    <w:rsid w:val="00A640EF"/>
    <w:rsid w:val="00A64F1D"/>
    <w:rsid w:val="00A710B9"/>
    <w:rsid w:val="00A71E15"/>
    <w:rsid w:val="00A71E93"/>
    <w:rsid w:val="00A72830"/>
    <w:rsid w:val="00A7659E"/>
    <w:rsid w:val="00A824C1"/>
    <w:rsid w:val="00A82AC9"/>
    <w:rsid w:val="00A94C3C"/>
    <w:rsid w:val="00A96452"/>
    <w:rsid w:val="00A977B5"/>
    <w:rsid w:val="00AB3001"/>
    <w:rsid w:val="00AB6832"/>
    <w:rsid w:val="00AC0C90"/>
    <w:rsid w:val="00AC1223"/>
    <w:rsid w:val="00AC383C"/>
    <w:rsid w:val="00AC67D5"/>
    <w:rsid w:val="00AC7FE2"/>
    <w:rsid w:val="00AD0099"/>
    <w:rsid w:val="00AD054C"/>
    <w:rsid w:val="00AD1540"/>
    <w:rsid w:val="00AD1EF2"/>
    <w:rsid w:val="00AD49A2"/>
    <w:rsid w:val="00AD6416"/>
    <w:rsid w:val="00AE0834"/>
    <w:rsid w:val="00AE35BF"/>
    <w:rsid w:val="00AE5A58"/>
    <w:rsid w:val="00AE7875"/>
    <w:rsid w:val="00AE799D"/>
    <w:rsid w:val="00AF0861"/>
    <w:rsid w:val="00AF4D43"/>
    <w:rsid w:val="00AF5B2C"/>
    <w:rsid w:val="00AF616E"/>
    <w:rsid w:val="00B07D95"/>
    <w:rsid w:val="00B125B5"/>
    <w:rsid w:val="00B12CBF"/>
    <w:rsid w:val="00B14A93"/>
    <w:rsid w:val="00B257A2"/>
    <w:rsid w:val="00B312F5"/>
    <w:rsid w:val="00B31B0E"/>
    <w:rsid w:val="00B36FC9"/>
    <w:rsid w:val="00B40FD2"/>
    <w:rsid w:val="00B45B7B"/>
    <w:rsid w:val="00B45D47"/>
    <w:rsid w:val="00B51F57"/>
    <w:rsid w:val="00B57010"/>
    <w:rsid w:val="00B61BB2"/>
    <w:rsid w:val="00B62362"/>
    <w:rsid w:val="00B639E1"/>
    <w:rsid w:val="00B72BB4"/>
    <w:rsid w:val="00B822C1"/>
    <w:rsid w:val="00B865A1"/>
    <w:rsid w:val="00B9169E"/>
    <w:rsid w:val="00B95FBF"/>
    <w:rsid w:val="00B97590"/>
    <w:rsid w:val="00B97948"/>
    <w:rsid w:val="00BA37E4"/>
    <w:rsid w:val="00BA3890"/>
    <w:rsid w:val="00BA5B85"/>
    <w:rsid w:val="00BB077D"/>
    <w:rsid w:val="00BB3882"/>
    <w:rsid w:val="00BC0DFD"/>
    <w:rsid w:val="00BD4F82"/>
    <w:rsid w:val="00BE7A8D"/>
    <w:rsid w:val="00BE7C70"/>
    <w:rsid w:val="00BF3BB3"/>
    <w:rsid w:val="00BF4210"/>
    <w:rsid w:val="00BF7653"/>
    <w:rsid w:val="00C01585"/>
    <w:rsid w:val="00C038E2"/>
    <w:rsid w:val="00C04E94"/>
    <w:rsid w:val="00C14887"/>
    <w:rsid w:val="00C15526"/>
    <w:rsid w:val="00C170BE"/>
    <w:rsid w:val="00C2144E"/>
    <w:rsid w:val="00C23076"/>
    <w:rsid w:val="00C23460"/>
    <w:rsid w:val="00C25489"/>
    <w:rsid w:val="00C35D0B"/>
    <w:rsid w:val="00C35EB4"/>
    <w:rsid w:val="00C40D44"/>
    <w:rsid w:val="00C4431F"/>
    <w:rsid w:val="00C50193"/>
    <w:rsid w:val="00C574A2"/>
    <w:rsid w:val="00C62024"/>
    <w:rsid w:val="00C64CE8"/>
    <w:rsid w:val="00C726D2"/>
    <w:rsid w:val="00C93902"/>
    <w:rsid w:val="00C961F4"/>
    <w:rsid w:val="00C97080"/>
    <w:rsid w:val="00CA7EC2"/>
    <w:rsid w:val="00CB588E"/>
    <w:rsid w:val="00CB69A5"/>
    <w:rsid w:val="00CB7262"/>
    <w:rsid w:val="00CC12F5"/>
    <w:rsid w:val="00CC2E9C"/>
    <w:rsid w:val="00CD0B0F"/>
    <w:rsid w:val="00CD6864"/>
    <w:rsid w:val="00CE1C5A"/>
    <w:rsid w:val="00CE3EC9"/>
    <w:rsid w:val="00CE3FD5"/>
    <w:rsid w:val="00CF3C39"/>
    <w:rsid w:val="00CF3CAD"/>
    <w:rsid w:val="00D0735E"/>
    <w:rsid w:val="00D1432D"/>
    <w:rsid w:val="00D154A9"/>
    <w:rsid w:val="00D2175D"/>
    <w:rsid w:val="00D22A57"/>
    <w:rsid w:val="00D241D9"/>
    <w:rsid w:val="00D3053B"/>
    <w:rsid w:val="00D338EC"/>
    <w:rsid w:val="00D41C32"/>
    <w:rsid w:val="00D451C2"/>
    <w:rsid w:val="00D47825"/>
    <w:rsid w:val="00D513BC"/>
    <w:rsid w:val="00D63136"/>
    <w:rsid w:val="00D6473C"/>
    <w:rsid w:val="00D71EF2"/>
    <w:rsid w:val="00D80448"/>
    <w:rsid w:val="00D8217F"/>
    <w:rsid w:val="00D840D1"/>
    <w:rsid w:val="00D857BC"/>
    <w:rsid w:val="00D85AA5"/>
    <w:rsid w:val="00D85C20"/>
    <w:rsid w:val="00D86DFD"/>
    <w:rsid w:val="00D97D53"/>
    <w:rsid w:val="00DA0487"/>
    <w:rsid w:val="00DA288B"/>
    <w:rsid w:val="00DA5082"/>
    <w:rsid w:val="00DA74CA"/>
    <w:rsid w:val="00DB16FC"/>
    <w:rsid w:val="00DB2E96"/>
    <w:rsid w:val="00DC0135"/>
    <w:rsid w:val="00DC0DE7"/>
    <w:rsid w:val="00DC2B25"/>
    <w:rsid w:val="00DC314A"/>
    <w:rsid w:val="00DC4EA4"/>
    <w:rsid w:val="00DD329E"/>
    <w:rsid w:val="00DD749B"/>
    <w:rsid w:val="00DE08EF"/>
    <w:rsid w:val="00DE3E4F"/>
    <w:rsid w:val="00DF2D01"/>
    <w:rsid w:val="00E05DB3"/>
    <w:rsid w:val="00E07991"/>
    <w:rsid w:val="00E107C9"/>
    <w:rsid w:val="00E11C18"/>
    <w:rsid w:val="00E125B2"/>
    <w:rsid w:val="00E12F0C"/>
    <w:rsid w:val="00E1502F"/>
    <w:rsid w:val="00E15478"/>
    <w:rsid w:val="00E21FB8"/>
    <w:rsid w:val="00E24C83"/>
    <w:rsid w:val="00E2727B"/>
    <w:rsid w:val="00E30DC7"/>
    <w:rsid w:val="00E41CE5"/>
    <w:rsid w:val="00E433AF"/>
    <w:rsid w:val="00E506BF"/>
    <w:rsid w:val="00E52236"/>
    <w:rsid w:val="00E5410F"/>
    <w:rsid w:val="00E62279"/>
    <w:rsid w:val="00E635FF"/>
    <w:rsid w:val="00E643FE"/>
    <w:rsid w:val="00E64D1B"/>
    <w:rsid w:val="00E65D8B"/>
    <w:rsid w:val="00E73BE9"/>
    <w:rsid w:val="00E740A1"/>
    <w:rsid w:val="00E75C47"/>
    <w:rsid w:val="00E762ED"/>
    <w:rsid w:val="00E81E19"/>
    <w:rsid w:val="00E87B08"/>
    <w:rsid w:val="00E91C4A"/>
    <w:rsid w:val="00E922AE"/>
    <w:rsid w:val="00E92AC6"/>
    <w:rsid w:val="00E93FC2"/>
    <w:rsid w:val="00E95343"/>
    <w:rsid w:val="00E95541"/>
    <w:rsid w:val="00EA4C46"/>
    <w:rsid w:val="00EB1DB2"/>
    <w:rsid w:val="00EB2530"/>
    <w:rsid w:val="00EB4FA2"/>
    <w:rsid w:val="00EC3E70"/>
    <w:rsid w:val="00ED4891"/>
    <w:rsid w:val="00EE5C95"/>
    <w:rsid w:val="00EF0D9E"/>
    <w:rsid w:val="00EF12A1"/>
    <w:rsid w:val="00EF5152"/>
    <w:rsid w:val="00F005A2"/>
    <w:rsid w:val="00F00BD6"/>
    <w:rsid w:val="00F01ADC"/>
    <w:rsid w:val="00F01B0B"/>
    <w:rsid w:val="00F0211D"/>
    <w:rsid w:val="00F10A8F"/>
    <w:rsid w:val="00F12947"/>
    <w:rsid w:val="00F165A3"/>
    <w:rsid w:val="00F344FD"/>
    <w:rsid w:val="00F4323D"/>
    <w:rsid w:val="00F50A87"/>
    <w:rsid w:val="00F5236C"/>
    <w:rsid w:val="00F54A5B"/>
    <w:rsid w:val="00F57C61"/>
    <w:rsid w:val="00F63E7A"/>
    <w:rsid w:val="00F64101"/>
    <w:rsid w:val="00F67FDE"/>
    <w:rsid w:val="00F70C5C"/>
    <w:rsid w:val="00F731CD"/>
    <w:rsid w:val="00F74134"/>
    <w:rsid w:val="00F755A5"/>
    <w:rsid w:val="00F76D17"/>
    <w:rsid w:val="00F813C6"/>
    <w:rsid w:val="00F81C9E"/>
    <w:rsid w:val="00F866B7"/>
    <w:rsid w:val="00F86772"/>
    <w:rsid w:val="00F86B89"/>
    <w:rsid w:val="00F9007B"/>
    <w:rsid w:val="00F9235E"/>
    <w:rsid w:val="00F92EF7"/>
    <w:rsid w:val="00F97E30"/>
    <w:rsid w:val="00F97EF0"/>
    <w:rsid w:val="00FB6C07"/>
    <w:rsid w:val="00FC0460"/>
    <w:rsid w:val="00FC4C20"/>
    <w:rsid w:val="00FC4EB9"/>
    <w:rsid w:val="00FC6759"/>
    <w:rsid w:val="00FD4066"/>
    <w:rsid w:val="00FD44CC"/>
    <w:rsid w:val="00FD79C1"/>
    <w:rsid w:val="00FE006E"/>
    <w:rsid w:val="00FE47CF"/>
    <w:rsid w:val="00FE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AC44"/>
  <w15:chartTrackingRefBased/>
  <w15:docId w15:val="{336CBFB5-534C-479E-BC8E-1965F0B1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1FB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21FB8"/>
    <w:rPr>
      <w:sz w:val="20"/>
      <w:szCs w:val="20"/>
      <w:lang w:val="en-GB"/>
    </w:rPr>
  </w:style>
  <w:style w:type="character" w:styleId="FootnoteReference">
    <w:name w:val="footnote reference"/>
    <w:basedOn w:val="DefaultParagraphFont"/>
    <w:uiPriority w:val="99"/>
    <w:semiHidden/>
    <w:unhideWhenUsed/>
    <w:rsid w:val="00E21FB8"/>
    <w:rPr>
      <w:vertAlign w:val="superscript"/>
    </w:rPr>
  </w:style>
  <w:style w:type="paragraph" w:styleId="ListParagraph">
    <w:name w:val="List Paragraph"/>
    <w:basedOn w:val="Normal"/>
    <w:uiPriority w:val="34"/>
    <w:qFormat/>
    <w:rsid w:val="000B7CE2"/>
    <w:pPr>
      <w:ind w:left="720"/>
      <w:contextualSpacing/>
    </w:pPr>
  </w:style>
  <w:style w:type="paragraph" w:styleId="Header">
    <w:name w:val="header"/>
    <w:basedOn w:val="Normal"/>
    <w:link w:val="HeaderChar"/>
    <w:uiPriority w:val="99"/>
    <w:unhideWhenUsed/>
    <w:rsid w:val="00F0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B0B"/>
    <w:rPr>
      <w:lang w:val="en-ZA"/>
    </w:rPr>
  </w:style>
  <w:style w:type="paragraph" w:styleId="Footer">
    <w:name w:val="footer"/>
    <w:basedOn w:val="Normal"/>
    <w:link w:val="FooterChar"/>
    <w:uiPriority w:val="99"/>
    <w:unhideWhenUsed/>
    <w:rsid w:val="00F0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B0B"/>
    <w:rPr>
      <w:lang w:val="en-ZA"/>
    </w:rPr>
  </w:style>
  <w:style w:type="character" w:styleId="Hyperlink">
    <w:name w:val="Hyperlink"/>
    <w:basedOn w:val="DefaultParagraphFont"/>
    <w:uiPriority w:val="99"/>
    <w:unhideWhenUsed/>
    <w:rsid w:val="00F01B0B"/>
    <w:rPr>
      <w:color w:val="0563C1" w:themeColor="hyperlink"/>
      <w:u w:val="single"/>
    </w:rPr>
  </w:style>
  <w:style w:type="paragraph" w:styleId="BalloonText">
    <w:name w:val="Balloon Text"/>
    <w:basedOn w:val="Normal"/>
    <w:link w:val="BalloonTextChar"/>
    <w:uiPriority w:val="99"/>
    <w:semiHidden/>
    <w:unhideWhenUsed/>
    <w:rsid w:val="00F0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0B"/>
    <w:rPr>
      <w:rFonts w:ascii="Segoe UI" w:hAnsi="Segoe UI" w:cs="Segoe UI"/>
      <w:sz w:val="18"/>
      <w:szCs w:val="18"/>
      <w:lang w:val="en-ZA"/>
    </w:rPr>
  </w:style>
  <w:style w:type="paragraph" w:styleId="Revision">
    <w:name w:val="Revision"/>
    <w:hidden/>
    <w:uiPriority w:val="99"/>
    <w:semiHidden/>
    <w:rsid w:val="00080765"/>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8374">
      <w:bodyDiv w:val="1"/>
      <w:marLeft w:val="0"/>
      <w:marRight w:val="0"/>
      <w:marTop w:val="0"/>
      <w:marBottom w:val="0"/>
      <w:divBdr>
        <w:top w:val="none" w:sz="0" w:space="0" w:color="auto"/>
        <w:left w:val="none" w:sz="0" w:space="0" w:color="auto"/>
        <w:bottom w:val="none" w:sz="0" w:space="0" w:color="auto"/>
        <w:right w:val="none" w:sz="0" w:space="0" w:color="auto"/>
      </w:divBdr>
    </w:div>
    <w:div w:id="16783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7A3B-B784-4DB5-9264-2359BB6C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Nomakorinte Ntliziywana</cp:lastModifiedBy>
  <cp:revision>2</cp:revision>
  <cp:lastPrinted>2023-01-30T07:46:00Z</cp:lastPrinted>
  <dcterms:created xsi:type="dcterms:W3CDTF">2023-01-31T09:45:00Z</dcterms:created>
  <dcterms:modified xsi:type="dcterms:W3CDTF">2023-01-31T09:45:00Z</dcterms:modified>
</cp:coreProperties>
</file>