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DD91F0" w14:textId="77777777" w:rsidR="00D450B5" w:rsidRPr="00044B50" w:rsidRDefault="00D450B5" w:rsidP="00772E4B">
      <w:pPr>
        <w:autoSpaceDE w:val="0"/>
        <w:autoSpaceDN w:val="0"/>
        <w:adjustRightInd w:val="0"/>
        <w:jc w:val="right"/>
        <w:rPr>
          <w:lang w:val="en-GB"/>
        </w:rPr>
      </w:pPr>
    </w:p>
    <w:p w14:paraId="3BB46367" w14:textId="77777777" w:rsidR="00D450B5" w:rsidRPr="00044B50" w:rsidRDefault="00D450B5" w:rsidP="00772E4B">
      <w:pPr>
        <w:jc w:val="center"/>
        <w:rPr>
          <w:lang w:val="en-GB"/>
        </w:rPr>
      </w:pPr>
      <w:r w:rsidRPr="00044B50">
        <w:rPr>
          <w:noProof/>
          <w:lang w:val="en-US"/>
        </w:rPr>
        <w:drawing>
          <wp:inline distT="0" distB="0" distL="0" distR="0" wp14:anchorId="01CC64B0" wp14:editId="193F6DB6">
            <wp:extent cx="1444625" cy="1274445"/>
            <wp:effectExtent l="0" t="0" r="317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4625" cy="1274445"/>
                    </a:xfrm>
                    <a:prstGeom prst="rect">
                      <a:avLst/>
                    </a:prstGeom>
                    <a:noFill/>
                  </pic:spPr>
                </pic:pic>
              </a:graphicData>
            </a:graphic>
          </wp:inline>
        </w:drawing>
      </w:r>
    </w:p>
    <w:p w14:paraId="125647D4" w14:textId="77777777" w:rsidR="00D450B5" w:rsidRPr="00044B50" w:rsidRDefault="00D450B5" w:rsidP="00772E4B">
      <w:pPr>
        <w:jc w:val="center"/>
        <w:rPr>
          <w:b/>
          <w:bCs/>
          <w:lang w:val="en-GB"/>
        </w:rPr>
      </w:pPr>
      <w:r w:rsidRPr="00044B50">
        <w:rPr>
          <w:b/>
          <w:bCs/>
          <w:lang w:val="en-GB"/>
        </w:rPr>
        <w:t>IN THE HIGH COURT OF SOUTH AFRICA</w:t>
      </w:r>
    </w:p>
    <w:p w14:paraId="130E4897" w14:textId="4FEE11C8" w:rsidR="00D450B5" w:rsidRPr="00044B50" w:rsidRDefault="00193671" w:rsidP="00772E4B">
      <w:pPr>
        <w:jc w:val="center"/>
        <w:rPr>
          <w:b/>
          <w:bCs/>
          <w:lang w:val="en-GB"/>
        </w:rPr>
      </w:pPr>
      <w:r>
        <w:rPr>
          <w:b/>
          <w:bCs/>
          <w:lang w:val="en-GB"/>
        </w:rPr>
        <w:t>(</w:t>
      </w:r>
      <w:r w:rsidR="00D450B5" w:rsidRPr="00044B50">
        <w:rPr>
          <w:b/>
          <w:bCs/>
          <w:lang w:val="en-GB"/>
        </w:rPr>
        <w:t>EASTERN CAPE DIVISION,</w:t>
      </w:r>
      <w:r>
        <w:rPr>
          <w:b/>
          <w:bCs/>
          <w:lang w:val="en-GB"/>
        </w:rPr>
        <w:t xml:space="preserve"> B</w:t>
      </w:r>
      <w:r w:rsidR="00E75AF8">
        <w:rPr>
          <w:b/>
          <w:bCs/>
          <w:lang w:val="en-GB"/>
        </w:rPr>
        <w:t>H</w:t>
      </w:r>
      <w:r>
        <w:rPr>
          <w:b/>
          <w:bCs/>
          <w:lang w:val="en-GB"/>
        </w:rPr>
        <w:t>ISHO)</w:t>
      </w:r>
    </w:p>
    <w:p w14:paraId="260381A7" w14:textId="77777777" w:rsidR="00D450B5" w:rsidRPr="00044B50" w:rsidRDefault="00D450B5" w:rsidP="00772E4B">
      <w:pPr>
        <w:widowControl w:val="0"/>
        <w:jc w:val="both"/>
        <w:rPr>
          <w:spacing w:val="14"/>
          <w:kern w:val="2"/>
          <w:u w:val="single"/>
          <w:lang w:val="en-GB"/>
        </w:rPr>
      </w:pPr>
    </w:p>
    <w:p w14:paraId="434E4AD9" w14:textId="62502B28" w:rsidR="00D450B5" w:rsidRPr="00044B50" w:rsidRDefault="00D450B5" w:rsidP="00E27B1D">
      <w:pPr>
        <w:ind w:right="-52"/>
        <w:jc w:val="right"/>
        <w:rPr>
          <w:b/>
          <w:bCs/>
          <w:lang w:val="en-GB"/>
        </w:rPr>
      </w:pPr>
      <w:r w:rsidRPr="00044B50">
        <w:rPr>
          <w:lang w:val="en-GB"/>
        </w:rPr>
        <w:t xml:space="preserve">                                                                                   </w:t>
      </w:r>
      <w:r w:rsidR="00193671">
        <w:rPr>
          <w:lang w:val="en-GB"/>
        </w:rPr>
        <w:t xml:space="preserve">         </w:t>
      </w:r>
      <w:r w:rsidR="00EA0BF5">
        <w:rPr>
          <w:b/>
          <w:bCs/>
          <w:lang w:val="en-GB"/>
        </w:rPr>
        <w:t>OF INTEREST</w:t>
      </w:r>
      <w:r w:rsidRPr="00044B50">
        <w:rPr>
          <w:b/>
          <w:bCs/>
          <w:lang w:val="en-GB"/>
        </w:rPr>
        <w:t xml:space="preserve">                                     </w:t>
      </w:r>
    </w:p>
    <w:p w14:paraId="101AD6EF" w14:textId="77777777" w:rsidR="008A75F3" w:rsidRDefault="00E44987" w:rsidP="00E27B1D">
      <w:pPr>
        <w:jc w:val="right"/>
        <w:rPr>
          <w:lang w:val="en-GB"/>
        </w:rPr>
      </w:pPr>
      <w:r w:rsidRPr="00044B50">
        <w:rPr>
          <w:lang w:val="en-GB"/>
        </w:rPr>
        <w:t xml:space="preserve">                                                                                                  </w:t>
      </w:r>
    </w:p>
    <w:p w14:paraId="4934DB4B" w14:textId="29AF831C" w:rsidR="00E44987" w:rsidRPr="00044B50" w:rsidRDefault="00F00959" w:rsidP="00E27B1D">
      <w:pPr>
        <w:ind w:left="5760" w:firstLine="720"/>
        <w:jc w:val="right"/>
        <w:rPr>
          <w:lang w:val="en-GB"/>
        </w:rPr>
      </w:pPr>
      <w:r>
        <w:rPr>
          <w:lang w:val="en-GB"/>
        </w:rPr>
        <w:t xml:space="preserve">     </w:t>
      </w:r>
      <w:r w:rsidR="00F84EEA">
        <w:rPr>
          <w:lang w:val="en-GB"/>
        </w:rPr>
        <w:t xml:space="preserve"> </w:t>
      </w:r>
      <w:r w:rsidR="00E44987" w:rsidRPr="00044B50">
        <w:rPr>
          <w:lang w:val="en-GB"/>
        </w:rPr>
        <w:t xml:space="preserve">Case no: </w:t>
      </w:r>
      <w:r w:rsidR="00193671">
        <w:rPr>
          <w:lang w:val="en-GB"/>
        </w:rPr>
        <w:t>264/2022</w:t>
      </w:r>
    </w:p>
    <w:p w14:paraId="13EEBE4B" w14:textId="77777777" w:rsidR="00D450B5" w:rsidRPr="00044B50" w:rsidRDefault="00D450B5" w:rsidP="00772E4B">
      <w:pPr>
        <w:widowControl w:val="0"/>
        <w:jc w:val="right"/>
        <w:rPr>
          <w:spacing w:val="14"/>
          <w:kern w:val="2"/>
          <w:lang w:val="en-GB"/>
        </w:rPr>
      </w:pPr>
    </w:p>
    <w:p w14:paraId="49070A0E" w14:textId="0BCDA14B" w:rsidR="00D450B5" w:rsidRPr="00044B50" w:rsidRDefault="00D450B5" w:rsidP="00772E4B">
      <w:pPr>
        <w:widowControl w:val="0"/>
        <w:jc w:val="both"/>
        <w:rPr>
          <w:spacing w:val="14"/>
          <w:kern w:val="2"/>
          <w:lang w:val="en-GB"/>
        </w:rPr>
      </w:pPr>
      <w:r w:rsidRPr="00044B50">
        <w:rPr>
          <w:spacing w:val="14"/>
          <w:kern w:val="2"/>
          <w:lang w:val="en-GB"/>
        </w:rPr>
        <w:t>In the matter between</w:t>
      </w:r>
      <w:r w:rsidR="00E44987" w:rsidRPr="00044B50">
        <w:rPr>
          <w:spacing w:val="14"/>
          <w:kern w:val="2"/>
          <w:lang w:val="en-GB"/>
        </w:rPr>
        <w:t>:</w:t>
      </w:r>
    </w:p>
    <w:p w14:paraId="2E198784" w14:textId="2CE4C2C0" w:rsidR="00D450B5" w:rsidRPr="00044B50" w:rsidRDefault="00D450B5" w:rsidP="00772E4B">
      <w:pPr>
        <w:widowControl w:val="0"/>
        <w:tabs>
          <w:tab w:val="right" w:pos="8198"/>
        </w:tabs>
        <w:jc w:val="both"/>
        <w:rPr>
          <w:spacing w:val="14"/>
          <w:kern w:val="2"/>
          <w:lang w:val="en-GB"/>
        </w:rPr>
      </w:pPr>
    </w:p>
    <w:p w14:paraId="0D746988" w14:textId="1DA0134C" w:rsidR="00D450B5" w:rsidRPr="00193671" w:rsidRDefault="00193671" w:rsidP="008E6536">
      <w:pPr>
        <w:tabs>
          <w:tab w:val="left" w:pos="7938"/>
        </w:tabs>
        <w:suppressAutoHyphens/>
        <w:ind w:right="-336"/>
        <w:jc w:val="both"/>
        <w:rPr>
          <w:b/>
          <w:bCs/>
          <w:lang w:val="en-GB"/>
        </w:rPr>
      </w:pPr>
      <w:r w:rsidRPr="00193671">
        <w:rPr>
          <w:b/>
          <w:bCs/>
          <w:lang w:val="en-GB"/>
        </w:rPr>
        <w:t xml:space="preserve">YAMKELA MELANE </w:t>
      </w:r>
      <w:r w:rsidRPr="00193671">
        <w:rPr>
          <w:b/>
          <w:bCs/>
          <w:lang w:val="en-GB"/>
        </w:rPr>
        <w:tab/>
      </w:r>
      <w:r w:rsidR="008E6536">
        <w:rPr>
          <w:b/>
          <w:bCs/>
          <w:lang w:val="en-GB"/>
        </w:rPr>
        <w:t xml:space="preserve"> </w:t>
      </w:r>
      <w:r w:rsidRPr="00193671">
        <w:rPr>
          <w:b/>
          <w:bCs/>
          <w:lang w:val="en-GB"/>
        </w:rPr>
        <w:t>Applicant</w:t>
      </w:r>
    </w:p>
    <w:p w14:paraId="50A760EA" w14:textId="77777777" w:rsidR="00F565D0" w:rsidRPr="00044B50" w:rsidRDefault="00F565D0" w:rsidP="00772E4B">
      <w:pPr>
        <w:tabs>
          <w:tab w:val="right" w:pos="9072"/>
        </w:tabs>
        <w:suppressAutoHyphens/>
        <w:jc w:val="both"/>
        <w:rPr>
          <w:lang w:val="en-GB"/>
        </w:rPr>
      </w:pPr>
    </w:p>
    <w:p w14:paraId="460137EF" w14:textId="77777777" w:rsidR="00D450B5" w:rsidRPr="00044B50" w:rsidRDefault="00D450B5" w:rsidP="00772E4B">
      <w:pPr>
        <w:jc w:val="both"/>
        <w:rPr>
          <w:lang w:val="en-GB"/>
        </w:rPr>
      </w:pPr>
      <w:r w:rsidRPr="00044B50">
        <w:rPr>
          <w:lang w:val="en-GB"/>
        </w:rPr>
        <w:t>and</w:t>
      </w:r>
    </w:p>
    <w:p w14:paraId="37CBA823" w14:textId="4B4FCA3C" w:rsidR="00D450B5" w:rsidRPr="00044B50" w:rsidRDefault="00D450B5" w:rsidP="00772E4B">
      <w:pPr>
        <w:jc w:val="both"/>
        <w:rPr>
          <w:lang w:val="en-GB"/>
        </w:rPr>
      </w:pPr>
    </w:p>
    <w:p w14:paraId="3C933005" w14:textId="77777777" w:rsidR="00F00959" w:rsidRDefault="00F00959" w:rsidP="008E6536">
      <w:pPr>
        <w:tabs>
          <w:tab w:val="left" w:pos="7088"/>
        </w:tabs>
        <w:ind w:right="-336"/>
        <w:jc w:val="both"/>
        <w:rPr>
          <w:b/>
          <w:bCs/>
          <w:lang w:val="en-GB"/>
        </w:rPr>
      </w:pPr>
      <w:r>
        <w:rPr>
          <w:b/>
          <w:bCs/>
          <w:lang w:val="en-GB"/>
        </w:rPr>
        <w:t xml:space="preserve">THE </w:t>
      </w:r>
      <w:r w:rsidR="00E75AF8">
        <w:rPr>
          <w:b/>
          <w:bCs/>
          <w:lang w:val="en-GB"/>
        </w:rPr>
        <w:t xml:space="preserve">DEPUTY REGISTRAR: </w:t>
      </w:r>
    </w:p>
    <w:p w14:paraId="44460D3D" w14:textId="1A189830" w:rsidR="00E75AF8" w:rsidRDefault="00E75AF8" w:rsidP="008E6536">
      <w:pPr>
        <w:tabs>
          <w:tab w:val="left" w:pos="7088"/>
        </w:tabs>
        <w:ind w:right="-336"/>
        <w:jc w:val="both"/>
        <w:rPr>
          <w:b/>
          <w:bCs/>
          <w:lang w:val="en-GB"/>
        </w:rPr>
      </w:pPr>
      <w:r>
        <w:rPr>
          <w:b/>
          <w:bCs/>
          <w:lang w:val="en-GB"/>
        </w:rPr>
        <w:t>GOVERNANCE &amp; LEGAL SERVICES</w:t>
      </w:r>
    </w:p>
    <w:p w14:paraId="061DBAA4" w14:textId="30AC4BA7" w:rsidR="00193671" w:rsidRDefault="00E75AF8" w:rsidP="008E6536">
      <w:pPr>
        <w:tabs>
          <w:tab w:val="left" w:pos="7088"/>
        </w:tabs>
        <w:ind w:right="-336"/>
        <w:jc w:val="both"/>
        <w:rPr>
          <w:b/>
          <w:bCs/>
          <w:lang w:val="en-GB"/>
        </w:rPr>
      </w:pPr>
      <w:r>
        <w:rPr>
          <w:b/>
          <w:bCs/>
          <w:lang w:val="en-GB"/>
        </w:rPr>
        <w:t>OF FORT HARE UNIVERSITY</w:t>
      </w:r>
      <w:r w:rsidR="00193671">
        <w:rPr>
          <w:b/>
          <w:bCs/>
          <w:lang w:val="en-GB"/>
        </w:rPr>
        <w:t xml:space="preserve"> </w:t>
      </w:r>
      <w:r w:rsidR="00193671">
        <w:rPr>
          <w:b/>
          <w:bCs/>
          <w:lang w:val="en-GB"/>
        </w:rPr>
        <w:tab/>
      </w:r>
      <w:r w:rsidR="008E6536">
        <w:rPr>
          <w:b/>
          <w:bCs/>
          <w:lang w:val="en-GB"/>
        </w:rPr>
        <w:t xml:space="preserve"> </w:t>
      </w:r>
      <w:r w:rsidR="00193671">
        <w:rPr>
          <w:b/>
          <w:bCs/>
          <w:lang w:val="en-GB"/>
        </w:rPr>
        <w:t>First Respondent</w:t>
      </w:r>
    </w:p>
    <w:p w14:paraId="696CCA1C" w14:textId="77777777" w:rsidR="00193671" w:rsidRDefault="00193671" w:rsidP="00193671">
      <w:pPr>
        <w:tabs>
          <w:tab w:val="left" w:pos="7088"/>
        </w:tabs>
        <w:ind w:right="-52"/>
        <w:jc w:val="both"/>
        <w:rPr>
          <w:b/>
          <w:bCs/>
          <w:lang w:val="en-GB"/>
        </w:rPr>
      </w:pPr>
    </w:p>
    <w:p w14:paraId="4A3F04F6" w14:textId="538BB215" w:rsidR="00193671" w:rsidRDefault="00193671" w:rsidP="00193671">
      <w:pPr>
        <w:tabs>
          <w:tab w:val="left" w:pos="7088"/>
        </w:tabs>
        <w:ind w:right="-52"/>
        <w:jc w:val="both"/>
        <w:rPr>
          <w:b/>
          <w:bCs/>
          <w:lang w:val="en-GB"/>
        </w:rPr>
      </w:pPr>
      <w:r>
        <w:rPr>
          <w:b/>
          <w:bCs/>
          <w:lang w:val="en-GB"/>
        </w:rPr>
        <w:t>THE CHAIRPERSON OF THE DISCIPLINARY COMMITTEE</w:t>
      </w:r>
    </w:p>
    <w:p w14:paraId="5BEF0F16" w14:textId="7A4538C7" w:rsidR="00193671" w:rsidRDefault="00193671" w:rsidP="008E6536">
      <w:pPr>
        <w:tabs>
          <w:tab w:val="left" w:pos="6804"/>
          <w:tab w:val="left" w:pos="7088"/>
          <w:tab w:val="left" w:pos="8789"/>
        </w:tabs>
        <w:ind w:right="-336"/>
        <w:jc w:val="both"/>
        <w:rPr>
          <w:b/>
          <w:bCs/>
          <w:lang w:val="en-GB"/>
        </w:rPr>
      </w:pPr>
      <w:r>
        <w:rPr>
          <w:b/>
          <w:bCs/>
          <w:lang w:val="en-GB"/>
        </w:rPr>
        <w:t xml:space="preserve">OF THE UNIVERSITY OF FORT HARE </w:t>
      </w:r>
      <w:r>
        <w:rPr>
          <w:b/>
          <w:bCs/>
          <w:lang w:val="en-GB"/>
        </w:rPr>
        <w:tab/>
      </w:r>
      <w:r w:rsidR="008E6536">
        <w:rPr>
          <w:b/>
          <w:bCs/>
          <w:lang w:val="en-GB"/>
        </w:rPr>
        <w:t xml:space="preserve"> </w:t>
      </w:r>
      <w:r>
        <w:rPr>
          <w:b/>
          <w:bCs/>
          <w:lang w:val="en-GB"/>
        </w:rPr>
        <w:t>Second Respondent</w:t>
      </w:r>
    </w:p>
    <w:p w14:paraId="480E62D7" w14:textId="77777777" w:rsidR="00193671" w:rsidRDefault="00193671" w:rsidP="00193671">
      <w:pPr>
        <w:tabs>
          <w:tab w:val="left" w:pos="6804"/>
          <w:tab w:val="left" w:pos="7088"/>
          <w:tab w:val="left" w:pos="8789"/>
        </w:tabs>
        <w:ind w:right="-194"/>
        <w:jc w:val="both"/>
        <w:rPr>
          <w:b/>
          <w:bCs/>
          <w:lang w:val="en-GB"/>
        </w:rPr>
      </w:pPr>
    </w:p>
    <w:p w14:paraId="79766332" w14:textId="557D30DC" w:rsidR="00193671" w:rsidRDefault="00193671" w:rsidP="00193671">
      <w:pPr>
        <w:tabs>
          <w:tab w:val="left" w:pos="6804"/>
          <w:tab w:val="left" w:pos="7088"/>
          <w:tab w:val="left" w:pos="8789"/>
        </w:tabs>
        <w:ind w:right="-194"/>
        <w:jc w:val="both"/>
        <w:rPr>
          <w:b/>
          <w:bCs/>
          <w:lang w:val="en-GB"/>
        </w:rPr>
      </w:pPr>
      <w:r>
        <w:rPr>
          <w:b/>
          <w:bCs/>
          <w:lang w:val="en-GB"/>
        </w:rPr>
        <w:t>THE CHAIRPERSON OF THE DISCIPLINARY APPEALS</w:t>
      </w:r>
    </w:p>
    <w:p w14:paraId="22703472" w14:textId="7FD2591E" w:rsidR="00193671" w:rsidRDefault="00193671" w:rsidP="008E6536">
      <w:pPr>
        <w:tabs>
          <w:tab w:val="left" w:pos="6804"/>
          <w:tab w:val="left" w:pos="7088"/>
          <w:tab w:val="left" w:pos="7513"/>
          <w:tab w:val="left" w:pos="8789"/>
        </w:tabs>
        <w:ind w:right="-336"/>
        <w:jc w:val="both"/>
        <w:rPr>
          <w:b/>
          <w:bCs/>
          <w:lang w:val="en-GB"/>
        </w:rPr>
      </w:pPr>
      <w:r>
        <w:rPr>
          <w:b/>
          <w:bCs/>
          <w:lang w:val="en-GB"/>
        </w:rPr>
        <w:t xml:space="preserve">COMMITTEE OF THE UNIVERSITY OF FORT HARE </w:t>
      </w:r>
      <w:r>
        <w:rPr>
          <w:b/>
          <w:bCs/>
          <w:lang w:val="en-GB"/>
        </w:rPr>
        <w:tab/>
      </w:r>
      <w:r>
        <w:rPr>
          <w:b/>
          <w:bCs/>
          <w:lang w:val="en-GB"/>
        </w:rPr>
        <w:tab/>
      </w:r>
      <w:r w:rsidR="008E6536">
        <w:rPr>
          <w:b/>
          <w:bCs/>
          <w:lang w:val="en-GB"/>
        </w:rPr>
        <w:t xml:space="preserve"> </w:t>
      </w:r>
      <w:r>
        <w:rPr>
          <w:b/>
          <w:bCs/>
          <w:lang w:val="en-GB"/>
        </w:rPr>
        <w:t>Third Respondent</w:t>
      </w:r>
    </w:p>
    <w:p w14:paraId="3B3913E2" w14:textId="77777777" w:rsidR="00193671" w:rsidRDefault="00193671" w:rsidP="00193671">
      <w:pPr>
        <w:tabs>
          <w:tab w:val="left" w:pos="6804"/>
          <w:tab w:val="left" w:pos="7088"/>
          <w:tab w:val="left" w:pos="7513"/>
          <w:tab w:val="left" w:pos="8789"/>
        </w:tabs>
        <w:ind w:right="-194"/>
        <w:jc w:val="both"/>
        <w:rPr>
          <w:b/>
          <w:bCs/>
          <w:lang w:val="en-GB"/>
        </w:rPr>
      </w:pPr>
    </w:p>
    <w:p w14:paraId="3BBFA2FD" w14:textId="2EFE5928" w:rsidR="00193671" w:rsidRDefault="00193671" w:rsidP="00193671">
      <w:pPr>
        <w:tabs>
          <w:tab w:val="left" w:pos="6804"/>
          <w:tab w:val="left" w:pos="7088"/>
          <w:tab w:val="left" w:pos="7513"/>
          <w:tab w:val="left" w:pos="8789"/>
        </w:tabs>
        <w:ind w:right="-194"/>
        <w:jc w:val="both"/>
        <w:rPr>
          <w:b/>
          <w:bCs/>
          <w:lang w:val="en-GB"/>
        </w:rPr>
      </w:pPr>
      <w:r>
        <w:rPr>
          <w:b/>
          <w:bCs/>
          <w:lang w:val="en-GB"/>
        </w:rPr>
        <w:t>THE VICE CHANCELLOR OF THE UNIVERSITY</w:t>
      </w:r>
    </w:p>
    <w:p w14:paraId="4D1F78B7" w14:textId="519BEC26" w:rsidR="00193671" w:rsidRDefault="00193671" w:rsidP="008E6536">
      <w:pPr>
        <w:tabs>
          <w:tab w:val="left" w:pos="6946"/>
          <w:tab w:val="left" w:pos="8789"/>
        </w:tabs>
        <w:ind w:right="-336"/>
        <w:jc w:val="both"/>
        <w:rPr>
          <w:b/>
          <w:bCs/>
          <w:lang w:val="en-GB"/>
        </w:rPr>
      </w:pPr>
      <w:r>
        <w:rPr>
          <w:b/>
          <w:bCs/>
          <w:lang w:val="en-GB"/>
        </w:rPr>
        <w:t>OF FORT HARE</w:t>
      </w:r>
      <w:r w:rsidR="006C6304">
        <w:rPr>
          <w:b/>
          <w:bCs/>
          <w:lang w:val="en-GB"/>
        </w:rPr>
        <w:tab/>
      </w:r>
      <w:r w:rsidR="008E6536">
        <w:rPr>
          <w:b/>
          <w:bCs/>
          <w:lang w:val="en-GB"/>
        </w:rPr>
        <w:t xml:space="preserve"> </w:t>
      </w:r>
      <w:r>
        <w:rPr>
          <w:b/>
          <w:bCs/>
          <w:lang w:val="en-GB"/>
        </w:rPr>
        <w:t>Fourth Respondent</w:t>
      </w:r>
    </w:p>
    <w:p w14:paraId="4E35DE6B" w14:textId="77777777" w:rsidR="006C6304" w:rsidRDefault="006C6304" w:rsidP="006C6304">
      <w:pPr>
        <w:tabs>
          <w:tab w:val="left" w:pos="6946"/>
          <w:tab w:val="left" w:pos="8789"/>
        </w:tabs>
        <w:ind w:right="-194"/>
        <w:jc w:val="both"/>
        <w:rPr>
          <w:b/>
          <w:bCs/>
          <w:lang w:val="en-GB"/>
        </w:rPr>
      </w:pPr>
    </w:p>
    <w:p w14:paraId="4B13AB06" w14:textId="77777777" w:rsidR="006C6304" w:rsidRDefault="006C6304" w:rsidP="006C6304">
      <w:pPr>
        <w:tabs>
          <w:tab w:val="left" w:pos="6946"/>
          <w:tab w:val="left" w:pos="8789"/>
        </w:tabs>
        <w:ind w:right="-194"/>
        <w:jc w:val="both"/>
        <w:rPr>
          <w:b/>
          <w:bCs/>
          <w:lang w:val="en-GB"/>
        </w:rPr>
      </w:pPr>
    </w:p>
    <w:p w14:paraId="0EED4E13" w14:textId="2137904F" w:rsidR="006C6304" w:rsidRDefault="006C6304" w:rsidP="006C6304">
      <w:pPr>
        <w:tabs>
          <w:tab w:val="left" w:pos="6946"/>
          <w:tab w:val="left" w:pos="8789"/>
        </w:tabs>
        <w:ind w:right="-194"/>
        <w:jc w:val="both"/>
        <w:rPr>
          <w:b/>
          <w:bCs/>
          <w:lang w:val="en-GB"/>
        </w:rPr>
      </w:pPr>
      <w:r>
        <w:rPr>
          <w:b/>
          <w:bCs/>
          <w:lang w:val="en-GB"/>
        </w:rPr>
        <w:lastRenderedPageBreak/>
        <w:t>THE DEAN OF STUDENT</w:t>
      </w:r>
      <w:r w:rsidR="00261F1D">
        <w:rPr>
          <w:b/>
          <w:bCs/>
          <w:lang w:val="en-GB"/>
        </w:rPr>
        <w:t>S</w:t>
      </w:r>
      <w:r>
        <w:rPr>
          <w:b/>
          <w:bCs/>
          <w:lang w:val="en-GB"/>
        </w:rPr>
        <w:t xml:space="preserve"> OF THE UNIVERSITY</w:t>
      </w:r>
    </w:p>
    <w:p w14:paraId="04344BE6" w14:textId="5BFD87E5" w:rsidR="006C6304" w:rsidRDefault="006C6304" w:rsidP="008E6536">
      <w:pPr>
        <w:tabs>
          <w:tab w:val="left" w:pos="7230"/>
          <w:tab w:val="left" w:pos="7797"/>
          <w:tab w:val="left" w:pos="8931"/>
        </w:tabs>
        <w:ind w:right="-336"/>
        <w:jc w:val="both"/>
        <w:rPr>
          <w:b/>
          <w:bCs/>
          <w:lang w:val="en-GB"/>
        </w:rPr>
      </w:pPr>
      <w:r>
        <w:rPr>
          <w:b/>
          <w:bCs/>
          <w:lang w:val="en-GB"/>
        </w:rPr>
        <w:t xml:space="preserve">OF FORT HARE </w:t>
      </w:r>
      <w:r>
        <w:rPr>
          <w:b/>
          <w:bCs/>
          <w:lang w:val="en-GB"/>
        </w:rPr>
        <w:tab/>
      </w:r>
      <w:r w:rsidR="008E6536">
        <w:rPr>
          <w:b/>
          <w:bCs/>
          <w:lang w:val="en-GB"/>
        </w:rPr>
        <w:t xml:space="preserve"> </w:t>
      </w:r>
      <w:r>
        <w:rPr>
          <w:b/>
          <w:bCs/>
          <w:lang w:val="en-GB"/>
        </w:rPr>
        <w:t>Fifth Respondent</w:t>
      </w:r>
    </w:p>
    <w:p w14:paraId="51550C4B" w14:textId="77777777" w:rsidR="006C6304" w:rsidRDefault="006C6304" w:rsidP="006C6304">
      <w:pPr>
        <w:tabs>
          <w:tab w:val="left" w:pos="7230"/>
          <w:tab w:val="left" w:pos="7797"/>
          <w:tab w:val="left" w:pos="8789"/>
        </w:tabs>
        <w:ind w:right="-194"/>
        <w:jc w:val="both"/>
        <w:rPr>
          <w:b/>
          <w:bCs/>
          <w:lang w:val="en-GB"/>
        </w:rPr>
      </w:pPr>
    </w:p>
    <w:p w14:paraId="235DBC51" w14:textId="3DB9FBD7" w:rsidR="006C6304" w:rsidRDefault="006C6304" w:rsidP="006C6304">
      <w:pPr>
        <w:tabs>
          <w:tab w:val="left" w:pos="7230"/>
          <w:tab w:val="left" w:pos="7797"/>
          <w:tab w:val="left" w:pos="8789"/>
        </w:tabs>
        <w:ind w:right="-194"/>
        <w:jc w:val="both"/>
        <w:rPr>
          <w:b/>
          <w:bCs/>
          <w:lang w:val="en-GB"/>
        </w:rPr>
      </w:pPr>
      <w:r>
        <w:rPr>
          <w:b/>
          <w:bCs/>
          <w:lang w:val="en-GB"/>
        </w:rPr>
        <w:t>THE REGISTRAR OF THE UNIVERSITY</w:t>
      </w:r>
    </w:p>
    <w:p w14:paraId="32C4F41C" w14:textId="382B5BDD" w:rsidR="006C6304" w:rsidRDefault="006C6304" w:rsidP="006C6304">
      <w:pPr>
        <w:tabs>
          <w:tab w:val="left" w:pos="7230"/>
          <w:tab w:val="left" w:pos="7797"/>
          <w:tab w:val="left" w:pos="8789"/>
        </w:tabs>
        <w:ind w:right="-336"/>
        <w:jc w:val="both"/>
        <w:rPr>
          <w:b/>
          <w:bCs/>
          <w:lang w:val="en-GB"/>
        </w:rPr>
      </w:pPr>
      <w:r>
        <w:rPr>
          <w:b/>
          <w:bCs/>
          <w:lang w:val="en-GB"/>
        </w:rPr>
        <w:t xml:space="preserve">OF FORT HARE </w:t>
      </w:r>
      <w:r>
        <w:rPr>
          <w:b/>
          <w:bCs/>
          <w:lang w:val="en-GB"/>
        </w:rPr>
        <w:tab/>
        <w:t>Sixth Respondent</w:t>
      </w:r>
    </w:p>
    <w:p w14:paraId="76889E9C" w14:textId="2C6D331D" w:rsidR="00D450B5" w:rsidRPr="00044B50" w:rsidRDefault="00D450B5" w:rsidP="006C6304">
      <w:pPr>
        <w:ind w:right="-336"/>
        <w:jc w:val="both"/>
        <w:rPr>
          <w:lang w:val="en-GB"/>
        </w:rPr>
      </w:pPr>
      <w:r w:rsidRPr="00044B50">
        <w:rPr>
          <w:lang w:val="en-GB"/>
        </w:rPr>
        <w:t>__________________________________________________________________</w:t>
      </w:r>
      <w:r w:rsidR="006C6304">
        <w:rPr>
          <w:lang w:val="en-GB"/>
        </w:rPr>
        <w:t>___</w:t>
      </w:r>
      <w:r w:rsidR="006B1DCE">
        <w:rPr>
          <w:lang w:val="en-GB"/>
        </w:rPr>
        <w:t>_</w:t>
      </w:r>
    </w:p>
    <w:p w14:paraId="37FFD90E" w14:textId="77777777" w:rsidR="0009497C" w:rsidRPr="00044B50" w:rsidRDefault="0009497C" w:rsidP="00772E4B">
      <w:pPr>
        <w:jc w:val="center"/>
        <w:rPr>
          <w:lang w:val="en-GB"/>
        </w:rPr>
      </w:pPr>
    </w:p>
    <w:p w14:paraId="7239B7A9" w14:textId="40EF50E9" w:rsidR="00D450B5" w:rsidRPr="00044B50" w:rsidRDefault="00D450B5" w:rsidP="00772E4B">
      <w:pPr>
        <w:jc w:val="center"/>
        <w:rPr>
          <w:b/>
          <w:bCs/>
          <w:lang w:val="en-GB"/>
        </w:rPr>
      </w:pPr>
      <w:r w:rsidRPr="00044B50">
        <w:rPr>
          <w:b/>
          <w:bCs/>
          <w:lang w:val="en-GB"/>
        </w:rPr>
        <w:t xml:space="preserve">JUDGMENT </w:t>
      </w:r>
    </w:p>
    <w:p w14:paraId="2B47CB4D" w14:textId="19710CF5" w:rsidR="00D450B5" w:rsidRPr="00044B50" w:rsidRDefault="00D450B5" w:rsidP="006C6304">
      <w:pPr>
        <w:ind w:right="-336"/>
        <w:jc w:val="both"/>
        <w:rPr>
          <w:lang w:val="en-GB"/>
        </w:rPr>
      </w:pPr>
      <w:r w:rsidRPr="00044B50">
        <w:rPr>
          <w:lang w:val="en-GB"/>
        </w:rPr>
        <w:t>__________________________________________________________________</w:t>
      </w:r>
      <w:r w:rsidR="006C6304">
        <w:rPr>
          <w:lang w:val="en-GB"/>
        </w:rPr>
        <w:t>___</w:t>
      </w:r>
      <w:r w:rsidRPr="00044B50">
        <w:rPr>
          <w:lang w:val="en-GB"/>
        </w:rPr>
        <w:t>_</w:t>
      </w:r>
    </w:p>
    <w:p w14:paraId="7C4F1B04" w14:textId="25864082" w:rsidR="00D450B5" w:rsidRPr="00044B50" w:rsidRDefault="00E57C72" w:rsidP="00772E4B">
      <w:pPr>
        <w:jc w:val="both"/>
        <w:rPr>
          <w:b/>
          <w:bCs/>
          <w:lang w:val="en-GB"/>
        </w:rPr>
      </w:pPr>
      <w:r w:rsidRPr="00044B50">
        <w:rPr>
          <w:b/>
          <w:bCs/>
          <w:lang w:val="en-GB"/>
        </w:rPr>
        <w:t>Govindjee</w:t>
      </w:r>
      <w:r w:rsidR="00D450B5" w:rsidRPr="00044B50">
        <w:rPr>
          <w:b/>
          <w:bCs/>
          <w:lang w:val="en-GB"/>
        </w:rPr>
        <w:t xml:space="preserve"> J</w:t>
      </w:r>
    </w:p>
    <w:p w14:paraId="34F7781B" w14:textId="3C79BC21" w:rsidR="00D468AF" w:rsidRDefault="00D468AF" w:rsidP="002B2311">
      <w:pPr>
        <w:autoSpaceDE w:val="0"/>
        <w:autoSpaceDN w:val="0"/>
        <w:adjustRightInd w:val="0"/>
        <w:jc w:val="both"/>
        <w:rPr>
          <w:lang w:val="en-GB"/>
        </w:rPr>
      </w:pPr>
    </w:p>
    <w:p w14:paraId="25332252" w14:textId="6671E6CB" w:rsidR="00666E38" w:rsidRDefault="00666E38" w:rsidP="002B2311">
      <w:pPr>
        <w:autoSpaceDE w:val="0"/>
        <w:autoSpaceDN w:val="0"/>
        <w:adjustRightInd w:val="0"/>
        <w:jc w:val="both"/>
        <w:rPr>
          <w:i/>
          <w:iCs/>
          <w:lang w:val="en-GB"/>
        </w:rPr>
      </w:pPr>
      <w:r>
        <w:rPr>
          <w:i/>
          <w:iCs/>
          <w:lang w:val="en-GB"/>
        </w:rPr>
        <w:t>Background</w:t>
      </w:r>
    </w:p>
    <w:p w14:paraId="3AAFD8FB" w14:textId="77777777" w:rsidR="00666E38" w:rsidRPr="00666E38" w:rsidRDefault="00666E38" w:rsidP="002B2311">
      <w:pPr>
        <w:autoSpaceDE w:val="0"/>
        <w:autoSpaceDN w:val="0"/>
        <w:adjustRightInd w:val="0"/>
        <w:jc w:val="both"/>
        <w:rPr>
          <w:i/>
          <w:iCs/>
          <w:lang w:val="en-GB"/>
        </w:rPr>
      </w:pPr>
    </w:p>
    <w:p w14:paraId="02010201" w14:textId="19A23DAA" w:rsidR="00B310E7" w:rsidRPr="00C42D28" w:rsidRDefault="00C42D28" w:rsidP="00C42D28">
      <w:pPr>
        <w:autoSpaceDE w:val="0"/>
        <w:autoSpaceDN w:val="0"/>
        <w:adjustRightInd w:val="0"/>
        <w:jc w:val="both"/>
        <w:rPr>
          <w:lang w:val="en-GB"/>
        </w:rPr>
      </w:pPr>
      <w:r>
        <w:rPr>
          <w:lang w:val="en-GB"/>
        </w:rPr>
        <w:t>[1]</w:t>
      </w:r>
      <w:r>
        <w:rPr>
          <w:lang w:val="en-GB"/>
        </w:rPr>
        <w:tab/>
      </w:r>
      <w:r w:rsidR="00407C31" w:rsidRPr="00C42D28">
        <w:rPr>
          <w:lang w:val="en-GB"/>
        </w:rPr>
        <w:t xml:space="preserve">The applicant (‘Mr Melane’) was involved in an incident at Cougar Hog Carwash on 24 July 2021. </w:t>
      </w:r>
      <w:r w:rsidR="00B310E7" w:rsidRPr="00C42D28">
        <w:rPr>
          <w:lang w:val="en-GB"/>
        </w:rPr>
        <w:t>He lost control of his motor vehicle while attempting to avoid another individual an</w:t>
      </w:r>
      <w:r w:rsidR="00285D42" w:rsidRPr="00C42D28">
        <w:rPr>
          <w:lang w:val="en-GB"/>
        </w:rPr>
        <w:t>d</w:t>
      </w:r>
      <w:r w:rsidR="00B310E7" w:rsidRPr="00C42D28">
        <w:rPr>
          <w:lang w:val="en-GB"/>
        </w:rPr>
        <w:t xml:space="preserve"> collided with an adult female student (‘Ms Mtsiki’), causing her severe injuries.</w:t>
      </w:r>
      <w:r w:rsidR="00C220F6">
        <w:rPr>
          <w:rStyle w:val="FootnoteReference"/>
          <w:lang w:val="en-GB"/>
        </w:rPr>
        <w:footnoteReference w:id="1"/>
      </w:r>
      <w:r w:rsidR="00B310E7" w:rsidRPr="00C42D28">
        <w:rPr>
          <w:lang w:val="en-GB"/>
        </w:rPr>
        <w:t xml:space="preserve"> He was charged by the University of Fort Hare (‘UFH’) with misconduct in contravention of Rules 19(1) and 19(7) of its disciplinary code.</w:t>
      </w:r>
      <w:r w:rsidR="00843658">
        <w:rPr>
          <w:rStyle w:val="FootnoteReference"/>
          <w:lang w:val="en-GB"/>
        </w:rPr>
        <w:footnoteReference w:id="2"/>
      </w:r>
      <w:r w:rsidR="008E1213" w:rsidRPr="00C42D28">
        <w:rPr>
          <w:lang w:val="en-GB"/>
        </w:rPr>
        <w:t xml:space="preserve"> He was found guilty by the second respondent (‘the DC</w:t>
      </w:r>
      <w:r w:rsidR="0068469B" w:rsidRPr="00C42D28">
        <w:rPr>
          <w:lang w:val="en-GB"/>
        </w:rPr>
        <w:t xml:space="preserve"> chairperson</w:t>
      </w:r>
      <w:r w:rsidR="008E1213" w:rsidRPr="00C42D28">
        <w:rPr>
          <w:lang w:val="en-GB"/>
        </w:rPr>
        <w:t xml:space="preserve">’) and expelled for one year, in addition to being required to write a letter of apology to the complainant. His registration for the </w:t>
      </w:r>
      <w:r w:rsidR="00C6557E" w:rsidRPr="00C42D28">
        <w:rPr>
          <w:lang w:val="en-GB"/>
        </w:rPr>
        <w:t>2023</w:t>
      </w:r>
      <w:r w:rsidR="008E1213" w:rsidRPr="00C42D28">
        <w:rPr>
          <w:lang w:val="en-GB"/>
        </w:rPr>
        <w:t xml:space="preserve"> academic year was suspended pending payment of four physiotherapy sessions for the complainant.</w:t>
      </w:r>
    </w:p>
    <w:p w14:paraId="25EDD54F" w14:textId="77777777" w:rsidR="00B310E7" w:rsidRDefault="00B310E7" w:rsidP="002B2311">
      <w:pPr>
        <w:pStyle w:val="ListParagraph"/>
        <w:autoSpaceDE w:val="0"/>
        <w:autoSpaceDN w:val="0"/>
        <w:adjustRightInd w:val="0"/>
        <w:ind w:left="0"/>
        <w:jc w:val="both"/>
        <w:rPr>
          <w:lang w:val="en-GB"/>
        </w:rPr>
      </w:pPr>
    </w:p>
    <w:p w14:paraId="57BD2CD2" w14:textId="1DB8843B" w:rsidR="00BF55F6" w:rsidRPr="00C42D28" w:rsidRDefault="00C42D28" w:rsidP="00C42D28">
      <w:pPr>
        <w:autoSpaceDE w:val="0"/>
        <w:autoSpaceDN w:val="0"/>
        <w:adjustRightInd w:val="0"/>
        <w:jc w:val="both"/>
        <w:rPr>
          <w:lang w:val="en-GB"/>
        </w:rPr>
      </w:pPr>
      <w:r>
        <w:rPr>
          <w:lang w:val="en-GB"/>
        </w:rPr>
        <w:t>[2]</w:t>
      </w:r>
      <w:r>
        <w:rPr>
          <w:lang w:val="en-GB"/>
        </w:rPr>
        <w:tab/>
      </w:r>
      <w:r w:rsidR="006D6242" w:rsidRPr="00C42D28">
        <w:rPr>
          <w:lang w:val="en-GB"/>
        </w:rPr>
        <w:t>Mr Melane lodged an appeal against this outcome</w:t>
      </w:r>
      <w:r w:rsidR="002A5B49" w:rsidRPr="00C42D28">
        <w:rPr>
          <w:lang w:val="en-GB"/>
        </w:rPr>
        <w:t xml:space="preserve"> on various grounds</w:t>
      </w:r>
      <w:r w:rsidR="00455EA5" w:rsidRPr="00C42D28">
        <w:rPr>
          <w:lang w:val="en-GB"/>
        </w:rPr>
        <w:t>, including the appropriateness of the sentence imposed</w:t>
      </w:r>
      <w:r w:rsidR="002A5B49" w:rsidRPr="00C42D28">
        <w:rPr>
          <w:lang w:val="en-GB"/>
        </w:rPr>
        <w:t>.</w:t>
      </w:r>
      <w:r w:rsidR="004902FA" w:rsidRPr="00C42D28">
        <w:rPr>
          <w:lang w:val="en-GB"/>
        </w:rPr>
        <w:t xml:space="preserve"> </w:t>
      </w:r>
      <w:r w:rsidR="00455EA5" w:rsidRPr="00C42D28">
        <w:rPr>
          <w:lang w:val="en-GB"/>
        </w:rPr>
        <w:t xml:space="preserve">The Disciplinary Appeals Committee (‘DAC’) heard the appeal on 14 March 2022. </w:t>
      </w:r>
      <w:r w:rsidR="00604D8F" w:rsidRPr="00C42D28">
        <w:rPr>
          <w:lang w:val="en-GB"/>
        </w:rPr>
        <w:t>It rejected the grounds of appeal and decided that Mr Melane should be permanently expelled</w:t>
      </w:r>
      <w:r w:rsidR="00130D81" w:rsidRPr="00C42D28">
        <w:rPr>
          <w:lang w:val="en-GB"/>
        </w:rPr>
        <w:t xml:space="preserve"> by UFH</w:t>
      </w:r>
      <w:r w:rsidR="00604D8F" w:rsidRPr="00C42D28">
        <w:rPr>
          <w:lang w:val="en-GB"/>
        </w:rPr>
        <w:t xml:space="preserve"> or de-</w:t>
      </w:r>
      <w:r w:rsidR="00604D8F" w:rsidRPr="00C42D28">
        <w:rPr>
          <w:lang w:val="en-GB"/>
        </w:rPr>
        <w:lastRenderedPageBreak/>
        <w:t xml:space="preserve">registered as a student </w:t>
      </w:r>
      <w:r w:rsidR="00130D81" w:rsidRPr="00C42D28">
        <w:rPr>
          <w:lang w:val="en-GB"/>
        </w:rPr>
        <w:t>and removed from its system or database</w:t>
      </w:r>
      <w:r w:rsidR="000811EB" w:rsidRPr="00C42D28">
        <w:rPr>
          <w:lang w:val="en-GB"/>
        </w:rPr>
        <w:t xml:space="preserve"> with immediate effect. </w:t>
      </w:r>
    </w:p>
    <w:p w14:paraId="0F6D6776" w14:textId="77777777" w:rsidR="00BF55F6" w:rsidRPr="00BF55F6" w:rsidRDefault="00BF55F6" w:rsidP="002B2311">
      <w:pPr>
        <w:pStyle w:val="ListParagraph"/>
        <w:rPr>
          <w:lang w:val="en-GB"/>
        </w:rPr>
      </w:pPr>
    </w:p>
    <w:p w14:paraId="16D29F96" w14:textId="29D7C887" w:rsidR="004303EA" w:rsidRPr="00C42D28" w:rsidRDefault="00C42D28" w:rsidP="00C42D28">
      <w:pPr>
        <w:autoSpaceDE w:val="0"/>
        <w:autoSpaceDN w:val="0"/>
        <w:adjustRightInd w:val="0"/>
        <w:jc w:val="both"/>
        <w:rPr>
          <w:lang w:val="en-GB"/>
        </w:rPr>
      </w:pPr>
      <w:r>
        <w:rPr>
          <w:lang w:val="en-GB"/>
        </w:rPr>
        <w:t>[</w:t>
      </w:r>
      <w:bookmarkStart w:id="0" w:name="_GoBack"/>
      <w:bookmarkEnd w:id="0"/>
      <w:r>
        <w:rPr>
          <w:lang w:val="en-GB"/>
        </w:rPr>
        <w:t>3]</w:t>
      </w:r>
      <w:r>
        <w:rPr>
          <w:lang w:val="en-GB"/>
        </w:rPr>
        <w:tab/>
      </w:r>
      <w:r w:rsidR="00BF55F6" w:rsidRPr="00C42D28">
        <w:rPr>
          <w:lang w:val="en-GB"/>
        </w:rPr>
        <w:t xml:space="preserve">Mr Melane launched an urgent application seeking to suspend the implementation of the findings </w:t>
      </w:r>
      <w:r w:rsidR="00870078" w:rsidRPr="00C42D28">
        <w:rPr>
          <w:lang w:val="en-GB"/>
        </w:rPr>
        <w:t>and</w:t>
      </w:r>
      <w:r w:rsidR="00BF55F6" w:rsidRPr="00C42D28">
        <w:rPr>
          <w:lang w:val="en-GB"/>
        </w:rPr>
        <w:t xml:space="preserve"> outcomes of the DC and DAC</w:t>
      </w:r>
      <w:r w:rsidR="00931F7E" w:rsidRPr="00C42D28">
        <w:rPr>
          <w:lang w:val="en-GB"/>
        </w:rPr>
        <w:t>, to enable him to resume ‘all rights, duties and privileges associated with being a registered student of the University</w:t>
      </w:r>
      <w:r w:rsidR="003E1665" w:rsidRPr="00C42D28">
        <w:rPr>
          <w:lang w:val="en-GB"/>
        </w:rPr>
        <w:t xml:space="preserve"> of Fort Hare immediately pending the final determination of the relief sought in Part B of this appl</w:t>
      </w:r>
      <w:r w:rsidR="00353FAB" w:rsidRPr="00C42D28">
        <w:rPr>
          <w:lang w:val="en-GB"/>
        </w:rPr>
        <w:t>i</w:t>
      </w:r>
      <w:r w:rsidR="003E1665" w:rsidRPr="00C42D28">
        <w:rPr>
          <w:lang w:val="en-GB"/>
        </w:rPr>
        <w:t>cation</w:t>
      </w:r>
      <w:r w:rsidR="00931F7E" w:rsidRPr="00C42D28">
        <w:rPr>
          <w:lang w:val="en-GB"/>
        </w:rPr>
        <w:t xml:space="preserve">’. </w:t>
      </w:r>
      <w:r w:rsidR="00FB7B46" w:rsidRPr="00C42D28">
        <w:rPr>
          <w:lang w:val="en-GB"/>
        </w:rPr>
        <w:t xml:space="preserve">During May 2022, </w:t>
      </w:r>
      <w:r w:rsidR="000C5690" w:rsidRPr="00C42D28">
        <w:rPr>
          <w:lang w:val="en-GB"/>
        </w:rPr>
        <w:t xml:space="preserve">and by agreement between the parties, </w:t>
      </w:r>
      <w:r w:rsidR="00FB7B46" w:rsidRPr="00C42D28">
        <w:rPr>
          <w:lang w:val="en-GB"/>
        </w:rPr>
        <w:t xml:space="preserve">Mr Melane </w:t>
      </w:r>
      <w:r w:rsidR="002125C4" w:rsidRPr="00C42D28">
        <w:rPr>
          <w:lang w:val="en-GB"/>
        </w:rPr>
        <w:t xml:space="preserve">obtained </w:t>
      </w:r>
      <w:r w:rsidR="00F410A5" w:rsidRPr="00C42D28">
        <w:rPr>
          <w:lang w:val="en-GB"/>
        </w:rPr>
        <w:t xml:space="preserve">an </w:t>
      </w:r>
      <w:r w:rsidR="00143FD3" w:rsidRPr="00C42D28">
        <w:rPr>
          <w:lang w:val="en-GB"/>
        </w:rPr>
        <w:t>interim order</w:t>
      </w:r>
      <w:r w:rsidR="00FB7B46" w:rsidRPr="00C42D28">
        <w:rPr>
          <w:lang w:val="en-GB"/>
        </w:rPr>
        <w:t xml:space="preserve"> pending the finalisation of </w:t>
      </w:r>
      <w:r w:rsidR="00054684" w:rsidRPr="00C42D28">
        <w:rPr>
          <w:lang w:val="en-GB"/>
        </w:rPr>
        <w:t>the Part B</w:t>
      </w:r>
      <w:r w:rsidR="00FB7B46" w:rsidRPr="00C42D28">
        <w:rPr>
          <w:lang w:val="en-GB"/>
        </w:rPr>
        <w:t xml:space="preserve"> review</w:t>
      </w:r>
      <w:r w:rsidR="00594A08" w:rsidRPr="00C42D28">
        <w:rPr>
          <w:lang w:val="en-GB"/>
        </w:rPr>
        <w:t>, which essentially challenged the DAC outcome</w:t>
      </w:r>
      <w:r w:rsidR="00FB7B46" w:rsidRPr="00C42D28">
        <w:rPr>
          <w:lang w:val="en-GB"/>
        </w:rPr>
        <w:t xml:space="preserve">. </w:t>
      </w:r>
      <w:r w:rsidR="0078743A" w:rsidRPr="00C42D28">
        <w:rPr>
          <w:lang w:val="en-GB"/>
        </w:rPr>
        <w:t xml:space="preserve">He has since been able to continue with his studies via online based learning. </w:t>
      </w:r>
      <w:r w:rsidR="00D0263B" w:rsidRPr="00C42D28">
        <w:rPr>
          <w:lang w:val="en-GB"/>
        </w:rPr>
        <w:t xml:space="preserve">The </w:t>
      </w:r>
      <w:r w:rsidR="00D93A6E" w:rsidRPr="00C42D28">
        <w:rPr>
          <w:lang w:val="en-GB"/>
        </w:rPr>
        <w:t xml:space="preserve">interim </w:t>
      </w:r>
      <w:r w:rsidR="00D0263B" w:rsidRPr="00C42D28">
        <w:rPr>
          <w:lang w:val="en-GB"/>
        </w:rPr>
        <w:t>order was, in addition, ‘subject to the applicant diligently pursuing Part B of his application, complying with all prescribed time periods in terms of the Uniform Rules, alternatively, as agreed to between the parties and / or as directed by the Court</w:t>
      </w:r>
      <w:r w:rsidR="0028000A" w:rsidRPr="00C42D28">
        <w:rPr>
          <w:lang w:val="en-GB"/>
        </w:rPr>
        <w:t>’. The determination of the Part B relief was postponed to a date to be arranged with the Registrar, with costs of</w:t>
      </w:r>
      <w:r w:rsidR="005D2831" w:rsidRPr="00C42D28">
        <w:rPr>
          <w:lang w:val="en-GB"/>
        </w:rPr>
        <w:t xml:space="preserve"> the</w:t>
      </w:r>
      <w:r w:rsidR="0028000A" w:rsidRPr="00C42D28">
        <w:rPr>
          <w:lang w:val="en-GB"/>
        </w:rPr>
        <w:t xml:space="preserve"> interim relief application reserved.</w:t>
      </w:r>
    </w:p>
    <w:p w14:paraId="294108F3" w14:textId="77777777" w:rsidR="004303EA" w:rsidRPr="004303EA" w:rsidRDefault="004303EA" w:rsidP="002B2311">
      <w:pPr>
        <w:pStyle w:val="ListParagraph"/>
        <w:rPr>
          <w:lang w:val="en-GB"/>
        </w:rPr>
      </w:pPr>
    </w:p>
    <w:p w14:paraId="1907D56C" w14:textId="578E5435" w:rsidR="007072F4" w:rsidRPr="00C42D28" w:rsidRDefault="00C42D28" w:rsidP="00C42D28">
      <w:pPr>
        <w:autoSpaceDE w:val="0"/>
        <w:autoSpaceDN w:val="0"/>
        <w:adjustRightInd w:val="0"/>
        <w:jc w:val="both"/>
        <w:rPr>
          <w:lang w:val="en-GB"/>
        </w:rPr>
      </w:pPr>
      <w:r>
        <w:rPr>
          <w:lang w:val="en-GB"/>
        </w:rPr>
        <w:t>[4]</w:t>
      </w:r>
      <w:r>
        <w:rPr>
          <w:lang w:val="en-GB"/>
        </w:rPr>
        <w:tab/>
      </w:r>
      <w:r w:rsidR="00594A08" w:rsidRPr="00C42D28">
        <w:rPr>
          <w:lang w:val="en-GB"/>
        </w:rPr>
        <w:t>At the commencement of the present proceedings, counsel reached agreement</w:t>
      </w:r>
      <w:r w:rsidR="00336256" w:rsidRPr="00C42D28">
        <w:rPr>
          <w:lang w:val="en-GB"/>
        </w:rPr>
        <w:t xml:space="preserve"> </w:t>
      </w:r>
      <w:r w:rsidR="007833BF" w:rsidRPr="00C42D28">
        <w:rPr>
          <w:lang w:val="en-GB"/>
        </w:rPr>
        <w:t>on the following</w:t>
      </w:r>
      <w:r w:rsidR="00807B78" w:rsidRPr="00C42D28">
        <w:rPr>
          <w:lang w:val="en-GB"/>
        </w:rPr>
        <w:t>, to be made an order of court</w:t>
      </w:r>
      <w:r w:rsidR="007833BF" w:rsidRPr="00C42D28">
        <w:rPr>
          <w:lang w:val="en-GB"/>
        </w:rPr>
        <w:t>:</w:t>
      </w:r>
    </w:p>
    <w:p w14:paraId="73F672D3" w14:textId="350D09CF" w:rsidR="007833BF" w:rsidRDefault="007833BF" w:rsidP="002B2311">
      <w:pPr>
        <w:rPr>
          <w:lang w:val="en-GB"/>
        </w:rPr>
      </w:pPr>
    </w:p>
    <w:p w14:paraId="503E2576" w14:textId="3E3CD3BD" w:rsidR="007833BF" w:rsidRDefault="007833BF" w:rsidP="002B2311">
      <w:pPr>
        <w:ind w:left="720" w:hanging="720"/>
        <w:jc w:val="both"/>
        <w:rPr>
          <w:sz w:val="22"/>
          <w:szCs w:val="22"/>
          <w:lang w:val="en-GB"/>
        </w:rPr>
      </w:pPr>
      <w:r>
        <w:rPr>
          <w:sz w:val="22"/>
          <w:szCs w:val="22"/>
          <w:lang w:val="en-GB"/>
        </w:rPr>
        <w:t>‘1.</w:t>
      </w:r>
      <w:r>
        <w:rPr>
          <w:sz w:val="22"/>
          <w:szCs w:val="22"/>
          <w:lang w:val="en-GB"/>
        </w:rPr>
        <w:tab/>
        <w:t>The implementation of the Disciplinary Appeals Committee’s (‘DAC’) finding dated 14 March 2022 is suspended pending the completion of the Applicant’s 2023 academic year.</w:t>
      </w:r>
    </w:p>
    <w:p w14:paraId="3E93CD81" w14:textId="473FB185" w:rsidR="007833BF" w:rsidRDefault="007833BF" w:rsidP="002B2311">
      <w:pPr>
        <w:ind w:left="720" w:hanging="720"/>
        <w:rPr>
          <w:sz w:val="22"/>
          <w:szCs w:val="22"/>
          <w:lang w:val="en-GB"/>
        </w:rPr>
      </w:pPr>
    </w:p>
    <w:p w14:paraId="718A051E" w14:textId="2B79BE7E" w:rsidR="007833BF" w:rsidRDefault="007833BF" w:rsidP="002B2311">
      <w:pPr>
        <w:ind w:left="720" w:hanging="720"/>
        <w:jc w:val="both"/>
        <w:rPr>
          <w:sz w:val="22"/>
          <w:szCs w:val="22"/>
          <w:lang w:val="en-GB"/>
        </w:rPr>
      </w:pPr>
      <w:r>
        <w:rPr>
          <w:sz w:val="22"/>
          <w:szCs w:val="22"/>
          <w:lang w:val="en-GB"/>
        </w:rPr>
        <w:t xml:space="preserve">2. </w:t>
      </w:r>
      <w:r>
        <w:rPr>
          <w:sz w:val="22"/>
          <w:szCs w:val="22"/>
          <w:lang w:val="en-GB"/>
        </w:rPr>
        <w:tab/>
        <w:t>Pending the implementation of the DAC’s finding referred to in paragraph 1 above, the Applicant is allowed to continue as a student at the University of Fort Hare on the following basis:</w:t>
      </w:r>
    </w:p>
    <w:p w14:paraId="788DB1CD" w14:textId="6EEAF0FE" w:rsidR="007833BF" w:rsidRDefault="007833BF" w:rsidP="002B2311">
      <w:pPr>
        <w:ind w:left="720" w:hanging="720"/>
        <w:jc w:val="both"/>
        <w:rPr>
          <w:sz w:val="22"/>
          <w:szCs w:val="22"/>
          <w:lang w:val="en-GB"/>
        </w:rPr>
      </w:pPr>
    </w:p>
    <w:p w14:paraId="462C334A" w14:textId="210E2119" w:rsidR="007833BF" w:rsidRDefault="007833BF" w:rsidP="002B2311">
      <w:pPr>
        <w:ind w:left="1440" w:hanging="720"/>
        <w:jc w:val="both"/>
        <w:rPr>
          <w:sz w:val="22"/>
          <w:szCs w:val="22"/>
          <w:lang w:val="en-GB"/>
        </w:rPr>
      </w:pPr>
      <w:r>
        <w:rPr>
          <w:sz w:val="22"/>
          <w:szCs w:val="22"/>
          <w:lang w:val="en-GB"/>
        </w:rPr>
        <w:t>2.1</w:t>
      </w:r>
      <w:r>
        <w:rPr>
          <w:sz w:val="22"/>
          <w:szCs w:val="22"/>
          <w:lang w:val="en-GB"/>
        </w:rPr>
        <w:tab/>
        <w:t>The applicant is permitted to continue his studies via online based learning, off-campus only;</w:t>
      </w:r>
    </w:p>
    <w:p w14:paraId="1D675AAB" w14:textId="361880CB" w:rsidR="007833BF" w:rsidRDefault="007833BF" w:rsidP="002B2311">
      <w:pPr>
        <w:ind w:left="720" w:hanging="720"/>
        <w:jc w:val="both"/>
        <w:rPr>
          <w:sz w:val="22"/>
          <w:szCs w:val="22"/>
          <w:lang w:val="en-GB"/>
        </w:rPr>
      </w:pPr>
    </w:p>
    <w:p w14:paraId="6511B4E0" w14:textId="0403D6F0" w:rsidR="007833BF" w:rsidRDefault="007833BF" w:rsidP="002B2311">
      <w:pPr>
        <w:ind w:left="1440" w:hanging="720"/>
        <w:jc w:val="both"/>
        <w:rPr>
          <w:sz w:val="22"/>
          <w:szCs w:val="22"/>
          <w:lang w:val="en-GB"/>
        </w:rPr>
      </w:pPr>
      <w:r>
        <w:rPr>
          <w:sz w:val="22"/>
          <w:szCs w:val="22"/>
          <w:lang w:val="en-GB"/>
        </w:rPr>
        <w:t>2.2</w:t>
      </w:r>
      <w:r>
        <w:rPr>
          <w:sz w:val="22"/>
          <w:szCs w:val="22"/>
          <w:lang w:val="en-GB"/>
        </w:rPr>
        <w:tab/>
        <w:t xml:space="preserve">The applicant may only attend campus with the prior written approval of the first respondent. Such approval will not be unreasonably withheld in the event that the applicant’s attendance on campus is required for purposes of his academic studies, as determined by the first respondent. Any approval for the </w:t>
      </w:r>
      <w:r>
        <w:rPr>
          <w:sz w:val="22"/>
          <w:szCs w:val="22"/>
          <w:lang w:val="en-GB"/>
        </w:rPr>
        <w:lastRenderedPageBreak/>
        <w:t>applicant to attend campus for any other reason will be in the first respondent’s sole discretion.’</w:t>
      </w:r>
    </w:p>
    <w:p w14:paraId="77268E9A" w14:textId="1C24D62B" w:rsidR="007833BF" w:rsidRDefault="007833BF" w:rsidP="002B2311">
      <w:pPr>
        <w:jc w:val="both"/>
        <w:rPr>
          <w:sz w:val="22"/>
          <w:szCs w:val="22"/>
          <w:lang w:val="en-GB"/>
        </w:rPr>
      </w:pPr>
    </w:p>
    <w:p w14:paraId="4C38E306" w14:textId="20C305DA" w:rsidR="00E9446C" w:rsidRPr="00204196" w:rsidRDefault="00E15D29" w:rsidP="002B2311">
      <w:pPr>
        <w:jc w:val="both"/>
        <w:rPr>
          <w:i/>
          <w:iCs/>
          <w:lang w:val="en-GB"/>
        </w:rPr>
      </w:pPr>
      <w:r w:rsidRPr="00204196">
        <w:rPr>
          <w:i/>
          <w:iCs/>
          <w:lang w:val="en-GB"/>
        </w:rPr>
        <w:t>The issue</w:t>
      </w:r>
    </w:p>
    <w:p w14:paraId="2E09333E" w14:textId="77777777" w:rsidR="00E9446C" w:rsidRPr="00E9446C" w:rsidRDefault="00E9446C" w:rsidP="002B2311">
      <w:pPr>
        <w:jc w:val="both"/>
        <w:rPr>
          <w:i/>
          <w:iCs/>
          <w:sz w:val="22"/>
          <w:szCs w:val="22"/>
          <w:lang w:val="en-GB"/>
        </w:rPr>
      </w:pPr>
    </w:p>
    <w:p w14:paraId="5A85BDF4" w14:textId="250A1B3E" w:rsidR="00063E85" w:rsidRPr="00C42D28" w:rsidRDefault="00C42D28" w:rsidP="00C42D28">
      <w:pPr>
        <w:autoSpaceDE w:val="0"/>
        <w:autoSpaceDN w:val="0"/>
        <w:adjustRightInd w:val="0"/>
        <w:jc w:val="both"/>
        <w:rPr>
          <w:lang w:val="en-GB"/>
        </w:rPr>
      </w:pPr>
      <w:r>
        <w:rPr>
          <w:lang w:val="en-GB"/>
        </w:rPr>
        <w:t>[5]</w:t>
      </w:r>
      <w:r>
        <w:rPr>
          <w:lang w:val="en-GB"/>
        </w:rPr>
        <w:tab/>
      </w:r>
      <w:r w:rsidR="00ED5F4C" w:rsidRPr="00C42D28">
        <w:rPr>
          <w:lang w:val="en-GB"/>
        </w:rPr>
        <w:t>Given that agreement, the only outstanding issue remains the question of costs</w:t>
      </w:r>
      <w:r w:rsidR="00AD3903" w:rsidRPr="00C42D28">
        <w:rPr>
          <w:lang w:val="en-GB"/>
        </w:rPr>
        <w:t xml:space="preserve">. </w:t>
      </w:r>
      <w:r w:rsidR="00AD3903" w:rsidRPr="00C42D28">
        <w:rPr>
          <w:i/>
          <w:iCs/>
          <w:lang w:val="en-GB"/>
        </w:rPr>
        <w:t>Mr Dwayi</w:t>
      </w:r>
      <w:r w:rsidR="00AD3903" w:rsidRPr="00C42D28">
        <w:rPr>
          <w:lang w:val="en-GB"/>
        </w:rPr>
        <w:t>, for the applicant, argued that</w:t>
      </w:r>
      <w:r w:rsidR="002B2311" w:rsidRPr="00C42D28">
        <w:rPr>
          <w:lang w:val="en-GB"/>
        </w:rPr>
        <w:t xml:space="preserve"> </w:t>
      </w:r>
      <w:r w:rsidR="009C5953" w:rsidRPr="00C42D28">
        <w:rPr>
          <w:lang w:val="en-GB"/>
        </w:rPr>
        <w:t>‘</w:t>
      </w:r>
      <w:r w:rsidR="002B2311" w:rsidRPr="00C42D28">
        <w:rPr>
          <w:lang w:val="en-GB"/>
        </w:rPr>
        <w:t>the</w:t>
      </w:r>
      <w:r w:rsidR="00AD3903" w:rsidRPr="00C42D28">
        <w:rPr>
          <w:lang w:val="en-GB"/>
        </w:rPr>
        <w:t xml:space="preserve"> </w:t>
      </w:r>
      <w:r w:rsidR="00AD3903" w:rsidRPr="00C42D28">
        <w:rPr>
          <w:i/>
          <w:iCs/>
          <w:lang w:val="en-GB"/>
        </w:rPr>
        <w:t xml:space="preserve">Biowatch </w:t>
      </w:r>
      <w:r w:rsidR="002B2311" w:rsidRPr="00C42D28">
        <w:rPr>
          <w:lang w:val="en-GB"/>
        </w:rPr>
        <w:t>rule</w:t>
      </w:r>
      <w:r w:rsidR="009C5953" w:rsidRPr="00C42D28">
        <w:rPr>
          <w:lang w:val="en-GB"/>
        </w:rPr>
        <w:t>’</w:t>
      </w:r>
      <w:r w:rsidR="002B2311" w:rsidRPr="00C42D28">
        <w:rPr>
          <w:lang w:val="en-GB"/>
        </w:rPr>
        <w:t xml:space="preserve"> </w:t>
      </w:r>
      <w:r w:rsidR="009C5953" w:rsidRPr="00C42D28">
        <w:rPr>
          <w:lang w:val="en-GB"/>
        </w:rPr>
        <w:t xml:space="preserve">(‘the rule’) </w:t>
      </w:r>
      <w:r w:rsidR="00AD3903" w:rsidRPr="00C42D28">
        <w:rPr>
          <w:lang w:val="en-GB"/>
        </w:rPr>
        <w:t>was applicable, so that each party should pay their own costs</w:t>
      </w:r>
      <w:r w:rsidR="00BC7859" w:rsidRPr="00C42D28">
        <w:rPr>
          <w:lang w:val="en-GB"/>
        </w:rPr>
        <w:t xml:space="preserve"> of the application (Part A and Part B).</w:t>
      </w:r>
      <w:r w:rsidR="00334C99">
        <w:rPr>
          <w:rStyle w:val="FootnoteReference"/>
          <w:lang w:val="en-GB"/>
        </w:rPr>
        <w:footnoteReference w:id="3"/>
      </w:r>
      <w:r w:rsidR="00BC7859" w:rsidRPr="00C42D28">
        <w:rPr>
          <w:lang w:val="en-GB"/>
        </w:rPr>
        <w:t xml:space="preserve"> </w:t>
      </w:r>
      <w:r w:rsidR="00063E85" w:rsidRPr="00C42D28">
        <w:rPr>
          <w:lang w:val="en-GB"/>
        </w:rPr>
        <w:t>The rule has, in the context of an attack on a statutory provision, been articulated as follows:</w:t>
      </w:r>
      <w:r w:rsidR="00063E85">
        <w:rPr>
          <w:rStyle w:val="FootnoteReference"/>
          <w:lang w:val="en-GB"/>
        </w:rPr>
        <w:footnoteReference w:id="4"/>
      </w:r>
    </w:p>
    <w:p w14:paraId="57D51F2B" w14:textId="77777777" w:rsidR="00063E85" w:rsidRDefault="00063E85" w:rsidP="00063E85">
      <w:pPr>
        <w:pStyle w:val="ListParagraph"/>
        <w:autoSpaceDE w:val="0"/>
        <w:autoSpaceDN w:val="0"/>
        <w:adjustRightInd w:val="0"/>
        <w:ind w:left="0"/>
        <w:jc w:val="both"/>
        <w:rPr>
          <w:lang w:val="en-GB"/>
        </w:rPr>
      </w:pPr>
    </w:p>
    <w:p w14:paraId="7A048159" w14:textId="3C486000" w:rsidR="00063E85" w:rsidRDefault="00063E85" w:rsidP="00063E85">
      <w:pPr>
        <w:autoSpaceDE w:val="0"/>
        <w:autoSpaceDN w:val="0"/>
        <w:adjustRightInd w:val="0"/>
        <w:jc w:val="both"/>
        <w:rPr>
          <w:sz w:val="22"/>
          <w:szCs w:val="22"/>
          <w:lang w:val="en-GB"/>
        </w:rPr>
      </w:pPr>
      <w:r w:rsidRPr="00157135">
        <w:rPr>
          <w:sz w:val="22"/>
          <w:szCs w:val="22"/>
          <w:lang w:val="en-GB"/>
        </w:rPr>
        <w:t>‘[O]ne should be cautious in awarding costs against litigants who seek to enforce their constitutional right against the State … lest such orders have an unduly inhibiting or “chilling” effect on other potential litigants in this category. This cautious approach cannot, however, be allowed to develop into an inflexible rule so that litigants are induced into believing that they are free to challenge the constitutionality of statutory provisions in this Court, no matter how spurious the grounds for doing so may be or how remote the possibility that this Court will grant them access. This can neither be in the interests of the administration of justice nor fair to those who are forced to oppose such attacks.’</w:t>
      </w:r>
    </w:p>
    <w:p w14:paraId="3F97AFE0" w14:textId="77777777" w:rsidR="00063E85" w:rsidRPr="00157135" w:rsidRDefault="00063E85" w:rsidP="00063E85">
      <w:pPr>
        <w:autoSpaceDE w:val="0"/>
        <w:autoSpaceDN w:val="0"/>
        <w:adjustRightInd w:val="0"/>
        <w:jc w:val="both"/>
        <w:rPr>
          <w:sz w:val="22"/>
          <w:szCs w:val="22"/>
          <w:lang w:val="en-GB"/>
        </w:rPr>
      </w:pPr>
    </w:p>
    <w:p w14:paraId="0DFE685D" w14:textId="2C685EBA" w:rsidR="007833BF" w:rsidRPr="00C42D28" w:rsidRDefault="00C42D28" w:rsidP="00C42D28">
      <w:pPr>
        <w:autoSpaceDE w:val="0"/>
        <w:autoSpaceDN w:val="0"/>
        <w:adjustRightInd w:val="0"/>
        <w:jc w:val="both"/>
        <w:rPr>
          <w:lang w:val="en-GB"/>
        </w:rPr>
      </w:pPr>
      <w:r w:rsidRPr="00063E85">
        <w:rPr>
          <w:lang w:val="en-GB"/>
        </w:rPr>
        <w:t>[6]</w:t>
      </w:r>
      <w:r w:rsidRPr="00063E85">
        <w:rPr>
          <w:lang w:val="en-GB"/>
        </w:rPr>
        <w:tab/>
      </w:r>
      <w:r w:rsidR="000A7940" w:rsidRPr="00C42D28">
        <w:rPr>
          <w:i/>
          <w:iCs/>
          <w:lang w:val="en-GB"/>
        </w:rPr>
        <w:t>Mr Ackermann</w:t>
      </w:r>
      <w:r w:rsidR="000A7940" w:rsidRPr="00C42D28">
        <w:rPr>
          <w:lang w:val="en-GB"/>
        </w:rPr>
        <w:t xml:space="preserve"> submitted that the matter did not raise a genuine constitutional issue, so that </w:t>
      </w:r>
      <w:r w:rsidR="009C5953" w:rsidRPr="00C42D28">
        <w:rPr>
          <w:lang w:val="en-GB"/>
        </w:rPr>
        <w:t>the rule</w:t>
      </w:r>
      <w:r w:rsidR="000A7940" w:rsidRPr="00C42D28">
        <w:rPr>
          <w:lang w:val="en-GB"/>
        </w:rPr>
        <w:t xml:space="preserve"> was inapplicable, alternatively that Mr Melane’s conduct warranted a costs order in favour of UFH.</w:t>
      </w:r>
      <w:r w:rsidR="00AE6A14" w:rsidRPr="00C42D28">
        <w:rPr>
          <w:lang w:val="en-GB"/>
        </w:rPr>
        <w:t xml:space="preserve"> The matter was argued on the basis that, despite the further settlement agreement, Mr Melane was unsuccessful in obtaining the primary relief he had sought, namely to review and set aside the decision </w:t>
      </w:r>
      <w:r w:rsidR="001E3AAD" w:rsidRPr="00C42D28">
        <w:rPr>
          <w:lang w:val="en-GB"/>
        </w:rPr>
        <w:t>of</w:t>
      </w:r>
      <w:r w:rsidR="00AE6A14" w:rsidRPr="00C42D28">
        <w:rPr>
          <w:lang w:val="en-GB"/>
        </w:rPr>
        <w:t xml:space="preserve"> the DAC.</w:t>
      </w:r>
    </w:p>
    <w:p w14:paraId="767AC0BE" w14:textId="5E41388D" w:rsidR="000A21EE" w:rsidRDefault="000A21EE" w:rsidP="002B2311">
      <w:pPr>
        <w:pStyle w:val="ListParagraph"/>
        <w:autoSpaceDE w:val="0"/>
        <w:autoSpaceDN w:val="0"/>
        <w:adjustRightInd w:val="0"/>
        <w:ind w:left="0"/>
        <w:jc w:val="both"/>
        <w:rPr>
          <w:lang w:val="en-GB"/>
        </w:rPr>
      </w:pPr>
    </w:p>
    <w:p w14:paraId="69FECF15" w14:textId="6CBB9887" w:rsidR="000A21EE" w:rsidRDefault="00324F35" w:rsidP="002B2311">
      <w:pPr>
        <w:pStyle w:val="ListParagraph"/>
        <w:autoSpaceDE w:val="0"/>
        <w:autoSpaceDN w:val="0"/>
        <w:adjustRightInd w:val="0"/>
        <w:ind w:left="0"/>
        <w:jc w:val="both"/>
        <w:rPr>
          <w:i/>
          <w:iCs/>
          <w:lang w:val="en-GB"/>
        </w:rPr>
      </w:pPr>
      <w:r>
        <w:rPr>
          <w:i/>
          <w:iCs/>
          <w:lang w:val="en-GB"/>
        </w:rPr>
        <w:t xml:space="preserve">A genuine constitutional </w:t>
      </w:r>
      <w:r w:rsidR="00412184">
        <w:rPr>
          <w:i/>
          <w:iCs/>
          <w:lang w:val="en-GB"/>
        </w:rPr>
        <w:t>issue</w:t>
      </w:r>
      <w:r w:rsidR="00751B42">
        <w:rPr>
          <w:i/>
          <w:iCs/>
          <w:lang w:val="en-GB"/>
        </w:rPr>
        <w:t>?</w:t>
      </w:r>
    </w:p>
    <w:p w14:paraId="1E44196F" w14:textId="77777777" w:rsidR="00C676C8" w:rsidRPr="000A21EE" w:rsidRDefault="00C676C8" w:rsidP="002B2311">
      <w:pPr>
        <w:pStyle w:val="ListParagraph"/>
        <w:autoSpaceDE w:val="0"/>
        <w:autoSpaceDN w:val="0"/>
        <w:adjustRightInd w:val="0"/>
        <w:ind w:left="0"/>
        <w:jc w:val="both"/>
        <w:rPr>
          <w:i/>
          <w:iCs/>
          <w:lang w:val="en-GB"/>
        </w:rPr>
      </w:pPr>
    </w:p>
    <w:p w14:paraId="09A1ED6F" w14:textId="09EFEF1D" w:rsidR="00063E85" w:rsidRPr="00C42D28" w:rsidRDefault="00C42D28" w:rsidP="00C42D28">
      <w:pPr>
        <w:autoSpaceDE w:val="0"/>
        <w:autoSpaceDN w:val="0"/>
        <w:adjustRightInd w:val="0"/>
        <w:jc w:val="both"/>
        <w:rPr>
          <w:lang w:val="en-GB"/>
        </w:rPr>
      </w:pPr>
      <w:r>
        <w:rPr>
          <w:lang w:val="en-GB"/>
        </w:rPr>
        <w:t>[7]</w:t>
      </w:r>
      <w:r>
        <w:rPr>
          <w:lang w:val="en-GB"/>
        </w:rPr>
        <w:tab/>
      </w:r>
      <w:r w:rsidR="00D2196F" w:rsidRPr="00C42D28">
        <w:rPr>
          <w:lang w:val="en-GB"/>
        </w:rPr>
        <w:t xml:space="preserve">The Constitutional Court has confirmed that an unsuccessful litigant engaged in constitutional litigation against the state ought not to be ordered to pay costs as a </w:t>
      </w:r>
      <w:r w:rsidR="00D2196F" w:rsidRPr="00C42D28">
        <w:rPr>
          <w:lang w:val="en-GB"/>
        </w:rPr>
        <w:lastRenderedPageBreak/>
        <w:t xml:space="preserve">general rule. </w:t>
      </w:r>
      <w:r w:rsidR="00555CC7" w:rsidRPr="00C42D28">
        <w:rPr>
          <w:lang w:val="en-GB"/>
        </w:rPr>
        <w:t xml:space="preserve">The principle clearly </w:t>
      </w:r>
      <w:r w:rsidR="00E52852" w:rsidRPr="00C42D28">
        <w:rPr>
          <w:lang w:val="en-GB"/>
        </w:rPr>
        <w:t>extends</w:t>
      </w:r>
      <w:r w:rsidR="00555CC7" w:rsidRPr="00C42D28">
        <w:rPr>
          <w:lang w:val="en-GB"/>
        </w:rPr>
        <w:t xml:space="preserve"> </w:t>
      </w:r>
      <w:r w:rsidR="00E52852" w:rsidRPr="00C42D28">
        <w:rPr>
          <w:lang w:val="en-GB"/>
        </w:rPr>
        <w:t>to</w:t>
      </w:r>
      <w:r w:rsidR="00555CC7" w:rsidRPr="00C42D28">
        <w:rPr>
          <w:lang w:val="en-GB"/>
        </w:rPr>
        <w:t xml:space="preserve"> disputes as to whether any conduct is inconsistent with the Constitution and, as a result, unlawful and invalid.</w:t>
      </w:r>
      <w:r w:rsidR="00555CC7">
        <w:rPr>
          <w:rStyle w:val="FootnoteReference"/>
          <w:lang w:val="en-GB"/>
        </w:rPr>
        <w:footnoteReference w:id="5"/>
      </w:r>
      <w:r w:rsidR="00555CC7" w:rsidRPr="00C42D28">
        <w:rPr>
          <w:lang w:val="en-GB"/>
        </w:rPr>
        <w:t xml:space="preserve"> </w:t>
      </w:r>
    </w:p>
    <w:p w14:paraId="6686C022" w14:textId="77777777" w:rsidR="00063E85" w:rsidRPr="00063E85" w:rsidRDefault="00063E85" w:rsidP="00063E85">
      <w:pPr>
        <w:pStyle w:val="ListParagraph"/>
        <w:autoSpaceDE w:val="0"/>
        <w:autoSpaceDN w:val="0"/>
        <w:adjustRightInd w:val="0"/>
        <w:ind w:left="0"/>
        <w:jc w:val="both"/>
        <w:rPr>
          <w:lang w:val="en-GB"/>
        </w:rPr>
      </w:pPr>
    </w:p>
    <w:p w14:paraId="75496C9C" w14:textId="2F31117A" w:rsidR="00D2196F" w:rsidRPr="00C42D28" w:rsidRDefault="00C42D28" w:rsidP="00C42D28">
      <w:pPr>
        <w:autoSpaceDE w:val="0"/>
        <w:autoSpaceDN w:val="0"/>
        <w:adjustRightInd w:val="0"/>
        <w:jc w:val="both"/>
        <w:rPr>
          <w:lang w:val="en-GB"/>
        </w:rPr>
      </w:pPr>
      <w:r>
        <w:rPr>
          <w:lang w:val="en-GB"/>
        </w:rPr>
        <w:t>[8]</w:t>
      </w:r>
      <w:r>
        <w:rPr>
          <w:lang w:val="en-GB"/>
        </w:rPr>
        <w:tab/>
      </w:r>
      <w:r w:rsidR="00D2196F" w:rsidRPr="00C42D28">
        <w:rPr>
          <w:lang w:val="en-GB"/>
        </w:rPr>
        <w:t>I</w:t>
      </w:r>
      <w:r w:rsidR="008D2D2F" w:rsidRPr="00C42D28">
        <w:rPr>
          <w:lang w:val="en-GB"/>
        </w:rPr>
        <w:t xml:space="preserve">n </w:t>
      </w:r>
      <w:r w:rsidR="00D2196F" w:rsidRPr="00C42D28">
        <w:rPr>
          <w:i/>
          <w:iCs/>
          <w:lang w:val="en-GB"/>
        </w:rPr>
        <w:t>Affordable Medicines Trust and Others v Minister of Health and Another</w:t>
      </w:r>
      <w:r w:rsidR="00C1605E" w:rsidRPr="00C42D28">
        <w:rPr>
          <w:lang w:val="en-GB"/>
        </w:rPr>
        <w:t xml:space="preserve"> (‘</w:t>
      </w:r>
      <w:r w:rsidR="00C1605E" w:rsidRPr="00C42D28">
        <w:rPr>
          <w:i/>
          <w:iCs/>
          <w:lang w:val="en-GB"/>
        </w:rPr>
        <w:t>Affordable Medicines</w:t>
      </w:r>
      <w:r w:rsidR="00C1605E" w:rsidRPr="00C42D28">
        <w:rPr>
          <w:lang w:val="en-GB"/>
        </w:rPr>
        <w:t>’)</w:t>
      </w:r>
      <w:r w:rsidR="00D2196F" w:rsidRPr="00C42D28">
        <w:rPr>
          <w:lang w:val="en-GB"/>
        </w:rPr>
        <w:t>,</w:t>
      </w:r>
      <w:r w:rsidR="00D2196F" w:rsidRPr="007315E3">
        <w:rPr>
          <w:rStyle w:val="FootnoteReference"/>
          <w:lang w:val="en-GB"/>
        </w:rPr>
        <w:footnoteReference w:id="6"/>
      </w:r>
      <w:r w:rsidR="00D2196F" w:rsidRPr="00C42D28">
        <w:rPr>
          <w:lang w:val="en-GB"/>
        </w:rPr>
        <w:t xml:space="preserve"> the Constitutional Court explained that costs should not be awarded against the applicants unless the litigation could be described as ‘frivolous’ or ‘vexatious’, or if conduct on the part of the unsuccessful litigant deserved censure in the form of a costs order.</w:t>
      </w:r>
      <w:r w:rsidR="00D2196F">
        <w:rPr>
          <w:rStyle w:val="FootnoteReference"/>
          <w:lang w:val="en-GB"/>
        </w:rPr>
        <w:footnoteReference w:id="7"/>
      </w:r>
      <w:r w:rsidR="00D2196F" w:rsidRPr="00C42D28">
        <w:rPr>
          <w:lang w:val="en-GB"/>
        </w:rPr>
        <w:t xml:space="preserve"> The ultimate goal is to do that which is just having regard to the facts and circumstances of the case.</w:t>
      </w:r>
      <w:r w:rsidR="00D2196F">
        <w:rPr>
          <w:rStyle w:val="FootnoteReference"/>
          <w:lang w:val="en-GB"/>
        </w:rPr>
        <w:footnoteReference w:id="8"/>
      </w:r>
      <w:r w:rsidR="00D2196F" w:rsidRPr="00C42D28">
        <w:rPr>
          <w:lang w:val="en-GB"/>
        </w:rPr>
        <w:t xml:space="preserve"> Further details as to the appropriate balance to be struck, and the basis for this, have been provided by the Constitutional Court in </w:t>
      </w:r>
      <w:r w:rsidR="00D2196F" w:rsidRPr="00C42D28">
        <w:rPr>
          <w:i/>
          <w:iCs/>
          <w:lang w:val="en-GB"/>
        </w:rPr>
        <w:t>Biowatch</w:t>
      </w:r>
      <w:r w:rsidR="00D2196F" w:rsidRPr="00C42D28">
        <w:rPr>
          <w:lang w:val="en-GB"/>
        </w:rPr>
        <w:t>:</w:t>
      </w:r>
      <w:r w:rsidR="00D2196F">
        <w:rPr>
          <w:rStyle w:val="FootnoteReference"/>
          <w:lang w:val="en-GB"/>
        </w:rPr>
        <w:footnoteReference w:id="9"/>
      </w:r>
    </w:p>
    <w:p w14:paraId="29F651CA" w14:textId="193178C7" w:rsidR="00795F04" w:rsidRDefault="00795F04" w:rsidP="002B2311">
      <w:pPr>
        <w:pStyle w:val="ListParagraph"/>
        <w:autoSpaceDE w:val="0"/>
        <w:autoSpaceDN w:val="0"/>
        <w:adjustRightInd w:val="0"/>
        <w:ind w:left="0"/>
        <w:jc w:val="both"/>
        <w:rPr>
          <w:lang w:val="en-GB"/>
        </w:rPr>
      </w:pPr>
    </w:p>
    <w:p w14:paraId="21C0BE19" w14:textId="77777777" w:rsidR="00795F04" w:rsidRPr="006812E6" w:rsidRDefault="00795F04" w:rsidP="002B2311">
      <w:pPr>
        <w:autoSpaceDE w:val="0"/>
        <w:autoSpaceDN w:val="0"/>
        <w:adjustRightInd w:val="0"/>
        <w:jc w:val="both"/>
        <w:rPr>
          <w:sz w:val="22"/>
          <w:szCs w:val="22"/>
          <w:lang w:val="en-GB"/>
        </w:rPr>
      </w:pPr>
      <w:r w:rsidRPr="006812E6">
        <w:rPr>
          <w:sz w:val="22"/>
          <w:szCs w:val="22"/>
          <w:lang w:val="en-GB"/>
        </w:rPr>
        <w:t xml:space="preserve">‘The rational for this general rule [that if the government wins, each party should bear its own costs] is three-fold. In the first place it diminishes the chilling effect that adverse costs orders would have on parties seeking to assert constitutional rights. Constitutional litigation frequently goes through many courts and the costs involved can be high. Meritorious claims might not be proceeded with because of a fear that failure could lead to financially ruinous consequences. Similarly, people might be deterred from pursuing constitutional claims because of a concern that even if they succeed they will be deprived of their costs because of some inadvertent procedural or technical lapse. Secondly, constitutional litigation, whatever the outcome, might ordinarily bear not only on the interests of the particular litigants involved, but on the rights of all those in similar situations. Indeed, each constitutional case that is heard enriches the general body of constitutional jurisprudence and adds texture to what it means to be living in a constitutional democracy. Thirdly, it is the state that bears primary responsibility for ensuring that both the law and state conduct are consistent with the Constitution. If there should be a genuine, non-frivolous challenge to the constitutionality of a law or of state conduct, it is appropriate that the state should bear the costs if the challenge is </w:t>
      </w:r>
      <w:r w:rsidRPr="006812E6">
        <w:rPr>
          <w:sz w:val="22"/>
          <w:szCs w:val="22"/>
          <w:lang w:val="en-GB"/>
        </w:rPr>
        <w:lastRenderedPageBreak/>
        <w:t xml:space="preserve">good, but if it is not, then the losing non-state litigant should be shielded from the costs consequences of failure.’ </w:t>
      </w:r>
    </w:p>
    <w:p w14:paraId="19F3318D" w14:textId="77777777" w:rsidR="00795F04" w:rsidRDefault="00795F04" w:rsidP="002B2311">
      <w:pPr>
        <w:pStyle w:val="ListParagraph"/>
        <w:autoSpaceDE w:val="0"/>
        <w:autoSpaceDN w:val="0"/>
        <w:adjustRightInd w:val="0"/>
        <w:ind w:left="0"/>
        <w:jc w:val="both"/>
        <w:rPr>
          <w:lang w:val="en-GB"/>
        </w:rPr>
      </w:pPr>
    </w:p>
    <w:p w14:paraId="216E57D2" w14:textId="520E40FA" w:rsidR="001F7AF6" w:rsidRPr="00C42D28" w:rsidRDefault="00C42D28" w:rsidP="00C42D28">
      <w:pPr>
        <w:autoSpaceDE w:val="0"/>
        <w:autoSpaceDN w:val="0"/>
        <w:adjustRightInd w:val="0"/>
        <w:jc w:val="both"/>
        <w:rPr>
          <w:lang w:val="en-GB"/>
        </w:rPr>
      </w:pPr>
      <w:r>
        <w:rPr>
          <w:lang w:val="en-GB"/>
        </w:rPr>
        <w:t>[9]</w:t>
      </w:r>
      <w:r>
        <w:rPr>
          <w:lang w:val="en-GB"/>
        </w:rPr>
        <w:tab/>
      </w:r>
      <w:r w:rsidR="00D2196F" w:rsidRPr="00C42D28">
        <w:rPr>
          <w:lang w:val="en-GB"/>
        </w:rPr>
        <w:t xml:space="preserve">Importantly, </w:t>
      </w:r>
      <w:r w:rsidR="00D2196F" w:rsidRPr="00C42D28">
        <w:rPr>
          <w:i/>
          <w:iCs/>
          <w:lang w:val="en-GB"/>
        </w:rPr>
        <w:t xml:space="preserve">Biowatch </w:t>
      </w:r>
      <w:r w:rsidR="00D2196F" w:rsidRPr="00C42D28">
        <w:rPr>
          <w:lang w:val="en-GB"/>
        </w:rPr>
        <w:t xml:space="preserve">confirms that courts should not easily find reasons for deviating from the general approach of not awarding costs against an unsuccessful litigant in proceedings against the state, where matters </w:t>
      </w:r>
      <w:r w:rsidR="00AA3A8F" w:rsidRPr="00C42D28">
        <w:rPr>
          <w:lang w:val="en-GB"/>
        </w:rPr>
        <w:t>‘</w:t>
      </w:r>
      <w:r w:rsidR="00D2196F" w:rsidRPr="00C42D28">
        <w:rPr>
          <w:lang w:val="en-GB"/>
        </w:rPr>
        <w:t>of genuine constitutional import’ arise.</w:t>
      </w:r>
      <w:r w:rsidR="00D2196F">
        <w:rPr>
          <w:rStyle w:val="FootnoteReference"/>
          <w:lang w:val="en-GB"/>
        </w:rPr>
        <w:footnoteReference w:id="10"/>
      </w:r>
      <w:r w:rsidR="00D2196F" w:rsidRPr="00C42D28">
        <w:rPr>
          <w:lang w:val="en-GB"/>
        </w:rPr>
        <w:t xml:space="preserve"> </w:t>
      </w:r>
      <w:r w:rsidR="000E10C5" w:rsidRPr="00C42D28">
        <w:rPr>
          <w:lang w:val="en-GB"/>
        </w:rPr>
        <w:t>Different opinions have emerged</w:t>
      </w:r>
      <w:r w:rsidR="009772BC" w:rsidRPr="00C42D28">
        <w:rPr>
          <w:lang w:val="en-GB"/>
        </w:rPr>
        <w:t xml:space="preserve"> as to the meaning of </w:t>
      </w:r>
      <w:r w:rsidR="00AA3A8F" w:rsidRPr="00C42D28">
        <w:rPr>
          <w:lang w:val="en-GB"/>
        </w:rPr>
        <w:t>this notion</w:t>
      </w:r>
      <w:r w:rsidR="000E10C5" w:rsidRPr="00C42D28">
        <w:rPr>
          <w:lang w:val="en-GB"/>
        </w:rPr>
        <w:t xml:space="preserve"> in the context of costs</w:t>
      </w:r>
      <w:r w:rsidR="00EA6E36" w:rsidRPr="00C42D28">
        <w:rPr>
          <w:lang w:val="en-GB"/>
        </w:rPr>
        <w:t xml:space="preserve"> orders against unsuccessful parties litigating against the State</w:t>
      </w:r>
      <w:r w:rsidR="009772BC" w:rsidRPr="00C42D28">
        <w:rPr>
          <w:lang w:val="en-GB"/>
        </w:rPr>
        <w:t xml:space="preserve">. </w:t>
      </w:r>
      <w:r w:rsidR="00D2196F" w:rsidRPr="00C42D28">
        <w:rPr>
          <w:lang w:val="en-GB"/>
        </w:rPr>
        <w:t xml:space="preserve">It is </w:t>
      </w:r>
      <w:r w:rsidR="00FD3923" w:rsidRPr="00C42D28">
        <w:rPr>
          <w:lang w:val="en-GB"/>
        </w:rPr>
        <w:t xml:space="preserve">clearly </w:t>
      </w:r>
      <w:r w:rsidR="00D2196F" w:rsidRPr="00C42D28">
        <w:rPr>
          <w:lang w:val="en-GB"/>
        </w:rPr>
        <w:t>not enough to merely allude to sections of the Constitution</w:t>
      </w:r>
      <w:r w:rsidR="00666E38" w:rsidRPr="00C42D28">
        <w:rPr>
          <w:lang w:val="en-GB"/>
        </w:rPr>
        <w:t xml:space="preserve"> of the Republic of South Africa, 1996 (‘the Constitution’)</w:t>
      </w:r>
      <w:r w:rsidR="00D2196F" w:rsidRPr="00C42D28">
        <w:rPr>
          <w:lang w:val="en-GB"/>
        </w:rPr>
        <w:t xml:space="preserve"> or to simply allege that the litigation is constitutional in nature. The issues must be ‘genuine and substantive’ and ‘truly raise constitutional considerations relevant to the adjudication’.</w:t>
      </w:r>
      <w:r w:rsidR="00D2196F">
        <w:rPr>
          <w:rStyle w:val="FootnoteReference"/>
          <w:lang w:val="en-GB"/>
        </w:rPr>
        <w:footnoteReference w:id="11"/>
      </w:r>
      <w:r w:rsidR="00112D55" w:rsidRPr="00C42D28">
        <w:rPr>
          <w:lang w:val="en-GB"/>
        </w:rPr>
        <w:t xml:space="preserve"> </w:t>
      </w:r>
    </w:p>
    <w:p w14:paraId="2C8B444B" w14:textId="77777777" w:rsidR="001F7AF6" w:rsidRDefault="001F7AF6" w:rsidP="002B2311">
      <w:pPr>
        <w:pStyle w:val="ListParagraph"/>
        <w:autoSpaceDE w:val="0"/>
        <w:autoSpaceDN w:val="0"/>
        <w:adjustRightInd w:val="0"/>
        <w:ind w:left="0"/>
        <w:jc w:val="both"/>
        <w:rPr>
          <w:lang w:val="en-GB"/>
        </w:rPr>
      </w:pPr>
    </w:p>
    <w:p w14:paraId="41E7C182" w14:textId="34022513" w:rsidR="009C33C1" w:rsidRPr="00C42D28" w:rsidRDefault="00C42D28" w:rsidP="00C42D28">
      <w:pPr>
        <w:autoSpaceDE w:val="0"/>
        <w:autoSpaceDN w:val="0"/>
        <w:adjustRightInd w:val="0"/>
        <w:jc w:val="both"/>
        <w:rPr>
          <w:lang w:val="en-GB"/>
        </w:rPr>
      </w:pPr>
      <w:r>
        <w:rPr>
          <w:lang w:val="en-GB"/>
        </w:rPr>
        <w:t>[10]</w:t>
      </w:r>
      <w:r>
        <w:rPr>
          <w:lang w:val="en-GB"/>
        </w:rPr>
        <w:tab/>
      </w:r>
      <w:r w:rsidR="009C33C1" w:rsidRPr="00C42D28">
        <w:rPr>
          <w:lang w:val="en-GB"/>
        </w:rPr>
        <w:t xml:space="preserve">There is Constitutional Court authority, albeit in a minority judgment, for the view that matters that turn only on the facts in the application of established legal principles should </w:t>
      </w:r>
      <w:r w:rsidR="00F65287" w:rsidRPr="00C42D28">
        <w:rPr>
          <w:lang w:val="en-GB"/>
        </w:rPr>
        <w:t xml:space="preserve">also </w:t>
      </w:r>
      <w:r w:rsidR="009C33C1" w:rsidRPr="00C42D28">
        <w:rPr>
          <w:lang w:val="en-GB"/>
        </w:rPr>
        <w:t xml:space="preserve">not be favoured with this label. As Madlanga J put it in </w:t>
      </w:r>
      <w:r w:rsidR="009C33C1" w:rsidRPr="00C42D28">
        <w:rPr>
          <w:i/>
          <w:iCs/>
          <w:lang w:val="en-GB"/>
        </w:rPr>
        <w:t>Mbatha v University of Zululand</w:t>
      </w:r>
      <w:r w:rsidR="009C33C1" w:rsidRPr="00C42D28">
        <w:rPr>
          <w:lang w:val="en-GB"/>
        </w:rPr>
        <w:t>:</w:t>
      </w:r>
      <w:r w:rsidR="009C33C1" w:rsidRPr="00D73265">
        <w:rPr>
          <w:rStyle w:val="FootnoteReference"/>
          <w:lang w:val="en-GB"/>
        </w:rPr>
        <w:footnoteReference w:id="12"/>
      </w:r>
    </w:p>
    <w:p w14:paraId="72F77E47" w14:textId="77777777" w:rsidR="009C33C1" w:rsidRDefault="009C33C1" w:rsidP="009C33C1">
      <w:pPr>
        <w:rPr>
          <w:lang w:val="en-GB"/>
        </w:rPr>
      </w:pPr>
    </w:p>
    <w:p w14:paraId="1BB452C5" w14:textId="77777777" w:rsidR="009C33C1" w:rsidRDefault="009C33C1" w:rsidP="009C33C1">
      <w:pPr>
        <w:jc w:val="both"/>
        <w:rPr>
          <w:sz w:val="22"/>
          <w:szCs w:val="22"/>
          <w:lang w:val="en-GB"/>
        </w:rPr>
      </w:pPr>
      <w:r>
        <w:rPr>
          <w:sz w:val="22"/>
          <w:szCs w:val="22"/>
          <w:lang w:val="en-GB"/>
        </w:rPr>
        <w:t xml:space="preserve">‘… in a scenario where it is clear that the substance of the contest between the parties is purely factual, it cannot be said to raise a constitutional issue purely because an applicant says it does … a constitutional issue remains one even if it may turn out to be unmeritorious. That is not the same as saying that what in essence is a factual issue may somehow morph into a constitutional issue through the simple facility of clothing it in constitutional garb.’ </w:t>
      </w:r>
    </w:p>
    <w:p w14:paraId="6FD81579" w14:textId="77777777" w:rsidR="009C33C1" w:rsidRPr="00D376AB" w:rsidRDefault="009C33C1" w:rsidP="009C33C1">
      <w:pPr>
        <w:rPr>
          <w:lang w:val="en-GB"/>
        </w:rPr>
      </w:pPr>
    </w:p>
    <w:p w14:paraId="4FBCAEDA" w14:textId="263F6658" w:rsidR="009C33C1" w:rsidRPr="00C42D28" w:rsidRDefault="00C42D28" w:rsidP="00C42D28">
      <w:pPr>
        <w:autoSpaceDE w:val="0"/>
        <w:autoSpaceDN w:val="0"/>
        <w:adjustRightInd w:val="0"/>
        <w:jc w:val="both"/>
        <w:rPr>
          <w:lang w:val="en-GB"/>
        </w:rPr>
      </w:pPr>
      <w:r>
        <w:rPr>
          <w:lang w:val="en-GB"/>
        </w:rPr>
        <w:t>[11]</w:t>
      </w:r>
      <w:r>
        <w:rPr>
          <w:lang w:val="en-GB"/>
        </w:rPr>
        <w:tab/>
      </w:r>
      <w:r w:rsidR="009C33C1" w:rsidRPr="00C42D28">
        <w:rPr>
          <w:lang w:val="en-GB"/>
        </w:rPr>
        <w:t xml:space="preserve">In </w:t>
      </w:r>
      <w:r w:rsidR="009C33C1" w:rsidRPr="00C42D28">
        <w:rPr>
          <w:i/>
          <w:iCs/>
          <w:lang w:val="en-GB"/>
        </w:rPr>
        <w:t>Minister of Safety and Security and Another v Schuster</w:t>
      </w:r>
      <w:r w:rsidR="009C33C1" w:rsidRPr="00C42D28">
        <w:rPr>
          <w:lang w:val="en-GB"/>
        </w:rPr>
        <w:t>,</w:t>
      </w:r>
      <w:r w:rsidR="009C33C1" w:rsidRPr="00256826">
        <w:rPr>
          <w:rStyle w:val="FootnoteReference"/>
          <w:lang w:val="en-GB"/>
        </w:rPr>
        <w:footnoteReference w:id="13"/>
      </w:r>
      <w:r w:rsidR="009C33C1" w:rsidRPr="00C42D28">
        <w:rPr>
          <w:lang w:val="en-GB"/>
        </w:rPr>
        <w:t xml:space="preserve"> the SCA came to the conclusion that suing the police for damages for wrongful arrest and detention is not the same as testing one’s constitutional rights, concluding as follows:</w:t>
      </w:r>
    </w:p>
    <w:p w14:paraId="148CD09E" w14:textId="77777777" w:rsidR="009C33C1" w:rsidRDefault="009C33C1" w:rsidP="009C33C1">
      <w:pPr>
        <w:pStyle w:val="ListParagraph"/>
        <w:autoSpaceDE w:val="0"/>
        <w:autoSpaceDN w:val="0"/>
        <w:adjustRightInd w:val="0"/>
        <w:ind w:left="0"/>
        <w:jc w:val="both"/>
        <w:rPr>
          <w:lang w:val="en-GB"/>
        </w:rPr>
      </w:pPr>
    </w:p>
    <w:p w14:paraId="792BF4B1" w14:textId="77777777" w:rsidR="009C33C1" w:rsidRPr="00293188" w:rsidRDefault="009C33C1" w:rsidP="009C33C1">
      <w:pPr>
        <w:autoSpaceDE w:val="0"/>
        <w:autoSpaceDN w:val="0"/>
        <w:adjustRightInd w:val="0"/>
        <w:jc w:val="both"/>
        <w:rPr>
          <w:sz w:val="22"/>
          <w:szCs w:val="22"/>
          <w:lang w:val="en-GB"/>
        </w:rPr>
      </w:pPr>
      <w:r w:rsidRPr="00293188">
        <w:rPr>
          <w:sz w:val="22"/>
          <w:szCs w:val="22"/>
          <w:lang w:val="en-GB"/>
        </w:rPr>
        <w:t>‘This case turned solely on the facts … To apply the “</w:t>
      </w:r>
      <w:r w:rsidRPr="00293188">
        <w:rPr>
          <w:i/>
          <w:iCs/>
          <w:sz w:val="22"/>
          <w:szCs w:val="22"/>
          <w:lang w:val="en-GB"/>
        </w:rPr>
        <w:t>Biowatch”</w:t>
      </w:r>
      <w:r w:rsidRPr="00293188">
        <w:rPr>
          <w:sz w:val="22"/>
          <w:szCs w:val="22"/>
          <w:lang w:val="en-GB"/>
        </w:rPr>
        <w:t xml:space="preserve"> principle in such cases would open the floodgates for opportunistic claims which may nevertheless fall short of being </w:t>
      </w:r>
      <w:r w:rsidRPr="00293188">
        <w:rPr>
          <w:sz w:val="22"/>
          <w:szCs w:val="22"/>
          <w:lang w:val="en-GB"/>
        </w:rPr>
        <w:lastRenderedPageBreak/>
        <w:t>categorised as “frivolous” or “vexatious”. It would promote risk-free litigation. The potential consequences are deeply disturbing. To deprive the successful appellants, the Minister and the NDPP, and, by extension, the fiscus itself, of costs in the present matter would be unjust and inequitable. It would also lack a rational foundation.’</w:t>
      </w:r>
    </w:p>
    <w:p w14:paraId="26572C74" w14:textId="77777777" w:rsidR="009C33C1" w:rsidRPr="00461B7A" w:rsidRDefault="009C33C1" w:rsidP="009C33C1">
      <w:pPr>
        <w:rPr>
          <w:lang w:val="en-GB"/>
        </w:rPr>
      </w:pPr>
    </w:p>
    <w:p w14:paraId="22080C24" w14:textId="4F070491" w:rsidR="00CC5966" w:rsidRPr="00C42D28" w:rsidRDefault="00C42D28" w:rsidP="00C42D28">
      <w:pPr>
        <w:autoSpaceDE w:val="0"/>
        <w:autoSpaceDN w:val="0"/>
        <w:adjustRightInd w:val="0"/>
        <w:jc w:val="both"/>
        <w:rPr>
          <w:lang w:val="en-GB"/>
        </w:rPr>
      </w:pPr>
      <w:r>
        <w:rPr>
          <w:lang w:val="en-GB"/>
        </w:rPr>
        <w:t>[12]</w:t>
      </w:r>
      <w:r>
        <w:rPr>
          <w:lang w:val="en-GB"/>
        </w:rPr>
        <w:tab/>
      </w:r>
      <w:r w:rsidR="00446CBA" w:rsidRPr="00C42D28">
        <w:rPr>
          <w:lang w:val="en-GB"/>
        </w:rPr>
        <w:t>By contrast, i</w:t>
      </w:r>
      <w:r w:rsidR="00E56A2F" w:rsidRPr="00C42D28">
        <w:rPr>
          <w:lang w:val="en-GB"/>
        </w:rPr>
        <w:t xml:space="preserve">n </w:t>
      </w:r>
      <w:r w:rsidR="00E56A2F" w:rsidRPr="00C42D28">
        <w:rPr>
          <w:i/>
          <w:iCs/>
          <w:lang w:val="en-GB"/>
        </w:rPr>
        <w:t>Harrielall v University of KwaZulu-Natal</w:t>
      </w:r>
      <w:r w:rsidR="001F7AF6" w:rsidRPr="00C42D28">
        <w:rPr>
          <w:lang w:val="en-GB"/>
        </w:rPr>
        <w:t>,</w:t>
      </w:r>
      <w:r w:rsidR="00E56A2F" w:rsidRPr="001F7AF6">
        <w:rPr>
          <w:rStyle w:val="FootnoteReference"/>
          <w:lang w:val="en-GB"/>
        </w:rPr>
        <w:footnoteReference w:id="14"/>
      </w:r>
      <w:r w:rsidR="001F7AF6" w:rsidRPr="00C42D28">
        <w:rPr>
          <w:lang w:val="en-GB"/>
        </w:rPr>
        <w:t xml:space="preserve"> the Constitutional </w:t>
      </w:r>
      <w:r w:rsidR="00C51AA1" w:rsidRPr="00C42D28">
        <w:rPr>
          <w:lang w:val="en-GB"/>
        </w:rPr>
        <w:t>Court</w:t>
      </w:r>
      <w:r w:rsidR="001F7AF6" w:rsidRPr="00C42D28">
        <w:rPr>
          <w:lang w:val="en-GB"/>
        </w:rPr>
        <w:t xml:space="preserve"> bemoaned the failure on the part of courts to embrace the </w:t>
      </w:r>
      <w:r w:rsidR="00371F86" w:rsidRPr="00C42D28">
        <w:rPr>
          <w:lang w:val="en-GB"/>
        </w:rPr>
        <w:t>rule</w:t>
      </w:r>
      <w:r w:rsidR="0030624B" w:rsidRPr="00C42D28">
        <w:rPr>
          <w:lang w:val="en-GB"/>
        </w:rPr>
        <w:t>, highlighting that the general rule relating to costs in constitutional matters applied in every constitutional matter involving organs of State.</w:t>
      </w:r>
      <w:r w:rsidR="00D7472B">
        <w:rPr>
          <w:rStyle w:val="FootnoteReference"/>
          <w:lang w:val="en-GB"/>
        </w:rPr>
        <w:footnoteReference w:id="15"/>
      </w:r>
      <w:r w:rsidR="00C51AA1" w:rsidRPr="00C42D28">
        <w:rPr>
          <w:lang w:val="en-GB"/>
        </w:rPr>
        <w:t xml:space="preserve"> The Constitutional Court added the reminder that the </w:t>
      </w:r>
      <w:r w:rsidR="00B553FB" w:rsidRPr="00C42D28">
        <w:rPr>
          <w:lang w:val="en-GB"/>
        </w:rPr>
        <w:t>rule</w:t>
      </w:r>
      <w:r w:rsidR="00C51AA1" w:rsidRPr="00C42D28">
        <w:rPr>
          <w:lang w:val="en-GB"/>
        </w:rPr>
        <w:t xml:space="preserve"> was restricted to ‘genuine constitutional matters’</w:t>
      </w:r>
      <w:r w:rsidR="005B4DE6" w:rsidRPr="00C42D28">
        <w:rPr>
          <w:lang w:val="en-GB"/>
        </w:rPr>
        <w:t xml:space="preserve"> and, with reference to </w:t>
      </w:r>
      <w:r w:rsidR="005B4DE6" w:rsidRPr="00C42D28">
        <w:rPr>
          <w:i/>
          <w:iCs/>
          <w:lang w:val="en-GB"/>
        </w:rPr>
        <w:t>Affordable Medicines</w:t>
      </w:r>
      <w:r w:rsidR="005B4DE6" w:rsidRPr="00C42D28">
        <w:rPr>
          <w:lang w:val="en-GB"/>
        </w:rPr>
        <w:t>, subject to limited exceptions</w:t>
      </w:r>
      <w:r w:rsidR="00C51AA1" w:rsidRPr="00C42D28">
        <w:rPr>
          <w:lang w:val="en-GB"/>
        </w:rPr>
        <w:t>.</w:t>
      </w:r>
      <w:r w:rsidR="00302210">
        <w:rPr>
          <w:rStyle w:val="FootnoteReference"/>
          <w:lang w:val="en-GB"/>
        </w:rPr>
        <w:footnoteReference w:id="16"/>
      </w:r>
      <w:r w:rsidR="00AD1F70" w:rsidRPr="00C42D28">
        <w:rPr>
          <w:lang w:val="en-GB"/>
        </w:rPr>
        <w:t xml:space="preserve"> </w:t>
      </w:r>
    </w:p>
    <w:p w14:paraId="29C6947A" w14:textId="77777777" w:rsidR="00CC5966" w:rsidRPr="00CC5966" w:rsidRDefault="00CC5966" w:rsidP="00CC5966">
      <w:pPr>
        <w:pStyle w:val="ListParagraph"/>
        <w:rPr>
          <w:i/>
          <w:iCs/>
          <w:lang w:val="en-GB"/>
        </w:rPr>
      </w:pPr>
    </w:p>
    <w:p w14:paraId="6FE11DA6" w14:textId="45B1234D" w:rsidR="008D3E56" w:rsidRPr="00C42D28" w:rsidRDefault="00C42D28" w:rsidP="00C42D28">
      <w:pPr>
        <w:autoSpaceDE w:val="0"/>
        <w:autoSpaceDN w:val="0"/>
        <w:adjustRightInd w:val="0"/>
        <w:jc w:val="both"/>
        <w:rPr>
          <w:lang w:val="en-GB"/>
        </w:rPr>
      </w:pPr>
      <w:r w:rsidRPr="00CC5966">
        <w:rPr>
          <w:lang w:val="en-GB"/>
        </w:rPr>
        <w:t>[13]</w:t>
      </w:r>
      <w:r w:rsidRPr="00CC5966">
        <w:rPr>
          <w:lang w:val="en-GB"/>
        </w:rPr>
        <w:tab/>
      </w:r>
      <w:r w:rsidR="00AD1F70" w:rsidRPr="00C42D28">
        <w:rPr>
          <w:i/>
          <w:iCs/>
          <w:lang w:val="en-GB"/>
        </w:rPr>
        <w:t xml:space="preserve">Harrielall </w:t>
      </w:r>
      <w:r w:rsidR="00AD1F70" w:rsidRPr="00C42D28">
        <w:rPr>
          <w:lang w:val="en-GB"/>
        </w:rPr>
        <w:t>confirms that the rule must be followed, absent these exceptions.</w:t>
      </w:r>
      <w:r w:rsidR="002366E5">
        <w:rPr>
          <w:rStyle w:val="FootnoteReference"/>
          <w:lang w:val="en-GB"/>
        </w:rPr>
        <w:footnoteReference w:id="17"/>
      </w:r>
      <w:r w:rsidR="00CC5966" w:rsidRPr="00C42D28">
        <w:rPr>
          <w:lang w:val="en-GB"/>
        </w:rPr>
        <w:t xml:space="preserve"> </w:t>
      </w:r>
      <w:r w:rsidR="00F676B5" w:rsidRPr="00C42D28">
        <w:rPr>
          <w:lang w:val="en-GB"/>
        </w:rPr>
        <w:t>On the facts i</w:t>
      </w:r>
      <w:r w:rsidR="00967344" w:rsidRPr="00C42D28">
        <w:rPr>
          <w:lang w:val="en-GB"/>
        </w:rPr>
        <w:t xml:space="preserve">n </w:t>
      </w:r>
      <w:r w:rsidR="00CC5966" w:rsidRPr="00C42D28">
        <w:rPr>
          <w:lang w:val="en-GB"/>
        </w:rPr>
        <w:t>that matter</w:t>
      </w:r>
      <w:r w:rsidR="00967344" w:rsidRPr="00C42D28">
        <w:rPr>
          <w:lang w:val="en-GB"/>
        </w:rPr>
        <w:t>, the SCA had decided not to follow the rule on the basis that ‘no constitutional issues were implicated</w:t>
      </w:r>
      <w:r w:rsidR="001451A4" w:rsidRPr="00C42D28">
        <w:rPr>
          <w:lang w:val="en-GB"/>
        </w:rPr>
        <w:t>’, and because the case was simply a review under the Promotion of Administrative Justice Act</w:t>
      </w:r>
      <w:r w:rsidR="001451A4">
        <w:rPr>
          <w:rStyle w:val="FootnoteReference"/>
          <w:lang w:val="en-GB"/>
        </w:rPr>
        <w:footnoteReference w:id="18"/>
      </w:r>
      <w:r w:rsidR="001451A4" w:rsidRPr="00C42D28">
        <w:rPr>
          <w:lang w:val="en-GB"/>
        </w:rPr>
        <w:t xml:space="preserve"> (‘PAJA’)</w:t>
      </w:r>
      <w:r w:rsidR="000717C6" w:rsidRPr="00C42D28">
        <w:rPr>
          <w:lang w:val="en-GB"/>
        </w:rPr>
        <w:t xml:space="preserve"> of an administrative decision of the university. The Constitutional Court considered that approach to be incorrect:</w:t>
      </w:r>
      <w:r w:rsidR="00766DC3">
        <w:rPr>
          <w:rStyle w:val="FootnoteReference"/>
          <w:lang w:val="en-GB"/>
        </w:rPr>
        <w:footnoteReference w:id="19"/>
      </w:r>
    </w:p>
    <w:p w14:paraId="0973EF9E" w14:textId="303644BA" w:rsidR="000717C6" w:rsidRDefault="000717C6" w:rsidP="002B2311">
      <w:pPr>
        <w:pStyle w:val="ListParagraph"/>
        <w:autoSpaceDE w:val="0"/>
        <w:autoSpaceDN w:val="0"/>
        <w:adjustRightInd w:val="0"/>
        <w:ind w:left="0"/>
        <w:jc w:val="both"/>
        <w:rPr>
          <w:lang w:val="en-GB"/>
        </w:rPr>
      </w:pPr>
    </w:p>
    <w:p w14:paraId="2CF75309" w14:textId="7CAB1E47" w:rsidR="000717C6" w:rsidRPr="001E179D" w:rsidRDefault="001E179D" w:rsidP="002B2311">
      <w:pPr>
        <w:pStyle w:val="ListParagraph"/>
        <w:autoSpaceDE w:val="0"/>
        <w:autoSpaceDN w:val="0"/>
        <w:adjustRightInd w:val="0"/>
        <w:ind w:left="0"/>
        <w:jc w:val="both"/>
        <w:rPr>
          <w:sz w:val="22"/>
          <w:szCs w:val="22"/>
          <w:lang w:val="en-GB"/>
        </w:rPr>
      </w:pPr>
      <w:r>
        <w:rPr>
          <w:sz w:val="22"/>
          <w:szCs w:val="22"/>
          <w:lang w:val="en-GB"/>
        </w:rPr>
        <w:t>‘The constitutional issues raised by the case are two-fold. First, a review of administrative action under PAJA constitutes a constitutional issue. This is so because PAJA was passed specifically to give effect to administrative justice rights guaranteed by section 33 of the Constitution. Moreover when the University determined the application for admission, it exercised a public power</w:t>
      </w:r>
      <w:r w:rsidR="00F40787">
        <w:rPr>
          <w:sz w:val="22"/>
          <w:szCs w:val="22"/>
          <w:lang w:val="en-GB"/>
        </w:rPr>
        <w:t xml:space="preserve"> … According to jurisprudence of this Court, the review of the exercise of public power is now controlled by the Constitution and legislation enacted to give effect to it. It is not controversial that a review of administrative action amounts to a constitutional issue</w:t>
      </w:r>
      <w:r w:rsidR="0083294E">
        <w:rPr>
          <w:sz w:val="22"/>
          <w:szCs w:val="22"/>
          <w:lang w:val="en-GB"/>
        </w:rPr>
        <w:t>…’</w:t>
      </w:r>
    </w:p>
    <w:p w14:paraId="2A3B5D12" w14:textId="77777777" w:rsidR="008D3E56" w:rsidRPr="008D3E56" w:rsidRDefault="008D3E56" w:rsidP="002B2311">
      <w:pPr>
        <w:pStyle w:val="ListParagraph"/>
        <w:rPr>
          <w:lang w:val="en-GB"/>
        </w:rPr>
      </w:pPr>
    </w:p>
    <w:p w14:paraId="43103C59" w14:textId="2277CDBB" w:rsidR="002F656C" w:rsidRPr="00C42D28" w:rsidRDefault="00C42D28" w:rsidP="00C42D28">
      <w:pPr>
        <w:autoSpaceDE w:val="0"/>
        <w:autoSpaceDN w:val="0"/>
        <w:adjustRightInd w:val="0"/>
        <w:jc w:val="both"/>
        <w:rPr>
          <w:lang w:val="en-GB"/>
        </w:rPr>
      </w:pPr>
      <w:r w:rsidRPr="004555EA">
        <w:rPr>
          <w:lang w:val="en-GB"/>
        </w:rPr>
        <w:lastRenderedPageBreak/>
        <w:t>[14]</w:t>
      </w:r>
      <w:r w:rsidRPr="004555EA">
        <w:rPr>
          <w:lang w:val="en-GB"/>
        </w:rPr>
        <w:tab/>
      </w:r>
      <w:r w:rsidR="00827B7D" w:rsidRPr="00C42D28">
        <w:rPr>
          <w:lang w:val="en-GB"/>
        </w:rPr>
        <w:t xml:space="preserve">In </w:t>
      </w:r>
      <w:r w:rsidR="00827B7D" w:rsidRPr="00C42D28">
        <w:rPr>
          <w:i/>
          <w:iCs/>
          <w:lang w:val="en-GB"/>
        </w:rPr>
        <w:t>Mandela v The Executors, Estate Late Nelson Rolihlahla Mandela and Others</w:t>
      </w:r>
      <w:r w:rsidR="00827B7D" w:rsidRPr="00C42D28">
        <w:rPr>
          <w:lang w:val="en-GB"/>
        </w:rPr>
        <w:t>,</w:t>
      </w:r>
      <w:r w:rsidR="00827B7D" w:rsidRPr="00CC012E">
        <w:rPr>
          <w:rStyle w:val="FootnoteReference"/>
          <w:lang w:val="en-GB"/>
        </w:rPr>
        <w:footnoteReference w:id="20"/>
      </w:r>
      <w:r w:rsidR="00827B7D" w:rsidRPr="00C42D28">
        <w:rPr>
          <w:lang w:val="en-GB"/>
        </w:rPr>
        <w:t xml:space="preserve"> the SCA considered the application of the rule in circumstances where the relief sought did not appear to be of a constitutional nature. The SCA decided that the essence of the matter was a challenge based on legality and that, as such, it implicated the constitutional principle of legality (as well as the appellant’s rights to property in s 25 of the Constitution).</w:t>
      </w:r>
      <w:r w:rsidR="00827B7D">
        <w:rPr>
          <w:rStyle w:val="FootnoteReference"/>
          <w:lang w:val="en-GB"/>
        </w:rPr>
        <w:footnoteReference w:id="21"/>
      </w:r>
    </w:p>
    <w:p w14:paraId="6F4249F5" w14:textId="77777777" w:rsidR="00CC012E" w:rsidRDefault="00CC012E" w:rsidP="002B2311">
      <w:pPr>
        <w:pStyle w:val="ListParagraph"/>
        <w:autoSpaceDE w:val="0"/>
        <w:autoSpaceDN w:val="0"/>
        <w:adjustRightInd w:val="0"/>
        <w:ind w:left="0"/>
        <w:jc w:val="both"/>
        <w:rPr>
          <w:lang w:val="en-GB"/>
        </w:rPr>
      </w:pPr>
    </w:p>
    <w:p w14:paraId="6D6A1A07" w14:textId="003C1658" w:rsidR="00AE117C" w:rsidRPr="00C42D28" w:rsidRDefault="00C42D28" w:rsidP="00C42D28">
      <w:pPr>
        <w:autoSpaceDE w:val="0"/>
        <w:autoSpaceDN w:val="0"/>
        <w:adjustRightInd w:val="0"/>
        <w:jc w:val="both"/>
        <w:rPr>
          <w:lang w:val="en-GB"/>
        </w:rPr>
      </w:pPr>
      <w:r>
        <w:rPr>
          <w:lang w:val="en-GB"/>
        </w:rPr>
        <w:t>[15]</w:t>
      </w:r>
      <w:r>
        <w:rPr>
          <w:lang w:val="en-GB"/>
        </w:rPr>
        <w:tab/>
      </w:r>
      <w:r w:rsidR="00AE117C" w:rsidRPr="00C42D28">
        <w:rPr>
          <w:lang w:val="en-GB"/>
        </w:rPr>
        <w:t xml:space="preserve">This is not to suggest that higher courts have always adopted such a generous approach or interpretation. In </w:t>
      </w:r>
      <w:r w:rsidR="00AE117C" w:rsidRPr="00C42D28">
        <w:rPr>
          <w:i/>
          <w:iCs/>
          <w:lang w:val="en-GB"/>
        </w:rPr>
        <w:t>Motala v The Master of the North Gauteng High Court, Pretoria</w:t>
      </w:r>
      <w:r w:rsidR="00AE117C" w:rsidRPr="00C42D28">
        <w:rPr>
          <w:lang w:val="en-GB"/>
        </w:rPr>
        <w:t>,</w:t>
      </w:r>
      <w:r w:rsidR="00AE117C" w:rsidRPr="00AE117C">
        <w:rPr>
          <w:rStyle w:val="FootnoteReference"/>
          <w:lang w:val="en-GB"/>
        </w:rPr>
        <w:footnoteReference w:id="22"/>
      </w:r>
      <w:r w:rsidR="00AE117C" w:rsidRPr="00C42D28">
        <w:rPr>
          <w:lang w:val="en-GB"/>
        </w:rPr>
        <w:t xml:space="preserve"> for example, the SCA held that while the review of a public officer’s decision was a constitutional issue, this was not the end of the matter because the issues at hand had to be ‘genuine and substantive, and raise constitutional considerations relevant to their adjudication’.</w:t>
      </w:r>
      <w:r w:rsidR="00357560" w:rsidRPr="00C42D28">
        <w:rPr>
          <w:lang w:val="en-GB"/>
        </w:rPr>
        <w:t xml:space="preserve"> </w:t>
      </w:r>
      <w:r w:rsidR="00DD5E9B" w:rsidRPr="00C42D28">
        <w:rPr>
          <w:lang w:val="en-GB"/>
        </w:rPr>
        <w:t xml:space="preserve">In refusing to apply </w:t>
      </w:r>
      <w:r w:rsidR="003460E7" w:rsidRPr="00C42D28">
        <w:rPr>
          <w:lang w:val="en-GB"/>
        </w:rPr>
        <w:t>the rule</w:t>
      </w:r>
      <w:r w:rsidR="00DD5E9B" w:rsidRPr="00C42D28">
        <w:rPr>
          <w:lang w:val="en-GB"/>
        </w:rPr>
        <w:t>,</w:t>
      </w:r>
      <w:r w:rsidR="00DD5E9B" w:rsidRPr="00C42D28">
        <w:rPr>
          <w:i/>
          <w:iCs/>
          <w:lang w:val="en-GB"/>
        </w:rPr>
        <w:t xml:space="preserve"> </w:t>
      </w:r>
      <w:r w:rsidR="00DD5E9B" w:rsidRPr="00C42D28">
        <w:rPr>
          <w:lang w:val="en-GB"/>
        </w:rPr>
        <w:t>t</w:t>
      </w:r>
      <w:r w:rsidR="00357560" w:rsidRPr="00C42D28">
        <w:rPr>
          <w:lang w:val="en-GB"/>
        </w:rPr>
        <w:t>he SCA considered the review of the Master’s decision to be ‘no more than a civil challenge to an adverse administrative action which the appellant sought to overturn to the benefit of his own private pocket’.</w:t>
      </w:r>
      <w:r w:rsidR="000F2E10">
        <w:rPr>
          <w:rStyle w:val="FootnoteReference"/>
          <w:lang w:val="en-GB"/>
        </w:rPr>
        <w:footnoteReference w:id="23"/>
      </w:r>
      <w:r w:rsidR="000F2E10" w:rsidRPr="00C42D28">
        <w:rPr>
          <w:lang w:val="en-GB"/>
        </w:rPr>
        <w:t xml:space="preserve"> In reaching this decision, the SCA placed emphasis on the absence of a ‘radiating impact on other private parties’</w:t>
      </w:r>
      <w:r w:rsidR="00C00FC5" w:rsidRPr="00C42D28">
        <w:rPr>
          <w:lang w:val="en-GB"/>
        </w:rPr>
        <w:t xml:space="preserve">, the </w:t>
      </w:r>
      <w:r w:rsidR="000F2E10" w:rsidRPr="00C42D28">
        <w:rPr>
          <w:lang w:val="en-GB"/>
        </w:rPr>
        <w:t>absence of ‘constitutional imperatives and considerations such as the interpretation of legislation…’</w:t>
      </w:r>
      <w:r w:rsidR="004363E4" w:rsidRPr="00C42D28">
        <w:rPr>
          <w:lang w:val="en-GB"/>
        </w:rPr>
        <w:t xml:space="preserve"> and the absence of a ‘discrete legal point of public importance which falls to be decided…’</w:t>
      </w:r>
      <w:r w:rsidR="000F2E10" w:rsidRPr="00C42D28">
        <w:rPr>
          <w:lang w:val="en-GB"/>
        </w:rPr>
        <w:t>.</w:t>
      </w:r>
      <w:r w:rsidR="008D235C">
        <w:rPr>
          <w:rStyle w:val="FootnoteReference"/>
          <w:lang w:val="en-GB"/>
        </w:rPr>
        <w:footnoteReference w:id="24"/>
      </w:r>
    </w:p>
    <w:p w14:paraId="790BAFBC" w14:textId="77777777" w:rsidR="00AE117C" w:rsidRDefault="00AE117C" w:rsidP="002B2311">
      <w:pPr>
        <w:pStyle w:val="ListParagraph"/>
        <w:autoSpaceDE w:val="0"/>
        <w:autoSpaceDN w:val="0"/>
        <w:adjustRightInd w:val="0"/>
        <w:ind w:left="0"/>
        <w:jc w:val="both"/>
        <w:rPr>
          <w:lang w:val="en-GB"/>
        </w:rPr>
      </w:pPr>
    </w:p>
    <w:p w14:paraId="1FAEF963" w14:textId="607436D9" w:rsidR="00D648CC" w:rsidRPr="00C42D28" w:rsidRDefault="00C42D28" w:rsidP="00C42D28">
      <w:pPr>
        <w:autoSpaceDE w:val="0"/>
        <w:autoSpaceDN w:val="0"/>
        <w:adjustRightInd w:val="0"/>
        <w:jc w:val="both"/>
        <w:rPr>
          <w:lang w:val="en-GB"/>
        </w:rPr>
      </w:pPr>
      <w:r>
        <w:rPr>
          <w:lang w:val="en-GB"/>
        </w:rPr>
        <w:t>[16]</w:t>
      </w:r>
      <w:r>
        <w:rPr>
          <w:lang w:val="en-GB"/>
        </w:rPr>
        <w:tab/>
      </w:r>
      <w:r w:rsidR="00604450" w:rsidRPr="00C42D28">
        <w:rPr>
          <w:lang w:val="en-GB"/>
        </w:rPr>
        <w:t xml:space="preserve">In </w:t>
      </w:r>
      <w:r w:rsidR="00604450" w:rsidRPr="00C42D28">
        <w:rPr>
          <w:i/>
          <w:iCs/>
          <w:lang w:val="en-GB"/>
        </w:rPr>
        <w:t>MEC for Local Government, Environmental Affairs and Development Planning, Western Cape &amp; Another v Plotz NO and Another</w:t>
      </w:r>
      <w:r w:rsidR="00C22BE2" w:rsidRPr="00C42D28">
        <w:rPr>
          <w:lang w:val="en-GB"/>
        </w:rPr>
        <w:t>,</w:t>
      </w:r>
      <w:r w:rsidR="00604450" w:rsidRPr="00C22BE2">
        <w:rPr>
          <w:rStyle w:val="FootnoteReference"/>
          <w:lang w:val="en-GB"/>
        </w:rPr>
        <w:footnoteReference w:id="25"/>
      </w:r>
      <w:r w:rsidR="00C22BE2" w:rsidRPr="00C42D28">
        <w:rPr>
          <w:lang w:val="en-GB"/>
        </w:rPr>
        <w:t xml:space="preserve"> the SCA refused to apply </w:t>
      </w:r>
      <w:r w:rsidR="00412184" w:rsidRPr="00C42D28">
        <w:rPr>
          <w:lang w:val="en-GB"/>
        </w:rPr>
        <w:t>the rule</w:t>
      </w:r>
      <w:r w:rsidR="00C22BE2" w:rsidRPr="00C42D28">
        <w:rPr>
          <w:lang w:val="en-GB"/>
        </w:rPr>
        <w:t xml:space="preserve"> on the basis that the litigation was undertaken to assert a commercial interest of the trust, rather than to assert constitutional rights.</w:t>
      </w:r>
      <w:r w:rsidR="00604450" w:rsidRPr="00C42D28">
        <w:rPr>
          <w:lang w:val="en-GB"/>
        </w:rPr>
        <w:t xml:space="preserve"> </w:t>
      </w:r>
    </w:p>
    <w:p w14:paraId="16A21512" w14:textId="77777777" w:rsidR="00D648CC" w:rsidRPr="00D648CC" w:rsidRDefault="00D648CC" w:rsidP="00D648CC">
      <w:pPr>
        <w:pStyle w:val="ListParagraph"/>
        <w:rPr>
          <w:lang w:val="en-GB"/>
        </w:rPr>
      </w:pPr>
    </w:p>
    <w:p w14:paraId="43324935" w14:textId="5025255C" w:rsidR="00C22BE2" w:rsidRPr="00C42D28" w:rsidRDefault="00C42D28" w:rsidP="00C42D28">
      <w:pPr>
        <w:autoSpaceDE w:val="0"/>
        <w:autoSpaceDN w:val="0"/>
        <w:adjustRightInd w:val="0"/>
        <w:jc w:val="both"/>
        <w:rPr>
          <w:lang w:val="en-GB"/>
        </w:rPr>
      </w:pPr>
      <w:r>
        <w:rPr>
          <w:lang w:val="en-GB"/>
        </w:rPr>
        <w:t>[17]</w:t>
      </w:r>
      <w:r>
        <w:rPr>
          <w:lang w:val="en-GB"/>
        </w:rPr>
        <w:tab/>
      </w:r>
      <w:r w:rsidR="00924A86" w:rsidRPr="00C42D28">
        <w:rPr>
          <w:lang w:val="en-GB"/>
        </w:rPr>
        <w:t xml:space="preserve">It must also be noted that, in this Division, courts have not always accepted the applicability of </w:t>
      </w:r>
      <w:r w:rsidR="0029634D" w:rsidRPr="00C42D28">
        <w:rPr>
          <w:lang w:val="en-GB"/>
        </w:rPr>
        <w:t>the rule</w:t>
      </w:r>
      <w:r w:rsidR="00924A86" w:rsidRPr="00C42D28">
        <w:rPr>
          <w:lang w:val="en-GB"/>
        </w:rPr>
        <w:t xml:space="preserve"> in matters involving university students</w:t>
      </w:r>
      <w:r w:rsidR="005B1C3A" w:rsidRPr="00C42D28">
        <w:rPr>
          <w:lang w:val="en-GB"/>
        </w:rPr>
        <w:t xml:space="preserve">, despite the argument </w:t>
      </w:r>
      <w:r w:rsidR="005B1C3A" w:rsidRPr="00C42D28">
        <w:rPr>
          <w:lang w:val="en-GB"/>
        </w:rPr>
        <w:lastRenderedPageBreak/>
        <w:t>that the right to further education triggered a ‘constitutional issue’.</w:t>
      </w:r>
      <w:r w:rsidR="00A63772">
        <w:rPr>
          <w:rStyle w:val="FootnoteReference"/>
          <w:lang w:val="en-GB"/>
        </w:rPr>
        <w:footnoteReference w:id="26"/>
      </w:r>
      <w:r w:rsidR="00A63772" w:rsidRPr="00C42D28">
        <w:rPr>
          <w:lang w:val="en-GB"/>
        </w:rPr>
        <w:t xml:space="preserve"> </w:t>
      </w:r>
      <w:r w:rsidR="00B74D40" w:rsidRPr="00C42D28">
        <w:rPr>
          <w:lang w:val="en-GB"/>
        </w:rPr>
        <w:t xml:space="preserve">By contrast, </w:t>
      </w:r>
      <w:r w:rsidR="006D7AD3" w:rsidRPr="00C42D28">
        <w:rPr>
          <w:lang w:val="en-GB"/>
        </w:rPr>
        <w:t>i</w:t>
      </w:r>
      <w:r w:rsidR="00B74D40" w:rsidRPr="00C42D28">
        <w:rPr>
          <w:lang w:val="en-GB"/>
        </w:rPr>
        <w:t xml:space="preserve">n </w:t>
      </w:r>
      <w:r w:rsidR="00B74D40" w:rsidRPr="00C42D28">
        <w:rPr>
          <w:i/>
          <w:iCs/>
          <w:lang w:val="en-GB"/>
        </w:rPr>
        <w:t>Hotz and Others v University of Cape Town</w:t>
      </w:r>
      <w:r w:rsidR="00B74D40" w:rsidRPr="00C42D28">
        <w:rPr>
          <w:lang w:val="en-GB"/>
        </w:rPr>
        <w:t>,</w:t>
      </w:r>
      <w:r w:rsidR="00B74D40">
        <w:rPr>
          <w:rStyle w:val="FootnoteReference"/>
          <w:lang w:val="en-GB"/>
        </w:rPr>
        <w:footnoteReference w:id="27"/>
      </w:r>
      <w:r w:rsidR="00B74D40" w:rsidRPr="00C42D28">
        <w:rPr>
          <w:lang w:val="en-GB"/>
        </w:rPr>
        <w:t xml:space="preserve"> the Constitutional Court overturned costs orders issued by the High Court and SCA in litigation between a university and its students.</w:t>
      </w:r>
    </w:p>
    <w:p w14:paraId="69236143" w14:textId="77777777" w:rsidR="00872B15" w:rsidRPr="00C22BE2" w:rsidRDefault="00872B15" w:rsidP="00872B15">
      <w:pPr>
        <w:pStyle w:val="ListParagraph"/>
        <w:autoSpaceDE w:val="0"/>
        <w:autoSpaceDN w:val="0"/>
        <w:adjustRightInd w:val="0"/>
        <w:ind w:left="0"/>
        <w:jc w:val="both"/>
        <w:rPr>
          <w:lang w:val="en-GB"/>
        </w:rPr>
      </w:pPr>
    </w:p>
    <w:p w14:paraId="49D18D41" w14:textId="01C12C15" w:rsidR="00461B7A" w:rsidRPr="00C42D28" w:rsidRDefault="00C42D28" w:rsidP="00C42D28">
      <w:pPr>
        <w:autoSpaceDE w:val="0"/>
        <w:autoSpaceDN w:val="0"/>
        <w:adjustRightInd w:val="0"/>
        <w:jc w:val="both"/>
        <w:rPr>
          <w:lang w:val="en-GB"/>
        </w:rPr>
      </w:pPr>
      <w:r>
        <w:rPr>
          <w:lang w:val="en-GB"/>
        </w:rPr>
        <w:t>[18]</w:t>
      </w:r>
      <w:r>
        <w:rPr>
          <w:lang w:val="en-GB"/>
        </w:rPr>
        <w:tab/>
      </w:r>
      <w:r w:rsidR="003D334E" w:rsidRPr="00C42D28">
        <w:rPr>
          <w:lang w:val="en-GB"/>
        </w:rPr>
        <w:t>A</w:t>
      </w:r>
      <w:r w:rsidR="00461B7A" w:rsidRPr="00C42D28">
        <w:rPr>
          <w:lang w:val="en-GB"/>
        </w:rPr>
        <w:t xml:space="preserve"> recent decision of the Constitutional Court on the issue of ‘a constitutional issue’</w:t>
      </w:r>
      <w:r w:rsidR="003D334E" w:rsidRPr="00C42D28">
        <w:rPr>
          <w:lang w:val="en-GB"/>
        </w:rPr>
        <w:t xml:space="preserve"> reveals a further com</w:t>
      </w:r>
      <w:r w:rsidR="00F75BE8" w:rsidRPr="00C42D28">
        <w:rPr>
          <w:lang w:val="en-GB"/>
        </w:rPr>
        <w:t>plexity</w:t>
      </w:r>
      <w:r w:rsidR="00461B7A" w:rsidRPr="00C42D28">
        <w:rPr>
          <w:lang w:val="en-GB"/>
        </w:rPr>
        <w:t>. The application concerned a claim instituted in a representative capacity by the mother and natural guardian of a minor child who was diagnosed with cerebral palsy as a result of hypoxic ischemic injury during birth. The Constitutional Court refused leave to appeal on the basis that the matter did not raise a constitutional issue. Despite this finding, a unanimous bench applied the rule</w:t>
      </w:r>
      <w:r w:rsidR="00E302C3" w:rsidRPr="00C42D28">
        <w:rPr>
          <w:lang w:val="en-GB"/>
        </w:rPr>
        <w:t xml:space="preserve"> without </w:t>
      </w:r>
      <w:r w:rsidR="00335153" w:rsidRPr="00C42D28">
        <w:rPr>
          <w:lang w:val="en-GB"/>
        </w:rPr>
        <w:t>engaging with the conceptual differences, if any, between a matter not raising a constitutional issue for purposes of obtaining leave to appeal, on the one hand, and yet falling within the boundaries of the rule for purposes of costs</w:t>
      </w:r>
      <w:r w:rsidR="00461B7A" w:rsidRPr="00C42D28">
        <w:rPr>
          <w:lang w:val="en-GB"/>
        </w:rPr>
        <w:t>. This was apparently based purely on the absence of exceptional circumstances that would warrant the payment of costs on the part of the applicant.</w:t>
      </w:r>
      <w:r w:rsidR="00461B7A">
        <w:rPr>
          <w:rStyle w:val="FootnoteReference"/>
          <w:lang w:val="en-GB"/>
        </w:rPr>
        <w:footnoteReference w:id="28"/>
      </w:r>
      <w:r w:rsidR="00461B7A" w:rsidRPr="00C42D28">
        <w:rPr>
          <w:lang w:val="en-GB"/>
        </w:rPr>
        <w:t xml:space="preserve"> A similar approach appears to have been adopted in </w:t>
      </w:r>
      <w:r w:rsidR="00461B7A" w:rsidRPr="00C42D28">
        <w:rPr>
          <w:i/>
          <w:iCs/>
          <w:lang w:val="en-GB"/>
        </w:rPr>
        <w:t>Competition Commission of South Africa v Mediclinic Southern Africa (Pty) Ltd and Another</w:t>
      </w:r>
      <w:r w:rsidR="00461B7A" w:rsidRPr="00C42D28">
        <w:rPr>
          <w:lang w:val="en-GB"/>
        </w:rPr>
        <w:t>.</w:t>
      </w:r>
      <w:r w:rsidR="00461B7A" w:rsidRPr="000605C3">
        <w:rPr>
          <w:rStyle w:val="FootnoteReference"/>
          <w:lang w:val="en-GB"/>
        </w:rPr>
        <w:footnoteReference w:id="29"/>
      </w:r>
      <w:r w:rsidR="00461B7A" w:rsidRPr="00C42D28">
        <w:rPr>
          <w:lang w:val="en-GB"/>
        </w:rPr>
        <w:t xml:space="preserve"> </w:t>
      </w:r>
    </w:p>
    <w:p w14:paraId="389D31DA" w14:textId="77777777" w:rsidR="00461B7A" w:rsidRDefault="00461B7A" w:rsidP="002B2311">
      <w:pPr>
        <w:pStyle w:val="ListParagraph"/>
        <w:autoSpaceDE w:val="0"/>
        <w:autoSpaceDN w:val="0"/>
        <w:adjustRightInd w:val="0"/>
        <w:ind w:left="0"/>
        <w:jc w:val="both"/>
        <w:rPr>
          <w:lang w:val="en-GB"/>
        </w:rPr>
      </w:pPr>
    </w:p>
    <w:p w14:paraId="6AE56144" w14:textId="215682D3" w:rsidR="00B03866" w:rsidRDefault="00B03866" w:rsidP="002B2311">
      <w:pPr>
        <w:pStyle w:val="ListParagraph"/>
        <w:autoSpaceDE w:val="0"/>
        <w:autoSpaceDN w:val="0"/>
        <w:adjustRightInd w:val="0"/>
        <w:ind w:left="0"/>
        <w:jc w:val="both"/>
        <w:rPr>
          <w:i/>
          <w:iCs/>
          <w:lang w:val="en-GB"/>
        </w:rPr>
      </w:pPr>
      <w:r>
        <w:rPr>
          <w:i/>
          <w:iCs/>
          <w:lang w:val="en-GB"/>
        </w:rPr>
        <w:t>Analysis</w:t>
      </w:r>
    </w:p>
    <w:p w14:paraId="0EE58F5A" w14:textId="77777777" w:rsidR="00B03866" w:rsidRPr="00B03866" w:rsidRDefault="00B03866" w:rsidP="002B2311">
      <w:pPr>
        <w:pStyle w:val="ListParagraph"/>
        <w:autoSpaceDE w:val="0"/>
        <w:autoSpaceDN w:val="0"/>
        <w:adjustRightInd w:val="0"/>
        <w:ind w:left="0"/>
        <w:jc w:val="both"/>
        <w:rPr>
          <w:i/>
          <w:iCs/>
          <w:lang w:val="en-GB"/>
        </w:rPr>
      </w:pPr>
    </w:p>
    <w:p w14:paraId="659B1738" w14:textId="37FEAE93" w:rsidR="00E461A4" w:rsidRPr="00C42D28" w:rsidRDefault="00C42D28" w:rsidP="00C42D28">
      <w:pPr>
        <w:autoSpaceDE w:val="0"/>
        <w:autoSpaceDN w:val="0"/>
        <w:adjustRightInd w:val="0"/>
        <w:jc w:val="both"/>
        <w:rPr>
          <w:lang w:val="en-GB"/>
        </w:rPr>
      </w:pPr>
      <w:r>
        <w:rPr>
          <w:lang w:val="en-GB"/>
        </w:rPr>
        <w:t>[19]</w:t>
      </w:r>
      <w:r>
        <w:rPr>
          <w:lang w:val="en-GB"/>
        </w:rPr>
        <w:tab/>
      </w:r>
      <w:r w:rsidR="00B03866" w:rsidRPr="00C42D28">
        <w:rPr>
          <w:lang w:val="en-GB"/>
        </w:rPr>
        <w:t>A court of first instance has a discretion to determine the costs to be awarded in light of the particular circumstances of the case.</w:t>
      </w:r>
      <w:r w:rsidR="00870CE5">
        <w:rPr>
          <w:rStyle w:val="FootnoteReference"/>
          <w:lang w:val="en-GB"/>
        </w:rPr>
        <w:footnoteReference w:id="30"/>
      </w:r>
      <w:r w:rsidR="000E27F9" w:rsidRPr="00C42D28">
        <w:rPr>
          <w:lang w:val="en-GB"/>
        </w:rPr>
        <w:t xml:space="preserve"> The ‘nature of the issues’, rather than the ‘characterisation of the parties’ is the starting point.</w:t>
      </w:r>
      <w:r w:rsidR="00727002">
        <w:rPr>
          <w:rStyle w:val="FootnoteReference"/>
          <w:lang w:val="en-GB"/>
        </w:rPr>
        <w:footnoteReference w:id="31"/>
      </w:r>
      <w:r w:rsidR="000E27F9" w:rsidRPr="00C42D28">
        <w:rPr>
          <w:lang w:val="en-GB"/>
        </w:rPr>
        <w:t xml:space="preserve"> </w:t>
      </w:r>
      <w:r w:rsidR="00637EC0" w:rsidRPr="00C42D28">
        <w:rPr>
          <w:lang w:val="en-GB"/>
        </w:rPr>
        <w:t>Here, the issue</w:t>
      </w:r>
      <w:r w:rsidR="001D771E" w:rsidRPr="00C42D28">
        <w:rPr>
          <w:lang w:val="en-GB"/>
        </w:rPr>
        <w:t>s</w:t>
      </w:r>
      <w:r w:rsidR="00637EC0" w:rsidRPr="00C42D28">
        <w:rPr>
          <w:lang w:val="en-GB"/>
        </w:rPr>
        <w:t xml:space="preserve"> at hand relate, generally, to the right to education in terms of s 29 of the Constitution</w:t>
      </w:r>
      <w:r w:rsidR="007F2E6C" w:rsidRPr="00C42D28">
        <w:rPr>
          <w:lang w:val="en-GB"/>
        </w:rPr>
        <w:t xml:space="preserve"> and the principle of legality</w:t>
      </w:r>
      <w:r w:rsidR="00E80EC9" w:rsidRPr="00C42D28">
        <w:rPr>
          <w:lang w:val="en-GB"/>
        </w:rPr>
        <w:t xml:space="preserve"> or just administrative action</w:t>
      </w:r>
      <w:r w:rsidR="00637EC0" w:rsidRPr="00C42D28">
        <w:rPr>
          <w:lang w:val="en-GB"/>
        </w:rPr>
        <w:t>.</w:t>
      </w:r>
      <w:r w:rsidR="00637EC0">
        <w:rPr>
          <w:rStyle w:val="FootnoteReference"/>
          <w:lang w:val="en-GB"/>
        </w:rPr>
        <w:footnoteReference w:id="32"/>
      </w:r>
      <w:r w:rsidR="00E0135D" w:rsidRPr="00C42D28">
        <w:rPr>
          <w:lang w:val="en-GB"/>
        </w:rPr>
        <w:t xml:space="preserve"> </w:t>
      </w:r>
      <w:r w:rsidR="00777C2B" w:rsidRPr="00C42D28">
        <w:rPr>
          <w:lang w:val="en-GB"/>
        </w:rPr>
        <w:t xml:space="preserve">As </w:t>
      </w:r>
      <w:r w:rsidR="00777C2B" w:rsidRPr="00C42D28">
        <w:rPr>
          <w:i/>
          <w:iCs/>
          <w:lang w:val="en-GB"/>
        </w:rPr>
        <w:t xml:space="preserve">Mr Dwayi </w:t>
      </w:r>
      <w:r w:rsidR="00777C2B" w:rsidRPr="00C42D28">
        <w:rPr>
          <w:lang w:val="en-GB"/>
        </w:rPr>
        <w:t>pointed out, t</w:t>
      </w:r>
      <w:r w:rsidR="00F73B89" w:rsidRPr="00C42D28">
        <w:rPr>
          <w:lang w:val="en-GB"/>
        </w:rPr>
        <w:t xml:space="preserve">he </w:t>
      </w:r>
      <w:r w:rsidR="00F73B89" w:rsidRPr="00C42D28">
        <w:rPr>
          <w:lang w:val="en-GB"/>
        </w:rPr>
        <w:lastRenderedPageBreak/>
        <w:t>founding affidavit, in dealing with the issue of a prima facie right, placed reliance squarely on ss 29 and 33 of the Constitution</w:t>
      </w:r>
      <w:r w:rsidR="008A3DD7" w:rsidRPr="00C42D28">
        <w:rPr>
          <w:lang w:val="en-GB"/>
        </w:rPr>
        <w:t>, arguing that an interim interdict ‘will halt the ongoing infringement of my section 29 and 33 constitutional rights …’</w:t>
      </w:r>
      <w:r w:rsidR="00F73B89" w:rsidRPr="00C42D28">
        <w:rPr>
          <w:lang w:val="en-GB"/>
        </w:rPr>
        <w:t xml:space="preserve">. </w:t>
      </w:r>
    </w:p>
    <w:p w14:paraId="0AB67B1E" w14:textId="77777777" w:rsidR="00E461A4" w:rsidRDefault="00E461A4" w:rsidP="00E461A4">
      <w:pPr>
        <w:pStyle w:val="ListParagraph"/>
        <w:autoSpaceDE w:val="0"/>
        <w:autoSpaceDN w:val="0"/>
        <w:adjustRightInd w:val="0"/>
        <w:ind w:left="0"/>
        <w:jc w:val="both"/>
        <w:rPr>
          <w:lang w:val="en-GB"/>
        </w:rPr>
      </w:pPr>
    </w:p>
    <w:p w14:paraId="52D7C578" w14:textId="5195FB7B" w:rsidR="00D2196F" w:rsidRPr="00C42D28" w:rsidRDefault="00C42D28" w:rsidP="00C42D28">
      <w:pPr>
        <w:autoSpaceDE w:val="0"/>
        <w:autoSpaceDN w:val="0"/>
        <w:adjustRightInd w:val="0"/>
        <w:jc w:val="both"/>
        <w:rPr>
          <w:lang w:val="en-GB"/>
        </w:rPr>
      </w:pPr>
      <w:r>
        <w:rPr>
          <w:lang w:val="en-GB"/>
        </w:rPr>
        <w:t>[20]</w:t>
      </w:r>
      <w:r>
        <w:rPr>
          <w:lang w:val="en-GB"/>
        </w:rPr>
        <w:tab/>
      </w:r>
      <w:r w:rsidR="00405F13" w:rsidRPr="00C42D28">
        <w:rPr>
          <w:lang w:val="en-GB"/>
        </w:rPr>
        <w:t>While the matter may not have been of concern to other students, t</w:t>
      </w:r>
      <w:r w:rsidR="003572FB" w:rsidRPr="00C42D28">
        <w:rPr>
          <w:lang w:val="en-GB"/>
        </w:rPr>
        <w:t>he issue affected the app</w:t>
      </w:r>
      <w:r w:rsidR="00405F13" w:rsidRPr="00C42D28">
        <w:rPr>
          <w:lang w:val="en-GB"/>
        </w:rPr>
        <w:t>licant’s right to education</w:t>
      </w:r>
      <w:r w:rsidR="004A0630" w:rsidRPr="00C42D28">
        <w:rPr>
          <w:lang w:val="en-GB"/>
        </w:rPr>
        <w:t xml:space="preserve"> and, on my understanding of the applicable approach</w:t>
      </w:r>
      <w:r w:rsidR="00084CA7" w:rsidRPr="00C42D28">
        <w:rPr>
          <w:lang w:val="en-GB"/>
        </w:rPr>
        <w:t xml:space="preserve"> and the available authorities</w:t>
      </w:r>
      <w:r w:rsidR="004A0630" w:rsidRPr="00C42D28">
        <w:rPr>
          <w:lang w:val="en-GB"/>
        </w:rPr>
        <w:t>, qualifies as a genuine constitutional challenge</w:t>
      </w:r>
      <w:r w:rsidR="00405F13" w:rsidRPr="00C42D28">
        <w:rPr>
          <w:lang w:val="en-GB"/>
        </w:rPr>
        <w:t>.</w:t>
      </w:r>
      <w:r w:rsidR="00405F13">
        <w:rPr>
          <w:rStyle w:val="FootnoteReference"/>
          <w:lang w:val="en-GB"/>
        </w:rPr>
        <w:footnoteReference w:id="33"/>
      </w:r>
      <w:r w:rsidR="00405F13" w:rsidRPr="00C42D28">
        <w:rPr>
          <w:lang w:val="en-GB"/>
        </w:rPr>
        <w:t xml:space="preserve"> </w:t>
      </w:r>
      <w:r w:rsidR="005D5B25" w:rsidRPr="00C42D28">
        <w:rPr>
          <w:lang w:val="en-GB"/>
        </w:rPr>
        <w:t>D</w:t>
      </w:r>
      <w:r w:rsidR="004C1317" w:rsidRPr="00C42D28">
        <w:rPr>
          <w:lang w:val="en-GB"/>
        </w:rPr>
        <w:t xml:space="preserve">espite the applicant’s failure to obtain relief, </w:t>
      </w:r>
      <w:r w:rsidR="005D5B25" w:rsidRPr="00C42D28">
        <w:rPr>
          <w:lang w:val="en-GB"/>
        </w:rPr>
        <w:t xml:space="preserve">to hold differently would </w:t>
      </w:r>
      <w:r w:rsidR="004C1317" w:rsidRPr="00C42D28">
        <w:rPr>
          <w:lang w:val="en-GB"/>
        </w:rPr>
        <w:t>have a chilling effect on similarly placed litigants in the context of constitutional justice.</w:t>
      </w:r>
      <w:r w:rsidR="004C1317">
        <w:rPr>
          <w:rStyle w:val="FootnoteReference"/>
          <w:lang w:val="en-GB"/>
        </w:rPr>
        <w:footnoteReference w:id="34"/>
      </w:r>
      <w:r w:rsidR="004C1317" w:rsidRPr="00C42D28">
        <w:rPr>
          <w:lang w:val="en-GB"/>
        </w:rPr>
        <w:t xml:space="preserve"> </w:t>
      </w:r>
      <w:r w:rsidR="00E0135D" w:rsidRPr="00C42D28">
        <w:rPr>
          <w:lang w:val="en-GB"/>
        </w:rPr>
        <w:t>The matter is, therefore, properly located in a constitutional setting.</w:t>
      </w:r>
    </w:p>
    <w:p w14:paraId="2570952B" w14:textId="77777777" w:rsidR="00127946" w:rsidRDefault="00127946" w:rsidP="002B2311">
      <w:pPr>
        <w:pStyle w:val="ListParagraph"/>
        <w:autoSpaceDE w:val="0"/>
        <w:autoSpaceDN w:val="0"/>
        <w:adjustRightInd w:val="0"/>
        <w:ind w:left="0"/>
        <w:jc w:val="both"/>
        <w:rPr>
          <w:lang w:val="en-GB"/>
        </w:rPr>
      </w:pPr>
    </w:p>
    <w:p w14:paraId="24CE93C5" w14:textId="3DB6046A" w:rsidR="003C3767" w:rsidRPr="00C42D28" w:rsidRDefault="00C42D28" w:rsidP="00C42D28">
      <w:pPr>
        <w:autoSpaceDE w:val="0"/>
        <w:autoSpaceDN w:val="0"/>
        <w:adjustRightInd w:val="0"/>
        <w:jc w:val="both"/>
        <w:rPr>
          <w:lang w:val="en-GB"/>
        </w:rPr>
      </w:pPr>
      <w:r>
        <w:rPr>
          <w:lang w:val="en-GB"/>
        </w:rPr>
        <w:t>[21]</w:t>
      </w:r>
      <w:r>
        <w:rPr>
          <w:lang w:val="en-GB"/>
        </w:rPr>
        <w:tab/>
      </w:r>
      <w:r w:rsidR="00127946" w:rsidRPr="00C42D28">
        <w:rPr>
          <w:lang w:val="en-GB"/>
        </w:rPr>
        <w:t xml:space="preserve">It remains to be decided whether any of the exceptions that justify a departure from the rule find application given the facts of the matter. </w:t>
      </w:r>
      <w:r w:rsidR="003C3767" w:rsidRPr="00C42D28">
        <w:rPr>
          <w:lang w:val="en-GB"/>
        </w:rPr>
        <w:t xml:space="preserve">The exceptions have been detailed in </w:t>
      </w:r>
      <w:r w:rsidR="003C3767" w:rsidRPr="00C42D28">
        <w:rPr>
          <w:i/>
          <w:iCs/>
          <w:lang w:val="en-GB"/>
        </w:rPr>
        <w:t>Lawyers for Human Rights v Minister in the Presidency and Others</w:t>
      </w:r>
      <w:r w:rsidR="003C3767" w:rsidRPr="00C42D28">
        <w:rPr>
          <w:lang w:val="en-GB"/>
        </w:rPr>
        <w:t>.</w:t>
      </w:r>
      <w:r w:rsidR="003C3767">
        <w:rPr>
          <w:rStyle w:val="FootnoteReference"/>
          <w:lang w:val="en-GB"/>
        </w:rPr>
        <w:footnoteReference w:id="35"/>
      </w:r>
      <w:r w:rsidR="003C3767" w:rsidRPr="00C42D28">
        <w:rPr>
          <w:i/>
          <w:iCs/>
          <w:lang w:val="en-GB"/>
        </w:rPr>
        <w:t xml:space="preserve"> </w:t>
      </w:r>
      <w:r w:rsidR="003C3767" w:rsidRPr="00C42D28">
        <w:rPr>
          <w:lang w:val="en-GB"/>
        </w:rPr>
        <w:t>A court must consider the ‘character of the litigation and [the litigant’s] conduct in pursuit of it’, even where the litigant seeks to assert constitutional rights. ‘Vexatious’ litigation is ‘frivolous, improper, instituted without sufficient ground, to serve solely as an annoyance to the defendant’. It is initiated without probable cause by a person who is not acting in good faith to annoy or embarrass an opponent. Legal action that is not likely to lead to any procedural result is vexatious. A ‘frivolous complaint’ has no serious purpose or value.</w:t>
      </w:r>
      <w:r w:rsidR="003C3767">
        <w:rPr>
          <w:rStyle w:val="FootnoteReference"/>
          <w:lang w:val="en-GB"/>
        </w:rPr>
        <w:footnoteReference w:id="36"/>
      </w:r>
      <w:r w:rsidR="003C3767" w:rsidRPr="00C42D28">
        <w:rPr>
          <w:lang w:val="en-GB"/>
        </w:rPr>
        <w:t xml:space="preserve"> </w:t>
      </w:r>
    </w:p>
    <w:p w14:paraId="64DABE8F" w14:textId="77777777" w:rsidR="003C3767" w:rsidRDefault="003C3767" w:rsidP="003C3767">
      <w:pPr>
        <w:pStyle w:val="ListParagraph"/>
        <w:autoSpaceDE w:val="0"/>
        <w:autoSpaceDN w:val="0"/>
        <w:adjustRightInd w:val="0"/>
        <w:ind w:left="0"/>
        <w:jc w:val="both"/>
        <w:rPr>
          <w:lang w:val="en-GB"/>
        </w:rPr>
      </w:pPr>
    </w:p>
    <w:p w14:paraId="19C95FCF" w14:textId="09939C65" w:rsidR="005F0647" w:rsidRPr="00C42D28" w:rsidRDefault="00C42D28" w:rsidP="00C42D28">
      <w:pPr>
        <w:autoSpaceDE w:val="0"/>
        <w:autoSpaceDN w:val="0"/>
        <w:adjustRightInd w:val="0"/>
        <w:jc w:val="both"/>
        <w:rPr>
          <w:lang w:val="en-GB"/>
        </w:rPr>
      </w:pPr>
      <w:r>
        <w:rPr>
          <w:lang w:val="en-GB"/>
        </w:rPr>
        <w:t>[22]</w:t>
      </w:r>
      <w:r>
        <w:rPr>
          <w:lang w:val="en-GB"/>
        </w:rPr>
        <w:tab/>
      </w:r>
      <w:r w:rsidR="003A164D" w:rsidRPr="00C42D28">
        <w:rPr>
          <w:lang w:val="en-GB"/>
        </w:rPr>
        <w:t>Without engaging with the merits of the matter, it may be noted that the applicant’s case was premised, in part, on the DAC’s findings as to his lack of remorse</w:t>
      </w:r>
      <w:r w:rsidR="000D2BD5" w:rsidRPr="00C42D28">
        <w:rPr>
          <w:lang w:val="en-GB"/>
        </w:rPr>
        <w:t xml:space="preserve"> and that, given the available record, this challenge was not frivolous or vexatious, or brought in bad faith.</w:t>
      </w:r>
      <w:r w:rsidR="008307DB">
        <w:rPr>
          <w:rStyle w:val="FootnoteReference"/>
          <w:lang w:val="en-GB"/>
        </w:rPr>
        <w:footnoteReference w:id="37"/>
      </w:r>
      <w:r w:rsidR="00C70D4A" w:rsidRPr="00C42D28">
        <w:rPr>
          <w:lang w:val="en-GB"/>
        </w:rPr>
        <w:t xml:space="preserve"> </w:t>
      </w:r>
      <w:r w:rsidR="00C70D4A" w:rsidRPr="00C42D28">
        <w:rPr>
          <w:i/>
          <w:iCs/>
          <w:lang w:val="en-GB"/>
        </w:rPr>
        <w:t>Mr Ackermann</w:t>
      </w:r>
      <w:r w:rsidR="00C70D4A" w:rsidRPr="00C42D28">
        <w:rPr>
          <w:lang w:val="en-GB"/>
        </w:rPr>
        <w:t xml:space="preserve"> very properly also brought the decision in </w:t>
      </w:r>
      <w:r w:rsidR="00C70D4A" w:rsidRPr="00C42D28">
        <w:rPr>
          <w:i/>
          <w:iCs/>
          <w:lang w:val="en-GB"/>
        </w:rPr>
        <w:t>Rennies Distribution (Pty) Ltd v Bierman NO</w:t>
      </w:r>
      <w:r w:rsidR="00C70D4A" w:rsidRPr="00C42D28">
        <w:rPr>
          <w:lang w:val="en-GB"/>
        </w:rPr>
        <w:t>,</w:t>
      </w:r>
      <w:r w:rsidR="00C70D4A" w:rsidRPr="00C70D4A">
        <w:rPr>
          <w:rStyle w:val="FootnoteReference"/>
          <w:lang w:val="en-GB"/>
        </w:rPr>
        <w:footnoteReference w:id="38"/>
      </w:r>
      <w:r w:rsidR="00C70D4A" w:rsidRPr="00C42D28">
        <w:rPr>
          <w:lang w:val="en-GB"/>
        </w:rPr>
        <w:t xml:space="preserve"> in respect of the </w:t>
      </w:r>
      <w:r w:rsidR="00C70D4A" w:rsidRPr="00C42D28">
        <w:rPr>
          <w:i/>
          <w:iCs/>
          <w:lang w:val="en-GB"/>
        </w:rPr>
        <w:t>audi</w:t>
      </w:r>
      <w:r w:rsidR="00C70D4A" w:rsidRPr="00C42D28">
        <w:rPr>
          <w:lang w:val="en-GB"/>
        </w:rPr>
        <w:t xml:space="preserve"> principle and an increase in disciplinary sanction on appeal, to my attention. This was a further </w:t>
      </w:r>
      <w:r w:rsidR="00C70D4A" w:rsidRPr="00C42D28">
        <w:rPr>
          <w:lang w:val="en-GB"/>
        </w:rPr>
        <w:lastRenderedPageBreak/>
        <w:t>challenge to the DAC decision</w:t>
      </w:r>
      <w:r w:rsidR="004716C7" w:rsidRPr="00C42D28">
        <w:rPr>
          <w:lang w:val="en-GB"/>
        </w:rPr>
        <w:t xml:space="preserve"> and </w:t>
      </w:r>
      <w:r w:rsidR="00092176" w:rsidRPr="00C42D28">
        <w:rPr>
          <w:lang w:val="en-GB"/>
        </w:rPr>
        <w:t>again supports the conclusion that the application was not frivolous or vexatious or brought in bad faith.</w:t>
      </w:r>
    </w:p>
    <w:p w14:paraId="5D6D54D9" w14:textId="77777777" w:rsidR="005F0647" w:rsidRPr="005F0647" w:rsidRDefault="005F0647" w:rsidP="002B2311">
      <w:pPr>
        <w:pStyle w:val="ListParagraph"/>
        <w:rPr>
          <w:lang w:val="en-GB"/>
        </w:rPr>
      </w:pPr>
    </w:p>
    <w:p w14:paraId="342A08E2" w14:textId="70250A8C" w:rsidR="007C1809" w:rsidRPr="00C42D28" w:rsidRDefault="00C42D28" w:rsidP="00C42D28">
      <w:pPr>
        <w:autoSpaceDE w:val="0"/>
        <w:autoSpaceDN w:val="0"/>
        <w:adjustRightInd w:val="0"/>
        <w:jc w:val="both"/>
        <w:rPr>
          <w:lang w:val="en-GB"/>
        </w:rPr>
      </w:pPr>
      <w:r>
        <w:rPr>
          <w:lang w:val="en-GB"/>
        </w:rPr>
        <w:t>[23]</w:t>
      </w:r>
      <w:r>
        <w:rPr>
          <w:lang w:val="en-GB"/>
        </w:rPr>
        <w:tab/>
      </w:r>
      <w:r w:rsidR="005F0647" w:rsidRPr="00C42D28">
        <w:rPr>
          <w:lang w:val="en-GB"/>
        </w:rPr>
        <w:t xml:space="preserve">I have </w:t>
      </w:r>
      <w:r w:rsidR="00D16705" w:rsidRPr="00C42D28">
        <w:rPr>
          <w:lang w:val="en-GB"/>
        </w:rPr>
        <w:t xml:space="preserve">also </w:t>
      </w:r>
      <w:r w:rsidR="005F0647" w:rsidRPr="00C42D28">
        <w:rPr>
          <w:lang w:val="en-GB"/>
        </w:rPr>
        <w:t xml:space="preserve">given consideration to </w:t>
      </w:r>
      <w:r w:rsidR="005F0647" w:rsidRPr="00C42D28">
        <w:rPr>
          <w:i/>
          <w:iCs/>
          <w:lang w:val="en-GB"/>
        </w:rPr>
        <w:t xml:space="preserve">Mr Ackermann’s </w:t>
      </w:r>
      <w:r w:rsidR="005F0647" w:rsidRPr="00C42D28">
        <w:rPr>
          <w:lang w:val="en-GB"/>
        </w:rPr>
        <w:t xml:space="preserve">argument that the applicant’s failure to diligently pursue Part B of his application, in contravention of the interim order, is sufficient to justify an exception to the application of the rule. In my view, that reference </w:t>
      </w:r>
      <w:r w:rsidR="00BC25A6" w:rsidRPr="00C42D28">
        <w:rPr>
          <w:lang w:val="en-GB"/>
        </w:rPr>
        <w:t xml:space="preserve">in the interim order </w:t>
      </w:r>
      <w:r w:rsidR="005F0647" w:rsidRPr="00C42D28">
        <w:rPr>
          <w:lang w:val="en-GB"/>
        </w:rPr>
        <w:t>was linked to permission for the applicant to continue his studies online, with limited campus attendance</w:t>
      </w:r>
      <w:r w:rsidR="008B350C" w:rsidRPr="00C42D28">
        <w:rPr>
          <w:lang w:val="en-GB"/>
        </w:rPr>
        <w:t>, pending the Part B application</w:t>
      </w:r>
      <w:r w:rsidR="0042411C" w:rsidRPr="00C42D28">
        <w:rPr>
          <w:lang w:val="en-GB"/>
        </w:rPr>
        <w:t xml:space="preserve">. The applicant ran the risk that his failure to diligently pursue the Part B application, and comply with the prescribed time periods, might have resulted in UFH approaching the court for a variation of the </w:t>
      </w:r>
      <w:r w:rsidR="00A5477C" w:rsidRPr="00C42D28">
        <w:rPr>
          <w:lang w:val="en-GB"/>
        </w:rPr>
        <w:t xml:space="preserve">interim </w:t>
      </w:r>
      <w:r w:rsidR="0042411C" w:rsidRPr="00C42D28">
        <w:rPr>
          <w:lang w:val="en-GB"/>
        </w:rPr>
        <w:t xml:space="preserve">order. </w:t>
      </w:r>
    </w:p>
    <w:p w14:paraId="4BA39D05" w14:textId="77777777" w:rsidR="007C1809" w:rsidRPr="007C1809" w:rsidRDefault="007C1809" w:rsidP="007C1809">
      <w:pPr>
        <w:pStyle w:val="ListParagraph"/>
        <w:rPr>
          <w:lang w:val="en-GB"/>
        </w:rPr>
      </w:pPr>
    </w:p>
    <w:p w14:paraId="113BCB78" w14:textId="5155BD10" w:rsidR="00127946" w:rsidRPr="00C42D28" w:rsidRDefault="00C42D28" w:rsidP="00C42D28">
      <w:pPr>
        <w:autoSpaceDE w:val="0"/>
        <w:autoSpaceDN w:val="0"/>
        <w:adjustRightInd w:val="0"/>
        <w:jc w:val="both"/>
        <w:rPr>
          <w:lang w:val="en-GB"/>
        </w:rPr>
      </w:pPr>
      <w:r>
        <w:rPr>
          <w:lang w:val="en-GB"/>
        </w:rPr>
        <w:t>[24]</w:t>
      </w:r>
      <w:r>
        <w:rPr>
          <w:lang w:val="en-GB"/>
        </w:rPr>
        <w:tab/>
      </w:r>
      <w:r w:rsidR="0042411C" w:rsidRPr="00C42D28">
        <w:rPr>
          <w:lang w:val="en-GB"/>
        </w:rPr>
        <w:t>That did not occur and, c</w:t>
      </w:r>
      <w:r w:rsidR="005F0647" w:rsidRPr="00C42D28">
        <w:rPr>
          <w:lang w:val="en-GB"/>
        </w:rPr>
        <w:t xml:space="preserve">onsidering the authorities, </w:t>
      </w:r>
      <w:r w:rsidR="0042411C" w:rsidRPr="00C42D28">
        <w:rPr>
          <w:lang w:val="en-GB"/>
        </w:rPr>
        <w:t xml:space="preserve">the applicant’s failures in that respect do not, on their own, elevate his conduct to the kind that warrants the loss of the protection afforded by </w:t>
      </w:r>
      <w:r w:rsidR="007B4FC2" w:rsidRPr="00C42D28">
        <w:rPr>
          <w:lang w:val="en-GB"/>
        </w:rPr>
        <w:t>the rule</w:t>
      </w:r>
      <w:r w:rsidR="0042411C" w:rsidRPr="00C42D28">
        <w:rPr>
          <w:lang w:val="en-GB"/>
        </w:rPr>
        <w:t xml:space="preserve">. </w:t>
      </w:r>
      <w:r w:rsidR="008911CC" w:rsidRPr="00C42D28">
        <w:rPr>
          <w:lang w:val="en-GB"/>
        </w:rPr>
        <w:t>In similar vein, the applicant’s conduct that resulted in the charges levelled against him before the DC</w:t>
      </w:r>
      <w:r w:rsidR="001C6943" w:rsidRPr="00C42D28">
        <w:rPr>
          <w:lang w:val="en-GB"/>
        </w:rPr>
        <w:t>, and his failure to review the decision of the DAC</w:t>
      </w:r>
      <w:r w:rsidR="00AF3F6B" w:rsidRPr="00C42D28">
        <w:rPr>
          <w:lang w:val="en-GB"/>
        </w:rPr>
        <w:t>,</w:t>
      </w:r>
      <w:r w:rsidR="008911CC" w:rsidRPr="00C42D28">
        <w:rPr>
          <w:lang w:val="en-GB"/>
        </w:rPr>
        <w:t xml:space="preserve"> are irrelevant for present purposes.</w:t>
      </w:r>
      <w:r w:rsidR="0042411C" w:rsidRPr="00C42D28">
        <w:rPr>
          <w:lang w:val="en-GB"/>
        </w:rPr>
        <w:t xml:space="preserve"> </w:t>
      </w:r>
      <w:r w:rsidR="00691393" w:rsidRPr="00C42D28">
        <w:rPr>
          <w:lang w:val="en-GB"/>
        </w:rPr>
        <w:t>J</w:t>
      </w:r>
      <w:r w:rsidR="00E87B3F" w:rsidRPr="00C42D28">
        <w:rPr>
          <w:lang w:val="en-GB"/>
        </w:rPr>
        <w:t>ustice and fairness would best be served if each of the parties were ordered to pay their own costs.</w:t>
      </w:r>
    </w:p>
    <w:p w14:paraId="08015B5D" w14:textId="71F9EE87" w:rsidR="00312B16" w:rsidRDefault="00312B16" w:rsidP="002B2311">
      <w:pPr>
        <w:pStyle w:val="ListParagraph"/>
        <w:autoSpaceDE w:val="0"/>
        <w:autoSpaceDN w:val="0"/>
        <w:adjustRightInd w:val="0"/>
        <w:ind w:left="0"/>
        <w:jc w:val="both"/>
        <w:rPr>
          <w:lang w:val="en-GB"/>
        </w:rPr>
      </w:pPr>
    </w:p>
    <w:p w14:paraId="1C409812" w14:textId="4FDE928B" w:rsidR="005E4021" w:rsidRDefault="005E4021" w:rsidP="002B2311">
      <w:pPr>
        <w:pStyle w:val="ListParagraph"/>
        <w:autoSpaceDE w:val="0"/>
        <w:autoSpaceDN w:val="0"/>
        <w:adjustRightInd w:val="0"/>
        <w:ind w:left="0"/>
        <w:jc w:val="both"/>
        <w:rPr>
          <w:b/>
          <w:bCs/>
          <w:lang w:val="en-GB"/>
        </w:rPr>
      </w:pPr>
      <w:r>
        <w:rPr>
          <w:b/>
          <w:bCs/>
          <w:lang w:val="en-GB"/>
        </w:rPr>
        <w:t>Order</w:t>
      </w:r>
    </w:p>
    <w:p w14:paraId="28A8B9B0" w14:textId="77777777" w:rsidR="005E4021" w:rsidRPr="005E4021" w:rsidRDefault="005E4021" w:rsidP="002B2311">
      <w:pPr>
        <w:pStyle w:val="ListParagraph"/>
        <w:autoSpaceDE w:val="0"/>
        <w:autoSpaceDN w:val="0"/>
        <w:adjustRightInd w:val="0"/>
        <w:ind w:left="0"/>
        <w:jc w:val="both"/>
        <w:rPr>
          <w:b/>
          <w:bCs/>
          <w:lang w:val="en-GB"/>
        </w:rPr>
      </w:pPr>
    </w:p>
    <w:p w14:paraId="1291CE23" w14:textId="366CF01F" w:rsidR="00312B16" w:rsidRPr="00C42D28" w:rsidRDefault="00C42D28" w:rsidP="00C42D28">
      <w:pPr>
        <w:autoSpaceDE w:val="0"/>
        <w:autoSpaceDN w:val="0"/>
        <w:adjustRightInd w:val="0"/>
        <w:jc w:val="both"/>
        <w:rPr>
          <w:lang w:val="en-GB"/>
        </w:rPr>
      </w:pPr>
      <w:r>
        <w:rPr>
          <w:lang w:val="en-GB"/>
        </w:rPr>
        <w:t>[25]</w:t>
      </w:r>
      <w:r>
        <w:rPr>
          <w:lang w:val="en-GB"/>
        </w:rPr>
        <w:tab/>
      </w:r>
      <w:r w:rsidR="00312B16" w:rsidRPr="00C42D28">
        <w:rPr>
          <w:lang w:val="en-GB"/>
        </w:rPr>
        <w:t>The following order will issue:</w:t>
      </w:r>
    </w:p>
    <w:p w14:paraId="3849F858" w14:textId="77777777" w:rsidR="00312B16" w:rsidRPr="00312B16" w:rsidRDefault="00312B16" w:rsidP="002B2311">
      <w:pPr>
        <w:pStyle w:val="ListParagraph"/>
        <w:rPr>
          <w:lang w:val="en-GB"/>
        </w:rPr>
      </w:pPr>
    </w:p>
    <w:p w14:paraId="3034D526" w14:textId="13666DFB" w:rsidR="00312B16" w:rsidRPr="00C42D28" w:rsidRDefault="00C42D28" w:rsidP="00C42D28">
      <w:pPr>
        <w:autoSpaceDE w:val="0"/>
        <w:autoSpaceDN w:val="0"/>
        <w:adjustRightInd w:val="0"/>
        <w:ind w:left="720" w:hanging="360"/>
        <w:jc w:val="both"/>
        <w:rPr>
          <w:lang w:val="en-GB"/>
        </w:rPr>
      </w:pPr>
      <w:r w:rsidRPr="00312B16">
        <w:rPr>
          <w:lang w:val="en-GB"/>
        </w:rPr>
        <w:t>1.</w:t>
      </w:r>
      <w:r w:rsidRPr="00312B16">
        <w:rPr>
          <w:lang w:val="en-GB"/>
        </w:rPr>
        <w:tab/>
      </w:r>
      <w:r w:rsidR="00312B16" w:rsidRPr="00C42D28">
        <w:rPr>
          <w:lang w:val="en-GB"/>
        </w:rPr>
        <w:t>The implementation of the Disciplinary Appeals Committee’s (‘DAC’) finding dated 14 March 2022 is suspended pending the completion of the Applicant’s 2023 academic year.</w:t>
      </w:r>
    </w:p>
    <w:p w14:paraId="75E1E7B2" w14:textId="77777777" w:rsidR="00312B16" w:rsidRPr="00312B16" w:rsidRDefault="00312B16" w:rsidP="002B2311">
      <w:pPr>
        <w:pStyle w:val="ListParagraph"/>
        <w:rPr>
          <w:lang w:val="en-GB"/>
        </w:rPr>
      </w:pPr>
    </w:p>
    <w:p w14:paraId="76829025" w14:textId="466E4A17" w:rsidR="00312B16" w:rsidRPr="00C42D28" w:rsidRDefault="00C42D28" w:rsidP="00C42D28">
      <w:pPr>
        <w:ind w:left="720" w:hanging="360"/>
        <w:jc w:val="both"/>
        <w:rPr>
          <w:lang w:val="en-GB"/>
        </w:rPr>
      </w:pPr>
      <w:r>
        <w:rPr>
          <w:lang w:val="en-GB"/>
        </w:rPr>
        <w:t>2.</w:t>
      </w:r>
      <w:r>
        <w:rPr>
          <w:lang w:val="en-GB"/>
        </w:rPr>
        <w:tab/>
      </w:r>
      <w:r w:rsidR="00312B16" w:rsidRPr="00C42D28">
        <w:rPr>
          <w:lang w:val="en-GB"/>
        </w:rPr>
        <w:t>Pending the implementation of the DAC’s finding referred to in paragraph 1 above, the Applicant is allowed to continue as a student at the University of Fort Hare on the following basis</w:t>
      </w:r>
      <w:r w:rsidR="006304DC" w:rsidRPr="00C42D28">
        <w:rPr>
          <w:lang w:val="en-GB"/>
        </w:rPr>
        <w:t>:</w:t>
      </w:r>
    </w:p>
    <w:p w14:paraId="59217764" w14:textId="77777777" w:rsidR="006304DC" w:rsidRPr="006304DC" w:rsidRDefault="006304DC" w:rsidP="002B2311">
      <w:pPr>
        <w:jc w:val="both"/>
        <w:rPr>
          <w:lang w:val="en-GB"/>
        </w:rPr>
      </w:pPr>
    </w:p>
    <w:p w14:paraId="12CA1585" w14:textId="77777777" w:rsidR="00312B16" w:rsidRPr="006304DC" w:rsidRDefault="00312B16" w:rsidP="002B2311">
      <w:pPr>
        <w:pStyle w:val="ListParagraph"/>
        <w:ind w:left="1440" w:hanging="720"/>
        <w:jc w:val="both"/>
        <w:rPr>
          <w:lang w:val="en-GB"/>
        </w:rPr>
      </w:pPr>
      <w:r w:rsidRPr="006304DC">
        <w:rPr>
          <w:lang w:val="en-GB"/>
        </w:rPr>
        <w:t>2.1</w:t>
      </w:r>
      <w:r w:rsidRPr="006304DC">
        <w:rPr>
          <w:lang w:val="en-GB"/>
        </w:rPr>
        <w:tab/>
        <w:t>The applicant is permitted to continue his studies via online based learning, off-campus only;</w:t>
      </w:r>
    </w:p>
    <w:p w14:paraId="6DA83DEB" w14:textId="77777777" w:rsidR="00312B16" w:rsidRPr="00312B16" w:rsidRDefault="00312B16" w:rsidP="002B2311">
      <w:pPr>
        <w:pStyle w:val="ListParagraph"/>
        <w:jc w:val="both"/>
        <w:rPr>
          <w:lang w:val="en-GB"/>
        </w:rPr>
      </w:pPr>
    </w:p>
    <w:p w14:paraId="6A5C5FD2" w14:textId="3CFBA8EA" w:rsidR="00312B16" w:rsidRPr="00C42D28" w:rsidRDefault="00C42D28" w:rsidP="00C42D28">
      <w:pPr>
        <w:ind w:left="1440" w:hanging="720"/>
        <w:jc w:val="both"/>
        <w:rPr>
          <w:lang w:val="en-GB"/>
        </w:rPr>
      </w:pPr>
      <w:r>
        <w:rPr>
          <w:lang w:val="en-GB"/>
        </w:rPr>
        <w:lastRenderedPageBreak/>
        <w:t>2.2</w:t>
      </w:r>
      <w:r>
        <w:rPr>
          <w:lang w:val="en-GB"/>
        </w:rPr>
        <w:tab/>
      </w:r>
      <w:r w:rsidR="00312B16" w:rsidRPr="00C42D28">
        <w:rPr>
          <w:lang w:val="en-GB"/>
        </w:rPr>
        <w:t>The applicant may only attend campus with the prior written approval of the first respondent. Such approval will not be unreasonably withheld in the event that the applicant’s attendance on campus is required for purposes of his academic studies, as determined by the first respondent. Any approval for the applicant to attend campus for any other reason will be in the first respondent’s sole discretion.</w:t>
      </w:r>
    </w:p>
    <w:p w14:paraId="4574D7F4" w14:textId="77777777" w:rsidR="006304DC" w:rsidRDefault="006304DC" w:rsidP="002B2311">
      <w:pPr>
        <w:pStyle w:val="ListParagraph"/>
        <w:ind w:left="1440"/>
        <w:jc w:val="both"/>
        <w:rPr>
          <w:lang w:val="en-GB"/>
        </w:rPr>
      </w:pPr>
    </w:p>
    <w:p w14:paraId="3ED683BB" w14:textId="168C2B39" w:rsidR="006304DC" w:rsidRPr="00C42D28" w:rsidRDefault="00C42D28" w:rsidP="00C42D28">
      <w:pPr>
        <w:ind w:left="720" w:hanging="294"/>
        <w:jc w:val="both"/>
        <w:rPr>
          <w:lang w:val="en-GB"/>
        </w:rPr>
      </w:pPr>
      <w:r>
        <w:rPr>
          <w:lang w:val="en-GB"/>
        </w:rPr>
        <w:t>3.</w:t>
      </w:r>
      <w:r>
        <w:rPr>
          <w:lang w:val="en-GB"/>
        </w:rPr>
        <w:tab/>
      </w:r>
      <w:r w:rsidR="006304DC" w:rsidRPr="00C42D28">
        <w:rPr>
          <w:lang w:val="en-GB"/>
        </w:rPr>
        <w:t>Each party to pay its own costs</w:t>
      </w:r>
      <w:r w:rsidR="0023736A" w:rsidRPr="00C42D28">
        <w:rPr>
          <w:lang w:val="en-GB"/>
        </w:rPr>
        <w:t>, also in respect of the Part A proceedings.</w:t>
      </w:r>
    </w:p>
    <w:p w14:paraId="12FA9EAB" w14:textId="77777777" w:rsidR="006304DC" w:rsidRPr="00312B16" w:rsidRDefault="006304DC" w:rsidP="002B2311">
      <w:pPr>
        <w:pStyle w:val="ListParagraph"/>
        <w:jc w:val="both"/>
        <w:rPr>
          <w:lang w:val="en-GB"/>
        </w:rPr>
      </w:pPr>
    </w:p>
    <w:p w14:paraId="09FFFC85" w14:textId="633AD998" w:rsidR="00A56D35" w:rsidRDefault="00A56D35" w:rsidP="00A56D35">
      <w:pPr>
        <w:autoSpaceDE w:val="0"/>
        <w:autoSpaceDN w:val="0"/>
        <w:adjustRightInd w:val="0"/>
        <w:jc w:val="both"/>
        <w:rPr>
          <w:lang w:val="en-GB"/>
        </w:rPr>
      </w:pPr>
    </w:p>
    <w:p w14:paraId="38FC7F46" w14:textId="77777777" w:rsidR="003C3BC6" w:rsidRPr="00044B50" w:rsidRDefault="003C3BC6" w:rsidP="00682CE5">
      <w:pPr>
        <w:autoSpaceDE w:val="0"/>
        <w:autoSpaceDN w:val="0"/>
        <w:adjustRightInd w:val="0"/>
        <w:jc w:val="both"/>
        <w:rPr>
          <w:lang w:val="en-GB"/>
        </w:rPr>
      </w:pPr>
    </w:p>
    <w:p w14:paraId="363DCE68" w14:textId="3C4454A8" w:rsidR="00D450B5" w:rsidRPr="00044B50" w:rsidRDefault="00D450B5" w:rsidP="00CA056D">
      <w:pPr>
        <w:jc w:val="both"/>
        <w:rPr>
          <w:lang w:val="en-GB"/>
        </w:rPr>
      </w:pPr>
      <w:r w:rsidRPr="00044B50">
        <w:rPr>
          <w:lang w:val="en-GB"/>
        </w:rPr>
        <w:t>_______________</w:t>
      </w:r>
      <w:r w:rsidR="00276100" w:rsidRPr="00044B50">
        <w:rPr>
          <w:lang w:val="en-GB"/>
        </w:rPr>
        <w:t>__________</w:t>
      </w:r>
      <w:r w:rsidRPr="00044B50">
        <w:rPr>
          <w:lang w:val="en-GB"/>
        </w:rPr>
        <w:t xml:space="preserve"> </w:t>
      </w:r>
    </w:p>
    <w:p w14:paraId="7C243A9A" w14:textId="01E8CEBE" w:rsidR="00D450B5" w:rsidRPr="00044B50" w:rsidRDefault="00D450B5" w:rsidP="00CA056D">
      <w:pPr>
        <w:jc w:val="both"/>
        <w:rPr>
          <w:b/>
          <w:bCs/>
          <w:lang w:val="en-GB"/>
        </w:rPr>
      </w:pPr>
      <w:r w:rsidRPr="00044B50">
        <w:rPr>
          <w:b/>
          <w:bCs/>
          <w:lang w:val="en-GB"/>
        </w:rPr>
        <w:t xml:space="preserve">A GOVINDJEE                                                                                                                                                       </w:t>
      </w:r>
    </w:p>
    <w:p w14:paraId="14E92973" w14:textId="77777777" w:rsidR="00D450B5" w:rsidRPr="00044B50" w:rsidRDefault="00D450B5" w:rsidP="00CA056D">
      <w:pPr>
        <w:jc w:val="both"/>
        <w:rPr>
          <w:b/>
          <w:bCs/>
          <w:lang w:val="en-GB"/>
        </w:rPr>
      </w:pPr>
      <w:r w:rsidRPr="00044B50">
        <w:rPr>
          <w:b/>
          <w:bCs/>
          <w:lang w:val="en-GB"/>
        </w:rPr>
        <w:t>JUDGE OF THE HIGH COURT</w:t>
      </w:r>
    </w:p>
    <w:p w14:paraId="56442A86" w14:textId="4A1F9AD4" w:rsidR="00AA32DA" w:rsidRDefault="00AA32DA" w:rsidP="004A5151">
      <w:pPr>
        <w:autoSpaceDE w:val="0"/>
        <w:autoSpaceDN w:val="0"/>
        <w:adjustRightInd w:val="0"/>
        <w:jc w:val="both"/>
        <w:rPr>
          <w:lang w:val="en-GB"/>
        </w:rPr>
      </w:pPr>
    </w:p>
    <w:p w14:paraId="4E913372" w14:textId="77777777" w:rsidR="008A75F3" w:rsidRDefault="008A75F3" w:rsidP="008A75F3">
      <w:pPr>
        <w:widowControl w:val="0"/>
        <w:jc w:val="center"/>
        <w:rPr>
          <w:spacing w:val="14"/>
          <w:kern w:val="2"/>
          <w:lang w:val="en-GB"/>
        </w:rPr>
      </w:pPr>
    </w:p>
    <w:p w14:paraId="04EEEF0A" w14:textId="1C4A80AE" w:rsidR="007A7BBE" w:rsidRPr="00A87D38" w:rsidRDefault="007A7BBE" w:rsidP="00CA056D">
      <w:pPr>
        <w:widowControl w:val="0"/>
        <w:ind w:right="656"/>
        <w:rPr>
          <w:spacing w:val="14"/>
          <w:kern w:val="2"/>
          <w:lang w:val="en-GB"/>
        </w:rPr>
      </w:pPr>
      <w:r w:rsidRPr="006C6304">
        <w:rPr>
          <w:b/>
          <w:bCs/>
          <w:spacing w:val="14"/>
          <w:kern w:val="2"/>
          <w:lang w:val="en-GB"/>
        </w:rPr>
        <w:t>Heard</w:t>
      </w:r>
      <w:r w:rsidRPr="00A87D38">
        <w:rPr>
          <w:spacing w:val="14"/>
          <w:kern w:val="2"/>
          <w:lang w:val="en-GB"/>
        </w:rPr>
        <w:t>:</w:t>
      </w:r>
      <w:r w:rsidR="00EE32FC">
        <w:rPr>
          <w:spacing w:val="14"/>
          <w:kern w:val="2"/>
          <w:lang w:val="en-GB"/>
        </w:rPr>
        <w:tab/>
      </w:r>
      <w:r w:rsidR="006C6304">
        <w:rPr>
          <w:spacing w:val="14"/>
          <w:kern w:val="2"/>
          <w:lang w:val="en-GB"/>
        </w:rPr>
        <w:t>27 July 2023</w:t>
      </w:r>
    </w:p>
    <w:p w14:paraId="299C01BC" w14:textId="77777777" w:rsidR="00CA056D" w:rsidRDefault="00CA056D" w:rsidP="000D4C7F">
      <w:pPr>
        <w:widowControl w:val="0"/>
        <w:ind w:left="4320" w:right="656" w:firstLine="720"/>
        <w:jc w:val="right"/>
        <w:rPr>
          <w:spacing w:val="14"/>
          <w:kern w:val="2"/>
          <w:lang w:val="en-GB"/>
        </w:rPr>
      </w:pPr>
    </w:p>
    <w:p w14:paraId="5D550954" w14:textId="713760C2" w:rsidR="007A7BBE" w:rsidRPr="00A87D38" w:rsidRDefault="007A7BBE" w:rsidP="00CA056D">
      <w:pPr>
        <w:widowControl w:val="0"/>
        <w:ind w:right="656"/>
        <w:rPr>
          <w:spacing w:val="14"/>
          <w:kern w:val="2"/>
          <w:lang w:val="en-GB"/>
        </w:rPr>
      </w:pPr>
      <w:r w:rsidRPr="006C6304">
        <w:rPr>
          <w:b/>
          <w:bCs/>
          <w:spacing w:val="14"/>
          <w:kern w:val="2"/>
          <w:lang w:val="en-GB"/>
        </w:rPr>
        <w:t>Delivered</w:t>
      </w:r>
      <w:r w:rsidRPr="00A87D38">
        <w:rPr>
          <w:spacing w:val="14"/>
          <w:kern w:val="2"/>
          <w:lang w:val="en-GB"/>
        </w:rPr>
        <w:t>:</w:t>
      </w:r>
      <w:r w:rsidR="00EE32FC">
        <w:rPr>
          <w:spacing w:val="14"/>
          <w:kern w:val="2"/>
          <w:lang w:val="en-GB"/>
        </w:rPr>
        <w:tab/>
      </w:r>
      <w:r w:rsidR="006C6304">
        <w:rPr>
          <w:spacing w:val="14"/>
          <w:kern w:val="2"/>
          <w:lang w:val="en-GB"/>
        </w:rPr>
        <w:t>08 August 2023</w:t>
      </w:r>
    </w:p>
    <w:p w14:paraId="398380BF" w14:textId="77777777" w:rsidR="007A7BBE" w:rsidRDefault="007A7BBE" w:rsidP="004A5151">
      <w:pPr>
        <w:autoSpaceDE w:val="0"/>
        <w:autoSpaceDN w:val="0"/>
        <w:adjustRightInd w:val="0"/>
        <w:jc w:val="both"/>
        <w:rPr>
          <w:lang w:val="en-GB"/>
        </w:rPr>
      </w:pPr>
    </w:p>
    <w:p w14:paraId="6C4C9DF1" w14:textId="77777777" w:rsidR="00186082" w:rsidRDefault="00186082" w:rsidP="004A5151">
      <w:pPr>
        <w:autoSpaceDE w:val="0"/>
        <w:autoSpaceDN w:val="0"/>
        <w:adjustRightInd w:val="0"/>
        <w:jc w:val="both"/>
        <w:rPr>
          <w:lang w:val="en-GB"/>
        </w:rPr>
      </w:pPr>
    </w:p>
    <w:p w14:paraId="7FC30E61" w14:textId="77777777" w:rsidR="00186082" w:rsidRDefault="00186082" w:rsidP="004A5151">
      <w:pPr>
        <w:autoSpaceDE w:val="0"/>
        <w:autoSpaceDN w:val="0"/>
        <w:adjustRightInd w:val="0"/>
        <w:jc w:val="both"/>
        <w:rPr>
          <w:lang w:val="en-GB"/>
        </w:rPr>
      </w:pPr>
    </w:p>
    <w:p w14:paraId="4B080538" w14:textId="77777777" w:rsidR="00186082" w:rsidRDefault="00186082" w:rsidP="004A5151">
      <w:pPr>
        <w:autoSpaceDE w:val="0"/>
        <w:autoSpaceDN w:val="0"/>
        <w:adjustRightInd w:val="0"/>
        <w:jc w:val="both"/>
        <w:rPr>
          <w:lang w:val="en-GB"/>
        </w:rPr>
      </w:pPr>
    </w:p>
    <w:p w14:paraId="27E85C2A" w14:textId="77777777" w:rsidR="00186082" w:rsidRDefault="00186082" w:rsidP="004A5151">
      <w:pPr>
        <w:autoSpaceDE w:val="0"/>
        <w:autoSpaceDN w:val="0"/>
        <w:adjustRightInd w:val="0"/>
        <w:jc w:val="both"/>
        <w:rPr>
          <w:lang w:val="en-GB"/>
        </w:rPr>
      </w:pPr>
    </w:p>
    <w:p w14:paraId="49DA2C0D" w14:textId="77777777" w:rsidR="00186082" w:rsidRDefault="00186082" w:rsidP="004A5151">
      <w:pPr>
        <w:autoSpaceDE w:val="0"/>
        <w:autoSpaceDN w:val="0"/>
        <w:adjustRightInd w:val="0"/>
        <w:jc w:val="both"/>
        <w:rPr>
          <w:lang w:val="en-GB"/>
        </w:rPr>
      </w:pPr>
    </w:p>
    <w:p w14:paraId="07227080" w14:textId="77777777" w:rsidR="00186082" w:rsidRDefault="00186082" w:rsidP="004A5151">
      <w:pPr>
        <w:autoSpaceDE w:val="0"/>
        <w:autoSpaceDN w:val="0"/>
        <w:adjustRightInd w:val="0"/>
        <w:jc w:val="both"/>
        <w:rPr>
          <w:lang w:val="en-GB"/>
        </w:rPr>
      </w:pPr>
    </w:p>
    <w:p w14:paraId="4AC114A5" w14:textId="77777777" w:rsidR="00186082" w:rsidRDefault="00186082" w:rsidP="004A5151">
      <w:pPr>
        <w:autoSpaceDE w:val="0"/>
        <w:autoSpaceDN w:val="0"/>
        <w:adjustRightInd w:val="0"/>
        <w:jc w:val="both"/>
        <w:rPr>
          <w:lang w:val="en-GB"/>
        </w:rPr>
      </w:pPr>
    </w:p>
    <w:p w14:paraId="334AF8FD" w14:textId="77777777" w:rsidR="00186082" w:rsidRDefault="00186082" w:rsidP="004A5151">
      <w:pPr>
        <w:autoSpaceDE w:val="0"/>
        <w:autoSpaceDN w:val="0"/>
        <w:adjustRightInd w:val="0"/>
        <w:jc w:val="both"/>
        <w:rPr>
          <w:lang w:val="en-GB"/>
        </w:rPr>
      </w:pPr>
    </w:p>
    <w:p w14:paraId="2898D36E" w14:textId="77777777" w:rsidR="00186082" w:rsidRDefault="00186082" w:rsidP="004A5151">
      <w:pPr>
        <w:autoSpaceDE w:val="0"/>
        <w:autoSpaceDN w:val="0"/>
        <w:adjustRightInd w:val="0"/>
        <w:jc w:val="both"/>
        <w:rPr>
          <w:lang w:val="en-GB"/>
        </w:rPr>
      </w:pPr>
    </w:p>
    <w:p w14:paraId="6C987FC9" w14:textId="77777777" w:rsidR="00186082" w:rsidRDefault="00186082" w:rsidP="004A5151">
      <w:pPr>
        <w:autoSpaceDE w:val="0"/>
        <w:autoSpaceDN w:val="0"/>
        <w:adjustRightInd w:val="0"/>
        <w:jc w:val="both"/>
        <w:rPr>
          <w:lang w:val="en-GB"/>
        </w:rPr>
      </w:pPr>
    </w:p>
    <w:p w14:paraId="786B7263" w14:textId="77777777" w:rsidR="00186082" w:rsidRDefault="00186082" w:rsidP="004A5151">
      <w:pPr>
        <w:autoSpaceDE w:val="0"/>
        <w:autoSpaceDN w:val="0"/>
        <w:adjustRightInd w:val="0"/>
        <w:jc w:val="both"/>
        <w:rPr>
          <w:lang w:val="en-GB"/>
        </w:rPr>
      </w:pPr>
    </w:p>
    <w:p w14:paraId="7FDFCCF4" w14:textId="77777777" w:rsidR="00186082" w:rsidRDefault="00186082" w:rsidP="004A5151">
      <w:pPr>
        <w:autoSpaceDE w:val="0"/>
        <w:autoSpaceDN w:val="0"/>
        <w:adjustRightInd w:val="0"/>
        <w:jc w:val="both"/>
        <w:rPr>
          <w:lang w:val="en-GB"/>
        </w:rPr>
      </w:pPr>
    </w:p>
    <w:p w14:paraId="2AED5749" w14:textId="77777777" w:rsidR="00186082" w:rsidRDefault="00186082" w:rsidP="004A5151">
      <w:pPr>
        <w:autoSpaceDE w:val="0"/>
        <w:autoSpaceDN w:val="0"/>
        <w:adjustRightInd w:val="0"/>
        <w:jc w:val="both"/>
        <w:rPr>
          <w:lang w:val="en-GB"/>
        </w:rPr>
      </w:pPr>
    </w:p>
    <w:p w14:paraId="4E558E5D" w14:textId="77777777" w:rsidR="00186082" w:rsidRDefault="00186082" w:rsidP="004A5151">
      <w:pPr>
        <w:autoSpaceDE w:val="0"/>
        <w:autoSpaceDN w:val="0"/>
        <w:adjustRightInd w:val="0"/>
        <w:jc w:val="both"/>
        <w:rPr>
          <w:lang w:val="en-GB"/>
        </w:rPr>
      </w:pPr>
    </w:p>
    <w:p w14:paraId="0BAE84DD" w14:textId="79950F93" w:rsidR="007C247A" w:rsidRDefault="007C247A" w:rsidP="00772E4B">
      <w:pPr>
        <w:jc w:val="both"/>
        <w:rPr>
          <w:lang w:val="en-GB"/>
        </w:rPr>
      </w:pPr>
      <w:r w:rsidRPr="00044B50">
        <w:rPr>
          <w:lang w:val="en-GB"/>
        </w:rPr>
        <w:lastRenderedPageBreak/>
        <w:t>Appearances:</w:t>
      </w:r>
    </w:p>
    <w:p w14:paraId="66837056" w14:textId="127D8048" w:rsidR="00C33845" w:rsidRDefault="00C33845" w:rsidP="00772E4B">
      <w:pPr>
        <w:jc w:val="both"/>
        <w:rPr>
          <w:lang w:val="en-GB"/>
        </w:rPr>
      </w:pPr>
    </w:p>
    <w:p w14:paraId="0A2587B9" w14:textId="77777777" w:rsidR="008D4AE9" w:rsidRPr="00312B16" w:rsidRDefault="008D4AE9" w:rsidP="008D4AE9">
      <w:pPr>
        <w:pStyle w:val="ListParagraph"/>
        <w:rPr>
          <w:lang w:val="en-GB"/>
        </w:rPr>
      </w:pPr>
    </w:p>
    <w:p w14:paraId="5CD485FE" w14:textId="6FDF9068" w:rsidR="008D4AE9" w:rsidRDefault="00186082" w:rsidP="008D4AE9">
      <w:pPr>
        <w:rPr>
          <w:lang w:val="en-US"/>
        </w:rPr>
      </w:pPr>
      <w:r>
        <w:rPr>
          <w:lang w:val="en-US"/>
        </w:rPr>
        <w:t>Counsel for</w:t>
      </w:r>
      <w:r w:rsidR="00DE2D45">
        <w:rPr>
          <w:lang w:val="en-US"/>
        </w:rPr>
        <w:t xml:space="preserve"> the Applicant:</w:t>
      </w:r>
      <w:r w:rsidR="00DE2D45">
        <w:rPr>
          <w:lang w:val="en-US"/>
        </w:rPr>
        <w:tab/>
      </w:r>
      <w:r w:rsidR="00DE2D45">
        <w:rPr>
          <w:lang w:val="en-US"/>
        </w:rPr>
        <w:tab/>
      </w:r>
      <w:r w:rsidR="00DE2D45">
        <w:rPr>
          <w:lang w:val="en-US"/>
        </w:rPr>
        <w:tab/>
      </w:r>
      <w:r w:rsidR="008D4AE9">
        <w:rPr>
          <w:lang w:val="en-US"/>
        </w:rPr>
        <w:t>Adv NT Dwayi</w:t>
      </w:r>
    </w:p>
    <w:p w14:paraId="3723B6D5" w14:textId="7487F29A" w:rsidR="00DE2D45" w:rsidRDefault="00DE2D45" w:rsidP="008D4AE9">
      <w:pPr>
        <w:rPr>
          <w:lang w:val="en-US"/>
        </w:rPr>
      </w:pPr>
      <w:r>
        <w:rPr>
          <w:lang w:val="en-US"/>
        </w:rPr>
        <w:tab/>
      </w:r>
      <w:r>
        <w:rPr>
          <w:lang w:val="en-US"/>
        </w:rPr>
        <w:tab/>
      </w:r>
      <w:r>
        <w:rPr>
          <w:lang w:val="en-US"/>
        </w:rPr>
        <w:tab/>
      </w:r>
      <w:r>
        <w:rPr>
          <w:lang w:val="en-US"/>
        </w:rPr>
        <w:tab/>
      </w:r>
      <w:r>
        <w:rPr>
          <w:lang w:val="en-US"/>
        </w:rPr>
        <w:tab/>
      </w:r>
      <w:r>
        <w:rPr>
          <w:lang w:val="en-US"/>
        </w:rPr>
        <w:tab/>
        <w:t>Chambers</w:t>
      </w:r>
      <w:r w:rsidR="00186082">
        <w:rPr>
          <w:lang w:val="en-US"/>
        </w:rPr>
        <w:t>,</w:t>
      </w:r>
      <w:r w:rsidR="00EE32FC">
        <w:rPr>
          <w:lang w:val="en-US"/>
        </w:rPr>
        <w:t xml:space="preserve"> </w:t>
      </w:r>
      <w:r w:rsidR="00186082">
        <w:rPr>
          <w:lang w:val="en-US"/>
        </w:rPr>
        <w:t>Gqeberha</w:t>
      </w:r>
    </w:p>
    <w:p w14:paraId="3B591F53" w14:textId="77777777" w:rsidR="00DE2D45" w:rsidRDefault="00DE2D45" w:rsidP="008D4AE9">
      <w:pPr>
        <w:rPr>
          <w:lang w:val="en-US"/>
        </w:rPr>
      </w:pPr>
    </w:p>
    <w:p w14:paraId="7665CA83" w14:textId="45BD1BEF" w:rsidR="00DE2D45" w:rsidRDefault="00DE2D45" w:rsidP="008D4AE9">
      <w:pPr>
        <w:rPr>
          <w:lang w:val="en-US"/>
        </w:rPr>
      </w:pPr>
      <w:r>
        <w:rPr>
          <w:lang w:val="en-US"/>
        </w:rPr>
        <w:t>Instructed by:</w:t>
      </w:r>
      <w:r>
        <w:rPr>
          <w:lang w:val="en-US"/>
        </w:rPr>
        <w:tab/>
      </w:r>
      <w:r>
        <w:rPr>
          <w:lang w:val="en-US"/>
        </w:rPr>
        <w:tab/>
      </w:r>
      <w:r>
        <w:rPr>
          <w:lang w:val="en-US"/>
        </w:rPr>
        <w:tab/>
      </w:r>
      <w:r>
        <w:rPr>
          <w:lang w:val="en-US"/>
        </w:rPr>
        <w:tab/>
        <w:t>Magqabi Zeth Zitha Inc Attorneys</w:t>
      </w:r>
    </w:p>
    <w:p w14:paraId="17559958" w14:textId="4AAA3771" w:rsidR="00DE2D45" w:rsidRDefault="00DE2D45" w:rsidP="008D4AE9">
      <w:pPr>
        <w:rPr>
          <w:lang w:val="en-US"/>
        </w:rPr>
      </w:pPr>
      <w:r>
        <w:rPr>
          <w:lang w:val="en-US"/>
        </w:rPr>
        <w:tab/>
      </w:r>
      <w:r>
        <w:rPr>
          <w:lang w:val="en-US"/>
        </w:rPr>
        <w:tab/>
      </w:r>
      <w:r>
        <w:rPr>
          <w:lang w:val="en-US"/>
        </w:rPr>
        <w:tab/>
      </w:r>
      <w:r>
        <w:rPr>
          <w:lang w:val="en-US"/>
        </w:rPr>
        <w:tab/>
      </w:r>
      <w:r>
        <w:rPr>
          <w:lang w:val="en-US"/>
        </w:rPr>
        <w:tab/>
      </w:r>
      <w:r>
        <w:rPr>
          <w:lang w:val="en-US"/>
        </w:rPr>
        <w:tab/>
        <w:t>Applicant’s Attorneys</w:t>
      </w:r>
    </w:p>
    <w:p w14:paraId="34722DAE" w14:textId="3EFE8615" w:rsidR="00DE2D45" w:rsidRDefault="00DE2D45" w:rsidP="008D4AE9">
      <w:pPr>
        <w:rPr>
          <w:lang w:val="en-US"/>
        </w:rPr>
      </w:pPr>
      <w:r>
        <w:rPr>
          <w:lang w:val="en-US"/>
        </w:rPr>
        <w:tab/>
      </w:r>
      <w:r>
        <w:rPr>
          <w:lang w:val="en-US"/>
        </w:rPr>
        <w:tab/>
      </w:r>
      <w:r>
        <w:rPr>
          <w:lang w:val="en-US"/>
        </w:rPr>
        <w:tab/>
      </w:r>
      <w:r>
        <w:rPr>
          <w:lang w:val="en-US"/>
        </w:rPr>
        <w:tab/>
      </w:r>
      <w:r>
        <w:rPr>
          <w:lang w:val="en-US"/>
        </w:rPr>
        <w:tab/>
      </w:r>
      <w:r>
        <w:rPr>
          <w:lang w:val="en-US"/>
        </w:rPr>
        <w:tab/>
        <w:t>09 St Georges Road</w:t>
      </w:r>
    </w:p>
    <w:p w14:paraId="4BBF8CAD" w14:textId="5F0D0995" w:rsidR="00DE2D45" w:rsidRDefault="00DE2D45" w:rsidP="008D4AE9">
      <w:pPr>
        <w:rPr>
          <w:lang w:val="en-US"/>
        </w:rPr>
      </w:pPr>
      <w:r>
        <w:rPr>
          <w:lang w:val="en-US"/>
        </w:rPr>
        <w:tab/>
      </w:r>
      <w:r>
        <w:rPr>
          <w:lang w:val="en-US"/>
        </w:rPr>
        <w:tab/>
      </w:r>
      <w:r>
        <w:rPr>
          <w:lang w:val="en-US"/>
        </w:rPr>
        <w:tab/>
      </w:r>
      <w:r>
        <w:rPr>
          <w:lang w:val="en-US"/>
        </w:rPr>
        <w:tab/>
      </w:r>
      <w:r>
        <w:rPr>
          <w:lang w:val="en-US"/>
        </w:rPr>
        <w:tab/>
      </w:r>
      <w:r>
        <w:rPr>
          <w:lang w:val="en-US"/>
        </w:rPr>
        <w:tab/>
        <w:t>Southernwood</w:t>
      </w:r>
    </w:p>
    <w:p w14:paraId="2A70908A" w14:textId="6CD27604" w:rsidR="00DE2D45" w:rsidRDefault="00DE2D45" w:rsidP="008D4AE9">
      <w:pPr>
        <w:rPr>
          <w:lang w:val="en-US"/>
        </w:rPr>
      </w:pPr>
      <w:r>
        <w:rPr>
          <w:lang w:val="en-US"/>
        </w:rPr>
        <w:tab/>
      </w:r>
      <w:r>
        <w:rPr>
          <w:lang w:val="en-US"/>
        </w:rPr>
        <w:tab/>
      </w:r>
      <w:r>
        <w:rPr>
          <w:lang w:val="en-US"/>
        </w:rPr>
        <w:tab/>
      </w:r>
      <w:r>
        <w:rPr>
          <w:lang w:val="en-US"/>
        </w:rPr>
        <w:tab/>
      </w:r>
      <w:r>
        <w:rPr>
          <w:lang w:val="en-US"/>
        </w:rPr>
        <w:tab/>
      </w:r>
      <w:r>
        <w:rPr>
          <w:lang w:val="en-US"/>
        </w:rPr>
        <w:tab/>
        <w:t>East London</w:t>
      </w:r>
    </w:p>
    <w:p w14:paraId="1BA2E847" w14:textId="3A4DE36B" w:rsidR="00186082" w:rsidRDefault="00186082" w:rsidP="008D4AE9">
      <w:pPr>
        <w:rPr>
          <w:lang w:val="en-US"/>
        </w:rPr>
      </w:pPr>
      <w:r>
        <w:rPr>
          <w:lang w:val="en-US"/>
        </w:rPr>
        <w:tab/>
      </w:r>
      <w:r>
        <w:rPr>
          <w:lang w:val="en-US"/>
        </w:rPr>
        <w:tab/>
      </w:r>
      <w:r>
        <w:rPr>
          <w:lang w:val="en-US"/>
        </w:rPr>
        <w:tab/>
      </w:r>
      <w:r>
        <w:rPr>
          <w:lang w:val="en-US"/>
        </w:rPr>
        <w:tab/>
      </w:r>
      <w:r>
        <w:rPr>
          <w:lang w:val="en-US"/>
        </w:rPr>
        <w:tab/>
      </w:r>
      <w:r>
        <w:rPr>
          <w:lang w:val="en-US"/>
        </w:rPr>
        <w:tab/>
        <w:t>Email:</w:t>
      </w:r>
      <w:r w:rsidR="00EE32FC">
        <w:rPr>
          <w:lang w:val="en-US"/>
        </w:rPr>
        <w:t xml:space="preserve"> </w:t>
      </w:r>
      <w:r>
        <w:rPr>
          <w:lang w:val="en-US"/>
        </w:rPr>
        <w:t>mszattorners@gmail.com</w:t>
      </w:r>
    </w:p>
    <w:p w14:paraId="5AD37FA2" w14:textId="77777777" w:rsidR="008E6536" w:rsidRDefault="008E6536" w:rsidP="008D4AE9">
      <w:pPr>
        <w:rPr>
          <w:lang w:val="en-US"/>
        </w:rPr>
      </w:pPr>
    </w:p>
    <w:p w14:paraId="6331531A" w14:textId="37764FB3" w:rsidR="00186082" w:rsidRDefault="00186082" w:rsidP="008D4AE9">
      <w:pPr>
        <w:rPr>
          <w:lang w:val="en-US"/>
        </w:rPr>
      </w:pPr>
      <w:r>
        <w:rPr>
          <w:lang w:val="en-US"/>
        </w:rPr>
        <w:t>C/O</w:t>
      </w:r>
      <w:r>
        <w:rPr>
          <w:lang w:val="en-US"/>
        </w:rPr>
        <w:tab/>
      </w:r>
      <w:r>
        <w:rPr>
          <w:lang w:val="en-US"/>
        </w:rPr>
        <w:tab/>
      </w:r>
      <w:r>
        <w:rPr>
          <w:lang w:val="en-US"/>
        </w:rPr>
        <w:tab/>
      </w:r>
      <w:r>
        <w:rPr>
          <w:lang w:val="en-US"/>
        </w:rPr>
        <w:tab/>
      </w:r>
      <w:r>
        <w:rPr>
          <w:lang w:val="en-US"/>
        </w:rPr>
        <w:tab/>
      </w:r>
      <w:r>
        <w:rPr>
          <w:lang w:val="en-US"/>
        </w:rPr>
        <w:tab/>
        <w:t>SZ Sigabi Attorneys</w:t>
      </w:r>
    </w:p>
    <w:p w14:paraId="60254D8B" w14:textId="135E28BF" w:rsidR="008D4AE9" w:rsidRDefault="00186082" w:rsidP="008D4AE9">
      <w:pPr>
        <w:rPr>
          <w:lang w:val="en-US"/>
        </w:rPr>
      </w:pPr>
      <w:r>
        <w:rPr>
          <w:lang w:val="en-US"/>
        </w:rPr>
        <w:tab/>
      </w:r>
      <w:r>
        <w:rPr>
          <w:lang w:val="en-US"/>
        </w:rPr>
        <w:tab/>
      </w:r>
      <w:r>
        <w:rPr>
          <w:lang w:val="en-US"/>
        </w:rPr>
        <w:tab/>
      </w:r>
      <w:r>
        <w:rPr>
          <w:lang w:val="en-US"/>
        </w:rPr>
        <w:tab/>
      </w:r>
      <w:r>
        <w:rPr>
          <w:lang w:val="en-US"/>
        </w:rPr>
        <w:tab/>
      </w:r>
      <w:r>
        <w:rPr>
          <w:lang w:val="en-US"/>
        </w:rPr>
        <w:tab/>
        <w:t xml:space="preserve"> 5 Arthur Street</w:t>
      </w:r>
    </w:p>
    <w:p w14:paraId="2AC6CDFC" w14:textId="612C3205" w:rsidR="00186082" w:rsidRDefault="00186082" w:rsidP="008D4AE9">
      <w:pPr>
        <w:rPr>
          <w:lang w:val="en-US"/>
        </w:rPr>
      </w:pPr>
      <w:r>
        <w:rPr>
          <w:lang w:val="en-US"/>
        </w:rPr>
        <w:tab/>
      </w:r>
      <w:r>
        <w:rPr>
          <w:lang w:val="en-US"/>
        </w:rPr>
        <w:tab/>
      </w:r>
      <w:r>
        <w:rPr>
          <w:lang w:val="en-US"/>
        </w:rPr>
        <w:tab/>
      </w:r>
      <w:r>
        <w:rPr>
          <w:lang w:val="en-US"/>
        </w:rPr>
        <w:tab/>
      </w:r>
      <w:r>
        <w:rPr>
          <w:lang w:val="en-US"/>
        </w:rPr>
        <w:tab/>
      </w:r>
      <w:r>
        <w:rPr>
          <w:lang w:val="en-US"/>
        </w:rPr>
        <w:tab/>
        <w:t xml:space="preserve"> King William’s Town</w:t>
      </w:r>
    </w:p>
    <w:p w14:paraId="011831ED" w14:textId="77777777" w:rsidR="00186082" w:rsidRDefault="00186082" w:rsidP="008D4AE9">
      <w:pPr>
        <w:rPr>
          <w:lang w:val="en-US"/>
        </w:rPr>
      </w:pPr>
    </w:p>
    <w:p w14:paraId="121CB965" w14:textId="375B8D37" w:rsidR="008D4AE9" w:rsidRDefault="00186082" w:rsidP="008D4AE9">
      <w:pPr>
        <w:rPr>
          <w:lang w:val="en-US"/>
        </w:rPr>
      </w:pPr>
      <w:r>
        <w:rPr>
          <w:lang w:val="en-US"/>
        </w:rPr>
        <w:t xml:space="preserve">Counsel for the Respondents: </w:t>
      </w:r>
      <w:r>
        <w:rPr>
          <w:lang w:val="en-US"/>
        </w:rPr>
        <w:tab/>
      </w:r>
      <w:r>
        <w:rPr>
          <w:lang w:val="en-US"/>
        </w:rPr>
        <w:tab/>
      </w:r>
      <w:r w:rsidR="008D4AE9">
        <w:rPr>
          <w:lang w:val="en-US"/>
        </w:rPr>
        <w:t>Adv LW Ackermann</w:t>
      </w:r>
    </w:p>
    <w:p w14:paraId="1DD4692D" w14:textId="748A280D" w:rsidR="00186082" w:rsidRDefault="00186082" w:rsidP="008D4AE9">
      <w:pPr>
        <w:rPr>
          <w:lang w:val="en-US"/>
        </w:rPr>
      </w:pPr>
      <w:r>
        <w:rPr>
          <w:lang w:val="en-US"/>
        </w:rPr>
        <w:tab/>
      </w:r>
      <w:r>
        <w:rPr>
          <w:lang w:val="en-US"/>
        </w:rPr>
        <w:tab/>
      </w:r>
      <w:r>
        <w:rPr>
          <w:lang w:val="en-US"/>
        </w:rPr>
        <w:tab/>
      </w:r>
      <w:r>
        <w:rPr>
          <w:lang w:val="en-US"/>
        </w:rPr>
        <w:tab/>
      </w:r>
      <w:r>
        <w:rPr>
          <w:lang w:val="en-US"/>
        </w:rPr>
        <w:tab/>
      </w:r>
      <w:r>
        <w:rPr>
          <w:lang w:val="en-US"/>
        </w:rPr>
        <w:tab/>
        <w:t>Chambers, Cape Town</w:t>
      </w:r>
    </w:p>
    <w:p w14:paraId="7D7ABFA3" w14:textId="77777777" w:rsidR="00186082" w:rsidRDefault="00186082" w:rsidP="008D4AE9">
      <w:pPr>
        <w:rPr>
          <w:lang w:val="en-US"/>
        </w:rPr>
      </w:pPr>
    </w:p>
    <w:p w14:paraId="1D1A707A" w14:textId="77777777" w:rsidR="00186082" w:rsidRDefault="00186082" w:rsidP="008D4AE9">
      <w:pPr>
        <w:rPr>
          <w:lang w:val="en-US"/>
        </w:rPr>
      </w:pPr>
      <w:r>
        <w:rPr>
          <w:lang w:val="en-US"/>
        </w:rPr>
        <w:t>Instructed by:</w:t>
      </w:r>
      <w:r>
        <w:rPr>
          <w:lang w:val="en-US"/>
        </w:rPr>
        <w:tab/>
      </w:r>
      <w:r>
        <w:rPr>
          <w:lang w:val="en-US"/>
        </w:rPr>
        <w:tab/>
      </w:r>
      <w:r>
        <w:rPr>
          <w:lang w:val="en-US"/>
        </w:rPr>
        <w:tab/>
      </w:r>
      <w:r>
        <w:rPr>
          <w:lang w:val="en-US"/>
        </w:rPr>
        <w:tab/>
        <w:t>Bradley Conradie Halton Cheadle</w:t>
      </w:r>
    </w:p>
    <w:p w14:paraId="03EF2AC4" w14:textId="77777777" w:rsidR="00186082" w:rsidRDefault="00186082" w:rsidP="008D4AE9">
      <w:pPr>
        <w:rPr>
          <w:lang w:val="en-US"/>
        </w:rPr>
      </w:pPr>
      <w:r>
        <w:rPr>
          <w:lang w:val="en-US"/>
        </w:rPr>
        <w:tab/>
      </w:r>
      <w:r>
        <w:rPr>
          <w:lang w:val="en-US"/>
        </w:rPr>
        <w:tab/>
      </w:r>
      <w:r>
        <w:rPr>
          <w:lang w:val="en-US"/>
        </w:rPr>
        <w:tab/>
      </w:r>
      <w:r>
        <w:rPr>
          <w:lang w:val="en-US"/>
        </w:rPr>
        <w:tab/>
      </w:r>
      <w:r>
        <w:rPr>
          <w:lang w:val="en-US"/>
        </w:rPr>
        <w:tab/>
      </w:r>
      <w:r>
        <w:rPr>
          <w:lang w:val="en-US"/>
        </w:rPr>
        <w:tab/>
        <w:t>Attorneys for the Respondents</w:t>
      </w:r>
    </w:p>
    <w:p w14:paraId="68C4337D" w14:textId="77777777" w:rsidR="00186082" w:rsidRDefault="00186082" w:rsidP="008D4AE9">
      <w:pPr>
        <w:rPr>
          <w:lang w:val="en-US"/>
        </w:rPr>
      </w:pPr>
      <w:r>
        <w:rPr>
          <w:lang w:val="en-US"/>
        </w:rPr>
        <w:tab/>
      </w:r>
      <w:r>
        <w:rPr>
          <w:lang w:val="en-US"/>
        </w:rPr>
        <w:tab/>
      </w:r>
      <w:r>
        <w:rPr>
          <w:lang w:val="en-US"/>
        </w:rPr>
        <w:tab/>
      </w:r>
      <w:r>
        <w:rPr>
          <w:lang w:val="en-US"/>
        </w:rPr>
        <w:tab/>
      </w:r>
      <w:r>
        <w:rPr>
          <w:lang w:val="en-US"/>
        </w:rPr>
        <w:tab/>
      </w:r>
      <w:r>
        <w:rPr>
          <w:lang w:val="en-US"/>
        </w:rPr>
        <w:tab/>
        <w:t>G04, The Gatehouse</w:t>
      </w:r>
    </w:p>
    <w:p w14:paraId="0DAC0F61" w14:textId="77777777" w:rsidR="008E6536" w:rsidRDefault="00186082" w:rsidP="008D4AE9">
      <w:pPr>
        <w:rPr>
          <w:lang w:val="en-US"/>
        </w:rPr>
      </w:pPr>
      <w:r>
        <w:rPr>
          <w:lang w:val="en-US"/>
        </w:rPr>
        <w:tab/>
      </w:r>
      <w:r>
        <w:rPr>
          <w:lang w:val="en-US"/>
        </w:rPr>
        <w:tab/>
      </w:r>
      <w:r>
        <w:rPr>
          <w:lang w:val="en-US"/>
        </w:rPr>
        <w:tab/>
      </w:r>
      <w:r>
        <w:rPr>
          <w:lang w:val="en-US"/>
        </w:rPr>
        <w:tab/>
      </w:r>
      <w:r>
        <w:rPr>
          <w:lang w:val="en-US"/>
        </w:rPr>
        <w:tab/>
      </w:r>
      <w:r>
        <w:rPr>
          <w:lang w:val="en-US"/>
        </w:rPr>
        <w:tab/>
      </w:r>
      <w:r w:rsidR="008E6536">
        <w:rPr>
          <w:lang w:val="en-US"/>
        </w:rPr>
        <w:t xml:space="preserve">Century Way </w:t>
      </w:r>
    </w:p>
    <w:p w14:paraId="11EF68DE" w14:textId="77777777" w:rsidR="008E6536" w:rsidRDefault="008E6536" w:rsidP="008D4AE9">
      <w:pPr>
        <w:rPr>
          <w:lang w:val="en-US"/>
        </w:rPr>
      </w:pPr>
      <w:r>
        <w:rPr>
          <w:lang w:val="en-US"/>
        </w:rPr>
        <w:tab/>
      </w:r>
      <w:r>
        <w:rPr>
          <w:lang w:val="en-US"/>
        </w:rPr>
        <w:tab/>
      </w:r>
      <w:r>
        <w:rPr>
          <w:lang w:val="en-US"/>
        </w:rPr>
        <w:tab/>
      </w:r>
      <w:r>
        <w:rPr>
          <w:lang w:val="en-US"/>
        </w:rPr>
        <w:tab/>
      </w:r>
      <w:r>
        <w:rPr>
          <w:lang w:val="en-US"/>
        </w:rPr>
        <w:tab/>
      </w:r>
      <w:r>
        <w:rPr>
          <w:lang w:val="en-US"/>
        </w:rPr>
        <w:tab/>
        <w:t>Century City</w:t>
      </w:r>
      <w:r w:rsidR="00186082">
        <w:rPr>
          <w:lang w:val="en-US"/>
        </w:rPr>
        <w:tab/>
      </w:r>
    </w:p>
    <w:p w14:paraId="7F73C8FC" w14:textId="1E72EF2A" w:rsidR="008E6536" w:rsidRDefault="008E6536" w:rsidP="008D4AE9">
      <w:pPr>
        <w:rPr>
          <w:lang w:val="en-US"/>
        </w:rPr>
      </w:pPr>
      <w:r>
        <w:rPr>
          <w:lang w:val="en-US"/>
        </w:rPr>
        <w:tab/>
      </w:r>
      <w:r>
        <w:rPr>
          <w:lang w:val="en-US"/>
        </w:rPr>
        <w:tab/>
      </w:r>
      <w:r>
        <w:rPr>
          <w:lang w:val="en-US"/>
        </w:rPr>
        <w:tab/>
      </w:r>
      <w:r>
        <w:rPr>
          <w:lang w:val="en-US"/>
        </w:rPr>
        <w:tab/>
      </w:r>
      <w:r>
        <w:rPr>
          <w:lang w:val="en-US"/>
        </w:rPr>
        <w:tab/>
      </w:r>
      <w:r>
        <w:rPr>
          <w:lang w:val="en-US"/>
        </w:rPr>
        <w:tab/>
        <w:t>Email:</w:t>
      </w:r>
      <w:r w:rsidR="00EE32FC">
        <w:rPr>
          <w:lang w:val="en-US"/>
        </w:rPr>
        <w:t xml:space="preserve"> </w:t>
      </w:r>
      <w:r>
        <w:rPr>
          <w:lang w:val="en-US"/>
        </w:rPr>
        <w:t>liezl@bchc.co.za</w:t>
      </w:r>
    </w:p>
    <w:p w14:paraId="2DCA1955" w14:textId="3E7DE981" w:rsidR="008E6536" w:rsidRDefault="00186082" w:rsidP="008D4AE9">
      <w:pPr>
        <w:rPr>
          <w:lang w:val="en-US"/>
        </w:rPr>
      </w:pPr>
      <w:r>
        <w:rPr>
          <w:lang w:val="en-US"/>
        </w:rPr>
        <w:tab/>
      </w:r>
    </w:p>
    <w:p w14:paraId="321B74B0" w14:textId="77777777" w:rsidR="008E6536" w:rsidRDefault="008E6536" w:rsidP="008D4AE9">
      <w:pPr>
        <w:rPr>
          <w:lang w:val="en-US"/>
        </w:rPr>
      </w:pPr>
      <w:r>
        <w:rPr>
          <w:lang w:val="en-US"/>
        </w:rPr>
        <w:t>C/O</w:t>
      </w:r>
      <w:r>
        <w:rPr>
          <w:lang w:val="en-US"/>
        </w:rPr>
        <w:tab/>
      </w:r>
      <w:r>
        <w:rPr>
          <w:lang w:val="en-US"/>
        </w:rPr>
        <w:tab/>
      </w:r>
      <w:r>
        <w:rPr>
          <w:lang w:val="en-US"/>
        </w:rPr>
        <w:tab/>
      </w:r>
      <w:r>
        <w:rPr>
          <w:lang w:val="en-US"/>
        </w:rPr>
        <w:tab/>
      </w:r>
      <w:r>
        <w:rPr>
          <w:lang w:val="en-US"/>
        </w:rPr>
        <w:tab/>
      </w:r>
      <w:r>
        <w:rPr>
          <w:lang w:val="en-US"/>
        </w:rPr>
        <w:tab/>
        <w:t>Smith Tabata Attorneys</w:t>
      </w:r>
    </w:p>
    <w:p w14:paraId="3AD2D92C" w14:textId="77777777" w:rsidR="008E6536" w:rsidRDefault="008E6536" w:rsidP="008D4AE9">
      <w:pPr>
        <w:rPr>
          <w:lang w:val="en-US"/>
        </w:rPr>
      </w:pPr>
      <w:r>
        <w:rPr>
          <w:lang w:val="en-US"/>
        </w:rPr>
        <w:tab/>
      </w:r>
      <w:r>
        <w:rPr>
          <w:lang w:val="en-US"/>
        </w:rPr>
        <w:tab/>
      </w:r>
      <w:r>
        <w:rPr>
          <w:lang w:val="en-US"/>
        </w:rPr>
        <w:tab/>
      </w:r>
      <w:r>
        <w:rPr>
          <w:lang w:val="en-US"/>
        </w:rPr>
        <w:tab/>
      </w:r>
      <w:r>
        <w:rPr>
          <w:lang w:val="en-US"/>
        </w:rPr>
        <w:tab/>
      </w:r>
      <w:r>
        <w:rPr>
          <w:lang w:val="en-US"/>
        </w:rPr>
        <w:tab/>
        <w:t>8 Sutton Square</w:t>
      </w:r>
    </w:p>
    <w:p w14:paraId="0782D326" w14:textId="77777777" w:rsidR="008E6536" w:rsidRDefault="008E6536" w:rsidP="008D4AE9">
      <w:pPr>
        <w:rPr>
          <w:lang w:val="en-US"/>
        </w:rPr>
      </w:pPr>
      <w:r>
        <w:rPr>
          <w:lang w:val="en-US"/>
        </w:rPr>
        <w:tab/>
      </w:r>
      <w:r>
        <w:rPr>
          <w:lang w:val="en-US"/>
        </w:rPr>
        <w:tab/>
      </w:r>
      <w:r>
        <w:rPr>
          <w:lang w:val="en-US"/>
        </w:rPr>
        <w:tab/>
      </w:r>
      <w:r>
        <w:rPr>
          <w:lang w:val="en-US"/>
        </w:rPr>
        <w:tab/>
      </w:r>
      <w:r>
        <w:rPr>
          <w:lang w:val="en-US"/>
        </w:rPr>
        <w:tab/>
      </w:r>
      <w:r>
        <w:rPr>
          <w:lang w:val="en-US"/>
        </w:rPr>
        <w:tab/>
        <w:t>Queens Road</w:t>
      </w:r>
    </w:p>
    <w:p w14:paraId="2AEA6EC2" w14:textId="6F65B3A8" w:rsidR="00186082" w:rsidRDefault="008E6536" w:rsidP="008D4AE9">
      <w:pPr>
        <w:rPr>
          <w:lang w:val="en-US"/>
        </w:rPr>
      </w:pPr>
      <w:r>
        <w:rPr>
          <w:lang w:val="en-US"/>
        </w:rPr>
        <w:tab/>
      </w:r>
      <w:r>
        <w:rPr>
          <w:lang w:val="en-US"/>
        </w:rPr>
        <w:tab/>
      </w:r>
      <w:r>
        <w:rPr>
          <w:lang w:val="en-US"/>
        </w:rPr>
        <w:tab/>
      </w:r>
      <w:r>
        <w:rPr>
          <w:lang w:val="en-US"/>
        </w:rPr>
        <w:tab/>
      </w:r>
      <w:r>
        <w:rPr>
          <w:lang w:val="en-US"/>
        </w:rPr>
        <w:tab/>
      </w:r>
      <w:r>
        <w:rPr>
          <w:lang w:val="en-US"/>
        </w:rPr>
        <w:tab/>
        <w:t>King William’s Town</w:t>
      </w:r>
      <w:r>
        <w:rPr>
          <w:lang w:val="en-US"/>
        </w:rPr>
        <w:tab/>
      </w:r>
      <w:r w:rsidR="00186082">
        <w:rPr>
          <w:lang w:val="en-US"/>
        </w:rPr>
        <w:tab/>
      </w:r>
    </w:p>
    <w:p w14:paraId="501E604C" w14:textId="77777777" w:rsidR="00186082" w:rsidRDefault="00186082" w:rsidP="008D4AE9">
      <w:pPr>
        <w:rPr>
          <w:lang w:val="en-US"/>
        </w:rPr>
      </w:pPr>
    </w:p>
    <w:p w14:paraId="73AF0007" w14:textId="77777777" w:rsidR="008D4AE9" w:rsidRDefault="008D4AE9" w:rsidP="00772E4B">
      <w:pPr>
        <w:jc w:val="both"/>
        <w:rPr>
          <w:lang w:val="en-GB"/>
        </w:rPr>
      </w:pPr>
    </w:p>
    <w:p w14:paraId="2C48F6E2" w14:textId="0B711B6B" w:rsidR="00AA32DA" w:rsidRPr="00044B50" w:rsidRDefault="00AA32DA" w:rsidP="00772E4B">
      <w:pPr>
        <w:tabs>
          <w:tab w:val="left" w:pos="3119"/>
          <w:tab w:val="center" w:pos="3989"/>
        </w:tabs>
        <w:rPr>
          <w:lang w:val="en-GB"/>
        </w:rPr>
      </w:pPr>
      <w:r w:rsidRPr="00044B50">
        <w:rPr>
          <w:lang w:val="en-GB"/>
        </w:rPr>
        <w:t xml:space="preserve">                                          </w:t>
      </w:r>
    </w:p>
    <w:sectPr w:rsidR="00AA32DA" w:rsidRPr="00044B50" w:rsidSect="00146BA3">
      <w:headerReference w:type="even" r:id="rId9"/>
      <w:headerReference w:type="default" r:id="rId10"/>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35ED50" w14:textId="77777777" w:rsidR="00D827ED" w:rsidRDefault="00D827ED" w:rsidP="00005691">
      <w:r>
        <w:separator/>
      </w:r>
    </w:p>
  </w:endnote>
  <w:endnote w:type="continuationSeparator" w:id="0">
    <w:p w14:paraId="545312C5" w14:textId="77777777" w:rsidR="00D827ED" w:rsidRDefault="00D827ED" w:rsidP="00005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2F44F9" w14:textId="77777777" w:rsidR="00D827ED" w:rsidRDefault="00D827ED" w:rsidP="00005691">
      <w:r>
        <w:separator/>
      </w:r>
    </w:p>
  </w:footnote>
  <w:footnote w:type="continuationSeparator" w:id="0">
    <w:p w14:paraId="3E1653B6" w14:textId="77777777" w:rsidR="00D827ED" w:rsidRDefault="00D827ED" w:rsidP="00005691">
      <w:r>
        <w:continuationSeparator/>
      </w:r>
    </w:p>
  </w:footnote>
  <w:footnote w:id="1">
    <w:p w14:paraId="62E204B5" w14:textId="26568123" w:rsidR="00C220F6" w:rsidRPr="00C220F6" w:rsidRDefault="00C220F6" w:rsidP="00A61E06">
      <w:pPr>
        <w:pStyle w:val="FootnoteText"/>
        <w:spacing w:line="240" w:lineRule="auto"/>
        <w:jc w:val="both"/>
        <w:rPr>
          <w:lang w:val="en-US"/>
        </w:rPr>
      </w:pPr>
      <w:r>
        <w:rPr>
          <w:rStyle w:val="FootnoteReference"/>
        </w:rPr>
        <w:footnoteRef/>
      </w:r>
      <w:r>
        <w:t xml:space="preserve"> </w:t>
      </w:r>
      <w:r>
        <w:rPr>
          <w:lang w:val="en-US"/>
        </w:rPr>
        <w:t>Ms Mtsiki was knocked unconscious and hospitalised for a month, suffering grade five splenic and kidney injuries, a right arm radial fracture, a vertebral body fracture and a bilateral superior public fracture.</w:t>
      </w:r>
    </w:p>
  </w:footnote>
  <w:footnote w:id="2">
    <w:p w14:paraId="4BC76390" w14:textId="653FC50C" w:rsidR="00843658" w:rsidRPr="00843658" w:rsidRDefault="00843658" w:rsidP="00A61E06">
      <w:pPr>
        <w:pStyle w:val="FootnoteText"/>
        <w:spacing w:line="240" w:lineRule="auto"/>
        <w:jc w:val="both"/>
        <w:rPr>
          <w:lang w:val="en-US"/>
        </w:rPr>
      </w:pPr>
      <w:r>
        <w:rPr>
          <w:rStyle w:val="FootnoteReference"/>
        </w:rPr>
        <w:footnoteRef/>
      </w:r>
      <w:r>
        <w:t xml:space="preserve"> </w:t>
      </w:r>
      <w:r>
        <w:rPr>
          <w:lang w:val="en-US"/>
        </w:rPr>
        <w:t>The charge reads as follows: ‘You, being a registered student, are hereby charged with misconduct in terms of DR 19(1) and (7) of the Rules in that you, without just excuse, engaged in conduct which is improper, unbecoming or disgraceful and liable to bring discredit upon the University in that, on or about the 24</w:t>
      </w:r>
      <w:r w:rsidRPr="00843658">
        <w:rPr>
          <w:vertAlign w:val="superscript"/>
          <w:lang w:val="en-US"/>
        </w:rPr>
        <w:t>th</w:t>
      </w:r>
      <w:r>
        <w:rPr>
          <w:lang w:val="en-US"/>
        </w:rPr>
        <w:t xml:space="preserve"> of July 2021, at or about Cougar Hog Car Wash in Alice, you committed the criminal offense of “hit and run” in that you ran over Onazo M</w:t>
      </w:r>
      <w:r w:rsidR="004954CB">
        <w:rPr>
          <w:lang w:val="en-US"/>
        </w:rPr>
        <w:t>ts</w:t>
      </w:r>
      <w:r>
        <w:rPr>
          <w:lang w:val="en-US"/>
        </w:rPr>
        <w:t>iki with your motor vehicle and fled the scene, such conduct falling within the definition of misconduct as defined in the Rules’.</w:t>
      </w:r>
    </w:p>
  </w:footnote>
  <w:footnote w:id="3">
    <w:p w14:paraId="661F9FBC" w14:textId="449B24E0" w:rsidR="00334C99" w:rsidRPr="00334C99" w:rsidRDefault="00334C99" w:rsidP="00A61E06">
      <w:pPr>
        <w:pStyle w:val="FootnoteText"/>
        <w:spacing w:line="240" w:lineRule="auto"/>
        <w:jc w:val="both"/>
        <w:rPr>
          <w:lang w:val="en-US"/>
        </w:rPr>
      </w:pPr>
      <w:r>
        <w:rPr>
          <w:rStyle w:val="FootnoteReference"/>
        </w:rPr>
        <w:footnoteRef/>
      </w:r>
      <w:r>
        <w:t xml:space="preserve"> </w:t>
      </w:r>
      <w:r w:rsidR="008E17EE">
        <w:t xml:space="preserve">See </w:t>
      </w:r>
      <w:r w:rsidR="004A4FA1" w:rsidRPr="007E274A">
        <w:rPr>
          <w:i/>
          <w:iCs/>
          <w:lang w:val="en-US"/>
        </w:rPr>
        <w:t>Biowatch Trust v Registrar Genetic Resources and Others</w:t>
      </w:r>
      <w:r w:rsidR="004A4FA1" w:rsidRPr="007E274A">
        <w:rPr>
          <w:lang w:val="en-US"/>
        </w:rPr>
        <w:t xml:space="preserve"> [2009] ZACC 14 </w:t>
      </w:r>
      <w:r w:rsidR="004A4FA1">
        <w:rPr>
          <w:lang w:val="en-US"/>
        </w:rPr>
        <w:t>(</w:t>
      </w:r>
      <w:r w:rsidR="004A4FA1">
        <w:rPr>
          <w:i/>
          <w:iCs/>
          <w:lang w:val="en-US"/>
        </w:rPr>
        <w:t>‘Biowatch</w:t>
      </w:r>
      <w:r w:rsidR="004A4FA1">
        <w:rPr>
          <w:lang w:val="en-US"/>
        </w:rPr>
        <w:t>’).</w:t>
      </w:r>
    </w:p>
  </w:footnote>
  <w:footnote w:id="4">
    <w:p w14:paraId="597094A2" w14:textId="77777777" w:rsidR="00063E85" w:rsidRPr="007E274A" w:rsidRDefault="00063E85" w:rsidP="00A61E06">
      <w:pPr>
        <w:pStyle w:val="FootnoteText"/>
        <w:spacing w:line="240" w:lineRule="auto"/>
        <w:jc w:val="both"/>
        <w:rPr>
          <w:lang w:val="en-US"/>
        </w:rPr>
      </w:pPr>
      <w:r w:rsidRPr="007E274A">
        <w:rPr>
          <w:rStyle w:val="FootnoteReference"/>
        </w:rPr>
        <w:footnoteRef/>
      </w:r>
      <w:r w:rsidRPr="007E274A">
        <w:t xml:space="preserve"> </w:t>
      </w:r>
      <w:r w:rsidRPr="007E274A">
        <w:rPr>
          <w:i/>
          <w:iCs/>
        </w:rPr>
        <w:t>Motsepe v Commissioner for Inland Revenue</w:t>
      </w:r>
      <w:r w:rsidRPr="007E274A">
        <w:t xml:space="preserve"> [1997] ZACC 3 para 30.</w:t>
      </w:r>
    </w:p>
  </w:footnote>
  <w:footnote w:id="5">
    <w:p w14:paraId="5BEA45FD" w14:textId="77777777" w:rsidR="00555CC7" w:rsidRPr="007E274A" w:rsidRDefault="00555CC7" w:rsidP="00A61E06">
      <w:pPr>
        <w:pStyle w:val="FootnoteText"/>
        <w:spacing w:line="240" w:lineRule="auto"/>
        <w:jc w:val="both"/>
        <w:rPr>
          <w:lang w:val="en-US"/>
        </w:rPr>
      </w:pPr>
      <w:r w:rsidRPr="007E274A">
        <w:rPr>
          <w:rStyle w:val="FootnoteReference"/>
        </w:rPr>
        <w:footnoteRef/>
      </w:r>
      <w:r w:rsidRPr="007E274A">
        <w:t xml:space="preserve"> </w:t>
      </w:r>
      <w:r w:rsidRPr="007E274A">
        <w:rPr>
          <w:i/>
          <w:iCs/>
          <w:lang w:val="en-US"/>
        </w:rPr>
        <w:t>S v Boesak</w:t>
      </w:r>
      <w:r w:rsidRPr="007E274A">
        <w:rPr>
          <w:lang w:val="en-US"/>
        </w:rPr>
        <w:t xml:space="preserve"> [2000] ZACC 25 para 14.</w:t>
      </w:r>
    </w:p>
  </w:footnote>
  <w:footnote w:id="6">
    <w:p w14:paraId="51019E15" w14:textId="122AFAD8" w:rsidR="00D2196F" w:rsidRPr="007E274A" w:rsidRDefault="00D2196F" w:rsidP="00A61E06">
      <w:pPr>
        <w:pStyle w:val="FootnoteText"/>
        <w:spacing w:line="240" w:lineRule="auto"/>
        <w:jc w:val="both"/>
        <w:rPr>
          <w:lang w:val="en-US"/>
        </w:rPr>
      </w:pPr>
      <w:r w:rsidRPr="007E274A">
        <w:rPr>
          <w:rStyle w:val="FootnoteReference"/>
        </w:rPr>
        <w:footnoteRef/>
      </w:r>
      <w:r w:rsidRPr="007E274A">
        <w:t xml:space="preserve"> </w:t>
      </w:r>
      <w:r w:rsidRPr="007E274A">
        <w:rPr>
          <w:i/>
          <w:iCs/>
          <w:lang w:val="en-US"/>
        </w:rPr>
        <w:t>Affordable Medicines Trust and Others v Minister of Health and Another</w:t>
      </w:r>
      <w:r w:rsidRPr="007E274A">
        <w:rPr>
          <w:lang w:val="en-US"/>
        </w:rPr>
        <w:t xml:space="preserve"> [2005] ZACC 3 </w:t>
      </w:r>
      <w:r w:rsidR="00824513">
        <w:rPr>
          <w:lang w:val="en-US"/>
        </w:rPr>
        <w:t>(‘</w:t>
      </w:r>
      <w:r w:rsidR="00824513" w:rsidRPr="00824513">
        <w:rPr>
          <w:i/>
          <w:iCs/>
          <w:lang w:val="en-US"/>
        </w:rPr>
        <w:t>Affordable Medicines</w:t>
      </w:r>
      <w:r w:rsidR="00824513">
        <w:rPr>
          <w:lang w:val="en-US"/>
        </w:rPr>
        <w:t xml:space="preserve">’) </w:t>
      </w:r>
      <w:r w:rsidRPr="007E274A">
        <w:rPr>
          <w:lang w:val="en-US"/>
        </w:rPr>
        <w:t>para 138.</w:t>
      </w:r>
    </w:p>
  </w:footnote>
  <w:footnote w:id="7">
    <w:p w14:paraId="461A5B47" w14:textId="782E95C3" w:rsidR="00D2196F" w:rsidRPr="007E274A" w:rsidRDefault="00D2196F" w:rsidP="00A61E06">
      <w:pPr>
        <w:pStyle w:val="FootnoteText"/>
        <w:spacing w:line="240" w:lineRule="auto"/>
        <w:jc w:val="both"/>
        <w:rPr>
          <w:lang w:val="en-US"/>
        </w:rPr>
      </w:pPr>
      <w:r w:rsidRPr="007E274A">
        <w:rPr>
          <w:rStyle w:val="FootnoteReference"/>
        </w:rPr>
        <w:footnoteRef/>
      </w:r>
      <w:r w:rsidRPr="007E274A">
        <w:t xml:space="preserve"> </w:t>
      </w:r>
      <w:r w:rsidRPr="007E274A">
        <w:rPr>
          <w:lang w:val="en-US"/>
        </w:rPr>
        <w:t xml:space="preserve">In </w:t>
      </w:r>
      <w:r w:rsidR="00334C99">
        <w:rPr>
          <w:i/>
          <w:iCs/>
          <w:lang w:val="en-US"/>
        </w:rPr>
        <w:t xml:space="preserve">Biowatch </w:t>
      </w:r>
      <w:r w:rsidR="00334C99">
        <w:rPr>
          <w:lang w:val="en-US"/>
        </w:rPr>
        <w:t>above n</w:t>
      </w:r>
      <w:r w:rsidR="00A648D9">
        <w:rPr>
          <w:lang w:val="en-US"/>
        </w:rPr>
        <w:t xml:space="preserve"> 3</w:t>
      </w:r>
      <w:r w:rsidR="00334C99">
        <w:rPr>
          <w:lang w:val="en-US"/>
        </w:rPr>
        <w:t xml:space="preserve"> </w:t>
      </w:r>
      <w:r w:rsidRPr="007E274A">
        <w:rPr>
          <w:lang w:val="en-US"/>
        </w:rPr>
        <w:t xml:space="preserve">para 24, the Constitutional Court used the term ‘manifestly inappropriate’ to explain this reason for deviation from the typical rule. In </w:t>
      </w:r>
      <w:r w:rsidRPr="007E274A">
        <w:rPr>
          <w:i/>
          <w:iCs/>
          <w:lang w:val="en-US"/>
        </w:rPr>
        <w:t xml:space="preserve">Lawyers for Human Rights v Minister in the Presidency and Others </w:t>
      </w:r>
      <w:r w:rsidRPr="007E274A">
        <w:rPr>
          <w:lang w:val="en-US"/>
        </w:rPr>
        <w:t>[2016] ZACC 45 para 18, the Court, in addition to ‘frivolous’ and ‘vexatious’, referred to ‘improper motives’ or where there are other circumstances that make it in the interests of justice to order costs.</w:t>
      </w:r>
    </w:p>
  </w:footnote>
  <w:footnote w:id="8">
    <w:p w14:paraId="7C2C8FDA" w14:textId="7A441ECE" w:rsidR="00D2196F" w:rsidRPr="004D611F" w:rsidRDefault="00D2196F" w:rsidP="00A61E06">
      <w:pPr>
        <w:pStyle w:val="FootnoteText"/>
        <w:spacing w:line="240" w:lineRule="auto"/>
        <w:jc w:val="both"/>
        <w:rPr>
          <w:lang w:val="en-US"/>
        </w:rPr>
      </w:pPr>
      <w:r w:rsidRPr="007E274A">
        <w:rPr>
          <w:rStyle w:val="FootnoteReference"/>
        </w:rPr>
        <w:footnoteRef/>
      </w:r>
      <w:r w:rsidRPr="007E274A">
        <w:t xml:space="preserve"> </w:t>
      </w:r>
      <w:r w:rsidR="004D611F">
        <w:rPr>
          <w:i/>
          <w:iCs/>
          <w:lang w:val="en-US"/>
        </w:rPr>
        <w:t xml:space="preserve">Affordable Medicines </w:t>
      </w:r>
      <w:r w:rsidR="004D611F">
        <w:rPr>
          <w:lang w:val="en-US"/>
        </w:rPr>
        <w:t>above n 6 para 138.</w:t>
      </w:r>
    </w:p>
  </w:footnote>
  <w:footnote w:id="9">
    <w:p w14:paraId="54978EF6" w14:textId="575755CD" w:rsidR="00D2196F" w:rsidRPr="007E274A" w:rsidRDefault="00D2196F" w:rsidP="00A61E06">
      <w:pPr>
        <w:pStyle w:val="FootnoteText"/>
        <w:spacing w:line="240" w:lineRule="auto"/>
        <w:jc w:val="both"/>
        <w:rPr>
          <w:lang w:val="en-US"/>
        </w:rPr>
      </w:pPr>
      <w:r w:rsidRPr="007E274A">
        <w:rPr>
          <w:rStyle w:val="FootnoteReference"/>
        </w:rPr>
        <w:footnoteRef/>
      </w:r>
      <w:r w:rsidRPr="007E274A">
        <w:t xml:space="preserve"> </w:t>
      </w:r>
      <w:r>
        <w:rPr>
          <w:i/>
          <w:iCs/>
          <w:lang w:val="en-US"/>
        </w:rPr>
        <w:t xml:space="preserve">Biowatch </w:t>
      </w:r>
      <w:r w:rsidR="00AD2008">
        <w:rPr>
          <w:lang w:val="en-US"/>
        </w:rPr>
        <w:t>above n</w:t>
      </w:r>
      <w:r w:rsidR="00A648D9">
        <w:rPr>
          <w:lang w:val="en-US"/>
        </w:rPr>
        <w:t xml:space="preserve"> 3</w:t>
      </w:r>
      <w:r>
        <w:rPr>
          <w:lang w:val="en-US"/>
        </w:rPr>
        <w:t xml:space="preserve"> </w:t>
      </w:r>
      <w:r w:rsidRPr="007E274A">
        <w:rPr>
          <w:lang w:val="en-US"/>
        </w:rPr>
        <w:t>para 23.</w:t>
      </w:r>
    </w:p>
  </w:footnote>
  <w:footnote w:id="10">
    <w:p w14:paraId="55545B71" w14:textId="76E4269D" w:rsidR="00D2196F" w:rsidRPr="007E274A" w:rsidRDefault="00D2196F" w:rsidP="00A61E06">
      <w:pPr>
        <w:pStyle w:val="FootnoteText"/>
        <w:spacing w:line="240" w:lineRule="auto"/>
        <w:jc w:val="both"/>
        <w:rPr>
          <w:lang w:val="en-US"/>
        </w:rPr>
      </w:pPr>
      <w:r w:rsidRPr="007E274A">
        <w:rPr>
          <w:rStyle w:val="FootnoteReference"/>
        </w:rPr>
        <w:footnoteRef/>
      </w:r>
      <w:r w:rsidRPr="007E274A">
        <w:t xml:space="preserve"> </w:t>
      </w:r>
      <w:r w:rsidRPr="007E274A">
        <w:rPr>
          <w:i/>
          <w:iCs/>
          <w:lang w:val="en-US"/>
        </w:rPr>
        <w:t xml:space="preserve">Biowatch </w:t>
      </w:r>
      <w:r w:rsidR="00786BC0">
        <w:rPr>
          <w:lang w:val="en-US"/>
        </w:rPr>
        <w:t>above n 3</w:t>
      </w:r>
      <w:r>
        <w:rPr>
          <w:lang w:val="en-US"/>
        </w:rPr>
        <w:t xml:space="preserve"> </w:t>
      </w:r>
      <w:r w:rsidRPr="007E274A">
        <w:rPr>
          <w:lang w:val="en-US"/>
        </w:rPr>
        <w:t>para 24.</w:t>
      </w:r>
    </w:p>
  </w:footnote>
  <w:footnote w:id="11">
    <w:p w14:paraId="2044E35B" w14:textId="22F77967" w:rsidR="00D2196F" w:rsidRPr="007E274A" w:rsidRDefault="00D2196F" w:rsidP="00A61E06">
      <w:pPr>
        <w:pStyle w:val="FootnoteText"/>
        <w:spacing w:line="240" w:lineRule="auto"/>
        <w:jc w:val="both"/>
        <w:rPr>
          <w:lang w:val="en-US"/>
        </w:rPr>
      </w:pPr>
      <w:r w:rsidRPr="007E274A">
        <w:rPr>
          <w:rStyle w:val="FootnoteReference"/>
        </w:rPr>
        <w:footnoteRef/>
      </w:r>
      <w:r w:rsidRPr="007E274A">
        <w:t xml:space="preserve"> </w:t>
      </w:r>
      <w:r w:rsidRPr="007E274A">
        <w:rPr>
          <w:i/>
          <w:iCs/>
          <w:lang w:val="en-US"/>
        </w:rPr>
        <w:t xml:space="preserve">Biowatch </w:t>
      </w:r>
      <w:r w:rsidR="00786BC0">
        <w:rPr>
          <w:lang w:val="en-US"/>
        </w:rPr>
        <w:t xml:space="preserve">above n 3 </w:t>
      </w:r>
      <w:r w:rsidRPr="007E274A">
        <w:rPr>
          <w:lang w:val="en-US"/>
        </w:rPr>
        <w:t xml:space="preserve">para 25. Also see </w:t>
      </w:r>
      <w:r w:rsidRPr="007E274A">
        <w:rPr>
          <w:i/>
          <w:iCs/>
          <w:lang w:val="en-US"/>
        </w:rPr>
        <w:t>Harrielall v University of KwaZulu-Natal</w:t>
      </w:r>
      <w:r w:rsidRPr="007E274A">
        <w:rPr>
          <w:lang w:val="en-US"/>
        </w:rPr>
        <w:t xml:space="preserve"> [2017] ZACC 38 </w:t>
      </w:r>
      <w:r w:rsidR="0023001D">
        <w:rPr>
          <w:lang w:val="en-US"/>
        </w:rPr>
        <w:t>(‘</w:t>
      </w:r>
      <w:r w:rsidR="0023001D">
        <w:rPr>
          <w:i/>
          <w:iCs/>
          <w:lang w:val="en-US"/>
        </w:rPr>
        <w:t>Harrielall</w:t>
      </w:r>
      <w:r w:rsidR="0023001D">
        <w:rPr>
          <w:lang w:val="en-US"/>
        </w:rPr>
        <w:t>’</w:t>
      </w:r>
      <w:r w:rsidR="0023001D">
        <w:rPr>
          <w:i/>
          <w:iCs/>
          <w:lang w:val="en-US"/>
        </w:rPr>
        <w:t xml:space="preserve">) </w:t>
      </w:r>
      <w:r w:rsidRPr="007E274A">
        <w:rPr>
          <w:lang w:val="en-US"/>
        </w:rPr>
        <w:t>para 11: the rule applies in the case of genuine ‘constitutional matters’ involving organs of state, rather than only in the case where a right in the Bill of Rights is in issue.</w:t>
      </w:r>
    </w:p>
  </w:footnote>
  <w:footnote w:id="12">
    <w:p w14:paraId="390ECA30" w14:textId="77777777" w:rsidR="009C33C1" w:rsidRPr="007E274A" w:rsidRDefault="009C33C1" w:rsidP="00A61E06">
      <w:pPr>
        <w:pStyle w:val="FootnoteText"/>
        <w:spacing w:line="240" w:lineRule="auto"/>
        <w:jc w:val="both"/>
        <w:rPr>
          <w:lang w:val="en-US"/>
        </w:rPr>
      </w:pPr>
      <w:r w:rsidRPr="007E274A">
        <w:rPr>
          <w:rStyle w:val="FootnoteReference"/>
        </w:rPr>
        <w:footnoteRef/>
      </w:r>
      <w:r w:rsidRPr="007E274A">
        <w:t xml:space="preserve"> </w:t>
      </w:r>
      <w:r w:rsidRPr="007E274A">
        <w:rPr>
          <w:i/>
          <w:iCs/>
          <w:lang w:val="en-US"/>
        </w:rPr>
        <w:t>Mbatha v University of Zululand</w:t>
      </w:r>
      <w:r w:rsidRPr="007E274A">
        <w:rPr>
          <w:lang w:val="en-US"/>
        </w:rPr>
        <w:t xml:space="preserve"> [2013] ZACC 43 paras 221, 222.</w:t>
      </w:r>
    </w:p>
  </w:footnote>
  <w:footnote w:id="13">
    <w:p w14:paraId="076F6749" w14:textId="3673BC9F" w:rsidR="009C33C1" w:rsidRPr="007E274A" w:rsidRDefault="009C33C1" w:rsidP="00A61E06">
      <w:pPr>
        <w:pStyle w:val="FootnoteText"/>
        <w:spacing w:line="240" w:lineRule="auto"/>
        <w:jc w:val="both"/>
        <w:rPr>
          <w:lang w:val="en-US"/>
        </w:rPr>
      </w:pPr>
      <w:r w:rsidRPr="007E274A">
        <w:rPr>
          <w:rStyle w:val="FootnoteReference"/>
        </w:rPr>
        <w:footnoteRef/>
      </w:r>
      <w:r w:rsidRPr="007E274A">
        <w:t xml:space="preserve"> </w:t>
      </w:r>
      <w:r w:rsidRPr="007E274A">
        <w:rPr>
          <w:i/>
          <w:iCs/>
          <w:lang w:val="en-US"/>
        </w:rPr>
        <w:t>Minister of Safety and Security and Another v Schuster and Another</w:t>
      </w:r>
      <w:r w:rsidRPr="007E274A">
        <w:rPr>
          <w:lang w:val="en-US"/>
        </w:rPr>
        <w:t xml:space="preserve"> [2018] ZASCA 112</w:t>
      </w:r>
      <w:r w:rsidR="00C64B98">
        <w:rPr>
          <w:lang w:val="en-US"/>
        </w:rPr>
        <w:t>.</w:t>
      </w:r>
    </w:p>
  </w:footnote>
  <w:footnote w:id="14">
    <w:p w14:paraId="35EBC99C" w14:textId="24156B69" w:rsidR="00E56A2F" w:rsidRPr="00E56A2F" w:rsidRDefault="00E56A2F" w:rsidP="00A61E06">
      <w:pPr>
        <w:pStyle w:val="FootnoteText"/>
        <w:spacing w:line="240" w:lineRule="auto"/>
        <w:jc w:val="both"/>
        <w:rPr>
          <w:lang w:val="en-US"/>
        </w:rPr>
      </w:pPr>
      <w:r>
        <w:rPr>
          <w:rStyle w:val="FootnoteReference"/>
        </w:rPr>
        <w:footnoteRef/>
      </w:r>
      <w:r>
        <w:t xml:space="preserve"> </w:t>
      </w:r>
      <w:r>
        <w:rPr>
          <w:i/>
          <w:iCs/>
          <w:lang w:val="en-US"/>
        </w:rPr>
        <w:t>Harrielall</w:t>
      </w:r>
      <w:r w:rsidR="009F2EC0">
        <w:rPr>
          <w:lang w:val="en-US"/>
        </w:rPr>
        <w:t xml:space="preserve"> above n 11</w:t>
      </w:r>
      <w:r>
        <w:rPr>
          <w:lang w:val="en-US"/>
        </w:rPr>
        <w:t>.</w:t>
      </w:r>
    </w:p>
  </w:footnote>
  <w:footnote w:id="15">
    <w:p w14:paraId="44D3767E" w14:textId="16CEF7AE" w:rsidR="00D7472B" w:rsidRPr="00B661C3" w:rsidRDefault="00D7472B" w:rsidP="00A61E06">
      <w:pPr>
        <w:pStyle w:val="FootnoteText"/>
        <w:spacing w:line="240" w:lineRule="auto"/>
        <w:jc w:val="both"/>
        <w:rPr>
          <w:lang w:val="en-US"/>
        </w:rPr>
      </w:pPr>
      <w:r>
        <w:rPr>
          <w:rStyle w:val="FootnoteReference"/>
        </w:rPr>
        <w:footnoteRef/>
      </w:r>
      <w:r>
        <w:t xml:space="preserve"> </w:t>
      </w:r>
      <w:r w:rsidR="001915B1">
        <w:rPr>
          <w:i/>
          <w:iCs/>
        </w:rPr>
        <w:t xml:space="preserve">Harrielall </w:t>
      </w:r>
      <w:r w:rsidR="001915B1">
        <w:t>above n 11</w:t>
      </w:r>
      <w:r w:rsidR="0022547F">
        <w:t xml:space="preserve"> </w:t>
      </w:r>
      <w:r>
        <w:t>para 11.</w:t>
      </w:r>
      <w:r w:rsidR="00B661C3">
        <w:t xml:space="preserve"> It is trite that UFH</w:t>
      </w:r>
      <w:r w:rsidR="00B26F77">
        <w:t xml:space="preserve"> is a public institution through which the State discharges its constitutional obligation to make access to further education realisable and</w:t>
      </w:r>
      <w:r w:rsidR="00B661C3">
        <w:t xml:space="preserve"> is an organ of State: see </w:t>
      </w:r>
      <w:r w:rsidR="00B661C3">
        <w:rPr>
          <w:i/>
          <w:iCs/>
        </w:rPr>
        <w:t>Harrielall</w:t>
      </w:r>
      <w:r w:rsidR="00B661C3">
        <w:t xml:space="preserve"> above n</w:t>
      </w:r>
      <w:r w:rsidR="00A648D9">
        <w:t xml:space="preserve"> 1</w:t>
      </w:r>
      <w:r w:rsidR="00A75D40">
        <w:t>1</w:t>
      </w:r>
      <w:r w:rsidR="00B661C3">
        <w:t xml:space="preserve"> para 15.</w:t>
      </w:r>
    </w:p>
  </w:footnote>
  <w:footnote w:id="16">
    <w:p w14:paraId="13C04096" w14:textId="17D84C88" w:rsidR="00302210" w:rsidRPr="00302210" w:rsidRDefault="00302210" w:rsidP="00A61E06">
      <w:pPr>
        <w:pStyle w:val="FootnoteText"/>
        <w:spacing w:line="240" w:lineRule="auto"/>
        <w:jc w:val="both"/>
        <w:rPr>
          <w:lang w:val="en-US"/>
        </w:rPr>
      </w:pPr>
      <w:r>
        <w:rPr>
          <w:rStyle w:val="FootnoteReference"/>
        </w:rPr>
        <w:footnoteRef/>
      </w:r>
      <w:r>
        <w:t xml:space="preserve"> </w:t>
      </w:r>
      <w:r w:rsidR="00D94304">
        <w:rPr>
          <w:i/>
          <w:iCs/>
          <w:lang w:val="en-US"/>
        </w:rPr>
        <w:t>Harrielall</w:t>
      </w:r>
      <w:r w:rsidR="00D94304">
        <w:rPr>
          <w:lang w:val="en-US"/>
        </w:rPr>
        <w:t xml:space="preserve"> above n 11</w:t>
      </w:r>
      <w:r>
        <w:rPr>
          <w:lang w:val="en-US"/>
        </w:rPr>
        <w:t xml:space="preserve"> para 12.</w:t>
      </w:r>
      <w:r w:rsidR="00302E3A">
        <w:rPr>
          <w:lang w:val="en-US"/>
        </w:rPr>
        <w:t xml:space="preserve"> The exceptions are frivolous or vexatious litigation and conduct on the part of the litigant that deserves censure by the court which may influence the court to order an unsuccessful litigant to pay costs.</w:t>
      </w:r>
    </w:p>
  </w:footnote>
  <w:footnote w:id="17">
    <w:p w14:paraId="6E4AE7AE" w14:textId="19466DF2" w:rsidR="002366E5" w:rsidRPr="002366E5" w:rsidRDefault="002366E5" w:rsidP="00A61E06">
      <w:pPr>
        <w:pStyle w:val="FootnoteText"/>
        <w:spacing w:line="240" w:lineRule="auto"/>
        <w:jc w:val="both"/>
        <w:rPr>
          <w:lang w:val="en-US"/>
        </w:rPr>
      </w:pPr>
      <w:r>
        <w:rPr>
          <w:rStyle w:val="FootnoteReference"/>
        </w:rPr>
        <w:footnoteRef/>
      </w:r>
      <w:r>
        <w:t xml:space="preserve"> </w:t>
      </w:r>
      <w:r>
        <w:rPr>
          <w:i/>
          <w:iCs/>
          <w:lang w:val="en-US"/>
        </w:rPr>
        <w:t>Harrielall</w:t>
      </w:r>
      <w:r>
        <w:rPr>
          <w:lang w:val="en-US"/>
        </w:rPr>
        <w:t xml:space="preserve"> </w:t>
      </w:r>
      <w:r w:rsidR="00D3325E">
        <w:rPr>
          <w:lang w:val="en-US"/>
        </w:rPr>
        <w:t>above n 1</w:t>
      </w:r>
      <w:r w:rsidR="00DC62DA">
        <w:rPr>
          <w:lang w:val="en-US"/>
        </w:rPr>
        <w:t>1</w:t>
      </w:r>
      <w:r w:rsidR="00D3325E">
        <w:rPr>
          <w:lang w:val="en-US"/>
        </w:rPr>
        <w:t xml:space="preserve"> </w:t>
      </w:r>
      <w:r>
        <w:rPr>
          <w:lang w:val="en-US"/>
        </w:rPr>
        <w:t>para 14.</w:t>
      </w:r>
    </w:p>
  </w:footnote>
  <w:footnote w:id="18">
    <w:p w14:paraId="1AF8F914" w14:textId="403CF92F" w:rsidR="001451A4" w:rsidRPr="001451A4" w:rsidRDefault="001451A4" w:rsidP="00A61E06">
      <w:pPr>
        <w:pStyle w:val="FootnoteText"/>
        <w:spacing w:line="240" w:lineRule="auto"/>
        <w:jc w:val="both"/>
        <w:rPr>
          <w:lang w:val="en-US"/>
        </w:rPr>
      </w:pPr>
      <w:r>
        <w:rPr>
          <w:rStyle w:val="FootnoteReference"/>
        </w:rPr>
        <w:footnoteRef/>
      </w:r>
      <w:r>
        <w:t xml:space="preserve"> </w:t>
      </w:r>
      <w:r>
        <w:rPr>
          <w:lang w:val="en-US"/>
        </w:rPr>
        <w:t>Act 3 of 2000.</w:t>
      </w:r>
    </w:p>
  </w:footnote>
  <w:footnote w:id="19">
    <w:p w14:paraId="23976C5F" w14:textId="3C1D2049" w:rsidR="00766DC3" w:rsidRPr="00766DC3" w:rsidRDefault="00766DC3" w:rsidP="00A61E06">
      <w:pPr>
        <w:pStyle w:val="FootnoteText"/>
        <w:spacing w:line="240" w:lineRule="auto"/>
        <w:jc w:val="both"/>
        <w:rPr>
          <w:lang w:val="en-US"/>
        </w:rPr>
      </w:pPr>
      <w:r>
        <w:rPr>
          <w:rStyle w:val="FootnoteReference"/>
        </w:rPr>
        <w:footnoteRef/>
      </w:r>
      <w:r>
        <w:t xml:space="preserve"> </w:t>
      </w:r>
      <w:r>
        <w:rPr>
          <w:i/>
          <w:iCs/>
          <w:lang w:val="en-US"/>
        </w:rPr>
        <w:t>Harrielall</w:t>
      </w:r>
      <w:r>
        <w:rPr>
          <w:lang w:val="en-US"/>
        </w:rPr>
        <w:t xml:space="preserve"> above n</w:t>
      </w:r>
      <w:r w:rsidR="00A648D9">
        <w:rPr>
          <w:lang w:val="en-US"/>
        </w:rPr>
        <w:t xml:space="preserve"> 1</w:t>
      </w:r>
      <w:r w:rsidR="00277C1E">
        <w:rPr>
          <w:lang w:val="en-US"/>
        </w:rPr>
        <w:t>1</w:t>
      </w:r>
      <w:r>
        <w:rPr>
          <w:lang w:val="en-US"/>
        </w:rPr>
        <w:t xml:space="preserve"> paras 17-1</w:t>
      </w:r>
      <w:r w:rsidR="00173321">
        <w:rPr>
          <w:lang w:val="en-US"/>
        </w:rPr>
        <w:t>8.</w:t>
      </w:r>
      <w:r w:rsidR="00BC2492">
        <w:rPr>
          <w:lang w:val="en-US"/>
        </w:rPr>
        <w:t xml:space="preserve"> </w:t>
      </w:r>
    </w:p>
  </w:footnote>
  <w:footnote w:id="20">
    <w:p w14:paraId="7ECF8796" w14:textId="77777777" w:rsidR="00827B7D" w:rsidRPr="002F656C" w:rsidRDefault="00827B7D" w:rsidP="00A61E06">
      <w:pPr>
        <w:pStyle w:val="FootnoteText"/>
        <w:spacing w:line="240" w:lineRule="auto"/>
        <w:jc w:val="both"/>
        <w:rPr>
          <w:lang w:val="en-US"/>
        </w:rPr>
      </w:pPr>
      <w:r>
        <w:rPr>
          <w:rStyle w:val="FootnoteReference"/>
        </w:rPr>
        <w:footnoteRef/>
      </w:r>
      <w:r>
        <w:t xml:space="preserve"> </w:t>
      </w:r>
      <w:r>
        <w:rPr>
          <w:i/>
          <w:iCs/>
          <w:lang w:val="en-US"/>
        </w:rPr>
        <w:t>Mandela v The Executors, Estate Late Nelson Rolihlahla Mandela &amp; Others</w:t>
      </w:r>
      <w:r>
        <w:rPr>
          <w:lang w:val="en-US"/>
        </w:rPr>
        <w:t xml:space="preserve"> [2017] ZASCA 02 para 32.</w:t>
      </w:r>
    </w:p>
  </w:footnote>
  <w:footnote w:id="21">
    <w:p w14:paraId="7A91865E" w14:textId="77777777" w:rsidR="00827B7D" w:rsidRPr="001E6078" w:rsidRDefault="00827B7D" w:rsidP="00A61E06">
      <w:pPr>
        <w:pStyle w:val="FootnoteText"/>
        <w:spacing w:line="240" w:lineRule="auto"/>
        <w:jc w:val="both"/>
        <w:rPr>
          <w:lang w:val="en-US"/>
        </w:rPr>
      </w:pPr>
      <w:r>
        <w:rPr>
          <w:rStyle w:val="FootnoteReference"/>
        </w:rPr>
        <w:footnoteRef/>
      </w:r>
      <w:r>
        <w:t xml:space="preserve"> </w:t>
      </w:r>
      <w:r>
        <w:rPr>
          <w:lang w:val="en-US"/>
        </w:rPr>
        <w:t>Ibid. The SCA added that even though there had been a delay found by the court to be objectively unreasonable, this did not amount to frivolous or vexatious litigation in the sense contemplated by the jurisprudence of the Constitutional Court.</w:t>
      </w:r>
    </w:p>
  </w:footnote>
  <w:footnote w:id="22">
    <w:p w14:paraId="78117513" w14:textId="0A002E14" w:rsidR="00AE117C" w:rsidRPr="00AE117C" w:rsidRDefault="00AE117C" w:rsidP="00A61E06">
      <w:pPr>
        <w:pStyle w:val="FootnoteText"/>
        <w:spacing w:line="240" w:lineRule="auto"/>
        <w:jc w:val="both"/>
        <w:rPr>
          <w:lang w:val="en-US"/>
        </w:rPr>
      </w:pPr>
      <w:r>
        <w:rPr>
          <w:rStyle w:val="FootnoteReference"/>
        </w:rPr>
        <w:footnoteRef/>
      </w:r>
      <w:r>
        <w:t xml:space="preserve"> </w:t>
      </w:r>
      <w:r>
        <w:rPr>
          <w:i/>
          <w:iCs/>
          <w:lang w:val="en-US"/>
        </w:rPr>
        <w:t>Motala v The Master of the North Gauteng High Court, Pretoria</w:t>
      </w:r>
      <w:r>
        <w:rPr>
          <w:lang w:val="en-US"/>
        </w:rPr>
        <w:t xml:space="preserve"> [2019] ZASCA 60 para 98.</w:t>
      </w:r>
    </w:p>
  </w:footnote>
  <w:footnote w:id="23">
    <w:p w14:paraId="20A4AD4C" w14:textId="7A2D1063" w:rsidR="000F2E10" w:rsidRPr="000F2E10" w:rsidRDefault="000F2E10" w:rsidP="00A61E06">
      <w:pPr>
        <w:pStyle w:val="FootnoteText"/>
        <w:spacing w:line="240" w:lineRule="auto"/>
        <w:jc w:val="both"/>
        <w:rPr>
          <w:lang w:val="en-US"/>
        </w:rPr>
      </w:pPr>
      <w:r>
        <w:rPr>
          <w:rStyle w:val="FootnoteReference"/>
        </w:rPr>
        <w:footnoteRef/>
      </w:r>
      <w:r>
        <w:t xml:space="preserve"> </w:t>
      </w:r>
      <w:r>
        <w:rPr>
          <w:lang w:val="en-US"/>
        </w:rPr>
        <w:t xml:space="preserve">Ibid para 99. </w:t>
      </w:r>
    </w:p>
  </w:footnote>
  <w:footnote w:id="24">
    <w:p w14:paraId="46053F5E" w14:textId="4C982318" w:rsidR="008D235C" w:rsidRPr="008D235C" w:rsidRDefault="008D235C" w:rsidP="00A61E06">
      <w:pPr>
        <w:pStyle w:val="FootnoteText"/>
        <w:spacing w:line="240" w:lineRule="auto"/>
        <w:jc w:val="both"/>
        <w:rPr>
          <w:lang w:val="en-US"/>
        </w:rPr>
      </w:pPr>
      <w:r>
        <w:rPr>
          <w:rStyle w:val="FootnoteReference"/>
        </w:rPr>
        <w:footnoteRef/>
      </w:r>
      <w:r>
        <w:t xml:space="preserve"> </w:t>
      </w:r>
      <w:r>
        <w:rPr>
          <w:lang w:val="en-US"/>
        </w:rPr>
        <w:t>Ibid.</w:t>
      </w:r>
    </w:p>
  </w:footnote>
  <w:footnote w:id="25">
    <w:p w14:paraId="67B64FC6" w14:textId="6183C650" w:rsidR="00604450" w:rsidRPr="00604450" w:rsidRDefault="00604450" w:rsidP="00A61E06">
      <w:pPr>
        <w:pStyle w:val="FootnoteText"/>
        <w:spacing w:line="240" w:lineRule="auto"/>
        <w:jc w:val="both"/>
        <w:rPr>
          <w:lang w:val="en-US"/>
        </w:rPr>
      </w:pPr>
      <w:r>
        <w:rPr>
          <w:rStyle w:val="FootnoteReference"/>
        </w:rPr>
        <w:footnoteRef/>
      </w:r>
      <w:r>
        <w:t xml:space="preserve"> </w:t>
      </w:r>
      <w:r>
        <w:rPr>
          <w:i/>
          <w:iCs/>
          <w:lang w:val="en-US"/>
        </w:rPr>
        <w:t>MEC for Local Government, Environmental Affairs and Development Planning, Western Cape &amp; Another v Plotz NO</w:t>
      </w:r>
      <w:r>
        <w:rPr>
          <w:lang w:val="en-US"/>
        </w:rPr>
        <w:t xml:space="preserve"> </w:t>
      </w:r>
      <w:r>
        <w:rPr>
          <w:i/>
          <w:iCs/>
          <w:lang w:val="en-US"/>
        </w:rPr>
        <w:t>&amp; Another</w:t>
      </w:r>
      <w:r>
        <w:rPr>
          <w:lang w:val="en-US"/>
        </w:rPr>
        <w:t xml:space="preserve"> [2017] ZASCA 175</w:t>
      </w:r>
      <w:r w:rsidR="00BC6B3D">
        <w:rPr>
          <w:lang w:val="en-US"/>
        </w:rPr>
        <w:t xml:space="preserve"> para 33.</w:t>
      </w:r>
    </w:p>
  </w:footnote>
  <w:footnote w:id="26">
    <w:p w14:paraId="42354538" w14:textId="4EB72174" w:rsidR="00A63772" w:rsidRPr="00BD09F7" w:rsidRDefault="00A63772" w:rsidP="00A61E06">
      <w:pPr>
        <w:pStyle w:val="FootnoteText"/>
        <w:spacing w:line="240" w:lineRule="auto"/>
        <w:jc w:val="both"/>
        <w:rPr>
          <w:lang w:val="en-US"/>
        </w:rPr>
      </w:pPr>
      <w:r>
        <w:rPr>
          <w:rStyle w:val="FootnoteReference"/>
        </w:rPr>
        <w:footnoteRef/>
      </w:r>
      <w:r>
        <w:t xml:space="preserve"> See </w:t>
      </w:r>
      <w:r>
        <w:rPr>
          <w:i/>
          <w:iCs/>
          <w:lang w:val="en-US"/>
        </w:rPr>
        <w:t>Toyi and Others v Nelson Mandela University</w:t>
      </w:r>
      <w:r>
        <w:rPr>
          <w:lang w:val="en-US"/>
        </w:rPr>
        <w:t xml:space="preserve"> [2021] ZAECPEHC 17 para 25.</w:t>
      </w:r>
      <w:r w:rsidR="00BD09F7">
        <w:rPr>
          <w:lang w:val="en-US"/>
        </w:rPr>
        <w:t xml:space="preserve"> Cf </w:t>
      </w:r>
      <w:r w:rsidR="00BD09F7">
        <w:rPr>
          <w:i/>
          <w:iCs/>
          <w:lang w:val="en-US"/>
        </w:rPr>
        <w:t>Mbuthuma and Another v Walter Sisulu University and Others</w:t>
      </w:r>
      <w:r w:rsidR="00BD09F7">
        <w:rPr>
          <w:lang w:val="en-US"/>
        </w:rPr>
        <w:t xml:space="preserve"> [2019] ZAECMHC 79; 2020 (4) SA 602 (ECM) para 58.</w:t>
      </w:r>
    </w:p>
  </w:footnote>
  <w:footnote w:id="27">
    <w:p w14:paraId="7BAA3BE9" w14:textId="77777777" w:rsidR="00B74D40" w:rsidRPr="005E1E40" w:rsidRDefault="00B74D40" w:rsidP="00A61E06">
      <w:pPr>
        <w:pStyle w:val="FootnoteText"/>
        <w:spacing w:line="240" w:lineRule="auto"/>
        <w:jc w:val="both"/>
        <w:rPr>
          <w:lang w:val="en-US"/>
        </w:rPr>
      </w:pPr>
      <w:r>
        <w:rPr>
          <w:rStyle w:val="FootnoteReference"/>
        </w:rPr>
        <w:footnoteRef/>
      </w:r>
      <w:r>
        <w:t xml:space="preserve"> </w:t>
      </w:r>
      <w:r>
        <w:rPr>
          <w:i/>
          <w:iCs/>
          <w:lang w:val="en-US"/>
        </w:rPr>
        <w:t xml:space="preserve">Hotz and Others v University of Cape Town </w:t>
      </w:r>
      <w:r>
        <w:rPr>
          <w:lang w:val="en-US"/>
        </w:rPr>
        <w:t>[2017] ZACC 10 (‘</w:t>
      </w:r>
      <w:r>
        <w:rPr>
          <w:i/>
          <w:iCs/>
          <w:lang w:val="en-US"/>
        </w:rPr>
        <w:t>Hotz</w:t>
      </w:r>
      <w:r>
        <w:rPr>
          <w:lang w:val="en-US"/>
        </w:rPr>
        <w:t>’)</w:t>
      </w:r>
      <w:r>
        <w:rPr>
          <w:i/>
          <w:iCs/>
          <w:lang w:val="en-US"/>
        </w:rPr>
        <w:t xml:space="preserve"> </w:t>
      </w:r>
      <w:r>
        <w:rPr>
          <w:lang w:val="en-US"/>
        </w:rPr>
        <w:t>para 27 and following.</w:t>
      </w:r>
    </w:p>
  </w:footnote>
  <w:footnote w:id="28">
    <w:p w14:paraId="2B6C031F" w14:textId="77777777" w:rsidR="00461B7A" w:rsidRPr="007D532B" w:rsidRDefault="00461B7A" w:rsidP="00A61E06">
      <w:pPr>
        <w:pStyle w:val="FootnoteText"/>
        <w:spacing w:line="240" w:lineRule="auto"/>
        <w:jc w:val="both"/>
        <w:rPr>
          <w:lang w:val="en-US"/>
        </w:rPr>
      </w:pPr>
      <w:r>
        <w:rPr>
          <w:rStyle w:val="FootnoteReference"/>
        </w:rPr>
        <w:footnoteRef/>
      </w:r>
      <w:r>
        <w:t xml:space="preserve"> </w:t>
      </w:r>
      <w:r>
        <w:rPr>
          <w:i/>
          <w:iCs/>
          <w:lang w:val="en-US"/>
        </w:rPr>
        <w:t>TM obo MM v Member of the Executive Council for Health and Social Development, Gauteng</w:t>
      </w:r>
      <w:r>
        <w:rPr>
          <w:lang w:val="en-US"/>
        </w:rPr>
        <w:t xml:space="preserve"> [2022] ZACC 18 para 63.</w:t>
      </w:r>
    </w:p>
  </w:footnote>
  <w:footnote w:id="29">
    <w:p w14:paraId="69C089E3" w14:textId="77777777" w:rsidR="00461B7A" w:rsidRPr="00450272" w:rsidRDefault="00461B7A" w:rsidP="00A61E06">
      <w:pPr>
        <w:pStyle w:val="FootnoteText"/>
        <w:spacing w:line="240" w:lineRule="auto"/>
        <w:jc w:val="both"/>
        <w:rPr>
          <w:i/>
          <w:iCs/>
          <w:lang w:val="en-US"/>
        </w:rPr>
      </w:pPr>
      <w:r>
        <w:rPr>
          <w:rStyle w:val="FootnoteReference"/>
        </w:rPr>
        <w:footnoteRef/>
      </w:r>
      <w:r>
        <w:t xml:space="preserve"> </w:t>
      </w:r>
      <w:r>
        <w:rPr>
          <w:i/>
          <w:iCs/>
          <w:lang w:val="en-US"/>
        </w:rPr>
        <w:t xml:space="preserve">Competition Commission of South Africa v Mediclinic Southern Africa (Pty) Ltd and Another </w:t>
      </w:r>
      <w:r>
        <w:rPr>
          <w:lang w:val="en-US"/>
        </w:rPr>
        <w:t>[2021] ZACC 35 para 87.</w:t>
      </w:r>
      <w:r>
        <w:rPr>
          <w:i/>
          <w:iCs/>
          <w:lang w:val="en-US"/>
        </w:rPr>
        <w:t xml:space="preserve"> </w:t>
      </w:r>
    </w:p>
  </w:footnote>
  <w:footnote w:id="30">
    <w:p w14:paraId="1496C66E" w14:textId="6A50FF97" w:rsidR="00870CE5" w:rsidRPr="00870CE5" w:rsidRDefault="00870CE5" w:rsidP="00A61E06">
      <w:pPr>
        <w:pStyle w:val="FootnoteText"/>
        <w:spacing w:line="240" w:lineRule="auto"/>
        <w:jc w:val="both"/>
        <w:rPr>
          <w:lang w:val="en-US"/>
        </w:rPr>
      </w:pPr>
      <w:r>
        <w:rPr>
          <w:rStyle w:val="FootnoteReference"/>
        </w:rPr>
        <w:footnoteRef/>
      </w:r>
      <w:r>
        <w:t xml:space="preserve"> </w:t>
      </w:r>
      <w:r>
        <w:rPr>
          <w:i/>
          <w:iCs/>
          <w:lang w:val="en-US"/>
        </w:rPr>
        <w:t xml:space="preserve">Affordable Medicines </w:t>
      </w:r>
      <w:r>
        <w:rPr>
          <w:lang w:val="en-US"/>
        </w:rPr>
        <w:t>above n</w:t>
      </w:r>
      <w:r w:rsidR="00D3325E">
        <w:rPr>
          <w:lang w:val="en-US"/>
        </w:rPr>
        <w:t xml:space="preserve"> 6</w:t>
      </w:r>
      <w:r>
        <w:rPr>
          <w:lang w:val="en-US"/>
        </w:rPr>
        <w:t xml:space="preserve"> para 138.</w:t>
      </w:r>
    </w:p>
  </w:footnote>
  <w:footnote w:id="31">
    <w:p w14:paraId="71AC1EDB" w14:textId="4E8DE1D9" w:rsidR="00727002" w:rsidRPr="00727002" w:rsidRDefault="00727002" w:rsidP="00A61E06">
      <w:pPr>
        <w:pStyle w:val="FootnoteText"/>
        <w:spacing w:line="240" w:lineRule="auto"/>
        <w:jc w:val="both"/>
        <w:rPr>
          <w:lang w:val="en-US"/>
        </w:rPr>
      </w:pPr>
      <w:r>
        <w:rPr>
          <w:rStyle w:val="FootnoteReference"/>
        </w:rPr>
        <w:footnoteRef/>
      </w:r>
      <w:r>
        <w:t xml:space="preserve"> </w:t>
      </w:r>
      <w:r>
        <w:rPr>
          <w:i/>
          <w:iCs/>
          <w:lang w:val="en-US"/>
        </w:rPr>
        <w:t>Biowatch</w:t>
      </w:r>
      <w:r>
        <w:rPr>
          <w:lang w:val="en-US"/>
        </w:rPr>
        <w:t xml:space="preserve"> above n</w:t>
      </w:r>
      <w:r w:rsidR="00D3325E">
        <w:rPr>
          <w:lang w:val="en-US"/>
        </w:rPr>
        <w:t xml:space="preserve"> 3</w:t>
      </w:r>
      <w:r>
        <w:rPr>
          <w:lang w:val="en-US"/>
        </w:rPr>
        <w:t xml:space="preserve"> para 16.</w:t>
      </w:r>
      <w:r w:rsidR="002B2973">
        <w:rPr>
          <w:lang w:val="en-US"/>
        </w:rPr>
        <w:t xml:space="preserve"> Costs should not be determined based on parties’ financial position.</w:t>
      </w:r>
    </w:p>
  </w:footnote>
  <w:footnote w:id="32">
    <w:p w14:paraId="53505D3B" w14:textId="70B449E6" w:rsidR="00637EC0" w:rsidRPr="00E83034" w:rsidRDefault="00637EC0" w:rsidP="00A61E06">
      <w:pPr>
        <w:pStyle w:val="FootnoteText"/>
        <w:spacing w:line="240" w:lineRule="auto"/>
        <w:jc w:val="both"/>
        <w:rPr>
          <w:lang w:val="en-US"/>
        </w:rPr>
      </w:pPr>
      <w:r>
        <w:rPr>
          <w:rStyle w:val="FootnoteReference"/>
        </w:rPr>
        <w:footnoteRef/>
      </w:r>
      <w:r>
        <w:t xml:space="preserve"> </w:t>
      </w:r>
      <w:r>
        <w:rPr>
          <w:lang w:val="en-US"/>
        </w:rPr>
        <w:t xml:space="preserve">For a similar analysis, see </w:t>
      </w:r>
      <w:r>
        <w:rPr>
          <w:i/>
          <w:iCs/>
          <w:lang w:val="en-US"/>
        </w:rPr>
        <w:t>Hotz</w:t>
      </w:r>
      <w:r>
        <w:rPr>
          <w:lang w:val="en-US"/>
        </w:rPr>
        <w:t xml:space="preserve"> above n</w:t>
      </w:r>
      <w:r w:rsidR="00BA2855">
        <w:rPr>
          <w:lang w:val="en-US"/>
        </w:rPr>
        <w:t xml:space="preserve"> 27</w:t>
      </w:r>
      <w:r>
        <w:rPr>
          <w:lang w:val="en-US"/>
        </w:rPr>
        <w:t xml:space="preserve"> para 31.</w:t>
      </w:r>
      <w:r w:rsidR="00E83034">
        <w:rPr>
          <w:lang w:val="en-US"/>
        </w:rPr>
        <w:t xml:space="preserve"> Also see </w:t>
      </w:r>
      <w:r w:rsidR="00E83034">
        <w:rPr>
          <w:i/>
          <w:iCs/>
          <w:lang w:val="en-US"/>
        </w:rPr>
        <w:t>Ferguson and Others v Rhodes University</w:t>
      </w:r>
      <w:r w:rsidR="00E83034">
        <w:rPr>
          <w:lang w:val="en-US"/>
        </w:rPr>
        <w:t xml:space="preserve"> [2017] ZACC 39 </w:t>
      </w:r>
      <w:r w:rsidR="006626DA">
        <w:rPr>
          <w:lang w:val="en-US"/>
        </w:rPr>
        <w:t>(‘</w:t>
      </w:r>
      <w:r w:rsidR="006626DA">
        <w:rPr>
          <w:i/>
          <w:iCs/>
          <w:lang w:val="en-US"/>
        </w:rPr>
        <w:t>Ferguson</w:t>
      </w:r>
      <w:r w:rsidR="006626DA">
        <w:rPr>
          <w:lang w:val="en-US"/>
        </w:rPr>
        <w:t>’)</w:t>
      </w:r>
      <w:r w:rsidR="006626DA">
        <w:rPr>
          <w:i/>
          <w:iCs/>
          <w:lang w:val="en-US"/>
        </w:rPr>
        <w:t xml:space="preserve"> </w:t>
      </w:r>
      <w:r w:rsidR="00E83034">
        <w:rPr>
          <w:lang w:val="en-US"/>
        </w:rPr>
        <w:t>para 24.</w:t>
      </w:r>
    </w:p>
  </w:footnote>
  <w:footnote w:id="33">
    <w:p w14:paraId="48736CFD" w14:textId="06FAF175" w:rsidR="00405F13" w:rsidRPr="00405F13" w:rsidRDefault="00405F13" w:rsidP="00A61E06">
      <w:pPr>
        <w:pStyle w:val="FootnoteText"/>
        <w:spacing w:line="240" w:lineRule="auto"/>
        <w:jc w:val="both"/>
        <w:rPr>
          <w:lang w:val="en-US"/>
        </w:rPr>
      </w:pPr>
      <w:r>
        <w:rPr>
          <w:rStyle w:val="FootnoteReference"/>
        </w:rPr>
        <w:footnoteRef/>
      </w:r>
      <w:r>
        <w:t xml:space="preserve"> </w:t>
      </w:r>
      <w:r>
        <w:rPr>
          <w:lang w:val="en-US"/>
        </w:rPr>
        <w:t xml:space="preserve">See </w:t>
      </w:r>
      <w:r>
        <w:rPr>
          <w:i/>
          <w:iCs/>
          <w:lang w:val="en-US"/>
        </w:rPr>
        <w:t>Hotz</w:t>
      </w:r>
      <w:r>
        <w:rPr>
          <w:lang w:val="en-US"/>
        </w:rPr>
        <w:t xml:space="preserve"> above n</w:t>
      </w:r>
      <w:r w:rsidR="00D3325E">
        <w:rPr>
          <w:lang w:val="en-US"/>
        </w:rPr>
        <w:t xml:space="preserve"> 27</w:t>
      </w:r>
      <w:r>
        <w:rPr>
          <w:lang w:val="en-US"/>
        </w:rPr>
        <w:t xml:space="preserve"> para 33.</w:t>
      </w:r>
    </w:p>
  </w:footnote>
  <w:footnote w:id="34">
    <w:p w14:paraId="253B5695" w14:textId="5BE110D8" w:rsidR="004C1317" w:rsidRPr="004C1317" w:rsidRDefault="004C1317" w:rsidP="00A61E06">
      <w:pPr>
        <w:pStyle w:val="FootnoteText"/>
        <w:spacing w:line="240" w:lineRule="auto"/>
        <w:jc w:val="both"/>
        <w:rPr>
          <w:lang w:val="en-US"/>
        </w:rPr>
      </w:pPr>
      <w:r>
        <w:rPr>
          <w:rStyle w:val="FootnoteReference"/>
        </w:rPr>
        <w:footnoteRef/>
      </w:r>
      <w:r>
        <w:t xml:space="preserve"> </w:t>
      </w:r>
      <w:r>
        <w:rPr>
          <w:i/>
          <w:iCs/>
          <w:lang w:val="en-US"/>
        </w:rPr>
        <w:t>Hotz</w:t>
      </w:r>
      <w:r>
        <w:rPr>
          <w:lang w:val="en-US"/>
        </w:rPr>
        <w:t xml:space="preserve"> above n</w:t>
      </w:r>
      <w:r w:rsidR="00D3325E">
        <w:rPr>
          <w:lang w:val="en-US"/>
        </w:rPr>
        <w:t xml:space="preserve"> 27</w:t>
      </w:r>
      <w:r>
        <w:rPr>
          <w:lang w:val="en-US"/>
        </w:rPr>
        <w:t xml:space="preserve"> para 34.</w:t>
      </w:r>
    </w:p>
  </w:footnote>
  <w:footnote w:id="35">
    <w:p w14:paraId="548ACC8C" w14:textId="03223CD8" w:rsidR="003C3767" w:rsidRPr="007E274A" w:rsidRDefault="003C3767" w:rsidP="00A61E06">
      <w:pPr>
        <w:pStyle w:val="FootnoteText"/>
        <w:spacing w:line="240" w:lineRule="auto"/>
        <w:jc w:val="both"/>
        <w:rPr>
          <w:lang w:val="en-US"/>
        </w:rPr>
      </w:pPr>
      <w:r w:rsidRPr="007E274A">
        <w:rPr>
          <w:rStyle w:val="FootnoteReference"/>
        </w:rPr>
        <w:footnoteRef/>
      </w:r>
      <w:r w:rsidRPr="007E274A">
        <w:t xml:space="preserve"> </w:t>
      </w:r>
      <w:r w:rsidRPr="007E274A">
        <w:rPr>
          <w:i/>
          <w:iCs/>
        </w:rPr>
        <w:t xml:space="preserve">Lawyers for Human Rights v Minister in the Presidency and Others </w:t>
      </w:r>
      <w:r w:rsidR="00283440">
        <w:rPr>
          <w:lang w:val="en-US"/>
        </w:rPr>
        <w:t>above n 7</w:t>
      </w:r>
      <w:r w:rsidRPr="007E274A">
        <w:rPr>
          <w:lang w:val="en-US"/>
        </w:rPr>
        <w:t>.</w:t>
      </w:r>
    </w:p>
  </w:footnote>
  <w:footnote w:id="36">
    <w:p w14:paraId="6BD5E71B" w14:textId="2204B8C4" w:rsidR="003C3767" w:rsidRPr="007E274A" w:rsidRDefault="003C3767" w:rsidP="00A61E06">
      <w:pPr>
        <w:pStyle w:val="FootnoteText"/>
        <w:spacing w:line="240" w:lineRule="auto"/>
        <w:jc w:val="both"/>
        <w:rPr>
          <w:lang w:val="en-US"/>
        </w:rPr>
      </w:pPr>
      <w:r w:rsidRPr="007E274A">
        <w:rPr>
          <w:rStyle w:val="FootnoteReference"/>
        </w:rPr>
        <w:footnoteRef/>
      </w:r>
      <w:r w:rsidRPr="007E274A">
        <w:t xml:space="preserve"> </w:t>
      </w:r>
      <w:r w:rsidRPr="007E274A">
        <w:rPr>
          <w:i/>
          <w:iCs/>
        </w:rPr>
        <w:t xml:space="preserve">Lawyers for Human Rights v Minister in the Presidency and Others </w:t>
      </w:r>
      <w:r w:rsidR="0066305E">
        <w:rPr>
          <w:lang w:val="en-US"/>
        </w:rPr>
        <w:t>above n 7</w:t>
      </w:r>
      <w:r w:rsidRPr="007E274A">
        <w:rPr>
          <w:lang w:val="en-US"/>
        </w:rPr>
        <w:t xml:space="preserve"> para 19.</w:t>
      </w:r>
    </w:p>
  </w:footnote>
  <w:footnote w:id="37">
    <w:p w14:paraId="19108E41" w14:textId="73CD86FB" w:rsidR="008307DB" w:rsidRPr="006626DA" w:rsidRDefault="008307DB" w:rsidP="00A61E06">
      <w:pPr>
        <w:pStyle w:val="FootnoteText"/>
        <w:spacing w:line="240" w:lineRule="auto"/>
        <w:jc w:val="both"/>
        <w:rPr>
          <w:lang w:val="en-US"/>
        </w:rPr>
      </w:pPr>
      <w:r>
        <w:rPr>
          <w:rStyle w:val="FootnoteReference"/>
        </w:rPr>
        <w:footnoteRef/>
      </w:r>
      <w:r>
        <w:t xml:space="preserve"> </w:t>
      </w:r>
      <w:r>
        <w:rPr>
          <w:i/>
          <w:iCs/>
        </w:rPr>
        <w:t>Ferguson</w:t>
      </w:r>
      <w:r>
        <w:t xml:space="preserve"> above n</w:t>
      </w:r>
      <w:r w:rsidR="00D3325E">
        <w:t xml:space="preserve"> 32</w:t>
      </w:r>
      <w:r>
        <w:t xml:space="preserve"> para 27.</w:t>
      </w:r>
    </w:p>
  </w:footnote>
  <w:footnote w:id="38">
    <w:p w14:paraId="4537C910" w14:textId="7778670F" w:rsidR="00C70D4A" w:rsidRPr="00C70D4A" w:rsidRDefault="00C70D4A" w:rsidP="00A61E06">
      <w:pPr>
        <w:pStyle w:val="FootnoteText"/>
        <w:spacing w:line="240" w:lineRule="auto"/>
        <w:jc w:val="both"/>
        <w:rPr>
          <w:lang w:val="en-US"/>
        </w:rPr>
      </w:pPr>
      <w:r>
        <w:rPr>
          <w:rStyle w:val="FootnoteReference"/>
        </w:rPr>
        <w:footnoteRef/>
      </w:r>
      <w:r>
        <w:t xml:space="preserve"> </w:t>
      </w:r>
      <w:r>
        <w:rPr>
          <w:i/>
          <w:iCs/>
          <w:lang w:val="en-US"/>
        </w:rPr>
        <w:t xml:space="preserve">Rennies Distribution (Pty) Ltd v Bierman NO </w:t>
      </w:r>
      <w:r>
        <w:rPr>
          <w:lang w:val="en-US"/>
        </w:rPr>
        <w:t xml:space="preserve">(2008) 29 </w:t>
      </w:r>
      <w:r>
        <w:rPr>
          <w:i/>
          <w:iCs/>
          <w:lang w:val="en-US"/>
        </w:rPr>
        <w:t xml:space="preserve">ILJ </w:t>
      </w:r>
      <w:r>
        <w:rPr>
          <w:lang w:val="en-US"/>
        </w:rPr>
        <w:t>3021 (LC)</w:t>
      </w:r>
      <w:r w:rsidR="00A953E7">
        <w:rPr>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600537942"/>
      <w:docPartObj>
        <w:docPartGallery w:val="Page Numbers (Top of Page)"/>
        <w:docPartUnique/>
      </w:docPartObj>
    </w:sdtPr>
    <w:sdtEndPr>
      <w:rPr>
        <w:rStyle w:val="PageNumber"/>
      </w:rPr>
    </w:sdtEndPr>
    <w:sdtContent>
      <w:p w14:paraId="70C87348" w14:textId="4DCB78CB" w:rsidR="00146BA3" w:rsidRDefault="00146BA3" w:rsidP="006F261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674FADB" w14:textId="77777777" w:rsidR="00146BA3" w:rsidRDefault="00146BA3" w:rsidP="00146BA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014796027"/>
      <w:docPartObj>
        <w:docPartGallery w:val="Page Numbers (Top of Page)"/>
        <w:docPartUnique/>
      </w:docPartObj>
    </w:sdtPr>
    <w:sdtEndPr>
      <w:rPr>
        <w:rStyle w:val="PageNumber"/>
      </w:rPr>
    </w:sdtEndPr>
    <w:sdtContent>
      <w:p w14:paraId="35370323" w14:textId="22866B82" w:rsidR="00146BA3" w:rsidRDefault="00146BA3" w:rsidP="006F261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42D28">
          <w:rPr>
            <w:rStyle w:val="PageNumber"/>
            <w:noProof/>
          </w:rPr>
          <w:t>3</w:t>
        </w:r>
        <w:r>
          <w:rPr>
            <w:rStyle w:val="PageNumber"/>
          </w:rPr>
          <w:fldChar w:fldCharType="end"/>
        </w:r>
      </w:p>
    </w:sdtContent>
  </w:sdt>
  <w:p w14:paraId="21F7A9BA" w14:textId="77777777" w:rsidR="00146BA3" w:rsidRDefault="00146BA3" w:rsidP="00146BA3">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415CB"/>
    <w:multiLevelType w:val="hybridMultilevel"/>
    <w:tmpl w:val="9CB44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E70A16"/>
    <w:multiLevelType w:val="hybridMultilevel"/>
    <w:tmpl w:val="34A86E54"/>
    <w:lvl w:ilvl="0" w:tplc="892E532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C850D31"/>
    <w:multiLevelType w:val="multilevel"/>
    <w:tmpl w:val="BE788842"/>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nsid w:val="0FDB7C98"/>
    <w:multiLevelType w:val="hybridMultilevel"/>
    <w:tmpl w:val="5A34F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112B71"/>
    <w:multiLevelType w:val="hybridMultilevel"/>
    <w:tmpl w:val="181A0B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EB3A42"/>
    <w:multiLevelType w:val="hybridMultilevel"/>
    <w:tmpl w:val="565EE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3A06456"/>
    <w:multiLevelType w:val="hybridMultilevel"/>
    <w:tmpl w:val="F1B2C8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3E5112E"/>
    <w:multiLevelType w:val="hybridMultilevel"/>
    <w:tmpl w:val="75384A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F4E4C9B"/>
    <w:multiLevelType w:val="hybridMultilevel"/>
    <w:tmpl w:val="D170431A"/>
    <w:lvl w:ilvl="0" w:tplc="B69E61C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2CC6CB9"/>
    <w:multiLevelType w:val="hybridMultilevel"/>
    <w:tmpl w:val="9C760C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BB72152"/>
    <w:multiLevelType w:val="hybridMultilevel"/>
    <w:tmpl w:val="FFFAB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9766ACE"/>
    <w:multiLevelType w:val="hybridMultilevel"/>
    <w:tmpl w:val="69FC57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BCB6D84"/>
    <w:multiLevelType w:val="hybridMultilevel"/>
    <w:tmpl w:val="4FA86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10"/>
  </w:num>
  <w:num w:numId="6">
    <w:abstractNumId w:val="7"/>
  </w:num>
  <w:num w:numId="7">
    <w:abstractNumId w:val="12"/>
  </w:num>
  <w:num w:numId="8">
    <w:abstractNumId w:val="1"/>
  </w:num>
  <w:num w:numId="9">
    <w:abstractNumId w:val="6"/>
  </w:num>
  <w:num w:numId="10">
    <w:abstractNumId w:val="8"/>
  </w:num>
  <w:num w:numId="11">
    <w:abstractNumId w:val="11"/>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1A4"/>
    <w:rsid w:val="00000935"/>
    <w:rsid w:val="0000206B"/>
    <w:rsid w:val="0000217A"/>
    <w:rsid w:val="00004E1E"/>
    <w:rsid w:val="00005691"/>
    <w:rsid w:val="00005ABB"/>
    <w:rsid w:val="00005BC2"/>
    <w:rsid w:val="0000642E"/>
    <w:rsid w:val="00006EF3"/>
    <w:rsid w:val="00007087"/>
    <w:rsid w:val="00007904"/>
    <w:rsid w:val="000109B4"/>
    <w:rsid w:val="00012A2F"/>
    <w:rsid w:val="00014437"/>
    <w:rsid w:val="00014770"/>
    <w:rsid w:val="00016FDA"/>
    <w:rsid w:val="000220C3"/>
    <w:rsid w:val="00022804"/>
    <w:rsid w:val="00027646"/>
    <w:rsid w:val="00027DA3"/>
    <w:rsid w:val="00030A25"/>
    <w:rsid w:val="000319FB"/>
    <w:rsid w:val="000323B0"/>
    <w:rsid w:val="000341AF"/>
    <w:rsid w:val="00034B32"/>
    <w:rsid w:val="0003553E"/>
    <w:rsid w:val="0004040E"/>
    <w:rsid w:val="00040F79"/>
    <w:rsid w:val="000422CD"/>
    <w:rsid w:val="0004347D"/>
    <w:rsid w:val="0004373B"/>
    <w:rsid w:val="00044B50"/>
    <w:rsid w:val="000451D0"/>
    <w:rsid w:val="00047035"/>
    <w:rsid w:val="000478E8"/>
    <w:rsid w:val="0005061D"/>
    <w:rsid w:val="00051F6C"/>
    <w:rsid w:val="000532A6"/>
    <w:rsid w:val="000536DD"/>
    <w:rsid w:val="00053D81"/>
    <w:rsid w:val="00054684"/>
    <w:rsid w:val="00054DEC"/>
    <w:rsid w:val="00055C33"/>
    <w:rsid w:val="00056042"/>
    <w:rsid w:val="00056FBA"/>
    <w:rsid w:val="000574BF"/>
    <w:rsid w:val="000605C3"/>
    <w:rsid w:val="000618C4"/>
    <w:rsid w:val="00063188"/>
    <w:rsid w:val="00063C6E"/>
    <w:rsid w:val="00063D5A"/>
    <w:rsid w:val="00063E85"/>
    <w:rsid w:val="0007050F"/>
    <w:rsid w:val="000717C6"/>
    <w:rsid w:val="0007234C"/>
    <w:rsid w:val="00073EFC"/>
    <w:rsid w:val="000778A4"/>
    <w:rsid w:val="00080D4E"/>
    <w:rsid w:val="000811EB"/>
    <w:rsid w:val="000815F5"/>
    <w:rsid w:val="000829F2"/>
    <w:rsid w:val="00083322"/>
    <w:rsid w:val="00083386"/>
    <w:rsid w:val="000833DB"/>
    <w:rsid w:val="00084C6F"/>
    <w:rsid w:val="00084CA7"/>
    <w:rsid w:val="00086278"/>
    <w:rsid w:val="00086A06"/>
    <w:rsid w:val="0009015D"/>
    <w:rsid w:val="000910CD"/>
    <w:rsid w:val="00091F8C"/>
    <w:rsid w:val="00092176"/>
    <w:rsid w:val="0009497C"/>
    <w:rsid w:val="00096BC1"/>
    <w:rsid w:val="000976CA"/>
    <w:rsid w:val="000A0D70"/>
    <w:rsid w:val="000A0E26"/>
    <w:rsid w:val="000A21EE"/>
    <w:rsid w:val="000A59DC"/>
    <w:rsid w:val="000A7940"/>
    <w:rsid w:val="000B0946"/>
    <w:rsid w:val="000B0DC8"/>
    <w:rsid w:val="000B26AE"/>
    <w:rsid w:val="000B26CF"/>
    <w:rsid w:val="000B5790"/>
    <w:rsid w:val="000B5FBC"/>
    <w:rsid w:val="000B6309"/>
    <w:rsid w:val="000B643B"/>
    <w:rsid w:val="000B78EC"/>
    <w:rsid w:val="000C2D21"/>
    <w:rsid w:val="000C3531"/>
    <w:rsid w:val="000C3620"/>
    <w:rsid w:val="000C39A5"/>
    <w:rsid w:val="000C450C"/>
    <w:rsid w:val="000C5690"/>
    <w:rsid w:val="000C7746"/>
    <w:rsid w:val="000C7A27"/>
    <w:rsid w:val="000D085B"/>
    <w:rsid w:val="000D0D78"/>
    <w:rsid w:val="000D22FB"/>
    <w:rsid w:val="000D2BD5"/>
    <w:rsid w:val="000D487F"/>
    <w:rsid w:val="000D4BFA"/>
    <w:rsid w:val="000D4C7F"/>
    <w:rsid w:val="000D667A"/>
    <w:rsid w:val="000E10C5"/>
    <w:rsid w:val="000E1C45"/>
    <w:rsid w:val="000E2444"/>
    <w:rsid w:val="000E27F9"/>
    <w:rsid w:val="000E3E15"/>
    <w:rsid w:val="000E4F0D"/>
    <w:rsid w:val="000E5100"/>
    <w:rsid w:val="000E7ECD"/>
    <w:rsid w:val="000F05E0"/>
    <w:rsid w:val="000F1A95"/>
    <w:rsid w:val="000F1E69"/>
    <w:rsid w:val="000F2E10"/>
    <w:rsid w:val="000F5988"/>
    <w:rsid w:val="000F6BFE"/>
    <w:rsid w:val="000F73A5"/>
    <w:rsid w:val="000F7DF4"/>
    <w:rsid w:val="0010068E"/>
    <w:rsid w:val="00100F9A"/>
    <w:rsid w:val="0010218C"/>
    <w:rsid w:val="00102D5B"/>
    <w:rsid w:val="001044DB"/>
    <w:rsid w:val="00105EB6"/>
    <w:rsid w:val="0010622C"/>
    <w:rsid w:val="001078B5"/>
    <w:rsid w:val="00107A5F"/>
    <w:rsid w:val="0011026A"/>
    <w:rsid w:val="00110EF0"/>
    <w:rsid w:val="001124A5"/>
    <w:rsid w:val="00112D55"/>
    <w:rsid w:val="00116EB9"/>
    <w:rsid w:val="00120E93"/>
    <w:rsid w:val="00120ED3"/>
    <w:rsid w:val="001226DE"/>
    <w:rsid w:val="00123296"/>
    <w:rsid w:val="001246D8"/>
    <w:rsid w:val="0012621C"/>
    <w:rsid w:val="001276EA"/>
    <w:rsid w:val="00127946"/>
    <w:rsid w:val="00130228"/>
    <w:rsid w:val="00130D81"/>
    <w:rsid w:val="00131984"/>
    <w:rsid w:val="00131A28"/>
    <w:rsid w:val="001337CC"/>
    <w:rsid w:val="00134C11"/>
    <w:rsid w:val="00135C81"/>
    <w:rsid w:val="00137E08"/>
    <w:rsid w:val="00142F79"/>
    <w:rsid w:val="001435EB"/>
    <w:rsid w:val="00143FD3"/>
    <w:rsid w:val="00144974"/>
    <w:rsid w:val="001451A4"/>
    <w:rsid w:val="00146BA3"/>
    <w:rsid w:val="001517E0"/>
    <w:rsid w:val="001521E5"/>
    <w:rsid w:val="00157135"/>
    <w:rsid w:val="00157785"/>
    <w:rsid w:val="00157898"/>
    <w:rsid w:val="00157C19"/>
    <w:rsid w:val="00160EBC"/>
    <w:rsid w:val="00160F58"/>
    <w:rsid w:val="00163A58"/>
    <w:rsid w:val="00164B7B"/>
    <w:rsid w:val="00172B5C"/>
    <w:rsid w:val="00173321"/>
    <w:rsid w:val="00173547"/>
    <w:rsid w:val="00174B6D"/>
    <w:rsid w:val="0017614D"/>
    <w:rsid w:val="0018006A"/>
    <w:rsid w:val="00180F4E"/>
    <w:rsid w:val="00181923"/>
    <w:rsid w:val="00181E7E"/>
    <w:rsid w:val="00182175"/>
    <w:rsid w:val="00184625"/>
    <w:rsid w:val="00186082"/>
    <w:rsid w:val="00186769"/>
    <w:rsid w:val="001870AF"/>
    <w:rsid w:val="001915B1"/>
    <w:rsid w:val="00191768"/>
    <w:rsid w:val="00192869"/>
    <w:rsid w:val="00193671"/>
    <w:rsid w:val="001943D2"/>
    <w:rsid w:val="001954F0"/>
    <w:rsid w:val="00195571"/>
    <w:rsid w:val="001955AB"/>
    <w:rsid w:val="00196742"/>
    <w:rsid w:val="001A4F33"/>
    <w:rsid w:val="001B0D01"/>
    <w:rsid w:val="001B2578"/>
    <w:rsid w:val="001B2FE4"/>
    <w:rsid w:val="001B505F"/>
    <w:rsid w:val="001B69E3"/>
    <w:rsid w:val="001C04BC"/>
    <w:rsid w:val="001C2DD7"/>
    <w:rsid w:val="001C48A5"/>
    <w:rsid w:val="001C6943"/>
    <w:rsid w:val="001C7061"/>
    <w:rsid w:val="001D0962"/>
    <w:rsid w:val="001D214B"/>
    <w:rsid w:val="001D4C5E"/>
    <w:rsid w:val="001D5A9D"/>
    <w:rsid w:val="001D5F83"/>
    <w:rsid w:val="001D61C8"/>
    <w:rsid w:val="001D771E"/>
    <w:rsid w:val="001E0F36"/>
    <w:rsid w:val="001E179D"/>
    <w:rsid w:val="001E1834"/>
    <w:rsid w:val="001E1B07"/>
    <w:rsid w:val="001E24E0"/>
    <w:rsid w:val="001E3AAD"/>
    <w:rsid w:val="001E4824"/>
    <w:rsid w:val="001E6078"/>
    <w:rsid w:val="001E640A"/>
    <w:rsid w:val="001E6A6E"/>
    <w:rsid w:val="001E701F"/>
    <w:rsid w:val="001E7844"/>
    <w:rsid w:val="001E78D5"/>
    <w:rsid w:val="001E7C8F"/>
    <w:rsid w:val="001F2276"/>
    <w:rsid w:val="001F335C"/>
    <w:rsid w:val="001F3A41"/>
    <w:rsid w:val="001F59AB"/>
    <w:rsid w:val="001F7AF6"/>
    <w:rsid w:val="00201DC6"/>
    <w:rsid w:val="00201F12"/>
    <w:rsid w:val="00204196"/>
    <w:rsid w:val="00206D6C"/>
    <w:rsid w:val="00207573"/>
    <w:rsid w:val="002115FE"/>
    <w:rsid w:val="002125C4"/>
    <w:rsid w:val="00213565"/>
    <w:rsid w:val="0021430F"/>
    <w:rsid w:val="00215EBC"/>
    <w:rsid w:val="0021730A"/>
    <w:rsid w:val="00217399"/>
    <w:rsid w:val="00217539"/>
    <w:rsid w:val="002203EC"/>
    <w:rsid w:val="00222854"/>
    <w:rsid w:val="0022358B"/>
    <w:rsid w:val="002239A1"/>
    <w:rsid w:val="00224363"/>
    <w:rsid w:val="0022547F"/>
    <w:rsid w:val="0022594E"/>
    <w:rsid w:val="00226444"/>
    <w:rsid w:val="00226ADA"/>
    <w:rsid w:val="00227379"/>
    <w:rsid w:val="0023001D"/>
    <w:rsid w:val="00230B10"/>
    <w:rsid w:val="00231325"/>
    <w:rsid w:val="002327AF"/>
    <w:rsid w:val="0023410F"/>
    <w:rsid w:val="002366E5"/>
    <w:rsid w:val="0023677B"/>
    <w:rsid w:val="00236B9D"/>
    <w:rsid w:val="0023736A"/>
    <w:rsid w:val="0023768E"/>
    <w:rsid w:val="002402F6"/>
    <w:rsid w:val="0024507C"/>
    <w:rsid w:val="00245504"/>
    <w:rsid w:val="00245BEB"/>
    <w:rsid w:val="00247551"/>
    <w:rsid w:val="00250530"/>
    <w:rsid w:val="0025056A"/>
    <w:rsid w:val="002507CD"/>
    <w:rsid w:val="00252FC1"/>
    <w:rsid w:val="00253273"/>
    <w:rsid w:val="00255373"/>
    <w:rsid w:val="00256208"/>
    <w:rsid w:val="00256FCC"/>
    <w:rsid w:val="00257A15"/>
    <w:rsid w:val="002606D8"/>
    <w:rsid w:val="00260A94"/>
    <w:rsid w:val="00260B67"/>
    <w:rsid w:val="002612A5"/>
    <w:rsid w:val="00261583"/>
    <w:rsid w:val="0026158F"/>
    <w:rsid w:val="002617D8"/>
    <w:rsid w:val="00261F1D"/>
    <w:rsid w:val="00262D2A"/>
    <w:rsid w:val="002635B7"/>
    <w:rsid w:val="00263B8D"/>
    <w:rsid w:val="0026495C"/>
    <w:rsid w:val="00264DD0"/>
    <w:rsid w:val="00265010"/>
    <w:rsid w:val="00265180"/>
    <w:rsid w:val="00265AEB"/>
    <w:rsid w:val="0026634E"/>
    <w:rsid w:val="0026645C"/>
    <w:rsid w:val="0026655D"/>
    <w:rsid w:val="002705E9"/>
    <w:rsid w:val="00273903"/>
    <w:rsid w:val="00274C64"/>
    <w:rsid w:val="00275410"/>
    <w:rsid w:val="00276100"/>
    <w:rsid w:val="00277C1E"/>
    <w:rsid w:val="00277EB6"/>
    <w:rsid w:val="0028000A"/>
    <w:rsid w:val="0028182D"/>
    <w:rsid w:val="00283440"/>
    <w:rsid w:val="002852AC"/>
    <w:rsid w:val="002852C4"/>
    <w:rsid w:val="00285664"/>
    <w:rsid w:val="00285D42"/>
    <w:rsid w:val="00287A18"/>
    <w:rsid w:val="00287A26"/>
    <w:rsid w:val="00290DC6"/>
    <w:rsid w:val="00290E92"/>
    <w:rsid w:val="00293188"/>
    <w:rsid w:val="0029395B"/>
    <w:rsid w:val="00294129"/>
    <w:rsid w:val="00294313"/>
    <w:rsid w:val="002960D0"/>
    <w:rsid w:val="0029634D"/>
    <w:rsid w:val="002A01B5"/>
    <w:rsid w:val="002A080F"/>
    <w:rsid w:val="002A0EB5"/>
    <w:rsid w:val="002A157A"/>
    <w:rsid w:val="002A1950"/>
    <w:rsid w:val="002A1D97"/>
    <w:rsid w:val="002A1E2F"/>
    <w:rsid w:val="002A21AF"/>
    <w:rsid w:val="002A2AA4"/>
    <w:rsid w:val="002A3836"/>
    <w:rsid w:val="002A3C5C"/>
    <w:rsid w:val="002A5B49"/>
    <w:rsid w:val="002A61D9"/>
    <w:rsid w:val="002A6332"/>
    <w:rsid w:val="002A6593"/>
    <w:rsid w:val="002A6B82"/>
    <w:rsid w:val="002A73A7"/>
    <w:rsid w:val="002B0DEA"/>
    <w:rsid w:val="002B2311"/>
    <w:rsid w:val="002B2973"/>
    <w:rsid w:val="002B31B7"/>
    <w:rsid w:val="002B33AB"/>
    <w:rsid w:val="002B3FE3"/>
    <w:rsid w:val="002B54B7"/>
    <w:rsid w:val="002B6730"/>
    <w:rsid w:val="002B7874"/>
    <w:rsid w:val="002C1ECF"/>
    <w:rsid w:val="002C1ED3"/>
    <w:rsid w:val="002C3A0D"/>
    <w:rsid w:val="002C45D8"/>
    <w:rsid w:val="002C7128"/>
    <w:rsid w:val="002D4CBC"/>
    <w:rsid w:val="002D6D70"/>
    <w:rsid w:val="002D7292"/>
    <w:rsid w:val="002E0CCA"/>
    <w:rsid w:val="002E141A"/>
    <w:rsid w:val="002E1B95"/>
    <w:rsid w:val="002E3EC7"/>
    <w:rsid w:val="002E4808"/>
    <w:rsid w:val="002E483E"/>
    <w:rsid w:val="002E6D7C"/>
    <w:rsid w:val="002E7045"/>
    <w:rsid w:val="002E7199"/>
    <w:rsid w:val="002F012F"/>
    <w:rsid w:val="002F0513"/>
    <w:rsid w:val="002F0990"/>
    <w:rsid w:val="002F0C58"/>
    <w:rsid w:val="002F13D1"/>
    <w:rsid w:val="002F1685"/>
    <w:rsid w:val="002F37F8"/>
    <w:rsid w:val="002F3B5E"/>
    <w:rsid w:val="002F4EDB"/>
    <w:rsid w:val="002F60D3"/>
    <w:rsid w:val="002F656C"/>
    <w:rsid w:val="002F7574"/>
    <w:rsid w:val="00300A59"/>
    <w:rsid w:val="0030214A"/>
    <w:rsid w:val="00302210"/>
    <w:rsid w:val="00302E3A"/>
    <w:rsid w:val="00302E78"/>
    <w:rsid w:val="003035F7"/>
    <w:rsid w:val="0030624B"/>
    <w:rsid w:val="00306288"/>
    <w:rsid w:val="00312B16"/>
    <w:rsid w:val="003140F9"/>
    <w:rsid w:val="003148EA"/>
    <w:rsid w:val="003150CA"/>
    <w:rsid w:val="00315CB8"/>
    <w:rsid w:val="00315D8D"/>
    <w:rsid w:val="003168ED"/>
    <w:rsid w:val="003172EB"/>
    <w:rsid w:val="00317AB4"/>
    <w:rsid w:val="00321E11"/>
    <w:rsid w:val="003228A7"/>
    <w:rsid w:val="003234A6"/>
    <w:rsid w:val="00324CE8"/>
    <w:rsid w:val="00324F35"/>
    <w:rsid w:val="00325BD4"/>
    <w:rsid w:val="00326A33"/>
    <w:rsid w:val="0032785C"/>
    <w:rsid w:val="00327E36"/>
    <w:rsid w:val="00327E53"/>
    <w:rsid w:val="00330795"/>
    <w:rsid w:val="00330E85"/>
    <w:rsid w:val="0033219D"/>
    <w:rsid w:val="00334624"/>
    <w:rsid w:val="00334C99"/>
    <w:rsid w:val="00335153"/>
    <w:rsid w:val="00335693"/>
    <w:rsid w:val="00335897"/>
    <w:rsid w:val="00336256"/>
    <w:rsid w:val="0033634C"/>
    <w:rsid w:val="0033669D"/>
    <w:rsid w:val="003367DD"/>
    <w:rsid w:val="0034206E"/>
    <w:rsid w:val="00343E5D"/>
    <w:rsid w:val="0034439B"/>
    <w:rsid w:val="003455A7"/>
    <w:rsid w:val="00345E82"/>
    <w:rsid w:val="003460E7"/>
    <w:rsid w:val="003469BB"/>
    <w:rsid w:val="00350743"/>
    <w:rsid w:val="00350A47"/>
    <w:rsid w:val="003513CA"/>
    <w:rsid w:val="00351FAC"/>
    <w:rsid w:val="003529AF"/>
    <w:rsid w:val="00352D3D"/>
    <w:rsid w:val="00353652"/>
    <w:rsid w:val="00353FAB"/>
    <w:rsid w:val="00356414"/>
    <w:rsid w:val="003564CA"/>
    <w:rsid w:val="003572FB"/>
    <w:rsid w:val="00357560"/>
    <w:rsid w:val="0035756C"/>
    <w:rsid w:val="00357751"/>
    <w:rsid w:val="00357A50"/>
    <w:rsid w:val="003601F1"/>
    <w:rsid w:val="00360BFC"/>
    <w:rsid w:val="00362A40"/>
    <w:rsid w:val="00363BF3"/>
    <w:rsid w:val="003649E8"/>
    <w:rsid w:val="00366631"/>
    <w:rsid w:val="003679D5"/>
    <w:rsid w:val="00367B79"/>
    <w:rsid w:val="003700BB"/>
    <w:rsid w:val="0037015D"/>
    <w:rsid w:val="00371F86"/>
    <w:rsid w:val="0037217E"/>
    <w:rsid w:val="00373BB6"/>
    <w:rsid w:val="00374F02"/>
    <w:rsid w:val="00375614"/>
    <w:rsid w:val="00380E60"/>
    <w:rsid w:val="00381483"/>
    <w:rsid w:val="00381C36"/>
    <w:rsid w:val="00381D62"/>
    <w:rsid w:val="00382ADF"/>
    <w:rsid w:val="0038386E"/>
    <w:rsid w:val="00384F96"/>
    <w:rsid w:val="003869D5"/>
    <w:rsid w:val="003905B9"/>
    <w:rsid w:val="0039206E"/>
    <w:rsid w:val="00392A4B"/>
    <w:rsid w:val="00392AA2"/>
    <w:rsid w:val="00393BA3"/>
    <w:rsid w:val="0039527F"/>
    <w:rsid w:val="00395A71"/>
    <w:rsid w:val="00395AF6"/>
    <w:rsid w:val="0039682A"/>
    <w:rsid w:val="003A164D"/>
    <w:rsid w:val="003A37F4"/>
    <w:rsid w:val="003A4F1D"/>
    <w:rsid w:val="003A4F95"/>
    <w:rsid w:val="003A6F71"/>
    <w:rsid w:val="003A745C"/>
    <w:rsid w:val="003A7AA6"/>
    <w:rsid w:val="003A7BAA"/>
    <w:rsid w:val="003B01D4"/>
    <w:rsid w:val="003B10EC"/>
    <w:rsid w:val="003B1570"/>
    <w:rsid w:val="003B15C9"/>
    <w:rsid w:val="003B21BF"/>
    <w:rsid w:val="003B3C31"/>
    <w:rsid w:val="003B43B8"/>
    <w:rsid w:val="003B5FEE"/>
    <w:rsid w:val="003B76D9"/>
    <w:rsid w:val="003C0CEB"/>
    <w:rsid w:val="003C2156"/>
    <w:rsid w:val="003C351A"/>
    <w:rsid w:val="003C3767"/>
    <w:rsid w:val="003C3BC6"/>
    <w:rsid w:val="003C4B29"/>
    <w:rsid w:val="003C5934"/>
    <w:rsid w:val="003C7080"/>
    <w:rsid w:val="003D11D0"/>
    <w:rsid w:val="003D239A"/>
    <w:rsid w:val="003D2C74"/>
    <w:rsid w:val="003D334E"/>
    <w:rsid w:val="003D5245"/>
    <w:rsid w:val="003D5507"/>
    <w:rsid w:val="003D5A10"/>
    <w:rsid w:val="003D5E6D"/>
    <w:rsid w:val="003D7CB9"/>
    <w:rsid w:val="003E0F7C"/>
    <w:rsid w:val="003E1665"/>
    <w:rsid w:val="003E2B73"/>
    <w:rsid w:val="003E2F03"/>
    <w:rsid w:val="003E3BBF"/>
    <w:rsid w:val="003E424A"/>
    <w:rsid w:val="003E533B"/>
    <w:rsid w:val="003E75F3"/>
    <w:rsid w:val="003F0D9E"/>
    <w:rsid w:val="003F1974"/>
    <w:rsid w:val="003F2109"/>
    <w:rsid w:val="003F2790"/>
    <w:rsid w:val="003F50FF"/>
    <w:rsid w:val="003F5900"/>
    <w:rsid w:val="003F6355"/>
    <w:rsid w:val="00400266"/>
    <w:rsid w:val="00401A9A"/>
    <w:rsid w:val="0040222E"/>
    <w:rsid w:val="00402EEA"/>
    <w:rsid w:val="0040408E"/>
    <w:rsid w:val="00404201"/>
    <w:rsid w:val="00405CEF"/>
    <w:rsid w:val="00405F13"/>
    <w:rsid w:val="00406337"/>
    <w:rsid w:val="00406A00"/>
    <w:rsid w:val="004074B3"/>
    <w:rsid w:val="004075EA"/>
    <w:rsid w:val="00407643"/>
    <w:rsid w:val="00407C31"/>
    <w:rsid w:val="00410C82"/>
    <w:rsid w:val="0041108E"/>
    <w:rsid w:val="00412184"/>
    <w:rsid w:val="00412DF2"/>
    <w:rsid w:val="004138F5"/>
    <w:rsid w:val="00413D22"/>
    <w:rsid w:val="00414C90"/>
    <w:rsid w:val="004165B0"/>
    <w:rsid w:val="004165D6"/>
    <w:rsid w:val="0042163E"/>
    <w:rsid w:val="00423163"/>
    <w:rsid w:val="00423B92"/>
    <w:rsid w:val="0042411C"/>
    <w:rsid w:val="004244A5"/>
    <w:rsid w:val="00427318"/>
    <w:rsid w:val="004276CD"/>
    <w:rsid w:val="0042778E"/>
    <w:rsid w:val="00427843"/>
    <w:rsid w:val="004302B6"/>
    <w:rsid w:val="004303EA"/>
    <w:rsid w:val="0043230A"/>
    <w:rsid w:val="0043511C"/>
    <w:rsid w:val="00435538"/>
    <w:rsid w:val="004363E4"/>
    <w:rsid w:val="00437E88"/>
    <w:rsid w:val="00440672"/>
    <w:rsid w:val="00441E70"/>
    <w:rsid w:val="00443779"/>
    <w:rsid w:val="00443CCC"/>
    <w:rsid w:val="004441E4"/>
    <w:rsid w:val="004448E8"/>
    <w:rsid w:val="00444FBB"/>
    <w:rsid w:val="00446CBA"/>
    <w:rsid w:val="004474FB"/>
    <w:rsid w:val="00450272"/>
    <w:rsid w:val="004528CC"/>
    <w:rsid w:val="004529C3"/>
    <w:rsid w:val="004555EA"/>
    <w:rsid w:val="00455EA5"/>
    <w:rsid w:val="0045608B"/>
    <w:rsid w:val="00460ABA"/>
    <w:rsid w:val="00461B7A"/>
    <w:rsid w:val="00464A9D"/>
    <w:rsid w:val="004652FD"/>
    <w:rsid w:val="004657F4"/>
    <w:rsid w:val="00466979"/>
    <w:rsid w:val="00466D17"/>
    <w:rsid w:val="00467E20"/>
    <w:rsid w:val="004716C7"/>
    <w:rsid w:val="00472A4C"/>
    <w:rsid w:val="00472B05"/>
    <w:rsid w:val="00472BCA"/>
    <w:rsid w:val="00472E85"/>
    <w:rsid w:val="00473068"/>
    <w:rsid w:val="004735D5"/>
    <w:rsid w:val="0047556B"/>
    <w:rsid w:val="00475C2D"/>
    <w:rsid w:val="004762FC"/>
    <w:rsid w:val="00477226"/>
    <w:rsid w:val="00480FC6"/>
    <w:rsid w:val="004813E8"/>
    <w:rsid w:val="004827F3"/>
    <w:rsid w:val="004829F2"/>
    <w:rsid w:val="00486114"/>
    <w:rsid w:val="004863E4"/>
    <w:rsid w:val="00487264"/>
    <w:rsid w:val="004902FA"/>
    <w:rsid w:val="00490D2A"/>
    <w:rsid w:val="0049105D"/>
    <w:rsid w:val="004918C4"/>
    <w:rsid w:val="004932A2"/>
    <w:rsid w:val="00494B05"/>
    <w:rsid w:val="004954CB"/>
    <w:rsid w:val="00496E8C"/>
    <w:rsid w:val="00496EAA"/>
    <w:rsid w:val="004A00B9"/>
    <w:rsid w:val="004A0630"/>
    <w:rsid w:val="004A08D7"/>
    <w:rsid w:val="004A4FA1"/>
    <w:rsid w:val="004A5151"/>
    <w:rsid w:val="004A5DB1"/>
    <w:rsid w:val="004A687F"/>
    <w:rsid w:val="004A7359"/>
    <w:rsid w:val="004B3161"/>
    <w:rsid w:val="004B5BAF"/>
    <w:rsid w:val="004B5CB4"/>
    <w:rsid w:val="004B632A"/>
    <w:rsid w:val="004B658C"/>
    <w:rsid w:val="004B7E82"/>
    <w:rsid w:val="004C06AD"/>
    <w:rsid w:val="004C0946"/>
    <w:rsid w:val="004C0C08"/>
    <w:rsid w:val="004C1317"/>
    <w:rsid w:val="004C13CF"/>
    <w:rsid w:val="004C6C0A"/>
    <w:rsid w:val="004C7EB2"/>
    <w:rsid w:val="004D0163"/>
    <w:rsid w:val="004D0AC5"/>
    <w:rsid w:val="004D19EB"/>
    <w:rsid w:val="004D1AAF"/>
    <w:rsid w:val="004D3210"/>
    <w:rsid w:val="004D35C6"/>
    <w:rsid w:val="004D611F"/>
    <w:rsid w:val="004E06B4"/>
    <w:rsid w:val="004E189A"/>
    <w:rsid w:val="004E1A28"/>
    <w:rsid w:val="004E1B41"/>
    <w:rsid w:val="004E2076"/>
    <w:rsid w:val="004E2D71"/>
    <w:rsid w:val="004E2F8E"/>
    <w:rsid w:val="004E318F"/>
    <w:rsid w:val="004E5A0A"/>
    <w:rsid w:val="004E6694"/>
    <w:rsid w:val="004E6764"/>
    <w:rsid w:val="004E791F"/>
    <w:rsid w:val="004F021C"/>
    <w:rsid w:val="004F1757"/>
    <w:rsid w:val="004F1D20"/>
    <w:rsid w:val="004F326C"/>
    <w:rsid w:val="004F38A6"/>
    <w:rsid w:val="004F444A"/>
    <w:rsid w:val="004F5575"/>
    <w:rsid w:val="004F79D9"/>
    <w:rsid w:val="005014BC"/>
    <w:rsid w:val="00501617"/>
    <w:rsid w:val="00502229"/>
    <w:rsid w:val="005030DE"/>
    <w:rsid w:val="00504BCF"/>
    <w:rsid w:val="00505286"/>
    <w:rsid w:val="00505FB0"/>
    <w:rsid w:val="0050634D"/>
    <w:rsid w:val="00506C50"/>
    <w:rsid w:val="005078B2"/>
    <w:rsid w:val="005079C1"/>
    <w:rsid w:val="00507BBF"/>
    <w:rsid w:val="00511260"/>
    <w:rsid w:val="00511565"/>
    <w:rsid w:val="0051172C"/>
    <w:rsid w:val="0051380C"/>
    <w:rsid w:val="00514878"/>
    <w:rsid w:val="0051706E"/>
    <w:rsid w:val="005208F4"/>
    <w:rsid w:val="00520E7F"/>
    <w:rsid w:val="00522D42"/>
    <w:rsid w:val="00523DBC"/>
    <w:rsid w:val="005244E9"/>
    <w:rsid w:val="00525DF3"/>
    <w:rsid w:val="00530509"/>
    <w:rsid w:val="00532080"/>
    <w:rsid w:val="005334D9"/>
    <w:rsid w:val="00536631"/>
    <w:rsid w:val="00545009"/>
    <w:rsid w:val="00545140"/>
    <w:rsid w:val="005455CE"/>
    <w:rsid w:val="00545668"/>
    <w:rsid w:val="0055098F"/>
    <w:rsid w:val="005517B9"/>
    <w:rsid w:val="00552D87"/>
    <w:rsid w:val="00553E7D"/>
    <w:rsid w:val="005542BD"/>
    <w:rsid w:val="00554375"/>
    <w:rsid w:val="00555CC7"/>
    <w:rsid w:val="00556489"/>
    <w:rsid w:val="00556EDA"/>
    <w:rsid w:val="00556FC7"/>
    <w:rsid w:val="005573D6"/>
    <w:rsid w:val="0056029F"/>
    <w:rsid w:val="00564772"/>
    <w:rsid w:val="0056509F"/>
    <w:rsid w:val="00565326"/>
    <w:rsid w:val="005703D6"/>
    <w:rsid w:val="00570A0D"/>
    <w:rsid w:val="005754FC"/>
    <w:rsid w:val="00575F9C"/>
    <w:rsid w:val="00576979"/>
    <w:rsid w:val="00577D50"/>
    <w:rsid w:val="00580D85"/>
    <w:rsid w:val="005813AC"/>
    <w:rsid w:val="0058354A"/>
    <w:rsid w:val="00584BA7"/>
    <w:rsid w:val="00586CFB"/>
    <w:rsid w:val="00587D29"/>
    <w:rsid w:val="00591072"/>
    <w:rsid w:val="00592CAC"/>
    <w:rsid w:val="005934B8"/>
    <w:rsid w:val="00593F53"/>
    <w:rsid w:val="00594A08"/>
    <w:rsid w:val="00594C9D"/>
    <w:rsid w:val="00595C65"/>
    <w:rsid w:val="005964E5"/>
    <w:rsid w:val="005969E2"/>
    <w:rsid w:val="00597705"/>
    <w:rsid w:val="005A08C5"/>
    <w:rsid w:val="005A2449"/>
    <w:rsid w:val="005A2C73"/>
    <w:rsid w:val="005A3E4D"/>
    <w:rsid w:val="005A4FC0"/>
    <w:rsid w:val="005A6077"/>
    <w:rsid w:val="005A71F7"/>
    <w:rsid w:val="005B1333"/>
    <w:rsid w:val="005B1872"/>
    <w:rsid w:val="005B1C3A"/>
    <w:rsid w:val="005B2682"/>
    <w:rsid w:val="005B2971"/>
    <w:rsid w:val="005B4DE6"/>
    <w:rsid w:val="005B649F"/>
    <w:rsid w:val="005B7922"/>
    <w:rsid w:val="005B7CEE"/>
    <w:rsid w:val="005C1439"/>
    <w:rsid w:val="005C15DC"/>
    <w:rsid w:val="005C1D61"/>
    <w:rsid w:val="005C1DEC"/>
    <w:rsid w:val="005C28AE"/>
    <w:rsid w:val="005C36E4"/>
    <w:rsid w:val="005C4FDA"/>
    <w:rsid w:val="005C5C47"/>
    <w:rsid w:val="005C6A41"/>
    <w:rsid w:val="005D0320"/>
    <w:rsid w:val="005D0B78"/>
    <w:rsid w:val="005D1264"/>
    <w:rsid w:val="005D25D6"/>
    <w:rsid w:val="005D2831"/>
    <w:rsid w:val="005D3407"/>
    <w:rsid w:val="005D3941"/>
    <w:rsid w:val="005D411A"/>
    <w:rsid w:val="005D47C3"/>
    <w:rsid w:val="005D5B25"/>
    <w:rsid w:val="005D5E9D"/>
    <w:rsid w:val="005D6BF3"/>
    <w:rsid w:val="005D6D77"/>
    <w:rsid w:val="005E1B2F"/>
    <w:rsid w:val="005E1E40"/>
    <w:rsid w:val="005E2F30"/>
    <w:rsid w:val="005E3541"/>
    <w:rsid w:val="005E4021"/>
    <w:rsid w:val="005E411E"/>
    <w:rsid w:val="005E4810"/>
    <w:rsid w:val="005E560B"/>
    <w:rsid w:val="005E601A"/>
    <w:rsid w:val="005F03D5"/>
    <w:rsid w:val="005F04A5"/>
    <w:rsid w:val="005F0647"/>
    <w:rsid w:val="005F158C"/>
    <w:rsid w:val="005F236B"/>
    <w:rsid w:val="005F3391"/>
    <w:rsid w:val="005F5EE6"/>
    <w:rsid w:val="005F6D85"/>
    <w:rsid w:val="005F77BC"/>
    <w:rsid w:val="00600269"/>
    <w:rsid w:val="0060138F"/>
    <w:rsid w:val="0060391E"/>
    <w:rsid w:val="0060443D"/>
    <w:rsid w:val="00604450"/>
    <w:rsid w:val="0060486E"/>
    <w:rsid w:val="00604D8F"/>
    <w:rsid w:val="006062FB"/>
    <w:rsid w:val="00606867"/>
    <w:rsid w:val="00607419"/>
    <w:rsid w:val="006101AF"/>
    <w:rsid w:val="00612393"/>
    <w:rsid w:val="00612536"/>
    <w:rsid w:val="00612ACF"/>
    <w:rsid w:val="00613E36"/>
    <w:rsid w:val="00614A7A"/>
    <w:rsid w:val="00616B35"/>
    <w:rsid w:val="00617A30"/>
    <w:rsid w:val="00617F99"/>
    <w:rsid w:val="006215E6"/>
    <w:rsid w:val="00621B4B"/>
    <w:rsid w:val="006232F1"/>
    <w:rsid w:val="00623DDE"/>
    <w:rsid w:val="00624695"/>
    <w:rsid w:val="006249C3"/>
    <w:rsid w:val="00625D2D"/>
    <w:rsid w:val="006271A4"/>
    <w:rsid w:val="00630138"/>
    <w:rsid w:val="006304DC"/>
    <w:rsid w:val="006313FC"/>
    <w:rsid w:val="006332F2"/>
    <w:rsid w:val="00634B17"/>
    <w:rsid w:val="006367C7"/>
    <w:rsid w:val="00637A17"/>
    <w:rsid w:val="00637EC0"/>
    <w:rsid w:val="00641035"/>
    <w:rsid w:val="00641661"/>
    <w:rsid w:val="006422E7"/>
    <w:rsid w:val="00644FB0"/>
    <w:rsid w:val="006476E6"/>
    <w:rsid w:val="00650EE2"/>
    <w:rsid w:val="006511A4"/>
    <w:rsid w:val="006513E2"/>
    <w:rsid w:val="00651916"/>
    <w:rsid w:val="00651DE7"/>
    <w:rsid w:val="006531C9"/>
    <w:rsid w:val="006535E1"/>
    <w:rsid w:val="00653C1B"/>
    <w:rsid w:val="0065660F"/>
    <w:rsid w:val="00656719"/>
    <w:rsid w:val="0066025E"/>
    <w:rsid w:val="00661D64"/>
    <w:rsid w:val="00662682"/>
    <w:rsid w:val="006626DA"/>
    <w:rsid w:val="0066305E"/>
    <w:rsid w:val="006639A0"/>
    <w:rsid w:val="00663AEC"/>
    <w:rsid w:val="00663D7F"/>
    <w:rsid w:val="00664CD0"/>
    <w:rsid w:val="00665D94"/>
    <w:rsid w:val="006668FE"/>
    <w:rsid w:val="00666E38"/>
    <w:rsid w:val="00667591"/>
    <w:rsid w:val="00667F9F"/>
    <w:rsid w:val="006710E7"/>
    <w:rsid w:val="00671A0B"/>
    <w:rsid w:val="0067210D"/>
    <w:rsid w:val="00675C81"/>
    <w:rsid w:val="006761A3"/>
    <w:rsid w:val="0068034D"/>
    <w:rsid w:val="00681152"/>
    <w:rsid w:val="006812E6"/>
    <w:rsid w:val="00682987"/>
    <w:rsid w:val="00682CE5"/>
    <w:rsid w:val="006841DC"/>
    <w:rsid w:val="0068468E"/>
    <w:rsid w:val="0068469B"/>
    <w:rsid w:val="00685DAD"/>
    <w:rsid w:val="0068615D"/>
    <w:rsid w:val="0068675A"/>
    <w:rsid w:val="006874B1"/>
    <w:rsid w:val="0069106B"/>
    <w:rsid w:val="00691393"/>
    <w:rsid w:val="00691AF2"/>
    <w:rsid w:val="00691CB2"/>
    <w:rsid w:val="00694527"/>
    <w:rsid w:val="0069550C"/>
    <w:rsid w:val="006972FC"/>
    <w:rsid w:val="00697465"/>
    <w:rsid w:val="00697EB1"/>
    <w:rsid w:val="006A2310"/>
    <w:rsid w:val="006A2706"/>
    <w:rsid w:val="006A498B"/>
    <w:rsid w:val="006A549B"/>
    <w:rsid w:val="006A7DA6"/>
    <w:rsid w:val="006B11DC"/>
    <w:rsid w:val="006B150C"/>
    <w:rsid w:val="006B1DCE"/>
    <w:rsid w:val="006B42B2"/>
    <w:rsid w:val="006B6180"/>
    <w:rsid w:val="006B692B"/>
    <w:rsid w:val="006C177A"/>
    <w:rsid w:val="006C1B13"/>
    <w:rsid w:val="006C32C4"/>
    <w:rsid w:val="006C6304"/>
    <w:rsid w:val="006C7888"/>
    <w:rsid w:val="006D067F"/>
    <w:rsid w:val="006D07FB"/>
    <w:rsid w:val="006D1E2F"/>
    <w:rsid w:val="006D2D9F"/>
    <w:rsid w:val="006D5A67"/>
    <w:rsid w:val="006D6242"/>
    <w:rsid w:val="006D762E"/>
    <w:rsid w:val="006D7AD3"/>
    <w:rsid w:val="006D7DFD"/>
    <w:rsid w:val="006E16D1"/>
    <w:rsid w:val="006E2B6D"/>
    <w:rsid w:val="006E3C88"/>
    <w:rsid w:val="006E4C1C"/>
    <w:rsid w:val="006E682D"/>
    <w:rsid w:val="006F09D8"/>
    <w:rsid w:val="006F1624"/>
    <w:rsid w:val="006F186E"/>
    <w:rsid w:val="006F3052"/>
    <w:rsid w:val="006F31BD"/>
    <w:rsid w:val="006F3259"/>
    <w:rsid w:val="006F3C00"/>
    <w:rsid w:val="006F477E"/>
    <w:rsid w:val="006F78DB"/>
    <w:rsid w:val="00702C42"/>
    <w:rsid w:val="00704A2E"/>
    <w:rsid w:val="007057AB"/>
    <w:rsid w:val="00705F57"/>
    <w:rsid w:val="007072F4"/>
    <w:rsid w:val="00707343"/>
    <w:rsid w:val="007073FB"/>
    <w:rsid w:val="00710C28"/>
    <w:rsid w:val="00711C08"/>
    <w:rsid w:val="00711CC1"/>
    <w:rsid w:val="00712ED3"/>
    <w:rsid w:val="00714697"/>
    <w:rsid w:val="00714C9E"/>
    <w:rsid w:val="00715651"/>
    <w:rsid w:val="00717903"/>
    <w:rsid w:val="00717B10"/>
    <w:rsid w:val="00724B29"/>
    <w:rsid w:val="00727002"/>
    <w:rsid w:val="00727A78"/>
    <w:rsid w:val="00730A5A"/>
    <w:rsid w:val="00731207"/>
    <w:rsid w:val="00734430"/>
    <w:rsid w:val="0074053C"/>
    <w:rsid w:val="00740EF8"/>
    <w:rsid w:val="00743D4D"/>
    <w:rsid w:val="00743EB1"/>
    <w:rsid w:val="0074485F"/>
    <w:rsid w:val="007451A8"/>
    <w:rsid w:val="0074527C"/>
    <w:rsid w:val="00745BF2"/>
    <w:rsid w:val="00745E2B"/>
    <w:rsid w:val="00746757"/>
    <w:rsid w:val="00747E52"/>
    <w:rsid w:val="00751ADD"/>
    <w:rsid w:val="00751B42"/>
    <w:rsid w:val="007520F6"/>
    <w:rsid w:val="007532C0"/>
    <w:rsid w:val="00756020"/>
    <w:rsid w:val="00756098"/>
    <w:rsid w:val="00757F3C"/>
    <w:rsid w:val="007631E0"/>
    <w:rsid w:val="00763628"/>
    <w:rsid w:val="00763BF3"/>
    <w:rsid w:val="00764F87"/>
    <w:rsid w:val="00766DC3"/>
    <w:rsid w:val="00767A6B"/>
    <w:rsid w:val="00771094"/>
    <w:rsid w:val="00771421"/>
    <w:rsid w:val="00772E4B"/>
    <w:rsid w:val="007744D5"/>
    <w:rsid w:val="0077459E"/>
    <w:rsid w:val="0077507A"/>
    <w:rsid w:val="00775448"/>
    <w:rsid w:val="0077676B"/>
    <w:rsid w:val="00777C2B"/>
    <w:rsid w:val="00781CE7"/>
    <w:rsid w:val="00782782"/>
    <w:rsid w:val="007833BF"/>
    <w:rsid w:val="007841E0"/>
    <w:rsid w:val="007863FC"/>
    <w:rsid w:val="007866DC"/>
    <w:rsid w:val="00786BC0"/>
    <w:rsid w:val="0078743A"/>
    <w:rsid w:val="00791465"/>
    <w:rsid w:val="0079276A"/>
    <w:rsid w:val="00793A20"/>
    <w:rsid w:val="00794AA8"/>
    <w:rsid w:val="00795F04"/>
    <w:rsid w:val="00796986"/>
    <w:rsid w:val="00796F39"/>
    <w:rsid w:val="00796F7A"/>
    <w:rsid w:val="00797A49"/>
    <w:rsid w:val="007A1488"/>
    <w:rsid w:val="007A1A81"/>
    <w:rsid w:val="007A2884"/>
    <w:rsid w:val="007A3705"/>
    <w:rsid w:val="007A39B0"/>
    <w:rsid w:val="007A7BBE"/>
    <w:rsid w:val="007B196E"/>
    <w:rsid w:val="007B1F09"/>
    <w:rsid w:val="007B3B75"/>
    <w:rsid w:val="007B4FC2"/>
    <w:rsid w:val="007B566C"/>
    <w:rsid w:val="007B686F"/>
    <w:rsid w:val="007B6CEF"/>
    <w:rsid w:val="007B7478"/>
    <w:rsid w:val="007C17AD"/>
    <w:rsid w:val="007C1809"/>
    <w:rsid w:val="007C247A"/>
    <w:rsid w:val="007C4731"/>
    <w:rsid w:val="007C546A"/>
    <w:rsid w:val="007D0644"/>
    <w:rsid w:val="007D0A2D"/>
    <w:rsid w:val="007D3ACE"/>
    <w:rsid w:val="007D40E6"/>
    <w:rsid w:val="007D532B"/>
    <w:rsid w:val="007D64EC"/>
    <w:rsid w:val="007E05A2"/>
    <w:rsid w:val="007E1089"/>
    <w:rsid w:val="007E1B26"/>
    <w:rsid w:val="007E1F8D"/>
    <w:rsid w:val="007E3EEE"/>
    <w:rsid w:val="007E5E24"/>
    <w:rsid w:val="007F1E72"/>
    <w:rsid w:val="007F2C37"/>
    <w:rsid w:val="007F2E6C"/>
    <w:rsid w:val="007F4798"/>
    <w:rsid w:val="007F47F2"/>
    <w:rsid w:val="00800438"/>
    <w:rsid w:val="008019A5"/>
    <w:rsid w:val="008020C2"/>
    <w:rsid w:val="008020CD"/>
    <w:rsid w:val="00803543"/>
    <w:rsid w:val="00806AFC"/>
    <w:rsid w:val="00807B78"/>
    <w:rsid w:val="00810336"/>
    <w:rsid w:val="0081156D"/>
    <w:rsid w:val="00811B30"/>
    <w:rsid w:val="008120DF"/>
    <w:rsid w:val="00812D95"/>
    <w:rsid w:val="00813448"/>
    <w:rsid w:val="00814EDE"/>
    <w:rsid w:val="0081612B"/>
    <w:rsid w:val="00816ED1"/>
    <w:rsid w:val="00821D82"/>
    <w:rsid w:val="008230F2"/>
    <w:rsid w:val="00823442"/>
    <w:rsid w:val="00823CFE"/>
    <w:rsid w:val="008242ED"/>
    <w:rsid w:val="00824513"/>
    <w:rsid w:val="008272B7"/>
    <w:rsid w:val="008276BB"/>
    <w:rsid w:val="00827B7D"/>
    <w:rsid w:val="008307DB"/>
    <w:rsid w:val="00830F6A"/>
    <w:rsid w:val="0083294E"/>
    <w:rsid w:val="00832EA6"/>
    <w:rsid w:val="00832FD6"/>
    <w:rsid w:val="0083336E"/>
    <w:rsid w:val="00834066"/>
    <w:rsid w:val="008343B4"/>
    <w:rsid w:val="00837B9A"/>
    <w:rsid w:val="00837E1F"/>
    <w:rsid w:val="008405CE"/>
    <w:rsid w:val="008405CF"/>
    <w:rsid w:val="00841726"/>
    <w:rsid w:val="008417D1"/>
    <w:rsid w:val="008426AA"/>
    <w:rsid w:val="0084288F"/>
    <w:rsid w:val="0084295A"/>
    <w:rsid w:val="00842EDE"/>
    <w:rsid w:val="00843658"/>
    <w:rsid w:val="0084393F"/>
    <w:rsid w:val="00846269"/>
    <w:rsid w:val="00851511"/>
    <w:rsid w:val="00851B92"/>
    <w:rsid w:val="008536CA"/>
    <w:rsid w:val="008547C2"/>
    <w:rsid w:val="00854A89"/>
    <w:rsid w:val="00855355"/>
    <w:rsid w:val="008557C2"/>
    <w:rsid w:val="00855F97"/>
    <w:rsid w:val="0086080D"/>
    <w:rsid w:val="008634DE"/>
    <w:rsid w:val="008647BD"/>
    <w:rsid w:val="008665C4"/>
    <w:rsid w:val="0086751C"/>
    <w:rsid w:val="008677E3"/>
    <w:rsid w:val="00870078"/>
    <w:rsid w:val="00870B41"/>
    <w:rsid w:val="00870CE5"/>
    <w:rsid w:val="0087195C"/>
    <w:rsid w:val="00872B15"/>
    <w:rsid w:val="00872C8D"/>
    <w:rsid w:val="00873C6E"/>
    <w:rsid w:val="00873EB9"/>
    <w:rsid w:val="00875D5A"/>
    <w:rsid w:val="00875F1E"/>
    <w:rsid w:val="00880351"/>
    <w:rsid w:val="0088086C"/>
    <w:rsid w:val="008825BB"/>
    <w:rsid w:val="00882735"/>
    <w:rsid w:val="0088275A"/>
    <w:rsid w:val="00882EFE"/>
    <w:rsid w:val="00883D01"/>
    <w:rsid w:val="00884B85"/>
    <w:rsid w:val="00885C05"/>
    <w:rsid w:val="00885F6F"/>
    <w:rsid w:val="00890F28"/>
    <w:rsid w:val="008911CC"/>
    <w:rsid w:val="00891572"/>
    <w:rsid w:val="00892541"/>
    <w:rsid w:val="0089372D"/>
    <w:rsid w:val="00893E14"/>
    <w:rsid w:val="0089533C"/>
    <w:rsid w:val="00895554"/>
    <w:rsid w:val="008957A8"/>
    <w:rsid w:val="00895A54"/>
    <w:rsid w:val="00896B6A"/>
    <w:rsid w:val="008A0454"/>
    <w:rsid w:val="008A1381"/>
    <w:rsid w:val="008A1A60"/>
    <w:rsid w:val="008A2122"/>
    <w:rsid w:val="008A3B56"/>
    <w:rsid w:val="008A3DD7"/>
    <w:rsid w:val="008A4281"/>
    <w:rsid w:val="008A537D"/>
    <w:rsid w:val="008A68C1"/>
    <w:rsid w:val="008A7240"/>
    <w:rsid w:val="008A75F3"/>
    <w:rsid w:val="008A7BFC"/>
    <w:rsid w:val="008A7CF7"/>
    <w:rsid w:val="008A7FAD"/>
    <w:rsid w:val="008B100F"/>
    <w:rsid w:val="008B1DA6"/>
    <w:rsid w:val="008B350C"/>
    <w:rsid w:val="008B3660"/>
    <w:rsid w:val="008B4211"/>
    <w:rsid w:val="008C210D"/>
    <w:rsid w:val="008C29E5"/>
    <w:rsid w:val="008C3E59"/>
    <w:rsid w:val="008C480D"/>
    <w:rsid w:val="008C4C45"/>
    <w:rsid w:val="008C651B"/>
    <w:rsid w:val="008C7138"/>
    <w:rsid w:val="008D11DB"/>
    <w:rsid w:val="008D136B"/>
    <w:rsid w:val="008D235C"/>
    <w:rsid w:val="008D2564"/>
    <w:rsid w:val="008D2D2F"/>
    <w:rsid w:val="008D3C26"/>
    <w:rsid w:val="008D3E56"/>
    <w:rsid w:val="008D4AE9"/>
    <w:rsid w:val="008D57AE"/>
    <w:rsid w:val="008E1213"/>
    <w:rsid w:val="008E1626"/>
    <w:rsid w:val="008E17EE"/>
    <w:rsid w:val="008E270C"/>
    <w:rsid w:val="008E3291"/>
    <w:rsid w:val="008E51D4"/>
    <w:rsid w:val="008E6536"/>
    <w:rsid w:val="008E66F8"/>
    <w:rsid w:val="008E74EF"/>
    <w:rsid w:val="008E7904"/>
    <w:rsid w:val="008E7EFA"/>
    <w:rsid w:val="008F051D"/>
    <w:rsid w:val="008F0FC5"/>
    <w:rsid w:val="008F0FD2"/>
    <w:rsid w:val="008F17A3"/>
    <w:rsid w:val="008F4376"/>
    <w:rsid w:val="008F59AF"/>
    <w:rsid w:val="008F5B07"/>
    <w:rsid w:val="008F5E59"/>
    <w:rsid w:val="008F61FC"/>
    <w:rsid w:val="008F74A5"/>
    <w:rsid w:val="00901474"/>
    <w:rsid w:val="009014FD"/>
    <w:rsid w:val="00901E1D"/>
    <w:rsid w:val="00902AA7"/>
    <w:rsid w:val="00902C55"/>
    <w:rsid w:val="00903496"/>
    <w:rsid w:val="00903A37"/>
    <w:rsid w:val="009041F8"/>
    <w:rsid w:val="00904D53"/>
    <w:rsid w:val="00905C49"/>
    <w:rsid w:val="00906C53"/>
    <w:rsid w:val="0090737A"/>
    <w:rsid w:val="00912AA8"/>
    <w:rsid w:val="00912D4C"/>
    <w:rsid w:val="00914699"/>
    <w:rsid w:val="0091491D"/>
    <w:rsid w:val="0091517B"/>
    <w:rsid w:val="00921597"/>
    <w:rsid w:val="00921696"/>
    <w:rsid w:val="00924A86"/>
    <w:rsid w:val="0092525C"/>
    <w:rsid w:val="009257EE"/>
    <w:rsid w:val="009262E3"/>
    <w:rsid w:val="00927E7F"/>
    <w:rsid w:val="009300E6"/>
    <w:rsid w:val="00931856"/>
    <w:rsid w:val="00931957"/>
    <w:rsid w:val="00931F7E"/>
    <w:rsid w:val="00932259"/>
    <w:rsid w:val="00937B2D"/>
    <w:rsid w:val="00937F6E"/>
    <w:rsid w:val="00940225"/>
    <w:rsid w:val="009429D4"/>
    <w:rsid w:val="00943043"/>
    <w:rsid w:val="00943D4D"/>
    <w:rsid w:val="00944464"/>
    <w:rsid w:val="00945BC4"/>
    <w:rsid w:val="009503FE"/>
    <w:rsid w:val="0095291D"/>
    <w:rsid w:val="00954778"/>
    <w:rsid w:val="0095687B"/>
    <w:rsid w:val="00957730"/>
    <w:rsid w:val="00960CDB"/>
    <w:rsid w:val="00962E0E"/>
    <w:rsid w:val="00964882"/>
    <w:rsid w:val="009648F1"/>
    <w:rsid w:val="00964C44"/>
    <w:rsid w:val="00964DFA"/>
    <w:rsid w:val="0096634B"/>
    <w:rsid w:val="00967344"/>
    <w:rsid w:val="0097136D"/>
    <w:rsid w:val="00971D2F"/>
    <w:rsid w:val="009737E6"/>
    <w:rsid w:val="0097492C"/>
    <w:rsid w:val="00974E2D"/>
    <w:rsid w:val="009754DB"/>
    <w:rsid w:val="00975DB5"/>
    <w:rsid w:val="00976DCD"/>
    <w:rsid w:val="00976F0D"/>
    <w:rsid w:val="009772BC"/>
    <w:rsid w:val="0097759E"/>
    <w:rsid w:val="0098033D"/>
    <w:rsid w:val="0098066C"/>
    <w:rsid w:val="009812F2"/>
    <w:rsid w:val="009814B0"/>
    <w:rsid w:val="00981871"/>
    <w:rsid w:val="00984181"/>
    <w:rsid w:val="0098571F"/>
    <w:rsid w:val="00987780"/>
    <w:rsid w:val="0099005D"/>
    <w:rsid w:val="0099283F"/>
    <w:rsid w:val="00992B0D"/>
    <w:rsid w:val="00993527"/>
    <w:rsid w:val="009949C6"/>
    <w:rsid w:val="009965A4"/>
    <w:rsid w:val="009969E0"/>
    <w:rsid w:val="00996B5C"/>
    <w:rsid w:val="009A0545"/>
    <w:rsid w:val="009A0B4E"/>
    <w:rsid w:val="009A1EC2"/>
    <w:rsid w:val="009A36AF"/>
    <w:rsid w:val="009A3E97"/>
    <w:rsid w:val="009A4BB5"/>
    <w:rsid w:val="009A591E"/>
    <w:rsid w:val="009A7604"/>
    <w:rsid w:val="009A77E7"/>
    <w:rsid w:val="009B19EA"/>
    <w:rsid w:val="009B1B5C"/>
    <w:rsid w:val="009B306D"/>
    <w:rsid w:val="009B5983"/>
    <w:rsid w:val="009B692F"/>
    <w:rsid w:val="009B7B65"/>
    <w:rsid w:val="009C052D"/>
    <w:rsid w:val="009C09A0"/>
    <w:rsid w:val="009C2135"/>
    <w:rsid w:val="009C323D"/>
    <w:rsid w:val="009C33C1"/>
    <w:rsid w:val="009C36F1"/>
    <w:rsid w:val="009C3B51"/>
    <w:rsid w:val="009C3E3C"/>
    <w:rsid w:val="009C4F54"/>
    <w:rsid w:val="009C50B6"/>
    <w:rsid w:val="009C5271"/>
    <w:rsid w:val="009C5953"/>
    <w:rsid w:val="009C63A4"/>
    <w:rsid w:val="009C63D5"/>
    <w:rsid w:val="009C6B5F"/>
    <w:rsid w:val="009C787C"/>
    <w:rsid w:val="009C7FC6"/>
    <w:rsid w:val="009D161A"/>
    <w:rsid w:val="009D1693"/>
    <w:rsid w:val="009D1BCC"/>
    <w:rsid w:val="009D2DC6"/>
    <w:rsid w:val="009D3D26"/>
    <w:rsid w:val="009D4AB7"/>
    <w:rsid w:val="009D5302"/>
    <w:rsid w:val="009D62F3"/>
    <w:rsid w:val="009D754F"/>
    <w:rsid w:val="009E0B1D"/>
    <w:rsid w:val="009E1896"/>
    <w:rsid w:val="009E1980"/>
    <w:rsid w:val="009E1ACC"/>
    <w:rsid w:val="009E20B0"/>
    <w:rsid w:val="009E2833"/>
    <w:rsid w:val="009E2BB3"/>
    <w:rsid w:val="009E325E"/>
    <w:rsid w:val="009E3484"/>
    <w:rsid w:val="009E569F"/>
    <w:rsid w:val="009E5FDA"/>
    <w:rsid w:val="009E646F"/>
    <w:rsid w:val="009E776E"/>
    <w:rsid w:val="009F168E"/>
    <w:rsid w:val="009F1760"/>
    <w:rsid w:val="009F2EC0"/>
    <w:rsid w:val="009F4396"/>
    <w:rsid w:val="009F5BAA"/>
    <w:rsid w:val="009F5D93"/>
    <w:rsid w:val="009F66FC"/>
    <w:rsid w:val="009F6F14"/>
    <w:rsid w:val="009F7433"/>
    <w:rsid w:val="00A00F3C"/>
    <w:rsid w:val="00A0144A"/>
    <w:rsid w:val="00A02844"/>
    <w:rsid w:val="00A034F2"/>
    <w:rsid w:val="00A042CC"/>
    <w:rsid w:val="00A06BF5"/>
    <w:rsid w:val="00A06F4B"/>
    <w:rsid w:val="00A076B8"/>
    <w:rsid w:val="00A07E9C"/>
    <w:rsid w:val="00A11066"/>
    <w:rsid w:val="00A1196D"/>
    <w:rsid w:val="00A11A36"/>
    <w:rsid w:val="00A122F8"/>
    <w:rsid w:val="00A1243E"/>
    <w:rsid w:val="00A12914"/>
    <w:rsid w:val="00A12EEB"/>
    <w:rsid w:val="00A14173"/>
    <w:rsid w:val="00A167B8"/>
    <w:rsid w:val="00A17060"/>
    <w:rsid w:val="00A17ED7"/>
    <w:rsid w:val="00A20167"/>
    <w:rsid w:val="00A20492"/>
    <w:rsid w:val="00A20D0C"/>
    <w:rsid w:val="00A2185E"/>
    <w:rsid w:val="00A21919"/>
    <w:rsid w:val="00A26381"/>
    <w:rsid w:val="00A267B8"/>
    <w:rsid w:val="00A31C08"/>
    <w:rsid w:val="00A32889"/>
    <w:rsid w:val="00A331C2"/>
    <w:rsid w:val="00A36A40"/>
    <w:rsid w:val="00A36D42"/>
    <w:rsid w:val="00A414A1"/>
    <w:rsid w:val="00A41BC0"/>
    <w:rsid w:val="00A42893"/>
    <w:rsid w:val="00A42906"/>
    <w:rsid w:val="00A43E5D"/>
    <w:rsid w:val="00A45490"/>
    <w:rsid w:val="00A4723D"/>
    <w:rsid w:val="00A47250"/>
    <w:rsid w:val="00A5180C"/>
    <w:rsid w:val="00A521EE"/>
    <w:rsid w:val="00A5427C"/>
    <w:rsid w:val="00A5477C"/>
    <w:rsid w:val="00A554DE"/>
    <w:rsid w:val="00A56D35"/>
    <w:rsid w:val="00A603C3"/>
    <w:rsid w:val="00A61267"/>
    <w:rsid w:val="00A61E06"/>
    <w:rsid w:val="00A63772"/>
    <w:rsid w:val="00A63829"/>
    <w:rsid w:val="00A64250"/>
    <w:rsid w:val="00A648D9"/>
    <w:rsid w:val="00A64FD8"/>
    <w:rsid w:val="00A6550F"/>
    <w:rsid w:val="00A65C71"/>
    <w:rsid w:val="00A67C97"/>
    <w:rsid w:val="00A711F9"/>
    <w:rsid w:val="00A71783"/>
    <w:rsid w:val="00A719FE"/>
    <w:rsid w:val="00A74937"/>
    <w:rsid w:val="00A75B8E"/>
    <w:rsid w:val="00A75D40"/>
    <w:rsid w:val="00A80111"/>
    <w:rsid w:val="00A81DF8"/>
    <w:rsid w:val="00A82B55"/>
    <w:rsid w:val="00A83F39"/>
    <w:rsid w:val="00A84210"/>
    <w:rsid w:val="00A85465"/>
    <w:rsid w:val="00A866AE"/>
    <w:rsid w:val="00A878A5"/>
    <w:rsid w:val="00A87D38"/>
    <w:rsid w:val="00A92225"/>
    <w:rsid w:val="00A9381F"/>
    <w:rsid w:val="00A953E7"/>
    <w:rsid w:val="00A958D5"/>
    <w:rsid w:val="00A95B9A"/>
    <w:rsid w:val="00A95CB4"/>
    <w:rsid w:val="00A976E6"/>
    <w:rsid w:val="00AA00D8"/>
    <w:rsid w:val="00AA1A8E"/>
    <w:rsid w:val="00AA242A"/>
    <w:rsid w:val="00AA32DA"/>
    <w:rsid w:val="00AA3A8F"/>
    <w:rsid w:val="00AA45A4"/>
    <w:rsid w:val="00AA4712"/>
    <w:rsid w:val="00AA4FAB"/>
    <w:rsid w:val="00AA65F4"/>
    <w:rsid w:val="00AA68AF"/>
    <w:rsid w:val="00AA7A71"/>
    <w:rsid w:val="00AB01B3"/>
    <w:rsid w:val="00AB1B2B"/>
    <w:rsid w:val="00AB43EE"/>
    <w:rsid w:val="00AB4F07"/>
    <w:rsid w:val="00AB5121"/>
    <w:rsid w:val="00AB51EA"/>
    <w:rsid w:val="00AB6F0C"/>
    <w:rsid w:val="00AC1A18"/>
    <w:rsid w:val="00AC1EC5"/>
    <w:rsid w:val="00AC4AC4"/>
    <w:rsid w:val="00AC7F40"/>
    <w:rsid w:val="00AC7FDF"/>
    <w:rsid w:val="00AD0544"/>
    <w:rsid w:val="00AD061A"/>
    <w:rsid w:val="00AD1C15"/>
    <w:rsid w:val="00AD1F70"/>
    <w:rsid w:val="00AD2008"/>
    <w:rsid w:val="00AD35F0"/>
    <w:rsid w:val="00AD3903"/>
    <w:rsid w:val="00AD6B3C"/>
    <w:rsid w:val="00AE099A"/>
    <w:rsid w:val="00AE117C"/>
    <w:rsid w:val="00AE154F"/>
    <w:rsid w:val="00AE18E1"/>
    <w:rsid w:val="00AE1EE1"/>
    <w:rsid w:val="00AE207E"/>
    <w:rsid w:val="00AE2782"/>
    <w:rsid w:val="00AE2C20"/>
    <w:rsid w:val="00AE3DAE"/>
    <w:rsid w:val="00AE412E"/>
    <w:rsid w:val="00AE52AF"/>
    <w:rsid w:val="00AE5E46"/>
    <w:rsid w:val="00AE6A14"/>
    <w:rsid w:val="00AF05EC"/>
    <w:rsid w:val="00AF252E"/>
    <w:rsid w:val="00AF2AE0"/>
    <w:rsid w:val="00AF399D"/>
    <w:rsid w:val="00AF3D6B"/>
    <w:rsid w:val="00AF3F6B"/>
    <w:rsid w:val="00AF4917"/>
    <w:rsid w:val="00AF4DC9"/>
    <w:rsid w:val="00AF6292"/>
    <w:rsid w:val="00AF680F"/>
    <w:rsid w:val="00AF6DF0"/>
    <w:rsid w:val="00B00514"/>
    <w:rsid w:val="00B00C04"/>
    <w:rsid w:val="00B01C2D"/>
    <w:rsid w:val="00B01FAF"/>
    <w:rsid w:val="00B03866"/>
    <w:rsid w:val="00B04260"/>
    <w:rsid w:val="00B04A4E"/>
    <w:rsid w:val="00B0511A"/>
    <w:rsid w:val="00B0579E"/>
    <w:rsid w:val="00B05D39"/>
    <w:rsid w:val="00B100BE"/>
    <w:rsid w:val="00B11284"/>
    <w:rsid w:val="00B11F80"/>
    <w:rsid w:val="00B13A6B"/>
    <w:rsid w:val="00B14FF9"/>
    <w:rsid w:val="00B15D9A"/>
    <w:rsid w:val="00B160F4"/>
    <w:rsid w:val="00B1684F"/>
    <w:rsid w:val="00B1722F"/>
    <w:rsid w:val="00B17CCB"/>
    <w:rsid w:val="00B207AC"/>
    <w:rsid w:val="00B20D36"/>
    <w:rsid w:val="00B21512"/>
    <w:rsid w:val="00B21FA2"/>
    <w:rsid w:val="00B235FF"/>
    <w:rsid w:val="00B24486"/>
    <w:rsid w:val="00B24846"/>
    <w:rsid w:val="00B26963"/>
    <w:rsid w:val="00B26AA4"/>
    <w:rsid w:val="00B26D53"/>
    <w:rsid w:val="00B26F77"/>
    <w:rsid w:val="00B30BDA"/>
    <w:rsid w:val="00B30C98"/>
    <w:rsid w:val="00B310E7"/>
    <w:rsid w:val="00B32AE8"/>
    <w:rsid w:val="00B3323A"/>
    <w:rsid w:val="00B338F4"/>
    <w:rsid w:val="00B34ECD"/>
    <w:rsid w:val="00B36696"/>
    <w:rsid w:val="00B418D6"/>
    <w:rsid w:val="00B446F9"/>
    <w:rsid w:val="00B46ADF"/>
    <w:rsid w:val="00B50382"/>
    <w:rsid w:val="00B512A3"/>
    <w:rsid w:val="00B51F04"/>
    <w:rsid w:val="00B53331"/>
    <w:rsid w:val="00B53CDE"/>
    <w:rsid w:val="00B553FB"/>
    <w:rsid w:val="00B559B2"/>
    <w:rsid w:val="00B565D4"/>
    <w:rsid w:val="00B56BAF"/>
    <w:rsid w:val="00B56D2F"/>
    <w:rsid w:val="00B56DA8"/>
    <w:rsid w:val="00B57BF8"/>
    <w:rsid w:val="00B60E51"/>
    <w:rsid w:val="00B63F7F"/>
    <w:rsid w:val="00B6537F"/>
    <w:rsid w:val="00B65433"/>
    <w:rsid w:val="00B65D0C"/>
    <w:rsid w:val="00B65DEE"/>
    <w:rsid w:val="00B661C3"/>
    <w:rsid w:val="00B673D7"/>
    <w:rsid w:val="00B71571"/>
    <w:rsid w:val="00B715B1"/>
    <w:rsid w:val="00B74D40"/>
    <w:rsid w:val="00B7619E"/>
    <w:rsid w:val="00B77677"/>
    <w:rsid w:val="00B77BF3"/>
    <w:rsid w:val="00B83257"/>
    <w:rsid w:val="00B8381D"/>
    <w:rsid w:val="00B84964"/>
    <w:rsid w:val="00B849F3"/>
    <w:rsid w:val="00B85F87"/>
    <w:rsid w:val="00B9092D"/>
    <w:rsid w:val="00B91527"/>
    <w:rsid w:val="00B92470"/>
    <w:rsid w:val="00B929D1"/>
    <w:rsid w:val="00B93AC6"/>
    <w:rsid w:val="00B95349"/>
    <w:rsid w:val="00B955C0"/>
    <w:rsid w:val="00B95B9C"/>
    <w:rsid w:val="00B961E2"/>
    <w:rsid w:val="00BA0067"/>
    <w:rsid w:val="00BA0F9A"/>
    <w:rsid w:val="00BA2179"/>
    <w:rsid w:val="00BA2855"/>
    <w:rsid w:val="00BA65AC"/>
    <w:rsid w:val="00BB2985"/>
    <w:rsid w:val="00BB4645"/>
    <w:rsid w:val="00BC0A20"/>
    <w:rsid w:val="00BC21A0"/>
    <w:rsid w:val="00BC2492"/>
    <w:rsid w:val="00BC25A6"/>
    <w:rsid w:val="00BC4EF3"/>
    <w:rsid w:val="00BC6B3D"/>
    <w:rsid w:val="00BC77C0"/>
    <w:rsid w:val="00BC7859"/>
    <w:rsid w:val="00BD09F7"/>
    <w:rsid w:val="00BD0B25"/>
    <w:rsid w:val="00BD234D"/>
    <w:rsid w:val="00BD2561"/>
    <w:rsid w:val="00BD299E"/>
    <w:rsid w:val="00BD3CC1"/>
    <w:rsid w:val="00BD5DCD"/>
    <w:rsid w:val="00BD616D"/>
    <w:rsid w:val="00BD6C4D"/>
    <w:rsid w:val="00BE0997"/>
    <w:rsid w:val="00BE1907"/>
    <w:rsid w:val="00BE1A97"/>
    <w:rsid w:val="00BE3AF3"/>
    <w:rsid w:val="00BE485B"/>
    <w:rsid w:val="00BE62A4"/>
    <w:rsid w:val="00BE6A74"/>
    <w:rsid w:val="00BE7D08"/>
    <w:rsid w:val="00BF0840"/>
    <w:rsid w:val="00BF0DFF"/>
    <w:rsid w:val="00BF22B8"/>
    <w:rsid w:val="00BF2603"/>
    <w:rsid w:val="00BF51CE"/>
    <w:rsid w:val="00BF55F6"/>
    <w:rsid w:val="00BF6541"/>
    <w:rsid w:val="00BF753B"/>
    <w:rsid w:val="00C00FC5"/>
    <w:rsid w:val="00C01A0D"/>
    <w:rsid w:val="00C028D9"/>
    <w:rsid w:val="00C036E4"/>
    <w:rsid w:val="00C038B8"/>
    <w:rsid w:val="00C03B35"/>
    <w:rsid w:val="00C06574"/>
    <w:rsid w:val="00C06F31"/>
    <w:rsid w:val="00C11EE9"/>
    <w:rsid w:val="00C12B8C"/>
    <w:rsid w:val="00C155D9"/>
    <w:rsid w:val="00C1605E"/>
    <w:rsid w:val="00C16773"/>
    <w:rsid w:val="00C220F6"/>
    <w:rsid w:val="00C2211D"/>
    <w:rsid w:val="00C22BE2"/>
    <w:rsid w:val="00C2344F"/>
    <w:rsid w:val="00C246F2"/>
    <w:rsid w:val="00C26707"/>
    <w:rsid w:val="00C27719"/>
    <w:rsid w:val="00C31BCD"/>
    <w:rsid w:val="00C320EB"/>
    <w:rsid w:val="00C32F7B"/>
    <w:rsid w:val="00C33845"/>
    <w:rsid w:val="00C3513F"/>
    <w:rsid w:val="00C355AA"/>
    <w:rsid w:val="00C36223"/>
    <w:rsid w:val="00C40725"/>
    <w:rsid w:val="00C4207E"/>
    <w:rsid w:val="00C42D28"/>
    <w:rsid w:val="00C451A3"/>
    <w:rsid w:val="00C4577E"/>
    <w:rsid w:val="00C46C0A"/>
    <w:rsid w:val="00C50C8F"/>
    <w:rsid w:val="00C50D41"/>
    <w:rsid w:val="00C51156"/>
    <w:rsid w:val="00C51540"/>
    <w:rsid w:val="00C51AA1"/>
    <w:rsid w:val="00C51B2D"/>
    <w:rsid w:val="00C52236"/>
    <w:rsid w:val="00C53FD7"/>
    <w:rsid w:val="00C55C61"/>
    <w:rsid w:val="00C57047"/>
    <w:rsid w:val="00C577B0"/>
    <w:rsid w:val="00C64B98"/>
    <w:rsid w:val="00C64F44"/>
    <w:rsid w:val="00C650ED"/>
    <w:rsid w:val="00C65132"/>
    <w:rsid w:val="00C6557E"/>
    <w:rsid w:val="00C65F6A"/>
    <w:rsid w:val="00C676C8"/>
    <w:rsid w:val="00C67F3E"/>
    <w:rsid w:val="00C70CD5"/>
    <w:rsid w:val="00C70D4A"/>
    <w:rsid w:val="00C7194E"/>
    <w:rsid w:val="00C7216F"/>
    <w:rsid w:val="00C730E4"/>
    <w:rsid w:val="00C73BB8"/>
    <w:rsid w:val="00C74CC5"/>
    <w:rsid w:val="00C76B48"/>
    <w:rsid w:val="00C76CC4"/>
    <w:rsid w:val="00C77815"/>
    <w:rsid w:val="00C823C5"/>
    <w:rsid w:val="00C82D42"/>
    <w:rsid w:val="00C8322A"/>
    <w:rsid w:val="00C83583"/>
    <w:rsid w:val="00C84B12"/>
    <w:rsid w:val="00C869BC"/>
    <w:rsid w:val="00C8737E"/>
    <w:rsid w:val="00C90444"/>
    <w:rsid w:val="00C9243B"/>
    <w:rsid w:val="00C953C0"/>
    <w:rsid w:val="00C96818"/>
    <w:rsid w:val="00C96E5A"/>
    <w:rsid w:val="00C97ACC"/>
    <w:rsid w:val="00CA056D"/>
    <w:rsid w:val="00CA181F"/>
    <w:rsid w:val="00CA22C7"/>
    <w:rsid w:val="00CA2A54"/>
    <w:rsid w:val="00CA3219"/>
    <w:rsid w:val="00CB01EB"/>
    <w:rsid w:val="00CB0DFA"/>
    <w:rsid w:val="00CB250C"/>
    <w:rsid w:val="00CB2848"/>
    <w:rsid w:val="00CB34D5"/>
    <w:rsid w:val="00CB6CB0"/>
    <w:rsid w:val="00CC012E"/>
    <w:rsid w:val="00CC134C"/>
    <w:rsid w:val="00CC36F9"/>
    <w:rsid w:val="00CC3E8F"/>
    <w:rsid w:val="00CC5966"/>
    <w:rsid w:val="00CD0BA2"/>
    <w:rsid w:val="00CD18DE"/>
    <w:rsid w:val="00CD2E30"/>
    <w:rsid w:val="00CD643B"/>
    <w:rsid w:val="00CD7B7F"/>
    <w:rsid w:val="00CE0D42"/>
    <w:rsid w:val="00CE19D1"/>
    <w:rsid w:val="00CE23EF"/>
    <w:rsid w:val="00CE6197"/>
    <w:rsid w:val="00CE6490"/>
    <w:rsid w:val="00CE6BEE"/>
    <w:rsid w:val="00CE702E"/>
    <w:rsid w:val="00CE7723"/>
    <w:rsid w:val="00CF088A"/>
    <w:rsid w:val="00CF1AEC"/>
    <w:rsid w:val="00CF38F2"/>
    <w:rsid w:val="00CF5CD7"/>
    <w:rsid w:val="00CF79DF"/>
    <w:rsid w:val="00D00702"/>
    <w:rsid w:val="00D01E61"/>
    <w:rsid w:val="00D02296"/>
    <w:rsid w:val="00D0263B"/>
    <w:rsid w:val="00D02B99"/>
    <w:rsid w:val="00D0306C"/>
    <w:rsid w:val="00D034FA"/>
    <w:rsid w:val="00D06027"/>
    <w:rsid w:val="00D0751A"/>
    <w:rsid w:val="00D078F8"/>
    <w:rsid w:val="00D07D25"/>
    <w:rsid w:val="00D110F0"/>
    <w:rsid w:val="00D116BA"/>
    <w:rsid w:val="00D12852"/>
    <w:rsid w:val="00D13010"/>
    <w:rsid w:val="00D133F0"/>
    <w:rsid w:val="00D143ED"/>
    <w:rsid w:val="00D16705"/>
    <w:rsid w:val="00D16C5A"/>
    <w:rsid w:val="00D16DAA"/>
    <w:rsid w:val="00D17E12"/>
    <w:rsid w:val="00D20F59"/>
    <w:rsid w:val="00D210FC"/>
    <w:rsid w:val="00D2196F"/>
    <w:rsid w:val="00D21B84"/>
    <w:rsid w:val="00D22983"/>
    <w:rsid w:val="00D25359"/>
    <w:rsid w:val="00D25E7D"/>
    <w:rsid w:val="00D261EA"/>
    <w:rsid w:val="00D26D6A"/>
    <w:rsid w:val="00D27732"/>
    <w:rsid w:val="00D27842"/>
    <w:rsid w:val="00D30628"/>
    <w:rsid w:val="00D30CEE"/>
    <w:rsid w:val="00D31D6C"/>
    <w:rsid w:val="00D32B3D"/>
    <w:rsid w:val="00D3325E"/>
    <w:rsid w:val="00D33C8D"/>
    <w:rsid w:val="00D33DD0"/>
    <w:rsid w:val="00D358C9"/>
    <w:rsid w:val="00D37148"/>
    <w:rsid w:val="00D376AB"/>
    <w:rsid w:val="00D37A00"/>
    <w:rsid w:val="00D40860"/>
    <w:rsid w:val="00D4280D"/>
    <w:rsid w:val="00D42B76"/>
    <w:rsid w:val="00D43787"/>
    <w:rsid w:val="00D437C7"/>
    <w:rsid w:val="00D447D8"/>
    <w:rsid w:val="00D447FF"/>
    <w:rsid w:val="00D450B5"/>
    <w:rsid w:val="00D45623"/>
    <w:rsid w:val="00D45942"/>
    <w:rsid w:val="00D45968"/>
    <w:rsid w:val="00D4625F"/>
    <w:rsid w:val="00D468AF"/>
    <w:rsid w:val="00D470FA"/>
    <w:rsid w:val="00D474AE"/>
    <w:rsid w:val="00D47F57"/>
    <w:rsid w:val="00D47FBE"/>
    <w:rsid w:val="00D50983"/>
    <w:rsid w:val="00D53B35"/>
    <w:rsid w:val="00D5573B"/>
    <w:rsid w:val="00D5648F"/>
    <w:rsid w:val="00D56E3B"/>
    <w:rsid w:val="00D57CC2"/>
    <w:rsid w:val="00D616EC"/>
    <w:rsid w:val="00D625B8"/>
    <w:rsid w:val="00D648BA"/>
    <w:rsid w:val="00D648CC"/>
    <w:rsid w:val="00D66709"/>
    <w:rsid w:val="00D66A4D"/>
    <w:rsid w:val="00D724E1"/>
    <w:rsid w:val="00D7472B"/>
    <w:rsid w:val="00D76A95"/>
    <w:rsid w:val="00D801E1"/>
    <w:rsid w:val="00D80714"/>
    <w:rsid w:val="00D82515"/>
    <w:rsid w:val="00D82682"/>
    <w:rsid w:val="00D827ED"/>
    <w:rsid w:val="00D82E21"/>
    <w:rsid w:val="00D840E2"/>
    <w:rsid w:val="00D846FE"/>
    <w:rsid w:val="00D860CB"/>
    <w:rsid w:val="00D87C68"/>
    <w:rsid w:val="00D92783"/>
    <w:rsid w:val="00D92B70"/>
    <w:rsid w:val="00D92D3B"/>
    <w:rsid w:val="00D93A6E"/>
    <w:rsid w:val="00D94304"/>
    <w:rsid w:val="00D9456A"/>
    <w:rsid w:val="00D94B4E"/>
    <w:rsid w:val="00D94DBD"/>
    <w:rsid w:val="00D95256"/>
    <w:rsid w:val="00DA00BB"/>
    <w:rsid w:val="00DA32DD"/>
    <w:rsid w:val="00DA38F9"/>
    <w:rsid w:val="00DA776D"/>
    <w:rsid w:val="00DA7AAB"/>
    <w:rsid w:val="00DB0815"/>
    <w:rsid w:val="00DB1859"/>
    <w:rsid w:val="00DB3ABE"/>
    <w:rsid w:val="00DB6676"/>
    <w:rsid w:val="00DC2ABE"/>
    <w:rsid w:val="00DC59DE"/>
    <w:rsid w:val="00DC62DA"/>
    <w:rsid w:val="00DC7217"/>
    <w:rsid w:val="00DC79BB"/>
    <w:rsid w:val="00DD11EB"/>
    <w:rsid w:val="00DD1B8B"/>
    <w:rsid w:val="00DD1F32"/>
    <w:rsid w:val="00DD23D6"/>
    <w:rsid w:val="00DD4855"/>
    <w:rsid w:val="00DD5E9B"/>
    <w:rsid w:val="00DD75C4"/>
    <w:rsid w:val="00DE17FF"/>
    <w:rsid w:val="00DE1FBA"/>
    <w:rsid w:val="00DE2D45"/>
    <w:rsid w:val="00DE4550"/>
    <w:rsid w:val="00DE55DE"/>
    <w:rsid w:val="00DE5968"/>
    <w:rsid w:val="00DE6A2A"/>
    <w:rsid w:val="00DE712A"/>
    <w:rsid w:val="00DF0D29"/>
    <w:rsid w:val="00DF1227"/>
    <w:rsid w:val="00DF131F"/>
    <w:rsid w:val="00DF2C98"/>
    <w:rsid w:val="00DF6BA1"/>
    <w:rsid w:val="00DF77FD"/>
    <w:rsid w:val="00DF7AB6"/>
    <w:rsid w:val="00E00DCA"/>
    <w:rsid w:val="00E0135D"/>
    <w:rsid w:val="00E033B7"/>
    <w:rsid w:val="00E038DB"/>
    <w:rsid w:val="00E0406F"/>
    <w:rsid w:val="00E04FFB"/>
    <w:rsid w:val="00E05EEE"/>
    <w:rsid w:val="00E065DD"/>
    <w:rsid w:val="00E075A8"/>
    <w:rsid w:val="00E07D5A"/>
    <w:rsid w:val="00E105EE"/>
    <w:rsid w:val="00E10D91"/>
    <w:rsid w:val="00E11F7B"/>
    <w:rsid w:val="00E134FC"/>
    <w:rsid w:val="00E1361E"/>
    <w:rsid w:val="00E1436B"/>
    <w:rsid w:val="00E14F22"/>
    <w:rsid w:val="00E151BD"/>
    <w:rsid w:val="00E15D29"/>
    <w:rsid w:val="00E170FA"/>
    <w:rsid w:val="00E2020E"/>
    <w:rsid w:val="00E2071C"/>
    <w:rsid w:val="00E20D15"/>
    <w:rsid w:val="00E25A13"/>
    <w:rsid w:val="00E26F75"/>
    <w:rsid w:val="00E27B1D"/>
    <w:rsid w:val="00E302C3"/>
    <w:rsid w:val="00E3064C"/>
    <w:rsid w:val="00E33007"/>
    <w:rsid w:val="00E34483"/>
    <w:rsid w:val="00E3456D"/>
    <w:rsid w:val="00E35026"/>
    <w:rsid w:val="00E406B2"/>
    <w:rsid w:val="00E4190D"/>
    <w:rsid w:val="00E44987"/>
    <w:rsid w:val="00E44EB9"/>
    <w:rsid w:val="00E44F34"/>
    <w:rsid w:val="00E45859"/>
    <w:rsid w:val="00E461A4"/>
    <w:rsid w:val="00E47666"/>
    <w:rsid w:val="00E47C2B"/>
    <w:rsid w:val="00E504E9"/>
    <w:rsid w:val="00E507A9"/>
    <w:rsid w:val="00E5253D"/>
    <w:rsid w:val="00E52852"/>
    <w:rsid w:val="00E53860"/>
    <w:rsid w:val="00E554E7"/>
    <w:rsid w:val="00E5688C"/>
    <w:rsid w:val="00E56A2F"/>
    <w:rsid w:val="00E57C72"/>
    <w:rsid w:val="00E60170"/>
    <w:rsid w:val="00E60AEE"/>
    <w:rsid w:val="00E6547E"/>
    <w:rsid w:val="00E65E36"/>
    <w:rsid w:val="00E669A1"/>
    <w:rsid w:val="00E67625"/>
    <w:rsid w:val="00E7003D"/>
    <w:rsid w:val="00E700D9"/>
    <w:rsid w:val="00E75AF8"/>
    <w:rsid w:val="00E75FF6"/>
    <w:rsid w:val="00E77152"/>
    <w:rsid w:val="00E7730F"/>
    <w:rsid w:val="00E77A6F"/>
    <w:rsid w:val="00E80EC9"/>
    <w:rsid w:val="00E8131B"/>
    <w:rsid w:val="00E83034"/>
    <w:rsid w:val="00E8390A"/>
    <w:rsid w:val="00E83A3B"/>
    <w:rsid w:val="00E87783"/>
    <w:rsid w:val="00E87B3F"/>
    <w:rsid w:val="00E901D7"/>
    <w:rsid w:val="00E9172D"/>
    <w:rsid w:val="00E91BD8"/>
    <w:rsid w:val="00E922BE"/>
    <w:rsid w:val="00E9258D"/>
    <w:rsid w:val="00E9268E"/>
    <w:rsid w:val="00E928C3"/>
    <w:rsid w:val="00E92B00"/>
    <w:rsid w:val="00E9368B"/>
    <w:rsid w:val="00E9446C"/>
    <w:rsid w:val="00E94D9A"/>
    <w:rsid w:val="00E951CA"/>
    <w:rsid w:val="00E953FA"/>
    <w:rsid w:val="00E97D0F"/>
    <w:rsid w:val="00E97E28"/>
    <w:rsid w:val="00EA0BF5"/>
    <w:rsid w:val="00EA484D"/>
    <w:rsid w:val="00EA4A96"/>
    <w:rsid w:val="00EA6E36"/>
    <w:rsid w:val="00EB1A14"/>
    <w:rsid w:val="00EB1C95"/>
    <w:rsid w:val="00EB3B0A"/>
    <w:rsid w:val="00EB3DAC"/>
    <w:rsid w:val="00EB4093"/>
    <w:rsid w:val="00EB46F3"/>
    <w:rsid w:val="00EB4958"/>
    <w:rsid w:val="00EC0A00"/>
    <w:rsid w:val="00EC1371"/>
    <w:rsid w:val="00EC2445"/>
    <w:rsid w:val="00EC33B2"/>
    <w:rsid w:val="00EC3796"/>
    <w:rsid w:val="00EC41A4"/>
    <w:rsid w:val="00EC5D78"/>
    <w:rsid w:val="00EC60FE"/>
    <w:rsid w:val="00EC6563"/>
    <w:rsid w:val="00EC7294"/>
    <w:rsid w:val="00EC7555"/>
    <w:rsid w:val="00EC7728"/>
    <w:rsid w:val="00ED0109"/>
    <w:rsid w:val="00ED0680"/>
    <w:rsid w:val="00ED10A6"/>
    <w:rsid w:val="00ED27B9"/>
    <w:rsid w:val="00ED2905"/>
    <w:rsid w:val="00ED3D65"/>
    <w:rsid w:val="00ED580D"/>
    <w:rsid w:val="00ED5F4C"/>
    <w:rsid w:val="00ED657B"/>
    <w:rsid w:val="00ED7E7A"/>
    <w:rsid w:val="00EE0D8C"/>
    <w:rsid w:val="00EE149D"/>
    <w:rsid w:val="00EE172B"/>
    <w:rsid w:val="00EE32FC"/>
    <w:rsid w:val="00EE3F56"/>
    <w:rsid w:val="00EE4BB2"/>
    <w:rsid w:val="00EE560A"/>
    <w:rsid w:val="00EE6B47"/>
    <w:rsid w:val="00EE733B"/>
    <w:rsid w:val="00EE7B6D"/>
    <w:rsid w:val="00EF13A5"/>
    <w:rsid w:val="00EF1724"/>
    <w:rsid w:val="00EF1AA9"/>
    <w:rsid w:val="00EF1B4E"/>
    <w:rsid w:val="00EF1CC2"/>
    <w:rsid w:val="00EF3963"/>
    <w:rsid w:val="00EF5079"/>
    <w:rsid w:val="00EF7A77"/>
    <w:rsid w:val="00EF7DE3"/>
    <w:rsid w:val="00F006C9"/>
    <w:rsid w:val="00F00959"/>
    <w:rsid w:val="00F02F54"/>
    <w:rsid w:val="00F03638"/>
    <w:rsid w:val="00F039ED"/>
    <w:rsid w:val="00F03F16"/>
    <w:rsid w:val="00F0620D"/>
    <w:rsid w:val="00F07ECC"/>
    <w:rsid w:val="00F10116"/>
    <w:rsid w:val="00F11B23"/>
    <w:rsid w:val="00F1344F"/>
    <w:rsid w:val="00F13850"/>
    <w:rsid w:val="00F13A34"/>
    <w:rsid w:val="00F146CB"/>
    <w:rsid w:val="00F14B1E"/>
    <w:rsid w:val="00F15D92"/>
    <w:rsid w:val="00F17F1D"/>
    <w:rsid w:val="00F20E9C"/>
    <w:rsid w:val="00F220EF"/>
    <w:rsid w:val="00F2298C"/>
    <w:rsid w:val="00F24CF2"/>
    <w:rsid w:val="00F25235"/>
    <w:rsid w:val="00F254F6"/>
    <w:rsid w:val="00F3022D"/>
    <w:rsid w:val="00F30708"/>
    <w:rsid w:val="00F31B3B"/>
    <w:rsid w:val="00F31E35"/>
    <w:rsid w:val="00F3228A"/>
    <w:rsid w:val="00F3395E"/>
    <w:rsid w:val="00F33A72"/>
    <w:rsid w:val="00F3415D"/>
    <w:rsid w:val="00F363F1"/>
    <w:rsid w:val="00F37256"/>
    <w:rsid w:val="00F40787"/>
    <w:rsid w:val="00F41044"/>
    <w:rsid w:val="00F410A5"/>
    <w:rsid w:val="00F43DFC"/>
    <w:rsid w:val="00F45E5A"/>
    <w:rsid w:val="00F46F50"/>
    <w:rsid w:val="00F50172"/>
    <w:rsid w:val="00F54740"/>
    <w:rsid w:val="00F565D0"/>
    <w:rsid w:val="00F57A3E"/>
    <w:rsid w:val="00F62899"/>
    <w:rsid w:val="00F637A9"/>
    <w:rsid w:val="00F63A4A"/>
    <w:rsid w:val="00F63E31"/>
    <w:rsid w:val="00F645AE"/>
    <w:rsid w:val="00F65287"/>
    <w:rsid w:val="00F6736F"/>
    <w:rsid w:val="00F676B5"/>
    <w:rsid w:val="00F67D00"/>
    <w:rsid w:val="00F67D2C"/>
    <w:rsid w:val="00F70011"/>
    <w:rsid w:val="00F720FA"/>
    <w:rsid w:val="00F733B2"/>
    <w:rsid w:val="00F73B89"/>
    <w:rsid w:val="00F75BE8"/>
    <w:rsid w:val="00F75DF6"/>
    <w:rsid w:val="00F772EA"/>
    <w:rsid w:val="00F77698"/>
    <w:rsid w:val="00F83BC2"/>
    <w:rsid w:val="00F84ED2"/>
    <w:rsid w:val="00F84EEA"/>
    <w:rsid w:val="00F87AC1"/>
    <w:rsid w:val="00F90290"/>
    <w:rsid w:val="00F915B8"/>
    <w:rsid w:val="00F91B3B"/>
    <w:rsid w:val="00F94EC0"/>
    <w:rsid w:val="00F976C6"/>
    <w:rsid w:val="00FA0C52"/>
    <w:rsid w:val="00FA0D7C"/>
    <w:rsid w:val="00FA1CFB"/>
    <w:rsid w:val="00FA215D"/>
    <w:rsid w:val="00FA2451"/>
    <w:rsid w:val="00FA2726"/>
    <w:rsid w:val="00FA3FB9"/>
    <w:rsid w:val="00FA457D"/>
    <w:rsid w:val="00FA6E33"/>
    <w:rsid w:val="00FA72B1"/>
    <w:rsid w:val="00FB7B46"/>
    <w:rsid w:val="00FC479C"/>
    <w:rsid w:val="00FC6E57"/>
    <w:rsid w:val="00FC7151"/>
    <w:rsid w:val="00FD0560"/>
    <w:rsid w:val="00FD0C02"/>
    <w:rsid w:val="00FD1FCF"/>
    <w:rsid w:val="00FD282F"/>
    <w:rsid w:val="00FD3923"/>
    <w:rsid w:val="00FD47F0"/>
    <w:rsid w:val="00FD5A9B"/>
    <w:rsid w:val="00FD6EAA"/>
    <w:rsid w:val="00FE0ABB"/>
    <w:rsid w:val="00FE141F"/>
    <w:rsid w:val="00FE20F0"/>
    <w:rsid w:val="00FE5819"/>
    <w:rsid w:val="00FE7911"/>
    <w:rsid w:val="00FF1735"/>
    <w:rsid w:val="00FF31C9"/>
    <w:rsid w:val="00FF3D51"/>
    <w:rsid w:val="00FF4DDC"/>
    <w:rsid w:val="00FF5DB9"/>
    <w:rsid w:val="00FF663F"/>
    <w:rsid w:val="00FF723E"/>
    <w:rsid w:val="00FF7AE0"/>
    <w:rsid w:val="00FF7AF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3D529"/>
  <w15:chartTrackingRefBased/>
  <w15:docId w15:val="{E63524B8-8CBB-964F-9110-200DCF777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000000" w:themeColor="text1"/>
        <w:sz w:val="24"/>
        <w:szCs w:val="24"/>
        <w:lang w:val="en-ZA"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51"/>
    <w:pPr>
      <w:ind w:left="720"/>
      <w:contextualSpacing/>
    </w:pPr>
  </w:style>
  <w:style w:type="paragraph" w:styleId="FootnoteText">
    <w:name w:val="footnote text"/>
    <w:basedOn w:val="Normal"/>
    <w:link w:val="FootnoteTextChar"/>
    <w:uiPriority w:val="99"/>
    <w:semiHidden/>
    <w:unhideWhenUsed/>
    <w:rsid w:val="00005691"/>
    <w:rPr>
      <w:sz w:val="20"/>
      <w:szCs w:val="20"/>
    </w:rPr>
  </w:style>
  <w:style w:type="character" w:customStyle="1" w:styleId="FootnoteTextChar">
    <w:name w:val="Footnote Text Char"/>
    <w:basedOn w:val="DefaultParagraphFont"/>
    <w:link w:val="FootnoteText"/>
    <w:uiPriority w:val="99"/>
    <w:semiHidden/>
    <w:rsid w:val="00005691"/>
    <w:rPr>
      <w:sz w:val="20"/>
      <w:szCs w:val="20"/>
    </w:rPr>
  </w:style>
  <w:style w:type="character" w:styleId="FootnoteReference">
    <w:name w:val="footnote reference"/>
    <w:basedOn w:val="DefaultParagraphFont"/>
    <w:uiPriority w:val="99"/>
    <w:semiHidden/>
    <w:unhideWhenUsed/>
    <w:rsid w:val="00005691"/>
    <w:rPr>
      <w:vertAlign w:val="superscript"/>
    </w:rPr>
  </w:style>
  <w:style w:type="paragraph" w:styleId="Header">
    <w:name w:val="header"/>
    <w:basedOn w:val="Normal"/>
    <w:link w:val="HeaderChar"/>
    <w:uiPriority w:val="99"/>
    <w:unhideWhenUsed/>
    <w:rsid w:val="00146BA3"/>
    <w:pPr>
      <w:tabs>
        <w:tab w:val="center" w:pos="4513"/>
        <w:tab w:val="right" w:pos="9026"/>
      </w:tabs>
    </w:pPr>
  </w:style>
  <w:style w:type="character" w:customStyle="1" w:styleId="HeaderChar">
    <w:name w:val="Header Char"/>
    <w:basedOn w:val="DefaultParagraphFont"/>
    <w:link w:val="Header"/>
    <w:uiPriority w:val="99"/>
    <w:rsid w:val="00146BA3"/>
  </w:style>
  <w:style w:type="character" w:styleId="PageNumber">
    <w:name w:val="page number"/>
    <w:basedOn w:val="DefaultParagraphFont"/>
    <w:uiPriority w:val="99"/>
    <w:semiHidden/>
    <w:unhideWhenUsed/>
    <w:rsid w:val="00146BA3"/>
  </w:style>
  <w:style w:type="paragraph" w:styleId="NormalWeb">
    <w:name w:val="Normal (Web)"/>
    <w:basedOn w:val="Normal"/>
    <w:uiPriority w:val="99"/>
    <w:semiHidden/>
    <w:unhideWhenUsed/>
    <w:rsid w:val="00460ABA"/>
    <w:pPr>
      <w:spacing w:before="100" w:beforeAutospacing="1" w:after="100" w:afterAutospacing="1" w:line="240" w:lineRule="auto"/>
    </w:pPr>
    <w:rPr>
      <w:rFonts w:ascii="Times New Roman" w:eastAsia="Times New Roman" w:hAnsi="Times New Roman" w:cs="Times New Roman"/>
      <w:color w:val="auto"/>
      <w:lang w:eastAsia="en-GB"/>
    </w:rPr>
  </w:style>
  <w:style w:type="character" w:customStyle="1" w:styleId="apple-converted-space">
    <w:name w:val="apple-converted-space"/>
    <w:basedOn w:val="DefaultParagraphFont"/>
    <w:rsid w:val="00460ABA"/>
  </w:style>
  <w:style w:type="character" w:styleId="Hyperlink">
    <w:name w:val="Hyperlink"/>
    <w:basedOn w:val="DefaultParagraphFont"/>
    <w:uiPriority w:val="99"/>
    <w:semiHidden/>
    <w:unhideWhenUsed/>
    <w:rsid w:val="00460A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8691859">
      <w:bodyDiv w:val="1"/>
      <w:marLeft w:val="0"/>
      <w:marRight w:val="0"/>
      <w:marTop w:val="0"/>
      <w:marBottom w:val="0"/>
      <w:divBdr>
        <w:top w:val="none" w:sz="0" w:space="0" w:color="auto"/>
        <w:left w:val="none" w:sz="0" w:space="0" w:color="auto"/>
        <w:bottom w:val="none" w:sz="0" w:space="0" w:color="auto"/>
        <w:right w:val="none" w:sz="0" w:space="0" w:color="auto"/>
      </w:divBdr>
      <w:divsChild>
        <w:div w:id="104085104">
          <w:marLeft w:val="0"/>
          <w:marRight w:val="0"/>
          <w:marTop w:val="0"/>
          <w:marBottom w:val="0"/>
          <w:divBdr>
            <w:top w:val="none" w:sz="0" w:space="0" w:color="auto"/>
            <w:left w:val="none" w:sz="0" w:space="0" w:color="auto"/>
            <w:bottom w:val="none" w:sz="0" w:space="0" w:color="auto"/>
            <w:right w:val="none" w:sz="0" w:space="0" w:color="auto"/>
          </w:divBdr>
        </w:div>
        <w:div w:id="20659850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D05C96-ED8E-4959-891C-8BC1ACA83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3170</Words>
  <Characters>18071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Govindjee, Avinash (Prof) (Summerstrand Campus South)</dc:creator>
  <cp:keywords/>
  <dc:description/>
  <cp:lastModifiedBy>Mokone</cp:lastModifiedBy>
  <cp:revision>3</cp:revision>
  <cp:lastPrinted>2023-08-02T11:11:00Z</cp:lastPrinted>
  <dcterms:created xsi:type="dcterms:W3CDTF">2023-08-15T06:53:00Z</dcterms:created>
  <dcterms:modified xsi:type="dcterms:W3CDTF">2023-08-15T06:54:00Z</dcterms:modified>
</cp:coreProperties>
</file>