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42AF" w14:textId="77777777" w:rsidR="00CE3A7D" w:rsidRDefault="00771698" w:rsidP="00AA794C">
      <w:pPr>
        <w:rPr>
          <w:rFonts w:ascii="Arial" w:hAnsi="Arial" w:cs="Arial"/>
          <w:sz w:val="24"/>
          <w:szCs w:val="24"/>
        </w:rPr>
      </w:pPr>
      <w:r>
        <w:rPr>
          <w:noProof/>
          <w:lang w:val="en-ZA" w:eastAsia="en-ZA"/>
        </w:rPr>
        <w:drawing>
          <wp:anchor distT="0" distB="0" distL="114300" distR="114300" simplePos="0" relativeHeight="251658240" behindDoc="0" locked="0" layoutInCell="1" allowOverlap="1" wp14:anchorId="1C0B3600" wp14:editId="75236A59">
            <wp:simplePos x="0" y="0"/>
            <wp:positionH relativeFrom="column">
              <wp:posOffset>2149475</wp:posOffset>
            </wp:positionH>
            <wp:positionV relativeFrom="paragraph">
              <wp:posOffset>0</wp:posOffset>
            </wp:positionV>
            <wp:extent cx="1049655" cy="10382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038225"/>
                    </a:xfrm>
                    <a:prstGeom prst="rect">
                      <a:avLst/>
                    </a:prstGeom>
                    <a:noFill/>
                    <a:ln>
                      <a:noFill/>
                    </a:ln>
                  </pic:spPr>
                </pic:pic>
              </a:graphicData>
            </a:graphic>
            <wp14:sizeRelH relativeFrom="margin">
              <wp14:pctWidth>0</wp14:pctWidth>
            </wp14:sizeRelH>
          </wp:anchor>
        </w:drawing>
      </w:r>
    </w:p>
    <w:p w14:paraId="2C551C67" w14:textId="77777777" w:rsidR="00771698" w:rsidRDefault="00AA794C" w:rsidP="00AA794C">
      <w:pPr>
        <w:rPr>
          <w:rFonts w:ascii="Arial" w:hAnsi="Arial" w:cs="Arial"/>
          <w:sz w:val="24"/>
          <w:szCs w:val="24"/>
        </w:rPr>
      </w:pPr>
      <w:r>
        <w:rPr>
          <w:rFonts w:ascii="Arial" w:hAnsi="Arial" w:cs="Arial"/>
          <w:sz w:val="24"/>
          <w:szCs w:val="24"/>
        </w:rPr>
        <w:br w:type="textWrapping" w:clear="all"/>
      </w:r>
    </w:p>
    <w:p w14:paraId="582F5350" w14:textId="77777777" w:rsidR="00771698" w:rsidRDefault="00771698" w:rsidP="00771698">
      <w:pPr>
        <w:jc w:val="center"/>
        <w:rPr>
          <w:rFonts w:ascii="Arial" w:hAnsi="Arial" w:cs="Arial"/>
          <w:sz w:val="24"/>
          <w:szCs w:val="24"/>
        </w:rPr>
      </w:pPr>
      <w:r>
        <w:rPr>
          <w:rFonts w:ascii="Arial" w:hAnsi="Arial" w:cs="Arial"/>
          <w:sz w:val="24"/>
          <w:szCs w:val="24"/>
        </w:rPr>
        <w:t>IN THE HIGH COURT OF SOUTH AFRICA</w:t>
      </w:r>
    </w:p>
    <w:p w14:paraId="2A9C113C" w14:textId="77777777" w:rsidR="00771698" w:rsidRDefault="00771698" w:rsidP="00771698">
      <w:pPr>
        <w:jc w:val="center"/>
        <w:rPr>
          <w:rFonts w:ascii="Arial" w:hAnsi="Arial" w:cs="Arial"/>
          <w:sz w:val="24"/>
          <w:szCs w:val="24"/>
        </w:rPr>
      </w:pPr>
      <w:r>
        <w:rPr>
          <w:rFonts w:ascii="Arial" w:hAnsi="Arial" w:cs="Arial"/>
          <w:sz w:val="24"/>
          <w:szCs w:val="24"/>
        </w:rPr>
        <w:t>EASTERN CAPE DIVISION, BHISHO</w:t>
      </w:r>
    </w:p>
    <w:p w14:paraId="404DF739" w14:textId="77777777" w:rsidR="00771698" w:rsidRPr="00D24FB2" w:rsidRDefault="00836D14" w:rsidP="00D24FB2">
      <w:pPr>
        <w:spacing w:after="0" w:line="240" w:lineRule="auto"/>
        <w:ind w:left="5760"/>
        <w:jc w:val="center"/>
        <w:rPr>
          <w:rFonts w:ascii="Arial" w:hAnsi="Arial" w:cs="Arial"/>
          <w:color w:val="000000" w:themeColor="text1"/>
          <w:sz w:val="24"/>
          <w:szCs w:val="24"/>
        </w:rPr>
      </w:pPr>
      <w:r w:rsidRPr="00D24FB2">
        <w:rPr>
          <w:rFonts w:ascii="Arial" w:hAnsi="Arial" w:cs="Arial"/>
          <w:color w:val="000000" w:themeColor="text1"/>
          <w:sz w:val="24"/>
          <w:szCs w:val="24"/>
        </w:rPr>
        <w:t xml:space="preserve">  Case No.:  </w:t>
      </w:r>
      <w:r w:rsidRPr="00D24FB2">
        <w:rPr>
          <w:rFonts w:ascii="Arial" w:hAnsi="Arial" w:cs="Arial"/>
          <w:color w:val="000000" w:themeColor="text1"/>
          <w:sz w:val="24"/>
          <w:szCs w:val="24"/>
        </w:rPr>
        <w:tab/>
        <w:t>800/</w:t>
      </w:r>
      <w:r w:rsidR="00771698" w:rsidRPr="00D24FB2">
        <w:rPr>
          <w:rFonts w:ascii="Arial" w:hAnsi="Arial" w:cs="Arial"/>
          <w:color w:val="000000" w:themeColor="text1"/>
          <w:sz w:val="24"/>
          <w:szCs w:val="24"/>
        </w:rPr>
        <w:t>2021</w:t>
      </w:r>
      <w:r w:rsidR="00A627CD" w:rsidRPr="00D24FB2">
        <w:rPr>
          <w:rFonts w:ascii="Arial" w:hAnsi="Arial" w:cs="Arial"/>
          <w:color w:val="000000" w:themeColor="text1"/>
          <w:sz w:val="24"/>
          <w:szCs w:val="24"/>
        </w:rPr>
        <w:t xml:space="preserve"> </w:t>
      </w:r>
    </w:p>
    <w:p w14:paraId="0A122A0A" w14:textId="77777777" w:rsidR="00D24FB2" w:rsidRDefault="00D24FB2" w:rsidP="00D24FB2">
      <w:pPr>
        <w:spacing w:after="0" w:line="240" w:lineRule="auto"/>
        <w:ind w:left="5760" w:firstLine="720"/>
        <w:rPr>
          <w:rFonts w:ascii="Arial" w:hAnsi="Arial" w:cs="Arial"/>
          <w:sz w:val="24"/>
          <w:szCs w:val="24"/>
        </w:rPr>
      </w:pPr>
    </w:p>
    <w:p w14:paraId="75E37D6C" w14:textId="77777777" w:rsidR="00771698" w:rsidRDefault="00771698" w:rsidP="00052DC5">
      <w:pPr>
        <w:spacing w:after="0" w:line="240" w:lineRule="auto"/>
        <w:ind w:left="5760"/>
        <w:rPr>
          <w:rFonts w:ascii="Arial" w:hAnsi="Arial" w:cs="Arial"/>
          <w:sz w:val="24"/>
          <w:szCs w:val="24"/>
        </w:rPr>
      </w:pPr>
      <w:r w:rsidRPr="00771698">
        <w:rPr>
          <w:rFonts w:ascii="Arial" w:hAnsi="Arial" w:cs="Arial"/>
          <w:sz w:val="24"/>
          <w:szCs w:val="24"/>
        </w:rPr>
        <w:t>Date Heard:</w:t>
      </w:r>
      <w:r w:rsidR="00123839">
        <w:rPr>
          <w:rFonts w:ascii="Arial" w:hAnsi="Arial" w:cs="Arial"/>
          <w:sz w:val="24"/>
          <w:szCs w:val="24"/>
        </w:rPr>
        <w:t xml:space="preserve">  1</w:t>
      </w:r>
      <w:r w:rsidR="00052DC5">
        <w:rPr>
          <w:rFonts w:ascii="Arial" w:hAnsi="Arial" w:cs="Arial"/>
          <w:sz w:val="24"/>
          <w:szCs w:val="24"/>
        </w:rPr>
        <w:t>0 November 2022</w:t>
      </w:r>
    </w:p>
    <w:p w14:paraId="334F967D" w14:textId="77777777" w:rsidR="00D24FB2" w:rsidRPr="00771698" w:rsidRDefault="00D24FB2" w:rsidP="00D24FB2">
      <w:pPr>
        <w:spacing w:after="0" w:line="240" w:lineRule="auto"/>
        <w:ind w:left="5760" w:firstLine="720"/>
        <w:rPr>
          <w:rFonts w:ascii="Arial" w:hAnsi="Arial" w:cs="Arial"/>
          <w:sz w:val="24"/>
          <w:szCs w:val="24"/>
        </w:rPr>
      </w:pPr>
    </w:p>
    <w:p w14:paraId="0F4D15CD" w14:textId="77777777" w:rsidR="00771698" w:rsidRPr="00771698" w:rsidRDefault="003B7C3A" w:rsidP="003B7C3A">
      <w:pPr>
        <w:spacing w:after="0" w:line="240" w:lineRule="auto"/>
        <w:ind w:left="5040"/>
        <w:rPr>
          <w:rFonts w:ascii="Arial" w:hAnsi="Arial" w:cs="Arial"/>
          <w:sz w:val="24"/>
          <w:szCs w:val="24"/>
        </w:rPr>
      </w:pPr>
      <w:r>
        <w:rPr>
          <w:rFonts w:ascii="Arial" w:hAnsi="Arial" w:cs="Arial"/>
          <w:sz w:val="24"/>
          <w:szCs w:val="24"/>
        </w:rPr>
        <w:t xml:space="preserve">      </w:t>
      </w:r>
      <w:r w:rsidR="00771698" w:rsidRPr="00771698">
        <w:rPr>
          <w:rFonts w:ascii="Arial" w:hAnsi="Arial" w:cs="Arial"/>
          <w:sz w:val="24"/>
          <w:szCs w:val="24"/>
        </w:rPr>
        <w:t>Date Delivered:</w:t>
      </w:r>
      <w:r w:rsidR="00123839">
        <w:rPr>
          <w:rFonts w:ascii="Arial" w:hAnsi="Arial" w:cs="Arial"/>
          <w:sz w:val="24"/>
          <w:szCs w:val="24"/>
        </w:rPr>
        <w:t xml:space="preserve">  1</w:t>
      </w:r>
      <w:r>
        <w:rPr>
          <w:rFonts w:ascii="Arial" w:hAnsi="Arial" w:cs="Arial"/>
          <w:sz w:val="24"/>
          <w:szCs w:val="24"/>
        </w:rPr>
        <w:t>4 February 2023</w:t>
      </w:r>
    </w:p>
    <w:p w14:paraId="1B4A0B87" w14:textId="77777777" w:rsidR="00771698" w:rsidRDefault="00771698" w:rsidP="00771698">
      <w:pPr>
        <w:rPr>
          <w:rFonts w:ascii="Arial" w:hAnsi="Arial" w:cs="Arial"/>
          <w:sz w:val="24"/>
          <w:szCs w:val="24"/>
        </w:rPr>
      </w:pPr>
      <w:r w:rsidRPr="00771698">
        <w:rPr>
          <w:rFonts w:ascii="Arial" w:hAnsi="Arial" w:cs="Arial"/>
          <w:sz w:val="24"/>
          <w:szCs w:val="24"/>
        </w:rPr>
        <w:t>In the matter between:</w:t>
      </w:r>
    </w:p>
    <w:p w14:paraId="02A8FA69" w14:textId="77777777" w:rsidR="00D24FB2" w:rsidRPr="00771698" w:rsidRDefault="00D24FB2" w:rsidP="00D24FB2">
      <w:pPr>
        <w:spacing w:after="0" w:line="240" w:lineRule="auto"/>
        <w:rPr>
          <w:rFonts w:ascii="Arial" w:hAnsi="Arial" w:cs="Arial"/>
          <w:sz w:val="24"/>
          <w:szCs w:val="24"/>
        </w:rPr>
      </w:pPr>
    </w:p>
    <w:p w14:paraId="279B42BF" w14:textId="77777777" w:rsidR="00F923FD" w:rsidRPr="000C253B" w:rsidRDefault="000C253B" w:rsidP="004F1C3B">
      <w:pPr>
        <w:spacing w:after="0" w:line="240" w:lineRule="auto"/>
        <w:rPr>
          <w:rFonts w:ascii="Arial" w:hAnsi="Arial" w:cs="Arial"/>
          <w:color w:val="000000" w:themeColor="text1"/>
          <w:sz w:val="24"/>
          <w:szCs w:val="24"/>
        </w:rPr>
      </w:pPr>
      <w:r>
        <w:rPr>
          <w:rFonts w:ascii="Arial" w:hAnsi="Arial" w:cs="Arial"/>
          <w:b/>
          <w:color w:val="000000" w:themeColor="text1"/>
          <w:sz w:val="24"/>
          <w:szCs w:val="24"/>
        </w:rPr>
        <w:t>BABALO</w:t>
      </w:r>
      <w:r w:rsidR="00836D14" w:rsidRPr="00116448">
        <w:rPr>
          <w:rFonts w:ascii="Arial" w:hAnsi="Arial" w:cs="Arial"/>
          <w:b/>
          <w:color w:val="000000" w:themeColor="text1"/>
          <w:sz w:val="24"/>
          <w:szCs w:val="24"/>
        </w:rPr>
        <w:t xml:space="preserve"> MADIKIZELA</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0C253B">
        <w:rPr>
          <w:rFonts w:ascii="Arial" w:hAnsi="Arial" w:cs="Arial"/>
          <w:color w:val="000000" w:themeColor="text1"/>
          <w:sz w:val="24"/>
          <w:szCs w:val="24"/>
        </w:rPr>
        <w:t>Applicant</w:t>
      </w:r>
    </w:p>
    <w:p w14:paraId="0A5C6080" w14:textId="77777777" w:rsidR="004F1C3B" w:rsidRDefault="004F1C3B" w:rsidP="004F1C3B">
      <w:pPr>
        <w:spacing w:after="0" w:line="240" w:lineRule="auto"/>
        <w:rPr>
          <w:rFonts w:ascii="Arial" w:hAnsi="Arial" w:cs="Arial"/>
          <w:color w:val="000000" w:themeColor="text1"/>
          <w:sz w:val="24"/>
          <w:szCs w:val="24"/>
        </w:rPr>
      </w:pPr>
    </w:p>
    <w:p w14:paraId="14EEC114" w14:textId="77777777" w:rsidR="00836D14" w:rsidRPr="000C253B" w:rsidRDefault="00836D14" w:rsidP="004F1C3B">
      <w:pPr>
        <w:spacing w:after="0" w:line="240" w:lineRule="auto"/>
        <w:rPr>
          <w:rFonts w:ascii="Arial" w:hAnsi="Arial" w:cs="Arial"/>
          <w:color w:val="000000" w:themeColor="text1"/>
          <w:sz w:val="24"/>
          <w:szCs w:val="24"/>
        </w:rPr>
      </w:pPr>
      <w:r w:rsidRPr="000C253B">
        <w:rPr>
          <w:rFonts w:ascii="Arial" w:hAnsi="Arial" w:cs="Arial"/>
          <w:color w:val="000000" w:themeColor="text1"/>
          <w:sz w:val="24"/>
          <w:szCs w:val="24"/>
        </w:rPr>
        <w:t>and</w:t>
      </w:r>
    </w:p>
    <w:p w14:paraId="2671E70C" w14:textId="77777777" w:rsidR="004F1C3B" w:rsidRDefault="004F1C3B" w:rsidP="0072040F">
      <w:pPr>
        <w:spacing w:after="0" w:line="240" w:lineRule="auto"/>
        <w:rPr>
          <w:rFonts w:ascii="Arial" w:hAnsi="Arial" w:cs="Arial"/>
          <w:b/>
          <w:color w:val="000000" w:themeColor="text1"/>
          <w:sz w:val="24"/>
          <w:szCs w:val="24"/>
        </w:rPr>
      </w:pPr>
    </w:p>
    <w:p w14:paraId="7AB97579" w14:textId="77777777" w:rsidR="004F1C3B" w:rsidRDefault="008A6DB5" w:rsidP="0072040F">
      <w:pPr>
        <w:spacing w:after="0" w:line="240" w:lineRule="auto"/>
        <w:rPr>
          <w:rFonts w:ascii="Arial" w:hAnsi="Arial" w:cs="Arial"/>
          <w:color w:val="000000" w:themeColor="text1"/>
          <w:sz w:val="24"/>
          <w:szCs w:val="24"/>
        </w:rPr>
      </w:pPr>
      <w:r>
        <w:rPr>
          <w:rFonts w:ascii="Arial" w:hAnsi="Arial" w:cs="Arial"/>
          <w:b/>
          <w:color w:val="000000" w:themeColor="text1"/>
          <w:sz w:val="24"/>
          <w:szCs w:val="24"/>
        </w:rPr>
        <w:t>PUBLIC PROTECTOR</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First Respondent</w:t>
      </w:r>
    </w:p>
    <w:p w14:paraId="37DC930D" w14:textId="77777777" w:rsidR="0072040F" w:rsidRPr="00116448" w:rsidRDefault="0072040F" w:rsidP="0072040F">
      <w:pPr>
        <w:spacing w:after="0" w:line="240" w:lineRule="auto"/>
        <w:rPr>
          <w:rFonts w:ascii="Arial" w:hAnsi="Arial" w:cs="Arial"/>
          <w:b/>
          <w:color w:val="000000" w:themeColor="text1"/>
          <w:sz w:val="24"/>
          <w:szCs w:val="24"/>
        </w:rPr>
      </w:pPr>
    </w:p>
    <w:p w14:paraId="24022960" w14:textId="77777777" w:rsidR="00836D14" w:rsidRDefault="00836D14" w:rsidP="0072040F">
      <w:pPr>
        <w:spacing w:after="0" w:line="240" w:lineRule="auto"/>
        <w:rPr>
          <w:rFonts w:ascii="Arial" w:hAnsi="Arial" w:cs="Arial"/>
          <w:color w:val="000000" w:themeColor="text1"/>
          <w:sz w:val="24"/>
          <w:szCs w:val="24"/>
        </w:rPr>
      </w:pPr>
      <w:r w:rsidRPr="00116448">
        <w:rPr>
          <w:rFonts w:ascii="Arial" w:hAnsi="Arial" w:cs="Arial"/>
          <w:b/>
          <w:color w:val="000000" w:themeColor="text1"/>
          <w:sz w:val="24"/>
          <w:szCs w:val="24"/>
        </w:rPr>
        <w:t>THE PREMIER OF THE EASTERN CAPE</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Second Respondent</w:t>
      </w:r>
    </w:p>
    <w:p w14:paraId="01F9FE94" w14:textId="77777777" w:rsidR="0072040F" w:rsidRPr="000C253B" w:rsidRDefault="0072040F" w:rsidP="0072040F">
      <w:pPr>
        <w:spacing w:after="0" w:line="240" w:lineRule="auto"/>
        <w:rPr>
          <w:rFonts w:ascii="Arial" w:hAnsi="Arial" w:cs="Arial"/>
          <w:color w:val="000000" w:themeColor="text1"/>
          <w:sz w:val="24"/>
          <w:szCs w:val="24"/>
        </w:rPr>
      </w:pPr>
    </w:p>
    <w:p w14:paraId="6EA817CE" w14:textId="77777777" w:rsidR="00836D14" w:rsidRDefault="00836D14" w:rsidP="0072040F">
      <w:pPr>
        <w:spacing w:after="0" w:line="240" w:lineRule="auto"/>
        <w:rPr>
          <w:rFonts w:ascii="Arial" w:hAnsi="Arial" w:cs="Arial"/>
          <w:color w:val="000000" w:themeColor="text1"/>
          <w:sz w:val="24"/>
          <w:szCs w:val="24"/>
        </w:rPr>
      </w:pPr>
      <w:r w:rsidRPr="00116448">
        <w:rPr>
          <w:rFonts w:ascii="Arial" w:hAnsi="Arial" w:cs="Arial"/>
          <w:b/>
          <w:color w:val="000000" w:themeColor="text1"/>
          <w:sz w:val="24"/>
          <w:szCs w:val="24"/>
        </w:rPr>
        <w:t>THE MEC FOR TRANSPORT AND SAFETY</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Third Respondent</w:t>
      </w:r>
    </w:p>
    <w:p w14:paraId="41A621D7" w14:textId="77777777" w:rsidR="0072040F" w:rsidRPr="00116448" w:rsidRDefault="0072040F" w:rsidP="0072040F">
      <w:pPr>
        <w:spacing w:after="0" w:line="240" w:lineRule="auto"/>
        <w:rPr>
          <w:rFonts w:ascii="Arial" w:hAnsi="Arial" w:cs="Arial"/>
          <w:b/>
          <w:color w:val="000000" w:themeColor="text1"/>
          <w:sz w:val="24"/>
          <w:szCs w:val="24"/>
        </w:rPr>
      </w:pPr>
    </w:p>
    <w:p w14:paraId="1D6D0428" w14:textId="77777777" w:rsidR="000C253B" w:rsidRDefault="00836D14" w:rsidP="0072040F">
      <w:pPr>
        <w:spacing w:after="0" w:line="240" w:lineRule="auto"/>
        <w:rPr>
          <w:rFonts w:ascii="Arial" w:hAnsi="Arial" w:cs="Arial"/>
          <w:b/>
          <w:color w:val="000000" w:themeColor="text1"/>
          <w:sz w:val="24"/>
          <w:szCs w:val="24"/>
        </w:rPr>
      </w:pPr>
      <w:r w:rsidRPr="00116448">
        <w:rPr>
          <w:rFonts w:ascii="Arial" w:hAnsi="Arial" w:cs="Arial"/>
          <w:b/>
          <w:color w:val="000000" w:themeColor="text1"/>
          <w:sz w:val="24"/>
          <w:szCs w:val="24"/>
        </w:rPr>
        <w:t xml:space="preserve">THE SPEAKER:  WINNIE MADIKIZELA MANDELA </w:t>
      </w:r>
    </w:p>
    <w:p w14:paraId="7A453E35" w14:textId="77777777" w:rsidR="000C253B" w:rsidRDefault="00836D14" w:rsidP="0072040F">
      <w:pPr>
        <w:spacing w:after="0" w:line="240" w:lineRule="auto"/>
        <w:rPr>
          <w:rFonts w:ascii="Arial" w:hAnsi="Arial" w:cs="Arial"/>
          <w:b/>
          <w:color w:val="000000" w:themeColor="text1"/>
          <w:sz w:val="24"/>
          <w:szCs w:val="24"/>
        </w:rPr>
      </w:pPr>
      <w:r w:rsidRPr="00116448">
        <w:rPr>
          <w:rFonts w:ascii="Arial" w:hAnsi="Arial" w:cs="Arial"/>
          <w:b/>
          <w:color w:val="000000" w:themeColor="text1"/>
          <w:sz w:val="24"/>
          <w:szCs w:val="24"/>
        </w:rPr>
        <w:t>LOCAL MUNICIPALITY (FORMERLY KNOWN AS THE</w:t>
      </w:r>
    </w:p>
    <w:p w14:paraId="4D7062A0" w14:textId="77777777" w:rsidR="00836D14" w:rsidRDefault="00836D14" w:rsidP="0072040F">
      <w:pPr>
        <w:spacing w:after="0" w:line="240" w:lineRule="auto"/>
        <w:rPr>
          <w:rFonts w:ascii="Arial" w:hAnsi="Arial" w:cs="Arial"/>
          <w:color w:val="000000" w:themeColor="text1"/>
          <w:sz w:val="24"/>
          <w:szCs w:val="24"/>
        </w:rPr>
      </w:pPr>
      <w:r w:rsidRPr="00116448">
        <w:rPr>
          <w:rFonts w:ascii="Arial" w:hAnsi="Arial" w:cs="Arial"/>
          <w:b/>
          <w:color w:val="000000" w:themeColor="text1"/>
          <w:sz w:val="24"/>
          <w:szCs w:val="24"/>
        </w:rPr>
        <w:t>MBIZANA LOCAL MUNICIPALITY)</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Fourth Respondent</w:t>
      </w:r>
    </w:p>
    <w:p w14:paraId="6B847933" w14:textId="77777777" w:rsidR="0072040F" w:rsidRPr="000C253B" w:rsidRDefault="0072040F" w:rsidP="0072040F">
      <w:pPr>
        <w:spacing w:after="0" w:line="240" w:lineRule="auto"/>
        <w:rPr>
          <w:rFonts w:ascii="Arial" w:hAnsi="Arial" w:cs="Arial"/>
          <w:b/>
          <w:color w:val="000000" w:themeColor="text1"/>
          <w:sz w:val="24"/>
          <w:szCs w:val="24"/>
        </w:rPr>
      </w:pPr>
    </w:p>
    <w:p w14:paraId="542A9B01" w14:textId="77777777" w:rsidR="00836D14" w:rsidRDefault="00836D14" w:rsidP="0072040F">
      <w:pPr>
        <w:spacing w:after="0" w:line="240" w:lineRule="auto"/>
        <w:rPr>
          <w:rFonts w:ascii="Arial" w:hAnsi="Arial" w:cs="Arial"/>
          <w:color w:val="000000" w:themeColor="text1"/>
          <w:sz w:val="24"/>
          <w:szCs w:val="24"/>
        </w:rPr>
      </w:pPr>
      <w:r w:rsidRPr="00116448">
        <w:rPr>
          <w:rFonts w:ascii="Arial" w:hAnsi="Arial" w:cs="Arial"/>
          <w:b/>
          <w:color w:val="000000" w:themeColor="text1"/>
          <w:sz w:val="24"/>
          <w:szCs w:val="24"/>
        </w:rPr>
        <w:t xml:space="preserve">THE </w:t>
      </w:r>
      <w:r w:rsidRPr="00C73DF0">
        <w:rPr>
          <w:rFonts w:ascii="Arial" w:hAnsi="Arial" w:cs="Arial"/>
          <w:b/>
          <w:color w:val="000000" w:themeColor="text1"/>
          <w:sz w:val="24"/>
          <w:szCs w:val="24"/>
        </w:rPr>
        <w:t>DIRECTOR</w:t>
      </w:r>
      <w:r w:rsidR="00C73DF0">
        <w:rPr>
          <w:rFonts w:ascii="Arial" w:hAnsi="Arial" w:cs="Arial"/>
          <w:b/>
          <w:color w:val="000000" w:themeColor="text1"/>
          <w:sz w:val="24"/>
          <w:szCs w:val="24"/>
        </w:rPr>
        <w:t>I</w:t>
      </w:r>
      <w:r w:rsidRPr="00C73DF0">
        <w:rPr>
          <w:rFonts w:ascii="Arial" w:hAnsi="Arial" w:cs="Arial"/>
          <w:b/>
          <w:color w:val="000000" w:themeColor="text1"/>
          <w:sz w:val="24"/>
          <w:szCs w:val="24"/>
        </w:rPr>
        <w:t>ATE</w:t>
      </w:r>
      <w:r w:rsidRPr="00116448">
        <w:rPr>
          <w:rFonts w:ascii="Arial" w:hAnsi="Arial" w:cs="Arial"/>
          <w:b/>
          <w:color w:val="000000" w:themeColor="text1"/>
          <w:sz w:val="24"/>
          <w:szCs w:val="24"/>
        </w:rPr>
        <w:t xml:space="preserve"> OF PRIORITY CRIMES INVESTIGATIONS</w:t>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Fifth Respondent</w:t>
      </w:r>
    </w:p>
    <w:p w14:paraId="01894A69" w14:textId="77777777" w:rsidR="0072040F" w:rsidRPr="00116448" w:rsidRDefault="0072040F" w:rsidP="0072040F">
      <w:pPr>
        <w:spacing w:after="0" w:line="240" w:lineRule="auto"/>
        <w:rPr>
          <w:rFonts w:ascii="Arial" w:hAnsi="Arial" w:cs="Arial"/>
          <w:b/>
          <w:color w:val="000000" w:themeColor="text1"/>
          <w:sz w:val="24"/>
          <w:szCs w:val="24"/>
        </w:rPr>
      </w:pPr>
    </w:p>
    <w:p w14:paraId="0AF857D8" w14:textId="77777777" w:rsidR="00836D14" w:rsidRDefault="00836D14" w:rsidP="0072040F">
      <w:pPr>
        <w:spacing w:after="0" w:line="240" w:lineRule="auto"/>
        <w:rPr>
          <w:rFonts w:ascii="Arial" w:hAnsi="Arial" w:cs="Arial"/>
          <w:color w:val="000000" w:themeColor="text1"/>
          <w:sz w:val="24"/>
          <w:szCs w:val="24"/>
        </w:rPr>
      </w:pPr>
      <w:r w:rsidRPr="00116448">
        <w:rPr>
          <w:rFonts w:ascii="Arial" w:hAnsi="Arial" w:cs="Arial"/>
          <w:b/>
          <w:color w:val="000000" w:themeColor="text1"/>
          <w:sz w:val="24"/>
          <w:szCs w:val="24"/>
        </w:rPr>
        <w:t>THE AFRICAN NATIONAL CONGRESS</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Sixth Respondent</w:t>
      </w:r>
    </w:p>
    <w:p w14:paraId="744EA7B3" w14:textId="77777777" w:rsidR="0072040F" w:rsidRPr="00116448" w:rsidRDefault="0072040F" w:rsidP="0072040F">
      <w:pPr>
        <w:spacing w:after="0" w:line="240" w:lineRule="auto"/>
        <w:rPr>
          <w:rFonts w:ascii="Arial" w:hAnsi="Arial" w:cs="Arial"/>
          <w:b/>
          <w:color w:val="000000" w:themeColor="text1"/>
          <w:sz w:val="24"/>
          <w:szCs w:val="24"/>
        </w:rPr>
      </w:pPr>
    </w:p>
    <w:p w14:paraId="08846625" w14:textId="77777777" w:rsidR="00836D14" w:rsidRDefault="00836D14" w:rsidP="0072040F">
      <w:pPr>
        <w:spacing w:after="0" w:line="240" w:lineRule="auto"/>
        <w:rPr>
          <w:rFonts w:ascii="Arial" w:hAnsi="Arial" w:cs="Arial"/>
          <w:color w:val="000000" w:themeColor="text1"/>
          <w:sz w:val="24"/>
          <w:szCs w:val="24"/>
        </w:rPr>
      </w:pPr>
      <w:r w:rsidRPr="00116448">
        <w:rPr>
          <w:rFonts w:ascii="Arial" w:hAnsi="Arial" w:cs="Arial"/>
          <w:b/>
          <w:color w:val="000000" w:themeColor="text1"/>
          <w:sz w:val="24"/>
          <w:szCs w:val="24"/>
        </w:rPr>
        <w:t xml:space="preserve">LULABALO OSCAR </w:t>
      </w:r>
      <w:r w:rsidR="00425E18">
        <w:rPr>
          <w:rFonts w:ascii="Arial" w:hAnsi="Arial" w:cs="Arial"/>
          <w:b/>
          <w:color w:val="000000" w:themeColor="text1"/>
          <w:sz w:val="24"/>
          <w:szCs w:val="24"/>
        </w:rPr>
        <w:t>MABUYANE</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Seventh Respondent</w:t>
      </w:r>
    </w:p>
    <w:p w14:paraId="5A4F48B8" w14:textId="77777777" w:rsidR="0072040F" w:rsidRPr="000C253B" w:rsidRDefault="0072040F" w:rsidP="0072040F">
      <w:pPr>
        <w:spacing w:after="0" w:line="240" w:lineRule="auto"/>
        <w:rPr>
          <w:rFonts w:ascii="Arial" w:hAnsi="Arial" w:cs="Arial"/>
          <w:color w:val="000000" w:themeColor="text1"/>
          <w:sz w:val="24"/>
          <w:szCs w:val="24"/>
        </w:rPr>
      </w:pPr>
    </w:p>
    <w:p w14:paraId="2EA5AC49" w14:textId="77777777" w:rsidR="00F15863" w:rsidRPr="002E5477" w:rsidRDefault="00F15863" w:rsidP="0072040F">
      <w:pPr>
        <w:pStyle w:val="BodyText"/>
        <w:framePr w:w="4798" w:hSpace="180" w:wrap="around" w:vAnchor="text" w:hAnchor="page" w:x="2874" w:y="798"/>
        <w:pBdr>
          <w:top w:val="single" w:sz="4" w:space="1" w:color="auto"/>
          <w:left w:val="single" w:sz="4" w:space="1" w:color="auto"/>
          <w:bottom w:val="single" w:sz="4" w:space="1" w:color="auto"/>
          <w:right w:val="single" w:sz="4" w:space="1" w:color="auto"/>
        </w:pBdr>
        <w:spacing w:before="25" w:line="240" w:lineRule="auto"/>
        <w:ind w:left="390" w:right="23"/>
        <w:jc w:val="both"/>
        <w:rPr>
          <w:rFonts w:ascii="Arial" w:hAnsi="Arial" w:cs="Arial"/>
          <w:b/>
          <w:bCs/>
          <w:sz w:val="18"/>
          <w:szCs w:val="18"/>
          <w:lang w:val="en-ZA"/>
        </w:rPr>
      </w:pPr>
      <w:r>
        <w:rPr>
          <w:rFonts w:ascii="Arial" w:hAnsi="Arial" w:cs="Arial"/>
          <w:b/>
          <w:bCs/>
          <w:sz w:val="18"/>
          <w:szCs w:val="18"/>
          <w:lang w:val="en-ZA"/>
        </w:rPr>
        <w:t>(1)</w:t>
      </w:r>
      <w:r>
        <w:rPr>
          <w:rFonts w:ascii="Arial" w:hAnsi="Arial" w:cs="Arial"/>
          <w:b/>
          <w:bCs/>
          <w:sz w:val="18"/>
          <w:szCs w:val="18"/>
          <w:lang w:val="en-ZA"/>
        </w:rPr>
        <w:tab/>
        <w:t xml:space="preserve">REPORTABLE: </w:t>
      </w:r>
      <w:r w:rsidRPr="002E5477">
        <w:rPr>
          <w:rFonts w:ascii="Arial" w:hAnsi="Arial" w:cs="Arial"/>
          <w:b/>
          <w:bCs/>
          <w:sz w:val="18"/>
          <w:szCs w:val="18"/>
          <w:lang w:val="en-ZA"/>
        </w:rPr>
        <w:t>NO</w:t>
      </w:r>
      <w:r w:rsidR="00BF12EE">
        <w:rPr>
          <w:rFonts w:ascii="Arial" w:hAnsi="Arial" w:cs="Arial"/>
          <w:b/>
          <w:bCs/>
          <w:sz w:val="18"/>
          <w:szCs w:val="18"/>
          <w:lang w:val="en-ZA"/>
        </w:rPr>
        <w:t xml:space="preserve">   </w:t>
      </w:r>
    </w:p>
    <w:p w14:paraId="24CF4683" w14:textId="77777777" w:rsidR="00F15863" w:rsidRPr="002E5477" w:rsidRDefault="00F15863" w:rsidP="0072040F">
      <w:pPr>
        <w:pStyle w:val="BodyText"/>
        <w:framePr w:w="4798" w:hSpace="180" w:wrap="around" w:vAnchor="text" w:hAnchor="page" w:x="2874" w:y="798"/>
        <w:pBdr>
          <w:top w:val="single" w:sz="4" w:space="1" w:color="auto"/>
          <w:left w:val="single" w:sz="4" w:space="1" w:color="auto"/>
          <w:bottom w:val="single" w:sz="4" w:space="1" w:color="auto"/>
          <w:right w:val="single" w:sz="4" w:space="1" w:color="auto"/>
        </w:pBdr>
        <w:spacing w:before="25" w:line="240" w:lineRule="auto"/>
        <w:ind w:left="390" w:right="23"/>
        <w:jc w:val="both"/>
        <w:rPr>
          <w:rFonts w:ascii="Arial" w:hAnsi="Arial" w:cs="Arial"/>
          <w:b/>
          <w:bCs/>
          <w:sz w:val="18"/>
          <w:szCs w:val="18"/>
          <w:lang w:val="en-ZA"/>
        </w:rPr>
      </w:pPr>
      <w:r w:rsidRPr="002E5477">
        <w:rPr>
          <w:rFonts w:ascii="Arial" w:hAnsi="Arial" w:cs="Arial"/>
          <w:b/>
          <w:bCs/>
          <w:sz w:val="18"/>
          <w:szCs w:val="18"/>
          <w:lang w:val="en-ZA"/>
        </w:rPr>
        <w:t>(2)</w:t>
      </w:r>
      <w:r w:rsidRPr="002E5477">
        <w:rPr>
          <w:rFonts w:ascii="Arial" w:hAnsi="Arial" w:cs="Arial"/>
          <w:b/>
          <w:bCs/>
          <w:sz w:val="18"/>
          <w:szCs w:val="18"/>
          <w:lang w:val="en-ZA"/>
        </w:rPr>
        <w:tab/>
        <w:t>OF</w:t>
      </w:r>
      <w:r>
        <w:rPr>
          <w:rFonts w:ascii="Arial" w:hAnsi="Arial" w:cs="Arial"/>
          <w:b/>
          <w:bCs/>
          <w:sz w:val="18"/>
          <w:szCs w:val="18"/>
          <w:lang w:val="en-ZA"/>
        </w:rPr>
        <w:t xml:space="preserve"> INTEREST TO OTHER JUDGES: </w:t>
      </w:r>
      <w:r w:rsidRPr="002E5477">
        <w:rPr>
          <w:rFonts w:ascii="Arial" w:hAnsi="Arial" w:cs="Arial"/>
          <w:b/>
          <w:bCs/>
          <w:sz w:val="18"/>
          <w:szCs w:val="18"/>
          <w:lang w:val="en-ZA"/>
        </w:rPr>
        <w:t>NO</w:t>
      </w:r>
    </w:p>
    <w:p w14:paraId="3ED0C8D6" w14:textId="77777777" w:rsidR="00F15863" w:rsidRDefault="00F15863" w:rsidP="0072040F">
      <w:pPr>
        <w:pStyle w:val="BodyText"/>
        <w:framePr w:w="4798" w:hSpace="180" w:wrap="around" w:vAnchor="text" w:hAnchor="page" w:x="2874" w:y="798"/>
        <w:pBdr>
          <w:top w:val="single" w:sz="4" w:space="1" w:color="auto"/>
          <w:left w:val="single" w:sz="4" w:space="1" w:color="auto"/>
          <w:bottom w:val="single" w:sz="4" w:space="1" w:color="auto"/>
          <w:right w:val="single" w:sz="4" w:space="1" w:color="auto"/>
        </w:pBdr>
        <w:spacing w:before="25" w:line="240" w:lineRule="auto"/>
        <w:ind w:left="390" w:right="23"/>
        <w:jc w:val="both"/>
        <w:rPr>
          <w:rFonts w:ascii="Arial" w:hAnsi="Arial" w:cs="Arial"/>
          <w:b/>
          <w:bCs/>
          <w:sz w:val="18"/>
          <w:szCs w:val="18"/>
          <w:lang w:val="en-ZA"/>
        </w:rPr>
      </w:pPr>
      <w:r w:rsidRPr="002E5477">
        <w:rPr>
          <w:rFonts w:ascii="Arial" w:hAnsi="Arial" w:cs="Arial"/>
          <w:b/>
          <w:bCs/>
          <w:sz w:val="18"/>
          <w:szCs w:val="18"/>
          <w:lang w:val="en-ZA"/>
        </w:rPr>
        <w:t>(3)</w:t>
      </w:r>
      <w:r w:rsidRPr="002E5477">
        <w:rPr>
          <w:rFonts w:ascii="Arial" w:hAnsi="Arial" w:cs="Arial"/>
          <w:b/>
          <w:bCs/>
          <w:sz w:val="18"/>
          <w:szCs w:val="18"/>
          <w:lang w:val="en-ZA"/>
        </w:rPr>
        <w:tab/>
        <w:t xml:space="preserve">REVISED. </w:t>
      </w:r>
    </w:p>
    <w:p w14:paraId="6AB58AE3" w14:textId="77777777" w:rsidR="00F15863" w:rsidRDefault="00F15863" w:rsidP="0072040F">
      <w:pPr>
        <w:pStyle w:val="BodyText"/>
        <w:framePr w:w="4798" w:hSpace="180" w:wrap="around" w:vAnchor="text" w:hAnchor="page" w:x="2874" w:y="798"/>
        <w:pBdr>
          <w:top w:val="single" w:sz="4" w:space="1" w:color="auto"/>
          <w:left w:val="single" w:sz="4" w:space="1" w:color="auto"/>
          <w:bottom w:val="single" w:sz="4" w:space="1" w:color="auto"/>
          <w:right w:val="single" w:sz="4" w:space="1" w:color="auto"/>
        </w:pBdr>
        <w:spacing w:before="25" w:line="240" w:lineRule="auto"/>
        <w:ind w:left="390" w:right="23"/>
        <w:jc w:val="both"/>
        <w:rPr>
          <w:rFonts w:ascii="Arial" w:hAnsi="Arial" w:cs="Arial"/>
          <w:b/>
          <w:bCs/>
          <w:sz w:val="18"/>
          <w:szCs w:val="18"/>
          <w:lang w:val="en-ZA"/>
        </w:rPr>
      </w:pPr>
    </w:p>
    <w:p w14:paraId="519E1BCD" w14:textId="77777777" w:rsidR="00F15863" w:rsidRDefault="00F15863" w:rsidP="0072040F">
      <w:pPr>
        <w:pStyle w:val="BodyText"/>
        <w:framePr w:w="4798" w:hSpace="180" w:wrap="around" w:vAnchor="text" w:hAnchor="page" w:x="2874" w:y="798"/>
        <w:pBdr>
          <w:top w:val="single" w:sz="4" w:space="1" w:color="auto"/>
          <w:left w:val="single" w:sz="4" w:space="1" w:color="auto"/>
          <w:bottom w:val="single" w:sz="4" w:space="1" w:color="auto"/>
          <w:right w:val="single" w:sz="4" w:space="1" w:color="auto"/>
        </w:pBdr>
        <w:spacing w:before="25" w:line="240" w:lineRule="auto"/>
        <w:ind w:left="390" w:right="23"/>
        <w:jc w:val="both"/>
        <w:rPr>
          <w:rFonts w:ascii="Arial" w:hAnsi="Arial" w:cs="Arial"/>
          <w:b/>
          <w:bCs/>
          <w:sz w:val="18"/>
          <w:szCs w:val="18"/>
          <w:lang w:val="en-ZA"/>
        </w:rPr>
      </w:pPr>
      <w:r w:rsidRPr="002E5477">
        <w:rPr>
          <w:rFonts w:ascii="Arial" w:hAnsi="Arial" w:cs="Arial"/>
          <w:b/>
          <w:bCs/>
          <w:sz w:val="18"/>
          <w:szCs w:val="18"/>
          <w:lang w:val="en-ZA"/>
        </w:rPr>
        <w:t xml:space="preserve"> …………..………….............……………………</w:t>
      </w:r>
    </w:p>
    <w:p w14:paraId="399D728C" w14:textId="77777777" w:rsidR="00F15863" w:rsidRDefault="00F15863" w:rsidP="0072040F">
      <w:pPr>
        <w:pStyle w:val="BodyText"/>
        <w:framePr w:w="4798" w:hSpace="180" w:wrap="around" w:vAnchor="text" w:hAnchor="page" w:x="2874" w:y="798"/>
        <w:pBdr>
          <w:top w:val="single" w:sz="4" w:space="1" w:color="auto"/>
          <w:left w:val="single" w:sz="4" w:space="1" w:color="auto"/>
          <w:bottom w:val="single" w:sz="4" w:space="1" w:color="auto"/>
          <w:right w:val="single" w:sz="4" w:space="1" w:color="auto"/>
        </w:pBdr>
        <w:spacing w:before="25" w:line="240" w:lineRule="auto"/>
        <w:ind w:left="390" w:right="23"/>
        <w:jc w:val="both"/>
        <w:rPr>
          <w:rFonts w:ascii="Arial" w:hAnsi="Arial" w:cs="Arial"/>
          <w:b/>
          <w:bCs/>
          <w:sz w:val="18"/>
          <w:szCs w:val="18"/>
          <w:lang w:val="en-ZA"/>
        </w:rPr>
      </w:pPr>
      <w:r>
        <w:rPr>
          <w:rFonts w:ascii="Arial" w:hAnsi="Arial" w:cs="Arial"/>
          <w:b/>
          <w:bCs/>
          <w:sz w:val="18"/>
          <w:szCs w:val="18"/>
          <w:lang w:val="en-ZA"/>
        </w:rPr>
        <w:t>SIGNATURE</w:t>
      </w:r>
      <w:r>
        <w:rPr>
          <w:rFonts w:ascii="Arial" w:hAnsi="Arial" w:cs="Arial"/>
          <w:b/>
          <w:bCs/>
          <w:sz w:val="18"/>
          <w:szCs w:val="18"/>
          <w:lang w:val="en-ZA"/>
        </w:rPr>
        <w:tab/>
      </w:r>
      <w:r>
        <w:rPr>
          <w:rFonts w:ascii="Arial" w:hAnsi="Arial" w:cs="Arial"/>
          <w:b/>
          <w:bCs/>
          <w:sz w:val="18"/>
          <w:szCs w:val="18"/>
          <w:lang w:val="en-ZA"/>
        </w:rPr>
        <w:tab/>
      </w:r>
      <w:r>
        <w:rPr>
          <w:rFonts w:ascii="Arial" w:hAnsi="Arial" w:cs="Arial"/>
          <w:b/>
          <w:bCs/>
          <w:sz w:val="18"/>
          <w:szCs w:val="18"/>
          <w:lang w:val="en-ZA"/>
        </w:rPr>
        <w:tab/>
        <w:t>DATE</w:t>
      </w:r>
    </w:p>
    <w:p w14:paraId="68402DFD" w14:textId="77777777" w:rsidR="00F15863" w:rsidRDefault="00F15863" w:rsidP="0072040F">
      <w:pPr>
        <w:pStyle w:val="BodyText"/>
        <w:framePr w:w="4798" w:hSpace="180" w:wrap="around" w:vAnchor="text" w:hAnchor="page" w:x="2874" w:y="798"/>
        <w:spacing w:before="25" w:line="240" w:lineRule="auto"/>
        <w:ind w:left="390" w:right="23"/>
        <w:jc w:val="both"/>
        <w:rPr>
          <w:rFonts w:ascii="Arial" w:hAnsi="Arial" w:cs="Arial"/>
          <w:b/>
          <w:bCs/>
          <w:sz w:val="18"/>
          <w:szCs w:val="18"/>
          <w:lang w:val="en-ZA"/>
        </w:rPr>
      </w:pPr>
    </w:p>
    <w:p w14:paraId="0131278B" w14:textId="77777777" w:rsidR="00F15863" w:rsidRPr="002E5477" w:rsidRDefault="00F15863" w:rsidP="0072040F">
      <w:pPr>
        <w:pStyle w:val="BodyText"/>
        <w:framePr w:w="4798" w:hSpace="180" w:wrap="around" w:vAnchor="text" w:hAnchor="page" w:x="2874" w:y="798"/>
        <w:spacing w:before="25" w:line="240" w:lineRule="auto"/>
        <w:ind w:left="390" w:right="23"/>
        <w:jc w:val="both"/>
        <w:rPr>
          <w:rFonts w:ascii="Arial" w:hAnsi="Arial" w:cs="Arial"/>
          <w:b/>
          <w:bCs/>
          <w:sz w:val="18"/>
          <w:szCs w:val="18"/>
          <w:lang w:val="en-ZA"/>
        </w:rPr>
      </w:pPr>
    </w:p>
    <w:p w14:paraId="55C6B0CC" w14:textId="77777777" w:rsidR="00D24FB2" w:rsidRDefault="00836D14" w:rsidP="0072040F">
      <w:pPr>
        <w:spacing w:after="0" w:line="240" w:lineRule="auto"/>
        <w:rPr>
          <w:rFonts w:ascii="Arial" w:hAnsi="Arial" w:cs="Arial"/>
          <w:b/>
          <w:color w:val="000000" w:themeColor="text1"/>
          <w:sz w:val="24"/>
          <w:szCs w:val="24"/>
        </w:rPr>
      </w:pPr>
      <w:r w:rsidRPr="00116448">
        <w:rPr>
          <w:rFonts w:ascii="Arial" w:hAnsi="Arial" w:cs="Arial"/>
          <w:b/>
          <w:color w:val="000000" w:themeColor="text1"/>
          <w:sz w:val="24"/>
          <w:szCs w:val="24"/>
        </w:rPr>
        <w:t>WESEWE DIKANA-GXOTHIWE</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Eighth Respondent</w:t>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p>
    <w:p w14:paraId="42796FE1" w14:textId="77777777" w:rsidR="00D24FB2" w:rsidRPr="00D24FB2" w:rsidRDefault="00D24FB2" w:rsidP="00771698">
      <w:pPr>
        <w:rPr>
          <w:rFonts w:ascii="Arial" w:hAnsi="Arial" w:cs="Arial"/>
          <w:color w:val="000000" w:themeColor="text1"/>
          <w:sz w:val="24"/>
          <w:szCs w:val="24"/>
        </w:rPr>
      </w:pPr>
      <w:r w:rsidRPr="00D24FB2">
        <w:rPr>
          <w:rFonts w:ascii="Arial" w:hAnsi="Arial" w:cs="Arial"/>
          <w:color w:val="000000" w:themeColor="text1"/>
          <w:sz w:val="24"/>
          <w:szCs w:val="24"/>
        </w:rPr>
        <w:t>AND</w:t>
      </w:r>
    </w:p>
    <w:p w14:paraId="47C5F403" w14:textId="77777777" w:rsidR="00FD1544" w:rsidRDefault="00FD1544" w:rsidP="00D24FB2">
      <w:pPr>
        <w:ind w:left="5760" w:firstLine="720"/>
        <w:rPr>
          <w:rFonts w:ascii="Arial" w:hAnsi="Arial" w:cs="Arial"/>
          <w:color w:val="000000" w:themeColor="text1"/>
          <w:sz w:val="24"/>
          <w:szCs w:val="24"/>
        </w:rPr>
      </w:pPr>
    </w:p>
    <w:p w14:paraId="102EF8CD" w14:textId="77777777" w:rsidR="00FD1544" w:rsidRDefault="00FD1544" w:rsidP="00D24FB2">
      <w:pPr>
        <w:ind w:left="5760" w:firstLine="720"/>
        <w:rPr>
          <w:rFonts w:ascii="Arial" w:hAnsi="Arial" w:cs="Arial"/>
          <w:color w:val="000000" w:themeColor="text1"/>
          <w:sz w:val="24"/>
          <w:szCs w:val="24"/>
        </w:rPr>
      </w:pPr>
    </w:p>
    <w:p w14:paraId="750B7E8D" w14:textId="77777777" w:rsidR="00CE06CB" w:rsidRDefault="00CE06CB" w:rsidP="00D24FB2">
      <w:pPr>
        <w:ind w:left="5760" w:firstLine="720"/>
        <w:rPr>
          <w:rFonts w:ascii="Arial" w:hAnsi="Arial" w:cs="Arial"/>
          <w:color w:val="000000" w:themeColor="text1"/>
          <w:sz w:val="24"/>
          <w:szCs w:val="24"/>
        </w:rPr>
      </w:pPr>
    </w:p>
    <w:p w14:paraId="5502DC42" w14:textId="77777777" w:rsidR="00F15863" w:rsidRDefault="00F15863" w:rsidP="00D24FB2">
      <w:pPr>
        <w:ind w:left="5760" w:firstLine="720"/>
        <w:rPr>
          <w:rFonts w:ascii="Arial" w:hAnsi="Arial" w:cs="Arial"/>
          <w:color w:val="000000" w:themeColor="text1"/>
          <w:sz w:val="24"/>
          <w:szCs w:val="24"/>
        </w:rPr>
      </w:pPr>
    </w:p>
    <w:p w14:paraId="69C8C5B0" w14:textId="77777777" w:rsidR="00F923FD" w:rsidRPr="000C253B" w:rsidRDefault="00D24FB2" w:rsidP="00D24FB2">
      <w:pPr>
        <w:ind w:left="5760" w:firstLine="720"/>
        <w:rPr>
          <w:rFonts w:ascii="Arial" w:hAnsi="Arial" w:cs="Arial"/>
          <w:color w:val="000000" w:themeColor="text1"/>
          <w:sz w:val="24"/>
          <w:szCs w:val="24"/>
        </w:rPr>
      </w:pPr>
      <w:r>
        <w:rPr>
          <w:rFonts w:ascii="Arial" w:hAnsi="Arial" w:cs="Arial"/>
          <w:color w:val="000000" w:themeColor="text1"/>
          <w:sz w:val="24"/>
          <w:szCs w:val="24"/>
        </w:rPr>
        <w:t>C</w:t>
      </w:r>
      <w:r w:rsidR="00836D14" w:rsidRPr="000C253B">
        <w:rPr>
          <w:rFonts w:ascii="Arial" w:hAnsi="Arial" w:cs="Arial"/>
          <w:color w:val="000000" w:themeColor="text1"/>
          <w:sz w:val="24"/>
          <w:szCs w:val="24"/>
        </w:rPr>
        <w:t>ase No.:</w:t>
      </w:r>
      <w:r w:rsidR="00116448" w:rsidRPr="000C253B">
        <w:rPr>
          <w:rFonts w:ascii="Arial" w:hAnsi="Arial" w:cs="Arial"/>
          <w:color w:val="000000" w:themeColor="text1"/>
          <w:sz w:val="24"/>
          <w:szCs w:val="24"/>
        </w:rPr>
        <w:t xml:space="preserve"> 802/2021</w:t>
      </w:r>
    </w:p>
    <w:p w14:paraId="5654D87D" w14:textId="77777777" w:rsidR="00116448" w:rsidRPr="00116448" w:rsidRDefault="00116448" w:rsidP="00771698">
      <w:pPr>
        <w:rPr>
          <w:rFonts w:ascii="Arial" w:hAnsi="Arial" w:cs="Arial"/>
          <w:b/>
          <w:color w:val="000000" w:themeColor="text1"/>
          <w:sz w:val="24"/>
          <w:szCs w:val="24"/>
        </w:rPr>
      </w:pPr>
    </w:p>
    <w:p w14:paraId="10020E4D" w14:textId="77777777" w:rsidR="00116448" w:rsidRPr="00116448" w:rsidRDefault="00FD1544" w:rsidP="004F1C3B">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LULABALO OSCAR </w:t>
      </w:r>
      <w:r w:rsidR="00425E18">
        <w:rPr>
          <w:rFonts w:ascii="Arial" w:hAnsi="Arial" w:cs="Arial"/>
          <w:b/>
          <w:color w:val="000000" w:themeColor="text1"/>
          <w:sz w:val="24"/>
          <w:szCs w:val="24"/>
        </w:rPr>
        <w:t>MABUYANE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Applicant</w:t>
      </w:r>
    </w:p>
    <w:p w14:paraId="39EB601D" w14:textId="77777777" w:rsidR="00FD1544" w:rsidRDefault="00FD1544" w:rsidP="004F1C3B">
      <w:pPr>
        <w:spacing w:after="0" w:line="240" w:lineRule="auto"/>
        <w:rPr>
          <w:rFonts w:ascii="Arial" w:hAnsi="Arial" w:cs="Arial"/>
          <w:color w:val="000000" w:themeColor="text1"/>
          <w:sz w:val="24"/>
          <w:szCs w:val="24"/>
        </w:rPr>
      </w:pPr>
    </w:p>
    <w:p w14:paraId="15D2FE99" w14:textId="77777777" w:rsidR="00116448" w:rsidRDefault="00FD1544" w:rsidP="004F1C3B">
      <w:pPr>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000C253B" w:rsidRPr="000C253B">
        <w:rPr>
          <w:rFonts w:ascii="Arial" w:hAnsi="Arial" w:cs="Arial"/>
          <w:color w:val="000000" w:themeColor="text1"/>
          <w:sz w:val="24"/>
          <w:szCs w:val="24"/>
        </w:rPr>
        <w:t>nd</w:t>
      </w:r>
    </w:p>
    <w:p w14:paraId="5A7DE0B0" w14:textId="77777777" w:rsidR="00FD1544" w:rsidRPr="000C253B" w:rsidRDefault="00FD1544" w:rsidP="004F1C3B">
      <w:pPr>
        <w:spacing w:after="0" w:line="240" w:lineRule="auto"/>
        <w:rPr>
          <w:rFonts w:ascii="Arial" w:hAnsi="Arial" w:cs="Arial"/>
          <w:color w:val="000000" w:themeColor="text1"/>
          <w:sz w:val="24"/>
          <w:szCs w:val="24"/>
        </w:rPr>
      </w:pPr>
    </w:p>
    <w:p w14:paraId="2A21A71E" w14:textId="77777777" w:rsidR="00116448" w:rsidRDefault="008A6DB5" w:rsidP="004F1C3B">
      <w:pPr>
        <w:spacing w:after="0" w:line="240" w:lineRule="auto"/>
        <w:rPr>
          <w:rFonts w:ascii="Arial" w:hAnsi="Arial" w:cs="Arial"/>
          <w:color w:val="000000" w:themeColor="text1"/>
          <w:sz w:val="24"/>
          <w:szCs w:val="24"/>
        </w:rPr>
      </w:pPr>
      <w:r>
        <w:rPr>
          <w:rFonts w:ascii="Arial" w:hAnsi="Arial" w:cs="Arial"/>
          <w:b/>
          <w:color w:val="000000" w:themeColor="text1"/>
          <w:sz w:val="24"/>
          <w:szCs w:val="24"/>
        </w:rPr>
        <w:t>PUBLIC PROTECTOR</w:t>
      </w:r>
      <w:r w:rsidR="000C253B">
        <w:rPr>
          <w:rFonts w:ascii="Arial" w:hAnsi="Arial" w:cs="Arial"/>
          <w:b/>
          <w:color w:val="000000" w:themeColor="text1"/>
          <w:sz w:val="24"/>
          <w:szCs w:val="24"/>
        </w:rPr>
        <w:t xml:space="preserve"> </w:t>
      </w:r>
      <w:r w:rsidR="00FD1544">
        <w:rPr>
          <w:rFonts w:ascii="Arial" w:hAnsi="Arial" w:cs="Arial"/>
          <w:b/>
          <w:color w:val="000000" w:themeColor="text1"/>
          <w:sz w:val="24"/>
          <w:szCs w:val="24"/>
        </w:rPr>
        <w:tab/>
      </w:r>
      <w:r w:rsidR="00FD1544">
        <w:rPr>
          <w:rFonts w:ascii="Arial" w:hAnsi="Arial" w:cs="Arial"/>
          <w:b/>
          <w:color w:val="000000" w:themeColor="text1"/>
          <w:sz w:val="24"/>
          <w:szCs w:val="24"/>
        </w:rPr>
        <w:tab/>
      </w:r>
      <w:r w:rsidR="00FD1544">
        <w:rPr>
          <w:rFonts w:ascii="Arial" w:hAnsi="Arial" w:cs="Arial"/>
          <w:b/>
          <w:color w:val="000000" w:themeColor="text1"/>
          <w:sz w:val="24"/>
          <w:szCs w:val="24"/>
        </w:rPr>
        <w:tab/>
      </w:r>
      <w:r w:rsidR="00FD1544">
        <w:rPr>
          <w:rFonts w:ascii="Arial" w:hAnsi="Arial" w:cs="Arial"/>
          <w:b/>
          <w:color w:val="000000" w:themeColor="text1"/>
          <w:sz w:val="24"/>
          <w:szCs w:val="24"/>
        </w:rPr>
        <w:tab/>
      </w:r>
      <w:r w:rsidR="00FD1544">
        <w:rPr>
          <w:rFonts w:ascii="Arial" w:hAnsi="Arial" w:cs="Arial"/>
          <w:b/>
          <w:color w:val="000000" w:themeColor="text1"/>
          <w:sz w:val="24"/>
          <w:szCs w:val="24"/>
        </w:rPr>
        <w:tab/>
      </w:r>
      <w:r w:rsidR="00FD1544">
        <w:rPr>
          <w:rFonts w:ascii="Arial" w:hAnsi="Arial" w:cs="Arial"/>
          <w:b/>
          <w:color w:val="000000" w:themeColor="text1"/>
          <w:sz w:val="24"/>
          <w:szCs w:val="24"/>
        </w:rPr>
        <w:tab/>
      </w:r>
      <w:r w:rsidR="00FD1544">
        <w:rPr>
          <w:rFonts w:ascii="Arial" w:hAnsi="Arial" w:cs="Arial"/>
          <w:b/>
          <w:color w:val="000000" w:themeColor="text1"/>
          <w:sz w:val="24"/>
          <w:szCs w:val="24"/>
        </w:rPr>
        <w:tab/>
      </w:r>
      <w:r w:rsidR="00A0716E">
        <w:rPr>
          <w:rFonts w:ascii="Arial" w:hAnsi="Arial" w:cs="Arial"/>
          <w:b/>
          <w:color w:val="000000" w:themeColor="text1"/>
          <w:sz w:val="24"/>
          <w:szCs w:val="24"/>
        </w:rPr>
        <w:t xml:space="preserve">    </w:t>
      </w:r>
      <w:r w:rsidR="000C253B" w:rsidRPr="000C253B">
        <w:rPr>
          <w:rFonts w:ascii="Arial" w:hAnsi="Arial" w:cs="Arial"/>
          <w:color w:val="000000" w:themeColor="text1"/>
          <w:sz w:val="24"/>
          <w:szCs w:val="24"/>
        </w:rPr>
        <w:t>First Respondent</w:t>
      </w:r>
    </w:p>
    <w:p w14:paraId="6814E1F1" w14:textId="77777777" w:rsidR="004F1C3B" w:rsidRPr="000C253B" w:rsidRDefault="004F1C3B" w:rsidP="004F1C3B">
      <w:pPr>
        <w:spacing w:after="0" w:line="240" w:lineRule="auto"/>
        <w:rPr>
          <w:rFonts w:ascii="Arial" w:hAnsi="Arial" w:cs="Arial"/>
          <w:color w:val="000000" w:themeColor="text1"/>
          <w:sz w:val="24"/>
          <w:szCs w:val="24"/>
        </w:rPr>
      </w:pPr>
    </w:p>
    <w:p w14:paraId="042CD5A9" w14:textId="77777777" w:rsidR="000C253B" w:rsidRDefault="00116448" w:rsidP="00771698">
      <w:pPr>
        <w:rPr>
          <w:rFonts w:ascii="Arial" w:hAnsi="Arial" w:cs="Arial"/>
          <w:b/>
          <w:color w:val="000000" w:themeColor="text1"/>
          <w:sz w:val="24"/>
          <w:szCs w:val="24"/>
        </w:rPr>
      </w:pPr>
      <w:r w:rsidRPr="00116448">
        <w:rPr>
          <w:rFonts w:ascii="Arial" w:hAnsi="Arial" w:cs="Arial"/>
          <w:b/>
          <w:color w:val="000000" w:themeColor="text1"/>
          <w:sz w:val="24"/>
          <w:szCs w:val="24"/>
        </w:rPr>
        <w:t xml:space="preserve">THE SPEAKER:  EASTERN CAPE PROVINCIAL </w:t>
      </w:r>
    </w:p>
    <w:p w14:paraId="470D7894" w14:textId="77777777" w:rsidR="00116448" w:rsidRPr="000C253B" w:rsidRDefault="00116448" w:rsidP="00771698">
      <w:pPr>
        <w:rPr>
          <w:rFonts w:ascii="Arial" w:hAnsi="Arial" w:cs="Arial"/>
          <w:color w:val="000000" w:themeColor="text1"/>
          <w:sz w:val="24"/>
          <w:szCs w:val="24"/>
        </w:rPr>
      </w:pPr>
      <w:r w:rsidRPr="00116448">
        <w:rPr>
          <w:rFonts w:ascii="Arial" w:hAnsi="Arial" w:cs="Arial"/>
          <w:b/>
          <w:color w:val="000000" w:themeColor="text1"/>
          <w:sz w:val="24"/>
          <w:szCs w:val="24"/>
        </w:rPr>
        <w:t>GOVERNMENT NO</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Second Respondent</w:t>
      </w:r>
    </w:p>
    <w:p w14:paraId="6AD7AAD7" w14:textId="77777777" w:rsidR="000C253B" w:rsidRPr="000C253B" w:rsidRDefault="00116448" w:rsidP="00771698">
      <w:pPr>
        <w:rPr>
          <w:rFonts w:ascii="Arial" w:hAnsi="Arial" w:cs="Arial"/>
          <w:color w:val="000000" w:themeColor="text1"/>
          <w:sz w:val="24"/>
          <w:szCs w:val="24"/>
        </w:rPr>
      </w:pPr>
      <w:r w:rsidRPr="00116448">
        <w:rPr>
          <w:rFonts w:ascii="Arial" w:hAnsi="Arial" w:cs="Arial"/>
          <w:b/>
          <w:color w:val="000000" w:themeColor="text1"/>
          <w:sz w:val="24"/>
          <w:szCs w:val="24"/>
        </w:rPr>
        <w:t>THE NATIONAL HEAD OF THE DIRECTO</w:t>
      </w:r>
      <w:r w:rsidR="00E83E54">
        <w:rPr>
          <w:rFonts w:ascii="Arial" w:hAnsi="Arial" w:cs="Arial"/>
          <w:b/>
          <w:color w:val="000000" w:themeColor="text1"/>
          <w:sz w:val="24"/>
          <w:szCs w:val="24"/>
        </w:rPr>
        <w:t>I</w:t>
      </w:r>
      <w:r w:rsidRPr="00116448">
        <w:rPr>
          <w:rFonts w:ascii="Arial" w:hAnsi="Arial" w:cs="Arial"/>
          <w:b/>
          <w:color w:val="000000" w:themeColor="text1"/>
          <w:sz w:val="24"/>
          <w:szCs w:val="24"/>
        </w:rPr>
        <w:t xml:space="preserve">RATE </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p>
    <w:p w14:paraId="6EC1FB94" w14:textId="77777777" w:rsidR="00116448" w:rsidRPr="00116448" w:rsidRDefault="00116448" w:rsidP="00771698">
      <w:pPr>
        <w:rPr>
          <w:rFonts w:ascii="Arial" w:hAnsi="Arial" w:cs="Arial"/>
          <w:b/>
          <w:color w:val="000000" w:themeColor="text1"/>
          <w:sz w:val="24"/>
          <w:szCs w:val="24"/>
        </w:rPr>
      </w:pPr>
      <w:r w:rsidRPr="00116448">
        <w:rPr>
          <w:rFonts w:ascii="Arial" w:hAnsi="Arial" w:cs="Arial"/>
          <w:b/>
          <w:color w:val="000000" w:themeColor="text1"/>
          <w:sz w:val="24"/>
          <w:szCs w:val="24"/>
        </w:rPr>
        <w:t>FOR PRIORITY CRIMES INVESTIGATIONS NO</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Third Respondent</w:t>
      </w:r>
    </w:p>
    <w:p w14:paraId="22DD582D" w14:textId="77777777" w:rsidR="00116448" w:rsidRPr="000C253B" w:rsidRDefault="00116448" w:rsidP="00771698">
      <w:pPr>
        <w:rPr>
          <w:rFonts w:ascii="Arial" w:hAnsi="Arial" w:cs="Arial"/>
          <w:color w:val="000000" w:themeColor="text1"/>
          <w:sz w:val="24"/>
          <w:szCs w:val="24"/>
        </w:rPr>
      </w:pPr>
      <w:r w:rsidRPr="00116448">
        <w:rPr>
          <w:rFonts w:ascii="Arial" w:hAnsi="Arial" w:cs="Arial"/>
          <w:b/>
          <w:color w:val="000000" w:themeColor="text1"/>
          <w:sz w:val="24"/>
          <w:szCs w:val="24"/>
        </w:rPr>
        <w:t>MINISTER OF POLICE</w:t>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r>
      <w:r w:rsidR="000C253B">
        <w:rPr>
          <w:rFonts w:ascii="Arial" w:hAnsi="Arial" w:cs="Arial"/>
          <w:b/>
          <w:color w:val="000000" w:themeColor="text1"/>
          <w:sz w:val="24"/>
          <w:szCs w:val="24"/>
        </w:rPr>
        <w:tab/>
        <w:t xml:space="preserve"> </w:t>
      </w:r>
      <w:r w:rsidR="000C253B" w:rsidRPr="000C253B">
        <w:rPr>
          <w:rFonts w:ascii="Arial" w:hAnsi="Arial" w:cs="Arial"/>
          <w:color w:val="000000" w:themeColor="text1"/>
          <w:sz w:val="24"/>
          <w:szCs w:val="24"/>
        </w:rPr>
        <w:t>Fourth Respondent</w:t>
      </w:r>
    </w:p>
    <w:p w14:paraId="208C701F" w14:textId="77777777" w:rsidR="00116448" w:rsidRPr="00116448" w:rsidRDefault="00116448" w:rsidP="00771698">
      <w:pPr>
        <w:rPr>
          <w:rFonts w:ascii="Arial" w:hAnsi="Arial" w:cs="Arial"/>
          <w:b/>
          <w:color w:val="000000" w:themeColor="text1"/>
          <w:sz w:val="24"/>
          <w:szCs w:val="24"/>
        </w:rPr>
      </w:pPr>
    </w:p>
    <w:p w14:paraId="46B60A76" w14:textId="77777777" w:rsidR="00771698" w:rsidRPr="000C253B" w:rsidRDefault="00116448" w:rsidP="00771698">
      <w:pPr>
        <w:rPr>
          <w:rFonts w:ascii="Arial" w:hAnsi="Arial" w:cs="Arial"/>
          <w:color w:val="000000" w:themeColor="text1"/>
          <w:sz w:val="24"/>
          <w:szCs w:val="24"/>
        </w:rPr>
      </w:pPr>
      <w:r w:rsidRPr="000C253B">
        <w:rPr>
          <w:rFonts w:ascii="Arial" w:hAnsi="Arial" w:cs="Arial"/>
          <w:color w:val="000000" w:themeColor="text1"/>
          <w:sz w:val="24"/>
          <w:szCs w:val="24"/>
        </w:rPr>
        <w:t>AND</w:t>
      </w:r>
    </w:p>
    <w:p w14:paraId="50BC295B" w14:textId="77777777" w:rsidR="00F923FD" w:rsidRDefault="00F923FD" w:rsidP="00771698">
      <w:pPr>
        <w:rPr>
          <w:rFonts w:ascii="Arial" w:hAnsi="Arial" w:cs="Arial"/>
          <w:color w:val="000000" w:themeColor="text1"/>
          <w:sz w:val="24"/>
          <w:szCs w:val="24"/>
        </w:rPr>
      </w:pP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0C253B">
        <w:rPr>
          <w:rFonts w:ascii="Arial" w:hAnsi="Arial" w:cs="Arial"/>
          <w:color w:val="000000" w:themeColor="text1"/>
          <w:sz w:val="24"/>
          <w:szCs w:val="24"/>
        </w:rPr>
        <w:t xml:space="preserve">Case No.:  </w:t>
      </w:r>
      <w:r w:rsidR="00116448" w:rsidRPr="000C253B">
        <w:rPr>
          <w:rFonts w:ascii="Arial" w:hAnsi="Arial" w:cs="Arial"/>
          <w:color w:val="000000" w:themeColor="text1"/>
          <w:sz w:val="24"/>
          <w:szCs w:val="24"/>
        </w:rPr>
        <w:t>818/2021</w:t>
      </w:r>
    </w:p>
    <w:p w14:paraId="5D8B75C1" w14:textId="77777777" w:rsidR="00D24FB2" w:rsidRPr="000C253B" w:rsidRDefault="00D24FB2" w:rsidP="00771698">
      <w:pPr>
        <w:rPr>
          <w:rFonts w:ascii="Arial" w:hAnsi="Arial" w:cs="Arial"/>
          <w:color w:val="000000" w:themeColor="text1"/>
          <w:sz w:val="24"/>
          <w:szCs w:val="24"/>
        </w:rPr>
      </w:pPr>
    </w:p>
    <w:p w14:paraId="4A3143F4" w14:textId="77777777" w:rsidR="00A627CD" w:rsidRPr="00116448" w:rsidRDefault="00A627CD" w:rsidP="00771698">
      <w:pPr>
        <w:rPr>
          <w:rFonts w:ascii="Arial" w:hAnsi="Arial" w:cs="Arial"/>
          <w:b/>
          <w:color w:val="000000" w:themeColor="text1"/>
          <w:sz w:val="24"/>
          <w:szCs w:val="24"/>
        </w:rPr>
      </w:pPr>
      <w:r w:rsidRPr="00116448">
        <w:rPr>
          <w:rFonts w:ascii="Arial" w:hAnsi="Arial" w:cs="Arial"/>
          <w:b/>
          <w:color w:val="000000" w:themeColor="text1"/>
          <w:sz w:val="24"/>
          <w:szCs w:val="24"/>
        </w:rPr>
        <w:t>THE SPEAKER:</w:t>
      </w:r>
    </w:p>
    <w:p w14:paraId="5F08D57C" w14:textId="77777777" w:rsidR="00771698" w:rsidRPr="000C253B" w:rsidRDefault="00771698" w:rsidP="00771698">
      <w:pPr>
        <w:rPr>
          <w:rFonts w:ascii="Arial" w:hAnsi="Arial" w:cs="Arial"/>
          <w:color w:val="000000" w:themeColor="text1"/>
          <w:sz w:val="24"/>
          <w:szCs w:val="24"/>
        </w:rPr>
      </w:pPr>
      <w:r w:rsidRPr="00116448">
        <w:rPr>
          <w:rFonts w:ascii="Arial" w:hAnsi="Arial" w:cs="Arial"/>
          <w:b/>
          <w:color w:val="000000" w:themeColor="text1"/>
          <w:sz w:val="24"/>
          <w:szCs w:val="24"/>
        </w:rPr>
        <w:t xml:space="preserve">WINNIE MADIKIZELA MANDELA LOCAL MUNICIPALITY </w:t>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00A627CD" w:rsidRPr="00116448">
        <w:rPr>
          <w:rFonts w:ascii="Arial" w:hAnsi="Arial" w:cs="Arial"/>
          <w:b/>
          <w:color w:val="000000" w:themeColor="text1"/>
          <w:sz w:val="24"/>
          <w:szCs w:val="24"/>
        </w:rPr>
        <w:t xml:space="preserve">    </w:t>
      </w:r>
      <w:r w:rsidR="00A0716E">
        <w:rPr>
          <w:rFonts w:ascii="Arial" w:hAnsi="Arial" w:cs="Arial"/>
          <w:b/>
          <w:color w:val="000000" w:themeColor="text1"/>
          <w:sz w:val="24"/>
          <w:szCs w:val="24"/>
        </w:rPr>
        <w:t xml:space="preserve">     </w:t>
      </w:r>
      <w:r w:rsidR="00A627CD" w:rsidRPr="000C253B">
        <w:rPr>
          <w:rFonts w:ascii="Arial" w:hAnsi="Arial" w:cs="Arial"/>
          <w:color w:val="000000" w:themeColor="text1"/>
          <w:sz w:val="24"/>
          <w:szCs w:val="24"/>
        </w:rPr>
        <w:t xml:space="preserve">First </w:t>
      </w:r>
      <w:r w:rsidR="00F923FD" w:rsidRPr="000C253B">
        <w:rPr>
          <w:rFonts w:ascii="Arial" w:hAnsi="Arial" w:cs="Arial"/>
          <w:color w:val="000000" w:themeColor="text1"/>
          <w:sz w:val="24"/>
          <w:szCs w:val="24"/>
        </w:rPr>
        <w:t>Applicant</w:t>
      </w:r>
    </w:p>
    <w:p w14:paraId="70F2DAD3" w14:textId="77777777" w:rsidR="00A627CD" w:rsidRPr="00116448" w:rsidRDefault="00A627CD" w:rsidP="00771698">
      <w:pPr>
        <w:rPr>
          <w:rFonts w:ascii="Arial" w:hAnsi="Arial" w:cs="Arial"/>
          <w:b/>
          <w:color w:val="000000" w:themeColor="text1"/>
          <w:sz w:val="24"/>
          <w:szCs w:val="24"/>
        </w:rPr>
      </w:pPr>
      <w:r w:rsidRPr="00116448">
        <w:rPr>
          <w:rFonts w:ascii="Arial" w:hAnsi="Arial" w:cs="Arial"/>
          <w:b/>
          <w:color w:val="000000" w:themeColor="text1"/>
          <w:sz w:val="24"/>
          <w:szCs w:val="24"/>
        </w:rPr>
        <w:t>THE MUNICIPAL MANAGER:</w:t>
      </w:r>
    </w:p>
    <w:p w14:paraId="2FC1B642" w14:textId="77777777" w:rsidR="00A627CD" w:rsidRPr="000C253B" w:rsidRDefault="00A627CD" w:rsidP="00771698">
      <w:pPr>
        <w:rPr>
          <w:rFonts w:ascii="Arial" w:hAnsi="Arial" w:cs="Arial"/>
          <w:color w:val="000000" w:themeColor="text1"/>
          <w:sz w:val="24"/>
          <w:szCs w:val="24"/>
        </w:rPr>
      </w:pPr>
      <w:r w:rsidRPr="00116448">
        <w:rPr>
          <w:rFonts w:ascii="Arial" w:hAnsi="Arial" w:cs="Arial"/>
          <w:b/>
          <w:color w:val="000000" w:themeColor="text1"/>
          <w:sz w:val="24"/>
          <w:szCs w:val="24"/>
        </w:rPr>
        <w:t xml:space="preserve">WINNIE MADIKIZELA MANDELA LOCAL MUNICIPALITY </w:t>
      </w:r>
      <w:r w:rsidRPr="00116448">
        <w:rPr>
          <w:rFonts w:ascii="Arial" w:hAnsi="Arial" w:cs="Arial"/>
          <w:b/>
          <w:color w:val="000000" w:themeColor="text1"/>
          <w:sz w:val="24"/>
          <w:szCs w:val="24"/>
        </w:rPr>
        <w:tab/>
      </w:r>
      <w:r w:rsidRPr="000C253B">
        <w:rPr>
          <w:rFonts w:ascii="Arial" w:hAnsi="Arial" w:cs="Arial"/>
          <w:color w:val="000000" w:themeColor="text1"/>
          <w:sz w:val="24"/>
          <w:szCs w:val="24"/>
        </w:rPr>
        <w:t xml:space="preserve">         </w:t>
      </w:r>
      <w:r w:rsidR="00A0716E">
        <w:rPr>
          <w:rFonts w:ascii="Arial" w:hAnsi="Arial" w:cs="Arial"/>
          <w:color w:val="000000" w:themeColor="text1"/>
          <w:sz w:val="24"/>
          <w:szCs w:val="24"/>
        </w:rPr>
        <w:t xml:space="preserve">     </w:t>
      </w:r>
      <w:r w:rsidRPr="000C253B">
        <w:rPr>
          <w:rFonts w:ascii="Arial" w:hAnsi="Arial" w:cs="Arial"/>
          <w:color w:val="000000" w:themeColor="text1"/>
          <w:sz w:val="24"/>
          <w:szCs w:val="24"/>
        </w:rPr>
        <w:t xml:space="preserve"> Second </w:t>
      </w:r>
      <w:r w:rsidR="00F923FD" w:rsidRPr="000C253B">
        <w:rPr>
          <w:rFonts w:ascii="Arial" w:hAnsi="Arial" w:cs="Arial"/>
          <w:color w:val="000000" w:themeColor="text1"/>
          <w:sz w:val="24"/>
          <w:szCs w:val="24"/>
        </w:rPr>
        <w:t>Applicant</w:t>
      </w:r>
      <w:r w:rsidRPr="000C253B">
        <w:rPr>
          <w:rFonts w:ascii="Arial" w:hAnsi="Arial" w:cs="Arial"/>
          <w:color w:val="000000" w:themeColor="text1"/>
          <w:sz w:val="24"/>
          <w:szCs w:val="24"/>
        </w:rPr>
        <w:t xml:space="preserve"> </w:t>
      </w:r>
    </w:p>
    <w:p w14:paraId="3579C124" w14:textId="77777777" w:rsidR="00A627CD" w:rsidRDefault="00A627CD" w:rsidP="004F1C3B">
      <w:pPr>
        <w:spacing w:after="0" w:line="240" w:lineRule="auto"/>
        <w:rPr>
          <w:rFonts w:ascii="Arial" w:hAnsi="Arial" w:cs="Arial"/>
          <w:color w:val="000000" w:themeColor="text1"/>
          <w:sz w:val="24"/>
          <w:szCs w:val="24"/>
        </w:rPr>
      </w:pPr>
      <w:r w:rsidRPr="00116448">
        <w:rPr>
          <w:rFonts w:ascii="Arial" w:hAnsi="Arial" w:cs="Arial"/>
          <w:b/>
          <w:color w:val="000000" w:themeColor="text1"/>
          <w:sz w:val="24"/>
          <w:szCs w:val="24"/>
        </w:rPr>
        <w:t xml:space="preserve">WINNIE MADIKIZELA MANDELA LOCAL MUNICIPALITY </w:t>
      </w:r>
      <w:r w:rsidRPr="00116448">
        <w:rPr>
          <w:rFonts w:ascii="Arial" w:hAnsi="Arial" w:cs="Arial"/>
          <w:b/>
          <w:color w:val="000000" w:themeColor="text1"/>
          <w:sz w:val="24"/>
          <w:szCs w:val="24"/>
        </w:rPr>
        <w:tab/>
      </w:r>
      <w:r w:rsidRPr="000C253B">
        <w:rPr>
          <w:rFonts w:ascii="Arial" w:hAnsi="Arial" w:cs="Arial"/>
          <w:color w:val="000000" w:themeColor="text1"/>
          <w:sz w:val="24"/>
          <w:szCs w:val="24"/>
        </w:rPr>
        <w:t xml:space="preserve">             </w:t>
      </w:r>
      <w:r w:rsidR="00A0716E">
        <w:rPr>
          <w:rFonts w:ascii="Arial" w:hAnsi="Arial" w:cs="Arial"/>
          <w:color w:val="000000" w:themeColor="text1"/>
          <w:sz w:val="24"/>
          <w:szCs w:val="24"/>
        </w:rPr>
        <w:t xml:space="preserve">     </w:t>
      </w:r>
      <w:r w:rsidRPr="000C253B">
        <w:rPr>
          <w:rFonts w:ascii="Arial" w:hAnsi="Arial" w:cs="Arial"/>
          <w:color w:val="000000" w:themeColor="text1"/>
          <w:sz w:val="24"/>
          <w:szCs w:val="24"/>
        </w:rPr>
        <w:t xml:space="preserve"> Third </w:t>
      </w:r>
      <w:r w:rsidR="00F923FD" w:rsidRPr="000C253B">
        <w:rPr>
          <w:rFonts w:ascii="Arial" w:hAnsi="Arial" w:cs="Arial"/>
          <w:color w:val="000000" w:themeColor="text1"/>
          <w:sz w:val="24"/>
          <w:szCs w:val="24"/>
        </w:rPr>
        <w:t>Applicant</w:t>
      </w:r>
    </w:p>
    <w:p w14:paraId="1AF360A4" w14:textId="77777777" w:rsidR="00FD1544" w:rsidRPr="00116448" w:rsidRDefault="00FD1544" w:rsidP="004F1C3B">
      <w:pPr>
        <w:spacing w:after="0" w:line="240" w:lineRule="auto"/>
        <w:rPr>
          <w:rFonts w:ascii="Arial" w:hAnsi="Arial" w:cs="Arial"/>
          <w:b/>
          <w:color w:val="000000" w:themeColor="text1"/>
          <w:sz w:val="24"/>
          <w:szCs w:val="24"/>
        </w:rPr>
      </w:pPr>
    </w:p>
    <w:p w14:paraId="05CF2FE6" w14:textId="77777777" w:rsidR="00F923FD" w:rsidRDefault="000C253B" w:rsidP="004F1C3B">
      <w:pPr>
        <w:spacing w:after="0" w:line="240" w:lineRule="auto"/>
        <w:rPr>
          <w:rFonts w:ascii="Arial" w:hAnsi="Arial" w:cs="Arial"/>
          <w:color w:val="000000" w:themeColor="text1"/>
          <w:sz w:val="24"/>
          <w:szCs w:val="24"/>
        </w:rPr>
      </w:pPr>
      <w:r w:rsidRPr="00FD1544">
        <w:rPr>
          <w:rFonts w:ascii="Arial" w:hAnsi="Arial" w:cs="Arial"/>
          <w:color w:val="000000" w:themeColor="text1"/>
          <w:sz w:val="24"/>
          <w:szCs w:val="24"/>
        </w:rPr>
        <w:t>a</w:t>
      </w:r>
      <w:r w:rsidR="00F923FD" w:rsidRPr="00FD1544">
        <w:rPr>
          <w:rFonts w:ascii="Arial" w:hAnsi="Arial" w:cs="Arial"/>
          <w:color w:val="000000" w:themeColor="text1"/>
          <w:sz w:val="24"/>
          <w:szCs w:val="24"/>
        </w:rPr>
        <w:t>nd</w:t>
      </w:r>
    </w:p>
    <w:p w14:paraId="786D467F" w14:textId="77777777" w:rsidR="00FD1544" w:rsidRPr="00FD1544" w:rsidRDefault="00FD1544" w:rsidP="004F1C3B">
      <w:pPr>
        <w:spacing w:after="0" w:line="240" w:lineRule="auto"/>
        <w:rPr>
          <w:rFonts w:ascii="Arial" w:hAnsi="Arial" w:cs="Arial"/>
          <w:color w:val="000000" w:themeColor="text1"/>
          <w:sz w:val="24"/>
          <w:szCs w:val="24"/>
        </w:rPr>
      </w:pPr>
    </w:p>
    <w:p w14:paraId="13365BF8" w14:textId="77777777" w:rsidR="00F923FD" w:rsidRDefault="008A6DB5" w:rsidP="004F1C3B">
      <w:pPr>
        <w:spacing w:after="0" w:line="240" w:lineRule="auto"/>
        <w:rPr>
          <w:rFonts w:ascii="Arial" w:hAnsi="Arial" w:cs="Arial"/>
          <w:color w:val="000000" w:themeColor="text1"/>
          <w:sz w:val="24"/>
          <w:szCs w:val="24"/>
        </w:rPr>
      </w:pPr>
      <w:r>
        <w:rPr>
          <w:rFonts w:ascii="Arial" w:hAnsi="Arial" w:cs="Arial"/>
          <w:b/>
          <w:color w:val="000000" w:themeColor="text1"/>
          <w:sz w:val="24"/>
          <w:szCs w:val="24"/>
        </w:rPr>
        <w:t>PUBLIC PROTECTOR</w:t>
      </w:r>
      <w:r w:rsidR="00F923FD" w:rsidRPr="00116448">
        <w:rPr>
          <w:rFonts w:ascii="Arial" w:hAnsi="Arial" w:cs="Arial"/>
          <w:b/>
          <w:color w:val="000000" w:themeColor="text1"/>
          <w:sz w:val="24"/>
          <w:szCs w:val="24"/>
        </w:rPr>
        <w:t xml:space="preserve"> </w:t>
      </w:r>
      <w:r w:rsidR="00F923FD" w:rsidRPr="00116448">
        <w:rPr>
          <w:rFonts w:ascii="Arial" w:hAnsi="Arial" w:cs="Arial"/>
          <w:b/>
          <w:color w:val="000000" w:themeColor="text1"/>
          <w:sz w:val="24"/>
          <w:szCs w:val="24"/>
        </w:rPr>
        <w:tab/>
      </w:r>
      <w:r w:rsidR="00F923FD" w:rsidRPr="00116448">
        <w:rPr>
          <w:rFonts w:ascii="Arial" w:hAnsi="Arial" w:cs="Arial"/>
          <w:b/>
          <w:color w:val="000000" w:themeColor="text1"/>
          <w:sz w:val="24"/>
          <w:szCs w:val="24"/>
        </w:rPr>
        <w:tab/>
      </w:r>
      <w:r w:rsidR="00F923FD" w:rsidRPr="00116448">
        <w:rPr>
          <w:rFonts w:ascii="Arial" w:hAnsi="Arial" w:cs="Arial"/>
          <w:b/>
          <w:color w:val="000000" w:themeColor="text1"/>
          <w:sz w:val="24"/>
          <w:szCs w:val="24"/>
        </w:rPr>
        <w:tab/>
      </w:r>
      <w:r w:rsidR="00F923FD" w:rsidRPr="00116448">
        <w:rPr>
          <w:rFonts w:ascii="Arial" w:hAnsi="Arial" w:cs="Arial"/>
          <w:b/>
          <w:color w:val="000000" w:themeColor="text1"/>
          <w:sz w:val="24"/>
          <w:szCs w:val="24"/>
        </w:rPr>
        <w:tab/>
      </w:r>
      <w:r w:rsidR="00F923FD" w:rsidRPr="00116448">
        <w:rPr>
          <w:rFonts w:ascii="Arial" w:hAnsi="Arial" w:cs="Arial"/>
          <w:b/>
          <w:color w:val="000000" w:themeColor="text1"/>
          <w:sz w:val="24"/>
          <w:szCs w:val="24"/>
        </w:rPr>
        <w:tab/>
      </w:r>
      <w:r w:rsidR="00F923FD" w:rsidRPr="00116448">
        <w:rPr>
          <w:rFonts w:ascii="Arial" w:hAnsi="Arial" w:cs="Arial"/>
          <w:b/>
          <w:color w:val="000000" w:themeColor="text1"/>
          <w:sz w:val="24"/>
          <w:szCs w:val="24"/>
        </w:rPr>
        <w:tab/>
      </w:r>
      <w:r w:rsidR="00FD1544">
        <w:rPr>
          <w:rFonts w:ascii="Arial" w:hAnsi="Arial" w:cs="Arial"/>
          <w:b/>
          <w:color w:val="000000" w:themeColor="text1"/>
          <w:sz w:val="24"/>
          <w:szCs w:val="24"/>
        </w:rPr>
        <w:t xml:space="preserve">               </w:t>
      </w:r>
      <w:r w:rsidR="00F923FD" w:rsidRPr="000C253B">
        <w:rPr>
          <w:rFonts w:ascii="Arial" w:hAnsi="Arial" w:cs="Arial"/>
          <w:color w:val="000000" w:themeColor="text1"/>
          <w:sz w:val="24"/>
          <w:szCs w:val="24"/>
        </w:rPr>
        <w:t>First Respondent</w:t>
      </w:r>
    </w:p>
    <w:p w14:paraId="2772E6E0" w14:textId="77777777" w:rsidR="004F1C3B" w:rsidRPr="000C253B" w:rsidRDefault="004F1C3B" w:rsidP="004F1C3B">
      <w:pPr>
        <w:spacing w:after="0" w:line="240" w:lineRule="auto"/>
        <w:rPr>
          <w:rFonts w:ascii="Arial" w:hAnsi="Arial" w:cs="Arial"/>
          <w:color w:val="000000" w:themeColor="text1"/>
          <w:sz w:val="24"/>
          <w:szCs w:val="24"/>
        </w:rPr>
      </w:pPr>
    </w:p>
    <w:p w14:paraId="7E0FF889" w14:textId="77777777" w:rsidR="00F923FD" w:rsidRPr="000C253B" w:rsidRDefault="00F923FD" w:rsidP="00F923FD">
      <w:pPr>
        <w:rPr>
          <w:rFonts w:ascii="Arial" w:hAnsi="Arial" w:cs="Arial"/>
          <w:color w:val="000000" w:themeColor="text1"/>
          <w:sz w:val="24"/>
          <w:szCs w:val="24"/>
        </w:rPr>
      </w:pPr>
      <w:r w:rsidRPr="00116448">
        <w:rPr>
          <w:rFonts w:ascii="Arial" w:hAnsi="Arial" w:cs="Arial"/>
          <w:b/>
          <w:color w:val="000000" w:themeColor="text1"/>
          <w:sz w:val="24"/>
          <w:szCs w:val="24"/>
        </w:rPr>
        <w:t>MTHOMBENI PROJECTS CC</w:t>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00FD1544">
        <w:rPr>
          <w:rFonts w:ascii="Arial" w:hAnsi="Arial" w:cs="Arial"/>
          <w:b/>
          <w:color w:val="000000" w:themeColor="text1"/>
          <w:sz w:val="24"/>
          <w:szCs w:val="24"/>
        </w:rPr>
        <w:t xml:space="preserve">          </w:t>
      </w:r>
      <w:r w:rsidRPr="000C253B">
        <w:rPr>
          <w:rFonts w:ascii="Arial" w:hAnsi="Arial" w:cs="Arial"/>
          <w:color w:val="000000" w:themeColor="text1"/>
          <w:sz w:val="24"/>
          <w:szCs w:val="24"/>
        </w:rPr>
        <w:t>Second Respondent</w:t>
      </w:r>
    </w:p>
    <w:p w14:paraId="45BEA5D1" w14:textId="77777777" w:rsidR="00F923FD" w:rsidRPr="000C253B" w:rsidRDefault="00F923FD" w:rsidP="00F923FD">
      <w:pPr>
        <w:rPr>
          <w:rFonts w:ascii="Arial" w:hAnsi="Arial" w:cs="Arial"/>
          <w:color w:val="000000" w:themeColor="text1"/>
          <w:sz w:val="24"/>
          <w:szCs w:val="24"/>
        </w:rPr>
      </w:pPr>
      <w:r w:rsidRPr="00116448">
        <w:rPr>
          <w:rFonts w:ascii="Arial" w:hAnsi="Arial" w:cs="Arial"/>
          <w:b/>
          <w:color w:val="000000" w:themeColor="text1"/>
          <w:sz w:val="24"/>
          <w:szCs w:val="24"/>
        </w:rPr>
        <w:t>KOO CONSTRUCTION &amp; PROJECTS CC</w:t>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00FD1544">
        <w:rPr>
          <w:rFonts w:ascii="Arial" w:hAnsi="Arial" w:cs="Arial"/>
          <w:b/>
          <w:color w:val="000000" w:themeColor="text1"/>
          <w:sz w:val="24"/>
          <w:szCs w:val="24"/>
        </w:rPr>
        <w:t xml:space="preserve">              </w:t>
      </w:r>
      <w:r w:rsidRPr="000C253B">
        <w:rPr>
          <w:rFonts w:ascii="Arial" w:hAnsi="Arial" w:cs="Arial"/>
          <w:color w:val="000000" w:themeColor="text1"/>
          <w:sz w:val="24"/>
          <w:szCs w:val="24"/>
        </w:rPr>
        <w:t>Third Respondent</w:t>
      </w:r>
      <w:r w:rsidRPr="000C253B">
        <w:rPr>
          <w:rFonts w:ascii="Arial" w:hAnsi="Arial" w:cs="Arial"/>
          <w:color w:val="000000" w:themeColor="text1"/>
          <w:sz w:val="24"/>
          <w:szCs w:val="24"/>
        </w:rPr>
        <w:tab/>
      </w:r>
    </w:p>
    <w:p w14:paraId="3DEC1B1E" w14:textId="77777777" w:rsidR="00F923FD" w:rsidRPr="000C253B" w:rsidRDefault="00F923FD" w:rsidP="00F923FD">
      <w:pPr>
        <w:rPr>
          <w:rFonts w:ascii="Arial" w:hAnsi="Arial" w:cs="Arial"/>
          <w:color w:val="000000" w:themeColor="text1"/>
          <w:sz w:val="24"/>
          <w:szCs w:val="24"/>
        </w:rPr>
      </w:pPr>
      <w:r w:rsidRPr="00391BE8">
        <w:rPr>
          <w:rFonts w:ascii="Arial" w:hAnsi="Arial" w:cs="Arial"/>
          <w:b/>
          <w:sz w:val="24"/>
          <w:szCs w:val="24"/>
        </w:rPr>
        <w:t>MA</w:t>
      </w:r>
      <w:r w:rsidR="00391BE8" w:rsidRPr="00391BE8">
        <w:rPr>
          <w:rFonts w:ascii="Arial" w:hAnsi="Arial" w:cs="Arial"/>
          <w:b/>
          <w:sz w:val="24"/>
          <w:szCs w:val="24"/>
        </w:rPr>
        <w:t>IKENJO</w:t>
      </w:r>
      <w:r w:rsidRPr="007576E5">
        <w:rPr>
          <w:rFonts w:ascii="Arial" w:hAnsi="Arial" w:cs="Arial"/>
          <w:b/>
          <w:color w:val="FF0000"/>
          <w:sz w:val="24"/>
          <w:szCs w:val="24"/>
        </w:rPr>
        <w:t xml:space="preserve"> </w:t>
      </w:r>
      <w:r w:rsidRPr="00116448">
        <w:rPr>
          <w:rFonts w:ascii="Arial" w:hAnsi="Arial" w:cs="Arial"/>
          <w:b/>
          <w:color w:val="000000" w:themeColor="text1"/>
          <w:sz w:val="24"/>
          <w:szCs w:val="24"/>
        </w:rPr>
        <w:t>TRADING CC</w:t>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Pr="00116448">
        <w:rPr>
          <w:rFonts w:ascii="Arial" w:hAnsi="Arial" w:cs="Arial"/>
          <w:b/>
          <w:color w:val="000000" w:themeColor="text1"/>
          <w:sz w:val="24"/>
          <w:szCs w:val="24"/>
        </w:rPr>
        <w:tab/>
      </w:r>
      <w:r w:rsidR="00FD1544">
        <w:rPr>
          <w:rFonts w:ascii="Arial" w:hAnsi="Arial" w:cs="Arial"/>
          <w:b/>
          <w:color w:val="000000" w:themeColor="text1"/>
          <w:sz w:val="24"/>
          <w:szCs w:val="24"/>
        </w:rPr>
        <w:t xml:space="preserve">            </w:t>
      </w:r>
      <w:r w:rsidRPr="000C253B">
        <w:rPr>
          <w:rFonts w:ascii="Arial" w:hAnsi="Arial" w:cs="Arial"/>
          <w:color w:val="000000" w:themeColor="text1"/>
          <w:sz w:val="24"/>
          <w:szCs w:val="24"/>
        </w:rPr>
        <w:t>Fourth Respondent</w:t>
      </w:r>
    </w:p>
    <w:p w14:paraId="25D91FB9" w14:textId="77777777" w:rsidR="00A17C21" w:rsidRPr="00A17C21" w:rsidRDefault="00A17C21" w:rsidP="00A17C21">
      <w:pPr>
        <w:pBdr>
          <w:top w:val="single" w:sz="12" w:space="1" w:color="auto"/>
          <w:bottom w:val="single" w:sz="12" w:space="1" w:color="auto"/>
        </w:pBdr>
        <w:rPr>
          <w:rFonts w:ascii="Arial" w:hAnsi="Arial" w:cs="Arial"/>
          <w:b/>
          <w:color w:val="000000" w:themeColor="text1"/>
          <w:sz w:val="24"/>
          <w:szCs w:val="24"/>
        </w:rPr>
      </w:pPr>
    </w:p>
    <w:p w14:paraId="15A2BD2C" w14:textId="77777777" w:rsidR="00DD0DCE" w:rsidRDefault="00790915" w:rsidP="00790915">
      <w:pPr>
        <w:pBdr>
          <w:top w:val="single" w:sz="12" w:space="1" w:color="auto"/>
          <w:bottom w:val="single" w:sz="12" w:space="1" w:color="auto"/>
        </w:pBdr>
        <w:jc w:val="center"/>
        <w:rPr>
          <w:rFonts w:ascii="Arial" w:hAnsi="Arial" w:cs="Arial"/>
          <w:b/>
          <w:color w:val="000000" w:themeColor="text1"/>
          <w:sz w:val="24"/>
          <w:szCs w:val="24"/>
        </w:rPr>
      </w:pPr>
      <w:r>
        <w:rPr>
          <w:rFonts w:ascii="Arial" w:hAnsi="Arial" w:cs="Arial"/>
          <w:b/>
          <w:color w:val="000000" w:themeColor="text1"/>
          <w:sz w:val="24"/>
          <w:szCs w:val="24"/>
        </w:rPr>
        <w:t>JUDGMENT</w:t>
      </w:r>
    </w:p>
    <w:p w14:paraId="1F4006F8" w14:textId="77777777" w:rsidR="00DD0DCE" w:rsidRDefault="00DD0DCE" w:rsidP="00A17C21">
      <w:pPr>
        <w:rPr>
          <w:rFonts w:ascii="Arial" w:hAnsi="Arial" w:cs="Arial"/>
          <w:b/>
          <w:sz w:val="24"/>
          <w:szCs w:val="24"/>
        </w:rPr>
        <w:sectPr w:rsidR="00DD0DCE" w:rsidSect="00DD0DCE">
          <w:headerReference w:type="even" r:id="rId9"/>
          <w:footerReference w:type="default" r:id="rId10"/>
          <w:pgSz w:w="12240" w:h="15840"/>
          <w:pgMar w:top="1440" w:right="1440" w:bottom="1440" w:left="1440" w:header="720" w:footer="720" w:gutter="0"/>
          <w:pgNumType w:start="1"/>
          <w:cols w:space="720"/>
          <w:titlePg/>
          <w:docGrid w:linePitch="360"/>
        </w:sectPr>
      </w:pPr>
    </w:p>
    <w:p w14:paraId="76582498" w14:textId="77777777" w:rsidR="00771698" w:rsidRPr="00DD0DCE" w:rsidRDefault="00771698" w:rsidP="00A17C21">
      <w:pPr>
        <w:rPr>
          <w:rFonts w:ascii="Arial" w:hAnsi="Arial" w:cs="Arial"/>
          <w:b/>
          <w:color w:val="000000" w:themeColor="text1"/>
          <w:sz w:val="24"/>
          <w:szCs w:val="24"/>
        </w:rPr>
      </w:pPr>
      <w:r>
        <w:rPr>
          <w:rFonts w:ascii="Arial" w:hAnsi="Arial" w:cs="Arial"/>
          <w:b/>
          <w:sz w:val="24"/>
          <w:szCs w:val="24"/>
        </w:rPr>
        <w:lastRenderedPageBreak/>
        <w:t>EKSTEEN J</w:t>
      </w:r>
    </w:p>
    <w:p w14:paraId="2E80C684" w14:textId="77777777" w:rsidR="00116448" w:rsidRDefault="00116448" w:rsidP="00771698">
      <w:pPr>
        <w:rPr>
          <w:rFonts w:ascii="Arial" w:hAnsi="Arial" w:cs="Arial"/>
          <w:b/>
          <w:sz w:val="24"/>
          <w:szCs w:val="24"/>
        </w:rPr>
      </w:pPr>
    </w:p>
    <w:p w14:paraId="1D4C93FE" w14:textId="7C611A63" w:rsidR="00F923FD" w:rsidRPr="00C47012" w:rsidRDefault="00C47012" w:rsidP="00C47012">
      <w:pPr>
        <w:spacing w:after="0" w:line="480" w:lineRule="auto"/>
        <w:jc w:val="both"/>
        <w:rPr>
          <w:rFonts w:ascii="Arial" w:hAnsi="Arial" w:cs="Arial"/>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F923FD" w:rsidRPr="00C47012">
        <w:rPr>
          <w:rFonts w:ascii="Arial" w:hAnsi="Arial" w:cs="Arial"/>
          <w:sz w:val="24"/>
          <w:szCs w:val="24"/>
        </w:rPr>
        <w:t xml:space="preserve">This matter concerns the consolidated application for the hearing of three review applications.  The applicants seek orders to have </w:t>
      </w:r>
      <w:r w:rsidR="00BA4791" w:rsidRPr="00C47012">
        <w:rPr>
          <w:rFonts w:ascii="Arial" w:hAnsi="Arial" w:cs="Arial"/>
          <w:sz w:val="24"/>
          <w:szCs w:val="24"/>
        </w:rPr>
        <w:t>a</w:t>
      </w:r>
      <w:r w:rsidR="00F923FD" w:rsidRPr="00C47012">
        <w:rPr>
          <w:rFonts w:ascii="Arial" w:hAnsi="Arial" w:cs="Arial"/>
          <w:sz w:val="24"/>
          <w:szCs w:val="24"/>
        </w:rPr>
        <w:t xml:space="preserve"> report, findings and remedial action taken by the </w:t>
      </w:r>
      <w:r w:rsidR="008A6DB5" w:rsidRPr="00C47012">
        <w:rPr>
          <w:rFonts w:ascii="Arial" w:hAnsi="Arial" w:cs="Arial"/>
          <w:sz w:val="24"/>
          <w:szCs w:val="24"/>
        </w:rPr>
        <w:t>Public Protector</w:t>
      </w:r>
      <w:r w:rsidR="00A31330" w:rsidRPr="00C47012">
        <w:rPr>
          <w:rFonts w:ascii="Arial" w:hAnsi="Arial" w:cs="Arial"/>
          <w:sz w:val="24"/>
          <w:szCs w:val="24"/>
        </w:rPr>
        <w:t xml:space="preserve"> (PP)</w:t>
      </w:r>
      <w:r w:rsidR="00F923FD" w:rsidRPr="00C47012">
        <w:rPr>
          <w:rFonts w:ascii="Arial" w:hAnsi="Arial" w:cs="Arial"/>
          <w:sz w:val="24"/>
          <w:szCs w:val="24"/>
        </w:rPr>
        <w:t xml:space="preserve"> reviewed and set aside and declared </w:t>
      </w:r>
      <w:r w:rsidR="00A31330" w:rsidRPr="00C47012">
        <w:rPr>
          <w:rFonts w:ascii="Arial" w:hAnsi="Arial" w:cs="Arial"/>
          <w:sz w:val="24"/>
          <w:szCs w:val="24"/>
        </w:rPr>
        <w:t xml:space="preserve">unconstitutional and </w:t>
      </w:r>
      <w:r w:rsidR="00F923FD" w:rsidRPr="00C47012">
        <w:rPr>
          <w:rFonts w:ascii="Arial" w:hAnsi="Arial" w:cs="Arial"/>
          <w:sz w:val="24"/>
          <w:szCs w:val="24"/>
        </w:rPr>
        <w:t xml:space="preserve">invalid.  </w:t>
      </w:r>
      <w:r w:rsidR="00501AF0" w:rsidRPr="00C47012">
        <w:rPr>
          <w:rFonts w:ascii="Arial" w:hAnsi="Arial" w:cs="Arial"/>
          <w:sz w:val="24"/>
          <w:szCs w:val="24"/>
        </w:rPr>
        <w:t>She</w:t>
      </w:r>
      <w:r w:rsidR="00F923FD" w:rsidRPr="00C47012">
        <w:rPr>
          <w:rFonts w:ascii="Arial" w:hAnsi="Arial" w:cs="Arial"/>
          <w:sz w:val="24"/>
          <w:szCs w:val="24"/>
        </w:rPr>
        <w:t xml:space="preserve"> has opposed each of the applications.</w:t>
      </w:r>
    </w:p>
    <w:p w14:paraId="1DD6292E" w14:textId="77777777" w:rsidR="00337D3D" w:rsidRDefault="00337D3D" w:rsidP="008231CE">
      <w:pPr>
        <w:pStyle w:val="ListParagraph"/>
        <w:spacing w:after="0" w:line="480" w:lineRule="auto"/>
        <w:ind w:left="0"/>
        <w:jc w:val="both"/>
        <w:rPr>
          <w:rFonts w:ascii="Arial" w:hAnsi="Arial" w:cs="Arial"/>
          <w:sz w:val="24"/>
          <w:szCs w:val="24"/>
        </w:rPr>
      </w:pPr>
    </w:p>
    <w:p w14:paraId="3BF67C23" w14:textId="6A20CEF2" w:rsidR="00337D3D" w:rsidRPr="00C47012" w:rsidRDefault="00C47012" w:rsidP="00C47012">
      <w:pPr>
        <w:spacing w:after="0" w:line="480" w:lineRule="auto"/>
        <w:jc w:val="both"/>
        <w:rPr>
          <w:rFonts w:ascii="Arial" w:hAnsi="Arial" w:cs="Arial"/>
          <w:sz w:val="24"/>
          <w:szCs w:val="24"/>
        </w:rPr>
      </w:pPr>
      <w:r w:rsidRPr="00116448">
        <w:rPr>
          <w:rFonts w:ascii="Arial" w:hAnsi="Arial" w:cs="Arial"/>
          <w:color w:val="000000" w:themeColor="text1"/>
          <w:sz w:val="24"/>
          <w:szCs w:val="24"/>
        </w:rPr>
        <w:t>[2]</w:t>
      </w:r>
      <w:r w:rsidRPr="00116448">
        <w:rPr>
          <w:rFonts w:ascii="Arial" w:hAnsi="Arial" w:cs="Arial"/>
          <w:color w:val="000000" w:themeColor="text1"/>
          <w:sz w:val="24"/>
          <w:szCs w:val="24"/>
        </w:rPr>
        <w:tab/>
      </w:r>
      <w:r w:rsidR="00337D3D" w:rsidRPr="00C47012">
        <w:rPr>
          <w:rFonts w:ascii="Arial" w:hAnsi="Arial" w:cs="Arial"/>
          <w:sz w:val="24"/>
          <w:szCs w:val="24"/>
        </w:rPr>
        <w:t xml:space="preserve">The applicant in case number 800/2021 is </w:t>
      </w:r>
      <w:proofErr w:type="spellStart"/>
      <w:r w:rsidR="00337D3D" w:rsidRPr="00C47012">
        <w:rPr>
          <w:rFonts w:ascii="Arial" w:hAnsi="Arial" w:cs="Arial"/>
          <w:sz w:val="24"/>
          <w:szCs w:val="24"/>
        </w:rPr>
        <w:t>Mr</w:t>
      </w:r>
      <w:proofErr w:type="spellEnd"/>
      <w:r w:rsidR="00337D3D" w:rsidRPr="00C47012">
        <w:rPr>
          <w:rFonts w:ascii="Arial" w:hAnsi="Arial" w:cs="Arial"/>
          <w:sz w:val="24"/>
          <w:szCs w:val="24"/>
        </w:rPr>
        <w:t xml:space="preserve"> </w:t>
      </w:r>
      <w:proofErr w:type="spellStart"/>
      <w:r w:rsidR="00174718" w:rsidRPr="00C47012">
        <w:rPr>
          <w:rFonts w:ascii="Arial" w:hAnsi="Arial" w:cs="Arial"/>
          <w:sz w:val="24"/>
          <w:szCs w:val="24"/>
        </w:rPr>
        <w:t>Babalo</w:t>
      </w:r>
      <w:proofErr w:type="spellEnd"/>
      <w:r w:rsidR="00174718" w:rsidRPr="00C47012">
        <w:rPr>
          <w:rFonts w:ascii="Arial" w:hAnsi="Arial" w:cs="Arial"/>
          <w:sz w:val="24"/>
          <w:szCs w:val="24"/>
        </w:rPr>
        <w:t xml:space="preserve"> </w:t>
      </w:r>
      <w:proofErr w:type="spellStart"/>
      <w:r w:rsidR="00174718" w:rsidRPr="00C47012">
        <w:rPr>
          <w:rFonts w:ascii="Arial" w:hAnsi="Arial" w:cs="Arial"/>
          <w:sz w:val="24"/>
          <w:szCs w:val="24"/>
        </w:rPr>
        <w:t>Madikizela</w:t>
      </w:r>
      <w:proofErr w:type="spellEnd"/>
      <w:r w:rsidR="00174718" w:rsidRPr="00C47012">
        <w:rPr>
          <w:rFonts w:ascii="Arial" w:hAnsi="Arial" w:cs="Arial"/>
          <w:sz w:val="24"/>
          <w:szCs w:val="24"/>
        </w:rPr>
        <w:t>.  He was the T</w:t>
      </w:r>
      <w:r w:rsidR="00337D3D" w:rsidRPr="00C47012">
        <w:rPr>
          <w:rFonts w:ascii="Arial" w:hAnsi="Arial" w:cs="Arial"/>
          <w:sz w:val="24"/>
          <w:szCs w:val="24"/>
        </w:rPr>
        <w:t xml:space="preserve">reasurer of the African National Congress (ANC) in the Eastern Cape at the time of the material events, and he held no public office.  He is currently the MEC for Public Works in the Eastern Cape.  </w:t>
      </w:r>
      <w:proofErr w:type="spellStart"/>
      <w:r w:rsidR="00337D3D" w:rsidRPr="00C47012">
        <w:rPr>
          <w:rFonts w:ascii="Arial" w:hAnsi="Arial" w:cs="Arial"/>
          <w:sz w:val="24"/>
          <w:szCs w:val="24"/>
        </w:rPr>
        <w:t>Mr</w:t>
      </w:r>
      <w:proofErr w:type="spellEnd"/>
      <w:r w:rsidR="00337D3D" w:rsidRPr="00C47012">
        <w:rPr>
          <w:rFonts w:ascii="Arial" w:hAnsi="Arial" w:cs="Arial"/>
          <w:sz w:val="24"/>
          <w:szCs w:val="24"/>
        </w:rPr>
        <w:t xml:space="preserve"> </w:t>
      </w:r>
      <w:proofErr w:type="spellStart"/>
      <w:r w:rsidR="00337D3D" w:rsidRPr="00C47012">
        <w:rPr>
          <w:rFonts w:ascii="Arial" w:hAnsi="Arial" w:cs="Arial"/>
          <w:sz w:val="24"/>
          <w:szCs w:val="24"/>
        </w:rPr>
        <w:t>Lulabalo</w:t>
      </w:r>
      <w:proofErr w:type="spellEnd"/>
      <w:r w:rsidR="00337D3D" w:rsidRPr="00C47012">
        <w:rPr>
          <w:rFonts w:ascii="Arial" w:hAnsi="Arial" w:cs="Arial"/>
          <w:sz w:val="24"/>
          <w:szCs w:val="24"/>
        </w:rPr>
        <w:t xml:space="preserve"> Oscar </w:t>
      </w:r>
      <w:proofErr w:type="spellStart"/>
      <w:r w:rsidR="00337D3D" w:rsidRPr="00C47012">
        <w:rPr>
          <w:rFonts w:ascii="Arial" w:hAnsi="Arial" w:cs="Arial"/>
          <w:sz w:val="24"/>
          <w:szCs w:val="24"/>
        </w:rPr>
        <w:t>Mabuyane</w:t>
      </w:r>
      <w:proofErr w:type="spellEnd"/>
      <w:r w:rsidR="00337D3D" w:rsidRPr="00C47012">
        <w:rPr>
          <w:rFonts w:ascii="Arial" w:hAnsi="Arial" w:cs="Arial"/>
          <w:sz w:val="24"/>
          <w:szCs w:val="24"/>
        </w:rPr>
        <w:t xml:space="preserve">, the applicant in case number 802/2021 was the MEC for Economic Development, Environmental Affairs and Tourism at the time and is currently the Premier of the Province.  </w:t>
      </w:r>
      <w:proofErr w:type="spellStart"/>
      <w:r w:rsidR="00337D3D" w:rsidRPr="00C47012">
        <w:rPr>
          <w:rFonts w:ascii="Arial" w:hAnsi="Arial" w:cs="Arial"/>
          <w:sz w:val="24"/>
          <w:szCs w:val="24"/>
        </w:rPr>
        <w:t>Mr</w:t>
      </w:r>
      <w:proofErr w:type="spellEnd"/>
      <w:r w:rsidR="00337D3D" w:rsidRPr="00C47012">
        <w:rPr>
          <w:rFonts w:ascii="Arial" w:hAnsi="Arial" w:cs="Arial"/>
          <w:sz w:val="24"/>
          <w:szCs w:val="24"/>
        </w:rPr>
        <w:t xml:space="preserve"> </w:t>
      </w:r>
      <w:proofErr w:type="spellStart"/>
      <w:r w:rsidR="00337D3D" w:rsidRPr="00C47012">
        <w:rPr>
          <w:rFonts w:ascii="Arial" w:hAnsi="Arial" w:cs="Arial"/>
          <w:sz w:val="24"/>
          <w:szCs w:val="24"/>
        </w:rPr>
        <w:t>Vuyo</w:t>
      </w:r>
      <w:proofErr w:type="spellEnd"/>
      <w:r w:rsidR="00337D3D" w:rsidRPr="00C47012">
        <w:rPr>
          <w:rFonts w:ascii="Arial" w:hAnsi="Arial" w:cs="Arial"/>
          <w:sz w:val="24"/>
          <w:szCs w:val="24"/>
        </w:rPr>
        <w:t xml:space="preserve"> </w:t>
      </w:r>
      <w:proofErr w:type="spellStart"/>
      <w:r w:rsidR="00337D3D" w:rsidRPr="00C47012">
        <w:rPr>
          <w:rFonts w:ascii="Arial" w:hAnsi="Arial" w:cs="Arial"/>
          <w:sz w:val="24"/>
          <w:szCs w:val="24"/>
        </w:rPr>
        <w:t>Mahlaka</w:t>
      </w:r>
      <w:proofErr w:type="spellEnd"/>
      <w:r w:rsidR="00337D3D" w:rsidRPr="00C47012">
        <w:rPr>
          <w:rFonts w:ascii="Arial" w:hAnsi="Arial" w:cs="Arial"/>
          <w:color w:val="FF0000"/>
          <w:sz w:val="24"/>
          <w:szCs w:val="24"/>
        </w:rPr>
        <w:t>,</w:t>
      </w:r>
      <w:r w:rsidR="00337D3D" w:rsidRPr="00C47012">
        <w:rPr>
          <w:rFonts w:ascii="Arial" w:hAnsi="Arial" w:cs="Arial"/>
          <w:sz w:val="24"/>
          <w:szCs w:val="24"/>
        </w:rPr>
        <w:t xml:space="preserve"> the Municipal Manager of the Winnie Madikizela Mandela Local Municipality (formerly the </w:t>
      </w:r>
      <w:proofErr w:type="spellStart"/>
      <w:r w:rsidR="00337D3D" w:rsidRPr="00C47012">
        <w:rPr>
          <w:rFonts w:ascii="Arial" w:hAnsi="Arial" w:cs="Arial"/>
          <w:sz w:val="24"/>
          <w:szCs w:val="24"/>
        </w:rPr>
        <w:t>Mbiza</w:t>
      </w:r>
      <w:r w:rsidR="005F4A3C" w:rsidRPr="00C47012">
        <w:rPr>
          <w:rFonts w:ascii="Arial" w:hAnsi="Arial" w:cs="Arial"/>
          <w:sz w:val="24"/>
          <w:szCs w:val="24"/>
        </w:rPr>
        <w:t>na</w:t>
      </w:r>
      <w:proofErr w:type="spellEnd"/>
      <w:r w:rsidR="00337D3D" w:rsidRPr="00C47012">
        <w:rPr>
          <w:rFonts w:ascii="Arial" w:hAnsi="Arial" w:cs="Arial"/>
          <w:sz w:val="24"/>
          <w:szCs w:val="24"/>
        </w:rPr>
        <w:t xml:space="preserve"> Local Municipality, to which I refer as the MLM) is the second applicant in case number 818/2021.</w:t>
      </w:r>
      <w:r w:rsidR="00937D08" w:rsidRPr="00C47012">
        <w:rPr>
          <w:rFonts w:ascii="Arial" w:hAnsi="Arial" w:cs="Arial"/>
          <w:sz w:val="24"/>
          <w:szCs w:val="24"/>
        </w:rPr>
        <w:t xml:space="preserve">  The speaker of the council of the MLM and the MLM itself, are the first and third applicants, respectively, in the latter application.</w:t>
      </w:r>
      <w:r w:rsidR="00501AF0" w:rsidRPr="00C47012">
        <w:rPr>
          <w:rFonts w:ascii="Arial" w:hAnsi="Arial" w:cs="Arial"/>
          <w:sz w:val="24"/>
          <w:szCs w:val="24"/>
        </w:rPr>
        <w:t xml:space="preserve">  As I have said, the three applications were consolidated and heard as case number 800/2021, but I shall refer to original case numbers, where convenient, to distinguish between them.</w:t>
      </w:r>
    </w:p>
    <w:p w14:paraId="7A052DEB" w14:textId="77777777" w:rsidR="00F923FD" w:rsidRPr="00E12F64" w:rsidRDefault="00F923FD" w:rsidP="008231CE">
      <w:pPr>
        <w:spacing w:after="0" w:line="480" w:lineRule="auto"/>
        <w:contextualSpacing/>
        <w:jc w:val="both"/>
        <w:rPr>
          <w:rFonts w:ascii="Arial" w:hAnsi="Arial" w:cs="Arial"/>
          <w:sz w:val="24"/>
          <w:szCs w:val="24"/>
        </w:rPr>
      </w:pPr>
    </w:p>
    <w:p w14:paraId="33BF7D18" w14:textId="3C83C237" w:rsidR="00A31330" w:rsidRPr="00C47012" w:rsidRDefault="00C47012" w:rsidP="00C47012">
      <w:pPr>
        <w:spacing w:after="0" w:line="480" w:lineRule="auto"/>
        <w:jc w:val="both"/>
        <w:rPr>
          <w:rFonts w:ascii="Arial" w:hAnsi="Arial" w:cs="Arial"/>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F923FD" w:rsidRPr="00C47012">
        <w:rPr>
          <w:rFonts w:ascii="Arial" w:hAnsi="Arial" w:cs="Arial"/>
          <w:sz w:val="24"/>
          <w:szCs w:val="24"/>
        </w:rPr>
        <w:t xml:space="preserve">The investigation has its origin in a complaint laid in July 2019 at the office of the </w:t>
      </w:r>
      <w:r w:rsidR="008A6DB5" w:rsidRPr="00C47012">
        <w:rPr>
          <w:rFonts w:ascii="Arial" w:hAnsi="Arial" w:cs="Arial"/>
          <w:sz w:val="24"/>
          <w:szCs w:val="24"/>
        </w:rPr>
        <w:t>PP</w:t>
      </w:r>
      <w:r w:rsidR="00F923FD" w:rsidRPr="00C47012">
        <w:rPr>
          <w:rFonts w:ascii="Arial" w:hAnsi="Arial" w:cs="Arial"/>
          <w:sz w:val="24"/>
          <w:szCs w:val="24"/>
        </w:rPr>
        <w:t xml:space="preserve"> in </w:t>
      </w:r>
      <w:proofErr w:type="spellStart"/>
      <w:r w:rsidR="00F923FD" w:rsidRPr="00C47012">
        <w:rPr>
          <w:rFonts w:ascii="Arial" w:hAnsi="Arial" w:cs="Arial"/>
          <w:sz w:val="24"/>
          <w:szCs w:val="24"/>
        </w:rPr>
        <w:t>Bhisho</w:t>
      </w:r>
      <w:proofErr w:type="spellEnd"/>
      <w:r w:rsidR="00F923FD" w:rsidRPr="00C47012">
        <w:rPr>
          <w:rFonts w:ascii="Arial" w:hAnsi="Arial" w:cs="Arial"/>
          <w:sz w:val="24"/>
          <w:szCs w:val="24"/>
        </w:rPr>
        <w:t xml:space="preserve">, Eastern Cape.  The complaint was based on a newspaper article that was published in the Herald newspaper on </w:t>
      </w:r>
      <w:r w:rsidR="00941CD4" w:rsidRPr="00C47012">
        <w:rPr>
          <w:rFonts w:ascii="Arial" w:hAnsi="Arial" w:cs="Arial"/>
          <w:sz w:val="24"/>
          <w:szCs w:val="24"/>
        </w:rPr>
        <w:t xml:space="preserve">20 May 2019 under the heading: </w:t>
      </w:r>
      <w:r w:rsidR="00F923FD" w:rsidRPr="00C47012">
        <w:rPr>
          <w:rFonts w:ascii="Arial" w:hAnsi="Arial" w:cs="Arial"/>
          <w:sz w:val="24"/>
          <w:szCs w:val="24"/>
        </w:rPr>
        <w:t>“BHISHO BOSS</w:t>
      </w:r>
      <w:r w:rsidR="00A31330" w:rsidRPr="00C47012">
        <w:rPr>
          <w:rFonts w:ascii="Arial" w:hAnsi="Arial" w:cs="Arial"/>
          <w:sz w:val="24"/>
          <w:szCs w:val="24"/>
        </w:rPr>
        <w:t>ES</w:t>
      </w:r>
      <w:r w:rsidR="00F923FD" w:rsidRPr="00C47012">
        <w:rPr>
          <w:rFonts w:ascii="Arial" w:hAnsi="Arial" w:cs="Arial"/>
          <w:sz w:val="24"/>
          <w:szCs w:val="24"/>
        </w:rPr>
        <w:t>’ R2m PIGGY BANK”</w:t>
      </w:r>
      <w:r w:rsidR="00A31330" w:rsidRPr="00C47012">
        <w:rPr>
          <w:rFonts w:ascii="Arial" w:hAnsi="Arial" w:cs="Arial"/>
          <w:sz w:val="24"/>
          <w:szCs w:val="24"/>
        </w:rPr>
        <w:t>.  In the article it was alleged</w:t>
      </w:r>
      <w:r w:rsidR="00F923FD" w:rsidRPr="00C47012">
        <w:rPr>
          <w:rFonts w:ascii="Arial" w:hAnsi="Arial" w:cs="Arial"/>
          <w:sz w:val="24"/>
          <w:szCs w:val="24"/>
        </w:rPr>
        <w:t xml:space="preserve"> that amounts of R2 million </w:t>
      </w:r>
      <w:r w:rsidR="00F923FD" w:rsidRPr="00C47012">
        <w:rPr>
          <w:rFonts w:ascii="Arial" w:hAnsi="Arial" w:cs="Arial"/>
          <w:sz w:val="24"/>
          <w:szCs w:val="24"/>
        </w:rPr>
        <w:lastRenderedPageBreak/>
        <w:t xml:space="preserve">and R1 million </w:t>
      </w:r>
      <w:r w:rsidR="00A31330" w:rsidRPr="00C47012">
        <w:rPr>
          <w:rFonts w:ascii="Arial" w:hAnsi="Arial" w:cs="Arial"/>
          <w:sz w:val="24"/>
          <w:szCs w:val="24"/>
        </w:rPr>
        <w:t>had been</w:t>
      </w:r>
      <w:r w:rsidR="00F923FD" w:rsidRPr="00C47012">
        <w:rPr>
          <w:rFonts w:ascii="Arial" w:hAnsi="Arial" w:cs="Arial"/>
          <w:sz w:val="24"/>
          <w:szCs w:val="24"/>
        </w:rPr>
        <w:t xml:space="preserve"> misappropriated </w:t>
      </w:r>
      <w:r w:rsidR="00937D08" w:rsidRPr="00C47012">
        <w:rPr>
          <w:rFonts w:ascii="Arial" w:hAnsi="Arial" w:cs="Arial"/>
          <w:sz w:val="24"/>
          <w:szCs w:val="24"/>
        </w:rPr>
        <w:t xml:space="preserve">from the MLM </w:t>
      </w:r>
      <w:r w:rsidR="00227EC2" w:rsidRPr="00C47012">
        <w:rPr>
          <w:rFonts w:ascii="Arial" w:hAnsi="Arial" w:cs="Arial"/>
          <w:sz w:val="24"/>
          <w:szCs w:val="24"/>
        </w:rPr>
        <w:t>and</w:t>
      </w:r>
      <w:r w:rsidR="00F923FD" w:rsidRPr="00C47012">
        <w:rPr>
          <w:rFonts w:ascii="Arial" w:hAnsi="Arial" w:cs="Arial"/>
          <w:sz w:val="24"/>
          <w:szCs w:val="24"/>
        </w:rPr>
        <w:t xml:space="preserve"> </w:t>
      </w:r>
      <w:r w:rsidR="00A31330" w:rsidRPr="00C47012">
        <w:rPr>
          <w:rFonts w:ascii="Arial" w:hAnsi="Arial" w:cs="Arial"/>
          <w:sz w:val="24"/>
          <w:szCs w:val="24"/>
        </w:rPr>
        <w:t xml:space="preserve">Departments of </w:t>
      </w:r>
      <w:r w:rsidR="00F923FD" w:rsidRPr="00C47012">
        <w:rPr>
          <w:rFonts w:ascii="Arial" w:hAnsi="Arial" w:cs="Arial"/>
          <w:sz w:val="24"/>
          <w:szCs w:val="24"/>
        </w:rPr>
        <w:t xml:space="preserve">the Eastern Cape Provisional Government </w:t>
      </w:r>
      <w:r w:rsidR="00227EC2" w:rsidRPr="00C47012">
        <w:rPr>
          <w:rFonts w:ascii="Arial" w:hAnsi="Arial" w:cs="Arial"/>
          <w:sz w:val="24"/>
          <w:szCs w:val="24"/>
        </w:rPr>
        <w:t>to improperly benefit</w:t>
      </w:r>
      <w:r w:rsidR="00F923FD" w:rsidRPr="00C47012">
        <w:rPr>
          <w:rFonts w:ascii="Arial" w:hAnsi="Arial" w:cs="Arial"/>
          <w:sz w:val="24"/>
          <w:szCs w:val="24"/>
        </w:rPr>
        <w:t xml:space="preserve"> senior </w:t>
      </w:r>
      <w:r w:rsidR="00A31330" w:rsidRPr="00C47012">
        <w:rPr>
          <w:rFonts w:ascii="Arial" w:hAnsi="Arial" w:cs="Arial"/>
          <w:sz w:val="24"/>
          <w:szCs w:val="24"/>
        </w:rPr>
        <w:t>government officials</w:t>
      </w:r>
      <w:r w:rsidR="00227EC2" w:rsidRPr="00C47012">
        <w:rPr>
          <w:rFonts w:ascii="Arial" w:hAnsi="Arial" w:cs="Arial"/>
          <w:sz w:val="24"/>
          <w:szCs w:val="24"/>
        </w:rPr>
        <w:t xml:space="preserve"> or private persons.</w:t>
      </w:r>
    </w:p>
    <w:p w14:paraId="542ECAC6" w14:textId="77777777" w:rsidR="00A31330" w:rsidRPr="00A31330" w:rsidRDefault="00A31330" w:rsidP="008231CE">
      <w:pPr>
        <w:pStyle w:val="ListParagraph"/>
        <w:spacing w:after="0" w:line="480" w:lineRule="auto"/>
        <w:ind w:left="0"/>
        <w:jc w:val="both"/>
        <w:rPr>
          <w:rFonts w:ascii="Arial" w:hAnsi="Arial" w:cs="Arial"/>
          <w:sz w:val="24"/>
          <w:szCs w:val="24"/>
        </w:rPr>
      </w:pPr>
    </w:p>
    <w:p w14:paraId="2225EB98" w14:textId="5E6906A6" w:rsidR="00F923FD" w:rsidRPr="00C47012" w:rsidRDefault="00C47012" w:rsidP="00C47012">
      <w:pPr>
        <w:spacing w:after="0" w:line="480" w:lineRule="auto"/>
        <w:jc w:val="both"/>
        <w:rPr>
          <w:rFonts w:ascii="Arial" w:hAnsi="Arial" w:cs="Arial"/>
          <w:sz w:val="24"/>
          <w:szCs w:val="24"/>
        </w:rPr>
      </w:pPr>
      <w:r w:rsidRPr="00116448">
        <w:rPr>
          <w:rFonts w:ascii="Arial" w:hAnsi="Arial" w:cs="Arial"/>
          <w:color w:val="000000" w:themeColor="text1"/>
          <w:sz w:val="24"/>
          <w:szCs w:val="24"/>
        </w:rPr>
        <w:t>[4]</w:t>
      </w:r>
      <w:r w:rsidRPr="00116448">
        <w:rPr>
          <w:rFonts w:ascii="Arial" w:hAnsi="Arial" w:cs="Arial"/>
          <w:color w:val="000000" w:themeColor="text1"/>
          <w:sz w:val="24"/>
          <w:szCs w:val="24"/>
        </w:rPr>
        <w:tab/>
      </w:r>
      <w:r w:rsidR="00E12F64" w:rsidRPr="00C47012">
        <w:rPr>
          <w:rFonts w:ascii="Arial" w:hAnsi="Arial" w:cs="Arial"/>
          <w:sz w:val="24"/>
          <w:szCs w:val="24"/>
        </w:rPr>
        <w:t xml:space="preserve">The </w:t>
      </w:r>
      <w:r w:rsidR="00A31330" w:rsidRPr="00C47012">
        <w:rPr>
          <w:rFonts w:ascii="Arial" w:hAnsi="Arial" w:cs="Arial"/>
          <w:sz w:val="24"/>
          <w:szCs w:val="24"/>
        </w:rPr>
        <w:t xml:space="preserve">PP </w:t>
      </w:r>
      <w:r w:rsidR="00E12F64" w:rsidRPr="00C47012">
        <w:rPr>
          <w:rFonts w:ascii="Arial" w:hAnsi="Arial" w:cs="Arial"/>
          <w:sz w:val="24"/>
          <w:szCs w:val="24"/>
        </w:rPr>
        <w:t xml:space="preserve">investigated two questions.  The first was whether an amount of </w:t>
      </w:r>
      <w:r w:rsidR="007576E5" w:rsidRPr="00C47012">
        <w:rPr>
          <w:rFonts w:ascii="Arial" w:hAnsi="Arial" w:cs="Arial"/>
          <w:sz w:val="24"/>
          <w:szCs w:val="24"/>
        </w:rPr>
        <w:t>R1.1</w:t>
      </w:r>
      <w:r w:rsidR="00E12F64" w:rsidRPr="00C47012">
        <w:rPr>
          <w:rFonts w:ascii="Arial" w:hAnsi="Arial" w:cs="Arial"/>
          <w:sz w:val="24"/>
          <w:szCs w:val="24"/>
        </w:rPr>
        <w:t xml:space="preserve"> million </w:t>
      </w:r>
      <w:r w:rsidR="004C0205" w:rsidRPr="00C47012">
        <w:rPr>
          <w:rFonts w:ascii="Arial" w:hAnsi="Arial" w:cs="Arial"/>
          <w:sz w:val="24"/>
          <w:szCs w:val="24"/>
        </w:rPr>
        <w:t xml:space="preserve">that </w:t>
      </w:r>
      <w:r w:rsidR="00937D08" w:rsidRPr="00C47012">
        <w:rPr>
          <w:rFonts w:ascii="Arial" w:hAnsi="Arial" w:cs="Arial"/>
          <w:sz w:val="24"/>
          <w:szCs w:val="24"/>
        </w:rPr>
        <w:t>had been</w:t>
      </w:r>
      <w:r w:rsidR="00E12F64" w:rsidRPr="00C47012">
        <w:rPr>
          <w:rFonts w:ascii="Arial" w:hAnsi="Arial" w:cs="Arial"/>
          <w:sz w:val="24"/>
          <w:szCs w:val="24"/>
        </w:rPr>
        <w:t xml:space="preserve"> allocated for the transportation of mourners </w:t>
      </w:r>
      <w:r w:rsidR="00937D08" w:rsidRPr="00C47012">
        <w:rPr>
          <w:rFonts w:ascii="Arial" w:hAnsi="Arial" w:cs="Arial"/>
          <w:sz w:val="24"/>
          <w:szCs w:val="24"/>
        </w:rPr>
        <w:t>to</w:t>
      </w:r>
      <w:r w:rsidR="00E12F64" w:rsidRPr="00C47012">
        <w:rPr>
          <w:rFonts w:ascii="Arial" w:hAnsi="Arial" w:cs="Arial"/>
          <w:sz w:val="24"/>
          <w:szCs w:val="24"/>
        </w:rPr>
        <w:t xml:space="preserve"> the funeral of </w:t>
      </w:r>
      <w:proofErr w:type="spellStart"/>
      <w:r w:rsidR="00E12F64" w:rsidRPr="00C47012">
        <w:rPr>
          <w:rFonts w:ascii="Arial" w:hAnsi="Arial" w:cs="Arial"/>
          <w:sz w:val="24"/>
          <w:szCs w:val="24"/>
        </w:rPr>
        <w:t>Ms</w:t>
      </w:r>
      <w:proofErr w:type="spellEnd"/>
      <w:r w:rsidR="00E12F64" w:rsidRPr="00C47012">
        <w:rPr>
          <w:rFonts w:ascii="Arial" w:hAnsi="Arial" w:cs="Arial"/>
          <w:sz w:val="24"/>
          <w:szCs w:val="24"/>
        </w:rPr>
        <w:t xml:space="preserve"> Winnie </w:t>
      </w:r>
      <w:proofErr w:type="spellStart"/>
      <w:r w:rsidR="00E12F64" w:rsidRPr="00C47012">
        <w:rPr>
          <w:rFonts w:ascii="Arial" w:hAnsi="Arial" w:cs="Arial"/>
          <w:sz w:val="24"/>
          <w:szCs w:val="24"/>
        </w:rPr>
        <w:t>Madikizela</w:t>
      </w:r>
      <w:proofErr w:type="spellEnd"/>
      <w:r w:rsidR="00E12F64" w:rsidRPr="00C47012">
        <w:rPr>
          <w:rFonts w:ascii="Arial" w:hAnsi="Arial" w:cs="Arial"/>
          <w:sz w:val="24"/>
          <w:szCs w:val="24"/>
        </w:rPr>
        <w:t xml:space="preserve"> Mandela </w:t>
      </w:r>
      <w:r w:rsidR="00937D08" w:rsidRPr="00C47012">
        <w:rPr>
          <w:rFonts w:ascii="Arial" w:hAnsi="Arial" w:cs="Arial"/>
          <w:sz w:val="24"/>
          <w:szCs w:val="24"/>
        </w:rPr>
        <w:t>had been</w:t>
      </w:r>
      <w:r w:rsidR="00E12F64" w:rsidRPr="00C47012">
        <w:rPr>
          <w:rFonts w:ascii="Arial" w:hAnsi="Arial" w:cs="Arial"/>
          <w:sz w:val="24"/>
          <w:szCs w:val="24"/>
        </w:rPr>
        <w:t xml:space="preserve"> improperly</w:t>
      </w:r>
      <w:r w:rsidR="00116448" w:rsidRPr="00C47012">
        <w:rPr>
          <w:rFonts w:ascii="Arial" w:hAnsi="Arial" w:cs="Arial"/>
          <w:sz w:val="24"/>
          <w:szCs w:val="24"/>
        </w:rPr>
        <w:t xml:space="preserve"> deposited into the account of </w:t>
      </w:r>
      <w:proofErr w:type="spellStart"/>
      <w:r w:rsidR="00116448" w:rsidRPr="00C47012">
        <w:rPr>
          <w:rFonts w:ascii="Arial" w:hAnsi="Arial" w:cs="Arial"/>
          <w:sz w:val="24"/>
          <w:szCs w:val="24"/>
        </w:rPr>
        <w:t>M</w:t>
      </w:r>
      <w:r w:rsidR="00E12F64" w:rsidRPr="00C47012">
        <w:rPr>
          <w:rFonts w:ascii="Arial" w:hAnsi="Arial" w:cs="Arial"/>
          <w:sz w:val="24"/>
          <w:szCs w:val="24"/>
        </w:rPr>
        <w:t>thombeni</w:t>
      </w:r>
      <w:proofErr w:type="spellEnd"/>
      <w:r w:rsidR="00E12F64" w:rsidRPr="00C47012">
        <w:rPr>
          <w:rFonts w:ascii="Arial" w:hAnsi="Arial" w:cs="Arial"/>
          <w:sz w:val="24"/>
          <w:szCs w:val="24"/>
        </w:rPr>
        <w:t xml:space="preserve"> Projects (Pty) Ltd (</w:t>
      </w:r>
      <w:proofErr w:type="spellStart"/>
      <w:r w:rsidR="00116448" w:rsidRPr="00C47012">
        <w:rPr>
          <w:rFonts w:ascii="Arial" w:hAnsi="Arial" w:cs="Arial"/>
          <w:sz w:val="24"/>
          <w:szCs w:val="24"/>
        </w:rPr>
        <w:t>Mthombeni</w:t>
      </w:r>
      <w:proofErr w:type="spellEnd"/>
      <w:r w:rsidR="00E12F64" w:rsidRPr="00C47012">
        <w:rPr>
          <w:rFonts w:ascii="Arial" w:hAnsi="Arial" w:cs="Arial"/>
          <w:sz w:val="24"/>
          <w:szCs w:val="24"/>
        </w:rPr>
        <w:t>) for the benefit of certain officials of the Eastern Cape Provincial Government and private persons</w:t>
      </w:r>
      <w:r w:rsidR="00937D08" w:rsidRPr="00C47012">
        <w:rPr>
          <w:rFonts w:ascii="Arial" w:hAnsi="Arial" w:cs="Arial"/>
          <w:sz w:val="24"/>
          <w:szCs w:val="24"/>
        </w:rPr>
        <w:t xml:space="preserve"> (the first question)</w:t>
      </w:r>
      <w:r w:rsidR="00E12F64" w:rsidRPr="00C47012">
        <w:rPr>
          <w:rFonts w:ascii="Arial" w:hAnsi="Arial" w:cs="Arial"/>
          <w:sz w:val="24"/>
          <w:szCs w:val="24"/>
        </w:rPr>
        <w:t xml:space="preserve">.  The second </w:t>
      </w:r>
      <w:r w:rsidR="00A31330" w:rsidRPr="00C47012">
        <w:rPr>
          <w:rFonts w:ascii="Arial" w:hAnsi="Arial" w:cs="Arial"/>
          <w:sz w:val="24"/>
          <w:szCs w:val="24"/>
        </w:rPr>
        <w:t>was</w:t>
      </w:r>
      <w:r w:rsidR="00E12F64" w:rsidRPr="00C47012">
        <w:rPr>
          <w:rFonts w:ascii="Arial" w:hAnsi="Arial" w:cs="Arial"/>
          <w:sz w:val="24"/>
          <w:szCs w:val="24"/>
        </w:rPr>
        <w:t xml:space="preserve"> whether the amount of </w:t>
      </w:r>
      <w:r w:rsidR="007576E5" w:rsidRPr="00C47012">
        <w:rPr>
          <w:rFonts w:ascii="Arial" w:hAnsi="Arial" w:cs="Arial"/>
          <w:sz w:val="24"/>
          <w:szCs w:val="24"/>
        </w:rPr>
        <w:t>R2.2</w:t>
      </w:r>
      <w:r w:rsidR="00E12F64" w:rsidRPr="00C47012">
        <w:rPr>
          <w:rFonts w:ascii="Arial" w:hAnsi="Arial" w:cs="Arial"/>
          <w:sz w:val="24"/>
          <w:szCs w:val="24"/>
        </w:rPr>
        <w:t xml:space="preserve"> million </w:t>
      </w:r>
      <w:r w:rsidR="00A31330" w:rsidRPr="00C47012">
        <w:rPr>
          <w:rFonts w:ascii="Arial" w:hAnsi="Arial" w:cs="Arial"/>
          <w:sz w:val="24"/>
          <w:szCs w:val="24"/>
        </w:rPr>
        <w:t xml:space="preserve">that </w:t>
      </w:r>
      <w:r w:rsidR="00937D08" w:rsidRPr="00C47012">
        <w:rPr>
          <w:rFonts w:ascii="Arial" w:hAnsi="Arial" w:cs="Arial"/>
          <w:sz w:val="24"/>
          <w:szCs w:val="24"/>
        </w:rPr>
        <w:t>had been</w:t>
      </w:r>
      <w:r w:rsidR="00A31330" w:rsidRPr="00C47012">
        <w:rPr>
          <w:rFonts w:ascii="Arial" w:hAnsi="Arial" w:cs="Arial"/>
          <w:sz w:val="24"/>
          <w:szCs w:val="24"/>
        </w:rPr>
        <w:t xml:space="preserve"> paid by Key Spirit Trading</w:t>
      </w:r>
      <w:r w:rsidR="00937D08" w:rsidRPr="00C47012">
        <w:rPr>
          <w:rFonts w:ascii="Arial" w:hAnsi="Arial" w:cs="Arial"/>
          <w:sz w:val="24"/>
          <w:szCs w:val="24"/>
        </w:rPr>
        <w:t xml:space="preserve"> 218 CC</w:t>
      </w:r>
      <w:r w:rsidR="0089493B" w:rsidRPr="00C47012">
        <w:rPr>
          <w:rFonts w:ascii="Arial" w:hAnsi="Arial" w:cs="Arial"/>
          <w:sz w:val="24"/>
          <w:szCs w:val="24"/>
        </w:rPr>
        <w:t>,</w:t>
      </w:r>
      <w:r w:rsidR="00937D08" w:rsidRPr="00C47012">
        <w:rPr>
          <w:rFonts w:ascii="Arial" w:hAnsi="Arial" w:cs="Arial"/>
          <w:sz w:val="24"/>
          <w:szCs w:val="24"/>
        </w:rPr>
        <w:t xml:space="preserve"> a close corporation (Key Spirit)</w:t>
      </w:r>
      <w:r w:rsidR="00A31330" w:rsidRPr="00C47012">
        <w:rPr>
          <w:rFonts w:ascii="Arial" w:hAnsi="Arial" w:cs="Arial"/>
          <w:sz w:val="24"/>
          <w:szCs w:val="24"/>
        </w:rPr>
        <w:t xml:space="preserve">, </w:t>
      </w:r>
      <w:r w:rsidR="00E12F64" w:rsidRPr="00C47012">
        <w:rPr>
          <w:rFonts w:ascii="Arial" w:hAnsi="Arial" w:cs="Arial"/>
          <w:sz w:val="24"/>
          <w:szCs w:val="24"/>
        </w:rPr>
        <w:t xml:space="preserve">to </w:t>
      </w:r>
      <w:proofErr w:type="spellStart"/>
      <w:r w:rsidR="00116448" w:rsidRPr="00C47012">
        <w:rPr>
          <w:rFonts w:ascii="Arial" w:hAnsi="Arial" w:cs="Arial"/>
          <w:sz w:val="24"/>
          <w:szCs w:val="24"/>
        </w:rPr>
        <w:t>Mthombeni</w:t>
      </w:r>
      <w:proofErr w:type="spellEnd"/>
      <w:r w:rsidR="00E12F64" w:rsidRPr="00C47012">
        <w:rPr>
          <w:rFonts w:ascii="Arial" w:hAnsi="Arial" w:cs="Arial"/>
          <w:sz w:val="24"/>
          <w:szCs w:val="24"/>
        </w:rPr>
        <w:t xml:space="preserve"> </w:t>
      </w:r>
      <w:r w:rsidR="00A31330" w:rsidRPr="00C47012">
        <w:rPr>
          <w:rFonts w:ascii="Arial" w:hAnsi="Arial" w:cs="Arial"/>
          <w:sz w:val="24"/>
          <w:szCs w:val="24"/>
        </w:rPr>
        <w:t xml:space="preserve">had originated from public funds </w:t>
      </w:r>
      <w:r w:rsidR="00E12F64" w:rsidRPr="00C47012">
        <w:rPr>
          <w:rFonts w:ascii="Arial" w:hAnsi="Arial" w:cs="Arial"/>
          <w:sz w:val="24"/>
          <w:szCs w:val="24"/>
        </w:rPr>
        <w:t>so that officials in the Eastern Cape Provincial Government and private persons could benefit from these funds</w:t>
      </w:r>
      <w:r w:rsidR="00937D08" w:rsidRPr="00C47012">
        <w:rPr>
          <w:rFonts w:ascii="Arial" w:hAnsi="Arial" w:cs="Arial"/>
          <w:sz w:val="24"/>
          <w:szCs w:val="24"/>
        </w:rPr>
        <w:t xml:space="preserve"> (the second question)</w:t>
      </w:r>
      <w:r w:rsidR="00E12F64" w:rsidRPr="00C47012">
        <w:rPr>
          <w:rFonts w:ascii="Arial" w:hAnsi="Arial" w:cs="Arial"/>
          <w:sz w:val="24"/>
          <w:szCs w:val="24"/>
        </w:rPr>
        <w:t>.</w:t>
      </w:r>
    </w:p>
    <w:p w14:paraId="23CBDBA5" w14:textId="77777777" w:rsidR="00CE06CB" w:rsidRDefault="00CE06CB" w:rsidP="008231CE">
      <w:pPr>
        <w:spacing w:after="0" w:line="480" w:lineRule="auto"/>
        <w:contextualSpacing/>
        <w:jc w:val="both"/>
        <w:rPr>
          <w:rFonts w:ascii="Arial" w:hAnsi="Arial" w:cs="Arial"/>
          <w:sz w:val="24"/>
          <w:szCs w:val="24"/>
        </w:rPr>
      </w:pPr>
    </w:p>
    <w:p w14:paraId="5EB60FF9" w14:textId="0327499B" w:rsidR="00E12F64" w:rsidRPr="00C47012" w:rsidRDefault="00C47012" w:rsidP="00C47012">
      <w:pPr>
        <w:spacing w:after="0" w:line="480" w:lineRule="auto"/>
        <w:jc w:val="both"/>
        <w:rPr>
          <w:rFonts w:ascii="Arial" w:hAnsi="Arial" w:cs="Arial"/>
          <w:sz w:val="24"/>
          <w:szCs w:val="24"/>
        </w:rPr>
      </w:pPr>
      <w:r w:rsidRPr="00116448">
        <w:rPr>
          <w:rFonts w:ascii="Arial" w:hAnsi="Arial" w:cs="Arial"/>
          <w:color w:val="000000" w:themeColor="text1"/>
          <w:sz w:val="24"/>
          <w:szCs w:val="24"/>
        </w:rPr>
        <w:t>[5]</w:t>
      </w:r>
      <w:r w:rsidRPr="00116448">
        <w:rPr>
          <w:rFonts w:ascii="Arial" w:hAnsi="Arial" w:cs="Arial"/>
          <w:color w:val="000000" w:themeColor="text1"/>
          <w:sz w:val="24"/>
          <w:szCs w:val="24"/>
        </w:rPr>
        <w:tab/>
      </w:r>
      <w:r w:rsidR="002863E0" w:rsidRPr="00C47012">
        <w:rPr>
          <w:rFonts w:ascii="Arial" w:hAnsi="Arial" w:cs="Arial"/>
          <w:sz w:val="24"/>
          <w:szCs w:val="24"/>
        </w:rPr>
        <w:t>She answered</w:t>
      </w:r>
      <w:r w:rsidR="00E12F64" w:rsidRPr="00C47012">
        <w:rPr>
          <w:rFonts w:ascii="Arial" w:hAnsi="Arial" w:cs="Arial"/>
          <w:sz w:val="24"/>
          <w:szCs w:val="24"/>
        </w:rPr>
        <w:t xml:space="preserve"> the first question </w:t>
      </w:r>
      <w:r w:rsidR="002863E0" w:rsidRPr="00C47012">
        <w:rPr>
          <w:rFonts w:ascii="Arial" w:hAnsi="Arial" w:cs="Arial"/>
          <w:sz w:val="24"/>
          <w:szCs w:val="24"/>
        </w:rPr>
        <w:t>in the affirmative and</w:t>
      </w:r>
      <w:r w:rsidR="0081047A" w:rsidRPr="00C47012">
        <w:rPr>
          <w:rFonts w:ascii="Arial" w:hAnsi="Arial" w:cs="Arial"/>
          <w:sz w:val="24"/>
          <w:szCs w:val="24"/>
        </w:rPr>
        <w:t xml:space="preserve"> found </w:t>
      </w:r>
      <w:r w:rsidR="00391BE8" w:rsidRPr="00C47012">
        <w:rPr>
          <w:rFonts w:ascii="Arial" w:hAnsi="Arial" w:cs="Arial"/>
          <w:sz w:val="24"/>
          <w:szCs w:val="24"/>
        </w:rPr>
        <w:t xml:space="preserve">that </w:t>
      </w:r>
      <w:proofErr w:type="spellStart"/>
      <w:r w:rsidR="002863E0" w:rsidRPr="00C47012">
        <w:rPr>
          <w:rFonts w:ascii="Arial" w:hAnsi="Arial" w:cs="Arial"/>
          <w:sz w:val="24"/>
          <w:szCs w:val="24"/>
        </w:rPr>
        <w:t>Mr</w:t>
      </w:r>
      <w:proofErr w:type="spellEnd"/>
      <w:r w:rsidR="002863E0" w:rsidRPr="00C47012">
        <w:rPr>
          <w:rFonts w:ascii="Arial" w:hAnsi="Arial" w:cs="Arial"/>
          <w:sz w:val="24"/>
          <w:szCs w:val="24"/>
        </w:rPr>
        <w:t xml:space="preserve"> </w:t>
      </w:r>
      <w:proofErr w:type="spellStart"/>
      <w:r w:rsidR="002863E0" w:rsidRPr="00C47012">
        <w:rPr>
          <w:rFonts w:ascii="Arial" w:hAnsi="Arial" w:cs="Arial"/>
          <w:sz w:val="24"/>
          <w:szCs w:val="24"/>
        </w:rPr>
        <w:t>Madikizela</w:t>
      </w:r>
      <w:proofErr w:type="spellEnd"/>
      <w:r w:rsidR="002863E0" w:rsidRPr="00C47012">
        <w:rPr>
          <w:rFonts w:ascii="Arial" w:hAnsi="Arial" w:cs="Arial"/>
          <w:sz w:val="24"/>
          <w:szCs w:val="24"/>
        </w:rPr>
        <w:t xml:space="preserve"> and </w:t>
      </w:r>
      <w:proofErr w:type="spellStart"/>
      <w:r w:rsidR="002863E0" w:rsidRPr="00C47012">
        <w:rPr>
          <w:rFonts w:ascii="Arial" w:hAnsi="Arial" w:cs="Arial"/>
          <w:sz w:val="24"/>
          <w:szCs w:val="24"/>
        </w:rPr>
        <w:t>Mr</w:t>
      </w:r>
      <w:proofErr w:type="spellEnd"/>
      <w:r w:rsidR="002863E0" w:rsidRPr="00C47012">
        <w:rPr>
          <w:rFonts w:ascii="Arial" w:hAnsi="Arial" w:cs="Arial"/>
          <w:sz w:val="24"/>
          <w:szCs w:val="24"/>
        </w:rPr>
        <w:t xml:space="preserve"> </w:t>
      </w:r>
      <w:proofErr w:type="spellStart"/>
      <w:r w:rsidR="002863E0" w:rsidRPr="00C47012">
        <w:rPr>
          <w:rFonts w:ascii="Arial" w:hAnsi="Arial" w:cs="Arial"/>
          <w:sz w:val="24"/>
          <w:szCs w:val="24"/>
        </w:rPr>
        <w:t>Mabuyane</w:t>
      </w:r>
      <w:proofErr w:type="spellEnd"/>
      <w:r w:rsidR="002863E0" w:rsidRPr="00C47012">
        <w:rPr>
          <w:rFonts w:ascii="Arial" w:hAnsi="Arial" w:cs="Arial"/>
          <w:sz w:val="24"/>
          <w:szCs w:val="24"/>
        </w:rPr>
        <w:t xml:space="preserve"> personally benefitted from public funds which were misappropriated.  She further found </w:t>
      </w:r>
      <w:r w:rsidR="0081047A" w:rsidRPr="00C47012">
        <w:rPr>
          <w:rFonts w:ascii="Arial" w:hAnsi="Arial" w:cs="Arial"/>
          <w:sz w:val="24"/>
          <w:szCs w:val="24"/>
        </w:rPr>
        <w:t xml:space="preserve">that the MLM did not comply with the relevant legal prescripts during the procurement of services and that </w:t>
      </w:r>
      <w:proofErr w:type="spellStart"/>
      <w:r w:rsidR="0081047A" w:rsidRPr="00C47012">
        <w:rPr>
          <w:rFonts w:ascii="Arial" w:hAnsi="Arial" w:cs="Arial"/>
          <w:sz w:val="24"/>
          <w:szCs w:val="24"/>
        </w:rPr>
        <w:t>Mr</w:t>
      </w:r>
      <w:proofErr w:type="spellEnd"/>
      <w:r w:rsidR="0081047A" w:rsidRPr="00C47012">
        <w:rPr>
          <w:rFonts w:ascii="Arial" w:hAnsi="Arial" w:cs="Arial"/>
          <w:sz w:val="24"/>
          <w:szCs w:val="24"/>
        </w:rPr>
        <w:t xml:space="preserve"> </w:t>
      </w:r>
      <w:proofErr w:type="spellStart"/>
      <w:r w:rsidR="0081047A" w:rsidRPr="00C47012">
        <w:rPr>
          <w:rFonts w:ascii="Arial" w:hAnsi="Arial" w:cs="Arial"/>
          <w:sz w:val="24"/>
          <w:szCs w:val="24"/>
        </w:rPr>
        <w:t>M</w:t>
      </w:r>
      <w:r w:rsidR="00815528" w:rsidRPr="00C47012">
        <w:rPr>
          <w:rFonts w:ascii="Arial" w:hAnsi="Arial" w:cs="Arial"/>
          <w:sz w:val="24"/>
          <w:szCs w:val="24"/>
        </w:rPr>
        <w:t>ah</w:t>
      </w:r>
      <w:r w:rsidR="0081047A" w:rsidRPr="00C47012">
        <w:rPr>
          <w:rFonts w:ascii="Arial" w:hAnsi="Arial" w:cs="Arial"/>
          <w:sz w:val="24"/>
          <w:szCs w:val="24"/>
        </w:rPr>
        <w:t>laka</w:t>
      </w:r>
      <w:proofErr w:type="spellEnd"/>
      <w:r w:rsidR="0081047A" w:rsidRPr="00C47012">
        <w:rPr>
          <w:rFonts w:ascii="Arial" w:hAnsi="Arial" w:cs="Arial"/>
          <w:sz w:val="24"/>
          <w:szCs w:val="24"/>
        </w:rPr>
        <w:t xml:space="preserve"> had fabricated, or facilitated the creation of</w:t>
      </w:r>
      <w:r w:rsidR="00391BE8" w:rsidRPr="00C47012">
        <w:rPr>
          <w:rFonts w:ascii="Arial" w:hAnsi="Arial" w:cs="Arial"/>
          <w:sz w:val="24"/>
          <w:szCs w:val="24"/>
        </w:rPr>
        <w:t>,</w:t>
      </w:r>
      <w:r w:rsidR="0081047A" w:rsidRPr="00C47012">
        <w:rPr>
          <w:rFonts w:ascii="Arial" w:hAnsi="Arial" w:cs="Arial"/>
          <w:sz w:val="24"/>
          <w:szCs w:val="24"/>
        </w:rPr>
        <w:t xml:space="preserve"> letters to create the impression that a lawful scheme had existed which included the </w:t>
      </w:r>
      <w:r w:rsidR="003E5384" w:rsidRPr="00C47012">
        <w:rPr>
          <w:rFonts w:ascii="Arial" w:hAnsi="Arial" w:cs="Arial"/>
          <w:sz w:val="24"/>
          <w:szCs w:val="24"/>
        </w:rPr>
        <w:t>“</w:t>
      </w:r>
      <w:r w:rsidR="0081047A" w:rsidRPr="00C47012">
        <w:rPr>
          <w:rFonts w:ascii="Arial" w:hAnsi="Arial" w:cs="Arial"/>
          <w:sz w:val="24"/>
          <w:szCs w:val="24"/>
        </w:rPr>
        <w:t>cession</w:t>
      </w:r>
      <w:r w:rsidR="003E5384" w:rsidRPr="00C47012">
        <w:rPr>
          <w:rFonts w:ascii="Arial" w:hAnsi="Arial" w:cs="Arial"/>
          <w:sz w:val="24"/>
          <w:szCs w:val="24"/>
        </w:rPr>
        <w:t>”</w:t>
      </w:r>
      <w:r w:rsidR="0081047A" w:rsidRPr="00C47012">
        <w:rPr>
          <w:rFonts w:ascii="Arial" w:hAnsi="Arial" w:cs="Arial"/>
          <w:sz w:val="24"/>
          <w:szCs w:val="24"/>
        </w:rPr>
        <w:t xml:space="preserve"> of agreements for the benefit of </w:t>
      </w:r>
      <w:proofErr w:type="spellStart"/>
      <w:r w:rsidR="00116448" w:rsidRPr="00C47012">
        <w:rPr>
          <w:rFonts w:ascii="Arial" w:hAnsi="Arial" w:cs="Arial"/>
          <w:sz w:val="24"/>
          <w:szCs w:val="24"/>
        </w:rPr>
        <w:t>Mthombeni</w:t>
      </w:r>
      <w:proofErr w:type="spellEnd"/>
      <w:r w:rsidR="0081047A" w:rsidRPr="00C47012">
        <w:rPr>
          <w:rFonts w:ascii="Arial" w:hAnsi="Arial" w:cs="Arial"/>
          <w:sz w:val="24"/>
          <w:szCs w:val="24"/>
        </w:rPr>
        <w:t xml:space="preserve">.  Finally, she concluded that the financial benefits </w:t>
      </w:r>
      <w:r w:rsidR="00227EC2" w:rsidRPr="00C47012">
        <w:rPr>
          <w:rFonts w:ascii="Arial" w:hAnsi="Arial" w:cs="Arial"/>
          <w:sz w:val="24"/>
          <w:szCs w:val="24"/>
        </w:rPr>
        <w:t>that</w:t>
      </w:r>
      <w:r w:rsidR="0081047A" w:rsidRPr="00C47012">
        <w:rPr>
          <w:rFonts w:ascii="Arial" w:hAnsi="Arial" w:cs="Arial"/>
          <w:sz w:val="24"/>
          <w:szCs w:val="24"/>
        </w:rPr>
        <w:t xml:space="preserve"> accrued to </w:t>
      </w:r>
      <w:proofErr w:type="spellStart"/>
      <w:r w:rsidR="0081047A" w:rsidRPr="00C47012">
        <w:rPr>
          <w:rFonts w:ascii="Arial" w:hAnsi="Arial" w:cs="Arial"/>
          <w:sz w:val="24"/>
          <w:szCs w:val="24"/>
        </w:rPr>
        <w:t>M</w:t>
      </w:r>
      <w:r w:rsidR="00391BE8" w:rsidRPr="00C47012">
        <w:rPr>
          <w:rFonts w:ascii="Arial" w:hAnsi="Arial" w:cs="Arial"/>
          <w:sz w:val="24"/>
          <w:szCs w:val="24"/>
        </w:rPr>
        <w:t>r</w:t>
      </w:r>
      <w:proofErr w:type="spellEnd"/>
      <w:r w:rsidR="00391BE8" w:rsidRPr="00C47012">
        <w:rPr>
          <w:rFonts w:ascii="Arial" w:hAnsi="Arial" w:cs="Arial"/>
          <w:sz w:val="24"/>
          <w:szCs w:val="24"/>
        </w:rPr>
        <w:t xml:space="preserve"> </w:t>
      </w:r>
      <w:proofErr w:type="spellStart"/>
      <w:r w:rsidR="0081047A" w:rsidRPr="00C47012">
        <w:rPr>
          <w:rFonts w:ascii="Arial" w:hAnsi="Arial" w:cs="Arial"/>
          <w:sz w:val="24"/>
          <w:szCs w:val="24"/>
        </w:rPr>
        <w:t>Madikizela</w:t>
      </w:r>
      <w:proofErr w:type="spellEnd"/>
      <w:r w:rsidR="0081047A" w:rsidRPr="00C47012">
        <w:rPr>
          <w:rFonts w:ascii="Arial" w:hAnsi="Arial" w:cs="Arial"/>
          <w:sz w:val="24"/>
          <w:szCs w:val="24"/>
        </w:rPr>
        <w:t xml:space="preserve"> and </w:t>
      </w:r>
      <w:proofErr w:type="spellStart"/>
      <w:r w:rsidR="0081047A" w:rsidRPr="00C47012">
        <w:rPr>
          <w:rFonts w:ascii="Arial" w:hAnsi="Arial" w:cs="Arial"/>
          <w:sz w:val="24"/>
          <w:szCs w:val="24"/>
        </w:rPr>
        <w:t>Mr</w:t>
      </w:r>
      <w:proofErr w:type="spellEnd"/>
      <w:r w:rsidR="0081047A"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81047A" w:rsidRPr="00C47012">
        <w:rPr>
          <w:rFonts w:ascii="Arial" w:hAnsi="Arial" w:cs="Arial"/>
          <w:sz w:val="24"/>
          <w:szCs w:val="24"/>
        </w:rPr>
        <w:t xml:space="preserve"> </w:t>
      </w:r>
      <w:r w:rsidR="004F2112" w:rsidRPr="00C47012">
        <w:rPr>
          <w:rFonts w:ascii="Arial" w:hAnsi="Arial" w:cs="Arial"/>
          <w:sz w:val="24"/>
          <w:szCs w:val="24"/>
        </w:rPr>
        <w:t xml:space="preserve">raised </w:t>
      </w:r>
      <w:r w:rsidR="0081047A" w:rsidRPr="00C47012">
        <w:rPr>
          <w:rFonts w:ascii="Arial" w:hAnsi="Arial" w:cs="Arial"/>
          <w:sz w:val="24"/>
          <w:szCs w:val="24"/>
        </w:rPr>
        <w:t xml:space="preserve">the suspicion that they were engaged in criminal conduct, which </w:t>
      </w:r>
      <w:r w:rsidR="003E5384" w:rsidRPr="00C47012">
        <w:rPr>
          <w:rFonts w:ascii="Arial" w:hAnsi="Arial" w:cs="Arial"/>
          <w:sz w:val="24"/>
          <w:szCs w:val="24"/>
        </w:rPr>
        <w:t>should</w:t>
      </w:r>
      <w:r w:rsidR="0081047A" w:rsidRPr="00C47012">
        <w:rPr>
          <w:rFonts w:ascii="Arial" w:hAnsi="Arial" w:cs="Arial"/>
          <w:sz w:val="24"/>
          <w:szCs w:val="24"/>
        </w:rPr>
        <w:t xml:space="preserve"> be investigated by the Directorate of Priority Crime Investigation (DPCI).  </w:t>
      </w:r>
    </w:p>
    <w:p w14:paraId="098FA4CB" w14:textId="77777777" w:rsidR="00AA7822" w:rsidRDefault="00AA7822" w:rsidP="008231CE">
      <w:pPr>
        <w:spacing w:after="0" w:line="480" w:lineRule="auto"/>
        <w:contextualSpacing/>
        <w:jc w:val="both"/>
        <w:rPr>
          <w:rFonts w:ascii="Arial" w:hAnsi="Arial" w:cs="Arial"/>
          <w:sz w:val="24"/>
          <w:szCs w:val="24"/>
        </w:rPr>
      </w:pPr>
    </w:p>
    <w:p w14:paraId="66B1B159" w14:textId="07AF72C9" w:rsidR="008010C0" w:rsidRPr="00C47012" w:rsidRDefault="00C47012" w:rsidP="00C47012">
      <w:pPr>
        <w:spacing w:after="0" w:line="480" w:lineRule="auto"/>
        <w:jc w:val="both"/>
        <w:rPr>
          <w:rFonts w:ascii="Arial" w:hAnsi="Arial" w:cs="Arial"/>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3E5384" w:rsidRPr="00C47012">
        <w:rPr>
          <w:rFonts w:ascii="Arial" w:hAnsi="Arial" w:cs="Arial"/>
          <w:sz w:val="24"/>
          <w:szCs w:val="24"/>
        </w:rPr>
        <w:t>T</w:t>
      </w:r>
      <w:r w:rsidR="00AA7822" w:rsidRPr="00C47012">
        <w:rPr>
          <w:rFonts w:ascii="Arial" w:hAnsi="Arial" w:cs="Arial"/>
          <w:sz w:val="24"/>
          <w:szCs w:val="24"/>
        </w:rPr>
        <w:t xml:space="preserve">hese events arose </w:t>
      </w:r>
      <w:r w:rsidR="00227EC2" w:rsidRPr="00C47012">
        <w:rPr>
          <w:rFonts w:ascii="Arial" w:hAnsi="Arial" w:cs="Arial"/>
          <w:sz w:val="24"/>
          <w:szCs w:val="24"/>
        </w:rPr>
        <w:t>after</w:t>
      </w:r>
      <w:r w:rsidR="00AA7822" w:rsidRPr="00C47012">
        <w:rPr>
          <w:rFonts w:ascii="Arial" w:hAnsi="Arial" w:cs="Arial"/>
          <w:sz w:val="24"/>
          <w:szCs w:val="24"/>
        </w:rPr>
        <w:t xml:space="preserve"> the passing of </w:t>
      </w:r>
      <w:proofErr w:type="spellStart"/>
      <w:r w:rsidR="00AA7822" w:rsidRPr="00C47012">
        <w:rPr>
          <w:rFonts w:ascii="Arial" w:hAnsi="Arial" w:cs="Arial"/>
          <w:sz w:val="24"/>
          <w:szCs w:val="24"/>
        </w:rPr>
        <w:t>Ms</w:t>
      </w:r>
      <w:proofErr w:type="spellEnd"/>
      <w:r w:rsidR="00AA7822" w:rsidRPr="00C47012">
        <w:rPr>
          <w:rFonts w:ascii="Arial" w:hAnsi="Arial" w:cs="Arial"/>
          <w:sz w:val="24"/>
          <w:szCs w:val="24"/>
        </w:rPr>
        <w:t xml:space="preserve"> Winnie </w:t>
      </w:r>
      <w:proofErr w:type="spellStart"/>
      <w:r w:rsidR="00AA7822" w:rsidRPr="00C47012">
        <w:rPr>
          <w:rFonts w:ascii="Arial" w:hAnsi="Arial" w:cs="Arial"/>
          <w:sz w:val="24"/>
          <w:szCs w:val="24"/>
        </w:rPr>
        <w:t>Madikizela</w:t>
      </w:r>
      <w:proofErr w:type="spellEnd"/>
      <w:r w:rsidR="00AA7822" w:rsidRPr="00C47012">
        <w:rPr>
          <w:rFonts w:ascii="Arial" w:hAnsi="Arial" w:cs="Arial"/>
          <w:sz w:val="24"/>
          <w:szCs w:val="24"/>
        </w:rPr>
        <w:t xml:space="preserve"> Mandela</w:t>
      </w:r>
      <w:r w:rsidR="00BA4791" w:rsidRPr="00C47012">
        <w:rPr>
          <w:rFonts w:ascii="Arial" w:hAnsi="Arial" w:cs="Arial"/>
          <w:sz w:val="24"/>
          <w:szCs w:val="24"/>
        </w:rPr>
        <w:t xml:space="preserve">, an iconic figure in the struggle against </w:t>
      </w:r>
      <w:r w:rsidR="004C0205" w:rsidRPr="00C47012">
        <w:rPr>
          <w:rFonts w:ascii="Arial" w:hAnsi="Arial" w:cs="Arial"/>
          <w:sz w:val="24"/>
          <w:szCs w:val="24"/>
        </w:rPr>
        <w:t>“</w:t>
      </w:r>
      <w:r w:rsidR="00BA4791" w:rsidRPr="00C47012">
        <w:rPr>
          <w:rFonts w:ascii="Arial" w:hAnsi="Arial" w:cs="Arial"/>
          <w:sz w:val="24"/>
          <w:szCs w:val="24"/>
        </w:rPr>
        <w:t>apartheid</w:t>
      </w:r>
      <w:r w:rsidR="004C0205" w:rsidRPr="00C47012">
        <w:rPr>
          <w:rFonts w:ascii="Arial" w:hAnsi="Arial" w:cs="Arial"/>
          <w:sz w:val="24"/>
          <w:szCs w:val="24"/>
        </w:rPr>
        <w:t>”</w:t>
      </w:r>
      <w:r w:rsidR="00BA4791" w:rsidRPr="00C47012">
        <w:rPr>
          <w:rFonts w:ascii="Arial" w:hAnsi="Arial" w:cs="Arial"/>
          <w:sz w:val="24"/>
          <w:szCs w:val="24"/>
        </w:rPr>
        <w:t>,</w:t>
      </w:r>
      <w:r w:rsidR="00AA7822" w:rsidRPr="00C47012">
        <w:rPr>
          <w:rFonts w:ascii="Arial" w:hAnsi="Arial" w:cs="Arial"/>
          <w:sz w:val="24"/>
          <w:szCs w:val="24"/>
        </w:rPr>
        <w:t xml:space="preserve"> on 2 April 2018.  She was to be laid to rest in </w:t>
      </w:r>
      <w:proofErr w:type="spellStart"/>
      <w:r w:rsidR="00AA7822" w:rsidRPr="00C47012">
        <w:rPr>
          <w:rFonts w:ascii="Arial" w:hAnsi="Arial" w:cs="Arial"/>
          <w:sz w:val="24"/>
          <w:szCs w:val="24"/>
        </w:rPr>
        <w:t>Mbizana</w:t>
      </w:r>
      <w:proofErr w:type="spellEnd"/>
      <w:r w:rsidR="00AA7822" w:rsidRPr="00C47012">
        <w:rPr>
          <w:rFonts w:ascii="Arial" w:hAnsi="Arial" w:cs="Arial"/>
          <w:sz w:val="24"/>
          <w:szCs w:val="24"/>
        </w:rPr>
        <w:t xml:space="preserve"> and </w:t>
      </w:r>
      <w:r w:rsidR="00227EC2" w:rsidRPr="00C47012">
        <w:rPr>
          <w:rFonts w:ascii="Arial" w:hAnsi="Arial" w:cs="Arial"/>
          <w:sz w:val="24"/>
          <w:szCs w:val="24"/>
        </w:rPr>
        <w:t>structures of the</w:t>
      </w:r>
      <w:r w:rsidR="00AA7822" w:rsidRPr="00C47012">
        <w:rPr>
          <w:rFonts w:ascii="Arial" w:hAnsi="Arial" w:cs="Arial"/>
          <w:sz w:val="24"/>
          <w:szCs w:val="24"/>
        </w:rPr>
        <w:t xml:space="preserve"> ANC in the Eastern Cape </w:t>
      </w:r>
      <w:r w:rsidR="00391BE8" w:rsidRPr="00C47012">
        <w:rPr>
          <w:rFonts w:ascii="Arial" w:hAnsi="Arial" w:cs="Arial"/>
          <w:sz w:val="24"/>
          <w:szCs w:val="24"/>
        </w:rPr>
        <w:t xml:space="preserve">had </w:t>
      </w:r>
      <w:proofErr w:type="gramStart"/>
      <w:r w:rsidR="00391BE8" w:rsidRPr="00C47012">
        <w:rPr>
          <w:rFonts w:ascii="Arial" w:hAnsi="Arial" w:cs="Arial"/>
          <w:sz w:val="24"/>
          <w:szCs w:val="24"/>
        </w:rPr>
        <w:t>entered into</w:t>
      </w:r>
      <w:proofErr w:type="gramEnd"/>
      <w:r w:rsidR="00391BE8" w:rsidRPr="00C47012">
        <w:rPr>
          <w:rFonts w:ascii="Arial" w:hAnsi="Arial" w:cs="Arial"/>
          <w:sz w:val="24"/>
          <w:szCs w:val="24"/>
        </w:rPr>
        <w:t xml:space="preserve"> </w:t>
      </w:r>
      <w:r w:rsidR="00AA7822" w:rsidRPr="00C47012">
        <w:rPr>
          <w:rFonts w:ascii="Arial" w:hAnsi="Arial" w:cs="Arial"/>
          <w:sz w:val="24"/>
          <w:szCs w:val="24"/>
        </w:rPr>
        <w:t xml:space="preserve">negotiations for the transportation of mourners to the funeral service with the </w:t>
      </w:r>
      <w:proofErr w:type="spellStart"/>
      <w:r w:rsidR="00AA7822" w:rsidRPr="00C47012">
        <w:rPr>
          <w:rFonts w:ascii="Arial" w:hAnsi="Arial" w:cs="Arial"/>
          <w:sz w:val="24"/>
          <w:szCs w:val="24"/>
        </w:rPr>
        <w:t>Mbizana</w:t>
      </w:r>
      <w:proofErr w:type="spellEnd"/>
      <w:r w:rsidR="00AA7822" w:rsidRPr="00C47012">
        <w:rPr>
          <w:rFonts w:ascii="Arial" w:hAnsi="Arial" w:cs="Arial"/>
          <w:sz w:val="24"/>
          <w:szCs w:val="24"/>
        </w:rPr>
        <w:t xml:space="preserve"> Taxi Association.  After the commencement of these negotiations</w:t>
      </w:r>
      <w:r w:rsidR="004F2112" w:rsidRPr="00C47012">
        <w:rPr>
          <w:rFonts w:ascii="Arial" w:hAnsi="Arial" w:cs="Arial"/>
          <w:sz w:val="24"/>
          <w:szCs w:val="24"/>
        </w:rPr>
        <w:t>,</w:t>
      </w:r>
      <w:r w:rsidR="00AA7822" w:rsidRPr="00C47012">
        <w:rPr>
          <w:rFonts w:ascii="Arial" w:hAnsi="Arial" w:cs="Arial"/>
          <w:sz w:val="24"/>
          <w:szCs w:val="24"/>
        </w:rPr>
        <w:t xml:space="preserve"> the </w:t>
      </w:r>
      <w:r w:rsidR="00391BE8" w:rsidRPr="00C47012">
        <w:rPr>
          <w:rFonts w:ascii="Arial" w:hAnsi="Arial" w:cs="Arial"/>
          <w:sz w:val="24"/>
          <w:szCs w:val="24"/>
        </w:rPr>
        <w:t xml:space="preserve">State </w:t>
      </w:r>
      <w:r w:rsidR="00AA7822" w:rsidRPr="00C47012">
        <w:rPr>
          <w:rFonts w:ascii="Arial" w:hAnsi="Arial" w:cs="Arial"/>
          <w:sz w:val="24"/>
          <w:szCs w:val="24"/>
        </w:rPr>
        <w:t>President declared the funeral to be an official state funeral</w:t>
      </w:r>
      <w:r w:rsidR="008010C0" w:rsidRPr="00C47012">
        <w:rPr>
          <w:rFonts w:ascii="Arial" w:hAnsi="Arial" w:cs="Arial"/>
          <w:sz w:val="24"/>
          <w:szCs w:val="24"/>
        </w:rPr>
        <w:t>,</w:t>
      </w:r>
      <w:r w:rsidR="00AA7822" w:rsidRPr="00C47012">
        <w:rPr>
          <w:rFonts w:ascii="Arial" w:hAnsi="Arial" w:cs="Arial"/>
          <w:sz w:val="24"/>
          <w:szCs w:val="24"/>
        </w:rPr>
        <w:t xml:space="preserve"> with the consequence that the duty to transport mourners no longer fell on the ANC, but on the Eastern Cape</w:t>
      </w:r>
      <w:r w:rsidR="00BA4791" w:rsidRPr="00C47012">
        <w:rPr>
          <w:rFonts w:ascii="Arial" w:hAnsi="Arial" w:cs="Arial"/>
          <w:sz w:val="24"/>
          <w:szCs w:val="24"/>
        </w:rPr>
        <w:t xml:space="preserve"> Government</w:t>
      </w:r>
      <w:r w:rsidR="00AA7822" w:rsidRPr="00C47012">
        <w:rPr>
          <w:rFonts w:ascii="Arial" w:hAnsi="Arial" w:cs="Arial"/>
          <w:sz w:val="24"/>
          <w:szCs w:val="24"/>
        </w:rPr>
        <w:t>.  The</w:t>
      </w:r>
      <w:r w:rsidR="00BA4791" w:rsidRPr="00C47012">
        <w:rPr>
          <w:rFonts w:ascii="Arial" w:hAnsi="Arial" w:cs="Arial"/>
          <w:sz w:val="24"/>
          <w:szCs w:val="24"/>
        </w:rPr>
        <w:t>y</w:t>
      </w:r>
      <w:r w:rsidR="00AA7822" w:rsidRPr="00C47012">
        <w:rPr>
          <w:rFonts w:ascii="Arial" w:hAnsi="Arial" w:cs="Arial"/>
          <w:sz w:val="24"/>
          <w:szCs w:val="24"/>
        </w:rPr>
        <w:t xml:space="preserve"> had a standing contract, the product of a due tender process, with </w:t>
      </w:r>
      <w:proofErr w:type="spellStart"/>
      <w:r w:rsidR="00AA7822" w:rsidRPr="00C47012">
        <w:rPr>
          <w:rFonts w:ascii="Arial" w:hAnsi="Arial" w:cs="Arial"/>
          <w:sz w:val="24"/>
          <w:szCs w:val="24"/>
        </w:rPr>
        <w:t>Ma</w:t>
      </w:r>
      <w:r w:rsidR="00391BE8" w:rsidRPr="00C47012">
        <w:rPr>
          <w:rFonts w:ascii="Arial" w:hAnsi="Arial" w:cs="Arial"/>
          <w:sz w:val="24"/>
          <w:szCs w:val="24"/>
        </w:rPr>
        <w:t>i</w:t>
      </w:r>
      <w:r w:rsidR="00AA7822" w:rsidRPr="00C47012">
        <w:rPr>
          <w:rFonts w:ascii="Arial" w:hAnsi="Arial" w:cs="Arial"/>
          <w:sz w:val="24"/>
          <w:szCs w:val="24"/>
        </w:rPr>
        <w:t>kenjo</w:t>
      </w:r>
      <w:proofErr w:type="spellEnd"/>
      <w:r w:rsidR="00AA7822" w:rsidRPr="00C47012">
        <w:rPr>
          <w:rFonts w:ascii="Arial" w:hAnsi="Arial" w:cs="Arial"/>
          <w:sz w:val="24"/>
          <w:szCs w:val="24"/>
        </w:rPr>
        <w:t xml:space="preserve"> Trading CC </w:t>
      </w:r>
      <w:r w:rsidR="003E5384" w:rsidRPr="00C47012">
        <w:rPr>
          <w:rFonts w:ascii="Arial" w:hAnsi="Arial" w:cs="Arial"/>
          <w:sz w:val="24"/>
          <w:szCs w:val="24"/>
        </w:rPr>
        <w:t>(</w:t>
      </w:r>
      <w:proofErr w:type="spellStart"/>
      <w:r w:rsidR="003E5384" w:rsidRPr="00C47012">
        <w:rPr>
          <w:rFonts w:ascii="Arial" w:hAnsi="Arial" w:cs="Arial"/>
          <w:sz w:val="24"/>
          <w:szCs w:val="24"/>
        </w:rPr>
        <w:t>Maikenjo</w:t>
      </w:r>
      <w:proofErr w:type="spellEnd"/>
      <w:r w:rsidR="003E5384" w:rsidRPr="00C47012">
        <w:rPr>
          <w:rFonts w:ascii="Arial" w:hAnsi="Arial" w:cs="Arial"/>
          <w:sz w:val="24"/>
          <w:szCs w:val="24"/>
        </w:rPr>
        <w:t xml:space="preserve">) </w:t>
      </w:r>
      <w:r w:rsidR="00941CD4" w:rsidRPr="00C47012">
        <w:rPr>
          <w:rFonts w:ascii="Arial" w:hAnsi="Arial" w:cs="Arial"/>
          <w:sz w:val="24"/>
          <w:szCs w:val="24"/>
        </w:rPr>
        <w:t>for</w:t>
      </w:r>
      <w:r w:rsidR="00AA7822" w:rsidRPr="00C47012">
        <w:rPr>
          <w:rFonts w:ascii="Arial" w:hAnsi="Arial" w:cs="Arial"/>
          <w:sz w:val="24"/>
          <w:szCs w:val="24"/>
        </w:rPr>
        <w:t xml:space="preserve"> the provision of transportation services in the Eastern Cape.  However, the taxi </w:t>
      </w:r>
      <w:r w:rsidR="008801FB" w:rsidRPr="00C47012">
        <w:rPr>
          <w:rFonts w:ascii="Arial" w:hAnsi="Arial" w:cs="Arial"/>
          <w:sz w:val="24"/>
          <w:szCs w:val="24"/>
        </w:rPr>
        <w:t>association</w:t>
      </w:r>
      <w:r w:rsidR="00AA7822" w:rsidRPr="00C47012">
        <w:rPr>
          <w:rFonts w:ascii="Arial" w:hAnsi="Arial" w:cs="Arial"/>
          <w:sz w:val="24"/>
          <w:szCs w:val="24"/>
        </w:rPr>
        <w:t xml:space="preserve"> in </w:t>
      </w:r>
      <w:proofErr w:type="spellStart"/>
      <w:r w:rsidR="00AA7822" w:rsidRPr="00C47012">
        <w:rPr>
          <w:rFonts w:ascii="Arial" w:hAnsi="Arial" w:cs="Arial"/>
          <w:sz w:val="24"/>
          <w:szCs w:val="24"/>
        </w:rPr>
        <w:t>Mbizana</w:t>
      </w:r>
      <w:proofErr w:type="spellEnd"/>
      <w:r w:rsidR="00AA7822" w:rsidRPr="00C47012">
        <w:rPr>
          <w:rFonts w:ascii="Arial" w:hAnsi="Arial" w:cs="Arial"/>
          <w:sz w:val="24"/>
          <w:szCs w:val="24"/>
        </w:rPr>
        <w:t xml:space="preserve"> </w:t>
      </w:r>
      <w:r w:rsidR="008801FB" w:rsidRPr="00C47012">
        <w:rPr>
          <w:rFonts w:ascii="Arial" w:hAnsi="Arial" w:cs="Arial"/>
          <w:sz w:val="24"/>
          <w:szCs w:val="24"/>
        </w:rPr>
        <w:t>threatened</w:t>
      </w:r>
      <w:r w:rsidR="00AA7822" w:rsidRPr="00C47012">
        <w:rPr>
          <w:rFonts w:ascii="Arial" w:hAnsi="Arial" w:cs="Arial"/>
          <w:sz w:val="24"/>
          <w:szCs w:val="24"/>
        </w:rPr>
        <w:t xml:space="preserve"> violence </w:t>
      </w:r>
      <w:r w:rsidR="00227EC2" w:rsidRPr="00C47012">
        <w:rPr>
          <w:rFonts w:ascii="Arial" w:hAnsi="Arial" w:cs="Arial"/>
          <w:sz w:val="24"/>
          <w:szCs w:val="24"/>
        </w:rPr>
        <w:t>if</w:t>
      </w:r>
      <w:r w:rsidR="00AA7822" w:rsidRPr="00C47012">
        <w:rPr>
          <w:rFonts w:ascii="Arial" w:hAnsi="Arial" w:cs="Arial"/>
          <w:sz w:val="24"/>
          <w:szCs w:val="24"/>
        </w:rPr>
        <w:t xml:space="preserve"> transportation services </w:t>
      </w:r>
      <w:r w:rsidR="00227EC2" w:rsidRPr="00C47012">
        <w:rPr>
          <w:rFonts w:ascii="Arial" w:hAnsi="Arial" w:cs="Arial"/>
          <w:sz w:val="24"/>
          <w:szCs w:val="24"/>
        </w:rPr>
        <w:t>were</w:t>
      </w:r>
      <w:r w:rsidR="00AA7822" w:rsidRPr="00C47012">
        <w:rPr>
          <w:rFonts w:ascii="Arial" w:hAnsi="Arial" w:cs="Arial"/>
          <w:sz w:val="24"/>
          <w:szCs w:val="24"/>
        </w:rPr>
        <w:t xml:space="preserve"> </w:t>
      </w:r>
      <w:r w:rsidR="003E5384" w:rsidRPr="00C47012">
        <w:rPr>
          <w:rFonts w:ascii="Arial" w:hAnsi="Arial" w:cs="Arial"/>
          <w:sz w:val="24"/>
          <w:szCs w:val="24"/>
        </w:rPr>
        <w:t>allocated to</w:t>
      </w:r>
      <w:r w:rsidR="00AA7822" w:rsidRPr="00C47012">
        <w:rPr>
          <w:rFonts w:ascii="Arial" w:hAnsi="Arial" w:cs="Arial"/>
          <w:sz w:val="24"/>
          <w:szCs w:val="24"/>
        </w:rPr>
        <w:t xml:space="preserve"> </w:t>
      </w:r>
      <w:proofErr w:type="spellStart"/>
      <w:r w:rsidR="00941CD4" w:rsidRPr="00C47012">
        <w:rPr>
          <w:rFonts w:ascii="Arial" w:hAnsi="Arial" w:cs="Arial"/>
          <w:sz w:val="24"/>
          <w:szCs w:val="24"/>
        </w:rPr>
        <w:t>Maikenjo</w:t>
      </w:r>
      <w:proofErr w:type="spellEnd"/>
      <w:r w:rsidR="00AA7822" w:rsidRPr="00C47012">
        <w:rPr>
          <w:rFonts w:ascii="Arial" w:hAnsi="Arial" w:cs="Arial"/>
          <w:sz w:val="24"/>
          <w:szCs w:val="24"/>
        </w:rPr>
        <w:t xml:space="preserve">, </w:t>
      </w:r>
      <w:r w:rsidR="00227EC2" w:rsidRPr="00C47012">
        <w:rPr>
          <w:rFonts w:ascii="Arial" w:hAnsi="Arial" w:cs="Arial"/>
          <w:sz w:val="24"/>
          <w:szCs w:val="24"/>
        </w:rPr>
        <w:t>who</w:t>
      </w:r>
      <w:r w:rsidR="00AA7822" w:rsidRPr="00C47012">
        <w:rPr>
          <w:rFonts w:ascii="Arial" w:hAnsi="Arial" w:cs="Arial"/>
          <w:sz w:val="24"/>
          <w:szCs w:val="24"/>
        </w:rPr>
        <w:t xml:space="preserve"> </w:t>
      </w:r>
      <w:r w:rsidR="008010C0" w:rsidRPr="00C47012">
        <w:rPr>
          <w:rFonts w:ascii="Arial" w:hAnsi="Arial" w:cs="Arial"/>
          <w:sz w:val="24"/>
          <w:szCs w:val="24"/>
        </w:rPr>
        <w:t xml:space="preserve">had been </w:t>
      </w:r>
      <w:r w:rsidR="00AA7822" w:rsidRPr="00C47012">
        <w:rPr>
          <w:rFonts w:ascii="Arial" w:hAnsi="Arial" w:cs="Arial"/>
          <w:sz w:val="24"/>
          <w:szCs w:val="24"/>
        </w:rPr>
        <w:t>regarded as an outsider.  Accordingly, the Eastern Cape Government entered into a written Memorandum of Agreement (</w:t>
      </w:r>
      <w:proofErr w:type="spellStart"/>
      <w:r w:rsidR="00AA7822" w:rsidRPr="00C47012">
        <w:rPr>
          <w:rFonts w:ascii="Arial" w:hAnsi="Arial" w:cs="Arial"/>
          <w:sz w:val="24"/>
          <w:szCs w:val="24"/>
        </w:rPr>
        <w:t>MoA</w:t>
      </w:r>
      <w:proofErr w:type="spellEnd"/>
      <w:r w:rsidR="00AA7822" w:rsidRPr="00C47012">
        <w:rPr>
          <w:rFonts w:ascii="Arial" w:hAnsi="Arial" w:cs="Arial"/>
          <w:sz w:val="24"/>
          <w:szCs w:val="24"/>
        </w:rPr>
        <w:t xml:space="preserve">) with the MLM with the view to collaborate and co-ordinate efforts geared at a successful hosting of the memorial service of </w:t>
      </w:r>
      <w:proofErr w:type="spellStart"/>
      <w:r w:rsidR="00AA7822" w:rsidRPr="00C47012">
        <w:rPr>
          <w:rFonts w:ascii="Arial" w:hAnsi="Arial" w:cs="Arial"/>
          <w:sz w:val="24"/>
          <w:szCs w:val="24"/>
        </w:rPr>
        <w:t>Ms</w:t>
      </w:r>
      <w:proofErr w:type="spellEnd"/>
      <w:r w:rsidR="00AA7822" w:rsidRPr="00C47012">
        <w:rPr>
          <w:rFonts w:ascii="Arial" w:hAnsi="Arial" w:cs="Arial"/>
          <w:sz w:val="24"/>
          <w:szCs w:val="24"/>
        </w:rPr>
        <w:t xml:space="preserve"> </w:t>
      </w:r>
      <w:proofErr w:type="spellStart"/>
      <w:r w:rsidR="00AA7822" w:rsidRPr="00C47012">
        <w:rPr>
          <w:rFonts w:ascii="Arial" w:hAnsi="Arial" w:cs="Arial"/>
          <w:sz w:val="24"/>
          <w:szCs w:val="24"/>
        </w:rPr>
        <w:t>Madikizela</w:t>
      </w:r>
      <w:proofErr w:type="spellEnd"/>
      <w:r w:rsidR="00AA7822" w:rsidRPr="00C47012">
        <w:rPr>
          <w:rFonts w:ascii="Arial" w:hAnsi="Arial" w:cs="Arial"/>
          <w:sz w:val="24"/>
          <w:szCs w:val="24"/>
        </w:rPr>
        <w:t xml:space="preserve"> Mandela.</w:t>
      </w:r>
      <w:r w:rsidR="00AA7822">
        <w:rPr>
          <w:rStyle w:val="FootnoteReference"/>
          <w:rFonts w:ascii="Arial" w:hAnsi="Arial" w:cs="Arial"/>
          <w:sz w:val="24"/>
          <w:szCs w:val="24"/>
        </w:rPr>
        <w:footnoteReference w:id="1"/>
      </w:r>
      <w:r w:rsidR="00AA7822" w:rsidRPr="00C47012">
        <w:rPr>
          <w:rFonts w:ascii="Arial" w:hAnsi="Arial" w:cs="Arial"/>
          <w:sz w:val="24"/>
          <w:szCs w:val="24"/>
        </w:rPr>
        <w:t xml:space="preserve">  In terms of the </w:t>
      </w:r>
      <w:proofErr w:type="spellStart"/>
      <w:r w:rsidR="00AA7822" w:rsidRPr="00C47012">
        <w:rPr>
          <w:rFonts w:ascii="Arial" w:hAnsi="Arial" w:cs="Arial"/>
          <w:sz w:val="24"/>
          <w:szCs w:val="24"/>
        </w:rPr>
        <w:t>MoA</w:t>
      </w:r>
      <w:proofErr w:type="spellEnd"/>
      <w:r w:rsidR="00B52163" w:rsidRPr="00C47012">
        <w:rPr>
          <w:rFonts w:ascii="Arial" w:hAnsi="Arial" w:cs="Arial"/>
          <w:sz w:val="24"/>
          <w:szCs w:val="24"/>
        </w:rPr>
        <w:t>,</w:t>
      </w:r>
      <w:r w:rsidR="00AA7822" w:rsidRPr="00C47012">
        <w:rPr>
          <w:rFonts w:ascii="Arial" w:hAnsi="Arial" w:cs="Arial"/>
          <w:sz w:val="24"/>
          <w:szCs w:val="24"/>
        </w:rPr>
        <w:t xml:space="preserve"> the Eastern Cape </w:t>
      </w:r>
      <w:r w:rsidR="008801FB" w:rsidRPr="00C47012">
        <w:rPr>
          <w:rFonts w:ascii="Arial" w:hAnsi="Arial" w:cs="Arial"/>
          <w:sz w:val="24"/>
          <w:szCs w:val="24"/>
        </w:rPr>
        <w:t xml:space="preserve">Government undertook to provide the municipality with funding in </w:t>
      </w:r>
      <w:r w:rsidR="004F2112" w:rsidRPr="00C47012">
        <w:rPr>
          <w:rFonts w:ascii="Arial" w:hAnsi="Arial" w:cs="Arial"/>
          <w:sz w:val="24"/>
          <w:szCs w:val="24"/>
        </w:rPr>
        <w:t xml:space="preserve">the </w:t>
      </w:r>
      <w:r w:rsidR="008801FB" w:rsidRPr="00C47012">
        <w:rPr>
          <w:rFonts w:ascii="Arial" w:hAnsi="Arial" w:cs="Arial"/>
          <w:sz w:val="24"/>
          <w:szCs w:val="24"/>
        </w:rPr>
        <w:t xml:space="preserve">amount of </w:t>
      </w:r>
      <w:r w:rsidR="007576E5" w:rsidRPr="00C47012">
        <w:rPr>
          <w:rFonts w:ascii="Arial" w:hAnsi="Arial" w:cs="Arial"/>
          <w:sz w:val="24"/>
          <w:szCs w:val="24"/>
        </w:rPr>
        <w:t>R1.1</w:t>
      </w:r>
      <w:r w:rsidR="008801FB" w:rsidRPr="00C47012">
        <w:rPr>
          <w:rFonts w:ascii="Arial" w:hAnsi="Arial" w:cs="Arial"/>
          <w:sz w:val="24"/>
          <w:szCs w:val="24"/>
        </w:rPr>
        <w:t xml:space="preserve"> million for the transportation of the public to the memorial</w:t>
      </w:r>
      <w:r w:rsidR="00171701" w:rsidRPr="00C47012">
        <w:rPr>
          <w:rFonts w:ascii="Arial" w:hAnsi="Arial" w:cs="Arial"/>
          <w:sz w:val="24"/>
          <w:szCs w:val="24"/>
        </w:rPr>
        <w:t xml:space="preserve"> service.  The </w:t>
      </w:r>
      <w:proofErr w:type="spellStart"/>
      <w:r w:rsidR="00171701" w:rsidRPr="00C47012">
        <w:rPr>
          <w:rFonts w:ascii="Arial" w:hAnsi="Arial" w:cs="Arial"/>
          <w:sz w:val="24"/>
          <w:szCs w:val="24"/>
        </w:rPr>
        <w:t>MoA</w:t>
      </w:r>
      <w:proofErr w:type="spellEnd"/>
      <w:r w:rsidR="00171701" w:rsidRPr="00C47012">
        <w:rPr>
          <w:rFonts w:ascii="Arial" w:hAnsi="Arial" w:cs="Arial"/>
          <w:sz w:val="24"/>
          <w:szCs w:val="24"/>
        </w:rPr>
        <w:t xml:space="preserve"> further recorded that the MLM </w:t>
      </w:r>
      <w:r w:rsidR="008010C0" w:rsidRPr="00C47012">
        <w:rPr>
          <w:rFonts w:ascii="Arial" w:hAnsi="Arial" w:cs="Arial"/>
          <w:sz w:val="24"/>
          <w:szCs w:val="24"/>
        </w:rPr>
        <w:t>was</w:t>
      </w:r>
      <w:r w:rsidR="00171701" w:rsidRPr="00C47012">
        <w:rPr>
          <w:rFonts w:ascii="Arial" w:hAnsi="Arial" w:cs="Arial"/>
          <w:sz w:val="24"/>
          <w:szCs w:val="24"/>
        </w:rPr>
        <w:t xml:space="preserve"> responsible for the procurement of transport service providers </w:t>
      </w:r>
      <w:r w:rsidR="008010C0" w:rsidRPr="00C47012">
        <w:rPr>
          <w:rFonts w:ascii="Arial" w:hAnsi="Arial" w:cs="Arial"/>
          <w:sz w:val="24"/>
          <w:szCs w:val="24"/>
        </w:rPr>
        <w:t xml:space="preserve">and </w:t>
      </w:r>
      <w:r w:rsidR="00171701" w:rsidRPr="00C47012">
        <w:rPr>
          <w:rFonts w:ascii="Arial" w:hAnsi="Arial" w:cs="Arial"/>
          <w:sz w:val="24"/>
          <w:szCs w:val="24"/>
        </w:rPr>
        <w:t>to effect payment of the appointed service provider</w:t>
      </w:r>
      <w:r w:rsidR="008010C0" w:rsidRPr="00C47012">
        <w:rPr>
          <w:rFonts w:ascii="Arial" w:hAnsi="Arial" w:cs="Arial"/>
          <w:sz w:val="24"/>
          <w:szCs w:val="24"/>
        </w:rPr>
        <w:t>s</w:t>
      </w:r>
      <w:r w:rsidR="00171701" w:rsidRPr="00C47012">
        <w:rPr>
          <w:rFonts w:ascii="Arial" w:hAnsi="Arial" w:cs="Arial"/>
          <w:sz w:val="24"/>
          <w:szCs w:val="24"/>
        </w:rPr>
        <w:t xml:space="preserve"> for </w:t>
      </w:r>
      <w:r w:rsidR="008010C0" w:rsidRPr="00C47012">
        <w:rPr>
          <w:rFonts w:ascii="Arial" w:hAnsi="Arial" w:cs="Arial"/>
          <w:sz w:val="24"/>
          <w:szCs w:val="24"/>
        </w:rPr>
        <w:t xml:space="preserve">their </w:t>
      </w:r>
      <w:r w:rsidR="00171701" w:rsidRPr="00C47012">
        <w:rPr>
          <w:rFonts w:ascii="Arial" w:hAnsi="Arial" w:cs="Arial"/>
          <w:sz w:val="24"/>
          <w:szCs w:val="24"/>
        </w:rPr>
        <w:t>services on the day of the memorial service</w:t>
      </w:r>
      <w:r w:rsidR="008010C0" w:rsidRPr="00C47012">
        <w:rPr>
          <w:rFonts w:ascii="Arial" w:hAnsi="Arial" w:cs="Arial"/>
          <w:sz w:val="24"/>
          <w:szCs w:val="24"/>
        </w:rPr>
        <w:t xml:space="preserve">.  </w:t>
      </w:r>
      <w:r w:rsidR="004F2112" w:rsidRPr="00C47012">
        <w:rPr>
          <w:rFonts w:ascii="Arial" w:hAnsi="Arial" w:cs="Arial"/>
          <w:sz w:val="24"/>
          <w:szCs w:val="24"/>
        </w:rPr>
        <w:t xml:space="preserve">The payment </w:t>
      </w:r>
      <w:r w:rsidR="008010C0" w:rsidRPr="00C47012">
        <w:rPr>
          <w:rFonts w:ascii="Arial" w:hAnsi="Arial" w:cs="Arial"/>
          <w:sz w:val="24"/>
          <w:szCs w:val="24"/>
        </w:rPr>
        <w:t xml:space="preserve">was to be </w:t>
      </w:r>
      <w:proofErr w:type="gramStart"/>
      <w:r w:rsidR="008010C0" w:rsidRPr="00C47012">
        <w:rPr>
          <w:rFonts w:ascii="Arial" w:hAnsi="Arial" w:cs="Arial"/>
          <w:sz w:val="24"/>
          <w:szCs w:val="24"/>
        </w:rPr>
        <w:t>effected</w:t>
      </w:r>
      <w:proofErr w:type="gramEnd"/>
      <w:r w:rsidR="008010C0" w:rsidRPr="00C47012">
        <w:rPr>
          <w:rFonts w:ascii="Arial" w:hAnsi="Arial" w:cs="Arial"/>
          <w:sz w:val="24"/>
          <w:szCs w:val="24"/>
        </w:rPr>
        <w:t xml:space="preserve"> </w:t>
      </w:r>
      <w:r w:rsidR="00171701" w:rsidRPr="00C47012">
        <w:rPr>
          <w:rFonts w:ascii="Arial" w:hAnsi="Arial" w:cs="Arial"/>
          <w:sz w:val="24"/>
          <w:szCs w:val="24"/>
        </w:rPr>
        <w:t xml:space="preserve">upon documentary proof of </w:t>
      </w:r>
      <w:r w:rsidR="008010C0" w:rsidRPr="00C47012">
        <w:rPr>
          <w:rFonts w:ascii="Arial" w:hAnsi="Arial" w:cs="Arial"/>
          <w:sz w:val="24"/>
          <w:szCs w:val="24"/>
        </w:rPr>
        <w:t xml:space="preserve">the </w:t>
      </w:r>
      <w:r w:rsidR="00B521CD" w:rsidRPr="00C47012">
        <w:rPr>
          <w:rFonts w:ascii="Arial" w:hAnsi="Arial" w:cs="Arial"/>
          <w:sz w:val="24"/>
          <w:szCs w:val="24"/>
        </w:rPr>
        <w:t>service</w:t>
      </w:r>
      <w:r w:rsidR="00171701" w:rsidRPr="00C47012">
        <w:rPr>
          <w:rFonts w:ascii="Arial" w:hAnsi="Arial" w:cs="Arial"/>
          <w:sz w:val="24"/>
          <w:szCs w:val="24"/>
        </w:rPr>
        <w:t xml:space="preserve"> delivery.  </w:t>
      </w:r>
    </w:p>
    <w:p w14:paraId="49ED869D" w14:textId="77777777" w:rsidR="008010C0" w:rsidRDefault="008010C0" w:rsidP="008231CE">
      <w:pPr>
        <w:pStyle w:val="ListParagraph"/>
        <w:spacing w:after="0" w:line="480" w:lineRule="auto"/>
        <w:ind w:left="0"/>
        <w:jc w:val="both"/>
        <w:rPr>
          <w:rFonts w:ascii="Arial" w:hAnsi="Arial" w:cs="Arial"/>
          <w:sz w:val="24"/>
          <w:szCs w:val="24"/>
        </w:rPr>
      </w:pPr>
    </w:p>
    <w:p w14:paraId="3852025D" w14:textId="3C458B7D" w:rsidR="00171701" w:rsidRPr="00C47012" w:rsidRDefault="00C47012" w:rsidP="00C47012">
      <w:pPr>
        <w:spacing w:after="0" w:line="480" w:lineRule="auto"/>
        <w:jc w:val="both"/>
        <w:rPr>
          <w:rFonts w:ascii="Arial" w:hAnsi="Arial" w:cs="Arial"/>
          <w:sz w:val="24"/>
          <w:szCs w:val="24"/>
        </w:rPr>
      </w:pPr>
      <w:r w:rsidRPr="00116448">
        <w:rPr>
          <w:rFonts w:ascii="Arial" w:hAnsi="Arial" w:cs="Arial"/>
          <w:color w:val="000000" w:themeColor="text1"/>
          <w:sz w:val="24"/>
          <w:szCs w:val="24"/>
        </w:rPr>
        <w:lastRenderedPageBreak/>
        <w:t>[7]</w:t>
      </w:r>
      <w:r w:rsidRPr="00116448">
        <w:rPr>
          <w:rFonts w:ascii="Arial" w:hAnsi="Arial" w:cs="Arial"/>
          <w:color w:val="000000" w:themeColor="text1"/>
          <w:sz w:val="24"/>
          <w:szCs w:val="24"/>
        </w:rPr>
        <w:tab/>
      </w:r>
      <w:proofErr w:type="spellStart"/>
      <w:r w:rsidR="00116448" w:rsidRPr="00C47012">
        <w:rPr>
          <w:rFonts w:ascii="Arial" w:hAnsi="Arial" w:cs="Arial"/>
          <w:sz w:val="24"/>
          <w:szCs w:val="24"/>
        </w:rPr>
        <w:t>Mthombeni</w:t>
      </w:r>
      <w:proofErr w:type="spellEnd"/>
      <w:r w:rsidR="00171701" w:rsidRPr="00C47012">
        <w:rPr>
          <w:rFonts w:ascii="Arial" w:hAnsi="Arial" w:cs="Arial"/>
          <w:sz w:val="24"/>
          <w:szCs w:val="24"/>
        </w:rPr>
        <w:t xml:space="preserve"> is a private company engaged in building and civil construction works.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Edgar Bam is the sole director of </w:t>
      </w:r>
      <w:proofErr w:type="spellStart"/>
      <w:r w:rsidR="00116448" w:rsidRPr="00C47012">
        <w:rPr>
          <w:rFonts w:ascii="Arial" w:hAnsi="Arial" w:cs="Arial"/>
          <w:sz w:val="24"/>
          <w:szCs w:val="24"/>
        </w:rPr>
        <w:t>Mthombeni</w:t>
      </w:r>
      <w:proofErr w:type="spellEnd"/>
      <w:r w:rsidR="00171701" w:rsidRPr="00C47012">
        <w:rPr>
          <w:rFonts w:ascii="Arial" w:hAnsi="Arial" w:cs="Arial"/>
          <w:sz w:val="24"/>
          <w:szCs w:val="24"/>
        </w:rPr>
        <w:t xml:space="preserve"> and </w:t>
      </w:r>
      <w:r w:rsidR="003E5384" w:rsidRPr="00C47012">
        <w:rPr>
          <w:rFonts w:ascii="Arial" w:hAnsi="Arial" w:cs="Arial"/>
          <w:sz w:val="24"/>
          <w:szCs w:val="24"/>
        </w:rPr>
        <w:t xml:space="preserve">had been </w:t>
      </w:r>
      <w:r w:rsidR="00171701" w:rsidRPr="00C47012">
        <w:rPr>
          <w:rFonts w:ascii="Arial" w:hAnsi="Arial" w:cs="Arial"/>
          <w:sz w:val="24"/>
          <w:szCs w:val="24"/>
        </w:rPr>
        <w:t xml:space="preserve">a longstanding friend of </w:t>
      </w:r>
      <w:proofErr w:type="spellStart"/>
      <w:r w:rsidR="00171701" w:rsidRPr="00C47012">
        <w:rPr>
          <w:rFonts w:ascii="Arial" w:hAnsi="Arial" w:cs="Arial"/>
          <w:sz w:val="24"/>
          <w:szCs w:val="24"/>
        </w:rPr>
        <w:t>M</w:t>
      </w:r>
      <w:r w:rsidR="008010C0" w:rsidRPr="00C47012">
        <w:rPr>
          <w:rFonts w:ascii="Arial" w:hAnsi="Arial" w:cs="Arial"/>
          <w:sz w:val="24"/>
          <w:szCs w:val="24"/>
        </w:rPr>
        <w:t>r</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Madikizela</w:t>
      </w:r>
      <w:proofErr w:type="spellEnd"/>
      <w:r w:rsidR="00171701" w:rsidRPr="00C47012">
        <w:rPr>
          <w:rFonts w:ascii="Arial" w:hAnsi="Arial" w:cs="Arial"/>
          <w:sz w:val="24"/>
          <w:szCs w:val="24"/>
        </w:rPr>
        <w:t xml:space="preserve">.  He provided an affidavit to the </w:t>
      </w:r>
      <w:proofErr w:type="gramStart"/>
      <w:r w:rsidR="008A6DB5" w:rsidRPr="00C47012">
        <w:rPr>
          <w:rFonts w:ascii="Arial" w:hAnsi="Arial" w:cs="Arial"/>
          <w:sz w:val="24"/>
          <w:szCs w:val="24"/>
        </w:rPr>
        <w:t>PP</w:t>
      </w:r>
      <w:proofErr w:type="gramEnd"/>
      <w:r w:rsidR="00171701" w:rsidRPr="00C47012">
        <w:rPr>
          <w:rFonts w:ascii="Arial" w:hAnsi="Arial" w:cs="Arial"/>
          <w:sz w:val="24"/>
          <w:szCs w:val="24"/>
        </w:rPr>
        <w:t xml:space="preserve"> and she interviewed him.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Bam said that he was contacted on 24 July 2018 by </w:t>
      </w:r>
      <w:proofErr w:type="spellStart"/>
      <w:r w:rsidR="00171701" w:rsidRPr="00C47012">
        <w:rPr>
          <w:rFonts w:ascii="Arial" w:hAnsi="Arial" w:cs="Arial"/>
          <w:sz w:val="24"/>
          <w:szCs w:val="24"/>
        </w:rPr>
        <w:t>M</w:t>
      </w:r>
      <w:r w:rsidR="00E16799" w:rsidRPr="00C47012">
        <w:rPr>
          <w:rFonts w:ascii="Arial" w:hAnsi="Arial" w:cs="Arial"/>
          <w:sz w:val="24"/>
          <w:szCs w:val="24"/>
        </w:rPr>
        <w:t>r</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Madikizela</w:t>
      </w:r>
      <w:proofErr w:type="spellEnd"/>
      <w:r w:rsidR="00171701" w:rsidRPr="00C47012">
        <w:rPr>
          <w:rFonts w:ascii="Arial" w:hAnsi="Arial" w:cs="Arial"/>
          <w:sz w:val="24"/>
          <w:szCs w:val="24"/>
        </w:rPr>
        <w:t xml:space="preserve"> who instructed him to provide an invoice in the amount of </w:t>
      </w:r>
      <w:r w:rsidR="007576E5" w:rsidRPr="00C47012">
        <w:rPr>
          <w:rFonts w:ascii="Arial" w:hAnsi="Arial" w:cs="Arial"/>
          <w:sz w:val="24"/>
          <w:szCs w:val="24"/>
        </w:rPr>
        <w:t>R1.1</w:t>
      </w:r>
      <w:r w:rsidR="00171701" w:rsidRPr="00C47012">
        <w:rPr>
          <w:rFonts w:ascii="Arial" w:hAnsi="Arial" w:cs="Arial"/>
          <w:sz w:val="24"/>
          <w:szCs w:val="24"/>
        </w:rPr>
        <w:t xml:space="preserve"> million to the MLM and that he should contact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w:t>
      </w:r>
      <w:proofErr w:type="spellStart"/>
      <w:r w:rsidR="008010C0" w:rsidRPr="00C47012">
        <w:rPr>
          <w:rFonts w:ascii="Arial" w:hAnsi="Arial" w:cs="Arial"/>
          <w:sz w:val="24"/>
          <w:szCs w:val="24"/>
        </w:rPr>
        <w:t>Dyala</w:t>
      </w:r>
      <w:proofErr w:type="spellEnd"/>
      <w:r w:rsidR="00171701" w:rsidRPr="00C47012">
        <w:rPr>
          <w:rFonts w:ascii="Arial" w:hAnsi="Arial" w:cs="Arial"/>
          <w:sz w:val="24"/>
          <w:szCs w:val="24"/>
        </w:rPr>
        <w:t xml:space="preserve">, the </w:t>
      </w:r>
      <w:r w:rsidR="007576E5" w:rsidRPr="00C47012">
        <w:rPr>
          <w:rFonts w:ascii="Arial" w:hAnsi="Arial" w:cs="Arial"/>
          <w:sz w:val="24"/>
          <w:szCs w:val="24"/>
        </w:rPr>
        <w:t>O</w:t>
      </w:r>
      <w:r w:rsidR="00171701" w:rsidRPr="00C47012">
        <w:rPr>
          <w:rFonts w:ascii="Arial" w:hAnsi="Arial" w:cs="Arial"/>
          <w:sz w:val="24"/>
          <w:szCs w:val="24"/>
        </w:rPr>
        <w:t xml:space="preserve">ffice </w:t>
      </w:r>
      <w:r w:rsidR="007576E5" w:rsidRPr="00C47012">
        <w:rPr>
          <w:rFonts w:ascii="Arial" w:hAnsi="Arial" w:cs="Arial"/>
          <w:sz w:val="24"/>
          <w:szCs w:val="24"/>
        </w:rPr>
        <w:t>M</w:t>
      </w:r>
      <w:r w:rsidR="00171701" w:rsidRPr="00C47012">
        <w:rPr>
          <w:rFonts w:ascii="Arial" w:hAnsi="Arial" w:cs="Arial"/>
          <w:sz w:val="24"/>
          <w:szCs w:val="24"/>
        </w:rPr>
        <w:t>anager of the ANC Provincial Offices in the Eastern Cape</w:t>
      </w:r>
      <w:r w:rsidR="008010C0" w:rsidRPr="00C47012">
        <w:rPr>
          <w:rFonts w:ascii="Arial" w:hAnsi="Arial" w:cs="Arial"/>
          <w:sz w:val="24"/>
          <w:szCs w:val="24"/>
        </w:rPr>
        <w:t>,</w:t>
      </w:r>
      <w:r w:rsidR="00171701" w:rsidRPr="00C47012">
        <w:rPr>
          <w:rFonts w:ascii="Arial" w:hAnsi="Arial" w:cs="Arial"/>
          <w:sz w:val="24"/>
          <w:szCs w:val="24"/>
        </w:rPr>
        <w:t xml:space="preserve"> in this regard.  He </w:t>
      </w:r>
      <w:r w:rsidR="003E5384" w:rsidRPr="00C47012">
        <w:rPr>
          <w:rFonts w:ascii="Arial" w:hAnsi="Arial" w:cs="Arial"/>
          <w:sz w:val="24"/>
          <w:szCs w:val="24"/>
        </w:rPr>
        <w:t>later</w:t>
      </w:r>
      <w:r w:rsidR="00171701" w:rsidRPr="00C47012">
        <w:rPr>
          <w:rFonts w:ascii="Arial" w:hAnsi="Arial" w:cs="Arial"/>
          <w:sz w:val="24"/>
          <w:szCs w:val="24"/>
        </w:rPr>
        <w:t xml:space="preserve"> received an invoice</w:t>
      </w:r>
      <w:r w:rsidR="003E5384" w:rsidRPr="00C47012">
        <w:rPr>
          <w:rFonts w:ascii="Arial" w:hAnsi="Arial" w:cs="Arial"/>
          <w:sz w:val="24"/>
          <w:szCs w:val="24"/>
        </w:rPr>
        <w:t>,</w:t>
      </w:r>
      <w:r w:rsidR="00171701" w:rsidRPr="00C47012">
        <w:rPr>
          <w:rFonts w:ascii="Arial" w:hAnsi="Arial" w:cs="Arial"/>
          <w:sz w:val="24"/>
          <w:szCs w:val="24"/>
        </w:rPr>
        <w:t xml:space="preserve"> fully complete</w:t>
      </w:r>
      <w:r w:rsidR="003E5384" w:rsidRPr="00C47012">
        <w:rPr>
          <w:rFonts w:ascii="Arial" w:hAnsi="Arial" w:cs="Arial"/>
          <w:sz w:val="24"/>
          <w:szCs w:val="24"/>
        </w:rPr>
        <w:t>d</w:t>
      </w:r>
      <w:r w:rsidR="00171701" w:rsidRPr="00C47012">
        <w:rPr>
          <w:rFonts w:ascii="Arial" w:hAnsi="Arial" w:cs="Arial"/>
          <w:sz w:val="24"/>
          <w:szCs w:val="24"/>
        </w:rPr>
        <w:t xml:space="preserve">, save for the particulars of </w:t>
      </w:r>
      <w:proofErr w:type="spellStart"/>
      <w:r w:rsidR="00116448" w:rsidRPr="00C47012">
        <w:rPr>
          <w:rFonts w:ascii="Arial" w:hAnsi="Arial" w:cs="Arial"/>
          <w:sz w:val="24"/>
          <w:szCs w:val="24"/>
        </w:rPr>
        <w:t>Mthombeni</w:t>
      </w:r>
      <w:proofErr w:type="spellEnd"/>
      <w:r w:rsidR="003E5384" w:rsidRPr="00C47012">
        <w:rPr>
          <w:rFonts w:ascii="Arial" w:hAnsi="Arial" w:cs="Arial"/>
          <w:sz w:val="24"/>
          <w:szCs w:val="24"/>
        </w:rPr>
        <w:t xml:space="preserve">, </w:t>
      </w:r>
      <w:r w:rsidR="00171701" w:rsidRPr="00C47012">
        <w:rPr>
          <w:rFonts w:ascii="Arial" w:hAnsi="Arial" w:cs="Arial"/>
          <w:sz w:val="24"/>
          <w:szCs w:val="24"/>
        </w:rPr>
        <w:t xml:space="preserve">from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w:t>
      </w:r>
      <w:proofErr w:type="spellStart"/>
      <w:r w:rsidR="008010C0" w:rsidRPr="00C47012">
        <w:rPr>
          <w:rFonts w:ascii="Arial" w:hAnsi="Arial" w:cs="Arial"/>
          <w:sz w:val="24"/>
          <w:szCs w:val="24"/>
        </w:rPr>
        <w:t>Dyala</w:t>
      </w:r>
      <w:proofErr w:type="spellEnd"/>
      <w:r w:rsidR="00171701" w:rsidRPr="00C47012">
        <w:rPr>
          <w:rFonts w:ascii="Arial" w:hAnsi="Arial" w:cs="Arial"/>
          <w:sz w:val="24"/>
          <w:szCs w:val="24"/>
        </w:rPr>
        <w:t xml:space="preserve"> reflecting an indebtedness of </w:t>
      </w:r>
      <w:r w:rsidR="007576E5" w:rsidRPr="00C47012">
        <w:rPr>
          <w:rFonts w:ascii="Arial" w:hAnsi="Arial" w:cs="Arial"/>
          <w:sz w:val="24"/>
          <w:szCs w:val="24"/>
        </w:rPr>
        <w:t>R1.1</w:t>
      </w:r>
      <w:r w:rsidR="00171701" w:rsidRPr="00C47012">
        <w:rPr>
          <w:rFonts w:ascii="Arial" w:hAnsi="Arial" w:cs="Arial"/>
          <w:sz w:val="24"/>
          <w:szCs w:val="24"/>
        </w:rPr>
        <w:t xml:space="preserve"> million in respect of the hire of certain earthmoving equipment</w:t>
      </w:r>
      <w:r w:rsidR="00227EC2" w:rsidRPr="00C47012">
        <w:rPr>
          <w:rFonts w:ascii="Arial" w:hAnsi="Arial" w:cs="Arial"/>
          <w:sz w:val="24"/>
          <w:szCs w:val="24"/>
        </w:rPr>
        <w:t xml:space="preserve"> and he</w:t>
      </w:r>
      <w:r w:rsidR="003E5384" w:rsidRPr="00C47012">
        <w:rPr>
          <w:rFonts w:ascii="Arial" w:hAnsi="Arial" w:cs="Arial"/>
          <w:sz w:val="24"/>
          <w:szCs w:val="24"/>
        </w:rPr>
        <w:t xml:space="preserve"> delivered </w:t>
      </w:r>
      <w:r w:rsidR="00227EC2" w:rsidRPr="00C47012">
        <w:rPr>
          <w:rFonts w:ascii="Arial" w:hAnsi="Arial" w:cs="Arial"/>
          <w:sz w:val="24"/>
          <w:szCs w:val="24"/>
        </w:rPr>
        <w:t xml:space="preserve">it </w:t>
      </w:r>
      <w:r w:rsidR="003E5384" w:rsidRPr="00C47012">
        <w:rPr>
          <w:rFonts w:ascii="Arial" w:hAnsi="Arial" w:cs="Arial"/>
          <w:sz w:val="24"/>
          <w:szCs w:val="24"/>
        </w:rPr>
        <w:t>to the MLM</w:t>
      </w:r>
      <w:r w:rsidR="00227EC2" w:rsidRPr="00C47012">
        <w:rPr>
          <w:rFonts w:ascii="Arial" w:hAnsi="Arial" w:cs="Arial"/>
          <w:sz w:val="24"/>
          <w:szCs w:val="24"/>
        </w:rPr>
        <w:t>.  He</w:t>
      </w:r>
      <w:r w:rsidR="00171701" w:rsidRPr="00C47012">
        <w:rPr>
          <w:rFonts w:ascii="Arial" w:hAnsi="Arial" w:cs="Arial"/>
          <w:sz w:val="24"/>
          <w:szCs w:val="24"/>
        </w:rPr>
        <w:t xml:space="preserve"> proceeded to explain that he was subsequently contacted by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w:t>
      </w:r>
      <w:r w:rsidR="00815528" w:rsidRPr="00C47012">
        <w:rPr>
          <w:rFonts w:ascii="Arial" w:hAnsi="Arial" w:cs="Arial"/>
          <w:sz w:val="24"/>
          <w:szCs w:val="24"/>
        </w:rPr>
        <w:t>ah</w:t>
      </w:r>
      <w:r w:rsidR="00171701" w:rsidRPr="00C47012">
        <w:rPr>
          <w:rFonts w:ascii="Arial" w:hAnsi="Arial" w:cs="Arial"/>
          <w:sz w:val="24"/>
          <w:szCs w:val="24"/>
        </w:rPr>
        <w:t>laka</w:t>
      </w:r>
      <w:proofErr w:type="spellEnd"/>
      <w:r w:rsidR="008010C0" w:rsidRPr="00C47012">
        <w:rPr>
          <w:rFonts w:ascii="Arial" w:hAnsi="Arial" w:cs="Arial"/>
          <w:sz w:val="24"/>
          <w:szCs w:val="24"/>
        </w:rPr>
        <w:t>,</w:t>
      </w:r>
      <w:r w:rsidR="00171701" w:rsidRPr="00C47012">
        <w:rPr>
          <w:rFonts w:ascii="Arial" w:hAnsi="Arial" w:cs="Arial"/>
          <w:sz w:val="24"/>
          <w:szCs w:val="24"/>
        </w:rPr>
        <w:t xml:space="preserve"> who advised that the invoice for the hi</w:t>
      </w:r>
      <w:r w:rsidR="008010C0" w:rsidRPr="00C47012">
        <w:rPr>
          <w:rFonts w:ascii="Arial" w:hAnsi="Arial" w:cs="Arial"/>
          <w:sz w:val="24"/>
          <w:szCs w:val="24"/>
        </w:rPr>
        <w:t>re</w:t>
      </w:r>
      <w:r w:rsidR="00171701" w:rsidRPr="00C47012">
        <w:rPr>
          <w:rFonts w:ascii="Arial" w:hAnsi="Arial" w:cs="Arial"/>
          <w:sz w:val="24"/>
          <w:szCs w:val="24"/>
        </w:rPr>
        <w:t xml:space="preserve"> of earthmoving equipment might look suspicious and </w:t>
      </w:r>
      <w:proofErr w:type="spellStart"/>
      <w:r w:rsidR="003E5384" w:rsidRPr="00C47012">
        <w:rPr>
          <w:rFonts w:ascii="Arial" w:hAnsi="Arial" w:cs="Arial"/>
          <w:sz w:val="24"/>
          <w:szCs w:val="24"/>
        </w:rPr>
        <w:t>Mr</w:t>
      </w:r>
      <w:proofErr w:type="spellEnd"/>
      <w:r w:rsidR="003E5384" w:rsidRPr="00C47012">
        <w:rPr>
          <w:rFonts w:ascii="Arial" w:hAnsi="Arial" w:cs="Arial"/>
          <w:sz w:val="24"/>
          <w:szCs w:val="24"/>
        </w:rPr>
        <w:t xml:space="preserve"> </w:t>
      </w:r>
      <w:proofErr w:type="spellStart"/>
      <w:r w:rsidR="003E5384" w:rsidRPr="00C47012">
        <w:rPr>
          <w:rFonts w:ascii="Arial" w:hAnsi="Arial" w:cs="Arial"/>
          <w:sz w:val="24"/>
          <w:szCs w:val="24"/>
        </w:rPr>
        <w:t>Mahlaka</w:t>
      </w:r>
      <w:proofErr w:type="spellEnd"/>
      <w:r w:rsidR="003E5384" w:rsidRPr="00C47012">
        <w:rPr>
          <w:rFonts w:ascii="Arial" w:hAnsi="Arial" w:cs="Arial"/>
          <w:sz w:val="24"/>
          <w:szCs w:val="24"/>
        </w:rPr>
        <w:t xml:space="preserve"> </w:t>
      </w:r>
      <w:r w:rsidR="00171701" w:rsidRPr="00C47012">
        <w:rPr>
          <w:rFonts w:ascii="Arial" w:hAnsi="Arial" w:cs="Arial"/>
          <w:sz w:val="24"/>
          <w:szCs w:val="24"/>
        </w:rPr>
        <w:t>requested him to present a</w:t>
      </w:r>
      <w:r w:rsidR="003E5384" w:rsidRPr="00C47012">
        <w:rPr>
          <w:rFonts w:ascii="Arial" w:hAnsi="Arial" w:cs="Arial"/>
          <w:sz w:val="24"/>
          <w:szCs w:val="24"/>
        </w:rPr>
        <w:t xml:space="preserve"> fresh</w:t>
      </w:r>
      <w:r w:rsidR="00171701" w:rsidRPr="00C47012">
        <w:rPr>
          <w:rFonts w:ascii="Arial" w:hAnsi="Arial" w:cs="Arial"/>
          <w:sz w:val="24"/>
          <w:szCs w:val="24"/>
        </w:rPr>
        <w:t xml:space="preserve"> invoice reflecting the transportation or ferrying of passengers to the memorial service.  He</w:t>
      </w:r>
      <w:r w:rsidR="0092103C" w:rsidRPr="00C47012">
        <w:rPr>
          <w:rFonts w:ascii="Arial" w:hAnsi="Arial" w:cs="Arial"/>
          <w:sz w:val="24"/>
          <w:szCs w:val="24"/>
        </w:rPr>
        <w:t>,</w:t>
      </w:r>
      <w:r w:rsidR="00171701" w:rsidRPr="00C47012">
        <w:rPr>
          <w:rFonts w:ascii="Arial" w:hAnsi="Arial" w:cs="Arial"/>
          <w:sz w:val="24"/>
          <w:szCs w:val="24"/>
        </w:rPr>
        <w:t xml:space="preserve"> accordingly</w:t>
      </w:r>
      <w:r w:rsidR="0092103C" w:rsidRPr="00C47012">
        <w:rPr>
          <w:rFonts w:ascii="Arial" w:hAnsi="Arial" w:cs="Arial"/>
          <w:sz w:val="24"/>
          <w:szCs w:val="24"/>
        </w:rPr>
        <w:t>,</w:t>
      </w:r>
      <w:r w:rsidR="00171701" w:rsidRPr="00C47012">
        <w:rPr>
          <w:rFonts w:ascii="Arial" w:hAnsi="Arial" w:cs="Arial"/>
          <w:sz w:val="24"/>
          <w:szCs w:val="24"/>
        </w:rPr>
        <w:t xml:space="preserve"> </w:t>
      </w:r>
      <w:r w:rsidR="003E5384" w:rsidRPr="00C47012">
        <w:rPr>
          <w:rFonts w:ascii="Arial" w:hAnsi="Arial" w:cs="Arial"/>
          <w:sz w:val="24"/>
          <w:szCs w:val="24"/>
        </w:rPr>
        <w:t xml:space="preserve">resubmitted the </w:t>
      </w:r>
      <w:r w:rsidR="00171701" w:rsidRPr="00C47012">
        <w:rPr>
          <w:rFonts w:ascii="Arial" w:hAnsi="Arial" w:cs="Arial"/>
          <w:sz w:val="24"/>
          <w:szCs w:val="24"/>
        </w:rPr>
        <w:t>invoice to the MLM</w:t>
      </w:r>
      <w:r w:rsidR="003E5384" w:rsidRPr="00C47012">
        <w:rPr>
          <w:rFonts w:ascii="Arial" w:hAnsi="Arial" w:cs="Arial"/>
          <w:sz w:val="24"/>
          <w:szCs w:val="24"/>
        </w:rPr>
        <w:t>,</w:t>
      </w:r>
      <w:r w:rsidR="00171701" w:rsidRPr="00C47012">
        <w:rPr>
          <w:rFonts w:ascii="Arial" w:hAnsi="Arial" w:cs="Arial"/>
          <w:sz w:val="24"/>
          <w:szCs w:val="24"/>
        </w:rPr>
        <w:t xml:space="preserve"> </w:t>
      </w:r>
      <w:r w:rsidR="003E5384" w:rsidRPr="00C47012">
        <w:rPr>
          <w:rFonts w:ascii="Arial" w:hAnsi="Arial" w:cs="Arial"/>
          <w:sz w:val="24"/>
          <w:szCs w:val="24"/>
        </w:rPr>
        <w:t xml:space="preserve">on the advice of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w:t>
      </w:r>
      <w:r w:rsidR="00815528" w:rsidRPr="00C47012">
        <w:rPr>
          <w:rFonts w:ascii="Arial" w:hAnsi="Arial" w:cs="Arial"/>
          <w:sz w:val="24"/>
          <w:szCs w:val="24"/>
        </w:rPr>
        <w:t>ah</w:t>
      </w:r>
      <w:r w:rsidR="00171701" w:rsidRPr="00C47012">
        <w:rPr>
          <w:rFonts w:ascii="Arial" w:hAnsi="Arial" w:cs="Arial"/>
          <w:sz w:val="24"/>
          <w:szCs w:val="24"/>
        </w:rPr>
        <w:t>laka</w:t>
      </w:r>
      <w:proofErr w:type="spellEnd"/>
      <w:r w:rsidR="003E5384" w:rsidRPr="00C47012">
        <w:rPr>
          <w:rFonts w:ascii="Arial" w:hAnsi="Arial" w:cs="Arial"/>
          <w:sz w:val="24"/>
          <w:szCs w:val="24"/>
        </w:rPr>
        <w:t>,</w:t>
      </w:r>
      <w:r w:rsidR="00171701" w:rsidRPr="00C47012">
        <w:rPr>
          <w:rFonts w:ascii="Arial" w:hAnsi="Arial" w:cs="Arial"/>
          <w:sz w:val="24"/>
          <w:szCs w:val="24"/>
        </w:rPr>
        <w:t xml:space="preserve"> </w:t>
      </w:r>
      <w:r w:rsidR="00171701" w:rsidRPr="00C47012">
        <w:rPr>
          <w:rFonts w:ascii="Arial" w:hAnsi="Arial" w:cs="Arial"/>
          <w:color w:val="000000" w:themeColor="text1"/>
          <w:sz w:val="24"/>
          <w:szCs w:val="24"/>
        </w:rPr>
        <w:t>reflect</w:t>
      </w:r>
      <w:r w:rsidR="0092103C" w:rsidRPr="00C47012">
        <w:rPr>
          <w:rFonts w:ascii="Arial" w:hAnsi="Arial" w:cs="Arial"/>
          <w:color w:val="000000" w:themeColor="text1"/>
          <w:sz w:val="24"/>
          <w:szCs w:val="24"/>
        </w:rPr>
        <w:t>ing</w:t>
      </w:r>
      <w:r w:rsidR="00171701" w:rsidRPr="00C47012">
        <w:rPr>
          <w:rFonts w:ascii="Arial" w:hAnsi="Arial" w:cs="Arial"/>
          <w:color w:val="000000" w:themeColor="text1"/>
          <w:sz w:val="24"/>
          <w:szCs w:val="24"/>
        </w:rPr>
        <w:t xml:space="preserve"> </w:t>
      </w:r>
      <w:proofErr w:type="spellStart"/>
      <w:r w:rsidR="003E5384" w:rsidRPr="00C47012">
        <w:rPr>
          <w:rFonts w:ascii="Arial" w:hAnsi="Arial" w:cs="Arial"/>
          <w:color w:val="000000" w:themeColor="text1"/>
          <w:sz w:val="24"/>
          <w:szCs w:val="24"/>
        </w:rPr>
        <w:t>Maikenjo</w:t>
      </w:r>
      <w:proofErr w:type="spellEnd"/>
      <w:r w:rsidR="003E5384" w:rsidRPr="00C47012">
        <w:rPr>
          <w:rFonts w:ascii="Arial" w:hAnsi="Arial" w:cs="Arial"/>
          <w:color w:val="000000" w:themeColor="text1"/>
          <w:sz w:val="24"/>
          <w:szCs w:val="24"/>
        </w:rPr>
        <w:t xml:space="preserve"> </w:t>
      </w:r>
      <w:r w:rsidR="003E5384" w:rsidRPr="00C47012">
        <w:rPr>
          <w:rFonts w:ascii="Arial" w:hAnsi="Arial" w:cs="Arial"/>
          <w:sz w:val="24"/>
          <w:szCs w:val="24"/>
        </w:rPr>
        <w:t>as</w:t>
      </w:r>
      <w:r w:rsidR="00171701" w:rsidRPr="00C47012">
        <w:rPr>
          <w:rFonts w:ascii="Arial" w:hAnsi="Arial" w:cs="Arial"/>
          <w:sz w:val="24"/>
          <w:szCs w:val="24"/>
        </w:rPr>
        <w:t xml:space="preserve"> the service provider for the transportation or ferrying of passenger services, but reflecting the banking details of </w:t>
      </w:r>
      <w:proofErr w:type="spellStart"/>
      <w:r w:rsidR="00116448" w:rsidRPr="00C47012">
        <w:rPr>
          <w:rFonts w:ascii="Arial" w:hAnsi="Arial" w:cs="Arial"/>
          <w:sz w:val="24"/>
          <w:szCs w:val="24"/>
        </w:rPr>
        <w:t>Mthombeni</w:t>
      </w:r>
      <w:proofErr w:type="spellEnd"/>
      <w:r w:rsidR="00171701" w:rsidRPr="00C47012">
        <w:rPr>
          <w:rFonts w:ascii="Arial" w:hAnsi="Arial" w:cs="Arial"/>
          <w:sz w:val="24"/>
          <w:szCs w:val="24"/>
        </w:rPr>
        <w:t>.  On 1 August 2018</w:t>
      </w:r>
      <w:r w:rsidR="004F2112" w:rsidRPr="00C47012">
        <w:rPr>
          <w:rFonts w:ascii="Arial" w:hAnsi="Arial" w:cs="Arial"/>
          <w:sz w:val="24"/>
          <w:szCs w:val="24"/>
        </w:rPr>
        <w:t>,</w:t>
      </w:r>
      <w:r w:rsidR="00171701" w:rsidRPr="00C47012">
        <w:rPr>
          <w:rFonts w:ascii="Arial" w:hAnsi="Arial" w:cs="Arial"/>
          <w:sz w:val="24"/>
          <w:szCs w:val="24"/>
        </w:rPr>
        <w:t xml:space="preserve"> the amount of </w:t>
      </w:r>
      <w:r w:rsidR="007576E5" w:rsidRPr="00C47012">
        <w:rPr>
          <w:rFonts w:ascii="Arial" w:hAnsi="Arial" w:cs="Arial"/>
          <w:sz w:val="24"/>
          <w:szCs w:val="24"/>
        </w:rPr>
        <w:t>R1.1</w:t>
      </w:r>
      <w:r w:rsidR="0092103C" w:rsidRPr="00C47012">
        <w:rPr>
          <w:rFonts w:ascii="Arial" w:hAnsi="Arial" w:cs="Arial"/>
          <w:sz w:val="24"/>
          <w:szCs w:val="24"/>
        </w:rPr>
        <w:t xml:space="preserve"> million</w:t>
      </w:r>
      <w:r w:rsidR="00171701" w:rsidRPr="00C47012">
        <w:rPr>
          <w:rFonts w:ascii="Arial" w:hAnsi="Arial" w:cs="Arial"/>
          <w:sz w:val="24"/>
          <w:szCs w:val="24"/>
        </w:rPr>
        <w:t xml:space="preserve"> was paid into the </w:t>
      </w:r>
      <w:r w:rsidR="004C0205" w:rsidRPr="00C47012">
        <w:rPr>
          <w:rFonts w:ascii="Arial" w:hAnsi="Arial" w:cs="Arial"/>
          <w:sz w:val="24"/>
          <w:szCs w:val="24"/>
        </w:rPr>
        <w:t>bank</w:t>
      </w:r>
      <w:r w:rsidR="00171701" w:rsidRPr="00C47012">
        <w:rPr>
          <w:rFonts w:ascii="Arial" w:hAnsi="Arial" w:cs="Arial"/>
          <w:sz w:val="24"/>
          <w:szCs w:val="24"/>
        </w:rPr>
        <w:t xml:space="preserve"> account </w:t>
      </w:r>
      <w:r w:rsidR="003E5384" w:rsidRPr="00C47012">
        <w:rPr>
          <w:rFonts w:ascii="Arial" w:hAnsi="Arial" w:cs="Arial"/>
          <w:sz w:val="24"/>
          <w:szCs w:val="24"/>
        </w:rPr>
        <w:t xml:space="preserve">of </w:t>
      </w:r>
      <w:proofErr w:type="spellStart"/>
      <w:r w:rsidR="003E5384" w:rsidRPr="00C47012">
        <w:rPr>
          <w:rFonts w:ascii="Arial" w:hAnsi="Arial" w:cs="Arial"/>
          <w:sz w:val="24"/>
          <w:szCs w:val="24"/>
        </w:rPr>
        <w:t>Mthombeni</w:t>
      </w:r>
      <w:proofErr w:type="spellEnd"/>
      <w:r w:rsidR="003E5384" w:rsidRPr="00C47012">
        <w:rPr>
          <w:rFonts w:ascii="Arial" w:hAnsi="Arial" w:cs="Arial"/>
          <w:sz w:val="24"/>
          <w:szCs w:val="24"/>
        </w:rPr>
        <w:t xml:space="preserve"> </w:t>
      </w:r>
      <w:r w:rsidR="00171701" w:rsidRPr="00C47012">
        <w:rPr>
          <w:rFonts w:ascii="Arial" w:hAnsi="Arial" w:cs="Arial"/>
          <w:sz w:val="24"/>
          <w:szCs w:val="24"/>
        </w:rPr>
        <w:t xml:space="preserve">and he received a message from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w:t>
      </w:r>
      <w:r w:rsidR="00815528" w:rsidRPr="00C47012">
        <w:rPr>
          <w:rFonts w:ascii="Arial" w:hAnsi="Arial" w:cs="Arial"/>
          <w:sz w:val="24"/>
          <w:szCs w:val="24"/>
        </w:rPr>
        <w:t>ah</w:t>
      </w:r>
      <w:r w:rsidR="00171701" w:rsidRPr="00C47012">
        <w:rPr>
          <w:rFonts w:ascii="Arial" w:hAnsi="Arial" w:cs="Arial"/>
          <w:sz w:val="24"/>
          <w:szCs w:val="24"/>
        </w:rPr>
        <w:t>laka</w:t>
      </w:r>
      <w:proofErr w:type="spellEnd"/>
      <w:r w:rsidR="00171701" w:rsidRPr="00C47012">
        <w:rPr>
          <w:rFonts w:ascii="Arial" w:hAnsi="Arial" w:cs="Arial"/>
          <w:sz w:val="24"/>
          <w:szCs w:val="24"/>
        </w:rPr>
        <w:t xml:space="preserve"> advising that the payment had been </w:t>
      </w:r>
      <w:r w:rsidR="0092103C" w:rsidRPr="00C47012">
        <w:rPr>
          <w:rFonts w:ascii="Arial" w:hAnsi="Arial" w:cs="Arial"/>
          <w:sz w:val="24"/>
          <w:szCs w:val="24"/>
        </w:rPr>
        <w:t>made</w:t>
      </w:r>
      <w:r w:rsidR="00171701" w:rsidRPr="00C47012">
        <w:rPr>
          <w:rFonts w:ascii="Arial" w:hAnsi="Arial" w:cs="Arial"/>
          <w:sz w:val="24"/>
          <w:szCs w:val="24"/>
        </w:rPr>
        <w:t xml:space="preserve">.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Bam </w:t>
      </w:r>
      <w:r w:rsidR="0092103C" w:rsidRPr="00C47012">
        <w:rPr>
          <w:rFonts w:ascii="Arial" w:hAnsi="Arial" w:cs="Arial"/>
          <w:sz w:val="24"/>
          <w:szCs w:val="24"/>
        </w:rPr>
        <w:t>said</w:t>
      </w:r>
      <w:r w:rsidR="00171701" w:rsidRPr="00C47012">
        <w:rPr>
          <w:rFonts w:ascii="Arial" w:hAnsi="Arial" w:cs="Arial"/>
          <w:sz w:val="24"/>
          <w:szCs w:val="24"/>
        </w:rPr>
        <w:t xml:space="preserve"> that he had no right to receive payment and </w:t>
      </w:r>
      <w:r w:rsidR="0092103C" w:rsidRPr="00C47012">
        <w:rPr>
          <w:rFonts w:ascii="Arial" w:hAnsi="Arial" w:cs="Arial"/>
          <w:sz w:val="24"/>
          <w:szCs w:val="24"/>
        </w:rPr>
        <w:t xml:space="preserve">he </w:t>
      </w:r>
      <w:r w:rsidR="00171701" w:rsidRPr="00C47012">
        <w:rPr>
          <w:rFonts w:ascii="Arial" w:hAnsi="Arial" w:cs="Arial"/>
          <w:sz w:val="24"/>
          <w:szCs w:val="24"/>
        </w:rPr>
        <w:t xml:space="preserve">had </w:t>
      </w:r>
      <w:r w:rsidR="0092103C" w:rsidRPr="00C47012">
        <w:rPr>
          <w:rFonts w:ascii="Arial" w:hAnsi="Arial" w:cs="Arial"/>
          <w:sz w:val="24"/>
          <w:szCs w:val="24"/>
        </w:rPr>
        <w:t>rendered</w:t>
      </w:r>
      <w:r w:rsidR="00171701" w:rsidRPr="00C47012">
        <w:rPr>
          <w:rFonts w:ascii="Arial" w:hAnsi="Arial" w:cs="Arial"/>
          <w:sz w:val="24"/>
          <w:szCs w:val="24"/>
        </w:rPr>
        <w:t xml:space="preserve"> no services of any nature to the MLM.  </w:t>
      </w:r>
    </w:p>
    <w:p w14:paraId="3D316EA5" w14:textId="77777777" w:rsidR="00171701" w:rsidRDefault="00171701" w:rsidP="008231CE">
      <w:pPr>
        <w:spacing w:after="0" w:line="480" w:lineRule="auto"/>
        <w:contextualSpacing/>
        <w:jc w:val="both"/>
        <w:rPr>
          <w:rFonts w:ascii="Arial" w:hAnsi="Arial" w:cs="Arial"/>
          <w:sz w:val="24"/>
          <w:szCs w:val="24"/>
        </w:rPr>
      </w:pPr>
    </w:p>
    <w:p w14:paraId="2C6E8702" w14:textId="1BE5ED9A" w:rsidR="00AA7822" w:rsidRPr="00C47012" w:rsidRDefault="00C47012" w:rsidP="00C47012">
      <w:pPr>
        <w:spacing w:after="0" w:line="480" w:lineRule="auto"/>
        <w:jc w:val="both"/>
        <w:rPr>
          <w:rFonts w:ascii="Arial" w:hAnsi="Arial" w:cs="Arial"/>
          <w:sz w:val="24"/>
          <w:szCs w:val="24"/>
        </w:rPr>
      </w:pPr>
      <w:r w:rsidRPr="00116448">
        <w:rPr>
          <w:rFonts w:ascii="Arial" w:hAnsi="Arial" w:cs="Arial"/>
          <w:color w:val="000000" w:themeColor="text1"/>
          <w:sz w:val="24"/>
          <w:szCs w:val="24"/>
        </w:rPr>
        <w:t>[8]</w:t>
      </w:r>
      <w:r w:rsidRPr="00116448">
        <w:rPr>
          <w:rFonts w:ascii="Arial" w:hAnsi="Arial" w:cs="Arial"/>
          <w:color w:val="000000" w:themeColor="text1"/>
          <w:sz w:val="24"/>
          <w:szCs w:val="24"/>
        </w:rPr>
        <w:tab/>
      </w:r>
      <w:r w:rsidR="003E5384" w:rsidRPr="00C47012">
        <w:rPr>
          <w:rFonts w:ascii="Arial" w:hAnsi="Arial" w:cs="Arial"/>
          <w:sz w:val="24"/>
          <w:szCs w:val="24"/>
        </w:rPr>
        <w:t xml:space="preserve">After receipt of the payment, </w:t>
      </w:r>
      <w:r w:rsidR="00171701" w:rsidRPr="00C47012">
        <w:rPr>
          <w:rFonts w:ascii="Arial" w:hAnsi="Arial" w:cs="Arial"/>
          <w:sz w:val="24"/>
          <w:szCs w:val="24"/>
        </w:rPr>
        <w:t xml:space="preserve">he said, </w:t>
      </w:r>
      <w:proofErr w:type="spellStart"/>
      <w:r w:rsidR="00171701" w:rsidRPr="00C47012">
        <w:rPr>
          <w:rFonts w:ascii="Arial" w:hAnsi="Arial" w:cs="Arial"/>
          <w:sz w:val="24"/>
          <w:szCs w:val="24"/>
        </w:rPr>
        <w:t>M</w:t>
      </w:r>
      <w:r w:rsidR="00E16799" w:rsidRPr="00C47012">
        <w:rPr>
          <w:rFonts w:ascii="Arial" w:hAnsi="Arial" w:cs="Arial"/>
          <w:sz w:val="24"/>
          <w:szCs w:val="24"/>
        </w:rPr>
        <w:t>r</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Madikizela</w:t>
      </w:r>
      <w:proofErr w:type="spellEnd"/>
      <w:r w:rsidR="00171701" w:rsidRPr="00C47012">
        <w:rPr>
          <w:rFonts w:ascii="Arial" w:hAnsi="Arial" w:cs="Arial"/>
          <w:sz w:val="24"/>
          <w:szCs w:val="24"/>
        </w:rPr>
        <w:t xml:space="preserve"> called and instructed him to deposit R450 000 into the Nedbank account of “</w:t>
      </w:r>
      <w:r w:rsidR="008A6DB5" w:rsidRPr="00C47012">
        <w:rPr>
          <w:rFonts w:ascii="Arial" w:hAnsi="Arial" w:cs="Arial"/>
          <w:sz w:val="24"/>
          <w:szCs w:val="24"/>
        </w:rPr>
        <w:t>Allan</w:t>
      </w:r>
      <w:r w:rsidR="00171701" w:rsidRPr="00C47012">
        <w:rPr>
          <w:rFonts w:ascii="Arial" w:hAnsi="Arial" w:cs="Arial"/>
          <w:sz w:val="24"/>
          <w:szCs w:val="24"/>
        </w:rPr>
        <w:t xml:space="preserve"> </w:t>
      </w:r>
      <w:proofErr w:type="spellStart"/>
      <w:r w:rsidR="00171701" w:rsidRPr="00C47012">
        <w:rPr>
          <w:rFonts w:ascii="Arial" w:hAnsi="Arial" w:cs="Arial"/>
          <w:sz w:val="24"/>
          <w:szCs w:val="24"/>
        </w:rPr>
        <w:t>Morran</w:t>
      </w:r>
      <w:proofErr w:type="spellEnd"/>
      <w:r w:rsidR="00171701" w:rsidRPr="00C47012">
        <w:rPr>
          <w:rFonts w:ascii="Arial" w:hAnsi="Arial" w:cs="Arial"/>
          <w:sz w:val="24"/>
          <w:szCs w:val="24"/>
        </w:rPr>
        <w:t xml:space="preserve"> Design”</w:t>
      </w:r>
      <w:r w:rsidR="0092103C" w:rsidRPr="00C47012">
        <w:rPr>
          <w:rFonts w:ascii="Arial" w:hAnsi="Arial" w:cs="Arial"/>
          <w:sz w:val="24"/>
          <w:szCs w:val="24"/>
        </w:rPr>
        <w:t>,</w:t>
      </w:r>
      <w:r w:rsidR="00171701" w:rsidRPr="00C47012">
        <w:rPr>
          <w:rFonts w:ascii="Arial" w:hAnsi="Arial" w:cs="Arial"/>
          <w:sz w:val="24"/>
          <w:szCs w:val="24"/>
        </w:rPr>
        <w:t xml:space="preserve"> with the reference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171701" w:rsidRPr="00C47012">
        <w:rPr>
          <w:rFonts w:ascii="Arial" w:hAnsi="Arial" w:cs="Arial"/>
          <w:sz w:val="24"/>
          <w:szCs w:val="24"/>
        </w:rPr>
        <w:t>”</w:t>
      </w:r>
      <w:r w:rsidR="0092103C" w:rsidRPr="00C47012">
        <w:rPr>
          <w:rFonts w:ascii="Arial" w:hAnsi="Arial" w:cs="Arial"/>
          <w:sz w:val="24"/>
          <w:szCs w:val="24"/>
        </w:rPr>
        <w:t>,</w:t>
      </w:r>
      <w:r w:rsidR="00171701" w:rsidRPr="00C47012">
        <w:rPr>
          <w:rFonts w:ascii="Arial" w:hAnsi="Arial" w:cs="Arial"/>
          <w:sz w:val="24"/>
          <w:szCs w:val="24"/>
        </w:rPr>
        <w:t xml:space="preserve"> to assist </w:t>
      </w:r>
      <w:proofErr w:type="spellStart"/>
      <w:r w:rsidR="00171701" w:rsidRPr="00C47012">
        <w:rPr>
          <w:rFonts w:ascii="Arial" w:hAnsi="Arial" w:cs="Arial"/>
          <w:sz w:val="24"/>
          <w:szCs w:val="24"/>
        </w:rPr>
        <w:t>Mr</w:t>
      </w:r>
      <w:proofErr w:type="spellEnd"/>
      <w:r w:rsidR="00171701"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171701" w:rsidRPr="00C47012">
        <w:rPr>
          <w:rFonts w:ascii="Arial" w:hAnsi="Arial" w:cs="Arial"/>
          <w:sz w:val="24"/>
          <w:szCs w:val="24"/>
        </w:rPr>
        <w:t xml:space="preserve"> with his house.  </w:t>
      </w:r>
      <w:proofErr w:type="spellStart"/>
      <w:r w:rsidR="00171701" w:rsidRPr="00C47012">
        <w:rPr>
          <w:rFonts w:ascii="Arial" w:hAnsi="Arial" w:cs="Arial"/>
          <w:sz w:val="24"/>
          <w:szCs w:val="24"/>
        </w:rPr>
        <w:t>M</w:t>
      </w:r>
      <w:r w:rsidR="00E16799" w:rsidRPr="00C47012">
        <w:rPr>
          <w:rFonts w:ascii="Arial" w:hAnsi="Arial" w:cs="Arial"/>
          <w:sz w:val="24"/>
          <w:szCs w:val="24"/>
        </w:rPr>
        <w:t>r</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Madikizela</w:t>
      </w:r>
      <w:proofErr w:type="spellEnd"/>
      <w:r w:rsidR="00171701" w:rsidRPr="00C47012">
        <w:rPr>
          <w:rFonts w:ascii="Arial" w:hAnsi="Arial" w:cs="Arial"/>
          <w:sz w:val="24"/>
          <w:szCs w:val="24"/>
        </w:rPr>
        <w:t xml:space="preserve"> further instructed </w:t>
      </w:r>
      <w:r w:rsidR="00171701" w:rsidRPr="00C47012">
        <w:rPr>
          <w:rFonts w:ascii="Arial" w:hAnsi="Arial" w:cs="Arial"/>
          <w:sz w:val="24"/>
          <w:szCs w:val="24"/>
        </w:rPr>
        <w:lastRenderedPageBreak/>
        <w:t xml:space="preserve">him to deposit </w:t>
      </w:r>
      <w:r w:rsidR="00171701" w:rsidRPr="00C47012">
        <w:rPr>
          <w:rFonts w:ascii="Arial" w:hAnsi="Arial" w:cs="Arial"/>
          <w:color w:val="000000" w:themeColor="text1"/>
          <w:sz w:val="24"/>
          <w:szCs w:val="24"/>
        </w:rPr>
        <w:t xml:space="preserve">R350 000 </w:t>
      </w:r>
      <w:r w:rsidR="00171701" w:rsidRPr="00C47012">
        <w:rPr>
          <w:rFonts w:ascii="Arial" w:hAnsi="Arial" w:cs="Arial"/>
          <w:sz w:val="24"/>
          <w:szCs w:val="24"/>
        </w:rPr>
        <w:t>into the acco</w:t>
      </w:r>
      <w:r w:rsidR="008A6DB5" w:rsidRPr="00C47012">
        <w:rPr>
          <w:rFonts w:ascii="Arial" w:hAnsi="Arial" w:cs="Arial"/>
          <w:sz w:val="24"/>
          <w:szCs w:val="24"/>
        </w:rPr>
        <w:t xml:space="preserve">unt of IPM Plant Hire.  </w:t>
      </w:r>
      <w:proofErr w:type="spellStart"/>
      <w:r w:rsidR="008A6DB5" w:rsidRPr="00C47012">
        <w:rPr>
          <w:rFonts w:ascii="Arial" w:hAnsi="Arial" w:cs="Arial"/>
          <w:sz w:val="24"/>
          <w:szCs w:val="24"/>
        </w:rPr>
        <w:t>Ms</w:t>
      </w:r>
      <w:proofErr w:type="spellEnd"/>
      <w:r w:rsidR="008A6DB5" w:rsidRPr="00C47012">
        <w:rPr>
          <w:rFonts w:ascii="Arial" w:hAnsi="Arial" w:cs="Arial"/>
          <w:sz w:val="24"/>
          <w:szCs w:val="24"/>
        </w:rPr>
        <w:t xml:space="preserve"> </w:t>
      </w:r>
      <w:proofErr w:type="spellStart"/>
      <w:r w:rsidR="008A6DB5" w:rsidRPr="00C47012">
        <w:rPr>
          <w:rFonts w:ascii="Arial" w:hAnsi="Arial" w:cs="Arial"/>
          <w:color w:val="000000" w:themeColor="text1"/>
          <w:sz w:val="24"/>
          <w:szCs w:val="24"/>
        </w:rPr>
        <w:t>Zonoz</w:t>
      </w:r>
      <w:r w:rsidR="00171701" w:rsidRPr="00C47012">
        <w:rPr>
          <w:rFonts w:ascii="Arial" w:hAnsi="Arial" w:cs="Arial"/>
          <w:color w:val="000000" w:themeColor="text1"/>
          <w:sz w:val="24"/>
          <w:szCs w:val="24"/>
        </w:rPr>
        <w:t>eto</w:t>
      </w:r>
      <w:proofErr w:type="spellEnd"/>
      <w:r w:rsidR="00171701" w:rsidRPr="00C47012">
        <w:rPr>
          <w:rFonts w:ascii="Arial" w:hAnsi="Arial" w:cs="Arial"/>
          <w:color w:val="000000" w:themeColor="text1"/>
          <w:sz w:val="24"/>
          <w:szCs w:val="24"/>
        </w:rPr>
        <w:t xml:space="preserve"> </w:t>
      </w:r>
      <w:proofErr w:type="spellStart"/>
      <w:r w:rsidR="00171701" w:rsidRPr="00C47012">
        <w:rPr>
          <w:rFonts w:ascii="Arial" w:hAnsi="Arial" w:cs="Arial"/>
          <w:sz w:val="24"/>
          <w:szCs w:val="24"/>
        </w:rPr>
        <w:t>S</w:t>
      </w:r>
      <w:r w:rsidR="00B9568C" w:rsidRPr="00C47012">
        <w:rPr>
          <w:rFonts w:ascii="Arial" w:hAnsi="Arial" w:cs="Arial"/>
          <w:sz w:val="24"/>
          <w:szCs w:val="24"/>
        </w:rPr>
        <w:t>i</w:t>
      </w:r>
      <w:r w:rsidR="00171701" w:rsidRPr="00C47012">
        <w:rPr>
          <w:rFonts w:ascii="Arial" w:hAnsi="Arial" w:cs="Arial"/>
          <w:sz w:val="24"/>
          <w:szCs w:val="24"/>
        </w:rPr>
        <w:t>yazithanda</w:t>
      </w:r>
      <w:proofErr w:type="spellEnd"/>
      <w:r w:rsidR="00171701" w:rsidRPr="00C47012">
        <w:rPr>
          <w:rFonts w:ascii="Arial" w:hAnsi="Arial" w:cs="Arial"/>
          <w:sz w:val="24"/>
          <w:szCs w:val="24"/>
        </w:rPr>
        <w:t xml:space="preserve"> </w:t>
      </w:r>
      <w:proofErr w:type="spellStart"/>
      <w:r w:rsidR="00171701" w:rsidRPr="00C47012">
        <w:rPr>
          <w:rFonts w:ascii="Arial" w:hAnsi="Arial" w:cs="Arial"/>
          <w:sz w:val="24"/>
          <w:szCs w:val="24"/>
        </w:rPr>
        <w:t>Madikizela</w:t>
      </w:r>
      <w:proofErr w:type="spellEnd"/>
      <w:r w:rsidR="00B9568C" w:rsidRPr="00C47012">
        <w:rPr>
          <w:rFonts w:ascii="Arial" w:hAnsi="Arial" w:cs="Arial"/>
          <w:sz w:val="24"/>
          <w:szCs w:val="24"/>
        </w:rPr>
        <w:t xml:space="preserve">, the wife of </w:t>
      </w:r>
      <w:proofErr w:type="spellStart"/>
      <w:r w:rsidR="00B9568C" w:rsidRPr="00C47012">
        <w:rPr>
          <w:rFonts w:ascii="Arial" w:hAnsi="Arial" w:cs="Arial"/>
          <w:sz w:val="24"/>
          <w:szCs w:val="24"/>
        </w:rPr>
        <w:t>Mr</w:t>
      </w:r>
      <w:proofErr w:type="spellEnd"/>
      <w:r w:rsidR="00B9568C" w:rsidRPr="00C47012">
        <w:rPr>
          <w:rFonts w:ascii="Arial" w:hAnsi="Arial" w:cs="Arial"/>
          <w:sz w:val="24"/>
          <w:szCs w:val="24"/>
        </w:rPr>
        <w:t xml:space="preserve"> </w:t>
      </w:r>
      <w:proofErr w:type="spellStart"/>
      <w:r w:rsidR="00B9568C" w:rsidRPr="00C47012">
        <w:rPr>
          <w:rFonts w:ascii="Arial" w:hAnsi="Arial" w:cs="Arial"/>
          <w:sz w:val="24"/>
          <w:szCs w:val="24"/>
        </w:rPr>
        <w:t>Madikizela</w:t>
      </w:r>
      <w:proofErr w:type="spellEnd"/>
      <w:r w:rsidR="0092103C" w:rsidRPr="00C47012">
        <w:rPr>
          <w:rFonts w:ascii="Arial" w:hAnsi="Arial" w:cs="Arial"/>
          <w:sz w:val="24"/>
          <w:szCs w:val="24"/>
        </w:rPr>
        <w:t>,</w:t>
      </w:r>
      <w:r w:rsidR="00B9568C" w:rsidRPr="00C47012">
        <w:rPr>
          <w:rFonts w:ascii="Arial" w:hAnsi="Arial" w:cs="Arial"/>
          <w:sz w:val="24"/>
          <w:szCs w:val="24"/>
        </w:rPr>
        <w:t xml:space="preserve"> </w:t>
      </w:r>
      <w:r w:rsidR="00227EC2" w:rsidRPr="00C47012">
        <w:rPr>
          <w:rFonts w:ascii="Arial" w:hAnsi="Arial" w:cs="Arial"/>
          <w:sz w:val="24"/>
          <w:szCs w:val="24"/>
        </w:rPr>
        <w:t>was</w:t>
      </w:r>
      <w:r w:rsidR="00B9568C" w:rsidRPr="00C47012">
        <w:rPr>
          <w:rFonts w:ascii="Arial" w:hAnsi="Arial" w:cs="Arial"/>
          <w:sz w:val="24"/>
          <w:szCs w:val="24"/>
        </w:rPr>
        <w:t xml:space="preserve"> the </w:t>
      </w:r>
      <w:r w:rsidR="0092103C" w:rsidRPr="00C47012">
        <w:rPr>
          <w:rFonts w:ascii="Arial" w:hAnsi="Arial" w:cs="Arial"/>
          <w:sz w:val="24"/>
          <w:szCs w:val="24"/>
        </w:rPr>
        <w:t xml:space="preserve">sole </w:t>
      </w:r>
      <w:r w:rsidR="00B9568C" w:rsidRPr="00C47012">
        <w:rPr>
          <w:rFonts w:ascii="Arial" w:hAnsi="Arial" w:cs="Arial"/>
          <w:sz w:val="24"/>
          <w:szCs w:val="24"/>
        </w:rPr>
        <w:t>director of IPM Plant Hire</w:t>
      </w:r>
      <w:r w:rsidR="009C60A5" w:rsidRPr="00C47012">
        <w:rPr>
          <w:rFonts w:ascii="Arial" w:hAnsi="Arial" w:cs="Arial"/>
          <w:sz w:val="24"/>
          <w:szCs w:val="24"/>
        </w:rPr>
        <w:t xml:space="preserve">.  Finally,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Madikizela</w:t>
      </w:r>
      <w:proofErr w:type="spellEnd"/>
      <w:r w:rsidR="009C60A5" w:rsidRPr="00C47012">
        <w:rPr>
          <w:rFonts w:ascii="Arial" w:hAnsi="Arial" w:cs="Arial"/>
          <w:sz w:val="24"/>
          <w:szCs w:val="24"/>
        </w:rPr>
        <w:t xml:space="preserve"> instructed him to pay a further amount of R280 000 into the ANC fundraising account.  He duly made all these payments.  </w:t>
      </w:r>
    </w:p>
    <w:p w14:paraId="273E341D" w14:textId="77777777" w:rsidR="009C60A5" w:rsidRDefault="009C60A5" w:rsidP="008231CE">
      <w:pPr>
        <w:spacing w:after="0" w:line="480" w:lineRule="auto"/>
        <w:contextualSpacing/>
        <w:jc w:val="both"/>
        <w:rPr>
          <w:rFonts w:ascii="Arial" w:hAnsi="Arial" w:cs="Arial"/>
          <w:sz w:val="24"/>
          <w:szCs w:val="24"/>
        </w:rPr>
      </w:pPr>
    </w:p>
    <w:p w14:paraId="186214F4" w14:textId="780D6458" w:rsidR="009C60A5" w:rsidRPr="00C47012" w:rsidRDefault="00C47012" w:rsidP="00C47012">
      <w:pPr>
        <w:spacing w:after="0" w:line="480" w:lineRule="auto"/>
        <w:jc w:val="both"/>
        <w:rPr>
          <w:rFonts w:ascii="Arial" w:hAnsi="Arial" w:cs="Arial"/>
          <w:sz w:val="24"/>
          <w:szCs w:val="24"/>
        </w:rPr>
      </w:pPr>
      <w:r w:rsidRPr="003E724E">
        <w:rPr>
          <w:rFonts w:ascii="Arial" w:hAnsi="Arial" w:cs="Arial"/>
          <w:color w:val="000000" w:themeColor="text1"/>
          <w:sz w:val="24"/>
          <w:szCs w:val="24"/>
        </w:rPr>
        <w:t>[9]</w:t>
      </w:r>
      <w:r w:rsidRPr="003E724E">
        <w:rPr>
          <w:rFonts w:ascii="Arial" w:hAnsi="Arial" w:cs="Arial"/>
          <w:color w:val="000000" w:themeColor="text1"/>
          <w:sz w:val="24"/>
          <w:szCs w:val="24"/>
        </w:rPr>
        <w:tab/>
      </w:r>
      <w:r w:rsidR="00872670" w:rsidRPr="00C47012">
        <w:rPr>
          <w:rFonts w:ascii="Arial" w:hAnsi="Arial" w:cs="Arial"/>
          <w:sz w:val="24"/>
          <w:szCs w:val="24"/>
        </w:rPr>
        <w:t xml:space="preserve">The payment to Allan </w:t>
      </w:r>
      <w:proofErr w:type="spellStart"/>
      <w:r w:rsidR="00872670" w:rsidRPr="00C47012">
        <w:rPr>
          <w:rFonts w:ascii="Arial" w:hAnsi="Arial" w:cs="Arial"/>
          <w:sz w:val="24"/>
          <w:szCs w:val="24"/>
        </w:rPr>
        <w:t>Morran</w:t>
      </w:r>
      <w:proofErr w:type="spellEnd"/>
      <w:r w:rsidR="00872670" w:rsidRPr="00C47012">
        <w:rPr>
          <w:rFonts w:ascii="Arial" w:hAnsi="Arial" w:cs="Arial"/>
          <w:sz w:val="24"/>
          <w:szCs w:val="24"/>
        </w:rPr>
        <w:t xml:space="preserve"> Design is not disputed, however,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425E18" w:rsidRPr="00C47012">
        <w:rPr>
          <w:rFonts w:ascii="Arial" w:hAnsi="Arial" w:cs="Arial"/>
          <w:sz w:val="24"/>
          <w:szCs w:val="24"/>
        </w:rPr>
        <w:t>Mabuyane</w:t>
      </w:r>
      <w:r w:rsidR="00B521CD" w:rsidRPr="00C47012">
        <w:rPr>
          <w:rFonts w:ascii="Arial" w:hAnsi="Arial" w:cs="Arial"/>
          <w:sz w:val="24"/>
          <w:szCs w:val="24"/>
        </w:rPr>
        <w:t>’s</w:t>
      </w:r>
      <w:proofErr w:type="spellEnd"/>
      <w:r w:rsidR="009C60A5" w:rsidRPr="00C47012">
        <w:rPr>
          <w:rFonts w:ascii="Arial" w:hAnsi="Arial" w:cs="Arial"/>
          <w:sz w:val="24"/>
          <w:szCs w:val="24"/>
        </w:rPr>
        <w:t xml:space="preserve"> account of these events is material to the conclusion to which I have come.  He had purchased a new home at the time and intended to renovate the home.  Accordingly, he engaged the services of </w:t>
      </w:r>
      <w:r w:rsidR="008A6DB5" w:rsidRPr="00C47012">
        <w:rPr>
          <w:rFonts w:ascii="Arial" w:hAnsi="Arial" w:cs="Arial"/>
          <w:sz w:val="24"/>
          <w:szCs w:val="24"/>
        </w:rPr>
        <w:t>Allan</w:t>
      </w:r>
      <w:r w:rsidR="009C60A5" w:rsidRPr="00C47012">
        <w:rPr>
          <w:rFonts w:ascii="Arial" w:hAnsi="Arial" w:cs="Arial"/>
          <w:sz w:val="24"/>
          <w:szCs w:val="24"/>
        </w:rPr>
        <w:t xml:space="preserve"> </w:t>
      </w:r>
      <w:proofErr w:type="spellStart"/>
      <w:r w:rsidR="009C60A5" w:rsidRPr="00C47012">
        <w:rPr>
          <w:rFonts w:ascii="Arial" w:hAnsi="Arial" w:cs="Arial"/>
          <w:sz w:val="24"/>
          <w:szCs w:val="24"/>
        </w:rPr>
        <w:t>Morran</w:t>
      </w:r>
      <w:proofErr w:type="spellEnd"/>
      <w:r w:rsidR="009C60A5" w:rsidRPr="00C47012">
        <w:rPr>
          <w:rFonts w:ascii="Arial" w:hAnsi="Arial" w:cs="Arial"/>
          <w:sz w:val="24"/>
          <w:szCs w:val="24"/>
        </w:rPr>
        <w:t xml:space="preserve"> Design, a firm rendering architectural services, to prepare plans for the intended renovations.  On receipt thereof</w:t>
      </w:r>
      <w:r w:rsidR="004F2112" w:rsidRPr="00C47012">
        <w:rPr>
          <w:rFonts w:ascii="Arial" w:hAnsi="Arial" w:cs="Arial"/>
          <w:sz w:val="24"/>
          <w:szCs w:val="24"/>
        </w:rPr>
        <w:t>,</w:t>
      </w:r>
      <w:r w:rsidR="009C60A5" w:rsidRPr="00C47012">
        <w:rPr>
          <w:rFonts w:ascii="Arial" w:hAnsi="Arial" w:cs="Arial"/>
          <w:sz w:val="24"/>
          <w:szCs w:val="24"/>
        </w:rPr>
        <w:t xml:space="preserve"> he requested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Morran</w:t>
      </w:r>
      <w:proofErr w:type="spellEnd"/>
      <w:r w:rsidR="009C60A5" w:rsidRPr="00C47012">
        <w:rPr>
          <w:rFonts w:ascii="Arial" w:hAnsi="Arial" w:cs="Arial"/>
          <w:sz w:val="24"/>
          <w:szCs w:val="24"/>
        </w:rPr>
        <w:t xml:space="preserve"> to provide him with an estimate of the costs of construction and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Morran</w:t>
      </w:r>
      <w:proofErr w:type="spellEnd"/>
      <w:r w:rsidR="009C60A5" w:rsidRPr="00C47012">
        <w:rPr>
          <w:rFonts w:ascii="Arial" w:hAnsi="Arial" w:cs="Arial"/>
          <w:sz w:val="24"/>
          <w:szCs w:val="24"/>
        </w:rPr>
        <w:t xml:space="preserve">, after consulting a construction company, provided an estimate in the amount of R450 000.  As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9C60A5" w:rsidRPr="00C47012">
        <w:rPr>
          <w:rFonts w:ascii="Arial" w:hAnsi="Arial" w:cs="Arial"/>
          <w:sz w:val="24"/>
          <w:szCs w:val="24"/>
        </w:rPr>
        <w:t xml:space="preserve"> did not have the finances at his disposal at the time he approached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Madikizela</w:t>
      </w:r>
      <w:proofErr w:type="spellEnd"/>
      <w:r w:rsidR="009C60A5" w:rsidRPr="00C47012">
        <w:rPr>
          <w:rFonts w:ascii="Arial" w:hAnsi="Arial" w:cs="Arial"/>
          <w:sz w:val="24"/>
          <w:szCs w:val="24"/>
        </w:rPr>
        <w:t xml:space="preserve">, a longstanding friend and business associate, who was apparently a man of means and requested him to advance to him </w:t>
      </w:r>
      <w:r w:rsidR="00C276F3" w:rsidRPr="00C47012">
        <w:rPr>
          <w:rFonts w:ascii="Arial" w:hAnsi="Arial" w:cs="Arial"/>
          <w:sz w:val="24"/>
          <w:szCs w:val="24"/>
        </w:rPr>
        <w:t xml:space="preserve">an </w:t>
      </w:r>
      <w:r w:rsidR="009C60A5" w:rsidRPr="00C47012">
        <w:rPr>
          <w:rFonts w:ascii="Arial" w:hAnsi="Arial" w:cs="Arial"/>
          <w:sz w:val="24"/>
          <w:szCs w:val="24"/>
        </w:rPr>
        <w:t xml:space="preserve">amount of R450 000.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Madikizela</w:t>
      </w:r>
      <w:proofErr w:type="spellEnd"/>
      <w:r w:rsidR="009C60A5" w:rsidRPr="00C47012">
        <w:rPr>
          <w:rFonts w:ascii="Arial" w:hAnsi="Arial" w:cs="Arial"/>
          <w:sz w:val="24"/>
          <w:szCs w:val="24"/>
        </w:rPr>
        <w:t xml:space="preserve"> </w:t>
      </w:r>
      <w:proofErr w:type="gramStart"/>
      <w:r w:rsidR="009C60A5" w:rsidRPr="00C47012">
        <w:rPr>
          <w:rFonts w:ascii="Arial" w:hAnsi="Arial" w:cs="Arial"/>
          <w:sz w:val="24"/>
          <w:szCs w:val="24"/>
        </w:rPr>
        <w:t>agreed</w:t>
      </w:r>
      <w:proofErr w:type="gramEnd"/>
      <w:r w:rsidR="009C60A5" w:rsidRPr="00C47012">
        <w:rPr>
          <w:rFonts w:ascii="Arial" w:hAnsi="Arial" w:cs="Arial"/>
          <w:sz w:val="24"/>
          <w:szCs w:val="24"/>
        </w:rPr>
        <w:t xml:space="preserve"> and a written loan agreement was concluded on 23 July 2018</w:t>
      </w:r>
      <w:r w:rsidR="004C0205">
        <w:rPr>
          <w:rStyle w:val="FootnoteReference"/>
          <w:rFonts w:ascii="Arial" w:hAnsi="Arial" w:cs="Arial"/>
          <w:sz w:val="24"/>
          <w:szCs w:val="24"/>
        </w:rPr>
        <w:footnoteReference w:id="2"/>
      </w:r>
      <w:r w:rsidR="009C60A5" w:rsidRPr="00C47012">
        <w:rPr>
          <w:rFonts w:ascii="Arial" w:hAnsi="Arial" w:cs="Arial"/>
          <w:sz w:val="24"/>
          <w:szCs w:val="24"/>
        </w:rPr>
        <w:t xml:space="preserve"> which provided for the advance of the money and the terms of repayment.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9C60A5" w:rsidRPr="00C47012">
        <w:rPr>
          <w:rFonts w:ascii="Arial" w:hAnsi="Arial" w:cs="Arial"/>
          <w:sz w:val="24"/>
          <w:szCs w:val="24"/>
        </w:rPr>
        <w:t xml:space="preserve"> said that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B5745C" w:rsidRPr="00C47012">
        <w:rPr>
          <w:rFonts w:ascii="Arial" w:hAnsi="Arial" w:cs="Arial"/>
          <w:sz w:val="24"/>
          <w:szCs w:val="24"/>
        </w:rPr>
        <w:t>Morran</w:t>
      </w:r>
      <w:proofErr w:type="spellEnd"/>
      <w:r w:rsidR="00B5745C" w:rsidRPr="00C47012">
        <w:rPr>
          <w:rFonts w:ascii="Arial" w:hAnsi="Arial" w:cs="Arial"/>
          <w:sz w:val="24"/>
          <w:szCs w:val="24"/>
        </w:rPr>
        <w:t xml:space="preserve"> was</w:t>
      </w:r>
      <w:r w:rsidR="00FB4141" w:rsidRPr="00C47012">
        <w:rPr>
          <w:rFonts w:ascii="Arial" w:hAnsi="Arial" w:cs="Arial"/>
          <w:sz w:val="24"/>
          <w:szCs w:val="24"/>
        </w:rPr>
        <w:t xml:space="preserve"> appointed </w:t>
      </w:r>
      <w:r w:rsidR="009C60A5" w:rsidRPr="00C47012">
        <w:rPr>
          <w:rFonts w:ascii="Arial" w:hAnsi="Arial" w:cs="Arial"/>
          <w:sz w:val="24"/>
          <w:szCs w:val="24"/>
        </w:rPr>
        <w:t xml:space="preserve">as the principal-agent to manage the </w:t>
      </w:r>
      <w:r w:rsidR="00872670" w:rsidRPr="00C47012">
        <w:rPr>
          <w:rFonts w:ascii="Arial" w:hAnsi="Arial" w:cs="Arial"/>
          <w:sz w:val="24"/>
          <w:szCs w:val="24"/>
        </w:rPr>
        <w:t>execution</w:t>
      </w:r>
      <w:r w:rsidR="009C60A5" w:rsidRPr="00C47012">
        <w:rPr>
          <w:rFonts w:ascii="Arial" w:hAnsi="Arial" w:cs="Arial"/>
          <w:sz w:val="24"/>
          <w:szCs w:val="24"/>
        </w:rPr>
        <w:t xml:space="preserve"> of the renovations and, accordingly,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Madikizela</w:t>
      </w:r>
      <w:proofErr w:type="spellEnd"/>
      <w:r w:rsidR="009C60A5" w:rsidRPr="00C47012">
        <w:rPr>
          <w:rFonts w:ascii="Arial" w:hAnsi="Arial" w:cs="Arial"/>
          <w:sz w:val="24"/>
          <w:szCs w:val="24"/>
        </w:rPr>
        <w:t xml:space="preserve"> </w:t>
      </w:r>
      <w:r w:rsidR="004C0205" w:rsidRPr="00C47012">
        <w:rPr>
          <w:rFonts w:ascii="Arial" w:hAnsi="Arial" w:cs="Arial"/>
          <w:sz w:val="24"/>
          <w:szCs w:val="24"/>
        </w:rPr>
        <w:t xml:space="preserve">was requested </w:t>
      </w:r>
      <w:r w:rsidR="009C60A5" w:rsidRPr="00C47012">
        <w:rPr>
          <w:rFonts w:ascii="Arial" w:hAnsi="Arial" w:cs="Arial"/>
          <w:sz w:val="24"/>
          <w:szCs w:val="24"/>
        </w:rPr>
        <w:t xml:space="preserve">to pay the amount of R450 000 into the account of </w:t>
      </w:r>
      <w:r w:rsidR="008A6DB5" w:rsidRPr="00C47012">
        <w:rPr>
          <w:rFonts w:ascii="Arial" w:hAnsi="Arial" w:cs="Arial"/>
          <w:sz w:val="24"/>
          <w:szCs w:val="24"/>
        </w:rPr>
        <w:t>Allan</w:t>
      </w:r>
      <w:r w:rsidR="009C60A5" w:rsidRPr="00C47012">
        <w:rPr>
          <w:rFonts w:ascii="Arial" w:hAnsi="Arial" w:cs="Arial"/>
          <w:sz w:val="24"/>
          <w:szCs w:val="24"/>
        </w:rPr>
        <w:t xml:space="preserve"> </w:t>
      </w:r>
      <w:proofErr w:type="spellStart"/>
      <w:r w:rsidR="009C60A5" w:rsidRPr="00C47012">
        <w:rPr>
          <w:rFonts w:ascii="Arial" w:hAnsi="Arial" w:cs="Arial"/>
          <w:sz w:val="24"/>
          <w:szCs w:val="24"/>
        </w:rPr>
        <w:t>Morran</w:t>
      </w:r>
      <w:proofErr w:type="spellEnd"/>
      <w:r w:rsidR="009C60A5" w:rsidRPr="00C47012">
        <w:rPr>
          <w:rFonts w:ascii="Arial" w:hAnsi="Arial" w:cs="Arial"/>
          <w:sz w:val="24"/>
          <w:szCs w:val="24"/>
        </w:rPr>
        <w:t xml:space="preserve"> Design so that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Morran</w:t>
      </w:r>
      <w:proofErr w:type="spellEnd"/>
      <w:r w:rsidR="009C60A5" w:rsidRPr="00C47012">
        <w:rPr>
          <w:rFonts w:ascii="Arial" w:hAnsi="Arial" w:cs="Arial"/>
          <w:sz w:val="24"/>
          <w:szCs w:val="24"/>
        </w:rPr>
        <w:t xml:space="preserve"> could make payment to suppliers and contractors </w:t>
      </w:r>
      <w:proofErr w:type="gramStart"/>
      <w:r w:rsidR="009C60A5" w:rsidRPr="00C47012">
        <w:rPr>
          <w:rFonts w:ascii="Arial" w:hAnsi="Arial" w:cs="Arial"/>
          <w:sz w:val="24"/>
          <w:szCs w:val="24"/>
        </w:rPr>
        <w:t>during the course of</w:t>
      </w:r>
      <w:proofErr w:type="gramEnd"/>
      <w:r w:rsidR="009C60A5" w:rsidRPr="00C47012">
        <w:rPr>
          <w:rFonts w:ascii="Arial" w:hAnsi="Arial" w:cs="Arial"/>
          <w:sz w:val="24"/>
          <w:szCs w:val="24"/>
        </w:rPr>
        <w:t xml:space="preserve"> the construction.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Morran</w:t>
      </w:r>
      <w:proofErr w:type="spellEnd"/>
      <w:r w:rsidR="009C60A5" w:rsidRPr="00C47012">
        <w:rPr>
          <w:rFonts w:ascii="Arial" w:hAnsi="Arial" w:cs="Arial"/>
          <w:sz w:val="24"/>
          <w:szCs w:val="24"/>
        </w:rPr>
        <w:t xml:space="preserve"> was indeed appointed as the principal-agent for this </w:t>
      </w:r>
      <w:proofErr w:type="gramStart"/>
      <w:r w:rsidR="009C60A5" w:rsidRPr="00C47012">
        <w:rPr>
          <w:rFonts w:ascii="Arial" w:hAnsi="Arial" w:cs="Arial"/>
          <w:sz w:val="24"/>
          <w:szCs w:val="24"/>
        </w:rPr>
        <w:t>purpose</w:t>
      </w:r>
      <w:proofErr w:type="gramEnd"/>
      <w:r w:rsidR="009C60A5" w:rsidRPr="00C47012">
        <w:rPr>
          <w:rFonts w:ascii="Arial" w:hAnsi="Arial" w:cs="Arial"/>
          <w:sz w:val="24"/>
          <w:szCs w:val="24"/>
        </w:rPr>
        <w:t xml:space="preserve"> and he managed the construction of the subsequent </w:t>
      </w:r>
      <w:r w:rsidR="009C60A5" w:rsidRPr="00C47012">
        <w:rPr>
          <w:rFonts w:ascii="Arial" w:hAnsi="Arial" w:cs="Arial"/>
          <w:sz w:val="24"/>
          <w:szCs w:val="24"/>
        </w:rPr>
        <w:lastRenderedPageBreak/>
        <w:t xml:space="preserve">renovations.  </w:t>
      </w:r>
      <w:r w:rsidR="004C0205" w:rsidRPr="00C47012">
        <w:rPr>
          <w:rFonts w:ascii="Arial" w:hAnsi="Arial" w:cs="Arial"/>
          <w:sz w:val="24"/>
          <w:szCs w:val="24"/>
        </w:rPr>
        <w:t>He said that he</w:t>
      </w:r>
      <w:r w:rsidR="00FB4141" w:rsidRPr="00C47012">
        <w:rPr>
          <w:rFonts w:ascii="Arial" w:hAnsi="Arial" w:cs="Arial"/>
          <w:sz w:val="24"/>
          <w:szCs w:val="24"/>
        </w:rPr>
        <w:t xml:space="preserve"> was advised by </w:t>
      </w:r>
      <w:proofErr w:type="spellStart"/>
      <w:r w:rsidR="00FB4141" w:rsidRPr="00C47012">
        <w:rPr>
          <w:rFonts w:ascii="Arial" w:hAnsi="Arial" w:cs="Arial"/>
          <w:sz w:val="24"/>
          <w:szCs w:val="24"/>
        </w:rPr>
        <w:t>Mr</w:t>
      </w:r>
      <w:proofErr w:type="spellEnd"/>
      <w:r w:rsidR="00FB4141" w:rsidRPr="00C47012">
        <w:rPr>
          <w:rFonts w:ascii="Arial" w:hAnsi="Arial" w:cs="Arial"/>
          <w:sz w:val="24"/>
          <w:szCs w:val="24"/>
        </w:rPr>
        <w:t xml:space="preserve"> </w:t>
      </w:r>
      <w:proofErr w:type="spellStart"/>
      <w:r w:rsidR="00FB4141" w:rsidRPr="00C47012">
        <w:rPr>
          <w:rFonts w:ascii="Arial" w:hAnsi="Arial" w:cs="Arial"/>
          <w:sz w:val="24"/>
          <w:szCs w:val="24"/>
        </w:rPr>
        <w:t>Mabuyane’s</w:t>
      </w:r>
      <w:proofErr w:type="spellEnd"/>
      <w:r w:rsidR="00FB4141" w:rsidRPr="00C47012">
        <w:rPr>
          <w:rFonts w:ascii="Arial" w:hAnsi="Arial" w:cs="Arial"/>
          <w:sz w:val="24"/>
          <w:szCs w:val="24"/>
        </w:rPr>
        <w:t xml:space="preserve"> wife that the money deposited was to be used </w:t>
      </w:r>
      <w:r w:rsidR="00D02E9A" w:rsidRPr="00C47012">
        <w:rPr>
          <w:rFonts w:ascii="Arial" w:hAnsi="Arial" w:cs="Arial"/>
          <w:sz w:val="24"/>
          <w:szCs w:val="24"/>
        </w:rPr>
        <w:t xml:space="preserve">for </w:t>
      </w:r>
      <w:r w:rsidR="004C0205" w:rsidRPr="00C47012">
        <w:rPr>
          <w:rFonts w:ascii="Arial" w:hAnsi="Arial" w:cs="Arial"/>
          <w:sz w:val="24"/>
          <w:szCs w:val="24"/>
        </w:rPr>
        <w:t>this purpose and</w:t>
      </w:r>
      <w:r w:rsidR="00372A22" w:rsidRPr="00C47012">
        <w:rPr>
          <w:rFonts w:ascii="Arial" w:hAnsi="Arial" w:cs="Arial"/>
          <w:sz w:val="24"/>
          <w:szCs w:val="24"/>
        </w:rPr>
        <w:t xml:space="preserve">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9C60A5" w:rsidRPr="00C47012">
        <w:rPr>
          <w:rFonts w:ascii="Arial" w:hAnsi="Arial" w:cs="Arial"/>
          <w:sz w:val="24"/>
          <w:szCs w:val="24"/>
        </w:rPr>
        <w:t xml:space="preserve"> </w:t>
      </w:r>
      <w:r w:rsidR="004C0205" w:rsidRPr="00C47012">
        <w:rPr>
          <w:rFonts w:ascii="Arial" w:hAnsi="Arial" w:cs="Arial"/>
          <w:sz w:val="24"/>
          <w:szCs w:val="24"/>
        </w:rPr>
        <w:t>maintained</w:t>
      </w:r>
      <w:r w:rsidR="009C60A5" w:rsidRPr="00C47012">
        <w:rPr>
          <w:rFonts w:ascii="Arial" w:hAnsi="Arial" w:cs="Arial"/>
          <w:sz w:val="24"/>
          <w:szCs w:val="24"/>
        </w:rPr>
        <w:t xml:space="preserve"> that he had no knowledge of the interaction between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Madikizela</w:t>
      </w:r>
      <w:proofErr w:type="spellEnd"/>
      <w:r w:rsidR="000D1EA2" w:rsidRPr="00C47012">
        <w:rPr>
          <w:rFonts w:ascii="Arial" w:hAnsi="Arial" w:cs="Arial"/>
          <w:sz w:val="24"/>
          <w:szCs w:val="24"/>
        </w:rPr>
        <w:t xml:space="preserve">, </w:t>
      </w:r>
      <w:proofErr w:type="spellStart"/>
      <w:r w:rsidR="0092103C" w:rsidRPr="00C47012">
        <w:rPr>
          <w:rFonts w:ascii="Arial" w:hAnsi="Arial" w:cs="Arial"/>
          <w:sz w:val="24"/>
          <w:szCs w:val="24"/>
        </w:rPr>
        <w:t>Mr</w:t>
      </w:r>
      <w:proofErr w:type="spellEnd"/>
      <w:r w:rsidR="0092103C" w:rsidRPr="00C47012">
        <w:rPr>
          <w:rFonts w:ascii="Arial" w:hAnsi="Arial" w:cs="Arial"/>
          <w:sz w:val="24"/>
          <w:szCs w:val="24"/>
        </w:rPr>
        <w:t xml:space="preserve"> </w:t>
      </w:r>
      <w:proofErr w:type="spellStart"/>
      <w:r w:rsidR="0092103C" w:rsidRPr="00C47012">
        <w:rPr>
          <w:rFonts w:ascii="Arial" w:hAnsi="Arial" w:cs="Arial"/>
          <w:sz w:val="24"/>
          <w:szCs w:val="24"/>
        </w:rPr>
        <w:t>Mahlaka</w:t>
      </w:r>
      <w:proofErr w:type="spellEnd"/>
      <w:r w:rsidR="00D02E9A" w:rsidRPr="00C47012">
        <w:rPr>
          <w:rFonts w:ascii="Arial" w:hAnsi="Arial" w:cs="Arial"/>
          <w:sz w:val="24"/>
          <w:szCs w:val="24"/>
        </w:rPr>
        <w:t>,</w:t>
      </w:r>
      <w:r w:rsidR="009C60A5" w:rsidRPr="00C47012">
        <w:rPr>
          <w:rFonts w:ascii="Arial" w:hAnsi="Arial" w:cs="Arial"/>
          <w:sz w:val="24"/>
          <w:szCs w:val="24"/>
        </w:rPr>
        <w:t xml:space="preserve"> and </w:t>
      </w:r>
      <w:proofErr w:type="spellStart"/>
      <w:r w:rsidR="00116448" w:rsidRPr="00C47012">
        <w:rPr>
          <w:rFonts w:ascii="Arial" w:hAnsi="Arial" w:cs="Arial"/>
          <w:sz w:val="24"/>
          <w:szCs w:val="24"/>
        </w:rPr>
        <w:t>Mthombeni</w:t>
      </w:r>
      <w:proofErr w:type="spellEnd"/>
      <w:r w:rsidR="009C60A5" w:rsidRPr="00C47012">
        <w:rPr>
          <w:rFonts w:ascii="Arial" w:hAnsi="Arial" w:cs="Arial"/>
          <w:sz w:val="24"/>
          <w:szCs w:val="24"/>
        </w:rPr>
        <w:t xml:space="preserve"> and </w:t>
      </w:r>
      <w:r w:rsidR="0092103C" w:rsidRPr="00C47012">
        <w:rPr>
          <w:rFonts w:ascii="Arial" w:hAnsi="Arial" w:cs="Arial"/>
          <w:sz w:val="24"/>
          <w:szCs w:val="24"/>
        </w:rPr>
        <w:t xml:space="preserve">had </w:t>
      </w:r>
      <w:r w:rsidR="009C60A5" w:rsidRPr="00C47012">
        <w:rPr>
          <w:rFonts w:ascii="Arial" w:hAnsi="Arial" w:cs="Arial"/>
          <w:sz w:val="24"/>
          <w:szCs w:val="24"/>
        </w:rPr>
        <w:t xml:space="preserve">believed </w:t>
      </w:r>
      <w:r w:rsidR="0092103C" w:rsidRPr="00C47012">
        <w:rPr>
          <w:rFonts w:ascii="Arial" w:hAnsi="Arial" w:cs="Arial"/>
          <w:sz w:val="24"/>
          <w:szCs w:val="24"/>
        </w:rPr>
        <w:t xml:space="preserve">that </w:t>
      </w:r>
      <w:r w:rsidR="009C60A5" w:rsidRPr="00C47012">
        <w:rPr>
          <w:rFonts w:ascii="Arial" w:hAnsi="Arial" w:cs="Arial"/>
          <w:sz w:val="24"/>
          <w:szCs w:val="24"/>
        </w:rPr>
        <w:t xml:space="preserve">the loan </w:t>
      </w:r>
      <w:r w:rsidR="0092103C" w:rsidRPr="00C47012">
        <w:rPr>
          <w:rFonts w:ascii="Arial" w:hAnsi="Arial" w:cs="Arial"/>
          <w:sz w:val="24"/>
          <w:szCs w:val="24"/>
        </w:rPr>
        <w:t>had been</w:t>
      </w:r>
      <w:r w:rsidR="009C60A5" w:rsidRPr="00C47012">
        <w:rPr>
          <w:rFonts w:ascii="Arial" w:hAnsi="Arial" w:cs="Arial"/>
          <w:sz w:val="24"/>
          <w:szCs w:val="24"/>
        </w:rPr>
        <w:t xml:space="preserve"> advanced to him by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Madikizela</w:t>
      </w:r>
      <w:proofErr w:type="spellEnd"/>
      <w:r w:rsidR="000D1EA2" w:rsidRPr="00C47012">
        <w:rPr>
          <w:rFonts w:ascii="Arial" w:hAnsi="Arial" w:cs="Arial"/>
          <w:sz w:val="24"/>
          <w:szCs w:val="24"/>
        </w:rPr>
        <w:t>.  He said</w:t>
      </w:r>
      <w:r w:rsidR="00BA4791" w:rsidRPr="00C47012">
        <w:rPr>
          <w:rFonts w:ascii="Arial" w:hAnsi="Arial" w:cs="Arial"/>
          <w:sz w:val="24"/>
          <w:szCs w:val="24"/>
        </w:rPr>
        <w:t xml:space="preserve"> that the loan had been repaid</w:t>
      </w:r>
      <w:r w:rsidR="000D1EA2" w:rsidRPr="00C47012">
        <w:rPr>
          <w:rFonts w:ascii="Arial" w:hAnsi="Arial" w:cs="Arial"/>
          <w:sz w:val="24"/>
          <w:szCs w:val="24"/>
        </w:rPr>
        <w:t xml:space="preserve"> in full even</w:t>
      </w:r>
      <w:r w:rsidR="00BA4791" w:rsidRPr="00C47012">
        <w:rPr>
          <w:rFonts w:ascii="Arial" w:hAnsi="Arial" w:cs="Arial"/>
          <w:sz w:val="24"/>
          <w:szCs w:val="24"/>
        </w:rPr>
        <w:t xml:space="preserve"> before the PP started her investigation</w:t>
      </w:r>
      <w:r w:rsidR="000D1EA2" w:rsidRPr="00C47012">
        <w:rPr>
          <w:rFonts w:ascii="Arial" w:hAnsi="Arial" w:cs="Arial"/>
          <w:sz w:val="24"/>
          <w:szCs w:val="24"/>
        </w:rPr>
        <w:t xml:space="preserve"> and he provided documentary proof thereof</w:t>
      </w:r>
      <w:r w:rsidR="009C60A5" w:rsidRPr="00C47012">
        <w:rPr>
          <w:rFonts w:ascii="Arial" w:hAnsi="Arial" w:cs="Arial"/>
          <w:sz w:val="24"/>
          <w:szCs w:val="24"/>
        </w:rPr>
        <w:t xml:space="preserve">.  I shall revert to </w:t>
      </w:r>
      <w:r w:rsidR="0092103C" w:rsidRPr="00C47012">
        <w:rPr>
          <w:rFonts w:ascii="Arial" w:hAnsi="Arial" w:cs="Arial"/>
          <w:sz w:val="24"/>
          <w:szCs w:val="24"/>
        </w:rPr>
        <w:t>this</w:t>
      </w:r>
      <w:r w:rsidR="009C60A5" w:rsidRPr="00C47012">
        <w:rPr>
          <w:rFonts w:ascii="Arial" w:hAnsi="Arial" w:cs="Arial"/>
          <w:sz w:val="24"/>
          <w:szCs w:val="24"/>
        </w:rPr>
        <w:t xml:space="preserve"> issue later.  </w:t>
      </w:r>
    </w:p>
    <w:p w14:paraId="05CA9502" w14:textId="77777777" w:rsidR="009C60A5" w:rsidRDefault="009C60A5" w:rsidP="008231CE">
      <w:pPr>
        <w:spacing w:after="0" w:line="480" w:lineRule="auto"/>
        <w:contextualSpacing/>
        <w:jc w:val="both"/>
        <w:rPr>
          <w:rFonts w:ascii="Arial" w:hAnsi="Arial" w:cs="Arial"/>
          <w:sz w:val="24"/>
          <w:szCs w:val="24"/>
        </w:rPr>
      </w:pPr>
    </w:p>
    <w:p w14:paraId="47C32253" w14:textId="0B2131B5" w:rsidR="009C60A5" w:rsidRPr="00C47012" w:rsidRDefault="00C47012" w:rsidP="00C47012">
      <w:pPr>
        <w:spacing w:after="0" w:line="480" w:lineRule="auto"/>
        <w:jc w:val="both"/>
        <w:rPr>
          <w:rFonts w:ascii="Arial" w:hAnsi="Arial" w:cs="Arial"/>
          <w:sz w:val="24"/>
          <w:szCs w:val="24"/>
        </w:rPr>
      </w:pPr>
      <w:r w:rsidRPr="00116448">
        <w:rPr>
          <w:rFonts w:ascii="Arial" w:hAnsi="Arial" w:cs="Arial"/>
          <w:color w:val="000000" w:themeColor="text1"/>
          <w:sz w:val="24"/>
          <w:szCs w:val="24"/>
        </w:rPr>
        <w:t>[10]</w:t>
      </w:r>
      <w:r w:rsidRPr="00116448">
        <w:rPr>
          <w:rFonts w:ascii="Arial" w:hAnsi="Arial" w:cs="Arial"/>
          <w:color w:val="000000" w:themeColor="text1"/>
          <w:sz w:val="24"/>
          <w:szCs w:val="24"/>
        </w:rPr>
        <w:tab/>
      </w:r>
      <w:r w:rsidR="009C60A5" w:rsidRPr="00C47012">
        <w:rPr>
          <w:rFonts w:ascii="Arial" w:hAnsi="Arial" w:cs="Arial"/>
          <w:sz w:val="24"/>
          <w:szCs w:val="24"/>
        </w:rPr>
        <w:t xml:space="preserve">The </w:t>
      </w:r>
      <w:r w:rsidR="00872670" w:rsidRPr="00C47012">
        <w:rPr>
          <w:rFonts w:ascii="Arial" w:hAnsi="Arial" w:cs="Arial"/>
          <w:sz w:val="24"/>
          <w:szCs w:val="24"/>
        </w:rPr>
        <w:t xml:space="preserve">facts underlying the second question </w:t>
      </w:r>
      <w:r w:rsidR="009C60A5" w:rsidRPr="00C47012">
        <w:rPr>
          <w:rFonts w:ascii="Arial" w:hAnsi="Arial" w:cs="Arial"/>
          <w:sz w:val="24"/>
          <w:szCs w:val="24"/>
        </w:rPr>
        <w:t xml:space="preserve">also arose from information provided by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Bam.  He said that on 7 August 2018</w:t>
      </w:r>
      <w:r w:rsidR="00D02E9A" w:rsidRPr="00C47012">
        <w:rPr>
          <w:rFonts w:ascii="Arial" w:hAnsi="Arial" w:cs="Arial"/>
          <w:sz w:val="24"/>
          <w:szCs w:val="24"/>
        </w:rPr>
        <w:t>,</w:t>
      </w:r>
      <w:r w:rsidR="009C60A5" w:rsidRPr="00C47012">
        <w:rPr>
          <w:rFonts w:ascii="Arial" w:hAnsi="Arial" w:cs="Arial"/>
          <w:sz w:val="24"/>
          <w:szCs w:val="24"/>
        </w:rPr>
        <w:t xml:space="preserve"> he had received a call from </w:t>
      </w:r>
      <w:proofErr w:type="spellStart"/>
      <w:r w:rsidR="009C60A5" w:rsidRPr="00C47012">
        <w:rPr>
          <w:rFonts w:ascii="Arial" w:hAnsi="Arial" w:cs="Arial"/>
          <w:sz w:val="24"/>
          <w:szCs w:val="24"/>
        </w:rPr>
        <w:t>Mr</w:t>
      </w:r>
      <w:proofErr w:type="spellEnd"/>
      <w:r w:rsidR="009C60A5" w:rsidRPr="00C47012">
        <w:rPr>
          <w:rFonts w:ascii="Arial" w:hAnsi="Arial" w:cs="Arial"/>
          <w:sz w:val="24"/>
          <w:szCs w:val="24"/>
        </w:rPr>
        <w:t xml:space="preserve"> </w:t>
      </w:r>
      <w:proofErr w:type="spellStart"/>
      <w:r w:rsidR="009C60A5" w:rsidRPr="00C47012">
        <w:rPr>
          <w:rFonts w:ascii="Arial" w:hAnsi="Arial" w:cs="Arial"/>
          <w:sz w:val="24"/>
          <w:szCs w:val="24"/>
        </w:rPr>
        <w:t>Mhlaba</w:t>
      </w:r>
      <w:proofErr w:type="spellEnd"/>
      <w:r w:rsidR="006D4514" w:rsidRPr="00C47012">
        <w:rPr>
          <w:rFonts w:ascii="Arial" w:hAnsi="Arial" w:cs="Arial"/>
          <w:sz w:val="24"/>
          <w:szCs w:val="24"/>
        </w:rPr>
        <w:t>, the C</w:t>
      </w:r>
      <w:r w:rsidR="00DA01BD" w:rsidRPr="00C47012">
        <w:rPr>
          <w:rFonts w:ascii="Arial" w:hAnsi="Arial" w:cs="Arial"/>
          <w:sz w:val="24"/>
          <w:szCs w:val="24"/>
        </w:rPr>
        <w:t xml:space="preserve">hief of </w:t>
      </w:r>
      <w:r w:rsidR="006D4514" w:rsidRPr="00C47012">
        <w:rPr>
          <w:rFonts w:ascii="Arial" w:hAnsi="Arial" w:cs="Arial"/>
          <w:sz w:val="24"/>
          <w:szCs w:val="24"/>
        </w:rPr>
        <w:t>S</w:t>
      </w:r>
      <w:r w:rsidR="00360D33" w:rsidRPr="00C47012">
        <w:rPr>
          <w:rFonts w:ascii="Arial" w:hAnsi="Arial" w:cs="Arial"/>
          <w:sz w:val="24"/>
          <w:szCs w:val="24"/>
        </w:rPr>
        <w:t>taff in</w:t>
      </w:r>
      <w:r w:rsidR="0092103C" w:rsidRPr="00C47012">
        <w:rPr>
          <w:rFonts w:ascii="Arial" w:hAnsi="Arial" w:cs="Arial"/>
          <w:sz w:val="24"/>
          <w:szCs w:val="24"/>
        </w:rPr>
        <w:t xml:space="preserve"> the office </w:t>
      </w:r>
      <w:r w:rsidR="00DA01BD" w:rsidRPr="00C47012">
        <w:rPr>
          <w:rFonts w:ascii="Arial" w:hAnsi="Arial" w:cs="Arial"/>
          <w:sz w:val="24"/>
          <w:szCs w:val="24"/>
        </w:rPr>
        <w:t xml:space="preserve">of </w:t>
      </w:r>
      <w:proofErr w:type="spellStart"/>
      <w:r w:rsidR="00DA01BD" w:rsidRPr="00C47012">
        <w:rPr>
          <w:rFonts w:ascii="Arial" w:hAnsi="Arial" w:cs="Arial"/>
          <w:sz w:val="24"/>
          <w:szCs w:val="24"/>
        </w:rPr>
        <w:t>Mr</w:t>
      </w:r>
      <w:proofErr w:type="spellEnd"/>
      <w:r w:rsidR="00DA01BD"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DA01BD" w:rsidRPr="00C47012">
        <w:rPr>
          <w:rFonts w:ascii="Arial" w:hAnsi="Arial" w:cs="Arial"/>
          <w:sz w:val="24"/>
          <w:szCs w:val="24"/>
        </w:rPr>
        <w:t xml:space="preserve">.  </w:t>
      </w:r>
      <w:proofErr w:type="spellStart"/>
      <w:r w:rsidR="00DA01BD" w:rsidRPr="00C47012">
        <w:rPr>
          <w:rFonts w:ascii="Arial" w:hAnsi="Arial" w:cs="Arial"/>
          <w:sz w:val="24"/>
          <w:szCs w:val="24"/>
        </w:rPr>
        <w:t>Mr</w:t>
      </w:r>
      <w:proofErr w:type="spellEnd"/>
      <w:r w:rsidR="00DA01BD" w:rsidRPr="00C47012">
        <w:rPr>
          <w:rFonts w:ascii="Arial" w:hAnsi="Arial" w:cs="Arial"/>
          <w:sz w:val="24"/>
          <w:szCs w:val="24"/>
        </w:rPr>
        <w:t xml:space="preserve"> </w:t>
      </w:r>
      <w:proofErr w:type="spellStart"/>
      <w:r w:rsidR="00DA01BD" w:rsidRPr="00C47012">
        <w:rPr>
          <w:rFonts w:ascii="Arial" w:hAnsi="Arial" w:cs="Arial"/>
          <w:sz w:val="24"/>
          <w:szCs w:val="24"/>
        </w:rPr>
        <w:t>Mhlaba</w:t>
      </w:r>
      <w:proofErr w:type="spellEnd"/>
      <w:r w:rsidR="00DA01BD" w:rsidRPr="00C47012">
        <w:rPr>
          <w:rFonts w:ascii="Arial" w:hAnsi="Arial" w:cs="Arial"/>
          <w:sz w:val="24"/>
          <w:szCs w:val="24"/>
        </w:rPr>
        <w:t xml:space="preserve"> forwarded to him the cellphone number of </w:t>
      </w:r>
      <w:proofErr w:type="spellStart"/>
      <w:r w:rsidR="00DA01BD" w:rsidRPr="00C47012">
        <w:rPr>
          <w:rFonts w:ascii="Arial" w:hAnsi="Arial" w:cs="Arial"/>
          <w:sz w:val="24"/>
          <w:szCs w:val="24"/>
        </w:rPr>
        <w:t>Mr</w:t>
      </w:r>
      <w:proofErr w:type="spellEnd"/>
      <w:r w:rsidR="00DA01BD" w:rsidRPr="00C47012">
        <w:rPr>
          <w:rFonts w:ascii="Arial" w:hAnsi="Arial" w:cs="Arial"/>
          <w:sz w:val="24"/>
          <w:szCs w:val="24"/>
        </w:rPr>
        <w:t xml:space="preserve"> </w:t>
      </w:r>
      <w:proofErr w:type="spellStart"/>
      <w:r w:rsidR="00DA01BD" w:rsidRPr="00C47012">
        <w:rPr>
          <w:rFonts w:ascii="Arial" w:hAnsi="Arial" w:cs="Arial"/>
          <w:sz w:val="24"/>
          <w:szCs w:val="24"/>
        </w:rPr>
        <w:t>P</w:t>
      </w:r>
      <w:r w:rsidR="0092103C" w:rsidRPr="00C47012">
        <w:rPr>
          <w:rFonts w:ascii="Arial" w:hAnsi="Arial" w:cs="Arial"/>
          <w:sz w:val="24"/>
          <w:szCs w:val="24"/>
        </w:rPr>
        <w:t>h</w:t>
      </w:r>
      <w:r w:rsidR="00DA01BD" w:rsidRPr="00C47012">
        <w:rPr>
          <w:rFonts w:ascii="Arial" w:hAnsi="Arial" w:cs="Arial"/>
          <w:sz w:val="24"/>
          <w:szCs w:val="24"/>
        </w:rPr>
        <w:t>ala</w:t>
      </w:r>
      <w:proofErr w:type="spellEnd"/>
      <w:r w:rsidR="00DA01BD" w:rsidRPr="00C47012">
        <w:rPr>
          <w:rFonts w:ascii="Arial" w:hAnsi="Arial" w:cs="Arial"/>
          <w:sz w:val="24"/>
          <w:szCs w:val="24"/>
        </w:rPr>
        <w:t>, a directo</w:t>
      </w:r>
      <w:r w:rsidR="0092103C" w:rsidRPr="00C47012">
        <w:rPr>
          <w:rFonts w:ascii="Arial" w:hAnsi="Arial" w:cs="Arial"/>
          <w:sz w:val="24"/>
          <w:szCs w:val="24"/>
        </w:rPr>
        <w:t>r of Key Spirit</w:t>
      </w:r>
      <w:r w:rsidR="00D02E9A" w:rsidRPr="00C47012">
        <w:rPr>
          <w:rFonts w:ascii="Arial" w:hAnsi="Arial" w:cs="Arial"/>
          <w:sz w:val="24"/>
          <w:szCs w:val="24"/>
        </w:rPr>
        <w:t>,</w:t>
      </w:r>
      <w:r w:rsidR="0092103C" w:rsidRPr="00C47012">
        <w:rPr>
          <w:rFonts w:ascii="Arial" w:hAnsi="Arial" w:cs="Arial"/>
          <w:sz w:val="24"/>
          <w:szCs w:val="24"/>
        </w:rPr>
        <w:t xml:space="preserve"> </w:t>
      </w:r>
      <w:r w:rsidR="00DA01BD" w:rsidRPr="00C47012">
        <w:rPr>
          <w:rFonts w:ascii="Arial" w:hAnsi="Arial" w:cs="Arial"/>
          <w:sz w:val="24"/>
          <w:szCs w:val="24"/>
        </w:rPr>
        <w:t xml:space="preserve">and instructed Bam to liaise with </w:t>
      </w:r>
      <w:proofErr w:type="spellStart"/>
      <w:r w:rsidR="00DA01BD" w:rsidRPr="00C47012">
        <w:rPr>
          <w:rFonts w:ascii="Arial" w:hAnsi="Arial" w:cs="Arial"/>
          <w:sz w:val="24"/>
          <w:szCs w:val="24"/>
        </w:rPr>
        <w:t>Mr</w:t>
      </w:r>
      <w:proofErr w:type="spellEnd"/>
      <w:r w:rsidR="00DA01BD" w:rsidRPr="00C47012">
        <w:rPr>
          <w:rFonts w:ascii="Arial" w:hAnsi="Arial" w:cs="Arial"/>
          <w:sz w:val="24"/>
          <w:szCs w:val="24"/>
        </w:rPr>
        <w:t xml:space="preserve"> </w:t>
      </w:r>
      <w:proofErr w:type="spellStart"/>
      <w:r w:rsidR="00DA01BD" w:rsidRPr="00C47012">
        <w:rPr>
          <w:rFonts w:ascii="Arial" w:hAnsi="Arial" w:cs="Arial"/>
          <w:sz w:val="24"/>
          <w:szCs w:val="24"/>
        </w:rPr>
        <w:t>P</w:t>
      </w:r>
      <w:r w:rsidR="0092103C" w:rsidRPr="00C47012">
        <w:rPr>
          <w:rFonts w:ascii="Arial" w:hAnsi="Arial" w:cs="Arial"/>
          <w:sz w:val="24"/>
          <w:szCs w:val="24"/>
        </w:rPr>
        <w:t>h</w:t>
      </w:r>
      <w:r w:rsidR="00DA01BD" w:rsidRPr="00C47012">
        <w:rPr>
          <w:rFonts w:ascii="Arial" w:hAnsi="Arial" w:cs="Arial"/>
          <w:sz w:val="24"/>
          <w:szCs w:val="24"/>
        </w:rPr>
        <w:t>ala</w:t>
      </w:r>
      <w:proofErr w:type="spellEnd"/>
      <w:r w:rsidR="00DA01BD" w:rsidRPr="00C47012">
        <w:rPr>
          <w:rFonts w:ascii="Arial" w:hAnsi="Arial" w:cs="Arial"/>
          <w:sz w:val="24"/>
          <w:szCs w:val="24"/>
        </w:rPr>
        <w:t xml:space="preserve"> </w:t>
      </w:r>
      <w:proofErr w:type="gramStart"/>
      <w:r w:rsidR="00DA01BD" w:rsidRPr="00C47012">
        <w:rPr>
          <w:rFonts w:ascii="Arial" w:hAnsi="Arial" w:cs="Arial"/>
          <w:sz w:val="24"/>
          <w:szCs w:val="24"/>
        </w:rPr>
        <w:t>in order to</w:t>
      </w:r>
      <w:proofErr w:type="gramEnd"/>
      <w:r w:rsidR="00DA01BD" w:rsidRPr="00C47012">
        <w:rPr>
          <w:rFonts w:ascii="Arial" w:hAnsi="Arial" w:cs="Arial"/>
          <w:sz w:val="24"/>
          <w:szCs w:val="24"/>
        </w:rPr>
        <w:t xml:space="preserve"> prepare an invoice for </w:t>
      </w:r>
      <w:r w:rsidR="007576E5" w:rsidRPr="00C47012">
        <w:rPr>
          <w:rFonts w:ascii="Arial" w:hAnsi="Arial" w:cs="Arial"/>
          <w:sz w:val="24"/>
          <w:szCs w:val="24"/>
        </w:rPr>
        <w:t>R2.2</w:t>
      </w:r>
      <w:r w:rsidR="00DA01BD" w:rsidRPr="00C47012">
        <w:rPr>
          <w:rFonts w:ascii="Arial" w:hAnsi="Arial" w:cs="Arial"/>
          <w:sz w:val="24"/>
          <w:szCs w:val="24"/>
        </w:rPr>
        <w:t xml:space="preserve"> million to be made out as if he was billing for coil sheets (coils).  He duly did so and an amount of </w:t>
      </w:r>
      <w:r w:rsidR="007576E5" w:rsidRPr="00C47012">
        <w:rPr>
          <w:rFonts w:ascii="Arial" w:hAnsi="Arial" w:cs="Arial"/>
          <w:sz w:val="24"/>
          <w:szCs w:val="24"/>
        </w:rPr>
        <w:t>R2.2</w:t>
      </w:r>
      <w:r w:rsidR="00DA01BD" w:rsidRPr="00C47012">
        <w:rPr>
          <w:rFonts w:ascii="Arial" w:hAnsi="Arial" w:cs="Arial"/>
          <w:sz w:val="24"/>
          <w:szCs w:val="24"/>
        </w:rPr>
        <w:t xml:space="preserve"> million was subsequently paid into his account.</w:t>
      </w:r>
    </w:p>
    <w:p w14:paraId="2408B7A0" w14:textId="77777777" w:rsidR="00DA01BD" w:rsidRDefault="00DA01BD" w:rsidP="008231CE">
      <w:pPr>
        <w:spacing w:after="0" w:line="480" w:lineRule="auto"/>
        <w:contextualSpacing/>
        <w:jc w:val="both"/>
        <w:rPr>
          <w:rFonts w:ascii="Arial" w:hAnsi="Arial" w:cs="Arial"/>
          <w:sz w:val="24"/>
          <w:szCs w:val="24"/>
        </w:rPr>
      </w:pPr>
    </w:p>
    <w:p w14:paraId="7D79370F" w14:textId="34D6E81F" w:rsidR="00DA01BD" w:rsidRPr="00C47012" w:rsidRDefault="00C47012" w:rsidP="00C47012">
      <w:pPr>
        <w:spacing w:after="0" w:line="480" w:lineRule="auto"/>
        <w:jc w:val="both"/>
        <w:rPr>
          <w:rFonts w:ascii="Arial" w:hAnsi="Arial" w:cs="Arial"/>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DA01BD" w:rsidRPr="00C47012">
        <w:rPr>
          <w:rFonts w:ascii="Arial" w:hAnsi="Arial" w:cs="Arial"/>
          <w:sz w:val="24"/>
          <w:szCs w:val="24"/>
        </w:rPr>
        <w:t xml:space="preserve">The </w:t>
      </w:r>
      <w:r w:rsidR="008A6DB5" w:rsidRPr="00C47012">
        <w:rPr>
          <w:rFonts w:ascii="Arial" w:hAnsi="Arial" w:cs="Arial"/>
          <w:sz w:val="24"/>
          <w:szCs w:val="24"/>
        </w:rPr>
        <w:t>PP</w:t>
      </w:r>
      <w:r w:rsidR="00DA01BD" w:rsidRPr="00C47012">
        <w:rPr>
          <w:rFonts w:ascii="Arial" w:hAnsi="Arial" w:cs="Arial"/>
          <w:sz w:val="24"/>
          <w:szCs w:val="24"/>
        </w:rPr>
        <w:t xml:space="preserve"> alleged </w:t>
      </w:r>
      <w:r w:rsidR="00731681" w:rsidRPr="00C47012">
        <w:rPr>
          <w:rFonts w:ascii="Arial" w:hAnsi="Arial" w:cs="Arial"/>
          <w:sz w:val="24"/>
          <w:szCs w:val="24"/>
        </w:rPr>
        <w:t xml:space="preserve">in her report </w:t>
      </w:r>
      <w:r w:rsidR="00DA01BD" w:rsidRPr="00C47012">
        <w:rPr>
          <w:rFonts w:ascii="Arial" w:hAnsi="Arial" w:cs="Arial"/>
          <w:sz w:val="24"/>
          <w:szCs w:val="24"/>
        </w:rPr>
        <w:t>that she had received a financial intelligence report</w:t>
      </w:r>
      <w:r w:rsidR="00360D33">
        <w:rPr>
          <w:rStyle w:val="FootnoteReference"/>
          <w:rFonts w:ascii="Arial" w:hAnsi="Arial" w:cs="Arial"/>
          <w:sz w:val="24"/>
          <w:szCs w:val="24"/>
        </w:rPr>
        <w:footnoteReference w:id="3"/>
      </w:r>
      <w:r w:rsidR="00DA01BD" w:rsidRPr="00C47012">
        <w:rPr>
          <w:rFonts w:ascii="Arial" w:hAnsi="Arial" w:cs="Arial"/>
          <w:sz w:val="24"/>
          <w:szCs w:val="24"/>
        </w:rPr>
        <w:t xml:space="preserve"> from the Financial Intelligence Centre (FIC) on </w:t>
      </w:r>
      <w:r w:rsidR="00B771D3" w:rsidRPr="00C47012">
        <w:rPr>
          <w:rFonts w:ascii="Arial" w:hAnsi="Arial" w:cs="Arial"/>
          <w:sz w:val="24"/>
          <w:szCs w:val="24"/>
        </w:rPr>
        <w:t xml:space="preserve">14 July 2021 which confirmed the payment of </w:t>
      </w:r>
      <w:r w:rsidR="007576E5" w:rsidRPr="00C47012">
        <w:rPr>
          <w:rFonts w:ascii="Arial" w:hAnsi="Arial" w:cs="Arial"/>
          <w:sz w:val="24"/>
          <w:szCs w:val="24"/>
        </w:rPr>
        <w:t>R2.2</w:t>
      </w:r>
      <w:r w:rsidR="00B771D3" w:rsidRPr="00C47012">
        <w:rPr>
          <w:rFonts w:ascii="Arial" w:hAnsi="Arial" w:cs="Arial"/>
          <w:sz w:val="24"/>
          <w:szCs w:val="24"/>
        </w:rPr>
        <w:t xml:space="preserve"> million into the account of </w:t>
      </w:r>
      <w:proofErr w:type="spellStart"/>
      <w:r w:rsidR="00116448" w:rsidRPr="00C47012">
        <w:rPr>
          <w:rFonts w:ascii="Arial" w:hAnsi="Arial" w:cs="Arial"/>
          <w:sz w:val="24"/>
          <w:szCs w:val="24"/>
        </w:rPr>
        <w:t>Mthombeni</w:t>
      </w:r>
      <w:proofErr w:type="spellEnd"/>
      <w:r w:rsidR="00B771D3" w:rsidRPr="00C47012">
        <w:rPr>
          <w:rFonts w:ascii="Arial" w:hAnsi="Arial" w:cs="Arial"/>
          <w:sz w:val="24"/>
          <w:szCs w:val="24"/>
        </w:rPr>
        <w:t>.  The report, she said, fu</w:t>
      </w:r>
      <w:r w:rsidR="00872670" w:rsidRPr="00C47012">
        <w:rPr>
          <w:rFonts w:ascii="Arial" w:hAnsi="Arial" w:cs="Arial"/>
          <w:sz w:val="24"/>
          <w:szCs w:val="24"/>
        </w:rPr>
        <w:t xml:space="preserve">rther reflected that Key Spirit </w:t>
      </w:r>
      <w:r w:rsidR="00B771D3" w:rsidRPr="00C47012">
        <w:rPr>
          <w:rFonts w:ascii="Arial" w:hAnsi="Arial" w:cs="Arial"/>
          <w:sz w:val="24"/>
          <w:szCs w:val="24"/>
        </w:rPr>
        <w:t xml:space="preserve">had received payment </w:t>
      </w:r>
      <w:r w:rsidR="00731681" w:rsidRPr="00C47012">
        <w:rPr>
          <w:rFonts w:ascii="Arial" w:hAnsi="Arial" w:cs="Arial"/>
          <w:sz w:val="24"/>
          <w:szCs w:val="24"/>
        </w:rPr>
        <w:t>from</w:t>
      </w:r>
      <w:r w:rsidR="00B771D3" w:rsidRPr="00C47012">
        <w:rPr>
          <w:rFonts w:ascii="Arial" w:hAnsi="Arial" w:cs="Arial"/>
          <w:sz w:val="24"/>
          <w:szCs w:val="24"/>
        </w:rPr>
        <w:t xml:space="preserve"> the Eastern Cape Department of Transport </w:t>
      </w:r>
      <w:r w:rsidR="00872670" w:rsidRPr="00C47012">
        <w:rPr>
          <w:rFonts w:ascii="Arial" w:hAnsi="Arial" w:cs="Arial"/>
          <w:sz w:val="24"/>
          <w:szCs w:val="24"/>
        </w:rPr>
        <w:t>(</w:t>
      </w:r>
      <w:proofErr w:type="spellStart"/>
      <w:r w:rsidR="00872670" w:rsidRPr="00C47012">
        <w:rPr>
          <w:rFonts w:ascii="Arial" w:hAnsi="Arial" w:cs="Arial"/>
          <w:sz w:val="24"/>
          <w:szCs w:val="24"/>
        </w:rPr>
        <w:t>ECDoT</w:t>
      </w:r>
      <w:proofErr w:type="spellEnd"/>
      <w:r w:rsidR="00872670" w:rsidRPr="00C47012">
        <w:rPr>
          <w:rFonts w:ascii="Arial" w:hAnsi="Arial" w:cs="Arial"/>
          <w:sz w:val="24"/>
          <w:szCs w:val="24"/>
        </w:rPr>
        <w:t xml:space="preserve">) </w:t>
      </w:r>
      <w:r w:rsidR="00B771D3" w:rsidRPr="00C47012">
        <w:rPr>
          <w:rFonts w:ascii="Arial" w:hAnsi="Arial" w:cs="Arial"/>
          <w:sz w:val="24"/>
          <w:szCs w:val="24"/>
        </w:rPr>
        <w:t xml:space="preserve">of an amount of R38 388 672,93 a week earlier.  </w:t>
      </w:r>
      <w:r w:rsidR="00F969FD" w:rsidRPr="00C47012">
        <w:rPr>
          <w:rFonts w:ascii="Arial" w:hAnsi="Arial" w:cs="Arial"/>
          <w:sz w:val="24"/>
          <w:szCs w:val="24"/>
        </w:rPr>
        <w:t xml:space="preserve">The evidence suggested that the </w:t>
      </w:r>
      <w:proofErr w:type="spellStart"/>
      <w:r w:rsidR="00F969FD" w:rsidRPr="00C47012">
        <w:rPr>
          <w:rFonts w:ascii="Arial" w:hAnsi="Arial" w:cs="Arial"/>
          <w:sz w:val="24"/>
          <w:szCs w:val="24"/>
        </w:rPr>
        <w:t>ECDoT</w:t>
      </w:r>
      <w:proofErr w:type="spellEnd"/>
      <w:r w:rsidR="00F969FD" w:rsidRPr="00C47012">
        <w:rPr>
          <w:rFonts w:ascii="Arial" w:hAnsi="Arial" w:cs="Arial"/>
          <w:sz w:val="24"/>
          <w:szCs w:val="24"/>
        </w:rPr>
        <w:t xml:space="preserve"> did from </w:t>
      </w:r>
      <w:proofErr w:type="gramStart"/>
      <w:r w:rsidR="00F969FD" w:rsidRPr="00C47012">
        <w:rPr>
          <w:rFonts w:ascii="Arial" w:hAnsi="Arial" w:cs="Arial"/>
          <w:sz w:val="24"/>
          <w:szCs w:val="24"/>
        </w:rPr>
        <w:t>time to time</w:t>
      </w:r>
      <w:proofErr w:type="gramEnd"/>
      <w:r w:rsidR="00F969FD" w:rsidRPr="00C47012">
        <w:rPr>
          <w:rFonts w:ascii="Arial" w:hAnsi="Arial" w:cs="Arial"/>
          <w:sz w:val="24"/>
          <w:szCs w:val="24"/>
        </w:rPr>
        <w:t xml:space="preserve"> place orders for the supply of equipment with Key Spirit.  </w:t>
      </w:r>
      <w:r w:rsidR="004D6403" w:rsidRPr="00C47012">
        <w:rPr>
          <w:rFonts w:ascii="Arial" w:hAnsi="Arial" w:cs="Arial"/>
          <w:sz w:val="24"/>
          <w:szCs w:val="24"/>
        </w:rPr>
        <w:lastRenderedPageBreak/>
        <w:t>S</w:t>
      </w:r>
      <w:r w:rsidR="00731681" w:rsidRPr="00C47012">
        <w:rPr>
          <w:rFonts w:ascii="Arial" w:hAnsi="Arial" w:cs="Arial"/>
          <w:sz w:val="24"/>
          <w:szCs w:val="24"/>
        </w:rPr>
        <w:t>he</w:t>
      </w:r>
      <w:r w:rsidR="00B771D3" w:rsidRPr="00C47012">
        <w:rPr>
          <w:rFonts w:ascii="Arial" w:hAnsi="Arial" w:cs="Arial"/>
          <w:sz w:val="24"/>
          <w:szCs w:val="24"/>
        </w:rPr>
        <w:t xml:space="preserve"> found that the amount of </w:t>
      </w:r>
      <w:r w:rsidR="007576E5" w:rsidRPr="00C47012">
        <w:rPr>
          <w:rFonts w:ascii="Arial" w:hAnsi="Arial" w:cs="Arial"/>
          <w:sz w:val="24"/>
          <w:szCs w:val="24"/>
        </w:rPr>
        <w:t>R2.2</w:t>
      </w:r>
      <w:r w:rsidR="00B771D3" w:rsidRPr="00C47012">
        <w:rPr>
          <w:rFonts w:ascii="Arial" w:hAnsi="Arial" w:cs="Arial"/>
          <w:sz w:val="24"/>
          <w:szCs w:val="24"/>
        </w:rPr>
        <w:t xml:space="preserve"> million had emanated</w:t>
      </w:r>
      <w:r w:rsidR="00501AF0" w:rsidRPr="00C47012">
        <w:rPr>
          <w:rFonts w:ascii="Arial" w:hAnsi="Arial" w:cs="Arial"/>
          <w:sz w:val="24"/>
          <w:szCs w:val="24"/>
        </w:rPr>
        <w:t>,</w:t>
      </w:r>
      <w:r w:rsidR="00B771D3" w:rsidRPr="00C47012">
        <w:rPr>
          <w:rFonts w:ascii="Arial" w:hAnsi="Arial" w:cs="Arial"/>
          <w:sz w:val="24"/>
          <w:szCs w:val="24"/>
        </w:rPr>
        <w:t xml:space="preserve"> or originated, from the </w:t>
      </w:r>
      <w:r w:rsidR="00501AF0" w:rsidRPr="00C47012">
        <w:rPr>
          <w:rFonts w:ascii="Arial" w:hAnsi="Arial" w:cs="Arial"/>
          <w:sz w:val="24"/>
          <w:szCs w:val="24"/>
        </w:rPr>
        <w:t xml:space="preserve">            </w:t>
      </w:r>
      <w:r w:rsidR="00B771D3" w:rsidRPr="00C47012">
        <w:rPr>
          <w:rFonts w:ascii="Arial" w:hAnsi="Arial" w:cs="Arial"/>
          <w:sz w:val="24"/>
          <w:szCs w:val="24"/>
        </w:rPr>
        <w:t xml:space="preserve">R38 million which was paid by the Eastern Cape Provincial </w:t>
      </w:r>
      <w:r w:rsidR="00F969FD" w:rsidRPr="00C47012">
        <w:rPr>
          <w:rFonts w:ascii="Arial" w:hAnsi="Arial" w:cs="Arial"/>
          <w:sz w:val="24"/>
          <w:szCs w:val="24"/>
        </w:rPr>
        <w:t>Government</w:t>
      </w:r>
      <w:r w:rsidR="00B771D3" w:rsidRPr="00C47012">
        <w:rPr>
          <w:rFonts w:ascii="Arial" w:hAnsi="Arial" w:cs="Arial"/>
          <w:sz w:val="24"/>
          <w:szCs w:val="24"/>
        </w:rPr>
        <w:t>.</w:t>
      </w:r>
      <w:r w:rsidR="00FF2EE7" w:rsidRPr="00C47012">
        <w:rPr>
          <w:rFonts w:ascii="Arial" w:hAnsi="Arial" w:cs="Arial"/>
          <w:sz w:val="24"/>
          <w:szCs w:val="24"/>
        </w:rPr>
        <w:t xml:space="preserve">  </w:t>
      </w:r>
      <w:proofErr w:type="spellStart"/>
      <w:r w:rsidR="00FF2EE7" w:rsidRPr="00C47012">
        <w:rPr>
          <w:rFonts w:ascii="Arial" w:hAnsi="Arial" w:cs="Arial"/>
          <w:sz w:val="24"/>
          <w:szCs w:val="24"/>
        </w:rPr>
        <w:t>Mr</w:t>
      </w:r>
      <w:proofErr w:type="spellEnd"/>
      <w:r w:rsidR="00FF2EE7" w:rsidRPr="00C47012">
        <w:rPr>
          <w:rFonts w:ascii="Arial" w:hAnsi="Arial" w:cs="Arial"/>
          <w:sz w:val="24"/>
          <w:szCs w:val="24"/>
        </w:rPr>
        <w:t xml:space="preserve"> Bam said that he had no</w:t>
      </w:r>
      <w:r w:rsidR="00731681" w:rsidRPr="00C47012">
        <w:rPr>
          <w:rFonts w:ascii="Arial" w:hAnsi="Arial" w:cs="Arial"/>
          <w:sz w:val="24"/>
          <w:szCs w:val="24"/>
        </w:rPr>
        <w:t>t</w:t>
      </w:r>
      <w:r w:rsidR="00FF2EE7" w:rsidRPr="00C47012">
        <w:rPr>
          <w:rFonts w:ascii="Arial" w:hAnsi="Arial" w:cs="Arial"/>
          <w:sz w:val="24"/>
          <w:szCs w:val="24"/>
        </w:rPr>
        <w:t xml:space="preserve"> purchased any coils and that the claim </w:t>
      </w:r>
      <w:r w:rsidR="004D6403" w:rsidRPr="00C47012">
        <w:rPr>
          <w:rFonts w:ascii="Arial" w:hAnsi="Arial" w:cs="Arial"/>
          <w:sz w:val="24"/>
          <w:szCs w:val="24"/>
        </w:rPr>
        <w:t xml:space="preserve">that he made for </w:t>
      </w:r>
      <w:proofErr w:type="spellStart"/>
      <w:r w:rsidR="004D6403" w:rsidRPr="00C47012">
        <w:rPr>
          <w:rFonts w:ascii="Arial" w:hAnsi="Arial" w:cs="Arial"/>
          <w:sz w:val="24"/>
          <w:szCs w:val="24"/>
        </w:rPr>
        <w:t>Mthombeni</w:t>
      </w:r>
      <w:proofErr w:type="spellEnd"/>
      <w:r w:rsidR="004D6403" w:rsidRPr="00C47012">
        <w:rPr>
          <w:rFonts w:ascii="Arial" w:hAnsi="Arial" w:cs="Arial"/>
          <w:sz w:val="24"/>
          <w:szCs w:val="24"/>
        </w:rPr>
        <w:t xml:space="preserve"> </w:t>
      </w:r>
      <w:r w:rsidR="00FF2EE7" w:rsidRPr="00C47012">
        <w:rPr>
          <w:rFonts w:ascii="Arial" w:hAnsi="Arial" w:cs="Arial"/>
          <w:sz w:val="24"/>
          <w:szCs w:val="24"/>
        </w:rPr>
        <w:t xml:space="preserve">was fraudulent.  He </w:t>
      </w:r>
      <w:r w:rsidR="00F969FD" w:rsidRPr="00C47012">
        <w:rPr>
          <w:rFonts w:ascii="Arial" w:hAnsi="Arial" w:cs="Arial"/>
          <w:sz w:val="24"/>
          <w:szCs w:val="24"/>
        </w:rPr>
        <w:t xml:space="preserve">confirmed that he had </w:t>
      </w:r>
      <w:r w:rsidR="00FF2EE7" w:rsidRPr="00C47012">
        <w:rPr>
          <w:rFonts w:ascii="Arial" w:hAnsi="Arial" w:cs="Arial"/>
          <w:sz w:val="24"/>
          <w:szCs w:val="24"/>
        </w:rPr>
        <w:t>received payment from Key Spirits for R2</w:t>
      </w:r>
      <w:r w:rsidR="00F969FD" w:rsidRPr="00C47012">
        <w:rPr>
          <w:rFonts w:ascii="Arial" w:hAnsi="Arial" w:cs="Arial"/>
          <w:sz w:val="24"/>
          <w:szCs w:val="24"/>
        </w:rPr>
        <w:t>.2</w:t>
      </w:r>
      <w:r w:rsidR="00FF2EE7" w:rsidRPr="00C47012">
        <w:rPr>
          <w:rFonts w:ascii="Arial" w:hAnsi="Arial" w:cs="Arial"/>
          <w:sz w:val="24"/>
          <w:szCs w:val="24"/>
        </w:rPr>
        <w:t xml:space="preserve"> million and, again, </w:t>
      </w:r>
      <w:r w:rsidR="00F969FD" w:rsidRPr="00C47012">
        <w:rPr>
          <w:rFonts w:ascii="Arial" w:hAnsi="Arial" w:cs="Arial"/>
          <w:sz w:val="24"/>
          <w:szCs w:val="24"/>
        </w:rPr>
        <w:t xml:space="preserve">he said, </w:t>
      </w:r>
      <w:r w:rsidR="00FF2EE7" w:rsidRPr="00C47012">
        <w:rPr>
          <w:rFonts w:ascii="Arial" w:hAnsi="Arial" w:cs="Arial"/>
          <w:sz w:val="24"/>
          <w:szCs w:val="24"/>
        </w:rPr>
        <w:t xml:space="preserve">on the instructions of </w:t>
      </w:r>
      <w:proofErr w:type="spellStart"/>
      <w:r w:rsidR="00FF2EE7" w:rsidRPr="00C47012">
        <w:rPr>
          <w:rFonts w:ascii="Arial" w:hAnsi="Arial" w:cs="Arial"/>
          <w:sz w:val="24"/>
          <w:szCs w:val="24"/>
        </w:rPr>
        <w:t>Mr</w:t>
      </w:r>
      <w:proofErr w:type="spellEnd"/>
      <w:r w:rsidR="00FF2EE7" w:rsidRPr="00C47012">
        <w:rPr>
          <w:rFonts w:ascii="Arial" w:hAnsi="Arial" w:cs="Arial"/>
          <w:sz w:val="24"/>
          <w:szCs w:val="24"/>
        </w:rPr>
        <w:t xml:space="preserve"> </w:t>
      </w:r>
      <w:proofErr w:type="spellStart"/>
      <w:r w:rsidR="00FF2EE7" w:rsidRPr="00C47012">
        <w:rPr>
          <w:rFonts w:ascii="Arial" w:hAnsi="Arial" w:cs="Arial"/>
          <w:sz w:val="24"/>
          <w:szCs w:val="24"/>
        </w:rPr>
        <w:t>Madikizela</w:t>
      </w:r>
      <w:proofErr w:type="spellEnd"/>
      <w:r w:rsidR="00FF2EE7" w:rsidRPr="00C47012">
        <w:rPr>
          <w:rFonts w:ascii="Arial" w:hAnsi="Arial" w:cs="Arial"/>
          <w:sz w:val="24"/>
          <w:szCs w:val="24"/>
        </w:rPr>
        <w:t xml:space="preserve">, </w:t>
      </w:r>
      <w:r w:rsidR="00F969FD" w:rsidRPr="00C47012">
        <w:rPr>
          <w:rFonts w:ascii="Arial" w:hAnsi="Arial" w:cs="Arial"/>
          <w:sz w:val="24"/>
          <w:szCs w:val="24"/>
        </w:rPr>
        <w:t xml:space="preserve">he had </w:t>
      </w:r>
      <w:r w:rsidR="00FF2EE7" w:rsidRPr="00C47012">
        <w:rPr>
          <w:rFonts w:ascii="Arial" w:hAnsi="Arial" w:cs="Arial"/>
          <w:sz w:val="24"/>
          <w:szCs w:val="24"/>
        </w:rPr>
        <w:t>distributed the money to various beneficiaries</w:t>
      </w:r>
      <w:r w:rsidR="00731681" w:rsidRPr="00C47012">
        <w:rPr>
          <w:rFonts w:ascii="Arial" w:hAnsi="Arial" w:cs="Arial"/>
          <w:sz w:val="24"/>
          <w:szCs w:val="24"/>
        </w:rPr>
        <w:t xml:space="preserve">.  </w:t>
      </w:r>
    </w:p>
    <w:p w14:paraId="2E4234A9" w14:textId="77777777" w:rsidR="0048002E" w:rsidRPr="0048002E" w:rsidRDefault="0048002E" w:rsidP="008231CE">
      <w:pPr>
        <w:pStyle w:val="ListParagraph"/>
        <w:spacing w:after="0" w:line="480" w:lineRule="auto"/>
        <w:ind w:left="0"/>
        <w:jc w:val="both"/>
        <w:rPr>
          <w:rFonts w:ascii="Arial" w:hAnsi="Arial" w:cs="Arial"/>
          <w:sz w:val="24"/>
          <w:szCs w:val="24"/>
        </w:rPr>
      </w:pPr>
    </w:p>
    <w:p w14:paraId="3CEAF4C3" w14:textId="4541220E" w:rsidR="00731681" w:rsidRPr="00C47012" w:rsidRDefault="00C47012" w:rsidP="00C47012">
      <w:pPr>
        <w:spacing w:after="0" w:line="480" w:lineRule="auto"/>
        <w:jc w:val="both"/>
        <w:rPr>
          <w:rFonts w:ascii="Arial" w:hAnsi="Arial" w:cs="Arial"/>
          <w:color w:val="000000" w:themeColor="text1"/>
          <w:sz w:val="24"/>
          <w:szCs w:val="24"/>
        </w:rPr>
      </w:pPr>
      <w:r w:rsidRPr="001B67B1">
        <w:rPr>
          <w:rFonts w:ascii="Arial" w:hAnsi="Arial" w:cs="Arial"/>
          <w:color w:val="000000" w:themeColor="text1"/>
          <w:sz w:val="24"/>
          <w:szCs w:val="24"/>
        </w:rPr>
        <w:t>[12]</w:t>
      </w:r>
      <w:r w:rsidRPr="001B67B1">
        <w:rPr>
          <w:rFonts w:ascii="Arial" w:hAnsi="Arial" w:cs="Arial"/>
          <w:color w:val="000000" w:themeColor="text1"/>
          <w:sz w:val="24"/>
          <w:szCs w:val="24"/>
        </w:rPr>
        <w:tab/>
      </w:r>
      <w:r w:rsidR="00BA4791" w:rsidRPr="00C47012">
        <w:rPr>
          <w:rFonts w:ascii="Arial" w:hAnsi="Arial" w:cs="Arial"/>
          <w:color w:val="000000" w:themeColor="text1"/>
          <w:sz w:val="24"/>
          <w:szCs w:val="24"/>
        </w:rPr>
        <w:t xml:space="preserve">On completion of her investigation </w:t>
      </w:r>
      <w:r w:rsidR="00F969FD" w:rsidRPr="00C47012">
        <w:rPr>
          <w:rFonts w:ascii="Arial" w:hAnsi="Arial" w:cs="Arial"/>
          <w:color w:val="000000" w:themeColor="text1"/>
          <w:sz w:val="24"/>
          <w:szCs w:val="24"/>
        </w:rPr>
        <w:t>on 28 September 2021</w:t>
      </w:r>
      <w:r w:rsidR="00BA4791" w:rsidRPr="00C47012">
        <w:rPr>
          <w:rFonts w:ascii="Arial" w:hAnsi="Arial" w:cs="Arial"/>
          <w:color w:val="000000" w:themeColor="text1"/>
          <w:sz w:val="24"/>
          <w:szCs w:val="24"/>
        </w:rPr>
        <w:t>,</w:t>
      </w:r>
      <w:r w:rsidR="00F969FD" w:rsidRPr="00C47012">
        <w:rPr>
          <w:rFonts w:ascii="Arial" w:hAnsi="Arial" w:cs="Arial"/>
          <w:color w:val="000000" w:themeColor="text1"/>
          <w:sz w:val="24"/>
          <w:szCs w:val="24"/>
        </w:rPr>
        <w:t xml:space="preserve"> </w:t>
      </w:r>
      <w:r w:rsidR="004D6403" w:rsidRPr="00C47012">
        <w:rPr>
          <w:rFonts w:ascii="Arial" w:hAnsi="Arial" w:cs="Arial"/>
          <w:color w:val="000000" w:themeColor="text1"/>
          <w:sz w:val="24"/>
          <w:szCs w:val="24"/>
        </w:rPr>
        <w:t>the PP</w:t>
      </w:r>
      <w:r w:rsidR="00F969FD" w:rsidRPr="00C47012">
        <w:rPr>
          <w:rFonts w:ascii="Arial" w:hAnsi="Arial" w:cs="Arial"/>
          <w:color w:val="000000" w:themeColor="text1"/>
          <w:sz w:val="24"/>
          <w:szCs w:val="24"/>
        </w:rPr>
        <w:t xml:space="preserve"> issued and published her report (the first report) in which </w:t>
      </w:r>
      <w:r w:rsidR="00731681" w:rsidRPr="00C47012">
        <w:rPr>
          <w:rFonts w:ascii="Arial" w:hAnsi="Arial" w:cs="Arial"/>
          <w:color w:val="000000" w:themeColor="text1"/>
          <w:sz w:val="24"/>
          <w:szCs w:val="24"/>
        </w:rPr>
        <w:t>she recommended the following remedial action:</w:t>
      </w:r>
    </w:p>
    <w:p w14:paraId="1CBCAD9D" w14:textId="77777777" w:rsidR="001B67B1" w:rsidRPr="001B67B1" w:rsidRDefault="001B67B1" w:rsidP="008231CE">
      <w:pPr>
        <w:spacing w:after="0" w:line="480" w:lineRule="auto"/>
        <w:contextualSpacing/>
        <w:jc w:val="both"/>
        <w:rPr>
          <w:rFonts w:ascii="Arial" w:hAnsi="Arial" w:cs="Arial"/>
          <w:color w:val="000000" w:themeColor="text1"/>
          <w:sz w:val="24"/>
          <w:szCs w:val="24"/>
        </w:rPr>
      </w:pPr>
    </w:p>
    <w:p w14:paraId="0D5D3289" w14:textId="77777777" w:rsidR="004751F8" w:rsidRPr="00B52163" w:rsidRDefault="00AE7C0A" w:rsidP="00AE7C0A">
      <w:pPr>
        <w:pStyle w:val="ListParagraph"/>
        <w:spacing w:after="0" w:line="360" w:lineRule="auto"/>
        <w:ind w:left="1287" w:right="567"/>
        <w:jc w:val="both"/>
        <w:rPr>
          <w:rFonts w:ascii="Arial" w:hAnsi="Arial" w:cs="Arial"/>
          <w:b/>
          <w:color w:val="000000" w:themeColor="text1"/>
        </w:rPr>
      </w:pPr>
      <w:r w:rsidRPr="00536B5B">
        <w:rPr>
          <w:rFonts w:ascii="Arial" w:hAnsi="Arial" w:cs="Arial"/>
          <w:b/>
          <w:color w:val="000000" w:themeColor="text1"/>
        </w:rPr>
        <w:t>“</w:t>
      </w:r>
      <w:r w:rsidR="004751F8" w:rsidRPr="00B52163">
        <w:rPr>
          <w:rFonts w:ascii="Arial" w:hAnsi="Arial" w:cs="Arial"/>
          <w:b/>
          <w:color w:val="000000" w:themeColor="text1"/>
        </w:rPr>
        <w:t>To the National Head of the Directorate of Priority Crimes Investigations (DPC/Hawks):</w:t>
      </w:r>
    </w:p>
    <w:p w14:paraId="4B6864B8" w14:textId="77777777" w:rsidR="00AA0E2A" w:rsidRPr="002F3D90" w:rsidRDefault="00AA0E2A" w:rsidP="001B67B1">
      <w:pPr>
        <w:pStyle w:val="ListParagraph"/>
        <w:spacing w:after="0" w:line="360" w:lineRule="auto"/>
        <w:ind w:left="1287" w:right="567" w:hanging="720"/>
        <w:jc w:val="both"/>
        <w:rPr>
          <w:rFonts w:ascii="Arial" w:hAnsi="Arial" w:cs="Arial"/>
          <w:color w:val="0070C0"/>
        </w:rPr>
      </w:pPr>
    </w:p>
    <w:p w14:paraId="7EECD476" w14:textId="77777777" w:rsidR="004751F8" w:rsidRPr="00B52163" w:rsidRDefault="004751F8" w:rsidP="001B67B1">
      <w:pPr>
        <w:pStyle w:val="ListParagraph"/>
        <w:spacing w:after="0" w:line="360" w:lineRule="auto"/>
        <w:ind w:left="1287" w:right="567" w:hanging="720"/>
        <w:jc w:val="both"/>
        <w:rPr>
          <w:rFonts w:ascii="Arial" w:hAnsi="Arial" w:cs="Arial"/>
          <w:color w:val="000000" w:themeColor="text1"/>
        </w:rPr>
      </w:pPr>
      <w:r w:rsidRPr="00B52163">
        <w:rPr>
          <w:rFonts w:ascii="Arial" w:hAnsi="Arial" w:cs="Arial"/>
          <w:color w:val="000000" w:themeColor="text1"/>
        </w:rPr>
        <w:t>7.1.1</w:t>
      </w:r>
      <w:r w:rsidRPr="00B52163">
        <w:rPr>
          <w:rFonts w:ascii="Arial" w:hAnsi="Arial" w:cs="Arial"/>
          <w:color w:val="000000" w:themeColor="text1"/>
        </w:rPr>
        <w:tab/>
        <w:t xml:space="preserve">The investigation has undeniably proven that the nature of the allegations and complaints referred to above are largely of criminal nature and may not be executed fully </w:t>
      </w:r>
      <w:r w:rsidR="00AE7C0A" w:rsidRPr="00B52163">
        <w:rPr>
          <w:rFonts w:ascii="Arial" w:hAnsi="Arial" w:cs="Arial"/>
          <w:color w:val="000000" w:themeColor="text1"/>
        </w:rPr>
        <w:t xml:space="preserve">by </w:t>
      </w:r>
      <w:r w:rsidRPr="00B52163">
        <w:rPr>
          <w:rFonts w:ascii="Arial" w:hAnsi="Arial" w:cs="Arial"/>
          <w:color w:val="000000" w:themeColor="text1"/>
        </w:rPr>
        <w:t>the Public Protector, without bringing them to the attention or notice of the relevant public authorities charged with criminal investigation and prosecution.  The issues investigated and the evidence obtained are accordingly, in terms of section 6(4)(c)(ii) of the Public Protector Act, referred to the Head of the Directorate of Priority Crimes Investigations (DPCI/Hawks) of the South African Police Service for consideration of criminal investigation, with a view of prosecution.</w:t>
      </w:r>
    </w:p>
    <w:p w14:paraId="5E9FA91A" w14:textId="77777777" w:rsidR="00AA0E2A" w:rsidRPr="002F3D90" w:rsidRDefault="00AA0E2A" w:rsidP="001B67B1">
      <w:pPr>
        <w:pStyle w:val="ListParagraph"/>
        <w:spacing w:after="0" w:line="360" w:lineRule="auto"/>
        <w:ind w:left="1287" w:right="567" w:hanging="720"/>
        <w:jc w:val="both"/>
        <w:rPr>
          <w:rFonts w:ascii="Arial" w:hAnsi="Arial" w:cs="Arial"/>
          <w:color w:val="0070C0"/>
        </w:rPr>
      </w:pPr>
    </w:p>
    <w:p w14:paraId="2E273C90" w14:textId="77777777" w:rsidR="00EE3541" w:rsidRPr="002F3D90" w:rsidRDefault="00EE3541" w:rsidP="001B67B1">
      <w:pPr>
        <w:pStyle w:val="ListParagraph"/>
        <w:spacing w:after="0" w:line="360" w:lineRule="auto"/>
        <w:ind w:left="1287" w:right="567" w:hanging="720"/>
        <w:jc w:val="both"/>
        <w:rPr>
          <w:rFonts w:ascii="Arial" w:hAnsi="Arial" w:cs="Arial"/>
          <w:b/>
          <w:color w:val="0070C0"/>
        </w:rPr>
      </w:pPr>
      <w:r w:rsidRPr="002F3D90">
        <w:rPr>
          <w:rFonts w:ascii="Arial" w:hAnsi="Arial" w:cs="Arial"/>
          <w:b/>
          <w:color w:val="0070C0"/>
        </w:rPr>
        <w:tab/>
      </w:r>
      <w:r w:rsidRPr="00B52163">
        <w:rPr>
          <w:rFonts w:ascii="Arial" w:hAnsi="Arial" w:cs="Arial"/>
          <w:b/>
          <w:color w:val="000000" w:themeColor="text1"/>
        </w:rPr>
        <w:t xml:space="preserve">The Speaker of the Council of </w:t>
      </w:r>
      <w:proofErr w:type="spellStart"/>
      <w:r w:rsidRPr="00B52163">
        <w:rPr>
          <w:rFonts w:ascii="Arial" w:hAnsi="Arial" w:cs="Arial"/>
          <w:b/>
          <w:color w:val="000000" w:themeColor="text1"/>
        </w:rPr>
        <w:t>Mbizana</w:t>
      </w:r>
      <w:proofErr w:type="spellEnd"/>
      <w:r w:rsidRPr="00B52163">
        <w:rPr>
          <w:rFonts w:ascii="Arial" w:hAnsi="Arial" w:cs="Arial"/>
          <w:b/>
          <w:color w:val="000000" w:themeColor="text1"/>
        </w:rPr>
        <w:t xml:space="preserve"> Local Municipality (MLM) to:</w:t>
      </w:r>
    </w:p>
    <w:p w14:paraId="324B2C4A" w14:textId="77777777" w:rsidR="00AA0E2A" w:rsidRPr="002F3D90" w:rsidRDefault="00AA0E2A" w:rsidP="001B67B1">
      <w:pPr>
        <w:pStyle w:val="ListParagraph"/>
        <w:spacing w:after="0" w:line="360" w:lineRule="auto"/>
        <w:ind w:left="1287" w:right="567" w:hanging="720"/>
        <w:jc w:val="both"/>
        <w:rPr>
          <w:rFonts w:ascii="Arial" w:hAnsi="Arial" w:cs="Arial"/>
          <w:color w:val="0070C0"/>
        </w:rPr>
      </w:pPr>
    </w:p>
    <w:p w14:paraId="08EEF3C5" w14:textId="77777777" w:rsidR="00EE3541" w:rsidRPr="00B52163" w:rsidRDefault="00EE3541" w:rsidP="001B67B1">
      <w:pPr>
        <w:pStyle w:val="ListParagraph"/>
        <w:spacing w:after="0" w:line="360" w:lineRule="auto"/>
        <w:ind w:left="1287" w:right="567" w:hanging="720"/>
        <w:jc w:val="both"/>
        <w:rPr>
          <w:rFonts w:ascii="Arial" w:hAnsi="Arial" w:cs="Arial"/>
          <w:color w:val="000000" w:themeColor="text1"/>
        </w:rPr>
      </w:pPr>
      <w:r w:rsidRPr="00B52163">
        <w:rPr>
          <w:rFonts w:ascii="Arial" w:hAnsi="Arial" w:cs="Arial"/>
          <w:color w:val="000000" w:themeColor="text1"/>
        </w:rPr>
        <w:t>7.1.2</w:t>
      </w:r>
      <w:r w:rsidRPr="00B52163">
        <w:rPr>
          <w:rFonts w:ascii="Arial" w:hAnsi="Arial" w:cs="Arial"/>
          <w:color w:val="000000" w:themeColor="text1"/>
        </w:rPr>
        <w:tab/>
        <w:t xml:space="preserve">Take urgent steps to ensure that the </w:t>
      </w:r>
      <w:r w:rsidR="00374998" w:rsidRPr="00B52163">
        <w:rPr>
          <w:rFonts w:ascii="Arial" w:hAnsi="Arial" w:cs="Arial"/>
          <w:color w:val="000000" w:themeColor="text1"/>
        </w:rPr>
        <w:t>Municipality</w:t>
      </w:r>
      <w:r w:rsidRPr="00B52163">
        <w:rPr>
          <w:rFonts w:ascii="Arial" w:hAnsi="Arial" w:cs="Arial"/>
          <w:color w:val="000000" w:themeColor="text1"/>
        </w:rPr>
        <w:t xml:space="preserve"> take the appropriate action, including the </w:t>
      </w:r>
      <w:r w:rsidR="00374998" w:rsidRPr="00B52163">
        <w:rPr>
          <w:rFonts w:ascii="Arial" w:hAnsi="Arial" w:cs="Arial"/>
          <w:color w:val="000000" w:themeColor="text1"/>
        </w:rPr>
        <w:t>institution</w:t>
      </w:r>
      <w:r w:rsidRPr="00B52163">
        <w:rPr>
          <w:rFonts w:ascii="Arial" w:hAnsi="Arial" w:cs="Arial"/>
          <w:color w:val="000000" w:themeColor="text1"/>
        </w:rPr>
        <w:t xml:space="preserve"> of disciplinary proceedings in respect of the financial misconduct by the Municipal Manager in connection with </w:t>
      </w:r>
      <w:r w:rsidR="00BA4791" w:rsidRPr="00B52163">
        <w:rPr>
          <w:rFonts w:ascii="Arial" w:hAnsi="Arial" w:cs="Arial"/>
          <w:color w:val="000000" w:themeColor="text1"/>
        </w:rPr>
        <w:t xml:space="preserve">(sic) </w:t>
      </w:r>
      <w:r w:rsidRPr="00B52163">
        <w:rPr>
          <w:rFonts w:ascii="Arial" w:hAnsi="Arial" w:cs="Arial"/>
          <w:color w:val="000000" w:themeColor="text1"/>
        </w:rPr>
        <w:t xml:space="preserve">and that of any </w:t>
      </w:r>
      <w:r w:rsidRPr="00B52163">
        <w:rPr>
          <w:rFonts w:ascii="Arial" w:hAnsi="Arial" w:cs="Arial"/>
          <w:color w:val="000000" w:themeColor="text1"/>
        </w:rPr>
        <w:lastRenderedPageBreak/>
        <w:t xml:space="preserve">other official involved in the procurement of transportation services for the memorial service of the late </w:t>
      </w:r>
      <w:proofErr w:type="spellStart"/>
      <w:r w:rsidRPr="00B52163">
        <w:rPr>
          <w:rFonts w:ascii="Arial" w:hAnsi="Arial" w:cs="Arial"/>
          <w:color w:val="000000" w:themeColor="text1"/>
        </w:rPr>
        <w:t>Ms</w:t>
      </w:r>
      <w:proofErr w:type="spellEnd"/>
      <w:r w:rsidRPr="00B52163">
        <w:rPr>
          <w:rFonts w:ascii="Arial" w:hAnsi="Arial" w:cs="Arial"/>
          <w:color w:val="000000" w:themeColor="text1"/>
        </w:rPr>
        <w:t xml:space="preserve"> Winne </w:t>
      </w:r>
      <w:proofErr w:type="spellStart"/>
      <w:r w:rsidRPr="00B52163">
        <w:rPr>
          <w:rFonts w:ascii="Arial" w:hAnsi="Arial" w:cs="Arial"/>
          <w:color w:val="000000" w:themeColor="text1"/>
        </w:rPr>
        <w:t>Madikizela</w:t>
      </w:r>
      <w:proofErr w:type="spellEnd"/>
      <w:r w:rsidRPr="00B52163">
        <w:rPr>
          <w:rFonts w:ascii="Arial" w:hAnsi="Arial" w:cs="Arial"/>
          <w:color w:val="000000" w:themeColor="text1"/>
        </w:rPr>
        <w:t>, as contemplated by section 171(4) of the MFMA, within sixty (60) days of the issuing of this report;</w:t>
      </w:r>
    </w:p>
    <w:p w14:paraId="520A7AB9" w14:textId="77777777" w:rsidR="00EE3541" w:rsidRPr="002F3D90" w:rsidRDefault="00EE3541" w:rsidP="001B67B1">
      <w:pPr>
        <w:pStyle w:val="ListParagraph"/>
        <w:spacing w:after="0" w:line="360" w:lineRule="auto"/>
        <w:ind w:left="1287" w:right="567" w:hanging="720"/>
        <w:jc w:val="both"/>
        <w:rPr>
          <w:rFonts w:ascii="Arial" w:hAnsi="Arial" w:cs="Arial"/>
          <w:color w:val="0070C0"/>
        </w:rPr>
      </w:pPr>
    </w:p>
    <w:p w14:paraId="7712E0D9" w14:textId="77777777" w:rsidR="00EE3541" w:rsidRPr="00B52163" w:rsidRDefault="00EE3541" w:rsidP="001B67B1">
      <w:pPr>
        <w:pStyle w:val="ListParagraph"/>
        <w:spacing w:after="0" w:line="360" w:lineRule="auto"/>
        <w:ind w:left="1287" w:right="567" w:hanging="720"/>
        <w:jc w:val="both"/>
        <w:rPr>
          <w:rFonts w:ascii="Arial" w:hAnsi="Arial" w:cs="Arial"/>
          <w:b/>
          <w:color w:val="000000" w:themeColor="text1"/>
        </w:rPr>
      </w:pPr>
      <w:r w:rsidRPr="00B52163">
        <w:rPr>
          <w:rFonts w:ascii="Arial" w:hAnsi="Arial" w:cs="Arial"/>
          <w:b/>
          <w:color w:val="000000" w:themeColor="text1"/>
        </w:rPr>
        <w:t>8.</w:t>
      </w:r>
      <w:r w:rsidRPr="00B52163">
        <w:rPr>
          <w:rFonts w:ascii="Arial" w:hAnsi="Arial" w:cs="Arial"/>
          <w:b/>
          <w:color w:val="000000" w:themeColor="text1"/>
        </w:rPr>
        <w:tab/>
        <w:t>MONITORING</w:t>
      </w:r>
    </w:p>
    <w:p w14:paraId="2A48D646" w14:textId="77777777" w:rsidR="001B67B1" w:rsidRPr="002F3D90" w:rsidRDefault="001B67B1" w:rsidP="001B67B1">
      <w:pPr>
        <w:pStyle w:val="ListParagraph"/>
        <w:spacing w:after="0" w:line="360" w:lineRule="auto"/>
        <w:ind w:left="1287" w:right="567" w:hanging="720"/>
        <w:jc w:val="both"/>
        <w:rPr>
          <w:rFonts w:ascii="Arial" w:hAnsi="Arial" w:cs="Arial"/>
          <w:b/>
          <w:color w:val="0070C0"/>
        </w:rPr>
      </w:pPr>
    </w:p>
    <w:p w14:paraId="47511591" w14:textId="77777777" w:rsidR="00374998" w:rsidRPr="00B52163" w:rsidRDefault="00374998" w:rsidP="001B67B1">
      <w:pPr>
        <w:pStyle w:val="ListParagraph"/>
        <w:spacing w:after="0" w:line="360" w:lineRule="auto"/>
        <w:ind w:left="1287" w:right="567" w:hanging="720"/>
        <w:jc w:val="both"/>
        <w:rPr>
          <w:rFonts w:ascii="Arial" w:hAnsi="Arial" w:cs="Arial"/>
          <w:color w:val="000000" w:themeColor="text1"/>
        </w:rPr>
      </w:pPr>
      <w:r w:rsidRPr="00B52163">
        <w:rPr>
          <w:rFonts w:ascii="Arial" w:hAnsi="Arial" w:cs="Arial"/>
          <w:color w:val="000000" w:themeColor="text1"/>
        </w:rPr>
        <w:t>8.1</w:t>
      </w:r>
      <w:r w:rsidRPr="00B52163">
        <w:rPr>
          <w:rFonts w:ascii="Arial" w:hAnsi="Arial" w:cs="Arial"/>
          <w:color w:val="000000" w:themeColor="text1"/>
        </w:rPr>
        <w:tab/>
        <w:t>The Speaker of the Council of MLM must submit an Implementation Plan to the Public Protector within thirty (30) working days from the date of receipt of this report indicating how the remedial action referred to in paragraph 7 above will be implemented.</w:t>
      </w:r>
    </w:p>
    <w:p w14:paraId="0CB54939" w14:textId="77777777" w:rsidR="001B67B1" w:rsidRPr="00B52163" w:rsidRDefault="001B67B1" w:rsidP="001B67B1">
      <w:pPr>
        <w:pStyle w:val="ListParagraph"/>
        <w:spacing w:after="0" w:line="360" w:lineRule="auto"/>
        <w:ind w:left="1287" w:right="567" w:hanging="720"/>
        <w:jc w:val="both"/>
        <w:rPr>
          <w:rFonts w:ascii="Arial" w:hAnsi="Arial" w:cs="Arial"/>
          <w:color w:val="000000" w:themeColor="text1"/>
        </w:rPr>
      </w:pPr>
    </w:p>
    <w:p w14:paraId="21C6D89D" w14:textId="77777777" w:rsidR="00374998" w:rsidRPr="00B52163" w:rsidRDefault="00374998" w:rsidP="001B67B1">
      <w:pPr>
        <w:pStyle w:val="ListParagraph"/>
        <w:spacing w:after="0" w:line="360" w:lineRule="auto"/>
        <w:ind w:left="1287" w:right="567" w:hanging="720"/>
        <w:jc w:val="both"/>
        <w:rPr>
          <w:rFonts w:ascii="Arial" w:hAnsi="Arial" w:cs="Arial"/>
          <w:color w:val="000000" w:themeColor="text1"/>
        </w:rPr>
      </w:pPr>
      <w:r w:rsidRPr="00B52163">
        <w:rPr>
          <w:rFonts w:ascii="Arial" w:hAnsi="Arial" w:cs="Arial"/>
          <w:color w:val="000000" w:themeColor="text1"/>
        </w:rPr>
        <w:t>8.2</w:t>
      </w:r>
      <w:r w:rsidRPr="00B52163">
        <w:rPr>
          <w:rFonts w:ascii="Arial" w:hAnsi="Arial" w:cs="Arial"/>
          <w:color w:val="000000" w:themeColor="text1"/>
        </w:rPr>
        <w:tab/>
        <w:t>The submission of the implementation plan and the implementation of the remedial action taken shall in the absence of a court order be complied with within the period prescribed in this report to avoid being in contempt of the Public Protector.</w:t>
      </w:r>
      <w:r w:rsidR="001B67B1" w:rsidRPr="00B52163">
        <w:rPr>
          <w:rFonts w:ascii="Arial" w:hAnsi="Arial" w:cs="Arial"/>
          <w:color w:val="000000" w:themeColor="text1"/>
        </w:rPr>
        <w:t>”</w:t>
      </w:r>
    </w:p>
    <w:p w14:paraId="6470CEC2" w14:textId="77777777" w:rsidR="00AE7C0A" w:rsidRPr="001B67B1" w:rsidRDefault="00AE7C0A" w:rsidP="001B67B1">
      <w:pPr>
        <w:pStyle w:val="ListParagraph"/>
        <w:spacing w:after="0" w:line="360" w:lineRule="auto"/>
        <w:ind w:left="1287" w:right="567" w:hanging="720"/>
        <w:jc w:val="both"/>
        <w:rPr>
          <w:rFonts w:ascii="Arial" w:hAnsi="Arial" w:cs="Arial"/>
          <w:color w:val="000000" w:themeColor="text1"/>
        </w:rPr>
      </w:pPr>
    </w:p>
    <w:p w14:paraId="56B8CC81" w14:textId="77777777" w:rsidR="00731681" w:rsidRPr="001B67B1" w:rsidRDefault="00731681" w:rsidP="001B67B1">
      <w:pPr>
        <w:pStyle w:val="ListParagraph"/>
        <w:spacing w:after="0" w:line="360" w:lineRule="auto"/>
        <w:ind w:left="1287" w:right="567" w:hanging="720"/>
        <w:rPr>
          <w:rFonts w:ascii="Arial" w:hAnsi="Arial" w:cs="Arial"/>
          <w:color w:val="000000" w:themeColor="text1"/>
        </w:rPr>
      </w:pPr>
    </w:p>
    <w:p w14:paraId="0A8A5D83" w14:textId="5DE53363" w:rsidR="000006A6" w:rsidRPr="00C47012" w:rsidRDefault="00C47012" w:rsidP="00C47012">
      <w:pPr>
        <w:spacing w:after="0" w:line="480" w:lineRule="auto"/>
        <w:jc w:val="both"/>
        <w:rPr>
          <w:rFonts w:ascii="Arial" w:hAnsi="Arial" w:cs="Arial"/>
          <w:color w:val="000000" w:themeColor="text1"/>
          <w:sz w:val="24"/>
          <w:szCs w:val="24"/>
        </w:rPr>
      </w:pPr>
      <w:r w:rsidRPr="001B67B1">
        <w:rPr>
          <w:rFonts w:ascii="Arial" w:hAnsi="Arial" w:cs="Arial"/>
          <w:color w:val="000000" w:themeColor="text1"/>
          <w:sz w:val="24"/>
          <w:szCs w:val="24"/>
        </w:rPr>
        <w:t>[13]</w:t>
      </w:r>
      <w:r w:rsidRPr="001B67B1">
        <w:rPr>
          <w:rFonts w:ascii="Arial" w:hAnsi="Arial" w:cs="Arial"/>
          <w:color w:val="000000" w:themeColor="text1"/>
          <w:sz w:val="24"/>
          <w:szCs w:val="24"/>
        </w:rPr>
        <w:tab/>
      </w:r>
      <w:r w:rsidR="00F35F47" w:rsidRPr="00C47012">
        <w:rPr>
          <w:rFonts w:ascii="Arial" w:hAnsi="Arial" w:cs="Arial"/>
          <w:color w:val="000000" w:themeColor="text1"/>
          <w:sz w:val="24"/>
          <w:szCs w:val="24"/>
        </w:rPr>
        <w:t>However, l</w:t>
      </w:r>
      <w:r w:rsidR="00731681" w:rsidRPr="00C47012">
        <w:rPr>
          <w:rFonts w:ascii="Arial" w:hAnsi="Arial" w:cs="Arial"/>
          <w:color w:val="000000" w:themeColor="text1"/>
          <w:sz w:val="24"/>
          <w:szCs w:val="24"/>
        </w:rPr>
        <w:t>ater, she reconsidered</w:t>
      </w:r>
      <w:r w:rsidR="00F35F47" w:rsidRPr="00C47012">
        <w:rPr>
          <w:rFonts w:ascii="Arial" w:hAnsi="Arial" w:cs="Arial"/>
          <w:color w:val="000000" w:themeColor="text1"/>
          <w:sz w:val="24"/>
          <w:szCs w:val="24"/>
        </w:rPr>
        <w:t>.  She altered her findings</w:t>
      </w:r>
      <w:r w:rsidR="00BA4791">
        <w:rPr>
          <w:rStyle w:val="FootnoteReference"/>
          <w:rFonts w:ascii="Arial" w:hAnsi="Arial" w:cs="Arial"/>
          <w:color w:val="000000" w:themeColor="text1"/>
          <w:sz w:val="24"/>
          <w:szCs w:val="24"/>
        </w:rPr>
        <w:footnoteReference w:id="4"/>
      </w:r>
      <w:r w:rsidR="00F35F47" w:rsidRPr="00C47012">
        <w:rPr>
          <w:rFonts w:ascii="Arial" w:hAnsi="Arial" w:cs="Arial"/>
          <w:color w:val="000000" w:themeColor="text1"/>
          <w:sz w:val="24"/>
          <w:szCs w:val="24"/>
        </w:rPr>
        <w:t xml:space="preserve"> in respect of the second question and she added the following further remedial action in her later report (the second report) </w:t>
      </w:r>
      <w:r w:rsidR="00731681" w:rsidRPr="00C47012">
        <w:rPr>
          <w:rFonts w:ascii="Arial" w:hAnsi="Arial" w:cs="Arial"/>
          <w:color w:val="000000" w:themeColor="text1"/>
          <w:sz w:val="24"/>
          <w:szCs w:val="24"/>
        </w:rPr>
        <w:t xml:space="preserve">dated 10 October 2021.  </w:t>
      </w:r>
    </w:p>
    <w:p w14:paraId="79322C99" w14:textId="77777777" w:rsidR="000006A6" w:rsidRPr="006318CE" w:rsidRDefault="000006A6" w:rsidP="00731681">
      <w:pPr>
        <w:spacing w:after="0" w:line="480" w:lineRule="auto"/>
        <w:jc w:val="both"/>
        <w:rPr>
          <w:rFonts w:ascii="Arial" w:hAnsi="Arial" w:cs="Arial"/>
          <w:color w:val="0070C0"/>
          <w:sz w:val="24"/>
          <w:szCs w:val="24"/>
        </w:rPr>
      </w:pPr>
    </w:p>
    <w:p w14:paraId="14E5EAC3" w14:textId="77777777" w:rsidR="000006A6" w:rsidRPr="00B52163" w:rsidRDefault="000006A6" w:rsidP="00DD6C4A">
      <w:pPr>
        <w:spacing w:after="0" w:line="360" w:lineRule="auto"/>
        <w:ind w:left="1426" w:right="562" w:hanging="864"/>
        <w:jc w:val="both"/>
        <w:rPr>
          <w:rFonts w:ascii="Arial" w:hAnsi="Arial" w:cs="Arial"/>
          <w:color w:val="000000" w:themeColor="text1"/>
        </w:rPr>
      </w:pPr>
      <w:r w:rsidRPr="00B52163">
        <w:rPr>
          <w:rFonts w:ascii="Arial" w:hAnsi="Arial" w:cs="Arial"/>
          <w:color w:val="000000" w:themeColor="text1"/>
        </w:rPr>
        <w:t>“7.1.3</w:t>
      </w:r>
      <w:r w:rsidRPr="00B52163">
        <w:rPr>
          <w:rFonts w:ascii="Arial" w:hAnsi="Arial" w:cs="Arial"/>
          <w:color w:val="000000" w:themeColor="text1"/>
        </w:rPr>
        <w:tab/>
        <w:t>Within 60 (sixty) days from the date of issuing of this report, table it to the EPL.”</w:t>
      </w:r>
    </w:p>
    <w:p w14:paraId="536BF402" w14:textId="77777777" w:rsidR="00DD6C4A" w:rsidRPr="001B67B1" w:rsidRDefault="00DD6C4A" w:rsidP="00DD6C4A">
      <w:pPr>
        <w:spacing w:after="0" w:line="360" w:lineRule="auto"/>
        <w:ind w:left="1426" w:right="562" w:hanging="864"/>
        <w:jc w:val="both"/>
        <w:rPr>
          <w:rFonts w:ascii="Arial" w:hAnsi="Arial" w:cs="Arial"/>
          <w:color w:val="000000" w:themeColor="text1"/>
        </w:rPr>
      </w:pPr>
    </w:p>
    <w:p w14:paraId="6F7CE144" w14:textId="77777777" w:rsidR="00731681" w:rsidRPr="001B67B1" w:rsidRDefault="00731681" w:rsidP="00731681">
      <w:pPr>
        <w:spacing w:after="0" w:line="480" w:lineRule="auto"/>
        <w:jc w:val="both"/>
        <w:rPr>
          <w:rFonts w:ascii="Arial" w:hAnsi="Arial" w:cs="Arial"/>
          <w:color w:val="000000" w:themeColor="text1"/>
          <w:sz w:val="24"/>
          <w:szCs w:val="24"/>
        </w:rPr>
      </w:pPr>
      <w:r w:rsidRPr="001B67B1">
        <w:rPr>
          <w:rFonts w:ascii="Arial" w:hAnsi="Arial" w:cs="Arial"/>
          <w:color w:val="000000" w:themeColor="text1"/>
          <w:sz w:val="24"/>
          <w:szCs w:val="24"/>
        </w:rPr>
        <w:t xml:space="preserve">I set out below </w:t>
      </w:r>
      <w:r w:rsidR="0048002E" w:rsidRPr="001B67B1">
        <w:rPr>
          <w:rFonts w:ascii="Arial" w:hAnsi="Arial" w:cs="Arial"/>
          <w:color w:val="000000" w:themeColor="text1"/>
          <w:sz w:val="24"/>
          <w:szCs w:val="24"/>
        </w:rPr>
        <w:t>how</w:t>
      </w:r>
      <w:r w:rsidRPr="001B67B1">
        <w:rPr>
          <w:rFonts w:ascii="Arial" w:hAnsi="Arial" w:cs="Arial"/>
          <w:color w:val="000000" w:themeColor="text1"/>
          <w:sz w:val="24"/>
          <w:szCs w:val="24"/>
        </w:rPr>
        <w:t xml:space="preserve"> the </w:t>
      </w:r>
      <w:r w:rsidR="00755EEE">
        <w:rPr>
          <w:rFonts w:ascii="Arial" w:hAnsi="Arial" w:cs="Arial"/>
          <w:color w:val="000000" w:themeColor="text1"/>
          <w:sz w:val="24"/>
          <w:szCs w:val="24"/>
        </w:rPr>
        <w:t xml:space="preserve">history of </w:t>
      </w:r>
      <w:r w:rsidRPr="001B67B1">
        <w:rPr>
          <w:rFonts w:ascii="Arial" w:hAnsi="Arial" w:cs="Arial"/>
          <w:color w:val="000000" w:themeColor="text1"/>
          <w:sz w:val="24"/>
          <w:szCs w:val="24"/>
        </w:rPr>
        <w:t>the two reports</w:t>
      </w:r>
      <w:r w:rsidR="00755EEE">
        <w:rPr>
          <w:rFonts w:ascii="Arial" w:hAnsi="Arial" w:cs="Arial"/>
          <w:color w:val="000000" w:themeColor="text1"/>
          <w:sz w:val="24"/>
          <w:szCs w:val="24"/>
        </w:rPr>
        <w:t>.</w:t>
      </w:r>
    </w:p>
    <w:p w14:paraId="24DAE72A" w14:textId="77777777" w:rsidR="00FF2EE7" w:rsidRDefault="00FF2EE7" w:rsidP="00FF2EE7">
      <w:pPr>
        <w:pStyle w:val="ListParagraph"/>
        <w:spacing w:after="0" w:line="480" w:lineRule="auto"/>
        <w:ind w:left="0"/>
        <w:jc w:val="both"/>
        <w:rPr>
          <w:rFonts w:ascii="Arial" w:hAnsi="Arial" w:cs="Arial"/>
          <w:sz w:val="24"/>
          <w:szCs w:val="24"/>
        </w:rPr>
      </w:pPr>
    </w:p>
    <w:p w14:paraId="7CE2FAAA" w14:textId="77777777" w:rsidR="00B8402E" w:rsidRDefault="00B8402E" w:rsidP="00FF2EE7">
      <w:pPr>
        <w:pStyle w:val="ListParagraph"/>
        <w:spacing w:after="0" w:line="480" w:lineRule="auto"/>
        <w:ind w:left="0"/>
        <w:jc w:val="both"/>
        <w:rPr>
          <w:rFonts w:ascii="Arial" w:hAnsi="Arial" w:cs="Arial"/>
          <w:sz w:val="24"/>
          <w:szCs w:val="24"/>
        </w:rPr>
      </w:pPr>
    </w:p>
    <w:p w14:paraId="2AB745BE" w14:textId="77777777" w:rsidR="00B8402E" w:rsidRDefault="00B8402E" w:rsidP="00FF2EE7">
      <w:pPr>
        <w:pStyle w:val="ListParagraph"/>
        <w:spacing w:after="0" w:line="480" w:lineRule="auto"/>
        <w:ind w:left="0"/>
        <w:jc w:val="both"/>
        <w:rPr>
          <w:rFonts w:ascii="Arial" w:hAnsi="Arial" w:cs="Arial"/>
          <w:sz w:val="24"/>
          <w:szCs w:val="24"/>
        </w:rPr>
      </w:pPr>
    </w:p>
    <w:p w14:paraId="53FB58C6" w14:textId="77777777" w:rsidR="00FF2EE7" w:rsidRPr="00731681" w:rsidRDefault="00FF2EE7" w:rsidP="00FF2EE7">
      <w:pPr>
        <w:pStyle w:val="ListParagraph"/>
        <w:spacing w:after="0" w:line="480" w:lineRule="auto"/>
        <w:ind w:left="0"/>
        <w:jc w:val="both"/>
        <w:rPr>
          <w:rFonts w:ascii="Arial" w:hAnsi="Arial" w:cs="Arial"/>
          <w:sz w:val="24"/>
          <w:szCs w:val="24"/>
          <w:u w:val="single"/>
        </w:rPr>
      </w:pPr>
      <w:r w:rsidRPr="00731681">
        <w:rPr>
          <w:rFonts w:ascii="Arial" w:hAnsi="Arial" w:cs="Arial"/>
          <w:sz w:val="24"/>
          <w:szCs w:val="24"/>
          <w:u w:val="single"/>
        </w:rPr>
        <w:lastRenderedPageBreak/>
        <w:t>The litigation background</w:t>
      </w:r>
    </w:p>
    <w:p w14:paraId="6C897A18" w14:textId="5CAAF910" w:rsidR="003E724E" w:rsidRPr="00C47012" w:rsidRDefault="00C47012" w:rsidP="00C47012">
      <w:pPr>
        <w:spacing w:after="0" w:line="480" w:lineRule="auto"/>
        <w:jc w:val="both"/>
        <w:rPr>
          <w:rFonts w:ascii="Arial" w:hAnsi="Arial" w:cs="Arial"/>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755EEE" w:rsidRPr="00C47012">
        <w:rPr>
          <w:rFonts w:ascii="Arial" w:hAnsi="Arial" w:cs="Arial"/>
          <w:sz w:val="24"/>
          <w:szCs w:val="24"/>
        </w:rPr>
        <w:t xml:space="preserve">It is necessary for the adjudication of the arguments raised by the parties to set out briefly the </w:t>
      </w:r>
      <w:proofErr w:type="gramStart"/>
      <w:r w:rsidR="00755EEE" w:rsidRPr="00C47012">
        <w:rPr>
          <w:rFonts w:ascii="Arial" w:hAnsi="Arial" w:cs="Arial"/>
          <w:sz w:val="24"/>
          <w:szCs w:val="24"/>
        </w:rPr>
        <w:t>manner in which</w:t>
      </w:r>
      <w:proofErr w:type="gramEnd"/>
      <w:r w:rsidR="00755EEE" w:rsidRPr="00C47012">
        <w:rPr>
          <w:rFonts w:ascii="Arial" w:hAnsi="Arial" w:cs="Arial"/>
          <w:sz w:val="24"/>
          <w:szCs w:val="24"/>
        </w:rPr>
        <w:t xml:space="preserve"> the litigation herein unfolded. </w:t>
      </w:r>
      <w:r w:rsidR="00731681" w:rsidRPr="00C47012">
        <w:rPr>
          <w:rFonts w:ascii="Arial" w:hAnsi="Arial" w:cs="Arial"/>
          <w:sz w:val="24"/>
          <w:szCs w:val="24"/>
        </w:rPr>
        <w:t xml:space="preserve">On 10 </w:t>
      </w:r>
      <w:r w:rsidR="003123CD" w:rsidRPr="00C47012">
        <w:rPr>
          <w:rFonts w:ascii="Arial" w:hAnsi="Arial" w:cs="Arial"/>
          <w:sz w:val="24"/>
          <w:szCs w:val="24"/>
        </w:rPr>
        <w:t>October 2021</w:t>
      </w:r>
      <w:r w:rsidR="00121976" w:rsidRPr="00C47012">
        <w:rPr>
          <w:rFonts w:ascii="Arial" w:hAnsi="Arial" w:cs="Arial"/>
          <w:sz w:val="24"/>
          <w:szCs w:val="24"/>
        </w:rPr>
        <w:t>,</w:t>
      </w:r>
      <w:r w:rsidR="003123CD" w:rsidRPr="00C47012">
        <w:rPr>
          <w:rFonts w:ascii="Arial" w:hAnsi="Arial" w:cs="Arial"/>
          <w:sz w:val="24"/>
          <w:szCs w:val="24"/>
        </w:rPr>
        <w:t xml:space="preserve"> the </w:t>
      </w:r>
      <w:r w:rsidR="008A6DB5" w:rsidRPr="00C47012">
        <w:rPr>
          <w:rFonts w:ascii="Arial" w:hAnsi="Arial" w:cs="Arial"/>
          <w:sz w:val="24"/>
          <w:szCs w:val="24"/>
        </w:rPr>
        <w:t>PP</w:t>
      </w:r>
      <w:r w:rsidR="003123CD" w:rsidRPr="00C47012">
        <w:rPr>
          <w:rFonts w:ascii="Arial" w:hAnsi="Arial" w:cs="Arial"/>
          <w:sz w:val="24"/>
          <w:szCs w:val="24"/>
        </w:rPr>
        <w:t xml:space="preserve"> held a media briefing in which she released her report </w:t>
      </w:r>
      <w:r w:rsidR="00755EEE" w:rsidRPr="00C47012">
        <w:rPr>
          <w:rFonts w:ascii="Arial" w:hAnsi="Arial" w:cs="Arial"/>
          <w:sz w:val="24"/>
          <w:szCs w:val="24"/>
        </w:rPr>
        <w:t xml:space="preserve">(the second report) </w:t>
      </w:r>
      <w:r w:rsidR="003123CD" w:rsidRPr="00C47012">
        <w:rPr>
          <w:rFonts w:ascii="Arial" w:hAnsi="Arial" w:cs="Arial"/>
          <w:sz w:val="24"/>
          <w:szCs w:val="24"/>
        </w:rPr>
        <w:t xml:space="preserve">titled “The report on the investigation into allegations of corruption, maladministration or misuse of public funds by senior and executive government officials from the </w:t>
      </w:r>
      <w:proofErr w:type="spellStart"/>
      <w:r w:rsidR="003123CD" w:rsidRPr="00C47012">
        <w:rPr>
          <w:rFonts w:ascii="Arial" w:hAnsi="Arial" w:cs="Arial"/>
          <w:sz w:val="24"/>
          <w:szCs w:val="24"/>
        </w:rPr>
        <w:t>Mbizana</w:t>
      </w:r>
      <w:proofErr w:type="spellEnd"/>
      <w:r w:rsidR="003123CD" w:rsidRPr="00C47012">
        <w:rPr>
          <w:rFonts w:ascii="Arial" w:hAnsi="Arial" w:cs="Arial"/>
          <w:sz w:val="24"/>
          <w:szCs w:val="24"/>
        </w:rPr>
        <w:t xml:space="preserve"> Local Municipality and Eastern Cape Provincial Department(s)”.  </w:t>
      </w:r>
      <w:proofErr w:type="spellStart"/>
      <w:r w:rsidR="003123CD" w:rsidRPr="00C47012">
        <w:rPr>
          <w:rFonts w:ascii="Arial" w:hAnsi="Arial" w:cs="Arial"/>
          <w:sz w:val="24"/>
          <w:szCs w:val="24"/>
        </w:rPr>
        <w:t>Mr</w:t>
      </w:r>
      <w:proofErr w:type="spellEnd"/>
      <w:r w:rsidR="003123CD" w:rsidRPr="00C47012">
        <w:rPr>
          <w:rFonts w:ascii="Arial" w:hAnsi="Arial" w:cs="Arial"/>
          <w:sz w:val="24"/>
          <w:szCs w:val="24"/>
        </w:rPr>
        <w:t xml:space="preserve"> </w:t>
      </w:r>
      <w:proofErr w:type="spellStart"/>
      <w:r w:rsidR="003123CD" w:rsidRPr="00C47012">
        <w:rPr>
          <w:rFonts w:ascii="Arial" w:hAnsi="Arial" w:cs="Arial"/>
          <w:sz w:val="24"/>
          <w:szCs w:val="24"/>
        </w:rPr>
        <w:t>Madikizela</w:t>
      </w:r>
      <w:proofErr w:type="spellEnd"/>
      <w:r w:rsidR="003123CD" w:rsidRPr="00C47012">
        <w:rPr>
          <w:rFonts w:ascii="Arial" w:hAnsi="Arial" w:cs="Arial"/>
          <w:sz w:val="24"/>
          <w:szCs w:val="24"/>
        </w:rPr>
        <w:t xml:space="preserve"> and </w:t>
      </w:r>
      <w:proofErr w:type="spellStart"/>
      <w:r w:rsidR="003123CD" w:rsidRPr="00C47012">
        <w:rPr>
          <w:rFonts w:ascii="Arial" w:hAnsi="Arial" w:cs="Arial"/>
          <w:sz w:val="24"/>
          <w:szCs w:val="24"/>
        </w:rPr>
        <w:t>Mr</w:t>
      </w:r>
      <w:proofErr w:type="spellEnd"/>
      <w:r w:rsidR="003123CD"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3123CD" w:rsidRPr="00C47012">
        <w:rPr>
          <w:rFonts w:ascii="Arial" w:hAnsi="Arial" w:cs="Arial"/>
          <w:sz w:val="24"/>
          <w:szCs w:val="24"/>
        </w:rPr>
        <w:t xml:space="preserve"> immediately filed applications to r</w:t>
      </w:r>
      <w:r w:rsidR="000D1EA2" w:rsidRPr="00C47012">
        <w:rPr>
          <w:rFonts w:ascii="Arial" w:hAnsi="Arial" w:cs="Arial"/>
          <w:sz w:val="24"/>
          <w:szCs w:val="24"/>
        </w:rPr>
        <w:t>eview and set aside the report and the applicants in case number 818/2021 followed shortly thereafter.</w:t>
      </w:r>
      <w:r w:rsidR="003123CD" w:rsidRPr="00C47012">
        <w:rPr>
          <w:rFonts w:ascii="Arial" w:hAnsi="Arial" w:cs="Arial"/>
          <w:sz w:val="24"/>
          <w:szCs w:val="24"/>
        </w:rPr>
        <w:t xml:space="preserve"> In each case the application was brought in two parts, first, to urgently interdict the implementation of </w:t>
      </w:r>
      <w:r w:rsidR="00731681" w:rsidRPr="00C47012">
        <w:rPr>
          <w:rFonts w:ascii="Arial" w:hAnsi="Arial" w:cs="Arial"/>
          <w:sz w:val="24"/>
          <w:szCs w:val="24"/>
        </w:rPr>
        <w:t>her</w:t>
      </w:r>
      <w:r w:rsidR="003123CD" w:rsidRPr="00C47012">
        <w:rPr>
          <w:rFonts w:ascii="Arial" w:hAnsi="Arial" w:cs="Arial"/>
          <w:sz w:val="24"/>
          <w:szCs w:val="24"/>
        </w:rPr>
        <w:t xml:space="preserve"> remedial action pending the </w:t>
      </w:r>
      <w:proofErr w:type="spellStart"/>
      <w:r w:rsidR="003123CD" w:rsidRPr="00C47012">
        <w:rPr>
          <w:rFonts w:ascii="Arial" w:hAnsi="Arial" w:cs="Arial"/>
          <w:sz w:val="24"/>
          <w:szCs w:val="24"/>
        </w:rPr>
        <w:t>finalisation</w:t>
      </w:r>
      <w:proofErr w:type="spellEnd"/>
      <w:r w:rsidR="003123CD" w:rsidRPr="00C47012">
        <w:rPr>
          <w:rFonts w:ascii="Arial" w:hAnsi="Arial" w:cs="Arial"/>
          <w:sz w:val="24"/>
          <w:szCs w:val="24"/>
        </w:rPr>
        <w:t xml:space="preserve"> of Part B</w:t>
      </w:r>
      <w:r w:rsidR="00731681" w:rsidRPr="00C47012">
        <w:rPr>
          <w:rFonts w:ascii="Arial" w:hAnsi="Arial" w:cs="Arial"/>
          <w:sz w:val="24"/>
          <w:szCs w:val="24"/>
        </w:rPr>
        <w:t>,</w:t>
      </w:r>
      <w:r w:rsidR="003123CD" w:rsidRPr="00C47012">
        <w:rPr>
          <w:rFonts w:ascii="Arial" w:hAnsi="Arial" w:cs="Arial"/>
          <w:sz w:val="24"/>
          <w:szCs w:val="24"/>
        </w:rPr>
        <w:t xml:space="preserve"> in which they sought </w:t>
      </w:r>
      <w:r w:rsidR="00755EEE" w:rsidRPr="00C47012">
        <w:rPr>
          <w:rFonts w:ascii="Arial" w:hAnsi="Arial" w:cs="Arial"/>
          <w:sz w:val="24"/>
          <w:szCs w:val="24"/>
        </w:rPr>
        <w:t>to</w:t>
      </w:r>
      <w:r w:rsidR="003123CD" w:rsidRPr="00C47012">
        <w:rPr>
          <w:rFonts w:ascii="Arial" w:hAnsi="Arial" w:cs="Arial"/>
          <w:sz w:val="24"/>
          <w:szCs w:val="24"/>
        </w:rPr>
        <w:t xml:space="preserve"> set aside</w:t>
      </w:r>
      <w:r w:rsidR="00731681" w:rsidRPr="00C47012">
        <w:rPr>
          <w:rFonts w:ascii="Arial" w:hAnsi="Arial" w:cs="Arial"/>
          <w:sz w:val="24"/>
          <w:szCs w:val="24"/>
        </w:rPr>
        <w:t>,</w:t>
      </w:r>
      <w:r w:rsidR="003123CD" w:rsidRPr="00C47012">
        <w:rPr>
          <w:rFonts w:ascii="Arial" w:hAnsi="Arial" w:cs="Arial"/>
          <w:sz w:val="24"/>
          <w:szCs w:val="24"/>
        </w:rPr>
        <w:t xml:space="preserve"> and declare</w:t>
      </w:r>
      <w:r w:rsidR="00731681" w:rsidRPr="00C47012">
        <w:rPr>
          <w:rFonts w:ascii="Arial" w:hAnsi="Arial" w:cs="Arial"/>
          <w:sz w:val="24"/>
          <w:szCs w:val="24"/>
        </w:rPr>
        <w:t xml:space="preserve"> the report</w:t>
      </w:r>
      <w:r w:rsidR="003123CD" w:rsidRPr="00C47012">
        <w:rPr>
          <w:rFonts w:ascii="Arial" w:hAnsi="Arial" w:cs="Arial"/>
          <w:sz w:val="24"/>
          <w:szCs w:val="24"/>
        </w:rPr>
        <w:t xml:space="preserve"> unconstitutional and invalid</w:t>
      </w:r>
      <w:r w:rsidR="00731681" w:rsidRPr="00C47012">
        <w:rPr>
          <w:rFonts w:ascii="Arial" w:hAnsi="Arial" w:cs="Arial"/>
          <w:sz w:val="24"/>
          <w:szCs w:val="24"/>
        </w:rPr>
        <w:t xml:space="preserve">.  At the hearing of </w:t>
      </w:r>
      <w:proofErr w:type="gramStart"/>
      <w:r w:rsidR="00731681" w:rsidRPr="00C47012">
        <w:rPr>
          <w:rFonts w:ascii="Arial" w:hAnsi="Arial" w:cs="Arial"/>
          <w:sz w:val="24"/>
          <w:szCs w:val="24"/>
        </w:rPr>
        <w:t>Part</w:t>
      </w:r>
      <w:proofErr w:type="gramEnd"/>
      <w:r w:rsidR="00731681" w:rsidRPr="00C47012">
        <w:rPr>
          <w:rFonts w:ascii="Arial" w:hAnsi="Arial" w:cs="Arial"/>
          <w:sz w:val="24"/>
          <w:szCs w:val="24"/>
        </w:rPr>
        <w:t xml:space="preserve"> A, before Kruger AJ</w:t>
      </w:r>
      <w:r w:rsidR="00363D65" w:rsidRPr="00C47012">
        <w:rPr>
          <w:rFonts w:ascii="Arial" w:hAnsi="Arial" w:cs="Arial"/>
          <w:sz w:val="24"/>
          <w:szCs w:val="24"/>
        </w:rPr>
        <w:t>,</w:t>
      </w:r>
      <w:r w:rsidR="00731681" w:rsidRPr="00C47012">
        <w:rPr>
          <w:rFonts w:ascii="Arial" w:hAnsi="Arial" w:cs="Arial"/>
          <w:sz w:val="24"/>
          <w:szCs w:val="24"/>
        </w:rPr>
        <w:t xml:space="preserve"> </w:t>
      </w:r>
      <w:r w:rsidR="003123CD" w:rsidRPr="00C47012">
        <w:rPr>
          <w:rFonts w:ascii="Arial" w:hAnsi="Arial" w:cs="Arial"/>
          <w:sz w:val="24"/>
          <w:szCs w:val="24"/>
        </w:rPr>
        <w:t xml:space="preserve">it was noted that </w:t>
      </w:r>
      <w:proofErr w:type="spellStart"/>
      <w:r w:rsidR="003123CD" w:rsidRPr="00C47012">
        <w:rPr>
          <w:rFonts w:ascii="Arial" w:hAnsi="Arial" w:cs="Arial"/>
          <w:sz w:val="24"/>
          <w:szCs w:val="24"/>
        </w:rPr>
        <w:t>Mr</w:t>
      </w:r>
      <w:proofErr w:type="spellEnd"/>
      <w:r w:rsidR="003123CD" w:rsidRPr="00C47012">
        <w:rPr>
          <w:rFonts w:ascii="Arial" w:hAnsi="Arial" w:cs="Arial"/>
          <w:sz w:val="24"/>
          <w:szCs w:val="24"/>
        </w:rPr>
        <w:t xml:space="preserve"> </w:t>
      </w:r>
      <w:proofErr w:type="spellStart"/>
      <w:r w:rsidR="003123CD" w:rsidRPr="00C47012">
        <w:rPr>
          <w:rFonts w:ascii="Arial" w:hAnsi="Arial" w:cs="Arial"/>
          <w:sz w:val="24"/>
          <w:szCs w:val="24"/>
        </w:rPr>
        <w:t>Madikizela</w:t>
      </w:r>
      <w:proofErr w:type="spellEnd"/>
      <w:r w:rsidR="003123CD" w:rsidRPr="00C47012">
        <w:rPr>
          <w:rFonts w:ascii="Arial" w:hAnsi="Arial" w:cs="Arial"/>
          <w:sz w:val="24"/>
          <w:szCs w:val="24"/>
        </w:rPr>
        <w:t xml:space="preserve"> sought to review and set aside the</w:t>
      </w:r>
      <w:r w:rsidR="004D6403" w:rsidRPr="00C47012">
        <w:rPr>
          <w:rFonts w:ascii="Arial" w:hAnsi="Arial" w:cs="Arial"/>
          <w:sz w:val="24"/>
          <w:szCs w:val="24"/>
        </w:rPr>
        <w:t xml:space="preserve"> first</w:t>
      </w:r>
      <w:r w:rsidR="003123CD" w:rsidRPr="00C47012">
        <w:rPr>
          <w:rFonts w:ascii="Arial" w:hAnsi="Arial" w:cs="Arial"/>
          <w:sz w:val="24"/>
          <w:szCs w:val="24"/>
        </w:rPr>
        <w:t xml:space="preserve"> report</w:t>
      </w:r>
      <w:r w:rsidR="00755EEE" w:rsidRPr="00C47012">
        <w:rPr>
          <w:rFonts w:ascii="Arial" w:hAnsi="Arial" w:cs="Arial"/>
          <w:sz w:val="24"/>
          <w:szCs w:val="24"/>
        </w:rPr>
        <w:t>,</w:t>
      </w:r>
      <w:r w:rsidR="003123CD" w:rsidRPr="00C47012">
        <w:rPr>
          <w:rFonts w:ascii="Arial" w:hAnsi="Arial" w:cs="Arial"/>
          <w:sz w:val="24"/>
          <w:szCs w:val="24"/>
        </w:rPr>
        <w:t xml:space="preserve"> wher</w:t>
      </w:r>
      <w:r w:rsidR="0048002E" w:rsidRPr="00C47012">
        <w:rPr>
          <w:rFonts w:ascii="Arial" w:hAnsi="Arial" w:cs="Arial"/>
          <w:sz w:val="24"/>
          <w:szCs w:val="24"/>
        </w:rPr>
        <w:t>eas</w:t>
      </w:r>
      <w:r w:rsidR="003123CD" w:rsidRPr="00C47012">
        <w:rPr>
          <w:rFonts w:ascii="Arial" w:hAnsi="Arial" w:cs="Arial"/>
          <w:sz w:val="24"/>
          <w:szCs w:val="24"/>
        </w:rPr>
        <w:t xml:space="preserve"> </w:t>
      </w:r>
      <w:proofErr w:type="spellStart"/>
      <w:r w:rsidR="003123CD" w:rsidRPr="00C47012">
        <w:rPr>
          <w:rFonts w:ascii="Arial" w:hAnsi="Arial" w:cs="Arial"/>
          <w:sz w:val="24"/>
          <w:szCs w:val="24"/>
        </w:rPr>
        <w:t>Mr</w:t>
      </w:r>
      <w:proofErr w:type="spellEnd"/>
      <w:r w:rsidR="003123CD" w:rsidRPr="00C47012">
        <w:rPr>
          <w:rFonts w:ascii="Arial" w:hAnsi="Arial" w:cs="Arial"/>
          <w:sz w:val="24"/>
          <w:szCs w:val="24"/>
        </w:rPr>
        <w:t xml:space="preserve"> </w:t>
      </w:r>
      <w:proofErr w:type="spellStart"/>
      <w:r w:rsidR="00425E18" w:rsidRPr="00C47012">
        <w:rPr>
          <w:rFonts w:ascii="Arial" w:hAnsi="Arial" w:cs="Arial"/>
          <w:sz w:val="24"/>
          <w:szCs w:val="24"/>
        </w:rPr>
        <w:t>Mabuyane</w:t>
      </w:r>
      <w:proofErr w:type="spellEnd"/>
      <w:r w:rsidR="003123CD" w:rsidRPr="00C47012">
        <w:rPr>
          <w:rFonts w:ascii="Arial" w:hAnsi="Arial" w:cs="Arial"/>
          <w:sz w:val="24"/>
          <w:szCs w:val="24"/>
        </w:rPr>
        <w:t xml:space="preserve"> </w:t>
      </w:r>
      <w:r w:rsidR="0048002E" w:rsidRPr="00C47012">
        <w:rPr>
          <w:rFonts w:ascii="Arial" w:hAnsi="Arial" w:cs="Arial"/>
          <w:sz w:val="24"/>
          <w:szCs w:val="24"/>
        </w:rPr>
        <w:t>attacked</w:t>
      </w:r>
      <w:r w:rsidR="003123CD" w:rsidRPr="00C47012">
        <w:rPr>
          <w:rFonts w:ascii="Arial" w:hAnsi="Arial" w:cs="Arial"/>
          <w:sz w:val="24"/>
          <w:szCs w:val="24"/>
        </w:rPr>
        <w:t xml:space="preserve"> the </w:t>
      </w:r>
      <w:r w:rsidR="004D6403" w:rsidRPr="00C47012">
        <w:rPr>
          <w:rFonts w:ascii="Arial" w:hAnsi="Arial" w:cs="Arial"/>
          <w:sz w:val="24"/>
          <w:szCs w:val="24"/>
        </w:rPr>
        <w:t xml:space="preserve">second </w:t>
      </w:r>
      <w:r w:rsidR="003123CD" w:rsidRPr="00C47012">
        <w:rPr>
          <w:rFonts w:ascii="Arial" w:hAnsi="Arial" w:cs="Arial"/>
          <w:sz w:val="24"/>
          <w:szCs w:val="24"/>
        </w:rPr>
        <w:t>report</w:t>
      </w:r>
      <w:r w:rsidR="004D6403" w:rsidRPr="00C47012">
        <w:rPr>
          <w:rFonts w:ascii="Arial" w:hAnsi="Arial" w:cs="Arial"/>
          <w:sz w:val="24"/>
          <w:szCs w:val="24"/>
        </w:rPr>
        <w:t>.</w:t>
      </w:r>
      <w:r w:rsidR="003123CD" w:rsidRPr="00C47012">
        <w:rPr>
          <w:rFonts w:ascii="Arial" w:hAnsi="Arial" w:cs="Arial"/>
          <w:sz w:val="24"/>
          <w:szCs w:val="24"/>
        </w:rPr>
        <w:t xml:space="preserve">  </w:t>
      </w:r>
      <w:r w:rsidR="0048002E" w:rsidRPr="00C47012">
        <w:rPr>
          <w:rFonts w:ascii="Arial" w:hAnsi="Arial" w:cs="Arial"/>
          <w:sz w:val="24"/>
          <w:szCs w:val="24"/>
        </w:rPr>
        <w:t>Thus, it</w:t>
      </w:r>
      <w:r w:rsidR="003123CD" w:rsidRPr="00C47012">
        <w:rPr>
          <w:rFonts w:ascii="Arial" w:hAnsi="Arial" w:cs="Arial"/>
          <w:sz w:val="24"/>
          <w:szCs w:val="24"/>
        </w:rPr>
        <w:t xml:space="preserve"> </w:t>
      </w:r>
      <w:r w:rsidR="002F6FD3" w:rsidRPr="00C47012">
        <w:rPr>
          <w:rFonts w:ascii="Arial" w:hAnsi="Arial" w:cs="Arial"/>
          <w:sz w:val="24"/>
          <w:szCs w:val="24"/>
        </w:rPr>
        <w:t>emerged that</w:t>
      </w:r>
      <w:r w:rsidR="003123CD" w:rsidRPr="00C47012">
        <w:rPr>
          <w:rFonts w:ascii="Arial" w:hAnsi="Arial" w:cs="Arial"/>
          <w:sz w:val="24"/>
          <w:szCs w:val="24"/>
        </w:rPr>
        <w:t xml:space="preserve"> there were two reports in existence.  </w:t>
      </w:r>
      <w:r w:rsidR="0048002E" w:rsidRPr="00C47012">
        <w:rPr>
          <w:rFonts w:ascii="Arial" w:hAnsi="Arial" w:cs="Arial"/>
          <w:sz w:val="24"/>
          <w:szCs w:val="24"/>
        </w:rPr>
        <w:t xml:space="preserve">Both were dated and signed by </w:t>
      </w:r>
      <w:proofErr w:type="spellStart"/>
      <w:r w:rsidR="004D6403" w:rsidRPr="00C47012">
        <w:rPr>
          <w:rFonts w:ascii="Arial" w:hAnsi="Arial" w:cs="Arial"/>
          <w:sz w:val="24"/>
          <w:szCs w:val="24"/>
        </w:rPr>
        <w:t>Ms</w:t>
      </w:r>
      <w:proofErr w:type="spellEnd"/>
      <w:r w:rsidR="004D6403" w:rsidRPr="00C47012">
        <w:rPr>
          <w:rFonts w:ascii="Arial" w:hAnsi="Arial" w:cs="Arial"/>
          <w:sz w:val="24"/>
          <w:szCs w:val="24"/>
        </w:rPr>
        <w:t xml:space="preserve"> </w:t>
      </w:r>
      <w:proofErr w:type="spellStart"/>
      <w:r w:rsidR="004D6403" w:rsidRPr="00C47012">
        <w:rPr>
          <w:rFonts w:ascii="Arial" w:hAnsi="Arial" w:cs="Arial"/>
          <w:sz w:val="24"/>
          <w:szCs w:val="24"/>
        </w:rPr>
        <w:t>Mkhwebane</w:t>
      </w:r>
      <w:proofErr w:type="spellEnd"/>
      <w:r w:rsidR="004D6403" w:rsidRPr="00C47012">
        <w:rPr>
          <w:rFonts w:ascii="Arial" w:hAnsi="Arial" w:cs="Arial"/>
          <w:sz w:val="24"/>
          <w:szCs w:val="24"/>
        </w:rPr>
        <w:t xml:space="preserve">, </w:t>
      </w:r>
      <w:r w:rsidR="0048002E" w:rsidRPr="00C47012">
        <w:rPr>
          <w:rFonts w:ascii="Arial" w:hAnsi="Arial" w:cs="Arial"/>
          <w:sz w:val="24"/>
          <w:szCs w:val="24"/>
        </w:rPr>
        <w:t>the PP</w:t>
      </w:r>
      <w:r w:rsidR="004D6403" w:rsidRPr="00C47012">
        <w:rPr>
          <w:rFonts w:ascii="Arial" w:hAnsi="Arial" w:cs="Arial"/>
          <w:sz w:val="24"/>
          <w:szCs w:val="24"/>
        </w:rPr>
        <w:t>,</w:t>
      </w:r>
      <w:r w:rsidR="0048002E" w:rsidRPr="00C47012">
        <w:rPr>
          <w:rFonts w:ascii="Arial" w:hAnsi="Arial" w:cs="Arial"/>
          <w:sz w:val="24"/>
          <w:szCs w:val="24"/>
        </w:rPr>
        <w:t xml:space="preserve"> and, as I have said, reflected the same remedial action, save that the second report reflected an additional remedial measure.  The first report had been published on the PP’s website, whilst the latter was released at the media briefing.</w:t>
      </w:r>
      <w:r w:rsidR="002F6FD3">
        <w:rPr>
          <w:rStyle w:val="FootnoteReference"/>
          <w:rFonts w:ascii="Arial" w:hAnsi="Arial" w:cs="Arial"/>
          <w:sz w:val="24"/>
          <w:szCs w:val="24"/>
        </w:rPr>
        <w:footnoteReference w:id="5"/>
      </w:r>
    </w:p>
    <w:p w14:paraId="711DE693" w14:textId="77777777" w:rsidR="0048002E" w:rsidRPr="0048002E" w:rsidRDefault="0048002E" w:rsidP="008231CE">
      <w:pPr>
        <w:pStyle w:val="ListParagraph"/>
        <w:spacing w:after="0" w:line="480" w:lineRule="auto"/>
        <w:ind w:left="0"/>
        <w:jc w:val="both"/>
        <w:rPr>
          <w:rFonts w:ascii="Arial" w:hAnsi="Arial" w:cs="Arial"/>
          <w:sz w:val="24"/>
          <w:szCs w:val="24"/>
        </w:rPr>
      </w:pPr>
    </w:p>
    <w:p w14:paraId="232378FC" w14:textId="6A9A7957" w:rsidR="003E724E" w:rsidRPr="00C47012" w:rsidRDefault="00C47012" w:rsidP="00C47012">
      <w:pPr>
        <w:spacing w:after="0" w:line="480" w:lineRule="auto"/>
        <w:jc w:val="both"/>
        <w:rPr>
          <w:rFonts w:ascii="Arial" w:hAnsi="Arial" w:cs="Arial"/>
          <w:sz w:val="24"/>
          <w:szCs w:val="24"/>
        </w:rPr>
      </w:pPr>
      <w:r w:rsidRPr="004F1C3B">
        <w:rPr>
          <w:rFonts w:ascii="Arial" w:hAnsi="Arial" w:cs="Arial"/>
          <w:color w:val="000000" w:themeColor="text1"/>
          <w:sz w:val="24"/>
          <w:szCs w:val="24"/>
        </w:rPr>
        <w:lastRenderedPageBreak/>
        <w:t>[15]</w:t>
      </w:r>
      <w:r w:rsidRPr="004F1C3B">
        <w:rPr>
          <w:rFonts w:ascii="Arial" w:hAnsi="Arial" w:cs="Arial"/>
          <w:color w:val="000000" w:themeColor="text1"/>
          <w:sz w:val="24"/>
          <w:szCs w:val="24"/>
        </w:rPr>
        <w:tab/>
      </w:r>
      <w:r w:rsidR="003E724E" w:rsidRPr="00C47012">
        <w:rPr>
          <w:rFonts w:ascii="Arial" w:hAnsi="Arial" w:cs="Arial"/>
          <w:sz w:val="24"/>
          <w:szCs w:val="24"/>
        </w:rPr>
        <w:t xml:space="preserve">The relief sought in Part A of the notice of motion </w:t>
      </w:r>
      <w:r w:rsidR="00EA09B2" w:rsidRPr="00C47012">
        <w:rPr>
          <w:rFonts w:ascii="Arial" w:hAnsi="Arial" w:cs="Arial"/>
          <w:sz w:val="24"/>
          <w:szCs w:val="24"/>
        </w:rPr>
        <w:t xml:space="preserve">in each case </w:t>
      </w:r>
      <w:r w:rsidR="003E724E" w:rsidRPr="00C47012">
        <w:rPr>
          <w:rFonts w:ascii="Arial" w:hAnsi="Arial" w:cs="Arial"/>
          <w:sz w:val="24"/>
          <w:szCs w:val="24"/>
        </w:rPr>
        <w:t>was duly</w:t>
      </w:r>
      <w:r w:rsidR="00EF08E2" w:rsidRPr="00C47012">
        <w:rPr>
          <w:rFonts w:ascii="Arial" w:hAnsi="Arial" w:cs="Arial"/>
          <w:sz w:val="24"/>
          <w:szCs w:val="24"/>
        </w:rPr>
        <w:t xml:space="preserve"> granted on </w:t>
      </w:r>
      <w:r w:rsidR="000D1EA2" w:rsidRPr="00C47012">
        <w:rPr>
          <w:rFonts w:ascii="Arial" w:hAnsi="Arial" w:cs="Arial"/>
          <w:sz w:val="24"/>
          <w:szCs w:val="24"/>
        </w:rPr>
        <w:t>2</w:t>
      </w:r>
      <w:r w:rsidR="00EF08E2" w:rsidRPr="00C47012">
        <w:rPr>
          <w:rFonts w:ascii="Arial" w:hAnsi="Arial" w:cs="Arial"/>
          <w:sz w:val="24"/>
          <w:szCs w:val="24"/>
        </w:rPr>
        <w:t>6 October 2021 and attorneys acting on</w:t>
      </w:r>
      <w:r w:rsidR="003E724E" w:rsidRPr="00C47012">
        <w:rPr>
          <w:rFonts w:ascii="Arial" w:hAnsi="Arial" w:cs="Arial"/>
          <w:sz w:val="24"/>
          <w:szCs w:val="24"/>
        </w:rPr>
        <w:t xml:space="preserve"> behalf of </w:t>
      </w:r>
      <w:proofErr w:type="spellStart"/>
      <w:r w:rsidR="003E724E" w:rsidRPr="00C47012">
        <w:rPr>
          <w:rFonts w:ascii="Arial" w:hAnsi="Arial" w:cs="Arial"/>
          <w:sz w:val="24"/>
          <w:szCs w:val="24"/>
        </w:rPr>
        <w:t>Mr</w:t>
      </w:r>
      <w:proofErr w:type="spellEnd"/>
      <w:r w:rsidR="003E724E" w:rsidRPr="00C47012">
        <w:rPr>
          <w:rFonts w:ascii="Arial" w:hAnsi="Arial" w:cs="Arial"/>
          <w:sz w:val="24"/>
          <w:szCs w:val="24"/>
        </w:rPr>
        <w:t xml:space="preserve"> </w:t>
      </w:r>
      <w:proofErr w:type="spellStart"/>
      <w:r w:rsidR="003E724E" w:rsidRPr="00C47012">
        <w:rPr>
          <w:rFonts w:ascii="Arial" w:hAnsi="Arial" w:cs="Arial"/>
          <w:sz w:val="24"/>
          <w:szCs w:val="24"/>
        </w:rPr>
        <w:t>Madikizela</w:t>
      </w:r>
      <w:proofErr w:type="spellEnd"/>
      <w:r w:rsidR="003E724E" w:rsidRPr="00C47012">
        <w:rPr>
          <w:rFonts w:ascii="Arial" w:hAnsi="Arial" w:cs="Arial"/>
          <w:sz w:val="24"/>
          <w:szCs w:val="24"/>
        </w:rPr>
        <w:t xml:space="preserve"> immediately addressed correspondence to the </w:t>
      </w:r>
      <w:r w:rsidR="008A6DB5" w:rsidRPr="00C47012">
        <w:rPr>
          <w:rFonts w:ascii="Arial" w:hAnsi="Arial" w:cs="Arial"/>
          <w:sz w:val="24"/>
          <w:szCs w:val="24"/>
        </w:rPr>
        <w:t>PP</w:t>
      </w:r>
      <w:r w:rsidR="003E724E" w:rsidRPr="00C47012">
        <w:rPr>
          <w:rFonts w:ascii="Arial" w:hAnsi="Arial" w:cs="Arial"/>
          <w:sz w:val="24"/>
          <w:szCs w:val="24"/>
        </w:rPr>
        <w:t xml:space="preserve"> requesting her to explain why there were two reports with different remedial action.  She </w:t>
      </w:r>
      <w:r w:rsidR="00EF08E2" w:rsidRPr="00C47012">
        <w:rPr>
          <w:rFonts w:ascii="Arial" w:hAnsi="Arial" w:cs="Arial"/>
          <w:sz w:val="24"/>
          <w:szCs w:val="24"/>
        </w:rPr>
        <w:t xml:space="preserve">did not reply but </w:t>
      </w:r>
      <w:r w:rsidR="003E724E" w:rsidRPr="00C47012">
        <w:rPr>
          <w:rFonts w:ascii="Arial" w:hAnsi="Arial" w:cs="Arial"/>
          <w:sz w:val="24"/>
          <w:szCs w:val="24"/>
        </w:rPr>
        <w:t xml:space="preserve">responded through her attorneys who advised that </w:t>
      </w:r>
      <w:r w:rsidR="00EF08E2" w:rsidRPr="00C47012">
        <w:rPr>
          <w:rFonts w:ascii="Arial" w:hAnsi="Arial" w:cs="Arial"/>
          <w:sz w:val="24"/>
          <w:szCs w:val="24"/>
        </w:rPr>
        <w:t>an</w:t>
      </w:r>
      <w:r w:rsidR="003E724E" w:rsidRPr="00C47012">
        <w:rPr>
          <w:rFonts w:ascii="Arial" w:hAnsi="Arial" w:cs="Arial"/>
          <w:sz w:val="24"/>
          <w:szCs w:val="24"/>
        </w:rPr>
        <w:t xml:space="preserve"> explanation for the two reports would be filed together </w:t>
      </w:r>
      <w:r w:rsidR="00173CD3" w:rsidRPr="00C47012">
        <w:rPr>
          <w:rFonts w:ascii="Arial" w:hAnsi="Arial" w:cs="Arial"/>
          <w:sz w:val="24"/>
          <w:szCs w:val="24"/>
        </w:rPr>
        <w:t>with the</w:t>
      </w:r>
      <w:r w:rsidR="00EA09B2" w:rsidRPr="00C47012">
        <w:rPr>
          <w:rFonts w:ascii="Arial" w:hAnsi="Arial" w:cs="Arial"/>
          <w:sz w:val="24"/>
          <w:szCs w:val="24"/>
        </w:rPr>
        <w:t xml:space="preserve"> record in terms of </w:t>
      </w:r>
      <w:r w:rsidR="00B949E2" w:rsidRPr="00C47012">
        <w:rPr>
          <w:rFonts w:ascii="Arial" w:hAnsi="Arial" w:cs="Arial"/>
          <w:sz w:val="24"/>
          <w:szCs w:val="24"/>
        </w:rPr>
        <w:t xml:space="preserve">rule 53 of </w:t>
      </w:r>
      <w:r w:rsidR="00EA09B2" w:rsidRPr="00C47012">
        <w:rPr>
          <w:rFonts w:ascii="Arial" w:hAnsi="Arial" w:cs="Arial"/>
          <w:sz w:val="24"/>
          <w:szCs w:val="24"/>
        </w:rPr>
        <w:t>the Uniform Rules of Court (the rules).</w:t>
      </w:r>
      <w:r w:rsidR="003E724E" w:rsidRPr="00C47012">
        <w:rPr>
          <w:rFonts w:ascii="Arial" w:hAnsi="Arial" w:cs="Arial"/>
          <w:sz w:val="24"/>
          <w:szCs w:val="24"/>
        </w:rPr>
        <w:t xml:space="preserve">  </w:t>
      </w:r>
      <w:r w:rsidR="00EF08E2" w:rsidRPr="00C47012">
        <w:rPr>
          <w:rFonts w:ascii="Arial" w:hAnsi="Arial" w:cs="Arial"/>
          <w:sz w:val="24"/>
          <w:szCs w:val="24"/>
        </w:rPr>
        <w:t>A record was duly filed and on</w:t>
      </w:r>
      <w:r w:rsidR="003E724E" w:rsidRPr="00C47012">
        <w:rPr>
          <w:rFonts w:ascii="Arial" w:hAnsi="Arial" w:cs="Arial"/>
          <w:sz w:val="24"/>
          <w:szCs w:val="24"/>
        </w:rPr>
        <w:t xml:space="preserve"> 1 December 2021 they wrote to </w:t>
      </w:r>
      <w:proofErr w:type="spellStart"/>
      <w:r w:rsidR="003E724E" w:rsidRPr="00C47012">
        <w:rPr>
          <w:rFonts w:ascii="Arial" w:hAnsi="Arial" w:cs="Arial"/>
          <w:sz w:val="24"/>
          <w:szCs w:val="24"/>
        </w:rPr>
        <w:t>Mr</w:t>
      </w:r>
      <w:proofErr w:type="spellEnd"/>
      <w:r w:rsidR="003E724E" w:rsidRPr="00C47012">
        <w:rPr>
          <w:rFonts w:ascii="Arial" w:hAnsi="Arial" w:cs="Arial"/>
          <w:sz w:val="24"/>
          <w:szCs w:val="24"/>
        </w:rPr>
        <w:t xml:space="preserve"> </w:t>
      </w:r>
      <w:proofErr w:type="spellStart"/>
      <w:r w:rsidR="003E724E" w:rsidRPr="00C47012">
        <w:rPr>
          <w:rFonts w:ascii="Arial" w:hAnsi="Arial" w:cs="Arial"/>
          <w:sz w:val="24"/>
          <w:szCs w:val="24"/>
        </w:rPr>
        <w:t>Madikizela’s</w:t>
      </w:r>
      <w:proofErr w:type="spellEnd"/>
      <w:r w:rsidR="003E724E" w:rsidRPr="00C47012">
        <w:rPr>
          <w:rFonts w:ascii="Arial" w:hAnsi="Arial" w:cs="Arial"/>
          <w:sz w:val="24"/>
          <w:szCs w:val="24"/>
        </w:rPr>
        <w:t xml:space="preserve"> attorneys </w:t>
      </w:r>
      <w:r w:rsidR="00EF08E2" w:rsidRPr="00C47012">
        <w:rPr>
          <w:rFonts w:ascii="Arial" w:hAnsi="Arial" w:cs="Arial"/>
          <w:sz w:val="24"/>
          <w:szCs w:val="24"/>
        </w:rPr>
        <w:t xml:space="preserve">to advise that the </w:t>
      </w:r>
      <w:r w:rsidR="00EA09B2" w:rsidRPr="00C47012">
        <w:rPr>
          <w:rFonts w:ascii="Arial" w:hAnsi="Arial" w:cs="Arial"/>
          <w:sz w:val="24"/>
          <w:szCs w:val="24"/>
        </w:rPr>
        <w:t>r</w:t>
      </w:r>
      <w:r w:rsidR="003E724E" w:rsidRPr="00C47012">
        <w:rPr>
          <w:rFonts w:ascii="Arial" w:hAnsi="Arial" w:cs="Arial"/>
          <w:sz w:val="24"/>
          <w:szCs w:val="24"/>
        </w:rPr>
        <w:t xml:space="preserve">ule 53 record </w:t>
      </w:r>
      <w:r w:rsidR="00EF08E2" w:rsidRPr="00C47012">
        <w:rPr>
          <w:rFonts w:ascii="Arial" w:hAnsi="Arial" w:cs="Arial"/>
          <w:sz w:val="24"/>
          <w:szCs w:val="24"/>
        </w:rPr>
        <w:t xml:space="preserve">was </w:t>
      </w:r>
      <w:proofErr w:type="gramStart"/>
      <w:r w:rsidR="00EF08E2" w:rsidRPr="00C47012">
        <w:rPr>
          <w:rFonts w:ascii="Arial" w:hAnsi="Arial" w:cs="Arial"/>
          <w:sz w:val="24"/>
          <w:szCs w:val="24"/>
        </w:rPr>
        <w:t>incomplete</w:t>
      </w:r>
      <w:proofErr w:type="gramEnd"/>
      <w:r w:rsidR="00EF08E2" w:rsidRPr="00C47012">
        <w:rPr>
          <w:rFonts w:ascii="Arial" w:hAnsi="Arial" w:cs="Arial"/>
          <w:sz w:val="24"/>
          <w:szCs w:val="24"/>
        </w:rPr>
        <w:t xml:space="preserve"> </w:t>
      </w:r>
      <w:r w:rsidR="003E724E" w:rsidRPr="00C47012">
        <w:rPr>
          <w:rFonts w:ascii="Arial" w:hAnsi="Arial" w:cs="Arial"/>
          <w:sz w:val="24"/>
          <w:szCs w:val="24"/>
        </w:rPr>
        <w:t xml:space="preserve">and </w:t>
      </w:r>
      <w:r w:rsidR="00EF08E2" w:rsidRPr="00C47012">
        <w:rPr>
          <w:rFonts w:ascii="Arial" w:hAnsi="Arial" w:cs="Arial"/>
          <w:sz w:val="24"/>
          <w:szCs w:val="24"/>
        </w:rPr>
        <w:t xml:space="preserve">they undertook that a </w:t>
      </w:r>
      <w:r w:rsidR="004F1C3B" w:rsidRPr="00C47012">
        <w:rPr>
          <w:rFonts w:ascii="Arial" w:hAnsi="Arial" w:cs="Arial"/>
          <w:sz w:val="24"/>
          <w:szCs w:val="24"/>
        </w:rPr>
        <w:t>supplementary</w:t>
      </w:r>
      <w:r w:rsidR="003E724E" w:rsidRPr="00C47012">
        <w:rPr>
          <w:rFonts w:ascii="Arial" w:hAnsi="Arial" w:cs="Arial"/>
          <w:sz w:val="24"/>
          <w:szCs w:val="24"/>
        </w:rPr>
        <w:t xml:space="preserve"> record would be filed in due course.  There was no </w:t>
      </w:r>
      <w:r w:rsidR="004F1C3B" w:rsidRPr="00C47012">
        <w:rPr>
          <w:rFonts w:ascii="Arial" w:hAnsi="Arial" w:cs="Arial"/>
          <w:sz w:val="24"/>
          <w:szCs w:val="24"/>
        </w:rPr>
        <w:t>explanation</w:t>
      </w:r>
      <w:r w:rsidR="003E724E" w:rsidRPr="00C47012">
        <w:rPr>
          <w:rFonts w:ascii="Arial" w:hAnsi="Arial" w:cs="Arial"/>
          <w:sz w:val="24"/>
          <w:szCs w:val="24"/>
        </w:rPr>
        <w:t xml:space="preserve"> for the two reports.  </w:t>
      </w:r>
    </w:p>
    <w:p w14:paraId="22E51E76" w14:textId="77777777" w:rsidR="003E724E" w:rsidRDefault="003E724E" w:rsidP="008231CE">
      <w:pPr>
        <w:spacing w:after="0" w:line="480" w:lineRule="auto"/>
        <w:contextualSpacing/>
        <w:jc w:val="both"/>
        <w:rPr>
          <w:rFonts w:ascii="Arial" w:hAnsi="Arial" w:cs="Arial"/>
          <w:sz w:val="24"/>
          <w:szCs w:val="24"/>
        </w:rPr>
      </w:pPr>
    </w:p>
    <w:p w14:paraId="4ACE5036" w14:textId="4B053329" w:rsidR="00411605" w:rsidRPr="00C47012" w:rsidRDefault="00C47012" w:rsidP="00C47012">
      <w:pPr>
        <w:spacing w:after="0" w:line="480" w:lineRule="auto"/>
        <w:jc w:val="both"/>
        <w:rPr>
          <w:rFonts w:ascii="Arial" w:hAnsi="Arial" w:cs="Arial"/>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3E724E" w:rsidRPr="00C47012">
        <w:rPr>
          <w:rFonts w:ascii="Arial" w:hAnsi="Arial" w:cs="Arial"/>
          <w:sz w:val="24"/>
          <w:szCs w:val="24"/>
        </w:rPr>
        <w:t xml:space="preserve">On 13 </w:t>
      </w:r>
      <w:r w:rsidR="004F1C3B" w:rsidRPr="00C47012">
        <w:rPr>
          <w:rFonts w:ascii="Arial" w:hAnsi="Arial" w:cs="Arial"/>
          <w:sz w:val="24"/>
          <w:szCs w:val="24"/>
        </w:rPr>
        <w:t>January</w:t>
      </w:r>
      <w:r w:rsidR="003E724E" w:rsidRPr="00C47012">
        <w:rPr>
          <w:rFonts w:ascii="Arial" w:hAnsi="Arial" w:cs="Arial"/>
          <w:sz w:val="24"/>
          <w:szCs w:val="24"/>
        </w:rPr>
        <w:t xml:space="preserve"> 2022</w:t>
      </w:r>
      <w:r w:rsidR="00121976" w:rsidRPr="00C47012">
        <w:rPr>
          <w:rFonts w:ascii="Arial" w:hAnsi="Arial" w:cs="Arial"/>
          <w:sz w:val="24"/>
          <w:szCs w:val="24"/>
        </w:rPr>
        <w:t>,</w:t>
      </w:r>
      <w:r w:rsidR="003E724E" w:rsidRPr="00C47012">
        <w:rPr>
          <w:rFonts w:ascii="Arial" w:hAnsi="Arial" w:cs="Arial"/>
          <w:sz w:val="24"/>
          <w:szCs w:val="24"/>
        </w:rPr>
        <w:t xml:space="preserve"> </w:t>
      </w:r>
      <w:proofErr w:type="spellStart"/>
      <w:r w:rsidR="003E724E" w:rsidRPr="00C47012">
        <w:rPr>
          <w:rFonts w:ascii="Arial" w:hAnsi="Arial" w:cs="Arial"/>
          <w:sz w:val="24"/>
          <w:szCs w:val="24"/>
        </w:rPr>
        <w:t>Mr</w:t>
      </w:r>
      <w:proofErr w:type="spellEnd"/>
      <w:r w:rsidR="003E724E" w:rsidRPr="00C47012">
        <w:rPr>
          <w:rFonts w:ascii="Arial" w:hAnsi="Arial" w:cs="Arial"/>
          <w:sz w:val="24"/>
          <w:szCs w:val="24"/>
        </w:rPr>
        <w:t xml:space="preserve"> </w:t>
      </w:r>
      <w:proofErr w:type="spellStart"/>
      <w:r w:rsidR="003E724E" w:rsidRPr="00C47012">
        <w:rPr>
          <w:rFonts w:ascii="Arial" w:hAnsi="Arial" w:cs="Arial"/>
          <w:sz w:val="24"/>
          <w:szCs w:val="24"/>
        </w:rPr>
        <w:t>Madikizela’s</w:t>
      </w:r>
      <w:proofErr w:type="spellEnd"/>
      <w:r w:rsidR="003E724E" w:rsidRPr="00C47012">
        <w:rPr>
          <w:rFonts w:ascii="Arial" w:hAnsi="Arial" w:cs="Arial"/>
          <w:sz w:val="24"/>
          <w:szCs w:val="24"/>
        </w:rPr>
        <w:t xml:space="preserve"> attorney again addressed the </w:t>
      </w:r>
      <w:r w:rsidR="008A6DB5" w:rsidRPr="00C47012">
        <w:rPr>
          <w:rFonts w:ascii="Arial" w:hAnsi="Arial" w:cs="Arial"/>
          <w:sz w:val="24"/>
          <w:szCs w:val="24"/>
        </w:rPr>
        <w:t>P</w:t>
      </w:r>
      <w:r w:rsidR="0046342A" w:rsidRPr="00C47012">
        <w:rPr>
          <w:rFonts w:ascii="Arial" w:hAnsi="Arial" w:cs="Arial"/>
          <w:sz w:val="24"/>
          <w:szCs w:val="24"/>
        </w:rPr>
        <w:t>P’s</w:t>
      </w:r>
      <w:r w:rsidR="003E724E" w:rsidRPr="00C47012">
        <w:rPr>
          <w:rFonts w:ascii="Arial" w:hAnsi="Arial" w:cs="Arial"/>
          <w:sz w:val="24"/>
          <w:szCs w:val="24"/>
        </w:rPr>
        <w:t xml:space="preserve"> attorneys of record informing them that if they did not file a complete record </w:t>
      </w:r>
      <w:proofErr w:type="spellStart"/>
      <w:r w:rsidR="003E724E" w:rsidRPr="00C47012">
        <w:rPr>
          <w:rFonts w:ascii="Arial" w:hAnsi="Arial" w:cs="Arial"/>
          <w:sz w:val="24"/>
          <w:szCs w:val="24"/>
        </w:rPr>
        <w:t>Mr</w:t>
      </w:r>
      <w:proofErr w:type="spellEnd"/>
      <w:r w:rsidR="003E724E" w:rsidRPr="00C47012">
        <w:rPr>
          <w:rFonts w:ascii="Arial" w:hAnsi="Arial" w:cs="Arial"/>
          <w:sz w:val="24"/>
          <w:szCs w:val="24"/>
        </w:rPr>
        <w:t xml:space="preserve"> </w:t>
      </w:r>
      <w:proofErr w:type="spellStart"/>
      <w:r w:rsidR="003E724E" w:rsidRPr="00C47012">
        <w:rPr>
          <w:rFonts w:ascii="Arial" w:hAnsi="Arial" w:cs="Arial"/>
          <w:sz w:val="24"/>
          <w:szCs w:val="24"/>
        </w:rPr>
        <w:t>Madikizela</w:t>
      </w:r>
      <w:proofErr w:type="spellEnd"/>
      <w:r w:rsidR="003E724E" w:rsidRPr="00C47012">
        <w:rPr>
          <w:rFonts w:ascii="Arial" w:hAnsi="Arial" w:cs="Arial"/>
          <w:sz w:val="24"/>
          <w:szCs w:val="24"/>
        </w:rPr>
        <w:t xml:space="preserve"> intended to bring an application to compel the </w:t>
      </w:r>
      <w:r w:rsidR="008A6DB5" w:rsidRPr="00C47012">
        <w:rPr>
          <w:rFonts w:ascii="Arial" w:hAnsi="Arial" w:cs="Arial"/>
          <w:sz w:val="24"/>
          <w:szCs w:val="24"/>
        </w:rPr>
        <w:t>P</w:t>
      </w:r>
      <w:r w:rsidR="0046342A" w:rsidRPr="00C47012">
        <w:rPr>
          <w:rFonts w:ascii="Arial" w:hAnsi="Arial" w:cs="Arial"/>
          <w:sz w:val="24"/>
          <w:szCs w:val="24"/>
        </w:rPr>
        <w:t>P</w:t>
      </w:r>
      <w:r w:rsidR="003E724E" w:rsidRPr="00C47012">
        <w:rPr>
          <w:rFonts w:ascii="Arial" w:hAnsi="Arial" w:cs="Arial"/>
          <w:sz w:val="24"/>
          <w:szCs w:val="24"/>
        </w:rPr>
        <w:t xml:space="preserve"> to produce a complete record.  </w:t>
      </w:r>
      <w:r w:rsidR="0046342A" w:rsidRPr="00C47012">
        <w:rPr>
          <w:rFonts w:ascii="Arial" w:hAnsi="Arial" w:cs="Arial"/>
          <w:sz w:val="24"/>
          <w:szCs w:val="24"/>
        </w:rPr>
        <w:t>T</w:t>
      </w:r>
      <w:r w:rsidR="003E724E" w:rsidRPr="00C47012">
        <w:rPr>
          <w:rFonts w:ascii="Arial" w:hAnsi="Arial" w:cs="Arial"/>
          <w:sz w:val="24"/>
          <w:szCs w:val="24"/>
        </w:rPr>
        <w:t xml:space="preserve">hey responded, on the same day, advising that the </w:t>
      </w:r>
      <w:r w:rsidR="008A6DB5" w:rsidRPr="00C47012">
        <w:rPr>
          <w:rFonts w:ascii="Arial" w:hAnsi="Arial" w:cs="Arial"/>
          <w:sz w:val="24"/>
          <w:szCs w:val="24"/>
        </w:rPr>
        <w:t>PP</w:t>
      </w:r>
      <w:r w:rsidR="003E724E" w:rsidRPr="00C47012">
        <w:rPr>
          <w:rFonts w:ascii="Arial" w:hAnsi="Arial" w:cs="Arial"/>
          <w:sz w:val="24"/>
          <w:szCs w:val="24"/>
        </w:rPr>
        <w:t xml:space="preserve"> </w:t>
      </w:r>
      <w:r w:rsidR="0046342A" w:rsidRPr="00C47012">
        <w:rPr>
          <w:rFonts w:ascii="Arial" w:hAnsi="Arial" w:cs="Arial"/>
          <w:sz w:val="24"/>
          <w:szCs w:val="24"/>
        </w:rPr>
        <w:t xml:space="preserve">did not intend to file any further </w:t>
      </w:r>
      <w:r w:rsidR="00121976" w:rsidRPr="00C47012">
        <w:rPr>
          <w:rFonts w:ascii="Arial" w:hAnsi="Arial" w:cs="Arial"/>
          <w:sz w:val="24"/>
          <w:szCs w:val="24"/>
        </w:rPr>
        <w:t xml:space="preserve">records </w:t>
      </w:r>
      <w:r w:rsidR="0046342A" w:rsidRPr="00C47012">
        <w:rPr>
          <w:rFonts w:ascii="Arial" w:hAnsi="Arial" w:cs="Arial"/>
          <w:sz w:val="24"/>
          <w:szCs w:val="24"/>
        </w:rPr>
        <w:t xml:space="preserve">and </w:t>
      </w:r>
      <w:r w:rsidR="003E724E" w:rsidRPr="00C47012">
        <w:rPr>
          <w:rFonts w:ascii="Arial" w:hAnsi="Arial" w:cs="Arial"/>
          <w:sz w:val="24"/>
          <w:szCs w:val="24"/>
        </w:rPr>
        <w:t>w</w:t>
      </w:r>
      <w:r w:rsidR="0046342A" w:rsidRPr="00C47012">
        <w:rPr>
          <w:rFonts w:ascii="Arial" w:hAnsi="Arial" w:cs="Arial"/>
          <w:sz w:val="24"/>
          <w:szCs w:val="24"/>
        </w:rPr>
        <w:t>ould strenuously oppose such an</w:t>
      </w:r>
      <w:r w:rsidR="003E724E" w:rsidRPr="00C47012">
        <w:rPr>
          <w:rFonts w:ascii="Arial" w:hAnsi="Arial" w:cs="Arial"/>
          <w:sz w:val="24"/>
          <w:szCs w:val="24"/>
        </w:rPr>
        <w:t xml:space="preserve"> application</w:t>
      </w:r>
      <w:r w:rsidR="0046342A" w:rsidRPr="00C47012">
        <w:rPr>
          <w:rFonts w:ascii="Arial" w:hAnsi="Arial" w:cs="Arial"/>
          <w:sz w:val="24"/>
          <w:szCs w:val="24"/>
        </w:rPr>
        <w:t xml:space="preserve">.   Thus, </w:t>
      </w:r>
      <w:proofErr w:type="spellStart"/>
      <w:r w:rsidR="0046342A" w:rsidRPr="00C47012">
        <w:rPr>
          <w:rFonts w:ascii="Arial" w:hAnsi="Arial" w:cs="Arial"/>
          <w:sz w:val="24"/>
          <w:szCs w:val="24"/>
        </w:rPr>
        <w:t>Mr</w:t>
      </w:r>
      <w:proofErr w:type="spellEnd"/>
      <w:r w:rsidR="0046342A" w:rsidRPr="00C47012">
        <w:rPr>
          <w:rFonts w:ascii="Arial" w:hAnsi="Arial" w:cs="Arial"/>
          <w:sz w:val="24"/>
          <w:szCs w:val="24"/>
        </w:rPr>
        <w:t xml:space="preserve"> </w:t>
      </w:r>
      <w:proofErr w:type="spellStart"/>
      <w:r w:rsidR="0046342A" w:rsidRPr="00C47012">
        <w:rPr>
          <w:rFonts w:ascii="Arial" w:hAnsi="Arial" w:cs="Arial"/>
          <w:sz w:val="24"/>
          <w:szCs w:val="24"/>
        </w:rPr>
        <w:t>Madikizela’s</w:t>
      </w:r>
      <w:proofErr w:type="spellEnd"/>
      <w:r w:rsidR="0046342A" w:rsidRPr="00C47012">
        <w:rPr>
          <w:rFonts w:ascii="Arial" w:hAnsi="Arial" w:cs="Arial"/>
          <w:sz w:val="24"/>
          <w:szCs w:val="24"/>
        </w:rPr>
        <w:t xml:space="preserve"> attorneys launched their </w:t>
      </w:r>
      <w:r w:rsidR="003E724E" w:rsidRPr="00C47012">
        <w:rPr>
          <w:rFonts w:ascii="Arial" w:hAnsi="Arial" w:cs="Arial"/>
          <w:sz w:val="24"/>
          <w:szCs w:val="24"/>
        </w:rPr>
        <w:t>application</w:t>
      </w:r>
      <w:r w:rsidR="00EA09B2" w:rsidRPr="00C47012">
        <w:rPr>
          <w:rFonts w:ascii="Arial" w:hAnsi="Arial" w:cs="Arial"/>
          <w:sz w:val="24"/>
          <w:szCs w:val="24"/>
        </w:rPr>
        <w:t xml:space="preserve"> in terms of rule 30A</w:t>
      </w:r>
      <w:r w:rsidR="004D6403" w:rsidRPr="00C47012">
        <w:rPr>
          <w:rFonts w:ascii="Arial" w:hAnsi="Arial" w:cs="Arial"/>
          <w:sz w:val="24"/>
          <w:szCs w:val="24"/>
        </w:rPr>
        <w:t xml:space="preserve"> (the rule 30A application)</w:t>
      </w:r>
      <w:r w:rsidR="00EA09B2" w:rsidRPr="00C47012">
        <w:rPr>
          <w:rFonts w:ascii="Arial" w:hAnsi="Arial" w:cs="Arial"/>
          <w:sz w:val="24"/>
          <w:szCs w:val="24"/>
        </w:rPr>
        <w:t xml:space="preserve">.  Consistent with the earlier promise </w:t>
      </w:r>
      <w:r w:rsidR="000D1EA2" w:rsidRPr="00C47012">
        <w:rPr>
          <w:rFonts w:ascii="Arial" w:hAnsi="Arial" w:cs="Arial"/>
          <w:sz w:val="24"/>
          <w:szCs w:val="24"/>
        </w:rPr>
        <w:t xml:space="preserve">a notice of opposition was delivered.  </w:t>
      </w:r>
      <w:r w:rsidR="00BA4791" w:rsidRPr="00C47012">
        <w:rPr>
          <w:rFonts w:ascii="Arial" w:hAnsi="Arial" w:cs="Arial"/>
          <w:sz w:val="24"/>
          <w:szCs w:val="24"/>
        </w:rPr>
        <w:t xml:space="preserve">The </w:t>
      </w:r>
      <w:r w:rsidR="004D6403" w:rsidRPr="00C47012">
        <w:rPr>
          <w:rFonts w:ascii="Arial" w:hAnsi="Arial" w:cs="Arial"/>
          <w:sz w:val="24"/>
          <w:szCs w:val="24"/>
        </w:rPr>
        <w:t>rule 30A</w:t>
      </w:r>
      <w:r w:rsidR="00BA4791" w:rsidRPr="00C47012">
        <w:rPr>
          <w:rFonts w:ascii="Arial" w:hAnsi="Arial" w:cs="Arial"/>
          <w:sz w:val="24"/>
          <w:szCs w:val="24"/>
        </w:rPr>
        <w:t xml:space="preserve"> application was duly enrolled, and, despite </w:t>
      </w:r>
      <w:r w:rsidR="003E724E" w:rsidRPr="00C47012">
        <w:rPr>
          <w:rFonts w:ascii="Arial" w:hAnsi="Arial" w:cs="Arial"/>
          <w:sz w:val="24"/>
          <w:szCs w:val="24"/>
        </w:rPr>
        <w:t xml:space="preserve">her earlier bravado, the </w:t>
      </w:r>
      <w:r w:rsidR="008A6DB5" w:rsidRPr="00C47012">
        <w:rPr>
          <w:rFonts w:ascii="Arial" w:hAnsi="Arial" w:cs="Arial"/>
          <w:sz w:val="24"/>
          <w:szCs w:val="24"/>
        </w:rPr>
        <w:t>PP</w:t>
      </w:r>
      <w:r w:rsidR="003E724E" w:rsidRPr="00C47012">
        <w:rPr>
          <w:rFonts w:ascii="Arial" w:hAnsi="Arial" w:cs="Arial"/>
          <w:sz w:val="24"/>
          <w:szCs w:val="24"/>
        </w:rPr>
        <w:t xml:space="preserve"> </w:t>
      </w:r>
      <w:r w:rsidR="000D1EA2" w:rsidRPr="00C47012">
        <w:rPr>
          <w:rFonts w:ascii="Arial" w:hAnsi="Arial" w:cs="Arial"/>
          <w:sz w:val="24"/>
          <w:szCs w:val="24"/>
        </w:rPr>
        <w:t xml:space="preserve">filed an answering affidavit and </w:t>
      </w:r>
      <w:r w:rsidR="003E724E" w:rsidRPr="00C47012">
        <w:rPr>
          <w:rFonts w:ascii="Arial" w:hAnsi="Arial" w:cs="Arial"/>
          <w:sz w:val="24"/>
          <w:szCs w:val="24"/>
        </w:rPr>
        <w:t xml:space="preserve">produced a supplementary record </w:t>
      </w:r>
      <w:r w:rsidR="008521F4" w:rsidRPr="00C47012">
        <w:rPr>
          <w:rFonts w:ascii="Arial" w:hAnsi="Arial" w:cs="Arial"/>
          <w:sz w:val="24"/>
          <w:szCs w:val="24"/>
        </w:rPr>
        <w:t>just a</w:t>
      </w:r>
      <w:r w:rsidR="000D1EA2" w:rsidRPr="00C47012">
        <w:rPr>
          <w:rFonts w:ascii="Arial" w:hAnsi="Arial" w:cs="Arial"/>
          <w:sz w:val="24"/>
          <w:szCs w:val="24"/>
        </w:rPr>
        <w:t xml:space="preserve"> few </w:t>
      </w:r>
      <w:r w:rsidR="003E724E" w:rsidRPr="00C47012">
        <w:rPr>
          <w:rFonts w:ascii="Arial" w:hAnsi="Arial" w:cs="Arial"/>
          <w:sz w:val="24"/>
          <w:szCs w:val="24"/>
        </w:rPr>
        <w:t>days prior to the hearing of the application</w:t>
      </w:r>
      <w:r w:rsidR="000D1EA2" w:rsidRPr="00C47012">
        <w:rPr>
          <w:rFonts w:ascii="Arial" w:hAnsi="Arial" w:cs="Arial"/>
          <w:sz w:val="24"/>
          <w:szCs w:val="24"/>
        </w:rPr>
        <w:t xml:space="preserve">. </w:t>
      </w:r>
      <w:r w:rsidR="008521F4" w:rsidRPr="00C47012">
        <w:rPr>
          <w:rFonts w:ascii="Arial" w:hAnsi="Arial" w:cs="Arial"/>
          <w:sz w:val="24"/>
          <w:szCs w:val="24"/>
        </w:rPr>
        <w:t xml:space="preserve">But </w:t>
      </w:r>
      <w:proofErr w:type="spellStart"/>
      <w:r w:rsidR="008521F4" w:rsidRPr="00C47012">
        <w:rPr>
          <w:rFonts w:ascii="Arial" w:hAnsi="Arial" w:cs="Arial"/>
          <w:sz w:val="24"/>
          <w:szCs w:val="24"/>
        </w:rPr>
        <w:t>Ms</w:t>
      </w:r>
      <w:proofErr w:type="spellEnd"/>
      <w:r w:rsidR="008521F4" w:rsidRPr="00C47012">
        <w:rPr>
          <w:rFonts w:ascii="Arial" w:hAnsi="Arial" w:cs="Arial"/>
          <w:sz w:val="24"/>
          <w:szCs w:val="24"/>
        </w:rPr>
        <w:t xml:space="preserve"> </w:t>
      </w:r>
      <w:proofErr w:type="spellStart"/>
      <w:r w:rsidR="008521F4" w:rsidRPr="00C47012">
        <w:rPr>
          <w:rFonts w:ascii="Arial" w:hAnsi="Arial" w:cs="Arial"/>
          <w:sz w:val="24"/>
          <w:szCs w:val="24"/>
        </w:rPr>
        <w:t>Mkhwebane</w:t>
      </w:r>
      <w:proofErr w:type="spellEnd"/>
      <w:r w:rsidR="008521F4" w:rsidRPr="00C47012">
        <w:rPr>
          <w:rFonts w:ascii="Arial" w:hAnsi="Arial" w:cs="Arial"/>
          <w:sz w:val="24"/>
          <w:szCs w:val="24"/>
        </w:rPr>
        <w:t xml:space="preserve"> did not attest to an affidavit, rather, she left it to </w:t>
      </w:r>
      <w:proofErr w:type="spellStart"/>
      <w:r w:rsidR="008521F4" w:rsidRPr="00C47012">
        <w:rPr>
          <w:rFonts w:ascii="Arial" w:hAnsi="Arial" w:cs="Arial"/>
          <w:sz w:val="24"/>
          <w:szCs w:val="24"/>
        </w:rPr>
        <w:t>Ms</w:t>
      </w:r>
      <w:proofErr w:type="spellEnd"/>
      <w:r w:rsidR="008521F4" w:rsidRPr="00C47012">
        <w:rPr>
          <w:rFonts w:ascii="Arial" w:hAnsi="Arial" w:cs="Arial"/>
          <w:sz w:val="24"/>
          <w:szCs w:val="24"/>
        </w:rPr>
        <w:t xml:space="preserve"> Roberts, her attorney of record, who also tried to explain that the </w:t>
      </w:r>
      <w:r w:rsidR="0006385F" w:rsidRPr="00C47012">
        <w:rPr>
          <w:rFonts w:ascii="Arial" w:hAnsi="Arial" w:cs="Arial"/>
          <w:sz w:val="24"/>
          <w:szCs w:val="24"/>
        </w:rPr>
        <w:t xml:space="preserve">first </w:t>
      </w:r>
      <w:r w:rsidR="008521F4" w:rsidRPr="00C47012">
        <w:rPr>
          <w:rFonts w:ascii="Arial" w:hAnsi="Arial" w:cs="Arial"/>
          <w:color w:val="000000" w:themeColor="text1"/>
          <w:sz w:val="24"/>
          <w:szCs w:val="24"/>
        </w:rPr>
        <w:t>report w</w:t>
      </w:r>
      <w:r w:rsidR="008521F4" w:rsidRPr="00C47012">
        <w:rPr>
          <w:rFonts w:ascii="Arial" w:hAnsi="Arial" w:cs="Arial"/>
          <w:sz w:val="24"/>
          <w:szCs w:val="24"/>
        </w:rPr>
        <w:t xml:space="preserve">as merely a draft </w:t>
      </w:r>
      <w:r w:rsidR="00121976" w:rsidRPr="00C47012">
        <w:rPr>
          <w:rFonts w:ascii="Arial" w:hAnsi="Arial" w:cs="Arial"/>
          <w:sz w:val="24"/>
          <w:szCs w:val="24"/>
        </w:rPr>
        <w:t xml:space="preserve">that </w:t>
      </w:r>
      <w:r w:rsidR="008521F4" w:rsidRPr="00C47012">
        <w:rPr>
          <w:rFonts w:ascii="Arial" w:hAnsi="Arial" w:cs="Arial"/>
          <w:sz w:val="24"/>
          <w:szCs w:val="24"/>
        </w:rPr>
        <w:t xml:space="preserve">had been erroneously placed on the PP’s website, as </w:t>
      </w:r>
      <w:r w:rsidR="00501AF0" w:rsidRPr="00C47012">
        <w:rPr>
          <w:rFonts w:ascii="Arial" w:hAnsi="Arial" w:cs="Arial"/>
          <w:sz w:val="24"/>
          <w:szCs w:val="24"/>
        </w:rPr>
        <w:t xml:space="preserve">I </w:t>
      </w:r>
      <w:r w:rsidR="008521F4" w:rsidRPr="00C47012">
        <w:rPr>
          <w:rFonts w:ascii="Arial" w:hAnsi="Arial" w:cs="Arial"/>
          <w:sz w:val="24"/>
          <w:szCs w:val="24"/>
        </w:rPr>
        <w:t xml:space="preserve">explain later. </w:t>
      </w:r>
      <w:r w:rsidR="000D1EA2" w:rsidRPr="00C47012">
        <w:rPr>
          <w:rFonts w:ascii="Arial" w:hAnsi="Arial" w:cs="Arial"/>
          <w:sz w:val="24"/>
          <w:szCs w:val="24"/>
        </w:rPr>
        <w:t>The PP</w:t>
      </w:r>
      <w:r w:rsidR="003E724E" w:rsidRPr="00C47012">
        <w:rPr>
          <w:rFonts w:ascii="Arial" w:hAnsi="Arial" w:cs="Arial"/>
          <w:sz w:val="24"/>
          <w:szCs w:val="24"/>
        </w:rPr>
        <w:t xml:space="preserve"> </w:t>
      </w:r>
      <w:r w:rsidR="00BA4791" w:rsidRPr="00C47012">
        <w:rPr>
          <w:rFonts w:ascii="Arial" w:hAnsi="Arial" w:cs="Arial"/>
          <w:sz w:val="24"/>
          <w:szCs w:val="24"/>
        </w:rPr>
        <w:t xml:space="preserve">proceeded to </w:t>
      </w:r>
      <w:r w:rsidR="003E724E" w:rsidRPr="00C47012">
        <w:rPr>
          <w:rFonts w:ascii="Arial" w:hAnsi="Arial" w:cs="Arial"/>
          <w:sz w:val="24"/>
          <w:szCs w:val="24"/>
        </w:rPr>
        <w:t xml:space="preserve">contend that the application had become moot and should therefore be dismissed with costs.  </w:t>
      </w:r>
      <w:r w:rsidR="003E724E" w:rsidRPr="00C47012">
        <w:rPr>
          <w:rFonts w:ascii="Arial" w:hAnsi="Arial" w:cs="Arial"/>
          <w:sz w:val="24"/>
          <w:szCs w:val="24"/>
        </w:rPr>
        <w:lastRenderedPageBreak/>
        <w:t xml:space="preserve">Accordingly, </w:t>
      </w:r>
      <w:r w:rsidR="00BA4791" w:rsidRPr="00C47012">
        <w:rPr>
          <w:rFonts w:ascii="Arial" w:hAnsi="Arial" w:cs="Arial"/>
          <w:sz w:val="24"/>
          <w:szCs w:val="24"/>
        </w:rPr>
        <w:t xml:space="preserve">the application </w:t>
      </w:r>
      <w:r w:rsidR="004D6403" w:rsidRPr="00C47012">
        <w:rPr>
          <w:rFonts w:ascii="Arial" w:hAnsi="Arial" w:cs="Arial"/>
          <w:sz w:val="24"/>
          <w:szCs w:val="24"/>
        </w:rPr>
        <w:t xml:space="preserve">was not argued </w:t>
      </w:r>
      <w:r w:rsidR="00BA4791" w:rsidRPr="00C47012">
        <w:rPr>
          <w:rFonts w:ascii="Arial" w:hAnsi="Arial" w:cs="Arial"/>
          <w:sz w:val="24"/>
          <w:szCs w:val="24"/>
        </w:rPr>
        <w:t xml:space="preserve">and </w:t>
      </w:r>
      <w:r w:rsidR="003E724E" w:rsidRPr="00C47012">
        <w:rPr>
          <w:rFonts w:ascii="Arial" w:hAnsi="Arial" w:cs="Arial"/>
          <w:sz w:val="24"/>
          <w:szCs w:val="24"/>
        </w:rPr>
        <w:t xml:space="preserve">the costs of the </w:t>
      </w:r>
      <w:r w:rsidR="00501AF0" w:rsidRPr="00C47012">
        <w:rPr>
          <w:rFonts w:ascii="Arial" w:hAnsi="Arial" w:cs="Arial"/>
          <w:sz w:val="24"/>
          <w:szCs w:val="24"/>
        </w:rPr>
        <w:t xml:space="preserve">rule 30A </w:t>
      </w:r>
      <w:r w:rsidR="003E724E" w:rsidRPr="00C47012">
        <w:rPr>
          <w:rFonts w:ascii="Arial" w:hAnsi="Arial" w:cs="Arial"/>
          <w:sz w:val="24"/>
          <w:szCs w:val="24"/>
        </w:rPr>
        <w:t>application remain to be decided</w:t>
      </w:r>
      <w:r w:rsidR="00BA4791" w:rsidRPr="00C47012">
        <w:rPr>
          <w:rFonts w:ascii="Arial" w:hAnsi="Arial" w:cs="Arial"/>
          <w:sz w:val="24"/>
          <w:szCs w:val="24"/>
        </w:rPr>
        <w:t>,</w:t>
      </w:r>
      <w:r w:rsidR="003E724E" w:rsidRPr="00C47012">
        <w:rPr>
          <w:rFonts w:ascii="Arial" w:hAnsi="Arial" w:cs="Arial"/>
          <w:sz w:val="24"/>
          <w:szCs w:val="24"/>
        </w:rPr>
        <w:t xml:space="preserve"> together with the review applications.</w:t>
      </w:r>
    </w:p>
    <w:p w14:paraId="67E7FC0F" w14:textId="77777777" w:rsidR="00411605" w:rsidRDefault="00411605" w:rsidP="008231CE">
      <w:pPr>
        <w:pStyle w:val="ListParagraph"/>
        <w:spacing w:after="0" w:line="480" w:lineRule="auto"/>
        <w:ind w:left="0"/>
        <w:jc w:val="both"/>
        <w:rPr>
          <w:rFonts w:ascii="Arial" w:hAnsi="Arial" w:cs="Arial"/>
          <w:sz w:val="24"/>
          <w:szCs w:val="24"/>
        </w:rPr>
      </w:pPr>
    </w:p>
    <w:p w14:paraId="49BDC07D" w14:textId="5F25DCB7" w:rsidR="003E724E" w:rsidRPr="00C47012" w:rsidRDefault="00C47012" w:rsidP="00C47012">
      <w:pPr>
        <w:spacing w:after="0" w:line="480" w:lineRule="auto"/>
        <w:jc w:val="both"/>
        <w:rPr>
          <w:rFonts w:ascii="Arial" w:hAnsi="Arial" w:cs="Arial"/>
          <w:sz w:val="24"/>
          <w:szCs w:val="24"/>
        </w:rPr>
      </w:pPr>
      <w:r w:rsidRPr="00411605">
        <w:rPr>
          <w:rFonts w:ascii="Arial" w:hAnsi="Arial" w:cs="Arial"/>
          <w:color w:val="000000" w:themeColor="text1"/>
          <w:sz w:val="24"/>
          <w:szCs w:val="24"/>
        </w:rPr>
        <w:t>[17]</w:t>
      </w:r>
      <w:r w:rsidRPr="00411605">
        <w:rPr>
          <w:rFonts w:ascii="Arial" w:hAnsi="Arial" w:cs="Arial"/>
          <w:color w:val="000000" w:themeColor="text1"/>
          <w:sz w:val="24"/>
          <w:szCs w:val="24"/>
        </w:rPr>
        <w:tab/>
      </w:r>
      <w:r w:rsidR="00E91109" w:rsidRPr="00C47012">
        <w:rPr>
          <w:rFonts w:ascii="Arial" w:hAnsi="Arial" w:cs="Arial"/>
          <w:sz w:val="24"/>
          <w:szCs w:val="24"/>
        </w:rPr>
        <w:t>In hi</w:t>
      </w:r>
      <w:r w:rsidR="00DF786A" w:rsidRPr="00C47012">
        <w:rPr>
          <w:rFonts w:ascii="Arial" w:hAnsi="Arial" w:cs="Arial"/>
          <w:sz w:val="24"/>
          <w:szCs w:val="24"/>
        </w:rPr>
        <w:t xml:space="preserve">s supplementary affidavit filed </w:t>
      </w:r>
      <w:r w:rsidR="00B17C60" w:rsidRPr="00C47012">
        <w:rPr>
          <w:rFonts w:ascii="Arial" w:hAnsi="Arial" w:cs="Arial"/>
          <w:sz w:val="24"/>
          <w:szCs w:val="24"/>
        </w:rPr>
        <w:t xml:space="preserve">in terms of </w:t>
      </w:r>
      <w:r w:rsidR="000F3D3B" w:rsidRPr="00C47012">
        <w:rPr>
          <w:rFonts w:ascii="Arial" w:hAnsi="Arial" w:cs="Arial"/>
          <w:sz w:val="24"/>
          <w:szCs w:val="24"/>
        </w:rPr>
        <w:t>r</w:t>
      </w:r>
      <w:r w:rsidR="00B17C60" w:rsidRPr="00C47012">
        <w:rPr>
          <w:rFonts w:ascii="Arial" w:hAnsi="Arial" w:cs="Arial"/>
          <w:sz w:val="24"/>
          <w:szCs w:val="24"/>
        </w:rPr>
        <w:t>ule 53</w:t>
      </w:r>
      <w:r w:rsidR="00DF786A" w:rsidRPr="00C47012">
        <w:rPr>
          <w:rFonts w:ascii="Arial" w:hAnsi="Arial" w:cs="Arial"/>
          <w:sz w:val="24"/>
          <w:szCs w:val="24"/>
        </w:rPr>
        <w:t>(4)</w:t>
      </w:r>
      <w:r w:rsidR="00411605" w:rsidRPr="00C47012">
        <w:rPr>
          <w:rFonts w:ascii="Arial" w:hAnsi="Arial" w:cs="Arial"/>
          <w:sz w:val="24"/>
          <w:szCs w:val="24"/>
        </w:rPr>
        <w:t>,</w:t>
      </w:r>
      <w:r w:rsidR="00B17C60" w:rsidRPr="00C47012">
        <w:rPr>
          <w:rFonts w:ascii="Arial" w:hAnsi="Arial" w:cs="Arial"/>
          <w:sz w:val="24"/>
          <w:szCs w:val="24"/>
        </w:rPr>
        <w:t xml:space="preserve"> </w:t>
      </w:r>
      <w:proofErr w:type="spellStart"/>
      <w:r w:rsidR="00B17C60" w:rsidRPr="00C47012">
        <w:rPr>
          <w:rFonts w:ascii="Arial" w:hAnsi="Arial" w:cs="Arial"/>
          <w:sz w:val="24"/>
          <w:szCs w:val="24"/>
        </w:rPr>
        <w:t>Mr</w:t>
      </w:r>
      <w:proofErr w:type="spellEnd"/>
      <w:r w:rsidR="00B17C60" w:rsidRPr="00C47012">
        <w:rPr>
          <w:rFonts w:ascii="Arial" w:hAnsi="Arial" w:cs="Arial"/>
          <w:sz w:val="24"/>
          <w:szCs w:val="24"/>
        </w:rPr>
        <w:t xml:space="preserve"> </w:t>
      </w:r>
      <w:proofErr w:type="spellStart"/>
      <w:r w:rsidR="00B17C60" w:rsidRPr="00C47012">
        <w:rPr>
          <w:rFonts w:ascii="Arial" w:hAnsi="Arial" w:cs="Arial"/>
          <w:sz w:val="24"/>
          <w:szCs w:val="24"/>
        </w:rPr>
        <w:t>Madikizela</w:t>
      </w:r>
      <w:proofErr w:type="spellEnd"/>
      <w:r w:rsidR="00B17C60" w:rsidRPr="00C47012">
        <w:rPr>
          <w:rFonts w:ascii="Arial" w:hAnsi="Arial" w:cs="Arial"/>
          <w:sz w:val="24"/>
          <w:szCs w:val="24"/>
        </w:rPr>
        <w:t xml:space="preserve"> sought to address the affidavit of </w:t>
      </w:r>
      <w:proofErr w:type="spellStart"/>
      <w:r w:rsidR="00B17C60" w:rsidRPr="00C47012">
        <w:rPr>
          <w:rFonts w:ascii="Arial" w:hAnsi="Arial" w:cs="Arial"/>
          <w:sz w:val="24"/>
          <w:szCs w:val="24"/>
        </w:rPr>
        <w:t>Ms</w:t>
      </w:r>
      <w:proofErr w:type="spellEnd"/>
      <w:r w:rsidR="00B17C60" w:rsidRPr="00C47012">
        <w:rPr>
          <w:rFonts w:ascii="Arial" w:hAnsi="Arial" w:cs="Arial"/>
          <w:sz w:val="24"/>
          <w:szCs w:val="24"/>
        </w:rPr>
        <w:t xml:space="preserve"> Roberts </w:t>
      </w:r>
      <w:r w:rsidR="00FC2B47" w:rsidRPr="00C47012">
        <w:rPr>
          <w:rFonts w:ascii="Arial" w:hAnsi="Arial" w:cs="Arial"/>
          <w:sz w:val="24"/>
          <w:szCs w:val="24"/>
        </w:rPr>
        <w:t>in the</w:t>
      </w:r>
      <w:r w:rsidR="004D6403" w:rsidRPr="00C47012">
        <w:rPr>
          <w:rFonts w:ascii="Arial" w:hAnsi="Arial" w:cs="Arial"/>
          <w:sz w:val="24"/>
          <w:szCs w:val="24"/>
        </w:rPr>
        <w:t xml:space="preserve"> rule 30A </w:t>
      </w:r>
      <w:r w:rsidR="00B17C60" w:rsidRPr="00C47012">
        <w:rPr>
          <w:rFonts w:ascii="Arial" w:hAnsi="Arial" w:cs="Arial"/>
          <w:sz w:val="24"/>
          <w:szCs w:val="24"/>
        </w:rPr>
        <w:t xml:space="preserve">application and the material which emerged from the </w:t>
      </w:r>
      <w:r w:rsidR="00DF786A" w:rsidRPr="00C47012">
        <w:rPr>
          <w:rFonts w:ascii="Arial" w:hAnsi="Arial" w:cs="Arial"/>
          <w:sz w:val="24"/>
          <w:szCs w:val="24"/>
        </w:rPr>
        <w:t>r</w:t>
      </w:r>
      <w:r w:rsidR="00B17C60" w:rsidRPr="00C47012">
        <w:rPr>
          <w:rFonts w:ascii="Arial" w:hAnsi="Arial" w:cs="Arial"/>
          <w:sz w:val="24"/>
          <w:szCs w:val="24"/>
        </w:rPr>
        <w:t xml:space="preserve">ule 53 record.  He rejected the explanation advanced by </w:t>
      </w:r>
      <w:proofErr w:type="spellStart"/>
      <w:r w:rsidR="00B17C60" w:rsidRPr="00C47012">
        <w:rPr>
          <w:rFonts w:ascii="Arial" w:hAnsi="Arial" w:cs="Arial"/>
          <w:sz w:val="24"/>
          <w:szCs w:val="24"/>
        </w:rPr>
        <w:t>Ms</w:t>
      </w:r>
      <w:proofErr w:type="spellEnd"/>
      <w:r w:rsidR="00B17C60" w:rsidRPr="00C47012">
        <w:rPr>
          <w:rFonts w:ascii="Arial" w:hAnsi="Arial" w:cs="Arial"/>
          <w:sz w:val="24"/>
          <w:szCs w:val="24"/>
        </w:rPr>
        <w:t xml:space="preserve"> Roberts for the </w:t>
      </w:r>
      <w:r w:rsidR="00411605" w:rsidRPr="00C47012">
        <w:rPr>
          <w:rFonts w:ascii="Arial" w:hAnsi="Arial" w:cs="Arial"/>
          <w:sz w:val="24"/>
          <w:szCs w:val="24"/>
        </w:rPr>
        <w:t xml:space="preserve">existence of the </w:t>
      </w:r>
      <w:r w:rsidR="00B17C60" w:rsidRPr="00C47012">
        <w:rPr>
          <w:rFonts w:ascii="Arial" w:hAnsi="Arial" w:cs="Arial"/>
          <w:sz w:val="24"/>
          <w:szCs w:val="24"/>
        </w:rPr>
        <w:t>two reports and contended that the P</w:t>
      </w:r>
      <w:r w:rsidR="00411605" w:rsidRPr="00C47012">
        <w:rPr>
          <w:rFonts w:ascii="Arial" w:hAnsi="Arial" w:cs="Arial"/>
          <w:sz w:val="24"/>
          <w:szCs w:val="24"/>
        </w:rPr>
        <w:t>P</w:t>
      </w:r>
      <w:r w:rsidR="00B17C60" w:rsidRPr="00C47012">
        <w:rPr>
          <w:rFonts w:ascii="Arial" w:hAnsi="Arial" w:cs="Arial"/>
          <w:sz w:val="24"/>
          <w:szCs w:val="24"/>
        </w:rPr>
        <w:t xml:space="preserve"> had failed to apply her mind to the contents of the report, </w:t>
      </w:r>
      <w:r w:rsidR="00411605" w:rsidRPr="00C47012">
        <w:rPr>
          <w:rFonts w:ascii="Arial" w:hAnsi="Arial" w:cs="Arial"/>
          <w:sz w:val="24"/>
          <w:szCs w:val="24"/>
        </w:rPr>
        <w:t xml:space="preserve">that she had simply signed </w:t>
      </w:r>
      <w:r w:rsidR="00B17C60" w:rsidRPr="00C47012">
        <w:rPr>
          <w:rFonts w:ascii="Arial" w:hAnsi="Arial" w:cs="Arial"/>
          <w:sz w:val="24"/>
          <w:szCs w:val="24"/>
        </w:rPr>
        <w:t xml:space="preserve">what had been placed before her without ensuring that it was appropriate for her to affix her signature and the date on the report.  He argued that she had </w:t>
      </w:r>
      <w:r w:rsidR="00411605" w:rsidRPr="00C47012">
        <w:rPr>
          <w:rFonts w:ascii="Arial" w:hAnsi="Arial" w:cs="Arial"/>
          <w:sz w:val="24"/>
          <w:szCs w:val="24"/>
        </w:rPr>
        <w:t xml:space="preserve">signed </w:t>
      </w:r>
      <w:r w:rsidR="00B17C60" w:rsidRPr="00C47012">
        <w:rPr>
          <w:rFonts w:ascii="Arial" w:hAnsi="Arial" w:cs="Arial"/>
          <w:sz w:val="24"/>
          <w:szCs w:val="24"/>
        </w:rPr>
        <w:t xml:space="preserve">off on the report </w:t>
      </w:r>
      <w:r w:rsidR="00411605" w:rsidRPr="00C47012">
        <w:rPr>
          <w:rFonts w:ascii="Arial" w:hAnsi="Arial" w:cs="Arial"/>
          <w:sz w:val="24"/>
          <w:szCs w:val="24"/>
        </w:rPr>
        <w:t xml:space="preserve">simply </w:t>
      </w:r>
      <w:r w:rsidR="00B17C60" w:rsidRPr="00C47012">
        <w:rPr>
          <w:rFonts w:ascii="Arial" w:hAnsi="Arial" w:cs="Arial"/>
          <w:sz w:val="24"/>
          <w:szCs w:val="24"/>
        </w:rPr>
        <w:t xml:space="preserve">because she was determined to implicate </w:t>
      </w:r>
      <w:r w:rsidR="00B42CC1" w:rsidRPr="00C47012">
        <w:rPr>
          <w:rFonts w:ascii="Arial" w:hAnsi="Arial" w:cs="Arial"/>
          <w:sz w:val="24"/>
          <w:szCs w:val="24"/>
        </w:rPr>
        <w:t>members</w:t>
      </w:r>
      <w:r w:rsidR="00B17C60" w:rsidRPr="00C47012">
        <w:rPr>
          <w:rFonts w:ascii="Arial" w:hAnsi="Arial" w:cs="Arial"/>
          <w:sz w:val="24"/>
          <w:szCs w:val="24"/>
        </w:rPr>
        <w:t xml:space="preserve"> of the East Cape Provincial Government</w:t>
      </w:r>
      <w:r w:rsidR="004D6403" w:rsidRPr="00C47012">
        <w:rPr>
          <w:rFonts w:ascii="Arial" w:hAnsi="Arial" w:cs="Arial"/>
          <w:sz w:val="24"/>
          <w:szCs w:val="24"/>
        </w:rPr>
        <w:t>,</w:t>
      </w:r>
      <w:r w:rsidR="00B17C60" w:rsidRPr="00C47012">
        <w:rPr>
          <w:rFonts w:ascii="Arial" w:hAnsi="Arial" w:cs="Arial"/>
          <w:sz w:val="24"/>
          <w:szCs w:val="24"/>
        </w:rPr>
        <w:t xml:space="preserve"> and of the ANC generally</w:t>
      </w:r>
      <w:r w:rsidR="004D6403" w:rsidRPr="00C47012">
        <w:rPr>
          <w:rFonts w:ascii="Arial" w:hAnsi="Arial" w:cs="Arial"/>
          <w:sz w:val="24"/>
          <w:szCs w:val="24"/>
        </w:rPr>
        <w:t>,</w:t>
      </w:r>
      <w:r w:rsidR="00B17C60" w:rsidRPr="00C47012">
        <w:rPr>
          <w:rFonts w:ascii="Arial" w:hAnsi="Arial" w:cs="Arial"/>
          <w:sz w:val="24"/>
          <w:szCs w:val="24"/>
        </w:rPr>
        <w:t xml:space="preserve"> b</w:t>
      </w:r>
      <w:r w:rsidR="00411605" w:rsidRPr="00C47012">
        <w:rPr>
          <w:rFonts w:ascii="Arial" w:hAnsi="Arial" w:cs="Arial"/>
          <w:sz w:val="24"/>
          <w:szCs w:val="24"/>
        </w:rPr>
        <w:t>y</w:t>
      </w:r>
      <w:r w:rsidR="00B17C60" w:rsidRPr="00C47012">
        <w:rPr>
          <w:rFonts w:ascii="Arial" w:hAnsi="Arial" w:cs="Arial"/>
          <w:sz w:val="24"/>
          <w:szCs w:val="24"/>
        </w:rPr>
        <w:t xml:space="preserve"> the release of her report, </w:t>
      </w:r>
      <w:r w:rsidR="00A84E41" w:rsidRPr="00C47012">
        <w:rPr>
          <w:rFonts w:ascii="Arial" w:hAnsi="Arial" w:cs="Arial"/>
          <w:sz w:val="24"/>
          <w:szCs w:val="24"/>
        </w:rPr>
        <w:t xml:space="preserve">which </w:t>
      </w:r>
      <w:r w:rsidR="00B17C60" w:rsidRPr="00C47012">
        <w:rPr>
          <w:rFonts w:ascii="Arial" w:hAnsi="Arial" w:cs="Arial"/>
          <w:sz w:val="24"/>
          <w:szCs w:val="24"/>
        </w:rPr>
        <w:t xml:space="preserve">occurred just a few weeks before the local government elections.  He accused </w:t>
      </w:r>
      <w:r w:rsidR="00411605" w:rsidRPr="00C47012">
        <w:rPr>
          <w:rFonts w:ascii="Arial" w:hAnsi="Arial" w:cs="Arial"/>
          <w:sz w:val="24"/>
          <w:szCs w:val="24"/>
        </w:rPr>
        <w:t>her</w:t>
      </w:r>
      <w:r w:rsidR="00B17C60" w:rsidRPr="00C47012">
        <w:rPr>
          <w:rFonts w:ascii="Arial" w:hAnsi="Arial" w:cs="Arial"/>
          <w:sz w:val="24"/>
          <w:szCs w:val="24"/>
        </w:rPr>
        <w:t xml:space="preserve"> of having conducted her investigation in bad faith and having reached her conclusions for an improper and ulterior purpose.  Finally, he noted that certain documentation referred to in her report, notably the FIC report</w:t>
      </w:r>
      <w:r w:rsidR="00DF786A">
        <w:rPr>
          <w:rStyle w:val="FootnoteReference"/>
          <w:rFonts w:ascii="Arial" w:hAnsi="Arial" w:cs="Arial"/>
          <w:sz w:val="24"/>
          <w:szCs w:val="24"/>
        </w:rPr>
        <w:footnoteReference w:id="6"/>
      </w:r>
      <w:r w:rsidR="00B17C60" w:rsidRPr="00C47012">
        <w:rPr>
          <w:rFonts w:ascii="Arial" w:hAnsi="Arial" w:cs="Arial"/>
          <w:sz w:val="24"/>
          <w:szCs w:val="24"/>
        </w:rPr>
        <w:t>, was abse</w:t>
      </w:r>
      <w:r w:rsidR="00DF786A" w:rsidRPr="00C47012">
        <w:rPr>
          <w:rFonts w:ascii="Arial" w:hAnsi="Arial" w:cs="Arial"/>
          <w:sz w:val="24"/>
          <w:szCs w:val="24"/>
        </w:rPr>
        <w:t>nt from the record in terms of r</w:t>
      </w:r>
      <w:r w:rsidR="00B17C60" w:rsidRPr="00C47012">
        <w:rPr>
          <w:rFonts w:ascii="Arial" w:hAnsi="Arial" w:cs="Arial"/>
          <w:sz w:val="24"/>
          <w:szCs w:val="24"/>
        </w:rPr>
        <w:t>ule 53 and he</w:t>
      </w:r>
      <w:r w:rsidR="00A84E41" w:rsidRPr="00C47012">
        <w:rPr>
          <w:rFonts w:ascii="Arial" w:hAnsi="Arial" w:cs="Arial"/>
          <w:sz w:val="24"/>
          <w:szCs w:val="24"/>
        </w:rPr>
        <w:t>, therefore,</w:t>
      </w:r>
      <w:r w:rsidR="00B17C60" w:rsidRPr="00C47012">
        <w:rPr>
          <w:rFonts w:ascii="Arial" w:hAnsi="Arial" w:cs="Arial"/>
          <w:sz w:val="24"/>
          <w:szCs w:val="24"/>
        </w:rPr>
        <w:t xml:space="preserve"> contended that she </w:t>
      </w:r>
      <w:r w:rsidR="00DF786A" w:rsidRPr="00C47012">
        <w:rPr>
          <w:rFonts w:ascii="Arial" w:hAnsi="Arial" w:cs="Arial"/>
          <w:sz w:val="24"/>
          <w:szCs w:val="24"/>
        </w:rPr>
        <w:t xml:space="preserve">had not </w:t>
      </w:r>
      <w:r w:rsidR="00B17C60" w:rsidRPr="00C47012">
        <w:rPr>
          <w:rFonts w:ascii="Arial" w:hAnsi="Arial" w:cs="Arial"/>
          <w:sz w:val="24"/>
          <w:szCs w:val="24"/>
        </w:rPr>
        <w:t xml:space="preserve">applied her mind </w:t>
      </w:r>
      <w:r w:rsidR="004D6403" w:rsidRPr="00C47012">
        <w:rPr>
          <w:rFonts w:ascii="Arial" w:hAnsi="Arial" w:cs="Arial"/>
          <w:sz w:val="24"/>
          <w:szCs w:val="24"/>
        </w:rPr>
        <w:t>to it at all.</w:t>
      </w:r>
    </w:p>
    <w:p w14:paraId="0F8E4A9D" w14:textId="77777777" w:rsidR="00B17C60" w:rsidRDefault="00B17C60" w:rsidP="008231CE">
      <w:pPr>
        <w:spacing w:after="0" w:line="480" w:lineRule="auto"/>
        <w:contextualSpacing/>
        <w:jc w:val="both"/>
        <w:rPr>
          <w:rFonts w:ascii="Arial" w:hAnsi="Arial" w:cs="Arial"/>
          <w:sz w:val="24"/>
          <w:szCs w:val="24"/>
        </w:rPr>
      </w:pPr>
    </w:p>
    <w:p w14:paraId="60D11C49" w14:textId="4B6C2F8D" w:rsidR="00B17C60" w:rsidRPr="00C47012" w:rsidRDefault="00C47012" w:rsidP="00C47012">
      <w:pPr>
        <w:spacing w:after="0" w:line="480" w:lineRule="auto"/>
        <w:jc w:val="both"/>
        <w:rPr>
          <w:rFonts w:ascii="Arial" w:hAnsi="Arial" w:cs="Arial"/>
          <w:sz w:val="24"/>
          <w:szCs w:val="24"/>
        </w:rPr>
      </w:pPr>
      <w:r w:rsidRPr="00D40B28">
        <w:rPr>
          <w:rFonts w:ascii="Arial" w:hAnsi="Arial" w:cs="Arial"/>
          <w:color w:val="000000" w:themeColor="text1"/>
          <w:sz w:val="24"/>
          <w:szCs w:val="24"/>
        </w:rPr>
        <w:t>[18]</w:t>
      </w:r>
      <w:r w:rsidRPr="00D40B28">
        <w:rPr>
          <w:rFonts w:ascii="Arial" w:hAnsi="Arial" w:cs="Arial"/>
          <w:color w:val="000000" w:themeColor="text1"/>
          <w:sz w:val="24"/>
          <w:szCs w:val="24"/>
        </w:rPr>
        <w:tab/>
      </w:r>
      <w:r w:rsidR="00B17C60" w:rsidRPr="00C47012">
        <w:rPr>
          <w:rFonts w:ascii="Arial" w:hAnsi="Arial" w:cs="Arial"/>
          <w:sz w:val="24"/>
          <w:szCs w:val="24"/>
        </w:rPr>
        <w:t xml:space="preserve">As I have said, the </w:t>
      </w:r>
      <w:proofErr w:type="spellStart"/>
      <w:r w:rsidR="004D6403" w:rsidRPr="00C47012">
        <w:rPr>
          <w:rFonts w:ascii="Arial" w:hAnsi="Arial" w:cs="Arial"/>
          <w:sz w:val="24"/>
          <w:szCs w:val="24"/>
        </w:rPr>
        <w:t>Ms</w:t>
      </w:r>
      <w:proofErr w:type="spellEnd"/>
      <w:r w:rsidR="004D6403" w:rsidRPr="00C47012">
        <w:rPr>
          <w:rFonts w:ascii="Arial" w:hAnsi="Arial" w:cs="Arial"/>
          <w:sz w:val="24"/>
          <w:szCs w:val="24"/>
        </w:rPr>
        <w:t xml:space="preserve"> </w:t>
      </w:r>
      <w:proofErr w:type="spellStart"/>
      <w:r w:rsidR="004D6403" w:rsidRPr="00C47012">
        <w:rPr>
          <w:rFonts w:ascii="Arial" w:hAnsi="Arial" w:cs="Arial"/>
          <w:sz w:val="24"/>
          <w:szCs w:val="24"/>
        </w:rPr>
        <w:t>Mkhwebane</w:t>
      </w:r>
      <w:proofErr w:type="spellEnd"/>
      <w:r w:rsidR="00B17C60" w:rsidRPr="00C47012">
        <w:rPr>
          <w:rFonts w:ascii="Arial" w:hAnsi="Arial" w:cs="Arial"/>
          <w:sz w:val="24"/>
          <w:szCs w:val="24"/>
        </w:rPr>
        <w:t xml:space="preserve"> did not </w:t>
      </w:r>
      <w:r w:rsidR="00411605" w:rsidRPr="00C47012">
        <w:rPr>
          <w:rFonts w:ascii="Arial" w:hAnsi="Arial" w:cs="Arial"/>
          <w:sz w:val="24"/>
          <w:szCs w:val="24"/>
        </w:rPr>
        <w:t xml:space="preserve">attest to </w:t>
      </w:r>
      <w:r w:rsidR="00B17C60" w:rsidRPr="00C47012">
        <w:rPr>
          <w:rFonts w:ascii="Arial" w:hAnsi="Arial" w:cs="Arial"/>
          <w:sz w:val="24"/>
          <w:szCs w:val="24"/>
        </w:rPr>
        <w:t xml:space="preserve">an affidavit </w:t>
      </w:r>
      <w:r w:rsidR="00DF786A" w:rsidRPr="00C47012">
        <w:rPr>
          <w:rFonts w:ascii="Arial" w:hAnsi="Arial" w:cs="Arial"/>
          <w:sz w:val="24"/>
          <w:szCs w:val="24"/>
        </w:rPr>
        <w:t xml:space="preserve">in the </w:t>
      </w:r>
      <w:r w:rsidR="004D6403" w:rsidRPr="00C47012">
        <w:rPr>
          <w:rFonts w:ascii="Arial" w:hAnsi="Arial" w:cs="Arial"/>
          <w:sz w:val="24"/>
          <w:szCs w:val="24"/>
        </w:rPr>
        <w:t xml:space="preserve">rule 30A </w:t>
      </w:r>
      <w:r w:rsidR="00DF786A" w:rsidRPr="00C47012">
        <w:rPr>
          <w:rFonts w:ascii="Arial" w:hAnsi="Arial" w:cs="Arial"/>
          <w:sz w:val="24"/>
          <w:szCs w:val="24"/>
        </w:rPr>
        <w:t xml:space="preserve">application, nor did she do so </w:t>
      </w:r>
      <w:r w:rsidR="00B17C60" w:rsidRPr="00C47012">
        <w:rPr>
          <w:rFonts w:ascii="Arial" w:hAnsi="Arial" w:cs="Arial"/>
          <w:sz w:val="24"/>
          <w:szCs w:val="24"/>
        </w:rPr>
        <w:t>in any of the review applications</w:t>
      </w:r>
      <w:r w:rsidR="00DF786A" w:rsidRPr="00C47012">
        <w:rPr>
          <w:rFonts w:ascii="Arial" w:hAnsi="Arial" w:cs="Arial"/>
          <w:sz w:val="24"/>
          <w:szCs w:val="24"/>
        </w:rPr>
        <w:t xml:space="preserve">, notwithstanding the </w:t>
      </w:r>
      <w:r w:rsidR="00BA4791" w:rsidRPr="00C47012">
        <w:rPr>
          <w:rFonts w:ascii="Arial" w:hAnsi="Arial" w:cs="Arial"/>
          <w:sz w:val="24"/>
          <w:szCs w:val="24"/>
        </w:rPr>
        <w:t xml:space="preserve">serious allegations </w:t>
      </w:r>
      <w:r w:rsidR="00DF786A" w:rsidRPr="00C47012">
        <w:rPr>
          <w:rFonts w:ascii="Arial" w:hAnsi="Arial" w:cs="Arial"/>
          <w:sz w:val="24"/>
          <w:szCs w:val="24"/>
        </w:rPr>
        <w:t xml:space="preserve">by </w:t>
      </w:r>
      <w:proofErr w:type="spellStart"/>
      <w:r w:rsidR="00DF786A" w:rsidRPr="00C47012">
        <w:rPr>
          <w:rFonts w:ascii="Arial" w:hAnsi="Arial" w:cs="Arial"/>
          <w:sz w:val="24"/>
          <w:szCs w:val="24"/>
        </w:rPr>
        <w:t>Mr</w:t>
      </w:r>
      <w:proofErr w:type="spellEnd"/>
      <w:r w:rsidR="00DF786A" w:rsidRPr="00C47012">
        <w:rPr>
          <w:rFonts w:ascii="Arial" w:hAnsi="Arial" w:cs="Arial"/>
          <w:sz w:val="24"/>
          <w:szCs w:val="24"/>
        </w:rPr>
        <w:t xml:space="preserve"> </w:t>
      </w:r>
      <w:proofErr w:type="spellStart"/>
      <w:r w:rsidR="00DF786A" w:rsidRPr="00C47012">
        <w:rPr>
          <w:rFonts w:ascii="Arial" w:hAnsi="Arial" w:cs="Arial"/>
          <w:sz w:val="24"/>
          <w:szCs w:val="24"/>
        </w:rPr>
        <w:t>Madikizela</w:t>
      </w:r>
      <w:proofErr w:type="spellEnd"/>
      <w:r w:rsidR="00DF786A" w:rsidRPr="00C47012">
        <w:rPr>
          <w:rFonts w:ascii="Arial" w:hAnsi="Arial" w:cs="Arial"/>
          <w:sz w:val="24"/>
          <w:szCs w:val="24"/>
        </w:rPr>
        <w:t xml:space="preserve"> in his supplementary affidavit</w:t>
      </w:r>
      <w:r w:rsidR="00B17C60" w:rsidRPr="00C47012">
        <w:rPr>
          <w:rFonts w:ascii="Arial" w:hAnsi="Arial" w:cs="Arial"/>
          <w:sz w:val="24"/>
          <w:szCs w:val="24"/>
        </w:rPr>
        <w:t xml:space="preserve">.  Instead, </w:t>
      </w:r>
      <w:proofErr w:type="spellStart"/>
      <w:r w:rsidR="00B17C60" w:rsidRPr="00C47012">
        <w:rPr>
          <w:rFonts w:ascii="Arial" w:hAnsi="Arial" w:cs="Arial"/>
          <w:sz w:val="24"/>
          <w:szCs w:val="24"/>
        </w:rPr>
        <w:t>Mr</w:t>
      </w:r>
      <w:proofErr w:type="spellEnd"/>
      <w:r w:rsidR="00B17C60" w:rsidRPr="00C47012">
        <w:rPr>
          <w:rFonts w:ascii="Arial" w:hAnsi="Arial" w:cs="Arial"/>
          <w:sz w:val="24"/>
          <w:szCs w:val="24"/>
        </w:rPr>
        <w:t xml:space="preserve"> Dlamini, the regional </w:t>
      </w:r>
      <w:r w:rsidR="00B42CC1" w:rsidRPr="00C47012">
        <w:rPr>
          <w:rFonts w:ascii="Arial" w:hAnsi="Arial" w:cs="Arial"/>
          <w:sz w:val="24"/>
          <w:szCs w:val="24"/>
        </w:rPr>
        <w:t>representative</w:t>
      </w:r>
      <w:r w:rsidR="00B17C60" w:rsidRPr="00C47012">
        <w:rPr>
          <w:rFonts w:ascii="Arial" w:hAnsi="Arial" w:cs="Arial"/>
          <w:sz w:val="24"/>
          <w:szCs w:val="24"/>
        </w:rPr>
        <w:t xml:space="preserve"> of her office attested to the answering affidavit in each </w:t>
      </w:r>
      <w:r w:rsidR="00B17C60" w:rsidRPr="00C47012">
        <w:rPr>
          <w:rFonts w:ascii="Arial" w:hAnsi="Arial" w:cs="Arial"/>
          <w:sz w:val="24"/>
          <w:szCs w:val="24"/>
        </w:rPr>
        <w:lastRenderedPageBreak/>
        <w:t>application</w:t>
      </w:r>
      <w:r w:rsidR="00BA4791" w:rsidRPr="00C47012">
        <w:rPr>
          <w:rFonts w:ascii="Arial" w:hAnsi="Arial" w:cs="Arial"/>
          <w:sz w:val="24"/>
          <w:szCs w:val="24"/>
        </w:rPr>
        <w:t>.</w:t>
      </w:r>
      <w:r w:rsidR="00BA4791">
        <w:rPr>
          <w:rStyle w:val="FootnoteReference"/>
          <w:rFonts w:ascii="Arial" w:hAnsi="Arial" w:cs="Arial"/>
          <w:sz w:val="24"/>
          <w:szCs w:val="24"/>
        </w:rPr>
        <w:footnoteReference w:id="7"/>
      </w:r>
      <w:r w:rsidR="00B17C60" w:rsidRPr="00C47012">
        <w:rPr>
          <w:rFonts w:ascii="Arial" w:hAnsi="Arial" w:cs="Arial"/>
          <w:sz w:val="24"/>
          <w:szCs w:val="24"/>
        </w:rPr>
        <w:t xml:space="preserve"> This prompted </w:t>
      </w:r>
      <w:proofErr w:type="spellStart"/>
      <w:r w:rsidR="00501AF0" w:rsidRPr="00C47012">
        <w:rPr>
          <w:rFonts w:ascii="Arial" w:hAnsi="Arial" w:cs="Arial"/>
          <w:sz w:val="24"/>
          <w:szCs w:val="24"/>
        </w:rPr>
        <w:t>Mr</w:t>
      </w:r>
      <w:proofErr w:type="spellEnd"/>
      <w:r w:rsidR="00501AF0" w:rsidRPr="00C47012">
        <w:rPr>
          <w:rFonts w:ascii="Arial" w:hAnsi="Arial" w:cs="Arial"/>
          <w:sz w:val="24"/>
          <w:szCs w:val="24"/>
        </w:rPr>
        <w:t xml:space="preserve"> </w:t>
      </w:r>
      <w:proofErr w:type="spellStart"/>
      <w:r w:rsidR="00501AF0" w:rsidRPr="00C47012">
        <w:rPr>
          <w:rFonts w:ascii="Arial" w:hAnsi="Arial" w:cs="Arial"/>
          <w:sz w:val="24"/>
          <w:szCs w:val="24"/>
        </w:rPr>
        <w:t>Madikizela</w:t>
      </w:r>
      <w:proofErr w:type="spellEnd"/>
      <w:r w:rsidR="00501AF0" w:rsidRPr="00C47012">
        <w:rPr>
          <w:rFonts w:ascii="Arial" w:hAnsi="Arial" w:cs="Arial"/>
          <w:sz w:val="24"/>
          <w:szCs w:val="24"/>
        </w:rPr>
        <w:t xml:space="preserve"> to file </w:t>
      </w:r>
      <w:r w:rsidR="00B17C60" w:rsidRPr="00C47012">
        <w:rPr>
          <w:rFonts w:ascii="Arial" w:hAnsi="Arial" w:cs="Arial"/>
          <w:sz w:val="24"/>
          <w:szCs w:val="24"/>
        </w:rPr>
        <w:t xml:space="preserve">an extensive </w:t>
      </w:r>
      <w:r w:rsidR="00B42CC1" w:rsidRPr="00C47012">
        <w:rPr>
          <w:rFonts w:ascii="Arial" w:hAnsi="Arial" w:cs="Arial"/>
          <w:sz w:val="24"/>
          <w:szCs w:val="24"/>
        </w:rPr>
        <w:t>application</w:t>
      </w:r>
      <w:r w:rsidR="008521F4" w:rsidRPr="00C47012">
        <w:rPr>
          <w:rFonts w:ascii="Arial" w:hAnsi="Arial" w:cs="Arial"/>
          <w:sz w:val="24"/>
          <w:szCs w:val="24"/>
        </w:rPr>
        <w:t xml:space="preserve"> to strike out</w:t>
      </w:r>
      <w:r w:rsidR="00501AF0" w:rsidRPr="00C47012">
        <w:rPr>
          <w:rFonts w:ascii="Arial" w:hAnsi="Arial" w:cs="Arial"/>
          <w:sz w:val="24"/>
          <w:szCs w:val="24"/>
        </w:rPr>
        <w:t>, as inadmissible hearsay,</w:t>
      </w:r>
      <w:r w:rsidR="008521F4" w:rsidRPr="00C47012">
        <w:rPr>
          <w:rFonts w:ascii="Arial" w:hAnsi="Arial" w:cs="Arial"/>
          <w:sz w:val="24"/>
          <w:szCs w:val="24"/>
        </w:rPr>
        <w:t xml:space="preserve"> </w:t>
      </w:r>
      <w:r w:rsidR="00B17C60" w:rsidRPr="00C47012">
        <w:rPr>
          <w:rFonts w:ascii="Arial" w:hAnsi="Arial" w:cs="Arial"/>
          <w:sz w:val="24"/>
          <w:szCs w:val="24"/>
        </w:rPr>
        <w:t xml:space="preserve">numerous allegations in the answering affidavits that sought to address the matters raised in the supplementary affidavit and to justify the </w:t>
      </w:r>
      <w:r w:rsidR="00411605" w:rsidRPr="00C47012">
        <w:rPr>
          <w:rFonts w:ascii="Arial" w:hAnsi="Arial" w:cs="Arial"/>
          <w:sz w:val="24"/>
          <w:szCs w:val="24"/>
        </w:rPr>
        <w:t>PP’s</w:t>
      </w:r>
      <w:r w:rsidR="00B17C60" w:rsidRPr="00C47012">
        <w:rPr>
          <w:rFonts w:ascii="Arial" w:hAnsi="Arial" w:cs="Arial"/>
          <w:sz w:val="24"/>
          <w:szCs w:val="24"/>
        </w:rPr>
        <w:t xml:space="preserve"> reasoning in arriving at her conclusions</w:t>
      </w:r>
      <w:r w:rsidR="00501AF0" w:rsidRPr="00C47012">
        <w:rPr>
          <w:rFonts w:ascii="Arial" w:hAnsi="Arial" w:cs="Arial"/>
          <w:sz w:val="24"/>
          <w:szCs w:val="24"/>
        </w:rPr>
        <w:t>.</w:t>
      </w:r>
      <w:r w:rsidR="00B17C60" w:rsidRPr="00C47012">
        <w:rPr>
          <w:rFonts w:ascii="Arial" w:hAnsi="Arial" w:cs="Arial"/>
          <w:sz w:val="24"/>
          <w:szCs w:val="24"/>
        </w:rPr>
        <w:t xml:space="preserve">  In </w:t>
      </w:r>
      <w:r w:rsidR="00B42CC1" w:rsidRPr="00C47012">
        <w:rPr>
          <w:rFonts w:ascii="Arial" w:hAnsi="Arial" w:cs="Arial"/>
          <w:sz w:val="24"/>
          <w:szCs w:val="24"/>
        </w:rPr>
        <w:t>addition,</w:t>
      </w:r>
      <w:r w:rsidR="00B17C60" w:rsidRPr="00C47012">
        <w:rPr>
          <w:rFonts w:ascii="Arial" w:hAnsi="Arial" w:cs="Arial"/>
          <w:sz w:val="24"/>
          <w:szCs w:val="24"/>
        </w:rPr>
        <w:t xml:space="preserve"> they </w:t>
      </w:r>
      <w:proofErr w:type="gramStart"/>
      <w:r w:rsidR="00B17C60" w:rsidRPr="00C47012">
        <w:rPr>
          <w:rFonts w:ascii="Arial" w:hAnsi="Arial" w:cs="Arial"/>
          <w:sz w:val="24"/>
          <w:szCs w:val="24"/>
        </w:rPr>
        <w:t>sought</w:t>
      </w:r>
      <w:r w:rsidR="00501AF0" w:rsidRPr="00C47012">
        <w:rPr>
          <w:rFonts w:ascii="Arial" w:hAnsi="Arial" w:cs="Arial"/>
          <w:sz w:val="24"/>
          <w:szCs w:val="24"/>
        </w:rPr>
        <w:t>,</w:t>
      </w:r>
      <w:proofErr w:type="gramEnd"/>
      <w:r w:rsidR="00501AF0" w:rsidRPr="00C47012">
        <w:rPr>
          <w:rFonts w:ascii="Arial" w:hAnsi="Arial" w:cs="Arial"/>
          <w:sz w:val="24"/>
          <w:szCs w:val="24"/>
        </w:rPr>
        <w:t xml:space="preserve"> on the same grounds, </w:t>
      </w:r>
      <w:r w:rsidR="00C56391" w:rsidRPr="00C47012">
        <w:rPr>
          <w:rFonts w:ascii="Arial" w:hAnsi="Arial" w:cs="Arial"/>
          <w:sz w:val="24"/>
          <w:szCs w:val="24"/>
        </w:rPr>
        <w:t xml:space="preserve">to strike out </w:t>
      </w:r>
      <w:r w:rsidR="00B17C60" w:rsidRPr="00C47012">
        <w:rPr>
          <w:rFonts w:ascii="Arial" w:hAnsi="Arial" w:cs="Arial"/>
          <w:sz w:val="24"/>
          <w:szCs w:val="24"/>
        </w:rPr>
        <w:t xml:space="preserve">numerous averments in the affidavit of </w:t>
      </w:r>
      <w:proofErr w:type="spellStart"/>
      <w:r w:rsidR="00B17C60" w:rsidRPr="00C47012">
        <w:rPr>
          <w:rFonts w:ascii="Arial" w:hAnsi="Arial" w:cs="Arial"/>
          <w:sz w:val="24"/>
          <w:szCs w:val="24"/>
        </w:rPr>
        <w:t>Ms</w:t>
      </w:r>
      <w:proofErr w:type="spellEnd"/>
      <w:r w:rsidR="00B17C60" w:rsidRPr="00C47012">
        <w:rPr>
          <w:rFonts w:ascii="Arial" w:hAnsi="Arial" w:cs="Arial"/>
          <w:sz w:val="24"/>
          <w:szCs w:val="24"/>
        </w:rPr>
        <w:t xml:space="preserve"> Roberts</w:t>
      </w:r>
      <w:r w:rsidR="00C56391" w:rsidRPr="00C47012">
        <w:rPr>
          <w:rFonts w:ascii="Arial" w:hAnsi="Arial" w:cs="Arial"/>
          <w:sz w:val="24"/>
          <w:szCs w:val="24"/>
        </w:rPr>
        <w:t>,</w:t>
      </w:r>
      <w:r w:rsidR="00B17C60" w:rsidRPr="00C47012">
        <w:rPr>
          <w:rFonts w:ascii="Arial" w:hAnsi="Arial" w:cs="Arial"/>
          <w:sz w:val="24"/>
          <w:szCs w:val="24"/>
        </w:rPr>
        <w:t xml:space="preserve"> filed in the application to compel, which was incorporated in the papers in the review </w:t>
      </w:r>
      <w:r w:rsidR="00411605" w:rsidRPr="00C47012">
        <w:rPr>
          <w:rFonts w:ascii="Arial" w:hAnsi="Arial" w:cs="Arial"/>
          <w:sz w:val="24"/>
          <w:szCs w:val="24"/>
        </w:rPr>
        <w:t>that</w:t>
      </w:r>
      <w:r w:rsidR="00B17C60" w:rsidRPr="00C47012">
        <w:rPr>
          <w:rFonts w:ascii="Arial" w:hAnsi="Arial" w:cs="Arial"/>
          <w:sz w:val="24"/>
          <w:szCs w:val="24"/>
        </w:rPr>
        <w:t xml:space="preserve"> </w:t>
      </w:r>
      <w:r w:rsidR="00C56391" w:rsidRPr="00C47012">
        <w:rPr>
          <w:rFonts w:ascii="Arial" w:hAnsi="Arial" w:cs="Arial"/>
          <w:sz w:val="24"/>
          <w:szCs w:val="24"/>
        </w:rPr>
        <w:t xml:space="preserve">had </w:t>
      </w:r>
      <w:r w:rsidR="00B17C60" w:rsidRPr="00C47012">
        <w:rPr>
          <w:rFonts w:ascii="Arial" w:hAnsi="Arial" w:cs="Arial"/>
          <w:sz w:val="24"/>
          <w:szCs w:val="24"/>
        </w:rPr>
        <w:t>sought to explain why the P</w:t>
      </w:r>
      <w:r w:rsidR="00411605" w:rsidRPr="00C47012">
        <w:rPr>
          <w:rFonts w:ascii="Arial" w:hAnsi="Arial" w:cs="Arial"/>
          <w:sz w:val="24"/>
          <w:szCs w:val="24"/>
        </w:rPr>
        <w:t>P</w:t>
      </w:r>
      <w:r w:rsidR="00B17C60" w:rsidRPr="00C47012">
        <w:rPr>
          <w:rFonts w:ascii="Arial" w:hAnsi="Arial" w:cs="Arial"/>
          <w:sz w:val="24"/>
          <w:szCs w:val="24"/>
        </w:rPr>
        <w:t xml:space="preserve"> deemed it appropriate to sign two different reports that contained different remedial action.  </w:t>
      </w:r>
    </w:p>
    <w:p w14:paraId="5136FFA6" w14:textId="77777777" w:rsidR="00B17C60" w:rsidRDefault="00B17C60" w:rsidP="008231CE">
      <w:pPr>
        <w:spacing w:after="0" w:line="480" w:lineRule="auto"/>
        <w:contextualSpacing/>
        <w:jc w:val="both"/>
        <w:rPr>
          <w:rFonts w:ascii="Arial" w:hAnsi="Arial" w:cs="Arial"/>
          <w:sz w:val="24"/>
          <w:szCs w:val="24"/>
        </w:rPr>
      </w:pPr>
    </w:p>
    <w:p w14:paraId="45FA690F" w14:textId="665EDDDF" w:rsidR="00B17C60" w:rsidRPr="00C47012" w:rsidRDefault="00C47012" w:rsidP="00C47012">
      <w:pPr>
        <w:spacing w:after="0" w:line="480" w:lineRule="auto"/>
        <w:jc w:val="both"/>
        <w:rPr>
          <w:rFonts w:ascii="Arial" w:hAnsi="Arial" w:cs="Arial"/>
          <w:sz w:val="24"/>
          <w:szCs w:val="24"/>
        </w:rPr>
      </w:pPr>
      <w:r w:rsidRPr="00D40B28">
        <w:rPr>
          <w:rFonts w:ascii="Arial" w:hAnsi="Arial" w:cs="Arial"/>
          <w:color w:val="000000" w:themeColor="text1"/>
          <w:sz w:val="24"/>
          <w:szCs w:val="24"/>
        </w:rPr>
        <w:t>[19]</w:t>
      </w:r>
      <w:r w:rsidRPr="00D40B28">
        <w:rPr>
          <w:rFonts w:ascii="Arial" w:hAnsi="Arial" w:cs="Arial"/>
          <w:color w:val="000000" w:themeColor="text1"/>
          <w:sz w:val="24"/>
          <w:szCs w:val="24"/>
        </w:rPr>
        <w:tab/>
      </w:r>
      <w:r w:rsidR="00B17C60" w:rsidRPr="00C47012">
        <w:rPr>
          <w:rFonts w:ascii="Arial" w:hAnsi="Arial" w:cs="Arial"/>
          <w:sz w:val="24"/>
          <w:szCs w:val="24"/>
        </w:rPr>
        <w:t>Counsel for the P</w:t>
      </w:r>
      <w:r w:rsidR="00411605" w:rsidRPr="00C47012">
        <w:rPr>
          <w:rFonts w:ascii="Arial" w:hAnsi="Arial" w:cs="Arial"/>
          <w:sz w:val="24"/>
          <w:szCs w:val="24"/>
        </w:rPr>
        <w:t>P</w:t>
      </w:r>
      <w:r w:rsidR="00B17C60" w:rsidRPr="00C47012">
        <w:rPr>
          <w:rFonts w:ascii="Arial" w:hAnsi="Arial" w:cs="Arial"/>
          <w:sz w:val="24"/>
          <w:szCs w:val="24"/>
        </w:rPr>
        <w:t xml:space="preserve"> raised three arguments in response thereto.  First, </w:t>
      </w:r>
      <w:r w:rsidR="00411605" w:rsidRPr="00C47012">
        <w:rPr>
          <w:rFonts w:ascii="Arial" w:hAnsi="Arial" w:cs="Arial"/>
          <w:sz w:val="24"/>
          <w:szCs w:val="24"/>
        </w:rPr>
        <w:t>they</w:t>
      </w:r>
      <w:r w:rsidR="00B17C60" w:rsidRPr="00C47012">
        <w:rPr>
          <w:rFonts w:ascii="Arial" w:hAnsi="Arial" w:cs="Arial"/>
          <w:sz w:val="24"/>
          <w:szCs w:val="24"/>
        </w:rPr>
        <w:t xml:space="preserve"> contended that </w:t>
      </w:r>
      <w:r w:rsidR="008521F4" w:rsidRPr="00C47012">
        <w:rPr>
          <w:rFonts w:ascii="Arial" w:hAnsi="Arial" w:cs="Arial"/>
          <w:sz w:val="24"/>
          <w:szCs w:val="24"/>
        </w:rPr>
        <w:t xml:space="preserve">the fact that </w:t>
      </w:r>
      <w:proofErr w:type="spellStart"/>
      <w:r w:rsidR="008521F4" w:rsidRPr="00C47012">
        <w:rPr>
          <w:rFonts w:ascii="Arial" w:hAnsi="Arial" w:cs="Arial"/>
          <w:sz w:val="24"/>
          <w:szCs w:val="24"/>
        </w:rPr>
        <w:t>Ms</w:t>
      </w:r>
      <w:proofErr w:type="spellEnd"/>
      <w:r w:rsidR="008521F4" w:rsidRPr="00C47012">
        <w:rPr>
          <w:rFonts w:ascii="Arial" w:hAnsi="Arial" w:cs="Arial"/>
          <w:sz w:val="24"/>
          <w:szCs w:val="24"/>
        </w:rPr>
        <w:t xml:space="preserve"> </w:t>
      </w:r>
      <w:proofErr w:type="spellStart"/>
      <w:r w:rsidR="008521F4" w:rsidRPr="00C47012">
        <w:rPr>
          <w:rFonts w:ascii="Arial" w:hAnsi="Arial" w:cs="Arial"/>
          <w:sz w:val="24"/>
          <w:szCs w:val="24"/>
        </w:rPr>
        <w:t>Mkhwebane</w:t>
      </w:r>
      <w:proofErr w:type="spellEnd"/>
      <w:r w:rsidR="008521F4" w:rsidRPr="00C47012">
        <w:rPr>
          <w:rFonts w:ascii="Arial" w:hAnsi="Arial" w:cs="Arial"/>
          <w:sz w:val="24"/>
          <w:szCs w:val="24"/>
        </w:rPr>
        <w:t xml:space="preserve"> had not personally confirmed it did not mean that </w:t>
      </w:r>
      <w:r w:rsidR="00B17C60" w:rsidRPr="00C47012">
        <w:rPr>
          <w:rFonts w:ascii="Arial" w:hAnsi="Arial" w:cs="Arial"/>
          <w:sz w:val="24"/>
          <w:szCs w:val="24"/>
        </w:rPr>
        <w:t xml:space="preserve">the evidence </w:t>
      </w:r>
      <w:r w:rsidR="00411605" w:rsidRPr="00C47012">
        <w:rPr>
          <w:rFonts w:ascii="Arial" w:hAnsi="Arial" w:cs="Arial"/>
          <w:sz w:val="24"/>
          <w:szCs w:val="24"/>
        </w:rPr>
        <w:t>of</w:t>
      </w:r>
      <w:r w:rsidR="00B17C60" w:rsidRPr="00C47012">
        <w:rPr>
          <w:rFonts w:ascii="Arial" w:hAnsi="Arial" w:cs="Arial"/>
          <w:sz w:val="24"/>
          <w:szCs w:val="24"/>
        </w:rPr>
        <w:t xml:space="preserve"> </w:t>
      </w:r>
      <w:proofErr w:type="spellStart"/>
      <w:r w:rsidR="00B17C60" w:rsidRPr="00C47012">
        <w:rPr>
          <w:rFonts w:ascii="Arial" w:hAnsi="Arial" w:cs="Arial"/>
          <w:sz w:val="24"/>
          <w:szCs w:val="24"/>
        </w:rPr>
        <w:t>Mr</w:t>
      </w:r>
      <w:proofErr w:type="spellEnd"/>
      <w:r w:rsidR="00B17C60" w:rsidRPr="00C47012">
        <w:rPr>
          <w:rFonts w:ascii="Arial" w:hAnsi="Arial" w:cs="Arial"/>
          <w:sz w:val="24"/>
          <w:szCs w:val="24"/>
        </w:rPr>
        <w:t xml:space="preserve"> Dlamini is hear</w:t>
      </w:r>
      <w:r w:rsidR="008A42A4" w:rsidRPr="00C47012">
        <w:rPr>
          <w:rFonts w:ascii="Arial" w:hAnsi="Arial" w:cs="Arial"/>
          <w:sz w:val="24"/>
          <w:szCs w:val="24"/>
        </w:rPr>
        <w:t>say evidence</w:t>
      </w:r>
      <w:r w:rsidR="008521F4" w:rsidRPr="00C47012">
        <w:rPr>
          <w:rFonts w:ascii="Arial" w:hAnsi="Arial" w:cs="Arial"/>
          <w:sz w:val="24"/>
          <w:szCs w:val="24"/>
        </w:rPr>
        <w:t xml:space="preserve">.  </w:t>
      </w:r>
      <w:r w:rsidR="00AB33AF" w:rsidRPr="00C47012">
        <w:rPr>
          <w:rFonts w:ascii="Arial" w:hAnsi="Arial" w:cs="Arial"/>
          <w:sz w:val="24"/>
          <w:szCs w:val="24"/>
        </w:rPr>
        <w:t xml:space="preserve"> This, so the argument went, was because</w:t>
      </w:r>
      <w:r w:rsidR="00B17C60" w:rsidRPr="00C47012">
        <w:rPr>
          <w:rFonts w:ascii="Arial" w:hAnsi="Arial" w:cs="Arial"/>
          <w:sz w:val="24"/>
          <w:szCs w:val="24"/>
        </w:rPr>
        <w:t xml:space="preserve"> </w:t>
      </w:r>
      <w:proofErr w:type="spellStart"/>
      <w:r w:rsidR="00B17C60" w:rsidRPr="00C47012">
        <w:rPr>
          <w:rFonts w:ascii="Arial" w:hAnsi="Arial" w:cs="Arial"/>
          <w:sz w:val="24"/>
          <w:szCs w:val="24"/>
        </w:rPr>
        <w:t>Mr</w:t>
      </w:r>
      <w:proofErr w:type="spellEnd"/>
      <w:r w:rsidR="00B17C60" w:rsidRPr="00C47012">
        <w:rPr>
          <w:rFonts w:ascii="Arial" w:hAnsi="Arial" w:cs="Arial"/>
          <w:sz w:val="24"/>
          <w:szCs w:val="24"/>
        </w:rPr>
        <w:t xml:space="preserve"> Dlamini had been responsible for the investigation </w:t>
      </w:r>
      <w:r w:rsidR="00AB33AF" w:rsidRPr="00C47012">
        <w:rPr>
          <w:rFonts w:ascii="Arial" w:hAnsi="Arial" w:cs="Arial"/>
          <w:sz w:val="24"/>
          <w:szCs w:val="24"/>
        </w:rPr>
        <w:t xml:space="preserve">and had </w:t>
      </w:r>
      <w:r w:rsidR="00B17C60" w:rsidRPr="00C47012">
        <w:rPr>
          <w:rFonts w:ascii="Arial" w:hAnsi="Arial" w:cs="Arial"/>
          <w:sz w:val="24"/>
          <w:szCs w:val="24"/>
        </w:rPr>
        <w:t>worked closely with the P</w:t>
      </w:r>
      <w:r w:rsidR="00AB33AF" w:rsidRPr="00C47012">
        <w:rPr>
          <w:rFonts w:ascii="Arial" w:hAnsi="Arial" w:cs="Arial"/>
          <w:sz w:val="24"/>
          <w:szCs w:val="24"/>
        </w:rPr>
        <w:t>P</w:t>
      </w:r>
      <w:r w:rsidR="00B17C60" w:rsidRPr="00C47012">
        <w:rPr>
          <w:rFonts w:ascii="Arial" w:hAnsi="Arial" w:cs="Arial"/>
          <w:sz w:val="24"/>
          <w:szCs w:val="24"/>
        </w:rPr>
        <w:t>.  The inve</w:t>
      </w:r>
      <w:r w:rsidR="00DF786A" w:rsidRPr="00C47012">
        <w:rPr>
          <w:rFonts w:ascii="Arial" w:hAnsi="Arial" w:cs="Arial"/>
          <w:sz w:val="24"/>
          <w:szCs w:val="24"/>
        </w:rPr>
        <w:t>stigations, it was contended, w</w:t>
      </w:r>
      <w:r w:rsidR="00B17C60" w:rsidRPr="00C47012">
        <w:rPr>
          <w:rFonts w:ascii="Arial" w:hAnsi="Arial" w:cs="Arial"/>
          <w:sz w:val="24"/>
          <w:szCs w:val="24"/>
        </w:rPr>
        <w:t xml:space="preserve">ere conducted under his control and direction and he, as the </w:t>
      </w:r>
      <w:r w:rsidR="00B42CC1" w:rsidRPr="00C47012">
        <w:rPr>
          <w:rFonts w:ascii="Arial" w:hAnsi="Arial" w:cs="Arial"/>
          <w:sz w:val="24"/>
          <w:szCs w:val="24"/>
        </w:rPr>
        <w:t>delegated</w:t>
      </w:r>
      <w:r w:rsidR="00B17C60" w:rsidRPr="00C47012">
        <w:rPr>
          <w:rFonts w:ascii="Arial" w:hAnsi="Arial" w:cs="Arial"/>
          <w:sz w:val="24"/>
          <w:szCs w:val="24"/>
        </w:rPr>
        <w:t xml:space="preserve"> official for the </w:t>
      </w:r>
      <w:r w:rsidR="00AB33AF" w:rsidRPr="00C47012">
        <w:rPr>
          <w:rFonts w:ascii="Arial" w:hAnsi="Arial" w:cs="Arial"/>
          <w:sz w:val="24"/>
          <w:szCs w:val="24"/>
        </w:rPr>
        <w:t>PP</w:t>
      </w:r>
      <w:r w:rsidR="00DF786A">
        <w:rPr>
          <w:rStyle w:val="FootnoteReference"/>
          <w:rFonts w:ascii="Arial" w:hAnsi="Arial" w:cs="Arial"/>
          <w:sz w:val="24"/>
          <w:szCs w:val="24"/>
        </w:rPr>
        <w:footnoteReference w:id="8"/>
      </w:r>
      <w:r w:rsidR="00B17C60" w:rsidRPr="00C47012">
        <w:rPr>
          <w:rFonts w:ascii="Arial" w:hAnsi="Arial" w:cs="Arial"/>
          <w:sz w:val="24"/>
          <w:szCs w:val="24"/>
        </w:rPr>
        <w:t xml:space="preserve">, </w:t>
      </w:r>
      <w:r w:rsidR="00B42CC1" w:rsidRPr="00C47012">
        <w:rPr>
          <w:rFonts w:ascii="Arial" w:hAnsi="Arial" w:cs="Arial"/>
          <w:sz w:val="24"/>
          <w:szCs w:val="24"/>
        </w:rPr>
        <w:t>drafted</w:t>
      </w:r>
      <w:r w:rsidR="00B17C60" w:rsidRPr="00C47012">
        <w:rPr>
          <w:rFonts w:ascii="Arial" w:hAnsi="Arial" w:cs="Arial"/>
          <w:sz w:val="24"/>
          <w:szCs w:val="24"/>
        </w:rPr>
        <w:t xml:space="preserve"> the report for and on behalf of the P</w:t>
      </w:r>
      <w:r w:rsidR="00AB33AF" w:rsidRPr="00C47012">
        <w:rPr>
          <w:rFonts w:ascii="Arial" w:hAnsi="Arial" w:cs="Arial"/>
          <w:sz w:val="24"/>
          <w:szCs w:val="24"/>
        </w:rPr>
        <w:t>P</w:t>
      </w:r>
      <w:r w:rsidR="00B17C60" w:rsidRPr="00C47012">
        <w:rPr>
          <w:rFonts w:ascii="Arial" w:hAnsi="Arial" w:cs="Arial"/>
          <w:sz w:val="24"/>
          <w:szCs w:val="24"/>
        </w:rPr>
        <w:t xml:space="preserve">.  Thus, it was </w:t>
      </w:r>
      <w:r w:rsidR="00B42CC1" w:rsidRPr="00C47012">
        <w:rPr>
          <w:rFonts w:ascii="Arial" w:hAnsi="Arial" w:cs="Arial"/>
          <w:sz w:val="24"/>
          <w:szCs w:val="24"/>
        </w:rPr>
        <w:t>contended</w:t>
      </w:r>
      <w:r w:rsidR="00B17C60" w:rsidRPr="00C47012">
        <w:rPr>
          <w:rFonts w:ascii="Arial" w:hAnsi="Arial" w:cs="Arial"/>
          <w:sz w:val="24"/>
          <w:szCs w:val="24"/>
        </w:rPr>
        <w:t xml:space="preserve"> that he had personal knowledge of what the P</w:t>
      </w:r>
      <w:r w:rsidR="00AB33AF" w:rsidRPr="00C47012">
        <w:rPr>
          <w:rFonts w:ascii="Arial" w:hAnsi="Arial" w:cs="Arial"/>
          <w:sz w:val="24"/>
          <w:szCs w:val="24"/>
        </w:rPr>
        <w:t>P</w:t>
      </w:r>
      <w:r w:rsidR="00B17C60" w:rsidRPr="00C47012">
        <w:rPr>
          <w:rFonts w:ascii="Arial" w:hAnsi="Arial" w:cs="Arial"/>
          <w:sz w:val="24"/>
          <w:szCs w:val="24"/>
        </w:rPr>
        <w:t xml:space="preserve"> considered.  Second, they argued</w:t>
      </w:r>
      <w:r w:rsidR="00AB33AF" w:rsidRPr="00C47012">
        <w:rPr>
          <w:rFonts w:ascii="Arial" w:hAnsi="Arial" w:cs="Arial"/>
          <w:sz w:val="24"/>
          <w:szCs w:val="24"/>
        </w:rPr>
        <w:t>,</w:t>
      </w:r>
      <w:r w:rsidR="00B17C60" w:rsidRPr="00C47012">
        <w:rPr>
          <w:rFonts w:ascii="Arial" w:hAnsi="Arial" w:cs="Arial"/>
          <w:sz w:val="24"/>
          <w:szCs w:val="24"/>
        </w:rPr>
        <w:t xml:space="preserve"> even </w:t>
      </w:r>
      <w:r w:rsidR="00BA4791" w:rsidRPr="00C47012">
        <w:rPr>
          <w:rFonts w:ascii="Arial" w:hAnsi="Arial" w:cs="Arial"/>
          <w:sz w:val="24"/>
          <w:szCs w:val="24"/>
        </w:rPr>
        <w:t xml:space="preserve">if </w:t>
      </w:r>
      <w:r w:rsidR="00B17C60" w:rsidRPr="00C47012">
        <w:rPr>
          <w:rFonts w:ascii="Arial" w:hAnsi="Arial" w:cs="Arial"/>
          <w:sz w:val="24"/>
          <w:szCs w:val="24"/>
        </w:rPr>
        <w:t>it did constitute hearsay evidence</w:t>
      </w:r>
      <w:r w:rsidR="007E6229" w:rsidRPr="00C47012">
        <w:rPr>
          <w:rFonts w:ascii="Arial" w:hAnsi="Arial" w:cs="Arial"/>
          <w:sz w:val="24"/>
          <w:szCs w:val="24"/>
        </w:rPr>
        <w:t>,</w:t>
      </w:r>
      <w:r w:rsidR="00B17C60" w:rsidRPr="00C47012">
        <w:rPr>
          <w:rFonts w:ascii="Arial" w:hAnsi="Arial" w:cs="Arial"/>
          <w:sz w:val="24"/>
          <w:szCs w:val="24"/>
        </w:rPr>
        <w:t xml:space="preserve"> it was admissible in terms of s 3(1) of the Law of Evidence Amendment Act, 45 of 1998 (the Evidence Act).  Third, they asserted that </w:t>
      </w:r>
      <w:r w:rsidR="007E6229" w:rsidRPr="00C47012">
        <w:rPr>
          <w:rFonts w:ascii="Arial" w:hAnsi="Arial" w:cs="Arial"/>
          <w:sz w:val="24"/>
          <w:szCs w:val="24"/>
        </w:rPr>
        <w:t xml:space="preserve">the </w:t>
      </w:r>
      <w:r w:rsidR="008A42A4" w:rsidRPr="00C47012">
        <w:rPr>
          <w:rFonts w:ascii="Arial" w:hAnsi="Arial" w:cs="Arial"/>
          <w:sz w:val="24"/>
          <w:szCs w:val="24"/>
        </w:rPr>
        <w:t xml:space="preserve">application to strike out should be dismissed as </w:t>
      </w:r>
      <w:r w:rsidR="00B17C60" w:rsidRPr="00C47012">
        <w:rPr>
          <w:rFonts w:ascii="Arial" w:hAnsi="Arial" w:cs="Arial"/>
          <w:sz w:val="24"/>
          <w:szCs w:val="24"/>
        </w:rPr>
        <w:t xml:space="preserve">the applicants had </w:t>
      </w:r>
      <w:r w:rsidR="00AB33AF" w:rsidRPr="00C47012">
        <w:rPr>
          <w:rFonts w:ascii="Arial" w:hAnsi="Arial" w:cs="Arial"/>
          <w:sz w:val="24"/>
          <w:szCs w:val="24"/>
        </w:rPr>
        <w:t>failed to</w:t>
      </w:r>
      <w:r w:rsidR="00B17C60" w:rsidRPr="00C47012">
        <w:rPr>
          <w:rFonts w:ascii="Arial" w:hAnsi="Arial" w:cs="Arial"/>
          <w:sz w:val="24"/>
          <w:szCs w:val="24"/>
        </w:rPr>
        <w:t xml:space="preserve"> allege that any of the grounds relied upon for striking out </w:t>
      </w:r>
      <w:r w:rsidR="00B17C60" w:rsidRPr="00C47012">
        <w:rPr>
          <w:rFonts w:ascii="Arial" w:hAnsi="Arial" w:cs="Arial"/>
          <w:sz w:val="24"/>
          <w:szCs w:val="24"/>
        </w:rPr>
        <w:lastRenderedPageBreak/>
        <w:t>the material was scandalous, vexatious</w:t>
      </w:r>
      <w:r w:rsidR="006559E6" w:rsidRPr="00C47012">
        <w:rPr>
          <w:rFonts w:ascii="Arial" w:hAnsi="Arial" w:cs="Arial"/>
          <w:sz w:val="24"/>
          <w:szCs w:val="24"/>
        </w:rPr>
        <w:t>,</w:t>
      </w:r>
      <w:r w:rsidR="00B17C60" w:rsidRPr="00C47012">
        <w:rPr>
          <w:rFonts w:ascii="Arial" w:hAnsi="Arial" w:cs="Arial"/>
          <w:sz w:val="24"/>
          <w:szCs w:val="24"/>
        </w:rPr>
        <w:t xml:space="preserve"> or irrelevant, and in what respect</w:t>
      </w:r>
      <w:r w:rsidR="00AB33AF" w:rsidRPr="00C47012">
        <w:rPr>
          <w:rFonts w:ascii="Arial" w:hAnsi="Arial" w:cs="Arial"/>
          <w:sz w:val="24"/>
          <w:szCs w:val="24"/>
        </w:rPr>
        <w:t>,</w:t>
      </w:r>
      <w:r w:rsidR="00B17C60" w:rsidRPr="00C47012">
        <w:rPr>
          <w:rFonts w:ascii="Arial" w:hAnsi="Arial" w:cs="Arial"/>
          <w:sz w:val="24"/>
          <w:szCs w:val="24"/>
        </w:rPr>
        <w:t xml:space="preserve"> nor had they alleged prejudice.</w:t>
      </w:r>
    </w:p>
    <w:p w14:paraId="329D318D" w14:textId="77777777" w:rsidR="00B17C60" w:rsidRDefault="00B17C60" w:rsidP="008231CE">
      <w:pPr>
        <w:spacing w:after="0" w:line="480" w:lineRule="auto"/>
        <w:contextualSpacing/>
        <w:jc w:val="both"/>
        <w:rPr>
          <w:rFonts w:ascii="Arial" w:hAnsi="Arial" w:cs="Arial"/>
          <w:sz w:val="24"/>
          <w:szCs w:val="24"/>
        </w:rPr>
      </w:pPr>
    </w:p>
    <w:p w14:paraId="5382C48A" w14:textId="2BCC8D63" w:rsidR="00B17C60" w:rsidRPr="00C47012" w:rsidRDefault="00C47012" w:rsidP="00C47012">
      <w:pPr>
        <w:spacing w:after="0" w:line="480" w:lineRule="auto"/>
        <w:jc w:val="both"/>
        <w:rPr>
          <w:rFonts w:ascii="Arial" w:hAnsi="Arial" w:cs="Arial"/>
          <w:sz w:val="24"/>
          <w:szCs w:val="24"/>
        </w:rPr>
      </w:pPr>
      <w:r w:rsidRPr="00D40B28">
        <w:rPr>
          <w:rFonts w:ascii="Arial" w:hAnsi="Arial" w:cs="Arial"/>
          <w:color w:val="000000" w:themeColor="text1"/>
          <w:sz w:val="24"/>
          <w:szCs w:val="24"/>
        </w:rPr>
        <w:t>[20]</w:t>
      </w:r>
      <w:r w:rsidRPr="00D40B28">
        <w:rPr>
          <w:rFonts w:ascii="Arial" w:hAnsi="Arial" w:cs="Arial"/>
          <w:color w:val="000000" w:themeColor="text1"/>
          <w:sz w:val="24"/>
          <w:szCs w:val="24"/>
        </w:rPr>
        <w:tab/>
      </w:r>
      <w:r w:rsidR="00B17C60" w:rsidRPr="00C47012">
        <w:rPr>
          <w:rFonts w:ascii="Arial" w:hAnsi="Arial" w:cs="Arial"/>
          <w:sz w:val="24"/>
          <w:szCs w:val="24"/>
        </w:rPr>
        <w:t xml:space="preserve">In respect of the first contention, </w:t>
      </w:r>
      <w:r w:rsidR="00A739A4" w:rsidRPr="00C47012">
        <w:rPr>
          <w:rFonts w:ascii="Arial" w:hAnsi="Arial" w:cs="Arial"/>
          <w:sz w:val="24"/>
          <w:szCs w:val="24"/>
        </w:rPr>
        <w:t xml:space="preserve">the </w:t>
      </w:r>
      <w:r w:rsidR="00B17C60" w:rsidRPr="00C47012">
        <w:rPr>
          <w:rFonts w:ascii="Arial" w:hAnsi="Arial" w:cs="Arial"/>
          <w:sz w:val="24"/>
          <w:szCs w:val="24"/>
        </w:rPr>
        <w:t>Evidence Act</w:t>
      </w:r>
      <w:r w:rsidR="00D14B51">
        <w:rPr>
          <w:rStyle w:val="FootnoteReference"/>
          <w:rFonts w:ascii="Arial" w:hAnsi="Arial" w:cs="Arial"/>
          <w:sz w:val="24"/>
          <w:szCs w:val="24"/>
        </w:rPr>
        <w:footnoteReference w:id="9"/>
      </w:r>
      <w:r w:rsidR="00B17C60" w:rsidRPr="00C47012">
        <w:rPr>
          <w:rFonts w:ascii="Arial" w:hAnsi="Arial" w:cs="Arial"/>
          <w:sz w:val="24"/>
          <w:szCs w:val="24"/>
        </w:rPr>
        <w:t xml:space="preserve"> defines hearsay evidence</w:t>
      </w:r>
      <w:r w:rsidR="00BA4791" w:rsidRPr="00C47012">
        <w:rPr>
          <w:rFonts w:ascii="Arial" w:hAnsi="Arial" w:cs="Arial"/>
          <w:sz w:val="24"/>
          <w:szCs w:val="24"/>
        </w:rPr>
        <w:t>,</w:t>
      </w:r>
      <w:r w:rsidR="00425E18" w:rsidRPr="00C47012">
        <w:rPr>
          <w:rFonts w:ascii="Arial" w:hAnsi="Arial" w:cs="Arial"/>
          <w:sz w:val="24"/>
          <w:szCs w:val="24"/>
        </w:rPr>
        <w:t xml:space="preserve"> </w:t>
      </w:r>
      <w:r w:rsidR="00704450" w:rsidRPr="00C47012">
        <w:rPr>
          <w:rFonts w:ascii="Arial" w:hAnsi="Arial" w:cs="Arial"/>
          <w:sz w:val="24"/>
          <w:szCs w:val="24"/>
        </w:rPr>
        <w:t xml:space="preserve">which is generally inadmissible in </w:t>
      </w:r>
      <w:r w:rsidR="00A70900" w:rsidRPr="00C47012">
        <w:rPr>
          <w:rFonts w:ascii="Arial" w:hAnsi="Arial" w:cs="Arial"/>
          <w:sz w:val="24"/>
          <w:szCs w:val="24"/>
        </w:rPr>
        <w:t>terms</w:t>
      </w:r>
      <w:r w:rsidR="00704450" w:rsidRPr="00C47012">
        <w:rPr>
          <w:rFonts w:ascii="Arial" w:hAnsi="Arial" w:cs="Arial"/>
          <w:sz w:val="24"/>
          <w:szCs w:val="24"/>
        </w:rPr>
        <w:t xml:space="preserve"> of s 3(1), as “evidence …, the probative value of which depends upon the credibility of any person other than the person giv</w:t>
      </w:r>
      <w:r w:rsidR="00A70900" w:rsidRPr="00C47012">
        <w:rPr>
          <w:rFonts w:ascii="Arial" w:hAnsi="Arial" w:cs="Arial"/>
          <w:sz w:val="24"/>
          <w:szCs w:val="24"/>
        </w:rPr>
        <w:t>ing</w:t>
      </w:r>
      <w:r w:rsidR="00704450" w:rsidRPr="00C47012">
        <w:rPr>
          <w:rFonts w:ascii="Arial" w:hAnsi="Arial" w:cs="Arial"/>
          <w:sz w:val="24"/>
          <w:szCs w:val="24"/>
        </w:rPr>
        <w:t xml:space="preserve"> such evidence.”</w:t>
      </w:r>
      <w:r w:rsidR="00A70900" w:rsidRPr="00C47012">
        <w:rPr>
          <w:rFonts w:ascii="Arial" w:hAnsi="Arial" w:cs="Arial"/>
          <w:sz w:val="24"/>
          <w:szCs w:val="24"/>
        </w:rPr>
        <w:t xml:space="preserve"> </w:t>
      </w:r>
      <w:r w:rsidR="00D14B51" w:rsidRPr="00C47012">
        <w:rPr>
          <w:rFonts w:ascii="Arial" w:hAnsi="Arial" w:cs="Arial"/>
          <w:sz w:val="24"/>
          <w:szCs w:val="24"/>
        </w:rPr>
        <w:t xml:space="preserve">  The m</w:t>
      </w:r>
      <w:r w:rsidR="00425E18" w:rsidRPr="00C47012">
        <w:rPr>
          <w:rFonts w:ascii="Arial" w:hAnsi="Arial" w:cs="Arial"/>
          <w:sz w:val="24"/>
          <w:szCs w:val="24"/>
        </w:rPr>
        <w:t xml:space="preserve">aterial objected to in the affidavit of </w:t>
      </w:r>
      <w:proofErr w:type="spellStart"/>
      <w:r w:rsidR="00425E18" w:rsidRPr="00C47012">
        <w:rPr>
          <w:rFonts w:ascii="Arial" w:hAnsi="Arial" w:cs="Arial"/>
          <w:sz w:val="24"/>
          <w:szCs w:val="24"/>
        </w:rPr>
        <w:t>Mr</w:t>
      </w:r>
      <w:proofErr w:type="spellEnd"/>
      <w:r w:rsidR="00425E18" w:rsidRPr="00C47012">
        <w:rPr>
          <w:rFonts w:ascii="Arial" w:hAnsi="Arial" w:cs="Arial"/>
          <w:sz w:val="24"/>
          <w:szCs w:val="24"/>
        </w:rPr>
        <w:t xml:space="preserve"> Dlamini</w:t>
      </w:r>
      <w:r w:rsidR="00D14B51">
        <w:rPr>
          <w:rStyle w:val="FootnoteReference"/>
          <w:rFonts w:ascii="Arial" w:hAnsi="Arial" w:cs="Arial"/>
          <w:sz w:val="24"/>
          <w:szCs w:val="24"/>
        </w:rPr>
        <w:footnoteReference w:id="10"/>
      </w:r>
      <w:r w:rsidR="00D14B51" w:rsidRPr="00C47012">
        <w:rPr>
          <w:rFonts w:ascii="Arial" w:hAnsi="Arial" w:cs="Arial"/>
          <w:sz w:val="24"/>
          <w:szCs w:val="24"/>
        </w:rPr>
        <w:t xml:space="preserve"> </w:t>
      </w:r>
      <w:r w:rsidR="00425E18" w:rsidRPr="00C47012">
        <w:rPr>
          <w:rFonts w:ascii="Arial" w:hAnsi="Arial" w:cs="Arial"/>
          <w:sz w:val="24"/>
          <w:szCs w:val="24"/>
        </w:rPr>
        <w:t>relate</w:t>
      </w:r>
      <w:r w:rsidR="00D14B51" w:rsidRPr="00C47012">
        <w:rPr>
          <w:rFonts w:ascii="Arial" w:hAnsi="Arial" w:cs="Arial"/>
          <w:sz w:val="24"/>
          <w:szCs w:val="24"/>
        </w:rPr>
        <w:t>s</w:t>
      </w:r>
      <w:r w:rsidR="00425E18" w:rsidRPr="00C47012">
        <w:rPr>
          <w:rFonts w:ascii="Arial" w:hAnsi="Arial" w:cs="Arial"/>
          <w:sz w:val="24"/>
          <w:szCs w:val="24"/>
        </w:rPr>
        <w:t xml:space="preserve"> to the </w:t>
      </w:r>
      <w:r w:rsidR="00D14B51" w:rsidRPr="00C47012">
        <w:rPr>
          <w:rFonts w:ascii="Arial" w:hAnsi="Arial" w:cs="Arial"/>
          <w:sz w:val="24"/>
          <w:szCs w:val="24"/>
        </w:rPr>
        <w:t>PP’s</w:t>
      </w:r>
      <w:r w:rsidR="00425E18" w:rsidRPr="00C47012">
        <w:rPr>
          <w:rFonts w:ascii="Arial" w:hAnsi="Arial" w:cs="Arial"/>
          <w:sz w:val="24"/>
          <w:szCs w:val="24"/>
        </w:rPr>
        <w:t xml:space="preserve"> state of </w:t>
      </w:r>
      <w:proofErr w:type="gramStart"/>
      <w:r w:rsidR="00425E18" w:rsidRPr="00C47012">
        <w:rPr>
          <w:rFonts w:ascii="Arial" w:hAnsi="Arial" w:cs="Arial"/>
          <w:sz w:val="24"/>
          <w:szCs w:val="24"/>
        </w:rPr>
        <w:t>mind;  what</w:t>
      </w:r>
      <w:proofErr w:type="gramEnd"/>
      <w:r w:rsidR="00425E18" w:rsidRPr="00C47012">
        <w:rPr>
          <w:rFonts w:ascii="Arial" w:hAnsi="Arial" w:cs="Arial"/>
          <w:sz w:val="24"/>
          <w:szCs w:val="24"/>
        </w:rPr>
        <w:t xml:space="preserve"> she read, thought</w:t>
      </w:r>
      <w:r w:rsidR="003324C2" w:rsidRPr="00C47012">
        <w:rPr>
          <w:rFonts w:ascii="Arial" w:hAnsi="Arial" w:cs="Arial"/>
          <w:sz w:val="24"/>
          <w:szCs w:val="24"/>
        </w:rPr>
        <w:t>,</w:t>
      </w:r>
      <w:r w:rsidR="00425E18" w:rsidRPr="00C47012">
        <w:rPr>
          <w:rFonts w:ascii="Arial" w:hAnsi="Arial" w:cs="Arial"/>
          <w:sz w:val="24"/>
          <w:szCs w:val="24"/>
        </w:rPr>
        <w:t xml:space="preserve"> and con</w:t>
      </w:r>
      <w:r w:rsidR="00D14B51" w:rsidRPr="00C47012">
        <w:rPr>
          <w:rFonts w:ascii="Arial" w:hAnsi="Arial" w:cs="Arial"/>
          <w:sz w:val="24"/>
          <w:szCs w:val="24"/>
        </w:rPr>
        <w:t xml:space="preserve">sidered, and what motivated her, as the decision-maker, </w:t>
      </w:r>
      <w:r w:rsidR="00425E18" w:rsidRPr="00C47012">
        <w:rPr>
          <w:rFonts w:ascii="Arial" w:hAnsi="Arial" w:cs="Arial"/>
          <w:sz w:val="24"/>
          <w:szCs w:val="24"/>
        </w:rPr>
        <w:t xml:space="preserve">before </w:t>
      </w:r>
      <w:r w:rsidR="007E6229" w:rsidRPr="00C47012">
        <w:rPr>
          <w:rFonts w:ascii="Arial" w:hAnsi="Arial" w:cs="Arial"/>
          <w:sz w:val="24"/>
          <w:szCs w:val="24"/>
        </w:rPr>
        <w:t xml:space="preserve">arriving at her factual findings and </w:t>
      </w:r>
      <w:r w:rsidR="00425E18" w:rsidRPr="00C47012">
        <w:rPr>
          <w:rFonts w:ascii="Arial" w:hAnsi="Arial" w:cs="Arial"/>
          <w:sz w:val="24"/>
          <w:szCs w:val="24"/>
        </w:rPr>
        <w:t xml:space="preserve">deciding to impose the remedial action impugned in the application.  </w:t>
      </w:r>
      <w:r w:rsidR="00D14B51" w:rsidRPr="00C47012">
        <w:rPr>
          <w:rFonts w:ascii="Arial" w:hAnsi="Arial" w:cs="Arial"/>
          <w:sz w:val="24"/>
          <w:szCs w:val="24"/>
        </w:rPr>
        <w:t>P</w:t>
      </w:r>
      <w:r w:rsidR="00425E18" w:rsidRPr="00C47012">
        <w:rPr>
          <w:rFonts w:ascii="Arial" w:hAnsi="Arial" w:cs="Arial"/>
          <w:sz w:val="24"/>
          <w:szCs w:val="24"/>
        </w:rPr>
        <w:t>er definition</w:t>
      </w:r>
      <w:r w:rsidR="006559E6" w:rsidRPr="00C47012">
        <w:rPr>
          <w:rFonts w:ascii="Arial" w:hAnsi="Arial" w:cs="Arial"/>
          <w:sz w:val="24"/>
          <w:szCs w:val="24"/>
        </w:rPr>
        <w:t>,</w:t>
      </w:r>
      <w:r w:rsidR="00425E18" w:rsidRPr="00C47012">
        <w:rPr>
          <w:rFonts w:ascii="Arial" w:hAnsi="Arial" w:cs="Arial"/>
          <w:sz w:val="24"/>
          <w:szCs w:val="24"/>
        </w:rPr>
        <w:t xml:space="preserve"> the probative value of these passages of evidence depends primarily, if not exclusively, upon the credibility of </w:t>
      </w:r>
      <w:proofErr w:type="spellStart"/>
      <w:r w:rsidR="008A42A4" w:rsidRPr="00C47012">
        <w:rPr>
          <w:rFonts w:ascii="Arial" w:hAnsi="Arial" w:cs="Arial"/>
          <w:sz w:val="24"/>
          <w:szCs w:val="24"/>
        </w:rPr>
        <w:t>Ms</w:t>
      </w:r>
      <w:proofErr w:type="spellEnd"/>
      <w:r w:rsidR="008A42A4" w:rsidRPr="00C47012">
        <w:rPr>
          <w:rFonts w:ascii="Arial" w:hAnsi="Arial" w:cs="Arial"/>
          <w:sz w:val="24"/>
          <w:szCs w:val="24"/>
        </w:rPr>
        <w:t xml:space="preserve"> </w:t>
      </w:r>
      <w:proofErr w:type="spellStart"/>
      <w:r w:rsidR="008A42A4" w:rsidRPr="00C47012">
        <w:rPr>
          <w:rFonts w:ascii="Arial" w:hAnsi="Arial" w:cs="Arial"/>
          <w:sz w:val="24"/>
          <w:szCs w:val="24"/>
        </w:rPr>
        <w:t>Mkhwebane</w:t>
      </w:r>
      <w:proofErr w:type="spellEnd"/>
      <w:r w:rsidR="00B51533" w:rsidRPr="00C47012">
        <w:rPr>
          <w:rFonts w:ascii="Arial" w:hAnsi="Arial" w:cs="Arial"/>
          <w:sz w:val="24"/>
          <w:szCs w:val="24"/>
        </w:rPr>
        <w:t xml:space="preserve">.  The fact that </w:t>
      </w:r>
      <w:proofErr w:type="spellStart"/>
      <w:r w:rsidR="00B51533" w:rsidRPr="00C47012">
        <w:rPr>
          <w:rFonts w:ascii="Arial" w:hAnsi="Arial" w:cs="Arial"/>
          <w:sz w:val="24"/>
          <w:szCs w:val="24"/>
        </w:rPr>
        <w:t>Mr</w:t>
      </w:r>
      <w:proofErr w:type="spellEnd"/>
      <w:r w:rsidR="00B51533" w:rsidRPr="00C47012">
        <w:rPr>
          <w:rFonts w:ascii="Arial" w:hAnsi="Arial" w:cs="Arial"/>
          <w:sz w:val="24"/>
          <w:szCs w:val="24"/>
        </w:rPr>
        <w:t xml:space="preserve"> Dlamini might have gathered the evidence and prepared the report does not assist </w:t>
      </w:r>
      <w:r w:rsidR="00D14B51" w:rsidRPr="00C47012">
        <w:rPr>
          <w:rFonts w:ascii="Arial" w:hAnsi="Arial" w:cs="Arial"/>
          <w:sz w:val="24"/>
          <w:szCs w:val="24"/>
        </w:rPr>
        <w:t xml:space="preserve">in </w:t>
      </w:r>
      <w:r w:rsidR="00B51533" w:rsidRPr="00C47012">
        <w:rPr>
          <w:rFonts w:ascii="Arial" w:hAnsi="Arial" w:cs="Arial"/>
          <w:sz w:val="24"/>
          <w:szCs w:val="24"/>
        </w:rPr>
        <w:t xml:space="preserve">accounting for that which </w:t>
      </w:r>
      <w:proofErr w:type="spellStart"/>
      <w:r w:rsidR="008A42A4" w:rsidRPr="00C47012">
        <w:rPr>
          <w:rFonts w:ascii="Arial" w:hAnsi="Arial" w:cs="Arial"/>
          <w:sz w:val="24"/>
          <w:szCs w:val="24"/>
        </w:rPr>
        <w:t>Ms</w:t>
      </w:r>
      <w:proofErr w:type="spellEnd"/>
      <w:r w:rsidR="008A42A4" w:rsidRPr="00C47012">
        <w:rPr>
          <w:rFonts w:ascii="Arial" w:hAnsi="Arial" w:cs="Arial"/>
          <w:sz w:val="24"/>
          <w:szCs w:val="24"/>
        </w:rPr>
        <w:t xml:space="preserve"> </w:t>
      </w:r>
      <w:proofErr w:type="spellStart"/>
      <w:r w:rsidR="008A42A4" w:rsidRPr="00C47012">
        <w:rPr>
          <w:rFonts w:ascii="Arial" w:hAnsi="Arial" w:cs="Arial"/>
          <w:sz w:val="24"/>
          <w:szCs w:val="24"/>
        </w:rPr>
        <w:t>Mkhwebane</w:t>
      </w:r>
      <w:proofErr w:type="spellEnd"/>
      <w:r w:rsidR="008A42A4" w:rsidRPr="00C47012">
        <w:rPr>
          <w:rFonts w:ascii="Arial" w:hAnsi="Arial" w:cs="Arial"/>
          <w:sz w:val="24"/>
          <w:szCs w:val="24"/>
        </w:rPr>
        <w:t xml:space="preserve"> </w:t>
      </w:r>
      <w:r w:rsidR="00B51533" w:rsidRPr="00C47012">
        <w:rPr>
          <w:rFonts w:ascii="Arial" w:hAnsi="Arial" w:cs="Arial"/>
          <w:sz w:val="24"/>
          <w:szCs w:val="24"/>
        </w:rPr>
        <w:t>alone can answer</w:t>
      </w:r>
      <w:r w:rsidR="007A4121" w:rsidRPr="00C47012">
        <w:rPr>
          <w:rFonts w:ascii="Arial" w:hAnsi="Arial" w:cs="Arial"/>
          <w:sz w:val="24"/>
          <w:szCs w:val="24"/>
        </w:rPr>
        <w:t xml:space="preserve"> for</w:t>
      </w:r>
      <w:r w:rsidR="00B51533" w:rsidRPr="00C47012">
        <w:rPr>
          <w:rFonts w:ascii="Arial" w:hAnsi="Arial" w:cs="Arial"/>
          <w:sz w:val="24"/>
          <w:szCs w:val="24"/>
        </w:rPr>
        <w:t xml:space="preserve">.  Thus, in </w:t>
      </w:r>
      <w:r w:rsidR="00B51533" w:rsidRPr="00C47012">
        <w:rPr>
          <w:rFonts w:ascii="Arial" w:hAnsi="Arial" w:cs="Arial"/>
          <w:i/>
          <w:sz w:val="24"/>
          <w:szCs w:val="24"/>
        </w:rPr>
        <w:t>Vere NO</w:t>
      </w:r>
      <w:r w:rsidR="00B51533">
        <w:rPr>
          <w:rStyle w:val="FootnoteReference"/>
          <w:rFonts w:ascii="Arial" w:hAnsi="Arial" w:cs="Arial"/>
          <w:i/>
          <w:sz w:val="24"/>
          <w:szCs w:val="24"/>
        </w:rPr>
        <w:footnoteReference w:id="11"/>
      </w:r>
      <w:r w:rsidR="00B51533" w:rsidRPr="00C47012">
        <w:rPr>
          <w:rFonts w:ascii="Arial" w:hAnsi="Arial" w:cs="Arial"/>
          <w:sz w:val="24"/>
          <w:szCs w:val="24"/>
        </w:rPr>
        <w:t xml:space="preserve"> it was held that:</w:t>
      </w:r>
    </w:p>
    <w:p w14:paraId="5ABAC590" w14:textId="77777777" w:rsidR="00B51533" w:rsidRDefault="00B51533" w:rsidP="00B17C60">
      <w:pPr>
        <w:spacing w:after="0" w:line="480" w:lineRule="auto"/>
        <w:jc w:val="both"/>
        <w:rPr>
          <w:rFonts w:ascii="Arial" w:hAnsi="Arial" w:cs="Arial"/>
          <w:sz w:val="24"/>
          <w:szCs w:val="24"/>
        </w:rPr>
      </w:pPr>
    </w:p>
    <w:p w14:paraId="4A3A0093" w14:textId="77777777" w:rsidR="00B51533" w:rsidRPr="00C56391" w:rsidRDefault="00B51533" w:rsidP="00B51533">
      <w:pPr>
        <w:pStyle w:val="NormalWeb"/>
        <w:shd w:val="clear" w:color="auto" w:fill="FFFFFF"/>
        <w:spacing w:before="0" w:beforeAutospacing="0" w:after="0" w:afterAutospacing="0" w:line="360" w:lineRule="auto"/>
        <w:ind w:left="562" w:right="562"/>
        <w:jc w:val="both"/>
        <w:rPr>
          <w:rFonts w:ascii="Arial" w:hAnsi="Arial" w:cs="Arial"/>
          <w:color w:val="000000" w:themeColor="text1"/>
          <w:sz w:val="22"/>
          <w:szCs w:val="22"/>
        </w:rPr>
      </w:pPr>
      <w:r w:rsidRPr="00C56391">
        <w:rPr>
          <w:rFonts w:ascii="Arial" w:hAnsi="Arial" w:cs="Arial"/>
          <w:color w:val="000000" w:themeColor="text1"/>
          <w:sz w:val="22"/>
          <w:szCs w:val="22"/>
        </w:rPr>
        <w:lastRenderedPageBreak/>
        <w:t>“[84]      As correctly pointed out by the applicants, it is the MEC whose application of the mind and conduct is challenged. It is she, and only she, who can say what she read, considered</w:t>
      </w:r>
      <w:r w:rsidR="006559E6" w:rsidRPr="00C56391">
        <w:rPr>
          <w:rFonts w:ascii="Arial" w:hAnsi="Arial" w:cs="Arial"/>
          <w:color w:val="000000" w:themeColor="text1"/>
          <w:sz w:val="22"/>
          <w:szCs w:val="22"/>
        </w:rPr>
        <w:t>,</w:t>
      </w:r>
      <w:r w:rsidRPr="00C56391">
        <w:rPr>
          <w:rFonts w:ascii="Arial" w:hAnsi="Arial" w:cs="Arial"/>
          <w:color w:val="000000" w:themeColor="text1"/>
          <w:sz w:val="22"/>
          <w:szCs w:val="22"/>
        </w:rPr>
        <w:t xml:space="preserve"> and applied her mind to. Nobody else can comment on what the MEC applied her mind to</w:t>
      </w:r>
      <w:bookmarkStart w:id="0" w:name="_ftnref14"/>
      <w:r w:rsidRPr="00C56391">
        <w:rPr>
          <w:rFonts w:ascii="Arial" w:hAnsi="Arial" w:cs="Arial"/>
          <w:color w:val="000000" w:themeColor="text1"/>
          <w:sz w:val="22"/>
          <w:szCs w:val="22"/>
        </w:rPr>
        <w:t>.</w:t>
      </w:r>
    </w:p>
    <w:bookmarkEnd w:id="0"/>
    <w:p w14:paraId="2E34EA62" w14:textId="77777777" w:rsidR="00B51533" w:rsidRPr="00C56391" w:rsidRDefault="00B51533" w:rsidP="00B51533">
      <w:pPr>
        <w:pStyle w:val="NormalWeb"/>
        <w:shd w:val="clear" w:color="auto" w:fill="FFFFFF"/>
        <w:spacing w:before="0" w:beforeAutospacing="0" w:after="0" w:afterAutospacing="0" w:line="360" w:lineRule="auto"/>
        <w:ind w:left="562" w:right="562"/>
        <w:jc w:val="both"/>
        <w:rPr>
          <w:rFonts w:ascii="Arial" w:hAnsi="Arial" w:cs="Arial"/>
          <w:color w:val="000000" w:themeColor="text1"/>
          <w:sz w:val="22"/>
          <w:szCs w:val="22"/>
        </w:rPr>
      </w:pPr>
      <w:r w:rsidRPr="00C56391">
        <w:rPr>
          <w:rFonts w:ascii="Arial" w:hAnsi="Arial" w:cs="Arial"/>
          <w:color w:val="000000" w:themeColor="text1"/>
          <w:sz w:val="22"/>
          <w:szCs w:val="22"/>
        </w:rPr>
        <w:t>…</w:t>
      </w:r>
    </w:p>
    <w:p w14:paraId="3F10896B" w14:textId="77777777" w:rsidR="00B51533" w:rsidRPr="00C56391" w:rsidRDefault="00B51533" w:rsidP="00B51533">
      <w:pPr>
        <w:pStyle w:val="NormalWeb"/>
        <w:shd w:val="clear" w:color="auto" w:fill="FFFFFF"/>
        <w:spacing w:before="0" w:beforeAutospacing="0" w:after="0" w:afterAutospacing="0" w:line="360" w:lineRule="auto"/>
        <w:ind w:left="562" w:right="562"/>
        <w:jc w:val="both"/>
        <w:rPr>
          <w:rFonts w:ascii="Arial" w:hAnsi="Arial" w:cs="Arial"/>
          <w:color w:val="000000" w:themeColor="text1"/>
          <w:sz w:val="22"/>
          <w:szCs w:val="22"/>
        </w:rPr>
      </w:pPr>
      <w:r w:rsidRPr="00C56391">
        <w:rPr>
          <w:rFonts w:ascii="Arial" w:hAnsi="Arial" w:cs="Arial"/>
          <w:color w:val="000000" w:themeColor="text1"/>
          <w:sz w:val="22"/>
          <w:szCs w:val="22"/>
        </w:rPr>
        <w:t xml:space="preserve">[87]      In areas where </w:t>
      </w:r>
      <w:proofErr w:type="spellStart"/>
      <w:r w:rsidRPr="00C56391">
        <w:rPr>
          <w:rFonts w:ascii="Arial" w:hAnsi="Arial" w:cs="Arial"/>
          <w:color w:val="000000" w:themeColor="text1"/>
          <w:sz w:val="22"/>
          <w:szCs w:val="22"/>
        </w:rPr>
        <w:t>Mr</w:t>
      </w:r>
      <w:proofErr w:type="spellEnd"/>
      <w:r w:rsidRPr="00C56391">
        <w:rPr>
          <w:rFonts w:ascii="Arial" w:hAnsi="Arial" w:cs="Arial"/>
          <w:color w:val="000000" w:themeColor="text1"/>
          <w:sz w:val="22"/>
          <w:szCs w:val="22"/>
        </w:rPr>
        <w:t xml:space="preserve"> </w:t>
      </w:r>
      <w:proofErr w:type="spellStart"/>
      <w:r w:rsidRPr="00C56391">
        <w:rPr>
          <w:rFonts w:ascii="Arial" w:hAnsi="Arial" w:cs="Arial"/>
          <w:color w:val="000000" w:themeColor="text1"/>
          <w:sz w:val="22"/>
          <w:szCs w:val="22"/>
        </w:rPr>
        <w:t>Mosiapoa</w:t>
      </w:r>
      <w:proofErr w:type="spellEnd"/>
      <w:r w:rsidRPr="00C56391">
        <w:rPr>
          <w:rFonts w:ascii="Arial" w:hAnsi="Arial" w:cs="Arial"/>
          <w:color w:val="000000" w:themeColor="text1"/>
          <w:sz w:val="22"/>
          <w:szCs w:val="22"/>
        </w:rPr>
        <w:t xml:space="preserve"> purports to testify on behalf of the MEC on matters affecting the exercise of her discretion, his evidence constitutes inadmissible hearsay evidence and it must be totally disregarded in the adjudication of the issues between the parties. Consequently, the respondents have failed to show that the MEC exercised her discretion reasonably, lawfully and rationally.</w:t>
      </w:r>
      <w:r w:rsidR="001E2989" w:rsidRPr="00C56391">
        <w:rPr>
          <w:rFonts w:ascii="Arial" w:hAnsi="Arial" w:cs="Arial"/>
          <w:color w:val="000000" w:themeColor="text1"/>
          <w:sz w:val="22"/>
          <w:szCs w:val="22"/>
        </w:rPr>
        <w:t>”</w:t>
      </w:r>
      <w:r w:rsidRPr="00C56391">
        <w:rPr>
          <w:rFonts w:ascii="Arial" w:hAnsi="Arial" w:cs="Arial"/>
          <w:color w:val="000000" w:themeColor="text1"/>
          <w:sz w:val="22"/>
          <w:szCs w:val="22"/>
        </w:rPr>
        <w:t xml:space="preserve"> </w:t>
      </w:r>
    </w:p>
    <w:p w14:paraId="7874A336" w14:textId="77777777" w:rsidR="001E2989" w:rsidRPr="001D48D2" w:rsidRDefault="001E2989" w:rsidP="00B51533">
      <w:pPr>
        <w:pStyle w:val="NormalWeb"/>
        <w:shd w:val="clear" w:color="auto" w:fill="FFFFFF"/>
        <w:spacing w:before="0" w:beforeAutospacing="0" w:after="0" w:afterAutospacing="0" w:line="360" w:lineRule="auto"/>
        <w:ind w:left="562" w:right="562"/>
        <w:jc w:val="both"/>
        <w:rPr>
          <w:rFonts w:ascii="Arial" w:hAnsi="Arial" w:cs="Arial"/>
          <w:color w:val="0070C0"/>
          <w:sz w:val="22"/>
          <w:szCs w:val="22"/>
        </w:rPr>
      </w:pPr>
    </w:p>
    <w:p w14:paraId="2DA64A8D" w14:textId="77777777" w:rsidR="00B51533" w:rsidRPr="007E6229" w:rsidRDefault="007E6229" w:rsidP="007E6229">
      <w:pPr>
        <w:pStyle w:val="NormalWeb"/>
        <w:shd w:val="clear" w:color="auto" w:fill="FFFFFF"/>
        <w:spacing w:before="0" w:beforeAutospacing="0" w:after="0" w:afterAutospacing="0" w:line="360" w:lineRule="auto"/>
        <w:ind w:right="562"/>
        <w:jc w:val="both"/>
        <w:rPr>
          <w:rFonts w:ascii="Arial" w:hAnsi="Arial" w:cs="Arial"/>
          <w:color w:val="242121"/>
        </w:rPr>
      </w:pPr>
      <w:r w:rsidRPr="007E6229">
        <w:rPr>
          <w:rFonts w:ascii="Arial" w:hAnsi="Arial" w:cs="Arial"/>
          <w:color w:val="242121"/>
        </w:rPr>
        <w:t xml:space="preserve">The evidence objected to was hearsay. </w:t>
      </w:r>
    </w:p>
    <w:p w14:paraId="5F86C77B" w14:textId="77777777" w:rsidR="007E6229" w:rsidRDefault="007E6229" w:rsidP="00B51533">
      <w:pPr>
        <w:pStyle w:val="NormalWeb"/>
        <w:shd w:val="clear" w:color="auto" w:fill="FFFFFF"/>
        <w:spacing w:before="0" w:beforeAutospacing="0" w:after="0" w:afterAutospacing="0" w:line="360" w:lineRule="auto"/>
        <w:ind w:left="562" w:right="562"/>
        <w:jc w:val="both"/>
        <w:rPr>
          <w:rFonts w:ascii="Arial" w:hAnsi="Arial" w:cs="Arial"/>
          <w:color w:val="242121"/>
          <w:sz w:val="22"/>
          <w:szCs w:val="22"/>
        </w:rPr>
      </w:pPr>
    </w:p>
    <w:p w14:paraId="509FA5BB" w14:textId="7531DA69" w:rsidR="00B51533"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242121"/>
        </w:rPr>
      </w:pPr>
      <w:r>
        <w:rPr>
          <w:rFonts w:ascii="Arial" w:hAnsi="Arial" w:cs="Arial"/>
          <w:color w:val="000000" w:themeColor="text1"/>
        </w:rPr>
        <w:t>[21]</w:t>
      </w:r>
      <w:r>
        <w:rPr>
          <w:rFonts w:ascii="Arial" w:hAnsi="Arial" w:cs="Arial"/>
          <w:color w:val="000000" w:themeColor="text1"/>
        </w:rPr>
        <w:tab/>
      </w:r>
      <w:r w:rsidR="00D14B51">
        <w:rPr>
          <w:rFonts w:ascii="Arial" w:hAnsi="Arial" w:cs="Arial"/>
          <w:color w:val="242121"/>
        </w:rPr>
        <w:t xml:space="preserve">I turn to </w:t>
      </w:r>
      <w:r w:rsidR="00B51533" w:rsidRPr="00B51533">
        <w:rPr>
          <w:rFonts w:ascii="Arial" w:hAnsi="Arial" w:cs="Arial"/>
          <w:color w:val="242121"/>
        </w:rPr>
        <w:t xml:space="preserve">the averments of </w:t>
      </w:r>
      <w:proofErr w:type="spellStart"/>
      <w:r w:rsidR="00B51533" w:rsidRPr="00B51533">
        <w:rPr>
          <w:rFonts w:ascii="Arial" w:hAnsi="Arial" w:cs="Arial"/>
          <w:color w:val="242121"/>
        </w:rPr>
        <w:t>Ms</w:t>
      </w:r>
      <w:proofErr w:type="spellEnd"/>
      <w:r w:rsidR="00B51533" w:rsidRPr="00B51533">
        <w:rPr>
          <w:rFonts w:ascii="Arial" w:hAnsi="Arial" w:cs="Arial"/>
          <w:color w:val="242121"/>
        </w:rPr>
        <w:t xml:space="preserve"> Roberts</w:t>
      </w:r>
      <w:r w:rsidR="00B51533" w:rsidRPr="00B51533">
        <w:rPr>
          <w:rStyle w:val="FootnoteReference"/>
          <w:rFonts w:ascii="Arial" w:hAnsi="Arial" w:cs="Arial"/>
          <w:color w:val="242121"/>
        </w:rPr>
        <w:footnoteReference w:id="12"/>
      </w:r>
      <w:r w:rsidR="009D5BDB">
        <w:rPr>
          <w:rFonts w:ascii="Arial" w:hAnsi="Arial" w:cs="Arial"/>
          <w:color w:val="242121"/>
        </w:rPr>
        <w:t xml:space="preserve"> </w:t>
      </w:r>
      <w:r w:rsidR="00D14B51">
        <w:rPr>
          <w:rFonts w:ascii="Arial" w:hAnsi="Arial" w:cs="Arial"/>
          <w:color w:val="242121"/>
        </w:rPr>
        <w:t xml:space="preserve">that </w:t>
      </w:r>
      <w:r w:rsidR="009D5BDB">
        <w:rPr>
          <w:rFonts w:ascii="Arial" w:hAnsi="Arial" w:cs="Arial"/>
          <w:color w:val="242121"/>
        </w:rPr>
        <w:t xml:space="preserve">relate to the explanations for the signature and publication of two separate reports with </w:t>
      </w:r>
      <w:r w:rsidR="00D40B28">
        <w:rPr>
          <w:rFonts w:ascii="Arial" w:hAnsi="Arial" w:cs="Arial"/>
          <w:color w:val="242121"/>
        </w:rPr>
        <w:t>different</w:t>
      </w:r>
      <w:r w:rsidR="009D5BDB">
        <w:rPr>
          <w:rFonts w:ascii="Arial" w:hAnsi="Arial" w:cs="Arial"/>
          <w:color w:val="242121"/>
        </w:rPr>
        <w:t xml:space="preserve"> content.  Only </w:t>
      </w:r>
      <w:proofErr w:type="spellStart"/>
      <w:r w:rsidR="008A42A4">
        <w:rPr>
          <w:rFonts w:ascii="Arial" w:hAnsi="Arial" w:cs="Arial"/>
          <w:color w:val="242121"/>
        </w:rPr>
        <w:t>Ms</w:t>
      </w:r>
      <w:proofErr w:type="spellEnd"/>
      <w:r w:rsidR="008A42A4">
        <w:rPr>
          <w:rFonts w:ascii="Arial" w:hAnsi="Arial" w:cs="Arial"/>
          <w:color w:val="242121"/>
        </w:rPr>
        <w:t xml:space="preserve"> </w:t>
      </w:r>
      <w:proofErr w:type="spellStart"/>
      <w:r w:rsidR="008A42A4">
        <w:rPr>
          <w:rFonts w:ascii="Arial" w:hAnsi="Arial" w:cs="Arial"/>
          <w:color w:val="242121"/>
        </w:rPr>
        <w:t>Mkhwebane</w:t>
      </w:r>
      <w:proofErr w:type="spellEnd"/>
      <w:r w:rsidR="009D5BDB">
        <w:rPr>
          <w:rFonts w:ascii="Arial" w:hAnsi="Arial" w:cs="Arial"/>
          <w:color w:val="242121"/>
        </w:rPr>
        <w:t xml:space="preserve"> can explain the reasons for </w:t>
      </w:r>
      <w:r w:rsidR="006559E6">
        <w:rPr>
          <w:rFonts w:ascii="Arial" w:hAnsi="Arial" w:cs="Arial"/>
          <w:color w:val="242121"/>
        </w:rPr>
        <w:t xml:space="preserve">the </w:t>
      </w:r>
      <w:r w:rsidR="007E6229">
        <w:rPr>
          <w:rFonts w:ascii="Arial" w:hAnsi="Arial" w:cs="Arial"/>
          <w:color w:val="242121"/>
        </w:rPr>
        <w:t xml:space="preserve">premature publication, </w:t>
      </w:r>
      <w:r w:rsidR="00B8402E">
        <w:rPr>
          <w:rFonts w:ascii="Arial" w:hAnsi="Arial" w:cs="Arial"/>
          <w:color w:val="242121"/>
        </w:rPr>
        <w:t xml:space="preserve">the </w:t>
      </w:r>
      <w:r w:rsidR="009D5BDB">
        <w:rPr>
          <w:rFonts w:ascii="Arial" w:hAnsi="Arial" w:cs="Arial"/>
          <w:color w:val="242121"/>
        </w:rPr>
        <w:t xml:space="preserve">changes </w:t>
      </w:r>
      <w:r w:rsidR="008A42A4">
        <w:rPr>
          <w:rFonts w:ascii="Arial" w:hAnsi="Arial" w:cs="Arial"/>
          <w:color w:val="242121"/>
        </w:rPr>
        <w:t>that</w:t>
      </w:r>
      <w:r w:rsidR="009D5BDB">
        <w:rPr>
          <w:rFonts w:ascii="Arial" w:hAnsi="Arial" w:cs="Arial"/>
          <w:color w:val="242121"/>
        </w:rPr>
        <w:t xml:space="preserve"> she effected after </w:t>
      </w:r>
      <w:r w:rsidR="006559E6">
        <w:rPr>
          <w:rFonts w:ascii="Arial" w:hAnsi="Arial" w:cs="Arial"/>
          <w:color w:val="242121"/>
        </w:rPr>
        <w:t xml:space="preserve">the </w:t>
      </w:r>
      <w:r w:rsidR="009D5BDB">
        <w:rPr>
          <w:rFonts w:ascii="Arial" w:hAnsi="Arial" w:cs="Arial"/>
          <w:color w:val="242121"/>
        </w:rPr>
        <w:t>publication of the original report</w:t>
      </w:r>
      <w:r w:rsidR="007E6229">
        <w:rPr>
          <w:rFonts w:ascii="Arial" w:hAnsi="Arial" w:cs="Arial"/>
          <w:color w:val="242121"/>
        </w:rPr>
        <w:t xml:space="preserve"> on her website</w:t>
      </w:r>
      <w:r w:rsidR="006559E6">
        <w:rPr>
          <w:rFonts w:ascii="Arial" w:hAnsi="Arial" w:cs="Arial"/>
          <w:color w:val="242121"/>
        </w:rPr>
        <w:t>,</w:t>
      </w:r>
      <w:r w:rsidR="007E6229">
        <w:rPr>
          <w:rFonts w:ascii="Arial" w:hAnsi="Arial" w:cs="Arial"/>
          <w:color w:val="242121"/>
        </w:rPr>
        <w:t xml:space="preserve"> and why she appended her signature to a “draft”</w:t>
      </w:r>
      <w:r w:rsidR="009D5BDB">
        <w:rPr>
          <w:rFonts w:ascii="Arial" w:hAnsi="Arial" w:cs="Arial"/>
          <w:color w:val="242121"/>
        </w:rPr>
        <w:t xml:space="preserve">.  As I shall show later the changes that were </w:t>
      </w:r>
      <w:proofErr w:type="gramStart"/>
      <w:r w:rsidR="009D5BDB">
        <w:rPr>
          <w:rFonts w:ascii="Arial" w:hAnsi="Arial" w:cs="Arial"/>
          <w:color w:val="242121"/>
        </w:rPr>
        <w:t>effected</w:t>
      </w:r>
      <w:proofErr w:type="gramEnd"/>
      <w:r w:rsidR="009D5BDB">
        <w:rPr>
          <w:rFonts w:ascii="Arial" w:hAnsi="Arial" w:cs="Arial"/>
          <w:color w:val="242121"/>
        </w:rPr>
        <w:t xml:space="preserve"> were certainly not inconsequential and </w:t>
      </w:r>
      <w:proofErr w:type="spellStart"/>
      <w:r w:rsidR="009D5BDB">
        <w:rPr>
          <w:rFonts w:ascii="Arial" w:hAnsi="Arial" w:cs="Arial"/>
          <w:color w:val="242121"/>
        </w:rPr>
        <w:t>Ms</w:t>
      </w:r>
      <w:proofErr w:type="spellEnd"/>
      <w:r w:rsidR="009D5BDB">
        <w:rPr>
          <w:rFonts w:ascii="Arial" w:hAnsi="Arial" w:cs="Arial"/>
          <w:color w:val="242121"/>
        </w:rPr>
        <w:t xml:space="preserve"> Roberts could have no personal knowledge of what motivated </w:t>
      </w:r>
      <w:r w:rsidR="00D14B51">
        <w:rPr>
          <w:rFonts w:ascii="Arial" w:hAnsi="Arial" w:cs="Arial"/>
          <w:color w:val="242121"/>
        </w:rPr>
        <w:t xml:space="preserve">her </w:t>
      </w:r>
      <w:r w:rsidR="009D5BDB">
        <w:rPr>
          <w:rFonts w:ascii="Arial" w:hAnsi="Arial" w:cs="Arial"/>
          <w:color w:val="242121"/>
        </w:rPr>
        <w:t>to make these changes.</w:t>
      </w:r>
      <w:r w:rsidR="009D5BDB">
        <w:rPr>
          <w:rStyle w:val="FootnoteReference"/>
          <w:rFonts w:ascii="Arial" w:hAnsi="Arial" w:cs="Arial"/>
          <w:color w:val="242121"/>
        </w:rPr>
        <w:footnoteReference w:id="13"/>
      </w:r>
    </w:p>
    <w:p w14:paraId="17A5CDEE" w14:textId="77777777" w:rsidR="00C30622" w:rsidRDefault="00C30622" w:rsidP="008231CE">
      <w:pPr>
        <w:pStyle w:val="NormalWeb"/>
        <w:shd w:val="clear" w:color="auto" w:fill="FFFFFF"/>
        <w:spacing w:before="0" w:beforeAutospacing="0" w:after="0" w:afterAutospacing="0" w:line="480" w:lineRule="auto"/>
        <w:contextualSpacing/>
        <w:jc w:val="both"/>
        <w:rPr>
          <w:rFonts w:ascii="Arial" w:hAnsi="Arial" w:cs="Arial"/>
          <w:color w:val="242121"/>
        </w:rPr>
      </w:pPr>
    </w:p>
    <w:p w14:paraId="4ED9D284" w14:textId="1ED890A5" w:rsidR="00C30622"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242121"/>
        </w:rPr>
      </w:pPr>
      <w:r>
        <w:rPr>
          <w:rFonts w:ascii="Arial" w:hAnsi="Arial" w:cs="Arial"/>
          <w:color w:val="000000" w:themeColor="text1"/>
        </w:rPr>
        <w:lastRenderedPageBreak/>
        <w:t>[22]</w:t>
      </w:r>
      <w:r>
        <w:rPr>
          <w:rFonts w:ascii="Arial" w:hAnsi="Arial" w:cs="Arial"/>
          <w:color w:val="000000" w:themeColor="text1"/>
        </w:rPr>
        <w:tab/>
      </w:r>
      <w:r w:rsidR="00C30622">
        <w:rPr>
          <w:rFonts w:ascii="Arial" w:hAnsi="Arial" w:cs="Arial"/>
          <w:color w:val="242121"/>
        </w:rPr>
        <w:t xml:space="preserve">The second contention raised is equally untenable.  Section 3(1) of the Evidence Act permits a court to receive hearsay evidence if, on a consideration of </w:t>
      </w:r>
      <w:proofErr w:type="gramStart"/>
      <w:r w:rsidR="00C30622">
        <w:rPr>
          <w:rFonts w:ascii="Arial" w:hAnsi="Arial" w:cs="Arial"/>
          <w:color w:val="242121"/>
        </w:rPr>
        <w:t>a number of</w:t>
      </w:r>
      <w:proofErr w:type="gramEnd"/>
      <w:r w:rsidR="00C30622">
        <w:rPr>
          <w:rFonts w:ascii="Arial" w:hAnsi="Arial" w:cs="Arial"/>
          <w:color w:val="242121"/>
        </w:rPr>
        <w:t xml:space="preserve"> factors </w:t>
      </w:r>
      <w:r w:rsidR="00081359">
        <w:rPr>
          <w:rFonts w:ascii="Arial" w:hAnsi="Arial" w:cs="Arial"/>
          <w:color w:val="242121"/>
        </w:rPr>
        <w:t>enumerated</w:t>
      </w:r>
      <w:r w:rsidR="00C30622">
        <w:rPr>
          <w:rFonts w:ascii="Arial" w:hAnsi="Arial" w:cs="Arial"/>
          <w:color w:val="242121"/>
        </w:rPr>
        <w:t xml:space="preserve"> in the </w:t>
      </w:r>
      <w:r w:rsidR="00356576">
        <w:rPr>
          <w:rFonts w:ascii="Arial" w:hAnsi="Arial" w:cs="Arial"/>
          <w:color w:val="242121"/>
        </w:rPr>
        <w:t>section</w:t>
      </w:r>
      <w:r w:rsidR="00C30622">
        <w:rPr>
          <w:rFonts w:ascii="Arial" w:hAnsi="Arial" w:cs="Arial"/>
          <w:color w:val="242121"/>
        </w:rPr>
        <w:t>, it is of the opinion that such evidence should be admitted in the interests of justice.</w:t>
      </w:r>
      <w:r w:rsidR="00C30622">
        <w:rPr>
          <w:rStyle w:val="FootnoteReference"/>
          <w:rFonts w:ascii="Arial" w:hAnsi="Arial" w:cs="Arial"/>
          <w:color w:val="242121"/>
        </w:rPr>
        <w:footnoteReference w:id="14"/>
      </w:r>
      <w:r w:rsidR="0021414E">
        <w:rPr>
          <w:rFonts w:ascii="Arial" w:hAnsi="Arial" w:cs="Arial"/>
          <w:color w:val="242121"/>
        </w:rPr>
        <w:t xml:space="preserve">  I have considered earlier the nature of the evidence and the probative value thereof.  These considerations militate against the admission of such evidence.  The purpose for which the evidence is tendered is to rebut the contention by the applicants that the </w:t>
      </w:r>
      <w:r w:rsidR="007E6ED0">
        <w:rPr>
          <w:rFonts w:ascii="Arial" w:hAnsi="Arial" w:cs="Arial"/>
          <w:color w:val="242121"/>
        </w:rPr>
        <w:t>PP</w:t>
      </w:r>
      <w:r w:rsidR="0021414E">
        <w:rPr>
          <w:rFonts w:ascii="Arial" w:hAnsi="Arial" w:cs="Arial"/>
          <w:color w:val="242121"/>
        </w:rPr>
        <w:t xml:space="preserve"> had failed to apply her mind on material issues</w:t>
      </w:r>
      <w:r w:rsidR="008A42A4">
        <w:rPr>
          <w:rFonts w:ascii="Arial" w:hAnsi="Arial" w:cs="Arial"/>
          <w:color w:val="242121"/>
        </w:rPr>
        <w:t>, that she had acted with an ulterior motive</w:t>
      </w:r>
      <w:r w:rsidR="005D6831">
        <w:rPr>
          <w:rFonts w:ascii="Arial" w:hAnsi="Arial" w:cs="Arial"/>
          <w:color w:val="242121"/>
        </w:rPr>
        <w:t xml:space="preserve">, exceeded her powers, </w:t>
      </w:r>
      <w:r w:rsidR="0021414E">
        <w:rPr>
          <w:rFonts w:ascii="Arial" w:hAnsi="Arial" w:cs="Arial"/>
          <w:color w:val="242121"/>
        </w:rPr>
        <w:t>and that she conducted her enquiry in bad faith.  These are fundamental components of the applicants’ case and accordingly</w:t>
      </w:r>
      <w:r w:rsidR="006559E6">
        <w:rPr>
          <w:rFonts w:ascii="Arial" w:hAnsi="Arial" w:cs="Arial"/>
          <w:color w:val="242121"/>
        </w:rPr>
        <w:t>,</w:t>
      </w:r>
      <w:r w:rsidR="0021414E">
        <w:rPr>
          <w:rFonts w:ascii="Arial" w:hAnsi="Arial" w:cs="Arial"/>
          <w:color w:val="242121"/>
        </w:rPr>
        <w:t xml:space="preserve"> the reception thereof </w:t>
      </w:r>
      <w:r w:rsidR="00356576">
        <w:rPr>
          <w:rFonts w:ascii="Arial" w:hAnsi="Arial" w:cs="Arial"/>
          <w:color w:val="242121"/>
        </w:rPr>
        <w:t>would</w:t>
      </w:r>
      <w:r w:rsidR="001E2989">
        <w:rPr>
          <w:rFonts w:ascii="Arial" w:hAnsi="Arial" w:cs="Arial"/>
          <w:color w:val="242121"/>
        </w:rPr>
        <w:t>,</w:t>
      </w:r>
      <w:r w:rsidR="0021414E">
        <w:rPr>
          <w:rFonts w:ascii="Arial" w:hAnsi="Arial" w:cs="Arial"/>
          <w:color w:val="242121"/>
        </w:rPr>
        <w:t xml:space="preserve"> self-evidently</w:t>
      </w:r>
      <w:r w:rsidR="001E2989">
        <w:rPr>
          <w:rFonts w:ascii="Arial" w:hAnsi="Arial" w:cs="Arial"/>
          <w:color w:val="242121"/>
        </w:rPr>
        <w:t>,</w:t>
      </w:r>
      <w:r w:rsidR="0021414E">
        <w:rPr>
          <w:rFonts w:ascii="Arial" w:hAnsi="Arial" w:cs="Arial"/>
          <w:color w:val="242121"/>
        </w:rPr>
        <w:t xml:space="preserve"> result in </w:t>
      </w:r>
      <w:r w:rsidR="00D40B28">
        <w:rPr>
          <w:rFonts w:ascii="Arial" w:hAnsi="Arial" w:cs="Arial"/>
          <w:color w:val="242121"/>
        </w:rPr>
        <w:t>considerable</w:t>
      </w:r>
      <w:r w:rsidR="0021414E">
        <w:rPr>
          <w:rFonts w:ascii="Arial" w:hAnsi="Arial" w:cs="Arial"/>
          <w:color w:val="242121"/>
        </w:rPr>
        <w:t xml:space="preserve"> prejudice to the applicants.  </w:t>
      </w:r>
    </w:p>
    <w:p w14:paraId="156DEE7E" w14:textId="77777777" w:rsidR="0021414E" w:rsidRDefault="0021414E" w:rsidP="008231CE">
      <w:pPr>
        <w:pStyle w:val="NormalWeb"/>
        <w:shd w:val="clear" w:color="auto" w:fill="FFFFFF"/>
        <w:spacing w:before="0" w:beforeAutospacing="0" w:after="0" w:afterAutospacing="0" w:line="480" w:lineRule="auto"/>
        <w:contextualSpacing/>
        <w:jc w:val="both"/>
        <w:rPr>
          <w:rFonts w:ascii="Arial" w:hAnsi="Arial" w:cs="Arial"/>
          <w:color w:val="242121"/>
        </w:rPr>
      </w:pPr>
    </w:p>
    <w:p w14:paraId="356317C3" w14:textId="4134BA36" w:rsidR="00FF2EE7"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242121"/>
        </w:rPr>
      </w:pPr>
      <w:r>
        <w:rPr>
          <w:rFonts w:ascii="Arial" w:hAnsi="Arial" w:cs="Arial"/>
          <w:color w:val="000000" w:themeColor="text1"/>
        </w:rPr>
        <w:t>[23]</w:t>
      </w:r>
      <w:r>
        <w:rPr>
          <w:rFonts w:ascii="Arial" w:hAnsi="Arial" w:cs="Arial"/>
          <w:color w:val="000000" w:themeColor="text1"/>
        </w:rPr>
        <w:tab/>
      </w:r>
      <w:r w:rsidR="0021414E">
        <w:rPr>
          <w:rFonts w:ascii="Arial" w:hAnsi="Arial" w:cs="Arial"/>
          <w:color w:val="242121"/>
        </w:rPr>
        <w:t xml:space="preserve">The reason advanced on behalf of the </w:t>
      </w:r>
      <w:r w:rsidR="00356576">
        <w:rPr>
          <w:rFonts w:ascii="Arial" w:hAnsi="Arial" w:cs="Arial"/>
          <w:color w:val="242121"/>
        </w:rPr>
        <w:t>PP</w:t>
      </w:r>
      <w:r w:rsidR="0021414E">
        <w:rPr>
          <w:rFonts w:ascii="Arial" w:hAnsi="Arial" w:cs="Arial"/>
          <w:color w:val="242121"/>
        </w:rPr>
        <w:t xml:space="preserve"> for </w:t>
      </w:r>
      <w:proofErr w:type="spellStart"/>
      <w:r w:rsidR="008A42A4">
        <w:rPr>
          <w:rFonts w:ascii="Arial" w:hAnsi="Arial" w:cs="Arial"/>
          <w:color w:val="242121"/>
        </w:rPr>
        <w:t>Ms</w:t>
      </w:r>
      <w:proofErr w:type="spellEnd"/>
      <w:r w:rsidR="008A42A4">
        <w:rPr>
          <w:rFonts w:ascii="Arial" w:hAnsi="Arial" w:cs="Arial"/>
          <w:color w:val="242121"/>
        </w:rPr>
        <w:t xml:space="preserve"> </w:t>
      </w:r>
      <w:proofErr w:type="spellStart"/>
      <w:r w:rsidR="008A42A4">
        <w:rPr>
          <w:rFonts w:ascii="Arial" w:hAnsi="Arial" w:cs="Arial"/>
          <w:color w:val="242121"/>
        </w:rPr>
        <w:t>Mkhwebane</w:t>
      </w:r>
      <w:proofErr w:type="spellEnd"/>
      <w:r w:rsidR="0021414E">
        <w:rPr>
          <w:rFonts w:ascii="Arial" w:hAnsi="Arial" w:cs="Arial"/>
          <w:color w:val="242121"/>
        </w:rPr>
        <w:t xml:space="preserve"> not having attested to the </w:t>
      </w:r>
      <w:r w:rsidR="00356576">
        <w:rPr>
          <w:rFonts w:ascii="Arial" w:hAnsi="Arial" w:cs="Arial"/>
          <w:color w:val="242121"/>
        </w:rPr>
        <w:t xml:space="preserve">affidavit herself was </w:t>
      </w:r>
      <w:r w:rsidR="0021414E">
        <w:rPr>
          <w:rFonts w:ascii="Arial" w:hAnsi="Arial" w:cs="Arial"/>
          <w:color w:val="242121"/>
        </w:rPr>
        <w:t xml:space="preserve">that she </w:t>
      </w:r>
      <w:r w:rsidR="00356576">
        <w:rPr>
          <w:rFonts w:ascii="Arial" w:hAnsi="Arial" w:cs="Arial"/>
          <w:color w:val="242121"/>
        </w:rPr>
        <w:t xml:space="preserve">had been </w:t>
      </w:r>
      <w:r w:rsidR="0021414E">
        <w:rPr>
          <w:rFonts w:ascii="Arial" w:hAnsi="Arial" w:cs="Arial"/>
          <w:color w:val="242121"/>
        </w:rPr>
        <w:t>suspended</w:t>
      </w:r>
      <w:r w:rsidR="00A739A4">
        <w:rPr>
          <w:rFonts w:ascii="Arial" w:hAnsi="Arial" w:cs="Arial"/>
          <w:color w:val="242121"/>
        </w:rPr>
        <w:t xml:space="preserve"> from office</w:t>
      </w:r>
      <w:r w:rsidR="0021414E">
        <w:rPr>
          <w:rFonts w:ascii="Arial" w:hAnsi="Arial" w:cs="Arial"/>
          <w:color w:val="242121"/>
        </w:rPr>
        <w:t xml:space="preserve">.  The answering affidavits were </w:t>
      </w:r>
      <w:r w:rsidR="001E2989">
        <w:rPr>
          <w:rFonts w:ascii="Arial" w:hAnsi="Arial" w:cs="Arial"/>
          <w:color w:val="242121"/>
        </w:rPr>
        <w:t>due</w:t>
      </w:r>
      <w:r w:rsidR="0021414E">
        <w:rPr>
          <w:rFonts w:ascii="Arial" w:hAnsi="Arial" w:cs="Arial"/>
          <w:color w:val="242121"/>
        </w:rPr>
        <w:t xml:space="preserve"> on the same day </w:t>
      </w:r>
      <w:r w:rsidR="00356576">
        <w:rPr>
          <w:rFonts w:ascii="Arial" w:hAnsi="Arial" w:cs="Arial"/>
          <w:color w:val="242121"/>
        </w:rPr>
        <w:t>that</w:t>
      </w:r>
      <w:r w:rsidR="0021414E">
        <w:rPr>
          <w:rFonts w:ascii="Arial" w:hAnsi="Arial" w:cs="Arial"/>
          <w:color w:val="242121"/>
        </w:rPr>
        <w:t xml:space="preserve"> the </w:t>
      </w:r>
      <w:r w:rsidR="00D40B28">
        <w:rPr>
          <w:rFonts w:ascii="Arial" w:hAnsi="Arial" w:cs="Arial"/>
          <w:color w:val="242121"/>
        </w:rPr>
        <w:t>President</w:t>
      </w:r>
      <w:r w:rsidR="0021414E">
        <w:rPr>
          <w:rFonts w:ascii="Arial" w:hAnsi="Arial" w:cs="Arial"/>
          <w:color w:val="242121"/>
        </w:rPr>
        <w:t xml:space="preserve"> suspended </w:t>
      </w:r>
      <w:r w:rsidR="00356576">
        <w:rPr>
          <w:rFonts w:ascii="Arial" w:hAnsi="Arial" w:cs="Arial"/>
          <w:color w:val="242121"/>
        </w:rPr>
        <w:t>her</w:t>
      </w:r>
      <w:r w:rsidR="0021414E">
        <w:rPr>
          <w:rFonts w:ascii="Arial" w:hAnsi="Arial" w:cs="Arial"/>
          <w:color w:val="242121"/>
        </w:rPr>
        <w:t xml:space="preserve"> from office and counsel on behalf of the P</w:t>
      </w:r>
      <w:r w:rsidR="00356576">
        <w:rPr>
          <w:rFonts w:ascii="Arial" w:hAnsi="Arial" w:cs="Arial"/>
          <w:color w:val="242121"/>
        </w:rPr>
        <w:t>P</w:t>
      </w:r>
      <w:r w:rsidR="0021414E">
        <w:rPr>
          <w:rFonts w:ascii="Arial" w:hAnsi="Arial" w:cs="Arial"/>
          <w:color w:val="242121"/>
        </w:rPr>
        <w:t xml:space="preserve"> explained, though it does not appear from the papers, that </w:t>
      </w:r>
      <w:r w:rsidR="0021414E">
        <w:rPr>
          <w:rFonts w:ascii="Arial" w:hAnsi="Arial" w:cs="Arial"/>
          <w:color w:val="242121"/>
        </w:rPr>
        <w:lastRenderedPageBreak/>
        <w:t xml:space="preserve">her suspension came with an injunction that she was no longer </w:t>
      </w:r>
      <w:proofErr w:type="spellStart"/>
      <w:r w:rsidR="0021414E">
        <w:rPr>
          <w:rFonts w:ascii="Arial" w:hAnsi="Arial" w:cs="Arial"/>
          <w:color w:val="242121"/>
        </w:rPr>
        <w:t>auth</w:t>
      </w:r>
      <w:r w:rsidR="00D40B28">
        <w:rPr>
          <w:rFonts w:ascii="Arial" w:hAnsi="Arial" w:cs="Arial"/>
          <w:color w:val="242121"/>
        </w:rPr>
        <w:t>orised</w:t>
      </w:r>
      <w:proofErr w:type="spellEnd"/>
      <w:r w:rsidR="0021414E">
        <w:rPr>
          <w:rFonts w:ascii="Arial" w:hAnsi="Arial" w:cs="Arial"/>
          <w:color w:val="242121"/>
        </w:rPr>
        <w:t xml:space="preserve"> to act in any manner on behalf of the office of the P</w:t>
      </w:r>
      <w:r w:rsidR="00356576">
        <w:rPr>
          <w:rFonts w:ascii="Arial" w:hAnsi="Arial" w:cs="Arial"/>
          <w:color w:val="242121"/>
        </w:rPr>
        <w:t>P</w:t>
      </w:r>
      <w:r w:rsidR="0021414E">
        <w:rPr>
          <w:rFonts w:ascii="Arial" w:hAnsi="Arial" w:cs="Arial"/>
          <w:color w:val="242121"/>
        </w:rPr>
        <w:t>.</w:t>
      </w:r>
    </w:p>
    <w:p w14:paraId="35937253" w14:textId="77777777" w:rsidR="0021414E" w:rsidRDefault="0021414E" w:rsidP="008231CE">
      <w:pPr>
        <w:pStyle w:val="NormalWeb"/>
        <w:shd w:val="clear" w:color="auto" w:fill="FFFFFF"/>
        <w:spacing w:before="0" w:beforeAutospacing="0" w:after="0" w:afterAutospacing="0" w:line="480" w:lineRule="auto"/>
        <w:contextualSpacing/>
        <w:jc w:val="both"/>
        <w:rPr>
          <w:rFonts w:ascii="Arial" w:hAnsi="Arial" w:cs="Arial"/>
          <w:color w:val="242121"/>
        </w:rPr>
      </w:pPr>
    </w:p>
    <w:p w14:paraId="7495B5DD" w14:textId="73E20708" w:rsidR="0021414E" w:rsidRPr="006B5DEA" w:rsidRDefault="00C47012" w:rsidP="00C47012">
      <w:pPr>
        <w:pStyle w:val="NormalWeb"/>
        <w:shd w:val="clear" w:color="auto" w:fill="FFFFFF"/>
        <w:spacing w:before="0" w:beforeAutospacing="0" w:after="0" w:afterAutospacing="0" w:line="480" w:lineRule="auto"/>
        <w:contextualSpacing/>
        <w:jc w:val="both"/>
        <w:rPr>
          <w:rFonts w:ascii="Arial" w:hAnsi="Arial" w:cs="Arial"/>
          <w:sz w:val="22"/>
          <w:szCs w:val="22"/>
        </w:rPr>
      </w:pPr>
      <w:r w:rsidRPr="006B5DEA">
        <w:rPr>
          <w:rFonts w:ascii="Arial" w:hAnsi="Arial" w:cs="Arial"/>
          <w:color w:val="000000" w:themeColor="text1"/>
          <w:sz w:val="22"/>
          <w:szCs w:val="22"/>
        </w:rPr>
        <w:t>[24]</w:t>
      </w:r>
      <w:r w:rsidRPr="006B5DEA">
        <w:rPr>
          <w:rFonts w:ascii="Arial" w:hAnsi="Arial" w:cs="Arial"/>
          <w:color w:val="000000" w:themeColor="text1"/>
          <w:sz w:val="22"/>
          <w:szCs w:val="22"/>
        </w:rPr>
        <w:tab/>
      </w:r>
      <w:r w:rsidR="0021414E">
        <w:rPr>
          <w:rFonts w:ascii="Arial" w:hAnsi="Arial" w:cs="Arial"/>
          <w:color w:val="242121"/>
        </w:rPr>
        <w:t xml:space="preserve">There are </w:t>
      </w:r>
      <w:proofErr w:type="gramStart"/>
      <w:r w:rsidR="0021414E">
        <w:rPr>
          <w:rFonts w:ascii="Arial" w:hAnsi="Arial" w:cs="Arial"/>
          <w:color w:val="242121"/>
        </w:rPr>
        <w:t>a number of</w:t>
      </w:r>
      <w:proofErr w:type="gramEnd"/>
      <w:r w:rsidR="0021414E">
        <w:rPr>
          <w:rFonts w:ascii="Arial" w:hAnsi="Arial" w:cs="Arial"/>
          <w:color w:val="242121"/>
        </w:rPr>
        <w:t xml:space="preserve"> </w:t>
      </w:r>
      <w:r w:rsidR="00D40B28">
        <w:rPr>
          <w:rFonts w:ascii="Arial" w:hAnsi="Arial" w:cs="Arial"/>
          <w:color w:val="242121"/>
        </w:rPr>
        <w:t>difficulties</w:t>
      </w:r>
      <w:r w:rsidR="0021414E">
        <w:rPr>
          <w:rFonts w:ascii="Arial" w:hAnsi="Arial" w:cs="Arial"/>
          <w:color w:val="242121"/>
        </w:rPr>
        <w:t xml:space="preserve"> with this argument.  First, </w:t>
      </w:r>
      <w:proofErr w:type="spellStart"/>
      <w:r w:rsidR="008A42A4">
        <w:rPr>
          <w:rFonts w:ascii="Arial" w:hAnsi="Arial" w:cs="Arial"/>
          <w:color w:val="242121"/>
        </w:rPr>
        <w:t>Ms</w:t>
      </w:r>
      <w:proofErr w:type="spellEnd"/>
      <w:r w:rsidR="008A42A4">
        <w:rPr>
          <w:rFonts w:ascii="Arial" w:hAnsi="Arial" w:cs="Arial"/>
          <w:color w:val="242121"/>
        </w:rPr>
        <w:t xml:space="preserve"> </w:t>
      </w:r>
      <w:proofErr w:type="spellStart"/>
      <w:r w:rsidR="008A42A4">
        <w:rPr>
          <w:rFonts w:ascii="Arial" w:hAnsi="Arial" w:cs="Arial"/>
          <w:color w:val="242121"/>
        </w:rPr>
        <w:t>Mkhwebane</w:t>
      </w:r>
      <w:proofErr w:type="spellEnd"/>
      <w:r w:rsidR="008A42A4">
        <w:rPr>
          <w:rFonts w:ascii="Arial" w:hAnsi="Arial" w:cs="Arial"/>
          <w:color w:val="242121"/>
        </w:rPr>
        <w:t xml:space="preserve"> </w:t>
      </w:r>
      <w:r w:rsidR="0021414E">
        <w:rPr>
          <w:rFonts w:ascii="Arial" w:hAnsi="Arial" w:cs="Arial"/>
          <w:color w:val="242121"/>
        </w:rPr>
        <w:t xml:space="preserve">was suspended on 9 June 2022.  She had been called upon in October 2021 </w:t>
      </w:r>
      <w:r w:rsidR="008A7EED">
        <w:rPr>
          <w:rFonts w:ascii="Arial" w:hAnsi="Arial" w:cs="Arial"/>
          <w:color w:val="242121"/>
        </w:rPr>
        <w:t xml:space="preserve">to </w:t>
      </w:r>
      <w:r w:rsidR="0021414E">
        <w:rPr>
          <w:rFonts w:ascii="Arial" w:hAnsi="Arial" w:cs="Arial"/>
          <w:color w:val="242121"/>
        </w:rPr>
        <w:t xml:space="preserve">explain her reasons for </w:t>
      </w:r>
      <w:r w:rsidR="00B51EA3">
        <w:rPr>
          <w:rFonts w:ascii="Arial" w:hAnsi="Arial" w:cs="Arial"/>
          <w:color w:val="242121"/>
        </w:rPr>
        <w:t xml:space="preserve">there being two </w:t>
      </w:r>
      <w:r w:rsidR="0021414E">
        <w:rPr>
          <w:rFonts w:ascii="Arial" w:hAnsi="Arial" w:cs="Arial"/>
          <w:color w:val="242121"/>
        </w:rPr>
        <w:t xml:space="preserve">reports and the </w:t>
      </w:r>
      <w:r w:rsidR="00D40B28">
        <w:rPr>
          <w:rFonts w:ascii="Arial" w:hAnsi="Arial" w:cs="Arial"/>
          <w:color w:val="242121"/>
        </w:rPr>
        <w:t>discrepancy</w:t>
      </w:r>
      <w:r w:rsidR="0021414E">
        <w:rPr>
          <w:rFonts w:ascii="Arial" w:hAnsi="Arial" w:cs="Arial"/>
          <w:color w:val="242121"/>
        </w:rPr>
        <w:t xml:space="preserve"> between the two reports</w:t>
      </w:r>
      <w:r w:rsidR="00B51EA3">
        <w:rPr>
          <w:rFonts w:ascii="Arial" w:hAnsi="Arial" w:cs="Arial"/>
          <w:color w:val="242121"/>
        </w:rPr>
        <w:t>.</w:t>
      </w:r>
      <w:r w:rsidR="0021414E">
        <w:rPr>
          <w:rFonts w:ascii="Arial" w:hAnsi="Arial" w:cs="Arial"/>
          <w:color w:val="242121"/>
        </w:rPr>
        <w:t xml:space="preserve"> </w:t>
      </w:r>
      <w:proofErr w:type="spellStart"/>
      <w:r w:rsidR="0021414E">
        <w:rPr>
          <w:rFonts w:ascii="Arial" w:hAnsi="Arial" w:cs="Arial"/>
          <w:color w:val="242121"/>
        </w:rPr>
        <w:t>Ms</w:t>
      </w:r>
      <w:proofErr w:type="spellEnd"/>
      <w:r w:rsidR="0021414E">
        <w:rPr>
          <w:rFonts w:ascii="Arial" w:hAnsi="Arial" w:cs="Arial"/>
          <w:color w:val="242121"/>
        </w:rPr>
        <w:t xml:space="preserve"> Roberts deposed to her affidavit on 22 February 2022, some </w:t>
      </w:r>
      <w:r w:rsidR="00D40B28">
        <w:rPr>
          <w:rFonts w:ascii="Arial" w:hAnsi="Arial" w:cs="Arial"/>
          <w:color w:val="242121"/>
        </w:rPr>
        <w:t>months</w:t>
      </w:r>
      <w:r w:rsidR="0021414E">
        <w:rPr>
          <w:rFonts w:ascii="Arial" w:hAnsi="Arial" w:cs="Arial"/>
          <w:color w:val="242121"/>
        </w:rPr>
        <w:t xml:space="preserve"> prior to the suspension.  Second, on </w:t>
      </w:r>
      <w:proofErr w:type="spellStart"/>
      <w:r w:rsidR="0021414E">
        <w:rPr>
          <w:rFonts w:ascii="Arial" w:hAnsi="Arial" w:cs="Arial"/>
          <w:color w:val="242121"/>
        </w:rPr>
        <w:t>Mr</w:t>
      </w:r>
      <w:proofErr w:type="spellEnd"/>
      <w:r w:rsidR="0021414E">
        <w:rPr>
          <w:rFonts w:ascii="Arial" w:hAnsi="Arial" w:cs="Arial"/>
          <w:color w:val="242121"/>
        </w:rPr>
        <w:t xml:space="preserve"> Dlamini’s version, the P</w:t>
      </w:r>
      <w:r w:rsidR="00B51EA3">
        <w:rPr>
          <w:rFonts w:ascii="Arial" w:hAnsi="Arial" w:cs="Arial"/>
          <w:color w:val="242121"/>
        </w:rPr>
        <w:t>P</w:t>
      </w:r>
      <w:r w:rsidR="0021414E">
        <w:rPr>
          <w:rFonts w:ascii="Arial" w:hAnsi="Arial" w:cs="Arial"/>
          <w:color w:val="242121"/>
        </w:rPr>
        <w:t xml:space="preserve"> was required to file an answering affidavit in these proceedings by no later than 9 June 2022, the date on which </w:t>
      </w:r>
      <w:proofErr w:type="spellStart"/>
      <w:r w:rsidR="008A7EED">
        <w:rPr>
          <w:rFonts w:ascii="Arial" w:hAnsi="Arial" w:cs="Arial"/>
          <w:color w:val="242121"/>
        </w:rPr>
        <w:t>Ms</w:t>
      </w:r>
      <w:proofErr w:type="spellEnd"/>
      <w:r w:rsidR="008A7EED">
        <w:rPr>
          <w:rFonts w:ascii="Arial" w:hAnsi="Arial" w:cs="Arial"/>
          <w:color w:val="242121"/>
        </w:rPr>
        <w:t xml:space="preserve"> </w:t>
      </w:r>
      <w:proofErr w:type="spellStart"/>
      <w:r w:rsidR="008A7EED">
        <w:rPr>
          <w:rFonts w:ascii="Arial" w:hAnsi="Arial" w:cs="Arial"/>
          <w:color w:val="242121"/>
        </w:rPr>
        <w:t>Mkhwebane</w:t>
      </w:r>
      <w:proofErr w:type="spellEnd"/>
      <w:r w:rsidR="0021414E">
        <w:rPr>
          <w:rFonts w:ascii="Arial" w:hAnsi="Arial" w:cs="Arial"/>
          <w:color w:val="242121"/>
        </w:rPr>
        <w:t xml:space="preserve"> was suspended.  No reason is advanced why her affidavit</w:t>
      </w:r>
      <w:r w:rsidR="00B51EA3">
        <w:rPr>
          <w:rFonts w:ascii="Arial" w:hAnsi="Arial" w:cs="Arial"/>
          <w:color w:val="242121"/>
        </w:rPr>
        <w:t>,</w:t>
      </w:r>
      <w:r w:rsidR="0021414E">
        <w:rPr>
          <w:rFonts w:ascii="Arial" w:hAnsi="Arial" w:cs="Arial"/>
          <w:color w:val="242121"/>
        </w:rPr>
        <w:t xml:space="preserve"> which </w:t>
      </w:r>
      <w:r w:rsidR="00B51EA3">
        <w:rPr>
          <w:rFonts w:ascii="Arial" w:hAnsi="Arial" w:cs="Arial"/>
          <w:color w:val="242121"/>
        </w:rPr>
        <w:t>must have</w:t>
      </w:r>
      <w:r w:rsidR="0021414E">
        <w:rPr>
          <w:rFonts w:ascii="Arial" w:hAnsi="Arial" w:cs="Arial"/>
          <w:color w:val="242121"/>
        </w:rPr>
        <w:t xml:space="preserve"> been prepared by that time, was not filed.  In any event, her suspension provides no impediment to her attesting to an affidavit as a witness.  </w:t>
      </w:r>
      <w:r w:rsidR="00B51EA3">
        <w:rPr>
          <w:rFonts w:ascii="Arial" w:hAnsi="Arial" w:cs="Arial"/>
          <w:color w:val="242121"/>
        </w:rPr>
        <w:t>A</w:t>
      </w:r>
      <w:r w:rsidR="0021414E">
        <w:rPr>
          <w:rFonts w:ascii="Arial" w:hAnsi="Arial" w:cs="Arial"/>
          <w:color w:val="242121"/>
        </w:rPr>
        <w:t xml:space="preserve"> deponent to an affidavit in motion proceedings need not be </w:t>
      </w:r>
      <w:proofErr w:type="spellStart"/>
      <w:r w:rsidR="0021414E">
        <w:rPr>
          <w:rFonts w:ascii="Arial" w:hAnsi="Arial" w:cs="Arial"/>
          <w:color w:val="242121"/>
        </w:rPr>
        <w:t>authorised</w:t>
      </w:r>
      <w:proofErr w:type="spellEnd"/>
      <w:r w:rsidR="0021414E">
        <w:rPr>
          <w:rFonts w:ascii="Arial" w:hAnsi="Arial" w:cs="Arial"/>
          <w:color w:val="242121"/>
        </w:rPr>
        <w:t xml:space="preserve"> by the party concerned to depose to an affidavit.</w:t>
      </w:r>
      <w:r w:rsidR="0021414E">
        <w:rPr>
          <w:rStyle w:val="FootnoteReference"/>
          <w:rFonts w:ascii="Arial" w:hAnsi="Arial" w:cs="Arial"/>
          <w:color w:val="242121"/>
        </w:rPr>
        <w:footnoteReference w:id="15"/>
      </w:r>
      <w:r w:rsidR="00B51EA3">
        <w:rPr>
          <w:rFonts w:ascii="Arial" w:hAnsi="Arial" w:cs="Arial"/>
          <w:color w:val="242121"/>
        </w:rPr>
        <w:t xml:space="preserve">  After her suspension from office</w:t>
      </w:r>
      <w:r w:rsidR="006559E6">
        <w:rPr>
          <w:rFonts w:ascii="Arial" w:hAnsi="Arial" w:cs="Arial"/>
          <w:color w:val="242121"/>
        </w:rPr>
        <w:t>,</w:t>
      </w:r>
      <w:r w:rsidR="00B51EA3">
        <w:rPr>
          <w:rFonts w:ascii="Arial" w:hAnsi="Arial" w:cs="Arial"/>
          <w:color w:val="242121"/>
        </w:rPr>
        <w:t xml:space="preserve"> she </w:t>
      </w:r>
      <w:r w:rsidR="007A4121">
        <w:rPr>
          <w:rFonts w:ascii="Arial" w:hAnsi="Arial" w:cs="Arial"/>
          <w:color w:val="242121"/>
        </w:rPr>
        <w:t>was</w:t>
      </w:r>
      <w:r w:rsidR="00B51EA3">
        <w:rPr>
          <w:rFonts w:ascii="Arial" w:hAnsi="Arial" w:cs="Arial"/>
          <w:color w:val="242121"/>
        </w:rPr>
        <w:t xml:space="preserve"> no longer the litigating party</w:t>
      </w:r>
      <w:r w:rsidR="008A7EED">
        <w:rPr>
          <w:rFonts w:ascii="Arial" w:hAnsi="Arial" w:cs="Arial"/>
          <w:color w:val="242121"/>
        </w:rPr>
        <w:t xml:space="preserve"> and the proceedings continue in the name of the acting PP</w:t>
      </w:r>
      <w:r w:rsidR="00B51EA3">
        <w:rPr>
          <w:rFonts w:ascii="Arial" w:hAnsi="Arial" w:cs="Arial"/>
          <w:color w:val="242121"/>
        </w:rPr>
        <w:t>, but there can be no reason to disqualify her as a witness in matters within her personal knowledge.</w:t>
      </w:r>
      <w:r w:rsidR="001E2989">
        <w:rPr>
          <w:rFonts w:ascii="Arial" w:hAnsi="Arial" w:cs="Arial"/>
          <w:color w:val="242121"/>
        </w:rPr>
        <w:t xml:space="preserve">  The explanation advanced </w:t>
      </w:r>
      <w:r w:rsidR="008A7EED">
        <w:rPr>
          <w:rFonts w:ascii="Arial" w:hAnsi="Arial" w:cs="Arial"/>
          <w:color w:val="242121"/>
        </w:rPr>
        <w:t>does not</w:t>
      </w:r>
      <w:r w:rsidR="001E2989">
        <w:rPr>
          <w:rFonts w:ascii="Arial" w:hAnsi="Arial" w:cs="Arial"/>
          <w:color w:val="242121"/>
        </w:rPr>
        <w:t xml:space="preserve"> withstand scrutiny.  </w:t>
      </w:r>
    </w:p>
    <w:p w14:paraId="2E6EC5B7" w14:textId="77777777" w:rsidR="006B5DEA" w:rsidRDefault="006B5DEA" w:rsidP="008231CE">
      <w:pPr>
        <w:pStyle w:val="ListParagraph"/>
        <w:spacing w:after="0" w:line="480" w:lineRule="auto"/>
        <w:ind w:left="0"/>
        <w:jc w:val="both"/>
        <w:rPr>
          <w:rFonts w:ascii="Arial" w:hAnsi="Arial" w:cs="Arial"/>
        </w:rPr>
      </w:pPr>
    </w:p>
    <w:p w14:paraId="6AA3BCA5" w14:textId="4F511010" w:rsidR="006B5DEA"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[25]</w:t>
      </w:r>
      <w:r w:rsidRPr="001550AC">
        <w:rPr>
          <w:rFonts w:ascii="Arial" w:hAnsi="Arial" w:cs="Arial"/>
          <w:color w:val="000000" w:themeColor="text1"/>
        </w:rPr>
        <w:tab/>
      </w:r>
      <w:r w:rsidR="006B5DEA" w:rsidRPr="001550AC">
        <w:rPr>
          <w:rFonts w:ascii="Arial" w:hAnsi="Arial" w:cs="Arial"/>
        </w:rPr>
        <w:t>In respect of the third contention</w:t>
      </w:r>
      <w:r w:rsidR="00B51EA3">
        <w:rPr>
          <w:rFonts w:ascii="Arial" w:hAnsi="Arial" w:cs="Arial"/>
        </w:rPr>
        <w:t>,</w:t>
      </w:r>
      <w:r w:rsidR="006B5DEA" w:rsidRPr="001550AC">
        <w:rPr>
          <w:rFonts w:ascii="Arial" w:hAnsi="Arial" w:cs="Arial"/>
        </w:rPr>
        <w:t xml:space="preserve"> </w:t>
      </w:r>
      <w:r w:rsidR="001E2989">
        <w:rPr>
          <w:rFonts w:ascii="Arial" w:hAnsi="Arial" w:cs="Arial"/>
        </w:rPr>
        <w:t>r</w:t>
      </w:r>
      <w:r w:rsidR="006B5DEA" w:rsidRPr="001550AC">
        <w:rPr>
          <w:rFonts w:ascii="Arial" w:hAnsi="Arial" w:cs="Arial"/>
        </w:rPr>
        <w:t>ule 6(15) provides that a court may</w:t>
      </w:r>
      <w:r w:rsidR="00B51EA3">
        <w:rPr>
          <w:rFonts w:ascii="Arial" w:hAnsi="Arial" w:cs="Arial"/>
        </w:rPr>
        <w:t>,</w:t>
      </w:r>
      <w:r w:rsidR="006B5DEA" w:rsidRPr="001550AC">
        <w:rPr>
          <w:rFonts w:ascii="Arial" w:hAnsi="Arial" w:cs="Arial"/>
        </w:rPr>
        <w:t xml:space="preserve"> on application</w:t>
      </w:r>
      <w:r w:rsidR="00B51EA3">
        <w:rPr>
          <w:rFonts w:ascii="Arial" w:hAnsi="Arial" w:cs="Arial"/>
        </w:rPr>
        <w:t>,</w:t>
      </w:r>
      <w:r w:rsidR="006B5DEA" w:rsidRPr="001550AC">
        <w:rPr>
          <w:rFonts w:ascii="Arial" w:hAnsi="Arial" w:cs="Arial"/>
        </w:rPr>
        <w:t xml:space="preserve"> </w:t>
      </w:r>
      <w:r w:rsidR="00B51EA3">
        <w:rPr>
          <w:rFonts w:ascii="Arial" w:hAnsi="Arial" w:cs="Arial"/>
        </w:rPr>
        <w:t>strike</w:t>
      </w:r>
      <w:r w:rsidR="006B5DEA" w:rsidRPr="001550AC">
        <w:rPr>
          <w:rFonts w:ascii="Arial" w:hAnsi="Arial" w:cs="Arial"/>
        </w:rPr>
        <w:t xml:space="preserve"> out any matter which is scandalous, </w:t>
      </w:r>
      <w:proofErr w:type="gramStart"/>
      <w:r w:rsidR="006B5DEA" w:rsidRPr="001550AC">
        <w:rPr>
          <w:rFonts w:ascii="Arial" w:hAnsi="Arial" w:cs="Arial"/>
        </w:rPr>
        <w:t>vexatious</w:t>
      </w:r>
      <w:proofErr w:type="gramEnd"/>
      <w:r w:rsidR="006B5DEA" w:rsidRPr="001550AC">
        <w:rPr>
          <w:rFonts w:ascii="Arial" w:hAnsi="Arial" w:cs="Arial"/>
        </w:rPr>
        <w:t xml:space="preserve"> or irrelevant</w:t>
      </w:r>
      <w:r w:rsidR="00B51EA3">
        <w:rPr>
          <w:rFonts w:ascii="Arial" w:hAnsi="Arial" w:cs="Arial"/>
        </w:rPr>
        <w:t xml:space="preserve"> from an affidavit</w:t>
      </w:r>
      <w:r w:rsidR="006B5DEA" w:rsidRPr="001550AC">
        <w:rPr>
          <w:rFonts w:ascii="Arial" w:hAnsi="Arial" w:cs="Arial"/>
        </w:rPr>
        <w:t>, with an appropriate order as to costs.  The rule stipulates that a court may not grant such an application unless it is satisfied that the applicant will be prejudice</w:t>
      </w:r>
      <w:r w:rsidR="00BA4791">
        <w:rPr>
          <w:rFonts w:ascii="Arial" w:hAnsi="Arial" w:cs="Arial"/>
        </w:rPr>
        <w:t>d</w:t>
      </w:r>
      <w:r w:rsidR="006B5DEA" w:rsidRPr="001550AC">
        <w:rPr>
          <w:rFonts w:ascii="Arial" w:hAnsi="Arial" w:cs="Arial"/>
        </w:rPr>
        <w:t xml:space="preserve"> if the </w:t>
      </w:r>
      <w:r w:rsidR="006B5DEA" w:rsidRPr="001550AC">
        <w:rPr>
          <w:rFonts w:ascii="Arial" w:hAnsi="Arial" w:cs="Arial"/>
        </w:rPr>
        <w:lastRenderedPageBreak/>
        <w:t>application is not granted.  The difficulty for the P</w:t>
      </w:r>
      <w:r w:rsidR="00B51EA3">
        <w:rPr>
          <w:rFonts w:ascii="Arial" w:hAnsi="Arial" w:cs="Arial"/>
        </w:rPr>
        <w:t>P</w:t>
      </w:r>
      <w:r w:rsidR="006B5DEA" w:rsidRPr="001550AC">
        <w:rPr>
          <w:rFonts w:ascii="Arial" w:hAnsi="Arial" w:cs="Arial"/>
        </w:rPr>
        <w:t xml:space="preserve"> is that the subrule is not exhaustive o</w:t>
      </w:r>
      <w:r w:rsidR="00B51EA3">
        <w:rPr>
          <w:rFonts w:ascii="Arial" w:hAnsi="Arial" w:cs="Arial"/>
        </w:rPr>
        <w:t>f</w:t>
      </w:r>
      <w:r w:rsidR="006B5DEA" w:rsidRPr="001550AC">
        <w:rPr>
          <w:rFonts w:ascii="Arial" w:hAnsi="Arial" w:cs="Arial"/>
        </w:rPr>
        <w:t xml:space="preserve"> the grounds on which the application to strike out may be brought.</w:t>
      </w:r>
      <w:r w:rsidR="006B5DEA" w:rsidRPr="001550AC">
        <w:rPr>
          <w:rStyle w:val="FootnoteReference"/>
          <w:rFonts w:ascii="Arial" w:hAnsi="Arial" w:cs="Arial"/>
        </w:rPr>
        <w:footnoteReference w:id="16"/>
      </w:r>
      <w:r w:rsidR="006B5DEA" w:rsidRPr="001550AC">
        <w:rPr>
          <w:rFonts w:ascii="Arial" w:hAnsi="Arial" w:cs="Arial"/>
        </w:rPr>
        <w:t xml:space="preserve">  Inadmissible hearsay evidence may always be struck out</w:t>
      </w:r>
      <w:r w:rsidR="00B51EA3">
        <w:rPr>
          <w:rFonts w:ascii="Arial" w:hAnsi="Arial" w:cs="Arial"/>
        </w:rPr>
        <w:t xml:space="preserve">, simply because it is </w:t>
      </w:r>
      <w:r w:rsidR="00061749">
        <w:rPr>
          <w:rFonts w:ascii="Arial" w:hAnsi="Arial" w:cs="Arial"/>
        </w:rPr>
        <w:t>inadmissible</w:t>
      </w:r>
      <w:r w:rsidR="006B5DEA" w:rsidRPr="001550AC">
        <w:rPr>
          <w:rFonts w:ascii="Arial" w:hAnsi="Arial" w:cs="Arial"/>
        </w:rPr>
        <w:t>.</w:t>
      </w:r>
      <w:r w:rsidR="006B5DEA" w:rsidRPr="001550AC">
        <w:rPr>
          <w:rStyle w:val="FootnoteReference"/>
          <w:rFonts w:ascii="Arial" w:hAnsi="Arial" w:cs="Arial"/>
        </w:rPr>
        <w:footnoteReference w:id="17"/>
      </w:r>
      <w:r w:rsidR="006B5DEA" w:rsidRPr="001550AC">
        <w:rPr>
          <w:rFonts w:ascii="Arial" w:hAnsi="Arial" w:cs="Arial"/>
        </w:rPr>
        <w:t xml:space="preserve">  It may be struck out </w:t>
      </w:r>
      <w:r w:rsidR="00E60A44">
        <w:rPr>
          <w:rFonts w:ascii="Arial" w:hAnsi="Arial" w:cs="Arial"/>
        </w:rPr>
        <w:t>even where no prejudice can be shown</w:t>
      </w:r>
      <w:r w:rsidR="006B5DEA" w:rsidRPr="001550AC">
        <w:rPr>
          <w:rFonts w:ascii="Arial" w:hAnsi="Arial" w:cs="Arial"/>
        </w:rPr>
        <w:t>.</w:t>
      </w:r>
      <w:r w:rsidR="006B5DEA" w:rsidRPr="001550AC">
        <w:rPr>
          <w:rStyle w:val="FootnoteReference"/>
          <w:rFonts w:ascii="Arial" w:hAnsi="Arial" w:cs="Arial"/>
        </w:rPr>
        <w:footnoteReference w:id="18"/>
      </w:r>
    </w:p>
    <w:p w14:paraId="2688E481" w14:textId="77777777" w:rsidR="003C3028" w:rsidRPr="001550AC" w:rsidRDefault="003C3028" w:rsidP="008231CE">
      <w:pPr>
        <w:pStyle w:val="ListParagraph"/>
        <w:spacing w:after="0" w:line="480" w:lineRule="auto"/>
        <w:ind w:left="0"/>
        <w:jc w:val="both"/>
        <w:rPr>
          <w:rFonts w:ascii="Arial" w:hAnsi="Arial" w:cs="Arial"/>
          <w:sz w:val="24"/>
          <w:szCs w:val="24"/>
        </w:rPr>
      </w:pPr>
    </w:p>
    <w:p w14:paraId="6CB2E52E" w14:textId="383473F3" w:rsidR="003C3028"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[26]</w:t>
      </w:r>
      <w:r>
        <w:rPr>
          <w:rFonts w:ascii="Arial" w:hAnsi="Arial" w:cs="Arial"/>
          <w:color w:val="000000" w:themeColor="text1"/>
        </w:rPr>
        <w:tab/>
      </w:r>
      <w:r w:rsidR="003C3028" w:rsidRPr="001550AC">
        <w:rPr>
          <w:rFonts w:ascii="Arial" w:hAnsi="Arial" w:cs="Arial"/>
        </w:rPr>
        <w:t xml:space="preserve">I am accordingly satisfied that </w:t>
      </w:r>
      <w:proofErr w:type="spellStart"/>
      <w:r w:rsidR="007A4121">
        <w:rPr>
          <w:rFonts w:ascii="Arial" w:hAnsi="Arial" w:cs="Arial"/>
        </w:rPr>
        <w:t>Mr</w:t>
      </w:r>
      <w:proofErr w:type="spellEnd"/>
      <w:r w:rsidR="007A4121">
        <w:rPr>
          <w:rFonts w:ascii="Arial" w:hAnsi="Arial" w:cs="Arial"/>
        </w:rPr>
        <w:t xml:space="preserve"> </w:t>
      </w:r>
      <w:proofErr w:type="spellStart"/>
      <w:r w:rsidR="007A4121">
        <w:rPr>
          <w:rFonts w:ascii="Arial" w:hAnsi="Arial" w:cs="Arial"/>
        </w:rPr>
        <w:t>Madikizela’s</w:t>
      </w:r>
      <w:proofErr w:type="spellEnd"/>
      <w:r w:rsidR="007A4121">
        <w:rPr>
          <w:rFonts w:ascii="Arial" w:hAnsi="Arial" w:cs="Arial"/>
        </w:rPr>
        <w:t xml:space="preserve"> </w:t>
      </w:r>
      <w:r w:rsidR="003C3028" w:rsidRPr="001550AC">
        <w:rPr>
          <w:rFonts w:ascii="Arial" w:hAnsi="Arial" w:cs="Arial"/>
        </w:rPr>
        <w:t>application to strike out inadmissible hearsay evidence in the affidavits of Dlamini and Roberts w</w:t>
      </w:r>
      <w:r w:rsidR="007A4121">
        <w:rPr>
          <w:rFonts w:ascii="Arial" w:hAnsi="Arial" w:cs="Arial"/>
        </w:rPr>
        <w:t>as</w:t>
      </w:r>
      <w:r w:rsidR="003C3028" w:rsidRPr="001550AC">
        <w:rPr>
          <w:rFonts w:ascii="Arial" w:hAnsi="Arial" w:cs="Arial"/>
        </w:rPr>
        <w:t xml:space="preserve"> well-founded.</w:t>
      </w:r>
    </w:p>
    <w:p w14:paraId="260EF805" w14:textId="77777777" w:rsidR="00E00FC9" w:rsidRDefault="00E00FC9" w:rsidP="00E00FC9">
      <w:pPr>
        <w:pStyle w:val="ListParagraph"/>
        <w:rPr>
          <w:rFonts w:ascii="Arial" w:hAnsi="Arial" w:cs="Arial"/>
        </w:rPr>
      </w:pPr>
    </w:p>
    <w:p w14:paraId="274D9748" w14:textId="27385C2A" w:rsidR="00E00FC9"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[27]</w:t>
      </w:r>
      <w:r>
        <w:rPr>
          <w:rFonts w:ascii="Arial" w:hAnsi="Arial" w:cs="Arial"/>
          <w:color w:val="000000" w:themeColor="text1"/>
        </w:rPr>
        <w:tab/>
      </w:r>
      <w:r w:rsidR="0016720B">
        <w:rPr>
          <w:rFonts w:ascii="Arial" w:hAnsi="Arial" w:cs="Arial"/>
        </w:rPr>
        <w:t xml:space="preserve">The applicants in case number 818/2021 also launched an </w:t>
      </w:r>
      <w:r w:rsidR="00963609">
        <w:rPr>
          <w:rFonts w:ascii="Arial" w:hAnsi="Arial" w:cs="Arial"/>
        </w:rPr>
        <w:t>extensive</w:t>
      </w:r>
      <w:r w:rsidR="0016720B">
        <w:rPr>
          <w:rFonts w:ascii="Arial" w:hAnsi="Arial" w:cs="Arial"/>
        </w:rPr>
        <w:t xml:space="preserve"> application to strike out material in the answering affidavit of </w:t>
      </w:r>
      <w:proofErr w:type="spellStart"/>
      <w:r w:rsidR="0016720B">
        <w:rPr>
          <w:rFonts w:ascii="Arial" w:hAnsi="Arial" w:cs="Arial"/>
        </w:rPr>
        <w:t>Mr</w:t>
      </w:r>
      <w:proofErr w:type="spellEnd"/>
      <w:r w:rsidR="0016720B">
        <w:rPr>
          <w:rFonts w:ascii="Arial" w:hAnsi="Arial" w:cs="Arial"/>
        </w:rPr>
        <w:t xml:space="preserve"> Dlamini on the grounds </w:t>
      </w:r>
      <w:r w:rsidR="00963609">
        <w:rPr>
          <w:rFonts w:ascii="Arial" w:hAnsi="Arial" w:cs="Arial"/>
        </w:rPr>
        <w:t>that</w:t>
      </w:r>
      <w:r w:rsidR="0016720B">
        <w:rPr>
          <w:rFonts w:ascii="Arial" w:hAnsi="Arial" w:cs="Arial"/>
        </w:rPr>
        <w:t xml:space="preserve"> they “not only constitute hearsay evidence for which no justification for tendering has been laid, but it is improper for the </w:t>
      </w:r>
      <w:r w:rsidR="00963609">
        <w:rPr>
          <w:rFonts w:ascii="Arial" w:hAnsi="Arial" w:cs="Arial"/>
        </w:rPr>
        <w:t>deponent</w:t>
      </w:r>
      <w:r w:rsidR="0016720B">
        <w:rPr>
          <w:rFonts w:ascii="Arial" w:hAnsi="Arial" w:cs="Arial"/>
        </w:rPr>
        <w:t xml:space="preserve"> to the answering affidavit to tender that kind of evidence”.  The applicants persisted in</w:t>
      </w:r>
      <w:r w:rsidR="00963609">
        <w:rPr>
          <w:rFonts w:ascii="Arial" w:hAnsi="Arial" w:cs="Arial"/>
        </w:rPr>
        <w:t xml:space="preserve"> t</w:t>
      </w:r>
      <w:r w:rsidR="0016720B">
        <w:rPr>
          <w:rFonts w:ascii="Arial" w:hAnsi="Arial" w:cs="Arial"/>
        </w:rPr>
        <w:t>heir heads of argument with the application, but no argument was presented to me on this issue.</w:t>
      </w:r>
      <w:r w:rsidR="00812FE3">
        <w:rPr>
          <w:rFonts w:ascii="Arial" w:hAnsi="Arial" w:cs="Arial"/>
        </w:rPr>
        <w:t xml:space="preserve"> Suffice it to say that the vast majority of the offending material </w:t>
      </w:r>
      <w:r w:rsidR="00C56391">
        <w:rPr>
          <w:rFonts w:ascii="Arial" w:hAnsi="Arial" w:cs="Arial"/>
        </w:rPr>
        <w:t xml:space="preserve">to which they objected </w:t>
      </w:r>
      <w:r w:rsidR="00812FE3">
        <w:rPr>
          <w:rFonts w:ascii="Arial" w:hAnsi="Arial" w:cs="Arial"/>
        </w:rPr>
        <w:t>does not constitute hearsay evidence at all and no reason has been advanced in the notice to strike out, the heads of argument</w:t>
      </w:r>
      <w:r w:rsidR="006559E6">
        <w:rPr>
          <w:rFonts w:ascii="Arial" w:hAnsi="Arial" w:cs="Arial"/>
        </w:rPr>
        <w:t>,</w:t>
      </w:r>
      <w:r w:rsidR="00812FE3">
        <w:rPr>
          <w:rFonts w:ascii="Arial" w:hAnsi="Arial" w:cs="Arial"/>
        </w:rPr>
        <w:t xml:space="preserve"> or in the argument for the contention that it is improper to tender such evidence. </w:t>
      </w:r>
      <w:r w:rsidR="00963609">
        <w:rPr>
          <w:rFonts w:ascii="Arial" w:hAnsi="Arial" w:cs="Arial"/>
        </w:rPr>
        <w:t xml:space="preserve">  I</w:t>
      </w:r>
      <w:r w:rsidR="00233DE6">
        <w:rPr>
          <w:rFonts w:ascii="Arial" w:hAnsi="Arial" w:cs="Arial"/>
        </w:rPr>
        <w:t xml:space="preserve"> do</w:t>
      </w:r>
      <w:r w:rsidR="00963609">
        <w:rPr>
          <w:rFonts w:ascii="Arial" w:hAnsi="Arial" w:cs="Arial"/>
        </w:rPr>
        <w:t xml:space="preserve"> not consider that a proper case has been made for the striking-out in case number 818/2021.</w:t>
      </w:r>
    </w:p>
    <w:p w14:paraId="66B17939" w14:textId="77777777" w:rsidR="00777C11" w:rsidRDefault="00777C11" w:rsidP="00777C11">
      <w:pPr>
        <w:pStyle w:val="NormalWeb"/>
        <w:shd w:val="clear" w:color="auto" w:fill="FFFFFF"/>
        <w:spacing w:before="0" w:beforeAutospacing="0" w:after="0" w:afterAutospacing="0" w:line="480" w:lineRule="auto"/>
        <w:contextualSpacing/>
        <w:jc w:val="both"/>
        <w:rPr>
          <w:rFonts w:ascii="Arial" w:hAnsi="Arial" w:cs="Arial"/>
        </w:rPr>
      </w:pPr>
    </w:p>
    <w:p w14:paraId="41847844" w14:textId="77777777" w:rsidR="005B0C02" w:rsidRDefault="005B0C02" w:rsidP="00777C11">
      <w:pPr>
        <w:pStyle w:val="NormalWeb"/>
        <w:shd w:val="clear" w:color="auto" w:fill="FFFFFF"/>
        <w:spacing w:before="0" w:beforeAutospacing="0" w:after="0" w:afterAutospacing="0" w:line="480" w:lineRule="auto"/>
        <w:contextualSpacing/>
        <w:jc w:val="both"/>
        <w:rPr>
          <w:rFonts w:ascii="Arial" w:hAnsi="Arial" w:cs="Arial"/>
        </w:rPr>
      </w:pPr>
    </w:p>
    <w:p w14:paraId="1206AC83" w14:textId="77777777" w:rsidR="00ED09CC" w:rsidRPr="001550AC" w:rsidRDefault="008A7EED" w:rsidP="00777C11">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u w:val="single"/>
        </w:rPr>
        <w:lastRenderedPageBreak/>
        <w:t>Interpretation of legislation</w:t>
      </w:r>
    </w:p>
    <w:p w14:paraId="2514CEF8" w14:textId="3338DB0D" w:rsidR="0008284E"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[28]</w:t>
      </w:r>
      <w:r w:rsidRPr="001550AC">
        <w:rPr>
          <w:rFonts w:ascii="Arial" w:hAnsi="Arial" w:cs="Arial"/>
          <w:color w:val="000000" w:themeColor="text1"/>
        </w:rPr>
        <w:tab/>
      </w:r>
      <w:r w:rsidR="0008284E" w:rsidRPr="001550AC">
        <w:rPr>
          <w:rFonts w:ascii="Arial" w:hAnsi="Arial" w:cs="Arial"/>
        </w:rPr>
        <w:t>In presenting the</w:t>
      </w:r>
      <w:r w:rsidR="008A7EED">
        <w:rPr>
          <w:rFonts w:ascii="Arial" w:hAnsi="Arial" w:cs="Arial"/>
        </w:rPr>
        <w:t>ir</w:t>
      </w:r>
      <w:r w:rsidR="0008284E" w:rsidRPr="001550AC">
        <w:rPr>
          <w:rFonts w:ascii="Arial" w:hAnsi="Arial" w:cs="Arial"/>
        </w:rPr>
        <w:t xml:space="preserve"> argument</w:t>
      </w:r>
      <w:r w:rsidR="00A739A4">
        <w:rPr>
          <w:rFonts w:ascii="Arial" w:hAnsi="Arial" w:cs="Arial"/>
        </w:rPr>
        <w:t xml:space="preserve"> t</w:t>
      </w:r>
      <w:r w:rsidR="00C641F0">
        <w:rPr>
          <w:rFonts w:ascii="Arial" w:hAnsi="Arial" w:cs="Arial"/>
        </w:rPr>
        <w:t xml:space="preserve">he applicants </w:t>
      </w:r>
      <w:r w:rsidR="0008284E" w:rsidRPr="001550AC">
        <w:rPr>
          <w:rFonts w:ascii="Arial" w:hAnsi="Arial" w:cs="Arial"/>
        </w:rPr>
        <w:t xml:space="preserve">contended that </w:t>
      </w:r>
      <w:r w:rsidR="00C641F0">
        <w:rPr>
          <w:rFonts w:ascii="Arial" w:hAnsi="Arial" w:cs="Arial"/>
        </w:rPr>
        <w:t>the PP</w:t>
      </w:r>
      <w:r w:rsidR="0008284E" w:rsidRPr="001550AC">
        <w:rPr>
          <w:rFonts w:ascii="Arial" w:hAnsi="Arial" w:cs="Arial"/>
        </w:rPr>
        <w:t xml:space="preserve"> had acted unlawfully in referring her report to the</w:t>
      </w:r>
      <w:r w:rsidR="00C641F0">
        <w:rPr>
          <w:rFonts w:ascii="Arial" w:hAnsi="Arial" w:cs="Arial"/>
        </w:rPr>
        <w:t xml:space="preserve"> DPCI</w:t>
      </w:r>
      <w:r w:rsidR="0008284E" w:rsidRPr="001550AC">
        <w:rPr>
          <w:rFonts w:ascii="Arial" w:hAnsi="Arial" w:cs="Arial"/>
        </w:rPr>
        <w:t xml:space="preserve"> in terms of s 6(4)(c)(ii) of the Public Protector Act</w:t>
      </w:r>
      <w:r w:rsidR="00C641F0">
        <w:rPr>
          <w:rFonts w:ascii="Arial" w:hAnsi="Arial" w:cs="Arial"/>
        </w:rPr>
        <w:t xml:space="preserve"> (the Act)</w:t>
      </w:r>
      <w:r w:rsidR="0008284E" w:rsidRPr="001550AC">
        <w:rPr>
          <w:rFonts w:ascii="Arial" w:hAnsi="Arial" w:cs="Arial"/>
        </w:rPr>
        <w:t xml:space="preserve"> and that she exceeded her powers in directing the DPCI </w:t>
      </w:r>
      <w:r w:rsidR="00C641F0">
        <w:rPr>
          <w:rFonts w:ascii="Arial" w:hAnsi="Arial" w:cs="Arial"/>
        </w:rPr>
        <w:t>to act on her recommendation</w:t>
      </w:r>
      <w:r w:rsidR="0008284E" w:rsidRPr="001550AC">
        <w:rPr>
          <w:rFonts w:ascii="Arial" w:hAnsi="Arial" w:cs="Arial"/>
        </w:rPr>
        <w:t>.  They contend</w:t>
      </w:r>
      <w:r w:rsidR="008A7EED">
        <w:rPr>
          <w:rFonts w:ascii="Arial" w:hAnsi="Arial" w:cs="Arial"/>
        </w:rPr>
        <w:t>,</w:t>
      </w:r>
      <w:r w:rsidR="0008284E" w:rsidRPr="001550AC">
        <w:rPr>
          <w:rFonts w:ascii="Arial" w:hAnsi="Arial" w:cs="Arial"/>
        </w:rPr>
        <w:t xml:space="preserve"> too, that she exceeded her jurisdictional powers </w:t>
      </w:r>
      <w:r w:rsidR="00C641F0">
        <w:rPr>
          <w:rFonts w:ascii="Arial" w:hAnsi="Arial" w:cs="Arial"/>
        </w:rPr>
        <w:t>by</w:t>
      </w:r>
      <w:r w:rsidR="0008284E" w:rsidRPr="001550AC">
        <w:rPr>
          <w:rFonts w:ascii="Arial" w:hAnsi="Arial" w:cs="Arial"/>
        </w:rPr>
        <w:t xml:space="preserve"> investigating matters</w:t>
      </w:r>
      <w:r w:rsidR="000D3446" w:rsidRPr="001550AC">
        <w:rPr>
          <w:rFonts w:ascii="Arial" w:hAnsi="Arial" w:cs="Arial"/>
        </w:rPr>
        <w:t xml:space="preserve"> which fell beyond the scope of her authority and the affairs of the State.</w:t>
      </w:r>
    </w:p>
    <w:p w14:paraId="2A54CE78" w14:textId="77777777" w:rsidR="000D3446" w:rsidRPr="001550AC" w:rsidRDefault="000D3446" w:rsidP="008231CE">
      <w:pPr>
        <w:pStyle w:val="ListParagraph"/>
        <w:spacing w:after="0" w:line="480" w:lineRule="auto"/>
        <w:ind w:left="0"/>
        <w:jc w:val="both"/>
        <w:rPr>
          <w:rFonts w:ascii="Arial" w:hAnsi="Arial" w:cs="Arial"/>
          <w:sz w:val="24"/>
          <w:szCs w:val="24"/>
        </w:rPr>
      </w:pPr>
    </w:p>
    <w:p w14:paraId="1281AB49" w14:textId="7D760208" w:rsidR="000D3446"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[29]</w:t>
      </w:r>
      <w:r w:rsidRPr="001550AC">
        <w:rPr>
          <w:rFonts w:ascii="Arial" w:hAnsi="Arial" w:cs="Arial"/>
          <w:color w:val="000000" w:themeColor="text1"/>
        </w:rPr>
        <w:tab/>
      </w:r>
      <w:r w:rsidR="00C641F0">
        <w:rPr>
          <w:rFonts w:ascii="Arial" w:hAnsi="Arial" w:cs="Arial"/>
        </w:rPr>
        <w:t xml:space="preserve">The arguments rely primarily on the interpretation of the </w:t>
      </w:r>
      <w:r w:rsidR="000D3446" w:rsidRPr="001550AC">
        <w:rPr>
          <w:rFonts w:ascii="Arial" w:hAnsi="Arial" w:cs="Arial"/>
        </w:rPr>
        <w:t xml:space="preserve">legislation which finds application to the </w:t>
      </w:r>
      <w:r w:rsidR="00C641F0">
        <w:rPr>
          <w:rFonts w:ascii="Arial" w:hAnsi="Arial" w:cs="Arial"/>
        </w:rPr>
        <w:t>investigations of the PP</w:t>
      </w:r>
      <w:r w:rsidR="00A739A4">
        <w:rPr>
          <w:rFonts w:ascii="Arial" w:hAnsi="Arial" w:cs="Arial"/>
        </w:rPr>
        <w:t>.  As</w:t>
      </w:r>
      <w:r w:rsidR="00C641F0">
        <w:rPr>
          <w:rFonts w:ascii="Arial" w:hAnsi="Arial" w:cs="Arial"/>
        </w:rPr>
        <w:t xml:space="preserve"> </w:t>
      </w:r>
      <w:r w:rsidR="00BF2B01">
        <w:rPr>
          <w:rFonts w:ascii="Arial" w:hAnsi="Arial" w:cs="Arial"/>
        </w:rPr>
        <w:t xml:space="preserve">adumbrated </w:t>
      </w:r>
      <w:r w:rsidR="007C4D21">
        <w:rPr>
          <w:rFonts w:ascii="Arial" w:hAnsi="Arial" w:cs="Arial"/>
        </w:rPr>
        <w:t>earlier</w:t>
      </w:r>
      <w:r w:rsidR="00C641F0">
        <w:rPr>
          <w:rFonts w:ascii="Arial" w:hAnsi="Arial" w:cs="Arial"/>
        </w:rPr>
        <w:t>,</w:t>
      </w:r>
      <w:r w:rsidR="000D3446" w:rsidRPr="001550AC">
        <w:rPr>
          <w:rFonts w:ascii="Arial" w:hAnsi="Arial" w:cs="Arial"/>
        </w:rPr>
        <w:t xml:space="preserve"> </w:t>
      </w:r>
      <w:r w:rsidR="008A7EED">
        <w:rPr>
          <w:rFonts w:ascii="Arial" w:hAnsi="Arial" w:cs="Arial"/>
        </w:rPr>
        <w:t xml:space="preserve">the </w:t>
      </w:r>
      <w:r w:rsidR="000D3446" w:rsidRPr="001550AC">
        <w:rPr>
          <w:rFonts w:ascii="Arial" w:hAnsi="Arial" w:cs="Arial"/>
        </w:rPr>
        <w:t>applicant</w:t>
      </w:r>
      <w:r w:rsidR="009F66F5" w:rsidRPr="001550AC">
        <w:rPr>
          <w:rFonts w:ascii="Arial" w:hAnsi="Arial" w:cs="Arial"/>
        </w:rPr>
        <w:t>s</w:t>
      </w:r>
      <w:r w:rsidR="000D3446" w:rsidRPr="001550AC">
        <w:rPr>
          <w:rFonts w:ascii="Arial" w:hAnsi="Arial" w:cs="Arial"/>
        </w:rPr>
        <w:t xml:space="preserve"> seek an order declaring </w:t>
      </w:r>
      <w:r w:rsidR="00C641F0">
        <w:rPr>
          <w:rFonts w:ascii="Arial" w:hAnsi="Arial" w:cs="Arial"/>
        </w:rPr>
        <w:t>the reports of the PP</w:t>
      </w:r>
      <w:r w:rsidR="000D3446" w:rsidRPr="001550AC">
        <w:rPr>
          <w:rFonts w:ascii="Arial" w:hAnsi="Arial" w:cs="Arial"/>
        </w:rPr>
        <w:t xml:space="preserve"> dated 28 September 2021</w:t>
      </w:r>
      <w:r w:rsidR="00C641F0">
        <w:rPr>
          <w:rFonts w:ascii="Arial" w:hAnsi="Arial" w:cs="Arial"/>
        </w:rPr>
        <w:t xml:space="preserve"> and 10 October 2021 unconstitutional and invalid</w:t>
      </w:r>
      <w:r w:rsidR="000D3446" w:rsidRPr="001550AC">
        <w:rPr>
          <w:rFonts w:ascii="Arial" w:hAnsi="Arial" w:cs="Arial"/>
        </w:rPr>
        <w:t xml:space="preserve">.  </w:t>
      </w:r>
      <w:r w:rsidR="008A7EED">
        <w:rPr>
          <w:rFonts w:ascii="Arial" w:hAnsi="Arial" w:cs="Arial"/>
        </w:rPr>
        <w:t>T</w:t>
      </w:r>
      <w:r w:rsidR="009F66F5" w:rsidRPr="001550AC">
        <w:rPr>
          <w:rFonts w:ascii="Arial" w:hAnsi="Arial" w:cs="Arial"/>
        </w:rPr>
        <w:t>here has been some debate as to whether the P</w:t>
      </w:r>
      <w:r w:rsidR="00C641F0">
        <w:rPr>
          <w:rFonts w:ascii="Arial" w:hAnsi="Arial" w:cs="Arial"/>
        </w:rPr>
        <w:t>P’s</w:t>
      </w:r>
      <w:r w:rsidR="009F66F5" w:rsidRPr="001550AC">
        <w:rPr>
          <w:rFonts w:ascii="Arial" w:hAnsi="Arial" w:cs="Arial"/>
        </w:rPr>
        <w:t xml:space="preserve"> remedial action</w:t>
      </w:r>
      <w:r w:rsidR="00650C43" w:rsidRPr="001550AC">
        <w:rPr>
          <w:rFonts w:ascii="Arial" w:hAnsi="Arial" w:cs="Arial"/>
        </w:rPr>
        <w:t xml:space="preserve"> constitutes </w:t>
      </w:r>
      <w:r w:rsidR="006809E2" w:rsidRPr="001550AC">
        <w:rPr>
          <w:rFonts w:ascii="Arial" w:hAnsi="Arial" w:cs="Arial"/>
        </w:rPr>
        <w:t>administrative</w:t>
      </w:r>
      <w:r w:rsidR="00650C43" w:rsidRPr="001550AC">
        <w:rPr>
          <w:rFonts w:ascii="Arial" w:hAnsi="Arial" w:cs="Arial"/>
        </w:rPr>
        <w:t xml:space="preserve"> action</w:t>
      </w:r>
      <w:r w:rsidR="00C641F0">
        <w:rPr>
          <w:rFonts w:ascii="Arial" w:hAnsi="Arial" w:cs="Arial"/>
        </w:rPr>
        <w:t xml:space="preserve"> in terms of the Promotion of Administrative Justice Act</w:t>
      </w:r>
      <w:r w:rsidR="002453EB">
        <w:rPr>
          <w:rFonts w:ascii="Arial" w:hAnsi="Arial" w:cs="Arial"/>
        </w:rPr>
        <w:t xml:space="preserve"> (PAJA)</w:t>
      </w:r>
      <w:r w:rsidR="002453EB">
        <w:rPr>
          <w:rStyle w:val="FootnoteReference"/>
          <w:rFonts w:ascii="Arial" w:hAnsi="Arial" w:cs="Arial"/>
        </w:rPr>
        <w:footnoteReference w:id="19"/>
      </w:r>
      <w:r w:rsidR="00C641F0">
        <w:rPr>
          <w:rFonts w:ascii="Arial" w:hAnsi="Arial" w:cs="Arial"/>
        </w:rPr>
        <w:t>.  In</w:t>
      </w:r>
      <w:r w:rsidR="00650C43" w:rsidRPr="001550AC">
        <w:rPr>
          <w:rFonts w:ascii="Arial" w:hAnsi="Arial" w:cs="Arial"/>
        </w:rPr>
        <w:t xml:space="preserve"> </w:t>
      </w:r>
      <w:r w:rsidR="00650C43" w:rsidRPr="001550AC">
        <w:rPr>
          <w:rFonts w:ascii="Arial" w:hAnsi="Arial" w:cs="Arial"/>
          <w:i/>
        </w:rPr>
        <w:t>Minister of Home Affairs</w:t>
      </w:r>
      <w:r w:rsidR="006559E6">
        <w:rPr>
          <w:rFonts w:ascii="Arial" w:hAnsi="Arial" w:cs="Arial"/>
          <w:i/>
        </w:rPr>
        <w:t>,</w:t>
      </w:r>
      <w:r w:rsidR="00650C43" w:rsidRPr="001550AC">
        <w:rPr>
          <w:rStyle w:val="FootnoteReference"/>
          <w:rFonts w:ascii="Arial" w:hAnsi="Arial" w:cs="Arial"/>
        </w:rPr>
        <w:footnoteReference w:id="20"/>
      </w:r>
      <w:r w:rsidR="00C641F0">
        <w:rPr>
          <w:rFonts w:ascii="Arial" w:hAnsi="Arial" w:cs="Arial"/>
        </w:rPr>
        <w:t xml:space="preserve"> the SCA said</w:t>
      </w:r>
      <w:r w:rsidR="005B3BDD" w:rsidRPr="001550AC">
        <w:rPr>
          <w:rFonts w:ascii="Arial" w:hAnsi="Arial" w:cs="Arial"/>
        </w:rPr>
        <w:t xml:space="preserve"> that it was not,</w:t>
      </w:r>
      <w:r w:rsidR="0005663F" w:rsidRPr="001550AC">
        <w:rPr>
          <w:rFonts w:ascii="Arial" w:hAnsi="Arial" w:cs="Arial"/>
        </w:rPr>
        <w:t xml:space="preserve"> but the decision </w:t>
      </w:r>
      <w:r w:rsidR="00A739A4">
        <w:rPr>
          <w:rFonts w:ascii="Arial" w:hAnsi="Arial" w:cs="Arial"/>
        </w:rPr>
        <w:t>has been</w:t>
      </w:r>
      <w:r w:rsidR="0005663F" w:rsidRPr="001550AC">
        <w:rPr>
          <w:rFonts w:ascii="Arial" w:hAnsi="Arial" w:cs="Arial"/>
        </w:rPr>
        <w:t xml:space="preserve"> </w:t>
      </w:r>
      <w:proofErr w:type="spellStart"/>
      <w:r w:rsidR="0005663F" w:rsidRPr="001550AC">
        <w:rPr>
          <w:rFonts w:ascii="Arial" w:hAnsi="Arial" w:cs="Arial"/>
        </w:rPr>
        <w:t>criticised</w:t>
      </w:r>
      <w:proofErr w:type="spellEnd"/>
      <w:r w:rsidR="0005663F" w:rsidRPr="001550AC">
        <w:rPr>
          <w:rFonts w:ascii="Arial" w:hAnsi="Arial" w:cs="Arial"/>
        </w:rPr>
        <w:t xml:space="preserve"> by the Constitutional Court in </w:t>
      </w:r>
      <w:r w:rsidR="0005663F" w:rsidRPr="001550AC">
        <w:rPr>
          <w:rFonts w:ascii="Arial" w:hAnsi="Arial" w:cs="Arial"/>
          <w:i/>
        </w:rPr>
        <w:t xml:space="preserve">Public Protector </w:t>
      </w:r>
      <w:r w:rsidR="00C07C33">
        <w:rPr>
          <w:rFonts w:ascii="Arial" w:hAnsi="Arial" w:cs="Arial"/>
          <w:i/>
        </w:rPr>
        <w:t xml:space="preserve">and Others </w:t>
      </w:r>
      <w:r w:rsidR="0005663F" w:rsidRPr="001550AC">
        <w:rPr>
          <w:rFonts w:ascii="Arial" w:hAnsi="Arial" w:cs="Arial"/>
          <w:i/>
        </w:rPr>
        <w:t>v The President of the Republic of South Africa</w:t>
      </w:r>
      <w:r w:rsidR="008911D2">
        <w:rPr>
          <w:rFonts w:ascii="Arial" w:hAnsi="Arial" w:cs="Arial"/>
          <w:i/>
        </w:rPr>
        <w:t xml:space="preserve"> and Others</w:t>
      </w:r>
      <w:r w:rsidR="0005663F" w:rsidRPr="001550AC">
        <w:rPr>
          <w:rStyle w:val="FootnoteReference"/>
          <w:rFonts w:ascii="Arial" w:hAnsi="Arial" w:cs="Arial"/>
        </w:rPr>
        <w:footnoteReference w:id="21"/>
      </w:r>
      <w:r w:rsidR="00B60397" w:rsidRPr="001550AC">
        <w:rPr>
          <w:rFonts w:ascii="Arial" w:hAnsi="Arial" w:cs="Arial"/>
        </w:rPr>
        <w:t xml:space="preserve"> </w:t>
      </w:r>
      <w:r w:rsidR="002453EB">
        <w:rPr>
          <w:rFonts w:ascii="Arial" w:hAnsi="Arial" w:cs="Arial"/>
        </w:rPr>
        <w:t xml:space="preserve">(the President (CC)) </w:t>
      </w:r>
      <w:r w:rsidR="00B60397" w:rsidRPr="001550AC">
        <w:rPr>
          <w:rFonts w:ascii="Arial" w:hAnsi="Arial" w:cs="Arial"/>
        </w:rPr>
        <w:t xml:space="preserve">where it was </w:t>
      </w:r>
      <w:proofErr w:type="spellStart"/>
      <w:r w:rsidR="00E73476">
        <w:rPr>
          <w:rFonts w:ascii="Arial" w:hAnsi="Arial" w:cs="Arial"/>
        </w:rPr>
        <w:t>emphasis</w:t>
      </w:r>
      <w:r w:rsidR="00E73476" w:rsidRPr="001550AC">
        <w:rPr>
          <w:rFonts w:ascii="Arial" w:hAnsi="Arial" w:cs="Arial"/>
        </w:rPr>
        <w:t>ed</w:t>
      </w:r>
      <w:proofErr w:type="spellEnd"/>
      <w:r w:rsidR="00B60397" w:rsidRPr="001550AC">
        <w:rPr>
          <w:rFonts w:ascii="Arial" w:hAnsi="Arial" w:cs="Arial"/>
        </w:rPr>
        <w:t xml:space="preserve"> that the reasoning of the S</w:t>
      </w:r>
      <w:r w:rsidR="00C641F0">
        <w:rPr>
          <w:rFonts w:ascii="Arial" w:hAnsi="Arial" w:cs="Arial"/>
        </w:rPr>
        <w:t>CA</w:t>
      </w:r>
      <w:r w:rsidR="00B60397" w:rsidRPr="001550AC">
        <w:rPr>
          <w:rFonts w:ascii="Arial" w:hAnsi="Arial" w:cs="Arial"/>
        </w:rPr>
        <w:t xml:space="preserve"> was contrary to the jurisprudence of the </w:t>
      </w:r>
      <w:r w:rsidR="001C4F46" w:rsidRPr="001550AC">
        <w:rPr>
          <w:rFonts w:ascii="Arial" w:hAnsi="Arial" w:cs="Arial"/>
        </w:rPr>
        <w:t>Constitutional</w:t>
      </w:r>
      <w:r w:rsidR="00B60397" w:rsidRPr="001550AC">
        <w:rPr>
          <w:rFonts w:ascii="Arial" w:hAnsi="Arial" w:cs="Arial"/>
        </w:rPr>
        <w:t xml:space="preserve"> Court.  I shall accept for purposes of this judgment that the application is one in terms of PAJA.</w:t>
      </w:r>
      <w:r w:rsidR="00C641F0">
        <w:rPr>
          <w:rFonts w:ascii="Arial" w:hAnsi="Arial" w:cs="Arial"/>
        </w:rPr>
        <w:t xml:space="preserve">  However, on either approach it is a constitutional matter.</w:t>
      </w:r>
      <w:r w:rsidR="00783306">
        <w:rPr>
          <w:rStyle w:val="FootnoteReference"/>
          <w:rFonts w:ascii="Arial" w:hAnsi="Arial" w:cs="Arial"/>
        </w:rPr>
        <w:footnoteReference w:id="22"/>
      </w:r>
    </w:p>
    <w:p w14:paraId="1394D342" w14:textId="77777777" w:rsidR="00B60397" w:rsidRPr="001550AC" w:rsidRDefault="00B60397" w:rsidP="008231CE">
      <w:pPr>
        <w:pStyle w:val="ListParagraph"/>
        <w:spacing w:after="0" w:line="480" w:lineRule="auto"/>
        <w:ind w:left="0"/>
        <w:jc w:val="both"/>
        <w:rPr>
          <w:rFonts w:ascii="Arial" w:hAnsi="Arial" w:cs="Arial"/>
          <w:sz w:val="24"/>
          <w:szCs w:val="24"/>
        </w:rPr>
      </w:pPr>
    </w:p>
    <w:p w14:paraId="4F79463F" w14:textId="5EA866A0" w:rsidR="00B60397"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[30]</w:t>
      </w:r>
      <w:r w:rsidRPr="001550AC">
        <w:rPr>
          <w:rFonts w:ascii="Arial" w:hAnsi="Arial" w:cs="Arial"/>
          <w:color w:val="000000" w:themeColor="text1"/>
        </w:rPr>
        <w:tab/>
      </w:r>
      <w:r w:rsidR="00B60397" w:rsidRPr="001550AC">
        <w:rPr>
          <w:rFonts w:ascii="Arial" w:hAnsi="Arial" w:cs="Arial"/>
        </w:rPr>
        <w:t>In Constitutional matters</w:t>
      </w:r>
      <w:r w:rsidR="006559E6">
        <w:rPr>
          <w:rFonts w:ascii="Arial" w:hAnsi="Arial" w:cs="Arial"/>
        </w:rPr>
        <w:t>,</w:t>
      </w:r>
      <w:r w:rsidR="00B60397" w:rsidRPr="001550AC">
        <w:rPr>
          <w:rFonts w:ascii="Arial" w:hAnsi="Arial" w:cs="Arial"/>
        </w:rPr>
        <w:t xml:space="preserve"> the court must declare that any conduct that is inconsistent with the </w:t>
      </w:r>
      <w:r w:rsidR="001C4F46" w:rsidRPr="001550AC">
        <w:rPr>
          <w:rFonts w:ascii="Arial" w:hAnsi="Arial" w:cs="Arial"/>
        </w:rPr>
        <w:t>Constitution</w:t>
      </w:r>
      <w:r w:rsidR="00B60397" w:rsidRPr="001550AC">
        <w:rPr>
          <w:rFonts w:ascii="Arial" w:hAnsi="Arial" w:cs="Arial"/>
        </w:rPr>
        <w:t xml:space="preserve"> is invalid to the extent of the inconsistency.</w:t>
      </w:r>
      <w:r w:rsidR="00B60397" w:rsidRPr="001550AC">
        <w:rPr>
          <w:rStyle w:val="FootnoteReference"/>
          <w:rFonts w:ascii="Arial" w:hAnsi="Arial" w:cs="Arial"/>
        </w:rPr>
        <w:footnoteReference w:id="23"/>
      </w:r>
      <w:r w:rsidR="00B60397" w:rsidRPr="001550AC">
        <w:rPr>
          <w:rFonts w:ascii="Arial" w:hAnsi="Arial" w:cs="Arial"/>
        </w:rPr>
        <w:t xml:space="preserve">  The office of the P</w:t>
      </w:r>
      <w:r w:rsidR="00C641F0">
        <w:rPr>
          <w:rFonts w:ascii="Arial" w:hAnsi="Arial" w:cs="Arial"/>
        </w:rPr>
        <w:t>P was</w:t>
      </w:r>
      <w:r w:rsidR="00B60397" w:rsidRPr="001550AC">
        <w:rPr>
          <w:rFonts w:ascii="Arial" w:hAnsi="Arial" w:cs="Arial"/>
        </w:rPr>
        <w:t xml:space="preserve"> established in terms of s 181 of the Constitution</w:t>
      </w:r>
      <w:r w:rsidR="00783306">
        <w:rPr>
          <w:rFonts w:ascii="Arial" w:hAnsi="Arial" w:cs="Arial"/>
        </w:rPr>
        <w:t>,</w:t>
      </w:r>
      <w:r w:rsidR="00B60397" w:rsidRPr="001550AC">
        <w:rPr>
          <w:rFonts w:ascii="Arial" w:hAnsi="Arial" w:cs="Arial"/>
        </w:rPr>
        <w:t xml:space="preserve"> which requires of the P</w:t>
      </w:r>
      <w:r w:rsidR="00C641F0">
        <w:rPr>
          <w:rFonts w:ascii="Arial" w:hAnsi="Arial" w:cs="Arial"/>
        </w:rPr>
        <w:t>P</w:t>
      </w:r>
      <w:r w:rsidR="00B60397" w:rsidRPr="001550AC">
        <w:rPr>
          <w:rFonts w:ascii="Arial" w:hAnsi="Arial" w:cs="Arial"/>
        </w:rPr>
        <w:t xml:space="preserve"> to act independently, </w:t>
      </w:r>
      <w:r w:rsidR="006559E6">
        <w:rPr>
          <w:rFonts w:ascii="Arial" w:hAnsi="Arial" w:cs="Arial"/>
        </w:rPr>
        <w:t xml:space="preserve">and </w:t>
      </w:r>
      <w:r w:rsidR="00B60397" w:rsidRPr="001550AC">
        <w:rPr>
          <w:rFonts w:ascii="Arial" w:hAnsi="Arial" w:cs="Arial"/>
        </w:rPr>
        <w:t>impartially and to exercise her powers</w:t>
      </w:r>
      <w:r w:rsidR="006559E6">
        <w:rPr>
          <w:rFonts w:ascii="Arial" w:hAnsi="Arial" w:cs="Arial"/>
        </w:rPr>
        <w:t>,</w:t>
      </w:r>
      <w:r w:rsidR="00B60397" w:rsidRPr="001550AC">
        <w:rPr>
          <w:rFonts w:ascii="Arial" w:hAnsi="Arial" w:cs="Arial"/>
        </w:rPr>
        <w:t xml:space="preserve"> and to perform her functions without fear, </w:t>
      </w:r>
      <w:proofErr w:type="spellStart"/>
      <w:r w:rsidR="00B60397" w:rsidRPr="001550AC">
        <w:rPr>
          <w:rFonts w:ascii="Arial" w:hAnsi="Arial" w:cs="Arial"/>
        </w:rPr>
        <w:t>favour</w:t>
      </w:r>
      <w:proofErr w:type="spellEnd"/>
      <w:r w:rsidR="00B60397" w:rsidRPr="001550AC">
        <w:rPr>
          <w:rFonts w:ascii="Arial" w:hAnsi="Arial" w:cs="Arial"/>
        </w:rPr>
        <w:t xml:space="preserve"> or prejudice.  The Constitution empowers her to investigate any conduct in </w:t>
      </w:r>
      <w:r w:rsidR="00C641F0">
        <w:rPr>
          <w:rFonts w:ascii="Arial" w:hAnsi="Arial" w:cs="Arial"/>
        </w:rPr>
        <w:t>s</w:t>
      </w:r>
      <w:r w:rsidR="00B60397" w:rsidRPr="001550AC">
        <w:rPr>
          <w:rFonts w:ascii="Arial" w:hAnsi="Arial" w:cs="Arial"/>
        </w:rPr>
        <w:t>tate affairs</w:t>
      </w:r>
      <w:r w:rsidR="00C641F0">
        <w:rPr>
          <w:rFonts w:ascii="Arial" w:hAnsi="Arial" w:cs="Arial"/>
        </w:rPr>
        <w:t>,</w:t>
      </w:r>
      <w:r w:rsidR="00B60397" w:rsidRPr="001550AC">
        <w:rPr>
          <w:rFonts w:ascii="Arial" w:hAnsi="Arial" w:cs="Arial"/>
        </w:rPr>
        <w:t xml:space="preserve"> or in the public administration in any sphere of government, that is alleged or suspected to be improper</w:t>
      </w:r>
      <w:r w:rsidR="00783306">
        <w:rPr>
          <w:rFonts w:ascii="Arial" w:hAnsi="Arial" w:cs="Arial"/>
        </w:rPr>
        <w:t>,</w:t>
      </w:r>
      <w:r w:rsidR="00B60397" w:rsidRPr="001550AC">
        <w:rPr>
          <w:rFonts w:ascii="Arial" w:hAnsi="Arial" w:cs="Arial"/>
        </w:rPr>
        <w:t xml:space="preserve"> or to result in </w:t>
      </w:r>
      <w:r w:rsidR="001C4F46" w:rsidRPr="001550AC">
        <w:rPr>
          <w:rFonts w:ascii="Arial" w:hAnsi="Arial" w:cs="Arial"/>
        </w:rPr>
        <w:t>impropriety or prejudice</w:t>
      </w:r>
      <w:r w:rsidR="00C641F0">
        <w:rPr>
          <w:rFonts w:ascii="Arial" w:hAnsi="Arial" w:cs="Arial"/>
        </w:rPr>
        <w:t>, as regulated by national legislation</w:t>
      </w:r>
      <w:r w:rsidR="00451583">
        <w:rPr>
          <w:rFonts w:ascii="Arial" w:hAnsi="Arial" w:cs="Arial"/>
        </w:rPr>
        <w:t>,</w:t>
      </w:r>
      <w:r w:rsidR="00C641F0">
        <w:rPr>
          <w:rFonts w:ascii="Arial" w:hAnsi="Arial" w:cs="Arial"/>
        </w:rPr>
        <w:t xml:space="preserve"> </w:t>
      </w:r>
      <w:r w:rsidR="001C4F46" w:rsidRPr="001550AC">
        <w:rPr>
          <w:rFonts w:ascii="Arial" w:hAnsi="Arial" w:cs="Arial"/>
        </w:rPr>
        <w:t>and to report thereon and take appropriate remedial action.</w:t>
      </w:r>
      <w:r w:rsidR="001C4F46" w:rsidRPr="001550AC">
        <w:rPr>
          <w:rStyle w:val="FootnoteReference"/>
          <w:rFonts w:ascii="Arial" w:hAnsi="Arial" w:cs="Arial"/>
        </w:rPr>
        <w:footnoteReference w:id="24"/>
      </w:r>
      <w:r w:rsidR="00C641F0">
        <w:rPr>
          <w:rFonts w:ascii="Arial" w:hAnsi="Arial" w:cs="Arial"/>
        </w:rPr>
        <w:t xml:space="preserve">  </w:t>
      </w:r>
      <w:r w:rsidR="002453EB">
        <w:rPr>
          <w:rFonts w:ascii="Arial" w:hAnsi="Arial" w:cs="Arial"/>
        </w:rPr>
        <w:t xml:space="preserve">Section </w:t>
      </w:r>
      <w:r w:rsidR="001E2989">
        <w:rPr>
          <w:rFonts w:ascii="Arial" w:hAnsi="Arial" w:cs="Arial"/>
        </w:rPr>
        <w:t xml:space="preserve">182(2) of </w:t>
      </w:r>
      <w:r w:rsidR="00C641F0">
        <w:rPr>
          <w:rFonts w:ascii="Arial" w:hAnsi="Arial" w:cs="Arial"/>
        </w:rPr>
        <w:t>the Constitution</w:t>
      </w:r>
      <w:r w:rsidR="001E2989">
        <w:rPr>
          <w:rFonts w:ascii="Arial" w:hAnsi="Arial" w:cs="Arial"/>
        </w:rPr>
        <w:t xml:space="preserve"> provides that </w:t>
      </w:r>
      <w:r w:rsidR="00C641F0">
        <w:rPr>
          <w:rFonts w:ascii="Arial" w:hAnsi="Arial" w:cs="Arial"/>
        </w:rPr>
        <w:t>additional powers and functions may be ascribed to her in terms of national legislation.</w:t>
      </w:r>
    </w:p>
    <w:p w14:paraId="7A88AC5C" w14:textId="77777777" w:rsidR="001C4F46" w:rsidRPr="001550AC" w:rsidRDefault="001C4F46" w:rsidP="008231CE">
      <w:pPr>
        <w:pStyle w:val="ListParagraph"/>
        <w:spacing w:after="0" w:line="480" w:lineRule="auto"/>
        <w:ind w:left="0"/>
        <w:jc w:val="both"/>
        <w:rPr>
          <w:rFonts w:ascii="Arial" w:hAnsi="Arial" w:cs="Arial"/>
          <w:sz w:val="24"/>
          <w:szCs w:val="24"/>
        </w:rPr>
      </w:pPr>
    </w:p>
    <w:p w14:paraId="68493E94" w14:textId="270AA6A9" w:rsidR="00BC4270"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[31]</w:t>
      </w:r>
      <w:r>
        <w:rPr>
          <w:rFonts w:ascii="Arial" w:hAnsi="Arial" w:cs="Arial"/>
          <w:color w:val="000000" w:themeColor="text1"/>
        </w:rPr>
        <w:tab/>
      </w:r>
      <w:r w:rsidR="001C4F46" w:rsidRPr="001550AC">
        <w:rPr>
          <w:rFonts w:ascii="Arial" w:hAnsi="Arial" w:cs="Arial"/>
        </w:rPr>
        <w:t xml:space="preserve">The national legislation regulating </w:t>
      </w:r>
      <w:r w:rsidR="00783306">
        <w:rPr>
          <w:rFonts w:ascii="Arial" w:hAnsi="Arial" w:cs="Arial"/>
        </w:rPr>
        <w:t xml:space="preserve">her </w:t>
      </w:r>
      <w:r w:rsidR="001C4F46" w:rsidRPr="001550AC">
        <w:rPr>
          <w:rFonts w:ascii="Arial" w:hAnsi="Arial" w:cs="Arial"/>
        </w:rPr>
        <w:t xml:space="preserve">investigations is the </w:t>
      </w:r>
      <w:r w:rsidR="00BC4270">
        <w:rPr>
          <w:rFonts w:ascii="Arial" w:hAnsi="Arial" w:cs="Arial"/>
        </w:rPr>
        <w:t xml:space="preserve">Act.  </w:t>
      </w:r>
      <w:r w:rsidR="002453EB">
        <w:rPr>
          <w:rFonts w:ascii="Arial" w:hAnsi="Arial" w:cs="Arial"/>
        </w:rPr>
        <w:t>The PP’s</w:t>
      </w:r>
      <w:r w:rsidR="001C4F46" w:rsidRPr="001550AC">
        <w:rPr>
          <w:rFonts w:ascii="Arial" w:hAnsi="Arial" w:cs="Arial"/>
        </w:rPr>
        <w:t xml:space="preserve"> powers of investigation are circumscribed by s 6(4)</w:t>
      </w:r>
      <w:r w:rsidR="007A4121">
        <w:rPr>
          <w:rFonts w:ascii="Arial" w:hAnsi="Arial" w:cs="Arial"/>
        </w:rPr>
        <w:t xml:space="preserve"> </w:t>
      </w:r>
      <w:r w:rsidR="001C4F46" w:rsidRPr="001550AC">
        <w:rPr>
          <w:rFonts w:ascii="Arial" w:hAnsi="Arial" w:cs="Arial"/>
        </w:rPr>
        <w:t>of the Act</w:t>
      </w:r>
      <w:r w:rsidR="001C4F46" w:rsidRPr="001550AC">
        <w:rPr>
          <w:rStyle w:val="FootnoteReference"/>
          <w:rFonts w:ascii="Arial" w:hAnsi="Arial" w:cs="Arial"/>
        </w:rPr>
        <w:footnoteReference w:id="25"/>
      </w:r>
      <w:r w:rsidR="001E2989">
        <w:rPr>
          <w:rFonts w:ascii="Arial" w:hAnsi="Arial" w:cs="Arial"/>
        </w:rPr>
        <w:t xml:space="preserve">.  </w:t>
      </w:r>
      <w:r w:rsidR="002453EB">
        <w:rPr>
          <w:rFonts w:ascii="Arial" w:hAnsi="Arial" w:cs="Arial"/>
        </w:rPr>
        <w:t xml:space="preserve">If, during the </w:t>
      </w:r>
      <w:r w:rsidR="00B4511C" w:rsidRPr="001550AC">
        <w:rPr>
          <w:rFonts w:ascii="Arial" w:hAnsi="Arial" w:cs="Arial"/>
        </w:rPr>
        <w:t>course of, or before</w:t>
      </w:r>
      <w:r w:rsidR="002453EB">
        <w:rPr>
          <w:rFonts w:ascii="Arial" w:hAnsi="Arial" w:cs="Arial"/>
        </w:rPr>
        <w:t>,</w:t>
      </w:r>
      <w:r w:rsidR="00B4511C" w:rsidRPr="001550AC">
        <w:rPr>
          <w:rFonts w:ascii="Arial" w:hAnsi="Arial" w:cs="Arial"/>
        </w:rPr>
        <w:t xml:space="preserve"> an investigation, </w:t>
      </w:r>
      <w:r w:rsidR="002453EB">
        <w:rPr>
          <w:rFonts w:ascii="Arial" w:hAnsi="Arial" w:cs="Arial"/>
        </w:rPr>
        <w:t>that</w:t>
      </w:r>
      <w:r w:rsidR="00B4511C" w:rsidRPr="001550AC">
        <w:rPr>
          <w:rFonts w:ascii="Arial" w:hAnsi="Arial" w:cs="Arial"/>
        </w:rPr>
        <w:t xml:space="preserve"> falls properly within her </w:t>
      </w:r>
      <w:r w:rsidR="000E7904" w:rsidRPr="001550AC">
        <w:rPr>
          <w:rFonts w:ascii="Arial" w:hAnsi="Arial" w:cs="Arial"/>
        </w:rPr>
        <w:t>competence,</w:t>
      </w:r>
      <w:r w:rsidR="00B4511C" w:rsidRPr="001550AC">
        <w:rPr>
          <w:rFonts w:ascii="Arial" w:hAnsi="Arial" w:cs="Arial"/>
        </w:rPr>
        <w:t xml:space="preserve"> </w:t>
      </w:r>
      <w:r w:rsidR="002453EB">
        <w:rPr>
          <w:rFonts w:ascii="Arial" w:hAnsi="Arial" w:cs="Arial"/>
        </w:rPr>
        <w:t xml:space="preserve">the PP forms the opinion that </w:t>
      </w:r>
      <w:r w:rsidR="002453EB">
        <w:rPr>
          <w:rFonts w:ascii="Arial" w:hAnsi="Arial" w:cs="Arial"/>
        </w:rPr>
        <w:lastRenderedPageBreak/>
        <w:t xml:space="preserve">the facts disclose </w:t>
      </w:r>
      <w:r w:rsidR="00B4511C" w:rsidRPr="001550AC">
        <w:rPr>
          <w:rFonts w:ascii="Arial" w:hAnsi="Arial" w:cs="Arial"/>
        </w:rPr>
        <w:t>the commission of an offence</w:t>
      </w:r>
      <w:r w:rsidR="001E2989">
        <w:rPr>
          <w:rFonts w:ascii="Arial" w:hAnsi="Arial" w:cs="Arial"/>
        </w:rPr>
        <w:t>, she</w:t>
      </w:r>
      <w:r w:rsidR="00B4511C" w:rsidRPr="001550AC">
        <w:rPr>
          <w:rFonts w:ascii="Arial" w:hAnsi="Arial" w:cs="Arial"/>
        </w:rPr>
        <w:t xml:space="preserve"> is empowered to bring the matter to the attention of the relevant authority charged with prosecutions.</w:t>
      </w:r>
      <w:r w:rsidR="00B4511C" w:rsidRPr="001550AC">
        <w:rPr>
          <w:rStyle w:val="FootnoteReference"/>
          <w:rFonts w:ascii="Arial" w:hAnsi="Arial" w:cs="Arial"/>
        </w:rPr>
        <w:footnoteReference w:id="26"/>
      </w:r>
      <w:r w:rsidR="00B4511C" w:rsidRPr="001550AC">
        <w:rPr>
          <w:rFonts w:ascii="Arial" w:hAnsi="Arial" w:cs="Arial"/>
        </w:rPr>
        <w:t xml:space="preserve">   Section 6(4)(c)(ii) allows her, if she deems it </w:t>
      </w:r>
      <w:r w:rsidR="000E7904" w:rsidRPr="001550AC">
        <w:rPr>
          <w:rFonts w:ascii="Arial" w:hAnsi="Arial" w:cs="Arial"/>
        </w:rPr>
        <w:t>advisable</w:t>
      </w:r>
      <w:r w:rsidR="00B4511C" w:rsidRPr="001550AC">
        <w:rPr>
          <w:rFonts w:ascii="Arial" w:hAnsi="Arial" w:cs="Arial"/>
        </w:rPr>
        <w:t>, to refer any matter</w:t>
      </w:r>
      <w:r w:rsidR="00BC4270">
        <w:rPr>
          <w:rFonts w:ascii="Arial" w:hAnsi="Arial" w:cs="Arial"/>
        </w:rPr>
        <w:t>,</w:t>
      </w:r>
      <w:r w:rsidR="006A7A80" w:rsidRPr="001550AC">
        <w:rPr>
          <w:rFonts w:ascii="Arial" w:hAnsi="Arial" w:cs="Arial"/>
        </w:rPr>
        <w:t xml:space="preserve"> which has a bearing on an investigation</w:t>
      </w:r>
      <w:r w:rsidR="00BC4270">
        <w:rPr>
          <w:rFonts w:ascii="Arial" w:hAnsi="Arial" w:cs="Arial"/>
        </w:rPr>
        <w:t>,</w:t>
      </w:r>
      <w:r w:rsidR="006A7A80" w:rsidRPr="001550AC">
        <w:rPr>
          <w:rFonts w:ascii="Arial" w:hAnsi="Arial" w:cs="Arial"/>
        </w:rPr>
        <w:t xml:space="preserve"> to the appropriate </w:t>
      </w:r>
      <w:r w:rsidR="007C5AB9">
        <w:rPr>
          <w:rFonts w:ascii="Arial" w:hAnsi="Arial" w:cs="Arial"/>
        </w:rPr>
        <w:t xml:space="preserve">public </w:t>
      </w:r>
      <w:r w:rsidR="006A7A80" w:rsidRPr="001550AC">
        <w:rPr>
          <w:rFonts w:ascii="Arial" w:hAnsi="Arial" w:cs="Arial"/>
        </w:rPr>
        <w:t>body</w:t>
      </w:r>
      <w:r w:rsidR="00BC4270">
        <w:rPr>
          <w:rFonts w:ascii="Arial" w:hAnsi="Arial" w:cs="Arial"/>
        </w:rPr>
        <w:t>,</w:t>
      </w:r>
      <w:r w:rsidR="006A7A80" w:rsidRPr="001550AC">
        <w:rPr>
          <w:rFonts w:ascii="Arial" w:hAnsi="Arial" w:cs="Arial"/>
        </w:rPr>
        <w:t xml:space="preserve"> or the authority affected by it</w:t>
      </w:r>
      <w:r w:rsidR="001E2989">
        <w:rPr>
          <w:rFonts w:ascii="Arial" w:hAnsi="Arial" w:cs="Arial"/>
        </w:rPr>
        <w:t xml:space="preserve">.  </w:t>
      </w:r>
    </w:p>
    <w:p w14:paraId="5CF2A907" w14:textId="77777777" w:rsidR="00BC4270" w:rsidRDefault="00BC4270" w:rsidP="008231CE">
      <w:pPr>
        <w:pStyle w:val="ListParagraph"/>
        <w:spacing w:after="0" w:line="480" w:lineRule="auto"/>
        <w:ind w:left="0"/>
        <w:jc w:val="both"/>
        <w:rPr>
          <w:rFonts w:ascii="Arial" w:hAnsi="Arial" w:cs="Arial"/>
        </w:rPr>
      </w:pPr>
    </w:p>
    <w:p w14:paraId="644B55A5" w14:textId="61161403" w:rsidR="006A7A80"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[32]</w:t>
      </w:r>
      <w:r>
        <w:rPr>
          <w:rFonts w:ascii="Arial" w:hAnsi="Arial" w:cs="Arial"/>
          <w:color w:val="000000" w:themeColor="text1"/>
        </w:rPr>
        <w:tab/>
      </w:r>
      <w:r w:rsidR="00BC4270">
        <w:rPr>
          <w:rFonts w:ascii="Arial" w:hAnsi="Arial" w:cs="Arial"/>
        </w:rPr>
        <w:t xml:space="preserve">While there may be some overlap between the powers entrusted to her in </w:t>
      </w:r>
      <w:r w:rsidR="00783306">
        <w:rPr>
          <w:rFonts w:ascii="Arial" w:hAnsi="Arial" w:cs="Arial"/>
        </w:rPr>
        <w:t xml:space="preserve">                  </w:t>
      </w:r>
      <w:r w:rsidR="00BC4270">
        <w:rPr>
          <w:rFonts w:ascii="Arial" w:hAnsi="Arial" w:cs="Arial"/>
        </w:rPr>
        <w:t>s 182(1)</w:t>
      </w:r>
      <w:r w:rsidR="00451583">
        <w:rPr>
          <w:rFonts w:ascii="Arial" w:hAnsi="Arial" w:cs="Arial"/>
        </w:rPr>
        <w:t>(a)</w:t>
      </w:r>
      <w:r w:rsidR="00BC4270">
        <w:rPr>
          <w:rFonts w:ascii="Arial" w:hAnsi="Arial" w:cs="Arial"/>
        </w:rPr>
        <w:t xml:space="preserve"> of the Constitution and s 6(4) of the Act</w:t>
      </w:r>
      <w:r w:rsidR="001E2989">
        <w:rPr>
          <w:rFonts w:ascii="Arial" w:hAnsi="Arial" w:cs="Arial"/>
        </w:rPr>
        <w:t xml:space="preserve">, the powers </w:t>
      </w:r>
      <w:r w:rsidR="007A4121">
        <w:rPr>
          <w:rFonts w:ascii="Arial" w:hAnsi="Arial" w:cs="Arial"/>
        </w:rPr>
        <w:t>listed</w:t>
      </w:r>
      <w:r w:rsidR="001E2989">
        <w:rPr>
          <w:rFonts w:ascii="Arial" w:hAnsi="Arial" w:cs="Arial"/>
        </w:rPr>
        <w:t xml:space="preserve"> </w:t>
      </w:r>
      <w:r w:rsidR="00BC4270">
        <w:rPr>
          <w:rFonts w:ascii="Arial" w:hAnsi="Arial" w:cs="Arial"/>
        </w:rPr>
        <w:t>in s 6(4) are largely additional powers</w:t>
      </w:r>
      <w:r w:rsidR="001E2989">
        <w:rPr>
          <w:rFonts w:ascii="Arial" w:hAnsi="Arial" w:cs="Arial"/>
        </w:rPr>
        <w:t>, over and above those provided for in the Constitution,</w:t>
      </w:r>
      <w:r w:rsidR="00BC4270">
        <w:rPr>
          <w:rFonts w:ascii="Arial" w:hAnsi="Arial" w:cs="Arial"/>
        </w:rPr>
        <w:t xml:space="preserve"> </w:t>
      </w:r>
      <w:r w:rsidR="00451583">
        <w:rPr>
          <w:rFonts w:ascii="Arial" w:hAnsi="Arial" w:cs="Arial"/>
        </w:rPr>
        <w:t>that</w:t>
      </w:r>
      <w:r w:rsidR="00BC4270">
        <w:rPr>
          <w:rFonts w:ascii="Arial" w:hAnsi="Arial" w:cs="Arial"/>
        </w:rPr>
        <w:t xml:space="preserve"> flow from the Act.</w:t>
      </w:r>
      <w:r w:rsidR="006E6A42">
        <w:rPr>
          <w:rStyle w:val="FootnoteReference"/>
          <w:rFonts w:ascii="Arial" w:hAnsi="Arial" w:cs="Arial"/>
        </w:rPr>
        <w:footnoteReference w:id="27"/>
      </w:r>
      <w:r w:rsidR="006A7A80" w:rsidRPr="00BC4270">
        <w:rPr>
          <w:rFonts w:ascii="Arial" w:hAnsi="Arial" w:cs="Arial"/>
        </w:rPr>
        <w:t xml:space="preserve">  </w:t>
      </w:r>
    </w:p>
    <w:p w14:paraId="39218E8E" w14:textId="77777777" w:rsidR="00B8402E" w:rsidRDefault="00B8402E" w:rsidP="00B8402E">
      <w:pPr>
        <w:pStyle w:val="NormalWeb"/>
        <w:shd w:val="clear" w:color="auto" w:fill="FFFFFF"/>
        <w:spacing w:before="0" w:beforeAutospacing="0" w:after="0" w:afterAutospacing="0" w:line="480" w:lineRule="auto"/>
        <w:contextualSpacing/>
        <w:jc w:val="both"/>
        <w:rPr>
          <w:rFonts w:ascii="Arial" w:hAnsi="Arial" w:cs="Arial"/>
        </w:rPr>
      </w:pPr>
    </w:p>
    <w:p w14:paraId="5766C1D7" w14:textId="31172C95" w:rsidR="001E2989"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[33]</w:t>
      </w:r>
      <w:r>
        <w:rPr>
          <w:rFonts w:ascii="Arial" w:hAnsi="Arial" w:cs="Arial"/>
          <w:color w:val="000000" w:themeColor="text1"/>
        </w:rPr>
        <w:tab/>
      </w:r>
      <w:r w:rsidR="006A7A80" w:rsidRPr="001550AC">
        <w:rPr>
          <w:rFonts w:ascii="Arial" w:hAnsi="Arial" w:cs="Arial"/>
        </w:rPr>
        <w:t>As alluded to earlier the P</w:t>
      </w:r>
      <w:r w:rsidR="006E6A42">
        <w:rPr>
          <w:rFonts w:ascii="Arial" w:hAnsi="Arial" w:cs="Arial"/>
        </w:rPr>
        <w:t>P</w:t>
      </w:r>
      <w:r w:rsidR="006A7A80" w:rsidRPr="001550AC">
        <w:rPr>
          <w:rFonts w:ascii="Arial" w:hAnsi="Arial" w:cs="Arial"/>
        </w:rPr>
        <w:t xml:space="preserve"> referred her report to the DPCI in terms of s 6(4)(c)(ii) of the Act for their consideration of criminal investigation, with a view to prosecution.  The </w:t>
      </w:r>
      <w:r w:rsidR="0091359C" w:rsidRPr="001550AC">
        <w:rPr>
          <w:rFonts w:ascii="Arial" w:hAnsi="Arial" w:cs="Arial"/>
        </w:rPr>
        <w:t>applicants</w:t>
      </w:r>
      <w:r w:rsidR="006A7A80" w:rsidRPr="001550AC">
        <w:rPr>
          <w:rFonts w:ascii="Arial" w:hAnsi="Arial" w:cs="Arial"/>
        </w:rPr>
        <w:t xml:space="preserve"> contend that she has misunderstood the legislation regulating her conduct and that her reference to the DPCI in terms of s 6(4)(c)(ii) is unlawful, firstly because the section does not empower her to do so</w:t>
      </w:r>
      <w:r w:rsidR="006E6A42">
        <w:rPr>
          <w:rFonts w:ascii="Arial" w:hAnsi="Arial" w:cs="Arial"/>
        </w:rPr>
        <w:t>,</w:t>
      </w:r>
      <w:r w:rsidR="006A7A80" w:rsidRPr="001550AC">
        <w:rPr>
          <w:rFonts w:ascii="Arial" w:hAnsi="Arial" w:cs="Arial"/>
        </w:rPr>
        <w:t xml:space="preserve"> and</w:t>
      </w:r>
      <w:r w:rsidR="006E6A42">
        <w:rPr>
          <w:rFonts w:ascii="Arial" w:hAnsi="Arial" w:cs="Arial"/>
        </w:rPr>
        <w:t>,</w:t>
      </w:r>
      <w:r w:rsidR="006A7A80" w:rsidRPr="001550AC">
        <w:rPr>
          <w:rFonts w:ascii="Arial" w:hAnsi="Arial" w:cs="Arial"/>
        </w:rPr>
        <w:t xml:space="preserve"> secondly because the nature of her reference constitutes a direction to the DPCI </w:t>
      </w:r>
      <w:r w:rsidR="007557F9">
        <w:rPr>
          <w:rFonts w:ascii="Arial" w:hAnsi="Arial" w:cs="Arial"/>
        </w:rPr>
        <w:t>that compels them to investigate</w:t>
      </w:r>
      <w:r w:rsidR="00451583">
        <w:rPr>
          <w:rFonts w:ascii="Arial" w:hAnsi="Arial" w:cs="Arial"/>
        </w:rPr>
        <w:t>,</w:t>
      </w:r>
      <w:r w:rsidR="007557F9">
        <w:rPr>
          <w:rFonts w:ascii="Arial" w:hAnsi="Arial" w:cs="Arial"/>
        </w:rPr>
        <w:t xml:space="preserve"> </w:t>
      </w:r>
      <w:r w:rsidR="006A7A80" w:rsidRPr="001550AC">
        <w:rPr>
          <w:rFonts w:ascii="Arial" w:hAnsi="Arial" w:cs="Arial"/>
        </w:rPr>
        <w:t>which undermines the independence</w:t>
      </w:r>
      <w:r w:rsidR="001E2989">
        <w:rPr>
          <w:rStyle w:val="FootnoteReference"/>
          <w:rFonts w:ascii="Arial" w:hAnsi="Arial" w:cs="Arial"/>
        </w:rPr>
        <w:footnoteReference w:id="28"/>
      </w:r>
      <w:r w:rsidR="006A7A80" w:rsidRPr="001550AC">
        <w:rPr>
          <w:rFonts w:ascii="Arial" w:hAnsi="Arial" w:cs="Arial"/>
        </w:rPr>
        <w:t xml:space="preserve"> of the institution.  </w:t>
      </w:r>
    </w:p>
    <w:p w14:paraId="1C27304C" w14:textId="77777777" w:rsidR="001E2989" w:rsidRDefault="001E2989" w:rsidP="001E2989">
      <w:pPr>
        <w:pStyle w:val="ListParagraph"/>
        <w:rPr>
          <w:rFonts w:ascii="Arial" w:hAnsi="Arial" w:cs="Arial"/>
        </w:rPr>
      </w:pPr>
    </w:p>
    <w:p w14:paraId="26748943" w14:textId="0E280A13" w:rsidR="006A7A80" w:rsidRPr="001E2989"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E2989">
        <w:rPr>
          <w:rFonts w:ascii="Arial" w:hAnsi="Arial" w:cs="Arial"/>
          <w:color w:val="000000" w:themeColor="text1"/>
        </w:rPr>
        <w:t>[34]</w:t>
      </w:r>
      <w:r w:rsidRPr="001E2989">
        <w:rPr>
          <w:rFonts w:ascii="Arial" w:hAnsi="Arial" w:cs="Arial"/>
          <w:color w:val="000000" w:themeColor="text1"/>
        </w:rPr>
        <w:tab/>
      </w:r>
      <w:r w:rsidR="0091359C" w:rsidRPr="001E2989">
        <w:rPr>
          <w:rFonts w:ascii="Arial" w:hAnsi="Arial" w:cs="Arial"/>
        </w:rPr>
        <w:t>In respect of the first contention</w:t>
      </w:r>
      <w:r w:rsidR="006E6A42" w:rsidRPr="001E2989">
        <w:rPr>
          <w:rFonts w:ascii="Arial" w:hAnsi="Arial" w:cs="Arial"/>
        </w:rPr>
        <w:t>,</w:t>
      </w:r>
      <w:r w:rsidR="0091359C" w:rsidRPr="001E2989">
        <w:rPr>
          <w:rFonts w:ascii="Arial" w:hAnsi="Arial" w:cs="Arial"/>
        </w:rPr>
        <w:t xml:space="preserve"> the question is not whether the </w:t>
      </w:r>
      <w:r w:rsidR="006E6A42" w:rsidRPr="001E2989">
        <w:rPr>
          <w:rFonts w:ascii="Arial" w:hAnsi="Arial" w:cs="Arial"/>
        </w:rPr>
        <w:t xml:space="preserve">PP is empowered to draw the attention of the DPCI to matters which have manifested during her investigation, but </w:t>
      </w:r>
      <w:r w:rsidR="001D1D75" w:rsidRPr="001E2989">
        <w:rPr>
          <w:rFonts w:ascii="Arial" w:hAnsi="Arial" w:cs="Arial"/>
        </w:rPr>
        <w:t>rather, whether</w:t>
      </w:r>
      <w:r w:rsidR="00A66016" w:rsidRPr="001E2989">
        <w:rPr>
          <w:rFonts w:ascii="Arial" w:hAnsi="Arial" w:cs="Arial"/>
        </w:rPr>
        <w:t xml:space="preserve"> she is entitled to </w:t>
      </w:r>
      <w:r w:rsidR="001E2989">
        <w:rPr>
          <w:rFonts w:ascii="Arial" w:hAnsi="Arial" w:cs="Arial"/>
        </w:rPr>
        <w:t xml:space="preserve">do so in terms of provisions of                   </w:t>
      </w:r>
      <w:r w:rsidR="00A66016" w:rsidRPr="001E2989">
        <w:rPr>
          <w:rFonts w:ascii="Arial" w:hAnsi="Arial" w:cs="Arial"/>
        </w:rPr>
        <w:lastRenderedPageBreak/>
        <w:t>s 6(4)(c)(ii).  It is an established principle of law that when a person exercising public power ha</w:t>
      </w:r>
      <w:r w:rsidR="001D1D75" w:rsidRPr="001E2989">
        <w:rPr>
          <w:rFonts w:ascii="Arial" w:hAnsi="Arial" w:cs="Arial"/>
        </w:rPr>
        <w:t>s</w:t>
      </w:r>
      <w:r w:rsidR="00A66016" w:rsidRPr="001E2989">
        <w:rPr>
          <w:rFonts w:ascii="Arial" w:hAnsi="Arial" w:cs="Arial"/>
        </w:rPr>
        <w:t xml:space="preserve"> committed themselves unequivocally to </w:t>
      </w:r>
      <w:r w:rsidR="001D1D75" w:rsidRPr="001E2989">
        <w:rPr>
          <w:rFonts w:ascii="Arial" w:hAnsi="Arial" w:cs="Arial"/>
        </w:rPr>
        <w:t xml:space="preserve">an empowering provision </w:t>
      </w:r>
      <w:r w:rsidR="00451583">
        <w:rPr>
          <w:rFonts w:ascii="Arial" w:hAnsi="Arial" w:cs="Arial"/>
        </w:rPr>
        <w:t>to justify</w:t>
      </w:r>
      <w:r w:rsidR="00A66016" w:rsidRPr="001E2989">
        <w:rPr>
          <w:rFonts w:ascii="Arial" w:hAnsi="Arial" w:cs="Arial"/>
        </w:rPr>
        <w:t xml:space="preserve"> their authority to exercise that power</w:t>
      </w:r>
      <w:r w:rsidR="00451583">
        <w:rPr>
          <w:rFonts w:ascii="Arial" w:hAnsi="Arial" w:cs="Arial"/>
        </w:rPr>
        <w:t>,</w:t>
      </w:r>
      <w:r w:rsidR="00A66016" w:rsidRPr="001E2989">
        <w:rPr>
          <w:rFonts w:ascii="Arial" w:hAnsi="Arial" w:cs="Arial"/>
        </w:rPr>
        <w:t xml:space="preserve"> they stand or fall by that choice.  They are</w:t>
      </w:r>
      <w:r w:rsidR="00DC4728" w:rsidRPr="001E2989">
        <w:rPr>
          <w:rFonts w:ascii="Arial" w:hAnsi="Arial" w:cs="Arial"/>
        </w:rPr>
        <w:t>,</w:t>
      </w:r>
      <w:r w:rsidR="00A66016" w:rsidRPr="001E2989">
        <w:rPr>
          <w:rFonts w:ascii="Arial" w:hAnsi="Arial" w:cs="Arial"/>
        </w:rPr>
        <w:t xml:space="preserve"> generally speaking</w:t>
      </w:r>
      <w:r w:rsidR="00DC4728" w:rsidRPr="001E2989">
        <w:rPr>
          <w:rFonts w:ascii="Arial" w:hAnsi="Arial" w:cs="Arial"/>
        </w:rPr>
        <w:t>,</w:t>
      </w:r>
      <w:r w:rsidR="00A66016" w:rsidRPr="001E2989">
        <w:rPr>
          <w:rFonts w:ascii="Arial" w:hAnsi="Arial" w:cs="Arial"/>
        </w:rPr>
        <w:t xml:space="preserve"> not free to rely on some other source of </w:t>
      </w:r>
      <w:r w:rsidR="00DC4728" w:rsidRPr="001E2989">
        <w:rPr>
          <w:rFonts w:ascii="Arial" w:hAnsi="Arial" w:cs="Arial"/>
        </w:rPr>
        <w:t>authority</w:t>
      </w:r>
      <w:r w:rsidR="00A66016" w:rsidRPr="001E2989">
        <w:rPr>
          <w:rFonts w:ascii="Arial" w:hAnsi="Arial" w:cs="Arial"/>
        </w:rPr>
        <w:t xml:space="preserve"> </w:t>
      </w:r>
      <w:r w:rsidR="009F04A2">
        <w:rPr>
          <w:rFonts w:ascii="Arial" w:hAnsi="Arial" w:cs="Arial"/>
        </w:rPr>
        <w:t>that</w:t>
      </w:r>
      <w:r w:rsidR="009F04A2" w:rsidRPr="001E2989">
        <w:rPr>
          <w:rFonts w:ascii="Arial" w:hAnsi="Arial" w:cs="Arial"/>
        </w:rPr>
        <w:t xml:space="preserve"> </w:t>
      </w:r>
      <w:r w:rsidR="00A66016" w:rsidRPr="001E2989">
        <w:rPr>
          <w:rFonts w:ascii="Arial" w:hAnsi="Arial" w:cs="Arial"/>
        </w:rPr>
        <w:t xml:space="preserve">may </w:t>
      </w:r>
      <w:r w:rsidR="00DC4728" w:rsidRPr="001E2989">
        <w:rPr>
          <w:rFonts w:ascii="Arial" w:hAnsi="Arial" w:cs="Arial"/>
        </w:rPr>
        <w:t>allow</w:t>
      </w:r>
      <w:r w:rsidR="00A66016" w:rsidRPr="001E2989">
        <w:rPr>
          <w:rFonts w:ascii="Arial" w:hAnsi="Arial" w:cs="Arial"/>
        </w:rPr>
        <w:t xml:space="preserve"> them to do what they purported to do.</w:t>
      </w:r>
      <w:r w:rsidR="00A66016" w:rsidRPr="001550AC">
        <w:rPr>
          <w:rStyle w:val="FootnoteReference"/>
          <w:rFonts w:ascii="Arial" w:hAnsi="Arial" w:cs="Arial"/>
        </w:rPr>
        <w:footnoteReference w:id="29"/>
      </w:r>
      <w:r w:rsidR="00A66016" w:rsidRPr="001E2989">
        <w:rPr>
          <w:rFonts w:ascii="Arial" w:hAnsi="Arial" w:cs="Arial"/>
        </w:rPr>
        <w:t xml:space="preserve">  Thus, where a decision maker relies on the incorrect provision in a statute to inform their decision, and such provision is relied upon deliberately, the decision will be unlawful.</w:t>
      </w:r>
      <w:r w:rsidR="00A66016" w:rsidRPr="001550AC">
        <w:rPr>
          <w:rStyle w:val="FootnoteReference"/>
          <w:rFonts w:ascii="Arial" w:hAnsi="Arial" w:cs="Arial"/>
        </w:rPr>
        <w:footnoteReference w:id="30"/>
      </w:r>
    </w:p>
    <w:p w14:paraId="5FC284E9" w14:textId="77777777" w:rsidR="00F56026" w:rsidRPr="001550AC" w:rsidRDefault="00F56026" w:rsidP="008231CE">
      <w:pPr>
        <w:pStyle w:val="NormalWeb"/>
        <w:shd w:val="clear" w:color="auto" w:fill="FFFFFF"/>
        <w:spacing w:before="0" w:beforeAutospacing="0" w:after="0" w:afterAutospacing="0" w:line="480" w:lineRule="auto"/>
        <w:contextualSpacing/>
        <w:jc w:val="both"/>
        <w:rPr>
          <w:rFonts w:ascii="Arial" w:hAnsi="Arial" w:cs="Arial"/>
        </w:rPr>
      </w:pPr>
    </w:p>
    <w:p w14:paraId="4471D9FA" w14:textId="537016D0" w:rsidR="00F56026"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[35]</w:t>
      </w:r>
      <w:r w:rsidRPr="001550AC">
        <w:rPr>
          <w:rFonts w:ascii="Arial" w:hAnsi="Arial" w:cs="Arial"/>
          <w:color w:val="000000" w:themeColor="text1"/>
        </w:rPr>
        <w:tab/>
      </w:r>
      <w:r w:rsidR="00F56026" w:rsidRPr="001550AC">
        <w:rPr>
          <w:rFonts w:ascii="Arial" w:hAnsi="Arial" w:cs="Arial"/>
        </w:rPr>
        <w:t>On behalf of the applicants</w:t>
      </w:r>
      <w:r w:rsidR="009F04A2">
        <w:rPr>
          <w:rFonts w:ascii="Arial" w:hAnsi="Arial" w:cs="Arial"/>
        </w:rPr>
        <w:t>,</w:t>
      </w:r>
      <w:r w:rsidR="00F56026" w:rsidRPr="001550AC">
        <w:rPr>
          <w:rFonts w:ascii="Arial" w:hAnsi="Arial" w:cs="Arial"/>
        </w:rPr>
        <w:t xml:space="preserve"> it was argued that the proper construction of s 6(4)(c) is that </w:t>
      </w:r>
      <w:r w:rsidR="00DC4728">
        <w:rPr>
          <w:rFonts w:ascii="Arial" w:hAnsi="Arial" w:cs="Arial"/>
        </w:rPr>
        <w:t>s</w:t>
      </w:r>
      <w:r w:rsidR="00BD7202">
        <w:rPr>
          <w:rFonts w:ascii="Arial" w:hAnsi="Arial" w:cs="Arial"/>
        </w:rPr>
        <w:t>ubsection</w:t>
      </w:r>
      <w:r w:rsidR="00DC4728">
        <w:rPr>
          <w:rFonts w:ascii="Arial" w:hAnsi="Arial" w:cs="Arial"/>
        </w:rPr>
        <w:t xml:space="preserve"> </w:t>
      </w:r>
      <w:r w:rsidR="00F56026" w:rsidRPr="001550AC">
        <w:rPr>
          <w:rFonts w:ascii="Arial" w:hAnsi="Arial" w:cs="Arial"/>
        </w:rPr>
        <w:t>(</w:t>
      </w:r>
      <w:proofErr w:type="spellStart"/>
      <w:r w:rsidR="00F56026" w:rsidRPr="001550AC">
        <w:rPr>
          <w:rFonts w:ascii="Arial" w:hAnsi="Arial" w:cs="Arial"/>
        </w:rPr>
        <w:t>i</w:t>
      </w:r>
      <w:proofErr w:type="spellEnd"/>
      <w:r w:rsidR="00F56026" w:rsidRPr="001550AC">
        <w:rPr>
          <w:rFonts w:ascii="Arial" w:hAnsi="Arial" w:cs="Arial"/>
        </w:rPr>
        <w:t>) is concerned with criminal matters arising from the P</w:t>
      </w:r>
      <w:r w:rsidR="00DC4728">
        <w:rPr>
          <w:rFonts w:ascii="Arial" w:hAnsi="Arial" w:cs="Arial"/>
        </w:rPr>
        <w:t>P’s</w:t>
      </w:r>
      <w:r w:rsidR="00F56026" w:rsidRPr="001550AC">
        <w:rPr>
          <w:rFonts w:ascii="Arial" w:hAnsi="Arial" w:cs="Arial"/>
        </w:rPr>
        <w:t xml:space="preserve"> investigations</w:t>
      </w:r>
      <w:r w:rsidR="00DC4728">
        <w:rPr>
          <w:rFonts w:ascii="Arial" w:hAnsi="Arial" w:cs="Arial"/>
        </w:rPr>
        <w:t>,</w:t>
      </w:r>
      <w:r w:rsidR="00F56026" w:rsidRPr="001550AC">
        <w:rPr>
          <w:rFonts w:ascii="Arial" w:hAnsi="Arial" w:cs="Arial"/>
        </w:rPr>
        <w:t xml:space="preserve"> whilst </w:t>
      </w:r>
      <w:r w:rsidR="00BD7202">
        <w:rPr>
          <w:rFonts w:ascii="Arial" w:hAnsi="Arial" w:cs="Arial"/>
        </w:rPr>
        <w:t xml:space="preserve">subsection </w:t>
      </w:r>
      <w:r w:rsidR="00F56026" w:rsidRPr="001550AC">
        <w:rPr>
          <w:rFonts w:ascii="Arial" w:hAnsi="Arial" w:cs="Arial"/>
        </w:rPr>
        <w:t>(ii) is concerned with non-criminal matters arising from the investigations.  They contend</w:t>
      </w:r>
      <w:r w:rsidR="00DC4728">
        <w:rPr>
          <w:rFonts w:ascii="Arial" w:hAnsi="Arial" w:cs="Arial"/>
        </w:rPr>
        <w:t>,</w:t>
      </w:r>
      <w:r w:rsidR="00F56026" w:rsidRPr="001550AC">
        <w:rPr>
          <w:rFonts w:ascii="Arial" w:hAnsi="Arial" w:cs="Arial"/>
        </w:rPr>
        <w:t xml:space="preserve"> accordingly</w:t>
      </w:r>
      <w:r w:rsidR="00DC4728">
        <w:rPr>
          <w:rFonts w:ascii="Arial" w:hAnsi="Arial" w:cs="Arial"/>
        </w:rPr>
        <w:t>,</w:t>
      </w:r>
      <w:r w:rsidR="00F56026" w:rsidRPr="001550AC">
        <w:rPr>
          <w:rFonts w:ascii="Arial" w:hAnsi="Arial" w:cs="Arial"/>
        </w:rPr>
        <w:t xml:space="preserve"> that </w:t>
      </w:r>
      <w:r w:rsidR="00DC4728">
        <w:rPr>
          <w:rFonts w:ascii="Arial" w:hAnsi="Arial" w:cs="Arial"/>
        </w:rPr>
        <w:t xml:space="preserve">she relied, intentionally, on the wrong section as </w:t>
      </w:r>
      <w:r w:rsidR="00F56026" w:rsidRPr="001550AC">
        <w:rPr>
          <w:rFonts w:ascii="Arial" w:hAnsi="Arial" w:cs="Arial"/>
        </w:rPr>
        <w:t xml:space="preserve">the reference to the DPCI could only occur in terms of </w:t>
      </w:r>
      <w:r w:rsidR="00BD7202">
        <w:rPr>
          <w:rFonts w:ascii="Arial" w:hAnsi="Arial" w:cs="Arial"/>
        </w:rPr>
        <w:t xml:space="preserve">subsection </w:t>
      </w:r>
      <w:r w:rsidR="00F56026" w:rsidRPr="001550AC">
        <w:rPr>
          <w:rFonts w:ascii="Arial" w:hAnsi="Arial" w:cs="Arial"/>
        </w:rPr>
        <w:t>(</w:t>
      </w:r>
      <w:proofErr w:type="spellStart"/>
      <w:r w:rsidR="00F56026" w:rsidRPr="001550AC">
        <w:rPr>
          <w:rFonts w:ascii="Arial" w:hAnsi="Arial" w:cs="Arial"/>
        </w:rPr>
        <w:t>i</w:t>
      </w:r>
      <w:proofErr w:type="spellEnd"/>
      <w:r w:rsidR="00F56026" w:rsidRPr="001550AC">
        <w:rPr>
          <w:rFonts w:ascii="Arial" w:hAnsi="Arial" w:cs="Arial"/>
        </w:rPr>
        <w:t>).</w:t>
      </w:r>
      <w:r w:rsidR="00DC4728">
        <w:rPr>
          <w:rFonts w:ascii="Arial" w:hAnsi="Arial" w:cs="Arial"/>
        </w:rPr>
        <w:t xml:space="preserve">  The argument turns on the construction of s 6(4)(c).</w:t>
      </w:r>
      <w:r w:rsidR="00DC4728">
        <w:rPr>
          <w:rStyle w:val="FootnoteReference"/>
          <w:rFonts w:ascii="Arial" w:hAnsi="Arial" w:cs="Arial"/>
        </w:rPr>
        <w:footnoteReference w:id="31"/>
      </w:r>
    </w:p>
    <w:p w14:paraId="5EC424E9" w14:textId="77777777" w:rsidR="00F56026" w:rsidRPr="001550AC" w:rsidRDefault="00F56026" w:rsidP="008231CE">
      <w:pPr>
        <w:pStyle w:val="NormalWeb"/>
        <w:shd w:val="clear" w:color="auto" w:fill="FFFFFF"/>
        <w:spacing w:before="0" w:beforeAutospacing="0" w:after="0" w:afterAutospacing="0" w:line="480" w:lineRule="auto"/>
        <w:contextualSpacing/>
        <w:jc w:val="both"/>
        <w:rPr>
          <w:rFonts w:ascii="Arial" w:hAnsi="Arial" w:cs="Arial"/>
        </w:rPr>
      </w:pPr>
    </w:p>
    <w:p w14:paraId="25C8D75D" w14:textId="26E5A823" w:rsidR="00F32F06"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[36]</w:t>
      </w:r>
      <w:r>
        <w:rPr>
          <w:rFonts w:ascii="Arial" w:hAnsi="Arial" w:cs="Arial"/>
          <w:color w:val="000000" w:themeColor="text1"/>
        </w:rPr>
        <w:tab/>
      </w:r>
      <w:r w:rsidR="00F56026" w:rsidRPr="001550AC">
        <w:rPr>
          <w:rFonts w:ascii="Arial" w:hAnsi="Arial" w:cs="Arial"/>
        </w:rPr>
        <w:t xml:space="preserve">The approach to the interpretation of documents, including statutes, was authoritatively stated in </w:t>
      </w:r>
      <w:proofErr w:type="spellStart"/>
      <w:r w:rsidR="00F56026" w:rsidRPr="001550AC">
        <w:rPr>
          <w:rFonts w:ascii="Arial" w:hAnsi="Arial" w:cs="Arial"/>
          <w:i/>
        </w:rPr>
        <w:t>Endumeni</w:t>
      </w:r>
      <w:proofErr w:type="spellEnd"/>
      <w:r w:rsidR="00F56026" w:rsidRPr="001550AC">
        <w:rPr>
          <w:rFonts w:ascii="Arial" w:hAnsi="Arial" w:cs="Arial"/>
          <w:i/>
        </w:rPr>
        <w:t xml:space="preserve"> Municipality</w:t>
      </w:r>
      <w:r w:rsidR="00DC4728">
        <w:rPr>
          <w:rFonts w:ascii="Arial" w:hAnsi="Arial" w:cs="Arial"/>
          <w:i/>
        </w:rPr>
        <w:t>.</w:t>
      </w:r>
      <w:r w:rsidR="00F56026" w:rsidRPr="001550AC">
        <w:rPr>
          <w:rStyle w:val="FootnoteReference"/>
          <w:rFonts w:ascii="Arial" w:hAnsi="Arial" w:cs="Arial"/>
        </w:rPr>
        <w:footnoteReference w:id="32"/>
      </w:r>
      <w:r w:rsidR="00F56026" w:rsidRPr="001550AC">
        <w:rPr>
          <w:rFonts w:ascii="Arial" w:hAnsi="Arial" w:cs="Arial"/>
        </w:rPr>
        <w:t xml:space="preserve"> </w:t>
      </w:r>
      <w:r w:rsidR="00DC4728">
        <w:rPr>
          <w:rFonts w:ascii="Arial" w:hAnsi="Arial" w:cs="Arial"/>
        </w:rPr>
        <w:t xml:space="preserve">It is the process of attributing meaning </w:t>
      </w:r>
      <w:r w:rsidR="00DC4728">
        <w:rPr>
          <w:rFonts w:ascii="Arial" w:hAnsi="Arial" w:cs="Arial"/>
        </w:rPr>
        <w:lastRenderedPageBreak/>
        <w:t xml:space="preserve">to the words of the relevant section in the light of the </w:t>
      </w:r>
      <w:r w:rsidR="00F32F06">
        <w:rPr>
          <w:rFonts w:ascii="Arial" w:hAnsi="Arial" w:cs="Arial"/>
        </w:rPr>
        <w:t>ordinary</w:t>
      </w:r>
      <w:r w:rsidR="00DC4728">
        <w:rPr>
          <w:rFonts w:ascii="Arial" w:hAnsi="Arial" w:cs="Arial"/>
        </w:rPr>
        <w:t xml:space="preserve"> rules of grammar and syntax;  the context in which the provisions appear; the apparent purpose to which it is directed and the material known to those responsible for its production.</w:t>
      </w:r>
      <w:r w:rsidR="00DC4728" w:rsidRPr="001550AC">
        <w:rPr>
          <w:rFonts w:ascii="Arial" w:hAnsi="Arial" w:cs="Arial"/>
        </w:rPr>
        <w:t xml:space="preserve"> </w:t>
      </w:r>
    </w:p>
    <w:p w14:paraId="24FAC0A9" w14:textId="77777777" w:rsidR="00F32F06" w:rsidRDefault="00F32F06" w:rsidP="008231CE">
      <w:pPr>
        <w:pStyle w:val="ListParagraph"/>
        <w:spacing w:after="0" w:line="480" w:lineRule="auto"/>
        <w:ind w:left="0"/>
        <w:jc w:val="both"/>
        <w:rPr>
          <w:rFonts w:ascii="Arial" w:hAnsi="Arial" w:cs="Arial"/>
        </w:rPr>
      </w:pPr>
    </w:p>
    <w:p w14:paraId="42BDDDE0" w14:textId="6FC65632" w:rsidR="00DC4728"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[37]</w:t>
      </w:r>
      <w:r>
        <w:rPr>
          <w:rFonts w:ascii="Arial" w:hAnsi="Arial" w:cs="Arial"/>
          <w:color w:val="000000" w:themeColor="text1"/>
        </w:rPr>
        <w:tab/>
      </w:r>
      <w:r w:rsidR="00F32F06">
        <w:rPr>
          <w:rFonts w:ascii="Arial" w:hAnsi="Arial" w:cs="Arial"/>
        </w:rPr>
        <w:t>As I have said</w:t>
      </w:r>
      <w:r w:rsidR="007557F9">
        <w:rPr>
          <w:rFonts w:ascii="Arial" w:hAnsi="Arial" w:cs="Arial"/>
        </w:rPr>
        <w:t>,</w:t>
      </w:r>
      <w:r w:rsidR="00F32F06">
        <w:rPr>
          <w:rFonts w:ascii="Arial" w:hAnsi="Arial" w:cs="Arial"/>
        </w:rPr>
        <w:t xml:space="preserve"> the powers set out in s 6(4) are “additional powers”, over a</w:t>
      </w:r>
      <w:r w:rsidR="00451583">
        <w:rPr>
          <w:rFonts w:ascii="Arial" w:hAnsi="Arial" w:cs="Arial"/>
        </w:rPr>
        <w:t>nd above those set out in s 182</w:t>
      </w:r>
      <w:r w:rsidR="00F32F06">
        <w:rPr>
          <w:rFonts w:ascii="Arial" w:hAnsi="Arial" w:cs="Arial"/>
        </w:rPr>
        <w:t>(1)</w:t>
      </w:r>
      <w:r w:rsidR="00451583">
        <w:rPr>
          <w:rFonts w:ascii="Arial" w:hAnsi="Arial" w:cs="Arial"/>
        </w:rPr>
        <w:t>(a)</w:t>
      </w:r>
      <w:r w:rsidR="00F32F06">
        <w:rPr>
          <w:rFonts w:ascii="Arial" w:hAnsi="Arial" w:cs="Arial"/>
        </w:rPr>
        <w:t xml:space="preserve"> of the Constitution</w:t>
      </w:r>
      <w:r w:rsidR="00BD7202">
        <w:rPr>
          <w:rFonts w:ascii="Arial" w:hAnsi="Arial" w:cs="Arial"/>
        </w:rPr>
        <w:t>,</w:t>
      </w:r>
      <w:r w:rsidR="00F32F06">
        <w:rPr>
          <w:rFonts w:ascii="Arial" w:hAnsi="Arial" w:cs="Arial"/>
        </w:rPr>
        <w:t xml:space="preserve"> which are directed at achieving the effective investigation and remedial action in respect of matters set out in s 182(1</w:t>
      </w:r>
      <w:r w:rsidR="008B2775">
        <w:rPr>
          <w:rFonts w:ascii="Arial" w:hAnsi="Arial" w:cs="Arial"/>
        </w:rPr>
        <w:t>) of the Constitution and s 6(4)</w:t>
      </w:r>
      <w:r w:rsidR="00F32F06">
        <w:rPr>
          <w:rFonts w:ascii="Arial" w:hAnsi="Arial" w:cs="Arial"/>
        </w:rPr>
        <w:t xml:space="preserve">(a) of the Act.  </w:t>
      </w:r>
      <w:r w:rsidR="00DC4728" w:rsidRPr="001550AC">
        <w:rPr>
          <w:rFonts w:ascii="Arial" w:hAnsi="Arial" w:cs="Arial"/>
        </w:rPr>
        <w:t>The</w:t>
      </w:r>
      <w:r w:rsidR="00F56026" w:rsidRPr="001550AC">
        <w:rPr>
          <w:rFonts w:ascii="Arial" w:hAnsi="Arial" w:cs="Arial"/>
        </w:rPr>
        <w:t xml:space="preserve"> applicants </w:t>
      </w:r>
      <w:proofErr w:type="spellStart"/>
      <w:r w:rsidR="00F56026" w:rsidRPr="001550AC">
        <w:rPr>
          <w:rFonts w:ascii="Arial" w:hAnsi="Arial" w:cs="Arial"/>
        </w:rPr>
        <w:t>emphasise</w:t>
      </w:r>
      <w:r w:rsidR="00DC4728">
        <w:rPr>
          <w:rFonts w:ascii="Arial" w:hAnsi="Arial" w:cs="Arial"/>
        </w:rPr>
        <w:t>d</w:t>
      </w:r>
      <w:proofErr w:type="spellEnd"/>
      <w:r w:rsidR="008B2775">
        <w:rPr>
          <w:rFonts w:ascii="Arial" w:hAnsi="Arial" w:cs="Arial"/>
        </w:rPr>
        <w:t>, correctly,</w:t>
      </w:r>
      <w:r w:rsidR="00F56026" w:rsidRPr="001550AC">
        <w:rPr>
          <w:rFonts w:ascii="Arial" w:hAnsi="Arial" w:cs="Arial"/>
        </w:rPr>
        <w:t xml:space="preserve"> that </w:t>
      </w:r>
      <w:r w:rsidR="00DC4728">
        <w:rPr>
          <w:rFonts w:ascii="Arial" w:hAnsi="Arial" w:cs="Arial"/>
        </w:rPr>
        <w:t>interpretation</w:t>
      </w:r>
      <w:r w:rsidR="00F56026" w:rsidRPr="001550AC">
        <w:rPr>
          <w:rFonts w:ascii="Arial" w:hAnsi="Arial" w:cs="Arial"/>
        </w:rPr>
        <w:t xml:space="preserve"> req</w:t>
      </w:r>
      <w:r w:rsidR="006779CC">
        <w:rPr>
          <w:rFonts w:ascii="Arial" w:hAnsi="Arial" w:cs="Arial"/>
        </w:rPr>
        <w:t xml:space="preserve">uires a sensible, businesslike </w:t>
      </w:r>
      <w:r w:rsidR="00F56026" w:rsidRPr="001550AC">
        <w:rPr>
          <w:rFonts w:ascii="Arial" w:hAnsi="Arial" w:cs="Arial"/>
        </w:rPr>
        <w:t xml:space="preserve">meaning to be preferred over an interpretation </w:t>
      </w:r>
      <w:r w:rsidR="009F04A2">
        <w:rPr>
          <w:rFonts w:ascii="Arial" w:hAnsi="Arial" w:cs="Arial"/>
        </w:rPr>
        <w:t>that</w:t>
      </w:r>
      <w:r w:rsidR="009F04A2" w:rsidRPr="001550AC">
        <w:rPr>
          <w:rFonts w:ascii="Arial" w:hAnsi="Arial" w:cs="Arial"/>
        </w:rPr>
        <w:t xml:space="preserve"> </w:t>
      </w:r>
      <w:r w:rsidR="00F56026" w:rsidRPr="001550AC">
        <w:rPr>
          <w:rFonts w:ascii="Arial" w:hAnsi="Arial" w:cs="Arial"/>
        </w:rPr>
        <w:t xml:space="preserve">results in absurdity or </w:t>
      </w:r>
      <w:r w:rsidR="005E3260" w:rsidRPr="001550AC">
        <w:rPr>
          <w:rFonts w:ascii="Arial" w:hAnsi="Arial" w:cs="Arial"/>
        </w:rPr>
        <w:t>redundancy</w:t>
      </w:r>
      <w:r w:rsidR="00F56026" w:rsidRPr="001550AC">
        <w:rPr>
          <w:rFonts w:ascii="Arial" w:hAnsi="Arial" w:cs="Arial"/>
        </w:rPr>
        <w:t xml:space="preserve">.  </w:t>
      </w:r>
    </w:p>
    <w:p w14:paraId="08F5A2FC" w14:textId="77777777" w:rsidR="00DC4728" w:rsidRDefault="00DC4728" w:rsidP="008231CE">
      <w:pPr>
        <w:pStyle w:val="ListParagraph"/>
        <w:spacing w:after="0" w:line="480" w:lineRule="auto"/>
        <w:ind w:left="0"/>
        <w:jc w:val="both"/>
        <w:rPr>
          <w:rFonts w:ascii="Arial" w:hAnsi="Arial" w:cs="Arial"/>
        </w:rPr>
      </w:pPr>
    </w:p>
    <w:p w14:paraId="527A5165" w14:textId="395AE9C1" w:rsidR="00F56026" w:rsidRPr="008B2775"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8B2775">
        <w:rPr>
          <w:rFonts w:ascii="Arial" w:hAnsi="Arial" w:cs="Arial"/>
          <w:color w:val="000000" w:themeColor="text1"/>
        </w:rPr>
        <w:t>[38]</w:t>
      </w:r>
      <w:r w:rsidRPr="008B2775">
        <w:rPr>
          <w:rFonts w:ascii="Arial" w:hAnsi="Arial" w:cs="Arial"/>
          <w:color w:val="000000" w:themeColor="text1"/>
        </w:rPr>
        <w:tab/>
      </w:r>
      <w:r w:rsidR="008B2775" w:rsidRPr="008B2775">
        <w:rPr>
          <w:rFonts w:ascii="Arial" w:hAnsi="Arial" w:cs="Arial"/>
        </w:rPr>
        <w:t>Subsections (</w:t>
      </w:r>
      <w:proofErr w:type="spellStart"/>
      <w:r w:rsidR="008B2775" w:rsidRPr="008B2775">
        <w:rPr>
          <w:rFonts w:ascii="Arial" w:hAnsi="Arial" w:cs="Arial"/>
        </w:rPr>
        <w:t>i</w:t>
      </w:r>
      <w:proofErr w:type="spellEnd"/>
      <w:r w:rsidR="008B2775" w:rsidRPr="008B2775">
        <w:rPr>
          <w:rFonts w:ascii="Arial" w:hAnsi="Arial" w:cs="Arial"/>
        </w:rPr>
        <w:t>) and (ii) of s 6(4)(c) of the Act are connected by the word “or”.</w:t>
      </w:r>
      <w:r w:rsidR="008B2775">
        <w:rPr>
          <w:rStyle w:val="FootnoteReference"/>
          <w:rFonts w:ascii="Arial" w:hAnsi="Arial" w:cs="Arial"/>
        </w:rPr>
        <w:footnoteReference w:id="33"/>
      </w:r>
      <w:r w:rsidR="008B2775" w:rsidRPr="008B2775">
        <w:rPr>
          <w:rFonts w:ascii="Arial" w:hAnsi="Arial" w:cs="Arial"/>
        </w:rPr>
        <w:t xml:space="preserve">  </w:t>
      </w:r>
      <w:r w:rsidR="00F56026" w:rsidRPr="008B2775">
        <w:rPr>
          <w:rFonts w:ascii="Arial" w:hAnsi="Arial" w:cs="Arial"/>
        </w:rPr>
        <w:t xml:space="preserve">In </w:t>
      </w:r>
      <w:r w:rsidR="00F56026" w:rsidRPr="008B2775">
        <w:rPr>
          <w:rFonts w:ascii="Arial" w:hAnsi="Arial" w:cs="Arial"/>
          <w:i/>
        </w:rPr>
        <w:t>Municipality of</w:t>
      </w:r>
      <w:r w:rsidR="00F56026" w:rsidRPr="008B2775">
        <w:rPr>
          <w:rFonts w:ascii="Arial" w:hAnsi="Arial" w:cs="Arial"/>
        </w:rPr>
        <w:t xml:space="preserve"> </w:t>
      </w:r>
      <w:r w:rsidR="00F56026" w:rsidRPr="008B2775">
        <w:rPr>
          <w:rFonts w:ascii="Arial" w:hAnsi="Arial" w:cs="Arial"/>
          <w:i/>
        </w:rPr>
        <w:t>Mossel Bay</w:t>
      </w:r>
      <w:r w:rsidR="009F04A2">
        <w:rPr>
          <w:rFonts w:ascii="Arial" w:hAnsi="Arial" w:cs="Arial"/>
          <w:i/>
        </w:rPr>
        <w:t>,</w:t>
      </w:r>
      <w:r w:rsidR="00F56026" w:rsidRPr="001550AC">
        <w:rPr>
          <w:rStyle w:val="FootnoteReference"/>
          <w:rFonts w:ascii="Arial" w:hAnsi="Arial" w:cs="Arial"/>
        </w:rPr>
        <w:footnoteReference w:id="34"/>
      </w:r>
      <w:r w:rsidR="00F56026" w:rsidRPr="008B2775">
        <w:rPr>
          <w:rFonts w:ascii="Arial" w:hAnsi="Arial" w:cs="Arial"/>
        </w:rPr>
        <w:t xml:space="preserve"> the SCA explained that the word “or” is to be construed as a disjunctive, signifying a substitution or alternative, unless the context</w:t>
      </w:r>
      <w:r w:rsidR="008B2775" w:rsidRPr="008B2775">
        <w:rPr>
          <w:rFonts w:ascii="Arial" w:hAnsi="Arial" w:cs="Arial"/>
        </w:rPr>
        <w:t xml:space="preserve">, in most exceptional cases, </w:t>
      </w:r>
      <w:r w:rsidR="00F56026" w:rsidRPr="008B2775">
        <w:rPr>
          <w:rFonts w:ascii="Arial" w:hAnsi="Arial" w:cs="Arial"/>
        </w:rPr>
        <w:t xml:space="preserve">demands </w:t>
      </w:r>
      <w:r w:rsidR="00DC4728" w:rsidRPr="008B2775">
        <w:rPr>
          <w:rFonts w:ascii="Arial" w:hAnsi="Arial" w:cs="Arial"/>
        </w:rPr>
        <w:t>otherwise</w:t>
      </w:r>
      <w:r w:rsidR="008B2775" w:rsidRPr="008B2775">
        <w:rPr>
          <w:rFonts w:ascii="Arial" w:hAnsi="Arial" w:cs="Arial"/>
        </w:rPr>
        <w:t xml:space="preserve">.  </w:t>
      </w:r>
      <w:r w:rsidR="00DC4728" w:rsidRPr="008B2775">
        <w:rPr>
          <w:rFonts w:ascii="Arial" w:hAnsi="Arial" w:cs="Arial"/>
        </w:rPr>
        <w:t xml:space="preserve">Thus, the applicants argue, </w:t>
      </w:r>
      <w:r w:rsidR="008B2775" w:rsidRPr="008B2775">
        <w:rPr>
          <w:rFonts w:ascii="Arial" w:hAnsi="Arial" w:cs="Arial"/>
        </w:rPr>
        <w:t xml:space="preserve">it </w:t>
      </w:r>
      <w:r w:rsidR="00DC4728" w:rsidRPr="008B2775">
        <w:rPr>
          <w:rFonts w:ascii="Arial" w:hAnsi="Arial" w:cs="Arial"/>
        </w:rPr>
        <w:t>must be the meaning of the term where it connects s 6(4)</w:t>
      </w:r>
      <w:r w:rsidR="00451583">
        <w:rPr>
          <w:rFonts w:ascii="Arial" w:hAnsi="Arial" w:cs="Arial"/>
        </w:rPr>
        <w:t>(c)</w:t>
      </w:r>
      <w:r w:rsidR="00DC4728" w:rsidRPr="008B2775">
        <w:rPr>
          <w:rFonts w:ascii="Arial" w:hAnsi="Arial" w:cs="Arial"/>
        </w:rPr>
        <w:t>(</w:t>
      </w:r>
      <w:proofErr w:type="spellStart"/>
      <w:r w:rsidR="00DC4728" w:rsidRPr="008B2775">
        <w:rPr>
          <w:rFonts w:ascii="Arial" w:hAnsi="Arial" w:cs="Arial"/>
        </w:rPr>
        <w:t>i</w:t>
      </w:r>
      <w:proofErr w:type="spellEnd"/>
      <w:r w:rsidR="00DC4728" w:rsidRPr="008B2775">
        <w:rPr>
          <w:rFonts w:ascii="Arial" w:hAnsi="Arial" w:cs="Arial"/>
        </w:rPr>
        <w:t>) and (ii).</w:t>
      </w:r>
      <w:r w:rsidR="008B2775" w:rsidRPr="008B2775">
        <w:rPr>
          <w:rFonts w:ascii="Arial" w:hAnsi="Arial" w:cs="Arial"/>
        </w:rPr>
        <w:t xml:space="preserve">  </w:t>
      </w:r>
      <w:r w:rsidR="00451583">
        <w:rPr>
          <w:rFonts w:ascii="Arial" w:hAnsi="Arial" w:cs="Arial"/>
        </w:rPr>
        <w:t>So</w:t>
      </w:r>
      <w:r w:rsidR="008B2775">
        <w:rPr>
          <w:rFonts w:ascii="Arial" w:hAnsi="Arial" w:cs="Arial"/>
        </w:rPr>
        <w:t>,</w:t>
      </w:r>
      <w:r w:rsidR="00F56026" w:rsidRPr="008B2775">
        <w:rPr>
          <w:rFonts w:ascii="Arial" w:hAnsi="Arial" w:cs="Arial"/>
        </w:rPr>
        <w:t xml:space="preserve"> the argument proceeds</w:t>
      </w:r>
      <w:r w:rsidR="008B2775">
        <w:rPr>
          <w:rFonts w:ascii="Arial" w:hAnsi="Arial" w:cs="Arial"/>
        </w:rPr>
        <w:t>,</w:t>
      </w:r>
      <w:r w:rsidR="00F56026" w:rsidRPr="008B2775">
        <w:rPr>
          <w:rFonts w:ascii="Arial" w:hAnsi="Arial" w:cs="Arial"/>
        </w:rPr>
        <w:t xml:space="preserve"> if the P</w:t>
      </w:r>
      <w:r w:rsidR="00DC4728" w:rsidRPr="008B2775">
        <w:rPr>
          <w:rFonts w:ascii="Arial" w:hAnsi="Arial" w:cs="Arial"/>
        </w:rPr>
        <w:t>P</w:t>
      </w:r>
      <w:r w:rsidR="00F56026" w:rsidRPr="008B2775">
        <w:rPr>
          <w:rFonts w:ascii="Arial" w:hAnsi="Arial" w:cs="Arial"/>
        </w:rPr>
        <w:t xml:space="preserve"> is permitted to make a referral to the DPCI under both s 6(4)(c)(</w:t>
      </w:r>
      <w:proofErr w:type="spellStart"/>
      <w:r w:rsidR="00F56026" w:rsidRPr="008B2775">
        <w:rPr>
          <w:rFonts w:ascii="Arial" w:hAnsi="Arial" w:cs="Arial"/>
        </w:rPr>
        <w:t>i</w:t>
      </w:r>
      <w:proofErr w:type="spellEnd"/>
      <w:r w:rsidR="00F56026" w:rsidRPr="008B2775">
        <w:rPr>
          <w:rFonts w:ascii="Arial" w:hAnsi="Arial" w:cs="Arial"/>
        </w:rPr>
        <w:t xml:space="preserve">) and (ii), it would render </w:t>
      </w:r>
      <w:r w:rsidR="007557F9">
        <w:rPr>
          <w:rFonts w:ascii="Arial" w:hAnsi="Arial" w:cs="Arial"/>
        </w:rPr>
        <w:t>(</w:t>
      </w:r>
      <w:proofErr w:type="spellStart"/>
      <w:r w:rsidR="007557F9">
        <w:rPr>
          <w:rFonts w:ascii="Arial" w:hAnsi="Arial" w:cs="Arial"/>
        </w:rPr>
        <w:t>i</w:t>
      </w:r>
      <w:proofErr w:type="spellEnd"/>
      <w:r w:rsidR="007557F9">
        <w:rPr>
          <w:rFonts w:ascii="Arial" w:hAnsi="Arial" w:cs="Arial"/>
        </w:rPr>
        <w:t>) unnecessary and superfluous which is not a sensible interpretation.</w:t>
      </w:r>
      <w:r w:rsidR="00F56026" w:rsidRPr="008B2775">
        <w:rPr>
          <w:rFonts w:ascii="Arial" w:hAnsi="Arial" w:cs="Arial"/>
        </w:rPr>
        <w:t xml:space="preserve">  </w:t>
      </w:r>
    </w:p>
    <w:p w14:paraId="39918435" w14:textId="77777777" w:rsidR="00F56026" w:rsidRPr="001550AC" w:rsidRDefault="00F56026" w:rsidP="008231CE">
      <w:pPr>
        <w:pStyle w:val="NormalWeb"/>
        <w:shd w:val="clear" w:color="auto" w:fill="FFFFFF"/>
        <w:spacing w:before="0" w:beforeAutospacing="0" w:after="0" w:afterAutospacing="0" w:line="480" w:lineRule="auto"/>
        <w:contextualSpacing/>
        <w:jc w:val="both"/>
        <w:rPr>
          <w:rFonts w:ascii="Arial" w:hAnsi="Arial" w:cs="Arial"/>
        </w:rPr>
      </w:pPr>
    </w:p>
    <w:p w14:paraId="1E89AA0A" w14:textId="2B96201E" w:rsidR="00F56026"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[39]</w:t>
      </w:r>
      <w:r w:rsidRPr="001550AC">
        <w:rPr>
          <w:rFonts w:ascii="Arial" w:hAnsi="Arial" w:cs="Arial"/>
          <w:color w:val="000000" w:themeColor="text1"/>
        </w:rPr>
        <w:tab/>
      </w:r>
      <w:r w:rsidR="00F56026" w:rsidRPr="001550AC">
        <w:rPr>
          <w:rFonts w:ascii="Arial" w:hAnsi="Arial" w:cs="Arial"/>
        </w:rPr>
        <w:t>I agree that the two sections are to be interpreted as alternatives and that the term “or” is used in a disjunctive sense.  It is also</w:t>
      </w:r>
      <w:r w:rsidR="008B2775">
        <w:rPr>
          <w:rFonts w:ascii="Arial" w:hAnsi="Arial" w:cs="Arial"/>
        </w:rPr>
        <w:t>,</w:t>
      </w:r>
      <w:r w:rsidR="00F56026" w:rsidRPr="001550AC">
        <w:rPr>
          <w:rFonts w:ascii="Arial" w:hAnsi="Arial" w:cs="Arial"/>
        </w:rPr>
        <w:t xml:space="preserve"> undoubtedly</w:t>
      </w:r>
      <w:r w:rsidR="008B2775">
        <w:rPr>
          <w:rFonts w:ascii="Arial" w:hAnsi="Arial" w:cs="Arial"/>
        </w:rPr>
        <w:t>,</w:t>
      </w:r>
      <w:r w:rsidR="00F56026" w:rsidRPr="001550AC">
        <w:rPr>
          <w:rFonts w:ascii="Arial" w:hAnsi="Arial" w:cs="Arial"/>
        </w:rPr>
        <w:t xml:space="preserve"> correct that the P</w:t>
      </w:r>
      <w:r w:rsidR="00DC4728">
        <w:rPr>
          <w:rFonts w:ascii="Arial" w:hAnsi="Arial" w:cs="Arial"/>
        </w:rPr>
        <w:t>P</w:t>
      </w:r>
      <w:r w:rsidR="00F56026" w:rsidRPr="001550AC">
        <w:rPr>
          <w:rFonts w:ascii="Arial" w:hAnsi="Arial" w:cs="Arial"/>
        </w:rPr>
        <w:t xml:space="preserve"> has </w:t>
      </w:r>
      <w:r w:rsidR="00F56026" w:rsidRPr="001550AC">
        <w:rPr>
          <w:rFonts w:ascii="Arial" w:hAnsi="Arial" w:cs="Arial"/>
        </w:rPr>
        <w:lastRenderedPageBreak/>
        <w:t>deliberately chosen to rely on s 6(4)(c)(ii), not only in her report</w:t>
      </w:r>
      <w:r w:rsidR="00DC4728">
        <w:rPr>
          <w:rFonts w:ascii="Arial" w:hAnsi="Arial" w:cs="Arial"/>
        </w:rPr>
        <w:t>, but</w:t>
      </w:r>
      <w:r w:rsidR="00F56026" w:rsidRPr="001550AC">
        <w:rPr>
          <w:rFonts w:ascii="Arial" w:hAnsi="Arial" w:cs="Arial"/>
        </w:rPr>
        <w:t xml:space="preserve"> throughout the affidavits filed on her behalf in all three applications.  </w:t>
      </w:r>
      <w:r w:rsidR="00DC4728">
        <w:rPr>
          <w:rFonts w:ascii="Arial" w:hAnsi="Arial" w:cs="Arial"/>
        </w:rPr>
        <w:t>However, I am, unable</w:t>
      </w:r>
      <w:r w:rsidR="00F56026" w:rsidRPr="001550AC">
        <w:rPr>
          <w:rFonts w:ascii="Arial" w:hAnsi="Arial" w:cs="Arial"/>
        </w:rPr>
        <w:t xml:space="preserve"> to discern any logical reason for the distinction </w:t>
      </w:r>
      <w:r w:rsidR="00DC4728">
        <w:rPr>
          <w:rFonts w:ascii="Arial" w:hAnsi="Arial" w:cs="Arial"/>
        </w:rPr>
        <w:t xml:space="preserve">that the applicants sought to draw </w:t>
      </w:r>
      <w:r w:rsidR="00F56026" w:rsidRPr="001550AC">
        <w:rPr>
          <w:rFonts w:ascii="Arial" w:hAnsi="Arial" w:cs="Arial"/>
        </w:rPr>
        <w:t>between civil matters and criminal matters</w:t>
      </w:r>
      <w:r w:rsidR="00D67F05">
        <w:rPr>
          <w:rFonts w:ascii="Arial" w:hAnsi="Arial" w:cs="Arial"/>
        </w:rPr>
        <w:t>.</w:t>
      </w:r>
      <w:r w:rsidR="00F56026" w:rsidRPr="001550AC">
        <w:rPr>
          <w:rFonts w:ascii="Arial" w:hAnsi="Arial" w:cs="Arial"/>
        </w:rPr>
        <w:t xml:space="preserve">  Section 6(4)(c)(</w:t>
      </w:r>
      <w:proofErr w:type="spellStart"/>
      <w:r w:rsidR="00F56026" w:rsidRPr="001550AC">
        <w:rPr>
          <w:rFonts w:ascii="Arial" w:hAnsi="Arial" w:cs="Arial"/>
        </w:rPr>
        <w:t>i</w:t>
      </w:r>
      <w:proofErr w:type="spellEnd"/>
      <w:r w:rsidR="00F56026" w:rsidRPr="001550AC">
        <w:rPr>
          <w:rFonts w:ascii="Arial" w:hAnsi="Arial" w:cs="Arial"/>
        </w:rPr>
        <w:t xml:space="preserve">) finds </w:t>
      </w:r>
      <w:r w:rsidR="00D67F05">
        <w:rPr>
          <w:rFonts w:ascii="Arial" w:hAnsi="Arial" w:cs="Arial"/>
        </w:rPr>
        <w:t>application where</w:t>
      </w:r>
      <w:r w:rsidR="00BC6C76" w:rsidRPr="001550AC">
        <w:rPr>
          <w:rFonts w:ascii="Arial" w:hAnsi="Arial" w:cs="Arial"/>
        </w:rPr>
        <w:t xml:space="preserve"> the </w:t>
      </w:r>
      <w:r w:rsidR="00D67F05">
        <w:rPr>
          <w:rFonts w:ascii="Arial" w:hAnsi="Arial" w:cs="Arial"/>
        </w:rPr>
        <w:t xml:space="preserve">PP forms an </w:t>
      </w:r>
      <w:r w:rsidR="00BC6C76" w:rsidRPr="001550AC">
        <w:rPr>
          <w:rFonts w:ascii="Arial" w:hAnsi="Arial" w:cs="Arial"/>
        </w:rPr>
        <w:t xml:space="preserve">opinion </w:t>
      </w:r>
      <w:r w:rsidR="008B2775">
        <w:rPr>
          <w:rFonts w:ascii="Arial" w:hAnsi="Arial" w:cs="Arial"/>
        </w:rPr>
        <w:t>that</w:t>
      </w:r>
      <w:r w:rsidR="00BC6C76" w:rsidRPr="001550AC">
        <w:rPr>
          <w:rFonts w:ascii="Arial" w:hAnsi="Arial" w:cs="Arial"/>
        </w:rPr>
        <w:t xml:space="preserve"> the facts </w:t>
      </w:r>
      <w:r w:rsidR="008B2775">
        <w:rPr>
          <w:rFonts w:ascii="Arial" w:hAnsi="Arial" w:cs="Arial"/>
        </w:rPr>
        <w:t>established</w:t>
      </w:r>
      <w:r w:rsidR="0006385F">
        <w:rPr>
          <w:rFonts w:ascii="Arial" w:hAnsi="Arial" w:cs="Arial"/>
        </w:rPr>
        <w:t>,</w:t>
      </w:r>
      <w:r w:rsidR="00BC6C76" w:rsidRPr="001550AC">
        <w:rPr>
          <w:rFonts w:ascii="Arial" w:hAnsi="Arial" w:cs="Arial"/>
        </w:rPr>
        <w:t xml:space="preserve"> during an investigation</w:t>
      </w:r>
      <w:r w:rsidR="0006385F">
        <w:rPr>
          <w:rFonts w:ascii="Arial" w:hAnsi="Arial" w:cs="Arial"/>
        </w:rPr>
        <w:t xml:space="preserve"> that</w:t>
      </w:r>
      <w:r w:rsidR="00BC6C76" w:rsidRPr="001550AC">
        <w:rPr>
          <w:rFonts w:ascii="Arial" w:hAnsi="Arial" w:cs="Arial"/>
        </w:rPr>
        <w:t xml:space="preserve"> falls within the ambit of her authority</w:t>
      </w:r>
      <w:r w:rsidR="00D67F05">
        <w:rPr>
          <w:rFonts w:ascii="Arial" w:hAnsi="Arial" w:cs="Arial"/>
        </w:rPr>
        <w:t>,</w:t>
      </w:r>
      <w:r w:rsidR="00BC6C76" w:rsidRPr="001550AC">
        <w:rPr>
          <w:rFonts w:ascii="Arial" w:hAnsi="Arial" w:cs="Arial"/>
        </w:rPr>
        <w:t xml:space="preserve"> </w:t>
      </w:r>
      <w:r w:rsidR="008B2775">
        <w:rPr>
          <w:rFonts w:ascii="Arial" w:hAnsi="Arial" w:cs="Arial"/>
        </w:rPr>
        <w:t xml:space="preserve">disclosed that a </w:t>
      </w:r>
      <w:r w:rsidR="00BC6C76" w:rsidRPr="001550AC">
        <w:rPr>
          <w:rFonts w:ascii="Arial" w:hAnsi="Arial" w:cs="Arial"/>
        </w:rPr>
        <w:t xml:space="preserve">person has committed an offence.  </w:t>
      </w:r>
      <w:r w:rsidR="00D67F05">
        <w:rPr>
          <w:rFonts w:ascii="Arial" w:hAnsi="Arial" w:cs="Arial"/>
        </w:rPr>
        <w:t xml:space="preserve">If this occurs, </w:t>
      </w:r>
      <w:r w:rsidR="00BC6C76" w:rsidRPr="001550AC">
        <w:rPr>
          <w:rFonts w:ascii="Arial" w:hAnsi="Arial" w:cs="Arial"/>
        </w:rPr>
        <w:t xml:space="preserve">she is empowered to refer the matter to </w:t>
      </w:r>
      <w:r w:rsidR="00D67F05">
        <w:rPr>
          <w:rFonts w:ascii="Arial" w:hAnsi="Arial" w:cs="Arial"/>
        </w:rPr>
        <w:t>“</w:t>
      </w:r>
      <w:r w:rsidR="00BC6C76" w:rsidRPr="001550AC">
        <w:rPr>
          <w:rFonts w:ascii="Arial" w:hAnsi="Arial" w:cs="Arial"/>
        </w:rPr>
        <w:t>the relevant authority charged with prosecutions</w:t>
      </w:r>
      <w:r w:rsidR="00D67F05">
        <w:rPr>
          <w:rFonts w:ascii="Arial" w:hAnsi="Arial" w:cs="Arial"/>
        </w:rPr>
        <w:t>”</w:t>
      </w:r>
      <w:r w:rsidR="00BC6C76" w:rsidRPr="001550AC">
        <w:rPr>
          <w:rFonts w:ascii="Arial" w:hAnsi="Arial" w:cs="Arial"/>
        </w:rPr>
        <w:t>.  The authority charged with prosecutions is the national prosecuting authority.  Th</w:t>
      </w:r>
      <w:r w:rsidR="00D67F05">
        <w:rPr>
          <w:rFonts w:ascii="Arial" w:hAnsi="Arial" w:cs="Arial"/>
        </w:rPr>
        <w:t>us, the</w:t>
      </w:r>
      <w:r w:rsidR="00BC6C76" w:rsidRPr="001550AC">
        <w:rPr>
          <w:rFonts w:ascii="Arial" w:hAnsi="Arial" w:cs="Arial"/>
        </w:rPr>
        <w:t xml:space="preserve"> section empowers the P</w:t>
      </w:r>
      <w:r w:rsidR="00D67F05">
        <w:rPr>
          <w:rFonts w:ascii="Arial" w:hAnsi="Arial" w:cs="Arial"/>
        </w:rPr>
        <w:t>P</w:t>
      </w:r>
      <w:r w:rsidR="00BC6C76" w:rsidRPr="001550AC">
        <w:rPr>
          <w:rFonts w:ascii="Arial" w:hAnsi="Arial" w:cs="Arial"/>
        </w:rPr>
        <w:t xml:space="preserve"> to draw the </w:t>
      </w:r>
      <w:r w:rsidR="00D67F05">
        <w:rPr>
          <w:rFonts w:ascii="Arial" w:hAnsi="Arial" w:cs="Arial"/>
        </w:rPr>
        <w:t xml:space="preserve">matter to the </w:t>
      </w:r>
      <w:r w:rsidR="00BC6C76" w:rsidRPr="001550AC">
        <w:rPr>
          <w:rFonts w:ascii="Arial" w:hAnsi="Arial" w:cs="Arial"/>
        </w:rPr>
        <w:t>attention of the national prosecuting authority</w:t>
      </w:r>
      <w:r w:rsidR="002940CA">
        <w:rPr>
          <w:rFonts w:ascii="Arial" w:hAnsi="Arial" w:cs="Arial"/>
        </w:rPr>
        <w:t xml:space="preserve"> for their consideration</w:t>
      </w:r>
      <w:r w:rsidR="00D67F05">
        <w:rPr>
          <w:rFonts w:ascii="Arial" w:hAnsi="Arial" w:cs="Arial"/>
        </w:rPr>
        <w:t xml:space="preserve">.  </w:t>
      </w:r>
      <w:r w:rsidR="00BC6C76" w:rsidRPr="001550AC">
        <w:rPr>
          <w:rFonts w:ascii="Arial" w:hAnsi="Arial" w:cs="Arial"/>
        </w:rPr>
        <w:t xml:space="preserve">The subsection does not </w:t>
      </w:r>
      <w:proofErr w:type="spellStart"/>
      <w:r w:rsidR="00BC6C76" w:rsidRPr="001550AC">
        <w:rPr>
          <w:rFonts w:ascii="Arial" w:hAnsi="Arial" w:cs="Arial"/>
        </w:rPr>
        <w:t>authorise</w:t>
      </w:r>
      <w:proofErr w:type="spellEnd"/>
      <w:r w:rsidR="00BC6C76" w:rsidRPr="001550AC">
        <w:rPr>
          <w:rFonts w:ascii="Arial" w:hAnsi="Arial" w:cs="Arial"/>
        </w:rPr>
        <w:t xml:space="preserve"> a reference to the South African Police Service (SAPS) or the DPCI</w:t>
      </w:r>
      <w:r w:rsidR="00D67F05">
        <w:rPr>
          <w:rFonts w:ascii="Arial" w:hAnsi="Arial" w:cs="Arial"/>
        </w:rPr>
        <w:t>.  T</w:t>
      </w:r>
      <w:r w:rsidR="00BC6C76" w:rsidRPr="001550AC">
        <w:rPr>
          <w:rFonts w:ascii="Arial" w:hAnsi="Arial" w:cs="Arial"/>
        </w:rPr>
        <w:t xml:space="preserve">hese institutions are charged with </w:t>
      </w:r>
      <w:r w:rsidR="0041214C">
        <w:rPr>
          <w:rFonts w:ascii="Arial" w:hAnsi="Arial" w:cs="Arial"/>
        </w:rPr>
        <w:t xml:space="preserve">investigation, not </w:t>
      </w:r>
      <w:r w:rsidR="00BC6C76" w:rsidRPr="001550AC">
        <w:rPr>
          <w:rFonts w:ascii="Arial" w:hAnsi="Arial" w:cs="Arial"/>
        </w:rPr>
        <w:t xml:space="preserve">prosecution.  </w:t>
      </w:r>
    </w:p>
    <w:p w14:paraId="224D11BC" w14:textId="77777777" w:rsidR="00BC6C76" w:rsidRPr="001550AC" w:rsidRDefault="00BC6C76" w:rsidP="008231CE">
      <w:pPr>
        <w:pStyle w:val="NormalWeb"/>
        <w:shd w:val="clear" w:color="auto" w:fill="FFFFFF"/>
        <w:spacing w:before="0" w:beforeAutospacing="0" w:after="0" w:afterAutospacing="0" w:line="480" w:lineRule="auto"/>
        <w:contextualSpacing/>
        <w:jc w:val="both"/>
        <w:rPr>
          <w:rFonts w:ascii="Arial" w:hAnsi="Arial" w:cs="Arial"/>
        </w:rPr>
      </w:pPr>
    </w:p>
    <w:p w14:paraId="01AE1372" w14:textId="7B5FF710" w:rsidR="00BC6C76" w:rsidRPr="00EB1F28"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EB1F28">
        <w:rPr>
          <w:rFonts w:ascii="Arial" w:hAnsi="Arial" w:cs="Arial"/>
          <w:color w:val="000000" w:themeColor="text1"/>
        </w:rPr>
        <w:t>[40]</w:t>
      </w:r>
      <w:r w:rsidRPr="00EB1F28">
        <w:rPr>
          <w:rFonts w:ascii="Arial" w:hAnsi="Arial" w:cs="Arial"/>
          <w:color w:val="000000" w:themeColor="text1"/>
        </w:rPr>
        <w:tab/>
      </w:r>
      <w:r w:rsidR="00B66B9C" w:rsidRPr="00FC7CC3">
        <w:rPr>
          <w:rFonts w:ascii="Arial" w:hAnsi="Arial" w:cs="Arial"/>
        </w:rPr>
        <w:t xml:space="preserve">However, </w:t>
      </w:r>
      <w:r w:rsidR="007557F9" w:rsidRPr="00FC7CC3">
        <w:rPr>
          <w:rFonts w:ascii="Arial" w:hAnsi="Arial" w:cs="Arial"/>
        </w:rPr>
        <w:t xml:space="preserve">if, in the course of </w:t>
      </w:r>
      <w:r w:rsidR="00B66B9C" w:rsidRPr="00FC7CC3">
        <w:rPr>
          <w:rFonts w:ascii="Arial" w:hAnsi="Arial" w:cs="Arial"/>
        </w:rPr>
        <w:t>an</w:t>
      </w:r>
      <w:r w:rsidR="00BC6C76" w:rsidRPr="00FC7CC3">
        <w:rPr>
          <w:rFonts w:ascii="Arial" w:hAnsi="Arial" w:cs="Arial"/>
        </w:rPr>
        <w:t xml:space="preserve"> investigation </w:t>
      </w:r>
      <w:r w:rsidR="0041214C" w:rsidRPr="00FC7CC3">
        <w:rPr>
          <w:rFonts w:ascii="Arial" w:hAnsi="Arial" w:cs="Arial"/>
        </w:rPr>
        <w:t>that</w:t>
      </w:r>
      <w:r w:rsidR="00B66B9C" w:rsidRPr="00FC7CC3">
        <w:rPr>
          <w:rFonts w:ascii="Arial" w:hAnsi="Arial" w:cs="Arial"/>
        </w:rPr>
        <w:t xml:space="preserve"> falls properly within her authority,</w:t>
      </w:r>
      <w:r w:rsidR="0041214C" w:rsidRPr="00FC7CC3">
        <w:rPr>
          <w:rFonts w:ascii="Arial" w:hAnsi="Arial" w:cs="Arial"/>
        </w:rPr>
        <w:t xml:space="preserve"> </w:t>
      </w:r>
      <w:r w:rsidR="007557F9" w:rsidRPr="00FC7CC3">
        <w:rPr>
          <w:rFonts w:ascii="Arial" w:hAnsi="Arial" w:cs="Arial"/>
        </w:rPr>
        <w:t xml:space="preserve">she </w:t>
      </w:r>
      <w:r w:rsidR="0006385F">
        <w:rPr>
          <w:rFonts w:ascii="Arial" w:hAnsi="Arial" w:cs="Arial"/>
        </w:rPr>
        <w:t xml:space="preserve">coincidently </w:t>
      </w:r>
      <w:r w:rsidR="007557F9" w:rsidRPr="00FC7CC3">
        <w:rPr>
          <w:rFonts w:ascii="Arial" w:hAnsi="Arial" w:cs="Arial"/>
        </w:rPr>
        <w:t>comes across information</w:t>
      </w:r>
      <w:r w:rsidR="0006385F">
        <w:rPr>
          <w:rStyle w:val="FootnoteReference"/>
          <w:rFonts w:ascii="Arial" w:hAnsi="Arial" w:cs="Arial"/>
        </w:rPr>
        <w:footnoteReference w:id="35"/>
      </w:r>
      <w:r w:rsidR="007557F9" w:rsidRPr="00FC7CC3">
        <w:rPr>
          <w:rFonts w:ascii="Arial" w:hAnsi="Arial" w:cs="Arial"/>
        </w:rPr>
        <w:t xml:space="preserve"> that, in her opinion, gives rise to a well-founded suspicion of</w:t>
      </w:r>
      <w:r w:rsidR="00BC6C76" w:rsidRPr="00FC7CC3">
        <w:rPr>
          <w:rFonts w:ascii="Arial" w:hAnsi="Arial" w:cs="Arial"/>
        </w:rPr>
        <w:t xml:space="preserve"> the commission of an offence</w:t>
      </w:r>
      <w:r w:rsidR="00B66B9C" w:rsidRPr="00FC7CC3">
        <w:rPr>
          <w:rFonts w:ascii="Arial" w:hAnsi="Arial" w:cs="Arial"/>
        </w:rPr>
        <w:t xml:space="preserve"> by any person,</w:t>
      </w:r>
      <w:r w:rsidR="0041214C" w:rsidRPr="00FC7CC3">
        <w:rPr>
          <w:rFonts w:ascii="Arial" w:hAnsi="Arial" w:cs="Arial"/>
        </w:rPr>
        <w:t xml:space="preserve"> </w:t>
      </w:r>
      <w:r w:rsidR="00BC6C76" w:rsidRPr="00FC7CC3">
        <w:rPr>
          <w:rFonts w:ascii="Arial" w:hAnsi="Arial" w:cs="Arial"/>
        </w:rPr>
        <w:t xml:space="preserve">the appropriate </w:t>
      </w:r>
      <w:r w:rsidR="007557F9" w:rsidRPr="00FC7CC3">
        <w:rPr>
          <w:rFonts w:ascii="Arial" w:hAnsi="Arial" w:cs="Arial"/>
        </w:rPr>
        <w:t xml:space="preserve">public </w:t>
      </w:r>
      <w:r w:rsidR="00BC6C76" w:rsidRPr="00FC7CC3">
        <w:rPr>
          <w:rFonts w:ascii="Arial" w:hAnsi="Arial" w:cs="Arial"/>
        </w:rPr>
        <w:t>body to whom it should be referred is an investigative body</w:t>
      </w:r>
      <w:r w:rsidR="0041214C" w:rsidRPr="00FC7CC3">
        <w:rPr>
          <w:rFonts w:ascii="Arial" w:hAnsi="Arial" w:cs="Arial"/>
        </w:rPr>
        <w:t>.</w:t>
      </w:r>
      <w:r w:rsidR="00A602D6">
        <w:rPr>
          <w:rStyle w:val="FootnoteReference"/>
          <w:rFonts w:ascii="Arial" w:hAnsi="Arial" w:cs="Arial"/>
        </w:rPr>
        <w:footnoteReference w:id="36"/>
      </w:r>
      <w:r w:rsidR="00BC6C76" w:rsidRPr="00FC7CC3">
        <w:rPr>
          <w:rFonts w:ascii="Arial" w:hAnsi="Arial" w:cs="Arial"/>
        </w:rPr>
        <w:t xml:space="preserve">  The </w:t>
      </w:r>
      <w:r w:rsidR="0041214C" w:rsidRPr="00FC7CC3">
        <w:rPr>
          <w:rFonts w:ascii="Arial" w:hAnsi="Arial" w:cs="Arial"/>
        </w:rPr>
        <w:t xml:space="preserve">PP </w:t>
      </w:r>
      <w:r w:rsidR="00BC6C76" w:rsidRPr="00FC7CC3">
        <w:rPr>
          <w:rFonts w:ascii="Arial" w:hAnsi="Arial" w:cs="Arial"/>
        </w:rPr>
        <w:t>is not empowered</w:t>
      </w:r>
      <w:r w:rsidR="0006385F">
        <w:rPr>
          <w:rFonts w:ascii="Arial" w:hAnsi="Arial" w:cs="Arial"/>
        </w:rPr>
        <w:t>,</w:t>
      </w:r>
      <w:r w:rsidR="009F04A2" w:rsidDel="009F04A2">
        <w:rPr>
          <w:rFonts w:ascii="Arial" w:hAnsi="Arial" w:cs="Arial"/>
        </w:rPr>
        <w:t xml:space="preserve"> </w:t>
      </w:r>
      <w:r w:rsidR="00BC6C76" w:rsidRPr="00FC7CC3">
        <w:rPr>
          <w:rFonts w:ascii="Arial" w:hAnsi="Arial" w:cs="Arial"/>
        </w:rPr>
        <w:t>to investigate crime</w:t>
      </w:r>
      <w:r w:rsidR="00A54639">
        <w:rPr>
          <w:rFonts w:ascii="Arial" w:hAnsi="Arial" w:cs="Arial"/>
        </w:rPr>
        <w:t xml:space="preserve"> </w:t>
      </w:r>
      <w:r w:rsidR="00BC6C76" w:rsidRPr="00FC7CC3">
        <w:rPr>
          <w:rFonts w:ascii="Arial" w:hAnsi="Arial" w:cs="Arial"/>
        </w:rPr>
        <w:t xml:space="preserve">unless the offences fall within the ambit of s 6(4)(a), </w:t>
      </w:r>
      <w:r w:rsidR="009F04A2">
        <w:rPr>
          <w:rFonts w:ascii="Arial" w:hAnsi="Arial" w:cs="Arial"/>
        </w:rPr>
        <w:t>which</w:t>
      </w:r>
      <w:r w:rsidR="009F04A2" w:rsidRPr="00FC7CC3">
        <w:rPr>
          <w:rFonts w:ascii="Arial" w:hAnsi="Arial" w:cs="Arial"/>
        </w:rPr>
        <w:t xml:space="preserve"> </w:t>
      </w:r>
      <w:r w:rsidR="00BC6C76" w:rsidRPr="00FC7CC3">
        <w:rPr>
          <w:rFonts w:ascii="Arial" w:hAnsi="Arial" w:cs="Arial"/>
        </w:rPr>
        <w:t xml:space="preserve">is the function of the SAPS.  As I have said she </w:t>
      </w:r>
      <w:r w:rsidR="0041214C" w:rsidRPr="00FC7CC3">
        <w:rPr>
          <w:rFonts w:ascii="Arial" w:hAnsi="Arial" w:cs="Arial"/>
        </w:rPr>
        <w:t>was</w:t>
      </w:r>
      <w:r w:rsidR="00BC6C76" w:rsidRPr="00FC7CC3">
        <w:rPr>
          <w:rFonts w:ascii="Arial" w:hAnsi="Arial" w:cs="Arial"/>
        </w:rPr>
        <w:t xml:space="preserve"> not empowered by s 6(4)(c)(</w:t>
      </w:r>
      <w:proofErr w:type="spellStart"/>
      <w:r w:rsidR="00BC6C76" w:rsidRPr="00FC7CC3">
        <w:rPr>
          <w:rFonts w:ascii="Arial" w:hAnsi="Arial" w:cs="Arial"/>
        </w:rPr>
        <w:t>i</w:t>
      </w:r>
      <w:proofErr w:type="spellEnd"/>
      <w:r w:rsidR="00BC6C76" w:rsidRPr="00FC7CC3">
        <w:rPr>
          <w:rFonts w:ascii="Arial" w:hAnsi="Arial" w:cs="Arial"/>
        </w:rPr>
        <w:t xml:space="preserve">) to refer such matters to the SAPS or the DPCI.  </w:t>
      </w:r>
      <w:r w:rsidR="00B66B9C" w:rsidRPr="00FC7CC3">
        <w:rPr>
          <w:rFonts w:ascii="Arial" w:hAnsi="Arial" w:cs="Arial"/>
        </w:rPr>
        <w:t xml:space="preserve">Her authority to do so arises from s 6(4)(c)(ii).  </w:t>
      </w:r>
      <w:r w:rsidR="0041214C" w:rsidRPr="00FC7CC3">
        <w:rPr>
          <w:rFonts w:ascii="Arial" w:hAnsi="Arial" w:cs="Arial"/>
          <w:color w:val="000000" w:themeColor="text1"/>
        </w:rPr>
        <w:t>Thus</w:t>
      </w:r>
      <w:r w:rsidR="004B19E7" w:rsidRPr="00FC7CC3">
        <w:rPr>
          <w:rFonts w:ascii="Arial" w:hAnsi="Arial" w:cs="Arial"/>
          <w:color w:val="000000" w:themeColor="text1"/>
        </w:rPr>
        <w:t>,</w:t>
      </w:r>
      <w:r w:rsidR="0041214C" w:rsidRPr="00FC7CC3">
        <w:rPr>
          <w:rFonts w:ascii="Arial" w:hAnsi="Arial" w:cs="Arial"/>
          <w:color w:val="000000" w:themeColor="text1"/>
        </w:rPr>
        <w:t xml:space="preserve"> she di</w:t>
      </w:r>
      <w:r w:rsidR="00B66B9C" w:rsidRPr="00FC7CC3">
        <w:rPr>
          <w:rFonts w:ascii="Arial" w:hAnsi="Arial" w:cs="Arial"/>
          <w:color w:val="000000" w:themeColor="text1"/>
        </w:rPr>
        <w:t>d not rely on the wrong section.</w:t>
      </w:r>
      <w:r w:rsidR="0041214C" w:rsidRPr="00FC7CC3">
        <w:rPr>
          <w:rFonts w:ascii="Arial" w:hAnsi="Arial" w:cs="Arial"/>
          <w:color w:val="000000" w:themeColor="text1"/>
        </w:rPr>
        <w:t xml:space="preserve"> </w:t>
      </w:r>
      <w:r w:rsidR="00EB1F28">
        <w:rPr>
          <w:rFonts w:ascii="Arial" w:hAnsi="Arial" w:cs="Arial"/>
        </w:rPr>
        <w:t xml:space="preserve">No absurdity or redundancy arises from this </w:t>
      </w:r>
      <w:r w:rsidR="00EB1F28">
        <w:rPr>
          <w:rFonts w:ascii="Arial" w:hAnsi="Arial" w:cs="Arial"/>
        </w:rPr>
        <w:lastRenderedPageBreak/>
        <w:t>interpretation and the</w:t>
      </w:r>
      <w:r w:rsidR="00EB1F28" w:rsidRPr="001550AC">
        <w:rPr>
          <w:rFonts w:ascii="Arial" w:hAnsi="Arial" w:cs="Arial"/>
        </w:rPr>
        <w:t xml:space="preserve"> first contention can accordingly not be upheld. </w:t>
      </w:r>
      <w:r w:rsidR="00EB1F28">
        <w:rPr>
          <w:rFonts w:ascii="Arial" w:hAnsi="Arial" w:cs="Arial"/>
        </w:rPr>
        <w:t xml:space="preserve"> </w:t>
      </w:r>
      <w:r w:rsidR="00BC6C76" w:rsidRPr="00EB1F28">
        <w:rPr>
          <w:rFonts w:ascii="Arial" w:hAnsi="Arial" w:cs="Arial"/>
        </w:rPr>
        <w:t xml:space="preserve">If the interpretation contended for by the applicants is </w:t>
      </w:r>
      <w:r w:rsidR="003851DC" w:rsidRPr="00EB1F28">
        <w:rPr>
          <w:rFonts w:ascii="Arial" w:hAnsi="Arial" w:cs="Arial"/>
        </w:rPr>
        <w:t>accepted,</w:t>
      </w:r>
      <w:r w:rsidR="00BC6C76" w:rsidRPr="00EB1F28">
        <w:rPr>
          <w:rFonts w:ascii="Arial" w:hAnsi="Arial" w:cs="Arial"/>
        </w:rPr>
        <w:t xml:space="preserve"> it would have the absurd result that she would be precluded from referring matters to the police at all.  </w:t>
      </w:r>
    </w:p>
    <w:p w14:paraId="0E2CAE18" w14:textId="77777777" w:rsidR="00FC7CC3" w:rsidRPr="00FC7CC3" w:rsidRDefault="00FC7CC3" w:rsidP="00FC7CC3">
      <w:pPr>
        <w:pStyle w:val="NormalWeb"/>
        <w:shd w:val="clear" w:color="auto" w:fill="FFFFFF"/>
        <w:spacing w:before="0" w:beforeAutospacing="0" w:after="0" w:afterAutospacing="0" w:line="480" w:lineRule="auto"/>
        <w:contextualSpacing/>
        <w:jc w:val="both"/>
        <w:rPr>
          <w:rFonts w:ascii="Arial" w:hAnsi="Arial" w:cs="Arial"/>
        </w:rPr>
      </w:pPr>
    </w:p>
    <w:p w14:paraId="631F929B" w14:textId="40A4550F" w:rsidR="002940CA"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[41]</w:t>
      </w:r>
      <w:r>
        <w:rPr>
          <w:rFonts w:ascii="Arial" w:hAnsi="Arial" w:cs="Arial"/>
          <w:color w:val="000000" w:themeColor="text1"/>
        </w:rPr>
        <w:tab/>
      </w:r>
      <w:r w:rsidR="00BC6C76" w:rsidRPr="001550AC">
        <w:rPr>
          <w:rFonts w:ascii="Arial" w:hAnsi="Arial" w:cs="Arial"/>
        </w:rPr>
        <w:t xml:space="preserve">The second contention was that the remedial action </w:t>
      </w:r>
      <w:r w:rsidR="00451583">
        <w:rPr>
          <w:rFonts w:ascii="Arial" w:hAnsi="Arial" w:cs="Arial"/>
        </w:rPr>
        <w:t>taken by</w:t>
      </w:r>
      <w:r w:rsidR="00BC6C76" w:rsidRPr="001550AC">
        <w:rPr>
          <w:rFonts w:ascii="Arial" w:hAnsi="Arial" w:cs="Arial"/>
        </w:rPr>
        <w:t xml:space="preserve"> the P</w:t>
      </w:r>
      <w:r w:rsidR="0041214C">
        <w:rPr>
          <w:rFonts w:ascii="Arial" w:hAnsi="Arial" w:cs="Arial"/>
        </w:rPr>
        <w:t>P</w:t>
      </w:r>
      <w:r w:rsidR="00BC6C76" w:rsidRPr="001550AC">
        <w:rPr>
          <w:rFonts w:ascii="Arial" w:hAnsi="Arial" w:cs="Arial"/>
        </w:rPr>
        <w:t xml:space="preserve"> is binding and</w:t>
      </w:r>
      <w:r w:rsidR="00B66B9C">
        <w:rPr>
          <w:rFonts w:ascii="Arial" w:hAnsi="Arial" w:cs="Arial"/>
        </w:rPr>
        <w:t>,</w:t>
      </w:r>
      <w:r w:rsidR="00BC6C76" w:rsidRPr="001550AC">
        <w:rPr>
          <w:rFonts w:ascii="Arial" w:hAnsi="Arial" w:cs="Arial"/>
        </w:rPr>
        <w:t xml:space="preserve"> accordingly</w:t>
      </w:r>
      <w:r w:rsidR="00B66B9C">
        <w:rPr>
          <w:rFonts w:ascii="Arial" w:hAnsi="Arial" w:cs="Arial"/>
        </w:rPr>
        <w:t>,</w:t>
      </w:r>
      <w:r w:rsidR="00BC6C76" w:rsidRPr="001550AC">
        <w:rPr>
          <w:rFonts w:ascii="Arial" w:hAnsi="Arial" w:cs="Arial"/>
        </w:rPr>
        <w:t xml:space="preserve"> her reference to the DPCI is an injunction to them</w:t>
      </w:r>
      <w:r w:rsidR="0006385F">
        <w:rPr>
          <w:rFonts w:ascii="Arial" w:hAnsi="Arial" w:cs="Arial"/>
        </w:rPr>
        <w:t>,</w:t>
      </w:r>
      <w:r w:rsidR="00BC6C76" w:rsidRPr="001550AC">
        <w:rPr>
          <w:rFonts w:ascii="Arial" w:hAnsi="Arial" w:cs="Arial"/>
        </w:rPr>
        <w:t xml:space="preserve"> which </w:t>
      </w:r>
      <w:r w:rsidR="0041214C">
        <w:rPr>
          <w:rFonts w:ascii="Arial" w:hAnsi="Arial" w:cs="Arial"/>
        </w:rPr>
        <w:t xml:space="preserve">directs them to </w:t>
      </w:r>
      <w:r w:rsidR="007557F9">
        <w:rPr>
          <w:rFonts w:ascii="Arial" w:hAnsi="Arial" w:cs="Arial"/>
        </w:rPr>
        <w:t>investigate criminal activity</w:t>
      </w:r>
      <w:r w:rsidR="0006385F">
        <w:rPr>
          <w:rFonts w:ascii="Arial" w:hAnsi="Arial" w:cs="Arial"/>
        </w:rPr>
        <w:t>,</w:t>
      </w:r>
      <w:r w:rsidR="0041214C">
        <w:rPr>
          <w:rFonts w:ascii="Arial" w:hAnsi="Arial" w:cs="Arial"/>
        </w:rPr>
        <w:t xml:space="preserve"> and </w:t>
      </w:r>
      <w:r w:rsidR="00BC6C76" w:rsidRPr="001550AC">
        <w:rPr>
          <w:rFonts w:ascii="Arial" w:hAnsi="Arial" w:cs="Arial"/>
        </w:rPr>
        <w:t xml:space="preserve">will </w:t>
      </w:r>
      <w:r w:rsidR="0041214C">
        <w:rPr>
          <w:rFonts w:ascii="Arial" w:hAnsi="Arial" w:cs="Arial"/>
        </w:rPr>
        <w:t>undermine</w:t>
      </w:r>
      <w:r w:rsidR="00BC6C76" w:rsidRPr="001550AC">
        <w:rPr>
          <w:rFonts w:ascii="Arial" w:hAnsi="Arial" w:cs="Arial"/>
        </w:rPr>
        <w:t xml:space="preserve"> their independence.</w:t>
      </w:r>
      <w:r w:rsidR="00757AB8">
        <w:rPr>
          <w:rStyle w:val="FootnoteReference"/>
          <w:rFonts w:ascii="Arial" w:hAnsi="Arial" w:cs="Arial"/>
        </w:rPr>
        <w:footnoteReference w:id="37"/>
      </w:r>
      <w:r w:rsidR="00757AB8">
        <w:rPr>
          <w:rFonts w:ascii="Arial" w:hAnsi="Arial" w:cs="Arial"/>
        </w:rPr>
        <w:t xml:space="preserve"> </w:t>
      </w:r>
      <w:r w:rsidR="00C53480">
        <w:rPr>
          <w:rFonts w:ascii="Arial" w:hAnsi="Arial" w:cs="Arial"/>
        </w:rPr>
        <w:t xml:space="preserve">It was contended that the PP does not have the competence to do so.  The effect of the decision in </w:t>
      </w:r>
      <w:r w:rsidR="00C53480" w:rsidRPr="008743C0">
        <w:rPr>
          <w:rFonts w:ascii="Arial" w:hAnsi="Arial" w:cs="Arial"/>
          <w:i/>
        </w:rPr>
        <w:t>SABC</w:t>
      </w:r>
      <w:r w:rsidR="00C53480">
        <w:rPr>
          <w:rStyle w:val="FootnoteReference"/>
          <w:rFonts w:ascii="Arial" w:hAnsi="Arial" w:cs="Arial"/>
        </w:rPr>
        <w:footnoteReference w:id="38"/>
      </w:r>
      <w:r w:rsidR="008743C0">
        <w:rPr>
          <w:rFonts w:ascii="Arial" w:hAnsi="Arial" w:cs="Arial"/>
        </w:rPr>
        <w:t xml:space="preserve"> and </w:t>
      </w:r>
      <w:r w:rsidR="008743C0" w:rsidRPr="008743C0">
        <w:rPr>
          <w:rFonts w:ascii="Arial" w:hAnsi="Arial" w:cs="Arial"/>
          <w:i/>
        </w:rPr>
        <w:t>Economic Freedom Fighters</w:t>
      </w:r>
      <w:r w:rsidR="008743C0">
        <w:rPr>
          <w:rStyle w:val="FootnoteReference"/>
          <w:rFonts w:ascii="Arial" w:hAnsi="Arial" w:cs="Arial"/>
        </w:rPr>
        <w:footnoteReference w:id="39"/>
      </w:r>
      <w:r w:rsidR="008743C0">
        <w:rPr>
          <w:rFonts w:ascii="Arial" w:hAnsi="Arial" w:cs="Arial"/>
          <w:i/>
        </w:rPr>
        <w:t xml:space="preserve"> </w:t>
      </w:r>
      <w:r w:rsidR="008743C0">
        <w:rPr>
          <w:rFonts w:ascii="Arial" w:hAnsi="Arial" w:cs="Arial"/>
        </w:rPr>
        <w:t xml:space="preserve">is that the </w:t>
      </w:r>
      <w:r w:rsidR="00451583">
        <w:rPr>
          <w:rFonts w:ascii="Arial" w:hAnsi="Arial" w:cs="Arial"/>
        </w:rPr>
        <w:t xml:space="preserve">principle in </w:t>
      </w:r>
      <w:proofErr w:type="spellStart"/>
      <w:r w:rsidR="008743C0" w:rsidRPr="008743C0">
        <w:rPr>
          <w:rFonts w:ascii="Arial" w:hAnsi="Arial" w:cs="Arial"/>
          <w:i/>
        </w:rPr>
        <w:t>Oudekraal</w:t>
      </w:r>
      <w:proofErr w:type="spellEnd"/>
      <w:r w:rsidR="008743C0">
        <w:rPr>
          <w:rStyle w:val="FootnoteReference"/>
          <w:rFonts w:ascii="Arial" w:hAnsi="Arial" w:cs="Arial"/>
          <w:i/>
        </w:rPr>
        <w:footnoteReference w:id="40"/>
      </w:r>
      <w:r w:rsidR="008743C0">
        <w:rPr>
          <w:rFonts w:ascii="Arial" w:hAnsi="Arial" w:cs="Arial"/>
          <w:i/>
        </w:rPr>
        <w:t xml:space="preserve"> </w:t>
      </w:r>
      <w:r w:rsidR="008743C0">
        <w:rPr>
          <w:rFonts w:ascii="Arial" w:hAnsi="Arial" w:cs="Arial"/>
        </w:rPr>
        <w:t xml:space="preserve">applies to </w:t>
      </w:r>
      <w:r w:rsidR="009F04A2">
        <w:rPr>
          <w:rFonts w:ascii="Arial" w:hAnsi="Arial" w:cs="Arial"/>
        </w:rPr>
        <w:t xml:space="preserve">the </w:t>
      </w:r>
      <w:r w:rsidR="008743C0">
        <w:rPr>
          <w:rFonts w:ascii="Arial" w:hAnsi="Arial" w:cs="Arial"/>
        </w:rPr>
        <w:t>decisions of the PP.  Her decisions cannot be ignored (nor trumped by parallel process) and, unless they are set aside on review, they must be obeyed and given effect to.  To that extent they are binding</w:t>
      </w:r>
      <w:r w:rsidR="00451583">
        <w:rPr>
          <w:rStyle w:val="FootnoteReference"/>
          <w:rFonts w:ascii="Arial" w:hAnsi="Arial" w:cs="Arial"/>
        </w:rPr>
        <w:footnoteReference w:id="41"/>
      </w:r>
      <w:r w:rsidR="008743C0">
        <w:rPr>
          <w:rFonts w:ascii="Arial" w:hAnsi="Arial" w:cs="Arial"/>
        </w:rPr>
        <w:t xml:space="preserve">.  </w:t>
      </w:r>
      <w:r w:rsidR="002940CA">
        <w:rPr>
          <w:rFonts w:ascii="Arial" w:hAnsi="Arial" w:cs="Arial"/>
        </w:rPr>
        <w:t xml:space="preserve">In </w:t>
      </w:r>
      <w:r w:rsidR="002940CA">
        <w:rPr>
          <w:rFonts w:ascii="Arial" w:hAnsi="Arial" w:cs="Arial"/>
          <w:i/>
        </w:rPr>
        <w:t>E</w:t>
      </w:r>
      <w:r w:rsidR="008743C0">
        <w:rPr>
          <w:rFonts w:ascii="Arial" w:hAnsi="Arial" w:cs="Arial"/>
          <w:i/>
        </w:rPr>
        <w:t>conomic Freedom Fighters</w:t>
      </w:r>
      <w:r w:rsidR="00DC082B">
        <w:rPr>
          <w:rFonts w:ascii="Arial" w:hAnsi="Arial" w:cs="Arial"/>
        </w:rPr>
        <w:t xml:space="preserve"> the Constitutional Court </w:t>
      </w:r>
      <w:r w:rsidR="00451583">
        <w:rPr>
          <w:rFonts w:ascii="Arial" w:hAnsi="Arial" w:cs="Arial"/>
        </w:rPr>
        <w:t xml:space="preserve">also </w:t>
      </w:r>
      <w:r w:rsidR="00DC082B">
        <w:rPr>
          <w:rFonts w:ascii="Arial" w:hAnsi="Arial" w:cs="Arial"/>
        </w:rPr>
        <w:t xml:space="preserve">considered the </w:t>
      </w:r>
      <w:r w:rsidR="0046775C">
        <w:rPr>
          <w:rFonts w:ascii="Arial" w:hAnsi="Arial" w:cs="Arial"/>
        </w:rPr>
        <w:t xml:space="preserve">proper interpretation to be given to </w:t>
      </w:r>
      <w:r w:rsidR="00DC082B">
        <w:rPr>
          <w:rFonts w:ascii="Arial" w:hAnsi="Arial" w:cs="Arial"/>
        </w:rPr>
        <w:t>remedial action taken by the PP.  At para [69</w:t>
      </w:r>
      <w:r w:rsidR="00A22E18">
        <w:rPr>
          <w:rFonts w:ascii="Arial" w:hAnsi="Arial" w:cs="Arial"/>
        </w:rPr>
        <w:t>]</w:t>
      </w:r>
      <w:r w:rsidR="00DC082B">
        <w:rPr>
          <w:rFonts w:ascii="Arial" w:hAnsi="Arial" w:cs="Arial"/>
        </w:rPr>
        <w:t xml:space="preserve"> and [70] they explained:</w:t>
      </w:r>
    </w:p>
    <w:p w14:paraId="4D482484" w14:textId="77777777" w:rsidR="007A0F9E" w:rsidRPr="00DC79C7" w:rsidRDefault="007A0F9E" w:rsidP="007A0F9E">
      <w:pPr>
        <w:pStyle w:val="ListParagraph"/>
        <w:rPr>
          <w:rFonts w:ascii="Arial" w:hAnsi="Arial" w:cs="Arial"/>
          <w:color w:val="0070C0"/>
        </w:rPr>
      </w:pPr>
    </w:p>
    <w:p w14:paraId="63ADBE7B" w14:textId="77777777" w:rsidR="007A0F9E" w:rsidRPr="006567DC" w:rsidRDefault="00DC79C7" w:rsidP="007A0F9E">
      <w:pPr>
        <w:spacing w:after="0" w:line="360" w:lineRule="auto"/>
        <w:ind w:left="567" w:right="567"/>
        <w:contextualSpacing/>
        <w:jc w:val="both"/>
        <w:rPr>
          <w:rFonts w:ascii="Arial" w:hAnsi="Arial" w:cs="Arial"/>
          <w:color w:val="000000" w:themeColor="text1"/>
        </w:rPr>
      </w:pPr>
      <w:r w:rsidRPr="006567DC">
        <w:rPr>
          <w:rFonts w:ascii="Arial" w:hAnsi="Arial" w:cs="Arial"/>
          <w:color w:val="000000" w:themeColor="text1"/>
        </w:rPr>
        <w:t>“</w:t>
      </w:r>
      <w:r w:rsidR="007A0F9E" w:rsidRPr="006567DC">
        <w:rPr>
          <w:rFonts w:ascii="Arial" w:hAnsi="Arial" w:cs="Arial"/>
          <w:color w:val="000000" w:themeColor="text1"/>
        </w:rPr>
        <w:t xml:space="preserve">[69] </w:t>
      </w:r>
      <w:r w:rsidRPr="006567DC">
        <w:rPr>
          <w:rFonts w:ascii="Arial" w:hAnsi="Arial" w:cs="Arial"/>
          <w:color w:val="000000" w:themeColor="text1"/>
        </w:rPr>
        <w:tab/>
      </w:r>
      <w:r w:rsidR="007A0F9E" w:rsidRPr="006567DC">
        <w:rPr>
          <w:rFonts w:ascii="Arial" w:hAnsi="Arial" w:cs="Arial"/>
          <w:color w:val="000000" w:themeColor="text1"/>
        </w:rPr>
        <w:t xml:space="preserve">But, what legal effect the appropriate remedial action has in a particular case depends on the nature of the issues under investigation and the findings made. As common sense and s 6 of the Public Protector Act suggest, mediation, conciliation or negotiation may at times be the way to go. Advice considered appropriate to secure a suitable remedy might, occasionally, be the only real option. And so might recommending litigation or a referral of the matter to the relevant public authority, or any other suitable recommendation, as the case might be. The legal effect of these remedial measures may simply be that those to whom they are directed are to </w:t>
      </w:r>
      <w:r w:rsidR="007A0F9E" w:rsidRPr="006567DC">
        <w:rPr>
          <w:rFonts w:ascii="Arial" w:hAnsi="Arial" w:cs="Arial"/>
          <w:color w:val="000000" w:themeColor="text1"/>
        </w:rPr>
        <w:lastRenderedPageBreak/>
        <w:t>consider them properly, with due regard to their nature, context and language, to determine what course to follow.</w:t>
      </w:r>
    </w:p>
    <w:p w14:paraId="1B716F6B" w14:textId="77777777" w:rsidR="00DC79C7" w:rsidRPr="006567DC" w:rsidRDefault="00DC79C7" w:rsidP="007A0F9E">
      <w:pPr>
        <w:spacing w:after="0" w:line="360" w:lineRule="auto"/>
        <w:ind w:left="567" w:right="567"/>
        <w:contextualSpacing/>
        <w:jc w:val="both"/>
        <w:rPr>
          <w:rFonts w:ascii="Arial" w:hAnsi="Arial" w:cs="Arial"/>
          <w:color w:val="000000" w:themeColor="text1"/>
        </w:rPr>
      </w:pPr>
    </w:p>
    <w:p w14:paraId="69CC2393" w14:textId="77777777" w:rsidR="007A0F9E" w:rsidRPr="006567DC" w:rsidRDefault="007A0F9E" w:rsidP="007A0F9E">
      <w:pPr>
        <w:spacing w:after="0" w:line="360" w:lineRule="auto"/>
        <w:ind w:left="567" w:right="567"/>
        <w:contextualSpacing/>
        <w:jc w:val="both"/>
        <w:rPr>
          <w:rFonts w:ascii="Arial" w:hAnsi="Arial" w:cs="Arial"/>
          <w:color w:val="000000" w:themeColor="text1"/>
        </w:rPr>
      </w:pPr>
      <w:r w:rsidRPr="006567DC">
        <w:rPr>
          <w:rFonts w:ascii="Arial" w:hAnsi="Arial" w:cs="Arial"/>
          <w:color w:val="000000" w:themeColor="text1"/>
        </w:rPr>
        <w:t>[70]</w:t>
      </w:r>
      <w:r w:rsidR="00DC79C7" w:rsidRPr="006567DC">
        <w:rPr>
          <w:rFonts w:ascii="Arial" w:hAnsi="Arial" w:cs="Arial"/>
          <w:color w:val="000000" w:themeColor="text1"/>
        </w:rPr>
        <w:tab/>
      </w:r>
      <w:r w:rsidRPr="006567DC">
        <w:rPr>
          <w:rFonts w:ascii="Arial" w:hAnsi="Arial" w:cs="Arial"/>
          <w:color w:val="000000" w:themeColor="text1"/>
        </w:rPr>
        <w:t xml:space="preserve"> It is, however inconsistent with the language, context and purpose of ss 181 and 182 of the Constitution to conclude that the Public Protector enjoys the power to make only recommendations that may be disregarded, provided there is a rational basis for doing so. Every complaint requires a practical or effective remedy that is in sync with its own peculiarities and merits. It needs to be restated that it is the nature of the issue under investigation, the findings made and the particular kind of remedial action taken, based on the demands of the time, that would determine the legal effect it has on the person, body or institution it is addressed to.</w:t>
      </w:r>
      <w:r w:rsidR="00DC79C7" w:rsidRPr="006567DC">
        <w:rPr>
          <w:rFonts w:ascii="Arial" w:hAnsi="Arial" w:cs="Arial"/>
          <w:color w:val="000000" w:themeColor="text1"/>
        </w:rPr>
        <w:t>”</w:t>
      </w:r>
      <w:r w:rsidRPr="006567DC">
        <w:rPr>
          <w:rFonts w:ascii="Arial" w:hAnsi="Arial" w:cs="Arial"/>
          <w:color w:val="000000" w:themeColor="text1"/>
        </w:rPr>
        <w:t> </w:t>
      </w:r>
    </w:p>
    <w:p w14:paraId="577DB816" w14:textId="77777777" w:rsidR="007A0F9E" w:rsidRPr="006567DC" w:rsidRDefault="007A0F9E" w:rsidP="007A0F9E">
      <w:pPr>
        <w:pStyle w:val="NormalWeb"/>
        <w:shd w:val="clear" w:color="auto" w:fill="FFFFFF"/>
        <w:spacing w:before="0" w:beforeAutospacing="0" w:after="0" w:afterAutospacing="0" w:line="360" w:lineRule="auto"/>
        <w:ind w:left="567" w:right="567"/>
        <w:contextualSpacing/>
        <w:jc w:val="both"/>
        <w:rPr>
          <w:rFonts w:ascii="Arial" w:hAnsi="Arial" w:cs="Arial"/>
          <w:color w:val="000000" w:themeColor="text1"/>
          <w:sz w:val="22"/>
          <w:szCs w:val="22"/>
        </w:rPr>
      </w:pPr>
    </w:p>
    <w:p w14:paraId="0D0BFD3C" w14:textId="77777777" w:rsidR="00DC082B" w:rsidRPr="006567DC" w:rsidRDefault="00DC082B" w:rsidP="00A738F0">
      <w:pPr>
        <w:pStyle w:val="ListParagraph"/>
        <w:spacing w:after="0" w:line="360" w:lineRule="auto"/>
        <w:ind w:left="567" w:right="567"/>
        <w:jc w:val="both"/>
        <w:rPr>
          <w:rFonts w:ascii="Arial" w:hAnsi="Arial" w:cs="Arial"/>
          <w:color w:val="000000" w:themeColor="text1"/>
        </w:rPr>
      </w:pPr>
    </w:p>
    <w:p w14:paraId="1FFEA716" w14:textId="77777777" w:rsidR="000F77E5" w:rsidRDefault="000F77E5" w:rsidP="000F77E5">
      <w:pPr>
        <w:pStyle w:val="ListParagraph"/>
        <w:spacing w:after="0" w:line="480" w:lineRule="auto"/>
        <w:ind w:left="0"/>
        <w:jc w:val="both"/>
        <w:rPr>
          <w:rFonts w:ascii="Arial" w:hAnsi="Arial" w:cs="Arial"/>
          <w:sz w:val="24"/>
          <w:szCs w:val="24"/>
        </w:rPr>
      </w:pPr>
      <w:r w:rsidRPr="000F77E5">
        <w:rPr>
          <w:rFonts w:ascii="Arial" w:hAnsi="Arial" w:cs="Arial"/>
          <w:sz w:val="24"/>
          <w:szCs w:val="24"/>
        </w:rPr>
        <w:t xml:space="preserve">Thus, </w:t>
      </w:r>
      <w:r w:rsidR="008743C0">
        <w:rPr>
          <w:rFonts w:ascii="Arial" w:hAnsi="Arial" w:cs="Arial"/>
          <w:sz w:val="24"/>
          <w:szCs w:val="24"/>
        </w:rPr>
        <w:t xml:space="preserve">what the legal effect of </w:t>
      </w:r>
      <w:r w:rsidRPr="000F77E5">
        <w:rPr>
          <w:rFonts w:ascii="Arial" w:hAnsi="Arial" w:cs="Arial"/>
          <w:sz w:val="24"/>
          <w:szCs w:val="24"/>
        </w:rPr>
        <w:t>a particular action taken or measure employed is</w:t>
      </w:r>
      <w:r w:rsidR="00EB1F28">
        <w:rPr>
          <w:rFonts w:ascii="Arial" w:hAnsi="Arial" w:cs="Arial"/>
          <w:sz w:val="24"/>
          <w:szCs w:val="24"/>
        </w:rPr>
        <w:t>, is</w:t>
      </w:r>
      <w:r w:rsidRPr="000F77E5">
        <w:rPr>
          <w:rFonts w:ascii="Arial" w:hAnsi="Arial" w:cs="Arial"/>
          <w:sz w:val="24"/>
          <w:szCs w:val="24"/>
        </w:rPr>
        <w:t xml:space="preserve"> a matter of interpretation aided by context, nature</w:t>
      </w:r>
      <w:r w:rsidR="009F04A2">
        <w:rPr>
          <w:rFonts w:ascii="Arial" w:hAnsi="Arial" w:cs="Arial"/>
          <w:sz w:val="24"/>
          <w:szCs w:val="24"/>
        </w:rPr>
        <w:t>,</w:t>
      </w:r>
      <w:r w:rsidRPr="000F77E5">
        <w:rPr>
          <w:rFonts w:ascii="Arial" w:hAnsi="Arial" w:cs="Arial"/>
          <w:sz w:val="24"/>
          <w:szCs w:val="24"/>
        </w:rPr>
        <w:t xml:space="preserve"> and language.</w:t>
      </w:r>
      <w:r w:rsidRPr="000F77E5">
        <w:rPr>
          <w:rStyle w:val="FootnoteReference"/>
          <w:rFonts w:ascii="Arial" w:hAnsi="Arial" w:cs="Arial"/>
          <w:sz w:val="24"/>
          <w:szCs w:val="24"/>
        </w:rPr>
        <w:footnoteReference w:id="42"/>
      </w:r>
    </w:p>
    <w:p w14:paraId="075CCAFE" w14:textId="77777777" w:rsidR="000F77E5" w:rsidRPr="000F77E5" w:rsidRDefault="000F77E5" w:rsidP="000F77E5">
      <w:pPr>
        <w:pStyle w:val="ListParagraph"/>
        <w:spacing w:after="0" w:line="360" w:lineRule="auto"/>
        <w:ind w:left="0"/>
        <w:jc w:val="both"/>
        <w:rPr>
          <w:rFonts w:ascii="Arial" w:hAnsi="Arial" w:cs="Arial"/>
          <w:sz w:val="24"/>
          <w:szCs w:val="24"/>
        </w:rPr>
      </w:pPr>
    </w:p>
    <w:p w14:paraId="0DE41724" w14:textId="44606235" w:rsidR="00300B00" w:rsidRPr="002940CA"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2940CA">
        <w:rPr>
          <w:rFonts w:ascii="Arial" w:hAnsi="Arial" w:cs="Arial"/>
          <w:color w:val="000000" w:themeColor="text1"/>
        </w:rPr>
        <w:t>[42]</w:t>
      </w:r>
      <w:r w:rsidRPr="002940CA">
        <w:rPr>
          <w:rFonts w:ascii="Arial" w:hAnsi="Arial" w:cs="Arial"/>
          <w:color w:val="000000" w:themeColor="text1"/>
        </w:rPr>
        <w:tab/>
      </w:r>
      <w:r w:rsidR="00BC6C76" w:rsidRPr="002940CA">
        <w:rPr>
          <w:rFonts w:ascii="Arial" w:hAnsi="Arial" w:cs="Arial"/>
        </w:rPr>
        <w:t xml:space="preserve">The argument </w:t>
      </w:r>
      <w:r w:rsidR="000F77E5">
        <w:rPr>
          <w:rFonts w:ascii="Arial" w:hAnsi="Arial" w:cs="Arial"/>
        </w:rPr>
        <w:t>for the applicants</w:t>
      </w:r>
      <w:r w:rsidR="00EB1F28">
        <w:rPr>
          <w:rFonts w:ascii="Arial" w:hAnsi="Arial" w:cs="Arial"/>
        </w:rPr>
        <w:t xml:space="preserve"> was</w:t>
      </w:r>
      <w:r w:rsidR="000F77E5">
        <w:rPr>
          <w:rFonts w:ascii="Arial" w:hAnsi="Arial" w:cs="Arial"/>
        </w:rPr>
        <w:t xml:space="preserve"> </w:t>
      </w:r>
      <w:r w:rsidR="00897E98">
        <w:rPr>
          <w:rFonts w:ascii="Arial" w:hAnsi="Arial" w:cs="Arial"/>
        </w:rPr>
        <w:t>that the effect of para 7.1.1 of the PP’s remedial action</w:t>
      </w:r>
      <w:r w:rsidR="0006385F">
        <w:rPr>
          <w:rStyle w:val="FootnoteReference"/>
          <w:rFonts w:ascii="Arial" w:hAnsi="Arial" w:cs="Arial"/>
        </w:rPr>
        <w:footnoteReference w:id="43"/>
      </w:r>
      <w:r w:rsidR="00897E98">
        <w:rPr>
          <w:rFonts w:ascii="Arial" w:hAnsi="Arial" w:cs="Arial"/>
        </w:rPr>
        <w:t xml:space="preserve"> is to instruct the DPCI to investigate the matter</w:t>
      </w:r>
      <w:r w:rsidR="00EB1F28">
        <w:rPr>
          <w:rFonts w:ascii="Arial" w:hAnsi="Arial" w:cs="Arial"/>
        </w:rPr>
        <w:t xml:space="preserve"> </w:t>
      </w:r>
      <w:proofErr w:type="gramStart"/>
      <w:r w:rsidR="0006385F">
        <w:rPr>
          <w:rFonts w:ascii="Arial" w:hAnsi="Arial" w:cs="Arial"/>
        </w:rPr>
        <w:t xml:space="preserve">in order </w:t>
      </w:r>
      <w:r w:rsidR="00EB1F28">
        <w:rPr>
          <w:rFonts w:ascii="Arial" w:hAnsi="Arial" w:cs="Arial"/>
        </w:rPr>
        <w:t>to</w:t>
      </w:r>
      <w:proofErr w:type="gramEnd"/>
      <w:r w:rsidR="00EB1F28">
        <w:rPr>
          <w:rFonts w:ascii="Arial" w:hAnsi="Arial" w:cs="Arial"/>
        </w:rPr>
        <w:t xml:space="preserve"> endeavor to secure a prosecution.  The argument relied on</w:t>
      </w:r>
      <w:r w:rsidR="00BC6C76" w:rsidRPr="002940CA">
        <w:rPr>
          <w:rFonts w:ascii="Arial" w:hAnsi="Arial" w:cs="Arial"/>
        </w:rPr>
        <w:t xml:space="preserve"> </w:t>
      </w:r>
      <w:r w:rsidR="00BC6C76" w:rsidRPr="002940CA">
        <w:rPr>
          <w:rFonts w:ascii="Arial" w:hAnsi="Arial" w:cs="Arial"/>
          <w:i/>
        </w:rPr>
        <w:t>President v Public Protector</w:t>
      </w:r>
      <w:r w:rsidR="00897E98">
        <w:rPr>
          <w:rFonts w:ascii="Arial" w:hAnsi="Arial" w:cs="Arial"/>
          <w:i/>
        </w:rPr>
        <w:t xml:space="preserve"> (the President (GP)</w:t>
      </w:r>
      <w:r w:rsidR="0046775C">
        <w:rPr>
          <w:rFonts w:ascii="Arial" w:hAnsi="Arial" w:cs="Arial"/>
          <w:i/>
        </w:rPr>
        <w:t>)</w:t>
      </w:r>
      <w:r w:rsidR="0041214C" w:rsidRPr="002940CA">
        <w:rPr>
          <w:rFonts w:ascii="Arial" w:hAnsi="Arial" w:cs="Arial"/>
          <w:i/>
        </w:rPr>
        <w:t>.</w:t>
      </w:r>
      <w:r w:rsidR="00BC6C76" w:rsidRPr="001550AC">
        <w:rPr>
          <w:rStyle w:val="FootnoteReference"/>
          <w:rFonts w:ascii="Arial" w:hAnsi="Arial" w:cs="Arial"/>
        </w:rPr>
        <w:footnoteReference w:id="44"/>
      </w:r>
      <w:r w:rsidR="00BC6C76" w:rsidRPr="002940CA">
        <w:rPr>
          <w:rFonts w:ascii="Arial" w:hAnsi="Arial" w:cs="Arial"/>
        </w:rPr>
        <w:t xml:space="preserve"> </w:t>
      </w:r>
      <w:r w:rsidR="0041214C" w:rsidRPr="002940CA">
        <w:rPr>
          <w:rFonts w:ascii="Arial" w:hAnsi="Arial" w:cs="Arial"/>
        </w:rPr>
        <w:t>B</w:t>
      </w:r>
      <w:r w:rsidR="00BC6C76" w:rsidRPr="002940CA">
        <w:rPr>
          <w:rFonts w:ascii="Arial" w:hAnsi="Arial" w:cs="Arial"/>
        </w:rPr>
        <w:t xml:space="preserve">ut the facts in </w:t>
      </w:r>
      <w:r w:rsidR="00897E98">
        <w:rPr>
          <w:rFonts w:ascii="Arial" w:hAnsi="Arial" w:cs="Arial"/>
        </w:rPr>
        <w:t xml:space="preserve">the </w:t>
      </w:r>
      <w:r w:rsidR="00897E98">
        <w:rPr>
          <w:rFonts w:ascii="Arial" w:hAnsi="Arial" w:cs="Arial"/>
          <w:i/>
        </w:rPr>
        <w:t xml:space="preserve">President’s </w:t>
      </w:r>
      <w:r w:rsidR="00897E98" w:rsidRPr="00897E98">
        <w:rPr>
          <w:rFonts w:ascii="Arial" w:hAnsi="Arial" w:cs="Arial"/>
        </w:rPr>
        <w:t>case</w:t>
      </w:r>
      <w:r w:rsidR="00897E98">
        <w:rPr>
          <w:rFonts w:ascii="Arial" w:hAnsi="Arial" w:cs="Arial"/>
          <w:i/>
        </w:rPr>
        <w:t xml:space="preserve"> </w:t>
      </w:r>
      <w:r w:rsidR="00BC6C76" w:rsidRPr="002940CA">
        <w:rPr>
          <w:rFonts w:ascii="Arial" w:hAnsi="Arial" w:cs="Arial"/>
        </w:rPr>
        <w:t xml:space="preserve">were markedly different.  In </w:t>
      </w:r>
      <w:r w:rsidR="00897E98">
        <w:rPr>
          <w:rFonts w:ascii="Arial" w:hAnsi="Arial" w:cs="Arial"/>
        </w:rPr>
        <w:t xml:space="preserve">the </w:t>
      </w:r>
      <w:r w:rsidR="00897E98" w:rsidRPr="00897E98">
        <w:rPr>
          <w:rFonts w:ascii="Arial" w:hAnsi="Arial" w:cs="Arial"/>
          <w:i/>
        </w:rPr>
        <w:t>President’s</w:t>
      </w:r>
      <w:r w:rsidR="00897E98">
        <w:rPr>
          <w:rFonts w:ascii="Arial" w:hAnsi="Arial" w:cs="Arial"/>
        </w:rPr>
        <w:t xml:space="preserve"> case </w:t>
      </w:r>
      <w:r w:rsidR="00BC6C76" w:rsidRPr="002940CA">
        <w:rPr>
          <w:rFonts w:ascii="Arial" w:hAnsi="Arial" w:cs="Arial"/>
        </w:rPr>
        <w:t xml:space="preserve">the </w:t>
      </w:r>
      <w:r w:rsidR="0041214C" w:rsidRPr="002940CA">
        <w:rPr>
          <w:rFonts w:ascii="Arial" w:hAnsi="Arial" w:cs="Arial"/>
        </w:rPr>
        <w:t xml:space="preserve">PP had </w:t>
      </w:r>
      <w:r w:rsidR="00BC6C76" w:rsidRPr="002940CA">
        <w:rPr>
          <w:rFonts w:ascii="Arial" w:hAnsi="Arial" w:cs="Arial"/>
        </w:rPr>
        <w:t>directed the National Director of Public Prosecutions (NDPP) “within 30 working days of receipt of</w:t>
      </w:r>
      <w:r w:rsidR="0041214C" w:rsidRPr="002940CA">
        <w:rPr>
          <w:rFonts w:ascii="Arial" w:hAnsi="Arial" w:cs="Arial"/>
        </w:rPr>
        <w:t xml:space="preserve"> </w:t>
      </w:r>
      <w:r w:rsidR="004B19E7" w:rsidRPr="002940CA">
        <w:rPr>
          <w:rFonts w:ascii="Arial" w:hAnsi="Arial" w:cs="Arial"/>
        </w:rPr>
        <w:t>(</w:t>
      </w:r>
      <w:r w:rsidR="0041214C" w:rsidRPr="002940CA">
        <w:rPr>
          <w:rFonts w:ascii="Arial" w:hAnsi="Arial" w:cs="Arial"/>
        </w:rPr>
        <w:t>her</w:t>
      </w:r>
      <w:r w:rsidR="004B19E7" w:rsidRPr="002940CA">
        <w:rPr>
          <w:rFonts w:ascii="Arial" w:hAnsi="Arial" w:cs="Arial"/>
        </w:rPr>
        <w:t>)</w:t>
      </w:r>
      <w:r w:rsidR="00BC6C76" w:rsidRPr="002940CA">
        <w:rPr>
          <w:rFonts w:ascii="Arial" w:hAnsi="Arial" w:cs="Arial"/>
        </w:rPr>
        <w:t xml:space="preserve"> report to take note of </w:t>
      </w:r>
      <w:r w:rsidR="00E15234" w:rsidRPr="002940CA">
        <w:rPr>
          <w:rFonts w:ascii="Arial" w:hAnsi="Arial" w:cs="Arial"/>
        </w:rPr>
        <w:t>(</w:t>
      </w:r>
      <w:r w:rsidR="0041214C" w:rsidRPr="002940CA">
        <w:rPr>
          <w:rFonts w:ascii="Arial" w:hAnsi="Arial" w:cs="Arial"/>
        </w:rPr>
        <w:t>her</w:t>
      </w:r>
      <w:r w:rsidR="00E15234" w:rsidRPr="002940CA">
        <w:rPr>
          <w:rFonts w:ascii="Arial" w:hAnsi="Arial" w:cs="Arial"/>
        </w:rPr>
        <w:t>)</w:t>
      </w:r>
      <w:r w:rsidR="00BC6C76" w:rsidRPr="002940CA">
        <w:rPr>
          <w:rFonts w:ascii="Arial" w:hAnsi="Arial" w:cs="Arial"/>
        </w:rPr>
        <w:t xml:space="preserve"> observations </w:t>
      </w:r>
      <w:r w:rsidR="0041214C" w:rsidRPr="002940CA">
        <w:rPr>
          <w:rFonts w:ascii="Arial" w:hAnsi="Arial" w:cs="Arial"/>
        </w:rPr>
        <w:t xml:space="preserve">…, as well as the recommendations contained in 7.3.3 of </w:t>
      </w:r>
      <w:r w:rsidR="00E15234" w:rsidRPr="002940CA">
        <w:rPr>
          <w:rFonts w:ascii="Arial" w:hAnsi="Arial" w:cs="Arial"/>
        </w:rPr>
        <w:t>(</w:t>
      </w:r>
      <w:r w:rsidR="0041214C" w:rsidRPr="002940CA">
        <w:rPr>
          <w:rFonts w:ascii="Arial" w:hAnsi="Arial" w:cs="Arial"/>
        </w:rPr>
        <w:t>her</w:t>
      </w:r>
      <w:r w:rsidR="00E15234" w:rsidRPr="002940CA">
        <w:rPr>
          <w:rFonts w:ascii="Arial" w:hAnsi="Arial" w:cs="Arial"/>
        </w:rPr>
        <w:t>)</w:t>
      </w:r>
      <w:r w:rsidR="0041214C" w:rsidRPr="002940CA">
        <w:rPr>
          <w:rFonts w:ascii="Arial" w:hAnsi="Arial" w:cs="Arial"/>
        </w:rPr>
        <w:t xml:space="preserve"> report</w:t>
      </w:r>
      <w:r w:rsidR="00B66B9C" w:rsidRPr="002940CA">
        <w:rPr>
          <w:rFonts w:ascii="Arial" w:hAnsi="Arial" w:cs="Arial"/>
        </w:rPr>
        <w:t>,</w:t>
      </w:r>
      <w:r w:rsidR="0041214C" w:rsidRPr="002940CA">
        <w:rPr>
          <w:rFonts w:ascii="Arial" w:hAnsi="Arial" w:cs="Arial"/>
        </w:rPr>
        <w:t xml:space="preserve"> and to </w:t>
      </w:r>
      <w:r w:rsidR="006018C2" w:rsidRPr="002940CA">
        <w:rPr>
          <w:rFonts w:ascii="Arial" w:hAnsi="Arial" w:cs="Arial"/>
        </w:rPr>
        <w:t xml:space="preserve">conduct further investigation into the </w:t>
      </w:r>
      <w:r w:rsidR="006018C2" w:rsidRPr="002940CA">
        <w:rPr>
          <w:rFonts w:ascii="Arial" w:hAnsi="Arial" w:cs="Arial"/>
          <w:i/>
        </w:rPr>
        <w:t>prima facie</w:t>
      </w:r>
      <w:r w:rsidR="006018C2" w:rsidRPr="002940CA">
        <w:rPr>
          <w:rFonts w:ascii="Arial" w:hAnsi="Arial" w:cs="Arial"/>
        </w:rPr>
        <w:t xml:space="preserve"> evidence of money laundering</w:t>
      </w:r>
      <w:r w:rsidR="0041214C" w:rsidRPr="002940CA">
        <w:rPr>
          <w:rFonts w:ascii="Arial" w:hAnsi="Arial" w:cs="Arial"/>
        </w:rPr>
        <w:t xml:space="preserve">.”  </w:t>
      </w:r>
      <w:r w:rsidR="006018C2" w:rsidRPr="002940CA">
        <w:rPr>
          <w:rFonts w:ascii="Arial" w:hAnsi="Arial" w:cs="Arial"/>
        </w:rPr>
        <w:t xml:space="preserve">She proceeded to direct the NDPP to submit to her “for approval </w:t>
      </w:r>
      <w:r w:rsidR="0041214C" w:rsidRPr="002940CA">
        <w:rPr>
          <w:rFonts w:ascii="Arial" w:hAnsi="Arial" w:cs="Arial"/>
        </w:rPr>
        <w:t>…</w:t>
      </w:r>
      <w:r w:rsidR="006018C2" w:rsidRPr="002940CA">
        <w:rPr>
          <w:rFonts w:ascii="Arial" w:hAnsi="Arial" w:cs="Arial"/>
        </w:rPr>
        <w:t xml:space="preserve"> an implementation plan</w:t>
      </w:r>
      <w:r w:rsidR="00300B00" w:rsidRPr="002940CA">
        <w:rPr>
          <w:rFonts w:ascii="Arial" w:hAnsi="Arial" w:cs="Arial"/>
        </w:rPr>
        <w:t>”</w:t>
      </w:r>
      <w:r w:rsidR="006018C2" w:rsidRPr="002940CA">
        <w:rPr>
          <w:rFonts w:ascii="Arial" w:hAnsi="Arial" w:cs="Arial"/>
        </w:rPr>
        <w:t xml:space="preserve"> indicating how the remedial </w:t>
      </w:r>
      <w:r w:rsidR="006018C2" w:rsidRPr="002940CA">
        <w:rPr>
          <w:rFonts w:ascii="Arial" w:hAnsi="Arial" w:cs="Arial"/>
        </w:rPr>
        <w:lastRenderedPageBreak/>
        <w:t xml:space="preserve">action would be implemented.  The High Court </w:t>
      </w:r>
      <w:proofErr w:type="spellStart"/>
      <w:r w:rsidR="006018C2" w:rsidRPr="002940CA">
        <w:rPr>
          <w:rFonts w:ascii="Arial" w:hAnsi="Arial" w:cs="Arial"/>
        </w:rPr>
        <w:t>emphasised</w:t>
      </w:r>
      <w:proofErr w:type="spellEnd"/>
      <w:r w:rsidR="006018C2" w:rsidRPr="002940CA">
        <w:rPr>
          <w:rFonts w:ascii="Arial" w:hAnsi="Arial" w:cs="Arial"/>
        </w:rPr>
        <w:t xml:space="preserve"> that the </w:t>
      </w:r>
      <w:r w:rsidR="007E6ED0" w:rsidRPr="002940CA">
        <w:rPr>
          <w:rFonts w:ascii="Arial" w:hAnsi="Arial" w:cs="Arial"/>
        </w:rPr>
        <w:t>PP</w:t>
      </w:r>
      <w:r w:rsidR="006018C2" w:rsidRPr="002940CA">
        <w:rPr>
          <w:rFonts w:ascii="Arial" w:hAnsi="Arial" w:cs="Arial"/>
        </w:rPr>
        <w:t xml:space="preserve"> has no power under s 6(4)(c)(</w:t>
      </w:r>
      <w:proofErr w:type="spellStart"/>
      <w:r w:rsidR="006018C2" w:rsidRPr="002940CA">
        <w:rPr>
          <w:rFonts w:ascii="Arial" w:hAnsi="Arial" w:cs="Arial"/>
        </w:rPr>
        <w:t>i</w:t>
      </w:r>
      <w:proofErr w:type="spellEnd"/>
      <w:r w:rsidR="006018C2" w:rsidRPr="002940CA">
        <w:rPr>
          <w:rFonts w:ascii="Arial" w:hAnsi="Arial" w:cs="Arial"/>
        </w:rPr>
        <w:t>) to direct the NDPP to investigate and</w:t>
      </w:r>
      <w:r w:rsidR="0006385F">
        <w:rPr>
          <w:rFonts w:ascii="Arial" w:hAnsi="Arial" w:cs="Arial"/>
        </w:rPr>
        <w:t xml:space="preserve"> to</w:t>
      </w:r>
      <w:r w:rsidR="006018C2" w:rsidRPr="002940CA">
        <w:rPr>
          <w:rFonts w:ascii="Arial" w:hAnsi="Arial" w:cs="Arial"/>
        </w:rPr>
        <w:t xml:space="preserve"> monitor </w:t>
      </w:r>
      <w:r w:rsidR="0006385F">
        <w:rPr>
          <w:rFonts w:ascii="Arial" w:hAnsi="Arial" w:cs="Arial"/>
        </w:rPr>
        <w:t>their</w:t>
      </w:r>
      <w:r w:rsidR="006018C2" w:rsidRPr="002940CA">
        <w:rPr>
          <w:rFonts w:ascii="Arial" w:hAnsi="Arial" w:cs="Arial"/>
        </w:rPr>
        <w:t xml:space="preserve"> actions in this regard.  </w:t>
      </w:r>
    </w:p>
    <w:p w14:paraId="025881A5" w14:textId="77777777" w:rsidR="00300B00" w:rsidRDefault="00300B00" w:rsidP="008231CE">
      <w:pPr>
        <w:pStyle w:val="ListParagraph"/>
        <w:spacing w:after="0" w:line="480" w:lineRule="auto"/>
        <w:ind w:left="0"/>
        <w:jc w:val="both"/>
        <w:rPr>
          <w:rFonts w:ascii="Arial" w:hAnsi="Arial" w:cs="Arial"/>
        </w:rPr>
      </w:pPr>
    </w:p>
    <w:p w14:paraId="187247F2" w14:textId="6EEAE502" w:rsidR="00BC6C76"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[43]</w:t>
      </w:r>
      <w:r w:rsidRPr="001550AC">
        <w:rPr>
          <w:rFonts w:ascii="Arial" w:hAnsi="Arial" w:cs="Arial"/>
          <w:color w:val="000000" w:themeColor="text1"/>
        </w:rPr>
        <w:tab/>
      </w:r>
      <w:r w:rsidR="00B66B9C">
        <w:rPr>
          <w:rFonts w:ascii="Arial" w:hAnsi="Arial" w:cs="Arial"/>
        </w:rPr>
        <w:t>H</w:t>
      </w:r>
      <w:r w:rsidR="006018C2" w:rsidRPr="001550AC">
        <w:rPr>
          <w:rFonts w:ascii="Arial" w:hAnsi="Arial" w:cs="Arial"/>
        </w:rPr>
        <w:t xml:space="preserve">er remedial action </w:t>
      </w:r>
      <w:r w:rsidR="00897E98">
        <w:rPr>
          <w:rFonts w:ascii="Arial" w:hAnsi="Arial" w:cs="Arial"/>
        </w:rPr>
        <w:t xml:space="preserve">in the </w:t>
      </w:r>
      <w:r w:rsidR="00897E98">
        <w:rPr>
          <w:rFonts w:ascii="Arial" w:hAnsi="Arial" w:cs="Arial"/>
          <w:i/>
        </w:rPr>
        <w:t xml:space="preserve">President’s </w:t>
      </w:r>
      <w:r w:rsidR="00897E98">
        <w:rPr>
          <w:rFonts w:ascii="Arial" w:hAnsi="Arial" w:cs="Arial"/>
        </w:rPr>
        <w:t xml:space="preserve">case </w:t>
      </w:r>
      <w:r w:rsidR="006018C2" w:rsidRPr="001550AC">
        <w:rPr>
          <w:rFonts w:ascii="Arial" w:hAnsi="Arial" w:cs="Arial"/>
        </w:rPr>
        <w:t>clearly contained a</w:t>
      </w:r>
      <w:r w:rsidR="00300B00">
        <w:rPr>
          <w:rFonts w:ascii="Arial" w:hAnsi="Arial" w:cs="Arial"/>
        </w:rPr>
        <w:t>n instruction</w:t>
      </w:r>
      <w:r w:rsidR="0006385F">
        <w:rPr>
          <w:rFonts w:ascii="Arial" w:hAnsi="Arial" w:cs="Arial"/>
        </w:rPr>
        <w:t>,</w:t>
      </w:r>
      <w:r w:rsidR="00457AE3">
        <w:rPr>
          <w:rFonts w:ascii="Arial" w:hAnsi="Arial" w:cs="Arial"/>
        </w:rPr>
        <w:t xml:space="preserve"> that </w:t>
      </w:r>
      <w:r w:rsidR="00897E98">
        <w:rPr>
          <w:rFonts w:ascii="Arial" w:hAnsi="Arial" w:cs="Arial"/>
        </w:rPr>
        <w:t xml:space="preserve">was </w:t>
      </w:r>
      <w:r w:rsidR="00457AE3">
        <w:rPr>
          <w:rFonts w:ascii="Arial" w:hAnsi="Arial" w:cs="Arial"/>
        </w:rPr>
        <w:t>intended to be binding,</w:t>
      </w:r>
      <w:r w:rsidR="00300B00">
        <w:rPr>
          <w:rFonts w:ascii="Arial" w:hAnsi="Arial" w:cs="Arial"/>
        </w:rPr>
        <w:t xml:space="preserve"> </w:t>
      </w:r>
      <w:r w:rsidR="001D49EF">
        <w:rPr>
          <w:rFonts w:ascii="Arial" w:hAnsi="Arial" w:cs="Arial"/>
        </w:rPr>
        <w:t xml:space="preserve">to </w:t>
      </w:r>
      <w:r w:rsidR="00300B00">
        <w:rPr>
          <w:rFonts w:ascii="Arial" w:hAnsi="Arial" w:cs="Arial"/>
        </w:rPr>
        <w:t xml:space="preserve">show within 30 days how they intended to proceed.  </w:t>
      </w:r>
      <w:r w:rsidR="006018C2" w:rsidRPr="001550AC">
        <w:rPr>
          <w:rFonts w:ascii="Arial" w:hAnsi="Arial" w:cs="Arial"/>
        </w:rPr>
        <w:t xml:space="preserve"> </w:t>
      </w:r>
      <w:r w:rsidR="00B66B9C">
        <w:rPr>
          <w:rFonts w:ascii="Arial" w:hAnsi="Arial" w:cs="Arial"/>
        </w:rPr>
        <w:t xml:space="preserve">She sought to subject the NDPP to her authority.  </w:t>
      </w:r>
      <w:r w:rsidR="000E29BC" w:rsidRPr="001550AC">
        <w:rPr>
          <w:rFonts w:ascii="Arial" w:hAnsi="Arial" w:cs="Arial"/>
        </w:rPr>
        <w:t xml:space="preserve">This is a far cry from the </w:t>
      </w:r>
      <w:r w:rsidR="001D49EF">
        <w:rPr>
          <w:rFonts w:ascii="Arial" w:hAnsi="Arial" w:cs="Arial"/>
        </w:rPr>
        <w:t xml:space="preserve">facts </w:t>
      </w:r>
      <w:r w:rsidR="000E29BC" w:rsidRPr="001550AC">
        <w:rPr>
          <w:rFonts w:ascii="Arial" w:hAnsi="Arial" w:cs="Arial"/>
        </w:rPr>
        <w:t>in the present matter</w:t>
      </w:r>
      <w:r w:rsidR="001D49EF">
        <w:rPr>
          <w:rFonts w:ascii="Arial" w:hAnsi="Arial" w:cs="Arial"/>
        </w:rPr>
        <w:t>,</w:t>
      </w:r>
      <w:r w:rsidR="000E29BC" w:rsidRPr="001550AC">
        <w:rPr>
          <w:rFonts w:ascii="Arial" w:hAnsi="Arial" w:cs="Arial"/>
        </w:rPr>
        <w:t xml:space="preserve"> </w:t>
      </w:r>
      <w:r w:rsidR="00300B00">
        <w:rPr>
          <w:rFonts w:ascii="Arial" w:hAnsi="Arial" w:cs="Arial"/>
        </w:rPr>
        <w:t xml:space="preserve">where she has merely referred </w:t>
      </w:r>
      <w:r w:rsidR="0046775C">
        <w:rPr>
          <w:rFonts w:ascii="Arial" w:hAnsi="Arial" w:cs="Arial"/>
        </w:rPr>
        <w:t>“</w:t>
      </w:r>
      <w:r w:rsidR="000E29BC" w:rsidRPr="001550AC">
        <w:rPr>
          <w:rFonts w:ascii="Arial" w:hAnsi="Arial" w:cs="Arial"/>
        </w:rPr>
        <w:t>the issues</w:t>
      </w:r>
      <w:r w:rsidR="00897E98">
        <w:rPr>
          <w:rFonts w:ascii="Arial" w:hAnsi="Arial" w:cs="Arial"/>
        </w:rPr>
        <w:t xml:space="preserve"> </w:t>
      </w:r>
      <w:r w:rsidR="0046775C">
        <w:rPr>
          <w:rFonts w:ascii="Arial" w:hAnsi="Arial" w:cs="Arial"/>
        </w:rPr>
        <w:t xml:space="preserve">investigated </w:t>
      </w:r>
      <w:r w:rsidR="00897E98">
        <w:rPr>
          <w:rFonts w:ascii="Arial" w:hAnsi="Arial" w:cs="Arial"/>
        </w:rPr>
        <w:t xml:space="preserve">and the evidence </w:t>
      </w:r>
      <w:r w:rsidR="0046775C">
        <w:rPr>
          <w:rFonts w:ascii="Arial" w:hAnsi="Arial" w:cs="Arial"/>
        </w:rPr>
        <w:t xml:space="preserve">obtained” </w:t>
      </w:r>
      <w:r w:rsidR="000E29BC" w:rsidRPr="001550AC">
        <w:rPr>
          <w:rFonts w:ascii="Arial" w:hAnsi="Arial" w:cs="Arial"/>
        </w:rPr>
        <w:t>to the DPCI “for consideration of criminal investigation, with a view to prosecution”.  The DPCI is</w:t>
      </w:r>
      <w:r w:rsidR="00EB1F28">
        <w:rPr>
          <w:rFonts w:ascii="Arial" w:hAnsi="Arial" w:cs="Arial"/>
        </w:rPr>
        <w:t xml:space="preserve"> required</w:t>
      </w:r>
      <w:r w:rsidR="000E29BC" w:rsidRPr="001550AC">
        <w:rPr>
          <w:rFonts w:ascii="Arial" w:hAnsi="Arial" w:cs="Arial"/>
        </w:rPr>
        <w:t xml:space="preserve"> to consider </w:t>
      </w:r>
      <w:r w:rsidR="00EB1F28">
        <w:rPr>
          <w:rFonts w:ascii="Arial" w:hAnsi="Arial" w:cs="Arial"/>
        </w:rPr>
        <w:t xml:space="preserve">the </w:t>
      </w:r>
      <w:r w:rsidR="0046775C">
        <w:rPr>
          <w:rFonts w:ascii="Arial" w:hAnsi="Arial" w:cs="Arial"/>
        </w:rPr>
        <w:t>evidence</w:t>
      </w:r>
      <w:r w:rsidR="000E29BC" w:rsidRPr="001550AC">
        <w:rPr>
          <w:rFonts w:ascii="Arial" w:hAnsi="Arial" w:cs="Arial"/>
        </w:rPr>
        <w:t xml:space="preserve"> presented to them and, </w:t>
      </w:r>
      <w:r w:rsidR="001D49EF">
        <w:rPr>
          <w:rFonts w:ascii="Arial" w:hAnsi="Arial" w:cs="Arial"/>
        </w:rPr>
        <w:t xml:space="preserve">if they so </w:t>
      </w:r>
      <w:proofErr w:type="gramStart"/>
      <w:r w:rsidR="001D49EF">
        <w:rPr>
          <w:rFonts w:ascii="Arial" w:hAnsi="Arial" w:cs="Arial"/>
        </w:rPr>
        <w:t>choose</w:t>
      </w:r>
      <w:proofErr w:type="gramEnd"/>
      <w:r w:rsidR="001D49EF">
        <w:rPr>
          <w:rFonts w:ascii="Arial" w:hAnsi="Arial" w:cs="Arial"/>
        </w:rPr>
        <w:t xml:space="preserve"> they may investigate.  </w:t>
      </w:r>
      <w:r w:rsidR="00692D5A">
        <w:rPr>
          <w:rFonts w:ascii="Arial" w:hAnsi="Arial" w:cs="Arial"/>
        </w:rPr>
        <w:t xml:space="preserve">The obligation to consider arises not </w:t>
      </w:r>
      <w:r w:rsidR="0046775C">
        <w:rPr>
          <w:rFonts w:ascii="Arial" w:hAnsi="Arial" w:cs="Arial"/>
        </w:rPr>
        <w:t xml:space="preserve">only </w:t>
      </w:r>
      <w:r w:rsidR="00692D5A">
        <w:rPr>
          <w:rFonts w:ascii="Arial" w:hAnsi="Arial" w:cs="Arial"/>
        </w:rPr>
        <w:t xml:space="preserve">from the remedial action, but from s 17B(1)(a) of the SAPS Act.  </w:t>
      </w:r>
      <w:r w:rsidR="001D49EF">
        <w:rPr>
          <w:rFonts w:ascii="Arial" w:hAnsi="Arial" w:cs="Arial"/>
        </w:rPr>
        <w:t>A</w:t>
      </w:r>
      <w:r w:rsidR="000E29BC" w:rsidRPr="001550AC">
        <w:rPr>
          <w:rFonts w:ascii="Arial" w:hAnsi="Arial" w:cs="Arial"/>
        </w:rPr>
        <w:t xml:space="preserve">s a matter of law, any investigation </w:t>
      </w:r>
      <w:r w:rsidR="008C63AC">
        <w:rPr>
          <w:rFonts w:ascii="Arial" w:hAnsi="Arial" w:cs="Arial"/>
        </w:rPr>
        <w:t>that</w:t>
      </w:r>
      <w:r w:rsidR="008C63AC" w:rsidRPr="001550AC">
        <w:rPr>
          <w:rFonts w:ascii="Arial" w:hAnsi="Arial" w:cs="Arial"/>
        </w:rPr>
        <w:t xml:space="preserve"> </w:t>
      </w:r>
      <w:r w:rsidR="000E29BC" w:rsidRPr="001550AC">
        <w:rPr>
          <w:rFonts w:ascii="Arial" w:hAnsi="Arial" w:cs="Arial"/>
        </w:rPr>
        <w:t xml:space="preserve">they may carry out </w:t>
      </w:r>
      <w:r w:rsidR="00692D5A">
        <w:rPr>
          <w:rFonts w:ascii="Arial" w:hAnsi="Arial" w:cs="Arial"/>
        </w:rPr>
        <w:t>must</w:t>
      </w:r>
      <w:r w:rsidR="000E29BC" w:rsidRPr="001550AC">
        <w:rPr>
          <w:rFonts w:ascii="Arial" w:hAnsi="Arial" w:cs="Arial"/>
        </w:rPr>
        <w:t xml:space="preserve"> be with a </w:t>
      </w:r>
      <w:r w:rsidR="00837670" w:rsidRPr="001550AC">
        <w:rPr>
          <w:rFonts w:ascii="Arial" w:hAnsi="Arial" w:cs="Arial"/>
        </w:rPr>
        <w:t xml:space="preserve">view to prosecution.  The DPCI is not empowered to carry out investigations </w:t>
      </w:r>
      <w:r w:rsidR="0046775C">
        <w:rPr>
          <w:rFonts w:ascii="Arial" w:hAnsi="Arial" w:cs="Arial"/>
        </w:rPr>
        <w:t xml:space="preserve">at public expense </w:t>
      </w:r>
      <w:r w:rsidR="00837670" w:rsidRPr="001550AC">
        <w:rPr>
          <w:rFonts w:ascii="Arial" w:hAnsi="Arial" w:cs="Arial"/>
        </w:rPr>
        <w:t xml:space="preserve">for any other purpose.  </w:t>
      </w:r>
      <w:r w:rsidR="00457AE3">
        <w:rPr>
          <w:rFonts w:ascii="Arial" w:hAnsi="Arial" w:cs="Arial"/>
        </w:rPr>
        <w:t xml:space="preserve">Applying the approach set out in </w:t>
      </w:r>
      <w:r w:rsidR="00692D5A" w:rsidRPr="00692D5A">
        <w:rPr>
          <w:rFonts w:ascii="Arial" w:hAnsi="Arial" w:cs="Arial"/>
          <w:i/>
        </w:rPr>
        <w:t>Economic Freedom Fighters</w:t>
      </w:r>
      <w:r w:rsidR="00692D5A">
        <w:rPr>
          <w:rFonts w:ascii="Arial" w:hAnsi="Arial" w:cs="Arial"/>
        </w:rPr>
        <w:t xml:space="preserve"> </w:t>
      </w:r>
      <w:r w:rsidR="00457AE3">
        <w:rPr>
          <w:rFonts w:ascii="Arial" w:hAnsi="Arial" w:cs="Arial"/>
        </w:rPr>
        <w:t>the legal effect of th</w:t>
      </w:r>
      <w:r w:rsidR="00EB1F28">
        <w:rPr>
          <w:rFonts w:ascii="Arial" w:hAnsi="Arial" w:cs="Arial"/>
        </w:rPr>
        <w:t>e</w:t>
      </w:r>
      <w:r w:rsidR="00457AE3">
        <w:rPr>
          <w:rFonts w:ascii="Arial" w:hAnsi="Arial" w:cs="Arial"/>
        </w:rPr>
        <w:t xml:space="preserve"> remedial action </w:t>
      </w:r>
      <w:r w:rsidR="00EB1F28">
        <w:rPr>
          <w:rFonts w:ascii="Arial" w:hAnsi="Arial" w:cs="Arial"/>
        </w:rPr>
        <w:t xml:space="preserve">set out in paragraph 7.1.1 of the reports </w:t>
      </w:r>
      <w:r w:rsidR="00457AE3">
        <w:rPr>
          <w:rFonts w:ascii="Arial" w:hAnsi="Arial" w:cs="Arial"/>
        </w:rPr>
        <w:t xml:space="preserve">is simply </w:t>
      </w:r>
      <w:r w:rsidR="00692D5A">
        <w:rPr>
          <w:rFonts w:ascii="Arial" w:hAnsi="Arial" w:cs="Arial"/>
        </w:rPr>
        <w:t xml:space="preserve">a referral to the DPCI </w:t>
      </w:r>
      <w:r w:rsidR="00457AE3">
        <w:rPr>
          <w:rFonts w:ascii="Arial" w:hAnsi="Arial" w:cs="Arial"/>
        </w:rPr>
        <w:t xml:space="preserve">to consider the </w:t>
      </w:r>
      <w:r w:rsidR="00692D5A">
        <w:rPr>
          <w:rFonts w:ascii="Arial" w:hAnsi="Arial" w:cs="Arial"/>
        </w:rPr>
        <w:t xml:space="preserve">evidence that she had gathered </w:t>
      </w:r>
      <w:r w:rsidR="00457AE3">
        <w:rPr>
          <w:rFonts w:ascii="Arial" w:hAnsi="Arial" w:cs="Arial"/>
        </w:rPr>
        <w:t xml:space="preserve">and to determine for themselves what course to follow.  </w:t>
      </w:r>
      <w:r w:rsidR="00837670" w:rsidRPr="001550AC">
        <w:rPr>
          <w:rFonts w:ascii="Arial" w:hAnsi="Arial" w:cs="Arial"/>
        </w:rPr>
        <w:t>This argument must therefore fail.</w:t>
      </w:r>
    </w:p>
    <w:p w14:paraId="733EE0CF" w14:textId="77777777" w:rsidR="00837670" w:rsidRPr="001550AC" w:rsidRDefault="00837670" w:rsidP="008231CE">
      <w:pPr>
        <w:pStyle w:val="NormalWeb"/>
        <w:shd w:val="clear" w:color="auto" w:fill="FFFFFF"/>
        <w:spacing w:before="0" w:beforeAutospacing="0" w:after="0" w:afterAutospacing="0" w:line="480" w:lineRule="auto"/>
        <w:contextualSpacing/>
        <w:jc w:val="both"/>
        <w:rPr>
          <w:rFonts w:ascii="Arial" w:hAnsi="Arial" w:cs="Arial"/>
        </w:rPr>
      </w:pPr>
    </w:p>
    <w:p w14:paraId="4E436A7F" w14:textId="2F0F0977" w:rsidR="00837670" w:rsidRPr="001550AC"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550AC">
        <w:rPr>
          <w:rFonts w:ascii="Arial" w:hAnsi="Arial" w:cs="Arial"/>
          <w:color w:val="000000" w:themeColor="text1"/>
        </w:rPr>
        <w:t>[44]</w:t>
      </w:r>
      <w:r w:rsidRPr="001550AC">
        <w:rPr>
          <w:rFonts w:ascii="Arial" w:hAnsi="Arial" w:cs="Arial"/>
          <w:color w:val="000000" w:themeColor="text1"/>
        </w:rPr>
        <w:tab/>
      </w:r>
      <w:proofErr w:type="spellStart"/>
      <w:r w:rsidR="004F126C">
        <w:rPr>
          <w:rFonts w:ascii="Arial" w:hAnsi="Arial" w:cs="Arial"/>
        </w:rPr>
        <w:t>Mr</w:t>
      </w:r>
      <w:proofErr w:type="spellEnd"/>
      <w:r w:rsidR="004F126C">
        <w:rPr>
          <w:rFonts w:ascii="Arial" w:hAnsi="Arial" w:cs="Arial"/>
        </w:rPr>
        <w:t xml:space="preserve"> </w:t>
      </w:r>
      <w:r w:rsidR="004F126C">
        <w:rPr>
          <w:rFonts w:ascii="Arial" w:hAnsi="Arial" w:cs="Arial"/>
          <w:i/>
        </w:rPr>
        <w:t xml:space="preserve">Katz, </w:t>
      </w:r>
      <w:r w:rsidR="004F126C">
        <w:rPr>
          <w:rFonts w:ascii="Arial" w:hAnsi="Arial" w:cs="Arial"/>
        </w:rPr>
        <w:t>o</w:t>
      </w:r>
      <w:r w:rsidR="00837670" w:rsidRPr="001550AC">
        <w:rPr>
          <w:rFonts w:ascii="Arial" w:hAnsi="Arial" w:cs="Arial"/>
        </w:rPr>
        <w:t xml:space="preserve">n behalf of </w:t>
      </w:r>
      <w:proofErr w:type="spellStart"/>
      <w:r w:rsidR="00837670" w:rsidRPr="001550AC">
        <w:rPr>
          <w:rFonts w:ascii="Arial" w:hAnsi="Arial" w:cs="Arial"/>
        </w:rPr>
        <w:t>Mr</w:t>
      </w:r>
      <w:proofErr w:type="spellEnd"/>
      <w:r w:rsidR="00837670" w:rsidRPr="001550AC">
        <w:rPr>
          <w:rFonts w:ascii="Arial" w:hAnsi="Arial" w:cs="Arial"/>
        </w:rPr>
        <w:t xml:space="preserve"> </w:t>
      </w:r>
      <w:proofErr w:type="spellStart"/>
      <w:r w:rsidR="00837670" w:rsidRPr="001550AC">
        <w:rPr>
          <w:rFonts w:ascii="Arial" w:hAnsi="Arial" w:cs="Arial"/>
        </w:rPr>
        <w:t>Madikizela</w:t>
      </w:r>
      <w:proofErr w:type="spellEnd"/>
      <w:r w:rsidR="004F126C">
        <w:rPr>
          <w:rFonts w:ascii="Arial" w:hAnsi="Arial" w:cs="Arial"/>
        </w:rPr>
        <w:t xml:space="preserve">, submitted </w:t>
      </w:r>
      <w:r w:rsidR="00837670" w:rsidRPr="001550AC">
        <w:rPr>
          <w:rFonts w:ascii="Arial" w:hAnsi="Arial" w:cs="Arial"/>
        </w:rPr>
        <w:t xml:space="preserve">that the </w:t>
      </w:r>
      <w:r w:rsidR="007E6ED0">
        <w:rPr>
          <w:rFonts w:ascii="Arial" w:hAnsi="Arial" w:cs="Arial"/>
        </w:rPr>
        <w:t>PP</w:t>
      </w:r>
      <w:r w:rsidR="00837670" w:rsidRPr="001550AC">
        <w:rPr>
          <w:rFonts w:ascii="Arial" w:hAnsi="Arial" w:cs="Arial"/>
        </w:rPr>
        <w:t xml:space="preserve"> had exceeded her jurisdiction </w:t>
      </w:r>
      <w:r w:rsidR="00457AE3">
        <w:rPr>
          <w:rFonts w:ascii="Arial" w:hAnsi="Arial" w:cs="Arial"/>
        </w:rPr>
        <w:t xml:space="preserve">in two respects.  Firstly, </w:t>
      </w:r>
      <w:r w:rsidR="00837670" w:rsidRPr="001550AC">
        <w:rPr>
          <w:rFonts w:ascii="Arial" w:hAnsi="Arial" w:cs="Arial"/>
        </w:rPr>
        <w:t xml:space="preserve">she was not entitled to </w:t>
      </w:r>
      <w:r w:rsidR="004F126C">
        <w:rPr>
          <w:rFonts w:ascii="Arial" w:hAnsi="Arial" w:cs="Arial"/>
        </w:rPr>
        <w:t xml:space="preserve">make findings against </w:t>
      </w:r>
      <w:proofErr w:type="spellStart"/>
      <w:r w:rsidR="00837670" w:rsidRPr="001550AC">
        <w:rPr>
          <w:rFonts w:ascii="Arial" w:hAnsi="Arial" w:cs="Arial"/>
        </w:rPr>
        <w:t>Mr</w:t>
      </w:r>
      <w:proofErr w:type="spellEnd"/>
      <w:r w:rsidR="00837670" w:rsidRPr="001550AC">
        <w:rPr>
          <w:rFonts w:ascii="Arial" w:hAnsi="Arial" w:cs="Arial"/>
        </w:rPr>
        <w:t xml:space="preserve"> </w:t>
      </w:r>
      <w:proofErr w:type="spellStart"/>
      <w:r w:rsidR="00837670" w:rsidRPr="001550AC">
        <w:rPr>
          <w:rFonts w:ascii="Arial" w:hAnsi="Arial" w:cs="Arial"/>
        </w:rPr>
        <w:t>Madikizela</w:t>
      </w:r>
      <w:proofErr w:type="spellEnd"/>
      <w:r w:rsidR="00FC724F">
        <w:rPr>
          <w:rFonts w:ascii="Arial" w:hAnsi="Arial" w:cs="Arial"/>
        </w:rPr>
        <w:t>,</w:t>
      </w:r>
      <w:r w:rsidR="00837670" w:rsidRPr="001550AC">
        <w:rPr>
          <w:rFonts w:ascii="Arial" w:hAnsi="Arial" w:cs="Arial"/>
        </w:rPr>
        <w:t xml:space="preserve"> who did not occupy public office at the time that the alleged unlawful acts took place</w:t>
      </w:r>
      <w:r w:rsidR="00FC724F">
        <w:rPr>
          <w:rFonts w:ascii="Arial" w:hAnsi="Arial" w:cs="Arial"/>
        </w:rPr>
        <w:t xml:space="preserve">.  </w:t>
      </w:r>
      <w:r w:rsidR="004F126C">
        <w:rPr>
          <w:rFonts w:ascii="Arial" w:hAnsi="Arial" w:cs="Arial"/>
        </w:rPr>
        <w:t xml:space="preserve">He contended that she is only competent to </w:t>
      </w:r>
      <w:r w:rsidR="003B08FB" w:rsidRPr="001550AC">
        <w:rPr>
          <w:rFonts w:ascii="Arial" w:hAnsi="Arial" w:cs="Arial"/>
        </w:rPr>
        <w:t xml:space="preserve">investigate conduct arising in the </w:t>
      </w:r>
      <w:r w:rsidR="005E3260" w:rsidRPr="001550AC">
        <w:rPr>
          <w:rFonts w:ascii="Arial" w:hAnsi="Arial" w:cs="Arial"/>
        </w:rPr>
        <w:t>affairs</w:t>
      </w:r>
      <w:r w:rsidR="003B08FB" w:rsidRPr="001550AC">
        <w:rPr>
          <w:rFonts w:ascii="Arial" w:hAnsi="Arial" w:cs="Arial"/>
        </w:rPr>
        <w:t xml:space="preserve"> of </w:t>
      </w:r>
      <w:r w:rsidR="00735598">
        <w:rPr>
          <w:rFonts w:ascii="Arial" w:hAnsi="Arial" w:cs="Arial"/>
        </w:rPr>
        <w:t xml:space="preserve">the </w:t>
      </w:r>
      <w:r w:rsidR="001D49EF">
        <w:rPr>
          <w:rFonts w:ascii="Arial" w:hAnsi="Arial" w:cs="Arial"/>
        </w:rPr>
        <w:t>s</w:t>
      </w:r>
      <w:r w:rsidR="003B08FB" w:rsidRPr="001550AC">
        <w:rPr>
          <w:rFonts w:ascii="Arial" w:hAnsi="Arial" w:cs="Arial"/>
        </w:rPr>
        <w:t>tate</w:t>
      </w:r>
      <w:r w:rsidR="004F126C">
        <w:rPr>
          <w:rFonts w:ascii="Arial" w:hAnsi="Arial" w:cs="Arial"/>
        </w:rPr>
        <w:t>, which excludes the</w:t>
      </w:r>
      <w:r w:rsidR="003B08FB" w:rsidRPr="001550AC">
        <w:rPr>
          <w:rFonts w:ascii="Arial" w:hAnsi="Arial" w:cs="Arial"/>
        </w:rPr>
        <w:t xml:space="preserve"> power to make findings against a private person </w:t>
      </w:r>
      <w:r w:rsidR="003B08FB" w:rsidRPr="001550AC">
        <w:rPr>
          <w:rFonts w:ascii="Arial" w:hAnsi="Arial" w:cs="Arial"/>
        </w:rPr>
        <w:lastRenderedPageBreak/>
        <w:t xml:space="preserve">or to impose remedial action in </w:t>
      </w:r>
      <w:r w:rsidR="005E3260" w:rsidRPr="001550AC">
        <w:rPr>
          <w:rFonts w:ascii="Arial" w:hAnsi="Arial" w:cs="Arial"/>
        </w:rPr>
        <w:t>respect</w:t>
      </w:r>
      <w:r w:rsidR="003B08FB" w:rsidRPr="001550AC">
        <w:rPr>
          <w:rFonts w:ascii="Arial" w:hAnsi="Arial" w:cs="Arial"/>
        </w:rPr>
        <w:t xml:space="preserve"> of a private person.  </w:t>
      </w:r>
      <w:r w:rsidR="00457AE3">
        <w:rPr>
          <w:rFonts w:ascii="Arial" w:hAnsi="Arial" w:cs="Arial"/>
        </w:rPr>
        <w:t xml:space="preserve">Secondly, it was contended that she intentionally exceeded her jurisdiction by embarking on an investigation into money laundering, which </w:t>
      </w:r>
      <w:r w:rsidR="00AC3CB7">
        <w:rPr>
          <w:rFonts w:ascii="Arial" w:hAnsi="Arial" w:cs="Arial"/>
        </w:rPr>
        <w:t xml:space="preserve">falls beyond the scope of her competence.  </w:t>
      </w:r>
      <w:r w:rsidR="00457AE3">
        <w:rPr>
          <w:rFonts w:ascii="Arial" w:hAnsi="Arial" w:cs="Arial"/>
        </w:rPr>
        <w:t xml:space="preserve">I confine myself at this stage to the first issue and I </w:t>
      </w:r>
      <w:r w:rsidR="00AC3CB7">
        <w:rPr>
          <w:rFonts w:ascii="Arial" w:hAnsi="Arial" w:cs="Arial"/>
        </w:rPr>
        <w:t xml:space="preserve">shall </w:t>
      </w:r>
      <w:r w:rsidR="00457AE3">
        <w:rPr>
          <w:rFonts w:ascii="Arial" w:hAnsi="Arial" w:cs="Arial"/>
        </w:rPr>
        <w:t>revert later to the second.</w:t>
      </w:r>
    </w:p>
    <w:p w14:paraId="0B596960" w14:textId="77777777" w:rsidR="003B08FB" w:rsidRPr="001550AC" w:rsidRDefault="003B08FB" w:rsidP="008231CE">
      <w:pPr>
        <w:pStyle w:val="ListParagraph"/>
        <w:spacing w:after="0" w:line="480" w:lineRule="auto"/>
        <w:ind w:left="0"/>
        <w:jc w:val="both"/>
        <w:rPr>
          <w:rFonts w:ascii="Arial" w:hAnsi="Arial" w:cs="Arial"/>
          <w:sz w:val="24"/>
          <w:szCs w:val="24"/>
        </w:rPr>
      </w:pPr>
    </w:p>
    <w:p w14:paraId="002C362F" w14:textId="21C21E3F" w:rsidR="00712EDE" w:rsidRPr="00F76D6C" w:rsidRDefault="00C47012" w:rsidP="00C47012">
      <w:pPr>
        <w:pStyle w:val="NormalWeb"/>
        <w:shd w:val="clear" w:color="auto" w:fill="FFFFFF"/>
        <w:spacing w:before="0" w:beforeAutospacing="0" w:after="0" w:afterAutospacing="0" w:line="480" w:lineRule="auto"/>
        <w:contextualSpacing/>
        <w:jc w:val="both"/>
        <w:rPr>
          <w:rFonts w:ascii="Arial" w:hAnsi="Arial" w:cs="Arial"/>
          <w:b/>
        </w:rPr>
      </w:pPr>
      <w:r w:rsidRPr="00F76D6C">
        <w:rPr>
          <w:rFonts w:ascii="Arial" w:hAnsi="Arial" w:cs="Arial"/>
          <w:color w:val="000000" w:themeColor="text1"/>
        </w:rPr>
        <w:t>[45]</w:t>
      </w:r>
      <w:r w:rsidRPr="00F76D6C">
        <w:rPr>
          <w:rFonts w:ascii="Arial" w:hAnsi="Arial" w:cs="Arial"/>
          <w:color w:val="000000" w:themeColor="text1"/>
        </w:rPr>
        <w:tab/>
      </w:r>
      <w:r w:rsidR="003B08FB" w:rsidRPr="00F76D6C">
        <w:rPr>
          <w:rFonts w:ascii="Arial" w:hAnsi="Arial" w:cs="Arial"/>
        </w:rPr>
        <w:t xml:space="preserve">As I have said s 182(1) of the Constitution provides for the </w:t>
      </w:r>
      <w:r w:rsidR="007E6ED0" w:rsidRPr="00F76D6C">
        <w:rPr>
          <w:rFonts w:ascii="Arial" w:hAnsi="Arial" w:cs="Arial"/>
        </w:rPr>
        <w:t>PP</w:t>
      </w:r>
      <w:r w:rsidR="003B08FB" w:rsidRPr="00F76D6C">
        <w:rPr>
          <w:rFonts w:ascii="Arial" w:hAnsi="Arial" w:cs="Arial"/>
        </w:rPr>
        <w:t xml:space="preserve"> to investigate any conduct </w:t>
      </w:r>
      <w:r w:rsidR="003F4536" w:rsidRPr="00F76D6C">
        <w:rPr>
          <w:rFonts w:ascii="Arial" w:hAnsi="Arial" w:cs="Arial"/>
        </w:rPr>
        <w:t>in</w:t>
      </w:r>
      <w:r w:rsidR="003B08FB" w:rsidRPr="00F76D6C">
        <w:rPr>
          <w:rFonts w:ascii="Arial" w:hAnsi="Arial" w:cs="Arial"/>
        </w:rPr>
        <w:t xml:space="preserve"> the </w:t>
      </w:r>
      <w:r w:rsidR="00712EDE" w:rsidRPr="00F76D6C">
        <w:rPr>
          <w:rFonts w:ascii="Arial" w:hAnsi="Arial" w:cs="Arial"/>
        </w:rPr>
        <w:t>s</w:t>
      </w:r>
      <w:r w:rsidR="003B08FB" w:rsidRPr="00F76D6C">
        <w:rPr>
          <w:rFonts w:ascii="Arial" w:hAnsi="Arial" w:cs="Arial"/>
        </w:rPr>
        <w:t>tate affairs</w:t>
      </w:r>
      <w:r w:rsidR="00621CBE">
        <w:rPr>
          <w:rFonts w:ascii="Arial" w:hAnsi="Arial" w:cs="Arial"/>
        </w:rPr>
        <w:t>,</w:t>
      </w:r>
      <w:r w:rsidR="003B08FB" w:rsidRPr="00F76D6C">
        <w:rPr>
          <w:rFonts w:ascii="Arial" w:hAnsi="Arial" w:cs="Arial"/>
        </w:rPr>
        <w:t xml:space="preserve"> or in the public a</w:t>
      </w:r>
      <w:r w:rsidR="00621CBE">
        <w:rPr>
          <w:rFonts w:ascii="Arial" w:hAnsi="Arial" w:cs="Arial"/>
        </w:rPr>
        <w:t xml:space="preserve">dministration, </w:t>
      </w:r>
      <w:r w:rsidR="003B08FB" w:rsidRPr="00F76D6C">
        <w:rPr>
          <w:rFonts w:ascii="Arial" w:hAnsi="Arial" w:cs="Arial"/>
        </w:rPr>
        <w:t>in any sphere of government</w:t>
      </w:r>
      <w:r w:rsidR="00712EDE" w:rsidRPr="00F76D6C">
        <w:rPr>
          <w:rFonts w:ascii="Arial" w:hAnsi="Arial" w:cs="Arial"/>
        </w:rPr>
        <w:t>,</w:t>
      </w:r>
      <w:r w:rsidR="003B08FB" w:rsidRPr="00F76D6C">
        <w:rPr>
          <w:rFonts w:ascii="Arial" w:hAnsi="Arial" w:cs="Arial"/>
        </w:rPr>
        <w:t xml:space="preserve"> as regulated by </w:t>
      </w:r>
      <w:r w:rsidR="00712EDE" w:rsidRPr="00F76D6C">
        <w:rPr>
          <w:rFonts w:ascii="Arial" w:hAnsi="Arial" w:cs="Arial"/>
        </w:rPr>
        <w:t xml:space="preserve">the </w:t>
      </w:r>
      <w:r w:rsidR="00FC724F" w:rsidRPr="00F76D6C">
        <w:rPr>
          <w:rFonts w:ascii="Arial" w:hAnsi="Arial" w:cs="Arial"/>
        </w:rPr>
        <w:t>Act</w:t>
      </w:r>
      <w:r w:rsidR="00712EDE" w:rsidRPr="00F76D6C">
        <w:rPr>
          <w:rFonts w:ascii="Arial" w:hAnsi="Arial" w:cs="Arial"/>
        </w:rPr>
        <w:t xml:space="preserve">, and the </w:t>
      </w:r>
      <w:r w:rsidR="00FC724F" w:rsidRPr="00F76D6C">
        <w:rPr>
          <w:rFonts w:ascii="Arial" w:hAnsi="Arial" w:cs="Arial"/>
        </w:rPr>
        <w:t>powers set out in s 6 of the Act are</w:t>
      </w:r>
      <w:r w:rsidR="00712EDE" w:rsidRPr="00F76D6C">
        <w:rPr>
          <w:rFonts w:ascii="Arial" w:hAnsi="Arial" w:cs="Arial"/>
        </w:rPr>
        <w:t xml:space="preserve">, at least in </w:t>
      </w:r>
      <w:r w:rsidR="008E64A3" w:rsidRPr="00F76D6C">
        <w:rPr>
          <w:rFonts w:ascii="Arial" w:hAnsi="Arial" w:cs="Arial"/>
        </w:rPr>
        <w:t>part, additional</w:t>
      </w:r>
      <w:r w:rsidR="0006385F">
        <w:rPr>
          <w:rFonts w:ascii="Arial" w:hAnsi="Arial" w:cs="Arial"/>
        </w:rPr>
        <w:t xml:space="preserve"> powers</w:t>
      </w:r>
      <w:r w:rsidR="00FC724F" w:rsidRPr="00F76D6C">
        <w:rPr>
          <w:rFonts w:ascii="Arial" w:hAnsi="Arial" w:cs="Arial"/>
        </w:rPr>
        <w:t>.</w:t>
      </w:r>
      <w:r w:rsidR="00851A61">
        <w:rPr>
          <w:rStyle w:val="FootnoteReference"/>
          <w:rFonts w:ascii="Arial" w:hAnsi="Arial" w:cs="Arial"/>
        </w:rPr>
        <w:footnoteReference w:id="45"/>
      </w:r>
      <w:r w:rsidR="00FC724F" w:rsidRPr="00F76D6C">
        <w:rPr>
          <w:rFonts w:ascii="Arial" w:hAnsi="Arial" w:cs="Arial"/>
        </w:rPr>
        <w:t xml:space="preserve">  </w:t>
      </w:r>
      <w:r w:rsidR="003B08FB" w:rsidRPr="00F76D6C">
        <w:rPr>
          <w:rFonts w:ascii="Arial" w:hAnsi="Arial" w:cs="Arial"/>
        </w:rPr>
        <w:t>Section 6(4)(a)(iv) empowers her to investigate any improper or unlawful enrichment, or receipt of any improper advantage, or promise of such enrichment or advantage, by a person as a result of an act or omission</w:t>
      </w:r>
      <w:r w:rsidR="00712EDE" w:rsidRPr="00F76D6C">
        <w:rPr>
          <w:rFonts w:ascii="Arial" w:hAnsi="Arial" w:cs="Arial"/>
        </w:rPr>
        <w:t xml:space="preserve"> o</w:t>
      </w:r>
      <w:r w:rsidR="003B08FB" w:rsidRPr="00F76D6C">
        <w:rPr>
          <w:rFonts w:ascii="Arial" w:hAnsi="Arial" w:cs="Arial"/>
        </w:rPr>
        <w:t>f a person performing a public function.</w:t>
      </w:r>
      <w:r w:rsidR="003B08FB" w:rsidRPr="001550AC">
        <w:rPr>
          <w:rStyle w:val="FootnoteReference"/>
          <w:rFonts w:ascii="Arial" w:hAnsi="Arial" w:cs="Arial"/>
        </w:rPr>
        <w:footnoteReference w:id="46"/>
      </w:r>
      <w:r w:rsidR="003B08FB" w:rsidRPr="00F76D6C">
        <w:rPr>
          <w:rFonts w:ascii="Arial" w:hAnsi="Arial" w:cs="Arial"/>
        </w:rPr>
        <w:t xml:space="preserve">  </w:t>
      </w:r>
    </w:p>
    <w:p w14:paraId="3B27664B" w14:textId="77777777" w:rsidR="00F76D6C" w:rsidRPr="00F76D6C" w:rsidRDefault="00F76D6C" w:rsidP="00F76D6C">
      <w:pPr>
        <w:pStyle w:val="NormalWeb"/>
        <w:shd w:val="clear" w:color="auto" w:fill="FFFFFF"/>
        <w:spacing w:before="0" w:beforeAutospacing="0" w:after="0" w:afterAutospacing="0" w:line="480" w:lineRule="auto"/>
        <w:contextualSpacing/>
        <w:jc w:val="both"/>
        <w:rPr>
          <w:rFonts w:ascii="Arial" w:hAnsi="Arial" w:cs="Arial"/>
          <w:b/>
        </w:rPr>
      </w:pPr>
    </w:p>
    <w:p w14:paraId="718C0E15" w14:textId="6F7CCC9A" w:rsidR="002E05EC" w:rsidRPr="00ED5C89" w:rsidRDefault="00C47012" w:rsidP="00C47012">
      <w:pPr>
        <w:pStyle w:val="NormalWeb"/>
        <w:shd w:val="clear" w:color="auto" w:fill="FFFFFF"/>
        <w:spacing w:before="0" w:beforeAutospacing="0" w:after="0" w:afterAutospacing="0" w:line="480" w:lineRule="auto"/>
        <w:contextualSpacing/>
        <w:jc w:val="both"/>
        <w:rPr>
          <w:rFonts w:ascii="Arial" w:hAnsi="Arial" w:cs="Arial"/>
          <w:b/>
        </w:rPr>
      </w:pPr>
      <w:r w:rsidRPr="00ED5C89">
        <w:rPr>
          <w:rFonts w:ascii="Arial" w:hAnsi="Arial" w:cs="Arial"/>
          <w:color w:val="000000" w:themeColor="text1"/>
        </w:rPr>
        <w:t>[46]</w:t>
      </w:r>
      <w:r w:rsidRPr="00ED5C89">
        <w:rPr>
          <w:rFonts w:ascii="Arial" w:hAnsi="Arial" w:cs="Arial"/>
          <w:color w:val="000000" w:themeColor="text1"/>
        </w:rPr>
        <w:tab/>
      </w:r>
      <w:r w:rsidR="002E05EC" w:rsidRPr="001550AC">
        <w:rPr>
          <w:rFonts w:ascii="Arial" w:hAnsi="Arial" w:cs="Arial"/>
        </w:rPr>
        <w:t xml:space="preserve">In advancing the argument </w:t>
      </w:r>
      <w:r w:rsidR="00712EDE">
        <w:rPr>
          <w:rFonts w:ascii="Arial" w:hAnsi="Arial" w:cs="Arial"/>
        </w:rPr>
        <w:t xml:space="preserve">that the PP has no jurisdiction to investigate, or to make any finding against a private individual holding no public office, </w:t>
      </w:r>
      <w:proofErr w:type="spellStart"/>
      <w:r w:rsidR="002E05EC" w:rsidRPr="001550AC">
        <w:rPr>
          <w:rFonts w:ascii="Arial" w:hAnsi="Arial" w:cs="Arial"/>
        </w:rPr>
        <w:t>Mr</w:t>
      </w:r>
      <w:proofErr w:type="spellEnd"/>
      <w:r w:rsidR="002E05EC" w:rsidRPr="001550AC">
        <w:rPr>
          <w:rFonts w:ascii="Arial" w:hAnsi="Arial" w:cs="Arial"/>
        </w:rPr>
        <w:t xml:space="preserve"> </w:t>
      </w:r>
      <w:r w:rsidR="002E05EC" w:rsidRPr="001550AC">
        <w:rPr>
          <w:rFonts w:ascii="Arial" w:hAnsi="Arial" w:cs="Arial"/>
          <w:i/>
        </w:rPr>
        <w:t>Katz</w:t>
      </w:r>
      <w:r w:rsidR="00D10B94">
        <w:rPr>
          <w:rFonts w:ascii="Arial" w:hAnsi="Arial" w:cs="Arial"/>
        </w:rPr>
        <w:t xml:space="preserve"> sought to rely on </w:t>
      </w:r>
      <w:r w:rsidR="00712EDE">
        <w:rPr>
          <w:rFonts w:ascii="Arial" w:hAnsi="Arial" w:cs="Arial"/>
          <w:i/>
        </w:rPr>
        <w:t>T</w:t>
      </w:r>
      <w:r w:rsidR="002E05EC" w:rsidRPr="001550AC">
        <w:rPr>
          <w:rFonts w:ascii="Arial" w:hAnsi="Arial" w:cs="Arial"/>
          <w:i/>
        </w:rPr>
        <w:t>he President</w:t>
      </w:r>
      <w:r w:rsidR="002E05EC" w:rsidRPr="001550AC">
        <w:rPr>
          <w:rFonts w:ascii="Arial" w:hAnsi="Arial" w:cs="Arial"/>
        </w:rPr>
        <w:t xml:space="preserve"> </w:t>
      </w:r>
      <w:r w:rsidR="00D10B94">
        <w:rPr>
          <w:rFonts w:ascii="Arial" w:hAnsi="Arial" w:cs="Arial"/>
        </w:rPr>
        <w:t>(CC)</w:t>
      </w:r>
      <w:r w:rsidR="00712EDE">
        <w:rPr>
          <w:rFonts w:ascii="Arial" w:hAnsi="Arial" w:cs="Arial"/>
        </w:rPr>
        <w:t xml:space="preserve"> </w:t>
      </w:r>
      <w:r w:rsidR="002E05EC" w:rsidRPr="001550AC">
        <w:rPr>
          <w:rFonts w:ascii="Arial" w:hAnsi="Arial" w:cs="Arial"/>
        </w:rPr>
        <w:t>where the Constitutional Court remarked</w:t>
      </w:r>
      <w:r w:rsidR="00D10B94">
        <w:rPr>
          <w:rFonts w:ascii="Arial" w:hAnsi="Arial" w:cs="Arial"/>
        </w:rPr>
        <w:t xml:space="preserve">, with reference to </w:t>
      </w:r>
      <w:r w:rsidR="002E05EC" w:rsidRPr="001550AC">
        <w:rPr>
          <w:rFonts w:ascii="Arial" w:hAnsi="Arial" w:cs="Arial"/>
        </w:rPr>
        <w:t>s 182(1) of the Constitution:</w:t>
      </w:r>
    </w:p>
    <w:p w14:paraId="250524C1" w14:textId="77777777" w:rsidR="00ED5C89" w:rsidRDefault="00ED5C89" w:rsidP="00ED5C89">
      <w:pPr>
        <w:pStyle w:val="ListParagraph"/>
        <w:rPr>
          <w:rFonts w:ascii="Arial" w:hAnsi="Arial" w:cs="Arial"/>
          <w:b/>
        </w:rPr>
      </w:pPr>
    </w:p>
    <w:p w14:paraId="515FD3F5" w14:textId="77777777" w:rsidR="00ED5C89" w:rsidRPr="001550AC" w:rsidRDefault="00ED5C89" w:rsidP="00ED5C89">
      <w:pPr>
        <w:pStyle w:val="NormalWeb"/>
        <w:shd w:val="clear" w:color="auto" w:fill="FFFFFF"/>
        <w:spacing w:before="0" w:beforeAutospacing="0" w:after="0" w:afterAutospacing="0" w:line="480" w:lineRule="auto"/>
        <w:contextualSpacing/>
        <w:jc w:val="both"/>
        <w:rPr>
          <w:rFonts w:ascii="Arial" w:hAnsi="Arial" w:cs="Arial"/>
          <w:b/>
        </w:rPr>
      </w:pPr>
    </w:p>
    <w:p w14:paraId="645341A8" w14:textId="77777777" w:rsidR="00CA3985" w:rsidRDefault="00CA3985" w:rsidP="008231CE">
      <w:pPr>
        <w:pStyle w:val="NormalWeb"/>
        <w:shd w:val="clear" w:color="auto" w:fill="FFFFFF"/>
        <w:spacing w:before="0" w:beforeAutospacing="0" w:after="0" w:afterAutospacing="0" w:line="480" w:lineRule="auto"/>
        <w:contextualSpacing/>
        <w:jc w:val="both"/>
        <w:rPr>
          <w:rFonts w:ascii="Arial" w:hAnsi="Arial" w:cs="Arial"/>
          <w:sz w:val="22"/>
          <w:szCs w:val="22"/>
        </w:rPr>
      </w:pPr>
    </w:p>
    <w:p w14:paraId="690ABA32" w14:textId="77777777" w:rsidR="002E05EC" w:rsidRPr="00EA751A" w:rsidRDefault="002E05EC" w:rsidP="00AF7997">
      <w:pPr>
        <w:pStyle w:val="NormalWeb"/>
        <w:shd w:val="clear" w:color="auto" w:fill="FFFFFF"/>
        <w:spacing w:before="0" w:beforeAutospacing="0" w:after="0" w:afterAutospacing="0" w:line="360" w:lineRule="auto"/>
        <w:ind w:left="567" w:right="567"/>
        <w:jc w:val="both"/>
        <w:rPr>
          <w:rFonts w:ascii="Arial" w:hAnsi="Arial" w:cs="Arial"/>
          <w:color w:val="000000" w:themeColor="text1"/>
          <w:sz w:val="22"/>
          <w:szCs w:val="22"/>
        </w:rPr>
      </w:pPr>
      <w:r w:rsidRPr="00EA751A">
        <w:rPr>
          <w:rFonts w:ascii="Arial" w:hAnsi="Arial" w:cs="Arial"/>
          <w:color w:val="000000" w:themeColor="text1"/>
          <w:sz w:val="22"/>
          <w:szCs w:val="22"/>
        </w:rPr>
        <w:lastRenderedPageBreak/>
        <w:t xml:space="preserve">“This provision empowers the Public Protector to investigate any conduct in </w:t>
      </w:r>
      <w:r w:rsidR="00386245" w:rsidRPr="00EA751A">
        <w:rPr>
          <w:rFonts w:ascii="Arial" w:hAnsi="Arial" w:cs="Arial"/>
          <w:color w:val="000000" w:themeColor="text1"/>
          <w:sz w:val="22"/>
          <w:szCs w:val="22"/>
        </w:rPr>
        <w:t>s</w:t>
      </w:r>
      <w:r w:rsidRPr="00EA751A">
        <w:rPr>
          <w:rFonts w:ascii="Arial" w:hAnsi="Arial" w:cs="Arial"/>
          <w:color w:val="000000" w:themeColor="text1"/>
          <w:sz w:val="22"/>
          <w:szCs w:val="22"/>
        </w:rPr>
        <w:t>tate affairs or in the public administration.  This means the scope of the power is limited to state affairs and affairs of the public administration.  There</w:t>
      </w:r>
      <w:r w:rsidR="00386245" w:rsidRPr="00EA751A">
        <w:rPr>
          <w:rFonts w:ascii="Arial" w:hAnsi="Arial" w:cs="Arial"/>
          <w:color w:val="000000" w:themeColor="text1"/>
          <w:sz w:val="22"/>
          <w:szCs w:val="22"/>
        </w:rPr>
        <w:t xml:space="preserve"> can be no doubt that the CR17 c</w:t>
      </w:r>
      <w:r w:rsidRPr="00EA751A">
        <w:rPr>
          <w:rFonts w:ascii="Arial" w:hAnsi="Arial" w:cs="Arial"/>
          <w:color w:val="000000" w:themeColor="text1"/>
          <w:sz w:val="22"/>
          <w:szCs w:val="22"/>
        </w:rPr>
        <w:t xml:space="preserve">ampaign was engaged in the affairs of the </w:t>
      </w:r>
      <w:r w:rsidR="00386245" w:rsidRPr="00EA751A">
        <w:rPr>
          <w:rFonts w:ascii="Arial" w:hAnsi="Arial" w:cs="Arial"/>
          <w:color w:val="000000" w:themeColor="text1"/>
          <w:sz w:val="22"/>
          <w:szCs w:val="22"/>
        </w:rPr>
        <w:t>ANC, which is a political party.  The</w:t>
      </w:r>
      <w:r w:rsidRPr="00EA751A">
        <w:rPr>
          <w:rFonts w:ascii="Arial" w:hAnsi="Arial" w:cs="Arial"/>
          <w:color w:val="000000" w:themeColor="text1"/>
          <w:sz w:val="22"/>
          <w:szCs w:val="22"/>
        </w:rPr>
        <w:t xml:space="preserve"> fact that it was a ruling party at the relevant time did not make it part of the public administration.”</w:t>
      </w:r>
      <w:r w:rsidRPr="00EA751A">
        <w:rPr>
          <w:rStyle w:val="FootnoteReference"/>
          <w:rFonts w:ascii="Arial" w:hAnsi="Arial" w:cs="Arial"/>
          <w:color w:val="000000" w:themeColor="text1"/>
          <w:sz w:val="22"/>
          <w:szCs w:val="22"/>
        </w:rPr>
        <w:footnoteReference w:id="47"/>
      </w:r>
      <w:r w:rsidRPr="00EA751A">
        <w:rPr>
          <w:rFonts w:ascii="Arial" w:hAnsi="Arial" w:cs="Arial"/>
          <w:color w:val="000000" w:themeColor="text1"/>
          <w:sz w:val="22"/>
          <w:szCs w:val="22"/>
        </w:rPr>
        <w:t xml:space="preserve">  </w:t>
      </w:r>
    </w:p>
    <w:p w14:paraId="5B960D25" w14:textId="77777777" w:rsidR="00386245" w:rsidRDefault="00386245" w:rsidP="00AF7997">
      <w:pPr>
        <w:pStyle w:val="NormalWeb"/>
        <w:shd w:val="clear" w:color="auto" w:fill="FFFFFF"/>
        <w:spacing w:before="0" w:beforeAutospacing="0" w:after="0" w:afterAutospacing="0" w:line="360" w:lineRule="auto"/>
        <w:ind w:left="567" w:right="567"/>
        <w:jc w:val="both"/>
        <w:rPr>
          <w:rFonts w:ascii="Arial" w:hAnsi="Arial" w:cs="Arial"/>
          <w:sz w:val="22"/>
          <w:szCs w:val="22"/>
        </w:rPr>
      </w:pPr>
    </w:p>
    <w:p w14:paraId="26831D62" w14:textId="77777777" w:rsidR="00ED5C89" w:rsidRDefault="00ED5C89" w:rsidP="00AF7997">
      <w:pPr>
        <w:pStyle w:val="NormalWeb"/>
        <w:shd w:val="clear" w:color="auto" w:fill="FFFFFF"/>
        <w:spacing w:before="0" w:beforeAutospacing="0" w:after="0" w:afterAutospacing="0" w:line="360" w:lineRule="auto"/>
        <w:ind w:left="567" w:right="567"/>
        <w:jc w:val="both"/>
        <w:rPr>
          <w:rFonts w:ascii="Arial" w:hAnsi="Arial" w:cs="Arial"/>
          <w:sz w:val="22"/>
          <w:szCs w:val="22"/>
        </w:rPr>
      </w:pPr>
    </w:p>
    <w:p w14:paraId="0F0B0362" w14:textId="02AE303A" w:rsidR="00E042A3" w:rsidRPr="0010793A"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sidRPr="0010793A">
        <w:rPr>
          <w:rFonts w:ascii="Arial" w:hAnsi="Arial" w:cs="Arial"/>
          <w:color w:val="000000" w:themeColor="text1"/>
        </w:rPr>
        <w:t>[47]</w:t>
      </w:r>
      <w:r w:rsidRPr="0010793A">
        <w:rPr>
          <w:rFonts w:ascii="Arial" w:hAnsi="Arial" w:cs="Arial"/>
          <w:color w:val="000000" w:themeColor="text1"/>
        </w:rPr>
        <w:tab/>
      </w:r>
      <w:r w:rsidR="002E05EC" w:rsidRPr="00712EDE">
        <w:rPr>
          <w:rFonts w:ascii="Arial" w:hAnsi="Arial" w:cs="Arial"/>
        </w:rPr>
        <w:t xml:space="preserve">Her investigation </w:t>
      </w:r>
      <w:r w:rsidR="00F24F32">
        <w:rPr>
          <w:rFonts w:ascii="Arial" w:hAnsi="Arial" w:cs="Arial"/>
        </w:rPr>
        <w:t xml:space="preserve">of </w:t>
      </w:r>
      <w:r w:rsidR="00240C7B">
        <w:rPr>
          <w:rFonts w:ascii="Arial" w:hAnsi="Arial" w:cs="Arial"/>
        </w:rPr>
        <w:t xml:space="preserve">the </w:t>
      </w:r>
      <w:r w:rsidR="00240C7B">
        <w:rPr>
          <w:rFonts w:ascii="Arial" w:hAnsi="Arial" w:cs="Arial"/>
          <w:i/>
        </w:rPr>
        <w:t xml:space="preserve">President’s </w:t>
      </w:r>
      <w:r w:rsidR="00240C7B">
        <w:rPr>
          <w:rFonts w:ascii="Arial" w:hAnsi="Arial" w:cs="Arial"/>
        </w:rPr>
        <w:t xml:space="preserve">case </w:t>
      </w:r>
      <w:r w:rsidR="002E05EC" w:rsidRPr="0010793A">
        <w:rPr>
          <w:rFonts w:ascii="Arial" w:hAnsi="Arial" w:cs="Arial"/>
        </w:rPr>
        <w:t>was prompted by a complaint made to her in terms of the code of ethics promulgated in terms of the Executive Members Ethics Act</w:t>
      </w:r>
      <w:r w:rsidR="002E05EC" w:rsidRPr="001550AC">
        <w:rPr>
          <w:rStyle w:val="FootnoteReference"/>
          <w:rFonts w:ascii="Arial" w:hAnsi="Arial" w:cs="Arial"/>
        </w:rPr>
        <w:footnoteReference w:id="48"/>
      </w:r>
      <w:r w:rsidR="00EB1F28">
        <w:rPr>
          <w:rFonts w:ascii="Arial" w:hAnsi="Arial" w:cs="Arial"/>
        </w:rPr>
        <w:t xml:space="preserve"> (the Members Act)</w:t>
      </w:r>
      <w:r w:rsidR="002E05EC" w:rsidRPr="0010793A">
        <w:rPr>
          <w:rFonts w:ascii="Arial" w:hAnsi="Arial" w:cs="Arial"/>
        </w:rPr>
        <w:t xml:space="preserve">.  The </w:t>
      </w:r>
      <w:r w:rsidR="00240C7B" w:rsidRPr="0010793A">
        <w:rPr>
          <w:rFonts w:ascii="Arial" w:hAnsi="Arial" w:cs="Arial"/>
        </w:rPr>
        <w:t xml:space="preserve">questions that arose from the </w:t>
      </w:r>
      <w:r w:rsidR="002E05EC" w:rsidRPr="0010793A">
        <w:rPr>
          <w:rFonts w:ascii="Arial" w:hAnsi="Arial" w:cs="Arial"/>
        </w:rPr>
        <w:t>complain</w:t>
      </w:r>
      <w:r w:rsidR="00DF0504">
        <w:rPr>
          <w:rFonts w:ascii="Arial" w:hAnsi="Arial" w:cs="Arial"/>
        </w:rPr>
        <w:t>t</w:t>
      </w:r>
      <w:r w:rsidR="002E05EC" w:rsidRPr="0010793A">
        <w:rPr>
          <w:rFonts w:ascii="Arial" w:hAnsi="Arial" w:cs="Arial"/>
        </w:rPr>
        <w:t xml:space="preserve"> </w:t>
      </w:r>
      <w:r w:rsidR="00240C7B" w:rsidRPr="0010793A">
        <w:rPr>
          <w:rFonts w:ascii="Arial" w:hAnsi="Arial" w:cs="Arial"/>
        </w:rPr>
        <w:t>were</w:t>
      </w:r>
      <w:r w:rsidR="002E05EC" w:rsidRPr="0010793A">
        <w:rPr>
          <w:rFonts w:ascii="Arial" w:hAnsi="Arial" w:cs="Arial"/>
        </w:rPr>
        <w:t xml:space="preserve"> whether</w:t>
      </w:r>
      <w:r w:rsidR="00AF7997" w:rsidRPr="0010793A">
        <w:rPr>
          <w:rFonts w:ascii="Arial" w:hAnsi="Arial" w:cs="Arial"/>
        </w:rPr>
        <w:t xml:space="preserve"> (1) t</w:t>
      </w:r>
      <w:r w:rsidR="002E05EC" w:rsidRPr="0010793A">
        <w:rPr>
          <w:rFonts w:ascii="Arial" w:hAnsi="Arial" w:cs="Arial"/>
        </w:rPr>
        <w:t xml:space="preserve">he </w:t>
      </w:r>
      <w:r w:rsidR="00AF7997" w:rsidRPr="0010793A">
        <w:rPr>
          <w:rFonts w:ascii="Arial" w:hAnsi="Arial" w:cs="Arial"/>
        </w:rPr>
        <w:t xml:space="preserve">statement made by President </w:t>
      </w:r>
      <w:proofErr w:type="spellStart"/>
      <w:r w:rsidR="00AF7997" w:rsidRPr="0010793A">
        <w:rPr>
          <w:rFonts w:ascii="Arial" w:hAnsi="Arial" w:cs="Arial"/>
        </w:rPr>
        <w:t>Ramaphosa</w:t>
      </w:r>
      <w:proofErr w:type="spellEnd"/>
      <w:r w:rsidR="00AF7997" w:rsidRPr="0010793A">
        <w:rPr>
          <w:rFonts w:ascii="Arial" w:hAnsi="Arial" w:cs="Arial"/>
        </w:rPr>
        <w:t xml:space="preserve"> in the national assembly on 6 November 2018 that he </w:t>
      </w:r>
      <w:r w:rsidR="00240C7B" w:rsidRPr="0010793A">
        <w:rPr>
          <w:rFonts w:ascii="Arial" w:hAnsi="Arial" w:cs="Arial"/>
        </w:rPr>
        <w:t>had seen</w:t>
      </w:r>
      <w:r w:rsidR="00AF7997" w:rsidRPr="0010793A">
        <w:rPr>
          <w:rFonts w:ascii="Arial" w:hAnsi="Arial" w:cs="Arial"/>
        </w:rPr>
        <w:t xml:space="preserve"> a contract between his son’s company and Global Operations </w:t>
      </w:r>
      <w:r w:rsidR="00240C7B" w:rsidRPr="0010793A">
        <w:rPr>
          <w:rFonts w:ascii="Arial" w:hAnsi="Arial" w:cs="Arial"/>
        </w:rPr>
        <w:t>was</w:t>
      </w:r>
      <w:r w:rsidR="00AF7997" w:rsidRPr="0010793A">
        <w:rPr>
          <w:rFonts w:ascii="Arial" w:hAnsi="Arial" w:cs="Arial"/>
        </w:rPr>
        <w:t xml:space="preserve"> true, and </w:t>
      </w:r>
      <w:r w:rsidR="00240C7B" w:rsidRPr="0010793A">
        <w:rPr>
          <w:rFonts w:ascii="Arial" w:hAnsi="Arial" w:cs="Arial"/>
        </w:rPr>
        <w:t xml:space="preserve">whether </w:t>
      </w:r>
      <w:r w:rsidR="00AF7997" w:rsidRPr="0010793A">
        <w:rPr>
          <w:rFonts w:ascii="Arial" w:hAnsi="Arial" w:cs="Arial"/>
        </w:rPr>
        <w:t xml:space="preserve">a contract </w:t>
      </w:r>
      <w:r w:rsidR="00240C7B" w:rsidRPr="0010793A">
        <w:rPr>
          <w:rFonts w:ascii="Arial" w:hAnsi="Arial" w:cs="Arial"/>
        </w:rPr>
        <w:t xml:space="preserve">in fact existed; </w:t>
      </w:r>
      <w:r w:rsidR="00712EDE" w:rsidRPr="0010793A">
        <w:rPr>
          <w:rFonts w:ascii="Arial" w:hAnsi="Arial" w:cs="Arial"/>
        </w:rPr>
        <w:t xml:space="preserve">and, </w:t>
      </w:r>
      <w:r w:rsidR="00AF7997" w:rsidRPr="0010793A">
        <w:rPr>
          <w:rFonts w:ascii="Arial" w:hAnsi="Arial" w:cs="Arial"/>
        </w:rPr>
        <w:t xml:space="preserve">(2) whether President </w:t>
      </w:r>
      <w:proofErr w:type="spellStart"/>
      <w:r w:rsidR="00AF7997" w:rsidRPr="0010793A">
        <w:rPr>
          <w:rFonts w:ascii="Arial" w:hAnsi="Arial" w:cs="Arial"/>
        </w:rPr>
        <w:t>Ramaphosa</w:t>
      </w:r>
      <w:proofErr w:type="spellEnd"/>
      <w:r w:rsidR="00AF7997" w:rsidRPr="0010793A">
        <w:rPr>
          <w:rFonts w:ascii="Arial" w:hAnsi="Arial" w:cs="Arial"/>
        </w:rPr>
        <w:t xml:space="preserve"> </w:t>
      </w:r>
      <w:r w:rsidR="00240C7B" w:rsidRPr="0010793A">
        <w:rPr>
          <w:rFonts w:ascii="Arial" w:hAnsi="Arial" w:cs="Arial"/>
        </w:rPr>
        <w:t xml:space="preserve">had </w:t>
      </w:r>
      <w:r w:rsidR="00AF7997" w:rsidRPr="0010793A">
        <w:rPr>
          <w:rFonts w:ascii="Arial" w:hAnsi="Arial" w:cs="Arial"/>
        </w:rPr>
        <w:t xml:space="preserve">deliberately misled Parliament in violation of the </w:t>
      </w:r>
      <w:r w:rsidR="00EB1F28">
        <w:rPr>
          <w:rFonts w:ascii="Arial" w:hAnsi="Arial" w:cs="Arial"/>
        </w:rPr>
        <w:t>Members</w:t>
      </w:r>
      <w:r w:rsidR="00AF7997" w:rsidRPr="0010793A">
        <w:rPr>
          <w:rFonts w:ascii="Arial" w:hAnsi="Arial" w:cs="Arial"/>
        </w:rPr>
        <w:t xml:space="preserve"> Act.</w:t>
      </w:r>
      <w:r w:rsidR="00712EDE" w:rsidRPr="0010793A">
        <w:rPr>
          <w:rFonts w:ascii="Arial" w:hAnsi="Arial" w:cs="Arial"/>
        </w:rPr>
        <w:t xml:space="preserve">  </w:t>
      </w:r>
      <w:r w:rsidR="00AF7997" w:rsidRPr="0010793A">
        <w:rPr>
          <w:rFonts w:ascii="Arial" w:hAnsi="Arial" w:cs="Arial"/>
        </w:rPr>
        <w:t xml:space="preserve">The </w:t>
      </w:r>
      <w:r w:rsidR="007E6ED0" w:rsidRPr="0010793A">
        <w:rPr>
          <w:rFonts w:ascii="Arial" w:hAnsi="Arial" w:cs="Arial"/>
        </w:rPr>
        <w:t>PP</w:t>
      </w:r>
      <w:r w:rsidR="00AF7997" w:rsidRPr="0010793A">
        <w:rPr>
          <w:rFonts w:ascii="Arial" w:hAnsi="Arial" w:cs="Arial"/>
        </w:rPr>
        <w:t xml:space="preserve"> embarked on a different enquiry as to whether the President had personally benefitted from donations made to the CR17 Campaign.  She was plainly not </w:t>
      </w:r>
      <w:proofErr w:type="spellStart"/>
      <w:r w:rsidR="00AF7997" w:rsidRPr="0010793A">
        <w:rPr>
          <w:rFonts w:ascii="Arial" w:hAnsi="Arial" w:cs="Arial"/>
        </w:rPr>
        <w:t>authorised</w:t>
      </w:r>
      <w:proofErr w:type="spellEnd"/>
      <w:r w:rsidR="00AF7997" w:rsidRPr="0010793A">
        <w:rPr>
          <w:rFonts w:ascii="Arial" w:hAnsi="Arial" w:cs="Arial"/>
        </w:rPr>
        <w:t xml:space="preserve"> to investigate the issue </w:t>
      </w:r>
      <w:r w:rsidR="00477EDD" w:rsidRPr="0010793A">
        <w:rPr>
          <w:rFonts w:ascii="Arial" w:hAnsi="Arial" w:cs="Arial"/>
        </w:rPr>
        <w:t xml:space="preserve">in terms of </w:t>
      </w:r>
      <w:r w:rsidR="009363C6" w:rsidRPr="0010793A">
        <w:rPr>
          <w:rFonts w:ascii="Arial" w:hAnsi="Arial" w:cs="Arial"/>
        </w:rPr>
        <w:t>s 4 of the member’s act</w:t>
      </w:r>
      <w:r w:rsidR="00E50F66" w:rsidRPr="0010793A">
        <w:rPr>
          <w:rFonts w:ascii="Arial" w:hAnsi="Arial" w:cs="Arial"/>
        </w:rPr>
        <w:t>,</w:t>
      </w:r>
      <w:r w:rsidR="009363C6" w:rsidRPr="0010793A">
        <w:rPr>
          <w:rFonts w:ascii="Arial" w:hAnsi="Arial" w:cs="Arial"/>
        </w:rPr>
        <w:t xml:space="preserve"> </w:t>
      </w:r>
      <w:r w:rsidR="00477EDD" w:rsidRPr="0010793A">
        <w:rPr>
          <w:rFonts w:ascii="Arial" w:hAnsi="Arial" w:cs="Arial"/>
        </w:rPr>
        <w:t xml:space="preserve">as it only </w:t>
      </w:r>
      <w:r w:rsidR="009363C6" w:rsidRPr="0010793A">
        <w:rPr>
          <w:rFonts w:ascii="Arial" w:hAnsi="Arial" w:cs="Arial"/>
        </w:rPr>
        <w:t xml:space="preserve">mandates the </w:t>
      </w:r>
      <w:r w:rsidR="007E6ED0" w:rsidRPr="0010793A">
        <w:rPr>
          <w:rFonts w:ascii="Arial" w:hAnsi="Arial" w:cs="Arial"/>
        </w:rPr>
        <w:t xml:space="preserve">PP </w:t>
      </w:r>
      <w:r w:rsidR="009363C6" w:rsidRPr="0010793A">
        <w:rPr>
          <w:rFonts w:ascii="Arial" w:hAnsi="Arial" w:cs="Arial"/>
        </w:rPr>
        <w:t>to investigate violations of the code if there is a complaint by one of the persons listed in the section.  The Constitutional Court</w:t>
      </w:r>
      <w:r w:rsidR="00F24F32">
        <w:rPr>
          <w:rFonts w:ascii="Arial" w:hAnsi="Arial" w:cs="Arial"/>
        </w:rPr>
        <w:t>, therefore,</w:t>
      </w:r>
      <w:r w:rsidR="009363C6" w:rsidRPr="0010793A">
        <w:rPr>
          <w:rFonts w:ascii="Arial" w:hAnsi="Arial" w:cs="Arial"/>
        </w:rPr>
        <w:t xml:space="preserve"> proceeded to consider whether the </w:t>
      </w:r>
      <w:r w:rsidR="007E6ED0" w:rsidRPr="0010793A">
        <w:rPr>
          <w:rFonts w:ascii="Arial" w:hAnsi="Arial" w:cs="Arial"/>
        </w:rPr>
        <w:t>PP</w:t>
      </w:r>
      <w:r w:rsidR="009363C6" w:rsidRPr="0010793A">
        <w:rPr>
          <w:rFonts w:ascii="Arial" w:hAnsi="Arial" w:cs="Arial"/>
        </w:rPr>
        <w:t xml:space="preserve"> was competent to investigate the affairs of the CR17 Campaign</w:t>
      </w:r>
      <w:r w:rsidR="00137210" w:rsidRPr="0010793A">
        <w:rPr>
          <w:rFonts w:ascii="Arial" w:hAnsi="Arial" w:cs="Arial"/>
        </w:rPr>
        <w:t xml:space="preserve"> on any other basis</w:t>
      </w:r>
      <w:r w:rsidR="009363C6" w:rsidRPr="0010793A">
        <w:rPr>
          <w:rFonts w:ascii="Arial" w:hAnsi="Arial" w:cs="Arial"/>
        </w:rPr>
        <w:t xml:space="preserve">.  </w:t>
      </w:r>
      <w:r w:rsidR="00137210" w:rsidRPr="0010793A">
        <w:rPr>
          <w:rFonts w:ascii="Arial" w:hAnsi="Arial" w:cs="Arial"/>
        </w:rPr>
        <w:t xml:space="preserve">In doing so they noted: </w:t>
      </w:r>
    </w:p>
    <w:p w14:paraId="348D84B8" w14:textId="77777777" w:rsidR="00E042A3" w:rsidRDefault="00E042A3" w:rsidP="00AF7997">
      <w:pPr>
        <w:pStyle w:val="NormalWeb"/>
        <w:shd w:val="clear" w:color="auto" w:fill="FFFFFF"/>
        <w:spacing w:before="0" w:beforeAutospacing="0" w:after="0" w:afterAutospacing="0" w:line="480" w:lineRule="auto"/>
        <w:jc w:val="both"/>
        <w:rPr>
          <w:rFonts w:ascii="Arial" w:hAnsi="Arial" w:cs="Arial"/>
          <w:color w:val="0070C0"/>
          <w:sz w:val="22"/>
          <w:szCs w:val="22"/>
        </w:rPr>
      </w:pPr>
    </w:p>
    <w:p w14:paraId="34295093" w14:textId="77777777" w:rsidR="00557358" w:rsidRDefault="00557358" w:rsidP="00AF7997">
      <w:pPr>
        <w:pStyle w:val="NormalWeb"/>
        <w:shd w:val="clear" w:color="auto" w:fill="FFFFFF"/>
        <w:spacing w:before="0" w:beforeAutospacing="0" w:after="0" w:afterAutospacing="0" w:line="480" w:lineRule="auto"/>
        <w:jc w:val="both"/>
        <w:rPr>
          <w:rFonts w:ascii="Arial" w:hAnsi="Arial" w:cs="Arial"/>
          <w:color w:val="0070C0"/>
          <w:sz w:val="22"/>
          <w:szCs w:val="22"/>
        </w:rPr>
      </w:pPr>
    </w:p>
    <w:p w14:paraId="3004E70D" w14:textId="77777777" w:rsidR="00ED5C89" w:rsidRPr="00ED5C89" w:rsidRDefault="00ED5C89" w:rsidP="00ED5C89">
      <w:pPr>
        <w:pStyle w:val="NormalWeb"/>
        <w:shd w:val="clear" w:color="auto" w:fill="FFFFFF"/>
        <w:spacing w:before="0" w:beforeAutospacing="0" w:after="0" w:afterAutospacing="0" w:line="360" w:lineRule="auto"/>
        <w:ind w:left="567" w:right="567"/>
        <w:contextualSpacing/>
        <w:jc w:val="both"/>
        <w:rPr>
          <w:rFonts w:ascii="Arial" w:hAnsi="Arial" w:cs="Arial"/>
          <w:color w:val="0070C0"/>
          <w:sz w:val="22"/>
          <w:szCs w:val="22"/>
        </w:rPr>
      </w:pPr>
    </w:p>
    <w:p w14:paraId="4720BAC9" w14:textId="77777777" w:rsidR="00ED5C89" w:rsidRPr="00EA751A" w:rsidRDefault="00ED5C89" w:rsidP="00ED5C89">
      <w:pPr>
        <w:spacing w:after="0" w:line="360" w:lineRule="auto"/>
        <w:ind w:left="567" w:right="567"/>
        <w:contextualSpacing/>
        <w:jc w:val="both"/>
        <w:rPr>
          <w:rStyle w:val="g1"/>
          <w:rFonts w:ascii="Arial" w:hAnsi="Arial" w:cs="Arial"/>
          <w:color w:val="000000" w:themeColor="text1"/>
          <w:u w:val="single"/>
        </w:rPr>
      </w:pPr>
      <w:r w:rsidRPr="00EA751A">
        <w:rPr>
          <w:rFonts w:ascii="Arial" w:hAnsi="Arial" w:cs="Arial"/>
          <w:color w:val="000000" w:themeColor="text1"/>
        </w:rPr>
        <w:lastRenderedPageBreak/>
        <w:t>“[99] This is a legal question which must be answered with reference to the empowering provisions of the Constitution and relevant legislation. Section 182(2) of the Constitution provides that in addition to powers listed in s 182(1), the Public Protector has additional powers prescribed by legislation. </w:t>
      </w:r>
      <w:bookmarkStart w:id="3" w:name="0-0-0-56959"/>
      <w:bookmarkEnd w:id="3"/>
      <w:r w:rsidRPr="001D34BF">
        <w:rPr>
          <w:rStyle w:val="g1"/>
          <w:rFonts w:ascii="Arial" w:hAnsi="Arial" w:cs="Arial"/>
          <w:color w:val="000000" w:themeColor="text1"/>
        </w:rPr>
        <w:t>…</w:t>
      </w:r>
    </w:p>
    <w:p w14:paraId="4DAA7B6C" w14:textId="77777777" w:rsidR="00ED5C89" w:rsidRPr="00EA751A" w:rsidRDefault="00ED5C89" w:rsidP="00ED5C89">
      <w:pPr>
        <w:spacing w:after="0" w:line="360" w:lineRule="auto"/>
        <w:ind w:left="567" w:right="567"/>
        <w:contextualSpacing/>
        <w:jc w:val="both"/>
        <w:rPr>
          <w:rFonts w:ascii="Arial" w:hAnsi="Arial" w:cs="Arial"/>
          <w:color w:val="000000" w:themeColor="text1"/>
        </w:rPr>
      </w:pPr>
    </w:p>
    <w:p w14:paraId="204DC63D" w14:textId="77777777" w:rsidR="00E042A3" w:rsidRPr="00EA751A" w:rsidRDefault="00ED5C89" w:rsidP="00ED5C89">
      <w:pPr>
        <w:spacing w:after="0" w:line="360" w:lineRule="auto"/>
        <w:ind w:left="567" w:right="567"/>
        <w:contextualSpacing/>
        <w:jc w:val="both"/>
        <w:rPr>
          <w:rFonts w:ascii="Arial" w:hAnsi="Arial" w:cs="Arial"/>
          <w:color w:val="000000" w:themeColor="text1"/>
        </w:rPr>
      </w:pPr>
      <w:r w:rsidRPr="00EA751A">
        <w:rPr>
          <w:rFonts w:ascii="Arial" w:hAnsi="Arial" w:cs="Arial"/>
          <w:color w:val="000000" w:themeColor="text1"/>
        </w:rPr>
        <w:t>[100] The Public Protector Act lists additional powers of the Public Protector in s 6. Section 6(4) empowers the Public Protector to investigate maladministration in connection with the affairs of government; abuse of public powers and improper or unlawful enrichment by a person as a result of an act or omission in the public administration. </w:t>
      </w:r>
      <w:bookmarkStart w:id="4" w:name="0-0-0-56963"/>
      <w:bookmarkEnd w:id="4"/>
      <w:r w:rsidRPr="00EA751A">
        <w:rPr>
          <w:rFonts w:ascii="Arial" w:hAnsi="Arial" w:cs="Arial"/>
          <w:color w:val="000000" w:themeColor="text1"/>
        </w:rPr>
        <w:t xml:space="preserve"> Whereas s 6(5) confers similar powers on the Public Protector in respect of state-owned entities. </w:t>
      </w:r>
      <w:bookmarkStart w:id="5" w:name="0-0-0-56967"/>
      <w:bookmarkEnd w:id="5"/>
      <w:r w:rsidRPr="00EA751A">
        <w:rPr>
          <w:rFonts w:ascii="Arial" w:hAnsi="Arial" w:cs="Arial"/>
          <w:color w:val="000000" w:themeColor="text1"/>
        </w:rPr>
        <w:t>Evidently, none of the powers flowing from s 6 of the Public Protector Act cover the affairs of the CR17 campaign.”</w:t>
      </w:r>
      <w:r w:rsidR="00E042A3" w:rsidRPr="00EA751A">
        <w:rPr>
          <w:rStyle w:val="FootnoteReference"/>
          <w:rFonts w:ascii="Arial" w:hAnsi="Arial" w:cs="Arial"/>
          <w:color w:val="000000" w:themeColor="text1"/>
        </w:rPr>
        <w:footnoteReference w:id="49"/>
      </w:r>
    </w:p>
    <w:p w14:paraId="62BACA21" w14:textId="77777777" w:rsidR="00557358" w:rsidRPr="005F2E28" w:rsidRDefault="00557358" w:rsidP="00ED5C89">
      <w:pPr>
        <w:spacing w:after="0" w:line="360" w:lineRule="auto"/>
        <w:ind w:left="567" w:right="567"/>
        <w:contextualSpacing/>
        <w:jc w:val="both"/>
        <w:rPr>
          <w:rFonts w:ascii="Arial" w:hAnsi="Arial" w:cs="Arial"/>
          <w:color w:val="0070C0"/>
        </w:rPr>
      </w:pPr>
    </w:p>
    <w:p w14:paraId="32E94821" w14:textId="77777777" w:rsidR="00A651AF" w:rsidRDefault="00A651AF" w:rsidP="00A651AF">
      <w:pPr>
        <w:pStyle w:val="NormalWeb"/>
        <w:shd w:val="clear" w:color="auto" w:fill="FFFFFF"/>
        <w:spacing w:before="0" w:beforeAutospacing="0" w:after="0" w:afterAutospacing="0" w:line="480" w:lineRule="auto"/>
        <w:jc w:val="both"/>
        <w:rPr>
          <w:rFonts w:ascii="Arial" w:hAnsi="Arial" w:cs="Arial"/>
          <w:sz w:val="22"/>
          <w:szCs w:val="22"/>
        </w:rPr>
      </w:pPr>
    </w:p>
    <w:p w14:paraId="3A80E24B" w14:textId="109A1898" w:rsidR="00E042A3" w:rsidRDefault="00C47012" w:rsidP="00C47012">
      <w:pPr>
        <w:pStyle w:val="NormalWeb"/>
        <w:shd w:val="clear" w:color="auto" w:fill="FFFFFF"/>
        <w:spacing w:before="0" w:beforeAutospacing="0" w:after="0" w:afterAutospacing="0" w:line="480" w:lineRule="auto"/>
        <w:jc w:val="both"/>
        <w:rPr>
          <w:rFonts w:ascii="Arial" w:hAnsi="Arial" w:cs="Arial"/>
        </w:rPr>
      </w:pPr>
      <w:r>
        <w:rPr>
          <w:rFonts w:ascii="Arial" w:hAnsi="Arial" w:cs="Arial"/>
          <w:color w:val="000000" w:themeColor="text1"/>
        </w:rPr>
        <w:t>[48]</w:t>
      </w:r>
      <w:r>
        <w:rPr>
          <w:rFonts w:ascii="Arial" w:hAnsi="Arial" w:cs="Arial"/>
          <w:color w:val="000000" w:themeColor="text1"/>
        </w:rPr>
        <w:tab/>
      </w:r>
      <w:r w:rsidR="00E042A3" w:rsidRPr="001550AC">
        <w:rPr>
          <w:rFonts w:ascii="Arial" w:hAnsi="Arial" w:cs="Arial"/>
        </w:rPr>
        <w:t>Having eliminated the application of s (6)(4) t</w:t>
      </w:r>
      <w:r w:rsidR="00137210">
        <w:rPr>
          <w:rFonts w:ascii="Arial" w:hAnsi="Arial" w:cs="Arial"/>
        </w:rPr>
        <w:t>o the affairs of the CR17 campaign t</w:t>
      </w:r>
      <w:r w:rsidR="00E042A3" w:rsidRPr="001550AC">
        <w:rPr>
          <w:rFonts w:ascii="Arial" w:hAnsi="Arial" w:cs="Arial"/>
        </w:rPr>
        <w:t>he Constitutional Court then proceeded at para [102] to state:</w:t>
      </w:r>
    </w:p>
    <w:p w14:paraId="7D763BF2" w14:textId="77777777" w:rsidR="00E042A3" w:rsidRPr="005F2E28" w:rsidRDefault="00E042A3" w:rsidP="00AF7997">
      <w:pPr>
        <w:pStyle w:val="NormalWeb"/>
        <w:shd w:val="clear" w:color="auto" w:fill="FFFFFF"/>
        <w:spacing w:before="0" w:beforeAutospacing="0" w:after="0" w:afterAutospacing="0" w:line="480" w:lineRule="auto"/>
        <w:jc w:val="both"/>
        <w:rPr>
          <w:rFonts w:ascii="Arial" w:hAnsi="Arial" w:cs="Arial"/>
          <w:color w:val="0070C0"/>
          <w:sz w:val="22"/>
          <w:szCs w:val="22"/>
        </w:rPr>
      </w:pPr>
    </w:p>
    <w:p w14:paraId="3BE6B7EA" w14:textId="77777777" w:rsidR="001550AC" w:rsidRPr="00EA751A" w:rsidRDefault="00E042A3" w:rsidP="001550AC">
      <w:pPr>
        <w:pStyle w:val="NormalWeb"/>
        <w:shd w:val="clear" w:color="auto" w:fill="FFFFFF"/>
        <w:spacing w:before="0" w:beforeAutospacing="0" w:after="0" w:afterAutospacing="0" w:line="360" w:lineRule="auto"/>
        <w:ind w:left="567" w:right="567"/>
        <w:jc w:val="both"/>
        <w:rPr>
          <w:rFonts w:ascii="Arial" w:hAnsi="Arial" w:cs="Arial"/>
          <w:color w:val="000000" w:themeColor="text1"/>
          <w:sz w:val="22"/>
          <w:szCs w:val="22"/>
        </w:rPr>
      </w:pPr>
      <w:r w:rsidRPr="00EA751A">
        <w:rPr>
          <w:rFonts w:ascii="Arial" w:hAnsi="Arial" w:cs="Arial"/>
          <w:color w:val="000000" w:themeColor="text1"/>
          <w:sz w:val="22"/>
          <w:szCs w:val="22"/>
        </w:rPr>
        <w:t>“This leave</w:t>
      </w:r>
      <w:r w:rsidR="00137210" w:rsidRPr="00EA751A">
        <w:rPr>
          <w:rFonts w:ascii="Arial" w:hAnsi="Arial" w:cs="Arial"/>
          <w:color w:val="000000" w:themeColor="text1"/>
          <w:sz w:val="22"/>
          <w:szCs w:val="22"/>
        </w:rPr>
        <w:t>s</w:t>
      </w:r>
      <w:r w:rsidRPr="00EA751A">
        <w:rPr>
          <w:rFonts w:ascii="Arial" w:hAnsi="Arial" w:cs="Arial"/>
          <w:color w:val="000000" w:themeColor="text1"/>
          <w:sz w:val="22"/>
          <w:szCs w:val="22"/>
        </w:rPr>
        <w:t xml:space="preserve"> s</w:t>
      </w:r>
      <w:r w:rsidR="00F97A2A" w:rsidRPr="00EA751A">
        <w:rPr>
          <w:rFonts w:ascii="Arial" w:hAnsi="Arial" w:cs="Arial"/>
          <w:color w:val="000000" w:themeColor="text1"/>
          <w:sz w:val="22"/>
          <w:szCs w:val="22"/>
        </w:rPr>
        <w:t>ection</w:t>
      </w:r>
      <w:r w:rsidRPr="00EA751A">
        <w:rPr>
          <w:rFonts w:ascii="Arial" w:hAnsi="Arial" w:cs="Arial"/>
          <w:color w:val="000000" w:themeColor="text1"/>
          <w:sz w:val="22"/>
          <w:szCs w:val="22"/>
        </w:rPr>
        <w:t xml:space="preserve"> 182(1) of the Constitution as the only possible source of the Public Protector’s power.</w:t>
      </w:r>
      <w:r w:rsidR="001550AC" w:rsidRPr="00EA751A">
        <w:rPr>
          <w:rFonts w:ascii="Arial" w:hAnsi="Arial" w:cs="Arial"/>
          <w:color w:val="000000" w:themeColor="text1"/>
          <w:sz w:val="22"/>
          <w:szCs w:val="22"/>
        </w:rPr>
        <w:t>”</w:t>
      </w:r>
    </w:p>
    <w:p w14:paraId="1D2A4F5F" w14:textId="77777777" w:rsidR="001550AC" w:rsidRPr="001550AC" w:rsidRDefault="001550AC" w:rsidP="00AF7997">
      <w:pPr>
        <w:pStyle w:val="NormalWeb"/>
        <w:shd w:val="clear" w:color="auto" w:fill="FFFFFF"/>
        <w:spacing w:before="0" w:beforeAutospacing="0" w:after="0" w:afterAutospacing="0" w:line="480" w:lineRule="auto"/>
        <w:jc w:val="both"/>
        <w:rPr>
          <w:rFonts w:ascii="Arial" w:hAnsi="Arial" w:cs="Arial"/>
          <w:sz w:val="22"/>
          <w:szCs w:val="22"/>
        </w:rPr>
      </w:pPr>
    </w:p>
    <w:p w14:paraId="7B33AE4C" w14:textId="468C54B2" w:rsidR="00E042A3"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[49]</w:t>
      </w:r>
      <w:r>
        <w:rPr>
          <w:rFonts w:ascii="Arial" w:hAnsi="Arial" w:cs="Arial"/>
          <w:color w:val="000000" w:themeColor="text1"/>
        </w:rPr>
        <w:tab/>
      </w:r>
      <w:r w:rsidR="00240C7B">
        <w:rPr>
          <w:rFonts w:ascii="Arial" w:hAnsi="Arial" w:cs="Arial"/>
        </w:rPr>
        <w:t xml:space="preserve">As I have said, the passage </w:t>
      </w:r>
      <w:proofErr w:type="spellStart"/>
      <w:r w:rsidR="00240C7B">
        <w:rPr>
          <w:rFonts w:ascii="Arial" w:hAnsi="Arial" w:cs="Arial"/>
        </w:rPr>
        <w:t>emphasised</w:t>
      </w:r>
      <w:proofErr w:type="spellEnd"/>
      <w:r w:rsidR="00240C7B">
        <w:rPr>
          <w:rFonts w:ascii="Arial" w:hAnsi="Arial" w:cs="Arial"/>
        </w:rPr>
        <w:t xml:space="preserve"> on behalf of the applicants did not purport to consider the PP’s jurisdiction in terms of s 6(4) of the Act.</w:t>
      </w:r>
      <w:r w:rsidR="0046775C">
        <w:rPr>
          <w:rStyle w:val="FootnoteReference"/>
          <w:rFonts w:ascii="Arial" w:hAnsi="Arial" w:cs="Arial"/>
        </w:rPr>
        <w:footnoteReference w:id="50"/>
      </w:r>
      <w:r w:rsidR="00240C7B">
        <w:rPr>
          <w:rFonts w:ascii="Arial" w:hAnsi="Arial" w:cs="Arial"/>
        </w:rPr>
        <w:t xml:space="preserve">  </w:t>
      </w:r>
      <w:r w:rsidR="00E042A3" w:rsidRPr="001550AC">
        <w:rPr>
          <w:rFonts w:ascii="Arial" w:hAnsi="Arial" w:cs="Arial"/>
        </w:rPr>
        <w:t xml:space="preserve">The </w:t>
      </w:r>
      <w:r w:rsidR="00B16E7C" w:rsidRPr="00B16E7C">
        <w:rPr>
          <w:rFonts w:ascii="Arial" w:hAnsi="Arial" w:cs="Arial"/>
          <w:i/>
        </w:rPr>
        <w:t>P</w:t>
      </w:r>
      <w:r w:rsidR="00137210" w:rsidRPr="00B16E7C">
        <w:rPr>
          <w:rFonts w:ascii="Arial" w:hAnsi="Arial" w:cs="Arial"/>
          <w:i/>
        </w:rPr>
        <w:t>resident’s</w:t>
      </w:r>
      <w:r w:rsidR="00E042A3" w:rsidRPr="001550AC">
        <w:rPr>
          <w:rFonts w:ascii="Arial" w:hAnsi="Arial" w:cs="Arial"/>
        </w:rPr>
        <w:t xml:space="preserve"> case is</w:t>
      </w:r>
      <w:r w:rsidR="002D52E9">
        <w:rPr>
          <w:rFonts w:ascii="Arial" w:hAnsi="Arial" w:cs="Arial"/>
        </w:rPr>
        <w:t>,</w:t>
      </w:r>
      <w:r w:rsidR="00E042A3" w:rsidRPr="001550AC">
        <w:rPr>
          <w:rFonts w:ascii="Arial" w:hAnsi="Arial" w:cs="Arial"/>
        </w:rPr>
        <w:t xml:space="preserve"> accordingly</w:t>
      </w:r>
      <w:r w:rsidR="002D52E9">
        <w:rPr>
          <w:rFonts w:ascii="Arial" w:hAnsi="Arial" w:cs="Arial"/>
        </w:rPr>
        <w:t>,</w:t>
      </w:r>
      <w:r w:rsidR="00E042A3" w:rsidRPr="001550AC">
        <w:rPr>
          <w:rFonts w:ascii="Arial" w:hAnsi="Arial" w:cs="Arial"/>
        </w:rPr>
        <w:t xml:space="preserve"> no</w:t>
      </w:r>
      <w:r w:rsidR="00137210">
        <w:rPr>
          <w:rFonts w:ascii="Arial" w:hAnsi="Arial" w:cs="Arial"/>
        </w:rPr>
        <w:t>t</w:t>
      </w:r>
      <w:r w:rsidR="00E042A3" w:rsidRPr="001550AC">
        <w:rPr>
          <w:rFonts w:ascii="Arial" w:hAnsi="Arial" w:cs="Arial"/>
        </w:rPr>
        <w:t xml:space="preserve"> authority for the proposition that </w:t>
      </w:r>
      <w:r w:rsidR="00137210">
        <w:rPr>
          <w:rFonts w:ascii="Arial" w:hAnsi="Arial" w:cs="Arial"/>
        </w:rPr>
        <w:t>the PP</w:t>
      </w:r>
      <w:r w:rsidR="00E042A3" w:rsidRPr="001550AC">
        <w:rPr>
          <w:rFonts w:ascii="Arial" w:hAnsi="Arial" w:cs="Arial"/>
        </w:rPr>
        <w:t xml:space="preserve"> may not make findings against private individuals where</w:t>
      </w:r>
      <w:r w:rsidR="00137210">
        <w:rPr>
          <w:rFonts w:ascii="Arial" w:hAnsi="Arial" w:cs="Arial"/>
        </w:rPr>
        <w:t xml:space="preserve"> the investigation</w:t>
      </w:r>
      <w:r w:rsidR="00E042A3" w:rsidRPr="001550AC">
        <w:rPr>
          <w:rFonts w:ascii="Arial" w:hAnsi="Arial" w:cs="Arial"/>
        </w:rPr>
        <w:t xml:space="preserve"> proceeds in terms of s 6(4)(a)(iii) or (iv). </w:t>
      </w:r>
    </w:p>
    <w:p w14:paraId="08B2A20F" w14:textId="77777777" w:rsidR="00F76D6C" w:rsidRDefault="00F76D6C" w:rsidP="00F76D6C">
      <w:pPr>
        <w:pStyle w:val="NormalWeb"/>
        <w:shd w:val="clear" w:color="auto" w:fill="FFFFFF"/>
        <w:spacing w:before="0" w:beforeAutospacing="0" w:after="0" w:afterAutospacing="0" w:line="480" w:lineRule="auto"/>
        <w:contextualSpacing/>
        <w:jc w:val="both"/>
        <w:rPr>
          <w:rFonts w:ascii="Arial" w:hAnsi="Arial" w:cs="Arial"/>
        </w:rPr>
      </w:pPr>
    </w:p>
    <w:p w14:paraId="47FFC415" w14:textId="753327D7" w:rsidR="00F76D6C" w:rsidRPr="00E97C67" w:rsidRDefault="00C47012" w:rsidP="00C47012">
      <w:pPr>
        <w:pStyle w:val="NormalWeb"/>
        <w:shd w:val="clear" w:color="auto" w:fill="FFFFFF"/>
        <w:spacing w:before="0" w:beforeAutospacing="0" w:after="0" w:afterAutospacing="0" w:line="480" w:lineRule="auto"/>
        <w:contextualSpacing/>
        <w:jc w:val="both"/>
        <w:rPr>
          <w:rFonts w:ascii="Arial" w:hAnsi="Arial" w:cs="Arial"/>
          <w:b/>
        </w:rPr>
      </w:pPr>
      <w:r w:rsidRPr="00E97C67">
        <w:rPr>
          <w:rFonts w:ascii="Arial" w:hAnsi="Arial" w:cs="Arial"/>
          <w:color w:val="000000" w:themeColor="text1"/>
        </w:rPr>
        <w:t>[50]</w:t>
      </w:r>
      <w:r w:rsidRPr="00E97C67">
        <w:rPr>
          <w:rFonts w:ascii="Arial" w:hAnsi="Arial" w:cs="Arial"/>
          <w:color w:val="000000" w:themeColor="text1"/>
        </w:rPr>
        <w:tab/>
      </w:r>
      <w:r w:rsidR="00F76D6C" w:rsidRPr="00457AE3">
        <w:rPr>
          <w:rFonts w:ascii="Arial" w:hAnsi="Arial" w:cs="Arial"/>
        </w:rPr>
        <w:t xml:space="preserve">On the facts which the PP found to be proved in respect of the first question investigated by her, money that had been paid by the Eastern Cape Government to the </w:t>
      </w:r>
      <w:r w:rsidR="00F76D6C" w:rsidRPr="00457AE3">
        <w:rPr>
          <w:rFonts w:ascii="Arial" w:hAnsi="Arial" w:cs="Arial"/>
        </w:rPr>
        <w:lastRenderedPageBreak/>
        <w:t xml:space="preserve">MLM for payment of transport services was disbursed by </w:t>
      </w:r>
      <w:proofErr w:type="spellStart"/>
      <w:r w:rsidR="00F76D6C" w:rsidRPr="00457AE3">
        <w:rPr>
          <w:rFonts w:ascii="Arial" w:hAnsi="Arial" w:cs="Arial"/>
        </w:rPr>
        <w:t>Mr</w:t>
      </w:r>
      <w:proofErr w:type="spellEnd"/>
      <w:r w:rsidR="00F76D6C" w:rsidRPr="00457AE3">
        <w:rPr>
          <w:rFonts w:ascii="Arial" w:hAnsi="Arial" w:cs="Arial"/>
        </w:rPr>
        <w:t xml:space="preserve"> </w:t>
      </w:r>
      <w:proofErr w:type="spellStart"/>
      <w:r w:rsidR="00F76D6C" w:rsidRPr="00457AE3">
        <w:rPr>
          <w:rFonts w:ascii="Arial" w:hAnsi="Arial" w:cs="Arial"/>
        </w:rPr>
        <w:t>Mahlaka</w:t>
      </w:r>
      <w:proofErr w:type="spellEnd"/>
      <w:r w:rsidR="00F76D6C" w:rsidRPr="00457AE3">
        <w:rPr>
          <w:rFonts w:ascii="Arial" w:hAnsi="Arial" w:cs="Arial"/>
        </w:rPr>
        <w:t xml:space="preserve">, performing a public function, to </w:t>
      </w:r>
      <w:proofErr w:type="spellStart"/>
      <w:r w:rsidR="00F76D6C" w:rsidRPr="00457AE3">
        <w:rPr>
          <w:rFonts w:ascii="Arial" w:hAnsi="Arial" w:cs="Arial"/>
        </w:rPr>
        <w:t>Mthombeni</w:t>
      </w:r>
      <w:proofErr w:type="spellEnd"/>
      <w:r w:rsidR="00F76D6C" w:rsidRPr="00457AE3">
        <w:rPr>
          <w:rFonts w:ascii="Arial" w:hAnsi="Arial" w:cs="Arial"/>
        </w:rPr>
        <w:t xml:space="preserve">, acting on the instruction </w:t>
      </w:r>
      <w:r w:rsidR="002D52E9">
        <w:rPr>
          <w:rFonts w:ascii="Arial" w:hAnsi="Arial" w:cs="Arial"/>
        </w:rPr>
        <w:t xml:space="preserve">and for the benefit </w:t>
      </w:r>
      <w:r w:rsidR="00F76D6C" w:rsidRPr="00457AE3">
        <w:rPr>
          <w:rFonts w:ascii="Arial" w:hAnsi="Arial" w:cs="Arial"/>
        </w:rPr>
        <w:t xml:space="preserve">of </w:t>
      </w:r>
      <w:proofErr w:type="spellStart"/>
      <w:r w:rsidR="00F76D6C" w:rsidRPr="00457AE3">
        <w:rPr>
          <w:rFonts w:ascii="Arial" w:hAnsi="Arial" w:cs="Arial"/>
        </w:rPr>
        <w:t>Mr</w:t>
      </w:r>
      <w:proofErr w:type="spellEnd"/>
      <w:r w:rsidR="00F76D6C" w:rsidRPr="00457AE3">
        <w:rPr>
          <w:rFonts w:ascii="Arial" w:hAnsi="Arial" w:cs="Arial"/>
        </w:rPr>
        <w:t xml:space="preserve"> </w:t>
      </w:r>
      <w:proofErr w:type="spellStart"/>
      <w:r w:rsidR="00F76D6C" w:rsidRPr="00457AE3">
        <w:rPr>
          <w:rFonts w:ascii="Arial" w:hAnsi="Arial" w:cs="Arial"/>
        </w:rPr>
        <w:t>Madikizela</w:t>
      </w:r>
      <w:proofErr w:type="spellEnd"/>
      <w:r w:rsidR="00F76D6C" w:rsidRPr="00457AE3">
        <w:rPr>
          <w:rFonts w:ascii="Arial" w:hAnsi="Arial" w:cs="Arial"/>
        </w:rPr>
        <w:t xml:space="preserve">.  In order for the PP to execute her mandate in respect of subsection 6(4)(a)(iv) she is required to determine whether any person has derived an improper advantage or unlawful </w:t>
      </w:r>
      <w:r w:rsidR="007B0BBB">
        <w:rPr>
          <w:rFonts w:ascii="Arial" w:hAnsi="Arial" w:cs="Arial"/>
        </w:rPr>
        <w:t>`</w:t>
      </w:r>
      <w:r w:rsidR="00F76D6C" w:rsidRPr="00457AE3">
        <w:rPr>
          <w:rFonts w:ascii="Arial" w:hAnsi="Arial" w:cs="Arial"/>
        </w:rPr>
        <w:t xml:space="preserve">enrichment as a result thereof.  The </w:t>
      </w:r>
      <w:r w:rsidR="0054152E">
        <w:rPr>
          <w:rFonts w:ascii="Arial" w:hAnsi="Arial" w:cs="Arial"/>
        </w:rPr>
        <w:t>issue</w:t>
      </w:r>
      <w:r w:rsidR="00F76D6C" w:rsidRPr="00457AE3">
        <w:rPr>
          <w:rFonts w:ascii="Arial" w:hAnsi="Arial" w:cs="Arial"/>
        </w:rPr>
        <w:t xml:space="preserve"> necessarily requires an investigation into and findings in respect of the party alleged to have benefitted</w:t>
      </w:r>
      <w:r w:rsidR="00EB1F28">
        <w:rPr>
          <w:rStyle w:val="FootnoteReference"/>
          <w:rFonts w:ascii="Arial" w:hAnsi="Arial" w:cs="Arial"/>
        </w:rPr>
        <w:footnoteReference w:id="51"/>
      </w:r>
      <w:r w:rsidR="00F76D6C" w:rsidRPr="00457AE3">
        <w:rPr>
          <w:rFonts w:ascii="Arial" w:hAnsi="Arial" w:cs="Arial"/>
        </w:rPr>
        <w:t xml:space="preserve"> from the conduct of the official performing a public function and, in an appropriate case, a recommendation that litigation be instituted against the private individual to recoup the lost funds may be the only real option.</w:t>
      </w:r>
      <w:r w:rsidR="009728A2">
        <w:rPr>
          <w:rFonts w:ascii="Arial" w:hAnsi="Arial" w:cs="Arial"/>
        </w:rPr>
        <w:t xml:space="preserve">  Accordingly, the mere fact that findings are made against private individuals is not necessarily evidence that she has exceeded her competence, provided that the findings flow from an enquiry that falls properly within her authority.</w:t>
      </w:r>
    </w:p>
    <w:p w14:paraId="3A124108" w14:textId="77777777" w:rsidR="0033746E" w:rsidRDefault="0033746E" w:rsidP="00EB1F28">
      <w:pPr>
        <w:pStyle w:val="ListParagraph"/>
        <w:ind w:left="0"/>
        <w:jc w:val="both"/>
        <w:rPr>
          <w:rFonts w:ascii="Arial" w:eastAsia="Times New Roman" w:hAnsi="Arial" w:cs="Arial"/>
          <w:sz w:val="24"/>
          <w:szCs w:val="24"/>
        </w:rPr>
      </w:pPr>
    </w:p>
    <w:p w14:paraId="69559CDB" w14:textId="77777777" w:rsidR="00EB1F28" w:rsidRPr="00EB1F28" w:rsidRDefault="00EB1F28" w:rsidP="00EB1F28">
      <w:pPr>
        <w:pStyle w:val="ListParagraph"/>
        <w:ind w:left="0"/>
        <w:jc w:val="both"/>
        <w:rPr>
          <w:rFonts w:ascii="Arial" w:hAnsi="Arial" w:cs="Arial"/>
          <w:sz w:val="24"/>
          <w:szCs w:val="24"/>
          <w:u w:val="single"/>
        </w:rPr>
      </w:pPr>
      <w:r w:rsidRPr="00EB1F28">
        <w:rPr>
          <w:rFonts w:ascii="Arial" w:hAnsi="Arial" w:cs="Arial"/>
          <w:sz w:val="24"/>
          <w:szCs w:val="24"/>
          <w:u w:val="single"/>
        </w:rPr>
        <w:t>Bad faith argument</w:t>
      </w:r>
    </w:p>
    <w:p w14:paraId="146F6C4E" w14:textId="69C993AC" w:rsidR="0079366F"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[51]</w:t>
      </w:r>
      <w:r>
        <w:rPr>
          <w:rFonts w:ascii="Arial" w:hAnsi="Arial" w:cs="Arial"/>
          <w:color w:val="000000" w:themeColor="text1"/>
        </w:rPr>
        <w:tab/>
      </w:r>
      <w:r w:rsidR="0079366F" w:rsidRPr="0079366F">
        <w:rPr>
          <w:rFonts w:ascii="Arial" w:hAnsi="Arial" w:cs="Arial"/>
        </w:rPr>
        <w:t xml:space="preserve">The </w:t>
      </w:r>
      <w:r w:rsidR="00F24F32">
        <w:rPr>
          <w:rFonts w:ascii="Arial" w:hAnsi="Arial" w:cs="Arial"/>
        </w:rPr>
        <w:t>applicant’s</w:t>
      </w:r>
      <w:r w:rsidR="00F24F32" w:rsidRPr="0079366F">
        <w:rPr>
          <w:rFonts w:ascii="Arial" w:hAnsi="Arial" w:cs="Arial"/>
        </w:rPr>
        <w:t xml:space="preserve"> </w:t>
      </w:r>
      <w:r w:rsidR="0079366F" w:rsidRPr="0079366F">
        <w:rPr>
          <w:rFonts w:ascii="Arial" w:hAnsi="Arial" w:cs="Arial"/>
        </w:rPr>
        <w:t>main argument was that the PP conducted her investigation in bad faith.  Whilst the thrust of their case in the founding papers was that the PP’s finding</w:t>
      </w:r>
      <w:r w:rsidR="0079366F">
        <w:rPr>
          <w:rFonts w:ascii="Arial" w:hAnsi="Arial" w:cs="Arial"/>
        </w:rPr>
        <w:t>s</w:t>
      </w:r>
      <w:r w:rsidR="0079366F" w:rsidRPr="0079366F">
        <w:rPr>
          <w:rFonts w:ascii="Arial" w:hAnsi="Arial" w:cs="Arial"/>
        </w:rPr>
        <w:t xml:space="preserve"> were irrational because they were materially influenced by errors of fact and law, </w:t>
      </w:r>
      <w:proofErr w:type="spellStart"/>
      <w:r w:rsidR="0079366F" w:rsidRPr="0079366F">
        <w:rPr>
          <w:rFonts w:ascii="Arial" w:hAnsi="Arial" w:cs="Arial"/>
        </w:rPr>
        <w:t>Mr</w:t>
      </w:r>
      <w:proofErr w:type="spellEnd"/>
      <w:r w:rsidR="0079366F" w:rsidRPr="0079366F">
        <w:rPr>
          <w:rFonts w:ascii="Arial" w:hAnsi="Arial" w:cs="Arial"/>
        </w:rPr>
        <w:t xml:space="preserve"> </w:t>
      </w:r>
      <w:r w:rsidR="0079366F" w:rsidRPr="0079366F">
        <w:rPr>
          <w:rFonts w:ascii="Arial" w:hAnsi="Arial" w:cs="Arial"/>
          <w:i/>
        </w:rPr>
        <w:t>Katz</w:t>
      </w:r>
      <w:r w:rsidR="0079366F" w:rsidRPr="0079366F">
        <w:rPr>
          <w:rFonts w:ascii="Arial" w:hAnsi="Arial" w:cs="Arial"/>
        </w:rPr>
        <w:t>, wisely in my view</w:t>
      </w:r>
      <w:r w:rsidR="0079366F">
        <w:rPr>
          <w:rFonts w:ascii="Arial" w:hAnsi="Arial" w:cs="Arial"/>
        </w:rPr>
        <w:t>,</w:t>
      </w:r>
      <w:r w:rsidR="0079366F" w:rsidRPr="0079366F">
        <w:rPr>
          <w:rFonts w:ascii="Arial" w:hAnsi="Arial" w:cs="Arial"/>
        </w:rPr>
        <w:t xml:space="preserve"> did not pursue this argument.  He stressed that for purposes of his argument what happened </w:t>
      </w:r>
      <w:r w:rsidR="0079366F">
        <w:rPr>
          <w:rFonts w:ascii="Arial" w:hAnsi="Arial" w:cs="Arial"/>
        </w:rPr>
        <w:t>was</w:t>
      </w:r>
      <w:r w:rsidR="0079366F" w:rsidRPr="0079366F">
        <w:rPr>
          <w:rFonts w:ascii="Arial" w:hAnsi="Arial" w:cs="Arial"/>
        </w:rPr>
        <w:t xml:space="preserve"> irrelevant.  He confined his argument to the manner in which the enquiry was conducted.  </w:t>
      </w:r>
      <w:proofErr w:type="spellStart"/>
      <w:r w:rsidR="0079366F" w:rsidRPr="0079366F">
        <w:rPr>
          <w:rFonts w:ascii="Arial" w:hAnsi="Arial" w:cs="Arial"/>
        </w:rPr>
        <w:t>Mr</w:t>
      </w:r>
      <w:proofErr w:type="spellEnd"/>
      <w:r w:rsidR="0079366F" w:rsidRPr="0079366F">
        <w:rPr>
          <w:rFonts w:ascii="Arial" w:hAnsi="Arial" w:cs="Arial"/>
        </w:rPr>
        <w:t xml:space="preserve"> </w:t>
      </w:r>
      <w:proofErr w:type="spellStart"/>
      <w:r w:rsidR="0079366F" w:rsidRPr="0079366F">
        <w:rPr>
          <w:rFonts w:ascii="Arial" w:hAnsi="Arial" w:cs="Arial"/>
          <w:i/>
        </w:rPr>
        <w:t>Bodlani</w:t>
      </w:r>
      <w:proofErr w:type="spellEnd"/>
      <w:r w:rsidR="0079366F" w:rsidRPr="0079366F">
        <w:rPr>
          <w:rFonts w:ascii="Arial" w:hAnsi="Arial" w:cs="Arial"/>
        </w:rPr>
        <w:t xml:space="preserve">, on behalf of the applicants in case number 818/2021, expressly abandoned any reliance on this ground of </w:t>
      </w:r>
      <w:r w:rsidR="0054152E">
        <w:rPr>
          <w:rFonts w:ascii="Arial" w:hAnsi="Arial" w:cs="Arial"/>
        </w:rPr>
        <w:t>re</w:t>
      </w:r>
      <w:r w:rsidR="0079366F" w:rsidRPr="0079366F">
        <w:rPr>
          <w:rFonts w:ascii="Arial" w:hAnsi="Arial" w:cs="Arial"/>
        </w:rPr>
        <w:t>view.</w:t>
      </w:r>
      <w:r w:rsidR="0033746E">
        <w:rPr>
          <w:rStyle w:val="FootnoteReference"/>
          <w:rFonts w:ascii="Arial" w:hAnsi="Arial" w:cs="Arial"/>
        </w:rPr>
        <w:footnoteReference w:id="52"/>
      </w:r>
      <w:r w:rsidR="0079366F" w:rsidRPr="0079366F">
        <w:rPr>
          <w:rFonts w:ascii="Arial" w:hAnsi="Arial" w:cs="Arial"/>
        </w:rPr>
        <w:t xml:space="preserve">  I shall revert below to this ground in respect of </w:t>
      </w:r>
      <w:proofErr w:type="spellStart"/>
      <w:r w:rsidR="0079366F" w:rsidRPr="0079366F">
        <w:rPr>
          <w:rFonts w:ascii="Arial" w:hAnsi="Arial" w:cs="Arial"/>
        </w:rPr>
        <w:t>Mr</w:t>
      </w:r>
      <w:proofErr w:type="spellEnd"/>
      <w:r w:rsidR="0079366F" w:rsidRPr="0079366F">
        <w:rPr>
          <w:rFonts w:ascii="Arial" w:hAnsi="Arial" w:cs="Arial"/>
        </w:rPr>
        <w:t xml:space="preserve"> </w:t>
      </w:r>
      <w:proofErr w:type="spellStart"/>
      <w:r w:rsidR="0079366F" w:rsidRPr="0079366F">
        <w:rPr>
          <w:rFonts w:ascii="Arial" w:hAnsi="Arial" w:cs="Arial"/>
        </w:rPr>
        <w:t>Mabuyane</w:t>
      </w:r>
      <w:proofErr w:type="spellEnd"/>
      <w:r w:rsidR="0079366F" w:rsidRPr="0079366F">
        <w:rPr>
          <w:rFonts w:ascii="Arial" w:hAnsi="Arial" w:cs="Arial"/>
        </w:rPr>
        <w:t>.</w:t>
      </w:r>
    </w:p>
    <w:p w14:paraId="119AB1A6" w14:textId="77777777" w:rsidR="0079366F" w:rsidRDefault="0079366F" w:rsidP="0079366F">
      <w:pPr>
        <w:pStyle w:val="ListParagraph"/>
        <w:rPr>
          <w:rFonts w:ascii="Arial" w:hAnsi="Arial" w:cs="Arial"/>
        </w:rPr>
      </w:pPr>
    </w:p>
    <w:p w14:paraId="769DE174" w14:textId="4035C4BE" w:rsidR="0079366F"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[52]</w:t>
      </w:r>
      <w:r>
        <w:rPr>
          <w:rFonts w:ascii="Arial" w:hAnsi="Arial" w:cs="Arial"/>
          <w:color w:val="000000" w:themeColor="text1"/>
        </w:rPr>
        <w:tab/>
      </w:r>
      <w:r w:rsidR="0079366F" w:rsidRPr="0079366F">
        <w:rPr>
          <w:rFonts w:ascii="Arial" w:hAnsi="Arial" w:cs="Arial"/>
        </w:rPr>
        <w:t xml:space="preserve">In developing the argument </w:t>
      </w:r>
      <w:proofErr w:type="spellStart"/>
      <w:r w:rsidR="0079366F" w:rsidRPr="0079366F">
        <w:rPr>
          <w:rFonts w:ascii="Arial" w:hAnsi="Arial" w:cs="Arial"/>
        </w:rPr>
        <w:t>Mr</w:t>
      </w:r>
      <w:proofErr w:type="spellEnd"/>
      <w:r w:rsidR="0079366F" w:rsidRPr="0079366F">
        <w:rPr>
          <w:rFonts w:ascii="Arial" w:hAnsi="Arial" w:cs="Arial"/>
        </w:rPr>
        <w:t xml:space="preserve"> </w:t>
      </w:r>
      <w:r w:rsidR="0079366F" w:rsidRPr="0079366F">
        <w:rPr>
          <w:rFonts w:ascii="Arial" w:hAnsi="Arial" w:cs="Arial"/>
          <w:i/>
        </w:rPr>
        <w:t>Katz</w:t>
      </w:r>
      <w:r w:rsidR="0079366F" w:rsidRPr="0079366F">
        <w:rPr>
          <w:rFonts w:ascii="Arial" w:hAnsi="Arial" w:cs="Arial"/>
        </w:rPr>
        <w:t xml:space="preserve"> </w:t>
      </w:r>
      <w:proofErr w:type="spellStart"/>
      <w:r w:rsidR="0079366F" w:rsidRPr="0079366F">
        <w:rPr>
          <w:rFonts w:ascii="Arial" w:hAnsi="Arial" w:cs="Arial"/>
        </w:rPr>
        <w:t>emphasised</w:t>
      </w:r>
      <w:proofErr w:type="spellEnd"/>
      <w:r w:rsidR="0079366F" w:rsidRPr="0079366F">
        <w:rPr>
          <w:rFonts w:ascii="Arial" w:hAnsi="Arial" w:cs="Arial"/>
        </w:rPr>
        <w:t xml:space="preserve"> a number of issues, </w:t>
      </w:r>
      <w:r w:rsidR="0033746E" w:rsidRPr="0079366F">
        <w:rPr>
          <w:rFonts w:ascii="Arial" w:hAnsi="Arial" w:cs="Arial"/>
        </w:rPr>
        <w:t xml:space="preserve">some </w:t>
      </w:r>
      <w:r w:rsidR="0033746E">
        <w:rPr>
          <w:rFonts w:ascii="Arial" w:hAnsi="Arial" w:cs="Arial"/>
        </w:rPr>
        <w:t>of</w:t>
      </w:r>
      <w:r w:rsidR="00E97C67">
        <w:rPr>
          <w:rFonts w:ascii="Arial" w:hAnsi="Arial" w:cs="Arial"/>
        </w:rPr>
        <w:t xml:space="preserve"> which </w:t>
      </w:r>
      <w:r w:rsidR="0079366F" w:rsidRPr="0079366F">
        <w:rPr>
          <w:rFonts w:ascii="Arial" w:hAnsi="Arial" w:cs="Arial"/>
        </w:rPr>
        <w:t>constitute self-standing grounds of review.  He submitted that when viewed together the conclusion is justified that the PP had acted in bad faith, with an ulterior motive and without applying her mind.  I set out below those grounds which I consider to be material to the outcome of the review.</w:t>
      </w:r>
    </w:p>
    <w:p w14:paraId="21DF092B" w14:textId="77777777" w:rsidR="001723D7" w:rsidRPr="001723D7" w:rsidRDefault="001723D7" w:rsidP="001723D7">
      <w:pPr>
        <w:pStyle w:val="ListParagraph"/>
        <w:rPr>
          <w:rFonts w:ascii="Arial" w:hAnsi="Arial" w:cs="Arial"/>
          <w:b/>
        </w:rPr>
      </w:pPr>
    </w:p>
    <w:p w14:paraId="046F6B00" w14:textId="32D8BF75" w:rsidR="001723D7" w:rsidRDefault="00C47012" w:rsidP="00C47012">
      <w:pPr>
        <w:pStyle w:val="NormalWeb"/>
        <w:shd w:val="clear" w:color="auto" w:fill="FFFFFF"/>
        <w:spacing w:before="0" w:beforeAutospacing="0" w:after="0" w:afterAutospacing="0" w:line="480" w:lineRule="auto"/>
        <w:ind w:left="450" w:hanging="450"/>
        <w:contextualSpacing/>
        <w:jc w:val="both"/>
        <w:rPr>
          <w:rFonts w:ascii="Arial" w:hAnsi="Arial" w:cs="Arial"/>
          <w:u w:val="single"/>
        </w:rPr>
      </w:pPr>
      <w:r>
        <w:rPr>
          <w:rFonts w:ascii="Arial" w:hAnsi="Arial" w:cs="Arial"/>
        </w:rPr>
        <w:t>(a)</w:t>
      </w:r>
      <w:r>
        <w:rPr>
          <w:rFonts w:ascii="Arial" w:hAnsi="Arial" w:cs="Arial"/>
        </w:rPr>
        <w:tab/>
      </w:r>
      <w:r w:rsidR="001723D7" w:rsidRPr="001723D7">
        <w:rPr>
          <w:rFonts w:ascii="Arial" w:hAnsi="Arial" w:cs="Arial"/>
          <w:u w:val="single"/>
        </w:rPr>
        <w:t>Competence to investigate offences of money laundering</w:t>
      </w:r>
    </w:p>
    <w:p w14:paraId="41689134" w14:textId="6E7252A0" w:rsidR="002849F6" w:rsidRPr="002849F6" w:rsidRDefault="00C47012" w:rsidP="00C47012">
      <w:pPr>
        <w:pStyle w:val="NormalWeb"/>
        <w:shd w:val="clear" w:color="auto" w:fill="FFFFFF"/>
        <w:spacing w:before="0" w:beforeAutospacing="0" w:after="0" w:afterAutospacing="0" w:line="480" w:lineRule="auto"/>
        <w:contextualSpacing/>
        <w:jc w:val="both"/>
        <w:rPr>
          <w:rFonts w:ascii="Arial" w:hAnsi="Arial" w:cs="Arial"/>
          <w:b/>
        </w:rPr>
      </w:pPr>
      <w:r w:rsidRPr="002849F6">
        <w:rPr>
          <w:rFonts w:ascii="Arial" w:hAnsi="Arial" w:cs="Arial"/>
          <w:color w:val="000000" w:themeColor="text1"/>
        </w:rPr>
        <w:t>[53]</w:t>
      </w:r>
      <w:r w:rsidRPr="002849F6">
        <w:rPr>
          <w:rFonts w:ascii="Arial" w:hAnsi="Arial" w:cs="Arial"/>
          <w:color w:val="000000" w:themeColor="text1"/>
        </w:rPr>
        <w:tab/>
      </w:r>
      <w:r w:rsidR="001723D7">
        <w:rPr>
          <w:rFonts w:ascii="Arial" w:hAnsi="Arial" w:cs="Arial"/>
        </w:rPr>
        <w:t>As I have said</w:t>
      </w:r>
      <w:r w:rsidR="00E97C67">
        <w:rPr>
          <w:rStyle w:val="FootnoteReference"/>
          <w:rFonts w:ascii="Arial" w:hAnsi="Arial" w:cs="Arial"/>
        </w:rPr>
        <w:footnoteReference w:id="53"/>
      </w:r>
      <w:r w:rsidR="001723D7">
        <w:rPr>
          <w:rFonts w:ascii="Arial" w:hAnsi="Arial" w:cs="Arial"/>
        </w:rPr>
        <w:t xml:space="preserve">, the applicants </w:t>
      </w:r>
      <w:r w:rsidR="00EB1F28">
        <w:rPr>
          <w:rFonts w:ascii="Arial" w:hAnsi="Arial" w:cs="Arial"/>
        </w:rPr>
        <w:t>contended</w:t>
      </w:r>
      <w:r w:rsidR="001723D7">
        <w:rPr>
          <w:rFonts w:ascii="Arial" w:hAnsi="Arial" w:cs="Arial"/>
        </w:rPr>
        <w:t xml:space="preserve"> that</w:t>
      </w:r>
      <w:r w:rsidR="00E042A3" w:rsidRPr="001550AC">
        <w:rPr>
          <w:rFonts w:ascii="Arial" w:hAnsi="Arial" w:cs="Arial"/>
        </w:rPr>
        <w:t xml:space="preserve"> </w:t>
      </w:r>
      <w:r w:rsidR="00EB1F28">
        <w:rPr>
          <w:rFonts w:ascii="Arial" w:hAnsi="Arial" w:cs="Arial"/>
        </w:rPr>
        <w:t>the PP</w:t>
      </w:r>
      <w:r w:rsidR="00E042A3" w:rsidRPr="001550AC">
        <w:rPr>
          <w:rFonts w:ascii="Arial" w:hAnsi="Arial" w:cs="Arial"/>
        </w:rPr>
        <w:t xml:space="preserve"> investigated </w:t>
      </w:r>
      <w:r w:rsidR="001667B9">
        <w:rPr>
          <w:rFonts w:ascii="Arial" w:hAnsi="Arial" w:cs="Arial"/>
        </w:rPr>
        <w:t xml:space="preserve">matters which </w:t>
      </w:r>
      <w:r w:rsidR="00EB1F28">
        <w:rPr>
          <w:rFonts w:ascii="Arial" w:hAnsi="Arial" w:cs="Arial"/>
        </w:rPr>
        <w:t xml:space="preserve">she knew were </w:t>
      </w:r>
      <w:r w:rsidR="001667B9">
        <w:rPr>
          <w:rFonts w:ascii="Arial" w:hAnsi="Arial" w:cs="Arial"/>
        </w:rPr>
        <w:t>beyond the scope of her authority.</w:t>
      </w:r>
      <w:r w:rsidR="001D370D">
        <w:rPr>
          <w:rFonts w:ascii="Arial" w:hAnsi="Arial" w:cs="Arial"/>
        </w:rPr>
        <w:t xml:space="preserve">  The</w:t>
      </w:r>
      <w:r w:rsidR="00EB1F28">
        <w:rPr>
          <w:rFonts w:ascii="Arial" w:hAnsi="Arial" w:cs="Arial"/>
        </w:rPr>
        <w:t>y</w:t>
      </w:r>
      <w:r w:rsidR="001D370D">
        <w:rPr>
          <w:rFonts w:ascii="Arial" w:hAnsi="Arial" w:cs="Arial"/>
        </w:rPr>
        <w:t xml:space="preserve"> argued that the PP had</w:t>
      </w:r>
      <w:r w:rsidR="001723D7">
        <w:rPr>
          <w:rFonts w:ascii="Arial" w:hAnsi="Arial" w:cs="Arial"/>
        </w:rPr>
        <w:t xml:space="preserve"> </w:t>
      </w:r>
      <w:r w:rsidR="008802F2">
        <w:rPr>
          <w:rFonts w:ascii="Arial" w:hAnsi="Arial" w:cs="Arial"/>
        </w:rPr>
        <w:t xml:space="preserve">intentionally </w:t>
      </w:r>
      <w:r w:rsidR="001D370D">
        <w:rPr>
          <w:rFonts w:ascii="Arial" w:hAnsi="Arial" w:cs="Arial"/>
        </w:rPr>
        <w:t xml:space="preserve">embarked upon an investigation </w:t>
      </w:r>
      <w:r w:rsidR="00E97C67">
        <w:rPr>
          <w:rFonts w:ascii="Arial" w:hAnsi="Arial" w:cs="Arial"/>
        </w:rPr>
        <w:t xml:space="preserve">into contraventions of the </w:t>
      </w:r>
      <w:r w:rsidR="001D370D">
        <w:rPr>
          <w:rFonts w:ascii="Arial" w:hAnsi="Arial" w:cs="Arial"/>
        </w:rPr>
        <w:t xml:space="preserve">Prevention of </w:t>
      </w:r>
      <w:proofErr w:type="spellStart"/>
      <w:r w:rsidR="001D370D">
        <w:rPr>
          <w:rFonts w:ascii="Arial" w:hAnsi="Arial" w:cs="Arial"/>
        </w:rPr>
        <w:t>Organised</w:t>
      </w:r>
      <w:proofErr w:type="spellEnd"/>
      <w:r w:rsidR="001D370D">
        <w:rPr>
          <w:rFonts w:ascii="Arial" w:hAnsi="Arial" w:cs="Arial"/>
        </w:rPr>
        <w:t xml:space="preserve"> Crimes Act</w:t>
      </w:r>
      <w:r w:rsidR="001D370D">
        <w:rPr>
          <w:rStyle w:val="FootnoteReference"/>
          <w:rFonts w:ascii="Arial" w:hAnsi="Arial" w:cs="Arial"/>
        </w:rPr>
        <w:footnoteReference w:id="54"/>
      </w:r>
      <w:r w:rsidR="001723D7">
        <w:rPr>
          <w:rFonts w:ascii="Arial" w:hAnsi="Arial" w:cs="Arial"/>
        </w:rPr>
        <w:t xml:space="preserve"> (PO</w:t>
      </w:r>
      <w:r w:rsidR="001D370D">
        <w:rPr>
          <w:rFonts w:ascii="Arial" w:hAnsi="Arial" w:cs="Arial"/>
        </w:rPr>
        <w:t xml:space="preserve">CA), which she </w:t>
      </w:r>
      <w:r w:rsidR="00EB1F28">
        <w:rPr>
          <w:rFonts w:ascii="Arial" w:hAnsi="Arial" w:cs="Arial"/>
        </w:rPr>
        <w:t xml:space="preserve">is not </w:t>
      </w:r>
      <w:r w:rsidR="001D370D">
        <w:rPr>
          <w:rFonts w:ascii="Arial" w:hAnsi="Arial" w:cs="Arial"/>
        </w:rPr>
        <w:t xml:space="preserve">empowered to do.  I have </w:t>
      </w:r>
      <w:r w:rsidR="00E97C67">
        <w:rPr>
          <w:rFonts w:ascii="Arial" w:hAnsi="Arial" w:cs="Arial"/>
        </w:rPr>
        <w:t xml:space="preserve">explained </w:t>
      </w:r>
      <w:r w:rsidR="001D370D">
        <w:rPr>
          <w:rFonts w:ascii="Arial" w:hAnsi="Arial" w:cs="Arial"/>
        </w:rPr>
        <w:t xml:space="preserve">earlier the statutory provisions </w:t>
      </w:r>
      <w:r w:rsidR="00E97C67">
        <w:rPr>
          <w:rFonts w:ascii="Arial" w:hAnsi="Arial" w:cs="Arial"/>
        </w:rPr>
        <w:t xml:space="preserve">that circumscribe </w:t>
      </w:r>
      <w:r w:rsidR="00EB1F28">
        <w:rPr>
          <w:rFonts w:ascii="Arial" w:hAnsi="Arial" w:cs="Arial"/>
        </w:rPr>
        <w:t>her</w:t>
      </w:r>
      <w:r w:rsidR="001D370D">
        <w:rPr>
          <w:rFonts w:ascii="Arial" w:hAnsi="Arial" w:cs="Arial"/>
        </w:rPr>
        <w:t xml:space="preserve"> investigative powers</w:t>
      </w:r>
      <w:r w:rsidR="00EB1F28">
        <w:rPr>
          <w:rFonts w:ascii="Arial" w:hAnsi="Arial" w:cs="Arial"/>
        </w:rPr>
        <w:t>.</w:t>
      </w:r>
      <w:r w:rsidR="001D370D">
        <w:rPr>
          <w:rFonts w:ascii="Arial" w:hAnsi="Arial" w:cs="Arial"/>
        </w:rPr>
        <w:t xml:space="preserve"> Save for the provisions of s 6(4)(a)(iii)</w:t>
      </w:r>
      <w:r w:rsidR="001D370D">
        <w:rPr>
          <w:rStyle w:val="FootnoteReference"/>
          <w:rFonts w:ascii="Arial" w:hAnsi="Arial" w:cs="Arial"/>
        </w:rPr>
        <w:footnoteReference w:id="55"/>
      </w:r>
      <w:r w:rsidR="001D370D">
        <w:rPr>
          <w:rFonts w:ascii="Arial" w:hAnsi="Arial" w:cs="Arial"/>
        </w:rPr>
        <w:t xml:space="preserve"> </w:t>
      </w:r>
      <w:r w:rsidR="001723D7">
        <w:rPr>
          <w:rFonts w:ascii="Arial" w:hAnsi="Arial" w:cs="Arial"/>
        </w:rPr>
        <w:t xml:space="preserve">they do not empower </w:t>
      </w:r>
      <w:r w:rsidR="001D370D">
        <w:rPr>
          <w:rFonts w:ascii="Arial" w:hAnsi="Arial" w:cs="Arial"/>
        </w:rPr>
        <w:t xml:space="preserve">the PP to investigate crime.  </w:t>
      </w:r>
      <w:r w:rsidR="001723D7">
        <w:rPr>
          <w:rFonts w:ascii="Arial" w:hAnsi="Arial" w:cs="Arial"/>
        </w:rPr>
        <w:t xml:space="preserve">It is the function of </w:t>
      </w:r>
      <w:r w:rsidR="001D370D">
        <w:rPr>
          <w:rFonts w:ascii="Arial" w:hAnsi="Arial" w:cs="Arial"/>
        </w:rPr>
        <w:t>the police service to investigate crime.</w:t>
      </w:r>
      <w:r w:rsidR="001D370D">
        <w:rPr>
          <w:rStyle w:val="FootnoteReference"/>
          <w:rFonts w:ascii="Arial" w:hAnsi="Arial" w:cs="Arial"/>
        </w:rPr>
        <w:footnoteReference w:id="56"/>
      </w:r>
      <w:r w:rsidR="001D370D">
        <w:rPr>
          <w:rFonts w:ascii="Arial" w:hAnsi="Arial" w:cs="Arial"/>
        </w:rPr>
        <w:t xml:space="preserve">  As </w:t>
      </w:r>
      <w:r w:rsidR="00EB1F28">
        <w:rPr>
          <w:rFonts w:ascii="Arial" w:hAnsi="Arial" w:cs="Arial"/>
        </w:rPr>
        <w:t>adumbrated earlier,</w:t>
      </w:r>
      <w:r w:rsidR="001D370D">
        <w:rPr>
          <w:rFonts w:ascii="Arial" w:hAnsi="Arial" w:cs="Arial"/>
        </w:rPr>
        <w:t xml:space="preserve"> where the PP </w:t>
      </w:r>
      <w:r w:rsidR="002849F6">
        <w:rPr>
          <w:rFonts w:ascii="Arial" w:hAnsi="Arial" w:cs="Arial"/>
        </w:rPr>
        <w:t>comes</w:t>
      </w:r>
      <w:r w:rsidR="001D370D">
        <w:rPr>
          <w:rFonts w:ascii="Arial" w:hAnsi="Arial" w:cs="Arial"/>
        </w:rPr>
        <w:t xml:space="preserve"> across allegations of crime, including money laundering, </w:t>
      </w:r>
      <w:proofErr w:type="gramStart"/>
      <w:r w:rsidR="001D370D">
        <w:rPr>
          <w:rFonts w:ascii="Arial" w:hAnsi="Arial" w:cs="Arial"/>
        </w:rPr>
        <w:t>in the course of</w:t>
      </w:r>
      <w:proofErr w:type="gramEnd"/>
      <w:r w:rsidR="001D370D">
        <w:rPr>
          <w:rFonts w:ascii="Arial" w:hAnsi="Arial" w:cs="Arial"/>
        </w:rPr>
        <w:t xml:space="preserve"> an investigation </w:t>
      </w:r>
      <w:r w:rsidR="00EB1F28">
        <w:rPr>
          <w:rFonts w:ascii="Arial" w:hAnsi="Arial" w:cs="Arial"/>
        </w:rPr>
        <w:t>that</w:t>
      </w:r>
      <w:r w:rsidR="001D370D">
        <w:rPr>
          <w:rFonts w:ascii="Arial" w:hAnsi="Arial" w:cs="Arial"/>
        </w:rPr>
        <w:t xml:space="preserve"> falls properly within her competence, she is empowered to draw these matters to the attention of the SAPS or the DPCI in terms of s 6(4)(c)(ii).  Wha</w:t>
      </w:r>
      <w:r w:rsidR="002849F6">
        <w:rPr>
          <w:rFonts w:ascii="Arial" w:hAnsi="Arial" w:cs="Arial"/>
        </w:rPr>
        <w:t xml:space="preserve">t she cannot do is to proceed </w:t>
      </w:r>
      <w:r w:rsidR="001D370D">
        <w:rPr>
          <w:rFonts w:ascii="Arial" w:hAnsi="Arial" w:cs="Arial"/>
        </w:rPr>
        <w:t>to an investigation into the merits and demerits of the alleged crime and to make findings in respect thereof.</w:t>
      </w:r>
      <w:r w:rsidR="001D370D">
        <w:rPr>
          <w:rStyle w:val="FootnoteReference"/>
          <w:rFonts w:ascii="Arial" w:hAnsi="Arial" w:cs="Arial"/>
        </w:rPr>
        <w:footnoteReference w:id="57"/>
      </w:r>
      <w:r w:rsidR="001D370D">
        <w:rPr>
          <w:rFonts w:ascii="Arial" w:hAnsi="Arial" w:cs="Arial"/>
        </w:rPr>
        <w:t xml:space="preserve">  </w:t>
      </w:r>
    </w:p>
    <w:p w14:paraId="63974630" w14:textId="77777777" w:rsidR="002849F6" w:rsidRPr="002849F6" w:rsidRDefault="002849F6" w:rsidP="002849F6">
      <w:pPr>
        <w:pStyle w:val="NormalWeb"/>
        <w:shd w:val="clear" w:color="auto" w:fill="FFFFFF"/>
        <w:spacing w:before="0" w:beforeAutospacing="0" w:after="0" w:afterAutospacing="0" w:line="480" w:lineRule="auto"/>
        <w:contextualSpacing/>
        <w:jc w:val="both"/>
        <w:rPr>
          <w:rFonts w:ascii="Arial" w:hAnsi="Arial" w:cs="Arial"/>
          <w:b/>
        </w:rPr>
      </w:pPr>
    </w:p>
    <w:p w14:paraId="3D6C9886" w14:textId="1C226466" w:rsidR="001D370D"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[54]</w:t>
      </w:r>
      <w:r>
        <w:rPr>
          <w:rFonts w:ascii="Arial" w:hAnsi="Arial" w:cs="Arial"/>
          <w:color w:val="000000" w:themeColor="text1"/>
        </w:rPr>
        <w:tab/>
      </w:r>
      <w:r w:rsidR="001D370D" w:rsidRPr="002849F6">
        <w:rPr>
          <w:rFonts w:ascii="Arial" w:hAnsi="Arial" w:cs="Arial"/>
        </w:rPr>
        <w:t xml:space="preserve">In </w:t>
      </w:r>
      <w:r w:rsidR="00EB1F28">
        <w:rPr>
          <w:rFonts w:ascii="Arial" w:hAnsi="Arial" w:cs="Arial"/>
        </w:rPr>
        <w:t xml:space="preserve">both </w:t>
      </w:r>
      <w:r w:rsidR="001D370D" w:rsidRPr="002849F6">
        <w:rPr>
          <w:rFonts w:ascii="Arial" w:hAnsi="Arial" w:cs="Arial"/>
        </w:rPr>
        <w:t xml:space="preserve">her reports </w:t>
      </w:r>
      <w:r w:rsidR="00EB1F28">
        <w:rPr>
          <w:rFonts w:ascii="Arial" w:hAnsi="Arial" w:cs="Arial"/>
        </w:rPr>
        <w:t>she</w:t>
      </w:r>
      <w:r w:rsidR="001D370D" w:rsidRPr="002849F6">
        <w:rPr>
          <w:rFonts w:ascii="Arial" w:hAnsi="Arial" w:cs="Arial"/>
        </w:rPr>
        <w:t xml:space="preserve"> recorded that:</w:t>
      </w:r>
      <w:r w:rsidR="00372A22">
        <w:rPr>
          <w:rFonts w:ascii="Arial" w:hAnsi="Arial" w:cs="Arial"/>
        </w:rPr>
        <w:t xml:space="preserve"> </w:t>
      </w:r>
      <w:r w:rsidR="001D370D" w:rsidRPr="002849F6">
        <w:rPr>
          <w:rFonts w:ascii="Arial" w:hAnsi="Arial" w:cs="Arial"/>
        </w:rPr>
        <w:t xml:space="preserve">“A brief application and discussion, but not necessarily an investigation” of POCA was appropriate “in order to underpin or support” her referral to the DPCI.  </w:t>
      </w:r>
      <w:r w:rsidR="007C5DEE">
        <w:rPr>
          <w:rFonts w:ascii="Arial" w:hAnsi="Arial" w:cs="Arial"/>
        </w:rPr>
        <w:t>The applicants contended that notwithstanding this rather equivocal formulation, she had in fact set about intentionally to investigate money laundering, an offence created by POCA.</w:t>
      </w:r>
      <w:r w:rsidR="0054152E">
        <w:rPr>
          <w:rFonts w:ascii="Arial" w:hAnsi="Arial" w:cs="Arial"/>
        </w:rPr>
        <w:t xml:space="preserve">  </w:t>
      </w:r>
    </w:p>
    <w:p w14:paraId="0A24148A" w14:textId="77777777" w:rsidR="002849F6" w:rsidRPr="002849F6" w:rsidRDefault="002849F6" w:rsidP="002849F6">
      <w:pPr>
        <w:pStyle w:val="NormalWeb"/>
        <w:shd w:val="clear" w:color="auto" w:fill="FFFFFF"/>
        <w:spacing w:before="0" w:beforeAutospacing="0" w:after="0" w:afterAutospacing="0" w:line="480" w:lineRule="auto"/>
        <w:contextualSpacing/>
        <w:jc w:val="both"/>
        <w:rPr>
          <w:rFonts w:ascii="Arial" w:hAnsi="Arial" w:cs="Arial"/>
        </w:rPr>
      </w:pPr>
    </w:p>
    <w:p w14:paraId="2534AD07" w14:textId="447A1FCA" w:rsidR="001D370D"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[55]</w:t>
      </w:r>
      <w:r>
        <w:rPr>
          <w:rFonts w:ascii="Arial" w:hAnsi="Arial" w:cs="Arial"/>
          <w:color w:val="000000" w:themeColor="text1"/>
        </w:rPr>
        <w:tab/>
      </w:r>
      <w:r w:rsidR="002849F6">
        <w:rPr>
          <w:rFonts w:ascii="Arial" w:hAnsi="Arial" w:cs="Arial"/>
        </w:rPr>
        <w:t xml:space="preserve">It is instructive to consider her conduct during the investigation.  </w:t>
      </w:r>
      <w:r w:rsidR="001D370D">
        <w:rPr>
          <w:rFonts w:ascii="Arial" w:hAnsi="Arial" w:cs="Arial"/>
        </w:rPr>
        <w:t xml:space="preserve">Section 7(9) of the Act provides that </w:t>
      </w:r>
      <w:r w:rsidR="002849F6">
        <w:rPr>
          <w:rFonts w:ascii="Arial" w:hAnsi="Arial" w:cs="Arial"/>
        </w:rPr>
        <w:t>when it</w:t>
      </w:r>
      <w:r w:rsidR="001D370D">
        <w:rPr>
          <w:rFonts w:ascii="Arial" w:hAnsi="Arial" w:cs="Arial"/>
        </w:rPr>
        <w:t xml:space="preserve"> appears</w:t>
      </w:r>
      <w:r w:rsidR="0043490D">
        <w:rPr>
          <w:rFonts w:ascii="Arial" w:hAnsi="Arial" w:cs="Arial"/>
        </w:rPr>
        <w:t xml:space="preserve"> to the PP </w:t>
      </w:r>
      <w:proofErr w:type="gramStart"/>
      <w:r w:rsidR="0043490D">
        <w:rPr>
          <w:rFonts w:ascii="Arial" w:hAnsi="Arial" w:cs="Arial"/>
        </w:rPr>
        <w:t>during the course of</w:t>
      </w:r>
      <w:proofErr w:type="gramEnd"/>
      <w:r w:rsidR="0043490D">
        <w:rPr>
          <w:rFonts w:ascii="Arial" w:hAnsi="Arial" w:cs="Arial"/>
        </w:rPr>
        <w:t xml:space="preserve"> an investigation that an adverse finding </w:t>
      </w:r>
      <w:r w:rsidR="002849F6">
        <w:rPr>
          <w:rFonts w:ascii="Arial" w:hAnsi="Arial" w:cs="Arial"/>
        </w:rPr>
        <w:t>with</w:t>
      </w:r>
      <w:r w:rsidR="0043490D">
        <w:rPr>
          <w:rFonts w:ascii="Arial" w:hAnsi="Arial" w:cs="Arial"/>
        </w:rPr>
        <w:t xml:space="preserve"> a detrimental implication </w:t>
      </w:r>
      <w:r w:rsidR="002849F6">
        <w:rPr>
          <w:rFonts w:ascii="Arial" w:hAnsi="Arial" w:cs="Arial"/>
        </w:rPr>
        <w:t xml:space="preserve">to any person </w:t>
      </w:r>
      <w:r w:rsidR="0043490D">
        <w:rPr>
          <w:rFonts w:ascii="Arial" w:hAnsi="Arial" w:cs="Arial"/>
        </w:rPr>
        <w:t xml:space="preserve">may </w:t>
      </w:r>
      <w:r w:rsidR="002849F6">
        <w:rPr>
          <w:rFonts w:ascii="Arial" w:hAnsi="Arial" w:cs="Arial"/>
        </w:rPr>
        <w:t xml:space="preserve">be made, </w:t>
      </w:r>
      <w:r w:rsidR="0043490D">
        <w:rPr>
          <w:rFonts w:ascii="Arial" w:hAnsi="Arial" w:cs="Arial"/>
        </w:rPr>
        <w:t>the PP is obliged to afford the affected person a hearing.  It follows that where remedial action adverse to an affected person may be taken, the PP should afford them an opportunity to make representations on the contemplated remedial action</w:t>
      </w:r>
      <w:r w:rsidR="00EB1F28">
        <w:rPr>
          <w:rFonts w:ascii="Arial" w:hAnsi="Arial" w:cs="Arial"/>
        </w:rPr>
        <w:t>, too</w:t>
      </w:r>
      <w:r w:rsidR="0043490D">
        <w:rPr>
          <w:rFonts w:ascii="Arial" w:hAnsi="Arial" w:cs="Arial"/>
        </w:rPr>
        <w:t>.</w:t>
      </w:r>
      <w:r w:rsidR="0043490D">
        <w:rPr>
          <w:rStyle w:val="FootnoteReference"/>
          <w:rFonts w:ascii="Arial" w:hAnsi="Arial" w:cs="Arial"/>
        </w:rPr>
        <w:footnoteReference w:id="58"/>
      </w:r>
      <w:r w:rsidR="0043490D">
        <w:rPr>
          <w:rFonts w:ascii="Arial" w:hAnsi="Arial" w:cs="Arial"/>
        </w:rPr>
        <w:t xml:space="preserve">  The PP gave notice to</w:t>
      </w:r>
      <w:r w:rsidR="007C5DEE">
        <w:rPr>
          <w:rFonts w:ascii="Arial" w:hAnsi="Arial" w:cs="Arial"/>
        </w:rPr>
        <w:t xml:space="preserve"> the applicants, in particular to</w:t>
      </w:r>
      <w:r w:rsidR="0043490D">
        <w:rPr>
          <w:rFonts w:ascii="Arial" w:hAnsi="Arial" w:cs="Arial"/>
        </w:rPr>
        <w:t xml:space="preserve"> </w:t>
      </w:r>
      <w:proofErr w:type="spellStart"/>
      <w:r w:rsidR="0043490D">
        <w:rPr>
          <w:rFonts w:ascii="Arial" w:hAnsi="Arial" w:cs="Arial"/>
        </w:rPr>
        <w:t>Mr</w:t>
      </w:r>
      <w:proofErr w:type="spellEnd"/>
      <w:r w:rsidR="0043490D">
        <w:rPr>
          <w:rFonts w:ascii="Arial" w:hAnsi="Arial" w:cs="Arial"/>
        </w:rPr>
        <w:t xml:space="preserve"> </w:t>
      </w:r>
      <w:proofErr w:type="spellStart"/>
      <w:r w:rsidR="0043490D">
        <w:rPr>
          <w:rFonts w:ascii="Arial" w:hAnsi="Arial" w:cs="Arial"/>
        </w:rPr>
        <w:t>Madikizela</w:t>
      </w:r>
      <w:proofErr w:type="spellEnd"/>
      <w:r w:rsidR="0043490D">
        <w:rPr>
          <w:rFonts w:ascii="Arial" w:hAnsi="Arial" w:cs="Arial"/>
        </w:rPr>
        <w:t xml:space="preserve"> and </w:t>
      </w:r>
      <w:proofErr w:type="spellStart"/>
      <w:r w:rsidR="0043490D">
        <w:rPr>
          <w:rFonts w:ascii="Arial" w:hAnsi="Arial" w:cs="Arial"/>
        </w:rPr>
        <w:t>Mr</w:t>
      </w:r>
      <w:proofErr w:type="spellEnd"/>
      <w:r w:rsidR="0043490D">
        <w:rPr>
          <w:rFonts w:ascii="Arial" w:hAnsi="Arial" w:cs="Arial"/>
        </w:rPr>
        <w:t xml:space="preserve"> </w:t>
      </w:r>
      <w:proofErr w:type="spellStart"/>
      <w:r w:rsidR="0043490D">
        <w:rPr>
          <w:rFonts w:ascii="Arial" w:hAnsi="Arial" w:cs="Arial"/>
        </w:rPr>
        <w:t>Mabuyane</w:t>
      </w:r>
      <w:proofErr w:type="spellEnd"/>
      <w:r w:rsidR="007C5DEE">
        <w:rPr>
          <w:rFonts w:ascii="Arial" w:hAnsi="Arial" w:cs="Arial"/>
        </w:rPr>
        <w:t>,</w:t>
      </w:r>
      <w:r w:rsidR="0043490D">
        <w:rPr>
          <w:rFonts w:ascii="Arial" w:hAnsi="Arial" w:cs="Arial"/>
        </w:rPr>
        <w:t xml:space="preserve"> in terms of s 7(9).  The notice given reflects the nature of the investigation conducted.  After setting out the facts relating to the first question the PP proceeded to set out extensively the relevant legal framework </w:t>
      </w:r>
      <w:r w:rsidR="008802F2">
        <w:rPr>
          <w:rFonts w:ascii="Arial" w:hAnsi="Arial" w:cs="Arial"/>
        </w:rPr>
        <w:t xml:space="preserve">that </w:t>
      </w:r>
      <w:r w:rsidR="0043490D">
        <w:rPr>
          <w:rFonts w:ascii="Arial" w:hAnsi="Arial" w:cs="Arial"/>
        </w:rPr>
        <w:t>she sought to apply.  It included provisions of the Constitution, the Municipal Finance Management Act</w:t>
      </w:r>
      <w:r w:rsidR="0043490D">
        <w:rPr>
          <w:rStyle w:val="FootnoteReference"/>
          <w:rFonts w:ascii="Arial" w:hAnsi="Arial" w:cs="Arial"/>
        </w:rPr>
        <w:footnoteReference w:id="59"/>
      </w:r>
      <w:r w:rsidR="0043490D">
        <w:rPr>
          <w:rFonts w:ascii="Arial" w:hAnsi="Arial" w:cs="Arial"/>
        </w:rPr>
        <w:t>, the MLM Supply Chain Management</w:t>
      </w:r>
      <w:r w:rsidR="00EB1F28">
        <w:rPr>
          <w:rFonts w:ascii="Arial" w:hAnsi="Arial" w:cs="Arial"/>
        </w:rPr>
        <w:t xml:space="preserve"> Policy</w:t>
      </w:r>
      <w:r w:rsidR="0043490D">
        <w:rPr>
          <w:rFonts w:ascii="Arial" w:hAnsi="Arial" w:cs="Arial"/>
        </w:rPr>
        <w:t xml:space="preserve">, </w:t>
      </w:r>
      <w:r w:rsidR="00E80369">
        <w:rPr>
          <w:rFonts w:ascii="Arial" w:hAnsi="Arial" w:cs="Arial"/>
        </w:rPr>
        <w:t>t</w:t>
      </w:r>
      <w:r w:rsidR="0043490D">
        <w:rPr>
          <w:rFonts w:ascii="Arial" w:hAnsi="Arial" w:cs="Arial"/>
        </w:rPr>
        <w:t xml:space="preserve">reasury </w:t>
      </w:r>
      <w:r w:rsidR="00372A22">
        <w:rPr>
          <w:rFonts w:ascii="Arial" w:hAnsi="Arial" w:cs="Arial"/>
        </w:rPr>
        <w:t>regulations</w:t>
      </w:r>
      <w:r w:rsidR="008802F2">
        <w:rPr>
          <w:rFonts w:ascii="Arial" w:hAnsi="Arial" w:cs="Arial"/>
        </w:rPr>
        <w:t>,</w:t>
      </w:r>
      <w:r w:rsidR="0043490D">
        <w:rPr>
          <w:rFonts w:ascii="Arial" w:hAnsi="Arial" w:cs="Arial"/>
        </w:rPr>
        <w:t xml:space="preserve"> and provisions of POCA.  She recorded:</w:t>
      </w:r>
    </w:p>
    <w:p w14:paraId="70DEB68A" w14:textId="77777777" w:rsidR="0043490D" w:rsidRDefault="0043490D" w:rsidP="001D370D">
      <w:pPr>
        <w:pStyle w:val="NormalWeb"/>
        <w:shd w:val="clear" w:color="auto" w:fill="FFFFFF"/>
        <w:spacing w:before="0" w:beforeAutospacing="0" w:after="0" w:afterAutospacing="0" w:line="480" w:lineRule="auto"/>
        <w:contextualSpacing/>
        <w:jc w:val="both"/>
        <w:rPr>
          <w:rFonts w:ascii="Arial" w:hAnsi="Arial" w:cs="Arial"/>
        </w:rPr>
      </w:pPr>
    </w:p>
    <w:p w14:paraId="2B0DB389" w14:textId="77777777" w:rsidR="00F83C48" w:rsidRDefault="00F83C48" w:rsidP="001D370D">
      <w:pPr>
        <w:pStyle w:val="NormalWeb"/>
        <w:shd w:val="clear" w:color="auto" w:fill="FFFFFF"/>
        <w:spacing w:before="0" w:beforeAutospacing="0" w:after="0" w:afterAutospacing="0" w:line="480" w:lineRule="auto"/>
        <w:contextualSpacing/>
        <w:jc w:val="both"/>
        <w:rPr>
          <w:rFonts w:ascii="Arial" w:hAnsi="Arial" w:cs="Arial"/>
        </w:rPr>
      </w:pPr>
    </w:p>
    <w:p w14:paraId="47AD5BB9" w14:textId="77777777" w:rsidR="0043490D" w:rsidRPr="00637945" w:rsidRDefault="0043490D" w:rsidP="00637945">
      <w:pPr>
        <w:pStyle w:val="NormalWeb"/>
        <w:shd w:val="clear" w:color="auto" w:fill="FFFFFF"/>
        <w:spacing w:before="0" w:beforeAutospacing="0" w:after="0" w:afterAutospacing="0" w:line="360" w:lineRule="auto"/>
        <w:ind w:left="567" w:right="567"/>
        <w:contextualSpacing/>
        <w:jc w:val="both"/>
        <w:rPr>
          <w:rFonts w:ascii="Arial" w:hAnsi="Arial" w:cs="Arial"/>
          <w:sz w:val="22"/>
          <w:szCs w:val="22"/>
        </w:rPr>
      </w:pPr>
      <w:r w:rsidRPr="00637945">
        <w:rPr>
          <w:rFonts w:ascii="Arial" w:hAnsi="Arial" w:cs="Arial"/>
          <w:sz w:val="22"/>
          <w:szCs w:val="22"/>
        </w:rPr>
        <w:lastRenderedPageBreak/>
        <w:t xml:space="preserve">“For purposes of this matter, the relevant question is whether or not </w:t>
      </w:r>
      <w:proofErr w:type="spellStart"/>
      <w:r w:rsidRPr="00637945">
        <w:rPr>
          <w:rFonts w:ascii="Arial" w:hAnsi="Arial" w:cs="Arial"/>
          <w:sz w:val="22"/>
          <w:szCs w:val="22"/>
        </w:rPr>
        <w:t>Mr</w:t>
      </w:r>
      <w:proofErr w:type="spellEnd"/>
      <w:r w:rsidRPr="00637945">
        <w:rPr>
          <w:rFonts w:ascii="Arial" w:hAnsi="Arial" w:cs="Arial"/>
          <w:sz w:val="22"/>
          <w:szCs w:val="22"/>
        </w:rPr>
        <w:t xml:space="preserve"> </w:t>
      </w:r>
      <w:proofErr w:type="spellStart"/>
      <w:r w:rsidRPr="00637945">
        <w:rPr>
          <w:rFonts w:ascii="Arial" w:hAnsi="Arial" w:cs="Arial"/>
          <w:sz w:val="22"/>
          <w:szCs w:val="22"/>
        </w:rPr>
        <w:t>Mabuyane</w:t>
      </w:r>
      <w:proofErr w:type="spellEnd"/>
      <w:r w:rsidRPr="00637945">
        <w:rPr>
          <w:rFonts w:ascii="Arial" w:hAnsi="Arial" w:cs="Arial"/>
          <w:sz w:val="22"/>
          <w:szCs w:val="22"/>
        </w:rPr>
        <w:t xml:space="preserve"> knew or ought reasonably to have known that the payment of R450 000 to Allan </w:t>
      </w:r>
      <w:proofErr w:type="spellStart"/>
      <w:r w:rsidRPr="00637945">
        <w:rPr>
          <w:rFonts w:ascii="Arial" w:hAnsi="Arial" w:cs="Arial"/>
          <w:sz w:val="22"/>
          <w:szCs w:val="22"/>
        </w:rPr>
        <w:t>Morran</w:t>
      </w:r>
      <w:proofErr w:type="spellEnd"/>
      <w:r w:rsidRPr="00637945">
        <w:rPr>
          <w:rFonts w:ascii="Arial" w:hAnsi="Arial" w:cs="Arial"/>
          <w:sz w:val="22"/>
          <w:szCs w:val="22"/>
        </w:rPr>
        <w:t xml:space="preserve"> Design for the renovation of his house came from </w:t>
      </w:r>
      <w:proofErr w:type="spellStart"/>
      <w:r w:rsidRPr="00637945">
        <w:rPr>
          <w:rFonts w:ascii="Arial" w:hAnsi="Arial" w:cs="Arial"/>
          <w:sz w:val="22"/>
          <w:szCs w:val="22"/>
        </w:rPr>
        <w:t>Mthombeni</w:t>
      </w:r>
      <w:proofErr w:type="spellEnd"/>
      <w:r w:rsidRPr="00637945">
        <w:rPr>
          <w:rFonts w:ascii="Arial" w:hAnsi="Arial" w:cs="Arial"/>
          <w:sz w:val="22"/>
          <w:szCs w:val="22"/>
        </w:rPr>
        <w:t xml:space="preserve"> Projects, </w:t>
      </w:r>
      <w:proofErr w:type="spellStart"/>
      <w:r w:rsidRPr="00637945">
        <w:rPr>
          <w:rFonts w:ascii="Arial" w:hAnsi="Arial" w:cs="Arial"/>
          <w:sz w:val="22"/>
          <w:szCs w:val="22"/>
        </w:rPr>
        <w:t>Mr</w:t>
      </w:r>
      <w:proofErr w:type="spellEnd"/>
      <w:r w:rsidRPr="00637945">
        <w:rPr>
          <w:rFonts w:ascii="Arial" w:hAnsi="Arial" w:cs="Arial"/>
          <w:sz w:val="22"/>
          <w:szCs w:val="22"/>
        </w:rPr>
        <w:t xml:space="preserve"> Bam and/or </w:t>
      </w:r>
      <w:proofErr w:type="spellStart"/>
      <w:r w:rsidRPr="00637945">
        <w:rPr>
          <w:rFonts w:ascii="Arial" w:hAnsi="Arial" w:cs="Arial"/>
          <w:sz w:val="22"/>
          <w:szCs w:val="22"/>
        </w:rPr>
        <w:t>Mbizana</w:t>
      </w:r>
      <w:proofErr w:type="spellEnd"/>
      <w:r w:rsidRPr="00637945">
        <w:rPr>
          <w:rFonts w:ascii="Arial" w:hAnsi="Arial" w:cs="Arial"/>
          <w:sz w:val="22"/>
          <w:szCs w:val="22"/>
        </w:rPr>
        <w:t xml:space="preserve"> Local Municipality.  Knowledge not participation in the unlawful activity is required.”</w:t>
      </w:r>
    </w:p>
    <w:p w14:paraId="60A49096" w14:textId="77777777" w:rsidR="0043490D" w:rsidRDefault="0043490D" w:rsidP="001D370D">
      <w:pPr>
        <w:pStyle w:val="NormalWeb"/>
        <w:shd w:val="clear" w:color="auto" w:fill="FFFFFF"/>
        <w:spacing w:before="0" w:beforeAutospacing="0" w:after="0" w:afterAutospacing="0" w:line="480" w:lineRule="auto"/>
        <w:contextualSpacing/>
        <w:jc w:val="both"/>
        <w:rPr>
          <w:rFonts w:ascii="Arial" w:hAnsi="Arial" w:cs="Arial"/>
        </w:rPr>
      </w:pPr>
    </w:p>
    <w:p w14:paraId="244BB62B" w14:textId="77777777" w:rsidR="005A3FC7" w:rsidRDefault="004A1CE2" w:rsidP="005A3FC7">
      <w:pPr>
        <w:pStyle w:val="NormalWeb"/>
        <w:shd w:val="clear" w:color="auto" w:fill="FFFFFF"/>
        <w:tabs>
          <w:tab w:val="left" w:pos="0"/>
        </w:tabs>
        <w:spacing w:before="0" w:beforeAutospacing="0" w:after="0" w:afterAutospacing="0" w:line="480" w:lineRule="auto"/>
        <w:contextualSpacing/>
        <w:jc w:val="both"/>
        <w:rPr>
          <w:rFonts w:ascii="Arial" w:hAnsi="Arial" w:cs="Arial"/>
        </w:rPr>
      </w:pPr>
      <w:r>
        <w:rPr>
          <w:rFonts w:ascii="Arial" w:hAnsi="Arial" w:cs="Arial"/>
        </w:rPr>
        <w:t xml:space="preserve">The statement, which encapsulates the test to be applied in respect of s 4 of POCA, gives expression to the purpose of her enquiry.  </w:t>
      </w:r>
    </w:p>
    <w:p w14:paraId="079843C6" w14:textId="77777777" w:rsidR="005A3FC7" w:rsidRDefault="005A3FC7" w:rsidP="005A3FC7">
      <w:pPr>
        <w:pStyle w:val="NormalWeb"/>
        <w:shd w:val="clear" w:color="auto" w:fill="FFFFFF"/>
        <w:tabs>
          <w:tab w:val="left" w:pos="0"/>
        </w:tabs>
        <w:spacing w:before="0" w:beforeAutospacing="0" w:after="0" w:afterAutospacing="0" w:line="480" w:lineRule="auto"/>
        <w:contextualSpacing/>
        <w:jc w:val="both"/>
        <w:rPr>
          <w:rFonts w:ascii="Arial" w:hAnsi="Arial" w:cs="Arial"/>
        </w:rPr>
      </w:pPr>
    </w:p>
    <w:p w14:paraId="776CC696" w14:textId="33259962" w:rsidR="0043490D" w:rsidRDefault="00C47012" w:rsidP="00C47012">
      <w:pPr>
        <w:pStyle w:val="NormalWeb"/>
        <w:shd w:val="clear" w:color="auto" w:fill="FFFFFF"/>
        <w:tabs>
          <w:tab w:val="left" w:pos="0"/>
        </w:tabs>
        <w:spacing w:before="0" w:beforeAutospacing="0" w:after="0" w:afterAutospacing="0" w:line="480" w:lineRule="auto"/>
        <w:ind w:left="720" w:hanging="720"/>
        <w:contextualSpacing/>
        <w:jc w:val="both"/>
        <w:rPr>
          <w:rFonts w:ascii="Arial" w:hAnsi="Arial" w:cs="Arial"/>
        </w:rPr>
      </w:pPr>
      <w:r>
        <w:rPr>
          <w:rFonts w:ascii="Arial" w:hAnsi="Arial" w:cs="Arial"/>
          <w:color w:val="000000" w:themeColor="text1"/>
        </w:rPr>
        <w:t>[56]</w:t>
      </w:r>
      <w:r>
        <w:rPr>
          <w:rFonts w:ascii="Arial" w:hAnsi="Arial" w:cs="Arial"/>
          <w:color w:val="000000" w:themeColor="text1"/>
        </w:rPr>
        <w:tab/>
      </w:r>
      <w:r w:rsidR="0043490D">
        <w:rPr>
          <w:rFonts w:ascii="Arial" w:hAnsi="Arial" w:cs="Arial"/>
        </w:rPr>
        <w:t>At the conclusion of her discussion on the first question she</w:t>
      </w:r>
      <w:r w:rsidR="0054152E">
        <w:rPr>
          <w:rFonts w:ascii="Arial" w:hAnsi="Arial" w:cs="Arial"/>
        </w:rPr>
        <w:t xml:space="preserve"> found</w:t>
      </w:r>
      <w:r w:rsidR="0043490D">
        <w:rPr>
          <w:rFonts w:ascii="Arial" w:hAnsi="Arial" w:cs="Arial"/>
        </w:rPr>
        <w:t>:</w:t>
      </w:r>
    </w:p>
    <w:p w14:paraId="230B6985" w14:textId="77777777" w:rsidR="00640BC0" w:rsidRDefault="00640BC0" w:rsidP="00640BC0">
      <w:pPr>
        <w:pStyle w:val="NormalWeb"/>
        <w:shd w:val="clear" w:color="auto" w:fill="FFFFFF"/>
        <w:tabs>
          <w:tab w:val="left" w:pos="0"/>
        </w:tabs>
        <w:spacing w:before="0" w:beforeAutospacing="0" w:after="0" w:afterAutospacing="0" w:line="480" w:lineRule="auto"/>
        <w:ind w:left="720"/>
        <w:contextualSpacing/>
        <w:jc w:val="both"/>
        <w:rPr>
          <w:rFonts w:ascii="Arial" w:hAnsi="Arial" w:cs="Arial"/>
        </w:rPr>
      </w:pPr>
    </w:p>
    <w:p w14:paraId="07DBE511" w14:textId="77777777" w:rsidR="00372A22" w:rsidRPr="00741E90" w:rsidRDefault="004A2F25" w:rsidP="009D6D7C">
      <w:pPr>
        <w:pStyle w:val="NormalWeb"/>
        <w:shd w:val="clear" w:color="auto" w:fill="FFFFFF"/>
        <w:spacing w:before="0" w:beforeAutospacing="0" w:after="0" w:afterAutospacing="0" w:line="360" w:lineRule="auto"/>
        <w:ind w:left="2160" w:right="562" w:hanging="1530"/>
        <w:contextualSpacing/>
        <w:jc w:val="both"/>
        <w:rPr>
          <w:rFonts w:ascii="Arial" w:hAnsi="Arial" w:cs="Arial"/>
          <w:color w:val="000000" w:themeColor="text1"/>
          <w:sz w:val="22"/>
          <w:szCs w:val="22"/>
        </w:rPr>
      </w:pPr>
      <w:r>
        <w:rPr>
          <w:rFonts w:ascii="Arial" w:hAnsi="Arial" w:cs="Arial"/>
          <w:sz w:val="22"/>
          <w:szCs w:val="22"/>
        </w:rPr>
        <w:t>“</w:t>
      </w:r>
      <w:r w:rsidR="009D6D7C" w:rsidRPr="00741E90">
        <w:rPr>
          <w:rFonts w:ascii="Arial" w:hAnsi="Arial" w:cs="Arial"/>
          <w:color w:val="000000" w:themeColor="text1"/>
          <w:sz w:val="22"/>
          <w:szCs w:val="22"/>
        </w:rPr>
        <w:t>13.1.149</w:t>
      </w:r>
      <w:r w:rsidR="009D6D7C" w:rsidRPr="00741E90">
        <w:rPr>
          <w:rFonts w:ascii="Arial" w:hAnsi="Arial" w:cs="Arial"/>
          <w:color w:val="000000" w:themeColor="text1"/>
          <w:sz w:val="22"/>
          <w:szCs w:val="22"/>
        </w:rPr>
        <w:tab/>
      </w:r>
      <w:r w:rsidRPr="00741E90">
        <w:rPr>
          <w:rFonts w:ascii="Arial" w:hAnsi="Arial" w:cs="Arial"/>
          <w:color w:val="000000" w:themeColor="text1"/>
          <w:sz w:val="22"/>
          <w:szCs w:val="22"/>
        </w:rPr>
        <w:t xml:space="preserve">The amount of R1,100 000,00 … was irregularly deposited into the account of </w:t>
      </w:r>
      <w:proofErr w:type="spellStart"/>
      <w:r w:rsidRPr="00741E90">
        <w:rPr>
          <w:rFonts w:ascii="Arial" w:hAnsi="Arial" w:cs="Arial"/>
          <w:color w:val="000000" w:themeColor="text1"/>
          <w:sz w:val="22"/>
          <w:szCs w:val="22"/>
        </w:rPr>
        <w:t>Mthombeni</w:t>
      </w:r>
      <w:proofErr w:type="spellEnd"/>
      <w:r w:rsidRPr="00741E90">
        <w:rPr>
          <w:rFonts w:ascii="Arial" w:hAnsi="Arial" w:cs="Arial"/>
          <w:color w:val="000000" w:themeColor="text1"/>
          <w:sz w:val="22"/>
          <w:szCs w:val="22"/>
        </w:rPr>
        <w:t xml:space="preserve"> Projects (Pty) Ltd by the MLM and subsequently misappropriated to benefit </w:t>
      </w:r>
      <w:proofErr w:type="spellStart"/>
      <w:r w:rsidRPr="00741E90">
        <w:rPr>
          <w:rFonts w:ascii="Arial" w:hAnsi="Arial" w:cs="Arial"/>
          <w:color w:val="000000" w:themeColor="text1"/>
          <w:sz w:val="22"/>
          <w:szCs w:val="22"/>
        </w:rPr>
        <w:t>Mr</w:t>
      </w:r>
      <w:proofErr w:type="spellEnd"/>
      <w:r w:rsidRPr="00741E90">
        <w:rPr>
          <w:rFonts w:ascii="Arial" w:hAnsi="Arial" w:cs="Arial"/>
          <w:color w:val="000000" w:themeColor="text1"/>
          <w:sz w:val="22"/>
          <w:szCs w:val="22"/>
        </w:rPr>
        <w:t xml:space="preserve"> </w:t>
      </w:r>
      <w:proofErr w:type="spellStart"/>
      <w:r w:rsidRPr="00741E90">
        <w:rPr>
          <w:rFonts w:ascii="Arial" w:hAnsi="Arial" w:cs="Arial"/>
          <w:color w:val="000000" w:themeColor="text1"/>
          <w:sz w:val="22"/>
          <w:szCs w:val="22"/>
        </w:rPr>
        <w:t>Mabuyane</w:t>
      </w:r>
      <w:proofErr w:type="spellEnd"/>
      <w:r w:rsidRPr="00741E90">
        <w:rPr>
          <w:rFonts w:ascii="Arial" w:hAnsi="Arial" w:cs="Arial"/>
          <w:color w:val="000000" w:themeColor="text1"/>
          <w:sz w:val="22"/>
          <w:szCs w:val="22"/>
        </w:rPr>
        <w:t xml:space="preserve">, </w:t>
      </w:r>
      <w:proofErr w:type="spellStart"/>
      <w:r w:rsidRPr="00741E90">
        <w:rPr>
          <w:rFonts w:ascii="Arial" w:hAnsi="Arial" w:cs="Arial"/>
          <w:color w:val="000000" w:themeColor="text1"/>
          <w:sz w:val="22"/>
          <w:szCs w:val="22"/>
        </w:rPr>
        <w:t>Mr</w:t>
      </w:r>
      <w:proofErr w:type="spellEnd"/>
      <w:r w:rsidRPr="00741E90">
        <w:rPr>
          <w:rFonts w:ascii="Arial" w:hAnsi="Arial" w:cs="Arial"/>
          <w:color w:val="000000" w:themeColor="text1"/>
          <w:sz w:val="22"/>
          <w:szCs w:val="22"/>
        </w:rPr>
        <w:t xml:space="preserve"> </w:t>
      </w:r>
      <w:proofErr w:type="spellStart"/>
      <w:r w:rsidRPr="00741E90">
        <w:rPr>
          <w:rFonts w:ascii="Arial" w:hAnsi="Arial" w:cs="Arial"/>
          <w:color w:val="000000" w:themeColor="text1"/>
          <w:sz w:val="22"/>
          <w:szCs w:val="22"/>
        </w:rPr>
        <w:t>Madikizela</w:t>
      </w:r>
      <w:proofErr w:type="spellEnd"/>
      <w:r w:rsidRPr="00741E90">
        <w:rPr>
          <w:rFonts w:ascii="Arial" w:hAnsi="Arial" w:cs="Arial"/>
          <w:color w:val="000000" w:themeColor="text1"/>
          <w:sz w:val="22"/>
          <w:szCs w:val="22"/>
        </w:rPr>
        <w:t xml:space="preserve"> and the ANC</w:t>
      </w:r>
      <w:r w:rsidR="00093E15" w:rsidRPr="00741E90">
        <w:rPr>
          <w:rFonts w:ascii="Arial" w:hAnsi="Arial" w:cs="Arial"/>
          <w:color w:val="000000" w:themeColor="text1"/>
          <w:sz w:val="22"/>
          <w:szCs w:val="22"/>
        </w:rPr>
        <w:t xml:space="preserve"> …</w:t>
      </w:r>
    </w:p>
    <w:p w14:paraId="19EF772C" w14:textId="77777777" w:rsidR="00D34FC5" w:rsidRPr="00741E90" w:rsidRDefault="00D34FC5" w:rsidP="009D6D7C">
      <w:pPr>
        <w:pStyle w:val="NormalWeb"/>
        <w:shd w:val="clear" w:color="auto" w:fill="FFFFFF"/>
        <w:spacing w:before="0" w:beforeAutospacing="0" w:after="0" w:afterAutospacing="0" w:line="360" w:lineRule="auto"/>
        <w:ind w:left="1282" w:right="562" w:hanging="652"/>
        <w:contextualSpacing/>
        <w:jc w:val="both"/>
        <w:rPr>
          <w:rFonts w:ascii="Arial" w:hAnsi="Arial" w:cs="Arial"/>
          <w:color w:val="000000" w:themeColor="text1"/>
          <w:sz w:val="22"/>
          <w:szCs w:val="22"/>
        </w:rPr>
      </w:pPr>
    </w:p>
    <w:p w14:paraId="12BB9D17" w14:textId="77777777" w:rsidR="0043490D" w:rsidRPr="00741E90" w:rsidRDefault="009D6D7C" w:rsidP="009D6D7C">
      <w:pPr>
        <w:pStyle w:val="NormalWeb"/>
        <w:shd w:val="clear" w:color="auto" w:fill="FFFFFF"/>
        <w:spacing w:before="0" w:beforeAutospacing="0" w:after="0" w:afterAutospacing="0" w:line="360" w:lineRule="auto"/>
        <w:ind w:left="2160" w:right="562" w:hanging="1530"/>
        <w:contextualSpacing/>
        <w:jc w:val="both"/>
        <w:rPr>
          <w:rFonts w:ascii="Arial" w:hAnsi="Arial" w:cs="Arial"/>
          <w:color w:val="000000" w:themeColor="text1"/>
          <w:sz w:val="22"/>
          <w:szCs w:val="22"/>
        </w:rPr>
      </w:pPr>
      <w:r w:rsidRPr="00741E90">
        <w:rPr>
          <w:rFonts w:ascii="Arial" w:hAnsi="Arial" w:cs="Arial"/>
          <w:color w:val="000000" w:themeColor="text1"/>
          <w:sz w:val="22"/>
          <w:szCs w:val="22"/>
        </w:rPr>
        <w:t>13.1.150</w:t>
      </w:r>
      <w:r w:rsidRPr="00741E90">
        <w:rPr>
          <w:rFonts w:ascii="Arial" w:hAnsi="Arial" w:cs="Arial"/>
          <w:color w:val="000000" w:themeColor="text1"/>
          <w:sz w:val="22"/>
          <w:szCs w:val="22"/>
        </w:rPr>
        <w:tab/>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Mabuyane</w:t>
      </w:r>
      <w:proofErr w:type="spellEnd"/>
      <w:r w:rsidR="0043490D" w:rsidRPr="00741E90">
        <w:rPr>
          <w:rFonts w:ascii="Arial" w:hAnsi="Arial" w:cs="Arial"/>
          <w:color w:val="000000" w:themeColor="text1"/>
          <w:sz w:val="22"/>
          <w:szCs w:val="22"/>
        </w:rPr>
        <w:t xml:space="preserve"> denied that he requested </w:t>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Bam to pay the money into the account of Allan </w:t>
      </w:r>
      <w:proofErr w:type="spellStart"/>
      <w:r w:rsidR="0043490D" w:rsidRPr="00741E90">
        <w:rPr>
          <w:rFonts w:ascii="Arial" w:hAnsi="Arial" w:cs="Arial"/>
          <w:color w:val="000000" w:themeColor="text1"/>
          <w:sz w:val="22"/>
          <w:szCs w:val="22"/>
        </w:rPr>
        <w:t>Morran</w:t>
      </w:r>
      <w:proofErr w:type="spellEnd"/>
      <w:r w:rsidR="0043490D" w:rsidRPr="00741E90">
        <w:rPr>
          <w:rFonts w:ascii="Arial" w:hAnsi="Arial" w:cs="Arial"/>
          <w:color w:val="000000" w:themeColor="text1"/>
          <w:sz w:val="22"/>
          <w:szCs w:val="22"/>
        </w:rPr>
        <w:t xml:space="preserve"> Design</w:t>
      </w:r>
      <w:r w:rsidRPr="00741E90">
        <w:rPr>
          <w:rFonts w:ascii="Arial" w:hAnsi="Arial" w:cs="Arial"/>
          <w:color w:val="000000" w:themeColor="text1"/>
          <w:sz w:val="22"/>
          <w:szCs w:val="22"/>
        </w:rPr>
        <w:t>s. However</w:t>
      </w:r>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Mabuyane’s</w:t>
      </w:r>
      <w:proofErr w:type="spellEnd"/>
      <w:r w:rsidR="0043490D" w:rsidRPr="00741E90">
        <w:rPr>
          <w:rFonts w:ascii="Arial" w:hAnsi="Arial" w:cs="Arial"/>
          <w:color w:val="000000" w:themeColor="text1"/>
          <w:sz w:val="22"/>
          <w:szCs w:val="22"/>
        </w:rPr>
        <w:t xml:space="preserve"> wife:  </w:t>
      </w:r>
      <w:proofErr w:type="spellStart"/>
      <w:r w:rsidR="0043490D" w:rsidRPr="00741E90">
        <w:rPr>
          <w:rFonts w:ascii="Arial" w:hAnsi="Arial" w:cs="Arial"/>
          <w:color w:val="000000" w:themeColor="text1"/>
          <w:sz w:val="22"/>
          <w:szCs w:val="22"/>
        </w:rPr>
        <w:t>Ms</w:t>
      </w:r>
      <w:proofErr w:type="spellEnd"/>
      <w:r w:rsidR="0043490D" w:rsidRPr="00741E90">
        <w:rPr>
          <w:rFonts w:ascii="Arial" w:hAnsi="Arial" w:cs="Arial"/>
          <w:color w:val="000000" w:themeColor="text1"/>
          <w:sz w:val="22"/>
          <w:szCs w:val="22"/>
        </w:rPr>
        <w:t xml:space="preserve"> Siyasanga </w:t>
      </w:r>
      <w:proofErr w:type="spellStart"/>
      <w:r w:rsidR="0043490D" w:rsidRPr="00741E90">
        <w:rPr>
          <w:rFonts w:ascii="Arial" w:hAnsi="Arial" w:cs="Arial"/>
          <w:color w:val="000000" w:themeColor="text1"/>
          <w:sz w:val="22"/>
          <w:szCs w:val="22"/>
        </w:rPr>
        <w:t>Mabuyane</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Ms</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Mabuyane</w:t>
      </w:r>
      <w:proofErr w:type="spellEnd"/>
      <w:r w:rsidR="0043490D" w:rsidRPr="00741E90">
        <w:rPr>
          <w:rFonts w:ascii="Arial" w:hAnsi="Arial" w:cs="Arial"/>
          <w:color w:val="000000" w:themeColor="text1"/>
          <w:sz w:val="22"/>
          <w:szCs w:val="22"/>
        </w:rPr>
        <w:t xml:space="preserve">) appears to have </w:t>
      </w:r>
      <w:r w:rsidRPr="00741E90">
        <w:rPr>
          <w:rFonts w:ascii="Arial" w:hAnsi="Arial" w:cs="Arial"/>
          <w:color w:val="000000" w:themeColor="text1"/>
          <w:sz w:val="22"/>
          <w:szCs w:val="22"/>
        </w:rPr>
        <w:t xml:space="preserve">had </w:t>
      </w:r>
      <w:r w:rsidR="0043490D" w:rsidRPr="00741E90">
        <w:rPr>
          <w:rFonts w:ascii="Arial" w:hAnsi="Arial" w:cs="Arial"/>
          <w:color w:val="000000" w:themeColor="text1"/>
          <w:sz w:val="22"/>
          <w:szCs w:val="22"/>
        </w:rPr>
        <w:t xml:space="preserve">knowledge or reasonably ought to have known that the money deposited to Allan </w:t>
      </w:r>
      <w:proofErr w:type="spellStart"/>
      <w:r w:rsidR="0043490D" w:rsidRPr="00741E90">
        <w:rPr>
          <w:rFonts w:ascii="Arial" w:hAnsi="Arial" w:cs="Arial"/>
          <w:color w:val="000000" w:themeColor="text1"/>
          <w:sz w:val="22"/>
          <w:szCs w:val="22"/>
        </w:rPr>
        <w:t>Morran</w:t>
      </w:r>
      <w:proofErr w:type="spellEnd"/>
      <w:r w:rsidR="0043490D" w:rsidRPr="00741E90">
        <w:rPr>
          <w:rFonts w:ascii="Arial" w:hAnsi="Arial" w:cs="Arial"/>
          <w:color w:val="000000" w:themeColor="text1"/>
          <w:sz w:val="22"/>
          <w:szCs w:val="22"/>
        </w:rPr>
        <w:t xml:space="preserve"> came from </w:t>
      </w:r>
      <w:proofErr w:type="spellStart"/>
      <w:r w:rsidR="0043490D" w:rsidRPr="00741E90">
        <w:rPr>
          <w:rFonts w:ascii="Arial" w:hAnsi="Arial" w:cs="Arial"/>
          <w:color w:val="000000" w:themeColor="text1"/>
          <w:sz w:val="22"/>
          <w:szCs w:val="22"/>
        </w:rPr>
        <w:t>Mthombeni</w:t>
      </w:r>
      <w:proofErr w:type="spellEnd"/>
      <w:r w:rsidR="0043490D" w:rsidRPr="00741E90">
        <w:rPr>
          <w:rFonts w:ascii="Arial" w:hAnsi="Arial" w:cs="Arial"/>
          <w:color w:val="000000" w:themeColor="text1"/>
          <w:sz w:val="22"/>
          <w:szCs w:val="22"/>
        </w:rPr>
        <w:t xml:space="preserve"> Projects of which </w:t>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Bam is the owner since she is one who confirmed to </w:t>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Morran</w:t>
      </w:r>
      <w:proofErr w:type="spellEnd"/>
      <w:r w:rsidR="0043490D" w:rsidRPr="00741E90">
        <w:rPr>
          <w:rFonts w:ascii="Arial" w:hAnsi="Arial" w:cs="Arial"/>
          <w:color w:val="000000" w:themeColor="text1"/>
          <w:sz w:val="22"/>
          <w:szCs w:val="22"/>
        </w:rPr>
        <w:t xml:space="preserve"> that R450</w:t>
      </w:r>
      <w:r w:rsidRPr="00741E90">
        <w:rPr>
          <w:rFonts w:ascii="Arial" w:hAnsi="Arial" w:cs="Arial"/>
          <w:color w:val="000000" w:themeColor="text1"/>
          <w:sz w:val="22"/>
          <w:szCs w:val="22"/>
        </w:rPr>
        <w:t>,</w:t>
      </w:r>
      <w:r w:rsidR="0043490D" w:rsidRPr="00741E90">
        <w:rPr>
          <w:rFonts w:ascii="Arial" w:hAnsi="Arial" w:cs="Arial"/>
          <w:color w:val="000000" w:themeColor="text1"/>
          <w:sz w:val="22"/>
          <w:szCs w:val="22"/>
        </w:rPr>
        <w:t xml:space="preserve"> 000 was to be used for the renovations of their house</w:t>
      </w:r>
      <w:r w:rsidRPr="00741E90">
        <w:rPr>
          <w:rFonts w:ascii="Arial" w:hAnsi="Arial" w:cs="Arial"/>
          <w:color w:val="000000" w:themeColor="text1"/>
          <w:sz w:val="22"/>
          <w:szCs w:val="22"/>
        </w:rPr>
        <w:t>,</w:t>
      </w:r>
      <w:r w:rsidR="0043490D" w:rsidRPr="00741E90">
        <w:rPr>
          <w:rFonts w:ascii="Arial" w:hAnsi="Arial" w:cs="Arial"/>
          <w:color w:val="000000" w:themeColor="text1"/>
          <w:sz w:val="22"/>
          <w:szCs w:val="22"/>
        </w:rPr>
        <w:t xml:space="preserve"> when </w:t>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Morran</w:t>
      </w:r>
      <w:proofErr w:type="spellEnd"/>
      <w:r w:rsidR="0043490D" w:rsidRPr="00741E90">
        <w:rPr>
          <w:rFonts w:ascii="Arial" w:hAnsi="Arial" w:cs="Arial"/>
          <w:color w:val="000000" w:themeColor="text1"/>
          <w:sz w:val="22"/>
          <w:szCs w:val="22"/>
        </w:rPr>
        <w:t xml:space="preserve"> queried this payment.</w:t>
      </w:r>
    </w:p>
    <w:p w14:paraId="4286477C" w14:textId="77777777" w:rsidR="0043490D" w:rsidRPr="00741E90" w:rsidRDefault="0043490D" w:rsidP="009D6D7C">
      <w:pPr>
        <w:pStyle w:val="NormalWeb"/>
        <w:shd w:val="clear" w:color="auto" w:fill="FFFFFF"/>
        <w:spacing w:before="0" w:beforeAutospacing="0" w:after="0" w:afterAutospacing="0" w:line="360" w:lineRule="auto"/>
        <w:ind w:left="1282" w:right="562" w:hanging="652"/>
        <w:contextualSpacing/>
        <w:jc w:val="both"/>
        <w:rPr>
          <w:rFonts w:ascii="Arial" w:hAnsi="Arial" w:cs="Arial"/>
          <w:color w:val="000000" w:themeColor="text1"/>
          <w:sz w:val="22"/>
          <w:szCs w:val="22"/>
        </w:rPr>
      </w:pPr>
    </w:p>
    <w:p w14:paraId="34712881" w14:textId="77777777" w:rsidR="0043490D" w:rsidRPr="00741E90" w:rsidRDefault="009D6D7C" w:rsidP="009D6D7C">
      <w:pPr>
        <w:pStyle w:val="NormalWeb"/>
        <w:shd w:val="clear" w:color="auto" w:fill="FFFFFF"/>
        <w:spacing w:before="0" w:beforeAutospacing="0" w:after="0" w:afterAutospacing="0" w:line="360" w:lineRule="auto"/>
        <w:ind w:left="2160" w:right="562" w:hanging="1530"/>
        <w:contextualSpacing/>
        <w:jc w:val="both"/>
        <w:rPr>
          <w:rFonts w:ascii="Arial" w:hAnsi="Arial" w:cs="Arial"/>
          <w:color w:val="000000" w:themeColor="text1"/>
          <w:sz w:val="22"/>
          <w:szCs w:val="22"/>
        </w:rPr>
      </w:pPr>
      <w:r w:rsidRPr="00741E90">
        <w:rPr>
          <w:rFonts w:ascii="Arial" w:hAnsi="Arial" w:cs="Arial"/>
          <w:color w:val="000000" w:themeColor="text1"/>
          <w:sz w:val="22"/>
          <w:szCs w:val="22"/>
        </w:rPr>
        <w:t>13.1.151</w:t>
      </w:r>
      <w:r w:rsidRPr="00741E90">
        <w:rPr>
          <w:rFonts w:ascii="Arial" w:hAnsi="Arial" w:cs="Arial"/>
          <w:color w:val="000000" w:themeColor="text1"/>
          <w:sz w:val="22"/>
          <w:szCs w:val="22"/>
        </w:rPr>
        <w:tab/>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Mabuyane</w:t>
      </w:r>
      <w:proofErr w:type="spellEnd"/>
      <w:r w:rsidR="0043490D" w:rsidRPr="00741E90">
        <w:rPr>
          <w:rFonts w:ascii="Arial" w:hAnsi="Arial" w:cs="Arial"/>
          <w:color w:val="000000" w:themeColor="text1"/>
          <w:sz w:val="22"/>
          <w:szCs w:val="22"/>
        </w:rPr>
        <w:t xml:space="preserve"> </w:t>
      </w:r>
      <w:r w:rsidR="003D466E" w:rsidRPr="00741E90">
        <w:rPr>
          <w:rFonts w:ascii="Arial" w:hAnsi="Arial" w:cs="Arial"/>
          <w:color w:val="000000" w:themeColor="text1"/>
          <w:sz w:val="22"/>
          <w:szCs w:val="22"/>
        </w:rPr>
        <w:t>and</w:t>
      </w:r>
      <w:r w:rsidR="0043490D" w:rsidRPr="00741E90">
        <w:rPr>
          <w:rFonts w:ascii="Arial" w:hAnsi="Arial" w:cs="Arial"/>
          <w:color w:val="000000" w:themeColor="text1"/>
          <w:sz w:val="22"/>
          <w:szCs w:val="22"/>
        </w:rPr>
        <w:t xml:space="preserve"> </w:t>
      </w:r>
      <w:proofErr w:type="spellStart"/>
      <w:r w:rsidR="003D466E" w:rsidRPr="00741E90">
        <w:rPr>
          <w:rFonts w:ascii="Arial" w:hAnsi="Arial" w:cs="Arial"/>
          <w:color w:val="000000" w:themeColor="text1"/>
          <w:sz w:val="22"/>
          <w:szCs w:val="22"/>
        </w:rPr>
        <w:t>M</w:t>
      </w:r>
      <w:r w:rsidR="0043490D" w:rsidRPr="00741E90">
        <w:rPr>
          <w:rFonts w:ascii="Arial" w:hAnsi="Arial" w:cs="Arial"/>
          <w:color w:val="000000" w:themeColor="text1"/>
          <w:sz w:val="22"/>
          <w:szCs w:val="22"/>
        </w:rPr>
        <w:t>s</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Mabuyane</w:t>
      </w:r>
      <w:proofErr w:type="spellEnd"/>
      <w:r w:rsidR="0043490D" w:rsidRPr="00741E90">
        <w:rPr>
          <w:rFonts w:ascii="Arial" w:hAnsi="Arial" w:cs="Arial"/>
          <w:color w:val="000000" w:themeColor="text1"/>
          <w:sz w:val="22"/>
          <w:szCs w:val="22"/>
        </w:rPr>
        <w:t xml:space="preserve"> are married to each other and there is a </w:t>
      </w:r>
      <w:r w:rsidR="0043490D" w:rsidRPr="00741E90">
        <w:rPr>
          <w:rFonts w:ascii="Arial" w:hAnsi="Arial" w:cs="Arial"/>
          <w:i/>
          <w:color w:val="000000" w:themeColor="text1"/>
          <w:sz w:val="22"/>
          <w:szCs w:val="22"/>
        </w:rPr>
        <w:t>reasonable apprehension and probability</w:t>
      </w:r>
      <w:r w:rsidR="0043490D" w:rsidRPr="00741E90">
        <w:rPr>
          <w:rFonts w:ascii="Arial" w:hAnsi="Arial" w:cs="Arial"/>
          <w:color w:val="000000" w:themeColor="text1"/>
          <w:sz w:val="22"/>
          <w:szCs w:val="22"/>
        </w:rPr>
        <w:t xml:space="preserve"> that they discussed all issues or expenses related to their house renovations.</w:t>
      </w:r>
    </w:p>
    <w:p w14:paraId="742BA923" w14:textId="77777777" w:rsidR="00F30195" w:rsidRPr="00741E90" w:rsidRDefault="00F30195" w:rsidP="009D6D7C">
      <w:pPr>
        <w:pStyle w:val="NormalWeb"/>
        <w:shd w:val="clear" w:color="auto" w:fill="FFFFFF"/>
        <w:spacing w:before="0" w:beforeAutospacing="0" w:after="0" w:afterAutospacing="0" w:line="360" w:lineRule="auto"/>
        <w:ind w:left="2160" w:right="562" w:hanging="1530"/>
        <w:contextualSpacing/>
        <w:jc w:val="both"/>
        <w:rPr>
          <w:rFonts w:ascii="Arial" w:hAnsi="Arial" w:cs="Arial"/>
          <w:color w:val="000000" w:themeColor="text1"/>
          <w:sz w:val="22"/>
          <w:szCs w:val="22"/>
        </w:rPr>
      </w:pPr>
    </w:p>
    <w:p w14:paraId="4A04A078" w14:textId="77777777" w:rsidR="0043490D" w:rsidRPr="00741E90" w:rsidRDefault="0043490D" w:rsidP="009D6D7C">
      <w:pPr>
        <w:pStyle w:val="NormalWeb"/>
        <w:shd w:val="clear" w:color="auto" w:fill="FFFFFF"/>
        <w:spacing w:before="0" w:beforeAutospacing="0" w:after="0" w:afterAutospacing="0" w:line="360" w:lineRule="auto"/>
        <w:ind w:left="1282" w:right="562" w:hanging="652"/>
        <w:contextualSpacing/>
        <w:jc w:val="both"/>
        <w:rPr>
          <w:rFonts w:ascii="Arial" w:hAnsi="Arial" w:cs="Arial"/>
          <w:color w:val="000000" w:themeColor="text1"/>
          <w:sz w:val="22"/>
          <w:szCs w:val="22"/>
        </w:rPr>
      </w:pPr>
    </w:p>
    <w:p w14:paraId="2E8D0611" w14:textId="77777777" w:rsidR="0043490D" w:rsidRPr="00741E90" w:rsidRDefault="009D6D7C" w:rsidP="009D6D7C">
      <w:pPr>
        <w:pStyle w:val="NormalWeb"/>
        <w:shd w:val="clear" w:color="auto" w:fill="FFFFFF"/>
        <w:spacing w:before="0" w:beforeAutospacing="0" w:after="0" w:afterAutospacing="0" w:line="360" w:lineRule="auto"/>
        <w:ind w:left="2160" w:right="562" w:hanging="1530"/>
        <w:contextualSpacing/>
        <w:jc w:val="both"/>
        <w:rPr>
          <w:rFonts w:ascii="Arial" w:hAnsi="Arial" w:cs="Arial"/>
          <w:color w:val="000000" w:themeColor="text1"/>
          <w:sz w:val="22"/>
          <w:szCs w:val="22"/>
        </w:rPr>
      </w:pPr>
      <w:r w:rsidRPr="00741E90">
        <w:rPr>
          <w:rFonts w:ascii="Arial" w:hAnsi="Arial" w:cs="Arial"/>
          <w:color w:val="000000" w:themeColor="text1"/>
          <w:sz w:val="22"/>
          <w:szCs w:val="22"/>
        </w:rPr>
        <w:lastRenderedPageBreak/>
        <w:t>13.1.152</w:t>
      </w:r>
      <w:r w:rsidRPr="00741E90">
        <w:rPr>
          <w:rFonts w:ascii="Arial" w:hAnsi="Arial" w:cs="Arial"/>
          <w:color w:val="000000" w:themeColor="text1"/>
          <w:sz w:val="22"/>
          <w:szCs w:val="22"/>
        </w:rPr>
        <w:tab/>
      </w:r>
      <w:r w:rsidR="0043490D" w:rsidRPr="00741E90">
        <w:rPr>
          <w:rFonts w:ascii="Arial" w:hAnsi="Arial" w:cs="Arial"/>
          <w:color w:val="000000" w:themeColor="text1"/>
          <w:sz w:val="22"/>
          <w:szCs w:val="22"/>
        </w:rPr>
        <w:t xml:space="preserve">Consequently, there is a </w:t>
      </w:r>
      <w:r w:rsidR="0043490D" w:rsidRPr="00741E90">
        <w:rPr>
          <w:rFonts w:ascii="Arial" w:hAnsi="Arial" w:cs="Arial"/>
          <w:i/>
          <w:color w:val="000000" w:themeColor="text1"/>
          <w:sz w:val="22"/>
          <w:szCs w:val="22"/>
        </w:rPr>
        <w:t>reasonable apprehension and probability</w:t>
      </w:r>
      <w:r w:rsidR="0043490D" w:rsidRPr="00741E90">
        <w:rPr>
          <w:rFonts w:ascii="Arial" w:hAnsi="Arial" w:cs="Arial"/>
          <w:color w:val="000000" w:themeColor="text1"/>
          <w:sz w:val="22"/>
          <w:szCs w:val="22"/>
        </w:rPr>
        <w:t xml:space="preserve"> that </w:t>
      </w:r>
      <w:proofErr w:type="spellStart"/>
      <w:r w:rsidR="0043490D" w:rsidRPr="00741E90">
        <w:rPr>
          <w:rFonts w:ascii="Arial" w:hAnsi="Arial" w:cs="Arial"/>
          <w:color w:val="000000" w:themeColor="text1"/>
          <w:sz w:val="22"/>
          <w:szCs w:val="22"/>
        </w:rPr>
        <w:t>Mr</w:t>
      </w:r>
      <w:proofErr w:type="spellEnd"/>
      <w:r w:rsidR="0043490D" w:rsidRPr="00741E90">
        <w:rPr>
          <w:rFonts w:ascii="Arial" w:hAnsi="Arial" w:cs="Arial"/>
          <w:color w:val="000000" w:themeColor="text1"/>
          <w:sz w:val="22"/>
          <w:szCs w:val="22"/>
        </w:rPr>
        <w:t xml:space="preserve"> </w:t>
      </w:r>
      <w:proofErr w:type="spellStart"/>
      <w:r w:rsidR="0043490D" w:rsidRPr="00741E90">
        <w:rPr>
          <w:rFonts w:ascii="Arial" w:hAnsi="Arial" w:cs="Arial"/>
          <w:color w:val="000000" w:themeColor="text1"/>
          <w:sz w:val="22"/>
          <w:szCs w:val="22"/>
        </w:rPr>
        <w:t>Mabuyane</w:t>
      </w:r>
      <w:proofErr w:type="spellEnd"/>
      <w:r w:rsidR="0043490D" w:rsidRPr="00741E90">
        <w:rPr>
          <w:rFonts w:ascii="Arial" w:hAnsi="Arial" w:cs="Arial"/>
          <w:color w:val="000000" w:themeColor="text1"/>
          <w:sz w:val="22"/>
          <w:szCs w:val="22"/>
        </w:rPr>
        <w:t xml:space="preserve"> could have known that the amount of </w:t>
      </w:r>
      <w:r w:rsidR="008802F2" w:rsidRPr="00741E90">
        <w:rPr>
          <w:rFonts w:ascii="Arial" w:hAnsi="Arial" w:cs="Arial"/>
          <w:color w:val="000000" w:themeColor="text1"/>
          <w:sz w:val="22"/>
          <w:szCs w:val="22"/>
        </w:rPr>
        <w:t>R450,000</w:t>
      </w:r>
      <w:r w:rsidR="0043490D" w:rsidRPr="00741E90">
        <w:rPr>
          <w:rFonts w:ascii="Arial" w:hAnsi="Arial" w:cs="Arial"/>
          <w:color w:val="000000" w:themeColor="text1"/>
          <w:sz w:val="22"/>
          <w:szCs w:val="22"/>
        </w:rPr>
        <w:t xml:space="preserve"> paid to his developer (Allan </w:t>
      </w:r>
      <w:proofErr w:type="spellStart"/>
      <w:r w:rsidR="0043490D" w:rsidRPr="00741E90">
        <w:rPr>
          <w:rFonts w:ascii="Arial" w:hAnsi="Arial" w:cs="Arial"/>
          <w:color w:val="000000" w:themeColor="text1"/>
          <w:sz w:val="22"/>
          <w:szCs w:val="22"/>
        </w:rPr>
        <w:t>Morran</w:t>
      </w:r>
      <w:proofErr w:type="spellEnd"/>
      <w:r w:rsidR="0043490D" w:rsidRPr="00741E90">
        <w:rPr>
          <w:rFonts w:ascii="Arial" w:hAnsi="Arial" w:cs="Arial"/>
          <w:color w:val="000000" w:themeColor="text1"/>
          <w:sz w:val="22"/>
          <w:szCs w:val="22"/>
        </w:rPr>
        <w:t>) for the renovation of his house originated from unlawful activities.”</w:t>
      </w:r>
    </w:p>
    <w:p w14:paraId="732E9848" w14:textId="77777777" w:rsidR="0043490D" w:rsidRPr="00741E90" w:rsidRDefault="0043490D" w:rsidP="001D370D">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5D9507C0" w14:textId="77777777" w:rsidR="0043490D" w:rsidRDefault="005E0F9E" w:rsidP="00E80369">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rPr>
        <w:t>She gave notice, thus</w:t>
      </w:r>
      <w:r w:rsidR="00697EF0">
        <w:rPr>
          <w:rFonts w:ascii="Arial" w:hAnsi="Arial" w:cs="Arial"/>
        </w:rPr>
        <w:t>,</w:t>
      </w:r>
      <w:r>
        <w:rPr>
          <w:rFonts w:ascii="Arial" w:hAnsi="Arial" w:cs="Arial"/>
        </w:rPr>
        <w:t xml:space="preserve"> that she intended to find that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Mabuyane</w:t>
      </w:r>
      <w:proofErr w:type="spellEnd"/>
      <w:r>
        <w:rPr>
          <w:rFonts w:ascii="Arial" w:hAnsi="Arial" w:cs="Arial"/>
        </w:rPr>
        <w:t xml:space="preserve"> was probably guilty of money laundering.  </w:t>
      </w:r>
      <w:r w:rsidR="003D466E">
        <w:rPr>
          <w:rFonts w:ascii="Arial" w:hAnsi="Arial" w:cs="Arial"/>
        </w:rPr>
        <w:t xml:space="preserve">She concluded too, that the provisions of POCA “could be relevant to </w:t>
      </w:r>
      <w:proofErr w:type="spellStart"/>
      <w:r w:rsidR="003D466E">
        <w:rPr>
          <w:rFonts w:ascii="Arial" w:hAnsi="Arial" w:cs="Arial"/>
        </w:rPr>
        <w:t>Mr</w:t>
      </w:r>
      <w:proofErr w:type="spellEnd"/>
      <w:r w:rsidR="003D466E">
        <w:rPr>
          <w:rFonts w:ascii="Arial" w:hAnsi="Arial" w:cs="Arial"/>
        </w:rPr>
        <w:t xml:space="preserve"> </w:t>
      </w:r>
      <w:proofErr w:type="spellStart"/>
      <w:r w:rsidR="003D466E">
        <w:rPr>
          <w:rFonts w:ascii="Arial" w:hAnsi="Arial" w:cs="Arial"/>
        </w:rPr>
        <w:t>Madikizela</w:t>
      </w:r>
      <w:proofErr w:type="spellEnd"/>
      <w:r w:rsidR="003D466E">
        <w:rPr>
          <w:rFonts w:ascii="Arial" w:hAnsi="Arial" w:cs="Arial"/>
        </w:rPr>
        <w:t xml:space="preserve"> for purposes of determining his liability in this matter”.</w:t>
      </w:r>
    </w:p>
    <w:p w14:paraId="39574BDC" w14:textId="77777777" w:rsidR="003D466E" w:rsidRDefault="003D466E" w:rsidP="001D370D">
      <w:pPr>
        <w:pStyle w:val="NormalWeb"/>
        <w:shd w:val="clear" w:color="auto" w:fill="FFFFFF"/>
        <w:spacing w:before="0" w:beforeAutospacing="0" w:after="0" w:afterAutospacing="0" w:line="480" w:lineRule="auto"/>
        <w:contextualSpacing/>
        <w:jc w:val="both"/>
        <w:rPr>
          <w:rFonts w:ascii="Arial" w:hAnsi="Arial" w:cs="Arial"/>
        </w:rPr>
      </w:pPr>
    </w:p>
    <w:p w14:paraId="6505FB1B" w14:textId="4903D595" w:rsidR="00637945" w:rsidRPr="002C72E4" w:rsidRDefault="00C47012" w:rsidP="00C47012">
      <w:pPr>
        <w:pStyle w:val="NormalWeb"/>
        <w:shd w:val="clear" w:color="auto" w:fill="FFFFFF"/>
        <w:spacing w:before="0" w:beforeAutospacing="0" w:after="0" w:afterAutospacing="0" w:line="480" w:lineRule="auto"/>
        <w:contextualSpacing/>
        <w:jc w:val="both"/>
        <w:rPr>
          <w:rFonts w:ascii="Arial" w:hAnsi="Arial" w:cs="Arial"/>
          <w:u w:val="single"/>
        </w:rPr>
      </w:pPr>
      <w:r w:rsidRPr="002C72E4">
        <w:rPr>
          <w:rFonts w:ascii="Arial" w:hAnsi="Arial" w:cs="Arial"/>
          <w:color w:val="000000" w:themeColor="text1"/>
        </w:rPr>
        <w:t>[57]</w:t>
      </w:r>
      <w:r w:rsidRPr="002C72E4">
        <w:rPr>
          <w:rFonts w:ascii="Arial" w:hAnsi="Arial" w:cs="Arial"/>
          <w:color w:val="000000" w:themeColor="text1"/>
        </w:rPr>
        <w:tab/>
      </w:r>
      <w:r w:rsidR="00697EF0" w:rsidRPr="00E80369">
        <w:rPr>
          <w:rFonts w:ascii="Arial" w:hAnsi="Arial" w:cs="Arial"/>
        </w:rPr>
        <w:t xml:space="preserve">The suggestion in her reports that her discussions relating to POCA did not amount to an investigation is not born out by the evidence of her investigation.  In her papers the PP </w:t>
      </w:r>
      <w:r w:rsidR="005A3FC7" w:rsidRPr="00E80369">
        <w:rPr>
          <w:rFonts w:ascii="Arial" w:hAnsi="Arial" w:cs="Arial"/>
        </w:rPr>
        <w:t>did</w:t>
      </w:r>
      <w:r w:rsidR="00697EF0" w:rsidRPr="00E80369">
        <w:rPr>
          <w:rFonts w:ascii="Arial" w:hAnsi="Arial" w:cs="Arial"/>
        </w:rPr>
        <w:t xml:space="preserve"> not deny that she investigated contraventions of POCA, rather </w:t>
      </w:r>
      <w:proofErr w:type="spellStart"/>
      <w:r w:rsidR="00E80369" w:rsidRPr="00E80369">
        <w:rPr>
          <w:rFonts w:ascii="Arial" w:hAnsi="Arial" w:cs="Arial"/>
        </w:rPr>
        <w:t>Mr</w:t>
      </w:r>
      <w:proofErr w:type="spellEnd"/>
      <w:r w:rsidR="00E80369" w:rsidRPr="00E80369">
        <w:rPr>
          <w:rFonts w:ascii="Arial" w:hAnsi="Arial" w:cs="Arial"/>
        </w:rPr>
        <w:t xml:space="preserve"> Dlamini</w:t>
      </w:r>
      <w:r w:rsidR="00697EF0" w:rsidRPr="00E80369">
        <w:rPr>
          <w:rFonts w:ascii="Arial" w:hAnsi="Arial" w:cs="Arial"/>
        </w:rPr>
        <w:t xml:space="preserve"> sought to justify her discussions relating to POCA.  This is remarkable as her reports were signed just three months after the Constitutional Court judgment in the </w:t>
      </w:r>
      <w:r w:rsidR="00E80369" w:rsidRPr="00E80369">
        <w:rPr>
          <w:rFonts w:ascii="Arial" w:hAnsi="Arial" w:cs="Arial"/>
          <w:i/>
        </w:rPr>
        <w:t xml:space="preserve">President </w:t>
      </w:r>
      <w:r w:rsidR="00697EF0" w:rsidRPr="00E80369">
        <w:rPr>
          <w:rFonts w:ascii="Arial" w:hAnsi="Arial" w:cs="Arial"/>
        </w:rPr>
        <w:t xml:space="preserve">(CC) was delivered.  She was clearly not entitled to investigate allegations of money laundering and </w:t>
      </w:r>
      <w:r w:rsidR="00E80369" w:rsidRPr="00E80369">
        <w:rPr>
          <w:rFonts w:ascii="Arial" w:hAnsi="Arial" w:cs="Arial"/>
        </w:rPr>
        <w:t>in doing so exceeded her mandate</w:t>
      </w:r>
      <w:r w:rsidR="0054152E">
        <w:rPr>
          <w:rFonts w:ascii="Arial" w:hAnsi="Arial" w:cs="Arial"/>
        </w:rPr>
        <w:t xml:space="preserve"> and she knew that when she issued her reports</w:t>
      </w:r>
      <w:r w:rsidR="00E80369" w:rsidRPr="00E80369">
        <w:rPr>
          <w:rFonts w:ascii="Arial" w:hAnsi="Arial" w:cs="Arial"/>
        </w:rPr>
        <w:t>.</w:t>
      </w:r>
      <w:r w:rsidR="00E80369">
        <w:rPr>
          <w:rStyle w:val="FootnoteReference"/>
          <w:rFonts w:ascii="Arial" w:hAnsi="Arial" w:cs="Arial"/>
        </w:rPr>
        <w:footnoteReference w:id="60"/>
      </w:r>
      <w:r w:rsidR="00E80369" w:rsidRPr="00E80369">
        <w:rPr>
          <w:rFonts w:ascii="Arial" w:hAnsi="Arial" w:cs="Arial"/>
        </w:rPr>
        <w:t xml:space="preserve"> </w:t>
      </w:r>
      <w:r w:rsidR="00A87A64">
        <w:rPr>
          <w:rFonts w:ascii="Arial" w:hAnsi="Arial" w:cs="Arial"/>
        </w:rPr>
        <w:t xml:space="preserve"> </w:t>
      </w:r>
    </w:p>
    <w:p w14:paraId="317F1FE3" w14:textId="77777777" w:rsidR="00E80369" w:rsidRDefault="00E80369" w:rsidP="00E80369">
      <w:pPr>
        <w:pStyle w:val="NormalWeb"/>
        <w:shd w:val="clear" w:color="auto" w:fill="FFFFFF"/>
        <w:spacing w:before="0" w:beforeAutospacing="0" w:after="0" w:afterAutospacing="0" w:line="480" w:lineRule="auto"/>
        <w:contextualSpacing/>
        <w:jc w:val="both"/>
        <w:rPr>
          <w:rFonts w:ascii="Arial" w:hAnsi="Arial" w:cs="Arial"/>
        </w:rPr>
      </w:pPr>
    </w:p>
    <w:p w14:paraId="74F72293" w14:textId="21515A59" w:rsidR="00910623" w:rsidRDefault="00C47012" w:rsidP="00C47012">
      <w:pPr>
        <w:pStyle w:val="NormalWeb"/>
        <w:shd w:val="clear" w:color="auto" w:fill="FFFFFF"/>
        <w:spacing w:before="0" w:beforeAutospacing="0" w:after="0" w:afterAutospacing="0" w:line="480" w:lineRule="auto"/>
        <w:ind w:left="540" w:hanging="540"/>
        <w:contextualSpacing/>
        <w:jc w:val="both"/>
        <w:rPr>
          <w:rFonts w:ascii="Arial" w:hAnsi="Arial" w:cs="Arial"/>
          <w:u w:val="single"/>
        </w:rPr>
      </w:pPr>
      <w:r>
        <w:rPr>
          <w:rFonts w:ascii="Arial" w:hAnsi="Arial" w:cs="Arial"/>
        </w:rPr>
        <w:t>(b)</w:t>
      </w:r>
      <w:r>
        <w:rPr>
          <w:rFonts w:ascii="Arial" w:hAnsi="Arial" w:cs="Arial"/>
        </w:rPr>
        <w:tab/>
      </w:r>
      <w:r w:rsidR="005567B1">
        <w:rPr>
          <w:rFonts w:ascii="Arial" w:hAnsi="Arial" w:cs="Arial"/>
          <w:u w:val="single"/>
        </w:rPr>
        <w:t xml:space="preserve"> Her suspicion that </w:t>
      </w:r>
      <w:proofErr w:type="spellStart"/>
      <w:r w:rsidR="005567B1">
        <w:rPr>
          <w:rFonts w:ascii="Arial" w:hAnsi="Arial" w:cs="Arial"/>
          <w:u w:val="single"/>
        </w:rPr>
        <w:t>Mr</w:t>
      </w:r>
      <w:proofErr w:type="spellEnd"/>
      <w:r w:rsidR="005567B1">
        <w:rPr>
          <w:rFonts w:ascii="Arial" w:hAnsi="Arial" w:cs="Arial"/>
          <w:u w:val="single"/>
        </w:rPr>
        <w:t xml:space="preserve"> </w:t>
      </w:r>
      <w:proofErr w:type="spellStart"/>
      <w:r w:rsidR="005567B1">
        <w:rPr>
          <w:rFonts w:ascii="Arial" w:hAnsi="Arial" w:cs="Arial"/>
          <w:u w:val="single"/>
        </w:rPr>
        <w:t>Mabuyane</w:t>
      </w:r>
      <w:proofErr w:type="spellEnd"/>
      <w:r w:rsidR="005567B1">
        <w:rPr>
          <w:rFonts w:ascii="Arial" w:hAnsi="Arial" w:cs="Arial"/>
          <w:u w:val="single"/>
        </w:rPr>
        <w:t xml:space="preserve"> may have committed an offence in terms of POCA or PCCA</w:t>
      </w:r>
    </w:p>
    <w:p w14:paraId="47F65CCF" w14:textId="7CECBE66" w:rsidR="00637945"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[58]</w:t>
      </w:r>
      <w:r>
        <w:rPr>
          <w:rFonts w:ascii="Arial" w:hAnsi="Arial" w:cs="Arial"/>
          <w:color w:val="000000" w:themeColor="text1"/>
        </w:rPr>
        <w:tab/>
      </w:r>
      <w:r w:rsidR="00910623">
        <w:rPr>
          <w:rFonts w:ascii="Arial" w:hAnsi="Arial" w:cs="Arial"/>
        </w:rPr>
        <w:t xml:space="preserve">As adumbrated earlier </w:t>
      </w:r>
      <w:proofErr w:type="spellStart"/>
      <w:r w:rsidR="00910623">
        <w:rPr>
          <w:rFonts w:ascii="Arial" w:hAnsi="Arial" w:cs="Arial"/>
        </w:rPr>
        <w:t>Mr</w:t>
      </w:r>
      <w:proofErr w:type="spellEnd"/>
      <w:r w:rsidR="00910623">
        <w:rPr>
          <w:rFonts w:ascii="Arial" w:hAnsi="Arial" w:cs="Arial"/>
        </w:rPr>
        <w:t xml:space="preserve"> </w:t>
      </w:r>
      <w:proofErr w:type="spellStart"/>
      <w:r w:rsidR="00910623">
        <w:rPr>
          <w:rFonts w:ascii="Arial" w:hAnsi="Arial" w:cs="Arial"/>
        </w:rPr>
        <w:t>Madikizela</w:t>
      </w:r>
      <w:proofErr w:type="spellEnd"/>
      <w:r w:rsidR="00910623">
        <w:rPr>
          <w:rFonts w:ascii="Arial" w:hAnsi="Arial" w:cs="Arial"/>
        </w:rPr>
        <w:t xml:space="preserve"> did not pursue </w:t>
      </w:r>
      <w:r w:rsidR="005567B1">
        <w:rPr>
          <w:rFonts w:ascii="Arial" w:hAnsi="Arial" w:cs="Arial"/>
        </w:rPr>
        <w:t>the rationality argument</w:t>
      </w:r>
      <w:r w:rsidR="00340436">
        <w:rPr>
          <w:rFonts w:ascii="Arial" w:hAnsi="Arial" w:cs="Arial"/>
        </w:rPr>
        <w:t xml:space="preserve"> a</w:t>
      </w:r>
      <w:r w:rsidR="00910623">
        <w:rPr>
          <w:rFonts w:ascii="Arial" w:hAnsi="Arial" w:cs="Arial"/>
        </w:rPr>
        <w:t xml:space="preserve">nd the applicants in case </w:t>
      </w:r>
      <w:r w:rsidR="00340436">
        <w:rPr>
          <w:rFonts w:ascii="Arial" w:hAnsi="Arial" w:cs="Arial"/>
        </w:rPr>
        <w:t xml:space="preserve">number </w:t>
      </w:r>
      <w:r w:rsidR="00910623">
        <w:rPr>
          <w:rFonts w:ascii="Arial" w:hAnsi="Arial" w:cs="Arial"/>
        </w:rPr>
        <w:t>818/2021 expressly abandon</w:t>
      </w:r>
      <w:r w:rsidR="005567B1">
        <w:rPr>
          <w:rFonts w:ascii="Arial" w:hAnsi="Arial" w:cs="Arial"/>
        </w:rPr>
        <w:t>ed</w:t>
      </w:r>
      <w:r w:rsidR="00910623">
        <w:rPr>
          <w:rFonts w:ascii="Arial" w:hAnsi="Arial" w:cs="Arial"/>
        </w:rPr>
        <w:t xml:space="preserve"> it.  That leaves the position of </w:t>
      </w:r>
      <w:proofErr w:type="spellStart"/>
      <w:r w:rsidR="00910623">
        <w:rPr>
          <w:rFonts w:ascii="Arial" w:hAnsi="Arial" w:cs="Arial"/>
        </w:rPr>
        <w:t>Mr</w:t>
      </w:r>
      <w:proofErr w:type="spellEnd"/>
      <w:r w:rsidR="00910623">
        <w:rPr>
          <w:rFonts w:ascii="Arial" w:hAnsi="Arial" w:cs="Arial"/>
        </w:rPr>
        <w:t xml:space="preserve"> </w:t>
      </w:r>
      <w:proofErr w:type="spellStart"/>
      <w:r w:rsidR="00910623">
        <w:rPr>
          <w:rFonts w:ascii="Arial" w:hAnsi="Arial" w:cs="Arial"/>
        </w:rPr>
        <w:t>Mabuyane</w:t>
      </w:r>
      <w:proofErr w:type="spellEnd"/>
      <w:r w:rsidR="00910623">
        <w:rPr>
          <w:rFonts w:ascii="Arial" w:hAnsi="Arial" w:cs="Arial"/>
        </w:rPr>
        <w:t xml:space="preserve">.  His version </w:t>
      </w:r>
      <w:r w:rsidR="00637945">
        <w:rPr>
          <w:rFonts w:ascii="Arial" w:hAnsi="Arial" w:cs="Arial"/>
        </w:rPr>
        <w:t xml:space="preserve">of events is set out earlier and I have quoted the </w:t>
      </w:r>
      <w:r w:rsidR="00435BCA">
        <w:rPr>
          <w:rFonts w:ascii="Arial" w:hAnsi="Arial" w:cs="Arial"/>
        </w:rPr>
        <w:t xml:space="preserve">preliminary </w:t>
      </w:r>
      <w:r w:rsidR="00637945">
        <w:rPr>
          <w:rFonts w:ascii="Arial" w:hAnsi="Arial" w:cs="Arial"/>
        </w:rPr>
        <w:t xml:space="preserve">conclusions of the PP in her s 7(9) notice </w:t>
      </w:r>
      <w:r w:rsidR="005567B1">
        <w:rPr>
          <w:rFonts w:ascii="Arial" w:hAnsi="Arial" w:cs="Arial"/>
        </w:rPr>
        <w:t xml:space="preserve">to the parties, including </w:t>
      </w:r>
      <w:proofErr w:type="spellStart"/>
      <w:r w:rsidR="005567B1">
        <w:rPr>
          <w:rFonts w:ascii="Arial" w:hAnsi="Arial" w:cs="Arial"/>
        </w:rPr>
        <w:t>Mr</w:t>
      </w:r>
      <w:proofErr w:type="spellEnd"/>
      <w:r w:rsidR="005567B1">
        <w:rPr>
          <w:rFonts w:ascii="Arial" w:hAnsi="Arial" w:cs="Arial"/>
        </w:rPr>
        <w:t xml:space="preserve"> </w:t>
      </w:r>
      <w:proofErr w:type="spellStart"/>
      <w:r w:rsidR="005567B1">
        <w:rPr>
          <w:rFonts w:ascii="Arial" w:hAnsi="Arial" w:cs="Arial"/>
        </w:rPr>
        <w:t>Mabuyane</w:t>
      </w:r>
      <w:proofErr w:type="spellEnd"/>
      <w:r w:rsidR="005567B1">
        <w:rPr>
          <w:rFonts w:ascii="Arial" w:hAnsi="Arial" w:cs="Arial"/>
        </w:rPr>
        <w:t xml:space="preserve">.  </w:t>
      </w:r>
      <w:r w:rsidR="00637945">
        <w:rPr>
          <w:rFonts w:ascii="Arial" w:hAnsi="Arial" w:cs="Arial"/>
        </w:rPr>
        <w:t xml:space="preserve">In her </w:t>
      </w:r>
      <w:r w:rsidR="00637945">
        <w:rPr>
          <w:rFonts w:ascii="Arial" w:hAnsi="Arial" w:cs="Arial"/>
        </w:rPr>
        <w:lastRenderedPageBreak/>
        <w:t xml:space="preserve">reports </w:t>
      </w:r>
      <w:r w:rsidR="005567B1">
        <w:rPr>
          <w:rFonts w:ascii="Arial" w:hAnsi="Arial" w:cs="Arial"/>
        </w:rPr>
        <w:t>the PP</w:t>
      </w:r>
      <w:r w:rsidR="00637945">
        <w:rPr>
          <w:rFonts w:ascii="Arial" w:hAnsi="Arial" w:cs="Arial"/>
        </w:rPr>
        <w:t xml:space="preserve"> </w:t>
      </w:r>
      <w:r w:rsidR="00910623">
        <w:rPr>
          <w:rFonts w:ascii="Arial" w:hAnsi="Arial" w:cs="Arial"/>
        </w:rPr>
        <w:t xml:space="preserve">did not persist in her finding that he had probably known that the </w:t>
      </w:r>
      <w:r w:rsidR="002F5461">
        <w:rPr>
          <w:rFonts w:ascii="Arial" w:hAnsi="Arial" w:cs="Arial"/>
        </w:rPr>
        <w:t xml:space="preserve">            </w:t>
      </w:r>
      <w:r w:rsidR="00910623">
        <w:rPr>
          <w:rFonts w:ascii="Arial" w:hAnsi="Arial" w:cs="Arial"/>
        </w:rPr>
        <w:t xml:space="preserve">R450 000 that he had borrowed from </w:t>
      </w:r>
      <w:proofErr w:type="spellStart"/>
      <w:r w:rsidR="00910623">
        <w:rPr>
          <w:rFonts w:ascii="Arial" w:hAnsi="Arial" w:cs="Arial"/>
        </w:rPr>
        <w:t>Mr</w:t>
      </w:r>
      <w:proofErr w:type="spellEnd"/>
      <w:r w:rsidR="00910623">
        <w:rPr>
          <w:rFonts w:ascii="Arial" w:hAnsi="Arial" w:cs="Arial"/>
        </w:rPr>
        <w:t xml:space="preserve"> </w:t>
      </w:r>
      <w:proofErr w:type="spellStart"/>
      <w:r w:rsidR="00910623">
        <w:rPr>
          <w:rFonts w:ascii="Arial" w:hAnsi="Arial" w:cs="Arial"/>
        </w:rPr>
        <w:t>Madikizela</w:t>
      </w:r>
      <w:proofErr w:type="spellEnd"/>
      <w:r w:rsidR="00910623">
        <w:rPr>
          <w:rFonts w:ascii="Arial" w:hAnsi="Arial" w:cs="Arial"/>
        </w:rPr>
        <w:t xml:space="preserve"> had originated from unlawful activities.</w:t>
      </w:r>
    </w:p>
    <w:p w14:paraId="51535155" w14:textId="77777777" w:rsidR="00EA1CBE" w:rsidRDefault="00EA1CBE" w:rsidP="00EA1CBE">
      <w:pPr>
        <w:pStyle w:val="NormalWeb"/>
        <w:shd w:val="clear" w:color="auto" w:fill="FFFFFF"/>
        <w:spacing w:before="0" w:beforeAutospacing="0" w:after="0" w:afterAutospacing="0" w:line="480" w:lineRule="auto"/>
        <w:contextualSpacing/>
        <w:jc w:val="both"/>
        <w:rPr>
          <w:rFonts w:ascii="Arial" w:hAnsi="Arial" w:cs="Arial"/>
        </w:rPr>
      </w:pPr>
    </w:p>
    <w:p w14:paraId="04640572" w14:textId="5340EDB9" w:rsidR="00EA1CBE" w:rsidRDefault="00C47012" w:rsidP="00C47012">
      <w:pPr>
        <w:pStyle w:val="NormalWeb"/>
        <w:shd w:val="clear" w:color="auto" w:fill="FFFFFF"/>
        <w:spacing w:before="0" w:beforeAutospacing="0" w:after="0" w:afterAutospacing="0" w:line="480" w:lineRule="auto"/>
        <w:ind w:left="720" w:hanging="720"/>
        <w:contextualSpacing/>
        <w:jc w:val="both"/>
        <w:rPr>
          <w:rFonts w:ascii="Arial" w:hAnsi="Arial" w:cs="Arial"/>
        </w:rPr>
      </w:pPr>
      <w:r>
        <w:rPr>
          <w:rFonts w:ascii="Arial" w:hAnsi="Arial" w:cs="Arial"/>
          <w:color w:val="000000" w:themeColor="text1"/>
        </w:rPr>
        <w:t>[59]</w:t>
      </w:r>
      <w:r>
        <w:rPr>
          <w:rFonts w:ascii="Arial" w:hAnsi="Arial" w:cs="Arial"/>
          <w:color w:val="000000" w:themeColor="text1"/>
        </w:rPr>
        <w:tab/>
      </w:r>
      <w:r w:rsidR="00EA1CBE">
        <w:rPr>
          <w:rFonts w:ascii="Arial" w:hAnsi="Arial" w:cs="Arial"/>
        </w:rPr>
        <w:t xml:space="preserve">However, she </w:t>
      </w:r>
      <w:r w:rsidR="00435BCA">
        <w:rPr>
          <w:rFonts w:ascii="Arial" w:hAnsi="Arial" w:cs="Arial"/>
        </w:rPr>
        <w:t>persisted that</w:t>
      </w:r>
      <w:r w:rsidR="00EA1CBE">
        <w:rPr>
          <w:rFonts w:ascii="Arial" w:hAnsi="Arial" w:cs="Arial"/>
        </w:rPr>
        <w:t>:</w:t>
      </w:r>
    </w:p>
    <w:p w14:paraId="0C31988B" w14:textId="77777777" w:rsidR="00637945" w:rsidRDefault="00637945" w:rsidP="001D370D">
      <w:pPr>
        <w:pStyle w:val="NormalWeb"/>
        <w:shd w:val="clear" w:color="auto" w:fill="FFFFFF"/>
        <w:spacing w:before="0" w:beforeAutospacing="0" w:after="0" w:afterAutospacing="0" w:line="480" w:lineRule="auto"/>
        <w:contextualSpacing/>
        <w:jc w:val="both"/>
        <w:rPr>
          <w:rFonts w:ascii="Arial" w:hAnsi="Arial" w:cs="Arial"/>
        </w:rPr>
      </w:pPr>
    </w:p>
    <w:p w14:paraId="65B5D3D3" w14:textId="77777777" w:rsidR="00923B58" w:rsidRPr="00741E90" w:rsidRDefault="00637945" w:rsidP="00923B58">
      <w:pPr>
        <w:pStyle w:val="NormalWeb"/>
        <w:shd w:val="clear" w:color="auto" w:fill="FFFFFF"/>
        <w:spacing w:before="0" w:beforeAutospacing="0" w:after="0" w:afterAutospacing="0" w:line="360" w:lineRule="auto"/>
        <w:ind w:left="1282" w:right="562" w:hanging="720"/>
        <w:contextualSpacing/>
        <w:jc w:val="both"/>
        <w:rPr>
          <w:rFonts w:ascii="Arial" w:hAnsi="Arial" w:cs="Arial"/>
          <w:color w:val="000000" w:themeColor="text1"/>
          <w:sz w:val="22"/>
          <w:szCs w:val="22"/>
        </w:rPr>
      </w:pPr>
      <w:r w:rsidRPr="00741E90">
        <w:rPr>
          <w:rFonts w:ascii="Arial" w:hAnsi="Arial" w:cs="Arial"/>
          <w:color w:val="000000" w:themeColor="text1"/>
          <w:sz w:val="22"/>
          <w:szCs w:val="22"/>
        </w:rPr>
        <w:t>“</w:t>
      </w:r>
      <w:r w:rsidR="00923B58" w:rsidRPr="00741E90">
        <w:rPr>
          <w:rFonts w:ascii="Arial" w:hAnsi="Arial" w:cs="Arial"/>
          <w:color w:val="000000" w:themeColor="text1"/>
          <w:sz w:val="22"/>
          <w:szCs w:val="22"/>
        </w:rPr>
        <w:t>6.1.6</w:t>
      </w:r>
      <w:r w:rsidR="00923B58" w:rsidRPr="00741E90">
        <w:rPr>
          <w:rFonts w:ascii="Arial" w:hAnsi="Arial" w:cs="Arial"/>
          <w:color w:val="000000" w:themeColor="text1"/>
          <w:sz w:val="22"/>
          <w:szCs w:val="22"/>
        </w:rPr>
        <w:tab/>
      </w:r>
      <w:proofErr w:type="spellStart"/>
      <w:r w:rsidR="00923B58" w:rsidRPr="00741E90">
        <w:rPr>
          <w:rFonts w:ascii="Arial" w:hAnsi="Arial" w:cs="Arial"/>
          <w:color w:val="000000" w:themeColor="text1"/>
          <w:sz w:val="22"/>
          <w:szCs w:val="22"/>
        </w:rPr>
        <w:t>Mr</w:t>
      </w:r>
      <w:proofErr w:type="spellEnd"/>
      <w:r w:rsidR="00923B58" w:rsidRPr="00741E90">
        <w:rPr>
          <w:rFonts w:ascii="Arial" w:hAnsi="Arial" w:cs="Arial"/>
          <w:color w:val="000000" w:themeColor="text1"/>
          <w:sz w:val="22"/>
          <w:szCs w:val="22"/>
        </w:rPr>
        <w:t xml:space="preserve"> </w:t>
      </w:r>
      <w:proofErr w:type="spellStart"/>
      <w:r w:rsidR="00923B58" w:rsidRPr="00741E90">
        <w:rPr>
          <w:rFonts w:ascii="Arial" w:hAnsi="Arial" w:cs="Arial"/>
          <w:color w:val="000000" w:themeColor="text1"/>
          <w:sz w:val="22"/>
          <w:szCs w:val="22"/>
        </w:rPr>
        <w:t>Mabuyane</w:t>
      </w:r>
      <w:proofErr w:type="spellEnd"/>
      <w:r w:rsidR="00923B58" w:rsidRPr="00741E90">
        <w:rPr>
          <w:rFonts w:ascii="Arial" w:hAnsi="Arial" w:cs="Arial"/>
          <w:color w:val="000000" w:themeColor="text1"/>
          <w:sz w:val="22"/>
          <w:szCs w:val="22"/>
        </w:rPr>
        <w:t xml:space="preserve"> personally benefitted </w:t>
      </w:r>
      <w:r w:rsidR="008802F2" w:rsidRPr="00741E90">
        <w:rPr>
          <w:rFonts w:ascii="Arial" w:hAnsi="Arial" w:cs="Arial"/>
          <w:color w:val="000000" w:themeColor="text1"/>
          <w:sz w:val="22"/>
          <w:szCs w:val="22"/>
        </w:rPr>
        <w:t>R450,000</w:t>
      </w:r>
      <w:r w:rsidR="00923B58" w:rsidRPr="00741E90">
        <w:rPr>
          <w:rFonts w:ascii="Arial" w:hAnsi="Arial" w:cs="Arial"/>
          <w:color w:val="000000" w:themeColor="text1"/>
          <w:sz w:val="22"/>
          <w:szCs w:val="22"/>
        </w:rPr>
        <w:t xml:space="preserve"> (Four hundred and fifty thousand </w:t>
      </w:r>
      <w:r w:rsidR="008802F2" w:rsidRPr="00741E90">
        <w:rPr>
          <w:rFonts w:ascii="Arial" w:hAnsi="Arial" w:cs="Arial"/>
          <w:color w:val="000000" w:themeColor="text1"/>
          <w:sz w:val="22"/>
          <w:szCs w:val="22"/>
        </w:rPr>
        <w:t>rands</w:t>
      </w:r>
      <w:r w:rsidR="00923B58" w:rsidRPr="00741E90">
        <w:rPr>
          <w:rFonts w:ascii="Arial" w:hAnsi="Arial" w:cs="Arial"/>
          <w:color w:val="000000" w:themeColor="text1"/>
          <w:sz w:val="22"/>
          <w:szCs w:val="22"/>
        </w:rPr>
        <w:t xml:space="preserve">) from the amount of R1,1 million which were certainly public funds that went into the Nedbank account of Allan </w:t>
      </w:r>
      <w:proofErr w:type="spellStart"/>
      <w:r w:rsidR="00923B58" w:rsidRPr="00741E90">
        <w:rPr>
          <w:rFonts w:ascii="Arial" w:hAnsi="Arial" w:cs="Arial"/>
          <w:color w:val="000000" w:themeColor="text1"/>
          <w:sz w:val="22"/>
          <w:szCs w:val="22"/>
        </w:rPr>
        <w:t>Morran</w:t>
      </w:r>
      <w:proofErr w:type="spellEnd"/>
      <w:r w:rsidR="00923B58" w:rsidRPr="00741E90">
        <w:rPr>
          <w:rFonts w:ascii="Arial" w:hAnsi="Arial" w:cs="Arial"/>
          <w:color w:val="000000" w:themeColor="text1"/>
          <w:sz w:val="22"/>
          <w:szCs w:val="22"/>
        </w:rPr>
        <w:t xml:space="preserve"> Design Architectural Services (Allan </w:t>
      </w:r>
      <w:proofErr w:type="spellStart"/>
      <w:r w:rsidR="00923B58" w:rsidRPr="00741E90">
        <w:rPr>
          <w:rFonts w:ascii="Arial" w:hAnsi="Arial" w:cs="Arial"/>
          <w:color w:val="000000" w:themeColor="text1"/>
          <w:sz w:val="22"/>
          <w:szCs w:val="22"/>
        </w:rPr>
        <w:t>Morran</w:t>
      </w:r>
      <w:proofErr w:type="spellEnd"/>
      <w:r w:rsidR="00923B58" w:rsidRPr="00741E90">
        <w:rPr>
          <w:rFonts w:ascii="Arial" w:hAnsi="Arial" w:cs="Arial"/>
          <w:color w:val="000000" w:themeColor="text1"/>
          <w:sz w:val="22"/>
          <w:szCs w:val="22"/>
        </w:rPr>
        <w:t xml:space="preserve"> Design) which is a private company that carried out renovations at his private house as set out in evidence.</w:t>
      </w:r>
    </w:p>
    <w:p w14:paraId="0B8C42DC" w14:textId="77777777" w:rsidR="00024CF2" w:rsidRPr="00741E90" w:rsidRDefault="00024CF2" w:rsidP="00923B58">
      <w:pPr>
        <w:pStyle w:val="NormalWeb"/>
        <w:shd w:val="clear" w:color="auto" w:fill="FFFFFF"/>
        <w:spacing w:before="0" w:beforeAutospacing="0" w:after="0" w:afterAutospacing="0" w:line="360" w:lineRule="auto"/>
        <w:ind w:left="1282" w:right="562" w:hanging="720"/>
        <w:contextualSpacing/>
        <w:jc w:val="both"/>
        <w:rPr>
          <w:rFonts w:ascii="Arial" w:hAnsi="Arial" w:cs="Arial"/>
          <w:color w:val="000000" w:themeColor="text1"/>
          <w:sz w:val="22"/>
          <w:szCs w:val="22"/>
        </w:rPr>
      </w:pPr>
    </w:p>
    <w:p w14:paraId="1EEDB968" w14:textId="77777777" w:rsidR="00637945" w:rsidRPr="00741E90" w:rsidRDefault="00923B58" w:rsidP="00923B58">
      <w:pPr>
        <w:pStyle w:val="NormalWeb"/>
        <w:shd w:val="clear" w:color="auto" w:fill="FFFFFF"/>
        <w:spacing w:before="0" w:beforeAutospacing="0" w:after="0" w:afterAutospacing="0" w:line="360" w:lineRule="auto"/>
        <w:ind w:left="1282" w:right="562" w:hanging="720"/>
        <w:contextualSpacing/>
        <w:jc w:val="both"/>
        <w:rPr>
          <w:rFonts w:ascii="Arial" w:hAnsi="Arial" w:cs="Arial"/>
          <w:color w:val="000000" w:themeColor="text1"/>
          <w:sz w:val="22"/>
          <w:szCs w:val="22"/>
        </w:rPr>
      </w:pPr>
      <w:r w:rsidRPr="00741E90">
        <w:rPr>
          <w:rFonts w:ascii="Arial" w:hAnsi="Arial" w:cs="Arial"/>
          <w:color w:val="000000" w:themeColor="text1"/>
          <w:sz w:val="22"/>
          <w:szCs w:val="22"/>
        </w:rPr>
        <w:t>6.1.7</w:t>
      </w:r>
      <w:r w:rsidRPr="00741E90">
        <w:rPr>
          <w:rFonts w:ascii="Arial" w:hAnsi="Arial" w:cs="Arial"/>
          <w:color w:val="000000" w:themeColor="text1"/>
          <w:sz w:val="22"/>
          <w:szCs w:val="22"/>
        </w:rPr>
        <w:tab/>
      </w:r>
      <w:r w:rsidR="00637945" w:rsidRPr="00741E90">
        <w:rPr>
          <w:rFonts w:ascii="Arial" w:hAnsi="Arial" w:cs="Arial"/>
          <w:color w:val="000000" w:themeColor="text1"/>
          <w:sz w:val="22"/>
          <w:szCs w:val="22"/>
        </w:rPr>
        <w:t xml:space="preserve">Whereas </w:t>
      </w:r>
      <w:proofErr w:type="spellStart"/>
      <w:r w:rsidR="00637945" w:rsidRPr="00741E90">
        <w:rPr>
          <w:rFonts w:ascii="Arial" w:hAnsi="Arial" w:cs="Arial"/>
          <w:color w:val="000000" w:themeColor="text1"/>
          <w:sz w:val="22"/>
          <w:szCs w:val="22"/>
        </w:rPr>
        <w:t>Mr</w:t>
      </w:r>
      <w:proofErr w:type="spellEnd"/>
      <w:r w:rsidR="00637945" w:rsidRPr="00741E90">
        <w:rPr>
          <w:rFonts w:ascii="Arial" w:hAnsi="Arial" w:cs="Arial"/>
          <w:color w:val="000000" w:themeColor="text1"/>
          <w:sz w:val="22"/>
          <w:szCs w:val="22"/>
        </w:rPr>
        <w:t xml:space="preserve"> </w:t>
      </w:r>
      <w:proofErr w:type="spellStart"/>
      <w:r w:rsidR="00637945" w:rsidRPr="00741E90">
        <w:rPr>
          <w:rFonts w:ascii="Arial" w:hAnsi="Arial" w:cs="Arial"/>
          <w:color w:val="000000" w:themeColor="text1"/>
          <w:sz w:val="22"/>
          <w:szCs w:val="22"/>
        </w:rPr>
        <w:t>Mabuyane</w:t>
      </w:r>
      <w:proofErr w:type="spellEnd"/>
      <w:r w:rsidR="00637945" w:rsidRPr="00741E90">
        <w:rPr>
          <w:rFonts w:ascii="Arial" w:hAnsi="Arial" w:cs="Arial"/>
          <w:color w:val="000000" w:themeColor="text1"/>
          <w:sz w:val="22"/>
          <w:szCs w:val="22"/>
        </w:rPr>
        <w:t xml:space="preserve"> denied the knowledge of arrangements between </w:t>
      </w:r>
      <w:proofErr w:type="spellStart"/>
      <w:r w:rsidR="00637945" w:rsidRPr="00741E90">
        <w:rPr>
          <w:rFonts w:ascii="Arial" w:hAnsi="Arial" w:cs="Arial"/>
          <w:color w:val="000000" w:themeColor="text1"/>
          <w:sz w:val="22"/>
          <w:szCs w:val="22"/>
        </w:rPr>
        <w:t>Mr</w:t>
      </w:r>
      <w:proofErr w:type="spellEnd"/>
      <w:r w:rsidR="00637945" w:rsidRPr="00741E90">
        <w:rPr>
          <w:rFonts w:ascii="Arial" w:hAnsi="Arial" w:cs="Arial"/>
          <w:color w:val="000000" w:themeColor="text1"/>
          <w:sz w:val="22"/>
          <w:szCs w:val="22"/>
        </w:rPr>
        <w:t xml:space="preserve"> Bam and </w:t>
      </w:r>
      <w:proofErr w:type="spellStart"/>
      <w:r w:rsidR="00637945" w:rsidRPr="00741E90">
        <w:rPr>
          <w:rFonts w:ascii="Arial" w:hAnsi="Arial" w:cs="Arial"/>
          <w:color w:val="000000" w:themeColor="text1"/>
          <w:sz w:val="22"/>
          <w:szCs w:val="22"/>
        </w:rPr>
        <w:t>Mr</w:t>
      </w:r>
      <w:proofErr w:type="spellEnd"/>
      <w:r w:rsidR="00637945" w:rsidRPr="00741E90">
        <w:rPr>
          <w:rFonts w:ascii="Arial" w:hAnsi="Arial" w:cs="Arial"/>
          <w:color w:val="000000" w:themeColor="text1"/>
          <w:sz w:val="22"/>
          <w:szCs w:val="22"/>
        </w:rPr>
        <w:t xml:space="preserve"> Madikizela</w:t>
      </w:r>
      <w:r w:rsidR="00024CF2" w:rsidRPr="00741E90">
        <w:rPr>
          <w:rFonts w:ascii="Arial" w:hAnsi="Arial" w:cs="Arial"/>
          <w:color w:val="000000" w:themeColor="text1"/>
          <w:sz w:val="22"/>
          <w:szCs w:val="22"/>
        </w:rPr>
        <w:t xml:space="preserve">, </w:t>
      </w:r>
      <w:r w:rsidR="00637945" w:rsidRPr="00741E90">
        <w:rPr>
          <w:rFonts w:ascii="Arial" w:hAnsi="Arial" w:cs="Arial"/>
          <w:color w:val="000000" w:themeColor="text1"/>
          <w:sz w:val="22"/>
          <w:szCs w:val="22"/>
        </w:rPr>
        <w:t xml:space="preserve">evidence revealed that his </w:t>
      </w:r>
      <w:r w:rsidR="00024CF2" w:rsidRPr="00741E90">
        <w:rPr>
          <w:rFonts w:ascii="Arial" w:hAnsi="Arial" w:cs="Arial"/>
          <w:color w:val="000000" w:themeColor="text1"/>
          <w:sz w:val="22"/>
          <w:szCs w:val="22"/>
        </w:rPr>
        <w:t>wife</w:t>
      </w:r>
      <w:r w:rsidR="00637945" w:rsidRPr="00741E90">
        <w:rPr>
          <w:rFonts w:ascii="Arial" w:hAnsi="Arial" w:cs="Arial"/>
          <w:color w:val="000000" w:themeColor="text1"/>
          <w:sz w:val="22"/>
          <w:szCs w:val="22"/>
        </w:rPr>
        <w:t xml:space="preserve">, </w:t>
      </w:r>
      <w:proofErr w:type="spellStart"/>
      <w:r w:rsidR="00637945" w:rsidRPr="00741E90">
        <w:rPr>
          <w:rFonts w:ascii="Arial" w:hAnsi="Arial" w:cs="Arial"/>
          <w:color w:val="000000" w:themeColor="text1"/>
          <w:sz w:val="22"/>
          <w:szCs w:val="22"/>
        </w:rPr>
        <w:t>Ms</w:t>
      </w:r>
      <w:proofErr w:type="spellEnd"/>
      <w:r w:rsidR="00637945" w:rsidRPr="00741E90">
        <w:rPr>
          <w:rFonts w:ascii="Arial" w:hAnsi="Arial" w:cs="Arial"/>
          <w:color w:val="000000" w:themeColor="text1"/>
          <w:sz w:val="22"/>
          <w:szCs w:val="22"/>
        </w:rPr>
        <w:t xml:space="preserve"> Siyasanga </w:t>
      </w:r>
      <w:proofErr w:type="spellStart"/>
      <w:r w:rsidR="00637945" w:rsidRPr="00741E90">
        <w:rPr>
          <w:rFonts w:ascii="Arial" w:hAnsi="Arial" w:cs="Arial"/>
          <w:color w:val="000000" w:themeColor="text1"/>
          <w:sz w:val="22"/>
          <w:szCs w:val="22"/>
        </w:rPr>
        <w:t>Mabuyane</w:t>
      </w:r>
      <w:proofErr w:type="spellEnd"/>
      <w:r w:rsidR="00637945" w:rsidRPr="00741E90">
        <w:rPr>
          <w:rFonts w:ascii="Arial" w:hAnsi="Arial" w:cs="Arial"/>
          <w:color w:val="000000" w:themeColor="text1"/>
          <w:sz w:val="22"/>
          <w:szCs w:val="22"/>
        </w:rPr>
        <w:t xml:space="preserve"> </w:t>
      </w:r>
      <w:r w:rsidR="00024CF2" w:rsidRPr="00741E90">
        <w:rPr>
          <w:rFonts w:ascii="Arial" w:hAnsi="Arial" w:cs="Arial"/>
          <w:color w:val="000000" w:themeColor="text1"/>
          <w:sz w:val="22"/>
          <w:szCs w:val="22"/>
        </w:rPr>
        <w:t>…</w:t>
      </w:r>
      <w:r w:rsidR="00637945" w:rsidRPr="00741E90">
        <w:rPr>
          <w:rFonts w:ascii="Arial" w:hAnsi="Arial" w:cs="Arial"/>
          <w:color w:val="000000" w:themeColor="text1"/>
          <w:sz w:val="22"/>
          <w:szCs w:val="22"/>
        </w:rPr>
        <w:t xml:space="preserve"> advised the business owner of Allan </w:t>
      </w:r>
      <w:proofErr w:type="spellStart"/>
      <w:r w:rsidR="00637945" w:rsidRPr="00741E90">
        <w:rPr>
          <w:rFonts w:ascii="Arial" w:hAnsi="Arial" w:cs="Arial"/>
          <w:color w:val="000000" w:themeColor="text1"/>
          <w:sz w:val="22"/>
          <w:szCs w:val="22"/>
        </w:rPr>
        <w:t>Morran</w:t>
      </w:r>
      <w:proofErr w:type="spellEnd"/>
      <w:r w:rsidR="00637945" w:rsidRPr="00741E90">
        <w:rPr>
          <w:rFonts w:ascii="Arial" w:hAnsi="Arial" w:cs="Arial"/>
          <w:color w:val="000000" w:themeColor="text1"/>
          <w:sz w:val="22"/>
          <w:szCs w:val="22"/>
        </w:rPr>
        <w:t xml:space="preserve"> Design:  </w:t>
      </w:r>
      <w:proofErr w:type="spellStart"/>
      <w:r w:rsidR="00637945" w:rsidRPr="00741E90">
        <w:rPr>
          <w:rFonts w:ascii="Arial" w:hAnsi="Arial" w:cs="Arial"/>
          <w:color w:val="000000" w:themeColor="text1"/>
          <w:sz w:val="22"/>
          <w:szCs w:val="22"/>
        </w:rPr>
        <w:t>Mr</w:t>
      </w:r>
      <w:proofErr w:type="spellEnd"/>
      <w:r w:rsidR="00637945" w:rsidRPr="00741E90">
        <w:rPr>
          <w:rFonts w:ascii="Arial" w:hAnsi="Arial" w:cs="Arial"/>
          <w:color w:val="000000" w:themeColor="text1"/>
          <w:sz w:val="22"/>
          <w:szCs w:val="22"/>
        </w:rPr>
        <w:t xml:space="preserve"> Allan </w:t>
      </w:r>
      <w:proofErr w:type="spellStart"/>
      <w:r w:rsidR="00637945" w:rsidRPr="00741E90">
        <w:rPr>
          <w:rFonts w:ascii="Arial" w:hAnsi="Arial" w:cs="Arial"/>
          <w:color w:val="000000" w:themeColor="text1"/>
          <w:sz w:val="22"/>
          <w:szCs w:val="22"/>
        </w:rPr>
        <w:t>Morran</w:t>
      </w:r>
      <w:proofErr w:type="spellEnd"/>
      <w:r w:rsidR="00637945" w:rsidRPr="00741E90">
        <w:rPr>
          <w:rFonts w:ascii="Arial" w:hAnsi="Arial" w:cs="Arial"/>
          <w:color w:val="000000" w:themeColor="text1"/>
          <w:sz w:val="22"/>
          <w:szCs w:val="22"/>
        </w:rPr>
        <w:t xml:space="preserve"> … through an email that the deposit of R</w:t>
      </w:r>
      <w:r w:rsidR="00024CF2" w:rsidRPr="00741E90">
        <w:rPr>
          <w:rFonts w:ascii="Arial" w:hAnsi="Arial" w:cs="Arial"/>
          <w:color w:val="000000" w:themeColor="text1"/>
          <w:sz w:val="22"/>
          <w:szCs w:val="22"/>
        </w:rPr>
        <w:t xml:space="preserve">450, </w:t>
      </w:r>
      <w:r w:rsidR="00637945" w:rsidRPr="00741E90">
        <w:rPr>
          <w:rFonts w:ascii="Arial" w:hAnsi="Arial" w:cs="Arial"/>
          <w:color w:val="000000" w:themeColor="text1"/>
          <w:sz w:val="22"/>
          <w:szCs w:val="22"/>
        </w:rPr>
        <w:t xml:space="preserve">000 was to be used for renovations of their private house when this payment was queried by </w:t>
      </w:r>
      <w:proofErr w:type="spellStart"/>
      <w:r w:rsidR="00637945" w:rsidRPr="00741E90">
        <w:rPr>
          <w:rFonts w:ascii="Arial" w:hAnsi="Arial" w:cs="Arial"/>
          <w:color w:val="000000" w:themeColor="text1"/>
          <w:sz w:val="22"/>
          <w:szCs w:val="22"/>
        </w:rPr>
        <w:t>Mr</w:t>
      </w:r>
      <w:proofErr w:type="spellEnd"/>
      <w:r w:rsidR="00637945" w:rsidRPr="00741E90">
        <w:rPr>
          <w:rFonts w:ascii="Arial" w:hAnsi="Arial" w:cs="Arial"/>
          <w:color w:val="000000" w:themeColor="text1"/>
          <w:sz w:val="22"/>
          <w:szCs w:val="22"/>
        </w:rPr>
        <w:t xml:space="preserve"> </w:t>
      </w:r>
      <w:proofErr w:type="spellStart"/>
      <w:r w:rsidR="00637945" w:rsidRPr="00741E90">
        <w:rPr>
          <w:rFonts w:ascii="Arial" w:hAnsi="Arial" w:cs="Arial"/>
          <w:color w:val="000000" w:themeColor="text1"/>
          <w:sz w:val="22"/>
          <w:szCs w:val="22"/>
        </w:rPr>
        <w:t>Morran</w:t>
      </w:r>
      <w:proofErr w:type="spellEnd"/>
      <w:r w:rsidR="00637945" w:rsidRPr="00741E90">
        <w:rPr>
          <w:rFonts w:ascii="Arial" w:hAnsi="Arial" w:cs="Arial"/>
          <w:color w:val="000000" w:themeColor="text1"/>
          <w:sz w:val="22"/>
          <w:szCs w:val="22"/>
        </w:rPr>
        <w:t>.”</w:t>
      </w:r>
    </w:p>
    <w:p w14:paraId="20EE8933" w14:textId="77777777" w:rsidR="00637945" w:rsidRDefault="00637945" w:rsidP="001D370D">
      <w:pPr>
        <w:pStyle w:val="NormalWeb"/>
        <w:shd w:val="clear" w:color="auto" w:fill="FFFFFF"/>
        <w:spacing w:before="0" w:beforeAutospacing="0" w:after="0" w:afterAutospacing="0" w:line="480" w:lineRule="auto"/>
        <w:contextualSpacing/>
        <w:jc w:val="both"/>
        <w:rPr>
          <w:rFonts w:ascii="Arial" w:hAnsi="Arial" w:cs="Arial"/>
        </w:rPr>
      </w:pPr>
    </w:p>
    <w:p w14:paraId="7A1228C3" w14:textId="1EA24BC1" w:rsidR="00637945"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[60]</w:t>
      </w:r>
      <w:r>
        <w:rPr>
          <w:rFonts w:ascii="Arial" w:hAnsi="Arial" w:cs="Arial"/>
          <w:color w:val="000000" w:themeColor="text1"/>
        </w:rPr>
        <w:tab/>
      </w:r>
      <w:r w:rsidR="00637945">
        <w:rPr>
          <w:rFonts w:ascii="Arial" w:hAnsi="Arial" w:cs="Arial"/>
        </w:rPr>
        <w:t>On the strength of this evidence</w:t>
      </w:r>
      <w:r w:rsidR="008802F2">
        <w:rPr>
          <w:rFonts w:ascii="Arial" w:hAnsi="Arial" w:cs="Arial"/>
        </w:rPr>
        <w:t>,</w:t>
      </w:r>
      <w:r w:rsidR="00637945">
        <w:rPr>
          <w:rFonts w:ascii="Arial" w:hAnsi="Arial" w:cs="Arial"/>
        </w:rPr>
        <w:t xml:space="preserve"> she concluded that the financial benefits that accrued to </w:t>
      </w:r>
      <w:proofErr w:type="spellStart"/>
      <w:r w:rsidR="00637945">
        <w:rPr>
          <w:rFonts w:ascii="Arial" w:hAnsi="Arial" w:cs="Arial"/>
        </w:rPr>
        <w:t>Mr</w:t>
      </w:r>
      <w:proofErr w:type="spellEnd"/>
      <w:r w:rsidR="00637945">
        <w:rPr>
          <w:rFonts w:ascii="Arial" w:hAnsi="Arial" w:cs="Arial"/>
        </w:rPr>
        <w:t xml:space="preserve"> </w:t>
      </w:r>
      <w:proofErr w:type="spellStart"/>
      <w:r w:rsidR="00637945">
        <w:rPr>
          <w:rFonts w:ascii="Arial" w:hAnsi="Arial" w:cs="Arial"/>
        </w:rPr>
        <w:t>Mabuyane</w:t>
      </w:r>
      <w:proofErr w:type="spellEnd"/>
      <w:r w:rsidR="00637945">
        <w:rPr>
          <w:rFonts w:ascii="Arial" w:hAnsi="Arial" w:cs="Arial"/>
        </w:rPr>
        <w:t xml:space="preserve"> raised a suspicion of a commission of criminal conduct in terms of POCA and P</w:t>
      </w:r>
      <w:r w:rsidR="000C2631">
        <w:rPr>
          <w:rFonts w:ascii="Arial" w:hAnsi="Arial" w:cs="Arial"/>
        </w:rPr>
        <w:t>CCA</w:t>
      </w:r>
      <w:r w:rsidR="00637945">
        <w:rPr>
          <w:rFonts w:ascii="Arial" w:hAnsi="Arial" w:cs="Arial"/>
        </w:rPr>
        <w:t xml:space="preserve"> and therefore she referred the investigation to the DPCI</w:t>
      </w:r>
      <w:r w:rsidR="00721EE9">
        <w:rPr>
          <w:rFonts w:ascii="Arial" w:hAnsi="Arial" w:cs="Arial"/>
        </w:rPr>
        <w:t>.</w:t>
      </w:r>
    </w:p>
    <w:p w14:paraId="25B2CCBC" w14:textId="77777777" w:rsidR="00721EE9" w:rsidRDefault="00721EE9" w:rsidP="001D370D">
      <w:pPr>
        <w:pStyle w:val="NormalWeb"/>
        <w:shd w:val="clear" w:color="auto" w:fill="FFFFFF"/>
        <w:spacing w:before="0" w:beforeAutospacing="0" w:after="0" w:afterAutospacing="0" w:line="480" w:lineRule="auto"/>
        <w:contextualSpacing/>
        <w:jc w:val="both"/>
        <w:rPr>
          <w:rFonts w:ascii="Arial" w:hAnsi="Arial" w:cs="Arial"/>
        </w:rPr>
      </w:pPr>
    </w:p>
    <w:p w14:paraId="57650091" w14:textId="5218DB4F" w:rsidR="00721EE9"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[61]</w:t>
      </w:r>
      <w:r>
        <w:rPr>
          <w:rFonts w:ascii="Arial" w:hAnsi="Arial" w:cs="Arial"/>
          <w:color w:val="000000" w:themeColor="text1"/>
        </w:rPr>
        <w:tab/>
      </w:r>
      <w:proofErr w:type="spellStart"/>
      <w:r w:rsidR="00721EE9">
        <w:rPr>
          <w:rFonts w:ascii="Arial" w:hAnsi="Arial" w:cs="Arial"/>
        </w:rPr>
        <w:t>Ms</w:t>
      </w:r>
      <w:proofErr w:type="spellEnd"/>
      <w:r w:rsidR="00721EE9">
        <w:rPr>
          <w:rFonts w:ascii="Arial" w:hAnsi="Arial" w:cs="Arial"/>
        </w:rPr>
        <w:t xml:space="preserve"> </w:t>
      </w:r>
      <w:proofErr w:type="spellStart"/>
      <w:r w:rsidR="00721EE9">
        <w:rPr>
          <w:rFonts w:ascii="Arial" w:hAnsi="Arial" w:cs="Arial"/>
        </w:rPr>
        <w:t>Mabuyane’s</w:t>
      </w:r>
      <w:proofErr w:type="spellEnd"/>
      <w:r w:rsidR="00721EE9">
        <w:rPr>
          <w:rFonts w:ascii="Arial" w:hAnsi="Arial" w:cs="Arial"/>
        </w:rPr>
        <w:t xml:space="preserve"> account of her instruction to </w:t>
      </w:r>
      <w:proofErr w:type="spellStart"/>
      <w:r w:rsidR="00721EE9">
        <w:rPr>
          <w:rFonts w:ascii="Arial" w:hAnsi="Arial" w:cs="Arial"/>
        </w:rPr>
        <w:t>Mr</w:t>
      </w:r>
      <w:proofErr w:type="spellEnd"/>
      <w:r w:rsidR="00721EE9">
        <w:rPr>
          <w:rFonts w:ascii="Arial" w:hAnsi="Arial" w:cs="Arial"/>
        </w:rPr>
        <w:t xml:space="preserve"> </w:t>
      </w:r>
      <w:proofErr w:type="spellStart"/>
      <w:r w:rsidR="00721EE9">
        <w:rPr>
          <w:rFonts w:ascii="Arial" w:hAnsi="Arial" w:cs="Arial"/>
        </w:rPr>
        <w:t>Morran</w:t>
      </w:r>
      <w:proofErr w:type="spellEnd"/>
      <w:r w:rsidR="00721EE9">
        <w:rPr>
          <w:rFonts w:ascii="Arial" w:hAnsi="Arial" w:cs="Arial"/>
        </w:rPr>
        <w:t xml:space="preserve"> is consistent with her husband’s version of the arrangement and the PP’s rejection of </w:t>
      </w:r>
      <w:proofErr w:type="spellStart"/>
      <w:r w:rsidR="00721EE9">
        <w:rPr>
          <w:rFonts w:ascii="Arial" w:hAnsi="Arial" w:cs="Arial"/>
        </w:rPr>
        <w:t>Mr</w:t>
      </w:r>
      <w:proofErr w:type="spellEnd"/>
      <w:r w:rsidR="00721EE9">
        <w:rPr>
          <w:rFonts w:ascii="Arial" w:hAnsi="Arial" w:cs="Arial"/>
        </w:rPr>
        <w:t xml:space="preserve"> </w:t>
      </w:r>
      <w:proofErr w:type="spellStart"/>
      <w:r w:rsidR="00721EE9">
        <w:rPr>
          <w:rFonts w:ascii="Arial" w:hAnsi="Arial" w:cs="Arial"/>
        </w:rPr>
        <w:t>Mabuyane’s</w:t>
      </w:r>
      <w:proofErr w:type="spellEnd"/>
      <w:r w:rsidR="00721EE9">
        <w:rPr>
          <w:rFonts w:ascii="Arial" w:hAnsi="Arial" w:cs="Arial"/>
        </w:rPr>
        <w:t xml:space="preserve"> version on the strength hereof is curious.  </w:t>
      </w:r>
      <w:r w:rsidR="00EA1CBE">
        <w:rPr>
          <w:rFonts w:ascii="Arial" w:hAnsi="Arial" w:cs="Arial"/>
        </w:rPr>
        <w:t xml:space="preserve">The instruction by </w:t>
      </w:r>
      <w:proofErr w:type="spellStart"/>
      <w:r w:rsidR="00EA1CBE">
        <w:rPr>
          <w:rFonts w:ascii="Arial" w:hAnsi="Arial" w:cs="Arial"/>
        </w:rPr>
        <w:t>Ms</w:t>
      </w:r>
      <w:proofErr w:type="spellEnd"/>
      <w:r w:rsidR="00EA1CBE">
        <w:rPr>
          <w:rFonts w:ascii="Arial" w:hAnsi="Arial" w:cs="Arial"/>
        </w:rPr>
        <w:t xml:space="preserve"> </w:t>
      </w:r>
      <w:proofErr w:type="spellStart"/>
      <w:r w:rsidR="00EA1CBE">
        <w:rPr>
          <w:rFonts w:ascii="Arial" w:hAnsi="Arial" w:cs="Arial"/>
        </w:rPr>
        <w:t>Mabuyane</w:t>
      </w:r>
      <w:proofErr w:type="spellEnd"/>
      <w:r w:rsidR="00EA1CBE">
        <w:rPr>
          <w:rFonts w:ascii="Arial" w:hAnsi="Arial" w:cs="Arial"/>
        </w:rPr>
        <w:t xml:space="preserve"> to </w:t>
      </w:r>
      <w:proofErr w:type="spellStart"/>
      <w:r w:rsidR="00EA1CBE">
        <w:rPr>
          <w:rFonts w:ascii="Arial" w:hAnsi="Arial" w:cs="Arial"/>
        </w:rPr>
        <w:t>Mr</w:t>
      </w:r>
      <w:proofErr w:type="spellEnd"/>
      <w:r w:rsidR="00EA1CBE">
        <w:rPr>
          <w:rFonts w:ascii="Arial" w:hAnsi="Arial" w:cs="Arial"/>
        </w:rPr>
        <w:t xml:space="preserve"> </w:t>
      </w:r>
      <w:proofErr w:type="spellStart"/>
      <w:r w:rsidR="00EA1CBE">
        <w:rPr>
          <w:rFonts w:ascii="Arial" w:hAnsi="Arial" w:cs="Arial"/>
        </w:rPr>
        <w:t>Morran</w:t>
      </w:r>
      <w:proofErr w:type="spellEnd"/>
      <w:r w:rsidR="00EA1CBE">
        <w:rPr>
          <w:rFonts w:ascii="Arial" w:hAnsi="Arial" w:cs="Arial"/>
        </w:rPr>
        <w:t xml:space="preserve"> does not support the conclusion that she or </w:t>
      </w:r>
      <w:proofErr w:type="spellStart"/>
      <w:r w:rsidR="00EA1CBE">
        <w:rPr>
          <w:rFonts w:ascii="Arial" w:hAnsi="Arial" w:cs="Arial"/>
        </w:rPr>
        <w:t>Mr</w:t>
      </w:r>
      <w:proofErr w:type="spellEnd"/>
      <w:r w:rsidR="00EA1CBE">
        <w:rPr>
          <w:rFonts w:ascii="Arial" w:hAnsi="Arial" w:cs="Arial"/>
        </w:rPr>
        <w:t xml:space="preserve"> </w:t>
      </w:r>
      <w:proofErr w:type="spellStart"/>
      <w:r w:rsidR="00EA1CBE">
        <w:rPr>
          <w:rFonts w:ascii="Arial" w:hAnsi="Arial" w:cs="Arial"/>
        </w:rPr>
        <w:t>Mabuyane</w:t>
      </w:r>
      <w:proofErr w:type="spellEnd"/>
      <w:r w:rsidR="00EA1CBE">
        <w:rPr>
          <w:rFonts w:ascii="Arial" w:hAnsi="Arial" w:cs="Arial"/>
        </w:rPr>
        <w:t xml:space="preserve"> may have known of the origin of the </w:t>
      </w:r>
      <w:r w:rsidR="00EA1CBE">
        <w:rPr>
          <w:rFonts w:ascii="Arial" w:hAnsi="Arial" w:cs="Arial"/>
        </w:rPr>
        <w:lastRenderedPageBreak/>
        <w:t xml:space="preserve">money.  </w:t>
      </w:r>
      <w:r w:rsidR="000C2631">
        <w:rPr>
          <w:rFonts w:ascii="Arial" w:hAnsi="Arial" w:cs="Arial"/>
        </w:rPr>
        <w:t>The PP</w:t>
      </w:r>
      <w:r w:rsidR="00721EE9">
        <w:rPr>
          <w:rFonts w:ascii="Arial" w:hAnsi="Arial" w:cs="Arial"/>
        </w:rPr>
        <w:t xml:space="preserve"> had no evidence before her to suggest any knowledge on the part of either </w:t>
      </w:r>
      <w:proofErr w:type="spellStart"/>
      <w:r w:rsidR="00721EE9">
        <w:rPr>
          <w:rFonts w:ascii="Arial" w:hAnsi="Arial" w:cs="Arial"/>
        </w:rPr>
        <w:t>Ms</w:t>
      </w:r>
      <w:proofErr w:type="spellEnd"/>
      <w:r w:rsidR="00721EE9">
        <w:rPr>
          <w:rFonts w:ascii="Arial" w:hAnsi="Arial" w:cs="Arial"/>
        </w:rPr>
        <w:t xml:space="preserve"> or </w:t>
      </w:r>
      <w:proofErr w:type="spellStart"/>
      <w:r w:rsidR="00721EE9">
        <w:rPr>
          <w:rFonts w:ascii="Arial" w:hAnsi="Arial" w:cs="Arial"/>
        </w:rPr>
        <w:t>Mr</w:t>
      </w:r>
      <w:proofErr w:type="spellEnd"/>
      <w:r w:rsidR="00721EE9">
        <w:rPr>
          <w:rFonts w:ascii="Arial" w:hAnsi="Arial" w:cs="Arial"/>
        </w:rPr>
        <w:t xml:space="preserve"> </w:t>
      </w:r>
      <w:proofErr w:type="spellStart"/>
      <w:r w:rsidR="00721EE9">
        <w:rPr>
          <w:rFonts w:ascii="Arial" w:hAnsi="Arial" w:cs="Arial"/>
        </w:rPr>
        <w:t>Mabuyane</w:t>
      </w:r>
      <w:proofErr w:type="spellEnd"/>
      <w:r w:rsidR="00721EE9">
        <w:rPr>
          <w:rFonts w:ascii="Arial" w:hAnsi="Arial" w:cs="Arial"/>
        </w:rPr>
        <w:t xml:space="preserve"> of the impropriety which </w:t>
      </w:r>
      <w:r w:rsidR="0030252C">
        <w:rPr>
          <w:rFonts w:ascii="Arial" w:hAnsi="Arial" w:cs="Arial"/>
        </w:rPr>
        <w:t xml:space="preserve">had </w:t>
      </w:r>
      <w:r w:rsidR="00721EE9">
        <w:rPr>
          <w:rFonts w:ascii="Arial" w:hAnsi="Arial" w:cs="Arial"/>
        </w:rPr>
        <w:t xml:space="preserve">allegedly occurred between </w:t>
      </w:r>
      <w:proofErr w:type="spellStart"/>
      <w:r w:rsidR="00721EE9">
        <w:rPr>
          <w:rFonts w:ascii="Arial" w:hAnsi="Arial" w:cs="Arial"/>
        </w:rPr>
        <w:t>Mr</w:t>
      </w:r>
      <w:proofErr w:type="spellEnd"/>
      <w:r w:rsidR="00721EE9">
        <w:rPr>
          <w:rFonts w:ascii="Arial" w:hAnsi="Arial" w:cs="Arial"/>
        </w:rPr>
        <w:t xml:space="preserve"> </w:t>
      </w:r>
      <w:proofErr w:type="spellStart"/>
      <w:r w:rsidR="00721EE9">
        <w:rPr>
          <w:rFonts w:ascii="Arial" w:hAnsi="Arial" w:cs="Arial"/>
        </w:rPr>
        <w:t>Madikizela</w:t>
      </w:r>
      <w:proofErr w:type="spellEnd"/>
      <w:r w:rsidR="00721EE9">
        <w:rPr>
          <w:rFonts w:ascii="Arial" w:hAnsi="Arial" w:cs="Arial"/>
        </w:rPr>
        <w:t xml:space="preserve"> and </w:t>
      </w:r>
      <w:proofErr w:type="spellStart"/>
      <w:r w:rsidR="00721EE9">
        <w:rPr>
          <w:rFonts w:ascii="Arial" w:hAnsi="Arial" w:cs="Arial"/>
        </w:rPr>
        <w:t>Mr</w:t>
      </w:r>
      <w:proofErr w:type="spellEnd"/>
      <w:r w:rsidR="00721EE9">
        <w:rPr>
          <w:rFonts w:ascii="Arial" w:hAnsi="Arial" w:cs="Arial"/>
        </w:rPr>
        <w:t xml:space="preserve"> </w:t>
      </w:r>
      <w:proofErr w:type="spellStart"/>
      <w:r w:rsidR="00721EE9">
        <w:rPr>
          <w:rFonts w:ascii="Arial" w:hAnsi="Arial" w:cs="Arial"/>
        </w:rPr>
        <w:t>Mahlaka</w:t>
      </w:r>
      <w:proofErr w:type="spellEnd"/>
      <w:r w:rsidR="00721EE9">
        <w:rPr>
          <w:rFonts w:ascii="Arial" w:hAnsi="Arial" w:cs="Arial"/>
        </w:rPr>
        <w:t xml:space="preserve">.  She had been provided with a perfectly logical explanation, supported by a written agreement of loan concluded </w:t>
      </w:r>
      <w:r w:rsidR="000C2631">
        <w:rPr>
          <w:rFonts w:ascii="Arial" w:hAnsi="Arial" w:cs="Arial"/>
        </w:rPr>
        <w:t>before</w:t>
      </w:r>
      <w:r w:rsidR="00721EE9">
        <w:rPr>
          <w:rFonts w:ascii="Arial" w:hAnsi="Arial" w:cs="Arial"/>
        </w:rPr>
        <w:t xml:space="preserve"> the payment</w:t>
      </w:r>
      <w:r w:rsidR="000C2631">
        <w:rPr>
          <w:rFonts w:ascii="Arial" w:hAnsi="Arial" w:cs="Arial"/>
        </w:rPr>
        <w:t xml:space="preserve"> to </w:t>
      </w:r>
      <w:proofErr w:type="spellStart"/>
      <w:r w:rsidR="000C2631">
        <w:rPr>
          <w:rFonts w:ascii="Arial" w:hAnsi="Arial" w:cs="Arial"/>
        </w:rPr>
        <w:t>Mr</w:t>
      </w:r>
      <w:proofErr w:type="spellEnd"/>
      <w:r w:rsidR="000C2631">
        <w:rPr>
          <w:rFonts w:ascii="Arial" w:hAnsi="Arial" w:cs="Arial"/>
        </w:rPr>
        <w:t xml:space="preserve"> </w:t>
      </w:r>
      <w:proofErr w:type="spellStart"/>
      <w:r w:rsidR="000C2631">
        <w:rPr>
          <w:rFonts w:ascii="Arial" w:hAnsi="Arial" w:cs="Arial"/>
        </w:rPr>
        <w:t>Morran</w:t>
      </w:r>
      <w:proofErr w:type="spellEnd"/>
      <w:r w:rsidR="00721EE9">
        <w:rPr>
          <w:rFonts w:ascii="Arial" w:hAnsi="Arial" w:cs="Arial"/>
        </w:rPr>
        <w:t xml:space="preserve">, </w:t>
      </w:r>
      <w:r w:rsidR="00435BCA">
        <w:rPr>
          <w:rFonts w:ascii="Arial" w:hAnsi="Arial" w:cs="Arial"/>
        </w:rPr>
        <w:t xml:space="preserve">and documentary proof of the complete repayment of the loan </w:t>
      </w:r>
      <w:r w:rsidR="00721EE9">
        <w:rPr>
          <w:rFonts w:ascii="Arial" w:hAnsi="Arial" w:cs="Arial"/>
        </w:rPr>
        <w:t xml:space="preserve">which she ought to have accepted.  Her conclusion in this respect </w:t>
      </w:r>
      <w:r w:rsidR="000C2631">
        <w:rPr>
          <w:rFonts w:ascii="Arial" w:hAnsi="Arial" w:cs="Arial"/>
        </w:rPr>
        <w:t xml:space="preserve">defies logic and </w:t>
      </w:r>
      <w:r w:rsidR="00721EE9">
        <w:rPr>
          <w:rFonts w:ascii="Arial" w:hAnsi="Arial" w:cs="Arial"/>
        </w:rPr>
        <w:t xml:space="preserve">is not rationally connected to the </w:t>
      </w:r>
      <w:r w:rsidR="000C2631">
        <w:rPr>
          <w:rFonts w:ascii="Arial" w:hAnsi="Arial" w:cs="Arial"/>
        </w:rPr>
        <w:t xml:space="preserve">evidence </w:t>
      </w:r>
      <w:r w:rsidR="00721EE9">
        <w:rPr>
          <w:rFonts w:ascii="Arial" w:hAnsi="Arial" w:cs="Arial"/>
        </w:rPr>
        <w:t xml:space="preserve">before her </w:t>
      </w:r>
      <w:r w:rsidR="000C2631">
        <w:rPr>
          <w:rFonts w:ascii="Arial" w:hAnsi="Arial" w:cs="Arial"/>
        </w:rPr>
        <w:t>n</w:t>
      </w:r>
      <w:r w:rsidR="00721EE9">
        <w:rPr>
          <w:rFonts w:ascii="Arial" w:hAnsi="Arial" w:cs="Arial"/>
        </w:rPr>
        <w:t>or the reasons given for it.</w:t>
      </w:r>
      <w:r w:rsidR="00721EE9">
        <w:rPr>
          <w:rStyle w:val="FootnoteReference"/>
          <w:rFonts w:ascii="Arial" w:hAnsi="Arial" w:cs="Arial"/>
        </w:rPr>
        <w:footnoteReference w:id="61"/>
      </w:r>
      <w:r w:rsidR="00721EE9">
        <w:rPr>
          <w:rFonts w:ascii="Arial" w:hAnsi="Arial" w:cs="Arial"/>
        </w:rPr>
        <w:t xml:space="preserve">  No reasonable decision-maker could have come to such a conclusion.  </w:t>
      </w:r>
    </w:p>
    <w:p w14:paraId="58D3A453" w14:textId="77777777" w:rsidR="00EA1CBE" w:rsidRDefault="00EA1CBE" w:rsidP="00EA1CBE">
      <w:pPr>
        <w:pStyle w:val="ListParagraph"/>
        <w:rPr>
          <w:rFonts w:ascii="Arial" w:hAnsi="Arial" w:cs="Arial"/>
        </w:rPr>
      </w:pPr>
    </w:p>
    <w:p w14:paraId="4A53E256" w14:textId="1AC9FDC3" w:rsidR="00EA1CBE"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t>[62]</w:t>
      </w:r>
      <w:r>
        <w:rPr>
          <w:rFonts w:ascii="Arial" w:hAnsi="Arial" w:cs="Arial"/>
          <w:color w:val="000000" w:themeColor="text1"/>
        </w:rPr>
        <w:tab/>
      </w:r>
      <w:r w:rsidR="00074A4A">
        <w:rPr>
          <w:rFonts w:ascii="Arial" w:hAnsi="Arial" w:cs="Arial"/>
        </w:rPr>
        <w:t>Her finding</w:t>
      </w:r>
      <w:r w:rsidR="000C2631">
        <w:rPr>
          <w:rFonts w:ascii="Arial" w:hAnsi="Arial" w:cs="Arial"/>
        </w:rPr>
        <w:t xml:space="preserve"> that a suspicion existed that </w:t>
      </w:r>
      <w:proofErr w:type="spellStart"/>
      <w:r w:rsidR="00EA1CBE">
        <w:rPr>
          <w:rFonts w:ascii="Arial" w:hAnsi="Arial" w:cs="Arial"/>
        </w:rPr>
        <w:t>Mr</w:t>
      </w:r>
      <w:proofErr w:type="spellEnd"/>
      <w:r w:rsidR="00EA1CBE">
        <w:rPr>
          <w:rFonts w:ascii="Arial" w:hAnsi="Arial" w:cs="Arial"/>
        </w:rPr>
        <w:t xml:space="preserve"> </w:t>
      </w:r>
      <w:proofErr w:type="spellStart"/>
      <w:r w:rsidR="00EA1CBE">
        <w:rPr>
          <w:rFonts w:ascii="Arial" w:hAnsi="Arial" w:cs="Arial"/>
        </w:rPr>
        <w:t>Mabuyane</w:t>
      </w:r>
      <w:proofErr w:type="spellEnd"/>
      <w:r w:rsidR="00EA1CBE">
        <w:rPr>
          <w:rFonts w:ascii="Arial" w:hAnsi="Arial" w:cs="Arial"/>
        </w:rPr>
        <w:t xml:space="preserve"> may have been guilty of unidentified offences in terms of P</w:t>
      </w:r>
      <w:r w:rsidR="000C2631">
        <w:rPr>
          <w:rFonts w:ascii="Arial" w:hAnsi="Arial" w:cs="Arial"/>
        </w:rPr>
        <w:t>CCA</w:t>
      </w:r>
      <w:r w:rsidR="00074A4A">
        <w:rPr>
          <w:rFonts w:ascii="Arial" w:hAnsi="Arial" w:cs="Arial"/>
        </w:rPr>
        <w:t xml:space="preserve"> is equally curious</w:t>
      </w:r>
      <w:r w:rsidR="00EA1CBE">
        <w:rPr>
          <w:rFonts w:ascii="Arial" w:hAnsi="Arial" w:cs="Arial"/>
        </w:rPr>
        <w:t xml:space="preserve">.  She found support for the conclusion in the fact that the money had been transferred directly from </w:t>
      </w:r>
      <w:proofErr w:type="spellStart"/>
      <w:r w:rsidR="00EA1CBE">
        <w:rPr>
          <w:rFonts w:ascii="Arial" w:hAnsi="Arial" w:cs="Arial"/>
        </w:rPr>
        <w:t>Mthombeni</w:t>
      </w:r>
      <w:proofErr w:type="spellEnd"/>
      <w:r w:rsidR="00EA1CBE">
        <w:rPr>
          <w:rFonts w:ascii="Arial" w:hAnsi="Arial" w:cs="Arial"/>
        </w:rPr>
        <w:t xml:space="preserve"> to the account of </w:t>
      </w:r>
      <w:proofErr w:type="spellStart"/>
      <w:r w:rsidR="00EA1CBE">
        <w:rPr>
          <w:rFonts w:ascii="Arial" w:hAnsi="Arial" w:cs="Arial"/>
        </w:rPr>
        <w:t>Mr</w:t>
      </w:r>
      <w:proofErr w:type="spellEnd"/>
      <w:r w:rsidR="00EA1CBE">
        <w:rPr>
          <w:rFonts w:ascii="Arial" w:hAnsi="Arial" w:cs="Arial"/>
        </w:rPr>
        <w:t xml:space="preserve"> </w:t>
      </w:r>
      <w:proofErr w:type="spellStart"/>
      <w:r w:rsidR="00EA1CBE">
        <w:rPr>
          <w:rFonts w:ascii="Arial" w:hAnsi="Arial" w:cs="Arial"/>
        </w:rPr>
        <w:t>Morran</w:t>
      </w:r>
      <w:proofErr w:type="spellEnd"/>
      <w:r w:rsidR="008938FB">
        <w:rPr>
          <w:rFonts w:ascii="Arial" w:hAnsi="Arial" w:cs="Arial"/>
        </w:rPr>
        <w:t>.  She did not explain how this fact gave rise to her suspicion in the fac</w:t>
      </w:r>
      <w:r w:rsidR="0030252C">
        <w:rPr>
          <w:rFonts w:ascii="Arial" w:hAnsi="Arial" w:cs="Arial"/>
        </w:rPr>
        <w:t>e</w:t>
      </w:r>
      <w:r w:rsidR="008938FB">
        <w:rPr>
          <w:rFonts w:ascii="Arial" w:hAnsi="Arial" w:cs="Arial"/>
        </w:rPr>
        <w:t xml:space="preserve"> of the explanation and evidence before her.  </w:t>
      </w:r>
      <w:r w:rsidR="007C5741">
        <w:rPr>
          <w:rFonts w:ascii="Arial" w:hAnsi="Arial" w:cs="Arial"/>
        </w:rPr>
        <w:t>S</w:t>
      </w:r>
      <w:r w:rsidR="00EA1CBE">
        <w:rPr>
          <w:rFonts w:ascii="Arial" w:hAnsi="Arial" w:cs="Arial"/>
        </w:rPr>
        <w:t>he explained that a “gratification”</w:t>
      </w:r>
      <w:r w:rsidR="007C5741">
        <w:rPr>
          <w:rFonts w:ascii="Arial" w:hAnsi="Arial" w:cs="Arial"/>
        </w:rPr>
        <w:t>,</w:t>
      </w:r>
      <w:r w:rsidR="00EA1CBE">
        <w:rPr>
          <w:rFonts w:ascii="Arial" w:hAnsi="Arial" w:cs="Arial"/>
        </w:rPr>
        <w:t xml:space="preserve"> as defined in </w:t>
      </w:r>
      <w:r w:rsidR="000C2631">
        <w:rPr>
          <w:rFonts w:ascii="Arial" w:hAnsi="Arial" w:cs="Arial"/>
        </w:rPr>
        <w:t>the PCCA</w:t>
      </w:r>
      <w:r w:rsidR="007C5741">
        <w:rPr>
          <w:rFonts w:ascii="Arial" w:hAnsi="Arial" w:cs="Arial"/>
        </w:rPr>
        <w:t>,</w:t>
      </w:r>
      <w:r w:rsidR="00EA1CBE">
        <w:rPr>
          <w:rFonts w:ascii="Arial" w:hAnsi="Arial" w:cs="Arial"/>
        </w:rPr>
        <w:t xml:space="preserve"> includes a loan.  However, the thrust of the potential offences under</w:t>
      </w:r>
      <w:r w:rsidR="000C2631">
        <w:rPr>
          <w:rFonts w:ascii="Arial" w:hAnsi="Arial" w:cs="Arial"/>
        </w:rPr>
        <w:t xml:space="preserve"> the PCCA</w:t>
      </w:r>
      <w:r w:rsidR="00EA1CBE">
        <w:rPr>
          <w:rFonts w:ascii="Arial" w:hAnsi="Arial" w:cs="Arial"/>
        </w:rPr>
        <w:t xml:space="preserve"> lies in the </w:t>
      </w:r>
      <w:r w:rsidR="00074A4A">
        <w:rPr>
          <w:rFonts w:ascii="Arial" w:hAnsi="Arial" w:cs="Arial"/>
        </w:rPr>
        <w:t>acceptance or agreement to accept</w:t>
      </w:r>
      <w:r w:rsidR="00EA1CBE">
        <w:rPr>
          <w:rFonts w:ascii="Arial" w:hAnsi="Arial" w:cs="Arial"/>
        </w:rPr>
        <w:t xml:space="preserve"> gratification </w:t>
      </w:r>
      <w:proofErr w:type="gramStart"/>
      <w:r w:rsidR="00EA1CBE">
        <w:rPr>
          <w:rFonts w:ascii="Arial" w:hAnsi="Arial" w:cs="Arial"/>
        </w:rPr>
        <w:t>in order to</w:t>
      </w:r>
      <w:proofErr w:type="gramEnd"/>
      <w:r w:rsidR="00EA1CBE">
        <w:rPr>
          <w:rFonts w:ascii="Arial" w:hAnsi="Arial" w:cs="Arial"/>
        </w:rPr>
        <w:t xml:space="preserve"> act in a dishonest or improper manner.  In this case</w:t>
      </w:r>
      <w:r w:rsidR="008802F2">
        <w:rPr>
          <w:rFonts w:ascii="Arial" w:hAnsi="Arial" w:cs="Arial"/>
        </w:rPr>
        <w:t>,</w:t>
      </w:r>
      <w:r w:rsidR="00EA1CBE">
        <w:rPr>
          <w:rFonts w:ascii="Arial" w:hAnsi="Arial" w:cs="Arial"/>
        </w:rPr>
        <w:t xml:space="preserve"> the conclusion of the </w:t>
      </w:r>
      <w:r w:rsidR="00074A4A">
        <w:rPr>
          <w:rFonts w:ascii="Arial" w:hAnsi="Arial" w:cs="Arial"/>
        </w:rPr>
        <w:t xml:space="preserve">written </w:t>
      </w:r>
      <w:r w:rsidR="00EA1CBE">
        <w:rPr>
          <w:rFonts w:ascii="Arial" w:hAnsi="Arial" w:cs="Arial"/>
        </w:rPr>
        <w:t xml:space="preserve">loan agreement before the extension of the loan and </w:t>
      </w:r>
      <w:r w:rsidR="00230D65">
        <w:rPr>
          <w:rFonts w:ascii="Arial" w:hAnsi="Arial" w:cs="Arial"/>
        </w:rPr>
        <w:t>the subsequent</w:t>
      </w:r>
      <w:r w:rsidR="0082519C">
        <w:rPr>
          <w:rFonts w:ascii="Arial" w:hAnsi="Arial" w:cs="Arial"/>
        </w:rPr>
        <w:t xml:space="preserve"> </w:t>
      </w:r>
      <w:r w:rsidR="00EA1CBE">
        <w:rPr>
          <w:rFonts w:ascii="Arial" w:hAnsi="Arial" w:cs="Arial"/>
        </w:rPr>
        <w:t xml:space="preserve">repayment thereof do not support the </w:t>
      </w:r>
      <w:r w:rsidR="000C2631">
        <w:rPr>
          <w:rFonts w:ascii="Arial" w:hAnsi="Arial" w:cs="Arial"/>
        </w:rPr>
        <w:t>suspicion of t</w:t>
      </w:r>
      <w:r w:rsidR="00074A4A">
        <w:rPr>
          <w:rFonts w:ascii="Arial" w:hAnsi="Arial" w:cs="Arial"/>
        </w:rPr>
        <w:t xml:space="preserve">he PP in respect of </w:t>
      </w:r>
      <w:proofErr w:type="spellStart"/>
      <w:r w:rsidR="00074A4A">
        <w:rPr>
          <w:rFonts w:ascii="Arial" w:hAnsi="Arial" w:cs="Arial"/>
        </w:rPr>
        <w:t>Mr</w:t>
      </w:r>
      <w:proofErr w:type="spellEnd"/>
      <w:r w:rsidR="00074A4A">
        <w:rPr>
          <w:rFonts w:ascii="Arial" w:hAnsi="Arial" w:cs="Arial"/>
        </w:rPr>
        <w:t xml:space="preserve"> </w:t>
      </w:r>
      <w:proofErr w:type="spellStart"/>
      <w:r w:rsidR="00074A4A">
        <w:rPr>
          <w:rFonts w:ascii="Arial" w:hAnsi="Arial" w:cs="Arial"/>
        </w:rPr>
        <w:t>Mabuyane</w:t>
      </w:r>
      <w:proofErr w:type="spellEnd"/>
      <w:r w:rsidR="00074A4A">
        <w:rPr>
          <w:rFonts w:ascii="Arial" w:hAnsi="Arial" w:cs="Arial"/>
        </w:rPr>
        <w:t xml:space="preserve"> nor was there any evidence to suggest that he had accepted the loan in exchange for an </w:t>
      </w:r>
      <w:r w:rsidR="00074A4A" w:rsidRPr="007C5741">
        <w:rPr>
          <w:rFonts w:ascii="Arial" w:hAnsi="Arial" w:cs="Arial"/>
          <w:color w:val="000000" w:themeColor="text1"/>
        </w:rPr>
        <w:t>undertaking t</w:t>
      </w:r>
      <w:r w:rsidR="00074A4A">
        <w:rPr>
          <w:rFonts w:ascii="Arial" w:hAnsi="Arial" w:cs="Arial"/>
        </w:rPr>
        <w:t>o act in a manner set out in the PCCA.</w:t>
      </w:r>
      <w:r w:rsidR="00074A4A">
        <w:rPr>
          <w:rStyle w:val="FootnoteReference"/>
          <w:rFonts w:ascii="Arial" w:hAnsi="Arial" w:cs="Arial"/>
        </w:rPr>
        <w:footnoteReference w:id="62"/>
      </w:r>
    </w:p>
    <w:p w14:paraId="0F1EE373" w14:textId="77777777" w:rsidR="00621023" w:rsidRDefault="00621023" w:rsidP="00621023">
      <w:pPr>
        <w:pStyle w:val="ListParagraph"/>
        <w:rPr>
          <w:rFonts w:ascii="Arial" w:hAnsi="Arial" w:cs="Arial"/>
        </w:rPr>
      </w:pPr>
    </w:p>
    <w:p w14:paraId="2F085CF7" w14:textId="7A333D77" w:rsidR="00621023" w:rsidRDefault="00C47012" w:rsidP="00C47012">
      <w:pPr>
        <w:pStyle w:val="NormalWeb"/>
        <w:shd w:val="clear" w:color="auto" w:fill="FFFFFF"/>
        <w:spacing w:before="0" w:beforeAutospacing="0" w:after="0" w:afterAutospacing="0" w:line="480" w:lineRule="auto"/>
        <w:contextualSpacing/>
        <w:jc w:val="both"/>
        <w:rPr>
          <w:rFonts w:ascii="Arial" w:hAnsi="Arial" w:cs="Arial"/>
        </w:rPr>
      </w:pPr>
      <w:r>
        <w:rPr>
          <w:rFonts w:ascii="Arial" w:hAnsi="Arial" w:cs="Arial"/>
          <w:color w:val="000000" w:themeColor="text1"/>
        </w:rPr>
        <w:lastRenderedPageBreak/>
        <w:t>[63]</w:t>
      </w:r>
      <w:r>
        <w:rPr>
          <w:rFonts w:ascii="Arial" w:hAnsi="Arial" w:cs="Arial"/>
          <w:color w:val="000000" w:themeColor="text1"/>
        </w:rPr>
        <w:tab/>
      </w:r>
      <w:r w:rsidR="00621023">
        <w:rPr>
          <w:rFonts w:ascii="Arial" w:hAnsi="Arial" w:cs="Arial"/>
        </w:rPr>
        <w:t xml:space="preserve">Nowhere in either of her reports did the PP </w:t>
      </w:r>
      <w:r w:rsidR="00C147DA">
        <w:rPr>
          <w:rFonts w:ascii="Arial" w:hAnsi="Arial" w:cs="Arial"/>
        </w:rPr>
        <w:t xml:space="preserve">identify the provisions of the PCCA that may have been contravened by any of the applicants.  While she discussed the provisions of the PCCA in general terms she did not attempt to consider how the conduct of </w:t>
      </w:r>
      <w:r w:rsidR="0082519C">
        <w:rPr>
          <w:rFonts w:ascii="Arial" w:hAnsi="Arial" w:cs="Arial"/>
        </w:rPr>
        <w:t>any</w:t>
      </w:r>
      <w:r w:rsidR="00C147DA">
        <w:rPr>
          <w:rFonts w:ascii="Arial" w:hAnsi="Arial" w:cs="Arial"/>
        </w:rPr>
        <w:t xml:space="preserve"> of the applicants finds application to the provisions of the PCCA.</w:t>
      </w:r>
      <w:r w:rsidR="00074A4A">
        <w:rPr>
          <w:rFonts w:ascii="Arial" w:hAnsi="Arial" w:cs="Arial"/>
        </w:rPr>
        <w:t xml:space="preserve">  </w:t>
      </w:r>
      <w:r w:rsidR="00EE7E0B">
        <w:rPr>
          <w:rFonts w:ascii="Arial" w:hAnsi="Arial" w:cs="Arial"/>
        </w:rPr>
        <w:t xml:space="preserve">Her findings </w:t>
      </w:r>
      <w:r w:rsidR="0030252C">
        <w:rPr>
          <w:rFonts w:ascii="Arial" w:hAnsi="Arial" w:cs="Arial"/>
        </w:rPr>
        <w:t>of</w:t>
      </w:r>
      <w:r w:rsidR="00EE7E0B">
        <w:rPr>
          <w:rFonts w:ascii="Arial" w:hAnsi="Arial" w:cs="Arial"/>
        </w:rPr>
        <w:t xml:space="preserve"> suspicions have very serious implications for the applicants, </w:t>
      </w:r>
      <w:proofErr w:type="gramStart"/>
      <w:r w:rsidR="00EE7E0B">
        <w:rPr>
          <w:rFonts w:ascii="Arial" w:hAnsi="Arial" w:cs="Arial"/>
        </w:rPr>
        <w:t xml:space="preserve">in particular </w:t>
      </w:r>
      <w:proofErr w:type="spellStart"/>
      <w:r w:rsidR="00EE7E0B">
        <w:rPr>
          <w:rFonts w:ascii="Arial" w:hAnsi="Arial" w:cs="Arial"/>
        </w:rPr>
        <w:t>Mr</w:t>
      </w:r>
      <w:proofErr w:type="spellEnd"/>
      <w:r w:rsidR="00EE7E0B">
        <w:rPr>
          <w:rFonts w:ascii="Arial" w:hAnsi="Arial" w:cs="Arial"/>
        </w:rPr>
        <w:t xml:space="preserve"> </w:t>
      </w:r>
      <w:proofErr w:type="spellStart"/>
      <w:r w:rsidR="00EE7E0B">
        <w:rPr>
          <w:rFonts w:ascii="Arial" w:hAnsi="Arial" w:cs="Arial"/>
        </w:rPr>
        <w:t>Madikizela</w:t>
      </w:r>
      <w:proofErr w:type="spellEnd"/>
      <w:proofErr w:type="gramEnd"/>
      <w:r w:rsidR="00EE7E0B">
        <w:rPr>
          <w:rFonts w:ascii="Arial" w:hAnsi="Arial" w:cs="Arial"/>
        </w:rPr>
        <w:t xml:space="preserve"> and </w:t>
      </w:r>
      <w:proofErr w:type="spellStart"/>
      <w:r w:rsidR="00EE7E0B">
        <w:rPr>
          <w:rFonts w:ascii="Arial" w:hAnsi="Arial" w:cs="Arial"/>
        </w:rPr>
        <w:t>Mr</w:t>
      </w:r>
      <w:proofErr w:type="spellEnd"/>
      <w:r w:rsidR="00EE7E0B">
        <w:rPr>
          <w:rFonts w:ascii="Arial" w:hAnsi="Arial" w:cs="Arial"/>
        </w:rPr>
        <w:t xml:space="preserve"> </w:t>
      </w:r>
      <w:proofErr w:type="spellStart"/>
      <w:r w:rsidR="00EE7E0B">
        <w:rPr>
          <w:rFonts w:ascii="Arial" w:hAnsi="Arial" w:cs="Arial"/>
        </w:rPr>
        <w:t>Mabuyane</w:t>
      </w:r>
      <w:proofErr w:type="spellEnd"/>
      <w:r w:rsidR="00EE7E0B">
        <w:rPr>
          <w:rFonts w:ascii="Arial" w:hAnsi="Arial" w:cs="Arial"/>
        </w:rPr>
        <w:t>,</w:t>
      </w:r>
      <w:r w:rsidR="00EE7E0B">
        <w:rPr>
          <w:rStyle w:val="FootnoteReference"/>
          <w:rFonts w:ascii="Arial" w:hAnsi="Arial" w:cs="Arial"/>
        </w:rPr>
        <w:footnoteReference w:id="63"/>
      </w:r>
      <w:r w:rsidR="00EE7E0B">
        <w:rPr>
          <w:rFonts w:ascii="Arial" w:hAnsi="Arial" w:cs="Arial"/>
        </w:rPr>
        <w:t xml:space="preserve"> and her nebulous references to unidentified offences</w:t>
      </w:r>
      <w:r w:rsidR="0030252C">
        <w:rPr>
          <w:rFonts w:ascii="Arial" w:hAnsi="Arial" w:cs="Arial"/>
        </w:rPr>
        <w:t xml:space="preserve"> </w:t>
      </w:r>
      <w:r w:rsidR="008802F2">
        <w:rPr>
          <w:rFonts w:ascii="Arial" w:hAnsi="Arial" w:cs="Arial"/>
        </w:rPr>
        <w:t>make</w:t>
      </w:r>
      <w:r w:rsidR="00EE7E0B">
        <w:rPr>
          <w:rFonts w:ascii="Arial" w:hAnsi="Arial" w:cs="Arial"/>
        </w:rPr>
        <w:t xml:space="preserve">s it virtually impossible for them to defend themselves against this.  </w:t>
      </w:r>
      <w:r w:rsidR="00074A4A">
        <w:rPr>
          <w:rFonts w:ascii="Arial" w:hAnsi="Arial" w:cs="Arial"/>
        </w:rPr>
        <w:t>On this basis alone her administrative action m</w:t>
      </w:r>
      <w:r w:rsidR="002C72E4">
        <w:rPr>
          <w:rFonts w:ascii="Arial" w:hAnsi="Arial" w:cs="Arial"/>
        </w:rPr>
        <w:t>ust</w:t>
      </w:r>
      <w:r w:rsidR="00074A4A">
        <w:rPr>
          <w:rFonts w:ascii="Arial" w:hAnsi="Arial" w:cs="Arial"/>
        </w:rPr>
        <w:t xml:space="preserve"> be set aside.</w:t>
      </w:r>
      <w:r w:rsidR="00074A4A">
        <w:rPr>
          <w:rStyle w:val="FootnoteReference"/>
          <w:rFonts w:ascii="Arial" w:hAnsi="Arial" w:cs="Arial"/>
        </w:rPr>
        <w:footnoteReference w:id="64"/>
      </w:r>
    </w:p>
    <w:p w14:paraId="6EE32D52" w14:textId="77777777" w:rsidR="00721EE9" w:rsidRDefault="00721EE9" w:rsidP="001D370D">
      <w:pPr>
        <w:pStyle w:val="NormalWeb"/>
        <w:shd w:val="clear" w:color="auto" w:fill="FFFFFF"/>
        <w:spacing w:before="0" w:beforeAutospacing="0" w:after="0" w:afterAutospacing="0" w:line="480" w:lineRule="auto"/>
        <w:contextualSpacing/>
        <w:jc w:val="both"/>
        <w:rPr>
          <w:rFonts w:ascii="Arial" w:hAnsi="Arial" w:cs="Arial"/>
        </w:rPr>
      </w:pPr>
    </w:p>
    <w:p w14:paraId="1C4E8878" w14:textId="33A2736F" w:rsidR="00A11DA5" w:rsidRDefault="00C47012" w:rsidP="00C47012">
      <w:pPr>
        <w:pStyle w:val="NormalWeb"/>
        <w:shd w:val="clear" w:color="auto" w:fill="FFFFFF"/>
        <w:tabs>
          <w:tab w:val="left" w:pos="900"/>
        </w:tabs>
        <w:spacing w:before="0" w:beforeAutospacing="0" w:after="0" w:afterAutospacing="0" w:line="480" w:lineRule="auto"/>
        <w:ind w:left="720" w:hanging="720"/>
        <w:contextualSpacing/>
        <w:jc w:val="both"/>
        <w:rPr>
          <w:rFonts w:ascii="Arial" w:hAnsi="Arial" w:cs="Arial"/>
        </w:rPr>
      </w:pPr>
      <w:r>
        <w:rPr>
          <w:rFonts w:ascii="Arial" w:hAnsi="Arial" w:cs="Arial"/>
        </w:rPr>
        <w:t>(c)</w:t>
      </w:r>
      <w:r>
        <w:rPr>
          <w:rFonts w:ascii="Arial" w:hAnsi="Arial" w:cs="Arial"/>
        </w:rPr>
        <w:tab/>
      </w:r>
      <w:r w:rsidR="00A11DA5" w:rsidRPr="00A11DA5">
        <w:rPr>
          <w:rFonts w:ascii="Arial" w:hAnsi="Arial" w:cs="Arial"/>
          <w:u w:val="single"/>
        </w:rPr>
        <w:t xml:space="preserve">The two reports </w:t>
      </w:r>
    </w:p>
    <w:p w14:paraId="0BD629CE" w14:textId="7BC44545" w:rsidR="00721EE9" w:rsidRDefault="00C47012" w:rsidP="00C47012">
      <w:pPr>
        <w:pStyle w:val="NormalWeb"/>
        <w:shd w:val="clear" w:color="auto" w:fill="FFFFFF"/>
        <w:tabs>
          <w:tab w:val="left" w:pos="900"/>
        </w:tabs>
        <w:spacing w:before="0" w:beforeAutospacing="0" w:after="0" w:afterAutospacing="0" w:line="480" w:lineRule="auto"/>
        <w:contextualSpacing/>
        <w:jc w:val="both"/>
        <w:rPr>
          <w:rFonts w:ascii="Arial" w:hAnsi="Arial" w:cs="Arial"/>
        </w:rPr>
      </w:pPr>
      <w:r>
        <w:rPr>
          <w:rFonts w:ascii="Arial" w:hAnsi="Arial" w:cs="Arial"/>
          <w:color w:val="000000" w:themeColor="text1"/>
        </w:rPr>
        <w:t>[64]</w:t>
      </w:r>
      <w:r>
        <w:rPr>
          <w:rFonts w:ascii="Arial" w:hAnsi="Arial" w:cs="Arial"/>
          <w:color w:val="000000" w:themeColor="text1"/>
        </w:rPr>
        <w:tab/>
      </w:r>
      <w:r w:rsidR="00721EE9">
        <w:rPr>
          <w:rFonts w:ascii="Arial" w:hAnsi="Arial" w:cs="Arial"/>
        </w:rPr>
        <w:t xml:space="preserve">I have alluded </w:t>
      </w:r>
      <w:r w:rsidR="00F65FDC">
        <w:rPr>
          <w:rFonts w:ascii="Arial" w:hAnsi="Arial" w:cs="Arial"/>
        </w:rPr>
        <w:t>before</w:t>
      </w:r>
      <w:r w:rsidR="00721EE9">
        <w:rPr>
          <w:rFonts w:ascii="Arial" w:hAnsi="Arial" w:cs="Arial"/>
        </w:rPr>
        <w:t xml:space="preserve"> to the two reports signed by the PP on 2</w:t>
      </w:r>
      <w:r w:rsidR="00AB7711">
        <w:rPr>
          <w:rFonts w:ascii="Arial" w:hAnsi="Arial" w:cs="Arial"/>
        </w:rPr>
        <w:t>8</w:t>
      </w:r>
      <w:r w:rsidR="00721EE9">
        <w:rPr>
          <w:rFonts w:ascii="Arial" w:hAnsi="Arial" w:cs="Arial"/>
        </w:rPr>
        <w:t xml:space="preserve"> September 202</w:t>
      </w:r>
      <w:r w:rsidR="00F65FDC">
        <w:rPr>
          <w:rFonts w:ascii="Arial" w:hAnsi="Arial" w:cs="Arial"/>
        </w:rPr>
        <w:t>1</w:t>
      </w:r>
      <w:r w:rsidR="00721EE9">
        <w:rPr>
          <w:rFonts w:ascii="Arial" w:hAnsi="Arial" w:cs="Arial"/>
        </w:rPr>
        <w:t xml:space="preserve"> and 10 October 202</w:t>
      </w:r>
      <w:r w:rsidR="00F65FDC">
        <w:rPr>
          <w:rFonts w:ascii="Arial" w:hAnsi="Arial" w:cs="Arial"/>
        </w:rPr>
        <w:t>1</w:t>
      </w:r>
      <w:r w:rsidR="00AB7711">
        <w:rPr>
          <w:rFonts w:ascii="Arial" w:hAnsi="Arial" w:cs="Arial"/>
        </w:rPr>
        <w:t>,</w:t>
      </w:r>
      <w:r w:rsidR="00721EE9">
        <w:rPr>
          <w:rFonts w:ascii="Arial" w:hAnsi="Arial" w:cs="Arial"/>
        </w:rPr>
        <w:t xml:space="preserve"> respectively</w:t>
      </w:r>
      <w:r w:rsidR="008802F2">
        <w:rPr>
          <w:rFonts w:ascii="Arial" w:hAnsi="Arial" w:cs="Arial"/>
        </w:rPr>
        <w:t>,</w:t>
      </w:r>
      <w:r w:rsidR="00721EE9">
        <w:rPr>
          <w:rFonts w:ascii="Arial" w:hAnsi="Arial" w:cs="Arial"/>
        </w:rPr>
        <w:t xml:space="preserve"> and the </w:t>
      </w:r>
      <w:r w:rsidR="00F65FDC">
        <w:rPr>
          <w:rFonts w:ascii="Arial" w:hAnsi="Arial" w:cs="Arial"/>
        </w:rPr>
        <w:t>attempts</w:t>
      </w:r>
      <w:r w:rsidR="00721EE9">
        <w:rPr>
          <w:rFonts w:ascii="Arial" w:hAnsi="Arial" w:cs="Arial"/>
        </w:rPr>
        <w:t xml:space="preserve"> by </w:t>
      </w:r>
      <w:proofErr w:type="spellStart"/>
      <w:r w:rsidR="007328F8">
        <w:rPr>
          <w:rFonts w:ascii="Arial" w:hAnsi="Arial" w:cs="Arial"/>
        </w:rPr>
        <w:t>Ms</w:t>
      </w:r>
      <w:proofErr w:type="spellEnd"/>
      <w:r w:rsidR="00721EE9">
        <w:rPr>
          <w:rFonts w:ascii="Arial" w:hAnsi="Arial" w:cs="Arial"/>
        </w:rPr>
        <w:t xml:space="preserve"> Roberts in the rule 30A application </w:t>
      </w:r>
      <w:r w:rsidR="00F65FDC">
        <w:rPr>
          <w:rFonts w:ascii="Arial" w:hAnsi="Arial" w:cs="Arial"/>
        </w:rPr>
        <w:t xml:space="preserve">to explain their </w:t>
      </w:r>
      <w:r w:rsidR="00721EE9">
        <w:rPr>
          <w:rFonts w:ascii="Arial" w:hAnsi="Arial" w:cs="Arial"/>
        </w:rPr>
        <w:t>existence</w:t>
      </w:r>
      <w:r w:rsidR="00F65FDC">
        <w:rPr>
          <w:rFonts w:ascii="Arial" w:hAnsi="Arial" w:cs="Arial"/>
        </w:rPr>
        <w:t>.</w:t>
      </w:r>
      <w:r w:rsidR="00721EE9">
        <w:rPr>
          <w:rFonts w:ascii="Arial" w:hAnsi="Arial" w:cs="Arial"/>
        </w:rPr>
        <w:t xml:space="preserve">  </w:t>
      </w:r>
      <w:proofErr w:type="spellStart"/>
      <w:r w:rsidR="00721EE9">
        <w:rPr>
          <w:rFonts w:ascii="Arial" w:hAnsi="Arial" w:cs="Arial"/>
        </w:rPr>
        <w:t>Ms</w:t>
      </w:r>
      <w:proofErr w:type="spellEnd"/>
      <w:r w:rsidR="00721EE9">
        <w:rPr>
          <w:rFonts w:ascii="Arial" w:hAnsi="Arial" w:cs="Arial"/>
        </w:rPr>
        <w:t xml:space="preserve"> Roberts </w:t>
      </w:r>
      <w:r w:rsidR="009B7002">
        <w:rPr>
          <w:rFonts w:ascii="Arial" w:hAnsi="Arial" w:cs="Arial"/>
        </w:rPr>
        <w:t xml:space="preserve">sought to explain that </w:t>
      </w:r>
      <w:r w:rsidR="00721EE9">
        <w:rPr>
          <w:rFonts w:ascii="Arial" w:hAnsi="Arial" w:cs="Arial"/>
        </w:rPr>
        <w:t>the additional remedial action con</w:t>
      </w:r>
      <w:r w:rsidR="009B7002">
        <w:rPr>
          <w:rFonts w:ascii="Arial" w:hAnsi="Arial" w:cs="Arial"/>
        </w:rPr>
        <w:t>tained</w:t>
      </w:r>
      <w:r w:rsidR="00721EE9">
        <w:rPr>
          <w:rFonts w:ascii="Arial" w:hAnsi="Arial" w:cs="Arial"/>
        </w:rPr>
        <w:t xml:space="preserve"> in the second report </w:t>
      </w:r>
      <w:r w:rsidR="009B7002">
        <w:rPr>
          <w:rFonts w:ascii="Arial" w:hAnsi="Arial" w:cs="Arial"/>
        </w:rPr>
        <w:t xml:space="preserve">was the only material difference between the reports </w:t>
      </w:r>
      <w:r w:rsidR="00721EE9">
        <w:rPr>
          <w:rFonts w:ascii="Arial" w:hAnsi="Arial" w:cs="Arial"/>
        </w:rPr>
        <w:t xml:space="preserve">and contended that the remaining changes were inconsequential.  Both </w:t>
      </w:r>
      <w:proofErr w:type="spellStart"/>
      <w:r w:rsidR="00721EE9">
        <w:rPr>
          <w:rFonts w:ascii="Arial" w:hAnsi="Arial" w:cs="Arial"/>
        </w:rPr>
        <w:t>Ms</w:t>
      </w:r>
      <w:proofErr w:type="spellEnd"/>
      <w:r w:rsidR="00721EE9">
        <w:rPr>
          <w:rFonts w:ascii="Arial" w:hAnsi="Arial" w:cs="Arial"/>
        </w:rPr>
        <w:t xml:space="preserve"> Roberts and </w:t>
      </w:r>
      <w:proofErr w:type="spellStart"/>
      <w:r w:rsidR="00721EE9">
        <w:rPr>
          <w:rFonts w:ascii="Arial" w:hAnsi="Arial" w:cs="Arial"/>
        </w:rPr>
        <w:t>Mr</w:t>
      </w:r>
      <w:proofErr w:type="spellEnd"/>
      <w:r w:rsidR="00721EE9">
        <w:rPr>
          <w:rFonts w:ascii="Arial" w:hAnsi="Arial" w:cs="Arial"/>
        </w:rPr>
        <w:t xml:space="preserve"> Dlamini suggested that the first report was merely a draft and that the report dated 10 October is the only official report.  </w:t>
      </w:r>
    </w:p>
    <w:p w14:paraId="320E7EE1" w14:textId="77777777" w:rsidR="00721EE9" w:rsidRDefault="00721EE9" w:rsidP="001D370D">
      <w:pPr>
        <w:pStyle w:val="NormalWeb"/>
        <w:shd w:val="clear" w:color="auto" w:fill="FFFFFF"/>
        <w:spacing w:before="0" w:beforeAutospacing="0" w:after="0" w:afterAutospacing="0" w:line="480" w:lineRule="auto"/>
        <w:contextualSpacing/>
        <w:jc w:val="both"/>
        <w:rPr>
          <w:rFonts w:ascii="Arial" w:hAnsi="Arial" w:cs="Arial"/>
        </w:rPr>
      </w:pPr>
    </w:p>
    <w:p w14:paraId="71265CAB" w14:textId="411C7514" w:rsidR="00721EE9"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Pr>
          <w:rFonts w:ascii="Arial" w:hAnsi="Arial" w:cs="Arial"/>
          <w:color w:val="000000" w:themeColor="text1"/>
        </w:rPr>
        <w:t>[65]</w:t>
      </w:r>
      <w:r>
        <w:rPr>
          <w:rFonts w:ascii="Arial" w:hAnsi="Arial" w:cs="Arial"/>
          <w:color w:val="000000" w:themeColor="text1"/>
        </w:rPr>
        <w:tab/>
      </w:r>
      <w:r w:rsidR="00721EE9">
        <w:rPr>
          <w:rFonts w:ascii="Arial" w:hAnsi="Arial" w:cs="Arial"/>
        </w:rPr>
        <w:t xml:space="preserve">There are </w:t>
      </w:r>
      <w:proofErr w:type="gramStart"/>
      <w:r w:rsidR="00721EE9">
        <w:rPr>
          <w:rFonts w:ascii="Arial" w:hAnsi="Arial" w:cs="Arial"/>
        </w:rPr>
        <w:t>a number of</w:t>
      </w:r>
      <w:proofErr w:type="gramEnd"/>
      <w:r w:rsidR="00721EE9">
        <w:rPr>
          <w:rFonts w:ascii="Arial" w:hAnsi="Arial" w:cs="Arial"/>
        </w:rPr>
        <w:t xml:space="preserve"> difficulties</w:t>
      </w:r>
      <w:r w:rsidR="00AB7711">
        <w:rPr>
          <w:rFonts w:ascii="Arial" w:hAnsi="Arial" w:cs="Arial"/>
        </w:rPr>
        <w:t>, apart from its hearsay nature,</w:t>
      </w:r>
      <w:r w:rsidR="00721EE9">
        <w:rPr>
          <w:rFonts w:ascii="Arial" w:hAnsi="Arial" w:cs="Arial"/>
        </w:rPr>
        <w:t xml:space="preserve"> with the explanation.  First</w:t>
      </w:r>
      <w:r w:rsidR="002C72E4">
        <w:rPr>
          <w:rFonts w:ascii="Arial" w:hAnsi="Arial" w:cs="Arial"/>
        </w:rPr>
        <w:t>ly</w:t>
      </w:r>
      <w:r w:rsidR="00721EE9">
        <w:rPr>
          <w:rFonts w:ascii="Arial" w:hAnsi="Arial" w:cs="Arial"/>
        </w:rPr>
        <w:t>, the first report does not contain any suggestion that it was intended to be a draft.  Second</w:t>
      </w:r>
      <w:r w:rsidR="002C72E4">
        <w:rPr>
          <w:rFonts w:ascii="Arial" w:hAnsi="Arial" w:cs="Arial"/>
        </w:rPr>
        <w:t>ly</w:t>
      </w:r>
      <w:r w:rsidR="00721EE9">
        <w:rPr>
          <w:rFonts w:ascii="Arial" w:hAnsi="Arial" w:cs="Arial"/>
        </w:rPr>
        <w:t xml:space="preserve">, </w:t>
      </w:r>
      <w:proofErr w:type="spellStart"/>
      <w:r w:rsidR="00721EE9">
        <w:rPr>
          <w:rFonts w:ascii="Arial" w:hAnsi="Arial" w:cs="Arial"/>
        </w:rPr>
        <w:t>Ms</w:t>
      </w:r>
      <w:proofErr w:type="spellEnd"/>
      <w:r w:rsidR="00721EE9">
        <w:rPr>
          <w:rFonts w:ascii="Arial" w:hAnsi="Arial" w:cs="Arial"/>
        </w:rPr>
        <w:t xml:space="preserve"> </w:t>
      </w:r>
      <w:proofErr w:type="spellStart"/>
      <w:r w:rsidR="00721EE9" w:rsidRPr="00C50EC1">
        <w:rPr>
          <w:rFonts w:ascii="Arial" w:hAnsi="Arial" w:cs="Arial"/>
          <w:color w:val="000000" w:themeColor="text1"/>
        </w:rPr>
        <w:t>Mkhwebane</w:t>
      </w:r>
      <w:proofErr w:type="spellEnd"/>
      <w:r w:rsidR="00721EE9" w:rsidRPr="00C50EC1">
        <w:rPr>
          <w:rFonts w:ascii="Arial" w:hAnsi="Arial" w:cs="Arial"/>
          <w:color w:val="000000" w:themeColor="text1"/>
        </w:rPr>
        <w:t xml:space="preserve">, </w:t>
      </w:r>
      <w:r w:rsidR="00721EE9" w:rsidRPr="001520E1">
        <w:rPr>
          <w:rFonts w:ascii="Arial" w:hAnsi="Arial" w:cs="Arial"/>
          <w:color w:val="000000" w:themeColor="text1"/>
        </w:rPr>
        <w:t xml:space="preserve">who signed both reports, </w:t>
      </w:r>
      <w:r w:rsidR="00F65FDC">
        <w:rPr>
          <w:rFonts w:ascii="Arial" w:hAnsi="Arial" w:cs="Arial"/>
          <w:color w:val="000000" w:themeColor="text1"/>
        </w:rPr>
        <w:t>has</w:t>
      </w:r>
      <w:r w:rsidR="00721EE9" w:rsidRPr="001520E1">
        <w:rPr>
          <w:rFonts w:ascii="Arial" w:hAnsi="Arial" w:cs="Arial"/>
          <w:color w:val="000000" w:themeColor="text1"/>
        </w:rPr>
        <w:t xml:space="preserve"> consistently </w:t>
      </w:r>
      <w:r w:rsidR="00F65FDC">
        <w:rPr>
          <w:rFonts w:ascii="Arial" w:hAnsi="Arial" w:cs="Arial"/>
          <w:color w:val="000000" w:themeColor="text1"/>
        </w:rPr>
        <w:t xml:space="preserve">failed </w:t>
      </w:r>
      <w:r w:rsidR="00721EE9" w:rsidRPr="001520E1">
        <w:rPr>
          <w:rFonts w:ascii="Arial" w:hAnsi="Arial" w:cs="Arial"/>
          <w:color w:val="000000" w:themeColor="text1"/>
        </w:rPr>
        <w:lastRenderedPageBreak/>
        <w:t>to provide an explanation</w:t>
      </w:r>
      <w:r w:rsidR="00F65FDC">
        <w:rPr>
          <w:rFonts w:ascii="Arial" w:hAnsi="Arial" w:cs="Arial"/>
          <w:color w:val="000000" w:themeColor="text1"/>
        </w:rPr>
        <w:t>,</w:t>
      </w:r>
      <w:r w:rsidR="00721EE9" w:rsidRPr="001520E1">
        <w:rPr>
          <w:rFonts w:ascii="Arial" w:hAnsi="Arial" w:cs="Arial"/>
          <w:color w:val="000000" w:themeColor="text1"/>
        </w:rPr>
        <w:t xml:space="preserve"> when called upon to do so</w:t>
      </w:r>
      <w:r w:rsidR="00AB7711">
        <w:rPr>
          <w:rFonts w:ascii="Arial" w:hAnsi="Arial" w:cs="Arial"/>
          <w:color w:val="000000" w:themeColor="text1"/>
        </w:rPr>
        <w:t xml:space="preserve"> in the face of very serious allegations about her conduct</w:t>
      </w:r>
      <w:r w:rsidR="00721EE9" w:rsidRPr="001520E1">
        <w:rPr>
          <w:rFonts w:ascii="Arial" w:hAnsi="Arial" w:cs="Arial"/>
          <w:color w:val="000000" w:themeColor="text1"/>
        </w:rPr>
        <w:t>.  As I have said, she, as the decision-maker, is the only person</w:t>
      </w:r>
      <w:r w:rsidR="001520E1">
        <w:rPr>
          <w:rFonts w:ascii="Arial" w:hAnsi="Arial" w:cs="Arial"/>
          <w:color w:val="000000" w:themeColor="text1"/>
        </w:rPr>
        <w:t xml:space="preserve"> who can </w:t>
      </w:r>
      <w:r w:rsidR="009B7002">
        <w:rPr>
          <w:rFonts w:ascii="Arial" w:hAnsi="Arial" w:cs="Arial"/>
          <w:color w:val="000000" w:themeColor="text1"/>
        </w:rPr>
        <w:t>explain</w:t>
      </w:r>
      <w:r w:rsidR="001520E1">
        <w:rPr>
          <w:rFonts w:ascii="Arial" w:hAnsi="Arial" w:cs="Arial"/>
          <w:color w:val="000000" w:themeColor="text1"/>
        </w:rPr>
        <w:t xml:space="preserve"> the reasons for her appending her signature to the first report and </w:t>
      </w:r>
      <w:r w:rsidR="009B7002">
        <w:rPr>
          <w:rFonts w:ascii="Arial" w:hAnsi="Arial" w:cs="Arial"/>
          <w:color w:val="000000" w:themeColor="text1"/>
        </w:rPr>
        <w:t xml:space="preserve">why she decided to change it.  </w:t>
      </w:r>
      <w:r w:rsidR="001520E1">
        <w:rPr>
          <w:rFonts w:ascii="Arial" w:hAnsi="Arial" w:cs="Arial"/>
          <w:color w:val="000000" w:themeColor="text1"/>
        </w:rPr>
        <w:t>Third</w:t>
      </w:r>
      <w:r w:rsidR="002C72E4">
        <w:rPr>
          <w:rFonts w:ascii="Arial" w:hAnsi="Arial" w:cs="Arial"/>
          <w:color w:val="000000" w:themeColor="text1"/>
        </w:rPr>
        <w:t>ly</w:t>
      </w:r>
      <w:r w:rsidR="001520E1">
        <w:rPr>
          <w:rFonts w:ascii="Arial" w:hAnsi="Arial" w:cs="Arial"/>
          <w:color w:val="000000" w:themeColor="text1"/>
        </w:rPr>
        <w:t xml:space="preserve">, the first report was not an internal </w:t>
      </w:r>
      <w:proofErr w:type="gramStart"/>
      <w:r w:rsidR="001520E1">
        <w:rPr>
          <w:rFonts w:ascii="Arial" w:hAnsi="Arial" w:cs="Arial"/>
          <w:color w:val="000000" w:themeColor="text1"/>
        </w:rPr>
        <w:t>document</w:t>
      </w:r>
      <w:proofErr w:type="gramEnd"/>
      <w:r w:rsidR="001520E1">
        <w:rPr>
          <w:rFonts w:ascii="Arial" w:hAnsi="Arial" w:cs="Arial"/>
          <w:color w:val="000000" w:themeColor="text1"/>
        </w:rPr>
        <w:t xml:space="preserve"> </w:t>
      </w:r>
      <w:r w:rsidR="00F65FDC">
        <w:rPr>
          <w:rFonts w:ascii="Arial" w:hAnsi="Arial" w:cs="Arial"/>
          <w:color w:val="000000" w:themeColor="text1"/>
        </w:rPr>
        <w:t xml:space="preserve">and it </w:t>
      </w:r>
      <w:r w:rsidR="001520E1">
        <w:rPr>
          <w:rFonts w:ascii="Arial" w:hAnsi="Arial" w:cs="Arial"/>
          <w:color w:val="000000" w:themeColor="text1"/>
        </w:rPr>
        <w:t>was</w:t>
      </w:r>
      <w:r w:rsidR="00F65FDC">
        <w:rPr>
          <w:rFonts w:ascii="Arial" w:hAnsi="Arial" w:cs="Arial"/>
          <w:color w:val="000000" w:themeColor="text1"/>
        </w:rPr>
        <w:t xml:space="preserve"> not disputed that it was </w:t>
      </w:r>
      <w:r w:rsidR="001520E1">
        <w:rPr>
          <w:rFonts w:ascii="Arial" w:hAnsi="Arial" w:cs="Arial"/>
          <w:color w:val="000000" w:themeColor="text1"/>
        </w:rPr>
        <w:t xml:space="preserve">published to the world at large </w:t>
      </w:r>
      <w:r w:rsidR="00F65FDC">
        <w:rPr>
          <w:rFonts w:ascii="Arial" w:hAnsi="Arial" w:cs="Arial"/>
          <w:color w:val="000000" w:themeColor="text1"/>
        </w:rPr>
        <w:t xml:space="preserve">under the signature of </w:t>
      </w:r>
      <w:proofErr w:type="spellStart"/>
      <w:r w:rsidR="00F65FDC">
        <w:rPr>
          <w:rFonts w:ascii="Arial" w:hAnsi="Arial" w:cs="Arial"/>
          <w:color w:val="000000" w:themeColor="text1"/>
        </w:rPr>
        <w:t>Ms</w:t>
      </w:r>
      <w:proofErr w:type="spellEnd"/>
      <w:r w:rsidR="00F65FDC">
        <w:rPr>
          <w:rFonts w:ascii="Arial" w:hAnsi="Arial" w:cs="Arial"/>
          <w:color w:val="000000" w:themeColor="text1"/>
        </w:rPr>
        <w:t xml:space="preserve"> </w:t>
      </w:r>
      <w:proofErr w:type="spellStart"/>
      <w:r w:rsidR="00F65FDC">
        <w:rPr>
          <w:rFonts w:ascii="Arial" w:hAnsi="Arial" w:cs="Arial"/>
          <w:color w:val="000000" w:themeColor="text1"/>
        </w:rPr>
        <w:t>Mkhwebane</w:t>
      </w:r>
      <w:proofErr w:type="spellEnd"/>
      <w:r w:rsidR="00F65FDC">
        <w:rPr>
          <w:rFonts w:ascii="Arial" w:hAnsi="Arial" w:cs="Arial"/>
          <w:color w:val="000000" w:themeColor="text1"/>
        </w:rPr>
        <w:t xml:space="preserve"> </w:t>
      </w:r>
      <w:r w:rsidR="001520E1">
        <w:rPr>
          <w:rFonts w:ascii="Arial" w:hAnsi="Arial" w:cs="Arial"/>
          <w:color w:val="000000" w:themeColor="text1"/>
        </w:rPr>
        <w:t xml:space="preserve">on the PP’s website.  It recorded, </w:t>
      </w:r>
      <w:r w:rsidR="001520E1">
        <w:rPr>
          <w:rFonts w:ascii="Arial" w:hAnsi="Arial" w:cs="Arial"/>
          <w:i/>
          <w:color w:val="000000" w:themeColor="text1"/>
        </w:rPr>
        <w:t>inter alia</w:t>
      </w:r>
      <w:r w:rsidR="001520E1">
        <w:rPr>
          <w:rFonts w:ascii="Arial" w:hAnsi="Arial" w:cs="Arial"/>
          <w:color w:val="000000" w:themeColor="text1"/>
        </w:rPr>
        <w:t>, as follows:</w:t>
      </w:r>
    </w:p>
    <w:p w14:paraId="67BE11A4" w14:textId="77777777" w:rsidR="009B7002" w:rsidRDefault="009B7002" w:rsidP="009B7002">
      <w:pPr>
        <w:pStyle w:val="ListParagraph"/>
        <w:rPr>
          <w:rFonts w:ascii="Arial" w:hAnsi="Arial" w:cs="Arial"/>
          <w:color w:val="000000" w:themeColor="text1"/>
        </w:rPr>
      </w:pPr>
    </w:p>
    <w:p w14:paraId="01B7B4CC" w14:textId="77777777" w:rsidR="001520E1" w:rsidRPr="00DA6420" w:rsidRDefault="001520E1" w:rsidP="001520E1">
      <w:pPr>
        <w:pStyle w:val="ListParagraph"/>
        <w:rPr>
          <w:rFonts w:ascii="Arial" w:hAnsi="Arial" w:cs="Arial"/>
          <w:color w:val="000000" w:themeColor="text1"/>
        </w:rPr>
      </w:pPr>
    </w:p>
    <w:p w14:paraId="7F9F9F04" w14:textId="77777777" w:rsidR="001520E1" w:rsidRPr="00DA6420" w:rsidRDefault="001520E1" w:rsidP="00ED1A01">
      <w:pPr>
        <w:pStyle w:val="NormalWeb"/>
        <w:shd w:val="clear" w:color="auto" w:fill="FFFFFF"/>
        <w:spacing w:before="0" w:beforeAutospacing="0" w:after="0" w:afterAutospacing="0" w:line="360" w:lineRule="auto"/>
        <w:ind w:left="567" w:right="567"/>
        <w:contextualSpacing/>
        <w:jc w:val="both"/>
        <w:rPr>
          <w:rFonts w:ascii="Arial" w:hAnsi="Arial" w:cs="Arial"/>
          <w:b/>
          <w:color w:val="000000" w:themeColor="text1"/>
          <w:sz w:val="22"/>
          <w:szCs w:val="22"/>
        </w:rPr>
      </w:pPr>
      <w:r w:rsidRPr="00DA6420">
        <w:rPr>
          <w:rFonts w:ascii="Arial" w:hAnsi="Arial" w:cs="Arial"/>
          <w:color w:val="000000" w:themeColor="text1"/>
          <w:sz w:val="22"/>
          <w:szCs w:val="22"/>
        </w:rPr>
        <w:t>“</w:t>
      </w:r>
      <w:r w:rsidR="005A1DDA" w:rsidRPr="00DA6420">
        <w:rPr>
          <w:rFonts w:ascii="Arial" w:hAnsi="Arial" w:cs="Arial"/>
          <w:color w:val="000000" w:themeColor="text1"/>
          <w:sz w:val="22"/>
          <w:szCs w:val="22"/>
        </w:rPr>
        <w:t xml:space="preserve">1.        </w:t>
      </w:r>
      <w:r w:rsidR="005A1DDA" w:rsidRPr="00DA6420">
        <w:rPr>
          <w:rFonts w:ascii="Arial" w:hAnsi="Arial" w:cs="Arial"/>
          <w:b/>
          <w:color w:val="000000" w:themeColor="text1"/>
          <w:sz w:val="22"/>
          <w:szCs w:val="22"/>
        </w:rPr>
        <w:t>INTRODUCTION</w:t>
      </w:r>
    </w:p>
    <w:p w14:paraId="29A46367" w14:textId="77777777" w:rsidR="005A1DDA" w:rsidRPr="00DA6420" w:rsidRDefault="005A1DDA" w:rsidP="00ED1A01">
      <w:pPr>
        <w:pStyle w:val="NormalWeb"/>
        <w:shd w:val="clear" w:color="auto" w:fill="FFFFFF"/>
        <w:spacing w:before="0" w:beforeAutospacing="0" w:after="0" w:afterAutospacing="0" w:line="360" w:lineRule="auto"/>
        <w:ind w:left="567" w:right="567"/>
        <w:contextualSpacing/>
        <w:jc w:val="both"/>
        <w:rPr>
          <w:rFonts w:ascii="Arial" w:hAnsi="Arial" w:cs="Arial"/>
          <w:b/>
          <w:color w:val="000000" w:themeColor="text1"/>
          <w:sz w:val="22"/>
          <w:szCs w:val="22"/>
        </w:rPr>
      </w:pPr>
    </w:p>
    <w:p w14:paraId="22863612" w14:textId="66E02C9D" w:rsidR="001520E1" w:rsidRPr="00DA6420" w:rsidRDefault="00C47012" w:rsidP="00C47012">
      <w:pPr>
        <w:pStyle w:val="NormalWeb"/>
        <w:shd w:val="clear" w:color="auto" w:fill="FFFFFF"/>
        <w:spacing w:before="0" w:beforeAutospacing="0" w:after="0" w:afterAutospacing="0" w:line="360" w:lineRule="auto"/>
        <w:ind w:left="1282" w:right="562" w:hanging="720"/>
        <w:contextualSpacing/>
        <w:jc w:val="both"/>
        <w:rPr>
          <w:rFonts w:ascii="Arial" w:hAnsi="Arial" w:cs="Arial"/>
          <w:color w:val="000000" w:themeColor="text1"/>
          <w:sz w:val="22"/>
          <w:szCs w:val="22"/>
        </w:rPr>
      </w:pPr>
      <w:r w:rsidRPr="00DA6420">
        <w:rPr>
          <w:rFonts w:ascii="Arial" w:hAnsi="Arial" w:cs="Arial"/>
          <w:color w:val="000000" w:themeColor="text1"/>
          <w:sz w:val="22"/>
          <w:szCs w:val="22"/>
        </w:rPr>
        <w:t>1.1</w:t>
      </w:r>
      <w:r w:rsidRPr="00DA6420">
        <w:rPr>
          <w:rFonts w:ascii="Arial" w:hAnsi="Arial" w:cs="Arial"/>
          <w:color w:val="000000" w:themeColor="text1"/>
          <w:sz w:val="22"/>
          <w:szCs w:val="22"/>
        </w:rPr>
        <w:tab/>
      </w:r>
      <w:r w:rsidR="001520E1" w:rsidRPr="00DA6420">
        <w:rPr>
          <w:rFonts w:ascii="Arial" w:hAnsi="Arial" w:cs="Arial"/>
          <w:color w:val="000000" w:themeColor="text1"/>
          <w:sz w:val="22"/>
          <w:szCs w:val="22"/>
        </w:rPr>
        <w:t>This is a report of the Public Protector issued in terms of section 182(1)(b) of the Constitution of the Republic of South Africa, 1996 (Constitution) and published in terms of section 8(1) of the Public Protector Act, 23 of 1994</w:t>
      </w:r>
      <w:r w:rsidR="005A1DDA" w:rsidRPr="00DA6420">
        <w:rPr>
          <w:rFonts w:ascii="Arial" w:hAnsi="Arial" w:cs="Arial"/>
          <w:color w:val="000000" w:themeColor="text1"/>
          <w:sz w:val="22"/>
          <w:szCs w:val="22"/>
        </w:rPr>
        <w:t xml:space="preserve"> (Public Protector Act)</w:t>
      </w:r>
      <w:r w:rsidR="001520E1" w:rsidRPr="00DA6420">
        <w:rPr>
          <w:rFonts w:ascii="Arial" w:hAnsi="Arial" w:cs="Arial"/>
          <w:color w:val="000000" w:themeColor="text1"/>
          <w:sz w:val="22"/>
          <w:szCs w:val="22"/>
        </w:rPr>
        <w:t>.</w:t>
      </w:r>
      <w:r w:rsidR="001520E1" w:rsidRPr="00DA6420">
        <w:rPr>
          <w:rStyle w:val="FootnoteReference"/>
          <w:rFonts w:ascii="Arial" w:hAnsi="Arial" w:cs="Arial"/>
          <w:color w:val="000000" w:themeColor="text1"/>
          <w:sz w:val="22"/>
          <w:szCs w:val="22"/>
        </w:rPr>
        <w:footnoteReference w:id="65"/>
      </w:r>
    </w:p>
    <w:p w14:paraId="11D5073D" w14:textId="77777777" w:rsidR="00ED1A01" w:rsidRPr="00DA6420" w:rsidRDefault="00ED1A01" w:rsidP="00ED1A01">
      <w:pPr>
        <w:pStyle w:val="NormalWeb"/>
        <w:shd w:val="clear" w:color="auto" w:fill="FFFFFF"/>
        <w:spacing w:before="0" w:beforeAutospacing="0" w:after="0" w:afterAutospacing="0" w:line="360" w:lineRule="auto"/>
        <w:ind w:left="1282" w:right="562"/>
        <w:contextualSpacing/>
        <w:jc w:val="both"/>
        <w:rPr>
          <w:rFonts w:ascii="Arial" w:hAnsi="Arial" w:cs="Arial"/>
          <w:color w:val="000000" w:themeColor="text1"/>
          <w:sz w:val="22"/>
          <w:szCs w:val="22"/>
        </w:rPr>
      </w:pPr>
    </w:p>
    <w:p w14:paraId="34837991" w14:textId="487FB8C5" w:rsidR="001520E1" w:rsidRPr="00DA6420" w:rsidRDefault="00C47012" w:rsidP="00C47012">
      <w:pPr>
        <w:pStyle w:val="NormalWeb"/>
        <w:shd w:val="clear" w:color="auto" w:fill="FFFFFF"/>
        <w:spacing w:before="0" w:beforeAutospacing="0" w:after="0" w:afterAutospacing="0" w:line="360" w:lineRule="auto"/>
        <w:ind w:left="1282" w:right="562" w:hanging="720"/>
        <w:contextualSpacing/>
        <w:jc w:val="both"/>
        <w:rPr>
          <w:rFonts w:ascii="Arial" w:hAnsi="Arial" w:cs="Arial"/>
          <w:color w:val="000000" w:themeColor="text1"/>
          <w:sz w:val="22"/>
          <w:szCs w:val="22"/>
        </w:rPr>
      </w:pPr>
      <w:r w:rsidRPr="00DA6420">
        <w:rPr>
          <w:rFonts w:ascii="Arial" w:hAnsi="Arial" w:cs="Arial"/>
          <w:color w:val="000000" w:themeColor="text1"/>
          <w:sz w:val="22"/>
          <w:szCs w:val="22"/>
        </w:rPr>
        <w:t>1.2</w:t>
      </w:r>
      <w:r w:rsidRPr="00DA6420">
        <w:rPr>
          <w:rFonts w:ascii="Arial" w:hAnsi="Arial" w:cs="Arial"/>
          <w:color w:val="000000" w:themeColor="text1"/>
          <w:sz w:val="22"/>
          <w:szCs w:val="22"/>
        </w:rPr>
        <w:tab/>
      </w:r>
      <w:r w:rsidR="001520E1" w:rsidRPr="00DA6420">
        <w:rPr>
          <w:rFonts w:ascii="Arial" w:hAnsi="Arial" w:cs="Arial"/>
          <w:color w:val="000000" w:themeColor="text1"/>
          <w:sz w:val="22"/>
          <w:szCs w:val="22"/>
        </w:rPr>
        <w:t xml:space="preserve">The report is submitted in terms of section 8(3) of the Public Protector Act to the following people to note the outcome of </w:t>
      </w:r>
      <w:r w:rsidR="005A1DDA" w:rsidRPr="00DA6420">
        <w:rPr>
          <w:rFonts w:ascii="Arial" w:hAnsi="Arial" w:cs="Arial"/>
          <w:color w:val="000000" w:themeColor="text1"/>
          <w:sz w:val="22"/>
          <w:szCs w:val="22"/>
        </w:rPr>
        <w:t>i</w:t>
      </w:r>
      <w:r w:rsidR="001520E1" w:rsidRPr="00DA6420">
        <w:rPr>
          <w:rFonts w:ascii="Arial" w:hAnsi="Arial" w:cs="Arial"/>
          <w:color w:val="000000" w:themeColor="text1"/>
          <w:sz w:val="22"/>
          <w:szCs w:val="22"/>
        </w:rPr>
        <w:t>nvestigation and the remedial action taken:</w:t>
      </w:r>
    </w:p>
    <w:p w14:paraId="32DB7150" w14:textId="77777777" w:rsidR="001520E1" w:rsidRPr="00DA6420" w:rsidRDefault="001520E1" w:rsidP="00ED1A01">
      <w:pPr>
        <w:pStyle w:val="NormalWeb"/>
        <w:shd w:val="clear" w:color="auto" w:fill="FFFFFF"/>
        <w:spacing w:before="0" w:beforeAutospacing="0" w:after="0" w:afterAutospacing="0" w:line="360" w:lineRule="auto"/>
        <w:ind w:left="1282" w:right="562"/>
        <w:contextualSpacing/>
        <w:jc w:val="both"/>
        <w:rPr>
          <w:rFonts w:ascii="Arial" w:hAnsi="Arial" w:cs="Arial"/>
          <w:color w:val="000000" w:themeColor="text1"/>
          <w:sz w:val="22"/>
          <w:szCs w:val="22"/>
        </w:rPr>
      </w:pPr>
      <w:r w:rsidRPr="00DA6420">
        <w:rPr>
          <w:rFonts w:ascii="Arial" w:hAnsi="Arial" w:cs="Arial"/>
          <w:color w:val="000000" w:themeColor="text1"/>
          <w:sz w:val="22"/>
          <w:szCs w:val="22"/>
        </w:rPr>
        <w:t>…”</w:t>
      </w:r>
      <w:r w:rsidRPr="00DA6420">
        <w:rPr>
          <w:rStyle w:val="FootnoteReference"/>
          <w:rFonts w:ascii="Arial" w:hAnsi="Arial" w:cs="Arial"/>
          <w:color w:val="000000" w:themeColor="text1"/>
          <w:sz w:val="22"/>
          <w:szCs w:val="22"/>
        </w:rPr>
        <w:footnoteReference w:id="66"/>
      </w:r>
    </w:p>
    <w:p w14:paraId="2796E866" w14:textId="77777777" w:rsidR="001520E1" w:rsidRPr="00DA6420" w:rsidRDefault="001520E1" w:rsidP="001520E1">
      <w:pPr>
        <w:pStyle w:val="NormalWeb"/>
        <w:shd w:val="clear" w:color="auto" w:fill="FFFFFF"/>
        <w:spacing w:before="0" w:beforeAutospacing="0" w:after="0" w:afterAutospacing="0" w:line="480" w:lineRule="auto"/>
        <w:ind w:left="720"/>
        <w:contextualSpacing/>
        <w:jc w:val="both"/>
        <w:rPr>
          <w:rFonts w:ascii="Arial" w:hAnsi="Arial" w:cs="Arial"/>
          <w:color w:val="000000" w:themeColor="text1"/>
        </w:rPr>
      </w:pPr>
    </w:p>
    <w:p w14:paraId="635E5ED4" w14:textId="73D4DF19" w:rsidR="000946B7"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Pr>
          <w:rFonts w:ascii="Arial" w:hAnsi="Arial" w:cs="Arial"/>
          <w:color w:val="000000" w:themeColor="text1"/>
        </w:rPr>
        <w:t>[66]</w:t>
      </w:r>
      <w:r>
        <w:rPr>
          <w:rFonts w:ascii="Arial" w:hAnsi="Arial" w:cs="Arial"/>
          <w:color w:val="000000" w:themeColor="text1"/>
        </w:rPr>
        <w:tab/>
      </w:r>
      <w:r w:rsidR="00C07062" w:rsidRPr="002C72E4">
        <w:rPr>
          <w:rFonts w:ascii="Arial" w:hAnsi="Arial" w:cs="Arial"/>
          <w:color w:val="000000" w:themeColor="text1"/>
        </w:rPr>
        <w:t xml:space="preserve">Once </w:t>
      </w:r>
      <w:r w:rsidR="002F0EAD" w:rsidRPr="002C72E4">
        <w:rPr>
          <w:rFonts w:ascii="Arial" w:hAnsi="Arial" w:cs="Arial"/>
          <w:color w:val="000000" w:themeColor="text1"/>
        </w:rPr>
        <w:t xml:space="preserve">it had been </w:t>
      </w:r>
      <w:r w:rsidR="00C07062" w:rsidRPr="002C72E4">
        <w:rPr>
          <w:rFonts w:ascii="Arial" w:hAnsi="Arial" w:cs="Arial"/>
          <w:color w:val="000000" w:themeColor="text1"/>
        </w:rPr>
        <w:t>published on her website the report became final.</w:t>
      </w:r>
      <w:r w:rsidR="00C07062">
        <w:rPr>
          <w:rStyle w:val="FootnoteReference"/>
          <w:rFonts w:ascii="Arial" w:hAnsi="Arial" w:cs="Arial"/>
          <w:color w:val="000000" w:themeColor="text1"/>
        </w:rPr>
        <w:footnoteReference w:id="67"/>
      </w:r>
      <w:r w:rsidR="00C07062" w:rsidRPr="002C72E4">
        <w:rPr>
          <w:rFonts w:ascii="Arial" w:hAnsi="Arial" w:cs="Arial"/>
          <w:color w:val="000000" w:themeColor="text1"/>
        </w:rPr>
        <w:t xml:space="preserve"> The affect thereof is that the decision cannot be revoked or varied by the decision-maker</w:t>
      </w:r>
      <w:r w:rsidR="00C07062">
        <w:rPr>
          <w:rStyle w:val="FootnoteReference"/>
          <w:rFonts w:ascii="Arial" w:hAnsi="Arial" w:cs="Arial"/>
          <w:color w:val="000000" w:themeColor="text1"/>
        </w:rPr>
        <w:footnoteReference w:id="68"/>
      </w:r>
      <w:r w:rsidR="0017269A" w:rsidRPr="002C72E4">
        <w:rPr>
          <w:rFonts w:ascii="Arial" w:hAnsi="Arial" w:cs="Arial"/>
          <w:color w:val="000000" w:themeColor="text1"/>
        </w:rPr>
        <w:t xml:space="preserve">.  In the result, </w:t>
      </w:r>
      <w:r w:rsidR="006742FC" w:rsidRPr="002C72E4">
        <w:rPr>
          <w:rFonts w:ascii="Arial" w:hAnsi="Arial" w:cs="Arial"/>
          <w:color w:val="000000" w:themeColor="text1"/>
        </w:rPr>
        <w:t>she</w:t>
      </w:r>
      <w:r w:rsidR="0017269A" w:rsidRPr="002C72E4">
        <w:rPr>
          <w:rFonts w:ascii="Arial" w:hAnsi="Arial" w:cs="Arial"/>
          <w:color w:val="000000" w:themeColor="text1"/>
        </w:rPr>
        <w:t xml:space="preserve"> did not have the authority or the competence to add further remedial relief or </w:t>
      </w:r>
      <w:r w:rsidR="0017269A" w:rsidRPr="002C72E4">
        <w:rPr>
          <w:rFonts w:ascii="Arial" w:hAnsi="Arial" w:cs="Arial"/>
          <w:color w:val="000000" w:themeColor="text1"/>
        </w:rPr>
        <w:lastRenderedPageBreak/>
        <w:t xml:space="preserve">to change factual findings </w:t>
      </w:r>
      <w:r w:rsidR="002F0EAD" w:rsidRPr="002C72E4">
        <w:rPr>
          <w:rFonts w:ascii="Arial" w:hAnsi="Arial" w:cs="Arial"/>
          <w:color w:val="000000" w:themeColor="text1"/>
        </w:rPr>
        <w:t>in</w:t>
      </w:r>
      <w:r w:rsidR="0017269A" w:rsidRPr="002C72E4">
        <w:rPr>
          <w:rFonts w:ascii="Arial" w:hAnsi="Arial" w:cs="Arial"/>
          <w:color w:val="000000" w:themeColor="text1"/>
        </w:rPr>
        <w:t xml:space="preserve"> her </w:t>
      </w:r>
      <w:r w:rsidR="002C72E4">
        <w:rPr>
          <w:rFonts w:ascii="Arial" w:hAnsi="Arial" w:cs="Arial"/>
          <w:color w:val="000000" w:themeColor="text1"/>
        </w:rPr>
        <w:t xml:space="preserve">second </w:t>
      </w:r>
      <w:r w:rsidR="0017269A" w:rsidRPr="002C72E4">
        <w:rPr>
          <w:rFonts w:ascii="Arial" w:hAnsi="Arial" w:cs="Arial"/>
          <w:color w:val="000000" w:themeColor="text1"/>
        </w:rPr>
        <w:t xml:space="preserve">report dated 10 October 2021 and for that reason </w:t>
      </w:r>
      <w:r w:rsidR="002F0EAD" w:rsidRPr="002C72E4">
        <w:rPr>
          <w:rFonts w:ascii="Arial" w:hAnsi="Arial" w:cs="Arial"/>
          <w:color w:val="000000" w:themeColor="text1"/>
        </w:rPr>
        <w:t xml:space="preserve">alone it </w:t>
      </w:r>
      <w:r w:rsidR="0017269A" w:rsidRPr="002C72E4">
        <w:rPr>
          <w:rFonts w:ascii="Arial" w:hAnsi="Arial" w:cs="Arial"/>
          <w:color w:val="000000" w:themeColor="text1"/>
        </w:rPr>
        <w:t xml:space="preserve">should be set aside.  </w:t>
      </w:r>
      <w:r w:rsidR="009B7002" w:rsidRPr="002C72E4">
        <w:rPr>
          <w:rFonts w:ascii="Arial" w:hAnsi="Arial" w:cs="Arial"/>
          <w:color w:val="000000" w:themeColor="text1"/>
        </w:rPr>
        <w:t xml:space="preserve">In the absence of an explanation by </w:t>
      </w:r>
      <w:proofErr w:type="spellStart"/>
      <w:r w:rsidR="009B7002" w:rsidRPr="002C72E4">
        <w:rPr>
          <w:rFonts w:ascii="Arial" w:hAnsi="Arial" w:cs="Arial"/>
          <w:color w:val="000000" w:themeColor="text1"/>
        </w:rPr>
        <w:t>Ms</w:t>
      </w:r>
      <w:proofErr w:type="spellEnd"/>
      <w:r w:rsidR="009B7002" w:rsidRPr="002C72E4">
        <w:rPr>
          <w:rFonts w:ascii="Arial" w:hAnsi="Arial" w:cs="Arial"/>
          <w:color w:val="000000" w:themeColor="text1"/>
        </w:rPr>
        <w:t xml:space="preserve"> </w:t>
      </w:r>
      <w:proofErr w:type="spellStart"/>
      <w:r w:rsidR="009B7002" w:rsidRPr="002C72E4">
        <w:rPr>
          <w:rFonts w:ascii="Arial" w:hAnsi="Arial" w:cs="Arial"/>
          <w:color w:val="000000" w:themeColor="text1"/>
        </w:rPr>
        <w:t>Mk</w:t>
      </w:r>
      <w:r w:rsidR="00C50EC1" w:rsidRPr="002C72E4">
        <w:rPr>
          <w:rFonts w:ascii="Arial" w:hAnsi="Arial" w:cs="Arial"/>
          <w:color w:val="000000" w:themeColor="text1"/>
        </w:rPr>
        <w:t>h</w:t>
      </w:r>
      <w:r w:rsidR="009B7002" w:rsidRPr="002C72E4">
        <w:rPr>
          <w:rFonts w:ascii="Arial" w:hAnsi="Arial" w:cs="Arial"/>
          <w:color w:val="000000" w:themeColor="text1"/>
        </w:rPr>
        <w:t>webane</w:t>
      </w:r>
      <w:proofErr w:type="spellEnd"/>
      <w:r w:rsidR="009B7002" w:rsidRPr="002C72E4">
        <w:rPr>
          <w:rFonts w:ascii="Arial" w:hAnsi="Arial" w:cs="Arial"/>
          <w:color w:val="000000" w:themeColor="text1"/>
        </w:rPr>
        <w:t xml:space="preserve"> for her publishing the first report the attempted suggestions by </w:t>
      </w:r>
      <w:proofErr w:type="spellStart"/>
      <w:r w:rsidR="009B7002" w:rsidRPr="002C72E4">
        <w:rPr>
          <w:rFonts w:ascii="Arial" w:hAnsi="Arial" w:cs="Arial"/>
          <w:color w:val="000000" w:themeColor="text1"/>
        </w:rPr>
        <w:t>Ms</w:t>
      </w:r>
      <w:proofErr w:type="spellEnd"/>
      <w:r w:rsidR="009B7002" w:rsidRPr="002C72E4">
        <w:rPr>
          <w:rFonts w:ascii="Arial" w:hAnsi="Arial" w:cs="Arial"/>
          <w:color w:val="000000" w:themeColor="text1"/>
        </w:rPr>
        <w:t xml:space="preserve"> Roberts and </w:t>
      </w:r>
      <w:proofErr w:type="spellStart"/>
      <w:r w:rsidR="009B7002" w:rsidRPr="002C72E4">
        <w:rPr>
          <w:rFonts w:ascii="Arial" w:hAnsi="Arial" w:cs="Arial"/>
          <w:color w:val="000000" w:themeColor="text1"/>
        </w:rPr>
        <w:t>Mr</w:t>
      </w:r>
      <w:proofErr w:type="spellEnd"/>
      <w:r w:rsidR="009B7002" w:rsidRPr="002C72E4">
        <w:rPr>
          <w:rFonts w:ascii="Arial" w:hAnsi="Arial" w:cs="Arial"/>
          <w:color w:val="000000" w:themeColor="text1"/>
        </w:rPr>
        <w:t xml:space="preserve"> Dlamini that it had been published by mistake are unconvincing.  Even if it were </w:t>
      </w:r>
      <w:proofErr w:type="gramStart"/>
      <w:r w:rsidR="009B7002" w:rsidRPr="002C72E4">
        <w:rPr>
          <w:rFonts w:ascii="Arial" w:hAnsi="Arial" w:cs="Arial"/>
          <w:color w:val="000000" w:themeColor="text1"/>
        </w:rPr>
        <w:t>true</w:t>
      </w:r>
      <w:proofErr w:type="gramEnd"/>
      <w:r w:rsidR="009B7002" w:rsidRPr="002C72E4">
        <w:rPr>
          <w:rFonts w:ascii="Arial" w:hAnsi="Arial" w:cs="Arial"/>
          <w:color w:val="000000" w:themeColor="text1"/>
        </w:rPr>
        <w:t xml:space="preserve"> it cannot change</w:t>
      </w:r>
      <w:r w:rsidR="006742FC" w:rsidRPr="002C72E4">
        <w:rPr>
          <w:rFonts w:ascii="Arial" w:hAnsi="Arial" w:cs="Arial"/>
          <w:color w:val="000000" w:themeColor="text1"/>
        </w:rPr>
        <w:t xml:space="preserve"> the fact that it was published and that it was then final.  </w:t>
      </w:r>
    </w:p>
    <w:p w14:paraId="3668D9B0" w14:textId="77777777" w:rsidR="002C72E4" w:rsidRPr="002C72E4" w:rsidRDefault="002C72E4" w:rsidP="002C72E4">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6F73F346" w14:textId="03E7EF52" w:rsidR="006742FC" w:rsidRPr="006742FC"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sidRPr="006742FC">
        <w:rPr>
          <w:rFonts w:ascii="Arial" w:hAnsi="Arial" w:cs="Arial"/>
          <w:color w:val="000000" w:themeColor="text1"/>
        </w:rPr>
        <w:t>[67]</w:t>
      </w:r>
      <w:r w:rsidRPr="006742FC">
        <w:rPr>
          <w:rFonts w:ascii="Arial" w:hAnsi="Arial" w:cs="Arial"/>
          <w:color w:val="000000" w:themeColor="text1"/>
        </w:rPr>
        <w:tab/>
      </w:r>
      <w:r w:rsidR="006742FC">
        <w:rPr>
          <w:rFonts w:ascii="Arial" w:hAnsi="Arial" w:cs="Arial"/>
          <w:color w:val="000000" w:themeColor="text1"/>
        </w:rPr>
        <w:t xml:space="preserve"> I have recorded before that the change effected to the findings in the report are not insignificant.  I shall consider the substance of the change </w:t>
      </w:r>
      <w:r w:rsidR="002F0EAD">
        <w:rPr>
          <w:rFonts w:ascii="Arial" w:hAnsi="Arial" w:cs="Arial"/>
          <w:color w:val="000000" w:themeColor="text1"/>
        </w:rPr>
        <w:t xml:space="preserve">below </w:t>
      </w:r>
      <w:r w:rsidR="006742FC">
        <w:rPr>
          <w:rFonts w:ascii="Arial" w:hAnsi="Arial" w:cs="Arial"/>
          <w:color w:val="000000" w:themeColor="text1"/>
        </w:rPr>
        <w:t xml:space="preserve">under the </w:t>
      </w:r>
      <w:r w:rsidR="006742FC">
        <w:rPr>
          <w:rFonts w:ascii="Arial" w:hAnsi="Arial" w:cs="Arial"/>
          <w:i/>
          <w:color w:val="000000" w:themeColor="text1"/>
        </w:rPr>
        <w:t>audi alteram partem</w:t>
      </w:r>
      <w:r w:rsidR="002F0EAD">
        <w:rPr>
          <w:rFonts w:ascii="Arial" w:hAnsi="Arial" w:cs="Arial"/>
          <w:i/>
          <w:color w:val="000000" w:themeColor="text1"/>
        </w:rPr>
        <w:t>.</w:t>
      </w:r>
    </w:p>
    <w:p w14:paraId="4E48C96D" w14:textId="77777777" w:rsidR="00193E1D" w:rsidRDefault="00193E1D" w:rsidP="0017269A">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59644452" w14:textId="7191DD69" w:rsidR="0017269A" w:rsidRPr="00F366E7" w:rsidRDefault="00C47012" w:rsidP="00C47012">
      <w:pPr>
        <w:pStyle w:val="NormalWeb"/>
        <w:shd w:val="clear" w:color="auto" w:fill="FFFFFF"/>
        <w:spacing w:before="0" w:beforeAutospacing="0" w:after="0" w:afterAutospacing="0" w:line="480" w:lineRule="auto"/>
        <w:ind w:left="450" w:hanging="450"/>
        <w:contextualSpacing/>
        <w:jc w:val="both"/>
        <w:rPr>
          <w:rFonts w:ascii="Arial" w:hAnsi="Arial" w:cs="Arial"/>
          <w:i/>
          <w:color w:val="000000" w:themeColor="text1"/>
          <w:u w:val="single"/>
        </w:rPr>
      </w:pPr>
      <w:r w:rsidRPr="00F366E7">
        <w:rPr>
          <w:rFonts w:ascii="Arial" w:hAnsi="Arial" w:cs="Arial"/>
          <w:i/>
          <w:color w:val="000000" w:themeColor="text1"/>
        </w:rPr>
        <w:t>(d)</w:t>
      </w:r>
      <w:r w:rsidRPr="00F366E7">
        <w:rPr>
          <w:rFonts w:ascii="Arial" w:hAnsi="Arial" w:cs="Arial"/>
          <w:i/>
          <w:color w:val="000000" w:themeColor="text1"/>
        </w:rPr>
        <w:tab/>
      </w:r>
      <w:r w:rsidR="0017269A" w:rsidRPr="00F366E7">
        <w:rPr>
          <w:rFonts w:ascii="Arial" w:hAnsi="Arial" w:cs="Arial"/>
          <w:i/>
          <w:color w:val="000000" w:themeColor="text1"/>
          <w:u w:val="single"/>
        </w:rPr>
        <w:t>Audi alteram partem</w:t>
      </w:r>
    </w:p>
    <w:p w14:paraId="769DE2F0" w14:textId="054635FD" w:rsidR="0017269A" w:rsidRDefault="00C47012" w:rsidP="00C47012">
      <w:pPr>
        <w:pStyle w:val="NormalWeb"/>
        <w:shd w:val="clear" w:color="auto" w:fill="FFFFFF"/>
        <w:spacing w:before="0" w:beforeAutospacing="0" w:after="0" w:afterAutospacing="0" w:line="480" w:lineRule="auto"/>
        <w:ind w:left="720" w:hanging="720"/>
        <w:contextualSpacing/>
        <w:jc w:val="both"/>
        <w:rPr>
          <w:rFonts w:ascii="Arial" w:hAnsi="Arial" w:cs="Arial"/>
          <w:color w:val="000000" w:themeColor="text1"/>
        </w:rPr>
      </w:pPr>
      <w:r>
        <w:rPr>
          <w:rFonts w:ascii="Arial" w:hAnsi="Arial" w:cs="Arial"/>
          <w:color w:val="000000" w:themeColor="text1"/>
        </w:rPr>
        <w:t>[68]</w:t>
      </w:r>
      <w:r>
        <w:rPr>
          <w:rFonts w:ascii="Arial" w:hAnsi="Arial" w:cs="Arial"/>
          <w:color w:val="000000" w:themeColor="text1"/>
        </w:rPr>
        <w:tab/>
      </w:r>
      <w:r w:rsidR="0017269A">
        <w:rPr>
          <w:rFonts w:ascii="Arial" w:hAnsi="Arial" w:cs="Arial"/>
          <w:color w:val="000000" w:themeColor="text1"/>
        </w:rPr>
        <w:t xml:space="preserve">In </w:t>
      </w:r>
      <w:r w:rsidR="0017269A" w:rsidRPr="0017269A">
        <w:rPr>
          <w:rFonts w:ascii="Arial" w:hAnsi="Arial" w:cs="Arial"/>
          <w:i/>
          <w:color w:val="000000" w:themeColor="text1"/>
        </w:rPr>
        <w:t>Traub</w:t>
      </w:r>
      <w:r w:rsidR="0017269A">
        <w:rPr>
          <w:rStyle w:val="FootnoteReference"/>
          <w:rFonts w:ascii="Arial" w:hAnsi="Arial" w:cs="Arial"/>
          <w:color w:val="000000" w:themeColor="text1"/>
        </w:rPr>
        <w:footnoteReference w:id="69"/>
      </w:r>
      <w:r w:rsidR="0017269A">
        <w:rPr>
          <w:rFonts w:ascii="Arial" w:hAnsi="Arial" w:cs="Arial"/>
          <w:color w:val="000000" w:themeColor="text1"/>
        </w:rPr>
        <w:t xml:space="preserve"> Corbett CJ described the principle of </w:t>
      </w:r>
      <w:r w:rsidR="0017269A" w:rsidRPr="0017269A">
        <w:rPr>
          <w:rFonts w:ascii="Arial" w:hAnsi="Arial" w:cs="Arial"/>
          <w:i/>
          <w:color w:val="000000" w:themeColor="text1"/>
        </w:rPr>
        <w:t>audi alteram partem</w:t>
      </w:r>
      <w:r w:rsidR="0017269A">
        <w:rPr>
          <w:rFonts w:ascii="Arial" w:hAnsi="Arial" w:cs="Arial"/>
          <w:color w:val="000000" w:themeColor="text1"/>
        </w:rPr>
        <w:t xml:space="preserve"> thus:</w:t>
      </w:r>
    </w:p>
    <w:p w14:paraId="221819A2" w14:textId="77777777" w:rsidR="0075706A" w:rsidRDefault="0075706A" w:rsidP="00D209EB">
      <w:pPr>
        <w:pStyle w:val="NormalWeb"/>
        <w:shd w:val="clear" w:color="auto" w:fill="FFFFFF"/>
        <w:spacing w:before="0" w:beforeAutospacing="0" w:after="0" w:afterAutospacing="0" w:line="360" w:lineRule="auto"/>
        <w:ind w:left="567" w:right="567"/>
        <w:contextualSpacing/>
        <w:jc w:val="both"/>
        <w:rPr>
          <w:rFonts w:ascii="Arial" w:hAnsi="Arial" w:cs="Arial"/>
          <w:color w:val="000000"/>
          <w:sz w:val="22"/>
          <w:szCs w:val="22"/>
        </w:rPr>
      </w:pPr>
    </w:p>
    <w:p w14:paraId="119C2CDA" w14:textId="77777777" w:rsidR="00D209EB" w:rsidRPr="00D209EB" w:rsidRDefault="00D209EB" w:rsidP="00D209EB">
      <w:pPr>
        <w:pStyle w:val="NormalWeb"/>
        <w:shd w:val="clear" w:color="auto" w:fill="FFFFFF"/>
        <w:spacing w:before="0" w:beforeAutospacing="0" w:after="0" w:afterAutospacing="0" w:line="360" w:lineRule="auto"/>
        <w:ind w:left="567" w:right="567"/>
        <w:contextualSpacing/>
        <w:jc w:val="both"/>
        <w:rPr>
          <w:rFonts w:ascii="Arial" w:hAnsi="Arial" w:cs="Arial"/>
          <w:color w:val="000000" w:themeColor="text1"/>
          <w:sz w:val="22"/>
          <w:szCs w:val="22"/>
        </w:rPr>
      </w:pPr>
      <w:r w:rsidRPr="00D209EB">
        <w:rPr>
          <w:rFonts w:ascii="Arial" w:hAnsi="Arial" w:cs="Arial"/>
          <w:color w:val="000000"/>
          <w:sz w:val="22"/>
          <w:szCs w:val="22"/>
        </w:rPr>
        <w:t>“</w:t>
      </w:r>
      <w:r w:rsidRPr="00080B37">
        <w:rPr>
          <w:rFonts w:ascii="Arial" w:hAnsi="Arial" w:cs="Arial"/>
          <w:color w:val="000000"/>
          <w:sz w:val="22"/>
          <w:szCs w:val="22"/>
        </w:rPr>
        <w:t>The maxim </w:t>
      </w:r>
      <w:r w:rsidRPr="00080B37">
        <w:rPr>
          <w:rFonts w:ascii="Arial" w:hAnsi="Arial" w:cs="Arial"/>
          <w:i/>
          <w:iCs/>
          <w:color w:val="000000"/>
          <w:sz w:val="22"/>
          <w:szCs w:val="22"/>
        </w:rPr>
        <w:t>audi alteram partem</w:t>
      </w:r>
      <w:r w:rsidRPr="00080B37">
        <w:rPr>
          <w:rFonts w:ascii="Arial" w:hAnsi="Arial" w:cs="Arial"/>
          <w:color w:val="000000"/>
          <w:sz w:val="22"/>
          <w:szCs w:val="22"/>
        </w:rPr>
        <w:t xml:space="preserve"> expresses a principle of natural justice which is part of our law. The classic formulations of the principle state that when a statute empowers a public official or body to give a decision prejudicially affecting an individual in his liberty or property or existing rights, the latter has a right to be heard before the decision is taken </w:t>
      </w:r>
      <w:r w:rsidRPr="00D209EB">
        <w:rPr>
          <w:rFonts w:ascii="Arial" w:hAnsi="Arial" w:cs="Arial"/>
          <w:color w:val="000000"/>
          <w:sz w:val="22"/>
          <w:szCs w:val="22"/>
        </w:rPr>
        <w:t>…</w:t>
      </w:r>
      <w:r w:rsidRPr="00080B37">
        <w:rPr>
          <w:rFonts w:ascii="Arial" w:hAnsi="Arial" w:cs="Arial"/>
          <w:color w:val="000000"/>
          <w:sz w:val="22"/>
          <w:szCs w:val="22"/>
        </w:rPr>
        <w:t xml:space="preserve"> unless the statute expressly or by implication indicates the contrary.</w:t>
      </w:r>
      <w:r w:rsidRPr="00D209EB">
        <w:rPr>
          <w:rFonts w:ascii="Arial" w:hAnsi="Arial" w:cs="Arial"/>
          <w:color w:val="000000"/>
          <w:sz w:val="22"/>
          <w:szCs w:val="22"/>
        </w:rPr>
        <w:t>”</w:t>
      </w:r>
    </w:p>
    <w:p w14:paraId="2F71683C" w14:textId="77777777" w:rsidR="00865273" w:rsidRDefault="00865273" w:rsidP="0017269A">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2CB892C0" w14:textId="58B07A07" w:rsidR="00F107D9"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Pr>
          <w:rFonts w:ascii="Arial" w:hAnsi="Arial" w:cs="Arial"/>
          <w:color w:val="000000" w:themeColor="text1"/>
        </w:rPr>
        <w:t>[69]</w:t>
      </w:r>
      <w:r>
        <w:rPr>
          <w:rFonts w:ascii="Arial" w:hAnsi="Arial" w:cs="Arial"/>
          <w:color w:val="000000" w:themeColor="text1"/>
        </w:rPr>
        <w:tab/>
      </w:r>
      <w:r w:rsidR="00BD4EF2">
        <w:rPr>
          <w:rFonts w:ascii="Arial" w:hAnsi="Arial" w:cs="Arial"/>
          <w:color w:val="000000" w:themeColor="text1"/>
        </w:rPr>
        <w:t xml:space="preserve">The principle is integral to the rule of law and to s 33 of the Constitution. </w:t>
      </w:r>
      <w:r w:rsidR="0017269A" w:rsidRPr="00D209EB">
        <w:rPr>
          <w:rFonts w:ascii="Arial" w:hAnsi="Arial" w:cs="Arial"/>
          <w:color w:val="000000" w:themeColor="text1"/>
        </w:rPr>
        <w:t xml:space="preserve">Section 7(9) of the Act </w:t>
      </w:r>
      <w:r w:rsidR="005A3CE0">
        <w:rPr>
          <w:rFonts w:ascii="Arial" w:hAnsi="Arial" w:cs="Arial"/>
          <w:color w:val="000000" w:themeColor="text1"/>
        </w:rPr>
        <w:t>gives</w:t>
      </w:r>
      <w:r w:rsidR="0017269A" w:rsidRPr="00D209EB">
        <w:rPr>
          <w:rFonts w:ascii="Arial" w:hAnsi="Arial" w:cs="Arial"/>
          <w:color w:val="000000" w:themeColor="text1"/>
        </w:rPr>
        <w:t xml:space="preserve"> effect to the principle.  Thus</w:t>
      </w:r>
      <w:r w:rsidR="00C165FC">
        <w:rPr>
          <w:rFonts w:ascii="Arial" w:hAnsi="Arial" w:cs="Arial"/>
          <w:color w:val="000000" w:themeColor="text1"/>
        </w:rPr>
        <w:t>,</w:t>
      </w:r>
      <w:r w:rsidR="0017269A" w:rsidRPr="00D209EB">
        <w:rPr>
          <w:rFonts w:ascii="Arial" w:hAnsi="Arial" w:cs="Arial"/>
          <w:color w:val="000000" w:themeColor="text1"/>
        </w:rPr>
        <w:t xml:space="preserve"> the Constitutional Court in </w:t>
      </w:r>
      <w:r w:rsidR="0017269A" w:rsidRPr="00D209EB">
        <w:rPr>
          <w:rFonts w:ascii="Arial" w:hAnsi="Arial" w:cs="Arial"/>
          <w:i/>
          <w:color w:val="000000" w:themeColor="text1"/>
        </w:rPr>
        <w:t>The Presiden</w:t>
      </w:r>
      <w:r w:rsidR="005A3CE0">
        <w:rPr>
          <w:rFonts w:ascii="Arial" w:hAnsi="Arial" w:cs="Arial"/>
          <w:i/>
          <w:color w:val="000000" w:themeColor="text1"/>
        </w:rPr>
        <w:t>t (CC)</w:t>
      </w:r>
      <w:r w:rsidR="0017269A" w:rsidRPr="00D209EB">
        <w:rPr>
          <w:rStyle w:val="FootnoteReference"/>
          <w:rFonts w:ascii="Arial" w:hAnsi="Arial" w:cs="Arial"/>
          <w:color w:val="000000" w:themeColor="text1"/>
        </w:rPr>
        <w:footnoteReference w:id="70"/>
      </w:r>
      <w:r w:rsidR="0017269A" w:rsidRPr="00D209EB">
        <w:rPr>
          <w:rFonts w:ascii="Arial" w:hAnsi="Arial" w:cs="Arial"/>
          <w:color w:val="000000" w:themeColor="text1"/>
        </w:rPr>
        <w:t xml:space="preserve"> explained </w:t>
      </w:r>
      <w:proofErr w:type="gramStart"/>
      <w:r w:rsidR="00BD4EF2">
        <w:rPr>
          <w:rFonts w:ascii="Arial" w:hAnsi="Arial" w:cs="Arial"/>
          <w:color w:val="000000" w:themeColor="text1"/>
        </w:rPr>
        <w:t>that</w:t>
      </w:r>
      <w:proofErr w:type="gramEnd"/>
      <w:r w:rsidR="00BD4EF2">
        <w:rPr>
          <w:rFonts w:ascii="Arial" w:hAnsi="Arial" w:cs="Arial"/>
          <w:color w:val="000000" w:themeColor="text1"/>
        </w:rPr>
        <w:t xml:space="preserve"> </w:t>
      </w:r>
    </w:p>
    <w:p w14:paraId="3FE29822" w14:textId="77777777" w:rsidR="00A22F08" w:rsidRDefault="00A22F08" w:rsidP="00A22F08">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72F315A8" w14:textId="77777777" w:rsidR="0017269A" w:rsidRPr="007B3868" w:rsidRDefault="0082519C" w:rsidP="00F107D9">
      <w:pPr>
        <w:pStyle w:val="NormalWeb"/>
        <w:shd w:val="clear" w:color="auto" w:fill="FFFFFF"/>
        <w:spacing w:before="0" w:beforeAutospacing="0" w:after="0" w:afterAutospacing="0" w:line="360" w:lineRule="auto"/>
        <w:ind w:left="567" w:right="567"/>
        <w:contextualSpacing/>
        <w:jc w:val="both"/>
        <w:rPr>
          <w:rFonts w:ascii="Arial" w:hAnsi="Arial" w:cs="Arial"/>
          <w:color w:val="000000" w:themeColor="text1"/>
          <w:sz w:val="22"/>
          <w:szCs w:val="22"/>
        </w:rPr>
      </w:pPr>
      <w:r w:rsidRPr="007B3868">
        <w:rPr>
          <w:rFonts w:ascii="Arial" w:hAnsi="Arial" w:cs="Arial"/>
          <w:color w:val="000000" w:themeColor="text1"/>
          <w:sz w:val="22"/>
          <w:szCs w:val="22"/>
        </w:rPr>
        <w:lastRenderedPageBreak/>
        <w:t>“</w:t>
      </w:r>
      <w:r w:rsidR="00A22F08" w:rsidRPr="007B3868">
        <w:rPr>
          <w:rFonts w:ascii="Arial" w:hAnsi="Arial" w:cs="Arial"/>
          <w:color w:val="000000" w:themeColor="text1"/>
          <w:sz w:val="22"/>
          <w:szCs w:val="22"/>
        </w:rPr>
        <w:t>[</w:t>
      </w:r>
      <w:r w:rsidR="0017269A" w:rsidRPr="007B3868">
        <w:rPr>
          <w:rFonts w:ascii="Arial" w:hAnsi="Arial" w:cs="Arial"/>
          <w:color w:val="000000" w:themeColor="text1"/>
          <w:sz w:val="22"/>
          <w:szCs w:val="22"/>
        </w:rPr>
        <w:t>w</w:t>
      </w:r>
      <w:r w:rsidR="00A22F08" w:rsidRPr="007B3868">
        <w:rPr>
          <w:rFonts w:ascii="Arial" w:hAnsi="Arial" w:cs="Arial"/>
          <w:color w:val="000000" w:themeColor="text1"/>
          <w:sz w:val="22"/>
          <w:szCs w:val="22"/>
        </w:rPr>
        <w:t>]</w:t>
      </w:r>
      <w:r w:rsidR="0017269A" w:rsidRPr="007B3868">
        <w:rPr>
          <w:rFonts w:ascii="Arial" w:hAnsi="Arial" w:cs="Arial"/>
          <w:color w:val="000000" w:themeColor="text1"/>
          <w:sz w:val="22"/>
          <w:szCs w:val="22"/>
        </w:rPr>
        <w:t xml:space="preserve">hen the Public Protector contemplates taking remedial action against the </w:t>
      </w:r>
      <w:r w:rsidR="00C165FC" w:rsidRPr="007B3868">
        <w:rPr>
          <w:rFonts w:ascii="Arial" w:hAnsi="Arial" w:cs="Arial"/>
          <w:color w:val="000000" w:themeColor="text1"/>
          <w:sz w:val="22"/>
          <w:szCs w:val="22"/>
        </w:rPr>
        <w:t>subject</w:t>
      </w:r>
      <w:r w:rsidR="0017269A" w:rsidRPr="007B3868">
        <w:rPr>
          <w:rFonts w:ascii="Arial" w:hAnsi="Arial" w:cs="Arial"/>
          <w:color w:val="000000" w:themeColor="text1"/>
          <w:sz w:val="22"/>
          <w:szCs w:val="22"/>
        </w:rPr>
        <w:t xml:space="preserve"> of an investigation, that </w:t>
      </w:r>
      <w:r w:rsidR="00F107D9" w:rsidRPr="007B3868">
        <w:rPr>
          <w:rFonts w:ascii="Arial" w:hAnsi="Arial" w:cs="Arial"/>
          <w:color w:val="000000" w:themeColor="text1"/>
          <w:sz w:val="22"/>
          <w:szCs w:val="22"/>
        </w:rPr>
        <w:t>subject</w:t>
      </w:r>
      <w:r w:rsidR="0017269A" w:rsidRPr="007B3868">
        <w:rPr>
          <w:rFonts w:ascii="Arial" w:hAnsi="Arial" w:cs="Arial"/>
          <w:color w:val="000000" w:themeColor="text1"/>
          <w:sz w:val="22"/>
          <w:szCs w:val="22"/>
        </w:rPr>
        <w:t xml:space="preserve"> is entitled to an opportunity to make </w:t>
      </w:r>
      <w:r w:rsidR="00865273" w:rsidRPr="007B3868">
        <w:rPr>
          <w:rFonts w:ascii="Arial" w:hAnsi="Arial" w:cs="Arial"/>
          <w:color w:val="000000" w:themeColor="text1"/>
          <w:sz w:val="22"/>
          <w:szCs w:val="22"/>
        </w:rPr>
        <w:t>representations</w:t>
      </w:r>
      <w:r w:rsidR="0017269A" w:rsidRPr="007B3868">
        <w:rPr>
          <w:rFonts w:ascii="Arial" w:hAnsi="Arial" w:cs="Arial"/>
          <w:color w:val="000000" w:themeColor="text1"/>
          <w:sz w:val="22"/>
          <w:szCs w:val="22"/>
        </w:rPr>
        <w:t xml:space="preserve"> on the envisaged remedial action.  For a proper opportunity to be given, the Public Protector must sufficiently</w:t>
      </w:r>
      <w:r w:rsidR="00865273" w:rsidRPr="007B3868">
        <w:rPr>
          <w:rFonts w:ascii="Arial" w:hAnsi="Arial" w:cs="Arial"/>
          <w:color w:val="000000" w:themeColor="text1"/>
          <w:sz w:val="22"/>
          <w:szCs w:val="22"/>
        </w:rPr>
        <w:t xml:space="preserve"> </w:t>
      </w:r>
      <w:r w:rsidR="00BD4EF2" w:rsidRPr="007B3868">
        <w:rPr>
          <w:rFonts w:ascii="Arial" w:hAnsi="Arial" w:cs="Arial"/>
          <w:color w:val="000000" w:themeColor="text1"/>
          <w:sz w:val="22"/>
          <w:szCs w:val="22"/>
        </w:rPr>
        <w:t>describe</w:t>
      </w:r>
      <w:r w:rsidR="00865273" w:rsidRPr="007B3868">
        <w:rPr>
          <w:rFonts w:ascii="Arial" w:hAnsi="Arial" w:cs="Arial"/>
          <w:color w:val="000000" w:themeColor="text1"/>
          <w:sz w:val="22"/>
          <w:szCs w:val="22"/>
        </w:rPr>
        <w:t xml:space="preserve"> the remedial action in question to enable the affected person to m</w:t>
      </w:r>
      <w:r w:rsidR="00BD4EF2" w:rsidRPr="007B3868">
        <w:rPr>
          <w:rFonts w:ascii="Arial" w:hAnsi="Arial" w:cs="Arial"/>
          <w:color w:val="000000" w:themeColor="text1"/>
          <w:sz w:val="22"/>
          <w:szCs w:val="22"/>
        </w:rPr>
        <w:t>ake meaningful representations.</w:t>
      </w:r>
      <w:r w:rsidRPr="007B3868">
        <w:rPr>
          <w:rFonts w:ascii="Arial" w:hAnsi="Arial" w:cs="Arial"/>
          <w:color w:val="000000" w:themeColor="text1"/>
          <w:sz w:val="22"/>
          <w:szCs w:val="22"/>
        </w:rPr>
        <w:t>”</w:t>
      </w:r>
    </w:p>
    <w:p w14:paraId="7292CEE8" w14:textId="77777777" w:rsidR="00865273" w:rsidRPr="007B3868" w:rsidRDefault="00865273" w:rsidP="0017269A">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0518844F" w14:textId="2CAF35D2" w:rsidR="00865273"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Pr>
          <w:rFonts w:ascii="Arial" w:hAnsi="Arial" w:cs="Arial"/>
          <w:color w:val="000000" w:themeColor="text1"/>
        </w:rPr>
        <w:t>[70]</w:t>
      </w:r>
      <w:r>
        <w:rPr>
          <w:rFonts w:ascii="Arial" w:hAnsi="Arial" w:cs="Arial"/>
          <w:color w:val="000000" w:themeColor="text1"/>
        </w:rPr>
        <w:tab/>
      </w:r>
      <w:r w:rsidR="00865273">
        <w:rPr>
          <w:rFonts w:ascii="Arial" w:hAnsi="Arial" w:cs="Arial"/>
          <w:color w:val="000000" w:themeColor="text1"/>
        </w:rPr>
        <w:t xml:space="preserve">In this instance the PP did issue a notice in terms of s 7(9) of the Act to affected persons.  However, as I have said, </w:t>
      </w:r>
      <w:r w:rsidR="00F107D9">
        <w:rPr>
          <w:rFonts w:ascii="Arial" w:hAnsi="Arial" w:cs="Arial"/>
          <w:color w:val="000000" w:themeColor="text1"/>
        </w:rPr>
        <w:t xml:space="preserve">the </w:t>
      </w:r>
      <w:r w:rsidR="00865273">
        <w:rPr>
          <w:rFonts w:ascii="Arial" w:hAnsi="Arial" w:cs="Arial"/>
          <w:color w:val="000000" w:themeColor="text1"/>
        </w:rPr>
        <w:t>remedial action contained in paragraph 7.1.3</w:t>
      </w:r>
      <w:r w:rsidR="009F3144">
        <w:rPr>
          <w:rStyle w:val="FootnoteReference"/>
          <w:rFonts w:ascii="Arial" w:hAnsi="Arial" w:cs="Arial"/>
          <w:color w:val="000000" w:themeColor="text1"/>
        </w:rPr>
        <w:footnoteReference w:id="71"/>
      </w:r>
      <w:r w:rsidR="00F107D9">
        <w:rPr>
          <w:rFonts w:ascii="Arial" w:hAnsi="Arial" w:cs="Arial"/>
          <w:color w:val="000000" w:themeColor="text1"/>
        </w:rPr>
        <w:t xml:space="preserve"> was</w:t>
      </w:r>
      <w:r w:rsidR="00A46CF0">
        <w:rPr>
          <w:rFonts w:ascii="Arial" w:hAnsi="Arial" w:cs="Arial"/>
          <w:color w:val="000000" w:themeColor="text1"/>
        </w:rPr>
        <w:t xml:space="preserve"> added subsequently without any notice to any of the affected parties to enable them to make representations.  </w:t>
      </w:r>
      <w:r w:rsidR="00C40EF2">
        <w:rPr>
          <w:rFonts w:ascii="Arial" w:hAnsi="Arial" w:cs="Arial"/>
          <w:color w:val="000000" w:themeColor="text1"/>
        </w:rPr>
        <w:t xml:space="preserve">The purpose of this additional remedial measure is not immediately apparent, but clearly had a potentially </w:t>
      </w:r>
      <w:r w:rsidR="007B3868">
        <w:rPr>
          <w:rFonts w:ascii="Arial" w:hAnsi="Arial" w:cs="Arial"/>
          <w:color w:val="000000" w:themeColor="text1"/>
        </w:rPr>
        <w:t>damaging</w:t>
      </w:r>
      <w:r w:rsidR="00C40EF2">
        <w:rPr>
          <w:rFonts w:ascii="Arial" w:hAnsi="Arial" w:cs="Arial"/>
          <w:color w:val="000000" w:themeColor="text1"/>
        </w:rPr>
        <w:t xml:space="preserve"> effect on both </w:t>
      </w:r>
      <w:proofErr w:type="spellStart"/>
      <w:r w:rsidR="00C40EF2">
        <w:rPr>
          <w:rFonts w:ascii="Arial" w:hAnsi="Arial" w:cs="Arial"/>
          <w:color w:val="000000" w:themeColor="text1"/>
        </w:rPr>
        <w:t>Mr</w:t>
      </w:r>
      <w:proofErr w:type="spellEnd"/>
      <w:r w:rsidR="00C40EF2">
        <w:rPr>
          <w:rFonts w:ascii="Arial" w:hAnsi="Arial" w:cs="Arial"/>
          <w:color w:val="000000" w:themeColor="text1"/>
        </w:rPr>
        <w:t xml:space="preserve"> </w:t>
      </w:r>
      <w:proofErr w:type="spellStart"/>
      <w:r w:rsidR="00C40EF2">
        <w:rPr>
          <w:rFonts w:ascii="Arial" w:hAnsi="Arial" w:cs="Arial"/>
          <w:color w:val="000000" w:themeColor="text1"/>
        </w:rPr>
        <w:t>Madikizela</w:t>
      </w:r>
      <w:proofErr w:type="spellEnd"/>
      <w:r w:rsidR="00C40EF2">
        <w:rPr>
          <w:rFonts w:ascii="Arial" w:hAnsi="Arial" w:cs="Arial"/>
          <w:color w:val="000000" w:themeColor="text1"/>
        </w:rPr>
        <w:t xml:space="preserve"> and </w:t>
      </w:r>
      <w:proofErr w:type="spellStart"/>
      <w:r w:rsidR="00C40EF2">
        <w:rPr>
          <w:rFonts w:ascii="Arial" w:hAnsi="Arial" w:cs="Arial"/>
          <w:color w:val="000000" w:themeColor="text1"/>
        </w:rPr>
        <w:t>Mr</w:t>
      </w:r>
      <w:proofErr w:type="spellEnd"/>
      <w:r w:rsidR="00C40EF2">
        <w:rPr>
          <w:rFonts w:ascii="Arial" w:hAnsi="Arial" w:cs="Arial"/>
          <w:color w:val="000000" w:themeColor="text1"/>
        </w:rPr>
        <w:t xml:space="preserve"> </w:t>
      </w:r>
      <w:proofErr w:type="spellStart"/>
      <w:r w:rsidR="00C40EF2">
        <w:rPr>
          <w:rFonts w:ascii="Arial" w:hAnsi="Arial" w:cs="Arial"/>
          <w:color w:val="000000" w:themeColor="text1"/>
        </w:rPr>
        <w:t>Mabuyane</w:t>
      </w:r>
      <w:proofErr w:type="spellEnd"/>
      <w:r w:rsidR="00C40EF2">
        <w:rPr>
          <w:rFonts w:ascii="Arial" w:hAnsi="Arial" w:cs="Arial"/>
          <w:color w:val="000000" w:themeColor="text1"/>
        </w:rPr>
        <w:t xml:space="preserve"> </w:t>
      </w:r>
      <w:r w:rsidR="002C72E4">
        <w:rPr>
          <w:rFonts w:ascii="Arial" w:hAnsi="Arial" w:cs="Arial"/>
          <w:color w:val="000000" w:themeColor="text1"/>
        </w:rPr>
        <w:t xml:space="preserve">(and possibly the MLM) </w:t>
      </w:r>
      <w:r w:rsidR="00C40EF2">
        <w:rPr>
          <w:rFonts w:ascii="Arial" w:hAnsi="Arial" w:cs="Arial"/>
          <w:color w:val="000000" w:themeColor="text1"/>
        </w:rPr>
        <w:t xml:space="preserve">in the face of the imminent local government elections.  The failure </w:t>
      </w:r>
      <w:proofErr w:type="gramStart"/>
      <w:r w:rsidR="00A46CF0">
        <w:rPr>
          <w:rFonts w:ascii="Arial" w:hAnsi="Arial" w:cs="Arial"/>
          <w:color w:val="000000" w:themeColor="text1"/>
        </w:rPr>
        <w:t>in itself is</w:t>
      </w:r>
      <w:proofErr w:type="gramEnd"/>
      <w:r w:rsidR="00A46CF0">
        <w:rPr>
          <w:rFonts w:ascii="Arial" w:hAnsi="Arial" w:cs="Arial"/>
          <w:color w:val="000000" w:themeColor="text1"/>
        </w:rPr>
        <w:t xml:space="preserve"> fatal to the remedial action. </w:t>
      </w:r>
    </w:p>
    <w:p w14:paraId="18987F14" w14:textId="77777777" w:rsidR="00A46CF0" w:rsidRDefault="00A46CF0" w:rsidP="0017269A">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2D4FD478" w14:textId="375E033E" w:rsidR="00A46CF0"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Pr>
          <w:rFonts w:ascii="Arial" w:hAnsi="Arial" w:cs="Arial"/>
          <w:color w:val="000000" w:themeColor="text1"/>
        </w:rPr>
        <w:t>[71]</w:t>
      </w:r>
      <w:r>
        <w:rPr>
          <w:rFonts w:ascii="Arial" w:hAnsi="Arial" w:cs="Arial"/>
          <w:color w:val="000000" w:themeColor="text1"/>
        </w:rPr>
        <w:tab/>
      </w:r>
      <w:r w:rsidR="00A46CF0">
        <w:rPr>
          <w:rFonts w:ascii="Arial" w:hAnsi="Arial" w:cs="Arial"/>
          <w:color w:val="000000" w:themeColor="text1"/>
        </w:rPr>
        <w:t>Moreover, in respect of the second question the notice in terms of</w:t>
      </w:r>
      <w:r w:rsidR="00F107D9">
        <w:rPr>
          <w:rFonts w:ascii="Arial" w:hAnsi="Arial" w:cs="Arial"/>
          <w:color w:val="000000" w:themeColor="text1"/>
        </w:rPr>
        <w:t xml:space="preserve"> s</w:t>
      </w:r>
      <w:r w:rsidR="00A46CF0">
        <w:rPr>
          <w:rFonts w:ascii="Arial" w:hAnsi="Arial" w:cs="Arial"/>
          <w:color w:val="000000" w:themeColor="text1"/>
        </w:rPr>
        <w:t xml:space="preserve"> 7(9) concluded:</w:t>
      </w:r>
    </w:p>
    <w:p w14:paraId="6A96CDE4" w14:textId="77777777" w:rsidR="00A46CF0" w:rsidRDefault="00A46CF0" w:rsidP="0017269A">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36659CEA" w14:textId="77777777" w:rsidR="00A46CF0" w:rsidRPr="007B3868" w:rsidRDefault="00A46CF0" w:rsidP="004629CB">
      <w:pPr>
        <w:pStyle w:val="NormalWeb"/>
        <w:shd w:val="clear" w:color="auto" w:fill="FFFFFF"/>
        <w:spacing w:before="0" w:beforeAutospacing="0" w:after="0" w:afterAutospacing="0" w:line="360" w:lineRule="auto"/>
        <w:ind w:left="1282" w:right="562" w:hanging="720"/>
        <w:contextualSpacing/>
        <w:jc w:val="both"/>
        <w:rPr>
          <w:rFonts w:ascii="Arial" w:hAnsi="Arial" w:cs="Arial"/>
          <w:color w:val="000000" w:themeColor="text1"/>
          <w:sz w:val="22"/>
          <w:szCs w:val="22"/>
        </w:rPr>
      </w:pPr>
      <w:r w:rsidRPr="007B3868">
        <w:rPr>
          <w:rFonts w:ascii="Arial" w:hAnsi="Arial" w:cs="Arial"/>
          <w:color w:val="000000" w:themeColor="text1"/>
          <w:sz w:val="22"/>
          <w:szCs w:val="22"/>
        </w:rPr>
        <w:t>“</w:t>
      </w:r>
      <w:r w:rsidR="004629CB" w:rsidRPr="007B3868">
        <w:rPr>
          <w:rFonts w:ascii="Arial" w:hAnsi="Arial" w:cs="Arial"/>
          <w:color w:val="000000" w:themeColor="text1"/>
          <w:sz w:val="22"/>
          <w:szCs w:val="22"/>
        </w:rPr>
        <w:t>15.2.1</w:t>
      </w:r>
      <w:r w:rsidR="004629CB" w:rsidRPr="007B3868">
        <w:rPr>
          <w:rFonts w:ascii="Arial" w:hAnsi="Arial" w:cs="Arial"/>
          <w:color w:val="000000" w:themeColor="text1"/>
          <w:sz w:val="22"/>
          <w:szCs w:val="22"/>
        </w:rPr>
        <w:tab/>
      </w:r>
      <w:r w:rsidRPr="007B3868">
        <w:rPr>
          <w:rFonts w:ascii="Arial" w:hAnsi="Arial" w:cs="Arial"/>
          <w:color w:val="000000" w:themeColor="text1"/>
          <w:sz w:val="22"/>
          <w:szCs w:val="22"/>
        </w:rPr>
        <w:t xml:space="preserve">The origin of the R2.2 million paid into the account of </w:t>
      </w:r>
      <w:proofErr w:type="spellStart"/>
      <w:r w:rsidRPr="007B3868">
        <w:rPr>
          <w:rFonts w:ascii="Arial" w:hAnsi="Arial" w:cs="Arial"/>
          <w:color w:val="000000" w:themeColor="text1"/>
          <w:sz w:val="22"/>
          <w:szCs w:val="22"/>
        </w:rPr>
        <w:t>Mthombeni</w:t>
      </w:r>
      <w:proofErr w:type="spellEnd"/>
      <w:r w:rsidRPr="007B3868">
        <w:rPr>
          <w:rFonts w:ascii="Arial" w:hAnsi="Arial" w:cs="Arial"/>
          <w:color w:val="000000" w:themeColor="text1"/>
          <w:sz w:val="22"/>
          <w:szCs w:val="22"/>
        </w:rPr>
        <w:t xml:space="preserve"> Projects (Pty) Ltd c</w:t>
      </w:r>
      <w:r w:rsidR="005B0C02" w:rsidRPr="007B3868">
        <w:rPr>
          <w:rFonts w:ascii="Arial" w:hAnsi="Arial" w:cs="Arial"/>
          <w:color w:val="000000" w:themeColor="text1"/>
          <w:sz w:val="22"/>
          <w:szCs w:val="22"/>
        </w:rPr>
        <w:t>ould not</w:t>
      </w:r>
      <w:r w:rsidRPr="007B3868">
        <w:rPr>
          <w:rFonts w:ascii="Arial" w:hAnsi="Arial" w:cs="Arial"/>
          <w:color w:val="000000" w:themeColor="text1"/>
          <w:sz w:val="22"/>
          <w:szCs w:val="22"/>
        </w:rPr>
        <w:t xml:space="preserve"> be established with certainty </w:t>
      </w:r>
      <w:r w:rsidR="005B0C02" w:rsidRPr="007B3868">
        <w:rPr>
          <w:rFonts w:ascii="Arial" w:hAnsi="Arial" w:cs="Arial"/>
          <w:color w:val="000000" w:themeColor="text1"/>
          <w:sz w:val="22"/>
          <w:szCs w:val="22"/>
        </w:rPr>
        <w:t xml:space="preserve">from </w:t>
      </w:r>
      <w:r w:rsidRPr="007B3868">
        <w:rPr>
          <w:rFonts w:ascii="Arial" w:hAnsi="Arial" w:cs="Arial"/>
          <w:color w:val="000000" w:themeColor="text1"/>
          <w:sz w:val="22"/>
          <w:szCs w:val="22"/>
        </w:rPr>
        <w:t xml:space="preserve">the evidence obtained during the investigation, to date.  However, </w:t>
      </w:r>
      <w:r w:rsidR="005B0C02" w:rsidRPr="007B3868">
        <w:rPr>
          <w:rFonts w:ascii="Arial" w:hAnsi="Arial" w:cs="Arial"/>
          <w:color w:val="000000" w:themeColor="text1"/>
          <w:sz w:val="22"/>
          <w:szCs w:val="22"/>
        </w:rPr>
        <w:t xml:space="preserve">the </w:t>
      </w:r>
      <w:r w:rsidRPr="007B3868">
        <w:rPr>
          <w:rFonts w:ascii="Arial" w:hAnsi="Arial" w:cs="Arial"/>
          <w:color w:val="000000" w:themeColor="text1"/>
          <w:sz w:val="22"/>
          <w:szCs w:val="22"/>
        </w:rPr>
        <w:t xml:space="preserve">evidence indicates that there may have been contraventions of the Prevention of </w:t>
      </w:r>
      <w:proofErr w:type="spellStart"/>
      <w:r w:rsidRPr="007B3868">
        <w:rPr>
          <w:rFonts w:ascii="Arial" w:hAnsi="Arial" w:cs="Arial"/>
          <w:color w:val="000000" w:themeColor="text1"/>
          <w:sz w:val="22"/>
          <w:szCs w:val="22"/>
        </w:rPr>
        <w:t>Organised</w:t>
      </w:r>
      <w:proofErr w:type="spellEnd"/>
      <w:r w:rsidRPr="007B3868">
        <w:rPr>
          <w:rFonts w:ascii="Arial" w:hAnsi="Arial" w:cs="Arial"/>
          <w:color w:val="000000" w:themeColor="text1"/>
          <w:sz w:val="22"/>
          <w:szCs w:val="22"/>
        </w:rPr>
        <w:t xml:space="preserve"> Crime Act </w:t>
      </w:r>
      <w:r w:rsidR="005B0C02" w:rsidRPr="007B3868">
        <w:rPr>
          <w:rFonts w:ascii="Arial" w:hAnsi="Arial" w:cs="Arial"/>
          <w:color w:val="000000" w:themeColor="text1"/>
          <w:sz w:val="22"/>
          <w:szCs w:val="22"/>
        </w:rPr>
        <w:t xml:space="preserve">121 of 1998 </w:t>
      </w:r>
      <w:r w:rsidRPr="007B3868">
        <w:rPr>
          <w:rFonts w:ascii="Arial" w:hAnsi="Arial" w:cs="Arial"/>
          <w:color w:val="000000" w:themeColor="text1"/>
          <w:sz w:val="22"/>
          <w:szCs w:val="22"/>
        </w:rPr>
        <w:t>and/or Prevention and Combatting of Corrupt Activities Act</w:t>
      </w:r>
      <w:r w:rsidR="005B0C02" w:rsidRPr="007B3868">
        <w:rPr>
          <w:rFonts w:ascii="Arial" w:hAnsi="Arial" w:cs="Arial"/>
          <w:color w:val="000000" w:themeColor="text1"/>
          <w:sz w:val="22"/>
          <w:szCs w:val="22"/>
        </w:rPr>
        <w:t xml:space="preserve"> 12 of</w:t>
      </w:r>
      <w:r w:rsidRPr="007B3868">
        <w:rPr>
          <w:rFonts w:ascii="Arial" w:hAnsi="Arial" w:cs="Arial"/>
          <w:color w:val="000000" w:themeColor="text1"/>
          <w:sz w:val="22"/>
          <w:szCs w:val="22"/>
        </w:rPr>
        <w:t xml:space="preserve"> 2004 in respect of this payment and the subsequent distribution of the amount.”</w:t>
      </w:r>
    </w:p>
    <w:p w14:paraId="734184DC" w14:textId="77777777" w:rsidR="00A46CF0" w:rsidRPr="007B3868" w:rsidRDefault="00A46CF0" w:rsidP="0017269A">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3392F38B" w14:textId="41AD7B3F" w:rsidR="000940FC"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Pr>
          <w:rFonts w:ascii="Arial" w:hAnsi="Arial" w:cs="Arial"/>
          <w:color w:val="000000" w:themeColor="text1"/>
        </w:rPr>
        <w:t>[72]</w:t>
      </w:r>
      <w:r>
        <w:rPr>
          <w:rFonts w:ascii="Arial" w:hAnsi="Arial" w:cs="Arial"/>
          <w:color w:val="000000" w:themeColor="text1"/>
        </w:rPr>
        <w:tab/>
      </w:r>
      <w:r w:rsidR="00A46CF0" w:rsidRPr="00256F2D">
        <w:rPr>
          <w:rFonts w:ascii="Arial" w:hAnsi="Arial" w:cs="Arial"/>
          <w:color w:val="000000" w:themeColor="text1"/>
        </w:rPr>
        <w:t>I have considered earlier the competence of the PP</w:t>
      </w:r>
      <w:r w:rsidR="000B1C12">
        <w:rPr>
          <w:rFonts w:ascii="Arial" w:hAnsi="Arial" w:cs="Arial"/>
          <w:color w:val="000000" w:themeColor="text1"/>
        </w:rPr>
        <w:t xml:space="preserve"> and her findings in respect of POCA and the PCCA</w:t>
      </w:r>
      <w:r w:rsidR="00A46CF0" w:rsidRPr="00256F2D">
        <w:rPr>
          <w:rFonts w:ascii="Arial" w:hAnsi="Arial" w:cs="Arial"/>
          <w:color w:val="000000" w:themeColor="text1"/>
        </w:rPr>
        <w:t xml:space="preserve">.  She </w:t>
      </w:r>
      <w:r w:rsidR="00C165FC">
        <w:rPr>
          <w:rFonts w:ascii="Arial" w:hAnsi="Arial" w:cs="Arial"/>
          <w:color w:val="000000" w:themeColor="text1"/>
        </w:rPr>
        <w:t>was not</w:t>
      </w:r>
      <w:r w:rsidR="00A46CF0" w:rsidRPr="00256F2D">
        <w:rPr>
          <w:rFonts w:ascii="Arial" w:hAnsi="Arial" w:cs="Arial"/>
          <w:color w:val="000000" w:themeColor="text1"/>
        </w:rPr>
        <w:t xml:space="preserve"> competen</w:t>
      </w:r>
      <w:r w:rsidR="00C165FC">
        <w:rPr>
          <w:rFonts w:ascii="Arial" w:hAnsi="Arial" w:cs="Arial"/>
          <w:color w:val="000000" w:themeColor="text1"/>
        </w:rPr>
        <w:t>t</w:t>
      </w:r>
      <w:r w:rsidR="00A46CF0" w:rsidRPr="00256F2D">
        <w:rPr>
          <w:rFonts w:ascii="Arial" w:hAnsi="Arial" w:cs="Arial"/>
          <w:color w:val="000000" w:themeColor="text1"/>
        </w:rPr>
        <w:t xml:space="preserve"> to investigate the second question</w:t>
      </w:r>
      <w:r w:rsidR="000B1C12">
        <w:rPr>
          <w:rFonts w:ascii="Arial" w:hAnsi="Arial" w:cs="Arial"/>
          <w:color w:val="000000" w:themeColor="text1"/>
        </w:rPr>
        <w:t xml:space="preserve"> under </w:t>
      </w:r>
      <w:r w:rsidR="000B1C12">
        <w:rPr>
          <w:rFonts w:ascii="Arial" w:hAnsi="Arial" w:cs="Arial"/>
          <w:color w:val="000000" w:themeColor="text1"/>
        </w:rPr>
        <w:lastRenderedPageBreak/>
        <w:t xml:space="preserve">s 182 of the Constitution or s 6(4)(a)(iv) of the </w:t>
      </w:r>
      <w:proofErr w:type="gramStart"/>
      <w:r w:rsidR="000B1C12">
        <w:rPr>
          <w:rFonts w:ascii="Arial" w:hAnsi="Arial" w:cs="Arial"/>
          <w:color w:val="000000" w:themeColor="text1"/>
        </w:rPr>
        <w:t xml:space="preserve">Act </w:t>
      </w:r>
      <w:r w:rsidR="00A46CF0" w:rsidRPr="00256F2D">
        <w:rPr>
          <w:rFonts w:ascii="Arial" w:hAnsi="Arial" w:cs="Arial"/>
          <w:color w:val="000000" w:themeColor="text1"/>
        </w:rPr>
        <w:t xml:space="preserve"> unless</w:t>
      </w:r>
      <w:proofErr w:type="gramEnd"/>
      <w:r w:rsidR="00A46CF0" w:rsidRPr="00256F2D">
        <w:rPr>
          <w:rFonts w:ascii="Arial" w:hAnsi="Arial" w:cs="Arial"/>
          <w:color w:val="000000" w:themeColor="text1"/>
        </w:rPr>
        <w:t xml:space="preserve"> it could be established that it related to public money.</w:t>
      </w:r>
      <w:r w:rsidR="00256F2D">
        <w:rPr>
          <w:rStyle w:val="FootnoteReference"/>
          <w:rFonts w:ascii="Arial" w:hAnsi="Arial" w:cs="Arial"/>
          <w:color w:val="000000" w:themeColor="text1"/>
        </w:rPr>
        <w:footnoteReference w:id="72"/>
      </w:r>
      <w:r w:rsidR="00A46CF0" w:rsidRPr="00256F2D">
        <w:rPr>
          <w:rFonts w:ascii="Arial" w:hAnsi="Arial" w:cs="Arial"/>
          <w:color w:val="000000" w:themeColor="text1"/>
        </w:rPr>
        <w:t xml:space="preserve">  </w:t>
      </w:r>
      <w:r w:rsidR="00256F2D">
        <w:rPr>
          <w:rFonts w:ascii="Arial" w:hAnsi="Arial" w:cs="Arial"/>
          <w:color w:val="000000" w:themeColor="text1"/>
        </w:rPr>
        <w:t>The first sentence of the proposed finding constituted an admission that the investigation fell outside of her competence.</w:t>
      </w:r>
    </w:p>
    <w:p w14:paraId="2795ECA5" w14:textId="77777777" w:rsidR="00256F2D" w:rsidRPr="00256F2D" w:rsidRDefault="00256F2D" w:rsidP="00256F2D">
      <w:pPr>
        <w:pStyle w:val="NormalWeb"/>
        <w:shd w:val="clear" w:color="auto" w:fill="FFFFFF"/>
        <w:spacing w:before="0" w:beforeAutospacing="0" w:after="0" w:afterAutospacing="0" w:line="480" w:lineRule="auto"/>
        <w:contextualSpacing/>
        <w:jc w:val="both"/>
        <w:rPr>
          <w:rFonts w:ascii="Arial" w:hAnsi="Arial" w:cs="Arial"/>
          <w:color w:val="000000" w:themeColor="text1"/>
        </w:rPr>
      </w:pPr>
    </w:p>
    <w:p w14:paraId="3DA444EB" w14:textId="22235CD7" w:rsidR="000940FC" w:rsidRDefault="00C47012" w:rsidP="00C47012">
      <w:pPr>
        <w:pStyle w:val="NormalWeb"/>
        <w:shd w:val="clear" w:color="auto" w:fill="FFFFFF"/>
        <w:spacing w:before="0" w:beforeAutospacing="0" w:after="0" w:afterAutospacing="0" w:line="480" w:lineRule="auto"/>
        <w:contextualSpacing/>
        <w:jc w:val="both"/>
        <w:rPr>
          <w:rFonts w:ascii="Arial" w:hAnsi="Arial" w:cs="Arial"/>
          <w:color w:val="000000" w:themeColor="text1"/>
        </w:rPr>
      </w:pPr>
      <w:r>
        <w:rPr>
          <w:rFonts w:ascii="Arial" w:hAnsi="Arial" w:cs="Arial"/>
          <w:color w:val="000000" w:themeColor="text1"/>
        </w:rPr>
        <w:t>[73]</w:t>
      </w:r>
      <w:r>
        <w:rPr>
          <w:rFonts w:ascii="Arial" w:hAnsi="Arial" w:cs="Arial"/>
          <w:color w:val="000000" w:themeColor="text1"/>
        </w:rPr>
        <w:tab/>
      </w:r>
      <w:r w:rsidR="00F107D9">
        <w:rPr>
          <w:rFonts w:ascii="Arial" w:hAnsi="Arial" w:cs="Arial"/>
          <w:color w:val="000000" w:themeColor="text1"/>
        </w:rPr>
        <w:t>However, i</w:t>
      </w:r>
      <w:r w:rsidR="000940FC">
        <w:rPr>
          <w:rFonts w:ascii="Arial" w:hAnsi="Arial" w:cs="Arial"/>
          <w:color w:val="000000" w:themeColor="text1"/>
        </w:rPr>
        <w:t>n her first report</w:t>
      </w:r>
      <w:r w:rsidR="001916A8">
        <w:rPr>
          <w:rFonts w:ascii="Arial" w:hAnsi="Arial" w:cs="Arial"/>
          <w:color w:val="000000" w:themeColor="text1"/>
        </w:rPr>
        <w:t xml:space="preserve">, without any </w:t>
      </w:r>
      <w:r w:rsidR="009F0BAD">
        <w:rPr>
          <w:rFonts w:ascii="Arial" w:hAnsi="Arial" w:cs="Arial"/>
          <w:color w:val="000000" w:themeColor="text1"/>
        </w:rPr>
        <w:t xml:space="preserve">further </w:t>
      </w:r>
      <w:r w:rsidR="001916A8">
        <w:rPr>
          <w:rFonts w:ascii="Arial" w:hAnsi="Arial" w:cs="Arial"/>
          <w:color w:val="000000" w:themeColor="text1"/>
        </w:rPr>
        <w:t xml:space="preserve">notice to </w:t>
      </w:r>
      <w:r w:rsidR="009F3144">
        <w:rPr>
          <w:rFonts w:ascii="Arial" w:hAnsi="Arial" w:cs="Arial"/>
          <w:color w:val="000000" w:themeColor="text1"/>
        </w:rPr>
        <w:t xml:space="preserve">any of the </w:t>
      </w:r>
      <w:r w:rsidR="001916A8">
        <w:rPr>
          <w:rFonts w:ascii="Arial" w:hAnsi="Arial" w:cs="Arial"/>
          <w:color w:val="000000" w:themeColor="text1"/>
        </w:rPr>
        <w:t>affected persons,</w:t>
      </w:r>
      <w:r w:rsidR="000940FC">
        <w:rPr>
          <w:rFonts w:ascii="Arial" w:hAnsi="Arial" w:cs="Arial"/>
          <w:color w:val="000000" w:themeColor="text1"/>
        </w:rPr>
        <w:t xml:space="preserve"> she </w:t>
      </w:r>
      <w:r w:rsidR="009F3144">
        <w:rPr>
          <w:rFonts w:ascii="Arial" w:hAnsi="Arial" w:cs="Arial"/>
          <w:color w:val="000000" w:themeColor="text1"/>
        </w:rPr>
        <w:t>changed her conclusion to:</w:t>
      </w:r>
    </w:p>
    <w:p w14:paraId="61F4B014" w14:textId="77777777" w:rsidR="000940FC" w:rsidRPr="00F366E7" w:rsidRDefault="000940FC" w:rsidP="00F366E7">
      <w:pPr>
        <w:pStyle w:val="NormalWeb"/>
        <w:shd w:val="clear" w:color="auto" w:fill="FFFFFF"/>
        <w:spacing w:before="0" w:beforeAutospacing="0" w:after="0" w:afterAutospacing="0" w:line="360" w:lineRule="auto"/>
        <w:ind w:left="567" w:right="567"/>
        <w:contextualSpacing/>
        <w:jc w:val="both"/>
        <w:rPr>
          <w:rFonts w:ascii="Arial" w:hAnsi="Arial" w:cs="Arial"/>
          <w:color w:val="000000" w:themeColor="text1"/>
          <w:sz w:val="22"/>
          <w:szCs w:val="22"/>
        </w:rPr>
      </w:pPr>
    </w:p>
    <w:p w14:paraId="0313DEC3" w14:textId="77777777" w:rsidR="000940FC" w:rsidRPr="007B3868" w:rsidRDefault="000940FC" w:rsidP="009F0BAD">
      <w:pPr>
        <w:pStyle w:val="NormalWeb"/>
        <w:shd w:val="clear" w:color="auto" w:fill="FFFFFF"/>
        <w:spacing w:before="0" w:beforeAutospacing="0" w:after="0" w:afterAutospacing="0" w:line="360" w:lineRule="auto"/>
        <w:ind w:left="1282" w:right="562" w:hanging="720"/>
        <w:contextualSpacing/>
        <w:jc w:val="both"/>
        <w:rPr>
          <w:rFonts w:ascii="Arial" w:hAnsi="Arial" w:cs="Arial"/>
          <w:color w:val="000000" w:themeColor="text1"/>
          <w:sz w:val="22"/>
          <w:szCs w:val="22"/>
        </w:rPr>
      </w:pPr>
      <w:r w:rsidRPr="007B3868">
        <w:rPr>
          <w:rFonts w:ascii="Arial" w:hAnsi="Arial" w:cs="Arial"/>
          <w:color w:val="000000" w:themeColor="text1"/>
          <w:sz w:val="22"/>
          <w:szCs w:val="22"/>
        </w:rPr>
        <w:t>“</w:t>
      </w:r>
      <w:r w:rsidR="009F0BAD" w:rsidRPr="007B3868">
        <w:rPr>
          <w:rFonts w:ascii="Arial" w:hAnsi="Arial" w:cs="Arial"/>
          <w:color w:val="000000" w:themeColor="text1"/>
          <w:sz w:val="22"/>
          <w:szCs w:val="22"/>
        </w:rPr>
        <w:t>6.2.1</w:t>
      </w:r>
      <w:r w:rsidR="009F0BAD" w:rsidRPr="007B3868">
        <w:rPr>
          <w:rFonts w:ascii="Arial" w:hAnsi="Arial" w:cs="Arial"/>
          <w:color w:val="000000" w:themeColor="text1"/>
          <w:sz w:val="22"/>
          <w:szCs w:val="22"/>
        </w:rPr>
        <w:tab/>
      </w:r>
      <w:r w:rsidRPr="007B3868">
        <w:rPr>
          <w:rFonts w:ascii="Arial" w:hAnsi="Arial" w:cs="Arial"/>
          <w:color w:val="000000" w:themeColor="text1"/>
          <w:sz w:val="22"/>
          <w:szCs w:val="22"/>
        </w:rPr>
        <w:t xml:space="preserve">The allegation that an amount of R2.2. million </w:t>
      </w:r>
      <w:r w:rsidR="007A0F9E" w:rsidRPr="007B3868">
        <w:rPr>
          <w:rFonts w:ascii="Arial" w:hAnsi="Arial" w:cs="Arial"/>
          <w:color w:val="000000" w:themeColor="text1"/>
          <w:sz w:val="22"/>
          <w:szCs w:val="22"/>
        </w:rPr>
        <w:t xml:space="preserve">(Two million, two hundred thousand rand) </w:t>
      </w:r>
      <w:r w:rsidRPr="007B3868">
        <w:rPr>
          <w:rFonts w:ascii="Arial" w:hAnsi="Arial" w:cs="Arial"/>
          <w:color w:val="000000" w:themeColor="text1"/>
          <w:sz w:val="22"/>
          <w:szCs w:val="22"/>
        </w:rPr>
        <w:t>that originated from the ECPG</w:t>
      </w:r>
      <w:r w:rsidRPr="007B3868">
        <w:rPr>
          <w:rStyle w:val="FootnoteReference"/>
          <w:rFonts w:ascii="Arial" w:hAnsi="Arial" w:cs="Arial"/>
          <w:color w:val="000000" w:themeColor="text1"/>
          <w:sz w:val="22"/>
          <w:szCs w:val="22"/>
        </w:rPr>
        <w:footnoteReference w:id="73"/>
      </w:r>
      <w:r w:rsidRPr="007B3868">
        <w:rPr>
          <w:rFonts w:ascii="Arial" w:hAnsi="Arial" w:cs="Arial"/>
          <w:color w:val="000000" w:themeColor="text1"/>
          <w:sz w:val="22"/>
          <w:szCs w:val="22"/>
        </w:rPr>
        <w:t xml:space="preserve"> was paid into the account of </w:t>
      </w:r>
      <w:proofErr w:type="spellStart"/>
      <w:r w:rsidRPr="007B3868">
        <w:rPr>
          <w:rFonts w:ascii="Arial" w:hAnsi="Arial" w:cs="Arial"/>
          <w:color w:val="000000" w:themeColor="text1"/>
          <w:sz w:val="22"/>
          <w:szCs w:val="22"/>
        </w:rPr>
        <w:t>Mthombeni</w:t>
      </w:r>
      <w:proofErr w:type="spellEnd"/>
      <w:r w:rsidRPr="007B3868">
        <w:rPr>
          <w:rFonts w:ascii="Arial" w:hAnsi="Arial" w:cs="Arial"/>
          <w:color w:val="000000" w:themeColor="text1"/>
          <w:sz w:val="22"/>
          <w:szCs w:val="22"/>
        </w:rPr>
        <w:t xml:space="preserve"> Projects (Pty) Ltd by Key Spirit Trading 218</w:t>
      </w:r>
      <w:r w:rsidR="00904282" w:rsidRPr="007B3868">
        <w:rPr>
          <w:rFonts w:ascii="Arial" w:hAnsi="Arial" w:cs="Arial"/>
          <w:color w:val="000000" w:themeColor="text1"/>
          <w:sz w:val="22"/>
          <w:szCs w:val="22"/>
        </w:rPr>
        <w:t xml:space="preserve"> is substantiated.  However, due to the private nature of the subsequent transactions by </w:t>
      </w:r>
      <w:proofErr w:type="spellStart"/>
      <w:r w:rsidR="00904282" w:rsidRPr="007B3868">
        <w:rPr>
          <w:rFonts w:ascii="Arial" w:hAnsi="Arial" w:cs="Arial"/>
          <w:color w:val="000000" w:themeColor="text1"/>
          <w:sz w:val="22"/>
          <w:szCs w:val="22"/>
        </w:rPr>
        <w:t>Mthombeni</w:t>
      </w:r>
      <w:proofErr w:type="spellEnd"/>
      <w:r w:rsidR="00904282" w:rsidRPr="007B3868">
        <w:rPr>
          <w:rFonts w:ascii="Arial" w:hAnsi="Arial" w:cs="Arial"/>
          <w:color w:val="000000" w:themeColor="text1"/>
          <w:sz w:val="22"/>
          <w:szCs w:val="22"/>
        </w:rPr>
        <w:t xml:space="preserve"> Projects (Pty) Ltd it was not possible to conclude within the mandate of the Public Protector, whether the money was misappropriated or whether any person improperly benefited from it.”</w:t>
      </w:r>
    </w:p>
    <w:p w14:paraId="2C559D1B" w14:textId="77777777" w:rsidR="00A651AF" w:rsidRPr="00496E3D" w:rsidRDefault="00A651AF" w:rsidP="00A651AF">
      <w:pPr>
        <w:pStyle w:val="ListParagraph"/>
        <w:rPr>
          <w:rFonts w:ascii="Arial" w:hAnsi="Arial" w:cs="Arial"/>
          <w:color w:val="000000" w:themeColor="text1"/>
        </w:rPr>
      </w:pPr>
    </w:p>
    <w:p w14:paraId="6B78EC7A" w14:textId="61981325" w:rsidR="009F0BAD" w:rsidRDefault="00C47012" w:rsidP="00C47012">
      <w:pPr>
        <w:pStyle w:val="FootnoteText"/>
        <w:spacing w:line="480" w:lineRule="auto"/>
        <w:contextualSpacing/>
        <w:jc w:val="both"/>
        <w:rPr>
          <w:rFonts w:ascii="Arial" w:hAnsi="Arial" w:cs="Arial"/>
          <w:sz w:val="24"/>
          <w:szCs w:val="24"/>
        </w:rPr>
      </w:pPr>
      <w:r>
        <w:rPr>
          <w:rFonts w:ascii="Arial" w:hAnsi="Arial" w:cs="Arial"/>
          <w:color w:val="000000" w:themeColor="text1"/>
          <w:sz w:val="24"/>
          <w:szCs w:val="24"/>
        </w:rPr>
        <w:t>[74]</w:t>
      </w:r>
      <w:r>
        <w:rPr>
          <w:rFonts w:ascii="Arial" w:hAnsi="Arial" w:cs="Arial"/>
          <w:color w:val="000000" w:themeColor="text1"/>
          <w:sz w:val="24"/>
          <w:szCs w:val="24"/>
        </w:rPr>
        <w:tab/>
      </w:r>
      <w:r w:rsidR="002675F5">
        <w:rPr>
          <w:rFonts w:ascii="Arial" w:hAnsi="Arial" w:cs="Arial"/>
          <w:color w:val="000000" w:themeColor="text1"/>
          <w:sz w:val="24"/>
          <w:szCs w:val="24"/>
        </w:rPr>
        <w:t>She said that</w:t>
      </w:r>
      <w:r w:rsidR="005B385E" w:rsidRPr="00496E3D">
        <w:rPr>
          <w:rFonts w:ascii="Arial" w:hAnsi="Arial" w:cs="Arial"/>
          <w:color w:val="000000" w:themeColor="text1"/>
          <w:sz w:val="24"/>
          <w:szCs w:val="24"/>
        </w:rPr>
        <w:t xml:space="preserve"> she had received reports from the FIC dated 14 July 2021 and </w:t>
      </w:r>
      <w:r w:rsidR="00503A27">
        <w:rPr>
          <w:rFonts w:ascii="Arial" w:hAnsi="Arial" w:cs="Arial"/>
          <w:color w:val="000000" w:themeColor="text1"/>
          <w:sz w:val="24"/>
          <w:szCs w:val="24"/>
        </w:rPr>
        <w:t xml:space="preserve">          </w:t>
      </w:r>
      <w:r w:rsidR="005B385E" w:rsidRPr="00496E3D">
        <w:rPr>
          <w:rFonts w:ascii="Arial" w:hAnsi="Arial" w:cs="Arial"/>
          <w:color w:val="000000" w:themeColor="text1"/>
          <w:sz w:val="24"/>
          <w:szCs w:val="24"/>
        </w:rPr>
        <w:t>16 July 2021</w:t>
      </w:r>
      <w:r w:rsidR="005B385E" w:rsidRPr="00496E3D">
        <w:rPr>
          <w:rStyle w:val="FootnoteReference"/>
          <w:rFonts w:ascii="Arial" w:hAnsi="Arial" w:cs="Arial"/>
          <w:color w:val="000000" w:themeColor="text1"/>
          <w:sz w:val="24"/>
          <w:szCs w:val="24"/>
        </w:rPr>
        <w:footnoteReference w:id="74"/>
      </w:r>
      <w:r w:rsidR="002D4C58" w:rsidRPr="00496E3D">
        <w:rPr>
          <w:rFonts w:ascii="Arial" w:hAnsi="Arial" w:cs="Arial"/>
          <w:sz w:val="24"/>
          <w:szCs w:val="24"/>
        </w:rPr>
        <w:t xml:space="preserve"> which she explained revealed that an amount of R38 388</w:t>
      </w:r>
      <w:r w:rsidR="002D4C58" w:rsidRPr="002D4C58">
        <w:rPr>
          <w:rFonts w:ascii="Arial" w:hAnsi="Arial" w:cs="Arial"/>
          <w:sz w:val="24"/>
          <w:szCs w:val="24"/>
        </w:rPr>
        <w:t xml:space="preserve"> 672,93 had bee</w:t>
      </w:r>
      <w:r w:rsidR="003C3C2B">
        <w:rPr>
          <w:rFonts w:ascii="Arial" w:hAnsi="Arial" w:cs="Arial"/>
          <w:sz w:val="24"/>
          <w:szCs w:val="24"/>
        </w:rPr>
        <w:t xml:space="preserve">n paid to Key Spirit by the </w:t>
      </w:r>
      <w:proofErr w:type="spellStart"/>
      <w:r w:rsidR="003C3C2B">
        <w:rPr>
          <w:rFonts w:ascii="Arial" w:hAnsi="Arial" w:cs="Arial"/>
          <w:sz w:val="24"/>
          <w:szCs w:val="24"/>
        </w:rPr>
        <w:t>ECDo</w:t>
      </w:r>
      <w:r w:rsidR="002D4C58" w:rsidRPr="002D4C58">
        <w:rPr>
          <w:rFonts w:ascii="Arial" w:hAnsi="Arial" w:cs="Arial"/>
          <w:sz w:val="24"/>
          <w:szCs w:val="24"/>
        </w:rPr>
        <w:t>T</w:t>
      </w:r>
      <w:proofErr w:type="spellEnd"/>
      <w:r w:rsidR="002D4C58" w:rsidRPr="002D4C58">
        <w:rPr>
          <w:rFonts w:ascii="Arial" w:hAnsi="Arial" w:cs="Arial"/>
          <w:sz w:val="24"/>
          <w:szCs w:val="24"/>
        </w:rPr>
        <w:t xml:space="preserve"> approximately a week before the R2.2 million payment referred to in the second question.  She did not make a finding that there was any impropriety in the payment or that it was not due to Key Spirit.</w:t>
      </w:r>
      <w:r w:rsidR="009F0BAD">
        <w:rPr>
          <w:rFonts w:ascii="Arial" w:hAnsi="Arial" w:cs="Arial"/>
          <w:sz w:val="24"/>
          <w:szCs w:val="24"/>
        </w:rPr>
        <w:t xml:space="preserve">  In respect of the subsequent management of the money she recognised that it was not in her competence to investigate further.</w:t>
      </w:r>
    </w:p>
    <w:p w14:paraId="1914E2BC" w14:textId="77777777" w:rsidR="009F0BAD" w:rsidRDefault="009F0BAD" w:rsidP="009F0BAD">
      <w:pPr>
        <w:pStyle w:val="FootnoteText"/>
        <w:spacing w:line="480" w:lineRule="auto"/>
        <w:contextualSpacing/>
        <w:jc w:val="both"/>
        <w:rPr>
          <w:rFonts w:ascii="Arial" w:hAnsi="Arial" w:cs="Arial"/>
          <w:sz w:val="24"/>
          <w:szCs w:val="24"/>
        </w:rPr>
      </w:pPr>
    </w:p>
    <w:p w14:paraId="514AF4AD" w14:textId="2F54C1B5" w:rsidR="009F0BAD" w:rsidRPr="009F0BAD" w:rsidRDefault="00C47012" w:rsidP="00C47012">
      <w:pPr>
        <w:pStyle w:val="FootnoteText"/>
        <w:spacing w:line="480" w:lineRule="auto"/>
        <w:contextualSpacing/>
        <w:jc w:val="both"/>
        <w:rPr>
          <w:rFonts w:ascii="Arial" w:hAnsi="Arial" w:cs="Arial"/>
          <w:sz w:val="24"/>
          <w:szCs w:val="24"/>
        </w:rPr>
      </w:pPr>
      <w:r w:rsidRPr="009F0BAD">
        <w:rPr>
          <w:rFonts w:ascii="Arial" w:hAnsi="Arial" w:cs="Arial"/>
          <w:color w:val="000000" w:themeColor="text1"/>
          <w:sz w:val="24"/>
          <w:szCs w:val="24"/>
        </w:rPr>
        <w:lastRenderedPageBreak/>
        <w:t>[75]</w:t>
      </w:r>
      <w:r w:rsidRPr="009F0BAD">
        <w:rPr>
          <w:rFonts w:ascii="Arial" w:hAnsi="Arial" w:cs="Arial"/>
          <w:color w:val="000000" w:themeColor="text1"/>
          <w:sz w:val="24"/>
          <w:szCs w:val="24"/>
        </w:rPr>
        <w:tab/>
      </w:r>
      <w:r w:rsidR="009F0BAD" w:rsidRPr="009F0BAD">
        <w:rPr>
          <w:rFonts w:ascii="Arial" w:hAnsi="Arial" w:cs="Arial"/>
          <w:sz w:val="24"/>
          <w:szCs w:val="24"/>
        </w:rPr>
        <w:t>However, in her second report this material finding was significantly changed without any reference to any of the affected parties and, apparently without any further evidence, to read:</w:t>
      </w:r>
    </w:p>
    <w:p w14:paraId="43997B65" w14:textId="77777777" w:rsidR="002D4C58" w:rsidRPr="00496E3D" w:rsidRDefault="002D4C58" w:rsidP="00496E3D">
      <w:pPr>
        <w:pStyle w:val="FootnoteText"/>
        <w:spacing w:line="360" w:lineRule="auto"/>
        <w:ind w:left="1287" w:right="567" w:hanging="720"/>
        <w:contextualSpacing/>
        <w:jc w:val="both"/>
        <w:rPr>
          <w:rFonts w:ascii="Arial" w:hAnsi="Arial" w:cs="Arial"/>
          <w:sz w:val="22"/>
          <w:szCs w:val="22"/>
        </w:rPr>
      </w:pPr>
    </w:p>
    <w:p w14:paraId="721FB6C4" w14:textId="77777777" w:rsidR="00AF4959" w:rsidRDefault="00614A79" w:rsidP="00913D37">
      <w:pPr>
        <w:pStyle w:val="FootnoteText"/>
        <w:spacing w:line="360" w:lineRule="auto"/>
        <w:ind w:left="1287" w:right="567" w:hanging="720"/>
        <w:contextualSpacing/>
        <w:jc w:val="both"/>
        <w:rPr>
          <w:rFonts w:ascii="Arial" w:hAnsi="Arial" w:cs="Arial"/>
          <w:color w:val="000000" w:themeColor="text1"/>
          <w:sz w:val="22"/>
          <w:szCs w:val="22"/>
        </w:rPr>
      </w:pPr>
      <w:r>
        <w:rPr>
          <w:rFonts w:ascii="Arial" w:hAnsi="Arial" w:cs="Arial"/>
          <w:color w:val="000000" w:themeColor="text1"/>
          <w:sz w:val="22"/>
          <w:szCs w:val="22"/>
        </w:rPr>
        <w:t>‘</w:t>
      </w:r>
      <w:r w:rsidR="00913D37" w:rsidRPr="007B3868">
        <w:rPr>
          <w:rFonts w:ascii="Arial" w:hAnsi="Arial" w:cs="Arial"/>
          <w:color w:val="000000" w:themeColor="text1"/>
          <w:sz w:val="22"/>
          <w:szCs w:val="22"/>
        </w:rPr>
        <w:t>6.2.1</w:t>
      </w:r>
      <w:r w:rsidR="00602E31" w:rsidRPr="007B3868">
        <w:rPr>
          <w:rFonts w:ascii="Arial" w:hAnsi="Arial" w:cs="Arial"/>
          <w:color w:val="000000" w:themeColor="text1"/>
          <w:sz w:val="22"/>
          <w:szCs w:val="22"/>
        </w:rPr>
        <w:tab/>
        <w:t xml:space="preserve">The allegation that an amount of R2,2 million (Two million, two hundred thousand rand) that originated from ECPG was paid into the account of </w:t>
      </w:r>
      <w:proofErr w:type="spellStart"/>
      <w:r w:rsidR="00602E31" w:rsidRPr="007B3868">
        <w:rPr>
          <w:rFonts w:ascii="Arial" w:hAnsi="Arial" w:cs="Arial"/>
          <w:color w:val="000000" w:themeColor="text1"/>
          <w:sz w:val="22"/>
          <w:szCs w:val="22"/>
        </w:rPr>
        <w:t>Mthombeni</w:t>
      </w:r>
      <w:proofErr w:type="spellEnd"/>
      <w:r w:rsidR="00602E31" w:rsidRPr="007B3868">
        <w:rPr>
          <w:rFonts w:ascii="Arial" w:hAnsi="Arial" w:cs="Arial"/>
          <w:color w:val="000000" w:themeColor="text1"/>
          <w:sz w:val="22"/>
          <w:szCs w:val="22"/>
        </w:rPr>
        <w:t xml:space="preserve"> Project (Pty) Ltd by Key Spirit Trading 218 is substantiated.  </w:t>
      </w:r>
    </w:p>
    <w:p w14:paraId="45B37EAE" w14:textId="77777777" w:rsidR="00614A79" w:rsidRPr="007B3868" w:rsidRDefault="00614A79" w:rsidP="00913D37">
      <w:pPr>
        <w:pStyle w:val="FootnoteText"/>
        <w:spacing w:line="360" w:lineRule="auto"/>
        <w:ind w:left="1287" w:right="567" w:hanging="720"/>
        <w:contextualSpacing/>
        <w:jc w:val="both"/>
        <w:rPr>
          <w:rFonts w:ascii="Arial" w:hAnsi="Arial" w:cs="Arial"/>
          <w:color w:val="000000" w:themeColor="text1"/>
          <w:sz w:val="22"/>
          <w:szCs w:val="22"/>
        </w:rPr>
      </w:pPr>
    </w:p>
    <w:p w14:paraId="120FAE42" w14:textId="77777777" w:rsidR="00614A79" w:rsidRDefault="00913D37" w:rsidP="00913D37">
      <w:pPr>
        <w:pStyle w:val="FootnoteText"/>
        <w:spacing w:line="360" w:lineRule="auto"/>
        <w:ind w:left="1287" w:right="567" w:hanging="720"/>
        <w:contextualSpacing/>
        <w:jc w:val="both"/>
        <w:rPr>
          <w:rFonts w:ascii="Arial" w:hAnsi="Arial" w:cs="Arial"/>
          <w:color w:val="000000" w:themeColor="text1"/>
          <w:sz w:val="22"/>
          <w:szCs w:val="22"/>
        </w:rPr>
      </w:pPr>
      <w:r w:rsidRPr="007B3868">
        <w:rPr>
          <w:rFonts w:ascii="Arial" w:hAnsi="Arial" w:cs="Arial"/>
          <w:color w:val="000000" w:themeColor="text1"/>
          <w:sz w:val="22"/>
          <w:szCs w:val="22"/>
        </w:rPr>
        <w:t>6.2.2</w:t>
      </w:r>
      <w:r w:rsidR="008978C9" w:rsidRPr="007B3868">
        <w:rPr>
          <w:rFonts w:ascii="Arial" w:hAnsi="Arial" w:cs="Arial"/>
          <w:color w:val="000000" w:themeColor="text1"/>
          <w:sz w:val="22"/>
          <w:szCs w:val="22"/>
        </w:rPr>
        <w:tab/>
      </w:r>
      <w:r w:rsidR="00614A79">
        <w:rPr>
          <w:rFonts w:ascii="Arial" w:hAnsi="Arial" w:cs="Arial"/>
          <w:color w:val="000000" w:themeColor="text1"/>
          <w:sz w:val="22"/>
          <w:szCs w:val="22"/>
        </w:rPr>
        <w:t xml:space="preserve">It was noted that Key Spirit Trading 218 CC’s ABSA bank account was funded or received payment of </w:t>
      </w:r>
      <w:r w:rsidR="00614A79" w:rsidRPr="005D49C2">
        <w:rPr>
          <w:rFonts w:ascii="Arial" w:hAnsi="Arial" w:cs="Arial"/>
          <w:b/>
          <w:color w:val="000000" w:themeColor="text1"/>
          <w:sz w:val="22"/>
          <w:szCs w:val="22"/>
        </w:rPr>
        <w:t>R38 388 672.93</w:t>
      </w:r>
      <w:r w:rsidR="00614A79">
        <w:rPr>
          <w:rFonts w:ascii="Arial" w:hAnsi="Arial" w:cs="Arial"/>
          <w:color w:val="000000" w:themeColor="text1"/>
          <w:sz w:val="22"/>
          <w:szCs w:val="22"/>
        </w:rPr>
        <w:t xml:space="preserve"> directly from Eastern Cape Provincial Government Department of Transport as referenced NPF CREDIT TREAS/IBS on 30 August 2018.</w:t>
      </w:r>
    </w:p>
    <w:p w14:paraId="7E9CD3AB" w14:textId="77777777" w:rsidR="00614A79" w:rsidRDefault="00614A79" w:rsidP="00913D37">
      <w:pPr>
        <w:pStyle w:val="FootnoteText"/>
        <w:spacing w:line="360" w:lineRule="auto"/>
        <w:ind w:left="1287" w:right="567" w:hanging="720"/>
        <w:contextualSpacing/>
        <w:jc w:val="both"/>
        <w:rPr>
          <w:rFonts w:ascii="Arial" w:hAnsi="Arial" w:cs="Arial"/>
          <w:color w:val="000000" w:themeColor="text1"/>
          <w:sz w:val="22"/>
          <w:szCs w:val="22"/>
        </w:rPr>
      </w:pPr>
    </w:p>
    <w:p w14:paraId="61714214" w14:textId="77777777" w:rsidR="00614A79" w:rsidRDefault="00AF4959" w:rsidP="00913D37">
      <w:pPr>
        <w:pStyle w:val="FootnoteText"/>
        <w:spacing w:line="360" w:lineRule="auto"/>
        <w:ind w:left="1287" w:right="567" w:hanging="720"/>
        <w:contextualSpacing/>
        <w:jc w:val="both"/>
        <w:rPr>
          <w:rFonts w:ascii="Arial" w:hAnsi="Arial" w:cs="Arial"/>
          <w:color w:val="000000" w:themeColor="text1"/>
          <w:sz w:val="22"/>
          <w:szCs w:val="22"/>
        </w:rPr>
      </w:pPr>
      <w:r w:rsidRPr="007B3868">
        <w:rPr>
          <w:rFonts w:ascii="Arial" w:hAnsi="Arial" w:cs="Arial"/>
          <w:color w:val="000000" w:themeColor="text1"/>
          <w:sz w:val="22"/>
          <w:szCs w:val="22"/>
        </w:rPr>
        <w:t>6.2.3</w:t>
      </w:r>
      <w:r w:rsidR="008978C9" w:rsidRPr="007B3868">
        <w:rPr>
          <w:rFonts w:ascii="Arial" w:hAnsi="Arial" w:cs="Arial"/>
          <w:color w:val="000000" w:themeColor="text1"/>
          <w:sz w:val="22"/>
          <w:szCs w:val="22"/>
        </w:rPr>
        <w:tab/>
      </w:r>
      <w:r w:rsidR="00614A79">
        <w:rPr>
          <w:rFonts w:ascii="Arial" w:hAnsi="Arial" w:cs="Arial"/>
          <w:color w:val="000000" w:themeColor="text1"/>
          <w:sz w:val="22"/>
          <w:szCs w:val="22"/>
        </w:rPr>
        <w:t>On 11 August 2018, Key Spirit Trading 218 CC, transferred R2 200 000.00 (Two Million, Two Hundred Thousand) to MTHOMBENI PROJECTS (PTY) LTD as referenced “</w:t>
      </w:r>
      <w:proofErr w:type="spellStart"/>
      <w:r w:rsidR="00614A79" w:rsidRPr="00614A79">
        <w:rPr>
          <w:rFonts w:ascii="Arial" w:hAnsi="Arial" w:cs="Arial"/>
          <w:i/>
          <w:color w:val="000000" w:themeColor="text1"/>
          <w:sz w:val="22"/>
          <w:szCs w:val="22"/>
        </w:rPr>
        <w:t>Colis</w:t>
      </w:r>
      <w:proofErr w:type="spellEnd"/>
      <w:r w:rsidR="00614A79" w:rsidRPr="00614A79">
        <w:rPr>
          <w:rFonts w:ascii="Arial" w:hAnsi="Arial" w:cs="Arial"/>
          <w:i/>
          <w:color w:val="000000" w:themeColor="text1"/>
          <w:sz w:val="22"/>
          <w:szCs w:val="22"/>
        </w:rPr>
        <w:t xml:space="preserve"> Roof Sheet</w:t>
      </w:r>
      <w:r w:rsidR="00614A79">
        <w:rPr>
          <w:rFonts w:ascii="Arial" w:hAnsi="Arial" w:cs="Arial"/>
          <w:color w:val="000000" w:themeColor="text1"/>
          <w:sz w:val="22"/>
          <w:szCs w:val="22"/>
        </w:rPr>
        <w:t>”.’</w:t>
      </w:r>
    </w:p>
    <w:p w14:paraId="5100D5F4" w14:textId="77777777" w:rsidR="00614A79" w:rsidRDefault="00614A79" w:rsidP="00913D37">
      <w:pPr>
        <w:pStyle w:val="FootnoteText"/>
        <w:spacing w:line="360" w:lineRule="auto"/>
        <w:ind w:left="1287" w:right="567" w:hanging="720"/>
        <w:contextualSpacing/>
        <w:jc w:val="both"/>
        <w:rPr>
          <w:rFonts w:ascii="Arial" w:hAnsi="Arial" w:cs="Arial"/>
          <w:color w:val="000000" w:themeColor="text1"/>
          <w:sz w:val="22"/>
          <w:szCs w:val="22"/>
        </w:rPr>
      </w:pPr>
    </w:p>
    <w:p w14:paraId="281CBF91" w14:textId="676BD845" w:rsidR="002D4C58" w:rsidRDefault="00C47012" w:rsidP="00C47012">
      <w:pPr>
        <w:pStyle w:val="FootnoteText"/>
        <w:spacing w:line="480" w:lineRule="auto"/>
        <w:contextualSpacing/>
        <w:jc w:val="both"/>
        <w:rPr>
          <w:rFonts w:ascii="Arial" w:hAnsi="Arial" w:cs="Arial"/>
          <w:sz w:val="24"/>
          <w:szCs w:val="24"/>
        </w:rPr>
      </w:pPr>
      <w:r>
        <w:rPr>
          <w:rFonts w:ascii="Arial" w:hAnsi="Arial" w:cs="Arial"/>
          <w:color w:val="000000" w:themeColor="text1"/>
          <w:sz w:val="24"/>
          <w:szCs w:val="24"/>
        </w:rPr>
        <w:t>[76]</w:t>
      </w:r>
      <w:r>
        <w:rPr>
          <w:rFonts w:ascii="Arial" w:hAnsi="Arial" w:cs="Arial"/>
          <w:color w:val="000000" w:themeColor="text1"/>
          <w:sz w:val="24"/>
          <w:szCs w:val="24"/>
        </w:rPr>
        <w:tab/>
      </w:r>
      <w:r w:rsidR="00817E9F">
        <w:rPr>
          <w:rFonts w:ascii="Arial" w:hAnsi="Arial" w:cs="Arial"/>
          <w:sz w:val="24"/>
          <w:szCs w:val="24"/>
        </w:rPr>
        <w:t xml:space="preserve">These changes are not insignificant.  </w:t>
      </w:r>
      <w:r w:rsidR="002675F5">
        <w:rPr>
          <w:rFonts w:ascii="Arial" w:hAnsi="Arial" w:cs="Arial"/>
          <w:sz w:val="24"/>
          <w:szCs w:val="24"/>
        </w:rPr>
        <w:t xml:space="preserve">The fact that a large sum of money may have been paid to Key Spirit by the </w:t>
      </w:r>
      <w:proofErr w:type="spellStart"/>
      <w:r w:rsidR="002675F5">
        <w:rPr>
          <w:rFonts w:ascii="Arial" w:hAnsi="Arial" w:cs="Arial"/>
          <w:sz w:val="24"/>
          <w:szCs w:val="24"/>
        </w:rPr>
        <w:t>ECDoT</w:t>
      </w:r>
      <w:proofErr w:type="spellEnd"/>
      <w:r w:rsidR="002675F5">
        <w:rPr>
          <w:rFonts w:ascii="Arial" w:hAnsi="Arial" w:cs="Arial"/>
          <w:sz w:val="24"/>
          <w:szCs w:val="24"/>
        </w:rPr>
        <w:t xml:space="preserve"> does not render the amount “public money” in the hands of Key Spirit, </w:t>
      </w:r>
      <w:r w:rsidR="002675F5" w:rsidRPr="007B3868">
        <w:rPr>
          <w:rFonts w:ascii="Arial" w:hAnsi="Arial" w:cs="Arial"/>
          <w:color w:val="000000" w:themeColor="text1"/>
          <w:sz w:val="24"/>
          <w:szCs w:val="24"/>
        </w:rPr>
        <w:t xml:space="preserve">unless the </w:t>
      </w:r>
      <w:r w:rsidR="002675F5">
        <w:rPr>
          <w:rFonts w:ascii="Arial" w:hAnsi="Arial" w:cs="Arial"/>
          <w:sz w:val="24"/>
          <w:szCs w:val="24"/>
        </w:rPr>
        <w:t xml:space="preserve">payment had been tainted in some way. </w:t>
      </w:r>
      <w:r w:rsidR="00E83851">
        <w:rPr>
          <w:rFonts w:ascii="Arial" w:hAnsi="Arial" w:cs="Arial"/>
          <w:sz w:val="24"/>
          <w:szCs w:val="24"/>
        </w:rPr>
        <w:t xml:space="preserve">  She made no such finding. </w:t>
      </w:r>
      <w:r w:rsidR="002675F5">
        <w:rPr>
          <w:rFonts w:ascii="Arial" w:hAnsi="Arial" w:cs="Arial"/>
          <w:sz w:val="24"/>
          <w:szCs w:val="24"/>
        </w:rPr>
        <w:t xml:space="preserve"> </w:t>
      </w:r>
      <w:r w:rsidR="000D1E3F">
        <w:rPr>
          <w:rFonts w:ascii="Arial" w:hAnsi="Arial" w:cs="Arial"/>
          <w:sz w:val="24"/>
          <w:szCs w:val="24"/>
        </w:rPr>
        <w:t>In any event, as</w:t>
      </w:r>
      <w:r w:rsidR="002D4C58">
        <w:rPr>
          <w:rFonts w:ascii="Arial" w:hAnsi="Arial" w:cs="Arial"/>
          <w:sz w:val="24"/>
          <w:szCs w:val="24"/>
        </w:rPr>
        <w:t xml:space="preserve"> I have said there is no reference to any FIC reports in the s 7(9) notice nor was any subsequent opportunity granted to any of the affected persons</w:t>
      </w:r>
      <w:r w:rsidR="00E83851">
        <w:rPr>
          <w:rFonts w:ascii="Arial" w:hAnsi="Arial" w:cs="Arial"/>
          <w:sz w:val="24"/>
          <w:szCs w:val="24"/>
        </w:rPr>
        <w:t>, either before the first report or the second report,</w:t>
      </w:r>
      <w:r w:rsidR="002D4C58">
        <w:rPr>
          <w:rFonts w:ascii="Arial" w:hAnsi="Arial" w:cs="Arial"/>
          <w:sz w:val="24"/>
          <w:szCs w:val="24"/>
        </w:rPr>
        <w:t xml:space="preserve"> to respond thereto.  </w:t>
      </w:r>
      <w:r w:rsidR="000D1E3F">
        <w:rPr>
          <w:rFonts w:ascii="Arial" w:hAnsi="Arial" w:cs="Arial"/>
          <w:sz w:val="24"/>
          <w:szCs w:val="24"/>
        </w:rPr>
        <w:t>The c</w:t>
      </w:r>
      <w:r w:rsidR="002D4C58">
        <w:rPr>
          <w:rFonts w:ascii="Arial" w:hAnsi="Arial" w:cs="Arial"/>
          <w:sz w:val="24"/>
          <w:szCs w:val="24"/>
        </w:rPr>
        <w:t xml:space="preserve">ontent of the FIC reports </w:t>
      </w:r>
      <w:proofErr w:type="gramStart"/>
      <w:r w:rsidR="002D4C58">
        <w:rPr>
          <w:rFonts w:ascii="Arial" w:hAnsi="Arial" w:cs="Arial"/>
          <w:sz w:val="24"/>
          <w:szCs w:val="24"/>
        </w:rPr>
        <w:t>are</w:t>
      </w:r>
      <w:proofErr w:type="gramEnd"/>
      <w:r w:rsidR="002D4C58">
        <w:rPr>
          <w:rFonts w:ascii="Arial" w:hAnsi="Arial" w:cs="Arial"/>
          <w:sz w:val="24"/>
          <w:szCs w:val="24"/>
        </w:rPr>
        <w:t xml:space="preserve"> not reflected in the report</w:t>
      </w:r>
      <w:r w:rsidR="00E83851">
        <w:rPr>
          <w:rFonts w:ascii="Arial" w:hAnsi="Arial" w:cs="Arial"/>
          <w:sz w:val="24"/>
          <w:szCs w:val="24"/>
        </w:rPr>
        <w:t>s</w:t>
      </w:r>
      <w:r w:rsidR="002D4C58">
        <w:rPr>
          <w:rFonts w:ascii="Arial" w:hAnsi="Arial" w:cs="Arial"/>
          <w:sz w:val="24"/>
          <w:szCs w:val="24"/>
        </w:rPr>
        <w:t xml:space="preserve"> nor is it explained why the PP considered that the amount of R2.2 million originated from public funds.  </w:t>
      </w:r>
      <w:proofErr w:type="spellStart"/>
      <w:r w:rsidR="002D4C58">
        <w:rPr>
          <w:rFonts w:ascii="Arial" w:hAnsi="Arial" w:cs="Arial"/>
          <w:sz w:val="24"/>
          <w:szCs w:val="24"/>
        </w:rPr>
        <w:t>Ms</w:t>
      </w:r>
      <w:proofErr w:type="spellEnd"/>
      <w:r w:rsidR="002D4C58">
        <w:rPr>
          <w:rFonts w:ascii="Arial" w:hAnsi="Arial" w:cs="Arial"/>
          <w:sz w:val="24"/>
          <w:szCs w:val="24"/>
        </w:rPr>
        <w:t xml:space="preserve"> Baloyi on behalf of the PP, argued that the PP was not required to provide implicated persons with all her source documentation when affording them an opportunity to make representations.  I shall </w:t>
      </w:r>
      <w:r w:rsidR="002D4C58">
        <w:rPr>
          <w:rFonts w:ascii="Arial" w:hAnsi="Arial" w:cs="Arial"/>
          <w:sz w:val="24"/>
          <w:szCs w:val="24"/>
        </w:rPr>
        <w:lastRenderedPageBreak/>
        <w:t xml:space="preserve">accept, for purposes of this judgment, that the </w:t>
      </w:r>
      <w:r w:rsidR="000D1E3F">
        <w:rPr>
          <w:rFonts w:ascii="Arial" w:hAnsi="Arial" w:cs="Arial"/>
          <w:sz w:val="24"/>
          <w:szCs w:val="24"/>
        </w:rPr>
        <w:t>contention</w:t>
      </w:r>
      <w:r w:rsidR="002D4C58">
        <w:rPr>
          <w:rFonts w:ascii="Arial" w:hAnsi="Arial" w:cs="Arial"/>
          <w:sz w:val="24"/>
          <w:szCs w:val="24"/>
        </w:rPr>
        <w:t xml:space="preserve"> is correct, but it is not an answer to </w:t>
      </w:r>
      <w:proofErr w:type="spellStart"/>
      <w:r w:rsidR="002D4C58">
        <w:rPr>
          <w:rFonts w:ascii="Arial" w:hAnsi="Arial" w:cs="Arial"/>
          <w:sz w:val="24"/>
          <w:szCs w:val="24"/>
        </w:rPr>
        <w:t>Mr</w:t>
      </w:r>
      <w:proofErr w:type="spellEnd"/>
      <w:r w:rsidR="002D4C58">
        <w:rPr>
          <w:rFonts w:ascii="Arial" w:hAnsi="Arial" w:cs="Arial"/>
          <w:sz w:val="24"/>
          <w:szCs w:val="24"/>
        </w:rPr>
        <w:t xml:space="preserve"> </w:t>
      </w:r>
      <w:proofErr w:type="spellStart"/>
      <w:r w:rsidR="002D4C58">
        <w:rPr>
          <w:rFonts w:ascii="Arial" w:hAnsi="Arial" w:cs="Arial"/>
          <w:sz w:val="24"/>
          <w:szCs w:val="24"/>
        </w:rPr>
        <w:t>Madikizela’s</w:t>
      </w:r>
      <w:proofErr w:type="spellEnd"/>
      <w:r w:rsidR="002D4C58">
        <w:rPr>
          <w:rFonts w:ascii="Arial" w:hAnsi="Arial" w:cs="Arial"/>
          <w:sz w:val="24"/>
          <w:szCs w:val="24"/>
        </w:rPr>
        <w:t xml:space="preserve"> complaint.  In the </w:t>
      </w:r>
      <w:r w:rsidR="002D4C58">
        <w:rPr>
          <w:rFonts w:ascii="Arial" w:hAnsi="Arial" w:cs="Arial"/>
          <w:i/>
          <w:sz w:val="24"/>
          <w:szCs w:val="24"/>
        </w:rPr>
        <w:t>President (CC)</w:t>
      </w:r>
      <w:r w:rsidR="002D4C58">
        <w:rPr>
          <w:rStyle w:val="FootnoteReference"/>
          <w:rFonts w:ascii="Arial" w:hAnsi="Arial" w:cs="Arial"/>
          <w:i/>
          <w:sz w:val="24"/>
          <w:szCs w:val="24"/>
        </w:rPr>
        <w:footnoteReference w:id="75"/>
      </w:r>
      <w:r w:rsidR="002D4C58">
        <w:rPr>
          <w:rFonts w:ascii="Arial" w:hAnsi="Arial" w:cs="Arial"/>
          <w:i/>
          <w:sz w:val="24"/>
          <w:szCs w:val="24"/>
        </w:rPr>
        <w:t xml:space="preserve"> </w:t>
      </w:r>
      <w:r w:rsidR="002D4C58">
        <w:rPr>
          <w:rFonts w:ascii="Arial" w:hAnsi="Arial" w:cs="Arial"/>
          <w:sz w:val="24"/>
          <w:szCs w:val="24"/>
        </w:rPr>
        <w:t>it was held:</w:t>
      </w:r>
    </w:p>
    <w:p w14:paraId="71EDF3EA" w14:textId="77777777" w:rsidR="000D1E3F" w:rsidRDefault="000D1E3F" w:rsidP="000D1E3F">
      <w:pPr>
        <w:pStyle w:val="FootnoteText"/>
        <w:spacing w:line="480" w:lineRule="auto"/>
        <w:contextualSpacing/>
        <w:jc w:val="both"/>
        <w:rPr>
          <w:rFonts w:ascii="Arial" w:hAnsi="Arial" w:cs="Arial"/>
          <w:sz w:val="24"/>
          <w:szCs w:val="24"/>
        </w:rPr>
      </w:pPr>
    </w:p>
    <w:p w14:paraId="50B35AD5" w14:textId="77777777" w:rsidR="002D4C58" w:rsidRPr="007B3868" w:rsidRDefault="002D4C58" w:rsidP="00496E3D">
      <w:pPr>
        <w:pStyle w:val="FootnoteText"/>
        <w:spacing w:line="360" w:lineRule="auto"/>
        <w:ind w:left="567" w:right="567"/>
        <w:contextualSpacing/>
        <w:jc w:val="both"/>
        <w:rPr>
          <w:rFonts w:ascii="Arial" w:hAnsi="Arial" w:cs="Arial"/>
          <w:color w:val="000000" w:themeColor="text1"/>
          <w:sz w:val="22"/>
          <w:szCs w:val="22"/>
        </w:rPr>
      </w:pPr>
      <w:r w:rsidRPr="007B3868">
        <w:rPr>
          <w:rFonts w:ascii="Arial" w:hAnsi="Arial" w:cs="Arial"/>
          <w:color w:val="000000" w:themeColor="text1"/>
          <w:sz w:val="22"/>
          <w:szCs w:val="22"/>
        </w:rPr>
        <w:t>“Whenever an individual is implicated during the course of an investigation, the Public Protector is obliged to afford such person an opportunity to respond to the implicating evidence, if the implication may be detrimental to the person or if a finding adverse to him or her is anticipated.”</w:t>
      </w:r>
    </w:p>
    <w:p w14:paraId="0BB07CEA" w14:textId="77777777" w:rsidR="002D4C58" w:rsidRDefault="002D4C58" w:rsidP="002D4C58">
      <w:pPr>
        <w:pStyle w:val="FootnoteText"/>
        <w:spacing w:line="480" w:lineRule="auto"/>
        <w:contextualSpacing/>
        <w:jc w:val="both"/>
        <w:rPr>
          <w:rFonts w:ascii="Arial" w:hAnsi="Arial" w:cs="Arial"/>
          <w:sz w:val="24"/>
          <w:szCs w:val="24"/>
        </w:rPr>
      </w:pPr>
    </w:p>
    <w:p w14:paraId="0CB4E731" w14:textId="2606A16F" w:rsidR="002D4C58" w:rsidRDefault="00C47012" w:rsidP="00C47012">
      <w:pPr>
        <w:pStyle w:val="FootnoteText"/>
        <w:spacing w:line="480" w:lineRule="auto"/>
        <w:contextualSpacing/>
        <w:jc w:val="both"/>
        <w:rPr>
          <w:rFonts w:ascii="Arial" w:hAnsi="Arial" w:cs="Arial"/>
          <w:sz w:val="24"/>
          <w:szCs w:val="24"/>
        </w:rPr>
      </w:pPr>
      <w:r>
        <w:rPr>
          <w:rFonts w:ascii="Arial" w:hAnsi="Arial" w:cs="Arial"/>
          <w:color w:val="000000" w:themeColor="text1"/>
          <w:sz w:val="24"/>
          <w:szCs w:val="24"/>
        </w:rPr>
        <w:t>[77]</w:t>
      </w:r>
      <w:r>
        <w:rPr>
          <w:rFonts w:ascii="Arial" w:hAnsi="Arial" w:cs="Arial"/>
          <w:color w:val="000000" w:themeColor="text1"/>
          <w:sz w:val="24"/>
          <w:szCs w:val="24"/>
        </w:rPr>
        <w:tab/>
      </w:r>
      <w:r w:rsidR="000D1E3F">
        <w:rPr>
          <w:rFonts w:ascii="Arial" w:hAnsi="Arial" w:cs="Arial"/>
          <w:sz w:val="24"/>
          <w:szCs w:val="24"/>
        </w:rPr>
        <w:t>The content of the FIC reports is critical to the conclusion that the R2.2 million was public money.  If it was not, then the PP had no competence to proceed further</w:t>
      </w:r>
      <w:r w:rsidR="00FD0635">
        <w:rPr>
          <w:rFonts w:ascii="Arial" w:hAnsi="Arial" w:cs="Arial"/>
          <w:sz w:val="24"/>
          <w:szCs w:val="24"/>
        </w:rPr>
        <w:t xml:space="preserve"> under </w:t>
      </w:r>
      <w:r w:rsidR="002A5839">
        <w:rPr>
          <w:rFonts w:ascii="Arial" w:hAnsi="Arial" w:cs="Arial"/>
          <w:sz w:val="24"/>
          <w:szCs w:val="24"/>
        </w:rPr>
        <w:t xml:space="preserve">      </w:t>
      </w:r>
      <w:r w:rsidR="00FD0635">
        <w:rPr>
          <w:rFonts w:ascii="Arial" w:hAnsi="Arial" w:cs="Arial"/>
          <w:sz w:val="24"/>
          <w:szCs w:val="24"/>
        </w:rPr>
        <w:t>s 6(4)(a)(iv) of the Act</w:t>
      </w:r>
      <w:r w:rsidR="000D1E3F">
        <w:rPr>
          <w:rFonts w:ascii="Arial" w:hAnsi="Arial" w:cs="Arial"/>
          <w:sz w:val="24"/>
          <w:szCs w:val="24"/>
        </w:rPr>
        <w:t>.</w:t>
      </w:r>
      <w:r w:rsidR="00FD0635">
        <w:rPr>
          <w:rStyle w:val="FootnoteReference"/>
          <w:rFonts w:ascii="Arial" w:hAnsi="Arial" w:cs="Arial"/>
          <w:sz w:val="24"/>
          <w:szCs w:val="24"/>
        </w:rPr>
        <w:footnoteReference w:id="76"/>
      </w:r>
      <w:r w:rsidR="000D1E3F">
        <w:rPr>
          <w:rFonts w:ascii="Arial" w:hAnsi="Arial" w:cs="Arial"/>
          <w:sz w:val="24"/>
          <w:szCs w:val="24"/>
        </w:rPr>
        <w:t xml:space="preserve">  </w:t>
      </w:r>
      <w:r w:rsidR="002D4C58">
        <w:rPr>
          <w:rFonts w:ascii="Arial" w:hAnsi="Arial" w:cs="Arial"/>
          <w:sz w:val="24"/>
          <w:szCs w:val="24"/>
        </w:rPr>
        <w:t xml:space="preserve">What is required is that </w:t>
      </w:r>
      <w:r w:rsidR="000952A4">
        <w:rPr>
          <w:rFonts w:ascii="Arial" w:hAnsi="Arial" w:cs="Arial"/>
          <w:sz w:val="24"/>
          <w:szCs w:val="24"/>
        </w:rPr>
        <w:t xml:space="preserve">the PP must </w:t>
      </w:r>
      <w:r w:rsidR="002D4C58">
        <w:rPr>
          <w:rFonts w:ascii="Arial" w:hAnsi="Arial" w:cs="Arial"/>
          <w:sz w:val="24"/>
          <w:szCs w:val="24"/>
        </w:rPr>
        <w:t xml:space="preserve">provide sufficient </w:t>
      </w:r>
      <w:r w:rsidR="000D1E3F">
        <w:rPr>
          <w:rFonts w:ascii="Arial" w:hAnsi="Arial" w:cs="Arial"/>
          <w:sz w:val="24"/>
          <w:szCs w:val="24"/>
        </w:rPr>
        <w:t>particularity</w:t>
      </w:r>
      <w:r w:rsidR="002D4C58">
        <w:rPr>
          <w:rFonts w:ascii="Arial" w:hAnsi="Arial" w:cs="Arial"/>
          <w:sz w:val="24"/>
          <w:szCs w:val="24"/>
        </w:rPr>
        <w:t xml:space="preserve"> of the nature of the information and a reason for it justifying the anticipated finding.  </w:t>
      </w:r>
      <w:r w:rsidR="0078524F">
        <w:rPr>
          <w:rFonts w:ascii="Arial" w:hAnsi="Arial" w:cs="Arial"/>
          <w:sz w:val="24"/>
          <w:szCs w:val="24"/>
        </w:rPr>
        <w:t>She</w:t>
      </w:r>
      <w:r w:rsidR="002D4C58">
        <w:rPr>
          <w:rFonts w:ascii="Arial" w:hAnsi="Arial" w:cs="Arial"/>
          <w:sz w:val="24"/>
          <w:szCs w:val="24"/>
        </w:rPr>
        <w:t xml:space="preserve"> was obliged to </w:t>
      </w:r>
      <w:r w:rsidR="000952A4">
        <w:rPr>
          <w:rFonts w:ascii="Arial" w:hAnsi="Arial" w:cs="Arial"/>
          <w:sz w:val="24"/>
          <w:szCs w:val="24"/>
        </w:rPr>
        <w:t>afford</w:t>
      </w:r>
      <w:r w:rsidR="002D4C58">
        <w:rPr>
          <w:rFonts w:ascii="Arial" w:hAnsi="Arial" w:cs="Arial"/>
          <w:sz w:val="24"/>
          <w:szCs w:val="24"/>
        </w:rPr>
        <w:t xml:space="preserve"> </w:t>
      </w:r>
      <w:proofErr w:type="spellStart"/>
      <w:r w:rsidR="002D4C58">
        <w:rPr>
          <w:rFonts w:ascii="Arial" w:hAnsi="Arial" w:cs="Arial"/>
          <w:sz w:val="24"/>
          <w:szCs w:val="24"/>
        </w:rPr>
        <w:t>Mr</w:t>
      </w:r>
      <w:proofErr w:type="spellEnd"/>
      <w:r w:rsidR="002D4C58">
        <w:rPr>
          <w:rFonts w:ascii="Arial" w:hAnsi="Arial" w:cs="Arial"/>
          <w:sz w:val="24"/>
          <w:szCs w:val="24"/>
        </w:rPr>
        <w:t xml:space="preserve"> </w:t>
      </w:r>
      <w:proofErr w:type="spellStart"/>
      <w:r w:rsidR="002D4C58">
        <w:rPr>
          <w:rFonts w:ascii="Arial" w:hAnsi="Arial" w:cs="Arial"/>
          <w:sz w:val="24"/>
          <w:szCs w:val="24"/>
        </w:rPr>
        <w:t>Madikizela</w:t>
      </w:r>
      <w:proofErr w:type="spellEnd"/>
      <w:r w:rsidR="002D4C58">
        <w:rPr>
          <w:rFonts w:ascii="Arial" w:hAnsi="Arial" w:cs="Arial"/>
          <w:sz w:val="24"/>
          <w:szCs w:val="24"/>
        </w:rPr>
        <w:t xml:space="preserve"> </w:t>
      </w:r>
      <w:r w:rsidR="000952A4">
        <w:rPr>
          <w:rFonts w:ascii="Arial" w:hAnsi="Arial" w:cs="Arial"/>
          <w:sz w:val="24"/>
          <w:szCs w:val="24"/>
        </w:rPr>
        <w:t xml:space="preserve">and </w:t>
      </w:r>
      <w:proofErr w:type="spellStart"/>
      <w:r w:rsidR="000952A4">
        <w:rPr>
          <w:rFonts w:ascii="Arial" w:hAnsi="Arial" w:cs="Arial"/>
          <w:sz w:val="24"/>
          <w:szCs w:val="24"/>
        </w:rPr>
        <w:t>Mr</w:t>
      </w:r>
      <w:proofErr w:type="spellEnd"/>
      <w:r w:rsidR="000952A4">
        <w:rPr>
          <w:rFonts w:ascii="Arial" w:hAnsi="Arial" w:cs="Arial"/>
          <w:sz w:val="24"/>
          <w:szCs w:val="24"/>
        </w:rPr>
        <w:t xml:space="preserve"> </w:t>
      </w:r>
      <w:proofErr w:type="spellStart"/>
      <w:r w:rsidR="000952A4">
        <w:rPr>
          <w:rFonts w:ascii="Arial" w:hAnsi="Arial" w:cs="Arial"/>
          <w:sz w:val="24"/>
          <w:szCs w:val="24"/>
        </w:rPr>
        <w:t>Mabuyane</w:t>
      </w:r>
      <w:proofErr w:type="spellEnd"/>
      <w:r w:rsidR="000952A4">
        <w:rPr>
          <w:rFonts w:ascii="Arial" w:hAnsi="Arial" w:cs="Arial"/>
          <w:sz w:val="24"/>
          <w:szCs w:val="24"/>
        </w:rPr>
        <w:t xml:space="preserve"> </w:t>
      </w:r>
      <w:r w:rsidR="002D4C58">
        <w:rPr>
          <w:rFonts w:ascii="Arial" w:hAnsi="Arial" w:cs="Arial"/>
          <w:sz w:val="24"/>
          <w:szCs w:val="24"/>
        </w:rPr>
        <w:t xml:space="preserve">an opportunity to respond to the FIC reports and its alleged incriminating information.  </w:t>
      </w:r>
      <w:r w:rsidR="000952A4">
        <w:rPr>
          <w:rFonts w:ascii="Arial" w:hAnsi="Arial" w:cs="Arial"/>
          <w:sz w:val="24"/>
          <w:szCs w:val="24"/>
        </w:rPr>
        <w:t>She failed to do so.  Again, this is fatal to her findings in the second question</w:t>
      </w:r>
      <w:r w:rsidR="0078524F">
        <w:rPr>
          <w:rFonts w:ascii="Arial" w:hAnsi="Arial" w:cs="Arial"/>
          <w:sz w:val="24"/>
          <w:szCs w:val="24"/>
        </w:rPr>
        <w:t xml:space="preserve"> in her report</w:t>
      </w:r>
      <w:r w:rsidR="000952A4">
        <w:rPr>
          <w:rFonts w:ascii="Arial" w:hAnsi="Arial" w:cs="Arial"/>
          <w:sz w:val="24"/>
          <w:szCs w:val="24"/>
        </w:rPr>
        <w:t>.</w:t>
      </w:r>
    </w:p>
    <w:p w14:paraId="1315EF89" w14:textId="77777777" w:rsidR="002D4C58" w:rsidRDefault="002D4C58" w:rsidP="002D4C58">
      <w:pPr>
        <w:pStyle w:val="FootnoteText"/>
        <w:spacing w:line="480" w:lineRule="auto"/>
        <w:contextualSpacing/>
        <w:jc w:val="both"/>
        <w:rPr>
          <w:rFonts w:ascii="Arial" w:hAnsi="Arial" w:cs="Arial"/>
          <w:sz w:val="24"/>
          <w:szCs w:val="24"/>
        </w:rPr>
      </w:pPr>
    </w:p>
    <w:p w14:paraId="4B931F1B" w14:textId="02E1A86A" w:rsidR="001121DC" w:rsidRDefault="00C47012" w:rsidP="00C47012">
      <w:pPr>
        <w:pStyle w:val="FootnoteText"/>
        <w:spacing w:line="480" w:lineRule="auto"/>
        <w:ind w:left="720" w:hanging="720"/>
        <w:contextualSpacing/>
        <w:jc w:val="both"/>
        <w:rPr>
          <w:rFonts w:ascii="Arial" w:hAnsi="Arial" w:cs="Arial"/>
          <w:sz w:val="24"/>
          <w:szCs w:val="24"/>
          <w:u w:val="single"/>
        </w:rPr>
      </w:pPr>
      <w:r>
        <w:rPr>
          <w:rFonts w:ascii="Arial" w:hAnsi="Arial" w:cs="Arial"/>
          <w:sz w:val="24"/>
          <w:szCs w:val="24"/>
        </w:rPr>
        <w:t>(e)</w:t>
      </w:r>
      <w:r>
        <w:rPr>
          <w:rFonts w:ascii="Arial" w:hAnsi="Arial" w:cs="Arial"/>
          <w:sz w:val="24"/>
          <w:szCs w:val="24"/>
        </w:rPr>
        <w:tab/>
      </w:r>
      <w:r w:rsidR="002D4C58" w:rsidRPr="002D4C58">
        <w:rPr>
          <w:rFonts w:ascii="Arial" w:hAnsi="Arial" w:cs="Arial"/>
          <w:sz w:val="24"/>
          <w:szCs w:val="24"/>
          <w:u w:val="single"/>
        </w:rPr>
        <w:t>The rule 53 record</w:t>
      </w:r>
    </w:p>
    <w:p w14:paraId="661D1B75" w14:textId="43B49C6C" w:rsidR="001121DC" w:rsidRDefault="00C47012" w:rsidP="00C47012">
      <w:pPr>
        <w:pStyle w:val="FootnoteText"/>
        <w:spacing w:line="480" w:lineRule="auto"/>
        <w:contextualSpacing/>
        <w:jc w:val="both"/>
        <w:rPr>
          <w:rFonts w:ascii="Arial" w:hAnsi="Arial" w:cs="Arial"/>
          <w:sz w:val="24"/>
          <w:szCs w:val="24"/>
          <w:u w:val="single"/>
        </w:rPr>
      </w:pPr>
      <w:r>
        <w:rPr>
          <w:rFonts w:ascii="Arial" w:hAnsi="Arial" w:cs="Arial"/>
          <w:sz w:val="24"/>
          <w:szCs w:val="24"/>
        </w:rPr>
        <w:t>[76]</w:t>
      </w:r>
      <w:r>
        <w:rPr>
          <w:rFonts w:ascii="Arial" w:hAnsi="Arial" w:cs="Arial"/>
          <w:sz w:val="24"/>
          <w:szCs w:val="24"/>
        </w:rPr>
        <w:tab/>
      </w:r>
      <w:r w:rsidR="002D4C58" w:rsidRPr="001121DC">
        <w:rPr>
          <w:rFonts w:ascii="Arial" w:hAnsi="Arial" w:cs="Arial"/>
          <w:sz w:val="24"/>
          <w:szCs w:val="24"/>
        </w:rPr>
        <w:t xml:space="preserve">As I have said the PP </w:t>
      </w:r>
      <w:r w:rsidR="002C17BF" w:rsidRPr="001121DC">
        <w:rPr>
          <w:rFonts w:ascii="Arial" w:hAnsi="Arial" w:cs="Arial"/>
          <w:sz w:val="24"/>
          <w:szCs w:val="24"/>
        </w:rPr>
        <w:t>claimed</w:t>
      </w:r>
      <w:r w:rsidR="002D4C58" w:rsidRPr="001121DC">
        <w:rPr>
          <w:rFonts w:ascii="Arial" w:hAnsi="Arial" w:cs="Arial"/>
          <w:sz w:val="24"/>
          <w:szCs w:val="24"/>
        </w:rPr>
        <w:t xml:space="preserve"> to have relied on reports from the FIC</w:t>
      </w:r>
      <w:r w:rsidR="00DF48C4">
        <w:rPr>
          <w:rFonts w:ascii="Arial" w:hAnsi="Arial" w:cs="Arial"/>
          <w:sz w:val="24"/>
          <w:szCs w:val="24"/>
        </w:rPr>
        <w:t xml:space="preserve"> in respect of the second question.</w:t>
      </w:r>
      <w:r w:rsidR="002D4C58" w:rsidRPr="001121DC">
        <w:rPr>
          <w:rFonts w:ascii="Arial" w:hAnsi="Arial" w:cs="Arial"/>
          <w:sz w:val="24"/>
          <w:szCs w:val="24"/>
        </w:rPr>
        <w:t xml:space="preserve">  In respect of the first question</w:t>
      </w:r>
      <w:r w:rsidR="00DF48C4">
        <w:rPr>
          <w:rFonts w:ascii="Arial" w:hAnsi="Arial" w:cs="Arial"/>
          <w:sz w:val="24"/>
          <w:szCs w:val="24"/>
        </w:rPr>
        <w:t>,</w:t>
      </w:r>
      <w:r w:rsidR="002D4C58" w:rsidRPr="001121DC">
        <w:rPr>
          <w:rFonts w:ascii="Arial" w:hAnsi="Arial" w:cs="Arial"/>
          <w:sz w:val="24"/>
          <w:szCs w:val="24"/>
        </w:rPr>
        <w:t xml:space="preserve"> too</w:t>
      </w:r>
      <w:r w:rsidR="00DF48C4">
        <w:rPr>
          <w:rFonts w:ascii="Arial" w:hAnsi="Arial" w:cs="Arial"/>
          <w:sz w:val="24"/>
          <w:szCs w:val="24"/>
        </w:rPr>
        <w:t>,</w:t>
      </w:r>
      <w:r w:rsidR="002D4C58" w:rsidRPr="001121DC">
        <w:rPr>
          <w:rFonts w:ascii="Arial" w:hAnsi="Arial" w:cs="Arial"/>
          <w:sz w:val="24"/>
          <w:szCs w:val="24"/>
        </w:rPr>
        <w:t xml:space="preserve"> she said that she received a report from the FIC </w:t>
      </w:r>
      <w:r w:rsidR="007B3868">
        <w:rPr>
          <w:rFonts w:ascii="Arial" w:hAnsi="Arial" w:cs="Arial"/>
          <w:sz w:val="24"/>
          <w:szCs w:val="24"/>
        </w:rPr>
        <w:t>dated</w:t>
      </w:r>
      <w:r w:rsidR="002D4C58" w:rsidRPr="001121DC">
        <w:rPr>
          <w:rFonts w:ascii="Arial" w:hAnsi="Arial" w:cs="Arial"/>
          <w:sz w:val="24"/>
          <w:szCs w:val="24"/>
        </w:rPr>
        <w:t xml:space="preserve"> 28 June 2021.  I </w:t>
      </w:r>
      <w:r w:rsidR="00DF48C4">
        <w:rPr>
          <w:rFonts w:ascii="Arial" w:hAnsi="Arial" w:cs="Arial"/>
          <w:sz w:val="24"/>
          <w:szCs w:val="24"/>
        </w:rPr>
        <w:t xml:space="preserve">have </w:t>
      </w:r>
      <w:r w:rsidR="002D4C58" w:rsidRPr="001121DC">
        <w:rPr>
          <w:rFonts w:ascii="Arial" w:hAnsi="Arial" w:cs="Arial"/>
          <w:sz w:val="24"/>
          <w:szCs w:val="24"/>
        </w:rPr>
        <w:t xml:space="preserve">set out earlier the litigation history and the </w:t>
      </w:r>
      <w:proofErr w:type="spellStart"/>
      <w:r w:rsidR="002D4C58" w:rsidRPr="001121DC">
        <w:rPr>
          <w:rFonts w:ascii="Arial" w:hAnsi="Arial" w:cs="Arial"/>
          <w:sz w:val="24"/>
          <w:szCs w:val="24"/>
        </w:rPr>
        <w:t>endeavours</w:t>
      </w:r>
      <w:proofErr w:type="spellEnd"/>
      <w:r w:rsidR="002D4C58" w:rsidRPr="001121DC">
        <w:rPr>
          <w:rFonts w:ascii="Arial" w:hAnsi="Arial" w:cs="Arial"/>
          <w:sz w:val="24"/>
          <w:szCs w:val="24"/>
        </w:rPr>
        <w:t xml:space="preserve"> of the applicants to obtain a full record from the PP. In respect of the second question</w:t>
      </w:r>
      <w:r w:rsidR="00D70C28">
        <w:rPr>
          <w:rFonts w:ascii="Arial" w:hAnsi="Arial" w:cs="Arial"/>
          <w:sz w:val="24"/>
          <w:szCs w:val="24"/>
        </w:rPr>
        <w:t>,</w:t>
      </w:r>
      <w:r w:rsidR="002D4C58" w:rsidRPr="001121DC">
        <w:rPr>
          <w:rFonts w:ascii="Arial" w:hAnsi="Arial" w:cs="Arial"/>
          <w:sz w:val="24"/>
          <w:szCs w:val="24"/>
        </w:rPr>
        <w:t xml:space="preserve"> these reports formed the sole basis for her conclusion that the R2.2 million paid to </w:t>
      </w:r>
      <w:proofErr w:type="spellStart"/>
      <w:r w:rsidR="002D4C58" w:rsidRPr="001121DC">
        <w:rPr>
          <w:rFonts w:ascii="Arial" w:hAnsi="Arial" w:cs="Arial"/>
          <w:sz w:val="24"/>
          <w:szCs w:val="24"/>
        </w:rPr>
        <w:t>Mthombeni</w:t>
      </w:r>
      <w:proofErr w:type="spellEnd"/>
      <w:r w:rsidR="002D4C58" w:rsidRPr="001121DC">
        <w:rPr>
          <w:rFonts w:ascii="Arial" w:hAnsi="Arial" w:cs="Arial"/>
          <w:sz w:val="24"/>
          <w:szCs w:val="24"/>
        </w:rPr>
        <w:t xml:space="preserve"> had originated from public funds.  As I have demonstrated the </w:t>
      </w:r>
      <w:r w:rsidR="002D4C58" w:rsidRPr="001121DC">
        <w:rPr>
          <w:rFonts w:ascii="Arial" w:hAnsi="Arial" w:cs="Arial"/>
          <w:sz w:val="24"/>
          <w:szCs w:val="24"/>
        </w:rPr>
        <w:lastRenderedPageBreak/>
        <w:t xml:space="preserve">finding is essential to her investigation.  None of these reports were included in the rule 53 record and to date they have not been produced, hence the contention on behalf of </w:t>
      </w:r>
      <w:proofErr w:type="spellStart"/>
      <w:r w:rsidR="002D4C58" w:rsidRPr="001121DC">
        <w:rPr>
          <w:rFonts w:ascii="Arial" w:hAnsi="Arial" w:cs="Arial"/>
          <w:sz w:val="24"/>
          <w:szCs w:val="24"/>
        </w:rPr>
        <w:t>Mr</w:t>
      </w:r>
      <w:proofErr w:type="spellEnd"/>
      <w:r w:rsidR="002D4C58" w:rsidRPr="001121DC">
        <w:rPr>
          <w:rFonts w:ascii="Arial" w:hAnsi="Arial" w:cs="Arial"/>
          <w:sz w:val="24"/>
          <w:szCs w:val="24"/>
        </w:rPr>
        <w:t xml:space="preserve"> </w:t>
      </w:r>
      <w:proofErr w:type="spellStart"/>
      <w:r w:rsidR="002D4C58" w:rsidRPr="001121DC">
        <w:rPr>
          <w:rFonts w:ascii="Arial" w:hAnsi="Arial" w:cs="Arial"/>
          <w:sz w:val="24"/>
          <w:szCs w:val="24"/>
        </w:rPr>
        <w:t>Madikizela</w:t>
      </w:r>
      <w:proofErr w:type="spellEnd"/>
      <w:r w:rsidR="002D4C58" w:rsidRPr="001121DC">
        <w:rPr>
          <w:rFonts w:ascii="Arial" w:hAnsi="Arial" w:cs="Arial"/>
          <w:sz w:val="24"/>
          <w:szCs w:val="24"/>
        </w:rPr>
        <w:t xml:space="preserve"> that the PP did not consider them.  </w:t>
      </w:r>
    </w:p>
    <w:p w14:paraId="05B350BE" w14:textId="77777777" w:rsidR="001121DC" w:rsidRDefault="001121DC" w:rsidP="001121DC">
      <w:pPr>
        <w:pStyle w:val="FootnoteText"/>
        <w:spacing w:line="480" w:lineRule="auto"/>
        <w:contextualSpacing/>
        <w:jc w:val="both"/>
        <w:rPr>
          <w:rFonts w:ascii="Arial" w:hAnsi="Arial" w:cs="Arial"/>
          <w:sz w:val="24"/>
          <w:szCs w:val="24"/>
          <w:u w:val="single"/>
        </w:rPr>
      </w:pPr>
    </w:p>
    <w:p w14:paraId="4B2D3874" w14:textId="51A86196" w:rsidR="001121DC" w:rsidRDefault="00C47012" w:rsidP="00C47012">
      <w:pPr>
        <w:pStyle w:val="FootnoteText"/>
        <w:spacing w:line="480" w:lineRule="auto"/>
        <w:contextualSpacing/>
        <w:jc w:val="both"/>
        <w:rPr>
          <w:rFonts w:ascii="Arial" w:hAnsi="Arial" w:cs="Arial"/>
          <w:sz w:val="24"/>
          <w:szCs w:val="24"/>
          <w:u w:val="single"/>
        </w:rPr>
      </w:pPr>
      <w:r>
        <w:rPr>
          <w:rFonts w:ascii="Arial" w:hAnsi="Arial" w:cs="Arial"/>
          <w:sz w:val="24"/>
          <w:szCs w:val="24"/>
        </w:rPr>
        <w:t>[77]</w:t>
      </w:r>
      <w:r>
        <w:rPr>
          <w:rFonts w:ascii="Arial" w:hAnsi="Arial" w:cs="Arial"/>
          <w:sz w:val="24"/>
          <w:szCs w:val="24"/>
        </w:rPr>
        <w:tab/>
      </w:r>
      <w:r w:rsidR="002D4C58" w:rsidRPr="001121DC">
        <w:rPr>
          <w:rFonts w:ascii="Arial" w:hAnsi="Arial" w:cs="Arial"/>
          <w:sz w:val="24"/>
          <w:szCs w:val="24"/>
        </w:rPr>
        <w:t xml:space="preserve">In response, </w:t>
      </w:r>
      <w:proofErr w:type="spellStart"/>
      <w:r w:rsidR="002D4C58" w:rsidRPr="001121DC">
        <w:rPr>
          <w:rFonts w:ascii="Arial" w:hAnsi="Arial" w:cs="Arial"/>
          <w:sz w:val="24"/>
          <w:szCs w:val="24"/>
        </w:rPr>
        <w:t>Mr</w:t>
      </w:r>
      <w:proofErr w:type="spellEnd"/>
      <w:r w:rsidR="002D4C58" w:rsidRPr="001121DC">
        <w:rPr>
          <w:rFonts w:ascii="Arial" w:hAnsi="Arial" w:cs="Arial"/>
          <w:sz w:val="24"/>
          <w:szCs w:val="24"/>
        </w:rPr>
        <w:t xml:space="preserve"> Dlamini contended</w:t>
      </w:r>
      <w:r w:rsidR="0078524F">
        <w:rPr>
          <w:rFonts w:ascii="Arial" w:hAnsi="Arial" w:cs="Arial"/>
          <w:sz w:val="24"/>
          <w:szCs w:val="24"/>
        </w:rPr>
        <w:t>, as I have said,</w:t>
      </w:r>
      <w:r w:rsidR="002D4C58" w:rsidRPr="001121DC">
        <w:rPr>
          <w:rFonts w:ascii="Arial" w:hAnsi="Arial" w:cs="Arial"/>
          <w:sz w:val="24"/>
          <w:szCs w:val="24"/>
        </w:rPr>
        <w:t xml:space="preserve"> that the PP was not obliged to mention the Financial Intelligence Reports in the s 7(9) </w:t>
      </w:r>
      <w:proofErr w:type="gramStart"/>
      <w:r w:rsidR="002D4C58" w:rsidRPr="001121DC">
        <w:rPr>
          <w:rFonts w:ascii="Arial" w:hAnsi="Arial" w:cs="Arial"/>
          <w:sz w:val="24"/>
          <w:szCs w:val="24"/>
        </w:rPr>
        <w:t>notice</w:t>
      </w:r>
      <w:proofErr w:type="gramEnd"/>
      <w:r w:rsidR="002D4C58" w:rsidRPr="001121DC">
        <w:rPr>
          <w:rFonts w:ascii="Arial" w:hAnsi="Arial" w:cs="Arial"/>
          <w:sz w:val="24"/>
          <w:szCs w:val="24"/>
        </w:rPr>
        <w:t xml:space="preserve"> and he contended that the reports could not be made public because they are not public documents.</w:t>
      </w:r>
      <w:r w:rsidR="00D05A6D">
        <w:rPr>
          <w:rFonts w:ascii="Arial" w:hAnsi="Arial" w:cs="Arial"/>
          <w:sz w:val="24"/>
          <w:szCs w:val="24"/>
        </w:rPr>
        <w:t xml:space="preserve">  The reports were only received after the PP had signed off on the s 7(9) notices and could not have been included</w:t>
      </w:r>
      <w:r w:rsidR="0078524F">
        <w:rPr>
          <w:rFonts w:ascii="Arial" w:hAnsi="Arial" w:cs="Arial"/>
          <w:sz w:val="24"/>
          <w:szCs w:val="24"/>
        </w:rPr>
        <w:t>,</w:t>
      </w:r>
      <w:r w:rsidR="00D05A6D">
        <w:rPr>
          <w:rFonts w:ascii="Arial" w:hAnsi="Arial" w:cs="Arial"/>
          <w:sz w:val="24"/>
          <w:szCs w:val="24"/>
        </w:rPr>
        <w:t xml:space="preserve"> but that is no answer.  As a result of the reports</w:t>
      </w:r>
      <w:r w:rsidR="00D70C28">
        <w:rPr>
          <w:rFonts w:ascii="Arial" w:hAnsi="Arial" w:cs="Arial"/>
          <w:sz w:val="24"/>
          <w:szCs w:val="24"/>
        </w:rPr>
        <w:t>,</w:t>
      </w:r>
      <w:r w:rsidR="00D05A6D">
        <w:rPr>
          <w:rFonts w:ascii="Arial" w:hAnsi="Arial" w:cs="Arial"/>
          <w:sz w:val="24"/>
          <w:szCs w:val="24"/>
        </w:rPr>
        <w:t xml:space="preserve"> she decided that a differen</w:t>
      </w:r>
      <w:r w:rsidR="007A48FD">
        <w:rPr>
          <w:rFonts w:ascii="Arial" w:hAnsi="Arial" w:cs="Arial"/>
          <w:sz w:val="24"/>
          <w:szCs w:val="24"/>
        </w:rPr>
        <w:t>t</w:t>
      </w:r>
      <w:r w:rsidR="00D05A6D">
        <w:rPr>
          <w:rFonts w:ascii="Arial" w:hAnsi="Arial" w:cs="Arial"/>
          <w:sz w:val="24"/>
          <w:szCs w:val="24"/>
        </w:rPr>
        <w:t xml:space="preserve"> finding was justified that had serious implications for </w:t>
      </w:r>
      <w:proofErr w:type="spellStart"/>
      <w:r w:rsidR="00D05A6D">
        <w:rPr>
          <w:rFonts w:ascii="Arial" w:hAnsi="Arial" w:cs="Arial"/>
          <w:sz w:val="24"/>
          <w:szCs w:val="24"/>
        </w:rPr>
        <w:t>Mr</w:t>
      </w:r>
      <w:proofErr w:type="spellEnd"/>
      <w:r w:rsidR="00D05A6D">
        <w:rPr>
          <w:rFonts w:ascii="Arial" w:hAnsi="Arial" w:cs="Arial"/>
          <w:sz w:val="24"/>
          <w:szCs w:val="24"/>
        </w:rPr>
        <w:t xml:space="preserve"> </w:t>
      </w:r>
      <w:proofErr w:type="spellStart"/>
      <w:r w:rsidR="00D05A6D">
        <w:rPr>
          <w:rFonts w:ascii="Arial" w:hAnsi="Arial" w:cs="Arial"/>
          <w:sz w:val="24"/>
          <w:szCs w:val="24"/>
        </w:rPr>
        <w:t>Madikizela</w:t>
      </w:r>
      <w:proofErr w:type="spellEnd"/>
      <w:r w:rsidR="00D05A6D">
        <w:rPr>
          <w:rFonts w:ascii="Arial" w:hAnsi="Arial" w:cs="Arial"/>
          <w:sz w:val="24"/>
          <w:szCs w:val="24"/>
        </w:rPr>
        <w:t xml:space="preserve"> and </w:t>
      </w:r>
      <w:proofErr w:type="spellStart"/>
      <w:r w:rsidR="00D05A6D">
        <w:rPr>
          <w:rFonts w:ascii="Arial" w:hAnsi="Arial" w:cs="Arial"/>
          <w:sz w:val="24"/>
          <w:szCs w:val="24"/>
        </w:rPr>
        <w:t>Mr</w:t>
      </w:r>
      <w:proofErr w:type="spellEnd"/>
      <w:r w:rsidR="00D05A6D">
        <w:rPr>
          <w:rFonts w:ascii="Arial" w:hAnsi="Arial" w:cs="Arial"/>
          <w:sz w:val="24"/>
          <w:szCs w:val="24"/>
        </w:rPr>
        <w:t xml:space="preserve"> </w:t>
      </w:r>
      <w:proofErr w:type="spellStart"/>
      <w:r w:rsidR="00D05A6D">
        <w:rPr>
          <w:rFonts w:ascii="Arial" w:hAnsi="Arial" w:cs="Arial"/>
          <w:sz w:val="24"/>
          <w:szCs w:val="24"/>
        </w:rPr>
        <w:t>Mabuyane</w:t>
      </w:r>
      <w:proofErr w:type="spellEnd"/>
      <w:r w:rsidR="00D05A6D">
        <w:rPr>
          <w:rFonts w:ascii="Arial" w:hAnsi="Arial" w:cs="Arial"/>
          <w:sz w:val="24"/>
          <w:szCs w:val="24"/>
        </w:rPr>
        <w:t xml:space="preserve">.  </w:t>
      </w:r>
    </w:p>
    <w:p w14:paraId="20DB9328" w14:textId="77777777" w:rsidR="001121DC" w:rsidRDefault="001121DC" w:rsidP="001121DC">
      <w:pPr>
        <w:pStyle w:val="ListParagraph"/>
        <w:rPr>
          <w:rFonts w:ascii="Arial" w:hAnsi="Arial" w:cs="Arial"/>
          <w:sz w:val="24"/>
          <w:szCs w:val="24"/>
        </w:rPr>
      </w:pPr>
    </w:p>
    <w:p w14:paraId="22A93748" w14:textId="1002ACB5" w:rsidR="002D4C58" w:rsidRPr="00BA3BED" w:rsidRDefault="00C47012" w:rsidP="00C47012">
      <w:pPr>
        <w:pStyle w:val="FootnoteText"/>
        <w:spacing w:line="480" w:lineRule="auto"/>
        <w:contextualSpacing/>
        <w:jc w:val="both"/>
        <w:rPr>
          <w:rFonts w:ascii="Arial" w:hAnsi="Arial" w:cs="Arial"/>
          <w:sz w:val="24"/>
          <w:szCs w:val="24"/>
          <w:u w:val="single"/>
        </w:rPr>
      </w:pPr>
      <w:r w:rsidRPr="00BA3BED">
        <w:rPr>
          <w:rFonts w:ascii="Arial" w:hAnsi="Arial" w:cs="Arial"/>
          <w:sz w:val="24"/>
          <w:szCs w:val="24"/>
        </w:rPr>
        <w:t>[78]</w:t>
      </w:r>
      <w:r w:rsidRPr="00BA3BED">
        <w:rPr>
          <w:rFonts w:ascii="Arial" w:hAnsi="Arial" w:cs="Arial"/>
          <w:sz w:val="24"/>
          <w:szCs w:val="24"/>
        </w:rPr>
        <w:tab/>
      </w:r>
      <w:r w:rsidR="002D4C58" w:rsidRPr="001121DC">
        <w:rPr>
          <w:rFonts w:ascii="Arial" w:hAnsi="Arial" w:cs="Arial"/>
          <w:sz w:val="24"/>
          <w:szCs w:val="24"/>
        </w:rPr>
        <w:t xml:space="preserve">The purpose of the rule to provide a copy of the full record of </w:t>
      </w:r>
      <w:r w:rsidR="00D70C28">
        <w:rPr>
          <w:rFonts w:ascii="Arial" w:hAnsi="Arial" w:cs="Arial"/>
          <w:sz w:val="24"/>
          <w:szCs w:val="24"/>
        </w:rPr>
        <w:t xml:space="preserve">the </w:t>
      </w:r>
      <w:r w:rsidR="002D4C58" w:rsidRPr="001121DC">
        <w:rPr>
          <w:rFonts w:ascii="Arial" w:hAnsi="Arial" w:cs="Arial"/>
          <w:sz w:val="24"/>
          <w:szCs w:val="24"/>
        </w:rPr>
        <w:t>proce</w:t>
      </w:r>
      <w:r w:rsidR="007B3868">
        <w:rPr>
          <w:rFonts w:ascii="Arial" w:hAnsi="Arial" w:cs="Arial"/>
          <w:sz w:val="24"/>
          <w:szCs w:val="24"/>
        </w:rPr>
        <w:t>edings</w:t>
      </w:r>
      <w:r w:rsidR="002D4C58" w:rsidRPr="001121DC">
        <w:rPr>
          <w:rFonts w:ascii="Arial" w:hAnsi="Arial" w:cs="Arial"/>
          <w:sz w:val="24"/>
          <w:szCs w:val="24"/>
        </w:rPr>
        <w:t xml:space="preserve"> is primarily intended to operate in </w:t>
      </w:r>
      <w:proofErr w:type="spellStart"/>
      <w:r w:rsidR="002D4C58" w:rsidRPr="001121DC">
        <w:rPr>
          <w:rFonts w:ascii="Arial" w:hAnsi="Arial" w:cs="Arial"/>
          <w:sz w:val="24"/>
          <w:szCs w:val="24"/>
        </w:rPr>
        <w:t>favour</w:t>
      </w:r>
      <w:proofErr w:type="spellEnd"/>
      <w:r w:rsidR="002D4C58" w:rsidRPr="001121DC">
        <w:rPr>
          <w:rFonts w:ascii="Arial" w:hAnsi="Arial" w:cs="Arial"/>
          <w:sz w:val="24"/>
          <w:szCs w:val="24"/>
        </w:rPr>
        <w:t xml:space="preserve"> of and benefit an applicant in review proceedings and it has been held that they should not be deprived of the </w:t>
      </w:r>
      <w:r w:rsidR="002C17BF" w:rsidRPr="001121DC">
        <w:rPr>
          <w:rFonts w:ascii="Arial" w:hAnsi="Arial" w:cs="Arial"/>
          <w:sz w:val="24"/>
          <w:szCs w:val="24"/>
        </w:rPr>
        <w:t>benefit</w:t>
      </w:r>
      <w:r w:rsidR="002D4C58" w:rsidRPr="001121DC">
        <w:rPr>
          <w:rFonts w:ascii="Arial" w:hAnsi="Arial" w:cs="Arial"/>
          <w:sz w:val="24"/>
          <w:szCs w:val="24"/>
        </w:rPr>
        <w:t xml:space="preserve"> of this procedural right unless there is clear justification therefor.</w:t>
      </w:r>
      <w:r w:rsidR="002D4C58" w:rsidRPr="002C17BF">
        <w:rPr>
          <w:rStyle w:val="FootnoteReference"/>
          <w:rFonts w:ascii="Arial" w:hAnsi="Arial" w:cs="Arial"/>
          <w:sz w:val="24"/>
          <w:szCs w:val="24"/>
        </w:rPr>
        <w:footnoteReference w:id="77"/>
      </w:r>
      <w:r w:rsidR="002C17BF" w:rsidRPr="001121DC">
        <w:rPr>
          <w:rFonts w:ascii="Arial" w:hAnsi="Arial" w:cs="Arial"/>
          <w:sz w:val="24"/>
          <w:szCs w:val="24"/>
        </w:rPr>
        <w:t xml:space="preserve">  It has also been held that compliance with rule 53 regarding the provision of a complete record is not </w:t>
      </w:r>
      <w:r w:rsidR="000B2D58" w:rsidRPr="001121DC">
        <w:rPr>
          <w:rFonts w:ascii="Arial" w:hAnsi="Arial" w:cs="Arial"/>
          <w:sz w:val="24"/>
          <w:szCs w:val="24"/>
        </w:rPr>
        <w:t>just a procedural process, but a substantive requirement which serves to ensure that the substance of the decision is properly put to the fore.</w:t>
      </w:r>
      <w:r w:rsidR="000B2D58">
        <w:rPr>
          <w:rStyle w:val="FootnoteReference"/>
          <w:rFonts w:ascii="Arial" w:hAnsi="Arial" w:cs="Arial"/>
          <w:sz w:val="24"/>
          <w:szCs w:val="24"/>
        </w:rPr>
        <w:footnoteReference w:id="78"/>
      </w:r>
      <w:r w:rsidR="000B2D58" w:rsidRPr="001121DC">
        <w:rPr>
          <w:rFonts w:ascii="Arial" w:hAnsi="Arial" w:cs="Arial"/>
          <w:sz w:val="24"/>
          <w:szCs w:val="24"/>
        </w:rPr>
        <w:t xml:space="preserve">  </w:t>
      </w:r>
      <w:r w:rsidR="0078524F">
        <w:rPr>
          <w:rFonts w:ascii="Arial" w:hAnsi="Arial" w:cs="Arial"/>
          <w:sz w:val="24"/>
          <w:szCs w:val="24"/>
        </w:rPr>
        <w:t>T</w:t>
      </w:r>
      <w:r w:rsidR="00E42C08" w:rsidRPr="001121DC">
        <w:rPr>
          <w:rFonts w:ascii="Arial" w:hAnsi="Arial" w:cs="Arial"/>
          <w:sz w:val="24"/>
          <w:szCs w:val="24"/>
        </w:rPr>
        <w:t>he purpose of the record is not solely to assist the applicant</w:t>
      </w:r>
      <w:r w:rsidR="0078524F">
        <w:rPr>
          <w:rFonts w:ascii="Arial" w:hAnsi="Arial" w:cs="Arial"/>
          <w:sz w:val="24"/>
          <w:szCs w:val="24"/>
        </w:rPr>
        <w:t>,</w:t>
      </w:r>
      <w:r w:rsidR="00E42C08" w:rsidRPr="001121DC">
        <w:rPr>
          <w:rFonts w:ascii="Arial" w:hAnsi="Arial" w:cs="Arial"/>
          <w:sz w:val="24"/>
          <w:szCs w:val="24"/>
        </w:rPr>
        <w:t xml:space="preserve"> </w:t>
      </w:r>
      <w:r w:rsidR="00E42C08" w:rsidRPr="001121DC">
        <w:rPr>
          <w:rFonts w:ascii="Arial" w:hAnsi="Arial" w:cs="Arial"/>
          <w:sz w:val="24"/>
          <w:szCs w:val="24"/>
        </w:rPr>
        <w:lastRenderedPageBreak/>
        <w:t xml:space="preserve">but it is to enable the court fully to assess the lawfulness of the decision-making process.  Thus, in </w:t>
      </w:r>
      <w:r w:rsidR="00E42C08" w:rsidRPr="001121DC">
        <w:rPr>
          <w:rFonts w:ascii="Arial" w:hAnsi="Arial" w:cs="Arial"/>
          <w:i/>
          <w:sz w:val="24"/>
          <w:szCs w:val="24"/>
        </w:rPr>
        <w:t>Turnbull-Jackson</w:t>
      </w:r>
      <w:r w:rsidR="00E42C08">
        <w:rPr>
          <w:rStyle w:val="FootnoteReference"/>
          <w:rFonts w:ascii="Arial" w:hAnsi="Arial" w:cs="Arial"/>
          <w:i/>
          <w:sz w:val="24"/>
          <w:szCs w:val="24"/>
        </w:rPr>
        <w:footnoteReference w:id="79"/>
      </w:r>
      <w:r w:rsidR="00E42C08" w:rsidRPr="001121DC">
        <w:rPr>
          <w:rFonts w:ascii="Arial" w:hAnsi="Arial" w:cs="Arial"/>
          <w:sz w:val="24"/>
          <w:szCs w:val="24"/>
        </w:rPr>
        <w:t xml:space="preserve"> the </w:t>
      </w:r>
      <w:r w:rsidR="00496E3D" w:rsidRPr="001121DC">
        <w:rPr>
          <w:rFonts w:ascii="Arial" w:hAnsi="Arial" w:cs="Arial"/>
          <w:sz w:val="24"/>
          <w:szCs w:val="24"/>
        </w:rPr>
        <w:t>Constitutional</w:t>
      </w:r>
      <w:r w:rsidR="00E42C08" w:rsidRPr="001121DC">
        <w:rPr>
          <w:rFonts w:ascii="Arial" w:hAnsi="Arial" w:cs="Arial"/>
          <w:sz w:val="24"/>
          <w:szCs w:val="24"/>
        </w:rPr>
        <w:t xml:space="preserve"> Court said:</w:t>
      </w:r>
    </w:p>
    <w:p w14:paraId="50BA7F26" w14:textId="77777777" w:rsidR="00131E91" w:rsidRPr="00BA3BED" w:rsidRDefault="00131E91" w:rsidP="00131E91">
      <w:pPr>
        <w:pStyle w:val="ListParagraph"/>
        <w:rPr>
          <w:rFonts w:ascii="Arial" w:hAnsi="Arial" w:cs="Arial"/>
          <w:color w:val="0070C0"/>
          <w:sz w:val="24"/>
          <w:szCs w:val="24"/>
          <w:u w:val="single"/>
        </w:rPr>
      </w:pPr>
    </w:p>
    <w:p w14:paraId="1DACC546" w14:textId="77777777" w:rsidR="00E42C08" w:rsidRDefault="00E42C08" w:rsidP="00496E3D">
      <w:pPr>
        <w:pStyle w:val="FootnoteText"/>
        <w:spacing w:line="360" w:lineRule="auto"/>
        <w:ind w:left="567" w:right="567"/>
        <w:contextualSpacing/>
        <w:jc w:val="both"/>
        <w:rPr>
          <w:rFonts w:ascii="Arial" w:hAnsi="Arial" w:cs="Arial"/>
          <w:color w:val="000000" w:themeColor="text1"/>
          <w:sz w:val="22"/>
          <w:szCs w:val="22"/>
        </w:rPr>
      </w:pPr>
      <w:r w:rsidRPr="007B3868">
        <w:rPr>
          <w:rFonts w:ascii="Arial" w:hAnsi="Arial" w:cs="Arial"/>
          <w:color w:val="000000" w:themeColor="text1"/>
          <w:sz w:val="22"/>
          <w:szCs w:val="22"/>
        </w:rPr>
        <w:t>“</w:t>
      </w:r>
      <w:r w:rsidR="00496E3D" w:rsidRPr="007B3868">
        <w:rPr>
          <w:rFonts w:ascii="Arial" w:hAnsi="Arial" w:cs="Arial"/>
          <w:color w:val="000000" w:themeColor="text1"/>
          <w:sz w:val="22"/>
          <w:szCs w:val="22"/>
        </w:rPr>
        <w:t>Undeniably, a rule 53 record is an invaluable tool in the review process. It may help: shed light on what happened and why; give the lie to unfounded ex post facto (after the fact) justification of the decision under review; in the substantiation of as yet not fully substantiated grounds of review; in giving support to the decision-maker's stance; and in the performance of the reviewing court's function.”</w:t>
      </w:r>
    </w:p>
    <w:p w14:paraId="0818DA90" w14:textId="77777777" w:rsidR="001D34BF" w:rsidRPr="007B3868" w:rsidRDefault="001D34BF" w:rsidP="00496E3D">
      <w:pPr>
        <w:pStyle w:val="FootnoteText"/>
        <w:spacing w:line="360" w:lineRule="auto"/>
        <w:ind w:left="567" w:right="567"/>
        <w:contextualSpacing/>
        <w:jc w:val="both"/>
        <w:rPr>
          <w:rFonts w:ascii="Arial" w:hAnsi="Arial" w:cs="Arial"/>
          <w:color w:val="000000" w:themeColor="text1"/>
          <w:sz w:val="22"/>
          <w:szCs w:val="22"/>
        </w:rPr>
      </w:pPr>
    </w:p>
    <w:p w14:paraId="3C856868" w14:textId="77777777" w:rsidR="00496E3D" w:rsidRPr="00BA3BED" w:rsidRDefault="00496E3D" w:rsidP="00496E3D">
      <w:pPr>
        <w:pStyle w:val="FootnoteText"/>
        <w:spacing w:line="360" w:lineRule="auto"/>
        <w:ind w:left="567" w:right="567"/>
        <w:contextualSpacing/>
        <w:jc w:val="both"/>
        <w:rPr>
          <w:rFonts w:ascii="Arial" w:hAnsi="Arial" w:cs="Arial"/>
          <w:color w:val="0070C0"/>
          <w:sz w:val="22"/>
          <w:szCs w:val="22"/>
        </w:rPr>
      </w:pPr>
    </w:p>
    <w:p w14:paraId="65032A0E" w14:textId="4187C0F7" w:rsidR="000148BF" w:rsidRDefault="00C47012" w:rsidP="00C47012">
      <w:pPr>
        <w:pStyle w:val="FootnoteText"/>
        <w:spacing w:line="480" w:lineRule="auto"/>
        <w:contextualSpacing/>
        <w:jc w:val="both"/>
        <w:rPr>
          <w:rFonts w:ascii="Arial" w:hAnsi="Arial" w:cs="Arial"/>
          <w:sz w:val="24"/>
          <w:szCs w:val="24"/>
        </w:rPr>
      </w:pPr>
      <w:r>
        <w:rPr>
          <w:rFonts w:ascii="Arial" w:hAnsi="Arial" w:cs="Arial"/>
          <w:sz w:val="24"/>
          <w:szCs w:val="24"/>
        </w:rPr>
        <w:t>[79]</w:t>
      </w:r>
      <w:r>
        <w:rPr>
          <w:rFonts w:ascii="Arial" w:hAnsi="Arial" w:cs="Arial"/>
          <w:sz w:val="24"/>
          <w:szCs w:val="24"/>
        </w:rPr>
        <w:tab/>
      </w:r>
      <w:r w:rsidR="00496E3D" w:rsidRPr="001121DC">
        <w:rPr>
          <w:rFonts w:ascii="Arial" w:hAnsi="Arial" w:cs="Arial"/>
          <w:color w:val="000000"/>
          <w:sz w:val="24"/>
          <w:szCs w:val="24"/>
        </w:rPr>
        <w:t xml:space="preserve">Without a record a court cannot </w:t>
      </w:r>
      <w:r w:rsidR="00545A19">
        <w:rPr>
          <w:rFonts w:ascii="Arial" w:hAnsi="Arial" w:cs="Arial"/>
          <w:color w:val="000000"/>
          <w:sz w:val="24"/>
          <w:szCs w:val="24"/>
        </w:rPr>
        <w:t>per</w:t>
      </w:r>
      <w:r w:rsidR="00496E3D" w:rsidRPr="001121DC">
        <w:rPr>
          <w:rFonts w:ascii="Arial" w:hAnsi="Arial" w:cs="Arial"/>
          <w:color w:val="000000"/>
          <w:sz w:val="24"/>
          <w:szCs w:val="24"/>
        </w:rPr>
        <w:t xml:space="preserve">form its constitutionally entrenched review function, with the result that the litigant’s rights to a fair public hearing before a court, in terms of s 34 of the </w:t>
      </w:r>
      <w:r w:rsidR="001121DC" w:rsidRPr="001121DC">
        <w:rPr>
          <w:rFonts w:ascii="Arial" w:hAnsi="Arial" w:cs="Arial"/>
          <w:color w:val="000000"/>
          <w:sz w:val="24"/>
          <w:szCs w:val="24"/>
        </w:rPr>
        <w:t>Constitution</w:t>
      </w:r>
      <w:r w:rsidR="00496E3D" w:rsidRPr="001121DC">
        <w:rPr>
          <w:rFonts w:ascii="Arial" w:hAnsi="Arial" w:cs="Arial"/>
          <w:color w:val="000000"/>
          <w:sz w:val="24"/>
          <w:szCs w:val="24"/>
        </w:rPr>
        <w:t>, is infringed.</w:t>
      </w:r>
      <w:r w:rsidR="00496E3D" w:rsidRPr="001121DC">
        <w:rPr>
          <w:rStyle w:val="FootnoteReference"/>
          <w:rFonts w:ascii="Arial" w:hAnsi="Arial" w:cs="Arial"/>
          <w:color w:val="000000"/>
          <w:sz w:val="24"/>
          <w:szCs w:val="24"/>
        </w:rPr>
        <w:footnoteReference w:id="80"/>
      </w:r>
      <w:r w:rsidR="00496E3D" w:rsidRPr="001121DC">
        <w:rPr>
          <w:rFonts w:ascii="Arial" w:hAnsi="Arial" w:cs="Arial"/>
          <w:color w:val="000000"/>
          <w:sz w:val="24"/>
          <w:szCs w:val="24"/>
        </w:rPr>
        <w:t xml:space="preserve">  In order for the rule to fulfil its purpose of ensuring</w:t>
      </w:r>
      <w:r w:rsidR="001121DC">
        <w:rPr>
          <w:rFonts w:ascii="Arial" w:hAnsi="Arial" w:cs="Arial"/>
          <w:color w:val="000000"/>
          <w:sz w:val="24"/>
          <w:szCs w:val="24"/>
        </w:rPr>
        <w:t xml:space="preserve"> that all relevant material is placed before court, it is self-evident that all portions of the record relevant to the decision in question should be ma</w:t>
      </w:r>
      <w:r w:rsidR="00545A19">
        <w:rPr>
          <w:rFonts w:ascii="Arial" w:hAnsi="Arial" w:cs="Arial"/>
          <w:color w:val="000000"/>
          <w:sz w:val="24"/>
          <w:szCs w:val="24"/>
        </w:rPr>
        <w:t>d</w:t>
      </w:r>
      <w:r w:rsidR="001121DC">
        <w:rPr>
          <w:rFonts w:ascii="Arial" w:hAnsi="Arial" w:cs="Arial"/>
          <w:color w:val="000000"/>
          <w:sz w:val="24"/>
          <w:szCs w:val="24"/>
        </w:rPr>
        <w:t>e available.</w:t>
      </w:r>
      <w:r w:rsidR="001121DC">
        <w:rPr>
          <w:rStyle w:val="FootnoteReference"/>
          <w:rFonts w:ascii="Arial" w:hAnsi="Arial" w:cs="Arial"/>
          <w:color w:val="000000"/>
          <w:sz w:val="24"/>
          <w:szCs w:val="24"/>
        </w:rPr>
        <w:footnoteReference w:id="81"/>
      </w:r>
    </w:p>
    <w:p w14:paraId="457157D7" w14:textId="77777777" w:rsidR="000148BF" w:rsidRDefault="000148BF" w:rsidP="000148BF">
      <w:pPr>
        <w:pStyle w:val="FootnoteText"/>
        <w:spacing w:line="480" w:lineRule="auto"/>
        <w:contextualSpacing/>
        <w:jc w:val="both"/>
        <w:rPr>
          <w:rFonts w:ascii="Arial" w:hAnsi="Arial" w:cs="Arial"/>
          <w:sz w:val="24"/>
          <w:szCs w:val="24"/>
        </w:rPr>
      </w:pPr>
    </w:p>
    <w:p w14:paraId="2843BD81" w14:textId="283983F3" w:rsidR="00FA4A94" w:rsidRPr="001D34BF" w:rsidRDefault="00C47012" w:rsidP="00C47012">
      <w:pPr>
        <w:pStyle w:val="FootnoteText"/>
        <w:spacing w:line="480" w:lineRule="auto"/>
        <w:contextualSpacing/>
        <w:jc w:val="both"/>
        <w:rPr>
          <w:rFonts w:ascii="Arial" w:hAnsi="Arial" w:cs="Arial"/>
          <w:sz w:val="24"/>
          <w:szCs w:val="24"/>
        </w:rPr>
      </w:pPr>
      <w:r w:rsidRPr="001D34BF">
        <w:rPr>
          <w:rFonts w:ascii="Arial" w:hAnsi="Arial" w:cs="Arial"/>
          <w:sz w:val="24"/>
          <w:szCs w:val="24"/>
        </w:rPr>
        <w:t>[80]</w:t>
      </w:r>
      <w:r w:rsidRPr="001D34BF">
        <w:rPr>
          <w:rFonts w:ascii="Arial" w:hAnsi="Arial" w:cs="Arial"/>
          <w:sz w:val="24"/>
          <w:szCs w:val="24"/>
        </w:rPr>
        <w:tab/>
      </w:r>
      <w:r w:rsidR="00FA4A94" w:rsidRPr="000148BF">
        <w:rPr>
          <w:rFonts w:ascii="Arial" w:hAnsi="Arial" w:cs="Arial"/>
          <w:color w:val="000000"/>
          <w:sz w:val="24"/>
          <w:szCs w:val="24"/>
        </w:rPr>
        <w:t xml:space="preserve">The mere fact that the FIC may claim confidentiality in respect of their communications to the PP is not sufficient for her to escape her obligation.  In </w:t>
      </w:r>
      <w:r w:rsidR="00FA4A94" w:rsidRPr="000148BF">
        <w:rPr>
          <w:rFonts w:ascii="Arial" w:hAnsi="Arial" w:cs="Arial"/>
          <w:i/>
          <w:color w:val="000000"/>
          <w:sz w:val="24"/>
          <w:szCs w:val="24"/>
        </w:rPr>
        <w:t>Tulip</w:t>
      </w:r>
      <w:r w:rsidR="00FA4A94">
        <w:rPr>
          <w:rStyle w:val="FootnoteReference"/>
          <w:rFonts w:ascii="Arial" w:hAnsi="Arial" w:cs="Arial"/>
          <w:i/>
          <w:color w:val="000000"/>
          <w:sz w:val="24"/>
          <w:szCs w:val="24"/>
        </w:rPr>
        <w:footnoteReference w:id="82"/>
      </w:r>
      <w:r w:rsidR="0075146B">
        <w:rPr>
          <w:rFonts w:ascii="Arial" w:hAnsi="Arial" w:cs="Arial"/>
          <w:color w:val="000000"/>
          <w:sz w:val="24"/>
          <w:szCs w:val="24"/>
        </w:rPr>
        <w:t xml:space="preserve"> the Constitutional Court explained:</w:t>
      </w:r>
    </w:p>
    <w:p w14:paraId="49C9D501" w14:textId="77777777" w:rsidR="001D34BF" w:rsidRDefault="001D34BF" w:rsidP="001D34BF">
      <w:pPr>
        <w:pStyle w:val="FootnoteText"/>
        <w:spacing w:line="360" w:lineRule="auto"/>
        <w:ind w:left="567" w:right="567"/>
        <w:contextualSpacing/>
        <w:jc w:val="both"/>
        <w:rPr>
          <w:rFonts w:ascii="Arial" w:hAnsi="Arial" w:cs="Arial"/>
          <w:color w:val="000000" w:themeColor="text1"/>
          <w:sz w:val="22"/>
          <w:szCs w:val="22"/>
        </w:rPr>
      </w:pPr>
    </w:p>
    <w:p w14:paraId="5EFD6AB7" w14:textId="77777777" w:rsidR="001D34BF" w:rsidRDefault="001D34BF" w:rsidP="001D34BF">
      <w:pPr>
        <w:pStyle w:val="FootnoteText"/>
        <w:spacing w:line="360" w:lineRule="auto"/>
        <w:ind w:left="567" w:right="567"/>
        <w:contextualSpacing/>
        <w:jc w:val="both"/>
        <w:rPr>
          <w:rFonts w:ascii="Arial" w:hAnsi="Arial" w:cs="Arial"/>
          <w:color w:val="000000" w:themeColor="text1"/>
          <w:sz w:val="22"/>
          <w:szCs w:val="22"/>
        </w:rPr>
      </w:pPr>
    </w:p>
    <w:p w14:paraId="3AF3E924" w14:textId="77777777" w:rsidR="001D34BF" w:rsidRDefault="001D34BF" w:rsidP="001D34BF">
      <w:pPr>
        <w:pStyle w:val="FootnoteText"/>
        <w:spacing w:line="360" w:lineRule="auto"/>
        <w:ind w:left="567" w:right="567"/>
        <w:contextualSpacing/>
        <w:jc w:val="both"/>
        <w:rPr>
          <w:rFonts w:ascii="Arial" w:hAnsi="Arial" w:cs="Arial"/>
          <w:color w:val="000000" w:themeColor="text1"/>
          <w:sz w:val="22"/>
          <w:szCs w:val="22"/>
        </w:rPr>
      </w:pPr>
    </w:p>
    <w:p w14:paraId="3A43CAD1" w14:textId="77777777" w:rsidR="001D34BF" w:rsidRDefault="001D34BF" w:rsidP="001D34BF">
      <w:pPr>
        <w:pStyle w:val="FootnoteText"/>
        <w:spacing w:line="360" w:lineRule="auto"/>
        <w:ind w:left="567" w:right="567"/>
        <w:contextualSpacing/>
        <w:jc w:val="both"/>
        <w:rPr>
          <w:rFonts w:ascii="Arial" w:hAnsi="Arial" w:cs="Arial"/>
          <w:color w:val="000000" w:themeColor="text1"/>
          <w:sz w:val="22"/>
          <w:szCs w:val="22"/>
        </w:rPr>
      </w:pPr>
    </w:p>
    <w:p w14:paraId="55C88B5E" w14:textId="77777777" w:rsidR="001D34BF" w:rsidRDefault="001D34BF" w:rsidP="001D34BF">
      <w:pPr>
        <w:pStyle w:val="FootnoteText"/>
        <w:spacing w:line="360" w:lineRule="auto"/>
        <w:ind w:left="567" w:right="567"/>
        <w:contextualSpacing/>
        <w:jc w:val="both"/>
        <w:rPr>
          <w:rFonts w:ascii="Arial" w:hAnsi="Arial" w:cs="Arial"/>
          <w:color w:val="000000" w:themeColor="text1"/>
          <w:sz w:val="22"/>
          <w:szCs w:val="22"/>
        </w:rPr>
      </w:pPr>
    </w:p>
    <w:p w14:paraId="09976E04" w14:textId="77777777" w:rsidR="0075146B" w:rsidRPr="007B3868" w:rsidRDefault="0075146B" w:rsidP="001D34BF">
      <w:pPr>
        <w:pStyle w:val="FootnoteText"/>
        <w:spacing w:line="360" w:lineRule="auto"/>
        <w:ind w:left="567" w:right="567"/>
        <w:contextualSpacing/>
        <w:jc w:val="both"/>
        <w:rPr>
          <w:rFonts w:ascii="Arial" w:hAnsi="Arial" w:cs="Arial"/>
          <w:color w:val="000000" w:themeColor="text1"/>
          <w:sz w:val="22"/>
          <w:szCs w:val="22"/>
        </w:rPr>
      </w:pPr>
      <w:r w:rsidRPr="007B3868">
        <w:rPr>
          <w:rFonts w:ascii="Arial" w:hAnsi="Arial" w:cs="Arial"/>
          <w:color w:val="000000" w:themeColor="text1"/>
          <w:sz w:val="22"/>
          <w:szCs w:val="22"/>
        </w:rPr>
        <w:lastRenderedPageBreak/>
        <w:t xml:space="preserve">“A court cannot simply accept that, because a third party claims confidentiality, confidentiality exists. Tulip has not shown a general duty of confidentiality in law between a principal and a courier, or a consignor and a consignee, to support confidentiality flowing from Brinks' statement. Nor has Tulip demonstrated confidentiality by providing a contract with terms creating a confidentiality obligation as to the documents. </w:t>
      </w:r>
      <w:proofErr w:type="gramStart"/>
      <w:r w:rsidRPr="007B3868">
        <w:rPr>
          <w:rFonts w:ascii="Arial" w:hAnsi="Arial" w:cs="Arial"/>
          <w:color w:val="000000" w:themeColor="text1"/>
          <w:sz w:val="22"/>
          <w:szCs w:val="22"/>
        </w:rPr>
        <w:t>Therefore</w:t>
      </w:r>
      <w:proofErr w:type="gramEnd"/>
      <w:r w:rsidRPr="007B3868">
        <w:rPr>
          <w:rFonts w:ascii="Arial" w:hAnsi="Arial" w:cs="Arial"/>
          <w:color w:val="000000" w:themeColor="text1"/>
          <w:sz w:val="22"/>
          <w:szCs w:val="22"/>
        </w:rPr>
        <w:t xml:space="preserve"> both arguments relating to factual confidentiality are untenable.”</w:t>
      </w:r>
    </w:p>
    <w:p w14:paraId="11645344" w14:textId="77777777" w:rsidR="000E1776" w:rsidRDefault="000E1776" w:rsidP="0075146B">
      <w:pPr>
        <w:pStyle w:val="FootnoteText"/>
        <w:spacing w:line="360" w:lineRule="auto"/>
        <w:ind w:left="567" w:right="567"/>
        <w:contextualSpacing/>
        <w:jc w:val="both"/>
        <w:rPr>
          <w:rFonts w:ascii="Arial" w:hAnsi="Arial" w:cs="Arial"/>
          <w:color w:val="000000"/>
          <w:sz w:val="22"/>
          <w:szCs w:val="22"/>
        </w:rPr>
      </w:pPr>
    </w:p>
    <w:p w14:paraId="50DB19F0" w14:textId="77777777" w:rsidR="000E1776" w:rsidRDefault="000E1776" w:rsidP="0075146B">
      <w:pPr>
        <w:pStyle w:val="FootnoteText"/>
        <w:spacing w:line="360" w:lineRule="auto"/>
        <w:ind w:left="567" w:right="567"/>
        <w:contextualSpacing/>
        <w:jc w:val="both"/>
        <w:rPr>
          <w:rFonts w:ascii="Arial" w:hAnsi="Arial" w:cs="Arial"/>
          <w:color w:val="000000"/>
          <w:sz w:val="22"/>
          <w:szCs w:val="22"/>
        </w:rPr>
      </w:pPr>
    </w:p>
    <w:p w14:paraId="007EFBE9" w14:textId="49E318C1" w:rsidR="00545A19"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t>[81]</w:t>
      </w:r>
      <w:r>
        <w:rPr>
          <w:rFonts w:ascii="Arial" w:hAnsi="Arial" w:cs="Arial"/>
          <w:color w:val="000000"/>
          <w:sz w:val="24"/>
          <w:szCs w:val="24"/>
        </w:rPr>
        <w:tab/>
      </w:r>
      <w:r w:rsidR="000E1776" w:rsidRPr="00447509">
        <w:rPr>
          <w:rFonts w:ascii="Arial" w:hAnsi="Arial" w:cs="Arial"/>
          <w:color w:val="000000"/>
          <w:sz w:val="24"/>
          <w:szCs w:val="24"/>
        </w:rPr>
        <w:t>In this case</w:t>
      </w:r>
      <w:r w:rsidR="00D70C28">
        <w:rPr>
          <w:rFonts w:ascii="Arial" w:hAnsi="Arial" w:cs="Arial"/>
          <w:color w:val="000000"/>
          <w:sz w:val="24"/>
          <w:szCs w:val="24"/>
        </w:rPr>
        <w:t>,</w:t>
      </w:r>
      <w:r w:rsidR="000E1776" w:rsidRPr="00447509">
        <w:rPr>
          <w:rFonts w:ascii="Arial" w:hAnsi="Arial" w:cs="Arial"/>
          <w:color w:val="000000"/>
          <w:sz w:val="24"/>
          <w:szCs w:val="24"/>
        </w:rPr>
        <w:t xml:space="preserve"> the FIC indicated to the PP that their report may not be used as evidence in her investigation and that the purpose thereof was for </w:t>
      </w:r>
      <w:r w:rsidR="00545A19">
        <w:rPr>
          <w:rFonts w:ascii="Arial" w:hAnsi="Arial" w:cs="Arial"/>
          <w:color w:val="000000"/>
          <w:sz w:val="24"/>
          <w:szCs w:val="24"/>
        </w:rPr>
        <w:t>her</w:t>
      </w:r>
      <w:r w:rsidR="000E1776" w:rsidRPr="00447509">
        <w:rPr>
          <w:rFonts w:ascii="Arial" w:hAnsi="Arial" w:cs="Arial"/>
          <w:color w:val="000000"/>
          <w:sz w:val="24"/>
          <w:szCs w:val="24"/>
        </w:rPr>
        <w:t xml:space="preserve"> to gather other evidence.  </w:t>
      </w:r>
      <w:r w:rsidR="00545A19">
        <w:rPr>
          <w:rFonts w:ascii="Arial" w:hAnsi="Arial" w:cs="Arial"/>
          <w:color w:val="000000"/>
          <w:sz w:val="24"/>
          <w:szCs w:val="24"/>
        </w:rPr>
        <w:t>She</w:t>
      </w:r>
      <w:r w:rsidR="000E1776" w:rsidRPr="00447509">
        <w:rPr>
          <w:rFonts w:ascii="Arial" w:hAnsi="Arial" w:cs="Arial"/>
          <w:color w:val="000000"/>
          <w:sz w:val="24"/>
          <w:szCs w:val="24"/>
        </w:rPr>
        <w:t xml:space="preserve"> chose to rely on the reports </w:t>
      </w:r>
      <w:proofErr w:type="gramStart"/>
      <w:r w:rsidR="000E1776" w:rsidRPr="00447509">
        <w:rPr>
          <w:rFonts w:ascii="Arial" w:hAnsi="Arial" w:cs="Arial"/>
          <w:color w:val="000000"/>
          <w:sz w:val="24"/>
          <w:szCs w:val="24"/>
        </w:rPr>
        <w:t>in order to</w:t>
      </w:r>
      <w:proofErr w:type="gramEnd"/>
      <w:r w:rsidR="000E1776" w:rsidRPr="00447509">
        <w:rPr>
          <w:rFonts w:ascii="Arial" w:hAnsi="Arial" w:cs="Arial"/>
          <w:color w:val="000000"/>
          <w:sz w:val="24"/>
          <w:szCs w:val="24"/>
        </w:rPr>
        <w:t xml:space="preserve"> establish a fundamental requirement for her investigation of the second question.  Having done so, she was obliged to afford those implicated a</w:t>
      </w:r>
      <w:r w:rsidR="00545A19">
        <w:rPr>
          <w:rFonts w:ascii="Arial" w:hAnsi="Arial" w:cs="Arial"/>
          <w:color w:val="000000"/>
          <w:sz w:val="24"/>
          <w:szCs w:val="24"/>
        </w:rPr>
        <w:t xml:space="preserve"> meaningful </w:t>
      </w:r>
      <w:r w:rsidR="000E1776" w:rsidRPr="00447509">
        <w:rPr>
          <w:rFonts w:ascii="Arial" w:hAnsi="Arial" w:cs="Arial"/>
          <w:color w:val="000000"/>
          <w:sz w:val="24"/>
          <w:szCs w:val="24"/>
        </w:rPr>
        <w:t xml:space="preserve">opportunity to be heard in respect of the information contained in those reports.  She could have done so without disclosing the report </w:t>
      </w:r>
      <w:r w:rsidR="00545A19">
        <w:rPr>
          <w:rFonts w:ascii="Arial" w:hAnsi="Arial" w:cs="Arial"/>
          <w:color w:val="000000"/>
          <w:sz w:val="24"/>
          <w:szCs w:val="24"/>
        </w:rPr>
        <w:t>itself</w:t>
      </w:r>
      <w:r w:rsidR="000E1776" w:rsidRPr="00447509">
        <w:rPr>
          <w:rFonts w:ascii="Arial" w:hAnsi="Arial" w:cs="Arial"/>
          <w:color w:val="000000"/>
          <w:sz w:val="24"/>
          <w:szCs w:val="24"/>
        </w:rPr>
        <w:t xml:space="preserve"> and the failure to do so is fatal.</w:t>
      </w:r>
      <w:r w:rsidR="000E1776" w:rsidRPr="00447509">
        <w:rPr>
          <w:rStyle w:val="FootnoteReference"/>
          <w:rFonts w:ascii="Arial" w:hAnsi="Arial" w:cs="Arial"/>
          <w:color w:val="000000"/>
          <w:sz w:val="24"/>
          <w:szCs w:val="24"/>
        </w:rPr>
        <w:footnoteReference w:id="83"/>
      </w:r>
      <w:r w:rsidR="005A596D" w:rsidRPr="00447509">
        <w:rPr>
          <w:rFonts w:ascii="Arial" w:hAnsi="Arial" w:cs="Arial"/>
          <w:color w:val="000000"/>
          <w:sz w:val="24"/>
          <w:szCs w:val="24"/>
        </w:rPr>
        <w:t xml:space="preserve">  Her failure to afford the parties the opportunity to be heard on these issues render her investigation procedurally unfair and violated their rights in terms of s 33 of the Constitution.  Her failure to provide the reports as part of the record infringed on their rights in terms of s 34 of the Constitution.</w:t>
      </w:r>
    </w:p>
    <w:p w14:paraId="2292C674" w14:textId="77777777" w:rsidR="000761B1" w:rsidRPr="00545A19" w:rsidRDefault="000761B1" w:rsidP="00602E31">
      <w:pPr>
        <w:pStyle w:val="FootnoteText"/>
        <w:spacing w:line="480" w:lineRule="auto"/>
        <w:contextualSpacing/>
        <w:jc w:val="both"/>
        <w:rPr>
          <w:rFonts w:ascii="Arial" w:hAnsi="Arial" w:cs="Arial"/>
          <w:color w:val="000000"/>
          <w:sz w:val="24"/>
          <w:szCs w:val="24"/>
          <w:u w:val="single"/>
        </w:rPr>
      </w:pPr>
    </w:p>
    <w:p w14:paraId="73D41B71" w14:textId="77777777" w:rsidR="00447509" w:rsidRPr="00545A19" w:rsidRDefault="00545A19" w:rsidP="00602E31">
      <w:pPr>
        <w:pStyle w:val="FootnoteText"/>
        <w:spacing w:line="480" w:lineRule="auto"/>
        <w:contextualSpacing/>
        <w:jc w:val="both"/>
        <w:rPr>
          <w:rFonts w:ascii="Arial" w:hAnsi="Arial" w:cs="Arial"/>
          <w:color w:val="000000"/>
          <w:sz w:val="24"/>
          <w:szCs w:val="24"/>
          <w:u w:val="single"/>
        </w:rPr>
      </w:pPr>
      <w:r w:rsidRPr="00545A19">
        <w:rPr>
          <w:rFonts w:ascii="Arial" w:hAnsi="Arial" w:cs="Arial"/>
          <w:color w:val="000000"/>
          <w:sz w:val="24"/>
          <w:szCs w:val="24"/>
          <w:u w:val="single"/>
        </w:rPr>
        <w:t>Conclusion</w:t>
      </w:r>
    </w:p>
    <w:p w14:paraId="2B2DB873" w14:textId="66FB1860" w:rsidR="00131E91"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t>[82]</w:t>
      </w:r>
      <w:r>
        <w:rPr>
          <w:rFonts w:ascii="Arial" w:hAnsi="Arial" w:cs="Arial"/>
          <w:color w:val="000000"/>
          <w:sz w:val="24"/>
          <w:szCs w:val="24"/>
        </w:rPr>
        <w:tab/>
      </w:r>
      <w:r w:rsidR="005A596D" w:rsidRPr="00745EAD">
        <w:rPr>
          <w:rFonts w:ascii="Arial" w:hAnsi="Arial" w:cs="Arial"/>
          <w:color w:val="000000"/>
          <w:sz w:val="24"/>
          <w:szCs w:val="24"/>
        </w:rPr>
        <w:t>I alluded earlier</w:t>
      </w:r>
      <w:r w:rsidR="005A596D" w:rsidRPr="00447509">
        <w:rPr>
          <w:rStyle w:val="FootnoteReference"/>
          <w:rFonts w:ascii="Arial" w:hAnsi="Arial" w:cs="Arial"/>
          <w:color w:val="000000"/>
          <w:sz w:val="24"/>
          <w:szCs w:val="24"/>
        </w:rPr>
        <w:footnoteReference w:id="84"/>
      </w:r>
      <w:r w:rsidR="00C45E75" w:rsidRPr="00745EAD">
        <w:rPr>
          <w:rFonts w:ascii="Arial" w:hAnsi="Arial" w:cs="Arial"/>
          <w:color w:val="000000"/>
          <w:sz w:val="24"/>
          <w:szCs w:val="24"/>
        </w:rPr>
        <w:t xml:space="preserve"> to s 181 of the Constitution which requires of the PP to act independently, impartially and to exercise her powers and to perform her functions without fear, </w:t>
      </w:r>
      <w:proofErr w:type="spellStart"/>
      <w:proofErr w:type="gramStart"/>
      <w:r w:rsidR="00C45E75" w:rsidRPr="00745EAD">
        <w:rPr>
          <w:rFonts w:ascii="Arial" w:hAnsi="Arial" w:cs="Arial"/>
          <w:color w:val="000000"/>
          <w:sz w:val="24"/>
          <w:szCs w:val="24"/>
        </w:rPr>
        <w:t>favour</w:t>
      </w:r>
      <w:proofErr w:type="spellEnd"/>
      <w:proofErr w:type="gramEnd"/>
      <w:r w:rsidR="00C45E75" w:rsidRPr="00745EAD">
        <w:rPr>
          <w:rFonts w:ascii="Arial" w:hAnsi="Arial" w:cs="Arial"/>
          <w:color w:val="000000"/>
          <w:sz w:val="24"/>
          <w:szCs w:val="24"/>
        </w:rPr>
        <w:t xml:space="preserve"> or prejudice.  The applicants contended that she breached this duty and acted </w:t>
      </w:r>
      <w:r w:rsidR="00C45E75" w:rsidRPr="00745EAD">
        <w:rPr>
          <w:rFonts w:ascii="Arial" w:hAnsi="Arial" w:cs="Arial"/>
          <w:color w:val="000000"/>
          <w:sz w:val="24"/>
          <w:szCs w:val="24"/>
        </w:rPr>
        <w:lastRenderedPageBreak/>
        <w:t xml:space="preserve">in bad faith.  It is disturbing that </w:t>
      </w:r>
      <w:proofErr w:type="spellStart"/>
      <w:r w:rsidR="00C45E75" w:rsidRPr="00745EAD">
        <w:rPr>
          <w:rFonts w:ascii="Arial" w:hAnsi="Arial" w:cs="Arial"/>
          <w:color w:val="000000"/>
          <w:sz w:val="24"/>
          <w:szCs w:val="24"/>
        </w:rPr>
        <w:t>Ms</w:t>
      </w:r>
      <w:proofErr w:type="spellEnd"/>
      <w:r w:rsidR="00C45E75" w:rsidRPr="00745EAD">
        <w:rPr>
          <w:rFonts w:ascii="Arial" w:hAnsi="Arial" w:cs="Arial"/>
          <w:color w:val="000000"/>
          <w:sz w:val="24"/>
          <w:szCs w:val="24"/>
        </w:rPr>
        <w:t xml:space="preserve"> </w:t>
      </w:r>
      <w:proofErr w:type="spellStart"/>
      <w:r w:rsidR="00C45E75" w:rsidRPr="00745EAD">
        <w:rPr>
          <w:rFonts w:ascii="Arial" w:hAnsi="Arial" w:cs="Arial"/>
          <w:color w:val="000000"/>
          <w:sz w:val="24"/>
          <w:szCs w:val="24"/>
        </w:rPr>
        <w:t>Mkhwebane</w:t>
      </w:r>
      <w:proofErr w:type="spellEnd"/>
      <w:r w:rsidR="00C45E75" w:rsidRPr="00745EAD">
        <w:rPr>
          <w:rFonts w:ascii="Arial" w:hAnsi="Arial" w:cs="Arial"/>
          <w:color w:val="000000"/>
          <w:sz w:val="24"/>
          <w:szCs w:val="24"/>
        </w:rPr>
        <w:t xml:space="preserve"> did not respond personally to numerous accusations made </w:t>
      </w:r>
      <w:r w:rsidR="00545A19" w:rsidRPr="00745EAD">
        <w:rPr>
          <w:rFonts w:ascii="Arial" w:hAnsi="Arial" w:cs="Arial"/>
          <w:color w:val="000000"/>
          <w:sz w:val="24"/>
          <w:szCs w:val="24"/>
        </w:rPr>
        <w:t>attacking</w:t>
      </w:r>
      <w:r w:rsidR="00C45E75" w:rsidRPr="00745EAD">
        <w:rPr>
          <w:rFonts w:ascii="Arial" w:hAnsi="Arial" w:cs="Arial"/>
          <w:color w:val="000000"/>
          <w:sz w:val="24"/>
          <w:szCs w:val="24"/>
        </w:rPr>
        <w:t xml:space="preserve"> the integrity of her investigation.  An explanation was undeniably called for and, as I have said, she was the only person who could respond to these accusations.  </w:t>
      </w:r>
      <w:r w:rsidR="00745EAD">
        <w:rPr>
          <w:rFonts w:ascii="Arial" w:hAnsi="Arial" w:cs="Arial"/>
          <w:color w:val="000000"/>
          <w:sz w:val="24"/>
          <w:szCs w:val="24"/>
        </w:rPr>
        <w:t xml:space="preserve">The </w:t>
      </w:r>
      <w:r w:rsidR="007B3868">
        <w:rPr>
          <w:rFonts w:ascii="Arial" w:hAnsi="Arial" w:cs="Arial"/>
          <w:color w:val="000000"/>
          <w:sz w:val="24"/>
          <w:szCs w:val="24"/>
        </w:rPr>
        <w:t>e</w:t>
      </w:r>
      <w:r w:rsidR="00745EAD">
        <w:rPr>
          <w:rFonts w:ascii="Arial" w:hAnsi="Arial" w:cs="Arial"/>
          <w:color w:val="000000"/>
          <w:sz w:val="24"/>
          <w:szCs w:val="24"/>
        </w:rPr>
        <w:t>ffect is that the allegations of bad faith, of failing to apply her mind and of acting with an ulterior motive remain uncontested.</w:t>
      </w:r>
      <w:r w:rsidR="00745EAD">
        <w:rPr>
          <w:rStyle w:val="FootnoteReference"/>
          <w:rFonts w:ascii="Arial" w:hAnsi="Arial" w:cs="Arial"/>
          <w:color w:val="000000"/>
          <w:sz w:val="24"/>
          <w:szCs w:val="24"/>
        </w:rPr>
        <w:footnoteReference w:id="85"/>
      </w:r>
    </w:p>
    <w:p w14:paraId="1409CF59" w14:textId="77777777" w:rsidR="0007062F" w:rsidRPr="00745EAD" w:rsidRDefault="0007062F" w:rsidP="00602E31">
      <w:pPr>
        <w:pStyle w:val="FootnoteText"/>
        <w:spacing w:line="480" w:lineRule="auto"/>
        <w:contextualSpacing/>
        <w:jc w:val="both"/>
        <w:rPr>
          <w:rFonts w:ascii="Arial" w:hAnsi="Arial" w:cs="Arial"/>
          <w:color w:val="000000"/>
          <w:sz w:val="24"/>
          <w:szCs w:val="24"/>
        </w:rPr>
      </w:pPr>
    </w:p>
    <w:p w14:paraId="57644C51" w14:textId="71C606F9" w:rsidR="00447509"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t>[83]</w:t>
      </w:r>
      <w:r>
        <w:rPr>
          <w:rFonts w:ascii="Arial" w:hAnsi="Arial" w:cs="Arial"/>
          <w:color w:val="000000"/>
          <w:sz w:val="24"/>
          <w:szCs w:val="24"/>
        </w:rPr>
        <w:tab/>
      </w:r>
      <w:proofErr w:type="spellStart"/>
      <w:r w:rsidR="00545A19" w:rsidRPr="00950593">
        <w:rPr>
          <w:rFonts w:ascii="Arial" w:hAnsi="Arial" w:cs="Arial"/>
          <w:color w:val="000000"/>
          <w:sz w:val="24"/>
          <w:szCs w:val="24"/>
        </w:rPr>
        <w:t>Ms</w:t>
      </w:r>
      <w:proofErr w:type="spellEnd"/>
      <w:r w:rsidR="00545A19" w:rsidRPr="00950593">
        <w:rPr>
          <w:rFonts w:ascii="Arial" w:hAnsi="Arial" w:cs="Arial"/>
          <w:color w:val="000000"/>
          <w:sz w:val="24"/>
          <w:szCs w:val="24"/>
        </w:rPr>
        <w:t xml:space="preserve"> </w:t>
      </w:r>
      <w:proofErr w:type="spellStart"/>
      <w:r w:rsidR="00545A19" w:rsidRPr="00950593">
        <w:rPr>
          <w:rFonts w:ascii="Arial" w:hAnsi="Arial" w:cs="Arial"/>
          <w:color w:val="000000"/>
          <w:sz w:val="24"/>
          <w:szCs w:val="24"/>
        </w:rPr>
        <w:t>Mkhwebane</w:t>
      </w:r>
      <w:proofErr w:type="spellEnd"/>
      <w:r w:rsidR="00545A19" w:rsidRPr="00950593">
        <w:rPr>
          <w:rFonts w:ascii="Arial" w:hAnsi="Arial" w:cs="Arial"/>
          <w:color w:val="000000"/>
          <w:sz w:val="24"/>
          <w:szCs w:val="24"/>
        </w:rPr>
        <w:t xml:space="preserve"> had been </w:t>
      </w:r>
      <w:r w:rsidR="00447509" w:rsidRPr="00950593">
        <w:rPr>
          <w:rFonts w:ascii="Arial" w:hAnsi="Arial" w:cs="Arial"/>
          <w:color w:val="000000"/>
          <w:sz w:val="24"/>
          <w:szCs w:val="24"/>
        </w:rPr>
        <w:t xml:space="preserve">charged of intentionally exceeding her jurisdiction </w:t>
      </w:r>
      <w:r w:rsidR="00D70C28">
        <w:rPr>
          <w:rFonts w:ascii="Arial" w:hAnsi="Arial" w:cs="Arial"/>
          <w:color w:val="000000"/>
          <w:sz w:val="24"/>
          <w:szCs w:val="24"/>
        </w:rPr>
        <w:t xml:space="preserve">in </w:t>
      </w:r>
      <w:r w:rsidR="00447509" w:rsidRPr="00950593">
        <w:rPr>
          <w:rFonts w:ascii="Arial" w:hAnsi="Arial" w:cs="Arial"/>
          <w:color w:val="000000"/>
          <w:sz w:val="24"/>
          <w:szCs w:val="24"/>
        </w:rPr>
        <w:t>investigating possible offence</w:t>
      </w:r>
      <w:r w:rsidR="00604386" w:rsidRPr="00950593">
        <w:rPr>
          <w:rFonts w:ascii="Arial" w:hAnsi="Arial" w:cs="Arial"/>
          <w:color w:val="000000"/>
          <w:sz w:val="24"/>
          <w:szCs w:val="24"/>
        </w:rPr>
        <w:t>s</w:t>
      </w:r>
      <w:r w:rsidR="00447509" w:rsidRPr="00950593">
        <w:rPr>
          <w:rFonts w:ascii="Arial" w:hAnsi="Arial" w:cs="Arial"/>
          <w:color w:val="000000"/>
          <w:sz w:val="24"/>
          <w:szCs w:val="24"/>
        </w:rPr>
        <w:t xml:space="preserve"> of POCA.  </w:t>
      </w:r>
      <w:r w:rsidR="00950593">
        <w:rPr>
          <w:rFonts w:ascii="Arial" w:hAnsi="Arial" w:cs="Arial"/>
          <w:color w:val="000000"/>
          <w:sz w:val="24"/>
          <w:szCs w:val="24"/>
        </w:rPr>
        <w:t xml:space="preserve">She signed her reports just weeks after the Constitutional Court judgment in the </w:t>
      </w:r>
      <w:r w:rsidR="00D70C28">
        <w:rPr>
          <w:rFonts w:ascii="Arial" w:hAnsi="Arial" w:cs="Arial"/>
          <w:i/>
          <w:color w:val="000000"/>
          <w:sz w:val="24"/>
          <w:szCs w:val="24"/>
        </w:rPr>
        <w:t>President</w:t>
      </w:r>
      <w:r w:rsidR="00950593">
        <w:rPr>
          <w:rFonts w:ascii="Arial" w:hAnsi="Arial" w:cs="Arial"/>
          <w:i/>
          <w:color w:val="000000"/>
          <w:sz w:val="24"/>
          <w:szCs w:val="24"/>
        </w:rPr>
        <w:t xml:space="preserve"> (CC)</w:t>
      </w:r>
      <w:r w:rsidR="00950593">
        <w:rPr>
          <w:rFonts w:ascii="Arial" w:hAnsi="Arial" w:cs="Arial"/>
          <w:color w:val="000000"/>
          <w:sz w:val="24"/>
          <w:szCs w:val="24"/>
        </w:rPr>
        <w:t xml:space="preserve">.  She must have known that her investigation of offences under POCA was not within her competence.  Her failure to provide any explanation for her signing two different reports is disturbing and gives credence to the charge that she did not apply her mind to content.  The argument advanced at the hearing that </w:t>
      </w:r>
      <w:proofErr w:type="spellStart"/>
      <w:r w:rsidR="00950593">
        <w:rPr>
          <w:rFonts w:ascii="Arial" w:hAnsi="Arial" w:cs="Arial"/>
          <w:color w:val="000000"/>
          <w:sz w:val="24"/>
          <w:szCs w:val="24"/>
        </w:rPr>
        <w:t>Mr</w:t>
      </w:r>
      <w:proofErr w:type="spellEnd"/>
      <w:r w:rsidR="00950593">
        <w:rPr>
          <w:rFonts w:ascii="Arial" w:hAnsi="Arial" w:cs="Arial"/>
          <w:color w:val="000000"/>
          <w:sz w:val="24"/>
          <w:szCs w:val="24"/>
        </w:rPr>
        <w:t xml:space="preserve"> Dlamini in fact drafted the reports further bolsters the conclusion, and the release of her report with vague suspicions of unidentified offences under the PCCA just weeks before the local government elections </w:t>
      </w:r>
      <w:proofErr w:type="gramStart"/>
      <w:r w:rsidR="00950593">
        <w:rPr>
          <w:rFonts w:ascii="Arial" w:hAnsi="Arial" w:cs="Arial"/>
          <w:color w:val="000000"/>
          <w:sz w:val="24"/>
          <w:szCs w:val="24"/>
        </w:rPr>
        <w:t>raises</w:t>
      </w:r>
      <w:proofErr w:type="gramEnd"/>
      <w:r w:rsidR="00950593">
        <w:rPr>
          <w:rFonts w:ascii="Arial" w:hAnsi="Arial" w:cs="Arial"/>
          <w:color w:val="000000"/>
          <w:sz w:val="24"/>
          <w:szCs w:val="24"/>
        </w:rPr>
        <w:t xml:space="preserve"> significant questions.  The report itself demonstrates serious errors which justify the review and setting aside of both reports.</w:t>
      </w:r>
    </w:p>
    <w:p w14:paraId="3DD0A81A" w14:textId="77777777" w:rsidR="00950593" w:rsidRPr="00950593" w:rsidRDefault="00950593" w:rsidP="00602E31">
      <w:pPr>
        <w:pStyle w:val="FootnoteText"/>
        <w:spacing w:line="480" w:lineRule="auto"/>
        <w:contextualSpacing/>
        <w:jc w:val="both"/>
        <w:rPr>
          <w:rFonts w:ascii="Arial" w:hAnsi="Arial" w:cs="Arial"/>
          <w:color w:val="000000"/>
          <w:sz w:val="24"/>
          <w:szCs w:val="24"/>
        </w:rPr>
      </w:pPr>
    </w:p>
    <w:p w14:paraId="08CDBDC6" w14:textId="77777777" w:rsidR="00447509" w:rsidRPr="00447509" w:rsidRDefault="00447509" w:rsidP="00602E31">
      <w:pPr>
        <w:pStyle w:val="FootnoteText"/>
        <w:spacing w:line="480" w:lineRule="auto"/>
        <w:contextualSpacing/>
        <w:jc w:val="both"/>
        <w:rPr>
          <w:rFonts w:ascii="Arial" w:hAnsi="Arial" w:cs="Arial"/>
          <w:color w:val="000000"/>
          <w:sz w:val="24"/>
          <w:szCs w:val="24"/>
          <w:u w:val="single"/>
        </w:rPr>
      </w:pPr>
      <w:r w:rsidRPr="00447509">
        <w:rPr>
          <w:rFonts w:ascii="Arial" w:hAnsi="Arial" w:cs="Arial"/>
          <w:color w:val="000000"/>
          <w:sz w:val="24"/>
          <w:szCs w:val="24"/>
          <w:u w:val="single"/>
        </w:rPr>
        <w:t>Costs</w:t>
      </w:r>
    </w:p>
    <w:p w14:paraId="57F5FD9D" w14:textId="00204A10" w:rsidR="00545A19"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t>[84]</w:t>
      </w:r>
      <w:r>
        <w:rPr>
          <w:rFonts w:ascii="Arial" w:hAnsi="Arial" w:cs="Arial"/>
          <w:color w:val="000000"/>
          <w:sz w:val="24"/>
          <w:szCs w:val="24"/>
        </w:rPr>
        <w:tab/>
      </w:r>
      <w:r w:rsidR="00447509" w:rsidRPr="00447509">
        <w:rPr>
          <w:rFonts w:ascii="Arial" w:hAnsi="Arial" w:cs="Arial"/>
          <w:color w:val="000000"/>
          <w:sz w:val="24"/>
          <w:szCs w:val="24"/>
        </w:rPr>
        <w:t xml:space="preserve">The costs attendant on the rule 30A remains for decision.  The suggestion that the presentation of a supplementary record </w:t>
      </w:r>
      <w:r w:rsidR="00545A19">
        <w:rPr>
          <w:rFonts w:ascii="Arial" w:hAnsi="Arial" w:cs="Arial"/>
          <w:color w:val="000000"/>
          <w:sz w:val="24"/>
          <w:szCs w:val="24"/>
        </w:rPr>
        <w:t xml:space="preserve">(which is still not complete) </w:t>
      </w:r>
      <w:r w:rsidR="00447509" w:rsidRPr="00447509">
        <w:rPr>
          <w:rFonts w:ascii="Arial" w:hAnsi="Arial" w:cs="Arial"/>
          <w:color w:val="000000"/>
          <w:sz w:val="24"/>
          <w:szCs w:val="24"/>
        </w:rPr>
        <w:t xml:space="preserve">a few days prior to </w:t>
      </w:r>
      <w:r w:rsidR="00447509" w:rsidRPr="00447509">
        <w:rPr>
          <w:rFonts w:ascii="Arial" w:hAnsi="Arial" w:cs="Arial"/>
          <w:color w:val="000000"/>
          <w:sz w:val="24"/>
          <w:szCs w:val="24"/>
        </w:rPr>
        <w:lastRenderedPageBreak/>
        <w:t xml:space="preserve">the argument of the application renders the question of costs moot is clearly not acceptable.  </w:t>
      </w:r>
      <w:proofErr w:type="spellStart"/>
      <w:r w:rsidR="00447509" w:rsidRPr="00447509">
        <w:rPr>
          <w:rFonts w:ascii="Arial" w:hAnsi="Arial" w:cs="Arial"/>
          <w:color w:val="000000"/>
          <w:sz w:val="24"/>
          <w:szCs w:val="24"/>
        </w:rPr>
        <w:t>Mr</w:t>
      </w:r>
      <w:proofErr w:type="spellEnd"/>
      <w:r w:rsidR="00447509" w:rsidRPr="00447509">
        <w:rPr>
          <w:rFonts w:ascii="Arial" w:hAnsi="Arial" w:cs="Arial"/>
          <w:color w:val="000000"/>
          <w:sz w:val="24"/>
          <w:szCs w:val="24"/>
        </w:rPr>
        <w:t xml:space="preserve"> </w:t>
      </w:r>
      <w:proofErr w:type="spellStart"/>
      <w:r w:rsidR="00447509" w:rsidRPr="00447509">
        <w:rPr>
          <w:rFonts w:ascii="Arial" w:hAnsi="Arial" w:cs="Arial"/>
          <w:color w:val="000000"/>
          <w:sz w:val="24"/>
          <w:szCs w:val="24"/>
        </w:rPr>
        <w:t>Madikizela</w:t>
      </w:r>
      <w:proofErr w:type="spellEnd"/>
      <w:r w:rsidR="00447509" w:rsidRPr="00447509">
        <w:rPr>
          <w:rFonts w:ascii="Arial" w:hAnsi="Arial" w:cs="Arial"/>
          <w:color w:val="000000"/>
          <w:sz w:val="24"/>
          <w:szCs w:val="24"/>
        </w:rPr>
        <w:t xml:space="preserve"> </w:t>
      </w:r>
      <w:r w:rsidR="00950593">
        <w:rPr>
          <w:rFonts w:ascii="Arial" w:hAnsi="Arial" w:cs="Arial"/>
          <w:color w:val="000000"/>
          <w:sz w:val="24"/>
          <w:szCs w:val="24"/>
        </w:rPr>
        <w:t>was</w:t>
      </w:r>
      <w:r w:rsidR="00447509" w:rsidRPr="00447509">
        <w:rPr>
          <w:rFonts w:ascii="Arial" w:hAnsi="Arial" w:cs="Arial"/>
          <w:color w:val="000000"/>
          <w:sz w:val="24"/>
          <w:szCs w:val="24"/>
        </w:rPr>
        <w:t xml:space="preserve"> entitled to the costs of the rule 30A application.  </w:t>
      </w:r>
    </w:p>
    <w:p w14:paraId="130F6214" w14:textId="77777777" w:rsidR="00545A19" w:rsidRDefault="00545A19" w:rsidP="00602E31">
      <w:pPr>
        <w:pStyle w:val="FootnoteText"/>
        <w:spacing w:line="480" w:lineRule="auto"/>
        <w:contextualSpacing/>
        <w:jc w:val="both"/>
        <w:rPr>
          <w:rFonts w:ascii="Arial" w:hAnsi="Arial" w:cs="Arial"/>
          <w:color w:val="000000"/>
          <w:sz w:val="24"/>
          <w:szCs w:val="24"/>
        </w:rPr>
      </w:pPr>
    </w:p>
    <w:p w14:paraId="50325E46" w14:textId="331D24FA" w:rsidR="00447509"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t>[85]</w:t>
      </w:r>
      <w:r>
        <w:rPr>
          <w:rFonts w:ascii="Arial" w:hAnsi="Arial" w:cs="Arial"/>
          <w:color w:val="000000"/>
          <w:sz w:val="24"/>
          <w:szCs w:val="24"/>
        </w:rPr>
        <w:tab/>
      </w:r>
      <w:r w:rsidR="00447509" w:rsidRPr="00447509">
        <w:rPr>
          <w:rFonts w:ascii="Arial" w:hAnsi="Arial" w:cs="Arial"/>
          <w:color w:val="000000"/>
          <w:sz w:val="24"/>
          <w:szCs w:val="24"/>
        </w:rPr>
        <w:t xml:space="preserve">In addition, the application of </w:t>
      </w:r>
      <w:proofErr w:type="spellStart"/>
      <w:r w:rsidR="00447509" w:rsidRPr="00447509">
        <w:rPr>
          <w:rFonts w:ascii="Arial" w:hAnsi="Arial" w:cs="Arial"/>
          <w:color w:val="000000"/>
          <w:sz w:val="24"/>
          <w:szCs w:val="24"/>
        </w:rPr>
        <w:t>Mr</w:t>
      </w:r>
      <w:proofErr w:type="spellEnd"/>
      <w:r w:rsidR="00447509" w:rsidRPr="00447509">
        <w:rPr>
          <w:rFonts w:ascii="Arial" w:hAnsi="Arial" w:cs="Arial"/>
          <w:color w:val="000000"/>
          <w:sz w:val="24"/>
          <w:szCs w:val="24"/>
        </w:rPr>
        <w:t xml:space="preserve"> </w:t>
      </w:r>
      <w:proofErr w:type="spellStart"/>
      <w:r w:rsidR="00447509" w:rsidRPr="00447509">
        <w:rPr>
          <w:rFonts w:ascii="Arial" w:hAnsi="Arial" w:cs="Arial"/>
          <w:color w:val="000000"/>
          <w:sz w:val="24"/>
          <w:szCs w:val="24"/>
        </w:rPr>
        <w:t>Madikizela</w:t>
      </w:r>
      <w:proofErr w:type="spellEnd"/>
      <w:r w:rsidR="00447509" w:rsidRPr="00447509">
        <w:rPr>
          <w:rFonts w:ascii="Arial" w:hAnsi="Arial" w:cs="Arial"/>
          <w:color w:val="000000"/>
          <w:sz w:val="24"/>
          <w:szCs w:val="24"/>
        </w:rPr>
        <w:t xml:space="preserve"> to review and set aside the reports had been duly enrolled for hearing </w:t>
      </w:r>
      <w:r w:rsidR="00F00C4A">
        <w:rPr>
          <w:rFonts w:ascii="Arial" w:hAnsi="Arial" w:cs="Arial"/>
          <w:color w:val="000000"/>
          <w:sz w:val="24"/>
          <w:szCs w:val="24"/>
        </w:rPr>
        <w:t xml:space="preserve">on 16 September 2022 </w:t>
      </w:r>
      <w:r w:rsidR="00447509" w:rsidRPr="00447509">
        <w:rPr>
          <w:rFonts w:ascii="Arial" w:hAnsi="Arial" w:cs="Arial"/>
          <w:color w:val="000000"/>
          <w:sz w:val="24"/>
          <w:szCs w:val="24"/>
        </w:rPr>
        <w:t>and was ready to proceed when the PP</w:t>
      </w:r>
      <w:r w:rsidR="00F00C4A">
        <w:rPr>
          <w:rFonts w:ascii="Arial" w:hAnsi="Arial" w:cs="Arial"/>
          <w:color w:val="000000"/>
          <w:sz w:val="24"/>
          <w:szCs w:val="24"/>
        </w:rPr>
        <w:t>, at the eleventh hour,</w:t>
      </w:r>
      <w:r w:rsidR="00447509" w:rsidRPr="00447509">
        <w:rPr>
          <w:rFonts w:ascii="Arial" w:hAnsi="Arial" w:cs="Arial"/>
          <w:color w:val="000000"/>
          <w:sz w:val="24"/>
          <w:szCs w:val="24"/>
        </w:rPr>
        <w:t xml:space="preserve"> brought </w:t>
      </w:r>
      <w:r w:rsidR="00950593">
        <w:rPr>
          <w:rFonts w:ascii="Arial" w:hAnsi="Arial" w:cs="Arial"/>
          <w:color w:val="000000"/>
          <w:sz w:val="24"/>
          <w:szCs w:val="24"/>
        </w:rPr>
        <w:t>the</w:t>
      </w:r>
      <w:r w:rsidR="00447509" w:rsidRPr="00447509">
        <w:rPr>
          <w:rFonts w:ascii="Arial" w:hAnsi="Arial" w:cs="Arial"/>
          <w:color w:val="000000"/>
          <w:sz w:val="24"/>
          <w:szCs w:val="24"/>
        </w:rPr>
        <w:t xml:space="preserve"> application to consolidate the three applications. </w:t>
      </w:r>
      <w:r w:rsidR="00F00C4A">
        <w:rPr>
          <w:rFonts w:ascii="Arial" w:hAnsi="Arial" w:cs="Arial"/>
          <w:color w:val="000000"/>
          <w:sz w:val="24"/>
          <w:szCs w:val="24"/>
        </w:rPr>
        <w:t xml:space="preserve">The time set to respond to the application postdated the date set for the hearing of </w:t>
      </w:r>
      <w:proofErr w:type="spellStart"/>
      <w:r w:rsidR="00F00C4A">
        <w:rPr>
          <w:rFonts w:ascii="Arial" w:hAnsi="Arial" w:cs="Arial"/>
          <w:color w:val="000000"/>
          <w:sz w:val="24"/>
          <w:szCs w:val="24"/>
        </w:rPr>
        <w:t>Mr</w:t>
      </w:r>
      <w:proofErr w:type="spellEnd"/>
      <w:r w:rsidR="00F00C4A">
        <w:rPr>
          <w:rFonts w:ascii="Arial" w:hAnsi="Arial" w:cs="Arial"/>
          <w:color w:val="000000"/>
          <w:sz w:val="24"/>
          <w:szCs w:val="24"/>
        </w:rPr>
        <w:t xml:space="preserve"> </w:t>
      </w:r>
      <w:proofErr w:type="spellStart"/>
      <w:r w:rsidR="00F00C4A">
        <w:rPr>
          <w:rFonts w:ascii="Arial" w:hAnsi="Arial" w:cs="Arial"/>
          <w:color w:val="000000"/>
          <w:sz w:val="24"/>
          <w:szCs w:val="24"/>
        </w:rPr>
        <w:t>Madikizela’s</w:t>
      </w:r>
      <w:proofErr w:type="spellEnd"/>
      <w:r w:rsidR="00F00C4A">
        <w:rPr>
          <w:rFonts w:ascii="Arial" w:hAnsi="Arial" w:cs="Arial"/>
          <w:color w:val="000000"/>
          <w:sz w:val="24"/>
          <w:szCs w:val="24"/>
        </w:rPr>
        <w:t xml:space="preserve"> application. </w:t>
      </w:r>
      <w:r w:rsidR="00447509" w:rsidRPr="00447509">
        <w:rPr>
          <w:rFonts w:ascii="Arial" w:hAnsi="Arial" w:cs="Arial"/>
          <w:color w:val="000000"/>
          <w:sz w:val="24"/>
          <w:szCs w:val="24"/>
        </w:rPr>
        <w:t xml:space="preserve"> </w:t>
      </w:r>
      <w:proofErr w:type="spellStart"/>
      <w:r w:rsidR="00447509" w:rsidRPr="00447509">
        <w:rPr>
          <w:rFonts w:ascii="Arial" w:hAnsi="Arial" w:cs="Arial"/>
          <w:color w:val="000000"/>
          <w:sz w:val="24"/>
          <w:szCs w:val="24"/>
        </w:rPr>
        <w:t>Mr</w:t>
      </w:r>
      <w:proofErr w:type="spellEnd"/>
      <w:r w:rsidR="00447509" w:rsidRPr="00447509">
        <w:rPr>
          <w:rFonts w:ascii="Arial" w:hAnsi="Arial" w:cs="Arial"/>
          <w:color w:val="000000"/>
          <w:sz w:val="24"/>
          <w:szCs w:val="24"/>
        </w:rPr>
        <w:t xml:space="preserve"> </w:t>
      </w:r>
      <w:proofErr w:type="spellStart"/>
      <w:r w:rsidR="00447509" w:rsidRPr="00447509">
        <w:rPr>
          <w:rFonts w:ascii="Arial" w:hAnsi="Arial" w:cs="Arial"/>
          <w:color w:val="000000"/>
          <w:sz w:val="24"/>
          <w:szCs w:val="24"/>
        </w:rPr>
        <w:t>Madikizela</w:t>
      </w:r>
      <w:proofErr w:type="spellEnd"/>
      <w:r w:rsidR="00447509" w:rsidRPr="00447509">
        <w:rPr>
          <w:rFonts w:ascii="Arial" w:hAnsi="Arial" w:cs="Arial"/>
          <w:color w:val="000000"/>
          <w:sz w:val="24"/>
          <w:szCs w:val="24"/>
        </w:rPr>
        <w:t xml:space="preserve"> resisted the consolidation on the grounds that his matter had been enrolled, costs </w:t>
      </w:r>
      <w:r w:rsidR="004A4173">
        <w:rPr>
          <w:rFonts w:ascii="Arial" w:hAnsi="Arial" w:cs="Arial"/>
          <w:color w:val="000000"/>
          <w:sz w:val="24"/>
          <w:szCs w:val="24"/>
        </w:rPr>
        <w:t xml:space="preserve">had been </w:t>
      </w:r>
      <w:r w:rsidR="00447509" w:rsidRPr="00447509">
        <w:rPr>
          <w:rFonts w:ascii="Arial" w:hAnsi="Arial" w:cs="Arial"/>
          <w:color w:val="000000"/>
          <w:sz w:val="24"/>
          <w:szCs w:val="24"/>
        </w:rPr>
        <w:t xml:space="preserve">incurred and that he was ready to proceed.  </w:t>
      </w:r>
      <w:r w:rsidR="00720304">
        <w:rPr>
          <w:rFonts w:ascii="Arial" w:hAnsi="Arial" w:cs="Arial"/>
          <w:color w:val="000000"/>
          <w:sz w:val="24"/>
          <w:szCs w:val="24"/>
        </w:rPr>
        <w:t>In response the PP brought a separate application for the postponement of his review application.  A</w:t>
      </w:r>
      <w:r w:rsidR="00447509" w:rsidRPr="00447509">
        <w:rPr>
          <w:rFonts w:ascii="Arial" w:hAnsi="Arial" w:cs="Arial"/>
          <w:color w:val="000000"/>
          <w:sz w:val="24"/>
          <w:szCs w:val="24"/>
        </w:rPr>
        <w:t xml:space="preserve"> postponement of his application was necessary</w:t>
      </w:r>
      <w:r w:rsidR="003A3E8A">
        <w:rPr>
          <w:rFonts w:ascii="Arial" w:hAnsi="Arial" w:cs="Arial"/>
          <w:color w:val="000000"/>
          <w:sz w:val="24"/>
          <w:szCs w:val="24"/>
        </w:rPr>
        <w:t xml:space="preserve"> in view of the consolidation</w:t>
      </w:r>
      <w:r w:rsidR="00447509" w:rsidRPr="00447509">
        <w:rPr>
          <w:rFonts w:ascii="Arial" w:hAnsi="Arial" w:cs="Arial"/>
          <w:color w:val="000000"/>
          <w:sz w:val="24"/>
          <w:szCs w:val="24"/>
        </w:rPr>
        <w:t xml:space="preserve">.  </w:t>
      </w:r>
      <w:r w:rsidR="003A3E8A">
        <w:rPr>
          <w:rFonts w:ascii="Arial" w:hAnsi="Arial" w:cs="Arial"/>
          <w:color w:val="000000"/>
          <w:sz w:val="24"/>
          <w:szCs w:val="24"/>
        </w:rPr>
        <w:t xml:space="preserve">Both parties contended that they are entitled to the costs occasioned by the consolidation and the postponement which were reserved.  I consider that the costs were occasioned by the </w:t>
      </w:r>
      <w:proofErr w:type="gramStart"/>
      <w:r w:rsidR="003A3E8A">
        <w:rPr>
          <w:rFonts w:ascii="Arial" w:hAnsi="Arial" w:cs="Arial"/>
          <w:color w:val="000000"/>
          <w:sz w:val="24"/>
          <w:szCs w:val="24"/>
        </w:rPr>
        <w:t>last minute</w:t>
      </w:r>
      <w:proofErr w:type="gramEnd"/>
      <w:r w:rsidR="003A3E8A">
        <w:rPr>
          <w:rFonts w:ascii="Arial" w:hAnsi="Arial" w:cs="Arial"/>
          <w:color w:val="000000"/>
          <w:sz w:val="24"/>
          <w:szCs w:val="24"/>
        </w:rPr>
        <w:t xml:space="preserve"> application for consolidation, which could have occurred much earlier.  In the result it would be appropriate for the PP to pay </w:t>
      </w:r>
      <w:proofErr w:type="spellStart"/>
      <w:r w:rsidR="003A3E8A">
        <w:rPr>
          <w:rFonts w:ascii="Arial" w:hAnsi="Arial" w:cs="Arial"/>
          <w:color w:val="000000"/>
          <w:sz w:val="24"/>
          <w:szCs w:val="24"/>
        </w:rPr>
        <w:t>Mr</w:t>
      </w:r>
      <w:proofErr w:type="spellEnd"/>
      <w:r w:rsidR="003A3E8A">
        <w:rPr>
          <w:rFonts w:ascii="Arial" w:hAnsi="Arial" w:cs="Arial"/>
          <w:color w:val="000000"/>
          <w:sz w:val="24"/>
          <w:szCs w:val="24"/>
        </w:rPr>
        <w:t xml:space="preserve"> </w:t>
      </w:r>
      <w:proofErr w:type="spellStart"/>
      <w:r w:rsidR="003A3E8A">
        <w:rPr>
          <w:rFonts w:ascii="Arial" w:hAnsi="Arial" w:cs="Arial"/>
          <w:color w:val="000000"/>
          <w:sz w:val="24"/>
          <w:szCs w:val="24"/>
        </w:rPr>
        <w:t>Madikizela’s</w:t>
      </w:r>
      <w:proofErr w:type="spellEnd"/>
      <w:r w:rsidR="003A3E8A">
        <w:rPr>
          <w:rFonts w:ascii="Arial" w:hAnsi="Arial" w:cs="Arial"/>
          <w:color w:val="000000"/>
          <w:sz w:val="24"/>
          <w:szCs w:val="24"/>
        </w:rPr>
        <w:t xml:space="preserve"> costs of the application for consolidation and the postponement on </w:t>
      </w:r>
      <w:r w:rsidR="00995FDB">
        <w:rPr>
          <w:rFonts w:ascii="Arial" w:hAnsi="Arial" w:cs="Arial"/>
          <w:color w:val="000000"/>
          <w:sz w:val="24"/>
          <w:szCs w:val="24"/>
        </w:rPr>
        <w:t xml:space="preserve">                 </w:t>
      </w:r>
      <w:r w:rsidR="003A3E8A">
        <w:rPr>
          <w:rFonts w:ascii="Arial" w:hAnsi="Arial" w:cs="Arial"/>
          <w:color w:val="000000"/>
          <w:sz w:val="24"/>
          <w:szCs w:val="24"/>
        </w:rPr>
        <w:t xml:space="preserve">16 September 2022.  </w:t>
      </w:r>
    </w:p>
    <w:p w14:paraId="3757886F" w14:textId="77777777" w:rsidR="005E5F36" w:rsidRDefault="005E5F36" w:rsidP="00602E31">
      <w:pPr>
        <w:pStyle w:val="ListParagraph"/>
        <w:spacing w:after="0" w:line="480" w:lineRule="auto"/>
        <w:ind w:left="0"/>
        <w:jc w:val="both"/>
        <w:rPr>
          <w:rFonts w:ascii="Arial" w:hAnsi="Arial" w:cs="Arial"/>
          <w:color w:val="000000"/>
          <w:sz w:val="24"/>
          <w:szCs w:val="24"/>
        </w:rPr>
      </w:pPr>
    </w:p>
    <w:p w14:paraId="3419DE78" w14:textId="30EA99DB" w:rsidR="00602E31"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t>[86]</w:t>
      </w:r>
      <w:r>
        <w:rPr>
          <w:rFonts w:ascii="Arial" w:hAnsi="Arial" w:cs="Arial"/>
          <w:color w:val="000000"/>
          <w:sz w:val="24"/>
          <w:szCs w:val="24"/>
        </w:rPr>
        <w:tab/>
      </w:r>
      <w:r w:rsidR="005E5F36">
        <w:rPr>
          <w:rFonts w:ascii="Arial" w:hAnsi="Arial" w:cs="Arial"/>
          <w:color w:val="000000"/>
          <w:sz w:val="24"/>
          <w:szCs w:val="24"/>
        </w:rPr>
        <w:t>I have consid</w:t>
      </w:r>
      <w:r w:rsidR="00D70473">
        <w:rPr>
          <w:rFonts w:ascii="Arial" w:hAnsi="Arial" w:cs="Arial"/>
          <w:color w:val="000000"/>
          <w:sz w:val="24"/>
          <w:szCs w:val="24"/>
        </w:rPr>
        <w:t xml:space="preserve">ered the applications to strike </w:t>
      </w:r>
      <w:r w:rsidR="005E5F36">
        <w:rPr>
          <w:rFonts w:ascii="Arial" w:hAnsi="Arial" w:cs="Arial"/>
          <w:color w:val="000000"/>
          <w:sz w:val="24"/>
          <w:szCs w:val="24"/>
        </w:rPr>
        <w:t xml:space="preserve">out earlier.  </w:t>
      </w:r>
      <w:proofErr w:type="spellStart"/>
      <w:r w:rsidR="005E5F36">
        <w:rPr>
          <w:rFonts w:ascii="Arial" w:hAnsi="Arial" w:cs="Arial"/>
          <w:color w:val="000000"/>
          <w:sz w:val="24"/>
          <w:szCs w:val="24"/>
        </w:rPr>
        <w:t>Mr</w:t>
      </w:r>
      <w:proofErr w:type="spellEnd"/>
      <w:r w:rsidR="005E5F36">
        <w:rPr>
          <w:rFonts w:ascii="Arial" w:hAnsi="Arial" w:cs="Arial"/>
          <w:color w:val="000000"/>
          <w:sz w:val="24"/>
          <w:szCs w:val="24"/>
        </w:rPr>
        <w:t xml:space="preserve"> </w:t>
      </w:r>
      <w:proofErr w:type="spellStart"/>
      <w:r w:rsidR="005E5F36">
        <w:rPr>
          <w:rFonts w:ascii="Arial" w:hAnsi="Arial" w:cs="Arial"/>
          <w:color w:val="000000"/>
          <w:sz w:val="24"/>
          <w:szCs w:val="24"/>
        </w:rPr>
        <w:t>Madikizela’s</w:t>
      </w:r>
      <w:proofErr w:type="spellEnd"/>
      <w:r w:rsidR="005E5F36">
        <w:rPr>
          <w:rFonts w:ascii="Arial" w:hAnsi="Arial" w:cs="Arial"/>
          <w:color w:val="000000"/>
          <w:sz w:val="24"/>
          <w:szCs w:val="24"/>
        </w:rPr>
        <w:t xml:space="preserve"> application was </w:t>
      </w:r>
      <w:proofErr w:type="gramStart"/>
      <w:r w:rsidR="005E5F36">
        <w:rPr>
          <w:rFonts w:ascii="Arial" w:hAnsi="Arial" w:cs="Arial"/>
          <w:color w:val="000000"/>
          <w:sz w:val="24"/>
          <w:szCs w:val="24"/>
        </w:rPr>
        <w:t>well-founded</w:t>
      </w:r>
      <w:proofErr w:type="gramEnd"/>
      <w:r w:rsidR="005E5F36">
        <w:rPr>
          <w:rFonts w:ascii="Arial" w:hAnsi="Arial" w:cs="Arial"/>
          <w:color w:val="000000"/>
          <w:sz w:val="24"/>
          <w:szCs w:val="24"/>
        </w:rPr>
        <w:t xml:space="preserve"> and he is entitled to the costs occasioned thereby.  The striking-out application on behalf of the applicants in case number 818/2021 falls to be dismissed and the PP is entitled to recover her costs occasioned by the application.</w:t>
      </w:r>
    </w:p>
    <w:p w14:paraId="5F787AC2" w14:textId="77777777" w:rsidR="00602E31" w:rsidRDefault="00602E31" w:rsidP="00602E31">
      <w:pPr>
        <w:pStyle w:val="ListParagraph"/>
        <w:spacing w:after="0" w:line="480" w:lineRule="auto"/>
        <w:ind w:left="0"/>
        <w:jc w:val="both"/>
        <w:rPr>
          <w:rFonts w:ascii="Arial" w:hAnsi="Arial" w:cs="Arial"/>
          <w:color w:val="000000"/>
          <w:sz w:val="24"/>
          <w:szCs w:val="24"/>
        </w:rPr>
      </w:pPr>
    </w:p>
    <w:p w14:paraId="2C0A4429" w14:textId="7B3B66FB" w:rsidR="004D7C55"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lastRenderedPageBreak/>
        <w:t>[87]</w:t>
      </w:r>
      <w:r>
        <w:rPr>
          <w:rFonts w:ascii="Arial" w:hAnsi="Arial" w:cs="Arial"/>
          <w:color w:val="000000"/>
          <w:sz w:val="24"/>
          <w:szCs w:val="24"/>
        </w:rPr>
        <w:tab/>
      </w:r>
      <w:r w:rsidR="00447509" w:rsidRPr="00602E31">
        <w:rPr>
          <w:rFonts w:ascii="Arial" w:hAnsi="Arial" w:cs="Arial"/>
          <w:color w:val="000000"/>
          <w:sz w:val="24"/>
          <w:szCs w:val="24"/>
        </w:rPr>
        <w:t xml:space="preserve">In respect of the review application </w:t>
      </w:r>
      <w:r w:rsidR="004A4173" w:rsidRPr="00602E31">
        <w:rPr>
          <w:rFonts w:ascii="Arial" w:hAnsi="Arial" w:cs="Arial"/>
          <w:color w:val="000000"/>
          <w:sz w:val="24"/>
          <w:szCs w:val="24"/>
        </w:rPr>
        <w:t xml:space="preserve">none of the applicants had sought a punitive costs order in their papers and </w:t>
      </w:r>
      <w:r w:rsidR="00447509" w:rsidRPr="00602E31">
        <w:rPr>
          <w:rFonts w:ascii="Arial" w:hAnsi="Arial" w:cs="Arial"/>
          <w:color w:val="000000"/>
          <w:sz w:val="24"/>
          <w:szCs w:val="24"/>
        </w:rPr>
        <w:t>I consider it appropriate that the costs should follow the result in accordance with the ordinary rule.</w:t>
      </w:r>
      <w:r w:rsidR="00545A19" w:rsidRPr="00602E31">
        <w:rPr>
          <w:rFonts w:ascii="Arial" w:hAnsi="Arial" w:cs="Arial"/>
          <w:color w:val="000000"/>
          <w:sz w:val="24"/>
          <w:szCs w:val="24"/>
        </w:rPr>
        <w:t xml:space="preserve">  These matters involved complicated issues of law and the costs of two counsel was justified in each case.</w:t>
      </w:r>
    </w:p>
    <w:p w14:paraId="20E5B103" w14:textId="77777777" w:rsidR="004D7C55" w:rsidRDefault="004D7C55" w:rsidP="00602E31">
      <w:pPr>
        <w:pStyle w:val="FootnoteText"/>
        <w:spacing w:line="480" w:lineRule="auto"/>
        <w:contextualSpacing/>
        <w:jc w:val="both"/>
        <w:rPr>
          <w:rFonts w:ascii="Arial" w:hAnsi="Arial" w:cs="Arial"/>
          <w:color w:val="000000"/>
          <w:sz w:val="24"/>
          <w:szCs w:val="24"/>
        </w:rPr>
      </w:pPr>
    </w:p>
    <w:p w14:paraId="26C48AF2" w14:textId="1D7060B9" w:rsidR="004D7C55" w:rsidRDefault="00C47012" w:rsidP="00C47012">
      <w:pPr>
        <w:pStyle w:val="FootnoteText"/>
        <w:spacing w:line="480" w:lineRule="auto"/>
        <w:contextualSpacing/>
        <w:jc w:val="both"/>
        <w:rPr>
          <w:rFonts w:ascii="Arial" w:hAnsi="Arial" w:cs="Arial"/>
          <w:color w:val="000000"/>
          <w:sz w:val="24"/>
          <w:szCs w:val="24"/>
        </w:rPr>
      </w:pPr>
      <w:r>
        <w:rPr>
          <w:rFonts w:ascii="Arial" w:hAnsi="Arial" w:cs="Arial"/>
          <w:color w:val="000000"/>
          <w:sz w:val="24"/>
          <w:szCs w:val="24"/>
        </w:rPr>
        <w:t>[88]</w:t>
      </w:r>
      <w:r>
        <w:rPr>
          <w:rFonts w:ascii="Arial" w:hAnsi="Arial" w:cs="Arial"/>
          <w:color w:val="000000"/>
          <w:sz w:val="24"/>
          <w:szCs w:val="24"/>
        </w:rPr>
        <w:tab/>
      </w:r>
      <w:r w:rsidR="004D7C55">
        <w:rPr>
          <w:rFonts w:ascii="Arial" w:hAnsi="Arial" w:cs="Arial"/>
          <w:color w:val="000000"/>
          <w:sz w:val="24"/>
          <w:szCs w:val="24"/>
        </w:rPr>
        <w:t>In the result, the following order is made:</w:t>
      </w:r>
    </w:p>
    <w:p w14:paraId="5D132AFF" w14:textId="77777777" w:rsidR="00AF4266" w:rsidRDefault="00AF4266" w:rsidP="00602E31">
      <w:pPr>
        <w:pStyle w:val="FootnoteText"/>
        <w:spacing w:line="480" w:lineRule="auto"/>
        <w:contextualSpacing/>
        <w:jc w:val="both"/>
        <w:rPr>
          <w:rFonts w:ascii="Arial" w:hAnsi="Arial" w:cs="Arial"/>
          <w:color w:val="000000"/>
          <w:sz w:val="24"/>
          <w:szCs w:val="24"/>
        </w:rPr>
      </w:pPr>
    </w:p>
    <w:p w14:paraId="4365649C" w14:textId="62CE3FBF" w:rsidR="004D7C55" w:rsidRDefault="00C47012" w:rsidP="00C47012">
      <w:pPr>
        <w:pStyle w:val="FootnoteText"/>
        <w:spacing w:line="480" w:lineRule="auto"/>
        <w:ind w:left="540" w:hanging="540"/>
        <w:contextualSpacing/>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4D7C55">
        <w:rPr>
          <w:rFonts w:ascii="Arial" w:hAnsi="Arial" w:cs="Arial"/>
          <w:color w:val="000000"/>
          <w:sz w:val="24"/>
          <w:szCs w:val="24"/>
        </w:rPr>
        <w:t xml:space="preserve">In case number 800/2021:  </w:t>
      </w:r>
    </w:p>
    <w:p w14:paraId="23D184B3" w14:textId="7D7DEBDC" w:rsidR="004D7C55" w:rsidRDefault="00C47012" w:rsidP="00C47012">
      <w:pPr>
        <w:pStyle w:val="FootnoteText"/>
        <w:spacing w:line="480" w:lineRule="auto"/>
        <w:ind w:left="1530" w:hanging="900"/>
        <w:contextualSpacing/>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4D7C55">
        <w:rPr>
          <w:rFonts w:ascii="Arial" w:hAnsi="Arial" w:cs="Arial"/>
          <w:color w:val="000000"/>
          <w:sz w:val="24"/>
          <w:szCs w:val="24"/>
        </w:rPr>
        <w:t>The report of the first respondent dated 8 October 2021 is reviewed and set aside and declared to be inconsistent with the Constitution of the Republic of South Africa, 1996 and invalid.</w:t>
      </w:r>
    </w:p>
    <w:p w14:paraId="37DC7A34" w14:textId="73757E5F" w:rsidR="004D7C55" w:rsidRDefault="00C47012" w:rsidP="00C47012">
      <w:pPr>
        <w:pStyle w:val="FootnoteText"/>
        <w:spacing w:line="480" w:lineRule="auto"/>
        <w:ind w:left="1530" w:hanging="900"/>
        <w:contextualSpacing/>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4D7C55">
        <w:rPr>
          <w:rFonts w:ascii="Arial" w:hAnsi="Arial" w:cs="Arial"/>
          <w:color w:val="000000"/>
          <w:sz w:val="24"/>
          <w:szCs w:val="24"/>
        </w:rPr>
        <w:t xml:space="preserve">The report of the first respondent dated 28 September 2021 is reviewed and set aside and declared to be inconsistent with the </w:t>
      </w:r>
      <w:r w:rsidR="00303ED1">
        <w:rPr>
          <w:rFonts w:ascii="Arial" w:hAnsi="Arial" w:cs="Arial"/>
          <w:color w:val="000000"/>
          <w:sz w:val="24"/>
          <w:szCs w:val="24"/>
        </w:rPr>
        <w:t>Constitution</w:t>
      </w:r>
      <w:r w:rsidR="004D7C55">
        <w:rPr>
          <w:rFonts w:ascii="Arial" w:hAnsi="Arial" w:cs="Arial"/>
          <w:color w:val="000000"/>
          <w:sz w:val="24"/>
          <w:szCs w:val="24"/>
        </w:rPr>
        <w:t xml:space="preserve"> of the Republic of South Africa, 1996</w:t>
      </w:r>
      <w:r w:rsidR="00303ED1">
        <w:rPr>
          <w:rFonts w:ascii="Arial" w:hAnsi="Arial" w:cs="Arial"/>
          <w:color w:val="000000"/>
          <w:sz w:val="24"/>
          <w:szCs w:val="24"/>
        </w:rPr>
        <w:t>,</w:t>
      </w:r>
      <w:r w:rsidR="004D7C55">
        <w:rPr>
          <w:rFonts w:ascii="Arial" w:hAnsi="Arial" w:cs="Arial"/>
          <w:color w:val="000000"/>
          <w:sz w:val="24"/>
          <w:szCs w:val="24"/>
        </w:rPr>
        <w:t xml:space="preserve"> and invalid.</w:t>
      </w:r>
    </w:p>
    <w:p w14:paraId="2048F90E" w14:textId="0D7C4526" w:rsidR="004D7C55" w:rsidRDefault="00C47012" w:rsidP="00C47012">
      <w:pPr>
        <w:pStyle w:val="FootnoteText"/>
        <w:spacing w:line="480" w:lineRule="auto"/>
        <w:ind w:left="1530" w:hanging="900"/>
        <w:contextualSpacing/>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r>
      <w:r w:rsidR="004D7C55">
        <w:rPr>
          <w:rFonts w:ascii="Arial" w:hAnsi="Arial" w:cs="Arial"/>
          <w:color w:val="000000"/>
          <w:sz w:val="24"/>
          <w:szCs w:val="24"/>
        </w:rPr>
        <w:t>The first respondent is ordered to pay the applicant</w:t>
      </w:r>
      <w:r w:rsidR="00303ED1">
        <w:rPr>
          <w:rFonts w:ascii="Arial" w:hAnsi="Arial" w:cs="Arial"/>
          <w:color w:val="000000"/>
          <w:sz w:val="24"/>
          <w:szCs w:val="24"/>
        </w:rPr>
        <w:t>’</w:t>
      </w:r>
      <w:r w:rsidR="004D7C55">
        <w:rPr>
          <w:rFonts w:ascii="Arial" w:hAnsi="Arial" w:cs="Arial"/>
          <w:color w:val="000000"/>
          <w:sz w:val="24"/>
          <w:szCs w:val="24"/>
        </w:rPr>
        <w:t>s costs of the application, including the costs</w:t>
      </w:r>
      <w:r w:rsidR="004A4173">
        <w:rPr>
          <w:rFonts w:ascii="Arial" w:hAnsi="Arial" w:cs="Arial"/>
          <w:color w:val="000000"/>
          <w:sz w:val="24"/>
          <w:szCs w:val="24"/>
        </w:rPr>
        <w:t xml:space="preserve"> occasioned by </w:t>
      </w:r>
      <w:r w:rsidR="007B3868">
        <w:rPr>
          <w:rFonts w:ascii="Arial" w:hAnsi="Arial" w:cs="Arial"/>
          <w:color w:val="000000"/>
          <w:sz w:val="24"/>
          <w:szCs w:val="24"/>
        </w:rPr>
        <w:t xml:space="preserve">consolidation of the applications and </w:t>
      </w:r>
      <w:r w:rsidR="004A4173">
        <w:rPr>
          <w:rFonts w:ascii="Arial" w:hAnsi="Arial" w:cs="Arial"/>
          <w:color w:val="000000"/>
          <w:sz w:val="24"/>
          <w:szCs w:val="24"/>
        </w:rPr>
        <w:t xml:space="preserve">the postponement of the application on 16 September 2022, such costs to include the costs </w:t>
      </w:r>
      <w:r w:rsidR="004D7C55">
        <w:rPr>
          <w:rFonts w:ascii="Arial" w:hAnsi="Arial" w:cs="Arial"/>
          <w:color w:val="000000"/>
          <w:sz w:val="24"/>
          <w:szCs w:val="24"/>
        </w:rPr>
        <w:t>of two counsel.</w:t>
      </w:r>
    </w:p>
    <w:p w14:paraId="2A875199" w14:textId="79355149" w:rsidR="004D7C55" w:rsidRDefault="00C47012" w:rsidP="00C47012">
      <w:pPr>
        <w:pStyle w:val="FootnoteText"/>
        <w:spacing w:line="480" w:lineRule="auto"/>
        <w:ind w:left="1530" w:hanging="900"/>
        <w:contextualSpacing/>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r>
      <w:r w:rsidR="004D7C55">
        <w:rPr>
          <w:rFonts w:ascii="Arial" w:hAnsi="Arial" w:cs="Arial"/>
          <w:color w:val="000000"/>
          <w:sz w:val="24"/>
          <w:szCs w:val="24"/>
        </w:rPr>
        <w:t xml:space="preserve">The first respondent is </w:t>
      </w:r>
      <w:r w:rsidR="00303ED1">
        <w:rPr>
          <w:rFonts w:ascii="Arial" w:hAnsi="Arial" w:cs="Arial"/>
          <w:color w:val="000000"/>
          <w:sz w:val="24"/>
          <w:szCs w:val="24"/>
        </w:rPr>
        <w:t>ordered</w:t>
      </w:r>
      <w:r w:rsidR="004D7C55">
        <w:rPr>
          <w:rFonts w:ascii="Arial" w:hAnsi="Arial" w:cs="Arial"/>
          <w:color w:val="000000"/>
          <w:sz w:val="24"/>
          <w:szCs w:val="24"/>
        </w:rPr>
        <w:t xml:space="preserve"> to pay the costs of the interlocutory rule 30A application.</w:t>
      </w:r>
    </w:p>
    <w:p w14:paraId="24522750" w14:textId="75B699C0" w:rsidR="001D34BF" w:rsidRDefault="00C47012" w:rsidP="00C47012">
      <w:pPr>
        <w:pStyle w:val="FootnoteText"/>
        <w:spacing w:line="480" w:lineRule="auto"/>
        <w:ind w:left="1530" w:hanging="900"/>
        <w:contextualSpacing/>
        <w:jc w:val="both"/>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r>
      <w:r w:rsidR="004D7C55" w:rsidRPr="001D34BF">
        <w:rPr>
          <w:rFonts w:ascii="Arial" w:hAnsi="Arial" w:cs="Arial"/>
          <w:color w:val="000000"/>
          <w:sz w:val="24"/>
          <w:szCs w:val="24"/>
        </w:rPr>
        <w:t xml:space="preserve">The averments contained in the affidavit of </w:t>
      </w:r>
      <w:proofErr w:type="spellStart"/>
      <w:r w:rsidR="004D7C55" w:rsidRPr="001D34BF">
        <w:rPr>
          <w:rFonts w:ascii="Arial" w:hAnsi="Arial" w:cs="Arial"/>
          <w:color w:val="000000"/>
          <w:sz w:val="24"/>
          <w:szCs w:val="24"/>
        </w:rPr>
        <w:t>Mr</w:t>
      </w:r>
      <w:proofErr w:type="spellEnd"/>
      <w:r w:rsidR="004D7C55" w:rsidRPr="001D34BF">
        <w:rPr>
          <w:rFonts w:ascii="Arial" w:hAnsi="Arial" w:cs="Arial"/>
          <w:color w:val="000000"/>
          <w:sz w:val="24"/>
          <w:szCs w:val="24"/>
        </w:rPr>
        <w:t xml:space="preserve"> </w:t>
      </w:r>
      <w:proofErr w:type="spellStart"/>
      <w:r w:rsidR="004D7C55" w:rsidRPr="001D34BF">
        <w:rPr>
          <w:rFonts w:ascii="Arial" w:hAnsi="Arial" w:cs="Arial"/>
          <w:color w:val="000000"/>
          <w:sz w:val="24"/>
          <w:szCs w:val="24"/>
        </w:rPr>
        <w:t>Vusumuzi</w:t>
      </w:r>
      <w:proofErr w:type="spellEnd"/>
      <w:r w:rsidR="004D7C55" w:rsidRPr="001D34BF">
        <w:rPr>
          <w:rFonts w:ascii="Arial" w:hAnsi="Arial" w:cs="Arial"/>
          <w:color w:val="000000"/>
          <w:sz w:val="24"/>
          <w:szCs w:val="24"/>
        </w:rPr>
        <w:t xml:space="preserve"> Dlamini dated </w:t>
      </w:r>
      <w:r w:rsidR="007B3868" w:rsidRPr="001D34BF">
        <w:rPr>
          <w:rFonts w:ascii="Arial" w:hAnsi="Arial" w:cs="Arial"/>
          <w:color w:val="000000"/>
          <w:sz w:val="24"/>
          <w:szCs w:val="24"/>
        </w:rPr>
        <w:t xml:space="preserve">   </w:t>
      </w:r>
      <w:r w:rsidR="004D7C55" w:rsidRPr="001D34BF">
        <w:rPr>
          <w:rFonts w:ascii="Arial" w:hAnsi="Arial" w:cs="Arial"/>
          <w:color w:val="000000"/>
          <w:sz w:val="24"/>
          <w:szCs w:val="24"/>
        </w:rPr>
        <w:t>14 July 2022 at paragraphs 19, 80, 81, 169, 173, 2</w:t>
      </w:r>
      <w:r w:rsidR="00303ED1" w:rsidRPr="001D34BF">
        <w:rPr>
          <w:rFonts w:ascii="Arial" w:hAnsi="Arial" w:cs="Arial"/>
          <w:color w:val="000000"/>
          <w:sz w:val="24"/>
          <w:szCs w:val="24"/>
        </w:rPr>
        <w:t>4</w:t>
      </w:r>
      <w:r w:rsidR="004D7C55" w:rsidRPr="001D34BF">
        <w:rPr>
          <w:rFonts w:ascii="Arial" w:hAnsi="Arial" w:cs="Arial"/>
          <w:color w:val="000000"/>
          <w:sz w:val="24"/>
          <w:szCs w:val="24"/>
        </w:rPr>
        <w:t>0.3 and 244.1 are struck out on the basis that they constitute inadmissible hearsay evidence.</w:t>
      </w:r>
    </w:p>
    <w:p w14:paraId="7EBADB89" w14:textId="1A84DA47" w:rsidR="004D7C55" w:rsidRPr="001D34BF" w:rsidRDefault="00C47012" w:rsidP="00C47012">
      <w:pPr>
        <w:pStyle w:val="FootnoteText"/>
        <w:spacing w:line="480" w:lineRule="auto"/>
        <w:ind w:left="1530" w:hanging="900"/>
        <w:contextualSpacing/>
        <w:jc w:val="both"/>
        <w:rPr>
          <w:rFonts w:ascii="Arial" w:hAnsi="Arial" w:cs="Arial"/>
          <w:color w:val="000000"/>
          <w:sz w:val="24"/>
          <w:szCs w:val="24"/>
        </w:rPr>
      </w:pPr>
      <w:r w:rsidRPr="001D34BF">
        <w:rPr>
          <w:rFonts w:ascii="Arial" w:hAnsi="Arial" w:cs="Arial"/>
          <w:color w:val="000000"/>
          <w:sz w:val="24"/>
          <w:szCs w:val="24"/>
        </w:rPr>
        <w:lastRenderedPageBreak/>
        <w:t>(f)</w:t>
      </w:r>
      <w:r w:rsidRPr="001D34BF">
        <w:rPr>
          <w:rFonts w:ascii="Arial" w:hAnsi="Arial" w:cs="Arial"/>
          <w:color w:val="000000"/>
          <w:sz w:val="24"/>
          <w:szCs w:val="24"/>
        </w:rPr>
        <w:tab/>
      </w:r>
      <w:r w:rsidR="004D7C55" w:rsidRPr="001D34BF">
        <w:rPr>
          <w:rFonts w:ascii="Arial" w:hAnsi="Arial" w:cs="Arial"/>
          <w:color w:val="000000"/>
          <w:sz w:val="24"/>
          <w:szCs w:val="24"/>
        </w:rPr>
        <w:t xml:space="preserve">The averments contained in the affidavit of </w:t>
      </w:r>
      <w:proofErr w:type="spellStart"/>
      <w:r w:rsidR="004D7C55" w:rsidRPr="001D34BF">
        <w:rPr>
          <w:rFonts w:ascii="Arial" w:hAnsi="Arial" w:cs="Arial"/>
          <w:color w:val="000000"/>
          <w:sz w:val="24"/>
          <w:szCs w:val="24"/>
        </w:rPr>
        <w:t>Ms</w:t>
      </w:r>
      <w:proofErr w:type="spellEnd"/>
      <w:r w:rsidR="004D7C55" w:rsidRPr="001D34BF">
        <w:rPr>
          <w:rFonts w:ascii="Arial" w:hAnsi="Arial" w:cs="Arial"/>
          <w:color w:val="000000"/>
          <w:sz w:val="24"/>
          <w:szCs w:val="24"/>
        </w:rPr>
        <w:t xml:space="preserve"> Sarah Kate Roberts dated 22 February 2022 at paragraphs 7, 17 and 48 are struck out on the basis that they constitute inadmissible hearsay evidence.</w:t>
      </w:r>
    </w:p>
    <w:p w14:paraId="61850ECE" w14:textId="25ADE05B" w:rsidR="004D7C55" w:rsidRDefault="00C47012" w:rsidP="00C47012">
      <w:pPr>
        <w:pStyle w:val="FootnoteText"/>
        <w:spacing w:line="480" w:lineRule="auto"/>
        <w:ind w:left="1530" w:hanging="810"/>
        <w:contextualSpacing/>
        <w:jc w:val="both"/>
        <w:rPr>
          <w:rFonts w:ascii="Arial" w:hAnsi="Arial" w:cs="Arial"/>
          <w:color w:val="000000"/>
          <w:sz w:val="24"/>
          <w:szCs w:val="24"/>
        </w:rPr>
      </w:pPr>
      <w:r>
        <w:rPr>
          <w:rFonts w:ascii="Arial" w:hAnsi="Arial" w:cs="Arial"/>
          <w:color w:val="000000"/>
          <w:sz w:val="24"/>
          <w:szCs w:val="24"/>
        </w:rPr>
        <w:t>(g)</w:t>
      </w:r>
      <w:r>
        <w:rPr>
          <w:rFonts w:ascii="Arial" w:hAnsi="Arial" w:cs="Arial"/>
          <w:color w:val="000000"/>
          <w:sz w:val="24"/>
          <w:szCs w:val="24"/>
        </w:rPr>
        <w:tab/>
      </w:r>
      <w:r w:rsidR="00D70473">
        <w:rPr>
          <w:rFonts w:ascii="Arial" w:hAnsi="Arial" w:cs="Arial"/>
          <w:color w:val="000000"/>
          <w:sz w:val="24"/>
          <w:szCs w:val="24"/>
        </w:rPr>
        <w:t xml:space="preserve">The costs of the strike </w:t>
      </w:r>
      <w:r w:rsidR="004D7C55">
        <w:rPr>
          <w:rFonts w:ascii="Arial" w:hAnsi="Arial" w:cs="Arial"/>
          <w:color w:val="000000"/>
          <w:sz w:val="24"/>
          <w:szCs w:val="24"/>
        </w:rPr>
        <w:t>out application shall be paid by the first respondent, such costs to i</w:t>
      </w:r>
      <w:r w:rsidR="004577F1">
        <w:rPr>
          <w:rFonts w:ascii="Arial" w:hAnsi="Arial" w:cs="Arial"/>
          <w:color w:val="000000"/>
          <w:sz w:val="24"/>
          <w:szCs w:val="24"/>
        </w:rPr>
        <w:t>nclude the costs of two counsel.</w:t>
      </w:r>
    </w:p>
    <w:p w14:paraId="4895CE60" w14:textId="5EDED568" w:rsidR="004D7C55" w:rsidRDefault="00C47012" w:rsidP="00C47012">
      <w:pPr>
        <w:pStyle w:val="FootnoteText"/>
        <w:spacing w:line="480" w:lineRule="auto"/>
        <w:ind w:left="630" w:hanging="630"/>
        <w:contextualSpacing/>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4D7C55">
        <w:rPr>
          <w:rFonts w:ascii="Arial" w:hAnsi="Arial" w:cs="Arial"/>
          <w:color w:val="000000"/>
          <w:sz w:val="24"/>
          <w:szCs w:val="24"/>
        </w:rPr>
        <w:t>In case number 802/2021:</w:t>
      </w:r>
    </w:p>
    <w:p w14:paraId="361B150A" w14:textId="79AC379F" w:rsidR="004D7C55" w:rsidRDefault="00C47012" w:rsidP="00C47012">
      <w:pPr>
        <w:pStyle w:val="FootnoteText"/>
        <w:spacing w:line="480" w:lineRule="auto"/>
        <w:ind w:left="1440" w:hanging="810"/>
        <w:contextualSpacing/>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4D7C55">
        <w:rPr>
          <w:rFonts w:ascii="Arial" w:hAnsi="Arial" w:cs="Arial"/>
          <w:color w:val="000000"/>
          <w:sz w:val="24"/>
          <w:szCs w:val="24"/>
        </w:rPr>
        <w:t xml:space="preserve">The report of the first </w:t>
      </w:r>
      <w:r w:rsidR="004577F1">
        <w:rPr>
          <w:rFonts w:ascii="Arial" w:hAnsi="Arial" w:cs="Arial"/>
          <w:color w:val="000000"/>
          <w:sz w:val="24"/>
          <w:szCs w:val="24"/>
        </w:rPr>
        <w:t>respondent, number</w:t>
      </w:r>
      <w:r w:rsidR="009E0ACE">
        <w:rPr>
          <w:rFonts w:ascii="Arial" w:hAnsi="Arial" w:cs="Arial"/>
          <w:color w:val="000000"/>
          <w:sz w:val="24"/>
          <w:szCs w:val="24"/>
        </w:rPr>
        <w:t xml:space="preserve"> 49/2021/22</w:t>
      </w:r>
      <w:r w:rsidR="004D7C55">
        <w:rPr>
          <w:rFonts w:ascii="Arial" w:hAnsi="Arial" w:cs="Arial"/>
          <w:color w:val="000000"/>
          <w:sz w:val="24"/>
          <w:szCs w:val="24"/>
        </w:rPr>
        <w:t xml:space="preserve"> (</w:t>
      </w:r>
      <w:r w:rsidR="004577F1">
        <w:rPr>
          <w:rFonts w:ascii="Arial" w:hAnsi="Arial" w:cs="Arial"/>
          <w:color w:val="000000"/>
          <w:sz w:val="24"/>
          <w:szCs w:val="24"/>
        </w:rPr>
        <w:t xml:space="preserve">dated </w:t>
      </w:r>
      <w:r w:rsidR="004D7C55">
        <w:rPr>
          <w:rFonts w:ascii="Arial" w:hAnsi="Arial" w:cs="Arial"/>
          <w:color w:val="000000"/>
          <w:sz w:val="24"/>
          <w:szCs w:val="24"/>
        </w:rPr>
        <w:t xml:space="preserve">28 September 2021 and reissued </w:t>
      </w:r>
      <w:r w:rsidR="004577F1">
        <w:rPr>
          <w:rFonts w:ascii="Arial" w:hAnsi="Arial" w:cs="Arial"/>
          <w:color w:val="000000"/>
          <w:sz w:val="24"/>
          <w:szCs w:val="24"/>
        </w:rPr>
        <w:t xml:space="preserve">dated </w:t>
      </w:r>
      <w:r w:rsidR="004D7C55">
        <w:rPr>
          <w:rFonts w:ascii="Arial" w:hAnsi="Arial" w:cs="Arial"/>
          <w:color w:val="000000"/>
          <w:sz w:val="24"/>
          <w:szCs w:val="24"/>
        </w:rPr>
        <w:t>8 October 2021), is reviewed and set aside and declared to be inconsistent with the Cons</w:t>
      </w:r>
      <w:r w:rsidR="00303ED1">
        <w:rPr>
          <w:rFonts w:ascii="Arial" w:hAnsi="Arial" w:cs="Arial"/>
          <w:color w:val="000000"/>
          <w:sz w:val="24"/>
          <w:szCs w:val="24"/>
        </w:rPr>
        <w:t>titution</w:t>
      </w:r>
      <w:r w:rsidR="004D7C55">
        <w:rPr>
          <w:rFonts w:ascii="Arial" w:hAnsi="Arial" w:cs="Arial"/>
          <w:color w:val="000000"/>
          <w:sz w:val="24"/>
          <w:szCs w:val="24"/>
        </w:rPr>
        <w:t xml:space="preserve"> of the Republic of South Africa, 1996</w:t>
      </w:r>
      <w:r w:rsidR="004577F1">
        <w:rPr>
          <w:rFonts w:ascii="Arial" w:hAnsi="Arial" w:cs="Arial"/>
          <w:color w:val="000000"/>
          <w:sz w:val="24"/>
          <w:szCs w:val="24"/>
        </w:rPr>
        <w:t>,</w:t>
      </w:r>
      <w:r w:rsidR="004D7C55">
        <w:rPr>
          <w:rFonts w:ascii="Arial" w:hAnsi="Arial" w:cs="Arial"/>
          <w:color w:val="000000"/>
          <w:sz w:val="24"/>
          <w:szCs w:val="24"/>
        </w:rPr>
        <w:t xml:space="preserve"> and invalid.</w:t>
      </w:r>
    </w:p>
    <w:p w14:paraId="4802E425" w14:textId="0416CC67" w:rsidR="004D7C55" w:rsidRDefault="00C47012" w:rsidP="00C47012">
      <w:pPr>
        <w:pStyle w:val="FootnoteText"/>
        <w:spacing w:line="480" w:lineRule="auto"/>
        <w:ind w:left="1440" w:hanging="810"/>
        <w:contextualSpacing/>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4D7C55">
        <w:rPr>
          <w:rFonts w:ascii="Arial" w:hAnsi="Arial" w:cs="Arial"/>
          <w:color w:val="000000"/>
          <w:sz w:val="24"/>
          <w:szCs w:val="24"/>
        </w:rPr>
        <w:t>The first respondent is ordered to pay the applicant</w:t>
      </w:r>
      <w:r w:rsidR="004577F1">
        <w:rPr>
          <w:rFonts w:ascii="Arial" w:hAnsi="Arial" w:cs="Arial"/>
          <w:color w:val="000000"/>
          <w:sz w:val="24"/>
          <w:szCs w:val="24"/>
        </w:rPr>
        <w:t>’</w:t>
      </w:r>
      <w:r w:rsidR="004D7C55">
        <w:rPr>
          <w:rFonts w:ascii="Arial" w:hAnsi="Arial" w:cs="Arial"/>
          <w:color w:val="000000"/>
          <w:sz w:val="24"/>
          <w:szCs w:val="24"/>
        </w:rPr>
        <w:t>s costs</w:t>
      </w:r>
      <w:r w:rsidR="00FD1DEA">
        <w:rPr>
          <w:rFonts w:ascii="Arial" w:hAnsi="Arial" w:cs="Arial"/>
          <w:color w:val="000000"/>
          <w:sz w:val="24"/>
          <w:szCs w:val="24"/>
        </w:rPr>
        <w:t xml:space="preserve"> of the application</w:t>
      </w:r>
      <w:r w:rsidR="004D7C55">
        <w:rPr>
          <w:rFonts w:ascii="Arial" w:hAnsi="Arial" w:cs="Arial"/>
          <w:color w:val="000000"/>
          <w:sz w:val="24"/>
          <w:szCs w:val="24"/>
        </w:rPr>
        <w:t>, includi</w:t>
      </w:r>
      <w:r w:rsidR="004577F1">
        <w:rPr>
          <w:rFonts w:ascii="Arial" w:hAnsi="Arial" w:cs="Arial"/>
          <w:color w:val="000000"/>
          <w:sz w:val="24"/>
          <w:szCs w:val="24"/>
        </w:rPr>
        <w:t>ng the costs of two counsel.</w:t>
      </w:r>
    </w:p>
    <w:p w14:paraId="31F72C2B" w14:textId="4B7FE23B" w:rsidR="004D7C55" w:rsidRDefault="00C47012" w:rsidP="00C47012">
      <w:pPr>
        <w:pStyle w:val="FootnoteText"/>
        <w:spacing w:line="480" w:lineRule="auto"/>
        <w:ind w:left="720" w:hanging="720"/>
        <w:contextualSpacing/>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4D7C55">
        <w:rPr>
          <w:rFonts w:ascii="Arial" w:hAnsi="Arial" w:cs="Arial"/>
          <w:color w:val="000000"/>
          <w:sz w:val="24"/>
          <w:szCs w:val="24"/>
        </w:rPr>
        <w:t>In case number 818/2021:</w:t>
      </w:r>
    </w:p>
    <w:p w14:paraId="72664775" w14:textId="008A0F76" w:rsidR="00FD1DEA" w:rsidRDefault="00C47012" w:rsidP="00C47012">
      <w:pPr>
        <w:pStyle w:val="FootnoteText"/>
        <w:spacing w:line="480" w:lineRule="auto"/>
        <w:ind w:left="1440" w:hanging="720"/>
        <w:contextualSpacing/>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004D7C55" w:rsidRPr="00FD1DEA">
        <w:rPr>
          <w:rFonts w:ascii="Arial" w:hAnsi="Arial" w:cs="Arial"/>
          <w:color w:val="000000"/>
          <w:sz w:val="24"/>
          <w:szCs w:val="24"/>
        </w:rPr>
        <w:t>The report of the first respondent</w:t>
      </w:r>
      <w:r w:rsidR="004577F1" w:rsidRPr="00FD1DEA">
        <w:rPr>
          <w:rFonts w:ascii="Arial" w:hAnsi="Arial" w:cs="Arial"/>
          <w:color w:val="000000"/>
          <w:sz w:val="24"/>
          <w:szCs w:val="24"/>
        </w:rPr>
        <w:t>, number 49/</w:t>
      </w:r>
      <w:r w:rsidR="009E0ACE">
        <w:rPr>
          <w:rFonts w:ascii="Arial" w:hAnsi="Arial" w:cs="Arial"/>
          <w:color w:val="000000"/>
          <w:sz w:val="24"/>
          <w:szCs w:val="24"/>
        </w:rPr>
        <w:t>2021/</w:t>
      </w:r>
      <w:r w:rsidR="004D7C55" w:rsidRPr="00FD1DEA">
        <w:rPr>
          <w:rFonts w:ascii="Arial" w:hAnsi="Arial" w:cs="Arial"/>
          <w:color w:val="000000"/>
          <w:sz w:val="24"/>
          <w:szCs w:val="24"/>
        </w:rPr>
        <w:t>22 (dated 28 S</w:t>
      </w:r>
      <w:r w:rsidR="004577F1" w:rsidRPr="00FD1DEA">
        <w:rPr>
          <w:rFonts w:ascii="Arial" w:hAnsi="Arial" w:cs="Arial"/>
          <w:color w:val="000000"/>
          <w:sz w:val="24"/>
          <w:szCs w:val="24"/>
        </w:rPr>
        <w:t>eptember 2021</w:t>
      </w:r>
      <w:r w:rsidR="004D7C55" w:rsidRPr="00FD1DEA">
        <w:rPr>
          <w:rFonts w:ascii="Arial" w:hAnsi="Arial" w:cs="Arial"/>
          <w:color w:val="000000"/>
          <w:sz w:val="24"/>
          <w:szCs w:val="24"/>
        </w:rPr>
        <w:t xml:space="preserve"> and reissued dated 8 October 2021), is reviewed and set aside and declared to be inconsistent with the Constitution of the Republic of South Africa, 1996 and is invalid.</w:t>
      </w:r>
    </w:p>
    <w:p w14:paraId="58D04B8A" w14:textId="7FB93DF0" w:rsidR="004D7C55" w:rsidRDefault="00C47012" w:rsidP="00C47012">
      <w:pPr>
        <w:pStyle w:val="FootnoteText"/>
        <w:spacing w:line="480" w:lineRule="auto"/>
        <w:ind w:left="1440" w:hanging="720"/>
        <w:contextualSpacing/>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004D7C55" w:rsidRPr="00FD1DEA">
        <w:rPr>
          <w:rFonts w:ascii="Arial" w:hAnsi="Arial" w:cs="Arial"/>
          <w:color w:val="000000"/>
          <w:sz w:val="24"/>
          <w:szCs w:val="24"/>
        </w:rPr>
        <w:t>The first respondent is ordered to pay the applicants</w:t>
      </w:r>
      <w:r w:rsidR="004577F1" w:rsidRPr="00FD1DEA">
        <w:rPr>
          <w:rFonts w:ascii="Arial" w:hAnsi="Arial" w:cs="Arial"/>
          <w:color w:val="000000"/>
          <w:sz w:val="24"/>
          <w:szCs w:val="24"/>
        </w:rPr>
        <w:t>’</w:t>
      </w:r>
      <w:r w:rsidR="004D7C55" w:rsidRPr="00FD1DEA">
        <w:rPr>
          <w:rFonts w:ascii="Arial" w:hAnsi="Arial" w:cs="Arial"/>
          <w:color w:val="000000"/>
          <w:sz w:val="24"/>
          <w:szCs w:val="24"/>
        </w:rPr>
        <w:t xml:space="preserve"> costs of the application, such costs to include the costs of two counsel.</w:t>
      </w:r>
    </w:p>
    <w:p w14:paraId="49EEC6AC" w14:textId="021521AB" w:rsidR="005E5F36" w:rsidRDefault="00C47012" w:rsidP="00C47012">
      <w:pPr>
        <w:pStyle w:val="FootnoteText"/>
        <w:spacing w:line="480" w:lineRule="auto"/>
        <w:ind w:left="1440" w:hanging="720"/>
        <w:contextualSpacing/>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r>
      <w:r w:rsidR="005E5F36">
        <w:rPr>
          <w:rFonts w:ascii="Arial" w:hAnsi="Arial" w:cs="Arial"/>
          <w:color w:val="000000"/>
          <w:sz w:val="24"/>
          <w:szCs w:val="24"/>
        </w:rPr>
        <w:t xml:space="preserve">The </w:t>
      </w:r>
      <w:r w:rsidR="007B3868">
        <w:rPr>
          <w:rFonts w:ascii="Arial" w:hAnsi="Arial" w:cs="Arial"/>
          <w:color w:val="000000"/>
          <w:sz w:val="24"/>
          <w:szCs w:val="24"/>
        </w:rPr>
        <w:t>application to strike out is dismissed with costs.</w:t>
      </w:r>
    </w:p>
    <w:p w14:paraId="684890A5" w14:textId="77777777" w:rsidR="005E5F36" w:rsidRPr="00FD1DEA" w:rsidRDefault="005E5F36" w:rsidP="005E5F36">
      <w:pPr>
        <w:pStyle w:val="FootnoteText"/>
        <w:spacing w:line="480" w:lineRule="auto"/>
        <w:ind w:left="1440"/>
        <w:contextualSpacing/>
        <w:jc w:val="both"/>
        <w:rPr>
          <w:rFonts w:ascii="Arial" w:hAnsi="Arial" w:cs="Arial"/>
          <w:color w:val="000000"/>
          <w:sz w:val="24"/>
          <w:szCs w:val="24"/>
        </w:rPr>
      </w:pPr>
    </w:p>
    <w:p w14:paraId="42E1F3D1" w14:textId="77777777" w:rsidR="0021291B" w:rsidRDefault="0021291B" w:rsidP="00303ED1">
      <w:pPr>
        <w:pStyle w:val="FootnoteText"/>
        <w:spacing w:line="480" w:lineRule="auto"/>
        <w:contextualSpacing/>
        <w:jc w:val="both"/>
        <w:rPr>
          <w:rFonts w:ascii="Arial" w:hAnsi="Arial" w:cs="Arial"/>
          <w:b/>
          <w:color w:val="000000"/>
          <w:sz w:val="24"/>
          <w:szCs w:val="24"/>
        </w:rPr>
      </w:pPr>
    </w:p>
    <w:p w14:paraId="715365A6" w14:textId="77777777" w:rsidR="00303ED1" w:rsidRPr="00303ED1" w:rsidRDefault="00303ED1" w:rsidP="001D34BF">
      <w:pPr>
        <w:pStyle w:val="FootnoteText"/>
        <w:spacing w:line="360" w:lineRule="auto"/>
        <w:contextualSpacing/>
        <w:jc w:val="both"/>
        <w:rPr>
          <w:rFonts w:ascii="Arial" w:hAnsi="Arial" w:cs="Arial"/>
          <w:b/>
          <w:color w:val="000000"/>
          <w:sz w:val="24"/>
          <w:szCs w:val="24"/>
        </w:rPr>
      </w:pPr>
      <w:r w:rsidRPr="00303ED1">
        <w:rPr>
          <w:rFonts w:ascii="Arial" w:hAnsi="Arial" w:cs="Arial"/>
          <w:b/>
          <w:color w:val="000000"/>
          <w:sz w:val="24"/>
          <w:szCs w:val="24"/>
        </w:rPr>
        <w:t>J W EKSTEEN</w:t>
      </w:r>
    </w:p>
    <w:p w14:paraId="276F9182" w14:textId="77777777" w:rsidR="00EA6A6B" w:rsidRDefault="00303ED1" w:rsidP="001D34BF">
      <w:pPr>
        <w:pStyle w:val="FootnoteText"/>
        <w:spacing w:line="360" w:lineRule="auto"/>
        <w:contextualSpacing/>
        <w:jc w:val="both"/>
        <w:rPr>
          <w:rFonts w:ascii="Arial" w:hAnsi="Arial" w:cs="Arial"/>
          <w:b/>
          <w:color w:val="000000"/>
          <w:sz w:val="24"/>
          <w:szCs w:val="24"/>
        </w:rPr>
      </w:pPr>
      <w:r w:rsidRPr="00303ED1">
        <w:rPr>
          <w:rFonts w:ascii="Arial" w:hAnsi="Arial" w:cs="Arial"/>
          <w:b/>
          <w:color w:val="000000"/>
          <w:sz w:val="24"/>
          <w:szCs w:val="24"/>
        </w:rPr>
        <w:t>JUDGE OF THE HIGH COURT</w:t>
      </w:r>
    </w:p>
    <w:p w14:paraId="7E2DF9F8" w14:textId="77777777" w:rsidR="005E5F36" w:rsidRPr="00A03F84" w:rsidRDefault="005E5F36" w:rsidP="00303ED1">
      <w:pPr>
        <w:pStyle w:val="FootnoteText"/>
        <w:spacing w:line="480" w:lineRule="auto"/>
        <w:contextualSpacing/>
        <w:jc w:val="both"/>
        <w:rPr>
          <w:rFonts w:ascii="Arial" w:hAnsi="Arial" w:cs="Arial"/>
          <w:b/>
        </w:rPr>
      </w:pPr>
    </w:p>
    <w:p w14:paraId="44DBA5D1" w14:textId="77777777" w:rsidR="00771698" w:rsidRDefault="00A17C21" w:rsidP="00771698">
      <w:pPr>
        <w:rPr>
          <w:rFonts w:ascii="Arial" w:hAnsi="Arial" w:cs="Arial"/>
          <w:sz w:val="24"/>
          <w:szCs w:val="24"/>
        </w:rPr>
      </w:pPr>
      <w:r w:rsidRPr="00F1317C">
        <w:rPr>
          <w:rFonts w:ascii="Arial" w:hAnsi="Arial" w:cs="Arial"/>
          <w:sz w:val="24"/>
          <w:szCs w:val="24"/>
        </w:rPr>
        <w:t>Appearances:</w:t>
      </w:r>
    </w:p>
    <w:p w14:paraId="39750D2E" w14:textId="77777777" w:rsidR="001D34BF" w:rsidRPr="00F1317C" w:rsidRDefault="001D34BF" w:rsidP="00771698">
      <w:pPr>
        <w:rPr>
          <w:rFonts w:ascii="Arial" w:hAnsi="Arial" w:cs="Arial"/>
          <w:sz w:val="24"/>
          <w:szCs w:val="24"/>
        </w:rPr>
      </w:pPr>
    </w:p>
    <w:p w14:paraId="5A8777C6" w14:textId="77777777" w:rsidR="00A17C21" w:rsidRPr="004912A3" w:rsidRDefault="00A17C21" w:rsidP="00771698">
      <w:pPr>
        <w:rPr>
          <w:rFonts w:ascii="Arial" w:hAnsi="Arial" w:cs="Arial"/>
          <w:sz w:val="24"/>
          <w:szCs w:val="24"/>
          <w:u w:val="single"/>
        </w:rPr>
      </w:pPr>
      <w:r w:rsidRPr="004912A3">
        <w:rPr>
          <w:rFonts w:ascii="Arial" w:hAnsi="Arial" w:cs="Arial"/>
          <w:sz w:val="24"/>
          <w:szCs w:val="24"/>
          <w:u w:val="single"/>
        </w:rPr>
        <w:t>Case No.:</w:t>
      </w:r>
      <w:r w:rsidR="00741867" w:rsidRPr="004912A3">
        <w:rPr>
          <w:rFonts w:ascii="Arial" w:hAnsi="Arial" w:cs="Arial"/>
          <w:sz w:val="24"/>
          <w:szCs w:val="24"/>
          <w:u w:val="single"/>
        </w:rPr>
        <w:t xml:space="preserve"> 800/2021</w:t>
      </w:r>
    </w:p>
    <w:p w14:paraId="1A0ACD82" w14:textId="77777777" w:rsidR="00A17C21" w:rsidRPr="0021291B" w:rsidRDefault="00A17C21" w:rsidP="005833E1">
      <w:pPr>
        <w:spacing w:after="0" w:line="360" w:lineRule="auto"/>
        <w:ind w:left="2160" w:hanging="2160"/>
        <w:jc w:val="both"/>
        <w:rPr>
          <w:rFonts w:ascii="Arial" w:hAnsi="Arial" w:cs="Arial"/>
          <w:color w:val="000000" w:themeColor="text1"/>
          <w:sz w:val="24"/>
          <w:szCs w:val="24"/>
        </w:rPr>
      </w:pPr>
      <w:r w:rsidRPr="00F1317C">
        <w:rPr>
          <w:rFonts w:ascii="Arial" w:hAnsi="Arial" w:cs="Arial"/>
          <w:sz w:val="24"/>
          <w:szCs w:val="24"/>
        </w:rPr>
        <w:t>For Applicants</w:t>
      </w:r>
      <w:r w:rsidR="00741867" w:rsidRPr="00F1317C">
        <w:rPr>
          <w:rFonts w:ascii="Arial" w:hAnsi="Arial" w:cs="Arial"/>
          <w:sz w:val="24"/>
          <w:szCs w:val="24"/>
        </w:rPr>
        <w:t>:</w:t>
      </w:r>
      <w:r w:rsidR="00741867" w:rsidRPr="00F1317C">
        <w:rPr>
          <w:rFonts w:ascii="Arial" w:hAnsi="Arial" w:cs="Arial"/>
          <w:sz w:val="24"/>
          <w:szCs w:val="24"/>
        </w:rPr>
        <w:tab/>
      </w:r>
      <w:r w:rsidR="00741867" w:rsidRPr="0021291B">
        <w:rPr>
          <w:rFonts w:ascii="Arial" w:hAnsi="Arial" w:cs="Arial"/>
          <w:color w:val="000000" w:themeColor="text1"/>
          <w:sz w:val="24"/>
          <w:szCs w:val="24"/>
        </w:rPr>
        <w:t xml:space="preserve">Adv A Katz SC and Adv K </w:t>
      </w:r>
      <w:proofErr w:type="spellStart"/>
      <w:r w:rsidR="00741867" w:rsidRPr="0021291B">
        <w:rPr>
          <w:rFonts w:ascii="Arial" w:hAnsi="Arial" w:cs="Arial"/>
          <w:color w:val="000000" w:themeColor="text1"/>
          <w:sz w:val="24"/>
          <w:szCs w:val="24"/>
        </w:rPr>
        <w:t>Perumalsamy</w:t>
      </w:r>
      <w:proofErr w:type="spellEnd"/>
      <w:r w:rsidR="00F1317C" w:rsidRPr="0021291B">
        <w:rPr>
          <w:rFonts w:ascii="Arial" w:hAnsi="Arial" w:cs="Arial"/>
          <w:color w:val="000000" w:themeColor="text1"/>
          <w:sz w:val="24"/>
          <w:szCs w:val="24"/>
        </w:rPr>
        <w:t xml:space="preserve"> instructed by</w:t>
      </w:r>
      <w:r w:rsidR="005833E1" w:rsidRPr="0021291B">
        <w:rPr>
          <w:rFonts w:ascii="Arial" w:hAnsi="Arial" w:cs="Arial"/>
          <w:color w:val="000000" w:themeColor="text1"/>
          <w:sz w:val="24"/>
          <w:szCs w:val="24"/>
        </w:rPr>
        <w:t xml:space="preserve"> </w:t>
      </w:r>
      <w:proofErr w:type="spellStart"/>
      <w:r w:rsidR="0064372B" w:rsidRPr="0021291B">
        <w:rPr>
          <w:rFonts w:ascii="Arial" w:hAnsi="Arial" w:cs="Arial"/>
          <w:color w:val="000000" w:themeColor="text1"/>
          <w:sz w:val="24"/>
          <w:szCs w:val="24"/>
        </w:rPr>
        <w:t>Mvuzo</w:t>
      </w:r>
      <w:proofErr w:type="spellEnd"/>
      <w:r w:rsidR="0064372B" w:rsidRPr="0021291B">
        <w:rPr>
          <w:rFonts w:ascii="Arial" w:hAnsi="Arial" w:cs="Arial"/>
          <w:color w:val="000000" w:themeColor="text1"/>
          <w:sz w:val="24"/>
          <w:szCs w:val="24"/>
        </w:rPr>
        <w:t xml:space="preserve"> </w:t>
      </w:r>
      <w:proofErr w:type="spellStart"/>
      <w:r w:rsidR="0064372B" w:rsidRPr="0021291B">
        <w:rPr>
          <w:rFonts w:ascii="Arial" w:hAnsi="Arial" w:cs="Arial"/>
          <w:color w:val="000000" w:themeColor="text1"/>
          <w:sz w:val="24"/>
          <w:szCs w:val="24"/>
        </w:rPr>
        <w:t>Notyesi</w:t>
      </w:r>
      <w:proofErr w:type="spellEnd"/>
      <w:r w:rsidR="0064372B" w:rsidRPr="0021291B">
        <w:rPr>
          <w:rFonts w:ascii="Arial" w:hAnsi="Arial" w:cs="Arial"/>
          <w:color w:val="000000" w:themeColor="text1"/>
          <w:sz w:val="24"/>
          <w:szCs w:val="24"/>
        </w:rPr>
        <w:t xml:space="preserve"> Incorporated c/o </w:t>
      </w:r>
      <w:proofErr w:type="spellStart"/>
      <w:r w:rsidR="0064372B" w:rsidRPr="0021291B">
        <w:rPr>
          <w:rFonts w:ascii="Arial" w:hAnsi="Arial" w:cs="Arial"/>
          <w:color w:val="000000" w:themeColor="text1"/>
          <w:sz w:val="24"/>
          <w:szCs w:val="24"/>
        </w:rPr>
        <w:t>Mbaleni</w:t>
      </w:r>
      <w:proofErr w:type="spellEnd"/>
      <w:r w:rsidR="0064372B" w:rsidRPr="0021291B">
        <w:rPr>
          <w:rFonts w:ascii="Arial" w:hAnsi="Arial" w:cs="Arial"/>
          <w:color w:val="000000" w:themeColor="text1"/>
          <w:sz w:val="24"/>
          <w:szCs w:val="24"/>
        </w:rPr>
        <w:t xml:space="preserve"> &amp; Associates, King William’s Town</w:t>
      </w:r>
    </w:p>
    <w:p w14:paraId="2B7AC141" w14:textId="77777777" w:rsidR="00A17C21" w:rsidRPr="00F1317C" w:rsidRDefault="00A17C21" w:rsidP="004912A3">
      <w:pPr>
        <w:spacing w:after="0" w:line="360" w:lineRule="auto"/>
        <w:ind w:left="2160" w:hanging="2160"/>
        <w:jc w:val="both"/>
        <w:rPr>
          <w:rFonts w:ascii="Arial" w:hAnsi="Arial" w:cs="Arial"/>
          <w:sz w:val="24"/>
          <w:szCs w:val="24"/>
        </w:rPr>
      </w:pPr>
      <w:r w:rsidRPr="00F1317C">
        <w:rPr>
          <w:rFonts w:ascii="Arial" w:hAnsi="Arial" w:cs="Arial"/>
          <w:sz w:val="24"/>
          <w:szCs w:val="24"/>
        </w:rPr>
        <w:t xml:space="preserve">For </w:t>
      </w:r>
      <w:r w:rsidR="005833E1">
        <w:rPr>
          <w:rFonts w:ascii="Arial" w:hAnsi="Arial" w:cs="Arial"/>
          <w:sz w:val="24"/>
          <w:szCs w:val="24"/>
        </w:rPr>
        <w:t>1</w:t>
      </w:r>
      <w:r w:rsidR="005833E1" w:rsidRPr="005833E1">
        <w:rPr>
          <w:rFonts w:ascii="Arial" w:hAnsi="Arial" w:cs="Arial"/>
          <w:sz w:val="24"/>
          <w:szCs w:val="24"/>
          <w:vertAlign w:val="superscript"/>
        </w:rPr>
        <w:t>st</w:t>
      </w:r>
      <w:r w:rsidR="005833E1">
        <w:rPr>
          <w:rFonts w:ascii="Arial" w:hAnsi="Arial" w:cs="Arial"/>
          <w:sz w:val="24"/>
          <w:szCs w:val="24"/>
        </w:rPr>
        <w:t xml:space="preserve"> </w:t>
      </w:r>
      <w:r w:rsidRPr="00F1317C">
        <w:rPr>
          <w:rFonts w:ascii="Arial" w:hAnsi="Arial" w:cs="Arial"/>
          <w:sz w:val="24"/>
          <w:szCs w:val="24"/>
        </w:rPr>
        <w:t>Respondent</w:t>
      </w:r>
      <w:r w:rsidR="005833E1">
        <w:rPr>
          <w:rFonts w:ascii="Arial" w:hAnsi="Arial" w:cs="Arial"/>
          <w:sz w:val="24"/>
          <w:szCs w:val="24"/>
        </w:rPr>
        <w:t>:</w:t>
      </w:r>
      <w:r w:rsidR="003B08AB" w:rsidRPr="00F1317C">
        <w:rPr>
          <w:rFonts w:ascii="Arial" w:hAnsi="Arial" w:cs="Arial"/>
          <w:sz w:val="24"/>
          <w:szCs w:val="24"/>
        </w:rPr>
        <w:tab/>
        <w:t>Adv E Balo</w:t>
      </w:r>
      <w:r w:rsidR="00741867" w:rsidRPr="00F1317C">
        <w:rPr>
          <w:rFonts w:ascii="Arial" w:hAnsi="Arial" w:cs="Arial"/>
          <w:sz w:val="24"/>
          <w:szCs w:val="24"/>
        </w:rPr>
        <w:t xml:space="preserve">yi-Mere SC and Adv </w:t>
      </w:r>
      <w:r w:rsidR="003B08AB" w:rsidRPr="00F1317C">
        <w:rPr>
          <w:rFonts w:ascii="Arial" w:hAnsi="Arial" w:cs="Arial"/>
          <w:sz w:val="24"/>
          <w:szCs w:val="24"/>
        </w:rPr>
        <w:t xml:space="preserve">N </w:t>
      </w:r>
      <w:proofErr w:type="spellStart"/>
      <w:r w:rsidR="00741867" w:rsidRPr="00F1317C">
        <w:rPr>
          <w:rFonts w:ascii="Arial" w:hAnsi="Arial" w:cs="Arial"/>
          <w:sz w:val="24"/>
          <w:szCs w:val="24"/>
        </w:rPr>
        <w:t>Jiba</w:t>
      </w:r>
      <w:proofErr w:type="spellEnd"/>
      <w:r w:rsidR="00F1317C">
        <w:rPr>
          <w:rFonts w:ascii="Arial" w:hAnsi="Arial" w:cs="Arial"/>
          <w:sz w:val="24"/>
          <w:szCs w:val="24"/>
        </w:rPr>
        <w:t xml:space="preserve"> instructed by</w:t>
      </w:r>
      <w:r w:rsidR="005833E1">
        <w:rPr>
          <w:rFonts w:ascii="Arial" w:hAnsi="Arial" w:cs="Arial"/>
          <w:sz w:val="24"/>
          <w:szCs w:val="24"/>
        </w:rPr>
        <w:t xml:space="preserve"> Gray </w:t>
      </w:r>
      <w:proofErr w:type="spellStart"/>
      <w:r w:rsidR="005833E1">
        <w:rPr>
          <w:rFonts w:ascii="Arial" w:hAnsi="Arial" w:cs="Arial"/>
          <w:sz w:val="24"/>
          <w:szCs w:val="24"/>
        </w:rPr>
        <w:t>Moodliar</w:t>
      </w:r>
      <w:proofErr w:type="spellEnd"/>
      <w:r w:rsidR="005833E1">
        <w:rPr>
          <w:rFonts w:ascii="Arial" w:hAnsi="Arial" w:cs="Arial"/>
          <w:sz w:val="24"/>
          <w:szCs w:val="24"/>
        </w:rPr>
        <w:t xml:space="preserve"> Inc c/o Gordon McCune Attorneys, King William’s Town</w:t>
      </w:r>
    </w:p>
    <w:p w14:paraId="1F54A9F7" w14:textId="77777777" w:rsidR="00741867" w:rsidRPr="00F1317C" w:rsidRDefault="00741867" w:rsidP="005833E1">
      <w:pPr>
        <w:spacing w:after="0" w:line="360" w:lineRule="auto"/>
        <w:jc w:val="both"/>
        <w:rPr>
          <w:rFonts w:ascii="Arial" w:hAnsi="Arial" w:cs="Arial"/>
          <w:sz w:val="24"/>
          <w:szCs w:val="24"/>
        </w:rPr>
      </w:pPr>
    </w:p>
    <w:p w14:paraId="0E0929EC" w14:textId="77777777" w:rsidR="00A17C21" w:rsidRPr="004912A3" w:rsidRDefault="00A17C21" w:rsidP="005833E1">
      <w:pPr>
        <w:spacing w:after="0" w:line="360" w:lineRule="auto"/>
        <w:jc w:val="both"/>
        <w:rPr>
          <w:rFonts w:ascii="Arial" w:hAnsi="Arial" w:cs="Arial"/>
          <w:sz w:val="24"/>
          <w:szCs w:val="24"/>
          <w:u w:val="single"/>
        </w:rPr>
      </w:pPr>
      <w:r w:rsidRPr="004912A3">
        <w:rPr>
          <w:rFonts w:ascii="Arial" w:hAnsi="Arial" w:cs="Arial"/>
          <w:sz w:val="24"/>
          <w:szCs w:val="24"/>
          <w:u w:val="single"/>
        </w:rPr>
        <w:t>Case No.:</w:t>
      </w:r>
      <w:r w:rsidR="00741867" w:rsidRPr="004912A3">
        <w:rPr>
          <w:rFonts w:ascii="Arial" w:hAnsi="Arial" w:cs="Arial"/>
          <w:sz w:val="24"/>
          <w:szCs w:val="24"/>
          <w:u w:val="single"/>
        </w:rPr>
        <w:t xml:space="preserve"> 802/2021</w:t>
      </w:r>
    </w:p>
    <w:p w14:paraId="1099F743" w14:textId="77777777" w:rsidR="00A17C21" w:rsidRPr="0021291B" w:rsidRDefault="00A17C21" w:rsidP="0064372B">
      <w:pPr>
        <w:spacing w:after="0" w:line="360" w:lineRule="auto"/>
        <w:ind w:left="2160" w:hanging="2160"/>
        <w:jc w:val="both"/>
        <w:rPr>
          <w:rFonts w:ascii="Arial" w:hAnsi="Arial" w:cs="Arial"/>
          <w:color w:val="000000" w:themeColor="text1"/>
          <w:sz w:val="24"/>
          <w:szCs w:val="24"/>
        </w:rPr>
      </w:pPr>
      <w:r w:rsidRPr="00F1317C">
        <w:rPr>
          <w:rFonts w:ascii="Arial" w:hAnsi="Arial" w:cs="Arial"/>
          <w:sz w:val="24"/>
          <w:szCs w:val="24"/>
        </w:rPr>
        <w:t>For Applicants</w:t>
      </w:r>
      <w:r w:rsidR="00741867" w:rsidRPr="00F1317C">
        <w:rPr>
          <w:rFonts w:ascii="Arial" w:hAnsi="Arial" w:cs="Arial"/>
          <w:sz w:val="24"/>
          <w:szCs w:val="24"/>
        </w:rPr>
        <w:t>:</w:t>
      </w:r>
      <w:r w:rsidR="00741867" w:rsidRPr="00F1317C">
        <w:rPr>
          <w:rFonts w:ascii="Arial" w:hAnsi="Arial" w:cs="Arial"/>
          <w:sz w:val="24"/>
          <w:szCs w:val="24"/>
        </w:rPr>
        <w:tab/>
      </w:r>
      <w:r w:rsidR="00741867" w:rsidRPr="0021291B">
        <w:rPr>
          <w:rFonts w:ascii="Arial" w:hAnsi="Arial" w:cs="Arial"/>
          <w:color w:val="000000" w:themeColor="text1"/>
          <w:sz w:val="24"/>
          <w:szCs w:val="24"/>
        </w:rPr>
        <w:t xml:space="preserve">Adv A M </w:t>
      </w:r>
      <w:proofErr w:type="spellStart"/>
      <w:r w:rsidR="00741867" w:rsidRPr="0021291B">
        <w:rPr>
          <w:rFonts w:ascii="Arial" w:hAnsi="Arial" w:cs="Arial"/>
          <w:color w:val="000000" w:themeColor="text1"/>
          <w:sz w:val="24"/>
          <w:szCs w:val="24"/>
        </w:rPr>
        <w:t>Bodlani</w:t>
      </w:r>
      <w:proofErr w:type="spellEnd"/>
      <w:r w:rsidR="00741867" w:rsidRPr="0021291B">
        <w:rPr>
          <w:rFonts w:ascii="Arial" w:hAnsi="Arial" w:cs="Arial"/>
          <w:color w:val="000000" w:themeColor="text1"/>
          <w:sz w:val="24"/>
          <w:szCs w:val="24"/>
        </w:rPr>
        <w:t xml:space="preserve"> SC and Adv M </w:t>
      </w:r>
      <w:proofErr w:type="spellStart"/>
      <w:r w:rsidR="00741867" w:rsidRPr="0021291B">
        <w:rPr>
          <w:rFonts w:ascii="Arial" w:hAnsi="Arial" w:cs="Arial"/>
          <w:color w:val="000000" w:themeColor="text1"/>
          <w:sz w:val="24"/>
          <w:szCs w:val="24"/>
        </w:rPr>
        <w:t>Salukazana</w:t>
      </w:r>
      <w:proofErr w:type="spellEnd"/>
      <w:r w:rsidR="00F1317C" w:rsidRPr="0021291B">
        <w:rPr>
          <w:rFonts w:ascii="Arial" w:hAnsi="Arial" w:cs="Arial"/>
          <w:color w:val="000000" w:themeColor="text1"/>
          <w:sz w:val="24"/>
          <w:szCs w:val="24"/>
        </w:rPr>
        <w:t xml:space="preserve"> instructed by</w:t>
      </w:r>
      <w:r w:rsidR="0064372B" w:rsidRPr="0021291B">
        <w:rPr>
          <w:rFonts w:ascii="Arial" w:hAnsi="Arial" w:cs="Arial"/>
          <w:color w:val="000000" w:themeColor="text1"/>
          <w:sz w:val="24"/>
          <w:szCs w:val="24"/>
        </w:rPr>
        <w:t xml:space="preserve"> </w:t>
      </w:r>
      <w:proofErr w:type="spellStart"/>
      <w:r w:rsidR="0064372B" w:rsidRPr="0021291B">
        <w:rPr>
          <w:rFonts w:ascii="Arial" w:hAnsi="Arial" w:cs="Arial"/>
          <w:color w:val="000000" w:themeColor="text1"/>
          <w:sz w:val="24"/>
          <w:szCs w:val="24"/>
        </w:rPr>
        <w:t>Sakhela</w:t>
      </w:r>
      <w:proofErr w:type="spellEnd"/>
      <w:r w:rsidR="0064372B" w:rsidRPr="0021291B">
        <w:rPr>
          <w:rFonts w:ascii="Arial" w:hAnsi="Arial" w:cs="Arial"/>
          <w:color w:val="000000" w:themeColor="text1"/>
          <w:sz w:val="24"/>
          <w:szCs w:val="24"/>
        </w:rPr>
        <w:t xml:space="preserve"> Inc, East London</w:t>
      </w:r>
    </w:p>
    <w:p w14:paraId="7DAF857A" w14:textId="77777777" w:rsidR="005833E1" w:rsidRPr="00F1317C" w:rsidRDefault="00A17C21" w:rsidP="005833E1">
      <w:pPr>
        <w:spacing w:after="0" w:line="360" w:lineRule="auto"/>
        <w:ind w:left="2160" w:hanging="2160"/>
        <w:jc w:val="both"/>
        <w:rPr>
          <w:rFonts w:ascii="Arial" w:hAnsi="Arial" w:cs="Arial"/>
          <w:sz w:val="24"/>
          <w:szCs w:val="24"/>
        </w:rPr>
      </w:pPr>
      <w:r w:rsidRPr="00F1317C">
        <w:rPr>
          <w:rFonts w:ascii="Arial" w:hAnsi="Arial" w:cs="Arial"/>
          <w:sz w:val="24"/>
          <w:szCs w:val="24"/>
        </w:rPr>
        <w:t xml:space="preserve">For </w:t>
      </w:r>
      <w:r w:rsidR="005833E1">
        <w:rPr>
          <w:rFonts w:ascii="Arial" w:hAnsi="Arial" w:cs="Arial"/>
          <w:sz w:val="24"/>
          <w:szCs w:val="24"/>
        </w:rPr>
        <w:t>1</w:t>
      </w:r>
      <w:r w:rsidR="005833E1" w:rsidRPr="005833E1">
        <w:rPr>
          <w:rFonts w:ascii="Arial" w:hAnsi="Arial" w:cs="Arial"/>
          <w:sz w:val="24"/>
          <w:szCs w:val="24"/>
          <w:vertAlign w:val="superscript"/>
        </w:rPr>
        <w:t>st</w:t>
      </w:r>
      <w:r w:rsidR="005833E1">
        <w:rPr>
          <w:rFonts w:ascii="Arial" w:hAnsi="Arial" w:cs="Arial"/>
          <w:sz w:val="24"/>
          <w:szCs w:val="24"/>
        </w:rPr>
        <w:t xml:space="preserve"> Respondent</w:t>
      </w:r>
      <w:r w:rsidR="003B08AB" w:rsidRPr="00F1317C">
        <w:rPr>
          <w:rFonts w:ascii="Arial" w:hAnsi="Arial" w:cs="Arial"/>
          <w:sz w:val="24"/>
          <w:szCs w:val="24"/>
        </w:rPr>
        <w:t>:</w:t>
      </w:r>
      <w:r w:rsidR="003B08AB" w:rsidRPr="00F1317C">
        <w:rPr>
          <w:rFonts w:ascii="Arial" w:hAnsi="Arial" w:cs="Arial"/>
          <w:sz w:val="24"/>
          <w:szCs w:val="24"/>
        </w:rPr>
        <w:tab/>
        <w:t>Adv E Balo</w:t>
      </w:r>
      <w:r w:rsidR="00741867" w:rsidRPr="00F1317C">
        <w:rPr>
          <w:rFonts w:ascii="Arial" w:hAnsi="Arial" w:cs="Arial"/>
          <w:sz w:val="24"/>
          <w:szCs w:val="24"/>
        </w:rPr>
        <w:t xml:space="preserve">yi-Mere SC and Adv </w:t>
      </w:r>
      <w:r w:rsidR="003B08AB" w:rsidRPr="00F1317C">
        <w:rPr>
          <w:rFonts w:ascii="Arial" w:hAnsi="Arial" w:cs="Arial"/>
          <w:sz w:val="24"/>
          <w:szCs w:val="24"/>
        </w:rPr>
        <w:t xml:space="preserve">N </w:t>
      </w:r>
      <w:proofErr w:type="spellStart"/>
      <w:r w:rsidR="00741867" w:rsidRPr="00F1317C">
        <w:rPr>
          <w:rFonts w:ascii="Arial" w:hAnsi="Arial" w:cs="Arial"/>
          <w:sz w:val="24"/>
          <w:szCs w:val="24"/>
        </w:rPr>
        <w:t>Jiba</w:t>
      </w:r>
      <w:proofErr w:type="spellEnd"/>
      <w:r w:rsidR="00F1317C">
        <w:rPr>
          <w:rFonts w:ascii="Arial" w:hAnsi="Arial" w:cs="Arial"/>
          <w:sz w:val="24"/>
          <w:szCs w:val="24"/>
        </w:rPr>
        <w:t xml:space="preserve"> instructed by</w:t>
      </w:r>
      <w:r w:rsidR="005833E1">
        <w:rPr>
          <w:rFonts w:ascii="Arial" w:hAnsi="Arial" w:cs="Arial"/>
          <w:sz w:val="24"/>
          <w:szCs w:val="24"/>
        </w:rPr>
        <w:t xml:space="preserve"> Gray </w:t>
      </w:r>
      <w:proofErr w:type="spellStart"/>
      <w:r w:rsidR="005833E1">
        <w:rPr>
          <w:rFonts w:ascii="Arial" w:hAnsi="Arial" w:cs="Arial"/>
          <w:sz w:val="24"/>
          <w:szCs w:val="24"/>
        </w:rPr>
        <w:t>Moodliar</w:t>
      </w:r>
      <w:proofErr w:type="spellEnd"/>
      <w:r w:rsidR="005833E1">
        <w:rPr>
          <w:rFonts w:ascii="Arial" w:hAnsi="Arial" w:cs="Arial"/>
          <w:sz w:val="24"/>
          <w:szCs w:val="24"/>
        </w:rPr>
        <w:t xml:space="preserve"> Inc c/o Gordon McCune Attorneys, King William’s Town</w:t>
      </w:r>
    </w:p>
    <w:p w14:paraId="51A085BE" w14:textId="77777777" w:rsidR="00A17C21" w:rsidRPr="00F1317C" w:rsidRDefault="00A17C21" w:rsidP="005833E1">
      <w:pPr>
        <w:spacing w:after="0" w:line="360" w:lineRule="auto"/>
        <w:jc w:val="both"/>
        <w:rPr>
          <w:rFonts w:ascii="Arial" w:hAnsi="Arial" w:cs="Arial"/>
          <w:sz w:val="24"/>
          <w:szCs w:val="24"/>
        </w:rPr>
      </w:pPr>
    </w:p>
    <w:p w14:paraId="16379D92" w14:textId="77777777" w:rsidR="00A17C21" w:rsidRPr="004912A3" w:rsidRDefault="00A17C21" w:rsidP="005833E1">
      <w:pPr>
        <w:spacing w:after="0" w:line="360" w:lineRule="auto"/>
        <w:jc w:val="both"/>
        <w:rPr>
          <w:rFonts w:ascii="Arial" w:hAnsi="Arial" w:cs="Arial"/>
          <w:sz w:val="24"/>
          <w:szCs w:val="24"/>
          <w:u w:val="single"/>
        </w:rPr>
      </w:pPr>
      <w:r w:rsidRPr="004912A3">
        <w:rPr>
          <w:rFonts w:ascii="Arial" w:hAnsi="Arial" w:cs="Arial"/>
          <w:sz w:val="24"/>
          <w:szCs w:val="24"/>
          <w:u w:val="single"/>
        </w:rPr>
        <w:t>Case No.:</w:t>
      </w:r>
      <w:r w:rsidR="00741867" w:rsidRPr="004912A3">
        <w:rPr>
          <w:rFonts w:ascii="Arial" w:hAnsi="Arial" w:cs="Arial"/>
          <w:sz w:val="24"/>
          <w:szCs w:val="24"/>
          <w:u w:val="single"/>
        </w:rPr>
        <w:t xml:space="preserve"> 818/2021</w:t>
      </w:r>
    </w:p>
    <w:p w14:paraId="6EA4B1D1" w14:textId="77777777" w:rsidR="00A17C21" w:rsidRPr="0021291B" w:rsidRDefault="00A17C21" w:rsidP="0064372B">
      <w:pPr>
        <w:spacing w:after="0" w:line="360" w:lineRule="auto"/>
        <w:ind w:left="2160" w:hanging="2160"/>
        <w:jc w:val="both"/>
        <w:rPr>
          <w:rFonts w:ascii="Arial" w:hAnsi="Arial" w:cs="Arial"/>
          <w:color w:val="000000" w:themeColor="text1"/>
          <w:sz w:val="24"/>
          <w:szCs w:val="24"/>
        </w:rPr>
      </w:pPr>
      <w:r w:rsidRPr="00F1317C">
        <w:rPr>
          <w:rFonts w:ascii="Arial" w:hAnsi="Arial" w:cs="Arial"/>
          <w:sz w:val="24"/>
          <w:szCs w:val="24"/>
        </w:rPr>
        <w:t xml:space="preserve">For </w:t>
      </w:r>
      <w:r w:rsidR="0064372B">
        <w:rPr>
          <w:rFonts w:ascii="Arial" w:hAnsi="Arial" w:cs="Arial"/>
          <w:sz w:val="24"/>
          <w:szCs w:val="24"/>
        </w:rPr>
        <w:t>Applicants</w:t>
      </w:r>
      <w:r w:rsidR="00741867" w:rsidRPr="00F1317C">
        <w:rPr>
          <w:rFonts w:ascii="Arial" w:hAnsi="Arial" w:cs="Arial"/>
          <w:sz w:val="24"/>
          <w:szCs w:val="24"/>
        </w:rPr>
        <w:t>:</w:t>
      </w:r>
      <w:r w:rsidR="00741867" w:rsidRPr="00F1317C">
        <w:rPr>
          <w:rFonts w:ascii="Arial" w:hAnsi="Arial" w:cs="Arial"/>
          <w:sz w:val="24"/>
          <w:szCs w:val="24"/>
        </w:rPr>
        <w:tab/>
      </w:r>
      <w:r w:rsidR="00741867" w:rsidRPr="0021291B">
        <w:rPr>
          <w:rFonts w:ascii="Arial" w:hAnsi="Arial" w:cs="Arial"/>
          <w:color w:val="000000" w:themeColor="text1"/>
          <w:sz w:val="24"/>
          <w:szCs w:val="24"/>
        </w:rPr>
        <w:t xml:space="preserve">Adv A M </w:t>
      </w:r>
      <w:proofErr w:type="spellStart"/>
      <w:r w:rsidR="00741867" w:rsidRPr="0021291B">
        <w:rPr>
          <w:rFonts w:ascii="Arial" w:hAnsi="Arial" w:cs="Arial"/>
          <w:color w:val="000000" w:themeColor="text1"/>
          <w:sz w:val="24"/>
          <w:szCs w:val="24"/>
        </w:rPr>
        <w:t>Bodlani</w:t>
      </w:r>
      <w:proofErr w:type="spellEnd"/>
      <w:r w:rsidR="00741867" w:rsidRPr="0021291B">
        <w:rPr>
          <w:rFonts w:ascii="Arial" w:hAnsi="Arial" w:cs="Arial"/>
          <w:color w:val="000000" w:themeColor="text1"/>
          <w:sz w:val="24"/>
          <w:szCs w:val="24"/>
        </w:rPr>
        <w:t xml:space="preserve"> SC and Adv Z </w:t>
      </w:r>
      <w:proofErr w:type="spellStart"/>
      <w:r w:rsidR="00741867" w:rsidRPr="0021291B">
        <w:rPr>
          <w:rFonts w:ascii="Arial" w:hAnsi="Arial" w:cs="Arial"/>
          <w:color w:val="000000" w:themeColor="text1"/>
          <w:sz w:val="24"/>
          <w:szCs w:val="24"/>
        </w:rPr>
        <w:t>Mashiya</w:t>
      </w:r>
      <w:proofErr w:type="spellEnd"/>
      <w:r w:rsidR="0072040F" w:rsidRPr="0021291B">
        <w:rPr>
          <w:rFonts w:ascii="Arial" w:hAnsi="Arial" w:cs="Arial"/>
          <w:color w:val="000000" w:themeColor="text1"/>
          <w:sz w:val="24"/>
          <w:szCs w:val="24"/>
        </w:rPr>
        <w:t xml:space="preserve"> instructed by</w:t>
      </w:r>
      <w:r w:rsidR="0064372B" w:rsidRPr="0021291B">
        <w:rPr>
          <w:rFonts w:ascii="Arial" w:hAnsi="Arial" w:cs="Arial"/>
          <w:color w:val="000000" w:themeColor="text1"/>
          <w:sz w:val="24"/>
          <w:szCs w:val="24"/>
        </w:rPr>
        <w:t xml:space="preserve"> N Z </w:t>
      </w:r>
      <w:proofErr w:type="spellStart"/>
      <w:r w:rsidR="0064372B" w:rsidRPr="0021291B">
        <w:rPr>
          <w:rFonts w:ascii="Arial" w:hAnsi="Arial" w:cs="Arial"/>
          <w:color w:val="000000" w:themeColor="text1"/>
          <w:sz w:val="24"/>
          <w:szCs w:val="24"/>
        </w:rPr>
        <w:t>Mtshabe</w:t>
      </w:r>
      <w:proofErr w:type="spellEnd"/>
      <w:r w:rsidR="0064372B" w:rsidRPr="0021291B">
        <w:rPr>
          <w:rFonts w:ascii="Arial" w:hAnsi="Arial" w:cs="Arial"/>
          <w:color w:val="000000" w:themeColor="text1"/>
          <w:sz w:val="24"/>
          <w:szCs w:val="24"/>
        </w:rPr>
        <w:t xml:space="preserve"> Incorporated, Mthatha</w:t>
      </w:r>
    </w:p>
    <w:p w14:paraId="3F469F94" w14:textId="77777777" w:rsidR="005833E1" w:rsidRPr="00F1317C" w:rsidRDefault="00A17C21" w:rsidP="005833E1">
      <w:pPr>
        <w:spacing w:after="0" w:line="360" w:lineRule="auto"/>
        <w:ind w:left="2160" w:hanging="2160"/>
        <w:jc w:val="both"/>
        <w:rPr>
          <w:rFonts w:ascii="Arial" w:hAnsi="Arial" w:cs="Arial"/>
          <w:sz w:val="24"/>
          <w:szCs w:val="24"/>
        </w:rPr>
      </w:pPr>
      <w:r w:rsidRPr="00F1317C">
        <w:rPr>
          <w:rFonts w:ascii="Arial" w:hAnsi="Arial" w:cs="Arial"/>
          <w:sz w:val="24"/>
          <w:szCs w:val="24"/>
        </w:rPr>
        <w:t xml:space="preserve">For </w:t>
      </w:r>
      <w:r w:rsidR="005833E1">
        <w:rPr>
          <w:rFonts w:ascii="Arial" w:hAnsi="Arial" w:cs="Arial"/>
          <w:sz w:val="24"/>
          <w:szCs w:val="24"/>
        </w:rPr>
        <w:t>1</w:t>
      </w:r>
      <w:r w:rsidR="005833E1" w:rsidRPr="005833E1">
        <w:rPr>
          <w:rFonts w:ascii="Arial" w:hAnsi="Arial" w:cs="Arial"/>
          <w:sz w:val="24"/>
          <w:szCs w:val="24"/>
          <w:vertAlign w:val="superscript"/>
        </w:rPr>
        <w:t>st</w:t>
      </w:r>
      <w:r w:rsidR="005833E1">
        <w:rPr>
          <w:rFonts w:ascii="Arial" w:hAnsi="Arial" w:cs="Arial"/>
          <w:sz w:val="24"/>
          <w:szCs w:val="24"/>
        </w:rPr>
        <w:t xml:space="preserve"> </w:t>
      </w:r>
      <w:r w:rsidRPr="00F1317C">
        <w:rPr>
          <w:rFonts w:ascii="Arial" w:hAnsi="Arial" w:cs="Arial"/>
          <w:sz w:val="24"/>
          <w:szCs w:val="24"/>
        </w:rPr>
        <w:t>Respondent</w:t>
      </w:r>
      <w:r w:rsidR="005833E1">
        <w:rPr>
          <w:rFonts w:ascii="Arial" w:hAnsi="Arial" w:cs="Arial"/>
          <w:sz w:val="24"/>
          <w:szCs w:val="24"/>
        </w:rPr>
        <w:t>:</w:t>
      </w:r>
      <w:r w:rsidR="003B08AB" w:rsidRPr="00F1317C">
        <w:rPr>
          <w:rFonts w:ascii="Arial" w:hAnsi="Arial" w:cs="Arial"/>
          <w:sz w:val="24"/>
          <w:szCs w:val="24"/>
        </w:rPr>
        <w:tab/>
        <w:t>Adv E Balo</w:t>
      </w:r>
      <w:r w:rsidR="00741867" w:rsidRPr="00F1317C">
        <w:rPr>
          <w:rFonts w:ascii="Arial" w:hAnsi="Arial" w:cs="Arial"/>
          <w:sz w:val="24"/>
          <w:szCs w:val="24"/>
        </w:rPr>
        <w:t xml:space="preserve">yi-Mere SC and Adv </w:t>
      </w:r>
      <w:r w:rsidR="003B08AB" w:rsidRPr="00F1317C">
        <w:rPr>
          <w:rFonts w:ascii="Arial" w:hAnsi="Arial" w:cs="Arial"/>
          <w:sz w:val="24"/>
          <w:szCs w:val="24"/>
        </w:rPr>
        <w:t xml:space="preserve">N </w:t>
      </w:r>
      <w:proofErr w:type="spellStart"/>
      <w:r w:rsidR="00741867" w:rsidRPr="00F1317C">
        <w:rPr>
          <w:rFonts w:ascii="Arial" w:hAnsi="Arial" w:cs="Arial"/>
          <w:sz w:val="24"/>
          <w:szCs w:val="24"/>
        </w:rPr>
        <w:t>Jiba</w:t>
      </w:r>
      <w:proofErr w:type="spellEnd"/>
      <w:r w:rsidR="0072040F">
        <w:rPr>
          <w:rFonts w:ascii="Arial" w:hAnsi="Arial" w:cs="Arial"/>
          <w:sz w:val="24"/>
          <w:szCs w:val="24"/>
        </w:rPr>
        <w:t xml:space="preserve"> instructed by</w:t>
      </w:r>
      <w:r w:rsidR="005833E1">
        <w:rPr>
          <w:rFonts w:ascii="Arial" w:hAnsi="Arial" w:cs="Arial"/>
          <w:sz w:val="24"/>
          <w:szCs w:val="24"/>
        </w:rPr>
        <w:t xml:space="preserve"> Gray </w:t>
      </w:r>
      <w:proofErr w:type="spellStart"/>
      <w:r w:rsidR="005833E1">
        <w:rPr>
          <w:rFonts w:ascii="Arial" w:hAnsi="Arial" w:cs="Arial"/>
          <w:sz w:val="24"/>
          <w:szCs w:val="24"/>
        </w:rPr>
        <w:t>Moodliar</w:t>
      </w:r>
      <w:proofErr w:type="spellEnd"/>
      <w:r w:rsidR="005833E1">
        <w:rPr>
          <w:rFonts w:ascii="Arial" w:hAnsi="Arial" w:cs="Arial"/>
          <w:sz w:val="24"/>
          <w:szCs w:val="24"/>
        </w:rPr>
        <w:t xml:space="preserve"> Inc c/o Gordon McCune Attorneys, King William’s Town</w:t>
      </w:r>
    </w:p>
    <w:p w14:paraId="1364C5F6" w14:textId="77777777" w:rsidR="00A17C21" w:rsidRPr="00F1317C" w:rsidRDefault="00A17C21" w:rsidP="005833E1">
      <w:pPr>
        <w:spacing w:after="0" w:line="360" w:lineRule="auto"/>
        <w:jc w:val="both"/>
        <w:rPr>
          <w:rFonts w:ascii="Arial" w:hAnsi="Arial" w:cs="Arial"/>
          <w:sz w:val="24"/>
          <w:szCs w:val="24"/>
        </w:rPr>
      </w:pPr>
    </w:p>
    <w:sectPr w:rsidR="00A17C21" w:rsidRPr="00F1317C" w:rsidSect="004148C2">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A87D" w14:textId="77777777" w:rsidR="00950367" w:rsidRDefault="00950367" w:rsidP="00AA7822">
      <w:pPr>
        <w:spacing w:after="0" w:line="240" w:lineRule="auto"/>
      </w:pPr>
      <w:r>
        <w:separator/>
      </w:r>
    </w:p>
  </w:endnote>
  <w:endnote w:type="continuationSeparator" w:id="0">
    <w:p w14:paraId="758A3DF6" w14:textId="77777777" w:rsidR="00950367" w:rsidRDefault="00950367" w:rsidP="00AA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1A14" w14:textId="77777777" w:rsidR="00C73DF0" w:rsidRDefault="00C73DF0">
    <w:pPr>
      <w:pStyle w:val="Footer"/>
      <w:jc w:val="center"/>
    </w:pPr>
  </w:p>
  <w:p w14:paraId="004A2FE9" w14:textId="77777777" w:rsidR="00C73DF0" w:rsidRDefault="00C7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6C7A" w14:textId="77777777" w:rsidR="00950367" w:rsidRDefault="00950367" w:rsidP="00AA7822">
      <w:pPr>
        <w:spacing w:after="0" w:line="240" w:lineRule="auto"/>
      </w:pPr>
      <w:r>
        <w:separator/>
      </w:r>
    </w:p>
  </w:footnote>
  <w:footnote w:type="continuationSeparator" w:id="0">
    <w:p w14:paraId="3911694C" w14:textId="77777777" w:rsidR="00950367" w:rsidRDefault="00950367" w:rsidP="00AA7822">
      <w:pPr>
        <w:spacing w:after="0" w:line="240" w:lineRule="auto"/>
      </w:pPr>
      <w:r>
        <w:continuationSeparator/>
      </w:r>
    </w:p>
  </w:footnote>
  <w:footnote w:id="1">
    <w:p w14:paraId="774B35F0" w14:textId="77777777" w:rsidR="00C73DF0" w:rsidRDefault="00C73DF0">
      <w:pPr>
        <w:pStyle w:val="FootnoteText"/>
      </w:pPr>
      <w:r>
        <w:rPr>
          <w:rStyle w:val="FootnoteReference"/>
        </w:rPr>
        <w:footnoteRef/>
      </w:r>
      <w:r>
        <w:t xml:space="preserve"> Although the written Memorandum of Agreement was signed at a later date it records a commencement date of 6 April 2018.</w:t>
      </w:r>
    </w:p>
  </w:footnote>
  <w:footnote w:id="2">
    <w:p w14:paraId="1B6135FF" w14:textId="77777777" w:rsidR="00C73DF0" w:rsidRDefault="00C73DF0" w:rsidP="004C0205">
      <w:pPr>
        <w:pStyle w:val="FootnoteText"/>
      </w:pPr>
      <w:r>
        <w:rPr>
          <w:rStyle w:val="FootnoteReference"/>
        </w:rPr>
        <w:footnoteRef/>
      </w:r>
      <w:r>
        <w:t xml:space="preserve"> The conclusion of the agreement was not in dispute and a copy thereof was provided to the PP.</w:t>
      </w:r>
    </w:p>
    <w:p w14:paraId="7B612A36" w14:textId="77777777" w:rsidR="00C73DF0" w:rsidRDefault="00C73DF0">
      <w:pPr>
        <w:pStyle w:val="FootnoteText"/>
      </w:pPr>
    </w:p>
  </w:footnote>
  <w:footnote w:id="3">
    <w:p w14:paraId="599D4AC2" w14:textId="77777777" w:rsidR="00C73DF0" w:rsidRPr="00360D33" w:rsidRDefault="00C73DF0" w:rsidP="00360D33">
      <w:pPr>
        <w:pStyle w:val="ListParagraph"/>
        <w:spacing w:after="0" w:line="240" w:lineRule="auto"/>
        <w:ind w:left="0"/>
        <w:jc w:val="both"/>
        <w:rPr>
          <w:rFonts w:cstheme="minorHAnsi"/>
          <w:color w:val="000000" w:themeColor="text1"/>
          <w:sz w:val="20"/>
          <w:szCs w:val="20"/>
        </w:rPr>
      </w:pPr>
      <w:r>
        <w:rPr>
          <w:rStyle w:val="FootnoteReference"/>
        </w:rPr>
        <w:footnoteRef/>
      </w:r>
      <w:r>
        <w:t xml:space="preserve"> </w:t>
      </w:r>
      <w:r w:rsidRPr="00360D33">
        <w:rPr>
          <w:rFonts w:cstheme="minorHAnsi"/>
          <w:color w:val="000000" w:themeColor="text1"/>
          <w:sz w:val="20"/>
          <w:szCs w:val="20"/>
        </w:rPr>
        <w:t>The alleged report has not been provided to the applicants and it does not form part of t</w:t>
      </w:r>
      <w:r>
        <w:rPr>
          <w:rFonts w:cstheme="minorHAnsi"/>
          <w:color w:val="000000" w:themeColor="text1"/>
          <w:sz w:val="20"/>
          <w:szCs w:val="20"/>
        </w:rPr>
        <w:t>he record provided in terms of r</w:t>
      </w:r>
      <w:r w:rsidRPr="00360D33">
        <w:rPr>
          <w:rFonts w:cstheme="minorHAnsi"/>
          <w:color w:val="000000" w:themeColor="text1"/>
          <w:sz w:val="20"/>
          <w:szCs w:val="20"/>
        </w:rPr>
        <w:t>ule 53 of the rules of court.</w:t>
      </w:r>
    </w:p>
    <w:p w14:paraId="0249D91C" w14:textId="77777777" w:rsidR="00C73DF0" w:rsidRDefault="00C73DF0">
      <w:pPr>
        <w:pStyle w:val="FootnoteText"/>
      </w:pPr>
    </w:p>
  </w:footnote>
  <w:footnote w:id="4">
    <w:p w14:paraId="661AB879" w14:textId="77777777" w:rsidR="00C73DF0" w:rsidRDefault="00C73DF0">
      <w:pPr>
        <w:pStyle w:val="FootnoteText"/>
      </w:pPr>
      <w:r>
        <w:rPr>
          <w:rStyle w:val="FootnoteReference"/>
        </w:rPr>
        <w:footnoteRef/>
      </w:r>
      <w:r>
        <w:t xml:space="preserve"> The alteration of her findings is fully discussed </w:t>
      </w:r>
      <w:r w:rsidRPr="00B52163">
        <w:rPr>
          <w:color w:val="000000" w:themeColor="text1"/>
        </w:rPr>
        <w:t>in para</w:t>
      </w:r>
      <w:r w:rsidR="00296AF2">
        <w:rPr>
          <w:color w:val="000000" w:themeColor="text1"/>
        </w:rPr>
        <w:t>s</w:t>
      </w:r>
      <w:r w:rsidRPr="00B52163">
        <w:rPr>
          <w:color w:val="000000" w:themeColor="text1"/>
        </w:rPr>
        <w:t xml:space="preserve"> [</w:t>
      </w:r>
      <w:r w:rsidR="00B52163" w:rsidRPr="00B52163">
        <w:rPr>
          <w:color w:val="000000" w:themeColor="text1"/>
        </w:rPr>
        <w:t>73-76</w:t>
      </w:r>
      <w:r w:rsidRPr="00B52163">
        <w:rPr>
          <w:color w:val="000000" w:themeColor="text1"/>
        </w:rPr>
        <w:t xml:space="preserve">] </w:t>
      </w:r>
      <w:r>
        <w:t xml:space="preserve">of this judgment </w:t>
      </w:r>
    </w:p>
  </w:footnote>
  <w:footnote w:id="5">
    <w:p w14:paraId="2A23E7BB" w14:textId="77777777" w:rsidR="00C73DF0" w:rsidRDefault="00C73DF0">
      <w:pPr>
        <w:pStyle w:val="FootnoteText"/>
      </w:pPr>
      <w:r>
        <w:rPr>
          <w:rStyle w:val="FootnoteReference"/>
        </w:rPr>
        <w:footnoteRef/>
      </w:r>
      <w:r>
        <w:t xml:space="preserve"> The material portion of s 8 of the Public Protector Act 23 of 1994 that regulates publication provides:</w:t>
      </w:r>
    </w:p>
    <w:p w14:paraId="3E7DBF62" w14:textId="77777777" w:rsidR="00C73DF0" w:rsidRPr="00296AF2" w:rsidRDefault="00C73DF0">
      <w:pPr>
        <w:pStyle w:val="FootnoteText"/>
        <w:rPr>
          <w:b/>
          <w:color w:val="000000" w:themeColor="text1"/>
        </w:rPr>
      </w:pPr>
      <w:r w:rsidRPr="00296AF2">
        <w:rPr>
          <w:color w:val="000000" w:themeColor="text1"/>
        </w:rPr>
        <w:t xml:space="preserve">“8.  </w:t>
      </w:r>
      <w:r w:rsidRPr="00296AF2">
        <w:rPr>
          <w:b/>
          <w:color w:val="000000" w:themeColor="text1"/>
        </w:rPr>
        <w:t>Publication of findings</w:t>
      </w:r>
    </w:p>
    <w:p w14:paraId="7923F342" w14:textId="599A60A3" w:rsidR="00C73DF0" w:rsidRPr="00296AF2" w:rsidRDefault="00C47012" w:rsidP="00C47012">
      <w:pPr>
        <w:pStyle w:val="FootnoteText"/>
        <w:ind w:left="720" w:hanging="360"/>
        <w:rPr>
          <w:color w:val="000000" w:themeColor="text1"/>
        </w:rPr>
      </w:pPr>
      <w:r w:rsidRPr="00296AF2">
        <w:rPr>
          <w:color w:val="000000" w:themeColor="text1"/>
        </w:rPr>
        <w:t>(1)</w:t>
      </w:r>
      <w:r w:rsidRPr="00296AF2">
        <w:rPr>
          <w:color w:val="000000" w:themeColor="text1"/>
        </w:rPr>
        <w:tab/>
      </w:r>
      <w:r w:rsidR="00C73DF0" w:rsidRPr="00296AF2">
        <w:rPr>
          <w:color w:val="000000" w:themeColor="text1"/>
        </w:rPr>
        <w:t>The Public Protector may, … in the manner he or she deems fit, make known to any person any finding, …  or recommendation in respect of a matter investigated by him or her.</w:t>
      </w:r>
    </w:p>
    <w:p w14:paraId="733810F4" w14:textId="77777777" w:rsidR="00C73DF0" w:rsidRPr="00296AF2" w:rsidRDefault="00C73DF0" w:rsidP="00C657F1">
      <w:pPr>
        <w:pStyle w:val="FootnoteText"/>
        <w:ind w:left="360"/>
        <w:rPr>
          <w:color w:val="000000" w:themeColor="text1"/>
        </w:rPr>
      </w:pPr>
      <w:r w:rsidRPr="00296AF2">
        <w:rPr>
          <w:color w:val="000000" w:themeColor="text1"/>
        </w:rPr>
        <w:t>...</w:t>
      </w:r>
    </w:p>
    <w:p w14:paraId="48EF42B9" w14:textId="77777777" w:rsidR="00C73DF0" w:rsidRPr="00296AF2" w:rsidRDefault="00C73DF0" w:rsidP="00C657F1">
      <w:pPr>
        <w:pStyle w:val="FootnoteText"/>
        <w:ind w:left="360"/>
        <w:rPr>
          <w:color w:val="000000" w:themeColor="text1"/>
        </w:rPr>
      </w:pPr>
      <w:r w:rsidRPr="00296AF2">
        <w:rPr>
          <w:color w:val="000000" w:themeColor="text1"/>
        </w:rPr>
        <w:t>(2A)(a)  Any report issued by the Public Protector shall be open to the public …”</w:t>
      </w:r>
    </w:p>
  </w:footnote>
  <w:footnote w:id="6">
    <w:p w14:paraId="1DDF8435" w14:textId="77777777" w:rsidR="00C73DF0" w:rsidRDefault="00C73DF0">
      <w:pPr>
        <w:pStyle w:val="FootnoteText"/>
      </w:pPr>
      <w:r>
        <w:rPr>
          <w:rStyle w:val="FootnoteReference"/>
        </w:rPr>
        <w:footnoteRef/>
      </w:r>
      <w:r>
        <w:t xml:space="preserve"> Referred to in para [11] above.</w:t>
      </w:r>
    </w:p>
  </w:footnote>
  <w:footnote w:id="7">
    <w:p w14:paraId="22DFA64B" w14:textId="77777777" w:rsidR="00C73DF0" w:rsidRDefault="00C73DF0">
      <w:pPr>
        <w:pStyle w:val="FootnoteText"/>
      </w:pPr>
      <w:r>
        <w:rPr>
          <w:rStyle w:val="FootnoteReference"/>
        </w:rPr>
        <w:footnoteRef/>
      </w:r>
      <w:r>
        <w:t xml:space="preserve"> His affidavit was not supported by any confirmatory affidavit by the PP.</w:t>
      </w:r>
    </w:p>
  </w:footnote>
  <w:footnote w:id="8">
    <w:p w14:paraId="78FB5832" w14:textId="77777777" w:rsidR="00C73DF0" w:rsidRDefault="00C73DF0" w:rsidP="00DF786A">
      <w:pPr>
        <w:pStyle w:val="FootnoteText"/>
        <w:jc w:val="both"/>
      </w:pPr>
      <w:r>
        <w:rPr>
          <w:rStyle w:val="FootnoteReference"/>
        </w:rPr>
        <w:footnoteRef/>
      </w:r>
      <w:r>
        <w:t xml:space="preserve"> Section 7(3)(b) of the Public Protector Act provides for delegation of powers.  Neither the report nor the answering affidavit makes any reference to a delegation.  Rather, the report reflects that </w:t>
      </w:r>
      <w:r>
        <w:t>Mr Dlamini, as the Provincial Representative of the PP “assisted” her.  Where she enlists the assistance of a member of her office the member acts under her supervision and control as set out in s 7(3)(a) of the Act.</w:t>
      </w:r>
    </w:p>
  </w:footnote>
  <w:footnote w:id="9">
    <w:p w14:paraId="5D7364E8" w14:textId="77777777" w:rsidR="00C73DF0" w:rsidRDefault="00C73DF0" w:rsidP="00DF786A">
      <w:pPr>
        <w:pStyle w:val="FootnoteText"/>
        <w:jc w:val="both"/>
      </w:pPr>
      <w:r>
        <w:rPr>
          <w:rStyle w:val="FootnoteReference"/>
        </w:rPr>
        <w:footnoteRef/>
      </w:r>
      <w:r>
        <w:t xml:space="preserve"> Section 3(4)</w:t>
      </w:r>
    </w:p>
  </w:footnote>
  <w:footnote w:id="10">
    <w:p w14:paraId="2EF3041B" w14:textId="77777777" w:rsidR="00C73DF0" w:rsidRPr="00C56391" w:rsidRDefault="00C73DF0" w:rsidP="002871AD">
      <w:pPr>
        <w:pStyle w:val="FootnoteText"/>
        <w:jc w:val="both"/>
        <w:rPr>
          <w:color w:val="000000" w:themeColor="text1"/>
        </w:rPr>
      </w:pPr>
      <w:r w:rsidRPr="00C56391">
        <w:rPr>
          <w:rStyle w:val="FootnoteReference"/>
          <w:color w:val="000000" w:themeColor="text1"/>
        </w:rPr>
        <w:footnoteRef/>
      </w:r>
      <w:r w:rsidRPr="00C56391">
        <w:rPr>
          <w:color w:val="000000" w:themeColor="text1"/>
        </w:rPr>
        <w:t xml:space="preserve"> The passages objected to in </w:t>
      </w:r>
      <w:r w:rsidRPr="00C56391">
        <w:rPr>
          <w:color w:val="000000" w:themeColor="text1"/>
        </w:rPr>
        <w:t>Dlamini’s affidavit are as follows:  Paragraph 19 in which it is stated that “I further deny that the Public Protector did not consider Madikizela’s version”;  paragraph 80 in which it is stated that “the evidence before the Public Protector raised suspicion that these purported cession letters were organised or facilitated by Mahlaka”;  paragraph 81 in which it is stated that “The Public Protector took this view firstly, because Mngqongwa … had no reason to cede any payments from MLM to Mthombeni Projects …”;  paragraph 81 in which it is stated that “The Public Protector had before her evidence that Key Spirit received R38, 388, 672.93 on 3 August 2018 from the Department of Transport …”;  paragraph 169 in which it is stated that “the truth that the Public Protector was searching for is whether the public funds from MLM were improperly paid for the benefit of senior government officials or private individuals”;  paragraph 173 in which it is stated that “I submit that the Public Protector took into account all evidence presented before her …”;  paragraph 240.3 which states that “…  I deny the Public Protector did not consider (or) apply correct legal principles in arriving at her findings.  I further deny that the Public Protector did not conduct her investigations with an open mind</w:t>
      </w:r>
      <w:r w:rsidRPr="00C56391">
        <w:rPr>
          <w:color w:val="000000" w:themeColor="text1"/>
        </w:rPr>
        <w:t>”;  and paragraph 442.1 which states that “… the Public Protector considered all evidence obtained during the investigation, including that of Cwele”.</w:t>
      </w:r>
    </w:p>
  </w:footnote>
  <w:footnote w:id="11">
    <w:p w14:paraId="3BF141E5" w14:textId="77777777" w:rsidR="00C73DF0" w:rsidRPr="00C56391" w:rsidRDefault="00C73DF0" w:rsidP="00A50300">
      <w:pPr>
        <w:pStyle w:val="Heading2"/>
        <w:shd w:val="clear" w:color="auto" w:fill="FFFFFF"/>
        <w:spacing w:before="0" w:beforeAutospacing="0" w:after="0" w:afterAutospacing="0"/>
        <w:jc w:val="both"/>
        <w:rPr>
          <w:color w:val="000000" w:themeColor="text1"/>
        </w:rPr>
      </w:pPr>
      <w:r w:rsidRPr="00C56391">
        <w:rPr>
          <w:rStyle w:val="FootnoteReference"/>
          <w:rFonts w:asciiTheme="minorHAnsi" w:eastAsiaTheme="minorHAnsi" w:hAnsiTheme="minorHAnsi" w:cstheme="minorBidi"/>
          <w:b w:val="0"/>
          <w:bCs w:val="0"/>
          <w:color w:val="000000" w:themeColor="text1"/>
          <w:sz w:val="20"/>
          <w:szCs w:val="20"/>
        </w:rPr>
        <w:footnoteRef/>
      </w:r>
      <w:r w:rsidRPr="00C56391">
        <w:rPr>
          <w:rFonts w:asciiTheme="minorHAnsi" w:hAnsiTheme="minorHAnsi"/>
          <w:b w:val="0"/>
          <w:color w:val="000000" w:themeColor="text1"/>
        </w:rPr>
        <w:t xml:space="preserve"> </w:t>
      </w:r>
      <w:r w:rsidRPr="00C56391">
        <w:rPr>
          <w:rFonts w:asciiTheme="minorHAnsi" w:hAnsiTheme="minorHAnsi" w:cs="Arial"/>
          <w:b w:val="0"/>
          <w:bCs w:val="0"/>
          <w:i/>
          <w:color w:val="000000" w:themeColor="text1"/>
          <w:sz w:val="20"/>
          <w:szCs w:val="20"/>
        </w:rPr>
        <w:t>Vere N.O and Others vs MEC for Department of Economic Development, Environment, Conservation and Tourism, North West Province and Others; Vere N.O and Others vs MEC for Department of Economic Development, Environment, Conservation and Tourism, North West Province and Others</w:t>
      </w:r>
      <w:r w:rsidRPr="00C56391">
        <w:rPr>
          <w:rFonts w:asciiTheme="minorHAnsi" w:hAnsiTheme="minorHAnsi" w:cs="Arial"/>
          <w:b w:val="0"/>
          <w:bCs w:val="0"/>
          <w:color w:val="000000" w:themeColor="text1"/>
          <w:sz w:val="20"/>
          <w:szCs w:val="20"/>
        </w:rPr>
        <w:t xml:space="preserve"> (UM112/2020; UM145/2020) [2021] ZANWHC 1 (19 February 2021) at [84] and [87])</w:t>
      </w:r>
    </w:p>
  </w:footnote>
  <w:footnote w:id="12">
    <w:p w14:paraId="3179CFF9" w14:textId="77777777" w:rsidR="00C73DF0" w:rsidRPr="00C56391" w:rsidRDefault="00C73DF0" w:rsidP="00671C71">
      <w:pPr>
        <w:pStyle w:val="FootnoteText"/>
        <w:jc w:val="both"/>
        <w:rPr>
          <w:color w:val="000000" w:themeColor="text1"/>
        </w:rPr>
      </w:pPr>
      <w:r w:rsidRPr="00C56391">
        <w:rPr>
          <w:rStyle w:val="FootnoteReference"/>
          <w:color w:val="000000" w:themeColor="text1"/>
        </w:rPr>
        <w:footnoteRef/>
      </w:r>
      <w:r w:rsidRPr="00C56391">
        <w:rPr>
          <w:color w:val="000000" w:themeColor="text1"/>
        </w:rPr>
        <w:t xml:space="preserve"> The paragraphs objected to in the affidavit of </w:t>
      </w:r>
      <w:r w:rsidRPr="00C56391">
        <w:rPr>
          <w:color w:val="000000" w:themeColor="text1"/>
        </w:rPr>
        <w:t>Ms Roberts are as follows:  Paragraph 7 which states that: ‘The review application concerns a draft report prepared by the First Respondent dated 28 September 2021 (the “draft report”), which First Respondent published prematurely on 8 October 2021.’  The final report is dated 8 October 2021 and was released on 8 October 2021”; paragraph 17 which states that: “Moreover, I informed the Applicant’s attorneys that in so far as it is relevant, aside from the inconsequential grammatical and draftsmanship errors, the material difference between the draft report and the final report is the addition of paragraph 7.1”;  paragraph 48 which states that: “As already explained in paragraphs 10 to 19 above, the contents of which are incorporated herein as if specifically traversed, the draft report was prematurely published through First Respondent’s website.  The report dated 8 October 2021 is the final report and that was communicated to the Applicant”.</w:t>
      </w:r>
    </w:p>
  </w:footnote>
  <w:footnote w:id="13">
    <w:p w14:paraId="292C5EDF" w14:textId="77777777" w:rsidR="00C73DF0" w:rsidRPr="00C56391" w:rsidRDefault="00C73DF0" w:rsidP="00671C71">
      <w:pPr>
        <w:pStyle w:val="FootnoteText"/>
        <w:jc w:val="both"/>
        <w:rPr>
          <w:color w:val="000000" w:themeColor="text1"/>
        </w:rPr>
      </w:pPr>
      <w:r w:rsidRPr="00C56391">
        <w:rPr>
          <w:rStyle w:val="FootnoteReference"/>
          <w:color w:val="000000" w:themeColor="text1"/>
        </w:rPr>
        <w:footnoteRef/>
      </w:r>
      <w:r w:rsidRPr="00C56391">
        <w:rPr>
          <w:color w:val="000000" w:themeColor="text1"/>
        </w:rPr>
        <w:t xml:space="preserve"> See </w:t>
      </w:r>
      <w:r w:rsidRPr="00C56391">
        <w:rPr>
          <w:i/>
          <w:color w:val="000000" w:themeColor="text1"/>
        </w:rPr>
        <w:t>Gerhardt v State President and Others</w:t>
      </w:r>
      <w:r w:rsidRPr="00C56391">
        <w:rPr>
          <w:color w:val="000000" w:themeColor="text1"/>
        </w:rPr>
        <w:t xml:space="preserve"> 1989 (2) SA 499 (T) at 504f-h; </w:t>
      </w:r>
      <w:r w:rsidRPr="00C56391">
        <w:rPr>
          <w:i/>
          <w:color w:val="000000" w:themeColor="text1"/>
        </w:rPr>
        <w:t xml:space="preserve">Von Abo v Government of </w:t>
      </w:r>
      <w:r w:rsidRPr="00C56391">
        <w:rPr>
          <w:i/>
          <w:color w:val="000000" w:themeColor="text1"/>
        </w:rPr>
        <w:t xml:space="preserve">The Republic of South Africa and Others </w:t>
      </w:r>
      <w:r w:rsidRPr="00C56391">
        <w:rPr>
          <w:color w:val="000000" w:themeColor="text1"/>
        </w:rPr>
        <w:t xml:space="preserve">[2008] ZAGPHC 226 (29 July 2008) at [46]; </w:t>
      </w:r>
      <w:r w:rsidRPr="00C56391">
        <w:rPr>
          <w:i/>
          <w:color w:val="000000" w:themeColor="text1"/>
        </w:rPr>
        <w:t xml:space="preserve">Drift </w:t>
      </w:r>
      <w:r w:rsidRPr="00C56391">
        <w:rPr>
          <w:i/>
          <w:color w:val="000000" w:themeColor="text1"/>
        </w:rPr>
        <w:t>Supersand (Pty) Ltd v Mogale City Local Municipality and Another</w:t>
      </w:r>
      <w:r w:rsidRPr="00C56391">
        <w:rPr>
          <w:color w:val="000000" w:themeColor="text1"/>
        </w:rPr>
        <w:t xml:space="preserve"> [2017] 4 All SA 624 (SCA) at [31] and Eskom Holdings SOC Ltd v Masinda 2019 (5) SA 386 (SCA) at [3]</w:t>
      </w:r>
    </w:p>
  </w:footnote>
  <w:footnote w:id="14">
    <w:p w14:paraId="26405B91" w14:textId="77777777" w:rsidR="00C73DF0" w:rsidRPr="00C56391" w:rsidRDefault="00C73DF0" w:rsidP="00671C71">
      <w:pPr>
        <w:pStyle w:val="FootnoteText"/>
        <w:jc w:val="both"/>
        <w:rPr>
          <w:color w:val="000000" w:themeColor="text1"/>
        </w:rPr>
      </w:pPr>
      <w:r>
        <w:rPr>
          <w:rStyle w:val="FootnoteReference"/>
        </w:rPr>
        <w:footnoteRef/>
      </w:r>
      <w:r>
        <w:t xml:space="preserve"> </w:t>
      </w:r>
      <w:r w:rsidRPr="00C56391">
        <w:rPr>
          <w:color w:val="000000" w:themeColor="text1"/>
        </w:rPr>
        <w:t xml:space="preserve">Section 3(1)(c) provides: </w:t>
      </w:r>
    </w:p>
    <w:p w14:paraId="0E059941" w14:textId="77777777" w:rsidR="00C73DF0" w:rsidRPr="00C56391" w:rsidRDefault="00C73DF0" w:rsidP="00671C71">
      <w:pPr>
        <w:pStyle w:val="FootnoteText"/>
        <w:jc w:val="both"/>
        <w:rPr>
          <w:color w:val="000000" w:themeColor="text1"/>
        </w:rPr>
      </w:pPr>
      <w:r w:rsidRPr="00C56391">
        <w:rPr>
          <w:color w:val="000000" w:themeColor="text1"/>
        </w:rPr>
        <w:t>“(1) Subject to the provisions of any other law, hearsay evidence shall not be admitted as evidence at criminal or civil proceedings, unless-</w:t>
      </w:r>
    </w:p>
    <w:p w14:paraId="07D50259" w14:textId="77777777" w:rsidR="00C73DF0" w:rsidRPr="00C56391" w:rsidRDefault="00C73DF0" w:rsidP="00671C71">
      <w:pPr>
        <w:pStyle w:val="FootnoteText"/>
        <w:jc w:val="both"/>
        <w:rPr>
          <w:color w:val="000000" w:themeColor="text1"/>
        </w:rPr>
      </w:pPr>
      <w:r w:rsidRPr="00C56391">
        <w:rPr>
          <w:color w:val="000000" w:themeColor="text1"/>
        </w:rPr>
        <w:t>…</w:t>
      </w:r>
    </w:p>
    <w:p w14:paraId="11C7B87F" w14:textId="77777777" w:rsidR="00C73DF0" w:rsidRPr="00C56391" w:rsidRDefault="00C73DF0" w:rsidP="00B05CB0">
      <w:pPr>
        <w:pStyle w:val="FootnoteText"/>
        <w:ind w:left="450"/>
        <w:jc w:val="both"/>
        <w:rPr>
          <w:color w:val="000000" w:themeColor="text1"/>
        </w:rPr>
      </w:pPr>
      <w:r w:rsidRPr="00C56391">
        <w:rPr>
          <w:color w:val="000000" w:themeColor="text1"/>
        </w:rPr>
        <w:t>(c)  the court, having regard to-</w:t>
      </w:r>
    </w:p>
    <w:p w14:paraId="35FDA166" w14:textId="77777777" w:rsidR="00C73DF0" w:rsidRPr="00C56391" w:rsidRDefault="00C73DF0" w:rsidP="00B05CB0">
      <w:pPr>
        <w:pStyle w:val="FootnoteText"/>
        <w:ind w:left="1526" w:hanging="720"/>
        <w:jc w:val="both"/>
        <w:rPr>
          <w:color w:val="000000" w:themeColor="text1"/>
        </w:rPr>
      </w:pPr>
      <w:r w:rsidRPr="00C56391">
        <w:rPr>
          <w:color w:val="000000" w:themeColor="text1"/>
        </w:rPr>
        <w:t>(</w:t>
      </w:r>
      <w:r w:rsidRPr="00C56391">
        <w:rPr>
          <w:color w:val="000000" w:themeColor="text1"/>
        </w:rPr>
        <w:t>i)  the nature of the proceedings;</w:t>
      </w:r>
    </w:p>
    <w:p w14:paraId="5E25A7E9" w14:textId="77777777" w:rsidR="00C73DF0" w:rsidRPr="00C56391" w:rsidRDefault="00C73DF0" w:rsidP="00B05CB0">
      <w:pPr>
        <w:pStyle w:val="FootnoteText"/>
        <w:ind w:left="1526" w:hanging="720"/>
        <w:jc w:val="both"/>
        <w:rPr>
          <w:color w:val="000000" w:themeColor="text1"/>
        </w:rPr>
      </w:pPr>
      <w:r w:rsidRPr="00C56391">
        <w:rPr>
          <w:color w:val="000000" w:themeColor="text1"/>
        </w:rPr>
        <w:t>(ii)  the nature of the evidence;</w:t>
      </w:r>
    </w:p>
    <w:p w14:paraId="65A77806" w14:textId="77777777" w:rsidR="00C73DF0" w:rsidRPr="00C56391" w:rsidRDefault="00C73DF0" w:rsidP="00B05CB0">
      <w:pPr>
        <w:pStyle w:val="FootnoteText"/>
        <w:ind w:left="1526" w:hanging="720"/>
        <w:jc w:val="both"/>
        <w:rPr>
          <w:color w:val="000000" w:themeColor="text1"/>
        </w:rPr>
      </w:pPr>
      <w:r w:rsidRPr="00C56391">
        <w:rPr>
          <w:color w:val="000000" w:themeColor="text1"/>
        </w:rPr>
        <w:t>(iii)  the purpose for which the evidence is tendered;</w:t>
      </w:r>
    </w:p>
    <w:p w14:paraId="64B46AF9" w14:textId="77777777" w:rsidR="00C73DF0" w:rsidRPr="00C56391" w:rsidRDefault="00C73DF0" w:rsidP="00B05CB0">
      <w:pPr>
        <w:pStyle w:val="FootnoteText"/>
        <w:ind w:left="1526" w:hanging="720"/>
        <w:jc w:val="both"/>
        <w:rPr>
          <w:color w:val="000000" w:themeColor="text1"/>
        </w:rPr>
      </w:pPr>
      <w:r w:rsidRPr="00C56391">
        <w:rPr>
          <w:color w:val="000000" w:themeColor="text1"/>
        </w:rPr>
        <w:t>(iv)  the probative value of the evidence;</w:t>
      </w:r>
    </w:p>
    <w:p w14:paraId="7878C8C4" w14:textId="77777777" w:rsidR="00C73DF0" w:rsidRPr="00C56391" w:rsidRDefault="00C73DF0" w:rsidP="00B05CB0">
      <w:pPr>
        <w:pStyle w:val="FootnoteText"/>
        <w:tabs>
          <w:tab w:val="left" w:pos="900"/>
        </w:tabs>
        <w:ind w:left="1170" w:hanging="360"/>
        <w:jc w:val="both"/>
        <w:rPr>
          <w:color w:val="000000" w:themeColor="text1"/>
        </w:rPr>
      </w:pPr>
      <w:r w:rsidRPr="00C56391">
        <w:rPr>
          <w:color w:val="000000" w:themeColor="text1"/>
        </w:rPr>
        <w:t>(v)   the reason why the evidence is not given by the person upon whose credibility the probative value of   such evidence depends;</w:t>
      </w:r>
    </w:p>
    <w:p w14:paraId="4CBB0023" w14:textId="77777777" w:rsidR="00C73DF0" w:rsidRPr="00C56391" w:rsidRDefault="00C73DF0" w:rsidP="00B05CB0">
      <w:pPr>
        <w:pStyle w:val="FootnoteText"/>
        <w:ind w:left="1526" w:hanging="720"/>
        <w:jc w:val="both"/>
        <w:rPr>
          <w:color w:val="000000" w:themeColor="text1"/>
        </w:rPr>
      </w:pPr>
      <w:r w:rsidRPr="00C56391">
        <w:rPr>
          <w:color w:val="000000" w:themeColor="text1"/>
        </w:rPr>
        <w:t xml:space="preserve">(vi)  any prejudice to a party which the admission of such evidence might </w:t>
      </w:r>
      <w:r w:rsidRPr="00C56391">
        <w:rPr>
          <w:color w:val="000000" w:themeColor="text1"/>
        </w:rPr>
        <w:t>entail;  and</w:t>
      </w:r>
    </w:p>
    <w:p w14:paraId="3D011F26" w14:textId="77777777" w:rsidR="00C73DF0" w:rsidRPr="00C56391" w:rsidRDefault="00C73DF0" w:rsidP="00B05CB0">
      <w:pPr>
        <w:pStyle w:val="FootnoteText"/>
        <w:ind w:left="1526" w:hanging="720"/>
        <w:jc w:val="both"/>
        <w:rPr>
          <w:color w:val="000000" w:themeColor="text1"/>
        </w:rPr>
      </w:pPr>
      <w:r w:rsidRPr="00C56391">
        <w:rPr>
          <w:color w:val="000000" w:themeColor="text1"/>
        </w:rPr>
        <w:t>(vii) any other factor which should in the opinion of the court be taken into account,</w:t>
      </w:r>
    </w:p>
    <w:p w14:paraId="6F14C5E0" w14:textId="77777777" w:rsidR="00C73DF0" w:rsidRPr="00C56391" w:rsidRDefault="00C73DF0" w:rsidP="00B05CB0">
      <w:pPr>
        <w:pStyle w:val="FootnoteText"/>
        <w:ind w:left="360" w:firstLine="360"/>
        <w:jc w:val="both"/>
        <w:rPr>
          <w:color w:val="000000" w:themeColor="text1"/>
        </w:rPr>
      </w:pPr>
      <w:r w:rsidRPr="00C56391">
        <w:rPr>
          <w:color w:val="000000" w:themeColor="text1"/>
        </w:rPr>
        <w:t>is of the opinion that such evidence should be admitted in the interests of justice.”</w:t>
      </w:r>
    </w:p>
  </w:footnote>
  <w:footnote w:id="15">
    <w:p w14:paraId="0AF810BF" w14:textId="77777777" w:rsidR="00C73DF0" w:rsidRPr="00C56391" w:rsidRDefault="00C73DF0" w:rsidP="006F73DE">
      <w:pPr>
        <w:pStyle w:val="FootnoteText"/>
        <w:jc w:val="both"/>
        <w:rPr>
          <w:color w:val="000000" w:themeColor="text1"/>
        </w:rPr>
      </w:pPr>
      <w:r w:rsidRPr="00C56391">
        <w:rPr>
          <w:rStyle w:val="FootnoteReference"/>
          <w:color w:val="000000" w:themeColor="text1"/>
        </w:rPr>
        <w:footnoteRef/>
      </w:r>
      <w:r w:rsidRPr="00C56391">
        <w:rPr>
          <w:color w:val="000000" w:themeColor="text1"/>
        </w:rPr>
        <w:t xml:space="preserve"> </w:t>
      </w:r>
      <w:r w:rsidRPr="00C56391">
        <w:rPr>
          <w:i/>
          <w:color w:val="000000" w:themeColor="text1"/>
        </w:rPr>
        <w:t>Ganes and Another v Telkom Namibia Limited</w:t>
      </w:r>
      <w:r w:rsidRPr="00C56391">
        <w:rPr>
          <w:color w:val="000000" w:themeColor="text1"/>
        </w:rPr>
        <w:t xml:space="preserve"> 2004 (3) SA 615 (SCA) at 624</w:t>
      </w:r>
      <w:r w:rsidRPr="00C56391">
        <w:rPr>
          <w:color w:val="000000" w:themeColor="text1"/>
        </w:rPr>
        <w:t>H;  [2004] 2 All SA 609 (SCA)</w:t>
      </w:r>
    </w:p>
  </w:footnote>
  <w:footnote w:id="16">
    <w:p w14:paraId="69A7384A" w14:textId="77777777" w:rsidR="00C73DF0" w:rsidRPr="00C56391" w:rsidRDefault="00C73DF0" w:rsidP="006F73DE">
      <w:pPr>
        <w:pStyle w:val="FootnoteText"/>
        <w:jc w:val="both"/>
        <w:rPr>
          <w:color w:val="000000" w:themeColor="text1"/>
        </w:rPr>
      </w:pPr>
      <w:r w:rsidRPr="00C56391">
        <w:rPr>
          <w:rStyle w:val="FootnoteReference"/>
          <w:color w:val="000000" w:themeColor="text1"/>
        </w:rPr>
        <w:footnoteRef/>
      </w:r>
      <w:r w:rsidRPr="00C56391">
        <w:rPr>
          <w:color w:val="000000" w:themeColor="text1"/>
        </w:rPr>
        <w:t xml:space="preserve"> </w:t>
      </w:r>
      <w:r w:rsidRPr="00C56391">
        <w:rPr>
          <w:i/>
          <w:color w:val="000000" w:themeColor="text1"/>
        </w:rPr>
        <w:t>Titty’s Bar and Bottle Store (Pty) Ltd v ABC Garage (Pty) Ltd and Others</w:t>
      </w:r>
      <w:r w:rsidRPr="00C56391">
        <w:rPr>
          <w:color w:val="000000" w:themeColor="text1"/>
        </w:rPr>
        <w:t xml:space="preserve"> 1974 (4) SA 362 (T) at 368G</w:t>
      </w:r>
    </w:p>
  </w:footnote>
  <w:footnote w:id="17">
    <w:p w14:paraId="4F2764F8" w14:textId="77777777" w:rsidR="00C73DF0" w:rsidRPr="00C56391" w:rsidRDefault="00C73DF0" w:rsidP="006F73DE">
      <w:pPr>
        <w:pStyle w:val="FootnoteText"/>
        <w:jc w:val="both"/>
        <w:rPr>
          <w:color w:val="000000" w:themeColor="text1"/>
        </w:rPr>
      </w:pPr>
      <w:r w:rsidRPr="00C56391">
        <w:rPr>
          <w:rStyle w:val="FootnoteReference"/>
          <w:color w:val="000000" w:themeColor="text1"/>
        </w:rPr>
        <w:footnoteRef/>
      </w:r>
      <w:r w:rsidRPr="00C56391">
        <w:rPr>
          <w:color w:val="000000" w:themeColor="text1"/>
        </w:rPr>
        <w:t xml:space="preserve"> </w:t>
      </w:r>
      <w:r w:rsidRPr="00C56391">
        <w:rPr>
          <w:i/>
          <w:color w:val="000000" w:themeColor="text1"/>
        </w:rPr>
        <w:t xml:space="preserve">Premier Produce Co. v </w:t>
      </w:r>
      <w:r w:rsidRPr="00C56391">
        <w:rPr>
          <w:i/>
          <w:color w:val="000000" w:themeColor="text1"/>
        </w:rPr>
        <w:t>Mavros</w:t>
      </w:r>
      <w:r w:rsidRPr="00C56391">
        <w:rPr>
          <w:color w:val="000000" w:themeColor="text1"/>
        </w:rPr>
        <w:t xml:space="preserve"> 1931 WLD </w:t>
      </w:r>
      <w:r w:rsidRPr="00C56391">
        <w:rPr>
          <w:color w:val="000000" w:themeColor="text1"/>
        </w:rPr>
        <w:t xml:space="preserve">91;  </w:t>
      </w:r>
      <w:r w:rsidRPr="00C56391">
        <w:rPr>
          <w:i/>
          <w:color w:val="000000" w:themeColor="text1"/>
        </w:rPr>
        <w:t xml:space="preserve">Cash Wholesalers Limited v Cash Meat Wholesales </w:t>
      </w:r>
      <w:r w:rsidRPr="00C56391">
        <w:rPr>
          <w:color w:val="000000" w:themeColor="text1"/>
        </w:rPr>
        <w:t xml:space="preserve">1933 (1) PH A24;  and </w:t>
      </w:r>
      <w:r w:rsidRPr="00C56391">
        <w:rPr>
          <w:i/>
          <w:color w:val="000000" w:themeColor="text1"/>
        </w:rPr>
        <w:t>Rail Commuters Action Group and Others v Transnet Limited t/a Metro Rail and Others (No 1)</w:t>
      </w:r>
      <w:r w:rsidRPr="00C56391">
        <w:rPr>
          <w:color w:val="000000" w:themeColor="text1"/>
        </w:rPr>
        <w:t xml:space="preserve"> 2003 (5) SA 518 (C) at 546E-547E</w:t>
      </w:r>
    </w:p>
  </w:footnote>
  <w:footnote w:id="18">
    <w:p w14:paraId="35596220" w14:textId="77777777" w:rsidR="00C73DF0" w:rsidRPr="00C56391" w:rsidRDefault="00C73DF0" w:rsidP="006F73DE">
      <w:pPr>
        <w:pStyle w:val="FootnoteText"/>
        <w:jc w:val="both"/>
        <w:rPr>
          <w:color w:val="000000" w:themeColor="text1"/>
        </w:rPr>
      </w:pPr>
      <w:r w:rsidRPr="00C56391">
        <w:rPr>
          <w:rStyle w:val="FootnoteReference"/>
          <w:color w:val="000000" w:themeColor="text1"/>
        </w:rPr>
        <w:footnoteRef/>
      </w:r>
      <w:r w:rsidRPr="00C56391">
        <w:rPr>
          <w:color w:val="000000" w:themeColor="text1"/>
        </w:rPr>
        <w:t xml:space="preserve"> </w:t>
      </w:r>
      <w:r w:rsidRPr="00C56391">
        <w:rPr>
          <w:i/>
          <w:color w:val="000000" w:themeColor="text1"/>
        </w:rPr>
        <w:t xml:space="preserve">Cultura 2000 and Another </w:t>
      </w:r>
      <w:r w:rsidRPr="00C56391">
        <w:rPr>
          <w:i/>
          <w:color w:val="000000" w:themeColor="text1"/>
        </w:rPr>
        <w:t>v Government of the Republic of Namibia and Others</w:t>
      </w:r>
      <w:r w:rsidRPr="00C56391">
        <w:rPr>
          <w:color w:val="000000" w:themeColor="text1"/>
        </w:rPr>
        <w:t xml:space="preserve"> 1993 (2) SA 12 (Nm) at 27H</w:t>
      </w:r>
    </w:p>
  </w:footnote>
  <w:footnote w:id="19">
    <w:p w14:paraId="41162BE8" w14:textId="77777777" w:rsidR="00C73DF0" w:rsidRPr="007C4D21" w:rsidRDefault="00C73DF0" w:rsidP="00783306">
      <w:pPr>
        <w:pStyle w:val="FootnoteText"/>
        <w:jc w:val="both"/>
        <w:rPr>
          <w:color w:val="000000" w:themeColor="text1"/>
        </w:rPr>
      </w:pPr>
      <w:r w:rsidRPr="007C4D21">
        <w:rPr>
          <w:rStyle w:val="FootnoteReference"/>
          <w:color w:val="000000" w:themeColor="text1"/>
        </w:rPr>
        <w:footnoteRef/>
      </w:r>
      <w:r w:rsidRPr="007C4D21">
        <w:rPr>
          <w:color w:val="000000" w:themeColor="text1"/>
        </w:rPr>
        <w:t xml:space="preserve"> Promotion of Administration of Justice Act 3 of 2000</w:t>
      </w:r>
    </w:p>
  </w:footnote>
  <w:footnote w:id="20">
    <w:p w14:paraId="0A9F4BA9" w14:textId="77777777" w:rsidR="00C73DF0" w:rsidRPr="007C4D21" w:rsidRDefault="00C73DF0" w:rsidP="00783306">
      <w:pPr>
        <w:pStyle w:val="FootnoteText"/>
        <w:jc w:val="both"/>
        <w:rPr>
          <w:color w:val="000000" w:themeColor="text1"/>
        </w:rPr>
      </w:pPr>
      <w:r w:rsidRPr="007C4D21">
        <w:rPr>
          <w:rStyle w:val="FootnoteReference"/>
          <w:color w:val="000000" w:themeColor="text1"/>
        </w:rPr>
        <w:footnoteRef/>
      </w:r>
      <w:r w:rsidRPr="007C4D21">
        <w:rPr>
          <w:color w:val="000000" w:themeColor="text1"/>
        </w:rPr>
        <w:t xml:space="preserve"> </w:t>
      </w:r>
      <w:r w:rsidRPr="007C4D21">
        <w:rPr>
          <w:i/>
          <w:color w:val="000000" w:themeColor="text1"/>
        </w:rPr>
        <w:t>Minister of Home Affairs and Another v The Public Protector of the Republic of South Africa</w:t>
      </w:r>
      <w:r w:rsidRPr="007C4D21">
        <w:rPr>
          <w:color w:val="000000" w:themeColor="text1"/>
        </w:rPr>
        <w:t xml:space="preserve"> 2018 (3) SA 380 (SCA; [2018] 2 All SA 311 (SCA</w:t>
      </w:r>
      <w:r w:rsidRPr="007C4D21">
        <w:rPr>
          <w:color w:val="000000" w:themeColor="text1"/>
        </w:rPr>
        <w:t>);  [2018] ZASCA 15)</w:t>
      </w:r>
    </w:p>
  </w:footnote>
  <w:footnote w:id="21">
    <w:p w14:paraId="1C2646D9" w14:textId="77777777" w:rsidR="00C73DF0" w:rsidRPr="007C4D21" w:rsidRDefault="00C73DF0" w:rsidP="00783306">
      <w:pPr>
        <w:pStyle w:val="FootnoteText"/>
        <w:jc w:val="both"/>
        <w:rPr>
          <w:color w:val="000000" w:themeColor="text1"/>
        </w:rPr>
      </w:pPr>
      <w:r w:rsidRPr="007C4D21">
        <w:rPr>
          <w:rStyle w:val="FootnoteReference"/>
          <w:color w:val="000000" w:themeColor="text1"/>
        </w:rPr>
        <w:footnoteRef/>
      </w:r>
      <w:r w:rsidRPr="007C4D21">
        <w:rPr>
          <w:color w:val="000000" w:themeColor="text1"/>
        </w:rPr>
        <w:t xml:space="preserve"> </w:t>
      </w:r>
      <w:r w:rsidRPr="007C4D21">
        <w:rPr>
          <w:rFonts w:cs="Arial"/>
          <w:color w:val="000000" w:themeColor="text1"/>
        </w:rPr>
        <w:t>2021 (6) SA 37 (CC); [2021] ZACC 19</w:t>
      </w:r>
    </w:p>
  </w:footnote>
  <w:footnote w:id="22">
    <w:p w14:paraId="0378AC02" w14:textId="77777777" w:rsidR="00C73DF0" w:rsidRDefault="00C73DF0" w:rsidP="00783306">
      <w:pPr>
        <w:pStyle w:val="FootnoteText"/>
        <w:jc w:val="both"/>
      </w:pPr>
      <w:r>
        <w:rPr>
          <w:rStyle w:val="FootnoteReference"/>
        </w:rPr>
        <w:footnoteRef/>
      </w:r>
      <w:r>
        <w:t xml:space="preserve"> PAJA was promulgated to give effect to the right to fair administrative action enshrined in s 33 of the Constitution.</w:t>
      </w:r>
    </w:p>
  </w:footnote>
  <w:footnote w:id="23">
    <w:p w14:paraId="476B6C8B" w14:textId="77777777" w:rsidR="00C73DF0" w:rsidRDefault="00C73DF0" w:rsidP="00783306">
      <w:pPr>
        <w:pStyle w:val="FootnoteText"/>
        <w:jc w:val="both"/>
      </w:pPr>
      <w:r>
        <w:rPr>
          <w:rStyle w:val="FootnoteReference"/>
        </w:rPr>
        <w:footnoteRef/>
      </w:r>
      <w:r>
        <w:t xml:space="preserve"> Constitution s 172(1)(a)</w:t>
      </w:r>
    </w:p>
  </w:footnote>
  <w:footnote w:id="24">
    <w:p w14:paraId="7F2FE397" w14:textId="77777777" w:rsidR="00C73DF0" w:rsidRDefault="00C73DF0" w:rsidP="00783306">
      <w:pPr>
        <w:pStyle w:val="FootnoteText"/>
        <w:jc w:val="both"/>
      </w:pPr>
      <w:r>
        <w:rPr>
          <w:rStyle w:val="FootnoteReference"/>
        </w:rPr>
        <w:footnoteRef/>
      </w:r>
      <w:r>
        <w:t xml:space="preserve"> Section 182(1) of the Constitution</w:t>
      </w:r>
    </w:p>
  </w:footnote>
  <w:footnote w:id="25">
    <w:p w14:paraId="6B3B028D" w14:textId="77777777" w:rsidR="00C73DF0" w:rsidRDefault="00C73DF0" w:rsidP="006F73DE">
      <w:pPr>
        <w:pStyle w:val="FootnoteText"/>
        <w:jc w:val="both"/>
      </w:pPr>
      <w:r>
        <w:rPr>
          <w:rStyle w:val="FootnoteReference"/>
        </w:rPr>
        <w:footnoteRef/>
      </w:r>
      <w:r>
        <w:t xml:space="preserve"> Section 6(4)(a) provides:  </w:t>
      </w:r>
    </w:p>
    <w:p w14:paraId="51DDCE3D" w14:textId="77777777" w:rsidR="00C73DF0" w:rsidRPr="00CB11A7" w:rsidRDefault="00C73DF0" w:rsidP="006F73DE">
      <w:pPr>
        <w:pStyle w:val="FootnoteText"/>
        <w:jc w:val="both"/>
        <w:rPr>
          <w:color w:val="000000" w:themeColor="text1"/>
        </w:rPr>
      </w:pPr>
      <w:r w:rsidRPr="00CB11A7">
        <w:rPr>
          <w:color w:val="000000" w:themeColor="text1"/>
        </w:rPr>
        <w:t>“(4) The Public Protector shall, be competent-</w:t>
      </w:r>
    </w:p>
    <w:p w14:paraId="453DCD1B" w14:textId="76A957CE" w:rsidR="00C73DF0" w:rsidRPr="00CB11A7" w:rsidRDefault="00C47012" w:rsidP="00C47012">
      <w:pPr>
        <w:pStyle w:val="FootnoteText"/>
        <w:ind w:left="270" w:hanging="270"/>
        <w:jc w:val="both"/>
        <w:rPr>
          <w:color w:val="000000" w:themeColor="text1"/>
        </w:rPr>
      </w:pPr>
      <w:r w:rsidRPr="00CB11A7">
        <w:rPr>
          <w:color w:val="000000" w:themeColor="text1"/>
        </w:rPr>
        <w:t>(a)</w:t>
      </w:r>
      <w:r w:rsidRPr="00CB11A7">
        <w:rPr>
          <w:color w:val="000000" w:themeColor="text1"/>
        </w:rPr>
        <w:tab/>
      </w:r>
      <w:r w:rsidR="00C73DF0" w:rsidRPr="00CB11A7">
        <w:rPr>
          <w:color w:val="000000" w:themeColor="text1"/>
        </w:rPr>
        <w:t>to investigate, on his or her own initiative or on receipt of complaint, any alleged-</w:t>
      </w:r>
    </w:p>
    <w:p w14:paraId="6EF26191" w14:textId="4CCD2FA3" w:rsidR="00C73DF0" w:rsidRPr="00CB11A7" w:rsidRDefault="00C47012" w:rsidP="00C47012">
      <w:pPr>
        <w:pStyle w:val="FootnoteText"/>
        <w:ind w:left="360" w:hanging="86"/>
        <w:jc w:val="both"/>
        <w:rPr>
          <w:color w:val="000000" w:themeColor="text1"/>
        </w:rPr>
      </w:pPr>
      <w:r w:rsidRPr="00CB11A7">
        <w:rPr>
          <w:color w:val="000000" w:themeColor="text1"/>
        </w:rPr>
        <w:t>(i)</w:t>
      </w:r>
      <w:r w:rsidRPr="00CB11A7">
        <w:rPr>
          <w:color w:val="000000" w:themeColor="text1"/>
        </w:rPr>
        <w:tab/>
      </w:r>
      <w:r w:rsidR="00C73DF0" w:rsidRPr="00CB11A7">
        <w:rPr>
          <w:color w:val="000000" w:themeColor="text1"/>
        </w:rPr>
        <w:t>maladministration in connection with the affairs of government at any level;</w:t>
      </w:r>
    </w:p>
    <w:p w14:paraId="6395F2EE" w14:textId="7BCB9983" w:rsidR="00C73DF0" w:rsidRPr="00CB11A7" w:rsidRDefault="00C47012" w:rsidP="00C47012">
      <w:pPr>
        <w:pStyle w:val="FootnoteText"/>
        <w:ind w:left="720" w:hanging="446"/>
        <w:jc w:val="both"/>
        <w:rPr>
          <w:color w:val="000000" w:themeColor="text1"/>
        </w:rPr>
      </w:pPr>
      <w:r w:rsidRPr="00CB11A7">
        <w:rPr>
          <w:color w:val="000000" w:themeColor="text1"/>
        </w:rPr>
        <w:t>(ii)</w:t>
      </w:r>
      <w:r w:rsidRPr="00CB11A7">
        <w:rPr>
          <w:color w:val="000000" w:themeColor="text1"/>
        </w:rPr>
        <w:tab/>
      </w:r>
      <w:r w:rsidR="00C73DF0" w:rsidRPr="00CB11A7">
        <w:rPr>
          <w:color w:val="000000" w:themeColor="text1"/>
        </w:rPr>
        <w:t>abuse or unjustifiable exercise of power or unfair, capricious, discourteous or any other improper conduct or undue delay by a person performing a public function;</w:t>
      </w:r>
    </w:p>
    <w:p w14:paraId="0A958D06" w14:textId="152306E1" w:rsidR="00C73DF0" w:rsidRPr="00CB11A7" w:rsidRDefault="00C47012" w:rsidP="00C47012">
      <w:pPr>
        <w:pStyle w:val="FootnoteText"/>
        <w:ind w:left="720" w:hanging="446"/>
        <w:jc w:val="both"/>
        <w:rPr>
          <w:color w:val="000000" w:themeColor="text1"/>
        </w:rPr>
      </w:pPr>
      <w:r w:rsidRPr="00CB11A7">
        <w:rPr>
          <w:color w:val="000000" w:themeColor="text1"/>
        </w:rPr>
        <w:t>(iii)</w:t>
      </w:r>
      <w:r w:rsidRPr="00CB11A7">
        <w:rPr>
          <w:color w:val="000000" w:themeColor="text1"/>
        </w:rPr>
        <w:tab/>
      </w:r>
      <w:r w:rsidR="00C73DF0" w:rsidRPr="00CB11A7">
        <w:rPr>
          <w:color w:val="000000" w:themeColor="text1"/>
        </w:rPr>
        <w:t>improper or dishonest act, or omission or offences referred to in Part 1 to 4, or section 17, 20 or 21 (in so far as it relates to the aforementioned offences) of Chapter 2 of the Prevention and Combatting of Corrupt Activities Act, 2004 with respect to public money;</w:t>
      </w:r>
    </w:p>
    <w:p w14:paraId="264FDC9F" w14:textId="0186381B" w:rsidR="00C73DF0" w:rsidRPr="00CB11A7" w:rsidRDefault="00C47012" w:rsidP="00C47012">
      <w:pPr>
        <w:pStyle w:val="FootnoteText"/>
        <w:ind w:left="720" w:hanging="446"/>
        <w:jc w:val="both"/>
        <w:rPr>
          <w:color w:val="000000" w:themeColor="text1"/>
        </w:rPr>
      </w:pPr>
      <w:r w:rsidRPr="00CB11A7">
        <w:rPr>
          <w:color w:val="000000" w:themeColor="text1"/>
        </w:rPr>
        <w:t>(iv)</w:t>
      </w:r>
      <w:r w:rsidRPr="00CB11A7">
        <w:rPr>
          <w:color w:val="000000" w:themeColor="text1"/>
        </w:rPr>
        <w:tab/>
      </w:r>
      <w:r w:rsidR="00C73DF0" w:rsidRPr="00CB11A7">
        <w:rPr>
          <w:color w:val="000000" w:themeColor="text1"/>
        </w:rPr>
        <w:t>improper or unlawful enrichment, or receipt of any improper advantage, or promise of such enrichment or advantage, by a person as a result of an act or omission in the public administration or in connection with the affairs of government at any level or of a person performing a public function; or</w:t>
      </w:r>
    </w:p>
    <w:p w14:paraId="60CF9780" w14:textId="4E64866F" w:rsidR="00C73DF0" w:rsidRPr="00A50300" w:rsidRDefault="00C47012" w:rsidP="00C47012">
      <w:pPr>
        <w:pStyle w:val="FootnoteText"/>
        <w:ind w:left="720" w:hanging="446"/>
        <w:jc w:val="both"/>
        <w:rPr>
          <w:color w:val="0070C0"/>
        </w:rPr>
      </w:pPr>
      <w:r w:rsidRPr="00A50300">
        <w:rPr>
          <w:color w:val="000000" w:themeColor="text1"/>
        </w:rPr>
        <w:t>(v)</w:t>
      </w:r>
      <w:r w:rsidRPr="00A50300">
        <w:rPr>
          <w:color w:val="000000" w:themeColor="text1"/>
        </w:rPr>
        <w:tab/>
      </w:r>
      <w:r w:rsidR="00C73DF0" w:rsidRPr="00CB11A7">
        <w:rPr>
          <w:color w:val="000000" w:themeColor="text1"/>
        </w:rPr>
        <w:t>act or omission by a person in the employ of government at any level, or a person performing a public function, which results in unlawful or improper prejudice to any person.”</w:t>
      </w:r>
    </w:p>
  </w:footnote>
  <w:footnote w:id="26">
    <w:p w14:paraId="16F3FE3E" w14:textId="77777777" w:rsidR="00C73DF0" w:rsidRPr="00CB11A7" w:rsidRDefault="00C73DF0" w:rsidP="00B10FFD">
      <w:pPr>
        <w:pStyle w:val="FootnoteText"/>
        <w:rPr>
          <w:color w:val="000000" w:themeColor="text1"/>
        </w:rPr>
      </w:pPr>
      <w:r w:rsidRPr="00CB11A7">
        <w:rPr>
          <w:rStyle w:val="FootnoteReference"/>
          <w:color w:val="000000" w:themeColor="text1"/>
        </w:rPr>
        <w:footnoteRef/>
      </w:r>
      <w:r w:rsidRPr="00CB11A7">
        <w:rPr>
          <w:color w:val="000000" w:themeColor="text1"/>
        </w:rPr>
        <w:t>Section 6(4)(c)(</w:t>
      </w:r>
      <w:r w:rsidRPr="00CB11A7">
        <w:rPr>
          <w:color w:val="000000" w:themeColor="text1"/>
        </w:rPr>
        <w:t xml:space="preserve">i) and </w:t>
      </w:r>
      <w:r w:rsidRPr="00CB11A7">
        <w:rPr>
          <w:i/>
          <w:color w:val="000000" w:themeColor="text1"/>
        </w:rPr>
        <w:t xml:space="preserve">The President (CC) </w:t>
      </w:r>
      <w:r w:rsidRPr="00CB11A7">
        <w:rPr>
          <w:color w:val="000000" w:themeColor="text1"/>
        </w:rPr>
        <w:t>para [115]</w:t>
      </w:r>
    </w:p>
  </w:footnote>
  <w:footnote w:id="27">
    <w:p w14:paraId="296D43DA" w14:textId="77777777" w:rsidR="00C73DF0" w:rsidRPr="00CB11A7" w:rsidRDefault="00C73DF0">
      <w:pPr>
        <w:pStyle w:val="FootnoteText"/>
        <w:rPr>
          <w:color w:val="000000" w:themeColor="text1"/>
        </w:rPr>
      </w:pPr>
      <w:r w:rsidRPr="00CB11A7">
        <w:rPr>
          <w:rStyle w:val="FootnoteReference"/>
          <w:color w:val="000000" w:themeColor="text1"/>
        </w:rPr>
        <w:footnoteRef/>
      </w:r>
      <w:r w:rsidRPr="00CB11A7">
        <w:rPr>
          <w:color w:val="000000" w:themeColor="text1"/>
        </w:rPr>
        <w:t xml:space="preserve"> </w:t>
      </w:r>
      <w:r w:rsidRPr="00CB11A7">
        <w:rPr>
          <w:i/>
          <w:color w:val="000000" w:themeColor="text1"/>
        </w:rPr>
        <w:t xml:space="preserve">The President (CC) </w:t>
      </w:r>
      <w:r w:rsidRPr="00CB11A7">
        <w:rPr>
          <w:color w:val="000000" w:themeColor="text1"/>
        </w:rPr>
        <w:t>para [100]</w:t>
      </w:r>
    </w:p>
  </w:footnote>
  <w:footnote w:id="28">
    <w:p w14:paraId="5FD0C5EE" w14:textId="77777777" w:rsidR="00C73DF0" w:rsidRPr="00CB11A7" w:rsidRDefault="00C73DF0">
      <w:pPr>
        <w:pStyle w:val="FootnoteText"/>
        <w:rPr>
          <w:color w:val="000000" w:themeColor="text1"/>
        </w:rPr>
      </w:pPr>
      <w:r w:rsidRPr="00CB11A7">
        <w:rPr>
          <w:rStyle w:val="FootnoteReference"/>
          <w:color w:val="000000" w:themeColor="text1"/>
        </w:rPr>
        <w:footnoteRef/>
      </w:r>
      <w:r w:rsidRPr="00CB11A7">
        <w:rPr>
          <w:color w:val="000000" w:themeColor="text1"/>
        </w:rPr>
        <w:t xml:space="preserve"> Section 17B(b)(ii) and 17</w:t>
      </w:r>
      <w:r w:rsidRPr="00CB11A7">
        <w:rPr>
          <w:color w:val="000000" w:themeColor="text1"/>
        </w:rPr>
        <w:t>D(1) of the South African Police Service Act 68 of 1995</w:t>
      </w:r>
    </w:p>
  </w:footnote>
  <w:footnote w:id="29">
    <w:p w14:paraId="67461D17" w14:textId="77777777" w:rsidR="00C73DF0" w:rsidRPr="00CB11A7" w:rsidRDefault="00C73DF0">
      <w:pPr>
        <w:pStyle w:val="FootnoteText"/>
        <w:rPr>
          <w:color w:val="000000" w:themeColor="text1"/>
        </w:rPr>
      </w:pPr>
      <w:r w:rsidRPr="00CB11A7">
        <w:rPr>
          <w:rStyle w:val="FootnoteReference"/>
          <w:color w:val="000000" w:themeColor="text1"/>
        </w:rPr>
        <w:footnoteRef/>
      </w:r>
      <w:r w:rsidRPr="00CB11A7">
        <w:rPr>
          <w:color w:val="000000" w:themeColor="text1"/>
        </w:rPr>
        <w:t xml:space="preserve"> </w:t>
      </w:r>
      <w:r w:rsidRPr="00CB11A7">
        <w:rPr>
          <w:i/>
          <w:color w:val="000000" w:themeColor="text1"/>
        </w:rPr>
        <w:t>AfriForum NPC v Minister of Tourism and Others</w:t>
      </w:r>
      <w:r w:rsidRPr="00CB11A7">
        <w:rPr>
          <w:color w:val="000000" w:themeColor="text1"/>
        </w:rPr>
        <w:t xml:space="preserve"> and a similar matter 2022(1) SA 359 (SCA) at [49]; and </w:t>
      </w:r>
      <w:r w:rsidRPr="00CB11A7">
        <w:rPr>
          <w:i/>
          <w:color w:val="000000" w:themeColor="text1"/>
        </w:rPr>
        <w:t>Minister of Education v Harris</w:t>
      </w:r>
      <w:r w:rsidRPr="00CB11A7">
        <w:rPr>
          <w:color w:val="000000" w:themeColor="text1"/>
        </w:rPr>
        <w:t xml:space="preserve"> 2001 (4) SA 1297 (CC) para [17] - [19]</w:t>
      </w:r>
    </w:p>
  </w:footnote>
  <w:footnote w:id="30">
    <w:p w14:paraId="07D6EF33" w14:textId="77777777" w:rsidR="00C73DF0" w:rsidRPr="00CB11A7" w:rsidRDefault="00C73DF0">
      <w:pPr>
        <w:pStyle w:val="FootnoteText"/>
        <w:rPr>
          <w:color w:val="000000" w:themeColor="text1"/>
        </w:rPr>
      </w:pPr>
      <w:r w:rsidRPr="00CB11A7">
        <w:rPr>
          <w:rStyle w:val="FootnoteReference"/>
          <w:color w:val="000000" w:themeColor="text1"/>
        </w:rPr>
        <w:footnoteRef/>
      </w:r>
      <w:r w:rsidRPr="00CB11A7">
        <w:rPr>
          <w:color w:val="000000" w:themeColor="text1"/>
        </w:rPr>
        <w:t xml:space="preserve"> </w:t>
      </w:r>
      <w:r w:rsidRPr="00CB11A7">
        <w:rPr>
          <w:i/>
          <w:color w:val="000000" w:themeColor="text1"/>
        </w:rPr>
        <w:t>Tulip Diamonds FZE v Minister for Justice and Constitutional Development</w:t>
      </w:r>
      <w:r w:rsidRPr="00CB11A7">
        <w:rPr>
          <w:color w:val="000000" w:themeColor="text1"/>
        </w:rPr>
        <w:t xml:space="preserve"> 2013 (2) SACR 443 (CC) at [122]</w:t>
      </w:r>
    </w:p>
  </w:footnote>
  <w:footnote w:id="31">
    <w:p w14:paraId="5BA323F5" w14:textId="77777777" w:rsidR="00C73DF0" w:rsidRPr="00CB11A7" w:rsidRDefault="00C73DF0" w:rsidP="000006A6">
      <w:pPr>
        <w:spacing w:after="0" w:line="240" w:lineRule="auto"/>
        <w:rPr>
          <w:color w:val="000000" w:themeColor="text1"/>
          <w:sz w:val="20"/>
          <w:szCs w:val="20"/>
        </w:rPr>
      </w:pPr>
      <w:r w:rsidRPr="00CB11A7">
        <w:rPr>
          <w:rStyle w:val="FootnoteReference"/>
          <w:color w:val="000000" w:themeColor="text1"/>
        </w:rPr>
        <w:footnoteRef/>
      </w:r>
      <w:r w:rsidRPr="00CB11A7">
        <w:rPr>
          <w:color w:val="000000" w:themeColor="text1"/>
        </w:rPr>
        <w:t xml:space="preserve"> </w:t>
      </w:r>
      <w:r w:rsidRPr="00CB11A7">
        <w:rPr>
          <w:color w:val="000000" w:themeColor="text1"/>
          <w:sz w:val="20"/>
          <w:szCs w:val="20"/>
        </w:rPr>
        <w:t xml:space="preserve">Section 6(4)(c) provides: </w:t>
      </w:r>
    </w:p>
    <w:p w14:paraId="1CA76332" w14:textId="77777777" w:rsidR="00C73DF0" w:rsidRPr="00CB11A7" w:rsidRDefault="00C73DF0" w:rsidP="000006A6">
      <w:pPr>
        <w:spacing w:after="0" w:line="240" w:lineRule="auto"/>
        <w:rPr>
          <w:color w:val="000000" w:themeColor="text1"/>
          <w:sz w:val="20"/>
          <w:szCs w:val="20"/>
        </w:rPr>
      </w:pPr>
      <w:r w:rsidRPr="00CB11A7">
        <w:rPr>
          <w:color w:val="000000" w:themeColor="text1"/>
          <w:sz w:val="20"/>
          <w:szCs w:val="20"/>
        </w:rPr>
        <w:t>“The Public Protector shall, be competent-</w:t>
      </w:r>
    </w:p>
    <w:p w14:paraId="5C952BEF" w14:textId="77777777" w:rsidR="00C73DF0" w:rsidRPr="00CB11A7" w:rsidRDefault="00C73DF0" w:rsidP="000006A6">
      <w:pPr>
        <w:spacing w:after="0" w:line="240" w:lineRule="auto"/>
        <w:rPr>
          <w:color w:val="000000" w:themeColor="text1"/>
          <w:sz w:val="20"/>
          <w:szCs w:val="20"/>
        </w:rPr>
      </w:pPr>
      <w:r w:rsidRPr="00CB11A7">
        <w:rPr>
          <w:rFonts w:eastAsia="Times New Roman" w:cstheme="minorHAnsi"/>
          <w:i/>
          <w:iCs/>
          <w:color w:val="000000" w:themeColor="text1"/>
          <w:sz w:val="20"/>
          <w:szCs w:val="20"/>
        </w:rPr>
        <w:t>(c)</w:t>
      </w:r>
      <w:r w:rsidRPr="00CB11A7">
        <w:rPr>
          <w:rFonts w:eastAsia="Times New Roman" w:cstheme="minorHAnsi"/>
          <w:color w:val="000000" w:themeColor="text1"/>
          <w:sz w:val="20"/>
          <w:szCs w:val="20"/>
        </w:rPr>
        <w:t>   at a time prior to, during or after an investigation-</w:t>
      </w:r>
    </w:p>
    <w:p w14:paraId="61C3678F" w14:textId="77777777" w:rsidR="00C73DF0" w:rsidRPr="00CB11A7" w:rsidRDefault="00C73DF0" w:rsidP="000006A6">
      <w:pPr>
        <w:spacing w:after="0" w:line="240" w:lineRule="auto"/>
        <w:ind w:left="630" w:hanging="630"/>
        <w:jc w:val="both"/>
        <w:rPr>
          <w:rFonts w:eastAsia="Times New Roman" w:cstheme="minorHAnsi"/>
          <w:color w:val="000000" w:themeColor="text1"/>
          <w:sz w:val="20"/>
          <w:szCs w:val="20"/>
        </w:rPr>
      </w:pPr>
      <w:r w:rsidRPr="00CB11A7">
        <w:rPr>
          <w:rFonts w:eastAsia="Times New Roman" w:cstheme="minorHAnsi"/>
          <w:color w:val="000000" w:themeColor="text1"/>
          <w:sz w:val="20"/>
          <w:szCs w:val="20"/>
        </w:rPr>
        <w:t>     </w:t>
      </w:r>
      <w:bookmarkStart w:id="1" w:name="0-0-0-127289"/>
      <w:bookmarkEnd w:id="1"/>
      <w:r w:rsidRPr="00CB11A7">
        <w:rPr>
          <w:rFonts w:eastAsia="Times New Roman" w:cstheme="minorHAnsi"/>
          <w:color w:val="000000" w:themeColor="text1"/>
          <w:sz w:val="20"/>
          <w:szCs w:val="20"/>
        </w:rPr>
        <w:t xml:space="preserve">  (</w:t>
      </w:r>
      <w:r w:rsidRPr="00CB11A7">
        <w:rPr>
          <w:rFonts w:eastAsia="Times New Roman" w:cstheme="minorHAnsi"/>
          <w:color w:val="000000" w:themeColor="text1"/>
          <w:sz w:val="20"/>
          <w:szCs w:val="20"/>
        </w:rPr>
        <w:t>i)   if he or she is of the opinion that the facts disclose the commission of an offence by any person, to bring the matter to the notice of the relevant authority charged with prosecutions; or</w:t>
      </w:r>
    </w:p>
    <w:p w14:paraId="2068BCD5" w14:textId="77777777" w:rsidR="00C73DF0" w:rsidRPr="00CB11A7" w:rsidRDefault="00C73DF0" w:rsidP="000006A6">
      <w:pPr>
        <w:spacing w:after="0" w:line="240" w:lineRule="auto"/>
        <w:ind w:left="630" w:hanging="630"/>
        <w:jc w:val="both"/>
        <w:rPr>
          <w:color w:val="000000" w:themeColor="text1"/>
        </w:rPr>
      </w:pPr>
      <w:r w:rsidRPr="00CB11A7">
        <w:rPr>
          <w:rFonts w:eastAsia="Times New Roman" w:cstheme="minorHAnsi"/>
          <w:color w:val="000000" w:themeColor="text1"/>
          <w:sz w:val="20"/>
          <w:szCs w:val="20"/>
        </w:rPr>
        <w:t>    </w:t>
      </w:r>
      <w:bookmarkStart w:id="2" w:name="0-0-0-127291"/>
      <w:bookmarkEnd w:id="2"/>
      <w:r w:rsidRPr="00CB11A7">
        <w:rPr>
          <w:rFonts w:eastAsia="Times New Roman" w:cstheme="minorHAnsi"/>
          <w:color w:val="000000" w:themeColor="text1"/>
          <w:sz w:val="20"/>
          <w:szCs w:val="20"/>
        </w:rPr>
        <w:t xml:space="preserve">   (ii)   if he or she deems it advisable, to refer any matter which has a bearing on an investigation, to the appropriate public body or authority affected by it or to make an appropriate recommendation regarding the redress of the prejudice resulting therefrom or make any other appropriate recommendation he or she deems expedient to the affected public body or authority; “</w:t>
      </w:r>
    </w:p>
  </w:footnote>
  <w:footnote w:id="32">
    <w:p w14:paraId="6D20EFB9" w14:textId="77777777" w:rsidR="00C73DF0" w:rsidRPr="00CB11A7" w:rsidRDefault="00C73DF0">
      <w:pPr>
        <w:pStyle w:val="FootnoteText"/>
        <w:rPr>
          <w:color w:val="000000" w:themeColor="text1"/>
        </w:rPr>
      </w:pPr>
      <w:r w:rsidRPr="00CB11A7">
        <w:rPr>
          <w:rStyle w:val="FootnoteReference"/>
          <w:color w:val="000000" w:themeColor="text1"/>
        </w:rPr>
        <w:footnoteRef/>
      </w:r>
      <w:r w:rsidRPr="00CB11A7">
        <w:rPr>
          <w:color w:val="000000" w:themeColor="text1"/>
        </w:rPr>
        <w:t xml:space="preserve"> </w:t>
      </w:r>
      <w:r w:rsidRPr="00CB11A7">
        <w:rPr>
          <w:i/>
          <w:color w:val="000000" w:themeColor="text1"/>
        </w:rPr>
        <w:t xml:space="preserve">Natal Joint Municipal Pension Fund v </w:t>
      </w:r>
      <w:r w:rsidRPr="00CB11A7">
        <w:rPr>
          <w:i/>
          <w:color w:val="000000" w:themeColor="text1"/>
        </w:rPr>
        <w:t>Endumeni Municipality</w:t>
      </w:r>
      <w:r w:rsidRPr="00CB11A7">
        <w:rPr>
          <w:color w:val="000000" w:themeColor="text1"/>
        </w:rPr>
        <w:t xml:space="preserve"> 2012 (4) SA 593 (SCA) para [18]</w:t>
      </w:r>
    </w:p>
  </w:footnote>
  <w:footnote w:id="33">
    <w:p w14:paraId="23997CD4" w14:textId="77777777" w:rsidR="00C73DF0" w:rsidRPr="007A4121" w:rsidRDefault="00C73DF0">
      <w:pPr>
        <w:pStyle w:val="FootnoteText"/>
        <w:rPr>
          <w:color w:val="000000" w:themeColor="text1"/>
        </w:rPr>
      </w:pPr>
      <w:r w:rsidRPr="007A4121">
        <w:rPr>
          <w:rStyle w:val="FootnoteReference"/>
          <w:color w:val="000000" w:themeColor="text1"/>
        </w:rPr>
        <w:footnoteRef/>
      </w:r>
      <w:r w:rsidRPr="007A4121">
        <w:rPr>
          <w:color w:val="000000" w:themeColor="text1"/>
        </w:rPr>
        <w:t xml:space="preserve"> </w:t>
      </w:r>
      <w:r w:rsidRPr="007A4121">
        <w:rPr>
          <w:color w:val="000000" w:themeColor="text1"/>
        </w:rPr>
        <w:t>fn 31</w:t>
      </w:r>
    </w:p>
  </w:footnote>
  <w:footnote w:id="34">
    <w:p w14:paraId="525684CA" w14:textId="77777777" w:rsidR="00C73DF0" w:rsidRPr="00CB11A7" w:rsidRDefault="00C73DF0">
      <w:pPr>
        <w:pStyle w:val="FootnoteText"/>
        <w:rPr>
          <w:color w:val="000000" w:themeColor="text1"/>
        </w:rPr>
      </w:pPr>
      <w:r w:rsidRPr="00CB11A7">
        <w:rPr>
          <w:rStyle w:val="FootnoteReference"/>
          <w:color w:val="000000" w:themeColor="text1"/>
        </w:rPr>
        <w:footnoteRef/>
      </w:r>
      <w:r w:rsidRPr="00CB11A7">
        <w:rPr>
          <w:color w:val="000000" w:themeColor="text1"/>
        </w:rPr>
        <w:t xml:space="preserve"> </w:t>
      </w:r>
      <w:r w:rsidRPr="00CB11A7">
        <w:rPr>
          <w:i/>
          <w:color w:val="000000" w:themeColor="text1"/>
        </w:rPr>
        <w:t xml:space="preserve">Municipality of </w:t>
      </w:r>
      <w:r w:rsidRPr="00CB11A7">
        <w:rPr>
          <w:i/>
          <w:color w:val="000000" w:themeColor="text1"/>
        </w:rPr>
        <w:t xml:space="preserve">Mossel Bay </w:t>
      </w:r>
      <w:r w:rsidRPr="00CB11A7">
        <w:rPr>
          <w:i/>
          <w:color w:val="000000" w:themeColor="text1"/>
        </w:rPr>
        <w:t>v The Evangelical Lutheran Church</w:t>
      </w:r>
      <w:r w:rsidRPr="00CB11A7">
        <w:rPr>
          <w:color w:val="000000" w:themeColor="text1"/>
        </w:rPr>
        <w:t xml:space="preserve"> </w:t>
      </w:r>
      <w:r w:rsidRPr="00CB11A7">
        <w:rPr>
          <w:i/>
          <w:color w:val="000000" w:themeColor="text1"/>
        </w:rPr>
        <w:t xml:space="preserve">and Another </w:t>
      </w:r>
      <w:r w:rsidRPr="000979E3">
        <w:rPr>
          <w:color w:val="000000" w:themeColor="text1"/>
        </w:rPr>
        <w:t>[2013]</w:t>
      </w:r>
      <w:r w:rsidRPr="00CB11A7">
        <w:rPr>
          <w:i/>
          <w:color w:val="000000" w:themeColor="text1"/>
        </w:rPr>
        <w:t xml:space="preserve"> ZASCA</w:t>
      </w:r>
      <w:r w:rsidRPr="00CB11A7">
        <w:rPr>
          <w:color w:val="000000" w:themeColor="text1"/>
        </w:rPr>
        <w:t xml:space="preserve"> 64 (24 May 2013) para [12] </w:t>
      </w:r>
    </w:p>
  </w:footnote>
  <w:footnote w:id="35">
    <w:p w14:paraId="5C3126ED" w14:textId="77777777" w:rsidR="00C73DF0" w:rsidRPr="0006385F" w:rsidRDefault="00C73DF0">
      <w:pPr>
        <w:pStyle w:val="FootnoteText"/>
      </w:pPr>
      <w:r>
        <w:rPr>
          <w:rStyle w:val="FootnoteReference"/>
        </w:rPr>
        <w:footnoteRef/>
      </w:r>
      <w:r>
        <w:t xml:space="preserve"> </w:t>
      </w:r>
      <w:r>
        <w:rPr>
          <w:i/>
        </w:rPr>
        <w:t xml:space="preserve">The President (CC) </w:t>
      </w:r>
      <w:r>
        <w:t>para [115]</w:t>
      </w:r>
    </w:p>
  </w:footnote>
  <w:footnote w:id="36">
    <w:p w14:paraId="64AF415D" w14:textId="77777777" w:rsidR="00C73DF0" w:rsidRPr="00CB11A7" w:rsidRDefault="00C73DF0" w:rsidP="00A602D6">
      <w:pPr>
        <w:pStyle w:val="FootnoteText"/>
        <w:jc w:val="both"/>
        <w:rPr>
          <w:color w:val="000000" w:themeColor="text1"/>
        </w:rPr>
      </w:pPr>
      <w:r w:rsidRPr="00CB11A7">
        <w:rPr>
          <w:rStyle w:val="FootnoteReference"/>
          <w:color w:val="000000" w:themeColor="text1"/>
        </w:rPr>
        <w:footnoteRef/>
      </w:r>
      <w:r w:rsidRPr="00CB11A7">
        <w:rPr>
          <w:color w:val="000000" w:themeColor="text1"/>
        </w:rPr>
        <w:t xml:space="preserve"> </w:t>
      </w:r>
      <w:r w:rsidRPr="00CB11A7">
        <w:rPr>
          <w:i/>
          <w:color w:val="000000" w:themeColor="text1"/>
        </w:rPr>
        <w:t>Democratic Alliance v Public Protector; Council for the Advancement of South African Constitution</w:t>
      </w:r>
      <w:r w:rsidRPr="00CB11A7">
        <w:rPr>
          <w:color w:val="000000" w:themeColor="text1"/>
        </w:rPr>
        <w:t xml:space="preserve"> [2019] 3 All SA 127 (GP) para [36]</w:t>
      </w:r>
    </w:p>
  </w:footnote>
  <w:footnote w:id="37">
    <w:p w14:paraId="326B82E0" w14:textId="77777777" w:rsidR="00C73DF0" w:rsidRDefault="00C73DF0">
      <w:pPr>
        <w:pStyle w:val="FootnoteText"/>
      </w:pPr>
      <w:r>
        <w:rPr>
          <w:rStyle w:val="FootnoteReference"/>
        </w:rPr>
        <w:footnoteRef/>
      </w:r>
      <w:r>
        <w:t xml:space="preserve"> Section 17D(1)(a) of the South African Police Act</w:t>
      </w:r>
    </w:p>
  </w:footnote>
  <w:footnote w:id="38">
    <w:p w14:paraId="6188890A" w14:textId="77777777" w:rsidR="00C73DF0" w:rsidRPr="006567DC" w:rsidRDefault="00C73DF0">
      <w:pPr>
        <w:pStyle w:val="FootnoteText"/>
        <w:rPr>
          <w:color w:val="000000" w:themeColor="text1"/>
        </w:rPr>
      </w:pPr>
      <w:r w:rsidRPr="006567DC">
        <w:rPr>
          <w:rStyle w:val="FootnoteReference"/>
          <w:color w:val="000000" w:themeColor="text1"/>
        </w:rPr>
        <w:footnoteRef/>
      </w:r>
      <w:r w:rsidRPr="006567DC">
        <w:rPr>
          <w:color w:val="000000" w:themeColor="text1"/>
        </w:rPr>
        <w:t xml:space="preserve"> </w:t>
      </w:r>
      <w:r w:rsidRPr="006567DC">
        <w:rPr>
          <w:i/>
          <w:color w:val="000000" w:themeColor="text1"/>
        </w:rPr>
        <w:t xml:space="preserve">South African Broadcasting Corporation SOC Ltd and Others </w:t>
      </w:r>
      <w:r w:rsidRPr="006567DC">
        <w:rPr>
          <w:i/>
          <w:color w:val="000000" w:themeColor="text1"/>
        </w:rPr>
        <w:t>v Democratic Alliance and Others</w:t>
      </w:r>
      <w:r w:rsidRPr="006567DC">
        <w:rPr>
          <w:color w:val="000000" w:themeColor="text1"/>
        </w:rPr>
        <w:t xml:space="preserve"> 2016 (2) SA 522 (SCA)</w:t>
      </w:r>
    </w:p>
  </w:footnote>
  <w:footnote w:id="39">
    <w:p w14:paraId="4DFE3147" w14:textId="77777777" w:rsidR="00C73DF0" w:rsidRPr="006567DC" w:rsidRDefault="00C73DF0">
      <w:pPr>
        <w:pStyle w:val="FootnoteText"/>
        <w:rPr>
          <w:color w:val="000000" w:themeColor="text1"/>
        </w:rPr>
      </w:pPr>
      <w:r w:rsidRPr="006567DC">
        <w:rPr>
          <w:rStyle w:val="FootnoteReference"/>
          <w:color w:val="000000" w:themeColor="text1"/>
        </w:rPr>
        <w:footnoteRef/>
      </w:r>
      <w:r w:rsidRPr="006567DC">
        <w:rPr>
          <w:color w:val="000000" w:themeColor="text1"/>
        </w:rPr>
        <w:t xml:space="preserve"> </w:t>
      </w:r>
      <w:r w:rsidRPr="006567DC">
        <w:rPr>
          <w:i/>
          <w:color w:val="000000" w:themeColor="text1"/>
        </w:rPr>
        <w:t xml:space="preserve">Economic Freedom Fighters </w:t>
      </w:r>
      <w:r w:rsidRPr="006567DC">
        <w:rPr>
          <w:i/>
          <w:color w:val="000000" w:themeColor="text1"/>
        </w:rPr>
        <w:t>v The Speaker, National Assembly and Others</w:t>
      </w:r>
      <w:r w:rsidRPr="006567DC">
        <w:rPr>
          <w:color w:val="000000" w:themeColor="text1"/>
        </w:rPr>
        <w:t xml:space="preserve"> 2016 (3) SA 580 (CC) </w:t>
      </w:r>
    </w:p>
  </w:footnote>
  <w:footnote w:id="40">
    <w:p w14:paraId="2BB5592B" w14:textId="77777777" w:rsidR="00C73DF0" w:rsidRPr="006567DC" w:rsidRDefault="00C73DF0">
      <w:pPr>
        <w:pStyle w:val="FootnoteText"/>
        <w:rPr>
          <w:color w:val="000000" w:themeColor="text1"/>
        </w:rPr>
      </w:pPr>
      <w:r w:rsidRPr="006567DC">
        <w:rPr>
          <w:rStyle w:val="FootnoteReference"/>
          <w:color w:val="000000" w:themeColor="text1"/>
        </w:rPr>
        <w:footnoteRef/>
      </w:r>
      <w:r w:rsidRPr="006567DC">
        <w:rPr>
          <w:color w:val="000000" w:themeColor="text1"/>
        </w:rPr>
        <w:t xml:space="preserve"> </w:t>
      </w:r>
      <w:r w:rsidRPr="006567DC">
        <w:rPr>
          <w:i/>
          <w:color w:val="000000" w:themeColor="text1"/>
        </w:rPr>
        <w:t>Oudekraal Estates (Pty) Ltd v City of Cape Town and Others</w:t>
      </w:r>
      <w:r w:rsidRPr="006567DC">
        <w:rPr>
          <w:color w:val="000000" w:themeColor="text1"/>
        </w:rPr>
        <w:t xml:space="preserve"> 2004 (6) SA 222 (SCA)</w:t>
      </w:r>
    </w:p>
  </w:footnote>
  <w:footnote w:id="41">
    <w:p w14:paraId="672AA16F" w14:textId="77777777" w:rsidR="00C73DF0" w:rsidRDefault="00C73DF0">
      <w:pPr>
        <w:pStyle w:val="FootnoteText"/>
      </w:pPr>
      <w:r>
        <w:rPr>
          <w:rStyle w:val="FootnoteReference"/>
        </w:rPr>
        <w:footnoteRef/>
      </w:r>
      <w:r>
        <w:t xml:space="preserve"> </w:t>
      </w:r>
      <w:r w:rsidRPr="008743C0">
        <w:rPr>
          <w:i/>
        </w:rPr>
        <w:t>Minister of Home Affairs</w:t>
      </w:r>
      <w:r>
        <w:rPr>
          <w:i/>
        </w:rPr>
        <w:t xml:space="preserve"> </w:t>
      </w:r>
      <w:r>
        <w:t xml:space="preserve">para [5] </w:t>
      </w:r>
    </w:p>
  </w:footnote>
  <w:footnote w:id="42">
    <w:p w14:paraId="697FFEDB" w14:textId="77777777" w:rsidR="00C73DF0" w:rsidRPr="006567DC" w:rsidRDefault="00C73DF0">
      <w:pPr>
        <w:pStyle w:val="FootnoteText"/>
        <w:rPr>
          <w:color w:val="000000" w:themeColor="text1"/>
        </w:rPr>
      </w:pPr>
      <w:r>
        <w:rPr>
          <w:rStyle w:val="FootnoteReference"/>
        </w:rPr>
        <w:footnoteRef/>
      </w:r>
      <w:r>
        <w:t xml:space="preserve"> </w:t>
      </w:r>
      <w:r w:rsidRPr="00457AE3">
        <w:rPr>
          <w:i/>
        </w:rPr>
        <w:t>E</w:t>
      </w:r>
      <w:r>
        <w:rPr>
          <w:i/>
        </w:rPr>
        <w:t xml:space="preserve">conomic Freedom Fighters </w:t>
      </w:r>
      <w:r w:rsidRPr="006567DC">
        <w:rPr>
          <w:color w:val="000000" w:themeColor="text1"/>
        </w:rPr>
        <w:t>para [</w:t>
      </w:r>
      <w:r w:rsidRPr="006567DC">
        <w:rPr>
          <w:color w:val="000000" w:themeColor="text1"/>
        </w:rPr>
        <w:t>71](h)</w:t>
      </w:r>
    </w:p>
  </w:footnote>
  <w:footnote w:id="43">
    <w:p w14:paraId="6E610819" w14:textId="77777777" w:rsidR="00C73DF0" w:rsidRDefault="00C73DF0">
      <w:pPr>
        <w:pStyle w:val="FootnoteText"/>
      </w:pPr>
      <w:r>
        <w:rPr>
          <w:rStyle w:val="FootnoteReference"/>
        </w:rPr>
        <w:footnoteRef/>
      </w:r>
      <w:r>
        <w:t xml:space="preserve"> Quoted at para [12] of this judgment</w:t>
      </w:r>
    </w:p>
  </w:footnote>
  <w:footnote w:id="44">
    <w:p w14:paraId="1B80A08B" w14:textId="77777777" w:rsidR="00C73DF0" w:rsidRPr="006567DC" w:rsidRDefault="00C73DF0">
      <w:pPr>
        <w:pStyle w:val="FootnoteText"/>
        <w:rPr>
          <w:color w:val="000000" w:themeColor="text1"/>
        </w:rPr>
      </w:pPr>
      <w:r w:rsidRPr="006567DC">
        <w:rPr>
          <w:rStyle w:val="FootnoteReference"/>
          <w:color w:val="000000" w:themeColor="text1"/>
        </w:rPr>
        <w:footnoteRef/>
      </w:r>
      <w:r w:rsidRPr="006567DC">
        <w:rPr>
          <w:color w:val="000000" w:themeColor="text1"/>
        </w:rPr>
        <w:t xml:space="preserve"> The </w:t>
      </w:r>
      <w:r w:rsidRPr="006567DC">
        <w:rPr>
          <w:i/>
          <w:color w:val="000000" w:themeColor="text1"/>
        </w:rPr>
        <w:t xml:space="preserve">President </w:t>
      </w:r>
      <w:r w:rsidRPr="006567DC">
        <w:rPr>
          <w:i/>
          <w:color w:val="000000" w:themeColor="text1"/>
        </w:rPr>
        <w:t>v Public Protector</w:t>
      </w:r>
      <w:r w:rsidRPr="006567DC">
        <w:rPr>
          <w:color w:val="000000" w:themeColor="text1"/>
        </w:rPr>
        <w:t xml:space="preserve"> 2020 (5) BCLR 513 (GP); [2020] 2 ALL SA 865 (GP)</w:t>
      </w:r>
    </w:p>
  </w:footnote>
  <w:footnote w:id="45">
    <w:p w14:paraId="309BB8E8" w14:textId="77777777" w:rsidR="00C73DF0" w:rsidRPr="00851A61" w:rsidRDefault="00C73DF0">
      <w:pPr>
        <w:pStyle w:val="FootnoteText"/>
      </w:pPr>
      <w:r>
        <w:rPr>
          <w:rStyle w:val="FootnoteReference"/>
        </w:rPr>
        <w:footnoteRef/>
      </w:r>
      <w:r>
        <w:t xml:space="preserve"> </w:t>
      </w:r>
      <w:r>
        <w:rPr>
          <w:i/>
        </w:rPr>
        <w:t xml:space="preserve">The President (CC) </w:t>
      </w:r>
      <w:r>
        <w:t>para [99] and [100]</w:t>
      </w:r>
    </w:p>
  </w:footnote>
  <w:footnote w:id="46">
    <w:p w14:paraId="61116FE6" w14:textId="77777777" w:rsidR="00C73DF0" w:rsidRDefault="00C73DF0">
      <w:pPr>
        <w:pStyle w:val="FootnoteText"/>
      </w:pPr>
      <w:r>
        <w:rPr>
          <w:rStyle w:val="FootnoteReference"/>
        </w:rPr>
        <w:footnoteRef/>
      </w:r>
      <w:r>
        <w:t xml:space="preserve"> It is not contended that s 6(4)(a)(iv) is unconstitutional and it provides:</w:t>
      </w:r>
    </w:p>
    <w:p w14:paraId="74FEBFAA" w14:textId="77777777" w:rsidR="00C73DF0" w:rsidRPr="00EA751A" w:rsidRDefault="00C73DF0" w:rsidP="005E725C">
      <w:pPr>
        <w:pStyle w:val="FootnoteText"/>
        <w:jc w:val="both"/>
        <w:rPr>
          <w:color w:val="000000" w:themeColor="text1"/>
        </w:rPr>
      </w:pPr>
      <w:r w:rsidRPr="00EA751A">
        <w:rPr>
          <w:color w:val="000000" w:themeColor="text1"/>
        </w:rPr>
        <w:t>“(4) The Public Protector shall, be competent-</w:t>
      </w:r>
    </w:p>
    <w:p w14:paraId="6C0BD949" w14:textId="51D408DA" w:rsidR="00C73DF0" w:rsidRPr="00EA751A" w:rsidRDefault="00C47012" w:rsidP="00C47012">
      <w:pPr>
        <w:pStyle w:val="FootnoteText"/>
        <w:ind w:left="450" w:hanging="450"/>
        <w:jc w:val="both"/>
        <w:rPr>
          <w:color w:val="000000" w:themeColor="text1"/>
        </w:rPr>
      </w:pPr>
      <w:r w:rsidRPr="00EA751A">
        <w:rPr>
          <w:color w:val="000000" w:themeColor="text1"/>
        </w:rPr>
        <w:t>(a)</w:t>
      </w:r>
      <w:r w:rsidRPr="00EA751A">
        <w:rPr>
          <w:color w:val="000000" w:themeColor="text1"/>
        </w:rPr>
        <w:tab/>
      </w:r>
      <w:r w:rsidR="00C73DF0" w:rsidRPr="00EA751A">
        <w:rPr>
          <w:color w:val="000000" w:themeColor="text1"/>
        </w:rPr>
        <w:t>to investigate, on his or her own initiative or on receipt of a complaint, any alleged-</w:t>
      </w:r>
    </w:p>
    <w:p w14:paraId="1D9BC187" w14:textId="343E3716" w:rsidR="00C73DF0" w:rsidRPr="00EA751A" w:rsidRDefault="00C47012" w:rsidP="00C47012">
      <w:pPr>
        <w:pStyle w:val="FootnoteText"/>
        <w:tabs>
          <w:tab w:val="left" w:pos="630"/>
        </w:tabs>
        <w:ind w:left="450" w:hanging="450"/>
        <w:jc w:val="both"/>
        <w:rPr>
          <w:color w:val="000000" w:themeColor="text1"/>
        </w:rPr>
      </w:pPr>
      <w:r w:rsidRPr="00EA751A">
        <w:rPr>
          <w:color w:val="000000" w:themeColor="text1"/>
        </w:rPr>
        <w:t>(vi)</w:t>
      </w:r>
      <w:r w:rsidRPr="00EA751A">
        <w:rPr>
          <w:color w:val="000000" w:themeColor="text1"/>
        </w:rPr>
        <w:tab/>
      </w:r>
      <w:r w:rsidR="00C73DF0" w:rsidRPr="00EA751A">
        <w:rPr>
          <w:color w:val="000000" w:themeColor="text1"/>
        </w:rPr>
        <w:t xml:space="preserve"> improper or unlawful enrichment, or receipt of any improper advantage, or promise of such enrichment   or advantage, by a person as a result of an act or omission in the public administration or in connection with the affairs of government at any level or of a person performing a public function; or”</w:t>
      </w:r>
    </w:p>
  </w:footnote>
  <w:footnote w:id="47">
    <w:p w14:paraId="7B5C2331" w14:textId="77777777" w:rsidR="00C73DF0" w:rsidRDefault="00C73DF0">
      <w:pPr>
        <w:pStyle w:val="FootnoteText"/>
      </w:pPr>
      <w:r>
        <w:rPr>
          <w:rStyle w:val="FootnoteReference"/>
        </w:rPr>
        <w:footnoteRef/>
      </w:r>
      <w:r>
        <w:t xml:space="preserve"> </w:t>
      </w:r>
      <w:r w:rsidRPr="00477EDD">
        <w:rPr>
          <w:i/>
        </w:rPr>
        <w:t>The President</w:t>
      </w:r>
      <w:r>
        <w:t xml:space="preserve"> para [103]</w:t>
      </w:r>
    </w:p>
  </w:footnote>
  <w:footnote w:id="48">
    <w:p w14:paraId="18BF1620" w14:textId="77777777" w:rsidR="00C73DF0" w:rsidRDefault="00C73DF0">
      <w:pPr>
        <w:pStyle w:val="FootnoteText"/>
      </w:pPr>
      <w:r>
        <w:rPr>
          <w:rStyle w:val="FootnoteReference"/>
        </w:rPr>
        <w:footnoteRef/>
      </w:r>
      <w:r>
        <w:t>Executive Members Ethic Act, 82 of 1998</w:t>
      </w:r>
    </w:p>
  </w:footnote>
  <w:footnote w:id="49">
    <w:p w14:paraId="75C07EE5" w14:textId="77777777" w:rsidR="00C73DF0" w:rsidRPr="00EA751A" w:rsidRDefault="00C73DF0">
      <w:pPr>
        <w:pStyle w:val="FootnoteText"/>
        <w:rPr>
          <w:color w:val="000000" w:themeColor="text1"/>
        </w:rPr>
      </w:pPr>
      <w:r>
        <w:rPr>
          <w:rStyle w:val="FootnoteReference"/>
        </w:rPr>
        <w:footnoteRef/>
      </w:r>
      <w:r>
        <w:t xml:space="preserve"> </w:t>
      </w:r>
      <w:r w:rsidRPr="00EA751A">
        <w:rPr>
          <w:i/>
          <w:color w:val="000000" w:themeColor="text1"/>
        </w:rPr>
        <w:t>The President</w:t>
      </w:r>
      <w:r w:rsidRPr="00EA751A">
        <w:rPr>
          <w:color w:val="000000" w:themeColor="text1"/>
        </w:rPr>
        <w:t xml:space="preserve"> para [99] and [100]</w:t>
      </w:r>
    </w:p>
  </w:footnote>
  <w:footnote w:id="50">
    <w:p w14:paraId="74D11D03" w14:textId="77777777" w:rsidR="00C73DF0" w:rsidRPr="00EA751A" w:rsidRDefault="00C73DF0">
      <w:pPr>
        <w:pStyle w:val="FootnoteText"/>
        <w:rPr>
          <w:color w:val="000000" w:themeColor="text1"/>
        </w:rPr>
      </w:pPr>
      <w:r w:rsidRPr="00EA751A">
        <w:rPr>
          <w:rStyle w:val="FootnoteReference"/>
          <w:color w:val="000000" w:themeColor="text1"/>
        </w:rPr>
        <w:footnoteRef/>
      </w:r>
      <w:r w:rsidRPr="00EA751A">
        <w:rPr>
          <w:color w:val="000000" w:themeColor="text1"/>
        </w:rPr>
        <w:t xml:space="preserve"> </w:t>
      </w:r>
      <w:r w:rsidRPr="00EA751A">
        <w:rPr>
          <w:color w:val="000000" w:themeColor="text1"/>
        </w:rPr>
        <w:t>fn 46</w:t>
      </w:r>
    </w:p>
  </w:footnote>
  <w:footnote w:id="51">
    <w:p w14:paraId="1552E5D1" w14:textId="77777777" w:rsidR="00C73DF0" w:rsidRPr="00EB1F28" w:rsidRDefault="00C73DF0">
      <w:pPr>
        <w:pStyle w:val="FootnoteText"/>
        <w:rPr>
          <w:i/>
        </w:rPr>
      </w:pPr>
      <w:r>
        <w:rPr>
          <w:rStyle w:val="FootnoteReference"/>
        </w:rPr>
        <w:footnoteRef/>
      </w:r>
      <w:r>
        <w:t xml:space="preserve"> </w:t>
      </w:r>
      <w:r>
        <w:rPr>
          <w:i/>
        </w:rPr>
        <w:t>The President (GP) para [98]</w:t>
      </w:r>
    </w:p>
  </w:footnote>
  <w:footnote w:id="52">
    <w:p w14:paraId="284741CB" w14:textId="77777777" w:rsidR="00C73DF0" w:rsidRDefault="00C73DF0">
      <w:pPr>
        <w:pStyle w:val="FootnoteText"/>
      </w:pPr>
      <w:r>
        <w:rPr>
          <w:rStyle w:val="FootnoteReference"/>
        </w:rPr>
        <w:footnoteRef/>
      </w:r>
      <w:r>
        <w:t xml:space="preserve"> The evidence of the PP in respect of the payment of the R1.1 million by the MLM to </w:t>
      </w:r>
      <w:r>
        <w:t>Mthombeni does indeed give rise to serious concern and was worthy of investigation by the SAPS or the DPCI.  As a fact the matter was referred to the DPCI, they have investigated the matter as they are entitled to do and they have been cited as a respondent in case number 800/2021.</w:t>
      </w:r>
      <w:r w:rsidR="00EA751A">
        <w:t xml:space="preserve">  This judgment does not affect their investigation.</w:t>
      </w:r>
    </w:p>
  </w:footnote>
  <w:footnote w:id="53">
    <w:p w14:paraId="50B3CB6E" w14:textId="77777777" w:rsidR="00C73DF0" w:rsidRDefault="00C73DF0">
      <w:pPr>
        <w:pStyle w:val="FootnoteText"/>
      </w:pPr>
      <w:r>
        <w:rPr>
          <w:rStyle w:val="FootnoteReference"/>
        </w:rPr>
        <w:footnoteRef/>
      </w:r>
      <w:r>
        <w:t xml:space="preserve"> Para [43] of this judgment</w:t>
      </w:r>
    </w:p>
  </w:footnote>
  <w:footnote w:id="54">
    <w:p w14:paraId="1C902E21" w14:textId="77777777" w:rsidR="00C73DF0" w:rsidRDefault="00C73DF0">
      <w:pPr>
        <w:pStyle w:val="FootnoteText"/>
      </w:pPr>
      <w:r>
        <w:rPr>
          <w:rStyle w:val="FootnoteReference"/>
        </w:rPr>
        <w:footnoteRef/>
      </w:r>
      <w:r>
        <w:t xml:space="preserve"> Act 121 of 1998</w:t>
      </w:r>
    </w:p>
  </w:footnote>
  <w:footnote w:id="55">
    <w:p w14:paraId="6246626E" w14:textId="77777777" w:rsidR="00C73DF0" w:rsidRDefault="00C73DF0">
      <w:pPr>
        <w:pStyle w:val="FootnoteText"/>
      </w:pPr>
      <w:r>
        <w:rPr>
          <w:rStyle w:val="FootnoteReference"/>
        </w:rPr>
        <w:footnoteRef/>
      </w:r>
      <w:r>
        <w:t xml:space="preserve"> The subsection confers on the PP the competence to investigate specified offences under the Prevention and Combatting of Corrupt Activities Act with respect to public money.</w:t>
      </w:r>
    </w:p>
  </w:footnote>
  <w:footnote w:id="56">
    <w:p w14:paraId="413B09E0" w14:textId="77777777" w:rsidR="00C73DF0" w:rsidRDefault="00C73DF0">
      <w:pPr>
        <w:pStyle w:val="FootnoteText"/>
      </w:pPr>
      <w:r>
        <w:rPr>
          <w:rStyle w:val="FootnoteReference"/>
        </w:rPr>
        <w:footnoteRef/>
      </w:r>
      <w:r>
        <w:t xml:space="preserve"> </w:t>
      </w:r>
      <w:r>
        <w:rPr>
          <w:i/>
        </w:rPr>
        <w:t xml:space="preserve">The </w:t>
      </w:r>
      <w:r w:rsidRPr="001D370D">
        <w:rPr>
          <w:i/>
        </w:rPr>
        <w:t>President (CC)</w:t>
      </w:r>
      <w:r>
        <w:t xml:space="preserve"> at [114] – [115] and s 205(3) of the Constitution</w:t>
      </w:r>
    </w:p>
  </w:footnote>
  <w:footnote w:id="57">
    <w:p w14:paraId="10F6B024" w14:textId="77777777" w:rsidR="00C73DF0" w:rsidRPr="00E733F0" w:rsidRDefault="00C73DF0">
      <w:pPr>
        <w:pStyle w:val="FootnoteText"/>
      </w:pPr>
      <w:r>
        <w:rPr>
          <w:rStyle w:val="FootnoteReference"/>
        </w:rPr>
        <w:footnoteRef/>
      </w:r>
      <w:r>
        <w:t xml:space="preserve"> </w:t>
      </w:r>
      <w:r w:rsidRPr="001D370D">
        <w:rPr>
          <w:i/>
        </w:rPr>
        <w:t>The President (CC</w:t>
      </w:r>
      <w:r>
        <w:t xml:space="preserve">) para [115]; and </w:t>
      </w:r>
      <w:r>
        <w:rPr>
          <w:i/>
        </w:rPr>
        <w:t xml:space="preserve">The President (GP) </w:t>
      </w:r>
      <w:r>
        <w:t>para [139]</w:t>
      </w:r>
    </w:p>
  </w:footnote>
  <w:footnote w:id="58">
    <w:p w14:paraId="62D01FC8" w14:textId="77777777" w:rsidR="00C73DF0" w:rsidRDefault="00C73DF0">
      <w:pPr>
        <w:pStyle w:val="FootnoteText"/>
      </w:pPr>
      <w:r w:rsidRPr="007328F8">
        <w:rPr>
          <w:rStyle w:val="FootnoteReference"/>
          <w:i/>
        </w:rPr>
        <w:footnoteRef/>
      </w:r>
      <w:r w:rsidRPr="007328F8">
        <w:rPr>
          <w:i/>
        </w:rPr>
        <w:t xml:space="preserve"> </w:t>
      </w:r>
      <w:r>
        <w:rPr>
          <w:i/>
        </w:rPr>
        <w:t xml:space="preserve">The </w:t>
      </w:r>
      <w:r w:rsidRPr="007328F8">
        <w:rPr>
          <w:i/>
        </w:rPr>
        <w:t>President (CC)</w:t>
      </w:r>
      <w:r>
        <w:t xml:space="preserve"> para [125]</w:t>
      </w:r>
    </w:p>
  </w:footnote>
  <w:footnote w:id="59">
    <w:p w14:paraId="6560192A" w14:textId="77777777" w:rsidR="00C73DF0" w:rsidRDefault="00C73DF0">
      <w:pPr>
        <w:pStyle w:val="FootnoteText"/>
      </w:pPr>
      <w:r>
        <w:rPr>
          <w:rStyle w:val="FootnoteReference"/>
        </w:rPr>
        <w:footnoteRef/>
      </w:r>
      <w:r>
        <w:t xml:space="preserve"> 56 of 2003</w:t>
      </w:r>
    </w:p>
  </w:footnote>
  <w:footnote w:id="60">
    <w:p w14:paraId="32B25479" w14:textId="77777777" w:rsidR="00C73DF0" w:rsidRDefault="00C73DF0">
      <w:pPr>
        <w:pStyle w:val="FootnoteText"/>
      </w:pPr>
      <w:r>
        <w:rPr>
          <w:rStyle w:val="FootnoteReference"/>
        </w:rPr>
        <w:footnoteRef/>
      </w:r>
      <w:r>
        <w:t xml:space="preserve"> Section 6(2)(e) of PAJA</w:t>
      </w:r>
    </w:p>
  </w:footnote>
  <w:footnote w:id="61">
    <w:p w14:paraId="7E5F753A" w14:textId="77777777" w:rsidR="00C73DF0" w:rsidRDefault="00C73DF0">
      <w:pPr>
        <w:pStyle w:val="FootnoteText"/>
      </w:pPr>
      <w:r>
        <w:rPr>
          <w:rStyle w:val="FootnoteReference"/>
        </w:rPr>
        <w:footnoteRef/>
      </w:r>
      <w:r>
        <w:t xml:space="preserve"> Section 6(f)(ii) of PAJA</w:t>
      </w:r>
    </w:p>
  </w:footnote>
  <w:footnote w:id="62">
    <w:p w14:paraId="2F213904" w14:textId="77777777" w:rsidR="00C73DF0" w:rsidRDefault="00C73DF0">
      <w:pPr>
        <w:pStyle w:val="FootnoteText"/>
      </w:pPr>
      <w:r>
        <w:rPr>
          <w:rStyle w:val="FootnoteReference"/>
        </w:rPr>
        <w:footnoteRef/>
      </w:r>
      <w:r>
        <w:t xml:space="preserve"> Section 3, 4, 6 or 7 Of the PCCA</w:t>
      </w:r>
    </w:p>
  </w:footnote>
  <w:footnote w:id="63">
    <w:p w14:paraId="28952D8A" w14:textId="77777777" w:rsidR="00C73DF0" w:rsidRPr="00EE7E0B" w:rsidRDefault="00C73DF0">
      <w:pPr>
        <w:pStyle w:val="FootnoteText"/>
      </w:pPr>
      <w:r>
        <w:rPr>
          <w:rStyle w:val="FootnoteReference"/>
        </w:rPr>
        <w:footnoteRef/>
      </w:r>
      <w:r>
        <w:t xml:space="preserve"> </w:t>
      </w:r>
      <w:r>
        <w:rPr>
          <w:i/>
        </w:rPr>
        <w:t>The President (CC</w:t>
      </w:r>
      <w:r>
        <w:rPr>
          <w:i/>
        </w:rPr>
        <w:t xml:space="preserve">) </w:t>
      </w:r>
      <w:r>
        <w:t xml:space="preserve"> para [121]</w:t>
      </w:r>
    </w:p>
  </w:footnote>
  <w:footnote w:id="64">
    <w:p w14:paraId="7E00CDDD" w14:textId="77777777" w:rsidR="00C73DF0" w:rsidRPr="00DA6420" w:rsidRDefault="00C73DF0" w:rsidP="002F0EAD">
      <w:pPr>
        <w:rPr>
          <w:rFonts w:ascii="Arial" w:hAnsi="Arial" w:cs="Arial"/>
          <w:bCs/>
          <w:i/>
          <w:color w:val="000000" w:themeColor="text1"/>
          <w:sz w:val="20"/>
          <w:szCs w:val="20"/>
        </w:rPr>
      </w:pPr>
      <w:r>
        <w:rPr>
          <w:rStyle w:val="FootnoteReference"/>
        </w:rPr>
        <w:footnoteRef/>
      </w:r>
      <w:r>
        <w:t xml:space="preserve"> </w:t>
      </w:r>
      <w:r w:rsidRPr="00DA6420">
        <w:rPr>
          <w:rFonts w:ascii="Arial" w:hAnsi="Arial" w:cs="Arial"/>
          <w:bCs/>
          <w:i/>
          <w:color w:val="000000" w:themeColor="text1"/>
          <w:sz w:val="20"/>
          <w:szCs w:val="20"/>
        </w:rPr>
        <w:t>Allpay Consolidated Inv</w:t>
      </w:r>
      <w:r w:rsidR="00E73476">
        <w:rPr>
          <w:rFonts w:ascii="Arial" w:hAnsi="Arial" w:cs="Arial"/>
          <w:bCs/>
          <w:i/>
          <w:color w:val="000000" w:themeColor="text1"/>
          <w:sz w:val="20"/>
          <w:szCs w:val="20"/>
        </w:rPr>
        <w:t>estment Holdings (Pty) Ltd a</w:t>
      </w:r>
      <w:r w:rsidRPr="00DA6420">
        <w:rPr>
          <w:rFonts w:ascii="Arial" w:hAnsi="Arial" w:cs="Arial"/>
          <w:bCs/>
          <w:i/>
          <w:color w:val="000000" w:themeColor="text1"/>
          <w:sz w:val="20"/>
          <w:szCs w:val="20"/>
        </w:rPr>
        <w:t xml:space="preserve">nd Others </w:t>
      </w:r>
      <w:r w:rsidRPr="00DA6420">
        <w:rPr>
          <w:rFonts w:ascii="Arial" w:hAnsi="Arial" w:cs="Arial"/>
          <w:bCs/>
          <w:i/>
          <w:color w:val="000000" w:themeColor="text1"/>
          <w:sz w:val="20"/>
          <w:szCs w:val="20"/>
        </w:rPr>
        <w:t>v Chief Executive Officer, South African Social Security Agency, And Others </w:t>
      </w:r>
      <w:bookmarkStart w:id="6" w:name="0-0-0-208237"/>
      <w:bookmarkEnd w:id="6"/>
      <w:r w:rsidRPr="00DA6420">
        <w:rPr>
          <w:color w:val="000000" w:themeColor="text1"/>
        </w:rPr>
        <w:t>2014 (1) SA 604 (CC) para [87-88]</w:t>
      </w:r>
    </w:p>
  </w:footnote>
  <w:footnote w:id="65">
    <w:p w14:paraId="7FE6831A" w14:textId="77777777" w:rsidR="00C73DF0" w:rsidRPr="001520E1" w:rsidRDefault="00C73DF0">
      <w:pPr>
        <w:pStyle w:val="FootnoteText"/>
        <w:rPr>
          <w:color w:val="FF0000"/>
        </w:rPr>
      </w:pPr>
      <w:r>
        <w:rPr>
          <w:rStyle w:val="FootnoteReference"/>
        </w:rPr>
        <w:footnoteRef/>
      </w:r>
      <w:r>
        <w:t xml:space="preserve"> </w:t>
      </w:r>
      <w:r w:rsidRPr="002F0EAD">
        <w:rPr>
          <w:color w:val="000000" w:themeColor="text1"/>
        </w:rPr>
        <w:t xml:space="preserve">Section 8(1) is set out at </w:t>
      </w:r>
      <w:r w:rsidRPr="002F0EAD">
        <w:rPr>
          <w:color w:val="000000" w:themeColor="text1"/>
        </w:rPr>
        <w:t>fn 5</w:t>
      </w:r>
    </w:p>
  </w:footnote>
  <w:footnote w:id="66">
    <w:p w14:paraId="49408B55" w14:textId="77777777" w:rsidR="00C73DF0" w:rsidRPr="00DA6420" w:rsidRDefault="00C73DF0">
      <w:pPr>
        <w:pStyle w:val="FootnoteText"/>
        <w:rPr>
          <w:color w:val="000000" w:themeColor="text1"/>
        </w:rPr>
      </w:pPr>
      <w:r w:rsidRPr="00DA6420">
        <w:rPr>
          <w:rStyle w:val="FootnoteReference"/>
          <w:color w:val="000000" w:themeColor="text1"/>
        </w:rPr>
        <w:footnoteRef/>
      </w:r>
      <w:r w:rsidRPr="00DA6420">
        <w:rPr>
          <w:color w:val="000000" w:themeColor="text1"/>
        </w:rPr>
        <w:t xml:space="preserve"> Section 8(3) provides:</w:t>
      </w:r>
    </w:p>
    <w:p w14:paraId="4C2E24B4" w14:textId="77777777" w:rsidR="00C73DF0" w:rsidRPr="00DA6420" w:rsidRDefault="00C73DF0" w:rsidP="007328F8">
      <w:pPr>
        <w:pStyle w:val="FootnoteText"/>
        <w:jc w:val="both"/>
        <w:rPr>
          <w:rFonts w:ascii="Calibri" w:hAnsi="Calibri" w:cs="Calibri"/>
          <w:color w:val="000000" w:themeColor="text1"/>
        </w:rPr>
      </w:pPr>
      <w:r w:rsidRPr="00DA6420">
        <w:rPr>
          <w:rFonts w:ascii="Calibri" w:hAnsi="Calibri" w:cs="Calibri"/>
          <w:color w:val="000000" w:themeColor="text1"/>
        </w:rPr>
        <w:t>“(3) The findings of an investigation by the Public Protector shall, when he or she deems it fit, but as soon as possible, be made available to the complainant and to any person implicated thereby.”</w:t>
      </w:r>
    </w:p>
  </w:footnote>
  <w:footnote w:id="67">
    <w:p w14:paraId="2142EBA7" w14:textId="77777777" w:rsidR="00C73DF0" w:rsidRPr="00DA6420" w:rsidRDefault="00C73DF0" w:rsidP="0017269A">
      <w:pPr>
        <w:pStyle w:val="FootnoteText"/>
        <w:jc w:val="both"/>
        <w:rPr>
          <w:color w:val="000000" w:themeColor="text1"/>
        </w:rPr>
      </w:pPr>
      <w:r w:rsidRPr="00DA6420">
        <w:rPr>
          <w:rStyle w:val="FootnoteReference"/>
          <w:color w:val="000000" w:themeColor="text1"/>
        </w:rPr>
        <w:footnoteRef/>
      </w:r>
      <w:r w:rsidRPr="00DA6420">
        <w:rPr>
          <w:color w:val="000000" w:themeColor="text1"/>
        </w:rPr>
        <w:t xml:space="preserve"> </w:t>
      </w:r>
      <w:r w:rsidRPr="00DA6420">
        <w:rPr>
          <w:i/>
          <w:color w:val="000000" w:themeColor="text1"/>
        </w:rPr>
        <w:t xml:space="preserve">MEC for Health, Province of Eastern Cape NO and Another v </w:t>
      </w:r>
      <w:r w:rsidRPr="00DA6420">
        <w:rPr>
          <w:i/>
          <w:color w:val="000000" w:themeColor="text1"/>
        </w:rPr>
        <w:t xml:space="preserve">Kirland Investments (Pty) Ltd t/a Eye &amp; Laser Institute </w:t>
      </w:r>
      <w:r w:rsidRPr="00DA6420">
        <w:rPr>
          <w:color w:val="000000" w:themeColor="text1"/>
        </w:rPr>
        <w:t>2014 (3) SA 219 (SCA) at [15</w:t>
      </w:r>
      <w:r w:rsidRPr="00DA6420">
        <w:rPr>
          <w:color w:val="000000" w:themeColor="text1"/>
        </w:rPr>
        <w:t xml:space="preserve">];  and </w:t>
      </w:r>
      <w:r w:rsidRPr="00DA6420">
        <w:rPr>
          <w:i/>
          <w:color w:val="000000" w:themeColor="text1"/>
        </w:rPr>
        <w:t>MEC for Health, Eastern Cape</w:t>
      </w:r>
      <w:r w:rsidR="00E73476">
        <w:rPr>
          <w:i/>
          <w:color w:val="000000" w:themeColor="text1"/>
        </w:rPr>
        <w:t xml:space="preserve"> </w:t>
      </w:r>
      <w:r w:rsidRPr="00DA6420">
        <w:rPr>
          <w:i/>
          <w:color w:val="000000" w:themeColor="text1"/>
        </w:rPr>
        <w:t xml:space="preserve">and </w:t>
      </w:r>
      <w:r w:rsidR="00E73476" w:rsidRPr="00DA6420">
        <w:rPr>
          <w:i/>
          <w:color w:val="000000" w:themeColor="text1"/>
        </w:rPr>
        <w:t>Another v</w:t>
      </w:r>
      <w:r w:rsidRPr="00DA6420">
        <w:rPr>
          <w:i/>
          <w:color w:val="000000" w:themeColor="text1"/>
        </w:rPr>
        <w:t xml:space="preserve"> Kirland Investments (Pty) Ltd</w:t>
      </w:r>
      <w:r w:rsidRPr="00DA6420">
        <w:rPr>
          <w:color w:val="000000" w:themeColor="text1"/>
        </w:rPr>
        <w:t xml:space="preserve"> 2014 (3) SA 481 (CC)</w:t>
      </w:r>
    </w:p>
  </w:footnote>
  <w:footnote w:id="68">
    <w:p w14:paraId="1F572C7A" w14:textId="77777777" w:rsidR="00C73DF0" w:rsidRPr="00DA6420" w:rsidRDefault="00C73DF0" w:rsidP="0017269A">
      <w:pPr>
        <w:pStyle w:val="FootnoteText"/>
        <w:jc w:val="both"/>
        <w:rPr>
          <w:color w:val="000000" w:themeColor="text1"/>
        </w:rPr>
      </w:pPr>
      <w:r w:rsidRPr="00DA6420">
        <w:rPr>
          <w:rStyle w:val="FootnoteReference"/>
          <w:color w:val="000000" w:themeColor="text1"/>
        </w:rPr>
        <w:footnoteRef/>
      </w:r>
      <w:r w:rsidRPr="00DA6420">
        <w:rPr>
          <w:color w:val="000000" w:themeColor="text1"/>
        </w:rPr>
        <w:t xml:space="preserve"> </w:t>
      </w:r>
      <w:r w:rsidRPr="00DA6420">
        <w:rPr>
          <w:i/>
          <w:color w:val="000000" w:themeColor="text1"/>
        </w:rPr>
        <w:t xml:space="preserve">Retail Motor Vehicle Industry </w:t>
      </w:r>
      <w:r w:rsidRPr="00DA6420">
        <w:rPr>
          <w:i/>
          <w:color w:val="000000" w:themeColor="text1"/>
        </w:rPr>
        <w:t xml:space="preserve">Organisation and Another </w:t>
      </w:r>
      <w:r w:rsidRPr="00DA6420">
        <w:rPr>
          <w:i/>
          <w:color w:val="000000" w:themeColor="text1"/>
        </w:rPr>
        <w:t>v The Minister of Water and Environmental Affairs and Another</w:t>
      </w:r>
      <w:r w:rsidRPr="00DA6420">
        <w:rPr>
          <w:color w:val="000000" w:themeColor="text1"/>
        </w:rPr>
        <w:t xml:space="preserve"> 2014 (3) SA 251 (SCA) at [23]</w:t>
      </w:r>
    </w:p>
  </w:footnote>
  <w:footnote w:id="69">
    <w:p w14:paraId="6E5210BF" w14:textId="77777777" w:rsidR="00C73DF0" w:rsidRPr="00DA6420" w:rsidRDefault="00C73DF0" w:rsidP="00B409CD">
      <w:pPr>
        <w:pStyle w:val="FootnoteText"/>
        <w:jc w:val="both"/>
        <w:rPr>
          <w:color w:val="000000" w:themeColor="text1"/>
        </w:rPr>
      </w:pPr>
      <w:r>
        <w:rPr>
          <w:rStyle w:val="FootnoteReference"/>
        </w:rPr>
        <w:footnoteRef/>
      </w:r>
      <w:r>
        <w:t xml:space="preserve"> </w:t>
      </w:r>
      <w:r w:rsidRPr="00DA6420">
        <w:rPr>
          <w:i/>
          <w:color w:val="000000" w:themeColor="text1"/>
        </w:rPr>
        <w:t xml:space="preserve">Administrator, Transvaal and Others v </w:t>
      </w:r>
      <w:r w:rsidRPr="00DA6420">
        <w:rPr>
          <w:i/>
          <w:color w:val="000000" w:themeColor="text1"/>
        </w:rPr>
        <w:t xml:space="preserve">Traub and Others </w:t>
      </w:r>
      <w:r w:rsidRPr="00DA6420">
        <w:rPr>
          <w:color w:val="000000" w:themeColor="text1"/>
        </w:rPr>
        <w:t>[1989] 4 All SA 924 (AD) at 928</w:t>
      </w:r>
    </w:p>
  </w:footnote>
  <w:footnote w:id="70">
    <w:p w14:paraId="5D5953B7" w14:textId="77777777" w:rsidR="00C73DF0" w:rsidRDefault="00C73DF0">
      <w:pPr>
        <w:pStyle w:val="FootnoteText"/>
      </w:pPr>
      <w:r>
        <w:rPr>
          <w:rStyle w:val="FootnoteReference"/>
        </w:rPr>
        <w:footnoteRef/>
      </w:r>
      <w:r>
        <w:t xml:space="preserve"> para [126]</w:t>
      </w:r>
    </w:p>
  </w:footnote>
  <w:footnote w:id="71">
    <w:p w14:paraId="46ED75B6" w14:textId="77777777" w:rsidR="00C73DF0" w:rsidRDefault="00C73DF0">
      <w:pPr>
        <w:pStyle w:val="FootnoteText"/>
      </w:pPr>
      <w:r>
        <w:rPr>
          <w:rStyle w:val="FootnoteReference"/>
        </w:rPr>
        <w:footnoteRef/>
      </w:r>
      <w:r>
        <w:t xml:space="preserve"> Quoted in full in para [13] of this judgment</w:t>
      </w:r>
    </w:p>
  </w:footnote>
  <w:footnote w:id="72">
    <w:p w14:paraId="1EC9A5FB" w14:textId="77777777" w:rsidR="00C73DF0" w:rsidRPr="00256F2D" w:rsidRDefault="00C73DF0">
      <w:pPr>
        <w:pStyle w:val="FootnoteText"/>
        <w:rPr>
          <w:i/>
        </w:rPr>
      </w:pPr>
      <w:r>
        <w:rPr>
          <w:rStyle w:val="FootnoteReference"/>
        </w:rPr>
        <w:footnoteRef/>
      </w:r>
      <w:r>
        <w:t xml:space="preserve"> </w:t>
      </w:r>
      <w:r>
        <w:rPr>
          <w:i/>
        </w:rPr>
        <w:t xml:space="preserve">The President (GP) </w:t>
      </w:r>
      <w:r w:rsidRPr="00923B58">
        <w:t>para [98]</w:t>
      </w:r>
      <w:r>
        <w:t xml:space="preserve"> and s 6(4)(c)(iv)</w:t>
      </w:r>
    </w:p>
  </w:footnote>
  <w:footnote w:id="73">
    <w:p w14:paraId="38F14003" w14:textId="77777777" w:rsidR="00C73DF0" w:rsidRDefault="00C73DF0">
      <w:pPr>
        <w:pStyle w:val="FootnoteText"/>
      </w:pPr>
      <w:r>
        <w:rPr>
          <w:rStyle w:val="FootnoteReference"/>
        </w:rPr>
        <w:footnoteRef/>
      </w:r>
      <w:r>
        <w:t xml:space="preserve"> Eastern Cape Provincial Government</w:t>
      </w:r>
    </w:p>
  </w:footnote>
  <w:footnote w:id="74">
    <w:p w14:paraId="1A3184EA" w14:textId="77777777" w:rsidR="00C73DF0" w:rsidRDefault="00C73DF0">
      <w:pPr>
        <w:pStyle w:val="FootnoteText"/>
      </w:pPr>
      <w:r>
        <w:rPr>
          <w:rStyle w:val="FootnoteReference"/>
        </w:rPr>
        <w:footnoteRef/>
      </w:r>
      <w:r>
        <w:t xml:space="preserve"> The notice in terms of s 7(9) was dated 16 June 2021</w:t>
      </w:r>
    </w:p>
  </w:footnote>
  <w:footnote w:id="75">
    <w:p w14:paraId="78C4C5F8" w14:textId="77777777" w:rsidR="00C73DF0" w:rsidRDefault="00C73DF0">
      <w:pPr>
        <w:pStyle w:val="FootnoteText"/>
      </w:pPr>
      <w:r>
        <w:rPr>
          <w:rStyle w:val="FootnoteReference"/>
        </w:rPr>
        <w:footnoteRef/>
      </w:r>
      <w:r>
        <w:t xml:space="preserve"> para [123]</w:t>
      </w:r>
    </w:p>
  </w:footnote>
  <w:footnote w:id="76">
    <w:p w14:paraId="2FEBA771" w14:textId="77777777" w:rsidR="00C73DF0" w:rsidRDefault="00C73DF0">
      <w:pPr>
        <w:pStyle w:val="FootnoteText"/>
      </w:pPr>
      <w:r>
        <w:rPr>
          <w:rStyle w:val="FootnoteReference"/>
        </w:rPr>
        <w:footnoteRef/>
      </w:r>
      <w:r>
        <w:t xml:space="preserve"> I have dealt earlier with the nebulous findings in respect of PCCA.</w:t>
      </w:r>
    </w:p>
  </w:footnote>
  <w:footnote w:id="77">
    <w:p w14:paraId="7E8366B3" w14:textId="77777777" w:rsidR="00C73DF0" w:rsidRPr="007B3868" w:rsidRDefault="00C73DF0">
      <w:pPr>
        <w:pStyle w:val="FootnoteText"/>
        <w:rPr>
          <w:color w:val="000000" w:themeColor="text1"/>
        </w:rPr>
      </w:pPr>
      <w:r>
        <w:rPr>
          <w:rStyle w:val="FootnoteReference"/>
        </w:rPr>
        <w:footnoteRef/>
      </w:r>
      <w:r>
        <w:t xml:space="preserve"> </w:t>
      </w:r>
      <w:r w:rsidRPr="007B3868">
        <w:rPr>
          <w:i/>
          <w:color w:val="000000" w:themeColor="text1"/>
        </w:rPr>
        <w:t>Jockey Club of South Africa v Forbes</w:t>
      </w:r>
      <w:r w:rsidRPr="007B3868">
        <w:rPr>
          <w:color w:val="000000" w:themeColor="text1"/>
        </w:rPr>
        <w:t xml:space="preserve"> 1993 (1) SA 649 (A) at 660D-</w:t>
      </w:r>
      <w:r w:rsidRPr="007B3868">
        <w:rPr>
          <w:color w:val="000000" w:themeColor="text1"/>
        </w:rPr>
        <w:t xml:space="preserve">E;  </w:t>
      </w:r>
      <w:r w:rsidRPr="007B3868">
        <w:rPr>
          <w:i/>
          <w:color w:val="000000" w:themeColor="text1"/>
        </w:rPr>
        <w:t xml:space="preserve">Helen </w:t>
      </w:r>
      <w:r w:rsidRPr="007B3868">
        <w:rPr>
          <w:i/>
          <w:color w:val="000000" w:themeColor="text1"/>
        </w:rPr>
        <w:t>Suzman Foundation v Judicial Service Commission</w:t>
      </w:r>
      <w:r w:rsidRPr="007B3868">
        <w:rPr>
          <w:color w:val="000000" w:themeColor="text1"/>
        </w:rPr>
        <w:t xml:space="preserve"> 2018 (4) SA 1 (CC) at 9F</w:t>
      </w:r>
    </w:p>
  </w:footnote>
  <w:footnote w:id="78">
    <w:p w14:paraId="1207DA44" w14:textId="77777777" w:rsidR="00C73DF0" w:rsidRPr="007B3868" w:rsidRDefault="00C73DF0" w:rsidP="007B3868">
      <w:pPr>
        <w:pStyle w:val="FootnoteText"/>
        <w:jc w:val="both"/>
        <w:rPr>
          <w:color w:val="000000" w:themeColor="text1"/>
        </w:rPr>
      </w:pPr>
      <w:r w:rsidRPr="007B3868">
        <w:rPr>
          <w:rStyle w:val="FootnoteReference"/>
          <w:color w:val="000000" w:themeColor="text1"/>
        </w:rPr>
        <w:footnoteRef/>
      </w:r>
      <w:r w:rsidRPr="007B3868">
        <w:rPr>
          <w:color w:val="000000" w:themeColor="text1"/>
        </w:rPr>
        <w:t xml:space="preserve"> </w:t>
      </w:r>
      <w:r w:rsidRPr="007B3868">
        <w:rPr>
          <w:i/>
          <w:color w:val="000000" w:themeColor="text1"/>
        </w:rPr>
        <w:t xml:space="preserve">General Council of the Bar of the Bar v </w:t>
      </w:r>
      <w:r w:rsidRPr="007B3868">
        <w:rPr>
          <w:i/>
          <w:color w:val="000000" w:themeColor="text1"/>
        </w:rPr>
        <w:t>Jiba and Others</w:t>
      </w:r>
      <w:r w:rsidRPr="007B3868">
        <w:rPr>
          <w:color w:val="000000" w:themeColor="text1"/>
        </w:rPr>
        <w:t xml:space="preserve"> 2017 (2) SA 122 (GP) at 161I-162D (the decision was overturned on appeal, but not on this point, in J</w:t>
      </w:r>
      <w:r w:rsidRPr="007B3868">
        <w:rPr>
          <w:i/>
          <w:color w:val="000000" w:themeColor="text1"/>
        </w:rPr>
        <w:t>iba v General Council of the Bar (</w:t>
      </w:r>
      <w:r w:rsidRPr="007B3868">
        <w:rPr>
          <w:color w:val="000000" w:themeColor="text1"/>
        </w:rPr>
        <w:t>unreported SCA case number 141/17 dated 10 July 2018) [2018] ALL SA 622 (SCA); 2019 (1) SA 130 (SCA)</w:t>
      </w:r>
    </w:p>
  </w:footnote>
  <w:footnote w:id="79">
    <w:p w14:paraId="524D1248" w14:textId="77777777" w:rsidR="00C73DF0" w:rsidRPr="007B3868" w:rsidRDefault="00C73DF0" w:rsidP="007B3868">
      <w:pPr>
        <w:pStyle w:val="FootnoteText"/>
        <w:jc w:val="both"/>
        <w:rPr>
          <w:color w:val="000000" w:themeColor="text1"/>
        </w:rPr>
      </w:pPr>
      <w:r w:rsidRPr="007B3868">
        <w:rPr>
          <w:rStyle w:val="FootnoteReference"/>
          <w:color w:val="000000" w:themeColor="text1"/>
        </w:rPr>
        <w:footnoteRef/>
      </w:r>
      <w:r w:rsidRPr="007B3868">
        <w:rPr>
          <w:color w:val="000000" w:themeColor="text1"/>
        </w:rPr>
        <w:t xml:space="preserve"> </w:t>
      </w:r>
      <w:r w:rsidRPr="007B3868">
        <w:rPr>
          <w:i/>
          <w:color w:val="000000" w:themeColor="text1"/>
        </w:rPr>
        <w:t xml:space="preserve">Turnball-Jackson v Hibiscus Coast Municipality and Others </w:t>
      </w:r>
      <w:r w:rsidRPr="007B3868">
        <w:rPr>
          <w:color w:val="000000" w:themeColor="text1"/>
        </w:rPr>
        <w:t>2014 (6) SA 592 (CC) at 608C-D</w:t>
      </w:r>
    </w:p>
  </w:footnote>
  <w:footnote w:id="80">
    <w:p w14:paraId="71C33B1B" w14:textId="77777777" w:rsidR="00C73DF0" w:rsidRPr="007B3868" w:rsidRDefault="00C73DF0" w:rsidP="007B3868">
      <w:pPr>
        <w:pStyle w:val="FootnoteText"/>
        <w:jc w:val="both"/>
        <w:rPr>
          <w:color w:val="000000" w:themeColor="text1"/>
        </w:rPr>
      </w:pPr>
      <w:r w:rsidRPr="007B3868">
        <w:rPr>
          <w:rStyle w:val="FootnoteReference"/>
          <w:color w:val="000000" w:themeColor="text1"/>
        </w:rPr>
        <w:footnoteRef/>
      </w:r>
      <w:r w:rsidRPr="007B3868">
        <w:rPr>
          <w:color w:val="000000" w:themeColor="text1"/>
        </w:rPr>
        <w:t xml:space="preserve"> </w:t>
      </w:r>
      <w:r w:rsidRPr="007B3868">
        <w:rPr>
          <w:i/>
          <w:color w:val="000000" w:themeColor="text1"/>
        </w:rPr>
        <w:t xml:space="preserve">Helen </w:t>
      </w:r>
      <w:r w:rsidRPr="007B3868">
        <w:rPr>
          <w:i/>
          <w:color w:val="000000" w:themeColor="text1"/>
        </w:rPr>
        <w:t xml:space="preserve">Suzman Foundation </w:t>
      </w:r>
      <w:r w:rsidRPr="007B3868">
        <w:rPr>
          <w:color w:val="000000" w:themeColor="text1"/>
        </w:rPr>
        <w:t>at 10B-C</w:t>
      </w:r>
    </w:p>
  </w:footnote>
  <w:footnote w:id="81">
    <w:p w14:paraId="69BF6AAD" w14:textId="77777777" w:rsidR="00C73DF0" w:rsidRPr="007B3868" w:rsidRDefault="00C73DF0" w:rsidP="007B3868">
      <w:pPr>
        <w:pStyle w:val="FootnoteText"/>
        <w:jc w:val="both"/>
        <w:rPr>
          <w:color w:val="000000" w:themeColor="text1"/>
        </w:rPr>
      </w:pPr>
      <w:r w:rsidRPr="007B3868">
        <w:rPr>
          <w:rStyle w:val="FootnoteReference"/>
          <w:color w:val="000000" w:themeColor="text1"/>
        </w:rPr>
        <w:footnoteRef/>
      </w:r>
      <w:r w:rsidRPr="007B3868">
        <w:rPr>
          <w:color w:val="000000" w:themeColor="text1"/>
        </w:rPr>
        <w:t xml:space="preserve"> </w:t>
      </w:r>
      <w:r w:rsidRPr="007B3868">
        <w:rPr>
          <w:i/>
          <w:color w:val="000000" w:themeColor="text1"/>
        </w:rPr>
        <w:t xml:space="preserve">Ekuphumleni Resort (Pty) Ltd and Another v Gambling and Betting Board, Eastern Cape and Others </w:t>
      </w:r>
      <w:r w:rsidRPr="007B3868">
        <w:rPr>
          <w:color w:val="000000" w:themeColor="text1"/>
        </w:rPr>
        <w:t>2010 (1) SA 228 (E) para [9</w:t>
      </w:r>
      <w:r w:rsidRPr="007B3868">
        <w:rPr>
          <w:color w:val="000000" w:themeColor="text1"/>
        </w:rPr>
        <w:t xml:space="preserve">];  and </w:t>
      </w:r>
      <w:r w:rsidRPr="007B3868">
        <w:rPr>
          <w:i/>
          <w:color w:val="000000" w:themeColor="text1"/>
        </w:rPr>
        <w:t xml:space="preserve">Public Protector v South African Reserve Bank </w:t>
      </w:r>
      <w:r w:rsidRPr="007B3868">
        <w:rPr>
          <w:color w:val="000000" w:themeColor="text1"/>
        </w:rPr>
        <w:t>2019 (6) SA 253 (CC) para [185]</w:t>
      </w:r>
    </w:p>
  </w:footnote>
  <w:footnote w:id="82">
    <w:p w14:paraId="6F6C5007" w14:textId="77777777" w:rsidR="00C73DF0" w:rsidRPr="007B3868" w:rsidRDefault="00C73DF0" w:rsidP="007B3868">
      <w:pPr>
        <w:pStyle w:val="FootnoteText"/>
        <w:jc w:val="both"/>
        <w:rPr>
          <w:color w:val="000000" w:themeColor="text1"/>
        </w:rPr>
      </w:pPr>
      <w:r w:rsidRPr="007B3868">
        <w:rPr>
          <w:rStyle w:val="FootnoteReference"/>
          <w:color w:val="000000" w:themeColor="text1"/>
        </w:rPr>
        <w:footnoteRef/>
      </w:r>
      <w:r w:rsidRPr="007B3868">
        <w:rPr>
          <w:color w:val="000000" w:themeColor="text1"/>
        </w:rPr>
        <w:t xml:space="preserve"> </w:t>
      </w:r>
      <w:r w:rsidRPr="007B3868">
        <w:rPr>
          <w:i/>
          <w:color w:val="000000" w:themeColor="text1"/>
        </w:rPr>
        <w:t xml:space="preserve">Tulip Diamonds FZE v Minister of Justice and Constitutional Development and Others </w:t>
      </w:r>
      <w:r w:rsidRPr="007B3868">
        <w:rPr>
          <w:color w:val="000000" w:themeColor="text1"/>
        </w:rPr>
        <w:t>2013 (2) SACR 443 (CC) para [37]</w:t>
      </w:r>
    </w:p>
  </w:footnote>
  <w:footnote w:id="83">
    <w:p w14:paraId="29470CF0" w14:textId="77777777" w:rsidR="00C73DF0" w:rsidRPr="007B3868" w:rsidRDefault="00C73DF0">
      <w:pPr>
        <w:pStyle w:val="FootnoteText"/>
        <w:rPr>
          <w:color w:val="000000" w:themeColor="text1"/>
        </w:rPr>
      </w:pPr>
      <w:r w:rsidRPr="007B3868">
        <w:rPr>
          <w:rStyle w:val="FootnoteReference"/>
          <w:color w:val="000000" w:themeColor="text1"/>
        </w:rPr>
        <w:footnoteRef/>
      </w:r>
      <w:r w:rsidRPr="007B3868">
        <w:rPr>
          <w:color w:val="000000" w:themeColor="text1"/>
        </w:rPr>
        <w:t xml:space="preserve"> </w:t>
      </w:r>
      <w:r w:rsidRPr="007B3868">
        <w:rPr>
          <w:i/>
          <w:color w:val="000000" w:themeColor="text1"/>
        </w:rPr>
        <w:t xml:space="preserve">Zondi v The MEC for Traditional and Local Government Affairs </w:t>
      </w:r>
      <w:r w:rsidRPr="007B3868">
        <w:rPr>
          <w:color w:val="000000" w:themeColor="text1"/>
        </w:rPr>
        <w:t xml:space="preserve">2005 (3) SA 589 (CC) para [112]; and </w:t>
      </w:r>
      <w:r w:rsidRPr="007B3868">
        <w:rPr>
          <w:i/>
          <w:color w:val="000000" w:themeColor="text1"/>
        </w:rPr>
        <w:t>The President (CC)</w:t>
      </w:r>
      <w:r w:rsidRPr="007B3868">
        <w:rPr>
          <w:color w:val="000000" w:themeColor="text1"/>
        </w:rPr>
        <w:t xml:space="preserve"> para [130]</w:t>
      </w:r>
    </w:p>
  </w:footnote>
  <w:footnote w:id="84">
    <w:p w14:paraId="25C81859" w14:textId="77777777" w:rsidR="00C73DF0" w:rsidRDefault="00C73DF0">
      <w:pPr>
        <w:pStyle w:val="FootnoteText"/>
      </w:pPr>
      <w:r>
        <w:rPr>
          <w:rStyle w:val="FootnoteReference"/>
        </w:rPr>
        <w:footnoteRef/>
      </w:r>
      <w:r>
        <w:t xml:space="preserve"> para [29]</w:t>
      </w:r>
    </w:p>
  </w:footnote>
  <w:footnote w:id="85">
    <w:p w14:paraId="085ADAEA" w14:textId="77777777" w:rsidR="00C73DF0" w:rsidRPr="00745EAD" w:rsidRDefault="00C73DF0">
      <w:pPr>
        <w:pStyle w:val="FootnoteText"/>
      </w:pPr>
      <w:r>
        <w:rPr>
          <w:rStyle w:val="FootnoteReference"/>
        </w:rPr>
        <w:footnoteRef/>
      </w:r>
      <w:r>
        <w:t xml:space="preserve"> </w:t>
      </w:r>
      <w:r>
        <w:rPr>
          <w:i/>
        </w:rPr>
        <w:t xml:space="preserve">Vere NO </w:t>
      </w:r>
      <w:r>
        <w:t>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689973"/>
      <w:docPartObj>
        <w:docPartGallery w:val="Page Numbers (Top of Page)"/>
        <w:docPartUnique/>
      </w:docPartObj>
    </w:sdtPr>
    <w:sdtEndPr>
      <w:rPr>
        <w:noProof/>
      </w:rPr>
    </w:sdtEndPr>
    <w:sdtContent>
      <w:p w14:paraId="35A814EE" w14:textId="77777777" w:rsidR="00C73DF0" w:rsidRDefault="00C73D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37BD84" w14:textId="77777777" w:rsidR="00C73DF0" w:rsidRDefault="00C73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38972"/>
      <w:docPartObj>
        <w:docPartGallery w:val="Page Numbers (Top of Page)"/>
        <w:docPartUnique/>
      </w:docPartObj>
    </w:sdtPr>
    <w:sdtEndPr>
      <w:rPr>
        <w:noProof/>
      </w:rPr>
    </w:sdtEndPr>
    <w:sdtContent>
      <w:p w14:paraId="1BE94DC4" w14:textId="77777777" w:rsidR="00C73DF0" w:rsidRDefault="00C73DF0">
        <w:pPr>
          <w:pStyle w:val="Header"/>
          <w:jc w:val="center"/>
        </w:pPr>
        <w:r>
          <w:fldChar w:fldCharType="begin"/>
        </w:r>
        <w:r>
          <w:instrText xml:space="preserve"> PAGE   \* MERGEFORMAT </w:instrText>
        </w:r>
        <w:r>
          <w:fldChar w:fldCharType="separate"/>
        </w:r>
        <w:r w:rsidR="00447434">
          <w:rPr>
            <w:noProof/>
          </w:rPr>
          <w:t>19</w:t>
        </w:r>
        <w:r>
          <w:rPr>
            <w:noProof/>
          </w:rPr>
          <w:fldChar w:fldCharType="end"/>
        </w:r>
      </w:p>
    </w:sdtContent>
  </w:sdt>
  <w:p w14:paraId="60591FE8" w14:textId="77777777" w:rsidR="00C73DF0" w:rsidRDefault="00C73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269316"/>
      <w:docPartObj>
        <w:docPartGallery w:val="Page Numbers (Top of Page)"/>
        <w:docPartUnique/>
      </w:docPartObj>
    </w:sdtPr>
    <w:sdtEndPr>
      <w:rPr>
        <w:noProof/>
      </w:rPr>
    </w:sdtEndPr>
    <w:sdtContent>
      <w:p w14:paraId="2473DCF9" w14:textId="77777777" w:rsidR="00C73DF0" w:rsidRDefault="00C73DF0">
        <w:pPr>
          <w:pStyle w:val="Header"/>
          <w:jc w:val="center"/>
        </w:pPr>
        <w:r>
          <w:fldChar w:fldCharType="begin"/>
        </w:r>
        <w:r>
          <w:instrText xml:space="preserve"> PAGE   \* MERGEFORMAT </w:instrText>
        </w:r>
        <w:r>
          <w:fldChar w:fldCharType="separate"/>
        </w:r>
        <w:r w:rsidR="00447434">
          <w:rPr>
            <w:noProof/>
          </w:rPr>
          <w:t>1</w:t>
        </w:r>
        <w:r>
          <w:rPr>
            <w:noProof/>
          </w:rPr>
          <w:fldChar w:fldCharType="end"/>
        </w:r>
      </w:p>
    </w:sdtContent>
  </w:sdt>
  <w:p w14:paraId="0BF0FCC0" w14:textId="77777777" w:rsidR="00C73DF0" w:rsidRDefault="00C73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65F"/>
    <w:multiLevelType w:val="hybridMultilevel"/>
    <w:tmpl w:val="94AE5B4A"/>
    <w:lvl w:ilvl="0" w:tplc="82102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827982"/>
    <w:multiLevelType w:val="hybridMultilevel"/>
    <w:tmpl w:val="5052D410"/>
    <w:lvl w:ilvl="0" w:tplc="5308B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65759"/>
    <w:multiLevelType w:val="hybridMultilevel"/>
    <w:tmpl w:val="CA1409A2"/>
    <w:lvl w:ilvl="0" w:tplc="D1B0CDF0">
      <w:start w:val="1"/>
      <w:numFmt w:val="lowerRoman"/>
      <w:lvlText w:val="(%1)"/>
      <w:lvlJc w:val="left"/>
      <w:pPr>
        <w:ind w:left="990" w:hanging="720"/>
      </w:pPr>
      <w:rPr>
        <w:rFonts w:hint="default"/>
        <w:color w:val="000000" w:themeColor="text1"/>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91178E"/>
    <w:multiLevelType w:val="hybridMultilevel"/>
    <w:tmpl w:val="E8A25642"/>
    <w:lvl w:ilvl="0" w:tplc="33AA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00B46"/>
    <w:multiLevelType w:val="hybridMultilevel"/>
    <w:tmpl w:val="64E62CB8"/>
    <w:lvl w:ilvl="0" w:tplc="91BA3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5292E"/>
    <w:multiLevelType w:val="hybridMultilevel"/>
    <w:tmpl w:val="482E63B0"/>
    <w:lvl w:ilvl="0" w:tplc="38822114">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74F8F"/>
    <w:multiLevelType w:val="multilevel"/>
    <w:tmpl w:val="B290BE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564A4"/>
    <w:multiLevelType w:val="hybridMultilevel"/>
    <w:tmpl w:val="2FBCB6FC"/>
    <w:lvl w:ilvl="0" w:tplc="DC3A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30A46"/>
    <w:multiLevelType w:val="hybridMultilevel"/>
    <w:tmpl w:val="E2B277E6"/>
    <w:lvl w:ilvl="0" w:tplc="8FCC20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A57E19"/>
    <w:multiLevelType w:val="hybridMultilevel"/>
    <w:tmpl w:val="DA9423A6"/>
    <w:lvl w:ilvl="0" w:tplc="A2644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177E0"/>
    <w:multiLevelType w:val="hybridMultilevel"/>
    <w:tmpl w:val="4AE83C3C"/>
    <w:lvl w:ilvl="0" w:tplc="15C21118">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496DC1"/>
    <w:multiLevelType w:val="hybridMultilevel"/>
    <w:tmpl w:val="EEBA11CA"/>
    <w:lvl w:ilvl="0" w:tplc="71B6C10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068245">
    <w:abstractNumId w:val="11"/>
  </w:num>
  <w:num w:numId="2" w16cid:durableId="1673139014">
    <w:abstractNumId w:val="7"/>
  </w:num>
  <w:num w:numId="3" w16cid:durableId="737901990">
    <w:abstractNumId w:val="2"/>
  </w:num>
  <w:num w:numId="4" w16cid:durableId="1922061726">
    <w:abstractNumId w:val="3"/>
  </w:num>
  <w:num w:numId="5" w16cid:durableId="1750617995">
    <w:abstractNumId w:val="1"/>
  </w:num>
  <w:num w:numId="6" w16cid:durableId="1899702954">
    <w:abstractNumId w:val="6"/>
  </w:num>
  <w:num w:numId="7" w16cid:durableId="971716999">
    <w:abstractNumId w:val="9"/>
  </w:num>
  <w:num w:numId="8" w16cid:durableId="331876041">
    <w:abstractNumId w:val="5"/>
  </w:num>
  <w:num w:numId="9" w16cid:durableId="810486428">
    <w:abstractNumId w:val="4"/>
  </w:num>
  <w:num w:numId="10" w16cid:durableId="365953856">
    <w:abstractNumId w:val="10"/>
  </w:num>
  <w:num w:numId="11" w16cid:durableId="1382174195">
    <w:abstractNumId w:val="0"/>
  </w:num>
  <w:num w:numId="12" w16cid:durableId="148223584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98"/>
    <w:rsid w:val="000006A6"/>
    <w:rsid w:val="000067C5"/>
    <w:rsid w:val="000148BF"/>
    <w:rsid w:val="00023BFA"/>
    <w:rsid w:val="00024CF2"/>
    <w:rsid w:val="0003775D"/>
    <w:rsid w:val="000444BE"/>
    <w:rsid w:val="00052DC5"/>
    <w:rsid w:val="0005663F"/>
    <w:rsid w:val="00061749"/>
    <w:rsid w:val="0006385F"/>
    <w:rsid w:val="0007062F"/>
    <w:rsid w:val="000706D1"/>
    <w:rsid w:val="000736AC"/>
    <w:rsid w:val="00074A4A"/>
    <w:rsid w:val="000761B1"/>
    <w:rsid w:val="00081359"/>
    <w:rsid w:val="00081A2D"/>
    <w:rsid w:val="0008284E"/>
    <w:rsid w:val="00093E15"/>
    <w:rsid w:val="000940FC"/>
    <w:rsid w:val="000946B7"/>
    <w:rsid w:val="000952A4"/>
    <w:rsid w:val="000979E3"/>
    <w:rsid w:val="000A6452"/>
    <w:rsid w:val="000B1C12"/>
    <w:rsid w:val="000B2D58"/>
    <w:rsid w:val="000C245C"/>
    <w:rsid w:val="000C253B"/>
    <w:rsid w:val="000C2631"/>
    <w:rsid w:val="000D1E3F"/>
    <w:rsid w:val="000D1EA2"/>
    <w:rsid w:val="000D3446"/>
    <w:rsid w:val="000E1776"/>
    <w:rsid w:val="000E29BC"/>
    <w:rsid w:val="000E7904"/>
    <w:rsid w:val="000F3D3B"/>
    <w:rsid w:val="000F77E5"/>
    <w:rsid w:val="0010793A"/>
    <w:rsid w:val="001121DC"/>
    <w:rsid w:val="00116448"/>
    <w:rsid w:val="00121976"/>
    <w:rsid w:val="00123839"/>
    <w:rsid w:val="00130640"/>
    <w:rsid w:val="00131E91"/>
    <w:rsid w:val="001359FE"/>
    <w:rsid w:val="00137210"/>
    <w:rsid w:val="0013795B"/>
    <w:rsid w:val="00140957"/>
    <w:rsid w:val="00142EE1"/>
    <w:rsid w:val="001520E1"/>
    <w:rsid w:val="001550AC"/>
    <w:rsid w:val="001667B9"/>
    <w:rsid w:val="0016720B"/>
    <w:rsid w:val="00171701"/>
    <w:rsid w:val="001723D7"/>
    <w:rsid w:val="001724F9"/>
    <w:rsid w:val="0017269A"/>
    <w:rsid w:val="00173CD3"/>
    <w:rsid w:val="00174718"/>
    <w:rsid w:val="00180285"/>
    <w:rsid w:val="00183664"/>
    <w:rsid w:val="001916A8"/>
    <w:rsid w:val="00193E1D"/>
    <w:rsid w:val="001A543B"/>
    <w:rsid w:val="001B17D4"/>
    <w:rsid w:val="001B32A9"/>
    <w:rsid w:val="001B5090"/>
    <w:rsid w:val="001B67B1"/>
    <w:rsid w:val="001C0348"/>
    <w:rsid w:val="001C4F46"/>
    <w:rsid w:val="001D1D75"/>
    <w:rsid w:val="001D33AB"/>
    <w:rsid w:val="001D34BF"/>
    <w:rsid w:val="001D370D"/>
    <w:rsid w:val="001D48D2"/>
    <w:rsid w:val="001D49EF"/>
    <w:rsid w:val="001D5AF4"/>
    <w:rsid w:val="001E2989"/>
    <w:rsid w:val="001E7A75"/>
    <w:rsid w:val="00207410"/>
    <w:rsid w:val="0021291B"/>
    <w:rsid w:val="0021414E"/>
    <w:rsid w:val="00227EC2"/>
    <w:rsid w:val="00230D65"/>
    <w:rsid w:val="00233DE6"/>
    <w:rsid w:val="00240C7B"/>
    <w:rsid w:val="002453EB"/>
    <w:rsid w:val="00254099"/>
    <w:rsid w:val="00256F2D"/>
    <w:rsid w:val="002675F5"/>
    <w:rsid w:val="00281116"/>
    <w:rsid w:val="002849F6"/>
    <w:rsid w:val="002863E0"/>
    <w:rsid w:val="002871AD"/>
    <w:rsid w:val="002940CA"/>
    <w:rsid w:val="00296AF2"/>
    <w:rsid w:val="002A5839"/>
    <w:rsid w:val="002C17BF"/>
    <w:rsid w:val="002C4FC4"/>
    <w:rsid w:val="002C72E4"/>
    <w:rsid w:val="002D4C58"/>
    <w:rsid w:val="002D52E9"/>
    <w:rsid w:val="002E05EC"/>
    <w:rsid w:val="002F0EAD"/>
    <w:rsid w:val="002F3D90"/>
    <w:rsid w:val="002F5461"/>
    <w:rsid w:val="002F6FD3"/>
    <w:rsid w:val="00300B00"/>
    <w:rsid w:val="0030252C"/>
    <w:rsid w:val="00303ED1"/>
    <w:rsid w:val="003123CD"/>
    <w:rsid w:val="00312B62"/>
    <w:rsid w:val="0031626B"/>
    <w:rsid w:val="00316F27"/>
    <w:rsid w:val="00326B4D"/>
    <w:rsid w:val="00330A31"/>
    <w:rsid w:val="003324C2"/>
    <w:rsid w:val="0033746E"/>
    <w:rsid w:val="00337D3D"/>
    <w:rsid w:val="00340436"/>
    <w:rsid w:val="00351B56"/>
    <w:rsid w:val="00356576"/>
    <w:rsid w:val="00360D33"/>
    <w:rsid w:val="00363D65"/>
    <w:rsid w:val="00372A22"/>
    <w:rsid w:val="00374998"/>
    <w:rsid w:val="003851DC"/>
    <w:rsid w:val="00386245"/>
    <w:rsid w:val="00391BE8"/>
    <w:rsid w:val="003A01F8"/>
    <w:rsid w:val="003A3E8A"/>
    <w:rsid w:val="003B08AB"/>
    <w:rsid w:val="003B08FB"/>
    <w:rsid w:val="003B2BD5"/>
    <w:rsid w:val="003B7C3A"/>
    <w:rsid w:val="003C3028"/>
    <w:rsid w:val="003C3C2B"/>
    <w:rsid w:val="003D466E"/>
    <w:rsid w:val="003E1567"/>
    <w:rsid w:val="003E4D48"/>
    <w:rsid w:val="003E5384"/>
    <w:rsid w:val="003E724E"/>
    <w:rsid w:val="003E798B"/>
    <w:rsid w:val="003F3C23"/>
    <w:rsid w:val="003F4536"/>
    <w:rsid w:val="004051B9"/>
    <w:rsid w:val="00411605"/>
    <w:rsid w:val="0041214C"/>
    <w:rsid w:val="004148C2"/>
    <w:rsid w:val="00425E18"/>
    <w:rsid w:val="0043490D"/>
    <w:rsid w:val="00435BCA"/>
    <w:rsid w:val="00447434"/>
    <w:rsid w:val="00447509"/>
    <w:rsid w:val="00451583"/>
    <w:rsid w:val="004577F1"/>
    <w:rsid w:val="00457AE3"/>
    <w:rsid w:val="004629CB"/>
    <w:rsid w:val="0046342A"/>
    <w:rsid w:val="00465B4A"/>
    <w:rsid w:val="0046775C"/>
    <w:rsid w:val="004751F8"/>
    <w:rsid w:val="00477EDD"/>
    <w:rsid w:val="0048002E"/>
    <w:rsid w:val="00486EE7"/>
    <w:rsid w:val="004912A3"/>
    <w:rsid w:val="00496E3D"/>
    <w:rsid w:val="004A1CE2"/>
    <w:rsid w:val="004A2F25"/>
    <w:rsid w:val="004A4173"/>
    <w:rsid w:val="004B19E7"/>
    <w:rsid w:val="004B383A"/>
    <w:rsid w:val="004C0205"/>
    <w:rsid w:val="004D6403"/>
    <w:rsid w:val="004D73E3"/>
    <w:rsid w:val="004D7C55"/>
    <w:rsid w:val="004E0DC2"/>
    <w:rsid w:val="004F126C"/>
    <w:rsid w:val="004F1822"/>
    <w:rsid w:val="004F1C3B"/>
    <w:rsid w:val="004F2112"/>
    <w:rsid w:val="004F5121"/>
    <w:rsid w:val="00501AF0"/>
    <w:rsid w:val="00503A27"/>
    <w:rsid w:val="00531B8F"/>
    <w:rsid w:val="00536B5B"/>
    <w:rsid w:val="0054152E"/>
    <w:rsid w:val="00545A19"/>
    <w:rsid w:val="00545A8F"/>
    <w:rsid w:val="00547B59"/>
    <w:rsid w:val="005567B1"/>
    <w:rsid w:val="00557358"/>
    <w:rsid w:val="00566F90"/>
    <w:rsid w:val="005833E1"/>
    <w:rsid w:val="005845AF"/>
    <w:rsid w:val="0058727C"/>
    <w:rsid w:val="00587E6B"/>
    <w:rsid w:val="005A096E"/>
    <w:rsid w:val="005A1DDA"/>
    <w:rsid w:val="005A3CE0"/>
    <w:rsid w:val="005A3FC7"/>
    <w:rsid w:val="005A596D"/>
    <w:rsid w:val="005B0C02"/>
    <w:rsid w:val="005B385E"/>
    <w:rsid w:val="005B3BDD"/>
    <w:rsid w:val="005B546C"/>
    <w:rsid w:val="005C2CEB"/>
    <w:rsid w:val="005D0B42"/>
    <w:rsid w:val="005D0DC0"/>
    <w:rsid w:val="005D49C2"/>
    <w:rsid w:val="005D6831"/>
    <w:rsid w:val="005E0F9E"/>
    <w:rsid w:val="005E3260"/>
    <w:rsid w:val="005E5F36"/>
    <w:rsid w:val="005E725C"/>
    <w:rsid w:val="005F2E28"/>
    <w:rsid w:val="005F4520"/>
    <w:rsid w:val="005F4A3C"/>
    <w:rsid w:val="0060085A"/>
    <w:rsid w:val="006018C2"/>
    <w:rsid w:val="00602E31"/>
    <w:rsid w:val="00604386"/>
    <w:rsid w:val="00606BA8"/>
    <w:rsid w:val="00614A79"/>
    <w:rsid w:val="00615243"/>
    <w:rsid w:val="00617D38"/>
    <w:rsid w:val="00621023"/>
    <w:rsid w:val="00621CBE"/>
    <w:rsid w:val="006318CE"/>
    <w:rsid w:val="00637945"/>
    <w:rsid w:val="00640BC0"/>
    <w:rsid w:val="0064372B"/>
    <w:rsid w:val="00650C43"/>
    <w:rsid w:val="006559E6"/>
    <w:rsid w:val="006567DC"/>
    <w:rsid w:val="00671C71"/>
    <w:rsid w:val="006721CB"/>
    <w:rsid w:val="00673EFB"/>
    <w:rsid w:val="006742FC"/>
    <w:rsid w:val="0067733C"/>
    <w:rsid w:val="006779CC"/>
    <w:rsid w:val="006809E2"/>
    <w:rsid w:val="00692D5A"/>
    <w:rsid w:val="0069396F"/>
    <w:rsid w:val="00693C73"/>
    <w:rsid w:val="00697EF0"/>
    <w:rsid w:val="006A0504"/>
    <w:rsid w:val="006A7A80"/>
    <w:rsid w:val="006B2602"/>
    <w:rsid w:val="006B3689"/>
    <w:rsid w:val="006B4E4A"/>
    <w:rsid w:val="006B5DEA"/>
    <w:rsid w:val="006C02F7"/>
    <w:rsid w:val="006C3659"/>
    <w:rsid w:val="006C4B99"/>
    <w:rsid w:val="006D4514"/>
    <w:rsid w:val="006E5CF0"/>
    <w:rsid w:val="006E6A42"/>
    <w:rsid w:val="006F5666"/>
    <w:rsid w:val="006F73DE"/>
    <w:rsid w:val="00704450"/>
    <w:rsid w:val="00712EDE"/>
    <w:rsid w:val="00714759"/>
    <w:rsid w:val="00714CE0"/>
    <w:rsid w:val="00720304"/>
    <w:rsid w:val="0072040F"/>
    <w:rsid w:val="00721EE9"/>
    <w:rsid w:val="00731681"/>
    <w:rsid w:val="007328F8"/>
    <w:rsid w:val="00735598"/>
    <w:rsid w:val="007362C9"/>
    <w:rsid w:val="00741867"/>
    <w:rsid w:val="00741E90"/>
    <w:rsid w:val="00745EAD"/>
    <w:rsid w:val="0075146B"/>
    <w:rsid w:val="007557F9"/>
    <w:rsid w:val="00755C04"/>
    <w:rsid w:val="00755EEE"/>
    <w:rsid w:val="0075706A"/>
    <w:rsid w:val="007576E5"/>
    <w:rsid w:val="00757AB8"/>
    <w:rsid w:val="00762AEE"/>
    <w:rsid w:val="00771698"/>
    <w:rsid w:val="00777C11"/>
    <w:rsid w:val="00783306"/>
    <w:rsid w:val="0078524F"/>
    <w:rsid w:val="007872E8"/>
    <w:rsid w:val="00790915"/>
    <w:rsid w:val="0079244C"/>
    <w:rsid w:val="0079366F"/>
    <w:rsid w:val="0079440F"/>
    <w:rsid w:val="007A0F9E"/>
    <w:rsid w:val="007A1430"/>
    <w:rsid w:val="007A4121"/>
    <w:rsid w:val="007A48FD"/>
    <w:rsid w:val="007B0BBB"/>
    <w:rsid w:val="007B31D0"/>
    <w:rsid w:val="007B3868"/>
    <w:rsid w:val="007B3B49"/>
    <w:rsid w:val="007C3672"/>
    <w:rsid w:val="007C4D21"/>
    <w:rsid w:val="007C5741"/>
    <w:rsid w:val="007C5AB9"/>
    <w:rsid w:val="007C5DEE"/>
    <w:rsid w:val="007E3C5C"/>
    <w:rsid w:val="007E6229"/>
    <w:rsid w:val="007E6ED0"/>
    <w:rsid w:val="008010C0"/>
    <w:rsid w:val="008034BF"/>
    <w:rsid w:val="0081047A"/>
    <w:rsid w:val="00812B96"/>
    <w:rsid w:val="00812FE3"/>
    <w:rsid w:val="00814EF4"/>
    <w:rsid w:val="00815528"/>
    <w:rsid w:val="00817E9F"/>
    <w:rsid w:val="00822199"/>
    <w:rsid w:val="008231CE"/>
    <w:rsid w:val="0082519C"/>
    <w:rsid w:val="00836D14"/>
    <w:rsid w:val="00837670"/>
    <w:rsid w:val="00851A61"/>
    <w:rsid w:val="008521F4"/>
    <w:rsid w:val="00865273"/>
    <w:rsid w:val="00872670"/>
    <w:rsid w:val="0087303C"/>
    <w:rsid w:val="008743C0"/>
    <w:rsid w:val="008801FB"/>
    <w:rsid w:val="008802F2"/>
    <w:rsid w:val="008911D2"/>
    <w:rsid w:val="008938FB"/>
    <w:rsid w:val="008941CF"/>
    <w:rsid w:val="0089493B"/>
    <w:rsid w:val="008978C9"/>
    <w:rsid w:val="00897E98"/>
    <w:rsid w:val="008A42A4"/>
    <w:rsid w:val="008A6DB5"/>
    <w:rsid w:val="008A7EED"/>
    <w:rsid w:val="008B2775"/>
    <w:rsid w:val="008C63AC"/>
    <w:rsid w:val="008D52AC"/>
    <w:rsid w:val="008D72DA"/>
    <w:rsid w:val="008E64A3"/>
    <w:rsid w:val="00904282"/>
    <w:rsid w:val="00910623"/>
    <w:rsid w:val="0091359C"/>
    <w:rsid w:val="00913D37"/>
    <w:rsid w:val="0091624A"/>
    <w:rsid w:val="0092103C"/>
    <w:rsid w:val="00923B58"/>
    <w:rsid w:val="009363C6"/>
    <w:rsid w:val="00937D08"/>
    <w:rsid w:val="00941CD4"/>
    <w:rsid w:val="00941FCA"/>
    <w:rsid w:val="00945D86"/>
    <w:rsid w:val="00950367"/>
    <w:rsid w:val="00950593"/>
    <w:rsid w:val="00963609"/>
    <w:rsid w:val="00971F43"/>
    <w:rsid w:val="009728A2"/>
    <w:rsid w:val="00983166"/>
    <w:rsid w:val="00995FDB"/>
    <w:rsid w:val="009A0247"/>
    <w:rsid w:val="009B11DB"/>
    <w:rsid w:val="009B7002"/>
    <w:rsid w:val="009B77B5"/>
    <w:rsid w:val="009C3738"/>
    <w:rsid w:val="009C60A5"/>
    <w:rsid w:val="009D5BDB"/>
    <w:rsid w:val="009D6D7C"/>
    <w:rsid w:val="009D6F0D"/>
    <w:rsid w:val="009E047D"/>
    <w:rsid w:val="009E0ACE"/>
    <w:rsid w:val="009E5D4E"/>
    <w:rsid w:val="009F04A2"/>
    <w:rsid w:val="009F0BAD"/>
    <w:rsid w:val="009F3144"/>
    <w:rsid w:val="009F66F5"/>
    <w:rsid w:val="00A03F84"/>
    <w:rsid w:val="00A0716E"/>
    <w:rsid w:val="00A11DA5"/>
    <w:rsid w:val="00A17C21"/>
    <w:rsid w:val="00A22E18"/>
    <w:rsid w:val="00A22F08"/>
    <w:rsid w:val="00A305E8"/>
    <w:rsid w:val="00A31330"/>
    <w:rsid w:val="00A36DD7"/>
    <w:rsid w:val="00A4515E"/>
    <w:rsid w:val="00A46CF0"/>
    <w:rsid w:val="00A50300"/>
    <w:rsid w:val="00A50303"/>
    <w:rsid w:val="00A54639"/>
    <w:rsid w:val="00A602D6"/>
    <w:rsid w:val="00A627CD"/>
    <w:rsid w:val="00A651AF"/>
    <w:rsid w:val="00A66016"/>
    <w:rsid w:val="00A70900"/>
    <w:rsid w:val="00A738F0"/>
    <w:rsid w:val="00A739A4"/>
    <w:rsid w:val="00A771C5"/>
    <w:rsid w:val="00A84A4E"/>
    <w:rsid w:val="00A84E41"/>
    <w:rsid w:val="00A87A64"/>
    <w:rsid w:val="00AA0E2A"/>
    <w:rsid w:val="00AA7822"/>
    <w:rsid w:val="00AA794C"/>
    <w:rsid w:val="00AA7E31"/>
    <w:rsid w:val="00AB3308"/>
    <w:rsid w:val="00AB33AF"/>
    <w:rsid w:val="00AB7711"/>
    <w:rsid w:val="00AC3CB7"/>
    <w:rsid w:val="00AD446D"/>
    <w:rsid w:val="00AD65D2"/>
    <w:rsid w:val="00AE6434"/>
    <w:rsid w:val="00AE7C0A"/>
    <w:rsid w:val="00AF1E37"/>
    <w:rsid w:val="00AF4266"/>
    <w:rsid w:val="00AF4959"/>
    <w:rsid w:val="00AF7997"/>
    <w:rsid w:val="00B05CB0"/>
    <w:rsid w:val="00B10FFD"/>
    <w:rsid w:val="00B12597"/>
    <w:rsid w:val="00B16E7C"/>
    <w:rsid w:val="00B17C60"/>
    <w:rsid w:val="00B25C95"/>
    <w:rsid w:val="00B32525"/>
    <w:rsid w:val="00B358E8"/>
    <w:rsid w:val="00B409CD"/>
    <w:rsid w:val="00B42CC1"/>
    <w:rsid w:val="00B4511C"/>
    <w:rsid w:val="00B51533"/>
    <w:rsid w:val="00B51EA3"/>
    <w:rsid w:val="00B52163"/>
    <w:rsid w:val="00B521CD"/>
    <w:rsid w:val="00B56659"/>
    <w:rsid w:val="00B5745C"/>
    <w:rsid w:val="00B60397"/>
    <w:rsid w:val="00B66B9C"/>
    <w:rsid w:val="00B743F8"/>
    <w:rsid w:val="00B771D3"/>
    <w:rsid w:val="00B8402E"/>
    <w:rsid w:val="00B928E6"/>
    <w:rsid w:val="00B949E2"/>
    <w:rsid w:val="00B94CDD"/>
    <w:rsid w:val="00B9568C"/>
    <w:rsid w:val="00BA3BED"/>
    <w:rsid w:val="00BA4791"/>
    <w:rsid w:val="00BC4270"/>
    <w:rsid w:val="00BC6C76"/>
    <w:rsid w:val="00BD16C2"/>
    <w:rsid w:val="00BD2905"/>
    <w:rsid w:val="00BD4EF2"/>
    <w:rsid w:val="00BD7202"/>
    <w:rsid w:val="00BE1EEC"/>
    <w:rsid w:val="00BE3AC8"/>
    <w:rsid w:val="00BE71DE"/>
    <w:rsid w:val="00BF12EE"/>
    <w:rsid w:val="00BF2B01"/>
    <w:rsid w:val="00C031D6"/>
    <w:rsid w:val="00C07062"/>
    <w:rsid w:val="00C07C33"/>
    <w:rsid w:val="00C147DA"/>
    <w:rsid w:val="00C165FC"/>
    <w:rsid w:val="00C276F3"/>
    <w:rsid w:val="00C30622"/>
    <w:rsid w:val="00C37534"/>
    <w:rsid w:val="00C40EF2"/>
    <w:rsid w:val="00C45E75"/>
    <w:rsid w:val="00C47012"/>
    <w:rsid w:val="00C50EC1"/>
    <w:rsid w:val="00C53480"/>
    <w:rsid w:val="00C56391"/>
    <w:rsid w:val="00C62BE9"/>
    <w:rsid w:val="00C641F0"/>
    <w:rsid w:val="00C64DF0"/>
    <w:rsid w:val="00C657F1"/>
    <w:rsid w:val="00C706B2"/>
    <w:rsid w:val="00C73DF0"/>
    <w:rsid w:val="00C7706D"/>
    <w:rsid w:val="00C97FD2"/>
    <w:rsid w:val="00CA2202"/>
    <w:rsid w:val="00CA3985"/>
    <w:rsid w:val="00CB11A7"/>
    <w:rsid w:val="00CE06CB"/>
    <w:rsid w:val="00CE3A7D"/>
    <w:rsid w:val="00CE408E"/>
    <w:rsid w:val="00CE4B60"/>
    <w:rsid w:val="00CE6D62"/>
    <w:rsid w:val="00CF3B1E"/>
    <w:rsid w:val="00D02E9A"/>
    <w:rsid w:val="00D05A6D"/>
    <w:rsid w:val="00D10B94"/>
    <w:rsid w:val="00D14B51"/>
    <w:rsid w:val="00D14D6B"/>
    <w:rsid w:val="00D209EB"/>
    <w:rsid w:val="00D24FB2"/>
    <w:rsid w:val="00D34FC5"/>
    <w:rsid w:val="00D40B28"/>
    <w:rsid w:val="00D4625E"/>
    <w:rsid w:val="00D61ADC"/>
    <w:rsid w:val="00D67F05"/>
    <w:rsid w:val="00D70473"/>
    <w:rsid w:val="00D70C28"/>
    <w:rsid w:val="00D74F17"/>
    <w:rsid w:val="00D810DE"/>
    <w:rsid w:val="00D93FA3"/>
    <w:rsid w:val="00D951F3"/>
    <w:rsid w:val="00DA01BD"/>
    <w:rsid w:val="00DA07E3"/>
    <w:rsid w:val="00DA47DE"/>
    <w:rsid w:val="00DA6420"/>
    <w:rsid w:val="00DB2AB3"/>
    <w:rsid w:val="00DB4223"/>
    <w:rsid w:val="00DC082B"/>
    <w:rsid w:val="00DC4728"/>
    <w:rsid w:val="00DC79C7"/>
    <w:rsid w:val="00DD0DCE"/>
    <w:rsid w:val="00DD6C4A"/>
    <w:rsid w:val="00DD7057"/>
    <w:rsid w:val="00DF0504"/>
    <w:rsid w:val="00DF48C4"/>
    <w:rsid w:val="00DF786A"/>
    <w:rsid w:val="00E00FC9"/>
    <w:rsid w:val="00E041B3"/>
    <w:rsid w:val="00E042A3"/>
    <w:rsid w:val="00E04AD3"/>
    <w:rsid w:val="00E05901"/>
    <w:rsid w:val="00E12F64"/>
    <w:rsid w:val="00E13152"/>
    <w:rsid w:val="00E15234"/>
    <w:rsid w:val="00E16799"/>
    <w:rsid w:val="00E32E6F"/>
    <w:rsid w:val="00E42C08"/>
    <w:rsid w:val="00E50F66"/>
    <w:rsid w:val="00E54547"/>
    <w:rsid w:val="00E60A44"/>
    <w:rsid w:val="00E66B0C"/>
    <w:rsid w:val="00E731F7"/>
    <w:rsid w:val="00E733F0"/>
    <w:rsid w:val="00E73476"/>
    <w:rsid w:val="00E756E7"/>
    <w:rsid w:val="00E80369"/>
    <w:rsid w:val="00E83851"/>
    <w:rsid w:val="00E83E54"/>
    <w:rsid w:val="00E86650"/>
    <w:rsid w:val="00E91109"/>
    <w:rsid w:val="00E969CE"/>
    <w:rsid w:val="00E97C67"/>
    <w:rsid w:val="00EA0989"/>
    <w:rsid w:val="00EA09B2"/>
    <w:rsid w:val="00EA1CBE"/>
    <w:rsid w:val="00EA3F59"/>
    <w:rsid w:val="00EA6A6B"/>
    <w:rsid w:val="00EA751A"/>
    <w:rsid w:val="00EB1F28"/>
    <w:rsid w:val="00EC799E"/>
    <w:rsid w:val="00ED09CC"/>
    <w:rsid w:val="00ED1A01"/>
    <w:rsid w:val="00ED52EE"/>
    <w:rsid w:val="00ED5C89"/>
    <w:rsid w:val="00EE32DD"/>
    <w:rsid w:val="00EE3541"/>
    <w:rsid w:val="00EE7E0B"/>
    <w:rsid w:val="00EF08E2"/>
    <w:rsid w:val="00F00C4A"/>
    <w:rsid w:val="00F00CE2"/>
    <w:rsid w:val="00F107D9"/>
    <w:rsid w:val="00F1317C"/>
    <w:rsid w:val="00F14734"/>
    <w:rsid w:val="00F15863"/>
    <w:rsid w:val="00F15E7D"/>
    <w:rsid w:val="00F24F32"/>
    <w:rsid w:val="00F30195"/>
    <w:rsid w:val="00F3070C"/>
    <w:rsid w:val="00F311F4"/>
    <w:rsid w:val="00F32F06"/>
    <w:rsid w:val="00F35F47"/>
    <w:rsid w:val="00F366E7"/>
    <w:rsid w:val="00F37276"/>
    <w:rsid w:val="00F56026"/>
    <w:rsid w:val="00F624A5"/>
    <w:rsid w:val="00F62EDE"/>
    <w:rsid w:val="00F649F7"/>
    <w:rsid w:val="00F65FDC"/>
    <w:rsid w:val="00F73570"/>
    <w:rsid w:val="00F76591"/>
    <w:rsid w:val="00F76D6C"/>
    <w:rsid w:val="00F804C3"/>
    <w:rsid w:val="00F83C48"/>
    <w:rsid w:val="00F85A81"/>
    <w:rsid w:val="00F923FD"/>
    <w:rsid w:val="00F969FD"/>
    <w:rsid w:val="00F97A2A"/>
    <w:rsid w:val="00FA0B58"/>
    <w:rsid w:val="00FA4A94"/>
    <w:rsid w:val="00FB4141"/>
    <w:rsid w:val="00FC0046"/>
    <w:rsid w:val="00FC2B47"/>
    <w:rsid w:val="00FC5339"/>
    <w:rsid w:val="00FC724F"/>
    <w:rsid w:val="00FC7CC3"/>
    <w:rsid w:val="00FD0635"/>
    <w:rsid w:val="00FD1544"/>
    <w:rsid w:val="00FD17AA"/>
    <w:rsid w:val="00FD1DEA"/>
    <w:rsid w:val="00FD2A68"/>
    <w:rsid w:val="00FD2C09"/>
    <w:rsid w:val="00FE3121"/>
    <w:rsid w:val="00FF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6B092"/>
  <w15:chartTrackingRefBased/>
  <w15:docId w15:val="{9B011629-826C-49D7-964B-974B3F8C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98"/>
  </w:style>
  <w:style w:type="paragraph" w:styleId="Heading2">
    <w:name w:val="heading 2"/>
    <w:basedOn w:val="Normal"/>
    <w:link w:val="Heading2Char"/>
    <w:uiPriority w:val="9"/>
    <w:qFormat/>
    <w:rsid w:val="00B51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CD"/>
    <w:pPr>
      <w:ind w:left="720"/>
      <w:contextualSpacing/>
    </w:pPr>
  </w:style>
  <w:style w:type="paragraph" w:styleId="BodyText">
    <w:name w:val="Body Text"/>
    <w:link w:val="BodyTextChar"/>
    <w:rsid w:val="00EA6A6B"/>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8"/>
      <w:szCs w:val="28"/>
      <w:u w:color="000000"/>
      <w:bdr w:val="nil"/>
    </w:rPr>
  </w:style>
  <w:style w:type="character" w:customStyle="1" w:styleId="BodyTextChar">
    <w:name w:val="Body Text Char"/>
    <w:basedOn w:val="DefaultParagraphFont"/>
    <w:link w:val="BodyText"/>
    <w:rsid w:val="00EA6A6B"/>
    <w:rPr>
      <w:rFonts w:ascii="Times New Roman" w:eastAsia="Arial Unicode MS" w:hAnsi="Times New Roman" w:cs="Arial Unicode MS"/>
      <w:color w:val="000000"/>
      <w:sz w:val="28"/>
      <w:szCs w:val="28"/>
      <w:u w:color="000000"/>
      <w:bdr w:val="nil"/>
    </w:rPr>
  </w:style>
  <w:style w:type="paragraph" w:styleId="FootnoteText">
    <w:name w:val="footnote text"/>
    <w:basedOn w:val="Normal"/>
    <w:link w:val="FootnoteTextChar"/>
    <w:uiPriority w:val="99"/>
    <w:unhideWhenUsed/>
    <w:rsid w:val="00AA7822"/>
    <w:pPr>
      <w:spacing w:after="0" w:line="240" w:lineRule="auto"/>
    </w:pPr>
    <w:rPr>
      <w:sz w:val="20"/>
      <w:szCs w:val="20"/>
    </w:rPr>
  </w:style>
  <w:style w:type="character" w:customStyle="1" w:styleId="FootnoteTextChar">
    <w:name w:val="Footnote Text Char"/>
    <w:basedOn w:val="DefaultParagraphFont"/>
    <w:link w:val="FootnoteText"/>
    <w:uiPriority w:val="99"/>
    <w:rsid w:val="00AA7822"/>
    <w:rPr>
      <w:sz w:val="20"/>
      <w:szCs w:val="20"/>
    </w:rPr>
  </w:style>
  <w:style w:type="character" w:styleId="FootnoteReference">
    <w:name w:val="footnote reference"/>
    <w:basedOn w:val="DefaultParagraphFont"/>
    <w:uiPriority w:val="99"/>
    <w:semiHidden/>
    <w:unhideWhenUsed/>
    <w:rsid w:val="00AA7822"/>
    <w:rPr>
      <w:vertAlign w:val="superscript"/>
    </w:rPr>
  </w:style>
  <w:style w:type="paragraph" w:styleId="Header">
    <w:name w:val="header"/>
    <w:basedOn w:val="Normal"/>
    <w:link w:val="HeaderChar"/>
    <w:uiPriority w:val="99"/>
    <w:unhideWhenUsed/>
    <w:rsid w:val="00F62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DE"/>
  </w:style>
  <w:style w:type="paragraph" w:styleId="Footer">
    <w:name w:val="footer"/>
    <w:basedOn w:val="Normal"/>
    <w:link w:val="FooterChar"/>
    <w:uiPriority w:val="99"/>
    <w:unhideWhenUsed/>
    <w:rsid w:val="00F6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DE"/>
  </w:style>
  <w:style w:type="paragraph" w:styleId="BalloonText">
    <w:name w:val="Balloon Text"/>
    <w:basedOn w:val="Normal"/>
    <w:link w:val="BalloonTextChar"/>
    <w:uiPriority w:val="99"/>
    <w:semiHidden/>
    <w:unhideWhenUsed/>
    <w:rsid w:val="00E9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109"/>
    <w:rPr>
      <w:rFonts w:ascii="Segoe UI" w:hAnsi="Segoe UI" w:cs="Segoe UI"/>
      <w:sz w:val="18"/>
      <w:szCs w:val="18"/>
    </w:rPr>
  </w:style>
  <w:style w:type="character" w:customStyle="1" w:styleId="Heading2Char">
    <w:name w:val="Heading 2 Char"/>
    <w:basedOn w:val="DefaultParagraphFont"/>
    <w:link w:val="Heading2"/>
    <w:uiPriority w:val="9"/>
    <w:rsid w:val="00B51533"/>
    <w:rPr>
      <w:rFonts w:ascii="Times New Roman" w:eastAsia="Times New Roman" w:hAnsi="Times New Roman" w:cs="Times New Roman"/>
      <w:b/>
      <w:bCs/>
      <w:sz w:val="36"/>
      <w:szCs w:val="36"/>
    </w:rPr>
  </w:style>
  <w:style w:type="paragraph" w:styleId="NormalWeb">
    <w:name w:val="Normal (Web)"/>
    <w:basedOn w:val="Normal"/>
    <w:uiPriority w:val="99"/>
    <w:unhideWhenUsed/>
    <w:rsid w:val="00B515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533"/>
    <w:rPr>
      <w:color w:val="0000FF"/>
      <w:u w:val="single"/>
    </w:rPr>
  </w:style>
  <w:style w:type="character" w:customStyle="1" w:styleId="mc">
    <w:name w:val="mc"/>
    <w:basedOn w:val="DefaultParagraphFont"/>
    <w:rsid w:val="008034BF"/>
  </w:style>
  <w:style w:type="character" w:customStyle="1" w:styleId="g1">
    <w:name w:val="g1"/>
    <w:basedOn w:val="DefaultParagraphFont"/>
    <w:rsid w:val="008034BF"/>
  </w:style>
  <w:style w:type="character" w:styleId="CommentReference">
    <w:name w:val="annotation reference"/>
    <w:basedOn w:val="DefaultParagraphFont"/>
    <w:uiPriority w:val="99"/>
    <w:semiHidden/>
    <w:unhideWhenUsed/>
    <w:rsid w:val="00963609"/>
    <w:rPr>
      <w:sz w:val="16"/>
      <w:szCs w:val="16"/>
    </w:rPr>
  </w:style>
  <w:style w:type="paragraph" w:styleId="CommentText">
    <w:name w:val="annotation text"/>
    <w:basedOn w:val="Normal"/>
    <w:link w:val="CommentTextChar"/>
    <w:uiPriority w:val="99"/>
    <w:semiHidden/>
    <w:unhideWhenUsed/>
    <w:rsid w:val="00963609"/>
    <w:pPr>
      <w:spacing w:line="240" w:lineRule="auto"/>
    </w:pPr>
    <w:rPr>
      <w:sz w:val="20"/>
      <w:szCs w:val="20"/>
    </w:rPr>
  </w:style>
  <w:style w:type="character" w:customStyle="1" w:styleId="CommentTextChar">
    <w:name w:val="Comment Text Char"/>
    <w:basedOn w:val="DefaultParagraphFont"/>
    <w:link w:val="CommentText"/>
    <w:uiPriority w:val="99"/>
    <w:semiHidden/>
    <w:rsid w:val="00963609"/>
    <w:rPr>
      <w:sz w:val="20"/>
      <w:szCs w:val="20"/>
    </w:rPr>
  </w:style>
  <w:style w:type="paragraph" w:styleId="CommentSubject">
    <w:name w:val="annotation subject"/>
    <w:basedOn w:val="CommentText"/>
    <w:next w:val="CommentText"/>
    <w:link w:val="CommentSubjectChar"/>
    <w:uiPriority w:val="99"/>
    <w:semiHidden/>
    <w:unhideWhenUsed/>
    <w:rsid w:val="00963609"/>
    <w:rPr>
      <w:b/>
      <w:bCs/>
    </w:rPr>
  </w:style>
  <w:style w:type="character" w:customStyle="1" w:styleId="CommentSubjectChar">
    <w:name w:val="Comment Subject Char"/>
    <w:basedOn w:val="CommentTextChar"/>
    <w:link w:val="CommentSubject"/>
    <w:uiPriority w:val="99"/>
    <w:semiHidden/>
    <w:rsid w:val="00963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5548">
      <w:bodyDiv w:val="1"/>
      <w:marLeft w:val="0"/>
      <w:marRight w:val="0"/>
      <w:marTop w:val="0"/>
      <w:marBottom w:val="0"/>
      <w:divBdr>
        <w:top w:val="none" w:sz="0" w:space="0" w:color="auto"/>
        <w:left w:val="none" w:sz="0" w:space="0" w:color="auto"/>
        <w:bottom w:val="none" w:sz="0" w:space="0" w:color="auto"/>
        <w:right w:val="none" w:sz="0" w:space="0" w:color="auto"/>
      </w:divBdr>
      <w:divsChild>
        <w:div w:id="757675973">
          <w:marLeft w:val="1134"/>
          <w:marRight w:val="0"/>
          <w:marTop w:val="60"/>
          <w:marBottom w:val="0"/>
          <w:divBdr>
            <w:top w:val="none" w:sz="0" w:space="0" w:color="auto"/>
            <w:left w:val="none" w:sz="0" w:space="0" w:color="auto"/>
            <w:bottom w:val="none" w:sz="0" w:space="0" w:color="auto"/>
            <w:right w:val="none" w:sz="0" w:space="0" w:color="auto"/>
          </w:divBdr>
        </w:div>
        <w:div w:id="253900915">
          <w:marLeft w:val="1985"/>
          <w:marRight w:val="0"/>
          <w:marTop w:val="60"/>
          <w:marBottom w:val="0"/>
          <w:divBdr>
            <w:top w:val="none" w:sz="0" w:space="0" w:color="auto"/>
            <w:left w:val="none" w:sz="0" w:space="0" w:color="auto"/>
            <w:bottom w:val="none" w:sz="0" w:space="0" w:color="auto"/>
            <w:right w:val="none" w:sz="0" w:space="0" w:color="auto"/>
          </w:divBdr>
        </w:div>
        <w:div w:id="999233365">
          <w:marLeft w:val="1985"/>
          <w:marRight w:val="0"/>
          <w:marTop w:val="60"/>
          <w:marBottom w:val="0"/>
          <w:divBdr>
            <w:top w:val="none" w:sz="0" w:space="0" w:color="auto"/>
            <w:left w:val="none" w:sz="0" w:space="0" w:color="auto"/>
            <w:bottom w:val="none" w:sz="0" w:space="0" w:color="auto"/>
            <w:right w:val="none" w:sz="0" w:space="0" w:color="auto"/>
          </w:divBdr>
        </w:div>
      </w:divsChild>
    </w:div>
    <w:div w:id="1073162040">
      <w:bodyDiv w:val="1"/>
      <w:marLeft w:val="0"/>
      <w:marRight w:val="0"/>
      <w:marTop w:val="0"/>
      <w:marBottom w:val="0"/>
      <w:divBdr>
        <w:top w:val="none" w:sz="0" w:space="0" w:color="auto"/>
        <w:left w:val="none" w:sz="0" w:space="0" w:color="auto"/>
        <w:bottom w:val="none" w:sz="0" w:space="0" w:color="auto"/>
        <w:right w:val="none" w:sz="0" w:space="0" w:color="auto"/>
      </w:divBdr>
    </w:div>
    <w:div w:id="1184124807">
      <w:bodyDiv w:val="1"/>
      <w:marLeft w:val="0"/>
      <w:marRight w:val="0"/>
      <w:marTop w:val="0"/>
      <w:marBottom w:val="0"/>
      <w:divBdr>
        <w:top w:val="none" w:sz="0" w:space="0" w:color="auto"/>
        <w:left w:val="none" w:sz="0" w:space="0" w:color="auto"/>
        <w:bottom w:val="none" w:sz="0" w:space="0" w:color="auto"/>
        <w:right w:val="none" w:sz="0" w:space="0" w:color="auto"/>
      </w:divBdr>
    </w:div>
    <w:div w:id="1278610310">
      <w:bodyDiv w:val="1"/>
      <w:marLeft w:val="0"/>
      <w:marRight w:val="0"/>
      <w:marTop w:val="0"/>
      <w:marBottom w:val="0"/>
      <w:divBdr>
        <w:top w:val="none" w:sz="0" w:space="0" w:color="auto"/>
        <w:left w:val="none" w:sz="0" w:space="0" w:color="auto"/>
        <w:bottom w:val="none" w:sz="0" w:space="0" w:color="auto"/>
        <w:right w:val="none" w:sz="0" w:space="0" w:color="auto"/>
      </w:divBdr>
      <w:divsChild>
        <w:div w:id="1657879201">
          <w:marLeft w:val="0"/>
          <w:marRight w:val="0"/>
          <w:marTop w:val="120"/>
          <w:marBottom w:val="0"/>
          <w:divBdr>
            <w:top w:val="none" w:sz="0" w:space="0" w:color="auto"/>
            <w:left w:val="none" w:sz="0" w:space="0" w:color="auto"/>
            <w:bottom w:val="none" w:sz="0" w:space="0" w:color="auto"/>
            <w:right w:val="none" w:sz="0" w:space="0" w:color="auto"/>
          </w:divBdr>
        </w:div>
      </w:divsChild>
    </w:div>
    <w:div w:id="1334601718">
      <w:bodyDiv w:val="1"/>
      <w:marLeft w:val="0"/>
      <w:marRight w:val="0"/>
      <w:marTop w:val="0"/>
      <w:marBottom w:val="0"/>
      <w:divBdr>
        <w:top w:val="none" w:sz="0" w:space="0" w:color="auto"/>
        <w:left w:val="none" w:sz="0" w:space="0" w:color="auto"/>
        <w:bottom w:val="none" w:sz="0" w:space="0" w:color="auto"/>
        <w:right w:val="none" w:sz="0" w:space="0" w:color="auto"/>
      </w:divBdr>
      <w:divsChild>
        <w:div w:id="1221213736">
          <w:marLeft w:val="0"/>
          <w:marRight w:val="0"/>
          <w:marTop w:val="120"/>
          <w:marBottom w:val="0"/>
          <w:divBdr>
            <w:top w:val="none" w:sz="0" w:space="0" w:color="auto"/>
            <w:left w:val="none" w:sz="0" w:space="0" w:color="auto"/>
            <w:bottom w:val="none" w:sz="0" w:space="0" w:color="auto"/>
            <w:right w:val="none" w:sz="0" w:space="0" w:color="auto"/>
          </w:divBdr>
        </w:div>
        <w:div w:id="396828046">
          <w:marLeft w:val="0"/>
          <w:marRight w:val="0"/>
          <w:marTop w:val="120"/>
          <w:marBottom w:val="0"/>
          <w:divBdr>
            <w:top w:val="none" w:sz="0" w:space="0" w:color="auto"/>
            <w:left w:val="none" w:sz="0" w:space="0" w:color="auto"/>
            <w:bottom w:val="none" w:sz="0" w:space="0" w:color="auto"/>
            <w:right w:val="none" w:sz="0" w:space="0" w:color="auto"/>
          </w:divBdr>
        </w:div>
        <w:div w:id="1825775519">
          <w:marLeft w:val="0"/>
          <w:marRight w:val="0"/>
          <w:marTop w:val="240"/>
          <w:marBottom w:val="24"/>
          <w:divBdr>
            <w:top w:val="single" w:sz="8" w:space="2" w:color="808080"/>
            <w:left w:val="none" w:sz="0" w:space="0" w:color="auto"/>
            <w:bottom w:val="none" w:sz="0" w:space="0" w:color="auto"/>
            <w:right w:val="none" w:sz="0" w:space="0" w:color="auto"/>
          </w:divBdr>
        </w:div>
        <w:div w:id="770902457">
          <w:marLeft w:val="0"/>
          <w:marRight w:val="0"/>
          <w:marTop w:val="120"/>
          <w:marBottom w:val="0"/>
          <w:divBdr>
            <w:top w:val="none" w:sz="0" w:space="0" w:color="auto"/>
            <w:left w:val="none" w:sz="0" w:space="0" w:color="auto"/>
            <w:bottom w:val="none" w:sz="0" w:space="0" w:color="auto"/>
            <w:right w:val="none" w:sz="0" w:space="0" w:color="auto"/>
          </w:divBdr>
        </w:div>
        <w:div w:id="2036997201">
          <w:marLeft w:val="0"/>
          <w:marRight w:val="0"/>
          <w:marTop w:val="120"/>
          <w:marBottom w:val="0"/>
          <w:divBdr>
            <w:top w:val="none" w:sz="0" w:space="0" w:color="auto"/>
            <w:left w:val="none" w:sz="0" w:space="0" w:color="auto"/>
            <w:bottom w:val="none" w:sz="0" w:space="0" w:color="auto"/>
            <w:right w:val="none" w:sz="0" w:space="0" w:color="auto"/>
          </w:divBdr>
        </w:div>
      </w:divsChild>
    </w:div>
    <w:div w:id="1376469505">
      <w:bodyDiv w:val="1"/>
      <w:marLeft w:val="0"/>
      <w:marRight w:val="0"/>
      <w:marTop w:val="0"/>
      <w:marBottom w:val="0"/>
      <w:divBdr>
        <w:top w:val="none" w:sz="0" w:space="0" w:color="auto"/>
        <w:left w:val="none" w:sz="0" w:space="0" w:color="auto"/>
        <w:bottom w:val="none" w:sz="0" w:space="0" w:color="auto"/>
        <w:right w:val="none" w:sz="0" w:space="0" w:color="auto"/>
      </w:divBdr>
      <w:divsChild>
        <w:div w:id="774443057">
          <w:marLeft w:val="0"/>
          <w:marRight w:val="0"/>
          <w:marTop w:val="120"/>
          <w:marBottom w:val="0"/>
          <w:divBdr>
            <w:top w:val="none" w:sz="0" w:space="0" w:color="auto"/>
            <w:left w:val="none" w:sz="0" w:space="0" w:color="auto"/>
            <w:bottom w:val="none" w:sz="0" w:space="0" w:color="auto"/>
            <w:right w:val="none" w:sz="0" w:space="0" w:color="auto"/>
          </w:divBdr>
        </w:div>
        <w:div w:id="573322042">
          <w:marLeft w:val="0"/>
          <w:marRight w:val="0"/>
          <w:marTop w:val="120"/>
          <w:marBottom w:val="0"/>
          <w:divBdr>
            <w:top w:val="none" w:sz="0" w:space="0" w:color="auto"/>
            <w:left w:val="none" w:sz="0" w:space="0" w:color="auto"/>
            <w:bottom w:val="none" w:sz="0" w:space="0" w:color="auto"/>
            <w:right w:val="none" w:sz="0" w:space="0" w:color="auto"/>
          </w:divBdr>
        </w:div>
        <w:div w:id="1118718874">
          <w:marLeft w:val="0"/>
          <w:marRight w:val="0"/>
          <w:marTop w:val="240"/>
          <w:marBottom w:val="24"/>
          <w:divBdr>
            <w:top w:val="single" w:sz="8" w:space="2" w:color="808080"/>
            <w:left w:val="none" w:sz="0" w:space="0" w:color="auto"/>
            <w:bottom w:val="none" w:sz="0" w:space="0" w:color="auto"/>
            <w:right w:val="none" w:sz="0" w:space="0" w:color="auto"/>
          </w:divBdr>
        </w:div>
        <w:div w:id="11491127">
          <w:marLeft w:val="0"/>
          <w:marRight w:val="0"/>
          <w:marTop w:val="120"/>
          <w:marBottom w:val="0"/>
          <w:divBdr>
            <w:top w:val="none" w:sz="0" w:space="0" w:color="auto"/>
            <w:left w:val="none" w:sz="0" w:space="0" w:color="auto"/>
            <w:bottom w:val="none" w:sz="0" w:space="0" w:color="auto"/>
            <w:right w:val="none" w:sz="0" w:space="0" w:color="auto"/>
          </w:divBdr>
        </w:div>
        <w:div w:id="1840272576">
          <w:marLeft w:val="0"/>
          <w:marRight w:val="0"/>
          <w:marTop w:val="120"/>
          <w:marBottom w:val="0"/>
          <w:divBdr>
            <w:top w:val="none" w:sz="0" w:space="0" w:color="auto"/>
            <w:left w:val="none" w:sz="0" w:space="0" w:color="auto"/>
            <w:bottom w:val="none" w:sz="0" w:space="0" w:color="auto"/>
            <w:right w:val="none" w:sz="0" w:space="0" w:color="auto"/>
          </w:divBdr>
        </w:div>
        <w:div w:id="1697805112">
          <w:marLeft w:val="0"/>
          <w:marRight w:val="0"/>
          <w:marTop w:val="120"/>
          <w:marBottom w:val="0"/>
          <w:divBdr>
            <w:top w:val="none" w:sz="0" w:space="0" w:color="auto"/>
            <w:left w:val="none" w:sz="0" w:space="0" w:color="auto"/>
            <w:bottom w:val="none" w:sz="0" w:space="0" w:color="auto"/>
            <w:right w:val="none" w:sz="0" w:space="0" w:color="auto"/>
          </w:divBdr>
        </w:div>
        <w:div w:id="1626621440">
          <w:marLeft w:val="567"/>
          <w:marRight w:val="0"/>
          <w:marTop w:val="60"/>
          <w:marBottom w:val="0"/>
          <w:divBdr>
            <w:top w:val="none" w:sz="0" w:space="0" w:color="auto"/>
            <w:left w:val="none" w:sz="0" w:space="0" w:color="auto"/>
            <w:bottom w:val="none" w:sz="0" w:space="0" w:color="auto"/>
            <w:right w:val="none" w:sz="0" w:space="0" w:color="auto"/>
          </w:divBdr>
        </w:div>
        <w:div w:id="118183538">
          <w:marLeft w:val="567"/>
          <w:marRight w:val="0"/>
          <w:marTop w:val="60"/>
          <w:marBottom w:val="0"/>
          <w:divBdr>
            <w:top w:val="none" w:sz="0" w:space="0" w:color="auto"/>
            <w:left w:val="none" w:sz="0" w:space="0" w:color="auto"/>
            <w:bottom w:val="none" w:sz="0" w:space="0" w:color="auto"/>
            <w:right w:val="none" w:sz="0" w:space="0" w:color="auto"/>
          </w:divBdr>
        </w:div>
        <w:div w:id="2130973122">
          <w:marLeft w:val="567"/>
          <w:marRight w:val="0"/>
          <w:marTop w:val="60"/>
          <w:marBottom w:val="0"/>
          <w:divBdr>
            <w:top w:val="none" w:sz="0" w:space="0" w:color="auto"/>
            <w:left w:val="none" w:sz="0" w:space="0" w:color="auto"/>
            <w:bottom w:val="none" w:sz="0" w:space="0" w:color="auto"/>
            <w:right w:val="none" w:sz="0" w:space="0" w:color="auto"/>
          </w:divBdr>
        </w:div>
        <w:div w:id="1406029030">
          <w:marLeft w:val="567"/>
          <w:marRight w:val="0"/>
          <w:marTop w:val="60"/>
          <w:marBottom w:val="0"/>
          <w:divBdr>
            <w:top w:val="none" w:sz="0" w:space="0" w:color="auto"/>
            <w:left w:val="none" w:sz="0" w:space="0" w:color="auto"/>
            <w:bottom w:val="none" w:sz="0" w:space="0" w:color="auto"/>
            <w:right w:val="none" w:sz="0" w:space="0" w:color="auto"/>
          </w:divBdr>
        </w:div>
        <w:div w:id="1149130188">
          <w:marLeft w:val="567"/>
          <w:marRight w:val="0"/>
          <w:marTop w:val="60"/>
          <w:marBottom w:val="0"/>
          <w:divBdr>
            <w:top w:val="none" w:sz="0" w:space="0" w:color="auto"/>
            <w:left w:val="none" w:sz="0" w:space="0" w:color="auto"/>
            <w:bottom w:val="none" w:sz="0" w:space="0" w:color="auto"/>
            <w:right w:val="none" w:sz="0" w:space="0" w:color="auto"/>
          </w:divBdr>
        </w:div>
        <w:div w:id="525607280">
          <w:marLeft w:val="567"/>
          <w:marRight w:val="0"/>
          <w:marTop w:val="60"/>
          <w:marBottom w:val="0"/>
          <w:divBdr>
            <w:top w:val="none" w:sz="0" w:space="0" w:color="auto"/>
            <w:left w:val="none" w:sz="0" w:space="0" w:color="auto"/>
            <w:bottom w:val="none" w:sz="0" w:space="0" w:color="auto"/>
            <w:right w:val="none" w:sz="0" w:space="0" w:color="auto"/>
          </w:divBdr>
        </w:div>
        <w:div w:id="1523008926">
          <w:marLeft w:val="567"/>
          <w:marRight w:val="0"/>
          <w:marTop w:val="60"/>
          <w:marBottom w:val="0"/>
          <w:divBdr>
            <w:top w:val="none" w:sz="0" w:space="0" w:color="auto"/>
            <w:left w:val="none" w:sz="0" w:space="0" w:color="auto"/>
            <w:bottom w:val="none" w:sz="0" w:space="0" w:color="auto"/>
            <w:right w:val="none" w:sz="0" w:space="0" w:color="auto"/>
          </w:divBdr>
        </w:div>
        <w:div w:id="1828672249">
          <w:marLeft w:val="567"/>
          <w:marRight w:val="0"/>
          <w:marTop w:val="60"/>
          <w:marBottom w:val="0"/>
          <w:divBdr>
            <w:top w:val="none" w:sz="0" w:space="0" w:color="auto"/>
            <w:left w:val="none" w:sz="0" w:space="0" w:color="auto"/>
            <w:bottom w:val="none" w:sz="0" w:space="0" w:color="auto"/>
            <w:right w:val="none" w:sz="0" w:space="0" w:color="auto"/>
          </w:divBdr>
        </w:div>
        <w:div w:id="971785037">
          <w:marLeft w:val="0"/>
          <w:marRight w:val="0"/>
          <w:marTop w:val="120"/>
          <w:marBottom w:val="0"/>
          <w:divBdr>
            <w:top w:val="none" w:sz="0" w:space="0" w:color="auto"/>
            <w:left w:val="none" w:sz="0" w:space="0" w:color="auto"/>
            <w:bottom w:val="none" w:sz="0" w:space="0" w:color="auto"/>
            <w:right w:val="none" w:sz="0" w:space="0" w:color="auto"/>
          </w:divBdr>
        </w:div>
        <w:div w:id="107093661">
          <w:marLeft w:val="0"/>
          <w:marRight w:val="0"/>
          <w:marTop w:val="120"/>
          <w:marBottom w:val="0"/>
          <w:divBdr>
            <w:top w:val="none" w:sz="0" w:space="0" w:color="auto"/>
            <w:left w:val="none" w:sz="0" w:space="0" w:color="auto"/>
            <w:bottom w:val="none" w:sz="0" w:space="0" w:color="auto"/>
            <w:right w:val="none" w:sz="0" w:space="0" w:color="auto"/>
          </w:divBdr>
        </w:div>
        <w:div w:id="1842575110">
          <w:marLeft w:val="0"/>
          <w:marRight w:val="0"/>
          <w:marTop w:val="240"/>
          <w:marBottom w:val="24"/>
          <w:divBdr>
            <w:top w:val="single" w:sz="8" w:space="2" w:color="808080"/>
            <w:left w:val="none" w:sz="0" w:space="0" w:color="auto"/>
            <w:bottom w:val="none" w:sz="0" w:space="0" w:color="auto"/>
            <w:right w:val="none" w:sz="0" w:space="0" w:color="auto"/>
          </w:divBdr>
        </w:div>
        <w:div w:id="1232691753">
          <w:marLeft w:val="0"/>
          <w:marRight w:val="0"/>
          <w:marTop w:val="120"/>
          <w:marBottom w:val="0"/>
          <w:divBdr>
            <w:top w:val="none" w:sz="0" w:space="0" w:color="auto"/>
            <w:left w:val="none" w:sz="0" w:space="0" w:color="auto"/>
            <w:bottom w:val="none" w:sz="0" w:space="0" w:color="auto"/>
            <w:right w:val="none" w:sz="0" w:space="0" w:color="auto"/>
          </w:divBdr>
        </w:div>
        <w:div w:id="1536311226">
          <w:marLeft w:val="0"/>
          <w:marRight w:val="0"/>
          <w:marTop w:val="120"/>
          <w:marBottom w:val="0"/>
          <w:divBdr>
            <w:top w:val="none" w:sz="0" w:space="0" w:color="auto"/>
            <w:left w:val="none" w:sz="0" w:space="0" w:color="auto"/>
            <w:bottom w:val="none" w:sz="0" w:space="0" w:color="auto"/>
            <w:right w:val="none" w:sz="0" w:space="0" w:color="auto"/>
          </w:divBdr>
        </w:div>
        <w:div w:id="1799493152">
          <w:marLeft w:val="567"/>
          <w:marRight w:val="0"/>
          <w:marTop w:val="60"/>
          <w:marBottom w:val="0"/>
          <w:divBdr>
            <w:top w:val="none" w:sz="0" w:space="0" w:color="auto"/>
            <w:left w:val="none" w:sz="0" w:space="0" w:color="auto"/>
            <w:bottom w:val="none" w:sz="0" w:space="0" w:color="auto"/>
            <w:right w:val="none" w:sz="0" w:space="0" w:color="auto"/>
          </w:divBdr>
        </w:div>
      </w:divsChild>
    </w:div>
    <w:div w:id="1377703366">
      <w:bodyDiv w:val="1"/>
      <w:marLeft w:val="0"/>
      <w:marRight w:val="0"/>
      <w:marTop w:val="0"/>
      <w:marBottom w:val="0"/>
      <w:divBdr>
        <w:top w:val="none" w:sz="0" w:space="0" w:color="auto"/>
        <w:left w:val="none" w:sz="0" w:space="0" w:color="auto"/>
        <w:bottom w:val="none" w:sz="0" w:space="0" w:color="auto"/>
        <w:right w:val="none" w:sz="0" w:space="0" w:color="auto"/>
      </w:divBdr>
      <w:divsChild>
        <w:div w:id="1998730498">
          <w:marLeft w:val="0"/>
          <w:marRight w:val="0"/>
          <w:marTop w:val="120"/>
          <w:marBottom w:val="0"/>
          <w:divBdr>
            <w:top w:val="none" w:sz="0" w:space="0" w:color="auto"/>
            <w:left w:val="none" w:sz="0" w:space="0" w:color="auto"/>
            <w:bottom w:val="none" w:sz="0" w:space="0" w:color="auto"/>
            <w:right w:val="none" w:sz="0" w:space="0" w:color="auto"/>
          </w:divBdr>
        </w:div>
        <w:div w:id="410082869">
          <w:marLeft w:val="0"/>
          <w:marRight w:val="0"/>
          <w:marTop w:val="120"/>
          <w:marBottom w:val="0"/>
          <w:divBdr>
            <w:top w:val="none" w:sz="0" w:space="0" w:color="auto"/>
            <w:left w:val="none" w:sz="0" w:space="0" w:color="auto"/>
            <w:bottom w:val="none" w:sz="0" w:space="0" w:color="auto"/>
            <w:right w:val="none" w:sz="0" w:space="0" w:color="auto"/>
          </w:divBdr>
        </w:div>
        <w:div w:id="1301375625">
          <w:marLeft w:val="0"/>
          <w:marRight w:val="0"/>
          <w:marTop w:val="240"/>
          <w:marBottom w:val="24"/>
          <w:divBdr>
            <w:top w:val="single" w:sz="8" w:space="2" w:color="808080"/>
            <w:left w:val="none" w:sz="0" w:space="0" w:color="auto"/>
            <w:bottom w:val="none" w:sz="0" w:space="0" w:color="auto"/>
            <w:right w:val="none" w:sz="0" w:space="0" w:color="auto"/>
          </w:divBdr>
        </w:div>
        <w:div w:id="1029837125">
          <w:marLeft w:val="0"/>
          <w:marRight w:val="0"/>
          <w:marTop w:val="120"/>
          <w:marBottom w:val="0"/>
          <w:divBdr>
            <w:top w:val="none" w:sz="0" w:space="0" w:color="auto"/>
            <w:left w:val="none" w:sz="0" w:space="0" w:color="auto"/>
            <w:bottom w:val="none" w:sz="0" w:space="0" w:color="auto"/>
            <w:right w:val="none" w:sz="0" w:space="0" w:color="auto"/>
          </w:divBdr>
        </w:div>
        <w:div w:id="503934729">
          <w:marLeft w:val="0"/>
          <w:marRight w:val="0"/>
          <w:marTop w:val="120"/>
          <w:marBottom w:val="0"/>
          <w:divBdr>
            <w:top w:val="none" w:sz="0" w:space="0" w:color="auto"/>
            <w:left w:val="none" w:sz="0" w:space="0" w:color="auto"/>
            <w:bottom w:val="none" w:sz="0" w:space="0" w:color="auto"/>
            <w:right w:val="none" w:sz="0" w:space="0" w:color="auto"/>
          </w:divBdr>
        </w:div>
      </w:divsChild>
    </w:div>
    <w:div w:id="1550921843">
      <w:bodyDiv w:val="1"/>
      <w:marLeft w:val="0"/>
      <w:marRight w:val="0"/>
      <w:marTop w:val="0"/>
      <w:marBottom w:val="0"/>
      <w:divBdr>
        <w:top w:val="none" w:sz="0" w:space="0" w:color="auto"/>
        <w:left w:val="none" w:sz="0" w:space="0" w:color="auto"/>
        <w:bottom w:val="none" w:sz="0" w:space="0" w:color="auto"/>
        <w:right w:val="none" w:sz="0" w:space="0" w:color="auto"/>
      </w:divBdr>
      <w:divsChild>
        <w:div w:id="7875716">
          <w:marLeft w:val="0"/>
          <w:marRight w:val="0"/>
          <w:marTop w:val="120"/>
          <w:marBottom w:val="0"/>
          <w:divBdr>
            <w:top w:val="none" w:sz="0" w:space="0" w:color="auto"/>
            <w:left w:val="none" w:sz="0" w:space="0" w:color="auto"/>
            <w:bottom w:val="none" w:sz="0" w:space="0" w:color="auto"/>
            <w:right w:val="none" w:sz="0" w:space="0" w:color="auto"/>
          </w:divBdr>
        </w:div>
        <w:div w:id="1373113394">
          <w:marLeft w:val="0"/>
          <w:marRight w:val="0"/>
          <w:marTop w:val="120"/>
          <w:marBottom w:val="0"/>
          <w:divBdr>
            <w:top w:val="none" w:sz="0" w:space="0" w:color="auto"/>
            <w:left w:val="none" w:sz="0" w:space="0" w:color="auto"/>
            <w:bottom w:val="none" w:sz="0" w:space="0" w:color="auto"/>
            <w:right w:val="none" w:sz="0" w:space="0" w:color="auto"/>
          </w:divBdr>
        </w:div>
        <w:div w:id="1703247539">
          <w:marLeft w:val="0"/>
          <w:marRight w:val="0"/>
          <w:marTop w:val="240"/>
          <w:marBottom w:val="24"/>
          <w:divBdr>
            <w:top w:val="single" w:sz="8" w:space="2" w:color="808080"/>
            <w:left w:val="none" w:sz="0" w:space="0" w:color="auto"/>
            <w:bottom w:val="none" w:sz="0" w:space="0" w:color="auto"/>
            <w:right w:val="none" w:sz="0" w:space="0" w:color="auto"/>
          </w:divBdr>
        </w:div>
        <w:div w:id="1332367136">
          <w:marLeft w:val="0"/>
          <w:marRight w:val="0"/>
          <w:marTop w:val="120"/>
          <w:marBottom w:val="0"/>
          <w:divBdr>
            <w:top w:val="none" w:sz="0" w:space="0" w:color="auto"/>
            <w:left w:val="none" w:sz="0" w:space="0" w:color="auto"/>
            <w:bottom w:val="none" w:sz="0" w:space="0" w:color="auto"/>
            <w:right w:val="none" w:sz="0" w:space="0" w:color="auto"/>
          </w:divBdr>
        </w:div>
        <w:div w:id="815220109">
          <w:marLeft w:val="0"/>
          <w:marRight w:val="0"/>
          <w:marTop w:val="120"/>
          <w:marBottom w:val="0"/>
          <w:divBdr>
            <w:top w:val="none" w:sz="0" w:space="0" w:color="auto"/>
            <w:left w:val="none" w:sz="0" w:space="0" w:color="auto"/>
            <w:bottom w:val="none" w:sz="0" w:space="0" w:color="auto"/>
            <w:right w:val="none" w:sz="0" w:space="0" w:color="auto"/>
          </w:divBdr>
        </w:div>
      </w:divsChild>
    </w:div>
    <w:div w:id="202743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1731-0A9A-45CB-BDB8-06BF295D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11686</Words>
  <Characters>66611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Mariana Anguelov</cp:lastModifiedBy>
  <cp:revision>3</cp:revision>
  <cp:lastPrinted>2023-02-10T15:00:00Z</cp:lastPrinted>
  <dcterms:created xsi:type="dcterms:W3CDTF">2023-02-15T14:07:00Z</dcterms:created>
  <dcterms:modified xsi:type="dcterms:W3CDTF">2023-02-15T19:35:00Z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e32bda43b1a1c2441cd24c6efd9db821ad7e189c7a5d0d160c69a304941d464d</vt:lpwstr>
  </property>
</Properties>
</file>