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DADD" w14:textId="77777777" w:rsidR="00E96F12" w:rsidRDefault="00E96F12" w:rsidP="002D5032">
      <w:pPr>
        <w:pStyle w:val="Subtitle"/>
        <w:spacing w:after="0" w:line="240" w:lineRule="auto"/>
        <w:jc w:val="center"/>
      </w:pPr>
    </w:p>
    <w:p w14:paraId="2660BD49" w14:textId="44B0A103" w:rsidR="002D5032" w:rsidRDefault="002D5032" w:rsidP="002D5032">
      <w:pPr>
        <w:pStyle w:val="Subtitle"/>
        <w:spacing w:after="0" w:line="240" w:lineRule="auto"/>
        <w:jc w:val="center"/>
      </w:pPr>
      <w:r>
        <w:rPr>
          <w:noProof/>
          <w:lang w:val="en-US"/>
        </w:rPr>
        <w:drawing>
          <wp:anchor distT="0" distB="0" distL="114300" distR="114300" simplePos="0" relativeHeight="251659264" behindDoc="0" locked="0" layoutInCell="1" allowOverlap="1" wp14:anchorId="2660BD6F" wp14:editId="2660BD70">
            <wp:simplePos x="0" y="0"/>
            <wp:positionH relativeFrom="margin">
              <wp:posOffset>2432844</wp:posOffset>
            </wp:positionH>
            <wp:positionV relativeFrom="paragraph">
              <wp:posOffset>-437356</wp:posOffset>
            </wp:positionV>
            <wp:extent cx="1086170" cy="1086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170" cy="1086170"/>
                    </a:xfrm>
                    <a:prstGeom prst="rect">
                      <a:avLst/>
                    </a:prstGeom>
                    <a:noFill/>
                  </pic:spPr>
                </pic:pic>
              </a:graphicData>
            </a:graphic>
            <wp14:sizeRelH relativeFrom="page">
              <wp14:pctWidth>0</wp14:pctWidth>
            </wp14:sizeRelH>
            <wp14:sizeRelV relativeFrom="page">
              <wp14:pctHeight>0</wp14:pctHeight>
            </wp14:sizeRelV>
          </wp:anchor>
        </w:drawing>
      </w:r>
    </w:p>
    <w:p w14:paraId="2660BD4A" w14:textId="77777777" w:rsidR="002D5032" w:rsidRDefault="002D5032" w:rsidP="002D5032">
      <w:pPr>
        <w:pStyle w:val="Subtitle"/>
        <w:spacing w:after="0" w:line="240" w:lineRule="auto"/>
        <w:jc w:val="center"/>
      </w:pPr>
      <w:r>
        <w:object w:dxaOrig="567" w:dyaOrig="567" w14:anchorId="2660B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9" o:title=""/>
          </v:shape>
          <o:OLEObject Type="Embed" ProgID="Olympus.Recording" ShapeID="_x0000_i1025" DrawAspect="Content" ObjectID="_1757759205" r:id="rId10"/>
        </w:object>
      </w:r>
    </w:p>
    <w:p w14:paraId="2660BD4B" w14:textId="77777777" w:rsidR="002D5032" w:rsidRDefault="002D5032" w:rsidP="002D5032">
      <w:pPr>
        <w:pStyle w:val="Header"/>
        <w:widowControl w:val="0"/>
        <w:tabs>
          <w:tab w:val="clear" w:pos="4320"/>
          <w:tab w:val="clear" w:pos="8640"/>
        </w:tabs>
        <w:spacing w:line="360" w:lineRule="auto"/>
        <w:jc w:val="center"/>
        <w:rPr>
          <w:rFonts w:cs="Arial"/>
          <w:b/>
          <w:szCs w:val="24"/>
        </w:rPr>
      </w:pPr>
    </w:p>
    <w:p w14:paraId="2660BD4C" w14:textId="77777777" w:rsidR="002D5032" w:rsidRDefault="002D5032" w:rsidP="002D5032">
      <w:pPr>
        <w:pStyle w:val="Header"/>
        <w:widowControl w:val="0"/>
        <w:tabs>
          <w:tab w:val="clear" w:pos="4320"/>
          <w:tab w:val="clear" w:pos="8640"/>
        </w:tabs>
        <w:spacing w:line="360" w:lineRule="auto"/>
        <w:jc w:val="center"/>
        <w:rPr>
          <w:rFonts w:cs="Arial"/>
          <w:b/>
          <w:szCs w:val="24"/>
        </w:rPr>
      </w:pPr>
    </w:p>
    <w:p w14:paraId="2660BD4D" w14:textId="77777777" w:rsidR="002D5032" w:rsidRPr="004D75A6" w:rsidRDefault="002D5032" w:rsidP="002D5032">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14:paraId="2660BD4E" w14:textId="2F84720A" w:rsidR="002D5032" w:rsidRPr="004D75A6" w:rsidRDefault="002D5032" w:rsidP="002D5032">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EE2316">
        <w:rPr>
          <w:rFonts w:ascii="Arial" w:hAnsi="Arial" w:cs="Arial"/>
          <w:b/>
          <w:sz w:val="24"/>
          <w:szCs w:val="24"/>
        </w:rPr>
        <w:t>BHISHO</w:t>
      </w:r>
    </w:p>
    <w:p w14:paraId="2660BD4F" w14:textId="77777777" w:rsidR="002D5032" w:rsidRDefault="002D5032" w:rsidP="002D5032">
      <w:pPr>
        <w:widowControl w:val="0"/>
        <w:tabs>
          <w:tab w:val="right" w:pos="9213"/>
        </w:tabs>
        <w:spacing w:after="0" w:line="240" w:lineRule="auto"/>
        <w:rPr>
          <w:rFonts w:ascii="Arial" w:hAnsi="Arial" w:cs="Arial"/>
          <w:b/>
          <w:sz w:val="24"/>
          <w:szCs w:val="24"/>
        </w:rPr>
      </w:pPr>
    </w:p>
    <w:p w14:paraId="2660BD50" w14:textId="4EB69C09" w:rsidR="002D5032" w:rsidRDefault="002D5032" w:rsidP="002D5032">
      <w:pPr>
        <w:widowControl w:val="0"/>
        <w:tabs>
          <w:tab w:val="right" w:pos="9213"/>
        </w:tabs>
        <w:spacing w:after="0" w:line="240" w:lineRule="auto"/>
        <w:rPr>
          <w:rFonts w:ascii="Arial" w:hAnsi="Arial" w:cs="Arial"/>
          <w:b/>
          <w:sz w:val="24"/>
          <w:szCs w:val="24"/>
        </w:rPr>
      </w:pPr>
      <w:r>
        <w:rPr>
          <w:rFonts w:ascii="Arial" w:hAnsi="Arial" w:cs="Arial"/>
          <w:b/>
          <w:sz w:val="24"/>
          <w:szCs w:val="24"/>
        </w:rPr>
        <w:tab/>
        <w:t xml:space="preserve">CASE NO: </w:t>
      </w:r>
      <w:r w:rsidR="0044699C">
        <w:rPr>
          <w:rFonts w:ascii="Arial" w:hAnsi="Arial" w:cs="Arial"/>
          <w:b/>
          <w:sz w:val="24"/>
          <w:szCs w:val="24"/>
        </w:rPr>
        <w:t>CA &amp; R:</w:t>
      </w:r>
      <w:r w:rsidR="00E922E4">
        <w:rPr>
          <w:rFonts w:ascii="Arial" w:hAnsi="Arial" w:cs="Arial"/>
          <w:b/>
          <w:sz w:val="24"/>
          <w:szCs w:val="24"/>
        </w:rPr>
        <w:t xml:space="preserve"> 23/2023</w:t>
      </w:r>
    </w:p>
    <w:p w14:paraId="2660BD51" w14:textId="62D51621" w:rsidR="002D5032" w:rsidRDefault="002D5032" w:rsidP="002D5032">
      <w:pPr>
        <w:widowControl w:val="0"/>
        <w:tabs>
          <w:tab w:val="right" w:pos="9213"/>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3A44E3">
        <w:rPr>
          <w:rFonts w:ascii="Arial" w:hAnsi="Arial" w:cs="Arial"/>
          <w:b/>
          <w:sz w:val="24"/>
          <w:szCs w:val="24"/>
        </w:rPr>
        <w:t>Delivered on</w:t>
      </w:r>
      <w:r w:rsidR="001543F2">
        <w:rPr>
          <w:rFonts w:ascii="Arial" w:hAnsi="Arial" w:cs="Arial"/>
          <w:b/>
          <w:sz w:val="24"/>
          <w:szCs w:val="24"/>
        </w:rPr>
        <w:t xml:space="preserve"> </w:t>
      </w:r>
      <w:r w:rsidR="0068152F">
        <w:rPr>
          <w:rFonts w:ascii="Arial" w:hAnsi="Arial" w:cs="Arial"/>
          <w:b/>
          <w:sz w:val="24"/>
          <w:szCs w:val="24"/>
        </w:rPr>
        <w:t>7</w:t>
      </w:r>
      <w:r w:rsidR="0078699D">
        <w:rPr>
          <w:rFonts w:ascii="Arial" w:hAnsi="Arial" w:cs="Arial"/>
          <w:b/>
          <w:sz w:val="24"/>
          <w:szCs w:val="24"/>
        </w:rPr>
        <w:t xml:space="preserve"> September 2023</w:t>
      </w:r>
    </w:p>
    <w:p w14:paraId="2660BD52" w14:textId="77777777" w:rsidR="002D5032" w:rsidRDefault="002D5032" w:rsidP="002D5032">
      <w:pPr>
        <w:widowControl w:val="0"/>
        <w:tabs>
          <w:tab w:val="right" w:pos="9213"/>
        </w:tabs>
        <w:spacing w:after="0" w:line="240" w:lineRule="auto"/>
        <w:jc w:val="right"/>
        <w:rPr>
          <w:rFonts w:ascii="Arial" w:hAnsi="Arial" w:cs="Arial"/>
          <w:b/>
          <w:sz w:val="24"/>
          <w:szCs w:val="24"/>
        </w:rPr>
      </w:pPr>
      <w:r>
        <w:rPr>
          <w:rFonts w:ascii="Arial" w:hAnsi="Arial" w:cs="Arial"/>
          <w:b/>
          <w:sz w:val="24"/>
          <w:szCs w:val="24"/>
        </w:rPr>
        <w:t xml:space="preserve"> </w:t>
      </w:r>
    </w:p>
    <w:p w14:paraId="2660BD53" w14:textId="77777777" w:rsidR="002D5032" w:rsidRDefault="002D5032" w:rsidP="002D5032">
      <w:pPr>
        <w:widowControl w:val="0"/>
        <w:tabs>
          <w:tab w:val="right" w:pos="9213"/>
        </w:tabs>
        <w:spacing w:after="0" w:line="240" w:lineRule="auto"/>
        <w:rPr>
          <w:rFonts w:ascii="Arial" w:hAnsi="Arial" w:cs="Arial"/>
          <w:b/>
          <w:sz w:val="24"/>
          <w:szCs w:val="24"/>
        </w:rPr>
      </w:pPr>
    </w:p>
    <w:p w14:paraId="2660BD54" w14:textId="77777777" w:rsidR="002D5032" w:rsidRDefault="002D5032" w:rsidP="002D5032">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14:paraId="2660BD55" w14:textId="77777777" w:rsidR="002D5032" w:rsidRPr="00FB3D54" w:rsidRDefault="002D5032" w:rsidP="002D5032">
      <w:pPr>
        <w:widowControl w:val="0"/>
        <w:tabs>
          <w:tab w:val="right" w:pos="8931"/>
        </w:tabs>
        <w:spacing w:after="0" w:line="240" w:lineRule="auto"/>
        <w:rPr>
          <w:rFonts w:ascii="Arial" w:hAnsi="Arial" w:cs="Arial"/>
          <w:b/>
          <w:sz w:val="24"/>
          <w:szCs w:val="24"/>
        </w:rPr>
      </w:pPr>
    </w:p>
    <w:p w14:paraId="2660BD56" w14:textId="77777777" w:rsidR="002D5032" w:rsidRPr="00FB3D54" w:rsidRDefault="002D5032" w:rsidP="002D5032">
      <w:pPr>
        <w:widowControl w:val="0"/>
        <w:tabs>
          <w:tab w:val="right" w:pos="8931"/>
        </w:tabs>
        <w:spacing w:after="0" w:line="360" w:lineRule="auto"/>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p>
    <w:p w14:paraId="2660BD57" w14:textId="77777777" w:rsidR="002D5032" w:rsidRPr="00FB3D54" w:rsidRDefault="002D5032" w:rsidP="002D5032">
      <w:pPr>
        <w:widowControl w:val="0"/>
        <w:tabs>
          <w:tab w:val="right" w:pos="8931"/>
        </w:tabs>
        <w:spacing w:after="0" w:line="240" w:lineRule="auto"/>
        <w:rPr>
          <w:rFonts w:ascii="Arial" w:hAnsi="Arial" w:cs="Arial"/>
          <w:b/>
          <w:sz w:val="24"/>
          <w:szCs w:val="24"/>
        </w:rPr>
      </w:pPr>
    </w:p>
    <w:p w14:paraId="2660BD58" w14:textId="77777777" w:rsidR="002D5032" w:rsidRPr="003F4C93" w:rsidRDefault="002D5032" w:rsidP="002D5032">
      <w:pPr>
        <w:widowControl w:val="0"/>
        <w:tabs>
          <w:tab w:val="right" w:pos="8931"/>
        </w:tabs>
        <w:spacing w:after="0" w:line="360" w:lineRule="auto"/>
        <w:rPr>
          <w:rFonts w:ascii="Arial" w:hAnsi="Arial" w:cs="Arial"/>
          <w:sz w:val="24"/>
          <w:szCs w:val="24"/>
        </w:rPr>
      </w:pPr>
      <w:r w:rsidRPr="003F4C93">
        <w:rPr>
          <w:rFonts w:ascii="Arial" w:hAnsi="Arial" w:cs="Arial"/>
          <w:sz w:val="24"/>
          <w:szCs w:val="24"/>
        </w:rPr>
        <w:t>and</w:t>
      </w:r>
    </w:p>
    <w:p w14:paraId="2660BD59" w14:textId="77777777" w:rsidR="002D5032" w:rsidRPr="00FB3D54" w:rsidRDefault="002D5032" w:rsidP="002D5032">
      <w:pPr>
        <w:widowControl w:val="0"/>
        <w:tabs>
          <w:tab w:val="right" w:pos="8931"/>
        </w:tabs>
        <w:spacing w:after="0" w:line="240" w:lineRule="auto"/>
        <w:rPr>
          <w:rFonts w:ascii="Arial" w:hAnsi="Arial" w:cs="Arial"/>
          <w:b/>
          <w:sz w:val="24"/>
          <w:szCs w:val="24"/>
        </w:rPr>
      </w:pPr>
    </w:p>
    <w:p w14:paraId="2660BD5A" w14:textId="14ED808A" w:rsidR="002D5032" w:rsidRPr="001D2CBA" w:rsidRDefault="001F511D" w:rsidP="002D5032">
      <w:pPr>
        <w:widowControl w:val="0"/>
        <w:tabs>
          <w:tab w:val="right" w:pos="8931"/>
        </w:tabs>
        <w:spacing w:after="0" w:line="360" w:lineRule="auto"/>
        <w:rPr>
          <w:rFonts w:ascii="Arial" w:hAnsi="Arial" w:cs="Arial"/>
          <w:b/>
          <w:sz w:val="24"/>
          <w:szCs w:val="24"/>
        </w:rPr>
      </w:pPr>
      <w:r>
        <w:rPr>
          <w:rFonts w:ascii="Arial" w:hAnsi="Arial" w:cs="Arial"/>
          <w:b/>
          <w:sz w:val="24"/>
          <w:szCs w:val="24"/>
        </w:rPr>
        <w:t>SABELO SALUSALU</w:t>
      </w:r>
      <w:r w:rsidR="002D5032" w:rsidRPr="001D2CBA">
        <w:rPr>
          <w:rFonts w:ascii="Arial" w:hAnsi="Arial" w:cs="Arial"/>
          <w:b/>
          <w:sz w:val="24"/>
          <w:szCs w:val="24"/>
        </w:rPr>
        <w:tab/>
        <w:t xml:space="preserve">   </w:t>
      </w:r>
    </w:p>
    <w:p w14:paraId="2660BD5B" w14:textId="77777777" w:rsidR="002D5032" w:rsidRDefault="002D5032" w:rsidP="002D5032">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14:paraId="2660BD5C" w14:textId="77777777" w:rsidR="002D5032" w:rsidRDefault="002D5032" w:rsidP="002D5032">
      <w:pPr>
        <w:spacing w:after="0" w:line="240" w:lineRule="auto"/>
        <w:rPr>
          <w:rFonts w:ascii="Arial" w:hAnsi="Arial" w:cs="Arial"/>
          <w:b/>
          <w:sz w:val="24"/>
          <w:szCs w:val="24"/>
        </w:rPr>
      </w:pPr>
    </w:p>
    <w:p w14:paraId="2660BD5D" w14:textId="77777777" w:rsidR="002D5032" w:rsidRDefault="002D5032" w:rsidP="002D5032">
      <w:pPr>
        <w:spacing w:after="0" w:line="240" w:lineRule="auto"/>
        <w:ind w:firstLine="720"/>
        <w:jc w:val="center"/>
        <w:rPr>
          <w:rFonts w:ascii="Arial" w:hAnsi="Arial" w:cs="Arial"/>
          <w:b/>
          <w:sz w:val="24"/>
          <w:szCs w:val="24"/>
        </w:rPr>
      </w:pPr>
      <w:r>
        <w:rPr>
          <w:rFonts w:ascii="Arial" w:hAnsi="Arial" w:cs="Arial"/>
          <w:b/>
          <w:sz w:val="24"/>
          <w:szCs w:val="24"/>
        </w:rPr>
        <w:t>REVIEW JUDGMENT</w:t>
      </w:r>
    </w:p>
    <w:p w14:paraId="2660BD5E" w14:textId="77777777" w:rsidR="002D5032" w:rsidRPr="00CE261F" w:rsidRDefault="002D5032" w:rsidP="002D5032">
      <w:pPr>
        <w:spacing w:after="0" w:line="240" w:lineRule="auto"/>
        <w:rPr>
          <w:rFonts w:ascii="Arial" w:hAnsi="Arial" w:cs="Arial"/>
          <w:b/>
          <w:sz w:val="24"/>
          <w:szCs w:val="24"/>
          <w:u w:val="single"/>
        </w:rPr>
      </w:pPr>
      <w:r>
        <w:rPr>
          <w:rFonts w:ascii="Arial" w:hAnsi="Arial" w:cs="Arial"/>
          <w:b/>
          <w:sz w:val="24"/>
          <w:szCs w:val="24"/>
        </w:rPr>
        <w:t>___________________________________________________________________</w:t>
      </w:r>
    </w:p>
    <w:p w14:paraId="2660BD5F" w14:textId="77777777" w:rsidR="002D5032" w:rsidRDefault="002D5032" w:rsidP="002D5032">
      <w:pPr>
        <w:spacing w:after="0" w:line="240" w:lineRule="auto"/>
        <w:rPr>
          <w:rFonts w:ascii="Arial" w:hAnsi="Arial" w:cs="Arial"/>
          <w:b/>
          <w:sz w:val="24"/>
          <w:szCs w:val="24"/>
          <w:u w:val="single"/>
        </w:rPr>
      </w:pPr>
    </w:p>
    <w:p w14:paraId="2660BD60" w14:textId="77777777" w:rsidR="002D5032" w:rsidRPr="006B77E2" w:rsidRDefault="002D5032" w:rsidP="002D5032">
      <w:pPr>
        <w:spacing w:after="0" w:line="240" w:lineRule="auto"/>
        <w:rPr>
          <w:rFonts w:ascii="Arial" w:hAnsi="Arial" w:cs="Arial"/>
          <w:b/>
          <w:sz w:val="24"/>
          <w:szCs w:val="24"/>
        </w:rPr>
      </w:pPr>
      <w:r w:rsidRPr="006B77E2">
        <w:rPr>
          <w:rFonts w:ascii="Arial" w:hAnsi="Arial" w:cs="Arial"/>
          <w:b/>
          <w:sz w:val="24"/>
          <w:szCs w:val="24"/>
        </w:rPr>
        <w:t>Bloem J</w:t>
      </w:r>
    </w:p>
    <w:p w14:paraId="2660BD61" w14:textId="77777777" w:rsidR="002D5032" w:rsidRDefault="002D5032" w:rsidP="002D5032">
      <w:pPr>
        <w:spacing w:after="0" w:line="240" w:lineRule="auto"/>
        <w:rPr>
          <w:rFonts w:ascii="Arial" w:hAnsi="Arial" w:cs="Arial"/>
          <w:b/>
          <w:sz w:val="24"/>
          <w:szCs w:val="24"/>
          <w:u w:val="single"/>
        </w:rPr>
      </w:pPr>
    </w:p>
    <w:p w14:paraId="2660BD62" w14:textId="77777777" w:rsidR="002D5032" w:rsidRDefault="002D5032" w:rsidP="002D5032">
      <w:pPr>
        <w:spacing w:after="0" w:line="240" w:lineRule="auto"/>
        <w:rPr>
          <w:rFonts w:ascii="Arial" w:hAnsi="Arial" w:cs="Arial"/>
          <w:b/>
          <w:sz w:val="24"/>
          <w:szCs w:val="24"/>
          <w:u w:val="single"/>
        </w:rPr>
      </w:pPr>
    </w:p>
    <w:p w14:paraId="2660BD63" w14:textId="30E7EE77" w:rsidR="003F2B07"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D5032" w:rsidRPr="00097205">
        <w:rPr>
          <w:rFonts w:ascii="Arial" w:hAnsi="Arial" w:cs="Arial"/>
          <w:sz w:val="24"/>
          <w:szCs w:val="24"/>
        </w:rPr>
        <w:t xml:space="preserve">The </w:t>
      </w:r>
      <w:r w:rsidR="00FA761F" w:rsidRPr="00097205">
        <w:rPr>
          <w:rFonts w:ascii="Arial" w:hAnsi="Arial" w:cs="Arial"/>
          <w:sz w:val="24"/>
          <w:szCs w:val="24"/>
        </w:rPr>
        <w:t>matter came on review in terms of section 302(1)(a) of the Criminal</w:t>
      </w:r>
      <w:r w:rsidR="001B62F6" w:rsidRPr="00097205">
        <w:rPr>
          <w:rFonts w:ascii="Arial" w:hAnsi="Arial" w:cs="Arial"/>
          <w:sz w:val="24"/>
          <w:szCs w:val="24"/>
        </w:rPr>
        <w:t> </w:t>
      </w:r>
      <w:r w:rsidR="00FA761F" w:rsidRPr="00097205">
        <w:rPr>
          <w:rFonts w:ascii="Arial" w:hAnsi="Arial" w:cs="Arial"/>
          <w:sz w:val="24"/>
          <w:szCs w:val="24"/>
        </w:rPr>
        <w:t>Procedure Act</w:t>
      </w:r>
      <w:r w:rsidR="00072DF1" w:rsidRPr="00097205">
        <w:rPr>
          <w:rFonts w:ascii="Arial" w:hAnsi="Arial" w:cs="Arial"/>
          <w:sz w:val="24"/>
          <w:szCs w:val="24"/>
        </w:rPr>
        <w:t xml:space="preserve"> 51 of 1977.  The accused was charged under section 17(1)(a) of the Domestic Violence Act 116 of 1998 with having contravened the prohibitions </w:t>
      </w:r>
      <w:r w:rsidR="00060921" w:rsidRPr="00097205">
        <w:rPr>
          <w:rFonts w:ascii="Arial" w:hAnsi="Arial" w:cs="Arial"/>
          <w:sz w:val="24"/>
          <w:szCs w:val="24"/>
        </w:rPr>
        <w:t>contained in</w:t>
      </w:r>
      <w:r w:rsidR="00072DF1" w:rsidRPr="00097205">
        <w:rPr>
          <w:rFonts w:ascii="Arial" w:hAnsi="Arial" w:cs="Arial"/>
          <w:sz w:val="24"/>
          <w:szCs w:val="24"/>
        </w:rPr>
        <w:t xml:space="preserve"> a protection order.  Despite his plea of not guilty, he was convicted as charged and sentenced</w:t>
      </w:r>
      <w:r w:rsidR="00060921" w:rsidRPr="00097205">
        <w:rPr>
          <w:rFonts w:ascii="Arial" w:hAnsi="Arial" w:cs="Arial"/>
          <w:sz w:val="24"/>
          <w:szCs w:val="24"/>
        </w:rPr>
        <w:t xml:space="preserve"> to imprisonment</w:t>
      </w:r>
      <w:r w:rsidR="00072DF1" w:rsidRPr="00097205">
        <w:rPr>
          <w:rFonts w:ascii="Arial" w:hAnsi="Arial" w:cs="Arial"/>
          <w:sz w:val="24"/>
          <w:szCs w:val="24"/>
        </w:rPr>
        <w:t xml:space="preserve">.  </w:t>
      </w:r>
    </w:p>
    <w:p w14:paraId="24D90C70" w14:textId="77777777" w:rsidR="0078699D" w:rsidRDefault="0078699D" w:rsidP="0078699D">
      <w:pPr>
        <w:pStyle w:val="ListParagraph"/>
        <w:spacing w:after="0" w:line="360" w:lineRule="auto"/>
        <w:jc w:val="both"/>
        <w:rPr>
          <w:rFonts w:ascii="Arial" w:hAnsi="Arial" w:cs="Arial"/>
          <w:sz w:val="24"/>
          <w:szCs w:val="24"/>
        </w:rPr>
      </w:pPr>
    </w:p>
    <w:p w14:paraId="6541A91E" w14:textId="795C84E1" w:rsidR="00AC735B"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72DF1" w:rsidRPr="00097205">
        <w:rPr>
          <w:rFonts w:ascii="Arial" w:hAnsi="Arial" w:cs="Arial"/>
          <w:sz w:val="24"/>
          <w:szCs w:val="24"/>
        </w:rPr>
        <w:t>It is common cause that on 13 January 2020 the magistrate’s court at Middledrift issued an interim protection order at the instance of the accused’s mother, the complain</w:t>
      </w:r>
      <w:r w:rsidR="0078699D" w:rsidRPr="00097205">
        <w:rPr>
          <w:rFonts w:ascii="Arial" w:hAnsi="Arial" w:cs="Arial"/>
          <w:sz w:val="24"/>
          <w:szCs w:val="24"/>
        </w:rPr>
        <w:t>an</w:t>
      </w:r>
      <w:r w:rsidR="00072DF1" w:rsidRPr="00097205">
        <w:rPr>
          <w:rFonts w:ascii="Arial" w:hAnsi="Arial" w:cs="Arial"/>
          <w:sz w:val="24"/>
          <w:szCs w:val="24"/>
        </w:rPr>
        <w:t>t</w:t>
      </w:r>
      <w:r w:rsidR="001A122B" w:rsidRPr="00097205">
        <w:rPr>
          <w:rFonts w:ascii="Arial" w:hAnsi="Arial" w:cs="Arial"/>
          <w:sz w:val="24"/>
          <w:szCs w:val="24"/>
        </w:rPr>
        <w:t>.  In terms of that interim order, the accused was prohibited from physically, verbally or p</w:t>
      </w:r>
      <w:r w:rsidR="00732830" w:rsidRPr="00097205">
        <w:rPr>
          <w:rFonts w:ascii="Arial" w:hAnsi="Arial" w:cs="Arial"/>
          <w:sz w:val="24"/>
          <w:szCs w:val="24"/>
        </w:rPr>
        <w:t>sy</w:t>
      </w:r>
      <w:r w:rsidR="00EB1162" w:rsidRPr="00097205">
        <w:rPr>
          <w:rFonts w:ascii="Arial" w:hAnsi="Arial" w:cs="Arial"/>
          <w:sz w:val="24"/>
          <w:szCs w:val="24"/>
        </w:rPr>
        <w:t xml:space="preserve">chologically abusing and intimidating the complainant; entering her premises; and demanding money from her.  The interim protection </w:t>
      </w:r>
      <w:r w:rsidR="006834B1" w:rsidRPr="00097205">
        <w:rPr>
          <w:rFonts w:ascii="Arial" w:hAnsi="Arial" w:cs="Arial"/>
          <w:sz w:val="24"/>
          <w:szCs w:val="24"/>
        </w:rPr>
        <w:t xml:space="preserve">was made final on 18 February 2020.  The accused was arrested and charged with having contravened the prohibitions contained in the </w:t>
      </w:r>
      <w:r w:rsidR="006834B1" w:rsidRPr="00097205">
        <w:rPr>
          <w:rFonts w:ascii="Arial" w:hAnsi="Arial" w:cs="Arial"/>
          <w:sz w:val="24"/>
          <w:szCs w:val="24"/>
        </w:rPr>
        <w:lastRenderedPageBreak/>
        <w:t>protection order on 20 Jan</w:t>
      </w:r>
      <w:r w:rsidR="0078699D" w:rsidRPr="00097205">
        <w:rPr>
          <w:rFonts w:ascii="Arial" w:hAnsi="Arial" w:cs="Arial"/>
          <w:sz w:val="24"/>
          <w:szCs w:val="24"/>
        </w:rPr>
        <w:t>uary</w:t>
      </w:r>
      <w:r w:rsidR="006834B1" w:rsidRPr="00097205">
        <w:rPr>
          <w:rFonts w:ascii="Arial" w:hAnsi="Arial" w:cs="Arial"/>
          <w:sz w:val="24"/>
          <w:szCs w:val="24"/>
        </w:rPr>
        <w:t xml:space="preserve"> 2023</w:t>
      </w:r>
      <w:r w:rsidR="0078699D" w:rsidRPr="00097205">
        <w:rPr>
          <w:rFonts w:ascii="Arial" w:hAnsi="Arial" w:cs="Arial"/>
          <w:sz w:val="24"/>
          <w:szCs w:val="24"/>
        </w:rPr>
        <w:t xml:space="preserve"> “</w:t>
      </w:r>
      <w:r w:rsidR="00AC735B" w:rsidRPr="00097205">
        <w:rPr>
          <w:rFonts w:ascii="Arial" w:hAnsi="Arial" w:cs="Arial"/>
          <w:i/>
          <w:iCs/>
          <w:sz w:val="24"/>
          <w:szCs w:val="24"/>
        </w:rPr>
        <w:t xml:space="preserve">by </w:t>
      </w:r>
      <w:r w:rsidR="006834B1" w:rsidRPr="00097205">
        <w:rPr>
          <w:rFonts w:ascii="Arial" w:hAnsi="Arial" w:cs="Arial"/>
          <w:i/>
          <w:iCs/>
          <w:sz w:val="24"/>
          <w:szCs w:val="24"/>
        </w:rPr>
        <w:t>insult</w:t>
      </w:r>
      <w:r w:rsidR="00AC735B" w:rsidRPr="00097205">
        <w:rPr>
          <w:rFonts w:ascii="Arial" w:hAnsi="Arial" w:cs="Arial"/>
          <w:i/>
          <w:iCs/>
          <w:sz w:val="24"/>
          <w:szCs w:val="24"/>
        </w:rPr>
        <w:t>ing</w:t>
      </w:r>
      <w:r w:rsidR="006834B1" w:rsidRPr="00097205">
        <w:rPr>
          <w:rFonts w:ascii="Arial" w:hAnsi="Arial" w:cs="Arial"/>
          <w:i/>
          <w:iCs/>
          <w:sz w:val="24"/>
          <w:szCs w:val="24"/>
        </w:rPr>
        <w:t xml:space="preserve"> the complainant </w:t>
      </w:r>
      <w:r w:rsidR="00AC735B" w:rsidRPr="00097205">
        <w:rPr>
          <w:rFonts w:ascii="Arial" w:hAnsi="Arial" w:cs="Arial"/>
          <w:i/>
          <w:iCs/>
          <w:sz w:val="24"/>
          <w:szCs w:val="24"/>
        </w:rPr>
        <w:t>[</w:t>
      </w:r>
      <w:r w:rsidR="006834B1" w:rsidRPr="00097205">
        <w:rPr>
          <w:rFonts w:ascii="Arial" w:hAnsi="Arial" w:cs="Arial"/>
          <w:i/>
          <w:iCs/>
          <w:sz w:val="24"/>
          <w:szCs w:val="24"/>
        </w:rPr>
        <w:t>by</w:t>
      </w:r>
      <w:r w:rsidR="00AC735B" w:rsidRPr="00097205">
        <w:rPr>
          <w:rFonts w:ascii="Arial" w:hAnsi="Arial" w:cs="Arial"/>
          <w:i/>
          <w:iCs/>
          <w:sz w:val="24"/>
          <w:szCs w:val="24"/>
        </w:rPr>
        <w:t>]</w:t>
      </w:r>
      <w:r w:rsidR="006834B1" w:rsidRPr="00097205">
        <w:rPr>
          <w:rFonts w:ascii="Arial" w:hAnsi="Arial" w:cs="Arial"/>
          <w:i/>
          <w:iCs/>
          <w:sz w:val="24"/>
          <w:szCs w:val="24"/>
        </w:rPr>
        <w:t xml:space="preserve"> swearing at her by her private parts and chasing her</w:t>
      </w:r>
      <w:r w:rsidR="006834B1" w:rsidRPr="00097205">
        <w:rPr>
          <w:rFonts w:ascii="Arial" w:hAnsi="Arial" w:cs="Arial"/>
          <w:sz w:val="24"/>
          <w:szCs w:val="24"/>
        </w:rPr>
        <w:t xml:space="preserve">”.  The magistrate found the accused was in contravention of the prohibitions contained in </w:t>
      </w:r>
      <w:r w:rsidR="00AC735B" w:rsidRPr="00097205">
        <w:rPr>
          <w:rFonts w:ascii="Arial" w:hAnsi="Arial" w:cs="Arial"/>
          <w:sz w:val="24"/>
          <w:szCs w:val="24"/>
        </w:rPr>
        <w:t xml:space="preserve">the </w:t>
      </w:r>
      <w:r w:rsidR="002C6E61" w:rsidRPr="00097205">
        <w:rPr>
          <w:rFonts w:ascii="Arial" w:hAnsi="Arial" w:cs="Arial"/>
          <w:sz w:val="24"/>
          <w:szCs w:val="24"/>
        </w:rPr>
        <w:t>protection order and convicted him, as charged.  The accused was sentenced to 18 months</w:t>
      </w:r>
      <w:r w:rsidR="00AC735B" w:rsidRPr="00097205">
        <w:rPr>
          <w:rFonts w:ascii="Arial" w:hAnsi="Arial" w:cs="Arial"/>
          <w:sz w:val="24"/>
          <w:szCs w:val="24"/>
        </w:rPr>
        <w:t>’</w:t>
      </w:r>
      <w:r w:rsidR="002C6E61" w:rsidRPr="00097205">
        <w:rPr>
          <w:rFonts w:ascii="Arial" w:hAnsi="Arial" w:cs="Arial"/>
          <w:sz w:val="24"/>
          <w:szCs w:val="24"/>
        </w:rPr>
        <w:t xml:space="preserve"> imprisonment.  </w:t>
      </w:r>
    </w:p>
    <w:p w14:paraId="1516D8B4" w14:textId="77777777" w:rsidR="00ED5A34" w:rsidRPr="00ED5A34" w:rsidRDefault="00ED5A34" w:rsidP="00ED5A34">
      <w:pPr>
        <w:pStyle w:val="ListParagraph"/>
        <w:rPr>
          <w:rFonts w:ascii="Arial" w:hAnsi="Arial" w:cs="Arial"/>
          <w:sz w:val="24"/>
          <w:szCs w:val="24"/>
        </w:rPr>
      </w:pPr>
    </w:p>
    <w:p w14:paraId="4260C29D" w14:textId="372B2048" w:rsidR="00ED5A34"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5A34" w:rsidRPr="00097205">
        <w:rPr>
          <w:rFonts w:ascii="Arial" w:hAnsi="Arial" w:cs="Arial"/>
          <w:sz w:val="24"/>
          <w:szCs w:val="24"/>
        </w:rPr>
        <w:t>The accused was not charged with having entered the complainant’s residence or that he demanded money from her, in contravention of two of the prohibitions contained in the protection order.  The magistrate was accordingly required to consider only whether the state proved that the accused physically, verbally or psychologically abused or intimidated the complainant.  There was no evidence that the accused physically abused or intimidated the complainant.  What should be determined is whether the magistrate correctly found that the state proved beyond reasonable doubt that he did so verbally or psychologically.</w:t>
      </w:r>
    </w:p>
    <w:p w14:paraId="2301E0E2" w14:textId="77777777" w:rsidR="00AC735B" w:rsidRPr="00AC735B" w:rsidRDefault="00AC735B" w:rsidP="00AC735B">
      <w:pPr>
        <w:pStyle w:val="ListParagraph"/>
        <w:rPr>
          <w:rFonts w:ascii="Arial" w:hAnsi="Arial" w:cs="Arial"/>
          <w:sz w:val="24"/>
          <w:szCs w:val="24"/>
        </w:rPr>
      </w:pPr>
    </w:p>
    <w:p w14:paraId="486EF220" w14:textId="076872CB" w:rsidR="004753E1"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C6E61" w:rsidRPr="00097205">
        <w:rPr>
          <w:rFonts w:ascii="Arial" w:hAnsi="Arial" w:cs="Arial"/>
          <w:sz w:val="24"/>
          <w:szCs w:val="24"/>
        </w:rPr>
        <w:t xml:space="preserve">The complainant testified that she was </w:t>
      </w:r>
      <w:r w:rsidR="008C01AD" w:rsidRPr="00097205">
        <w:rPr>
          <w:rFonts w:ascii="Arial" w:hAnsi="Arial" w:cs="Arial"/>
          <w:sz w:val="24"/>
          <w:szCs w:val="24"/>
        </w:rPr>
        <w:t>at home on 20 January 2023 when the accused arrived and enquired from her what the outcome was of a meeting that his family members were supposed to h</w:t>
      </w:r>
      <w:r w:rsidR="00AC735B" w:rsidRPr="00097205">
        <w:rPr>
          <w:rFonts w:ascii="Arial" w:hAnsi="Arial" w:cs="Arial"/>
          <w:sz w:val="24"/>
          <w:szCs w:val="24"/>
        </w:rPr>
        <w:t>old</w:t>
      </w:r>
      <w:r w:rsidR="0034312B" w:rsidRPr="00097205">
        <w:rPr>
          <w:rFonts w:ascii="Arial" w:hAnsi="Arial" w:cs="Arial"/>
          <w:sz w:val="24"/>
          <w:szCs w:val="24"/>
        </w:rPr>
        <w:t xml:space="preserve">.  They were meant to </w:t>
      </w:r>
      <w:r w:rsidR="00A65228" w:rsidRPr="00097205">
        <w:rPr>
          <w:rFonts w:ascii="Arial" w:hAnsi="Arial" w:cs="Arial"/>
          <w:sz w:val="24"/>
          <w:szCs w:val="24"/>
        </w:rPr>
        <w:t>discuss his demand for money from her and calling her a liar, which caused “fights”.  She told him that the meeting had not taken place.</w:t>
      </w:r>
      <w:r w:rsidR="009A53ED" w:rsidRPr="00097205">
        <w:rPr>
          <w:rFonts w:ascii="Arial" w:hAnsi="Arial" w:cs="Arial"/>
          <w:sz w:val="24"/>
          <w:szCs w:val="24"/>
        </w:rPr>
        <w:t xml:space="preserve">  She testified that the accused shout</w:t>
      </w:r>
      <w:r w:rsidR="004753E1" w:rsidRPr="00097205">
        <w:rPr>
          <w:rFonts w:ascii="Arial" w:hAnsi="Arial" w:cs="Arial"/>
          <w:sz w:val="24"/>
          <w:szCs w:val="24"/>
        </w:rPr>
        <w:t>ed</w:t>
      </w:r>
      <w:r w:rsidR="009A53ED" w:rsidRPr="00097205">
        <w:rPr>
          <w:rFonts w:ascii="Arial" w:hAnsi="Arial" w:cs="Arial"/>
          <w:sz w:val="24"/>
          <w:szCs w:val="24"/>
        </w:rPr>
        <w:t xml:space="preserve"> and sw</w:t>
      </w:r>
      <w:r w:rsidR="004753E1" w:rsidRPr="00097205">
        <w:rPr>
          <w:rFonts w:ascii="Arial" w:hAnsi="Arial" w:cs="Arial"/>
          <w:sz w:val="24"/>
          <w:szCs w:val="24"/>
        </w:rPr>
        <w:t>ore</w:t>
      </w:r>
      <w:r w:rsidR="009A53ED" w:rsidRPr="00097205">
        <w:rPr>
          <w:rFonts w:ascii="Arial" w:hAnsi="Arial" w:cs="Arial"/>
          <w:sz w:val="24"/>
          <w:szCs w:val="24"/>
        </w:rPr>
        <w:t xml:space="preserve"> at her and sw</w:t>
      </w:r>
      <w:r w:rsidR="004753E1" w:rsidRPr="00097205">
        <w:rPr>
          <w:rFonts w:ascii="Arial" w:hAnsi="Arial" w:cs="Arial"/>
          <w:sz w:val="24"/>
          <w:szCs w:val="24"/>
        </w:rPr>
        <w:t>ore at</w:t>
      </w:r>
      <w:r w:rsidR="009A53ED" w:rsidRPr="00097205">
        <w:rPr>
          <w:rFonts w:ascii="Arial" w:hAnsi="Arial" w:cs="Arial"/>
          <w:sz w:val="24"/>
          <w:szCs w:val="24"/>
        </w:rPr>
        <w:t xml:space="preserve"> her neighbour. </w:t>
      </w:r>
    </w:p>
    <w:p w14:paraId="634B8B1E" w14:textId="77777777" w:rsidR="004753E1" w:rsidRPr="004753E1" w:rsidRDefault="004753E1" w:rsidP="004753E1">
      <w:pPr>
        <w:pStyle w:val="ListParagraph"/>
        <w:rPr>
          <w:rFonts w:ascii="Arial" w:hAnsi="Arial" w:cs="Arial"/>
          <w:sz w:val="24"/>
          <w:szCs w:val="24"/>
        </w:rPr>
      </w:pPr>
    </w:p>
    <w:p w14:paraId="5FB0394F" w14:textId="71662BAE" w:rsidR="004753E1"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A53ED" w:rsidRPr="00097205">
        <w:rPr>
          <w:rFonts w:ascii="Arial" w:hAnsi="Arial" w:cs="Arial"/>
          <w:sz w:val="24"/>
          <w:szCs w:val="24"/>
        </w:rPr>
        <w:t>The next state witness, Nomfuneko Tha</w:t>
      </w:r>
      <w:r w:rsidR="005E3576" w:rsidRPr="00097205">
        <w:rPr>
          <w:rFonts w:ascii="Arial" w:hAnsi="Arial" w:cs="Arial"/>
          <w:sz w:val="24"/>
          <w:szCs w:val="24"/>
        </w:rPr>
        <w:t xml:space="preserve">mba, testified that on the day in question she was doing laundry when the complainant and her daughter arrived at her house.  She </w:t>
      </w:r>
      <w:r w:rsidR="006706C6" w:rsidRPr="00097205">
        <w:rPr>
          <w:rFonts w:ascii="Arial" w:hAnsi="Arial" w:cs="Arial"/>
          <w:sz w:val="24"/>
          <w:szCs w:val="24"/>
        </w:rPr>
        <w:t xml:space="preserve">heard the complainant saying to her </w:t>
      </w:r>
      <w:r w:rsidR="0085735E" w:rsidRPr="00097205">
        <w:rPr>
          <w:rFonts w:ascii="Arial" w:hAnsi="Arial" w:cs="Arial"/>
          <w:sz w:val="24"/>
          <w:szCs w:val="24"/>
        </w:rPr>
        <w:t xml:space="preserve">daughter that the accused was misbehaving by demanding a sword.  She did not hear or see the accused saying or doing anything on the day in question.  </w:t>
      </w:r>
    </w:p>
    <w:p w14:paraId="06937307" w14:textId="77777777" w:rsidR="004753E1" w:rsidRPr="004753E1" w:rsidRDefault="004753E1" w:rsidP="004753E1">
      <w:pPr>
        <w:pStyle w:val="ListParagraph"/>
        <w:rPr>
          <w:rFonts w:ascii="Arial" w:hAnsi="Arial" w:cs="Arial"/>
          <w:sz w:val="24"/>
          <w:szCs w:val="24"/>
        </w:rPr>
      </w:pPr>
    </w:p>
    <w:p w14:paraId="617EE86F" w14:textId="5054A138" w:rsidR="00882B76"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6</w:t>
      </w:r>
      <w:bookmarkStart w:id="0" w:name="_GoBack"/>
      <w:bookmarkEnd w:id="0"/>
      <w:r>
        <w:rPr>
          <w:rFonts w:ascii="Arial" w:hAnsi="Arial" w:cs="Arial"/>
          <w:sz w:val="24"/>
          <w:szCs w:val="24"/>
        </w:rPr>
        <w:t>.</w:t>
      </w:r>
      <w:r>
        <w:rPr>
          <w:rFonts w:ascii="Arial" w:hAnsi="Arial" w:cs="Arial"/>
          <w:sz w:val="24"/>
          <w:szCs w:val="24"/>
        </w:rPr>
        <w:tab/>
      </w:r>
      <w:r w:rsidR="00BE47FC" w:rsidRPr="00097205">
        <w:rPr>
          <w:rFonts w:ascii="Arial" w:hAnsi="Arial" w:cs="Arial"/>
          <w:sz w:val="24"/>
          <w:szCs w:val="24"/>
        </w:rPr>
        <w:t xml:space="preserve">The accused testified that </w:t>
      </w:r>
      <w:r w:rsidR="004753E1" w:rsidRPr="00097205">
        <w:rPr>
          <w:rFonts w:ascii="Arial" w:hAnsi="Arial" w:cs="Arial"/>
          <w:sz w:val="24"/>
          <w:szCs w:val="24"/>
        </w:rPr>
        <w:t xml:space="preserve">before the day in question </w:t>
      </w:r>
      <w:r w:rsidR="00BE47FC" w:rsidRPr="00097205">
        <w:rPr>
          <w:rFonts w:ascii="Arial" w:hAnsi="Arial" w:cs="Arial"/>
          <w:sz w:val="24"/>
          <w:szCs w:val="24"/>
        </w:rPr>
        <w:t>he went to the complainant’s hou</w:t>
      </w:r>
      <w:r w:rsidR="001F6279" w:rsidRPr="00097205">
        <w:rPr>
          <w:rFonts w:ascii="Arial" w:hAnsi="Arial" w:cs="Arial"/>
          <w:sz w:val="24"/>
          <w:szCs w:val="24"/>
        </w:rPr>
        <w:t>se because she had called him during January</w:t>
      </w:r>
      <w:r w:rsidR="004753E1" w:rsidRPr="00097205">
        <w:rPr>
          <w:rFonts w:ascii="Arial" w:hAnsi="Arial" w:cs="Arial"/>
          <w:sz w:val="24"/>
          <w:szCs w:val="24"/>
        </w:rPr>
        <w:t xml:space="preserve"> </w:t>
      </w:r>
      <w:r w:rsidR="00C11B1E" w:rsidRPr="00097205">
        <w:rPr>
          <w:rFonts w:ascii="Arial" w:hAnsi="Arial" w:cs="Arial"/>
          <w:sz w:val="24"/>
          <w:szCs w:val="24"/>
        </w:rPr>
        <w:t>2023</w:t>
      </w:r>
      <w:r w:rsidR="001F6279" w:rsidRPr="00097205">
        <w:rPr>
          <w:rFonts w:ascii="Arial" w:hAnsi="Arial" w:cs="Arial"/>
          <w:sz w:val="24"/>
          <w:szCs w:val="24"/>
        </w:rPr>
        <w:t xml:space="preserve"> to repair a kraal.  While cleaning</w:t>
      </w:r>
      <w:r w:rsidR="00DB4C67" w:rsidRPr="00097205">
        <w:rPr>
          <w:rFonts w:ascii="Arial" w:hAnsi="Arial" w:cs="Arial"/>
          <w:sz w:val="24"/>
          <w:szCs w:val="24"/>
        </w:rPr>
        <w:t xml:space="preserve"> </w:t>
      </w:r>
      <w:r w:rsidR="00C11B1E" w:rsidRPr="00097205">
        <w:rPr>
          <w:rFonts w:ascii="Arial" w:hAnsi="Arial" w:cs="Arial"/>
          <w:sz w:val="24"/>
          <w:szCs w:val="24"/>
        </w:rPr>
        <w:t>the house on the day in question,</w:t>
      </w:r>
      <w:r w:rsidR="00DB4C67" w:rsidRPr="00097205">
        <w:rPr>
          <w:rFonts w:ascii="Arial" w:hAnsi="Arial" w:cs="Arial"/>
          <w:sz w:val="24"/>
          <w:szCs w:val="24"/>
        </w:rPr>
        <w:t xml:space="preserve"> </w:t>
      </w:r>
      <w:r w:rsidR="00C11B1E" w:rsidRPr="00097205">
        <w:rPr>
          <w:rFonts w:ascii="Arial" w:hAnsi="Arial" w:cs="Arial"/>
          <w:sz w:val="24"/>
          <w:szCs w:val="24"/>
        </w:rPr>
        <w:t>h</w:t>
      </w:r>
      <w:r w:rsidR="00DB4C67" w:rsidRPr="00097205">
        <w:rPr>
          <w:rFonts w:ascii="Arial" w:hAnsi="Arial" w:cs="Arial"/>
          <w:sz w:val="24"/>
          <w:szCs w:val="24"/>
        </w:rPr>
        <w:t xml:space="preserve">e asked the complainant where his sword was, as </w:t>
      </w:r>
      <w:r w:rsidR="009A63F7" w:rsidRPr="00097205">
        <w:rPr>
          <w:rFonts w:ascii="Arial" w:hAnsi="Arial" w:cs="Arial"/>
          <w:sz w:val="24"/>
          <w:szCs w:val="24"/>
        </w:rPr>
        <w:t xml:space="preserve">he did not see it in the house where he had left it the previous night.  She told him where she had put it.   </w:t>
      </w:r>
      <w:r w:rsidR="00C11B1E" w:rsidRPr="00097205">
        <w:rPr>
          <w:rFonts w:ascii="Arial" w:hAnsi="Arial" w:cs="Arial"/>
          <w:sz w:val="24"/>
          <w:szCs w:val="24"/>
        </w:rPr>
        <w:t>He did not find it.  S</w:t>
      </w:r>
      <w:r w:rsidR="009A63F7" w:rsidRPr="00097205">
        <w:rPr>
          <w:rFonts w:ascii="Arial" w:hAnsi="Arial" w:cs="Arial"/>
          <w:sz w:val="24"/>
          <w:szCs w:val="24"/>
        </w:rPr>
        <w:t>he retrieved</w:t>
      </w:r>
      <w:r w:rsidR="00C11B1E" w:rsidRPr="00097205">
        <w:rPr>
          <w:rFonts w:ascii="Arial" w:hAnsi="Arial" w:cs="Arial"/>
          <w:sz w:val="24"/>
          <w:szCs w:val="24"/>
        </w:rPr>
        <w:t xml:space="preserve"> the sword</w:t>
      </w:r>
      <w:r w:rsidR="009A63F7" w:rsidRPr="00097205">
        <w:rPr>
          <w:rFonts w:ascii="Arial" w:hAnsi="Arial" w:cs="Arial"/>
          <w:sz w:val="24"/>
          <w:szCs w:val="24"/>
        </w:rPr>
        <w:t xml:space="preserve"> and put it next to his bed where he had placed </w:t>
      </w:r>
      <w:r w:rsidR="009A63F7" w:rsidRPr="00097205">
        <w:rPr>
          <w:rFonts w:ascii="Arial" w:hAnsi="Arial" w:cs="Arial"/>
          <w:sz w:val="24"/>
          <w:szCs w:val="24"/>
        </w:rPr>
        <w:lastRenderedPageBreak/>
        <w:t>it before.   Afte</w:t>
      </w:r>
      <w:r w:rsidR="00C11B1E" w:rsidRPr="00097205">
        <w:rPr>
          <w:rFonts w:ascii="Arial" w:hAnsi="Arial" w:cs="Arial"/>
          <w:sz w:val="24"/>
          <w:szCs w:val="24"/>
        </w:rPr>
        <w:t>r</w:t>
      </w:r>
      <w:r w:rsidR="009A63F7" w:rsidRPr="00097205">
        <w:rPr>
          <w:rFonts w:ascii="Arial" w:hAnsi="Arial" w:cs="Arial"/>
          <w:sz w:val="24"/>
          <w:szCs w:val="24"/>
        </w:rPr>
        <w:t xml:space="preserve"> a while</w:t>
      </w:r>
      <w:r w:rsidR="00C11B1E" w:rsidRPr="00097205">
        <w:rPr>
          <w:rFonts w:ascii="Arial" w:hAnsi="Arial" w:cs="Arial"/>
          <w:sz w:val="24"/>
          <w:szCs w:val="24"/>
        </w:rPr>
        <w:t>,</w:t>
      </w:r>
      <w:r w:rsidR="009A63F7" w:rsidRPr="00097205">
        <w:rPr>
          <w:rFonts w:ascii="Arial" w:hAnsi="Arial" w:cs="Arial"/>
          <w:sz w:val="24"/>
          <w:szCs w:val="24"/>
        </w:rPr>
        <w:t xml:space="preserve"> the police arrived and told him that </w:t>
      </w:r>
      <w:r w:rsidR="00615762" w:rsidRPr="00097205">
        <w:rPr>
          <w:rFonts w:ascii="Arial" w:hAnsi="Arial" w:cs="Arial"/>
          <w:sz w:val="24"/>
          <w:szCs w:val="24"/>
        </w:rPr>
        <w:t>t</w:t>
      </w:r>
      <w:r w:rsidR="009A63F7" w:rsidRPr="00097205">
        <w:rPr>
          <w:rFonts w:ascii="Arial" w:hAnsi="Arial" w:cs="Arial"/>
          <w:sz w:val="24"/>
          <w:szCs w:val="24"/>
        </w:rPr>
        <w:t>hey were looking for the sword.  He handed it to the police officers.  He was arrested.  He denied that he had an argument with the complainant on th</w:t>
      </w:r>
      <w:r w:rsidR="00882B76" w:rsidRPr="00097205">
        <w:rPr>
          <w:rFonts w:ascii="Arial" w:hAnsi="Arial" w:cs="Arial"/>
          <w:sz w:val="24"/>
          <w:szCs w:val="24"/>
        </w:rPr>
        <w:t>at</w:t>
      </w:r>
      <w:r w:rsidR="009A63F7" w:rsidRPr="00097205">
        <w:rPr>
          <w:rFonts w:ascii="Arial" w:hAnsi="Arial" w:cs="Arial"/>
          <w:sz w:val="24"/>
          <w:szCs w:val="24"/>
        </w:rPr>
        <w:t xml:space="preserve"> day.  </w:t>
      </w:r>
    </w:p>
    <w:p w14:paraId="5CA7DFE3" w14:textId="77777777" w:rsidR="00882B76" w:rsidRPr="00882B76" w:rsidRDefault="00882B76" w:rsidP="00882B76">
      <w:pPr>
        <w:pStyle w:val="ListParagraph"/>
        <w:rPr>
          <w:rFonts w:ascii="Arial" w:hAnsi="Arial" w:cs="Arial"/>
          <w:sz w:val="24"/>
          <w:szCs w:val="24"/>
        </w:rPr>
      </w:pPr>
    </w:p>
    <w:p w14:paraId="3B59784E" w14:textId="791A40F3" w:rsidR="00A16383"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A63F7" w:rsidRPr="00097205">
        <w:rPr>
          <w:rFonts w:ascii="Arial" w:hAnsi="Arial" w:cs="Arial"/>
          <w:sz w:val="24"/>
          <w:szCs w:val="24"/>
        </w:rPr>
        <w:t>There were two versions before the magistrate.  The state’s version</w:t>
      </w:r>
      <w:r w:rsidR="00522861" w:rsidRPr="00097205">
        <w:rPr>
          <w:rFonts w:ascii="Arial" w:hAnsi="Arial" w:cs="Arial"/>
          <w:sz w:val="24"/>
          <w:szCs w:val="24"/>
        </w:rPr>
        <w:t xml:space="preserve">, based on the complainant’s evidence, </w:t>
      </w:r>
      <w:r w:rsidR="009A63F7" w:rsidRPr="00097205">
        <w:rPr>
          <w:rFonts w:ascii="Arial" w:hAnsi="Arial" w:cs="Arial"/>
          <w:sz w:val="24"/>
          <w:szCs w:val="24"/>
        </w:rPr>
        <w:t>was that on the day in question the accused arrived at her home and made an enquiry regarding a family meeting.   He also asked</w:t>
      </w:r>
      <w:r w:rsidR="00A926D1" w:rsidRPr="00097205">
        <w:rPr>
          <w:rFonts w:ascii="Arial" w:hAnsi="Arial" w:cs="Arial"/>
          <w:sz w:val="24"/>
          <w:szCs w:val="24"/>
        </w:rPr>
        <w:t xml:space="preserve"> her</w:t>
      </w:r>
      <w:r w:rsidR="009A63F7" w:rsidRPr="00097205">
        <w:rPr>
          <w:rFonts w:ascii="Arial" w:hAnsi="Arial" w:cs="Arial"/>
          <w:sz w:val="24"/>
          <w:szCs w:val="24"/>
        </w:rPr>
        <w:t xml:space="preserve"> about the whereabout of his sword.  He insulted her.  She went to </w:t>
      </w:r>
      <w:r w:rsidR="00BD2937" w:rsidRPr="00097205">
        <w:rPr>
          <w:rFonts w:ascii="Arial" w:hAnsi="Arial" w:cs="Arial"/>
          <w:sz w:val="24"/>
          <w:szCs w:val="24"/>
        </w:rPr>
        <w:t>her</w:t>
      </w:r>
      <w:r w:rsidR="009A63F7" w:rsidRPr="00097205">
        <w:rPr>
          <w:rFonts w:ascii="Arial" w:hAnsi="Arial" w:cs="Arial"/>
          <w:sz w:val="24"/>
          <w:szCs w:val="24"/>
        </w:rPr>
        <w:t xml:space="preserve"> neighbour</w:t>
      </w:r>
      <w:r w:rsidR="00BD2937" w:rsidRPr="00097205">
        <w:rPr>
          <w:rFonts w:ascii="Arial" w:hAnsi="Arial" w:cs="Arial"/>
          <w:sz w:val="24"/>
          <w:szCs w:val="24"/>
        </w:rPr>
        <w:t>, Ms Thamba</w:t>
      </w:r>
      <w:r w:rsidR="00A926D1" w:rsidRPr="00097205">
        <w:rPr>
          <w:rFonts w:ascii="Arial" w:hAnsi="Arial" w:cs="Arial"/>
          <w:sz w:val="24"/>
          <w:szCs w:val="24"/>
        </w:rPr>
        <w:t>, and thereafter to the police station.</w:t>
      </w:r>
      <w:r w:rsidR="009A63F7" w:rsidRPr="00097205">
        <w:rPr>
          <w:rFonts w:ascii="Arial" w:hAnsi="Arial" w:cs="Arial"/>
          <w:sz w:val="24"/>
          <w:szCs w:val="24"/>
        </w:rPr>
        <w:t xml:space="preserve"> The accused, on the other hand, testified that he went to the complainant’s house before the day in question because she had called him to </w:t>
      </w:r>
      <w:r w:rsidR="00117E1F" w:rsidRPr="00097205">
        <w:rPr>
          <w:rFonts w:ascii="Arial" w:hAnsi="Arial" w:cs="Arial"/>
          <w:sz w:val="24"/>
          <w:szCs w:val="24"/>
        </w:rPr>
        <w:t>repair</w:t>
      </w:r>
      <w:r w:rsidR="009A63F7" w:rsidRPr="00097205">
        <w:rPr>
          <w:rFonts w:ascii="Arial" w:hAnsi="Arial" w:cs="Arial"/>
          <w:sz w:val="24"/>
          <w:szCs w:val="24"/>
        </w:rPr>
        <w:t xml:space="preserve"> the kraal.  </w:t>
      </w:r>
    </w:p>
    <w:p w14:paraId="47453F07" w14:textId="77777777" w:rsidR="00A16383" w:rsidRDefault="00A16383" w:rsidP="00A16383">
      <w:pPr>
        <w:pStyle w:val="ListParagraph"/>
        <w:spacing w:after="0" w:line="360" w:lineRule="auto"/>
        <w:jc w:val="both"/>
        <w:rPr>
          <w:rFonts w:ascii="Arial" w:hAnsi="Arial" w:cs="Arial"/>
          <w:sz w:val="24"/>
          <w:szCs w:val="24"/>
        </w:rPr>
      </w:pPr>
    </w:p>
    <w:p w14:paraId="2FD02064" w14:textId="750560FF" w:rsidR="009A63F7" w:rsidRPr="00097205" w:rsidRDefault="00097205" w:rsidP="00097205">
      <w:pPr>
        <w:spacing w:after="0" w:line="360" w:lineRule="auto"/>
        <w:ind w:left="720" w:hanging="720"/>
        <w:jc w:val="both"/>
        <w:rPr>
          <w:rFonts w:ascii="Arial" w:hAnsi="Arial" w:cs="Arial"/>
          <w:sz w:val="24"/>
          <w:szCs w:val="24"/>
        </w:rPr>
      </w:pPr>
      <w:r w:rsidRPr="00A16383">
        <w:rPr>
          <w:rFonts w:ascii="Arial" w:hAnsi="Arial" w:cs="Arial"/>
          <w:sz w:val="24"/>
          <w:szCs w:val="24"/>
        </w:rPr>
        <w:t>8.</w:t>
      </w:r>
      <w:r w:rsidRPr="00A16383">
        <w:rPr>
          <w:rFonts w:ascii="Arial" w:hAnsi="Arial" w:cs="Arial"/>
          <w:sz w:val="24"/>
          <w:szCs w:val="24"/>
        </w:rPr>
        <w:tab/>
      </w:r>
      <w:r w:rsidR="009A63F7" w:rsidRPr="00097205">
        <w:rPr>
          <w:rFonts w:ascii="Arial" w:hAnsi="Arial" w:cs="Arial"/>
          <w:sz w:val="24"/>
          <w:szCs w:val="24"/>
        </w:rPr>
        <w:t xml:space="preserve">Having looked at the two versions, the magistrate convicted the accused </w:t>
      </w:r>
      <w:r w:rsidR="00913F92" w:rsidRPr="00097205">
        <w:rPr>
          <w:rFonts w:ascii="Arial" w:hAnsi="Arial" w:cs="Arial"/>
          <w:sz w:val="24"/>
          <w:szCs w:val="24"/>
        </w:rPr>
        <w:t xml:space="preserve">on the basis that he was unable </w:t>
      </w:r>
      <w:r w:rsidR="009A63F7" w:rsidRPr="00097205">
        <w:rPr>
          <w:rFonts w:ascii="Arial" w:hAnsi="Arial" w:cs="Arial"/>
          <w:sz w:val="24"/>
          <w:szCs w:val="24"/>
        </w:rPr>
        <w:t>to explain why the complainant testified that he had insulted her.  The magistrate’s finding in this regard</w:t>
      </w:r>
      <w:r w:rsidR="00E84090" w:rsidRPr="00097205">
        <w:rPr>
          <w:rFonts w:ascii="Arial" w:hAnsi="Arial" w:cs="Arial"/>
          <w:sz w:val="24"/>
          <w:szCs w:val="24"/>
        </w:rPr>
        <w:t>, which form</w:t>
      </w:r>
      <w:r w:rsidR="009C0204" w:rsidRPr="00097205">
        <w:rPr>
          <w:rFonts w:ascii="Arial" w:hAnsi="Arial" w:cs="Arial"/>
          <w:sz w:val="24"/>
          <w:szCs w:val="24"/>
        </w:rPr>
        <w:t>s</w:t>
      </w:r>
      <w:r w:rsidR="00E84090" w:rsidRPr="00097205">
        <w:rPr>
          <w:rFonts w:ascii="Arial" w:hAnsi="Arial" w:cs="Arial"/>
          <w:sz w:val="24"/>
          <w:szCs w:val="24"/>
        </w:rPr>
        <w:t xml:space="preserve"> the </w:t>
      </w:r>
      <w:r w:rsidR="00E84090" w:rsidRPr="00097205">
        <w:rPr>
          <w:rFonts w:ascii="Arial" w:hAnsi="Arial" w:cs="Arial"/>
          <w:i/>
          <w:iCs/>
          <w:sz w:val="24"/>
          <w:szCs w:val="24"/>
        </w:rPr>
        <w:t xml:space="preserve">ratio </w:t>
      </w:r>
      <w:r w:rsidR="00E84090" w:rsidRPr="00097205">
        <w:rPr>
          <w:rFonts w:ascii="Arial" w:hAnsi="Arial" w:cs="Arial"/>
          <w:sz w:val="24"/>
          <w:szCs w:val="24"/>
        </w:rPr>
        <w:t>of his judgment, read</w:t>
      </w:r>
      <w:r w:rsidR="009C0204" w:rsidRPr="00097205">
        <w:rPr>
          <w:rFonts w:ascii="Arial" w:hAnsi="Arial" w:cs="Arial"/>
          <w:sz w:val="24"/>
          <w:szCs w:val="24"/>
        </w:rPr>
        <w:t>s</w:t>
      </w:r>
      <w:r w:rsidR="00E84090" w:rsidRPr="00097205">
        <w:rPr>
          <w:rFonts w:ascii="Arial" w:hAnsi="Arial" w:cs="Arial"/>
          <w:sz w:val="24"/>
          <w:szCs w:val="24"/>
        </w:rPr>
        <w:t xml:space="preserve"> as follows:</w:t>
      </w:r>
    </w:p>
    <w:p w14:paraId="6B350E19" w14:textId="0088465B" w:rsidR="00E84090" w:rsidRDefault="00E84090" w:rsidP="004179D5">
      <w:pPr>
        <w:pStyle w:val="ListParagraph"/>
        <w:spacing w:after="0" w:line="240" w:lineRule="auto"/>
        <w:jc w:val="both"/>
        <w:rPr>
          <w:rFonts w:ascii="Arial" w:hAnsi="Arial" w:cs="Arial"/>
          <w:sz w:val="24"/>
          <w:szCs w:val="24"/>
        </w:rPr>
      </w:pPr>
      <w:r>
        <w:rPr>
          <w:rFonts w:ascii="Arial" w:hAnsi="Arial" w:cs="Arial"/>
          <w:sz w:val="24"/>
          <w:szCs w:val="24"/>
        </w:rPr>
        <w:t>“</w:t>
      </w:r>
      <w:r w:rsidRPr="004C549C">
        <w:rPr>
          <w:rFonts w:ascii="Arial" w:hAnsi="Arial" w:cs="Arial"/>
          <w:sz w:val="20"/>
          <w:szCs w:val="20"/>
        </w:rPr>
        <w:t xml:space="preserve">When the </w:t>
      </w:r>
      <w:r w:rsidR="008606DD" w:rsidRPr="004C549C">
        <w:rPr>
          <w:rFonts w:ascii="Arial" w:hAnsi="Arial" w:cs="Arial"/>
          <w:sz w:val="20"/>
          <w:szCs w:val="20"/>
        </w:rPr>
        <w:t>accused</w:t>
      </w:r>
      <w:r w:rsidR="00342092" w:rsidRPr="004C549C">
        <w:rPr>
          <w:rFonts w:ascii="Arial" w:hAnsi="Arial" w:cs="Arial"/>
          <w:sz w:val="20"/>
          <w:szCs w:val="20"/>
        </w:rPr>
        <w:t xml:space="preserve"> denied having insulted the complainant, on cross-examination he </w:t>
      </w:r>
      <w:r w:rsidR="009C0204">
        <w:rPr>
          <w:rFonts w:ascii="Arial" w:hAnsi="Arial" w:cs="Arial"/>
          <w:sz w:val="20"/>
          <w:szCs w:val="20"/>
        </w:rPr>
        <w:t>w</w:t>
      </w:r>
      <w:r w:rsidR="00342092" w:rsidRPr="004C549C">
        <w:rPr>
          <w:rFonts w:ascii="Arial" w:hAnsi="Arial" w:cs="Arial"/>
          <w:sz w:val="20"/>
          <w:szCs w:val="20"/>
        </w:rPr>
        <w:t>as asked why would the complainant</w:t>
      </w:r>
      <w:r w:rsidR="009C0204">
        <w:rPr>
          <w:rFonts w:ascii="Arial" w:hAnsi="Arial" w:cs="Arial"/>
          <w:sz w:val="20"/>
          <w:szCs w:val="20"/>
        </w:rPr>
        <w:t>,</w:t>
      </w:r>
      <w:r w:rsidR="00342092" w:rsidRPr="004C549C">
        <w:rPr>
          <w:rFonts w:ascii="Arial" w:hAnsi="Arial" w:cs="Arial"/>
          <w:sz w:val="20"/>
          <w:szCs w:val="20"/>
        </w:rPr>
        <w:t xml:space="preserve"> who was living with him for months prior to the date of the incident, allege now that he has insulted her.  His response was he did not know.  With all </w:t>
      </w:r>
      <w:r w:rsidR="00A16383">
        <w:rPr>
          <w:rFonts w:ascii="Arial" w:hAnsi="Arial" w:cs="Arial"/>
          <w:sz w:val="20"/>
          <w:szCs w:val="20"/>
        </w:rPr>
        <w:t xml:space="preserve">of </w:t>
      </w:r>
      <w:r w:rsidR="00342092" w:rsidRPr="004C549C">
        <w:rPr>
          <w:rFonts w:ascii="Arial" w:hAnsi="Arial" w:cs="Arial"/>
          <w:sz w:val="20"/>
          <w:szCs w:val="20"/>
        </w:rPr>
        <w:t xml:space="preserve">the above considerations, it is clear to this court that the accused was indeed in contravention of the </w:t>
      </w:r>
      <w:r w:rsidR="00E64EBB">
        <w:rPr>
          <w:rFonts w:ascii="Arial" w:hAnsi="Arial" w:cs="Arial"/>
          <w:sz w:val="20"/>
          <w:szCs w:val="20"/>
        </w:rPr>
        <w:t>d</w:t>
      </w:r>
      <w:r w:rsidR="004C549C" w:rsidRPr="004C549C">
        <w:rPr>
          <w:rFonts w:ascii="Arial" w:hAnsi="Arial" w:cs="Arial"/>
          <w:sz w:val="20"/>
          <w:szCs w:val="20"/>
        </w:rPr>
        <w:t xml:space="preserve">omestic </w:t>
      </w:r>
      <w:r w:rsidR="00E64EBB">
        <w:rPr>
          <w:rFonts w:ascii="Arial" w:hAnsi="Arial" w:cs="Arial"/>
          <w:sz w:val="20"/>
          <w:szCs w:val="20"/>
        </w:rPr>
        <w:t>violence p</w:t>
      </w:r>
      <w:r w:rsidR="004C549C" w:rsidRPr="004C549C">
        <w:rPr>
          <w:rFonts w:ascii="Arial" w:hAnsi="Arial" w:cs="Arial"/>
          <w:sz w:val="20"/>
          <w:szCs w:val="20"/>
        </w:rPr>
        <w:t xml:space="preserve">rotection </w:t>
      </w:r>
      <w:r w:rsidR="00E64EBB">
        <w:rPr>
          <w:rFonts w:ascii="Arial" w:hAnsi="Arial" w:cs="Arial"/>
          <w:sz w:val="20"/>
          <w:szCs w:val="20"/>
        </w:rPr>
        <w:t>o</w:t>
      </w:r>
      <w:r w:rsidR="004C549C" w:rsidRPr="004C549C">
        <w:rPr>
          <w:rFonts w:ascii="Arial" w:hAnsi="Arial" w:cs="Arial"/>
          <w:sz w:val="20"/>
          <w:szCs w:val="20"/>
        </w:rPr>
        <w:t xml:space="preserve">rder issued on 18 February 2020 and made himself </w:t>
      </w:r>
      <w:r w:rsidR="004C549C" w:rsidRPr="00E64EBB">
        <w:rPr>
          <w:rFonts w:ascii="Arial" w:hAnsi="Arial" w:cs="Arial"/>
          <w:sz w:val="20"/>
          <w:szCs w:val="20"/>
          <w:u w:val="single"/>
        </w:rPr>
        <w:t>GUILTY</w:t>
      </w:r>
      <w:r w:rsidR="004C549C" w:rsidRPr="00E64EBB">
        <w:rPr>
          <w:rFonts w:ascii="Arial" w:hAnsi="Arial" w:cs="Arial"/>
          <w:sz w:val="20"/>
          <w:szCs w:val="20"/>
        </w:rPr>
        <w:t xml:space="preserve"> </w:t>
      </w:r>
      <w:r w:rsidR="004C549C" w:rsidRPr="004C549C">
        <w:rPr>
          <w:rFonts w:ascii="Arial" w:hAnsi="Arial" w:cs="Arial"/>
          <w:sz w:val="20"/>
          <w:szCs w:val="20"/>
        </w:rPr>
        <w:t>of the crime</w:t>
      </w:r>
      <w:r w:rsidR="004C549C">
        <w:rPr>
          <w:rFonts w:ascii="Arial" w:hAnsi="Arial" w:cs="Arial"/>
          <w:sz w:val="24"/>
          <w:szCs w:val="24"/>
        </w:rPr>
        <w:t>.”</w:t>
      </w:r>
      <w:r w:rsidR="00342092">
        <w:rPr>
          <w:rFonts w:ascii="Arial" w:hAnsi="Arial" w:cs="Arial"/>
          <w:sz w:val="24"/>
          <w:szCs w:val="24"/>
        </w:rPr>
        <w:t xml:space="preserve"> </w:t>
      </w:r>
    </w:p>
    <w:p w14:paraId="19D7AAFA" w14:textId="77777777" w:rsidR="00E64EBB" w:rsidRDefault="00E64EBB" w:rsidP="004C549C">
      <w:pPr>
        <w:pStyle w:val="ListParagraph"/>
        <w:spacing w:after="0" w:line="360" w:lineRule="auto"/>
        <w:jc w:val="both"/>
        <w:rPr>
          <w:rFonts w:ascii="Arial" w:hAnsi="Arial" w:cs="Arial"/>
          <w:sz w:val="24"/>
          <w:szCs w:val="24"/>
        </w:rPr>
      </w:pPr>
    </w:p>
    <w:p w14:paraId="794B9228" w14:textId="743DF5AF" w:rsidR="00C451D9"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031492" w:rsidRPr="00097205">
        <w:rPr>
          <w:rFonts w:ascii="Arial" w:hAnsi="Arial" w:cs="Arial"/>
          <w:sz w:val="24"/>
          <w:szCs w:val="24"/>
        </w:rPr>
        <w:t xml:space="preserve">I have a difficulty with the way in which the magistrate arrived at the decision to convict the accused. </w:t>
      </w:r>
      <w:r w:rsidR="004C549C" w:rsidRPr="00097205">
        <w:rPr>
          <w:rFonts w:ascii="Arial" w:hAnsi="Arial" w:cs="Arial"/>
          <w:sz w:val="24"/>
          <w:szCs w:val="24"/>
        </w:rPr>
        <w:t>It is impossible to understand what “</w:t>
      </w:r>
      <w:r w:rsidR="004C549C" w:rsidRPr="00097205">
        <w:rPr>
          <w:rFonts w:ascii="Arial" w:hAnsi="Arial" w:cs="Arial"/>
          <w:i/>
          <w:iCs/>
          <w:sz w:val="24"/>
          <w:szCs w:val="24"/>
        </w:rPr>
        <w:t>the above considerations</w:t>
      </w:r>
      <w:r w:rsidR="004C549C" w:rsidRPr="00097205">
        <w:rPr>
          <w:rFonts w:ascii="Arial" w:hAnsi="Arial" w:cs="Arial"/>
          <w:sz w:val="24"/>
          <w:szCs w:val="24"/>
        </w:rPr>
        <w:t xml:space="preserve">” are to which the magistrate referred, when the judgment consisted only of a summary of the evidence given by the witnesses and the above quotation.    </w:t>
      </w:r>
    </w:p>
    <w:p w14:paraId="3495CC11" w14:textId="77777777" w:rsidR="00C451D9" w:rsidRDefault="00C451D9" w:rsidP="00C451D9">
      <w:pPr>
        <w:pStyle w:val="ListParagraph"/>
        <w:spacing w:after="0" w:line="360" w:lineRule="auto"/>
        <w:jc w:val="both"/>
        <w:rPr>
          <w:rFonts w:ascii="Arial" w:hAnsi="Arial" w:cs="Arial"/>
          <w:sz w:val="24"/>
          <w:szCs w:val="24"/>
        </w:rPr>
      </w:pPr>
    </w:p>
    <w:p w14:paraId="40E7FDF6" w14:textId="638AC294" w:rsidR="00E84090" w:rsidRPr="00097205" w:rsidRDefault="00097205" w:rsidP="00097205">
      <w:pPr>
        <w:spacing w:after="0" w:line="360" w:lineRule="auto"/>
        <w:ind w:left="720" w:hanging="720"/>
        <w:jc w:val="both"/>
        <w:rPr>
          <w:rFonts w:ascii="Arial" w:hAnsi="Arial" w:cs="Arial"/>
          <w:sz w:val="24"/>
          <w:szCs w:val="24"/>
        </w:rPr>
      </w:pPr>
      <w:r w:rsidRPr="00C451D9">
        <w:rPr>
          <w:rFonts w:ascii="Arial" w:hAnsi="Arial" w:cs="Arial"/>
          <w:sz w:val="24"/>
          <w:szCs w:val="24"/>
        </w:rPr>
        <w:t>10.</w:t>
      </w:r>
      <w:r w:rsidRPr="00C451D9">
        <w:rPr>
          <w:rFonts w:ascii="Arial" w:hAnsi="Arial" w:cs="Arial"/>
          <w:sz w:val="24"/>
          <w:szCs w:val="24"/>
        </w:rPr>
        <w:tab/>
      </w:r>
      <w:r w:rsidR="004C549C" w:rsidRPr="00097205">
        <w:rPr>
          <w:rFonts w:ascii="Arial" w:hAnsi="Arial" w:cs="Arial"/>
          <w:sz w:val="24"/>
          <w:szCs w:val="24"/>
        </w:rPr>
        <w:t xml:space="preserve">The magistrate placed an onus on the accused to </w:t>
      </w:r>
      <w:r w:rsidR="00560163" w:rsidRPr="00097205">
        <w:rPr>
          <w:rFonts w:ascii="Arial" w:hAnsi="Arial" w:cs="Arial"/>
          <w:sz w:val="24"/>
          <w:szCs w:val="24"/>
        </w:rPr>
        <w:t xml:space="preserve">advance a reason why the complainant testified that he insulted her when, according to him, he did not insult her.  There is </w:t>
      </w:r>
      <w:r w:rsidR="00E34C24" w:rsidRPr="00097205">
        <w:rPr>
          <w:rFonts w:ascii="Arial" w:hAnsi="Arial" w:cs="Arial"/>
          <w:sz w:val="24"/>
          <w:szCs w:val="24"/>
        </w:rPr>
        <w:t xml:space="preserve">no such onus on the accused.   In </w:t>
      </w:r>
      <w:r w:rsidR="00E34C24" w:rsidRPr="00097205">
        <w:rPr>
          <w:rFonts w:ascii="Arial" w:hAnsi="Arial" w:cs="Arial"/>
          <w:i/>
          <w:iCs/>
          <w:sz w:val="24"/>
          <w:szCs w:val="24"/>
        </w:rPr>
        <w:t>S v BM</w:t>
      </w:r>
      <w:r w:rsidR="00E34C24">
        <w:rPr>
          <w:rStyle w:val="FootnoteReference"/>
          <w:rFonts w:ascii="Arial" w:hAnsi="Arial" w:cs="Arial"/>
          <w:i/>
          <w:iCs/>
          <w:sz w:val="24"/>
          <w:szCs w:val="24"/>
        </w:rPr>
        <w:footnoteReference w:id="1"/>
      </w:r>
      <w:r w:rsidR="00E34C24" w:rsidRPr="00097205">
        <w:rPr>
          <w:rFonts w:ascii="Arial" w:hAnsi="Arial" w:cs="Arial"/>
          <w:i/>
          <w:iCs/>
          <w:sz w:val="24"/>
          <w:szCs w:val="24"/>
        </w:rPr>
        <w:t xml:space="preserve"> </w:t>
      </w:r>
      <w:r w:rsidR="00E34C24" w:rsidRPr="00097205">
        <w:rPr>
          <w:rFonts w:ascii="Arial" w:hAnsi="Arial" w:cs="Arial"/>
          <w:sz w:val="24"/>
          <w:szCs w:val="24"/>
        </w:rPr>
        <w:t>it was held that the approach, that accused persons are necessarily guilty because the complainant</w:t>
      </w:r>
      <w:r w:rsidR="009B052D" w:rsidRPr="00097205">
        <w:rPr>
          <w:rFonts w:ascii="Arial" w:hAnsi="Arial" w:cs="Arial"/>
          <w:sz w:val="24"/>
          <w:szCs w:val="24"/>
        </w:rPr>
        <w:t>s ha</w:t>
      </w:r>
      <w:r w:rsidR="00B93466" w:rsidRPr="00097205">
        <w:rPr>
          <w:rFonts w:ascii="Arial" w:hAnsi="Arial" w:cs="Arial"/>
          <w:sz w:val="24"/>
          <w:szCs w:val="24"/>
        </w:rPr>
        <w:t>ve</w:t>
      </w:r>
      <w:r w:rsidR="009B052D" w:rsidRPr="00097205">
        <w:rPr>
          <w:rFonts w:ascii="Arial" w:hAnsi="Arial" w:cs="Arial"/>
          <w:sz w:val="24"/>
          <w:szCs w:val="24"/>
        </w:rPr>
        <w:t xml:space="preserve"> no apparent motive to implicate them falsely and they are </w:t>
      </w:r>
      <w:r w:rsidR="005A5DF4" w:rsidRPr="00097205">
        <w:rPr>
          <w:rFonts w:ascii="Arial" w:hAnsi="Arial" w:cs="Arial"/>
          <w:sz w:val="24"/>
          <w:szCs w:val="24"/>
        </w:rPr>
        <w:lastRenderedPageBreak/>
        <w:t>u</w:t>
      </w:r>
      <w:r w:rsidR="009B052D" w:rsidRPr="00097205">
        <w:rPr>
          <w:rFonts w:ascii="Arial" w:hAnsi="Arial" w:cs="Arial"/>
          <w:sz w:val="24"/>
          <w:szCs w:val="24"/>
        </w:rPr>
        <w:t>nable to suggest one, is fraug</w:t>
      </w:r>
      <w:r w:rsidR="00C63CA6" w:rsidRPr="00097205">
        <w:rPr>
          <w:rFonts w:ascii="Arial" w:hAnsi="Arial" w:cs="Arial"/>
          <w:sz w:val="24"/>
          <w:szCs w:val="24"/>
        </w:rPr>
        <w:t xml:space="preserve">ht with danger.  That danger was articulated as follows by Mahomed J (as he then was) in </w:t>
      </w:r>
      <w:r w:rsidR="00C63CA6" w:rsidRPr="00097205">
        <w:rPr>
          <w:rFonts w:ascii="Arial" w:hAnsi="Arial" w:cs="Arial"/>
          <w:i/>
          <w:iCs/>
          <w:sz w:val="24"/>
          <w:szCs w:val="24"/>
        </w:rPr>
        <w:t>S v Ipel</w:t>
      </w:r>
      <w:r w:rsidR="00134AC7" w:rsidRPr="00097205">
        <w:rPr>
          <w:rFonts w:ascii="Arial" w:hAnsi="Arial" w:cs="Arial"/>
          <w:i/>
          <w:iCs/>
          <w:sz w:val="24"/>
          <w:szCs w:val="24"/>
        </w:rPr>
        <w:t>eng</w:t>
      </w:r>
      <w:r w:rsidR="007D5223" w:rsidRPr="00097205">
        <w:rPr>
          <w:rFonts w:ascii="Arial" w:hAnsi="Arial" w:cs="Arial"/>
          <w:sz w:val="24"/>
          <w:szCs w:val="24"/>
        </w:rPr>
        <w:t>:</w:t>
      </w:r>
      <w:r w:rsidR="00134AC7">
        <w:rPr>
          <w:rStyle w:val="FootnoteReference"/>
          <w:rFonts w:ascii="Arial" w:hAnsi="Arial" w:cs="Arial"/>
          <w:i/>
          <w:iCs/>
          <w:sz w:val="24"/>
          <w:szCs w:val="24"/>
        </w:rPr>
        <w:footnoteReference w:id="2"/>
      </w:r>
    </w:p>
    <w:p w14:paraId="216030FF" w14:textId="72D1CFFD" w:rsidR="00AF098F" w:rsidRDefault="00C23CF8" w:rsidP="00B3628C">
      <w:pPr>
        <w:pStyle w:val="ListParagraph"/>
        <w:spacing w:after="0" w:line="240" w:lineRule="auto"/>
        <w:jc w:val="both"/>
        <w:rPr>
          <w:rFonts w:ascii="Arial" w:hAnsi="Arial" w:cs="Arial"/>
          <w:color w:val="000000"/>
          <w:sz w:val="20"/>
          <w:szCs w:val="20"/>
        </w:rPr>
      </w:pPr>
      <w:r>
        <w:rPr>
          <w:rFonts w:ascii="Arial" w:hAnsi="Arial" w:cs="Arial"/>
          <w:sz w:val="24"/>
          <w:szCs w:val="24"/>
        </w:rPr>
        <w:t>“</w:t>
      </w:r>
      <w:r w:rsidR="00AF098F" w:rsidRPr="00B3628C">
        <w:rPr>
          <w:rFonts w:ascii="Arial" w:hAnsi="Arial" w:cs="Arial"/>
          <w:color w:val="000000"/>
          <w:sz w:val="20"/>
          <w:szCs w:val="20"/>
        </w:rPr>
        <w:t>It is dangerous to convict an accused person on the basis that he cannot  advance any reasons why the State witnesses would falsely implicate him. The accused has no </w:t>
      </w:r>
      <w:r w:rsidR="00AF098F" w:rsidRPr="00B3628C">
        <w:rPr>
          <w:rFonts w:ascii="Arial" w:hAnsi="Arial" w:cs="Arial"/>
          <w:i/>
          <w:iCs/>
          <w:color w:val="000000"/>
          <w:sz w:val="20"/>
          <w:szCs w:val="20"/>
        </w:rPr>
        <w:t>onus</w:t>
      </w:r>
      <w:r w:rsidR="00AF098F" w:rsidRPr="00B3628C">
        <w:rPr>
          <w:rFonts w:ascii="Arial" w:hAnsi="Arial" w:cs="Arial"/>
          <w:color w:val="000000"/>
          <w:sz w:val="20"/>
          <w:szCs w:val="20"/>
        </w:rPr>
        <w:t> to provide any such explanation. The true reason why a State witness seeks to give the testimony he does is often unknown to the accused and sometimes unknowable. Many factors influence prosecution witnesses in insidious ways. They often seek to curry favour with their supervisors; they sometimes need to placate and impress police officers, and on other occasions they nurse secret ambitions and grudges unknown to the accused. It is for these reasons that the Courts have repeatedly warned against the danger of the approach which asks: 'Why should the State witnesses have falsely implicated the accused?</w:t>
      </w:r>
      <w:r w:rsidR="005B54D6">
        <w:rPr>
          <w:rFonts w:ascii="Arial" w:hAnsi="Arial" w:cs="Arial"/>
          <w:color w:val="000000"/>
          <w:sz w:val="20"/>
          <w:szCs w:val="20"/>
        </w:rPr>
        <w:t>”</w:t>
      </w:r>
    </w:p>
    <w:p w14:paraId="0BCDFE79" w14:textId="77777777" w:rsidR="00B3628C" w:rsidRDefault="00B3628C" w:rsidP="00B3628C">
      <w:pPr>
        <w:pStyle w:val="ListParagraph"/>
        <w:spacing w:after="0" w:line="240" w:lineRule="auto"/>
        <w:jc w:val="both"/>
        <w:rPr>
          <w:rFonts w:ascii="Arial" w:hAnsi="Arial" w:cs="Arial"/>
          <w:sz w:val="24"/>
          <w:szCs w:val="24"/>
        </w:rPr>
      </w:pPr>
    </w:p>
    <w:p w14:paraId="669324B8" w14:textId="41C95C2D" w:rsidR="005B54D6"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7D38" w:rsidRPr="00097205">
        <w:rPr>
          <w:rFonts w:ascii="Arial" w:hAnsi="Arial" w:cs="Arial"/>
          <w:sz w:val="24"/>
          <w:szCs w:val="24"/>
        </w:rPr>
        <w:t>To secure a conviction, the onus is on the state to establish beyond reasonable doubt that an accused person is guilty.  An accused</w:t>
      </w:r>
      <w:r w:rsidR="00E621B6" w:rsidRPr="00097205">
        <w:rPr>
          <w:rFonts w:ascii="Arial" w:hAnsi="Arial" w:cs="Arial"/>
          <w:sz w:val="24"/>
          <w:szCs w:val="24"/>
        </w:rPr>
        <w:t xml:space="preserve"> person</w:t>
      </w:r>
      <w:r w:rsidR="00E17D38" w:rsidRPr="00097205">
        <w:rPr>
          <w:rFonts w:ascii="Arial" w:hAnsi="Arial" w:cs="Arial"/>
          <w:sz w:val="24"/>
          <w:szCs w:val="24"/>
        </w:rPr>
        <w:t xml:space="preserve"> cannot be convicted if there is a reasonable possibility that his or her version might be true.  A determination of </w:t>
      </w:r>
      <w:r w:rsidR="007D5223" w:rsidRPr="00097205">
        <w:rPr>
          <w:rFonts w:ascii="Arial" w:hAnsi="Arial" w:cs="Arial"/>
          <w:sz w:val="24"/>
          <w:szCs w:val="24"/>
        </w:rPr>
        <w:t>whether</w:t>
      </w:r>
      <w:r w:rsidR="006563C8" w:rsidRPr="00097205">
        <w:rPr>
          <w:rFonts w:ascii="Arial" w:hAnsi="Arial" w:cs="Arial"/>
          <w:sz w:val="24"/>
          <w:szCs w:val="24"/>
        </w:rPr>
        <w:t xml:space="preserve"> the state proved </w:t>
      </w:r>
      <w:r w:rsidR="00A52037" w:rsidRPr="00097205">
        <w:rPr>
          <w:rFonts w:ascii="Arial" w:hAnsi="Arial" w:cs="Arial"/>
          <w:sz w:val="24"/>
          <w:szCs w:val="24"/>
        </w:rPr>
        <w:t>its</w:t>
      </w:r>
      <w:r w:rsidR="006563C8" w:rsidRPr="00097205">
        <w:rPr>
          <w:rFonts w:ascii="Arial" w:hAnsi="Arial" w:cs="Arial"/>
          <w:sz w:val="24"/>
          <w:szCs w:val="24"/>
        </w:rPr>
        <w:t xml:space="preserve"> case beyond reasonable doubt must be based on a</w:t>
      </w:r>
      <w:r w:rsidR="00197BCF" w:rsidRPr="00097205">
        <w:rPr>
          <w:rFonts w:ascii="Arial" w:hAnsi="Arial" w:cs="Arial"/>
          <w:sz w:val="24"/>
          <w:szCs w:val="24"/>
        </w:rPr>
        <w:t xml:space="preserve"> consideration of all the evidence.</w:t>
      </w:r>
      <w:r w:rsidR="00197BCF">
        <w:rPr>
          <w:rStyle w:val="FootnoteReference"/>
          <w:rFonts w:ascii="Arial" w:hAnsi="Arial" w:cs="Arial"/>
          <w:sz w:val="24"/>
          <w:szCs w:val="24"/>
        </w:rPr>
        <w:footnoteReference w:id="3"/>
      </w:r>
    </w:p>
    <w:p w14:paraId="48FCA05D" w14:textId="77777777" w:rsidR="005B54D6" w:rsidRDefault="005B54D6" w:rsidP="005B54D6">
      <w:pPr>
        <w:pStyle w:val="ListParagraph"/>
        <w:spacing w:after="0" w:line="360" w:lineRule="auto"/>
        <w:jc w:val="both"/>
        <w:rPr>
          <w:rFonts w:ascii="Arial" w:hAnsi="Arial" w:cs="Arial"/>
          <w:sz w:val="24"/>
          <w:szCs w:val="24"/>
        </w:rPr>
      </w:pPr>
    </w:p>
    <w:p w14:paraId="0AAB4CB0" w14:textId="59BD0F95" w:rsidR="00013448"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17659" w:rsidRPr="00097205">
        <w:rPr>
          <w:rFonts w:ascii="Arial" w:hAnsi="Arial" w:cs="Arial"/>
          <w:sz w:val="24"/>
          <w:szCs w:val="24"/>
        </w:rPr>
        <w:t xml:space="preserve">It is against the above background that it must be considered whether the magistrate correctly found </w:t>
      </w:r>
      <w:r w:rsidR="003C6BE4" w:rsidRPr="00097205">
        <w:rPr>
          <w:rFonts w:ascii="Arial" w:hAnsi="Arial" w:cs="Arial"/>
          <w:sz w:val="24"/>
          <w:szCs w:val="24"/>
        </w:rPr>
        <w:t xml:space="preserve">that the state proved beyond reasonable doubt that the accused verbally or psychologically abused or </w:t>
      </w:r>
      <w:r w:rsidR="00513D25" w:rsidRPr="00097205">
        <w:rPr>
          <w:rFonts w:ascii="Arial" w:hAnsi="Arial" w:cs="Arial"/>
          <w:sz w:val="24"/>
          <w:szCs w:val="24"/>
        </w:rPr>
        <w:t>intimidated</w:t>
      </w:r>
      <w:r w:rsidR="003C6BE4" w:rsidRPr="00097205">
        <w:rPr>
          <w:rFonts w:ascii="Arial" w:hAnsi="Arial" w:cs="Arial"/>
          <w:sz w:val="24"/>
          <w:szCs w:val="24"/>
        </w:rPr>
        <w:t xml:space="preserve"> </w:t>
      </w:r>
      <w:r w:rsidR="00513D25" w:rsidRPr="00097205">
        <w:rPr>
          <w:rFonts w:ascii="Arial" w:hAnsi="Arial" w:cs="Arial"/>
          <w:sz w:val="24"/>
          <w:szCs w:val="24"/>
        </w:rPr>
        <w:t xml:space="preserve">the complainant by swearing at her.  </w:t>
      </w:r>
      <w:r w:rsidR="003B4DC2" w:rsidRPr="00097205">
        <w:rPr>
          <w:rFonts w:ascii="Arial" w:hAnsi="Arial" w:cs="Arial"/>
          <w:sz w:val="24"/>
          <w:szCs w:val="24"/>
        </w:rPr>
        <w:t>The undisputed evidence is that</w:t>
      </w:r>
      <w:r w:rsidR="00780E5F" w:rsidRPr="00097205">
        <w:rPr>
          <w:rFonts w:ascii="Arial" w:hAnsi="Arial" w:cs="Arial"/>
          <w:sz w:val="24"/>
          <w:szCs w:val="24"/>
        </w:rPr>
        <w:t xml:space="preserve">, after </w:t>
      </w:r>
      <w:r w:rsidR="005F3706" w:rsidRPr="00097205">
        <w:rPr>
          <w:rFonts w:ascii="Arial" w:hAnsi="Arial" w:cs="Arial"/>
          <w:sz w:val="24"/>
          <w:szCs w:val="24"/>
        </w:rPr>
        <w:t>the accused</w:t>
      </w:r>
      <w:r w:rsidR="00780E5F" w:rsidRPr="00097205">
        <w:rPr>
          <w:rFonts w:ascii="Arial" w:hAnsi="Arial" w:cs="Arial"/>
          <w:sz w:val="24"/>
          <w:szCs w:val="24"/>
        </w:rPr>
        <w:t xml:space="preserve"> </w:t>
      </w:r>
      <w:r w:rsidR="009C6905" w:rsidRPr="00097205">
        <w:rPr>
          <w:rFonts w:ascii="Arial" w:hAnsi="Arial" w:cs="Arial"/>
          <w:sz w:val="24"/>
          <w:szCs w:val="24"/>
        </w:rPr>
        <w:t xml:space="preserve">had </w:t>
      </w:r>
      <w:r w:rsidR="00780E5F" w:rsidRPr="00097205">
        <w:rPr>
          <w:rFonts w:ascii="Arial" w:hAnsi="Arial" w:cs="Arial"/>
          <w:sz w:val="24"/>
          <w:szCs w:val="24"/>
        </w:rPr>
        <w:t>made</w:t>
      </w:r>
      <w:r w:rsidR="003B4DC2" w:rsidRPr="00097205">
        <w:rPr>
          <w:rFonts w:ascii="Arial" w:hAnsi="Arial" w:cs="Arial"/>
          <w:sz w:val="24"/>
          <w:szCs w:val="24"/>
        </w:rPr>
        <w:t xml:space="preserve"> enquiries about the family meeting, he </w:t>
      </w:r>
      <w:r w:rsidR="009C6905" w:rsidRPr="00097205">
        <w:rPr>
          <w:rFonts w:ascii="Arial" w:hAnsi="Arial" w:cs="Arial"/>
          <w:sz w:val="24"/>
          <w:szCs w:val="24"/>
        </w:rPr>
        <w:t xml:space="preserve">asked </w:t>
      </w:r>
      <w:r w:rsidR="003B4DC2" w:rsidRPr="00097205">
        <w:rPr>
          <w:rFonts w:ascii="Arial" w:hAnsi="Arial" w:cs="Arial"/>
          <w:sz w:val="24"/>
          <w:szCs w:val="24"/>
        </w:rPr>
        <w:t xml:space="preserve">the complainant where his sword was.  His evidence was that he </w:t>
      </w:r>
      <w:r w:rsidR="00E621B6" w:rsidRPr="00097205">
        <w:rPr>
          <w:rFonts w:ascii="Arial" w:hAnsi="Arial" w:cs="Arial"/>
          <w:sz w:val="24"/>
          <w:szCs w:val="24"/>
        </w:rPr>
        <w:t xml:space="preserve">had </w:t>
      </w:r>
      <w:r w:rsidR="003B4DC2" w:rsidRPr="00097205">
        <w:rPr>
          <w:rFonts w:ascii="Arial" w:hAnsi="Arial" w:cs="Arial"/>
          <w:sz w:val="24"/>
          <w:szCs w:val="24"/>
        </w:rPr>
        <w:t xml:space="preserve">left the sword in a room the night before, whereas the complainant </w:t>
      </w:r>
      <w:r w:rsidR="00ED47A8" w:rsidRPr="00097205">
        <w:rPr>
          <w:rFonts w:ascii="Arial" w:hAnsi="Arial" w:cs="Arial"/>
          <w:sz w:val="24"/>
          <w:szCs w:val="24"/>
        </w:rPr>
        <w:t>said that he had left it in that room when he last stayed there.  The evidence as to what happened thereafter is unclear.  The complainant’s evidence was that, when the accused asked about the whereabouts of the sword, she told him that it was in that room, albeit that she had covered it and hidden it in th</w:t>
      </w:r>
      <w:r w:rsidR="00E621B6" w:rsidRPr="00097205">
        <w:rPr>
          <w:rFonts w:ascii="Arial" w:hAnsi="Arial" w:cs="Arial"/>
          <w:sz w:val="24"/>
          <w:szCs w:val="24"/>
        </w:rPr>
        <w:t>at</w:t>
      </w:r>
      <w:r w:rsidR="00ED47A8" w:rsidRPr="00097205">
        <w:rPr>
          <w:rFonts w:ascii="Arial" w:hAnsi="Arial" w:cs="Arial"/>
          <w:sz w:val="24"/>
          <w:szCs w:val="24"/>
        </w:rPr>
        <w:t xml:space="preserve"> room.  He became angry and went to collect the sword.  At that stage she left home to go to the police station because she did not know what he was going to do with the sword.  He was angry </w:t>
      </w:r>
      <w:r w:rsidR="00A73A10" w:rsidRPr="00097205">
        <w:rPr>
          <w:rFonts w:ascii="Arial" w:hAnsi="Arial" w:cs="Arial"/>
          <w:sz w:val="24"/>
          <w:szCs w:val="24"/>
        </w:rPr>
        <w:t xml:space="preserve">at that stage and her experience taught her not to trust him when he was angry.  On the </w:t>
      </w:r>
      <w:r w:rsidR="005E5F17" w:rsidRPr="00097205">
        <w:rPr>
          <w:rFonts w:ascii="Arial" w:hAnsi="Arial" w:cs="Arial"/>
          <w:sz w:val="24"/>
          <w:szCs w:val="24"/>
        </w:rPr>
        <w:t xml:space="preserve">complainant’s own evidence, she left her premises before the accused did anything.  Although she testified that he was angry, it is unclear what caused his anger, to whom it was addressed and how he expressed his anger. </w:t>
      </w:r>
      <w:r w:rsidR="00013448" w:rsidRPr="00097205">
        <w:rPr>
          <w:rFonts w:ascii="Arial" w:hAnsi="Arial" w:cs="Arial"/>
          <w:sz w:val="24"/>
          <w:szCs w:val="24"/>
        </w:rPr>
        <w:t xml:space="preserve"> </w:t>
      </w:r>
      <w:r w:rsidR="005E5F17" w:rsidRPr="00097205">
        <w:rPr>
          <w:rFonts w:ascii="Arial" w:hAnsi="Arial" w:cs="Arial"/>
          <w:sz w:val="24"/>
          <w:szCs w:val="24"/>
        </w:rPr>
        <w:t xml:space="preserve">  </w:t>
      </w:r>
      <w:r w:rsidR="00F93563" w:rsidRPr="00097205">
        <w:rPr>
          <w:rFonts w:ascii="Arial" w:hAnsi="Arial" w:cs="Arial"/>
          <w:sz w:val="24"/>
          <w:szCs w:val="24"/>
        </w:rPr>
        <w:t xml:space="preserve"> </w:t>
      </w:r>
    </w:p>
    <w:p w14:paraId="2CE572B8" w14:textId="75361092" w:rsidR="008865C1" w:rsidRDefault="008865C1" w:rsidP="008865C1">
      <w:pPr>
        <w:pStyle w:val="ListParagraph"/>
        <w:spacing w:after="0" w:line="360" w:lineRule="auto"/>
        <w:jc w:val="both"/>
        <w:rPr>
          <w:rFonts w:ascii="Arial" w:hAnsi="Arial" w:cs="Arial"/>
          <w:sz w:val="24"/>
          <w:szCs w:val="24"/>
        </w:rPr>
      </w:pPr>
    </w:p>
    <w:p w14:paraId="1C524FAD" w14:textId="7618FD61" w:rsidR="008865C1"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E621B6" w:rsidRPr="00097205">
        <w:rPr>
          <w:rFonts w:ascii="Arial" w:hAnsi="Arial" w:cs="Arial"/>
          <w:sz w:val="24"/>
          <w:szCs w:val="24"/>
        </w:rPr>
        <w:t xml:space="preserve">At one stage, the complainant testified that he swore at her. </w:t>
      </w:r>
      <w:r w:rsidR="008865C1" w:rsidRPr="00097205">
        <w:rPr>
          <w:rFonts w:ascii="Arial" w:hAnsi="Arial" w:cs="Arial"/>
          <w:sz w:val="24"/>
          <w:szCs w:val="24"/>
        </w:rPr>
        <w:t xml:space="preserve">Only </w:t>
      </w:r>
      <w:r w:rsidR="00E621B6" w:rsidRPr="00097205">
        <w:rPr>
          <w:rFonts w:ascii="Arial" w:hAnsi="Arial" w:cs="Arial"/>
          <w:sz w:val="24"/>
          <w:szCs w:val="24"/>
        </w:rPr>
        <w:t>s</w:t>
      </w:r>
      <w:r w:rsidR="008865C1" w:rsidRPr="00097205">
        <w:rPr>
          <w:rFonts w:ascii="Arial" w:hAnsi="Arial" w:cs="Arial"/>
          <w:sz w:val="24"/>
          <w:szCs w:val="24"/>
        </w:rPr>
        <w:t xml:space="preserve">he </w:t>
      </w:r>
      <w:r w:rsidR="00E621B6" w:rsidRPr="00097205">
        <w:rPr>
          <w:rFonts w:ascii="Arial" w:hAnsi="Arial" w:cs="Arial"/>
          <w:sz w:val="24"/>
          <w:szCs w:val="24"/>
        </w:rPr>
        <w:t>g</w:t>
      </w:r>
      <w:r w:rsidR="008865C1" w:rsidRPr="00097205">
        <w:rPr>
          <w:rFonts w:ascii="Arial" w:hAnsi="Arial" w:cs="Arial"/>
          <w:sz w:val="24"/>
          <w:szCs w:val="24"/>
        </w:rPr>
        <w:t xml:space="preserve">ave evidence relating to the alleged swearing.  </w:t>
      </w:r>
      <w:r w:rsidR="007C4B25" w:rsidRPr="00097205">
        <w:rPr>
          <w:rFonts w:ascii="Arial" w:hAnsi="Arial" w:cs="Arial"/>
          <w:sz w:val="24"/>
          <w:szCs w:val="24"/>
        </w:rPr>
        <w:t>She testified that after she had told the accused that the family meeting had not taken place, he said that she was a liar.  That was an insult</w:t>
      </w:r>
      <w:r w:rsidR="00157944" w:rsidRPr="00097205">
        <w:rPr>
          <w:rFonts w:ascii="Arial" w:hAnsi="Arial" w:cs="Arial"/>
          <w:sz w:val="24"/>
          <w:szCs w:val="24"/>
        </w:rPr>
        <w:t xml:space="preserve">, according to her.  But that is not the insult with which he </w:t>
      </w:r>
      <w:r w:rsidR="00414256" w:rsidRPr="00097205">
        <w:rPr>
          <w:rFonts w:ascii="Arial" w:hAnsi="Arial" w:cs="Arial"/>
          <w:sz w:val="24"/>
          <w:szCs w:val="24"/>
        </w:rPr>
        <w:t>was</w:t>
      </w:r>
      <w:r w:rsidR="00157944" w:rsidRPr="00097205">
        <w:rPr>
          <w:rFonts w:ascii="Arial" w:hAnsi="Arial" w:cs="Arial"/>
          <w:sz w:val="24"/>
          <w:szCs w:val="24"/>
        </w:rPr>
        <w:t xml:space="preserve"> charged</w:t>
      </w:r>
      <w:r w:rsidR="00B76CF4" w:rsidRPr="00097205">
        <w:rPr>
          <w:rFonts w:ascii="Arial" w:hAnsi="Arial" w:cs="Arial"/>
          <w:sz w:val="24"/>
          <w:szCs w:val="24"/>
        </w:rPr>
        <w:t xml:space="preserve">.  According to the charge sheet he insulted her by </w:t>
      </w:r>
      <w:r w:rsidR="00823DED" w:rsidRPr="00097205">
        <w:rPr>
          <w:rFonts w:ascii="Arial" w:hAnsi="Arial" w:cs="Arial"/>
          <w:sz w:val="24"/>
          <w:szCs w:val="24"/>
        </w:rPr>
        <w:t>referring</w:t>
      </w:r>
      <w:r w:rsidR="00B76CF4" w:rsidRPr="00097205">
        <w:rPr>
          <w:rFonts w:ascii="Arial" w:hAnsi="Arial" w:cs="Arial"/>
          <w:sz w:val="24"/>
          <w:szCs w:val="24"/>
        </w:rPr>
        <w:t xml:space="preserve"> to </w:t>
      </w:r>
      <w:r w:rsidR="00FC044C" w:rsidRPr="00097205">
        <w:rPr>
          <w:rFonts w:ascii="Arial" w:hAnsi="Arial" w:cs="Arial"/>
          <w:sz w:val="24"/>
          <w:szCs w:val="24"/>
        </w:rPr>
        <w:t>“</w:t>
      </w:r>
      <w:r w:rsidR="00FC044C" w:rsidRPr="00097205">
        <w:rPr>
          <w:rFonts w:ascii="Arial" w:hAnsi="Arial" w:cs="Arial"/>
          <w:i/>
          <w:iCs/>
          <w:sz w:val="24"/>
          <w:szCs w:val="24"/>
        </w:rPr>
        <w:t xml:space="preserve">her private </w:t>
      </w:r>
      <w:r w:rsidR="008F12B0" w:rsidRPr="00097205">
        <w:rPr>
          <w:rFonts w:ascii="Arial" w:hAnsi="Arial" w:cs="Arial"/>
          <w:i/>
          <w:iCs/>
          <w:sz w:val="24"/>
          <w:szCs w:val="24"/>
        </w:rPr>
        <w:t>parts and chasing her</w:t>
      </w:r>
      <w:r w:rsidR="008F12B0" w:rsidRPr="00097205">
        <w:rPr>
          <w:rFonts w:ascii="Arial" w:hAnsi="Arial" w:cs="Arial"/>
          <w:sz w:val="24"/>
          <w:szCs w:val="24"/>
        </w:rPr>
        <w:t>”.</w:t>
      </w:r>
      <w:r w:rsidR="00E2618A" w:rsidRPr="00097205">
        <w:rPr>
          <w:rFonts w:ascii="Arial" w:hAnsi="Arial" w:cs="Arial"/>
          <w:sz w:val="24"/>
          <w:szCs w:val="24"/>
        </w:rPr>
        <w:t xml:space="preserve">  The complain</w:t>
      </w:r>
      <w:r w:rsidR="00414256" w:rsidRPr="00097205">
        <w:rPr>
          <w:rFonts w:ascii="Arial" w:hAnsi="Arial" w:cs="Arial"/>
          <w:sz w:val="24"/>
          <w:szCs w:val="24"/>
        </w:rPr>
        <w:t>an</w:t>
      </w:r>
      <w:r w:rsidR="00E2618A" w:rsidRPr="00097205">
        <w:rPr>
          <w:rFonts w:ascii="Arial" w:hAnsi="Arial" w:cs="Arial"/>
          <w:sz w:val="24"/>
          <w:szCs w:val="24"/>
        </w:rPr>
        <w:t xml:space="preserve">t did not </w:t>
      </w:r>
      <w:r w:rsidR="00823DED" w:rsidRPr="00097205">
        <w:rPr>
          <w:rFonts w:ascii="Arial" w:hAnsi="Arial" w:cs="Arial"/>
          <w:sz w:val="24"/>
          <w:szCs w:val="24"/>
        </w:rPr>
        <w:t>testify</w:t>
      </w:r>
      <w:r w:rsidR="00E2618A" w:rsidRPr="00097205">
        <w:rPr>
          <w:rFonts w:ascii="Arial" w:hAnsi="Arial" w:cs="Arial"/>
          <w:sz w:val="24"/>
          <w:szCs w:val="24"/>
        </w:rPr>
        <w:t xml:space="preserve"> that the accused referred to her private parts.  </w:t>
      </w:r>
      <w:r w:rsidR="002C1A64" w:rsidRPr="00097205">
        <w:rPr>
          <w:rFonts w:ascii="Arial" w:hAnsi="Arial" w:cs="Arial"/>
          <w:sz w:val="24"/>
          <w:szCs w:val="24"/>
        </w:rPr>
        <w:t>Her direct evidence, relevant to being chased, was that she ran away because the accused “</w:t>
      </w:r>
      <w:r w:rsidR="002C1A64" w:rsidRPr="00097205">
        <w:rPr>
          <w:rFonts w:ascii="Arial" w:hAnsi="Arial" w:cs="Arial"/>
          <w:i/>
          <w:iCs/>
          <w:sz w:val="24"/>
          <w:szCs w:val="24"/>
        </w:rPr>
        <w:t>was angry.  He did not chase me, Your Worship.  I noticed or I saw that he is going to chase me, Your Worship, then I ran to the neighbours</w:t>
      </w:r>
      <w:r w:rsidR="002C1A64" w:rsidRPr="00097205">
        <w:rPr>
          <w:rFonts w:ascii="Arial" w:hAnsi="Arial" w:cs="Arial"/>
          <w:sz w:val="24"/>
          <w:szCs w:val="24"/>
        </w:rPr>
        <w:t>.”</w:t>
      </w:r>
      <w:r w:rsidR="00B16C62" w:rsidRPr="00097205">
        <w:rPr>
          <w:rFonts w:ascii="Arial" w:hAnsi="Arial" w:cs="Arial"/>
          <w:sz w:val="24"/>
          <w:szCs w:val="24"/>
        </w:rPr>
        <w:t xml:space="preserve">  </w:t>
      </w:r>
    </w:p>
    <w:p w14:paraId="3B896B64" w14:textId="77777777" w:rsidR="006B13D3" w:rsidRPr="006B13D3" w:rsidRDefault="006B13D3" w:rsidP="006B13D3">
      <w:pPr>
        <w:pStyle w:val="ListParagraph"/>
        <w:rPr>
          <w:rFonts w:ascii="Arial" w:hAnsi="Arial" w:cs="Arial"/>
          <w:sz w:val="24"/>
          <w:szCs w:val="24"/>
        </w:rPr>
      </w:pPr>
    </w:p>
    <w:p w14:paraId="36409B36" w14:textId="3917A974" w:rsidR="006B13D3" w:rsidRPr="00097205" w:rsidRDefault="00097205" w:rsidP="00097205">
      <w:pPr>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E486D" w:rsidRPr="00097205">
        <w:rPr>
          <w:rFonts w:ascii="Arial" w:hAnsi="Arial" w:cs="Arial"/>
          <w:sz w:val="24"/>
          <w:szCs w:val="24"/>
        </w:rPr>
        <w:t>In all the circumstances,</w:t>
      </w:r>
      <w:r w:rsidR="006B13D3" w:rsidRPr="00097205">
        <w:rPr>
          <w:rFonts w:ascii="Arial" w:hAnsi="Arial" w:cs="Arial"/>
          <w:sz w:val="24"/>
          <w:szCs w:val="24"/>
        </w:rPr>
        <w:t xml:space="preserve"> there was no evidence to support a finding that </w:t>
      </w:r>
      <w:r w:rsidR="00AF3A5A" w:rsidRPr="00097205">
        <w:rPr>
          <w:rFonts w:ascii="Arial" w:hAnsi="Arial" w:cs="Arial"/>
          <w:sz w:val="24"/>
          <w:szCs w:val="24"/>
        </w:rPr>
        <w:t>on 20</w:t>
      </w:r>
      <w:r w:rsidR="00847706" w:rsidRPr="00097205">
        <w:rPr>
          <w:rFonts w:ascii="Arial" w:hAnsi="Arial" w:cs="Arial"/>
          <w:sz w:val="24"/>
          <w:szCs w:val="24"/>
        </w:rPr>
        <w:t> </w:t>
      </w:r>
      <w:r w:rsidR="00AF3A5A" w:rsidRPr="00097205">
        <w:rPr>
          <w:rFonts w:ascii="Arial" w:hAnsi="Arial" w:cs="Arial"/>
          <w:sz w:val="24"/>
          <w:szCs w:val="24"/>
        </w:rPr>
        <w:t xml:space="preserve">January 2023 the accused </w:t>
      </w:r>
      <w:r w:rsidR="00696B46" w:rsidRPr="00097205">
        <w:rPr>
          <w:rFonts w:ascii="Arial" w:hAnsi="Arial" w:cs="Arial"/>
          <w:sz w:val="24"/>
          <w:szCs w:val="24"/>
        </w:rPr>
        <w:t xml:space="preserve">insulted the complainant by </w:t>
      </w:r>
      <w:r w:rsidR="008467CC" w:rsidRPr="00097205">
        <w:rPr>
          <w:rFonts w:ascii="Arial" w:hAnsi="Arial" w:cs="Arial"/>
          <w:sz w:val="24"/>
          <w:szCs w:val="24"/>
        </w:rPr>
        <w:t>referring</w:t>
      </w:r>
      <w:r w:rsidR="00696B46" w:rsidRPr="00097205">
        <w:rPr>
          <w:rFonts w:ascii="Arial" w:hAnsi="Arial" w:cs="Arial"/>
          <w:sz w:val="24"/>
          <w:szCs w:val="24"/>
        </w:rPr>
        <w:t xml:space="preserve"> to her private parts and thereby </w:t>
      </w:r>
      <w:r w:rsidR="00DE3B18" w:rsidRPr="00097205">
        <w:rPr>
          <w:rFonts w:ascii="Arial" w:hAnsi="Arial" w:cs="Arial"/>
          <w:sz w:val="24"/>
          <w:szCs w:val="24"/>
        </w:rPr>
        <w:t xml:space="preserve">either </w:t>
      </w:r>
      <w:r w:rsidR="00BE486D" w:rsidRPr="00097205">
        <w:rPr>
          <w:rFonts w:ascii="Arial" w:hAnsi="Arial" w:cs="Arial"/>
          <w:sz w:val="24"/>
          <w:szCs w:val="24"/>
        </w:rPr>
        <w:t>physically, verbally or psychologically abused or intimated the complainant in any way</w:t>
      </w:r>
      <w:r w:rsidR="000B08B9" w:rsidRPr="00097205">
        <w:rPr>
          <w:rFonts w:ascii="Arial" w:hAnsi="Arial" w:cs="Arial"/>
          <w:sz w:val="24"/>
          <w:szCs w:val="24"/>
        </w:rPr>
        <w:t xml:space="preserve">.  The state accordingly failed to establish its case </w:t>
      </w:r>
      <w:r w:rsidR="008467CC" w:rsidRPr="00097205">
        <w:rPr>
          <w:rFonts w:ascii="Arial" w:hAnsi="Arial" w:cs="Arial"/>
          <w:sz w:val="24"/>
          <w:szCs w:val="24"/>
        </w:rPr>
        <w:t xml:space="preserve">against the accused </w:t>
      </w:r>
      <w:r w:rsidR="000B08B9" w:rsidRPr="00097205">
        <w:rPr>
          <w:rFonts w:ascii="Arial" w:hAnsi="Arial" w:cs="Arial"/>
          <w:sz w:val="24"/>
          <w:szCs w:val="24"/>
        </w:rPr>
        <w:t>beyond reasonable doubt</w:t>
      </w:r>
      <w:r w:rsidR="00BE486D" w:rsidRPr="00097205">
        <w:rPr>
          <w:rFonts w:ascii="Arial" w:hAnsi="Arial" w:cs="Arial"/>
          <w:sz w:val="24"/>
          <w:szCs w:val="24"/>
        </w:rPr>
        <w:t xml:space="preserve">.  The conviction and </w:t>
      </w:r>
      <w:r w:rsidR="00394665" w:rsidRPr="00097205">
        <w:rPr>
          <w:rFonts w:ascii="Arial" w:hAnsi="Arial" w:cs="Arial"/>
          <w:sz w:val="24"/>
          <w:szCs w:val="24"/>
        </w:rPr>
        <w:t>accordingly sentence must be set aside.</w:t>
      </w:r>
    </w:p>
    <w:p w14:paraId="678F4028" w14:textId="77777777" w:rsidR="006B13D3" w:rsidRPr="006B13D3" w:rsidRDefault="006B13D3" w:rsidP="006B13D3">
      <w:pPr>
        <w:pStyle w:val="ListParagraph"/>
        <w:rPr>
          <w:rFonts w:ascii="Arial" w:hAnsi="Arial" w:cs="Arial"/>
          <w:sz w:val="24"/>
          <w:szCs w:val="24"/>
        </w:rPr>
      </w:pPr>
    </w:p>
    <w:p w14:paraId="7B8BA21C" w14:textId="05BCA8D6" w:rsidR="00394665" w:rsidRPr="00097205" w:rsidRDefault="00097205" w:rsidP="00097205">
      <w:pPr>
        <w:spacing w:after="0" w:line="360" w:lineRule="auto"/>
        <w:ind w:left="720" w:hanging="720"/>
        <w:jc w:val="both"/>
        <w:rPr>
          <w:rStyle w:val="Strong"/>
          <w:rFonts w:ascii="Arial" w:hAnsi="Arial" w:cs="Arial"/>
          <w:b w:val="0"/>
          <w:bCs w:val="0"/>
          <w:sz w:val="24"/>
          <w:szCs w:val="24"/>
        </w:rPr>
      </w:pPr>
      <w:r w:rsidRPr="006B13D3">
        <w:rPr>
          <w:rStyle w:val="Strong"/>
          <w:rFonts w:ascii="Arial" w:hAnsi="Arial" w:cs="Arial"/>
          <w:b w:val="0"/>
          <w:bCs w:val="0"/>
          <w:sz w:val="24"/>
          <w:szCs w:val="24"/>
        </w:rPr>
        <w:t>15.</w:t>
      </w:r>
      <w:r w:rsidRPr="006B13D3">
        <w:rPr>
          <w:rStyle w:val="Strong"/>
          <w:rFonts w:ascii="Arial" w:hAnsi="Arial" w:cs="Arial"/>
          <w:b w:val="0"/>
          <w:bCs w:val="0"/>
          <w:sz w:val="24"/>
          <w:szCs w:val="24"/>
        </w:rPr>
        <w:tab/>
      </w:r>
      <w:r w:rsidR="00394665" w:rsidRPr="00097205">
        <w:rPr>
          <w:rFonts w:ascii="Arial" w:hAnsi="Arial" w:cs="Arial"/>
          <w:sz w:val="24"/>
          <w:szCs w:val="24"/>
        </w:rPr>
        <w:t>In the result, it is ordered that the conviction and sentence of the accused be and are hereby set aside.</w:t>
      </w:r>
    </w:p>
    <w:p w14:paraId="2660BD65" w14:textId="1AAD82C8" w:rsidR="00F82678" w:rsidRDefault="005E5F17" w:rsidP="003F2B07">
      <w:pPr>
        <w:spacing w:after="0" w:line="360" w:lineRule="auto"/>
        <w:jc w:val="both"/>
        <w:rPr>
          <w:rStyle w:val="Strong"/>
          <w:rFonts w:ascii="Arial" w:hAnsi="Arial" w:cs="Arial"/>
          <w:b w:val="0"/>
          <w:bCs w:val="0"/>
          <w:sz w:val="24"/>
          <w:szCs w:val="24"/>
        </w:rPr>
      </w:pPr>
      <w:r>
        <w:rPr>
          <w:rStyle w:val="Strong"/>
          <w:rFonts w:ascii="Arial" w:hAnsi="Arial" w:cs="Arial"/>
          <w:b w:val="0"/>
          <w:bCs w:val="0"/>
          <w:sz w:val="24"/>
          <w:szCs w:val="24"/>
        </w:rPr>
        <w:t xml:space="preserve"> </w:t>
      </w:r>
    </w:p>
    <w:p w14:paraId="27ACC17A" w14:textId="77777777" w:rsidR="008467CC" w:rsidRDefault="008467CC" w:rsidP="003F2B07">
      <w:pPr>
        <w:spacing w:after="0" w:line="360" w:lineRule="auto"/>
        <w:jc w:val="both"/>
        <w:rPr>
          <w:rStyle w:val="Strong"/>
          <w:rFonts w:ascii="Arial" w:hAnsi="Arial" w:cs="Arial"/>
          <w:b w:val="0"/>
          <w:bCs w:val="0"/>
          <w:sz w:val="24"/>
          <w:szCs w:val="24"/>
        </w:rPr>
      </w:pPr>
    </w:p>
    <w:p w14:paraId="2660BD66" w14:textId="77777777" w:rsidR="003F2B07" w:rsidRPr="00947B02" w:rsidRDefault="003F2B07" w:rsidP="003F2B07">
      <w:pPr>
        <w:widowControl w:val="0"/>
        <w:tabs>
          <w:tab w:val="left" w:pos="4536"/>
          <w:tab w:val="right" w:pos="8640"/>
          <w:tab w:val="right" w:pos="9781"/>
        </w:tabs>
        <w:spacing w:line="240" w:lineRule="auto"/>
        <w:ind w:left="851" w:hanging="851"/>
        <w:jc w:val="both"/>
        <w:rPr>
          <w:rFonts w:ascii="Arial" w:hAnsi="Arial" w:cs="Arial"/>
          <w:sz w:val="24"/>
          <w:szCs w:val="24"/>
        </w:rPr>
      </w:pPr>
      <w:r w:rsidRPr="00947B02">
        <w:rPr>
          <w:rFonts w:ascii="Arial" w:hAnsi="Arial" w:cs="Arial"/>
          <w:sz w:val="24"/>
          <w:szCs w:val="24"/>
        </w:rPr>
        <w:t xml:space="preserve">_________________________ </w:t>
      </w:r>
    </w:p>
    <w:p w14:paraId="2660BD67" w14:textId="77777777" w:rsidR="003F2B07" w:rsidRPr="00947B02" w:rsidRDefault="003F2B07" w:rsidP="003F2B07">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GH BLOEM</w:t>
      </w:r>
    </w:p>
    <w:p w14:paraId="2660BD68" w14:textId="77777777" w:rsidR="003F2B07" w:rsidRPr="00947B02" w:rsidRDefault="003F2B07" w:rsidP="003F2B07">
      <w:pPr>
        <w:widowControl w:val="0"/>
        <w:tabs>
          <w:tab w:val="left" w:pos="4536"/>
          <w:tab w:val="right" w:pos="8640"/>
          <w:tab w:val="right" w:pos="9781"/>
        </w:tabs>
        <w:spacing w:after="0" w:line="240" w:lineRule="auto"/>
        <w:ind w:left="851" w:hanging="851"/>
        <w:jc w:val="both"/>
        <w:rPr>
          <w:rFonts w:ascii="Arial" w:hAnsi="Arial" w:cs="Arial"/>
          <w:sz w:val="24"/>
          <w:szCs w:val="24"/>
        </w:rPr>
      </w:pPr>
      <w:r w:rsidRPr="00947B02">
        <w:rPr>
          <w:rFonts w:ascii="Arial" w:hAnsi="Arial" w:cs="Arial"/>
          <w:sz w:val="24"/>
          <w:szCs w:val="24"/>
        </w:rPr>
        <w:t>Judge of the High Court</w:t>
      </w:r>
    </w:p>
    <w:p w14:paraId="3496C56C" w14:textId="77777777" w:rsidR="00823DED" w:rsidRDefault="00823DED" w:rsidP="003F2B07">
      <w:pPr>
        <w:widowControl w:val="0"/>
        <w:tabs>
          <w:tab w:val="right" w:pos="8640"/>
          <w:tab w:val="right" w:pos="9781"/>
        </w:tabs>
        <w:spacing w:before="240" w:line="360" w:lineRule="auto"/>
        <w:ind w:left="3969" w:hanging="3969"/>
        <w:jc w:val="both"/>
        <w:rPr>
          <w:rFonts w:ascii="Arial" w:hAnsi="Arial" w:cs="Arial"/>
          <w:sz w:val="24"/>
          <w:szCs w:val="24"/>
        </w:rPr>
      </w:pPr>
    </w:p>
    <w:p w14:paraId="2660BD69" w14:textId="0746722C" w:rsidR="003F2B07" w:rsidRDefault="003F2B07" w:rsidP="003F2B07">
      <w:pPr>
        <w:widowControl w:val="0"/>
        <w:tabs>
          <w:tab w:val="right" w:pos="8640"/>
          <w:tab w:val="right" w:pos="9781"/>
        </w:tabs>
        <w:spacing w:before="240" w:line="360" w:lineRule="auto"/>
        <w:ind w:left="3969" w:hanging="3969"/>
        <w:jc w:val="both"/>
        <w:rPr>
          <w:rFonts w:ascii="Arial" w:hAnsi="Arial" w:cs="Arial"/>
          <w:sz w:val="24"/>
          <w:szCs w:val="24"/>
        </w:rPr>
      </w:pPr>
      <w:r>
        <w:rPr>
          <w:rFonts w:ascii="Arial" w:hAnsi="Arial" w:cs="Arial"/>
          <w:sz w:val="24"/>
          <w:szCs w:val="24"/>
        </w:rPr>
        <w:t>I agree.</w:t>
      </w:r>
    </w:p>
    <w:p w14:paraId="2660BD6A" w14:textId="77777777" w:rsidR="003F2B07" w:rsidRDefault="003F2B07" w:rsidP="003F2B07">
      <w:pPr>
        <w:widowControl w:val="0"/>
        <w:tabs>
          <w:tab w:val="left" w:pos="4536"/>
          <w:tab w:val="right" w:pos="8640"/>
          <w:tab w:val="right" w:pos="9781"/>
        </w:tabs>
        <w:spacing w:line="240" w:lineRule="auto"/>
        <w:ind w:left="851" w:hanging="851"/>
        <w:jc w:val="both"/>
        <w:rPr>
          <w:rFonts w:ascii="Arial" w:hAnsi="Arial" w:cs="Arial"/>
          <w:sz w:val="24"/>
          <w:szCs w:val="24"/>
        </w:rPr>
      </w:pPr>
    </w:p>
    <w:p w14:paraId="2660BD6B" w14:textId="77777777" w:rsidR="00F82678" w:rsidRDefault="00F82678" w:rsidP="003F2B07">
      <w:pPr>
        <w:widowControl w:val="0"/>
        <w:tabs>
          <w:tab w:val="left" w:pos="4536"/>
          <w:tab w:val="right" w:pos="8640"/>
          <w:tab w:val="right" w:pos="9781"/>
        </w:tabs>
        <w:spacing w:line="240" w:lineRule="auto"/>
        <w:ind w:left="851" w:hanging="851"/>
        <w:jc w:val="both"/>
        <w:rPr>
          <w:rFonts w:ascii="Arial" w:hAnsi="Arial" w:cs="Arial"/>
          <w:sz w:val="24"/>
          <w:szCs w:val="24"/>
        </w:rPr>
      </w:pPr>
    </w:p>
    <w:p w14:paraId="2660BD6C" w14:textId="77777777" w:rsidR="003F2B07" w:rsidRPr="00947B02" w:rsidRDefault="003F2B07" w:rsidP="003F2B07">
      <w:pPr>
        <w:widowControl w:val="0"/>
        <w:tabs>
          <w:tab w:val="left" w:pos="4536"/>
          <w:tab w:val="right" w:pos="8640"/>
          <w:tab w:val="right" w:pos="9781"/>
        </w:tabs>
        <w:spacing w:line="240" w:lineRule="auto"/>
        <w:ind w:left="851" w:hanging="851"/>
        <w:jc w:val="both"/>
        <w:rPr>
          <w:rFonts w:ascii="Arial" w:hAnsi="Arial" w:cs="Arial"/>
          <w:sz w:val="24"/>
          <w:szCs w:val="24"/>
        </w:rPr>
      </w:pPr>
      <w:r w:rsidRPr="00947B02">
        <w:rPr>
          <w:rFonts w:ascii="Arial" w:hAnsi="Arial" w:cs="Arial"/>
          <w:sz w:val="24"/>
          <w:szCs w:val="24"/>
        </w:rPr>
        <w:t xml:space="preserve">________________________ </w:t>
      </w:r>
    </w:p>
    <w:p w14:paraId="2660BD6D" w14:textId="7AA22362" w:rsidR="003F2B07" w:rsidRPr="00947B02" w:rsidRDefault="009D23C4" w:rsidP="003F2B07">
      <w:pPr>
        <w:widowControl w:val="0"/>
        <w:tabs>
          <w:tab w:val="left" w:pos="4536"/>
          <w:tab w:val="right" w:pos="8640"/>
          <w:tab w:val="right" w:pos="9781"/>
        </w:tabs>
        <w:spacing w:after="0" w:line="240" w:lineRule="auto"/>
        <w:ind w:left="851" w:hanging="851"/>
        <w:jc w:val="both"/>
        <w:rPr>
          <w:rFonts w:ascii="Arial" w:hAnsi="Arial" w:cs="Arial"/>
          <w:sz w:val="24"/>
          <w:szCs w:val="24"/>
        </w:rPr>
      </w:pPr>
      <w:r>
        <w:rPr>
          <w:rFonts w:ascii="Arial" w:hAnsi="Arial" w:cs="Arial"/>
          <w:sz w:val="24"/>
          <w:szCs w:val="24"/>
        </w:rPr>
        <w:t>M</w:t>
      </w:r>
      <w:r w:rsidR="002C47BE">
        <w:rPr>
          <w:rFonts w:ascii="Arial" w:hAnsi="Arial" w:cs="Arial"/>
          <w:sz w:val="24"/>
          <w:szCs w:val="24"/>
        </w:rPr>
        <w:t>J</w:t>
      </w:r>
      <w:r>
        <w:rPr>
          <w:rFonts w:ascii="Arial" w:hAnsi="Arial" w:cs="Arial"/>
          <w:sz w:val="24"/>
          <w:szCs w:val="24"/>
        </w:rPr>
        <w:t xml:space="preserve"> LOWE</w:t>
      </w:r>
    </w:p>
    <w:p w14:paraId="2660BD6E" w14:textId="77777777" w:rsidR="002572F8" w:rsidRDefault="003F2B07" w:rsidP="008F2083">
      <w:pPr>
        <w:widowControl w:val="0"/>
        <w:tabs>
          <w:tab w:val="left" w:pos="4536"/>
          <w:tab w:val="right" w:pos="8640"/>
          <w:tab w:val="right" w:pos="9781"/>
        </w:tabs>
        <w:spacing w:after="0" w:line="240" w:lineRule="auto"/>
        <w:ind w:left="851" w:hanging="851"/>
        <w:jc w:val="both"/>
      </w:pPr>
      <w:r w:rsidRPr="00947B02">
        <w:rPr>
          <w:rFonts w:ascii="Arial" w:hAnsi="Arial" w:cs="Arial"/>
          <w:sz w:val="24"/>
          <w:szCs w:val="24"/>
        </w:rPr>
        <w:t>Judge of the High Court</w:t>
      </w:r>
    </w:p>
    <w:sectPr w:rsidR="002572F8" w:rsidSect="00815B1E">
      <w:headerReference w:type="default" r:id="rId11"/>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C8E7" w14:textId="77777777" w:rsidR="00AB073C" w:rsidRDefault="00AB073C" w:rsidP="004B3398">
      <w:pPr>
        <w:spacing w:after="0" w:line="240" w:lineRule="auto"/>
      </w:pPr>
      <w:r>
        <w:separator/>
      </w:r>
    </w:p>
  </w:endnote>
  <w:endnote w:type="continuationSeparator" w:id="0">
    <w:p w14:paraId="7F992F7A" w14:textId="77777777" w:rsidR="00AB073C" w:rsidRDefault="00AB073C" w:rsidP="004B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83A4F" w14:textId="77777777" w:rsidR="00AB073C" w:rsidRDefault="00AB073C" w:rsidP="004B3398">
      <w:pPr>
        <w:spacing w:after="0" w:line="240" w:lineRule="auto"/>
      </w:pPr>
      <w:r>
        <w:separator/>
      </w:r>
    </w:p>
  </w:footnote>
  <w:footnote w:type="continuationSeparator" w:id="0">
    <w:p w14:paraId="7B59996A" w14:textId="77777777" w:rsidR="00AB073C" w:rsidRDefault="00AB073C" w:rsidP="004B3398">
      <w:pPr>
        <w:spacing w:after="0" w:line="240" w:lineRule="auto"/>
      </w:pPr>
      <w:r>
        <w:continuationSeparator/>
      </w:r>
    </w:p>
  </w:footnote>
  <w:footnote w:id="1">
    <w:p w14:paraId="60B2A439" w14:textId="2FE506BA" w:rsidR="00E34C24" w:rsidRPr="00197BCF" w:rsidRDefault="00E34C24" w:rsidP="00197BCF">
      <w:pPr>
        <w:pStyle w:val="FootnoteText"/>
        <w:jc w:val="both"/>
        <w:rPr>
          <w:rFonts w:ascii="Arial" w:hAnsi="Arial" w:cs="Arial"/>
          <w:lang w:val="en-US"/>
        </w:rPr>
      </w:pPr>
      <w:r>
        <w:rPr>
          <w:rStyle w:val="FootnoteReference"/>
        </w:rPr>
        <w:footnoteRef/>
      </w:r>
      <w:r>
        <w:t xml:space="preserve"> </w:t>
      </w:r>
      <w:r w:rsidRPr="00197BCF">
        <w:rPr>
          <w:rFonts w:ascii="Arial" w:hAnsi="Arial" w:cs="Arial"/>
          <w:i/>
          <w:iCs/>
          <w:lang w:val="en-US"/>
        </w:rPr>
        <w:t>S v BM</w:t>
      </w:r>
      <w:r w:rsidRPr="00197BCF">
        <w:rPr>
          <w:rFonts w:ascii="Arial" w:hAnsi="Arial" w:cs="Arial"/>
          <w:lang w:val="en-US"/>
        </w:rPr>
        <w:t xml:space="preserve"> 2014 (2) SACR 23 (SCA) at par 25.</w:t>
      </w:r>
    </w:p>
  </w:footnote>
  <w:footnote w:id="2">
    <w:p w14:paraId="76D19D2B" w14:textId="52189351" w:rsidR="00134AC7" w:rsidRPr="00197BCF" w:rsidRDefault="00134AC7" w:rsidP="00197BCF">
      <w:pPr>
        <w:pStyle w:val="FootnoteText"/>
        <w:jc w:val="both"/>
        <w:rPr>
          <w:rFonts w:ascii="Arial" w:hAnsi="Arial" w:cs="Arial"/>
          <w:lang w:val="en-US"/>
        </w:rPr>
      </w:pPr>
      <w:r w:rsidRPr="00197BCF">
        <w:rPr>
          <w:rStyle w:val="FootnoteReference"/>
          <w:rFonts w:ascii="Arial" w:hAnsi="Arial" w:cs="Arial"/>
        </w:rPr>
        <w:footnoteRef/>
      </w:r>
      <w:r w:rsidRPr="00197BCF">
        <w:rPr>
          <w:rFonts w:ascii="Arial" w:hAnsi="Arial" w:cs="Arial"/>
        </w:rPr>
        <w:t xml:space="preserve"> </w:t>
      </w:r>
      <w:r w:rsidRPr="00197BCF">
        <w:rPr>
          <w:rFonts w:ascii="Arial" w:hAnsi="Arial" w:cs="Arial"/>
          <w:i/>
          <w:iCs/>
          <w:lang w:val="en-US"/>
        </w:rPr>
        <w:t>S v Ipeleng</w:t>
      </w:r>
      <w:r w:rsidRPr="00197BCF">
        <w:rPr>
          <w:rFonts w:ascii="Arial" w:hAnsi="Arial" w:cs="Arial"/>
          <w:lang w:val="en-US"/>
        </w:rPr>
        <w:t xml:space="preserve"> </w:t>
      </w:r>
      <w:r w:rsidR="005F0A22">
        <w:rPr>
          <w:rFonts w:ascii="Arial" w:hAnsi="Arial" w:cs="Arial"/>
          <w:lang w:val="en-US"/>
        </w:rPr>
        <w:t>1</w:t>
      </w:r>
      <w:r w:rsidRPr="00197BCF">
        <w:rPr>
          <w:rFonts w:ascii="Arial" w:hAnsi="Arial" w:cs="Arial"/>
          <w:lang w:val="en-US"/>
        </w:rPr>
        <w:t>993 (2) SACR 185 (T) at c-d</w:t>
      </w:r>
      <w:r w:rsidR="007D5223">
        <w:rPr>
          <w:rFonts w:ascii="Arial" w:hAnsi="Arial" w:cs="Arial"/>
          <w:lang w:val="en-US"/>
        </w:rPr>
        <w:t>.</w:t>
      </w:r>
    </w:p>
  </w:footnote>
  <w:footnote w:id="3">
    <w:p w14:paraId="08441A16" w14:textId="2EF0A910" w:rsidR="00197BCF" w:rsidRPr="00197BCF" w:rsidRDefault="00197BCF" w:rsidP="00197BCF">
      <w:pPr>
        <w:pStyle w:val="FootnoteText"/>
        <w:jc w:val="both"/>
        <w:rPr>
          <w:rFonts w:ascii="Arial" w:hAnsi="Arial" w:cs="Arial"/>
          <w:lang w:val="en-US"/>
        </w:rPr>
      </w:pPr>
      <w:r w:rsidRPr="00197BCF">
        <w:rPr>
          <w:rStyle w:val="FootnoteReference"/>
          <w:rFonts w:ascii="Arial" w:hAnsi="Arial" w:cs="Arial"/>
        </w:rPr>
        <w:footnoteRef/>
      </w:r>
      <w:r w:rsidRPr="00197BCF">
        <w:rPr>
          <w:rFonts w:ascii="Arial" w:hAnsi="Arial" w:cs="Arial"/>
        </w:rPr>
        <w:t xml:space="preserve"> </w:t>
      </w:r>
      <w:r w:rsidRPr="00197BCF">
        <w:rPr>
          <w:rFonts w:ascii="Arial" w:hAnsi="Arial" w:cs="Arial"/>
          <w:i/>
          <w:iCs/>
          <w:lang w:val="en-US"/>
        </w:rPr>
        <w:t>S v Van Der Meyden</w:t>
      </w:r>
      <w:r w:rsidRPr="00197BCF">
        <w:rPr>
          <w:rFonts w:ascii="Arial" w:hAnsi="Arial" w:cs="Arial"/>
          <w:lang w:val="en-US"/>
        </w:rPr>
        <w:t xml:space="preserve"> 1999 (1) SACR 447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53360"/>
      <w:docPartObj>
        <w:docPartGallery w:val="Page Numbers (Top of Page)"/>
        <w:docPartUnique/>
      </w:docPartObj>
    </w:sdtPr>
    <w:sdtEndPr>
      <w:rPr>
        <w:noProof/>
      </w:rPr>
    </w:sdtEndPr>
    <w:sdtContent>
      <w:p w14:paraId="2660BD76" w14:textId="6879F038" w:rsidR="003F2B07" w:rsidRDefault="003F2B07">
        <w:pPr>
          <w:pStyle w:val="Header"/>
          <w:jc w:val="right"/>
        </w:pPr>
        <w:r>
          <w:fldChar w:fldCharType="begin"/>
        </w:r>
        <w:r>
          <w:instrText xml:space="preserve"> PAGE   \* MERGEFORMAT </w:instrText>
        </w:r>
        <w:r>
          <w:fldChar w:fldCharType="separate"/>
        </w:r>
        <w:r w:rsidR="00097205">
          <w:rPr>
            <w:noProof/>
          </w:rPr>
          <w:t>3</w:t>
        </w:r>
        <w:r>
          <w:rPr>
            <w:noProof/>
          </w:rPr>
          <w:fldChar w:fldCharType="end"/>
        </w:r>
      </w:p>
    </w:sdtContent>
  </w:sdt>
  <w:p w14:paraId="2660BD77" w14:textId="77777777" w:rsidR="003F2B07" w:rsidRDefault="003F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121E7"/>
    <w:multiLevelType w:val="hybridMultilevel"/>
    <w:tmpl w:val="5D4EE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5D323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32"/>
    <w:rsid w:val="00010B70"/>
    <w:rsid w:val="00013448"/>
    <w:rsid w:val="00020451"/>
    <w:rsid w:val="00031492"/>
    <w:rsid w:val="00060921"/>
    <w:rsid w:val="00072DF1"/>
    <w:rsid w:val="00097205"/>
    <w:rsid w:val="000B08B9"/>
    <w:rsid w:val="000D67FB"/>
    <w:rsid w:val="00117E1F"/>
    <w:rsid w:val="00134AC7"/>
    <w:rsid w:val="001543F2"/>
    <w:rsid w:val="00157450"/>
    <w:rsid w:val="00157944"/>
    <w:rsid w:val="00197BCF"/>
    <w:rsid w:val="001A122B"/>
    <w:rsid w:val="001A43D3"/>
    <w:rsid w:val="001B62F6"/>
    <w:rsid w:val="001D2CBA"/>
    <w:rsid w:val="001E6E3A"/>
    <w:rsid w:val="001F5068"/>
    <w:rsid w:val="001F511D"/>
    <w:rsid w:val="001F6279"/>
    <w:rsid w:val="00201ABF"/>
    <w:rsid w:val="002572F8"/>
    <w:rsid w:val="00297ABC"/>
    <w:rsid w:val="002A107C"/>
    <w:rsid w:val="002C1A64"/>
    <w:rsid w:val="002C47BE"/>
    <w:rsid w:val="002C6E61"/>
    <w:rsid w:val="002D5032"/>
    <w:rsid w:val="002F296C"/>
    <w:rsid w:val="00337FA1"/>
    <w:rsid w:val="00342092"/>
    <w:rsid w:val="0034312B"/>
    <w:rsid w:val="00357903"/>
    <w:rsid w:val="00382A86"/>
    <w:rsid w:val="00394665"/>
    <w:rsid w:val="003A175F"/>
    <w:rsid w:val="003A44E3"/>
    <w:rsid w:val="003B4DC2"/>
    <w:rsid w:val="003C6BE4"/>
    <w:rsid w:val="003F2B07"/>
    <w:rsid w:val="003F62B5"/>
    <w:rsid w:val="003F691B"/>
    <w:rsid w:val="00406574"/>
    <w:rsid w:val="00414256"/>
    <w:rsid w:val="004179D5"/>
    <w:rsid w:val="00425924"/>
    <w:rsid w:val="0044699C"/>
    <w:rsid w:val="00463BA0"/>
    <w:rsid w:val="004753E1"/>
    <w:rsid w:val="004B3398"/>
    <w:rsid w:val="004C4413"/>
    <w:rsid w:val="004C549C"/>
    <w:rsid w:val="004C5B39"/>
    <w:rsid w:val="004C5FC8"/>
    <w:rsid w:val="00513D25"/>
    <w:rsid w:val="00522861"/>
    <w:rsid w:val="00530FB0"/>
    <w:rsid w:val="00560163"/>
    <w:rsid w:val="00585211"/>
    <w:rsid w:val="00592252"/>
    <w:rsid w:val="0059328B"/>
    <w:rsid w:val="005A5DF4"/>
    <w:rsid w:val="005B3B25"/>
    <w:rsid w:val="005B54D6"/>
    <w:rsid w:val="005E3576"/>
    <w:rsid w:val="005E5F17"/>
    <w:rsid w:val="005F0A22"/>
    <w:rsid w:val="005F3706"/>
    <w:rsid w:val="006146DF"/>
    <w:rsid w:val="00615762"/>
    <w:rsid w:val="00623243"/>
    <w:rsid w:val="006563C8"/>
    <w:rsid w:val="006706C6"/>
    <w:rsid w:val="0068152F"/>
    <w:rsid w:val="006834B1"/>
    <w:rsid w:val="00696B46"/>
    <w:rsid w:val="006A0497"/>
    <w:rsid w:val="006B13D3"/>
    <w:rsid w:val="006B5253"/>
    <w:rsid w:val="00717659"/>
    <w:rsid w:val="00732830"/>
    <w:rsid w:val="00745079"/>
    <w:rsid w:val="00746635"/>
    <w:rsid w:val="0075006D"/>
    <w:rsid w:val="00760BD9"/>
    <w:rsid w:val="00764512"/>
    <w:rsid w:val="00780E5F"/>
    <w:rsid w:val="0078699D"/>
    <w:rsid w:val="007909C4"/>
    <w:rsid w:val="007B6412"/>
    <w:rsid w:val="007C4B25"/>
    <w:rsid w:val="007D5223"/>
    <w:rsid w:val="00815B1E"/>
    <w:rsid w:val="00823DED"/>
    <w:rsid w:val="008467CC"/>
    <w:rsid w:val="00847706"/>
    <w:rsid w:val="0085735E"/>
    <w:rsid w:val="008606DD"/>
    <w:rsid w:val="00866C38"/>
    <w:rsid w:val="00882B76"/>
    <w:rsid w:val="008865C1"/>
    <w:rsid w:val="008C01AD"/>
    <w:rsid w:val="008D308A"/>
    <w:rsid w:val="008F12B0"/>
    <w:rsid w:val="008F2083"/>
    <w:rsid w:val="00913F92"/>
    <w:rsid w:val="00934F42"/>
    <w:rsid w:val="00965E81"/>
    <w:rsid w:val="009A53ED"/>
    <w:rsid w:val="009A63F7"/>
    <w:rsid w:val="009B052D"/>
    <w:rsid w:val="009C0204"/>
    <w:rsid w:val="009C6905"/>
    <w:rsid w:val="009D23C4"/>
    <w:rsid w:val="00A16383"/>
    <w:rsid w:val="00A46066"/>
    <w:rsid w:val="00A52037"/>
    <w:rsid w:val="00A65228"/>
    <w:rsid w:val="00A73A10"/>
    <w:rsid w:val="00A75265"/>
    <w:rsid w:val="00A926D1"/>
    <w:rsid w:val="00A968F0"/>
    <w:rsid w:val="00AB073C"/>
    <w:rsid w:val="00AC5BB4"/>
    <w:rsid w:val="00AC735B"/>
    <w:rsid w:val="00AE13A8"/>
    <w:rsid w:val="00AF098F"/>
    <w:rsid w:val="00AF3A5A"/>
    <w:rsid w:val="00AF4D15"/>
    <w:rsid w:val="00B01001"/>
    <w:rsid w:val="00B16C62"/>
    <w:rsid w:val="00B3628C"/>
    <w:rsid w:val="00B41740"/>
    <w:rsid w:val="00B764B2"/>
    <w:rsid w:val="00B76CF4"/>
    <w:rsid w:val="00B93466"/>
    <w:rsid w:val="00BD11BF"/>
    <w:rsid w:val="00BD2937"/>
    <w:rsid w:val="00BE47FC"/>
    <w:rsid w:val="00BE486D"/>
    <w:rsid w:val="00C02CD1"/>
    <w:rsid w:val="00C11B1E"/>
    <w:rsid w:val="00C23CF8"/>
    <w:rsid w:val="00C451D9"/>
    <w:rsid w:val="00C63CA6"/>
    <w:rsid w:val="00DB4C67"/>
    <w:rsid w:val="00DE3B18"/>
    <w:rsid w:val="00E13F32"/>
    <w:rsid w:val="00E17D38"/>
    <w:rsid w:val="00E21633"/>
    <w:rsid w:val="00E2618A"/>
    <w:rsid w:val="00E34C24"/>
    <w:rsid w:val="00E621B6"/>
    <w:rsid w:val="00E64EBB"/>
    <w:rsid w:val="00E7695C"/>
    <w:rsid w:val="00E84090"/>
    <w:rsid w:val="00E922E4"/>
    <w:rsid w:val="00E96F12"/>
    <w:rsid w:val="00EB1162"/>
    <w:rsid w:val="00EB14AD"/>
    <w:rsid w:val="00ED3829"/>
    <w:rsid w:val="00ED47A8"/>
    <w:rsid w:val="00ED5A34"/>
    <w:rsid w:val="00EE2316"/>
    <w:rsid w:val="00EF119F"/>
    <w:rsid w:val="00F54BC5"/>
    <w:rsid w:val="00F60358"/>
    <w:rsid w:val="00F6282C"/>
    <w:rsid w:val="00F82678"/>
    <w:rsid w:val="00F93563"/>
    <w:rsid w:val="00FA761F"/>
    <w:rsid w:val="00FC044C"/>
    <w:rsid w:val="00FD55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BD49"/>
  <w15:chartTrackingRefBased/>
  <w15:docId w15:val="{9A15F230-56ED-4B88-979D-B5FB439E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32"/>
    <w:pPr>
      <w:ind w:left="720"/>
      <w:contextualSpacing/>
    </w:pPr>
  </w:style>
  <w:style w:type="paragraph" w:styleId="Header">
    <w:name w:val="header"/>
    <w:basedOn w:val="Normal"/>
    <w:link w:val="HeaderChar"/>
    <w:uiPriority w:val="99"/>
    <w:rsid w:val="002D5032"/>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2D5032"/>
    <w:rPr>
      <w:rFonts w:ascii="Arial" w:eastAsia="Times New Roman" w:hAnsi="Arial" w:cs="Times New Roman"/>
      <w:sz w:val="24"/>
      <w:szCs w:val="20"/>
    </w:rPr>
  </w:style>
  <w:style w:type="paragraph" w:styleId="Subtitle">
    <w:name w:val="Subtitle"/>
    <w:basedOn w:val="Normal"/>
    <w:next w:val="Normal"/>
    <w:link w:val="SubtitleChar"/>
    <w:uiPriority w:val="11"/>
    <w:qFormat/>
    <w:rsid w:val="002D50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5032"/>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4B3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398"/>
    <w:rPr>
      <w:sz w:val="20"/>
      <w:szCs w:val="20"/>
      <w:lang w:val="en-GB"/>
    </w:rPr>
  </w:style>
  <w:style w:type="character" w:styleId="FootnoteReference">
    <w:name w:val="footnote reference"/>
    <w:basedOn w:val="DefaultParagraphFont"/>
    <w:uiPriority w:val="99"/>
    <w:semiHidden/>
    <w:unhideWhenUsed/>
    <w:rsid w:val="004B3398"/>
    <w:rPr>
      <w:vertAlign w:val="superscript"/>
    </w:rPr>
  </w:style>
  <w:style w:type="character" w:styleId="Strong">
    <w:name w:val="Strong"/>
    <w:basedOn w:val="DefaultParagraphFont"/>
    <w:uiPriority w:val="22"/>
    <w:qFormat/>
    <w:rsid w:val="003F2B07"/>
    <w:rPr>
      <w:b/>
      <w:bCs/>
    </w:rPr>
  </w:style>
  <w:style w:type="paragraph" w:styleId="Footer">
    <w:name w:val="footer"/>
    <w:basedOn w:val="Normal"/>
    <w:link w:val="FooterChar"/>
    <w:uiPriority w:val="99"/>
    <w:unhideWhenUsed/>
    <w:rsid w:val="003F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07"/>
    <w:rPr>
      <w:lang w:val="en-GB"/>
    </w:rPr>
  </w:style>
  <w:style w:type="paragraph" w:styleId="BalloonText">
    <w:name w:val="Balloon Text"/>
    <w:basedOn w:val="Normal"/>
    <w:link w:val="BalloonTextChar"/>
    <w:uiPriority w:val="99"/>
    <w:semiHidden/>
    <w:unhideWhenUsed/>
    <w:rsid w:val="003F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07"/>
    <w:rPr>
      <w:rFonts w:ascii="Segoe UI" w:hAnsi="Segoe UI" w:cs="Segoe UI"/>
      <w:sz w:val="18"/>
      <w:szCs w:val="18"/>
      <w:lang w:val="en-GB"/>
    </w:rPr>
  </w:style>
  <w:style w:type="character" w:customStyle="1" w:styleId="mc">
    <w:name w:val="mc"/>
    <w:basedOn w:val="DefaultParagraphFont"/>
    <w:rsid w:val="00AF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BFC3-4278-45EC-9AD3-BFE0E491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Kramer</dc:creator>
  <cp:keywords/>
  <dc:description/>
  <cp:lastModifiedBy>Mokone</cp:lastModifiedBy>
  <cp:revision>3</cp:revision>
  <cp:lastPrinted>2023-09-05T07:58:00Z</cp:lastPrinted>
  <dcterms:created xsi:type="dcterms:W3CDTF">2023-10-02T11:39:00Z</dcterms:created>
  <dcterms:modified xsi:type="dcterms:W3CDTF">2023-10-02T11:40:00Z</dcterms:modified>
</cp:coreProperties>
</file>