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FC716" w14:textId="77777777" w:rsidR="00CD2A41" w:rsidRPr="00356A7C" w:rsidRDefault="00CD2A41" w:rsidP="00CD2A41">
      <w:pPr>
        <w:numPr>
          <w:ilvl w:val="1"/>
          <w:numId w:val="0"/>
        </w:numPr>
        <w:spacing w:after="0" w:line="240" w:lineRule="auto"/>
        <w:jc w:val="center"/>
        <w:rPr>
          <w:rFonts w:ascii="Arial" w:eastAsiaTheme="minorEastAsia" w:hAnsi="Arial" w:cs="Arial"/>
          <w:color w:val="5A5A5A" w:themeColor="text1" w:themeTint="A5"/>
          <w:spacing w:val="15"/>
          <w:lang w:val="en-GB"/>
        </w:rPr>
      </w:pPr>
      <w:r w:rsidRPr="00356A7C">
        <w:rPr>
          <w:rFonts w:ascii="Arial" w:eastAsiaTheme="minorEastAsia" w:hAnsi="Arial" w:cs="Arial"/>
          <w:noProof/>
          <w:color w:val="5A5A5A" w:themeColor="text1" w:themeTint="A5"/>
          <w:spacing w:val="15"/>
          <w:lang w:val="en-US"/>
        </w:rPr>
        <w:drawing>
          <wp:anchor distT="0" distB="0" distL="114300" distR="114300" simplePos="0" relativeHeight="251659264" behindDoc="0" locked="0" layoutInCell="1" allowOverlap="1" wp14:anchorId="1DDE16C7" wp14:editId="6C1C92E7">
            <wp:simplePos x="0" y="0"/>
            <wp:positionH relativeFrom="margin">
              <wp:posOffset>2618105</wp:posOffset>
            </wp:positionH>
            <wp:positionV relativeFrom="paragraph">
              <wp:posOffset>-285750</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14:paraId="6F558C41" w14:textId="77777777" w:rsidR="00CD2A41" w:rsidRPr="00356A7C" w:rsidRDefault="00CD2A41" w:rsidP="00CD2A41">
      <w:pPr>
        <w:numPr>
          <w:ilvl w:val="1"/>
          <w:numId w:val="0"/>
        </w:numPr>
        <w:spacing w:after="0" w:line="240" w:lineRule="auto"/>
        <w:jc w:val="center"/>
        <w:rPr>
          <w:rFonts w:ascii="Arial" w:eastAsiaTheme="minorEastAsia" w:hAnsi="Arial" w:cs="Arial"/>
          <w:color w:val="5A5A5A" w:themeColor="text1" w:themeTint="A5"/>
          <w:spacing w:val="15"/>
          <w:lang w:val="en-GB"/>
        </w:rPr>
      </w:pPr>
    </w:p>
    <w:p w14:paraId="3FF27DB8" w14:textId="77777777" w:rsidR="00CD2A41" w:rsidRPr="00356A7C" w:rsidRDefault="00CD2A41" w:rsidP="00CD2A41">
      <w:pPr>
        <w:widowControl w:val="0"/>
        <w:spacing w:after="0" w:line="360" w:lineRule="auto"/>
        <w:jc w:val="center"/>
        <w:rPr>
          <w:rFonts w:ascii="Arial" w:eastAsia="Times New Roman" w:hAnsi="Arial" w:cs="Arial"/>
          <w:b/>
          <w:sz w:val="24"/>
          <w:szCs w:val="24"/>
        </w:rPr>
      </w:pPr>
    </w:p>
    <w:p w14:paraId="54CDC918" w14:textId="77777777" w:rsidR="00CD2A41" w:rsidRPr="00356A7C" w:rsidRDefault="00CD2A41" w:rsidP="00CD2A41">
      <w:pPr>
        <w:widowControl w:val="0"/>
        <w:spacing w:after="0" w:line="360" w:lineRule="auto"/>
        <w:jc w:val="center"/>
        <w:rPr>
          <w:rFonts w:ascii="Arial" w:eastAsia="Times New Roman" w:hAnsi="Arial" w:cs="Arial"/>
          <w:b/>
          <w:sz w:val="24"/>
          <w:szCs w:val="24"/>
        </w:rPr>
      </w:pPr>
    </w:p>
    <w:p w14:paraId="75A881F8" w14:textId="77777777" w:rsidR="00CD2A41" w:rsidRPr="00356A7C" w:rsidRDefault="00CD2A41" w:rsidP="00CD2A41">
      <w:pPr>
        <w:widowControl w:val="0"/>
        <w:spacing w:after="0" w:line="360" w:lineRule="auto"/>
        <w:jc w:val="center"/>
        <w:rPr>
          <w:rFonts w:ascii="Arial" w:eastAsia="Times New Roman" w:hAnsi="Arial" w:cs="Arial"/>
          <w:b/>
          <w:sz w:val="24"/>
          <w:szCs w:val="24"/>
        </w:rPr>
      </w:pPr>
      <w:r w:rsidRPr="00356A7C">
        <w:rPr>
          <w:rFonts w:ascii="Arial" w:eastAsia="Times New Roman" w:hAnsi="Arial" w:cs="Arial"/>
          <w:b/>
          <w:sz w:val="24"/>
          <w:szCs w:val="24"/>
        </w:rPr>
        <w:t>IN THE HIGH COURT OF SOUTH AFRICA</w:t>
      </w:r>
    </w:p>
    <w:p w14:paraId="5C8F08A5" w14:textId="07BE0C98" w:rsidR="00CD2A41" w:rsidRPr="00356A7C" w:rsidRDefault="00AD2476" w:rsidP="00CD2A41">
      <w:pPr>
        <w:widowControl w:val="0"/>
        <w:tabs>
          <w:tab w:val="right" w:pos="9213"/>
        </w:tabs>
        <w:spacing w:after="0" w:line="360" w:lineRule="auto"/>
        <w:jc w:val="center"/>
        <w:rPr>
          <w:rFonts w:ascii="Arial" w:hAnsi="Arial" w:cs="Arial"/>
          <w:b/>
          <w:sz w:val="24"/>
          <w:szCs w:val="24"/>
          <w:lang w:val="en-GB"/>
        </w:rPr>
      </w:pPr>
      <w:r>
        <w:rPr>
          <w:rFonts w:ascii="Arial" w:hAnsi="Arial" w:cs="Arial"/>
          <w:b/>
          <w:sz w:val="24"/>
          <w:szCs w:val="24"/>
          <w:lang w:val="en-GB"/>
        </w:rPr>
        <w:t>(</w:t>
      </w:r>
      <w:r w:rsidR="00CD2A41" w:rsidRPr="00356A7C">
        <w:rPr>
          <w:rFonts w:ascii="Arial" w:hAnsi="Arial" w:cs="Arial"/>
          <w:b/>
          <w:sz w:val="24"/>
          <w:szCs w:val="24"/>
          <w:lang w:val="en-GB"/>
        </w:rPr>
        <w:t>EASTERN CAPE DIVISION, BHISHO</w:t>
      </w:r>
      <w:r>
        <w:rPr>
          <w:rFonts w:ascii="Arial" w:hAnsi="Arial" w:cs="Arial"/>
          <w:b/>
          <w:sz w:val="24"/>
          <w:szCs w:val="24"/>
          <w:lang w:val="en-GB"/>
        </w:rPr>
        <w:t>)</w:t>
      </w:r>
    </w:p>
    <w:p w14:paraId="764B7E06" w14:textId="77777777" w:rsidR="00CD2A41" w:rsidRPr="00356A7C" w:rsidRDefault="00CD2A41" w:rsidP="00CD2A41">
      <w:pPr>
        <w:widowControl w:val="0"/>
        <w:tabs>
          <w:tab w:val="right" w:pos="9213"/>
        </w:tabs>
        <w:spacing w:after="0" w:line="240" w:lineRule="auto"/>
        <w:rPr>
          <w:rFonts w:ascii="Arial" w:hAnsi="Arial" w:cs="Arial"/>
          <w:b/>
          <w:sz w:val="24"/>
          <w:szCs w:val="24"/>
          <w:lang w:val="en-GB"/>
        </w:rPr>
      </w:pPr>
    </w:p>
    <w:p w14:paraId="492EB573" w14:textId="1CBA81B7" w:rsidR="00CD2A41" w:rsidRPr="00356A7C" w:rsidRDefault="00CD2A41" w:rsidP="00CD2A41">
      <w:pPr>
        <w:widowControl w:val="0"/>
        <w:tabs>
          <w:tab w:val="right" w:pos="9356"/>
        </w:tabs>
        <w:spacing w:after="0" w:line="240" w:lineRule="auto"/>
        <w:rPr>
          <w:rFonts w:ascii="Arial" w:hAnsi="Arial" w:cs="Arial"/>
          <w:sz w:val="24"/>
          <w:szCs w:val="24"/>
          <w:lang w:val="en-GB"/>
        </w:rPr>
      </w:pPr>
      <w:r w:rsidRPr="00356A7C">
        <w:rPr>
          <w:rFonts w:ascii="Arial" w:hAnsi="Arial" w:cs="Arial"/>
          <w:b/>
          <w:sz w:val="24"/>
          <w:szCs w:val="24"/>
          <w:lang w:val="en-GB"/>
        </w:rPr>
        <w:tab/>
      </w:r>
      <w:r w:rsidRPr="00356A7C">
        <w:rPr>
          <w:rFonts w:ascii="Arial" w:hAnsi="Arial" w:cs="Arial"/>
          <w:sz w:val="24"/>
          <w:szCs w:val="24"/>
          <w:lang w:val="en-GB"/>
        </w:rPr>
        <w:t xml:space="preserve">CASE NO: </w:t>
      </w:r>
      <w:r>
        <w:rPr>
          <w:rFonts w:ascii="Arial" w:hAnsi="Arial" w:cs="Arial"/>
          <w:sz w:val="24"/>
          <w:szCs w:val="24"/>
          <w:lang w:val="en-GB"/>
        </w:rPr>
        <w:t>609/2022</w:t>
      </w:r>
    </w:p>
    <w:p w14:paraId="1FF3CDA1" w14:textId="77777777" w:rsidR="00CD2A41" w:rsidRPr="00356A7C" w:rsidRDefault="00CD2A41" w:rsidP="00CD2A41">
      <w:pPr>
        <w:widowControl w:val="0"/>
        <w:tabs>
          <w:tab w:val="right" w:pos="9356"/>
        </w:tabs>
        <w:spacing w:after="0" w:line="240" w:lineRule="auto"/>
        <w:rPr>
          <w:rFonts w:ascii="Arial" w:hAnsi="Arial" w:cs="Arial"/>
          <w:b/>
          <w:sz w:val="24"/>
          <w:szCs w:val="24"/>
          <w:lang w:val="en-GB"/>
        </w:rPr>
      </w:pPr>
    </w:p>
    <w:p w14:paraId="67244C96" w14:textId="77777777" w:rsidR="00CD2A41" w:rsidRPr="00356A7C" w:rsidRDefault="00CD2A41" w:rsidP="00CD2A41">
      <w:pPr>
        <w:widowControl w:val="0"/>
        <w:tabs>
          <w:tab w:val="right" w:pos="9356"/>
        </w:tabs>
        <w:spacing w:after="0" w:line="240" w:lineRule="auto"/>
        <w:rPr>
          <w:rFonts w:ascii="Arial" w:hAnsi="Arial" w:cs="Arial"/>
          <w:sz w:val="24"/>
          <w:szCs w:val="24"/>
          <w:lang w:val="en-GB"/>
        </w:rPr>
      </w:pPr>
      <w:r w:rsidRPr="00356A7C">
        <w:rPr>
          <w:rFonts w:ascii="Arial" w:hAnsi="Arial" w:cs="Arial"/>
          <w:sz w:val="24"/>
          <w:szCs w:val="24"/>
          <w:lang w:val="en-GB"/>
        </w:rPr>
        <w:t>In the matter between:</w:t>
      </w:r>
    </w:p>
    <w:p w14:paraId="769B120C" w14:textId="77777777" w:rsidR="00CD2A41" w:rsidRPr="00356A7C" w:rsidRDefault="00CD2A41" w:rsidP="00CD2A41">
      <w:pPr>
        <w:widowControl w:val="0"/>
        <w:tabs>
          <w:tab w:val="right" w:pos="9356"/>
        </w:tabs>
        <w:spacing w:after="0" w:line="240" w:lineRule="auto"/>
        <w:rPr>
          <w:rFonts w:ascii="Arial" w:hAnsi="Arial" w:cs="Arial"/>
          <w:sz w:val="24"/>
          <w:szCs w:val="24"/>
          <w:lang w:val="en-GB"/>
        </w:rPr>
      </w:pPr>
    </w:p>
    <w:p w14:paraId="3495E33A" w14:textId="77777777" w:rsidR="00CD2A41" w:rsidRDefault="00CD2A41" w:rsidP="00CD2A41">
      <w:pPr>
        <w:widowControl w:val="0"/>
        <w:tabs>
          <w:tab w:val="right" w:pos="9356"/>
        </w:tabs>
        <w:spacing w:after="0" w:line="360" w:lineRule="auto"/>
        <w:rPr>
          <w:rFonts w:ascii="Arial" w:hAnsi="Arial" w:cs="Arial"/>
          <w:b/>
          <w:sz w:val="24"/>
          <w:szCs w:val="24"/>
          <w:lang w:val="en-GB"/>
        </w:rPr>
      </w:pPr>
      <w:r>
        <w:rPr>
          <w:rFonts w:ascii="Arial" w:hAnsi="Arial" w:cs="Arial"/>
          <w:b/>
          <w:sz w:val="24"/>
          <w:szCs w:val="24"/>
          <w:lang w:val="en-GB"/>
        </w:rPr>
        <w:t xml:space="preserve">SOUTH AFRICAN STUDENTS’ CONGRESS </w:t>
      </w:r>
    </w:p>
    <w:p w14:paraId="291B236A" w14:textId="55228335" w:rsidR="00CD2A41" w:rsidRPr="00356A7C" w:rsidRDefault="00CD2A41" w:rsidP="00CD2A41">
      <w:pPr>
        <w:widowControl w:val="0"/>
        <w:tabs>
          <w:tab w:val="right" w:pos="9356"/>
        </w:tabs>
        <w:spacing w:after="0" w:line="360" w:lineRule="auto"/>
        <w:rPr>
          <w:rFonts w:ascii="Arial" w:hAnsi="Arial" w:cs="Arial"/>
          <w:b/>
          <w:sz w:val="24"/>
          <w:szCs w:val="24"/>
          <w:lang w:val="en-GB"/>
        </w:rPr>
      </w:pPr>
      <w:r>
        <w:rPr>
          <w:rFonts w:ascii="Arial" w:hAnsi="Arial" w:cs="Arial"/>
          <w:b/>
          <w:sz w:val="24"/>
          <w:szCs w:val="24"/>
          <w:lang w:val="en-GB"/>
        </w:rPr>
        <w:t>(SASCO), UNIVERSIT OF FORT HARE BRANCH</w:t>
      </w:r>
      <w:r w:rsidRPr="00356A7C">
        <w:rPr>
          <w:rFonts w:ascii="Arial" w:hAnsi="Arial" w:cs="Arial"/>
          <w:b/>
          <w:sz w:val="24"/>
          <w:szCs w:val="24"/>
          <w:lang w:val="en-GB"/>
        </w:rPr>
        <w:tab/>
        <w:t>Applicant</w:t>
      </w:r>
    </w:p>
    <w:p w14:paraId="112A5082" w14:textId="77777777" w:rsidR="00CD2A41" w:rsidRPr="00356A7C" w:rsidRDefault="00CD2A41" w:rsidP="00CD2A41">
      <w:pPr>
        <w:widowControl w:val="0"/>
        <w:tabs>
          <w:tab w:val="right" w:pos="8931"/>
          <w:tab w:val="right" w:pos="9356"/>
        </w:tabs>
        <w:spacing w:after="0" w:line="240" w:lineRule="auto"/>
        <w:rPr>
          <w:rFonts w:ascii="Arial" w:hAnsi="Arial" w:cs="Arial"/>
          <w:b/>
          <w:sz w:val="24"/>
          <w:szCs w:val="24"/>
          <w:lang w:val="en-GB"/>
        </w:rPr>
      </w:pPr>
    </w:p>
    <w:p w14:paraId="1F5F4B25" w14:textId="5BE11D5A" w:rsidR="00CD2A41" w:rsidRDefault="00CD2A41" w:rsidP="00CD2A41">
      <w:pPr>
        <w:widowControl w:val="0"/>
        <w:tabs>
          <w:tab w:val="right" w:pos="8640"/>
          <w:tab w:val="right" w:pos="9356"/>
        </w:tabs>
        <w:spacing w:after="0" w:line="240" w:lineRule="auto"/>
        <w:rPr>
          <w:rFonts w:ascii="Arial" w:hAnsi="Arial" w:cs="Arial"/>
          <w:sz w:val="24"/>
          <w:szCs w:val="24"/>
          <w:lang w:val="en-GB"/>
        </w:rPr>
      </w:pPr>
      <w:r>
        <w:rPr>
          <w:rFonts w:ascii="Arial" w:hAnsi="Arial" w:cs="Arial"/>
          <w:sz w:val="24"/>
          <w:szCs w:val="24"/>
          <w:lang w:val="en-GB"/>
        </w:rPr>
        <w:t>and</w:t>
      </w:r>
    </w:p>
    <w:p w14:paraId="1B1F3B66" w14:textId="77777777" w:rsidR="00CD2A41" w:rsidRPr="00356A7C" w:rsidRDefault="00CD2A41" w:rsidP="00CD2A41">
      <w:pPr>
        <w:widowControl w:val="0"/>
        <w:tabs>
          <w:tab w:val="right" w:pos="8640"/>
          <w:tab w:val="right" w:pos="9356"/>
        </w:tabs>
        <w:spacing w:after="0" w:line="240" w:lineRule="auto"/>
        <w:rPr>
          <w:rFonts w:ascii="Arial" w:hAnsi="Arial" w:cs="Arial"/>
          <w:sz w:val="24"/>
          <w:szCs w:val="24"/>
          <w:lang w:val="en-GB"/>
        </w:rPr>
      </w:pPr>
    </w:p>
    <w:p w14:paraId="25D27B99" w14:textId="77777777" w:rsidR="00CD2A41" w:rsidRPr="00356A7C" w:rsidRDefault="00CD2A41" w:rsidP="00CD2A41">
      <w:pPr>
        <w:widowControl w:val="0"/>
        <w:tabs>
          <w:tab w:val="right" w:pos="8931"/>
          <w:tab w:val="right" w:pos="9356"/>
        </w:tabs>
        <w:spacing w:after="0" w:line="240" w:lineRule="auto"/>
        <w:rPr>
          <w:rFonts w:ascii="Arial" w:hAnsi="Arial" w:cs="Arial"/>
          <w:b/>
          <w:sz w:val="24"/>
          <w:szCs w:val="24"/>
          <w:lang w:val="en-GB"/>
        </w:rPr>
      </w:pPr>
    </w:p>
    <w:p w14:paraId="16DC560E" w14:textId="6E6C751F" w:rsidR="00CD2A41" w:rsidRPr="00356A7C" w:rsidRDefault="00CD2A41" w:rsidP="00CD2A41">
      <w:pPr>
        <w:widowControl w:val="0"/>
        <w:tabs>
          <w:tab w:val="right" w:pos="9356"/>
        </w:tabs>
        <w:spacing w:after="0" w:line="240" w:lineRule="auto"/>
        <w:rPr>
          <w:rFonts w:ascii="Arial" w:hAnsi="Arial" w:cs="Arial"/>
          <w:b/>
          <w:sz w:val="24"/>
          <w:szCs w:val="24"/>
          <w:lang w:val="en-GB"/>
        </w:rPr>
      </w:pPr>
      <w:r>
        <w:rPr>
          <w:rFonts w:ascii="Arial" w:hAnsi="Arial" w:cs="Arial"/>
          <w:b/>
          <w:sz w:val="24"/>
          <w:szCs w:val="24"/>
          <w:lang w:val="en-GB"/>
        </w:rPr>
        <w:t xml:space="preserve">UNIVERSITY OF FORT HARE </w:t>
      </w:r>
      <w:r w:rsidRPr="00356A7C">
        <w:rPr>
          <w:rFonts w:ascii="Arial" w:hAnsi="Arial" w:cs="Arial"/>
          <w:b/>
          <w:sz w:val="24"/>
          <w:szCs w:val="24"/>
          <w:lang w:val="en-GB"/>
        </w:rPr>
        <w:tab/>
        <w:t>Respondent</w:t>
      </w:r>
    </w:p>
    <w:p w14:paraId="25D92F4D" w14:textId="3EF50203" w:rsidR="00E867AF" w:rsidRPr="00E867AF" w:rsidRDefault="00E867AF" w:rsidP="00E867AF">
      <w:pPr>
        <w:spacing w:line="360" w:lineRule="auto"/>
        <w:rPr>
          <w:rFonts w:ascii="Arial" w:hAnsi="Arial" w:cs="Arial"/>
          <w:sz w:val="24"/>
          <w:szCs w:val="24"/>
        </w:rPr>
      </w:pPr>
      <w:r w:rsidRPr="00E867AF">
        <w:rPr>
          <w:rFonts w:ascii="Arial" w:hAnsi="Arial" w:cs="Arial"/>
          <w:sz w:val="24"/>
          <w:szCs w:val="24"/>
        </w:rPr>
        <w:t>______________________________________________________________________</w:t>
      </w:r>
    </w:p>
    <w:p w14:paraId="6F52B32C" w14:textId="5679E2BB" w:rsidR="00E867AF" w:rsidRPr="00E867AF" w:rsidRDefault="00E867AF" w:rsidP="00E867AF">
      <w:pPr>
        <w:spacing w:line="360" w:lineRule="auto"/>
        <w:jc w:val="center"/>
        <w:rPr>
          <w:rFonts w:ascii="Arial" w:hAnsi="Arial" w:cs="Arial"/>
          <w:b/>
          <w:bCs/>
          <w:sz w:val="24"/>
          <w:szCs w:val="24"/>
        </w:rPr>
      </w:pPr>
      <w:r w:rsidRPr="00E867AF">
        <w:rPr>
          <w:rFonts w:ascii="Arial" w:hAnsi="Arial" w:cs="Arial"/>
          <w:b/>
          <w:bCs/>
          <w:sz w:val="24"/>
          <w:szCs w:val="24"/>
        </w:rPr>
        <w:t>REASONS FOR JUDGMENT</w:t>
      </w:r>
    </w:p>
    <w:p w14:paraId="1CFBF8A7" w14:textId="50EFFB7D" w:rsidR="00E867AF" w:rsidRPr="00E867AF" w:rsidRDefault="00E867AF" w:rsidP="00E867AF">
      <w:pPr>
        <w:spacing w:line="360" w:lineRule="auto"/>
        <w:rPr>
          <w:rFonts w:ascii="Arial" w:hAnsi="Arial" w:cs="Arial"/>
          <w:sz w:val="24"/>
          <w:szCs w:val="24"/>
        </w:rPr>
      </w:pPr>
      <w:r w:rsidRPr="00E867AF">
        <w:rPr>
          <w:rFonts w:ascii="Arial" w:hAnsi="Arial" w:cs="Arial"/>
          <w:sz w:val="24"/>
          <w:szCs w:val="24"/>
        </w:rPr>
        <w:t>______________________________________________________________________</w:t>
      </w:r>
    </w:p>
    <w:p w14:paraId="3E1DDBA2" w14:textId="218FD4F6" w:rsidR="00E867AF" w:rsidRPr="00E867AF" w:rsidRDefault="00E867AF" w:rsidP="00E867AF">
      <w:pPr>
        <w:spacing w:line="360" w:lineRule="auto"/>
        <w:rPr>
          <w:rFonts w:ascii="Arial" w:hAnsi="Arial" w:cs="Arial"/>
          <w:b/>
          <w:bCs/>
          <w:sz w:val="24"/>
          <w:szCs w:val="24"/>
        </w:rPr>
      </w:pPr>
      <w:r w:rsidRPr="00E867AF">
        <w:rPr>
          <w:rFonts w:ascii="Arial" w:hAnsi="Arial" w:cs="Arial"/>
          <w:b/>
          <w:bCs/>
          <w:sz w:val="24"/>
          <w:szCs w:val="24"/>
        </w:rPr>
        <w:t>LAING J</w:t>
      </w:r>
    </w:p>
    <w:p w14:paraId="40C11136" w14:textId="49BE299F" w:rsidR="00E867AF" w:rsidRPr="00E867AF" w:rsidRDefault="00E867AF" w:rsidP="00E867AF">
      <w:pPr>
        <w:spacing w:line="360" w:lineRule="auto"/>
        <w:rPr>
          <w:rFonts w:ascii="Arial" w:hAnsi="Arial" w:cs="Arial"/>
          <w:sz w:val="24"/>
          <w:szCs w:val="24"/>
        </w:rPr>
      </w:pPr>
    </w:p>
    <w:p w14:paraId="17A2D945" w14:textId="4F879B93"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[1</w:t>
      </w:r>
      <w:bookmarkStart w:id="0" w:name="_GoBack"/>
      <w:bookmarkEnd w:id="0"/>
      <w:r>
        <w:rPr>
          <w:rFonts w:ascii="Arial" w:hAnsi="Arial" w:cs="Arial"/>
          <w:sz w:val="24"/>
          <w:szCs w:val="24"/>
        </w:rPr>
        <w:t>]</w:t>
      </w:r>
      <w:r>
        <w:rPr>
          <w:rFonts w:ascii="Arial" w:hAnsi="Arial" w:cs="Arial"/>
          <w:sz w:val="24"/>
          <w:szCs w:val="24"/>
        </w:rPr>
        <w:tab/>
      </w:r>
      <w:r w:rsidR="00E867AF" w:rsidRPr="00E97F47">
        <w:rPr>
          <w:rFonts w:ascii="Arial" w:hAnsi="Arial" w:cs="Arial"/>
          <w:sz w:val="24"/>
          <w:szCs w:val="24"/>
        </w:rPr>
        <w:t xml:space="preserve">This </w:t>
      </w:r>
      <w:r w:rsidR="0095170D" w:rsidRPr="00E97F47">
        <w:rPr>
          <w:rFonts w:ascii="Arial" w:hAnsi="Arial" w:cs="Arial"/>
          <w:sz w:val="24"/>
          <w:szCs w:val="24"/>
        </w:rPr>
        <w:t>wa</w:t>
      </w:r>
      <w:r w:rsidR="00E867AF" w:rsidRPr="00E97F47">
        <w:rPr>
          <w:rFonts w:ascii="Arial" w:hAnsi="Arial" w:cs="Arial"/>
          <w:sz w:val="24"/>
          <w:szCs w:val="24"/>
        </w:rPr>
        <w:t xml:space="preserve">s an application </w:t>
      </w:r>
      <w:r w:rsidR="00C43827" w:rsidRPr="00E97F47">
        <w:rPr>
          <w:rFonts w:ascii="Arial" w:hAnsi="Arial" w:cs="Arial"/>
          <w:sz w:val="24"/>
          <w:szCs w:val="24"/>
        </w:rPr>
        <w:t xml:space="preserve">that was brought on an urgent basis </w:t>
      </w:r>
      <w:r w:rsidR="00EF63F7" w:rsidRPr="00E97F47">
        <w:rPr>
          <w:rFonts w:ascii="Arial" w:hAnsi="Arial" w:cs="Arial"/>
          <w:sz w:val="24"/>
          <w:szCs w:val="24"/>
        </w:rPr>
        <w:t xml:space="preserve">for </w:t>
      </w:r>
      <w:r w:rsidR="000C6744" w:rsidRPr="00E97F47">
        <w:rPr>
          <w:rFonts w:ascii="Arial" w:hAnsi="Arial" w:cs="Arial"/>
          <w:sz w:val="24"/>
          <w:szCs w:val="24"/>
        </w:rPr>
        <w:t xml:space="preserve">interdictory and other </w:t>
      </w:r>
      <w:r w:rsidR="002D41FB" w:rsidRPr="00E97F47">
        <w:rPr>
          <w:rFonts w:ascii="Arial" w:hAnsi="Arial" w:cs="Arial"/>
          <w:sz w:val="24"/>
          <w:szCs w:val="24"/>
        </w:rPr>
        <w:t xml:space="preserve">relief against the </w:t>
      </w:r>
      <w:r w:rsidR="000C6744" w:rsidRPr="00E97F47">
        <w:rPr>
          <w:rFonts w:ascii="Arial" w:hAnsi="Arial" w:cs="Arial"/>
          <w:sz w:val="24"/>
          <w:szCs w:val="24"/>
        </w:rPr>
        <w:t xml:space="preserve">respondent. </w:t>
      </w:r>
      <w:r w:rsidR="0095170D" w:rsidRPr="00E97F47">
        <w:rPr>
          <w:rFonts w:ascii="Arial" w:hAnsi="Arial" w:cs="Arial"/>
          <w:sz w:val="24"/>
          <w:szCs w:val="24"/>
        </w:rPr>
        <w:t xml:space="preserve">The applicant sought, </w:t>
      </w:r>
      <w:r w:rsidR="0095170D" w:rsidRPr="00E97F47">
        <w:rPr>
          <w:rFonts w:ascii="Arial" w:hAnsi="Arial" w:cs="Arial"/>
          <w:i/>
          <w:iCs/>
          <w:sz w:val="24"/>
          <w:szCs w:val="24"/>
        </w:rPr>
        <w:t>inter alia</w:t>
      </w:r>
      <w:r w:rsidR="0095170D" w:rsidRPr="00E97F47">
        <w:rPr>
          <w:rFonts w:ascii="Arial" w:hAnsi="Arial" w:cs="Arial"/>
          <w:sz w:val="24"/>
          <w:szCs w:val="24"/>
        </w:rPr>
        <w:t xml:space="preserve">, that </w:t>
      </w:r>
      <w:r w:rsidR="00D110D8" w:rsidRPr="00E97F47">
        <w:rPr>
          <w:rFonts w:ascii="Arial" w:hAnsi="Arial" w:cs="Arial"/>
          <w:sz w:val="24"/>
          <w:szCs w:val="24"/>
        </w:rPr>
        <w:t xml:space="preserve">the respondent be interdicted from proceeding with the </w:t>
      </w:r>
      <w:r w:rsidR="0024601A" w:rsidRPr="00E97F47">
        <w:rPr>
          <w:rFonts w:ascii="Arial" w:hAnsi="Arial" w:cs="Arial"/>
          <w:sz w:val="24"/>
          <w:szCs w:val="24"/>
        </w:rPr>
        <w:t>2022/2023 student representative council (‘SRC’) election</w:t>
      </w:r>
      <w:r w:rsidR="00B27FB8" w:rsidRPr="00E97F47">
        <w:rPr>
          <w:rFonts w:ascii="Arial" w:hAnsi="Arial" w:cs="Arial"/>
          <w:sz w:val="24"/>
          <w:szCs w:val="24"/>
        </w:rPr>
        <w:t xml:space="preserve">, previously scheduled for 19 October 2022, pending </w:t>
      </w:r>
      <w:r w:rsidR="001443EE" w:rsidRPr="00E97F47">
        <w:rPr>
          <w:rFonts w:ascii="Arial" w:hAnsi="Arial" w:cs="Arial"/>
          <w:sz w:val="24"/>
          <w:szCs w:val="24"/>
        </w:rPr>
        <w:t xml:space="preserve">an investigation into </w:t>
      </w:r>
      <w:r w:rsidR="007F392E" w:rsidRPr="00E97F47">
        <w:rPr>
          <w:rFonts w:ascii="Arial" w:hAnsi="Arial" w:cs="Arial"/>
          <w:sz w:val="24"/>
          <w:szCs w:val="24"/>
        </w:rPr>
        <w:t xml:space="preserve">the lawfulness of a meeting </w:t>
      </w:r>
      <w:r w:rsidR="00E567F3" w:rsidRPr="00E97F47">
        <w:rPr>
          <w:rFonts w:ascii="Arial" w:hAnsi="Arial" w:cs="Arial"/>
          <w:sz w:val="24"/>
          <w:szCs w:val="24"/>
        </w:rPr>
        <w:t xml:space="preserve">convened earlier that month. The applicant </w:t>
      </w:r>
      <w:r w:rsidR="006C57FE" w:rsidRPr="00E97F47">
        <w:rPr>
          <w:rFonts w:ascii="Arial" w:hAnsi="Arial" w:cs="Arial"/>
          <w:sz w:val="24"/>
          <w:szCs w:val="24"/>
        </w:rPr>
        <w:t xml:space="preserve">also sought </w:t>
      </w:r>
      <w:r w:rsidR="00326FAE" w:rsidRPr="00E97F47">
        <w:rPr>
          <w:rFonts w:ascii="Arial" w:hAnsi="Arial" w:cs="Arial"/>
          <w:sz w:val="24"/>
          <w:szCs w:val="24"/>
        </w:rPr>
        <w:t xml:space="preserve">an order directing </w:t>
      </w:r>
      <w:r w:rsidR="003A5866" w:rsidRPr="00E97F47">
        <w:rPr>
          <w:rFonts w:ascii="Arial" w:hAnsi="Arial" w:cs="Arial"/>
          <w:sz w:val="24"/>
          <w:szCs w:val="24"/>
        </w:rPr>
        <w:t xml:space="preserve">that </w:t>
      </w:r>
      <w:r w:rsidR="00326FAE" w:rsidRPr="00E97F47">
        <w:rPr>
          <w:rFonts w:ascii="Arial" w:hAnsi="Arial" w:cs="Arial"/>
          <w:sz w:val="24"/>
          <w:szCs w:val="24"/>
        </w:rPr>
        <w:t xml:space="preserve">the election process </w:t>
      </w:r>
      <w:r w:rsidR="003A5866" w:rsidRPr="00E97F47">
        <w:rPr>
          <w:rFonts w:ascii="Arial" w:hAnsi="Arial" w:cs="Arial"/>
          <w:sz w:val="24"/>
          <w:szCs w:val="24"/>
        </w:rPr>
        <w:t xml:space="preserve">be </w:t>
      </w:r>
      <w:r w:rsidR="00326FAE" w:rsidRPr="00E97F47">
        <w:rPr>
          <w:rFonts w:ascii="Arial" w:hAnsi="Arial" w:cs="Arial"/>
          <w:sz w:val="24"/>
          <w:szCs w:val="24"/>
        </w:rPr>
        <w:t>commence</w:t>
      </w:r>
      <w:r w:rsidR="003A5866" w:rsidRPr="00E97F47">
        <w:rPr>
          <w:rFonts w:ascii="Arial" w:hAnsi="Arial" w:cs="Arial"/>
          <w:sz w:val="24"/>
          <w:szCs w:val="24"/>
        </w:rPr>
        <w:t>d</w:t>
      </w:r>
      <w:r w:rsidR="00326FAE" w:rsidRPr="00E97F47">
        <w:rPr>
          <w:rFonts w:ascii="Arial" w:hAnsi="Arial" w:cs="Arial"/>
          <w:sz w:val="24"/>
          <w:szCs w:val="24"/>
        </w:rPr>
        <w:t xml:space="preserve"> </w:t>
      </w:r>
      <w:r w:rsidR="00326FAE" w:rsidRPr="00E97F47">
        <w:rPr>
          <w:rFonts w:ascii="Arial" w:hAnsi="Arial" w:cs="Arial"/>
          <w:i/>
          <w:iCs/>
          <w:sz w:val="24"/>
          <w:szCs w:val="24"/>
        </w:rPr>
        <w:t>de novo</w:t>
      </w:r>
      <w:r w:rsidR="00326FAE" w:rsidRPr="00E97F47">
        <w:rPr>
          <w:rFonts w:ascii="Arial" w:hAnsi="Arial" w:cs="Arial"/>
          <w:sz w:val="24"/>
          <w:szCs w:val="24"/>
        </w:rPr>
        <w:t>.</w:t>
      </w:r>
      <w:r w:rsidR="00C06B2D" w:rsidRPr="00E97F47">
        <w:rPr>
          <w:rFonts w:ascii="Arial" w:hAnsi="Arial" w:cs="Arial"/>
          <w:sz w:val="24"/>
          <w:szCs w:val="24"/>
        </w:rPr>
        <w:t xml:space="preserve"> </w:t>
      </w:r>
    </w:p>
    <w:p w14:paraId="0D447239" w14:textId="77777777" w:rsidR="00CD2A41" w:rsidRDefault="00CD2A41" w:rsidP="00CD2A41">
      <w:pPr>
        <w:pStyle w:val="ListParagraph"/>
        <w:spacing w:line="360" w:lineRule="auto"/>
        <w:ind w:left="0"/>
        <w:jc w:val="both"/>
        <w:rPr>
          <w:rFonts w:ascii="Arial" w:hAnsi="Arial" w:cs="Arial"/>
          <w:sz w:val="24"/>
          <w:szCs w:val="24"/>
        </w:rPr>
      </w:pPr>
    </w:p>
    <w:p w14:paraId="74AA956A" w14:textId="3E30262B"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F3501" w:rsidRPr="00E97F47">
        <w:rPr>
          <w:rFonts w:ascii="Arial" w:hAnsi="Arial" w:cs="Arial"/>
          <w:sz w:val="24"/>
          <w:szCs w:val="24"/>
        </w:rPr>
        <w:t>A</w:t>
      </w:r>
      <w:r w:rsidR="007C461A" w:rsidRPr="00E97F47">
        <w:rPr>
          <w:rFonts w:ascii="Arial" w:hAnsi="Arial" w:cs="Arial"/>
          <w:sz w:val="24"/>
          <w:szCs w:val="24"/>
        </w:rPr>
        <w:t xml:space="preserve">dditional relief sought by the applicant pertained to the </w:t>
      </w:r>
      <w:r w:rsidR="006048D1" w:rsidRPr="00E97F47">
        <w:rPr>
          <w:rFonts w:ascii="Arial" w:hAnsi="Arial" w:cs="Arial"/>
          <w:sz w:val="24"/>
          <w:szCs w:val="24"/>
        </w:rPr>
        <w:t xml:space="preserve">conduct of the Dean of Student Affairs </w:t>
      </w:r>
      <w:r w:rsidR="002D57C8" w:rsidRPr="00E97F47">
        <w:rPr>
          <w:rFonts w:ascii="Arial" w:hAnsi="Arial" w:cs="Arial"/>
          <w:sz w:val="24"/>
          <w:szCs w:val="24"/>
        </w:rPr>
        <w:t>in</w:t>
      </w:r>
      <w:r w:rsidR="00930E2C" w:rsidRPr="00E97F47">
        <w:rPr>
          <w:rFonts w:ascii="Arial" w:hAnsi="Arial" w:cs="Arial"/>
          <w:sz w:val="24"/>
          <w:szCs w:val="24"/>
        </w:rPr>
        <w:t xml:space="preserve"> relation to </w:t>
      </w:r>
      <w:r w:rsidR="001163D4" w:rsidRPr="00E97F47">
        <w:rPr>
          <w:rFonts w:ascii="Arial" w:hAnsi="Arial" w:cs="Arial"/>
          <w:sz w:val="24"/>
          <w:szCs w:val="24"/>
        </w:rPr>
        <w:t xml:space="preserve">his compliance with the provisions of the Student </w:t>
      </w:r>
      <w:r w:rsidR="001163D4" w:rsidRPr="00E97F47">
        <w:rPr>
          <w:rFonts w:ascii="Arial" w:hAnsi="Arial" w:cs="Arial"/>
          <w:sz w:val="24"/>
          <w:szCs w:val="24"/>
        </w:rPr>
        <w:lastRenderedPageBreak/>
        <w:t>Governance Constit</w:t>
      </w:r>
      <w:r w:rsidR="00AA4EDE" w:rsidRPr="00E97F47">
        <w:rPr>
          <w:rFonts w:ascii="Arial" w:hAnsi="Arial" w:cs="Arial"/>
          <w:sz w:val="24"/>
          <w:szCs w:val="24"/>
        </w:rPr>
        <w:t xml:space="preserve">ution regarding </w:t>
      </w:r>
      <w:r w:rsidR="00930E2C" w:rsidRPr="00E97F47">
        <w:rPr>
          <w:rFonts w:ascii="Arial" w:hAnsi="Arial" w:cs="Arial"/>
          <w:sz w:val="24"/>
          <w:szCs w:val="24"/>
        </w:rPr>
        <w:t xml:space="preserve">the </w:t>
      </w:r>
      <w:r w:rsidR="00977B89" w:rsidRPr="00E97F47">
        <w:rPr>
          <w:rFonts w:ascii="Arial" w:hAnsi="Arial" w:cs="Arial"/>
          <w:sz w:val="24"/>
          <w:szCs w:val="24"/>
        </w:rPr>
        <w:t xml:space="preserve">appointment of the Independent Electoral Council (‘IEC’) and </w:t>
      </w:r>
      <w:r w:rsidR="00E34233" w:rsidRPr="00E97F47">
        <w:rPr>
          <w:rFonts w:ascii="Arial" w:hAnsi="Arial" w:cs="Arial"/>
          <w:sz w:val="24"/>
          <w:szCs w:val="24"/>
        </w:rPr>
        <w:t>its leadership</w:t>
      </w:r>
      <w:r w:rsidR="00BF3501" w:rsidRPr="00E97F47">
        <w:rPr>
          <w:rFonts w:ascii="Arial" w:hAnsi="Arial" w:cs="Arial"/>
          <w:sz w:val="24"/>
          <w:szCs w:val="24"/>
        </w:rPr>
        <w:t xml:space="preserve">. </w:t>
      </w:r>
    </w:p>
    <w:p w14:paraId="4F33073B" w14:textId="77777777" w:rsidR="00CD2A41" w:rsidRPr="00CD2A41" w:rsidRDefault="00CD2A41" w:rsidP="00CD2A41">
      <w:pPr>
        <w:pStyle w:val="ListParagraph"/>
        <w:rPr>
          <w:rFonts w:ascii="Arial" w:hAnsi="Arial" w:cs="Arial"/>
          <w:sz w:val="24"/>
          <w:szCs w:val="24"/>
        </w:rPr>
      </w:pPr>
    </w:p>
    <w:p w14:paraId="02D6F167" w14:textId="3DFF8A1D"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F3501" w:rsidRPr="00E97F47">
        <w:rPr>
          <w:rFonts w:ascii="Arial" w:hAnsi="Arial" w:cs="Arial"/>
          <w:sz w:val="24"/>
          <w:szCs w:val="24"/>
        </w:rPr>
        <w:t xml:space="preserve">Finally, the applicant </w:t>
      </w:r>
      <w:r w:rsidR="00BC6A84" w:rsidRPr="00E97F47">
        <w:rPr>
          <w:rFonts w:ascii="Arial" w:hAnsi="Arial" w:cs="Arial"/>
          <w:sz w:val="24"/>
          <w:szCs w:val="24"/>
        </w:rPr>
        <w:t xml:space="preserve">sought an order that the terms of both the </w:t>
      </w:r>
      <w:r w:rsidR="00A80E3F" w:rsidRPr="00E97F47">
        <w:rPr>
          <w:rFonts w:ascii="Arial" w:hAnsi="Arial" w:cs="Arial"/>
          <w:sz w:val="24"/>
          <w:szCs w:val="24"/>
        </w:rPr>
        <w:t xml:space="preserve">SRC and the Institutional Student Parliament (‘ISP’) </w:t>
      </w:r>
      <w:r w:rsidR="003A7C8A" w:rsidRPr="00E97F47">
        <w:rPr>
          <w:rFonts w:ascii="Arial" w:hAnsi="Arial" w:cs="Arial"/>
          <w:sz w:val="24"/>
          <w:szCs w:val="24"/>
        </w:rPr>
        <w:t>be extended</w:t>
      </w:r>
      <w:r w:rsidR="00845F19" w:rsidRPr="00E97F47">
        <w:rPr>
          <w:rFonts w:ascii="Arial" w:hAnsi="Arial" w:cs="Arial"/>
          <w:sz w:val="24"/>
          <w:szCs w:val="24"/>
        </w:rPr>
        <w:t xml:space="preserve"> for a period to be decided through a consultative process involving the various </w:t>
      </w:r>
      <w:r w:rsidR="00E26EBF" w:rsidRPr="00E97F47">
        <w:rPr>
          <w:rFonts w:ascii="Arial" w:hAnsi="Arial" w:cs="Arial"/>
          <w:sz w:val="24"/>
          <w:szCs w:val="24"/>
        </w:rPr>
        <w:t>structures concerned.</w:t>
      </w:r>
    </w:p>
    <w:p w14:paraId="0AF7BBBC" w14:textId="77777777" w:rsidR="00CD2A41" w:rsidRPr="00CD2A41" w:rsidRDefault="00CD2A41" w:rsidP="00CD2A41">
      <w:pPr>
        <w:pStyle w:val="ListParagraph"/>
        <w:rPr>
          <w:rFonts w:ascii="Arial" w:hAnsi="Arial" w:cs="Arial"/>
          <w:sz w:val="24"/>
          <w:szCs w:val="24"/>
        </w:rPr>
      </w:pPr>
    </w:p>
    <w:p w14:paraId="25B826B1" w14:textId="4613E5E3"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A06BD" w:rsidRPr="00E97F47">
        <w:rPr>
          <w:rFonts w:ascii="Arial" w:hAnsi="Arial" w:cs="Arial"/>
          <w:sz w:val="24"/>
          <w:szCs w:val="24"/>
        </w:rPr>
        <w:t xml:space="preserve">The matter came before the court on </w:t>
      </w:r>
      <w:r w:rsidR="00C36D9D" w:rsidRPr="00E97F47">
        <w:rPr>
          <w:rFonts w:ascii="Arial" w:hAnsi="Arial" w:cs="Arial"/>
          <w:sz w:val="24"/>
          <w:szCs w:val="24"/>
        </w:rPr>
        <w:t>14 October 2022, whereupon it was dismissed with costs.</w:t>
      </w:r>
      <w:r w:rsidR="00633A94" w:rsidRPr="00E97F47">
        <w:rPr>
          <w:rFonts w:ascii="Arial" w:hAnsi="Arial" w:cs="Arial"/>
          <w:sz w:val="24"/>
          <w:szCs w:val="24"/>
        </w:rPr>
        <w:t xml:space="preserve"> The applicant has requested reasons for </w:t>
      </w:r>
      <w:r w:rsidR="00EA2F41" w:rsidRPr="00E97F47">
        <w:rPr>
          <w:rFonts w:ascii="Arial" w:hAnsi="Arial" w:cs="Arial"/>
          <w:sz w:val="24"/>
          <w:szCs w:val="24"/>
        </w:rPr>
        <w:t>the order handed down.</w:t>
      </w:r>
    </w:p>
    <w:p w14:paraId="20C36A6E" w14:textId="77777777" w:rsidR="00CD2A41" w:rsidRPr="00CD2A41" w:rsidRDefault="00CD2A41" w:rsidP="00CD2A41">
      <w:pPr>
        <w:pStyle w:val="ListParagraph"/>
        <w:rPr>
          <w:rFonts w:ascii="Arial" w:hAnsi="Arial" w:cs="Arial"/>
          <w:sz w:val="24"/>
          <w:szCs w:val="24"/>
        </w:rPr>
      </w:pPr>
    </w:p>
    <w:p w14:paraId="24B10887" w14:textId="77777777" w:rsidR="00CD2A41" w:rsidRPr="00CD2A41" w:rsidRDefault="00CD2A41" w:rsidP="00CD2A41">
      <w:pPr>
        <w:pStyle w:val="ListParagraph"/>
        <w:rPr>
          <w:rFonts w:ascii="Arial" w:hAnsi="Arial" w:cs="Arial"/>
          <w:b/>
          <w:bCs/>
          <w:sz w:val="24"/>
          <w:szCs w:val="24"/>
        </w:rPr>
      </w:pPr>
    </w:p>
    <w:p w14:paraId="54617660" w14:textId="3A071ADD" w:rsidR="00CD2A41" w:rsidRPr="00CD2A41" w:rsidRDefault="00BE4854" w:rsidP="00CD2A41">
      <w:pPr>
        <w:pStyle w:val="ListParagraph"/>
        <w:spacing w:line="360" w:lineRule="auto"/>
        <w:ind w:left="0"/>
        <w:jc w:val="both"/>
        <w:rPr>
          <w:rFonts w:ascii="Arial" w:hAnsi="Arial" w:cs="Arial"/>
          <w:sz w:val="24"/>
          <w:szCs w:val="24"/>
        </w:rPr>
      </w:pPr>
      <w:r w:rsidRPr="00CD2A41">
        <w:rPr>
          <w:rFonts w:ascii="Arial" w:hAnsi="Arial" w:cs="Arial"/>
          <w:b/>
          <w:bCs/>
          <w:sz w:val="24"/>
          <w:szCs w:val="24"/>
        </w:rPr>
        <w:t>The applicant’s case</w:t>
      </w:r>
      <w:r w:rsidR="00EA2F41" w:rsidRPr="00CD2A41">
        <w:rPr>
          <w:rFonts w:ascii="Arial" w:hAnsi="Arial" w:cs="Arial"/>
          <w:b/>
          <w:bCs/>
          <w:sz w:val="24"/>
          <w:szCs w:val="24"/>
        </w:rPr>
        <w:t xml:space="preserve"> </w:t>
      </w:r>
    </w:p>
    <w:p w14:paraId="3D9E6FE5" w14:textId="77777777" w:rsidR="00CD2A41" w:rsidRPr="00CD2A41" w:rsidRDefault="00CD2A41" w:rsidP="00CD2A41">
      <w:pPr>
        <w:pStyle w:val="ListParagraph"/>
        <w:spacing w:line="360" w:lineRule="auto"/>
        <w:ind w:left="0"/>
        <w:jc w:val="both"/>
        <w:rPr>
          <w:rFonts w:ascii="Arial" w:hAnsi="Arial" w:cs="Arial"/>
          <w:sz w:val="24"/>
          <w:szCs w:val="24"/>
        </w:rPr>
      </w:pPr>
    </w:p>
    <w:p w14:paraId="55EF2C98" w14:textId="0E1A6FBA"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C47B8" w:rsidRPr="00E97F47">
        <w:rPr>
          <w:rFonts w:ascii="Arial" w:hAnsi="Arial" w:cs="Arial"/>
          <w:sz w:val="24"/>
          <w:szCs w:val="24"/>
        </w:rPr>
        <w:t xml:space="preserve">For the sake of convenience, the </w:t>
      </w:r>
      <w:r w:rsidR="00361EA6" w:rsidRPr="00E97F47">
        <w:rPr>
          <w:rFonts w:ascii="Arial" w:hAnsi="Arial" w:cs="Arial"/>
          <w:sz w:val="24"/>
          <w:szCs w:val="24"/>
        </w:rPr>
        <w:t xml:space="preserve">subject of the </w:t>
      </w:r>
      <w:r w:rsidR="00D67048" w:rsidRPr="00E97F47">
        <w:rPr>
          <w:rFonts w:ascii="Arial" w:hAnsi="Arial" w:cs="Arial"/>
          <w:sz w:val="24"/>
          <w:szCs w:val="24"/>
        </w:rPr>
        <w:t xml:space="preserve">application </w:t>
      </w:r>
      <w:r w:rsidR="00C82CF6" w:rsidRPr="00E97F47">
        <w:rPr>
          <w:rFonts w:ascii="Arial" w:hAnsi="Arial" w:cs="Arial"/>
          <w:sz w:val="24"/>
          <w:szCs w:val="24"/>
        </w:rPr>
        <w:t xml:space="preserve">is addressed below in accordance with the themes that emerged </w:t>
      </w:r>
      <w:r w:rsidR="00116385" w:rsidRPr="00E97F47">
        <w:rPr>
          <w:rFonts w:ascii="Arial" w:hAnsi="Arial" w:cs="Arial"/>
          <w:sz w:val="24"/>
          <w:szCs w:val="24"/>
        </w:rPr>
        <w:t>from the papers</w:t>
      </w:r>
      <w:r w:rsidR="00454B66" w:rsidRPr="00E97F47">
        <w:rPr>
          <w:rFonts w:ascii="Arial" w:hAnsi="Arial" w:cs="Arial"/>
          <w:sz w:val="24"/>
          <w:szCs w:val="24"/>
        </w:rPr>
        <w:t>.</w:t>
      </w:r>
    </w:p>
    <w:p w14:paraId="036E647E" w14:textId="77777777" w:rsidR="00CD2A41" w:rsidRDefault="00CD2A41" w:rsidP="00CD2A41">
      <w:pPr>
        <w:pStyle w:val="ListParagraph"/>
        <w:spacing w:line="360" w:lineRule="auto"/>
        <w:ind w:left="0"/>
        <w:jc w:val="both"/>
        <w:rPr>
          <w:rFonts w:ascii="Arial" w:hAnsi="Arial" w:cs="Arial"/>
          <w:sz w:val="24"/>
          <w:szCs w:val="24"/>
        </w:rPr>
      </w:pPr>
    </w:p>
    <w:p w14:paraId="21265A62" w14:textId="77777777" w:rsidR="00CD2A41" w:rsidRDefault="00CD2A41" w:rsidP="00CD2A41">
      <w:pPr>
        <w:pStyle w:val="ListParagraph"/>
        <w:spacing w:line="360" w:lineRule="auto"/>
        <w:ind w:left="0"/>
        <w:jc w:val="both"/>
        <w:rPr>
          <w:rFonts w:ascii="Arial" w:hAnsi="Arial" w:cs="Arial"/>
          <w:sz w:val="24"/>
          <w:szCs w:val="24"/>
        </w:rPr>
      </w:pPr>
    </w:p>
    <w:p w14:paraId="287AE465" w14:textId="0D98B470" w:rsidR="00CD2A41" w:rsidRPr="00CD2A41" w:rsidRDefault="00454B66" w:rsidP="00CD2A41">
      <w:pPr>
        <w:pStyle w:val="ListParagraph"/>
        <w:spacing w:line="360" w:lineRule="auto"/>
        <w:ind w:left="0"/>
        <w:jc w:val="both"/>
        <w:rPr>
          <w:rFonts w:ascii="Arial" w:hAnsi="Arial" w:cs="Arial"/>
          <w:sz w:val="24"/>
          <w:szCs w:val="24"/>
        </w:rPr>
      </w:pPr>
      <w:r w:rsidRPr="00CD2A41">
        <w:rPr>
          <w:rFonts w:ascii="Arial" w:hAnsi="Arial" w:cs="Arial"/>
          <w:i/>
          <w:iCs/>
          <w:sz w:val="24"/>
          <w:szCs w:val="24"/>
        </w:rPr>
        <w:t>The ISP meeting of 1 October 2022</w:t>
      </w:r>
    </w:p>
    <w:p w14:paraId="364ED394" w14:textId="77777777" w:rsidR="00CD2A41" w:rsidRPr="00CD2A41" w:rsidRDefault="00CD2A41" w:rsidP="00CD2A41">
      <w:pPr>
        <w:pStyle w:val="ListParagraph"/>
        <w:spacing w:line="360" w:lineRule="auto"/>
        <w:ind w:left="0"/>
        <w:jc w:val="both"/>
        <w:rPr>
          <w:rFonts w:ascii="Arial" w:hAnsi="Arial" w:cs="Arial"/>
          <w:sz w:val="24"/>
          <w:szCs w:val="24"/>
        </w:rPr>
      </w:pPr>
    </w:p>
    <w:p w14:paraId="1ACA8951" w14:textId="3F5A4F1C"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A2F41" w:rsidRPr="00E97F47">
        <w:rPr>
          <w:rFonts w:ascii="Arial" w:hAnsi="Arial" w:cs="Arial"/>
          <w:sz w:val="24"/>
          <w:szCs w:val="24"/>
        </w:rPr>
        <w:t xml:space="preserve">The </w:t>
      </w:r>
      <w:r w:rsidR="00BB3597" w:rsidRPr="00E97F47">
        <w:rPr>
          <w:rFonts w:ascii="Arial" w:hAnsi="Arial" w:cs="Arial"/>
          <w:sz w:val="24"/>
          <w:szCs w:val="24"/>
        </w:rPr>
        <w:t xml:space="preserve">chairperson </w:t>
      </w:r>
      <w:r w:rsidR="00BC76E2" w:rsidRPr="00E97F47">
        <w:rPr>
          <w:rFonts w:ascii="Arial" w:hAnsi="Arial" w:cs="Arial"/>
          <w:sz w:val="24"/>
          <w:szCs w:val="24"/>
        </w:rPr>
        <w:t xml:space="preserve">of the applicant’s University of Fort Hare (‘UFH’) </w:t>
      </w:r>
      <w:r w:rsidR="000A4915" w:rsidRPr="00E97F47">
        <w:rPr>
          <w:rFonts w:ascii="Arial" w:hAnsi="Arial" w:cs="Arial"/>
          <w:sz w:val="24"/>
          <w:szCs w:val="24"/>
        </w:rPr>
        <w:t xml:space="preserve">branch, Mr Somila </w:t>
      </w:r>
      <w:r w:rsidR="007B71D7" w:rsidRPr="00E97F47">
        <w:rPr>
          <w:rFonts w:ascii="Arial" w:hAnsi="Arial" w:cs="Arial"/>
          <w:sz w:val="24"/>
          <w:szCs w:val="24"/>
        </w:rPr>
        <w:t>Siphatha,</w:t>
      </w:r>
      <w:r w:rsidR="000A4915" w:rsidRPr="00E97F47">
        <w:rPr>
          <w:rFonts w:ascii="Arial" w:hAnsi="Arial" w:cs="Arial"/>
          <w:sz w:val="24"/>
          <w:szCs w:val="24"/>
        </w:rPr>
        <w:t xml:space="preserve"> deposed to the founding affidavit</w:t>
      </w:r>
      <w:r w:rsidR="00836742" w:rsidRPr="00E97F47">
        <w:rPr>
          <w:rFonts w:ascii="Arial" w:hAnsi="Arial" w:cs="Arial"/>
          <w:sz w:val="24"/>
          <w:szCs w:val="24"/>
        </w:rPr>
        <w:t>. He alleged that</w:t>
      </w:r>
      <w:r w:rsidR="00F1645A" w:rsidRPr="00E97F47">
        <w:rPr>
          <w:rFonts w:ascii="Arial" w:hAnsi="Arial" w:cs="Arial"/>
          <w:sz w:val="24"/>
          <w:szCs w:val="24"/>
        </w:rPr>
        <w:t xml:space="preserve">, on 29 September 2022, </w:t>
      </w:r>
      <w:r w:rsidR="007C15DC" w:rsidRPr="00E97F47">
        <w:rPr>
          <w:rFonts w:ascii="Arial" w:hAnsi="Arial" w:cs="Arial"/>
          <w:sz w:val="24"/>
          <w:szCs w:val="24"/>
        </w:rPr>
        <w:t>the ISP Organiser, a Mr Godfrey Ganya,</w:t>
      </w:r>
      <w:r w:rsidR="00B54B19" w:rsidRPr="00E97F47">
        <w:rPr>
          <w:rFonts w:ascii="Arial" w:hAnsi="Arial" w:cs="Arial"/>
          <w:sz w:val="24"/>
          <w:szCs w:val="24"/>
        </w:rPr>
        <w:t xml:space="preserve"> informed </w:t>
      </w:r>
      <w:r w:rsidR="003469FE" w:rsidRPr="00E97F47">
        <w:rPr>
          <w:rFonts w:ascii="Arial" w:hAnsi="Arial" w:cs="Arial"/>
          <w:sz w:val="24"/>
          <w:szCs w:val="24"/>
        </w:rPr>
        <w:t xml:space="preserve">the members of the ISP </w:t>
      </w:r>
      <w:r w:rsidR="00991B80" w:rsidRPr="00E97F47">
        <w:rPr>
          <w:rFonts w:ascii="Arial" w:hAnsi="Arial" w:cs="Arial"/>
          <w:sz w:val="24"/>
          <w:szCs w:val="24"/>
        </w:rPr>
        <w:t xml:space="preserve">by email </w:t>
      </w:r>
      <w:r w:rsidR="003469FE" w:rsidRPr="00E97F47">
        <w:rPr>
          <w:rFonts w:ascii="Arial" w:hAnsi="Arial" w:cs="Arial"/>
          <w:sz w:val="24"/>
          <w:szCs w:val="24"/>
        </w:rPr>
        <w:t xml:space="preserve">that </w:t>
      </w:r>
      <w:r w:rsidR="00636253" w:rsidRPr="00E97F47">
        <w:rPr>
          <w:rFonts w:ascii="Arial" w:hAnsi="Arial" w:cs="Arial"/>
          <w:sz w:val="24"/>
          <w:szCs w:val="24"/>
        </w:rPr>
        <w:t>a meeting would be held on 1 October 2022</w:t>
      </w:r>
      <w:r w:rsidR="008C274F" w:rsidRPr="00E97F47">
        <w:rPr>
          <w:rFonts w:ascii="Arial" w:hAnsi="Arial" w:cs="Arial"/>
          <w:sz w:val="24"/>
          <w:szCs w:val="24"/>
        </w:rPr>
        <w:t xml:space="preserve"> to discuss, amongst other things, the date of the </w:t>
      </w:r>
      <w:r w:rsidR="00356E3C" w:rsidRPr="00E97F47">
        <w:rPr>
          <w:rFonts w:ascii="Arial" w:hAnsi="Arial" w:cs="Arial"/>
          <w:sz w:val="24"/>
          <w:szCs w:val="24"/>
        </w:rPr>
        <w:t xml:space="preserve">2022/2023 SRC election. The members of the ISP comprised </w:t>
      </w:r>
      <w:r w:rsidR="00B54B19" w:rsidRPr="00E97F47">
        <w:rPr>
          <w:rFonts w:ascii="Arial" w:hAnsi="Arial" w:cs="Arial"/>
          <w:sz w:val="24"/>
          <w:szCs w:val="24"/>
        </w:rPr>
        <w:t>various societies and student political organisations</w:t>
      </w:r>
      <w:r w:rsidR="00991B80" w:rsidRPr="00E97F47">
        <w:rPr>
          <w:rFonts w:ascii="Arial" w:hAnsi="Arial" w:cs="Arial"/>
          <w:sz w:val="24"/>
          <w:szCs w:val="24"/>
        </w:rPr>
        <w:t>.</w:t>
      </w:r>
    </w:p>
    <w:p w14:paraId="6D4E5A1E" w14:textId="77777777" w:rsidR="00CD2A41" w:rsidRDefault="00CD2A41" w:rsidP="00CD2A41">
      <w:pPr>
        <w:pStyle w:val="ListParagraph"/>
        <w:spacing w:line="360" w:lineRule="auto"/>
        <w:ind w:left="0"/>
        <w:jc w:val="both"/>
        <w:rPr>
          <w:rFonts w:ascii="Arial" w:hAnsi="Arial" w:cs="Arial"/>
          <w:sz w:val="24"/>
          <w:szCs w:val="24"/>
        </w:rPr>
      </w:pPr>
    </w:p>
    <w:p w14:paraId="2F20B47D" w14:textId="4BEF0DAA"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F01045" w:rsidRPr="00E97F47">
        <w:rPr>
          <w:rFonts w:ascii="Arial" w:hAnsi="Arial" w:cs="Arial"/>
          <w:sz w:val="24"/>
          <w:szCs w:val="24"/>
        </w:rPr>
        <w:t xml:space="preserve">In reaction to the email, Mr Siphatha contacted the </w:t>
      </w:r>
      <w:r w:rsidR="00E43294" w:rsidRPr="00E97F47">
        <w:rPr>
          <w:rFonts w:ascii="Arial" w:hAnsi="Arial" w:cs="Arial"/>
          <w:sz w:val="24"/>
          <w:szCs w:val="24"/>
        </w:rPr>
        <w:t>ISP Speaker, Mr Msingathi Mabhengu</w:t>
      </w:r>
      <w:r w:rsidR="00891A34" w:rsidRPr="00E97F47">
        <w:rPr>
          <w:rFonts w:ascii="Arial" w:hAnsi="Arial" w:cs="Arial"/>
          <w:sz w:val="24"/>
          <w:szCs w:val="24"/>
        </w:rPr>
        <w:t xml:space="preserve">, who </w:t>
      </w:r>
      <w:r w:rsidR="002D36F3" w:rsidRPr="00E97F47">
        <w:rPr>
          <w:rFonts w:ascii="Arial" w:hAnsi="Arial" w:cs="Arial"/>
          <w:sz w:val="24"/>
          <w:szCs w:val="24"/>
        </w:rPr>
        <w:t xml:space="preserve">indicated that the above date had not been agreed upon collectively. </w:t>
      </w:r>
      <w:r w:rsidR="004566BC" w:rsidRPr="00E97F47">
        <w:rPr>
          <w:rFonts w:ascii="Arial" w:hAnsi="Arial" w:cs="Arial"/>
          <w:sz w:val="24"/>
          <w:szCs w:val="24"/>
        </w:rPr>
        <w:t xml:space="preserve">An </w:t>
      </w:r>
      <w:r w:rsidR="004566BC" w:rsidRPr="00E97F47">
        <w:rPr>
          <w:rFonts w:ascii="Arial" w:hAnsi="Arial" w:cs="Arial"/>
          <w:sz w:val="24"/>
          <w:szCs w:val="24"/>
        </w:rPr>
        <w:lastRenderedPageBreak/>
        <w:t xml:space="preserve">urgent </w:t>
      </w:r>
      <w:r w:rsidR="00CB08A5" w:rsidRPr="00E97F47">
        <w:rPr>
          <w:rFonts w:ascii="Arial" w:hAnsi="Arial" w:cs="Arial"/>
          <w:sz w:val="24"/>
          <w:szCs w:val="24"/>
        </w:rPr>
        <w:t xml:space="preserve">ISP Secretariat meeting had been convened for </w:t>
      </w:r>
      <w:r w:rsidR="00613786" w:rsidRPr="00E97F47">
        <w:rPr>
          <w:rFonts w:ascii="Arial" w:hAnsi="Arial" w:cs="Arial"/>
          <w:sz w:val="24"/>
          <w:szCs w:val="24"/>
        </w:rPr>
        <w:t>30 September 2022 to deal with th</w:t>
      </w:r>
      <w:r w:rsidR="00B06C01" w:rsidRPr="00E97F47">
        <w:rPr>
          <w:rFonts w:ascii="Arial" w:hAnsi="Arial" w:cs="Arial"/>
          <w:sz w:val="24"/>
          <w:szCs w:val="24"/>
        </w:rPr>
        <w:t xml:space="preserve">e matter. </w:t>
      </w:r>
    </w:p>
    <w:p w14:paraId="14B8DE81" w14:textId="77777777" w:rsidR="00CD2A41" w:rsidRPr="00CD2A41" w:rsidRDefault="00CD2A41" w:rsidP="00CD2A41">
      <w:pPr>
        <w:pStyle w:val="ListParagraph"/>
        <w:rPr>
          <w:rFonts w:ascii="Arial" w:hAnsi="Arial" w:cs="Arial"/>
          <w:sz w:val="24"/>
          <w:szCs w:val="24"/>
        </w:rPr>
      </w:pPr>
    </w:p>
    <w:p w14:paraId="46FFF07D" w14:textId="138AE4F2"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A169F" w:rsidRPr="00E97F47">
        <w:rPr>
          <w:rFonts w:ascii="Arial" w:hAnsi="Arial" w:cs="Arial"/>
          <w:sz w:val="24"/>
          <w:szCs w:val="24"/>
        </w:rPr>
        <w:t xml:space="preserve">Consequently, </w:t>
      </w:r>
      <w:r w:rsidR="00613406" w:rsidRPr="00E97F47">
        <w:rPr>
          <w:rFonts w:ascii="Arial" w:hAnsi="Arial" w:cs="Arial"/>
          <w:sz w:val="24"/>
          <w:szCs w:val="24"/>
        </w:rPr>
        <w:t xml:space="preserve">at </w:t>
      </w:r>
      <w:r w:rsidR="00F35CB3" w:rsidRPr="00E97F47">
        <w:rPr>
          <w:rFonts w:ascii="Arial" w:hAnsi="Arial" w:cs="Arial"/>
          <w:sz w:val="24"/>
          <w:szCs w:val="24"/>
        </w:rPr>
        <w:t xml:space="preserve">23h53 on 30 September 2022, </w:t>
      </w:r>
      <w:r w:rsidR="004A169F" w:rsidRPr="00E97F47">
        <w:rPr>
          <w:rFonts w:ascii="Arial" w:hAnsi="Arial" w:cs="Arial"/>
          <w:sz w:val="24"/>
          <w:szCs w:val="24"/>
        </w:rPr>
        <w:t xml:space="preserve">after the meeting of the ISP Secretariat had been held, </w:t>
      </w:r>
      <w:r w:rsidR="005E23D0" w:rsidRPr="00E97F47">
        <w:rPr>
          <w:rFonts w:ascii="Arial" w:hAnsi="Arial" w:cs="Arial"/>
          <w:sz w:val="24"/>
          <w:szCs w:val="24"/>
        </w:rPr>
        <w:t xml:space="preserve">Mr </w:t>
      </w:r>
      <w:r w:rsidR="00E649CB" w:rsidRPr="00E97F47">
        <w:rPr>
          <w:rFonts w:ascii="Arial" w:hAnsi="Arial" w:cs="Arial"/>
          <w:sz w:val="24"/>
          <w:szCs w:val="24"/>
        </w:rPr>
        <w:t xml:space="preserve">Mabhengu sent </w:t>
      </w:r>
      <w:r w:rsidR="00620385" w:rsidRPr="00E97F47">
        <w:rPr>
          <w:rFonts w:ascii="Arial" w:hAnsi="Arial" w:cs="Arial"/>
          <w:sz w:val="24"/>
          <w:szCs w:val="24"/>
        </w:rPr>
        <w:t>communication to</w:t>
      </w:r>
      <w:r w:rsidR="002937F8" w:rsidRPr="00E97F47">
        <w:rPr>
          <w:rFonts w:ascii="Arial" w:hAnsi="Arial" w:cs="Arial"/>
          <w:sz w:val="24"/>
          <w:szCs w:val="24"/>
        </w:rPr>
        <w:t xml:space="preserve"> the</w:t>
      </w:r>
      <w:r w:rsidR="00620385" w:rsidRPr="00E97F47">
        <w:rPr>
          <w:rFonts w:ascii="Arial" w:hAnsi="Arial" w:cs="Arial"/>
          <w:sz w:val="24"/>
          <w:szCs w:val="24"/>
        </w:rPr>
        <w:t xml:space="preserve"> members </w:t>
      </w:r>
      <w:r w:rsidR="002E653A" w:rsidRPr="00E97F47">
        <w:rPr>
          <w:rFonts w:ascii="Arial" w:hAnsi="Arial" w:cs="Arial"/>
          <w:sz w:val="24"/>
          <w:szCs w:val="24"/>
        </w:rPr>
        <w:t>of the ISP</w:t>
      </w:r>
      <w:r w:rsidR="00F35CB3" w:rsidRPr="00E97F47">
        <w:rPr>
          <w:rFonts w:ascii="Arial" w:hAnsi="Arial" w:cs="Arial"/>
          <w:sz w:val="24"/>
          <w:szCs w:val="24"/>
        </w:rPr>
        <w:t xml:space="preserve"> </w:t>
      </w:r>
      <w:r w:rsidR="0048453C" w:rsidRPr="00E97F47">
        <w:rPr>
          <w:rFonts w:ascii="Arial" w:hAnsi="Arial" w:cs="Arial"/>
          <w:sz w:val="24"/>
          <w:szCs w:val="24"/>
        </w:rPr>
        <w:t xml:space="preserve">to advise </w:t>
      </w:r>
      <w:r w:rsidR="005C2A86" w:rsidRPr="00E97F47">
        <w:rPr>
          <w:rFonts w:ascii="Arial" w:hAnsi="Arial" w:cs="Arial"/>
          <w:sz w:val="24"/>
          <w:szCs w:val="24"/>
        </w:rPr>
        <w:t xml:space="preserve">that the meeting </w:t>
      </w:r>
      <w:r w:rsidR="00C16C4B" w:rsidRPr="00E97F47">
        <w:rPr>
          <w:rFonts w:ascii="Arial" w:hAnsi="Arial" w:cs="Arial"/>
          <w:sz w:val="24"/>
          <w:szCs w:val="24"/>
        </w:rPr>
        <w:t xml:space="preserve">had been postponed until 9 October 2022. This was to accommodate those members of the ISP who had </w:t>
      </w:r>
      <w:r w:rsidR="00BB1A78" w:rsidRPr="00E97F47">
        <w:rPr>
          <w:rFonts w:ascii="Arial" w:hAnsi="Arial" w:cs="Arial"/>
          <w:sz w:val="24"/>
          <w:szCs w:val="24"/>
        </w:rPr>
        <w:t>already departed for the September recess.</w:t>
      </w:r>
      <w:r w:rsidR="0083519E" w:rsidRPr="00E97F47">
        <w:rPr>
          <w:rFonts w:ascii="Arial" w:hAnsi="Arial" w:cs="Arial"/>
          <w:sz w:val="24"/>
          <w:szCs w:val="24"/>
        </w:rPr>
        <w:t xml:space="preserve"> </w:t>
      </w:r>
    </w:p>
    <w:p w14:paraId="63B9C998" w14:textId="77777777" w:rsidR="00CD2A41" w:rsidRPr="00CD2A41" w:rsidRDefault="00CD2A41" w:rsidP="00CD2A41">
      <w:pPr>
        <w:pStyle w:val="ListParagraph"/>
        <w:rPr>
          <w:rFonts w:ascii="Arial" w:hAnsi="Arial" w:cs="Arial"/>
          <w:sz w:val="24"/>
          <w:szCs w:val="24"/>
        </w:rPr>
      </w:pPr>
    </w:p>
    <w:p w14:paraId="769547D0" w14:textId="241C6AB5"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83519E" w:rsidRPr="00E97F47">
        <w:rPr>
          <w:rFonts w:ascii="Arial" w:hAnsi="Arial" w:cs="Arial"/>
          <w:sz w:val="24"/>
          <w:szCs w:val="24"/>
        </w:rPr>
        <w:t xml:space="preserve">Notwithstanding the above, the meeting did in fact proceed </w:t>
      </w:r>
      <w:r w:rsidR="007B0C2C" w:rsidRPr="00E97F47">
        <w:rPr>
          <w:rFonts w:ascii="Arial" w:hAnsi="Arial" w:cs="Arial"/>
          <w:sz w:val="24"/>
          <w:szCs w:val="24"/>
        </w:rPr>
        <w:t xml:space="preserve">on 1 October 2022. The delegates agreed on a </w:t>
      </w:r>
      <w:r w:rsidR="00577B37" w:rsidRPr="00E97F47">
        <w:rPr>
          <w:rFonts w:ascii="Arial" w:hAnsi="Arial" w:cs="Arial"/>
          <w:sz w:val="24"/>
          <w:szCs w:val="24"/>
        </w:rPr>
        <w:t>new date for the</w:t>
      </w:r>
      <w:r w:rsidR="003F6DB3" w:rsidRPr="00E97F47">
        <w:rPr>
          <w:rFonts w:ascii="Arial" w:hAnsi="Arial" w:cs="Arial"/>
          <w:sz w:val="24"/>
          <w:szCs w:val="24"/>
        </w:rPr>
        <w:t xml:space="preserve"> </w:t>
      </w:r>
      <w:r w:rsidR="00577B37" w:rsidRPr="00E97F47">
        <w:rPr>
          <w:rFonts w:ascii="Arial" w:hAnsi="Arial" w:cs="Arial"/>
          <w:sz w:val="24"/>
          <w:szCs w:val="24"/>
        </w:rPr>
        <w:t>election.</w:t>
      </w:r>
    </w:p>
    <w:p w14:paraId="57F0E9A7" w14:textId="77777777" w:rsidR="00CD2A41" w:rsidRPr="00CD2A41" w:rsidRDefault="00CD2A41" w:rsidP="00CD2A41">
      <w:pPr>
        <w:pStyle w:val="ListParagraph"/>
        <w:rPr>
          <w:rFonts w:ascii="Arial" w:hAnsi="Arial" w:cs="Arial"/>
          <w:sz w:val="24"/>
          <w:szCs w:val="24"/>
        </w:rPr>
      </w:pPr>
    </w:p>
    <w:p w14:paraId="780CBC87" w14:textId="6A3E2DA3" w:rsidR="00CD2A41" w:rsidRPr="00E97F47" w:rsidRDefault="00E97F47" w:rsidP="00E97F47">
      <w:pPr>
        <w:spacing w:line="360" w:lineRule="auto"/>
        <w:jc w:val="both"/>
        <w:rPr>
          <w:rFonts w:ascii="Arial" w:hAnsi="Arial" w:cs="Arial"/>
          <w:sz w:val="24"/>
          <w:szCs w:val="24"/>
        </w:rPr>
      </w:pPr>
      <w:r w:rsidRPr="00EB38CE">
        <w:rPr>
          <w:rFonts w:ascii="Arial" w:hAnsi="Arial" w:cs="Arial"/>
          <w:sz w:val="24"/>
          <w:szCs w:val="24"/>
        </w:rPr>
        <w:t>[10]</w:t>
      </w:r>
      <w:r w:rsidRPr="00EB38CE">
        <w:rPr>
          <w:rFonts w:ascii="Arial" w:hAnsi="Arial" w:cs="Arial"/>
          <w:sz w:val="24"/>
          <w:szCs w:val="24"/>
        </w:rPr>
        <w:tab/>
      </w:r>
      <w:r w:rsidR="006D3D1C" w:rsidRPr="00E97F47">
        <w:rPr>
          <w:rFonts w:ascii="Arial" w:hAnsi="Arial" w:cs="Arial"/>
          <w:sz w:val="24"/>
          <w:szCs w:val="24"/>
        </w:rPr>
        <w:t xml:space="preserve">The applicant was not represented at the </w:t>
      </w:r>
      <w:r w:rsidR="00796F13" w:rsidRPr="00E97F47">
        <w:rPr>
          <w:rFonts w:ascii="Arial" w:hAnsi="Arial" w:cs="Arial"/>
          <w:sz w:val="24"/>
          <w:szCs w:val="24"/>
        </w:rPr>
        <w:t>meeting of the ISP</w:t>
      </w:r>
      <w:r w:rsidR="00AE06D8" w:rsidRPr="00E97F47">
        <w:rPr>
          <w:rFonts w:ascii="Arial" w:hAnsi="Arial" w:cs="Arial"/>
          <w:sz w:val="24"/>
          <w:szCs w:val="24"/>
        </w:rPr>
        <w:t>,</w:t>
      </w:r>
      <w:r w:rsidR="00796F13" w:rsidRPr="00E97F47">
        <w:rPr>
          <w:rFonts w:ascii="Arial" w:hAnsi="Arial" w:cs="Arial"/>
          <w:sz w:val="24"/>
          <w:szCs w:val="24"/>
        </w:rPr>
        <w:t xml:space="preserve"> </w:t>
      </w:r>
      <w:r w:rsidR="002937F8" w:rsidRPr="00E97F47">
        <w:rPr>
          <w:rFonts w:ascii="Arial" w:hAnsi="Arial" w:cs="Arial"/>
          <w:sz w:val="24"/>
          <w:szCs w:val="24"/>
        </w:rPr>
        <w:t>considering</w:t>
      </w:r>
      <w:r w:rsidR="00796F13" w:rsidRPr="00E97F47">
        <w:rPr>
          <w:rFonts w:ascii="Arial" w:hAnsi="Arial" w:cs="Arial"/>
          <w:sz w:val="24"/>
          <w:szCs w:val="24"/>
        </w:rPr>
        <w:t xml:space="preserve"> </w:t>
      </w:r>
      <w:r w:rsidR="002937F8" w:rsidRPr="00E97F47">
        <w:rPr>
          <w:rFonts w:ascii="Arial" w:hAnsi="Arial" w:cs="Arial"/>
          <w:sz w:val="24"/>
          <w:szCs w:val="24"/>
        </w:rPr>
        <w:t>Mr Mabhengu’s communication</w:t>
      </w:r>
      <w:r w:rsidR="00AE06D8" w:rsidRPr="00E97F47">
        <w:rPr>
          <w:rFonts w:ascii="Arial" w:hAnsi="Arial" w:cs="Arial"/>
          <w:sz w:val="24"/>
          <w:szCs w:val="24"/>
        </w:rPr>
        <w:t>,</w:t>
      </w:r>
      <w:r w:rsidR="00967F27" w:rsidRPr="00E97F47">
        <w:rPr>
          <w:rFonts w:ascii="Arial" w:hAnsi="Arial" w:cs="Arial"/>
          <w:sz w:val="24"/>
          <w:szCs w:val="24"/>
        </w:rPr>
        <w:t xml:space="preserve"> and </w:t>
      </w:r>
      <w:r w:rsidR="006D3D1C" w:rsidRPr="00E97F47">
        <w:rPr>
          <w:rFonts w:ascii="Arial" w:hAnsi="Arial" w:cs="Arial"/>
          <w:sz w:val="24"/>
          <w:szCs w:val="24"/>
        </w:rPr>
        <w:t>aver</w:t>
      </w:r>
      <w:r w:rsidR="00212600" w:rsidRPr="00E97F47">
        <w:rPr>
          <w:rFonts w:ascii="Arial" w:hAnsi="Arial" w:cs="Arial"/>
          <w:sz w:val="24"/>
          <w:szCs w:val="24"/>
        </w:rPr>
        <w:t>red</w:t>
      </w:r>
      <w:r w:rsidR="006D3D1C" w:rsidRPr="00E97F47">
        <w:rPr>
          <w:rFonts w:ascii="Arial" w:hAnsi="Arial" w:cs="Arial"/>
          <w:sz w:val="24"/>
          <w:szCs w:val="24"/>
        </w:rPr>
        <w:t xml:space="preserve"> that </w:t>
      </w:r>
      <w:r w:rsidR="00767063" w:rsidRPr="00E97F47">
        <w:rPr>
          <w:rFonts w:ascii="Arial" w:hAnsi="Arial" w:cs="Arial"/>
          <w:sz w:val="24"/>
          <w:szCs w:val="24"/>
        </w:rPr>
        <w:t xml:space="preserve">it </w:t>
      </w:r>
      <w:r w:rsidR="0026400E" w:rsidRPr="00E97F47">
        <w:rPr>
          <w:rFonts w:ascii="Arial" w:hAnsi="Arial" w:cs="Arial"/>
          <w:sz w:val="24"/>
          <w:szCs w:val="24"/>
        </w:rPr>
        <w:t xml:space="preserve">was prejudiced </w:t>
      </w:r>
      <w:r w:rsidR="00532775" w:rsidRPr="00E97F47">
        <w:rPr>
          <w:rFonts w:ascii="Arial" w:hAnsi="Arial" w:cs="Arial"/>
          <w:sz w:val="24"/>
          <w:szCs w:val="24"/>
        </w:rPr>
        <w:t>because of</w:t>
      </w:r>
      <w:r w:rsidR="0026400E" w:rsidRPr="00E97F47">
        <w:rPr>
          <w:rFonts w:ascii="Arial" w:hAnsi="Arial" w:cs="Arial"/>
          <w:sz w:val="24"/>
          <w:szCs w:val="24"/>
        </w:rPr>
        <w:t xml:space="preserve"> not having </w:t>
      </w:r>
      <w:r w:rsidR="00C06C57" w:rsidRPr="00E97F47">
        <w:rPr>
          <w:rFonts w:ascii="Arial" w:hAnsi="Arial" w:cs="Arial"/>
          <w:sz w:val="24"/>
          <w:szCs w:val="24"/>
        </w:rPr>
        <w:t xml:space="preserve">had an opportunity to participate. </w:t>
      </w:r>
      <w:r w:rsidR="00D3763A" w:rsidRPr="00E97F47">
        <w:rPr>
          <w:rFonts w:ascii="Arial" w:hAnsi="Arial" w:cs="Arial"/>
          <w:sz w:val="24"/>
          <w:szCs w:val="24"/>
        </w:rPr>
        <w:t>In particular, the applicant point</w:t>
      </w:r>
      <w:r w:rsidR="00212600" w:rsidRPr="00E97F47">
        <w:rPr>
          <w:rFonts w:ascii="Arial" w:hAnsi="Arial" w:cs="Arial"/>
          <w:sz w:val="24"/>
          <w:szCs w:val="24"/>
        </w:rPr>
        <w:t>ed</w:t>
      </w:r>
      <w:r w:rsidR="00D3763A" w:rsidRPr="00E97F47">
        <w:rPr>
          <w:rFonts w:ascii="Arial" w:hAnsi="Arial" w:cs="Arial"/>
          <w:sz w:val="24"/>
          <w:szCs w:val="24"/>
        </w:rPr>
        <w:t xml:space="preserve"> out that it had previously </w:t>
      </w:r>
      <w:r w:rsidR="0045617C" w:rsidRPr="00E97F47">
        <w:rPr>
          <w:rFonts w:ascii="Arial" w:hAnsi="Arial" w:cs="Arial"/>
          <w:sz w:val="24"/>
          <w:szCs w:val="24"/>
        </w:rPr>
        <w:t>conveyed its grievances regarding the election process to the respondent</w:t>
      </w:r>
      <w:r w:rsidR="00CD2A41" w:rsidRPr="00E97F47">
        <w:rPr>
          <w:rFonts w:ascii="Arial" w:hAnsi="Arial" w:cs="Arial"/>
          <w:sz w:val="24"/>
          <w:szCs w:val="24"/>
        </w:rPr>
        <w:t>.</w:t>
      </w:r>
      <w:r w:rsidR="00B10246" w:rsidRPr="00E97F47">
        <w:rPr>
          <w:rFonts w:ascii="Arial" w:hAnsi="Arial" w:cs="Arial"/>
          <w:sz w:val="24"/>
          <w:szCs w:val="24"/>
        </w:rPr>
        <w:t xml:space="preserve"> </w:t>
      </w:r>
      <w:r w:rsidR="008F7A22" w:rsidRPr="00E97F47">
        <w:rPr>
          <w:rFonts w:ascii="Arial" w:hAnsi="Arial" w:cs="Arial"/>
          <w:sz w:val="24"/>
          <w:szCs w:val="24"/>
        </w:rPr>
        <w:t>These had received no attention.</w:t>
      </w:r>
    </w:p>
    <w:p w14:paraId="1BA9709F" w14:textId="77777777" w:rsidR="00CD2A41" w:rsidRPr="00CD2A41" w:rsidRDefault="00CD2A41" w:rsidP="00CD2A41">
      <w:pPr>
        <w:pStyle w:val="ListParagraph"/>
        <w:rPr>
          <w:rFonts w:ascii="Arial" w:hAnsi="Arial" w:cs="Arial"/>
          <w:sz w:val="24"/>
          <w:szCs w:val="24"/>
        </w:rPr>
      </w:pPr>
    </w:p>
    <w:p w14:paraId="47E8F6B6" w14:textId="6B1C2CAB"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8C3923" w:rsidRPr="00E97F47">
        <w:rPr>
          <w:rFonts w:ascii="Arial" w:hAnsi="Arial" w:cs="Arial"/>
          <w:sz w:val="24"/>
          <w:szCs w:val="24"/>
        </w:rPr>
        <w:t>Subsequently, the applicant sought legal advice. I</w:t>
      </w:r>
      <w:r w:rsidR="00D51DD5" w:rsidRPr="00E97F47">
        <w:rPr>
          <w:rFonts w:ascii="Arial" w:hAnsi="Arial" w:cs="Arial"/>
          <w:sz w:val="24"/>
          <w:szCs w:val="24"/>
        </w:rPr>
        <w:t>n</w:t>
      </w:r>
      <w:r w:rsidR="00795AC8" w:rsidRPr="00E97F47">
        <w:rPr>
          <w:rFonts w:ascii="Arial" w:hAnsi="Arial" w:cs="Arial"/>
          <w:sz w:val="24"/>
          <w:szCs w:val="24"/>
        </w:rPr>
        <w:t xml:space="preserve"> the interim, the </w:t>
      </w:r>
      <w:r w:rsidR="0065519E" w:rsidRPr="00E97F47">
        <w:rPr>
          <w:rFonts w:ascii="Arial" w:hAnsi="Arial" w:cs="Arial"/>
          <w:sz w:val="24"/>
          <w:szCs w:val="24"/>
        </w:rPr>
        <w:t xml:space="preserve">Dean of Student Affairs, Mr Lufuno </w:t>
      </w:r>
      <w:r w:rsidR="00B40C10" w:rsidRPr="00E97F47">
        <w:rPr>
          <w:rFonts w:ascii="Arial" w:hAnsi="Arial" w:cs="Arial"/>
          <w:sz w:val="24"/>
          <w:szCs w:val="24"/>
        </w:rPr>
        <w:t xml:space="preserve">Tshikhudo, </w:t>
      </w:r>
      <w:r w:rsidR="00CE06AB" w:rsidRPr="00E97F47">
        <w:rPr>
          <w:rFonts w:ascii="Arial" w:hAnsi="Arial" w:cs="Arial"/>
          <w:sz w:val="24"/>
          <w:szCs w:val="24"/>
        </w:rPr>
        <w:t xml:space="preserve">notified students and staff </w:t>
      </w:r>
      <w:r w:rsidR="008B0D8D" w:rsidRPr="00E97F47">
        <w:rPr>
          <w:rFonts w:ascii="Arial" w:hAnsi="Arial" w:cs="Arial"/>
          <w:sz w:val="24"/>
          <w:szCs w:val="24"/>
        </w:rPr>
        <w:t>on 4 October 2022 that the ISP had de</w:t>
      </w:r>
      <w:r w:rsidR="00546BD4" w:rsidRPr="00E97F47">
        <w:rPr>
          <w:rFonts w:ascii="Arial" w:hAnsi="Arial" w:cs="Arial"/>
          <w:sz w:val="24"/>
          <w:szCs w:val="24"/>
        </w:rPr>
        <w:t xml:space="preserve">cided upon 19 October 2022 as the date for the </w:t>
      </w:r>
      <w:r w:rsidR="0088542F" w:rsidRPr="00E97F47">
        <w:rPr>
          <w:rFonts w:ascii="Arial" w:hAnsi="Arial" w:cs="Arial"/>
          <w:sz w:val="24"/>
          <w:szCs w:val="24"/>
        </w:rPr>
        <w:t xml:space="preserve">election. </w:t>
      </w:r>
      <w:r w:rsidR="005E1988" w:rsidRPr="00E97F47">
        <w:rPr>
          <w:rFonts w:ascii="Arial" w:hAnsi="Arial" w:cs="Arial"/>
          <w:sz w:val="24"/>
          <w:szCs w:val="24"/>
        </w:rPr>
        <w:t xml:space="preserve">This prompted the applicant to instruct its attorneys to </w:t>
      </w:r>
      <w:r w:rsidR="00AE3DB4" w:rsidRPr="00E97F47">
        <w:rPr>
          <w:rFonts w:ascii="Arial" w:hAnsi="Arial" w:cs="Arial"/>
          <w:sz w:val="24"/>
          <w:szCs w:val="24"/>
        </w:rPr>
        <w:t>record its grievances</w:t>
      </w:r>
      <w:r w:rsidR="00D44AF0" w:rsidRPr="00E97F47">
        <w:rPr>
          <w:rFonts w:ascii="Arial" w:hAnsi="Arial" w:cs="Arial"/>
          <w:sz w:val="24"/>
          <w:szCs w:val="24"/>
        </w:rPr>
        <w:t xml:space="preserve"> and to place a set of </w:t>
      </w:r>
      <w:r w:rsidR="0016664D" w:rsidRPr="00E97F47">
        <w:rPr>
          <w:rFonts w:ascii="Arial" w:hAnsi="Arial" w:cs="Arial"/>
          <w:sz w:val="24"/>
          <w:szCs w:val="24"/>
        </w:rPr>
        <w:t xml:space="preserve">proposals and </w:t>
      </w:r>
      <w:r w:rsidR="00D44AF0" w:rsidRPr="00E97F47">
        <w:rPr>
          <w:rFonts w:ascii="Arial" w:hAnsi="Arial" w:cs="Arial"/>
          <w:sz w:val="24"/>
          <w:szCs w:val="24"/>
        </w:rPr>
        <w:t xml:space="preserve">demands </w:t>
      </w:r>
      <w:r w:rsidR="002A1C82" w:rsidRPr="00E97F47">
        <w:rPr>
          <w:rFonts w:ascii="Arial" w:hAnsi="Arial" w:cs="Arial"/>
          <w:sz w:val="24"/>
          <w:szCs w:val="24"/>
        </w:rPr>
        <w:t xml:space="preserve">before the respondent, </w:t>
      </w:r>
      <w:r w:rsidR="00D74582" w:rsidRPr="00E97F47">
        <w:rPr>
          <w:rFonts w:ascii="Arial" w:hAnsi="Arial" w:cs="Arial"/>
          <w:sz w:val="24"/>
          <w:szCs w:val="24"/>
        </w:rPr>
        <w:t xml:space="preserve">including information regarding the </w:t>
      </w:r>
      <w:r w:rsidR="001A13A3" w:rsidRPr="00E97F47">
        <w:rPr>
          <w:rFonts w:ascii="Arial" w:hAnsi="Arial" w:cs="Arial"/>
          <w:sz w:val="24"/>
          <w:szCs w:val="24"/>
        </w:rPr>
        <w:t xml:space="preserve">credentials of the delegates at the meeting of the ISP, as well as </w:t>
      </w:r>
      <w:r w:rsidR="0005477B" w:rsidRPr="00E97F47">
        <w:rPr>
          <w:rFonts w:ascii="Arial" w:hAnsi="Arial" w:cs="Arial"/>
          <w:sz w:val="24"/>
          <w:szCs w:val="24"/>
        </w:rPr>
        <w:t>copies of the resolutions taken.</w:t>
      </w:r>
      <w:r w:rsidR="002A56CD" w:rsidRPr="00E97F47">
        <w:rPr>
          <w:rFonts w:ascii="Arial" w:hAnsi="Arial" w:cs="Arial"/>
          <w:sz w:val="24"/>
          <w:szCs w:val="24"/>
        </w:rPr>
        <w:t xml:space="preserve"> </w:t>
      </w:r>
      <w:r w:rsidR="000872F5" w:rsidRPr="00E97F47">
        <w:rPr>
          <w:rFonts w:ascii="Arial" w:hAnsi="Arial" w:cs="Arial"/>
          <w:sz w:val="24"/>
          <w:szCs w:val="24"/>
        </w:rPr>
        <w:t>The attorneys sent a letter to that effect on 5 October 2022.</w:t>
      </w:r>
      <w:r w:rsidR="00934D57" w:rsidRPr="00E97F47">
        <w:rPr>
          <w:rFonts w:ascii="Arial" w:hAnsi="Arial" w:cs="Arial"/>
          <w:sz w:val="24"/>
          <w:szCs w:val="24"/>
        </w:rPr>
        <w:t xml:space="preserve"> This was fol</w:t>
      </w:r>
      <w:r w:rsidR="00CB049A" w:rsidRPr="00E97F47">
        <w:rPr>
          <w:rFonts w:ascii="Arial" w:hAnsi="Arial" w:cs="Arial"/>
          <w:sz w:val="24"/>
          <w:szCs w:val="24"/>
        </w:rPr>
        <w:t xml:space="preserve">lowed by a letter from Mr Siphatha to </w:t>
      </w:r>
      <w:r w:rsidR="00E449C2" w:rsidRPr="00E97F47">
        <w:rPr>
          <w:rFonts w:ascii="Arial" w:hAnsi="Arial" w:cs="Arial"/>
          <w:sz w:val="24"/>
          <w:szCs w:val="24"/>
        </w:rPr>
        <w:t>Mr Tshikhudo on 8 October 2022</w:t>
      </w:r>
      <w:r w:rsidR="00C15B9E" w:rsidRPr="00E97F47">
        <w:rPr>
          <w:rFonts w:ascii="Arial" w:hAnsi="Arial" w:cs="Arial"/>
          <w:sz w:val="24"/>
          <w:szCs w:val="24"/>
        </w:rPr>
        <w:t xml:space="preserve">, emphasising the outstanding </w:t>
      </w:r>
      <w:r w:rsidR="00610EAF" w:rsidRPr="00E97F47">
        <w:rPr>
          <w:rFonts w:ascii="Arial" w:hAnsi="Arial" w:cs="Arial"/>
          <w:sz w:val="24"/>
          <w:szCs w:val="24"/>
        </w:rPr>
        <w:t xml:space="preserve">grievances and </w:t>
      </w:r>
      <w:r w:rsidR="002336ED" w:rsidRPr="00E97F47">
        <w:rPr>
          <w:rFonts w:ascii="Arial" w:hAnsi="Arial" w:cs="Arial"/>
          <w:sz w:val="24"/>
          <w:szCs w:val="24"/>
        </w:rPr>
        <w:t xml:space="preserve">warning that the applicant intended to </w:t>
      </w:r>
      <w:r w:rsidR="009B43E0" w:rsidRPr="00E97F47">
        <w:rPr>
          <w:rFonts w:ascii="Arial" w:hAnsi="Arial" w:cs="Arial"/>
          <w:sz w:val="24"/>
          <w:szCs w:val="24"/>
        </w:rPr>
        <w:t xml:space="preserve">take the </w:t>
      </w:r>
      <w:r w:rsidR="00431571" w:rsidRPr="00E97F47">
        <w:rPr>
          <w:rFonts w:ascii="Arial" w:hAnsi="Arial" w:cs="Arial"/>
          <w:sz w:val="24"/>
          <w:szCs w:val="24"/>
        </w:rPr>
        <w:t>respondent to court</w:t>
      </w:r>
      <w:r w:rsidR="00FE338A" w:rsidRPr="00E97F47">
        <w:rPr>
          <w:rFonts w:ascii="Arial" w:hAnsi="Arial" w:cs="Arial"/>
          <w:sz w:val="24"/>
          <w:szCs w:val="24"/>
        </w:rPr>
        <w:t>.</w:t>
      </w:r>
    </w:p>
    <w:p w14:paraId="4F4D8440" w14:textId="77777777" w:rsidR="00CD2A41" w:rsidRPr="00CD2A41" w:rsidRDefault="00CD2A41" w:rsidP="00CD2A41">
      <w:pPr>
        <w:pStyle w:val="ListParagraph"/>
        <w:rPr>
          <w:rFonts w:ascii="Arial" w:hAnsi="Arial" w:cs="Arial"/>
          <w:sz w:val="24"/>
          <w:szCs w:val="24"/>
        </w:rPr>
      </w:pPr>
    </w:p>
    <w:p w14:paraId="56B8F52F" w14:textId="25532858" w:rsidR="00CD2A41" w:rsidRPr="00E97F47" w:rsidRDefault="00E97F47" w:rsidP="00E97F47">
      <w:pPr>
        <w:spacing w:line="36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067912" w:rsidRPr="00E97F47">
        <w:rPr>
          <w:rFonts w:ascii="Arial" w:hAnsi="Arial" w:cs="Arial"/>
          <w:sz w:val="24"/>
          <w:szCs w:val="24"/>
        </w:rPr>
        <w:t xml:space="preserve">Despite </w:t>
      </w:r>
      <w:r w:rsidR="00FE338A" w:rsidRPr="00E97F47">
        <w:rPr>
          <w:rFonts w:ascii="Arial" w:hAnsi="Arial" w:cs="Arial"/>
          <w:sz w:val="24"/>
          <w:szCs w:val="24"/>
        </w:rPr>
        <w:t>Mr Tshikhudo</w:t>
      </w:r>
      <w:r w:rsidR="00067912" w:rsidRPr="00E97F47">
        <w:rPr>
          <w:rFonts w:ascii="Arial" w:hAnsi="Arial" w:cs="Arial"/>
          <w:sz w:val="24"/>
          <w:szCs w:val="24"/>
        </w:rPr>
        <w:t>’s</w:t>
      </w:r>
      <w:r w:rsidR="00FE338A" w:rsidRPr="00E97F47">
        <w:rPr>
          <w:rFonts w:ascii="Arial" w:hAnsi="Arial" w:cs="Arial"/>
          <w:sz w:val="24"/>
          <w:szCs w:val="24"/>
        </w:rPr>
        <w:t xml:space="preserve"> response</w:t>
      </w:r>
      <w:r w:rsidR="00067912" w:rsidRPr="00E97F47">
        <w:rPr>
          <w:rFonts w:ascii="Arial" w:hAnsi="Arial" w:cs="Arial"/>
          <w:sz w:val="24"/>
          <w:szCs w:val="24"/>
        </w:rPr>
        <w:t xml:space="preserve">, sent on 9 October 2022, the applicant </w:t>
      </w:r>
      <w:r w:rsidR="00CC4AD8" w:rsidRPr="00E97F47">
        <w:rPr>
          <w:rFonts w:ascii="Arial" w:hAnsi="Arial" w:cs="Arial"/>
          <w:sz w:val="24"/>
          <w:szCs w:val="24"/>
        </w:rPr>
        <w:t xml:space="preserve">resolved </w:t>
      </w:r>
      <w:r w:rsidR="00FE338A" w:rsidRPr="00E97F47">
        <w:rPr>
          <w:rFonts w:ascii="Arial" w:hAnsi="Arial" w:cs="Arial"/>
          <w:sz w:val="24"/>
          <w:szCs w:val="24"/>
        </w:rPr>
        <w:t xml:space="preserve">to </w:t>
      </w:r>
      <w:r w:rsidR="00431571" w:rsidRPr="00E97F47">
        <w:rPr>
          <w:rFonts w:ascii="Arial" w:hAnsi="Arial" w:cs="Arial"/>
          <w:sz w:val="24"/>
          <w:szCs w:val="24"/>
        </w:rPr>
        <w:t>commence legal proceedings</w:t>
      </w:r>
      <w:r w:rsidR="00C63A95" w:rsidRPr="00E97F47">
        <w:rPr>
          <w:rFonts w:ascii="Arial" w:hAnsi="Arial" w:cs="Arial"/>
          <w:sz w:val="24"/>
          <w:szCs w:val="24"/>
        </w:rPr>
        <w:t>. By this time, it had obtained information about the delegates</w:t>
      </w:r>
      <w:r w:rsidR="00522D83" w:rsidRPr="00E97F47">
        <w:rPr>
          <w:rFonts w:ascii="Arial" w:hAnsi="Arial" w:cs="Arial"/>
          <w:sz w:val="24"/>
          <w:szCs w:val="24"/>
        </w:rPr>
        <w:t>’ credentials</w:t>
      </w:r>
      <w:r w:rsidR="008E1307" w:rsidRPr="00E97F47">
        <w:rPr>
          <w:rFonts w:ascii="Arial" w:hAnsi="Arial" w:cs="Arial"/>
          <w:sz w:val="24"/>
          <w:szCs w:val="24"/>
        </w:rPr>
        <w:t xml:space="preserve">. The applicant alleged that </w:t>
      </w:r>
      <w:r w:rsidR="00EF6565" w:rsidRPr="00E97F47">
        <w:rPr>
          <w:rFonts w:ascii="Arial" w:hAnsi="Arial" w:cs="Arial"/>
          <w:sz w:val="24"/>
          <w:szCs w:val="24"/>
        </w:rPr>
        <w:t>several</w:t>
      </w:r>
      <w:r w:rsidR="009C448D" w:rsidRPr="00E97F47">
        <w:rPr>
          <w:rFonts w:ascii="Arial" w:hAnsi="Arial" w:cs="Arial"/>
          <w:sz w:val="24"/>
          <w:szCs w:val="24"/>
        </w:rPr>
        <w:t xml:space="preserve"> </w:t>
      </w:r>
      <w:r w:rsidR="008A3204" w:rsidRPr="00E97F47">
        <w:rPr>
          <w:rFonts w:ascii="Arial" w:hAnsi="Arial" w:cs="Arial"/>
          <w:sz w:val="24"/>
          <w:szCs w:val="24"/>
        </w:rPr>
        <w:t xml:space="preserve">delegates complained that </w:t>
      </w:r>
      <w:r w:rsidR="00373521" w:rsidRPr="00E97F47">
        <w:rPr>
          <w:rFonts w:ascii="Arial" w:hAnsi="Arial" w:cs="Arial"/>
          <w:sz w:val="24"/>
          <w:szCs w:val="24"/>
        </w:rPr>
        <w:t xml:space="preserve">their signatures had been forged and that they </w:t>
      </w:r>
      <w:r w:rsidR="00821144" w:rsidRPr="00E97F47">
        <w:rPr>
          <w:rFonts w:ascii="Arial" w:hAnsi="Arial" w:cs="Arial"/>
          <w:sz w:val="24"/>
          <w:szCs w:val="24"/>
        </w:rPr>
        <w:t xml:space="preserve">had not in fact been present </w:t>
      </w:r>
      <w:r w:rsidR="00EF6565" w:rsidRPr="00E97F47">
        <w:rPr>
          <w:rFonts w:ascii="Arial" w:hAnsi="Arial" w:cs="Arial"/>
          <w:sz w:val="24"/>
          <w:szCs w:val="24"/>
        </w:rPr>
        <w:t>at the meeting of the ISP.</w:t>
      </w:r>
      <w:r w:rsidR="00DF6EF4" w:rsidRPr="00E97F47">
        <w:rPr>
          <w:rFonts w:ascii="Arial" w:hAnsi="Arial" w:cs="Arial"/>
          <w:sz w:val="24"/>
          <w:szCs w:val="24"/>
        </w:rPr>
        <w:t xml:space="preserve"> This </w:t>
      </w:r>
      <w:r w:rsidR="00FF275C" w:rsidRPr="00E97F47">
        <w:rPr>
          <w:rFonts w:ascii="Arial" w:hAnsi="Arial" w:cs="Arial"/>
          <w:sz w:val="24"/>
          <w:szCs w:val="24"/>
        </w:rPr>
        <w:t xml:space="preserve">cast doubt, said Mr Siphatha, on the credibility of the meeting </w:t>
      </w:r>
      <w:r w:rsidR="00C208DA" w:rsidRPr="00E97F47">
        <w:rPr>
          <w:rFonts w:ascii="Arial" w:hAnsi="Arial" w:cs="Arial"/>
          <w:sz w:val="24"/>
          <w:szCs w:val="24"/>
        </w:rPr>
        <w:t>and the legitimacy of the election itself.</w:t>
      </w:r>
      <w:r w:rsidR="009857A6" w:rsidRPr="00E97F47">
        <w:rPr>
          <w:rFonts w:ascii="Arial" w:hAnsi="Arial" w:cs="Arial"/>
          <w:sz w:val="24"/>
          <w:szCs w:val="24"/>
        </w:rPr>
        <w:t xml:space="preserve"> The respondent had </w:t>
      </w:r>
      <w:r w:rsidR="001475E2" w:rsidRPr="00E97F47">
        <w:rPr>
          <w:rFonts w:ascii="Arial" w:hAnsi="Arial" w:cs="Arial"/>
          <w:sz w:val="24"/>
          <w:szCs w:val="24"/>
        </w:rPr>
        <w:t xml:space="preserve">done </w:t>
      </w:r>
      <w:r w:rsidR="009857A6" w:rsidRPr="00E97F47">
        <w:rPr>
          <w:rFonts w:ascii="Arial" w:hAnsi="Arial" w:cs="Arial"/>
          <w:sz w:val="24"/>
          <w:szCs w:val="24"/>
        </w:rPr>
        <w:t xml:space="preserve">nothing to </w:t>
      </w:r>
      <w:r w:rsidR="001475E2" w:rsidRPr="00E97F47">
        <w:rPr>
          <w:rFonts w:ascii="Arial" w:hAnsi="Arial" w:cs="Arial"/>
          <w:sz w:val="24"/>
          <w:szCs w:val="24"/>
        </w:rPr>
        <w:t>address such allegations.</w:t>
      </w:r>
    </w:p>
    <w:p w14:paraId="3A1C4BEB" w14:textId="77777777" w:rsidR="00CD2A41" w:rsidRPr="00CD2A41" w:rsidRDefault="00CD2A41" w:rsidP="00CD2A41">
      <w:pPr>
        <w:pStyle w:val="ListParagraph"/>
        <w:spacing w:line="360" w:lineRule="auto"/>
        <w:ind w:left="0"/>
        <w:jc w:val="both"/>
        <w:rPr>
          <w:rFonts w:ascii="Arial" w:hAnsi="Arial" w:cs="Arial"/>
          <w:sz w:val="24"/>
          <w:szCs w:val="24"/>
        </w:rPr>
      </w:pPr>
    </w:p>
    <w:p w14:paraId="4E95C091" w14:textId="620948F9" w:rsidR="00CD2A41" w:rsidRPr="00CD2A41" w:rsidRDefault="00116385" w:rsidP="00CD2A41">
      <w:pPr>
        <w:pStyle w:val="ListParagraph"/>
        <w:spacing w:line="360" w:lineRule="auto"/>
        <w:ind w:left="0"/>
        <w:jc w:val="both"/>
        <w:rPr>
          <w:rFonts w:ascii="Arial" w:hAnsi="Arial" w:cs="Arial"/>
          <w:sz w:val="24"/>
          <w:szCs w:val="24"/>
        </w:rPr>
      </w:pPr>
      <w:r w:rsidRPr="00CD2A41">
        <w:rPr>
          <w:rFonts w:ascii="Arial" w:hAnsi="Arial" w:cs="Arial"/>
          <w:i/>
          <w:iCs/>
          <w:sz w:val="24"/>
          <w:szCs w:val="24"/>
        </w:rPr>
        <w:t>Non-compliance with the Student Governance Constitution</w:t>
      </w:r>
      <w:r w:rsidR="00DC14DB" w:rsidRPr="00CD2A41">
        <w:rPr>
          <w:rFonts w:ascii="Arial" w:hAnsi="Arial" w:cs="Arial"/>
          <w:i/>
          <w:iCs/>
          <w:sz w:val="24"/>
          <w:szCs w:val="24"/>
        </w:rPr>
        <w:t xml:space="preserve"> </w:t>
      </w:r>
    </w:p>
    <w:p w14:paraId="1941718B" w14:textId="77777777" w:rsidR="00CD2A41" w:rsidRPr="00CD2A41" w:rsidRDefault="00CD2A41" w:rsidP="00CD2A41">
      <w:pPr>
        <w:pStyle w:val="ListParagraph"/>
        <w:spacing w:line="360" w:lineRule="auto"/>
        <w:ind w:left="0"/>
        <w:jc w:val="both"/>
        <w:rPr>
          <w:rFonts w:ascii="Arial" w:hAnsi="Arial" w:cs="Arial"/>
          <w:sz w:val="24"/>
          <w:szCs w:val="24"/>
        </w:rPr>
      </w:pPr>
    </w:p>
    <w:p w14:paraId="59563657" w14:textId="327983D0"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1E0D5C" w:rsidRPr="00E97F47">
        <w:rPr>
          <w:rFonts w:ascii="Arial" w:hAnsi="Arial" w:cs="Arial"/>
          <w:sz w:val="24"/>
          <w:szCs w:val="24"/>
        </w:rPr>
        <w:t xml:space="preserve">The applicant </w:t>
      </w:r>
      <w:r w:rsidR="00AE5B4E" w:rsidRPr="00E97F47">
        <w:rPr>
          <w:rFonts w:ascii="Arial" w:hAnsi="Arial" w:cs="Arial"/>
          <w:sz w:val="24"/>
          <w:szCs w:val="24"/>
        </w:rPr>
        <w:t>point</w:t>
      </w:r>
      <w:r w:rsidR="006E3C3D" w:rsidRPr="00E97F47">
        <w:rPr>
          <w:rFonts w:ascii="Arial" w:hAnsi="Arial" w:cs="Arial"/>
          <w:sz w:val="24"/>
          <w:szCs w:val="24"/>
        </w:rPr>
        <w:t>ed</w:t>
      </w:r>
      <w:r w:rsidR="00AE5B4E" w:rsidRPr="00E97F47">
        <w:rPr>
          <w:rFonts w:ascii="Arial" w:hAnsi="Arial" w:cs="Arial"/>
          <w:sz w:val="24"/>
          <w:szCs w:val="24"/>
        </w:rPr>
        <w:t xml:space="preserve"> out that section 7 </w:t>
      </w:r>
      <w:r w:rsidR="002B1C99" w:rsidRPr="00E97F47">
        <w:rPr>
          <w:rFonts w:ascii="Arial" w:hAnsi="Arial" w:cs="Arial"/>
          <w:sz w:val="24"/>
          <w:szCs w:val="24"/>
        </w:rPr>
        <w:t>of the respondent’s Student Govern</w:t>
      </w:r>
      <w:r w:rsidR="000335AF" w:rsidRPr="00E97F47">
        <w:rPr>
          <w:rFonts w:ascii="Arial" w:hAnsi="Arial" w:cs="Arial"/>
          <w:sz w:val="24"/>
          <w:szCs w:val="24"/>
        </w:rPr>
        <w:t>ance Constitution provide</w:t>
      </w:r>
      <w:r w:rsidR="00AC06A1" w:rsidRPr="00E97F47">
        <w:rPr>
          <w:rFonts w:ascii="Arial" w:hAnsi="Arial" w:cs="Arial"/>
          <w:sz w:val="24"/>
          <w:szCs w:val="24"/>
        </w:rPr>
        <w:t>d</w:t>
      </w:r>
      <w:r w:rsidR="000335AF" w:rsidRPr="00E97F47">
        <w:rPr>
          <w:rFonts w:ascii="Arial" w:hAnsi="Arial" w:cs="Arial"/>
          <w:sz w:val="24"/>
          <w:szCs w:val="24"/>
        </w:rPr>
        <w:t xml:space="preserve"> that </w:t>
      </w:r>
      <w:r w:rsidR="00E935B7" w:rsidRPr="00E97F47">
        <w:rPr>
          <w:rFonts w:ascii="Arial" w:hAnsi="Arial" w:cs="Arial"/>
          <w:sz w:val="24"/>
          <w:szCs w:val="24"/>
        </w:rPr>
        <w:t xml:space="preserve">the Dean of </w:t>
      </w:r>
      <w:r w:rsidR="00353B64" w:rsidRPr="00E97F47">
        <w:rPr>
          <w:rFonts w:ascii="Arial" w:hAnsi="Arial" w:cs="Arial"/>
          <w:sz w:val="24"/>
          <w:szCs w:val="24"/>
        </w:rPr>
        <w:t xml:space="preserve">Student Affairs </w:t>
      </w:r>
      <w:r w:rsidR="00AC06A1" w:rsidRPr="00E97F47">
        <w:rPr>
          <w:rFonts w:ascii="Arial" w:hAnsi="Arial" w:cs="Arial"/>
          <w:sz w:val="24"/>
          <w:szCs w:val="24"/>
        </w:rPr>
        <w:t>wa</w:t>
      </w:r>
      <w:r w:rsidR="00353B64" w:rsidRPr="00E97F47">
        <w:rPr>
          <w:rFonts w:ascii="Arial" w:hAnsi="Arial" w:cs="Arial"/>
          <w:sz w:val="24"/>
          <w:szCs w:val="24"/>
        </w:rPr>
        <w:t xml:space="preserve">s required to appoint the IEC, consisting of not more than </w:t>
      </w:r>
      <w:r w:rsidR="0006510F" w:rsidRPr="00E97F47">
        <w:rPr>
          <w:rFonts w:ascii="Arial" w:hAnsi="Arial" w:cs="Arial"/>
          <w:sz w:val="24"/>
          <w:szCs w:val="24"/>
        </w:rPr>
        <w:t>five members. This</w:t>
      </w:r>
      <w:r w:rsidR="00AC06A1" w:rsidRPr="00E97F47">
        <w:rPr>
          <w:rFonts w:ascii="Arial" w:hAnsi="Arial" w:cs="Arial"/>
          <w:sz w:val="24"/>
          <w:szCs w:val="24"/>
        </w:rPr>
        <w:t xml:space="preserve"> had to</w:t>
      </w:r>
      <w:r w:rsidR="0006510F" w:rsidRPr="00E97F47">
        <w:rPr>
          <w:rFonts w:ascii="Arial" w:hAnsi="Arial" w:cs="Arial"/>
          <w:sz w:val="24"/>
          <w:szCs w:val="24"/>
        </w:rPr>
        <w:t xml:space="preserve"> be done in consultation with the </w:t>
      </w:r>
      <w:r w:rsidR="00BF4C19" w:rsidRPr="00E97F47">
        <w:rPr>
          <w:rFonts w:ascii="Arial" w:hAnsi="Arial" w:cs="Arial"/>
          <w:sz w:val="24"/>
          <w:szCs w:val="24"/>
        </w:rPr>
        <w:t xml:space="preserve">ISP. </w:t>
      </w:r>
      <w:r w:rsidR="0005146C" w:rsidRPr="00E97F47">
        <w:rPr>
          <w:rFonts w:ascii="Arial" w:hAnsi="Arial" w:cs="Arial"/>
          <w:sz w:val="24"/>
          <w:szCs w:val="24"/>
        </w:rPr>
        <w:t xml:space="preserve">The role of the IEC </w:t>
      </w:r>
      <w:r w:rsidR="00AC06A1" w:rsidRPr="00E97F47">
        <w:rPr>
          <w:rFonts w:ascii="Arial" w:hAnsi="Arial" w:cs="Arial"/>
          <w:sz w:val="24"/>
          <w:szCs w:val="24"/>
        </w:rPr>
        <w:t>was</w:t>
      </w:r>
      <w:r w:rsidR="0005146C" w:rsidRPr="00E97F47">
        <w:rPr>
          <w:rFonts w:ascii="Arial" w:hAnsi="Arial" w:cs="Arial"/>
          <w:sz w:val="24"/>
          <w:szCs w:val="24"/>
        </w:rPr>
        <w:t xml:space="preserve"> to conduct the election of the SRC.</w:t>
      </w:r>
    </w:p>
    <w:p w14:paraId="6060FD1A" w14:textId="77777777" w:rsidR="00CD2A41" w:rsidRDefault="00CD2A41" w:rsidP="00CD2A41">
      <w:pPr>
        <w:pStyle w:val="ListParagraph"/>
        <w:spacing w:line="360" w:lineRule="auto"/>
        <w:ind w:left="0"/>
        <w:jc w:val="both"/>
        <w:rPr>
          <w:rFonts w:ascii="Arial" w:hAnsi="Arial" w:cs="Arial"/>
          <w:sz w:val="24"/>
          <w:szCs w:val="24"/>
        </w:rPr>
      </w:pPr>
    </w:p>
    <w:p w14:paraId="24114166" w14:textId="69047D36"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5146C" w:rsidRPr="00E97F47">
        <w:rPr>
          <w:rFonts w:ascii="Arial" w:hAnsi="Arial" w:cs="Arial"/>
          <w:sz w:val="24"/>
          <w:szCs w:val="24"/>
        </w:rPr>
        <w:t xml:space="preserve">Furthermore, section 7 </w:t>
      </w:r>
      <w:r w:rsidR="00C84E24" w:rsidRPr="00E97F47">
        <w:rPr>
          <w:rFonts w:ascii="Arial" w:hAnsi="Arial" w:cs="Arial"/>
          <w:sz w:val="24"/>
          <w:szCs w:val="24"/>
        </w:rPr>
        <w:t>stipulate</w:t>
      </w:r>
      <w:r w:rsidR="00AC06A1" w:rsidRPr="00E97F47">
        <w:rPr>
          <w:rFonts w:ascii="Arial" w:hAnsi="Arial" w:cs="Arial"/>
          <w:sz w:val="24"/>
          <w:szCs w:val="24"/>
        </w:rPr>
        <w:t>d</w:t>
      </w:r>
      <w:r w:rsidR="00C84E24" w:rsidRPr="00E97F47">
        <w:rPr>
          <w:rFonts w:ascii="Arial" w:hAnsi="Arial" w:cs="Arial"/>
          <w:sz w:val="24"/>
          <w:szCs w:val="24"/>
        </w:rPr>
        <w:t xml:space="preserve"> that the </w:t>
      </w:r>
      <w:r w:rsidR="00E30ADC" w:rsidRPr="00E97F47">
        <w:rPr>
          <w:rFonts w:ascii="Arial" w:hAnsi="Arial" w:cs="Arial"/>
          <w:sz w:val="24"/>
          <w:szCs w:val="24"/>
        </w:rPr>
        <w:t>Dean</w:t>
      </w:r>
      <w:r w:rsidR="00B32689" w:rsidRPr="00E97F47">
        <w:rPr>
          <w:rFonts w:ascii="Arial" w:hAnsi="Arial" w:cs="Arial"/>
          <w:sz w:val="24"/>
          <w:szCs w:val="24"/>
        </w:rPr>
        <w:t xml:space="preserve"> had to</w:t>
      </w:r>
      <w:r w:rsidR="00E30ADC" w:rsidRPr="00E97F47">
        <w:rPr>
          <w:rFonts w:ascii="Arial" w:hAnsi="Arial" w:cs="Arial"/>
          <w:sz w:val="24"/>
          <w:szCs w:val="24"/>
        </w:rPr>
        <w:t xml:space="preserve"> designate one of the members as the Chief Electoral Officer (‘CEO’)</w:t>
      </w:r>
      <w:r w:rsidR="007F78DD" w:rsidRPr="00E97F47">
        <w:rPr>
          <w:rFonts w:ascii="Arial" w:hAnsi="Arial" w:cs="Arial"/>
          <w:sz w:val="24"/>
          <w:szCs w:val="24"/>
        </w:rPr>
        <w:t xml:space="preserve">, also in consultation with the ISP. The CEO </w:t>
      </w:r>
      <w:r w:rsidR="00B32689" w:rsidRPr="00E97F47">
        <w:rPr>
          <w:rFonts w:ascii="Arial" w:hAnsi="Arial" w:cs="Arial"/>
          <w:sz w:val="24"/>
          <w:szCs w:val="24"/>
        </w:rPr>
        <w:t>wa</w:t>
      </w:r>
      <w:r w:rsidR="007F78DD" w:rsidRPr="00E97F47">
        <w:rPr>
          <w:rFonts w:ascii="Arial" w:hAnsi="Arial" w:cs="Arial"/>
          <w:sz w:val="24"/>
          <w:szCs w:val="24"/>
        </w:rPr>
        <w:t xml:space="preserve">s expected to coordinate </w:t>
      </w:r>
      <w:r w:rsidR="00200ECB" w:rsidRPr="00E97F47">
        <w:rPr>
          <w:rFonts w:ascii="Arial" w:hAnsi="Arial" w:cs="Arial"/>
          <w:sz w:val="24"/>
          <w:szCs w:val="24"/>
        </w:rPr>
        <w:t>the operations of the IEC.</w:t>
      </w:r>
    </w:p>
    <w:p w14:paraId="4506A5BE" w14:textId="77777777" w:rsidR="00CD2A41" w:rsidRPr="00CD2A41" w:rsidRDefault="00CD2A41" w:rsidP="00CD2A41">
      <w:pPr>
        <w:pStyle w:val="ListParagraph"/>
        <w:rPr>
          <w:rFonts w:ascii="Arial" w:hAnsi="Arial" w:cs="Arial"/>
          <w:sz w:val="24"/>
          <w:szCs w:val="24"/>
        </w:rPr>
      </w:pPr>
    </w:p>
    <w:p w14:paraId="70A42B79" w14:textId="340072EF"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446574" w:rsidRPr="00E97F47">
        <w:rPr>
          <w:rFonts w:ascii="Arial" w:hAnsi="Arial" w:cs="Arial"/>
          <w:sz w:val="24"/>
          <w:szCs w:val="24"/>
        </w:rPr>
        <w:t xml:space="preserve">Mr </w:t>
      </w:r>
      <w:r w:rsidR="007758E3" w:rsidRPr="00E97F47">
        <w:rPr>
          <w:rFonts w:ascii="Arial" w:hAnsi="Arial" w:cs="Arial"/>
          <w:sz w:val="24"/>
          <w:szCs w:val="24"/>
        </w:rPr>
        <w:t>Siphatha allege</w:t>
      </w:r>
      <w:r w:rsidR="00B32689" w:rsidRPr="00E97F47">
        <w:rPr>
          <w:rFonts w:ascii="Arial" w:hAnsi="Arial" w:cs="Arial"/>
          <w:sz w:val="24"/>
          <w:szCs w:val="24"/>
        </w:rPr>
        <w:t>d</w:t>
      </w:r>
      <w:r w:rsidR="007758E3" w:rsidRPr="00E97F47">
        <w:rPr>
          <w:rFonts w:ascii="Arial" w:hAnsi="Arial" w:cs="Arial"/>
          <w:sz w:val="24"/>
          <w:szCs w:val="24"/>
        </w:rPr>
        <w:t xml:space="preserve"> that </w:t>
      </w:r>
      <w:r w:rsidR="00FC37CE" w:rsidRPr="00E97F47">
        <w:rPr>
          <w:rFonts w:ascii="Arial" w:hAnsi="Arial" w:cs="Arial"/>
          <w:sz w:val="24"/>
          <w:szCs w:val="24"/>
        </w:rPr>
        <w:t xml:space="preserve">the </w:t>
      </w:r>
      <w:r w:rsidR="0012597C" w:rsidRPr="00E97F47">
        <w:rPr>
          <w:rFonts w:ascii="Arial" w:hAnsi="Arial" w:cs="Arial"/>
          <w:sz w:val="24"/>
          <w:szCs w:val="24"/>
        </w:rPr>
        <w:t xml:space="preserve">appointment of the IEC and the </w:t>
      </w:r>
      <w:r w:rsidR="00F73D5E" w:rsidRPr="00E97F47">
        <w:rPr>
          <w:rFonts w:ascii="Arial" w:hAnsi="Arial" w:cs="Arial"/>
          <w:sz w:val="24"/>
          <w:szCs w:val="24"/>
        </w:rPr>
        <w:t>designation of the CEO were considered at a meeting convened by the ISP S</w:t>
      </w:r>
      <w:r w:rsidR="00A54EA4" w:rsidRPr="00E97F47">
        <w:rPr>
          <w:rFonts w:ascii="Arial" w:hAnsi="Arial" w:cs="Arial"/>
          <w:sz w:val="24"/>
          <w:szCs w:val="24"/>
        </w:rPr>
        <w:t>ecretariat on 18 September 2022.</w:t>
      </w:r>
      <w:r w:rsidR="003C7129" w:rsidRPr="00E97F47">
        <w:rPr>
          <w:rFonts w:ascii="Arial" w:hAnsi="Arial" w:cs="Arial"/>
          <w:sz w:val="24"/>
          <w:szCs w:val="24"/>
        </w:rPr>
        <w:t xml:space="preserve"> </w:t>
      </w:r>
      <w:r w:rsidR="00901CFB" w:rsidRPr="00E97F47">
        <w:rPr>
          <w:rFonts w:ascii="Arial" w:hAnsi="Arial" w:cs="Arial"/>
          <w:sz w:val="24"/>
          <w:szCs w:val="24"/>
        </w:rPr>
        <w:t xml:space="preserve">The </w:t>
      </w:r>
      <w:r w:rsidR="0022271C" w:rsidRPr="00E97F47">
        <w:rPr>
          <w:rFonts w:ascii="Arial" w:hAnsi="Arial" w:cs="Arial"/>
          <w:sz w:val="24"/>
          <w:szCs w:val="24"/>
        </w:rPr>
        <w:t xml:space="preserve">process was not finalised because the </w:t>
      </w:r>
      <w:r w:rsidR="0022271C" w:rsidRPr="00E97F47">
        <w:rPr>
          <w:rFonts w:ascii="Arial" w:hAnsi="Arial" w:cs="Arial"/>
          <w:i/>
          <w:iCs/>
          <w:sz w:val="24"/>
          <w:szCs w:val="24"/>
        </w:rPr>
        <w:t>curricula vitae</w:t>
      </w:r>
      <w:r w:rsidR="0022271C" w:rsidRPr="00E97F47">
        <w:rPr>
          <w:rFonts w:ascii="Arial" w:hAnsi="Arial" w:cs="Arial"/>
          <w:sz w:val="24"/>
          <w:szCs w:val="24"/>
        </w:rPr>
        <w:t xml:space="preserve"> </w:t>
      </w:r>
      <w:r w:rsidR="00C30C47" w:rsidRPr="00E97F47">
        <w:rPr>
          <w:rFonts w:ascii="Arial" w:hAnsi="Arial" w:cs="Arial"/>
          <w:sz w:val="24"/>
          <w:szCs w:val="24"/>
        </w:rPr>
        <w:t xml:space="preserve">(‘CVs’) </w:t>
      </w:r>
      <w:r w:rsidR="0022271C" w:rsidRPr="00E97F47">
        <w:rPr>
          <w:rFonts w:ascii="Arial" w:hAnsi="Arial" w:cs="Arial"/>
          <w:sz w:val="24"/>
          <w:szCs w:val="24"/>
        </w:rPr>
        <w:t xml:space="preserve">for the </w:t>
      </w:r>
      <w:r w:rsidR="0058740A" w:rsidRPr="00E97F47">
        <w:rPr>
          <w:rFonts w:ascii="Arial" w:hAnsi="Arial" w:cs="Arial"/>
          <w:sz w:val="24"/>
          <w:szCs w:val="24"/>
        </w:rPr>
        <w:t>candidates still had to be verified. Notwithstanding, aver</w:t>
      </w:r>
      <w:r w:rsidR="00B32689" w:rsidRPr="00E97F47">
        <w:rPr>
          <w:rFonts w:ascii="Arial" w:hAnsi="Arial" w:cs="Arial"/>
          <w:sz w:val="24"/>
          <w:szCs w:val="24"/>
        </w:rPr>
        <w:t>red</w:t>
      </w:r>
      <w:r w:rsidR="0058740A" w:rsidRPr="00E97F47">
        <w:rPr>
          <w:rFonts w:ascii="Arial" w:hAnsi="Arial" w:cs="Arial"/>
          <w:sz w:val="24"/>
          <w:szCs w:val="24"/>
        </w:rPr>
        <w:t xml:space="preserve"> Mr Siphatha, </w:t>
      </w:r>
      <w:r w:rsidR="00BF49F4" w:rsidRPr="00E97F47">
        <w:rPr>
          <w:rFonts w:ascii="Arial" w:hAnsi="Arial" w:cs="Arial"/>
          <w:sz w:val="24"/>
          <w:szCs w:val="24"/>
        </w:rPr>
        <w:t>Mr Tshikh</w:t>
      </w:r>
      <w:r w:rsidR="0014160C" w:rsidRPr="00E97F47">
        <w:rPr>
          <w:rFonts w:ascii="Arial" w:hAnsi="Arial" w:cs="Arial"/>
          <w:sz w:val="24"/>
          <w:szCs w:val="24"/>
        </w:rPr>
        <w:t>udo</w:t>
      </w:r>
      <w:r w:rsidR="0058740A" w:rsidRPr="00E97F47">
        <w:rPr>
          <w:rFonts w:ascii="Arial" w:hAnsi="Arial" w:cs="Arial"/>
          <w:sz w:val="24"/>
          <w:szCs w:val="24"/>
        </w:rPr>
        <w:t xml:space="preserve"> unilaterally appointed the </w:t>
      </w:r>
      <w:r w:rsidR="003C10F0" w:rsidRPr="00E97F47">
        <w:rPr>
          <w:rFonts w:ascii="Arial" w:hAnsi="Arial" w:cs="Arial"/>
          <w:sz w:val="24"/>
          <w:szCs w:val="24"/>
        </w:rPr>
        <w:t xml:space="preserve">IEC and the CEO, without adhering to the </w:t>
      </w:r>
      <w:r w:rsidR="00F237DB" w:rsidRPr="00E97F47">
        <w:rPr>
          <w:rFonts w:ascii="Arial" w:hAnsi="Arial" w:cs="Arial"/>
          <w:sz w:val="24"/>
          <w:szCs w:val="24"/>
        </w:rPr>
        <w:t>applicable guidelines in relation to the composition of the IEC</w:t>
      </w:r>
      <w:r w:rsidR="00A95549" w:rsidRPr="00E97F47">
        <w:rPr>
          <w:rFonts w:ascii="Arial" w:hAnsi="Arial" w:cs="Arial"/>
          <w:sz w:val="24"/>
          <w:szCs w:val="24"/>
        </w:rPr>
        <w:t>,</w:t>
      </w:r>
      <w:r w:rsidR="00A95549">
        <w:rPr>
          <w:rStyle w:val="FootnoteReference"/>
          <w:rFonts w:ascii="Arial" w:hAnsi="Arial" w:cs="Arial"/>
          <w:sz w:val="24"/>
          <w:szCs w:val="24"/>
        </w:rPr>
        <w:footnoteReference w:id="1"/>
      </w:r>
      <w:r w:rsidR="00C30C47" w:rsidRPr="00E97F47">
        <w:rPr>
          <w:rFonts w:ascii="Arial" w:hAnsi="Arial" w:cs="Arial"/>
          <w:sz w:val="24"/>
          <w:szCs w:val="24"/>
        </w:rPr>
        <w:t xml:space="preserve"> and without allowing for the verification of the CVs to be completed.</w:t>
      </w:r>
    </w:p>
    <w:p w14:paraId="6524B28C" w14:textId="77777777" w:rsidR="00CD2A41" w:rsidRPr="00CD2A41" w:rsidRDefault="00CD2A41" w:rsidP="00CD2A41">
      <w:pPr>
        <w:pStyle w:val="ListParagraph"/>
        <w:rPr>
          <w:rFonts w:ascii="Arial" w:hAnsi="Arial" w:cs="Arial"/>
          <w:sz w:val="24"/>
          <w:szCs w:val="24"/>
        </w:rPr>
      </w:pPr>
    </w:p>
    <w:p w14:paraId="28ED6445" w14:textId="790CAA7D"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9B3244" w:rsidRPr="00E97F47">
        <w:rPr>
          <w:rFonts w:ascii="Arial" w:hAnsi="Arial" w:cs="Arial"/>
          <w:sz w:val="24"/>
          <w:szCs w:val="24"/>
        </w:rPr>
        <w:t>The respondent ha</w:t>
      </w:r>
      <w:r w:rsidR="00002404" w:rsidRPr="00E97F47">
        <w:rPr>
          <w:rFonts w:ascii="Arial" w:hAnsi="Arial" w:cs="Arial"/>
          <w:sz w:val="24"/>
          <w:szCs w:val="24"/>
        </w:rPr>
        <w:t>d</w:t>
      </w:r>
      <w:r w:rsidR="009B3244" w:rsidRPr="00E97F47">
        <w:rPr>
          <w:rFonts w:ascii="Arial" w:hAnsi="Arial" w:cs="Arial"/>
          <w:sz w:val="24"/>
          <w:szCs w:val="24"/>
        </w:rPr>
        <w:t xml:space="preserve"> </w:t>
      </w:r>
      <w:r w:rsidR="008C1174" w:rsidRPr="00E97F47">
        <w:rPr>
          <w:rFonts w:ascii="Arial" w:hAnsi="Arial" w:cs="Arial"/>
          <w:sz w:val="24"/>
          <w:szCs w:val="24"/>
        </w:rPr>
        <w:t>failed to deal with the applicant’s grievances, contended Mr Siphatha.</w:t>
      </w:r>
      <w:r w:rsidR="00FF662B" w:rsidRPr="00E97F47">
        <w:rPr>
          <w:rFonts w:ascii="Arial" w:hAnsi="Arial" w:cs="Arial"/>
          <w:sz w:val="24"/>
          <w:szCs w:val="24"/>
        </w:rPr>
        <w:t xml:space="preserve"> Moreover, lying at the core of many of the disputes between the parties was the respondent’s failure to </w:t>
      </w:r>
      <w:r w:rsidR="00B82FD6" w:rsidRPr="00E97F47">
        <w:rPr>
          <w:rFonts w:ascii="Arial" w:hAnsi="Arial" w:cs="Arial"/>
          <w:sz w:val="24"/>
          <w:szCs w:val="24"/>
        </w:rPr>
        <w:t>have facilitated the review of the Student Governance Constitution.</w:t>
      </w:r>
    </w:p>
    <w:p w14:paraId="1FBD48B7" w14:textId="77777777" w:rsidR="00CD2A41" w:rsidRPr="00CD2A41" w:rsidRDefault="00CD2A41" w:rsidP="00CD2A41">
      <w:pPr>
        <w:pStyle w:val="ListParagraph"/>
        <w:rPr>
          <w:rFonts w:ascii="Arial" w:hAnsi="Arial" w:cs="Arial"/>
          <w:sz w:val="24"/>
          <w:szCs w:val="24"/>
        </w:rPr>
      </w:pPr>
    </w:p>
    <w:p w14:paraId="362C8581" w14:textId="77777777" w:rsidR="00CD2A41" w:rsidRPr="00CD2A41" w:rsidRDefault="00CD2A41" w:rsidP="00CD2A41">
      <w:pPr>
        <w:pStyle w:val="ListParagraph"/>
        <w:rPr>
          <w:rFonts w:ascii="Arial" w:hAnsi="Arial" w:cs="Arial"/>
          <w:b/>
          <w:bCs/>
          <w:sz w:val="24"/>
          <w:szCs w:val="24"/>
        </w:rPr>
      </w:pPr>
    </w:p>
    <w:p w14:paraId="06EFFF81" w14:textId="77777777" w:rsidR="00CD2A41" w:rsidRPr="00CD2A41" w:rsidRDefault="009B08A2" w:rsidP="00CD2A41">
      <w:pPr>
        <w:pStyle w:val="ListParagraph"/>
        <w:spacing w:line="360" w:lineRule="auto"/>
        <w:ind w:left="0"/>
        <w:jc w:val="both"/>
        <w:rPr>
          <w:rFonts w:ascii="Arial" w:hAnsi="Arial" w:cs="Arial"/>
          <w:sz w:val="24"/>
          <w:szCs w:val="24"/>
        </w:rPr>
      </w:pPr>
      <w:r w:rsidRPr="00CD2A41">
        <w:rPr>
          <w:rFonts w:ascii="Arial" w:hAnsi="Arial" w:cs="Arial"/>
          <w:b/>
          <w:bCs/>
          <w:sz w:val="24"/>
          <w:szCs w:val="24"/>
        </w:rPr>
        <w:t>The respondent’s opposition</w:t>
      </w:r>
    </w:p>
    <w:p w14:paraId="1C289D0D" w14:textId="77777777" w:rsidR="00CD2A41" w:rsidRPr="00CD2A41" w:rsidRDefault="00CD2A41" w:rsidP="00CD2A41">
      <w:pPr>
        <w:pStyle w:val="ListParagraph"/>
        <w:spacing w:line="360" w:lineRule="auto"/>
        <w:ind w:left="0"/>
        <w:jc w:val="both"/>
        <w:rPr>
          <w:rFonts w:ascii="Arial" w:hAnsi="Arial" w:cs="Arial"/>
          <w:sz w:val="24"/>
          <w:szCs w:val="24"/>
        </w:rPr>
      </w:pPr>
    </w:p>
    <w:p w14:paraId="435AB9E9" w14:textId="2D77476E"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D0C01" w:rsidRPr="00E97F47">
        <w:rPr>
          <w:rFonts w:ascii="Arial" w:hAnsi="Arial" w:cs="Arial"/>
          <w:sz w:val="24"/>
          <w:szCs w:val="24"/>
        </w:rPr>
        <w:t xml:space="preserve">The </w:t>
      </w:r>
      <w:r w:rsidR="00BE484B" w:rsidRPr="00E97F47">
        <w:rPr>
          <w:rFonts w:ascii="Arial" w:hAnsi="Arial" w:cs="Arial"/>
          <w:sz w:val="24"/>
          <w:szCs w:val="24"/>
        </w:rPr>
        <w:t>Deputy Registrar</w:t>
      </w:r>
      <w:r w:rsidR="0052372C" w:rsidRPr="00E97F47">
        <w:rPr>
          <w:rFonts w:ascii="Arial" w:hAnsi="Arial" w:cs="Arial"/>
          <w:sz w:val="24"/>
          <w:szCs w:val="24"/>
        </w:rPr>
        <w:t xml:space="preserve">: Governance and Legal Affairs, Ms Ntibi Maepa, deposed to </w:t>
      </w:r>
      <w:r w:rsidR="007B6FD9" w:rsidRPr="00E97F47">
        <w:rPr>
          <w:rFonts w:ascii="Arial" w:hAnsi="Arial" w:cs="Arial"/>
          <w:sz w:val="24"/>
          <w:szCs w:val="24"/>
        </w:rPr>
        <w:t xml:space="preserve">the respondent’s </w:t>
      </w:r>
      <w:r w:rsidR="0052372C" w:rsidRPr="00E97F47">
        <w:rPr>
          <w:rFonts w:ascii="Arial" w:hAnsi="Arial" w:cs="Arial"/>
          <w:sz w:val="24"/>
          <w:szCs w:val="24"/>
        </w:rPr>
        <w:t>answering affidavit. The</w:t>
      </w:r>
      <w:r w:rsidR="007B6FD9" w:rsidRPr="00E97F47">
        <w:rPr>
          <w:rFonts w:ascii="Arial" w:hAnsi="Arial" w:cs="Arial"/>
          <w:sz w:val="24"/>
          <w:szCs w:val="24"/>
        </w:rPr>
        <w:t xml:space="preserve"> </w:t>
      </w:r>
      <w:r w:rsidR="007D0C01" w:rsidRPr="00E97F47">
        <w:rPr>
          <w:rFonts w:ascii="Arial" w:hAnsi="Arial" w:cs="Arial"/>
          <w:sz w:val="24"/>
          <w:szCs w:val="24"/>
        </w:rPr>
        <w:t xml:space="preserve">respondent </w:t>
      </w:r>
      <w:r w:rsidR="00B45D76" w:rsidRPr="00E97F47">
        <w:rPr>
          <w:rFonts w:ascii="Arial" w:hAnsi="Arial" w:cs="Arial"/>
          <w:sz w:val="24"/>
          <w:szCs w:val="24"/>
        </w:rPr>
        <w:t>opposed the application on four principal grounds.</w:t>
      </w:r>
      <w:r w:rsidR="00914303" w:rsidRPr="00E97F47">
        <w:rPr>
          <w:rFonts w:ascii="Arial" w:hAnsi="Arial" w:cs="Arial"/>
          <w:sz w:val="24"/>
          <w:szCs w:val="24"/>
        </w:rPr>
        <w:t xml:space="preserve"> </w:t>
      </w:r>
    </w:p>
    <w:p w14:paraId="6A95425A" w14:textId="11586DFB"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914303" w:rsidRPr="00E97F47">
        <w:rPr>
          <w:rFonts w:ascii="Arial" w:hAnsi="Arial" w:cs="Arial"/>
          <w:sz w:val="24"/>
          <w:szCs w:val="24"/>
        </w:rPr>
        <w:t xml:space="preserve">The first </w:t>
      </w:r>
      <w:r w:rsidR="00A666EC" w:rsidRPr="00E97F47">
        <w:rPr>
          <w:rFonts w:ascii="Arial" w:hAnsi="Arial" w:cs="Arial"/>
          <w:sz w:val="24"/>
          <w:szCs w:val="24"/>
        </w:rPr>
        <w:t xml:space="preserve">was that the urgency alleged by the applicant was self-created. The </w:t>
      </w:r>
      <w:r w:rsidR="00C434CF" w:rsidRPr="00E97F47">
        <w:rPr>
          <w:rFonts w:ascii="Arial" w:hAnsi="Arial" w:cs="Arial"/>
          <w:sz w:val="24"/>
          <w:szCs w:val="24"/>
        </w:rPr>
        <w:t xml:space="preserve">meetings that had given rise to the application </w:t>
      </w:r>
      <w:r w:rsidR="003D2975" w:rsidRPr="00E97F47">
        <w:rPr>
          <w:rFonts w:ascii="Arial" w:hAnsi="Arial" w:cs="Arial"/>
          <w:sz w:val="24"/>
          <w:szCs w:val="24"/>
        </w:rPr>
        <w:t xml:space="preserve">took place on 18 September and 1 October 2022, respectively. The applicant had waited until </w:t>
      </w:r>
      <w:r w:rsidR="00287283" w:rsidRPr="00E97F47">
        <w:rPr>
          <w:rFonts w:ascii="Arial" w:hAnsi="Arial" w:cs="Arial"/>
          <w:sz w:val="24"/>
          <w:szCs w:val="24"/>
        </w:rPr>
        <w:t>13 October 2022 before instituting proceedings.</w:t>
      </w:r>
    </w:p>
    <w:p w14:paraId="7D94D017" w14:textId="77777777" w:rsidR="00CD2A41" w:rsidRDefault="00CD2A41" w:rsidP="00CD2A41">
      <w:pPr>
        <w:pStyle w:val="ListParagraph"/>
        <w:spacing w:line="360" w:lineRule="auto"/>
        <w:ind w:left="0"/>
        <w:jc w:val="both"/>
        <w:rPr>
          <w:rFonts w:ascii="Arial" w:hAnsi="Arial" w:cs="Arial"/>
          <w:sz w:val="24"/>
          <w:szCs w:val="24"/>
        </w:rPr>
      </w:pPr>
    </w:p>
    <w:p w14:paraId="43A565A4" w14:textId="368A5FC2"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E05E7" w:rsidRPr="00E97F47">
        <w:rPr>
          <w:rFonts w:ascii="Arial" w:hAnsi="Arial" w:cs="Arial"/>
          <w:sz w:val="24"/>
          <w:szCs w:val="24"/>
        </w:rPr>
        <w:t xml:space="preserve">The second was that </w:t>
      </w:r>
      <w:r w:rsidR="001E5670" w:rsidRPr="00E97F47">
        <w:rPr>
          <w:rFonts w:ascii="Arial" w:hAnsi="Arial" w:cs="Arial"/>
          <w:sz w:val="24"/>
          <w:szCs w:val="24"/>
        </w:rPr>
        <w:t xml:space="preserve">the relief sought by the applicant was contradictory. It sought, on the one hand, that the </w:t>
      </w:r>
      <w:r w:rsidR="00483CBA" w:rsidRPr="00E97F47">
        <w:rPr>
          <w:rFonts w:ascii="Arial" w:hAnsi="Arial" w:cs="Arial"/>
          <w:sz w:val="24"/>
          <w:szCs w:val="24"/>
        </w:rPr>
        <w:t xml:space="preserve">election </w:t>
      </w:r>
      <w:r w:rsidR="004A64DA" w:rsidRPr="00E97F47">
        <w:rPr>
          <w:rFonts w:ascii="Arial" w:hAnsi="Arial" w:cs="Arial"/>
          <w:sz w:val="24"/>
          <w:szCs w:val="24"/>
        </w:rPr>
        <w:t xml:space="preserve">be postponed, pending an investigation into the lawfulness of the meeting of the ISP on </w:t>
      </w:r>
      <w:r w:rsidR="00BE0865" w:rsidRPr="00E97F47">
        <w:rPr>
          <w:rFonts w:ascii="Arial" w:hAnsi="Arial" w:cs="Arial"/>
          <w:sz w:val="24"/>
          <w:szCs w:val="24"/>
        </w:rPr>
        <w:t>1 October 2022</w:t>
      </w:r>
      <w:r w:rsidR="00906B34" w:rsidRPr="00E97F47">
        <w:rPr>
          <w:rFonts w:ascii="Arial" w:hAnsi="Arial" w:cs="Arial"/>
          <w:sz w:val="24"/>
          <w:szCs w:val="24"/>
        </w:rPr>
        <w:t xml:space="preserve">; </w:t>
      </w:r>
      <w:r w:rsidR="00302F1B" w:rsidRPr="00E97F47">
        <w:rPr>
          <w:rFonts w:ascii="Arial" w:hAnsi="Arial" w:cs="Arial"/>
          <w:sz w:val="24"/>
          <w:szCs w:val="24"/>
        </w:rPr>
        <w:t xml:space="preserve">it sought, on the other hand, that the election process be commenced </w:t>
      </w:r>
      <w:r w:rsidR="00302F1B" w:rsidRPr="00E97F47">
        <w:rPr>
          <w:rFonts w:ascii="Arial" w:hAnsi="Arial" w:cs="Arial"/>
          <w:i/>
          <w:iCs/>
          <w:sz w:val="24"/>
          <w:szCs w:val="24"/>
        </w:rPr>
        <w:t>de novo</w:t>
      </w:r>
      <w:r w:rsidR="00302F1B" w:rsidRPr="00E97F47">
        <w:rPr>
          <w:rFonts w:ascii="Arial" w:hAnsi="Arial" w:cs="Arial"/>
          <w:sz w:val="24"/>
          <w:szCs w:val="24"/>
        </w:rPr>
        <w:t>.</w:t>
      </w:r>
    </w:p>
    <w:p w14:paraId="3B39234A" w14:textId="77777777" w:rsidR="00CD2A41" w:rsidRPr="00CD2A41" w:rsidRDefault="00CD2A41" w:rsidP="00CD2A41">
      <w:pPr>
        <w:pStyle w:val="ListParagraph"/>
        <w:rPr>
          <w:rFonts w:ascii="Arial" w:hAnsi="Arial" w:cs="Arial"/>
          <w:sz w:val="24"/>
          <w:szCs w:val="24"/>
        </w:rPr>
      </w:pPr>
    </w:p>
    <w:p w14:paraId="6E8BEA33" w14:textId="29287DFB"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302F1B" w:rsidRPr="00E97F47">
        <w:rPr>
          <w:rFonts w:ascii="Arial" w:hAnsi="Arial" w:cs="Arial"/>
          <w:sz w:val="24"/>
          <w:szCs w:val="24"/>
        </w:rPr>
        <w:t xml:space="preserve">The third was that </w:t>
      </w:r>
      <w:r w:rsidR="00B84A69" w:rsidRPr="00E97F47">
        <w:rPr>
          <w:rFonts w:ascii="Arial" w:hAnsi="Arial" w:cs="Arial"/>
          <w:sz w:val="24"/>
          <w:szCs w:val="24"/>
        </w:rPr>
        <w:t xml:space="preserve">the relief sought in relation </w:t>
      </w:r>
      <w:r w:rsidR="00896A87" w:rsidRPr="00E97F47">
        <w:rPr>
          <w:rFonts w:ascii="Arial" w:hAnsi="Arial" w:cs="Arial"/>
          <w:sz w:val="24"/>
          <w:szCs w:val="24"/>
        </w:rPr>
        <w:t xml:space="preserve">to the interdicting of the </w:t>
      </w:r>
      <w:r w:rsidR="006E0868" w:rsidRPr="00E97F47">
        <w:rPr>
          <w:rFonts w:ascii="Arial" w:hAnsi="Arial" w:cs="Arial"/>
          <w:sz w:val="24"/>
          <w:szCs w:val="24"/>
        </w:rPr>
        <w:t xml:space="preserve">election had become moot because the respondent </w:t>
      </w:r>
      <w:r w:rsidR="00CD7A8C" w:rsidRPr="00E97F47">
        <w:rPr>
          <w:rFonts w:ascii="Arial" w:hAnsi="Arial" w:cs="Arial"/>
          <w:sz w:val="24"/>
          <w:szCs w:val="24"/>
        </w:rPr>
        <w:t xml:space="preserve">had placed the </w:t>
      </w:r>
      <w:r w:rsidR="00911C24" w:rsidRPr="00E97F47">
        <w:rPr>
          <w:rFonts w:ascii="Arial" w:hAnsi="Arial" w:cs="Arial"/>
          <w:sz w:val="24"/>
          <w:szCs w:val="24"/>
        </w:rPr>
        <w:t>process on hold</w:t>
      </w:r>
      <w:r w:rsidR="00AB6A71" w:rsidRPr="00E97F47">
        <w:rPr>
          <w:rFonts w:ascii="Arial" w:hAnsi="Arial" w:cs="Arial"/>
          <w:sz w:val="24"/>
          <w:szCs w:val="24"/>
        </w:rPr>
        <w:t>. The applicant, contend</w:t>
      </w:r>
      <w:r w:rsidR="002E2664" w:rsidRPr="00E97F47">
        <w:rPr>
          <w:rFonts w:ascii="Arial" w:hAnsi="Arial" w:cs="Arial"/>
          <w:sz w:val="24"/>
          <w:szCs w:val="24"/>
        </w:rPr>
        <w:t>ed</w:t>
      </w:r>
      <w:r w:rsidR="00AB6A71" w:rsidRPr="00E97F47">
        <w:rPr>
          <w:rFonts w:ascii="Arial" w:hAnsi="Arial" w:cs="Arial"/>
          <w:sz w:val="24"/>
          <w:szCs w:val="24"/>
        </w:rPr>
        <w:t xml:space="preserve"> the respondent, had been aware of this </w:t>
      </w:r>
      <w:r w:rsidR="002C0D50" w:rsidRPr="00E97F47">
        <w:rPr>
          <w:rFonts w:ascii="Arial" w:hAnsi="Arial" w:cs="Arial"/>
          <w:sz w:val="24"/>
          <w:szCs w:val="24"/>
        </w:rPr>
        <w:t>likelihood prior to the launching of the application.</w:t>
      </w:r>
      <w:r w:rsidR="0072751B" w:rsidRPr="00E97F47">
        <w:rPr>
          <w:rFonts w:ascii="Arial" w:hAnsi="Arial" w:cs="Arial"/>
          <w:sz w:val="24"/>
          <w:szCs w:val="24"/>
        </w:rPr>
        <w:t xml:space="preserve"> </w:t>
      </w:r>
      <w:r w:rsidR="00321F38" w:rsidRPr="00E97F47">
        <w:rPr>
          <w:rFonts w:ascii="Arial" w:hAnsi="Arial" w:cs="Arial"/>
          <w:sz w:val="24"/>
          <w:szCs w:val="24"/>
        </w:rPr>
        <w:t xml:space="preserve">Ms </w:t>
      </w:r>
      <w:r w:rsidR="00437775" w:rsidRPr="00E97F47">
        <w:rPr>
          <w:rFonts w:ascii="Arial" w:hAnsi="Arial" w:cs="Arial"/>
          <w:sz w:val="24"/>
          <w:szCs w:val="24"/>
        </w:rPr>
        <w:t xml:space="preserve">Maepa had informed the applicant’s representatives of a meeting </w:t>
      </w:r>
      <w:r w:rsidR="00304F82" w:rsidRPr="00E97F47">
        <w:rPr>
          <w:rFonts w:ascii="Arial" w:hAnsi="Arial" w:cs="Arial"/>
          <w:sz w:val="24"/>
          <w:szCs w:val="24"/>
        </w:rPr>
        <w:t>conven</w:t>
      </w:r>
      <w:r w:rsidR="00437775" w:rsidRPr="00E97F47">
        <w:rPr>
          <w:rFonts w:ascii="Arial" w:hAnsi="Arial" w:cs="Arial"/>
          <w:sz w:val="24"/>
          <w:szCs w:val="24"/>
        </w:rPr>
        <w:t xml:space="preserve">ed for </w:t>
      </w:r>
      <w:r w:rsidR="00304F82" w:rsidRPr="00E97F47">
        <w:rPr>
          <w:rFonts w:ascii="Arial" w:hAnsi="Arial" w:cs="Arial"/>
          <w:sz w:val="24"/>
          <w:szCs w:val="24"/>
        </w:rPr>
        <w:t xml:space="preserve">12 October 2022, </w:t>
      </w:r>
      <w:r w:rsidR="00D079D5" w:rsidRPr="00E97F47">
        <w:rPr>
          <w:rFonts w:ascii="Arial" w:hAnsi="Arial" w:cs="Arial"/>
          <w:sz w:val="24"/>
          <w:szCs w:val="24"/>
        </w:rPr>
        <w:t xml:space="preserve">at which an election status update would be </w:t>
      </w:r>
      <w:r w:rsidR="008A3F60" w:rsidRPr="00E97F47">
        <w:rPr>
          <w:rFonts w:ascii="Arial" w:hAnsi="Arial" w:cs="Arial"/>
          <w:sz w:val="24"/>
          <w:szCs w:val="24"/>
        </w:rPr>
        <w:t>presented,</w:t>
      </w:r>
      <w:r w:rsidR="00D079D5" w:rsidRPr="00E97F47">
        <w:rPr>
          <w:rFonts w:ascii="Arial" w:hAnsi="Arial" w:cs="Arial"/>
          <w:sz w:val="24"/>
          <w:szCs w:val="24"/>
        </w:rPr>
        <w:t xml:space="preserve"> and </w:t>
      </w:r>
      <w:r w:rsidR="00E94716" w:rsidRPr="00E97F47">
        <w:rPr>
          <w:rFonts w:ascii="Arial" w:hAnsi="Arial" w:cs="Arial"/>
          <w:sz w:val="24"/>
          <w:szCs w:val="24"/>
        </w:rPr>
        <w:t xml:space="preserve">the applicant’s grievances would be addressed. </w:t>
      </w:r>
      <w:r w:rsidR="008A3F60" w:rsidRPr="00E97F47">
        <w:rPr>
          <w:rFonts w:ascii="Arial" w:hAnsi="Arial" w:cs="Arial"/>
          <w:sz w:val="24"/>
          <w:szCs w:val="24"/>
        </w:rPr>
        <w:t xml:space="preserve">The </w:t>
      </w:r>
      <w:r w:rsidR="004823F4" w:rsidRPr="00E97F47">
        <w:rPr>
          <w:rFonts w:ascii="Arial" w:hAnsi="Arial" w:cs="Arial"/>
          <w:sz w:val="24"/>
          <w:szCs w:val="24"/>
        </w:rPr>
        <w:t>applicant had been represented at the meeting</w:t>
      </w:r>
      <w:r w:rsidR="004B1746" w:rsidRPr="00E97F47">
        <w:rPr>
          <w:rFonts w:ascii="Arial" w:hAnsi="Arial" w:cs="Arial"/>
          <w:sz w:val="24"/>
          <w:szCs w:val="24"/>
        </w:rPr>
        <w:t xml:space="preserve">. </w:t>
      </w:r>
      <w:r w:rsidR="00421394" w:rsidRPr="00E97F47">
        <w:rPr>
          <w:rFonts w:ascii="Arial" w:hAnsi="Arial" w:cs="Arial"/>
          <w:sz w:val="24"/>
          <w:szCs w:val="24"/>
        </w:rPr>
        <w:t xml:space="preserve">The Dean of Student Affairs </w:t>
      </w:r>
      <w:r w:rsidR="002E2664" w:rsidRPr="00E97F47">
        <w:rPr>
          <w:rFonts w:ascii="Arial" w:hAnsi="Arial" w:cs="Arial"/>
          <w:sz w:val="24"/>
          <w:szCs w:val="24"/>
        </w:rPr>
        <w:t xml:space="preserve">had indicated </w:t>
      </w:r>
      <w:r w:rsidR="003539AD" w:rsidRPr="00E97F47">
        <w:rPr>
          <w:rFonts w:ascii="Arial" w:hAnsi="Arial" w:cs="Arial"/>
          <w:sz w:val="24"/>
          <w:szCs w:val="24"/>
        </w:rPr>
        <w:t xml:space="preserve">at the meeting that he would </w:t>
      </w:r>
      <w:r w:rsidR="003539AD" w:rsidRPr="00E97F47">
        <w:rPr>
          <w:rFonts w:ascii="Arial" w:hAnsi="Arial" w:cs="Arial"/>
          <w:sz w:val="24"/>
          <w:szCs w:val="24"/>
        </w:rPr>
        <w:lastRenderedPageBreak/>
        <w:t xml:space="preserve">request </w:t>
      </w:r>
      <w:r w:rsidR="006C38BA" w:rsidRPr="00E97F47">
        <w:rPr>
          <w:rFonts w:ascii="Arial" w:hAnsi="Arial" w:cs="Arial"/>
          <w:sz w:val="24"/>
          <w:szCs w:val="24"/>
        </w:rPr>
        <w:t xml:space="preserve">the respondent’s Management Executive Committee (‘MEC’) </w:t>
      </w:r>
      <w:r w:rsidR="00EA0934" w:rsidRPr="00E97F47">
        <w:rPr>
          <w:rFonts w:ascii="Arial" w:hAnsi="Arial" w:cs="Arial"/>
          <w:sz w:val="24"/>
          <w:szCs w:val="24"/>
        </w:rPr>
        <w:t>that the election be postponed</w:t>
      </w:r>
      <w:r w:rsidR="006C38BA" w:rsidRPr="00E97F47">
        <w:rPr>
          <w:rFonts w:ascii="Arial" w:hAnsi="Arial" w:cs="Arial"/>
          <w:sz w:val="24"/>
          <w:szCs w:val="24"/>
        </w:rPr>
        <w:t xml:space="preserve">. </w:t>
      </w:r>
      <w:r w:rsidR="00A26455" w:rsidRPr="00E97F47">
        <w:rPr>
          <w:rFonts w:ascii="Arial" w:hAnsi="Arial" w:cs="Arial"/>
          <w:sz w:val="24"/>
          <w:szCs w:val="24"/>
        </w:rPr>
        <w:t xml:space="preserve">Early on the morning of 14 October 2022, </w:t>
      </w:r>
      <w:r w:rsidR="006C38BA" w:rsidRPr="00E97F47">
        <w:rPr>
          <w:rFonts w:ascii="Arial" w:hAnsi="Arial" w:cs="Arial"/>
          <w:sz w:val="24"/>
          <w:szCs w:val="24"/>
        </w:rPr>
        <w:t xml:space="preserve">the MEC </w:t>
      </w:r>
      <w:r w:rsidR="00CD319A" w:rsidRPr="00E97F47">
        <w:rPr>
          <w:rFonts w:ascii="Arial" w:hAnsi="Arial" w:cs="Arial"/>
          <w:sz w:val="24"/>
          <w:szCs w:val="24"/>
        </w:rPr>
        <w:t xml:space="preserve">approved </w:t>
      </w:r>
      <w:r w:rsidR="006C38BA" w:rsidRPr="00E97F47">
        <w:rPr>
          <w:rFonts w:ascii="Arial" w:hAnsi="Arial" w:cs="Arial"/>
          <w:sz w:val="24"/>
          <w:szCs w:val="24"/>
        </w:rPr>
        <w:t xml:space="preserve">Mr </w:t>
      </w:r>
      <w:r w:rsidR="0014160C" w:rsidRPr="00E97F47">
        <w:rPr>
          <w:rFonts w:ascii="Arial" w:hAnsi="Arial" w:cs="Arial"/>
          <w:sz w:val="24"/>
          <w:szCs w:val="24"/>
        </w:rPr>
        <w:t xml:space="preserve">Tshikhudo’s </w:t>
      </w:r>
      <w:r w:rsidR="00CD319A" w:rsidRPr="00E97F47">
        <w:rPr>
          <w:rFonts w:ascii="Arial" w:hAnsi="Arial" w:cs="Arial"/>
          <w:sz w:val="24"/>
          <w:szCs w:val="24"/>
        </w:rPr>
        <w:t>request</w:t>
      </w:r>
      <w:r w:rsidR="0014160C" w:rsidRPr="00E97F47">
        <w:rPr>
          <w:rFonts w:ascii="Arial" w:hAnsi="Arial" w:cs="Arial"/>
          <w:sz w:val="24"/>
          <w:szCs w:val="24"/>
        </w:rPr>
        <w:t>.</w:t>
      </w:r>
    </w:p>
    <w:p w14:paraId="08A48B9C" w14:textId="77777777" w:rsidR="00CD2A41" w:rsidRPr="00CD2A41" w:rsidRDefault="00CD2A41" w:rsidP="00CD2A41">
      <w:pPr>
        <w:pStyle w:val="ListParagraph"/>
        <w:rPr>
          <w:rFonts w:ascii="Arial" w:hAnsi="Arial" w:cs="Arial"/>
          <w:sz w:val="24"/>
          <w:szCs w:val="24"/>
        </w:rPr>
      </w:pPr>
    </w:p>
    <w:p w14:paraId="74D3F752" w14:textId="077C1BE1"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A51C52" w:rsidRPr="00E97F47">
        <w:rPr>
          <w:rFonts w:ascii="Arial" w:hAnsi="Arial" w:cs="Arial"/>
          <w:sz w:val="24"/>
          <w:szCs w:val="24"/>
        </w:rPr>
        <w:t xml:space="preserve">The fourth was that the applicant had failed to identify and assert the </w:t>
      </w:r>
      <w:r w:rsidR="00A51C52" w:rsidRPr="00E97F47">
        <w:rPr>
          <w:rFonts w:ascii="Arial" w:hAnsi="Arial" w:cs="Arial"/>
          <w:i/>
          <w:iCs/>
          <w:sz w:val="24"/>
          <w:szCs w:val="24"/>
        </w:rPr>
        <w:t>prima facie</w:t>
      </w:r>
      <w:r w:rsidR="00A51C52" w:rsidRPr="00E97F47">
        <w:rPr>
          <w:rFonts w:ascii="Arial" w:hAnsi="Arial" w:cs="Arial"/>
          <w:sz w:val="24"/>
          <w:szCs w:val="24"/>
        </w:rPr>
        <w:t xml:space="preserve"> right that required protection. The application fell to be dismissed on this point alone.</w:t>
      </w:r>
    </w:p>
    <w:p w14:paraId="350CCF97" w14:textId="77777777" w:rsidR="00CD2A41" w:rsidRPr="00CD2A41" w:rsidRDefault="00CD2A41" w:rsidP="00CD2A41">
      <w:pPr>
        <w:pStyle w:val="ListParagraph"/>
        <w:rPr>
          <w:rFonts w:ascii="Arial" w:hAnsi="Arial" w:cs="Arial"/>
          <w:sz w:val="24"/>
          <w:szCs w:val="24"/>
        </w:rPr>
      </w:pPr>
    </w:p>
    <w:p w14:paraId="02C3EBD2" w14:textId="77777777" w:rsidR="00CD2A41" w:rsidRPr="00CD2A41" w:rsidRDefault="00CD2A41" w:rsidP="00CD2A41">
      <w:pPr>
        <w:pStyle w:val="ListParagraph"/>
        <w:rPr>
          <w:rFonts w:ascii="Arial" w:hAnsi="Arial" w:cs="Arial"/>
          <w:b/>
          <w:bCs/>
          <w:sz w:val="24"/>
          <w:szCs w:val="24"/>
        </w:rPr>
      </w:pPr>
    </w:p>
    <w:p w14:paraId="2797FB11" w14:textId="2A1D3865" w:rsidR="00CD2A41" w:rsidRPr="00CD2A41" w:rsidRDefault="006F3FB9" w:rsidP="00CD2A41">
      <w:pPr>
        <w:pStyle w:val="ListParagraph"/>
        <w:spacing w:line="360" w:lineRule="auto"/>
        <w:ind w:left="0"/>
        <w:jc w:val="both"/>
        <w:rPr>
          <w:rFonts w:ascii="Arial" w:hAnsi="Arial" w:cs="Arial"/>
          <w:sz w:val="24"/>
          <w:szCs w:val="24"/>
        </w:rPr>
      </w:pPr>
      <w:r w:rsidRPr="00CD2A41">
        <w:rPr>
          <w:rFonts w:ascii="Arial" w:hAnsi="Arial" w:cs="Arial"/>
          <w:b/>
          <w:bCs/>
          <w:sz w:val="24"/>
          <w:szCs w:val="24"/>
        </w:rPr>
        <w:t xml:space="preserve">Issues </w:t>
      </w:r>
      <w:r w:rsidR="00670DB7" w:rsidRPr="00CD2A41">
        <w:rPr>
          <w:rFonts w:ascii="Arial" w:hAnsi="Arial" w:cs="Arial"/>
          <w:b/>
          <w:bCs/>
          <w:sz w:val="24"/>
          <w:szCs w:val="24"/>
        </w:rPr>
        <w:t>for decision</w:t>
      </w:r>
    </w:p>
    <w:p w14:paraId="3E094313" w14:textId="77777777" w:rsidR="00CD2A41" w:rsidRPr="00CD2A41" w:rsidRDefault="00CD2A41" w:rsidP="00CD2A41">
      <w:pPr>
        <w:pStyle w:val="ListParagraph"/>
        <w:spacing w:line="360" w:lineRule="auto"/>
        <w:ind w:left="0"/>
        <w:jc w:val="both"/>
        <w:rPr>
          <w:rFonts w:ascii="Arial" w:hAnsi="Arial" w:cs="Arial"/>
          <w:sz w:val="24"/>
          <w:szCs w:val="24"/>
        </w:rPr>
      </w:pPr>
    </w:p>
    <w:p w14:paraId="2FA84050" w14:textId="1EB3B218"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6F3FB9" w:rsidRPr="00E97F47">
        <w:rPr>
          <w:rFonts w:ascii="Arial" w:hAnsi="Arial" w:cs="Arial"/>
          <w:sz w:val="24"/>
          <w:szCs w:val="24"/>
        </w:rPr>
        <w:t xml:space="preserve">The applicant set out a basis for the urgent nature of the application in </w:t>
      </w:r>
      <w:r w:rsidR="004152B7" w:rsidRPr="00E97F47">
        <w:rPr>
          <w:rFonts w:ascii="Arial" w:hAnsi="Arial" w:cs="Arial"/>
          <w:sz w:val="24"/>
          <w:szCs w:val="24"/>
        </w:rPr>
        <w:t>Mr Siphatha’s founding affidavit</w:t>
      </w:r>
      <w:r w:rsidR="00E47CC9" w:rsidRPr="00E97F47">
        <w:rPr>
          <w:rFonts w:ascii="Arial" w:hAnsi="Arial" w:cs="Arial"/>
          <w:sz w:val="24"/>
          <w:szCs w:val="24"/>
        </w:rPr>
        <w:t xml:space="preserve">. To summarise, the applicant </w:t>
      </w:r>
      <w:r w:rsidR="004C2A4C" w:rsidRPr="00E97F47">
        <w:rPr>
          <w:rFonts w:ascii="Arial" w:hAnsi="Arial" w:cs="Arial"/>
          <w:sz w:val="24"/>
          <w:szCs w:val="24"/>
        </w:rPr>
        <w:t>argue</w:t>
      </w:r>
      <w:r w:rsidR="0096116F" w:rsidRPr="00E97F47">
        <w:rPr>
          <w:rFonts w:ascii="Arial" w:hAnsi="Arial" w:cs="Arial"/>
          <w:sz w:val="24"/>
          <w:szCs w:val="24"/>
        </w:rPr>
        <w:t>d</w:t>
      </w:r>
      <w:r w:rsidR="004C2A4C" w:rsidRPr="00E97F47">
        <w:rPr>
          <w:rFonts w:ascii="Arial" w:hAnsi="Arial" w:cs="Arial"/>
          <w:sz w:val="24"/>
          <w:szCs w:val="24"/>
        </w:rPr>
        <w:t xml:space="preserve"> that </w:t>
      </w:r>
      <w:r w:rsidR="006B388D" w:rsidRPr="00E97F47">
        <w:rPr>
          <w:rFonts w:ascii="Arial" w:hAnsi="Arial" w:cs="Arial"/>
          <w:sz w:val="24"/>
          <w:szCs w:val="24"/>
        </w:rPr>
        <w:t xml:space="preserve">the </w:t>
      </w:r>
      <w:r w:rsidR="00B8475E" w:rsidRPr="00E97F47">
        <w:rPr>
          <w:rFonts w:ascii="Arial" w:hAnsi="Arial" w:cs="Arial"/>
          <w:sz w:val="24"/>
          <w:szCs w:val="24"/>
        </w:rPr>
        <w:t>responde</w:t>
      </w:r>
      <w:r w:rsidR="006B388D" w:rsidRPr="00E97F47">
        <w:rPr>
          <w:rFonts w:ascii="Arial" w:hAnsi="Arial" w:cs="Arial"/>
          <w:sz w:val="24"/>
          <w:szCs w:val="24"/>
        </w:rPr>
        <w:t xml:space="preserve">nt had failed to respond satisfactorily to </w:t>
      </w:r>
      <w:r w:rsidR="00B8475E" w:rsidRPr="00E97F47">
        <w:rPr>
          <w:rFonts w:ascii="Arial" w:hAnsi="Arial" w:cs="Arial"/>
          <w:sz w:val="24"/>
          <w:szCs w:val="24"/>
        </w:rPr>
        <w:t>its grievances, especially those pertaining to the meeting of the ISP on 1 October 2022</w:t>
      </w:r>
      <w:r w:rsidR="00730385" w:rsidRPr="00E97F47">
        <w:rPr>
          <w:rFonts w:ascii="Arial" w:hAnsi="Arial" w:cs="Arial"/>
          <w:sz w:val="24"/>
          <w:szCs w:val="24"/>
        </w:rPr>
        <w:t xml:space="preserve">. Its decision to proceed with the election on 19 October 2022 would result in </w:t>
      </w:r>
      <w:r w:rsidR="009D5E27" w:rsidRPr="00E97F47">
        <w:rPr>
          <w:rFonts w:ascii="Arial" w:hAnsi="Arial" w:cs="Arial"/>
          <w:sz w:val="24"/>
          <w:szCs w:val="24"/>
        </w:rPr>
        <w:t xml:space="preserve">severe prejudice to the applicant. </w:t>
      </w:r>
    </w:p>
    <w:p w14:paraId="0837EC9E" w14:textId="0461F971"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D5E27" w:rsidRPr="00E97F47">
        <w:rPr>
          <w:rFonts w:ascii="Arial" w:hAnsi="Arial" w:cs="Arial"/>
          <w:sz w:val="24"/>
          <w:szCs w:val="24"/>
        </w:rPr>
        <w:t xml:space="preserve">Notwithstanding the respondent’s </w:t>
      </w:r>
      <w:r w:rsidR="00492025" w:rsidRPr="00E97F47">
        <w:rPr>
          <w:rFonts w:ascii="Arial" w:hAnsi="Arial" w:cs="Arial"/>
          <w:sz w:val="24"/>
          <w:szCs w:val="24"/>
        </w:rPr>
        <w:t xml:space="preserve">strenuous objections to the </w:t>
      </w:r>
      <w:r w:rsidR="0070592E" w:rsidRPr="00E97F47">
        <w:rPr>
          <w:rFonts w:ascii="Arial" w:hAnsi="Arial" w:cs="Arial"/>
          <w:sz w:val="24"/>
          <w:szCs w:val="24"/>
        </w:rPr>
        <w:t>timeframe for the delivery of opposing affidavits</w:t>
      </w:r>
      <w:r w:rsidR="00492025" w:rsidRPr="00E97F47">
        <w:rPr>
          <w:rFonts w:ascii="Arial" w:hAnsi="Arial" w:cs="Arial"/>
          <w:sz w:val="24"/>
          <w:szCs w:val="24"/>
        </w:rPr>
        <w:t xml:space="preserve"> and the </w:t>
      </w:r>
      <w:r w:rsidR="00106565" w:rsidRPr="00E97F47">
        <w:rPr>
          <w:rFonts w:ascii="Arial" w:hAnsi="Arial" w:cs="Arial"/>
          <w:sz w:val="24"/>
          <w:szCs w:val="24"/>
        </w:rPr>
        <w:t>way</w:t>
      </w:r>
      <w:r w:rsidR="00492025" w:rsidRPr="00E97F47">
        <w:rPr>
          <w:rFonts w:ascii="Arial" w:hAnsi="Arial" w:cs="Arial"/>
          <w:sz w:val="24"/>
          <w:szCs w:val="24"/>
        </w:rPr>
        <w:t xml:space="preserve"> </w:t>
      </w:r>
      <w:r w:rsidR="00731A7F" w:rsidRPr="00E97F47">
        <w:rPr>
          <w:rFonts w:ascii="Arial" w:hAnsi="Arial" w:cs="Arial"/>
          <w:sz w:val="24"/>
          <w:szCs w:val="24"/>
        </w:rPr>
        <w:t xml:space="preserve">that </w:t>
      </w:r>
      <w:r w:rsidR="00492025" w:rsidRPr="00E97F47">
        <w:rPr>
          <w:rFonts w:ascii="Arial" w:hAnsi="Arial" w:cs="Arial"/>
          <w:sz w:val="24"/>
          <w:szCs w:val="24"/>
        </w:rPr>
        <w:t xml:space="preserve">the </w:t>
      </w:r>
      <w:r w:rsidR="00654295" w:rsidRPr="00E97F47">
        <w:rPr>
          <w:rFonts w:ascii="Arial" w:hAnsi="Arial" w:cs="Arial"/>
          <w:sz w:val="24"/>
          <w:szCs w:val="24"/>
        </w:rPr>
        <w:t>proceedings</w:t>
      </w:r>
      <w:r w:rsidR="00492025" w:rsidRPr="00E97F47">
        <w:rPr>
          <w:rFonts w:ascii="Arial" w:hAnsi="Arial" w:cs="Arial"/>
          <w:sz w:val="24"/>
          <w:szCs w:val="24"/>
        </w:rPr>
        <w:t xml:space="preserve"> had been conducted</w:t>
      </w:r>
      <w:r w:rsidR="00654295" w:rsidRPr="00E97F47">
        <w:rPr>
          <w:rFonts w:ascii="Arial" w:hAnsi="Arial" w:cs="Arial"/>
          <w:sz w:val="24"/>
          <w:szCs w:val="24"/>
        </w:rPr>
        <w:t xml:space="preserve">, nothing turned </w:t>
      </w:r>
      <w:r w:rsidR="0070592E" w:rsidRPr="00E97F47">
        <w:rPr>
          <w:rFonts w:ascii="Arial" w:hAnsi="Arial" w:cs="Arial"/>
          <w:sz w:val="24"/>
          <w:szCs w:val="24"/>
        </w:rPr>
        <w:t>on the question of urgency in the end</w:t>
      </w:r>
      <w:r w:rsidR="004B313D" w:rsidRPr="00E97F47">
        <w:rPr>
          <w:rFonts w:ascii="Arial" w:hAnsi="Arial" w:cs="Arial"/>
          <w:sz w:val="24"/>
          <w:szCs w:val="24"/>
        </w:rPr>
        <w:t>. No more needs to be said in that regard.</w:t>
      </w:r>
    </w:p>
    <w:p w14:paraId="2DF4D89E" w14:textId="77777777" w:rsidR="00CD2A41" w:rsidRDefault="00CD2A41" w:rsidP="00CD2A41">
      <w:pPr>
        <w:pStyle w:val="ListParagraph"/>
        <w:spacing w:line="360" w:lineRule="auto"/>
        <w:ind w:left="0"/>
        <w:jc w:val="both"/>
        <w:rPr>
          <w:rFonts w:ascii="Arial" w:hAnsi="Arial" w:cs="Arial"/>
          <w:sz w:val="24"/>
          <w:szCs w:val="24"/>
        </w:rPr>
      </w:pPr>
    </w:p>
    <w:p w14:paraId="46850842" w14:textId="5E4997CF"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31376F" w:rsidRPr="00E97F47">
        <w:rPr>
          <w:rFonts w:ascii="Arial" w:hAnsi="Arial" w:cs="Arial"/>
          <w:sz w:val="24"/>
          <w:szCs w:val="24"/>
        </w:rPr>
        <w:t xml:space="preserve">The applicant </w:t>
      </w:r>
      <w:r w:rsidR="005504BC" w:rsidRPr="00E97F47">
        <w:rPr>
          <w:rFonts w:ascii="Arial" w:hAnsi="Arial" w:cs="Arial"/>
          <w:sz w:val="24"/>
          <w:szCs w:val="24"/>
        </w:rPr>
        <w:t xml:space="preserve">dealt </w:t>
      </w:r>
      <w:r w:rsidR="0029526F" w:rsidRPr="00E97F47">
        <w:rPr>
          <w:rFonts w:ascii="Arial" w:hAnsi="Arial" w:cs="Arial"/>
          <w:sz w:val="24"/>
          <w:szCs w:val="24"/>
        </w:rPr>
        <w:t>at some length</w:t>
      </w:r>
      <w:r w:rsidR="005504BC" w:rsidRPr="00E97F47">
        <w:rPr>
          <w:rFonts w:ascii="Arial" w:hAnsi="Arial" w:cs="Arial"/>
          <w:sz w:val="24"/>
          <w:szCs w:val="24"/>
        </w:rPr>
        <w:t xml:space="preserve"> with the requirements for interdictory relief</w:t>
      </w:r>
      <w:r w:rsidR="00D61A00" w:rsidRPr="00E97F47">
        <w:rPr>
          <w:rFonts w:ascii="Arial" w:hAnsi="Arial" w:cs="Arial"/>
          <w:sz w:val="24"/>
          <w:szCs w:val="24"/>
        </w:rPr>
        <w:t xml:space="preserve">. </w:t>
      </w:r>
      <w:r w:rsidR="00963EEF" w:rsidRPr="00E97F47">
        <w:rPr>
          <w:rFonts w:ascii="Arial" w:hAnsi="Arial" w:cs="Arial"/>
          <w:sz w:val="24"/>
          <w:szCs w:val="24"/>
        </w:rPr>
        <w:t xml:space="preserve">As a member of the ISP, </w:t>
      </w:r>
      <w:r w:rsidR="00D61A00" w:rsidRPr="00E97F47">
        <w:rPr>
          <w:rFonts w:ascii="Arial" w:hAnsi="Arial" w:cs="Arial"/>
          <w:sz w:val="24"/>
          <w:szCs w:val="24"/>
        </w:rPr>
        <w:t xml:space="preserve">it had been adversely affected by the decision </w:t>
      </w:r>
      <w:r w:rsidR="00896713" w:rsidRPr="00E97F47">
        <w:rPr>
          <w:rFonts w:ascii="Arial" w:hAnsi="Arial" w:cs="Arial"/>
          <w:sz w:val="24"/>
          <w:szCs w:val="24"/>
        </w:rPr>
        <w:t>at the meeting on 1 October 2022</w:t>
      </w:r>
      <w:r w:rsidR="00FD24FD" w:rsidRPr="00E97F47">
        <w:rPr>
          <w:rFonts w:ascii="Arial" w:hAnsi="Arial" w:cs="Arial"/>
          <w:sz w:val="24"/>
          <w:szCs w:val="24"/>
        </w:rPr>
        <w:t xml:space="preserve">, which </w:t>
      </w:r>
      <w:r w:rsidR="00696D9B" w:rsidRPr="00E97F47">
        <w:rPr>
          <w:rFonts w:ascii="Arial" w:hAnsi="Arial" w:cs="Arial"/>
          <w:sz w:val="24"/>
          <w:szCs w:val="24"/>
        </w:rPr>
        <w:t xml:space="preserve">had </w:t>
      </w:r>
      <w:r w:rsidR="00800662" w:rsidRPr="00E97F47">
        <w:rPr>
          <w:rFonts w:ascii="Arial" w:hAnsi="Arial" w:cs="Arial"/>
          <w:sz w:val="24"/>
          <w:szCs w:val="24"/>
        </w:rPr>
        <w:t xml:space="preserve">allegedly </w:t>
      </w:r>
      <w:r w:rsidR="00696D9B" w:rsidRPr="00E97F47">
        <w:rPr>
          <w:rFonts w:ascii="Arial" w:hAnsi="Arial" w:cs="Arial"/>
          <w:sz w:val="24"/>
          <w:szCs w:val="24"/>
        </w:rPr>
        <w:t>been characterised</w:t>
      </w:r>
      <w:r w:rsidR="00FD24FD" w:rsidRPr="00E97F47">
        <w:rPr>
          <w:rFonts w:ascii="Arial" w:hAnsi="Arial" w:cs="Arial"/>
          <w:sz w:val="24"/>
          <w:szCs w:val="24"/>
        </w:rPr>
        <w:t xml:space="preserve"> by irregularities</w:t>
      </w:r>
      <w:r w:rsidR="005C31A0" w:rsidRPr="00E97F47">
        <w:rPr>
          <w:rFonts w:ascii="Arial" w:hAnsi="Arial" w:cs="Arial"/>
          <w:sz w:val="24"/>
          <w:szCs w:val="24"/>
        </w:rPr>
        <w:t xml:space="preserve">. </w:t>
      </w:r>
      <w:r w:rsidR="00894B0D" w:rsidRPr="00E97F47">
        <w:rPr>
          <w:rFonts w:ascii="Arial" w:hAnsi="Arial" w:cs="Arial"/>
          <w:sz w:val="24"/>
          <w:szCs w:val="24"/>
        </w:rPr>
        <w:t>The applicant</w:t>
      </w:r>
      <w:r w:rsidR="005C31A0" w:rsidRPr="00E97F47">
        <w:rPr>
          <w:rFonts w:ascii="Arial" w:hAnsi="Arial" w:cs="Arial"/>
          <w:sz w:val="24"/>
          <w:szCs w:val="24"/>
        </w:rPr>
        <w:t xml:space="preserve"> could not participate in the </w:t>
      </w:r>
      <w:r w:rsidR="00896713" w:rsidRPr="00E97F47">
        <w:rPr>
          <w:rFonts w:ascii="Arial" w:hAnsi="Arial" w:cs="Arial"/>
          <w:sz w:val="24"/>
          <w:szCs w:val="24"/>
        </w:rPr>
        <w:t xml:space="preserve">election </w:t>
      </w:r>
      <w:r w:rsidR="005C31A0" w:rsidRPr="00E97F47">
        <w:rPr>
          <w:rFonts w:ascii="Arial" w:hAnsi="Arial" w:cs="Arial"/>
          <w:sz w:val="24"/>
          <w:szCs w:val="24"/>
        </w:rPr>
        <w:t>scheduled for 1</w:t>
      </w:r>
      <w:r w:rsidR="00896713" w:rsidRPr="00E97F47">
        <w:rPr>
          <w:rFonts w:ascii="Arial" w:hAnsi="Arial" w:cs="Arial"/>
          <w:sz w:val="24"/>
          <w:szCs w:val="24"/>
        </w:rPr>
        <w:t>9 October 2022</w:t>
      </w:r>
      <w:r w:rsidR="0061396C" w:rsidRPr="00E97F47">
        <w:rPr>
          <w:rFonts w:ascii="Arial" w:hAnsi="Arial" w:cs="Arial"/>
          <w:sz w:val="24"/>
          <w:szCs w:val="24"/>
        </w:rPr>
        <w:t xml:space="preserve"> </w:t>
      </w:r>
      <w:r w:rsidR="004F40CB" w:rsidRPr="00E97F47">
        <w:rPr>
          <w:rFonts w:ascii="Arial" w:hAnsi="Arial" w:cs="Arial"/>
          <w:sz w:val="24"/>
          <w:szCs w:val="24"/>
        </w:rPr>
        <w:t xml:space="preserve">in such circumstances and for as long as </w:t>
      </w:r>
      <w:r w:rsidR="0061396C" w:rsidRPr="00E97F47">
        <w:rPr>
          <w:rFonts w:ascii="Arial" w:hAnsi="Arial" w:cs="Arial"/>
          <w:sz w:val="24"/>
          <w:szCs w:val="24"/>
        </w:rPr>
        <w:t>the respondent continued to ignore its grievances</w:t>
      </w:r>
      <w:r w:rsidR="00896713" w:rsidRPr="00E97F47">
        <w:rPr>
          <w:rFonts w:ascii="Arial" w:hAnsi="Arial" w:cs="Arial"/>
          <w:sz w:val="24"/>
          <w:szCs w:val="24"/>
        </w:rPr>
        <w:t>.</w:t>
      </w:r>
      <w:r w:rsidR="00C56DE2" w:rsidRPr="00E97F47">
        <w:rPr>
          <w:rFonts w:ascii="Arial" w:hAnsi="Arial" w:cs="Arial"/>
          <w:sz w:val="24"/>
          <w:szCs w:val="24"/>
        </w:rPr>
        <w:t xml:space="preserve"> </w:t>
      </w:r>
    </w:p>
    <w:p w14:paraId="789A9E52" w14:textId="77777777" w:rsidR="00CD2A41" w:rsidRPr="00CD2A41" w:rsidRDefault="00CD2A41" w:rsidP="00CD2A41">
      <w:pPr>
        <w:pStyle w:val="ListParagraph"/>
        <w:rPr>
          <w:rFonts w:ascii="Arial" w:hAnsi="Arial" w:cs="Arial"/>
          <w:sz w:val="24"/>
          <w:szCs w:val="24"/>
        </w:rPr>
      </w:pPr>
    </w:p>
    <w:p w14:paraId="67569F42" w14:textId="139C9648"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D00285" w:rsidRPr="00E97F47">
        <w:rPr>
          <w:rFonts w:ascii="Arial" w:hAnsi="Arial" w:cs="Arial"/>
          <w:sz w:val="24"/>
          <w:szCs w:val="24"/>
        </w:rPr>
        <w:t xml:space="preserve">At the hearing itself, the applicant </w:t>
      </w:r>
      <w:r w:rsidR="003716A1" w:rsidRPr="00E97F47">
        <w:rPr>
          <w:rFonts w:ascii="Arial" w:hAnsi="Arial" w:cs="Arial"/>
          <w:sz w:val="24"/>
          <w:szCs w:val="24"/>
        </w:rPr>
        <w:t xml:space="preserve">abandoned the </w:t>
      </w:r>
      <w:r w:rsidR="00625C58" w:rsidRPr="00E97F47">
        <w:rPr>
          <w:rFonts w:ascii="Arial" w:hAnsi="Arial" w:cs="Arial"/>
          <w:sz w:val="24"/>
          <w:szCs w:val="24"/>
        </w:rPr>
        <w:t xml:space="preserve">following </w:t>
      </w:r>
      <w:r w:rsidR="003716A1" w:rsidRPr="00E97F47">
        <w:rPr>
          <w:rFonts w:ascii="Arial" w:hAnsi="Arial" w:cs="Arial"/>
          <w:sz w:val="24"/>
          <w:szCs w:val="24"/>
        </w:rPr>
        <w:t>relief</w:t>
      </w:r>
      <w:r w:rsidR="00625C58" w:rsidRPr="00E97F47">
        <w:rPr>
          <w:rFonts w:ascii="Arial" w:hAnsi="Arial" w:cs="Arial"/>
          <w:sz w:val="24"/>
          <w:szCs w:val="24"/>
        </w:rPr>
        <w:t xml:space="preserve">: an order </w:t>
      </w:r>
      <w:r w:rsidR="003716A1" w:rsidRPr="00E97F47">
        <w:rPr>
          <w:rFonts w:ascii="Arial" w:hAnsi="Arial" w:cs="Arial"/>
          <w:sz w:val="24"/>
          <w:szCs w:val="24"/>
        </w:rPr>
        <w:t>interdic</w:t>
      </w:r>
      <w:r w:rsidR="00C1124B" w:rsidRPr="00E97F47">
        <w:rPr>
          <w:rFonts w:ascii="Arial" w:hAnsi="Arial" w:cs="Arial"/>
          <w:sz w:val="24"/>
          <w:szCs w:val="24"/>
        </w:rPr>
        <w:t xml:space="preserve">ting </w:t>
      </w:r>
      <w:r w:rsidR="00307A29" w:rsidRPr="00E97F47">
        <w:rPr>
          <w:rFonts w:ascii="Arial" w:hAnsi="Arial" w:cs="Arial"/>
          <w:sz w:val="24"/>
          <w:szCs w:val="24"/>
        </w:rPr>
        <w:t xml:space="preserve">the respondent from proceeding with </w:t>
      </w:r>
      <w:r w:rsidR="00C1124B" w:rsidRPr="00E97F47">
        <w:rPr>
          <w:rFonts w:ascii="Arial" w:hAnsi="Arial" w:cs="Arial"/>
          <w:sz w:val="24"/>
          <w:szCs w:val="24"/>
        </w:rPr>
        <w:t>the election</w:t>
      </w:r>
      <w:r w:rsidR="00307A29" w:rsidRPr="00E97F47">
        <w:rPr>
          <w:rFonts w:ascii="Arial" w:hAnsi="Arial" w:cs="Arial"/>
          <w:sz w:val="24"/>
          <w:szCs w:val="24"/>
        </w:rPr>
        <w:t>; an order p</w:t>
      </w:r>
      <w:r w:rsidR="00C1124B" w:rsidRPr="00E97F47">
        <w:rPr>
          <w:rFonts w:ascii="Arial" w:hAnsi="Arial" w:cs="Arial"/>
          <w:sz w:val="24"/>
          <w:szCs w:val="24"/>
        </w:rPr>
        <w:t>ostpon</w:t>
      </w:r>
      <w:r w:rsidR="00307A29" w:rsidRPr="00E97F47">
        <w:rPr>
          <w:rFonts w:ascii="Arial" w:hAnsi="Arial" w:cs="Arial"/>
          <w:sz w:val="24"/>
          <w:szCs w:val="24"/>
        </w:rPr>
        <w:t>ing</w:t>
      </w:r>
      <w:r w:rsidR="00C1124B" w:rsidRPr="00E97F47">
        <w:rPr>
          <w:rFonts w:ascii="Arial" w:hAnsi="Arial" w:cs="Arial"/>
          <w:sz w:val="24"/>
          <w:szCs w:val="24"/>
        </w:rPr>
        <w:t xml:space="preserve"> the election</w:t>
      </w:r>
      <w:r w:rsidR="00A95B13" w:rsidRPr="00E97F47">
        <w:rPr>
          <w:rFonts w:ascii="Arial" w:hAnsi="Arial" w:cs="Arial"/>
          <w:sz w:val="24"/>
          <w:szCs w:val="24"/>
        </w:rPr>
        <w:t>, pending an investigation</w:t>
      </w:r>
      <w:r w:rsidR="002B4980" w:rsidRPr="00E97F47">
        <w:rPr>
          <w:rFonts w:ascii="Arial" w:hAnsi="Arial" w:cs="Arial"/>
          <w:sz w:val="24"/>
          <w:szCs w:val="24"/>
        </w:rPr>
        <w:t xml:space="preserve"> into the lawfulness of the meeting of the ISP on 1 </w:t>
      </w:r>
      <w:r w:rsidR="002B4980" w:rsidRPr="00E97F47">
        <w:rPr>
          <w:rFonts w:ascii="Arial" w:hAnsi="Arial" w:cs="Arial"/>
          <w:sz w:val="24"/>
          <w:szCs w:val="24"/>
        </w:rPr>
        <w:lastRenderedPageBreak/>
        <w:t xml:space="preserve">October 2022; and an order declaring </w:t>
      </w:r>
      <w:r w:rsidR="00026306" w:rsidRPr="00E97F47">
        <w:rPr>
          <w:rFonts w:ascii="Arial" w:hAnsi="Arial" w:cs="Arial"/>
          <w:sz w:val="24"/>
          <w:szCs w:val="24"/>
        </w:rPr>
        <w:t xml:space="preserve">that the conduct of the Dean of Student Affairs </w:t>
      </w:r>
      <w:r w:rsidR="003B7DCA" w:rsidRPr="00E97F47">
        <w:rPr>
          <w:rFonts w:ascii="Arial" w:hAnsi="Arial" w:cs="Arial"/>
          <w:sz w:val="24"/>
          <w:szCs w:val="24"/>
        </w:rPr>
        <w:t xml:space="preserve">had been unlawful. This was done, ostensibly, </w:t>
      </w:r>
      <w:r w:rsidR="00E0244D" w:rsidRPr="00E97F47">
        <w:rPr>
          <w:rFonts w:ascii="Arial" w:hAnsi="Arial" w:cs="Arial"/>
          <w:sz w:val="24"/>
          <w:szCs w:val="24"/>
        </w:rPr>
        <w:t>in reaction to the MEC’s decision</w:t>
      </w:r>
      <w:r w:rsidR="00F6387A" w:rsidRPr="00E97F47">
        <w:rPr>
          <w:rFonts w:ascii="Arial" w:hAnsi="Arial" w:cs="Arial"/>
          <w:sz w:val="24"/>
          <w:szCs w:val="24"/>
        </w:rPr>
        <w:t xml:space="preserve"> </w:t>
      </w:r>
      <w:r w:rsidR="00B134A4" w:rsidRPr="00E97F47">
        <w:rPr>
          <w:rFonts w:ascii="Arial" w:hAnsi="Arial" w:cs="Arial"/>
          <w:sz w:val="24"/>
          <w:szCs w:val="24"/>
        </w:rPr>
        <w:t>to postpone the election.</w:t>
      </w:r>
      <w:r w:rsidR="00EC2BBB" w:rsidRPr="00E97F47">
        <w:rPr>
          <w:rFonts w:ascii="Arial" w:hAnsi="Arial" w:cs="Arial"/>
          <w:sz w:val="24"/>
          <w:szCs w:val="24"/>
        </w:rPr>
        <w:t xml:space="preserve"> </w:t>
      </w:r>
      <w:r w:rsidR="00B134A4" w:rsidRPr="00E97F47">
        <w:rPr>
          <w:rFonts w:ascii="Arial" w:hAnsi="Arial" w:cs="Arial"/>
          <w:sz w:val="24"/>
          <w:szCs w:val="24"/>
        </w:rPr>
        <w:t>The applicant persisted with its application to seek the remaining relief</w:t>
      </w:r>
      <w:r w:rsidR="004F3E51" w:rsidRPr="00E97F47">
        <w:rPr>
          <w:rFonts w:ascii="Arial" w:hAnsi="Arial" w:cs="Arial"/>
          <w:sz w:val="24"/>
          <w:szCs w:val="24"/>
        </w:rPr>
        <w:t xml:space="preserve"> set out in its notice: </w:t>
      </w:r>
      <w:r w:rsidR="00E2246A" w:rsidRPr="00E97F47">
        <w:rPr>
          <w:rFonts w:ascii="Arial" w:hAnsi="Arial" w:cs="Arial"/>
          <w:sz w:val="24"/>
          <w:szCs w:val="24"/>
        </w:rPr>
        <w:t xml:space="preserve">an order directing the </w:t>
      </w:r>
      <w:r w:rsidR="005941FD" w:rsidRPr="00E97F47">
        <w:rPr>
          <w:rFonts w:ascii="Arial" w:hAnsi="Arial" w:cs="Arial"/>
          <w:sz w:val="24"/>
          <w:szCs w:val="24"/>
        </w:rPr>
        <w:t xml:space="preserve">respondent, represented by the </w:t>
      </w:r>
      <w:r w:rsidR="00E2246A" w:rsidRPr="00E97F47">
        <w:rPr>
          <w:rFonts w:ascii="Arial" w:hAnsi="Arial" w:cs="Arial"/>
          <w:sz w:val="24"/>
          <w:szCs w:val="24"/>
        </w:rPr>
        <w:t>Dean of Student Affairs</w:t>
      </w:r>
      <w:r w:rsidR="005941FD" w:rsidRPr="00E97F47">
        <w:rPr>
          <w:rFonts w:ascii="Arial" w:hAnsi="Arial" w:cs="Arial"/>
          <w:sz w:val="24"/>
          <w:szCs w:val="24"/>
        </w:rPr>
        <w:t>,</w:t>
      </w:r>
      <w:r w:rsidR="00CD2A41" w:rsidRPr="00E97F47">
        <w:rPr>
          <w:rFonts w:ascii="Arial" w:hAnsi="Arial" w:cs="Arial"/>
          <w:sz w:val="24"/>
          <w:szCs w:val="24"/>
        </w:rPr>
        <w:t xml:space="preserve"> to</w:t>
      </w:r>
      <w:r w:rsidR="00230831" w:rsidRPr="00E97F47">
        <w:rPr>
          <w:rFonts w:ascii="Arial" w:hAnsi="Arial" w:cs="Arial"/>
          <w:sz w:val="24"/>
          <w:szCs w:val="24"/>
        </w:rPr>
        <w:t xml:space="preserve"> </w:t>
      </w:r>
      <w:r w:rsidR="005941FD" w:rsidRPr="00E97F47">
        <w:rPr>
          <w:rFonts w:ascii="Arial" w:hAnsi="Arial" w:cs="Arial"/>
          <w:sz w:val="24"/>
          <w:szCs w:val="24"/>
        </w:rPr>
        <w:t xml:space="preserve">comply with the Student Governance Constitution </w:t>
      </w:r>
      <w:r w:rsidR="00DB4EB0" w:rsidRPr="00E97F47">
        <w:rPr>
          <w:rFonts w:ascii="Arial" w:hAnsi="Arial" w:cs="Arial"/>
          <w:sz w:val="24"/>
          <w:szCs w:val="24"/>
        </w:rPr>
        <w:t>in relation to the appointment of the IEC and designation of the CEO</w:t>
      </w:r>
      <w:r w:rsidR="00230831" w:rsidRPr="00E97F47">
        <w:rPr>
          <w:rFonts w:ascii="Arial" w:hAnsi="Arial" w:cs="Arial"/>
          <w:sz w:val="24"/>
          <w:szCs w:val="24"/>
        </w:rPr>
        <w:t xml:space="preserve">; an order declaring that the </w:t>
      </w:r>
      <w:r w:rsidR="00D1145D" w:rsidRPr="00E97F47">
        <w:rPr>
          <w:rFonts w:ascii="Arial" w:hAnsi="Arial" w:cs="Arial"/>
          <w:sz w:val="24"/>
          <w:szCs w:val="24"/>
        </w:rPr>
        <w:t xml:space="preserve">election </w:t>
      </w:r>
      <w:r w:rsidR="00230831" w:rsidRPr="00E97F47">
        <w:rPr>
          <w:rFonts w:ascii="Arial" w:hAnsi="Arial" w:cs="Arial"/>
          <w:sz w:val="24"/>
          <w:szCs w:val="24"/>
        </w:rPr>
        <w:t xml:space="preserve">process should commence </w:t>
      </w:r>
      <w:r w:rsidR="00230831" w:rsidRPr="00E97F47">
        <w:rPr>
          <w:rFonts w:ascii="Arial" w:hAnsi="Arial" w:cs="Arial"/>
          <w:i/>
          <w:iCs/>
          <w:sz w:val="24"/>
          <w:szCs w:val="24"/>
        </w:rPr>
        <w:t>de novo</w:t>
      </w:r>
      <w:r w:rsidR="00230831" w:rsidRPr="00E97F47">
        <w:rPr>
          <w:rFonts w:ascii="Arial" w:hAnsi="Arial" w:cs="Arial"/>
          <w:sz w:val="24"/>
          <w:szCs w:val="24"/>
        </w:rPr>
        <w:t>; and</w:t>
      </w:r>
      <w:r w:rsidR="00F01C50" w:rsidRPr="00E97F47">
        <w:rPr>
          <w:rFonts w:ascii="Arial" w:hAnsi="Arial" w:cs="Arial"/>
          <w:sz w:val="24"/>
          <w:szCs w:val="24"/>
        </w:rPr>
        <w:t xml:space="preserve"> </w:t>
      </w:r>
      <w:r w:rsidR="00571FF1" w:rsidRPr="00E97F47">
        <w:rPr>
          <w:rFonts w:ascii="Arial" w:hAnsi="Arial" w:cs="Arial"/>
          <w:sz w:val="24"/>
          <w:szCs w:val="24"/>
        </w:rPr>
        <w:t xml:space="preserve">an order </w:t>
      </w:r>
      <w:r w:rsidR="00F0051D" w:rsidRPr="00E97F47">
        <w:rPr>
          <w:rFonts w:ascii="Arial" w:hAnsi="Arial" w:cs="Arial"/>
          <w:sz w:val="24"/>
          <w:szCs w:val="24"/>
        </w:rPr>
        <w:t xml:space="preserve">extending </w:t>
      </w:r>
      <w:r w:rsidR="00571FF1" w:rsidRPr="00E97F47">
        <w:rPr>
          <w:rFonts w:ascii="Arial" w:hAnsi="Arial" w:cs="Arial"/>
          <w:sz w:val="24"/>
          <w:szCs w:val="24"/>
        </w:rPr>
        <w:t>the terms of both the SRC and the Institutional Student Parliament (‘ISP’).</w:t>
      </w:r>
    </w:p>
    <w:p w14:paraId="0128907B" w14:textId="77777777" w:rsidR="00CD2A41" w:rsidRPr="00CD2A41" w:rsidRDefault="00CD2A41" w:rsidP="00CD2A41">
      <w:pPr>
        <w:pStyle w:val="ListParagraph"/>
        <w:rPr>
          <w:rFonts w:ascii="Arial" w:hAnsi="Arial" w:cs="Arial"/>
          <w:sz w:val="24"/>
          <w:szCs w:val="24"/>
        </w:rPr>
      </w:pPr>
    </w:p>
    <w:p w14:paraId="6443BDD4" w14:textId="5B31C57B"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65EA1" w:rsidRPr="00E97F47">
        <w:rPr>
          <w:rFonts w:ascii="Arial" w:hAnsi="Arial" w:cs="Arial"/>
          <w:sz w:val="24"/>
          <w:szCs w:val="24"/>
        </w:rPr>
        <w:t xml:space="preserve">Ordinarily, </w:t>
      </w:r>
      <w:r w:rsidR="00150A83" w:rsidRPr="00E97F47">
        <w:rPr>
          <w:rFonts w:ascii="Arial" w:hAnsi="Arial" w:cs="Arial"/>
          <w:sz w:val="24"/>
          <w:szCs w:val="24"/>
        </w:rPr>
        <w:t xml:space="preserve">the court would </w:t>
      </w:r>
      <w:r w:rsidR="00440A50" w:rsidRPr="00E97F47">
        <w:rPr>
          <w:rFonts w:ascii="Arial" w:hAnsi="Arial" w:cs="Arial"/>
          <w:sz w:val="24"/>
          <w:szCs w:val="24"/>
        </w:rPr>
        <w:t xml:space="preserve">have </w:t>
      </w:r>
      <w:r w:rsidR="00150A83" w:rsidRPr="00E97F47">
        <w:rPr>
          <w:rFonts w:ascii="Arial" w:hAnsi="Arial" w:cs="Arial"/>
          <w:sz w:val="24"/>
          <w:szCs w:val="24"/>
        </w:rPr>
        <w:t>be</w:t>
      </w:r>
      <w:r w:rsidR="00440A50" w:rsidRPr="00E97F47">
        <w:rPr>
          <w:rFonts w:ascii="Arial" w:hAnsi="Arial" w:cs="Arial"/>
          <w:sz w:val="24"/>
          <w:szCs w:val="24"/>
        </w:rPr>
        <w:t>en</w:t>
      </w:r>
      <w:r w:rsidR="00150A83" w:rsidRPr="00E97F47">
        <w:rPr>
          <w:rFonts w:ascii="Arial" w:hAnsi="Arial" w:cs="Arial"/>
          <w:sz w:val="24"/>
          <w:szCs w:val="24"/>
        </w:rPr>
        <w:t xml:space="preserve"> required to </w:t>
      </w:r>
      <w:r w:rsidR="00426928" w:rsidRPr="00E97F47">
        <w:rPr>
          <w:rFonts w:ascii="Arial" w:hAnsi="Arial" w:cs="Arial"/>
          <w:sz w:val="24"/>
          <w:szCs w:val="24"/>
        </w:rPr>
        <w:t xml:space="preserve">determine whether </w:t>
      </w:r>
      <w:r w:rsidR="0003037D" w:rsidRPr="00E97F47">
        <w:rPr>
          <w:rFonts w:ascii="Arial" w:hAnsi="Arial" w:cs="Arial"/>
          <w:sz w:val="24"/>
          <w:szCs w:val="24"/>
        </w:rPr>
        <w:t>the applicant had successfully demonstrated urgency</w:t>
      </w:r>
      <w:r w:rsidR="00DB6D3A" w:rsidRPr="00E97F47">
        <w:rPr>
          <w:rFonts w:ascii="Arial" w:hAnsi="Arial" w:cs="Arial"/>
          <w:sz w:val="24"/>
          <w:szCs w:val="24"/>
        </w:rPr>
        <w:t xml:space="preserve">. If so, then the court would </w:t>
      </w:r>
      <w:r w:rsidR="00440A50" w:rsidRPr="00E97F47">
        <w:rPr>
          <w:rFonts w:ascii="Arial" w:hAnsi="Arial" w:cs="Arial"/>
          <w:sz w:val="24"/>
          <w:szCs w:val="24"/>
        </w:rPr>
        <w:t xml:space="preserve">have </w:t>
      </w:r>
      <w:r w:rsidR="00DB6D3A" w:rsidRPr="00E97F47">
        <w:rPr>
          <w:rFonts w:ascii="Arial" w:hAnsi="Arial" w:cs="Arial"/>
          <w:sz w:val="24"/>
          <w:szCs w:val="24"/>
        </w:rPr>
        <w:t>proceed</w:t>
      </w:r>
      <w:r w:rsidR="00440A50" w:rsidRPr="00E97F47">
        <w:rPr>
          <w:rFonts w:ascii="Arial" w:hAnsi="Arial" w:cs="Arial"/>
          <w:sz w:val="24"/>
          <w:szCs w:val="24"/>
        </w:rPr>
        <w:t>ed</w:t>
      </w:r>
      <w:r w:rsidR="00DB6D3A" w:rsidRPr="00E97F47">
        <w:rPr>
          <w:rFonts w:ascii="Arial" w:hAnsi="Arial" w:cs="Arial"/>
          <w:sz w:val="24"/>
          <w:szCs w:val="24"/>
        </w:rPr>
        <w:t xml:space="preserve"> to </w:t>
      </w:r>
      <w:r w:rsidR="00CF7F1D" w:rsidRPr="00E97F47">
        <w:rPr>
          <w:rFonts w:ascii="Arial" w:hAnsi="Arial" w:cs="Arial"/>
          <w:sz w:val="24"/>
          <w:szCs w:val="24"/>
        </w:rPr>
        <w:t xml:space="preserve">adjudicate the merits of </w:t>
      </w:r>
      <w:r w:rsidR="00DB6D3A" w:rsidRPr="00E97F47">
        <w:rPr>
          <w:rFonts w:ascii="Arial" w:hAnsi="Arial" w:cs="Arial"/>
          <w:sz w:val="24"/>
          <w:szCs w:val="24"/>
        </w:rPr>
        <w:t>t</w:t>
      </w:r>
      <w:r w:rsidR="00CF7F1D" w:rsidRPr="00E97F47">
        <w:rPr>
          <w:rFonts w:ascii="Arial" w:hAnsi="Arial" w:cs="Arial"/>
          <w:sz w:val="24"/>
          <w:szCs w:val="24"/>
        </w:rPr>
        <w:t xml:space="preserve">he matter, including </w:t>
      </w:r>
      <w:r w:rsidR="00D90382" w:rsidRPr="00E97F47">
        <w:rPr>
          <w:rFonts w:ascii="Arial" w:hAnsi="Arial" w:cs="Arial"/>
          <w:sz w:val="24"/>
          <w:szCs w:val="24"/>
        </w:rPr>
        <w:t xml:space="preserve">a determination of </w:t>
      </w:r>
      <w:r w:rsidR="00D45B53" w:rsidRPr="00E97F47">
        <w:rPr>
          <w:rFonts w:ascii="Arial" w:hAnsi="Arial" w:cs="Arial"/>
          <w:sz w:val="24"/>
          <w:szCs w:val="24"/>
        </w:rPr>
        <w:t xml:space="preserve">whether </w:t>
      </w:r>
      <w:r w:rsidR="00D90382" w:rsidRPr="00E97F47">
        <w:rPr>
          <w:rFonts w:ascii="Arial" w:hAnsi="Arial" w:cs="Arial"/>
          <w:sz w:val="24"/>
          <w:szCs w:val="24"/>
        </w:rPr>
        <w:t>the applicant h</w:t>
      </w:r>
      <w:r w:rsidR="00D45B53" w:rsidRPr="00E97F47">
        <w:rPr>
          <w:rFonts w:ascii="Arial" w:hAnsi="Arial" w:cs="Arial"/>
          <w:sz w:val="24"/>
          <w:szCs w:val="24"/>
        </w:rPr>
        <w:t xml:space="preserve">ad met the requirements for </w:t>
      </w:r>
      <w:r w:rsidR="009D4085" w:rsidRPr="00E97F47">
        <w:rPr>
          <w:rFonts w:ascii="Arial" w:hAnsi="Arial" w:cs="Arial"/>
          <w:sz w:val="24"/>
          <w:szCs w:val="24"/>
        </w:rPr>
        <w:t>the interdictory and other relief sought</w:t>
      </w:r>
      <w:r w:rsidR="00D90382" w:rsidRPr="00E97F47">
        <w:rPr>
          <w:rFonts w:ascii="Arial" w:hAnsi="Arial" w:cs="Arial"/>
          <w:sz w:val="24"/>
          <w:szCs w:val="24"/>
        </w:rPr>
        <w:t xml:space="preserve">. </w:t>
      </w:r>
      <w:r w:rsidR="00440A50" w:rsidRPr="00E97F47">
        <w:rPr>
          <w:rFonts w:ascii="Arial" w:hAnsi="Arial" w:cs="Arial"/>
          <w:sz w:val="24"/>
          <w:szCs w:val="24"/>
        </w:rPr>
        <w:t>Before doing so</w:t>
      </w:r>
      <w:r w:rsidR="0042526C" w:rsidRPr="00E97F47">
        <w:rPr>
          <w:rFonts w:ascii="Arial" w:hAnsi="Arial" w:cs="Arial"/>
          <w:sz w:val="24"/>
          <w:szCs w:val="24"/>
        </w:rPr>
        <w:t>, however, the court raised the point of non-joinder.</w:t>
      </w:r>
      <w:r w:rsidR="00E46857" w:rsidRPr="00E97F47">
        <w:rPr>
          <w:rFonts w:ascii="Arial" w:hAnsi="Arial" w:cs="Arial"/>
          <w:sz w:val="24"/>
          <w:szCs w:val="24"/>
        </w:rPr>
        <w:t xml:space="preserve"> </w:t>
      </w:r>
      <w:r w:rsidR="0042526C" w:rsidRPr="00E97F47">
        <w:rPr>
          <w:rFonts w:ascii="Arial" w:hAnsi="Arial" w:cs="Arial"/>
          <w:sz w:val="24"/>
          <w:szCs w:val="24"/>
        </w:rPr>
        <w:t xml:space="preserve">Ultimately, </w:t>
      </w:r>
      <w:r w:rsidR="00E46857" w:rsidRPr="00E97F47">
        <w:rPr>
          <w:rFonts w:ascii="Arial" w:hAnsi="Arial" w:cs="Arial"/>
          <w:sz w:val="24"/>
          <w:szCs w:val="24"/>
        </w:rPr>
        <w:t>this proved decisive</w:t>
      </w:r>
      <w:r w:rsidR="00DC3ABB" w:rsidRPr="00E97F47">
        <w:rPr>
          <w:rFonts w:ascii="Arial" w:hAnsi="Arial" w:cs="Arial"/>
          <w:sz w:val="24"/>
          <w:szCs w:val="24"/>
        </w:rPr>
        <w:t>, as shall be discussed below.</w:t>
      </w:r>
    </w:p>
    <w:p w14:paraId="72EB8B8F" w14:textId="77777777" w:rsidR="00CD2A41" w:rsidRPr="00CD2A41" w:rsidRDefault="00CD2A41" w:rsidP="00CD2A41">
      <w:pPr>
        <w:pStyle w:val="ListParagraph"/>
        <w:rPr>
          <w:rFonts w:ascii="Arial" w:hAnsi="Arial" w:cs="Arial"/>
          <w:sz w:val="24"/>
          <w:szCs w:val="24"/>
        </w:rPr>
      </w:pPr>
    </w:p>
    <w:p w14:paraId="2D60BAD0" w14:textId="77777777" w:rsidR="00CD2A41" w:rsidRDefault="00CD2A41" w:rsidP="00CD2A41">
      <w:pPr>
        <w:pStyle w:val="ListParagraph"/>
        <w:spacing w:line="360" w:lineRule="auto"/>
        <w:ind w:left="0"/>
        <w:jc w:val="both"/>
        <w:rPr>
          <w:rFonts w:ascii="Arial" w:hAnsi="Arial" w:cs="Arial"/>
          <w:sz w:val="24"/>
          <w:szCs w:val="24"/>
        </w:rPr>
      </w:pPr>
    </w:p>
    <w:p w14:paraId="15D65BA3" w14:textId="77777777" w:rsidR="00CD2A41" w:rsidRPr="00CD2A41" w:rsidRDefault="00CD2A41" w:rsidP="00CD2A41">
      <w:pPr>
        <w:pStyle w:val="ListParagraph"/>
        <w:rPr>
          <w:rFonts w:ascii="Arial" w:hAnsi="Arial" w:cs="Arial"/>
          <w:b/>
          <w:bCs/>
          <w:sz w:val="24"/>
          <w:szCs w:val="24"/>
        </w:rPr>
      </w:pPr>
    </w:p>
    <w:p w14:paraId="1DE4D304" w14:textId="6E8002E9" w:rsidR="00CD2A41" w:rsidRPr="00CD2A41" w:rsidRDefault="001640B2" w:rsidP="00CD2A41">
      <w:pPr>
        <w:pStyle w:val="ListParagraph"/>
        <w:spacing w:line="360" w:lineRule="auto"/>
        <w:ind w:left="0"/>
        <w:jc w:val="both"/>
        <w:rPr>
          <w:rFonts w:ascii="Arial" w:hAnsi="Arial" w:cs="Arial"/>
          <w:sz w:val="24"/>
          <w:szCs w:val="24"/>
        </w:rPr>
      </w:pPr>
      <w:r w:rsidRPr="00CD2A41">
        <w:rPr>
          <w:rFonts w:ascii="Arial" w:hAnsi="Arial" w:cs="Arial"/>
          <w:b/>
          <w:bCs/>
          <w:sz w:val="24"/>
          <w:szCs w:val="24"/>
        </w:rPr>
        <w:t>Non-joinder</w:t>
      </w:r>
    </w:p>
    <w:p w14:paraId="3FFCA945" w14:textId="77777777" w:rsidR="00CD2A41" w:rsidRPr="00CD2A41" w:rsidRDefault="00CD2A41" w:rsidP="00CD2A41">
      <w:pPr>
        <w:pStyle w:val="ListParagraph"/>
        <w:spacing w:line="360" w:lineRule="auto"/>
        <w:ind w:left="0"/>
        <w:jc w:val="both"/>
        <w:rPr>
          <w:rFonts w:ascii="Arial" w:hAnsi="Arial" w:cs="Arial"/>
          <w:sz w:val="24"/>
          <w:szCs w:val="24"/>
        </w:rPr>
      </w:pPr>
    </w:p>
    <w:p w14:paraId="12AD1181" w14:textId="4D5AAA7E"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8F6FF8" w:rsidRPr="00E97F47">
        <w:rPr>
          <w:rFonts w:ascii="Arial" w:hAnsi="Arial" w:cs="Arial"/>
          <w:sz w:val="24"/>
          <w:szCs w:val="24"/>
        </w:rPr>
        <w:t xml:space="preserve">The test for joinder </w:t>
      </w:r>
      <w:r w:rsidR="0005779D" w:rsidRPr="00E97F47">
        <w:rPr>
          <w:rFonts w:ascii="Arial" w:hAnsi="Arial" w:cs="Arial"/>
          <w:sz w:val="24"/>
          <w:szCs w:val="24"/>
        </w:rPr>
        <w:t xml:space="preserve">was </w:t>
      </w:r>
      <w:r w:rsidR="007F12CE" w:rsidRPr="00E97F47">
        <w:rPr>
          <w:rFonts w:ascii="Arial" w:hAnsi="Arial" w:cs="Arial"/>
          <w:sz w:val="24"/>
          <w:szCs w:val="24"/>
        </w:rPr>
        <w:t xml:space="preserve">clearly </w:t>
      </w:r>
      <w:r w:rsidR="00692B0E" w:rsidRPr="00E97F47">
        <w:rPr>
          <w:rFonts w:ascii="Arial" w:hAnsi="Arial" w:cs="Arial"/>
          <w:sz w:val="24"/>
          <w:szCs w:val="24"/>
        </w:rPr>
        <w:t xml:space="preserve">stated </w:t>
      </w:r>
      <w:r w:rsidR="0005779D" w:rsidRPr="00E97F47">
        <w:rPr>
          <w:rFonts w:ascii="Arial" w:hAnsi="Arial" w:cs="Arial"/>
          <w:sz w:val="24"/>
          <w:szCs w:val="24"/>
        </w:rPr>
        <w:t xml:space="preserve">in </w:t>
      </w:r>
      <w:r w:rsidR="002A16B4" w:rsidRPr="00E97F47">
        <w:rPr>
          <w:rFonts w:ascii="Arial" w:hAnsi="Arial" w:cs="Arial"/>
          <w:i/>
          <w:iCs/>
          <w:sz w:val="24"/>
          <w:szCs w:val="24"/>
        </w:rPr>
        <w:t xml:space="preserve">Henri Viljoen (Pty) Ltd v </w:t>
      </w:r>
      <w:r w:rsidR="009E38E3" w:rsidRPr="00E97F47">
        <w:rPr>
          <w:rFonts w:ascii="Arial" w:hAnsi="Arial" w:cs="Arial"/>
          <w:i/>
          <w:iCs/>
          <w:sz w:val="24"/>
          <w:szCs w:val="24"/>
        </w:rPr>
        <w:t>Awerbuch Bros</w:t>
      </w:r>
      <w:r w:rsidR="008A4C65" w:rsidRPr="00E97F47">
        <w:rPr>
          <w:rFonts w:ascii="Arial" w:hAnsi="Arial" w:cs="Arial"/>
          <w:sz w:val="24"/>
          <w:szCs w:val="24"/>
        </w:rPr>
        <w:t>.</w:t>
      </w:r>
      <w:r w:rsidR="009E38E3">
        <w:rPr>
          <w:rStyle w:val="FootnoteReference"/>
          <w:rFonts w:ascii="Arial" w:hAnsi="Arial" w:cs="Arial"/>
          <w:sz w:val="24"/>
          <w:szCs w:val="24"/>
        </w:rPr>
        <w:footnoteReference w:id="2"/>
      </w:r>
      <w:r w:rsidR="009E38E3" w:rsidRPr="00E97F47">
        <w:rPr>
          <w:rFonts w:ascii="Arial" w:hAnsi="Arial" w:cs="Arial"/>
          <w:sz w:val="24"/>
          <w:szCs w:val="24"/>
        </w:rPr>
        <w:t xml:space="preserve"> </w:t>
      </w:r>
      <w:r w:rsidR="008A4C65" w:rsidRPr="00E97F47">
        <w:rPr>
          <w:rFonts w:ascii="Arial" w:hAnsi="Arial" w:cs="Arial"/>
          <w:sz w:val="24"/>
          <w:szCs w:val="24"/>
        </w:rPr>
        <w:t>T</w:t>
      </w:r>
      <w:r w:rsidR="006B350B" w:rsidRPr="00E97F47">
        <w:rPr>
          <w:rFonts w:ascii="Arial" w:hAnsi="Arial" w:cs="Arial"/>
          <w:sz w:val="24"/>
          <w:szCs w:val="24"/>
        </w:rPr>
        <w:t xml:space="preserve">he court </w:t>
      </w:r>
      <w:r w:rsidR="00952529" w:rsidRPr="00E97F47">
        <w:rPr>
          <w:rFonts w:ascii="Arial" w:hAnsi="Arial" w:cs="Arial"/>
          <w:sz w:val="24"/>
          <w:szCs w:val="24"/>
        </w:rPr>
        <w:t xml:space="preserve">in that regard </w:t>
      </w:r>
      <w:r w:rsidR="008A4C65" w:rsidRPr="00E97F47">
        <w:rPr>
          <w:rFonts w:ascii="Arial" w:hAnsi="Arial" w:cs="Arial"/>
          <w:sz w:val="24"/>
          <w:szCs w:val="24"/>
        </w:rPr>
        <w:t xml:space="preserve">affirmed earlier authority to </w:t>
      </w:r>
      <w:r w:rsidR="006B350B" w:rsidRPr="00E97F47">
        <w:rPr>
          <w:rFonts w:ascii="Arial" w:hAnsi="Arial" w:cs="Arial"/>
          <w:sz w:val="24"/>
          <w:szCs w:val="24"/>
        </w:rPr>
        <w:t>h</w:t>
      </w:r>
      <w:r w:rsidR="008A4C65" w:rsidRPr="00E97F47">
        <w:rPr>
          <w:rFonts w:ascii="Arial" w:hAnsi="Arial" w:cs="Arial"/>
          <w:sz w:val="24"/>
          <w:szCs w:val="24"/>
        </w:rPr>
        <w:t>o</w:t>
      </w:r>
      <w:r w:rsidR="006B350B" w:rsidRPr="00E97F47">
        <w:rPr>
          <w:rFonts w:ascii="Arial" w:hAnsi="Arial" w:cs="Arial"/>
          <w:sz w:val="24"/>
          <w:szCs w:val="24"/>
        </w:rPr>
        <w:t xml:space="preserve">ld that </w:t>
      </w:r>
      <w:r w:rsidR="008F6FF8" w:rsidRPr="00E97F47">
        <w:rPr>
          <w:rFonts w:ascii="Arial" w:hAnsi="Arial" w:cs="Arial"/>
          <w:sz w:val="24"/>
          <w:szCs w:val="24"/>
        </w:rPr>
        <w:t>a person is a necessary party and should be joined if such person has a direct and substantial interest in any order that the court might make; alternatively, if such an order cannot be sustained or carried into effect without prejudicing such person, unless he or she has waived the right to be joined.</w:t>
      </w:r>
      <w:r w:rsidR="008F6FF8" w:rsidRPr="008F6FF8">
        <w:rPr>
          <w:vertAlign w:val="superscript"/>
        </w:rPr>
        <w:footnoteReference w:id="3"/>
      </w:r>
    </w:p>
    <w:p w14:paraId="590811FD" w14:textId="77777777" w:rsidR="00CD2A41" w:rsidRDefault="00CD2A41" w:rsidP="00CD2A41">
      <w:pPr>
        <w:pStyle w:val="ListParagraph"/>
        <w:spacing w:line="360" w:lineRule="auto"/>
        <w:ind w:left="0"/>
        <w:jc w:val="both"/>
        <w:rPr>
          <w:rFonts w:ascii="Arial" w:hAnsi="Arial" w:cs="Arial"/>
          <w:sz w:val="24"/>
          <w:szCs w:val="24"/>
        </w:rPr>
      </w:pPr>
    </w:p>
    <w:p w14:paraId="11424713" w14:textId="348200EB" w:rsidR="008F6FF8" w:rsidRPr="00E97F47" w:rsidRDefault="00E97F47" w:rsidP="00E97F47">
      <w:pPr>
        <w:spacing w:line="360" w:lineRule="auto"/>
        <w:jc w:val="both"/>
        <w:rPr>
          <w:rFonts w:ascii="Arial" w:hAnsi="Arial" w:cs="Arial"/>
          <w:sz w:val="24"/>
          <w:szCs w:val="24"/>
        </w:rPr>
      </w:pPr>
      <w:r w:rsidRPr="00CD2A41">
        <w:rPr>
          <w:rFonts w:ascii="Arial" w:hAnsi="Arial" w:cs="Arial"/>
          <w:sz w:val="24"/>
          <w:szCs w:val="24"/>
        </w:rPr>
        <w:t>[28]</w:t>
      </w:r>
      <w:r w:rsidRPr="00CD2A41">
        <w:rPr>
          <w:rFonts w:ascii="Arial" w:hAnsi="Arial" w:cs="Arial"/>
          <w:sz w:val="24"/>
          <w:szCs w:val="24"/>
        </w:rPr>
        <w:tab/>
      </w:r>
      <w:r w:rsidR="00333944" w:rsidRPr="00E97F47">
        <w:rPr>
          <w:rFonts w:ascii="Arial" w:hAnsi="Arial" w:cs="Arial"/>
          <w:sz w:val="24"/>
          <w:szCs w:val="24"/>
        </w:rPr>
        <w:t xml:space="preserve">Where </w:t>
      </w:r>
      <w:r w:rsidR="00382E1B" w:rsidRPr="00E97F47">
        <w:rPr>
          <w:rFonts w:ascii="Arial" w:hAnsi="Arial" w:cs="Arial"/>
          <w:sz w:val="24"/>
          <w:szCs w:val="24"/>
        </w:rPr>
        <w:t>many</w:t>
      </w:r>
      <w:r w:rsidR="008F6FF8" w:rsidRPr="00E97F47">
        <w:rPr>
          <w:rFonts w:ascii="Arial" w:hAnsi="Arial" w:cs="Arial"/>
          <w:sz w:val="24"/>
          <w:szCs w:val="24"/>
        </w:rPr>
        <w:t xml:space="preserve"> parties are </w:t>
      </w:r>
      <w:r w:rsidR="00677F60" w:rsidRPr="00E97F47">
        <w:rPr>
          <w:rFonts w:ascii="Arial" w:hAnsi="Arial" w:cs="Arial"/>
          <w:sz w:val="24"/>
          <w:szCs w:val="24"/>
        </w:rPr>
        <w:t>involv</w:t>
      </w:r>
      <w:r w:rsidR="008F6FF8" w:rsidRPr="00E97F47">
        <w:rPr>
          <w:rFonts w:ascii="Arial" w:hAnsi="Arial" w:cs="Arial"/>
          <w:sz w:val="24"/>
          <w:szCs w:val="24"/>
        </w:rPr>
        <w:t>ed</w:t>
      </w:r>
      <w:r w:rsidR="00677F60" w:rsidRPr="00E97F47">
        <w:rPr>
          <w:rFonts w:ascii="Arial" w:hAnsi="Arial" w:cs="Arial"/>
          <w:sz w:val="24"/>
          <w:szCs w:val="24"/>
        </w:rPr>
        <w:t>, the matter can become complicated from a practical point of view</w:t>
      </w:r>
      <w:r w:rsidR="008F6FF8" w:rsidRPr="00E97F47">
        <w:rPr>
          <w:rFonts w:ascii="Arial" w:hAnsi="Arial" w:cs="Arial"/>
          <w:sz w:val="24"/>
          <w:szCs w:val="24"/>
        </w:rPr>
        <w:t xml:space="preserve">. In </w:t>
      </w:r>
      <w:r w:rsidR="008F6FF8" w:rsidRPr="00E97F47">
        <w:rPr>
          <w:rFonts w:ascii="Arial" w:hAnsi="Arial" w:cs="Arial"/>
          <w:i/>
          <w:iCs/>
          <w:sz w:val="24"/>
          <w:szCs w:val="24"/>
        </w:rPr>
        <w:t>Road Accident Fund v Legal Practice Council</w:t>
      </w:r>
      <w:r w:rsidR="008F6FF8" w:rsidRPr="00E97F47">
        <w:rPr>
          <w:rFonts w:ascii="Arial" w:hAnsi="Arial" w:cs="Arial"/>
          <w:sz w:val="24"/>
          <w:szCs w:val="24"/>
        </w:rPr>
        <w:t>,</w:t>
      </w:r>
      <w:r w:rsidR="008F6FF8" w:rsidRPr="008F6FF8">
        <w:rPr>
          <w:vertAlign w:val="superscript"/>
        </w:rPr>
        <w:footnoteReference w:id="4"/>
      </w:r>
      <w:r w:rsidR="008F6FF8" w:rsidRPr="00E97F47">
        <w:rPr>
          <w:rFonts w:ascii="Arial" w:hAnsi="Arial" w:cs="Arial"/>
          <w:sz w:val="24"/>
          <w:szCs w:val="24"/>
        </w:rPr>
        <w:t xml:space="preserve"> the parties took steps to notify </w:t>
      </w:r>
      <w:r w:rsidR="0077769A" w:rsidRPr="00E97F47">
        <w:rPr>
          <w:rFonts w:ascii="Arial" w:hAnsi="Arial" w:cs="Arial"/>
          <w:sz w:val="24"/>
          <w:szCs w:val="24"/>
        </w:rPr>
        <w:t xml:space="preserve">a multitude of </w:t>
      </w:r>
      <w:r w:rsidR="008F6FF8" w:rsidRPr="00E97F47">
        <w:rPr>
          <w:rFonts w:ascii="Arial" w:hAnsi="Arial" w:cs="Arial"/>
          <w:sz w:val="24"/>
          <w:szCs w:val="24"/>
        </w:rPr>
        <w:t>(potential</w:t>
      </w:r>
      <w:r w:rsidR="00F0453F" w:rsidRPr="00E97F47">
        <w:rPr>
          <w:rFonts w:ascii="Arial" w:hAnsi="Arial" w:cs="Arial"/>
          <w:sz w:val="24"/>
          <w:szCs w:val="24"/>
        </w:rPr>
        <w:t>ly</w:t>
      </w:r>
      <w:r w:rsidR="008F6FF8" w:rsidRPr="00E97F47">
        <w:rPr>
          <w:rFonts w:ascii="Arial" w:hAnsi="Arial" w:cs="Arial"/>
          <w:sz w:val="24"/>
          <w:szCs w:val="24"/>
        </w:rPr>
        <w:t>) necessary parties about the relief that was sought. The court held as follows:</w:t>
      </w:r>
    </w:p>
    <w:p w14:paraId="36AD4B77" w14:textId="54C043C9" w:rsidR="008F6FF8" w:rsidRPr="008F6FF8" w:rsidRDefault="008F6FF8" w:rsidP="00CD2A41">
      <w:pPr>
        <w:spacing w:line="360" w:lineRule="auto"/>
        <w:ind w:left="720"/>
        <w:jc w:val="both"/>
        <w:rPr>
          <w:rFonts w:ascii="Arial" w:hAnsi="Arial" w:cs="Arial"/>
          <w:sz w:val="20"/>
          <w:szCs w:val="20"/>
        </w:rPr>
      </w:pPr>
      <w:r w:rsidRPr="008F6FF8">
        <w:rPr>
          <w:rFonts w:ascii="Arial" w:hAnsi="Arial" w:cs="Arial"/>
          <w:sz w:val="20"/>
          <w:szCs w:val="20"/>
        </w:rPr>
        <w:t>‘[t]his matter, in my view, is one where the joinder of the many thousands of parties, that could be affected by the order of this court, is unnecessary in the light of the steps taken by the RAF to notify as many parties of its application as possible. The steps taken are adequate. The number of affected parties is substantial, and the steps taken by the RAF to notify the sheer volume of parties that could be affected were sufficient to effect their joinder. Only the seventeenth to twenty-third respondents responded and were joined in these proceedings. The failure to respond by those who were notified can be taken to equate to a waiver of the right to be joined.’</w:t>
      </w:r>
      <w:r w:rsidR="00F0453F" w:rsidRPr="002D2FFF">
        <w:rPr>
          <w:rStyle w:val="FootnoteReference"/>
          <w:rFonts w:ascii="Arial" w:hAnsi="Arial" w:cs="Arial"/>
          <w:sz w:val="20"/>
          <w:szCs w:val="20"/>
        </w:rPr>
        <w:footnoteReference w:id="5"/>
      </w:r>
    </w:p>
    <w:p w14:paraId="3134EA79" w14:textId="77777777" w:rsidR="008F6FF8" w:rsidRPr="008F6FF8" w:rsidRDefault="008F6FF8" w:rsidP="008F6FF8">
      <w:pPr>
        <w:spacing w:line="360" w:lineRule="auto"/>
        <w:rPr>
          <w:rFonts w:ascii="Arial" w:hAnsi="Arial" w:cs="Arial"/>
          <w:sz w:val="24"/>
          <w:szCs w:val="24"/>
        </w:rPr>
      </w:pPr>
    </w:p>
    <w:p w14:paraId="3607AB64" w14:textId="4EFAF79F" w:rsidR="0036465F" w:rsidRPr="00E97F47" w:rsidRDefault="00E97F47" w:rsidP="00E97F47">
      <w:pPr>
        <w:spacing w:line="360" w:lineRule="auto"/>
        <w:jc w:val="both"/>
        <w:rPr>
          <w:rFonts w:ascii="Arial" w:hAnsi="Arial" w:cs="Arial"/>
          <w:sz w:val="24"/>
          <w:szCs w:val="24"/>
        </w:rPr>
      </w:pPr>
      <w:r w:rsidRPr="00CD2A41">
        <w:rPr>
          <w:rFonts w:ascii="Arial" w:hAnsi="Arial" w:cs="Arial"/>
          <w:sz w:val="24"/>
          <w:szCs w:val="24"/>
        </w:rPr>
        <w:t>[29]</w:t>
      </w:r>
      <w:r w:rsidRPr="00CD2A41">
        <w:rPr>
          <w:rFonts w:ascii="Arial" w:hAnsi="Arial" w:cs="Arial"/>
          <w:sz w:val="24"/>
          <w:szCs w:val="24"/>
        </w:rPr>
        <w:tab/>
      </w:r>
      <w:r w:rsidR="00F8245F" w:rsidRPr="00E97F47">
        <w:rPr>
          <w:rFonts w:ascii="Arial" w:hAnsi="Arial" w:cs="Arial"/>
          <w:sz w:val="24"/>
          <w:szCs w:val="24"/>
        </w:rPr>
        <w:t xml:space="preserve">It has been held that </w:t>
      </w:r>
      <w:r w:rsidR="008F6FF8" w:rsidRPr="00E97F47">
        <w:rPr>
          <w:rFonts w:ascii="Arial" w:hAnsi="Arial" w:cs="Arial"/>
          <w:sz w:val="24"/>
          <w:szCs w:val="24"/>
        </w:rPr>
        <w:t xml:space="preserve">informal notification of a necessary party may </w:t>
      </w:r>
      <w:r w:rsidR="006B07AF" w:rsidRPr="00E97F47">
        <w:rPr>
          <w:rFonts w:ascii="Arial" w:hAnsi="Arial" w:cs="Arial"/>
          <w:sz w:val="24"/>
          <w:szCs w:val="24"/>
        </w:rPr>
        <w:t xml:space="preserve">well </w:t>
      </w:r>
      <w:r w:rsidR="008F6FF8" w:rsidRPr="00E97F47">
        <w:rPr>
          <w:rFonts w:ascii="Arial" w:hAnsi="Arial" w:cs="Arial"/>
          <w:sz w:val="24"/>
          <w:szCs w:val="24"/>
        </w:rPr>
        <w:t>suffice in circumstances where the party has indicated, unequivocally, that it will abide by the decision of the court.</w:t>
      </w:r>
      <w:r w:rsidR="008F6FF8" w:rsidRPr="008F6FF8">
        <w:rPr>
          <w:vertAlign w:val="superscript"/>
        </w:rPr>
        <w:footnoteReference w:id="6"/>
      </w:r>
      <w:r w:rsidR="008F6FF8" w:rsidRPr="00E97F47">
        <w:rPr>
          <w:rFonts w:ascii="Arial" w:hAnsi="Arial" w:cs="Arial"/>
          <w:sz w:val="24"/>
          <w:szCs w:val="24"/>
        </w:rPr>
        <w:t xml:space="preserve"> The </w:t>
      </w:r>
      <w:r w:rsidR="006513A5" w:rsidRPr="00E97F47">
        <w:rPr>
          <w:rFonts w:ascii="Arial" w:hAnsi="Arial" w:cs="Arial"/>
          <w:sz w:val="24"/>
          <w:szCs w:val="24"/>
        </w:rPr>
        <w:t>overriding principle, however, is</w:t>
      </w:r>
      <w:r w:rsidR="008F6FF8" w:rsidRPr="00E97F47">
        <w:rPr>
          <w:rFonts w:ascii="Arial" w:hAnsi="Arial" w:cs="Arial"/>
          <w:sz w:val="24"/>
          <w:szCs w:val="24"/>
        </w:rPr>
        <w:t xml:space="preserve"> that notification must be </w:t>
      </w:r>
      <w:r w:rsidR="00AA680A" w:rsidRPr="00E97F47">
        <w:rPr>
          <w:rFonts w:ascii="Arial" w:hAnsi="Arial" w:cs="Arial"/>
          <w:sz w:val="24"/>
          <w:szCs w:val="24"/>
        </w:rPr>
        <w:t>provided</w:t>
      </w:r>
      <w:r w:rsidR="008F6FF8" w:rsidRPr="00E97F47">
        <w:rPr>
          <w:rFonts w:ascii="Arial" w:hAnsi="Arial" w:cs="Arial"/>
          <w:sz w:val="24"/>
          <w:szCs w:val="24"/>
        </w:rPr>
        <w:t xml:space="preserve">. </w:t>
      </w:r>
      <w:r w:rsidR="00AA680A" w:rsidRPr="00E97F47">
        <w:rPr>
          <w:rFonts w:ascii="Arial" w:hAnsi="Arial" w:cs="Arial"/>
          <w:sz w:val="24"/>
          <w:szCs w:val="24"/>
        </w:rPr>
        <w:t xml:space="preserve">As this court remarked in </w:t>
      </w:r>
      <w:r w:rsidR="000C0926" w:rsidRPr="00E97F47">
        <w:rPr>
          <w:rFonts w:ascii="Arial" w:hAnsi="Arial" w:cs="Arial"/>
          <w:i/>
          <w:iCs/>
          <w:sz w:val="24"/>
          <w:szCs w:val="24"/>
        </w:rPr>
        <w:t xml:space="preserve">Shine Africa Financial Services </w:t>
      </w:r>
      <w:r w:rsidR="006112E1" w:rsidRPr="00E97F47">
        <w:rPr>
          <w:rFonts w:ascii="Arial" w:hAnsi="Arial" w:cs="Arial"/>
          <w:i/>
          <w:iCs/>
          <w:sz w:val="24"/>
          <w:szCs w:val="24"/>
        </w:rPr>
        <w:t>(Pty) Ltd v Buffalo City Metropolitan Municipality</w:t>
      </w:r>
      <w:r w:rsidR="0036465F" w:rsidRPr="00E97F47">
        <w:rPr>
          <w:rFonts w:ascii="Arial" w:hAnsi="Arial" w:cs="Arial"/>
          <w:sz w:val="24"/>
          <w:szCs w:val="24"/>
        </w:rPr>
        <w:t>:</w:t>
      </w:r>
      <w:r w:rsidR="006112E1">
        <w:rPr>
          <w:rStyle w:val="FootnoteReference"/>
          <w:rFonts w:ascii="Arial" w:hAnsi="Arial" w:cs="Arial"/>
          <w:sz w:val="24"/>
          <w:szCs w:val="24"/>
        </w:rPr>
        <w:footnoteReference w:id="7"/>
      </w:r>
    </w:p>
    <w:p w14:paraId="5614006B" w14:textId="19AC8C5D" w:rsidR="008F6FF8" w:rsidRPr="008F6FF8" w:rsidRDefault="0036465F" w:rsidP="00CD2A41">
      <w:pPr>
        <w:spacing w:line="360" w:lineRule="auto"/>
        <w:ind w:left="720"/>
        <w:jc w:val="both"/>
        <w:rPr>
          <w:rFonts w:ascii="Arial" w:hAnsi="Arial" w:cs="Arial"/>
          <w:sz w:val="20"/>
          <w:szCs w:val="20"/>
        </w:rPr>
      </w:pPr>
      <w:r w:rsidRPr="00616301">
        <w:rPr>
          <w:rFonts w:ascii="Arial" w:hAnsi="Arial" w:cs="Arial"/>
          <w:sz w:val="20"/>
          <w:szCs w:val="20"/>
        </w:rPr>
        <w:t>‘</w:t>
      </w:r>
      <w:r w:rsidR="008F6FF8" w:rsidRPr="008F6FF8">
        <w:rPr>
          <w:rFonts w:ascii="Arial" w:hAnsi="Arial" w:cs="Arial"/>
          <w:sz w:val="20"/>
          <w:szCs w:val="20"/>
        </w:rPr>
        <w:t>A necessary party has a right to participate in the proceedings and must be permitted to exercise such right by making submissions before the court adjudicates the dispute. Notwithstanding the fact that numerous parties may be involved, if a person has a direct and substantial interest in an order that may be given by a court or that cannot be implemented without causing prejudice to such person, then he or she must be joined unless he or she has clearly communicated his or her intention to abide by the order to be given or otherwise waived the right to participate in the proceedings.</w:t>
      </w:r>
      <w:r w:rsidR="00354390" w:rsidRPr="00616301">
        <w:rPr>
          <w:rFonts w:ascii="Arial" w:hAnsi="Arial" w:cs="Arial"/>
          <w:sz w:val="20"/>
          <w:szCs w:val="20"/>
        </w:rPr>
        <w:t>’</w:t>
      </w:r>
      <w:r w:rsidR="005E23D3" w:rsidRPr="00616301">
        <w:rPr>
          <w:rStyle w:val="FootnoteReference"/>
          <w:rFonts w:ascii="Arial" w:hAnsi="Arial" w:cs="Arial"/>
          <w:sz w:val="20"/>
          <w:szCs w:val="20"/>
        </w:rPr>
        <w:footnoteReference w:id="8"/>
      </w:r>
    </w:p>
    <w:p w14:paraId="193DCF01" w14:textId="77777777" w:rsidR="00354390" w:rsidRDefault="00354390" w:rsidP="00C033DA">
      <w:pPr>
        <w:spacing w:line="360" w:lineRule="auto"/>
        <w:rPr>
          <w:rFonts w:ascii="Arial" w:hAnsi="Arial" w:cs="Arial"/>
          <w:sz w:val="24"/>
          <w:szCs w:val="24"/>
        </w:rPr>
      </w:pPr>
    </w:p>
    <w:p w14:paraId="483F7CAD" w14:textId="5D10E72E" w:rsidR="005F723D" w:rsidRPr="00E97F47" w:rsidRDefault="00E97F47" w:rsidP="00E97F47">
      <w:pPr>
        <w:spacing w:line="360" w:lineRule="auto"/>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r>
      <w:r w:rsidR="0004374F" w:rsidRPr="00E97F47">
        <w:rPr>
          <w:rFonts w:ascii="Arial" w:hAnsi="Arial" w:cs="Arial"/>
          <w:sz w:val="24"/>
          <w:szCs w:val="24"/>
        </w:rPr>
        <w:t xml:space="preserve">The question of whether </w:t>
      </w:r>
      <w:r w:rsidR="00E0520F" w:rsidRPr="00E97F47">
        <w:rPr>
          <w:rFonts w:ascii="Arial" w:hAnsi="Arial" w:cs="Arial"/>
          <w:sz w:val="24"/>
          <w:szCs w:val="24"/>
        </w:rPr>
        <w:t xml:space="preserve">a court may, </w:t>
      </w:r>
      <w:r w:rsidR="00E0520F" w:rsidRPr="00E97F47">
        <w:rPr>
          <w:rFonts w:ascii="Arial" w:hAnsi="Arial" w:cs="Arial"/>
          <w:i/>
          <w:iCs/>
          <w:sz w:val="24"/>
          <w:szCs w:val="24"/>
        </w:rPr>
        <w:t>mero motu</w:t>
      </w:r>
      <w:r w:rsidR="00E0520F" w:rsidRPr="00E97F47">
        <w:rPr>
          <w:rFonts w:ascii="Arial" w:hAnsi="Arial" w:cs="Arial"/>
          <w:sz w:val="24"/>
          <w:szCs w:val="24"/>
        </w:rPr>
        <w:t>, raise the issue of non-joinder</w:t>
      </w:r>
      <w:r w:rsidR="008B2B07" w:rsidRPr="00E97F47">
        <w:rPr>
          <w:rFonts w:ascii="Arial" w:hAnsi="Arial" w:cs="Arial"/>
          <w:sz w:val="24"/>
          <w:szCs w:val="24"/>
        </w:rPr>
        <w:t xml:space="preserve"> has long since been settled. The court may indeed do so to protect the </w:t>
      </w:r>
      <w:r w:rsidR="00754F5C" w:rsidRPr="00E97F47">
        <w:rPr>
          <w:rFonts w:ascii="Arial" w:hAnsi="Arial" w:cs="Arial"/>
          <w:sz w:val="24"/>
          <w:szCs w:val="24"/>
        </w:rPr>
        <w:t>interests of third parties.</w:t>
      </w:r>
      <w:r w:rsidR="000738BC">
        <w:rPr>
          <w:rStyle w:val="FootnoteReference"/>
          <w:rFonts w:ascii="Arial" w:hAnsi="Arial" w:cs="Arial"/>
          <w:sz w:val="24"/>
          <w:szCs w:val="24"/>
        </w:rPr>
        <w:footnoteReference w:id="9"/>
      </w:r>
    </w:p>
    <w:p w14:paraId="785D067D" w14:textId="02E7A625" w:rsidR="005F723D" w:rsidRDefault="005F723D" w:rsidP="005F723D">
      <w:pPr>
        <w:pStyle w:val="ListParagraph"/>
        <w:spacing w:line="360" w:lineRule="auto"/>
        <w:ind w:left="0"/>
        <w:jc w:val="both"/>
        <w:rPr>
          <w:rFonts w:ascii="Arial" w:hAnsi="Arial" w:cs="Arial"/>
          <w:sz w:val="24"/>
          <w:szCs w:val="24"/>
        </w:rPr>
      </w:pPr>
    </w:p>
    <w:p w14:paraId="0BDD838E" w14:textId="77777777" w:rsidR="005F723D" w:rsidRDefault="005F723D" w:rsidP="005F723D">
      <w:pPr>
        <w:pStyle w:val="ListParagraph"/>
        <w:spacing w:line="360" w:lineRule="auto"/>
        <w:ind w:left="0"/>
        <w:jc w:val="both"/>
        <w:rPr>
          <w:rFonts w:ascii="Arial" w:hAnsi="Arial" w:cs="Arial"/>
          <w:sz w:val="24"/>
          <w:szCs w:val="24"/>
        </w:rPr>
      </w:pPr>
    </w:p>
    <w:p w14:paraId="03789906" w14:textId="238C8644" w:rsidR="00CD2A41" w:rsidRDefault="008902DB" w:rsidP="005F723D">
      <w:pPr>
        <w:pStyle w:val="ListParagraph"/>
        <w:spacing w:line="360" w:lineRule="auto"/>
        <w:ind w:left="0"/>
        <w:jc w:val="both"/>
        <w:rPr>
          <w:rFonts w:ascii="Arial" w:hAnsi="Arial" w:cs="Arial"/>
          <w:b/>
          <w:bCs/>
          <w:sz w:val="24"/>
          <w:szCs w:val="24"/>
        </w:rPr>
      </w:pPr>
      <w:r w:rsidRPr="005F723D">
        <w:rPr>
          <w:rFonts w:ascii="Arial" w:hAnsi="Arial" w:cs="Arial"/>
          <w:b/>
          <w:bCs/>
          <w:sz w:val="24"/>
          <w:szCs w:val="24"/>
        </w:rPr>
        <w:t>Application of the law</w:t>
      </w:r>
    </w:p>
    <w:p w14:paraId="6107A98E" w14:textId="77777777" w:rsidR="005F723D" w:rsidRPr="005F723D" w:rsidRDefault="005F723D" w:rsidP="005F723D">
      <w:pPr>
        <w:pStyle w:val="ListParagraph"/>
        <w:spacing w:line="360" w:lineRule="auto"/>
        <w:ind w:left="0"/>
        <w:jc w:val="both"/>
        <w:rPr>
          <w:rFonts w:ascii="Arial" w:hAnsi="Arial" w:cs="Arial"/>
          <w:sz w:val="24"/>
          <w:szCs w:val="24"/>
        </w:rPr>
      </w:pPr>
    </w:p>
    <w:p w14:paraId="44932F68" w14:textId="77777777" w:rsidR="00CD2A41" w:rsidRPr="00CD2A41" w:rsidRDefault="00CD2A41" w:rsidP="00CD2A41">
      <w:pPr>
        <w:pStyle w:val="ListParagraph"/>
        <w:rPr>
          <w:rFonts w:ascii="Arial" w:hAnsi="Arial" w:cs="Arial"/>
          <w:sz w:val="24"/>
          <w:szCs w:val="24"/>
        </w:rPr>
      </w:pPr>
    </w:p>
    <w:p w14:paraId="3079433F" w14:textId="280B2D6B"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40BB8" w:rsidRPr="00E97F47">
        <w:rPr>
          <w:rFonts w:ascii="Arial" w:hAnsi="Arial" w:cs="Arial"/>
          <w:sz w:val="24"/>
          <w:szCs w:val="24"/>
        </w:rPr>
        <w:t xml:space="preserve">In the present matter, the </w:t>
      </w:r>
      <w:r w:rsidR="001238B4" w:rsidRPr="00E97F47">
        <w:rPr>
          <w:rFonts w:ascii="Arial" w:hAnsi="Arial" w:cs="Arial"/>
          <w:sz w:val="24"/>
          <w:szCs w:val="24"/>
        </w:rPr>
        <w:t xml:space="preserve">applicant </w:t>
      </w:r>
      <w:r w:rsidR="00340BB8" w:rsidRPr="00E97F47">
        <w:rPr>
          <w:rFonts w:ascii="Arial" w:hAnsi="Arial" w:cs="Arial"/>
          <w:sz w:val="24"/>
          <w:szCs w:val="24"/>
        </w:rPr>
        <w:t xml:space="preserve">sought relief that </w:t>
      </w:r>
      <w:r w:rsidR="00885E2F" w:rsidRPr="00E97F47">
        <w:rPr>
          <w:rFonts w:ascii="Arial" w:hAnsi="Arial" w:cs="Arial"/>
          <w:sz w:val="24"/>
          <w:szCs w:val="24"/>
        </w:rPr>
        <w:t xml:space="preserve">impugned </w:t>
      </w:r>
      <w:r w:rsidR="00F42533" w:rsidRPr="00E97F47">
        <w:rPr>
          <w:rFonts w:ascii="Arial" w:hAnsi="Arial" w:cs="Arial"/>
          <w:sz w:val="24"/>
          <w:szCs w:val="24"/>
        </w:rPr>
        <w:t xml:space="preserve">both </w:t>
      </w:r>
      <w:r w:rsidR="00885E2F" w:rsidRPr="00E97F47">
        <w:rPr>
          <w:rFonts w:ascii="Arial" w:hAnsi="Arial" w:cs="Arial"/>
          <w:sz w:val="24"/>
          <w:szCs w:val="24"/>
        </w:rPr>
        <w:t xml:space="preserve">the </w:t>
      </w:r>
      <w:r w:rsidR="00F42533" w:rsidRPr="00E97F47">
        <w:rPr>
          <w:rFonts w:ascii="Arial" w:hAnsi="Arial" w:cs="Arial"/>
          <w:sz w:val="24"/>
          <w:szCs w:val="24"/>
        </w:rPr>
        <w:t xml:space="preserve">current IEC and its CEO. </w:t>
      </w:r>
      <w:r w:rsidR="007B7132" w:rsidRPr="00E97F47">
        <w:rPr>
          <w:rFonts w:ascii="Arial" w:hAnsi="Arial" w:cs="Arial"/>
          <w:sz w:val="24"/>
          <w:szCs w:val="24"/>
        </w:rPr>
        <w:t xml:space="preserve">The allegation was made that </w:t>
      </w:r>
      <w:r w:rsidR="00057439" w:rsidRPr="00E97F47">
        <w:rPr>
          <w:rFonts w:ascii="Arial" w:hAnsi="Arial" w:cs="Arial"/>
          <w:sz w:val="24"/>
          <w:szCs w:val="24"/>
        </w:rPr>
        <w:t xml:space="preserve">the Dean of Student Affairs had failed to </w:t>
      </w:r>
      <w:r w:rsidR="00E9586F" w:rsidRPr="00E97F47">
        <w:rPr>
          <w:rFonts w:ascii="Arial" w:hAnsi="Arial" w:cs="Arial"/>
          <w:sz w:val="24"/>
          <w:szCs w:val="24"/>
        </w:rPr>
        <w:t xml:space="preserve">apply the guidelines in relation to the composition of the IEC and had </w:t>
      </w:r>
      <w:r w:rsidR="00D8727B" w:rsidRPr="00E97F47">
        <w:rPr>
          <w:rFonts w:ascii="Arial" w:hAnsi="Arial" w:cs="Arial"/>
          <w:sz w:val="24"/>
          <w:szCs w:val="24"/>
        </w:rPr>
        <w:t xml:space="preserve">made the </w:t>
      </w:r>
      <w:r w:rsidR="00F57357" w:rsidRPr="00E97F47">
        <w:rPr>
          <w:rFonts w:ascii="Arial" w:hAnsi="Arial" w:cs="Arial"/>
          <w:sz w:val="24"/>
          <w:szCs w:val="24"/>
        </w:rPr>
        <w:t xml:space="preserve">appointments and </w:t>
      </w:r>
      <w:r w:rsidR="00E9586F" w:rsidRPr="00E97F47">
        <w:rPr>
          <w:rFonts w:ascii="Arial" w:hAnsi="Arial" w:cs="Arial"/>
          <w:sz w:val="24"/>
          <w:szCs w:val="24"/>
        </w:rPr>
        <w:t>designat</w:t>
      </w:r>
      <w:r w:rsidR="00F57357" w:rsidRPr="00E97F47">
        <w:rPr>
          <w:rFonts w:ascii="Arial" w:hAnsi="Arial" w:cs="Arial"/>
          <w:sz w:val="24"/>
          <w:szCs w:val="24"/>
        </w:rPr>
        <w:t>ion while the candidates’ CVs still had to be verified.</w:t>
      </w:r>
      <w:r w:rsidR="00E9586F" w:rsidRPr="00E97F47">
        <w:rPr>
          <w:rFonts w:ascii="Arial" w:hAnsi="Arial" w:cs="Arial"/>
          <w:sz w:val="24"/>
          <w:szCs w:val="24"/>
        </w:rPr>
        <w:t xml:space="preserve"> </w:t>
      </w:r>
      <w:r w:rsidR="006B2D93" w:rsidRPr="00E97F47">
        <w:rPr>
          <w:rFonts w:ascii="Arial" w:hAnsi="Arial" w:cs="Arial"/>
          <w:sz w:val="24"/>
          <w:szCs w:val="24"/>
        </w:rPr>
        <w:t>T</w:t>
      </w:r>
      <w:r w:rsidR="00B304C1" w:rsidRPr="00E97F47">
        <w:rPr>
          <w:rFonts w:ascii="Arial" w:hAnsi="Arial" w:cs="Arial"/>
          <w:sz w:val="24"/>
          <w:szCs w:val="24"/>
        </w:rPr>
        <w:t>he order</w:t>
      </w:r>
      <w:r w:rsidR="006B2D93" w:rsidRPr="00E97F47">
        <w:rPr>
          <w:rFonts w:ascii="Arial" w:hAnsi="Arial" w:cs="Arial"/>
          <w:sz w:val="24"/>
          <w:szCs w:val="24"/>
        </w:rPr>
        <w:t>, however,</w:t>
      </w:r>
      <w:r w:rsidR="00B304C1" w:rsidRPr="00E97F47">
        <w:rPr>
          <w:rFonts w:ascii="Arial" w:hAnsi="Arial" w:cs="Arial"/>
          <w:sz w:val="24"/>
          <w:szCs w:val="24"/>
        </w:rPr>
        <w:t xml:space="preserve"> </w:t>
      </w:r>
      <w:r w:rsidR="009136DC" w:rsidRPr="00E97F47">
        <w:rPr>
          <w:rFonts w:ascii="Arial" w:hAnsi="Arial" w:cs="Arial"/>
          <w:sz w:val="24"/>
          <w:szCs w:val="24"/>
        </w:rPr>
        <w:t xml:space="preserve">would have had a </w:t>
      </w:r>
      <w:r w:rsidR="002E7239" w:rsidRPr="00E97F47">
        <w:rPr>
          <w:rFonts w:ascii="Arial" w:hAnsi="Arial" w:cs="Arial"/>
          <w:sz w:val="24"/>
          <w:szCs w:val="24"/>
        </w:rPr>
        <w:t xml:space="preserve">prejudicial </w:t>
      </w:r>
      <w:r w:rsidR="006B2D93" w:rsidRPr="00E97F47">
        <w:rPr>
          <w:rFonts w:ascii="Arial" w:hAnsi="Arial" w:cs="Arial"/>
          <w:sz w:val="24"/>
          <w:szCs w:val="24"/>
        </w:rPr>
        <w:t xml:space="preserve">effect on the </w:t>
      </w:r>
      <w:r w:rsidR="00266838" w:rsidRPr="00E97F47">
        <w:rPr>
          <w:rFonts w:ascii="Arial" w:hAnsi="Arial" w:cs="Arial"/>
          <w:sz w:val="24"/>
          <w:szCs w:val="24"/>
        </w:rPr>
        <w:t>incumbent members and individual</w:t>
      </w:r>
      <w:r w:rsidR="001F0BF1" w:rsidRPr="00E97F47">
        <w:rPr>
          <w:rFonts w:ascii="Arial" w:hAnsi="Arial" w:cs="Arial"/>
          <w:sz w:val="24"/>
          <w:szCs w:val="24"/>
        </w:rPr>
        <w:t xml:space="preserve"> concerned</w:t>
      </w:r>
      <w:r w:rsidR="00266838" w:rsidRPr="00E97F47">
        <w:rPr>
          <w:rFonts w:ascii="Arial" w:hAnsi="Arial" w:cs="Arial"/>
          <w:sz w:val="24"/>
          <w:szCs w:val="24"/>
        </w:rPr>
        <w:t xml:space="preserve">. </w:t>
      </w:r>
      <w:r w:rsidR="00EF60B6" w:rsidRPr="00E97F47">
        <w:rPr>
          <w:rFonts w:ascii="Arial" w:hAnsi="Arial" w:cs="Arial"/>
          <w:sz w:val="24"/>
          <w:szCs w:val="24"/>
        </w:rPr>
        <w:t xml:space="preserve">Clearly, they had a </w:t>
      </w:r>
      <w:r w:rsidR="001F0BF1" w:rsidRPr="00E97F47">
        <w:rPr>
          <w:rFonts w:ascii="Arial" w:hAnsi="Arial" w:cs="Arial"/>
          <w:sz w:val="24"/>
          <w:szCs w:val="24"/>
        </w:rPr>
        <w:t xml:space="preserve">direct and substantial </w:t>
      </w:r>
      <w:r w:rsidR="00EF60B6" w:rsidRPr="00E97F47">
        <w:rPr>
          <w:rFonts w:ascii="Arial" w:hAnsi="Arial" w:cs="Arial"/>
          <w:sz w:val="24"/>
          <w:szCs w:val="24"/>
        </w:rPr>
        <w:t xml:space="preserve">interest </w:t>
      </w:r>
      <w:r w:rsidR="003074EC" w:rsidRPr="00E97F47">
        <w:rPr>
          <w:rFonts w:ascii="Arial" w:hAnsi="Arial" w:cs="Arial"/>
          <w:sz w:val="24"/>
          <w:szCs w:val="24"/>
        </w:rPr>
        <w:t>in the matter</w:t>
      </w:r>
      <w:r w:rsidR="00B72A27" w:rsidRPr="00E97F47">
        <w:rPr>
          <w:rFonts w:ascii="Arial" w:hAnsi="Arial" w:cs="Arial"/>
          <w:sz w:val="24"/>
          <w:szCs w:val="24"/>
        </w:rPr>
        <w:t xml:space="preserve">. They </w:t>
      </w:r>
      <w:r w:rsidR="003074EC" w:rsidRPr="00E97F47">
        <w:rPr>
          <w:rFonts w:ascii="Arial" w:hAnsi="Arial" w:cs="Arial"/>
          <w:sz w:val="24"/>
          <w:szCs w:val="24"/>
        </w:rPr>
        <w:t>were simply never joined.</w:t>
      </w:r>
    </w:p>
    <w:p w14:paraId="53F88D98" w14:textId="77777777" w:rsidR="00CD2A41" w:rsidRDefault="00CD2A41" w:rsidP="00CD2A41">
      <w:pPr>
        <w:pStyle w:val="ListParagraph"/>
        <w:spacing w:line="360" w:lineRule="auto"/>
        <w:ind w:left="0"/>
        <w:jc w:val="both"/>
        <w:rPr>
          <w:rFonts w:ascii="Arial" w:hAnsi="Arial" w:cs="Arial"/>
          <w:sz w:val="24"/>
          <w:szCs w:val="24"/>
        </w:rPr>
      </w:pPr>
    </w:p>
    <w:p w14:paraId="0294E7D9" w14:textId="0C385251"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074EC" w:rsidRPr="00E97F47">
        <w:rPr>
          <w:rFonts w:ascii="Arial" w:hAnsi="Arial" w:cs="Arial"/>
          <w:sz w:val="24"/>
          <w:szCs w:val="24"/>
        </w:rPr>
        <w:t xml:space="preserve">Similarly, </w:t>
      </w:r>
      <w:r w:rsidR="00F81717" w:rsidRPr="00E97F47">
        <w:rPr>
          <w:rFonts w:ascii="Arial" w:hAnsi="Arial" w:cs="Arial"/>
          <w:sz w:val="24"/>
          <w:szCs w:val="24"/>
        </w:rPr>
        <w:t xml:space="preserve">an order directing the election process to commence </w:t>
      </w:r>
      <w:r w:rsidR="00F81717" w:rsidRPr="00E97F47">
        <w:rPr>
          <w:rFonts w:ascii="Arial" w:hAnsi="Arial" w:cs="Arial"/>
          <w:i/>
          <w:iCs/>
          <w:sz w:val="24"/>
          <w:szCs w:val="24"/>
        </w:rPr>
        <w:t>de novo</w:t>
      </w:r>
      <w:r w:rsidR="003074EC" w:rsidRPr="00E97F47">
        <w:rPr>
          <w:rFonts w:ascii="Arial" w:hAnsi="Arial" w:cs="Arial"/>
          <w:sz w:val="24"/>
          <w:szCs w:val="24"/>
        </w:rPr>
        <w:t xml:space="preserve"> </w:t>
      </w:r>
      <w:r w:rsidR="00D20E24" w:rsidRPr="00E97F47">
        <w:rPr>
          <w:rFonts w:ascii="Arial" w:hAnsi="Arial" w:cs="Arial"/>
          <w:sz w:val="24"/>
          <w:szCs w:val="24"/>
        </w:rPr>
        <w:t xml:space="preserve">would </w:t>
      </w:r>
      <w:r w:rsidR="00447542" w:rsidRPr="00E97F47">
        <w:rPr>
          <w:rFonts w:ascii="Arial" w:hAnsi="Arial" w:cs="Arial"/>
          <w:sz w:val="24"/>
          <w:szCs w:val="24"/>
        </w:rPr>
        <w:t xml:space="preserve">have </w:t>
      </w:r>
      <w:r w:rsidR="003A2584" w:rsidRPr="00E97F47">
        <w:rPr>
          <w:rFonts w:ascii="Arial" w:hAnsi="Arial" w:cs="Arial"/>
          <w:sz w:val="24"/>
          <w:szCs w:val="24"/>
        </w:rPr>
        <w:t xml:space="preserve">detrimentally </w:t>
      </w:r>
      <w:r w:rsidR="00D20E24" w:rsidRPr="00E97F47">
        <w:rPr>
          <w:rFonts w:ascii="Arial" w:hAnsi="Arial" w:cs="Arial"/>
          <w:sz w:val="24"/>
          <w:szCs w:val="24"/>
        </w:rPr>
        <w:t>affect</w:t>
      </w:r>
      <w:r w:rsidR="00272596" w:rsidRPr="00E97F47">
        <w:rPr>
          <w:rFonts w:ascii="Arial" w:hAnsi="Arial" w:cs="Arial"/>
          <w:sz w:val="24"/>
          <w:szCs w:val="24"/>
        </w:rPr>
        <w:t>ed</w:t>
      </w:r>
      <w:r w:rsidR="00D20E24" w:rsidRPr="00E97F47">
        <w:rPr>
          <w:rFonts w:ascii="Arial" w:hAnsi="Arial" w:cs="Arial"/>
          <w:sz w:val="24"/>
          <w:szCs w:val="24"/>
        </w:rPr>
        <w:t xml:space="preserve"> the interests of </w:t>
      </w:r>
      <w:r w:rsidR="00355469" w:rsidRPr="00E97F47">
        <w:rPr>
          <w:rFonts w:ascii="Arial" w:hAnsi="Arial" w:cs="Arial"/>
          <w:sz w:val="24"/>
          <w:szCs w:val="24"/>
        </w:rPr>
        <w:t xml:space="preserve">any number of </w:t>
      </w:r>
      <w:r w:rsidR="009933C5" w:rsidRPr="00E97F47">
        <w:rPr>
          <w:rFonts w:ascii="Arial" w:hAnsi="Arial" w:cs="Arial"/>
          <w:sz w:val="24"/>
          <w:szCs w:val="24"/>
        </w:rPr>
        <w:t xml:space="preserve">societies, student political organisations and </w:t>
      </w:r>
      <w:r w:rsidR="00355469" w:rsidRPr="00E97F47">
        <w:rPr>
          <w:rFonts w:ascii="Arial" w:hAnsi="Arial" w:cs="Arial"/>
          <w:sz w:val="24"/>
          <w:szCs w:val="24"/>
        </w:rPr>
        <w:t xml:space="preserve">individuals </w:t>
      </w:r>
      <w:r w:rsidR="00DF548C" w:rsidRPr="00E97F47">
        <w:rPr>
          <w:rFonts w:ascii="Arial" w:hAnsi="Arial" w:cs="Arial"/>
          <w:sz w:val="24"/>
          <w:szCs w:val="24"/>
        </w:rPr>
        <w:t xml:space="preserve">who had intended to participate in the election. Whether </w:t>
      </w:r>
      <w:r w:rsidR="00394EAC" w:rsidRPr="00E97F47">
        <w:rPr>
          <w:rFonts w:ascii="Arial" w:hAnsi="Arial" w:cs="Arial"/>
          <w:sz w:val="24"/>
          <w:szCs w:val="24"/>
        </w:rPr>
        <w:t xml:space="preserve">it was essential for the applicant to have </w:t>
      </w:r>
      <w:r w:rsidR="00433AB4" w:rsidRPr="00E97F47">
        <w:rPr>
          <w:rFonts w:ascii="Arial" w:hAnsi="Arial" w:cs="Arial"/>
          <w:sz w:val="24"/>
          <w:szCs w:val="24"/>
        </w:rPr>
        <w:t xml:space="preserve">joined them in these </w:t>
      </w:r>
      <w:r w:rsidR="00EB0464" w:rsidRPr="00E97F47">
        <w:rPr>
          <w:rFonts w:ascii="Arial" w:hAnsi="Arial" w:cs="Arial"/>
          <w:sz w:val="24"/>
          <w:szCs w:val="24"/>
        </w:rPr>
        <w:t xml:space="preserve">proceedings </w:t>
      </w:r>
      <w:r w:rsidR="00646F3C" w:rsidRPr="00E97F47">
        <w:rPr>
          <w:rFonts w:ascii="Arial" w:hAnsi="Arial" w:cs="Arial"/>
          <w:sz w:val="24"/>
          <w:szCs w:val="24"/>
        </w:rPr>
        <w:t>wa</w:t>
      </w:r>
      <w:r w:rsidR="00EB0464" w:rsidRPr="00E97F47">
        <w:rPr>
          <w:rFonts w:ascii="Arial" w:hAnsi="Arial" w:cs="Arial"/>
          <w:sz w:val="24"/>
          <w:szCs w:val="24"/>
        </w:rPr>
        <w:t xml:space="preserve">s not entirely evident from the papers. </w:t>
      </w:r>
    </w:p>
    <w:p w14:paraId="258F0F74" w14:textId="77777777" w:rsidR="00CD2A41" w:rsidRPr="00CD2A41" w:rsidRDefault="00CD2A41" w:rsidP="00CD2A41">
      <w:pPr>
        <w:pStyle w:val="ListParagraph"/>
        <w:rPr>
          <w:rFonts w:ascii="Arial" w:hAnsi="Arial" w:cs="Arial"/>
          <w:sz w:val="24"/>
          <w:szCs w:val="24"/>
        </w:rPr>
      </w:pPr>
    </w:p>
    <w:p w14:paraId="5C77B1AF" w14:textId="0F1B36F4"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EB0464" w:rsidRPr="00E97F47">
        <w:rPr>
          <w:rFonts w:ascii="Arial" w:hAnsi="Arial" w:cs="Arial"/>
          <w:sz w:val="24"/>
          <w:szCs w:val="24"/>
        </w:rPr>
        <w:t xml:space="preserve">However, what </w:t>
      </w:r>
      <w:r w:rsidR="00A24881" w:rsidRPr="00E97F47">
        <w:rPr>
          <w:rFonts w:ascii="Arial" w:hAnsi="Arial" w:cs="Arial"/>
          <w:sz w:val="24"/>
          <w:szCs w:val="24"/>
        </w:rPr>
        <w:t>wa</w:t>
      </w:r>
      <w:r w:rsidR="00EB0464" w:rsidRPr="00E97F47">
        <w:rPr>
          <w:rFonts w:ascii="Arial" w:hAnsi="Arial" w:cs="Arial"/>
          <w:sz w:val="24"/>
          <w:szCs w:val="24"/>
        </w:rPr>
        <w:t xml:space="preserve">s </w:t>
      </w:r>
      <w:r w:rsidR="00CA19C5" w:rsidRPr="00E97F47">
        <w:rPr>
          <w:rFonts w:ascii="Arial" w:hAnsi="Arial" w:cs="Arial"/>
          <w:sz w:val="24"/>
          <w:szCs w:val="24"/>
        </w:rPr>
        <w:t xml:space="preserve">clear </w:t>
      </w:r>
      <w:r w:rsidR="00A24881" w:rsidRPr="00E97F47">
        <w:rPr>
          <w:rFonts w:ascii="Arial" w:hAnsi="Arial" w:cs="Arial"/>
          <w:sz w:val="24"/>
          <w:szCs w:val="24"/>
        </w:rPr>
        <w:t>wa</w:t>
      </w:r>
      <w:r w:rsidR="00CA19C5" w:rsidRPr="00E97F47">
        <w:rPr>
          <w:rFonts w:ascii="Arial" w:hAnsi="Arial" w:cs="Arial"/>
          <w:sz w:val="24"/>
          <w:szCs w:val="24"/>
        </w:rPr>
        <w:t xml:space="preserve">s that the </w:t>
      </w:r>
      <w:r w:rsidR="003551C1" w:rsidRPr="00E97F47">
        <w:rPr>
          <w:rFonts w:ascii="Arial" w:hAnsi="Arial" w:cs="Arial"/>
          <w:sz w:val="24"/>
          <w:szCs w:val="24"/>
        </w:rPr>
        <w:t xml:space="preserve">existing members of the ISP </w:t>
      </w:r>
      <w:r w:rsidR="00DB6DD8" w:rsidRPr="00E97F47">
        <w:rPr>
          <w:rFonts w:ascii="Arial" w:hAnsi="Arial" w:cs="Arial"/>
          <w:sz w:val="24"/>
          <w:szCs w:val="24"/>
        </w:rPr>
        <w:t xml:space="preserve">ought to have been </w:t>
      </w:r>
      <w:r w:rsidR="00DF612A" w:rsidRPr="00E97F47">
        <w:rPr>
          <w:rFonts w:ascii="Arial" w:hAnsi="Arial" w:cs="Arial"/>
          <w:sz w:val="24"/>
          <w:szCs w:val="24"/>
        </w:rPr>
        <w:t xml:space="preserve">joined. This </w:t>
      </w:r>
      <w:r w:rsidR="00686170" w:rsidRPr="00E97F47">
        <w:rPr>
          <w:rFonts w:ascii="Arial" w:hAnsi="Arial" w:cs="Arial"/>
          <w:sz w:val="24"/>
          <w:szCs w:val="24"/>
        </w:rPr>
        <w:t>wa</w:t>
      </w:r>
      <w:r w:rsidR="00DF612A" w:rsidRPr="00E97F47">
        <w:rPr>
          <w:rFonts w:ascii="Arial" w:hAnsi="Arial" w:cs="Arial"/>
          <w:sz w:val="24"/>
          <w:szCs w:val="24"/>
        </w:rPr>
        <w:t>s so for at least two reasons</w:t>
      </w:r>
      <w:r w:rsidR="004026FD" w:rsidRPr="00E97F47">
        <w:rPr>
          <w:rFonts w:ascii="Arial" w:hAnsi="Arial" w:cs="Arial"/>
          <w:sz w:val="24"/>
          <w:szCs w:val="24"/>
        </w:rPr>
        <w:t>. F</w:t>
      </w:r>
      <w:r w:rsidR="00686170" w:rsidRPr="00E97F47">
        <w:rPr>
          <w:rFonts w:ascii="Arial" w:hAnsi="Arial" w:cs="Arial"/>
          <w:sz w:val="24"/>
          <w:szCs w:val="24"/>
        </w:rPr>
        <w:t xml:space="preserve">irstly, </w:t>
      </w:r>
      <w:r w:rsidR="003E49F8" w:rsidRPr="00E97F47">
        <w:rPr>
          <w:rFonts w:ascii="Arial" w:hAnsi="Arial" w:cs="Arial"/>
          <w:sz w:val="24"/>
          <w:szCs w:val="24"/>
        </w:rPr>
        <w:t xml:space="preserve">a </w:t>
      </w:r>
      <w:r w:rsidR="00D35851" w:rsidRPr="00E97F47">
        <w:rPr>
          <w:rFonts w:ascii="Arial" w:hAnsi="Arial" w:cs="Arial"/>
          <w:sz w:val="24"/>
          <w:szCs w:val="24"/>
        </w:rPr>
        <w:t xml:space="preserve">key </w:t>
      </w:r>
      <w:r w:rsidR="003E49F8" w:rsidRPr="00E97F47">
        <w:rPr>
          <w:rFonts w:ascii="Arial" w:hAnsi="Arial" w:cs="Arial"/>
          <w:sz w:val="24"/>
          <w:szCs w:val="24"/>
        </w:rPr>
        <w:t xml:space="preserve">component </w:t>
      </w:r>
      <w:r w:rsidR="00686170" w:rsidRPr="00E97F47">
        <w:rPr>
          <w:rFonts w:ascii="Arial" w:hAnsi="Arial" w:cs="Arial"/>
          <w:sz w:val="24"/>
          <w:szCs w:val="24"/>
        </w:rPr>
        <w:t xml:space="preserve">of the applicant’s case was that the </w:t>
      </w:r>
      <w:r w:rsidR="00572826" w:rsidRPr="00E97F47">
        <w:rPr>
          <w:rFonts w:ascii="Arial" w:hAnsi="Arial" w:cs="Arial"/>
          <w:sz w:val="24"/>
          <w:szCs w:val="24"/>
        </w:rPr>
        <w:t xml:space="preserve">meeting of </w:t>
      </w:r>
      <w:r w:rsidR="003E49F8" w:rsidRPr="00E97F47">
        <w:rPr>
          <w:rFonts w:ascii="Arial" w:hAnsi="Arial" w:cs="Arial"/>
          <w:sz w:val="24"/>
          <w:szCs w:val="24"/>
        </w:rPr>
        <w:t>1 October 2</w:t>
      </w:r>
      <w:r w:rsidR="00495CE3" w:rsidRPr="00E97F47">
        <w:rPr>
          <w:rFonts w:ascii="Arial" w:hAnsi="Arial" w:cs="Arial"/>
          <w:sz w:val="24"/>
          <w:szCs w:val="24"/>
        </w:rPr>
        <w:t xml:space="preserve">022 </w:t>
      </w:r>
      <w:r w:rsidR="00256580" w:rsidRPr="00E97F47">
        <w:rPr>
          <w:rFonts w:ascii="Arial" w:hAnsi="Arial" w:cs="Arial"/>
          <w:sz w:val="24"/>
          <w:szCs w:val="24"/>
        </w:rPr>
        <w:t>had been</w:t>
      </w:r>
      <w:r w:rsidR="00495CE3" w:rsidRPr="00E97F47">
        <w:rPr>
          <w:rFonts w:ascii="Arial" w:hAnsi="Arial" w:cs="Arial"/>
          <w:sz w:val="24"/>
          <w:szCs w:val="24"/>
        </w:rPr>
        <w:t xml:space="preserve"> unlawful</w:t>
      </w:r>
      <w:r w:rsidR="004026FD" w:rsidRPr="00E97F47">
        <w:rPr>
          <w:rFonts w:ascii="Arial" w:hAnsi="Arial" w:cs="Arial"/>
          <w:sz w:val="24"/>
          <w:szCs w:val="24"/>
        </w:rPr>
        <w:t xml:space="preserve">. It </w:t>
      </w:r>
      <w:r w:rsidR="00837BE7" w:rsidRPr="00E97F47">
        <w:rPr>
          <w:rFonts w:ascii="Arial" w:hAnsi="Arial" w:cs="Arial"/>
          <w:sz w:val="24"/>
          <w:szCs w:val="24"/>
        </w:rPr>
        <w:t>wa</w:t>
      </w:r>
      <w:r w:rsidR="00D866BF" w:rsidRPr="00E97F47">
        <w:rPr>
          <w:rFonts w:ascii="Arial" w:hAnsi="Arial" w:cs="Arial"/>
          <w:sz w:val="24"/>
          <w:szCs w:val="24"/>
        </w:rPr>
        <w:t>s common cause that there w</w:t>
      </w:r>
      <w:r w:rsidR="00ED0DD4" w:rsidRPr="00E97F47">
        <w:rPr>
          <w:rFonts w:ascii="Arial" w:hAnsi="Arial" w:cs="Arial"/>
          <w:sz w:val="24"/>
          <w:szCs w:val="24"/>
        </w:rPr>
        <w:t>ere</w:t>
      </w:r>
      <w:r w:rsidR="00D866BF" w:rsidRPr="00E97F47">
        <w:rPr>
          <w:rFonts w:ascii="Arial" w:hAnsi="Arial" w:cs="Arial"/>
          <w:sz w:val="24"/>
          <w:szCs w:val="24"/>
        </w:rPr>
        <w:t xml:space="preserve"> </w:t>
      </w:r>
      <w:r w:rsidR="00ED0DD4" w:rsidRPr="00E97F47">
        <w:rPr>
          <w:rFonts w:ascii="Arial" w:hAnsi="Arial" w:cs="Arial"/>
          <w:sz w:val="24"/>
          <w:szCs w:val="24"/>
        </w:rPr>
        <w:t>many</w:t>
      </w:r>
      <w:r w:rsidR="00D866BF" w:rsidRPr="00E97F47">
        <w:rPr>
          <w:rFonts w:ascii="Arial" w:hAnsi="Arial" w:cs="Arial"/>
          <w:sz w:val="24"/>
          <w:szCs w:val="24"/>
        </w:rPr>
        <w:t xml:space="preserve"> </w:t>
      </w:r>
      <w:r w:rsidR="004026FD" w:rsidRPr="00E97F47">
        <w:rPr>
          <w:rFonts w:ascii="Arial" w:hAnsi="Arial" w:cs="Arial"/>
          <w:sz w:val="24"/>
          <w:szCs w:val="24"/>
        </w:rPr>
        <w:t xml:space="preserve">delegates at the </w:t>
      </w:r>
      <w:r w:rsidR="00D866BF" w:rsidRPr="00E97F47">
        <w:rPr>
          <w:rFonts w:ascii="Arial" w:hAnsi="Arial" w:cs="Arial"/>
          <w:sz w:val="24"/>
          <w:szCs w:val="24"/>
        </w:rPr>
        <w:t xml:space="preserve">meeting, including </w:t>
      </w:r>
      <w:r w:rsidR="00BE6189" w:rsidRPr="00E97F47">
        <w:rPr>
          <w:rFonts w:ascii="Arial" w:hAnsi="Arial" w:cs="Arial"/>
          <w:sz w:val="24"/>
          <w:szCs w:val="24"/>
        </w:rPr>
        <w:t xml:space="preserve">representatives </w:t>
      </w:r>
      <w:r w:rsidR="00BE6189" w:rsidRPr="00E97F47">
        <w:rPr>
          <w:rFonts w:ascii="Arial" w:hAnsi="Arial" w:cs="Arial"/>
          <w:sz w:val="24"/>
          <w:szCs w:val="24"/>
        </w:rPr>
        <w:lastRenderedPageBreak/>
        <w:t xml:space="preserve">of </w:t>
      </w:r>
      <w:r w:rsidR="00713381" w:rsidRPr="00E97F47">
        <w:rPr>
          <w:rFonts w:ascii="Arial" w:hAnsi="Arial" w:cs="Arial"/>
          <w:sz w:val="24"/>
          <w:szCs w:val="24"/>
        </w:rPr>
        <w:t xml:space="preserve">several </w:t>
      </w:r>
      <w:r w:rsidR="00266E7F" w:rsidRPr="00E97F47">
        <w:rPr>
          <w:rFonts w:ascii="Arial" w:hAnsi="Arial" w:cs="Arial"/>
          <w:sz w:val="24"/>
          <w:szCs w:val="24"/>
        </w:rPr>
        <w:t xml:space="preserve">well-known </w:t>
      </w:r>
      <w:r w:rsidR="00713381" w:rsidRPr="00E97F47">
        <w:rPr>
          <w:rFonts w:ascii="Arial" w:hAnsi="Arial" w:cs="Arial"/>
          <w:sz w:val="24"/>
          <w:szCs w:val="24"/>
        </w:rPr>
        <w:t xml:space="preserve">organisations, such as </w:t>
      </w:r>
      <w:r w:rsidR="00027BBB" w:rsidRPr="00E97F47">
        <w:rPr>
          <w:rFonts w:ascii="Arial" w:hAnsi="Arial" w:cs="Arial"/>
          <w:sz w:val="24"/>
          <w:szCs w:val="24"/>
        </w:rPr>
        <w:t xml:space="preserve">the Congress of the </w:t>
      </w:r>
      <w:r w:rsidR="00A72472" w:rsidRPr="00E97F47">
        <w:rPr>
          <w:rFonts w:ascii="Arial" w:hAnsi="Arial" w:cs="Arial"/>
          <w:sz w:val="24"/>
          <w:szCs w:val="24"/>
        </w:rPr>
        <w:t>People Student Movement (‘COPESM’), the Democratic Alliance Student Organisation (‘DASO’)</w:t>
      </w:r>
      <w:r w:rsidR="001A5FB7" w:rsidRPr="00E97F47">
        <w:rPr>
          <w:rFonts w:ascii="Arial" w:hAnsi="Arial" w:cs="Arial"/>
          <w:sz w:val="24"/>
          <w:szCs w:val="24"/>
        </w:rPr>
        <w:t xml:space="preserve">, the Economic Freedom Fighters </w:t>
      </w:r>
      <w:r w:rsidR="008B6851" w:rsidRPr="00E97F47">
        <w:rPr>
          <w:rFonts w:ascii="Arial" w:hAnsi="Arial" w:cs="Arial"/>
          <w:sz w:val="24"/>
          <w:szCs w:val="24"/>
        </w:rPr>
        <w:t>Student Command (‘EFFSC’)</w:t>
      </w:r>
      <w:r w:rsidR="003C7FC6" w:rsidRPr="00E97F47">
        <w:rPr>
          <w:rFonts w:ascii="Arial" w:hAnsi="Arial" w:cs="Arial"/>
          <w:sz w:val="24"/>
          <w:szCs w:val="24"/>
        </w:rPr>
        <w:t xml:space="preserve">, </w:t>
      </w:r>
      <w:r w:rsidR="009D3225" w:rsidRPr="00E97F47">
        <w:rPr>
          <w:rFonts w:ascii="Arial" w:hAnsi="Arial" w:cs="Arial"/>
          <w:sz w:val="24"/>
          <w:szCs w:val="24"/>
        </w:rPr>
        <w:t xml:space="preserve">and </w:t>
      </w:r>
      <w:r w:rsidR="003C7FC6" w:rsidRPr="00E97F47">
        <w:rPr>
          <w:rFonts w:ascii="Arial" w:hAnsi="Arial" w:cs="Arial"/>
          <w:sz w:val="24"/>
          <w:szCs w:val="24"/>
        </w:rPr>
        <w:t>the Pan</w:t>
      </w:r>
      <w:r w:rsidR="009412E6" w:rsidRPr="00E97F47">
        <w:rPr>
          <w:rFonts w:ascii="Arial" w:hAnsi="Arial" w:cs="Arial"/>
          <w:sz w:val="24"/>
          <w:szCs w:val="24"/>
        </w:rPr>
        <w:t xml:space="preserve"> Africanist Youth Congress of Azania (‘PAYCO’)</w:t>
      </w:r>
      <w:r w:rsidR="003761BB" w:rsidRPr="00E97F47">
        <w:rPr>
          <w:rFonts w:ascii="Arial" w:hAnsi="Arial" w:cs="Arial"/>
          <w:sz w:val="24"/>
          <w:szCs w:val="24"/>
        </w:rPr>
        <w:t xml:space="preserve">. The </w:t>
      </w:r>
      <w:r w:rsidR="003B1DFF" w:rsidRPr="00E97F47">
        <w:rPr>
          <w:rFonts w:ascii="Arial" w:hAnsi="Arial" w:cs="Arial"/>
          <w:sz w:val="24"/>
          <w:szCs w:val="24"/>
        </w:rPr>
        <w:t xml:space="preserve">above </w:t>
      </w:r>
      <w:r w:rsidR="003761BB" w:rsidRPr="00E97F47">
        <w:rPr>
          <w:rFonts w:ascii="Arial" w:hAnsi="Arial" w:cs="Arial"/>
          <w:sz w:val="24"/>
          <w:szCs w:val="24"/>
        </w:rPr>
        <w:t xml:space="preserve">representatives </w:t>
      </w:r>
      <w:r w:rsidR="003B1DFF" w:rsidRPr="00E97F47">
        <w:rPr>
          <w:rFonts w:ascii="Arial" w:hAnsi="Arial" w:cs="Arial"/>
          <w:sz w:val="24"/>
          <w:szCs w:val="24"/>
        </w:rPr>
        <w:t xml:space="preserve">constituted the decision-makers </w:t>
      </w:r>
      <w:r w:rsidR="000A788F" w:rsidRPr="00E97F47">
        <w:rPr>
          <w:rFonts w:ascii="Arial" w:hAnsi="Arial" w:cs="Arial"/>
          <w:sz w:val="24"/>
          <w:szCs w:val="24"/>
        </w:rPr>
        <w:t>regarding the selection of a date for the election.</w:t>
      </w:r>
      <w:r w:rsidR="00B01C2F" w:rsidRPr="00E97F47">
        <w:rPr>
          <w:rFonts w:ascii="Arial" w:hAnsi="Arial" w:cs="Arial"/>
          <w:sz w:val="24"/>
          <w:szCs w:val="24"/>
        </w:rPr>
        <w:t xml:space="preserve"> They had, undoubtedly, a direct and </w:t>
      </w:r>
      <w:r w:rsidR="00A330F0" w:rsidRPr="00E97F47">
        <w:rPr>
          <w:rFonts w:ascii="Arial" w:hAnsi="Arial" w:cs="Arial"/>
          <w:sz w:val="24"/>
          <w:szCs w:val="24"/>
        </w:rPr>
        <w:t xml:space="preserve">substantial </w:t>
      </w:r>
      <w:r w:rsidR="00B01C2F" w:rsidRPr="00E97F47">
        <w:rPr>
          <w:rFonts w:ascii="Arial" w:hAnsi="Arial" w:cs="Arial"/>
          <w:sz w:val="24"/>
          <w:szCs w:val="24"/>
        </w:rPr>
        <w:t xml:space="preserve">interest in </w:t>
      </w:r>
      <w:r w:rsidR="009D28CF" w:rsidRPr="00E97F47">
        <w:rPr>
          <w:rFonts w:ascii="Arial" w:hAnsi="Arial" w:cs="Arial"/>
          <w:sz w:val="24"/>
          <w:szCs w:val="24"/>
        </w:rPr>
        <w:t xml:space="preserve">any order </w:t>
      </w:r>
      <w:r w:rsidR="009B1BE2" w:rsidRPr="00E97F47">
        <w:rPr>
          <w:rFonts w:ascii="Arial" w:hAnsi="Arial" w:cs="Arial"/>
          <w:sz w:val="24"/>
          <w:szCs w:val="24"/>
        </w:rPr>
        <w:t xml:space="preserve">that effectively nullified </w:t>
      </w:r>
      <w:r w:rsidR="007E320B" w:rsidRPr="00E97F47">
        <w:rPr>
          <w:rFonts w:ascii="Arial" w:hAnsi="Arial" w:cs="Arial"/>
          <w:sz w:val="24"/>
          <w:szCs w:val="24"/>
        </w:rPr>
        <w:t>such a decision by directing that the election process commence afresh.</w:t>
      </w:r>
      <w:r w:rsidR="001A0D96" w:rsidRPr="00E97F47">
        <w:rPr>
          <w:rFonts w:ascii="Arial" w:hAnsi="Arial" w:cs="Arial"/>
          <w:sz w:val="24"/>
          <w:szCs w:val="24"/>
        </w:rPr>
        <w:t xml:space="preserve"> Secondly, </w:t>
      </w:r>
      <w:r w:rsidR="00FD6002" w:rsidRPr="00E97F47">
        <w:rPr>
          <w:rFonts w:ascii="Arial" w:hAnsi="Arial" w:cs="Arial"/>
          <w:sz w:val="24"/>
          <w:szCs w:val="24"/>
        </w:rPr>
        <w:t>the applicant sought an order</w:t>
      </w:r>
      <w:r w:rsidR="00A62712" w:rsidRPr="00E97F47">
        <w:rPr>
          <w:rFonts w:ascii="Arial" w:hAnsi="Arial" w:cs="Arial"/>
          <w:sz w:val="24"/>
          <w:szCs w:val="24"/>
        </w:rPr>
        <w:t xml:space="preserve"> extending the term of the ISP</w:t>
      </w:r>
      <w:r w:rsidR="00542811" w:rsidRPr="00E97F47">
        <w:rPr>
          <w:rFonts w:ascii="Arial" w:hAnsi="Arial" w:cs="Arial"/>
          <w:sz w:val="24"/>
          <w:szCs w:val="24"/>
        </w:rPr>
        <w:t xml:space="preserve"> for a</w:t>
      </w:r>
      <w:r w:rsidR="0043260D" w:rsidRPr="00E97F47">
        <w:rPr>
          <w:rFonts w:ascii="Arial" w:hAnsi="Arial" w:cs="Arial"/>
          <w:sz w:val="24"/>
          <w:szCs w:val="24"/>
        </w:rPr>
        <w:t xml:space="preserve"> </w:t>
      </w:r>
      <w:r w:rsidR="003372DF" w:rsidRPr="00E97F47">
        <w:rPr>
          <w:rFonts w:ascii="Arial" w:hAnsi="Arial" w:cs="Arial"/>
          <w:sz w:val="24"/>
          <w:szCs w:val="24"/>
        </w:rPr>
        <w:t>period</w:t>
      </w:r>
      <w:r w:rsidR="0043260D" w:rsidRPr="00E97F47">
        <w:rPr>
          <w:rFonts w:ascii="Arial" w:hAnsi="Arial" w:cs="Arial"/>
          <w:sz w:val="24"/>
          <w:szCs w:val="24"/>
        </w:rPr>
        <w:t xml:space="preserve"> that would </w:t>
      </w:r>
      <w:r w:rsidR="00256580" w:rsidRPr="00E97F47">
        <w:rPr>
          <w:rFonts w:ascii="Arial" w:hAnsi="Arial" w:cs="Arial"/>
          <w:sz w:val="24"/>
          <w:szCs w:val="24"/>
        </w:rPr>
        <w:t xml:space="preserve">have </w:t>
      </w:r>
      <w:r w:rsidR="0043260D" w:rsidRPr="00E97F47">
        <w:rPr>
          <w:rFonts w:ascii="Arial" w:hAnsi="Arial" w:cs="Arial"/>
          <w:sz w:val="24"/>
          <w:szCs w:val="24"/>
        </w:rPr>
        <w:t>be</w:t>
      </w:r>
      <w:r w:rsidR="00256580" w:rsidRPr="00E97F47">
        <w:rPr>
          <w:rFonts w:ascii="Arial" w:hAnsi="Arial" w:cs="Arial"/>
          <w:sz w:val="24"/>
          <w:szCs w:val="24"/>
        </w:rPr>
        <w:t>en</w:t>
      </w:r>
      <w:r w:rsidR="0043260D" w:rsidRPr="00E97F47">
        <w:rPr>
          <w:rFonts w:ascii="Arial" w:hAnsi="Arial" w:cs="Arial"/>
          <w:sz w:val="24"/>
          <w:szCs w:val="24"/>
        </w:rPr>
        <w:t xml:space="preserve"> </w:t>
      </w:r>
      <w:r w:rsidR="00C50EB0" w:rsidRPr="00E97F47">
        <w:rPr>
          <w:rFonts w:ascii="Arial" w:hAnsi="Arial" w:cs="Arial"/>
          <w:sz w:val="24"/>
          <w:szCs w:val="24"/>
        </w:rPr>
        <w:t xml:space="preserve">decided upon by </w:t>
      </w:r>
      <w:r w:rsidR="00BE6ED9" w:rsidRPr="00E97F47">
        <w:rPr>
          <w:rFonts w:ascii="Arial" w:hAnsi="Arial" w:cs="Arial"/>
          <w:sz w:val="24"/>
          <w:szCs w:val="24"/>
        </w:rPr>
        <w:t xml:space="preserve">the relevant </w:t>
      </w:r>
      <w:r w:rsidR="00A23389" w:rsidRPr="00E97F47">
        <w:rPr>
          <w:rFonts w:ascii="Arial" w:hAnsi="Arial" w:cs="Arial"/>
          <w:sz w:val="24"/>
          <w:szCs w:val="24"/>
        </w:rPr>
        <w:t xml:space="preserve">parties </w:t>
      </w:r>
      <w:r w:rsidR="00C50EB0" w:rsidRPr="00E97F47">
        <w:rPr>
          <w:rFonts w:ascii="Arial" w:hAnsi="Arial" w:cs="Arial"/>
          <w:sz w:val="24"/>
          <w:szCs w:val="24"/>
        </w:rPr>
        <w:t xml:space="preserve">in terms of a consultative process. </w:t>
      </w:r>
      <w:r w:rsidR="00CD1239" w:rsidRPr="00E97F47">
        <w:rPr>
          <w:rFonts w:ascii="Arial" w:hAnsi="Arial" w:cs="Arial"/>
          <w:sz w:val="24"/>
          <w:szCs w:val="24"/>
        </w:rPr>
        <w:t xml:space="preserve">No fixed timeframe was set, </w:t>
      </w:r>
      <w:r w:rsidR="00A37729" w:rsidRPr="00E97F47">
        <w:rPr>
          <w:rFonts w:ascii="Arial" w:hAnsi="Arial" w:cs="Arial"/>
          <w:sz w:val="24"/>
          <w:szCs w:val="24"/>
        </w:rPr>
        <w:t xml:space="preserve">meaning that </w:t>
      </w:r>
      <w:r w:rsidR="002F5869" w:rsidRPr="00E97F47">
        <w:rPr>
          <w:rFonts w:ascii="Arial" w:hAnsi="Arial" w:cs="Arial"/>
          <w:sz w:val="24"/>
          <w:szCs w:val="24"/>
        </w:rPr>
        <w:t xml:space="preserve">existing members were bound to </w:t>
      </w:r>
      <w:r w:rsidR="00F07F6B" w:rsidRPr="00E97F47">
        <w:rPr>
          <w:rFonts w:ascii="Arial" w:hAnsi="Arial" w:cs="Arial"/>
          <w:sz w:val="24"/>
          <w:szCs w:val="24"/>
        </w:rPr>
        <w:t>remain whether they chose to do so or otherwise</w:t>
      </w:r>
      <w:r w:rsidR="004748F0" w:rsidRPr="00E97F47">
        <w:rPr>
          <w:rFonts w:ascii="Arial" w:hAnsi="Arial" w:cs="Arial"/>
          <w:sz w:val="24"/>
          <w:szCs w:val="24"/>
        </w:rPr>
        <w:t xml:space="preserve">. </w:t>
      </w:r>
      <w:r w:rsidR="00D05CDE" w:rsidRPr="00E97F47">
        <w:rPr>
          <w:rFonts w:ascii="Arial" w:hAnsi="Arial" w:cs="Arial"/>
          <w:sz w:val="24"/>
          <w:szCs w:val="24"/>
        </w:rPr>
        <w:t xml:space="preserve">The potential prejudice of such an order to the </w:t>
      </w:r>
      <w:r w:rsidR="007102A6" w:rsidRPr="00E97F47">
        <w:rPr>
          <w:rFonts w:ascii="Arial" w:hAnsi="Arial" w:cs="Arial"/>
          <w:sz w:val="24"/>
          <w:szCs w:val="24"/>
        </w:rPr>
        <w:t xml:space="preserve">affected societies, student organisations or individuals </w:t>
      </w:r>
      <w:r w:rsidR="0092414D" w:rsidRPr="00E97F47">
        <w:rPr>
          <w:rFonts w:ascii="Arial" w:hAnsi="Arial" w:cs="Arial"/>
          <w:sz w:val="24"/>
          <w:szCs w:val="24"/>
        </w:rPr>
        <w:t>wa</w:t>
      </w:r>
      <w:r w:rsidR="00837BE7" w:rsidRPr="00E97F47">
        <w:rPr>
          <w:rFonts w:ascii="Arial" w:hAnsi="Arial" w:cs="Arial"/>
          <w:sz w:val="24"/>
          <w:szCs w:val="24"/>
        </w:rPr>
        <w:t xml:space="preserve">s </w:t>
      </w:r>
      <w:r w:rsidR="00DC56D9" w:rsidRPr="00E97F47">
        <w:rPr>
          <w:rFonts w:ascii="Arial" w:hAnsi="Arial" w:cs="Arial"/>
          <w:sz w:val="24"/>
          <w:szCs w:val="24"/>
        </w:rPr>
        <w:t>patently apparent</w:t>
      </w:r>
      <w:r w:rsidR="00837BE7" w:rsidRPr="00E97F47">
        <w:rPr>
          <w:rFonts w:ascii="Arial" w:hAnsi="Arial" w:cs="Arial"/>
          <w:sz w:val="24"/>
          <w:szCs w:val="24"/>
        </w:rPr>
        <w:t>.</w:t>
      </w:r>
    </w:p>
    <w:p w14:paraId="4C65AD11" w14:textId="77777777" w:rsidR="00CD2A41" w:rsidRDefault="00CD2A41" w:rsidP="00CD2A41">
      <w:pPr>
        <w:pStyle w:val="ListParagraph"/>
        <w:spacing w:line="360" w:lineRule="auto"/>
        <w:ind w:left="0"/>
        <w:jc w:val="both"/>
        <w:rPr>
          <w:rFonts w:ascii="Arial" w:hAnsi="Arial" w:cs="Arial"/>
          <w:sz w:val="24"/>
          <w:szCs w:val="24"/>
        </w:rPr>
      </w:pPr>
    </w:p>
    <w:p w14:paraId="3ECC7973" w14:textId="00A2914D"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837BE7" w:rsidRPr="00E97F47">
        <w:rPr>
          <w:rFonts w:ascii="Arial" w:hAnsi="Arial" w:cs="Arial"/>
          <w:sz w:val="24"/>
          <w:szCs w:val="24"/>
        </w:rPr>
        <w:t xml:space="preserve">The same reasoning applied </w:t>
      </w:r>
      <w:r w:rsidR="0092414D" w:rsidRPr="00E97F47">
        <w:rPr>
          <w:rFonts w:ascii="Arial" w:hAnsi="Arial" w:cs="Arial"/>
          <w:sz w:val="24"/>
          <w:szCs w:val="24"/>
        </w:rPr>
        <w:t xml:space="preserve">to the non-joinder of the </w:t>
      </w:r>
      <w:r w:rsidR="00A50C8C" w:rsidRPr="00E97F47">
        <w:rPr>
          <w:rFonts w:ascii="Arial" w:hAnsi="Arial" w:cs="Arial"/>
          <w:sz w:val="24"/>
          <w:szCs w:val="24"/>
        </w:rPr>
        <w:t xml:space="preserve">SRC and its members. </w:t>
      </w:r>
      <w:r w:rsidR="00B4566B" w:rsidRPr="00E97F47">
        <w:rPr>
          <w:rFonts w:ascii="Arial" w:hAnsi="Arial" w:cs="Arial"/>
          <w:sz w:val="24"/>
          <w:szCs w:val="24"/>
        </w:rPr>
        <w:t xml:space="preserve">No opportunity </w:t>
      </w:r>
      <w:r w:rsidR="007828D2" w:rsidRPr="00E97F47">
        <w:rPr>
          <w:rFonts w:ascii="Arial" w:hAnsi="Arial" w:cs="Arial"/>
          <w:sz w:val="24"/>
          <w:szCs w:val="24"/>
        </w:rPr>
        <w:t xml:space="preserve">was provided </w:t>
      </w:r>
      <w:r w:rsidR="00ED2A8E" w:rsidRPr="00E97F47">
        <w:rPr>
          <w:rFonts w:ascii="Arial" w:hAnsi="Arial" w:cs="Arial"/>
          <w:sz w:val="24"/>
          <w:szCs w:val="24"/>
        </w:rPr>
        <w:t xml:space="preserve">to them to </w:t>
      </w:r>
      <w:r w:rsidR="00D2293C" w:rsidRPr="00E97F47">
        <w:rPr>
          <w:rFonts w:ascii="Arial" w:hAnsi="Arial" w:cs="Arial"/>
          <w:sz w:val="24"/>
          <w:szCs w:val="24"/>
        </w:rPr>
        <w:t xml:space="preserve">participate </w:t>
      </w:r>
      <w:r w:rsidR="00C82A9E" w:rsidRPr="00E97F47">
        <w:rPr>
          <w:rFonts w:ascii="Arial" w:hAnsi="Arial" w:cs="Arial"/>
          <w:sz w:val="24"/>
          <w:szCs w:val="24"/>
        </w:rPr>
        <w:t>in proceedings</w:t>
      </w:r>
      <w:r w:rsidR="00196C29" w:rsidRPr="00E97F47">
        <w:rPr>
          <w:rFonts w:ascii="Arial" w:hAnsi="Arial" w:cs="Arial"/>
          <w:sz w:val="24"/>
          <w:szCs w:val="24"/>
        </w:rPr>
        <w:t xml:space="preserve"> where the applicant </w:t>
      </w:r>
      <w:r w:rsidR="00AA374F" w:rsidRPr="00E97F47">
        <w:rPr>
          <w:rFonts w:ascii="Arial" w:hAnsi="Arial" w:cs="Arial"/>
          <w:sz w:val="24"/>
          <w:szCs w:val="24"/>
        </w:rPr>
        <w:t xml:space="preserve">had made application for </w:t>
      </w:r>
      <w:r w:rsidR="00A86675" w:rsidRPr="00E97F47">
        <w:rPr>
          <w:rFonts w:ascii="Arial" w:hAnsi="Arial" w:cs="Arial"/>
          <w:sz w:val="24"/>
          <w:szCs w:val="24"/>
        </w:rPr>
        <w:t xml:space="preserve">an order that </w:t>
      </w:r>
      <w:r w:rsidR="00005F92" w:rsidRPr="00E97F47">
        <w:rPr>
          <w:rFonts w:ascii="Arial" w:hAnsi="Arial" w:cs="Arial"/>
          <w:sz w:val="24"/>
          <w:szCs w:val="24"/>
        </w:rPr>
        <w:t xml:space="preserve">had the effect of </w:t>
      </w:r>
      <w:r w:rsidR="00DD5032" w:rsidRPr="00E97F47">
        <w:rPr>
          <w:rFonts w:ascii="Arial" w:hAnsi="Arial" w:cs="Arial"/>
          <w:sz w:val="24"/>
          <w:szCs w:val="24"/>
        </w:rPr>
        <w:t xml:space="preserve">indefinitely </w:t>
      </w:r>
      <w:r w:rsidR="001E21FB" w:rsidRPr="00E97F47">
        <w:rPr>
          <w:rFonts w:ascii="Arial" w:hAnsi="Arial" w:cs="Arial"/>
          <w:sz w:val="24"/>
          <w:szCs w:val="24"/>
        </w:rPr>
        <w:t>extending</w:t>
      </w:r>
      <w:r w:rsidR="00CA1729" w:rsidRPr="00E97F47">
        <w:rPr>
          <w:rFonts w:ascii="Arial" w:hAnsi="Arial" w:cs="Arial"/>
          <w:sz w:val="24"/>
          <w:szCs w:val="24"/>
        </w:rPr>
        <w:t xml:space="preserve"> </w:t>
      </w:r>
      <w:r w:rsidR="00A86675" w:rsidRPr="00E97F47">
        <w:rPr>
          <w:rFonts w:ascii="Arial" w:hAnsi="Arial" w:cs="Arial"/>
          <w:sz w:val="24"/>
          <w:szCs w:val="24"/>
        </w:rPr>
        <w:t>their</w:t>
      </w:r>
      <w:r w:rsidR="00CA1729" w:rsidRPr="00E97F47">
        <w:rPr>
          <w:rFonts w:ascii="Arial" w:hAnsi="Arial" w:cs="Arial"/>
          <w:sz w:val="24"/>
          <w:szCs w:val="24"/>
        </w:rPr>
        <w:t xml:space="preserve"> </w:t>
      </w:r>
      <w:r w:rsidR="001E21FB" w:rsidRPr="00E97F47">
        <w:rPr>
          <w:rFonts w:ascii="Arial" w:hAnsi="Arial" w:cs="Arial"/>
          <w:sz w:val="24"/>
          <w:szCs w:val="24"/>
        </w:rPr>
        <w:t>term</w:t>
      </w:r>
      <w:r w:rsidR="00A86675" w:rsidRPr="00E97F47">
        <w:rPr>
          <w:rFonts w:ascii="Arial" w:hAnsi="Arial" w:cs="Arial"/>
          <w:sz w:val="24"/>
          <w:szCs w:val="24"/>
        </w:rPr>
        <w:t xml:space="preserve">. Once again, the prejudice </w:t>
      </w:r>
      <w:r w:rsidR="00DC56D9" w:rsidRPr="00E97F47">
        <w:rPr>
          <w:rFonts w:ascii="Arial" w:hAnsi="Arial" w:cs="Arial"/>
          <w:sz w:val="24"/>
          <w:szCs w:val="24"/>
        </w:rPr>
        <w:t>wa</w:t>
      </w:r>
      <w:r w:rsidR="00A86675" w:rsidRPr="00E97F47">
        <w:rPr>
          <w:rFonts w:ascii="Arial" w:hAnsi="Arial" w:cs="Arial"/>
          <w:sz w:val="24"/>
          <w:szCs w:val="24"/>
        </w:rPr>
        <w:t xml:space="preserve">s </w:t>
      </w:r>
      <w:r w:rsidR="00DC56D9" w:rsidRPr="00E97F47">
        <w:rPr>
          <w:rFonts w:ascii="Arial" w:hAnsi="Arial" w:cs="Arial"/>
          <w:sz w:val="24"/>
          <w:szCs w:val="24"/>
        </w:rPr>
        <w:t>obvious.</w:t>
      </w:r>
    </w:p>
    <w:p w14:paraId="455C0599" w14:textId="77777777" w:rsidR="00CD2A41" w:rsidRPr="00CD2A41" w:rsidRDefault="00CD2A41" w:rsidP="00CD2A41">
      <w:pPr>
        <w:pStyle w:val="ListParagraph"/>
        <w:rPr>
          <w:rFonts w:ascii="Arial" w:hAnsi="Arial" w:cs="Arial"/>
          <w:sz w:val="24"/>
          <w:szCs w:val="24"/>
        </w:rPr>
      </w:pPr>
    </w:p>
    <w:p w14:paraId="0BA3C341" w14:textId="2824B00B"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C55519" w:rsidRPr="00E97F47">
        <w:rPr>
          <w:rFonts w:ascii="Arial" w:hAnsi="Arial" w:cs="Arial"/>
          <w:sz w:val="24"/>
          <w:szCs w:val="24"/>
        </w:rPr>
        <w:t>It cannot be disputed that t</w:t>
      </w:r>
      <w:r w:rsidR="003C3015" w:rsidRPr="00E97F47">
        <w:rPr>
          <w:rFonts w:ascii="Arial" w:hAnsi="Arial" w:cs="Arial"/>
          <w:sz w:val="24"/>
          <w:szCs w:val="24"/>
        </w:rPr>
        <w:t xml:space="preserve">he remaining relief sought by the applicant </w:t>
      </w:r>
      <w:r w:rsidR="00FB287E" w:rsidRPr="00E97F47">
        <w:rPr>
          <w:rFonts w:ascii="Arial" w:hAnsi="Arial" w:cs="Arial"/>
          <w:sz w:val="24"/>
          <w:szCs w:val="24"/>
        </w:rPr>
        <w:t>would have had</w:t>
      </w:r>
      <w:r w:rsidR="003C3015" w:rsidRPr="00E97F47">
        <w:rPr>
          <w:rFonts w:ascii="Arial" w:hAnsi="Arial" w:cs="Arial"/>
          <w:sz w:val="24"/>
          <w:szCs w:val="24"/>
        </w:rPr>
        <w:t xml:space="preserve"> </w:t>
      </w:r>
      <w:r w:rsidR="00FF1E25" w:rsidRPr="00E97F47">
        <w:rPr>
          <w:rFonts w:ascii="Arial" w:hAnsi="Arial" w:cs="Arial"/>
          <w:sz w:val="24"/>
          <w:szCs w:val="24"/>
        </w:rPr>
        <w:t>far-reaching</w:t>
      </w:r>
      <w:r w:rsidR="00EF345E" w:rsidRPr="00E97F47">
        <w:rPr>
          <w:rFonts w:ascii="Arial" w:hAnsi="Arial" w:cs="Arial"/>
          <w:sz w:val="24"/>
          <w:szCs w:val="24"/>
        </w:rPr>
        <w:t xml:space="preserve"> </w:t>
      </w:r>
      <w:r w:rsidR="00FB287E" w:rsidRPr="00E97F47">
        <w:rPr>
          <w:rFonts w:ascii="Arial" w:hAnsi="Arial" w:cs="Arial"/>
          <w:sz w:val="24"/>
          <w:szCs w:val="24"/>
        </w:rPr>
        <w:t>consequences</w:t>
      </w:r>
      <w:r w:rsidR="00FF1E25" w:rsidRPr="00E97F47">
        <w:rPr>
          <w:rFonts w:ascii="Arial" w:hAnsi="Arial" w:cs="Arial"/>
          <w:sz w:val="24"/>
          <w:szCs w:val="24"/>
        </w:rPr>
        <w:t xml:space="preserve">. </w:t>
      </w:r>
      <w:r w:rsidR="00842108" w:rsidRPr="00E97F47">
        <w:rPr>
          <w:rFonts w:ascii="Arial" w:hAnsi="Arial" w:cs="Arial"/>
          <w:sz w:val="24"/>
          <w:szCs w:val="24"/>
        </w:rPr>
        <w:t xml:space="preserve">At a practical level, it would have </w:t>
      </w:r>
      <w:r w:rsidR="00846809" w:rsidRPr="00E97F47">
        <w:rPr>
          <w:rFonts w:ascii="Arial" w:hAnsi="Arial" w:cs="Arial"/>
          <w:sz w:val="24"/>
          <w:szCs w:val="24"/>
        </w:rPr>
        <w:t>meant</w:t>
      </w:r>
      <w:r w:rsidR="00FF1E25" w:rsidRPr="00E97F47">
        <w:rPr>
          <w:rFonts w:ascii="Arial" w:hAnsi="Arial" w:cs="Arial"/>
          <w:sz w:val="24"/>
          <w:szCs w:val="24"/>
        </w:rPr>
        <w:t xml:space="preserve"> t</w:t>
      </w:r>
      <w:r w:rsidR="00F22DD6" w:rsidRPr="00E97F47">
        <w:rPr>
          <w:rFonts w:ascii="Arial" w:hAnsi="Arial" w:cs="Arial"/>
          <w:sz w:val="24"/>
          <w:szCs w:val="24"/>
        </w:rPr>
        <w:t xml:space="preserve">hat </w:t>
      </w:r>
      <w:r w:rsidR="00594A03" w:rsidRPr="00E97F47">
        <w:rPr>
          <w:rFonts w:ascii="Arial" w:hAnsi="Arial" w:cs="Arial"/>
          <w:sz w:val="24"/>
          <w:szCs w:val="24"/>
        </w:rPr>
        <w:t xml:space="preserve">the course of </w:t>
      </w:r>
      <w:r w:rsidR="00C43353" w:rsidRPr="00E97F47">
        <w:rPr>
          <w:rFonts w:ascii="Arial" w:hAnsi="Arial" w:cs="Arial"/>
          <w:sz w:val="24"/>
          <w:szCs w:val="24"/>
        </w:rPr>
        <w:t>the</w:t>
      </w:r>
      <w:r w:rsidR="005E7DAE" w:rsidRPr="00E97F47">
        <w:rPr>
          <w:rFonts w:ascii="Arial" w:hAnsi="Arial" w:cs="Arial"/>
          <w:sz w:val="24"/>
          <w:szCs w:val="24"/>
        </w:rPr>
        <w:t xml:space="preserve"> election process </w:t>
      </w:r>
      <w:r w:rsidR="00846809" w:rsidRPr="00E97F47">
        <w:rPr>
          <w:rFonts w:ascii="Arial" w:hAnsi="Arial" w:cs="Arial"/>
          <w:sz w:val="24"/>
          <w:szCs w:val="24"/>
        </w:rPr>
        <w:t xml:space="preserve">would have </w:t>
      </w:r>
      <w:r w:rsidR="00C43353" w:rsidRPr="00E97F47">
        <w:rPr>
          <w:rFonts w:ascii="Arial" w:hAnsi="Arial" w:cs="Arial"/>
          <w:sz w:val="24"/>
          <w:szCs w:val="24"/>
        </w:rPr>
        <w:t>be</w:t>
      </w:r>
      <w:r w:rsidR="00846809" w:rsidRPr="00E97F47">
        <w:rPr>
          <w:rFonts w:ascii="Arial" w:hAnsi="Arial" w:cs="Arial"/>
          <w:sz w:val="24"/>
          <w:szCs w:val="24"/>
        </w:rPr>
        <w:t>en</w:t>
      </w:r>
      <w:r w:rsidR="00C43353" w:rsidRPr="00E97F47">
        <w:rPr>
          <w:rFonts w:ascii="Arial" w:hAnsi="Arial" w:cs="Arial"/>
          <w:sz w:val="24"/>
          <w:szCs w:val="24"/>
        </w:rPr>
        <w:t xml:space="preserve"> altered </w:t>
      </w:r>
      <w:r w:rsidR="005E7DAE" w:rsidRPr="00E97F47">
        <w:rPr>
          <w:rFonts w:ascii="Arial" w:hAnsi="Arial" w:cs="Arial"/>
          <w:sz w:val="24"/>
          <w:szCs w:val="24"/>
        </w:rPr>
        <w:t xml:space="preserve">in a way that </w:t>
      </w:r>
      <w:r w:rsidR="00C43353" w:rsidRPr="00E97F47">
        <w:rPr>
          <w:rFonts w:ascii="Arial" w:hAnsi="Arial" w:cs="Arial"/>
          <w:sz w:val="24"/>
          <w:szCs w:val="24"/>
        </w:rPr>
        <w:t xml:space="preserve">would have </w:t>
      </w:r>
      <w:r w:rsidR="005E7DAE" w:rsidRPr="00E97F47">
        <w:rPr>
          <w:rFonts w:ascii="Arial" w:hAnsi="Arial" w:cs="Arial"/>
          <w:sz w:val="24"/>
          <w:szCs w:val="24"/>
        </w:rPr>
        <w:t xml:space="preserve">had a profound impact on the incumbent </w:t>
      </w:r>
      <w:r w:rsidR="003973A0" w:rsidRPr="00E97F47">
        <w:rPr>
          <w:rFonts w:ascii="Arial" w:hAnsi="Arial" w:cs="Arial"/>
          <w:sz w:val="24"/>
          <w:szCs w:val="24"/>
        </w:rPr>
        <w:t>members of the IEC, the ISP</w:t>
      </w:r>
      <w:r w:rsidR="00E12953" w:rsidRPr="00E97F47">
        <w:rPr>
          <w:rFonts w:ascii="Arial" w:hAnsi="Arial" w:cs="Arial"/>
          <w:sz w:val="24"/>
          <w:szCs w:val="24"/>
        </w:rPr>
        <w:t xml:space="preserve"> and the SRC itself. None of the parties in question w</w:t>
      </w:r>
      <w:r w:rsidR="00236717" w:rsidRPr="00E97F47">
        <w:rPr>
          <w:rFonts w:ascii="Arial" w:hAnsi="Arial" w:cs="Arial"/>
          <w:sz w:val="24"/>
          <w:szCs w:val="24"/>
        </w:rPr>
        <w:t>as</w:t>
      </w:r>
      <w:r w:rsidR="00E12953" w:rsidRPr="00E97F47">
        <w:rPr>
          <w:rFonts w:ascii="Arial" w:hAnsi="Arial" w:cs="Arial"/>
          <w:sz w:val="24"/>
          <w:szCs w:val="24"/>
        </w:rPr>
        <w:t xml:space="preserve"> invited to participate in the</w:t>
      </w:r>
      <w:r w:rsidR="002B7479" w:rsidRPr="00E97F47">
        <w:rPr>
          <w:rFonts w:ascii="Arial" w:hAnsi="Arial" w:cs="Arial"/>
          <w:sz w:val="24"/>
          <w:szCs w:val="24"/>
        </w:rPr>
        <w:t xml:space="preserve"> resolution of a legal dispute </w:t>
      </w:r>
      <w:r w:rsidR="009069FB" w:rsidRPr="00E97F47">
        <w:rPr>
          <w:rFonts w:ascii="Arial" w:hAnsi="Arial" w:cs="Arial"/>
          <w:sz w:val="24"/>
          <w:szCs w:val="24"/>
        </w:rPr>
        <w:t>regarding which they had a direct and</w:t>
      </w:r>
      <w:r w:rsidR="00E441F6" w:rsidRPr="00E97F47">
        <w:rPr>
          <w:rFonts w:ascii="Arial" w:hAnsi="Arial" w:cs="Arial"/>
          <w:sz w:val="24"/>
          <w:szCs w:val="24"/>
        </w:rPr>
        <w:t xml:space="preserve"> substantial</w:t>
      </w:r>
      <w:r w:rsidR="009069FB" w:rsidRPr="00E97F47">
        <w:rPr>
          <w:rFonts w:ascii="Arial" w:hAnsi="Arial" w:cs="Arial"/>
          <w:sz w:val="24"/>
          <w:szCs w:val="24"/>
        </w:rPr>
        <w:t xml:space="preserve"> interest. </w:t>
      </w:r>
    </w:p>
    <w:p w14:paraId="6FF98FC8" w14:textId="77777777" w:rsidR="005F723D" w:rsidRPr="005F723D" w:rsidRDefault="005F723D" w:rsidP="005F723D">
      <w:pPr>
        <w:pStyle w:val="ListParagraph"/>
        <w:rPr>
          <w:rFonts w:ascii="Arial" w:hAnsi="Arial" w:cs="Arial"/>
          <w:sz w:val="24"/>
          <w:szCs w:val="24"/>
        </w:rPr>
      </w:pPr>
    </w:p>
    <w:p w14:paraId="49331C9E" w14:textId="77777777" w:rsidR="005F723D" w:rsidRDefault="005F723D" w:rsidP="005F723D">
      <w:pPr>
        <w:pStyle w:val="ListParagraph"/>
        <w:spacing w:line="360" w:lineRule="auto"/>
        <w:ind w:left="0"/>
        <w:jc w:val="both"/>
        <w:rPr>
          <w:rFonts w:ascii="Arial" w:hAnsi="Arial" w:cs="Arial"/>
          <w:sz w:val="24"/>
          <w:szCs w:val="24"/>
        </w:rPr>
      </w:pPr>
    </w:p>
    <w:p w14:paraId="5407A8BA" w14:textId="44E0BCEA" w:rsidR="00CD2A41" w:rsidRPr="00CD2A41" w:rsidRDefault="00A149C6" w:rsidP="00CD2A41">
      <w:pPr>
        <w:pStyle w:val="ListParagraph"/>
        <w:spacing w:line="360" w:lineRule="auto"/>
        <w:ind w:left="0"/>
        <w:jc w:val="both"/>
        <w:rPr>
          <w:rFonts w:ascii="Arial" w:hAnsi="Arial" w:cs="Arial"/>
          <w:sz w:val="24"/>
          <w:szCs w:val="24"/>
        </w:rPr>
      </w:pPr>
      <w:r w:rsidRPr="00CD2A41">
        <w:rPr>
          <w:rFonts w:ascii="Arial" w:hAnsi="Arial" w:cs="Arial"/>
          <w:b/>
          <w:bCs/>
          <w:sz w:val="24"/>
          <w:szCs w:val="24"/>
        </w:rPr>
        <w:t>Relief and order</w:t>
      </w:r>
    </w:p>
    <w:p w14:paraId="7CBC3293" w14:textId="77777777" w:rsidR="00CD2A41" w:rsidRPr="00CD2A41" w:rsidRDefault="00CD2A41" w:rsidP="00CD2A41">
      <w:pPr>
        <w:pStyle w:val="ListParagraph"/>
        <w:spacing w:line="360" w:lineRule="auto"/>
        <w:ind w:left="0"/>
        <w:jc w:val="both"/>
        <w:rPr>
          <w:rFonts w:ascii="Arial" w:hAnsi="Arial" w:cs="Arial"/>
          <w:sz w:val="24"/>
          <w:szCs w:val="24"/>
        </w:rPr>
      </w:pPr>
    </w:p>
    <w:p w14:paraId="45D07D69" w14:textId="3CF57011" w:rsidR="00CD2A41" w:rsidRPr="00E97F47" w:rsidRDefault="00E97F47" w:rsidP="00E97F47">
      <w:pPr>
        <w:spacing w:line="360" w:lineRule="auto"/>
        <w:jc w:val="both"/>
        <w:rPr>
          <w:rFonts w:ascii="Arial" w:hAnsi="Arial" w:cs="Arial"/>
          <w:sz w:val="24"/>
          <w:szCs w:val="24"/>
        </w:rPr>
      </w:pPr>
      <w:r>
        <w:rPr>
          <w:rFonts w:ascii="Arial" w:hAnsi="Arial" w:cs="Arial"/>
          <w:sz w:val="24"/>
          <w:szCs w:val="24"/>
        </w:rPr>
        <w:lastRenderedPageBreak/>
        <w:t>[36]</w:t>
      </w:r>
      <w:r>
        <w:rPr>
          <w:rFonts w:ascii="Arial" w:hAnsi="Arial" w:cs="Arial"/>
          <w:sz w:val="24"/>
          <w:szCs w:val="24"/>
        </w:rPr>
        <w:tab/>
      </w:r>
      <w:r w:rsidR="00A149C6" w:rsidRPr="00E97F47">
        <w:rPr>
          <w:rFonts w:ascii="Arial" w:hAnsi="Arial" w:cs="Arial"/>
          <w:sz w:val="24"/>
          <w:szCs w:val="24"/>
        </w:rPr>
        <w:t xml:space="preserve">The </w:t>
      </w:r>
      <w:r w:rsidR="007A2168" w:rsidRPr="00E97F47">
        <w:rPr>
          <w:rFonts w:ascii="Arial" w:hAnsi="Arial" w:cs="Arial"/>
          <w:sz w:val="24"/>
          <w:szCs w:val="24"/>
        </w:rPr>
        <w:t xml:space="preserve">issue of non-joinder was sufficient on its own to have </w:t>
      </w:r>
      <w:r w:rsidR="00EC4008" w:rsidRPr="00E97F47">
        <w:rPr>
          <w:rFonts w:ascii="Arial" w:hAnsi="Arial" w:cs="Arial"/>
          <w:sz w:val="24"/>
          <w:szCs w:val="24"/>
        </w:rPr>
        <w:t>persuaded the court that the applicant was not entitled to the relief sought.</w:t>
      </w:r>
      <w:r w:rsidR="00EF6A43" w:rsidRPr="00E97F47">
        <w:rPr>
          <w:rFonts w:ascii="Arial" w:hAnsi="Arial" w:cs="Arial"/>
          <w:sz w:val="24"/>
          <w:szCs w:val="24"/>
        </w:rPr>
        <w:t xml:space="preserve"> </w:t>
      </w:r>
      <w:r w:rsidR="00AA776D" w:rsidRPr="00E97F47">
        <w:rPr>
          <w:rFonts w:ascii="Arial" w:hAnsi="Arial" w:cs="Arial"/>
          <w:sz w:val="24"/>
          <w:szCs w:val="24"/>
        </w:rPr>
        <w:t>T</w:t>
      </w:r>
      <w:r w:rsidR="00EF6A43" w:rsidRPr="00E97F47">
        <w:rPr>
          <w:rFonts w:ascii="Arial" w:hAnsi="Arial" w:cs="Arial"/>
          <w:sz w:val="24"/>
          <w:szCs w:val="24"/>
        </w:rPr>
        <w:t xml:space="preserve">he </w:t>
      </w:r>
      <w:r w:rsidR="00B07C13" w:rsidRPr="00E97F47">
        <w:rPr>
          <w:rFonts w:ascii="Arial" w:hAnsi="Arial" w:cs="Arial"/>
          <w:sz w:val="24"/>
          <w:szCs w:val="24"/>
        </w:rPr>
        <w:t xml:space="preserve">court, nevertheless, could not ignore the </w:t>
      </w:r>
      <w:r w:rsidR="00AA776D" w:rsidRPr="00E97F47">
        <w:rPr>
          <w:rFonts w:ascii="Arial" w:hAnsi="Arial" w:cs="Arial"/>
          <w:sz w:val="24"/>
          <w:szCs w:val="24"/>
        </w:rPr>
        <w:t xml:space="preserve">deficiencies in </w:t>
      </w:r>
      <w:r w:rsidR="001F7749" w:rsidRPr="00E97F47">
        <w:rPr>
          <w:rFonts w:ascii="Arial" w:hAnsi="Arial" w:cs="Arial"/>
          <w:sz w:val="24"/>
          <w:szCs w:val="24"/>
        </w:rPr>
        <w:t xml:space="preserve">the application itself. </w:t>
      </w:r>
    </w:p>
    <w:p w14:paraId="318B8848" w14:textId="77777777" w:rsidR="00CD2A41" w:rsidRDefault="00CD2A41" w:rsidP="00CD2A41">
      <w:pPr>
        <w:pStyle w:val="ListParagraph"/>
        <w:spacing w:line="360" w:lineRule="auto"/>
        <w:ind w:left="0"/>
        <w:jc w:val="both"/>
        <w:rPr>
          <w:rFonts w:ascii="Arial" w:hAnsi="Arial" w:cs="Arial"/>
          <w:sz w:val="24"/>
          <w:szCs w:val="24"/>
        </w:rPr>
      </w:pPr>
    </w:p>
    <w:p w14:paraId="4AB1F693" w14:textId="4F0E31A5"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B33C8D" w:rsidRPr="00E97F47">
        <w:rPr>
          <w:rFonts w:ascii="Arial" w:hAnsi="Arial" w:cs="Arial"/>
          <w:sz w:val="24"/>
          <w:szCs w:val="24"/>
        </w:rPr>
        <w:t xml:space="preserve">The allegations made </w:t>
      </w:r>
      <w:r w:rsidR="00C024F9" w:rsidRPr="00E97F47">
        <w:rPr>
          <w:rFonts w:ascii="Arial" w:hAnsi="Arial" w:cs="Arial"/>
          <w:sz w:val="24"/>
          <w:szCs w:val="24"/>
        </w:rPr>
        <w:t>by the a</w:t>
      </w:r>
      <w:r w:rsidR="00940C00" w:rsidRPr="00E97F47">
        <w:rPr>
          <w:rFonts w:ascii="Arial" w:hAnsi="Arial" w:cs="Arial"/>
          <w:sz w:val="24"/>
          <w:szCs w:val="24"/>
        </w:rPr>
        <w:t xml:space="preserve">pplicant </w:t>
      </w:r>
      <w:r w:rsidR="00B33C8D" w:rsidRPr="00E97F47">
        <w:rPr>
          <w:rFonts w:ascii="Arial" w:hAnsi="Arial" w:cs="Arial"/>
          <w:sz w:val="24"/>
          <w:szCs w:val="24"/>
        </w:rPr>
        <w:t xml:space="preserve">were </w:t>
      </w:r>
      <w:r w:rsidR="00CF054E" w:rsidRPr="00E97F47">
        <w:rPr>
          <w:rFonts w:ascii="Arial" w:hAnsi="Arial" w:cs="Arial"/>
          <w:sz w:val="24"/>
          <w:szCs w:val="24"/>
        </w:rPr>
        <w:t xml:space="preserve">vague </w:t>
      </w:r>
      <w:r w:rsidR="00B33C8D" w:rsidRPr="00E97F47">
        <w:rPr>
          <w:rFonts w:ascii="Arial" w:hAnsi="Arial" w:cs="Arial"/>
          <w:sz w:val="24"/>
          <w:szCs w:val="24"/>
        </w:rPr>
        <w:t>and sweeping in nature</w:t>
      </w:r>
      <w:r w:rsidR="00F64DD6" w:rsidRPr="00E97F47">
        <w:rPr>
          <w:rFonts w:ascii="Arial" w:hAnsi="Arial" w:cs="Arial"/>
          <w:sz w:val="24"/>
          <w:szCs w:val="24"/>
        </w:rPr>
        <w:t>, often based on hearsay</w:t>
      </w:r>
      <w:r w:rsidR="00C30549" w:rsidRPr="00E97F47">
        <w:rPr>
          <w:rFonts w:ascii="Arial" w:hAnsi="Arial" w:cs="Arial"/>
          <w:sz w:val="24"/>
          <w:szCs w:val="24"/>
        </w:rPr>
        <w:t xml:space="preserve">, </w:t>
      </w:r>
      <w:r w:rsidR="00F64DD6" w:rsidRPr="00E97F47">
        <w:rPr>
          <w:rFonts w:ascii="Arial" w:hAnsi="Arial" w:cs="Arial"/>
          <w:sz w:val="24"/>
          <w:szCs w:val="24"/>
        </w:rPr>
        <w:t xml:space="preserve">and </w:t>
      </w:r>
      <w:r w:rsidR="00C30549" w:rsidRPr="00E97F47">
        <w:rPr>
          <w:rFonts w:ascii="Arial" w:hAnsi="Arial" w:cs="Arial"/>
          <w:sz w:val="24"/>
          <w:szCs w:val="24"/>
        </w:rPr>
        <w:t xml:space="preserve">unsupported by evidence. For example, </w:t>
      </w:r>
      <w:r w:rsidR="00871389" w:rsidRPr="00E97F47">
        <w:rPr>
          <w:rFonts w:ascii="Arial" w:hAnsi="Arial" w:cs="Arial"/>
          <w:sz w:val="24"/>
          <w:szCs w:val="24"/>
        </w:rPr>
        <w:t>no record was filed for the decisions taken at the meetings of 18</w:t>
      </w:r>
      <w:r w:rsidR="004C5184" w:rsidRPr="00E97F47">
        <w:rPr>
          <w:rFonts w:ascii="Arial" w:hAnsi="Arial" w:cs="Arial"/>
          <w:sz w:val="24"/>
          <w:szCs w:val="24"/>
        </w:rPr>
        <w:t xml:space="preserve"> and 30</w:t>
      </w:r>
      <w:r w:rsidR="00871389" w:rsidRPr="00E97F47">
        <w:rPr>
          <w:rFonts w:ascii="Arial" w:hAnsi="Arial" w:cs="Arial"/>
          <w:sz w:val="24"/>
          <w:szCs w:val="24"/>
        </w:rPr>
        <w:t xml:space="preserve"> September</w:t>
      </w:r>
      <w:r w:rsidR="00E750F7" w:rsidRPr="00E97F47">
        <w:rPr>
          <w:rFonts w:ascii="Arial" w:hAnsi="Arial" w:cs="Arial"/>
          <w:sz w:val="24"/>
          <w:szCs w:val="24"/>
        </w:rPr>
        <w:t>,</w:t>
      </w:r>
      <w:r w:rsidR="00871389" w:rsidRPr="00E97F47">
        <w:rPr>
          <w:rFonts w:ascii="Arial" w:hAnsi="Arial" w:cs="Arial"/>
          <w:sz w:val="24"/>
          <w:szCs w:val="24"/>
        </w:rPr>
        <w:t xml:space="preserve"> and 1 October 2022. </w:t>
      </w:r>
      <w:r w:rsidR="003E31CA" w:rsidRPr="00E97F47">
        <w:rPr>
          <w:rFonts w:ascii="Arial" w:hAnsi="Arial" w:cs="Arial"/>
          <w:sz w:val="24"/>
          <w:szCs w:val="24"/>
        </w:rPr>
        <w:t xml:space="preserve">It would have assisted to have seen the </w:t>
      </w:r>
      <w:r w:rsidR="00F45E8A" w:rsidRPr="00E97F47">
        <w:rPr>
          <w:rFonts w:ascii="Arial" w:hAnsi="Arial" w:cs="Arial"/>
          <w:sz w:val="24"/>
          <w:szCs w:val="24"/>
        </w:rPr>
        <w:t xml:space="preserve">notices, </w:t>
      </w:r>
      <w:r w:rsidR="00007CD5" w:rsidRPr="00E97F47">
        <w:rPr>
          <w:rFonts w:ascii="Arial" w:hAnsi="Arial" w:cs="Arial"/>
          <w:sz w:val="24"/>
          <w:szCs w:val="24"/>
        </w:rPr>
        <w:t xml:space="preserve">agendas, </w:t>
      </w:r>
      <w:r w:rsidR="00B0463A" w:rsidRPr="00E97F47">
        <w:rPr>
          <w:rFonts w:ascii="Arial" w:hAnsi="Arial" w:cs="Arial"/>
          <w:sz w:val="24"/>
          <w:szCs w:val="24"/>
        </w:rPr>
        <w:t>reports,</w:t>
      </w:r>
      <w:r w:rsidR="00F225E0" w:rsidRPr="00E97F47">
        <w:rPr>
          <w:rFonts w:ascii="Arial" w:hAnsi="Arial" w:cs="Arial"/>
          <w:sz w:val="24"/>
          <w:szCs w:val="24"/>
        </w:rPr>
        <w:t xml:space="preserve"> and minutes that formed part of the decision-making process. </w:t>
      </w:r>
      <w:r w:rsidR="00020E4C" w:rsidRPr="00E97F47">
        <w:rPr>
          <w:rFonts w:ascii="Arial" w:hAnsi="Arial" w:cs="Arial"/>
          <w:sz w:val="24"/>
          <w:szCs w:val="24"/>
        </w:rPr>
        <w:t xml:space="preserve">No guidelines in relation to the </w:t>
      </w:r>
      <w:r w:rsidR="003C30AB" w:rsidRPr="00E97F47">
        <w:rPr>
          <w:rFonts w:ascii="Arial" w:hAnsi="Arial" w:cs="Arial"/>
          <w:sz w:val="24"/>
          <w:szCs w:val="24"/>
        </w:rPr>
        <w:t xml:space="preserve">composition of the IEC were filed. </w:t>
      </w:r>
      <w:r w:rsidR="00A75F51" w:rsidRPr="00E97F47">
        <w:rPr>
          <w:rFonts w:ascii="Arial" w:hAnsi="Arial" w:cs="Arial"/>
          <w:sz w:val="24"/>
          <w:szCs w:val="24"/>
        </w:rPr>
        <w:t>No</w:t>
      </w:r>
      <w:r w:rsidR="00054A17" w:rsidRPr="00E97F47">
        <w:rPr>
          <w:rFonts w:ascii="Arial" w:hAnsi="Arial" w:cs="Arial"/>
          <w:sz w:val="24"/>
          <w:szCs w:val="24"/>
        </w:rPr>
        <w:t xml:space="preserve"> details were supplied about</w:t>
      </w:r>
      <w:r w:rsidR="00B0463A" w:rsidRPr="00E97F47">
        <w:rPr>
          <w:rFonts w:ascii="Arial" w:hAnsi="Arial" w:cs="Arial"/>
          <w:sz w:val="24"/>
          <w:szCs w:val="24"/>
        </w:rPr>
        <w:t xml:space="preserve"> how, by whom, and by when</w:t>
      </w:r>
      <w:r w:rsidR="007B14D3" w:rsidRPr="00E97F47">
        <w:rPr>
          <w:rFonts w:ascii="Arial" w:hAnsi="Arial" w:cs="Arial"/>
          <w:sz w:val="24"/>
          <w:szCs w:val="24"/>
        </w:rPr>
        <w:t xml:space="preserve"> the verification of the CVs of the candidates for appointment to the I</w:t>
      </w:r>
      <w:r w:rsidR="00FC6394" w:rsidRPr="00E97F47">
        <w:rPr>
          <w:rFonts w:ascii="Arial" w:hAnsi="Arial" w:cs="Arial"/>
          <w:sz w:val="24"/>
          <w:szCs w:val="24"/>
        </w:rPr>
        <w:t xml:space="preserve">EC </w:t>
      </w:r>
      <w:r w:rsidR="007B14D3" w:rsidRPr="00E97F47">
        <w:rPr>
          <w:rFonts w:ascii="Arial" w:hAnsi="Arial" w:cs="Arial"/>
          <w:sz w:val="24"/>
          <w:szCs w:val="24"/>
        </w:rPr>
        <w:t xml:space="preserve">was to have been conducted. </w:t>
      </w:r>
      <w:r w:rsidR="007F66F4" w:rsidRPr="00E97F47">
        <w:rPr>
          <w:rFonts w:ascii="Arial" w:hAnsi="Arial" w:cs="Arial"/>
          <w:sz w:val="24"/>
          <w:szCs w:val="24"/>
        </w:rPr>
        <w:t xml:space="preserve">No averment was made to the effect that the Dean of Student Affairs had failed to consult with the ISP, </w:t>
      </w:r>
      <w:r w:rsidR="003D59E5" w:rsidRPr="00E97F47">
        <w:rPr>
          <w:rFonts w:ascii="Arial" w:hAnsi="Arial" w:cs="Arial"/>
          <w:sz w:val="24"/>
          <w:szCs w:val="24"/>
        </w:rPr>
        <w:t xml:space="preserve">as required by section 7 of the Student Governance Constitution </w:t>
      </w:r>
      <w:r w:rsidR="00794C3E" w:rsidRPr="00E97F47">
        <w:rPr>
          <w:rFonts w:ascii="Arial" w:hAnsi="Arial" w:cs="Arial"/>
          <w:sz w:val="24"/>
          <w:szCs w:val="24"/>
        </w:rPr>
        <w:t>regarding</w:t>
      </w:r>
      <w:r w:rsidR="003D59E5" w:rsidRPr="00E97F47">
        <w:rPr>
          <w:rFonts w:ascii="Arial" w:hAnsi="Arial" w:cs="Arial"/>
          <w:sz w:val="24"/>
          <w:szCs w:val="24"/>
        </w:rPr>
        <w:t xml:space="preserve"> </w:t>
      </w:r>
      <w:r w:rsidR="002B6126" w:rsidRPr="00E97F47">
        <w:rPr>
          <w:rFonts w:ascii="Arial" w:hAnsi="Arial" w:cs="Arial"/>
          <w:sz w:val="24"/>
          <w:szCs w:val="24"/>
        </w:rPr>
        <w:t>the appointment of members to the IEC and the</w:t>
      </w:r>
      <w:r w:rsidR="00C024F9" w:rsidRPr="00E97F47">
        <w:rPr>
          <w:rFonts w:ascii="Arial" w:hAnsi="Arial" w:cs="Arial"/>
          <w:sz w:val="24"/>
          <w:szCs w:val="24"/>
        </w:rPr>
        <w:t xml:space="preserve"> designation of the CEO</w:t>
      </w:r>
      <w:r w:rsidR="00FF21D1" w:rsidRPr="00E97F47">
        <w:rPr>
          <w:rFonts w:ascii="Arial" w:hAnsi="Arial" w:cs="Arial"/>
          <w:sz w:val="24"/>
          <w:szCs w:val="24"/>
        </w:rPr>
        <w:t xml:space="preserve">. </w:t>
      </w:r>
      <w:r w:rsidR="00FC6394" w:rsidRPr="00E97F47">
        <w:rPr>
          <w:rFonts w:ascii="Arial" w:hAnsi="Arial" w:cs="Arial"/>
          <w:sz w:val="24"/>
          <w:szCs w:val="24"/>
        </w:rPr>
        <w:t xml:space="preserve">No indication was given about the </w:t>
      </w:r>
      <w:r w:rsidR="00307D5D" w:rsidRPr="00E97F47">
        <w:rPr>
          <w:rFonts w:ascii="Arial" w:hAnsi="Arial" w:cs="Arial"/>
          <w:sz w:val="24"/>
          <w:szCs w:val="24"/>
        </w:rPr>
        <w:t xml:space="preserve">respective </w:t>
      </w:r>
      <w:r w:rsidR="00FC6394" w:rsidRPr="00E97F47">
        <w:rPr>
          <w:rFonts w:ascii="Arial" w:hAnsi="Arial" w:cs="Arial"/>
          <w:sz w:val="24"/>
          <w:szCs w:val="24"/>
        </w:rPr>
        <w:t>role</w:t>
      </w:r>
      <w:r w:rsidR="00307D5D" w:rsidRPr="00E97F47">
        <w:rPr>
          <w:rFonts w:ascii="Arial" w:hAnsi="Arial" w:cs="Arial"/>
          <w:sz w:val="24"/>
          <w:szCs w:val="24"/>
        </w:rPr>
        <w:t>s</w:t>
      </w:r>
      <w:r w:rsidR="00FC6394" w:rsidRPr="00E97F47">
        <w:rPr>
          <w:rFonts w:ascii="Arial" w:hAnsi="Arial" w:cs="Arial"/>
          <w:sz w:val="24"/>
          <w:szCs w:val="24"/>
        </w:rPr>
        <w:t xml:space="preserve"> and </w:t>
      </w:r>
      <w:r w:rsidR="00B11F30" w:rsidRPr="00E97F47">
        <w:rPr>
          <w:rFonts w:ascii="Arial" w:hAnsi="Arial" w:cs="Arial"/>
          <w:sz w:val="24"/>
          <w:szCs w:val="24"/>
        </w:rPr>
        <w:t xml:space="preserve">powers of the </w:t>
      </w:r>
      <w:r w:rsidR="00FF21D1" w:rsidRPr="00E97F47">
        <w:rPr>
          <w:rFonts w:ascii="Arial" w:hAnsi="Arial" w:cs="Arial"/>
          <w:sz w:val="24"/>
          <w:szCs w:val="24"/>
        </w:rPr>
        <w:t xml:space="preserve">ISP Secretariat and ISP Speaker </w:t>
      </w:r>
      <w:r w:rsidR="00794C3E" w:rsidRPr="00E97F47">
        <w:rPr>
          <w:rFonts w:ascii="Arial" w:hAnsi="Arial" w:cs="Arial"/>
          <w:sz w:val="24"/>
          <w:szCs w:val="24"/>
        </w:rPr>
        <w:t>in relation to</w:t>
      </w:r>
      <w:r w:rsidR="00FF21D1" w:rsidRPr="00E97F47">
        <w:rPr>
          <w:rFonts w:ascii="Arial" w:hAnsi="Arial" w:cs="Arial"/>
          <w:sz w:val="24"/>
          <w:szCs w:val="24"/>
        </w:rPr>
        <w:t xml:space="preserve"> the convening of meetings</w:t>
      </w:r>
      <w:r w:rsidR="002B6126" w:rsidRPr="00E97F47">
        <w:rPr>
          <w:rFonts w:ascii="Arial" w:hAnsi="Arial" w:cs="Arial"/>
          <w:sz w:val="24"/>
          <w:szCs w:val="24"/>
        </w:rPr>
        <w:t>.</w:t>
      </w:r>
      <w:r w:rsidR="00A75F51" w:rsidRPr="00E97F47">
        <w:rPr>
          <w:rFonts w:ascii="Arial" w:hAnsi="Arial" w:cs="Arial"/>
          <w:sz w:val="24"/>
          <w:szCs w:val="24"/>
        </w:rPr>
        <w:t xml:space="preserve"> </w:t>
      </w:r>
      <w:r w:rsidR="0064189C" w:rsidRPr="00E97F47">
        <w:rPr>
          <w:rFonts w:ascii="Arial" w:hAnsi="Arial" w:cs="Arial"/>
          <w:sz w:val="24"/>
          <w:szCs w:val="24"/>
        </w:rPr>
        <w:t xml:space="preserve">No </w:t>
      </w:r>
      <w:r w:rsidR="00A75F51" w:rsidRPr="00E97F47">
        <w:rPr>
          <w:rFonts w:ascii="Arial" w:hAnsi="Arial" w:cs="Arial"/>
          <w:sz w:val="24"/>
          <w:szCs w:val="24"/>
        </w:rPr>
        <w:t xml:space="preserve">confirmatory affidavits from the </w:t>
      </w:r>
      <w:r w:rsidR="00E750F7" w:rsidRPr="00E97F47">
        <w:rPr>
          <w:rFonts w:ascii="Arial" w:hAnsi="Arial" w:cs="Arial"/>
          <w:sz w:val="24"/>
          <w:szCs w:val="24"/>
        </w:rPr>
        <w:t>delegates who had complained that their signatures had been forged were filed.</w:t>
      </w:r>
    </w:p>
    <w:p w14:paraId="284D4CBB" w14:textId="77777777" w:rsidR="00CD2A41" w:rsidRPr="00CD2A41" w:rsidRDefault="00CD2A41" w:rsidP="00CD2A41">
      <w:pPr>
        <w:pStyle w:val="ListParagraph"/>
        <w:rPr>
          <w:rFonts w:ascii="Arial" w:hAnsi="Arial" w:cs="Arial"/>
          <w:sz w:val="24"/>
          <w:szCs w:val="24"/>
        </w:rPr>
      </w:pPr>
    </w:p>
    <w:p w14:paraId="51AC4400" w14:textId="7A5C174F" w:rsidR="00CD2A41" w:rsidRPr="00E97F47" w:rsidRDefault="00E97F47" w:rsidP="00E97F47">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186FD5" w:rsidRPr="00E97F47">
        <w:rPr>
          <w:rFonts w:ascii="Arial" w:hAnsi="Arial" w:cs="Arial"/>
          <w:sz w:val="24"/>
          <w:szCs w:val="24"/>
        </w:rPr>
        <w:t>T</w:t>
      </w:r>
      <w:r w:rsidR="00F404E3" w:rsidRPr="00E97F47">
        <w:rPr>
          <w:rFonts w:ascii="Arial" w:hAnsi="Arial" w:cs="Arial"/>
          <w:sz w:val="24"/>
          <w:szCs w:val="24"/>
        </w:rPr>
        <w:t xml:space="preserve">he </w:t>
      </w:r>
      <w:r w:rsidR="00705CBE" w:rsidRPr="00E97F47">
        <w:rPr>
          <w:rFonts w:ascii="Arial" w:hAnsi="Arial" w:cs="Arial"/>
          <w:sz w:val="24"/>
          <w:szCs w:val="24"/>
        </w:rPr>
        <w:t>applicant’s correspondence to the respondent</w:t>
      </w:r>
      <w:r w:rsidR="00D61EB5" w:rsidRPr="00E97F47">
        <w:rPr>
          <w:rFonts w:ascii="Arial" w:hAnsi="Arial" w:cs="Arial"/>
          <w:sz w:val="24"/>
          <w:szCs w:val="24"/>
        </w:rPr>
        <w:t xml:space="preserve">, attached to Mr </w:t>
      </w:r>
      <w:r w:rsidR="00436CA7" w:rsidRPr="00E97F47">
        <w:rPr>
          <w:rFonts w:ascii="Arial" w:hAnsi="Arial" w:cs="Arial"/>
          <w:sz w:val="24"/>
          <w:szCs w:val="24"/>
        </w:rPr>
        <w:t xml:space="preserve">Siphatha’s founding affidavit, </w:t>
      </w:r>
      <w:r w:rsidR="00186FD5" w:rsidRPr="00E97F47">
        <w:rPr>
          <w:rFonts w:ascii="Arial" w:hAnsi="Arial" w:cs="Arial"/>
          <w:sz w:val="24"/>
          <w:szCs w:val="24"/>
        </w:rPr>
        <w:t xml:space="preserve">did not </w:t>
      </w:r>
      <w:r w:rsidR="00137883" w:rsidRPr="00E97F47">
        <w:rPr>
          <w:rFonts w:ascii="Arial" w:hAnsi="Arial" w:cs="Arial"/>
          <w:sz w:val="24"/>
          <w:szCs w:val="24"/>
        </w:rPr>
        <w:t>cure the above deficien</w:t>
      </w:r>
      <w:r w:rsidR="00186FD5" w:rsidRPr="00E97F47">
        <w:rPr>
          <w:rFonts w:ascii="Arial" w:hAnsi="Arial" w:cs="Arial"/>
          <w:sz w:val="24"/>
          <w:szCs w:val="24"/>
        </w:rPr>
        <w:t xml:space="preserve">cies. It was, in any event, not the task of the court to </w:t>
      </w:r>
      <w:r w:rsidR="00436CA7" w:rsidRPr="00E97F47">
        <w:rPr>
          <w:rFonts w:ascii="Arial" w:hAnsi="Arial" w:cs="Arial"/>
          <w:sz w:val="24"/>
          <w:szCs w:val="24"/>
        </w:rPr>
        <w:t xml:space="preserve">wade through the </w:t>
      </w:r>
      <w:r w:rsidR="00403FD7" w:rsidRPr="00E97F47">
        <w:rPr>
          <w:rFonts w:ascii="Arial" w:hAnsi="Arial" w:cs="Arial"/>
          <w:sz w:val="24"/>
          <w:szCs w:val="24"/>
        </w:rPr>
        <w:t xml:space="preserve">accompanying emails and letters in the vain hope of finding </w:t>
      </w:r>
      <w:r w:rsidR="00504364" w:rsidRPr="00E97F47">
        <w:rPr>
          <w:rFonts w:ascii="Arial" w:hAnsi="Arial" w:cs="Arial"/>
          <w:sz w:val="24"/>
          <w:szCs w:val="24"/>
        </w:rPr>
        <w:t xml:space="preserve">answers to questions </w:t>
      </w:r>
      <w:r w:rsidR="002B7FC3" w:rsidRPr="00E97F47">
        <w:rPr>
          <w:rFonts w:ascii="Arial" w:hAnsi="Arial" w:cs="Arial"/>
          <w:sz w:val="24"/>
          <w:szCs w:val="24"/>
        </w:rPr>
        <w:t xml:space="preserve">inadvertently </w:t>
      </w:r>
      <w:r w:rsidR="00504364" w:rsidRPr="00E97F47">
        <w:rPr>
          <w:rFonts w:ascii="Arial" w:hAnsi="Arial" w:cs="Arial"/>
          <w:sz w:val="24"/>
          <w:szCs w:val="24"/>
        </w:rPr>
        <w:t>created by papers that</w:t>
      </w:r>
      <w:r w:rsidR="009E595A" w:rsidRPr="00E97F47">
        <w:rPr>
          <w:rFonts w:ascii="Arial" w:hAnsi="Arial" w:cs="Arial"/>
          <w:sz w:val="24"/>
          <w:szCs w:val="24"/>
        </w:rPr>
        <w:t xml:space="preserve">, overall, seem to have been prepared </w:t>
      </w:r>
      <w:r w:rsidR="00084F75" w:rsidRPr="00E97F47">
        <w:rPr>
          <w:rFonts w:ascii="Arial" w:hAnsi="Arial" w:cs="Arial"/>
          <w:sz w:val="24"/>
          <w:szCs w:val="24"/>
        </w:rPr>
        <w:t xml:space="preserve">in haste and without proper regard for the </w:t>
      </w:r>
      <w:r w:rsidR="00446D1D" w:rsidRPr="00E97F47">
        <w:rPr>
          <w:rFonts w:ascii="Arial" w:hAnsi="Arial" w:cs="Arial"/>
          <w:sz w:val="24"/>
          <w:szCs w:val="24"/>
        </w:rPr>
        <w:t>evidentiary burden</w:t>
      </w:r>
      <w:r w:rsidR="005912F8" w:rsidRPr="00E97F47">
        <w:rPr>
          <w:rFonts w:ascii="Arial" w:hAnsi="Arial" w:cs="Arial"/>
          <w:sz w:val="24"/>
          <w:szCs w:val="24"/>
        </w:rPr>
        <w:t xml:space="preserve"> carried by the applicant. </w:t>
      </w:r>
      <w:r w:rsidR="00862840" w:rsidRPr="00E97F47">
        <w:rPr>
          <w:rFonts w:ascii="Arial" w:hAnsi="Arial" w:cs="Arial"/>
          <w:sz w:val="24"/>
          <w:szCs w:val="24"/>
        </w:rPr>
        <w:t xml:space="preserve">In the end, the court was not </w:t>
      </w:r>
      <w:r w:rsidR="007851F4" w:rsidRPr="00E97F47">
        <w:rPr>
          <w:rFonts w:ascii="Arial" w:hAnsi="Arial" w:cs="Arial"/>
          <w:sz w:val="24"/>
          <w:szCs w:val="24"/>
        </w:rPr>
        <w:t>convinced that the appli</w:t>
      </w:r>
      <w:r w:rsidR="00056913" w:rsidRPr="00E97F47">
        <w:rPr>
          <w:rFonts w:ascii="Arial" w:hAnsi="Arial" w:cs="Arial"/>
          <w:sz w:val="24"/>
          <w:szCs w:val="24"/>
        </w:rPr>
        <w:t xml:space="preserve">cant’s case, as presented on the papers and in argument, </w:t>
      </w:r>
      <w:r w:rsidR="007851F4" w:rsidRPr="00E97F47">
        <w:rPr>
          <w:rFonts w:ascii="Arial" w:hAnsi="Arial" w:cs="Arial"/>
          <w:sz w:val="24"/>
          <w:szCs w:val="24"/>
        </w:rPr>
        <w:t xml:space="preserve">warranted the possible </w:t>
      </w:r>
      <w:r w:rsidR="003F7F60" w:rsidRPr="00E97F47">
        <w:rPr>
          <w:rFonts w:ascii="Arial" w:hAnsi="Arial" w:cs="Arial"/>
          <w:sz w:val="24"/>
          <w:szCs w:val="24"/>
        </w:rPr>
        <w:t xml:space="preserve">postponement of the matter to permit the </w:t>
      </w:r>
      <w:r w:rsidR="003247A3" w:rsidRPr="00E97F47">
        <w:rPr>
          <w:rFonts w:ascii="Arial" w:hAnsi="Arial" w:cs="Arial"/>
          <w:sz w:val="24"/>
          <w:szCs w:val="24"/>
        </w:rPr>
        <w:t xml:space="preserve">joinder of </w:t>
      </w:r>
      <w:r w:rsidR="00866E51" w:rsidRPr="00E97F47">
        <w:rPr>
          <w:rFonts w:ascii="Arial" w:hAnsi="Arial" w:cs="Arial"/>
          <w:sz w:val="24"/>
          <w:szCs w:val="24"/>
        </w:rPr>
        <w:t xml:space="preserve">the </w:t>
      </w:r>
      <w:r w:rsidR="00264CDF" w:rsidRPr="00E97F47">
        <w:rPr>
          <w:rFonts w:ascii="Arial" w:hAnsi="Arial" w:cs="Arial"/>
          <w:sz w:val="24"/>
          <w:szCs w:val="24"/>
        </w:rPr>
        <w:t xml:space="preserve">numerous parties who had a direct and </w:t>
      </w:r>
      <w:r w:rsidR="003247A3" w:rsidRPr="00E97F47">
        <w:rPr>
          <w:rFonts w:ascii="Arial" w:hAnsi="Arial" w:cs="Arial"/>
          <w:sz w:val="24"/>
          <w:szCs w:val="24"/>
        </w:rPr>
        <w:t>substantial interest in the order that the court was invited to make.</w:t>
      </w:r>
    </w:p>
    <w:p w14:paraId="58B99482" w14:textId="77777777" w:rsidR="00CD2A41" w:rsidRPr="00CD2A41" w:rsidRDefault="00CD2A41" w:rsidP="00CD2A41">
      <w:pPr>
        <w:pStyle w:val="ListParagraph"/>
        <w:rPr>
          <w:rFonts w:ascii="Arial" w:hAnsi="Arial" w:cs="Arial"/>
          <w:sz w:val="24"/>
          <w:szCs w:val="24"/>
        </w:rPr>
      </w:pPr>
    </w:p>
    <w:p w14:paraId="66040C6E" w14:textId="43ADB6F4" w:rsidR="00CD2A41" w:rsidRPr="00E97F47" w:rsidRDefault="00E97F47" w:rsidP="00E97F47">
      <w:pPr>
        <w:spacing w:line="360" w:lineRule="auto"/>
        <w:jc w:val="both"/>
        <w:rPr>
          <w:rFonts w:ascii="Arial" w:hAnsi="Arial" w:cs="Arial"/>
          <w:sz w:val="24"/>
          <w:szCs w:val="24"/>
        </w:rPr>
      </w:pPr>
      <w:r>
        <w:rPr>
          <w:rFonts w:ascii="Arial" w:hAnsi="Arial" w:cs="Arial"/>
          <w:sz w:val="24"/>
          <w:szCs w:val="24"/>
        </w:rPr>
        <w:lastRenderedPageBreak/>
        <w:t>[39]</w:t>
      </w:r>
      <w:r>
        <w:rPr>
          <w:rFonts w:ascii="Arial" w:hAnsi="Arial" w:cs="Arial"/>
          <w:sz w:val="24"/>
          <w:szCs w:val="24"/>
        </w:rPr>
        <w:tab/>
      </w:r>
      <w:r w:rsidR="00AB4F59" w:rsidRPr="00E97F47">
        <w:rPr>
          <w:rFonts w:ascii="Arial" w:hAnsi="Arial" w:cs="Arial"/>
          <w:sz w:val="24"/>
          <w:szCs w:val="24"/>
        </w:rPr>
        <w:t xml:space="preserve">Regarding costs, the </w:t>
      </w:r>
      <w:r w:rsidR="00914F36" w:rsidRPr="00E97F47">
        <w:rPr>
          <w:rFonts w:ascii="Arial" w:hAnsi="Arial" w:cs="Arial"/>
          <w:sz w:val="24"/>
          <w:szCs w:val="24"/>
        </w:rPr>
        <w:t>usual rule applie</w:t>
      </w:r>
      <w:r w:rsidR="006B34DE" w:rsidRPr="00E97F47">
        <w:rPr>
          <w:rFonts w:ascii="Arial" w:hAnsi="Arial" w:cs="Arial"/>
          <w:sz w:val="24"/>
          <w:szCs w:val="24"/>
        </w:rPr>
        <w:t>d</w:t>
      </w:r>
      <w:r w:rsidR="00D055D8" w:rsidRPr="00E97F47">
        <w:rPr>
          <w:rFonts w:ascii="Arial" w:hAnsi="Arial" w:cs="Arial"/>
          <w:sz w:val="24"/>
          <w:szCs w:val="24"/>
        </w:rPr>
        <w:t xml:space="preserve">; </w:t>
      </w:r>
      <w:r w:rsidR="009050CB" w:rsidRPr="00E97F47">
        <w:rPr>
          <w:rFonts w:ascii="Arial" w:hAnsi="Arial" w:cs="Arial"/>
          <w:sz w:val="24"/>
          <w:szCs w:val="24"/>
        </w:rPr>
        <w:t xml:space="preserve">the </w:t>
      </w:r>
      <w:r w:rsidR="000E78D3" w:rsidRPr="00E97F47">
        <w:rPr>
          <w:rFonts w:ascii="Arial" w:hAnsi="Arial" w:cs="Arial"/>
          <w:sz w:val="24"/>
          <w:szCs w:val="24"/>
        </w:rPr>
        <w:t xml:space="preserve">respondent </w:t>
      </w:r>
      <w:r w:rsidR="00D055D8" w:rsidRPr="00E97F47">
        <w:rPr>
          <w:rFonts w:ascii="Arial" w:hAnsi="Arial" w:cs="Arial"/>
          <w:sz w:val="24"/>
          <w:szCs w:val="24"/>
        </w:rPr>
        <w:t>wa</w:t>
      </w:r>
      <w:r w:rsidR="009050CB" w:rsidRPr="00E97F47">
        <w:rPr>
          <w:rFonts w:ascii="Arial" w:hAnsi="Arial" w:cs="Arial"/>
          <w:sz w:val="24"/>
          <w:szCs w:val="24"/>
        </w:rPr>
        <w:t xml:space="preserve">s entitled to recover the expenses </w:t>
      </w:r>
      <w:r w:rsidR="00D055D8" w:rsidRPr="00E97F47">
        <w:rPr>
          <w:rFonts w:ascii="Arial" w:hAnsi="Arial" w:cs="Arial"/>
          <w:sz w:val="24"/>
          <w:szCs w:val="24"/>
        </w:rPr>
        <w:t xml:space="preserve">incurred to oppose the application. </w:t>
      </w:r>
      <w:r w:rsidR="00BA7D0E" w:rsidRPr="00E97F47">
        <w:rPr>
          <w:rFonts w:ascii="Arial" w:hAnsi="Arial" w:cs="Arial"/>
          <w:sz w:val="24"/>
          <w:szCs w:val="24"/>
        </w:rPr>
        <w:t xml:space="preserve">Whereas the respondent </w:t>
      </w:r>
      <w:r w:rsidR="000E78D3" w:rsidRPr="00E97F47">
        <w:rPr>
          <w:rFonts w:ascii="Arial" w:hAnsi="Arial" w:cs="Arial"/>
          <w:sz w:val="24"/>
          <w:szCs w:val="24"/>
        </w:rPr>
        <w:t>sought an order on a punitive scale</w:t>
      </w:r>
      <w:r w:rsidR="00BA7D0E" w:rsidRPr="00E97F47">
        <w:rPr>
          <w:rFonts w:ascii="Arial" w:hAnsi="Arial" w:cs="Arial"/>
          <w:sz w:val="24"/>
          <w:szCs w:val="24"/>
        </w:rPr>
        <w:t xml:space="preserve">, the court </w:t>
      </w:r>
      <w:r w:rsidR="000F1418" w:rsidRPr="00E97F47">
        <w:rPr>
          <w:rFonts w:ascii="Arial" w:hAnsi="Arial" w:cs="Arial"/>
          <w:sz w:val="24"/>
          <w:szCs w:val="24"/>
        </w:rPr>
        <w:t xml:space="preserve">was not of the view that the </w:t>
      </w:r>
      <w:r w:rsidR="00196D00" w:rsidRPr="00E97F47">
        <w:rPr>
          <w:rFonts w:ascii="Arial" w:hAnsi="Arial" w:cs="Arial"/>
          <w:sz w:val="24"/>
          <w:szCs w:val="24"/>
        </w:rPr>
        <w:t>a</w:t>
      </w:r>
      <w:r w:rsidR="008C61FA" w:rsidRPr="00E97F47">
        <w:rPr>
          <w:rFonts w:ascii="Arial" w:hAnsi="Arial" w:cs="Arial"/>
          <w:sz w:val="24"/>
          <w:szCs w:val="24"/>
        </w:rPr>
        <w:t>pplicant’s conduct had</w:t>
      </w:r>
      <w:r w:rsidR="00D063EE" w:rsidRPr="00E97F47">
        <w:rPr>
          <w:rFonts w:ascii="Arial" w:hAnsi="Arial" w:cs="Arial"/>
          <w:sz w:val="24"/>
          <w:szCs w:val="24"/>
        </w:rPr>
        <w:t xml:space="preserve"> </w:t>
      </w:r>
      <w:r w:rsidR="008C61FA" w:rsidRPr="00E97F47">
        <w:rPr>
          <w:rFonts w:ascii="Arial" w:hAnsi="Arial" w:cs="Arial"/>
          <w:sz w:val="24"/>
          <w:szCs w:val="24"/>
        </w:rPr>
        <w:t xml:space="preserve">reached the point where </w:t>
      </w:r>
      <w:r w:rsidR="00BE7E24" w:rsidRPr="00E97F47">
        <w:rPr>
          <w:rFonts w:ascii="Arial" w:hAnsi="Arial" w:cs="Arial"/>
          <w:sz w:val="24"/>
          <w:szCs w:val="24"/>
        </w:rPr>
        <w:t>a mark of disapproval would have been appropriate.</w:t>
      </w:r>
      <w:r w:rsidR="00BE7E24">
        <w:rPr>
          <w:rStyle w:val="FootnoteReference"/>
          <w:rFonts w:ascii="Arial" w:hAnsi="Arial" w:cs="Arial"/>
          <w:sz w:val="24"/>
          <w:szCs w:val="24"/>
        </w:rPr>
        <w:footnoteReference w:id="10"/>
      </w:r>
      <w:r w:rsidR="00B17520" w:rsidRPr="00E97F47">
        <w:rPr>
          <w:rFonts w:ascii="Arial" w:hAnsi="Arial" w:cs="Arial"/>
          <w:sz w:val="24"/>
          <w:szCs w:val="24"/>
        </w:rPr>
        <w:t xml:space="preserve"> </w:t>
      </w:r>
      <w:r w:rsidR="00506021" w:rsidRPr="00E97F47">
        <w:rPr>
          <w:rFonts w:ascii="Arial" w:hAnsi="Arial" w:cs="Arial"/>
          <w:sz w:val="24"/>
          <w:szCs w:val="24"/>
        </w:rPr>
        <w:t>T</w:t>
      </w:r>
      <w:r w:rsidR="00B17520" w:rsidRPr="00E97F47">
        <w:rPr>
          <w:rFonts w:ascii="Arial" w:hAnsi="Arial" w:cs="Arial"/>
          <w:sz w:val="24"/>
          <w:szCs w:val="24"/>
        </w:rPr>
        <w:t xml:space="preserve">he conduct of the applicant </w:t>
      </w:r>
      <w:r w:rsidR="00E93662" w:rsidRPr="00E97F47">
        <w:rPr>
          <w:rFonts w:ascii="Arial" w:hAnsi="Arial" w:cs="Arial"/>
          <w:sz w:val="24"/>
          <w:szCs w:val="24"/>
        </w:rPr>
        <w:t>was</w:t>
      </w:r>
      <w:r w:rsidR="00506021" w:rsidRPr="00E97F47">
        <w:rPr>
          <w:rFonts w:ascii="Arial" w:hAnsi="Arial" w:cs="Arial"/>
          <w:sz w:val="24"/>
          <w:szCs w:val="24"/>
        </w:rPr>
        <w:t>, n</w:t>
      </w:r>
      <w:r w:rsidR="00BD2677" w:rsidRPr="00E97F47">
        <w:rPr>
          <w:rFonts w:ascii="Arial" w:hAnsi="Arial" w:cs="Arial"/>
          <w:sz w:val="24"/>
          <w:szCs w:val="24"/>
        </w:rPr>
        <w:t>otwithstanding</w:t>
      </w:r>
      <w:r w:rsidR="00506021" w:rsidRPr="00E97F47">
        <w:rPr>
          <w:rFonts w:ascii="Arial" w:hAnsi="Arial" w:cs="Arial"/>
          <w:sz w:val="24"/>
          <w:szCs w:val="24"/>
        </w:rPr>
        <w:t>,</w:t>
      </w:r>
      <w:r w:rsidR="00E93662" w:rsidRPr="00E97F47">
        <w:rPr>
          <w:rFonts w:ascii="Arial" w:hAnsi="Arial" w:cs="Arial"/>
          <w:sz w:val="24"/>
          <w:szCs w:val="24"/>
        </w:rPr>
        <w:t xml:space="preserve"> far from satisfactory</w:t>
      </w:r>
      <w:r w:rsidR="00B367AD" w:rsidRPr="00E97F47">
        <w:rPr>
          <w:rFonts w:ascii="Arial" w:hAnsi="Arial" w:cs="Arial"/>
          <w:sz w:val="24"/>
          <w:szCs w:val="24"/>
        </w:rPr>
        <w:t xml:space="preserve">. </w:t>
      </w:r>
      <w:r w:rsidR="00B30F46" w:rsidRPr="00E97F47">
        <w:rPr>
          <w:rFonts w:ascii="Arial" w:hAnsi="Arial" w:cs="Arial"/>
          <w:sz w:val="24"/>
          <w:szCs w:val="24"/>
        </w:rPr>
        <w:t xml:space="preserve">The </w:t>
      </w:r>
      <w:r w:rsidR="00142FE7" w:rsidRPr="00E97F47">
        <w:rPr>
          <w:rFonts w:ascii="Arial" w:hAnsi="Arial" w:cs="Arial"/>
          <w:sz w:val="24"/>
          <w:szCs w:val="24"/>
        </w:rPr>
        <w:t xml:space="preserve">applicant’s </w:t>
      </w:r>
      <w:r w:rsidR="00B30F46" w:rsidRPr="00E97F47">
        <w:rPr>
          <w:rFonts w:ascii="Arial" w:hAnsi="Arial" w:cs="Arial"/>
          <w:sz w:val="24"/>
          <w:szCs w:val="24"/>
        </w:rPr>
        <w:t>urgent</w:t>
      </w:r>
      <w:r w:rsidR="00B367AD" w:rsidRPr="00E97F47">
        <w:rPr>
          <w:rFonts w:ascii="Arial" w:hAnsi="Arial" w:cs="Arial"/>
          <w:sz w:val="24"/>
          <w:szCs w:val="24"/>
        </w:rPr>
        <w:t xml:space="preserve"> institution of legal proceedings </w:t>
      </w:r>
      <w:r w:rsidR="00697CF2" w:rsidRPr="00E97F47">
        <w:rPr>
          <w:rFonts w:ascii="Arial" w:hAnsi="Arial" w:cs="Arial"/>
          <w:sz w:val="24"/>
          <w:szCs w:val="24"/>
        </w:rPr>
        <w:t>on papers that were not up to the task</w:t>
      </w:r>
      <w:r w:rsidR="00142FE7" w:rsidRPr="00E97F47">
        <w:rPr>
          <w:rFonts w:ascii="Arial" w:hAnsi="Arial" w:cs="Arial"/>
          <w:sz w:val="24"/>
          <w:szCs w:val="24"/>
        </w:rPr>
        <w:t xml:space="preserve">, </w:t>
      </w:r>
      <w:r w:rsidR="00E93662" w:rsidRPr="00E97F47">
        <w:rPr>
          <w:rFonts w:ascii="Arial" w:hAnsi="Arial" w:cs="Arial"/>
          <w:sz w:val="24"/>
          <w:szCs w:val="24"/>
        </w:rPr>
        <w:t>compelling the</w:t>
      </w:r>
      <w:r w:rsidR="00697CF2" w:rsidRPr="00E97F47">
        <w:rPr>
          <w:rFonts w:ascii="Arial" w:hAnsi="Arial" w:cs="Arial"/>
          <w:sz w:val="24"/>
          <w:szCs w:val="24"/>
        </w:rPr>
        <w:t xml:space="preserve"> respondent to </w:t>
      </w:r>
      <w:r w:rsidR="00B12076" w:rsidRPr="00E97F47">
        <w:rPr>
          <w:rFonts w:ascii="Arial" w:hAnsi="Arial" w:cs="Arial"/>
          <w:sz w:val="24"/>
          <w:szCs w:val="24"/>
        </w:rPr>
        <w:t xml:space="preserve">seek </w:t>
      </w:r>
      <w:r w:rsidR="001D22AA" w:rsidRPr="00E97F47">
        <w:rPr>
          <w:rFonts w:ascii="Arial" w:hAnsi="Arial" w:cs="Arial"/>
          <w:sz w:val="24"/>
          <w:szCs w:val="24"/>
        </w:rPr>
        <w:t>legal</w:t>
      </w:r>
      <w:r w:rsidR="00625E27" w:rsidRPr="00E97F47">
        <w:rPr>
          <w:rFonts w:ascii="Arial" w:hAnsi="Arial" w:cs="Arial"/>
          <w:sz w:val="24"/>
          <w:szCs w:val="24"/>
        </w:rPr>
        <w:t xml:space="preserve"> </w:t>
      </w:r>
      <w:r w:rsidR="00B12076" w:rsidRPr="00E97F47">
        <w:rPr>
          <w:rFonts w:ascii="Arial" w:hAnsi="Arial" w:cs="Arial"/>
          <w:sz w:val="24"/>
          <w:szCs w:val="24"/>
        </w:rPr>
        <w:t xml:space="preserve">assistance </w:t>
      </w:r>
      <w:r w:rsidR="00625E27" w:rsidRPr="00E97F47">
        <w:rPr>
          <w:rFonts w:ascii="Arial" w:hAnsi="Arial" w:cs="Arial"/>
          <w:sz w:val="24"/>
          <w:szCs w:val="24"/>
        </w:rPr>
        <w:t>in immense haste to protect its interests</w:t>
      </w:r>
      <w:r w:rsidR="00142FE7" w:rsidRPr="00E97F47">
        <w:rPr>
          <w:rFonts w:ascii="Arial" w:hAnsi="Arial" w:cs="Arial"/>
          <w:sz w:val="24"/>
          <w:szCs w:val="24"/>
        </w:rPr>
        <w:t>, notw</w:t>
      </w:r>
      <w:r w:rsidR="00843CAE" w:rsidRPr="00E97F47">
        <w:rPr>
          <w:rFonts w:ascii="Arial" w:hAnsi="Arial" w:cs="Arial"/>
          <w:sz w:val="24"/>
          <w:szCs w:val="24"/>
        </w:rPr>
        <w:t>ithstanding every indication that the election was likely to have been postponed</w:t>
      </w:r>
      <w:r w:rsidR="00DE1431" w:rsidRPr="00E97F47">
        <w:rPr>
          <w:rFonts w:ascii="Arial" w:hAnsi="Arial" w:cs="Arial"/>
          <w:sz w:val="24"/>
          <w:szCs w:val="24"/>
        </w:rPr>
        <w:t xml:space="preserve"> and that the applicant’s grievances </w:t>
      </w:r>
      <w:r w:rsidR="008C1D40" w:rsidRPr="00E97F47">
        <w:rPr>
          <w:rFonts w:ascii="Arial" w:hAnsi="Arial" w:cs="Arial"/>
          <w:sz w:val="24"/>
          <w:szCs w:val="24"/>
        </w:rPr>
        <w:t>had not been</w:t>
      </w:r>
      <w:r w:rsidR="00DE1431" w:rsidRPr="00E97F47">
        <w:rPr>
          <w:rFonts w:ascii="Arial" w:hAnsi="Arial" w:cs="Arial"/>
          <w:sz w:val="24"/>
          <w:szCs w:val="24"/>
        </w:rPr>
        <w:t xml:space="preserve"> totally ignored, </w:t>
      </w:r>
      <w:r w:rsidR="00DA31E4" w:rsidRPr="00E97F47">
        <w:rPr>
          <w:rFonts w:ascii="Arial" w:hAnsi="Arial" w:cs="Arial"/>
          <w:sz w:val="24"/>
          <w:szCs w:val="24"/>
        </w:rPr>
        <w:t>ought to have att</w:t>
      </w:r>
      <w:r w:rsidR="005C1EB7" w:rsidRPr="00E97F47">
        <w:rPr>
          <w:rFonts w:ascii="Arial" w:hAnsi="Arial" w:cs="Arial"/>
          <w:sz w:val="24"/>
          <w:szCs w:val="24"/>
        </w:rPr>
        <w:t>r</w:t>
      </w:r>
      <w:r w:rsidR="00DA31E4" w:rsidRPr="00E97F47">
        <w:rPr>
          <w:rFonts w:ascii="Arial" w:hAnsi="Arial" w:cs="Arial"/>
          <w:sz w:val="24"/>
          <w:szCs w:val="24"/>
        </w:rPr>
        <w:t>acted the criticism of the court, as it did</w:t>
      </w:r>
      <w:r w:rsidR="005C1EB7" w:rsidRPr="00E97F47">
        <w:rPr>
          <w:rFonts w:ascii="Arial" w:hAnsi="Arial" w:cs="Arial"/>
          <w:sz w:val="24"/>
          <w:szCs w:val="24"/>
        </w:rPr>
        <w:t>.</w:t>
      </w:r>
    </w:p>
    <w:p w14:paraId="445DC1C2" w14:textId="77777777" w:rsidR="00CD2A41" w:rsidRPr="00CD2A41" w:rsidRDefault="00CD2A41" w:rsidP="00CD2A41">
      <w:pPr>
        <w:pStyle w:val="ListParagraph"/>
        <w:rPr>
          <w:rFonts w:ascii="Arial" w:hAnsi="Arial" w:cs="Arial"/>
          <w:sz w:val="24"/>
          <w:szCs w:val="24"/>
        </w:rPr>
      </w:pPr>
    </w:p>
    <w:p w14:paraId="2FD686E2" w14:textId="2FB792AB" w:rsidR="00AB4350" w:rsidRPr="00E97F47" w:rsidRDefault="00E97F47" w:rsidP="00E97F47">
      <w:pPr>
        <w:spacing w:line="360" w:lineRule="auto"/>
        <w:jc w:val="both"/>
        <w:rPr>
          <w:rFonts w:ascii="Arial" w:hAnsi="Arial" w:cs="Arial"/>
          <w:sz w:val="24"/>
          <w:szCs w:val="24"/>
        </w:rPr>
      </w:pPr>
      <w:r w:rsidRPr="00CD2A41">
        <w:rPr>
          <w:rFonts w:ascii="Arial" w:hAnsi="Arial" w:cs="Arial"/>
          <w:sz w:val="24"/>
          <w:szCs w:val="24"/>
        </w:rPr>
        <w:t>[40]</w:t>
      </w:r>
      <w:r w:rsidRPr="00CD2A41">
        <w:rPr>
          <w:rFonts w:ascii="Arial" w:hAnsi="Arial" w:cs="Arial"/>
          <w:sz w:val="24"/>
          <w:szCs w:val="24"/>
        </w:rPr>
        <w:tab/>
      </w:r>
      <w:r w:rsidR="005C1EB7" w:rsidRPr="00E97F47">
        <w:rPr>
          <w:rFonts w:ascii="Arial" w:hAnsi="Arial" w:cs="Arial"/>
          <w:sz w:val="24"/>
          <w:szCs w:val="24"/>
        </w:rPr>
        <w:t xml:space="preserve">In the circumstances, the court ordered that the application </w:t>
      </w:r>
      <w:r w:rsidR="00AB4350" w:rsidRPr="00E97F47">
        <w:rPr>
          <w:rFonts w:ascii="Arial" w:hAnsi="Arial" w:cs="Arial"/>
          <w:sz w:val="24"/>
          <w:szCs w:val="24"/>
        </w:rPr>
        <w:t>be dismissed and that the applicant be directed to pay the respondent’s costs on a party and party scale.</w:t>
      </w:r>
    </w:p>
    <w:p w14:paraId="556003D6" w14:textId="77777777" w:rsidR="00AB4350" w:rsidRDefault="00AB4350" w:rsidP="00C033DA">
      <w:pPr>
        <w:spacing w:line="360" w:lineRule="auto"/>
        <w:rPr>
          <w:rFonts w:ascii="Arial" w:hAnsi="Arial" w:cs="Arial"/>
          <w:sz w:val="24"/>
          <w:szCs w:val="24"/>
        </w:rPr>
      </w:pPr>
    </w:p>
    <w:p w14:paraId="4BE48BD4" w14:textId="77777777" w:rsidR="00AB4350" w:rsidRDefault="00AB4350" w:rsidP="00C033DA">
      <w:pPr>
        <w:spacing w:line="360" w:lineRule="auto"/>
        <w:rPr>
          <w:rFonts w:ascii="Arial" w:hAnsi="Arial" w:cs="Arial"/>
          <w:sz w:val="24"/>
          <w:szCs w:val="24"/>
        </w:rPr>
      </w:pPr>
    </w:p>
    <w:p w14:paraId="22EE9BB6" w14:textId="77777777" w:rsidR="00AB4350" w:rsidRDefault="00AB4350" w:rsidP="00CD2A41">
      <w:pPr>
        <w:spacing w:line="240" w:lineRule="auto"/>
        <w:rPr>
          <w:rFonts w:ascii="Arial" w:hAnsi="Arial" w:cs="Arial"/>
          <w:sz w:val="24"/>
          <w:szCs w:val="24"/>
        </w:rPr>
      </w:pPr>
      <w:r>
        <w:rPr>
          <w:rFonts w:ascii="Arial" w:hAnsi="Arial" w:cs="Arial"/>
          <w:sz w:val="24"/>
          <w:szCs w:val="24"/>
        </w:rPr>
        <w:t>______________________________</w:t>
      </w:r>
    </w:p>
    <w:p w14:paraId="54C02FBE" w14:textId="77777777" w:rsidR="00AB4350" w:rsidRPr="00AB4350" w:rsidRDefault="00AB4350" w:rsidP="00CD2A41">
      <w:pPr>
        <w:spacing w:line="240" w:lineRule="auto"/>
        <w:rPr>
          <w:rFonts w:ascii="Arial" w:hAnsi="Arial" w:cs="Arial"/>
          <w:b/>
          <w:bCs/>
          <w:sz w:val="24"/>
          <w:szCs w:val="24"/>
        </w:rPr>
      </w:pPr>
      <w:r w:rsidRPr="00AB4350">
        <w:rPr>
          <w:rFonts w:ascii="Arial" w:hAnsi="Arial" w:cs="Arial"/>
          <w:b/>
          <w:bCs/>
          <w:sz w:val="24"/>
          <w:szCs w:val="24"/>
        </w:rPr>
        <w:t>JGA LAING</w:t>
      </w:r>
    </w:p>
    <w:p w14:paraId="6925324C" w14:textId="53DEC9B3" w:rsidR="00F34013" w:rsidRDefault="00AB4350" w:rsidP="00CD2A41">
      <w:pPr>
        <w:spacing w:line="240" w:lineRule="auto"/>
        <w:rPr>
          <w:rFonts w:ascii="Arial" w:hAnsi="Arial" w:cs="Arial"/>
          <w:sz w:val="24"/>
          <w:szCs w:val="24"/>
        </w:rPr>
      </w:pPr>
      <w:r w:rsidRPr="00AB4350">
        <w:rPr>
          <w:rFonts w:ascii="Arial" w:hAnsi="Arial" w:cs="Arial"/>
          <w:b/>
          <w:bCs/>
          <w:sz w:val="24"/>
          <w:szCs w:val="24"/>
        </w:rPr>
        <w:t>JUDGE OF THE HIGH COURT</w:t>
      </w:r>
      <w:r w:rsidR="0042483D">
        <w:rPr>
          <w:rFonts w:ascii="Arial" w:hAnsi="Arial" w:cs="Arial"/>
          <w:sz w:val="24"/>
          <w:szCs w:val="24"/>
        </w:rPr>
        <w:t xml:space="preserve"> </w:t>
      </w:r>
    </w:p>
    <w:p w14:paraId="2C4B0C0D" w14:textId="77777777" w:rsidR="009237A6" w:rsidRDefault="009237A6" w:rsidP="00C033DA">
      <w:pPr>
        <w:spacing w:line="360" w:lineRule="auto"/>
        <w:rPr>
          <w:rFonts w:ascii="Arial" w:hAnsi="Arial" w:cs="Arial"/>
          <w:sz w:val="24"/>
          <w:szCs w:val="24"/>
        </w:rPr>
      </w:pPr>
    </w:p>
    <w:p w14:paraId="42CCC26B" w14:textId="37BC154E" w:rsidR="009237A6" w:rsidRDefault="009237A6" w:rsidP="00C033DA">
      <w:pPr>
        <w:spacing w:line="360" w:lineRule="auto"/>
        <w:rPr>
          <w:rFonts w:ascii="Arial" w:hAnsi="Arial" w:cs="Arial"/>
          <w:sz w:val="24"/>
          <w:szCs w:val="24"/>
        </w:rPr>
      </w:pPr>
    </w:p>
    <w:p w14:paraId="458A282E" w14:textId="1A396D95" w:rsidR="00CD2A41" w:rsidRDefault="00CD2A41" w:rsidP="00C033DA">
      <w:pPr>
        <w:spacing w:line="360" w:lineRule="auto"/>
        <w:rPr>
          <w:rFonts w:ascii="Arial" w:hAnsi="Arial" w:cs="Arial"/>
          <w:sz w:val="24"/>
          <w:szCs w:val="24"/>
        </w:rPr>
      </w:pPr>
    </w:p>
    <w:p w14:paraId="282D9DE9" w14:textId="4DFBD77A" w:rsidR="004E49FA" w:rsidRDefault="004E49FA" w:rsidP="00C033DA">
      <w:pPr>
        <w:spacing w:line="360" w:lineRule="auto"/>
        <w:rPr>
          <w:rFonts w:ascii="Arial" w:hAnsi="Arial" w:cs="Arial"/>
          <w:sz w:val="24"/>
          <w:szCs w:val="24"/>
        </w:rPr>
      </w:pPr>
    </w:p>
    <w:p w14:paraId="51863FEE" w14:textId="192DB21E" w:rsidR="004E49FA" w:rsidRDefault="004E49FA" w:rsidP="00C033DA">
      <w:pPr>
        <w:spacing w:line="360" w:lineRule="auto"/>
        <w:rPr>
          <w:rFonts w:ascii="Arial" w:hAnsi="Arial" w:cs="Arial"/>
          <w:sz w:val="24"/>
          <w:szCs w:val="24"/>
        </w:rPr>
      </w:pPr>
    </w:p>
    <w:p w14:paraId="023131AD" w14:textId="7CB79421" w:rsidR="001640B2" w:rsidRDefault="00CD2A41" w:rsidP="00CD2A41">
      <w:pPr>
        <w:spacing w:line="360" w:lineRule="auto"/>
        <w:jc w:val="both"/>
        <w:rPr>
          <w:rFonts w:ascii="Arial" w:hAnsi="Arial" w:cs="Arial"/>
          <w:sz w:val="24"/>
          <w:szCs w:val="24"/>
        </w:rPr>
      </w:pPr>
      <w:r>
        <w:rPr>
          <w:rFonts w:ascii="Arial" w:hAnsi="Arial" w:cs="Arial"/>
          <w:sz w:val="24"/>
          <w:szCs w:val="24"/>
        </w:rPr>
        <w:t>APPEARANCE</w:t>
      </w:r>
    </w:p>
    <w:p w14:paraId="29BAA795" w14:textId="222B5884" w:rsidR="00CD2A41" w:rsidRDefault="00CD2A41" w:rsidP="00CD2A41">
      <w:pPr>
        <w:spacing w:line="360" w:lineRule="auto"/>
        <w:ind w:left="3600" w:hanging="3600"/>
        <w:jc w:val="both"/>
        <w:rPr>
          <w:rFonts w:ascii="Arial" w:hAnsi="Arial" w:cs="Arial"/>
          <w:sz w:val="24"/>
          <w:szCs w:val="24"/>
        </w:rPr>
      </w:pPr>
      <w:r>
        <w:rPr>
          <w:rFonts w:ascii="Arial" w:hAnsi="Arial" w:cs="Arial"/>
          <w:sz w:val="24"/>
          <w:szCs w:val="24"/>
        </w:rPr>
        <w:lastRenderedPageBreak/>
        <w:t>For the applicant:</w:t>
      </w:r>
      <w:r>
        <w:rPr>
          <w:rFonts w:ascii="Arial" w:hAnsi="Arial" w:cs="Arial"/>
          <w:sz w:val="24"/>
          <w:szCs w:val="24"/>
        </w:rPr>
        <w:tab/>
        <w:t xml:space="preserve">Adv Sotenjwa, instructed by, Sotenjwa Attorneys, East London. </w:t>
      </w:r>
    </w:p>
    <w:p w14:paraId="377D703C" w14:textId="36F19430" w:rsidR="00CD2A41" w:rsidRDefault="00CD2A41" w:rsidP="00CD2A41">
      <w:pPr>
        <w:spacing w:line="360" w:lineRule="auto"/>
        <w:ind w:left="3600" w:hanging="360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t xml:space="preserve">Adv Kotzé, instructed by Smith Tabata Attorneys, King Williams Town. </w:t>
      </w:r>
    </w:p>
    <w:p w14:paraId="1E394BCA" w14:textId="0C548D07" w:rsidR="00CD2A41" w:rsidRDefault="00CD2A41" w:rsidP="00CD2A41">
      <w:pPr>
        <w:spacing w:line="360" w:lineRule="auto"/>
        <w:ind w:left="2880" w:hanging="2880"/>
        <w:jc w:val="both"/>
        <w:rPr>
          <w:rFonts w:ascii="Arial" w:hAnsi="Arial" w:cs="Arial"/>
          <w:sz w:val="24"/>
          <w:szCs w:val="24"/>
        </w:rPr>
      </w:pPr>
      <w:r>
        <w:rPr>
          <w:rFonts w:ascii="Arial" w:hAnsi="Arial" w:cs="Arial"/>
          <w:sz w:val="24"/>
          <w:szCs w:val="24"/>
        </w:rPr>
        <w:t>Date of hearing:</w:t>
      </w:r>
      <w:r>
        <w:rPr>
          <w:rFonts w:ascii="Arial" w:hAnsi="Arial" w:cs="Arial"/>
          <w:sz w:val="24"/>
          <w:szCs w:val="24"/>
        </w:rPr>
        <w:tab/>
      </w:r>
      <w:r>
        <w:rPr>
          <w:rFonts w:ascii="Arial" w:hAnsi="Arial" w:cs="Arial"/>
          <w:sz w:val="24"/>
          <w:szCs w:val="24"/>
        </w:rPr>
        <w:tab/>
        <w:t>14 October 2022.</w:t>
      </w:r>
    </w:p>
    <w:p w14:paraId="428042B5" w14:textId="77582A1D" w:rsidR="00CD2A41" w:rsidRPr="00E867AF" w:rsidRDefault="00CD2A41" w:rsidP="00CD2A41">
      <w:pPr>
        <w:spacing w:line="360" w:lineRule="auto"/>
        <w:ind w:left="2880" w:hanging="2880"/>
        <w:jc w:val="both"/>
        <w:rPr>
          <w:rFonts w:ascii="Arial" w:hAnsi="Arial" w:cs="Arial"/>
          <w:sz w:val="24"/>
          <w:szCs w:val="24"/>
        </w:rPr>
      </w:pPr>
      <w:r>
        <w:rPr>
          <w:rFonts w:ascii="Arial" w:hAnsi="Arial" w:cs="Arial"/>
          <w:sz w:val="24"/>
          <w:szCs w:val="24"/>
        </w:rPr>
        <w:t>Date of delivery of judgment:</w:t>
      </w:r>
      <w:r>
        <w:rPr>
          <w:rFonts w:ascii="Arial" w:hAnsi="Arial" w:cs="Arial"/>
          <w:sz w:val="24"/>
          <w:szCs w:val="24"/>
        </w:rPr>
        <w:tab/>
        <w:t>03 February 2023.</w:t>
      </w:r>
    </w:p>
    <w:sectPr w:rsidR="00CD2A41" w:rsidRPr="00E867AF" w:rsidSect="00CD2A4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561CE" w14:textId="77777777" w:rsidR="00226838" w:rsidRDefault="00226838" w:rsidP="00A95549">
      <w:pPr>
        <w:spacing w:after="0" w:line="240" w:lineRule="auto"/>
      </w:pPr>
      <w:r>
        <w:separator/>
      </w:r>
    </w:p>
  </w:endnote>
  <w:endnote w:type="continuationSeparator" w:id="0">
    <w:p w14:paraId="2DEBAFE4" w14:textId="77777777" w:rsidR="00226838" w:rsidRDefault="00226838" w:rsidP="00A9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179B3" w14:textId="77777777" w:rsidR="00226838" w:rsidRDefault="00226838" w:rsidP="00A95549">
      <w:pPr>
        <w:spacing w:after="0" w:line="240" w:lineRule="auto"/>
      </w:pPr>
      <w:r>
        <w:separator/>
      </w:r>
    </w:p>
  </w:footnote>
  <w:footnote w:type="continuationSeparator" w:id="0">
    <w:p w14:paraId="56520858" w14:textId="77777777" w:rsidR="00226838" w:rsidRDefault="00226838" w:rsidP="00A95549">
      <w:pPr>
        <w:spacing w:after="0" w:line="240" w:lineRule="auto"/>
      </w:pPr>
      <w:r>
        <w:continuationSeparator/>
      </w:r>
    </w:p>
  </w:footnote>
  <w:footnote w:id="1">
    <w:p w14:paraId="3DE84A2B" w14:textId="17AE279A" w:rsidR="00A95549" w:rsidRPr="00A95549" w:rsidRDefault="00A95549" w:rsidP="00CD2A41">
      <w:pPr>
        <w:pStyle w:val="FootnoteText"/>
        <w:jc w:val="both"/>
        <w:rPr>
          <w:lang w:val="en-US"/>
        </w:rPr>
      </w:pPr>
      <w:r>
        <w:rPr>
          <w:rStyle w:val="FootnoteReference"/>
        </w:rPr>
        <w:footnoteRef/>
      </w:r>
      <w:r>
        <w:t xml:space="preserve"> </w:t>
      </w:r>
      <w:r>
        <w:rPr>
          <w:lang w:val="en-US"/>
        </w:rPr>
        <w:t xml:space="preserve">It was alleged that the guidelines stipulated that </w:t>
      </w:r>
      <w:r w:rsidR="00603EA3">
        <w:rPr>
          <w:lang w:val="en-US"/>
        </w:rPr>
        <w:t>at least 30% of the IEC was to be comprised of women.</w:t>
      </w:r>
      <w:r w:rsidR="00486925">
        <w:rPr>
          <w:lang w:val="en-US"/>
        </w:rPr>
        <w:t xml:space="preserve"> No copy of the guidelines was </w:t>
      </w:r>
      <w:r w:rsidR="003D5416">
        <w:rPr>
          <w:lang w:val="en-US"/>
        </w:rPr>
        <w:t>attached to the papers.</w:t>
      </w:r>
    </w:p>
  </w:footnote>
  <w:footnote w:id="2">
    <w:p w14:paraId="2070CE7B" w14:textId="493FC9B7" w:rsidR="009E38E3" w:rsidRPr="009E38E3" w:rsidRDefault="009E38E3" w:rsidP="00CD2A41">
      <w:pPr>
        <w:pStyle w:val="FootnoteText"/>
        <w:jc w:val="both"/>
        <w:rPr>
          <w:lang w:val="en-US"/>
        </w:rPr>
      </w:pPr>
      <w:r>
        <w:rPr>
          <w:rStyle w:val="FootnoteReference"/>
        </w:rPr>
        <w:footnoteRef/>
      </w:r>
      <w:r>
        <w:t xml:space="preserve"> </w:t>
      </w:r>
      <w:r>
        <w:rPr>
          <w:lang w:val="en-US"/>
        </w:rPr>
        <w:t xml:space="preserve">1953 (2) </w:t>
      </w:r>
      <w:r w:rsidR="009E656D">
        <w:rPr>
          <w:lang w:val="en-US"/>
        </w:rPr>
        <w:t>SA 151 (O).</w:t>
      </w:r>
    </w:p>
  </w:footnote>
  <w:footnote w:id="3">
    <w:p w14:paraId="5860E841" w14:textId="34624B3A" w:rsidR="008F6FF8" w:rsidRPr="002B61A7" w:rsidRDefault="008F6FF8" w:rsidP="00CD2A41">
      <w:pPr>
        <w:pStyle w:val="FootnoteText"/>
        <w:jc w:val="both"/>
        <w:rPr>
          <w:lang w:val="en-US"/>
        </w:rPr>
      </w:pPr>
      <w:r>
        <w:rPr>
          <w:rStyle w:val="FootnoteReference"/>
        </w:rPr>
        <w:footnoteRef/>
      </w:r>
      <w:r>
        <w:t xml:space="preserve"> </w:t>
      </w:r>
      <w:r w:rsidRPr="00FE7476">
        <w:rPr>
          <w:i/>
          <w:iCs/>
          <w:lang w:val="en-US"/>
        </w:rPr>
        <w:t>Kethel v Kethel’s Estate</w:t>
      </w:r>
      <w:r>
        <w:rPr>
          <w:lang w:val="en-US"/>
        </w:rPr>
        <w:t xml:space="preserve"> 1949 (3) SA 598 (A), at 610; </w:t>
      </w:r>
      <w:r w:rsidRPr="004D4623">
        <w:rPr>
          <w:i/>
          <w:iCs/>
          <w:lang w:val="en-US"/>
        </w:rPr>
        <w:t>Amalgamated Engineering Union v Minister of Labour</w:t>
      </w:r>
      <w:r w:rsidRPr="004D4623">
        <w:rPr>
          <w:lang w:val="en-US"/>
        </w:rPr>
        <w:t xml:space="preserve"> 1949 (3) 637 (A), at 659</w:t>
      </w:r>
      <w:r w:rsidR="001D5225">
        <w:rPr>
          <w:lang w:val="en-US"/>
        </w:rPr>
        <w:t xml:space="preserve">. The principle </w:t>
      </w:r>
      <w:r w:rsidR="00B0231C">
        <w:rPr>
          <w:lang w:val="en-US"/>
        </w:rPr>
        <w:t>continues to be followed</w:t>
      </w:r>
      <w:r w:rsidR="00692B0E">
        <w:rPr>
          <w:lang w:val="en-US"/>
        </w:rPr>
        <w:t xml:space="preserve"> </w:t>
      </w:r>
      <w:r w:rsidR="00B0231C">
        <w:rPr>
          <w:lang w:val="en-US"/>
        </w:rPr>
        <w:t>as apparent from</w:t>
      </w:r>
      <w:r>
        <w:rPr>
          <w:lang w:val="en-US"/>
        </w:rPr>
        <w:t xml:space="preserve">, more recently, </w:t>
      </w:r>
      <w:r w:rsidRPr="002B61A7">
        <w:rPr>
          <w:i/>
          <w:iCs/>
          <w:lang w:val="en-US"/>
        </w:rPr>
        <w:t>Watson NO v Ngonyama</w:t>
      </w:r>
      <w:r>
        <w:rPr>
          <w:lang w:val="en-US"/>
        </w:rPr>
        <w:t xml:space="preserve"> 2021 (5) SA 559 (SCA), at paragraph [52].</w:t>
      </w:r>
      <w:r w:rsidR="00CF3E74" w:rsidRPr="00CF3E74">
        <w:rPr>
          <w:sz w:val="22"/>
          <w:szCs w:val="22"/>
          <w:lang w:val="en-US"/>
        </w:rPr>
        <w:t xml:space="preserve"> </w:t>
      </w:r>
      <w:r w:rsidR="00FA034C" w:rsidRPr="00FA034C">
        <w:rPr>
          <w:lang w:val="en-US"/>
        </w:rPr>
        <w:t>See, too, the discussion in</w:t>
      </w:r>
      <w:r w:rsidR="00FA034C">
        <w:rPr>
          <w:sz w:val="22"/>
          <w:szCs w:val="22"/>
          <w:lang w:val="en-US"/>
        </w:rPr>
        <w:t xml:space="preserve"> </w:t>
      </w:r>
      <w:r w:rsidR="00CF3E74" w:rsidRPr="00CF3E74">
        <w:rPr>
          <w:lang w:val="en-US"/>
        </w:rPr>
        <w:t xml:space="preserve">DE van Loggerenberg, </w:t>
      </w:r>
      <w:r w:rsidR="00CF3E74" w:rsidRPr="00CF3E74">
        <w:rPr>
          <w:i/>
          <w:iCs/>
          <w:lang w:val="en-US"/>
        </w:rPr>
        <w:t>Erasmus: Superior Court Practice</w:t>
      </w:r>
      <w:r w:rsidR="00CF3E74" w:rsidRPr="00CF3E74">
        <w:rPr>
          <w:lang w:val="en-US"/>
        </w:rPr>
        <w:t xml:space="preserve"> (Jutatstat, RS 16, 2021), at D1-124.</w:t>
      </w:r>
    </w:p>
  </w:footnote>
  <w:footnote w:id="4">
    <w:p w14:paraId="18BAE839" w14:textId="07A8E468" w:rsidR="008F6FF8" w:rsidRPr="004368A8" w:rsidRDefault="008F6FF8" w:rsidP="00CD2A41">
      <w:pPr>
        <w:pStyle w:val="FootnoteText"/>
        <w:jc w:val="both"/>
        <w:rPr>
          <w:lang w:val="en-US"/>
        </w:rPr>
      </w:pPr>
      <w:r>
        <w:rPr>
          <w:rStyle w:val="FootnoteReference"/>
        </w:rPr>
        <w:footnoteRef/>
      </w:r>
      <w:r>
        <w:t xml:space="preserve"> </w:t>
      </w:r>
      <w:r>
        <w:rPr>
          <w:lang w:val="en-US"/>
        </w:rPr>
        <w:t>2021 (6) SA 230 (GP).</w:t>
      </w:r>
    </w:p>
  </w:footnote>
  <w:footnote w:id="5">
    <w:p w14:paraId="6EF55A32" w14:textId="46AB215B" w:rsidR="00F0453F" w:rsidRPr="00F0453F" w:rsidRDefault="00F0453F" w:rsidP="00CD2A41">
      <w:pPr>
        <w:pStyle w:val="FootnoteText"/>
        <w:jc w:val="both"/>
        <w:rPr>
          <w:lang w:val="en-US"/>
        </w:rPr>
      </w:pPr>
      <w:r>
        <w:rPr>
          <w:rStyle w:val="FootnoteReference"/>
        </w:rPr>
        <w:footnoteRef/>
      </w:r>
      <w:r>
        <w:t xml:space="preserve"> </w:t>
      </w:r>
      <w:r>
        <w:rPr>
          <w:lang w:val="en-US"/>
        </w:rPr>
        <w:t>At paragraph [10].</w:t>
      </w:r>
    </w:p>
  </w:footnote>
  <w:footnote w:id="6">
    <w:p w14:paraId="556B87AE" w14:textId="77777777" w:rsidR="008F6FF8" w:rsidRPr="00EC6FF8" w:rsidRDefault="008F6FF8" w:rsidP="00CD2A41">
      <w:pPr>
        <w:pStyle w:val="FootnoteText"/>
        <w:jc w:val="both"/>
        <w:rPr>
          <w:lang w:val="en-US"/>
        </w:rPr>
      </w:pPr>
      <w:r>
        <w:rPr>
          <w:rStyle w:val="FootnoteReference"/>
        </w:rPr>
        <w:footnoteRef/>
      </w:r>
      <w:r>
        <w:t xml:space="preserve"> </w:t>
      </w:r>
      <w:r w:rsidRPr="00171B7D">
        <w:rPr>
          <w:i/>
          <w:iCs/>
          <w:lang w:val="en-US"/>
        </w:rPr>
        <w:t>In re</w:t>
      </w:r>
      <w:r>
        <w:rPr>
          <w:lang w:val="en-US"/>
        </w:rPr>
        <w:t xml:space="preserve"> </w:t>
      </w:r>
      <w:r w:rsidRPr="00EC6FF8">
        <w:rPr>
          <w:i/>
          <w:iCs/>
          <w:lang w:val="en-US"/>
        </w:rPr>
        <w:t>BOE Trust Ltd and others NNO</w:t>
      </w:r>
      <w:r>
        <w:rPr>
          <w:lang w:val="en-US"/>
        </w:rPr>
        <w:t xml:space="preserve"> 2013 (3) SA 236 (SCA), at 242A-C.</w:t>
      </w:r>
    </w:p>
  </w:footnote>
  <w:footnote w:id="7">
    <w:p w14:paraId="7C3D4461" w14:textId="7C5578E5" w:rsidR="006112E1" w:rsidRPr="006112E1" w:rsidRDefault="006112E1" w:rsidP="00CD2A41">
      <w:pPr>
        <w:pStyle w:val="FootnoteText"/>
        <w:jc w:val="both"/>
        <w:rPr>
          <w:lang w:val="en-US"/>
        </w:rPr>
      </w:pPr>
      <w:r>
        <w:rPr>
          <w:rStyle w:val="FootnoteReference"/>
        </w:rPr>
        <w:footnoteRef/>
      </w:r>
      <w:r>
        <w:t xml:space="preserve"> </w:t>
      </w:r>
      <w:r w:rsidR="006A2429">
        <w:t>[</w:t>
      </w:r>
      <w:r>
        <w:rPr>
          <w:lang w:val="en-US"/>
        </w:rPr>
        <w:t>2022</w:t>
      </w:r>
      <w:r w:rsidR="006A2429">
        <w:rPr>
          <w:lang w:val="en-US"/>
        </w:rPr>
        <w:t>]</w:t>
      </w:r>
      <w:r>
        <w:rPr>
          <w:lang w:val="en-US"/>
        </w:rPr>
        <w:t xml:space="preserve"> JOL </w:t>
      </w:r>
      <w:r w:rsidR="006A2429">
        <w:rPr>
          <w:lang w:val="en-US"/>
        </w:rPr>
        <w:t>56216 (ECLD, East London).</w:t>
      </w:r>
    </w:p>
  </w:footnote>
  <w:footnote w:id="8">
    <w:p w14:paraId="0B918D80" w14:textId="2AB590E6" w:rsidR="005E23D3" w:rsidRPr="005E23D3" w:rsidRDefault="005E23D3" w:rsidP="00CD2A41">
      <w:pPr>
        <w:pStyle w:val="FootnoteText"/>
        <w:jc w:val="both"/>
        <w:rPr>
          <w:lang w:val="en-US"/>
        </w:rPr>
      </w:pPr>
      <w:r>
        <w:rPr>
          <w:rStyle w:val="FootnoteReference"/>
        </w:rPr>
        <w:footnoteRef/>
      </w:r>
      <w:r>
        <w:t xml:space="preserve"> </w:t>
      </w:r>
      <w:r>
        <w:rPr>
          <w:lang w:val="en-US"/>
        </w:rPr>
        <w:t>At paragraph [18].</w:t>
      </w:r>
    </w:p>
  </w:footnote>
  <w:footnote w:id="9">
    <w:p w14:paraId="358104FF" w14:textId="0C8313B5" w:rsidR="000738BC" w:rsidRPr="000738BC" w:rsidRDefault="000738BC" w:rsidP="00CD2A41">
      <w:pPr>
        <w:pStyle w:val="FootnoteText"/>
        <w:jc w:val="both"/>
        <w:rPr>
          <w:lang w:val="en-US"/>
        </w:rPr>
      </w:pPr>
      <w:r>
        <w:rPr>
          <w:rStyle w:val="FootnoteReference"/>
        </w:rPr>
        <w:footnoteRef/>
      </w:r>
      <w:r>
        <w:t xml:space="preserve"> </w:t>
      </w:r>
      <w:r w:rsidRPr="00E305F1">
        <w:rPr>
          <w:i/>
          <w:iCs/>
          <w:lang w:val="en-US"/>
        </w:rPr>
        <w:t>Amalgamated Engineering Union v Minister of Labour</w:t>
      </w:r>
      <w:r w:rsidR="00E305F1">
        <w:rPr>
          <w:lang w:val="en-US"/>
        </w:rPr>
        <w:t xml:space="preserve"> (see n 3, supra); </w:t>
      </w:r>
      <w:r w:rsidR="00B7089D" w:rsidRPr="002919C2">
        <w:rPr>
          <w:i/>
          <w:iCs/>
          <w:lang w:val="en-US"/>
        </w:rPr>
        <w:t xml:space="preserve">Selborne Furniture Store (Pty) Ltd </w:t>
      </w:r>
      <w:r w:rsidR="00295D3D" w:rsidRPr="002919C2">
        <w:rPr>
          <w:i/>
          <w:iCs/>
          <w:lang w:val="en-US"/>
        </w:rPr>
        <w:t>v Steyn NO</w:t>
      </w:r>
      <w:r w:rsidR="00295D3D">
        <w:rPr>
          <w:lang w:val="en-US"/>
        </w:rPr>
        <w:t xml:space="preserve"> 1970 (3) </w:t>
      </w:r>
      <w:r w:rsidR="00AC0E53">
        <w:rPr>
          <w:lang w:val="en-US"/>
        </w:rPr>
        <w:t>SA 774 (A)</w:t>
      </w:r>
      <w:r w:rsidR="00514EE7">
        <w:rPr>
          <w:lang w:val="en-US"/>
        </w:rPr>
        <w:t xml:space="preserve">; </w:t>
      </w:r>
      <w:r w:rsidR="007B1290" w:rsidRPr="002919C2">
        <w:rPr>
          <w:i/>
          <w:iCs/>
          <w:lang w:val="en-US"/>
        </w:rPr>
        <w:t>Klep Valves (Pty) Ltd</w:t>
      </w:r>
      <w:r w:rsidR="00514EE7" w:rsidRPr="002919C2">
        <w:rPr>
          <w:i/>
          <w:iCs/>
          <w:lang w:val="en-US"/>
        </w:rPr>
        <w:t xml:space="preserve"> v Saunders Valve Co Ltd</w:t>
      </w:r>
      <w:r w:rsidR="00514EE7">
        <w:rPr>
          <w:lang w:val="en-US"/>
        </w:rPr>
        <w:t xml:space="preserve"> 1987 (2) </w:t>
      </w:r>
      <w:r w:rsidR="00E4564C">
        <w:rPr>
          <w:lang w:val="en-US"/>
        </w:rPr>
        <w:t>SA 1 (A), at 39I-40B; and</w:t>
      </w:r>
      <w:r w:rsidR="000156B7">
        <w:rPr>
          <w:lang w:val="en-US"/>
        </w:rPr>
        <w:t xml:space="preserve"> see</w:t>
      </w:r>
      <w:r w:rsidR="00E4564C">
        <w:rPr>
          <w:lang w:val="en-US"/>
        </w:rPr>
        <w:t xml:space="preserve">, more recently, </w:t>
      </w:r>
      <w:r w:rsidR="00A00CBF">
        <w:rPr>
          <w:lang w:val="en-US"/>
        </w:rPr>
        <w:t xml:space="preserve">the decision of the Court of Appeal for Lesotho in </w:t>
      </w:r>
      <w:r w:rsidR="002316A6" w:rsidRPr="002919C2">
        <w:rPr>
          <w:i/>
          <w:iCs/>
          <w:lang w:val="en-US"/>
        </w:rPr>
        <w:t>Phakisi v Tlapana</w:t>
      </w:r>
      <w:r w:rsidR="002316A6">
        <w:rPr>
          <w:lang w:val="en-US"/>
        </w:rPr>
        <w:t xml:space="preserve"> (unreported, case no </w:t>
      </w:r>
      <w:r w:rsidR="009D457C">
        <w:rPr>
          <w:lang w:val="en-US"/>
        </w:rPr>
        <w:t>C of A (Civ)/50/</w:t>
      </w:r>
      <w:r w:rsidR="004D18B8">
        <w:rPr>
          <w:lang w:val="en-US"/>
        </w:rPr>
        <w:t>2014, dated 21 April 2016</w:t>
      </w:r>
      <w:r w:rsidR="00DF61D2">
        <w:rPr>
          <w:lang w:val="en-US"/>
        </w:rPr>
        <w:t>)</w:t>
      </w:r>
      <w:r w:rsidR="004D18B8">
        <w:rPr>
          <w:lang w:val="en-US"/>
        </w:rPr>
        <w:t xml:space="preserve">, at </w:t>
      </w:r>
      <w:r w:rsidR="00C30DCA">
        <w:rPr>
          <w:lang w:val="en-US"/>
        </w:rPr>
        <w:t xml:space="preserve">paragraph </w:t>
      </w:r>
      <w:r w:rsidR="002919C2">
        <w:rPr>
          <w:lang w:val="en-US"/>
        </w:rPr>
        <w:t>[2].</w:t>
      </w:r>
    </w:p>
  </w:footnote>
  <w:footnote w:id="10">
    <w:p w14:paraId="18EC2BFC" w14:textId="052A8AF6" w:rsidR="00BE7E24" w:rsidRPr="00BE7E24" w:rsidRDefault="00BE7E24" w:rsidP="00CD2A41">
      <w:pPr>
        <w:pStyle w:val="FootnoteText"/>
        <w:jc w:val="both"/>
        <w:rPr>
          <w:lang w:val="en-US"/>
        </w:rPr>
      </w:pPr>
      <w:r>
        <w:rPr>
          <w:rStyle w:val="FootnoteReference"/>
        </w:rPr>
        <w:footnoteRef/>
      </w:r>
      <w:r>
        <w:t xml:space="preserve"> </w:t>
      </w:r>
      <w:r w:rsidR="00BE4F61">
        <w:rPr>
          <w:lang w:val="en-US"/>
        </w:rPr>
        <w:t xml:space="preserve">An order </w:t>
      </w:r>
      <w:r w:rsidR="00A10A0C">
        <w:rPr>
          <w:lang w:val="en-US"/>
        </w:rPr>
        <w:t xml:space="preserve">for the payment of costs on an attorney and client </w:t>
      </w:r>
      <w:r w:rsidR="0087141B">
        <w:rPr>
          <w:lang w:val="en-US"/>
        </w:rPr>
        <w:t xml:space="preserve">scale </w:t>
      </w:r>
      <w:r w:rsidR="00A10A0C">
        <w:rPr>
          <w:lang w:val="en-US"/>
        </w:rPr>
        <w:t xml:space="preserve">has long been held as a mark of disapproval </w:t>
      </w:r>
      <w:r w:rsidR="0087141B">
        <w:rPr>
          <w:lang w:val="en-US"/>
        </w:rPr>
        <w:t xml:space="preserve">regarding the conduct of the unsuccessful party. See </w:t>
      </w:r>
      <w:r w:rsidR="00E3770C">
        <w:rPr>
          <w:lang w:val="en-US"/>
        </w:rPr>
        <w:t>t</w:t>
      </w:r>
      <w:r w:rsidR="00DF1E31">
        <w:rPr>
          <w:lang w:val="en-US"/>
        </w:rPr>
        <w:t>he decision in</w:t>
      </w:r>
      <w:r w:rsidR="009D13C7">
        <w:rPr>
          <w:lang w:val="en-US"/>
        </w:rPr>
        <w:t xml:space="preserve"> </w:t>
      </w:r>
      <w:r w:rsidR="00E3770C" w:rsidRPr="001E46CC">
        <w:rPr>
          <w:i/>
          <w:iCs/>
          <w:lang w:val="en-US"/>
        </w:rPr>
        <w:t>Orr v Schoeman</w:t>
      </w:r>
      <w:r w:rsidR="00E3770C">
        <w:rPr>
          <w:lang w:val="en-US"/>
        </w:rPr>
        <w:t xml:space="preserve"> 1907 TS 281, endorsed </w:t>
      </w:r>
      <w:r w:rsidR="009D13C7">
        <w:rPr>
          <w:lang w:val="en-US"/>
        </w:rPr>
        <w:t xml:space="preserve">recently </w:t>
      </w:r>
      <w:r w:rsidR="00E3770C">
        <w:rPr>
          <w:lang w:val="en-US"/>
        </w:rPr>
        <w:t xml:space="preserve">by the </w:t>
      </w:r>
      <w:r w:rsidR="009D13C7" w:rsidRPr="001E46CC">
        <w:rPr>
          <w:lang w:val="en-US"/>
        </w:rPr>
        <w:t>Constitutional Court in</w:t>
      </w:r>
      <w:r w:rsidR="009D13C7" w:rsidRPr="001E46CC">
        <w:rPr>
          <w:i/>
          <w:iCs/>
          <w:lang w:val="en-US"/>
        </w:rPr>
        <w:t xml:space="preserve"> </w:t>
      </w:r>
      <w:r w:rsidR="001E46CC">
        <w:rPr>
          <w:i/>
          <w:iCs/>
          <w:lang w:val="en-US"/>
        </w:rPr>
        <w:t>P</w:t>
      </w:r>
      <w:r w:rsidR="008824B4" w:rsidRPr="001E46CC">
        <w:rPr>
          <w:i/>
          <w:iCs/>
          <w:lang w:val="en-US"/>
        </w:rPr>
        <w:t>ublic Protector v South African Reserve Bank</w:t>
      </w:r>
      <w:r w:rsidR="00CD2243">
        <w:rPr>
          <w:lang w:val="en-US"/>
        </w:rPr>
        <w:t xml:space="preserve"> 2019 (6) SA 253</w:t>
      </w:r>
      <w:r w:rsidR="001E46CC">
        <w:rPr>
          <w:lang w:val="en-US"/>
        </w:rPr>
        <w:t xml:space="preserve"> (CC), at 318C-319A.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51344"/>
      <w:docPartObj>
        <w:docPartGallery w:val="Page Numbers (Top of Page)"/>
        <w:docPartUnique/>
      </w:docPartObj>
    </w:sdtPr>
    <w:sdtEndPr>
      <w:rPr>
        <w:noProof/>
      </w:rPr>
    </w:sdtEndPr>
    <w:sdtContent>
      <w:p w14:paraId="026DC489" w14:textId="2D8DF75C" w:rsidR="00CD2A41" w:rsidRDefault="00CD2A41">
        <w:pPr>
          <w:pStyle w:val="Header"/>
          <w:jc w:val="center"/>
        </w:pPr>
        <w:r>
          <w:fldChar w:fldCharType="begin"/>
        </w:r>
        <w:r>
          <w:instrText xml:space="preserve"> PAGE   \* MERGEFORMAT </w:instrText>
        </w:r>
        <w:r>
          <w:fldChar w:fldCharType="separate"/>
        </w:r>
        <w:r w:rsidR="00E97F47">
          <w:rPr>
            <w:noProof/>
          </w:rPr>
          <w:t>13</w:t>
        </w:r>
        <w:r>
          <w:rPr>
            <w:noProof/>
          </w:rPr>
          <w:fldChar w:fldCharType="end"/>
        </w:r>
      </w:p>
    </w:sdtContent>
  </w:sdt>
  <w:p w14:paraId="7D81FD37" w14:textId="77777777" w:rsidR="00CD2A41" w:rsidRDefault="00CD2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7BA0"/>
    <w:multiLevelType w:val="hybridMultilevel"/>
    <w:tmpl w:val="FA701C84"/>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5A60FA2"/>
    <w:multiLevelType w:val="hybridMultilevel"/>
    <w:tmpl w:val="DEBA0536"/>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AF"/>
    <w:rsid w:val="00002404"/>
    <w:rsid w:val="00005F92"/>
    <w:rsid w:val="000071F6"/>
    <w:rsid w:val="00007CD5"/>
    <w:rsid w:val="000142EA"/>
    <w:rsid w:val="000156B7"/>
    <w:rsid w:val="00020E4C"/>
    <w:rsid w:val="00026306"/>
    <w:rsid w:val="00027BBB"/>
    <w:rsid w:val="0003037D"/>
    <w:rsid w:val="000335AF"/>
    <w:rsid w:val="000436D5"/>
    <w:rsid w:val="0004374F"/>
    <w:rsid w:val="0005146C"/>
    <w:rsid w:val="00054140"/>
    <w:rsid w:val="0005477B"/>
    <w:rsid w:val="00054A17"/>
    <w:rsid w:val="00056913"/>
    <w:rsid w:val="00057439"/>
    <w:rsid w:val="0005779D"/>
    <w:rsid w:val="0006100C"/>
    <w:rsid w:val="000633CE"/>
    <w:rsid w:val="0006510F"/>
    <w:rsid w:val="00067912"/>
    <w:rsid w:val="00071786"/>
    <w:rsid w:val="000738BC"/>
    <w:rsid w:val="00084F75"/>
    <w:rsid w:val="00085143"/>
    <w:rsid w:val="000872F5"/>
    <w:rsid w:val="00087579"/>
    <w:rsid w:val="000A4915"/>
    <w:rsid w:val="000A57AD"/>
    <w:rsid w:val="000A788F"/>
    <w:rsid w:val="000C0926"/>
    <w:rsid w:val="000C6744"/>
    <w:rsid w:val="000E05E7"/>
    <w:rsid w:val="000E78D3"/>
    <w:rsid w:val="000F1418"/>
    <w:rsid w:val="000F311D"/>
    <w:rsid w:val="000F6ACF"/>
    <w:rsid w:val="00106565"/>
    <w:rsid w:val="00107FAA"/>
    <w:rsid w:val="00116385"/>
    <w:rsid w:val="001163D4"/>
    <w:rsid w:val="001238B4"/>
    <w:rsid w:val="0012597C"/>
    <w:rsid w:val="00137883"/>
    <w:rsid w:val="0014160C"/>
    <w:rsid w:val="00142FE7"/>
    <w:rsid w:val="001443EE"/>
    <w:rsid w:val="001475E2"/>
    <w:rsid w:val="00150A83"/>
    <w:rsid w:val="00155F68"/>
    <w:rsid w:val="001640B2"/>
    <w:rsid w:val="0016664D"/>
    <w:rsid w:val="00171B7D"/>
    <w:rsid w:val="00186FD5"/>
    <w:rsid w:val="00196C29"/>
    <w:rsid w:val="00196D00"/>
    <w:rsid w:val="001A0D96"/>
    <w:rsid w:val="001A13A3"/>
    <w:rsid w:val="001A5FB7"/>
    <w:rsid w:val="001A6DA7"/>
    <w:rsid w:val="001B2ED5"/>
    <w:rsid w:val="001B55A6"/>
    <w:rsid w:val="001D22AA"/>
    <w:rsid w:val="001D4C76"/>
    <w:rsid w:val="001D5225"/>
    <w:rsid w:val="001E0D5C"/>
    <w:rsid w:val="001E21FB"/>
    <w:rsid w:val="001E3B6F"/>
    <w:rsid w:val="001E46CC"/>
    <w:rsid w:val="001E5670"/>
    <w:rsid w:val="001F0BF1"/>
    <w:rsid w:val="001F7749"/>
    <w:rsid w:val="00200ECB"/>
    <w:rsid w:val="00212600"/>
    <w:rsid w:val="0022271C"/>
    <w:rsid w:val="00226838"/>
    <w:rsid w:val="00230831"/>
    <w:rsid w:val="002316A6"/>
    <w:rsid w:val="002336ED"/>
    <w:rsid w:val="00236717"/>
    <w:rsid w:val="0024285A"/>
    <w:rsid w:val="0024601A"/>
    <w:rsid w:val="00256580"/>
    <w:rsid w:val="0026400E"/>
    <w:rsid w:val="00264CDF"/>
    <w:rsid w:val="00266838"/>
    <w:rsid w:val="00266E7F"/>
    <w:rsid w:val="00272596"/>
    <w:rsid w:val="00287283"/>
    <w:rsid w:val="002919C2"/>
    <w:rsid w:val="002937F8"/>
    <w:rsid w:val="0029526F"/>
    <w:rsid w:val="00295D3D"/>
    <w:rsid w:val="002A16B4"/>
    <w:rsid w:val="002A1C82"/>
    <w:rsid w:val="002A56CD"/>
    <w:rsid w:val="002B1C99"/>
    <w:rsid w:val="002B4403"/>
    <w:rsid w:val="002B4980"/>
    <w:rsid w:val="002B6126"/>
    <w:rsid w:val="002B7479"/>
    <w:rsid w:val="002B7FC3"/>
    <w:rsid w:val="002C0D50"/>
    <w:rsid w:val="002D2FFF"/>
    <w:rsid w:val="002D36F3"/>
    <w:rsid w:val="002D41FB"/>
    <w:rsid w:val="002D57C8"/>
    <w:rsid w:val="002E2664"/>
    <w:rsid w:val="002E653A"/>
    <w:rsid w:val="002E7239"/>
    <w:rsid w:val="002F5869"/>
    <w:rsid w:val="00302F1B"/>
    <w:rsid w:val="00304F82"/>
    <w:rsid w:val="003074EC"/>
    <w:rsid w:val="00307A29"/>
    <w:rsid w:val="00307D5D"/>
    <w:rsid w:val="0031376F"/>
    <w:rsid w:val="0031444C"/>
    <w:rsid w:val="00317EC1"/>
    <w:rsid w:val="00321F38"/>
    <w:rsid w:val="003247A3"/>
    <w:rsid w:val="00326FAE"/>
    <w:rsid w:val="00333944"/>
    <w:rsid w:val="003372DF"/>
    <w:rsid w:val="00340BB8"/>
    <w:rsid w:val="00344265"/>
    <w:rsid w:val="003469FE"/>
    <w:rsid w:val="003520F1"/>
    <w:rsid w:val="003539AD"/>
    <w:rsid w:val="00353B64"/>
    <w:rsid w:val="00354390"/>
    <w:rsid w:val="003551C1"/>
    <w:rsid w:val="00355469"/>
    <w:rsid w:val="00356E3C"/>
    <w:rsid w:val="00361EA6"/>
    <w:rsid w:val="0036465F"/>
    <w:rsid w:val="003716A1"/>
    <w:rsid w:val="00373521"/>
    <w:rsid w:val="003761BB"/>
    <w:rsid w:val="00381097"/>
    <w:rsid w:val="00382E1B"/>
    <w:rsid w:val="003854F2"/>
    <w:rsid w:val="00390EC2"/>
    <w:rsid w:val="00394EAC"/>
    <w:rsid w:val="003973A0"/>
    <w:rsid w:val="003A2584"/>
    <w:rsid w:val="003A5866"/>
    <w:rsid w:val="003A7C8A"/>
    <w:rsid w:val="003B1DFF"/>
    <w:rsid w:val="003B7DCA"/>
    <w:rsid w:val="003C10F0"/>
    <w:rsid w:val="003C3015"/>
    <w:rsid w:val="003C30AB"/>
    <w:rsid w:val="003C7129"/>
    <w:rsid w:val="003C7FC6"/>
    <w:rsid w:val="003D2975"/>
    <w:rsid w:val="003D5416"/>
    <w:rsid w:val="003D59E5"/>
    <w:rsid w:val="003D5B32"/>
    <w:rsid w:val="003E31CA"/>
    <w:rsid w:val="003E384D"/>
    <w:rsid w:val="003E49F8"/>
    <w:rsid w:val="003F6DB3"/>
    <w:rsid w:val="003F7F60"/>
    <w:rsid w:val="004026FD"/>
    <w:rsid w:val="00403FD7"/>
    <w:rsid w:val="00406AC9"/>
    <w:rsid w:val="004152B7"/>
    <w:rsid w:val="00417EC3"/>
    <w:rsid w:val="00421394"/>
    <w:rsid w:val="0042483D"/>
    <w:rsid w:val="0042526C"/>
    <w:rsid w:val="00426928"/>
    <w:rsid w:val="00431571"/>
    <w:rsid w:val="0043260D"/>
    <w:rsid w:val="00433AB4"/>
    <w:rsid w:val="00436CA7"/>
    <w:rsid w:val="00437775"/>
    <w:rsid w:val="00440A50"/>
    <w:rsid w:val="00446574"/>
    <w:rsid w:val="00446D1D"/>
    <w:rsid w:val="00447542"/>
    <w:rsid w:val="00454B66"/>
    <w:rsid w:val="0045617C"/>
    <w:rsid w:val="004566BC"/>
    <w:rsid w:val="00470512"/>
    <w:rsid w:val="004748F0"/>
    <w:rsid w:val="004823F4"/>
    <w:rsid w:val="00483CBA"/>
    <w:rsid w:val="0048453C"/>
    <w:rsid w:val="00486925"/>
    <w:rsid w:val="00487AC9"/>
    <w:rsid w:val="00492025"/>
    <w:rsid w:val="00495CE3"/>
    <w:rsid w:val="004A169F"/>
    <w:rsid w:val="004A3903"/>
    <w:rsid w:val="004A64DA"/>
    <w:rsid w:val="004B1746"/>
    <w:rsid w:val="004B313D"/>
    <w:rsid w:val="004C2A4C"/>
    <w:rsid w:val="004C5184"/>
    <w:rsid w:val="004D0765"/>
    <w:rsid w:val="004D18B8"/>
    <w:rsid w:val="004D23CF"/>
    <w:rsid w:val="004E49FA"/>
    <w:rsid w:val="004F3E51"/>
    <w:rsid w:val="004F40CB"/>
    <w:rsid w:val="004F6C96"/>
    <w:rsid w:val="00503D63"/>
    <w:rsid w:val="00503FF1"/>
    <w:rsid w:val="00504364"/>
    <w:rsid w:val="00506021"/>
    <w:rsid w:val="00514EE7"/>
    <w:rsid w:val="00522D83"/>
    <w:rsid w:val="00523386"/>
    <w:rsid w:val="0052372C"/>
    <w:rsid w:val="00532775"/>
    <w:rsid w:val="00542811"/>
    <w:rsid w:val="00546BD4"/>
    <w:rsid w:val="005504BC"/>
    <w:rsid w:val="0055180F"/>
    <w:rsid w:val="00556718"/>
    <w:rsid w:val="00565E4E"/>
    <w:rsid w:val="00566DE2"/>
    <w:rsid w:val="00571FF1"/>
    <w:rsid w:val="00572826"/>
    <w:rsid w:val="00577B37"/>
    <w:rsid w:val="005860DB"/>
    <w:rsid w:val="0058740A"/>
    <w:rsid w:val="005912F8"/>
    <w:rsid w:val="00592845"/>
    <w:rsid w:val="005941FD"/>
    <w:rsid w:val="00594A03"/>
    <w:rsid w:val="005B6A91"/>
    <w:rsid w:val="005C1EB7"/>
    <w:rsid w:val="005C2A86"/>
    <w:rsid w:val="005C31A0"/>
    <w:rsid w:val="005C70B1"/>
    <w:rsid w:val="005E1988"/>
    <w:rsid w:val="005E23D0"/>
    <w:rsid w:val="005E23D3"/>
    <w:rsid w:val="005E7DAE"/>
    <w:rsid w:val="005F723D"/>
    <w:rsid w:val="00601270"/>
    <w:rsid w:val="00603EA3"/>
    <w:rsid w:val="006048D1"/>
    <w:rsid w:val="00607FC8"/>
    <w:rsid w:val="00610EAF"/>
    <w:rsid w:val="006112E1"/>
    <w:rsid w:val="00613406"/>
    <w:rsid w:val="00613786"/>
    <w:rsid w:val="0061396C"/>
    <w:rsid w:val="00616301"/>
    <w:rsid w:val="00620385"/>
    <w:rsid w:val="00625C58"/>
    <w:rsid w:val="00625E27"/>
    <w:rsid w:val="00633A94"/>
    <w:rsid w:val="00636253"/>
    <w:rsid w:val="00636C80"/>
    <w:rsid w:val="0064189C"/>
    <w:rsid w:val="006427D7"/>
    <w:rsid w:val="006434B7"/>
    <w:rsid w:val="00646F3C"/>
    <w:rsid w:val="006513A5"/>
    <w:rsid w:val="00654295"/>
    <w:rsid w:val="0065519E"/>
    <w:rsid w:val="0066194A"/>
    <w:rsid w:val="00670DB7"/>
    <w:rsid w:val="00677F60"/>
    <w:rsid w:val="00682C48"/>
    <w:rsid w:val="00686170"/>
    <w:rsid w:val="00692B0E"/>
    <w:rsid w:val="00696D9B"/>
    <w:rsid w:val="00697CF2"/>
    <w:rsid w:val="006A2429"/>
    <w:rsid w:val="006B07AF"/>
    <w:rsid w:val="006B2D93"/>
    <w:rsid w:val="006B34DE"/>
    <w:rsid w:val="006B350B"/>
    <w:rsid w:val="006B388D"/>
    <w:rsid w:val="006C38BA"/>
    <w:rsid w:val="006C539D"/>
    <w:rsid w:val="006C57FE"/>
    <w:rsid w:val="006D3D1C"/>
    <w:rsid w:val="006D741F"/>
    <w:rsid w:val="006E0868"/>
    <w:rsid w:val="006E3C3D"/>
    <w:rsid w:val="006F3FB9"/>
    <w:rsid w:val="006F6639"/>
    <w:rsid w:val="0070592E"/>
    <w:rsid w:val="00705CBE"/>
    <w:rsid w:val="007102A6"/>
    <w:rsid w:val="00713381"/>
    <w:rsid w:val="00716FAE"/>
    <w:rsid w:val="00721959"/>
    <w:rsid w:val="00721F85"/>
    <w:rsid w:val="0072751B"/>
    <w:rsid w:val="00730385"/>
    <w:rsid w:val="00731A7F"/>
    <w:rsid w:val="00731C7B"/>
    <w:rsid w:val="00740195"/>
    <w:rsid w:val="00754F5C"/>
    <w:rsid w:val="007553E7"/>
    <w:rsid w:val="00767063"/>
    <w:rsid w:val="007742A1"/>
    <w:rsid w:val="007758E3"/>
    <w:rsid w:val="0077769A"/>
    <w:rsid w:val="007828D2"/>
    <w:rsid w:val="00785160"/>
    <w:rsid w:val="007851F4"/>
    <w:rsid w:val="00785DB4"/>
    <w:rsid w:val="00794C3E"/>
    <w:rsid w:val="00795AC8"/>
    <w:rsid w:val="00796F13"/>
    <w:rsid w:val="007A2168"/>
    <w:rsid w:val="007A5600"/>
    <w:rsid w:val="007B0C2C"/>
    <w:rsid w:val="007B1290"/>
    <w:rsid w:val="007B14D3"/>
    <w:rsid w:val="007B6FD9"/>
    <w:rsid w:val="007B7132"/>
    <w:rsid w:val="007B71D7"/>
    <w:rsid w:val="007C15DC"/>
    <w:rsid w:val="007C43A6"/>
    <w:rsid w:val="007C461A"/>
    <w:rsid w:val="007C6598"/>
    <w:rsid w:val="007D0C01"/>
    <w:rsid w:val="007D19E4"/>
    <w:rsid w:val="007E320B"/>
    <w:rsid w:val="007F12CE"/>
    <w:rsid w:val="007F392E"/>
    <w:rsid w:val="007F66F4"/>
    <w:rsid w:val="007F78DD"/>
    <w:rsid w:val="00800662"/>
    <w:rsid w:val="00812DF5"/>
    <w:rsid w:val="00821144"/>
    <w:rsid w:val="00826A15"/>
    <w:rsid w:val="0083519E"/>
    <w:rsid w:val="00836742"/>
    <w:rsid w:val="00837BE7"/>
    <w:rsid w:val="00842108"/>
    <w:rsid w:val="008430BD"/>
    <w:rsid w:val="00843CAE"/>
    <w:rsid w:val="00845F19"/>
    <w:rsid w:val="00846809"/>
    <w:rsid w:val="00862840"/>
    <w:rsid w:val="00866E51"/>
    <w:rsid w:val="00871389"/>
    <w:rsid w:val="0087141B"/>
    <w:rsid w:val="008824B4"/>
    <w:rsid w:val="0088542F"/>
    <w:rsid w:val="00885E2F"/>
    <w:rsid w:val="008902DB"/>
    <w:rsid w:val="00891A34"/>
    <w:rsid w:val="00894B0D"/>
    <w:rsid w:val="00896713"/>
    <w:rsid w:val="00896A87"/>
    <w:rsid w:val="008A3204"/>
    <w:rsid w:val="008A3F60"/>
    <w:rsid w:val="008A4C65"/>
    <w:rsid w:val="008B0D8D"/>
    <w:rsid w:val="008B2B07"/>
    <w:rsid w:val="008B488A"/>
    <w:rsid w:val="008B6851"/>
    <w:rsid w:val="008C1174"/>
    <w:rsid w:val="008C1D40"/>
    <w:rsid w:val="008C274F"/>
    <w:rsid w:val="008C3423"/>
    <w:rsid w:val="008C3923"/>
    <w:rsid w:val="008C61FA"/>
    <w:rsid w:val="008D2A29"/>
    <w:rsid w:val="008E1307"/>
    <w:rsid w:val="008F47A0"/>
    <w:rsid w:val="008F6FF8"/>
    <w:rsid w:val="008F7A22"/>
    <w:rsid w:val="00901CFB"/>
    <w:rsid w:val="009050CB"/>
    <w:rsid w:val="009069FB"/>
    <w:rsid w:val="00906B34"/>
    <w:rsid w:val="009101A8"/>
    <w:rsid w:val="00911C24"/>
    <w:rsid w:val="009136DC"/>
    <w:rsid w:val="00914303"/>
    <w:rsid w:val="00914F36"/>
    <w:rsid w:val="009237A6"/>
    <w:rsid w:val="0092414D"/>
    <w:rsid w:val="00930E2C"/>
    <w:rsid w:val="00934D57"/>
    <w:rsid w:val="009376BD"/>
    <w:rsid w:val="00940C00"/>
    <w:rsid w:val="009412E6"/>
    <w:rsid w:val="0095170D"/>
    <w:rsid w:val="00952529"/>
    <w:rsid w:val="0096116F"/>
    <w:rsid w:val="00963EEF"/>
    <w:rsid w:val="00967F27"/>
    <w:rsid w:val="00977B89"/>
    <w:rsid w:val="009857A6"/>
    <w:rsid w:val="00991B80"/>
    <w:rsid w:val="009933C5"/>
    <w:rsid w:val="009B08A2"/>
    <w:rsid w:val="009B1BE2"/>
    <w:rsid w:val="009B3244"/>
    <w:rsid w:val="009B43E0"/>
    <w:rsid w:val="009C448D"/>
    <w:rsid w:val="009D0987"/>
    <w:rsid w:val="009D13C7"/>
    <w:rsid w:val="009D28CF"/>
    <w:rsid w:val="009D3225"/>
    <w:rsid w:val="009D4085"/>
    <w:rsid w:val="009D457C"/>
    <w:rsid w:val="009D5E27"/>
    <w:rsid w:val="009E38E3"/>
    <w:rsid w:val="009E595A"/>
    <w:rsid w:val="009E656D"/>
    <w:rsid w:val="00A00CBF"/>
    <w:rsid w:val="00A10A0C"/>
    <w:rsid w:val="00A12E6F"/>
    <w:rsid w:val="00A149C6"/>
    <w:rsid w:val="00A23389"/>
    <w:rsid w:val="00A24881"/>
    <w:rsid w:val="00A26455"/>
    <w:rsid w:val="00A330F0"/>
    <w:rsid w:val="00A37729"/>
    <w:rsid w:val="00A42E8E"/>
    <w:rsid w:val="00A43E8B"/>
    <w:rsid w:val="00A50C8C"/>
    <w:rsid w:val="00A51C52"/>
    <w:rsid w:val="00A5236E"/>
    <w:rsid w:val="00A5481F"/>
    <w:rsid w:val="00A54EA4"/>
    <w:rsid w:val="00A62712"/>
    <w:rsid w:val="00A666EC"/>
    <w:rsid w:val="00A72472"/>
    <w:rsid w:val="00A75F51"/>
    <w:rsid w:val="00A80E3F"/>
    <w:rsid w:val="00A86675"/>
    <w:rsid w:val="00A95549"/>
    <w:rsid w:val="00A95B13"/>
    <w:rsid w:val="00AA374F"/>
    <w:rsid w:val="00AA4EDE"/>
    <w:rsid w:val="00AA680A"/>
    <w:rsid w:val="00AA776D"/>
    <w:rsid w:val="00AB0073"/>
    <w:rsid w:val="00AB4350"/>
    <w:rsid w:val="00AB4F59"/>
    <w:rsid w:val="00AB6A71"/>
    <w:rsid w:val="00AB7A47"/>
    <w:rsid w:val="00AC06A1"/>
    <w:rsid w:val="00AC0E53"/>
    <w:rsid w:val="00AD2476"/>
    <w:rsid w:val="00AE06D8"/>
    <w:rsid w:val="00AE3DB4"/>
    <w:rsid w:val="00AE5B4E"/>
    <w:rsid w:val="00B01C2F"/>
    <w:rsid w:val="00B0231C"/>
    <w:rsid w:val="00B0463A"/>
    <w:rsid w:val="00B06C01"/>
    <w:rsid w:val="00B07C13"/>
    <w:rsid w:val="00B10246"/>
    <w:rsid w:val="00B11F30"/>
    <w:rsid w:val="00B12076"/>
    <w:rsid w:val="00B134A4"/>
    <w:rsid w:val="00B17520"/>
    <w:rsid w:val="00B267D2"/>
    <w:rsid w:val="00B27FB8"/>
    <w:rsid w:val="00B304C1"/>
    <w:rsid w:val="00B30F46"/>
    <w:rsid w:val="00B32689"/>
    <w:rsid w:val="00B33C8D"/>
    <w:rsid w:val="00B367AD"/>
    <w:rsid w:val="00B40C10"/>
    <w:rsid w:val="00B4566B"/>
    <w:rsid w:val="00B45D76"/>
    <w:rsid w:val="00B54B19"/>
    <w:rsid w:val="00B7089D"/>
    <w:rsid w:val="00B72A27"/>
    <w:rsid w:val="00B767F8"/>
    <w:rsid w:val="00B82FD6"/>
    <w:rsid w:val="00B8475E"/>
    <w:rsid w:val="00B84A69"/>
    <w:rsid w:val="00BA7D0E"/>
    <w:rsid w:val="00BB1A78"/>
    <w:rsid w:val="00BB3597"/>
    <w:rsid w:val="00BC6A84"/>
    <w:rsid w:val="00BC76E2"/>
    <w:rsid w:val="00BD2677"/>
    <w:rsid w:val="00BE0865"/>
    <w:rsid w:val="00BE484B"/>
    <w:rsid w:val="00BE4854"/>
    <w:rsid w:val="00BE4F61"/>
    <w:rsid w:val="00BE6189"/>
    <w:rsid w:val="00BE6ED9"/>
    <w:rsid w:val="00BE7E24"/>
    <w:rsid w:val="00BF3501"/>
    <w:rsid w:val="00BF49F4"/>
    <w:rsid w:val="00BF4C19"/>
    <w:rsid w:val="00C024F9"/>
    <w:rsid w:val="00C028DD"/>
    <w:rsid w:val="00C033DA"/>
    <w:rsid w:val="00C0444D"/>
    <w:rsid w:val="00C06B2D"/>
    <w:rsid w:val="00C06C57"/>
    <w:rsid w:val="00C1124B"/>
    <w:rsid w:val="00C15B9E"/>
    <w:rsid w:val="00C16C4B"/>
    <w:rsid w:val="00C208DA"/>
    <w:rsid w:val="00C30549"/>
    <w:rsid w:val="00C30C47"/>
    <w:rsid w:val="00C30DCA"/>
    <w:rsid w:val="00C36D9D"/>
    <w:rsid w:val="00C43353"/>
    <w:rsid w:val="00C434CF"/>
    <w:rsid w:val="00C43827"/>
    <w:rsid w:val="00C4431F"/>
    <w:rsid w:val="00C50EB0"/>
    <w:rsid w:val="00C55519"/>
    <w:rsid w:val="00C56DE2"/>
    <w:rsid w:val="00C63A95"/>
    <w:rsid w:val="00C7672F"/>
    <w:rsid w:val="00C82A9E"/>
    <w:rsid w:val="00C82CF6"/>
    <w:rsid w:val="00C84E24"/>
    <w:rsid w:val="00C95EB8"/>
    <w:rsid w:val="00CA1729"/>
    <w:rsid w:val="00CA19C5"/>
    <w:rsid w:val="00CB049A"/>
    <w:rsid w:val="00CB08A5"/>
    <w:rsid w:val="00CC47B8"/>
    <w:rsid w:val="00CC4AD8"/>
    <w:rsid w:val="00CC723C"/>
    <w:rsid w:val="00CD1239"/>
    <w:rsid w:val="00CD2243"/>
    <w:rsid w:val="00CD2A41"/>
    <w:rsid w:val="00CD319A"/>
    <w:rsid w:val="00CD7A8C"/>
    <w:rsid w:val="00CE06AB"/>
    <w:rsid w:val="00CE4295"/>
    <w:rsid w:val="00CF054E"/>
    <w:rsid w:val="00CF3E74"/>
    <w:rsid w:val="00CF7F1D"/>
    <w:rsid w:val="00D00285"/>
    <w:rsid w:val="00D055D8"/>
    <w:rsid w:val="00D05CDE"/>
    <w:rsid w:val="00D063EE"/>
    <w:rsid w:val="00D079D5"/>
    <w:rsid w:val="00D110D8"/>
    <w:rsid w:val="00D1145D"/>
    <w:rsid w:val="00D20E24"/>
    <w:rsid w:val="00D2293C"/>
    <w:rsid w:val="00D35851"/>
    <w:rsid w:val="00D3763A"/>
    <w:rsid w:val="00D44AF0"/>
    <w:rsid w:val="00D45B53"/>
    <w:rsid w:val="00D51DD5"/>
    <w:rsid w:val="00D566E1"/>
    <w:rsid w:val="00D61A00"/>
    <w:rsid w:val="00D61EB5"/>
    <w:rsid w:val="00D67048"/>
    <w:rsid w:val="00D74582"/>
    <w:rsid w:val="00D82753"/>
    <w:rsid w:val="00D866BF"/>
    <w:rsid w:val="00D8727B"/>
    <w:rsid w:val="00D90382"/>
    <w:rsid w:val="00DA31E4"/>
    <w:rsid w:val="00DB0B0B"/>
    <w:rsid w:val="00DB4EB0"/>
    <w:rsid w:val="00DB6D3A"/>
    <w:rsid w:val="00DB6DD8"/>
    <w:rsid w:val="00DC0DA9"/>
    <w:rsid w:val="00DC1110"/>
    <w:rsid w:val="00DC14DB"/>
    <w:rsid w:val="00DC3ABB"/>
    <w:rsid w:val="00DC56D9"/>
    <w:rsid w:val="00DD5032"/>
    <w:rsid w:val="00DD6E49"/>
    <w:rsid w:val="00DE1431"/>
    <w:rsid w:val="00DE544B"/>
    <w:rsid w:val="00DF1E31"/>
    <w:rsid w:val="00DF548C"/>
    <w:rsid w:val="00DF612A"/>
    <w:rsid w:val="00DF61D2"/>
    <w:rsid w:val="00DF6EF4"/>
    <w:rsid w:val="00E0244D"/>
    <w:rsid w:val="00E0520F"/>
    <w:rsid w:val="00E12953"/>
    <w:rsid w:val="00E2246A"/>
    <w:rsid w:val="00E26EBF"/>
    <w:rsid w:val="00E305F1"/>
    <w:rsid w:val="00E30ADC"/>
    <w:rsid w:val="00E34233"/>
    <w:rsid w:val="00E3628D"/>
    <w:rsid w:val="00E3770C"/>
    <w:rsid w:val="00E43294"/>
    <w:rsid w:val="00E441F6"/>
    <w:rsid w:val="00E449C2"/>
    <w:rsid w:val="00E4564C"/>
    <w:rsid w:val="00E46857"/>
    <w:rsid w:val="00E47CC9"/>
    <w:rsid w:val="00E567F3"/>
    <w:rsid w:val="00E649CB"/>
    <w:rsid w:val="00E750F7"/>
    <w:rsid w:val="00E867AF"/>
    <w:rsid w:val="00E86908"/>
    <w:rsid w:val="00E935B7"/>
    <w:rsid w:val="00E93662"/>
    <w:rsid w:val="00E94716"/>
    <w:rsid w:val="00E9586F"/>
    <w:rsid w:val="00E97F47"/>
    <w:rsid w:val="00EA06BD"/>
    <w:rsid w:val="00EA0934"/>
    <w:rsid w:val="00EA2F41"/>
    <w:rsid w:val="00EB0464"/>
    <w:rsid w:val="00EB38CE"/>
    <w:rsid w:val="00EC2BBB"/>
    <w:rsid w:val="00EC4008"/>
    <w:rsid w:val="00ED0DD4"/>
    <w:rsid w:val="00ED1264"/>
    <w:rsid w:val="00ED2A8E"/>
    <w:rsid w:val="00EF345E"/>
    <w:rsid w:val="00EF60B6"/>
    <w:rsid w:val="00EF6187"/>
    <w:rsid w:val="00EF63F7"/>
    <w:rsid w:val="00EF6565"/>
    <w:rsid w:val="00EF6A43"/>
    <w:rsid w:val="00F0051D"/>
    <w:rsid w:val="00F01045"/>
    <w:rsid w:val="00F01C50"/>
    <w:rsid w:val="00F0453F"/>
    <w:rsid w:val="00F07F6B"/>
    <w:rsid w:val="00F1645A"/>
    <w:rsid w:val="00F225E0"/>
    <w:rsid w:val="00F22DD6"/>
    <w:rsid w:val="00F22E71"/>
    <w:rsid w:val="00F237DB"/>
    <w:rsid w:val="00F24966"/>
    <w:rsid w:val="00F32266"/>
    <w:rsid w:val="00F34013"/>
    <w:rsid w:val="00F35CB3"/>
    <w:rsid w:val="00F378FE"/>
    <w:rsid w:val="00F404E3"/>
    <w:rsid w:val="00F42533"/>
    <w:rsid w:val="00F45E8A"/>
    <w:rsid w:val="00F47BA7"/>
    <w:rsid w:val="00F57357"/>
    <w:rsid w:val="00F6387A"/>
    <w:rsid w:val="00F64DD6"/>
    <w:rsid w:val="00F65EA1"/>
    <w:rsid w:val="00F73D5E"/>
    <w:rsid w:val="00F81717"/>
    <w:rsid w:val="00F8245F"/>
    <w:rsid w:val="00F82639"/>
    <w:rsid w:val="00F84BCF"/>
    <w:rsid w:val="00FA034C"/>
    <w:rsid w:val="00FB287E"/>
    <w:rsid w:val="00FC374A"/>
    <w:rsid w:val="00FC37CE"/>
    <w:rsid w:val="00FC6394"/>
    <w:rsid w:val="00FD24FD"/>
    <w:rsid w:val="00FD6002"/>
    <w:rsid w:val="00FE338A"/>
    <w:rsid w:val="00FE7221"/>
    <w:rsid w:val="00FF1E25"/>
    <w:rsid w:val="00FF21D1"/>
    <w:rsid w:val="00FF275C"/>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025E"/>
  <w15:chartTrackingRefBased/>
  <w15:docId w15:val="{FA3E0F80-A0E7-4F6E-B855-61F4DCD6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5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549"/>
    <w:rPr>
      <w:sz w:val="20"/>
      <w:szCs w:val="20"/>
      <w:lang w:val="en-ZA"/>
    </w:rPr>
  </w:style>
  <w:style w:type="character" w:styleId="FootnoteReference">
    <w:name w:val="footnote reference"/>
    <w:basedOn w:val="DefaultParagraphFont"/>
    <w:uiPriority w:val="99"/>
    <w:semiHidden/>
    <w:unhideWhenUsed/>
    <w:rsid w:val="00A95549"/>
    <w:rPr>
      <w:vertAlign w:val="superscript"/>
    </w:rPr>
  </w:style>
  <w:style w:type="paragraph" w:styleId="ListParagraph">
    <w:name w:val="List Paragraph"/>
    <w:basedOn w:val="Normal"/>
    <w:uiPriority w:val="34"/>
    <w:qFormat/>
    <w:rsid w:val="00CD2A41"/>
    <w:pPr>
      <w:ind w:left="720"/>
      <w:contextualSpacing/>
    </w:pPr>
  </w:style>
  <w:style w:type="paragraph" w:styleId="Header">
    <w:name w:val="header"/>
    <w:basedOn w:val="Normal"/>
    <w:link w:val="HeaderChar"/>
    <w:uiPriority w:val="99"/>
    <w:unhideWhenUsed/>
    <w:rsid w:val="00CD2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A41"/>
    <w:rPr>
      <w:lang w:val="en-ZA"/>
    </w:rPr>
  </w:style>
  <w:style w:type="paragraph" w:styleId="Footer">
    <w:name w:val="footer"/>
    <w:basedOn w:val="Normal"/>
    <w:link w:val="FooterChar"/>
    <w:uiPriority w:val="99"/>
    <w:unhideWhenUsed/>
    <w:rsid w:val="00CD2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A41"/>
    <w:rPr>
      <w:lang w:val="en-ZA"/>
    </w:rPr>
  </w:style>
  <w:style w:type="paragraph" w:styleId="BalloonText">
    <w:name w:val="Balloon Text"/>
    <w:basedOn w:val="Normal"/>
    <w:link w:val="BalloonTextChar"/>
    <w:uiPriority w:val="99"/>
    <w:semiHidden/>
    <w:unhideWhenUsed/>
    <w:rsid w:val="00CD2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A4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Mokone</cp:lastModifiedBy>
  <cp:revision>3</cp:revision>
  <cp:lastPrinted>2023-02-01T10:55:00Z</cp:lastPrinted>
  <dcterms:created xsi:type="dcterms:W3CDTF">2023-03-31T10:54:00Z</dcterms:created>
  <dcterms:modified xsi:type="dcterms:W3CDTF">2023-03-31T11:00:00Z</dcterms:modified>
</cp:coreProperties>
</file>