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73CE" w14:textId="77777777" w:rsidR="00575D53" w:rsidRDefault="00575D53" w:rsidP="00C91BD0">
      <w:pPr>
        <w:jc w:val="center"/>
        <w:rPr>
          <w:lang w:val="en-GB"/>
        </w:rPr>
      </w:pPr>
    </w:p>
    <w:p w14:paraId="11358BE4" w14:textId="77777777" w:rsidR="00575D53" w:rsidRDefault="00575D53" w:rsidP="00C91BD0">
      <w:pPr>
        <w:jc w:val="center"/>
        <w:rPr>
          <w:lang w:val="en-GB"/>
        </w:rPr>
      </w:pPr>
    </w:p>
    <w:p w14:paraId="4E446C70" w14:textId="77777777" w:rsidR="00C91BD0" w:rsidRPr="00F34416" w:rsidRDefault="00C91BD0" w:rsidP="00C91BD0">
      <w:pPr>
        <w:jc w:val="center"/>
        <w:rPr>
          <w:lang w:val="en-GB"/>
        </w:rPr>
      </w:pPr>
      <w:r w:rsidRPr="00F34416">
        <w:rPr>
          <w:noProof/>
          <w:lang w:eastAsia="en-ZA"/>
        </w:rPr>
        <w:drawing>
          <wp:inline distT="0" distB="0" distL="0" distR="0" wp14:anchorId="01189E8E" wp14:editId="2887542D">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3200F0E3" w14:textId="77777777" w:rsidR="00C91BD0" w:rsidRPr="00F34416" w:rsidRDefault="00C91BD0" w:rsidP="00C91BD0">
      <w:pPr>
        <w:jc w:val="center"/>
        <w:rPr>
          <w:b/>
          <w:bCs/>
          <w:lang w:val="en-GB"/>
        </w:rPr>
      </w:pPr>
      <w:r w:rsidRPr="00F34416">
        <w:rPr>
          <w:b/>
          <w:bCs/>
          <w:lang w:val="en-GB"/>
        </w:rPr>
        <w:t>IN THE HIGH COURT OF SOUTH AFRICA</w:t>
      </w:r>
    </w:p>
    <w:p w14:paraId="6FE94714" w14:textId="3A3EA85B" w:rsidR="00C91BD0" w:rsidRPr="00F34416" w:rsidRDefault="00656E28" w:rsidP="001B3810">
      <w:pPr>
        <w:jc w:val="center"/>
        <w:rPr>
          <w:spacing w:val="14"/>
          <w:kern w:val="2"/>
          <w:u w:val="single"/>
          <w:lang w:val="en-GB"/>
        </w:rPr>
      </w:pPr>
      <w:r>
        <w:rPr>
          <w:b/>
          <w:bCs/>
          <w:lang w:val="en-GB"/>
        </w:rPr>
        <w:t>(</w:t>
      </w:r>
      <w:r w:rsidR="00C91BD0" w:rsidRPr="00F34416">
        <w:rPr>
          <w:b/>
          <w:bCs/>
          <w:lang w:val="en-GB"/>
        </w:rPr>
        <w:t>EAST</w:t>
      </w:r>
      <w:r>
        <w:rPr>
          <w:b/>
          <w:bCs/>
          <w:lang w:val="en-GB"/>
        </w:rPr>
        <w:t xml:space="preserve"> LONDON CIRCUIT</w:t>
      </w:r>
      <w:r w:rsidR="00C91BD0" w:rsidRPr="00F34416">
        <w:rPr>
          <w:b/>
          <w:bCs/>
          <w:lang w:val="en-GB"/>
        </w:rPr>
        <w:t xml:space="preserve"> DIVISION</w:t>
      </w:r>
      <w:r>
        <w:rPr>
          <w:b/>
          <w:bCs/>
          <w:lang w:val="en-GB"/>
        </w:rPr>
        <w:t>)</w:t>
      </w:r>
    </w:p>
    <w:p w14:paraId="425CAEF1" w14:textId="77777777" w:rsidR="00C12FD8" w:rsidRDefault="00C12FD8" w:rsidP="00656E28">
      <w:pPr>
        <w:ind w:right="-52"/>
        <w:jc w:val="right"/>
        <w:rPr>
          <w:lang w:val="en-GB"/>
        </w:rPr>
      </w:pPr>
    </w:p>
    <w:p w14:paraId="1C3803F0" w14:textId="2F741D02" w:rsidR="00C91BD0" w:rsidRPr="002F496E" w:rsidRDefault="002F496E" w:rsidP="001B3810">
      <w:pPr>
        <w:ind w:right="-52"/>
        <w:jc w:val="right"/>
        <w:rPr>
          <w:lang w:val="en-GB"/>
        </w:rPr>
      </w:pPr>
      <w:r w:rsidRPr="001B3810">
        <w:rPr>
          <w:b/>
          <w:bCs/>
          <w:lang w:val="en-GB"/>
        </w:rPr>
        <w:t xml:space="preserve">CASE NO: </w:t>
      </w:r>
      <w:r w:rsidR="00606570">
        <w:rPr>
          <w:b/>
          <w:bCs/>
          <w:lang w:val="en-GB"/>
        </w:rPr>
        <w:t>EL</w:t>
      </w:r>
      <w:r w:rsidRPr="001B3810">
        <w:rPr>
          <w:b/>
          <w:bCs/>
          <w:lang w:val="en-GB"/>
        </w:rPr>
        <w:t xml:space="preserve">1605/21  </w:t>
      </w:r>
    </w:p>
    <w:p w14:paraId="33336D42" w14:textId="30E33ED0" w:rsidR="00C12FD8" w:rsidRPr="002F496E" w:rsidRDefault="00C91BD0" w:rsidP="00C91BD0">
      <w:pPr>
        <w:widowControl w:val="0"/>
        <w:jc w:val="both"/>
        <w:rPr>
          <w:spacing w:val="14"/>
          <w:kern w:val="2"/>
          <w:lang w:val="en-GB"/>
        </w:rPr>
      </w:pPr>
      <w:r w:rsidRPr="002F496E">
        <w:rPr>
          <w:spacing w:val="14"/>
          <w:kern w:val="2"/>
          <w:lang w:val="en-GB"/>
        </w:rPr>
        <w:t>In the matter between</w:t>
      </w:r>
      <w:r w:rsidR="00C12FD8" w:rsidRPr="002F496E">
        <w:rPr>
          <w:lang w:val="en-GB"/>
        </w:rPr>
        <w:t>:</w:t>
      </w:r>
    </w:p>
    <w:p w14:paraId="747AE5D7" w14:textId="18ED6F88" w:rsidR="00C91BD0" w:rsidRPr="002F496E" w:rsidRDefault="00C91BD0" w:rsidP="001B3810">
      <w:pPr>
        <w:widowControl w:val="0"/>
        <w:jc w:val="both"/>
        <w:rPr>
          <w:lang w:val="en-GB"/>
        </w:rPr>
      </w:pPr>
    </w:p>
    <w:p w14:paraId="29D0632A" w14:textId="0EC92C6C" w:rsidR="00C91BD0" w:rsidRPr="002F496E" w:rsidRDefault="0049449E" w:rsidP="00740887">
      <w:pPr>
        <w:widowControl w:val="0"/>
        <w:tabs>
          <w:tab w:val="right" w:pos="8931"/>
        </w:tabs>
        <w:spacing w:line="480" w:lineRule="auto"/>
        <w:rPr>
          <w:b/>
          <w:color w:val="auto"/>
        </w:rPr>
      </w:pPr>
      <w:r w:rsidRPr="002F496E">
        <w:rPr>
          <w:b/>
          <w:color w:val="auto"/>
        </w:rPr>
        <w:t>THEMBELA NDIYALWA</w:t>
      </w:r>
      <w:r w:rsidR="00740887" w:rsidRPr="002F496E">
        <w:rPr>
          <w:b/>
          <w:color w:val="auto"/>
        </w:rPr>
        <w:tab/>
        <w:t xml:space="preserve">                                                                            </w:t>
      </w:r>
      <w:r w:rsidRPr="002F496E">
        <w:rPr>
          <w:b/>
          <w:color w:val="auto"/>
        </w:rPr>
        <w:t>PLAINTIFF</w:t>
      </w:r>
    </w:p>
    <w:p w14:paraId="3A79180D" w14:textId="77777777" w:rsidR="00C91BD0" w:rsidRPr="002F496E" w:rsidRDefault="00C91BD0" w:rsidP="001B3810">
      <w:pPr>
        <w:widowControl w:val="0"/>
        <w:tabs>
          <w:tab w:val="right" w:pos="8640"/>
        </w:tabs>
        <w:spacing w:line="480" w:lineRule="auto"/>
        <w:rPr>
          <w:b/>
          <w:color w:val="auto"/>
        </w:rPr>
      </w:pPr>
    </w:p>
    <w:p w14:paraId="529C83BD" w14:textId="56B9E12F" w:rsidR="00C91BD0" w:rsidRPr="002F496E" w:rsidRDefault="00C21807" w:rsidP="00740887">
      <w:pPr>
        <w:widowControl w:val="0"/>
        <w:tabs>
          <w:tab w:val="right" w:pos="8640"/>
        </w:tabs>
        <w:spacing w:line="480" w:lineRule="auto"/>
        <w:rPr>
          <w:bCs/>
          <w:color w:val="auto"/>
        </w:rPr>
      </w:pPr>
      <w:r w:rsidRPr="002F496E">
        <w:rPr>
          <w:bCs/>
          <w:color w:val="auto"/>
        </w:rPr>
        <w:t>a</w:t>
      </w:r>
      <w:r w:rsidR="00C91BD0" w:rsidRPr="001B3810">
        <w:rPr>
          <w:bCs/>
          <w:color w:val="auto"/>
        </w:rPr>
        <w:t>nd</w:t>
      </w:r>
    </w:p>
    <w:p w14:paraId="74F74BE8" w14:textId="77777777" w:rsidR="003F3178" w:rsidRPr="001B3810" w:rsidRDefault="003F3178" w:rsidP="00740887">
      <w:pPr>
        <w:widowControl w:val="0"/>
        <w:tabs>
          <w:tab w:val="right" w:pos="8640"/>
        </w:tabs>
        <w:spacing w:line="480" w:lineRule="auto"/>
        <w:rPr>
          <w:bCs/>
          <w:color w:val="auto"/>
        </w:rPr>
      </w:pPr>
    </w:p>
    <w:p w14:paraId="5976BB68" w14:textId="42A51BD9" w:rsidR="00C91BD0" w:rsidRPr="002F496E" w:rsidRDefault="0049449E" w:rsidP="00740887">
      <w:pPr>
        <w:widowControl w:val="0"/>
        <w:tabs>
          <w:tab w:val="right" w:pos="8640"/>
        </w:tabs>
        <w:spacing w:line="480" w:lineRule="auto"/>
        <w:rPr>
          <w:b/>
          <w:color w:val="auto"/>
        </w:rPr>
      </w:pPr>
      <w:r w:rsidRPr="002F496E">
        <w:rPr>
          <w:b/>
          <w:color w:val="auto"/>
        </w:rPr>
        <w:t>MINISTER OF POLICE</w:t>
      </w:r>
      <w:r w:rsidR="00740887" w:rsidRPr="002F496E">
        <w:rPr>
          <w:b/>
          <w:color w:val="auto"/>
        </w:rPr>
        <w:tab/>
        <w:t xml:space="preserve">                                                                           </w:t>
      </w:r>
      <w:r w:rsidRPr="002F496E">
        <w:rPr>
          <w:b/>
          <w:color w:val="auto"/>
        </w:rPr>
        <w:t>DEFENDA</w:t>
      </w:r>
      <w:r w:rsidR="00482E74" w:rsidRPr="002F496E">
        <w:rPr>
          <w:b/>
          <w:color w:val="auto"/>
        </w:rPr>
        <w:t>NT</w:t>
      </w:r>
    </w:p>
    <w:p w14:paraId="3B006524" w14:textId="6FE5C7D4" w:rsidR="00C91BD0" w:rsidRPr="001B3810" w:rsidRDefault="00C91BD0" w:rsidP="00C91BD0">
      <w:pPr>
        <w:jc w:val="both"/>
        <w:rPr>
          <w:b/>
          <w:bCs/>
          <w:u w:val="single"/>
          <w:lang w:val="en-GB"/>
        </w:rPr>
      </w:pPr>
      <w:r w:rsidRPr="001B3810">
        <w:rPr>
          <w:b/>
          <w:bCs/>
          <w:u w:val="single"/>
          <w:lang w:val="en-GB"/>
        </w:rPr>
        <w:t>___________________________________________________________________</w:t>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p>
    <w:p w14:paraId="1934E02F" w14:textId="77777777" w:rsidR="00C91BD0" w:rsidRPr="002F496E" w:rsidRDefault="00C91BD0" w:rsidP="00C91BD0">
      <w:pPr>
        <w:jc w:val="center"/>
        <w:rPr>
          <w:lang w:val="en-GB"/>
        </w:rPr>
      </w:pPr>
    </w:p>
    <w:p w14:paraId="1C893734" w14:textId="77777777" w:rsidR="00C91BD0" w:rsidRPr="002F496E" w:rsidRDefault="00C91BD0" w:rsidP="00C91BD0">
      <w:pPr>
        <w:jc w:val="center"/>
        <w:rPr>
          <w:b/>
          <w:bCs/>
          <w:lang w:val="en-GB"/>
        </w:rPr>
      </w:pPr>
      <w:r w:rsidRPr="002F496E">
        <w:rPr>
          <w:b/>
          <w:bCs/>
          <w:lang w:val="en-GB"/>
        </w:rPr>
        <w:t xml:space="preserve">JUDGMENT </w:t>
      </w:r>
    </w:p>
    <w:p w14:paraId="57178E58" w14:textId="46A1D33F" w:rsidR="00656E28" w:rsidRPr="001B3810" w:rsidRDefault="00C91BD0" w:rsidP="00656E28">
      <w:pPr>
        <w:jc w:val="both"/>
        <w:rPr>
          <w:b/>
          <w:bCs/>
          <w:u w:val="single"/>
          <w:lang w:val="en-GB"/>
        </w:rPr>
      </w:pPr>
      <w:r w:rsidRPr="001B3810">
        <w:rPr>
          <w:b/>
          <w:bCs/>
          <w:u w:val="single"/>
          <w:lang w:val="en-GB"/>
        </w:rPr>
        <w:t>___________________________________________________________________</w:t>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000B78AB">
        <w:rPr>
          <w:b/>
          <w:bCs/>
          <w:u w:val="single"/>
          <w:lang w:val="en-GB"/>
        </w:rPr>
        <w:softHyphen/>
      </w:r>
      <w:r w:rsidRPr="001B3810">
        <w:rPr>
          <w:b/>
          <w:bCs/>
          <w:u w:val="single"/>
          <w:lang w:val="en-GB"/>
        </w:rPr>
        <w:t xml:space="preserve"> </w:t>
      </w:r>
    </w:p>
    <w:p w14:paraId="3DBCB89C" w14:textId="77777777" w:rsidR="004A3816" w:rsidRPr="002F496E" w:rsidRDefault="004A3816" w:rsidP="001B3810">
      <w:pPr>
        <w:pStyle w:val="ListParagraph"/>
        <w:jc w:val="both"/>
        <w:rPr>
          <w:lang w:val="en-GB"/>
        </w:rPr>
      </w:pPr>
    </w:p>
    <w:p w14:paraId="0C030F11" w14:textId="7EA12421" w:rsidR="00782560" w:rsidRPr="002F496E" w:rsidRDefault="00C2796C" w:rsidP="00C12FD8">
      <w:pPr>
        <w:tabs>
          <w:tab w:val="left" w:pos="851"/>
        </w:tabs>
        <w:jc w:val="both"/>
        <w:rPr>
          <w:b/>
          <w:lang w:val="en-GB"/>
        </w:rPr>
      </w:pPr>
      <w:r w:rsidRPr="002F496E">
        <w:rPr>
          <w:b/>
          <w:lang w:val="en-GB"/>
        </w:rPr>
        <w:t>CENGANI -MBAKAZA AJ</w:t>
      </w:r>
      <w:r w:rsidR="007560E9">
        <w:rPr>
          <w:b/>
          <w:lang w:val="en-GB"/>
        </w:rPr>
        <w:t>:</w:t>
      </w:r>
    </w:p>
    <w:p w14:paraId="01BCB07B" w14:textId="77777777" w:rsidR="001E0906" w:rsidRPr="002F496E" w:rsidRDefault="001E0906" w:rsidP="00C12FD8">
      <w:pPr>
        <w:tabs>
          <w:tab w:val="left" w:pos="851"/>
        </w:tabs>
        <w:jc w:val="both"/>
        <w:rPr>
          <w:b/>
          <w:lang w:val="en-GB"/>
        </w:rPr>
      </w:pPr>
    </w:p>
    <w:p w14:paraId="175A0A4D" w14:textId="4D4A6280" w:rsidR="002C1720" w:rsidRPr="002F496E" w:rsidRDefault="001E0906" w:rsidP="00C12FD8">
      <w:pPr>
        <w:tabs>
          <w:tab w:val="left" w:pos="851"/>
        </w:tabs>
        <w:jc w:val="both"/>
        <w:rPr>
          <w:lang w:val="en-GB"/>
        </w:rPr>
      </w:pPr>
      <w:r w:rsidRPr="001B3810">
        <w:rPr>
          <w:b/>
          <w:bCs/>
          <w:lang w:val="en-GB"/>
        </w:rPr>
        <w:t>Introduction</w:t>
      </w:r>
    </w:p>
    <w:p w14:paraId="60E7B784" w14:textId="77777777" w:rsidR="002C1720" w:rsidRPr="002F496E" w:rsidRDefault="002C1720" w:rsidP="00C12FD8">
      <w:pPr>
        <w:tabs>
          <w:tab w:val="left" w:pos="851"/>
        </w:tabs>
        <w:jc w:val="both"/>
        <w:rPr>
          <w:u w:val="single"/>
          <w:lang w:val="en-GB"/>
        </w:rPr>
      </w:pPr>
    </w:p>
    <w:p w14:paraId="47D80005" w14:textId="1D72F7C3" w:rsidR="00C2796C" w:rsidRPr="002F496E" w:rsidRDefault="002C1720" w:rsidP="001B3810">
      <w:pPr>
        <w:tabs>
          <w:tab w:val="left" w:pos="851"/>
        </w:tabs>
        <w:jc w:val="both"/>
        <w:rPr>
          <w:bCs/>
          <w:lang w:val="en-GB"/>
        </w:rPr>
      </w:pPr>
      <w:r w:rsidRPr="001B3810">
        <w:rPr>
          <w:bCs/>
          <w:lang w:val="en-GB"/>
        </w:rPr>
        <w:t>[1]</w:t>
      </w:r>
      <w:r w:rsidRPr="001B3810">
        <w:rPr>
          <w:bCs/>
          <w:lang w:val="en-GB"/>
        </w:rPr>
        <w:tab/>
      </w:r>
      <w:r w:rsidR="00575D53" w:rsidRPr="002F496E">
        <w:rPr>
          <w:bCs/>
          <w:lang w:val="en-GB"/>
        </w:rPr>
        <w:t xml:space="preserve">On 05 December 2019, the </w:t>
      </w:r>
      <w:r w:rsidR="00B002D7">
        <w:rPr>
          <w:bCs/>
          <w:lang w:val="en-GB"/>
        </w:rPr>
        <w:t>P</w:t>
      </w:r>
      <w:r w:rsidR="00064CE5" w:rsidRPr="002F496E">
        <w:rPr>
          <w:bCs/>
          <w:lang w:val="en-GB"/>
        </w:rPr>
        <w:t xml:space="preserve">laintiff was arrested </w:t>
      </w:r>
      <w:r w:rsidR="00575D53" w:rsidRPr="002F496E">
        <w:rPr>
          <w:bCs/>
          <w:lang w:val="en-GB"/>
        </w:rPr>
        <w:t>and detained by the p</w:t>
      </w:r>
      <w:r w:rsidR="00D113C6" w:rsidRPr="002F496E">
        <w:rPr>
          <w:bCs/>
          <w:lang w:val="en-GB"/>
        </w:rPr>
        <w:t xml:space="preserve">olice </w:t>
      </w:r>
      <w:r w:rsidR="00064CE5" w:rsidRPr="002F496E">
        <w:rPr>
          <w:bCs/>
          <w:lang w:val="en-GB"/>
        </w:rPr>
        <w:t>on allegations of attempted murder.</w:t>
      </w:r>
      <w:r w:rsidR="00575D53" w:rsidRPr="002F496E">
        <w:rPr>
          <w:bCs/>
          <w:lang w:val="en-GB"/>
        </w:rPr>
        <w:t xml:space="preserve"> On 02 January 2020</w:t>
      </w:r>
      <w:r w:rsidR="006350E8" w:rsidRPr="002F496E">
        <w:rPr>
          <w:bCs/>
          <w:lang w:val="en-GB"/>
        </w:rPr>
        <w:t>,</w:t>
      </w:r>
      <w:r w:rsidR="00575D53" w:rsidRPr="002F496E">
        <w:rPr>
          <w:bCs/>
          <w:lang w:val="en-GB"/>
        </w:rPr>
        <w:t xml:space="preserve"> he was released on bail.</w:t>
      </w:r>
      <w:r w:rsidR="00D113C6" w:rsidRPr="002F496E">
        <w:rPr>
          <w:bCs/>
          <w:lang w:val="en-GB"/>
        </w:rPr>
        <w:t xml:space="preserve"> </w:t>
      </w:r>
      <w:r w:rsidR="00064CE5" w:rsidRPr="002F496E">
        <w:rPr>
          <w:bCs/>
          <w:lang w:val="en-GB"/>
        </w:rPr>
        <w:t>Following the said events</w:t>
      </w:r>
      <w:r w:rsidR="006350E8" w:rsidRPr="002F496E">
        <w:rPr>
          <w:bCs/>
          <w:lang w:val="en-GB"/>
        </w:rPr>
        <w:t>, he</w:t>
      </w:r>
      <w:r w:rsidR="00A86FF7">
        <w:rPr>
          <w:bCs/>
          <w:lang w:val="en-GB"/>
        </w:rPr>
        <w:t xml:space="preserve"> instituted</w:t>
      </w:r>
      <w:r w:rsidR="00D113C6" w:rsidRPr="002F496E">
        <w:rPr>
          <w:bCs/>
          <w:lang w:val="en-GB"/>
        </w:rPr>
        <w:t xml:space="preserve"> action against the Minister of Police.  He </w:t>
      </w:r>
      <w:r w:rsidR="00064CE5" w:rsidRPr="002F496E">
        <w:rPr>
          <w:bCs/>
          <w:lang w:val="en-GB"/>
        </w:rPr>
        <w:t xml:space="preserve">demands </w:t>
      </w:r>
      <w:r w:rsidR="007560E9">
        <w:rPr>
          <w:bCs/>
          <w:lang w:val="en-GB"/>
        </w:rPr>
        <w:t>payment in</w:t>
      </w:r>
      <w:r w:rsidR="00064CE5" w:rsidRPr="002F496E">
        <w:rPr>
          <w:bCs/>
          <w:lang w:val="en-GB"/>
        </w:rPr>
        <w:t xml:space="preserve"> a</w:t>
      </w:r>
      <w:r w:rsidR="006350E8" w:rsidRPr="002F496E">
        <w:rPr>
          <w:bCs/>
          <w:lang w:val="en-GB"/>
        </w:rPr>
        <w:t>n amount</w:t>
      </w:r>
      <w:r w:rsidR="00270A35" w:rsidRPr="002F496E">
        <w:rPr>
          <w:bCs/>
          <w:lang w:val="en-GB"/>
        </w:rPr>
        <w:t xml:space="preserve"> </w:t>
      </w:r>
      <w:r w:rsidR="00575D53" w:rsidRPr="002F496E">
        <w:rPr>
          <w:bCs/>
          <w:lang w:val="en-GB"/>
        </w:rPr>
        <w:t>totalling</w:t>
      </w:r>
      <w:r w:rsidR="00DA50FF" w:rsidRPr="002F496E">
        <w:rPr>
          <w:bCs/>
          <w:lang w:val="en-GB"/>
        </w:rPr>
        <w:t xml:space="preserve"> </w:t>
      </w:r>
      <w:r w:rsidR="00575D53" w:rsidRPr="002F496E">
        <w:rPr>
          <w:bCs/>
          <w:lang w:val="en-GB"/>
        </w:rPr>
        <w:t>R1</w:t>
      </w:r>
      <w:r w:rsidR="00BB1F74" w:rsidRPr="002F496E">
        <w:rPr>
          <w:bCs/>
          <w:lang w:val="en-GB"/>
        </w:rPr>
        <w:t xml:space="preserve"> </w:t>
      </w:r>
      <w:r w:rsidR="00575D53" w:rsidRPr="002F496E">
        <w:rPr>
          <w:bCs/>
          <w:lang w:val="en-GB"/>
        </w:rPr>
        <w:t>300</w:t>
      </w:r>
      <w:r w:rsidR="00BB1F74" w:rsidRPr="002F496E">
        <w:rPr>
          <w:bCs/>
          <w:lang w:val="en-GB"/>
        </w:rPr>
        <w:t xml:space="preserve"> </w:t>
      </w:r>
      <w:r w:rsidR="00575D53" w:rsidRPr="002F496E">
        <w:rPr>
          <w:bCs/>
          <w:lang w:val="en-GB"/>
        </w:rPr>
        <w:t>000</w:t>
      </w:r>
      <w:r w:rsidR="007D7D3F" w:rsidRPr="002F496E">
        <w:rPr>
          <w:bCs/>
          <w:lang w:val="en-GB"/>
        </w:rPr>
        <w:t>.</w:t>
      </w:r>
      <w:r w:rsidR="00575D53" w:rsidRPr="002F496E">
        <w:rPr>
          <w:bCs/>
          <w:lang w:val="en-GB"/>
        </w:rPr>
        <w:t xml:space="preserve"> 00</w:t>
      </w:r>
      <w:r w:rsidR="004B7AC1" w:rsidRPr="002F496E">
        <w:rPr>
          <w:bCs/>
          <w:lang w:val="en-GB"/>
        </w:rPr>
        <w:t xml:space="preserve"> </w:t>
      </w:r>
      <w:r w:rsidR="00064CE5" w:rsidRPr="002F496E">
        <w:rPr>
          <w:bCs/>
          <w:lang w:val="en-GB"/>
        </w:rPr>
        <w:t>(</w:t>
      </w:r>
      <w:r w:rsidR="007560E9">
        <w:rPr>
          <w:bCs/>
          <w:lang w:val="en-GB"/>
        </w:rPr>
        <w:t>O</w:t>
      </w:r>
      <w:r w:rsidR="00064CE5" w:rsidRPr="002F496E">
        <w:rPr>
          <w:bCs/>
          <w:lang w:val="en-GB"/>
        </w:rPr>
        <w:t xml:space="preserve">ne </w:t>
      </w:r>
      <w:r w:rsidR="007560E9">
        <w:rPr>
          <w:bCs/>
          <w:lang w:val="en-GB"/>
        </w:rPr>
        <w:t>M</w:t>
      </w:r>
      <w:r w:rsidR="00064CE5" w:rsidRPr="002F496E">
        <w:rPr>
          <w:bCs/>
          <w:lang w:val="en-GB"/>
        </w:rPr>
        <w:t xml:space="preserve">illion Three </w:t>
      </w:r>
      <w:r w:rsidR="00064CE5" w:rsidRPr="002F496E">
        <w:rPr>
          <w:bCs/>
          <w:lang w:val="en-GB"/>
        </w:rPr>
        <w:lastRenderedPageBreak/>
        <w:t>Hundred Thous</w:t>
      </w:r>
      <w:r w:rsidR="006350E8" w:rsidRPr="002F496E">
        <w:rPr>
          <w:bCs/>
          <w:lang w:val="en-GB"/>
        </w:rPr>
        <w:t>and Rand only) for damages that he</w:t>
      </w:r>
      <w:r w:rsidR="00064CE5" w:rsidRPr="002F496E">
        <w:rPr>
          <w:bCs/>
          <w:lang w:val="en-GB"/>
        </w:rPr>
        <w:t xml:space="preserve"> allegedly suff</w:t>
      </w:r>
      <w:r w:rsidR="001E0906" w:rsidRPr="002F496E">
        <w:rPr>
          <w:bCs/>
          <w:lang w:val="en-GB"/>
        </w:rPr>
        <w:t xml:space="preserve">ered as a result of </w:t>
      </w:r>
      <w:r w:rsidR="00BB1F74" w:rsidRPr="002F496E">
        <w:rPr>
          <w:bCs/>
          <w:lang w:val="en-GB"/>
        </w:rPr>
        <w:t xml:space="preserve">his </w:t>
      </w:r>
      <w:r w:rsidR="00064CE5" w:rsidRPr="002F496E">
        <w:rPr>
          <w:bCs/>
          <w:lang w:val="en-GB"/>
        </w:rPr>
        <w:t xml:space="preserve">arrest </w:t>
      </w:r>
      <w:r w:rsidR="001E0906" w:rsidRPr="002F496E">
        <w:rPr>
          <w:bCs/>
          <w:lang w:val="en-GB"/>
        </w:rPr>
        <w:t xml:space="preserve">and his subsequent </w:t>
      </w:r>
      <w:r w:rsidR="00064CE5" w:rsidRPr="002F496E">
        <w:rPr>
          <w:bCs/>
          <w:lang w:val="en-GB"/>
        </w:rPr>
        <w:t xml:space="preserve">detention. </w:t>
      </w:r>
    </w:p>
    <w:p w14:paraId="4485A139" w14:textId="77777777" w:rsidR="001E0906" w:rsidRPr="001B3810" w:rsidRDefault="001E0906" w:rsidP="00C12FD8">
      <w:pPr>
        <w:pStyle w:val="ListParagraph"/>
        <w:tabs>
          <w:tab w:val="left" w:pos="851"/>
        </w:tabs>
        <w:jc w:val="both"/>
        <w:rPr>
          <w:b/>
          <w:bCs/>
          <w:lang w:val="en-GB"/>
        </w:rPr>
      </w:pPr>
    </w:p>
    <w:p w14:paraId="5586E6A4" w14:textId="77777777" w:rsidR="001E0906" w:rsidRPr="001B3810" w:rsidRDefault="001E0906" w:rsidP="001B3810">
      <w:pPr>
        <w:tabs>
          <w:tab w:val="left" w:pos="851"/>
        </w:tabs>
        <w:jc w:val="both"/>
        <w:rPr>
          <w:b/>
          <w:bCs/>
          <w:lang w:val="en-GB"/>
        </w:rPr>
      </w:pPr>
      <w:r w:rsidRPr="001B3810">
        <w:rPr>
          <w:b/>
          <w:bCs/>
          <w:lang w:val="en-GB"/>
        </w:rPr>
        <w:t>The pleadings</w:t>
      </w:r>
    </w:p>
    <w:p w14:paraId="334B00BD" w14:textId="77777777" w:rsidR="001E0906" w:rsidRPr="002F496E" w:rsidRDefault="001E0906" w:rsidP="00C12FD8">
      <w:pPr>
        <w:tabs>
          <w:tab w:val="left" w:pos="851"/>
        </w:tabs>
        <w:ind w:left="360"/>
        <w:jc w:val="both"/>
        <w:rPr>
          <w:u w:val="single"/>
          <w:lang w:val="en-GB"/>
        </w:rPr>
      </w:pPr>
    </w:p>
    <w:p w14:paraId="5F68205C" w14:textId="5B964575" w:rsidR="00824D03" w:rsidRPr="002F496E" w:rsidRDefault="00270A35" w:rsidP="001B3810">
      <w:pPr>
        <w:tabs>
          <w:tab w:val="left" w:pos="851"/>
        </w:tabs>
        <w:jc w:val="both"/>
        <w:rPr>
          <w:u w:val="single"/>
          <w:lang w:val="en-GB"/>
        </w:rPr>
      </w:pPr>
      <w:r w:rsidRPr="002F496E">
        <w:rPr>
          <w:lang w:val="en-GB"/>
        </w:rPr>
        <w:t xml:space="preserve"> </w:t>
      </w:r>
      <w:r w:rsidR="002C1720" w:rsidRPr="002F496E">
        <w:rPr>
          <w:lang w:val="en-GB"/>
        </w:rPr>
        <w:t>[2]</w:t>
      </w:r>
      <w:r w:rsidR="002C1720" w:rsidRPr="002F496E">
        <w:rPr>
          <w:lang w:val="en-GB"/>
        </w:rPr>
        <w:tab/>
      </w:r>
      <w:r w:rsidRPr="002F496E">
        <w:rPr>
          <w:lang w:val="en-GB"/>
        </w:rPr>
        <w:t>On 23 November 2021, the P</w:t>
      </w:r>
      <w:r w:rsidR="00C97AB6" w:rsidRPr="002F496E">
        <w:rPr>
          <w:lang w:val="en-GB"/>
        </w:rPr>
        <w:t>laintiff issued</w:t>
      </w:r>
      <w:r w:rsidRPr="002F496E">
        <w:rPr>
          <w:lang w:val="en-GB"/>
        </w:rPr>
        <w:t xml:space="preserve"> </w:t>
      </w:r>
      <w:r w:rsidR="00C21807" w:rsidRPr="002F496E">
        <w:rPr>
          <w:lang w:val="en-GB"/>
        </w:rPr>
        <w:t xml:space="preserve">a </w:t>
      </w:r>
      <w:r w:rsidRPr="002F496E">
        <w:rPr>
          <w:lang w:val="en-GB"/>
        </w:rPr>
        <w:t xml:space="preserve">combined </w:t>
      </w:r>
      <w:r w:rsidR="007C52D0" w:rsidRPr="002F496E">
        <w:rPr>
          <w:lang w:val="en-GB"/>
        </w:rPr>
        <w:t>summons</w:t>
      </w:r>
      <w:r w:rsidR="00C97AB6" w:rsidRPr="002F496E">
        <w:rPr>
          <w:lang w:val="en-GB"/>
        </w:rPr>
        <w:t xml:space="preserve"> in this court</w:t>
      </w:r>
      <w:r w:rsidR="004C493E" w:rsidRPr="002F496E">
        <w:rPr>
          <w:lang w:val="en-GB"/>
        </w:rPr>
        <w:t>,</w:t>
      </w:r>
      <w:r w:rsidR="00C97AB6" w:rsidRPr="002F496E">
        <w:rPr>
          <w:lang w:val="en-GB"/>
        </w:rPr>
        <w:t xml:space="preserve"> the part</w:t>
      </w:r>
      <w:r w:rsidR="00976F35" w:rsidRPr="002F496E">
        <w:rPr>
          <w:lang w:val="en-GB"/>
        </w:rPr>
        <w:t>iculars of which are</w:t>
      </w:r>
      <w:r w:rsidR="00C97AB6" w:rsidRPr="002F496E">
        <w:rPr>
          <w:lang w:val="en-GB"/>
        </w:rPr>
        <w:t xml:space="preserve"> </w:t>
      </w:r>
      <w:r w:rsidR="00824D03" w:rsidRPr="002F496E">
        <w:rPr>
          <w:lang w:val="en-GB"/>
        </w:rPr>
        <w:t>formulated as follows:</w:t>
      </w:r>
    </w:p>
    <w:p w14:paraId="38AE5120" w14:textId="77777777" w:rsidR="00824D03" w:rsidRPr="002F496E" w:rsidRDefault="00824D03" w:rsidP="00C12FD8">
      <w:pPr>
        <w:pStyle w:val="ListParagraph"/>
        <w:tabs>
          <w:tab w:val="left" w:pos="851"/>
        </w:tabs>
        <w:jc w:val="both"/>
        <w:rPr>
          <w:lang w:val="en-GB"/>
        </w:rPr>
      </w:pPr>
    </w:p>
    <w:p w14:paraId="151DA2B2" w14:textId="58521573" w:rsidR="00317D3C" w:rsidRPr="001B3810" w:rsidRDefault="001E0906" w:rsidP="00C12FD8">
      <w:pPr>
        <w:pStyle w:val="ListParagraph"/>
        <w:numPr>
          <w:ilvl w:val="0"/>
          <w:numId w:val="7"/>
        </w:numPr>
        <w:tabs>
          <w:tab w:val="left" w:pos="851"/>
        </w:tabs>
        <w:jc w:val="both"/>
        <w:rPr>
          <w:u w:val="single"/>
          <w:lang w:val="en-GB"/>
        </w:rPr>
      </w:pPr>
      <w:r w:rsidRPr="002F496E">
        <w:rPr>
          <w:lang w:val="en-GB"/>
        </w:rPr>
        <w:t>In relation to Claim A</w:t>
      </w:r>
      <w:r w:rsidR="007D7D3F" w:rsidRPr="002F496E">
        <w:rPr>
          <w:lang w:val="en-GB"/>
        </w:rPr>
        <w:t>, P</w:t>
      </w:r>
      <w:r w:rsidR="006350E8" w:rsidRPr="002F496E">
        <w:rPr>
          <w:lang w:val="en-GB"/>
        </w:rPr>
        <w:t>laintiff avers that he</w:t>
      </w:r>
      <w:r w:rsidRPr="002F496E">
        <w:rPr>
          <w:lang w:val="en-GB"/>
        </w:rPr>
        <w:t xml:space="preserve"> was unlawfully and wrongfully arrested without a warrant of arrest in circumstances where the police did not entertain any</w:t>
      </w:r>
      <w:r w:rsidR="00771ACA" w:rsidRPr="002F496E">
        <w:rPr>
          <w:lang w:val="en-GB"/>
        </w:rPr>
        <w:t xml:space="preserve"> reasonable suspicion that</w:t>
      </w:r>
      <w:r w:rsidR="006350E8" w:rsidRPr="002F496E">
        <w:rPr>
          <w:lang w:val="en-GB"/>
        </w:rPr>
        <w:t xml:space="preserve"> he</w:t>
      </w:r>
      <w:r w:rsidRPr="002F496E">
        <w:rPr>
          <w:lang w:val="en-GB"/>
        </w:rPr>
        <w:t xml:space="preserve"> had committed a Schedule 1 offence. </w:t>
      </w:r>
      <w:r w:rsidR="007D7D3F" w:rsidRPr="002F496E">
        <w:rPr>
          <w:lang w:val="en-GB"/>
        </w:rPr>
        <w:t>As a result</w:t>
      </w:r>
      <w:r w:rsidR="00DA50FF" w:rsidRPr="002F496E">
        <w:rPr>
          <w:lang w:val="en-GB"/>
        </w:rPr>
        <w:t>, he</w:t>
      </w:r>
      <w:r w:rsidRPr="002F496E">
        <w:rPr>
          <w:lang w:val="en-GB"/>
        </w:rPr>
        <w:t xml:space="preserve"> suffered damages in </w:t>
      </w:r>
      <w:r w:rsidR="002C1720" w:rsidRPr="002F496E">
        <w:rPr>
          <w:lang w:val="en-GB"/>
        </w:rPr>
        <w:t>the</w:t>
      </w:r>
      <w:r w:rsidRPr="002F496E">
        <w:rPr>
          <w:lang w:val="en-GB"/>
        </w:rPr>
        <w:t xml:space="preserve"> sum of </w:t>
      </w:r>
      <w:r w:rsidR="006A03EC" w:rsidRPr="002F496E">
        <w:rPr>
          <w:lang w:val="en-GB"/>
        </w:rPr>
        <w:t>R800</w:t>
      </w:r>
      <w:r w:rsidR="00BB1F74" w:rsidRPr="002F496E">
        <w:rPr>
          <w:lang w:val="en-GB"/>
        </w:rPr>
        <w:t xml:space="preserve"> </w:t>
      </w:r>
      <w:r w:rsidR="006A03EC" w:rsidRPr="002F496E">
        <w:rPr>
          <w:lang w:val="en-GB"/>
        </w:rPr>
        <w:t>000 00</w:t>
      </w:r>
      <w:r w:rsidR="00317D3C" w:rsidRPr="002F496E">
        <w:rPr>
          <w:lang w:val="en-GB"/>
        </w:rPr>
        <w:t xml:space="preserve"> </w:t>
      </w:r>
      <w:r w:rsidR="006A03EC" w:rsidRPr="002F496E">
        <w:rPr>
          <w:lang w:val="en-GB"/>
        </w:rPr>
        <w:t xml:space="preserve">(Eight </w:t>
      </w:r>
      <w:r w:rsidR="004C493E" w:rsidRPr="002F496E">
        <w:rPr>
          <w:lang w:val="en-GB"/>
        </w:rPr>
        <w:t>Hundred Thousand Rand only).</w:t>
      </w:r>
    </w:p>
    <w:p w14:paraId="41CD4D30" w14:textId="77777777" w:rsidR="002C1720" w:rsidRPr="002F496E" w:rsidRDefault="002C1720" w:rsidP="001B3810">
      <w:pPr>
        <w:pStyle w:val="ListParagraph"/>
        <w:tabs>
          <w:tab w:val="left" w:pos="851"/>
        </w:tabs>
        <w:ind w:left="1210"/>
        <w:jc w:val="both"/>
        <w:rPr>
          <w:u w:val="single"/>
          <w:lang w:val="en-GB"/>
        </w:rPr>
      </w:pPr>
    </w:p>
    <w:p w14:paraId="7D9C5919" w14:textId="45C57CEB" w:rsidR="00317D3C" w:rsidRPr="002F496E" w:rsidRDefault="00553031" w:rsidP="00C12FD8">
      <w:pPr>
        <w:pStyle w:val="ListParagraph"/>
        <w:numPr>
          <w:ilvl w:val="0"/>
          <w:numId w:val="7"/>
        </w:numPr>
        <w:tabs>
          <w:tab w:val="left" w:pos="851"/>
        </w:tabs>
        <w:jc w:val="both"/>
        <w:rPr>
          <w:lang w:val="en-GB"/>
        </w:rPr>
      </w:pPr>
      <w:r>
        <w:rPr>
          <w:lang w:val="en-GB"/>
        </w:rPr>
        <w:t xml:space="preserve">In respect of </w:t>
      </w:r>
      <w:r w:rsidR="006350E8" w:rsidRPr="002F496E">
        <w:rPr>
          <w:lang w:val="en-GB"/>
        </w:rPr>
        <w:t xml:space="preserve">Claim </w:t>
      </w:r>
      <w:r w:rsidR="00B002D7" w:rsidRPr="002F496E">
        <w:rPr>
          <w:lang w:val="en-GB"/>
        </w:rPr>
        <w:t>B,</w:t>
      </w:r>
      <w:r w:rsidR="00B002D7">
        <w:rPr>
          <w:lang w:val="en-GB"/>
        </w:rPr>
        <w:t xml:space="preserve"> Plaintiff alleges</w:t>
      </w:r>
      <w:r>
        <w:rPr>
          <w:lang w:val="en-GB"/>
        </w:rPr>
        <w:t xml:space="preserve"> that he was detained unlawfully and as a result thereof his freedom of movement was violated.</w:t>
      </w:r>
      <w:r w:rsidR="007D7D3F" w:rsidRPr="002F496E">
        <w:rPr>
          <w:lang w:val="en-GB"/>
        </w:rPr>
        <w:t xml:space="preserve"> </w:t>
      </w:r>
      <w:r>
        <w:rPr>
          <w:lang w:val="en-GB"/>
        </w:rPr>
        <w:t xml:space="preserve">He further </w:t>
      </w:r>
      <w:r w:rsidR="006A03EC" w:rsidRPr="002F496E">
        <w:rPr>
          <w:lang w:val="en-GB"/>
        </w:rPr>
        <w:t xml:space="preserve">contends that he was detained in a cell where he was not allowed to </w:t>
      </w:r>
      <w:r w:rsidR="00270A35" w:rsidRPr="002F496E">
        <w:rPr>
          <w:lang w:val="en-GB"/>
        </w:rPr>
        <w:t>m</w:t>
      </w:r>
      <w:r w:rsidR="006A03EC" w:rsidRPr="002F496E">
        <w:rPr>
          <w:lang w:val="en-GB"/>
        </w:rPr>
        <w:t>ove as he want</w:t>
      </w:r>
      <w:r w:rsidR="00270A35" w:rsidRPr="002F496E">
        <w:rPr>
          <w:lang w:val="en-GB"/>
        </w:rPr>
        <w:t>ed</w:t>
      </w:r>
      <w:r w:rsidR="006A03EC" w:rsidRPr="002F496E">
        <w:rPr>
          <w:lang w:val="en-GB"/>
        </w:rPr>
        <w:t xml:space="preserve">; he was taken away from his </w:t>
      </w:r>
      <w:r w:rsidR="00270A35" w:rsidRPr="002F496E">
        <w:rPr>
          <w:lang w:val="en-GB"/>
        </w:rPr>
        <w:t>family; he</w:t>
      </w:r>
      <w:r w:rsidR="006A03EC" w:rsidRPr="002F496E">
        <w:rPr>
          <w:lang w:val="en-GB"/>
        </w:rPr>
        <w:t xml:space="preserve"> was detained in an environment which is not suitable </w:t>
      </w:r>
      <w:r w:rsidR="00C21807" w:rsidRPr="002F496E">
        <w:rPr>
          <w:lang w:val="en-GB"/>
        </w:rPr>
        <w:t xml:space="preserve">for </w:t>
      </w:r>
      <w:r w:rsidR="00270A35" w:rsidRPr="002F496E">
        <w:rPr>
          <w:lang w:val="en-GB"/>
        </w:rPr>
        <w:t>him;</w:t>
      </w:r>
      <w:r w:rsidR="006A03EC" w:rsidRPr="002F496E">
        <w:rPr>
          <w:lang w:val="en-GB"/>
        </w:rPr>
        <w:t xml:space="preserve"> the cells were dirty </w:t>
      </w:r>
      <w:r w:rsidR="00BB1F74" w:rsidRPr="002F496E">
        <w:rPr>
          <w:lang w:val="en-GB"/>
        </w:rPr>
        <w:t xml:space="preserve">and </w:t>
      </w:r>
      <w:r w:rsidR="006A03EC" w:rsidRPr="002F496E">
        <w:rPr>
          <w:lang w:val="en-GB"/>
        </w:rPr>
        <w:t xml:space="preserve">full of </w:t>
      </w:r>
      <w:r w:rsidR="00270A35" w:rsidRPr="002F496E">
        <w:rPr>
          <w:lang w:val="en-GB"/>
        </w:rPr>
        <w:t>lice;</w:t>
      </w:r>
      <w:r w:rsidR="006A03EC" w:rsidRPr="002F496E">
        <w:rPr>
          <w:lang w:val="en-GB"/>
        </w:rPr>
        <w:t xml:space="preserve"> was forced to share smelly blankets with other in</w:t>
      </w:r>
      <w:r w:rsidR="00A86FF7">
        <w:rPr>
          <w:lang w:val="en-GB"/>
        </w:rPr>
        <w:t>mates and was caused to sleep on</w:t>
      </w:r>
      <w:r w:rsidR="006A03EC" w:rsidRPr="002F496E">
        <w:rPr>
          <w:lang w:val="en-GB"/>
        </w:rPr>
        <w:t xml:space="preserve"> cold cement floor during cold winter nights. As a </w:t>
      </w:r>
      <w:r w:rsidR="00BB1F74" w:rsidRPr="002F496E">
        <w:rPr>
          <w:lang w:val="en-GB"/>
        </w:rPr>
        <w:t>result,</w:t>
      </w:r>
      <w:r w:rsidR="006A03EC" w:rsidRPr="002F496E">
        <w:rPr>
          <w:lang w:val="en-GB"/>
        </w:rPr>
        <w:t xml:space="preserve"> thereof, he suffered damages in the sum of R400</w:t>
      </w:r>
      <w:r w:rsidR="00BB1F74" w:rsidRPr="002F496E">
        <w:rPr>
          <w:lang w:val="en-GB"/>
        </w:rPr>
        <w:t xml:space="preserve"> </w:t>
      </w:r>
      <w:r w:rsidR="006A03EC" w:rsidRPr="002F496E">
        <w:rPr>
          <w:lang w:val="en-GB"/>
        </w:rPr>
        <w:t>000</w:t>
      </w:r>
      <w:r w:rsidR="00317D3C" w:rsidRPr="002F496E">
        <w:rPr>
          <w:lang w:val="en-GB"/>
        </w:rPr>
        <w:t xml:space="preserve">, </w:t>
      </w:r>
      <w:r w:rsidR="00C21807" w:rsidRPr="002F496E">
        <w:rPr>
          <w:lang w:val="en-GB"/>
        </w:rPr>
        <w:t>00</w:t>
      </w:r>
      <w:r w:rsidR="006A03EC" w:rsidRPr="002F496E">
        <w:rPr>
          <w:lang w:val="en-GB"/>
        </w:rPr>
        <w:t xml:space="preserve"> (Four Hundred Thousand Rand</w:t>
      </w:r>
      <w:r w:rsidR="00606570">
        <w:rPr>
          <w:lang w:val="en-GB"/>
        </w:rPr>
        <w:t xml:space="preserve"> only</w:t>
      </w:r>
      <w:r w:rsidR="006A03EC" w:rsidRPr="002F496E">
        <w:rPr>
          <w:lang w:val="en-GB"/>
        </w:rPr>
        <w:t>)</w:t>
      </w:r>
    </w:p>
    <w:p w14:paraId="5126EDF4" w14:textId="77777777" w:rsidR="00317D3C" w:rsidRPr="001B3810" w:rsidRDefault="00317D3C" w:rsidP="001B3810">
      <w:pPr>
        <w:pStyle w:val="ListParagraph"/>
        <w:tabs>
          <w:tab w:val="left" w:pos="851"/>
        </w:tabs>
        <w:ind w:left="1210"/>
        <w:jc w:val="both"/>
        <w:rPr>
          <w:lang w:val="en-GB"/>
        </w:rPr>
      </w:pPr>
    </w:p>
    <w:p w14:paraId="5C85C7B9" w14:textId="4FC85D50" w:rsidR="007D7D3F" w:rsidRPr="001B3810" w:rsidRDefault="006A03EC" w:rsidP="001B3810">
      <w:pPr>
        <w:pStyle w:val="ListParagraph"/>
        <w:numPr>
          <w:ilvl w:val="0"/>
          <w:numId w:val="7"/>
        </w:numPr>
        <w:tabs>
          <w:tab w:val="left" w:pos="851"/>
        </w:tabs>
        <w:jc w:val="both"/>
        <w:rPr>
          <w:lang w:val="en-GB"/>
        </w:rPr>
      </w:pPr>
      <w:r w:rsidRPr="002F496E">
        <w:rPr>
          <w:lang w:val="en-GB"/>
        </w:rPr>
        <w:t>In t</w:t>
      </w:r>
      <w:r w:rsidR="007D7D3F" w:rsidRPr="002F496E">
        <w:rPr>
          <w:lang w:val="en-GB"/>
        </w:rPr>
        <w:t>he specificity of Claim C, the P</w:t>
      </w:r>
      <w:r w:rsidR="006350E8" w:rsidRPr="002F496E">
        <w:rPr>
          <w:lang w:val="en-GB"/>
        </w:rPr>
        <w:t>laintiff asserts</w:t>
      </w:r>
      <w:r w:rsidRPr="002F496E">
        <w:rPr>
          <w:lang w:val="en-GB"/>
        </w:rPr>
        <w:t xml:space="preserve"> that he </w:t>
      </w:r>
      <w:r w:rsidR="006350E8" w:rsidRPr="002F496E">
        <w:rPr>
          <w:lang w:val="en-GB"/>
        </w:rPr>
        <w:t xml:space="preserve">was arrested in full view of </w:t>
      </w:r>
      <w:r w:rsidR="00270A35" w:rsidRPr="002F496E">
        <w:rPr>
          <w:lang w:val="en-GB"/>
        </w:rPr>
        <w:t>the</w:t>
      </w:r>
      <w:r w:rsidR="006350E8" w:rsidRPr="002F496E">
        <w:rPr>
          <w:lang w:val="en-GB"/>
        </w:rPr>
        <w:t xml:space="preserve"> general public and</w:t>
      </w:r>
      <w:r w:rsidRPr="002F496E">
        <w:rPr>
          <w:lang w:val="en-GB"/>
        </w:rPr>
        <w:t xml:space="preserve"> family member</w:t>
      </w:r>
      <w:r w:rsidR="006350E8" w:rsidRPr="002F496E">
        <w:rPr>
          <w:lang w:val="en-GB"/>
        </w:rPr>
        <w:t>s</w:t>
      </w:r>
      <w:r w:rsidRPr="002F496E">
        <w:rPr>
          <w:lang w:val="en-GB"/>
        </w:rPr>
        <w:t xml:space="preserve"> who</w:t>
      </w:r>
      <w:r w:rsidR="006350E8" w:rsidRPr="002F496E">
        <w:rPr>
          <w:lang w:val="en-GB"/>
        </w:rPr>
        <w:t xml:space="preserve"> consequently held a belief of him being a</w:t>
      </w:r>
      <w:r w:rsidRPr="002F496E">
        <w:rPr>
          <w:lang w:val="en-GB"/>
        </w:rPr>
        <w:t xml:space="preserve"> criminal of the highest degree</w:t>
      </w:r>
      <w:r w:rsidR="006350E8" w:rsidRPr="002F496E">
        <w:rPr>
          <w:lang w:val="en-GB"/>
        </w:rPr>
        <w:t>, not deserving to</w:t>
      </w:r>
      <w:r w:rsidRPr="002F496E">
        <w:rPr>
          <w:lang w:val="en-GB"/>
        </w:rPr>
        <w:t xml:space="preserve"> be amongst the members of the public</w:t>
      </w:r>
      <w:r w:rsidR="007D7D3F" w:rsidRPr="002F496E">
        <w:rPr>
          <w:lang w:val="en-GB"/>
        </w:rPr>
        <w:t xml:space="preserve"> and be subject to</w:t>
      </w:r>
      <w:r w:rsidR="006350E8" w:rsidRPr="002F496E">
        <w:rPr>
          <w:lang w:val="en-GB"/>
        </w:rPr>
        <w:t xml:space="preserve"> legal proceedings</w:t>
      </w:r>
      <w:r w:rsidRPr="002F496E">
        <w:rPr>
          <w:lang w:val="en-GB"/>
        </w:rPr>
        <w:t xml:space="preserve">. </w:t>
      </w:r>
      <w:r w:rsidR="007D7D3F" w:rsidRPr="002F496E">
        <w:rPr>
          <w:lang w:val="en-GB"/>
        </w:rPr>
        <w:t xml:space="preserve">According to the Plaintiff’s allegations, the conduct of the police resulted in severe impairment of his reputation and feelings of grievance, </w:t>
      </w:r>
      <w:r w:rsidR="00C46DDE" w:rsidRPr="002F496E">
        <w:rPr>
          <w:lang w:val="en-GB"/>
        </w:rPr>
        <w:t>embarrassment,</w:t>
      </w:r>
      <w:r w:rsidR="007D7D3F" w:rsidRPr="002F496E">
        <w:rPr>
          <w:lang w:val="en-GB"/>
        </w:rPr>
        <w:t xml:space="preserve"> and humiliation. Following the </w:t>
      </w:r>
      <w:r w:rsidR="00BB1F74" w:rsidRPr="002F496E">
        <w:rPr>
          <w:lang w:val="en-GB"/>
        </w:rPr>
        <w:t>claims</w:t>
      </w:r>
      <w:r w:rsidR="007D7D3F" w:rsidRPr="002F496E">
        <w:rPr>
          <w:lang w:val="en-GB"/>
        </w:rPr>
        <w:t>, the Plaintiff seeks an amount of R400</w:t>
      </w:r>
      <w:r w:rsidR="00BB1F74" w:rsidRPr="002F496E">
        <w:rPr>
          <w:lang w:val="en-GB"/>
        </w:rPr>
        <w:t xml:space="preserve"> </w:t>
      </w:r>
      <w:r w:rsidR="007D7D3F" w:rsidRPr="002F496E">
        <w:rPr>
          <w:lang w:val="en-GB"/>
        </w:rPr>
        <w:t>000</w:t>
      </w:r>
      <w:r w:rsidR="00316065" w:rsidRPr="002F496E">
        <w:rPr>
          <w:lang w:val="en-GB"/>
        </w:rPr>
        <w:t xml:space="preserve"> </w:t>
      </w:r>
      <w:r w:rsidR="00C21807" w:rsidRPr="002F496E">
        <w:rPr>
          <w:lang w:val="en-GB"/>
        </w:rPr>
        <w:t>00</w:t>
      </w:r>
      <w:r w:rsidR="00522B74" w:rsidRPr="002F496E">
        <w:rPr>
          <w:lang w:val="en-GB"/>
        </w:rPr>
        <w:t xml:space="preserve"> (</w:t>
      </w:r>
      <w:r w:rsidR="00ED0DEC" w:rsidRPr="002F496E">
        <w:rPr>
          <w:lang w:val="en-GB"/>
        </w:rPr>
        <w:t>Four</w:t>
      </w:r>
      <w:r w:rsidR="007D7D3F" w:rsidRPr="002F496E">
        <w:rPr>
          <w:lang w:val="en-GB"/>
        </w:rPr>
        <w:t xml:space="preserve"> Hundred Thousand Rand</w:t>
      </w:r>
      <w:r w:rsidR="00606570">
        <w:rPr>
          <w:lang w:val="en-GB"/>
        </w:rPr>
        <w:t xml:space="preserve"> only</w:t>
      </w:r>
      <w:r w:rsidR="007D7D3F" w:rsidRPr="002F496E">
        <w:rPr>
          <w:lang w:val="en-GB"/>
        </w:rPr>
        <w:t>).</w:t>
      </w:r>
    </w:p>
    <w:p w14:paraId="134BE65E" w14:textId="77777777" w:rsidR="001E0906" w:rsidRPr="002F496E" w:rsidRDefault="001E0906" w:rsidP="00C12FD8">
      <w:pPr>
        <w:pStyle w:val="ListParagraph"/>
        <w:tabs>
          <w:tab w:val="left" w:pos="851"/>
        </w:tabs>
        <w:jc w:val="both"/>
        <w:rPr>
          <w:lang w:val="en-GB"/>
        </w:rPr>
      </w:pPr>
    </w:p>
    <w:p w14:paraId="3816F50B" w14:textId="3B033BD1" w:rsidR="00317D3C" w:rsidRPr="002F496E" w:rsidRDefault="00317D3C" w:rsidP="001B3810">
      <w:pPr>
        <w:tabs>
          <w:tab w:val="left" w:pos="851"/>
        </w:tabs>
        <w:jc w:val="both"/>
        <w:rPr>
          <w:u w:val="single"/>
          <w:lang w:val="en-GB"/>
        </w:rPr>
      </w:pPr>
      <w:r w:rsidRPr="002F496E">
        <w:rPr>
          <w:lang w:val="en-GB"/>
        </w:rPr>
        <w:lastRenderedPageBreak/>
        <w:t>[3]</w:t>
      </w:r>
      <w:r w:rsidRPr="002F496E">
        <w:rPr>
          <w:lang w:val="en-GB"/>
        </w:rPr>
        <w:tab/>
      </w:r>
      <w:r w:rsidR="00270A35" w:rsidRPr="002F496E">
        <w:rPr>
          <w:lang w:val="en-GB"/>
        </w:rPr>
        <w:t>On</w:t>
      </w:r>
      <w:r w:rsidR="00ED0DEC" w:rsidRPr="002F496E">
        <w:rPr>
          <w:lang w:val="en-GB"/>
        </w:rPr>
        <w:t xml:space="preserve"> 04 March 2022, the D</w:t>
      </w:r>
      <w:r w:rsidR="00824D03" w:rsidRPr="002F496E">
        <w:rPr>
          <w:lang w:val="en-GB"/>
        </w:rPr>
        <w:t>efendant filed a notice of appearance to defend and subsequently filed his plea on 25</w:t>
      </w:r>
      <w:r w:rsidR="00ED0DEC" w:rsidRPr="002F496E">
        <w:rPr>
          <w:lang w:val="en-GB"/>
        </w:rPr>
        <w:t xml:space="preserve"> August 2022. In his plea, Defendant admits that P</w:t>
      </w:r>
      <w:r w:rsidR="00824D03" w:rsidRPr="002F496E">
        <w:rPr>
          <w:lang w:val="en-GB"/>
        </w:rPr>
        <w:t>laintiff wa</w:t>
      </w:r>
      <w:r w:rsidR="00ED0DEC" w:rsidRPr="002F496E">
        <w:rPr>
          <w:lang w:val="en-GB"/>
        </w:rPr>
        <w:t>s arrested without a warrant</w:t>
      </w:r>
      <w:r w:rsidR="00C21807" w:rsidRPr="002F496E">
        <w:rPr>
          <w:lang w:val="en-GB"/>
        </w:rPr>
        <w:t>. However,</w:t>
      </w:r>
      <w:r w:rsidR="00824D03" w:rsidRPr="002F496E">
        <w:rPr>
          <w:lang w:val="en-GB"/>
        </w:rPr>
        <w:t xml:space="preserve"> his arrest was justified in terms of Section 40(1) (b) of the Criminal Procedure Act</w:t>
      </w:r>
      <w:r w:rsidR="00BC50E0">
        <w:rPr>
          <w:lang w:val="en-GB"/>
        </w:rPr>
        <w:t xml:space="preserve"> 51 of 1977 </w:t>
      </w:r>
      <w:r w:rsidR="00417F04">
        <w:rPr>
          <w:lang w:val="en-GB"/>
        </w:rPr>
        <w:t>(“the</w:t>
      </w:r>
      <w:r w:rsidR="00BC50E0">
        <w:rPr>
          <w:lang w:val="en-GB"/>
        </w:rPr>
        <w:t xml:space="preserve"> CPA”).</w:t>
      </w:r>
    </w:p>
    <w:p w14:paraId="4DA2597E" w14:textId="77777777" w:rsidR="00317D3C" w:rsidRPr="002F496E" w:rsidRDefault="00317D3C" w:rsidP="00C12FD8">
      <w:pPr>
        <w:tabs>
          <w:tab w:val="left" w:pos="851"/>
        </w:tabs>
        <w:jc w:val="both"/>
        <w:rPr>
          <w:lang w:val="en-GB"/>
        </w:rPr>
      </w:pPr>
    </w:p>
    <w:p w14:paraId="030C4FF3" w14:textId="39D9F272" w:rsidR="00317D3C" w:rsidRPr="002F496E" w:rsidRDefault="00317D3C" w:rsidP="00C12FD8">
      <w:pPr>
        <w:tabs>
          <w:tab w:val="left" w:pos="851"/>
        </w:tabs>
        <w:jc w:val="both"/>
        <w:rPr>
          <w:lang w:val="en-GB"/>
        </w:rPr>
      </w:pPr>
      <w:r w:rsidRPr="002F496E">
        <w:rPr>
          <w:lang w:val="en-GB"/>
        </w:rPr>
        <w:t>[4]</w:t>
      </w:r>
      <w:r w:rsidRPr="002F496E">
        <w:rPr>
          <w:lang w:val="en-GB"/>
        </w:rPr>
        <w:tab/>
      </w:r>
      <w:r w:rsidR="0036783F" w:rsidRPr="002F496E">
        <w:rPr>
          <w:lang w:val="en-GB"/>
        </w:rPr>
        <w:t>T</w:t>
      </w:r>
      <w:r w:rsidR="007C52D0" w:rsidRPr="002F496E">
        <w:rPr>
          <w:lang w:val="en-GB"/>
        </w:rPr>
        <w:t>h</w:t>
      </w:r>
      <w:r w:rsidR="00095598" w:rsidRPr="002F496E">
        <w:rPr>
          <w:lang w:val="en-GB"/>
        </w:rPr>
        <w:t xml:space="preserve">e parties agreed to </w:t>
      </w:r>
      <w:r w:rsidR="007C52D0" w:rsidRPr="002F496E">
        <w:rPr>
          <w:lang w:val="en-GB"/>
        </w:rPr>
        <w:t>apply for separation</w:t>
      </w:r>
      <w:r w:rsidR="00BC50E0">
        <w:rPr>
          <w:lang w:val="en-GB"/>
        </w:rPr>
        <w:t xml:space="preserve"> </w:t>
      </w:r>
      <w:r w:rsidR="00B002D7">
        <w:rPr>
          <w:lang w:val="en-GB"/>
        </w:rPr>
        <w:t xml:space="preserve">of </w:t>
      </w:r>
      <w:r w:rsidR="00B002D7" w:rsidRPr="002F496E">
        <w:rPr>
          <w:lang w:val="en-GB"/>
        </w:rPr>
        <w:t>the</w:t>
      </w:r>
      <w:r w:rsidR="007C52D0" w:rsidRPr="002F496E">
        <w:rPr>
          <w:lang w:val="en-GB"/>
        </w:rPr>
        <w:t xml:space="preserve"> merits and quantum</w:t>
      </w:r>
      <w:r w:rsidRPr="002F496E">
        <w:rPr>
          <w:lang w:val="en-GB"/>
        </w:rPr>
        <w:t xml:space="preserve"> </w:t>
      </w:r>
      <w:r w:rsidR="00095598" w:rsidRPr="002F496E">
        <w:rPr>
          <w:lang w:val="en-GB"/>
        </w:rPr>
        <w:t>in a pre-trial conference minute dated 25 August 2022</w:t>
      </w:r>
      <w:r w:rsidR="007C52D0" w:rsidRPr="002F496E">
        <w:rPr>
          <w:lang w:val="en-GB"/>
        </w:rPr>
        <w:t>. On the date of the trial, the court, on application, made an order that the merits be separated from quantum in terms of Rule</w:t>
      </w:r>
      <w:r w:rsidR="004C493E" w:rsidRPr="002F496E">
        <w:rPr>
          <w:lang w:val="en-GB"/>
        </w:rPr>
        <w:t xml:space="preserve"> 33(4) of the Uniform Rules of C</w:t>
      </w:r>
      <w:r w:rsidR="007C52D0" w:rsidRPr="002F496E">
        <w:rPr>
          <w:lang w:val="en-GB"/>
        </w:rPr>
        <w:t>ourt.</w:t>
      </w:r>
    </w:p>
    <w:p w14:paraId="6B0DCDA6" w14:textId="77777777" w:rsidR="00317D3C" w:rsidRPr="002F496E" w:rsidRDefault="00317D3C" w:rsidP="001B3810">
      <w:pPr>
        <w:tabs>
          <w:tab w:val="left" w:pos="851"/>
        </w:tabs>
        <w:jc w:val="both"/>
        <w:rPr>
          <w:u w:val="single"/>
          <w:lang w:val="en-GB"/>
        </w:rPr>
      </w:pPr>
    </w:p>
    <w:p w14:paraId="7CE6884D" w14:textId="2907FDF8" w:rsidR="00C70D9D" w:rsidRPr="002F496E" w:rsidRDefault="00317D3C" w:rsidP="001B3810">
      <w:pPr>
        <w:tabs>
          <w:tab w:val="left" w:pos="851"/>
        </w:tabs>
        <w:jc w:val="both"/>
        <w:rPr>
          <w:u w:val="single"/>
          <w:lang w:val="en-GB"/>
        </w:rPr>
      </w:pPr>
      <w:r w:rsidRPr="001B3810">
        <w:rPr>
          <w:lang w:val="en-GB"/>
        </w:rPr>
        <w:t>[5]</w:t>
      </w:r>
      <w:r w:rsidRPr="001B3810">
        <w:rPr>
          <w:lang w:val="en-GB"/>
        </w:rPr>
        <w:tab/>
      </w:r>
      <w:r w:rsidR="00C70D9D" w:rsidRPr="002F496E">
        <w:rPr>
          <w:lang w:val="en-GB"/>
        </w:rPr>
        <w:t xml:space="preserve">The trial proceeded on the basis that </w:t>
      </w:r>
      <w:r w:rsidR="00BC50E0">
        <w:rPr>
          <w:lang w:val="en-GB"/>
        </w:rPr>
        <w:t>D</w:t>
      </w:r>
      <w:r w:rsidR="00C70D9D" w:rsidRPr="002F496E">
        <w:rPr>
          <w:lang w:val="en-GB"/>
        </w:rPr>
        <w:t xml:space="preserve">efendant had a duty to begin and bore </w:t>
      </w:r>
      <w:r w:rsidR="00BB1F74" w:rsidRPr="002F496E">
        <w:rPr>
          <w:lang w:val="en-GB"/>
        </w:rPr>
        <w:t xml:space="preserve">the </w:t>
      </w:r>
      <w:r w:rsidR="00C70D9D" w:rsidRPr="002F496E">
        <w:rPr>
          <w:lang w:val="en-GB"/>
        </w:rPr>
        <w:t>onus to prove that arrest</w:t>
      </w:r>
      <w:r w:rsidR="00DA50FF" w:rsidRPr="002F496E">
        <w:rPr>
          <w:lang w:val="en-GB"/>
        </w:rPr>
        <w:t xml:space="preserve"> and subsequent detention were</w:t>
      </w:r>
      <w:r w:rsidR="00C70D9D" w:rsidRPr="002F496E">
        <w:rPr>
          <w:lang w:val="en-GB"/>
        </w:rPr>
        <w:t xml:space="preserve"> justified.</w:t>
      </w:r>
    </w:p>
    <w:p w14:paraId="3307E6A3" w14:textId="77777777" w:rsidR="007C52D0" w:rsidRPr="002F496E" w:rsidRDefault="007C52D0" w:rsidP="001B3810">
      <w:pPr>
        <w:pStyle w:val="ListParagraph"/>
        <w:jc w:val="both"/>
        <w:rPr>
          <w:u w:val="single"/>
          <w:lang w:val="en-GB"/>
        </w:rPr>
      </w:pPr>
    </w:p>
    <w:p w14:paraId="5127CE03" w14:textId="77777777" w:rsidR="007C52D0" w:rsidRPr="001B3810" w:rsidRDefault="007C52D0" w:rsidP="001B3810">
      <w:pPr>
        <w:tabs>
          <w:tab w:val="left" w:pos="851"/>
        </w:tabs>
        <w:jc w:val="both"/>
        <w:rPr>
          <w:b/>
          <w:bCs/>
          <w:lang w:val="en-GB"/>
        </w:rPr>
      </w:pPr>
      <w:r w:rsidRPr="001B3810">
        <w:rPr>
          <w:b/>
          <w:bCs/>
          <w:lang w:val="en-GB"/>
        </w:rPr>
        <w:t>The evidence</w:t>
      </w:r>
    </w:p>
    <w:p w14:paraId="7F1717E9" w14:textId="77777777" w:rsidR="007C52D0" w:rsidRPr="002F496E" w:rsidRDefault="007C52D0" w:rsidP="00C12FD8">
      <w:pPr>
        <w:pStyle w:val="ListParagraph"/>
        <w:tabs>
          <w:tab w:val="left" w:pos="851"/>
        </w:tabs>
        <w:jc w:val="both"/>
        <w:rPr>
          <w:u w:val="single"/>
          <w:lang w:val="en-GB"/>
        </w:rPr>
      </w:pPr>
    </w:p>
    <w:p w14:paraId="33FD4925" w14:textId="4B70CDC3" w:rsidR="007C52D0" w:rsidRPr="002F496E" w:rsidRDefault="00317D3C" w:rsidP="001B3810">
      <w:pPr>
        <w:tabs>
          <w:tab w:val="left" w:pos="851"/>
        </w:tabs>
        <w:jc w:val="both"/>
        <w:rPr>
          <w:i/>
          <w:u w:val="single"/>
          <w:lang w:val="en-GB"/>
        </w:rPr>
      </w:pPr>
      <w:r w:rsidRPr="002F496E">
        <w:rPr>
          <w:lang w:val="en-GB"/>
        </w:rPr>
        <w:t>[6]</w:t>
      </w:r>
      <w:r w:rsidRPr="002F496E">
        <w:rPr>
          <w:lang w:val="en-GB"/>
        </w:rPr>
        <w:tab/>
      </w:r>
      <w:r w:rsidR="00C70D9D" w:rsidRPr="002F496E">
        <w:rPr>
          <w:lang w:val="en-GB"/>
        </w:rPr>
        <w:t>Constable</w:t>
      </w:r>
      <w:r w:rsidR="00493287" w:rsidRPr="002F496E">
        <w:rPr>
          <w:lang w:val="en-GB"/>
        </w:rPr>
        <w:t xml:space="preserve"> </w:t>
      </w:r>
      <w:proofErr w:type="spellStart"/>
      <w:r w:rsidR="00C70D9D" w:rsidRPr="002F496E">
        <w:rPr>
          <w:lang w:val="en-GB"/>
        </w:rPr>
        <w:t>Mandilakhe</w:t>
      </w:r>
      <w:proofErr w:type="spellEnd"/>
      <w:r w:rsidR="00C70D9D" w:rsidRPr="002F496E">
        <w:rPr>
          <w:lang w:val="en-GB"/>
        </w:rPr>
        <w:t xml:space="preserve"> </w:t>
      </w:r>
      <w:proofErr w:type="spellStart"/>
      <w:r w:rsidR="00C70D9D" w:rsidRPr="002F496E">
        <w:rPr>
          <w:lang w:val="en-GB"/>
        </w:rPr>
        <w:t>Makapela</w:t>
      </w:r>
      <w:proofErr w:type="spellEnd"/>
      <w:r w:rsidR="00493287" w:rsidRPr="002F496E">
        <w:rPr>
          <w:lang w:val="en-GB"/>
        </w:rPr>
        <w:t xml:space="preserve"> (the arresting officer) testified that</w:t>
      </w:r>
      <w:r w:rsidR="00C70D9D" w:rsidRPr="002F496E">
        <w:rPr>
          <w:lang w:val="en-GB"/>
        </w:rPr>
        <w:t xml:space="preserve"> he received a</w:t>
      </w:r>
      <w:r w:rsidR="00ED0DEC" w:rsidRPr="002F496E">
        <w:rPr>
          <w:lang w:val="en-GB"/>
        </w:rPr>
        <w:t xml:space="preserve"> police docket containing a complaint of assault </w:t>
      </w:r>
      <w:r w:rsidR="00BC50E0">
        <w:rPr>
          <w:lang w:val="en-GB"/>
        </w:rPr>
        <w:t xml:space="preserve">by </w:t>
      </w:r>
      <w:r w:rsidR="00C70D9D" w:rsidRPr="002F496E">
        <w:rPr>
          <w:lang w:val="en-GB"/>
        </w:rPr>
        <w:t xml:space="preserve">the complainant. He visited the complainant </w:t>
      </w:r>
      <w:r w:rsidR="00BC50E0">
        <w:rPr>
          <w:lang w:val="en-GB"/>
        </w:rPr>
        <w:t xml:space="preserve">at </w:t>
      </w:r>
      <w:r w:rsidR="00BB1F74" w:rsidRPr="002F496E">
        <w:rPr>
          <w:lang w:val="en-GB"/>
        </w:rPr>
        <w:t xml:space="preserve">the </w:t>
      </w:r>
      <w:r w:rsidR="00C70D9D" w:rsidRPr="002F496E">
        <w:rPr>
          <w:lang w:val="en-GB"/>
        </w:rPr>
        <w:t xml:space="preserve">hospital and noticed that he was badly injured. </w:t>
      </w:r>
      <w:r w:rsidR="00CF1785" w:rsidRPr="002F496E">
        <w:rPr>
          <w:lang w:val="en-GB"/>
        </w:rPr>
        <w:t xml:space="preserve"> Despite his injuries</w:t>
      </w:r>
      <w:r w:rsidR="00BB1F74" w:rsidRPr="002F496E">
        <w:rPr>
          <w:lang w:val="en-GB"/>
        </w:rPr>
        <w:t>,</w:t>
      </w:r>
      <w:r w:rsidR="00CF1785" w:rsidRPr="002F496E">
        <w:rPr>
          <w:lang w:val="en-GB"/>
        </w:rPr>
        <w:t xml:space="preserve"> he could speak, so the arresting officer </w:t>
      </w:r>
      <w:r w:rsidR="00C21807" w:rsidRPr="002F496E">
        <w:rPr>
          <w:lang w:val="en-GB"/>
        </w:rPr>
        <w:t>interviewed</w:t>
      </w:r>
      <w:r w:rsidR="00CF1785" w:rsidRPr="002F496E">
        <w:rPr>
          <w:lang w:val="en-GB"/>
        </w:rPr>
        <w:t xml:space="preserve"> him. </w:t>
      </w:r>
      <w:r w:rsidR="00C70D9D" w:rsidRPr="002F496E">
        <w:rPr>
          <w:lang w:val="en-GB"/>
        </w:rPr>
        <w:t>The complainant informed him that he was ass</w:t>
      </w:r>
      <w:r w:rsidR="00493287" w:rsidRPr="002F496E">
        <w:rPr>
          <w:lang w:val="en-GB"/>
        </w:rPr>
        <w:t>aulted by two males</w:t>
      </w:r>
      <w:r w:rsidR="00C21807" w:rsidRPr="002F496E">
        <w:rPr>
          <w:lang w:val="en-GB"/>
        </w:rPr>
        <w:t>,</w:t>
      </w:r>
      <w:r w:rsidR="00493287" w:rsidRPr="002F496E">
        <w:rPr>
          <w:lang w:val="en-GB"/>
        </w:rPr>
        <w:t xml:space="preserve"> one of whom he</w:t>
      </w:r>
      <w:r w:rsidR="00C70D9D" w:rsidRPr="002F496E">
        <w:rPr>
          <w:lang w:val="en-GB"/>
        </w:rPr>
        <w:t xml:space="preserve"> </w:t>
      </w:r>
      <w:r w:rsidR="00493287" w:rsidRPr="002F496E">
        <w:rPr>
          <w:lang w:val="en-GB"/>
        </w:rPr>
        <w:t xml:space="preserve">identified as </w:t>
      </w:r>
      <w:r w:rsidR="000B78AB">
        <w:rPr>
          <w:lang w:val="en-GB"/>
        </w:rPr>
        <w:t>T</w:t>
      </w:r>
      <w:r w:rsidR="00493287" w:rsidRPr="001B3810">
        <w:rPr>
          <w:lang w:val="en-GB"/>
        </w:rPr>
        <w:t>erra</w:t>
      </w:r>
      <w:r w:rsidR="000B78AB" w:rsidRPr="000B78AB">
        <w:rPr>
          <w:lang w:val="en-GB"/>
        </w:rPr>
        <w:t>,</w:t>
      </w:r>
      <w:r w:rsidR="00CF1785" w:rsidRPr="000B78AB">
        <w:rPr>
          <w:lang w:val="en-GB"/>
        </w:rPr>
        <w:t xml:space="preserve"> </w:t>
      </w:r>
      <w:r w:rsidR="00CF1785" w:rsidRPr="002F496E">
        <w:rPr>
          <w:lang w:val="en-GB"/>
        </w:rPr>
        <w:t>T</w:t>
      </w:r>
      <w:r w:rsidR="00F04733" w:rsidRPr="002F496E">
        <w:rPr>
          <w:lang w:val="en-GB"/>
        </w:rPr>
        <w:t>hembela</w:t>
      </w:r>
      <w:r w:rsidR="00493287" w:rsidRPr="002F496E">
        <w:rPr>
          <w:i/>
          <w:lang w:val="en-GB"/>
        </w:rPr>
        <w:t>.</w:t>
      </w:r>
      <w:r w:rsidR="00ED0DEC" w:rsidRPr="002F496E">
        <w:rPr>
          <w:lang w:val="en-GB"/>
        </w:rPr>
        <w:t xml:space="preserve"> When questioned about the identity of </w:t>
      </w:r>
      <w:r w:rsidR="00493287" w:rsidRPr="002F496E">
        <w:rPr>
          <w:lang w:val="en-GB"/>
        </w:rPr>
        <w:t>Terra</w:t>
      </w:r>
      <w:r w:rsidR="00ED0DEC" w:rsidRPr="002F496E">
        <w:rPr>
          <w:lang w:val="en-GB"/>
        </w:rPr>
        <w:t>, the complainant mentioned that his girlfriend knew</w:t>
      </w:r>
      <w:r w:rsidR="00493287" w:rsidRPr="002F496E">
        <w:rPr>
          <w:lang w:val="en-GB"/>
        </w:rPr>
        <w:t xml:space="preserve"> the suspect and where he could be f</w:t>
      </w:r>
      <w:r w:rsidR="00ED0DEC" w:rsidRPr="002F496E">
        <w:rPr>
          <w:lang w:val="en-GB"/>
        </w:rPr>
        <w:t>ound. The arresting officer recorded</w:t>
      </w:r>
      <w:r w:rsidR="00493287" w:rsidRPr="002F496E">
        <w:rPr>
          <w:lang w:val="en-GB"/>
        </w:rPr>
        <w:t xml:space="preserve"> a statement</w:t>
      </w:r>
      <w:r w:rsidR="00C21807" w:rsidRPr="002F496E">
        <w:rPr>
          <w:lang w:val="en-GB"/>
        </w:rPr>
        <w:t>,</w:t>
      </w:r>
      <w:r w:rsidR="00493287" w:rsidRPr="002F496E">
        <w:rPr>
          <w:lang w:val="en-GB"/>
        </w:rPr>
        <w:t xml:space="preserve"> but the complainant could not en</w:t>
      </w:r>
      <w:r w:rsidR="00ED0DEC" w:rsidRPr="002F496E">
        <w:rPr>
          <w:lang w:val="en-GB"/>
        </w:rPr>
        <w:t xml:space="preserve">dorse his signature due to severe injuries </w:t>
      </w:r>
      <w:r w:rsidR="00BC50E0">
        <w:rPr>
          <w:lang w:val="en-GB"/>
        </w:rPr>
        <w:t>on</w:t>
      </w:r>
      <w:r w:rsidR="00ED0DEC" w:rsidRPr="002F496E">
        <w:rPr>
          <w:lang w:val="en-GB"/>
        </w:rPr>
        <w:t xml:space="preserve"> his hands</w:t>
      </w:r>
      <w:r w:rsidR="00493287" w:rsidRPr="002F496E">
        <w:rPr>
          <w:lang w:val="en-GB"/>
        </w:rPr>
        <w:t xml:space="preserve">. </w:t>
      </w:r>
    </w:p>
    <w:p w14:paraId="16EBE1E4" w14:textId="77777777" w:rsidR="00493287" w:rsidRPr="002F496E" w:rsidRDefault="00493287" w:rsidP="00C12FD8">
      <w:pPr>
        <w:pStyle w:val="ListParagraph"/>
        <w:tabs>
          <w:tab w:val="left" w:pos="851"/>
        </w:tabs>
        <w:jc w:val="both"/>
        <w:rPr>
          <w:i/>
          <w:u w:val="single"/>
          <w:lang w:val="en-GB"/>
        </w:rPr>
      </w:pPr>
    </w:p>
    <w:p w14:paraId="7245AC4F" w14:textId="419284F0" w:rsidR="001D6649" w:rsidRPr="002F496E" w:rsidRDefault="00317D3C" w:rsidP="001B3810">
      <w:pPr>
        <w:tabs>
          <w:tab w:val="left" w:pos="851"/>
        </w:tabs>
        <w:jc w:val="both"/>
        <w:rPr>
          <w:i/>
          <w:u w:val="single"/>
          <w:lang w:val="en-GB"/>
        </w:rPr>
      </w:pPr>
      <w:r w:rsidRPr="002F496E">
        <w:rPr>
          <w:lang w:val="en-GB"/>
        </w:rPr>
        <w:t>[7]</w:t>
      </w:r>
      <w:r w:rsidRPr="002F496E">
        <w:rPr>
          <w:lang w:val="en-GB"/>
        </w:rPr>
        <w:tab/>
      </w:r>
      <w:r w:rsidR="00ED0DEC" w:rsidRPr="002F496E">
        <w:rPr>
          <w:lang w:val="en-GB"/>
        </w:rPr>
        <w:t>The arresting officer proceeded</w:t>
      </w:r>
      <w:r w:rsidR="00493287" w:rsidRPr="002F496E">
        <w:rPr>
          <w:lang w:val="en-GB"/>
        </w:rPr>
        <w:t xml:space="preserve"> to</w:t>
      </w:r>
      <w:r w:rsidR="00CF1785" w:rsidRPr="002F496E">
        <w:rPr>
          <w:lang w:val="en-GB"/>
        </w:rPr>
        <w:t xml:space="preserve"> the residence of the </w:t>
      </w:r>
      <w:r w:rsidR="00493287" w:rsidRPr="002F496E">
        <w:rPr>
          <w:lang w:val="en-GB"/>
        </w:rPr>
        <w:t xml:space="preserve">complainant’s </w:t>
      </w:r>
      <w:r w:rsidR="00CF1785" w:rsidRPr="002F496E">
        <w:rPr>
          <w:lang w:val="en-GB"/>
        </w:rPr>
        <w:t>girlfriend</w:t>
      </w:r>
      <w:r w:rsidR="00C21807" w:rsidRPr="002F496E">
        <w:rPr>
          <w:lang w:val="en-GB"/>
        </w:rPr>
        <w:t>,</w:t>
      </w:r>
      <w:r w:rsidR="00DA50FF" w:rsidRPr="002F496E">
        <w:rPr>
          <w:lang w:val="en-GB"/>
        </w:rPr>
        <w:t xml:space="preserve"> who</w:t>
      </w:r>
      <w:r w:rsidR="00CF1785" w:rsidRPr="002F496E">
        <w:rPr>
          <w:lang w:val="en-GB"/>
        </w:rPr>
        <w:t xml:space="preserve"> gave him directions to Terra’s location. </w:t>
      </w:r>
      <w:r w:rsidR="00D7142E" w:rsidRPr="002F496E">
        <w:rPr>
          <w:lang w:val="en-GB"/>
        </w:rPr>
        <w:t>When he arrived</w:t>
      </w:r>
      <w:r w:rsidR="00493287" w:rsidRPr="002F496E">
        <w:rPr>
          <w:lang w:val="en-GB"/>
        </w:rPr>
        <w:t xml:space="preserve"> at </w:t>
      </w:r>
      <w:proofErr w:type="spellStart"/>
      <w:r w:rsidR="00493287" w:rsidRPr="002F496E">
        <w:rPr>
          <w:lang w:val="en-GB"/>
        </w:rPr>
        <w:t>A</w:t>
      </w:r>
      <w:r w:rsidR="001D6649" w:rsidRPr="002F496E">
        <w:rPr>
          <w:lang w:val="en-GB"/>
        </w:rPr>
        <w:t>mal</w:t>
      </w:r>
      <w:r w:rsidR="004B7AC1" w:rsidRPr="002F496E">
        <w:rPr>
          <w:lang w:val="en-GB"/>
        </w:rPr>
        <w:t>inda</w:t>
      </w:r>
      <w:proofErr w:type="spellEnd"/>
      <w:r w:rsidR="004B7AC1" w:rsidRPr="002F496E">
        <w:rPr>
          <w:lang w:val="en-GB"/>
        </w:rPr>
        <w:t>, he</w:t>
      </w:r>
      <w:r w:rsidR="00D7142E" w:rsidRPr="002F496E">
        <w:rPr>
          <w:lang w:val="en-GB"/>
        </w:rPr>
        <w:t xml:space="preserve"> apprehended</w:t>
      </w:r>
      <w:r w:rsidR="006D23D3" w:rsidRPr="002F496E">
        <w:rPr>
          <w:lang w:val="en-GB"/>
        </w:rPr>
        <w:t xml:space="preserve"> the P</w:t>
      </w:r>
      <w:r w:rsidR="00493287" w:rsidRPr="002F496E">
        <w:rPr>
          <w:lang w:val="en-GB"/>
        </w:rPr>
        <w:t>laintiff</w:t>
      </w:r>
      <w:r w:rsidR="00C21807" w:rsidRPr="002F496E">
        <w:rPr>
          <w:lang w:val="en-GB"/>
        </w:rPr>
        <w:t>,</w:t>
      </w:r>
      <w:r w:rsidR="00493287" w:rsidRPr="002F496E">
        <w:rPr>
          <w:lang w:val="en-GB"/>
        </w:rPr>
        <w:t xml:space="preserve"> whom the</w:t>
      </w:r>
      <w:r w:rsidR="00D7142E" w:rsidRPr="002F496E">
        <w:rPr>
          <w:lang w:val="en-GB"/>
        </w:rPr>
        <w:t xml:space="preserve"> complainant’s</w:t>
      </w:r>
      <w:r w:rsidR="008749F7">
        <w:rPr>
          <w:lang w:val="en-GB"/>
        </w:rPr>
        <w:t xml:space="preserve"> girlfriend identified as </w:t>
      </w:r>
      <w:r w:rsidR="00493287" w:rsidRPr="002F496E">
        <w:rPr>
          <w:lang w:val="en-GB"/>
        </w:rPr>
        <w:t xml:space="preserve">Terra. </w:t>
      </w:r>
      <w:r w:rsidR="001D6649" w:rsidRPr="002F496E">
        <w:rPr>
          <w:lang w:val="en-GB"/>
        </w:rPr>
        <w:t xml:space="preserve">The arresting officer testified that he informed him of the </w:t>
      </w:r>
      <w:r w:rsidR="00ED0DEC" w:rsidRPr="002F496E">
        <w:rPr>
          <w:lang w:val="en-GB"/>
        </w:rPr>
        <w:t>allegations he was facing. The P</w:t>
      </w:r>
      <w:r w:rsidR="001D6649" w:rsidRPr="002F496E">
        <w:rPr>
          <w:lang w:val="en-GB"/>
        </w:rPr>
        <w:t>laint</w:t>
      </w:r>
      <w:r w:rsidR="006D23D3" w:rsidRPr="002F496E">
        <w:rPr>
          <w:lang w:val="en-GB"/>
        </w:rPr>
        <w:t>iff did not deny them</w:t>
      </w:r>
      <w:r w:rsidR="001D6649" w:rsidRPr="002F496E">
        <w:rPr>
          <w:lang w:val="en-GB"/>
        </w:rPr>
        <w:t xml:space="preserve">. He further informed him of his </w:t>
      </w:r>
      <w:r w:rsidR="00A567A9" w:rsidRPr="002F496E">
        <w:rPr>
          <w:lang w:val="en-GB"/>
        </w:rPr>
        <w:t>Constitutional</w:t>
      </w:r>
      <w:r w:rsidR="001D6649" w:rsidRPr="002F496E">
        <w:rPr>
          <w:lang w:val="en-GB"/>
        </w:rPr>
        <w:t xml:space="preserve"> rights and detained him at </w:t>
      </w:r>
      <w:r w:rsidR="00BC50E0">
        <w:rPr>
          <w:lang w:val="en-GB"/>
        </w:rPr>
        <w:t xml:space="preserve">the </w:t>
      </w:r>
      <w:r w:rsidR="001D6649" w:rsidRPr="002F496E">
        <w:rPr>
          <w:lang w:val="en-GB"/>
        </w:rPr>
        <w:t xml:space="preserve">Cambridge police station. The arresting </w:t>
      </w:r>
      <w:r w:rsidR="00A567A9" w:rsidRPr="002F496E">
        <w:rPr>
          <w:lang w:val="en-GB"/>
        </w:rPr>
        <w:t>officer further</w:t>
      </w:r>
      <w:r w:rsidR="001D6649" w:rsidRPr="002F496E">
        <w:rPr>
          <w:lang w:val="en-GB"/>
        </w:rPr>
        <w:t xml:space="preserve"> testified that he entertained a suspicion which</w:t>
      </w:r>
      <w:r w:rsidR="00C21807" w:rsidRPr="002F496E">
        <w:rPr>
          <w:lang w:val="en-GB"/>
        </w:rPr>
        <w:t>,</w:t>
      </w:r>
      <w:r w:rsidR="001D6649" w:rsidRPr="002F496E">
        <w:rPr>
          <w:lang w:val="en-GB"/>
        </w:rPr>
        <w:t xml:space="preserve"> according to </w:t>
      </w:r>
      <w:r w:rsidR="00ED0DEC" w:rsidRPr="002F496E">
        <w:rPr>
          <w:lang w:val="en-GB"/>
        </w:rPr>
        <w:t>him</w:t>
      </w:r>
      <w:r w:rsidR="00C21807" w:rsidRPr="002F496E">
        <w:rPr>
          <w:lang w:val="en-GB"/>
        </w:rPr>
        <w:t>,</w:t>
      </w:r>
      <w:r w:rsidR="00ED0DEC" w:rsidRPr="002F496E">
        <w:rPr>
          <w:lang w:val="en-GB"/>
        </w:rPr>
        <w:t xml:space="preserve"> was reasonable in that the P</w:t>
      </w:r>
      <w:r w:rsidR="001D6649" w:rsidRPr="002F496E">
        <w:rPr>
          <w:lang w:val="en-GB"/>
        </w:rPr>
        <w:t xml:space="preserve">laintiff allegedly committed an offence of attempted murder and was </w:t>
      </w:r>
      <w:r w:rsidR="001D6649" w:rsidRPr="002F496E">
        <w:rPr>
          <w:lang w:val="en-GB"/>
        </w:rPr>
        <w:lastRenderedPageBreak/>
        <w:t xml:space="preserve">identified by the complainant’s girlfriend after he had consulted the complainant </w:t>
      </w:r>
      <w:r w:rsidR="00BC50E0">
        <w:rPr>
          <w:lang w:val="en-GB"/>
        </w:rPr>
        <w:t>at</w:t>
      </w:r>
      <w:r w:rsidR="001D6649" w:rsidRPr="002F496E">
        <w:rPr>
          <w:lang w:val="en-GB"/>
        </w:rPr>
        <w:t xml:space="preserve"> </w:t>
      </w:r>
      <w:r w:rsidR="00482E74" w:rsidRPr="002F496E">
        <w:rPr>
          <w:lang w:val="en-GB"/>
        </w:rPr>
        <w:t xml:space="preserve">the </w:t>
      </w:r>
      <w:r w:rsidR="001D6649" w:rsidRPr="002F496E">
        <w:rPr>
          <w:lang w:val="en-GB"/>
        </w:rPr>
        <w:t>hospital.</w:t>
      </w:r>
    </w:p>
    <w:p w14:paraId="75F053A6" w14:textId="77777777" w:rsidR="001D6649" w:rsidRPr="002F496E" w:rsidRDefault="001D6649" w:rsidP="001B3810">
      <w:pPr>
        <w:pStyle w:val="ListParagraph"/>
        <w:jc w:val="both"/>
        <w:rPr>
          <w:lang w:val="en-GB"/>
        </w:rPr>
      </w:pPr>
    </w:p>
    <w:p w14:paraId="1FC5F860" w14:textId="1A2E8C16" w:rsidR="00493287" w:rsidRPr="002F496E" w:rsidRDefault="00317D3C" w:rsidP="001B3810">
      <w:pPr>
        <w:tabs>
          <w:tab w:val="left" w:pos="851"/>
        </w:tabs>
        <w:jc w:val="both"/>
        <w:rPr>
          <w:i/>
          <w:u w:val="single"/>
          <w:lang w:val="en-GB"/>
        </w:rPr>
      </w:pPr>
      <w:r w:rsidRPr="002F496E">
        <w:rPr>
          <w:lang w:val="en-GB"/>
        </w:rPr>
        <w:t>[8]</w:t>
      </w:r>
      <w:r w:rsidRPr="002F496E">
        <w:rPr>
          <w:lang w:val="en-GB"/>
        </w:rPr>
        <w:tab/>
      </w:r>
      <w:r w:rsidR="001D6649" w:rsidRPr="002F496E">
        <w:rPr>
          <w:lang w:val="en-GB"/>
        </w:rPr>
        <w:t xml:space="preserve">In </w:t>
      </w:r>
      <w:r w:rsidR="00BB1F74" w:rsidRPr="002F496E">
        <w:rPr>
          <w:lang w:val="en-GB"/>
        </w:rPr>
        <w:t>cross-examination</w:t>
      </w:r>
      <w:r w:rsidR="00C21807" w:rsidRPr="002F496E">
        <w:rPr>
          <w:lang w:val="en-GB"/>
        </w:rPr>
        <w:t>,</w:t>
      </w:r>
      <w:r w:rsidR="001D6649" w:rsidRPr="002F496E">
        <w:rPr>
          <w:lang w:val="en-GB"/>
        </w:rPr>
        <w:t xml:space="preserve"> the officer was asked</w:t>
      </w:r>
      <w:r w:rsidR="00ED0DEC" w:rsidRPr="002F496E">
        <w:rPr>
          <w:lang w:val="en-GB"/>
        </w:rPr>
        <w:t xml:space="preserve"> about the sufficiency of the </w:t>
      </w:r>
      <w:r w:rsidR="00BC50E0">
        <w:rPr>
          <w:lang w:val="en-GB"/>
        </w:rPr>
        <w:t xml:space="preserve">information which led to the </w:t>
      </w:r>
      <w:r w:rsidR="00ED0DEC" w:rsidRPr="002F496E">
        <w:rPr>
          <w:lang w:val="en-GB"/>
        </w:rPr>
        <w:t xml:space="preserve">arrest </w:t>
      </w:r>
      <w:r w:rsidR="00BC50E0">
        <w:rPr>
          <w:lang w:val="en-GB"/>
        </w:rPr>
        <w:t xml:space="preserve">in so far as it related to </w:t>
      </w:r>
      <w:r w:rsidR="00ED0DEC" w:rsidRPr="002F496E">
        <w:rPr>
          <w:lang w:val="en-GB"/>
        </w:rPr>
        <w:t xml:space="preserve">the identification </w:t>
      </w:r>
      <w:r w:rsidR="00BC50E0">
        <w:rPr>
          <w:lang w:val="en-GB"/>
        </w:rPr>
        <w:t xml:space="preserve">of the perpetrator simply </w:t>
      </w:r>
      <w:r w:rsidR="00ED0DEC" w:rsidRPr="002F496E">
        <w:rPr>
          <w:lang w:val="en-GB"/>
        </w:rPr>
        <w:t xml:space="preserve">as </w:t>
      </w:r>
      <w:r w:rsidR="00BC50E0">
        <w:rPr>
          <w:lang w:val="en-GB"/>
        </w:rPr>
        <w:t>‘</w:t>
      </w:r>
      <w:r w:rsidR="00ED0DEC" w:rsidRPr="002F496E">
        <w:rPr>
          <w:lang w:val="en-GB"/>
        </w:rPr>
        <w:t>Terra</w:t>
      </w:r>
      <w:r w:rsidR="00BC50E0">
        <w:rPr>
          <w:lang w:val="en-GB"/>
        </w:rPr>
        <w:t>’</w:t>
      </w:r>
      <w:r w:rsidR="00ED0DEC" w:rsidRPr="002F496E">
        <w:rPr>
          <w:lang w:val="en-GB"/>
        </w:rPr>
        <w:t xml:space="preserve">.  In his response, </w:t>
      </w:r>
      <w:r w:rsidR="00A76177" w:rsidRPr="002F496E">
        <w:rPr>
          <w:lang w:val="en-GB"/>
        </w:rPr>
        <w:t xml:space="preserve">he informed the court that Plaintiff was identified </w:t>
      </w:r>
      <w:r w:rsidR="001D6649" w:rsidRPr="002F496E">
        <w:rPr>
          <w:lang w:val="en-GB"/>
        </w:rPr>
        <w:t xml:space="preserve">by the complainant’s </w:t>
      </w:r>
      <w:r w:rsidR="00A76177" w:rsidRPr="002F496E">
        <w:rPr>
          <w:lang w:val="en-GB"/>
        </w:rPr>
        <w:t>girlfriend and that people kne</w:t>
      </w:r>
      <w:r w:rsidR="001D6649" w:rsidRPr="002F496E">
        <w:rPr>
          <w:lang w:val="en-GB"/>
        </w:rPr>
        <w:t>w each other by ni</w:t>
      </w:r>
      <w:r w:rsidR="004B7AC1" w:rsidRPr="002F496E">
        <w:rPr>
          <w:lang w:val="en-GB"/>
        </w:rPr>
        <w:t>cknames in the residential area</w:t>
      </w:r>
      <w:r w:rsidR="00A76177" w:rsidRPr="002F496E">
        <w:rPr>
          <w:lang w:val="en-GB"/>
        </w:rPr>
        <w:t>, according to his experience</w:t>
      </w:r>
      <w:r w:rsidR="001D6649" w:rsidRPr="002F496E">
        <w:rPr>
          <w:lang w:val="en-GB"/>
        </w:rPr>
        <w:t>.</w:t>
      </w:r>
      <w:r w:rsidR="004B7AC1" w:rsidRPr="002F496E">
        <w:rPr>
          <w:lang w:val="en-GB"/>
        </w:rPr>
        <w:t xml:space="preserve"> </w:t>
      </w:r>
      <w:r w:rsidR="00A76177" w:rsidRPr="002F496E">
        <w:rPr>
          <w:lang w:val="en-GB"/>
        </w:rPr>
        <w:t xml:space="preserve">It was suggested </w:t>
      </w:r>
      <w:r w:rsidR="00A567A9" w:rsidRPr="002F496E">
        <w:rPr>
          <w:lang w:val="en-GB"/>
        </w:rPr>
        <w:t xml:space="preserve">to </w:t>
      </w:r>
      <w:r w:rsidR="00A76177" w:rsidRPr="002F496E">
        <w:rPr>
          <w:lang w:val="en-GB"/>
        </w:rPr>
        <w:t xml:space="preserve">the arresting officer </w:t>
      </w:r>
      <w:r w:rsidR="006D23D3" w:rsidRPr="002F496E">
        <w:rPr>
          <w:lang w:val="en-GB"/>
        </w:rPr>
        <w:t xml:space="preserve">that he </w:t>
      </w:r>
      <w:r w:rsidR="00A76177" w:rsidRPr="002F496E">
        <w:rPr>
          <w:lang w:val="en-GB"/>
        </w:rPr>
        <w:t>failed to inform the P</w:t>
      </w:r>
      <w:r w:rsidR="00A567A9" w:rsidRPr="002F496E">
        <w:rPr>
          <w:lang w:val="en-GB"/>
        </w:rPr>
        <w:t xml:space="preserve">laintiff of the allegations he was facing. </w:t>
      </w:r>
      <w:r w:rsidR="00A76177" w:rsidRPr="002F496E">
        <w:rPr>
          <w:lang w:val="en-GB"/>
        </w:rPr>
        <w:t xml:space="preserve"> However, t</w:t>
      </w:r>
      <w:r w:rsidR="00A567A9" w:rsidRPr="002F496E">
        <w:rPr>
          <w:lang w:val="en-GB"/>
        </w:rPr>
        <w:t>he arresting officer maintained</w:t>
      </w:r>
      <w:r w:rsidR="00D7142E" w:rsidRPr="002F496E">
        <w:rPr>
          <w:lang w:val="en-GB"/>
        </w:rPr>
        <w:t xml:space="preserve"> that</w:t>
      </w:r>
      <w:r w:rsidR="00A76177" w:rsidRPr="002F496E">
        <w:rPr>
          <w:lang w:val="en-GB"/>
        </w:rPr>
        <w:t xml:space="preserve"> he did advise the P</w:t>
      </w:r>
      <w:r w:rsidR="00A567A9" w:rsidRPr="002F496E">
        <w:rPr>
          <w:lang w:val="en-GB"/>
        </w:rPr>
        <w:t>laintif</w:t>
      </w:r>
      <w:r w:rsidR="00CE69E2">
        <w:rPr>
          <w:lang w:val="en-GB"/>
        </w:rPr>
        <w:t>f of the charges against him</w:t>
      </w:r>
      <w:r w:rsidR="00A567A9" w:rsidRPr="002F496E">
        <w:rPr>
          <w:lang w:val="en-GB"/>
        </w:rPr>
        <w:t xml:space="preserve">. </w:t>
      </w:r>
    </w:p>
    <w:p w14:paraId="08D6321A" w14:textId="77777777" w:rsidR="00A567A9" w:rsidRPr="002F496E" w:rsidRDefault="00A567A9" w:rsidP="001B3810">
      <w:pPr>
        <w:pStyle w:val="ListParagraph"/>
        <w:jc w:val="both"/>
        <w:rPr>
          <w:i/>
          <w:u w:val="single"/>
          <w:lang w:val="en-GB"/>
        </w:rPr>
      </w:pPr>
    </w:p>
    <w:p w14:paraId="1C4CBDE7" w14:textId="49CE34F4" w:rsidR="00A567A9" w:rsidRPr="002F496E" w:rsidRDefault="00317D3C" w:rsidP="001B3810">
      <w:pPr>
        <w:tabs>
          <w:tab w:val="left" w:pos="851"/>
        </w:tabs>
        <w:jc w:val="both"/>
        <w:rPr>
          <w:i/>
          <w:u w:val="single"/>
          <w:lang w:val="en-GB"/>
        </w:rPr>
      </w:pPr>
      <w:r w:rsidRPr="002F496E">
        <w:rPr>
          <w:lang w:val="en-GB"/>
        </w:rPr>
        <w:t>[9]</w:t>
      </w:r>
      <w:r w:rsidRPr="002F496E">
        <w:rPr>
          <w:lang w:val="en-GB"/>
        </w:rPr>
        <w:tab/>
      </w:r>
      <w:r w:rsidR="00A76177" w:rsidRPr="002F496E">
        <w:rPr>
          <w:lang w:val="en-GB"/>
        </w:rPr>
        <w:t>In their quest to discharge</w:t>
      </w:r>
      <w:r w:rsidR="00522B74" w:rsidRPr="002F496E">
        <w:rPr>
          <w:lang w:val="en-GB"/>
        </w:rPr>
        <w:t xml:space="preserve"> the</w:t>
      </w:r>
      <w:r w:rsidR="00A76177" w:rsidRPr="002F496E">
        <w:rPr>
          <w:lang w:val="en-GB"/>
        </w:rPr>
        <w:t xml:space="preserve"> onus of proof, the Defendants also relied</w:t>
      </w:r>
      <w:r w:rsidR="004B7AC1" w:rsidRPr="002F496E">
        <w:rPr>
          <w:lang w:val="en-GB"/>
        </w:rPr>
        <w:t xml:space="preserve"> </w:t>
      </w:r>
      <w:r w:rsidR="00494A5A" w:rsidRPr="002F496E">
        <w:rPr>
          <w:lang w:val="en-GB"/>
        </w:rPr>
        <w:t>on</w:t>
      </w:r>
      <w:r w:rsidR="004B7AC1" w:rsidRPr="002F496E">
        <w:rPr>
          <w:lang w:val="en-GB"/>
        </w:rPr>
        <w:t xml:space="preserve"> the evidence of </w:t>
      </w:r>
      <w:r w:rsidR="00F04733" w:rsidRPr="002F496E">
        <w:rPr>
          <w:lang w:val="en-GB"/>
        </w:rPr>
        <w:t>Sergeant</w:t>
      </w:r>
      <w:r w:rsidR="00A567A9" w:rsidRPr="002F496E">
        <w:rPr>
          <w:lang w:val="en-GB"/>
        </w:rPr>
        <w:t xml:space="preserve"> </w:t>
      </w:r>
      <w:proofErr w:type="spellStart"/>
      <w:r w:rsidR="00A567A9" w:rsidRPr="002F496E">
        <w:rPr>
          <w:lang w:val="en-GB"/>
        </w:rPr>
        <w:t>Nompendulo</w:t>
      </w:r>
      <w:proofErr w:type="spellEnd"/>
      <w:r w:rsidR="00A567A9" w:rsidRPr="002F496E">
        <w:rPr>
          <w:lang w:val="en-GB"/>
        </w:rPr>
        <w:t xml:space="preserve"> </w:t>
      </w:r>
      <w:proofErr w:type="spellStart"/>
      <w:r w:rsidR="00A567A9" w:rsidRPr="002F496E">
        <w:rPr>
          <w:lang w:val="en-GB"/>
        </w:rPr>
        <w:t>Qwede</w:t>
      </w:r>
      <w:proofErr w:type="spellEnd"/>
      <w:r w:rsidR="00A567A9" w:rsidRPr="002F496E">
        <w:rPr>
          <w:lang w:val="en-GB"/>
        </w:rPr>
        <w:t xml:space="preserve"> </w:t>
      </w:r>
      <w:r w:rsidR="004B7AC1" w:rsidRPr="002F496E">
        <w:rPr>
          <w:lang w:val="en-GB"/>
        </w:rPr>
        <w:t>(the</w:t>
      </w:r>
      <w:r w:rsidR="00A567A9" w:rsidRPr="002F496E">
        <w:rPr>
          <w:lang w:val="en-GB"/>
        </w:rPr>
        <w:t xml:space="preserve"> investigating officer). She testified that upon</w:t>
      </w:r>
      <w:r w:rsidR="00A76177" w:rsidRPr="002F496E">
        <w:rPr>
          <w:lang w:val="en-GB"/>
        </w:rPr>
        <w:t xml:space="preserve"> the Plaintiff’s arrest,</w:t>
      </w:r>
      <w:r w:rsidR="00A567A9" w:rsidRPr="002F496E">
        <w:rPr>
          <w:lang w:val="en-GB"/>
        </w:rPr>
        <w:t xml:space="preserve"> she charge</w:t>
      </w:r>
      <w:r w:rsidR="00A76177" w:rsidRPr="002F496E">
        <w:rPr>
          <w:lang w:val="en-GB"/>
        </w:rPr>
        <w:t xml:space="preserve">d him with attempted murder </w:t>
      </w:r>
      <w:r w:rsidR="008F4ACF" w:rsidRPr="002F496E">
        <w:rPr>
          <w:lang w:val="en-GB"/>
        </w:rPr>
        <w:t>on 07</w:t>
      </w:r>
      <w:r w:rsidR="00522B74" w:rsidRPr="002F496E">
        <w:rPr>
          <w:lang w:val="en-GB"/>
        </w:rPr>
        <w:t xml:space="preserve"> December 2019.</w:t>
      </w:r>
      <w:r w:rsidR="008F4ACF" w:rsidRPr="002F496E">
        <w:rPr>
          <w:lang w:val="en-GB"/>
        </w:rPr>
        <w:t xml:space="preserve"> </w:t>
      </w:r>
      <w:r w:rsidR="00482E74" w:rsidRPr="002F496E">
        <w:rPr>
          <w:lang w:val="en-GB"/>
        </w:rPr>
        <w:t xml:space="preserve">In </w:t>
      </w:r>
      <w:r w:rsidR="00A76177" w:rsidRPr="002F496E">
        <w:rPr>
          <w:lang w:val="en-GB"/>
        </w:rPr>
        <w:t>a later instance, the case was subsequently withdrawn after the Public Prosecutor consulted with witnesses. When asked</w:t>
      </w:r>
      <w:r w:rsidR="00CA5923" w:rsidRPr="002F496E">
        <w:rPr>
          <w:lang w:val="en-GB"/>
        </w:rPr>
        <w:t xml:space="preserve"> why the case was</w:t>
      </w:r>
      <w:r w:rsidR="00D7142E" w:rsidRPr="002F496E">
        <w:rPr>
          <w:lang w:val="en-GB"/>
        </w:rPr>
        <w:t xml:space="preserve"> withdrawn, the i</w:t>
      </w:r>
      <w:r w:rsidR="00CA5923" w:rsidRPr="002F496E">
        <w:rPr>
          <w:lang w:val="en-GB"/>
        </w:rPr>
        <w:t>nvestigating officer testified that the complainant</w:t>
      </w:r>
      <w:r w:rsidR="008F4ACF" w:rsidRPr="002F496E">
        <w:rPr>
          <w:lang w:val="en-GB"/>
        </w:rPr>
        <w:t xml:space="preserve"> had</w:t>
      </w:r>
      <w:r w:rsidR="00CA5923" w:rsidRPr="002F496E">
        <w:rPr>
          <w:lang w:val="en-GB"/>
        </w:rPr>
        <w:t xml:space="preserve"> lost interest in the m</w:t>
      </w:r>
      <w:r w:rsidR="008749F7">
        <w:rPr>
          <w:lang w:val="en-GB"/>
        </w:rPr>
        <w:t>atter. With this evidence, the D</w:t>
      </w:r>
      <w:r w:rsidR="00CA5923" w:rsidRPr="002F496E">
        <w:rPr>
          <w:lang w:val="en-GB"/>
        </w:rPr>
        <w:t>e</w:t>
      </w:r>
      <w:r w:rsidR="008749F7">
        <w:rPr>
          <w:lang w:val="en-GB"/>
        </w:rPr>
        <w:t>fe</w:t>
      </w:r>
      <w:r w:rsidR="00CA5923" w:rsidRPr="002F496E">
        <w:rPr>
          <w:lang w:val="en-GB"/>
        </w:rPr>
        <w:t>ndant closed his case.</w:t>
      </w:r>
    </w:p>
    <w:p w14:paraId="471E1212" w14:textId="77777777" w:rsidR="00CA5923" w:rsidRPr="002F496E" w:rsidRDefault="00CA5923" w:rsidP="001B3810">
      <w:pPr>
        <w:pStyle w:val="ListParagraph"/>
        <w:jc w:val="both"/>
        <w:rPr>
          <w:i/>
          <w:u w:val="single"/>
          <w:lang w:val="en-GB"/>
        </w:rPr>
      </w:pPr>
    </w:p>
    <w:p w14:paraId="67A81D7F" w14:textId="6062A036" w:rsidR="00CA5923" w:rsidRPr="002F496E" w:rsidRDefault="00317D3C" w:rsidP="001B3810">
      <w:pPr>
        <w:tabs>
          <w:tab w:val="left" w:pos="851"/>
        </w:tabs>
        <w:jc w:val="both"/>
        <w:rPr>
          <w:i/>
          <w:u w:val="single"/>
          <w:lang w:val="en-GB"/>
        </w:rPr>
      </w:pPr>
      <w:r w:rsidRPr="002F496E">
        <w:rPr>
          <w:lang w:val="en-GB"/>
        </w:rPr>
        <w:t>[10]</w:t>
      </w:r>
      <w:r w:rsidRPr="002F496E">
        <w:rPr>
          <w:lang w:val="en-GB"/>
        </w:rPr>
        <w:tab/>
      </w:r>
      <w:r w:rsidR="008F4ACF" w:rsidRPr="002F496E">
        <w:rPr>
          <w:lang w:val="en-GB"/>
        </w:rPr>
        <w:t>The P</w:t>
      </w:r>
      <w:r w:rsidR="00CA5923" w:rsidRPr="002F496E">
        <w:rPr>
          <w:lang w:val="en-GB"/>
        </w:rPr>
        <w:t>laintiff</w:t>
      </w:r>
      <w:r w:rsidR="00D7142E" w:rsidRPr="002F496E">
        <w:rPr>
          <w:lang w:val="en-GB"/>
        </w:rPr>
        <w:t xml:space="preserve"> gave testimony that on the day of his arrest, he was busy with his braai at the car wash, minding his own business. H</w:t>
      </w:r>
      <w:r w:rsidR="00DA50FF" w:rsidRPr="002F496E">
        <w:rPr>
          <w:lang w:val="en-GB"/>
        </w:rPr>
        <w:t xml:space="preserve">e </w:t>
      </w:r>
      <w:r w:rsidR="00D7142E" w:rsidRPr="002F496E">
        <w:rPr>
          <w:lang w:val="en-GB"/>
        </w:rPr>
        <w:t>stated that he was chatting with a certain gentleman when another man approach</w:t>
      </w:r>
      <w:r w:rsidR="00771ACA" w:rsidRPr="002F496E">
        <w:rPr>
          <w:lang w:val="en-GB"/>
        </w:rPr>
        <w:t>ed and asked for the car keys to</w:t>
      </w:r>
      <w:r w:rsidR="00D7142E" w:rsidRPr="002F496E">
        <w:rPr>
          <w:lang w:val="en-GB"/>
        </w:rPr>
        <w:t xml:space="preserve"> the vehicle he was driving. Following this, he was suddenly handcuffed by another man when the second man took the car keys. They all drove off to Cambridge Police Station.</w:t>
      </w:r>
      <w:r w:rsidR="00CA5923" w:rsidRPr="002F496E">
        <w:rPr>
          <w:lang w:val="en-GB"/>
        </w:rPr>
        <w:t xml:space="preserve"> </w:t>
      </w:r>
    </w:p>
    <w:p w14:paraId="37806CA0" w14:textId="77777777" w:rsidR="00D7142E" w:rsidRPr="002F496E" w:rsidRDefault="00D7142E" w:rsidP="001B3810">
      <w:pPr>
        <w:pStyle w:val="ListParagraph"/>
        <w:jc w:val="both"/>
        <w:rPr>
          <w:i/>
          <w:u w:val="single"/>
          <w:lang w:val="en-GB"/>
        </w:rPr>
      </w:pPr>
    </w:p>
    <w:p w14:paraId="54D407A5" w14:textId="44560E39" w:rsidR="00CA5923" w:rsidRPr="002F496E" w:rsidRDefault="00317D3C" w:rsidP="001B3810">
      <w:pPr>
        <w:tabs>
          <w:tab w:val="left" w:pos="851"/>
        </w:tabs>
        <w:jc w:val="both"/>
        <w:rPr>
          <w:i/>
          <w:u w:val="single"/>
          <w:lang w:val="en-GB"/>
        </w:rPr>
      </w:pPr>
      <w:r w:rsidRPr="002F496E">
        <w:rPr>
          <w:lang w:val="en-GB"/>
        </w:rPr>
        <w:t>[11]</w:t>
      </w:r>
      <w:r w:rsidRPr="002F496E">
        <w:rPr>
          <w:lang w:val="en-GB"/>
        </w:rPr>
        <w:tab/>
      </w:r>
      <w:r w:rsidR="00D7142E" w:rsidRPr="002F496E">
        <w:rPr>
          <w:lang w:val="en-GB"/>
        </w:rPr>
        <w:t>Upon</w:t>
      </w:r>
      <w:r w:rsidR="00CA5923" w:rsidRPr="002F496E">
        <w:rPr>
          <w:lang w:val="en-GB"/>
        </w:rPr>
        <w:t xml:space="preserve"> arrival</w:t>
      </w:r>
      <w:r w:rsidR="00C21807" w:rsidRPr="002F496E">
        <w:rPr>
          <w:lang w:val="en-GB"/>
        </w:rPr>
        <w:t>,</w:t>
      </w:r>
      <w:r w:rsidR="00CA5923" w:rsidRPr="002F496E">
        <w:rPr>
          <w:lang w:val="en-GB"/>
        </w:rPr>
        <w:t xml:space="preserve"> </w:t>
      </w:r>
      <w:r w:rsidR="007D3A34" w:rsidRPr="002F496E">
        <w:rPr>
          <w:lang w:val="en-GB"/>
        </w:rPr>
        <w:t xml:space="preserve">he was caused to stand </w:t>
      </w:r>
      <w:r w:rsidR="007D3A34" w:rsidRPr="00CE69E2">
        <w:rPr>
          <w:lang w:val="en-GB"/>
        </w:rPr>
        <w:t>out</w:t>
      </w:r>
      <w:r w:rsidR="00A86FF7">
        <w:rPr>
          <w:lang w:val="en-GB"/>
        </w:rPr>
        <w:t>side</w:t>
      </w:r>
      <w:r w:rsidR="00CE69E2" w:rsidRPr="00CE69E2">
        <w:rPr>
          <w:lang w:val="en-GB"/>
        </w:rPr>
        <w:t xml:space="preserve"> of the car</w:t>
      </w:r>
      <w:r w:rsidR="007D3A34" w:rsidRPr="00CE69E2">
        <w:rPr>
          <w:lang w:val="en-GB"/>
        </w:rPr>
        <w:t>.</w:t>
      </w:r>
      <w:r w:rsidR="007D3A34" w:rsidRPr="002F496E">
        <w:rPr>
          <w:lang w:val="en-GB"/>
        </w:rPr>
        <w:t xml:space="preserve"> T</w:t>
      </w:r>
      <w:r w:rsidR="00F80356" w:rsidRPr="002F496E">
        <w:rPr>
          <w:lang w:val="en-GB"/>
        </w:rPr>
        <w:t>he police officers took</w:t>
      </w:r>
      <w:r w:rsidR="00CA5923" w:rsidRPr="002F496E">
        <w:rPr>
          <w:lang w:val="en-GB"/>
        </w:rPr>
        <w:t xml:space="preserve"> his belongings and put them on the trailer of his car.</w:t>
      </w:r>
      <w:r w:rsidR="004B7AC1" w:rsidRPr="002F496E">
        <w:rPr>
          <w:lang w:val="en-GB"/>
        </w:rPr>
        <w:t xml:space="preserve"> One of </w:t>
      </w:r>
      <w:r w:rsidR="00C21807" w:rsidRPr="002F496E">
        <w:rPr>
          <w:lang w:val="en-GB"/>
        </w:rPr>
        <w:t xml:space="preserve">the </w:t>
      </w:r>
      <w:r w:rsidR="004B7AC1" w:rsidRPr="002F496E">
        <w:rPr>
          <w:lang w:val="en-GB"/>
        </w:rPr>
        <w:t>officers</w:t>
      </w:r>
      <w:r w:rsidR="00F80356" w:rsidRPr="002F496E">
        <w:rPr>
          <w:lang w:val="en-GB"/>
        </w:rPr>
        <w:t xml:space="preserve"> asked him to produce the firearm he</w:t>
      </w:r>
      <w:r w:rsidR="009455F6" w:rsidRPr="002F496E">
        <w:rPr>
          <w:lang w:val="en-GB"/>
        </w:rPr>
        <w:t xml:space="preserve"> had</w:t>
      </w:r>
      <w:r w:rsidR="008749F7">
        <w:rPr>
          <w:lang w:val="en-GB"/>
        </w:rPr>
        <w:t xml:space="preserve"> used to shoot Bridge</w:t>
      </w:r>
      <w:r w:rsidR="00F80356" w:rsidRPr="002F496E">
        <w:rPr>
          <w:lang w:val="en-GB"/>
        </w:rPr>
        <w:t>. He informed them</w:t>
      </w:r>
      <w:r w:rsidR="009455F6" w:rsidRPr="002F496E">
        <w:rPr>
          <w:lang w:val="en-GB"/>
        </w:rPr>
        <w:t xml:space="preserve"> that he </w:t>
      </w:r>
      <w:r w:rsidR="00C21807" w:rsidRPr="002F496E">
        <w:rPr>
          <w:lang w:val="en-GB"/>
        </w:rPr>
        <w:t>did not know</w:t>
      </w:r>
      <w:r w:rsidR="009455F6" w:rsidRPr="002F496E">
        <w:rPr>
          <w:lang w:val="en-GB"/>
        </w:rPr>
        <w:t xml:space="preserve"> who Bridge was</w:t>
      </w:r>
      <w:r w:rsidR="00C21807" w:rsidRPr="002F496E">
        <w:rPr>
          <w:lang w:val="en-GB"/>
        </w:rPr>
        <w:t>,</w:t>
      </w:r>
      <w:r w:rsidR="009455F6" w:rsidRPr="002F496E">
        <w:rPr>
          <w:lang w:val="en-GB"/>
        </w:rPr>
        <w:t xml:space="preserve"> to which the police asserted that Bridge was one of his friends.</w:t>
      </w:r>
      <w:r w:rsidR="00F80356" w:rsidRPr="002F496E">
        <w:rPr>
          <w:lang w:val="en-GB"/>
        </w:rPr>
        <w:t xml:space="preserve"> Police asked if he knew </w:t>
      </w:r>
      <w:proofErr w:type="spellStart"/>
      <w:r w:rsidR="00F80356" w:rsidRPr="002F496E">
        <w:rPr>
          <w:lang w:val="en-GB"/>
        </w:rPr>
        <w:t>Lelethu</w:t>
      </w:r>
      <w:proofErr w:type="spellEnd"/>
      <w:r w:rsidR="00F80356" w:rsidRPr="002F496E">
        <w:rPr>
          <w:lang w:val="en-GB"/>
        </w:rPr>
        <w:t xml:space="preserve">, </w:t>
      </w:r>
      <w:r w:rsidR="00BB1F74" w:rsidRPr="002F496E">
        <w:rPr>
          <w:lang w:val="en-GB"/>
        </w:rPr>
        <w:t xml:space="preserve">and </w:t>
      </w:r>
      <w:r w:rsidR="00F80356" w:rsidRPr="002F496E">
        <w:rPr>
          <w:lang w:val="en-GB"/>
        </w:rPr>
        <w:t xml:space="preserve">he informed them that </w:t>
      </w:r>
      <w:proofErr w:type="spellStart"/>
      <w:r w:rsidR="00F80356" w:rsidRPr="002F496E">
        <w:rPr>
          <w:lang w:val="en-GB"/>
        </w:rPr>
        <w:t>Lelethu</w:t>
      </w:r>
      <w:proofErr w:type="spellEnd"/>
      <w:r w:rsidR="00F80356" w:rsidRPr="002F496E">
        <w:rPr>
          <w:lang w:val="en-GB"/>
        </w:rPr>
        <w:t xml:space="preserve"> was his neighbour who </w:t>
      </w:r>
      <w:r w:rsidR="00C21807" w:rsidRPr="002F496E">
        <w:rPr>
          <w:lang w:val="en-GB"/>
        </w:rPr>
        <w:t xml:space="preserve">worked </w:t>
      </w:r>
      <w:r w:rsidR="00F80356" w:rsidRPr="002F496E">
        <w:rPr>
          <w:lang w:val="en-GB"/>
        </w:rPr>
        <w:t>at Boxer Supermarket.</w:t>
      </w:r>
      <w:r w:rsidR="00606570">
        <w:rPr>
          <w:lang w:val="en-GB"/>
        </w:rPr>
        <w:t xml:space="preserve"> They all drove to Boxer Supermarket.</w:t>
      </w:r>
      <w:r w:rsidR="009455F6" w:rsidRPr="002F496E">
        <w:rPr>
          <w:lang w:val="en-GB"/>
        </w:rPr>
        <w:t xml:space="preserve"> Police entered the Supermarket leaving him in the car</w:t>
      </w:r>
      <w:r w:rsidR="00C21807" w:rsidRPr="002F496E">
        <w:rPr>
          <w:lang w:val="en-GB"/>
        </w:rPr>
        <w:t>,</w:t>
      </w:r>
      <w:r w:rsidR="009455F6" w:rsidRPr="002F496E">
        <w:rPr>
          <w:lang w:val="en-GB"/>
        </w:rPr>
        <w:t xml:space="preserve"> and </w:t>
      </w:r>
      <w:r w:rsidR="00C21807" w:rsidRPr="002F496E">
        <w:rPr>
          <w:lang w:val="en-GB"/>
        </w:rPr>
        <w:t xml:space="preserve">he </w:t>
      </w:r>
      <w:r w:rsidR="009455F6" w:rsidRPr="002F496E">
        <w:rPr>
          <w:lang w:val="en-GB"/>
        </w:rPr>
        <w:t xml:space="preserve">was </w:t>
      </w:r>
      <w:r w:rsidR="00F80356" w:rsidRPr="002F496E">
        <w:rPr>
          <w:lang w:val="en-GB"/>
        </w:rPr>
        <w:lastRenderedPageBreak/>
        <w:t>later</w:t>
      </w:r>
      <w:r w:rsidR="005B09BA" w:rsidRPr="002F496E">
        <w:rPr>
          <w:lang w:val="en-GB"/>
        </w:rPr>
        <w:t xml:space="preserve"> taken</w:t>
      </w:r>
      <w:r w:rsidR="00F80356" w:rsidRPr="002F496E">
        <w:rPr>
          <w:lang w:val="en-GB"/>
        </w:rPr>
        <w:t xml:space="preserve"> b</w:t>
      </w:r>
      <w:r w:rsidR="006D23D3" w:rsidRPr="002F496E">
        <w:rPr>
          <w:lang w:val="en-GB"/>
        </w:rPr>
        <w:t>ack to the police station. P</w:t>
      </w:r>
      <w:r w:rsidR="00F80356" w:rsidRPr="002F496E">
        <w:rPr>
          <w:lang w:val="en-GB"/>
        </w:rPr>
        <w:t xml:space="preserve">laintiff testified that </w:t>
      </w:r>
      <w:r w:rsidR="002317F1" w:rsidRPr="002F496E">
        <w:rPr>
          <w:lang w:val="en-GB"/>
        </w:rPr>
        <w:t>police repeatedly questioned hi</w:t>
      </w:r>
      <w:r w:rsidR="009455F6" w:rsidRPr="002F496E">
        <w:rPr>
          <w:lang w:val="en-GB"/>
        </w:rPr>
        <w:t>m about a firearm that he claimed</w:t>
      </w:r>
      <w:r w:rsidR="002317F1" w:rsidRPr="002F496E">
        <w:rPr>
          <w:lang w:val="en-GB"/>
        </w:rPr>
        <w:t xml:space="preserve"> to be unaware of</w:t>
      </w:r>
      <w:r w:rsidR="00F80356" w:rsidRPr="002F496E">
        <w:rPr>
          <w:lang w:val="en-GB"/>
        </w:rPr>
        <w:t xml:space="preserve">. </w:t>
      </w:r>
    </w:p>
    <w:p w14:paraId="653636C1" w14:textId="77777777" w:rsidR="00F80356" w:rsidRPr="002F496E" w:rsidRDefault="00F80356" w:rsidP="001B3810">
      <w:pPr>
        <w:pStyle w:val="ListParagraph"/>
        <w:jc w:val="both"/>
        <w:rPr>
          <w:i/>
          <w:u w:val="single"/>
          <w:lang w:val="en-GB"/>
        </w:rPr>
      </w:pPr>
    </w:p>
    <w:p w14:paraId="6BDF86F1" w14:textId="2D68C4A8" w:rsidR="00F80356" w:rsidRPr="002F496E" w:rsidRDefault="00317D3C" w:rsidP="001B3810">
      <w:pPr>
        <w:tabs>
          <w:tab w:val="left" w:pos="851"/>
        </w:tabs>
        <w:jc w:val="both"/>
        <w:rPr>
          <w:i/>
          <w:u w:val="single"/>
          <w:lang w:val="en-GB"/>
        </w:rPr>
      </w:pPr>
      <w:r w:rsidRPr="002F496E">
        <w:rPr>
          <w:lang w:val="en-GB"/>
        </w:rPr>
        <w:t>[12]</w:t>
      </w:r>
      <w:r w:rsidRPr="002F496E">
        <w:rPr>
          <w:lang w:val="en-GB"/>
        </w:rPr>
        <w:tab/>
      </w:r>
      <w:r w:rsidR="00F80356" w:rsidRPr="002F496E">
        <w:rPr>
          <w:lang w:val="en-GB"/>
        </w:rPr>
        <w:t>He was then detained and kept in police cells with two other young men unknown to him.</w:t>
      </w:r>
      <w:r w:rsidR="006F2F34" w:rsidRPr="002F496E">
        <w:rPr>
          <w:lang w:val="en-GB"/>
        </w:rPr>
        <w:t xml:space="preserve"> </w:t>
      </w:r>
      <w:r w:rsidR="009455F6" w:rsidRPr="002F496E">
        <w:rPr>
          <w:lang w:val="en-GB"/>
        </w:rPr>
        <w:t>When questioned whether he knew the other young men</w:t>
      </w:r>
      <w:r w:rsidR="00482E74" w:rsidRPr="002F496E">
        <w:rPr>
          <w:lang w:val="en-GB"/>
        </w:rPr>
        <w:t>,</w:t>
      </w:r>
      <w:r w:rsidR="009455F6" w:rsidRPr="002F496E">
        <w:rPr>
          <w:lang w:val="en-GB"/>
        </w:rPr>
        <w:t xml:space="preserve"> he answered in the negative. When police, </w:t>
      </w:r>
      <w:r w:rsidRPr="002F496E">
        <w:rPr>
          <w:lang w:val="en-GB"/>
        </w:rPr>
        <w:t>considering</w:t>
      </w:r>
      <w:r w:rsidR="009455F6" w:rsidRPr="002F496E">
        <w:rPr>
          <w:lang w:val="en-GB"/>
        </w:rPr>
        <w:t xml:space="preserve"> their knowledge, informed him that he was working with the young men at a taxi rank, he confirmed recognising them by sight. </w:t>
      </w:r>
      <w:r w:rsidR="005E7954" w:rsidRPr="002F496E">
        <w:rPr>
          <w:lang w:val="en-GB"/>
        </w:rPr>
        <w:t>The other young man</w:t>
      </w:r>
      <w:r w:rsidR="00C21807" w:rsidRPr="002F496E">
        <w:rPr>
          <w:lang w:val="en-GB"/>
        </w:rPr>
        <w:t>,</w:t>
      </w:r>
      <w:r w:rsidR="005E7954" w:rsidRPr="002F496E">
        <w:rPr>
          <w:lang w:val="en-GB"/>
        </w:rPr>
        <w:t xml:space="preserve"> who was identified as </w:t>
      </w:r>
      <w:proofErr w:type="spellStart"/>
      <w:r w:rsidR="005E7954" w:rsidRPr="002F496E">
        <w:rPr>
          <w:lang w:val="en-GB"/>
        </w:rPr>
        <w:t>Le</w:t>
      </w:r>
      <w:r w:rsidR="009455F6" w:rsidRPr="002F496E">
        <w:rPr>
          <w:lang w:val="en-GB"/>
        </w:rPr>
        <w:t>lethu</w:t>
      </w:r>
      <w:proofErr w:type="spellEnd"/>
      <w:r w:rsidR="00C21807" w:rsidRPr="002F496E">
        <w:rPr>
          <w:lang w:val="en-GB"/>
        </w:rPr>
        <w:t>,</w:t>
      </w:r>
      <w:r w:rsidR="008749F7">
        <w:rPr>
          <w:lang w:val="en-GB"/>
        </w:rPr>
        <w:t xml:space="preserve"> confirmed that he knew the P</w:t>
      </w:r>
      <w:r w:rsidR="009455F6" w:rsidRPr="002F496E">
        <w:rPr>
          <w:lang w:val="en-GB"/>
        </w:rPr>
        <w:t>laintiff</w:t>
      </w:r>
      <w:r w:rsidR="005E7954" w:rsidRPr="002F496E">
        <w:rPr>
          <w:lang w:val="en-GB"/>
        </w:rPr>
        <w:t>. The</w:t>
      </w:r>
      <w:r w:rsidR="000C091F" w:rsidRPr="002F496E">
        <w:rPr>
          <w:lang w:val="en-GB"/>
        </w:rPr>
        <w:t>y</w:t>
      </w:r>
      <w:r w:rsidR="005E7954" w:rsidRPr="002F496E">
        <w:rPr>
          <w:lang w:val="en-GB"/>
        </w:rPr>
        <w:t xml:space="preserve"> were then informed that they</w:t>
      </w:r>
      <w:r w:rsidR="00DF4249" w:rsidRPr="002F496E">
        <w:rPr>
          <w:lang w:val="en-GB"/>
        </w:rPr>
        <w:t xml:space="preserve"> had</w:t>
      </w:r>
      <w:r w:rsidR="005E7954" w:rsidRPr="002F496E">
        <w:rPr>
          <w:lang w:val="en-GB"/>
        </w:rPr>
        <w:t xml:space="preserve"> attacked Bridge</w:t>
      </w:r>
      <w:r w:rsidR="00DF4249" w:rsidRPr="002F496E">
        <w:rPr>
          <w:lang w:val="en-GB"/>
        </w:rPr>
        <w:t>. H</w:t>
      </w:r>
      <w:r w:rsidR="005E7954" w:rsidRPr="002F496E">
        <w:rPr>
          <w:lang w:val="en-GB"/>
        </w:rPr>
        <w:t>e did not respond to the allegations.</w:t>
      </w:r>
      <w:r w:rsidR="00095598" w:rsidRPr="002F496E">
        <w:rPr>
          <w:lang w:val="en-GB"/>
        </w:rPr>
        <w:t xml:space="preserve"> </w:t>
      </w:r>
      <w:r w:rsidR="005B09BA" w:rsidRPr="002F496E">
        <w:rPr>
          <w:lang w:val="en-GB"/>
        </w:rPr>
        <w:t xml:space="preserve">In his testimony, the </w:t>
      </w:r>
      <w:r w:rsidR="006D23D3" w:rsidRPr="002F496E">
        <w:rPr>
          <w:lang w:val="en-GB"/>
        </w:rPr>
        <w:t>P</w:t>
      </w:r>
      <w:r w:rsidR="005E7954" w:rsidRPr="002F496E">
        <w:rPr>
          <w:lang w:val="en-GB"/>
        </w:rPr>
        <w:t>laintiff testified that</w:t>
      </w:r>
      <w:r w:rsidR="00CE69E2">
        <w:rPr>
          <w:lang w:val="en-GB"/>
        </w:rPr>
        <w:t xml:space="preserve">, </w:t>
      </w:r>
      <w:r w:rsidR="00CE69E2" w:rsidRPr="002F496E">
        <w:rPr>
          <w:lang w:val="en-GB"/>
        </w:rPr>
        <w:t>the</w:t>
      </w:r>
      <w:r w:rsidR="005E7954" w:rsidRPr="002F496E">
        <w:rPr>
          <w:lang w:val="en-GB"/>
        </w:rPr>
        <w:t xml:space="preserve"> following day, they were charged, fingerprints were taken</w:t>
      </w:r>
      <w:r w:rsidR="00C21807" w:rsidRPr="002F496E">
        <w:rPr>
          <w:lang w:val="en-GB"/>
        </w:rPr>
        <w:t>,</w:t>
      </w:r>
      <w:r w:rsidR="002317F1" w:rsidRPr="002F496E">
        <w:rPr>
          <w:lang w:val="en-GB"/>
        </w:rPr>
        <w:t xml:space="preserve"> and they</w:t>
      </w:r>
      <w:r w:rsidR="005E7954" w:rsidRPr="002F496E">
        <w:rPr>
          <w:lang w:val="en-GB"/>
        </w:rPr>
        <w:t xml:space="preserve"> were given certain papers and advised that they would appear </w:t>
      </w:r>
      <w:r w:rsidR="00F04733" w:rsidRPr="002F496E">
        <w:rPr>
          <w:lang w:val="en-GB"/>
        </w:rPr>
        <w:t>in court at a later stage</w:t>
      </w:r>
      <w:r w:rsidR="005E7954" w:rsidRPr="002F496E">
        <w:rPr>
          <w:lang w:val="en-GB"/>
        </w:rPr>
        <w:t>.</w:t>
      </w:r>
    </w:p>
    <w:p w14:paraId="7948BCEA" w14:textId="77777777" w:rsidR="005E7954" w:rsidRPr="002F496E" w:rsidRDefault="005E7954" w:rsidP="001B3810">
      <w:pPr>
        <w:pStyle w:val="ListParagraph"/>
        <w:jc w:val="both"/>
        <w:rPr>
          <w:i/>
          <w:u w:val="single"/>
          <w:lang w:val="en-GB"/>
        </w:rPr>
      </w:pPr>
    </w:p>
    <w:p w14:paraId="76845677" w14:textId="2A7ABC3B" w:rsidR="005E7954" w:rsidRPr="002F496E" w:rsidRDefault="00317D3C" w:rsidP="001B3810">
      <w:pPr>
        <w:tabs>
          <w:tab w:val="left" w:pos="851"/>
        </w:tabs>
        <w:jc w:val="both"/>
        <w:rPr>
          <w:i/>
          <w:u w:val="single"/>
          <w:lang w:val="en-GB"/>
        </w:rPr>
      </w:pPr>
      <w:r w:rsidRPr="002F496E">
        <w:rPr>
          <w:lang w:val="en-GB"/>
        </w:rPr>
        <w:t>[13]</w:t>
      </w:r>
      <w:r w:rsidRPr="002F496E">
        <w:rPr>
          <w:lang w:val="en-GB"/>
        </w:rPr>
        <w:tab/>
      </w:r>
      <w:r w:rsidR="005E7954" w:rsidRPr="002F496E">
        <w:rPr>
          <w:lang w:val="en-GB"/>
        </w:rPr>
        <w:t>On the following Monday,</w:t>
      </w:r>
      <w:r w:rsidR="00DF4249" w:rsidRPr="002F496E">
        <w:rPr>
          <w:lang w:val="en-GB"/>
        </w:rPr>
        <w:t xml:space="preserve"> 09 December 2019,</w:t>
      </w:r>
      <w:r w:rsidR="005E7954" w:rsidRPr="002F496E">
        <w:rPr>
          <w:lang w:val="en-GB"/>
        </w:rPr>
        <w:t xml:space="preserve"> they were offered soap to </w:t>
      </w:r>
      <w:r w:rsidR="00C21807" w:rsidRPr="002F496E">
        <w:rPr>
          <w:lang w:val="en-GB"/>
        </w:rPr>
        <w:t xml:space="preserve">bathe </w:t>
      </w:r>
      <w:r w:rsidR="005E7954" w:rsidRPr="002F496E">
        <w:rPr>
          <w:lang w:val="en-GB"/>
        </w:rPr>
        <w:t>and some meals. A police van came and took them to court. He the</w:t>
      </w:r>
      <w:r w:rsidR="002317F1" w:rsidRPr="002F496E">
        <w:rPr>
          <w:lang w:val="en-GB"/>
        </w:rPr>
        <w:t>n</w:t>
      </w:r>
      <w:r w:rsidR="00DF4249" w:rsidRPr="002F496E">
        <w:rPr>
          <w:lang w:val="en-GB"/>
        </w:rPr>
        <w:t xml:space="preserve"> spotted</w:t>
      </w:r>
      <w:r w:rsidR="005E7954" w:rsidRPr="002F496E">
        <w:rPr>
          <w:lang w:val="en-GB"/>
        </w:rPr>
        <w:t xml:space="preserve"> Bridge in th</w:t>
      </w:r>
      <w:r w:rsidR="00DF4249" w:rsidRPr="002F496E">
        <w:rPr>
          <w:lang w:val="en-GB"/>
        </w:rPr>
        <w:t>e court cells. Bridge</w:t>
      </w:r>
      <w:r w:rsidR="005E7954" w:rsidRPr="002F496E">
        <w:rPr>
          <w:lang w:val="en-GB"/>
        </w:rPr>
        <w:t xml:space="preserve"> was</w:t>
      </w:r>
      <w:r w:rsidR="00DF4249" w:rsidRPr="002F496E">
        <w:rPr>
          <w:lang w:val="en-GB"/>
        </w:rPr>
        <w:t xml:space="preserve"> singled out from that group</w:t>
      </w:r>
      <w:r w:rsidR="00C21807" w:rsidRPr="002F496E">
        <w:rPr>
          <w:lang w:val="en-GB"/>
        </w:rPr>
        <w:t>,</w:t>
      </w:r>
      <w:r w:rsidR="00DF4249" w:rsidRPr="002F496E">
        <w:rPr>
          <w:lang w:val="en-GB"/>
        </w:rPr>
        <w:t xml:space="preserve"> and he was advised that Bri</w:t>
      </w:r>
      <w:r w:rsidR="006D23D3" w:rsidRPr="002F496E">
        <w:rPr>
          <w:lang w:val="en-GB"/>
        </w:rPr>
        <w:t>dge had caused his arrest. The P</w:t>
      </w:r>
      <w:r w:rsidR="005E7954" w:rsidRPr="002F496E">
        <w:rPr>
          <w:lang w:val="en-GB"/>
        </w:rPr>
        <w:t>laintiff testified</w:t>
      </w:r>
      <w:r w:rsidR="002317F1" w:rsidRPr="002F496E">
        <w:rPr>
          <w:lang w:val="en-GB"/>
        </w:rPr>
        <w:t xml:space="preserve"> </w:t>
      </w:r>
      <w:r w:rsidR="00B05631" w:rsidRPr="002F496E">
        <w:rPr>
          <w:lang w:val="en-GB"/>
        </w:rPr>
        <w:t>that</w:t>
      </w:r>
      <w:r w:rsidR="002317F1" w:rsidRPr="002F496E">
        <w:rPr>
          <w:lang w:val="en-GB"/>
        </w:rPr>
        <w:t xml:space="preserve"> he was advised</w:t>
      </w:r>
      <w:r w:rsidR="005E7954" w:rsidRPr="002F496E">
        <w:rPr>
          <w:lang w:val="en-GB"/>
        </w:rPr>
        <w:t xml:space="preserve"> to apply for </w:t>
      </w:r>
      <w:r w:rsidR="002317F1" w:rsidRPr="002F496E">
        <w:rPr>
          <w:lang w:val="en-GB"/>
        </w:rPr>
        <w:t xml:space="preserve">bail. </w:t>
      </w:r>
      <w:r w:rsidR="005E7954" w:rsidRPr="002F496E">
        <w:rPr>
          <w:lang w:val="en-GB"/>
        </w:rPr>
        <w:t>On 02 January 2020</w:t>
      </w:r>
      <w:r w:rsidR="00C21807" w:rsidRPr="002F496E">
        <w:rPr>
          <w:lang w:val="en-GB"/>
        </w:rPr>
        <w:t>,</w:t>
      </w:r>
      <w:r w:rsidR="005E7954" w:rsidRPr="002F496E">
        <w:rPr>
          <w:lang w:val="en-GB"/>
        </w:rPr>
        <w:t xml:space="preserve"> they were granted bail of R1000 00 each</w:t>
      </w:r>
      <w:r w:rsidR="00095598" w:rsidRPr="002F496E">
        <w:rPr>
          <w:lang w:val="en-GB"/>
        </w:rPr>
        <w:t xml:space="preserve"> (One Thousand R</w:t>
      </w:r>
      <w:r w:rsidR="00DF4249" w:rsidRPr="002F496E">
        <w:rPr>
          <w:lang w:val="en-GB"/>
        </w:rPr>
        <w:t>and only)</w:t>
      </w:r>
      <w:r w:rsidR="005E7954" w:rsidRPr="002F496E">
        <w:rPr>
          <w:lang w:val="en-GB"/>
        </w:rPr>
        <w:t>. On 20 March 2020, the case was withdrawn against him.</w:t>
      </w:r>
      <w:r w:rsidR="002317F1" w:rsidRPr="002F496E">
        <w:rPr>
          <w:lang w:val="en-GB"/>
        </w:rPr>
        <w:t xml:space="preserve"> Asked why the case was withdrawn, he testified that one </w:t>
      </w:r>
      <w:proofErr w:type="spellStart"/>
      <w:r w:rsidR="002317F1" w:rsidRPr="002F496E">
        <w:rPr>
          <w:lang w:val="en-GB"/>
        </w:rPr>
        <w:t>Lelethu</w:t>
      </w:r>
      <w:proofErr w:type="spellEnd"/>
      <w:r w:rsidR="002317F1" w:rsidRPr="002F496E">
        <w:rPr>
          <w:lang w:val="en-GB"/>
        </w:rPr>
        <w:t xml:space="preserve"> could not be found.</w:t>
      </w:r>
    </w:p>
    <w:p w14:paraId="4DF5FE01" w14:textId="77777777" w:rsidR="005E7954" w:rsidRPr="002F496E" w:rsidRDefault="005E7954" w:rsidP="001B3810">
      <w:pPr>
        <w:pStyle w:val="ListParagraph"/>
        <w:jc w:val="both"/>
        <w:rPr>
          <w:i/>
          <w:u w:val="single"/>
          <w:lang w:val="en-GB"/>
        </w:rPr>
      </w:pPr>
    </w:p>
    <w:p w14:paraId="711E400E" w14:textId="6D2E7D14" w:rsidR="005E7954" w:rsidRPr="002F496E" w:rsidRDefault="00317D3C" w:rsidP="001B3810">
      <w:pPr>
        <w:tabs>
          <w:tab w:val="left" w:pos="851"/>
        </w:tabs>
        <w:jc w:val="both"/>
        <w:rPr>
          <w:i/>
          <w:u w:val="single"/>
          <w:lang w:val="en-GB"/>
        </w:rPr>
      </w:pPr>
      <w:r w:rsidRPr="002F496E">
        <w:rPr>
          <w:lang w:val="en-GB"/>
        </w:rPr>
        <w:t>[14]</w:t>
      </w:r>
      <w:r w:rsidRPr="002F496E">
        <w:rPr>
          <w:lang w:val="en-GB"/>
        </w:rPr>
        <w:tab/>
      </w:r>
      <w:r w:rsidR="00522B74" w:rsidRPr="002F496E">
        <w:rPr>
          <w:lang w:val="en-GB"/>
        </w:rPr>
        <w:t>Under cross-examination, P</w:t>
      </w:r>
      <w:r w:rsidR="00DF4249" w:rsidRPr="002F496E">
        <w:rPr>
          <w:lang w:val="en-GB"/>
        </w:rPr>
        <w:t>laintiff testified that</w:t>
      </w:r>
      <w:r w:rsidR="00AD3F0F" w:rsidRPr="002F496E">
        <w:rPr>
          <w:lang w:val="en-GB"/>
        </w:rPr>
        <w:t xml:space="preserve"> at the time </w:t>
      </w:r>
      <w:r w:rsidR="00095598" w:rsidRPr="002F496E">
        <w:rPr>
          <w:lang w:val="en-GB"/>
        </w:rPr>
        <w:t xml:space="preserve">of his </w:t>
      </w:r>
      <w:r w:rsidR="00AD3F0F" w:rsidRPr="002F496E">
        <w:rPr>
          <w:lang w:val="en-GB"/>
        </w:rPr>
        <w:t>arrest</w:t>
      </w:r>
      <w:r w:rsidR="00482E74" w:rsidRPr="002F496E">
        <w:rPr>
          <w:lang w:val="en-GB"/>
        </w:rPr>
        <w:t>,</w:t>
      </w:r>
      <w:r w:rsidR="00095598" w:rsidRPr="002F496E">
        <w:rPr>
          <w:lang w:val="en-GB"/>
        </w:rPr>
        <w:t xml:space="preserve"> </w:t>
      </w:r>
      <w:r w:rsidR="00B46147" w:rsidRPr="002F496E">
        <w:rPr>
          <w:lang w:val="en-GB"/>
        </w:rPr>
        <w:t>he became</w:t>
      </w:r>
      <w:r w:rsidR="00095598" w:rsidRPr="002F496E">
        <w:rPr>
          <w:lang w:val="en-GB"/>
        </w:rPr>
        <w:t xml:space="preserve"> aware of</w:t>
      </w:r>
      <w:r w:rsidR="00DF4249" w:rsidRPr="002F496E">
        <w:rPr>
          <w:lang w:val="en-GB"/>
        </w:rPr>
        <w:t xml:space="preserve"> the accusations against him. </w:t>
      </w:r>
      <w:r w:rsidR="002317F1" w:rsidRPr="002F496E">
        <w:rPr>
          <w:lang w:val="en-GB"/>
        </w:rPr>
        <w:t>P</w:t>
      </w:r>
      <w:r w:rsidR="00494A5A" w:rsidRPr="002F496E">
        <w:rPr>
          <w:lang w:val="en-GB"/>
        </w:rPr>
        <w:t>oli</w:t>
      </w:r>
      <w:r w:rsidR="00DF4249" w:rsidRPr="002F496E">
        <w:rPr>
          <w:lang w:val="en-GB"/>
        </w:rPr>
        <w:t>ce informed him that he was accused of shooting Bridge</w:t>
      </w:r>
      <w:r w:rsidR="005E7954" w:rsidRPr="002F496E">
        <w:rPr>
          <w:lang w:val="en-GB"/>
        </w:rPr>
        <w:t xml:space="preserve">. </w:t>
      </w:r>
      <w:r w:rsidR="00DF4249" w:rsidRPr="002F496E">
        <w:rPr>
          <w:lang w:val="en-GB"/>
        </w:rPr>
        <w:t>When the complainant’s statement was made known to him during cross-examination, it was highlighted that the</w:t>
      </w:r>
      <w:r w:rsidR="005E7954" w:rsidRPr="002F496E">
        <w:rPr>
          <w:lang w:val="en-GB"/>
        </w:rPr>
        <w:t xml:space="preserve"> </w:t>
      </w:r>
      <w:r w:rsidR="00494A5A" w:rsidRPr="002F496E">
        <w:rPr>
          <w:lang w:val="en-GB"/>
        </w:rPr>
        <w:t>compla</w:t>
      </w:r>
      <w:r w:rsidR="005B09BA" w:rsidRPr="002F496E">
        <w:rPr>
          <w:lang w:val="en-GB"/>
        </w:rPr>
        <w:t>inant had named Terra Thembela</w:t>
      </w:r>
      <w:r w:rsidR="00494A5A" w:rsidRPr="002F496E">
        <w:rPr>
          <w:lang w:val="en-GB"/>
        </w:rPr>
        <w:t xml:space="preserve"> </w:t>
      </w:r>
      <w:r w:rsidR="00DF4249" w:rsidRPr="002F496E">
        <w:rPr>
          <w:lang w:val="en-GB"/>
        </w:rPr>
        <w:t>as his attacker.</w:t>
      </w:r>
      <w:r w:rsidR="00FA27CB" w:rsidRPr="002F496E">
        <w:rPr>
          <w:lang w:val="en-GB"/>
        </w:rPr>
        <w:t xml:space="preserve"> </w:t>
      </w:r>
      <w:r w:rsidR="00DF4249" w:rsidRPr="002F496E">
        <w:rPr>
          <w:lang w:val="en-GB"/>
        </w:rPr>
        <w:t xml:space="preserve"> </w:t>
      </w:r>
      <w:r w:rsidR="006D23D3" w:rsidRPr="002F496E">
        <w:rPr>
          <w:lang w:val="en-GB"/>
        </w:rPr>
        <w:t>P</w:t>
      </w:r>
      <w:r w:rsidR="00DF4249" w:rsidRPr="002F496E">
        <w:rPr>
          <w:lang w:val="en-GB"/>
        </w:rPr>
        <w:t>laintiff said he could not comment on that</w:t>
      </w:r>
      <w:r w:rsidR="00482E74" w:rsidRPr="002F496E">
        <w:rPr>
          <w:lang w:val="en-GB"/>
        </w:rPr>
        <w:t>;</w:t>
      </w:r>
      <w:r w:rsidR="00494A5A" w:rsidRPr="002F496E">
        <w:rPr>
          <w:lang w:val="en-GB"/>
        </w:rPr>
        <w:t xml:space="preserve"> however, at a later instance</w:t>
      </w:r>
      <w:r w:rsidR="00482E74" w:rsidRPr="002F496E">
        <w:rPr>
          <w:lang w:val="en-GB"/>
        </w:rPr>
        <w:t>,</w:t>
      </w:r>
      <w:r w:rsidR="00494A5A" w:rsidRPr="002F496E">
        <w:rPr>
          <w:lang w:val="en-GB"/>
        </w:rPr>
        <w:t xml:space="preserve"> he became aware that he was implicated </w:t>
      </w:r>
      <w:r w:rsidR="00482E74" w:rsidRPr="002F496E">
        <w:rPr>
          <w:lang w:val="en-GB"/>
        </w:rPr>
        <w:t xml:space="preserve">in </w:t>
      </w:r>
      <w:r w:rsidR="00494A5A" w:rsidRPr="002F496E">
        <w:rPr>
          <w:lang w:val="en-GB"/>
        </w:rPr>
        <w:t>the crime in question. He</w:t>
      </w:r>
      <w:r w:rsidR="00FA27CB" w:rsidRPr="002F496E">
        <w:rPr>
          <w:lang w:val="en-GB"/>
        </w:rPr>
        <w:t xml:space="preserve"> admitted</w:t>
      </w:r>
      <w:r w:rsidR="00DF4249" w:rsidRPr="002F496E">
        <w:rPr>
          <w:lang w:val="en-GB"/>
        </w:rPr>
        <w:t xml:space="preserve"> to knowing the complainant’s girlfriend as Zintle and was advised</w:t>
      </w:r>
      <w:r w:rsidR="00FA27CB" w:rsidRPr="002F496E">
        <w:rPr>
          <w:lang w:val="en-GB"/>
        </w:rPr>
        <w:t xml:space="preserve"> not to interfere with her</w:t>
      </w:r>
      <w:r w:rsidR="008A3FDB" w:rsidRPr="002F496E">
        <w:rPr>
          <w:lang w:val="en-GB"/>
        </w:rPr>
        <w:t xml:space="preserve"> upon his release on bail. Furthermore</w:t>
      </w:r>
      <w:r w:rsidR="006D23D3" w:rsidRPr="002F496E">
        <w:rPr>
          <w:lang w:val="en-GB"/>
        </w:rPr>
        <w:t>, under cross-examination, P</w:t>
      </w:r>
      <w:r w:rsidR="00494A5A" w:rsidRPr="002F496E">
        <w:rPr>
          <w:lang w:val="en-GB"/>
        </w:rPr>
        <w:t>laintiff</w:t>
      </w:r>
      <w:r w:rsidR="008A3FDB" w:rsidRPr="002F496E">
        <w:rPr>
          <w:lang w:val="en-GB"/>
        </w:rPr>
        <w:t xml:space="preserve"> stated that he was</w:t>
      </w:r>
      <w:r w:rsidR="005D429D" w:rsidRPr="002F496E">
        <w:rPr>
          <w:lang w:val="en-GB"/>
        </w:rPr>
        <w:t xml:space="preserve"> a well-known DJ in the area</w:t>
      </w:r>
      <w:r w:rsidR="00B05631" w:rsidRPr="002F496E">
        <w:rPr>
          <w:lang w:val="en-GB"/>
        </w:rPr>
        <w:t>, he works at the taxi rank and</w:t>
      </w:r>
      <w:r w:rsidR="005D429D" w:rsidRPr="002F496E">
        <w:rPr>
          <w:lang w:val="en-GB"/>
        </w:rPr>
        <w:t xml:space="preserve"> that the majority of people </w:t>
      </w:r>
      <w:r w:rsidR="00B05631" w:rsidRPr="002F496E">
        <w:rPr>
          <w:lang w:val="en-GB"/>
        </w:rPr>
        <w:t xml:space="preserve">are familiar with him. </w:t>
      </w:r>
      <w:r w:rsidR="008A3FDB" w:rsidRPr="002F496E">
        <w:rPr>
          <w:lang w:val="en-GB"/>
        </w:rPr>
        <w:t xml:space="preserve">Given this, he elaborated, it would be </w:t>
      </w:r>
      <w:r w:rsidR="005D429D" w:rsidRPr="002F496E">
        <w:rPr>
          <w:lang w:val="en-GB"/>
        </w:rPr>
        <w:t>highly unlikely</w:t>
      </w:r>
      <w:r w:rsidR="008A3FDB" w:rsidRPr="002F496E">
        <w:rPr>
          <w:lang w:val="en-GB"/>
        </w:rPr>
        <w:t xml:space="preserve"> for people to confuse his identity. </w:t>
      </w:r>
      <w:r w:rsidR="00FA27CB" w:rsidRPr="002F496E">
        <w:rPr>
          <w:lang w:val="en-GB"/>
        </w:rPr>
        <w:t xml:space="preserve"> With this evidence</w:t>
      </w:r>
      <w:r w:rsidR="00482E74" w:rsidRPr="002F496E">
        <w:rPr>
          <w:lang w:val="en-GB"/>
        </w:rPr>
        <w:t>,</w:t>
      </w:r>
      <w:r w:rsidR="00FA27CB" w:rsidRPr="002F496E">
        <w:rPr>
          <w:lang w:val="en-GB"/>
        </w:rPr>
        <w:t xml:space="preserve"> Plaintiff closed his case. </w:t>
      </w:r>
    </w:p>
    <w:p w14:paraId="308C552B" w14:textId="77777777" w:rsidR="00FA27CB" w:rsidRPr="002F496E" w:rsidRDefault="00FA27CB" w:rsidP="001B3810">
      <w:pPr>
        <w:pStyle w:val="ListParagraph"/>
        <w:jc w:val="both"/>
        <w:rPr>
          <w:i/>
          <w:u w:val="single"/>
          <w:lang w:val="en-GB"/>
        </w:rPr>
      </w:pPr>
    </w:p>
    <w:p w14:paraId="12AC24AC" w14:textId="77777777" w:rsidR="00FA27CB" w:rsidRPr="001B3810" w:rsidRDefault="00FA27CB" w:rsidP="001B3810">
      <w:pPr>
        <w:tabs>
          <w:tab w:val="left" w:pos="851"/>
        </w:tabs>
        <w:jc w:val="both"/>
        <w:rPr>
          <w:b/>
          <w:bCs/>
          <w:lang w:val="en-GB"/>
        </w:rPr>
      </w:pPr>
      <w:r w:rsidRPr="001B3810">
        <w:rPr>
          <w:b/>
          <w:bCs/>
          <w:lang w:val="en-GB"/>
        </w:rPr>
        <w:lastRenderedPageBreak/>
        <w:t>The Issues</w:t>
      </w:r>
    </w:p>
    <w:p w14:paraId="710789FC" w14:textId="77777777" w:rsidR="00FA27CB" w:rsidRPr="002F496E" w:rsidRDefault="00FA27CB" w:rsidP="00C12FD8">
      <w:pPr>
        <w:pStyle w:val="ListParagraph"/>
        <w:tabs>
          <w:tab w:val="left" w:pos="851"/>
        </w:tabs>
        <w:jc w:val="both"/>
        <w:rPr>
          <w:lang w:val="en-GB"/>
        </w:rPr>
      </w:pPr>
    </w:p>
    <w:p w14:paraId="49458EE5" w14:textId="346C8C28" w:rsidR="000C091F" w:rsidRPr="002F496E" w:rsidRDefault="00317D3C" w:rsidP="001B3810">
      <w:pPr>
        <w:tabs>
          <w:tab w:val="left" w:pos="851"/>
        </w:tabs>
        <w:jc w:val="both"/>
        <w:rPr>
          <w:lang w:val="en-GB"/>
        </w:rPr>
      </w:pPr>
      <w:r w:rsidRPr="002F496E">
        <w:rPr>
          <w:lang w:val="en-GB"/>
        </w:rPr>
        <w:t>[15]</w:t>
      </w:r>
      <w:r w:rsidRPr="002F496E">
        <w:rPr>
          <w:lang w:val="en-GB"/>
        </w:rPr>
        <w:tab/>
      </w:r>
      <w:r w:rsidR="00200101" w:rsidRPr="002F496E">
        <w:rPr>
          <w:lang w:val="en-GB"/>
        </w:rPr>
        <w:t>The</w:t>
      </w:r>
      <w:r w:rsidR="00787163">
        <w:rPr>
          <w:lang w:val="en-GB"/>
        </w:rPr>
        <w:t xml:space="preserve"> issue for </w:t>
      </w:r>
      <w:r w:rsidR="00200101" w:rsidRPr="002F496E">
        <w:rPr>
          <w:lang w:val="en-GB"/>
        </w:rPr>
        <w:t>determination is</w:t>
      </w:r>
      <w:r w:rsidR="000C091F" w:rsidRPr="002F496E">
        <w:rPr>
          <w:lang w:val="en-GB"/>
        </w:rPr>
        <w:t xml:space="preserve"> </w:t>
      </w:r>
      <w:r w:rsidR="00DF7584" w:rsidRPr="002F496E">
        <w:rPr>
          <w:lang w:val="en-GB"/>
        </w:rPr>
        <w:t xml:space="preserve">whether </w:t>
      </w:r>
      <w:r w:rsidR="006D23D3" w:rsidRPr="002F496E">
        <w:rPr>
          <w:lang w:val="en-GB"/>
        </w:rPr>
        <w:t>P</w:t>
      </w:r>
      <w:r w:rsidR="000C091F" w:rsidRPr="002F496E">
        <w:rPr>
          <w:lang w:val="en-GB"/>
        </w:rPr>
        <w:t>laintiff’s arrest and his subsequent</w:t>
      </w:r>
      <w:r w:rsidR="00132F0B" w:rsidRPr="002F496E">
        <w:rPr>
          <w:lang w:val="en-GB"/>
        </w:rPr>
        <w:t xml:space="preserve"> detention were lawful. T</w:t>
      </w:r>
      <w:r w:rsidR="005D429D" w:rsidRPr="002F496E">
        <w:rPr>
          <w:lang w:val="en-GB"/>
        </w:rPr>
        <w:t>his will be analysed</w:t>
      </w:r>
      <w:r w:rsidR="00230C24" w:rsidRPr="002F496E">
        <w:rPr>
          <w:lang w:val="en-GB"/>
        </w:rPr>
        <w:t xml:space="preserve"> </w:t>
      </w:r>
      <w:r w:rsidR="00DE00F0" w:rsidRPr="002F496E">
        <w:rPr>
          <w:lang w:val="en-GB"/>
        </w:rPr>
        <w:t>through legal principles a</w:t>
      </w:r>
      <w:r w:rsidR="00132F0B" w:rsidRPr="002F496E">
        <w:rPr>
          <w:lang w:val="en-GB"/>
        </w:rPr>
        <w:t>nd</w:t>
      </w:r>
      <w:r w:rsidR="00A86FF7">
        <w:rPr>
          <w:lang w:val="en-GB"/>
        </w:rPr>
        <w:t xml:space="preserve"> in</w:t>
      </w:r>
      <w:r w:rsidR="00132F0B" w:rsidRPr="002F496E">
        <w:rPr>
          <w:lang w:val="en-GB"/>
        </w:rPr>
        <w:t xml:space="preserve"> </w:t>
      </w:r>
      <w:r w:rsidR="00200101" w:rsidRPr="002F496E">
        <w:rPr>
          <w:lang w:val="en-GB"/>
        </w:rPr>
        <w:t>a discussion</w:t>
      </w:r>
      <w:r w:rsidR="00DE00F0" w:rsidRPr="002F496E">
        <w:rPr>
          <w:lang w:val="en-GB"/>
        </w:rPr>
        <w:t xml:space="preserve"> that</w:t>
      </w:r>
      <w:r w:rsidR="00B13AFE" w:rsidRPr="002F496E">
        <w:rPr>
          <w:lang w:val="en-GB"/>
        </w:rPr>
        <w:t xml:space="preserve"> will be presented below</w:t>
      </w:r>
      <w:r w:rsidR="00230C24" w:rsidRPr="002F496E">
        <w:rPr>
          <w:lang w:val="en-GB"/>
        </w:rPr>
        <w:t>.</w:t>
      </w:r>
    </w:p>
    <w:p w14:paraId="0C87B4E5" w14:textId="77777777" w:rsidR="000C091F" w:rsidRPr="002F496E" w:rsidRDefault="000C091F" w:rsidP="00C12FD8">
      <w:pPr>
        <w:pStyle w:val="ListParagraph"/>
        <w:tabs>
          <w:tab w:val="left" w:pos="851"/>
        </w:tabs>
        <w:jc w:val="both"/>
        <w:rPr>
          <w:lang w:val="en-GB"/>
        </w:rPr>
      </w:pPr>
    </w:p>
    <w:p w14:paraId="4D337687" w14:textId="46573B21" w:rsidR="000C091F" w:rsidRPr="001B3810" w:rsidRDefault="000C091F" w:rsidP="001B3810">
      <w:pPr>
        <w:tabs>
          <w:tab w:val="left" w:pos="851"/>
        </w:tabs>
        <w:jc w:val="both"/>
        <w:rPr>
          <w:b/>
          <w:bCs/>
          <w:lang w:val="en-GB"/>
        </w:rPr>
      </w:pPr>
      <w:r w:rsidRPr="001B3810">
        <w:rPr>
          <w:b/>
          <w:bCs/>
          <w:lang w:val="en-GB"/>
        </w:rPr>
        <w:t xml:space="preserve">Applicable </w:t>
      </w:r>
      <w:r w:rsidR="00482E74" w:rsidRPr="001B3810">
        <w:rPr>
          <w:b/>
          <w:bCs/>
          <w:lang w:val="en-GB"/>
        </w:rPr>
        <w:t xml:space="preserve">Law </w:t>
      </w:r>
      <w:r w:rsidRPr="001B3810">
        <w:rPr>
          <w:b/>
          <w:bCs/>
          <w:lang w:val="en-GB"/>
        </w:rPr>
        <w:t>and Evaluation</w:t>
      </w:r>
    </w:p>
    <w:p w14:paraId="4A5701DE" w14:textId="77777777" w:rsidR="000C091F" w:rsidRPr="002F496E" w:rsidRDefault="000C091F" w:rsidP="00C12FD8">
      <w:pPr>
        <w:pStyle w:val="ListParagraph"/>
        <w:tabs>
          <w:tab w:val="left" w:pos="851"/>
        </w:tabs>
        <w:jc w:val="both"/>
        <w:rPr>
          <w:i/>
          <w:lang w:val="en-GB"/>
        </w:rPr>
      </w:pPr>
    </w:p>
    <w:p w14:paraId="06EF7FE9" w14:textId="1B844578" w:rsidR="006B3925" w:rsidRPr="002F496E" w:rsidRDefault="00317D3C" w:rsidP="001B3810">
      <w:pPr>
        <w:pStyle w:val="FootnoteText"/>
        <w:jc w:val="both"/>
        <w:rPr>
          <w:sz w:val="24"/>
          <w:szCs w:val="24"/>
        </w:rPr>
      </w:pPr>
      <w:r w:rsidRPr="002F496E">
        <w:rPr>
          <w:sz w:val="24"/>
          <w:szCs w:val="24"/>
          <w:lang w:val="en-GB"/>
        </w:rPr>
        <w:t>[16]</w:t>
      </w:r>
      <w:r w:rsidRPr="002F496E">
        <w:rPr>
          <w:sz w:val="24"/>
          <w:szCs w:val="24"/>
          <w:lang w:val="en-GB"/>
        </w:rPr>
        <w:tab/>
      </w:r>
      <w:r w:rsidR="00230C24" w:rsidRPr="002F496E">
        <w:rPr>
          <w:sz w:val="24"/>
          <w:szCs w:val="24"/>
          <w:lang w:val="en-GB"/>
        </w:rPr>
        <w:t>I proceed to deal with the lawfulness of</w:t>
      </w:r>
      <w:r w:rsidR="00B13AFE" w:rsidRPr="002F496E">
        <w:rPr>
          <w:sz w:val="24"/>
          <w:szCs w:val="24"/>
          <w:lang w:val="en-GB"/>
        </w:rPr>
        <w:t xml:space="preserve"> the</w:t>
      </w:r>
      <w:r w:rsidR="00230C24" w:rsidRPr="002F496E">
        <w:rPr>
          <w:sz w:val="24"/>
          <w:szCs w:val="24"/>
          <w:lang w:val="en-GB"/>
        </w:rPr>
        <w:t xml:space="preserve"> arrest.</w:t>
      </w:r>
      <w:r w:rsidR="006B3925" w:rsidRPr="002F496E">
        <w:rPr>
          <w:rStyle w:val="FootnoteReference"/>
        </w:rPr>
        <w:t xml:space="preserve"> </w:t>
      </w:r>
      <w:r w:rsidR="006B3925" w:rsidRPr="002F496E">
        <w:rPr>
          <w:rStyle w:val="FootnoteReference"/>
          <w:sz w:val="24"/>
          <w:szCs w:val="24"/>
        </w:rPr>
        <w:footnoteRef/>
      </w:r>
      <w:r w:rsidR="006B3925" w:rsidRPr="002F496E">
        <w:rPr>
          <w:sz w:val="24"/>
          <w:szCs w:val="24"/>
        </w:rPr>
        <w:t xml:space="preserve"> In </w:t>
      </w:r>
      <w:r w:rsidR="006B3925" w:rsidRPr="001B3810">
        <w:rPr>
          <w:i/>
          <w:iCs/>
          <w:sz w:val="24"/>
          <w:szCs w:val="24"/>
        </w:rPr>
        <w:t xml:space="preserve">Minister of Law and Order and </w:t>
      </w:r>
      <w:r w:rsidR="00B46147" w:rsidRPr="002F496E">
        <w:rPr>
          <w:i/>
          <w:iCs/>
          <w:sz w:val="24"/>
          <w:szCs w:val="24"/>
        </w:rPr>
        <w:t>Others</w:t>
      </w:r>
      <w:r w:rsidR="00B46147" w:rsidRPr="001B3810">
        <w:rPr>
          <w:i/>
          <w:iCs/>
          <w:sz w:val="24"/>
          <w:szCs w:val="24"/>
        </w:rPr>
        <w:t xml:space="preserve"> </w:t>
      </w:r>
      <w:r w:rsidR="006B3925" w:rsidRPr="001B3810">
        <w:rPr>
          <w:i/>
          <w:iCs/>
          <w:sz w:val="24"/>
          <w:szCs w:val="24"/>
        </w:rPr>
        <w:t>v Hurley and Another</w:t>
      </w:r>
      <w:r w:rsidR="006B3925" w:rsidRPr="002F496E">
        <w:rPr>
          <w:rStyle w:val="FootnoteReference"/>
          <w:sz w:val="24"/>
          <w:szCs w:val="24"/>
          <w:u w:val="single"/>
        </w:rPr>
        <w:footnoteReference w:id="1"/>
      </w:r>
      <w:r w:rsidR="006B3925" w:rsidRPr="002F496E">
        <w:rPr>
          <w:sz w:val="24"/>
          <w:szCs w:val="24"/>
        </w:rPr>
        <w:t>, it was said,</w:t>
      </w:r>
    </w:p>
    <w:p w14:paraId="2D0AD474" w14:textId="77777777" w:rsidR="006B3925" w:rsidRPr="002F496E" w:rsidRDefault="006B3925" w:rsidP="001B3810">
      <w:pPr>
        <w:pStyle w:val="FootnoteText"/>
        <w:ind w:left="720"/>
        <w:jc w:val="both"/>
        <w:rPr>
          <w:sz w:val="24"/>
          <w:szCs w:val="24"/>
        </w:rPr>
      </w:pPr>
    </w:p>
    <w:p w14:paraId="13853292" w14:textId="6EC87E88" w:rsidR="006B3925" w:rsidRPr="001B3810" w:rsidRDefault="003622A9" w:rsidP="001B3810">
      <w:pPr>
        <w:pStyle w:val="FootnoteText"/>
        <w:ind w:left="720"/>
        <w:jc w:val="both"/>
      </w:pPr>
      <w:r w:rsidRPr="002F496E">
        <w:t>“</w:t>
      </w:r>
      <w:r w:rsidR="006B3925" w:rsidRPr="001B3810">
        <w:t>An arrest constitutes an interference with the liberty of the individual concerned, and it</w:t>
      </w:r>
      <w:r w:rsidR="00482E74" w:rsidRPr="001B3810">
        <w:t>, therefore,</w:t>
      </w:r>
      <w:r w:rsidR="006B3925" w:rsidRPr="001B3810">
        <w:t xml:space="preserve"> seems fair and just to require that the person who arrested or caused the arrest of another person should bear the onus of proving that his action was justified in law</w:t>
      </w:r>
      <w:r w:rsidRPr="002F496E">
        <w:t>”</w:t>
      </w:r>
    </w:p>
    <w:p w14:paraId="77F1C900" w14:textId="77777777" w:rsidR="006B3925" w:rsidRPr="002F496E" w:rsidRDefault="006B3925" w:rsidP="001B3810">
      <w:pPr>
        <w:pStyle w:val="FootnoteText"/>
        <w:ind w:left="720"/>
        <w:jc w:val="both"/>
        <w:rPr>
          <w:sz w:val="24"/>
          <w:szCs w:val="24"/>
        </w:rPr>
      </w:pPr>
    </w:p>
    <w:p w14:paraId="11B90D86" w14:textId="1CAB182D" w:rsidR="00230C24" w:rsidRPr="002F496E" w:rsidRDefault="001553EA" w:rsidP="001B3810">
      <w:pPr>
        <w:tabs>
          <w:tab w:val="left" w:pos="851"/>
        </w:tabs>
        <w:jc w:val="both"/>
        <w:rPr>
          <w:lang w:val="en-GB"/>
        </w:rPr>
      </w:pPr>
      <w:r w:rsidRPr="002F496E">
        <w:rPr>
          <w:lang w:val="en-GB"/>
        </w:rPr>
        <w:t>[17]</w:t>
      </w:r>
      <w:r w:rsidRPr="002F496E">
        <w:rPr>
          <w:lang w:val="en-GB"/>
        </w:rPr>
        <w:tab/>
      </w:r>
      <w:r w:rsidR="00230C24" w:rsidRPr="002F496E">
        <w:rPr>
          <w:lang w:val="en-GB"/>
        </w:rPr>
        <w:t>Section 40(1) (b) of the Criminal Procedure Act</w:t>
      </w:r>
      <w:r w:rsidR="00230C24" w:rsidRPr="002F496E">
        <w:rPr>
          <w:rStyle w:val="FootnoteReference"/>
          <w:lang w:val="en-GB"/>
        </w:rPr>
        <w:footnoteReference w:id="2"/>
      </w:r>
      <w:r w:rsidR="00230C24" w:rsidRPr="002F496E">
        <w:rPr>
          <w:lang w:val="en-GB"/>
        </w:rPr>
        <w:t xml:space="preserve"> provides that –</w:t>
      </w:r>
    </w:p>
    <w:p w14:paraId="03487F5C" w14:textId="77777777" w:rsidR="00230C24" w:rsidRPr="002F496E" w:rsidRDefault="00230C24" w:rsidP="00C12FD8">
      <w:pPr>
        <w:pStyle w:val="ListParagraph"/>
        <w:tabs>
          <w:tab w:val="left" w:pos="851"/>
        </w:tabs>
        <w:jc w:val="both"/>
        <w:rPr>
          <w:lang w:val="en-GB"/>
        </w:rPr>
      </w:pPr>
    </w:p>
    <w:p w14:paraId="0F4AB04F" w14:textId="6ACB380F" w:rsidR="00FA27CB" w:rsidRPr="001B3810" w:rsidRDefault="00230C24" w:rsidP="001B3810">
      <w:pPr>
        <w:tabs>
          <w:tab w:val="left" w:pos="851"/>
        </w:tabs>
        <w:ind w:left="851"/>
        <w:jc w:val="both"/>
        <w:rPr>
          <w:sz w:val="20"/>
          <w:szCs w:val="20"/>
          <w:lang w:val="en-GB"/>
        </w:rPr>
      </w:pPr>
      <w:r w:rsidRPr="001B3810">
        <w:rPr>
          <w:sz w:val="20"/>
          <w:szCs w:val="20"/>
          <w:lang w:val="en-GB"/>
        </w:rPr>
        <w:t>‘’a peace officer may without a warrant arrest any person whom he reasonably suspects of having committed an offence referred to in Schedule 1</w:t>
      </w:r>
      <w:r w:rsidR="00482E74" w:rsidRPr="001B3810">
        <w:rPr>
          <w:sz w:val="20"/>
          <w:szCs w:val="20"/>
          <w:lang w:val="en-GB"/>
        </w:rPr>
        <w:t>.</w:t>
      </w:r>
      <w:r w:rsidRPr="001B3810">
        <w:rPr>
          <w:sz w:val="20"/>
          <w:szCs w:val="20"/>
          <w:lang w:val="en-GB"/>
        </w:rPr>
        <w:t xml:space="preserve">’’ </w:t>
      </w:r>
    </w:p>
    <w:p w14:paraId="22DEE388" w14:textId="77777777" w:rsidR="00482E74" w:rsidRPr="001B3810" w:rsidRDefault="00482E74" w:rsidP="00C12FD8">
      <w:pPr>
        <w:pStyle w:val="ListParagraph"/>
        <w:tabs>
          <w:tab w:val="left" w:pos="851"/>
        </w:tabs>
        <w:jc w:val="both"/>
        <w:rPr>
          <w:sz w:val="20"/>
          <w:szCs w:val="20"/>
          <w:lang w:val="en-GB"/>
        </w:rPr>
      </w:pPr>
    </w:p>
    <w:p w14:paraId="3F5A8FE8" w14:textId="58E8C1C4" w:rsidR="0057345C" w:rsidRPr="002F496E" w:rsidRDefault="001553EA" w:rsidP="001B3810">
      <w:pPr>
        <w:jc w:val="both"/>
      </w:pPr>
      <w:r w:rsidRPr="002F496E">
        <w:t>[18]</w:t>
      </w:r>
      <w:r w:rsidRPr="002F496E">
        <w:tab/>
      </w:r>
      <w:r w:rsidR="0057345C" w:rsidRPr="002F496E">
        <w:t xml:space="preserve">In </w:t>
      </w:r>
      <w:r w:rsidR="0057345C" w:rsidRPr="001B3810">
        <w:rPr>
          <w:i/>
          <w:iCs/>
        </w:rPr>
        <w:t xml:space="preserve">Duncan v Minister of Law and </w:t>
      </w:r>
      <w:r w:rsidR="00B46147" w:rsidRPr="001B3810">
        <w:rPr>
          <w:i/>
          <w:iCs/>
        </w:rPr>
        <w:t>Order</w:t>
      </w:r>
      <w:r w:rsidR="0057345C" w:rsidRPr="002F496E">
        <w:rPr>
          <w:rStyle w:val="FootnoteReference"/>
        </w:rPr>
        <w:footnoteReference w:id="3"/>
      </w:r>
      <w:r w:rsidR="0057345C" w:rsidRPr="002F496E">
        <w:t xml:space="preserve">, it was held there are </w:t>
      </w:r>
      <w:r w:rsidR="00B46147" w:rsidRPr="002F496E">
        <w:t>so-called</w:t>
      </w:r>
      <w:r w:rsidR="0057345C" w:rsidRPr="002F496E">
        <w:t xml:space="preserve"> jurisdictional facts which must exist before the power conferred by section 40(1) (b) of the Criminal Procedure Act, and these are:</w:t>
      </w:r>
    </w:p>
    <w:p w14:paraId="104F9385" w14:textId="77777777" w:rsidR="0057345C" w:rsidRPr="002F496E" w:rsidRDefault="0057345C" w:rsidP="00C12FD8">
      <w:pPr>
        <w:pStyle w:val="ListParagraph"/>
        <w:ind w:left="0"/>
        <w:jc w:val="both"/>
      </w:pPr>
    </w:p>
    <w:p w14:paraId="34CA3726" w14:textId="2A7849A5" w:rsidR="001553EA" w:rsidRDefault="0057345C" w:rsidP="001B3810">
      <w:pPr>
        <w:pStyle w:val="ListParagraph"/>
        <w:numPr>
          <w:ilvl w:val="0"/>
          <w:numId w:val="9"/>
        </w:numPr>
        <w:jc w:val="both"/>
      </w:pPr>
      <w:r w:rsidRPr="002F496E">
        <w:t>the arrestor must be a peace officer</w:t>
      </w:r>
      <w:r w:rsidR="005D429D" w:rsidRPr="002F496E">
        <w:t>;</w:t>
      </w:r>
    </w:p>
    <w:p w14:paraId="74CBB0FD" w14:textId="32B3F7EA" w:rsidR="001553EA" w:rsidRPr="002F496E" w:rsidRDefault="0057345C" w:rsidP="001B3810">
      <w:pPr>
        <w:pStyle w:val="ListParagraph"/>
        <w:numPr>
          <w:ilvl w:val="0"/>
          <w:numId w:val="9"/>
        </w:numPr>
        <w:jc w:val="both"/>
      </w:pPr>
      <w:r w:rsidRPr="002F496E">
        <w:t>he must entertain a suspicion</w:t>
      </w:r>
      <w:r w:rsidR="005D429D" w:rsidRPr="002F496E">
        <w:t>;</w:t>
      </w:r>
    </w:p>
    <w:p w14:paraId="70566B90" w14:textId="265E76E7" w:rsidR="001553EA" w:rsidRPr="002F496E" w:rsidRDefault="0057345C" w:rsidP="001B3810">
      <w:pPr>
        <w:pStyle w:val="ListParagraph"/>
        <w:numPr>
          <w:ilvl w:val="0"/>
          <w:numId w:val="9"/>
        </w:numPr>
        <w:jc w:val="both"/>
      </w:pPr>
      <w:r w:rsidRPr="002F496E">
        <w:t>it must be a suspicion that the arrestee committed an offence referred to in Schedule 1 to the</w:t>
      </w:r>
      <w:r w:rsidR="00EA2998">
        <w:t xml:space="preserve"> Criminal Procedure</w:t>
      </w:r>
      <w:r w:rsidRPr="002F496E">
        <w:t xml:space="preserve"> </w:t>
      </w:r>
      <w:r w:rsidR="00787163">
        <w:t>A</w:t>
      </w:r>
      <w:r w:rsidR="00B002D7">
        <w:t>ct</w:t>
      </w:r>
      <w:r w:rsidR="00787163" w:rsidRPr="00B002D7">
        <w:rPr>
          <w:color w:val="FF0000"/>
        </w:rPr>
        <w:t xml:space="preserve"> </w:t>
      </w:r>
      <w:r w:rsidRPr="002F496E">
        <w:t>(other than one particular offence</w:t>
      </w:r>
      <w:r w:rsidR="001553EA" w:rsidRPr="002F496E">
        <w:t>);</w:t>
      </w:r>
      <w:r w:rsidR="00B46147" w:rsidRPr="002F496E">
        <w:t xml:space="preserve"> </w:t>
      </w:r>
      <w:r w:rsidR="005D429D" w:rsidRPr="002F496E">
        <w:t xml:space="preserve">and </w:t>
      </w:r>
    </w:p>
    <w:p w14:paraId="64282DD0" w14:textId="299CACD2" w:rsidR="0057345C" w:rsidRPr="002F496E" w:rsidRDefault="0057345C" w:rsidP="001B3810">
      <w:pPr>
        <w:pStyle w:val="ListParagraph"/>
        <w:numPr>
          <w:ilvl w:val="0"/>
          <w:numId w:val="9"/>
        </w:numPr>
        <w:jc w:val="both"/>
      </w:pPr>
      <w:r w:rsidRPr="002F496E">
        <w:t xml:space="preserve">that suspicion must rest on reasonable </w:t>
      </w:r>
      <w:r w:rsidR="001553EA" w:rsidRPr="002F496E">
        <w:t>grounds.</w:t>
      </w:r>
    </w:p>
    <w:p w14:paraId="74726FB5" w14:textId="77777777" w:rsidR="00200101" w:rsidRPr="002F496E" w:rsidRDefault="00200101" w:rsidP="00C12FD8">
      <w:pPr>
        <w:pStyle w:val="ListParagraph"/>
        <w:ind w:left="1701"/>
        <w:jc w:val="both"/>
      </w:pPr>
    </w:p>
    <w:p w14:paraId="735FB3C4" w14:textId="35089DD6" w:rsidR="001553EA" w:rsidRPr="001B3810" w:rsidRDefault="001553EA" w:rsidP="001B3810">
      <w:pPr>
        <w:jc w:val="both"/>
        <w:rPr>
          <w:color w:val="111111"/>
        </w:rPr>
      </w:pPr>
      <w:r w:rsidRPr="002F496E">
        <w:lastRenderedPageBreak/>
        <w:t>[19]</w:t>
      </w:r>
      <w:r w:rsidRPr="002F496E">
        <w:tab/>
      </w:r>
      <w:r w:rsidR="0057345C" w:rsidRPr="002F496E">
        <w:t xml:space="preserve">The ruling in </w:t>
      </w:r>
      <w:proofErr w:type="spellStart"/>
      <w:r w:rsidR="0057345C" w:rsidRPr="001B3810">
        <w:rPr>
          <w:i/>
          <w:iCs/>
        </w:rPr>
        <w:t>Mabona</w:t>
      </w:r>
      <w:proofErr w:type="spellEnd"/>
      <w:r w:rsidR="0057345C" w:rsidRPr="002F496E">
        <w:rPr>
          <w:rStyle w:val="FootnoteReference"/>
        </w:rPr>
        <w:footnoteReference w:id="4"/>
      </w:r>
      <w:r w:rsidR="0057345C" w:rsidRPr="002F496E">
        <w:t xml:space="preserve"> demonstrates how a reasonable suspicion is formed. </w:t>
      </w:r>
      <w:r w:rsidR="0057345C" w:rsidRPr="001B3810">
        <w:rPr>
          <w:color w:val="111111"/>
        </w:rPr>
        <w:t xml:space="preserve">Jones J explained what the concept of reasonable suspicion entailed. First, he held, the test is an objective one involving an enquiry into whether a reasonable person in the arrestor’s position and having the same information would have considered that there were ‘good and sufficient </w:t>
      </w:r>
      <w:r w:rsidR="00B46147" w:rsidRPr="001B3810">
        <w:rPr>
          <w:color w:val="111111"/>
        </w:rPr>
        <w:t xml:space="preserve">grounds </w:t>
      </w:r>
      <w:r w:rsidR="0057345C" w:rsidRPr="001B3810">
        <w:rPr>
          <w:color w:val="111111"/>
        </w:rPr>
        <w:t>for suspecting that the arrestee had committed a Schedule 1 offence. Secondly, the arrestor is required to analyse and assess the quality of the information critically and not accept it without checking it where it can be checked. Thirdly, while the section requires ‘suspicion but not certainty’, that suspicion must be based ‘upon solid grounds’ because if it is not, it is ‘flighty or arbitrary, and not a reasonable suspicion’.</w:t>
      </w:r>
      <w:r w:rsidR="001D3044" w:rsidRPr="001B3810">
        <w:rPr>
          <w:color w:val="111111"/>
        </w:rPr>
        <w:t xml:space="preserve">   </w:t>
      </w:r>
    </w:p>
    <w:p w14:paraId="5762D2E7" w14:textId="77777777" w:rsidR="001553EA" w:rsidRPr="002F496E" w:rsidRDefault="001553EA" w:rsidP="00C12FD8">
      <w:pPr>
        <w:pStyle w:val="ListParagraph"/>
        <w:jc w:val="both"/>
        <w:rPr>
          <w:color w:val="111111"/>
        </w:rPr>
      </w:pPr>
    </w:p>
    <w:p w14:paraId="12EDCA53" w14:textId="269BF15C" w:rsidR="0009548F" w:rsidRPr="001B3810" w:rsidRDefault="001553EA" w:rsidP="001B3810">
      <w:pPr>
        <w:jc w:val="both"/>
        <w:rPr>
          <w:color w:val="111111"/>
        </w:rPr>
      </w:pPr>
      <w:r w:rsidRPr="002F496E">
        <w:rPr>
          <w:color w:val="111111"/>
        </w:rPr>
        <w:t>[20]</w:t>
      </w:r>
      <w:r w:rsidRPr="002F496E">
        <w:rPr>
          <w:color w:val="111111"/>
        </w:rPr>
        <w:tab/>
      </w:r>
      <w:r w:rsidR="00FF1E42" w:rsidRPr="001B3810">
        <w:rPr>
          <w:color w:val="111111"/>
        </w:rPr>
        <w:t xml:space="preserve">In </w:t>
      </w:r>
      <w:proofErr w:type="spellStart"/>
      <w:r w:rsidR="00FF1E42" w:rsidRPr="001B3810">
        <w:rPr>
          <w:i/>
          <w:iCs/>
          <w:color w:val="111111"/>
        </w:rPr>
        <w:t>Biyela</w:t>
      </w:r>
      <w:proofErr w:type="spellEnd"/>
      <w:r w:rsidR="00FF1E42" w:rsidRPr="001B3810">
        <w:rPr>
          <w:i/>
          <w:iCs/>
          <w:color w:val="111111"/>
        </w:rPr>
        <w:t xml:space="preserve"> v Minister of Police,</w:t>
      </w:r>
      <w:r w:rsidR="001D3044" w:rsidRPr="001B3810">
        <w:rPr>
          <w:rStyle w:val="FootnoteReference"/>
          <w:i/>
          <w:iCs/>
          <w:color w:val="111111"/>
        </w:rPr>
        <w:footnoteReference w:id="5"/>
      </w:r>
      <w:r w:rsidR="00FF1E42" w:rsidRPr="008749F7">
        <w:rPr>
          <w:color w:val="111111"/>
        </w:rPr>
        <w:t xml:space="preserve"> </w:t>
      </w:r>
      <w:r w:rsidR="00FF1E42" w:rsidRPr="001B3810">
        <w:rPr>
          <w:color w:val="111111"/>
        </w:rPr>
        <w:t xml:space="preserve">the court affirmed that the test </w:t>
      </w:r>
      <w:r w:rsidR="00482E74" w:rsidRPr="001B3810">
        <w:rPr>
          <w:color w:val="111111"/>
        </w:rPr>
        <w:t xml:space="preserve">of </w:t>
      </w:r>
      <w:r w:rsidR="00FF1E42" w:rsidRPr="001B3810">
        <w:rPr>
          <w:color w:val="111111"/>
        </w:rPr>
        <w:t>whether a suspicion is reasonable is objective</w:t>
      </w:r>
      <w:r w:rsidR="009269DC" w:rsidRPr="001B3810">
        <w:rPr>
          <w:color w:val="111111"/>
        </w:rPr>
        <w:t>ly</w:t>
      </w:r>
      <w:r w:rsidR="00FF1E42" w:rsidRPr="001B3810">
        <w:rPr>
          <w:color w:val="111111"/>
        </w:rPr>
        <w:t xml:space="preserve"> justiciable. </w:t>
      </w:r>
      <w:r w:rsidR="0009548F" w:rsidRPr="001B3810">
        <w:rPr>
          <w:color w:val="111111"/>
        </w:rPr>
        <w:t>Musi AJA said,</w:t>
      </w:r>
    </w:p>
    <w:p w14:paraId="477791EB" w14:textId="77777777" w:rsidR="0009548F" w:rsidRPr="002F496E" w:rsidRDefault="0009548F" w:rsidP="001B3810">
      <w:pPr>
        <w:pStyle w:val="ListParagraph"/>
        <w:jc w:val="both"/>
        <w:rPr>
          <w:color w:val="111111"/>
        </w:rPr>
      </w:pPr>
    </w:p>
    <w:p w14:paraId="5125ADF3" w14:textId="24AB7B6A" w:rsidR="006B3925" w:rsidRPr="001B3810" w:rsidRDefault="001553EA" w:rsidP="00C12FD8">
      <w:pPr>
        <w:pStyle w:val="ListParagraph"/>
        <w:jc w:val="both"/>
        <w:rPr>
          <w:color w:val="111111"/>
          <w:sz w:val="20"/>
          <w:szCs w:val="20"/>
        </w:rPr>
      </w:pPr>
      <w:r w:rsidRPr="002F496E">
        <w:rPr>
          <w:color w:val="111111"/>
          <w:sz w:val="20"/>
          <w:szCs w:val="20"/>
        </w:rPr>
        <w:t>“</w:t>
      </w:r>
      <w:r w:rsidR="0009548F" w:rsidRPr="001B3810">
        <w:rPr>
          <w:color w:val="111111"/>
          <w:sz w:val="20"/>
          <w:szCs w:val="20"/>
        </w:rPr>
        <w:t xml:space="preserve">[34] </w:t>
      </w:r>
      <w:r w:rsidR="001D3044" w:rsidRPr="001B3810">
        <w:rPr>
          <w:color w:val="111111"/>
          <w:sz w:val="20"/>
          <w:szCs w:val="20"/>
        </w:rPr>
        <w:t>The standard of a reasonable suspicion is very low. The reasonable suspicion must be</w:t>
      </w:r>
      <w:r w:rsidR="00295A72">
        <w:rPr>
          <w:color w:val="111111"/>
          <w:sz w:val="20"/>
          <w:szCs w:val="20"/>
        </w:rPr>
        <w:t xml:space="preserve"> more than a hunch; it should </w:t>
      </w:r>
      <w:r w:rsidR="001D3044" w:rsidRPr="001B3810">
        <w:rPr>
          <w:color w:val="111111"/>
          <w:sz w:val="20"/>
          <w:szCs w:val="20"/>
        </w:rPr>
        <w:t xml:space="preserve">not be an unparticularised suspicion. </w:t>
      </w:r>
      <w:r w:rsidR="009269DC" w:rsidRPr="001B3810">
        <w:rPr>
          <w:color w:val="111111"/>
          <w:sz w:val="20"/>
          <w:szCs w:val="20"/>
        </w:rPr>
        <w:t>It must be based on specific and articulable facts or information. Whether the suspicion was reasonable, under the prevailing circumstances is determined objectively.</w:t>
      </w:r>
    </w:p>
    <w:p w14:paraId="2D8F2B5B" w14:textId="77777777" w:rsidR="009269DC" w:rsidRPr="001B3810" w:rsidRDefault="009269DC" w:rsidP="00C12FD8">
      <w:pPr>
        <w:pStyle w:val="ListParagraph"/>
        <w:jc w:val="both"/>
        <w:rPr>
          <w:color w:val="111111"/>
          <w:sz w:val="20"/>
          <w:szCs w:val="20"/>
        </w:rPr>
      </w:pPr>
    </w:p>
    <w:p w14:paraId="687F00FF" w14:textId="734AF1CA" w:rsidR="009269DC" w:rsidRDefault="009269DC" w:rsidP="00C12FD8">
      <w:pPr>
        <w:pStyle w:val="ListParagraph"/>
        <w:jc w:val="both"/>
        <w:rPr>
          <w:color w:val="111111"/>
          <w:sz w:val="20"/>
          <w:szCs w:val="20"/>
        </w:rPr>
      </w:pPr>
      <w:r w:rsidRPr="001B3810">
        <w:rPr>
          <w:color w:val="111111"/>
          <w:sz w:val="20"/>
          <w:szCs w:val="20"/>
        </w:rPr>
        <w:t>[</w:t>
      </w:r>
      <w:r w:rsidR="0009548F" w:rsidRPr="001B3810">
        <w:rPr>
          <w:color w:val="111111"/>
          <w:sz w:val="20"/>
          <w:szCs w:val="20"/>
        </w:rPr>
        <w:t>35</w:t>
      </w:r>
      <w:r w:rsidRPr="001B3810">
        <w:rPr>
          <w:color w:val="111111"/>
          <w:sz w:val="20"/>
          <w:szCs w:val="20"/>
        </w:rPr>
        <w:t xml:space="preserve">] What is required is that the arresting officer must form a reasonable suspicion that a Schedule 1 offence has been committed based on </w:t>
      </w:r>
      <w:r w:rsidRPr="00C9202A">
        <w:rPr>
          <w:color w:val="111111"/>
          <w:sz w:val="20"/>
          <w:szCs w:val="20"/>
          <w:u w:val="single"/>
        </w:rPr>
        <w:t>credible and trustworthy information</w:t>
      </w:r>
      <w:r w:rsidRPr="001B3810">
        <w:rPr>
          <w:color w:val="111111"/>
          <w:sz w:val="20"/>
          <w:szCs w:val="20"/>
        </w:rPr>
        <w:t xml:space="preserve">. </w:t>
      </w:r>
      <w:r w:rsidR="00C72B13" w:rsidRPr="001B3810">
        <w:rPr>
          <w:color w:val="111111"/>
          <w:sz w:val="20"/>
          <w:szCs w:val="20"/>
        </w:rPr>
        <w:t>….. (</w:t>
      </w:r>
      <w:r w:rsidR="00D31D25" w:rsidRPr="002F496E">
        <w:rPr>
          <w:color w:val="111111"/>
          <w:sz w:val="20"/>
          <w:szCs w:val="20"/>
        </w:rPr>
        <w:t>Emphasis</w:t>
      </w:r>
      <w:r w:rsidRPr="001B3810">
        <w:rPr>
          <w:color w:val="111111"/>
          <w:sz w:val="20"/>
          <w:szCs w:val="20"/>
        </w:rPr>
        <w:t xml:space="preserve"> added)</w:t>
      </w:r>
      <w:r w:rsidR="001553EA" w:rsidRPr="001B3810">
        <w:rPr>
          <w:color w:val="111111"/>
          <w:sz w:val="20"/>
          <w:szCs w:val="20"/>
        </w:rPr>
        <w:t>”</w:t>
      </w:r>
    </w:p>
    <w:p w14:paraId="3E045192" w14:textId="77777777" w:rsidR="00C9202A" w:rsidRDefault="00C9202A" w:rsidP="00C12FD8">
      <w:pPr>
        <w:pStyle w:val="ListParagraph"/>
        <w:jc w:val="both"/>
        <w:rPr>
          <w:color w:val="111111"/>
          <w:sz w:val="20"/>
          <w:szCs w:val="20"/>
        </w:rPr>
      </w:pPr>
    </w:p>
    <w:p w14:paraId="148B5A65" w14:textId="3E682FF3" w:rsidR="00C9202A" w:rsidRPr="00EA2998" w:rsidRDefault="00C9202A" w:rsidP="00C12FD8">
      <w:pPr>
        <w:pStyle w:val="ListParagraph"/>
        <w:jc w:val="both"/>
        <w:rPr>
          <w:b/>
          <w:color w:val="111111"/>
        </w:rPr>
      </w:pPr>
      <w:r w:rsidRPr="00EA2998">
        <w:rPr>
          <w:b/>
          <w:color w:val="111111"/>
        </w:rPr>
        <w:t>Legal submissions by the parties</w:t>
      </w:r>
    </w:p>
    <w:p w14:paraId="70957D84" w14:textId="77777777" w:rsidR="00C9202A" w:rsidRDefault="00C9202A" w:rsidP="00C12FD8">
      <w:pPr>
        <w:pStyle w:val="ListParagraph"/>
        <w:jc w:val="both"/>
        <w:rPr>
          <w:b/>
          <w:color w:val="111111"/>
          <w:sz w:val="20"/>
          <w:szCs w:val="20"/>
        </w:rPr>
      </w:pPr>
    </w:p>
    <w:p w14:paraId="6315C3B6" w14:textId="370A2350" w:rsidR="008F2285" w:rsidRPr="00B002D7" w:rsidRDefault="001553EA" w:rsidP="001B3810">
      <w:pPr>
        <w:tabs>
          <w:tab w:val="left" w:pos="851"/>
        </w:tabs>
        <w:jc w:val="both"/>
        <w:rPr>
          <w:color w:val="FF0000"/>
          <w:lang w:val="en-GB"/>
        </w:rPr>
      </w:pPr>
      <w:r w:rsidRPr="002F496E">
        <w:rPr>
          <w:color w:val="111111"/>
        </w:rPr>
        <w:t>[21]</w:t>
      </w:r>
      <w:r w:rsidRPr="002F496E">
        <w:rPr>
          <w:color w:val="111111"/>
        </w:rPr>
        <w:tab/>
      </w:r>
      <w:r w:rsidR="00C72B13" w:rsidRPr="001B3810">
        <w:rPr>
          <w:color w:val="111111"/>
        </w:rPr>
        <w:t>I</w:t>
      </w:r>
      <w:r w:rsidR="00086E0F" w:rsidRPr="001B3810">
        <w:rPr>
          <w:color w:val="111111"/>
        </w:rPr>
        <w:t>n his heads of arguments</w:t>
      </w:r>
      <w:r w:rsidR="00C9202A">
        <w:rPr>
          <w:color w:val="111111"/>
        </w:rPr>
        <w:t>, c</w:t>
      </w:r>
      <w:r w:rsidR="00AC15A5" w:rsidRPr="001B3810">
        <w:rPr>
          <w:color w:val="111111"/>
        </w:rPr>
        <w:t>ounsel for D</w:t>
      </w:r>
      <w:r w:rsidR="00086E0F" w:rsidRPr="001B3810">
        <w:rPr>
          <w:color w:val="111111"/>
        </w:rPr>
        <w:t>efendant argues</w:t>
      </w:r>
      <w:r w:rsidR="00AD3F0F" w:rsidRPr="001B3810">
        <w:rPr>
          <w:color w:val="111111"/>
        </w:rPr>
        <w:t>,</w:t>
      </w:r>
      <w:r w:rsidR="00086E0F" w:rsidRPr="001B3810">
        <w:rPr>
          <w:color w:val="111111"/>
        </w:rPr>
        <w:t xml:space="preserve"> briefly</w:t>
      </w:r>
      <w:r w:rsidR="00AC15A5" w:rsidRPr="001B3810">
        <w:rPr>
          <w:color w:val="111111"/>
        </w:rPr>
        <w:t>, that the claim against P</w:t>
      </w:r>
      <w:r w:rsidR="00086E0F" w:rsidRPr="001B3810">
        <w:rPr>
          <w:color w:val="111111"/>
        </w:rPr>
        <w:t xml:space="preserve">laintiff should be dismissed on the basis that </w:t>
      </w:r>
      <w:r w:rsidR="008F2285" w:rsidRPr="001B3810">
        <w:rPr>
          <w:color w:val="111111"/>
        </w:rPr>
        <w:t xml:space="preserve">the police verified the information </w:t>
      </w:r>
      <w:r w:rsidR="005B09BA" w:rsidRPr="001B3810">
        <w:rPr>
          <w:color w:val="111111"/>
        </w:rPr>
        <w:t>t</w:t>
      </w:r>
      <w:r w:rsidR="008F2285" w:rsidRPr="001B3810">
        <w:rPr>
          <w:color w:val="111111"/>
        </w:rPr>
        <w:t>he</w:t>
      </w:r>
      <w:r w:rsidR="005B09BA" w:rsidRPr="001B3810">
        <w:rPr>
          <w:color w:val="111111"/>
        </w:rPr>
        <w:t>y had at thei</w:t>
      </w:r>
      <w:r w:rsidR="00AC15A5" w:rsidRPr="001B3810">
        <w:rPr>
          <w:color w:val="111111"/>
        </w:rPr>
        <w:t>r disposal. He argues that the P</w:t>
      </w:r>
      <w:r w:rsidR="008F2285" w:rsidRPr="001B3810">
        <w:rPr>
          <w:color w:val="111111"/>
        </w:rPr>
        <w:t xml:space="preserve">laintiff was arrested after being identified as a perpetrator </w:t>
      </w:r>
      <w:r w:rsidR="00B46147" w:rsidRPr="001B3810">
        <w:rPr>
          <w:color w:val="111111"/>
        </w:rPr>
        <w:t xml:space="preserve">of </w:t>
      </w:r>
      <w:r w:rsidR="008F2285" w:rsidRPr="001B3810">
        <w:rPr>
          <w:color w:val="111111"/>
        </w:rPr>
        <w:t>a Schedule 1 offence.</w:t>
      </w:r>
      <w:r w:rsidR="008F2285" w:rsidRPr="002F496E">
        <w:t xml:space="preserve"> </w:t>
      </w:r>
      <w:r w:rsidR="00AC15A5" w:rsidRPr="002F496E">
        <w:t>Counsel for the P</w:t>
      </w:r>
      <w:r w:rsidR="008F2285" w:rsidRPr="002F496E">
        <w:t xml:space="preserve">laintiff argues that </w:t>
      </w:r>
      <w:r w:rsidR="00B46147" w:rsidRPr="002F496E">
        <w:t xml:space="preserve">the </w:t>
      </w:r>
      <w:r w:rsidR="008F2285" w:rsidRPr="002F496E">
        <w:t>wrong person was arrested. Furthermore</w:t>
      </w:r>
      <w:r w:rsidR="00846B5E" w:rsidRPr="002F496E">
        <w:t>,</w:t>
      </w:r>
      <w:r w:rsidR="008F2285" w:rsidRPr="002F496E">
        <w:t xml:space="preserve"> the arrest was conducted unlawfully because the arresting officer failed to c</w:t>
      </w:r>
      <w:r w:rsidR="00846B5E" w:rsidRPr="002F496E">
        <w:t>omply with the required standing</w:t>
      </w:r>
      <w:r w:rsidR="008F2285" w:rsidRPr="002F496E">
        <w:t xml:space="preserve"> orders in affecting the arrest</w:t>
      </w:r>
      <w:r w:rsidR="00482E74" w:rsidRPr="002F496E">
        <w:t>,</w:t>
      </w:r>
      <w:r w:rsidR="008F2285" w:rsidRPr="002F496E">
        <w:t xml:space="preserve"> which further</w:t>
      </w:r>
      <w:r w:rsidR="00295A72">
        <w:t xml:space="preserve"> flows to the detention of the P</w:t>
      </w:r>
      <w:r w:rsidR="008F2285" w:rsidRPr="002F496E">
        <w:t>laintiff.</w:t>
      </w:r>
      <w:r w:rsidR="008F2285" w:rsidRPr="002F496E">
        <w:rPr>
          <w:rStyle w:val="FootnoteReference"/>
        </w:rPr>
        <w:footnoteReference w:id="6"/>
      </w:r>
    </w:p>
    <w:p w14:paraId="5501FE73" w14:textId="77777777" w:rsidR="008F2285" w:rsidRPr="002F496E" w:rsidRDefault="008F2285" w:rsidP="00C12FD8">
      <w:pPr>
        <w:pStyle w:val="ListParagraph"/>
        <w:tabs>
          <w:tab w:val="left" w:pos="851"/>
        </w:tabs>
        <w:jc w:val="both"/>
        <w:rPr>
          <w:lang w:val="en-GB"/>
        </w:rPr>
      </w:pPr>
    </w:p>
    <w:p w14:paraId="488B59BE" w14:textId="37D4EABF" w:rsidR="008F2285" w:rsidRPr="002F496E" w:rsidRDefault="001553EA" w:rsidP="001B3810">
      <w:pPr>
        <w:jc w:val="both"/>
        <w:rPr>
          <w:color w:val="111111"/>
        </w:rPr>
      </w:pPr>
      <w:r w:rsidRPr="002F496E">
        <w:rPr>
          <w:color w:val="111111"/>
        </w:rPr>
        <w:lastRenderedPageBreak/>
        <w:t>[22]</w:t>
      </w:r>
      <w:r w:rsidRPr="002F496E">
        <w:rPr>
          <w:color w:val="111111"/>
        </w:rPr>
        <w:tab/>
      </w:r>
      <w:r w:rsidR="008F2285" w:rsidRPr="002F496E">
        <w:rPr>
          <w:color w:val="111111"/>
        </w:rPr>
        <w:t xml:space="preserve">Gleaning from the evidence presented, </w:t>
      </w:r>
      <w:r w:rsidR="008F2285" w:rsidRPr="002F496E">
        <w:rPr>
          <w:lang w:val="en-GB"/>
        </w:rPr>
        <w:t xml:space="preserve">it has been established that Constable </w:t>
      </w:r>
      <w:proofErr w:type="spellStart"/>
      <w:r w:rsidR="008F2285" w:rsidRPr="002F496E">
        <w:rPr>
          <w:lang w:val="en-GB"/>
        </w:rPr>
        <w:t>Makapela</w:t>
      </w:r>
      <w:proofErr w:type="spellEnd"/>
      <w:r w:rsidR="008F2285" w:rsidRPr="002F496E">
        <w:rPr>
          <w:lang w:val="en-GB"/>
        </w:rPr>
        <w:t xml:space="preserve"> was a peace officer. Subsequent to his interview with the complainant, he entertained a suspici</w:t>
      </w:r>
      <w:r w:rsidR="00C72B13" w:rsidRPr="002F496E">
        <w:rPr>
          <w:lang w:val="en-GB"/>
        </w:rPr>
        <w:t>on that a Schedule 1 offence had</w:t>
      </w:r>
      <w:r w:rsidR="008F2285" w:rsidRPr="002F496E">
        <w:rPr>
          <w:lang w:val="en-GB"/>
        </w:rPr>
        <w:t xml:space="preserve"> been </w:t>
      </w:r>
      <w:r w:rsidR="00846B5E" w:rsidRPr="002F496E">
        <w:rPr>
          <w:lang w:val="en-GB"/>
        </w:rPr>
        <w:t>committed. The</w:t>
      </w:r>
      <w:r w:rsidR="004C493E" w:rsidRPr="002F496E">
        <w:rPr>
          <w:lang w:val="en-GB"/>
        </w:rPr>
        <w:t xml:space="preserve"> fact that the offence falls under Schedule 1 was never placed in dispute.</w:t>
      </w:r>
    </w:p>
    <w:p w14:paraId="24FEB14E" w14:textId="77777777" w:rsidR="0031454A" w:rsidRPr="002F496E" w:rsidRDefault="0031454A" w:rsidP="001B3810">
      <w:pPr>
        <w:pStyle w:val="ListParagraph"/>
        <w:jc w:val="both"/>
        <w:rPr>
          <w:color w:val="111111"/>
        </w:rPr>
      </w:pPr>
    </w:p>
    <w:p w14:paraId="59E4CAA9" w14:textId="619C17AF" w:rsidR="008F2285" w:rsidRPr="001B3810" w:rsidRDefault="0031454A" w:rsidP="001B3810">
      <w:pPr>
        <w:jc w:val="both"/>
        <w:rPr>
          <w:b/>
          <w:bCs/>
          <w:lang w:val="en-GB"/>
        </w:rPr>
      </w:pPr>
      <w:r w:rsidRPr="001B3810">
        <w:rPr>
          <w:b/>
          <w:bCs/>
          <w:lang w:val="en-GB"/>
        </w:rPr>
        <w:t xml:space="preserve">Was </w:t>
      </w:r>
      <w:r w:rsidR="00482E74" w:rsidRPr="001B3810">
        <w:rPr>
          <w:b/>
          <w:bCs/>
          <w:lang w:val="en-GB"/>
        </w:rPr>
        <w:t xml:space="preserve">the </w:t>
      </w:r>
      <w:r w:rsidRPr="001B3810">
        <w:rPr>
          <w:b/>
          <w:bCs/>
          <w:lang w:val="en-GB"/>
        </w:rPr>
        <w:t>wrong person arrested?</w:t>
      </w:r>
    </w:p>
    <w:p w14:paraId="393FA09E" w14:textId="77777777" w:rsidR="0031454A" w:rsidRPr="002F496E" w:rsidRDefault="0031454A" w:rsidP="001B3810">
      <w:pPr>
        <w:pStyle w:val="ListParagraph"/>
        <w:jc w:val="both"/>
        <w:rPr>
          <w:lang w:val="en-GB"/>
        </w:rPr>
      </w:pPr>
    </w:p>
    <w:p w14:paraId="5901A477" w14:textId="5F204815" w:rsidR="000218A2" w:rsidRPr="002F496E" w:rsidRDefault="001553EA" w:rsidP="001B3810">
      <w:pPr>
        <w:jc w:val="both"/>
      </w:pPr>
      <w:r w:rsidRPr="002F496E">
        <w:rPr>
          <w:lang w:val="en-GB"/>
        </w:rPr>
        <w:t>[23]</w:t>
      </w:r>
      <w:r w:rsidRPr="002F496E">
        <w:rPr>
          <w:lang w:val="en-GB"/>
        </w:rPr>
        <w:tab/>
      </w:r>
      <w:r w:rsidR="00D128E1" w:rsidRPr="002F496E">
        <w:rPr>
          <w:lang w:val="en-GB"/>
        </w:rPr>
        <w:t xml:space="preserve">On the issue of </w:t>
      </w:r>
      <w:r w:rsidR="00D101BF" w:rsidRPr="002F496E">
        <w:rPr>
          <w:lang w:val="en-GB"/>
        </w:rPr>
        <w:t>identity</w:t>
      </w:r>
      <w:r w:rsidR="005B09BA" w:rsidRPr="002F496E">
        <w:rPr>
          <w:lang w:val="en-GB"/>
        </w:rPr>
        <w:t xml:space="preserve">, both versions </w:t>
      </w:r>
      <w:r w:rsidR="00976F35" w:rsidRPr="002F496E">
        <w:rPr>
          <w:lang w:val="en-GB"/>
        </w:rPr>
        <w:t>are</w:t>
      </w:r>
      <w:r w:rsidR="00D128E1" w:rsidRPr="002F496E">
        <w:rPr>
          <w:lang w:val="en-GB"/>
        </w:rPr>
        <w:t xml:space="preserve"> mutually destructive. </w:t>
      </w:r>
      <w:r w:rsidR="000218A2" w:rsidRPr="002F496E">
        <w:rPr>
          <w:lang w:val="en-GB"/>
        </w:rPr>
        <w:t>In</w:t>
      </w:r>
      <w:r w:rsidR="000218A2" w:rsidRPr="001B3810">
        <w:rPr>
          <w:i/>
          <w:iCs/>
        </w:rPr>
        <w:t xml:space="preserve"> Stellenbosch Famer’s Winery Group Ltd and Another v Martell et Cie and Others</w:t>
      </w:r>
      <w:r w:rsidR="000218A2" w:rsidRPr="002F496E">
        <w:rPr>
          <w:rStyle w:val="FootnoteReference"/>
          <w:rFonts w:eastAsia="Times New Roman"/>
          <w:lang w:eastAsia="en-ZA"/>
        </w:rPr>
        <w:footnoteReference w:id="7"/>
      </w:r>
      <w:r w:rsidR="000218A2" w:rsidRPr="002F496E">
        <w:rPr>
          <w:rFonts w:eastAsia="Times New Roman"/>
          <w:lang w:eastAsia="en-ZA"/>
        </w:rPr>
        <w:t xml:space="preserve">, a </w:t>
      </w:r>
      <w:r w:rsidR="00295A72">
        <w:rPr>
          <w:rFonts w:eastAsia="Times New Roman"/>
          <w:lang w:eastAsia="en-ZA"/>
        </w:rPr>
        <w:t>case that I was referred to by c</w:t>
      </w:r>
      <w:r w:rsidR="000218A2" w:rsidRPr="002F496E">
        <w:rPr>
          <w:rFonts w:eastAsia="Times New Roman"/>
          <w:lang w:eastAsia="en-ZA"/>
        </w:rPr>
        <w:t>ounsel for the Plaintiff, the following was said</w:t>
      </w:r>
      <w:r w:rsidR="000218A2" w:rsidRPr="002F496E">
        <w:t>:</w:t>
      </w:r>
    </w:p>
    <w:p w14:paraId="2F0F459E" w14:textId="77777777" w:rsidR="000218A2" w:rsidRPr="002F496E" w:rsidRDefault="000218A2" w:rsidP="001B3810">
      <w:pPr>
        <w:jc w:val="both"/>
      </w:pPr>
    </w:p>
    <w:p w14:paraId="171C904B" w14:textId="51C8C63A" w:rsidR="000218A2" w:rsidRPr="001B3810" w:rsidRDefault="000218A2" w:rsidP="001B3810">
      <w:pPr>
        <w:autoSpaceDE w:val="0"/>
        <w:autoSpaceDN w:val="0"/>
        <w:adjustRightInd w:val="0"/>
        <w:ind w:left="720"/>
        <w:jc w:val="both"/>
        <w:rPr>
          <w:rFonts w:eastAsia="Times New Roman"/>
          <w:iCs/>
          <w:sz w:val="18"/>
          <w:szCs w:val="18"/>
          <w:lang w:eastAsia="en-ZA"/>
        </w:rPr>
      </w:pPr>
      <w:r w:rsidRPr="001B3810">
        <w:rPr>
          <w:rFonts w:eastAsia="Times New Roman"/>
          <w:iCs/>
          <w:sz w:val="18"/>
          <w:szCs w:val="18"/>
          <w:lang w:eastAsia="en-ZA"/>
        </w:rPr>
        <w:t>‘’The technique generally employed by courts in resolving factual disputes where there are two irreconcilable versions before it may be summarised as follows. To come to a conclusion on the disputed issues the court must make findings on (a) the credibility of the various factual witnesses, (b) their reliability, and (c) the probabilities. As to (a), the court's finding on the credibility of a particular witness will depend on its impression of the veracity of the witness. That in turn will depend on</w:t>
      </w:r>
      <w:r w:rsidR="00482E74" w:rsidRPr="002F496E">
        <w:rPr>
          <w:rFonts w:eastAsia="Times New Roman"/>
          <w:iCs/>
          <w:sz w:val="18"/>
          <w:szCs w:val="18"/>
          <w:lang w:eastAsia="en-ZA"/>
        </w:rPr>
        <w:t xml:space="preserve"> </w:t>
      </w:r>
      <w:r w:rsidRPr="001B3810">
        <w:rPr>
          <w:rFonts w:eastAsia="Times New Roman"/>
          <w:iCs/>
          <w:sz w:val="18"/>
          <w:szCs w:val="18"/>
          <w:lang w:eastAsia="en-ZA"/>
        </w:rPr>
        <w:t xml:space="preserve"> a variety of subsidiary factors such as (i) the witness' candour and demeanour in witness-box, (ii) his bias, latent and blatant, (iii) internal contradictions in his evidence, (iv) external contradictions with what was pleaded or put on his behalf, or with established fact or with his own extra curial statements or actions, (v) the probability or improbability of particular aspects of his version, and (vi) the calibre and cogency of his performance compared to that of other  witnesses testifying about same incident or events. As to (b), a witness' reliability will depend, apart from the factors mentioned under (a)(ii), (iv) and (v), on (i) the opportunities he had to experience and observe the event in question and (ii) the quality, </w:t>
      </w:r>
      <w:proofErr w:type="gramStart"/>
      <w:r w:rsidRPr="001B3810">
        <w:rPr>
          <w:rFonts w:eastAsia="Times New Roman"/>
          <w:iCs/>
          <w:sz w:val="18"/>
          <w:szCs w:val="18"/>
          <w:lang w:eastAsia="en-ZA"/>
        </w:rPr>
        <w:t>integrity</w:t>
      </w:r>
      <w:proofErr w:type="gramEnd"/>
      <w:r w:rsidRPr="001B3810">
        <w:rPr>
          <w:rFonts w:eastAsia="Times New Roman"/>
          <w:iCs/>
          <w:sz w:val="18"/>
          <w:szCs w:val="18"/>
          <w:lang w:eastAsia="en-ZA"/>
        </w:rPr>
        <w:t xml:space="preserve">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more convincing the former, the less convincing will be the latter. But when all factors are equipoised probabilities prevail’’.</w:t>
      </w:r>
    </w:p>
    <w:p w14:paraId="3DD841EC" w14:textId="77777777" w:rsidR="00DD7D48" w:rsidRPr="002F496E" w:rsidRDefault="00DD7D48" w:rsidP="001B3810">
      <w:pPr>
        <w:autoSpaceDE w:val="0"/>
        <w:autoSpaceDN w:val="0"/>
        <w:adjustRightInd w:val="0"/>
        <w:ind w:left="1134"/>
        <w:jc w:val="both"/>
        <w:rPr>
          <w:rFonts w:eastAsia="Times New Roman"/>
          <w:i/>
          <w:lang w:eastAsia="en-ZA"/>
        </w:rPr>
      </w:pPr>
    </w:p>
    <w:p w14:paraId="2C65C8D0" w14:textId="089CB529" w:rsidR="00DD7D48" w:rsidRPr="002F496E" w:rsidRDefault="001553EA" w:rsidP="001B3810">
      <w:pPr>
        <w:jc w:val="both"/>
        <w:rPr>
          <w:color w:val="111111"/>
        </w:rPr>
      </w:pPr>
      <w:r w:rsidRPr="002F496E">
        <w:rPr>
          <w:lang w:val="en-GB"/>
        </w:rPr>
        <w:t>[24]</w:t>
      </w:r>
      <w:r w:rsidRPr="002F496E">
        <w:rPr>
          <w:lang w:val="en-GB"/>
        </w:rPr>
        <w:tab/>
      </w:r>
      <w:r w:rsidR="008F2285" w:rsidRPr="002F496E">
        <w:rPr>
          <w:lang w:val="en-GB"/>
        </w:rPr>
        <w:t xml:space="preserve">Sergeants </w:t>
      </w:r>
      <w:proofErr w:type="spellStart"/>
      <w:r w:rsidR="008F2285" w:rsidRPr="002F496E">
        <w:rPr>
          <w:lang w:val="en-GB"/>
        </w:rPr>
        <w:t>Makapela</w:t>
      </w:r>
      <w:proofErr w:type="spellEnd"/>
      <w:r w:rsidR="008F2285" w:rsidRPr="002F496E">
        <w:rPr>
          <w:lang w:val="en-GB"/>
        </w:rPr>
        <w:t xml:space="preserve"> and </w:t>
      </w:r>
      <w:proofErr w:type="spellStart"/>
      <w:r w:rsidR="008F2285" w:rsidRPr="002F496E">
        <w:rPr>
          <w:lang w:val="en-GB"/>
        </w:rPr>
        <w:t>Qwede</w:t>
      </w:r>
      <w:proofErr w:type="spellEnd"/>
      <w:r w:rsidR="008F2285" w:rsidRPr="002F496E">
        <w:rPr>
          <w:lang w:val="en-GB"/>
        </w:rPr>
        <w:t xml:space="preserve"> corroborated</w:t>
      </w:r>
      <w:r w:rsidR="0031454A" w:rsidRPr="002F496E">
        <w:rPr>
          <w:lang w:val="en-GB"/>
        </w:rPr>
        <w:t xml:space="preserve"> each other</w:t>
      </w:r>
      <w:r w:rsidR="00D101BF" w:rsidRPr="002F496E">
        <w:rPr>
          <w:lang w:val="en-GB"/>
        </w:rPr>
        <w:t>,</w:t>
      </w:r>
      <w:r w:rsidR="0031454A" w:rsidRPr="002F496E">
        <w:rPr>
          <w:lang w:val="en-GB"/>
        </w:rPr>
        <w:t xml:space="preserve"> that the person who</w:t>
      </w:r>
      <w:r w:rsidR="004C493E" w:rsidRPr="002F496E">
        <w:rPr>
          <w:lang w:val="en-GB"/>
        </w:rPr>
        <w:t>m</w:t>
      </w:r>
      <w:r w:rsidR="008F2285" w:rsidRPr="002F496E">
        <w:rPr>
          <w:lang w:val="en-GB"/>
        </w:rPr>
        <w:t xml:space="preserve"> the complainant</w:t>
      </w:r>
      <w:r w:rsidR="0031454A" w:rsidRPr="002F496E">
        <w:rPr>
          <w:lang w:val="en-GB"/>
        </w:rPr>
        <w:t xml:space="preserve"> identified</w:t>
      </w:r>
      <w:r w:rsidR="00AA4C80" w:rsidRPr="002F496E">
        <w:rPr>
          <w:lang w:val="en-GB"/>
        </w:rPr>
        <w:t xml:space="preserve"> as his attacker was </w:t>
      </w:r>
      <w:r w:rsidR="00B002D7">
        <w:rPr>
          <w:lang w:val="en-GB"/>
        </w:rPr>
        <w:t>the P</w:t>
      </w:r>
      <w:r w:rsidR="004C493E" w:rsidRPr="002F496E">
        <w:rPr>
          <w:lang w:val="en-GB"/>
        </w:rPr>
        <w:t>laintiff</w:t>
      </w:r>
      <w:r w:rsidR="008F2285" w:rsidRPr="002F496E">
        <w:rPr>
          <w:lang w:val="en-GB"/>
        </w:rPr>
        <w:t xml:space="preserve">. The statement that </w:t>
      </w:r>
      <w:r w:rsidR="000A0DE1" w:rsidRPr="002F496E">
        <w:rPr>
          <w:lang w:val="en-GB"/>
        </w:rPr>
        <w:t>Sergeant</w:t>
      </w:r>
      <w:r w:rsidR="008F2285" w:rsidRPr="002F496E">
        <w:rPr>
          <w:lang w:val="en-GB"/>
        </w:rPr>
        <w:t xml:space="preserve"> </w:t>
      </w:r>
      <w:proofErr w:type="spellStart"/>
      <w:r w:rsidR="008F2285" w:rsidRPr="002F496E">
        <w:rPr>
          <w:lang w:val="en-GB"/>
        </w:rPr>
        <w:t>Qwede</w:t>
      </w:r>
      <w:proofErr w:type="spellEnd"/>
      <w:r w:rsidR="008F2285" w:rsidRPr="002F496E">
        <w:rPr>
          <w:lang w:val="en-GB"/>
        </w:rPr>
        <w:t xml:space="preserve"> had</w:t>
      </w:r>
      <w:r w:rsidR="00C72B13" w:rsidRPr="002F496E">
        <w:rPr>
          <w:lang w:val="en-GB"/>
        </w:rPr>
        <w:t>,</w:t>
      </w:r>
      <w:r w:rsidR="0031454A" w:rsidRPr="002F496E">
        <w:rPr>
          <w:lang w:val="en-GB"/>
        </w:rPr>
        <w:t xml:space="preserve"> which was enclosed in the police docket</w:t>
      </w:r>
      <w:r w:rsidR="00C9202A">
        <w:rPr>
          <w:lang w:val="en-GB"/>
        </w:rPr>
        <w:t xml:space="preserve"> mentioned the P</w:t>
      </w:r>
      <w:r w:rsidR="008F2285" w:rsidRPr="002F496E">
        <w:rPr>
          <w:lang w:val="en-GB"/>
        </w:rPr>
        <w:t xml:space="preserve">laintiff’s name. </w:t>
      </w:r>
      <w:r w:rsidR="000A0DE1" w:rsidRPr="002F496E">
        <w:rPr>
          <w:lang w:val="en-GB"/>
        </w:rPr>
        <w:t xml:space="preserve">Sergeant </w:t>
      </w:r>
      <w:proofErr w:type="spellStart"/>
      <w:r w:rsidR="000A0DE1" w:rsidRPr="002F496E">
        <w:rPr>
          <w:lang w:val="en-GB"/>
        </w:rPr>
        <w:t>Qwede</w:t>
      </w:r>
      <w:proofErr w:type="spellEnd"/>
      <w:r w:rsidR="000A0DE1" w:rsidRPr="002F496E">
        <w:rPr>
          <w:lang w:val="en-GB"/>
        </w:rPr>
        <w:t xml:space="preserve"> informed the court that the complainant, his g</w:t>
      </w:r>
      <w:r w:rsidR="00AC15A5" w:rsidRPr="002F496E">
        <w:rPr>
          <w:lang w:val="en-GB"/>
        </w:rPr>
        <w:t>irlfriend and the P</w:t>
      </w:r>
      <w:r w:rsidR="00AD3F0F" w:rsidRPr="002F496E">
        <w:rPr>
          <w:lang w:val="en-GB"/>
        </w:rPr>
        <w:t xml:space="preserve">laintiff reside in the same </w:t>
      </w:r>
      <w:r w:rsidRPr="002F496E">
        <w:rPr>
          <w:lang w:val="en-GB"/>
        </w:rPr>
        <w:t>area,</w:t>
      </w:r>
      <w:r w:rsidR="000A0DE1" w:rsidRPr="002F496E">
        <w:rPr>
          <w:lang w:val="en-GB"/>
        </w:rPr>
        <w:t xml:space="preserve"> and they know </w:t>
      </w:r>
      <w:r w:rsidR="00DD7D48" w:rsidRPr="002F496E">
        <w:rPr>
          <w:lang w:val="en-GB"/>
        </w:rPr>
        <w:t>each. Cross</w:t>
      </w:r>
      <w:r w:rsidR="000A0DE1" w:rsidRPr="002F496E">
        <w:rPr>
          <w:lang w:val="en-GB"/>
        </w:rPr>
        <w:t>-examination of the two witnesses bore no fruit because both stuck to the version</w:t>
      </w:r>
      <w:r w:rsidR="005B09BA" w:rsidRPr="002F496E">
        <w:rPr>
          <w:lang w:val="en-GB"/>
        </w:rPr>
        <w:t>s of their stories</w:t>
      </w:r>
      <w:r w:rsidR="000A0DE1" w:rsidRPr="002F496E">
        <w:rPr>
          <w:lang w:val="en-GB"/>
        </w:rPr>
        <w:t xml:space="preserve">. </w:t>
      </w:r>
      <w:r w:rsidR="00DD7D48" w:rsidRPr="002F496E">
        <w:rPr>
          <w:lang w:val="en-GB"/>
        </w:rPr>
        <w:t xml:space="preserve"> </w:t>
      </w:r>
    </w:p>
    <w:p w14:paraId="57D59161" w14:textId="77777777" w:rsidR="00721F10" w:rsidRPr="002F496E" w:rsidRDefault="00721F10" w:rsidP="00C12FD8">
      <w:pPr>
        <w:pStyle w:val="ListParagraph"/>
        <w:jc w:val="both"/>
        <w:rPr>
          <w:color w:val="111111"/>
        </w:rPr>
      </w:pPr>
    </w:p>
    <w:p w14:paraId="37370A75" w14:textId="7EDE9D7D" w:rsidR="008F2285" w:rsidRPr="002F496E" w:rsidRDefault="001553EA" w:rsidP="001B3810">
      <w:pPr>
        <w:jc w:val="both"/>
        <w:rPr>
          <w:color w:val="111111"/>
        </w:rPr>
      </w:pPr>
      <w:r w:rsidRPr="002F496E">
        <w:rPr>
          <w:lang w:val="en-GB"/>
        </w:rPr>
        <w:t>[25]</w:t>
      </w:r>
      <w:r w:rsidRPr="002F496E">
        <w:rPr>
          <w:lang w:val="en-GB"/>
        </w:rPr>
        <w:tab/>
      </w:r>
      <w:r w:rsidR="0031454A" w:rsidRPr="002F496E">
        <w:rPr>
          <w:lang w:val="en-GB"/>
        </w:rPr>
        <w:t>T</w:t>
      </w:r>
      <w:r w:rsidR="005B09BA" w:rsidRPr="002F496E">
        <w:rPr>
          <w:lang w:val="en-GB"/>
        </w:rPr>
        <w:t>he nickname Terra was never placed in dispute</w:t>
      </w:r>
      <w:r w:rsidR="00482E74" w:rsidRPr="002F496E">
        <w:rPr>
          <w:lang w:val="en-GB"/>
        </w:rPr>
        <w:t>. Instead,</w:t>
      </w:r>
      <w:r w:rsidR="000A0DE1" w:rsidRPr="002F496E">
        <w:rPr>
          <w:lang w:val="en-GB"/>
        </w:rPr>
        <w:t xml:space="preserve"> </w:t>
      </w:r>
      <w:r w:rsidR="006D23D3" w:rsidRPr="002F496E">
        <w:rPr>
          <w:lang w:val="en-GB"/>
        </w:rPr>
        <w:t>P</w:t>
      </w:r>
      <w:r w:rsidR="005B09BA" w:rsidRPr="002F496E">
        <w:rPr>
          <w:lang w:val="en-GB"/>
        </w:rPr>
        <w:t>laintiff</w:t>
      </w:r>
      <w:r w:rsidR="000A0DE1" w:rsidRPr="002F496E">
        <w:rPr>
          <w:lang w:val="en-GB"/>
        </w:rPr>
        <w:t xml:space="preserve"> </w:t>
      </w:r>
      <w:r w:rsidR="0031454A" w:rsidRPr="002F496E">
        <w:rPr>
          <w:lang w:val="en-GB"/>
        </w:rPr>
        <w:t>acknowledged</w:t>
      </w:r>
      <w:r w:rsidR="00AD3F0F" w:rsidRPr="002F496E">
        <w:rPr>
          <w:lang w:val="en-GB"/>
        </w:rPr>
        <w:t xml:space="preserve"> that he is</w:t>
      </w:r>
      <w:r w:rsidR="000A0DE1" w:rsidRPr="002F496E">
        <w:rPr>
          <w:lang w:val="en-GB"/>
        </w:rPr>
        <w:t xml:space="preserve"> </w:t>
      </w:r>
      <w:r w:rsidR="00B46147" w:rsidRPr="002F496E">
        <w:rPr>
          <w:lang w:val="en-GB"/>
        </w:rPr>
        <w:t xml:space="preserve">a </w:t>
      </w:r>
      <w:r w:rsidR="000A0DE1" w:rsidRPr="002F496E">
        <w:rPr>
          <w:lang w:val="en-GB"/>
        </w:rPr>
        <w:t>well</w:t>
      </w:r>
      <w:r w:rsidR="00B46147" w:rsidRPr="002F496E">
        <w:rPr>
          <w:lang w:val="en-GB"/>
        </w:rPr>
        <w:t>-</w:t>
      </w:r>
      <w:r w:rsidR="000A0DE1" w:rsidRPr="002F496E">
        <w:rPr>
          <w:lang w:val="en-GB"/>
        </w:rPr>
        <w:t>know</w:t>
      </w:r>
      <w:r w:rsidR="00721F10" w:rsidRPr="002F496E">
        <w:rPr>
          <w:lang w:val="en-GB"/>
        </w:rPr>
        <w:t>n person in the taxi industry as well</w:t>
      </w:r>
      <w:r w:rsidR="000A0DE1" w:rsidRPr="002F496E">
        <w:rPr>
          <w:lang w:val="en-GB"/>
        </w:rPr>
        <w:t xml:space="preserve"> a</w:t>
      </w:r>
      <w:r w:rsidR="00721F10" w:rsidRPr="002F496E">
        <w:rPr>
          <w:lang w:val="en-GB"/>
        </w:rPr>
        <w:t>s</w:t>
      </w:r>
      <w:r w:rsidR="00AC15A5" w:rsidRPr="002F496E">
        <w:rPr>
          <w:lang w:val="en-GB"/>
        </w:rPr>
        <w:t xml:space="preserve"> a DJ of the area. Most importantly</w:t>
      </w:r>
      <w:r w:rsidR="00721F10" w:rsidRPr="002F496E">
        <w:rPr>
          <w:lang w:val="en-GB"/>
        </w:rPr>
        <w:t>, he mentioned that there would be no</w:t>
      </w:r>
      <w:r w:rsidR="00E37311">
        <w:rPr>
          <w:lang w:val="en-GB"/>
        </w:rPr>
        <w:t xml:space="preserve"> chances </w:t>
      </w:r>
      <w:r w:rsidR="00721F10" w:rsidRPr="002F496E">
        <w:rPr>
          <w:lang w:val="en-GB"/>
        </w:rPr>
        <w:t xml:space="preserve">of mistaken identity.  </w:t>
      </w:r>
      <w:r w:rsidR="00AD3F0F" w:rsidRPr="002F496E">
        <w:rPr>
          <w:lang w:val="en-GB"/>
        </w:rPr>
        <w:t>In addition</w:t>
      </w:r>
      <w:r w:rsidR="00D613DF" w:rsidRPr="002F496E">
        <w:rPr>
          <w:lang w:val="en-GB"/>
        </w:rPr>
        <w:t xml:space="preserve"> to the i</w:t>
      </w:r>
      <w:r w:rsidR="00E62020" w:rsidRPr="002F496E">
        <w:rPr>
          <w:lang w:val="en-GB"/>
        </w:rPr>
        <w:t>nformation</w:t>
      </w:r>
      <w:r w:rsidR="00952EB7" w:rsidRPr="002F496E">
        <w:rPr>
          <w:lang w:val="en-GB"/>
        </w:rPr>
        <w:t xml:space="preserve"> that</w:t>
      </w:r>
      <w:r w:rsidR="00E62020" w:rsidRPr="002F496E">
        <w:rPr>
          <w:lang w:val="en-GB"/>
        </w:rPr>
        <w:t xml:space="preserve"> the police had at their</w:t>
      </w:r>
      <w:r w:rsidR="00D613DF" w:rsidRPr="002F496E">
        <w:rPr>
          <w:lang w:val="en-GB"/>
        </w:rPr>
        <w:t xml:space="preserve"> disposal</w:t>
      </w:r>
      <w:r w:rsidR="00AD3F0F" w:rsidRPr="002F496E">
        <w:rPr>
          <w:lang w:val="en-GB"/>
        </w:rPr>
        <w:t>, t</w:t>
      </w:r>
      <w:r w:rsidR="00721F10" w:rsidRPr="002F496E">
        <w:rPr>
          <w:lang w:val="en-GB"/>
        </w:rPr>
        <w:t xml:space="preserve">he </w:t>
      </w:r>
      <w:r w:rsidR="008749F7">
        <w:rPr>
          <w:lang w:val="en-GB"/>
        </w:rPr>
        <w:t>fact that the P</w:t>
      </w:r>
      <w:r w:rsidR="00D613DF" w:rsidRPr="002F496E">
        <w:rPr>
          <w:lang w:val="en-GB"/>
        </w:rPr>
        <w:t>laintiff</w:t>
      </w:r>
      <w:r w:rsidR="00721F10" w:rsidRPr="002F496E">
        <w:rPr>
          <w:lang w:val="en-GB"/>
        </w:rPr>
        <w:t xml:space="preserve"> saw the complainant in the cells and was advised that he had caused his arrest might have strengthened </w:t>
      </w:r>
      <w:r w:rsidR="00952EB7" w:rsidRPr="002F496E">
        <w:rPr>
          <w:lang w:val="en-GB"/>
        </w:rPr>
        <w:t xml:space="preserve">the </w:t>
      </w:r>
      <w:r w:rsidR="00B46147" w:rsidRPr="002F496E">
        <w:rPr>
          <w:lang w:val="en-GB"/>
        </w:rPr>
        <w:t xml:space="preserve">police’s </w:t>
      </w:r>
      <w:r w:rsidR="00952EB7" w:rsidRPr="002F496E">
        <w:rPr>
          <w:lang w:val="en-GB"/>
        </w:rPr>
        <w:t xml:space="preserve">belief that </w:t>
      </w:r>
      <w:r w:rsidR="00B46147" w:rsidRPr="002F496E">
        <w:rPr>
          <w:lang w:val="en-GB"/>
        </w:rPr>
        <w:t xml:space="preserve">the </w:t>
      </w:r>
      <w:r w:rsidR="00952EB7" w:rsidRPr="002F496E">
        <w:rPr>
          <w:lang w:val="en-GB"/>
        </w:rPr>
        <w:t>correct person was detained</w:t>
      </w:r>
      <w:r w:rsidR="00E8206A" w:rsidRPr="002F496E">
        <w:rPr>
          <w:lang w:val="en-GB"/>
        </w:rPr>
        <w:t xml:space="preserve">. </w:t>
      </w:r>
      <w:r w:rsidR="00AC15A5" w:rsidRPr="002F496E">
        <w:rPr>
          <w:lang w:val="en-GB"/>
        </w:rPr>
        <w:t>In the P</w:t>
      </w:r>
      <w:r w:rsidR="00952EB7" w:rsidRPr="002F496E">
        <w:rPr>
          <w:lang w:val="en-GB"/>
        </w:rPr>
        <w:t xml:space="preserve">laintiff’s </w:t>
      </w:r>
      <w:r w:rsidR="00721F10" w:rsidRPr="002F496E">
        <w:rPr>
          <w:lang w:val="en-GB"/>
        </w:rPr>
        <w:t>version</w:t>
      </w:r>
      <w:r w:rsidR="00B46147" w:rsidRPr="002F496E">
        <w:rPr>
          <w:lang w:val="en-GB"/>
        </w:rPr>
        <w:t>,</w:t>
      </w:r>
      <w:r w:rsidR="00721F10" w:rsidRPr="002F496E">
        <w:rPr>
          <w:lang w:val="en-GB"/>
        </w:rPr>
        <w:t xml:space="preserve"> </w:t>
      </w:r>
      <w:r w:rsidR="00316065" w:rsidRPr="002F496E">
        <w:rPr>
          <w:lang w:val="en-GB"/>
        </w:rPr>
        <w:t>police</w:t>
      </w:r>
      <w:r w:rsidR="00721F10" w:rsidRPr="002F496E">
        <w:rPr>
          <w:lang w:val="en-GB"/>
        </w:rPr>
        <w:t xml:space="preserve"> knew that </w:t>
      </w:r>
      <w:r w:rsidR="00952EB7" w:rsidRPr="002F496E">
        <w:rPr>
          <w:lang w:val="en-GB"/>
        </w:rPr>
        <w:t>he</w:t>
      </w:r>
      <w:r w:rsidR="00721F10" w:rsidRPr="002F496E">
        <w:rPr>
          <w:lang w:val="en-GB"/>
        </w:rPr>
        <w:t xml:space="preserve"> worked in the taxi industry. It is</w:t>
      </w:r>
      <w:r w:rsidR="00482E74" w:rsidRPr="002F496E">
        <w:rPr>
          <w:lang w:val="en-GB"/>
        </w:rPr>
        <w:t>,</w:t>
      </w:r>
      <w:r w:rsidR="00721F10" w:rsidRPr="002F496E">
        <w:rPr>
          <w:lang w:val="en-GB"/>
        </w:rPr>
        <w:t xml:space="preserve"> </w:t>
      </w:r>
      <w:r w:rsidR="00482E74" w:rsidRPr="002F496E">
        <w:rPr>
          <w:lang w:val="en-GB"/>
        </w:rPr>
        <w:t>therefore,</w:t>
      </w:r>
      <w:r w:rsidR="00721F10" w:rsidRPr="002F496E">
        <w:rPr>
          <w:lang w:val="en-GB"/>
        </w:rPr>
        <w:t xml:space="preserve"> safe to conclude that police verified the quality of information </w:t>
      </w:r>
      <w:r w:rsidR="00AD3F0F" w:rsidRPr="002F496E">
        <w:rPr>
          <w:lang w:val="en-GB"/>
        </w:rPr>
        <w:t>they had</w:t>
      </w:r>
      <w:r w:rsidR="00482E74" w:rsidRPr="002F496E">
        <w:rPr>
          <w:lang w:val="en-GB"/>
        </w:rPr>
        <w:t>,</w:t>
      </w:r>
      <w:r w:rsidR="00AD3F0F" w:rsidRPr="002F496E">
        <w:rPr>
          <w:lang w:val="en-GB"/>
        </w:rPr>
        <w:t xml:space="preserve"> especially with </w:t>
      </w:r>
      <w:r w:rsidR="00B46147" w:rsidRPr="002F496E">
        <w:rPr>
          <w:lang w:val="en-GB"/>
        </w:rPr>
        <w:t xml:space="preserve">regard </w:t>
      </w:r>
      <w:r w:rsidR="00721F10" w:rsidRPr="002F496E">
        <w:rPr>
          <w:lang w:val="en-GB"/>
        </w:rPr>
        <w:t xml:space="preserve">to the identity of the perpetrator of the alleged offence. </w:t>
      </w:r>
      <w:r w:rsidR="00B01866" w:rsidRPr="002F496E">
        <w:rPr>
          <w:lang w:val="en-GB"/>
        </w:rPr>
        <w:t xml:space="preserve"> T</w:t>
      </w:r>
      <w:r w:rsidR="00721F10" w:rsidRPr="002F496E">
        <w:rPr>
          <w:lang w:val="en-GB"/>
        </w:rPr>
        <w:t>he evidenc</w:t>
      </w:r>
      <w:r w:rsidR="008B36BD" w:rsidRPr="002F496E">
        <w:rPr>
          <w:lang w:val="en-GB"/>
        </w:rPr>
        <w:t>e of the D</w:t>
      </w:r>
      <w:r w:rsidR="00721F10" w:rsidRPr="002F496E">
        <w:rPr>
          <w:lang w:val="en-GB"/>
        </w:rPr>
        <w:t>efendant</w:t>
      </w:r>
      <w:r w:rsidR="00482E74" w:rsidRPr="002F496E">
        <w:rPr>
          <w:lang w:val="en-GB"/>
        </w:rPr>
        <w:t>,</w:t>
      </w:r>
      <w:r w:rsidR="00721F10" w:rsidRPr="002F496E">
        <w:rPr>
          <w:lang w:val="en-GB"/>
        </w:rPr>
        <w:t xml:space="preserve"> which is </w:t>
      </w:r>
      <w:r w:rsidR="00F04733" w:rsidRPr="002F496E">
        <w:rPr>
          <w:lang w:val="en-GB"/>
        </w:rPr>
        <w:t>corroborated</w:t>
      </w:r>
      <w:r w:rsidR="008B36BD" w:rsidRPr="002F496E">
        <w:rPr>
          <w:lang w:val="en-GB"/>
        </w:rPr>
        <w:t xml:space="preserve"> by P</w:t>
      </w:r>
      <w:r w:rsidR="00721F10" w:rsidRPr="002F496E">
        <w:rPr>
          <w:lang w:val="en-GB"/>
        </w:rPr>
        <w:t>laintiff on the issue of identity</w:t>
      </w:r>
      <w:r w:rsidR="00482E74" w:rsidRPr="002F496E">
        <w:rPr>
          <w:lang w:val="en-GB"/>
        </w:rPr>
        <w:t>,</w:t>
      </w:r>
      <w:r w:rsidR="00034927" w:rsidRPr="002F496E">
        <w:rPr>
          <w:lang w:val="en-GB"/>
        </w:rPr>
        <w:t xml:space="preserve"> is</w:t>
      </w:r>
      <w:r w:rsidR="00952EB7" w:rsidRPr="002F496E">
        <w:rPr>
          <w:lang w:val="en-GB"/>
        </w:rPr>
        <w:t xml:space="preserve"> credible and</w:t>
      </w:r>
      <w:r w:rsidR="00034927" w:rsidRPr="002F496E">
        <w:rPr>
          <w:lang w:val="en-GB"/>
        </w:rPr>
        <w:t xml:space="preserve"> reliable.</w:t>
      </w:r>
      <w:r w:rsidR="00D613DF" w:rsidRPr="002F496E">
        <w:rPr>
          <w:lang w:val="en-GB"/>
        </w:rPr>
        <w:t xml:space="preserve"> </w:t>
      </w:r>
      <w:r w:rsidR="00952EB7" w:rsidRPr="002F496E">
        <w:rPr>
          <w:lang w:val="en-GB"/>
        </w:rPr>
        <w:t xml:space="preserve"> </w:t>
      </w:r>
      <w:r w:rsidR="00B01866" w:rsidRPr="002F496E">
        <w:rPr>
          <w:lang w:val="en-GB"/>
        </w:rPr>
        <w:t>T</w:t>
      </w:r>
      <w:r w:rsidR="00D128E1" w:rsidRPr="002F496E">
        <w:rPr>
          <w:lang w:val="en-GB"/>
        </w:rPr>
        <w:t>he police had sufficient justification for the arrest because they had reliable and trustworthy information</w:t>
      </w:r>
      <w:r w:rsidR="00E62020" w:rsidRPr="002F496E">
        <w:rPr>
          <w:lang w:val="en-GB"/>
        </w:rPr>
        <w:t xml:space="preserve"> from the complainant himself.</w:t>
      </w:r>
      <w:r w:rsidR="00B01866" w:rsidRPr="002F496E">
        <w:rPr>
          <w:lang w:val="en-GB"/>
        </w:rPr>
        <w:t xml:space="preserve"> It is common cause that the arresting officer observed how badly injured the complainant was. This then settles the factual disputes between the parties. I agree with the assertions made by</w:t>
      </w:r>
      <w:r w:rsidR="008749F7">
        <w:rPr>
          <w:lang w:val="en-GB"/>
        </w:rPr>
        <w:t xml:space="preserve"> the D</w:t>
      </w:r>
      <w:r w:rsidR="00B01866" w:rsidRPr="002F496E">
        <w:rPr>
          <w:lang w:val="en-GB"/>
        </w:rPr>
        <w:t>efendant’s counsel that under the circumstances, it was reasonable for the arresti</w:t>
      </w:r>
      <w:r w:rsidR="008749F7">
        <w:rPr>
          <w:lang w:val="en-GB"/>
        </w:rPr>
        <w:t>ng officer to suspect that the P</w:t>
      </w:r>
      <w:r w:rsidR="00B01866" w:rsidRPr="002F496E">
        <w:rPr>
          <w:lang w:val="en-GB"/>
        </w:rPr>
        <w:t xml:space="preserve">laintiff had attempted to kill </w:t>
      </w:r>
      <w:r w:rsidR="00BB1F74" w:rsidRPr="002F496E">
        <w:rPr>
          <w:lang w:val="en-GB"/>
        </w:rPr>
        <w:t xml:space="preserve">the </w:t>
      </w:r>
      <w:r w:rsidR="00B01866" w:rsidRPr="002F496E">
        <w:rPr>
          <w:lang w:val="en-GB"/>
        </w:rPr>
        <w:t xml:space="preserve">complainant. </w:t>
      </w:r>
      <w:r w:rsidR="00AA4C80" w:rsidRPr="002F496E">
        <w:rPr>
          <w:lang w:val="en-GB"/>
        </w:rPr>
        <w:t>I am</w:t>
      </w:r>
      <w:r w:rsidR="00482E74" w:rsidRPr="002F496E">
        <w:rPr>
          <w:lang w:val="en-GB"/>
        </w:rPr>
        <w:t>,</w:t>
      </w:r>
      <w:r w:rsidR="00AA4C80" w:rsidRPr="002F496E">
        <w:rPr>
          <w:lang w:val="en-GB"/>
        </w:rPr>
        <w:t xml:space="preserve"> therefore</w:t>
      </w:r>
      <w:r w:rsidR="00482E74" w:rsidRPr="002F496E">
        <w:rPr>
          <w:lang w:val="en-GB"/>
        </w:rPr>
        <w:t>,</w:t>
      </w:r>
      <w:r w:rsidR="00AA4C80" w:rsidRPr="002F496E">
        <w:rPr>
          <w:lang w:val="en-GB"/>
        </w:rPr>
        <w:t xml:space="preserve"> satisfied that all the jurisdictional facts were established. </w:t>
      </w:r>
      <w:r w:rsidR="00B01866" w:rsidRPr="002F496E">
        <w:rPr>
          <w:lang w:val="en-GB"/>
        </w:rPr>
        <w:t xml:space="preserve"> </w:t>
      </w:r>
    </w:p>
    <w:p w14:paraId="55990AA3" w14:textId="77777777" w:rsidR="000A0DE1" w:rsidRPr="002F496E" w:rsidRDefault="000A0DE1" w:rsidP="001B3810">
      <w:pPr>
        <w:pStyle w:val="ListParagraph"/>
        <w:jc w:val="both"/>
        <w:rPr>
          <w:color w:val="111111"/>
        </w:rPr>
      </w:pPr>
    </w:p>
    <w:p w14:paraId="6B39EAC6" w14:textId="7FD87A3F" w:rsidR="00A12FC4" w:rsidRPr="001B3810" w:rsidRDefault="001553EA" w:rsidP="001B3810">
      <w:pPr>
        <w:jc w:val="both"/>
        <w:rPr>
          <w:color w:val="111111"/>
        </w:rPr>
      </w:pPr>
      <w:r w:rsidRPr="002F496E">
        <w:rPr>
          <w:color w:val="111111"/>
        </w:rPr>
        <w:t>[26]</w:t>
      </w:r>
      <w:r w:rsidRPr="002F496E">
        <w:rPr>
          <w:color w:val="111111"/>
        </w:rPr>
        <w:tab/>
      </w:r>
      <w:r w:rsidR="004C493E" w:rsidRPr="001B3810">
        <w:rPr>
          <w:color w:val="111111"/>
        </w:rPr>
        <w:t>It is trite that once jurisdictional facts are established, the question of discretion should be scrutinised.</w:t>
      </w:r>
      <w:r w:rsidR="00A12FC4" w:rsidRPr="001B3810">
        <w:rPr>
          <w:color w:val="111111"/>
        </w:rPr>
        <w:t xml:space="preserve"> In</w:t>
      </w:r>
      <w:r w:rsidR="00A12FC4" w:rsidRPr="001B3810">
        <w:rPr>
          <w:i/>
          <w:iCs/>
          <w:color w:val="111111"/>
        </w:rPr>
        <w:t xml:space="preserve"> </w:t>
      </w:r>
      <w:proofErr w:type="spellStart"/>
      <w:r w:rsidR="00A12FC4" w:rsidRPr="001B3810">
        <w:rPr>
          <w:i/>
          <w:iCs/>
          <w:color w:val="111111"/>
        </w:rPr>
        <w:t>Biyela</w:t>
      </w:r>
      <w:proofErr w:type="spellEnd"/>
      <w:r w:rsidR="00A12FC4" w:rsidRPr="001B3810">
        <w:rPr>
          <w:color w:val="111111"/>
        </w:rPr>
        <w:t xml:space="preserve">, </w:t>
      </w:r>
      <w:r w:rsidR="00A12FC4" w:rsidRPr="002F496E">
        <w:rPr>
          <w:rStyle w:val="FootnoteReference"/>
          <w:color w:val="111111"/>
        </w:rPr>
        <w:footnoteReference w:id="8"/>
      </w:r>
      <w:r w:rsidR="00A12FC4" w:rsidRPr="001B3810">
        <w:rPr>
          <w:color w:val="111111"/>
        </w:rPr>
        <w:t xml:space="preserve">at para [36] per Musi AJA, </w:t>
      </w:r>
    </w:p>
    <w:p w14:paraId="27F0ACC9" w14:textId="77777777" w:rsidR="00A12FC4" w:rsidRPr="002F496E" w:rsidRDefault="00A12FC4" w:rsidP="00C12FD8">
      <w:pPr>
        <w:pStyle w:val="ListParagraph"/>
        <w:jc w:val="both"/>
        <w:rPr>
          <w:color w:val="111111"/>
        </w:rPr>
      </w:pPr>
    </w:p>
    <w:p w14:paraId="5721626D" w14:textId="7E9FCB57" w:rsidR="00D613DF" w:rsidRPr="001B3810" w:rsidRDefault="001553EA" w:rsidP="001B3810">
      <w:pPr>
        <w:ind w:left="720"/>
        <w:jc w:val="both"/>
        <w:rPr>
          <w:color w:val="111111"/>
          <w:sz w:val="20"/>
          <w:szCs w:val="20"/>
        </w:rPr>
      </w:pPr>
      <w:r w:rsidRPr="001B3810">
        <w:rPr>
          <w:color w:val="111111"/>
          <w:sz w:val="20"/>
          <w:szCs w:val="20"/>
        </w:rPr>
        <w:t>“</w:t>
      </w:r>
      <w:r w:rsidR="00A12FC4" w:rsidRPr="001B3810">
        <w:rPr>
          <w:color w:val="111111"/>
          <w:sz w:val="20"/>
          <w:szCs w:val="20"/>
        </w:rPr>
        <w:t xml:space="preserve">The arresting officer is not obliged to arrest based on a reasonable suspicion because he or she has discretion. The discretion must be exercised </w:t>
      </w:r>
      <w:r w:rsidR="00B46147" w:rsidRPr="001B3810">
        <w:rPr>
          <w:color w:val="111111"/>
          <w:sz w:val="20"/>
          <w:szCs w:val="20"/>
        </w:rPr>
        <w:t>properly</w:t>
      </w:r>
      <w:r w:rsidR="00A12FC4" w:rsidRPr="001B3810">
        <w:rPr>
          <w:color w:val="111111"/>
          <w:sz w:val="20"/>
          <w:szCs w:val="20"/>
        </w:rPr>
        <w:t>.</w:t>
      </w:r>
      <w:r w:rsidRPr="001B3810">
        <w:rPr>
          <w:color w:val="111111"/>
          <w:sz w:val="20"/>
          <w:szCs w:val="20"/>
        </w:rPr>
        <w:t>”</w:t>
      </w:r>
      <w:r w:rsidR="00A12FC4" w:rsidRPr="001B3810">
        <w:rPr>
          <w:color w:val="111111"/>
          <w:sz w:val="20"/>
          <w:szCs w:val="20"/>
        </w:rPr>
        <w:t xml:space="preserve"> </w:t>
      </w:r>
    </w:p>
    <w:p w14:paraId="36C9CD69" w14:textId="77777777" w:rsidR="00D613DF" w:rsidRPr="002F496E" w:rsidRDefault="00D613DF" w:rsidP="00C12FD8">
      <w:pPr>
        <w:pStyle w:val="ListParagraph"/>
        <w:jc w:val="both"/>
        <w:rPr>
          <w:color w:val="111111"/>
        </w:rPr>
      </w:pPr>
    </w:p>
    <w:p w14:paraId="76D9F881" w14:textId="5DD806C9" w:rsidR="000401EF" w:rsidRPr="001B3810" w:rsidRDefault="001553EA" w:rsidP="001B3810">
      <w:pPr>
        <w:jc w:val="both"/>
        <w:rPr>
          <w:color w:val="111111"/>
        </w:rPr>
      </w:pPr>
      <w:r w:rsidRPr="002F496E">
        <w:rPr>
          <w:lang w:val="en-GB"/>
        </w:rPr>
        <w:t>[27]</w:t>
      </w:r>
      <w:r w:rsidRPr="002F496E">
        <w:rPr>
          <w:lang w:val="en-GB"/>
        </w:rPr>
        <w:tab/>
      </w:r>
      <w:r w:rsidR="00DD7D48" w:rsidRPr="002F496E">
        <w:rPr>
          <w:lang w:val="en-GB"/>
        </w:rPr>
        <w:t>The general requirement is that any discretion must be exercised in good faith, rationally and not arbitrarily.</w:t>
      </w:r>
      <w:r w:rsidR="00DD7D48" w:rsidRPr="002F496E">
        <w:rPr>
          <w:rStyle w:val="FootnoteReference"/>
          <w:lang w:val="en-GB"/>
        </w:rPr>
        <w:footnoteReference w:id="9"/>
      </w:r>
      <w:r w:rsidR="00EA2998" w:rsidRPr="00EA2998">
        <w:rPr>
          <w:lang w:val="en-GB"/>
        </w:rPr>
        <w:t xml:space="preserve"> </w:t>
      </w:r>
      <w:r w:rsidR="00EA2998">
        <w:rPr>
          <w:lang w:val="en-GB"/>
        </w:rPr>
        <w:t>Once the jurisdictional facts have been established, it is for the Plaintiff to prove that the discretion was exercised in an improper manner.</w:t>
      </w:r>
      <w:r w:rsidR="00EA2998">
        <w:rPr>
          <w:rStyle w:val="FootnoteReference"/>
          <w:lang w:val="en-GB"/>
        </w:rPr>
        <w:footnoteReference w:id="10"/>
      </w:r>
      <w:r w:rsidR="00EA2998" w:rsidRPr="002F496E">
        <w:rPr>
          <w:lang w:val="en-GB"/>
        </w:rPr>
        <w:t xml:space="preserve"> </w:t>
      </w:r>
      <w:r w:rsidR="00B46147" w:rsidRPr="002F496E">
        <w:rPr>
          <w:lang w:val="en-GB"/>
        </w:rPr>
        <w:t xml:space="preserve"> </w:t>
      </w:r>
      <w:r w:rsidR="00A12FC4" w:rsidRPr="001B3810">
        <w:rPr>
          <w:color w:val="111111"/>
        </w:rPr>
        <w:t xml:space="preserve">Counsel </w:t>
      </w:r>
      <w:r w:rsidR="006D23D3" w:rsidRPr="001B3810">
        <w:rPr>
          <w:color w:val="111111"/>
        </w:rPr>
        <w:t>for the P</w:t>
      </w:r>
      <w:r w:rsidR="00DE73A7" w:rsidRPr="001B3810">
        <w:rPr>
          <w:color w:val="111111"/>
        </w:rPr>
        <w:t xml:space="preserve">laintiff </w:t>
      </w:r>
      <w:r w:rsidR="00A12FC4" w:rsidRPr="001B3810">
        <w:rPr>
          <w:color w:val="111111"/>
        </w:rPr>
        <w:t xml:space="preserve">argues that the arresting officer failed to </w:t>
      </w:r>
      <w:r w:rsidR="00B002D7" w:rsidRPr="001B3810">
        <w:rPr>
          <w:color w:val="111111"/>
        </w:rPr>
        <w:lastRenderedPageBreak/>
        <w:t>fulfil</w:t>
      </w:r>
      <w:r w:rsidR="00A12FC4" w:rsidRPr="001B3810">
        <w:rPr>
          <w:color w:val="111111"/>
        </w:rPr>
        <w:t xml:space="preserve"> the standing orders.</w:t>
      </w:r>
      <w:r w:rsidR="00DE73A7" w:rsidRPr="001B3810">
        <w:rPr>
          <w:color w:val="111111"/>
        </w:rPr>
        <w:t xml:space="preserve"> With respect, counsel omits</w:t>
      </w:r>
      <w:r w:rsidR="00DD7D48" w:rsidRPr="001B3810">
        <w:rPr>
          <w:color w:val="111111"/>
        </w:rPr>
        <w:t xml:space="preserve"> to substantiate this a</w:t>
      </w:r>
      <w:r w:rsidR="00E62020" w:rsidRPr="001B3810">
        <w:rPr>
          <w:color w:val="111111"/>
        </w:rPr>
        <w:t xml:space="preserve">rgument. I find this feature quite unsettling. In </w:t>
      </w:r>
      <w:r w:rsidR="00E62020" w:rsidRPr="001B3810">
        <w:rPr>
          <w:i/>
          <w:iCs/>
          <w:color w:val="111111"/>
        </w:rPr>
        <w:t>Minister of Safety and Security v Van Niekerk</w:t>
      </w:r>
      <w:r w:rsidR="00B46147" w:rsidRPr="001B3810">
        <w:rPr>
          <w:i/>
          <w:iCs/>
          <w:color w:val="111111"/>
        </w:rPr>
        <w:t>,</w:t>
      </w:r>
      <w:r w:rsidR="00E62020" w:rsidRPr="002F496E">
        <w:rPr>
          <w:rStyle w:val="FootnoteReference"/>
          <w:color w:val="111111"/>
        </w:rPr>
        <w:footnoteReference w:id="11"/>
      </w:r>
      <w:r w:rsidR="000401EF" w:rsidRPr="001B3810">
        <w:rPr>
          <w:color w:val="111111"/>
        </w:rPr>
        <w:t xml:space="preserve"> the Constitutional Court referred at [19],  to the following portions of the Police Standing orders (G) 341 issued under Consolidated notice 15/99:</w:t>
      </w:r>
    </w:p>
    <w:p w14:paraId="231F5205" w14:textId="77777777" w:rsidR="000401EF" w:rsidRPr="002F496E" w:rsidRDefault="000401EF" w:rsidP="00C12FD8">
      <w:pPr>
        <w:pStyle w:val="ListParagraph"/>
        <w:jc w:val="both"/>
        <w:rPr>
          <w:color w:val="111111"/>
        </w:rPr>
      </w:pPr>
    </w:p>
    <w:p w14:paraId="039A45B0" w14:textId="5348C057" w:rsidR="000401EF" w:rsidRPr="001B3810" w:rsidRDefault="001553EA" w:rsidP="001B3810">
      <w:pPr>
        <w:ind w:firstLine="720"/>
        <w:jc w:val="both"/>
        <w:rPr>
          <w:sz w:val="20"/>
          <w:szCs w:val="20"/>
          <w:lang w:val="en-GB"/>
        </w:rPr>
      </w:pPr>
      <w:r w:rsidRPr="001B3810">
        <w:rPr>
          <w:sz w:val="20"/>
          <w:szCs w:val="20"/>
          <w:lang w:val="en-GB"/>
        </w:rPr>
        <w:t>“</w:t>
      </w:r>
      <w:r w:rsidR="000401EF" w:rsidRPr="001B3810">
        <w:rPr>
          <w:sz w:val="20"/>
          <w:szCs w:val="20"/>
          <w:lang w:val="en-GB"/>
        </w:rPr>
        <w:t>Background</w:t>
      </w:r>
    </w:p>
    <w:p w14:paraId="5070296F" w14:textId="0F0606F4" w:rsidR="000401EF" w:rsidRPr="001B3810" w:rsidRDefault="00482E74" w:rsidP="00C12FD8">
      <w:pPr>
        <w:pStyle w:val="ListParagraph"/>
        <w:jc w:val="both"/>
        <w:rPr>
          <w:sz w:val="20"/>
          <w:szCs w:val="20"/>
          <w:lang w:val="en-GB"/>
        </w:rPr>
      </w:pPr>
      <w:r w:rsidRPr="001B3810">
        <w:rPr>
          <w:sz w:val="20"/>
          <w:szCs w:val="20"/>
          <w:lang w:val="en-GB"/>
        </w:rPr>
        <w:t xml:space="preserve">The arrest </w:t>
      </w:r>
      <w:r w:rsidR="000401EF" w:rsidRPr="001B3810">
        <w:rPr>
          <w:sz w:val="20"/>
          <w:szCs w:val="20"/>
          <w:lang w:val="en-GB"/>
        </w:rPr>
        <w:t xml:space="preserve">constitutes one of the most drastic infringements of the rights of an individual. The rules that have been laid down by the Constitution, 1996(Act 108 of 1996), the Criminal Procedure Act, </w:t>
      </w:r>
      <w:r w:rsidR="00B46147" w:rsidRPr="001B3810">
        <w:rPr>
          <w:sz w:val="20"/>
          <w:szCs w:val="20"/>
          <w:lang w:val="en-GB"/>
        </w:rPr>
        <w:t>1977(Act</w:t>
      </w:r>
      <w:r w:rsidR="000401EF" w:rsidRPr="001B3810">
        <w:rPr>
          <w:sz w:val="20"/>
          <w:szCs w:val="20"/>
          <w:lang w:val="en-GB"/>
        </w:rPr>
        <w:t xml:space="preserve"> 51 of 1977), the other legislation and this order concerning the circumstances when a person may be arrested and how such person should be treated, must be adhered to.</w:t>
      </w:r>
      <w:r w:rsidR="001553EA" w:rsidRPr="001B3810">
        <w:rPr>
          <w:sz w:val="20"/>
          <w:szCs w:val="20"/>
          <w:lang w:val="en-GB"/>
        </w:rPr>
        <w:t>”</w:t>
      </w:r>
    </w:p>
    <w:p w14:paraId="79F25F83" w14:textId="77777777" w:rsidR="000401EF" w:rsidRPr="002F496E" w:rsidRDefault="000401EF" w:rsidP="00C12FD8">
      <w:pPr>
        <w:pStyle w:val="ListParagraph"/>
        <w:jc w:val="both"/>
        <w:rPr>
          <w:color w:val="111111"/>
        </w:rPr>
      </w:pPr>
    </w:p>
    <w:p w14:paraId="62471CC6" w14:textId="181FE3E6" w:rsidR="000A0DE1" w:rsidRPr="001B3810" w:rsidRDefault="001553EA" w:rsidP="001B3810">
      <w:pPr>
        <w:jc w:val="both"/>
        <w:rPr>
          <w:color w:val="111111"/>
        </w:rPr>
      </w:pPr>
      <w:r w:rsidRPr="002F496E">
        <w:rPr>
          <w:color w:val="111111"/>
        </w:rPr>
        <w:t>[28]</w:t>
      </w:r>
      <w:r w:rsidRPr="002F496E">
        <w:rPr>
          <w:color w:val="111111"/>
        </w:rPr>
        <w:tab/>
      </w:r>
      <w:r w:rsidR="00DE73A7" w:rsidRPr="001B3810">
        <w:rPr>
          <w:color w:val="111111"/>
        </w:rPr>
        <w:t>The only fact that was challenged on the</w:t>
      </w:r>
      <w:r w:rsidR="00AC15A5" w:rsidRPr="001B3810">
        <w:rPr>
          <w:color w:val="111111"/>
        </w:rPr>
        <w:t xml:space="preserve"> manner of arrest was that the P</w:t>
      </w:r>
      <w:r w:rsidR="00DE73A7" w:rsidRPr="001B3810">
        <w:rPr>
          <w:color w:val="111111"/>
        </w:rPr>
        <w:t>laintiff was never made aware of the allegations against him.</w:t>
      </w:r>
      <w:r w:rsidR="000401EF" w:rsidRPr="001B3810">
        <w:rPr>
          <w:color w:val="111111"/>
        </w:rPr>
        <w:t xml:space="preserve"> </w:t>
      </w:r>
      <w:r w:rsidR="00CF3999" w:rsidRPr="001B3810">
        <w:rPr>
          <w:color w:val="111111"/>
        </w:rPr>
        <w:t>It must be remem</w:t>
      </w:r>
      <w:r w:rsidR="0085718B" w:rsidRPr="001B3810">
        <w:rPr>
          <w:color w:val="111111"/>
        </w:rPr>
        <w:t xml:space="preserve">bered that </w:t>
      </w:r>
      <w:r w:rsidR="00AC15A5" w:rsidRPr="001B3810">
        <w:rPr>
          <w:color w:val="111111"/>
        </w:rPr>
        <w:t>P</w:t>
      </w:r>
      <w:r w:rsidR="00CF3999" w:rsidRPr="001B3810">
        <w:rPr>
          <w:color w:val="111111"/>
        </w:rPr>
        <w:t>laintiff contradicted what was p</w:t>
      </w:r>
      <w:r w:rsidR="00AC15A5" w:rsidRPr="001B3810">
        <w:rPr>
          <w:color w:val="111111"/>
        </w:rPr>
        <w:t>ut to the D</w:t>
      </w:r>
      <w:r w:rsidR="008749F7">
        <w:rPr>
          <w:color w:val="111111"/>
        </w:rPr>
        <w:t>efendant’s</w:t>
      </w:r>
      <w:r w:rsidR="0085718B" w:rsidRPr="001B3810">
        <w:rPr>
          <w:color w:val="111111"/>
        </w:rPr>
        <w:t xml:space="preserve"> witnesses on this aspect.</w:t>
      </w:r>
      <w:r w:rsidR="00CF3999" w:rsidRPr="001B3810">
        <w:rPr>
          <w:color w:val="111111"/>
        </w:rPr>
        <w:t xml:space="preserve"> </w:t>
      </w:r>
      <w:r w:rsidR="004907B9" w:rsidRPr="001B3810">
        <w:rPr>
          <w:color w:val="111111"/>
        </w:rPr>
        <w:t xml:space="preserve">Although it was claimed during cross-examination that </w:t>
      </w:r>
      <w:r w:rsidR="00AC15A5" w:rsidRPr="001B3810">
        <w:rPr>
          <w:color w:val="111111"/>
        </w:rPr>
        <w:t>P</w:t>
      </w:r>
      <w:r w:rsidR="00DE73A7" w:rsidRPr="001B3810">
        <w:rPr>
          <w:color w:val="111111"/>
        </w:rPr>
        <w:t>laintiff</w:t>
      </w:r>
      <w:r w:rsidR="004907B9" w:rsidRPr="001B3810">
        <w:rPr>
          <w:color w:val="111111"/>
        </w:rPr>
        <w:t xml:space="preserve"> had never been aware of the accusations against him, this fact flew right in his face. </w:t>
      </w:r>
      <w:r w:rsidR="00DE73A7" w:rsidRPr="001B3810">
        <w:rPr>
          <w:color w:val="111111"/>
        </w:rPr>
        <w:t>In contrast to the information provided to the arresting officer</w:t>
      </w:r>
      <w:r w:rsidR="00AC15A5" w:rsidRPr="001B3810">
        <w:rPr>
          <w:color w:val="111111"/>
        </w:rPr>
        <w:t>, P</w:t>
      </w:r>
      <w:r w:rsidR="00CF3999" w:rsidRPr="001B3810">
        <w:rPr>
          <w:color w:val="111111"/>
        </w:rPr>
        <w:t>laintif</w:t>
      </w:r>
      <w:r w:rsidR="00DE73A7" w:rsidRPr="001B3810">
        <w:rPr>
          <w:color w:val="111111"/>
        </w:rPr>
        <w:t>f testified that</w:t>
      </w:r>
      <w:r w:rsidR="00AC15A5" w:rsidRPr="001B3810">
        <w:rPr>
          <w:color w:val="111111"/>
        </w:rPr>
        <w:t xml:space="preserve"> the</w:t>
      </w:r>
      <w:r w:rsidR="00DE73A7" w:rsidRPr="001B3810">
        <w:rPr>
          <w:color w:val="111111"/>
        </w:rPr>
        <w:t xml:space="preserve"> police told </w:t>
      </w:r>
      <w:r w:rsidR="00AC15A5" w:rsidRPr="001B3810">
        <w:rPr>
          <w:color w:val="111111"/>
        </w:rPr>
        <w:t>him he</w:t>
      </w:r>
      <w:r w:rsidR="00CF3999" w:rsidRPr="001B3810">
        <w:rPr>
          <w:color w:val="111111"/>
        </w:rPr>
        <w:t xml:space="preserve"> had shot Bridge and </w:t>
      </w:r>
      <w:r w:rsidR="00DE73A7" w:rsidRPr="001B3810">
        <w:rPr>
          <w:color w:val="111111"/>
        </w:rPr>
        <w:t>further question</w:t>
      </w:r>
      <w:r w:rsidR="00AC15A5" w:rsidRPr="001B3810">
        <w:rPr>
          <w:color w:val="111111"/>
        </w:rPr>
        <w:t>ed him concerning a firearm</w:t>
      </w:r>
      <w:r w:rsidR="00DE73A7" w:rsidRPr="001B3810">
        <w:rPr>
          <w:color w:val="111111"/>
        </w:rPr>
        <w:t xml:space="preserve"> he had</w:t>
      </w:r>
      <w:r w:rsidR="00AC15A5" w:rsidRPr="001B3810">
        <w:rPr>
          <w:color w:val="111111"/>
        </w:rPr>
        <w:t xml:space="preserve"> never</w:t>
      </w:r>
      <w:r w:rsidR="00DE73A7" w:rsidRPr="001B3810">
        <w:rPr>
          <w:color w:val="111111"/>
        </w:rPr>
        <w:t xml:space="preserve"> used.</w:t>
      </w:r>
      <w:r w:rsidR="0085718B" w:rsidRPr="001B3810">
        <w:rPr>
          <w:color w:val="111111"/>
        </w:rPr>
        <w:t xml:space="preserve"> </w:t>
      </w:r>
      <w:r w:rsidR="00D1126B" w:rsidRPr="001B3810">
        <w:rPr>
          <w:color w:val="111111"/>
        </w:rPr>
        <w:t>Even if reliance were to be placed on the standing orders, a</w:t>
      </w:r>
      <w:r w:rsidR="006D23D3" w:rsidRPr="001B3810">
        <w:rPr>
          <w:color w:val="111111"/>
        </w:rPr>
        <w:t>s suggested by counsel for the P</w:t>
      </w:r>
      <w:r w:rsidR="00D1126B" w:rsidRPr="001B3810">
        <w:rPr>
          <w:color w:val="111111"/>
        </w:rPr>
        <w:t>laintiff, there is nothing to suggest that the arresting officer exercised his discretion improperly.</w:t>
      </w:r>
      <w:r w:rsidR="00EF206F" w:rsidRPr="001B3810">
        <w:rPr>
          <w:color w:val="111111"/>
        </w:rPr>
        <w:t xml:space="preserve"> What appears on the evidence tendered is that police followed the correct</w:t>
      </w:r>
      <w:r w:rsidR="00366467" w:rsidRPr="001B3810">
        <w:rPr>
          <w:color w:val="111111"/>
        </w:rPr>
        <w:t xml:space="preserve"> procedures</w:t>
      </w:r>
      <w:r w:rsidR="00F015FD" w:rsidRPr="002F496E">
        <w:rPr>
          <w:rStyle w:val="FootnoteReference"/>
          <w:color w:val="111111"/>
        </w:rPr>
        <w:footnoteReference w:id="12"/>
      </w:r>
      <w:r w:rsidR="00366467" w:rsidRPr="001B3810">
        <w:rPr>
          <w:color w:val="111111"/>
        </w:rPr>
        <w:t xml:space="preserve"> when </w:t>
      </w:r>
      <w:r w:rsidR="00DE73A7" w:rsidRPr="001B3810">
        <w:rPr>
          <w:color w:val="111111"/>
        </w:rPr>
        <w:t>effecting the arrest</w:t>
      </w:r>
      <w:r w:rsidR="00EF206F" w:rsidRPr="001B3810">
        <w:rPr>
          <w:color w:val="111111"/>
        </w:rPr>
        <w:t>.</w:t>
      </w:r>
      <w:r w:rsidR="00D1126B" w:rsidRPr="001B3810">
        <w:rPr>
          <w:color w:val="111111"/>
        </w:rPr>
        <w:t xml:space="preserve"> </w:t>
      </w:r>
      <w:r w:rsidR="00EF206F" w:rsidRPr="001B3810">
        <w:rPr>
          <w:color w:val="111111"/>
        </w:rPr>
        <w:t>T</w:t>
      </w:r>
      <w:r w:rsidR="00D1126B" w:rsidRPr="001B3810">
        <w:rPr>
          <w:color w:val="111111"/>
        </w:rPr>
        <w:t>here is no</w:t>
      </w:r>
      <w:r w:rsidR="006D23D3" w:rsidRPr="001B3810">
        <w:rPr>
          <w:color w:val="111111"/>
        </w:rPr>
        <w:t xml:space="preserve"> hint of proof that police</w:t>
      </w:r>
      <w:r w:rsidR="00366467" w:rsidRPr="001B3810">
        <w:rPr>
          <w:color w:val="111111"/>
        </w:rPr>
        <w:t xml:space="preserve"> actions were motivated</w:t>
      </w:r>
      <w:r w:rsidR="00D1126B" w:rsidRPr="001B3810">
        <w:rPr>
          <w:color w:val="111111"/>
        </w:rPr>
        <w:t xml:space="preserve"> </w:t>
      </w:r>
      <w:r w:rsidR="00D101BF" w:rsidRPr="001B3810">
        <w:rPr>
          <w:color w:val="111111"/>
        </w:rPr>
        <w:t xml:space="preserve">by </w:t>
      </w:r>
      <w:proofErr w:type="spellStart"/>
      <w:r w:rsidR="00D1126B" w:rsidRPr="001B3810">
        <w:rPr>
          <w:i/>
          <w:color w:val="111111"/>
        </w:rPr>
        <w:t>malafides</w:t>
      </w:r>
      <w:proofErr w:type="spellEnd"/>
      <w:r w:rsidR="00D1126B" w:rsidRPr="001B3810">
        <w:rPr>
          <w:color w:val="111111"/>
        </w:rPr>
        <w:t xml:space="preserve"> or by</w:t>
      </w:r>
      <w:r w:rsidR="004907B9" w:rsidRPr="001B3810">
        <w:rPr>
          <w:color w:val="111111"/>
        </w:rPr>
        <w:t xml:space="preserve"> ulterior motives at the time the arrest was</w:t>
      </w:r>
      <w:r w:rsidR="00AC15A5" w:rsidRPr="001B3810">
        <w:rPr>
          <w:color w:val="111111"/>
        </w:rPr>
        <w:t xml:space="preserve"> executed</w:t>
      </w:r>
      <w:r w:rsidR="004907B9" w:rsidRPr="001B3810">
        <w:rPr>
          <w:color w:val="111111"/>
        </w:rPr>
        <w:t xml:space="preserve">. </w:t>
      </w:r>
      <w:r w:rsidR="00E8206A" w:rsidRPr="001B3810">
        <w:rPr>
          <w:color w:val="111111"/>
        </w:rPr>
        <w:t>I</w:t>
      </w:r>
      <w:r w:rsidR="00482E74" w:rsidRPr="001B3810">
        <w:rPr>
          <w:color w:val="111111"/>
        </w:rPr>
        <w:t>, therefore,</w:t>
      </w:r>
      <w:r w:rsidR="00E8206A" w:rsidRPr="001B3810">
        <w:rPr>
          <w:color w:val="111111"/>
        </w:rPr>
        <w:t xml:space="preserve"> conclude that</w:t>
      </w:r>
      <w:r w:rsidR="00366467" w:rsidRPr="001B3810">
        <w:rPr>
          <w:color w:val="111111"/>
        </w:rPr>
        <w:t xml:space="preserve"> the</w:t>
      </w:r>
      <w:r w:rsidR="006D23D3" w:rsidRPr="001B3810">
        <w:rPr>
          <w:color w:val="111111"/>
        </w:rPr>
        <w:t xml:space="preserve"> P</w:t>
      </w:r>
      <w:r w:rsidR="00771ACA" w:rsidRPr="001B3810">
        <w:rPr>
          <w:color w:val="111111"/>
        </w:rPr>
        <w:t xml:space="preserve">laintiff’s arrest was </w:t>
      </w:r>
      <w:r w:rsidR="00316065" w:rsidRPr="002F496E">
        <w:rPr>
          <w:color w:val="111111"/>
        </w:rPr>
        <w:t>lawful,</w:t>
      </w:r>
      <w:r w:rsidR="00771ACA" w:rsidRPr="001B3810">
        <w:rPr>
          <w:color w:val="111111"/>
        </w:rPr>
        <w:t xml:space="preserve"> and police exercised their discretion to arrest properly.</w:t>
      </w:r>
    </w:p>
    <w:p w14:paraId="5D27BF41" w14:textId="77777777" w:rsidR="001D0428" w:rsidRPr="002F496E" w:rsidRDefault="001D0428" w:rsidP="00C12FD8">
      <w:pPr>
        <w:pStyle w:val="ListParagraph"/>
        <w:jc w:val="both"/>
        <w:rPr>
          <w:color w:val="111111"/>
        </w:rPr>
      </w:pPr>
    </w:p>
    <w:p w14:paraId="58E10CF5" w14:textId="14C98E4D" w:rsidR="008F2285" w:rsidRPr="001B3810" w:rsidRDefault="001553EA" w:rsidP="001B3810">
      <w:pPr>
        <w:jc w:val="both"/>
        <w:rPr>
          <w:color w:val="111111"/>
          <w:u w:val="single"/>
        </w:rPr>
      </w:pPr>
      <w:r w:rsidRPr="002F496E">
        <w:rPr>
          <w:color w:val="111111"/>
        </w:rPr>
        <w:t>[29]</w:t>
      </w:r>
      <w:r w:rsidRPr="002F496E">
        <w:rPr>
          <w:color w:val="111111"/>
        </w:rPr>
        <w:tab/>
      </w:r>
      <w:r w:rsidR="006D23D3" w:rsidRPr="001B3810">
        <w:rPr>
          <w:color w:val="111111"/>
        </w:rPr>
        <w:t>In the P</w:t>
      </w:r>
      <w:r w:rsidR="001D0428" w:rsidRPr="001B3810">
        <w:rPr>
          <w:color w:val="111111"/>
        </w:rPr>
        <w:t xml:space="preserve">laintiff’s particulars of claim, the issue of </w:t>
      </w:r>
      <w:r w:rsidR="00034927" w:rsidRPr="001B3810">
        <w:rPr>
          <w:color w:val="111111"/>
        </w:rPr>
        <w:t>detention is</w:t>
      </w:r>
      <w:r w:rsidR="001D0428" w:rsidRPr="001B3810">
        <w:rPr>
          <w:color w:val="111111"/>
        </w:rPr>
        <w:t xml:space="preserve"> pleaded separately from arrest. In my view, it is imperative that this issue be scrutinised and </w:t>
      </w:r>
      <w:r w:rsidR="001D0428" w:rsidRPr="001B3810">
        <w:rPr>
          <w:color w:val="111111"/>
        </w:rPr>
        <w:lastRenderedPageBreak/>
        <w:t>dealt with separately. W</w:t>
      </w:r>
      <w:r w:rsidR="001778B1" w:rsidRPr="001B3810">
        <w:rPr>
          <w:color w:val="111111"/>
        </w:rPr>
        <w:t>hat was said</w:t>
      </w:r>
      <w:r w:rsidR="001D0428" w:rsidRPr="001B3810">
        <w:rPr>
          <w:color w:val="111111"/>
        </w:rPr>
        <w:t xml:space="preserve"> in </w:t>
      </w:r>
      <w:r w:rsidR="001D0428" w:rsidRPr="001B3810">
        <w:rPr>
          <w:i/>
          <w:iCs/>
          <w:color w:val="111111"/>
        </w:rPr>
        <w:t>M R v Minister of Safety and Security</w:t>
      </w:r>
      <w:r w:rsidR="001778B1" w:rsidRPr="001B3810">
        <w:rPr>
          <w:rStyle w:val="FootnoteReference"/>
          <w:i/>
          <w:iCs/>
          <w:color w:val="111111"/>
        </w:rPr>
        <w:footnoteReference w:id="13"/>
      </w:r>
      <w:r w:rsidR="00034927" w:rsidRPr="001B3810">
        <w:rPr>
          <w:color w:val="111111"/>
        </w:rPr>
        <w:t xml:space="preserve"> finds relevance in</w:t>
      </w:r>
      <w:r w:rsidR="00267914" w:rsidRPr="001B3810">
        <w:rPr>
          <w:color w:val="111111"/>
        </w:rPr>
        <w:t xml:space="preserve"> this matter</w:t>
      </w:r>
      <w:r w:rsidR="00034927" w:rsidRPr="001B3810">
        <w:rPr>
          <w:color w:val="111111"/>
        </w:rPr>
        <w:t>.  T</w:t>
      </w:r>
      <w:r w:rsidR="001D0428" w:rsidRPr="001B3810">
        <w:rPr>
          <w:color w:val="111111"/>
        </w:rPr>
        <w:t xml:space="preserve">he court held that arrest and detention are separate legal </w:t>
      </w:r>
      <w:r w:rsidR="001778B1" w:rsidRPr="001B3810">
        <w:rPr>
          <w:color w:val="111111"/>
        </w:rPr>
        <w:t>processes,</w:t>
      </w:r>
      <w:r w:rsidR="001D0428" w:rsidRPr="001B3810">
        <w:rPr>
          <w:color w:val="111111"/>
        </w:rPr>
        <w:t xml:space="preserve"> so much that while the arrest may be lawful</w:t>
      </w:r>
      <w:r w:rsidR="00366467" w:rsidRPr="001B3810">
        <w:rPr>
          <w:color w:val="111111"/>
        </w:rPr>
        <w:t>, the detention may be unlawful</w:t>
      </w:r>
      <w:r w:rsidR="00482E74" w:rsidRPr="001B3810">
        <w:rPr>
          <w:color w:val="111111"/>
        </w:rPr>
        <w:t>; the</w:t>
      </w:r>
      <w:r w:rsidR="001778B1" w:rsidRPr="001B3810">
        <w:rPr>
          <w:color w:val="111111"/>
        </w:rPr>
        <w:t xml:space="preserve"> fact that both result in someone being deprived of her or his liberty does not make them one legal process. </w:t>
      </w:r>
    </w:p>
    <w:p w14:paraId="4CBB05DE" w14:textId="77777777" w:rsidR="00313E41" w:rsidRPr="002F496E" w:rsidRDefault="00313E41" w:rsidP="00C12FD8">
      <w:pPr>
        <w:pStyle w:val="ListParagraph"/>
        <w:jc w:val="both"/>
        <w:rPr>
          <w:color w:val="111111"/>
          <w:u w:val="single"/>
        </w:rPr>
      </w:pPr>
    </w:p>
    <w:p w14:paraId="3DDD00F2" w14:textId="65CBDA65" w:rsidR="00EA263B" w:rsidRPr="001B3810" w:rsidRDefault="00316065" w:rsidP="001B3810">
      <w:pPr>
        <w:autoSpaceDE w:val="0"/>
        <w:autoSpaceDN w:val="0"/>
        <w:adjustRightInd w:val="0"/>
        <w:jc w:val="both"/>
        <w:rPr>
          <w:color w:val="111111"/>
          <w:u w:val="single"/>
        </w:rPr>
      </w:pPr>
      <w:r w:rsidRPr="002F496E">
        <w:rPr>
          <w:color w:val="111111"/>
        </w:rPr>
        <w:t>[30]</w:t>
      </w:r>
      <w:r w:rsidRPr="002F496E">
        <w:rPr>
          <w:color w:val="111111"/>
        </w:rPr>
        <w:tab/>
      </w:r>
      <w:r w:rsidR="00313E41" w:rsidRPr="001B3810">
        <w:rPr>
          <w:color w:val="111111"/>
        </w:rPr>
        <w:t xml:space="preserve">It is trite that </w:t>
      </w:r>
      <w:r w:rsidR="006D6DE3" w:rsidRPr="001B3810">
        <w:rPr>
          <w:color w:val="111111"/>
        </w:rPr>
        <w:t>d</w:t>
      </w:r>
      <w:r w:rsidR="00313E41" w:rsidRPr="001B3810">
        <w:rPr>
          <w:color w:val="111111"/>
        </w:rPr>
        <w:t xml:space="preserve">etention is, in and by </w:t>
      </w:r>
      <w:r w:rsidRPr="002F496E">
        <w:rPr>
          <w:color w:val="111111"/>
        </w:rPr>
        <w:t>itself,</w:t>
      </w:r>
      <w:r w:rsidR="00313E41" w:rsidRPr="001B3810">
        <w:rPr>
          <w:color w:val="111111"/>
        </w:rPr>
        <w:t xml:space="preserve"> </w:t>
      </w:r>
      <w:r w:rsidR="00313E41" w:rsidRPr="00B002D7">
        <w:rPr>
          <w:i/>
          <w:iCs/>
          <w:color w:val="111111"/>
        </w:rPr>
        <w:t>prima</w:t>
      </w:r>
      <w:r w:rsidR="006D6DE3" w:rsidRPr="00B002D7">
        <w:rPr>
          <w:i/>
          <w:iCs/>
          <w:color w:val="111111"/>
        </w:rPr>
        <w:t xml:space="preserve"> </w:t>
      </w:r>
      <w:r w:rsidR="00313E41" w:rsidRPr="00B002D7">
        <w:rPr>
          <w:i/>
          <w:iCs/>
          <w:color w:val="111111"/>
        </w:rPr>
        <w:t>facie</w:t>
      </w:r>
      <w:r w:rsidR="00313E41" w:rsidRPr="001B3810">
        <w:rPr>
          <w:color w:val="111111"/>
        </w:rPr>
        <w:t xml:space="preserve"> unlawful</w:t>
      </w:r>
      <w:r w:rsidR="006D6DE3" w:rsidRPr="001B3810">
        <w:rPr>
          <w:color w:val="111111"/>
        </w:rPr>
        <w:t>. The onus rests on the detaining officer to justify the detention.</w:t>
      </w:r>
      <w:r w:rsidR="002A0B9B" w:rsidRPr="001B3810">
        <w:rPr>
          <w:color w:val="111111"/>
        </w:rPr>
        <w:t xml:space="preserve"> </w:t>
      </w:r>
      <w:r w:rsidR="00EA263B" w:rsidRPr="001B3810">
        <w:rPr>
          <w:color w:val="111111"/>
        </w:rPr>
        <w:t>The</w:t>
      </w:r>
      <w:r w:rsidR="002418F4" w:rsidRPr="001B3810">
        <w:rPr>
          <w:color w:val="111111"/>
        </w:rPr>
        <w:t xml:space="preserve"> constitutional right guaranteed in Section 12(1) of the Constitution to not be arbitrarily deprived of one’s freedom and security of person shall serve as the lens through which liability for unlawful arrest and detention should be viewed. </w:t>
      </w:r>
      <w:r w:rsidR="00313E41" w:rsidRPr="001B3810">
        <w:rPr>
          <w:color w:val="111111"/>
        </w:rPr>
        <w:t>The right not to be deprived of freedom arbitrarily or without a just cause applies to all persons in the Republic.</w:t>
      </w:r>
      <w:r w:rsidR="002A0B9B" w:rsidRPr="002F496E">
        <w:rPr>
          <w:rStyle w:val="FootnoteReference"/>
          <w:color w:val="111111"/>
        </w:rPr>
        <w:footnoteReference w:id="14"/>
      </w:r>
      <w:r w:rsidR="006F4A65" w:rsidRPr="001B3810">
        <w:rPr>
          <w:color w:val="auto"/>
          <w:sz w:val="20"/>
          <w:szCs w:val="20"/>
        </w:rPr>
        <w:t xml:space="preserve"> </w:t>
      </w:r>
      <w:r w:rsidR="00CE69E2" w:rsidRPr="002F496E">
        <w:rPr>
          <w:color w:val="auto"/>
        </w:rPr>
        <w:t xml:space="preserve">In </w:t>
      </w:r>
      <w:r w:rsidR="00CE69E2" w:rsidRPr="001B3810">
        <w:rPr>
          <w:i/>
          <w:color w:val="auto"/>
        </w:rPr>
        <w:t>Minister of Safety and Security v Magagula</w:t>
      </w:r>
      <w:r w:rsidR="00CE69E2" w:rsidRPr="002F496E">
        <w:rPr>
          <w:color w:val="auto"/>
        </w:rPr>
        <w:t>,</w:t>
      </w:r>
      <w:r w:rsidR="00CE69E2">
        <w:rPr>
          <w:rStyle w:val="FootnoteReference"/>
          <w:color w:val="auto"/>
        </w:rPr>
        <w:footnoteReference w:id="15"/>
      </w:r>
      <w:r w:rsidR="00CE69E2">
        <w:rPr>
          <w:color w:val="auto"/>
        </w:rPr>
        <w:t xml:space="preserve"> </w:t>
      </w:r>
      <w:r w:rsidR="00D665BE" w:rsidRPr="002F496E">
        <w:rPr>
          <w:color w:val="auto"/>
        </w:rPr>
        <w:t>t</w:t>
      </w:r>
      <w:r w:rsidR="006F4A65" w:rsidRPr="002F496E">
        <w:rPr>
          <w:color w:val="auto"/>
        </w:rPr>
        <w:t xml:space="preserve">he </w:t>
      </w:r>
      <w:r w:rsidR="00D665BE" w:rsidRPr="002F496E">
        <w:rPr>
          <w:color w:val="auto"/>
        </w:rPr>
        <w:t xml:space="preserve">Supreme Court of Appeal emphasized the need to </w:t>
      </w:r>
      <w:r w:rsidR="006F4A65" w:rsidRPr="002F496E">
        <w:rPr>
          <w:color w:val="auto"/>
        </w:rPr>
        <w:t xml:space="preserve">distinguish between the period </w:t>
      </w:r>
      <w:r w:rsidR="00E37311">
        <w:rPr>
          <w:color w:val="auto"/>
        </w:rPr>
        <w:t>of</w:t>
      </w:r>
      <w:r w:rsidR="006F4A65" w:rsidRPr="002F496E">
        <w:rPr>
          <w:color w:val="auto"/>
        </w:rPr>
        <w:t xml:space="preserve"> arrest and an accused’s first appearance in court, on the one hand, and the period between first appearance and ultimate release, on the other. The case for unlawful detention in respect of the first period, said Lamont AJA, is dependent upon the failure </w:t>
      </w:r>
      <w:r w:rsidR="00C21807" w:rsidRPr="002F496E">
        <w:rPr>
          <w:color w:val="auto"/>
        </w:rPr>
        <w:t xml:space="preserve">of </w:t>
      </w:r>
      <w:r w:rsidR="006F4A65" w:rsidRPr="002F496E">
        <w:rPr>
          <w:color w:val="auto"/>
        </w:rPr>
        <w:t xml:space="preserve">the authorities to establish that the arrest was lawful. In respect of the second period, however, the legality of detention </w:t>
      </w:r>
      <w:r w:rsidR="00C21807" w:rsidRPr="002F496E">
        <w:rPr>
          <w:color w:val="auto"/>
        </w:rPr>
        <w:t xml:space="preserve">depends upon the </w:t>
      </w:r>
      <w:r w:rsidR="00EA2998" w:rsidRPr="00EA2998">
        <w:t>court’s order</w:t>
      </w:r>
      <w:r w:rsidR="00EA2998">
        <w:t>s</w:t>
      </w:r>
      <w:r w:rsidR="00EA2998" w:rsidRPr="00EA2998">
        <w:t>.</w:t>
      </w:r>
    </w:p>
    <w:p w14:paraId="627A21F3" w14:textId="77777777" w:rsidR="00313E41" w:rsidRPr="002F496E" w:rsidRDefault="00313E41" w:rsidP="001B3810">
      <w:pPr>
        <w:pStyle w:val="ListParagraph"/>
        <w:jc w:val="both"/>
        <w:rPr>
          <w:color w:val="111111"/>
          <w:u w:val="single"/>
        </w:rPr>
      </w:pPr>
    </w:p>
    <w:p w14:paraId="02753F8C" w14:textId="0ADC0833" w:rsidR="002A0B9B" w:rsidRPr="002F496E" w:rsidRDefault="00316065" w:rsidP="001B3810">
      <w:pPr>
        <w:pStyle w:val="FootnoteText"/>
        <w:jc w:val="both"/>
      </w:pPr>
      <w:r w:rsidRPr="002F496E">
        <w:rPr>
          <w:color w:val="111111"/>
          <w:sz w:val="24"/>
          <w:szCs w:val="24"/>
        </w:rPr>
        <w:t>[31]</w:t>
      </w:r>
      <w:r w:rsidRPr="002F496E">
        <w:rPr>
          <w:color w:val="111111"/>
          <w:sz w:val="24"/>
          <w:szCs w:val="24"/>
        </w:rPr>
        <w:tab/>
      </w:r>
      <w:r w:rsidR="00313E41" w:rsidRPr="002F496E">
        <w:rPr>
          <w:color w:val="111111"/>
          <w:sz w:val="24"/>
          <w:szCs w:val="24"/>
        </w:rPr>
        <w:t xml:space="preserve">In the case under consideration, it is common cause that the Plaintiff </w:t>
      </w:r>
      <w:r w:rsidR="006D6DE3" w:rsidRPr="002F496E">
        <w:rPr>
          <w:color w:val="111111"/>
          <w:sz w:val="24"/>
          <w:szCs w:val="24"/>
        </w:rPr>
        <w:t>faced a Schedule 1 offence which is regarded as a very serious offence.</w:t>
      </w:r>
      <w:r w:rsidR="002A0B9B" w:rsidRPr="002F496E">
        <w:rPr>
          <w:color w:val="111111"/>
          <w:sz w:val="24"/>
          <w:szCs w:val="24"/>
        </w:rPr>
        <w:t xml:space="preserve"> </w:t>
      </w:r>
      <w:r w:rsidR="00C21807" w:rsidRPr="002F496E">
        <w:rPr>
          <w:color w:val="111111"/>
          <w:sz w:val="24"/>
          <w:szCs w:val="24"/>
        </w:rPr>
        <w:t>In Banda</w:t>
      </w:r>
      <w:r w:rsidR="002A0B9B" w:rsidRPr="001B3810">
        <w:rPr>
          <w:i/>
          <w:iCs/>
          <w:sz w:val="24"/>
          <w:szCs w:val="24"/>
        </w:rPr>
        <w:t xml:space="preserve"> v Minister of Police</w:t>
      </w:r>
      <w:r w:rsidR="00272015" w:rsidRPr="002F496E">
        <w:rPr>
          <w:rStyle w:val="FootnoteReference"/>
          <w:sz w:val="24"/>
          <w:szCs w:val="24"/>
        </w:rPr>
        <w:footnoteReference w:id="16"/>
      </w:r>
      <w:r w:rsidR="0036625D" w:rsidRPr="002F496E">
        <w:rPr>
          <w:sz w:val="24"/>
          <w:szCs w:val="24"/>
        </w:rPr>
        <w:t xml:space="preserve"> </w:t>
      </w:r>
      <w:r w:rsidR="002A0B9B" w:rsidRPr="002F496E">
        <w:t xml:space="preserve"> </w:t>
      </w:r>
      <w:r w:rsidR="002A0B9B" w:rsidRPr="002F496E">
        <w:rPr>
          <w:sz w:val="24"/>
          <w:szCs w:val="24"/>
        </w:rPr>
        <w:t>at para 61</w:t>
      </w:r>
      <w:r w:rsidR="002A0B9B" w:rsidRPr="002F496E">
        <w:t xml:space="preserve"> </w:t>
      </w:r>
      <w:r w:rsidR="002A0B9B" w:rsidRPr="002F496E">
        <w:rPr>
          <w:sz w:val="24"/>
          <w:szCs w:val="24"/>
        </w:rPr>
        <w:t>per Mbenenge JP</w:t>
      </w:r>
    </w:p>
    <w:p w14:paraId="67139049" w14:textId="77777777" w:rsidR="00272015" w:rsidRPr="002F496E" w:rsidRDefault="00272015" w:rsidP="001B3810">
      <w:pPr>
        <w:pStyle w:val="ListParagraph"/>
        <w:jc w:val="both"/>
      </w:pPr>
    </w:p>
    <w:p w14:paraId="749323B9" w14:textId="689287DE" w:rsidR="00313E41" w:rsidRPr="002F496E" w:rsidRDefault="00316065" w:rsidP="001B3810">
      <w:pPr>
        <w:pStyle w:val="FootnoteText"/>
        <w:ind w:left="709"/>
        <w:jc w:val="both"/>
        <w:rPr>
          <w:color w:val="111111"/>
        </w:rPr>
      </w:pPr>
      <w:r w:rsidRPr="002F496E">
        <w:rPr>
          <w:color w:val="111111"/>
        </w:rPr>
        <w:t>“</w:t>
      </w:r>
      <w:r w:rsidR="002A0B9B" w:rsidRPr="001B3810">
        <w:rPr>
          <w:color w:val="111111"/>
        </w:rPr>
        <w:t xml:space="preserve">The circumstances under which an arrested person may be released </w:t>
      </w:r>
      <w:r w:rsidR="00272015" w:rsidRPr="001B3810">
        <w:rPr>
          <w:color w:val="111111"/>
        </w:rPr>
        <w:t>from custody</w:t>
      </w:r>
      <w:r w:rsidR="002A0B9B" w:rsidRPr="001B3810">
        <w:rPr>
          <w:color w:val="111111"/>
        </w:rPr>
        <w:t xml:space="preserve"> before their first court appearance are circumscribed. Both Section</w:t>
      </w:r>
      <w:r w:rsidR="00AF1111" w:rsidRPr="001B3810">
        <w:rPr>
          <w:color w:val="111111"/>
        </w:rPr>
        <w:t>s</w:t>
      </w:r>
      <w:r w:rsidR="002A0B9B" w:rsidRPr="001B3810">
        <w:rPr>
          <w:color w:val="111111"/>
        </w:rPr>
        <w:t xml:space="preserve"> 59(1)</w:t>
      </w:r>
      <w:r w:rsidR="0036625D" w:rsidRPr="001B3810">
        <w:rPr>
          <w:color w:val="111111"/>
        </w:rPr>
        <w:t xml:space="preserve"> </w:t>
      </w:r>
      <w:r w:rsidR="002A0B9B" w:rsidRPr="001B3810">
        <w:rPr>
          <w:color w:val="111111"/>
        </w:rPr>
        <w:t>(a) and 59 A</w:t>
      </w:r>
      <w:r w:rsidR="0061082D" w:rsidRPr="001B3810">
        <w:rPr>
          <w:color w:val="111111"/>
        </w:rPr>
        <w:t xml:space="preserve"> </w:t>
      </w:r>
      <w:r w:rsidR="002A0B9B" w:rsidRPr="001B3810">
        <w:rPr>
          <w:color w:val="111111"/>
        </w:rPr>
        <w:t>(1)</w:t>
      </w:r>
      <w:r w:rsidR="005167AA" w:rsidRPr="001B3810">
        <w:rPr>
          <w:color w:val="111111"/>
        </w:rPr>
        <w:t xml:space="preserve"> of the </w:t>
      </w:r>
      <w:r w:rsidR="002A0B9B" w:rsidRPr="001B3810">
        <w:rPr>
          <w:color w:val="111111"/>
        </w:rPr>
        <w:t>CPA deal with the police bail and prosecutor’s bail</w:t>
      </w:r>
      <w:r w:rsidR="00482E74" w:rsidRPr="002F496E">
        <w:rPr>
          <w:color w:val="111111"/>
        </w:rPr>
        <w:t>,</w:t>
      </w:r>
      <w:r w:rsidR="002A0B9B" w:rsidRPr="001B3810">
        <w:rPr>
          <w:color w:val="111111"/>
        </w:rPr>
        <w:t xml:space="preserve"> respectively. These sections fetter the discretion of the </w:t>
      </w:r>
      <w:r w:rsidR="00272015" w:rsidRPr="001B3810">
        <w:rPr>
          <w:color w:val="111111"/>
        </w:rPr>
        <w:t xml:space="preserve">police. </w:t>
      </w:r>
      <w:r w:rsidR="002A0B9B" w:rsidRPr="001B3810">
        <w:rPr>
          <w:color w:val="111111"/>
        </w:rPr>
        <w:t>They render it well neigh impossible for police to grant bail in terms of section 59 of the CPA, as attempted murder is listed under Part 11 or Part 111 of S</w:t>
      </w:r>
      <w:r w:rsidR="00272015" w:rsidRPr="001B3810">
        <w:rPr>
          <w:color w:val="111111"/>
        </w:rPr>
        <w:t>chedule</w:t>
      </w:r>
      <w:r w:rsidR="002A0B9B" w:rsidRPr="001B3810">
        <w:rPr>
          <w:color w:val="111111"/>
        </w:rPr>
        <w:t xml:space="preserve"> 2</w:t>
      </w:r>
      <w:r w:rsidR="00272015" w:rsidRPr="001B3810">
        <w:rPr>
          <w:color w:val="111111"/>
        </w:rPr>
        <w:t xml:space="preserve"> </w:t>
      </w:r>
      <w:r w:rsidR="002A0B9B" w:rsidRPr="001B3810">
        <w:rPr>
          <w:color w:val="111111"/>
        </w:rPr>
        <w:t>to the CPA</w:t>
      </w:r>
      <w:r w:rsidR="002A0B9B" w:rsidRPr="002F496E">
        <w:rPr>
          <w:color w:val="111111"/>
        </w:rPr>
        <w:t>.</w:t>
      </w:r>
      <w:r w:rsidRPr="002F496E">
        <w:rPr>
          <w:color w:val="111111"/>
        </w:rPr>
        <w:t>”</w:t>
      </w:r>
    </w:p>
    <w:p w14:paraId="4BCE73EE" w14:textId="77777777" w:rsidR="00976F35" w:rsidRPr="002F496E" w:rsidRDefault="00976F35" w:rsidP="001B3810">
      <w:pPr>
        <w:pStyle w:val="FootnoteText"/>
        <w:ind w:left="709"/>
        <w:jc w:val="both"/>
        <w:rPr>
          <w:color w:val="111111"/>
        </w:rPr>
      </w:pPr>
    </w:p>
    <w:p w14:paraId="4A4257E3" w14:textId="603DC054" w:rsidR="00272015" w:rsidRPr="002F496E" w:rsidRDefault="00316065" w:rsidP="001B3810">
      <w:pPr>
        <w:pStyle w:val="FootnoteText"/>
        <w:jc w:val="both"/>
        <w:rPr>
          <w:color w:val="111111"/>
          <w:u w:val="single"/>
        </w:rPr>
      </w:pPr>
      <w:r w:rsidRPr="002F496E">
        <w:rPr>
          <w:color w:val="111111"/>
          <w:sz w:val="24"/>
          <w:szCs w:val="24"/>
        </w:rPr>
        <w:lastRenderedPageBreak/>
        <w:t>[32]</w:t>
      </w:r>
      <w:r w:rsidRPr="002F496E">
        <w:rPr>
          <w:color w:val="111111"/>
          <w:sz w:val="24"/>
          <w:szCs w:val="24"/>
        </w:rPr>
        <w:tab/>
      </w:r>
      <w:r w:rsidR="004907B9" w:rsidRPr="002F496E">
        <w:rPr>
          <w:color w:val="111111"/>
          <w:sz w:val="24"/>
          <w:szCs w:val="24"/>
        </w:rPr>
        <w:t xml:space="preserve">I am mindful that in </w:t>
      </w:r>
      <w:proofErr w:type="spellStart"/>
      <w:r w:rsidR="004907B9" w:rsidRPr="002F496E">
        <w:rPr>
          <w:i/>
          <w:color w:val="111111"/>
          <w:sz w:val="24"/>
          <w:szCs w:val="24"/>
        </w:rPr>
        <w:t>casu</w:t>
      </w:r>
      <w:proofErr w:type="spellEnd"/>
      <w:r w:rsidR="004907B9" w:rsidRPr="002F496E">
        <w:rPr>
          <w:color w:val="111111"/>
          <w:sz w:val="24"/>
          <w:szCs w:val="24"/>
        </w:rPr>
        <w:t xml:space="preserve"> no reference was made to Sections 59(1) (a)</w:t>
      </w:r>
      <w:r w:rsidR="00905269" w:rsidRPr="002F496E">
        <w:rPr>
          <w:rStyle w:val="FootnoteReference"/>
          <w:color w:val="111111"/>
          <w:sz w:val="24"/>
          <w:szCs w:val="24"/>
        </w:rPr>
        <w:footnoteReference w:id="17"/>
      </w:r>
      <w:r w:rsidR="004907B9" w:rsidRPr="002F496E">
        <w:rPr>
          <w:color w:val="111111"/>
          <w:sz w:val="24"/>
          <w:szCs w:val="24"/>
        </w:rPr>
        <w:t xml:space="preserve"> </w:t>
      </w:r>
      <w:r w:rsidR="00CC45A3" w:rsidRPr="002F496E">
        <w:rPr>
          <w:color w:val="111111"/>
          <w:sz w:val="24"/>
          <w:szCs w:val="24"/>
        </w:rPr>
        <w:t xml:space="preserve">and 59A </w:t>
      </w:r>
      <w:r w:rsidR="004907B9" w:rsidRPr="002F496E">
        <w:rPr>
          <w:color w:val="111111"/>
          <w:sz w:val="24"/>
          <w:szCs w:val="24"/>
        </w:rPr>
        <w:t>(1)</w:t>
      </w:r>
      <w:r w:rsidR="00905269" w:rsidRPr="002F496E">
        <w:rPr>
          <w:rStyle w:val="FootnoteReference"/>
          <w:color w:val="111111"/>
          <w:sz w:val="24"/>
          <w:szCs w:val="24"/>
        </w:rPr>
        <w:footnoteReference w:id="18"/>
      </w:r>
      <w:r w:rsidR="004907B9" w:rsidRPr="002F496E">
        <w:rPr>
          <w:color w:val="111111"/>
          <w:sz w:val="24"/>
          <w:szCs w:val="24"/>
        </w:rPr>
        <w:t xml:space="preserve"> of the CPA</w:t>
      </w:r>
      <w:r w:rsidR="00C21807" w:rsidRPr="002F496E">
        <w:rPr>
          <w:color w:val="111111"/>
          <w:sz w:val="24"/>
          <w:szCs w:val="24"/>
        </w:rPr>
        <w:t>. However</w:t>
      </w:r>
      <w:r w:rsidR="004907B9" w:rsidRPr="002F496E">
        <w:rPr>
          <w:color w:val="111111"/>
          <w:sz w:val="24"/>
          <w:szCs w:val="24"/>
        </w:rPr>
        <w:t xml:space="preserve">, </w:t>
      </w:r>
      <w:r w:rsidR="00CC45A3" w:rsidRPr="002F496E">
        <w:rPr>
          <w:color w:val="111111"/>
          <w:sz w:val="24"/>
          <w:szCs w:val="24"/>
        </w:rPr>
        <w:t>reference to</w:t>
      </w:r>
      <w:r w:rsidR="004907B9" w:rsidRPr="002F496E">
        <w:rPr>
          <w:color w:val="111111"/>
          <w:sz w:val="24"/>
          <w:szCs w:val="24"/>
        </w:rPr>
        <w:t xml:space="preserve"> the relevant sections will not chan</w:t>
      </w:r>
      <w:r w:rsidR="00522B74" w:rsidRPr="002F496E">
        <w:rPr>
          <w:color w:val="111111"/>
          <w:sz w:val="24"/>
          <w:szCs w:val="24"/>
        </w:rPr>
        <w:t>ge the essential ingredients of this case</w:t>
      </w:r>
      <w:r w:rsidR="004907B9" w:rsidRPr="002F496E">
        <w:rPr>
          <w:color w:val="111111"/>
          <w:sz w:val="24"/>
          <w:szCs w:val="24"/>
        </w:rPr>
        <w:t xml:space="preserve">. </w:t>
      </w:r>
      <w:r w:rsidR="00A9541E" w:rsidRPr="002F496E">
        <w:rPr>
          <w:color w:val="111111"/>
          <w:sz w:val="24"/>
          <w:szCs w:val="24"/>
        </w:rPr>
        <w:t>The arresting officer</w:t>
      </w:r>
      <w:r w:rsidR="00272015" w:rsidRPr="002F496E">
        <w:rPr>
          <w:color w:val="111111"/>
          <w:sz w:val="24"/>
          <w:szCs w:val="24"/>
        </w:rPr>
        <w:t xml:space="preserve"> testifi</w:t>
      </w:r>
      <w:r w:rsidR="008B36BD" w:rsidRPr="002F496E">
        <w:rPr>
          <w:color w:val="111111"/>
          <w:sz w:val="24"/>
          <w:szCs w:val="24"/>
        </w:rPr>
        <w:t>ed that upon his arrest, the P</w:t>
      </w:r>
      <w:r w:rsidR="0036625D" w:rsidRPr="002F496E">
        <w:rPr>
          <w:color w:val="111111"/>
          <w:sz w:val="24"/>
          <w:szCs w:val="24"/>
        </w:rPr>
        <w:t xml:space="preserve">laintiff was left in the hands of the investigating officer to pursue further processes. </w:t>
      </w:r>
      <w:r w:rsidR="00034927" w:rsidRPr="002F496E">
        <w:rPr>
          <w:color w:val="111111"/>
          <w:sz w:val="24"/>
          <w:szCs w:val="24"/>
        </w:rPr>
        <w:t xml:space="preserve">Evidence brought by </w:t>
      </w:r>
      <w:r w:rsidR="00A9541E" w:rsidRPr="002F496E">
        <w:rPr>
          <w:color w:val="111111"/>
          <w:sz w:val="24"/>
          <w:szCs w:val="24"/>
        </w:rPr>
        <w:t>the investigating officer</w:t>
      </w:r>
      <w:r w:rsidR="00034927" w:rsidRPr="002F496E">
        <w:rPr>
          <w:color w:val="111111"/>
          <w:sz w:val="24"/>
          <w:szCs w:val="24"/>
        </w:rPr>
        <w:t xml:space="preserve"> remains unchal</w:t>
      </w:r>
      <w:r w:rsidR="008B36BD" w:rsidRPr="002F496E">
        <w:rPr>
          <w:color w:val="111111"/>
          <w:sz w:val="24"/>
          <w:szCs w:val="24"/>
        </w:rPr>
        <w:t>lenged</w:t>
      </w:r>
      <w:r w:rsidR="00C21807" w:rsidRPr="002F496E">
        <w:rPr>
          <w:color w:val="111111"/>
          <w:sz w:val="24"/>
          <w:szCs w:val="24"/>
        </w:rPr>
        <w:t>,</w:t>
      </w:r>
      <w:r w:rsidR="008B36BD" w:rsidRPr="002F496E">
        <w:rPr>
          <w:color w:val="111111"/>
          <w:sz w:val="24"/>
          <w:szCs w:val="24"/>
        </w:rPr>
        <w:t xml:space="preserve"> stating that due to the P</w:t>
      </w:r>
      <w:r w:rsidR="00034927" w:rsidRPr="002F496E">
        <w:rPr>
          <w:color w:val="111111"/>
          <w:sz w:val="24"/>
          <w:szCs w:val="24"/>
        </w:rPr>
        <w:t>laintiff being formally charged on</w:t>
      </w:r>
      <w:r w:rsidR="00870D33" w:rsidRPr="002F496E">
        <w:rPr>
          <w:color w:val="111111"/>
          <w:sz w:val="24"/>
          <w:szCs w:val="24"/>
        </w:rPr>
        <w:t xml:space="preserve"> 07 December 2019</w:t>
      </w:r>
      <w:r w:rsidR="00034927" w:rsidRPr="002F496E">
        <w:rPr>
          <w:color w:val="111111"/>
          <w:sz w:val="24"/>
          <w:szCs w:val="24"/>
        </w:rPr>
        <w:t>, a date</w:t>
      </w:r>
      <w:r w:rsidR="00870D33" w:rsidRPr="002F496E">
        <w:rPr>
          <w:color w:val="111111"/>
          <w:sz w:val="24"/>
          <w:szCs w:val="24"/>
        </w:rPr>
        <w:t xml:space="preserve"> which fell on a </w:t>
      </w:r>
      <w:r w:rsidR="00034927" w:rsidRPr="002F496E">
        <w:rPr>
          <w:color w:val="111111"/>
          <w:sz w:val="24"/>
          <w:szCs w:val="24"/>
        </w:rPr>
        <w:t>Saturday,</w:t>
      </w:r>
      <w:r w:rsidR="0036625D" w:rsidRPr="002F496E">
        <w:rPr>
          <w:color w:val="111111"/>
          <w:sz w:val="24"/>
          <w:szCs w:val="24"/>
        </w:rPr>
        <w:t xml:space="preserve"> it</w:t>
      </w:r>
      <w:r w:rsidR="00034927" w:rsidRPr="002F496E">
        <w:rPr>
          <w:color w:val="111111"/>
          <w:sz w:val="24"/>
          <w:szCs w:val="24"/>
        </w:rPr>
        <w:t xml:space="preserve"> was not feasible</w:t>
      </w:r>
      <w:r w:rsidR="00870D33" w:rsidRPr="002F496E">
        <w:rPr>
          <w:color w:val="111111"/>
          <w:sz w:val="24"/>
          <w:szCs w:val="24"/>
        </w:rPr>
        <w:t xml:space="preserve"> to bring him </w:t>
      </w:r>
      <w:r w:rsidR="0036625D" w:rsidRPr="002F496E">
        <w:rPr>
          <w:color w:val="111111"/>
          <w:sz w:val="24"/>
          <w:szCs w:val="24"/>
        </w:rPr>
        <w:t xml:space="preserve">to court for his </w:t>
      </w:r>
      <w:r w:rsidR="00870D33" w:rsidRPr="002F496E">
        <w:rPr>
          <w:color w:val="111111"/>
          <w:sz w:val="24"/>
          <w:szCs w:val="24"/>
        </w:rPr>
        <w:t>first appearance</w:t>
      </w:r>
      <w:r w:rsidR="0036625D" w:rsidRPr="002F496E">
        <w:rPr>
          <w:color w:val="111111"/>
          <w:sz w:val="24"/>
          <w:szCs w:val="24"/>
        </w:rPr>
        <w:t>.</w:t>
      </w:r>
      <w:r w:rsidR="00CC45A3" w:rsidRPr="002F496E">
        <w:rPr>
          <w:color w:val="111111"/>
          <w:sz w:val="24"/>
          <w:szCs w:val="24"/>
        </w:rPr>
        <w:t xml:space="preserve"> </w:t>
      </w:r>
      <w:r w:rsidR="00870D33" w:rsidRPr="002F496E">
        <w:rPr>
          <w:color w:val="111111"/>
          <w:sz w:val="24"/>
          <w:szCs w:val="24"/>
        </w:rPr>
        <w:t xml:space="preserve"> O</w:t>
      </w:r>
      <w:r w:rsidR="00034927" w:rsidRPr="002F496E">
        <w:rPr>
          <w:color w:val="111111"/>
          <w:sz w:val="24"/>
          <w:szCs w:val="24"/>
        </w:rPr>
        <w:t>n Monday</w:t>
      </w:r>
      <w:r w:rsidR="00C21807" w:rsidRPr="002F496E">
        <w:rPr>
          <w:color w:val="111111"/>
          <w:sz w:val="24"/>
          <w:szCs w:val="24"/>
        </w:rPr>
        <w:t>,</w:t>
      </w:r>
      <w:r w:rsidR="00034927" w:rsidRPr="002F496E">
        <w:rPr>
          <w:color w:val="111111"/>
          <w:sz w:val="24"/>
          <w:szCs w:val="24"/>
        </w:rPr>
        <w:t xml:space="preserve"> 09 December 2019, </w:t>
      </w:r>
      <w:r w:rsidR="008B36BD" w:rsidRPr="002F496E">
        <w:rPr>
          <w:color w:val="111111"/>
          <w:sz w:val="24"/>
          <w:szCs w:val="24"/>
        </w:rPr>
        <w:t>P</w:t>
      </w:r>
      <w:r w:rsidR="00870D33" w:rsidRPr="002F496E">
        <w:rPr>
          <w:color w:val="111111"/>
          <w:sz w:val="24"/>
          <w:szCs w:val="24"/>
        </w:rPr>
        <w:t>laintiff appeared for the first time in court.</w:t>
      </w:r>
      <w:r w:rsidR="0036625D" w:rsidRPr="002F496E">
        <w:rPr>
          <w:color w:val="111111"/>
          <w:sz w:val="24"/>
          <w:szCs w:val="24"/>
        </w:rPr>
        <w:t xml:space="preserve"> </w:t>
      </w:r>
      <w:r w:rsidR="00034927" w:rsidRPr="002F496E">
        <w:rPr>
          <w:color w:val="111111"/>
          <w:sz w:val="24"/>
          <w:szCs w:val="24"/>
        </w:rPr>
        <w:t xml:space="preserve"> It was at this </w:t>
      </w:r>
      <w:r w:rsidR="00D613DF" w:rsidRPr="002F496E">
        <w:rPr>
          <w:color w:val="111111"/>
          <w:sz w:val="24"/>
          <w:szCs w:val="24"/>
        </w:rPr>
        <w:t xml:space="preserve">moment that </w:t>
      </w:r>
      <w:r w:rsidR="00A9541E" w:rsidRPr="002F496E">
        <w:rPr>
          <w:color w:val="111111"/>
          <w:sz w:val="24"/>
          <w:szCs w:val="24"/>
        </w:rPr>
        <w:t>the investigating officer</w:t>
      </w:r>
      <w:r w:rsidR="00034927" w:rsidRPr="002F496E">
        <w:rPr>
          <w:color w:val="111111"/>
          <w:sz w:val="24"/>
          <w:szCs w:val="24"/>
        </w:rPr>
        <w:t xml:space="preserve"> </w:t>
      </w:r>
      <w:r w:rsidR="00870D33" w:rsidRPr="002F496E">
        <w:rPr>
          <w:color w:val="111111"/>
          <w:sz w:val="24"/>
          <w:szCs w:val="24"/>
        </w:rPr>
        <w:t>got her first opportunity to</w:t>
      </w:r>
      <w:r w:rsidR="0036625D" w:rsidRPr="002F496E">
        <w:rPr>
          <w:color w:val="111111"/>
          <w:sz w:val="24"/>
          <w:szCs w:val="24"/>
        </w:rPr>
        <w:t xml:space="preserve"> discuss the matter with the Public P</w:t>
      </w:r>
      <w:r w:rsidR="00870D33" w:rsidRPr="002F496E">
        <w:rPr>
          <w:color w:val="111111"/>
          <w:sz w:val="24"/>
          <w:szCs w:val="24"/>
        </w:rPr>
        <w:t>rosecutor</w:t>
      </w:r>
      <w:r w:rsidR="00CC45A3" w:rsidRPr="002F496E">
        <w:rPr>
          <w:color w:val="111111"/>
          <w:sz w:val="24"/>
          <w:szCs w:val="24"/>
        </w:rPr>
        <w:t xml:space="preserve"> and deliberate a strategy on how to deal with the matter going forward.</w:t>
      </w:r>
      <w:r w:rsidR="00870D33" w:rsidRPr="002F496E">
        <w:rPr>
          <w:color w:val="111111"/>
          <w:sz w:val="24"/>
          <w:szCs w:val="24"/>
        </w:rPr>
        <w:t xml:space="preserve"> </w:t>
      </w:r>
      <w:r w:rsidR="0036625D" w:rsidRPr="002F496E">
        <w:rPr>
          <w:color w:val="111111"/>
          <w:sz w:val="24"/>
          <w:szCs w:val="24"/>
        </w:rPr>
        <w:t xml:space="preserve"> Although bail </w:t>
      </w:r>
      <w:r w:rsidR="00034927" w:rsidRPr="002F496E">
        <w:rPr>
          <w:color w:val="111111"/>
          <w:sz w:val="24"/>
          <w:szCs w:val="24"/>
        </w:rPr>
        <w:t xml:space="preserve">was later </w:t>
      </w:r>
      <w:r w:rsidR="0036625D" w:rsidRPr="002F496E">
        <w:rPr>
          <w:color w:val="111111"/>
          <w:sz w:val="24"/>
          <w:szCs w:val="24"/>
        </w:rPr>
        <w:t>granted</w:t>
      </w:r>
      <w:r w:rsidR="00034927" w:rsidRPr="002F496E">
        <w:rPr>
          <w:color w:val="111111"/>
          <w:sz w:val="24"/>
          <w:szCs w:val="24"/>
        </w:rPr>
        <w:t>,</w:t>
      </w:r>
      <w:r w:rsidR="00870D33" w:rsidRPr="002F496E">
        <w:rPr>
          <w:color w:val="111111"/>
          <w:sz w:val="24"/>
          <w:szCs w:val="24"/>
        </w:rPr>
        <w:t xml:space="preserve"> she never objected to the release of</w:t>
      </w:r>
      <w:r w:rsidR="008B36BD" w:rsidRPr="002F496E">
        <w:rPr>
          <w:color w:val="111111"/>
          <w:sz w:val="24"/>
          <w:szCs w:val="24"/>
        </w:rPr>
        <w:t xml:space="preserve"> the P</w:t>
      </w:r>
      <w:r w:rsidR="00870D33" w:rsidRPr="002F496E">
        <w:rPr>
          <w:color w:val="111111"/>
          <w:sz w:val="24"/>
          <w:szCs w:val="24"/>
        </w:rPr>
        <w:t xml:space="preserve">laintiff </w:t>
      </w:r>
      <w:r w:rsidR="0036625D" w:rsidRPr="002F496E">
        <w:rPr>
          <w:color w:val="111111"/>
          <w:sz w:val="24"/>
          <w:szCs w:val="24"/>
        </w:rPr>
        <w:t>on bail</w:t>
      </w:r>
      <w:r w:rsidR="00C21807" w:rsidRPr="002F496E">
        <w:rPr>
          <w:color w:val="111111"/>
          <w:sz w:val="24"/>
          <w:szCs w:val="24"/>
        </w:rPr>
        <w:t>;</w:t>
      </w:r>
      <w:r w:rsidR="0036625D" w:rsidRPr="002F496E">
        <w:rPr>
          <w:color w:val="111111"/>
          <w:sz w:val="24"/>
          <w:szCs w:val="24"/>
        </w:rPr>
        <w:t xml:space="preserve"> hence he was granted bail</w:t>
      </w:r>
      <w:r w:rsidR="0061082D" w:rsidRPr="002F496E">
        <w:rPr>
          <w:color w:val="111111"/>
          <w:sz w:val="24"/>
          <w:szCs w:val="24"/>
        </w:rPr>
        <w:t xml:space="preserve"> </w:t>
      </w:r>
      <w:r w:rsidR="00482E74" w:rsidRPr="002F496E">
        <w:rPr>
          <w:color w:val="111111"/>
          <w:sz w:val="24"/>
          <w:szCs w:val="24"/>
        </w:rPr>
        <w:t xml:space="preserve">in </w:t>
      </w:r>
      <w:r w:rsidR="0061082D" w:rsidRPr="002F496E">
        <w:rPr>
          <w:color w:val="111111"/>
          <w:sz w:val="24"/>
          <w:szCs w:val="24"/>
        </w:rPr>
        <w:t>the amount</w:t>
      </w:r>
      <w:r w:rsidR="0036625D" w:rsidRPr="002F496E">
        <w:rPr>
          <w:color w:val="111111"/>
          <w:sz w:val="24"/>
          <w:szCs w:val="24"/>
        </w:rPr>
        <w:t xml:space="preserve"> of </w:t>
      </w:r>
      <w:r w:rsidR="00A86FF7">
        <w:rPr>
          <w:color w:val="111111"/>
          <w:sz w:val="24"/>
          <w:szCs w:val="24"/>
        </w:rPr>
        <w:t>R1000</w:t>
      </w:r>
      <w:r w:rsidR="00522B74" w:rsidRPr="002F496E">
        <w:rPr>
          <w:color w:val="111111"/>
          <w:sz w:val="24"/>
          <w:szCs w:val="24"/>
        </w:rPr>
        <w:t>.</w:t>
      </w:r>
      <w:r w:rsidR="00034927" w:rsidRPr="002F496E">
        <w:rPr>
          <w:color w:val="111111"/>
          <w:sz w:val="24"/>
          <w:szCs w:val="24"/>
        </w:rPr>
        <w:t xml:space="preserve"> 00</w:t>
      </w:r>
      <w:r w:rsidR="00A9541E" w:rsidRPr="002F496E">
        <w:rPr>
          <w:color w:val="111111"/>
          <w:sz w:val="24"/>
          <w:szCs w:val="24"/>
        </w:rPr>
        <w:t xml:space="preserve"> (One Thousand R</w:t>
      </w:r>
      <w:r w:rsidR="0061082D" w:rsidRPr="002F496E">
        <w:rPr>
          <w:color w:val="111111"/>
          <w:sz w:val="24"/>
          <w:szCs w:val="24"/>
        </w:rPr>
        <w:t xml:space="preserve">and). </w:t>
      </w:r>
      <w:r w:rsidR="00034927" w:rsidRPr="002F496E">
        <w:rPr>
          <w:color w:val="111111"/>
          <w:sz w:val="24"/>
          <w:szCs w:val="24"/>
        </w:rPr>
        <w:t>Considering the above, I conclude</w:t>
      </w:r>
      <w:r w:rsidR="0061082D" w:rsidRPr="002F496E">
        <w:rPr>
          <w:color w:val="111111"/>
          <w:sz w:val="24"/>
          <w:szCs w:val="24"/>
        </w:rPr>
        <w:t xml:space="preserve"> that the purpose</w:t>
      </w:r>
      <w:r w:rsidR="008B36BD" w:rsidRPr="002F496E">
        <w:rPr>
          <w:color w:val="111111"/>
          <w:sz w:val="24"/>
          <w:szCs w:val="24"/>
        </w:rPr>
        <w:t xml:space="preserve"> of detention was to bring the P</w:t>
      </w:r>
      <w:r w:rsidR="0061082D" w:rsidRPr="002F496E">
        <w:rPr>
          <w:color w:val="111111"/>
          <w:sz w:val="24"/>
          <w:szCs w:val="24"/>
        </w:rPr>
        <w:t>laintiff to justice.</w:t>
      </w:r>
      <w:r w:rsidR="006F4A65" w:rsidRPr="002F496E">
        <w:rPr>
          <w:color w:val="111111"/>
          <w:sz w:val="24"/>
          <w:szCs w:val="24"/>
        </w:rPr>
        <w:t xml:space="preserve"> Following the events as demonstrated above,</w:t>
      </w:r>
      <w:r w:rsidR="00CC45A3" w:rsidRPr="002F496E">
        <w:rPr>
          <w:color w:val="111111"/>
          <w:sz w:val="24"/>
          <w:szCs w:val="24"/>
        </w:rPr>
        <w:t xml:space="preserve"> I</w:t>
      </w:r>
      <w:r w:rsidR="0061082D" w:rsidRPr="002F496E">
        <w:rPr>
          <w:color w:val="111111"/>
          <w:sz w:val="24"/>
          <w:szCs w:val="24"/>
        </w:rPr>
        <w:t xml:space="preserve"> f</w:t>
      </w:r>
      <w:r w:rsidR="00CC45A3" w:rsidRPr="002F496E">
        <w:rPr>
          <w:color w:val="111111"/>
          <w:sz w:val="24"/>
          <w:szCs w:val="24"/>
        </w:rPr>
        <w:t>ind</w:t>
      </w:r>
      <w:r w:rsidR="008B36BD" w:rsidRPr="002F496E">
        <w:rPr>
          <w:color w:val="111111"/>
          <w:sz w:val="24"/>
          <w:szCs w:val="24"/>
        </w:rPr>
        <w:t xml:space="preserve"> that the detention of P</w:t>
      </w:r>
      <w:r w:rsidR="0061082D" w:rsidRPr="002F496E">
        <w:rPr>
          <w:color w:val="111111"/>
          <w:sz w:val="24"/>
          <w:szCs w:val="24"/>
        </w:rPr>
        <w:t>laintiff was lawful.</w:t>
      </w:r>
      <w:r w:rsidR="0036625D" w:rsidRPr="002F496E">
        <w:rPr>
          <w:color w:val="111111"/>
          <w:sz w:val="24"/>
          <w:szCs w:val="24"/>
        </w:rPr>
        <w:t xml:space="preserve"> </w:t>
      </w:r>
      <w:r w:rsidR="00E37311">
        <w:rPr>
          <w:color w:val="111111"/>
          <w:sz w:val="24"/>
          <w:szCs w:val="24"/>
        </w:rPr>
        <w:t xml:space="preserve">In the result the claims brought against the Defendant must fail. </w:t>
      </w:r>
    </w:p>
    <w:p w14:paraId="6E3284EA" w14:textId="77777777" w:rsidR="006B3925" w:rsidRPr="002F496E" w:rsidRDefault="006B3925" w:rsidP="00C12FD8">
      <w:pPr>
        <w:pStyle w:val="ListParagraph"/>
        <w:jc w:val="both"/>
        <w:rPr>
          <w:color w:val="111111"/>
        </w:rPr>
      </w:pPr>
    </w:p>
    <w:p w14:paraId="232202F7" w14:textId="77777777" w:rsidR="0061082D" w:rsidRPr="001B3810" w:rsidRDefault="0061082D" w:rsidP="001B3810">
      <w:pPr>
        <w:jc w:val="both"/>
        <w:rPr>
          <w:color w:val="111111"/>
          <w:u w:val="single"/>
        </w:rPr>
      </w:pPr>
      <w:r w:rsidRPr="001B3810">
        <w:rPr>
          <w:color w:val="111111"/>
          <w:u w:val="single"/>
        </w:rPr>
        <w:t>Costs</w:t>
      </w:r>
    </w:p>
    <w:p w14:paraId="6AD87E3E" w14:textId="77777777" w:rsidR="0061082D" w:rsidRPr="002F496E" w:rsidRDefault="0061082D" w:rsidP="00C12FD8">
      <w:pPr>
        <w:pStyle w:val="ListParagraph"/>
        <w:jc w:val="both"/>
        <w:rPr>
          <w:color w:val="111111"/>
          <w:u w:val="single"/>
        </w:rPr>
      </w:pPr>
    </w:p>
    <w:p w14:paraId="0E6FF96D" w14:textId="11CA2C8A" w:rsidR="00C97AB6" w:rsidRPr="001B3810" w:rsidRDefault="00316065" w:rsidP="001B3810">
      <w:pPr>
        <w:jc w:val="both"/>
        <w:rPr>
          <w:color w:val="111111"/>
          <w:u w:val="single"/>
        </w:rPr>
      </w:pPr>
      <w:r w:rsidRPr="002F496E">
        <w:rPr>
          <w:color w:val="111111"/>
        </w:rPr>
        <w:t>[33]</w:t>
      </w:r>
      <w:r w:rsidRPr="002F496E">
        <w:rPr>
          <w:color w:val="111111"/>
        </w:rPr>
        <w:tab/>
      </w:r>
      <w:r w:rsidR="0061082D" w:rsidRPr="001B3810">
        <w:rPr>
          <w:color w:val="111111"/>
        </w:rPr>
        <w:t xml:space="preserve">The general rule is that costs follow the result. This is a case of </w:t>
      </w:r>
      <w:r w:rsidR="00482E74" w:rsidRPr="001B3810">
        <w:rPr>
          <w:color w:val="111111"/>
        </w:rPr>
        <w:t xml:space="preserve">a </w:t>
      </w:r>
      <w:r w:rsidR="0061082D" w:rsidRPr="001B3810">
        <w:rPr>
          <w:color w:val="111111"/>
        </w:rPr>
        <w:t xml:space="preserve">delictual claim for </w:t>
      </w:r>
      <w:r w:rsidR="00B42726" w:rsidRPr="001B3810">
        <w:rPr>
          <w:color w:val="111111"/>
        </w:rPr>
        <w:t>damages arising out of arrest and detention</w:t>
      </w:r>
      <w:r w:rsidR="00A24853">
        <w:rPr>
          <w:color w:val="111111"/>
        </w:rPr>
        <w:t>.</w:t>
      </w:r>
      <w:r w:rsidR="00C21807" w:rsidRPr="001B3810">
        <w:rPr>
          <w:color w:val="111111"/>
        </w:rPr>
        <w:t xml:space="preserve"> I</w:t>
      </w:r>
      <w:r w:rsidR="0061082D" w:rsidRPr="001B3810">
        <w:rPr>
          <w:color w:val="111111"/>
        </w:rPr>
        <w:t xml:space="preserve"> see no reason wh</w:t>
      </w:r>
      <w:r w:rsidR="00AF1111" w:rsidRPr="001B3810">
        <w:rPr>
          <w:color w:val="111111"/>
        </w:rPr>
        <w:t>y I should deviate from the general rule</w:t>
      </w:r>
      <w:r w:rsidR="0061082D" w:rsidRPr="001B3810">
        <w:rPr>
          <w:color w:val="111111"/>
        </w:rPr>
        <w:t>.</w:t>
      </w:r>
      <w:r w:rsidR="0061082D" w:rsidRPr="001B3810">
        <w:rPr>
          <w:color w:val="111111"/>
          <w:u w:val="single"/>
        </w:rPr>
        <w:t xml:space="preserve"> </w:t>
      </w:r>
    </w:p>
    <w:p w14:paraId="78C08976" w14:textId="77777777" w:rsidR="005167AA" w:rsidRPr="002F496E" w:rsidRDefault="005167AA" w:rsidP="00C12FD8">
      <w:pPr>
        <w:pStyle w:val="ListParagraph"/>
        <w:jc w:val="both"/>
        <w:rPr>
          <w:color w:val="111111"/>
          <w:u w:val="single"/>
        </w:rPr>
      </w:pPr>
    </w:p>
    <w:p w14:paraId="0D665CEC" w14:textId="2D850B28" w:rsidR="007818A6" w:rsidRPr="002F496E" w:rsidRDefault="007818A6" w:rsidP="001B3810">
      <w:pPr>
        <w:jc w:val="both"/>
        <w:rPr>
          <w:color w:val="111111"/>
          <w:u w:val="single"/>
        </w:rPr>
      </w:pPr>
      <w:r w:rsidRPr="002F496E">
        <w:rPr>
          <w:color w:val="111111"/>
          <w:u w:val="single"/>
        </w:rPr>
        <w:t>Order</w:t>
      </w:r>
    </w:p>
    <w:p w14:paraId="2B077053" w14:textId="77777777" w:rsidR="007818A6" w:rsidRPr="002F496E" w:rsidRDefault="007818A6" w:rsidP="00C12FD8">
      <w:pPr>
        <w:ind w:left="360"/>
        <w:jc w:val="both"/>
        <w:rPr>
          <w:color w:val="111111"/>
          <w:u w:val="single"/>
        </w:rPr>
      </w:pPr>
    </w:p>
    <w:p w14:paraId="576CE888" w14:textId="4E923C56" w:rsidR="0061082D" w:rsidRPr="001B3810" w:rsidRDefault="00316065" w:rsidP="001B3810">
      <w:pPr>
        <w:jc w:val="both"/>
        <w:rPr>
          <w:color w:val="111111"/>
          <w:u w:val="single"/>
        </w:rPr>
      </w:pPr>
      <w:r w:rsidRPr="002F496E">
        <w:rPr>
          <w:color w:val="111111"/>
        </w:rPr>
        <w:t>[34]</w:t>
      </w:r>
      <w:r w:rsidRPr="002F496E">
        <w:rPr>
          <w:color w:val="111111"/>
        </w:rPr>
        <w:tab/>
      </w:r>
      <w:r w:rsidR="0061082D" w:rsidRPr="001B3810">
        <w:rPr>
          <w:color w:val="111111"/>
        </w:rPr>
        <w:t>The Plaintiff’s claims are dismissed with costs.</w:t>
      </w:r>
    </w:p>
    <w:p w14:paraId="08219515" w14:textId="77777777" w:rsidR="00034927" w:rsidRPr="002F496E" w:rsidRDefault="00034927" w:rsidP="00C12FD8">
      <w:pPr>
        <w:jc w:val="both"/>
        <w:rPr>
          <w:color w:val="111111"/>
          <w:u w:val="single"/>
        </w:rPr>
      </w:pPr>
    </w:p>
    <w:p w14:paraId="23EABAB4" w14:textId="77777777" w:rsidR="00C12FD8" w:rsidRPr="001B3810" w:rsidRDefault="00C12FD8" w:rsidP="001B3810">
      <w:pPr>
        <w:jc w:val="both"/>
        <w:rPr>
          <w:color w:val="111111"/>
          <w:u w:val="single"/>
        </w:rPr>
      </w:pPr>
    </w:p>
    <w:p w14:paraId="52582F4B" w14:textId="77777777" w:rsidR="00C12FD8" w:rsidRPr="002F496E" w:rsidRDefault="00C12FD8" w:rsidP="00C12FD8">
      <w:pPr>
        <w:jc w:val="both"/>
        <w:rPr>
          <w:b/>
          <w:color w:val="111111"/>
        </w:rPr>
      </w:pPr>
    </w:p>
    <w:p w14:paraId="7E70DF65" w14:textId="1B16BCDD" w:rsidR="00C12FD8" w:rsidRPr="001B3810" w:rsidRDefault="00C12FD8" w:rsidP="001B3810">
      <w:pPr>
        <w:jc w:val="both"/>
        <w:rPr>
          <w:b/>
          <w:color w:val="111111"/>
        </w:rPr>
      </w:pPr>
      <w:r w:rsidRPr="001B3810">
        <w:rPr>
          <w:b/>
          <w:color w:val="111111"/>
        </w:rPr>
        <w:t>_________________________________</w:t>
      </w:r>
    </w:p>
    <w:p w14:paraId="0B60FAC8" w14:textId="3E2A7901" w:rsidR="00034927" w:rsidRPr="001B3810" w:rsidRDefault="00034927" w:rsidP="001B3810">
      <w:pPr>
        <w:jc w:val="both"/>
        <w:rPr>
          <w:b/>
          <w:color w:val="111111"/>
        </w:rPr>
      </w:pPr>
      <w:r w:rsidRPr="001B3810">
        <w:rPr>
          <w:b/>
          <w:color w:val="111111"/>
        </w:rPr>
        <w:t>N CENGANI-MBAKAZA</w:t>
      </w:r>
    </w:p>
    <w:p w14:paraId="22818E52" w14:textId="77777777" w:rsidR="00034927" w:rsidRPr="001B3810" w:rsidRDefault="00034927" w:rsidP="001B3810">
      <w:pPr>
        <w:jc w:val="both"/>
        <w:rPr>
          <w:b/>
          <w:color w:val="111111"/>
          <w:u w:val="single"/>
        </w:rPr>
      </w:pPr>
      <w:r w:rsidRPr="001B3810">
        <w:rPr>
          <w:b/>
          <w:color w:val="111111"/>
        </w:rPr>
        <w:t>ACTING JUDGE OF THE HIGH COURT</w:t>
      </w:r>
    </w:p>
    <w:p w14:paraId="75054577" w14:textId="57846398" w:rsidR="00C12FD8" w:rsidRPr="002F496E" w:rsidRDefault="00C12FD8" w:rsidP="001B3810">
      <w:pPr>
        <w:jc w:val="both"/>
        <w:rPr>
          <w:lang w:val="en-GB"/>
        </w:rPr>
      </w:pPr>
    </w:p>
    <w:p w14:paraId="45B30826" w14:textId="77777777" w:rsidR="00C12FD8" w:rsidRPr="002F496E" w:rsidRDefault="00C12FD8" w:rsidP="001B3810">
      <w:pPr>
        <w:tabs>
          <w:tab w:val="left" w:pos="851"/>
        </w:tabs>
        <w:jc w:val="both"/>
        <w:rPr>
          <w:lang w:val="en-GB"/>
        </w:rPr>
      </w:pPr>
    </w:p>
    <w:p w14:paraId="7C2C0B17" w14:textId="77777777" w:rsidR="00C12FD8" w:rsidRPr="002F496E" w:rsidRDefault="00C12FD8" w:rsidP="00C12FD8">
      <w:pPr>
        <w:spacing w:before="240" w:after="120"/>
        <w:jc w:val="both"/>
        <w:rPr>
          <w:rFonts w:eastAsia="SimSun"/>
          <w:b/>
          <w:color w:val="auto"/>
          <w:w w:val="104"/>
          <w:lang w:eastAsia="zh-CN"/>
        </w:rPr>
      </w:pPr>
      <w:r w:rsidRPr="002F496E">
        <w:rPr>
          <w:rFonts w:eastAsia="SimSun"/>
          <w:b/>
          <w:color w:val="auto"/>
          <w:w w:val="104"/>
          <w:lang w:eastAsia="zh-CN"/>
        </w:rPr>
        <w:t>APPEARANCES:</w:t>
      </w:r>
    </w:p>
    <w:p w14:paraId="40B27A06" w14:textId="77777777" w:rsidR="00C12FD8" w:rsidRPr="002F496E" w:rsidRDefault="00C12FD8" w:rsidP="001B3810">
      <w:pPr>
        <w:jc w:val="both"/>
        <w:rPr>
          <w:lang w:val="en-GB"/>
        </w:rPr>
      </w:pPr>
    </w:p>
    <w:p w14:paraId="1A001E03" w14:textId="77777777" w:rsidR="00C12FD8" w:rsidRPr="002F496E" w:rsidRDefault="00C12FD8" w:rsidP="001B3810">
      <w:pPr>
        <w:jc w:val="both"/>
        <w:rPr>
          <w:lang w:val="en-GB"/>
        </w:rPr>
      </w:pPr>
    </w:p>
    <w:p w14:paraId="118C06CD" w14:textId="5A3F0877" w:rsidR="00C12FD8" w:rsidRPr="002F496E" w:rsidRDefault="00C12FD8" w:rsidP="001B3810">
      <w:pPr>
        <w:jc w:val="both"/>
        <w:rPr>
          <w:lang w:val="en-GB"/>
        </w:rPr>
      </w:pPr>
      <w:r w:rsidRPr="002F496E">
        <w:rPr>
          <w:lang w:val="en-GB"/>
        </w:rPr>
        <w:t>Counsel for the plaintiff</w:t>
      </w:r>
      <w:r w:rsidRPr="002F496E">
        <w:rPr>
          <w:lang w:val="en-GB"/>
        </w:rPr>
        <w:tab/>
      </w:r>
      <w:r w:rsidRPr="002F496E">
        <w:rPr>
          <w:lang w:val="en-GB"/>
        </w:rPr>
        <w:tab/>
      </w:r>
      <w:r w:rsidRPr="002F496E">
        <w:rPr>
          <w:lang w:val="en-GB"/>
        </w:rPr>
        <w:tab/>
        <w:t xml:space="preserve">:                   Adv L </w:t>
      </w:r>
      <w:proofErr w:type="spellStart"/>
      <w:r w:rsidRPr="002F496E">
        <w:rPr>
          <w:lang w:val="en-GB"/>
        </w:rPr>
        <w:t>Magadlela</w:t>
      </w:r>
      <w:proofErr w:type="spellEnd"/>
    </w:p>
    <w:p w14:paraId="5ECBA42E" w14:textId="77777777" w:rsidR="00C12FD8" w:rsidRPr="002F496E" w:rsidRDefault="00C12FD8" w:rsidP="001B3810">
      <w:pPr>
        <w:jc w:val="both"/>
        <w:rPr>
          <w:lang w:val="en-GB"/>
        </w:rPr>
      </w:pPr>
    </w:p>
    <w:p w14:paraId="0FE264E1" w14:textId="472F36D9" w:rsidR="00C12FD8" w:rsidRDefault="00C12FD8" w:rsidP="001B3810">
      <w:pPr>
        <w:jc w:val="both"/>
        <w:rPr>
          <w:lang w:val="en-GB"/>
        </w:rPr>
      </w:pPr>
      <w:r w:rsidRPr="002F496E">
        <w:rPr>
          <w:lang w:val="en-GB"/>
        </w:rPr>
        <w:t>Instructed by</w:t>
      </w:r>
      <w:r w:rsidRPr="002F496E">
        <w:rPr>
          <w:lang w:val="en-GB"/>
        </w:rPr>
        <w:tab/>
      </w:r>
      <w:r w:rsidRPr="002F496E">
        <w:rPr>
          <w:lang w:val="en-GB"/>
        </w:rPr>
        <w:tab/>
      </w:r>
      <w:r w:rsidRPr="002F496E">
        <w:rPr>
          <w:lang w:val="en-GB"/>
        </w:rPr>
        <w:tab/>
      </w:r>
      <w:r w:rsidRPr="002F496E">
        <w:rPr>
          <w:lang w:val="en-GB"/>
        </w:rPr>
        <w:tab/>
      </w:r>
      <w:r w:rsidRPr="002F496E">
        <w:rPr>
          <w:lang w:val="en-GB"/>
        </w:rPr>
        <w:tab/>
      </w:r>
      <w:r w:rsidR="00CE69E2">
        <w:rPr>
          <w:lang w:val="en-GB"/>
        </w:rPr>
        <w:t xml:space="preserve"> </w:t>
      </w:r>
      <w:r w:rsidRPr="002F496E">
        <w:rPr>
          <w:lang w:val="en-GB"/>
        </w:rPr>
        <w:t>:</w:t>
      </w:r>
      <w:r w:rsidR="000B78AB">
        <w:rPr>
          <w:lang w:val="en-GB"/>
        </w:rPr>
        <w:t xml:space="preserve">                  N. </w:t>
      </w:r>
      <w:proofErr w:type="spellStart"/>
      <w:r w:rsidR="000B78AB">
        <w:rPr>
          <w:lang w:val="en-GB"/>
        </w:rPr>
        <w:t>Tyatyeka</w:t>
      </w:r>
      <w:proofErr w:type="spellEnd"/>
    </w:p>
    <w:p w14:paraId="2947A9EA" w14:textId="02382C76" w:rsidR="000B78AB" w:rsidRDefault="000B78AB" w:rsidP="001B3810">
      <w:pPr>
        <w:jc w:val="both"/>
        <w:rPr>
          <w:lang w:val="en-GB"/>
        </w:rPr>
      </w:pPr>
      <w:r>
        <w:rPr>
          <w:lang w:val="en-GB"/>
        </w:rPr>
        <w:t xml:space="preserve">                                                                                    Plaintiff’s Attorneys</w:t>
      </w:r>
    </w:p>
    <w:p w14:paraId="57EEE0F0" w14:textId="05E5F86B" w:rsidR="000B78AB" w:rsidRDefault="000B78AB" w:rsidP="001B3810">
      <w:pPr>
        <w:jc w:val="both"/>
        <w:rPr>
          <w:lang w:val="en-GB"/>
        </w:rPr>
      </w:pPr>
      <w:r>
        <w:rPr>
          <w:lang w:val="en-GB"/>
        </w:rPr>
        <w:t xml:space="preserve">                                                                                    Short Mill House</w:t>
      </w:r>
    </w:p>
    <w:p w14:paraId="47379317" w14:textId="0F938813" w:rsidR="000B78AB" w:rsidRDefault="000B78AB" w:rsidP="001B3810">
      <w:pPr>
        <w:jc w:val="both"/>
        <w:rPr>
          <w:lang w:val="en-GB"/>
        </w:rPr>
      </w:pPr>
      <w:r>
        <w:rPr>
          <w:lang w:val="en-GB"/>
        </w:rPr>
        <w:t xml:space="preserve">                                                                                    Victoria Crescent</w:t>
      </w:r>
    </w:p>
    <w:p w14:paraId="5D9A9D5B" w14:textId="5C481235" w:rsidR="000B78AB" w:rsidRDefault="000B78AB" w:rsidP="001B3810">
      <w:pPr>
        <w:jc w:val="both"/>
        <w:rPr>
          <w:lang w:val="en-GB"/>
        </w:rPr>
      </w:pPr>
      <w:r>
        <w:rPr>
          <w:lang w:val="en-GB"/>
        </w:rPr>
        <w:t xml:space="preserve">                                                                                    The Quarry office Park</w:t>
      </w:r>
    </w:p>
    <w:p w14:paraId="53EF6FC4" w14:textId="7F8BBB1F" w:rsidR="000B78AB" w:rsidRPr="002F496E" w:rsidRDefault="000B78AB" w:rsidP="001B3810">
      <w:pPr>
        <w:jc w:val="both"/>
        <w:rPr>
          <w:lang w:val="en-GB"/>
        </w:rPr>
      </w:pPr>
      <w:r>
        <w:rPr>
          <w:lang w:val="en-GB"/>
        </w:rPr>
        <w:t xml:space="preserve">                                                                                    EAST LONDON</w:t>
      </w:r>
    </w:p>
    <w:p w14:paraId="43ED924E" w14:textId="77777777" w:rsidR="00C12FD8" w:rsidRPr="002F496E" w:rsidRDefault="00C12FD8" w:rsidP="001B3810">
      <w:pPr>
        <w:pStyle w:val="ListParagraph"/>
        <w:ind w:left="1080"/>
        <w:jc w:val="both"/>
        <w:rPr>
          <w:lang w:val="en-GB"/>
        </w:rPr>
      </w:pPr>
      <w:r w:rsidRPr="002F496E">
        <w:rPr>
          <w:lang w:val="en-GB"/>
        </w:rPr>
        <w:t xml:space="preserve">         </w:t>
      </w:r>
    </w:p>
    <w:p w14:paraId="0C129E25" w14:textId="507F726E" w:rsidR="00C12FD8" w:rsidRPr="002F496E" w:rsidRDefault="00C12FD8" w:rsidP="001B3810">
      <w:pPr>
        <w:jc w:val="both"/>
        <w:rPr>
          <w:lang w:val="en-GB"/>
        </w:rPr>
      </w:pPr>
      <w:r w:rsidRPr="002F496E">
        <w:rPr>
          <w:lang w:val="en-GB"/>
        </w:rPr>
        <w:t>Counsel for the defendants</w:t>
      </w:r>
      <w:r w:rsidRPr="002F496E">
        <w:rPr>
          <w:lang w:val="en-GB"/>
        </w:rPr>
        <w:tab/>
      </w:r>
      <w:r w:rsidRPr="002F496E">
        <w:rPr>
          <w:lang w:val="en-GB"/>
        </w:rPr>
        <w:tab/>
      </w:r>
      <w:r w:rsidR="000B78AB">
        <w:rPr>
          <w:lang w:val="en-GB"/>
        </w:rPr>
        <w:t xml:space="preserve">    </w:t>
      </w:r>
      <w:r w:rsidR="00EA2998">
        <w:rPr>
          <w:lang w:val="en-GB"/>
        </w:rPr>
        <w:t>:</w:t>
      </w:r>
      <w:r w:rsidR="000B78AB">
        <w:rPr>
          <w:lang w:val="en-GB"/>
        </w:rPr>
        <w:t xml:space="preserve">      </w:t>
      </w:r>
      <w:r w:rsidRPr="002F496E">
        <w:rPr>
          <w:lang w:val="en-GB"/>
        </w:rPr>
        <w:t xml:space="preserve">        </w:t>
      </w:r>
      <w:r w:rsidR="00EA2998">
        <w:rPr>
          <w:lang w:val="en-GB"/>
        </w:rPr>
        <w:t xml:space="preserve"> </w:t>
      </w:r>
      <w:r w:rsidRPr="002F496E">
        <w:rPr>
          <w:lang w:val="en-GB"/>
        </w:rPr>
        <w:t xml:space="preserve">Adv M </w:t>
      </w:r>
      <w:proofErr w:type="spellStart"/>
      <w:r w:rsidRPr="002F496E">
        <w:rPr>
          <w:lang w:val="en-GB"/>
        </w:rPr>
        <w:t>Rili</w:t>
      </w:r>
      <w:proofErr w:type="spellEnd"/>
      <w:r w:rsidRPr="002F496E">
        <w:rPr>
          <w:lang w:val="en-GB"/>
        </w:rPr>
        <w:t xml:space="preserve">     </w:t>
      </w:r>
    </w:p>
    <w:p w14:paraId="0A09F373" w14:textId="77777777" w:rsidR="00C12FD8" w:rsidRPr="002F496E" w:rsidRDefault="00C12FD8" w:rsidP="001B3810">
      <w:pPr>
        <w:pStyle w:val="ListParagraph"/>
        <w:ind w:left="5040"/>
        <w:jc w:val="both"/>
        <w:rPr>
          <w:lang w:val="en-GB"/>
        </w:rPr>
      </w:pPr>
    </w:p>
    <w:p w14:paraId="3B30E52F" w14:textId="4455C079" w:rsidR="00C12FD8" w:rsidRDefault="00C12FD8" w:rsidP="001B3810">
      <w:pPr>
        <w:jc w:val="both"/>
        <w:rPr>
          <w:lang w:val="en-GB"/>
        </w:rPr>
      </w:pPr>
      <w:r w:rsidRPr="002F496E">
        <w:rPr>
          <w:lang w:val="en-GB"/>
        </w:rPr>
        <w:t>Instructed by</w:t>
      </w:r>
      <w:r w:rsidRPr="002F496E">
        <w:rPr>
          <w:lang w:val="en-GB"/>
        </w:rPr>
        <w:tab/>
      </w:r>
      <w:r w:rsidRPr="002F496E">
        <w:rPr>
          <w:lang w:val="en-GB"/>
        </w:rPr>
        <w:tab/>
      </w:r>
      <w:r w:rsidRPr="002F496E">
        <w:rPr>
          <w:lang w:val="en-GB"/>
        </w:rPr>
        <w:tab/>
      </w:r>
      <w:r w:rsidRPr="002F496E">
        <w:rPr>
          <w:lang w:val="en-GB"/>
        </w:rPr>
        <w:tab/>
      </w:r>
      <w:r w:rsidRPr="002F496E">
        <w:rPr>
          <w:lang w:val="en-GB"/>
        </w:rPr>
        <w:tab/>
      </w:r>
      <w:r w:rsidR="00CE69E2">
        <w:rPr>
          <w:lang w:val="en-GB"/>
        </w:rPr>
        <w:t xml:space="preserve">    :</w:t>
      </w:r>
      <w:r w:rsidRPr="002F496E">
        <w:rPr>
          <w:lang w:val="en-GB"/>
        </w:rPr>
        <w:t xml:space="preserve"> </w:t>
      </w:r>
      <w:r w:rsidRPr="002F496E">
        <w:rPr>
          <w:lang w:val="en-GB"/>
        </w:rPr>
        <w:tab/>
      </w:r>
      <w:r w:rsidRPr="002F496E">
        <w:rPr>
          <w:lang w:val="en-GB"/>
        </w:rPr>
        <w:tab/>
      </w:r>
      <w:r w:rsidR="00EA2998">
        <w:rPr>
          <w:lang w:val="en-GB"/>
        </w:rPr>
        <w:t>T</w:t>
      </w:r>
      <w:r w:rsidR="00A24853">
        <w:rPr>
          <w:lang w:val="en-GB"/>
        </w:rPr>
        <w:t xml:space="preserve">he State Attorney </w:t>
      </w:r>
    </w:p>
    <w:p w14:paraId="25807FB4" w14:textId="0DF52F90" w:rsidR="00A24853" w:rsidRDefault="00A24853" w:rsidP="001B3810">
      <w:pPr>
        <w:jc w:val="both"/>
        <w:rPr>
          <w:lang w:val="en-GB"/>
        </w:rPr>
      </w:pPr>
      <w:r>
        <w:rPr>
          <w:lang w:val="en-GB"/>
        </w:rPr>
        <w:t xml:space="preserve">                                                                                    </w:t>
      </w:r>
      <w:r w:rsidR="001A75B6">
        <w:rPr>
          <w:lang w:val="en-GB"/>
        </w:rPr>
        <w:t xml:space="preserve">   </w:t>
      </w:r>
      <w:r>
        <w:rPr>
          <w:lang w:val="en-GB"/>
        </w:rPr>
        <w:t>Defendants’ Attorney</w:t>
      </w:r>
    </w:p>
    <w:p w14:paraId="41788201" w14:textId="09EDA824" w:rsidR="00A24853" w:rsidRDefault="00A24853" w:rsidP="001B3810">
      <w:pPr>
        <w:jc w:val="both"/>
        <w:rPr>
          <w:lang w:val="en-GB"/>
        </w:rPr>
      </w:pPr>
      <w:r>
        <w:rPr>
          <w:lang w:val="en-GB"/>
        </w:rPr>
        <w:t xml:space="preserve">                                                                                    </w:t>
      </w:r>
      <w:r w:rsidR="001A75B6">
        <w:rPr>
          <w:lang w:val="en-GB"/>
        </w:rPr>
        <w:t xml:space="preserve">   O</w:t>
      </w:r>
      <w:r>
        <w:rPr>
          <w:lang w:val="en-GB"/>
        </w:rPr>
        <w:t>ld Spoornet Building</w:t>
      </w:r>
    </w:p>
    <w:p w14:paraId="71B67F99" w14:textId="3AE5623D" w:rsidR="00A24853" w:rsidRDefault="00A24853" w:rsidP="001B3810">
      <w:pPr>
        <w:jc w:val="both"/>
        <w:rPr>
          <w:lang w:val="en-GB"/>
        </w:rPr>
      </w:pPr>
      <w:r>
        <w:rPr>
          <w:lang w:val="en-GB"/>
        </w:rPr>
        <w:t xml:space="preserve">                                                                                    </w:t>
      </w:r>
      <w:r w:rsidR="001A75B6">
        <w:rPr>
          <w:lang w:val="en-GB"/>
        </w:rPr>
        <w:t xml:space="preserve">   </w:t>
      </w:r>
      <w:r>
        <w:rPr>
          <w:lang w:val="en-GB"/>
        </w:rPr>
        <w:t>17 Fleet Street</w:t>
      </w:r>
    </w:p>
    <w:p w14:paraId="1BF5953A" w14:textId="151A7D98" w:rsidR="00A24853" w:rsidRDefault="00A24853" w:rsidP="001B3810">
      <w:pPr>
        <w:jc w:val="both"/>
        <w:rPr>
          <w:lang w:val="en-GB"/>
        </w:rPr>
      </w:pPr>
      <w:r>
        <w:rPr>
          <w:lang w:val="en-GB"/>
        </w:rPr>
        <w:t xml:space="preserve">                                                                                    </w:t>
      </w:r>
      <w:r w:rsidR="001A75B6">
        <w:rPr>
          <w:lang w:val="en-GB"/>
        </w:rPr>
        <w:t xml:space="preserve">   </w:t>
      </w:r>
      <w:r>
        <w:rPr>
          <w:lang w:val="en-GB"/>
        </w:rPr>
        <w:t>EAST LONDON</w:t>
      </w:r>
    </w:p>
    <w:p w14:paraId="5DD50F05" w14:textId="51AA9F17" w:rsidR="00C12FD8" w:rsidRPr="002F496E" w:rsidRDefault="00A24853" w:rsidP="00A24853">
      <w:pPr>
        <w:jc w:val="both"/>
        <w:rPr>
          <w:lang w:val="en-GB"/>
        </w:rPr>
      </w:pPr>
      <w:r>
        <w:rPr>
          <w:lang w:val="en-GB"/>
        </w:rPr>
        <w:t xml:space="preserve">                 </w:t>
      </w:r>
    </w:p>
    <w:p w14:paraId="35FB9BB3" w14:textId="124B44FC" w:rsidR="00C12FD8" w:rsidRPr="002F496E" w:rsidRDefault="00C12FD8" w:rsidP="00C12FD8">
      <w:pPr>
        <w:tabs>
          <w:tab w:val="left" w:pos="851"/>
        </w:tabs>
        <w:jc w:val="both"/>
        <w:rPr>
          <w:b/>
          <w:lang w:val="en-GB"/>
        </w:rPr>
      </w:pPr>
      <w:r w:rsidRPr="002F496E">
        <w:rPr>
          <w:lang w:val="en-GB"/>
        </w:rPr>
        <w:t>Date heard</w:t>
      </w:r>
      <w:r w:rsidRPr="002F496E">
        <w:rPr>
          <w:lang w:val="en-GB"/>
        </w:rPr>
        <w:tab/>
      </w:r>
      <w:r w:rsidRPr="002F496E">
        <w:rPr>
          <w:lang w:val="en-GB"/>
        </w:rPr>
        <w:tab/>
      </w:r>
      <w:r w:rsidRPr="002F496E">
        <w:rPr>
          <w:lang w:val="en-GB"/>
        </w:rPr>
        <w:tab/>
      </w:r>
      <w:r w:rsidRPr="002F496E">
        <w:rPr>
          <w:lang w:val="en-GB"/>
        </w:rPr>
        <w:tab/>
      </w:r>
      <w:r w:rsidRPr="002F496E">
        <w:rPr>
          <w:lang w:val="en-GB"/>
        </w:rPr>
        <w:tab/>
        <w:t xml:space="preserve">: </w:t>
      </w:r>
      <w:r w:rsidRPr="002F496E">
        <w:rPr>
          <w:lang w:val="en-GB"/>
        </w:rPr>
        <w:tab/>
      </w:r>
      <w:r w:rsidRPr="002F496E">
        <w:rPr>
          <w:lang w:val="en-GB"/>
        </w:rPr>
        <w:tab/>
      </w:r>
      <w:r w:rsidRPr="002F496E">
        <w:rPr>
          <w:b/>
          <w:lang w:val="en-GB"/>
        </w:rPr>
        <w:t>20 and 23 June 2023</w:t>
      </w:r>
    </w:p>
    <w:p w14:paraId="1090F13B" w14:textId="77777777" w:rsidR="00C12FD8" w:rsidRPr="002F496E" w:rsidRDefault="00C12FD8" w:rsidP="00C12FD8">
      <w:pPr>
        <w:tabs>
          <w:tab w:val="left" w:pos="851"/>
        </w:tabs>
        <w:jc w:val="both"/>
        <w:rPr>
          <w:b/>
          <w:lang w:val="en-GB"/>
        </w:rPr>
      </w:pPr>
    </w:p>
    <w:p w14:paraId="45E0CFB3" w14:textId="0BF667C1" w:rsidR="00C12FD8" w:rsidRPr="002F496E" w:rsidRDefault="00C12FD8" w:rsidP="00C12FD8">
      <w:pPr>
        <w:tabs>
          <w:tab w:val="left" w:pos="851"/>
        </w:tabs>
        <w:jc w:val="both"/>
        <w:rPr>
          <w:lang w:val="en-GB"/>
        </w:rPr>
      </w:pPr>
      <w:r w:rsidRPr="00A24853">
        <w:rPr>
          <w:b/>
          <w:lang w:val="en-GB"/>
        </w:rPr>
        <w:t>DELIVERED ON</w:t>
      </w:r>
      <w:r w:rsidRPr="00A24853">
        <w:rPr>
          <w:b/>
          <w:lang w:val="en-GB"/>
        </w:rPr>
        <w:tab/>
      </w:r>
      <w:r w:rsidRPr="00A24853">
        <w:rPr>
          <w:b/>
          <w:lang w:val="en-GB"/>
        </w:rPr>
        <w:tab/>
      </w:r>
      <w:r w:rsidRPr="00A24853">
        <w:rPr>
          <w:b/>
          <w:lang w:val="en-GB"/>
        </w:rPr>
        <w:tab/>
      </w:r>
      <w:r w:rsidRPr="00A24853">
        <w:rPr>
          <w:b/>
          <w:lang w:val="en-GB"/>
        </w:rPr>
        <w:tab/>
        <w:t>:</w:t>
      </w:r>
      <w:r w:rsidRPr="002F496E">
        <w:rPr>
          <w:b/>
          <w:lang w:val="en-GB"/>
        </w:rPr>
        <w:t xml:space="preserve"> </w:t>
      </w:r>
      <w:r w:rsidRPr="002F496E">
        <w:rPr>
          <w:lang w:val="en-GB"/>
        </w:rPr>
        <w:t>The judgment was handed down electronically by circulation to the parties’ legal representatives by email. The date and time for hand-down is deemed to be 18 July 2023 at 10:00.</w:t>
      </w:r>
    </w:p>
    <w:p w14:paraId="7CE6A683" w14:textId="5C8CD261" w:rsidR="00C12FD8" w:rsidRPr="002F496E" w:rsidRDefault="00C12FD8" w:rsidP="001B3810">
      <w:pPr>
        <w:jc w:val="both"/>
        <w:rPr>
          <w:lang w:val="en-GB"/>
        </w:rPr>
      </w:pPr>
    </w:p>
    <w:p w14:paraId="0E2307F5" w14:textId="77777777" w:rsidR="00C12FD8" w:rsidRPr="002F496E" w:rsidRDefault="00C12FD8" w:rsidP="00C12FD8">
      <w:pPr>
        <w:pStyle w:val="ListParagraph"/>
        <w:tabs>
          <w:tab w:val="left" w:pos="851"/>
        </w:tabs>
        <w:jc w:val="both"/>
        <w:rPr>
          <w:lang w:val="en-GB"/>
        </w:rPr>
      </w:pPr>
    </w:p>
    <w:sectPr w:rsidR="00C12FD8" w:rsidRPr="002F496E" w:rsidSect="004F0FEF">
      <w:headerReference w:type="even" r:id="rId12"/>
      <w:headerReference w:type="default" r:id="rId13"/>
      <w:footerReference w:type="even" r:id="rId14"/>
      <w:footerReference w:type="default" r:id="rId15"/>
      <w:headerReference w:type="first" r:id="rId16"/>
      <w:footerReference w:type="first" r:id="rId17"/>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6EB1" w14:textId="77777777" w:rsidR="00DE0584" w:rsidRDefault="00DE0584" w:rsidP="00C91BD0">
      <w:pPr>
        <w:spacing w:line="240" w:lineRule="auto"/>
      </w:pPr>
      <w:r>
        <w:separator/>
      </w:r>
    </w:p>
  </w:endnote>
  <w:endnote w:type="continuationSeparator" w:id="0">
    <w:p w14:paraId="380C9C1F" w14:textId="77777777" w:rsidR="00DE0584" w:rsidRDefault="00DE0584"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FF1B" w14:textId="77777777" w:rsidR="00EF206F" w:rsidRDefault="00EF2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8AEB" w14:textId="77777777" w:rsidR="00EF206F" w:rsidRDefault="00EF2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38F0" w14:textId="77777777" w:rsidR="00EF206F" w:rsidRDefault="00EF2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1025" w14:textId="77777777" w:rsidR="00DE0584" w:rsidRDefault="00DE0584" w:rsidP="00C91BD0">
      <w:pPr>
        <w:spacing w:line="240" w:lineRule="auto"/>
      </w:pPr>
      <w:r>
        <w:separator/>
      </w:r>
    </w:p>
  </w:footnote>
  <w:footnote w:type="continuationSeparator" w:id="0">
    <w:p w14:paraId="7A30AD2D" w14:textId="77777777" w:rsidR="00DE0584" w:rsidRDefault="00DE0584" w:rsidP="00C91BD0">
      <w:pPr>
        <w:spacing w:line="240" w:lineRule="auto"/>
      </w:pPr>
      <w:r>
        <w:continuationSeparator/>
      </w:r>
    </w:p>
  </w:footnote>
  <w:footnote w:id="1">
    <w:p w14:paraId="4F282924" w14:textId="77777777" w:rsidR="00272015" w:rsidRDefault="00272015">
      <w:pPr>
        <w:pStyle w:val="FootnoteText"/>
      </w:pPr>
      <w:r>
        <w:rPr>
          <w:rStyle w:val="FootnoteReference"/>
        </w:rPr>
        <w:footnoteRef/>
      </w:r>
      <w:r>
        <w:t xml:space="preserve"> 1986(3) SA 568(a) at</w:t>
      </w:r>
      <w:r w:rsidRPr="006B3925">
        <w:t xml:space="preserve"> 589 E-F</w:t>
      </w:r>
    </w:p>
  </w:footnote>
  <w:footnote w:id="2">
    <w:p w14:paraId="52BF2F01" w14:textId="77777777" w:rsidR="00272015" w:rsidRDefault="00272015">
      <w:pPr>
        <w:pStyle w:val="FootnoteText"/>
      </w:pPr>
      <w:r>
        <w:rPr>
          <w:rStyle w:val="FootnoteReference"/>
        </w:rPr>
        <w:footnoteRef/>
      </w:r>
      <w:r>
        <w:t xml:space="preserve"> Act 51 of 1977, The Act</w:t>
      </w:r>
    </w:p>
  </w:footnote>
  <w:footnote w:id="3">
    <w:p w14:paraId="0B7B2CE8" w14:textId="77777777" w:rsidR="00272015" w:rsidRPr="00456A11" w:rsidRDefault="00272015" w:rsidP="0057345C">
      <w:pPr>
        <w:pStyle w:val="FootnoteText"/>
      </w:pPr>
      <w:r w:rsidRPr="00456A11">
        <w:rPr>
          <w:rStyle w:val="FootnoteReference"/>
        </w:rPr>
        <w:footnoteRef/>
      </w:r>
      <w:r w:rsidRPr="00456A11">
        <w:t>On SAFLII(38/1985)[1986]ZASCA 24;[1986] 2 All SA 241 (A) (24MARCH 1986)</w:t>
      </w:r>
    </w:p>
  </w:footnote>
  <w:footnote w:id="4">
    <w:p w14:paraId="0F767735" w14:textId="77777777" w:rsidR="00272015" w:rsidRPr="00456A11" w:rsidRDefault="00272015" w:rsidP="0057345C">
      <w:pPr>
        <w:pStyle w:val="FootnoteText"/>
        <w:rPr>
          <w:b/>
        </w:rPr>
      </w:pPr>
      <w:r w:rsidRPr="00456A11">
        <w:rPr>
          <w:rStyle w:val="FootnoteReference"/>
        </w:rPr>
        <w:footnoteRef/>
      </w:r>
      <w:r w:rsidRPr="00456A11">
        <w:t xml:space="preserve"> </w:t>
      </w:r>
      <w:r w:rsidRPr="00456A11">
        <w:rPr>
          <w:color w:val="111111"/>
          <w:sz w:val="27"/>
          <w:szCs w:val="27"/>
        </w:rPr>
        <w:t xml:space="preserve"> </w:t>
      </w:r>
      <w:r w:rsidRPr="00456A11">
        <w:rPr>
          <w:color w:val="111111"/>
        </w:rPr>
        <w:t>Mabona &amp; another v Minister of Law and Order &amp; others</w:t>
      </w:r>
      <w:r w:rsidRPr="00456A11">
        <w:rPr>
          <w:rStyle w:val="Strong"/>
          <w:color w:val="111111"/>
        </w:rPr>
        <w:t xml:space="preserve"> </w:t>
      </w:r>
      <w:r w:rsidRPr="008C7A24">
        <w:rPr>
          <w:rStyle w:val="Strong"/>
          <w:b w:val="0"/>
          <w:color w:val="111111"/>
        </w:rPr>
        <w:t>1988 (2) SA 654 (SE) at 658E-H</w:t>
      </w:r>
      <w:r w:rsidRPr="00456A11">
        <w:rPr>
          <w:b/>
          <w:color w:val="111111"/>
        </w:rPr>
        <w:t>,</w:t>
      </w:r>
    </w:p>
  </w:footnote>
  <w:footnote w:id="5">
    <w:p w14:paraId="4EC7E533" w14:textId="77777777" w:rsidR="00272015" w:rsidRDefault="00272015">
      <w:pPr>
        <w:pStyle w:val="FootnoteText"/>
      </w:pPr>
      <w:r>
        <w:rPr>
          <w:rStyle w:val="FootnoteReference"/>
        </w:rPr>
        <w:footnoteRef/>
      </w:r>
      <w:r>
        <w:t xml:space="preserve"> (1017/202) [2022] ZASCA 36 (01 April 2022)</w:t>
      </w:r>
    </w:p>
  </w:footnote>
  <w:footnote w:id="6">
    <w:p w14:paraId="65B0B12A" w14:textId="77777777" w:rsidR="00272015" w:rsidRDefault="00272015" w:rsidP="008F2285">
      <w:pPr>
        <w:pStyle w:val="FootnoteText"/>
      </w:pPr>
      <w:r>
        <w:rPr>
          <w:rStyle w:val="FootnoteReference"/>
        </w:rPr>
        <w:footnoteRef/>
      </w:r>
      <w:r>
        <w:t xml:space="preserve"> Plaintiff’s heads of arguments para 7.2</w:t>
      </w:r>
      <w:r w:rsidR="00C72B13">
        <w:t>( filed on 23 June 2023)</w:t>
      </w:r>
    </w:p>
  </w:footnote>
  <w:footnote w:id="7">
    <w:p w14:paraId="468977B7" w14:textId="77777777" w:rsidR="00272015" w:rsidRPr="00A039E8" w:rsidRDefault="00272015" w:rsidP="000218A2">
      <w:pPr>
        <w:spacing w:line="240" w:lineRule="auto"/>
        <w:rPr>
          <w:rFonts w:eastAsia="Times New Roman"/>
          <w:sz w:val="20"/>
          <w:szCs w:val="20"/>
          <w:lang w:eastAsia="en-ZA"/>
        </w:rPr>
      </w:pPr>
      <w:r w:rsidRPr="00A039E8">
        <w:rPr>
          <w:rStyle w:val="FootnoteReference"/>
          <w:sz w:val="20"/>
          <w:szCs w:val="20"/>
        </w:rPr>
        <w:footnoteRef/>
      </w:r>
      <w:r w:rsidRPr="00A039E8">
        <w:rPr>
          <w:sz w:val="20"/>
          <w:szCs w:val="20"/>
        </w:rPr>
        <w:t xml:space="preserve"> </w:t>
      </w:r>
      <w:r w:rsidRPr="00A039E8">
        <w:rPr>
          <w:rFonts w:eastAsia="Times New Roman"/>
          <w:sz w:val="20"/>
          <w:szCs w:val="20"/>
          <w:lang w:eastAsia="en-ZA"/>
        </w:rPr>
        <w:t>2003 (1) SA 11 (SCA);2003 (1) SA p11</w:t>
      </w:r>
    </w:p>
    <w:p w14:paraId="22C2910E" w14:textId="77777777" w:rsidR="00272015" w:rsidRPr="00A039E8" w:rsidRDefault="00272015" w:rsidP="000218A2">
      <w:pPr>
        <w:pStyle w:val="FootnoteText"/>
      </w:pPr>
    </w:p>
  </w:footnote>
  <w:footnote w:id="8">
    <w:p w14:paraId="1D439D4E" w14:textId="77777777" w:rsidR="00272015" w:rsidRDefault="00272015">
      <w:pPr>
        <w:pStyle w:val="FootnoteText"/>
      </w:pPr>
      <w:r>
        <w:rPr>
          <w:rStyle w:val="FootnoteReference"/>
        </w:rPr>
        <w:footnoteRef/>
      </w:r>
      <w:r>
        <w:t xml:space="preserve"> </w:t>
      </w:r>
      <w:r w:rsidR="0027773B">
        <w:t xml:space="preserve"> Foot note 5 </w:t>
      </w:r>
      <w:r>
        <w:t>supra</w:t>
      </w:r>
    </w:p>
  </w:footnote>
  <w:footnote w:id="9">
    <w:p w14:paraId="45F67D4C" w14:textId="77777777" w:rsidR="00272015" w:rsidRPr="00366467" w:rsidRDefault="00272015" w:rsidP="00DD7D48">
      <w:pPr>
        <w:pStyle w:val="FootnoteText"/>
        <w:rPr>
          <w:iCs/>
          <w:lang w:val="en-US"/>
        </w:rPr>
      </w:pPr>
      <w:r w:rsidRPr="00220AF0">
        <w:rPr>
          <w:rStyle w:val="FootnoteReference"/>
          <w:i/>
          <w:iCs/>
        </w:rPr>
        <w:footnoteRef/>
      </w:r>
      <w:r w:rsidRPr="00220AF0">
        <w:rPr>
          <w:i/>
          <w:iCs/>
        </w:rPr>
        <w:t xml:space="preserve"> </w:t>
      </w:r>
      <w:r w:rsidRPr="00366467">
        <w:rPr>
          <w:iCs/>
          <w:lang w:val="en-US"/>
        </w:rPr>
        <w:t xml:space="preserve">Masethla v President of the RSA 2008 (1) SA 566 (CC) At para 23; The Minister of Safety </w:t>
      </w:r>
      <w:r w:rsidRPr="00366467">
        <w:rPr>
          <w:iCs/>
        </w:rPr>
        <w:t>and Security v Sekhoto 2011 (1) SACR 315 (SCA)</w:t>
      </w:r>
    </w:p>
  </w:footnote>
  <w:footnote w:id="10">
    <w:p w14:paraId="7A0646D3" w14:textId="2DFE180C" w:rsidR="00EA2998" w:rsidRDefault="00EA2998" w:rsidP="00EA2998">
      <w:pPr>
        <w:pStyle w:val="FootnoteText"/>
      </w:pPr>
      <w:r>
        <w:rPr>
          <w:rStyle w:val="FootnoteReference"/>
        </w:rPr>
        <w:footnoteRef/>
      </w:r>
      <w:r>
        <w:t xml:space="preserve"> Minister of Safety and Security </w:t>
      </w:r>
      <w:r w:rsidR="00295A72">
        <w:t xml:space="preserve">v </w:t>
      </w:r>
      <w:r w:rsidR="00295A72">
        <w:t>Sekhoto footnote 9 supra</w:t>
      </w:r>
    </w:p>
  </w:footnote>
  <w:footnote w:id="11">
    <w:p w14:paraId="1C319CC9" w14:textId="77777777" w:rsidR="00E62020" w:rsidRDefault="00E62020">
      <w:pPr>
        <w:pStyle w:val="FootnoteText"/>
      </w:pPr>
      <w:r>
        <w:rPr>
          <w:rStyle w:val="FootnoteReference"/>
        </w:rPr>
        <w:footnoteRef/>
      </w:r>
      <w:r>
        <w:t xml:space="preserve"> 2008(1)SACR </w:t>
      </w:r>
      <w:r w:rsidR="000401EF">
        <w:t>56 (CC)</w:t>
      </w:r>
    </w:p>
  </w:footnote>
  <w:footnote w:id="12">
    <w:p w14:paraId="36588C22" w14:textId="77777777" w:rsidR="00F015FD" w:rsidRPr="00F015FD" w:rsidRDefault="00F015FD" w:rsidP="00F015FD">
      <w:pPr>
        <w:autoSpaceDE w:val="0"/>
        <w:autoSpaceDN w:val="0"/>
        <w:adjustRightInd w:val="0"/>
        <w:spacing w:line="240" w:lineRule="auto"/>
        <w:rPr>
          <w:color w:val="auto"/>
          <w:sz w:val="20"/>
          <w:szCs w:val="20"/>
        </w:rPr>
      </w:pPr>
      <w:r>
        <w:rPr>
          <w:rStyle w:val="FootnoteReference"/>
        </w:rPr>
        <w:footnoteRef/>
      </w:r>
      <w:r w:rsidRPr="00F015FD">
        <w:rPr>
          <w:color w:val="auto"/>
          <w:sz w:val="20"/>
          <w:szCs w:val="20"/>
        </w:rPr>
        <w:t>. Section 39 of the CPA</w:t>
      </w:r>
      <w:r>
        <w:rPr>
          <w:color w:val="auto"/>
          <w:sz w:val="20"/>
          <w:szCs w:val="20"/>
        </w:rPr>
        <w:t xml:space="preserve"> </w:t>
      </w:r>
      <w:r w:rsidRPr="00F015FD">
        <w:rPr>
          <w:color w:val="auto"/>
          <w:sz w:val="20"/>
          <w:szCs w:val="20"/>
        </w:rPr>
        <w:t xml:space="preserve">(1) </w:t>
      </w:r>
      <w:r w:rsidRPr="00F015FD">
        <w:rPr>
          <w:color w:val="auto"/>
          <w:sz w:val="20"/>
          <w:szCs w:val="20"/>
        </w:rPr>
        <w:t>An arrest shall be effected with or without a warrant and, unless the person to be arrested submits to custody, by actually touching his body or, if the circumstances so require, by forcibly confining his body.</w:t>
      </w:r>
    </w:p>
    <w:p w14:paraId="7E04C845" w14:textId="77777777" w:rsidR="00F015FD" w:rsidRPr="00F015FD" w:rsidRDefault="00F015FD" w:rsidP="00F015FD">
      <w:pPr>
        <w:autoSpaceDE w:val="0"/>
        <w:autoSpaceDN w:val="0"/>
        <w:adjustRightInd w:val="0"/>
        <w:spacing w:line="240" w:lineRule="auto"/>
        <w:rPr>
          <w:color w:val="auto"/>
          <w:sz w:val="20"/>
          <w:szCs w:val="20"/>
        </w:rPr>
      </w:pPr>
      <w:r w:rsidRPr="00F015FD">
        <w:rPr>
          <w:color w:val="auto"/>
          <w:sz w:val="20"/>
          <w:szCs w:val="20"/>
        </w:rPr>
        <w:t>(2) The person effecting an arrest shall, at the time of effecting the arrest or immediately after effecting the arrest, inform the arrested person of the cause of the arrest or, in the case of an arrest effected by virtue of a warrant, upon demand of the person arrested hand him a copy of the warrant.</w:t>
      </w:r>
    </w:p>
    <w:p w14:paraId="1883E9B1" w14:textId="77777777" w:rsidR="00F015FD" w:rsidRPr="00F015FD" w:rsidRDefault="00F015FD" w:rsidP="00F015FD">
      <w:pPr>
        <w:autoSpaceDE w:val="0"/>
        <w:autoSpaceDN w:val="0"/>
        <w:adjustRightInd w:val="0"/>
        <w:spacing w:line="240" w:lineRule="auto"/>
        <w:rPr>
          <w:color w:val="auto"/>
          <w:sz w:val="20"/>
          <w:szCs w:val="20"/>
        </w:rPr>
      </w:pPr>
      <w:r w:rsidRPr="00F015FD">
        <w:rPr>
          <w:color w:val="auto"/>
          <w:sz w:val="20"/>
          <w:szCs w:val="20"/>
        </w:rPr>
        <w:t xml:space="preserve">(3) The effect of an arrest shall be that the person arrested shall be in lawful custody and that he shall be detained in custody until he is lawfully discharged or released from </w:t>
      </w:r>
      <w:r>
        <w:rPr>
          <w:color w:val="auto"/>
          <w:sz w:val="20"/>
          <w:szCs w:val="20"/>
        </w:rPr>
        <w:t>custody.</w:t>
      </w:r>
    </w:p>
  </w:footnote>
  <w:footnote w:id="13">
    <w:p w14:paraId="17A8F110" w14:textId="77777777" w:rsidR="00272015" w:rsidRDefault="00272015">
      <w:pPr>
        <w:pStyle w:val="FootnoteText"/>
      </w:pPr>
      <w:r>
        <w:rPr>
          <w:rStyle w:val="FootnoteReference"/>
        </w:rPr>
        <w:footnoteRef/>
      </w:r>
      <w:r>
        <w:t xml:space="preserve"> 2016 (2) SACR 540 (CC) at  para 39</w:t>
      </w:r>
    </w:p>
  </w:footnote>
  <w:footnote w:id="14">
    <w:p w14:paraId="4734AA69" w14:textId="77777777" w:rsidR="00272015" w:rsidRDefault="00272015">
      <w:pPr>
        <w:pStyle w:val="FootnoteText"/>
      </w:pPr>
      <w:r>
        <w:rPr>
          <w:rStyle w:val="FootnoteReference"/>
        </w:rPr>
        <w:footnoteRef/>
      </w:r>
      <w:r>
        <w:t xml:space="preserve"> Mahlangu and Another v Minister of Police 2021(2) SACR 595 (CC) at para 25</w:t>
      </w:r>
    </w:p>
  </w:footnote>
  <w:footnote w:id="15">
    <w:p w14:paraId="2D644C9C" w14:textId="013344F7" w:rsidR="00CE69E2" w:rsidRDefault="00CE69E2" w:rsidP="00CE69E2">
      <w:pPr>
        <w:pStyle w:val="FootnoteText"/>
      </w:pPr>
      <w:r>
        <w:rPr>
          <w:rStyle w:val="FootnoteReference"/>
        </w:rPr>
        <w:footnoteRef/>
      </w:r>
      <w:r>
        <w:t xml:space="preserve"> (991/2016)[2017] ZASCA103(6 September 2017) at </w:t>
      </w:r>
      <w:r>
        <w:t>para 13</w:t>
      </w:r>
    </w:p>
  </w:footnote>
  <w:footnote w:id="16">
    <w:p w14:paraId="51467EF6" w14:textId="06F71BE7" w:rsidR="00272015" w:rsidRDefault="00272015">
      <w:pPr>
        <w:pStyle w:val="FootnoteText"/>
      </w:pPr>
      <w:r>
        <w:rPr>
          <w:rStyle w:val="FootnoteReference"/>
        </w:rPr>
        <w:footnoteRef/>
      </w:r>
      <w:r>
        <w:t xml:space="preserve"> </w:t>
      </w:r>
      <w:r w:rsidRPr="00272015">
        <w:t>(CA 99/</w:t>
      </w:r>
      <w:r w:rsidR="00C21807" w:rsidRPr="00272015">
        <w:t>2020) [</w:t>
      </w:r>
      <w:r w:rsidRPr="00272015">
        <w:t xml:space="preserve">2021] ZA ECGHC 55(8 June 2022) at </w:t>
      </w:r>
      <w:r w:rsidRPr="00272015">
        <w:t>para 61</w:t>
      </w:r>
    </w:p>
  </w:footnote>
  <w:footnote w:id="17">
    <w:p w14:paraId="18818633" w14:textId="77777777" w:rsidR="00905269" w:rsidRPr="00905269" w:rsidRDefault="00905269" w:rsidP="00905269">
      <w:pPr>
        <w:autoSpaceDE w:val="0"/>
        <w:autoSpaceDN w:val="0"/>
        <w:adjustRightInd w:val="0"/>
        <w:rPr>
          <w:sz w:val="20"/>
          <w:szCs w:val="20"/>
        </w:rPr>
      </w:pPr>
      <w:r>
        <w:rPr>
          <w:rStyle w:val="FootnoteReference"/>
        </w:rPr>
        <w:footnoteRef/>
      </w:r>
      <w:r>
        <w:t xml:space="preserve"> </w:t>
      </w:r>
      <w:r w:rsidRPr="00905269">
        <w:rPr>
          <w:sz w:val="20"/>
          <w:szCs w:val="20"/>
        </w:rPr>
        <w:t>Section 59 of the CPA</w:t>
      </w:r>
      <w:r>
        <w:t xml:space="preserve">, </w:t>
      </w:r>
      <w:r>
        <w:rPr>
          <w:rFonts w:ascii="Verdana" w:hAnsi="Verdana" w:cs="Verdana"/>
          <w:color w:val="auto"/>
          <w:sz w:val="16"/>
          <w:szCs w:val="16"/>
        </w:rPr>
        <w:t>(</w:t>
      </w:r>
      <w:r w:rsidRPr="00905269">
        <w:rPr>
          <w:color w:val="auto"/>
          <w:sz w:val="20"/>
          <w:szCs w:val="20"/>
        </w:rPr>
        <w:t xml:space="preserve">1) </w:t>
      </w:r>
      <w:r w:rsidRPr="00905269">
        <w:rPr>
          <w:i/>
          <w:iCs/>
          <w:color w:val="auto"/>
          <w:sz w:val="20"/>
          <w:szCs w:val="20"/>
        </w:rPr>
        <w:t xml:space="preserve">(a) </w:t>
      </w:r>
      <w:r w:rsidRPr="00905269">
        <w:rPr>
          <w:color w:val="auto"/>
          <w:sz w:val="20"/>
          <w:szCs w:val="20"/>
        </w:rPr>
        <w:t>An accused who is in custody in respect of any offence, other than an offence referred to in Part II or Part III of</w:t>
      </w:r>
      <w:r>
        <w:rPr>
          <w:color w:val="auto"/>
          <w:sz w:val="20"/>
          <w:szCs w:val="20"/>
        </w:rPr>
        <w:t xml:space="preserve"> </w:t>
      </w:r>
      <w:r w:rsidRPr="00905269">
        <w:rPr>
          <w:color w:val="auto"/>
          <w:sz w:val="20"/>
          <w:szCs w:val="20"/>
        </w:rPr>
        <w:t>Schedule 2 may, before his or her first appearance in a lower court, be released on bail in respect of such offence by any</w:t>
      </w:r>
      <w:r>
        <w:rPr>
          <w:color w:val="auto"/>
          <w:sz w:val="20"/>
          <w:szCs w:val="20"/>
        </w:rPr>
        <w:t xml:space="preserve"> </w:t>
      </w:r>
      <w:r w:rsidRPr="00905269">
        <w:rPr>
          <w:color w:val="auto"/>
          <w:sz w:val="20"/>
          <w:szCs w:val="20"/>
        </w:rPr>
        <w:t>police official of or above the rank of non-commissioned officer, in consultation with the police official charged with the</w:t>
      </w:r>
      <w:r>
        <w:rPr>
          <w:color w:val="auto"/>
          <w:sz w:val="20"/>
          <w:szCs w:val="20"/>
        </w:rPr>
        <w:t xml:space="preserve"> </w:t>
      </w:r>
      <w:r w:rsidRPr="00905269">
        <w:rPr>
          <w:color w:val="auto"/>
          <w:sz w:val="20"/>
          <w:szCs w:val="20"/>
        </w:rPr>
        <w:t>investigation, if the accused deposits at the police station the sum of money determined by such police official.</w:t>
      </w:r>
    </w:p>
  </w:footnote>
  <w:footnote w:id="18">
    <w:p w14:paraId="3C061C68" w14:textId="77777777" w:rsidR="00905269" w:rsidRPr="00905269" w:rsidRDefault="00905269" w:rsidP="00905269">
      <w:pPr>
        <w:autoSpaceDE w:val="0"/>
        <w:autoSpaceDN w:val="0"/>
        <w:adjustRightInd w:val="0"/>
        <w:rPr>
          <w:sz w:val="20"/>
          <w:szCs w:val="20"/>
        </w:rPr>
      </w:pPr>
      <w:r>
        <w:rPr>
          <w:rStyle w:val="FootnoteReference"/>
        </w:rPr>
        <w:footnoteRef/>
      </w:r>
      <w:r>
        <w:t xml:space="preserve"> </w:t>
      </w:r>
      <w:r w:rsidRPr="00905269">
        <w:rPr>
          <w:sz w:val="20"/>
          <w:szCs w:val="20"/>
        </w:rPr>
        <w:t>A</w:t>
      </w:r>
      <w:r>
        <w:rPr>
          <w:color w:val="auto"/>
          <w:sz w:val="20"/>
          <w:szCs w:val="20"/>
        </w:rPr>
        <w:t>n Attorney-G</w:t>
      </w:r>
      <w:r w:rsidRPr="00905269">
        <w:rPr>
          <w:color w:val="auto"/>
          <w:sz w:val="20"/>
          <w:szCs w:val="20"/>
        </w:rPr>
        <w:t>eneral, or a prosecutor author</w:t>
      </w:r>
      <w:r>
        <w:rPr>
          <w:color w:val="auto"/>
          <w:sz w:val="20"/>
          <w:szCs w:val="20"/>
        </w:rPr>
        <w:t>ised thereto in writing by the Attorney-G</w:t>
      </w:r>
      <w:r w:rsidRPr="00905269">
        <w:rPr>
          <w:color w:val="auto"/>
          <w:sz w:val="20"/>
          <w:szCs w:val="20"/>
        </w:rPr>
        <w:t>eneral concerned, may, in respect of the offences referred to in Schedule 7 and in consultation with the police official charged with the investigation, authorise the release of an accused on bail.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3EDC" w14:textId="77777777" w:rsidR="00EF206F" w:rsidRDefault="00EF2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B620" w14:textId="7AE30277" w:rsidR="00272015" w:rsidRPr="004F0FEF" w:rsidRDefault="00000000">
    <w:pPr>
      <w:pStyle w:val="Header"/>
      <w:jc w:val="right"/>
      <w:rPr>
        <w:sz w:val="20"/>
        <w:szCs w:val="20"/>
      </w:rPr>
    </w:pPr>
    <w:sdt>
      <w:sdtPr>
        <w:id w:val="-965504554"/>
        <w:docPartObj>
          <w:docPartGallery w:val="Page Numbers (Top of Page)"/>
          <w:docPartUnique/>
        </w:docPartObj>
      </w:sdtPr>
      <w:sdtEndPr>
        <w:rPr>
          <w:noProof/>
          <w:sz w:val="20"/>
          <w:szCs w:val="20"/>
        </w:rPr>
      </w:sdtEndPr>
      <w:sdtContent>
        <w:r w:rsidR="00272015" w:rsidRPr="004F0FEF">
          <w:rPr>
            <w:sz w:val="20"/>
            <w:szCs w:val="20"/>
          </w:rPr>
          <w:fldChar w:fldCharType="begin"/>
        </w:r>
        <w:r w:rsidR="00272015" w:rsidRPr="004F0FEF">
          <w:rPr>
            <w:sz w:val="20"/>
            <w:szCs w:val="20"/>
          </w:rPr>
          <w:instrText xml:space="preserve"> PAGE   \* MERGEFORMAT </w:instrText>
        </w:r>
        <w:r w:rsidR="00272015" w:rsidRPr="004F0FEF">
          <w:rPr>
            <w:sz w:val="20"/>
            <w:szCs w:val="20"/>
          </w:rPr>
          <w:fldChar w:fldCharType="separate"/>
        </w:r>
        <w:r w:rsidR="00417F04">
          <w:rPr>
            <w:noProof/>
            <w:sz w:val="20"/>
            <w:szCs w:val="20"/>
          </w:rPr>
          <w:t>13</w:t>
        </w:r>
        <w:r w:rsidR="00272015" w:rsidRPr="004F0FEF">
          <w:rPr>
            <w:noProof/>
            <w:sz w:val="20"/>
            <w:szCs w:val="20"/>
          </w:rPr>
          <w:fldChar w:fldCharType="end"/>
        </w:r>
      </w:sdtContent>
    </w:sdt>
  </w:p>
  <w:p w14:paraId="5CFAA4F8" w14:textId="77777777" w:rsidR="00272015" w:rsidRDefault="00272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8C49" w14:textId="77777777" w:rsidR="00EF206F" w:rsidRDefault="00EF2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2AF8"/>
    <w:multiLevelType w:val="hybridMultilevel"/>
    <w:tmpl w:val="ECE83EE0"/>
    <w:lvl w:ilvl="0" w:tplc="67243018">
      <w:start w:val="1"/>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8E3B57"/>
    <w:multiLevelType w:val="hybridMultilevel"/>
    <w:tmpl w:val="83024DD2"/>
    <w:lvl w:ilvl="0" w:tplc="B69E61C6">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2B8D0773"/>
    <w:multiLevelType w:val="hybridMultilevel"/>
    <w:tmpl w:val="F5FA3052"/>
    <w:lvl w:ilvl="0" w:tplc="ECD68418">
      <w:start w:val="1"/>
      <w:numFmt w:val="lowerLetter"/>
      <w:lvlText w:val="(%1)"/>
      <w:lvlJc w:val="left"/>
      <w:pPr>
        <w:ind w:left="1068" w:hanging="360"/>
      </w:pPr>
      <w:rPr>
        <w:rFonts w:ascii="Arial" w:eastAsiaTheme="minorHAnsi" w:hAnsi="Arial" w:cs="Arial"/>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4"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6" w15:restartNumberingAfterBreak="0">
    <w:nsid w:val="31D331DC"/>
    <w:multiLevelType w:val="hybridMultilevel"/>
    <w:tmpl w:val="E1D2EC3A"/>
    <w:lvl w:ilvl="0" w:tplc="ECD68418">
      <w:start w:val="1"/>
      <w:numFmt w:val="lowerLetter"/>
      <w:lvlText w:val="(%1)"/>
      <w:lvlJc w:val="left"/>
      <w:pPr>
        <w:ind w:left="1210" w:hanging="360"/>
      </w:pPr>
      <w:rPr>
        <w:rFonts w:ascii="Arial" w:eastAsiaTheme="minorHAnsi" w:hAnsi="Arial" w:cs="Arial"/>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7" w15:restartNumberingAfterBreak="0">
    <w:nsid w:val="5C626E9A"/>
    <w:multiLevelType w:val="hybridMultilevel"/>
    <w:tmpl w:val="ECE83EE0"/>
    <w:lvl w:ilvl="0" w:tplc="67243018">
      <w:start w:val="1"/>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E586573"/>
    <w:multiLevelType w:val="hybridMultilevel"/>
    <w:tmpl w:val="3D10F4E8"/>
    <w:lvl w:ilvl="0" w:tplc="E9AE50A4">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0946960">
    <w:abstractNumId w:val="4"/>
  </w:num>
  <w:num w:numId="2" w16cid:durableId="1489904884">
    <w:abstractNumId w:val="8"/>
  </w:num>
  <w:num w:numId="3" w16cid:durableId="985739684">
    <w:abstractNumId w:val="2"/>
  </w:num>
  <w:num w:numId="4" w16cid:durableId="69041593">
    <w:abstractNumId w:val="5"/>
  </w:num>
  <w:num w:numId="5" w16cid:durableId="1272394211">
    <w:abstractNumId w:val="7"/>
  </w:num>
  <w:num w:numId="6" w16cid:durableId="1844780598">
    <w:abstractNumId w:val="0"/>
  </w:num>
  <w:num w:numId="7" w16cid:durableId="1175993771">
    <w:abstractNumId w:val="6"/>
  </w:num>
  <w:num w:numId="8" w16cid:durableId="757562693">
    <w:abstractNumId w:val="1"/>
  </w:num>
  <w:num w:numId="9" w16cid:durableId="507718343">
    <w:abstractNumId w:val="3"/>
  </w:num>
  <w:num w:numId="10" w16cid:durableId="8213902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D0"/>
    <w:rsid w:val="000218A2"/>
    <w:rsid w:val="000342A6"/>
    <w:rsid w:val="00034927"/>
    <w:rsid w:val="000356EF"/>
    <w:rsid w:val="000401EF"/>
    <w:rsid w:val="000509AA"/>
    <w:rsid w:val="00064CE5"/>
    <w:rsid w:val="0008344E"/>
    <w:rsid w:val="00086E0F"/>
    <w:rsid w:val="00087986"/>
    <w:rsid w:val="0009548F"/>
    <w:rsid w:val="00095598"/>
    <w:rsid w:val="000A0DE1"/>
    <w:rsid w:val="000B78AB"/>
    <w:rsid w:val="000C091F"/>
    <w:rsid w:val="0012537F"/>
    <w:rsid w:val="001318BD"/>
    <w:rsid w:val="00132F0B"/>
    <w:rsid w:val="001553EA"/>
    <w:rsid w:val="001778B1"/>
    <w:rsid w:val="001947E2"/>
    <w:rsid w:val="00196E38"/>
    <w:rsid w:val="001A4DF7"/>
    <w:rsid w:val="001A75B6"/>
    <w:rsid w:val="001B3810"/>
    <w:rsid w:val="001C2606"/>
    <w:rsid w:val="001D0428"/>
    <w:rsid w:val="001D3044"/>
    <w:rsid w:val="001D6649"/>
    <w:rsid w:val="001E0906"/>
    <w:rsid w:val="001F59B0"/>
    <w:rsid w:val="00200101"/>
    <w:rsid w:val="00201EC4"/>
    <w:rsid w:val="002278D8"/>
    <w:rsid w:val="0022794C"/>
    <w:rsid w:val="00230C24"/>
    <w:rsid w:val="002317F1"/>
    <w:rsid w:val="002418F4"/>
    <w:rsid w:val="002639E9"/>
    <w:rsid w:val="00267914"/>
    <w:rsid w:val="00270A35"/>
    <w:rsid w:val="00272015"/>
    <w:rsid w:val="0027773B"/>
    <w:rsid w:val="00295A72"/>
    <w:rsid w:val="002A0B9B"/>
    <w:rsid w:val="002A681F"/>
    <w:rsid w:val="002C1720"/>
    <w:rsid w:val="002F496E"/>
    <w:rsid w:val="00310D90"/>
    <w:rsid w:val="00313E41"/>
    <w:rsid w:val="0031454A"/>
    <w:rsid w:val="00316065"/>
    <w:rsid w:val="00317D3C"/>
    <w:rsid w:val="00325834"/>
    <w:rsid w:val="00335252"/>
    <w:rsid w:val="00340878"/>
    <w:rsid w:val="003622A9"/>
    <w:rsid w:val="0036625D"/>
    <w:rsid w:val="00366467"/>
    <w:rsid w:val="0036783F"/>
    <w:rsid w:val="00371E51"/>
    <w:rsid w:val="003A52ED"/>
    <w:rsid w:val="003B0227"/>
    <w:rsid w:val="003C0A46"/>
    <w:rsid w:val="003D46F5"/>
    <w:rsid w:val="003F3178"/>
    <w:rsid w:val="00413353"/>
    <w:rsid w:val="00417F04"/>
    <w:rsid w:val="00444170"/>
    <w:rsid w:val="00463C72"/>
    <w:rsid w:val="00476FA3"/>
    <w:rsid w:val="00482E74"/>
    <w:rsid w:val="004907B9"/>
    <w:rsid w:val="00493287"/>
    <w:rsid w:val="0049449E"/>
    <w:rsid w:val="00494A5A"/>
    <w:rsid w:val="004A3816"/>
    <w:rsid w:val="004B7AC1"/>
    <w:rsid w:val="004C493E"/>
    <w:rsid w:val="004C5C2A"/>
    <w:rsid w:val="004F0FEF"/>
    <w:rsid w:val="004F1518"/>
    <w:rsid w:val="00500176"/>
    <w:rsid w:val="005028A2"/>
    <w:rsid w:val="005167AA"/>
    <w:rsid w:val="0051698A"/>
    <w:rsid w:val="00522B74"/>
    <w:rsid w:val="005235B6"/>
    <w:rsid w:val="00536B21"/>
    <w:rsid w:val="00553031"/>
    <w:rsid w:val="00565F05"/>
    <w:rsid w:val="00570CF0"/>
    <w:rsid w:val="0057345C"/>
    <w:rsid w:val="00575D53"/>
    <w:rsid w:val="005967C4"/>
    <w:rsid w:val="005B09BA"/>
    <w:rsid w:val="005D429D"/>
    <w:rsid w:val="005E1780"/>
    <w:rsid w:val="005E7954"/>
    <w:rsid w:val="00606570"/>
    <w:rsid w:val="0061082D"/>
    <w:rsid w:val="006145F2"/>
    <w:rsid w:val="0063111F"/>
    <w:rsid w:val="00634D1E"/>
    <w:rsid w:val="006350E8"/>
    <w:rsid w:val="00644193"/>
    <w:rsid w:val="00651F86"/>
    <w:rsid w:val="00656E28"/>
    <w:rsid w:val="006773E9"/>
    <w:rsid w:val="00694FFB"/>
    <w:rsid w:val="006A03EC"/>
    <w:rsid w:val="006B2B0B"/>
    <w:rsid w:val="006B3925"/>
    <w:rsid w:val="006B43D1"/>
    <w:rsid w:val="006D22C9"/>
    <w:rsid w:val="006D23D3"/>
    <w:rsid w:val="006D5B4B"/>
    <w:rsid w:val="006D6DE3"/>
    <w:rsid w:val="006F2F34"/>
    <w:rsid w:val="006F4A65"/>
    <w:rsid w:val="00700AE0"/>
    <w:rsid w:val="00721F10"/>
    <w:rsid w:val="00736BF7"/>
    <w:rsid w:val="00740887"/>
    <w:rsid w:val="00750048"/>
    <w:rsid w:val="00753B29"/>
    <w:rsid w:val="007560E9"/>
    <w:rsid w:val="007657AF"/>
    <w:rsid w:val="00771ACA"/>
    <w:rsid w:val="007818A6"/>
    <w:rsid w:val="00782560"/>
    <w:rsid w:val="00787163"/>
    <w:rsid w:val="007A141C"/>
    <w:rsid w:val="007C52D0"/>
    <w:rsid w:val="007C656E"/>
    <w:rsid w:val="007C724B"/>
    <w:rsid w:val="007D3A34"/>
    <w:rsid w:val="007D7D3F"/>
    <w:rsid w:val="00811AFC"/>
    <w:rsid w:val="0081671C"/>
    <w:rsid w:val="00824D03"/>
    <w:rsid w:val="00833504"/>
    <w:rsid w:val="00846030"/>
    <w:rsid w:val="00846B5E"/>
    <w:rsid w:val="0085718B"/>
    <w:rsid w:val="00870D33"/>
    <w:rsid w:val="008749F7"/>
    <w:rsid w:val="008A143D"/>
    <w:rsid w:val="008A1678"/>
    <w:rsid w:val="008A3FDB"/>
    <w:rsid w:val="008B0118"/>
    <w:rsid w:val="008B36BD"/>
    <w:rsid w:val="008C2739"/>
    <w:rsid w:val="008C7A24"/>
    <w:rsid w:val="008F2285"/>
    <w:rsid w:val="008F4ACF"/>
    <w:rsid w:val="00905269"/>
    <w:rsid w:val="00925877"/>
    <w:rsid w:val="009269DC"/>
    <w:rsid w:val="009455F6"/>
    <w:rsid w:val="00945B7F"/>
    <w:rsid w:val="00952EB7"/>
    <w:rsid w:val="0096472F"/>
    <w:rsid w:val="00965146"/>
    <w:rsid w:val="00976F35"/>
    <w:rsid w:val="009A0E4F"/>
    <w:rsid w:val="009A47A3"/>
    <w:rsid w:val="009D7D9B"/>
    <w:rsid w:val="00A00D0C"/>
    <w:rsid w:val="00A12FC4"/>
    <w:rsid w:val="00A13CAA"/>
    <w:rsid w:val="00A24853"/>
    <w:rsid w:val="00A33587"/>
    <w:rsid w:val="00A567A9"/>
    <w:rsid w:val="00A76177"/>
    <w:rsid w:val="00A8401C"/>
    <w:rsid w:val="00A86FF7"/>
    <w:rsid w:val="00A9541E"/>
    <w:rsid w:val="00AA4C80"/>
    <w:rsid w:val="00AB4CEE"/>
    <w:rsid w:val="00AC07C6"/>
    <w:rsid w:val="00AC15A5"/>
    <w:rsid w:val="00AC63B5"/>
    <w:rsid w:val="00AD0475"/>
    <w:rsid w:val="00AD3F0F"/>
    <w:rsid w:val="00AF1111"/>
    <w:rsid w:val="00AF6981"/>
    <w:rsid w:val="00B002D7"/>
    <w:rsid w:val="00B01866"/>
    <w:rsid w:val="00B05631"/>
    <w:rsid w:val="00B056E8"/>
    <w:rsid w:val="00B072B9"/>
    <w:rsid w:val="00B13AFE"/>
    <w:rsid w:val="00B16D07"/>
    <w:rsid w:val="00B42726"/>
    <w:rsid w:val="00B42EBB"/>
    <w:rsid w:val="00B46147"/>
    <w:rsid w:val="00B46C87"/>
    <w:rsid w:val="00B50080"/>
    <w:rsid w:val="00B5543C"/>
    <w:rsid w:val="00B917E0"/>
    <w:rsid w:val="00B93A41"/>
    <w:rsid w:val="00BA25D2"/>
    <w:rsid w:val="00BB1F74"/>
    <w:rsid w:val="00BC50E0"/>
    <w:rsid w:val="00BD4895"/>
    <w:rsid w:val="00BD661B"/>
    <w:rsid w:val="00BD75EC"/>
    <w:rsid w:val="00C12FD8"/>
    <w:rsid w:val="00C16D91"/>
    <w:rsid w:val="00C21807"/>
    <w:rsid w:val="00C2796C"/>
    <w:rsid w:val="00C46DDE"/>
    <w:rsid w:val="00C70D9D"/>
    <w:rsid w:val="00C72B13"/>
    <w:rsid w:val="00C7708B"/>
    <w:rsid w:val="00C87EE4"/>
    <w:rsid w:val="00C91BD0"/>
    <w:rsid w:val="00C9202A"/>
    <w:rsid w:val="00C97AB6"/>
    <w:rsid w:val="00CA5923"/>
    <w:rsid w:val="00CB442B"/>
    <w:rsid w:val="00CC45A3"/>
    <w:rsid w:val="00CC6DCA"/>
    <w:rsid w:val="00CD32CB"/>
    <w:rsid w:val="00CE69E2"/>
    <w:rsid w:val="00CF1785"/>
    <w:rsid w:val="00CF2122"/>
    <w:rsid w:val="00CF3999"/>
    <w:rsid w:val="00D05A53"/>
    <w:rsid w:val="00D07A29"/>
    <w:rsid w:val="00D101BF"/>
    <w:rsid w:val="00D1126B"/>
    <w:rsid w:val="00D113C6"/>
    <w:rsid w:val="00D128E1"/>
    <w:rsid w:val="00D27D8C"/>
    <w:rsid w:val="00D31D25"/>
    <w:rsid w:val="00D43AA8"/>
    <w:rsid w:val="00D52AE1"/>
    <w:rsid w:val="00D562E6"/>
    <w:rsid w:val="00D613DF"/>
    <w:rsid w:val="00D665BE"/>
    <w:rsid w:val="00D7142E"/>
    <w:rsid w:val="00D94108"/>
    <w:rsid w:val="00D958F7"/>
    <w:rsid w:val="00DA50FF"/>
    <w:rsid w:val="00DD7D48"/>
    <w:rsid w:val="00DE00F0"/>
    <w:rsid w:val="00DE0584"/>
    <w:rsid w:val="00DE73A7"/>
    <w:rsid w:val="00DF4249"/>
    <w:rsid w:val="00DF7584"/>
    <w:rsid w:val="00E172F3"/>
    <w:rsid w:val="00E37311"/>
    <w:rsid w:val="00E57A5F"/>
    <w:rsid w:val="00E62020"/>
    <w:rsid w:val="00E70B87"/>
    <w:rsid w:val="00E8206A"/>
    <w:rsid w:val="00EA0E6B"/>
    <w:rsid w:val="00EA263B"/>
    <w:rsid w:val="00EA2998"/>
    <w:rsid w:val="00EA5FD7"/>
    <w:rsid w:val="00EA6475"/>
    <w:rsid w:val="00ED0DEC"/>
    <w:rsid w:val="00EF206F"/>
    <w:rsid w:val="00EF2CAE"/>
    <w:rsid w:val="00F015FD"/>
    <w:rsid w:val="00F04733"/>
    <w:rsid w:val="00F61E9B"/>
    <w:rsid w:val="00F701E0"/>
    <w:rsid w:val="00F80356"/>
    <w:rsid w:val="00F93711"/>
    <w:rsid w:val="00FA15F5"/>
    <w:rsid w:val="00FA27CB"/>
    <w:rsid w:val="00FF1E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0CE40"/>
  <w15:docId w15:val="{5709F24F-6CE7-44D1-879A-C0597AC8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basedOn w:val="Normal"/>
    <w:link w:val="FootnoteTextChar"/>
    <w:uiPriority w:val="99"/>
    <w:unhideWhenUsed/>
    <w:rsid w:val="00C91BD0"/>
    <w:rPr>
      <w:sz w:val="20"/>
      <w:szCs w:val="20"/>
    </w:rPr>
  </w:style>
  <w:style w:type="character" w:customStyle="1" w:styleId="FootnoteTextChar">
    <w:name w:val="Footnote Text Char"/>
    <w:basedOn w:val="DefaultParagraphFont"/>
    <w:link w:val="FootnoteText"/>
    <w:uiPriority w:val="99"/>
    <w:rsid w:val="00C91BD0"/>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character" w:styleId="Strong">
    <w:name w:val="Strong"/>
    <w:basedOn w:val="DefaultParagraphFont"/>
    <w:uiPriority w:val="22"/>
    <w:qFormat/>
    <w:rsid w:val="0057345C"/>
    <w:rPr>
      <w:b/>
      <w:bCs/>
    </w:rPr>
  </w:style>
  <w:style w:type="paragraph" w:styleId="Revision">
    <w:name w:val="Revision"/>
    <w:hidden/>
    <w:uiPriority w:val="99"/>
    <w:semiHidden/>
    <w:rsid w:val="003F3178"/>
    <w:pPr>
      <w:spacing w:after="0" w:line="240" w:lineRule="auto"/>
    </w:pPr>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Props1.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2.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F521-5081-4B48-AE4F-21E120F90B14}">
  <ds:schemaRefs>
    <ds:schemaRef ds:uri="http://schemas.openxmlformats.org/officeDocument/2006/bibliography"/>
  </ds:schemaRefs>
</ds:datastoreItem>
</file>

<file path=customXml/itemProps4.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Nomakorinte Ntliziywana</cp:lastModifiedBy>
  <cp:revision>2</cp:revision>
  <cp:lastPrinted>2023-07-17T09:48:00Z</cp:lastPrinted>
  <dcterms:created xsi:type="dcterms:W3CDTF">2023-07-25T10:30:00Z</dcterms:created>
  <dcterms:modified xsi:type="dcterms:W3CDTF">2023-07-25T10:30:00Z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dffbdef8f9fce0f077fbe2248f7ee22f37a29f64ec19d262df1c44962a947d4d</vt:lpwstr>
  </property>
</Properties>
</file>