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8202" w14:textId="77777777" w:rsidR="005D5183" w:rsidRPr="00DB2A06" w:rsidRDefault="005D5183" w:rsidP="005D518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6A741E7" w14:textId="77777777" w:rsidR="005D5183" w:rsidRDefault="005D5183" w:rsidP="00093A31">
      <w:pPr>
        <w:spacing w:after="0" w:line="240" w:lineRule="auto"/>
        <w:rPr>
          <w:b/>
          <w:bCs/>
        </w:rPr>
      </w:pPr>
    </w:p>
    <w:p w14:paraId="19982013" w14:textId="77777777" w:rsidR="005D5183" w:rsidRDefault="005D5183" w:rsidP="00093A31">
      <w:pPr>
        <w:spacing w:after="0" w:line="240" w:lineRule="auto"/>
        <w:rPr>
          <w:b/>
          <w:bCs/>
        </w:rPr>
      </w:pPr>
    </w:p>
    <w:p w14:paraId="1D4D95A1" w14:textId="77777777" w:rsidR="00093A31" w:rsidRDefault="00093A31" w:rsidP="00093A31">
      <w:pPr>
        <w:spacing w:after="0" w:line="240" w:lineRule="auto"/>
        <w:rPr>
          <w:b/>
          <w:bCs/>
        </w:rPr>
      </w:pPr>
      <w:r>
        <w:rPr>
          <w:b/>
          <w:bCs/>
        </w:rPr>
        <w:t>IN THE HIGH COURT OF SOUTH AFRICA</w:t>
      </w:r>
    </w:p>
    <w:p w14:paraId="4471F590" w14:textId="77777777" w:rsidR="00093A31" w:rsidRDefault="00093A31" w:rsidP="00093A31">
      <w:pPr>
        <w:spacing w:after="0" w:line="240" w:lineRule="auto"/>
        <w:rPr>
          <w:b/>
          <w:bCs/>
        </w:rPr>
      </w:pPr>
      <w:r>
        <w:rPr>
          <w:b/>
          <w:bCs/>
        </w:rPr>
        <w:t xml:space="preserve">(EASTERN CAPE DIVISION, GQEBERHA) </w:t>
      </w:r>
    </w:p>
    <w:p w14:paraId="62E6785E" w14:textId="77777777" w:rsidR="00093A31" w:rsidRDefault="00093A31" w:rsidP="00093A31">
      <w:pPr>
        <w:spacing w:line="240" w:lineRule="auto"/>
        <w:jc w:val="right"/>
      </w:pPr>
    </w:p>
    <w:p w14:paraId="3EA48CEF" w14:textId="77777777" w:rsidR="00093A31" w:rsidRDefault="00093A31" w:rsidP="00093A31">
      <w:pPr>
        <w:spacing w:line="240" w:lineRule="auto"/>
        <w:jc w:val="both"/>
      </w:pPr>
    </w:p>
    <w:p w14:paraId="49BF7E0C" w14:textId="77777777" w:rsidR="00093A31" w:rsidRDefault="00093A31" w:rsidP="00093A31">
      <w:pPr>
        <w:spacing w:line="240" w:lineRule="auto"/>
        <w:jc w:val="right"/>
      </w:pPr>
    </w:p>
    <w:p w14:paraId="5253684D" w14:textId="77777777" w:rsidR="00093A31" w:rsidRPr="00093A31" w:rsidRDefault="00093A31" w:rsidP="00093A31">
      <w:pPr>
        <w:spacing w:line="240" w:lineRule="auto"/>
        <w:jc w:val="right"/>
        <w:rPr>
          <w:b/>
          <w:bCs/>
        </w:rPr>
      </w:pPr>
      <w:r w:rsidRPr="00093A31">
        <w:rPr>
          <w:b/>
          <w:bCs/>
        </w:rPr>
        <w:t>CASE NO: 1378/2022</w:t>
      </w:r>
    </w:p>
    <w:p w14:paraId="64D538EC" w14:textId="77777777" w:rsidR="00093A31" w:rsidRDefault="00093A31" w:rsidP="00093A31">
      <w:pPr>
        <w:spacing w:line="240" w:lineRule="auto"/>
      </w:pPr>
    </w:p>
    <w:p w14:paraId="62F5A59A" w14:textId="77777777" w:rsidR="00093A31" w:rsidRDefault="00093A31" w:rsidP="00093A31">
      <w:pPr>
        <w:spacing w:line="240" w:lineRule="auto"/>
      </w:pPr>
      <w:r>
        <w:t xml:space="preserve">In the matter between: </w:t>
      </w:r>
    </w:p>
    <w:p w14:paraId="04DEE60E" w14:textId="77777777" w:rsidR="00093A31" w:rsidRDefault="00093A31" w:rsidP="00093A31">
      <w:pPr>
        <w:spacing w:line="240" w:lineRule="auto"/>
        <w:rPr>
          <w:b/>
          <w:bCs/>
        </w:rPr>
      </w:pPr>
    </w:p>
    <w:p w14:paraId="762C6A25" w14:textId="25A3A57C" w:rsidR="00093A31" w:rsidRDefault="005D5183" w:rsidP="00093A31">
      <w:pPr>
        <w:tabs>
          <w:tab w:val="right" w:pos="9072"/>
        </w:tabs>
        <w:spacing w:line="240" w:lineRule="auto"/>
      </w:pPr>
      <w:bookmarkStart w:id="0" w:name="_Hlk125189289"/>
      <w:r>
        <w:rPr>
          <w:b/>
          <w:bCs/>
        </w:rPr>
        <w:t>C J H</w:t>
      </w:r>
      <w:r w:rsidR="00093A31">
        <w:rPr>
          <w:b/>
          <w:bCs/>
        </w:rPr>
        <w:t xml:space="preserve"> </w:t>
      </w:r>
      <w:bookmarkEnd w:id="0"/>
      <w:r>
        <w:rPr>
          <w:b/>
          <w:bCs/>
        </w:rPr>
        <w:t>(born A</w:t>
      </w:r>
      <w:r w:rsidR="00093A31">
        <w:rPr>
          <w:b/>
          <w:bCs/>
        </w:rPr>
        <w:t>)</w:t>
      </w:r>
      <w:r w:rsidR="00093A31">
        <w:t xml:space="preserve"> </w:t>
      </w:r>
      <w:r w:rsidR="00093A31">
        <w:tab/>
        <w:t xml:space="preserve">Applicant </w:t>
      </w:r>
    </w:p>
    <w:p w14:paraId="20F0FD16" w14:textId="77777777" w:rsidR="00093A31" w:rsidRDefault="00093A31" w:rsidP="00093A31">
      <w:pPr>
        <w:spacing w:line="240" w:lineRule="auto"/>
      </w:pPr>
    </w:p>
    <w:p w14:paraId="582A0158" w14:textId="77777777" w:rsidR="00093A31" w:rsidRDefault="00093A31" w:rsidP="00093A31">
      <w:pPr>
        <w:spacing w:line="240" w:lineRule="auto"/>
      </w:pPr>
      <w:r>
        <w:t xml:space="preserve">and </w:t>
      </w:r>
    </w:p>
    <w:p w14:paraId="5E826A54" w14:textId="77777777" w:rsidR="00093A31" w:rsidRDefault="00093A31" w:rsidP="00093A31">
      <w:pPr>
        <w:spacing w:line="240" w:lineRule="auto"/>
      </w:pPr>
    </w:p>
    <w:p w14:paraId="4C35FECB" w14:textId="656B3158" w:rsidR="00093A31" w:rsidRDefault="005D5183" w:rsidP="00093A31">
      <w:pPr>
        <w:tabs>
          <w:tab w:val="right" w:pos="9072"/>
        </w:tabs>
        <w:spacing w:line="240" w:lineRule="auto"/>
      </w:pPr>
      <w:bookmarkStart w:id="1" w:name="_Hlk125189985"/>
      <w:r>
        <w:rPr>
          <w:b/>
          <w:bCs/>
        </w:rPr>
        <w:t>C F H</w:t>
      </w:r>
      <w:r w:rsidR="00093A31">
        <w:t xml:space="preserve"> </w:t>
      </w:r>
      <w:bookmarkEnd w:id="1"/>
      <w:r w:rsidR="00093A31">
        <w:tab/>
        <w:t xml:space="preserve">Respondent </w:t>
      </w:r>
    </w:p>
    <w:p w14:paraId="4E7C8943" w14:textId="77777777" w:rsidR="00093A31" w:rsidRDefault="00093A31" w:rsidP="00093A31">
      <w:pPr>
        <w:pBdr>
          <w:top w:val="single" w:sz="12" w:space="1" w:color="auto"/>
          <w:bottom w:val="single" w:sz="12" w:space="1" w:color="auto"/>
        </w:pBdr>
        <w:tabs>
          <w:tab w:val="right" w:pos="9072"/>
        </w:tabs>
        <w:spacing w:line="240" w:lineRule="auto"/>
        <w:jc w:val="center"/>
        <w:rPr>
          <w:b/>
          <w:bCs/>
        </w:rPr>
      </w:pPr>
    </w:p>
    <w:p w14:paraId="1AAAAF2D" w14:textId="77777777" w:rsidR="00093A31" w:rsidRDefault="00093A31" w:rsidP="00093A31">
      <w:pPr>
        <w:pBdr>
          <w:top w:val="single" w:sz="12" w:space="1" w:color="auto"/>
          <w:bottom w:val="single" w:sz="12" w:space="1" w:color="auto"/>
        </w:pBdr>
        <w:tabs>
          <w:tab w:val="right" w:pos="9072"/>
        </w:tabs>
        <w:spacing w:line="240" w:lineRule="auto"/>
        <w:jc w:val="center"/>
        <w:rPr>
          <w:b/>
          <w:bCs/>
        </w:rPr>
      </w:pPr>
      <w:r>
        <w:rPr>
          <w:b/>
          <w:bCs/>
        </w:rPr>
        <w:t>JUDGMENT</w:t>
      </w:r>
    </w:p>
    <w:p w14:paraId="210F110A" w14:textId="77777777" w:rsidR="00093A31" w:rsidRDefault="00093A31" w:rsidP="00093A31">
      <w:pPr>
        <w:pBdr>
          <w:top w:val="single" w:sz="12" w:space="1" w:color="auto"/>
          <w:bottom w:val="single" w:sz="12" w:space="1" w:color="auto"/>
        </w:pBdr>
        <w:tabs>
          <w:tab w:val="right" w:pos="9072"/>
        </w:tabs>
        <w:spacing w:line="240" w:lineRule="auto"/>
        <w:jc w:val="center"/>
        <w:rPr>
          <w:b/>
          <w:bCs/>
        </w:rPr>
      </w:pPr>
    </w:p>
    <w:p w14:paraId="5A0D6F3E" w14:textId="77777777" w:rsidR="00093A31" w:rsidRDefault="00093A31" w:rsidP="00093A31">
      <w:pPr>
        <w:tabs>
          <w:tab w:val="right" w:pos="9072"/>
        </w:tabs>
        <w:spacing w:line="240" w:lineRule="auto"/>
        <w:jc w:val="both"/>
        <w:rPr>
          <w:b/>
          <w:bCs/>
        </w:rPr>
      </w:pPr>
      <w:r>
        <w:rPr>
          <w:b/>
          <w:bCs/>
        </w:rPr>
        <w:t>ELLIS, AJ</w:t>
      </w:r>
    </w:p>
    <w:p w14:paraId="7354FA17" w14:textId="77777777" w:rsidR="00093A31" w:rsidRDefault="00093A31" w:rsidP="00093A31">
      <w:pPr>
        <w:tabs>
          <w:tab w:val="right" w:pos="9072"/>
        </w:tabs>
        <w:spacing w:line="240" w:lineRule="auto"/>
        <w:jc w:val="both"/>
        <w:rPr>
          <w:b/>
          <w:bCs/>
        </w:rPr>
      </w:pPr>
    </w:p>
    <w:p w14:paraId="68232291" w14:textId="0ED4A5A5" w:rsidR="00867EFC" w:rsidRDefault="00093A31" w:rsidP="00093A31">
      <w:pPr>
        <w:spacing w:line="480" w:lineRule="auto"/>
        <w:jc w:val="both"/>
      </w:pPr>
      <w:r>
        <w:t>[1]</w:t>
      </w:r>
      <w:r>
        <w:tab/>
        <w:t>In this</w:t>
      </w:r>
      <w:r w:rsidR="00867EFC">
        <w:t xml:space="preserve"> opposed</w:t>
      </w:r>
      <w:r>
        <w:t xml:space="preserve"> application</w:t>
      </w:r>
      <w:r w:rsidR="00A31DAF">
        <w:t xml:space="preserve"> in terms of rule 43 of the Uniform Rules</w:t>
      </w:r>
      <w:r w:rsidR="006B4C02">
        <w:t xml:space="preserve"> (“the application”)</w:t>
      </w:r>
      <w:r>
        <w:t>, only two issues remained for determination after the parties came to an agreement on</w:t>
      </w:r>
      <w:r w:rsidR="00867EFC">
        <w:t xml:space="preserve"> </w:t>
      </w:r>
      <w:r>
        <w:t>18 July 2023 as to</w:t>
      </w:r>
      <w:r w:rsidR="00B25281">
        <w:t xml:space="preserve"> the following issues </w:t>
      </w:r>
      <w:r w:rsidR="00B25281">
        <w:rPr>
          <w:i/>
          <w:iCs/>
        </w:rPr>
        <w:t>pendente lite</w:t>
      </w:r>
      <w:r w:rsidR="00867EFC">
        <w:t>:</w:t>
      </w:r>
    </w:p>
    <w:p w14:paraId="4C9B70A0" w14:textId="39ECE55B" w:rsidR="00093A31" w:rsidRDefault="00093A31" w:rsidP="00093A31">
      <w:pPr>
        <w:spacing w:line="480" w:lineRule="auto"/>
        <w:jc w:val="both"/>
      </w:pPr>
      <w:r>
        <w:t xml:space="preserve"> </w:t>
      </w:r>
      <w:r w:rsidR="00867EFC">
        <w:tab/>
        <w:t>1.1</w:t>
      </w:r>
      <w:r w:rsidR="00867EFC">
        <w:tab/>
      </w:r>
      <w:r>
        <w:t>the primary care of their minor children</w:t>
      </w:r>
      <w:r w:rsidR="00876B19">
        <w:t>;</w:t>
      </w:r>
    </w:p>
    <w:p w14:paraId="49B79146" w14:textId="462823D5" w:rsidR="00093A31" w:rsidRDefault="00093A31" w:rsidP="00093A31">
      <w:pPr>
        <w:spacing w:line="480" w:lineRule="auto"/>
        <w:jc w:val="both"/>
      </w:pPr>
      <w:r>
        <w:tab/>
        <w:t>1.</w:t>
      </w:r>
      <w:r w:rsidR="00867EFC">
        <w:t>2</w:t>
      </w:r>
      <w:r>
        <w:tab/>
        <w:t xml:space="preserve">the </w:t>
      </w:r>
      <w:r w:rsidR="00A023DD">
        <w:t>Respondent’s</w:t>
      </w:r>
      <w:r w:rsidR="00D178E3">
        <w:t xml:space="preserve"> contact</w:t>
      </w:r>
      <w:r w:rsidR="00A023DD">
        <w:t xml:space="preserve"> with the children</w:t>
      </w:r>
      <w:r>
        <w:t>;</w:t>
      </w:r>
    </w:p>
    <w:p w14:paraId="4352C50C" w14:textId="0C49285B" w:rsidR="00093A31" w:rsidRDefault="00093A31" w:rsidP="00093A31">
      <w:pPr>
        <w:spacing w:line="480" w:lineRule="auto"/>
        <w:ind w:left="1440" w:hanging="720"/>
        <w:jc w:val="both"/>
      </w:pPr>
      <w:r>
        <w:t>1.</w:t>
      </w:r>
      <w:r w:rsidR="00867EFC">
        <w:t>3</w:t>
      </w:r>
      <w:r>
        <w:tab/>
        <w:t xml:space="preserve">the maintenance amount payable by the Respondent to </w:t>
      </w:r>
      <w:r w:rsidR="00D178E3">
        <w:t xml:space="preserve">the </w:t>
      </w:r>
      <w:r>
        <w:t xml:space="preserve">Applicant, </w:t>
      </w:r>
      <w:r>
        <w:rPr>
          <w:i/>
          <w:iCs/>
        </w:rPr>
        <w:t>pe</w:t>
      </w:r>
      <w:r w:rsidR="001074CA">
        <w:rPr>
          <w:i/>
          <w:iCs/>
        </w:rPr>
        <w:t>ndent</w:t>
      </w:r>
      <w:r w:rsidR="00901BA3">
        <w:rPr>
          <w:i/>
          <w:iCs/>
        </w:rPr>
        <w:t>e</w:t>
      </w:r>
      <w:r>
        <w:rPr>
          <w:i/>
          <w:iCs/>
        </w:rPr>
        <w:t xml:space="preserve"> lite; </w:t>
      </w:r>
      <w:r>
        <w:t>and</w:t>
      </w:r>
    </w:p>
    <w:p w14:paraId="719245CB" w14:textId="0CF3819E" w:rsidR="00093A31" w:rsidRDefault="00093A31" w:rsidP="00093A31">
      <w:pPr>
        <w:spacing w:line="480" w:lineRule="auto"/>
        <w:ind w:left="1440" w:hanging="720"/>
        <w:jc w:val="both"/>
      </w:pPr>
      <w:r>
        <w:t>1.</w:t>
      </w:r>
      <w:r w:rsidR="00867EFC">
        <w:t>4</w:t>
      </w:r>
      <w:r>
        <w:tab/>
        <w:t>the</w:t>
      </w:r>
      <w:r w:rsidR="007270B5">
        <w:t xml:space="preserve"> </w:t>
      </w:r>
      <w:r w:rsidR="004E2E27">
        <w:t xml:space="preserve">payment of the </w:t>
      </w:r>
      <w:r>
        <w:t>children’s school fees.</w:t>
      </w:r>
    </w:p>
    <w:p w14:paraId="0E26F312" w14:textId="77777777" w:rsidR="00093A31" w:rsidRDefault="00093A31" w:rsidP="00093A31">
      <w:pPr>
        <w:spacing w:line="480" w:lineRule="auto"/>
        <w:jc w:val="both"/>
      </w:pPr>
    </w:p>
    <w:p w14:paraId="2AF0F3DC" w14:textId="21F748CE" w:rsidR="00093A31" w:rsidRDefault="00093A31" w:rsidP="00093A31">
      <w:pPr>
        <w:spacing w:line="480" w:lineRule="auto"/>
        <w:jc w:val="both"/>
      </w:pPr>
      <w:r>
        <w:t>[2]</w:t>
      </w:r>
      <w:r>
        <w:tab/>
        <w:t>The remaining issues</w:t>
      </w:r>
      <w:r w:rsidR="007270B5">
        <w:t xml:space="preserve"> in dispute</w:t>
      </w:r>
      <w:r>
        <w:t xml:space="preserve"> are in respect of</w:t>
      </w:r>
      <w:r w:rsidR="00901BA3">
        <w:t>:</w:t>
      </w:r>
    </w:p>
    <w:p w14:paraId="5F8049FD" w14:textId="0D4C34F9" w:rsidR="00093A31" w:rsidRDefault="00093A31" w:rsidP="00093A31">
      <w:pPr>
        <w:spacing w:line="480" w:lineRule="auto"/>
        <w:jc w:val="both"/>
      </w:pPr>
      <w:r>
        <w:tab/>
        <w:t>2.1</w:t>
      </w:r>
      <w:r>
        <w:tab/>
      </w:r>
      <w:r w:rsidR="006B3947">
        <w:t>T</w:t>
      </w:r>
      <w:r>
        <w:t>he Applicant’s</w:t>
      </w:r>
      <w:r w:rsidR="006B3947">
        <w:t xml:space="preserve"> </w:t>
      </w:r>
      <w:r w:rsidR="00647BB3">
        <w:t>application for</w:t>
      </w:r>
      <w:r w:rsidR="00A66419">
        <w:t xml:space="preserve"> a contribution to her</w:t>
      </w:r>
      <w:r>
        <w:t xml:space="preserve"> costs</w:t>
      </w:r>
      <w:r w:rsidR="00A66419">
        <w:t xml:space="preserve"> of the divorce </w:t>
      </w:r>
      <w:r w:rsidR="00454EEE">
        <w:tab/>
      </w:r>
      <w:r w:rsidR="00454EEE">
        <w:tab/>
      </w:r>
      <w:r w:rsidR="00A66419">
        <w:t>ac</w:t>
      </w:r>
      <w:r w:rsidR="00454EEE">
        <w:t>tion</w:t>
      </w:r>
      <w:r>
        <w:t>; and</w:t>
      </w:r>
    </w:p>
    <w:p w14:paraId="2981FC62" w14:textId="3F98F75E" w:rsidR="00093A31" w:rsidRDefault="00093A31" w:rsidP="00093A31">
      <w:pPr>
        <w:spacing w:line="480" w:lineRule="auto"/>
        <w:jc w:val="both"/>
      </w:pPr>
      <w:r>
        <w:tab/>
        <w:t>2.2</w:t>
      </w:r>
      <w:r>
        <w:tab/>
        <w:t>The costs of the application.</w:t>
      </w:r>
    </w:p>
    <w:p w14:paraId="21A4880C" w14:textId="77777777" w:rsidR="00093A31" w:rsidRDefault="00093A31" w:rsidP="00093A31">
      <w:pPr>
        <w:spacing w:line="480" w:lineRule="auto"/>
        <w:jc w:val="both"/>
      </w:pPr>
    </w:p>
    <w:p w14:paraId="319879CF" w14:textId="50931B7A" w:rsidR="00E35063" w:rsidRDefault="00093A31" w:rsidP="00093A31">
      <w:pPr>
        <w:spacing w:line="480" w:lineRule="auto"/>
        <w:jc w:val="both"/>
      </w:pPr>
      <w:r>
        <w:t>[3]</w:t>
      </w:r>
      <w:r>
        <w:tab/>
        <w:t>At the</w:t>
      </w:r>
      <w:r w:rsidR="00867EFC">
        <w:t xml:space="preserve"> </w:t>
      </w:r>
      <w:r>
        <w:t>hearing</w:t>
      </w:r>
      <w:r w:rsidR="00867EFC">
        <w:t xml:space="preserve"> of</w:t>
      </w:r>
      <w:r>
        <w:t xml:space="preserve"> the matter, the Respondent</w:t>
      </w:r>
      <w:r w:rsidR="00297231">
        <w:t>,</w:t>
      </w:r>
      <w:r w:rsidR="005D5183">
        <w:t xml:space="preserve"> Mr H</w:t>
      </w:r>
      <w:r w:rsidR="00867EFC">
        <w:t>, appearing in person,</w:t>
      </w:r>
      <w:r>
        <w:t xml:space="preserve"> conceded that the Applicant’s legal costs</w:t>
      </w:r>
      <w:r w:rsidR="00867EFC">
        <w:t xml:space="preserve"> which </w:t>
      </w:r>
      <w:r w:rsidR="00297231">
        <w:t>had</w:t>
      </w:r>
      <w:r>
        <w:t xml:space="preserve"> already</w:t>
      </w:r>
      <w:r w:rsidR="00297231">
        <w:t xml:space="preserve"> been</w:t>
      </w:r>
      <w:r>
        <w:t xml:space="preserve"> incurred and still</w:t>
      </w:r>
      <w:r w:rsidR="00E35063">
        <w:t xml:space="preserve"> due to </w:t>
      </w:r>
      <w:r w:rsidR="00992998">
        <w:t xml:space="preserve">the </w:t>
      </w:r>
      <w:r w:rsidR="00E35063">
        <w:t xml:space="preserve">Applicant’s attorney </w:t>
      </w:r>
      <w:r w:rsidR="00901BA3">
        <w:t>(</w:t>
      </w:r>
      <w:r w:rsidR="00E35063">
        <w:t>as per</w:t>
      </w:r>
      <w:r w:rsidR="00867EFC">
        <w:t xml:space="preserve"> the</w:t>
      </w:r>
      <w:r w:rsidR="00E35063">
        <w:t xml:space="preserve"> statement</w:t>
      </w:r>
      <w:r w:rsidR="00867EFC">
        <w:t xml:space="preserve"> provided</w:t>
      </w:r>
      <w:r w:rsidR="00901BA3">
        <w:t xml:space="preserve"> as annexure “CH6”</w:t>
      </w:r>
      <w:r w:rsidR="00E35063">
        <w:t xml:space="preserve"> in the rounded amount of R35</w:t>
      </w:r>
      <w:r w:rsidR="00901BA3">
        <w:t> </w:t>
      </w:r>
      <w:r w:rsidR="00E35063">
        <w:t>000</w:t>
      </w:r>
      <w:r w:rsidR="00901BA3">
        <w:t>)</w:t>
      </w:r>
      <w:r w:rsidR="00E35063">
        <w:t xml:space="preserve"> </w:t>
      </w:r>
      <w:r w:rsidR="00992998">
        <w:t>could</w:t>
      </w:r>
      <w:r w:rsidR="00E35063">
        <w:t xml:space="preserve"> be paid</w:t>
      </w:r>
      <w:r w:rsidR="00867EFC">
        <w:t xml:space="preserve"> to the </w:t>
      </w:r>
      <w:r w:rsidR="00901BA3">
        <w:t>Applicant’s a</w:t>
      </w:r>
      <w:r w:rsidR="00867EFC">
        <w:t>ttorney</w:t>
      </w:r>
      <w:r w:rsidR="00E35063">
        <w:t xml:space="preserve"> from the proceeds of the sale of the matrimonial home.  I understand that</w:t>
      </w:r>
      <w:r w:rsidR="00867EFC">
        <w:t xml:space="preserve"> the</w:t>
      </w:r>
      <w:r w:rsidR="00E35063">
        <w:t xml:space="preserve"> proceeds are being</w:t>
      </w:r>
      <w:r w:rsidR="00030D0B">
        <w:t xml:space="preserve"> </w:t>
      </w:r>
      <w:r w:rsidR="00E35063">
        <w:t>retained</w:t>
      </w:r>
      <w:r w:rsidR="00867EFC">
        <w:t xml:space="preserve"> by the conveyancer</w:t>
      </w:r>
      <w:r w:rsidR="00CD1F66">
        <w:t xml:space="preserve"> responsible for the transfer</w:t>
      </w:r>
      <w:r w:rsidR="00030D0B">
        <w:t xml:space="preserve"> </w:t>
      </w:r>
      <w:r w:rsidR="00B132CB">
        <w:t>pending the</w:t>
      </w:r>
      <w:r w:rsidR="00E35063">
        <w:t xml:space="preserve"> division of the joint estate.</w:t>
      </w:r>
    </w:p>
    <w:p w14:paraId="43C010DA" w14:textId="77777777" w:rsidR="00E35063" w:rsidRDefault="00E35063" w:rsidP="00093A31">
      <w:pPr>
        <w:spacing w:line="480" w:lineRule="auto"/>
        <w:jc w:val="both"/>
      </w:pPr>
    </w:p>
    <w:p w14:paraId="0B647AF8" w14:textId="1DFA07FF" w:rsidR="00E35063" w:rsidRDefault="00E35063" w:rsidP="00093A31">
      <w:pPr>
        <w:spacing w:line="480" w:lineRule="auto"/>
        <w:jc w:val="both"/>
      </w:pPr>
      <w:r>
        <w:t>[4]</w:t>
      </w:r>
      <w:r>
        <w:tab/>
        <w:t>Ms Van Sc</w:t>
      </w:r>
      <w:r w:rsidR="00030D0B">
        <w:t>h</w:t>
      </w:r>
      <w:r>
        <w:t>alkwyk</w:t>
      </w:r>
      <w:r w:rsidR="00867EFC">
        <w:t>,</w:t>
      </w:r>
      <w:r>
        <w:t xml:space="preserve"> appearing on behalf of the Applicant, did not persist with </w:t>
      </w:r>
      <w:r w:rsidR="00901BA3">
        <w:t xml:space="preserve">her </w:t>
      </w:r>
      <w:r>
        <w:t xml:space="preserve">argument in </w:t>
      </w:r>
      <w:r w:rsidR="00901BA3">
        <w:t>respect</w:t>
      </w:r>
      <w:r>
        <w:t xml:space="preserve"> of the Applicant’s further anticipated future legal costs </w:t>
      </w:r>
      <w:r w:rsidR="00901BA3">
        <w:t xml:space="preserve">(in the amount of R65 000 as claimed in the notice in terms of rule 43) </w:t>
      </w:r>
      <w:r>
        <w:t xml:space="preserve">and </w:t>
      </w:r>
      <w:r w:rsidR="00901BA3">
        <w:t xml:space="preserve">the Applicant </w:t>
      </w:r>
      <w:r>
        <w:t>accepted the R35 000 contribution</w:t>
      </w:r>
      <w:r w:rsidR="00377D07">
        <w:t xml:space="preserve"> tender</w:t>
      </w:r>
      <w:r w:rsidR="00D44787">
        <w:t>ed</w:t>
      </w:r>
      <w:r w:rsidR="00462963">
        <w:t xml:space="preserve"> </w:t>
      </w:r>
      <w:r>
        <w:t>for legal fees already incurred.</w:t>
      </w:r>
    </w:p>
    <w:p w14:paraId="07ECF242" w14:textId="77777777" w:rsidR="00E35063" w:rsidRDefault="00E35063" w:rsidP="00093A31">
      <w:pPr>
        <w:spacing w:line="480" w:lineRule="auto"/>
        <w:jc w:val="both"/>
      </w:pPr>
    </w:p>
    <w:p w14:paraId="012464E4" w14:textId="1C117E68" w:rsidR="00E35063" w:rsidRDefault="00E35063" w:rsidP="00093A31">
      <w:pPr>
        <w:spacing w:line="480" w:lineRule="auto"/>
        <w:jc w:val="both"/>
      </w:pPr>
      <w:r>
        <w:t>[5]</w:t>
      </w:r>
      <w:r>
        <w:tab/>
        <w:t>The only remaining aspect there</w:t>
      </w:r>
      <w:r w:rsidR="00867EFC">
        <w:t>fore</w:t>
      </w:r>
      <w:r>
        <w:t xml:space="preserve"> is the costs of the application.</w:t>
      </w:r>
    </w:p>
    <w:p w14:paraId="4DB38071" w14:textId="77777777" w:rsidR="00E35063" w:rsidRDefault="00E35063" w:rsidP="00093A31">
      <w:pPr>
        <w:spacing w:line="480" w:lineRule="auto"/>
        <w:jc w:val="both"/>
      </w:pPr>
    </w:p>
    <w:p w14:paraId="76E52FA5" w14:textId="453FCD53" w:rsidR="00E35063" w:rsidRDefault="00E35063" w:rsidP="00093A31">
      <w:pPr>
        <w:spacing w:line="480" w:lineRule="auto"/>
        <w:jc w:val="both"/>
      </w:pPr>
      <w:r>
        <w:lastRenderedPageBreak/>
        <w:t>[6]</w:t>
      </w:r>
      <w:r>
        <w:tab/>
        <w:t xml:space="preserve">The usual order in </w:t>
      </w:r>
      <w:r w:rsidR="00D44787">
        <w:t>r</w:t>
      </w:r>
      <w:r>
        <w:t xml:space="preserve">ule 43 matters is that costs </w:t>
      </w:r>
      <w:r w:rsidR="005D3B9F">
        <w:t>are ordered to be</w:t>
      </w:r>
      <w:r w:rsidR="00E53A2F">
        <w:t xml:space="preserve"> costs in the divorce </w:t>
      </w:r>
      <w:r w:rsidR="00B132CB">
        <w:t>action.</w:t>
      </w:r>
      <w:r w:rsidR="00030D0B">
        <w:t xml:space="preserve">  </w:t>
      </w:r>
      <w:r>
        <w:t>Ms Van Schalkwyk argued that such an order w</w:t>
      </w:r>
      <w:r w:rsidR="00623ED8">
        <w:t>ould</w:t>
      </w:r>
      <w:r>
        <w:t xml:space="preserve"> ultimately be paid from the joint estate, and that the application could have been avoided if the Respondent engaged more meaningfully</w:t>
      </w:r>
      <w:r w:rsidR="00867EFC">
        <w:t xml:space="preserve"> in settlement negotiations</w:t>
      </w:r>
      <w:r>
        <w:t xml:space="preserve"> prior to the hearing date.</w:t>
      </w:r>
    </w:p>
    <w:p w14:paraId="208FD7FC" w14:textId="77777777" w:rsidR="00867EFC" w:rsidRDefault="00867EFC" w:rsidP="00093A31">
      <w:pPr>
        <w:spacing w:line="480" w:lineRule="auto"/>
        <w:jc w:val="both"/>
      </w:pPr>
    </w:p>
    <w:p w14:paraId="5EEFB684" w14:textId="2ACD323C" w:rsidR="00632883" w:rsidRDefault="00867EFC" w:rsidP="00093A31">
      <w:pPr>
        <w:spacing w:line="480" w:lineRule="auto"/>
        <w:jc w:val="both"/>
      </w:pPr>
      <w:r>
        <w:t>[7]</w:t>
      </w:r>
      <w:r>
        <w:tab/>
        <w:t>It is trite that the court has discretion in awarding costs and such discretion is to be exercised judicially upon a consideration of the facts in each case and the decision is a matter of fairness to both sides.  The general rule is that a successful party is entitled to their costs</w:t>
      </w:r>
      <w:r w:rsidR="00954E62">
        <w:t xml:space="preserve">, but </w:t>
      </w:r>
      <w:r w:rsidR="003C4EAC">
        <w:t>this rule is not absolute and, in fact is rarely applied in applications in terms of rule 43</w:t>
      </w:r>
      <w:r w:rsidR="000E01C6">
        <w:t>.</w:t>
      </w:r>
    </w:p>
    <w:p w14:paraId="34528A45" w14:textId="77777777" w:rsidR="00077785" w:rsidRDefault="00077785" w:rsidP="00093A31">
      <w:pPr>
        <w:spacing w:line="480" w:lineRule="auto"/>
        <w:jc w:val="both"/>
      </w:pPr>
    </w:p>
    <w:p w14:paraId="48CD9DE1" w14:textId="132E9629" w:rsidR="00077785" w:rsidRDefault="00077785" w:rsidP="00093A31">
      <w:pPr>
        <w:spacing w:line="480" w:lineRule="auto"/>
        <w:jc w:val="both"/>
      </w:pPr>
      <w:r>
        <w:t>[8]</w:t>
      </w:r>
      <w:r>
        <w:tab/>
        <w:t>The Divorce Act 70 of 1979 contains a provision dealing with the aspect of costs in a divorce action.</w:t>
      </w:r>
    </w:p>
    <w:p w14:paraId="1BBCC788" w14:textId="6BFE7317" w:rsidR="00077785" w:rsidRDefault="00077785" w:rsidP="00093A31">
      <w:pPr>
        <w:spacing w:line="480" w:lineRule="auto"/>
        <w:jc w:val="both"/>
      </w:pPr>
      <w:r>
        <w:t>Section 10 reads as follows:</w:t>
      </w:r>
    </w:p>
    <w:p w14:paraId="37E5DA3E" w14:textId="6438A452" w:rsidR="00077785" w:rsidRDefault="00077785" w:rsidP="00077785">
      <w:pPr>
        <w:spacing w:line="480" w:lineRule="auto"/>
        <w:ind w:left="720"/>
        <w:jc w:val="both"/>
        <w:rPr>
          <w:sz w:val="20"/>
          <w:szCs w:val="20"/>
        </w:rPr>
      </w:pPr>
      <w:r>
        <w:rPr>
          <w:sz w:val="20"/>
          <w:szCs w:val="20"/>
        </w:rPr>
        <w:t>“In a divorce action the court shall not be b</w:t>
      </w:r>
      <w:r w:rsidR="00901BA3">
        <w:rPr>
          <w:sz w:val="20"/>
          <w:szCs w:val="20"/>
        </w:rPr>
        <w:t>ou</w:t>
      </w:r>
      <w:r>
        <w:rPr>
          <w:sz w:val="20"/>
          <w:szCs w:val="20"/>
        </w:rPr>
        <w:t>nd to make an order for costs in favour of the successful party, but the court may, having regard to the means of the parties, and their conduct in so far as it may be relevant, make such order as it considers just, and the court may order that the costs for proceedings be apportioned between the parties</w:t>
      </w:r>
      <w:r w:rsidR="00901BA3">
        <w:rPr>
          <w:sz w:val="20"/>
          <w:szCs w:val="20"/>
        </w:rPr>
        <w:t>.”</w:t>
      </w:r>
    </w:p>
    <w:p w14:paraId="7885ECD5" w14:textId="77777777" w:rsidR="00077785" w:rsidRDefault="00077785" w:rsidP="00077785">
      <w:pPr>
        <w:spacing w:line="480" w:lineRule="auto"/>
        <w:jc w:val="both"/>
        <w:rPr>
          <w:sz w:val="20"/>
          <w:szCs w:val="20"/>
        </w:rPr>
      </w:pPr>
    </w:p>
    <w:p w14:paraId="0E866113" w14:textId="24B620A7" w:rsidR="00AE2A7D" w:rsidRDefault="00077785" w:rsidP="00093A31">
      <w:pPr>
        <w:spacing w:line="480" w:lineRule="auto"/>
        <w:jc w:val="both"/>
        <w:rPr>
          <w:sz w:val="20"/>
          <w:szCs w:val="20"/>
        </w:rPr>
      </w:pPr>
      <w:r>
        <w:rPr>
          <w:szCs w:val="24"/>
        </w:rPr>
        <w:t>[9]</w:t>
      </w:r>
      <w:r>
        <w:rPr>
          <w:szCs w:val="24"/>
        </w:rPr>
        <w:tab/>
      </w:r>
      <w:r w:rsidR="00AE2A7D">
        <w:rPr>
          <w:szCs w:val="24"/>
        </w:rPr>
        <w:t xml:space="preserve">I </w:t>
      </w:r>
      <w:r w:rsidR="00901BA3">
        <w:rPr>
          <w:szCs w:val="24"/>
        </w:rPr>
        <w:t>am of</w:t>
      </w:r>
      <w:r w:rsidR="00AE2A7D">
        <w:rPr>
          <w:szCs w:val="24"/>
        </w:rPr>
        <w:t xml:space="preserve"> the view that the court dealing with the divorce</w:t>
      </w:r>
      <w:r w:rsidR="000E01C6">
        <w:rPr>
          <w:szCs w:val="24"/>
        </w:rPr>
        <w:t xml:space="preserve"> action</w:t>
      </w:r>
      <w:r w:rsidR="00AE2A7D">
        <w:rPr>
          <w:szCs w:val="24"/>
        </w:rPr>
        <w:t xml:space="preserve"> will be better placed to determine the costs of the</w:t>
      </w:r>
      <w:r w:rsidR="000E01C6">
        <w:rPr>
          <w:szCs w:val="24"/>
        </w:rPr>
        <w:t xml:space="preserve"> application</w:t>
      </w:r>
      <w:r w:rsidR="00090073">
        <w:rPr>
          <w:szCs w:val="24"/>
        </w:rPr>
        <w:t xml:space="preserve"> </w:t>
      </w:r>
      <w:r w:rsidR="00AE2A7D">
        <w:rPr>
          <w:szCs w:val="24"/>
        </w:rPr>
        <w:t>as evidence can be placed before it</w:t>
      </w:r>
      <w:r w:rsidR="00090073">
        <w:rPr>
          <w:szCs w:val="24"/>
        </w:rPr>
        <w:t xml:space="preserve">, which can </w:t>
      </w:r>
      <w:r w:rsidR="00AE2A7D">
        <w:rPr>
          <w:szCs w:val="24"/>
        </w:rPr>
        <w:t>be taken into account when exercising its discretion</w:t>
      </w:r>
      <w:r w:rsidR="00603DBC">
        <w:rPr>
          <w:szCs w:val="24"/>
        </w:rPr>
        <w:t xml:space="preserve"> on costs.</w:t>
      </w:r>
      <w:r w:rsidR="00AE2A7D">
        <w:rPr>
          <w:szCs w:val="24"/>
        </w:rPr>
        <w:t xml:space="preserve">  There were insufficient facts placed before me</w:t>
      </w:r>
      <w:r w:rsidR="00603DBC">
        <w:rPr>
          <w:szCs w:val="24"/>
        </w:rPr>
        <w:t xml:space="preserve"> for me</w:t>
      </w:r>
      <w:r w:rsidR="00AE2A7D">
        <w:rPr>
          <w:szCs w:val="24"/>
        </w:rPr>
        <w:t xml:space="preserve"> to exercise my discretion in a manner that </w:t>
      </w:r>
      <w:r w:rsidR="00AE2A7D">
        <w:rPr>
          <w:szCs w:val="24"/>
        </w:rPr>
        <w:lastRenderedPageBreak/>
        <w:t>is fair to both parties</w:t>
      </w:r>
      <w:r w:rsidR="00603DBC">
        <w:rPr>
          <w:szCs w:val="24"/>
        </w:rPr>
        <w:t xml:space="preserve"> and which would suggest a departure from the </w:t>
      </w:r>
      <w:r w:rsidR="00A27899">
        <w:rPr>
          <w:szCs w:val="24"/>
        </w:rPr>
        <w:t>usual practice that costs in this type of application are</w:t>
      </w:r>
      <w:r w:rsidR="008A0E03">
        <w:rPr>
          <w:szCs w:val="24"/>
        </w:rPr>
        <w:t xml:space="preserve"> ordered to be costs in the divorce action.</w:t>
      </w:r>
    </w:p>
    <w:p w14:paraId="39D96939" w14:textId="77777777" w:rsidR="00AE2A7D" w:rsidRDefault="00AE2A7D" w:rsidP="00093A31">
      <w:pPr>
        <w:spacing w:line="480" w:lineRule="auto"/>
        <w:jc w:val="both"/>
        <w:rPr>
          <w:sz w:val="20"/>
          <w:szCs w:val="20"/>
        </w:rPr>
      </w:pPr>
    </w:p>
    <w:p w14:paraId="6BB2F8B2" w14:textId="495F81B3" w:rsidR="001074CA" w:rsidRPr="00AE2A7D" w:rsidRDefault="00E35063" w:rsidP="00093A31">
      <w:pPr>
        <w:spacing w:line="480" w:lineRule="auto"/>
        <w:jc w:val="both"/>
        <w:rPr>
          <w:sz w:val="20"/>
          <w:szCs w:val="20"/>
        </w:rPr>
      </w:pPr>
      <w:r>
        <w:t>[</w:t>
      </w:r>
      <w:r w:rsidR="00AE2A7D">
        <w:t>10</w:t>
      </w:r>
      <w:r>
        <w:t>]</w:t>
      </w:r>
      <w:r>
        <w:tab/>
        <w:t xml:space="preserve">Having carefully considered the papers filed of record and the submissions advanced by the parties, and the draft order containing the agreement between the </w:t>
      </w:r>
      <w:r w:rsidR="00901BA3">
        <w:t>parties the</w:t>
      </w:r>
      <w:r w:rsidR="001074CA">
        <w:t xml:space="preserve"> following order shall issue </w:t>
      </w:r>
      <w:r w:rsidR="001074CA">
        <w:rPr>
          <w:i/>
          <w:iCs/>
        </w:rPr>
        <w:t>pendente lite</w:t>
      </w:r>
      <w:r w:rsidR="00901BA3">
        <w:rPr>
          <w:i/>
          <w:iCs/>
        </w:rPr>
        <w:t>:</w:t>
      </w:r>
    </w:p>
    <w:p w14:paraId="3E8522E0" w14:textId="5D15B89C" w:rsidR="001074CA" w:rsidRDefault="001074CA" w:rsidP="0019253C">
      <w:pPr>
        <w:spacing w:line="480" w:lineRule="auto"/>
        <w:ind w:left="1440" w:hanging="720"/>
        <w:jc w:val="both"/>
      </w:pPr>
      <w:r>
        <w:t>1.</w:t>
      </w:r>
      <w:r>
        <w:tab/>
        <w:t>The minor children shall primarily reside with the Applicant, subject to the Respondent’s right of reasonable contact with the minor children at all reasonable times.</w:t>
      </w:r>
    </w:p>
    <w:p w14:paraId="428E08F1" w14:textId="63270C3C" w:rsidR="001074CA" w:rsidRDefault="001074CA" w:rsidP="001074CA">
      <w:pPr>
        <w:spacing w:line="480" w:lineRule="auto"/>
        <w:ind w:left="1440" w:hanging="720"/>
        <w:jc w:val="both"/>
      </w:pPr>
      <w:r>
        <w:t>2.</w:t>
      </w:r>
      <w:r>
        <w:tab/>
        <w:t>The Respondent shall contribute to the Applicant and the minor children’s maintenance as follows:</w:t>
      </w:r>
    </w:p>
    <w:p w14:paraId="37A17984" w14:textId="21CEB79B" w:rsidR="00445365" w:rsidRDefault="001074CA" w:rsidP="00445365">
      <w:pPr>
        <w:spacing w:line="480" w:lineRule="auto"/>
        <w:ind w:left="2160" w:hanging="720"/>
        <w:jc w:val="both"/>
      </w:pPr>
      <w:r>
        <w:t>2.1</w:t>
      </w:r>
      <w:r>
        <w:tab/>
        <w:t>A monthly cash contribution in the amount of R21 300 to be paid from the Respondent’s share of the proceeds of the sale of the immovable property, which proceeds are held in the trust account of Botha Labuschagne Attorneys and who are hereby directed to make payment of the cash contribution, without set off or deduction, to the Applicant’s nominated bank account as follows:</w:t>
      </w:r>
    </w:p>
    <w:p w14:paraId="479C8EF6" w14:textId="728B4DC5" w:rsidR="00445365" w:rsidRDefault="00445365" w:rsidP="00445365">
      <w:pPr>
        <w:spacing w:line="480" w:lineRule="auto"/>
        <w:ind w:left="2160"/>
        <w:jc w:val="both"/>
      </w:pPr>
      <w:r>
        <w:t>2.1.1</w:t>
      </w:r>
      <w:r>
        <w:tab/>
      </w:r>
      <w:r w:rsidR="001074CA">
        <w:t>R21 300 to be paid on or before 31 July 2023; and</w:t>
      </w:r>
    </w:p>
    <w:p w14:paraId="00CABC7E" w14:textId="0CD6C38B" w:rsidR="001074CA" w:rsidRDefault="001074CA" w:rsidP="00876B19">
      <w:pPr>
        <w:spacing w:line="480" w:lineRule="auto"/>
        <w:ind w:left="2880" w:hanging="720"/>
        <w:jc w:val="both"/>
      </w:pPr>
      <w:r>
        <w:t>2.1.2</w:t>
      </w:r>
      <w:r>
        <w:tab/>
        <w:t>R21 300 to be paid on or before the last day of each subsequent month.</w:t>
      </w:r>
    </w:p>
    <w:p w14:paraId="73E863DD" w14:textId="54C21F60" w:rsidR="00445365" w:rsidRDefault="00445365" w:rsidP="00445365">
      <w:pPr>
        <w:spacing w:line="480" w:lineRule="auto"/>
        <w:ind w:left="2160" w:hanging="720"/>
        <w:jc w:val="both"/>
      </w:pPr>
      <w:r>
        <w:t>2.2</w:t>
      </w:r>
      <w:r>
        <w:tab/>
      </w:r>
      <w:r w:rsidR="00901BA3">
        <w:t>Payment of h</w:t>
      </w:r>
      <w:r>
        <w:t>alf of the children’s school fees and school related expenses directly to the school and/or service provider.</w:t>
      </w:r>
    </w:p>
    <w:p w14:paraId="1E36B824" w14:textId="77777777" w:rsidR="00B132CB" w:rsidRDefault="00B132CB" w:rsidP="00445365">
      <w:pPr>
        <w:spacing w:line="480" w:lineRule="auto"/>
        <w:ind w:left="2160" w:hanging="720"/>
        <w:jc w:val="both"/>
      </w:pPr>
    </w:p>
    <w:p w14:paraId="09692E5D" w14:textId="77777777" w:rsidR="00B132CB" w:rsidRDefault="00B132CB" w:rsidP="00445365">
      <w:pPr>
        <w:spacing w:line="480" w:lineRule="auto"/>
        <w:ind w:left="2160" w:hanging="720"/>
        <w:jc w:val="both"/>
      </w:pPr>
    </w:p>
    <w:p w14:paraId="26F27373" w14:textId="6377EB9F" w:rsidR="00445365" w:rsidRDefault="00445365" w:rsidP="00445365">
      <w:pPr>
        <w:spacing w:line="480" w:lineRule="auto"/>
        <w:ind w:left="1440" w:hanging="720"/>
        <w:jc w:val="both"/>
      </w:pPr>
      <w:r>
        <w:t>3</w:t>
      </w:r>
      <w:bookmarkStart w:id="2" w:name="_GoBack"/>
      <w:bookmarkEnd w:id="2"/>
      <w:r>
        <w:t>.</w:t>
      </w:r>
      <w:r>
        <w:tab/>
        <w:t xml:space="preserve">Botha and Labuschagne Attorneys are hereby directed to make payment of R35 000 from the proceeds of the sale of the immovable property held in their trust account </w:t>
      </w:r>
      <w:r w:rsidR="00901BA3">
        <w:t>directly</w:t>
      </w:r>
      <w:r>
        <w:t xml:space="preserve"> to the Applicant’s </w:t>
      </w:r>
      <w:r w:rsidR="00901BA3">
        <w:t>a</w:t>
      </w:r>
      <w:r>
        <w:t>ttorneys being Annali Erasmus Inc, with bank account details as below on or before 31 July 2023:</w:t>
      </w:r>
    </w:p>
    <w:p w14:paraId="6BD6E265" w14:textId="77777777" w:rsidR="00445365" w:rsidRDefault="00445365" w:rsidP="00445365">
      <w:pPr>
        <w:spacing w:line="480" w:lineRule="auto"/>
        <w:ind w:left="1440" w:hanging="720"/>
        <w:jc w:val="both"/>
        <w:rPr>
          <w:b/>
          <w:bCs/>
        </w:rPr>
      </w:pPr>
      <w:r>
        <w:tab/>
      </w:r>
      <w:r>
        <w:rPr>
          <w:b/>
          <w:bCs/>
        </w:rPr>
        <w:t>ANNALI ERASUMUS INC</w:t>
      </w:r>
    </w:p>
    <w:p w14:paraId="613280EB" w14:textId="77777777" w:rsidR="00445365" w:rsidRDefault="00445365" w:rsidP="00445365">
      <w:pPr>
        <w:spacing w:line="480" w:lineRule="auto"/>
        <w:ind w:left="1440" w:hanging="720"/>
        <w:jc w:val="both"/>
        <w:rPr>
          <w:b/>
          <w:bCs/>
        </w:rPr>
      </w:pPr>
      <w:r>
        <w:rPr>
          <w:b/>
          <w:bCs/>
        </w:rPr>
        <w:tab/>
        <w:t>NEDBANK</w:t>
      </w:r>
    </w:p>
    <w:p w14:paraId="2DF79E8E" w14:textId="63441A06" w:rsidR="00445365" w:rsidRDefault="005D5183" w:rsidP="00445365">
      <w:pPr>
        <w:spacing w:line="480" w:lineRule="auto"/>
        <w:ind w:left="1440"/>
        <w:jc w:val="both"/>
        <w:rPr>
          <w:b/>
          <w:bCs/>
        </w:rPr>
      </w:pPr>
      <w:r>
        <w:rPr>
          <w:b/>
          <w:bCs/>
        </w:rPr>
        <w:t>ACCOUNT NO.:</w:t>
      </w:r>
      <w:r>
        <w:rPr>
          <w:b/>
          <w:bCs/>
        </w:rPr>
        <w:tab/>
        <w:t>[…]</w:t>
      </w:r>
      <w:r w:rsidR="00445365">
        <w:rPr>
          <w:b/>
          <w:bCs/>
        </w:rPr>
        <w:tab/>
      </w:r>
    </w:p>
    <w:p w14:paraId="5B303FFF" w14:textId="4B506B65" w:rsidR="00445365" w:rsidRDefault="00445365" w:rsidP="00445365">
      <w:pPr>
        <w:spacing w:line="480" w:lineRule="auto"/>
        <w:ind w:left="1440"/>
        <w:jc w:val="both"/>
        <w:rPr>
          <w:b/>
          <w:bCs/>
        </w:rPr>
      </w:pPr>
      <w:r>
        <w:rPr>
          <w:b/>
          <w:bCs/>
        </w:rPr>
        <w:t>BRANCH CODE:</w:t>
      </w:r>
      <w:r>
        <w:rPr>
          <w:b/>
          <w:bCs/>
        </w:rPr>
        <w:tab/>
        <w:t>198 765</w:t>
      </w:r>
    </w:p>
    <w:p w14:paraId="7F9F654E" w14:textId="77777777" w:rsidR="00445365" w:rsidRDefault="00445365" w:rsidP="00445365">
      <w:pPr>
        <w:spacing w:line="480" w:lineRule="auto"/>
        <w:ind w:left="1440"/>
        <w:jc w:val="both"/>
        <w:rPr>
          <w:b/>
          <w:bCs/>
        </w:rPr>
      </w:pPr>
      <w:r>
        <w:rPr>
          <w:b/>
          <w:bCs/>
        </w:rPr>
        <w:t>REFERENCE:</w:t>
      </w:r>
      <w:r>
        <w:rPr>
          <w:b/>
          <w:bCs/>
        </w:rPr>
        <w:tab/>
        <w:t>MAT13842</w:t>
      </w:r>
    </w:p>
    <w:p w14:paraId="4276088D" w14:textId="77777777" w:rsidR="00B132CB" w:rsidRDefault="00B132CB" w:rsidP="00445365">
      <w:pPr>
        <w:spacing w:line="480" w:lineRule="auto"/>
        <w:ind w:left="1440"/>
        <w:jc w:val="both"/>
        <w:rPr>
          <w:b/>
          <w:bCs/>
        </w:rPr>
      </w:pPr>
    </w:p>
    <w:p w14:paraId="68E0812E" w14:textId="0C7EB72A" w:rsidR="00445365" w:rsidRDefault="00445365" w:rsidP="00445365">
      <w:pPr>
        <w:spacing w:line="480" w:lineRule="auto"/>
        <w:jc w:val="both"/>
      </w:pPr>
      <w:r>
        <w:tab/>
        <w:t>4.</w:t>
      </w:r>
      <w:r>
        <w:tab/>
        <w:t xml:space="preserve">The costs of the application shall be costs in the </w:t>
      </w:r>
      <w:r w:rsidR="000812EA">
        <w:t>divorce action</w:t>
      </w:r>
      <w:r>
        <w:t>.</w:t>
      </w:r>
    </w:p>
    <w:p w14:paraId="0E32ED45" w14:textId="77777777" w:rsidR="0019253C" w:rsidRDefault="0019253C" w:rsidP="00445365">
      <w:pPr>
        <w:spacing w:line="480" w:lineRule="auto"/>
        <w:jc w:val="both"/>
      </w:pPr>
    </w:p>
    <w:p w14:paraId="6FC07F5D" w14:textId="14DB66A1" w:rsidR="0019253C" w:rsidRPr="0019253C" w:rsidRDefault="0019253C" w:rsidP="0019253C">
      <w:pPr>
        <w:spacing w:after="0" w:line="240" w:lineRule="auto"/>
        <w:jc w:val="both"/>
        <w:rPr>
          <w:b/>
          <w:bCs/>
        </w:rPr>
      </w:pPr>
      <w:r w:rsidRPr="0019253C">
        <w:rPr>
          <w:b/>
          <w:bCs/>
        </w:rPr>
        <w:t>____________________</w:t>
      </w:r>
    </w:p>
    <w:p w14:paraId="678343B7" w14:textId="671AF18D" w:rsidR="0019253C" w:rsidRPr="0019253C" w:rsidRDefault="0019253C" w:rsidP="0019253C">
      <w:pPr>
        <w:spacing w:after="0" w:line="240" w:lineRule="auto"/>
        <w:jc w:val="both"/>
        <w:rPr>
          <w:b/>
          <w:bCs/>
        </w:rPr>
      </w:pPr>
      <w:r w:rsidRPr="0019253C">
        <w:rPr>
          <w:b/>
          <w:bCs/>
        </w:rPr>
        <w:t>L ELLIS</w:t>
      </w:r>
    </w:p>
    <w:p w14:paraId="2E216169" w14:textId="2F294D15" w:rsidR="0019253C" w:rsidRDefault="0019253C" w:rsidP="0019253C">
      <w:pPr>
        <w:spacing w:after="0" w:line="240" w:lineRule="auto"/>
        <w:jc w:val="both"/>
        <w:rPr>
          <w:b/>
          <w:bCs/>
        </w:rPr>
      </w:pPr>
      <w:r w:rsidRPr="0019253C">
        <w:rPr>
          <w:b/>
          <w:bCs/>
        </w:rPr>
        <w:t xml:space="preserve">ACTING JUDGE OF THE HIGH COURT </w:t>
      </w:r>
    </w:p>
    <w:p w14:paraId="1B027C5A" w14:textId="77777777" w:rsidR="00876B19" w:rsidRDefault="00876B19" w:rsidP="0019253C">
      <w:pPr>
        <w:spacing w:after="0" w:line="240" w:lineRule="auto"/>
        <w:jc w:val="both"/>
        <w:rPr>
          <w:b/>
          <w:bCs/>
        </w:rPr>
      </w:pPr>
    </w:p>
    <w:p w14:paraId="692A0822" w14:textId="77777777" w:rsidR="00876B19" w:rsidRDefault="00876B19" w:rsidP="0019253C">
      <w:pPr>
        <w:spacing w:after="0" w:line="240" w:lineRule="auto"/>
        <w:jc w:val="both"/>
        <w:rPr>
          <w:b/>
          <w:bCs/>
        </w:rPr>
      </w:pPr>
    </w:p>
    <w:p w14:paraId="2D700FD6" w14:textId="77777777" w:rsidR="00876B19" w:rsidRDefault="00876B19" w:rsidP="0019253C">
      <w:pPr>
        <w:spacing w:after="0" w:line="240" w:lineRule="auto"/>
        <w:jc w:val="both"/>
        <w:rPr>
          <w:b/>
          <w:bCs/>
        </w:rPr>
      </w:pPr>
    </w:p>
    <w:p w14:paraId="02B9E205" w14:textId="77777777" w:rsidR="00876B19" w:rsidRDefault="00876B19" w:rsidP="0019253C">
      <w:pPr>
        <w:spacing w:after="0" w:line="240" w:lineRule="auto"/>
        <w:jc w:val="both"/>
        <w:rPr>
          <w:i/>
          <w:iCs/>
          <w:u w:val="single"/>
        </w:rPr>
      </w:pPr>
    </w:p>
    <w:p w14:paraId="3A7CF8CF" w14:textId="1CDA6DFA" w:rsidR="00876B19" w:rsidRDefault="00876B19" w:rsidP="0019253C">
      <w:pPr>
        <w:spacing w:after="0" w:line="240" w:lineRule="auto"/>
        <w:jc w:val="both"/>
      </w:pPr>
      <w:r w:rsidRPr="00876B19">
        <w:rPr>
          <w:i/>
          <w:iCs/>
          <w:u w:val="single"/>
        </w:rPr>
        <w:t>Appearances</w:t>
      </w:r>
      <w:r>
        <w:t>:</w:t>
      </w:r>
    </w:p>
    <w:p w14:paraId="6C03B203" w14:textId="77777777" w:rsidR="00876B19" w:rsidRDefault="00876B19" w:rsidP="0019253C">
      <w:pPr>
        <w:spacing w:after="0" w:line="240" w:lineRule="auto"/>
        <w:jc w:val="both"/>
      </w:pPr>
    </w:p>
    <w:p w14:paraId="419203B5" w14:textId="62A2B386" w:rsidR="00876B19" w:rsidRDefault="00876B19" w:rsidP="0019253C">
      <w:pPr>
        <w:spacing w:after="0" w:line="240" w:lineRule="auto"/>
        <w:jc w:val="both"/>
        <w:rPr>
          <w:i/>
          <w:iCs/>
        </w:rPr>
      </w:pPr>
      <w:r>
        <w:rPr>
          <w:i/>
          <w:iCs/>
        </w:rPr>
        <w:t>For the Applicant:</w:t>
      </w:r>
      <w:r>
        <w:rPr>
          <w:i/>
          <w:iCs/>
        </w:rPr>
        <w:tab/>
      </w:r>
      <w:r>
        <w:rPr>
          <w:i/>
          <w:iCs/>
        </w:rPr>
        <w:tab/>
      </w:r>
      <w:r>
        <w:rPr>
          <w:i/>
          <w:iCs/>
        </w:rPr>
        <w:tab/>
      </w:r>
      <w:r>
        <w:rPr>
          <w:i/>
          <w:iCs/>
        </w:rPr>
        <w:tab/>
      </w:r>
      <w:r>
        <w:rPr>
          <w:i/>
          <w:iCs/>
        </w:rPr>
        <w:tab/>
      </w:r>
      <w:r>
        <w:rPr>
          <w:i/>
          <w:iCs/>
        </w:rPr>
        <w:tab/>
        <w:t>Adv Van Schalkwyk</w:t>
      </w:r>
    </w:p>
    <w:p w14:paraId="7B360899" w14:textId="77777777" w:rsidR="00876B19" w:rsidRDefault="00876B19" w:rsidP="0019253C">
      <w:pPr>
        <w:spacing w:after="0" w:line="240" w:lineRule="auto"/>
        <w:jc w:val="both"/>
        <w:rPr>
          <w:i/>
          <w:iCs/>
        </w:rPr>
      </w:pPr>
    </w:p>
    <w:p w14:paraId="669A87AD" w14:textId="1F1675E3" w:rsidR="00876B19" w:rsidRDefault="00876B19" w:rsidP="0019253C">
      <w:pPr>
        <w:spacing w:after="0" w:line="240" w:lineRule="auto"/>
        <w:jc w:val="both"/>
        <w:rPr>
          <w:i/>
          <w:iCs/>
        </w:rPr>
      </w:pPr>
      <w:r>
        <w:rPr>
          <w:i/>
          <w:iCs/>
        </w:rPr>
        <w:t>Instructed by:</w:t>
      </w:r>
      <w:r>
        <w:rPr>
          <w:i/>
          <w:iCs/>
        </w:rPr>
        <w:tab/>
      </w:r>
      <w:r>
        <w:rPr>
          <w:i/>
          <w:iCs/>
        </w:rPr>
        <w:tab/>
      </w:r>
      <w:r>
        <w:rPr>
          <w:i/>
          <w:iCs/>
        </w:rPr>
        <w:tab/>
      </w:r>
      <w:r>
        <w:rPr>
          <w:i/>
          <w:iCs/>
        </w:rPr>
        <w:tab/>
      </w:r>
      <w:r>
        <w:rPr>
          <w:i/>
          <w:iCs/>
        </w:rPr>
        <w:tab/>
      </w:r>
      <w:r>
        <w:rPr>
          <w:i/>
          <w:iCs/>
        </w:rPr>
        <w:tab/>
        <w:t>Annali Erasmus Inc</w:t>
      </w:r>
    </w:p>
    <w:p w14:paraId="3655992F" w14:textId="77777777" w:rsidR="00876B19" w:rsidRDefault="00876B19" w:rsidP="0019253C">
      <w:pPr>
        <w:spacing w:after="0" w:line="240" w:lineRule="auto"/>
        <w:jc w:val="both"/>
        <w:rPr>
          <w:i/>
          <w:iCs/>
        </w:rPr>
      </w:pPr>
    </w:p>
    <w:p w14:paraId="4CF5B2CF" w14:textId="1B10BEB6" w:rsidR="00876B19" w:rsidRDefault="00876B19" w:rsidP="0019253C">
      <w:pPr>
        <w:spacing w:after="0" w:line="240" w:lineRule="auto"/>
        <w:jc w:val="both"/>
        <w:rPr>
          <w:i/>
          <w:iCs/>
        </w:rPr>
      </w:pPr>
      <w:r>
        <w:rPr>
          <w:i/>
          <w:iCs/>
        </w:rPr>
        <w:t>For the Respondent:</w:t>
      </w:r>
      <w:r>
        <w:rPr>
          <w:i/>
          <w:iCs/>
        </w:rPr>
        <w:tab/>
      </w:r>
      <w:r>
        <w:rPr>
          <w:i/>
          <w:iCs/>
        </w:rPr>
        <w:tab/>
      </w:r>
      <w:r>
        <w:rPr>
          <w:i/>
          <w:iCs/>
        </w:rPr>
        <w:tab/>
      </w:r>
      <w:r>
        <w:rPr>
          <w:i/>
          <w:iCs/>
        </w:rPr>
        <w:tab/>
      </w:r>
      <w:r>
        <w:rPr>
          <w:i/>
          <w:iCs/>
        </w:rPr>
        <w:tab/>
      </w:r>
      <w:r w:rsidR="005D5183">
        <w:rPr>
          <w:i/>
          <w:iCs/>
        </w:rPr>
        <w:t>Mr C H</w:t>
      </w:r>
      <w:r>
        <w:rPr>
          <w:i/>
          <w:iCs/>
        </w:rPr>
        <w:t xml:space="preserve"> in person</w:t>
      </w:r>
    </w:p>
    <w:p w14:paraId="6D5796B8" w14:textId="77777777" w:rsidR="00876B19" w:rsidRDefault="00876B19" w:rsidP="0019253C">
      <w:pPr>
        <w:spacing w:after="0" w:line="240" w:lineRule="auto"/>
        <w:jc w:val="both"/>
        <w:rPr>
          <w:i/>
          <w:iCs/>
        </w:rPr>
      </w:pPr>
    </w:p>
    <w:p w14:paraId="59F589B0" w14:textId="77777777" w:rsidR="00876B19" w:rsidRDefault="00876B19" w:rsidP="0019253C">
      <w:pPr>
        <w:spacing w:after="0" w:line="240" w:lineRule="auto"/>
        <w:jc w:val="both"/>
        <w:rPr>
          <w:i/>
          <w:iCs/>
        </w:rPr>
      </w:pPr>
      <w:r>
        <w:rPr>
          <w:i/>
          <w:iCs/>
        </w:rPr>
        <w:t>Date heard:</w:t>
      </w:r>
      <w:r>
        <w:rPr>
          <w:i/>
          <w:iCs/>
        </w:rPr>
        <w:tab/>
      </w:r>
      <w:r>
        <w:rPr>
          <w:i/>
          <w:iCs/>
        </w:rPr>
        <w:tab/>
      </w:r>
      <w:r>
        <w:rPr>
          <w:i/>
          <w:iCs/>
        </w:rPr>
        <w:tab/>
      </w:r>
      <w:r>
        <w:rPr>
          <w:i/>
          <w:iCs/>
        </w:rPr>
        <w:tab/>
      </w:r>
      <w:r>
        <w:rPr>
          <w:i/>
          <w:iCs/>
        </w:rPr>
        <w:tab/>
      </w:r>
      <w:r>
        <w:rPr>
          <w:i/>
          <w:iCs/>
        </w:rPr>
        <w:tab/>
      </w:r>
      <w:r>
        <w:rPr>
          <w:i/>
          <w:iCs/>
        </w:rPr>
        <w:tab/>
        <w:t>18 July 2023</w:t>
      </w:r>
    </w:p>
    <w:p w14:paraId="6E5CF575" w14:textId="77777777" w:rsidR="00876B19" w:rsidRDefault="00876B19" w:rsidP="0019253C">
      <w:pPr>
        <w:spacing w:after="0" w:line="240" w:lineRule="auto"/>
        <w:jc w:val="both"/>
        <w:rPr>
          <w:i/>
          <w:iCs/>
        </w:rPr>
      </w:pPr>
    </w:p>
    <w:p w14:paraId="2F27260C" w14:textId="289BCF6F" w:rsidR="00093A31" w:rsidRDefault="00876B19" w:rsidP="00B132CB">
      <w:pPr>
        <w:spacing w:after="0" w:line="240" w:lineRule="auto"/>
        <w:jc w:val="both"/>
      </w:pPr>
      <w:r>
        <w:rPr>
          <w:i/>
          <w:iCs/>
        </w:rPr>
        <w:t>Date delivered:</w:t>
      </w:r>
      <w:r>
        <w:rPr>
          <w:i/>
          <w:iCs/>
        </w:rPr>
        <w:tab/>
      </w:r>
      <w:r>
        <w:rPr>
          <w:i/>
          <w:iCs/>
        </w:rPr>
        <w:tab/>
      </w:r>
      <w:r>
        <w:rPr>
          <w:i/>
          <w:iCs/>
        </w:rPr>
        <w:tab/>
      </w:r>
      <w:r>
        <w:rPr>
          <w:i/>
          <w:iCs/>
        </w:rPr>
        <w:tab/>
      </w:r>
      <w:r>
        <w:rPr>
          <w:i/>
          <w:iCs/>
        </w:rPr>
        <w:tab/>
      </w:r>
      <w:r>
        <w:rPr>
          <w:i/>
          <w:iCs/>
        </w:rPr>
        <w:tab/>
        <w:t>20 July 2023</w:t>
      </w:r>
      <w:r>
        <w:rPr>
          <w:i/>
          <w:iCs/>
        </w:rPr>
        <w:tab/>
      </w:r>
      <w:r w:rsidR="00093A31">
        <w:tab/>
        <w:t xml:space="preserve"> </w:t>
      </w:r>
    </w:p>
    <w:p w14:paraId="32803D82" w14:textId="6E44C727" w:rsidR="00D274F9" w:rsidRDefault="00093A31" w:rsidP="005A2D3A">
      <w:pPr>
        <w:spacing w:line="480" w:lineRule="auto"/>
        <w:ind w:left="1440" w:hanging="720"/>
        <w:jc w:val="both"/>
      </w:pPr>
      <w:r>
        <w:t xml:space="preserve"> </w:t>
      </w:r>
    </w:p>
    <w:sectPr w:rsidR="00D274F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D162" w14:textId="77777777" w:rsidR="00A16AF5" w:rsidRDefault="00A16AF5" w:rsidP="00093A31">
      <w:pPr>
        <w:spacing w:after="0" w:line="240" w:lineRule="auto"/>
      </w:pPr>
      <w:r>
        <w:separator/>
      </w:r>
    </w:p>
  </w:endnote>
  <w:endnote w:type="continuationSeparator" w:id="0">
    <w:p w14:paraId="293B2361" w14:textId="77777777" w:rsidR="00A16AF5" w:rsidRDefault="00A16AF5" w:rsidP="0009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48837"/>
      <w:docPartObj>
        <w:docPartGallery w:val="Page Numbers (Bottom of Page)"/>
        <w:docPartUnique/>
      </w:docPartObj>
    </w:sdtPr>
    <w:sdtEndPr/>
    <w:sdtContent>
      <w:sdt>
        <w:sdtPr>
          <w:id w:val="-1769616900"/>
          <w:docPartObj>
            <w:docPartGallery w:val="Page Numbers (Top of Page)"/>
            <w:docPartUnique/>
          </w:docPartObj>
        </w:sdtPr>
        <w:sdtEndPr/>
        <w:sdtContent>
          <w:p w14:paraId="1A4C9773" w14:textId="44FC0405" w:rsidR="00093A31" w:rsidRDefault="00093A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87E95">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87E95">
              <w:rPr>
                <w:b/>
                <w:bCs/>
                <w:noProof/>
              </w:rPr>
              <w:t>6</w:t>
            </w:r>
            <w:r>
              <w:rPr>
                <w:b/>
                <w:bCs/>
                <w:szCs w:val="24"/>
              </w:rPr>
              <w:fldChar w:fldCharType="end"/>
            </w:r>
          </w:p>
        </w:sdtContent>
      </w:sdt>
    </w:sdtContent>
  </w:sdt>
  <w:p w14:paraId="4C5F6006" w14:textId="77777777" w:rsidR="00093A31" w:rsidRDefault="00093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16707" w14:textId="77777777" w:rsidR="00A16AF5" w:rsidRDefault="00A16AF5" w:rsidP="00093A31">
      <w:pPr>
        <w:spacing w:after="0" w:line="240" w:lineRule="auto"/>
      </w:pPr>
      <w:r>
        <w:separator/>
      </w:r>
    </w:p>
  </w:footnote>
  <w:footnote w:type="continuationSeparator" w:id="0">
    <w:p w14:paraId="5CD86DF1" w14:textId="77777777" w:rsidR="00A16AF5" w:rsidRDefault="00A16AF5" w:rsidP="00093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31"/>
    <w:rsid w:val="00030D0B"/>
    <w:rsid w:val="00077785"/>
    <w:rsid w:val="000812EA"/>
    <w:rsid w:val="00090073"/>
    <w:rsid w:val="00093A31"/>
    <w:rsid w:val="000E01C6"/>
    <w:rsid w:val="001074CA"/>
    <w:rsid w:val="00111E00"/>
    <w:rsid w:val="0019253C"/>
    <w:rsid w:val="001D320D"/>
    <w:rsid w:val="00297231"/>
    <w:rsid w:val="00377D07"/>
    <w:rsid w:val="003C4EAC"/>
    <w:rsid w:val="003E0F93"/>
    <w:rsid w:val="003E10D6"/>
    <w:rsid w:val="00445365"/>
    <w:rsid w:val="00454EEE"/>
    <w:rsid w:val="00462963"/>
    <w:rsid w:val="004E2E27"/>
    <w:rsid w:val="005A2D3A"/>
    <w:rsid w:val="005B6D9F"/>
    <w:rsid w:val="005D3B9F"/>
    <w:rsid w:val="005D5183"/>
    <w:rsid w:val="00603DBC"/>
    <w:rsid w:val="00623ED8"/>
    <w:rsid w:val="00632883"/>
    <w:rsid w:val="00633DB8"/>
    <w:rsid w:val="00647BB3"/>
    <w:rsid w:val="00665689"/>
    <w:rsid w:val="006B3947"/>
    <w:rsid w:val="006B4C02"/>
    <w:rsid w:val="007270B5"/>
    <w:rsid w:val="00812752"/>
    <w:rsid w:val="00867EFC"/>
    <w:rsid w:val="00876B19"/>
    <w:rsid w:val="008A0E03"/>
    <w:rsid w:val="00901BA3"/>
    <w:rsid w:val="00954E62"/>
    <w:rsid w:val="00992998"/>
    <w:rsid w:val="00A00F01"/>
    <w:rsid w:val="00A023DD"/>
    <w:rsid w:val="00A16AF5"/>
    <w:rsid w:val="00A27899"/>
    <w:rsid w:val="00A31DAF"/>
    <w:rsid w:val="00A66419"/>
    <w:rsid w:val="00AE2A7D"/>
    <w:rsid w:val="00B132CB"/>
    <w:rsid w:val="00B25281"/>
    <w:rsid w:val="00C86C99"/>
    <w:rsid w:val="00CD1F66"/>
    <w:rsid w:val="00D178E3"/>
    <w:rsid w:val="00D274F9"/>
    <w:rsid w:val="00D44787"/>
    <w:rsid w:val="00E35063"/>
    <w:rsid w:val="00E53A2F"/>
    <w:rsid w:val="00F26C25"/>
    <w:rsid w:val="00F55E34"/>
    <w:rsid w:val="00F87E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DC4B"/>
  <w15:chartTrackingRefBased/>
  <w15:docId w15:val="{CEAE45CC-21EB-4C42-84DD-BFBAD500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A31"/>
    <w:pPr>
      <w:spacing w:line="256" w:lineRule="auto"/>
    </w:pPr>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A31"/>
    <w:rPr>
      <w:rFonts w:ascii="Arial" w:hAnsi="Arial"/>
      <w:kern w:val="0"/>
      <w:sz w:val="24"/>
      <w14:ligatures w14:val="none"/>
    </w:rPr>
  </w:style>
  <w:style w:type="paragraph" w:styleId="Footer">
    <w:name w:val="footer"/>
    <w:basedOn w:val="Normal"/>
    <w:link w:val="FooterChar"/>
    <w:uiPriority w:val="99"/>
    <w:unhideWhenUsed/>
    <w:rsid w:val="00093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A31"/>
    <w:rPr>
      <w:rFonts w:ascii="Arial" w:hAnsi="Arial"/>
      <w:kern w:val="0"/>
      <w:sz w:val="24"/>
      <w14:ligatures w14:val="none"/>
    </w:rPr>
  </w:style>
  <w:style w:type="paragraph" w:styleId="Revision">
    <w:name w:val="Revision"/>
    <w:hidden/>
    <w:uiPriority w:val="99"/>
    <w:semiHidden/>
    <w:rsid w:val="00A31DAF"/>
    <w:pPr>
      <w:spacing w:after="0" w:line="240" w:lineRule="auto"/>
    </w:pPr>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Horn</dc:creator>
  <cp:keywords/>
  <dc:description/>
  <cp:lastModifiedBy>Mokone</cp:lastModifiedBy>
  <cp:revision>2</cp:revision>
  <cp:lastPrinted>2023-07-19T13:36:00Z</cp:lastPrinted>
  <dcterms:created xsi:type="dcterms:W3CDTF">2023-08-02T12:01:00Z</dcterms:created>
  <dcterms:modified xsi:type="dcterms:W3CDTF">2023-08-02T12:01:00Z</dcterms:modified>
</cp:coreProperties>
</file>