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341A8" w14:textId="6C0AA92B" w:rsidR="00C4772D" w:rsidRDefault="00C4772D" w:rsidP="00C4772D">
      <w:pPr>
        <w:spacing w:line="360" w:lineRule="auto"/>
        <w:ind w:right="85"/>
        <w:jc w:val="center"/>
        <w:rPr>
          <w:rFonts w:cs="Tahoma"/>
          <w:b/>
          <w:bCs/>
          <w:snapToGrid w:val="0"/>
          <w:szCs w:val="24"/>
        </w:rPr>
      </w:pPr>
      <w:r>
        <w:rPr>
          <w:noProof/>
          <w:lang w:val="en-US" w:eastAsia="en-US"/>
        </w:rPr>
        <w:drawing>
          <wp:inline distT="0" distB="0" distL="0" distR="0" wp14:anchorId="7008C5BD" wp14:editId="1B96CBE3">
            <wp:extent cx="1447800" cy="1276350"/>
            <wp:effectExtent l="0" t="0" r="0" b="0"/>
            <wp:docPr id="1901474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76350"/>
                    </a:xfrm>
                    <a:prstGeom prst="rect">
                      <a:avLst/>
                    </a:prstGeom>
                    <a:noFill/>
                    <a:ln>
                      <a:noFill/>
                    </a:ln>
                  </pic:spPr>
                </pic:pic>
              </a:graphicData>
            </a:graphic>
          </wp:inline>
        </w:drawing>
      </w:r>
    </w:p>
    <w:p w14:paraId="6BEFDD53" w14:textId="77777777" w:rsidR="00C4772D" w:rsidRDefault="00C4772D" w:rsidP="00B241D2">
      <w:pPr>
        <w:spacing w:line="360" w:lineRule="auto"/>
        <w:ind w:right="85"/>
        <w:rPr>
          <w:rFonts w:cs="Tahoma"/>
          <w:b/>
          <w:bCs/>
          <w:snapToGrid w:val="0"/>
          <w:szCs w:val="24"/>
        </w:rPr>
      </w:pPr>
    </w:p>
    <w:p w14:paraId="0185C901" w14:textId="489A8BBE" w:rsidR="005C7D79" w:rsidRPr="00B241D2" w:rsidRDefault="005C7D79" w:rsidP="00B241D2">
      <w:pPr>
        <w:spacing w:line="360" w:lineRule="auto"/>
        <w:ind w:right="85"/>
        <w:rPr>
          <w:rFonts w:cs="Tahoma"/>
          <w:b/>
          <w:bCs/>
          <w:snapToGrid w:val="0"/>
          <w:szCs w:val="24"/>
        </w:rPr>
      </w:pPr>
      <w:r w:rsidRPr="00B241D2">
        <w:rPr>
          <w:rFonts w:cs="Tahoma"/>
          <w:b/>
          <w:bCs/>
          <w:snapToGrid w:val="0"/>
          <w:szCs w:val="24"/>
        </w:rPr>
        <w:t>IN THE HIGH COURT OF SOUTH AFRICA</w:t>
      </w:r>
    </w:p>
    <w:p w14:paraId="047CDE18" w14:textId="198F4931" w:rsidR="005C7D79" w:rsidRPr="00B241D2" w:rsidRDefault="005C7D79" w:rsidP="00B241D2">
      <w:pPr>
        <w:spacing w:line="360" w:lineRule="auto"/>
        <w:ind w:right="85"/>
        <w:rPr>
          <w:rFonts w:cs="Tahoma"/>
          <w:b/>
          <w:bCs/>
          <w:snapToGrid w:val="0"/>
          <w:szCs w:val="24"/>
        </w:rPr>
      </w:pPr>
      <w:r w:rsidRPr="00B241D2">
        <w:rPr>
          <w:rFonts w:cs="Tahoma"/>
          <w:b/>
          <w:bCs/>
          <w:snapToGrid w:val="0"/>
          <w:szCs w:val="24"/>
        </w:rPr>
        <w:t>EASTERN CAPE</w:t>
      </w:r>
      <w:r w:rsidR="00CC32B3" w:rsidRPr="00B241D2">
        <w:rPr>
          <w:rFonts w:cs="Tahoma"/>
          <w:b/>
          <w:bCs/>
          <w:snapToGrid w:val="0"/>
          <w:szCs w:val="24"/>
        </w:rPr>
        <w:t xml:space="preserve"> </w:t>
      </w:r>
      <w:r w:rsidRPr="00B241D2">
        <w:rPr>
          <w:rFonts w:cs="Tahoma"/>
          <w:b/>
          <w:bCs/>
          <w:snapToGrid w:val="0"/>
          <w:szCs w:val="24"/>
        </w:rPr>
        <w:t>DIVISION, G</w:t>
      </w:r>
      <w:r w:rsidR="00CC32B3" w:rsidRPr="00B241D2">
        <w:rPr>
          <w:rFonts w:cs="Tahoma"/>
          <w:b/>
          <w:bCs/>
          <w:snapToGrid w:val="0"/>
          <w:szCs w:val="24"/>
        </w:rPr>
        <w:t>QEBERHA</w:t>
      </w:r>
    </w:p>
    <w:p w14:paraId="4560F112" w14:textId="5DF20356" w:rsidR="005C7D79" w:rsidRPr="000160FF" w:rsidRDefault="005C7D79" w:rsidP="005C7D79">
      <w:pPr>
        <w:spacing w:line="480" w:lineRule="auto"/>
        <w:ind w:left="4320"/>
        <w:rPr>
          <w:rFonts w:eastAsia="Times New Roman" w:cs="Tahoma"/>
          <w:bCs/>
          <w:noProof/>
          <w:szCs w:val="24"/>
        </w:rPr>
      </w:pPr>
      <w:r w:rsidRPr="000160FF">
        <w:rPr>
          <w:rFonts w:eastAsia="Times New Roman" w:cs="Tahoma"/>
          <w:bCs/>
          <w:noProof/>
          <w:szCs w:val="24"/>
        </w:rPr>
        <w:tab/>
      </w:r>
      <w:r w:rsidRPr="000160FF">
        <w:rPr>
          <w:rFonts w:eastAsia="Times New Roman" w:cs="Tahoma"/>
          <w:bCs/>
          <w:noProof/>
          <w:szCs w:val="24"/>
        </w:rPr>
        <w:tab/>
      </w:r>
      <w:r w:rsidRPr="00B241D2">
        <w:rPr>
          <w:rFonts w:eastAsia="Times New Roman" w:cs="Tahoma"/>
          <w:b/>
          <w:noProof/>
          <w:szCs w:val="24"/>
        </w:rPr>
        <w:t>Case No.:</w:t>
      </w:r>
      <w:r w:rsidRPr="000160FF">
        <w:rPr>
          <w:rFonts w:eastAsia="Times New Roman" w:cs="Tahoma"/>
          <w:bCs/>
          <w:noProof/>
          <w:szCs w:val="24"/>
        </w:rPr>
        <w:t xml:space="preserve"> </w:t>
      </w:r>
      <w:r w:rsidR="00BD18CE">
        <w:rPr>
          <w:rFonts w:eastAsia="Times New Roman" w:cs="Tahoma"/>
          <w:bCs/>
          <w:noProof/>
          <w:szCs w:val="24"/>
        </w:rPr>
        <w:t>359/2022</w:t>
      </w:r>
    </w:p>
    <w:p w14:paraId="2DAA2DC1" w14:textId="062F939E" w:rsidR="005C7D79" w:rsidRPr="000160FF" w:rsidRDefault="005C7D79" w:rsidP="005C7D79">
      <w:pPr>
        <w:spacing w:line="480" w:lineRule="auto"/>
        <w:ind w:left="4320"/>
        <w:rPr>
          <w:rFonts w:eastAsia="Times New Roman" w:cs="Tahoma"/>
          <w:noProof/>
          <w:szCs w:val="24"/>
        </w:rPr>
      </w:pPr>
      <w:r w:rsidRPr="000160FF">
        <w:rPr>
          <w:rFonts w:eastAsia="Times New Roman" w:cs="Tahoma"/>
          <w:bCs/>
          <w:noProof/>
          <w:szCs w:val="24"/>
        </w:rPr>
        <w:tab/>
      </w:r>
      <w:r w:rsidRPr="000160FF">
        <w:rPr>
          <w:rFonts w:eastAsia="Times New Roman" w:cs="Tahoma"/>
          <w:bCs/>
          <w:noProof/>
          <w:szCs w:val="24"/>
        </w:rPr>
        <w:tab/>
      </w:r>
      <w:r w:rsidRPr="00B241D2">
        <w:rPr>
          <w:rFonts w:eastAsia="Times New Roman" w:cs="Tahoma"/>
          <w:b/>
          <w:noProof/>
          <w:szCs w:val="24"/>
        </w:rPr>
        <w:t>Date Heard:</w:t>
      </w:r>
      <w:r w:rsidRPr="000160FF">
        <w:rPr>
          <w:rFonts w:eastAsia="Times New Roman" w:cs="Tahoma"/>
          <w:bCs/>
          <w:noProof/>
          <w:szCs w:val="24"/>
        </w:rPr>
        <w:t xml:space="preserve"> </w:t>
      </w:r>
      <w:r w:rsidR="00BD18CE">
        <w:rPr>
          <w:rFonts w:eastAsia="Times New Roman" w:cs="Tahoma"/>
          <w:bCs/>
          <w:noProof/>
          <w:szCs w:val="24"/>
        </w:rPr>
        <w:t>11 May 2023</w:t>
      </w:r>
      <w:r w:rsidRPr="000160FF">
        <w:rPr>
          <w:rFonts w:eastAsia="Times New Roman" w:cs="Tahoma"/>
          <w:bCs/>
          <w:noProof/>
          <w:szCs w:val="24"/>
        </w:rPr>
        <w:t xml:space="preserve"> </w:t>
      </w:r>
    </w:p>
    <w:p w14:paraId="39B7F340" w14:textId="524D3F0E" w:rsidR="005C7D79" w:rsidRPr="000160FF" w:rsidRDefault="005C7D79" w:rsidP="005C7D79">
      <w:pPr>
        <w:spacing w:line="480" w:lineRule="auto"/>
        <w:ind w:left="4320"/>
        <w:rPr>
          <w:rFonts w:eastAsia="Times New Roman" w:cs="Tahoma"/>
          <w:noProof/>
          <w:szCs w:val="24"/>
        </w:rPr>
      </w:pPr>
      <w:r w:rsidRPr="000160FF">
        <w:rPr>
          <w:rFonts w:eastAsia="Times New Roman" w:cs="Tahoma"/>
          <w:noProof/>
          <w:szCs w:val="24"/>
        </w:rPr>
        <w:tab/>
      </w:r>
      <w:r w:rsidRPr="000160FF">
        <w:rPr>
          <w:rFonts w:eastAsia="Times New Roman" w:cs="Tahoma"/>
          <w:noProof/>
          <w:szCs w:val="24"/>
        </w:rPr>
        <w:tab/>
      </w:r>
      <w:r w:rsidRPr="00B241D2">
        <w:rPr>
          <w:rFonts w:eastAsia="Times New Roman" w:cs="Tahoma"/>
          <w:b/>
          <w:bCs/>
          <w:noProof/>
          <w:szCs w:val="24"/>
        </w:rPr>
        <w:t>Date Delivered:</w:t>
      </w:r>
      <w:r w:rsidR="00D55A78">
        <w:rPr>
          <w:rFonts w:eastAsia="Times New Roman" w:cs="Tahoma"/>
          <w:noProof/>
          <w:szCs w:val="24"/>
        </w:rPr>
        <w:t xml:space="preserve"> </w:t>
      </w:r>
      <w:r w:rsidR="00AD1D02">
        <w:rPr>
          <w:rFonts w:eastAsia="Times New Roman" w:cs="Tahoma"/>
          <w:noProof/>
          <w:szCs w:val="24"/>
        </w:rPr>
        <w:t>8</w:t>
      </w:r>
      <w:r w:rsidR="00D55A78">
        <w:rPr>
          <w:rFonts w:eastAsia="Times New Roman" w:cs="Tahoma"/>
          <w:noProof/>
          <w:szCs w:val="24"/>
        </w:rPr>
        <w:t xml:space="preserve"> August 2023</w:t>
      </w:r>
      <w:r w:rsidRPr="000160FF">
        <w:rPr>
          <w:rFonts w:eastAsia="Times New Roman" w:cs="Tahoma"/>
          <w:noProof/>
          <w:szCs w:val="24"/>
        </w:rPr>
        <w:t xml:space="preserve">  </w:t>
      </w:r>
    </w:p>
    <w:p w14:paraId="330D2746" w14:textId="77777777" w:rsidR="005C7D79" w:rsidRPr="000160FF" w:rsidRDefault="005C7D79" w:rsidP="005C7D79">
      <w:pPr>
        <w:spacing w:line="480" w:lineRule="auto"/>
        <w:jc w:val="both"/>
        <w:rPr>
          <w:rFonts w:eastAsia="Times New Roman" w:cs="Tahoma"/>
          <w:noProof/>
          <w:szCs w:val="24"/>
        </w:rPr>
      </w:pPr>
      <w:r w:rsidRPr="000160FF">
        <w:rPr>
          <w:rFonts w:eastAsia="Times New Roman" w:cs="Tahoma"/>
          <w:noProof/>
          <w:szCs w:val="24"/>
        </w:rPr>
        <w:t>In the matter between:</w:t>
      </w:r>
    </w:p>
    <w:p w14:paraId="3BBDC858" w14:textId="77777777" w:rsidR="00BD18CE" w:rsidRDefault="00BD18CE" w:rsidP="00B241D2">
      <w:pPr>
        <w:jc w:val="both"/>
        <w:rPr>
          <w:rFonts w:eastAsia="Times New Roman" w:cs="Tahoma"/>
          <w:noProof/>
          <w:szCs w:val="24"/>
        </w:rPr>
      </w:pPr>
    </w:p>
    <w:p w14:paraId="4C5B5118" w14:textId="26047160" w:rsidR="005C7D79" w:rsidRPr="000160FF" w:rsidRDefault="00BD18CE" w:rsidP="00B241D2">
      <w:pPr>
        <w:tabs>
          <w:tab w:val="right" w:pos="9746"/>
        </w:tabs>
        <w:spacing w:line="480" w:lineRule="auto"/>
        <w:jc w:val="both"/>
        <w:rPr>
          <w:rFonts w:eastAsia="Times New Roman" w:cs="Tahoma"/>
          <w:noProof/>
          <w:szCs w:val="24"/>
        </w:rPr>
      </w:pPr>
      <w:r w:rsidRPr="00B241D2">
        <w:rPr>
          <w:rFonts w:eastAsia="Times New Roman" w:cs="Tahoma"/>
          <w:b/>
          <w:bCs/>
          <w:noProof/>
          <w:szCs w:val="24"/>
        </w:rPr>
        <w:t>HENNIE EHLERS BOERDERY CC</w:t>
      </w:r>
      <w:r w:rsidR="00B241D2">
        <w:rPr>
          <w:rFonts w:eastAsia="Times New Roman" w:cs="Tahoma"/>
          <w:b/>
          <w:bCs/>
          <w:noProof/>
          <w:szCs w:val="24"/>
        </w:rPr>
        <w:tab/>
      </w:r>
      <w:r w:rsidR="005C7D79" w:rsidRPr="000160FF">
        <w:rPr>
          <w:rFonts w:eastAsia="Times New Roman" w:cs="Tahoma"/>
          <w:noProof/>
          <w:szCs w:val="24"/>
        </w:rPr>
        <w:t>Ap</w:t>
      </w:r>
      <w:r w:rsidR="00CC32B3">
        <w:rPr>
          <w:rFonts w:eastAsia="Times New Roman" w:cs="Tahoma"/>
          <w:noProof/>
          <w:szCs w:val="24"/>
        </w:rPr>
        <w:t>pplic</w:t>
      </w:r>
      <w:r w:rsidR="005C7D79" w:rsidRPr="000160FF">
        <w:rPr>
          <w:rFonts w:eastAsia="Times New Roman" w:cs="Tahoma"/>
          <w:noProof/>
          <w:szCs w:val="24"/>
        </w:rPr>
        <w:t>ant</w:t>
      </w:r>
      <w:r>
        <w:rPr>
          <w:rFonts w:eastAsia="Times New Roman" w:cs="Tahoma"/>
          <w:noProof/>
          <w:szCs w:val="24"/>
        </w:rPr>
        <w:t>/Defendant</w:t>
      </w:r>
      <w:r w:rsidR="005C7D79" w:rsidRPr="000160FF">
        <w:rPr>
          <w:rFonts w:eastAsia="Times New Roman" w:cs="Tahoma"/>
          <w:noProof/>
          <w:szCs w:val="24"/>
        </w:rPr>
        <w:t xml:space="preserve"> </w:t>
      </w:r>
    </w:p>
    <w:p w14:paraId="2108E262" w14:textId="77777777" w:rsidR="00BD18CE" w:rsidRDefault="00BD18CE" w:rsidP="00B241D2">
      <w:pPr>
        <w:jc w:val="both"/>
        <w:rPr>
          <w:rFonts w:eastAsia="Times New Roman" w:cs="Tahoma"/>
          <w:noProof/>
          <w:szCs w:val="24"/>
        </w:rPr>
      </w:pPr>
    </w:p>
    <w:p w14:paraId="2E05E871" w14:textId="7FEF792E" w:rsidR="005C7D79" w:rsidRPr="000160FF" w:rsidRDefault="005C7D79" w:rsidP="005C7D79">
      <w:pPr>
        <w:spacing w:line="480" w:lineRule="auto"/>
        <w:jc w:val="both"/>
        <w:rPr>
          <w:rFonts w:eastAsia="Times New Roman" w:cs="Tahoma"/>
          <w:noProof/>
          <w:szCs w:val="24"/>
        </w:rPr>
      </w:pPr>
      <w:r w:rsidRPr="000160FF">
        <w:rPr>
          <w:rFonts w:eastAsia="Times New Roman" w:cs="Tahoma"/>
          <w:noProof/>
          <w:szCs w:val="24"/>
        </w:rPr>
        <w:t>and</w:t>
      </w:r>
    </w:p>
    <w:p w14:paraId="6E25B43B" w14:textId="77777777" w:rsidR="00BD18CE" w:rsidRDefault="00BD18CE" w:rsidP="00B241D2">
      <w:pPr>
        <w:tabs>
          <w:tab w:val="left" w:pos="638"/>
          <w:tab w:val="center" w:pos="4513"/>
        </w:tabs>
        <w:rPr>
          <w:rFonts w:eastAsia="Times New Roman" w:cs="Tahoma"/>
          <w:b/>
          <w:bCs/>
          <w:noProof/>
          <w:szCs w:val="24"/>
        </w:rPr>
      </w:pPr>
    </w:p>
    <w:p w14:paraId="76963844" w14:textId="7ED54B2D" w:rsidR="005C7D79" w:rsidRPr="000160FF" w:rsidRDefault="00BD18CE" w:rsidP="00B241D2">
      <w:pPr>
        <w:tabs>
          <w:tab w:val="left" w:pos="638"/>
          <w:tab w:val="right" w:pos="9746"/>
        </w:tabs>
        <w:spacing w:line="360" w:lineRule="auto"/>
        <w:rPr>
          <w:rFonts w:cs="Tahoma"/>
          <w:b/>
          <w:szCs w:val="24"/>
        </w:rPr>
      </w:pPr>
      <w:r w:rsidRPr="00B241D2">
        <w:rPr>
          <w:rFonts w:eastAsia="Times New Roman" w:cs="Tahoma"/>
          <w:b/>
          <w:bCs/>
          <w:noProof/>
          <w:szCs w:val="24"/>
        </w:rPr>
        <w:t>APL CARTONS (PTY) LTD</w:t>
      </w:r>
      <w:r w:rsidR="00B241D2">
        <w:rPr>
          <w:rFonts w:eastAsia="Times New Roman" w:cs="Tahoma"/>
          <w:b/>
          <w:bCs/>
          <w:noProof/>
          <w:szCs w:val="24"/>
        </w:rPr>
        <w:tab/>
      </w:r>
      <w:r w:rsidR="005C7D79" w:rsidRPr="000160FF">
        <w:rPr>
          <w:rFonts w:eastAsia="Times New Roman" w:cs="Tahoma"/>
          <w:bCs/>
          <w:noProof/>
          <w:szCs w:val="24"/>
        </w:rPr>
        <w:t>Respondent</w:t>
      </w:r>
      <w:r>
        <w:rPr>
          <w:rFonts w:eastAsia="Times New Roman" w:cs="Tahoma"/>
          <w:bCs/>
          <w:noProof/>
          <w:szCs w:val="24"/>
        </w:rPr>
        <w:t>/Plaintiff</w:t>
      </w:r>
    </w:p>
    <w:p w14:paraId="3E597A04" w14:textId="77777777" w:rsidR="00C157B7" w:rsidRPr="000160FF" w:rsidRDefault="00C157B7" w:rsidP="005C7D79">
      <w:pPr>
        <w:jc w:val="both"/>
        <w:rPr>
          <w:rFonts w:cs="Tahoma"/>
          <w:szCs w:val="24"/>
        </w:rPr>
      </w:pPr>
    </w:p>
    <w:tbl>
      <w:tblPr>
        <w:tblW w:w="9923" w:type="dxa"/>
        <w:tblBorders>
          <w:top w:val="single" w:sz="12" w:space="0" w:color="auto"/>
          <w:bottom w:val="single" w:sz="12" w:space="0" w:color="auto"/>
        </w:tblBorders>
        <w:tblLook w:val="04A0" w:firstRow="1" w:lastRow="0" w:firstColumn="1" w:lastColumn="0" w:noHBand="0" w:noVBand="1"/>
      </w:tblPr>
      <w:tblGrid>
        <w:gridCol w:w="9923"/>
      </w:tblGrid>
      <w:tr w:rsidR="00181B48" w:rsidRPr="000160FF" w14:paraId="794B29CD" w14:textId="77777777" w:rsidTr="00B241D2">
        <w:trPr>
          <w:cantSplit/>
          <w:trHeight w:val="1134"/>
        </w:trPr>
        <w:tc>
          <w:tcPr>
            <w:tcW w:w="9923" w:type="dxa"/>
            <w:shd w:val="clear" w:color="auto" w:fill="auto"/>
            <w:vAlign w:val="center"/>
          </w:tcPr>
          <w:p w14:paraId="09AAD21C" w14:textId="1C24DDAE" w:rsidR="00B3408B" w:rsidRPr="000160FF" w:rsidRDefault="00C6369A" w:rsidP="00B241D2">
            <w:pPr>
              <w:pStyle w:val="Names"/>
              <w:spacing w:before="240" w:line="360" w:lineRule="auto"/>
              <w:jc w:val="center"/>
              <w:rPr>
                <w:rFonts w:cs="Tahoma"/>
                <w:szCs w:val="24"/>
              </w:rPr>
            </w:pPr>
            <w:r w:rsidRPr="000160FF">
              <w:rPr>
                <w:rFonts w:cs="Tahoma"/>
                <w:szCs w:val="24"/>
              </w:rPr>
              <w:t>judgment</w:t>
            </w:r>
          </w:p>
        </w:tc>
      </w:tr>
    </w:tbl>
    <w:p w14:paraId="165EB78E" w14:textId="77777777" w:rsidR="005C7D79" w:rsidRPr="000160FF" w:rsidRDefault="005C7D79" w:rsidP="003A4212">
      <w:pPr>
        <w:pStyle w:val="H1"/>
        <w:numPr>
          <w:ilvl w:val="0"/>
          <w:numId w:val="0"/>
        </w:numPr>
        <w:spacing w:after="0" w:line="240" w:lineRule="auto"/>
        <w:ind w:left="567" w:hanging="567"/>
        <w:rPr>
          <w:rFonts w:cs="Tahoma"/>
          <w:b/>
          <w:szCs w:val="24"/>
          <w:u w:val="single"/>
        </w:rPr>
      </w:pPr>
    </w:p>
    <w:p w14:paraId="74CC353B" w14:textId="1CD1099B" w:rsidR="00DD655F" w:rsidRPr="00BD18CE" w:rsidRDefault="005C7D79" w:rsidP="005C7D79">
      <w:pPr>
        <w:pStyle w:val="H1"/>
        <w:numPr>
          <w:ilvl w:val="0"/>
          <w:numId w:val="0"/>
        </w:numPr>
        <w:spacing w:line="240" w:lineRule="auto"/>
        <w:ind w:left="567" w:hanging="567"/>
        <w:rPr>
          <w:rFonts w:cs="Tahoma"/>
          <w:bCs/>
          <w:szCs w:val="24"/>
          <w:u w:val="single"/>
        </w:rPr>
      </w:pPr>
      <w:r w:rsidRPr="00BD18CE">
        <w:rPr>
          <w:rFonts w:cs="Tahoma"/>
          <w:bCs/>
          <w:szCs w:val="24"/>
          <w:u w:val="single"/>
        </w:rPr>
        <w:t>RONAASEN AJ:</w:t>
      </w:r>
    </w:p>
    <w:p w14:paraId="4AB488DE" w14:textId="77777777" w:rsidR="005C7D79" w:rsidRPr="000160FF" w:rsidRDefault="005C7D79" w:rsidP="003A4212">
      <w:pPr>
        <w:pStyle w:val="H1"/>
        <w:numPr>
          <w:ilvl w:val="0"/>
          <w:numId w:val="0"/>
        </w:numPr>
        <w:spacing w:after="120" w:line="240" w:lineRule="auto"/>
        <w:ind w:left="567" w:hanging="567"/>
        <w:rPr>
          <w:rFonts w:cs="Tahoma"/>
          <w:b/>
          <w:szCs w:val="24"/>
          <w:u w:val="single"/>
        </w:rPr>
      </w:pPr>
    </w:p>
    <w:p w14:paraId="75849662" w14:textId="43CF431F" w:rsidR="00565437" w:rsidRDefault="00565437" w:rsidP="00C41D47">
      <w:pPr>
        <w:pStyle w:val="H1"/>
        <w:numPr>
          <w:ilvl w:val="0"/>
          <w:numId w:val="0"/>
        </w:numPr>
        <w:ind w:left="567" w:hanging="567"/>
        <w:rPr>
          <w:rFonts w:cs="Tahoma"/>
          <w:b/>
          <w:bCs/>
          <w:szCs w:val="24"/>
          <w:u w:val="single"/>
        </w:rPr>
      </w:pPr>
      <w:r w:rsidRPr="000160FF">
        <w:rPr>
          <w:rFonts w:cs="Tahoma"/>
          <w:b/>
          <w:bCs/>
          <w:szCs w:val="24"/>
          <w:u w:val="single"/>
        </w:rPr>
        <w:t>Introduction</w:t>
      </w:r>
    </w:p>
    <w:p w14:paraId="3A1AAA1C" w14:textId="49691A71" w:rsidR="00274FE6" w:rsidRDefault="006D19F0" w:rsidP="00274FE6">
      <w:pPr>
        <w:pStyle w:val="Heading1"/>
        <w:rPr>
          <w:b/>
          <w:bCs/>
          <w:i/>
          <w:iCs/>
          <w:u w:val="single"/>
        </w:rPr>
      </w:pPr>
      <w:r>
        <w:rPr>
          <w:b/>
          <w:bCs/>
          <w:i/>
          <w:iCs/>
          <w:u w:val="single"/>
        </w:rPr>
        <w:t>General</w:t>
      </w:r>
    </w:p>
    <w:p w14:paraId="45E3815B" w14:textId="77777777" w:rsidR="006D19F0" w:rsidRPr="006D19F0" w:rsidRDefault="006D19F0" w:rsidP="006D19F0"/>
    <w:p w14:paraId="1293F182" w14:textId="5352A5AE" w:rsidR="004751A6" w:rsidRDefault="003A260D" w:rsidP="003A260D">
      <w:pPr>
        <w:pStyle w:val="H1"/>
        <w:numPr>
          <w:ilvl w:val="0"/>
          <w:numId w:val="0"/>
        </w:numPr>
        <w:spacing w:after="480"/>
        <w:ind w:left="567" w:hanging="567"/>
        <w:rPr>
          <w:rFonts w:cs="Tahoma"/>
          <w:szCs w:val="24"/>
        </w:rPr>
      </w:pPr>
      <w:r>
        <w:rPr>
          <w:rFonts w:cs="Tahoma"/>
          <w:szCs w:val="24"/>
        </w:rPr>
        <w:t>[1]</w:t>
      </w:r>
      <w:r>
        <w:rPr>
          <w:rFonts w:cs="Tahoma"/>
          <w:szCs w:val="24"/>
        </w:rPr>
        <w:tab/>
      </w:r>
      <w:r w:rsidR="004751A6">
        <w:rPr>
          <w:rFonts w:cs="Tahoma"/>
          <w:szCs w:val="24"/>
        </w:rPr>
        <w:t xml:space="preserve">This judgment relates to an application in terms of rule 30 of the Uniform Rules of Court (“rule 30”).  The application (“the rule 30 application”) was brought against the background of the facts set out, below.  The </w:t>
      </w:r>
      <w:r w:rsidR="00AD1D02">
        <w:rPr>
          <w:rFonts w:cs="Tahoma"/>
          <w:szCs w:val="24"/>
        </w:rPr>
        <w:t xml:space="preserve">defendant, by way of the </w:t>
      </w:r>
      <w:r w:rsidR="004751A6">
        <w:rPr>
          <w:rFonts w:cs="Tahoma"/>
          <w:szCs w:val="24"/>
        </w:rPr>
        <w:t xml:space="preserve">rule 30 </w:t>
      </w:r>
      <w:r w:rsidR="004751A6">
        <w:rPr>
          <w:rFonts w:cs="Tahoma"/>
          <w:szCs w:val="24"/>
        </w:rPr>
        <w:lastRenderedPageBreak/>
        <w:t>application</w:t>
      </w:r>
      <w:r w:rsidR="00AD1D02">
        <w:rPr>
          <w:rFonts w:cs="Tahoma"/>
          <w:szCs w:val="24"/>
        </w:rPr>
        <w:t>,</w:t>
      </w:r>
      <w:r w:rsidR="004751A6">
        <w:rPr>
          <w:rFonts w:cs="Tahoma"/>
          <w:szCs w:val="24"/>
        </w:rPr>
        <w:t xml:space="preserve"> seeks to have declared irregular the plaintiff’s affidavit filed in support of an application for summary judgment</w:t>
      </w:r>
      <w:r w:rsidR="00AD1D02">
        <w:rPr>
          <w:rFonts w:cs="Tahoma"/>
          <w:szCs w:val="24"/>
        </w:rPr>
        <w:t xml:space="preserve"> (the defendant is the applicant and the plaintiff the respondent in the rule 30 application)</w:t>
      </w:r>
      <w:r w:rsidR="004751A6">
        <w:rPr>
          <w:rFonts w:cs="Tahoma"/>
          <w:szCs w:val="24"/>
        </w:rPr>
        <w:t>.</w:t>
      </w:r>
    </w:p>
    <w:p w14:paraId="014EE5FD" w14:textId="7CCCAE96" w:rsidR="00330EB0" w:rsidRDefault="003A260D" w:rsidP="003A260D">
      <w:pPr>
        <w:pStyle w:val="H1"/>
        <w:numPr>
          <w:ilvl w:val="0"/>
          <w:numId w:val="0"/>
        </w:numPr>
        <w:spacing w:after="480"/>
        <w:ind w:left="567" w:hanging="567"/>
        <w:rPr>
          <w:rFonts w:cs="Tahoma"/>
          <w:szCs w:val="24"/>
        </w:rPr>
      </w:pPr>
      <w:r>
        <w:rPr>
          <w:rFonts w:cs="Tahoma"/>
          <w:szCs w:val="24"/>
        </w:rPr>
        <w:t>[2]</w:t>
      </w:r>
      <w:r>
        <w:rPr>
          <w:rFonts w:cs="Tahoma"/>
          <w:szCs w:val="24"/>
        </w:rPr>
        <w:tab/>
      </w:r>
      <w:r w:rsidR="00435499">
        <w:rPr>
          <w:rFonts w:cs="Tahoma"/>
          <w:szCs w:val="24"/>
        </w:rPr>
        <w:t>The summary judgment procedure, currently embodied in</w:t>
      </w:r>
      <w:r w:rsidR="00E80A28">
        <w:rPr>
          <w:rFonts w:cs="Tahoma"/>
          <w:szCs w:val="24"/>
        </w:rPr>
        <w:t xml:space="preserve"> rule 32 of the Uniform Rules </w:t>
      </w:r>
      <w:r w:rsidR="004751A6">
        <w:rPr>
          <w:rFonts w:cs="Tahoma"/>
          <w:szCs w:val="24"/>
        </w:rPr>
        <w:t>(“rule 32”)</w:t>
      </w:r>
      <w:r w:rsidR="00587C97">
        <w:rPr>
          <w:rFonts w:cs="Tahoma"/>
          <w:szCs w:val="24"/>
        </w:rPr>
        <w:t xml:space="preserve"> </w:t>
      </w:r>
      <w:r w:rsidR="0008339E">
        <w:rPr>
          <w:rFonts w:cs="Tahoma"/>
          <w:szCs w:val="24"/>
        </w:rPr>
        <w:t xml:space="preserve">has </w:t>
      </w:r>
      <w:r w:rsidR="00587C97">
        <w:rPr>
          <w:rFonts w:cs="Tahoma"/>
          <w:szCs w:val="24"/>
        </w:rPr>
        <w:t>been part of our civil procedure</w:t>
      </w:r>
      <w:r w:rsidR="009E1A66">
        <w:rPr>
          <w:rFonts w:cs="Tahoma"/>
          <w:szCs w:val="24"/>
        </w:rPr>
        <w:t xml:space="preserve"> since the middle of the previous century</w:t>
      </w:r>
      <w:r w:rsidR="00D16F87">
        <w:rPr>
          <w:rFonts w:cs="Tahoma"/>
          <w:szCs w:val="24"/>
        </w:rPr>
        <w:t>.</w:t>
      </w:r>
      <w:r w:rsidR="00FF6E88">
        <w:rPr>
          <w:rFonts w:cs="Tahoma"/>
          <w:szCs w:val="24"/>
        </w:rPr>
        <w:t xml:space="preserve"> Substantial amendments to rule 32 took effect</w:t>
      </w:r>
      <w:r w:rsidR="001D23F9">
        <w:rPr>
          <w:rFonts w:cs="Tahoma"/>
          <w:szCs w:val="24"/>
        </w:rPr>
        <w:t xml:space="preserve"> on 1 July 2019</w:t>
      </w:r>
      <w:r w:rsidR="005A122F">
        <w:rPr>
          <w:rFonts w:cs="Tahoma"/>
          <w:szCs w:val="24"/>
        </w:rPr>
        <w:t xml:space="preserve">. It is the application of the rule in its amended form which is the </w:t>
      </w:r>
      <w:r w:rsidR="004751A6">
        <w:rPr>
          <w:rFonts w:cs="Tahoma"/>
          <w:szCs w:val="24"/>
        </w:rPr>
        <w:t>focus</w:t>
      </w:r>
      <w:r w:rsidR="005A122F">
        <w:rPr>
          <w:rFonts w:cs="Tahoma"/>
          <w:szCs w:val="24"/>
        </w:rPr>
        <w:t xml:space="preserve"> of th</w:t>
      </w:r>
      <w:r w:rsidR="00AD1D02">
        <w:rPr>
          <w:rFonts w:cs="Tahoma"/>
          <w:szCs w:val="24"/>
        </w:rPr>
        <w:t>e</w:t>
      </w:r>
      <w:r w:rsidR="005A122F">
        <w:rPr>
          <w:rFonts w:cs="Tahoma"/>
          <w:szCs w:val="24"/>
        </w:rPr>
        <w:t xml:space="preserve"> </w:t>
      </w:r>
      <w:r w:rsidR="00AD1D02">
        <w:rPr>
          <w:rFonts w:cs="Tahoma"/>
          <w:szCs w:val="24"/>
        </w:rPr>
        <w:t xml:space="preserve">rule 30 </w:t>
      </w:r>
      <w:r w:rsidR="005A122F">
        <w:rPr>
          <w:rFonts w:cs="Tahoma"/>
          <w:szCs w:val="24"/>
        </w:rPr>
        <w:t>application.</w:t>
      </w:r>
    </w:p>
    <w:p w14:paraId="278CC5D9" w14:textId="2BC69847" w:rsidR="009B5853" w:rsidRPr="00AA1F6D" w:rsidRDefault="003A260D" w:rsidP="003A260D">
      <w:pPr>
        <w:pStyle w:val="H1"/>
        <w:numPr>
          <w:ilvl w:val="0"/>
          <w:numId w:val="0"/>
        </w:numPr>
        <w:spacing w:after="480"/>
        <w:ind w:left="567" w:hanging="567"/>
        <w:rPr>
          <w:rFonts w:cs="Tahoma"/>
          <w:szCs w:val="24"/>
        </w:rPr>
      </w:pPr>
      <w:r w:rsidRPr="00AA1F6D">
        <w:rPr>
          <w:rFonts w:cs="Tahoma"/>
          <w:szCs w:val="24"/>
        </w:rPr>
        <w:t>[3]</w:t>
      </w:r>
      <w:r w:rsidRPr="00AA1F6D">
        <w:rPr>
          <w:rFonts w:cs="Tahoma"/>
          <w:szCs w:val="24"/>
        </w:rPr>
        <w:tab/>
      </w:r>
      <w:r w:rsidR="0070123E">
        <w:rPr>
          <w:rFonts w:cs="Tahoma"/>
          <w:szCs w:val="24"/>
        </w:rPr>
        <w:t>Shortly after the introduction</w:t>
      </w:r>
      <w:r w:rsidR="00664D77">
        <w:rPr>
          <w:rFonts w:cs="Tahoma"/>
          <w:szCs w:val="24"/>
        </w:rPr>
        <w:t xml:space="preserve"> of summary judgment </w:t>
      </w:r>
      <w:r w:rsidR="00E359C8">
        <w:rPr>
          <w:rFonts w:cs="Tahoma"/>
          <w:szCs w:val="24"/>
        </w:rPr>
        <w:t xml:space="preserve">into our country </w:t>
      </w:r>
      <w:r w:rsidR="004751A6">
        <w:rPr>
          <w:rFonts w:cs="Tahoma"/>
          <w:szCs w:val="24"/>
        </w:rPr>
        <w:t>the procedure</w:t>
      </w:r>
      <w:r w:rsidR="00E359C8">
        <w:rPr>
          <w:rFonts w:cs="Tahoma"/>
          <w:szCs w:val="24"/>
        </w:rPr>
        <w:t xml:space="preserve"> was described </w:t>
      </w:r>
      <w:r w:rsidR="00AD1D02">
        <w:rPr>
          <w:rFonts w:cs="Tahoma"/>
          <w:szCs w:val="24"/>
        </w:rPr>
        <w:t>(</w:t>
      </w:r>
      <w:r w:rsidR="00E359C8">
        <w:rPr>
          <w:rFonts w:cs="Tahoma"/>
          <w:szCs w:val="24"/>
        </w:rPr>
        <w:t>in terms which remain equally apt</w:t>
      </w:r>
      <w:r w:rsidR="002C7448">
        <w:rPr>
          <w:rFonts w:cs="Tahoma"/>
          <w:szCs w:val="24"/>
        </w:rPr>
        <w:t xml:space="preserve"> </w:t>
      </w:r>
      <w:r w:rsidR="004751A6">
        <w:rPr>
          <w:rFonts w:cs="Tahoma"/>
          <w:szCs w:val="24"/>
        </w:rPr>
        <w:t>today in respect of</w:t>
      </w:r>
      <w:r w:rsidR="002C7448">
        <w:rPr>
          <w:rFonts w:cs="Tahoma"/>
          <w:szCs w:val="24"/>
        </w:rPr>
        <w:t xml:space="preserve"> the </w:t>
      </w:r>
      <w:r w:rsidR="008A2DBD">
        <w:rPr>
          <w:rFonts w:cs="Tahoma"/>
          <w:szCs w:val="24"/>
        </w:rPr>
        <w:t xml:space="preserve">regime which </w:t>
      </w:r>
      <w:r w:rsidR="0067027F">
        <w:rPr>
          <w:rFonts w:cs="Tahoma"/>
          <w:szCs w:val="24"/>
        </w:rPr>
        <w:t>a</w:t>
      </w:r>
      <w:r w:rsidR="008A2DBD">
        <w:rPr>
          <w:rFonts w:cs="Tahoma"/>
          <w:szCs w:val="24"/>
        </w:rPr>
        <w:t xml:space="preserve">pplies at present </w:t>
      </w:r>
      <w:r w:rsidR="004751A6">
        <w:rPr>
          <w:rFonts w:cs="Tahoma"/>
          <w:szCs w:val="24"/>
        </w:rPr>
        <w:t xml:space="preserve">under </w:t>
      </w:r>
      <w:r w:rsidR="008A2DBD">
        <w:rPr>
          <w:rFonts w:cs="Tahoma"/>
          <w:szCs w:val="24"/>
        </w:rPr>
        <w:t>rule 32 in its amended form</w:t>
      </w:r>
      <w:r w:rsidR="00AD1D02">
        <w:rPr>
          <w:rFonts w:cs="Tahoma"/>
          <w:szCs w:val="24"/>
        </w:rPr>
        <w:t>)</w:t>
      </w:r>
      <w:r w:rsidR="00CB292D">
        <w:rPr>
          <w:rFonts w:cs="Tahoma"/>
          <w:szCs w:val="24"/>
        </w:rPr>
        <w:t xml:space="preserve"> as follows</w:t>
      </w:r>
      <w:r w:rsidR="008A2DBD">
        <w:rPr>
          <w:rFonts w:cs="Tahoma"/>
          <w:szCs w:val="24"/>
        </w:rPr>
        <w:t xml:space="preserve"> in </w:t>
      </w:r>
      <w:r w:rsidR="008A2DBD">
        <w:rPr>
          <w:rFonts w:cs="Tahoma"/>
          <w:i/>
          <w:iCs/>
          <w:szCs w:val="24"/>
        </w:rPr>
        <w:t>Mee</w:t>
      </w:r>
      <w:r w:rsidR="00926C63">
        <w:rPr>
          <w:rFonts w:cs="Tahoma"/>
          <w:i/>
          <w:iCs/>
          <w:szCs w:val="24"/>
        </w:rPr>
        <w:t>k v Kruger</w:t>
      </w:r>
      <w:r w:rsidR="00315F92">
        <w:rPr>
          <w:rFonts w:cs="Tahoma"/>
          <w:iCs/>
          <w:szCs w:val="24"/>
        </w:rPr>
        <w:t xml:space="preserve"> 1958 (3)</w:t>
      </w:r>
      <w:r w:rsidR="00B1107C">
        <w:rPr>
          <w:rFonts w:cs="Tahoma"/>
          <w:iCs/>
          <w:szCs w:val="24"/>
        </w:rPr>
        <w:t xml:space="preserve"> SA 154 at 157A</w:t>
      </w:r>
      <w:r w:rsidR="00AA1F6D">
        <w:rPr>
          <w:rFonts w:cs="Tahoma"/>
          <w:iCs/>
          <w:szCs w:val="24"/>
        </w:rPr>
        <w:t>:</w:t>
      </w:r>
    </w:p>
    <w:p w14:paraId="42FDD4AC" w14:textId="27F49DC6" w:rsidR="00AA1F6D" w:rsidRPr="005B0204" w:rsidRDefault="00AA1F6D" w:rsidP="003A4212">
      <w:pPr>
        <w:pStyle w:val="H1"/>
        <w:numPr>
          <w:ilvl w:val="0"/>
          <w:numId w:val="0"/>
        </w:numPr>
        <w:spacing w:after="480"/>
        <w:ind w:left="567"/>
        <w:rPr>
          <w:rFonts w:cs="Tahoma"/>
          <w:szCs w:val="24"/>
        </w:rPr>
      </w:pPr>
      <w:r>
        <w:rPr>
          <w:rFonts w:cs="Tahoma"/>
          <w:sz w:val="22"/>
        </w:rPr>
        <w:t>“This new procedure</w:t>
      </w:r>
      <w:r w:rsidR="00FA10C7">
        <w:rPr>
          <w:rFonts w:cs="Tahoma"/>
          <w:sz w:val="22"/>
        </w:rPr>
        <w:t xml:space="preserve"> was not intended to </w:t>
      </w:r>
      <w:r w:rsidR="00BF0E06">
        <w:rPr>
          <w:rFonts w:cs="Tahoma"/>
          <w:sz w:val="22"/>
        </w:rPr>
        <w:t>‘</w:t>
      </w:r>
      <w:r w:rsidR="00FA10C7">
        <w:rPr>
          <w:rFonts w:cs="Tahoma"/>
          <w:sz w:val="22"/>
        </w:rPr>
        <w:t>shut</w:t>
      </w:r>
      <w:r w:rsidR="00BF0E06">
        <w:rPr>
          <w:rFonts w:cs="Tahoma"/>
          <w:sz w:val="22"/>
        </w:rPr>
        <w:t xml:space="preserve"> </w:t>
      </w:r>
      <w:r w:rsidR="00FA10C7">
        <w:rPr>
          <w:rFonts w:cs="Tahoma"/>
          <w:sz w:val="22"/>
        </w:rPr>
        <w:t>(a defendant)</w:t>
      </w:r>
      <w:r w:rsidR="00BF0E06">
        <w:rPr>
          <w:rFonts w:cs="Tahoma"/>
          <w:sz w:val="22"/>
        </w:rPr>
        <w:t xml:space="preserve"> out from defending’</w:t>
      </w:r>
      <w:r w:rsidR="00DD3E0D">
        <w:rPr>
          <w:rFonts w:cs="Tahoma"/>
          <w:sz w:val="22"/>
        </w:rPr>
        <w:t xml:space="preserve"> </w:t>
      </w:r>
      <w:r w:rsidR="00844010">
        <w:rPr>
          <w:rFonts w:cs="Tahoma"/>
          <w:sz w:val="22"/>
        </w:rPr>
        <w:t>unless it was very clear indeed that he had no case in the action.</w:t>
      </w:r>
      <w:r w:rsidR="000B4B24">
        <w:rPr>
          <w:rFonts w:cs="Tahoma"/>
          <w:sz w:val="22"/>
        </w:rPr>
        <w:t xml:space="preserve"> It was intended to prevent sham defences</w:t>
      </w:r>
      <w:r w:rsidR="005652F7">
        <w:rPr>
          <w:rFonts w:cs="Tahoma"/>
          <w:sz w:val="22"/>
        </w:rPr>
        <w:t xml:space="preserve"> from defeating the rights of parties by delay, and at the same time causing great loss to plaintiffs who were endeavouring to enforce their rights.</w:t>
      </w:r>
      <w:r w:rsidR="004852E6">
        <w:rPr>
          <w:rFonts w:cs="Tahoma"/>
          <w:sz w:val="22"/>
        </w:rPr>
        <w:t>”</w:t>
      </w:r>
      <w:r w:rsidR="005B0204">
        <w:rPr>
          <w:rFonts w:cs="Tahoma"/>
        </w:rPr>
        <w:t xml:space="preserve"> [case references omitted]</w:t>
      </w:r>
    </w:p>
    <w:p w14:paraId="4C4E0A65" w14:textId="1B0F0F31" w:rsidR="009F1C40" w:rsidRDefault="003A260D" w:rsidP="003A260D">
      <w:pPr>
        <w:pStyle w:val="H1"/>
        <w:numPr>
          <w:ilvl w:val="0"/>
          <w:numId w:val="0"/>
        </w:numPr>
        <w:spacing w:after="480"/>
        <w:ind w:left="567" w:hanging="567"/>
        <w:rPr>
          <w:rFonts w:cs="Tahoma"/>
          <w:szCs w:val="24"/>
        </w:rPr>
      </w:pPr>
      <w:r>
        <w:rPr>
          <w:rFonts w:cs="Tahoma"/>
          <w:szCs w:val="24"/>
        </w:rPr>
        <w:t>[</w:t>
      </w:r>
      <w:bookmarkStart w:id="0" w:name="_GoBack"/>
      <w:bookmarkEnd w:id="0"/>
      <w:r>
        <w:rPr>
          <w:rFonts w:cs="Tahoma"/>
          <w:szCs w:val="24"/>
        </w:rPr>
        <w:t>4]</w:t>
      </w:r>
      <w:r>
        <w:rPr>
          <w:rFonts w:cs="Tahoma"/>
          <w:szCs w:val="24"/>
        </w:rPr>
        <w:tab/>
      </w:r>
      <w:r w:rsidR="008251A1">
        <w:rPr>
          <w:rFonts w:cs="Tahoma"/>
          <w:szCs w:val="24"/>
        </w:rPr>
        <w:t>Rule 32</w:t>
      </w:r>
      <w:r w:rsidR="00500D6E">
        <w:rPr>
          <w:rFonts w:cs="Tahoma"/>
          <w:szCs w:val="24"/>
        </w:rPr>
        <w:t xml:space="preserve">, as </w:t>
      </w:r>
      <w:r w:rsidR="00D710DE">
        <w:rPr>
          <w:rFonts w:cs="Tahoma"/>
          <w:szCs w:val="24"/>
        </w:rPr>
        <w:t>amended</w:t>
      </w:r>
      <w:r w:rsidR="00500D6E">
        <w:rPr>
          <w:rFonts w:cs="Tahoma"/>
          <w:szCs w:val="24"/>
        </w:rPr>
        <w:t xml:space="preserve">, </w:t>
      </w:r>
      <w:r w:rsidR="00A02394">
        <w:rPr>
          <w:rFonts w:cs="Tahoma"/>
          <w:szCs w:val="24"/>
        </w:rPr>
        <w:t xml:space="preserve">is </w:t>
      </w:r>
      <w:r w:rsidR="00AD1D02">
        <w:rPr>
          <w:rFonts w:cs="Tahoma"/>
          <w:szCs w:val="24"/>
        </w:rPr>
        <w:t xml:space="preserve">intended to be </w:t>
      </w:r>
      <w:r w:rsidR="00A02394">
        <w:rPr>
          <w:rFonts w:cs="Tahoma"/>
          <w:szCs w:val="24"/>
        </w:rPr>
        <w:t>a refinement</w:t>
      </w:r>
      <w:r w:rsidR="0048445F">
        <w:rPr>
          <w:rFonts w:cs="Tahoma"/>
          <w:szCs w:val="24"/>
        </w:rPr>
        <w:t xml:space="preserve"> made</w:t>
      </w:r>
      <w:r w:rsidR="00A02394">
        <w:rPr>
          <w:rFonts w:cs="Tahoma"/>
          <w:szCs w:val="24"/>
        </w:rPr>
        <w:t xml:space="preserve"> </w:t>
      </w:r>
      <w:r w:rsidR="00574C3A">
        <w:rPr>
          <w:rFonts w:cs="Tahoma"/>
          <w:szCs w:val="24"/>
        </w:rPr>
        <w:t xml:space="preserve">in a continued effort to </w:t>
      </w:r>
      <w:r w:rsidR="006D19F0">
        <w:rPr>
          <w:rFonts w:cs="Tahoma"/>
          <w:szCs w:val="24"/>
        </w:rPr>
        <w:t>achieve</w:t>
      </w:r>
      <w:r w:rsidR="005F3347">
        <w:rPr>
          <w:rFonts w:cs="Tahoma"/>
          <w:szCs w:val="24"/>
        </w:rPr>
        <w:t xml:space="preserve"> the goal set out in the above-mentioned quotation</w:t>
      </w:r>
      <w:r w:rsidR="00802493">
        <w:rPr>
          <w:rFonts w:cs="Tahoma"/>
          <w:szCs w:val="24"/>
        </w:rPr>
        <w:t xml:space="preserve"> </w:t>
      </w:r>
      <w:r w:rsidR="00FA65C3">
        <w:rPr>
          <w:rFonts w:cs="Tahoma"/>
          <w:szCs w:val="24"/>
        </w:rPr>
        <w:t>namely,</w:t>
      </w:r>
      <w:r w:rsidR="00802493">
        <w:rPr>
          <w:rFonts w:cs="Tahoma"/>
          <w:szCs w:val="24"/>
        </w:rPr>
        <w:t xml:space="preserve"> to establish whether a defendant</w:t>
      </w:r>
      <w:r w:rsidR="00C87F9E">
        <w:rPr>
          <w:rFonts w:cs="Tahoma"/>
          <w:szCs w:val="24"/>
        </w:rPr>
        <w:t xml:space="preserve"> has disclosed a </w:t>
      </w:r>
      <w:r w:rsidR="00FB1512">
        <w:rPr>
          <w:rFonts w:cs="Tahoma"/>
          <w:i/>
          <w:szCs w:val="24"/>
        </w:rPr>
        <w:t>bona fide</w:t>
      </w:r>
      <w:r w:rsidR="00952907">
        <w:rPr>
          <w:rFonts w:cs="Tahoma"/>
          <w:szCs w:val="24"/>
        </w:rPr>
        <w:t xml:space="preserve"> defence</w:t>
      </w:r>
      <w:r w:rsidR="002645C8">
        <w:rPr>
          <w:rFonts w:cs="Tahoma"/>
          <w:szCs w:val="24"/>
        </w:rPr>
        <w:t xml:space="preserve"> to a plaintiff’s claim in the form of a triable issue.</w:t>
      </w:r>
    </w:p>
    <w:p w14:paraId="5B3148A8" w14:textId="4B190CDB" w:rsidR="008B6BBA" w:rsidRDefault="003A260D" w:rsidP="003A260D">
      <w:pPr>
        <w:pStyle w:val="H1"/>
        <w:numPr>
          <w:ilvl w:val="0"/>
          <w:numId w:val="0"/>
        </w:numPr>
        <w:spacing w:after="480"/>
        <w:ind w:left="567" w:hanging="567"/>
        <w:rPr>
          <w:rFonts w:cs="Tahoma"/>
          <w:szCs w:val="24"/>
        </w:rPr>
      </w:pPr>
      <w:r>
        <w:rPr>
          <w:rFonts w:cs="Tahoma"/>
          <w:szCs w:val="24"/>
        </w:rPr>
        <w:t>[5]</w:t>
      </w:r>
      <w:r>
        <w:rPr>
          <w:rFonts w:cs="Tahoma"/>
          <w:szCs w:val="24"/>
        </w:rPr>
        <w:tab/>
      </w:r>
      <w:r w:rsidR="00AB4048">
        <w:rPr>
          <w:rFonts w:cs="Tahoma"/>
          <w:szCs w:val="24"/>
        </w:rPr>
        <w:t xml:space="preserve">In terms of the amended </w:t>
      </w:r>
      <w:r w:rsidR="0055210D">
        <w:rPr>
          <w:rFonts w:cs="Tahoma"/>
          <w:szCs w:val="24"/>
        </w:rPr>
        <w:t>sub-rule 32(1)</w:t>
      </w:r>
      <w:r w:rsidR="00CF3568">
        <w:rPr>
          <w:rFonts w:cs="Tahoma"/>
          <w:szCs w:val="24"/>
        </w:rPr>
        <w:t xml:space="preserve"> a plaintiff may now only bring an application for summary judgment after the defendant has delivered a plea</w:t>
      </w:r>
      <w:r w:rsidR="00646853">
        <w:rPr>
          <w:rFonts w:cs="Tahoma"/>
          <w:szCs w:val="24"/>
        </w:rPr>
        <w:t>.</w:t>
      </w:r>
    </w:p>
    <w:p w14:paraId="2166C5B5" w14:textId="4BD05330" w:rsidR="009F1C40" w:rsidRDefault="009F1C40" w:rsidP="003A4212">
      <w:pPr>
        <w:pStyle w:val="Heading1"/>
        <w:spacing w:after="480"/>
        <w:rPr>
          <w:b/>
          <w:bCs/>
          <w:i/>
          <w:iCs/>
          <w:u w:val="single"/>
        </w:rPr>
      </w:pPr>
      <w:r>
        <w:rPr>
          <w:b/>
          <w:bCs/>
          <w:i/>
          <w:iCs/>
          <w:u w:val="single"/>
        </w:rPr>
        <w:lastRenderedPageBreak/>
        <w:t>The amended</w:t>
      </w:r>
      <w:r w:rsidR="00CD03D9">
        <w:rPr>
          <w:b/>
          <w:bCs/>
          <w:i/>
          <w:iCs/>
          <w:u w:val="single"/>
        </w:rPr>
        <w:t xml:space="preserve"> </w:t>
      </w:r>
      <w:r w:rsidR="009B6671">
        <w:rPr>
          <w:b/>
          <w:bCs/>
          <w:i/>
          <w:iCs/>
          <w:u w:val="single"/>
        </w:rPr>
        <w:t xml:space="preserve">sub-rule </w:t>
      </w:r>
      <w:r w:rsidR="00CD03D9">
        <w:rPr>
          <w:b/>
          <w:bCs/>
          <w:i/>
          <w:iCs/>
          <w:u w:val="single"/>
        </w:rPr>
        <w:t>32(2)(b)</w:t>
      </w:r>
    </w:p>
    <w:p w14:paraId="747A71CD" w14:textId="6820BDAA" w:rsidR="001A16BC" w:rsidRDefault="003A260D" w:rsidP="003A260D">
      <w:pPr>
        <w:pStyle w:val="H1"/>
        <w:numPr>
          <w:ilvl w:val="0"/>
          <w:numId w:val="0"/>
        </w:numPr>
        <w:spacing w:after="480"/>
        <w:ind w:left="567" w:hanging="567"/>
        <w:rPr>
          <w:rFonts w:cs="Tahoma"/>
          <w:szCs w:val="24"/>
        </w:rPr>
      </w:pPr>
      <w:r>
        <w:rPr>
          <w:rFonts w:cs="Tahoma"/>
          <w:szCs w:val="24"/>
        </w:rPr>
        <w:t>[6]</w:t>
      </w:r>
      <w:r>
        <w:rPr>
          <w:rFonts w:cs="Tahoma"/>
          <w:szCs w:val="24"/>
        </w:rPr>
        <w:tab/>
      </w:r>
      <w:r w:rsidR="00D641E7">
        <w:rPr>
          <w:rFonts w:cs="Tahoma"/>
          <w:szCs w:val="24"/>
        </w:rPr>
        <w:t xml:space="preserve">It is </w:t>
      </w:r>
      <w:r w:rsidR="004F6922">
        <w:rPr>
          <w:rFonts w:cs="Tahoma"/>
          <w:szCs w:val="24"/>
        </w:rPr>
        <w:t xml:space="preserve">particularly </w:t>
      </w:r>
      <w:r w:rsidR="00AD1D02">
        <w:rPr>
          <w:rFonts w:cs="Tahoma"/>
          <w:szCs w:val="24"/>
        </w:rPr>
        <w:t xml:space="preserve">the requirements of the amended </w:t>
      </w:r>
      <w:r w:rsidR="004F6922">
        <w:rPr>
          <w:rFonts w:cs="Tahoma"/>
          <w:szCs w:val="24"/>
        </w:rPr>
        <w:t>sub-rule 32(2)(</w:t>
      </w:r>
      <w:r w:rsidR="00137A69">
        <w:rPr>
          <w:rFonts w:cs="Tahoma"/>
          <w:szCs w:val="24"/>
        </w:rPr>
        <w:t>b)</w:t>
      </w:r>
      <w:r w:rsidR="00D641E7">
        <w:rPr>
          <w:rFonts w:cs="Tahoma"/>
          <w:szCs w:val="24"/>
        </w:rPr>
        <w:t xml:space="preserve"> which </w:t>
      </w:r>
      <w:r w:rsidR="00AD1D02">
        <w:rPr>
          <w:rFonts w:cs="Tahoma"/>
          <w:szCs w:val="24"/>
        </w:rPr>
        <w:t>are</w:t>
      </w:r>
      <w:r w:rsidR="00D641E7">
        <w:rPr>
          <w:rFonts w:cs="Tahoma"/>
          <w:szCs w:val="24"/>
        </w:rPr>
        <w:t xml:space="preserve"> </w:t>
      </w:r>
      <w:r w:rsidR="00D56E0F">
        <w:rPr>
          <w:rFonts w:cs="Tahoma"/>
          <w:szCs w:val="24"/>
        </w:rPr>
        <w:t>central</w:t>
      </w:r>
      <w:r w:rsidR="004751A6">
        <w:rPr>
          <w:rFonts w:cs="Tahoma"/>
          <w:szCs w:val="24"/>
        </w:rPr>
        <w:t xml:space="preserve"> to</w:t>
      </w:r>
      <w:r w:rsidR="00D23F1B">
        <w:rPr>
          <w:rFonts w:cs="Tahoma"/>
          <w:szCs w:val="24"/>
        </w:rPr>
        <w:t xml:space="preserve"> the </w:t>
      </w:r>
      <w:r w:rsidR="004751A6">
        <w:rPr>
          <w:rFonts w:cs="Tahoma"/>
          <w:szCs w:val="24"/>
        </w:rPr>
        <w:t>issues</w:t>
      </w:r>
      <w:r w:rsidR="00D23F1B">
        <w:rPr>
          <w:rFonts w:cs="Tahoma"/>
          <w:szCs w:val="24"/>
        </w:rPr>
        <w:t xml:space="preserve"> I </w:t>
      </w:r>
      <w:r w:rsidR="00760119">
        <w:rPr>
          <w:rFonts w:cs="Tahoma"/>
          <w:szCs w:val="24"/>
        </w:rPr>
        <w:t>must</w:t>
      </w:r>
      <w:r w:rsidR="00D23F1B">
        <w:rPr>
          <w:rFonts w:cs="Tahoma"/>
          <w:szCs w:val="24"/>
        </w:rPr>
        <w:t xml:space="preserve"> determine.</w:t>
      </w:r>
      <w:r w:rsidR="00465F33">
        <w:rPr>
          <w:rFonts w:cs="Tahoma"/>
          <w:szCs w:val="24"/>
        </w:rPr>
        <w:t xml:space="preserve"> </w:t>
      </w:r>
      <w:r w:rsidR="004751A6">
        <w:rPr>
          <w:rFonts w:cs="Tahoma"/>
          <w:szCs w:val="24"/>
        </w:rPr>
        <w:t xml:space="preserve"> I commence by associating</w:t>
      </w:r>
      <w:r w:rsidR="000434D6">
        <w:rPr>
          <w:rFonts w:cs="Tahoma"/>
          <w:szCs w:val="24"/>
        </w:rPr>
        <w:t xml:space="preserve"> mysel</w:t>
      </w:r>
      <w:r w:rsidR="008D6189">
        <w:rPr>
          <w:rFonts w:cs="Tahoma"/>
          <w:szCs w:val="24"/>
        </w:rPr>
        <w:t xml:space="preserve">f with </w:t>
      </w:r>
      <w:r w:rsidR="00DE5FB4">
        <w:rPr>
          <w:rFonts w:cs="Tahoma"/>
          <w:szCs w:val="24"/>
        </w:rPr>
        <w:t>the remar</w:t>
      </w:r>
      <w:r w:rsidR="00AA2DE4">
        <w:rPr>
          <w:rFonts w:cs="Tahoma"/>
          <w:szCs w:val="24"/>
        </w:rPr>
        <w:t xml:space="preserve">ks of </w:t>
      </w:r>
      <w:r w:rsidR="008D6189">
        <w:rPr>
          <w:rFonts w:cs="Tahoma"/>
          <w:szCs w:val="24"/>
        </w:rPr>
        <w:t>the author</w:t>
      </w:r>
      <w:r w:rsidR="00F02DAC">
        <w:rPr>
          <w:rFonts w:cs="Tahoma"/>
          <w:szCs w:val="24"/>
        </w:rPr>
        <w:t xml:space="preserve"> DE </w:t>
      </w:r>
      <w:r w:rsidR="00AA2DE4">
        <w:rPr>
          <w:rFonts w:cs="Tahoma"/>
          <w:szCs w:val="24"/>
        </w:rPr>
        <w:t>Van Loggerenber</w:t>
      </w:r>
      <w:r w:rsidR="006E02E3">
        <w:rPr>
          <w:rFonts w:cs="Tahoma"/>
          <w:szCs w:val="24"/>
        </w:rPr>
        <w:t>g</w:t>
      </w:r>
      <w:r w:rsidR="0051039C">
        <w:rPr>
          <w:rFonts w:cs="Tahoma"/>
          <w:szCs w:val="24"/>
        </w:rPr>
        <w:t xml:space="preserve"> in the second edition of </w:t>
      </w:r>
      <w:r w:rsidR="00D34C27">
        <w:rPr>
          <w:rFonts w:cs="Tahoma"/>
          <w:i/>
          <w:iCs/>
          <w:szCs w:val="24"/>
        </w:rPr>
        <w:t>Erasmus</w:t>
      </w:r>
      <w:r w:rsidR="00D34C27">
        <w:rPr>
          <w:rFonts w:cs="Tahoma"/>
          <w:szCs w:val="24"/>
        </w:rPr>
        <w:t xml:space="preserve"> </w:t>
      </w:r>
      <w:r w:rsidR="00FE74DA">
        <w:rPr>
          <w:rFonts w:cs="Tahoma"/>
          <w:szCs w:val="24"/>
        </w:rPr>
        <w:t>–</w:t>
      </w:r>
      <w:r w:rsidR="00D34C27">
        <w:rPr>
          <w:rFonts w:cs="Tahoma"/>
          <w:szCs w:val="24"/>
        </w:rPr>
        <w:t xml:space="preserve"> </w:t>
      </w:r>
      <w:r w:rsidR="00FE74DA">
        <w:rPr>
          <w:rFonts w:cs="Tahoma"/>
          <w:i/>
          <w:iCs/>
          <w:szCs w:val="24"/>
        </w:rPr>
        <w:t>Superior Court Practice</w:t>
      </w:r>
      <w:r w:rsidR="00FE74DA">
        <w:rPr>
          <w:rFonts w:cs="Tahoma"/>
          <w:szCs w:val="24"/>
        </w:rPr>
        <w:t xml:space="preserve"> </w:t>
      </w:r>
      <w:r w:rsidR="00411791">
        <w:rPr>
          <w:rFonts w:cs="Tahoma"/>
          <w:szCs w:val="24"/>
        </w:rPr>
        <w:t>at RS 18, 2022</w:t>
      </w:r>
      <w:r w:rsidR="007B1212">
        <w:rPr>
          <w:rFonts w:cs="Tahoma"/>
          <w:szCs w:val="24"/>
        </w:rPr>
        <w:t>, D1-386</w:t>
      </w:r>
      <w:r w:rsidR="006F49C2">
        <w:rPr>
          <w:rFonts w:cs="Tahoma"/>
          <w:szCs w:val="24"/>
        </w:rPr>
        <w:t xml:space="preserve"> to the effect that the rule in its amended form is not a model of clarity</w:t>
      </w:r>
      <w:r w:rsidR="007131C0">
        <w:rPr>
          <w:rFonts w:cs="Tahoma"/>
          <w:szCs w:val="24"/>
        </w:rPr>
        <w:t xml:space="preserve"> and is likely to increase the workload of judges as well as costs for parties</w:t>
      </w:r>
      <w:r w:rsidR="00F12368">
        <w:rPr>
          <w:rFonts w:cs="Tahoma"/>
          <w:szCs w:val="24"/>
        </w:rPr>
        <w:t>, which creates an unsatisfactory situation.</w:t>
      </w:r>
      <w:r w:rsidR="001A1A62">
        <w:rPr>
          <w:rFonts w:cs="Tahoma"/>
          <w:szCs w:val="24"/>
        </w:rPr>
        <w:t xml:space="preserve"> </w:t>
      </w:r>
      <w:r w:rsidR="004751A6">
        <w:rPr>
          <w:rFonts w:cs="Tahoma"/>
          <w:szCs w:val="24"/>
        </w:rPr>
        <w:t>As will become clear t</w:t>
      </w:r>
      <w:r w:rsidR="001A1A62">
        <w:rPr>
          <w:rFonts w:cs="Tahoma"/>
          <w:szCs w:val="24"/>
        </w:rPr>
        <w:t>his matter is no exception</w:t>
      </w:r>
      <w:r w:rsidR="0071187F">
        <w:rPr>
          <w:rFonts w:cs="Tahoma"/>
          <w:szCs w:val="24"/>
        </w:rPr>
        <w:t>.</w:t>
      </w:r>
    </w:p>
    <w:p w14:paraId="22D24FC8" w14:textId="5C920042" w:rsidR="00484492" w:rsidRDefault="003A260D" w:rsidP="003A260D">
      <w:pPr>
        <w:pStyle w:val="H1"/>
        <w:numPr>
          <w:ilvl w:val="0"/>
          <w:numId w:val="0"/>
        </w:numPr>
        <w:spacing w:after="480"/>
        <w:ind w:left="567" w:hanging="567"/>
        <w:rPr>
          <w:rFonts w:cs="Tahoma"/>
          <w:szCs w:val="24"/>
        </w:rPr>
      </w:pPr>
      <w:r>
        <w:rPr>
          <w:rFonts w:cs="Tahoma"/>
          <w:szCs w:val="24"/>
        </w:rPr>
        <w:t>[7]</w:t>
      </w:r>
      <w:r>
        <w:rPr>
          <w:rFonts w:cs="Tahoma"/>
          <w:szCs w:val="24"/>
        </w:rPr>
        <w:tab/>
      </w:r>
      <w:r w:rsidR="0031374A">
        <w:rPr>
          <w:rFonts w:cs="Tahoma"/>
          <w:szCs w:val="24"/>
        </w:rPr>
        <w:t>Sub</w:t>
      </w:r>
      <w:r w:rsidR="00526D87">
        <w:rPr>
          <w:rFonts w:cs="Tahoma"/>
          <w:szCs w:val="24"/>
        </w:rPr>
        <w:t>-</w:t>
      </w:r>
      <w:r w:rsidR="0031374A">
        <w:rPr>
          <w:rFonts w:cs="Tahoma"/>
          <w:szCs w:val="24"/>
        </w:rPr>
        <w:t>rule</w:t>
      </w:r>
      <w:r w:rsidR="00526D87">
        <w:rPr>
          <w:rFonts w:cs="Tahoma"/>
          <w:szCs w:val="24"/>
        </w:rPr>
        <w:t xml:space="preserve"> 32(2)(b) as amended</w:t>
      </w:r>
      <w:r w:rsidR="00D653CD">
        <w:rPr>
          <w:rFonts w:cs="Tahoma"/>
          <w:szCs w:val="24"/>
        </w:rPr>
        <w:t xml:space="preserve"> </w:t>
      </w:r>
      <w:r w:rsidR="00AD1D02">
        <w:rPr>
          <w:rFonts w:cs="Tahoma"/>
          <w:szCs w:val="24"/>
        </w:rPr>
        <w:t>requires</w:t>
      </w:r>
      <w:r w:rsidR="00D653CD">
        <w:rPr>
          <w:rFonts w:cs="Tahoma"/>
          <w:szCs w:val="24"/>
        </w:rPr>
        <w:t xml:space="preserve"> a more detailed affidavit</w:t>
      </w:r>
      <w:r w:rsidR="0030617F">
        <w:rPr>
          <w:rFonts w:cs="Tahoma"/>
          <w:szCs w:val="24"/>
        </w:rPr>
        <w:t xml:space="preserve"> to be filed in support of an application for summary judgment (as opposed to</w:t>
      </w:r>
      <w:r w:rsidR="009F248F">
        <w:rPr>
          <w:rFonts w:cs="Tahoma"/>
          <w:szCs w:val="24"/>
        </w:rPr>
        <w:t xml:space="preserve"> the formulaic supporting affidavit previously allowed)</w:t>
      </w:r>
      <w:r w:rsidR="00C248E1">
        <w:rPr>
          <w:rFonts w:cs="Tahoma"/>
          <w:szCs w:val="24"/>
        </w:rPr>
        <w:t xml:space="preserve"> and is framed in the following terms:</w:t>
      </w:r>
    </w:p>
    <w:p w14:paraId="2952BC3A" w14:textId="620DB781" w:rsidR="00C248E1" w:rsidRPr="00C248E1" w:rsidRDefault="00C248E1" w:rsidP="003A4212">
      <w:pPr>
        <w:pStyle w:val="H1"/>
        <w:numPr>
          <w:ilvl w:val="0"/>
          <w:numId w:val="0"/>
        </w:numPr>
        <w:spacing w:after="480"/>
        <w:ind w:left="567"/>
        <w:rPr>
          <w:rFonts w:cs="Tahoma"/>
          <w:sz w:val="22"/>
        </w:rPr>
      </w:pPr>
      <w:r>
        <w:rPr>
          <w:rFonts w:cs="Tahoma"/>
          <w:sz w:val="22"/>
        </w:rPr>
        <w:t>“</w:t>
      </w:r>
      <w:r w:rsidR="00FD7B67">
        <w:rPr>
          <w:rFonts w:cs="Tahoma"/>
          <w:sz w:val="22"/>
        </w:rPr>
        <w:t>The plaintiff shall in the affidavit referred to in sub-rule (2)(</w:t>
      </w:r>
      <w:r w:rsidR="003A3EE4">
        <w:rPr>
          <w:rFonts w:cs="Tahoma"/>
          <w:sz w:val="22"/>
        </w:rPr>
        <w:t xml:space="preserve">a), verify the cause of action </w:t>
      </w:r>
      <w:r w:rsidR="00906208">
        <w:rPr>
          <w:rFonts w:cs="Tahoma"/>
          <w:sz w:val="22"/>
        </w:rPr>
        <w:t>and</w:t>
      </w:r>
      <w:r w:rsidR="003A3EE4">
        <w:rPr>
          <w:rFonts w:cs="Tahoma"/>
          <w:sz w:val="22"/>
        </w:rPr>
        <w:t xml:space="preserve"> the amount</w:t>
      </w:r>
      <w:r w:rsidR="00204273">
        <w:rPr>
          <w:rFonts w:cs="Tahoma"/>
          <w:sz w:val="22"/>
        </w:rPr>
        <w:t xml:space="preserve">, if any, claimed and identify any point of law relied upon and the facts upon which the plaintiff’s claim is based, and explain briefly why the defence </w:t>
      </w:r>
      <w:r w:rsidR="00906208">
        <w:rPr>
          <w:rFonts w:cs="Tahoma"/>
          <w:sz w:val="22"/>
        </w:rPr>
        <w:t>a</w:t>
      </w:r>
      <w:r w:rsidR="00204273">
        <w:rPr>
          <w:rFonts w:cs="Tahoma"/>
          <w:sz w:val="22"/>
        </w:rPr>
        <w:t>s pleaded does not raise any issue for trial</w:t>
      </w:r>
      <w:r w:rsidR="003F1EAC">
        <w:rPr>
          <w:rFonts w:cs="Tahoma"/>
          <w:sz w:val="22"/>
        </w:rPr>
        <w:t>.”</w:t>
      </w:r>
    </w:p>
    <w:p w14:paraId="7FEE7283" w14:textId="4E2AD74A" w:rsidR="00DC3462" w:rsidRDefault="003A260D" w:rsidP="003A260D">
      <w:pPr>
        <w:pStyle w:val="H1"/>
        <w:numPr>
          <w:ilvl w:val="0"/>
          <w:numId w:val="0"/>
        </w:numPr>
        <w:spacing w:after="480"/>
        <w:ind w:left="567" w:hanging="567"/>
        <w:rPr>
          <w:rFonts w:cs="Tahoma"/>
          <w:szCs w:val="24"/>
        </w:rPr>
      </w:pPr>
      <w:r>
        <w:rPr>
          <w:rFonts w:cs="Tahoma"/>
          <w:szCs w:val="24"/>
        </w:rPr>
        <w:t>[8]</w:t>
      </w:r>
      <w:r>
        <w:rPr>
          <w:rFonts w:cs="Tahoma"/>
          <w:szCs w:val="24"/>
        </w:rPr>
        <w:tab/>
      </w:r>
      <w:r w:rsidR="00E23970">
        <w:rPr>
          <w:rFonts w:cs="Tahoma"/>
          <w:szCs w:val="24"/>
        </w:rPr>
        <w:t>Thus, i</w:t>
      </w:r>
      <w:r w:rsidR="00DC3462">
        <w:rPr>
          <w:rFonts w:cs="Tahoma"/>
          <w:szCs w:val="24"/>
        </w:rPr>
        <w:t>n terms of the amended sub</w:t>
      </w:r>
      <w:r w:rsidR="002C6E0D">
        <w:rPr>
          <w:rFonts w:cs="Tahoma"/>
          <w:szCs w:val="24"/>
        </w:rPr>
        <w:t>-</w:t>
      </w:r>
      <w:r w:rsidR="00DC3462">
        <w:rPr>
          <w:rFonts w:cs="Tahoma"/>
          <w:szCs w:val="24"/>
        </w:rPr>
        <w:t>rule</w:t>
      </w:r>
      <w:r w:rsidR="00601EB4">
        <w:rPr>
          <w:rFonts w:cs="Tahoma"/>
          <w:szCs w:val="24"/>
        </w:rPr>
        <w:t xml:space="preserve"> 32(2)(b)</w:t>
      </w:r>
      <w:r w:rsidR="00E23970">
        <w:rPr>
          <w:rFonts w:cs="Tahoma"/>
          <w:szCs w:val="24"/>
        </w:rPr>
        <w:t>, broken down into its component parts</w:t>
      </w:r>
      <w:r w:rsidR="007A6062">
        <w:rPr>
          <w:rFonts w:cs="Tahoma"/>
          <w:szCs w:val="24"/>
        </w:rPr>
        <w:t>,</w:t>
      </w:r>
      <w:r w:rsidR="00601EB4">
        <w:rPr>
          <w:rFonts w:cs="Tahoma"/>
          <w:szCs w:val="24"/>
        </w:rPr>
        <w:t xml:space="preserve"> the affidavit supporting the application for summary judgement must contain</w:t>
      </w:r>
      <w:r w:rsidR="00975EA8">
        <w:rPr>
          <w:rFonts w:cs="Tahoma"/>
          <w:szCs w:val="24"/>
        </w:rPr>
        <w:t>:</w:t>
      </w:r>
    </w:p>
    <w:p w14:paraId="0B1230F8" w14:textId="4F5D6CFC" w:rsidR="00833CAD" w:rsidRDefault="003A260D" w:rsidP="003A260D">
      <w:pPr>
        <w:pStyle w:val="H2"/>
        <w:numPr>
          <w:ilvl w:val="0"/>
          <w:numId w:val="0"/>
        </w:numPr>
        <w:spacing w:after="480"/>
        <w:ind w:left="1418" w:hanging="851"/>
      </w:pPr>
      <w:r>
        <w:t>8.1.</w:t>
      </w:r>
      <w:r>
        <w:tab/>
      </w:r>
      <w:r w:rsidR="00833CAD">
        <w:t>a verification</w:t>
      </w:r>
      <w:r w:rsidR="00E07B83">
        <w:t xml:space="preserve"> of the cause of action and the amount, if any, claimed</w:t>
      </w:r>
      <w:r w:rsidR="00AF7FC3">
        <w:t>;</w:t>
      </w:r>
    </w:p>
    <w:p w14:paraId="578822AF" w14:textId="6FC40E17" w:rsidR="00AF7FC3" w:rsidRDefault="003A260D" w:rsidP="003A260D">
      <w:pPr>
        <w:pStyle w:val="H2"/>
        <w:numPr>
          <w:ilvl w:val="0"/>
          <w:numId w:val="0"/>
        </w:numPr>
        <w:spacing w:after="480"/>
        <w:ind w:left="1418" w:hanging="851"/>
      </w:pPr>
      <w:r>
        <w:t>8.2.</w:t>
      </w:r>
      <w:r>
        <w:tab/>
      </w:r>
      <w:r w:rsidR="00AF7FC3">
        <w:t>an identification of any point of law relied upon;</w:t>
      </w:r>
    </w:p>
    <w:p w14:paraId="6D5629D9" w14:textId="28235D6E" w:rsidR="00AF7FC3" w:rsidRDefault="003A260D" w:rsidP="003A260D">
      <w:pPr>
        <w:pStyle w:val="H2"/>
        <w:numPr>
          <w:ilvl w:val="0"/>
          <w:numId w:val="0"/>
        </w:numPr>
        <w:spacing w:after="480"/>
        <w:ind w:left="1418" w:hanging="851"/>
      </w:pPr>
      <w:r>
        <w:lastRenderedPageBreak/>
        <w:t>8.3.</w:t>
      </w:r>
      <w:r>
        <w:tab/>
      </w:r>
      <w:r w:rsidR="005E3BA7">
        <w:t>an identification of the facts upon which the plaintiff’s claim is based; and</w:t>
      </w:r>
    </w:p>
    <w:p w14:paraId="16C378C1" w14:textId="6A2F0017" w:rsidR="005E3BA7" w:rsidRDefault="003A260D" w:rsidP="003A260D">
      <w:pPr>
        <w:pStyle w:val="H2"/>
        <w:numPr>
          <w:ilvl w:val="0"/>
          <w:numId w:val="0"/>
        </w:numPr>
        <w:spacing w:after="480"/>
        <w:ind w:left="1418" w:hanging="851"/>
      </w:pPr>
      <w:r>
        <w:t>8.4.</w:t>
      </w:r>
      <w:r>
        <w:tab/>
      </w:r>
      <w:r w:rsidR="005F153A">
        <w:t xml:space="preserve">a brief explanation as to why the defence </w:t>
      </w:r>
      <w:r w:rsidR="00F24B06">
        <w:t>a</w:t>
      </w:r>
      <w:r w:rsidR="005F153A">
        <w:t>s pleaded does not raise any issue for trial</w:t>
      </w:r>
      <w:r w:rsidR="00480680">
        <w:t>.</w:t>
      </w:r>
      <w:r w:rsidR="005037EA">
        <w:t xml:space="preserve"> </w:t>
      </w:r>
      <w:r w:rsidR="00480680">
        <w:t xml:space="preserve"> A</w:t>
      </w:r>
      <w:r w:rsidR="00021FA7">
        <w:t>ccording to the defendant the plaintiff’s</w:t>
      </w:r>
      <w:r w:rsidR="00D80E60">
        <w:t xml:space="preserve"> </w:t>
      </w:r>
      <w:r w:rsidR="00B7470D">
        <w:t xml:space="preserve">alleged </w:t>
      </w:r>
      <w:r w:rsidR="00D80E60">
        <w:t>failure to comply with</w:t>
      </w:r>
      <w:r w:rsidR="004C7048">
        <w:t xml:space="preserve"> the brevity qualification attached to</w:t>
      </w:r>
      <w:r w:rsidR="00D80E60">
        <w:t xml:space="preserve"> this final requirement</w:t>
      </w:r>
      <w:r w:rsidR="00F06749">
        <w:t xml:space="preserve"> is </w:t>
      </w:r>
      <w:r w:rsidR="00C668DE">
        <w:t>at the core of</w:t>
      </w:r>
      <w:r w:rsidR="00F06749">
        <w:t xml:space="preserve"> the dispute between the parties.</w:t>
      </w:r>
    </w:p>
    <w:p w14:paraId="1A26AAE8" w14:textId="31A39CFA" w:rsidR="006447A4" w:rsidRPr="00F632C6" w:rsidRDefault="00A8676B" w:rsidP="003A4212">
      <w:pPr>
        <w:pStyle w:val="Heading1"/>
        <w:spacing w:after="480"/>
        <w:rPr>
          <w:b/>
          <w:bCs/>
          <w:i/>
          <w:iCs/>
          <w:u w:val="single"/>
        </w:rPr>
      </w:pPr>
      <w:r w:rsidRPr="00F632C6">
        <w:rPr>
          <w:b/>
          <w:bCs/>
          <w:i/>
          <w:iCs/>
          <w:u w:val="single"/>
        </w:rPr>
        <w:t>Litigation history</w:t>
      </w:r>
    </w:p>
    <w:p w14:paraId="0D9E5439" w14:textId="257DE7B6" w:rsidR="00CA6059" w:rsidRDefault="003A260D" w:rsidP="003A260D">
      <w:pPr>
        <w:pStyle w:val="H1"/>
        <w:numPr>
          <w:ilvl w:val="0"/>
          <w:numId w:val="0"/>
        </w:numPr>
        <w:spacing w:after="480"/>
        <w:ind w:left="567" w:hanging="567"/>
        <w:rPr>
          <w:rFonts w:cs="Tahoma"/>
          <w:szCs w:val="24"/>
        </w:rPr>
      </w:pPr>
      <w:r>
        <w:rPr>
          <w:rFonts w:cs="Tahoma"/>
          <w:szCs w:val="24"/>
        </w:rPr>
        <w:t>[9]</w:t>
      </w:r>
      <w:r>
        <w:rPr>
          <w:rFonts w:cs="Tahoma"/>
          <w:szCs w:val="24"/>
        </w:rPr>
        <w:tab/>
      </w:r>
      <w:r w:rsidR="00E92A4B">
        <w:rPr>
          <w:rFonts w:cs="Tahoma"/>
          <w:szCs w:val="24"/>
        </w:rPr>
        <w:t xml:space="preserve">The plaintiff </w:t>
      </w:r>
      <w:r w:rsidR="005E5F42">
        <w:rPr>
          <w:rFonts w:cs="Tahoma"/>
          <w:szCs w:val="24"/>
        </w:rPr>
        <w:t>instituted action against</w:t>
      </w:r>
      <w:r w:rsidR="00AC04B8">
        <w:rPr>
          <w:rFonts w:cs="Tahoma"/>
          <w:szCs w:val="24"/>
        </w:rPr>
        <w:t xml:space="preserve"> the defendant in February 2022</w:t>
      </w:r>
      <w:r w:rsidR="00F63A52">
        <w:rPr>
          <w:rFonts w:cs="Tahoma"/>
          <w:szCs w:val="24"/>
        </w:rPr>
        <w:t xml:space="preserve"> in which it sought payment from the defendant of the sum of R</w:t>
      </w:r>
      <w:r w:rsidR="009E0E2A">
        <w:rPr>
          <w:rFonts w:cs="Tahoma"/>
          <w:szCs w:val="24"/>
        </w:rPr>
        <w:t>9 144 961.22</w:t>
      </w:r>
      <w:r w:rsidR="002A2EC8">
        <w:rPr>
          <w:rFonts w:cs="Tahoma"/>
          <w:szCs w:val="24"/>
        </w:rPr>
        <w:t xml:space="preserve"> and ancillary relief</w:t>
      </w:r>
      <w:r w:rsidR="0082085C">
        <w:rPr>
          <w:rFonts w:cs="Tahoma"/>
          <w:szCs w:val="24"/>
        </w:rPr>
        <w:t xml:space="preserve"> in respect of fruit packaging cartons it had allegedly sold and delivered to the defendant</w:t>
      </w:r>
      <w:r w:rsidR="00311602">
        <w:rPr>
          <w:rFonts w:cs="Tahoma"/>
          <w:szCs w:val="24"/>
        </w:rPr>
        <w:t>, pursuant to a partially written, partially oral agreement concluded between them.</w:t>
      </w:r>
      <w:r w:rsidR="004751A6">
        <w:rPr>
          <w:rFonts w:cs="Tahoma"/>
          <w:szCs w:val="24"/>
        </w:rPr>
        <w:t xml:space="preserve">  The sum claimed is the balance allegedly owing by the defendant, the total sum due having been reduced by a payment made by the defendant.</w:t>
      </w:r>
    </w:p>
    <w:p w14:paraId="534B6668" w14:textId="2344E7D0" w:rsidR="00311602" w:rsidRDefault="003A260D" w:rsidP="003A260D">
      <w:pPr>
        <w:pStyle w:val="H1"/>
        <w:numPr>
          <w:ilvl w:val="0"/>
          <w:numId w:val="0"/>
        </w:numPr>
        <w:spacing w:after="480"/>
        <w:ind w:left="567" w:hanging="567"/>
        <w:rPr>
          <w:rFonts w:cs="Tahoma"/>
          <w:szCs w:val="24"/>
        </w:rPr>
      </w:pPr>
      <w:r>
        <w:rPr>
          <w:rFonts w:cs="Tahoma"/>
          <w:szCs w:val="24"/>
        </w:rPr>
        <w:t>[10]</w:t>
      </w:r>
      <w:r>
        <w:rPr>
          <w:rFonts w:cs="Tahoma"/>
          <w:szCs w:val="24"/>
        </w:rPr>
        <w:tab/>
      </w:r>
      <w:r w:rsidR="00FC0907">
        <w:rPr>
          <w:rFonts w:cs="Tahoma"/>
          <w:szCs w:val="24"/>
        </w:rPr>
        <w:t>The defendant</w:t>
      </w:r>
      <w:r w:rsidR="00B23A14">
        <w:rPr>
          <w:rFonts w:cs="Tahoma"/>
          <w:szCs w:val="24"/>
        </w:rPr>
        <w:t>, in April 2022, pleaded to the particulars of claim</w:t>
      </w:r>
      <w:r w:rsidR="00713223">
        <w:rPr>
          <w:rFonts w:cs="Tahoma"/>
          <w:szCs w:val="24"/>
        </w:rPr>
        <w:t xml:space="preserve"> and contemporaneously delivered</w:t>
      </w:r>
      <w:r w:rsidR="00EC3E9B">
        <w:rPr>
          <w:rFonts w:cs="Tahoma"/>
          <w:szCs w:val="24"/>
        </w:rPr>
        <w:t xml:space="preserve"> a claim in reconvention</w:t>
      </w:r>
      <w:r w:rsidR="00EA4821">
        <w:rPr>
          <w:rFonts w:cs="Tahoma"/>
          <w:szCs w:val="24"/>
        </w:rPr>
        <w:t>.</w:t>
      </w:r>
      <w:r w:rsidR="00A74E37">
        <w:rPr>
          <w:rFonts w:cs="Tahoma"/>
          <w:szCs w:val="24"/>
        </w:rPr>
        <w:t xml:space="preserve"> In its plea the defendant</w:t>
      </w:r>
      <w:r w:rsidR="00FD6D83">
        <w:rPr>
          <w:rFonts w:cs="Tahoma"/>
          <w:szCs w:val="24"/>
        </w:rPr>
        <w:t xml:space="preserve"> admitted to</w:t>
      </w:r>
      <w:r w:rsidR="00625F04">
        <w:rPr>
          <w:rFonts w:cs="Tahoma"/>
          <w:szCs w:val="24"/>
        </w:rPr>
        <w:t xml:space="preserve"> the conclusion of an agreement</w:t>
      </w:r>
      <w:r w:rsidR="000A00A0">
        <w:rPr>
          <w:rFonts w:cs="Tahoma"/>
          <w:szCs w:val="24"/>
        </w:rPr>
        <w:t xml:space="preserve"> with the plaintiff and the delivery of packaging cartons</w:t>
      </w:r>
      <w:r w:rsidR="002B6107">
        <w:rPr>
          <w:rFonts w:cs="Tahoma"/>
          <w:szCs w:val="24"/>
        </w:rPr>
        <w:t xml:space="preserve"> but</w:t>
      </w:r>
      <w:r w:rsidR="001812A4">
        <w:rPr>
          <w:rFonts w:cs="Tahoma"/>
          <w:szCs w:val="24"/>
        </w:rPr>
        <w:t>, in summary,</w:t>
      </w:r>
      <w:r w:rsidR="002B6107">
        <w:rPr>
          <w:rFonts w:cs="Tahoma"/>
          <w:szCs w:val="24"/>
        </w:rPr>
        <w:t xml:space="preserve"> raised the following main defences:</w:t>
      </w:r>
    </w:p>
    <w:p w14:paraId="27556782" w14:textId="4E68BDC4" w:rsidR="002B6107" w:rsidRDefault="003A260D" w:rsidP="003A260D">
      <w:pPr>
        <w:pStyle w:val="H2"/>
        <w:numPr>
          <w:ilvl w:val="0"/>
          <w:numId w:val="0"/>
        </w:numPr>
        <w:spacing w:after="480"/>
        <w:ind w:left="1418" w:hanging="851"/>
      </w:pPr>
      <w:r>
        <w:t>10.1.</w:t>
      </w:r>
      <w:r>
        <w:tab/>
      </w:r>
      <w:r w:rsidR="00AF2DE8">
        <w:t xml:space="preserve">the agreement between the parties was not in the terms alleged by the plaintiff; </w:t>
      </w:r>
      <w:r w:rsidR="0030689E">
        <w:t>and</w:t>
      </w:r>
    </w:p>
    <w:p w14:paraId="12908970" w14:textId="317AC873" w:rsidR="00AF2DE8" w:rsidRDefault="003A260D" w:rsidP="003A260D">
      <w:pPr>
        <w:pStyle w:val="H2"/>
        <w:numPr>
          <w:ilvl w:val="0"/>
          <w:numId w:val="0"/>
        </w:numPr>
        <w:spacing w:after="480"/>
        <w:ind w:left="1418" w:hanging="851"/>
      </w:pPr>
      <w:r>
        <w:t>10.2.</w:t>
      </w:r>
      <w:r>
        <w:tab/>
      </w:r>
      <w:r w:rsidR="001E71FE">
        <w:t>the plaintiff had delivered the wrong or defective packaging cartons</w:t>
      </w:r>
      <w:r w:rsidR="0030689E">
        <w:t>, resulting in the defendant suffering damages, hence its claim in reconvention</w:t>
      </w:r>
      <w:r w:rsidR="001812A4">
        <w:t>.</w:t>
      </w:r>
    </w:p>
    <w:p w14:paraId="2D86F8CB" w14:textId="687D7EEA" w:rsidR="00B94959" w:rsidRDefault="003A260D" w:rsidP="003A260D">
      <w:pPr>
        <w:pStyle w:val="H1"/>
        <w:numPr>
          <w:ilvl w:val="0"/>
          <w:numId w:val="0"/>
        </w:numPr>
        <w:spacing w:after="480"/>
        <w:ind w:left="567" w:hanging="567"/>
      </w:pPr>
      <w:r>
        <w:lastRenderedPageBreak/>
        <w:t>[11]</w:t>
      </w:r>
      <w:r>
        <w:tab/>
      </w:r>
      <w:r w:rsidR="00E55FBC">
        <w:t>The defendant admits making payment to the plaintiff of the sum of R6</w:t>
      </w:r>
      <w:r w:rsidR="00E048AB">
        <w:t> 968 751.93, which it avers</w:t>
      </w:r>
      <w:r w:rsidR="00DE7341">
        <w:t xml:space="preserve"> is the </w:t>
      </w:r>
      <w:r w:rsidR="007474A4">
        <w:t>ful</w:t>
      </w:r>
      <w:r w:rsidR="00DE7341">
        <w:t>l extent of its indebtedness to the plaintiff.</w:t>
      </w:r>
      <w:r w:rsidR="004751A6">
        <w:t xml:space="preserve">  The plaintiff contends that the payment was made in reduction of a larger sum due and that the sum of R9 144 961.22 is the balance owing by the defendant. </w:t>
      </w:r>
    </w:p>
    <w:p w14:paraId="340B49A4" w14:textId="57796DFE" w:rsidR="00DE7341" w:rsidRDefault="003A260D" w:rsidP="003A260D">
      <w:pPr>
        <w:pStyle w:val="H1"/>
        <w:numPr>
          <w:ilvl w:val="0"/>
          <w:numId w:val="0"/>
        </w:numPr>
        <w:spacing w:after="480"/>
        <w:ind w:left="567" w:hanging="567"/>
      </w:pPr>
      <w:r>
        <w:t>[12]</w:t>
      </w:r>
      <w:r>
        <w:tab/>
      </w:r>
      <w:r w:rsidR="00BE6F07">
        <w:t>Consonant with the amended sub-rule</w:t>
      </w:r>
      <w:r w:rsidR="00FF34E3">
        <w:t xml:space="preserve"> 32(1)</w:t>
      </w:r>
      <w:r w:rsidR="0029604E">
        <w:t>, after delivery of the plea</w:t>
      </w:r>
      <w:r w:rsidR="00750DD3">
        <w:t>, the plaintiff applied for summary judgment</w:t>
      </w:r>
      <w:r w:rsidR="0093237F">
        <w:t>,</w:t>
      </w:r>
      <w:r w:rsidR="00437F03">
        <w:t xml:space="preserve"> in A</w:t>
      </w:r>
      <w:r w:rsidR="00FC1322">
        <w:t>pril</w:t>
      </w:r>
      <w:r w:rsidR="00437F03">
        <w:t xml:space="preserve"> 2022</w:t>
      </w:r>
      <w:r w:rsidR="003E67CD">
        <w:t>. In purported compliance with</w:t>
      </w:r>
      <w:r w:rsidR="000B0B0C">
        <w:t xml:space="preserve"> sub-rule 32</w:t>
      </w:r>
      <w:r w:rsidR="002640E7">
        <w:t>(2)(b) it</w:t>
      </w:r>
      <w:r w:rsidR="009834B2">
        <w:t xml:space="preserve">s application was supported by an affidavit comprising some 20 pages and </w:t>
      </w:r>
      <w:r w:rsidR="008C423C">
        <w:t xml:space="preserve">annexures </w:t>
      </w:r>
      <w:r w:rsidR="00810031">
        <w:t xml:space="preserve">of </w:t>
      </w:r>
      <w:r w:rsidR="008C423C">
        <w:t>14 pages.</w:t>
      </w:r>
    </w:p>
    <w:p w14:paraId="2CCDAC4D" w14:textId="6C7173EE" w:rsidR="00A3654A" w:rsidRDefault="003A260D" w:rsidP="003A260D">
      <w:pPr>
        <w:pStyle w:val="H1"/>
        <w:numPr>
          <w:ilvl w:val="0"/>
          <w:numId w:val="0"/>
        </w:numPr>
        <w:spacing w:after="480"/>
        <w:ind w:left="567" w:hanging="567"/>
      </w:pPr>
      <w:r>
        <w:t>[13]</w:t>
      </w:r>
      <w:r>
        <w:tab/>
      </w:r>
      <w:r w:rsidR="009550E8">
        <w:t>In response to</w:t>
      </w:r>
      <w:r w:rsidR="00F76123">
        <w:t xml:space="preserve"> the application for summary judgment</w:t>
      </w:r>
      <w:r w:rsidR="006214F9">
        <w:t xml:space="preserve"> the defendant</w:t>
      </w:r>
      <w:r w:rsidR="00FD572C">
        <w:t>,</w:t>
      </w:r>
      <w:r w:rsidR="00BC2963">
        <w:t xml:space="preserve"> in June 2022</w:t>
      </w:r>
      <w:r w:rsidR="00FD572C">
        <w:t>,</w:t>
      </w:r>
      <w:r w:rsidR="006214F9">
        <w:t xml:space="preserve"> </w:t>
      </w:r>
      <w:r w:rsidR="005D6E26">
        <w:t xml:space="preserve">launched </w:t>
      </w:r>
      <w:r w:rsidR="004751A6">
        <w:t xml:space="preserve">the </w:t>
      </w:r>
      <w:r w:rsidR="006214F9">
        <w:t>rule 30</w:t>
      </w:r>
      <w:r w:rsidR="004751A6">
        <w:t xml:space="preserve"> application,</w:t>
      </w:r>
      <w:r w:rsidR="005D6E26">
        <w:t xml:space="preserve"> contending</w:t>
      </w:r>
      <w:r w:rsidR="00FB40AB">
        <w:t xml:space="preserve"> that the affidavit filed by the plaintiff in support of its application for</w:t>
      </w:r>
      <w:r w:rsidR="0005142F">
        <w:t xml:space="preserve"> summary judgment</w:t>
      </w:r>
      <w:r w:rsidR="00EE2751">
        <w:t xml:space="preserve"> was an irregular step, </w:t>
      </w:r>
      <w:r w:rsidR="001935EE">
        <w:t>on grounds with which I shall deal more fully, below</w:t>
      </w:r>
      <w:r w:rsidR="004751A6">
        <w:t>.</w:t>
      </w:r>
    </w:p>
    <w:p w14:paraId="4247AC00" w14:textId="333AA8FB" w:rsidR="00E62504" w:rsidRDefault="003A260D" w:rsidP="003A260D">
      <w:pPr>
        <w:pStyle w:val="H1"/>
        <w:numPr>
          <w:ilvl w:val="0"/>
          <w:numId w:val="0"/>
        </w:numPr>
        <w:spacing w:after="480"/>
        <w:ind w:left="567" w:hanging="567"/>
      </w:pPr>
      <w:r>
        <w:t>[14]</w:t>
      </w:r>
      <w:r>
        <w:tab/>
      </w:r>
      <w:r w:rsidR="00451FB7">
        <w:t>In terms of the rule 30 application</w:t>
      </w:r>
      <w:r w:rsidR="001B0AB1">
        <w:t xml:space="preserve"> the defendant seeks an order declaring that the plaintiff’s affidavit supporting its summary</w:t>
      </w:r>
      <w:r w:rsidR="00424242">
        <w:t xml:space="preserve"> judgment application </w:t>
      </w:r>
      <w:r w:rsidR="004751A6">
        <w:t>is</w:t>
      </w:r>
      <w:r w:rsidR="00424242">
        <w:t xml:space="preserve"> </w:t>
      </w:r>
      <w:r w:rsidR="00436686">
        <w:t>ir</w:t>
      </w:r>
      <w:r w:rsidR="00424242">
        <w:t xml:space="preserve">regular and </w:t>
      </w:r>
      <w:r w:rsidR="004751A6">
        <w:t xml:space="preserve">that </w:t>
      </w:r>
      <w:r w:rsidR="00424242">
        <w:t>the entire affidavit</w:t>
      </w:r>
      <w:r w:rsidR="004751A6">
        <w:t xml:space="preserve"> be set aside</w:t>
      </w:r>
      <w:r w:rsidR="00263C6B">
        <w:t xml:space="preserve">. </w:t>
      </w:r>
      <w:r w:rsidR="004751A6">
        <w:t xml:space="preserve"> </w:t>
      </w:r>
      <w:r w:rsidR="00263C6B">
        <w:t>It further</w:t>
      </w:r>
      <w:r w:rsidR="00EE2F62">
        <w:t xml:space="preserve"> ask</w:t>
      </w:r>
      <w:r w:rsidR="002F3950">
        <w:t>s</w:t>
      </w:r>
      <w:r w:rsidR="00EE2F62">
        <w:t xml:space="preserve"> that the plainti</w:t>
      </w:r>
      <w:r w:rsidR="00A35595">
        <w:t>ff be</w:t>
      </w:r>
      <w:r w:rsidR="00EE2F62">
        <w:t xml:space="preserve"> directed to file a</w:t>
      </w:r>
      <w:r w:rsidR="007A2CB3">
        <w:t xml:space="preserve"> supporting</w:t>
      </w:r>
      <w:r w:rsidR="00EE2F62">
        <w:t xml:space="preserve"> affidavit complying with sub-rule 32(2)(b)</w:t>
      </w:r>
      <w:r w:rsidR="000F0535">
        <w:t>.</w:t>
      </w:r>
    </w:p>
    <w:p w14:paraId="3A9D1BCD" w14:textId="5C26F65B" w:rsidR="00AE449F" w:rsidRDefault="003D18B9" w:rsidP="003A4212">
      <w:pPr>
        <w:pStyle w:val="Heading1"/>
        <w:spacing w:after="480"/>
        <w:rPr>
          <w:b/>
          <w:bCs/>
          <w:u w:val="single"/>
        </w:rPr>
      </w:pPr>
      <w:r>
        <w:rPr>
          <w:b/>
          <w:bCs/>
          <w:u w:val="single"/>
        </w:rPr>
        <w:t>The issues to be determined</w:t>
      </w:r>
    </w:p>
    <w:p w14:paraId="6E580116" w14:textId="0EE99D0D" w:rsidR="004430F5" w:rsidRDefault="003A260D" w:rsidP="003A260D">
      <w:pPr>
        <w:pStyle w:val="H1"/>
        <w:numPr>
          <w:ilvl w:val="0"/>
          <w:numId w:val="0"/>
        </w:numPr>
        <w:spacing w:after="480"/>
        <w:ind w:left="567" w:hanging="567"/>
      </w:pPr>
      <w:r>
        <w:t>[15]</w:t>
      </w:r>
      <w:r>
        <w:tab/>
      </w:r>
      <w:r w:rsidR="002B17D4">
        <w:t>T</w:t>
      </w:r>
      <w:r w:rsidR="002853B7">
        <w:t>he rule 30 application</w:t>
      </w:r>
      <w:r w:rsidR="00A5503C">
        <w:t xml:space="preserve"> raises the following issues for determination:</w:t>
      </w:r>
    </w:p>
    <w:p w14:paraId="0A80189E" w14:textId="49A30AFE" w:rsidR="00A5503C" w:rsidRDefault="003A260D" w:rsidP="003A260D">
      <w:pPr>
        <w:pStyle w:val="H2"/>
        <w:numPr>
          <w:ilvl w:val="0"/>
          <w:numId w:val="0"/>
        </w:numPr>
        <w:spacing w:after="480"/>
        <w:ind w:left="1418" w:hanging="851"/>
      </w:pPr>
      <w:r>
        <w:lastRenderedPageBreak/>
        <w:t>15.1.</w:t>
      </w:r>
      <w:r>
        <w:tab/>
      </w:r>
      <w:r w:rsidR="00A5503C">
        <w:t>whether</w:t>
      </w:r>
      <w:r w:rsidR="00331157">
        <w:t xml:space="preserve"> rule 30 is the appropriate procedural mechanism to challenge</w:t>
      </w:r>
      <w:r w:rsidR="004A5682">
        <w:t xml:space="preserve"> an affidavit supporting an application for summary judgment</w:t>
      </w:r>
      <w:r w:rsidR="00EC1451">
        <w:t xml:space="preserve"> for</w:t>
      </w:r>
      <w:r w:rsidR="00BE5EAE">
        <w:t xml:space="preserve"> </w:t>
      </w:r>
      <w:r w:rsidR="002B17D4">
        <w:t>its</w:t>
      </w:r>
      <w:r w:rsidR="00BE5EAE">
        <w:t xml:space="preserve"> alleged</w:t>
      </w:r>
      <w:r w:rsidR="00EC1451">
        <w:t xml:space="preserve"> want of compliance with sub-rule</w:t>
      </w:r>
      <w:r w:rsidR="00950038">
        <w:t xml:space="preserve"> 32(2</w:t>
      </w:r>
      <w:r w:rsidR="00BE5EAE">
        <w:t>)</w:t>
      </w:r>
      <w:r w:rsidR="00950038">
        <w:t>(b)</w:t>
      </w:r>
      <w:r w:rsidR="009E02EE">
        <w:t>; and</w:t>
      </w:r>
    </w:p>
    <w:p w14:paraId="7AA1671D" w14:textId="1A54FE0D" w:rsidR="009E02EE" w:rsidRDefault="003A260D" w:rsidP="003A260D">
      <w:pPr>
        <w:pStyle w:val="H2"/>
        <w:numPr>
          <w:ilvl w:val="0"/>
          <w:numId w:val="0"/>
        </w:numPr>
        <w:spacing w:after="480"/>
        <w:ind w:left="1418" w:hanging="851"/>
      </w:pPr>
      <w:r>
        <w:t>15.2.</w:t>
      </w:r>
      <w:r>
        <w:tab/>
      </w:r>
      <w:r w:rsidR="009E02EE">
        <w:t>if so,</w:t>
      </w:r>
      <w:r w:rsidR="00D975FD">
        <w:t xml:space="preserve"> does the affidavit filed by the plaintiff</w:t>
      </w:r>
      <w:r w:rsidR="00C03283">
        <w:t>,</w:t>
      </w:r>
      <w:r w:rsidR="0084382A">
        <w:t xml:space="preserve"> as currently formulated</w:t>
      </w:r>
      <w:r w:rsidR="00C03283">
        <w:t>,</w:t>
      </w:r>
      <w:r w:rsidR="00D975FD">
        <w:t xml:space="preserve"> fall to be declared</w:t>
      </w:r>
      <w:r w:rsidR="003E59B0">
        <w:t xml:space="preserve"> irregular and set aside</w:t>
      </w:r>
      <w:r w:rsidR="002B17D4">
        <w:t xml:space="preserve"> for want of such application</w:t>
      </w:r>
      <w:r w:rsidR="00F079B9">
        <w:t>?</w:t>
      </w:r>
    </w:p>
    <w:p w14:paraId="0BBFA128" w14:textId="0612CD27" w:rsidR="00F079B9" w:rsidRDefault="003A260D" w:rsidP="003A260D">
      <w:pPr>
        <w:pStyle w:val="H1"/>
        <w:numPr>
          <w:ilvl w:val="0"/>
          <w:numId w:val="0"/>
        </w:numPr>
        <w:spacing w:after="480"/>
        <w:ind w:left="567" w:hanging="567"/>
      </w:pPr>
      <w:r>
        <w:t>[16]</w:t>
      </w:r>
      <w:r>
        <w:tab/>
      </w:r>
      <w:r w:rsidR="00F079B9">
        <w:t>Obviously if the former of the two above-mentioned questions is decided against</w:t>
      </w:r>
      <w:r w:rsidR="001C5A7B">
        <w:t xml:space="preserve"> the defendant, that would be dispositive of the rule 30 application. </w:t>
      </w:r>
    </w:p>
    <w:p w14:paraId="259C24E6" w14:textId="29D236F2" w:rsidR="00627331" w:rsidRDefault="00605B10" w:rsidP="003A4212">
      <w:pPr>
        <w:pStyle w:val="Heading1"/>
        <w:spacing w:after="480" w:line="360" w:lineRule="auto"/>
        <w:rPr>
          <w:b/>
          <w:bCs/>
          <w:u w:val="single"/>
        </w:rPr>
      </w:pPr>
      <w:r>
        <w:rPr>
          <w:b/>
          <w:bCs/>
          <w:u w:val="single"/>
        </w:rPr>
        <w:t>Is rule 30</w:t>
      </w:r>
      <w:r w:rsidR="008F4B2C">
        <w:rPr>
          <w:b/>
          <w:bCs/>
          <w:u w:val="single"/>
        </w:rPr>
        <w:t xml:space="preserve"> the appropriate procedural mechanism in the circumstances</w:t>
      </w:r>
    </w:p>
    <w:p w14:paraId="179B93E7" w14:textId="551C0BE3" w:rsidR="00627331" w:rsidRDefault="005010BE" w:rsidP="003A4212">
      <w:pPr>
        <w:pStyle w:val="Heading1"/>
        <w:spacing w:after="480"/>
        <w:rPr>
          <w:b/>
          <w:bCs/>
          <w:i/>
          <w:iCs/>
          <w:u w:val="single"/>
        </w:rPr>
      </w:pPr>
      <w:r>
        <w:rPr>
          <w:b/>
          <w:bCs/>
          <w:i/>
          <w:iCs/>
          <w:u w:val="single"/>
        </w:rPr>
        <w:t>The defendant’s complaint</w:t>
      </w:r>
    </w:p>
    <w:p w14:paraId="786F7814" w14:textId="679CD135" w:rsidR="005010BE" w:rsidRDefault="003A260D" w:rsidP="003A260D">
      <w:pPr>
        <w:pStyle w:val="H1"/>
        <w:numPr>
          <w:ilvl w:val="0"/>
          <w:numId w:val="0"/>
        </w:numPr>
        <w:spacing w:after="480"/>
        <w:ind w:left="567" w:hanging="567"/>
      </w:pPr>
      <w:r>
        <w:t>[17]</w:t>
      </w:r>
      <w:r>
        <w:tab/>
      </w:r>
      <w:r w:rsidR="00C84B7D">
        <w:t>The defendant’s</w:t>
      </w:r>
      <w:r w:rsidR="005B5C66">
        <w:t xml:space="preserve"> complaint against the plaintiff’s affidavit supporting its application for summary</w:t>
      </w:r>
      <w:r w:rsidR="00145886">
        <w:t xml:space="preserve"> </w:t>
      </w:r>
      <w:r w:rsidR="002F0C85">
        <w:t>judgment is</w:t>
      </w:r>
      <w:r w:rsidR="00145886">
        <w:t xml:space="preserve"> introduced as follows in its founding affidavit in the rule 30 application:</w:t>
      </w:r>
    </w:p>
    <w:p w14:paraId="16CFAF0C" w14:textId="2F92B9C6" w:rsidR="00145886" w:rsidRDefault="00C70839" w:rsidP="003A4212">
      <w:pPr>
        <w:pStyle w:val="H1"/>
        <w:numPr>
          <w:ilvl w:val="0"/>
          <w:numId w:val="0"/>
        </w:numPr>
        <w:tabs>
          <w:tab w:val="clear" w:pos="8931"/>
        </w:tabs>
        <w:spacing w:after="480"/>
        <w:ind w:left="1437" w:hanging="870"/>
        <w:rPr>
          <w:sz w:val="22"/>
        </w:rPr>
      </w:pPr>
      <w:r>
        <w:rPr>
          <w:sz w:val="22"/>
        </w:rPr>
        <w:t>“</w:t>
      </w:r>
      <w:r w:rsidR="00C9182C">
        <w:rPr>
          <w:sz w:val="22"/>
        </w:rPr>
        <w:t>16.</w:t>
      </w:r>
      <w:r w:rsidR="003A4212">
        <w:rPr>
          <w:sz w:val="22"/>
        </w:rPr>
        <w:tab/>
      </w:r>
      <w:r w:rsidR="003A4212">
        <w:rPr>
          <w:sz w:val="22"/>
        </w:rPr>
        <w:tab/>
      </w:r>
      <w:r w:rsidR="00C9182C">
        <w:rPr>
          <w:sz w:val="22"/>
        </w:rPr>
        <w:t>The Respondent’s affidavit in support of the Summary</w:t>
      </w:r>
      <w:r w:rsidR="00045088">
        <w:rPr>
          <w:sz w:val="22"/>
        </w:rPr>
        <w:t xml:space="preserve"> Judgement application fails to meet the jurisdictional requirement of</w:t>
      </w:r>
      <w:r w:rsidR="006D40F0">
        <w:rPr>
          <w:sz w:val="22"/>
        </w:rPr>
        <w:t xml:space="preserve"> Uniform Rule 32(2)(b)</w:t>
      </w:r>
      <w:r w:rsidR="008E12A5">
        <w:rPr>
          <w:sz w:val="22"/>
        </w:rPr>
        <w:t xml:space="preserve"> in that instead of providing a brief explanation as to why the defence pleaded does not raise an issue for trial</w:t>
      </w:r>
      <w:r w:rsidR="003C20A6">
        <w:rPr>
          <w:sz w:val="22"/>
        </w:rPr>
        <w:t>, the Respondent</w:t>
      </w:r>
      <w:r w:rsidR="00141618">
        <w:rPr>
          <w:sz w:val="22"/>
        </w:rPr>
        <w:t xml:space="preserve"> has filed an affidavit which is 20 pages long (</w:t>
      </w:r>
      <w:r w:rsidR="004058C4">
        <w:rPr>
          <w:sz w:val="22"/>
        </w:rPr>
        <w:t>which evidently has already been condensed in spacing to reduce the amount of pages)</w:t>
      </w:r>
      <w:r w:rsidR="00D238CE">
        <w:rPr>
          <w:sz w:val="22"/>
        </w:rPr>
        <w:t xml:space="preserve"> consisting of no less than 76 paragraphs into its 16 pages of annexures are attached (36 pages in total).</w:t>
      </w:r>
    </w:p>
    <w:p w14:paraId="05AC1A6B" w14:textId="671273E0" w:rsidR="00D238CE" w:rsidRDefault="00810258" w:rsidP="003A4212">
      <w:pPr>
        <w:pStyle w:val="H1"/>
        <w:numPr>
          <w:ilvl w:val="0"/>
          <w:numId w:val="0"/>
        </w:numPr>
        <w:tabs>
          <w:tab w:val="clear" w:pos="8931"/>
        </w:tabs>
        <w:spacing w:after="480"/>
        <w:ind w:left="1437" w:hanging="870"/>
        <w:rPr>
          <w:sz w:val="22"/>
        </w:rPr>
      </w:pPr>
      <w:r>
        <w:rPr>
          <w:sz w:val="22"/>
        </w:rPr>
        <w:lastRenderedPageBreak/>
        <w:t xml:space="preserve">17. </w:t>
      </w:r>
      <w:r w:rsidR="003A4212">
        <w:rPr>
          <w:sz w:val="22"/>
        </w:rPr>
        <w:tab/>
      </w:r>
      <w:r>
        <w:rPr>
          <w:sz w:val="22"/>
        </w:rPr>
        <w:t xml:space="preserve">In addition, the Respondent has sought to introduce new evidence, either by way of emails which it </w:t>
      </w:r>
      <w:r w:rsidR="002B17D4">
        <w:rPr>
          <w:sz w:val="22"/>
        </w:rPr>
        <w:t>has</w:t>
      </w:r>
      <w:r>
        <w:rPr>
          <w:sz w:val="22"/>
        </w:rPr>
        <w:t xml:space="preserve"> attached to its affidavit</w:t>
      </w:r>
      <w:r w:rsidR="00213F47">
        <w:rPr>
          <w:sz w:val="22"/>
        </w:rPr>
        <w:t xml:space="preserve"> (which emails are not attached to its Particulars of Claim) or by way of allegations made in its affidavit (not made in its</w:t>
      </w:r>
      <w:r w:rsidR="00C92354">
        <w:rPr>
          <w:sz w:val="22"/>
        </w:rPr>
        <w:t xml:space="preserve"> Particulars of Claim).”</w:t>
      </w:r>
    </w:p>
    <w:p w14:paraId="19ABA745" w14:textId="12F2AFE7" w:rsidR="00C92354" w:rsidRDefault="0032773A" w:rsidP="003A4212">
      <w:pPr>
        <w:pStyle w:val="Heading1"/>
        <w:spacing w:after="480"/>
        <w:rPr>
          <w:b/>
          <w:bCs/>
          <w:i/>
          <w:iCs/>
          <w:u w:val="single"/>
        </w:rPr>
      </w:pPr>
      <w:r>
        <w:rPr>
          <w:b/>
          <w:bCs/>
          <w:i/>
          <w:iCs/>
          <w:u w:val="single"/>
        </w:rPr>
        <w:t>The a</w:t>
      </w:r>
      <w:r w:rsidR="00852D81">
        <w:rPr>
          <w:b/>
          <w:bCs/>
          <w:i/>
          <w:iCs/>
          <w:u w:val="single"/>
        </w:rPr>
        <w:t>pp</w:t>
      </w:r>
      <w:r>
        <w:rPr>
          <w:b/>
          <w:bCs/>
          <w:i/>
          <w:iCs/>
          <w:u w:val="single"/>
        </w:rPr>
        <w:t>lication of r</w:t>
      </w:r>
      <w:r w:rsidR="00A74EC5">
        <w:rPr>
          <w:b/>
          <w:bCs/>
          <w:i/>
          <w:iCs/>
          <w:u w:val="single"/>
        </w:rPr>
        <w:t>ule 30</w:t>
      </w:r>
      <w:r>
        <w:rPr>
          <w:b/>
          <w:bCs/>
          <w:i/>
          <w:iCs/>
          <w:u w:val="single"/>
        </w:rPr>
        <w:t xml:space="preserve"> generally</w:t>
      </w:r>
    </w:p>
    <w:p w14:paraId="7DD1DBC2" w14:textId="03D6EF09" w:rsidR="00A74EC5" w:rsidRDefault="003A260D" w:rsidP="003A260D">
      <w:pPr>
        <w:pStyle w:val="H1"/>
        <w:numPr>
          <w:ilvl w:val="0"/>
          <w:numId w:val="0"/>
        </w:numPr>
        <w:spacing w:after="480"/>
        <w:ind w:left="567" w:hanging="567"/>
      </w:pPr>
      <w:r>
        <w:t>[18]</w:t>
      </w:r>
      <w:r>
        <w:tab/>
      </w:r>
      <w:r w:rsidR="0087667F">
        <w:t>The</w:t>
      </w:r>
      <w:r w:rsidR="000A5502">
        <w:t xml:space="preserve"> rule 30 application was argued on the basis of an acceptance by the parties </w:t>
      </w:r>
      <w:r w:rsidR="007E3253">
        <w:t xml:space="preserve">of the principle </w:t>
      </w:r>
      <w:r w:rsidR="000A5502">
        <w:t>that rule 30</w:t>
      </w:r>
      <w:r w:rsidR="00465159">
        <w:t xml:space="preserve"> applies only to irregularities of form and not matters of substance. </w:t>
      </w:r>
      <w:r w:rsidR="004569AF">
        <w:rPr>
          <w:i/>
        </w:rPr>
        <w:t>Erasmus</w:t>
      </w:r>
      <w:r w:rsidR="00823EA6">
        <w:t xml:space="preserve"> RS 2022,</w:t>
      </w:r>
      <w:r w:rsidR="0010367B">
        <w:t xml:space="preserve"> D1-351</w:t>
      </w:r>
      <w:r w:rsidR="00096AD6">
        <w:t xml:space="preserve"> and the authorities referred to there.</w:t>
      </w:r>
    </w:p>
    <w:p w14:paraId="1BF2A9F8" w14:textId="13D5958D" w:rsidR="0068188D" w:rsidRDefault="003A260D" w:rsidP="003A260D">
      <w:pPr>
        <w:pStyle w:val="H1"/>
        <w:numPr>
          <w:ilvl w:val="0"/>
          <w:numId w:val="0"/>
        </w:numPr>
        <w:spacing w:after="480"/>
        <w:ind w:left="567" w:hanging="567"/>
      </w:pPr>
      <w:r>
        <w:t>[19]</w:t>
      </w:r>
      <w:r>
        <w:tab/>
      </w:r>
      <w:r w:rsidR="0068188D">
        <w:t>This immediately raises the question as to whether</w:t>
      </w:r>
      <w:r w:rsidR="00C37527">
        <w:t xml:space="preserve"> compliance with </w:t>
      </w:r>
      <w:r w:rsidR="005E6A2B">
        <w:t xml:space="preserve">what </w:t>
      </w:r>
      <w:r w:rsidR="00944886">
        <w:t>the defendant</w:t>
      </w:r>
      <w:r w:rsidR="00C37527">
        <w:t xml:space="preserve"> describes as the jurisdictional requirements of sub-rule</w:t>
      </w:r>
      <w:r w:rsidR="00852F74">
        <w:t xml:space="preserve"> 32(2)(b)</w:t>
      </w:r>
      <w:r w:rsidR="00F20738">
        <w:t xml:space="preserve"> is a matter of form or substance</w:t>
      </w:r>
      <w:r w:rsidR="005C3A24">
        <w:t xml:space="preserve"> – more about this aspect late</w:t>
      </w:r>
      <w:r w:rsidR="00627CF4">
        <w:t>r</w:t>
      </w:r>
      <w:r w:rsidR="00260700">
        <w:t>.</w:t>
      </w:r>
    </w:p>
    <w:p w14:paraId="36CE6EEC" w14:textId="6A80EFC3" w:rsidR="002644B6" w:rsidRDefault="005A6D16" w:rsidP="003A4212">
      <w:pPr>
        <w:pStyle w:val="H1"/>
        <w:numPr>
          <w:ilvl w:val="0"/>
          <w:numId w:val="0"/>
        </w:numPr>
        <w:spacing w:after="480"/>
        <w:rPr>
          <w:b/>
          <w:bCs/>
          <w:i/>
          <w:iCs/>
          <w:u w:val="single"/>
        </w:rPr>
      </w:pPr>
      <w:r>
        <w:rPr>
          <w:b/>
          <w:bCs/>
          <w:i/>
          <w:iCs/>
          <w:u w:val="single"/>
        </w:rPr>
        <w:t>Relevant</w:t>
      </w:r>
      <w:r w:rsidR="00DC7237">
        <w:rPr>
          <w:b/>
          <w:bCs/>
          <w:i/>
          <w:iCs/>
          <w:u w:val="single"/>
        </w:rPr>
        <w:t xml:space="preserve"> legal principles applicable to the provisions of </w:t>
      </w:r>
      <w:r w:rsidR="00CF4822">
        <w:rPr>
          <w:b/>
          <w:bCs/>
          <w:i/>
          <w:iCs/>
          <w:u w:val="single"/>
        </w:rPr>
        <w:t>sub-</w:t>
      </w:r>
      <w:r w:rsidR="00DC7237">
        <w:rPr>
          <w:b/>
          <w:bCs/>
          <w:i/>
          <w:iCs/>
          <w:u w:val="single"/>
        </w:rPr>
        <w:t>rule 32(2)(b)</w:t>
      </w:r>
    </w:p>
    <w:p w14:paraId="683093F8" w14:textId="4A82B7E4" w:rsidR="00E478BF" w:rsidRDefault="003A260D" w:rsidP="003A260D">
      <w:pPr>
        <w:pStyle w:val="H1"/>
        <w:numPr>
          <w:ilvl w:val="0"/>
          <w:numId w:val="0"/>
        </w:numPr>
        <w:spacing w:after="480"/>
        <w:ind w:left="567" w:hanging="567"/>
      </w:pPr>
      <w:r>
        <w:t>[20]</w:t>
      </w:r>
      <w:r>
        <w:tab/>
      </w:r>
      <w:r w:rsidR="000E4E85">
        <w:t>In respect of the requirement</w:t>
      </w:r>
      <w:r w:rsidR="00673F59">
        <w:t xml:space="preserve"> that a plaintiff applying for summary judgment must, in </w:t>
      </w:r>
      <w:r w:rsidR="00F854CB">
        <w:t xml:space="preserve">the </w:t>
      </w:r>
      <w:r w:rsidR="00673F59">
        <w:t>supporting affidavit,</w:t>
      </w:r>
      <w:r w:rsidR="00544765">
        <w:t xml:space="preserve"> set out the facts on which the plaintiff’s case is </w:t>
      </w:r>
      <w:r w:rsidR="00146F03">
        <w:t xml:space="preserve">based </w:t>
      </w:r>
      <w:r w:rsidR="00C87BF5">
        <w:t>our courts,</w:t>
      </w:r>
      <w:r w:rsidR="005E2C55">
        <w:t xml:space="preserve"> </w:t>
      </w:r>
      <w:r w:rsidR="00C87BF5">
        <w:t>in interpreting the amended rule 32</w:t>
      </w:r>
      <w:r w:rsidR="002B17D4">
        <w:t>,</w:t>
      </w:r>
      <w:r w:rsidR="00E7238B">
        <w:t xml:space="preserve"> have </w:t>
      </w:r>
      <w:r w:rsidR="00897BF9">
        <w:t xml:space="preserve">in general terms </w:t>
      </w:r>
      <w:r w:rsidR="00E7238B">
        <w:t>held</w:t>
      </w:r>
      <w:r w:rsidR="00D15375">
        <w:t xml:space="preserve"> that a </w:t>
      </w:r>
      <w:r w:rsidR="00C87BF5">
        <w:t>plaintiff should not</w:t>
      </w:r>
      <w:r w:rsidR="002B17D4">
        <w:t xml:space="preserve"> be</w:t>
      </w:r>
      <w:r w:rsidR="00661462">
        <w:t xml:space="preserve"> entitled to </w:t>
      </w:r>
      <w:r w:rsidR="000D55F9">
        <w:t>introduce evidence of facts that do</w:t>
      </w:r>
      <w:r w:rsidR="00661462">
        <w:t xml:space="preserve"> not appear in the particulars of claim or declaration.</w:t>
      </w:r>
      <w:r w:rsidR="00281A30">
        <w:t xml:space="preserve">  </w:t>
      </w:r>
      <w:r w:rsidR="00281A30" w:rsidRPr="008D02C3">
        <w:rPr>
          <w:i/>
          <w:iCs/>
        </w:rPr>
        <w:t>Absa Bank Ltd v Mpha</w:t>
      </w:r>
      <w:r w:rsidR="00F12202" w:rsidRPr="008D02C3">
        <w:rPr>
          <w:i/>
          <w:iCs/>
        </w:rPr>
        <w:t>hlele N.O.</w:t>
      </w:r>
      <w:r w:rsidR="0062705B" w:rsidRPr="008D02C3">
        <w:rPr>
          <w:i/>
          <w:iCs/>
        </w:rPr>
        <w:t xml:space="preserve"> and Others</w:t>
      </w:r>
      <w:r w:rsidR="0062705B">
        <w:t xml:space="preserve"> </w:t>
      </w:r>
      <w:r w:rsidR="00832CCA">
        <w:t xml:space="preserve">[2020] </w:t>
      </w:r>
      <w:r w:rsidR="00135D16">
        <w:t xml:space="preserve">ZAGPPHC </w:t>
      </w:r>
      <w:r w:rsidR="00801721">
        <w:t>257 (26 March 2020)</w:t>
      </w:r>
      <w:r w:rsidR="00DF1402">
        <w:t xml:space="preserve"> at </w:t>
      </w:r>
      <w:r w:rsidR="008D02C3">
        <w:t>[3</w:t>
      </w:r>
      <w:r w:rsidR="00D00697">
        <w:t>2</w:t>
      </w:r>
      <w:r w:rsidR="008D02C3">
        <w:t>] and</w:t>
      </w:r>
      <w:r w:rsidR="00CC4A69">
        <w:t xml:space="preserve"> </w:t>
      </w:r>
      <w:r w:rsidR="00CC4A69" w:rsidRPr="001E659D">
        <w:rPr>
          <w:i/>
          <w:iCs/>
        </w:rPr>
        <w:t>Morgan Cargo</w:t>
      </w:r>
      <w:r w:rsidR="00107F3B" w:rsidRPr="001E659D">
        <w:rPr>
          <w:i/>
          <w:iCs/>
        </w:rPr>
        <w:t xml:space="preserve"> (Pty) Ltd v EV Zakh</w:t>
      </w:r>
      <w:r w:rsidR="00E275D4" w:rsidRPr="001E659D">
        <w:rPr>
          <w:i/>
          <w:iCs/>
        </w:rPr>
        <w:t>arov</w:t>
      </w:r>
      <w:r w:rsidR="00E275D4">
        <w:t xml:space="preserve"> [2022</w:t>
      </w:r>
      <w:r w:rsidR="00A965B5">
        <w:t>] ZAWCHC 132 (</w:t>
      </w:r>
      <w:r w:rsidR="005473F3">
        <w:t>4 July 2022) at [20].</w:t>
      </w:r>
    </w:p>
    <w:p w14:paraId="53E39507" w14:textId="219E21C8" w:rsidR="000577CE" w:rsidRDefault="003A260D" w:rsidP="003A260D">
      <w:pPr>
        <w:pStyle w:val="H1"/>
        <w:numPr>
          <w:ilvl w:val="0"/>
          <w:numId w:val="0"/>
        </w:numPr>
        <w:spacing w:after="480"/>
        <w:ind w:left="567" w:hanging="567"/>
      </w:pPr>
      <w:r>
        <w:lastRenderedPageBreak/>
        <w:t>[21]</w:t>
      </w:r>
      <w:r>
        <w:tab/>
      </w:r>
      <w:r w:rsidR="001E659D">
        <w:t>As to</w:t>
      </w:r>
      <w:r w:rsidR="000F6543">
        <w:t xml:space="preserve"> the requirement </w:t>
      </w:r>
      <w:r w:rsidR="00D83D2D">
        <w:t>relating to</w:t>
      </w:r>
      <w:r w:rsidR="001E659D">
        <w:t xml:space="preserve"> “</w:t>
      </w:r>
      <w:r w:rsidR="00D354A2">
        <w:rPr>
          <w:i/>
        </w:rPr>
        <w:t xml:space="preserve">the brief explanation as to why the defence </w:t>
      </w:r>
      <w:r w:rsidR="000F6543">
        <w:rPr>
          <w:i/>
        </w:rPr>
        <w:t>a</w:t>
      </w:r>
      <w:r w:rsidR="00D354A2">
        <w:rPr>
          <w:i/>
        </w:rPr>
        <w:t>s pleaded does not raise any issue for trial</w:t>
      </w:r>
      <w:r w:rsidR="00AC5795">
        <w:t>”</w:t>
      </w:r>
      <w:r w:rsidR="001E44D3">
        <w:t xml:space="preserve"> </w:t>
      </w:r>
      <w:r w:rsidR="009E227B">
        <w:t>it has also been held in</w:t>
      </w:r>
      <w:r w:rsidR="00A3387E">
        <w:t xml:space="preserve"> general terms</w:t>
      </w:r>
      <w:r w:rsidR="001E44D3">
        <w:t xml:space="preserve"> that</w:t>
      </w:r>
      <w:r w:rsidR="00A3387E">
        <w:t xml:space="preserve"> in</w:t>
      </w:r>
      <w:r w:rsidR="0051714C">
        <w:t xml:space="preserve"> </w:t>
      </w:r>
      <w:r w:rsidR="00D52945">
        <w:t xml:space="preserve">meeting this requirement </w:t>
      </w:r>
      <w:r w:rsidR="005975A7">
        <w:t xml:space="preserve">a </w:t>
      </w:r>
      <w:r w:rsidR="0051714C">
        <w:t>plaintiff</w:t>
      </w:r>
      <w:r w:rsidR="00A3387E">
        <w:t xml:space="preserve"> is not entitled</w:t>
      </w:r>
      <w:r w:rsidR="0051714C">
        <w:t xml:space="preserve"> to introduce new evidence as to why, at summary judgment stage, a defendant should not be given leave to defend an action</w:t>
      </w:r>
      <w:r w:rsidR="006E4363">
        <w:t xml:space="preserve"> and</w:t>
      </w:r>
      <w:r w:rsidR="0051714C">
        <w:t xml:space="preserve"> to attempt to show that the plaintiff</w:t>
      </w:r>
      <w:r w:rsidR="00B81B4E">
        <w:t xml:space="preserve"> has an unanswerable case</w:t>
      </w:r>
      <w:r w:rsidR="006A0EEE">
        <w:t>.</w:t>
      </w:r>
      <w:r w:rsidR="00D406A8">
        <w:t xml:space="preserve"> </w:t>
      </w:r>
      <w:r w:rsidR="00D406A8">
        <w:rPr>
          <w:i/>
          <w:iCs/>
        </w:rPr>
        <w:t>Mpha</w:t>
      </w:r>
      <w:r w:rsidR="00845465">
        <w:rPr>
          <w:i/>
          <w:iCs/>
        </w:rPr>
        <w:t>h</w:t>
      </w:r>
      <w:r w:rsidR="00D406A8">
        <w:rPr>
          <w:i/>
          <w:iCs/>
        </w:rPr>
        <w:t>lele</w:t>
      </w:r>
      <w:r w:rsidR="00707091">
        <w:t xml:space="preserve"> at [33].</w:t>
      </w:r>
    </w:p>
    <w:p w14:paraId="37C61D92" w14:textId="46360657" w:rsidR="00344527" w:rsidRDefault="003A260D" w:rsidP="003A260D">
      <w:pPr>
        <w:pStyle w:val="H1"/>
        <w:numPr>
          <w:ilvl w:val="0"/>
          <w:numId w:val="0"/>
        </w:numPr>
        <w:spacing w:after="480"/>
        <w:ind w:left="567" w:hanging="567"/>
      </w:pPr>
      <w:r>
        <w:t>[22]</w:t>
      </w:r>
      <w:r>
        <w:tab/>
      </w:r>
      <w:r w:rsidR="00441301">
        <w:t>General principles, however,</w:t>
      </w:r>
      <w:r w:rsidR="00A025C9">
        <w:t xml:space="preserve"> must be applied to the factual situation which prevails in a specific case.</w:t>
      </w:r>
      <w:r w:rsidR="00EA25BA">
        <w:t xml:space="preserve">  In this regard I align myself with the approach</w:t>
      </w:r>
      <w:r w:rsidR="00FA497B">
        <w:t xml:space="preserve"> suggested in </w:t>
      </w:r>
      <w:r w:rsidR="00FA497B" w:rsidRPr="00E134AD">
        <w:rPr>
          <w:i/>
          <w:iCs/>
        </w:rPr>
        <w:t xml:space="preserve">Absa Bank Ltd v </w:t>
      </w:r>
      <w:r w:rsidR="00C9350E" w:rsidRPr="00E134AD">
        <w:rPr>
          <w:i/>
          <w:iCs/>
        </w:rPr>
        <w:t>Sable Hills Waterfront Estates CC and</w:t>
      </w:r>
      <w:r w:rsidR="006C7E10" w:rsidRPr="00E134AD">
        <w:rPr>
          <w:i/>
          <w:iCs/>
        </w:rPr>
        <w:t xml:space="preserve"> Others</w:t>
      </w:r>
      <w:r w:rsidR="006C7E10">
        <w:t xml:space="preserve"> 2022 JDR</w:t>
      </w:r>
      <w:r w:rsidR="00CA69B8">
        <w:t xml:space="preserve"> 0742 (GP)</w:t>
      </w:r>
      <w:r w:rsidR="002B17D4">
        <w:t>,</w:t>
      </w:r>
      <w:r w:rsidR="00CA69B8">
        <w:t xml:space="preserve"> as follows:</w:t>
      </w:r>
    </w:p>
    <w:p w14:paraId="0469E27D" w14:textId="7D8286BA" w:rsidR="00CA69B8" w:rsidRDefault="00902C0B" w:rsidP="003A4212">
      <w:pPr>
        <w:pStyle w:val="H1"/>
        <w:numPr>
          <w:ilvl w:val="0"/>
          <w:numId w:val="0"/>
        </w:numPr>
        <w:spacing w:after="480"/>
        <w:ind w:left="567"/>
        <w:rPr>
          <w:iCs/>
          <w:sz w:val="22"/>
        </w:rPr>
      </w:pPr>
      <w:r>
        <w:rPr>
          <w:sz w:val="22"/>
        </w:rPr>
        <w:t>“[18]</w:t>
      </w:r>
      <w:r w:rsidR="002C1B93">
        <w:rPr>
          <w:sz w:val="22"/>
        </w:rPr>
        <w:t xml:space="preserve"> I do not find it necessary in the present circumstances to delineate</w:t>
      </w:r>
      <w:r w:rsidR="00B94401">
        <w:rPr>
          <w:sz w:val="22"/>
        </w:rPr>
        <w:t xml:space="preserve"> the precise </w:t>
      </w:r>
      <w:r w:rsidR="00AD1D02">
        <w:rPr>
          <w:sz w:val="22"/>
        </w:rPr>
        <w:t>ambit</w:t>
      </w:r>
      <w:r w:rsidR="00B94401">
        <w:rPr>
          <w:sz w:val="22"/>
        </w:rPr>
        <w:t xml:space="preserve"> of what is permissible in this portion of Rule 32(2)(b)</w:t>
      </w:r>
      <w:r w:rsidR="001C79B7">
        <w:rPr>
          <w:sz w:val="22"/>
        </w:rPr>
        <w:t xml:space="preserve"> which requires the plaintiff in its affidavit to identify</w:t>
      </w:r>
      <w:r w:rsidR="004230B4">
        <w:rPr>
          <w:sz w:val="22"/>
        </w:rPr>
        <w:t xml:space="preserve"> ‘</w:t>
      </w:r>
      <w:r w:rsidR="00176341">
        <w:rPr>
          <w:i/>
          <w:sz w:val="22"/>
        </w:rPr>
        <w:t xml:space="preserve">the facts upon which the plaintiff’s claim is based </w:t>
      </w:r>
      <w:r w:rsidR="009F31C7">
        <w:rPr>
          <w:i/>
          <w:sz w:val="22"/>
        </w:rPr>
        <w:t>and</w:t>
      </w:r>
      <w:r w:rsidR="00176341">
        <w:rPr>
          <w:i/>
          <w:sz w:val="22"/>
        </w:rPr>
        <w:t xml:space="preserve"> to explain briefly why the defence, as pleaded, does not raise any issue for </w:t>
      </w:r>
      <w:r w:rsidR="009F31C7">
        <w:rPr>
          <w:i/>
          <w:sz w:val="22"/>
        </w:rPr>
        <w:t>trial</w:t>
      </w:r>
      <w:r w:rsidR="009F31C7">
        <w:rPr>
          <w:iCs/>
          <w:sz w:val="22"/>
        </w:rPr>
        <w:t>’</w:t>
      </w:r>
      <w:r w:rsidR="004A6199">
        <w:rPr>
          <w:iCs/>
          <w:sz w:val="22"/>
        </w:rPr>
        <w:t>.</w:t>
      </w:r>
      <w:r w:rsidR="00C64CC5">
        <w:rPr>
          <w:iCs/>
          <w:sz w:val="22"/>
        </w:rPr>
        <w:t xml:space="preserve">  I accept that the plaintiff should, by and large be restricted to the facts are set out in its particulars of claim.  But there may well be</w:t>
      </w:r>
      <w:r w:rsidR="0000032C">
        <w:rPr>
          <w:iCs/>
          <w:sz w:val="22"/>
        </w:rPr>
        <w:t xml:space="preserve"> circumstances in which a factual matter raised in the particulars of claim</w:t>
      </w:r>
      <w:r w:rsidR="002B17D4">
        <w:rPr>
          <w:iCs/>
          <w:sz w:val="22"/>
        </w:rPr>
        <w:t xml:space="preserve"> or</w:t>
      </w:r>
      <w:r w:rsidR="0000032C">
        <w:rPr>
          <w:iCs/>
          <w:sz w:val="22"/>
        </w:rPr>
        <w:t xml:space="preserve"> pleaded in the plea may permissibl</w:t>
      </w:r>
      <w:r w:rsidR="002B17D4">
        <w:rPr>
          <w:iCs/>
          <w:sz w:val="22"/>
        </w:rPr>
        <w:t>y</w:t>
      </w:r>
      <w:r w:rsidR="00443400">
        <w:rPr>
          <w:iCs/>
          <w:sz w:val="22"/>
        </w:rPr>
        <w:t xml:space="preserve"> </w:t>
      </w:r>
      <w:r w:rsidR="0000032C">
        <w:rPr>
          <w:iCs/>
          <w:sz w:val="22"/>
        </w:rPr>
        <w:t>be clarified or elucidated without advancing a new factual premise for the claim or seeking to introduce substantial, supplementary facts.</w:t>
      </w:r>
      <w:r w:rsidR="00AA5765">
        <w:rPr>
          <w:iCs/>
          <w:sz w:val="22"/>
        </w:rPr>
        <w:t xml:space="preserve">  The test</w:t>
      </w:r>
      <w:r w:rsidR="00A83816">
        <w:rPr>
          <w:iCs/>
          <w:sz w:val="22"/>
        </w:rPr>
        <w:t xml:space="preserve"> </w:t>
      </w:r>
      <w:r w:rsidR="00AA5765">
        <w:rPr>
          <w:iCs/>
          <w:sz w:val="22"/>
        </w:rPr>
        <w:t>in this regard will depend on the particular facts and will no doubt be developed over time……………………………</w:t>
      </w:r>
    </w:p>
    <w:p w14:paraId="61B59670" w14:textId="306D9626" w:rsidR="00AA5765" w:rsidRDefault="00AA5765" w:rsidP="003A4212">
      <w:pPr>
        <w:pStyle w:val="H1"/>
        <w:numPr>
          <w:ilvl w:val="0"/>
          <w:numId w:val="0"/>
        </w:numPr>
        <w:spacing w:after="480"/>
        <w:ind w:left="567"/>
        <w:rPr>
          <w:iCs/>
          <w:sz w:val="22"/>
        </w:rPr>
      </w:pPr>
      <w:r>
        <w:rPr>
          <w:iCs/>
          <w:sz w:val="22"/>
        </w:rPr>
        <w:t>[19]</w:t>
      </w:r>
      <w:r w:rsidR="00007CB6">
        <w:rPr>
          <w:iCs/>
          <w:sz w:val="22"/>
        </w:rPr>
        <w:t xml:space="preserve"> The contentions regarding</w:t>
      </w:r>
      <w:r w:rsidR="00830FDF">
        <w:rPr>
          <w:iCs/>
          <w:sz w:val="22"/>
        </w:rPr>
        <w:t xml:space="preserve"> the prohibition against the plaintiff gaining a tactical advantage </w:t>
      </w:r>
      <w:r w:rsidR="00A133FC">
        <w:rPr>
          <w:iCs/>
          <w:sz w:val="22"/>
        </w:rPr>
        <w:t>are</w:t>
      </w:r>
      <w:r w:rsidR="00830FDF">
        <w:rPr>
          <w:iCs/>
          <w:sz w:val="22"/>
        </w:rPr>
        <w:t xml:space="preserve"> formulaic when stated in such general terms and lack</w:t>
      </w:r>
      <w:r w:rsidR="007F0159">
        <w:rPr>
          <w:iCs/>
          <w:sz w:val="22"/>
        </w:rPr>
        <w:t xml:space="preserve"> </w:t>
      </w:r>
      <w:r w:rsidR="00830FDF">
        <w:rPr>
          <w:iCs/>
          <w:sz w:val="22"/>
        </w:rPr>
        <w:t>factual foundation.  The new summary judgment procedure is</w:t>
      </w:r>
      <w:r w:rsidR="00631000">
        <w:rPr>
          <w:iCs/>
          <w:sz w:val="22"/>
        </w:rPr>
        <w:t xml:space="preserve"> implicitly aimed at exposing the defendants pleaded defence to the scrutiny of the plaintiff and the court; no procedural unfairness arises from this………………………..”.</w:t>
      </w:r>
    </w:p>
    <w:p w14:paraId="5EBA10F9" w14:textId="60E4D7C2" w:rsidR="00E50D3D" w:rsidRDefault="003A260D" w:rsidP="003A260D">
      <w:pPr>
        <w:pStyle w:val="H1"/>
        <w:numPr>
          <w:ilvl w:val="0"/>
          <w:numId w:val="0"/>
        </w:numPr>
        <w:spacing w:after="480"/>
        <w:ind w:left="567" w:hanging="567"/>
      </w:pPr>
      <w:r>
        <w:lastRenderedPageBreak/>
        <w:t>[23]</w:t>
      </w:r>
      <w:r>
        <w:tab/>
      </w:r>
      <w:r w:rsidR="00DA3976">
        <w:t>The above-quoted</w:t>
      </w:r>
      <w:r w:rsidR="00E134AD">
        <w:t xml:space="preserve"> passages</w:t>
      </w:r>
      <w:r w:rsidR="00DA3976">
        <w:t xml:space="preserve"> encapsulate</w:t>
      </w:r>
      <w:r w:rsidR="00C1082E">
        <w:t xml:space="preserve"> the </w:t>
      </w:r>
      <w:r w:rsidR="002B17D4">
        <w:t>respective contentions</w:t>
      </w:r>
      <w:r w:rsidR="00C1082E">
        <w:t xml:space="preserve"> in this application which, in a nutshell,</w:t>
      </w:r>
      <w:r w:rsidR="00CF2078">
        <w:t xml:space="preserve"> </w:t>
      </w:r>
      <w:r w:rsidR="0083169A">
        <w:t>are</w:t>
      </w:r>
      <w:r w:rsidR="00CF2078">
        <w:t xml:space="preserve"> to the following effect:</w:t>
      </w:r>
    </w:p>
    <w:p w14:paraId="48AD4943" w14:textId="5A2F3A85" w:rsidR="00CF2078" w:rsidRDefault="003A260D" w:rsidP="003A260D">
      <w:pPr>
        <w:pStyle w:val="H2"/>
        <w:numPr>
          <w:ilvl w:val="0"/>
          <w:numId w:val="0"/>
        </w:numPr>
        <w:spacing w:after="480"/>
        <w:ind w:left="1418" w:hanging="851"/>
      </w:pPr>
      <w:r>
        <w:t>23.1.</w:t>
      </w:r>
      <w:r>
        <w:tab/>
      </w:r>
      <w:r w:rsidR="00CF2078">
        <w:t>the defendant</w:t>
      </w:r>
      <w:r w:rsidR="000C3082">
        <w:t xml:space="preserve"> in the rule 30 application relies on the abovementioned general principles</w:t>
      </w:r>
      <w:r w:rsidR="00021E10">
        <w:t xml:space="preserve"> </w:t>
      </w:r>
      <w:r w:rsidR="00F73BF0">
        <w:t>(whilst endeavouring to apply them to the facts of this case</w:t>
      </w:r>
      <w:r w:rsidR="00E04E4A">
        <w:t>)</w:t>
      </w:r>
      <w:r w:rsidR="006F530C">
        <w:t xml:space="preserve"> in contending that the plaintiff’s affidavit supporting its application for summary judgment goes beyond</w:t>
      </w:r>
      <w:r w:rsidR="00983741">
        <w:t xml:space="preserve"> the scope of </w:t>
      </w:r>
      <w:r w:rsidR="002B17D4">
        <w:t xml:space="preserve">the pleadings and </w:t>
      </w:r>
      <w:r w:rsidR="00983741">
        <w:t>what is intended by</w:t>
      </w:r>
      <w:r w:rsidR="00D03019">
        <w:t xml:space="preserve"> </w:t>
      </w:r>
      <w:r w:rsidR="00DB3472">
        <w:t>sub-</w:t>
      </w:r>
      <w:r w:rsidR="00D03019">
        <w:t>rule 32(2)(b)</w:t>
      </w:r>
      <w:r w:rsidR="0083169A">
        <w:t>; and</w:t>
      </w:r>
    </w:p>
    <w:p w14:paraId="2CE4862C" w14:textId="0FE83468" w:rsidR="0083169A" w:rsidRDefault="003A260D" w:rsidP="003A260D">
      <w:pPr>
        <w:pStyle w:val="H2"/>
        <w:numPr>
          <w:ilvl w:val="0"/>
          <w:numId w:val="0"/>
        </w:numPr>
        <w:spacing w:after="480"/>
        <w:ind w:left="1418" w:hanging="851"/>
      </w:pPr>
      <w:r>
        <w:t>23.2.</w:t>
      </w:r>
      <w:r>
        <w:tab/>
      </w:r>
      <w:r w:rsidR="0083169A">
        <w:t>the plaintiff, on the other hand</w:t>
      </w:r>
      <w:r w:rsidR="00E23B51">
        <w:t>,</w:t>
      </w:r>
      <w:r w:rsidR="0055454F">
        <w:t xml:space="preserve"> maintains that there are two principal issues flowing from its particulars of claim, namely</w:t>
      </w:r>
      <w:r w:rsidR="00A1373A">
        <w:t xml:space="preserve">, first, the precise terms of the agreement between itself and the defendant and, second, whether it complied with the terms of the agreement by delivering </w:t>
      </w:r>
      <w:r w:rsidR="002B17D4">
        <w:t>fruit</w:t>
      </w:r>
      <w:r w:rsidR="00940F26">
        <w:t xml:space="preserve"> packaging cartons to the defendant which were fit for purpose</w:t>
      </w:r>
      <w:r w:rsidR="00D86098">
        <w:t>.</w:t>
      </w:r>
      <w:r w:rsidR="00967259">
        <w:t xml:space="preserve">  It then submits that the facts put up in the summary judgment affidavit</w:t>
      </w:r>
      <w:r w:rsidR="005A284C">
        <w:t xml:space="preserve"> </w:t>
      </w:r>
      <w:r w:rsidR="002B17D4">
        <w:t>are there</w:t>
      </w:r>
      <w:r w:rsidR="005A284C">
        <w:t xml:space="preserve"> to elucidate those </w:t>
      </w:r>
      <w:r w:rsidR="00F46CAF">
        <w:t>basic premises</w:t>
      </w:r>
      <w:r w:rsidR="005A284C">
        <w:t xml:space="preserve"> rather than to</w:t>
      </w:r>
      <w:r w:rsidR="00470379">
        <w:t xml:space="preserve"> establish new factual premises by introducing</w:t>
      </w:r>
      <w:r w:rsidR="009000FB">
        <w:t xml:space="preserve"> substantial supplementary facts.</w:t>
      </w:r>
    </w:p>
    <w:p w14:paraId="3B0B23DA" w14:textId="448726CC" w:rsidR="006B0921" w:rsidRDefault="003A260D" w:rsidP="003A260D">
      <w:pPr>
        <w:pStyle w:val="H1"/>
        <w:numPr>
          <w:ilvl w:val="0"/>
          <w:numId w:val="0"/>
        </w:numPr>
        <w:spacing w:after="480"/>
        <w:ind w:left="567" w:hanging="567"/>
      </w:pPr>
      <w:r>
        <w:t>[24]</w:t>
      </w:r>
      <w:r>
        <w:tab/>
      </w:r>
      <w:r w:rsidR="006B0921">
        <w:t>It is against this background</w:t>
      </w:r>
      <w:r w:rsidR="00936084">
        <w:t xml:space="preserve"> </w:t>
      </w:r>
      <w:r w:rsidR="0081495D">
        <w:t>that</w:t>
      </w:r>
      <w:r w:rsidR="00936084">
        <w:t xml:space="preserve"> I must determine whether the rule 30 application is the appropriate procedural mechanism</w:t>
      </w:r>
      <w:r w:rsidR="00351361">
        <w:t xml:space="preserve"> to resolve these disputes</w:t>
      </w:r>
      <w:r w:rsidR="0081495D">
        <w:t>.</w:t>
      </w:r>
      <w:r w:rsidR="006B78C1">
        <w:t xml:space="preserve">  As stated</w:t>
      </w:r>
      <w:r w:rsidR="000E5A00">
        <w:t>, this raises the question as to whether the requirements with which an affidavit supporting an application for summary judgment</w:t>
      </w:r>
      <w:r w:rsidR="009D6A11">
        <w:t>, as set out in sub-rule 32(2)(b)</w:t>
      </w:r>
      <w:r w:rsidR="002B17D4">
        <w:t>,</w:t>
      </w:r>
      <w:r w:rsidR="009D6A11">
        <w:t xml:space="preserve"> must comply</w:t>
      </w:r>
      <w:r w:rsidR="00375B59">
        <w:t xml:space="preserve"> are formal or substantive in nature.</w:t>
      </w:r>
    </w:p>
    <w:p w14:paraId="449AFB66" w14:textId="278C1826" w:rsidR="0081723B" w:rsidRDefault="003A260D" w:rsidP="003A260D">
      <w:pPr>
        <w:pStyle w:val="H1"/>
        <w:numPr>
          <w:ilvl w:val="0"/>
          <w:numId w:val="0"/>
        </w:numPr>
        <w:spacing w:after="480"/>
        <w:ind w:left="567" w:hanging="567"/>
      </w:pPr>
      <w:r>
        <w:t>[25]</w:t>
      </w:r>
      <w:r>
        <w:tab/>
      </w:r>
      <w:r w:rsidR="00FE76BC">
        <w:t>In my view</w:t>
      </w:r>
      <w:r w:rsidR="00FD5E4F">
        <w:t xml:space="preserve"> </w:t>
      </w:r>
      <w:r w:rsidR="004E4F8A">
        <w:t>the requirements</w:t>
      </w:r>
      <w:r w:rsidR="00FD5E4F">
        <w:t xml:space="preserve"> which</w:t>
      </w:r>
      <w:r w:rsidR="0080542B">
        <w:t xml:space="preserve"> an affidavit supporting an application for summary judgment</w:t>
      </w:r>
      <w:r w:rsidR="001561E0">
        <w:t xml:space="preserve"> has</w:t>
      </w:r>
      <w:r w:rsidR="0080542B">
        <w:t xml:space="preserve"> to meet</w:t>
      </w:r>
      <w:r w:rsidR="004636C6">
        <w:t xml:space="preserve"> are substantive in nature</w:t>
      </w:r>
      <w:r w:rsidR="006C7164">
        <w:t xml:space="preserve"> rather than formal, as:</w:t>
      </w:r>
    </w:p>
    <w:p w14:paraId="2FD09DC0" w14:textId="45C812F5" w:rsidR="006C7164" w:rsidRDefault="003A260D" w:rsidP="003A260D">
      <w:pPr>
        <w:pStyle w:val="H2"/>
        <w:numPr>
          <w:ilvl w:val="0"/>
          <w:numId w:val="0"/>
        </w:numPr>
        <w:spacing w:after="480"/>
        <w:ind w:left="1418" w:hanging="851"/>
      </w:pPr>
      <w:r>
        <w:lastRenderedPageBreak/>
        <w:t>25.1.</w:t>
      </w:r>
      <w:r>
        <w:tab/>
      </w:r>
      <w:r w:rsidR="00AC61D2">
        <w:t>the intention with the amended</w:t>
      </w:r>
      <w:r w:rsidR="00E024A5">
        <w:t xml:space="preserve"> rule</w:t>
      </w:r>
      <w:r w:rsidR="00AC61D2">
        <w:t xml:space="preserve"> was to do away</w:t>
      </w:r>
      <w:r w:rsidR="008F4F08">
        <w:t xml:space="preserve"> with a formulaic</w:t>
      </w:r>
      <w:r w:rsidR="000B555D">
        <w:t xml:space="preserve"> supporting affidavit;</w:t>
      </w:r>
    </w:p>
    <w:p w14:paraId="769F25B7" w14:textId="429AC017" w:rsidR="000B555D" w:rsidRDefault="003A260D" w:rsidP="003A260D">
      <w:pPr>
        <w:pStyle w:val="H2"/>
        <w:numPr>
          <w:ilvl w:val="0"/>
          <w:numId w:val="0"/>
        </w:numPr>
        <w:spacing w:after="480"/>
        <w:ind w:left="1418" w:hanging="851"/>
      </w:pPr>
      <w:r>
        <w:t>25.2.</w:t>
      </w:r>
      <w:r>
        <w:tab/>
      </w:r>
      <w:r w:rsidR="00A77E48">
        <w:t>the plaintiff, in a lucid manner, is required to identify any point of law relied upon,</w:t>
      </w:r>
      <w:r w:rsidR="00B715F8">
        <w:t xml:space="preserve"> as well as the facts upon which the plaintiff’s claim is based and to furnish a brief explanation as to why the defence as pleaded does not raise any issue for trial</w:t>
      </w:r>
      <w:r w:rsidR="004212E8">
        <w:t xml:space="preserve"> </w:t>
      </w:r>
      <w:r w:rsidR="000104A6">
        <w:t>- clearly these requirements are substantive rather than merely formal</w:t>
      </w:r>
      <w:r w:rsidR="006F286E">
        <w:t>.</w:t>
      </w:r>
      <w:r w:rsidR="00BB463E">
        <w:t xml:space="preserve">  The intention</w:t>
      </w:r>
      <w:r w:rsidR="002B17D4">
        <w:t xml:space="preserve"> of the procedure is</w:t>
      </w:r>
      <w:r w:rsidR="001A50DD">
        <w:t xml:space="preserve"> to expose both the claim and the defence to the scrutiny of the court</w:t>
      </w:r>
      <w:r w:rsidR="00B4735D">
        <w:t xml:space="preserve"> for it to be in a position to determine whether the defendant has raised a triable issue</w:t>
      </w:r>
      <w:r w:rsidR="003F3B16">
        <w:t xml:space="preserve">; </w:t>
      </w:r>
    </w:p>
    <w:p w14:paraId="0802FCAA" w14:textId="17376141" w:rsidR="00843F33" w:rsidRDefault="003A260D" w:rsidP="003A260D">
      <w:pPr>
        <w:pStyle w:val="H2"/>
        <w:numPr>
          <w:ilvl w:val="0"/>
          <w:numId w:val="0"/>
        </w:numPr>
        <w:spacing w:after="480"/>
        <w:ind w:left="1418" w:hanging="851"/>
      </w:pPr>
      <w:r>
        <w:t>25.3.</w:t>
      </w:r>
      <w:r>
        <w:tab/>
      </w:r>
      <w:r w:rsidR="00735128">
        <w:t xml:space="preserve">the necessity of </w:t>
      </w:r>
      <w:r w:rsidR="002F13B3">
        <w:t>dealing</w:t>
      </w:r>
      <w:r w:rsidR="0060294E">
        <w:t xml:space="preserve"> with the defence raised and f</w:t>
      </w:r>
      <w:r w:rsidR="00735128">
        <w:t>ur</w:t>
      </w:r>
      <w:r w:rsidR="0060294E">
        <w:t>nishing</w:t>
      </w:r>
      <w:r w:rsidR="00735128">
        <w:t xml:space="preserve"> an</w:t>
      </w:r>
      <w:r w:rsidR="0060294E">
        <w:t xml:space="preserve"> explanation as to why it does not raise a triable issue cannot but be</w:t>
      </w:r>
      <w:r w:rsidR="006116A2">
        <w:t xml:space="preserve"> a</w:t>
      </w:r>
      <w:r w:rsidR="0060294E">
        <w:t xml:space="preserve"> substantive</w:t>
      </w:r>
      <w:r w:rsidR="005212BD">
        <w:t xml:space="preserve"> requirement</w:t>
      </w:r>
      <w:r w:rsidR="00785D8E">
        <w:t xml:space="preserve">.  It </w:t>
      </w:r>
      <w:r w:rsidR="005212BD">
        <w:t>obliges</w:t>
      </w:r>
      <w:r w:rsidR="00785D8E">
        <w:t xml:space="preserve"> the plaintiff to come to grips</w:t>
      </w:r>
      <w:r w:rsidR="00612855">
        <w:t xml:space="preserve"> with the </w:t>
      </w:r>
      <w:r w:rsidR="002B17D4">
        <w:t xml:space="preserve">substantive elements of the </w:t>
      </w:r>
      <w:r w:rsidR="00612855">
        <w:t>pleaded defence</w:t>
      </w:r>
      <w:r w:rsidR="006A1BB1">
        <w:t xml:space="preserve"> and set out why</w:t>
      </w:r>
      <w:r w:rsidR="002B17D4">
        <w:t>, having regard to those substantive elements,</w:t>
      </w:r>
      <w:r w:rsidR="006A1BB1">
        <w:t xml:space="preserve"> the</w:t>
      </w:r>
      <w:r w:rsidR="00771CDC">
        <w:t xml:space="preserve"> </w:t>
      </w:r>
      <w:r w:rsidR="006A1BB1">
        <w:t xml:space="preserve">defence does not constitute a </w:t>
      </w:r>
      <w:r w:rsidR="004B34DC">
        <w:rPr>
          <w:i/>
        </w:rPr>
        <w:t>bona fide</w:t>
      </w:r>
      <w:r w:rsidR="004B34DC">
        <w:t xml:space="preserve"> defence</w:t>
      </w:r>
      <w:r w:rsidR="00843F33">
        <w:t>; and</w:t>
      </w:r>
    </w:p>
    <w:p w14:paraId="2225C5B9" w14:textId="0A3E6863" w:rsidR="00AB6700" w:rsidRDefault="003A260D" w:rsidP="003A260D">
      <w:pPr>
        <w:pStyle w:val="H2"/>
        <w:numPr>
          <w:ilvl w:val="0"/>
          <w:numId w:val="0"/>
        </w:numPr>
        <w:spacing w:after="480"/>
        <w:ind w:left="1418" w:hanging="851"/>
      </w:pPr>
      <w:r>
        <w:t>25.4.</w:t>
      </w:r>
      <w:r>
        <w:tab/>
      </w:r>
      <w:r w:rsidR="002C4ADB">
        <w:t>th</w:t>
      </w:r>
      <w:r w:rsidR="00612855">
        <w:t>e brevity qualification attached to the</w:t>
      </w:r>
      <w:r w:rsidR="00AD0DF6">
        <w:t xml:space="preserve"> explanation is relative and </w:t>
      </w:r>
      <w:r w:rsidR="00220450">
        <w:t>the extent of the explanation will in the first place be dependent on the extent and nature of the</w:t>
      </w:r>
      <w:r w:rsidR="002B17D4">
        <w:t xml:space="preserve"> substantive elements of the</w:t>
      </w:r>
      <w:r w:rsidR="00220450">
        <w:t xml:space="preserve"> defence raised in the plea</w:t>
      </w:r>
      <w:r w:rsidR="00C93FBD">
        <w:t>.</w:t>
      </w:r>
      <w:r w:rsidR="003A1E18">
        <w:t xml:space="preserve">  </w:t>
      </w:r>
      <w:r w:rsidR="007B5DB2">
        <w:t>Compliance with</w:t>
      </w:r>
      <w:r w:rsidR="003A1E18">
        <w:t xml:space="preserve"> the brevity requirement cannot therefore necessarily be </w:t>
      </w:r>
      <w:r w:rsidR="00945928">
        <w:t>judged</w:t>
      </w:r>
      <w:r w:rsidR="003A1E18">
        <w:t xml:space="preserve"> </w:t>
      </w:r>
      <w:r w:rsidR="002B17D4">
        <w:t xml:space="preserve">solely </w:t>
      </w:r>
      <w:r w:rsidR="003A1E18">
        <w:t>on the number of pages o</w:t>
      </w:r>
      <w:r w:rsidR="007B5DB2">
        <w:t>r</w:t>
      </w:r>
      <w:r w:rsidR="003A1E18">
        <w:t xml:space="preserve"> paragraphs </w:t>
      </w:r>
      <w:r w:rsidR="00703AC5">
        <w:t>the explanation encompasses.  Each case will depend on its own circumstances.</w:t>
      </w:r>
    </w:p>
    <w:p w14:paraId="1C27DD65" w14:textId="001394C1" w:rsidR="0067720F" w:rsidRPr="00240AA0" w:rsidRDefault="003A260D" w:rsidP="003A260D">
      <w:pPr>
        <w:pStyle w:val="H1"/>
        <w:numPr>
          <w:ilvl w:val="0"/>
          <w:numId w:val="0"/>
        </w:numPr>
        <w:spacing w:after="480"/>
        <w:ind w:left="567" w:hanging="567"/>
      </w:pPr>
      <w:r w:rsidRPr="00240AA0">
        <w:t>[26]</w:t>
      </w:r>
      <w:r w:rsidRPr="00240AA0">
        <w:tab/>
      </w:r>
      <w:r w:rsidR="00D22E28">
        <w:t>In assessing compliance with the requirements of sub-rule</w:t>
      </w:r>
      <w:r w:rsidR="00550242">
        <w:t xml:space="preserve"> 32(2</w:t>
      </w:r>
      <w:r w:rsidR="00510B9A">
        <w:t>)(b) comparisons with</w:t>
      </w:r>
      <w:r w:rsidR="0021285C">
        <w:t xml:space="preserve"> judgments dealing with overly voluminous applications in terms of Uniform Rule 43</w:t>
      </w:r>
      <w:r w:rsidR="00420B8B">
        <w:t xml:space="preserve"> </w:t>
      </w:r>
      <w:r w:rsidR="00420B8B">
        <w:lastRenderedPageBreak/>
        <w:t>(“rule 43”) are not of assistance.</w:t>
      </w:r>
      <w:r w:rsidR="00E94587">
        <w:t xml:space="preserve">  The requirement</w:t>
      </w:r>
      <w:r w:rsidR="00EA013E">
        <w:t>s</w:t>
      </w:r>
      <w:r w:rsidR="00E94587">
        <w:t xml:space="preserve"> in applications in terms of rule 43 that the</w:t>
      </w:r>
      <w:r w:rsidR="004750B7">
        <w:t xml:space="preserve"> founding and opposing affidavit must be in the form, respectively,</w:t>
      </w:r>
      <w:r w:rsidR="00EA013E">
        <w:t xml:space="preserve"> of a declaration and a plea</w:t>
      </w:r>
      <w:r w:rsidR="003E6FD7">
        <w:t xml:space="preserve"> are formal in nature</w:t>
      </w:r>
      <w:r w:rsidR="00311580">
        <w:t>.</w:t>
      </w:r>
      <w:r w:rsidR="008A4A9A">
        <w:t xml:space="preserve">  Rule 43 envisages various </w:t>
      </w:r>
      <w:r w:rsidR="002B17D4">
        <w:t>types</w:t>
      </w:r>
      <w:r w:rsidR="008A4A9A">
        <w:t xml:space="preserve"> of relief in pending matrimonial actions</w:t>
      </w:r>
      <w:r w:rsidR="00E321D0">
        <w:t xml:space="preserve"> but does not seek</w:t>
      </w:r>
      <w:r w:rsidR="00220A5D">
        <w:t xml:space="preserve"> in</w:t>
      </w:r>
      <w:r w:rsidR="00E321D0">
        <w:t xml:space="preserve"> any way to deal with</w:t>
      </w:r>
      <w:r w:rsidR="00DD578A">
        <w:t xml:space="preserve"> or prescribe</w:t>
      </w:r>
      <w:r w:rsidR="00E321D0">
        <w:t xml:space="preserve"> </w:t>
      </w:r>
      <w:r w:rsidR="00B1332E">
        <w:t>the</w:t>
      </w:r>
      <w:r w:rsidR="00E321D0">
        <w:t xml:space="preserve"> substantive</w:t>
      </w:r>
      <w:r w:rsidR="002B17D4">
        <w:t xml:space="preserve"> jurisdictional</w:t>
      </w:r>
      <w:r w:rsidR="00E321D0">
        <w:t xml:space="preserve"> requirements</w:t>
      </w:r>
      <w:r w:rsidR="00220A5D">
        <w:t xml:space="preserve"> necessary</w:t>
      </w:r>
      <w:r w:rsidR="00E321D0">
        <w:t xml:space="preserve"> to obtain such relief</w:t>
      </w:r>
      <w:r w:rsidR="00B84B5D">
        <w:t>.</w:t>
      </w:r>
    </w:p>
    <w:p w14:paraId="1008D648" w14:textId="7748D4FC" w:rsidR="00240AA0" w:rsidRDefault="00B264BE" w:rsidP="003A4212">
      <w:pPr>
        <w:pStyle w:val="H1"/>
        <w:numPr>
          <w:ilvl w:val="0"/>
          <w:numId w:val="0"/>
        </w:numPr>
        <w:spacing w:after="480"/>
        <w:rPr>
          <w:b/>
          <w:u w:val="single"/>
        </w:rPr>
      </w:pPr>
      <w:r w:rsidRPr="005D310D">
        <w:rPr>
          <w:b/>
          <w:u w:val="single"/>
        </w:rPr>
        <w:t>Conclusion on the question as to whether</w:t>
      </w:r>
      <w:r w:rsidR="00F079FB" w:rsidRPr="00F079FB">
        <w:rPr>
          <w:b/>
          <w:u w:val="single"/>
        </w:rPr>
        <w:t xml:space="preserve"> rule 30 is the appropriate procedural mechanism in the circumstances</w:t>
      </w:r>
    </w:p>
    <w:p w14:paraId="58B4782E" w14:textId="70C2E68D" w:rsidR="005D310D" w:rsidRDefault="003A260D" w:rsidP="003A260D">
      <w:pPr>
        <w:pStyle w:val="H1"/>
        <w:numPr>
          <w:ilvl w:val="0"/>
          <w:numId w:val="0"/>
        </w:numPr>
        <w:spacing w:after="480"/>
        <w:ind w:left="567" w:hanging="567"/>
      </w:pPr>
      <w:r>
        <w:t>[27]</w:t>
      </w:r>
      <w:r>
        <w:tab/>
      </w:r>
      <w:r w:rsidR="002A2295">
        <w:t>In the three judgments referred to above</w:t>
      </w:r>
      <w:r w:rsidR="00013F6F">
        <w:t xml:space="preserve"> the</w:t>
      </w:r>
      <w:r w:rsidR="007C2EAD">
        <w:t xml:space="preserve"> disputes as to the</w:t>
      </w:r>
      <w:r w:rsidR="00013F6F">
        <w:t xml:space="preserve"> precise ambit </w:t>
      </w:r>
      <w:r w:rsidR="002B17D4">
        <w:t xml:space="preserve">of </w:t>
      </w:r>
      <w:r w:rsidR="00013F6F">
        <w:t>what was permissible</w:t>
      </w:r>
      <w:r w:rsidR="00485203">
        <w:t xml:space="preserve"> content in the affidavit</w:t>
      </w:r>
      <w:r w:rsidR="002241AF">
        <w:t>s</w:t>
      </w:r>
      <w:r w:rsidR="00485203">
        <w:t xml:space="preserve"> supporting</w:t>
      </w:r>
      <w:r w:rsidR="00C71922">
        <w:t xml:space="preserve"> summary judgment</w:t>
      </w:r>
      <w:r w:rsidR="00132BF3">
        <w:t xml:space="preserve"> were all determined</w:t>
      </w:r>
      <w:r w:rsidR="008C145D">
        <w:t xml:space="preserve"> by the courts hearing the applications for summary judgment and not as part of a separate procedure as to the</w:t>
      </w:r>
      <w:r w:rsidR="001D5673">
        <w:t xml:space="preserve"> regularity of the affidavits.  In the </w:t>
      </w:r>
      <w:r w:rsidR="001D5673" w:rsidRPr="00B51D9E">
        <w:rPr>
          <w:i/>
          <w:iCs/>
        </w:rPr>
        <w:t>M</w:t>
      </w:r>
      <w:r w:rsidR="00F21430" w:rsidRPr="00B51D9E">
        <w:rPr>
          <w:i/>
          <w:iCs/>
        </w:rPr>
        <w:t>phahlele</w:t>
      </w:r>
      <w:r w:rsidR="00F21430">
        <w:t xml:space="preserve"> and </w:t>
      </w:r>
      <w:r w:rsidR="00F21430" w:rsidRPr="00B51D9E">
        <w:rPr>
          <w:i/>
          <w:iCs/>
        </w:rPr>
        <w:t>Morgan Cargo</w:t>
      </w:r>
      <w:r w:rsidR="00F21430">
        <w:t xml:space="preserve"> matters</w:t>
      </w:r>
      <w:r w:rsidR="00936DE0">
        <w:t xml:space="preserve"> the approach adopted was to ignore</w:t>
      </w:r>
      <w:r w:rsidR="00AE5A1C">
        <w:t xml:space="preserve"> the offending portions of the supporting affidavits.</w:t>
      </w:r>
      <w:r w:rsidR="0083490E">
        <w:t xml:space="preserve"> </w:t>
      </w:r>
      <w:r w:rsidR="007A4205">
        <w:t>I</w:t>
      </w:r>
      <w:r w:rsidR="0083490E">
        <w:t xml:space="preserve"> refer</w:t>
      </w:r>
      <w:r w:rsidR="00AE5A1C">
        <w:t xml:space="preserve"> </w:t>
      </w:r>
      <w:r w:rsidR="007A4205">
        <w:t xml:space="preserve">to </w:t>
      </w:r>
      <w:r w:rsidR="00AE5A1C">
        <w:t>paragraphs [</w:t>
      </w:r>
      <w:r w:rsidR="0025245D">
        <w:t>38] and [20] of the respective judgment</w:t>
      </w:r>
      <w:r w:rsidR="00B51D9E">
        <w:t>s.</w:t>
      </w:r>
    </w:p>
    <w:p w14:paraId="02E8BA02" w14:textId="4493AF8F" w:rsidR="00694319" w:rsidRDefault="003A260D" w:rsidP="003A260D">
      <w:pPr>
        <w:pStyle w:val="H1"/>
        <w:numPr>
          <w:ilvl w:val="0"/>
          <w:numId w:val="0"/>
        </w:numPr>
        <w:spacing w:after="480"/>
        <w:ind w:left="567" w:hanging="567"/>
      </w:pPr>
      <w:r>
        <w:t>[28]</w:t>
      </w:r>
      <w:r>
        <w:tab/>
      </w:r>
      <w:r w:rsidR="008B711F">
        <w:t xml:space="preserve">The court in the matter of </w:t>
      </w:r>
      <w:r w:rsidR="008B711F" w:rsidRPr="0093457D">
        <w:rPr>
          <w:i/>
          <w:iCs/>
        </w:rPr>
        <w:t>T-Systems (Pty) Ltd</w:t>
      </w:r>
      <w:r w:rsidR="00360D35" w:rsidRPr="0093457D">
        <w:rPr>
          <w:i/>
          <w:iCs/>
        </w:rPr>
        <w:t xml:space="preserve"> v BDM Technology Services</w:t>
      </w:r>
      <w:r w:rsidR="00C66714" w:rsidRPr="0093457D">
        <w:rPr>
          <w:i/>
          <w:iCs/>
        </w:rPr>
        <w:t xml:space="preserve"> (Pty) </w:t>
      </w:r>
      <w:r w:rsidR="00C66714">
        <w:t>Ltd 2020 JDR</w:t>
      </w:r>
      <w:r w:rsidR="00C56398">
        <w:t xml:space="preserve"> 2086 (GJ)</w:t>
      </w:r>
      <w:r w:rsidR="005744A9">
        <w:t xml:space="preserve"> also</w:t>
      </w:r>
      <w:r w:rsidR="0026060D">
        <w:t xml:space="preserve"> had to deal with an application in terms of rule 30</w:t>
      </w:r>
      <w:r w:rsidR="00B7478A">
        <w:t xml:space="preserve">, where it was sought to set aside a summary judgment application, </w:t>
      </w:r>
      <w:r w:rsidR="00B7478A" w:rsidRPr="002B17D4">
        <w:rPr>
          <w:i/>
          <w:iCs/>
        </w:rPr>
        <w:t>inter-alia</w:t>
      </w:r>
      <w:r w:rsidR="00B7478A">
        <w:t xml:space="preserve">, on the basis that the affidavit </w:t>
      </w:r>
      <w:r w:rsidR="005C6A47">
        <w:t>supporting the application for summary judgment had exceeded its permissible ambit</w:t>
      </w:r>
      <w:r w:rsidR="00384378">
        <w:t>.</w:t>
      </w:r>
      <w:r w:rsidR="00007D2C">
        <w:t xml:space="preserve">  In dismissing the </w:t>
      </w:r>
      <w:r w:rsidR="0017382D">
        <w:t>application,</w:t>
      </w:r>
      <w:r w:rsidR="008D2D62">
        <w:t xml:space="preserve"> the court expressed itself as follows:</w:t>
      </w:r>
    </w:p>
    <w:p w14:paraId="566BD4A9" w14:textId="5E1C8A73" w:rsidR="008D2D62" w:rsidRDefault="008D2D62" w:rsidP="003A4212">
      <w:pPr>
        <w:pStyle w:val="H1"/>
        <w:numPr>
          <w:ilvl w:val="0"/>
          <w:numId w:val="0"/>
        </w:numPr>
        <w:spacing w:after="480"/>
        <w:ind w:left="567"/>
        <w:rPr>
          <w:sz w:val="22"/>
        </w:rPr>
      </w:pPr>
      <w:r>
        <w:rPr>
          <w:sz w:val="22"/>
        </w:rPr>
        <w:t>“[38]</w:t>
      </w:r>
      <w:r w:rsidR="00626558">
        <w:rPr>
          <w:sz w:val="22"/>
        </w:rPr>
        <w:t xml:space="preserve"> I disagree that the Rule 30 application is a suitable means of addressing the irregular</w:t>
      </w:r>
      <w:r w:rsidR="002B17D4">
        <w:rPr>
          <w:sz w:val="22"/>
        </w:rPr>
        <w:t>ities</w:t>
      </w:r>
      <w:r w:rsidR="00626558">
        <w:rPr>
          <w:sz w:val="22"/>
        </w:rPr>
        <w:t xml:space="preserve"> complained about.  Although dressed u</w:t>
      </w:r>
      <w:r w:rsidR="009F50FC">
        <w:rPr>
          <w:sz w:val="22"/>
        </w:rPr>
        <w:t>p as</w:t>
      </w:r>
      <w:r w:rsidR="00626558">
        <w:rPr>
          <w:sz w:val="22"/>
        </w:rPr>
        <w:t xml:space="preserve"> procedural issues, the objections</w:t>
      </w:r>
      <w:r w:rsidR="00565B15">
        <w:rPr>
          <w:sz w:val="22"/>
        </w:rPr>
        <w:t xml:space="preserve"> are substantial in nature.  </w:t>
      </w:r>
      <w:r w:rsidR="00881335">
        <w:rPr>
          <w:sz w:val="22"/>
        </w:rPr>
        <w:t>I do n</w:t>
      </w:r>
      <w:r w:rsidR="00565B15">
        <w:rPr>
          <w:sz w:val="22"/>
        </w:rPr>
        <w:t xml:space="preserve">ot believe the approach </w:t>
      </w:r>
      <w:r w:rsidR="00F21E51">
        <w:rPr>
          <w:sz w:val="22"/>
        </w:rPr>
        <w:t>is consistent</w:t>
      </w:r>
      <w:r w:rsidR="00565B15">
        <w:rPr>
          <w:sz w:val="22"/>
        </w:rPr>
        <w:t xml:space="preserve"> with the purpose of Rule 30.  It would </w:t>
      </w:r>
      <w:r w:rsidR="00565B15">
        <w:rPr>
          <w:sz w:val="22"/>
        </w:rPr>
        <w:lastRenderedPageBreak/>
        <w:t>undermine the essence of the summary judgment procedure.  I would discourage this approach, which delays the resolution</w:t>
      </w:r>
      <w:r w:rsidR="00C430D1">
        <w:rPr>
          <w:sz w:val="22"/>
        </w:rPr>
        <w:t xml:space="preserve"> of summary judgment applications in real-time.</w:t>
      </w:r>
      <w:r w:rsidR="0093457D">
        <w:rPr>
          <w:sz w:val="22"/>
        </w:rPr>
        <w:t>”</w:t>
      </w:r>
    </w:p>
    <w:p w14:paraId="3C50F642" w14:textId="2CD6B969" w:rsidR="001630EE" w:rsidRDefault="003A260D" w:rsidP="003A260D">
      <w:pPr>
        <w:pStyle w:val="H1"/>
        <w:numPr>
          <w:ilvl w:val="0"/>
          <w:numId w:val="0"/>
        </w:numPr>
        <w:spacing w:after="480"/>
        <w:ind w:left="567" w:hanging="567"/>
      </w:pPr>
      <w:r>
        <w:t>[29]</w:t>
      </w:r>
      <w:r>
        <w:tab/>
      </w:r>
      <w:r w:rsidR="00BC0B66">
        <w:t xml:space="preserve">I agree with </w:t>
      </w:r>
      <w:r w:rsidR="00191284">
        <w:t>the</w:t>
      </w:r>
      <w:r w:rsidR="00BC0B66">
        <w:t xml:space="preserve"> finding </w:t>
      </w:r>
      <w:r w:rsidR="005C0A7B">
        <w:t xml:space="preserve">in the </w:t>
      </w:r>
      <w:r w:rsidR="00191284" w:rsidRPr="005C0A7B">
        <w:rPr>
          <w:i/>
          <w:iCs/>
        </w:rPr>
        <w:t>T-Systems</w:t>
      </w:r>
      <w:r w:rsidR="00191284">
        <w:t xml:space="preserve"> matter</w:t>
      </w:r>
      <w:r w:rsidR="005C0A7B">
        <w:t>.</w:t>
      </w:r>
      <w:r w:rsidR="00616B10">
        <w:t xml:space="preserve">  In associating myself with the remarks in the above-quoted passage</w:t>
      </w:r>
      <w:r w:rsidR="00802F90">
        <w:t>, I add the following:</w:t>
      </w:r>
    </w:p>
    <w:p w14:paraId="2500217F" w14:textId="546B20D0" w:rsidR="00802F90" w:rsidRDefault="003A260D" w:rsidP="003A260D">
      <w:pPr>
        <w:pStyle w:val="H2"/>
        <w:numPr>
          <w:ilvl w:val="0"/>
          <w:numId w:val="0"/>
        </w:numPr>
        <w:spacing w:after="480"/>
        <w:ind w:left="1418" w:hanging="851"/>
      </w:pPr>
      <w:r>
        <w:t>29.1.</w:t>
      </w:r>
      <w:r>
        <w:tab/>
      </w:r>
      <w:r w:rsidR="00A701E6">
        <w:t>t</w:t>
      </w:r>
      <w:r w:rsidR="00960EA1">
        <w:t>he</w:t>
      </w:r>
      <w:r w:rsidR="0068297E">
        <w:t xml:space="preserve"> </w:t>
      </w:r>
      <w:r w:rsidR="0068297E" w:rsidRPr="00A701E6">
        <w:rPr>
          <w:i/>
          <w:iCs/>
        </w:rPr>
        <w:t xml:space="preserve">T-Systems </w:t>
      </w:r>
      <w:r w:rsidR="0068297E">
        <w:t xml:space="preserve">judgment fortifies my conclusion that the requirements </w:t>
      </w:r>
      <w:r w:rsidR="00E64452">
        <w:t>of sub-rule</w:t>
      </w:r>
      <w:r w:rsidR="005324C8">
        <w:t xml:space="preserve"> 32(2)(b) are substantive requirements and not merely formal</w:t>
      </w:r>
      <w:r w:rsidR="00DB3554">
        <w:t>;</w:t>
      </w:r>
    </w:p>
    <w:p w14:paraId="233F8B70" w14:textId="0BF1C04E" w:rsidR="00CE270A" w:rsidRDefault="003A260D" w:rsidP="003A260D">
      <w:pPr>
        <w:pStyle w:val="H2"/>
        <w:numPr>
          <w:ilvl w:val="0"/>
          <w:numId w:val="0"/>
        </w:numPr>
        <w:spacing w:after="480"/>
        <w:ind w:left="1418" w:hanging="851"/>
      </w:pPr>
      <w:r>
        <w:t>29.2.</w:t>
      </w:r>
      <w:r>
        <w:tab/>
      </w:r>
      <w:r w:rsidR="00CE270A">
        <w:t>rule 30</w:t>
      </w:r>
      <w:r w:rsidR="00F2749C">
        <w:t xml:space="preserve"> </w:t>
      </w:r>
      <w:r w:rsidR="0027706A">
        <w:t>is</w:t>
      </w:r>
      <w:r w:rsidR="002B17D4">
        <w:t xml:space="preserve"> therefore</w:t>
      </w:r>
      <w:r w:rsidR="0027706A">
        <w:t xml:space="preserve"> not the </w:t>
      </w:r>
      <w:r w:rsidR="00F2749C">
        <w:t>appropriate procedural mechanism to address complaints that affidavit</w:t>
      </w:r>
      <w:r w:rsidR="00B14ED4">
        <w:t>s</w:t>
      </w:r>
      <w:r w:rsidR="00F2749C">
        <w:t xml:space="preserve"> supporting summary judgment applications</w:t>
      </w:r>
      <w:r w:rsidR="00605706">
        <w:t xml:space="preserve"> exceed the </w:t>
      </w:r>
      <w:r w:rsidR="00FA7DDE">
        <w:t>ambit of what is</w:t>
      </w:r>
      <w:r w:rsidR="00337858">
        <w:t xml:space="preserve"> the</w:t>
      </w:r>
      <w:r w:rsidR="00FA7DDE">
        <w:t xml:space="preserve"> permissible</w:t>
      </w:r>
      <w:r w:rsidR="00337858">
        <w:t xml:space="preserve"> content of such affidavits</w:t>
      </w:r>
      <w:r w:rsidR="0027706A">
        <w:t>;</w:t>
      </w:r>
    </w:p>
    <w:p w14:paraId="6CD28986" w14:textId="70085D57" w:rsidR="0027706A" w:rsidRDefault="003A260D" w:rsidP="003A260D">
      <w:pPr>
        <w:pStyle w:val="H2"/>
        <w:numPr>
          <w:ilvl w:val="0"/>
          <w:numId w:val="0"/>
        </w:numPr>
        <w:spacing w:after="480"/>
        <w:ind w:left="1418" w:hanging="851"/>
      </w:pPr>
      <w:r>
        <w:t>29.3.</w:t>
      </w:r>
      <w:r>
        <w:tab/>
      </w:r>
      <w:r w:rsidR="00EF31D6">
        <w:t xml:space="preserve">complaints as to whether the supporting affidavits in summary judgment proceedings </w:t>
      </w:r>
      <w:r w:rsidR="00A07DAF">
        <w:t>h</w:t>
      </w:r>
      <w:r w:rsidR="00EF31D6">
        <w:t>a</w:t>
      </w:r>
      <w:r w:rsidR="00A07DAF">
        <w:t>ve</w:t>
      </w:r>
      <w:r w:rsidR="00EF31D6">
        <w:t xml:space="preserve"> exceeded the permissible ambit</w:t>
      </w:r>
      <w:r w:rsidR="00C454D1">
        <w:t xml:space="preserve"> are more appropriately addressed when the summary judgment application is argued</w:t>
      </w:r>
      <w:r w:rsidR="005B7442">
        <w:t>.</w:t>
      </w:r>
      <w:r w:rsidR="00BD71BD">
        <w:t xml:space="preserve">  It would be open to a defendant</w:t>
      </w:r>
      <w:r w:rsidR="00422468">
        <w:t xml:space="preserve"> to apply for allegedly offensive portions of the founding affidavit to be struck out alternatively to submit to the court hearing the summary </w:t>
      </w:r>
      <w:r w:rsidR="00AD1D02">
        <w:t>j</w:t>
      </w:r>
      <w:r w:rsidR="00422468">
        <w:t>udgment application that they be ignored</w:t>
      </w:r>
      <w:r w:rsidR="00CF5EB1">
        <w:t>;</w:t>
      </w:r>
    </w:p>
    <w:p w14:paraId="7CB283F1" w14:textId="680056A1" w:rsidR="00A90965" w:rsidRDefault="003A260D" w:rsidP="003A260D">
      <w:pPr>
        <w:pStyle w:val="H2"/>
        <w:numPr>
          <w:ilvl w:val="0"/>
          <w:numId w:val="0"/>
        </w:numPr>
        <w:spacing w:after="480"/>
        <w:ind w:left="1418" w:hanging="851"/>
      </w:pPr>
      <w:r>
        <w:t>29.4.</w:t>
      </w:r>
      <w:r>
        <w:tab/>
      </w:r>
      <w:r w:rsidR="00ED259B">
        <w:t>the overriding consideration</w:t>
      </w:r>
      <w:r w:rsidR="00954974">
        <w:t xml:space="preserve"> that a defendant in summary judgment proceedings must demonstrate the existence of a </w:t>
      </w:r>
      <w:r w:rsidR="00954974" w:rsidRPr="00954974">
        <w:rPr>
          <w:i/>
          <w:iCs/>
        </w:rPr>
        <w:t>bona fide</w:t>
      </w:r>
      <w:r w:rsidR="00954974">
        <w:t xml:space="preserve"> defence</w:t>
      </w:r>
      <w:r w:rsidR="004B6DA1">
        <w:t xml:space="preserve"> remains</w:t>
      </w:r>
      <w:r w:rsidR="00871DE4">
        <w:t xml:space="preserve"> unaltered by the amended summary judgment procedure.</w:t>
      </w:r>
      <w:r w:rsidR="006F1DA0">
        <w:t xml:space="preserve">  This requires a defendant to deal </w:t>
      </w:r>
      <w:r w:rsidR="005C1A61">
        <w:t xml:space="preserve">even </w:t>
      </w:r>
      <w:r w:rsidR="006F1DA0">
        <w:t>with argument</w:t>
      </w:r>
      <w:r w:rsidR="006B2C0C">
        <w:t>ative</w:t>
      </w:r>
      <w:r w:rsidR="006F1DA0">
        <w:t xml:space="preserve"> material in the plaintiff’s supporting affidavit</w:t>
      </w:r>
      <w:r w:rsidR="009A1C43">
        <w:t>.</w:t>
      </w:r>
      <w:r w:rsidR="00390746">
        <w:t xml:space="preserve"> This should not occasion a problem for a defendant</w:t>
      </w:r>
      <w:r w:rsidR="00580F84">
        <w:t xml:space="preserve"> with a </w:t>
      </w:r>
      <w:r w:rsidR="00580F84">
        <w:rPr>
          <w:i/>
          <w:iCs/>
        </w:rPr>
        <w:t>bona fide</w:t>
      </w:r>
      <w:r w:rsidR="00580F84">
        <w:t xml:space="preserve"> </w:t>
      </w:r>
      <w:r w:rsidR="00580F84">
        <w:lastRenderedPageBreak/>
        <w:t>defence</w:t>
      </w:r>
      <w:r w:rsidR="00F16C7D">
        <w:t>.</w:t>
      </w:r>
      <w:r w:rsidR="009A1C43">
        <w:t xml:space="preserve">  If it fails to do so</w:t>
      </w:r>
      <w:r w:rsidR="0061214F">
        <w:t>,</w:t>
      </w:r>
      <w:r w:rsidR="009A1C43">
        <w:t xml:space="preserve"> it does </w:t>
      </w:r>
      <w:r w:rsidR="00F16C7D">
        <w:t xml:space="preserve">so </w:t>
      </w:r>
      <w:r w:rsidR="009A1C43">
        <w:t>at its peril</w:t>
      </w:r>
      <w:r w:rsidR="00901D9B">
        <w:t>.</w:t>
      </w:r>
      <w:r w:rsidR="004C4017">
        <w:t xml:space="preserve"> </w:t>
      </w:r>
      <w:r w:rsidR="004C4017">
        <w:rPr>
          <w:i/>
          <w:iCs/>
        </w:rPr>
        <w:t xml:space="preserve">Tumileng Trading CC v </w:t>
      </w:r>
      <w:r w:rsidR="003B4AE3">
        <w:rPr>
          <w:i/>
          <w:iCs/>
        </w:rPr>
        <w:t xml:space="preserve">National Security and Fire </w:t>
      </w:r>
      <w:r w:rsidR="00A74A26">
        <w:rPr>
          <w:i/>
          <w:iCs/>
        </w:rPr>
        <w:t>(Pty) Ltd</w:t>
      </w:r>
      <w:r w:rsidR="00A74A26">
        <w:t xml:space="preserve"> 2020 (6) </w:t>
      </w:r>
      <w:r w:rsidR="00916D6A">
        <w:t>SA 624 (WCC)</w:t>
      </w:r>
      <w:r w:rsidR="002B17D4">
        <w:t xml:space="preserve"> at [41]</w:t>
      </w:r>
      <w:r w:rsidR="00A90965">
        <w:t>;</w:t>
      </w:r>
    </w:p>
    <w:p w14:paraId="2E98AF31" w14:textId="5715523A" w:rsidR="00EE0C2D" w:rsidRDefault="003A260D" w:rsidP="003A260D">
      <w:pPr>
        <w:pStyle w:val="H2"/>
        <w:numPr>
          <w:ilvl w:val="0"/>
          <w:numId w:val="0"/>
        </w:numPr>
        <w:spacing w:after="480"/>
        <w:ind w:left="1418" w:hanging="851"/>
      </w:pPr>
      <w:r>
        <w:t>29.5.</w:t>
      </w:r>
      <w:r>
        <w:tab/>
      </w:r>
      <w:r w:rsidR="00A90965">
        <w:t>t</w:t>
      </w:r>
      <w:r w:rsidR="00901D9B">
        <w:t>he court hearing the summary judgment application</w:t>
      </w:r>
      <w:r w:rsidR="0073571F">
        <w:t xml:space="preserve"> is equally</w:t>
      </w:r>
      <w:r w:rsidR="00AD1D02">
        <w:t>, if not better,</w:t>
      </w:r>
      <w:r w:rsidR="0073571F">
        <w:t xml:space="preserve"> able to discern whether the plaintiff’s supporting affidavit amounts to an abuse of the process of the court and exceeds the permissible ambit of the sub-rule</w:t>
      </w:r>
      <w:r w:rsidR="00922999">
        <w:t>;</w:t>
      </w:r>
    </w:p>
    <w:p w14:paraId="12D9092A" w14:textId="4DABE8F8" w:rsidR="00922999" w:rsidRDefault="003A260D" w:rsidP="003A260D">
      <w:pPr>
        <w:pStyle w:val="H2"/>
        <w:numPr>
          <w:ilvl w:val="0"/>
          <w:numId w:val="0"/>
        </w:numPr>
        <w:spacing w:after="480"/>
        <w:ind w:left="1418" w:hanging="851"/>
      </w:pPr>
      <w:r>
        <w:t>29.6.</w:t>
      </w:r>
      <w:r>
        <w:tab/>
      </w:r>
      <w:r w:rsidR="00922999">
        <w:t>as a matter of policy</w:t>
      </w:r>
      <w:r w:rsidR="00CF4897">
        <w:t>,</w:t>
      </w:r>
      <w:r w:rsidR="00FD00D0">
        <w:t xml:space="preserve"> applications</w:t>
      </w:r>
      <w:r w:rsidR="00CF4897">
        <w:t xml:space="preserve"> brought</w:t>
      </w:r>
      <w:r w:rsidR="00FD00D0">
        <w:t xml:space="preserve"> in terms of rule 3</w:t>
      </w:r>
      <w:r w:rsidR="00426688">
        <w:t>0</w:t>
      </w:r>
      <w:r w:rsidR="00FD00D0">
        <w:t xml:space="preserve"> to address substantive </w:t>
      </w:r>
      <w:r w:rsidR="00426688">
        <w:t>shortcoming</w:t>
      </w:r>
      <w:r w:rsidR="002B17D4">
        <w:t>s</w:t>
      </w:r>
      <w:r w:rsidR="00FD00D0">
        <w:t xml:space="preserve"> in </w:t>
      </w:r>
      <w:r w:rsidR="00426688">
        <w:t>a</w:t>
      </w:r>
      <w:r w:rsidR="00FD00D0">
        <w:t xml:space="preserve"> summary judgment application</w:t>
      </w:r>
      <w:r w:rsidR="001A6058">
        <w:t xml:space="preserve"> must be discouraged</w:t>
      </w:r>
      <w:r w:rsidR="00A75A89">
        <w:t>.  Such applications will interminably</w:t>
      </w:r>
      <w:r w:rsidR="00067AE1">
        <w:t xml:space="preserve"> de</w:t>
      </w:r>
      <w:r w:rsidR="006252B0">
        <w:t>lay the completion of summary judgment applications</w:t>
      </w:r>
      <w:r w:rsidR="00A72F57">
        <w:t xml:space="preserve"> and frustrate the purpose of summary judgment proceedings</w:t>
      </w:r>
      <w:r w:rsidR="006258E5">
        <w:t xml:space="preserve"> </w:t>
      </w:r>
      <w:r w:rsidR="00AD1D02">
        <w:t>which</w:t>
      </w:r>
      <w:r w:rsidR="00355F1E">
        <w:t>,</w:t>
      </w:r>
      <w:r w:rsidR="00A72F57">
        <w:t xml:space="preserve"> in appropriate circumstances</w:t>
      </w:r>
      <w:r w:rsidR="006258E5">
        <w:t>,</w:t>
      </w:r>
      <w:r w:rsidR="0088638B">
        <w:t xml:space="preserve"> </w:t>
      </w:r>
      <w:r w:rsidR="00A15D96">
        <w:t xml:space="preserve">is </w:t>
      </w:r>
      <w:r w:rsidR="0088638B">
        <w:t>to bring a speedy conclusion to litigation in cases</w:t>
      </w:r>
      <w:r w:rsidR="004B372C">
        <w:t xml:space="preserve"> where defendants have no prospects of avoiding the plaintiff’s claim </w:t>
      </w:r>
      <w:r w:rsidR="007B0005">
        <w:t>and have entered an</w:t>
      </w:r>
      <w:r w:rsidR="004B372C">
        <w:t xml:space="preserve"> appearance to defend merely to delay.</w:t>
      </w:r>
      <w:r w:rsidR="00127894">
        <w:t xml:space="preserve">  In the context of the present matter</w:t>
      </w:r>
      <w:r w:rsidR="00545777">
        <w:t xml:space="preserve"> and </w:t>
      </w:r>
      <w:r w:rsidR="002B17D4">
        <w:t>from</w:t>
      </w:r>
      <w:r w:rsidR="00545777">
        <w:t xml:space="preserve"> the litigation history set out above it is apparent that more than a year after the plaintiff instituted its action the matter </w:t>
      </w:r>
      <w:r w:rsidR="00757289">
        <w:t>remains</w:t>
      </w:r>
      <w:r w:rsidR="00545777">
        <w:t xml:space="preserve"> bogged down in an opposed interlocutory dispute</w:t>
      </w:r>
      <w:r w:rsidR="006C2B8A">
        <w:t>;</w:t>
      </w:r>
    </w:p>
    <w:p w14:paraId="371D3817" w14:textId="7D94B9E1" w:rsidR="006C2B8A" w:rsidRPr="0086545D" w:rsidRDefault="003A260D" w:rsidP="003A260D">
      <w:pPr>
        <w:pStyle w:val="H2"/>
        <w:numPr>
          <w:ilvl w:val="0"/>
          <w:numId w:val="0"/>
        </w:numPr>
        <w:spacing w:after="480"/>
        <w:ind w:left="1418" w:hanging="851"/>
      </w:pPr>
      <w:r w:rsidRPr="0086545D">
        <w:t>29.7.</w:t>
      </w:r>
      <w:r w:rsidRPr="0086545D">
        <w:tab/>
      </w:r>
      <w:r w:rsidR="006C2B8A">
        <w:t>the relief</w:t>
      </w:r>
      <w:r w:rsidR="00733E7C">
        <w:t xml:space="preserve"> the defendant proposes in the rule 30 application (no doubt</w:t>
      </w:r>
      <w:r w:rsidR="00003702">
        <w:t xml:space="preserve"> </w:t>
      </w:r>
      <w:r w:rsidR="008154CD">
        <w:t>so</w:t>
      </w:r>
      <w:r w:rsidR="002B17D4">
        <w:t xml:space="preserve"> </w:t>
      </w:r>
      <w:r w:rsidR="00003702">
        <w:t>framed</w:t>
      </w:r>
      <w:r w:rsidR="00733E7C">
        <w:t xml:space="preserve"> to address the concern expressed in</w:t>
      </w:r>
      <w:r w:rsidR="00003702">
        <w:t xml:space="preserve"> in paragraph [37) of the </w:t>
      </w:r>
      <w:r w:rsidR="00003702">
        <w:rPr>
          <w:i/>
          <w:iCs/>
        </w:rPr>
        <w:t>T-Systems</w:t>
      </w:r>
      <w:r w:rsidR="00967FAD">
        <w:rPr>
          <w:iCs/>
        </w:rPr>
        <w:t xml:space="preserve"> judgment</w:t>
      </w:r>
      <w:r w:rsidR="00642842">
        <w:rPr>
          <w:iCs/>
        </w:rPr>
        <w:t>, where the defendant sought to bring an end to the summary judgment application by means of a rule 30 application)</w:t>
      </w:r>
      <w:r w:rsidR="001A662F">
        <w:rPr>
          <w:iCs/>
        </w:rPr>
        <w:t xml:space="preserve"> is not assured of achieving a speedy resolution of the summary judgment application.  It is quite possible</w:t>
      </w:r>
      <w:r w:rsidR="00815AF6">
        <w:rPr>
          <w:iCs/>
        </w:rPr>
        <w:t xml:space="preserve"> that the defendant may again object to the re-formulated supporting affidavit, leading to yet more delays</w:t>
      </w:r>
      <w:r w:rsidR="00C65D01">
        <w:rPr>
          <w:iCs/>
        </w:rPr>
        <w:t>.</w:t>
      </w:r>
    </w:p>
    <w:p w14:paraId="2466EBF8" w14:textId="444A9DCE" w:rsidR="00DC636E" w:rsidRPr="00DC636E" w:rsidRDefault="003A260D" w:rsidP="003A260D">
      <w:pPr>
        <w:pStyle w:val="H1"/>
        <w:numPr>
          <w:ilvl w:val="0"/>
          <w:numId w:val="0"/>
        </w:numPr>
        <w:spacing w:after="480"/>
        <w:ind w:left="567" w:hanging="567"/>
      </w:pPr>
      <w:r w:rsidRPr="00DC636E">
        <w:lastRenderedPageBreak/>
        <w:t>[30]</w:t>
      </w:r>
      <w:r w:rsidRPr="00DC636E">
        <w:tab/>
      </w:r>
      <w:r w:rsidR="00480680">
        <w:t>Rule 30 applications were brought in two matters in the Cape Town High Court where the respective plaintiffs sought summary judgment</w:t>
      </w:r>
      <w:r w:rsidR="00C4772D">
        <w:t xml:space="preserve"> in terms of the amended rule 32</w:t>
      </w:r>
      <w:r w:rsidR="00480680">
        <w:t>.  The rule 30 applications in those matters were brought to in an attempt to set aside the summary judgment application as the plaintiffs in both matters, contemporaneously with the delivery of the summary judgment applications, had delivered replications.  The defendants contended that the delivery of the replications constituted a waiver of the right to apply for summary judgment.  The rule 30 applications in those matters were not addressed at the substantive requirements of sub-rule 32(2)(b)</w:t>
      </w:r>
      <w:r w:rsidR="00DC636E">
        <w:t xml:space="preserve"> and are therefore distinguishable from this matter.  </w:t>
      </w:r>
      <w:r w:rsidR="00DC636E" w:rsidRPr="00DC636E">
        <w:rPr>
          <w:i/>
          <w:iCs/>
        </w:rPr>
        <w:t>Quatro Citrus (Pty) Ltd v F&amp;E Distributors (Pty) Ltd t/a Cape Crops</w:t>
      </w:r>
      <w:r w:rsidR="00DC636E" w:rsidRPr="00DC636E">
        <w:t xml:space="preserve"> [2021] JOL 49833 (WCC)</w:t>
      </w:r>
      <w:r w:rsidR="00DC636E">
        <w:t xml:space="preserve"> and </w:t>
      </w:r>
      <w:r w:rsidR="00DC636E">
        <w:rPr>
          <w:i/>
          <w:iCs/>
        </w:rPr>
        <w:t xml:space="preserve">Ingenuity Property Investments (Pty) Ltd v Ignite Fitness (Pty) Ltd </w:t>
      </w:r>
      <w:r w:rsidR="00DC636E">
        <w:t>[2023] ZAWCHC 129 (29 May 2023).</w:t>
      </w:r>
    </w:p>
    <w:p w14:paraId="4F93C088" w14:textId="4B317B0E" w:rsidR="007C4B51" w:rsidRDefault="003A260D" w:rsidP="003A260D">
      <w:pPr>
        <w:pStyle w:val="H1"/>
        <w:numPr>
          <w:ilvl w:val="0"/>
          <w:numId w:val="0"/>
        </w:numPr>
        <w:spacing w:after="480"/>
        <w:ind w:left="567" w:hanging="567"/>
      </w:pPr>
      <w:r>
        <w:t>[31]</w:t>
      </w:r>
      <w:r>
        <w:tab/>
      </w:r>
      <w:r w:rsidR="00565952">
        <w:t>I therefore conclude that rule 30 is not the appropriate procedural mechanism to address complaints</w:t>
      </w:r>
      <w:r w:rsidR="00022B3E">
        <w:t xml:space="preserve"> regarding the substantive requirements </w:t>
      </w:r>
      <w:r w:rsidR="002B17D4">
        <w:t>of su</w:t>
      </w:r>
      <w:r w:rsidR="009118C6">
        <w:t>b-</w:t>
      </w:r>
      <w:r w:rsidR="002B17D4">
        <w:t>rule 33(2)(b)</w:t>
      </w:r>
      <w:r w:rsidR="00022B3E">
        <w:t>.  My conclusion</w:t>
      </w:r>
      <w:r w:rsidR="00524E50">
        <w:t xml:space="preserve"> </w:t>
      </w:r>
      <w:r w:rsidR="009118C6">
        <w:t xml:space="preserve">thus </w:t>
      </w:r>
      <w:r w:rsidR="00524E50">
        <w:t>disposes of the rule 30 application.</w:t>
      </w:r>
      <w:r w:rsidR="00C93855">
        <w:t xml:space="preserve">  </w:t>
      </w:r>
    </w:p>
    <w:p w14:paraId="72B4B71C" w14:textId="236A970C" w:rsidR="0086545D" w:rsidRPr="00BC2367" w:rsidRDefault="003A260D" w:rsidP="003A260D">
      <w:pPr>
        <w:pStyle w:val="H1"/>
        <w:numPr>
          <w:ilvl w:val="0"/>
          <w:numId w:val="0"/>
        </w:numPr>
        <w:spacing w:after="480"/>
        <w:ind w:left="567" w:hanging="567"/>
      </w:pPr>
      <w:r w:rsidRPr="00BC2367">
        <w:t>[32]</w:t>
      </w:r>
      <w:r w:rsidRPr="00BC2367">
        <w:tab/>
      </w:r>
      <w:r w:rsidR="00C93855">
        <w:t>In reaching this conclusion</w:t>
      </w:r>
      <w:r w:rsidR="003137A4">
        <w:t xml:space="preserve"> I have deliberately not expressed any opinion on whether the plaintiff’s affidavit supporting it</w:t>
      </w:r>
      <w:r w:rsidR="009A67C2">
        <w:t>s</w:t>
      </w:r>
      <w:r w:rsidR="003137A4">
        <w:t xml:space="preserve"> summary judgment application</w:t>
      </w:r>
      <w:r w:rsidR="00C55870">
        <w:t xml:space="preserve"> meets the substantive requirements of sub-rule 32(2)(b)</w:t>
      </w:r>
      <w:r w:rsidR="004548E1">
        <w:t xml:space="preserve"> or on the merits of the defendant’s complaints</w:t>
      </w:r>
      <w:r w:rsidR="00F33A9C">
        <w:t xml:space="preserve"> and contentions that the affidavit does not meet those requirements.</w:t>
      </w:r>
      <w:r w:rsidR="00B55932">
        <w:t xml:space="preserve">  Those</w:t>
      </w:r>
      <w:r w:rsidR="00B9114C">
        <w:t xml:space="preserve"> issues</w:t>
      </w:r>
      <w:r w:rsidR="00B55932">
        <w:t xml:space="preserve"> </w:t>
      </w:r>
      <w:r w:rsidR="006C7EA6">
        <w:t>must be</w:t>
      </w:r>
      <w:r w:rsidR="00B55932">
        <w:t xml:space="preserve"> left for the determination of the court hearing the summary judgment application.</w:t>
      </w:r>
    </w:p>
    <w:p w14:paraId="0BD59ED7" w14:textId="7AE44CFE" w:rsidR="00BC2367" w:rsidRDefault="003A260D" w:rsidP="003A260D">
      <w:pPr>
        <w:pStyle w:val="H1"/>
        <w:numPr>
          <w:ilvl w:val="0"/>
          <w:numId w:val="0"/>
        </w:numPr>
        <w:spacing w:after="480"/>
        <w:ind w:left="567" w:hanging="567"/>
      </w:pPr>
      <w:r>
        <w:lastRenderedPageBreak/>
        <w:t>[33]</w:t>
      </w:r>
      <w:r>
        <w:tab/>
      </w:r>
      <w:r w:rsidR="0005595E">
        <w:t>For the</w:t>
      </w:r>
      <w:r w:rsidR="004838C9">
        <w:t>se</w:t>
      </w:r>
      <w:r w:rsidR="0005595E">
        <w:t xml:space="preserve"> reasons the rule 30 application must be dismissed</w:t>
      </w:r>
      <w:r w:rsidR="009B3CD0">
        <w:t xml:space="preserve"> with costs.</w:t>
      </w:r>
      <w:r w:rsidR="00311FFF">
        <w:t xml:space="preserve">  Given that this matter raised novel issues, which were not without complexity I consider that it was justified for the</w:t>
      </w:r>
      <w:r w:rsidR="0006005F">
        <w:t xml:space="preserve"> plaintiff to employ the services of two counsel.</w:t>
      </w:r>
    </w:p>
    <w:p w14:paraId="5FF69229" w14:textId="49025CDD" w:rsidR="0005595E" w:rsidRDefault="0078641C" w:rsidP="003A4212">
      <w:pPr>
        <w:pStyle w:val="H1"/>
        <w:numPr>
          <w:ilvl w:val="0"/>
          <w:numId w:val="0"/>
        </w:numPr>
        <w:spacing w:after="480"/>
        <w:rPr>
          <w:b/>
          <w:bCs/>
          <w:u w:val="single"/>
        </w:rPr>
      </w:pPr>
      <w:r>
        <w:rPr>
          <w:b/>
          <w:bCs/>
          <w:u w:val="single"/>
        </w:rPr>
        <w:t>Order</w:t>
      </w:r>
    </w:p>
    <w:p w14:paraId="46674447" w14:textId="15C3280E" w:rsidR="0078641C" w:rsidRDefault="003A260D" w:rsidP="003A260D">
      <w:pPr>
        <w:pStyle w:val="H1"/>
        <w:numPr>
          <w:ilvl w:val="0"/>
          <w:numId w:val="0"/>
        </w:numPr>
        <w:spacing w:after="480"/>
        <w:ind w:left="567" w:hanging="567"/>
      </w:pPr>
      <w:r>
        <w:t>[34]</w:t>
      </w:r>
      <w:r>
        <w:tab/>
      </w:r>
      <w:r w:rsidR="0078641C">
        <w:t>Thus, I make the following order:</w:t>
      </w:r>
    </w:p>
    <w:p w14:paraId="5AB0D6CF" w14:textId="2AC2FF26" w:rsidR="0078641C" w:rsidRDefault="003A260D" w:rsidP="003A260D">
      <w:pPr>
        <w:pStyle w:val="H1"/>
        <w:numPr>
          <w:ilvl w:val="0"/>
          <w:numId w:val="0"/>
        </w:numPr>
        <w:spacing w:after="480"/>
        <w:ind w:left="1287" w:hanging="360"/>
      </w:pPr>
      <w:r>
        <w:t>1.</w:t>
      </w:r>
      <w:r>
        <w:tab/>
      </w:r>
      <w:r w:rsidR="0006005F">
        <w:t>The</w:t>
      </w:r>
      <w:r w:rsidR="008678D7">
        <w:t xml:space="preserve"> rule 30 application</w:t>
      </w:r>
      <w:r w:rsidR="00E07A63">
        <w:t xml:space="preserve"> is dismissed with costs, such costs </w:t>
      </w:r>
      <w:r w:rsidR="00D57C74">
        <w:t xml:space="preserve">to </w:t>
      </w:r>
      <w:r w:rsidR="00E07A63">
        <w:t>include the costs attendant on the employment of two counsel.</w:t>
      </w:r>
    </w:p>
    <w:p w14:paraId="00D2B904" w14:textId="1166AB36" w:rsidR="00E07A63" w:rsidRPr="0078641C" w:rsidRDefault="003A260D" w:rsidP="003A260D">
      <w:pPr>
        <w:pStyle w:val="H1"/>
        <w:numPr>
          <w:ilvl w:val="0"/>
          <w:numId w:val="0"/>
        </w:numPr>
        <w:spacing w:after="480"/>
        <w:ind w:left="1287" w:hanging="360"/>
      </w:pPr>
      <w:r w:rsidRPr="0078641C">
        <w:t>2.</w:t>
      </w:r>
      <w:r w:rsidRPr="0078641C">
        <w:tab/>
      </w:r>
      <w:r w:rsidR="00604275">
        <w:t>The defendant is directed to deliver its affidavit</w:t>
      </w:r>
      <w:r w:rsidR="00992257">
        <w:t xml:space="preserve"> opposing the summary judgment application within 15 days </w:t>
      </w:r>
      <w:r w:rsidR="0096370E">
        <w:t>of</w:t>
      </w:r>
      <w:r w:rsidR="00992257">
        <w:t xml:space="preserve"> the date of this order.</w:t>
      </w:r>
    </w:p>
    <w:p w14:paraId="0136606F" w14:textId="77777777" w:rsidR="00DE003E" w:rsidRPr="00DE003E" w:rsidRDefault="00DE003E" w:rsidP="003A4212">
      <w:pPr>
        <w:pStyle w:val="H1"/>
        <w:numPr>
          <w:ilvl w:val="0"/>
          <w:numId w:val="0"/>
        </w:numPr>
        <w:spacing w:after="480"/>
        <w:rPr>
          <w:b/>
          <w:bCs/>
          <w:i/>
          <w:iCs/>
          <w:u w:val="single"/>
        </w:rPr>
      </w:pPr>
    </w:p>
    <w:p w14:paraId="49C16F4C" w14:textId="436EC7E4" w:rsidR="003D18B9" w:rsidRDefault="003A4212" w:rsidP="003A4212">
      <w:pPr>
        <w:spacing w:after="240"/>
      </w:pPr>
      <w:r>
        <w:t>__________________________________</w:t>
      </w:r>
    </w:p>
    <w:p w14:paraId="1D1DC6BA" w14:textId="13207906" w:rsidR="005C7D79" w:rsidRPr="000160FF" w:rsidRDefault="005C7D79" w:rsidP="003A4212">
      <w:pPr>
        <w:spacing w:after="240"/>
        <w:ind w:right="567"/>
        <w:rPr>
          <w:rFonts w:cs="Tahoma"/>
          <w:b/>
          <w:szCs w:val="24"/>
        </w:rPr>
      </w:pPr>
      <w:r w:rsidRPr="000160FF">
        <w:rPr>
          <w:rFonts w:cs="Tahoma"/>
          <w:b/>
          <w:szCs w:val="24"/>
        </w:rPr>
        <w:t>O H RONAASEN</w:t>
      </w:r>
    </w:p>
    <w:p w14:paraId="6761CD1D" w14:textId="5C05534D" w:rsidR="005C7D79" w:rsidRDefault="005C7D79" w:rsidP="003A4212">
      <w:pPr>
        <w:spacing w:after="240"/>
        <w:ind w:right="567"/>
        <w:rPr>
          <w:rFonts w:cs="Tahoma"/>
          <w:b/>
          <w:szCs w:val="24"/>
        </w:rPr>
      </w:pPr>
      <w:r w:rsidRPr="000160FF">
        <w:rPr>
          <w:rFonts w:cs="Tahoma"/>
          <w:b/>
          <w:szCs w:val="24"/>
        </w:rPr>
        <w:t>ACTING JUDGE OF THE HIGH COURT</w:t>
      </w:r>
    </w:p>
    <w:p w14:paraId="0FF15AF0" w14:textId="77777777" w:rsidR="003A4212" w:rsidRDefault="003A4212" w:rsidP="003A4212">
      <w:pPr>
        <w:spacing w:after="240"/>
        <w:ind w:right="567"/>
        <w:rPr>
          <w:rFonts w:cs="Tahoma"/>
          <w:b/>
          <w:szCs w:val="24"/>
        </w:rPr>
      </w:pPr>
    </w:p>
    <w:p w14:paraId="655A9D9D" w14:textId="77777777" w:rsidR="00097343" w:rsidRDefault="00097343" w:rsidP="003A4212">
      <w:pPr>
        <w:spacing w:after="240"/>
        <w:ind w:right="567"/>
        <w:rPr>
          <w:rFonts w:cs="Tahoma"/>
          <w:b/>
          <w:szCs w:val="24"/>
        </w:rPr>
      </w:pPr>
    </w:p>
    <w:p w14:paraId="4DE16079" w14:textId="76C7C611" w:rsidR="00097343" w:rsidRDefault="00097343" w:rsidP="00097343">
      <w:pPr>
        <w:spacing w:after="120"/>
        <w:ind w:right="567"/>
        <w:rPr>
          <w:rFonts w:cs="Tahoma"/>
          <w:b/>
          <w:szCs w:val="24"/>
        </w:rPr>
      </w:pPr>
      <w:r>
        <w:rPr>
          <w:rFonts w:cs="Tahoma"/>
          <w:b/>
          <w:szCs w:val="24"/>
        </w:rPr>
        <w:t>Appearances:</w:t>
      </w:r>
      <w:r>
        <w:rPr>
          <w:rFonts w:cs="Tahoma"/>
          <w:b/>
          <w:szCs w:val="24"/>
        </w:rPr>
        <w:tab/>
      </w:r>
      <w:r>
        <w:rPr>
          <w:rFonts w:cs="Tahoma"/>
          <w:b/>
          <w:szCs w:val="24"/>
        </w:rPr>
        <w:tab/>
        <w:t xml:space="preserve">KD Williams for the applicant, </w:t>
      </w:r>
    </w:p>
    <w:p w14:paraId="5A3EE83C" w14:textId="21231695" w:rsidR="00097343" w:rsidRDefault="00097343" w:rsidP="00097343">
      <w:pPr>
        <w:spacing w:after="480" w:line="360" w:lineRule="auto"/>
        <w:ind w:left="2880" w:right="-35"/>
        <w:rPr>
          <w:rFonts w:cs="Tahoma"/>
          <w:b/>
          <w:szCs w:val="24"/>
        </w:rPr>
      </w:pPr>
      <w:r>
        <w:rPr>
          <w:rFonts w:cs="Tahoma"/>
          <w:b/>
          <w:szCs w:val="24"/>
        </w:rPr>
        <w:t xml:space="preserve">Instructed by Ryan Hall Attorneys (021 205 5320) c/o Tim van Rooyen Attorneys (081 787 4404) </w:t>
      </w:r>
    </w:p>
    <w:p w14:paraId="3A601D50" w14:textId="69067CB3" w:rsidR="00097343" w:rsidRDefault="00097343" w:rsidP="00097343">
      <w:pPr>
        <w:spacing w:after="120"/>
        <w:ind w:right="107"/>
        <w:rPr>
          <w:rFonts w:cs="Tahoma"/>
          <w:b/>
          <w:szCs w:val="24"/>
        </w:rPr>
      </w:pPr>
      <w:r>
        <w:rPr>
          <w:rFonts w:cs="Tahoma"/>
          <w:b/>
          <w:szCs w:val="24"/>
        </w:rPr>
        <w:tab/>
      </w:r>
      <w:r>
        <w:rPr>
          <w:rFonts w:cs="Tahoma"/>
          <w:b/>
          <w:szCs w:val="24"/>
        </w:rPr>
        <w:tab/>
      </w:r>
      <w:r>
        <w:rPr>
          <w:rFonts w:cs="Tahoma"/>
          <w:b/>
          <w:szCs w:val="24"/>
        </w:rPr>
        <w:tab/>
      </w:r>
      <w:r>
        <w:rPr>
          <w:rFonts w:cs="Tahoma"/>
          <w:b/>
          <w:szCs w:val="24"/>
        </w:rPr>
        <w:tab/>
        <w:t>JH Loots SC and JR Whitaker for the respondent,</w:t>
      </w:r>
    </w:p>
    <w:p w14:paraId="79CE3302" w14:textId="77777777" w:rsidR="00097343" w:rsidRDefault="00097343" w:rsidP="00097343">
      <w:pPr>
        <w:spacing w:after="120"/>
        <w:ind w:right="-34"/>
        <w:rPr>
          <w:rFonts w:cs="Tahoma"/>
          <w:b/>
          <w:szCs w:val="24"/>
        </w:rPr>
      </w:pPr>
      <w:r>
        <w:rPr>
          <w:rFonts w:cs="Tahoma"/>
          <w:b/>
          <w:szCs w:val="24"/>
        </w:rPr>
        <w:tab/>
      </w:r>
      <w:r>
        <w:rPr>
          <w:rFonts w:cs="Tahoma"/>
          <w:b/>
          <w:szCs w:val="24"/>
        </w:rPr>
        <w:tab/>
      </w:r>
      <w:r>
        <w:rPr>
          <w:rFonts w:cs="Tahoma"/>
          <w:b/>
          <w:szCs w:val="24"/>
        </w:rPr>
        <w:tab/>
      </w:r>
      <w:r>
        <w:rPr>
          <w:rFonts w:cs="Tahoma"/>
          <w:b/>
          <w:szCs w:val="24"/>
        </w:rPr>
        <w:tab/>
        <w:t xml:space="preserve">Instructed by Maserumule Attorneys (021 671 7585) c/o </w:t>
      </w:r>
    </w:p>
    <w:p w14:paraId="67CF819B" w14:textId="75B6A4D1" w:rsidR="00E36A73" w:rsidRPr="000160FF" w:rsidRDefault="00097343" w:rsidP="00DC636E">
      <w:pPr>
        <w:spacing w:after="480" w:line="360" w:lineRule="auto"/>
        <w:ind w:left="2160" w:right="-35" w:firstLine="720"/>
        <w:rPr>
          <w:rFonts w:cs="Tahoma"/>
          <w:szCs w:val="24"/>
        </w:rPr>
      </w:pPr>
      <w:r>
        <w:rPr>
          <w:rFonts w:cs="Tahoma"/>
          <w:b/>
          <w:szCs w:val="24"/>
        </w:rPr>
        <w:t>BLC Attorneys (041 506 3719).</w:t>
      </w:r>
    </w:p>
    <w:sectPr w:rsidR="00E36A73" w:rsidRPr="000160FF" w:rsidSect="003A4212">
      <w:headerReference w:type="default" r:id="rId8"/>
      <w:pgSz w:w="11906" w:h="16838" w:code="9"/>
      <w:pgMar w:top="1276" w:right="1080" w:bottom="1135"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BE861" w14:textId="77777777" w:rsidR="00EE7605" w:rsidRDefault="00EE7605" w:rsidP="000B191D">
      <w:r>
        <w:separator/>
      </w:r>
    </w:p>
  </w:endnote>
  <w:endnote w:type="continuationSeparator" w:id="0">
    <w:p w14:paraId="31A23E92" w14:textId="77777777" w:rsidR="00EE7605" w:rsidRDefault="00EE7605" w:rsidP="000B191D">
      <w:r>
        <w:continuationSeparator/>
      </w:r>
    </w:p>
  </w:endnote>
  <w:endnote w:type="continuationNotice" w:id="1">
    <w:p w14:paraId="1C8BB7B6" w14:textId="77777777" w:rsidR="00EE7605" w:rsidRDefault="00EE7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F4E75" w14:textId="77777777" w:rsidR="00EE7605" w:rsidRDefault="00EE7605" w:rsidP="000B191D">
      <w:r>
        <w:separator/>
      </w:r>
    </w:p>
  </w:footnote>
  <w:footnote w:type="continuationSeparator" w:id="0">
    <w:p w14:paraId="7AE7956E" w14:textId="77777777" w:rsidR="00EE7605" w:rsidRDefault="00EE7605" w:rsidP="000B191D">
      <w:r>
        <w:continuationSeparator/>
      </w:r>
    </w:p>
  </w:footnote>
  <w:footnote w:type="continuationNotice" w:id="1">
    <w:p w14:paraId="75DE6A6B" w14:textId="77777777" w:rsidR="00EE7605" w:rsidRDefault="00EE76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404684"/>
      <w:docPartObj>
        <w:docPartGallery w:val="Page Numbers (Top of Page)"/>
        <w:docPartUnique/>
      </w:docPartObj>
    </w:sdtPr>
    <w:sdtEndPr>
      <w:rPr>
        <w:noProof/>
      </w:rPr>
    </w:sdtEndPr>
    <w:sdtContent>
      <w:p w14:paraId="7F0D38B9" w14:textId="51CBA73C" w:rsidR="005C7D79" w:rsidRDefault="005C7D79">
        <w:pPr>
          <w:pStyle w:val="Header"/>
          <w:jc w:val="center"/>
        </w:pPr>
        <w:r>
          <w:fldChar w:fldCharType="begin"/>
        </w:r>
        <w:r>
          <w:instrText xml:space="preserve"> PAGE   \* MERGEFORMAT </w:instrText>
        </w:r>
        <w:r>
          <w:fldChar w:fldCharType="separate"/>
        </w:r>
        <w:r w:rsidR="003A260D">
          <w:rPr>
            <w:noProof/>
          </w:rPr>
          <w:t>3</w:t>
        </w:r>
        <w:r>
          <w:rPr>
            <w:noProof/>
          </w:rPr>
          <w:fldChar w:fldCharType="end"/>
        </w:r>
      </w:p>
    </w:sdtContent>
  </w:sdt>
  <w:p w14:paraId="217B444A" w14:textId="77777777" w:rsidR="003C2BF4" w:rsidRDefault="003C2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B3D3C"/>
    <w:multiLevelType w:val="multilevel"/>
    <w:tmpl w:val="5BB827CA"/>
    <w:lvl w:ilvl="0">
      <w:start w:val="1"/>
      <w:numFmt w:val="decimal"/>
      <w:pStyle w:val="H1"/>
      <w:lvlText w:val="[%1]"/>
      <w:lvlJc w:val="left"/>
      <w:pPr>
        <w:ind w:left="567" w:hanging="567"/>
      </w:pPr>
      <w:rPr>
        <w:rFonts w:hint="default"/>
      </w:rPr>
    </w:lvl>
    <w:lvl w:ilvl="1">
      <w:start w:val="1"/>
      <w:numFmt w:val="decimal"/>
      <w:pStyle w:val="H2"/>
      <w:lvlText w:val="%1.%2."/>
      <w:lvlJc w:val="left"/>
      <w:pPr>
        <w:ind w:left="1418" w:hanging="851"/>
      </w:pPr>
      <w:rPr>
        <w:rFonts w:hint="default"/>
      </w:rPr>
    </w:lvl>
    <w:lvl w:ilvl="2">
      <w:start w:val="1"/>
      <w:numFmt w:val="decimal"/>
      <w:pStyle w:val="H3"/>
      <w:lvlText w:val="%1.%2.%3."/>
      <w:lvlJc w:val="left"/>
      <w:pPr>
        <w:tabs>
          <w:tab w:val="num" w:pos="1418"/>
        </w:tabs>
        <w:ind w:left="2268" w:hanging="850"/>
      </w:pPr>
      <w:rPr>
        <w:rFonts w:hint="default"/>
      </w:rPr>
    </w:lvl>
    <w:lvl w:ilvl="3">
      <w:start w:val="1"/>
      <w:numFmt w:val="decimal"/>
      <w:pStyle w:val="H4"/>
      <w:lvlText w:val="%1.%2.%3.%4."/>
      <w:lvlJc w:val="left"/>
      <w:pPr>
        <w:tabs>
          <w:tab w:val="num" w:pos="2268"/>
        </w:tabs>
        <w:ind w:left="3119"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56A1D3D"/>
    <w:multiLevelType w:val="hybridMultilevel"/>
    <w:tmpl w:val="B910341C"/>
    <w:lvl w:ilvl="0" w:tplc="29841B0A">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
    <w:nsid w:val="62AD4E03"/>
    <w:multiLevelType w:val="hybridMultilevel"/>
    <w:tmpl w:val="78B64A06"/>
    <w:lvl w:ilvl="0" w:tplc="FA3C51B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D5"/>
    <w:rsid w:val="0000032C"/>
    <w:rsid w:val="000010DD"/>
    <w:rsid w:val="00003702"/>
    <w:rsid w:val="000051E9"/>
    <w:rsid w:val="00005F9F"/>
    <w:rsid w:val="00006738"/>
    <w:rsid w:val="00007CB6"/>
    <w:rsid w:val="00007D2C"/>
    <w:rsid w:val="000104A6"/>
    <w:rsid w:val="00010DA1"/>
    <w:rsid w:val="00013518"/>
    <w:rsid w:val="00013F6F"/>
    <w:rsid w:val="0001597A"/>
    <w:rsid w:val="000160FF"/>
    <w:rsid w:val="000170ED"/>
    <w:rsid w:val="00021E10"/>
    <w:rsid w:val="00021FA7"/>
    <w:rsid w:val="00022B3E"/>
    <w:rsid w:val="000233EB"/>
    <w:rsid w:val="000315FC"/>
    <w:rsid w:val="00034E5D"/>
    <w:rsid w:val="0003513F"/>
    <w:rsid w:val="000434D6"/>
    <w:rsid w:val="00045088"/>
    <w:rsid w:val="00047517"/>
    <w:rsid w:val="00047BFB"/>
    <w:rsid w:val="00050FE8"/>
    <w:rsid w:val="0005142F"/>
    <w:rsid w:val="00054C34"/>
    <w:rsid w:val="0005512D"/>
    <w:rsid w:val="0005595E"/>
    <w:rsid w:val="000577CE"/>
    <w:rsid w:val="0006005F"/>
    <w:rsid w:val="000670C7"/>
    <w:rsid w:val="00067AE1"/>
    <w:rsid w:val="00071845"/>
    <w:rsid w:val="00077E8E"/>
    <w:rsid w:val="000820B4"/>
    <w:rsid w:val="0008339E"/>
    <w:rsid w:val="00084A86"/>
    <w:rsid w:val="00085872"/>
    <w:rsid w:val="000907CC"/>
    <w:rsid w:val="000918AC"/>
    <w:rsid w:val="000930EE"/>
    <w:rsid w:val="00096AD6"/>
    <w:rsid w:val="00097343"/>
    <w:rsid w:val="000A00A0"/>
    <w:rsid w:val="000A04BB"/>
    <w:rsid w:val="000A1432"/>
    <w:rsid w:val="000A3833"/>
    <w:rsid w:val="000A5502"/>
    <w:rsid w:val="000A776E"/>
    <w:rsid w:val="000B0B0C"/>
    <w:rsid w:val="000B191D"/>
    <w:rsid w:val="000B2AD7"/>
    <w:rsid w:val="000B4B24"/>
    <w:rsid w:val="000B555D"/>
    <w:rsid w:val="000C00CD"/>
    <w:rsid w:val="000C1F0C"/>
    <w:rsid w:val="000C2800"/>
    <w:rsid w:val="000C3082"/>
    <w:rsid w:val="000D028F"/>
    <w:rsid w:val="000D282E"/>
    <w:rsid w:val="000D5349"/>
    <w:rsid w:val="000D55F9"/>
    <w:rsid w:val="000D6188"/>
    <w:rsid w:val="000D779A"/>
    <w:rsid w:val="000E2204"/>
    <w:rsid w:val="000E385D"/>
    <w:rsid w:val="000E4E85"/>
    <w:rsid w:val="000E5A00"/>
    <w:rsid w:val="000E7485"/>
    <w:rsid w:val="000F0535"/>
    <w:rsid w:val="000F36E9"/>
    <w:rsid w:val="000F6543"/>
    <w:rsid w:val="001031DB"/>
    <w:rsid w:val="0010367B"/>
    <w:rsid w:val="00105594"/>
    <w:rsid w:val="00105F1D"/>
    <w:rsid w:val="00107F3B"/>
    <w:rsid w:val="00121D1F"/>
    <w:rsid w:val="00125982"/>
    <w:rsid w:val="00127894"/>
    <w:rsid w:val="00132BF3"/>
    <w:rsid w:val="00135D16"/>
    <w:rsid w:val="00135E5E"/>
    <w:rsid w:val="00137A69"/>
    <w:rsid w:val="00140B21"/>
    <w:rsid w:val="00141618"/>
    <w:rsid w:val="00145886"/>
    <w:rsid w:val="0014667E"/>
    <w:rsid w:val="00146C47"/>
    <w:rsid w:val="00146F03"/>
    <w:rsid w:val="00151030"/>
    <w:rsid w:val="00154C19"/>
    <w:rsid w:val="001561E0"/>
    <w:rsid w:val="00157553"/>
    <w:rsid w:val="00162EE4"/>
    <w:rsid w:val="001630EE"/>
    <w:rsid w:val="001658A3"/>
    <w:rsid w:val="0017002C"/>
    <w:rsid w:val="0017382D"/>
    <w:rsid w:val="00176341"/>
    <w:rsid w:val="00176E75"/>
    <w:rsid w:val="001802B3"/>
    <w:rsid w:val="001810D2"/>
    <w:rsid w:val="001812A4"/>
    <w:rsid w:val="00181A20"/>
    <w:rsid w:val="00181B48"/>
    <w:rsid w:val="001867FC"/>
    <w:rsid w:val="00191284"/>
    <w:rsid w:val="001932DA"/>
    <w:rsid w:val="001935EE"/>
    <w:rsid w:val="00195C2B"/>
    <w:rsid w:val="00197E1C"/>
    <w:rsid w:val="001A0E30"/>
    <w:rsid w:val="001A16BC"/>
    <w:rsid w:val="001A1A62"/>
    <w:rsid w:val="001A1FE9"/>
    <w:rsid w:val="001A3101"/>
    <w:rsid w:val="001A50DD"/>
    <w:rsid w:val="001A6054"/>
    <w:rsid w:val="001A6058"/>
    <w:rsid w:val="001A662F"/>
    <w:rsid w:val="001A7364"/>
    <w:rsid w:val="001B0777"/>
    <w:rsid w:val="001B0AB1"/>
    <w:rsid w:val="001B625B"/>
    <w:rsid w:val="001B6D53"/>
    <w:rsid w:val="001C36AE"/>
    <w:rsid w:val="001C5866"/>
    <w:rsid w:val="001C5A7B"/>
    <w:rsid w:val="001C74C6"/>
    <w:rsid w:val="001C79B7"/>
    <w:rsid w:val="001D1909"/>
    <w:rsid w:val="001D23F9"/>
    <w:rsid w:val="001D2DC1"/>
    <w:rsid w:val="001D5673"/>
    <w:rsid w:val="001D56FC"/>
    <w:rsid w:val="001E1300"/>
    <w:rsid w:val="001E43DF"/>
    <w:rsid w:val="001E44D3"/>
    <w:rsid w:val="001E659D"/>
    <w:rsid w:val="001E71FE"/>
    <w:rsid w:val="001E7A59"/>
    <w:rsid w:val="001F0B09"/>
    <w:rsid w:val="001F1EC8"/>
    <w:rsid w:val="001F5B6F"/>
    <w:rsid w:val="00200441"/>
    <w:rsid w:val="00200840"/>
    <w:rsid w:val="002018BB"/>
    <w:rsid w:val="00204273"/>
    <w:rsid w:val="00207C93"/>
    <w:rsid w:val="0021285C"/>
    <w:rsid w:val="00213D19"/>
    <w:rsid w:val="00213F47"/>
    <w:rsid w:val="00215195"/>
    <w:rsid w:val="0022013A"/>
    <w:rsid w:val="00220450"/>
    <w:rsid w:val="00220A5D"/>
    <w:rsid w:val="00223735"/>
    <w:rsid w:val="002241AF"/>
    <w:rsid w:val="00224771"/>
    <w:rsid w:val="00231F74"/>
    <w:rsid w:val="00235095"/>
    <w:rsid w:val="00236A95"/>
    <w:rsid w:val="00237D8A"/>
    <w:rsid w:val="00240AA0"/>
    <w:rsid w:val="00243371"/>
    <w:rsid w:val="00252206"/>
    <w:rsid w:val="0025245D"/>
    <w:rsid w:val="0025577A"/>
    <w:rsid w:val="0025604B"/>
    <w:rsid w:val="0026060D"/>
    <w:rsid w:val="00260700"/>
    <w:rsid w:val="00260A10"/>
    <w:rsid w:val="00260BE2"/>
    <w:rsid w:val="00263273"/>
    <w:rsid w:val="00263C6B"/>
    <w:rsid w:val="002640E7"/>
    <w:rsid w:val="002644B6"/>
    <w:rsid w:val="0026454A"/>
    <w:rsid w:val="002645C8"/>
    <w:rsid w:val="00266CDB"/>
    <w:rsid w:val="002711A6"/>
    <w:rsid w:val="00273090"/>
    <w:rsid w:val="00274FE6"/>
    <w:rsid w:val="002758BE"/>
    <w:rsid w:val="0027706A"/>
    <w:rsid w:val="00277A1C"/>
    <w:rsid w:val="00277E48"/>
    <w:rsid w:val="00281A30"/>
    <w:rsid w:val="002853B7"/>
    <w:rsid w:val="0029604E"/>
    <w:rsid w:val="00296C34"/>
    <w:rsid w:val="002A2295"/>
    <w:rsid w:val="002A27FD"/>
    <w:rsid w:val="002A2EC8"/>
    <w:rsid w:val="002A3B17"/>
    <w:rsid w:val="002A4CD0"/>
    <w:rsid w:val="002A6BF7"/>
    <w:rsid w:val="002A78A4"/>
    <w:rsid w:val="002B17D4"/>
    <w:rsid w:val="002B2488"/>
    <w:rsid w:val="002B3080"/>
    <w:rsid w:val="002B6107"/>
    <w:rsid w:val="002C0832"/>
    <w:rsid w:val="002C10B1"/>
    <w:rsid w:val="002C135B"/>
    <w:rsid w:val="002C1B93"/>
    <w:rsid w:val="002C4ADB"/>
    <w:rsid w:val="002C6E0D"/>
    <w:rsid w:val="002C7448"/>
    <w:rsid w:val="002D0571"/>
    <w:rsid w:val="002D3DB3"/>
    <w:rsid w:val="002E0B93"/>
    <w:rsid w:val="002E381B"/>
    <w:rsid w:val="002E5648"/>
    <w:rsid w:val="002E5F58"/>
    <w:rsid w:val="002E69EB"/>
    <w:rsid w:val="002F0C85"/>
    <w:rsid w:val="002F1004"/>
    <w:rsid w:val="002F13B3"/>
    <w:rsid w:val="002F294F"/>
    <w:rsid w:val="002F3950"/>
    <w:rsid w:val="002F66A1"/>
    <w:rsid w:val="002F70AF"/>
    <w:rsid w:val="00301258"/>
    <w:rsid w:val="003014A2"/>
    <w:rsid w:val="00302C25"/>
    <w:rsid w:val="0030460F"/>
    <w:rsid w:val="003054F7"/>
    <w:rsid w:val="0030617F"/>
    <w:rsid w:val="0030689E"/>
    <w:rsid w:val="00306FC9"/>
    <w:rsid w:val="00307A50"/>
    <w:rsid w:val="00310993"/>
    <w:rsid w:val="00311580"/>
    <w:rsid w:val="00311602"/>
    <w:rsid w:val="00311FFF"/>
    <w:rsid w:val="003135F3"/>
    <w:rsid w:val="0031374A"/>
    <w:rsid w:val="003137A4"/>
    <w:rsid w:val="00314D6F"/>
    <w:rsid w:val="003151EE"/>
    <w:rsid w:val="00315F92"/>
    <w:rsid w:val="0031650B"/>
    <w:rsid w:val="003214F5"/>
    <w:rsid w:val="00321E72"/>
    <w:rsid w:val="00322FA3"/>
    <w:rsid w:val="00323F77"/>
    <w:rsid w:val="00324CF7"/>
    <w:rsid w:val="00325C16"/>
    <w:rsid w:val="00326CBA"/>
    <w:rsid w:val="0032773A"/>
    <w:rsid w:val="00330EB0"/>
    <w:rsid w:val="00331157"/>
    <w:rsid w:val="00333417"/>
    <w:rsid w:val="0033357E"/>
    <w:rsid w:val="0033471A"/>
    <w:rsid w:val="003372CD"/>
    <w:rsid w:val="00337858"/>
    <w:rsid w:val="00342D37"/>
    <w:rsid w:val="00344527"/>
    <w:rsid w:val="00351361"/>
    <w:rsid w:val="00353C06"/>
    <w:rsid w:val="00355F1E"/>
    <w:rsid w:val="00360D35"/>
    <w:rsid w:val="00361CA4"/>
    <w:rsid w:val="00363A3F"/>
    <w:rsid w:val="003652C1"/>
    <w:rsid w:val="00366887"/>
    <w:rsid w:val="00370B3A"/>
    <w:rsid w:val="003728E6"/>
    <w:rsid w:val="00373D03"/>
    <w:rsid w:val="00375B59"/>
    <w:rsid w:val="00384378"/>
    <w:rsid w:val="003846B9"/>
    <w:rsid w:val="003868AC"/>
    <w:rsid w:val="00390746"/>
    <w:rsid w:val="00390D52"/>
    <w:rsid w:val="00391739"/>
    <w:rsid w:val="003A1E18"/>
    <w:rsid w:val="003A260D"/>
    <w:rsid w:val="003A3D4F"/>
    <w:rsid w:val="003A3EE4"/>
    <w:rsid w:val="003A4212"/>
    <w:rsid w:val="003A6482"/>
    <w:rsid w:val="003B4AE3"/>
    <w:rsid w:val="003B6A2C"/>
    <w:rsid w:val="003C206D"/>
    <w:rsid w:val="003C20A6"/>
    <w:rsid w:val="003C2BF4"/>
    <w:rsid w:val="003D18B9"/>
    <w:rsid w:val="003D40AB"/>
    <w:rsid w:val="003D4A4F"/>
    <w:rsid w:val="003D61F0"/>
    <w:rsid w:val="003E090C"/>
    <w:rsid w:val="003E2458"/>
    <w:rsid w:val="003E59B0"/>
    <w:rsid w:val="003E67CD"/>
    <w:rsid w:val="003E68C6"/>
    <w:rsid w:val="003E6FD7"/>
    <w:rsid w:val="003F0B6E"/>
    <w:rsid w:val="003F1EAC"/>
    <w:rsid w:val="003F3B16"/>
    <w:rsid w:val="00401B1A"/>
    <w:rsid w:val="00401CB6"/>
    <w:rsid w:val="00402E7B"/>
    <w:rsid w:val="00403866"/>
    <w:rsid w:val="004058C4"/>
    <w:rsid w:val="0040688A"/>
    <w:rsid w:val="00407D59"/>
    <w:rsid w:val="00411791"/>
    <w:rsid w:val="0041179C"/>
    <w:rsid w:val="00412902"/>
    <w:rsid w:val="00413C82"/>
    <w:rsid w:val="004148FB"/>
    <w:rsid w:val="00414D41"/>
    <w:rsid w:val="00415DA1"/>
    <w:rsid w:val="00420B8B"/>
    <w:rsid w:val="004212E8"/>
    <w:rsid w:val="00422468"/>
    <w:rsid w:val="0042251D"/>
    <w:rsid w:val="004230B4"/>
    <w:rsid w:val="004237F6"/>
    <w:rsid w:val="00424242"/>
    <w:rsid w:val="00426688"/>
    <w:rsid w:val="004277AE"/>
    <w:rsid w:val="0043006C"/>
    <w:rsid w:val="004309D0"/>
    <w:rsid w:val="00433F7D"/>
    <w:rsid w:val="00435499"/>
    <w:rsid w:val="00435BE3"/>
    <w:rsid w:val="00436686"/>
    <w:rsid w:val="00437F03"/>
    <w:rsid w:val="0044106D"/>
    <w:rsid w:val="00441301"/>
    <w:rsid w:val="0044271B"/>
    <w:rsid w:val="004430F5"/>
    <w:rsid w:val="00443400"/>
    <w:rsid w:val="004457FF"/>
    <w:rsid w:val="00451FB7"/>
    <w:rsid w:val="0045223B"/>
    <w:rsid w:val="00452869"/>
    <w:rsid w:val="004534E2"/>
    <w:rsid w:val="004548E1"/>
    <w:rsid w:val="00456507"/>
    <w:rsid w:val="004569AF"/>
    <w:rsid w:val="00461AD0"/>
    <w:rsid w:val="004627F5"/>
    <w:rsid w:val="004636C6"/>
    <w:rsid w:val="00464CC6"/>
    <w:rsid w:val="00465159"/>
    <w:rsid w:val="00465F33"/>
    <w:rsid w:val="00470379"/>
    <w:rsid w:val="00471604"/>
    <w:rsid w:val="004725B9"/>
    <w:rsid w:val="004750B7"/>
    <w:rsid w:val="004751A6"/>
    <w:rsid w:val="0048061B"/>
    <w:rsid w:val="00480680"/>
    <w:rsid w:val="00481D95"/>
    <w:rsid w:val="004838C9"/>
    <w:rsid w:val="0048445F"/>
    <w:rsid w:val="00484492"/>
    <w:rsid w:val="00485203"/>
    <w:rsid w:val="004852E6"/>
    <w:rsid w:val="00486CDA"/>
    <w:rsid w:val="004910FE"/>
    <w:rsid w:val="004A0339"/>
    <w:rsid w:val="004A0761"/>
    <w:rsid w:val="004A1298"/>
    <w:rsid w:val="004A3A8E"/>
    <w:rsid w:val="004A4205"/>
    <w:rsid w:val="004A426B"/>
    <w:rsid w:val="004A5682"/>
    <w:rsid w:val="004A6199"/>
    <w:rsid w:val="004B10BE"/>
    <w:rsid w:val="004B1110"/>
    <w:rsid w:val="004B16DF"/>
    <w:rsid w:val="004B34DC"/>
    <w:rsid w:val="004B372C"/>
    <w:rsid w:val="004B691C"/>
    <w:rsid w:val="004B6DA1"/>
    <w:rsid w:val="004C3D91"/>
    <w:rsid w:val="004C4017"/>
    <w:rsid w:val="004C651D"/>
    <w:rsid w:val="004C7048"/>
    <w:rsid w:val="004E2EEE"/>
    <w:rsid w:val="004E4F8A"/>
    <w:rsid w:val="004E508B"/>
    <w:rsid w:val="004F5561"/>
    <w:rsid w:val="004F6922"/>
    <w:rsid w:val="004F6F08"/>
    <w:rsid w:val="004F6F2D"/>
    <w:rsid w:val="00500D6E"/>
    <w:rsid w:val="005010BE"/>
    <w:rsid w:val="005034A4"/>
    <w:rsid w:val="005037EA"/>
    <w:rsid w:val="00505B04"/>
    <w:rsid w:val="0051039C"/>
    <w:rsid w:val="00510B9A"/>
    <w:rsid w:val="0051714C"/>
    <w:rsid w:val="00517AA4"/>
    <w:rsid w:val="005212BD"/>
    <w:rsid w:val="0052282D"/>
    <w:rsid w:val="00524E50"/>
    <w:rsid w:val="00526D87"/>
    <w:rsid w:val="005324C8"/>
    <w:rsid w:val="00534388"/>
    <w:rsid w:val="0053721A"/>
    <w:rsid w:val="005429FF"/>
    <w:rsid w:val="00544706"/>
    <w:rsid w:val="00544765"/>
    <w:rsid w:val="00545777"/>
    <w:rsid w:val="005473F3"/>
    <w:rsid w:val="00547CBE"/>
    <w:rsid w:val="00550242"/>
    <w:rsid w:val="005502A7"/>
    <w:rsid w:val="005509F4"/>
    <w:rsid w:val="0055105A"/>
    <w:rsid w:val="0055210D"/>
    <w:rsid w:val="0055454F"/>
    <w:rsid w:val="0056011E"/>
    <w:rsid w:val="0056217A"/>
    <w:rsid w:val="00563D6C"/>
    <w:rsid w:val="005645DD"/>
    <w:rsid w:val="005652F7"/>
    <w:rsid w:val="00565437"/>
    <w:rsid w:val="00565952"/>
    <w:rsid w:val="00565B15"/>
    <w:rsid w:val="005671CE"/>
    <w:rsid w:val="00573E7C"/>
    <w:rsid w:val="005744A9"/>
    <w:rsid w:val="00574C3A"/>
    <w:rsid w:val="00580F84"/>
    <w:rsid w:val="005824AE"/>
    <w:rsid w:val="00583B1B"/>
    <w:rsid w:val="00586DC5"/>
    <w:rsid w:val="00587C97"/>
    <w:rsid w:val="00592BAB"/>
    <w:rsid w:val="00593FDB"/>
    <w:rsid w:val="005975A7"/>
    <w:rsid w:val="005A122F"/>
    <w:rsid w:val="005A17A7"/>
    <w:rsid w:val="005A19AD"/>
    <w:rsid w:val="005A284C"/>
    <w:rsid w:val="005A633B"/>
    <w:rsid w:val="005A6D16"/>
    <w:rsid w:val="005B0204"/>
    <w:rsid w:val="005B3017"/>
    <w:rsid w:val="005B5C66"/>
    <w:rsid w:val="005B7442"/>
    <w:rsid w:val="005B748A"/>
    <w:rsid w:val="005C06CE"/>
    <w:rsid w:val="005C0A7B"/>
    <w:rsid w:val="005C175E"/>
    <w:rsid w:val="005C1A61"/>
    <w:rsid w:val="005C1BF6"/>
    <w:rsid w:val="005C34CC"/>
    <w:rsid w:val="005C3A24"/>
    <w:rsid w:val="005C45A4"/>
    <w:rsid w:val="005C49E6"/>
    <w:rsid w:val="005C5871"/>
    <w:rsid w:val="005C6A47"/>
    <w:rsid w:val="005C7D79"/>
    <w:rsid w:val="005D04A1"/>
    <w:rsid w:val="005D310D"/>
    <w:rsid w:val="005D47DA"/>
    <w:rsid w:val="005D493C"/>
    <w:rsid w:val="005D5179"/>
    <w:rsid w:val="005D5650"/>
    <w:rsid w:val="005D6E26"/>
    <w:rsid w:val="005E226F"/>
    <w:rsid w:val="005E2C55"/>
    <w:rsid w:val="005E3BA7"/>
    <w:rsid w:val="005E5479"/>
    <w:rsid w:val="005E5C98"/>
    <w:rsid w:val="005E5F42"/>
    <w:rsid w:val="005E6A2B"/>
    <w:rsid w:val="005E6B58"/>
    <w:rsid w:val="005F0609"/>
    <w:rsid w:val="005F08BF"/>
    <w:rsid w:val="005F1080"/>
    <w:rsid w:val="005F153A"/>
    <w:rsid w:val="005F3347"/>
    <w:rsid w:val="005F640E"/>
    <w:rsid w:val="005F785C"/>
    <w:rsid w:val="00601EB4"/>
    <w:rsid w:val="0060294E"/>
    <w:rsid w:val="00604275"/>
    <w:rsid w:val="00605101"/>
    <w:rsid w:val="00605706"/>
    <w:rsid w:val="00605B10"/>
    <w:rsid w:val="006116A2"/>
    <w:rsid w:val="0061214F"/>
    <w:rsid w:val="00612855"/>
    <w:rsid w:val="006149BC"/>
    <w:rsid w:val="00616B10"/>
    <w:rsid w:val="006201E3"/>
    <w:rsid w:val="006214F9"/>
    <w:rsid w:val="006252B0"/>
    <w:rsid w:val="006256DD"/>
    <w:rsid w:val="006258E5"/>
    <w:rsid w:val="00625F04"/>
    <w:rsid w:val="00626558"/>
    <w:rsid w:val="0062705B"/>
    <w:rsid w:val="00627331"/>
    <w:rsid w:val="00627CF4"/>
    <w:rsid w:val="00631000"/>
    <w:rsid w:val="006410C0"/>
    <w:rsid w:val="00641958"/>
    <w:rsid w:val="00642842"/>
    <w:rsid w:val="0064295F"/>
    <w:rsid w:val="00643983"/>
    <w:rsid w:val="00643C05"/>
    <w:rsid w:val="006447A4"/>
    <w:rsid w:val="006465C2"/>
    <w:rsid w:val="00646853"/>
    <w:rsid w:val="006567EB"/>
    <w:rsid w:val="00661462"/>
    <w:rsid w:val="006614B8"/>
    <w:rsid w:val="00663D11"/>
    <w:rsid w:val="00664D77"/>
    <w:rsid w:val="00665E32"/>
    <w:rsid w:val="00666844"/>
    <w:rsid w:val="0067027F"/>
    <w:rsid w:val="006704ED"/>
    <w:rsid w:val="0067266C"/>
    <w:rsid w:val="00673F59"/>
    <w:rsid w:val="0067720F"/>
    <w:rsid w:val="0067754D"/>
    <w:rsid w:val="0068188D"/>
    <w:rsid w:val="0068297E"/>
    <w:rsid w:val="00683D00"/>
    <w:rsid w:val="006853F6"/>
    <w:rsid w:val="00686A27"/>
    <w:rsid w:val="00687CED"/>
    <w:rsid w:val="00693C94"/>
    <w:rsid w:val="00694319"/>
    <w:rsid w:val="006952C3"/>
    <w:rsid w:val="006977C6"/>
    <w:rsid w:val="00697EB6"/>
    <w:rsid w:val="006A0EEE"/>
    <w:rsid w:val="006A1203"/>
    <w:rsid w:val="006A14C4"/>
    <w:rsid w:val="006A1BB1"/>
    <w:rsid w:val="006A282A"/>
    <w:rsid w:val="006A7396"/>
    <w:rsid w:val="006A73F1"/>
    <w:rsid w:val="006B0556"/>
    <w:rsid w:val="006B0921"/>
    <w:rsid w:val="006B2C0C"/>
    <w:rsid w:val="006B3437"/>
    <w:rsid w:val="006B3C10"/>
    <w:rsid w:val="006B6E80"/>
    <w:rsid w:val="006B78C1"/>
    <w:rsid w:val="006C13AC"/>
    <w:rsid w:val="006C2B8A"/>
    <w:rsid w:val="006C4FE0"/>
    <w:rsid w:val="006C605E"/>
    <w:rsid w:val="006C7164"/>
    <w:rsid w:val="006C7E10"/>
    <w:rsid w:val="006C7EA6"/>
    <w:rsid w:val="006D19F0"/>
    <w:rsid w:val="006D345A"/>
    <w:rsid w:val="006D367E"/>
    <w:rsid w:val="006D40F0"/>
    <w:rsid w:val="006D4D9F"/>
    <w:rsid w:val="006D6515"/>
    <w:rsid w:val="006D7037"/>
    <w:rsid w:val="006D7262"/>
    <w:rsid w:val="006E02E3"/>
    <w:rsid w:val="006E1B7E"/>
    <w:rsid w:val="006E347D"/>
    <w:rsid w:val="006E4363"/>
    <w:rsid w:val="006E70E6"/>
    <w:rsid w:val="006F1DA0"/>
    <w:rsid w:val="006F286E"/>
    <w:rsid w:val="006F49C2"/>
    <w:rsid w:val="006F530C"/>
    <w:rsid w:val="006F61BF"/>
    <w:rsid w:val="0070123E"/>
    <w:rsid w:val="00702D49"/>
    <w:rsid w:val="007032A6"/>
    <w:rsid w:val="0070351E"/>
    <w:rsid w:val="00703AC5"/>
    <w:rsid w:val="00704B33"/>
    <w:rsid w:val="00704BC7"/>
    <w:rsid w:val="00707091"/>
    <w:rsid w:val="00707D61"/>
    <w:rsid w:val="0071187F"/>
    <w:rsid w:val="007131C0"/>
    <w:rsid w:val="00713223"/>
    <w:rsid w:val="0071613A"/>
    <w:rsid w:val="007162DB"/>
    <w:rsid w:val="0072170E"/>
    <w:rsid w:val="0072393D"/>
    <w:rsid w:val="00725535"/>
    <w:rsid w:val="007319F5"/>
    <w:rsid w:val="00732EFE"/>
    <w:rsid w:val="007336CA"/>
    <w:rsid w:val="00733E7C"/>
    <w:rsid w:val="00734DD1"/>
    <w:rsid w:val="00735128"/>
    <w:rsid w:val="0073571F"/>
    <w:rsid w:val="0074195D"/>
    <w:rsid w:val="0074377F"/>
    <w:rsid w:val="00745C1E"/>
    <w:rsid w:val="00745D77"/>
    <w:rsid w:val="00745F8F"/>
    <w:rsid w:val="007474A4"/>
    <w:rsid w:val="00750DD3"/>
    <w:rsid w:val="00753996"/>
    <w:rsid w:val="00754CD6"/>
    <w:rsid w:val="007552A7"/>
    <w:rsid w:val="00757289"/>
    <w:rsid w:val="00760119"/>
    <w:rsid w:val="00763CF1"/>
    <w:rsid w:val="00765734"/>
    <w:rsid w:val="007708B9"/>
    <w:rsid w:val="00771CDC"/>
    <w:rsid w:val="0077742D"/>
    <w:rsid w:val="00780551"/>
    <w:rsid w:val="00784E80"/>
    <w:rsid w:val="00785D8E"/>
    <w:rsid w:val="0078641C"/>
    <w:rsid w:val="00786942"/>
    <w:rsid w:val="00787374"/>
    <w:rsid w:val="0079506A"/>
    <w:rsid w:val="00795654"/>
    <w:rsid w:val="007A2CB3"/>
    <w:rsid w:val="007A4205"/>
    <w:rsid w:val="007A6062"/>
    <w:rsid w:val="007A74FF"/>
    <w:rsid w:val="007B0005"/>
    <w:rsid w:val="007B1212"/>
    <w:rsid w:val="007B2342"/>
    <w:rsid w:val="007B5B33"/>
    <w:rsid w:val="007B5DB2"/>
    <w:rsid w:val="007C2C37"/>
    <w:rsid w:val="007C2EAD"/>
    <w:rsid w:val="007C4B51"/>
    <w:rsid w:val="007C65F1"/>
    <w:rsid w:val="007C7DF0"/>
    <w:rsid w:val="007E148C"/>
    <w:rsid w:val="007E2BF2"/>
    <w:rsid w:val="007E3253"/>
    <w:rsid w:val="007E7F08"/>
    <w:rsid w:val="007F0159"/>
    <w:rsid w:val="007F5F05"/>
    <w:rsid w:val="00801345"/>
    <w:rsid w:val="00801721"/>
    <w:rsid w:val="008023BB"/>
    <w:rsid w:val="00802493"/>
    <w:rsid w:val="00802F90"/>
    <w:rsid w:val="00802FDE"/>
    <w:rsid w:val="00803D5D"/>
    <w:rsid w:val="0080542B"/>
    <w:rsid w:val="00805C91"/>
    <w:rsid w:val="0080705F"/>
    <w:rsid w:val="00810031"/>
    <w:rsid w:val="00810258"/>
    <w:rsid w:val="00813288"/>
    <w:rsid w:val="008134F2"/>
    <w:rsid w:val="0081495D"/>
    <w:rsid w:val="008154CD"/>
    <w:rsid w:val="00815AF6"/>
    <w:rsid w:val="0081723B"/>
    <w:rsid w:val="00817AC8"/>
    <w:rsid w:val="00817EC0"/>
    <w:rsid w:val="0082085C"/>
    <w:rsid w:val="00823EA6"/>
    <w:rsid w:val="0082423C"/>
    <w:rsid w:val="00824A8D"/>
    <w:rsid w:val="008251A1"/>
    <w:rsid w:val="008272FC"/>
    <w:rsid w:val="00830FDF"/>
    <w:rsid w:val="0083169A"/>
    <w:rsid w:val="00832CCA"/>
    <w:rsid w:val="00833CAD"/>
    <w:rsid w:val="0083490E"/>
    <w:rsid w:val="0084382A"/>
    <w:rsid w:val="00843F33"/>
    <w:rsid w:val="00844010"/>
    <w:rsid w:val="0084482B"/>
    <w:rsid w:val="00845465"/>
    <w:rsid w:val="0084601A"/>
    <w:rsid w:val="00847513"/>
    <w:rsid w:val="00847D7F"/>
    <w:rsid w:val="00850929"/>
    <w:rsid w:val="008526D5"/>
    <w:rsid w:val="00852D81"/>
    <w:rsid w:val="00852F74"/>
    <w:rsid w:val="0085767B"/>
    <w:rsid w:val="008617B9"/>
    <w:rsid w:val="0086545D"/>
    <w:rsid w:val="008678D7"/>
    <w:rsid w:val="00871DE4"/>
    <w:rsid w:val="00874688"/>
    <w:rsid w:val="00875768"/>
    <w:rsid w:val="0087667F"/>
    <w:rsid w:val="00876712"/>
    <w:rsid w:val="008769D6"/>
    <w:rsid w:val="00881335"/>
    <w:rsid w:val="0088376C"/>
    <w:rsid w:val="00884224"/>
    <w:rsid w:val="0088638B"/>
    <w:rsid w:val="0089235C"/>
    <w:rsid w:val="008934C3"/>
    <w:rsid w:val="0089599E"/>
    <w:rsid w:val="00897BF6"/>
    <w:rsid w:val="00897BF9"/>
    <w:rsid w:val="008A2DBD"/>
    <w:rsid w:val="008A4A9A"/>
    <w:rsid w:val="008B074D"/>
    <w:rsid w:val="008B1010"/>
    <w:rsid w:val="008B3FDC"/>
    <w:rsid w:val="008B67C2"/>
    <w:rsid w:val="008B6BBA"/>
    <w:rsid w:val="008B711F"/>
    <w:rsid w:val="008C02A2"/>
    <w:rsid w:val="008C145D"/>
    <w:rsid w:val="008C180A"/>
    <w:rsid w:val="008C1CD6"/>
    <w:rsid w:val="008C2A51"/>
    <w:rsid w:val="008C423C"/>
    <w:rsid w:val="008C49B9"/>
    <w:rsid w:val="008C6B4F"/>
    <w:rsid w:val="008D02C3"/>
    <w:rsid w:val="008D0743"/>
    <w:rsid w:val="008D2D62"/>
    <w:rsid w:val="008D4C4B"/>
    <w:rsid w:val="008D5B7B"/>
    <w:rsid w:val="008D6189"/>
    <w:rsid w:val="008E12A5"/>
    <w:rsid w:val="008E3007"/>
    <w:rsid w:val="008E3180"/>
    <w:rsid w:val="008E6611"/>
    <w:rsid w:val="008F1A02"/>
    <w:rsid w:val="008F23C5"/>
    <w:rsid w:val="008F4B2C"/>
    <w:rsid w:val="008F4F08"/>
    <w:rsid w:val="008F56C7"/>
    <w:rsid w:val="008F7714"/>
    <w:rsid w:val="009000FB"/>
    <w:rsid w:val="009001AF"/>
    <w:rsid w:val="00901D9B"/>
    <w:rsid w:val="00901E0D"/>
    <w:rsid w:val="00902C0B"/>
    <w:rsid w:val="00902C82"/>
    <w:rsid w:val="00902CAC"/>
    <w:rsid w:val="00904DC1"/>
    <w:rsid w:val="00906208"/>
    <w:rsid w:val="009102A4"/>
    <w:rsid w:val="009118C6"/>
    <w:rsid w:val="00915D7E"/>
    <w:rsid w:val="00916D6A"/>
    <w:rsid w:val="00922999"/>
    <w:rsid w:val="009244C1"/>
    <w:rsid w:val="0092624F"/>
    <w:rsid w:val="00926A7B"/>
    <w:rsid w:val="00926C63"/>
    <w:rsid w:val="0093237F"/>
    <w:rsid w:val="009323D5"/>
    <w:rsid w:val="0093358B"/>
    <w:rsid w:val="0093457D"/>
    <w:rsid w:val="00934CF5"/>
    <w:rsid w:val="00936084"/>
    <w:rsid w:val="00936DE0"/>
    <w:rsid w:val="00940F26"/>
    <w:rsid w:val="009418E7"/>
    <w:rsid w:val="009438A5"/>
    <w:rsid w:val="00944886"/>
    <w:rsid w:val="00944F8E"/>
    <w:rsid w:val="00945928"/>
    <w:rsid w:val="00947CAB"/>
    <w:rsid w:val="00950038"/>
    <w:rsid w:val="009502E5"/>
    <w:rsid w:val="0095044D"/>
    <w:rsid w:val="00952907"/>
    <w:rsid w:val="00952ABC"/>
    <w:rsid w:val="00954974"/>
    <w:rsid w:val="009550E8"/>
    <w:rsid w:val="009562FE"/>
    <w:rsid w:val="00960EA1"/>
    <w:rsid w:val="0096370E"/>
    <w:rsid w:val="00964F56"/>
    <w:rsid w:val="00965186"/>
    <w:rsid w:val="00966662"/>
    <w:rsid w:val="00966A7D"/>
    <w:rsid w:val="00967259"/>
    <w:rsid w:val="00967FAD"/>
    <w:rsid w:val="00972EEA"/>
    <w:rsid w:val="00975EA8"/>
    <w:rsid w:val="00976CCB"/>
    <w:rsid w:val="009834B2"/>
    <w:rsid w:val="00983741"/>
    <w:rsid w:val="009859EB"/>
    <w:rsid w:val="009918AD"/>
    <w:rsid w:val="00992257"/>
    <w:rsid w:val="00993420"/>
    <w:rsid w:val="00993B03"/>
    <w:rsid w:val="009A069C"/>
    <w:rsid w:val="009A1B2C"/>
    <w:rsid w:val="009A1C43"/>
    <w:rsid w:val="009A67C2"/>
    <w:rsid w:val="009A692A"/>
    <w:rsid w:val="009A7386"/>
    <w:rsid w:val="009B11B4"/>
    <w:rsid w:val="009B208B"/>
    <w:rsid w:val="009B3C0E"/>
    <w:rsid w:val="009B3CD0"/>
    <w:rsid w:val="009B4370"/>
    <w:rsid w:val="009B5853"/>
    <w:rsid w:val="009B6671"/>
    <w:rsid w:val="009B7BDB"/>
    <w:rsid w:val="009C06F8"/>
    <w:rsid w:val="009C14BA"/>
    <w:rsid w:val="009C15DF"/>
    <w:rsid w:val="009C5CB3"/>
    <w:rsid w:val="009D3565"/>
    <w:rsid w:val="009D582B"/>
    <w:rsid w:val="009D6A11"/>
    <w:rsid w:val="009E02EE"/>
    <w:rsid w:val="009E0E2A"/>
    <w:rsid w:val="009E1A66"/>
    <w:rsid w:val="009E227B"/>
    <w:rsid w:val="009E5C6A"/>
    <w:rsid w:val="009F024B"/>
    <w:rsid w:val="009F1A62"/>
    <w:rsid w:val="009F1C40"/>
    <w:rsid w:val="009F248F"/>
    <w:rsid w:val="009F31C7"/>
    <w:rsid w:val="009F4BF7"/>
    <w:rsid w:val="009F50FC"/>
    <w:rsid w:val="00A00A5F"/>
    <w:rsid w:val="00A01CCC"/>
    <w:rsid w:val="00A02394"/>
    <w:rsid w:val="00A025C9"/>
    <w:rsid w:val="00A0348A"/>
    <w:rsid w:val="00A050C9"/>
    <w:rsid w:val="00A07DAF"/>
    <w:rsid w:val="00A12574"/>
    <w:rsid w:val="00A133FC"/>
    <w:rsid w:val="00A1373A"/>
    <w:rsid w:val="00A15D96"/>
    <w:rsid w:val="00A21AEE"/>
    <w:rsid w:val="00A25218"/>
    <w:rsid w:val="00A3163F"/>
    <w:rsid w:val="00A3387E"/>
    <w:rsid w:val="00A348FD"/>
    <w:rsid w:val="00A35595"/>
    <w:rsid w:val="00A3654A"/>
    <w:rsid w:val="00A40638"/>
    <w:rsid w:val="00A44C0C"/>
    <w:rsid w:val="00A52520"/>
    <w:rsid w:val="00A5503C"/>
    <w:rsid w:val="00A569F9"/>
    <w:rsid w:val="00A62677"/>
    <w:rsid w:val="00A701E6"/>
    <w:rsid w:val="00A72F57"/>
    <w:rsid w:val="00A73D9D"/>
    <w:rsid w:val="00A74A26"/>
    <w:rsid w:val="00A74E37"/>
    <w:rsid w:val="00A74EC5"/>
    <w:rsid w:val="00A75A89"/>
    <w:rsid w:val="00A77C4B"/>
    <w:rsid w:val="00A77E48"/>
    <w:rsid w:val="00A83816"/>
    <w:rsid w:val="00A8637C"/>
    <w:rsid w:val="00A8676B"/>
    <w:rsid w:val="00A90965"/>
    <w:rsid w:val="00A93AC5"/>
    <w:rsid w:val="00A95988"/>
    <w:rsid w:val="00A965B5"/>
    <w:rsid w:val="00AA04C5"/>
    <w:rsid w:val="00AA1F6D"/>
    <w:rsid w:val="00AA2DE4"/>
    <w:rsid w:val="00AA5765"/>
    <w:rsid w:val="00AA7172"/>
    <w:rsid w:val="00AB0BFA"/>
    <w:rsid w:val="00AB1369"/>
    <w:rsid w:val="00AB4048"/>
    <w:rsid w:val="00AB5B0B"/>
    <w:rsid w:val="00AB64D4"/>
    <w:rsid w:val="00AB6700"/>
    <w:rsid w:val="00AC04B8"/>
    <w:rsid w:val="00AC2770"/>
    <w:rsid w:val="00AC5704"/>
    <w:rsid w:val="00AC5795"/>
    <w:rsid w:val="00AC61D2"/>
    <w:rsid w:val="00AC67EE"/>
    <w:rsid w:val="00AD0DF6"/>
    <w:rsid w:val="00AD1D02"/>
    <w:rsid w:val="00AD2BE7"/>
    <w:rsid w:val="00AD411B"/>
    <w:rsid w:val="00AD6CCF"/>
    <w:rsid w:val="00AD7B12"/>
    <w:rsid w:val="00AE449F"/>
    <w:rsid w:val="00AE5A1C"/>
    <w:rsid w:val="00AE6028"/>
    <w:rsid w:val="00AF2DE8"/>
    <w:rsid w:val="00AF750D"/>
    <w:rsid w:val="00AF7A10"/>
    <w:rsid w:val="00AF7FC3"/>
    <w:rsid w:val="00B03318"/>
    <w:rsid w:val="00B036E5"/>
    <w:rsid w:val="00B049E1"/>
    <w:rsid w:val="00B07280"/>
    <w:rsid w:val="00B079D8"/>
    <w:rsid w:val="00B10A5A"/>
    <w:rsid w:val="00B1107C"/>
    <w:rsid w:val="00B1332E"/>
    <w:rsid w:val="00B13621"/>
    <w:rsid w:val="00B14ED4"/>
    <w:rsid w:val="00B17A10"/>
    <w:rsid w:val="00B202B1"/>
    <w:rsid w:val="00B21C64"/>
    <w:rsid w:val="00B23A14"/>
    <w:rsid w:val="00B23DBC"/>
    <w:rsid w:val="00B241D2"/>
    <w:rsid w:val="00B26343"/>
    <w:rsid w:val="00B264BE"/>
    <w:rsid w:val="00B31E53"/>
    <w:rsid w:val="00B328B3"/>
    <w:rsid w:val="00B3408B"/>
    <w:rsid w:val="00B3443B"/>
    <w:rsid w:val="00B3496B"/>
    <w:rsid w:val="00B34A49"/>
    <w:rsid w:val="00B34A93"/>
    <w:rsid w:val="00B35EF5"/>
    <w:rsid w:val="00B374A0"/>
    <w:rsid w:val="00B4317F"/>
    <w:rsid w:val="00B43EF0"/>
    <w:rsid w:val="00B4735D"/>
    <w:rsid w:val="00B47545"/>
    <w:rsid w:val="00B502C1"/>
    <w:rsid w:val="00B51D9E"/>
    <w:rsid w:val="00B52173"/>
    <w:rsid w:val="00B529FD"/>
    <w:rsid w:val="00B55932"/>
    <w:rsid w:val="00B64E2F"/>
    <w:rsid w:val="00B67535"/>
    <w:rsid w:val="00B67624"/>
    <w:rsid w:val="00B715F8"/>
    <w:rsid w:val="00B71BC6"/>
    <w:rsid w:val="00B73A8B"/>
    <w:rsid w:val="00B74596"/>
    <w:rsid w:val="00B7470D"/>
    <w:rsid w:val="00B7478A"/>
    <w:rsid w:val="00B77B72"/>
    <w:rsid w:val="00B81B4E"/>
    <w:rsid w:val="00B82AED"/>
    <w:rsid w:val="00B84B5D"/>
    <w:rsid w:val="00B9114C"/>
    <w:rsid w:val="00B92F3C"/>
    <w:rsid w:val="00B94401"/>
    <w:rsid w:val="00B94959"/>
    <w:rsid w:val="00B95BFC"/>
    <w:rsid w:val="00B963EF"/>
    <w:rsid w:val="00B96C70"/>
    <w:rsid w:val="00B97053"/>
    <w:rsid w:val="00BA7630"/>
    <w:rsid w:val="00BB188C"/>
    <w:rsid w:val="00BB463E"/>
    <w:rsid w:val="00BB7CF4"/>
    <w:rsid w:val="00BC0B66"/>
    <w:rsid w:val="00BC222B"/>
    <w:rsid w:val="00BC2367"/>
    <w:rsid w:val="00BC2963"/>
    <w:rsid w:val="00BC2DCF"/>
    <w:rsid w:val="00BC3FD4"/>
    <w:rsid w:val="00BC526E"/>
    <w:rsid w:val="00BD0506"/>
    <w:rsid w:val="00BD13D8"/>
    <w:rsid w:val="00BD18CE"/>
    <w:rsid w:val="00BD1CF1"/>
    <w:rsid w:val="00BD27A4"/>
    <w:rsid w:val="00BD71BD"/>
    <w:rsid w:val="00BE1F3F"/>
    <w:rsid w:val="00BE414B"/>
    <w:rsid w:val="00BE5EAE"/>
    <w:rsid w:val="00BE6F07"/>
    <w:rsid w:val="00BF0E06"/>
    <w:rsid w:val="00BF3C70"/>
    <w:rsid w:val="00C00760"/>
    <w:rsid w:val="00C0080A"/>
    <w:rsid w:val="00C03283"/>
    <w:rsid w:val="00C1082E"/>
    <w:rsid w:val="00C155F2"/>
    <w:rsid w:val="00C15749"/>
    <w:rsid w:val="00C157B7"/>
    <w:rsid w:val="00C20E83"/>
    <w:rsid w:val="00C222D3"/>
    <w:rsid w:val="00C2359A"/>
    <w:rsid w:val="00C248E1"/>
    <w:rsid w:val="00C33221"/>
    <w:rsid w:val="00C33716"/>
    <w:rsid w:val="00C37527"/>
    <w:rsid w:val="00C375D3"/>
    <w:rsid w:val="00C41D47"/>
    <w:rsid w:val="00C430D1"/>
    <w:rsid w:val="00C454D1"/>
    <w:rsid w:val="00C45D1D"/>
    <w:rsid w:val="00C475FF"/>
    <w:rsid w:val="00C4772D"/>
    <w:rsid w:val="00C55870"/>
    <w:rsid w:val="00C56398"/>
    <w:rsid w:val="00C56C7A"/>
    <w:rsid w:val="00C56E2A"/>
    <w:rsid w:val="00C61924"/>
    <w:rsid w:val="00C6369A"/>
    <w:rsid w:val="00C641C8"/>
    <w:rsid w:val="00C64CC5"/>
    <w:rsid w:val="00C65D01"/>
    <w:rsid w:val="00C66714"/>
    <w:rsid w:val="00C668DE"/>
    <w:rsid w:val="00C67CA2"/>
    <w:rsid w:val="00C70839"/>
    <w:rsid w:val="00C71922"/>
    <w:rsid w:val="00C72EC2"/>
    <w:rsid w:val="00C77179"/>
    <w:rsid w:val="00C82D3C"/>
    <w:rsid w:val="00C84B7D"/>
    <w:rsid w:val="00C87462"/>
    <w:rsid w:val="00C87BF5"/>
    <w:rsid w:val="00C87F9E"/>
    <w:rsid w:val="00C9182C"/>
    <w:rsid w:val="00C92354"/>
    <w:rsid w:val="00C9350E"/>
    <w:rsid w:val="00C93855"/>
    <w:rsid w:val="00C93FBD"/>
    <w:rsid w:val="00C95F52"/>
    <w:rsid w:val="00C96888"/>
    <w:rsid w:val="00CA24AD"/>
    <w:rsid w:val="00CA2975"/>
    <w:rsid w:val="00CA6059"/>
    <w:rsid w:val="00CA69B8"/>
    <w:rsid w:val="00CB292D"/>
    <w:rsid w:val="00CB461C"/>
    <w:rsid w:val="00CB5597"/>
    <w:rsid w:val="00CB5E46"/>
    <w:rsid w:val="00CB7F0D"/>
    <w:rsid w:val="00CC32B3"/>
    <w:rsid w:val="00CC4A69"/>
    <w:rsid w:val="00CC682F"/>
    <w:rsid w:val="00CC709E"/>
    <w:rsid w:val="00CD03D9"/>
    <w:rsid w:val="00CD55BD"/>
    <w:rsid w:val="00CD5D98"/>
    <w:rsid w:val="00CE0283"/>
    <w:rsid w:val="00CE270A"/>
    <w:rsid w:val="00CF2078"/>
    <w:rsid w:val="00CF3568"/>
    <w:rsid w:val="00CF3EF1"/>
    <w:rsid w:val="00CF4822"/>
    <w:rsid w:val="00CF4897"/>
    <w:rsid w:val="00CF5EB1"/>
    <w:rsid w:val="00CF7073"/>
    <w:rsid w:val="00D00697"/>
    <w:rsid w:val="00D03019"/>
    <w:rsid w:val="00D13A95"/>
    <w:rsid w:val="00D15375"/>
    <w:rsid w:val="00D15394"/>
    <w:rsid w:val="00D16785"/>
    <w:rsid w:val="00D16F87"/>
    <w:rsid w:val="00D202E4"/>
    <w:rsid w:val="00D206EA"/>
    <w:rsid w:val="00D208B8"/>
    <w:rsid w:val="00D22E28"/>
    <w:rsid w:val="00D22FEB"/>
    <w:rsid w:val="00D2384E"/>
    <w:rsid w:val="00D238CE"/>
    <w:rsid w:val="00D23F1B"/>
    <w:rsid w:val="00D33AEF"/>
    <w:rsid w:val="00D34C27"/>
    <w:rsid w:val="00D354A2"/>
    <w:rsid w:val="00D3602C"/>
    <w:rsid w:val="00D406A8"/>
    <w:rsid w:val="00D44429"/>
    <w:rsid w:val="00D45195"/>
    <w:rsid w:val="00D46181"/>
    <w:rsid w:val="00D4674C"/>
    <w:rsid w:val="00D520A4"/>
    <w:rsid w:val="00D52945"/>
    <w:rsid w:val="00D5570B"/>
    <w:rsid w:val="00D55A78"/>
    <w:rsid w:val="00D56E0F"/>
    <w:rsid w:val="00D57C74"/>
    <w:rsid w:val="00D61373"/>
    <w:rsid w:val="00D638AD"/>
    <w:rsid w:val="00D641E7"/>
    <w:rsid w:val="00D653CD"/>
    <w:rsid w:val="00D7023B"/>
    <w:rsid w:val="00D710DE"/>
    <w:rsid w:val="00D80E60"/>
    <w:rsid w:val="00D83D2D"/>
    <w:rsid w:val="00D841D8"/>
    <w:rsid w:val="00D84F34"/>
    <w:rsid w:val="00D856AC"/>
    <w:rsid w:val="00D8605F"/>
    <w:rsid w:val="00D86098"/>
    <w:rsid w:val="00D9193A"/>
    <w:rsid w:val="00D931CF"/>
    <w:rsid w:val="00D96345"/>
    <w:rsid w:val="00D975FD"/>
    <w:rsid w:val="00DA3036"/>
    <w:rsid w:val="00DA3976"/>
    <w:rsid w:val="00DA4C92"/>
    <w:rsid w:val="00DB3472"/>
    <w:rsid w:val="00DB3554"/>
    <w:rsid w:val="00DC3462"/>
    <w:rsid w:val="00DC4360"/>
    <w:rsid w:val="00DC636E"/>
    <w:rsid w:val="00DC7237"/>
    <w:rsid w:val="00DD2DD3"/>
    <w:rsid w:val="00DD3E0D"/>
    <w:rsid w:val="00DD40CB"/>
    <w:rsid w:val="00DD578A"/>
    <w:rsid w:val="00DD59A4"/>
    <w:rsid w:val="00DD655F"/>
    <w:rsid w:val="00DE003E"/>
    <w:rsid w:val="00DE127F"/>
    <w:rsid w:val="00DE262C"/>
    <w:rsid w:val="00DE485D"/>
    <w:rsid w:val="00DE5FB4"/>
    <w:rsid w:val="00DE6B40"/>
    <w:rsid w:val="00DE7341"/>
    <w:rsid w:val="00DF1402"/>
    <w:rsid w:val="00DF6D19"/>
    <w:rsid w:val="00DF7DE0"/>
    <w:rsid w:val="00E024A5"/>
    <w:rsid w:val="00E02FDA"/>
    <w:rsid w:val="00E048AB"/>
    <w:rsid w:val="00E04E4A"/>
    <w:rsid w:val="00E07A63"/>
    <w:rsid w:val="00E07B83"/>
    <w:rsid w:val="00E134AD"/>
    <w:rsid w:val="00E1505F"/>
    <w:rsid w:val="00E16630"/>
    <w:rsid w:val="00E17EC6"/>
    <w:rsid w:val="00E21A2B"/>
    <w:rsid w:val="00E230EB"/>
    <w:rsid w:val="00E23970"/>
    <w:rsid w:val="00E23B51"/>
    <w:rsid w:val="00E275D4"/>
    <w:rsid w:val="00E31264"/>
    <w:rsid w:val="00E321D0"/>
    <w:rsid w:val="00E359C8"/>
    <w:rsid w:val="00E36A73"/>
    <w:rsid w:val="00E4147F"/>
    <w:rsid w:val="00E41486"/>
    <w:rsid w:val="00E419F8"/>
    <w:rsid w:val="00E42BBC"/>
    <w:rsid w:val="00E43546"/>
    <w:rsid w:val="00E475C4"/>
    <w:rsid w:val="00E478BF"/>
    <w:rsid w:val="00E50D3D"/>
    <w:rsid w:val="00E5579C"/>
    <w:rsid w:val="00E55C37"/>
    <w:rsid w:val="00E55FBC"/>
    <w:rsid w:val="00E56313"/>
    <w:rsid w:val="00E57A1F"/>
    <w:rsid w:val="00E6129C"/>
    <w:rsid w:val="00E62504"/>
    <w:rsid w:val="00E64452"/>
    <w:rsid w:val="00E67EC3"/>
    <w:rsid w:val="00E70F50"/>
    <w:rsid w:val="00E7238B"/>
    <w:rsid w:val="00E727D1"/>
    <w:rsid w:val="00E808B4"/>
    <w:rsid w:val="00E80A28"/>
    <w:rsid w:val="00E82DCD"/>
    <w:rsid w:val="00E85D76"/>
    <w:rsid w:val="00E87734"/>
    <w:rsid w:val="00E90D86"/>
    <w:rsid w:val="00E90DB2"/>
    <w:rsid w:val="00E92A4B"/>
    <w:rsid w:val="00E94587"/>
    <w:rsid w:val="00E960F1"/>
    <w:rsid w:val="00EA013E"/>
    <w:rsid w:val="00EA1A2C"/>
    <w:rsid w:val="00EA25BA"/>
    <w:rsid w:val="00EA2779"/>
    <w:rsid w:val="00EA347D"/>
    <w:rsid w:val="00EA4821"/>
    <w:rsid w:val="00EA4E66"/>
    <w:rsid w:val="00EA5A30"/>
    <w:rsid w:val="00EA703A"/>
    <w:rsid w:val="00EB0AA5"/>
    <w:rsid w:val="00EB1091"/>
    <w:rsid w:val="00EB2A3F"/>
    <w:rsid w:val="00EB379A"/>
    <w:rsid w:val="00EB4D6F"/>
    <w:rsid w:val="00EB4E10"/>
    <w:rsid w:val="00EB6099"/>
    <w:rsid w:val="00EC0192"/>
    <w:rsid w:val="00EC1451"/>
    <w:rsid w:val="00EC2784"/>
    <w:rsid w:val="00EC2B5F"/>
    <w:rsid w:val="00EC338F"/>
    <w:rsid w:val="00EC3E9B"/>
    <w:rsid w:val="00EC666C"/>
    <w:rsid w:val="00EC6DD7"/>
    <w:rsid w:val="00ED1BC2"/>
    <w:rsid w:val="00ED259B"/>
    <w:rsid w:val="00ED4968"/>
    <w:rsid w:val="00EE0C2D"/>
    <w:rsid w:val="00EE2751"/>
    <w:rsid w:val="00EE2F62"/>
    <w:rsid w:val="00EE3F78"/>
    <w:rsid w:val="00EE7605"/>
    <w:rsid w:val="00EF078A"/>
    <w:rsid w:val="00EF31D6"/>
    <w:rsid w:val="00EF64FA"/>
    <w:rsid w:val="00F0034F"/>
    <w:rsid w:val="00F01F3E"/>
    <w:rsid w:val="00F02DAC"/>
    <w:rsid w:val="00F05EFB"/>
    <w:rsid w:val="00F06749"/>
    <w:rsid w:val="00F06B97"/>
    <w:rsid w:val="00F079B9"/>
    <w:rsid w:val="00F079FB"/>
    <w:rsid w:val="00F10225"/>
    <w:rsid w:val="00F12202"/>
    <w:rsid w:val="00F12368"/>
    <w:rsid w:val="00F13101"/>
    <w:rsid w:val="00F1310A"/>
    <w:rsid w:val="00F13BB7"/>
    <w:rsid w:val="00F168F3"/>
    <w:rsid w:val="00F16C7D"/>
    <w:rsid w:val="00F20738"/>
    <w:rsid w:val="00F21430"/>
    <w:rsid w:val="00F21E51"/>
    <w:rsid w:val="00F243AA"/>
    <w:rsid w:val="00F24B06"/>
    <w:rsid w:val="00F265AA"/>
    <w:rsid w:val="00F2677C"/>
    <w:rsid w:val="00F2749C"/>
    <w:rsid w:val="00F3155A"/>
    <w:rsid w:val="00F33A9C"/>
    <w:rsid w:val="00F41662"/>
    <w:rsid w:val="00F41899"/>
    <w:rsid w:val="00F43D55"/>
    <w:rsid w:val="00F46CAF"/>
    <w:rsid w:val="00F50769"/>
    <w:rsid w:val="00F50BA8"/>
    <w:rsid w:val="00F51DBA"/>
    <w:rsid w:val="00F53B51"/>
    <w:rsid w:val="00F55547"/>
    <w:rsid w:val="00F632C6"/>
    <w:rsid w:val="00F63A52"/>
    <w:rsid w:val="00F63FF1"/>
    <w:rsid w:val="00F6564B"/>
    <w:rsid w:val="00F73BF0"/>
    <w:rsid w:val="00F743D7"/>
    <w:rsid w:val="00F744F7"/>
    <w:rsid w:val="00F74B21"/>
    <w:rsid w:val="00F76123"/>
    <w:rsid w:val="00F8315D"/>
    <w:rsid w:val="00F854CB"/>
    <w:rsid w:val="00F85BD3"/>
    <w:rsid w:val="00F86B47"/>
    <w:rsid w:val="00F912AF"/>
    <w:rsid w:val="00F91544"/>
    <w:rsid w:val="00F96DC9"/>
    <w:rsid w:val="00FA0DC6"/>
    <w:rsid w:val="00FA10C7"/>
    <w:rsid w:val="00FA3801"/>
    <w:rsid w:val="00FA4798"/>
    <w:rsid w:val="00FA497B"/>
    <w:rsid w:val="00FA65C3"/>
    <w:rsid w:val="00FA7DDE"/>
    <w:rsid w:val="00FB1512"/>
    <w:rsid w:val="00FB39F1"/>
    <w:rsid w:val="00FB40AB"/>
    <w:rsid w:val="00FB6B88"/>
    <w:rsid w:val="00FC0907"/>
    <w:rsid w:val="00FC1322"/>
    <w:rsid w:val="00FC243F"/>
    <w:rsid w:val="00FC2862"/>
    <w:rsid w:val="00FC2C29"/>
    <w:rsid w:val="00FC2E5F"/>
    <w:rsid w:val="00FC3397"/>
    <w:rsid w:val="00FD00D0"/>
    <w:rsid w:val="00FD4E39"/>
    <w:rsid w:val="00FD5442"/>
    <w:rsid w:val="00FD572C"/>
    <w:rsid w:val="00FD5E4F"/>
    <w:rsid w:val="00FD6D83"/>
    <w:rsid w:val="00FD7B67"/>
    <w:rsid w:val="00FE4B62"/>
    <w:rsid w:val="00FE52C9"/>
    <w:rsid w:val="00FE5F6A"/>
    <w:rsid w:val="00FE6EB1"/>
    <w:rsid w:val="00FE74DA"/>
    <w:rsid w:val="00FE76BC"/>
    <w:rsid w:val="00FF03FC"/>
    <w:rsid w:val="00FF0747"/>
    <w:rsid w:val="00FF211A"/>
    <w:rsid w:val="00FF2EED"/>
    <w:rsid w:val="00FF34E3"/>
    <w:rsid w:val="00FF6E88"/>
    <w:rsid w:val="00FF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F944E"/>
  <w15:docId w15:val="{ACD35523-FAE0-4E6B-A458-671E8E3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val="en-GB" w:eastAsia="en-GB"/>
    </w:rPr>
  </w:style>
  <w:style w:type="paragraph" w:styleId="Heading1">
    <w:name w:val="heading 1"/>
    <w:basedOn w:val="Normal"/>
    <w:next w:val="Normal"/>
    <w:link w:val="Heading1Char"/>
    <w:uiPriority w:val="9"/>
    <w:qFormat/>
    <w:rsid w:val="006447A4"/>
    <w:pPr>
      <w:keepNext/>
      <w:keepLines/>
      <w:spacing w:before="240" w:line="480" w:lineRule="auto"/>
      <w:jc w:val="both"/>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link w:val="H1Char"/>
    <w:qFormat/>
    <w:rsid w:val="006C13AC"/>
    <w:pPr>
      <w:numPr>
        <w:numId w:val="1"/>
      </w:numPr>
      <w:tabs>
        <w:tab w:val="left" w:pos="567"/>
        <w:tab w:val="right" w:pos="8931"/>
      </w:tabs>
      <w:spacing w:after="240" w:line="480" w:lineRule="auto"/>
      <w:jc w:val="both"/>
    </w:pPr>
  </w:style>
  <w:style w:type="paragraph" w:customStyle="1" w:styleId="H2">
    <w:name w:val="H2"/>
    <w:basedOn w:val="Normal"/>
    <w:link w:val="H2Char"/>
    <w:qFormat/>
    <w:rsid w:val="006C13AC"/>
    <w:pPr>
      <w:numPr>
        <w:ilvl w:val="1"/>
        <w:numId w:val="1"/>
      </w:numPr>
      <w:tabs>
        <w:tab w:val="left" w:pos="1418"/>
        <w:tab w:val="right" w:pos="8931"/>
      </w:tabs>
      <w:spacing w:after="240" w:line="480" w:lineRule="auto"/>
      <w:jc w:val="both"/>
    </w:pPr>
  </w:style>
  <w:style w:type="character" w:customStyle="1" w:styleId="H1Char">
    <w:name w:val="H1 Char"/>
    <w:basedOn w:val="DefaultParagraphFont"/>
    <w:link w:val="H1"/>
    <w:rsid w:val="006C13AC"/>
    <w:rPr>
      <w:sz w:val="24"/>
      <w:szCs w:val="22"/>
      <w:lang w:val="en-GB" w:eastAsia="en-GB"/>
    </w:rPr>
  </w:style>
  <w:style w:type="paragraph" w:customStyle="1" w:styleId="H3">
    <w:name w:val="H3"/>
    <w:basedOn w:val="Normal"/>
    <w:link w:val="H3Char"/>
    <w:qFormat/>
    <w:rsid w:val="006C13AC"/>
    <w:pPr>
      <w:numPr>
        <w:ilvl w:val="2"/>
        <w:numId w:val="1"/>
      </w:numPr>
      <w:tabs>
        <w:tab w:val="clear" w:pos="1418"/>
        <w:tab w:val="num" w:pos="2268"/>
        <w:tab w:val="right" w:pos="8931"/>
      </w:tabs>
      <w:spacing w:after="240" w:line="480" w:lineRule="auto"/>
      <w:jc w:val="both"/>
    </w:pPr>
  </w:style>
  <w:style w:type="character" w:customStyle="1" w:styleId="H2Char">
    <w:name w:val="H2 Char"/>
    <w:basedOn w:val="DefaultParagraphFont"/>
    <w:link w:val="H2"/>
    <w:rsid w:val="006C13AC"/>
  </w:style>
  <w:style w:type="paragraph" w:customStyle="1" w:styleId="H4">
    <w:name w:val="H4"/>
    <w:basedOn w:val="Normal"/>
    <w:link w:val="H4Char"/>
    <w:qFormat/>
    <w:rsid w:val="000E7485"/>
    <w:pPr>
      <w:numPr>
        <w:ilvl w:val="3"/>
        <w:numId w:val="1"/>
      </w:numPr>
      <w:spacing w:after="240" w:line="480" w:lineRule="auto"/>
      <w:ind w:left="3402" w:hanging="1134"/>
      <w:jc w:val="both"/>
    </w:pPr>
  </w:style>
  <w:style w:type="character" w:customStyle="1" w:styleId="H3Char">
    <w:name w:val="H3 Char"/>
    <w:basedOn w:val="DefaultParagraphFont"/>
    <w:link w:val="H3"/>
    <w:rsid w:val="006C13AC"/>
  </w:style>
  <w:style w:type="paragraph" w:customStyle="1" w:styleId="B1">
    <w:name w:val="B1"/>
    <w:basedOn w:val="H1"/>
    <w:link w:val="B1Char"/>
    <w:qFormat/>
    <w:rsid w:val="006C13AC"/>
    <w:pPr>
      <w:numPr>
        <w:numId w:val="0"/>
      </w:numPr>
      <w:ind w:left="567"/>
    </w:pPr>
  </w:style>
  <w:style w:type="character" w:customStyle="1" w:styleId="H4Char">
    <w:name w:val="H4 Char"/>
    <w:basedOn w:val="DefaultParagraphFont"/>
    <w:link w:val="H4"/>
    <w:rsid w:val="000E7485"/>
  </w:style>
  <w:style w:type="paragraph" w:customStyle="1" w:styleId="B2">
    <w:name w:val="B2"/>
    <w:basedOn w:val="H2"/>
    <w:link w:val="B2Char"/>
    <w:qFormat/>
    <w:rsid w:val="000E7485"/>
    <w:pPr>
      <w:numPr>
        <w:ilvl w:val="0"/>
        <w:numId w:val="0"/>
      </w:numPr>
      <w:ind w:left="1418"/>
    </w:pPr>
  </w:style>
  <w:style w:type="character" w:customStyle="1" w:styleId="B1Char">
    <w:name w:val="B1 Char"/>
    <w:basedOn w:val="H1Char"/>
    <w:link w:val="B1"/>
    <w:rsid w:val="006C13AC"/>
    <w:rPr>
      <w:sz w:val="24"/>
      <w:szCs w:val="22"/>
      <w:lang w:val="en-GB" w:eastAsia="en-GB"/>
    </w:rPr>
  </w:style>
  <w:style w:type="paragraph" w:customStyle="1" w:styleId="B3">
    <w:name w:val="B3"/>
    <w:basedOn w:val="H3"/>
    <w:link w:val="B3Char"/>
    <w:qFormat/>
    <w:rsid w:val="000E7485"/>
    <w:pPr>
      <w:numPr>
        <w:ilvl w:val="0"/>
        <w:numId w:val="0"/>
      </w:numPr>
      <w:ind w:left="2268"/>
    </w:pPr>
  </w:style>
  <w:style w:type="character" w:customStyle="1" w:styleId="B2Char">
    <w:name w:val="B2 Char"/>
    <w:basedOn w:val="H2Char"/>
    <w:link w:val="B2"/>
    <w:rsid w:val="000E7485"/>
  </w:style>
  <w:style w:type="paragraph" w:customStyle="1" w:styleId="B4">
    <w:name w:val="B4"/>
    <w:basedOn w:val="H4"/>
    <w:link w:val="B4Char"/>
    <w:qFormat/>
    <w:rsid w:val="000E7485"/>
    <w:pPr>
      <w:numPr>
        <w:ilvl w:val="0"/>
        <w:numId w:val="0"/>
      </w:numPr>
      <w:ind w:left="3402"/>
    </w:pPr>
  </w:style>
  <w:style w:type="character" w:customStyle="1" w:styleId="B3Char">
    <w:name w:val="B3 Char"/>
    <w:basedOn w:val="H3Char"/>
    <w:link w:val="B3"/>
    <w:rsid w:val="000E7485"/>
  </w:style>
  <w:style w:type="paragraph" w:customStyle="1" w:styleId="Names">
    <w:name w:val="Names"/>
    <w:basedOn w:val="Normal"/>
    <w:link w:val="NamesChar"/>
    <w:qFormat/>
    <w:rsid w:val="008C02A2"/>
    <w:pPr>
      <w:spacing w:line="480" w:lineRule="auto"/>
      <w:jc w:val="both"/>
    </w:pPr>
    <w:rPr>
      <w:b/>
      <w:caps/>
    </w:rPr>
  </w:style>
  <w:style w:type="character" w:customStyle="1" w:styleId="B4Char">
    <w:name w:val="B4 Char"/>
    <w:basedOn w:val="H4Char"/>
    <w:link w:val="B4"/>
    <w:rsid w:val="000E7485"/>
  </w:style>
  <w:style w:type="character" w:customStyle="1" w:styleId="NamesChar">
    <w:name w:val="Names Char"/>
    <w:link w:val="Names"/>
    <w:rsid w:val="008C02A2"/>
    <w:rPr>
      <w:b/>
      <w:caps/>
    </w:rPr>
  </w:style>
  <w:style w:type="paragraph" w:styleId="Header">
    <w:name w:val="header"/>
    <w:basedOn w:val="Normal"/>
    <w:link w:val="HeaderChar"/>
    <w:uiPriority w:val="99"/>
    <w:unhideWhenUsed/>
    <w:rsid w:val="000B191D"/>
    <w:pPr>
      <w:tabs>
        <w:tab w:val="center" w:pos="4513"/>
        <w:tab w:val="right" w:pos="9026"/>
      </w:tabs>
    </w:pPr>
  </w:style>
  <w:style w:type="character" w:customStyle="1" w:styleId="HeaderChar">
    <w:name w:val="Header Char"/>
    <w:link w:val="Header"/>
    <w:uiPriority w:val="99"/>
    <w:rsid w:val="000B191D"/>
    <w:rPr>
      <w:sz w:val="24"/>
      <w:szCs w:val="22"/>
      <w:lang w:val="en-GB" w:eastAsia="en-GB"/>
    </w:rPr>
  </w:style>
  <w:style w:type="paragraph" w:styleId="Footer">
    <w:name w:val="footer"/>
    <w:basedOn w:val="Normal"/>
    <w:link w:val="FooterChar"/>
    <w:uiPriority w:val="99"/>
    <w:unhideWhenUsed/>
    <w:rsid w:val="000B191D"/>
    <w:pPr>
      <w:tabs>
        <w:tab w:val="center" w:pos="4513"/>
        <w:tab w:val="right" w:pos="9026"/>
      </w:tabs>
    </w:pPr>
  </w:style>
  <w:style w:type="character" w:customStyle="1" w:styleId="FooterChar">
    <w:name w:val="Footer Char"/>
    <w:link w:val="Footer"/>
    <w:uiPriority w:val="99"/>
    <w:rsid w:val="000B191D"/>
    <w:rPr>
      <w:sz w:val="24"/>
      <w:szCs w:val="22"/>
      <w:lang w:val="en-GB" w:eastAsia="en-GB"/>
    </w:rPr>
  </w:style>
  <w:style w:type="paragraph" w:styleId="ListParagraph">
    <w:name w:val="List Paragraph"/>
    <w:basedOn w:val="Normal"/>
    <w:uiPriority w:val="34"/>
    <w:qFormat/>
    <w:rsid w:val="00125982"/>
    <w:pPr>
      <w:ind w:left="720"/>
      <w:contextualSpacing/>
    </w:pPr>
  </w:style>
  <w:style w:type="character" w:customStyle="1" w:styleId="Heading1Char">
    <w:name w:val="Heading 1 Char"/>
    <w:basedOn w:val="DefaultParagraphFont"/>
    <w:link w:val="Heading1"/>
    <w:uiPriority w:val="9"/>
    <w:rsid w:val="006447A4"/>
    <w:rPr>
      <w:rFonts w:eastAsiaTheme="majorEastAsia" w:cstheme="majorBidi"/>
      <w:sz w:val="24"/>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56567">
      <w:bodyDiv w:val="1"/>
      <w:marLeft w:val="0"/>
      <w:marRight w:val="0"/>
      <w:marTop w:val="0"/>
      <w:marBottom w:val="0"/>
      <w:divBdr>
        <w:top w:val="none" w:sz="0" w:space="0" w:color="auto"/>
        <w:left w:val="none" w:sz="0" w:space="0" w:color="auto"/>
        <w:bottom w:val="none" w:sz="0" w:space="0" w:color="auto"/>
        <w:right w:val="none" w:sz="0" w:space="0" w:color="auto"/>
      </w:divBdr>
    </w:div>
    <w:div w:id="21369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Desktop\Documents\Templates\Template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Affidavit</Template>
  <TotalTime>1</TotalTime>
  <Pages>15</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dc:creator>
  <cp:lastModifiedBy>Mokone</cp:lastModifiedBy>
  <cp:revision>3</cp:revision>
  <cp:lastPrinted>2023-08-02T07:10:00Z</cp:lastPrinted>
  <dcterms:created xsi:type="dcterms:W3CDTF">2023-08-15T07:52:00Z</dcterms:created>
  <dcterms:modified xsi:type="dcterms:W3CDTF">2023-08-15T07:53:00Z</dcterms:modified>
</cp:coreProperties>
</file>