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D5E7" w14:textId="77777777" w:rsidR="003613D7" w:rsidRPr="00D04FE6" w:rsidRDefault="003613D7" w:rsidP="003613D7">
      <w:pPr>
        <w:spacing w:line="240" w:lineRule="auto"/>
        <w:jc w:val="center"/>
        <w:rPr>
          <w:rFonts w:cs="Arial"/>
          <w:b/>
        </w:rPr>
      </w:pPr>
      <w:r w:rsidRPr="00D04FE6">
        <w:rPr>
          <w:rFonts w:cs="Arial"/>
          <w:noProof/>
          <w:lang w:val="en-US"/>
        </w:rPr>
        <w:drawing>
          <wp:inline distT="0" distB="0" distL="0" distR="0" wp14:anchorId="4D608F8E" wp14:editId="0C700691">
            <wp:extent cx="1609725" cy="14763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5227" cy="1499764"/>
                    </a:xfrm>
                    <a:prstGeom prst="rect">
                      <a:avLst/>
                    </a:prstGeom>
                    <a:noFill/>
                  </pic:spPr>
                </pic:pic>
              </a:graphicData>
            </a:graphic>
          </wp:inline>
        </w:drawing>
      </w:r>
    </w:p>
    <w:p w14:paraId="74CDE7F7" w14:textId="77777777" w:rsidR="003613D7" w:rsidRPr="00D04FE6" w:rsidRDefault="003613D7" w:rsidP="003613D7">
      <w:pPr>
        <w:spacing w:line="240" w:lineRule="auto"/>
        <w:jc w:val="center"/>
        <w:rPr>
          <w:rFonts w:cs="Arial"/>
          <w:b/>
        </w:rPr>
      </w:pPr>
    </w:p>
    <w:p w14:paraId="1A48E1E6" w14:textId="77777777" w:rsidR="003613D7" w:rsidRPr="0034599E" w:rsidRDefault="003613D7" w:rsidP="003613D7">
      <w:pPr>
        <w:jc w:val="center"/>
        <w:rPr>
          <w:rFonts w:cs="Arial"/>
          <w:b/>
          <w:szCs w:val="24"/>
        </w:rPr>
      </w:pPr>
      <w:r w:rsidRPr="0034599E">
        <w:rPr>
          <w:rFonts w:cs="Arial"/>
          <w:b/>
          <w:szCs w:val="24"/>
        </w:rPr>
        <w:t xml:space="preserve">IN THE </w:t>
      </w:r>
      <w:r>
        <w:rPr>
          <w:rFonts w:cs="Arial"/>
          <w:b/>
          <w:szCs w:val="24"/>
        </w:rPr>
        <w:t>H</w:t>
      </w:r>
      <w:r w:rsidRPr="0034599E">
        <w:rPr>
          <w:rFonts w:cs="Arial"/>
          <w:b/>
          <w:szCs w:val="24"/>
        </w:rPr>
        <w:t>IGH COURT OF SOUTH AFRICA</w:t>
      </w:r>
    </w:p>
    <w:p w14:paraId="790EEF12" w14:textId="77777777" w:rsidR="003613D7" w:rsidRPr="0034599E" w:rsidRDefault="003613D7" w:rsidP="003613D7">
      <w:pPr>
        <w:jc w:val="center"/>
        <w:rPr>
          <w:rFonts w:cs="Arial"/>
          <w:b/>
          <w:szCs w:val="24"/>
        </w:rPr>
      </w:pPr>
      <w:r w:rsidRPr="0034599E">
        <w:rPr>
          <w:rFonts w:cs="Arial"/>
          <w:b/>
          <w:szCs w:val="24"/>
        </w:rPr>
        <w:t xml:space="preserve">(EASTERN CAPE DIVISION, </w:t>
      </w:r>
      <w:r>
        <w:rPr>
          <w:rFonts w:cs="Arial"/>
          <w:b/>
          <w:szCs w:val="24"/>
        </w:rPr>
        <w:t>EAST LONDON LOCAL COURT</w:t>
      </w:r>
      <w:r w:rsidRPr="0034599E">
        <w:rPr>
          <w:rFonts w:cs="Arial"/>
          <w:b/>
          <w:szCs w:val="24"/>
        </w:rPr>
        <w:t>)</w:t>
      </w:r>
    </w:p>
    <w:p w14:paraId="4CF6806C" w14:textId="77777777" w:rsidR="003613D7" w:rsidRPr="0034599E" w:rsidRDefault="003613D7" w:rsidP="003613D7">
      <w:pPr>
        <w:jc w:val="center"/>
        <w:rPr>
          <w:rFonts w:cs="Arial"/>
          <w:b/>
          <w:szCs w:val="24"/>
        </w:rPr>
      </w:pPr>
    </w:p>
    <w:p w14:paraId="27A984E1" w14:textId="77777777" w:rsidR="003613D7" w:rsidRPr="0034599E" w:rsidRDefault="003613D7" w:rsidP="003613D7">
      <w:pPr>
        <w:ind w:left="5400" w:firstLine="360"/>
        <w:jc w:val="right"/>
        <w:rPr>
          <w:rFonts w:cs="Arial"/>
          <w:b/>
          <w:szCs w:val="24"/>
        </w:rPr>
      </w:pPr>
      <w:r>
        <w:rPr>
          <w:rFonts w:cs="Arial"/>
          <w:b/>
          <w:szCs w:val="24"/>
        </w:rPr>
        <w:t xml:space="preserve">   </w:t>
      </w:r>
      <w:r w:rsidRPr="0034599E">
        <w:rPr>
          <w:rFonts w:cs="Arial"/>
          <w:b/>
          <w:szCs w:val="24"/>
        </w:rPr>
        <w:t xml:space="preserve">CASE NO: </w:t>
      </w:r>
      <w:r>
        <w:rPr>
          <w:rFonts w:cs="Arial"/>
          <w:b/>
          <w:szCs w:val="24"/>
        </w:rPr>
        <w:t>1440/2023</w:t>
      </w:r>
    </w:p>
    <w:p w14:paraId="2D5B76D1" w14:textId="77777777" w:rsidR="003613D7" w:rsidRPr="0034599E" w:rsidRDefault="003613D7" w:rsidP="003613D7">
      <w:pPr>
        <w:ind w:left="0" w:firstLine="0"/>
        <w:jc w:val="left"/>
        <w:rPr>
          <w:rFonts w:cs="Arial"/>
          <w:b/>
          <w:szCs w:val="24"/>
        </w:rPr>
      </w:pPr>
    </w:p>
    <w:p w14:paraId="28EA09EB" w14:textId="77777777" w:rsidR="003613D7" w:rsidRPr="0034599E" w:rsidRDefault="003613D7" w:rsidP="003613D7">
      <w:pPr>
        <w:spacing w:line="276" w:lineRule="auto"/>
        <w:ind w:left="0" w:firstLine="0"/>
        <w:jc w:val="left"/>
        <w:rPr>
          <w:rFonts w:cs="Arial"/>
          <w:szCs w:val="24"/>
        </w:rPr>
      </w:pPr>
      <w:r w:rsidRPr="0034599E">
        <w:rPr>
          <w:rFonts w:cs="Arial"/>
          <w:szCs w:val="24"/>
        </w:rPr>
        <w:t>In the matter between:</w:t>
      </w:r>
    </w:p>
    <w:p w14:paraId="358B359E" w14:textId="77777777" w:rsidR="003613D7" w:rsidRPr="0034599E" w:rsidRDefault="003613D7" w:rsidP="003613D7">
      <w:pPr>
        <w:rPr>
          <w:rFonts w:cs="Arial"/>
          <w:szCs w:val="24"/>
        </w:rPr>
      </w:pPr>
    </w:p>
    <w:p w14:paraId="3894BF8C" w14:textId="726BF564" w:rsidR="003613D7" w:rsidRDefault="003613D7" w:rsidP="003613D7">
      <w:pPr>
        <w:rPr>
          <w:rFonts w:cs="Arial"/>
          <w:bCs/>
          <w:szCs w:val="24"/>
        </w:rPr>
      </w:pPr>
      <w:r>
        <w:rPr>
          <w:rFonts w:cs="Arial"/>
          <w:b/>
          <w:szCs w:val="24"/>
        </w:rPr>
        <w:t>MILLICENT MOLOS</w:t>
      </w:r>
      <w:r w:rsidR="0030685C">
        <w:rPr>
          <w:rFonts w:cs="Arial"/>
          <w:b/>
          <w:szCs w:val="24"/>
        </w:rPr>
        <w:t>E</w:t>
      </w:r>
      <w:r>
        <w:rPr>
          <w:rFonts w:cs="Arial"/>
          <w:b/>
          <w:szCs w:val="24"/>
        </w:rPr>
        <w:t xml:space="preserve"> N.O.</w:t>
      </w:r>
      <w:r w:rsidRPr="0034599E">
        <w:rPr>
          <w:rFonts w:cs="Arial"/>
          <w:b/>
          <w:szCs w:val="24"/>
        </w:rPr>
        <w:tab/>
      </w:r>
      <w:r>
        <w:rPr>
          <w:rFonts w:cs="Arial"/>
          <w:b/>
          <w:szCs w:val="24"/>
        </w:rPr>
        <w:tab/>
      </w:r>
      <w:r w:rsidRPr="00072F32">
        <w:rPr>
          <w:rFonts w:cs="Arial"/>
          <w:szCs w:val="24"/>
        </w:rPr>
        <w:t xml:space="preserve">    </w:t>
      </w:r>
      <w:r>
        <w:rPr>
          <w:rFonts w:cs="Arial"/>
          <w:szCs w:val="24"/>
        </w:rPr>
        <w:tab/>
      </w:r>
      <w:r>
        <w:rPr>
          <w:rFonts w:cs="Arial"/>
          <w:szCs w:val="24"/>
        </w:rPr>
        <w:tab/>
      </w:r>
      <w:r>
        <w:rPr>
          <w:rFonts w:cs="Arial"/>
          <w:szCs w:val="24"/>
        </w:rPr>
        <w:tab/>
      </w:r>
      <w:r>
        <w:rPr>
          <w:rFonts w:cs="Arial"/>
          <w:szCs w:val="24"/>
        </w:rPr>
        <w:tab/>
        <w:t xml:space="preserve">       </w:t>
      </w:r>
      <w:r w:rsidRPr="00072F32">
        <w:rPr>
          <w:rFonts w:cs="Arial"/>
          <w:szCs w:val="24"/>
        </w:rPr>
        <w:t xml:space="preserve">  First </w:t>
      </w:r>
      <w:r w:rsidRPr="00072F32">
        <w:rPr>
          <w:rFonts w:cs="Arial"/>
          <w:bCs/>
          <w:szCs w:val="24"/>
        </w:rPr>
        <w:t>Applicant</w:t>
      </w:r>
    </w:p>
    <w:p w14:paraId="3D852CD6" w14:textId="77777777" w:rsidR="003613D7" w:rsidRDefault="003613D7" w:rsidP="003613D7">
      <w:pPr>
        <w:rPr>
          <w:rFonts w:cs="Arial"/>
          <w:bCs/>
          <w:szCs w:val="24"/>
        </w:rPr>
      </w:pPr>
    </w:p>
    <w:p w14:paraId="3915D274" w14:textId="612FC448" w:rsidR="003613D7" w:rsidRDefault="0030685C" w:rsidP="003613D7">
      <w:pPr>
        <w:rPr>
          <w:rFonts w:cs="Arial"/>
          <w:bCs/>
          <w:szCs w:val="24"/>
        </w:rPr>
      </w:pPr>
      <w:r>
        <w:rPr>
          <w:rFonts w:cs="Arial"/>
          <w:b/>
          <w:bCs/>
          <w:szCs w:val="24"/>
        </w:rPr>
        <w:t>ANDISWA FITSHANE N.O.</w:t>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t xml:space="preserve">    Second Applicant</w:t>
      </w:r>
    </w:p>
    <w:p w14:paraId="2CE6DE72" w14:textId="712BC735" w:rsidR="0030685C" w:rsidRDefault="0030685C" w:rsidP="003613D7">
      <w:pPr>
        <w:rPr>
          <w:rFonts w:cs="Arial"/>
          <w:bCs/>
          <w:szCs w:val="24"/>
        </w:rPr>
      </w:pPr>
    </w:p>
    <w:p w14:paraId="378623A8" w14:textId="48C19723" w:rsidR="0030685C" w:rsidRDefault="0030685C" w:rsidP="003613D7">
      <w:pPr>
        <w:rPr>
          <w:rFonts w:cs="Arial"/>
          <w:bCs/>
          <w:szCs w:val="24"/>
        </w:rPr>
      </w:pPr>
      <w:r w:rsidRPr="0030685C">
        <w:rPr>
          <w:rFonts w:cs="Arial"/>
          <w:b/>
          <w:bCs/>
          <w:szCs w:val="24"/>
        </w:rPr>
        <w:t>THANDISWA XHANTI N.O.</w:t>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t xml:space="preserve">        Third Applicant</w:t>
      </w:r>
    </w:p>
    <w:p w14:paraId="4F103A39" w14:textId="7B5BF87F" w:rsidR="0030685C" w:rsidRDefault="0030685C" w:rsidP="003613D7">
      <w:pPr>
        <w:rPr>
          <w:rFonts w:cs="Arial"/>
          <w:bCs/>
          <w:szCs w:val="24"/>
        </w:rPr>
      </w:pPr>
    </w:p>
    <w:p w14:paraId="125909A4" w14:textId="3C656A61" w:rsidR="0030685C" w:rsidRDefault="0030685C" w:rsidP="003613D7">
      <w:pPr>
        <w:rPr>
          <w:rFonts w:cs="Arial"/>
          <w:bCs/>
          <w:szCs w:val="24"/>
        </w:rPr>
      </w:pPr>
      <w:r w:rsidRPr="0030685C">
        <w:rPr>
          <w:rFonts w:cs="Arial"/>
          <w:b/>
          <w:bCs/>
          <w:szCs w:val="24"/>
        </w:rPr>
        <w:t>LIHLE MININYE</w:t>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Cs/>
          <w:szCs w:val="24"/>
        </w:rPr>
        <w:tab/>
      </w:r>
      <w:r>
        <w:rPr>
          <w:rFonts w:cs="Arial"/>
          <w:bCs/>
          <w:szCs w:val="24"/>
        </w:rPr>
        <w:tab/>
        <w:t xml:space="preserve">      Fourth Applicant</w:t>
      </w:r>
    </w:p>
    <w:p w14:paraId="49B24F17" w14:textId="481EC37D" w:rsidR="0030685C" w:rsidRDefault="0030685C" w:rsidP="003613D7">
      <w:pPr>
        <w:rPr>
          <w:rFonts w:cs="Arial"/>
          <w:bCs/>
          <w:szCs w:val="24"/>
        </w:rPr>
      </w:pPr>
    </w:p>
    <w:p w14:paraId="5F3E7A56" w14:textId="6D37824F" w:rsidR="0030685C" w:rsidRDefault="0030685C" w:rsidP="003613D7">
      <w:pPr>
        <w:rPr>
          <w:rFonts w:cs="Arial"/>
          <w:bCs/>
          <w:szCs w:val="24"/>
        </w:rPr>
      </w:pPr>
      <w:r>
        <w:rPr>
          <w:rFonts w:cs="Arial"/>
          <w:b/>
          <w:bCs/>
          <w:szCs w:val="24"/>
        </w:rPr>
        <w:t>MIRRIAM PIKANI N.O.</w:t>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t xml:space="preserve">         </w:t>
      </w:r>
      <w:r>
        <w:rPr>
          <w:rFonts w:cs="Arial"/>
          <w:bCs/>
          <w:szCs w:val="24"/>
        </w:rPr>
        <w:t>Fifth Applicant</w:t>
      </w:r>
    </w:p>
    <w:p w14:paraId="14716653" w14:textId="7E592BB3" w:rsidR="0030685C" w:rsidRDefault="0030685C" w:rsidP="003613D7">
      <w:pPr>
        <w:rPr>
          <w:rFonts w:cs="Arial"/>
          <w:bCs/>
          <w:szCs w:val="24"/>
        </w:rPr>
      </w:pPr>
    </w:p>
    <w:p w14:paraId="3DEE5B87" w14:textId="0EC9A423" w:rsidR="0030685C" w:rsidRDefault="0030685C" w:rsidP="003613D7">
      <w:pPr>
        <w:rPr>
          <w:rFonts w:cs="Arial"/>
          <w:bCs/>
          <w:szCs w:val="24"/>
        </w:rPr>
      </w:pPr>
      <w:r w:rsidRPr="0030685C">
        <w:rPr>
          <w:rFonts w:cs="Arial"/>
          <w:b/>
          <w:bCs/>
          <w:szCs w:val="24"/>
        </w:rPr>
        <w:t>YANDISA FENI N.O.</w:t>
      </w:r>
      <w:r w:rsidRPr="0030685C">
        <w:rPr>
          <w:rFonts w:cs="Arial"/>
          <w:b/>
          <w:bCs/>
          <w:szCs w:val="24"/>
        </w:rPr>
        <w:tab/>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t xml:space="preserve">        Sixth Applicant</w:t>
      </w:r>
    </w:p>
    <w:p w14:paraId="68AA9EEA" w14:textId="411A858C" w:rsidR="0030685C" w:rsidRDefault="0030685C" w:rsidP="003613D7">
      <w:pPr>
        <w:rPr>
          <w:rFonts w:cs="Arial"/>
          <w:bCs/>
          <w:szCs w:val="24"/>
        </w:rPr>
      </w:pPr>
    </w:p>
    <w:p w14:paraId="31821358" w14:textId="1234272C" w:rsidR="0030685C" w:rsidRDefault="0030685C" w:rsidP="003613D7">
      <w:pPr>
        <w:rPr>
          <w:rFonts w:cs="Arial"/>
          <w:bCs/>
          <w:szCs w:val="24"/>
        </w:rPr>
      </w:pPr>
      <w:r>
        <w:rPr>
          <w:rFonts w:cs="Arial"/>
          <w:b/>
          <w:bCs/>
          <w:szCs w:val="24"/>
        </w:rPr>
        <w:t>NOLUKHO NKAMPA N.O.</w:t>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t xml:space="preserve">   </w:t>
      </w:r>
      <w:r>
        <w:rPr>
          <w:rFonts w:cs="Arial"/>
          <w:bCs/>
          <w:szCs w:val="24"/>
        </w:rPr>
        <w:t>Seventh Applicant</w:t>
      </w:r>
    </w:p>
    <w:p w14:paraId="75CF81B2" w14:textId="51BFBA52" w:rsidR="0030685C" w:rsidRDefault="0030685C" w:rsidP="003613D7">
      <w:pPr>
        <w:rPr>
          <w:rFonts w:cs="Arial"/>
          <w:bCs/>
          <w:szCs w:val="24"/>
        </w:rPr>
      </w:pPr>
    </w:p>
    <w:p w14:paraId="435BB062" w14:textId="3110CC59" w:rsidR="0030685C" w:rsidRDefault="0030685C" w:rsidP="003613D7">
      <w:pPr>
        <w:rPr>
          <w:rFonts w:cs="Arial"/>
          <w:bCs/>
          <w:szCs w:val="24"/>
        </w:rPr>
      </w:pPr>
      <w:r>
        <w:rPr>
          <w:rFonts w:cs="Arial"/>
          <w:b/>
          <w:bCs/>
          <w:szCs w:val="24"/>
        </w:rPr>
        <w:t>SIVE MDENI N.O.</w:t>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Cs/>
          <w:szCs w:val="24"/>
        </w:rPr>
        <w:tab/>
      </w:r>
      <w:r>
        <w:rPr>
          <w:rFonts w:cs="Arial"/>
          <w:bCs/>
          <w:szCs w:val="24"/>
        </w:rPr>
        <w:tab/>
      </w:r>
      <w:r>
        <w:rPr>
          <w:rFonts w:cs="Arial"/>
          <w:bCs/>
          <w:szCs w:val="24"/>
        </w:rPr>
        <w:tab/>
        <w:t xml:space="preserve">        Eight Applicant</w:t>
      </w:r>
    </w:p>
    <w:p w14:paraId="6C7C3A43" w14:textId="06D93517" w:rsidR="0030685C" w:rsidRDefault="0030685C" w:rsidP="003613D7">
      <w:pPr>
        <w:rPr>
          <w:rFonts w:cs="Arial"/>
          <w:bCs/>
          <w:szCs w:val="24"/>
        </w:rPr>
      </w:pPr>
    </w:p>
    <w:p w14:paraId="55D6748B" w14:textId="03DEF96F" w:rsidR="0030685C" w:rsidRDefault="0030685C" w:rsidP="003613D7">
      <w:pPr>
        <w:rPr>
          <w:rFonts w:cs="Arial"/>
          <w:bCs/>
          <w:szCs w:val="24"/>
        </w:rPr>
      </w:pPr>
      <w:r>
        <w:rPr>
          <w:rFonts w:cs="Arial"/>
          <w:b/>
          <w:bCs/>
          <w:szCs w:val="24"/>
        </w:rPr>
        <w:t>NO-OMA MNYIBASHE N.O.</w:t>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t xml:space="preserve">        </w:t>
      </w:r>
      <w:r>
        <w:rPr>
          <w:rFonts w:cs="Arial"/>
          <w:bCs/>
          <w:szCs w:val="24"/>
        </w:rPr>
        <w:t>Ninth Applicant</w:t>
      </w:r>
    </w:p>
    <w:p w14:paraId="1C13C9AE" w14:textId="629436C2" w:rsidR="0030685C" w:rsidRDefault="0030685C" w:rsidP="003613D7">
      <w:pPr>
        <w:rPr>
          <w:rFonts w:cs="Arial"/>
          <w:bCs/>
          <w:szCs w:val="24"/>
        </w:rPr>
      </w:pPr>
    </w:p>
    <w:p w14:paraId="6B05921B" w14:textId="5E905412" w:rsidR="0030685C" w:rsidRDefault="0030685C" w:rsidP="003613D7">
      <w:pPr>
        <w:rPr>
          <w:rFonts w:cs="Arial"/>
          <w:bCs/>
          <w:szCs w:val="24"/>
        </w:rPr>
      </w:pPr>
      <w:r w:rsidRPr="0030685C">
        <w:rPr>
          <w:rFonts w:cs="Arial"/>
          <w:b/>
          <w:bCs/>
          <w:szCs w:val="24"/>
        </w:rPr>
        <w:lastRenderedPageBreak/>
        <w:t>ANALO DOVALA N.O.</w:t>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Cs/>
          <w:szCs w:val="24"/>
        </w:rPr>
        <w:tab/>
        <w:t xml:space="preserve">       Tenth Applicant</w:t>
      </w:r>
    </w:p>
    <w:p w14:paraId="61F62236" w14:textId="37074278" w:rsidR="0030685C" w:rsidRDefault="0030685C" w:rsidP="003613D7">
      <w:pPr>
        <w:rPr>
          <w:rFonts w:cs="Arial"/>
          <w:bCs/>
          <w:szCs w:val="24"/>
        </w:rPr>
      </w:pPr>
    </w:p>
    <w:p w14:paraId="2C8DD308" w14:textId="22C489F5" w:rsidR="0030685C" w:rsidRPr="0030685C" w:rsidRDefault="0030685C" w:rsidP="003613D7">
      <w:pPr>
        <w:rPr>
          <w:rFonts w:cs="Arial"/>
          <w:bCs/>
          <w:szCs w:val="24"/>
        </w:rPr>
      </w:pPr>
      <w:r>
        <w:rPr>
          <w:rFonts w:cs="Arial"/>
          <w:b/>
          <w:bCs/>
          <w:szCs w:val="24"/>
        </w:rPr>
        <w:t>OLWETHU BALIKHULU N.O.</w:t>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t xml:space="preserve">  </w:t>
      </w:r>
      <w:r>
        <w:rPr>
          <w:rFonts w:cs="Arial"/>
          <w:bCs/>
          <w:szCs w:val="24"/>
        </w:rPr>
        <w:t>Eleventh Applicant</w:t>
      </w:r>
    </w:p>
    <w:p w14:paraId="15377546" w14:textId="77777777" w:rsidR="003613D7" w:rsidRDefault="003613D7" w:rsidP="003613D7">
      <w:pPr>
        <w:rPr>
          <w:rFonts w:cs="Arial"/>
          <w:bCs/>
          <w:szCs w:val="24"/>
        </w:rPr>
      </w:pPr>
    </w:p>
    <w:p w14:paraId="0B9ABCB3" w14:textId="77777777" w:rsidR="003613D7" w:rsidRPr="0034599E" w:rsidRDefault="003613D7" w:rsidP="003613D7">
      <w:pPr>
        <w:rPr>
          <w:rFonts w:cs="Arial"/>
          <w:szCs w:val="24"/>
        </w:rPr>
      </w:pPr>
      <w:r w:rsidRPr="0034599E">
        <w:rPr>
          <w:rFonts w:cs="Arial"/>
          <w:szCs w:val="24"/>
        </w:rPr>
        <w:t>and</w:t>
      </w:r>
    </w:p>
    <w:p w14:paraId="4A45D054" w14:textId="77777777" w:rsidR="003613D7" w:rsidRPr="0034599E" w:rsidRDefault="003613D7" w:rsidP="003613D7">
      <w:pPr>
        <w:tabs>
          <w:tab w:val="left" w:pos="5670"/>
        </w:tabs>
        <w:ind w:left="0" w:firstLine="0"/>
        <w:rPr>
          <w:rFonts w:cs="Arial"/>
          <w:b/>
          <w:szCs w:val="24"/>
        </w:rPr>
      </w:pPr>
      <w:r>
        <w:rPr>
          <w:rFonts w:cs="Arial"/>
          <w:b/>
          <w:szCs w:val="24"/>
        </w:rPr>
        <w:tab/>
      </w:r>
    </w:p>
    <w:p w14:paraId="73561448" w14:textId="77777777" w:rsidR="003613D7" w:rsidRDefault="003613D7" w:rsidP="003613D7">
      <w:pPr>
        <w:tabs>
          <w:tab w:val="left" w:pos="5670"/>
        </w:tabs>
        <w:ind w:left="0" w:firstLine="0"/>
        <w:jc w:val="left"/>
        <w:rPr>
          <w:rFonts w:cs="Arial"/>
          <w:szCs w:val="24"/>
        </w:rPr>
      </w:pPr>
      <w:r>
        <w:rPr>
          <w:rFonts w:cs="Arial"/>
          <w:b/>
          <w:szCs w:val="24"/>
        </w:rPr>
        <w:t>ZACK MACK MICHAEL NONXUBA</w:t>
      </w:r>
      <w:r w:rsidRPr="0034599E">
        <w:rPr>
          <w:rFonts w:cs="Arial"/>
          <w:b/>
          <w:szCs w:val="24"/>
        </w:rPr>
        <w:tab/>
        <w:t xml:space="preserve">        </w:t>
      </w:r>
      <w:r>
        <w:rPr>
          <w:rFonts w:cs="Arial"/>
          <w:b/>
          <w:szCs w:val="24"/>
        </w:rPr>
        <w:tab/>
      </w:r>
      <w:r>
        <w:rPr>
          <w:rFonts w:cs="Arial"/>
          <w:b/>
          <w:szCs w:val="24"/>
        </w:rPr>
        <w:tab/>
        <w:t xml:space="preserve">  </w:t>
      </w:r>
      <w:r w:rsidRPr="0034599E">
        <w:rPr>
          <w:rFonts w:cs="Arial"/>
          <w:b/>
          <w:szCs w:val="24"/>
        </w:rPr>
        <w:t xml:space="preserve"> </w:t>
      </w:r>
      <w:r>
        <w:rPr>
          <w:rFonts w:cs="Arial"/>
          <w:b/>
          <w:szCs w:val="24"/>
        </w:rPr>
        <w:t xml:space="preserve"> </w:t>
      </w:r>
      <w:r>
        <w:rPr>
          <w:rFonts w:cs="Arial"/>
          <w:bCs/>
          <w:szCs w:val="24"/>
        </w:rPr>
        <w:t xml:space="preserve">First </w:t>
      </w:r>
      <w:r>
        <w:rPr>
          <w:rFonts w:cs="Arial"/>
          <w:szCs w:val="24"/>
        </w:rPr>
        <w:t>Respo</w:t>
      </w:r>
      <w:r w:rsidRPr="0034599E">
        <w:rPr>
          <w:rFonts w:cs="Arial"/>
          <w:szCs w:val="24"/>
        </w:rPr>
        <w:t>nd</w:t>
      </w:r>
      <w:r>
        <w:rPr>
          <w:rFonts w:cs="Arial"/>
          <w:szCs w:val="24"/>
        </w:rPr>
        <w:t>e</w:t>
      </w:r>
      <w:r w:rsidRPr="0034599E">
        <w:rPr>
          <w:rFonts w:cs="Arial"/>
          <w:szCs w:val="24"/>
        </w:rPr>
        <w:t>nt</w:t>
      </w:r>
    </w:p>
    <w:p w14:paraId="48551254" w14:textId="77777777" w:rsidR="003613D7" w:rsidRDefault="003613D7" w:rsidP="003613D7">
      <w:pPr>
        <w:tabs>
          <w:tab w:val="left" w:pos="5670"/>
        </w:tabs>
        <w:ind w:left="0" w:firstLine="0"/>
        <w:jc w:val="left"/>
        <w:rPr>
          <w:rFonts w:cs="Arial"/>
          <w:szCs w:val="24"/>
        </w:rPr>
      </w:pPr>
    </w:p>
    <w:p w14:paraId="02AD0A3E" w14:textId="77777777" w:rsidR="003613D7" w:rsidRDefault="003613D7" w:rsidP="003613D7">
      <w:pPr>
        <w:tabs>
          <w:tab w:val="left" w:pos="5670"/>
        </w:tabs>
        <w:ind w:left="0" w:firstLine="0"/>
        <w:jc w:val="left"/>
        <w:rPr>
          <w:rFonts w:cs="Arial"/>
          <w:bCs/>
          <w:szCs w:val="24"/>
        </w:rPr>
      </w:pPr>
      <w:r>
        <w:rPr>
          <w:rFonts w:cs="Arial"/>
          <w:b/>
          <w:szCs w:val="24"/>
        </w:rPr>
        <w:t>THE LEGAL PRACTICE COUNCIL</w:t>
      </w:r>
      <w:r w:rsidRPr="0034599E">
        <w:rPr>
          <w:rFonts w:cs="Arial"/>
          <w:b/>
          <w:szCs w:val="24"/>
        </w:rPr>
        <w:tab/>
        <w:t xml:space="preserve">         </w:t>
      </w:r>
      <w:r>
        <w:rPr>
          <w:rFonts w:cs="Arial"/>
          <w:b/>
          <w:szCs w:val="24"/>
        </w:rPr>
        <w:t xml:space="preserve">             </w:t>
      </w:r>
      <w:r>
        <w:rPr>
          <w:rFonts w:cs="Arial"/>
          <w:bCs/>
          <w:szCs w:val="24"/>
        </w:rPr>
        <w:t>Second Respondent</w:t>
      </w:r>
    </w:p>
    <w:p w14:paraId="436EAB50" w14:textId="77777777" w:rsidR="003613D7" w:rsidRDefault="003613D7" w:rsidP="003613D7">
      <w:pPr>
        <w:tabs>
          <w:tab w:val="left" w:pos="5670"/>
        </w:tabs>
        <w:ind w:left="0" w:firstLine="0"/>
        <w:jc w:val="left"/>
        <w:rPr>
          <w:rFonts w:cs="Arial"/>
          <w:bCs/>
          <w:szCs w:val="24"/>
        </w:rPr>
      </w:pPr>
    </w:p>
    <w:p w14:paraId="07AEFE26" w14:textId="77777777" w:rsidR="003613D7" w:rsidRDefault="003613D7" w:rsidP="003613D7">
      <w:pPr>
        <w:tabs>
          <w:tab w:val="left" w:pos="5670"/>
        </w:tabs>
        <w:ind w:left="0" w:firstLine="0"/>
        <w:jc w:val="left"/>
        <w:rPr>
          <w:rFonts w:cs="Arial"/>
          <w:b/>
          <w:szCs w:val="24"/>
        </w:rPr>
      </w:pPr>
      <w:r>
        <w:rPr>
          <w:rFonts w:cs="Arial"/>
          <w:b/>
          <w:szCs w:val="24"/>
        </w:rPr>
        <w:t xml:space="preserve">EXECUTIVE COUNCIL FOR HEALTH, </w:t>
      </w:r>
    </w:p>
    <w:p w14:paraId="5F58B95E" w14:textId="77777777" w:rsidR="003613D7" w:rsidRDefault="003613D7" w:rsidP="003613D7">
      <w:pPr>
        <w:tabs>
          <w:tab w:val="left" w:pos="5670"/>
        </w:tabs>
        <w:ind w:left="0" w:firstLine="0"/>
        <w:jc w:val="left"/>
        <w:rPr>
          <w:rFonts w:cs="Arial"/>
          <w:bCs/>
          <w:szCs w:val="24"/>
        </w:rPr>
      </w:pPr>
      <w:r>
        <w:rPr>
          <w:rFonts w:cs="Arial"/>
          <w:b/>
          <w:szCs w:val="24"/>
        </w:rPr>
        <w:t>EASTERN CAPE</w:t>
      </w:r>
      <w:r w:rsidRPr="0034599E">
        <w:rPr>
          <w:rFonts w:cs="Arial"/>
          <w:b/>
          <w:szCs w:val="24"/>
        </w:rPr>
        <w:tab/>
        <w:t xml:space="preserve">         </w:t>
      </w:r>
      <w:r>
        <w:rPr>
          <w:rFonts w:cs="Arial"/>
          <w:b/>
          <w:szCs w:val="24"/>
        </w:rPr>
        <w:t xml:space="preserve">                 </w:t>
      </w:r>
      <w:r>
        <w:rPr>
          <w:rFonts w:cs="Arial"/>
          <w:bCs/>
          <w:szCs w:val="24"/>
        </w:rPr>
        <w:t>Third Respondent</w:t>
      </w:r>
    </w:p>
    <w:p w14:paraId="1E448926" w14:textId="77777777" w:rsidR="003613D7" w:rsidRDefault="003613D7" w:rsidP="003613D7">
      <w:pPr>
        <w:tabs>
          <w:tab w:val="left" w:pos="5670"/>
        </w:tabs>
        <w:ind w:left="0" w:firstLine="0"/>
        <w:jc w:val="left"/>
        <w:rPr>
          <w:rFonts w:cs="Arial"/>
          <w:bCs/>
          <w:szCs w:val="24"/>
        </w:rPr>
      </w:pPr>
    </w:p>
    <w:p w14:paraId="464E3F2F" w14:textId="77777777" w:rsidR="003613D7" w:rsidRDefault="003613D7" w:rsidP="003613D7">
      <w:pPr>
        <w:tabs>
          <w:tab w:val="left" w:pos="5670"/>
        </w:tabs>
        <w:ind w:left="0" w:firstLine="0"/>
        <w:jc w:val="left"/>
        <w:rPr>
          <w:rFonts w:cs="Arial"/>
          <w:bCs/>
          <w:szCs w:val="24"/>
        </w:rPr>
      </w:pPr>
    </w:p>
    <w:p w14:paraId="42DAD9BF" w14:textId="77777777" w:rsidR="003613D7" w:rsidRPr="0034599E" w:rsidRDefault="003613D7" w:rsidP="003613D7">
      <w:pPr>
        <w:ind w:left="5400" w:firstLine="360"/>
        <w:jc w:val="right"/>
        <w:rPr>
          <w:rFonts w:cs="Arial"/>
          <w:b/>
          <w:szCs w:val="24"/>
        </w:rPr>
      </w:pPr>
      <w:r>
        <w:rPr>
          <w:rFonts w:cs="Arial"/>
          <w:b/>
          <w:szCs w:val="24"/>
        </w:rPr>
        <w:t xml:space="preserve">   </w:t>
      </w:r>
      <w:r w:rsidRPr="0034599E">
        <w:rPr>
          <w:rFonts w:cs="Arial"/>
          <w:b/>
          <w:szCs w:val="24"/>
        </w:rPr>
        <w:t xml:space="preserve">CASE NO: </w:t>
      </w:r>
      <w:r>
        <w:rPr>
          <w:rFonts w:cs="Arial"/>
          <w:b/>
          <w:szCs w:val="24"/>
        </w:rPr>
        <w:t>1441/2023</w:t>
      </w:r>
    </w:p>
    <w:p w14:paraId="60E04EE6" w14:textId="77777777" w:rsidR="003613D7" w:rsidRPr="0034599E" w:rsidRDefault="003613D7" w:rsidP="003613D7">
      <w:pPr>
        <w:ind w:left="0" w:firstLine="0"/>
        <w:jc w:val="left"/>
        <w:rPr>
          <w:rFonts w:cs="Arial"/>
          <w:b/>
          <w:szCs w:val="24"/>
        </w:rPr>
      </w:pPr>
    </w:p>
    <w:p w14:paraId="183FB795" w14:textId="77777777" w:rsidR="003613D7" w:rsidRPr="0034599E" w:rsidRDefault="003613D7" w:rsidP="003613D7">
      <w:pPr>
        <w:spacing w:line="276" w:lineRule="auto"/>
        <w:ind w:left="0" w:firstLine="0"/>
        <w:jc w:val="left"/>
        <w:rPr>
          <w:rFonts w:cs="Arial"/>
          <w:szCs w:val="24"/>
        </w:rPr>
      </w:pPr>
      <w:r w:rsidRPr="0034599E">
        <w:rPr>
          <w:rFonts w:cs="Arial"/>
          <w:szCs w:val="24"/>
        </w:rPr>
        <w:t>In the matter between:</w:t>
      </w:r>
    </w:p>
    <w:p w14:paraId="5F72836D" w14:textId="77777777" w:rsidR="003613D7" w:rsidRPr="0034599E" w:rsidRDefault="003613D7" w:rsidP="003613D7">
      <w:pPr>
        <w:rPr>
          <w:rFonts w:cs="Arial"/>
          <w:szCs w:val="24"/>
        </w:rPr>
      </w:pPr>
    </w:p>
    <w:p w14:paraId="0AF14663" w14:textId="77777777" w:rsidR="00B800A3" w:rsidRDefault="00B800A3" w:rsidP="00B800A3">
      <w:pPr>
        <w:rPr>
          <w:rFonts w:cs="Arial"/>
          <w:bCs/>
          <w:szCs w:val="24"/>
        </w:rPr>
      </w:pPr>
      <w:r>
        <w:rPr>
          <w:rFonts w:cs="Arial"/>
          <w:b/>
          <w:szCs w:val="24"/>
        </w:rPr>
        <w:t>MILLICENT MOLOSE N.O.</w:t>
      </w:r>
      <w:r w:rsidRPr="0034599E">
        <w:rPr>
          <w:rFonts w:cs="Arial"/>
          <w:b/>
          <w:szCs w:val="24"/>
        </w:rPr>
        <w:tab/>
      </w:r>
      <w:r>
        <w:rPr>
          <w:rFonts w:cs="Arial"/>
          <w:b/>
          <w:szCs w:val="24"/>
        </w:rPr>
        <w:tab/>
      </w:r>
      <w:r w:rsidRPr="00072F32">
        <w:rPr>
          <w:rFonts w:cs="Arial"/>
          <w:szCs w:val="24"/>
        </w:rPr>
        <w:t xml:space="preserve">    </w:t>
      </w:r>
      <w:r>
        <w:rPr>
          <w:rFonts w:cs="Arial"/>
          <w:szCs w:val="24"/>
        </w:rPr>
        <w:tab/>
      </w:r>
      <w:r>
        <w:rPr>
          <w:rFonts w:cs="Arial"/>
          <w:szCs w:val="24"/>
        </w:rPr>
        <w:tab/>
      </w:r>
      <w:r>
        <w:rPr>
          <w:rFonts w:cs="Arial"/>
          <w:szCs w:val="24"/>
        </w:rPr>
        <w:tab/>
      </w:r>
      <w:r>
        <w:rPr>
          <w:rFonts w:cs="Arial"/>
          <w:szCs w:val="24"/>
        </w:rPr>
        <w:tab/>
        <w:t xml:space="preserve">       </w:t>
      </w:r>
      <w:r w:rsidRPr="00072F32">
        <w:rPr>
          <w:rFonts w:cs="Arial"/>
          <w:szCs w:val="24"/>
        </w:rPr>
        <w:t xml:space="preserve">  First </w:t>
      </w:r>
      <w:r w:rsidRPr="00072F32">
        <w:rPr>
          <w:rFonts w:cs="Arial"/>
          <w:bCs/>
          <w:szCs w:val="24"/>
        </w:rPr>
        <w:t>Applicant</w:t>
      </w:r>
    </w:p>
    <w:p w14:paraId="65260B85" w14:textId="77777777" w:rsidR="00B800A3" w:rsidRDefault="00B800A3" w:rsidP="00B800A3">
      <w:pPr>
        <w:rPr>
          <w:rFonts w:cs="Arial"/>
          <w:bCs/>
          <w:szCs w:val="24"/>
        </w:rPr>
      </w:pPr>
    </w:p>
    <w:p w14:paraId="7F94D90F" w14:textId="77777777" w:rsidR="00B800A3" w:rsidRDefault="00B800A3" w:rsidP="00B800A3">
      <w:pPr>
        <w:rPr>
          <w:rFonts w:cs="Arial"/>
          <w:bCs/>
          <w:szCs w:val="24"/>
        </w:rPr>
      </w:pPr>
      <w:r>
        <w:rPr>
          <w:rFonts w:cs="Arial"/>
          <w:b/>
          <w:bCs/>
          <w:szCs w:val="24"/>
        </w:rPr>
        <w:t>ANDISWA FITSHANE N.O.</w:t>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t xml:space="preserve">    Second Applicant</w:t>
      </w:r>
    </w:p>
    <w:p w14:paraId="0C581C4C" w14:textId="77777777" w:rsidR="00B800A3" w:rsidRDefault="00B800A3" w:rsidP="00B800A3">
      <w:pPr>
        <w:rPr>
          <w:rFonts w:cs="Arial"/>
          <w:bCs/>
          <w:szCs w:val="24"/>
        </w:rPr>
      </w:pPr>
    </w:p>
    <w:p w14:paraId="2B424F3A" w14:textId="77777777" w:rsidR="00B800A3" w:rsidRDefault="00B800A3" w:rsidP="00B800A3">
      <w:pPr>
        <w:rPr>
          <w:rFonts w:cs="Arial"/>
          <w:bCs/>
          <w:szCs w:val="24"/>
        </w:rPr>
      </w:pPr>
      <w:r w:rsidRPr="0030685C">
        <w:rPr>
          <w:rFonts w:cs="Arial"/>
          <w:b/>
          <w:bCs/>
          <w:szCs w:val="24"/>
        </w:rPr>
        <w:t>THANDISWA XHANTI N.O.</w:t>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t xml:space="preserve">        Third Applicant</w:t>
      </w:r>
    </w:p>
    <w:p w14:paraId="29E61FB7" w14:textId="77777777" w:rsidR="00B800A3" w:rsidRDefault="00B800A3" w:rsidP="00B800A3">
      <w:pPr>
        <w:rPr>
          <w:rFonts w:cs="Arial"/>
          <w:bCs/>
          <w:szCs w:val="24"/>
        </w:rPr>
      </w:pPr>
    </w:p>
    <w:p w14:paraId="7C5B796E" w14:textId="77777777" w:rsidR="00B800A3" w:rsidRDefault="00B800A3" w:rsidP="00B800A3">
      <w:pPr>
        <w:rPr>
          <w:rFonts w:cs="Arial"/>
          <w:bCs/>
          <w:szCs w:val="24"/>
        </w:rPr>
      </w:pPr>
      <w:r w:rsidRPr="0030685C">
        <w:rPr>
          <w:rFonts w:cs="Arial"/>
          <w:b/>
          <w:bCs/>
          <w:szCs w:val="24"/>
        </w:rPr>
        <w:t>LIHLE MININYE</w:t>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Cs/>
          <w:szCs w:val="24"/>
        </w:rPr>
        <w:tab/>
      </w:r>
      <w:r>
        <w:rPr>
          <w:rFonts w:cs="Arial"/>
          <w:bCs/>
          <w:szCs w:val="24"/>
        </w:rPr>
        <w:tab/>
        <w:t xml:space="preserve">      Fourth Applicant</w:t>
      </w:r>
    </w:p>
    <w:p w14:paraId="5C4E7BE0" w14:textId="77777777" w:rsidR="00B800A3" w:rsidRDefault="00B800A3" w:rsidP="00B800A3">
      <w:pPr>
        <w:rPr>
          <w:rFonts w:cs="Arial"/>
          <w:bCs/>
          <w:szCs w:val="24"/>
        </w:rPr>
      </w:pPr>
    </w:p>
    <w:p w14:paraId="49F33796" w14:textId="77777777" w:rsidR="00B800A3" w:rsidRDefault="00B800A3" w:rsidP="00B800A3">
      <w:pPr>
        <w:rPr>
          <w:rFonts w:cs="Arial"/>
          <w:bCs/>
          <w:szCs w:val="24"/>
        </w:rPr>
      </w:pPr>
      <w:r>
        <w:rPr>
          <w:rFonts w:cs="Arial"/>
          <w:b/>
          <w:bCs/>
          <w:szCs w:val="24"/>
        </w:rPr>
        <w:t>MIRRIAM PIKANI N.O.</w:t>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t xml:space="preserve">         </w:t>
      </w:r>
      <w:r>
        <w:rPr>
          <w:rFonts w:cs="Arial"/>
          <w:bCs/>
          <w:szCs w:val="24"/>
        </w:rPr>
        <w:t>Fifth Applicant</w:t>
      </w:r>
    </w:p>
    <w:p w14:paraId="12A84EF6" w14:textId="77777777" w:rsidR="00B800A3" w:rsidRDefault="00B800A3" w:rsidP="00B800A3">
      <w:pPr>
        <w:rPr>
          <w:rFonts w:cs="Arial"/>
          <w:bCs/>
          <w:szCs w:val="24"/>
        </w:rPr>
      </w:pPr>
    </w:p>
    <w:p w14:paraId="5DE9E232" w14:textId="77777777" w:rsidR="00B800A3" w:rsidRDefault="00B800A3" w:rsidP="00B800A3">
      <w:pPr>
        <w:rPr>
          <w:rFonts w:cs="Arial"/>
          <w:bCs/>
          <w:szCs w:val="24"/>
        </w:rPr>
      </w:pPr>
      <w:r w:rsidRPr="0030685C">
        <w:rPr>
          <w:rFonts w:cs="Arial"/>
          <w:b/>
          <w:bCs/>
          <w:szCs w:val="24"/>
        </w:rPr>
        <w:t>YANDISA FENI N.O.</w:t>
      </w:r>
      <w:r w:rsidRPr="0030685C">
        <w:rPr>
          <w:rFonts w:cs="Arial"/>
          <w:b/>
          <w:bCs/>
          <w:szCs w:val="24"/>
        </w:rPr>
        <w:tab/>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t xml:space="preserve">        Sixth Applicant</w:t>
      </w:r>
    </w:p>
    <w:p w14:paraId="70978628" w14:textId="77777777" w:rsidR="00B800A3" w:rsidRDefault="00B800A3" w:rsidP="00B800A3">
      <w:pPr>
        <w:rPr>
          <w:rFonts w:cs="Arial"/>
          <w:bCs/>
          <w:szCs w:val="24"/>
        </w:rPr>
      </w:pPr>
    </w:p>
    <w:p w14:paraId="00029F40" w14:textId="77777777" w:rsidR="00B800A3" w:rsidRDefault="00B800A3" w:rsidP="00B800A3">
      <w:pPr>
        <w:rPr>
          <w:rFonts w:cs="Arial"/>
          <w:bCs/>
          <w:szCs w:val="24"/>
        </w:rPr>
      </w:pPr>
      <w:r>
        <w:rPr>
          <w:rFonts w:cs="Arial"/>
          <w:b/>
          <w:bCs/>
          <w:szCs w:val="24"/>
        </w:rPr>
        <w:t>NOLUKHO NKAMPA N.O.</w:t>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t xml:space="preserve">   </w:t>
      </w:r>
      <w:r>
        <w:rPr>
          <w:rFonts w:cs="Arial"/>
          <w:bCs/>
          <w:szCs w:val="24"/>
        </w:rPr>
        <w:t>Seventh Applicant</w:t>
      </w:r>
    </w:p>
    <w:p w14:paraId="7FA41152" w14:textId="77777777" w:rsidR="00B800A3" w:rsidRDefault="00B800A3" w:rsidP="00B800A3">
      <w:pPr>
        <w:rPr>
          <w:rFonts w:cs="Arial"/>
          <w:bCs/>
          <w:szCs w:val="24"/>
        </w:rPr>
      </w:pPr>
    </w:p>
    <w:p w14:paraId="54396409" w14:textId="77777777" w:rsidR="00B800A3" w:rsidRDefault="00B800A3" w:rsidP="00B800A3">
      <w:pPr>
        <w:rPr>
          <w:rFonts w:cs="Arial"/>
          <w:bCs/>
          <w:szCs w:val="24"/>
        </w:rPr>
      </w:pPr>
      <w:r>
        <w:rPr>
          <w:rFonts w:cs="Arial"/>
          <w:b/>
          <w:bCs/>
          <w:szCs w:val="24"/>
        </w:rPr>
        <w:t>SIVE MDENI N.O.</w:t>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Cs/>
          <w:szCs w:val="24"/>
        </w:rPr>
        <w:tab/>
      </w:r>
      <w:r>
        <w:rPr>
          <w:rFonts w:cs="Arial"/>
          <w:bCs/>
          <w:szCs w:val="24"/>
        </w:rPr>
        <w:tab/>
      </w:r>
      <w:r>
        <w:rPr>
          <w:rFonts w:cs="Arial"/>
          <w:bCs/>
          <w:szCs w:val="24"/>
        </w:rPr>
        <w:tab/>
        <w:t xml:space="preserve">        Eight Applicant</w:t>
      </w:r>
    </w:p>
    <w:p w14:paraId="38BF8E9A" w14:textId="77777777" w:rsidR="00B800A3" w:rsidRDefault="00B800A3" w:rsidP="00B800A3">
      <w:pPr>
        <w:rPr>
          <w:rFonts w:cs="Arial"/>
          <w:bCs/>
          <w:szCs w:val="24"/>
        </w:rPr>
      </w:pPr>
    </w:p>
    <w:p w14:paraId="27CE81EA" w14:textId="77777777" w:rsidR="00B800A3" w:rsidRDefault="00B800A3" w:rsidP="00B800A3">
      <w:pPr>
        <w:rPr>
          <w:rFonts w:cs="Arial"/>
          <w:bCs/>
          <w:szCs w:val="24"/>
        </w:rPr>
      </w:pPr>
      <w:r>
        <w:rPr>
          <w:rFonts w:cs="Arial"/>
          <w:b/>
          <w:bCs/>
          <w:szCs w:val="24"/>
        </w:rPr>
        <w:t>NO-OMA MNYIBASHE N.O.</w:t>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t xml:space="preserve">        </w:t>
      </w:r>
      <w:r>
        <w:rPr>
          <w:rFonts w:cs="Arial"/>
          <w:bCs/>
          <w:szCs w:val="24"/>
        </w:rPr>
        <w:t>Ninth Applicant</w:t>
      </w:r>
    </w:p>
    <w:p w14:paraId="385AAAED" w14:textId="77777777" w:rsidR="00B800A3" w:rsidRDefault="00B800A3" w:rsidP="00B800A3">
      <w:pPr>
        <w:rPr>
          <w:rFonts w:cs="Arial"/>
          <w:bCs/>
          <w:szCs w:val="24"/>
        </w:rPr>
      </w:pPr>
    </w:p>
    <w:p w14:paraId="095C136D" w14:textId="77777777" w:rsidR="00B800A3" w:rsidRDefault="00B800A3" w:rsidP="00B800A3">
      <w:pPr>
        <w:rPr>
          <w:rFonts w:cs="Arial"/>
          <w:bCs/>
          <w:szCs w:val="24"/>
        </w:rPr>
      </w:pPr>
      <w:r w:rsidRPr="0030685C">
        <w:rPr>
          <w:rFonts w:cs="Arial"/>
          <w:b/>
          <w:bCs/>
          <w:szCs w:val="24"/>
        </w:rPr>
        <w:t>ANALO DOVALA N.O.</w:t>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Cs/>
          <w:szCs w:val="24"/>
        </w:rPr>
        <w:tab/>
        <w:t xml:space="preserve">       Tenth Applicant</w:t>
      </w:r>
    </w:p>
    <w:p w14:paraId="2C620175" w14:textId="77777777" w:rsidR="00B800A3" w:rsidRDefault="00B800A3" w:rsidP="00B800A3">
      <w:pPr>
        <w:rPr>
          <w:rFonts w:cs="Arial"/>
          <w:bCs/>
          <w:szCs w:val="24"/>
        </w:rPr>
      </w:pPr>
    </w:p>
    <w:p w14:paraId="46DEBC92" w14:textId="77777777" w:rsidR="00B800A3" w:rsidRPr="0030685C" w:rsidRDefault="00B800A3" w:rsidP="00B800A3">
      <w:pPr>
        <w:rPr>
          <w:rFonts w:cs="Arial"/>
          <w:bCs/>
          <w:szCs w:val="24"/>
        </w:rPr>
      </w:pPr>
      <w:r>
        <w:rPr>
          <w:rFonts w:cs="Arial"/>
          <w:b/>
          <w:bCs/>
          <w:szCs w:val="24"/>
        </w:rPr>
        <w:t>OLWETHU BALIKHULU N.O.</w:t>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t xml:space="preserve">  </w:t>
      </w:r>
      <w:r>
        <w:rPr>
          <w:rFonts w:cs="Arial"/>
          <w:bCs/>
          <w:szCs w:val="24"/>
        </w:rPr>
        <w:t>Eleventh Applicant</w:t>
      </w:r>
    </w:p>
    <w:p w14:paraId="11268D4E" w14:textId="77777777" w:rsidR="003613D7" w:rsidRDefault="003613D7" w:rsidP="003613D7">
      <w:pPr>
        <w:rPr>
          <w:rFonts w:cs="Arial"/>
          <w:bCs/>
          <w:szCs w:val="24"/>
        </w:rPr>
      </w:pPr>
    </w:p>
    <w:p w14:paraId="0F07927A" w14:textId="77777777" w:rsidR="003613D7" w:rsidRPr="0034599E" w:rsidRDefault="003613D7" w:rsidP="003613D7">
      <w:pPr>
        <w:rPr>
          <w:rFonts w:cs="Arial"/>
          <w:szCs w:val="24"/>
        </w:rPr>
      </w:pPr>
      <w:r w:rsidRPr="0034599E">
        <w:rPr>
          <w:rFonts w:cs="Arial"/>
          <w:szCs w:val="24"/>
        </w:rPr>
        <w:t>and</w:t>
      </w:r>
    </w:p>
    <w:p w14:paraId="308AFB15" w14:textId="77777777" w:rsidR="003613D7" w:rsidRPr="0034599E" w:rsidRDefault="003613D7" w:rsidP="003613D7">
      <w:pPr>
        <w:tabs>
          <w:tab w:val="left" w:pos="5670"/>
        </w:tabs>
        <w:ind w:left="0" w:firstLine="0"/>
        <w:rPr>
          <w:rFonts w:cs="Arial"/>
          <w:b/>
          <w:szCs w:val="24"/>
        </w:rPr>
      </w:pPr>
      <w:r>
        <w:rPr>
          <w:rFonts w:cs="Arial"/>
          <w:b/>
          <w:szCs w:val="24"/>
        </w:rPr>
        <w:tab/>
      </w:r>
    </w:p>
    <w:p w14:paraId="5ECF2746" w14:textId="77777777" w:rsidR="003613D7" w:rsidRDefault="003613D7" w:rsidP="003613D7">
      <w:pPr>
        <w:tabs>
          <w:tab w:val="left" w:pos="5670"/>
        </w:tabs>
        <w:ind w:left="0" w:firstLine="0"/>
        <w:jc w:val="left"/>
        <w:rPr>
          <w:rFonts w:cs="Arial"/>
          <w:szCs w:val="24"/>
        </w:rPr>
      </w:pPr>
      <w:r>
        <w:rPr>
          <w:rFonts w:cs="Arial"/>
          <w:b/>
          <w:szCs w:val="24"/>
        </w:rPr>
        <w:t>ALICIA NOVELANO NONXUBA</w:t>
      </w:r>
      <w:r w:rsidRPr="0034599E">
        <w:rPr>
          <w:rFonts w:cs="Arial"/>
          <w:b/>
          <w:szCs w:val="24"/>
        </w:rPr>
        <w:tab/>
        <w:t xml:space="preserve">        </w:t>
      </w:r>
      <w:r>
        <w:rPr>
          <w:rFonts w:cs="Arial"/>
          <w:b/>
          <w:szCs w:val="24"/>
        </w:rPr>
        <w:tab/>
      </w:r>
      <w:r>
        <w:rPr>
          <w:rFonts w:cs="Arial"/>
          <w:b/>
          <w:szCs w:val="24"/>
        </w:rPr>
        <w:tab/>
        <w:t xml:space="preserve">  </w:t>
      </w:r>
      <w:r w:rsidRPr="0034599E">
        <w:rPr>
          <w:rFonts w:cs="Arial"/>
          <w:b/>
          <w:szCs w:val="24"/>
        </w:rPr>
        <w:t xml:space="preserve"> </w:t>
      </w:r>
      <w:r>
        <w:rPr>
          <w:rFonts w:cs="Arial"/>
          <w:b/>
          <w:szCs w:val="24"/>
        </w:rPr>
        <w:t xml:space="preserve"> </w:t>
      </w:r>
      <w:r>
        <w:rPr>
          <w:rFonts w:cs="Arial"/>
          <w:bCs/>
          <w:szCs w:val="24"/>
        </w:rPr>
        <w:t xml:space="preserve">First </w:t>
      </w:r>
      <w:r>
        <w:rPr>
          <w:rFonts w:cs="Arial"/>
          <w:szCs w:val="24"/>
        </w:rPr>
        <w:t>Respo</w:t>
      </w:r>
      <w:r w:rsidRPr="0034599E">
        <w:rPr>
          <w:rFonts w:cs="Arial"/>
          <w:szCs w:val="24"/>
        </w:rPr>
        <w:t>nd</w:t>
      </w:r>
      <w:r>
        <w:rPr>
          <w:rFonts w:cs="Arial"/>
          <w:szCs w:val="24"/>
        </w:rPr>
        <w:t>e</w:t>
      </w:r>
      <w:r w:rsidRPr="0034599E">
        <w:rPr>
          <w:rFonts w:cs="Arial"/>
          <w:szCs w:val="24"/>
        </w:rPr>
        <w:t>nt</w:t>
      </w:r>
    </w:p>
    <w:p w14:paraId="4C228FAE" w14:textId="77777777" w:rsidR="003613D7" w:rsidRDefault="003613D7" w:rsidP="003613D7">
      <w:pPr>
        <w:tabs>
          <w:tab w:val="left" w:pos="5670"/>
        </w:tabs>
        <w:ind w:left="0" w:firstLine="0"/>
        <w:jc w:val="left"/>
        <w:rPr>
          <w:rFonts w:cs="Arial"/>
          <w:szCs w:val="24"/>
        </w:rPr>
      </w:pPr>
    </w:p>
    <w:p w14:paraId="64EEEB96" w14:textId="77777777" w:rsidR="003613D7" w:rsidRDefault="003613D7" w:rsidP="003613D7">
      <w:pPr>
        <w:tabs>
          <w:tab w:val="left" w:pos="5670"/>
        </w:tabs>
        <w:ind w:left="0" w:firstLine="0"/>
        <w:jc w:val="left"/>
        <w:rPr>
          <w:rFonts w:cs="Arial"/>
          <w:bCs/>
          <w:szCs w:val="24"/>
        </w:rPr>
      </w:pPr>
      <w:r>
        <w:rPr>
          <w:rFonts w:cs="Arial"/>
          <w:b/>
          <w:szCs w:val="24"/>
        </w:rPr>
        <w:t>THE LEGAL PRACTICE COUNCIL</w:t>
      </w:r>
      <w:r w:rsidRPr="0034599E">
        <w:rPr>
          <w:rFonts w:cs="Arial"/>
          <w:b/>
          <w:szCs w:val="24"/>
        </w:rPr>
        <w:tab/>
        <w:t xml:space="preserve">         </w:t>
      </w:r>
      <w:r>
        <w:rPr>
          <w:rFonts w:cs="Arial"/>
          <w:b/>
          <w:szCs w:val="24"/>
        </w:rPr>
        <w:t xml:space="preserve">             </w:t>
      </w:r>
      <w:r>
        <w:rPr>
          <w:rFonts w:cs="Arial"/>
          <w:bCs/>
          <w:szCs w:val="24"/>
        </w:rPr>
        <w:t>Second Respondent</w:t>
      </w:r>
    </w:p>
    <w:p w14:paraId="3CD0D07B" w14:textId="77777777" w:rsidR="003613D7" w:rsidRDefault="003613D7" w:rsidP="003613D7">
      <w:pPr>
        <w:tabs>
          <w:tab w:val="left" w:pos="5670"/>
        </w:tabs>
        <w:ind w:left="0" w:firstLine="0"/>
        <w:jc w:val="left"/>
        <w:rPr>
          <w:rFonts w:cs="Arial"/>
          <w:bCs/>
          <w:szCs w:val="24"/>
        </w:rPr>
      </w:pPr>
    </w:p>
    <w:p w14:paraId="31DAC33F" w14:textId="77777777" w:rsidR="003613D7" w:rsidRDefault="003613D7" w:rsidP="003613D7">
      <w:pPr>
        <w:tabs>
          <w:tab w:val="left" w:pos="5670"/>
        </w:tabs>
        <w:ind w:left="0" w:firstLine="0"/>
        <w:jc w:val="left"/>
        <w:rPr>
          <w:rFonts w:cs="Arial"/>
          <w:b/>
          <w:szCs w:val="24"/>
        </w:rPr>
      </w:pPr>
      <w:r>
        <w:rPr>
          <w:rFonts w:cs="Arial"/>
          <w:b/>
          <w:szCs w:val="24"/>
        </w:rPr>
        <w:t xml:space="preserve">EXECUTIVE COUNCIL FOR HEALTH, </w:t>
      </w:r>
    </w:p>
    <w:p w14:paraId="30810315" w14:textId="77777777" w:rsidR="003613D7" w:rsidRDefault="003613D7" w:rsidP="003613D7">
      <w:pPr>
        <w:tabs>
          <w:tab w:val="left" w:pos="5670"/>
        </w:tabs>
        <w:ind w:left="0" w:firstLine="0"/>
        <w:jc w:val="left"/>
        <w:rPr>
          <w:rFonts w:cs="Arial"/>
          <w:bCs/>
          <w:szCs w:val="24"/>
        </w:rPr>
      </w:pPr>
      <w:r>
        <w:rPr>
          <w:rFonts w:cs="Arial"/>
          <w:b/>
          <w:szCs w:val="24"/>
        </w:rPr>
        <w:t>EASTERN CAPE</w:t>
      </w:r>
      <w:r w:rsidRPr="0034599E">
        <w:rPr>
          <w:rFonts w:cs="Arial"/>
          <w:b/>
          <w:szCs w:val="24"/>
        </w:rPr>
        <w:tab/>
        <w:t xml:space="preserve">         </w:t>
      </w:r>
      <w:r>
        <w:rPr>
          <w:rFonts w:cs="Arial"/>
          <w:b/>
          <w:szCs w:val="24"/>
        </w:rPr>
        <w:t xml:space="preserve">                 </w:t>
      </w:r>
      <w:r>
        <w:rPr>
          <w:rFonts w:cs="Arial"/>
          <w:bCs/>
          <w:szCs w:val="24"/>
        </w:rPr>
        <w:t>Third Respondent</w:t>
      </w:r>
    </w:p>
    <w:p w14:paraId="60600323" w14:textId="77777777" w:rsidR="003613D7" w:rsidRDefault="003613D7" w:rsidP="003613D7">
      <w:pPr>
        <w:tabs>
          <w:tab w:val="left" w:pos="5670"/>
        </w:tabs>
        <w:ind w:left="0" w:firstLine="0"/>
        <w:jc w:val="left"/>
        <w:rPr>
          <w:rFonts w:cs="Arial"/>
          <w:bCs/>
          <w:szCs w:val="24"/>
        </w:rPr>
      </w:pPr>
    </w:p>
    <w:p w14:paraId="14B7E178" w14:textId="77777777" w:rsidR="003613D7" w:rsidRPr="0034599E" w:rsidRDefault="003613D7" w:rsidP="003613D7">
      <w:pPr>
        <w:tabs>
          <w:tab w:val="left" w:pos="5670"/>
        </w:tabs>
        <w:ind w:left="0" w:firstLine="0"/>
        <w:jc w:val="right"/>
        <w:rPr>
          <w:rFonts w:cs="Arial"/>
          <w:b/>
          <w:szCs w:val="24"/>
        </w:rPr>
      </w:pPr>
      <w:r>
        <w:rPr>
          <w:noProof/>
          <w:lang w:val="en-US"/>
        </w:rPr>
        <w:drawing>
          <wp:inline distT="0" distB="0" distL="0" distR="0" wp14:anchorId="40B8A332" wp14:editId="065989B0">
            <wp:extent cx="3943350" cy="11830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350" cy="1183005"/>
                    </a:xfrm>
                    <a:prstGeom prst="rect">
                      <a:avLst/>
                    </a:prstGeom>
                    <a:noFill/>
                  </pic:spPr>
                </pic:pic>
              </a:graphicData>
            </a:graphic>
          </wp:inline>
        </w:drawing>
      </w:r>
    </w:p>
    <w:p w14:paraId="6D51743C" w14:textId="77777777" w:rsidR="003613D7" w:rsidRDefault="003613D7" w:rsidP="003613D7">
      <w:pPr>
        <w:pBdr>
          <w:bottom w:val="single" w:sz="12" w:space="1" w:color="auto"/>
        </w:pBdr>
        <w:tabs>
          <w:tab w:val="left" w:pos="5670"/>
        </w:tabs>
        <w:ind w:left="0" w:firstLine="0"/>
        <w:rPr>
          <w:rFonts w:cs="Arial"/>
          <w:b/>
          <w:szCs w:val="24"/>
        </w:rPr>
      </w:pPr>
    </w:p>
    <w:p w14:paraId="68E5121D" w14:textId="77777777" w:rsidR="003613D7" w:rsidRPr="0034599E" w:rsidRDefault="003613D7" w:rsidP="003613D7">
      <w:pPr>
        <w:pBdr>
          <w:bottom w:val="single" w:sz="12" w:space="1" w:color="auto"/>
        </w:pBdr>
        <w:tabs>
          <w:tab w:val="left" w:pos="5670"/>
        </w:tabs>
        <w:ind w:left="0" w:firstLine="0"/>
        <w:rPr>
          <w:rFonts w:cs="Arial"/>
          <w:b/>
          <w:szCs w:val="24"/>
        </w:rPr>
      </w:pPr>
    </w:p>
    <w:p w14:paraId="36F4C72A" w14:textId="77777777" w:rsidR="003613D7" w:rsidRPr="0034599E" w:rsidRDefault="003613D7" w:rsidP="003613D7">
      <w:pPr>
        <w:tabs>
          <w:tab w:val="left" w:pos="5670"/>
        </w:tabs>
        <w:ind w:left="0" w:firstLine="0"/>
        <w:rPr>
          <w:rFonts w:cs="Arial"/>
          <w:b/>
          <w:szCs w:val="24"/>
        </w:rPr>
      </w:pPr>
    </w:p>
    <w:p w14:paraId="67896DEC" w14:textId="77777777" w:rsidR="003613D7" w:rsidRPr="0034599E" w:rsidRDefault="003613D7" w:rsidP="003613D7">
      <w:pPr>
        <w:pBdr>
          <w:bottom w:val="single" w:sz="12" w:space="1" w:color="auto"/>
        </w:pBdr>
        <w:jc w:val="center"/>
        <w:rPr>
          <w:rFonts w:cs="Arial"/>
          <w:b/>
          <w:szCs w:val="24"/>
          <w:u w:val="single"/>
        </w:rPr>
      </w:pPr>
      <w:r w:rsidRPr="0034599E">
        <w:rPr>
          <w:rFonts w:cs="Arial"/>
          <w:b/>
          <w:szCs w:val="24"/>
        </w:rPr>
        <w:t>JUDGMENT</w:t>
      </w:r>
    </w:p>
    <w:p w14:paraId="1E4AE482" w14:textId="77777777" w:rsidR="003613D7" w:rsidRPr="0034599E" w:rsidRDefault="003613D7" w:rsidP="003613D7">
      <w:pPr>
        <w:spacing w:line="480" w:lineRule="auto"/>
        <w:jc w:val="left"/>
        <w:rPr>
          <w:rFonts w:cs="Arial"/>
          <w:b/>
          <w:szCs w:val="24"/>
          <w:u w:val="single"/>
        </w:rPr>
      </w:pPr>
    </w:p>
    <w:p w14:paraId="3A2D06AD" w14:textId="0FEC2692" w:rsidR="003613D7" w:rsidRDefault="003613D7" w:rsidP="003613D7">
      <w:pPr>
        <w:ind w:left="0" w:firstLine="0"/>
        <w:contextualSpacing/>
        <w:rPr>
          <w:rFonts w:cs="Arial"/>
          <w:b/>
          <w:bCs/>
          <w:szCs w:val="24"/>
          <w:lang w:val="en-ZA"/>
        </w:rPr>
      </w:pPr>
      <w:r>
        <w:rPr>
          <w:rFonts w:cs="Arial"/>
          <w:b/>
          <w:bCs/>
          <w:szCs w:val="24"/>
          <w:lang w:val="en-ZA"/>
        </w:rPr>
        <w:t>POTGIETER J</w:t>
      </w:r>
    </w:p>
    <w:p w14:paraId="71906C41" w14:textId="398BB7B4" w:rsidR="00B800A3" w:rsidRDefault="00B800A3" w:rsidP="003613D7">
      <w:pPr>
        <w:ind w:left="0" w:firstLine="0"/>
        <w:contextualSpacing/>
        <w:rPr>
          <w:rFonts w:cs="Arial"/>
          <w:b/>
          <w:bCs/>
          <w:szCs w:val="24"/>
          <w:lang w:val="en-ZA"/>
        </w:rPr>
      </w:pPr>
    </w:p>
    <w:p w14:paraId="401345C3" w14:textId="77777777" w:rsidR="00B800A3" w:rsidRDefault="00B800A3" w:rsidP="003613D7">
      <w:pPr>
        <w:ind w:left="0" w:firstLine="0"/>
        <w:contextualSpacing/>
        <w:rPr>
          <w:rFonts w:cs="Arial"/>
          <w:b/>
          <w:bCs/>
          <w:szCs w:val="24"/>
          <w:lang w:val="en-ZA"/>
        </w:rPr>
      </w:pPr>
    </w:p>
    <w:p w14:paraId="6C65DE35" w14:textId="77777777" w:rsidR="003613D7" w:rsidRPr="00B960C2" w:rsidRDefault="003613D7" w:rsidP="003613D7">
      <w:pPr>
        <w:ind w:left="0" w:firstLine="0"/>
        <w:contextualSpacing/>
        <w:rPr>
          <w:rFonts w:cs="Arial"/>
          <w:b/>
          <w:bCs/>
          <w:i/>
          <w:iCs/>
          <w:szCs w:val="24"/>
          <w:u w:val="single"/>
          <w:lang w:val="en-ZA"/>
        </w:rPr>
      </w:pPr>
      <w:r w:rsidRPr="00B960C2">
        <w:rPr>
          <w:rFonts w:cs="Arial"/>
          <w:b/>
          <w:bCs/>
          <w:i/>
          <w:iCs/>
          <w:szCs w:val="24"/>
          <w:u w:val="single"/>
          <w:lang w:val="en-ZA"/>
        </w:rPr>
        <w:lastRenderedPageBreak/>
        <w:t>Introduction</w:t>
      </w:r>
    </w:p>
    <w:p w14:paraId="1B0A7C69" w14:textId="77777777" w:rsidR="003613D7" w:rsidRPr="00D80AE1" w:rsidRDefault="003613D7" w:rsidP="003613D7">
      <w:pPr>
        <w:ind w:left="0" w:firstLine="0"/>
        <w:contextualSpacing/>
        <w:rPr>
          <w:rFonts w:cs="Arial"/>
          <w:b/>
          <w:bCs/>
          <w:szCs w:val="24"/>
          <w:lang w:val="en-ZA"/>
        </w:rPr>
      </w:pPr>
    </w:p>
    <w:p w14:paraId="7C538402" w14:textId="73033767" w:rsidR="003613D7" w:rsidRDefault="000F5699" w:rsidP="000F5699">
      <w:pPr>
        <w:spacing w:after="160"/>
        <w:ind w:left="0" w:firstLine="0"/>
        <w:contextualSpacing/>
        <w:rPr>
          <w:rFonts w:cs="Arial"/>
          <w:bCs/>
          <w:szCs w:val="24"/>
          <w:lang w:val="en-ZA"/>
        </w:rPr>
      </w:pPr>
      <w:r>
        <w:rPr>
          <w:rFonts w:cs="Arial"/>
          <w:bCs/>
          <w:szCs w:val="24"/>
          <w:lang w:val="en-ZA"/>
        </w:rPr>
        <w:t>[1]</w:t>
      </w:r>
      <w:r>
        <w:rPr>
          <w:rFonts w:cs="Arial"/>
          <w:bCs/>
          <w:szCs w:val="24"/>
          <w:lang w:val="en-ZA"/>
        </w:rPr>
        <w:tab/>
      </w:r>
      <w:r w:rsidR="003613D7" w:rsidRPr="00D80AE1">
        <w:rPr>
          <w:rFonts w:cs="Arial"/>
          <w:bCs/>
          <w:szCs w:val="24"/>
          <w:lang w:val="en-ZA"/>
        </w:rPr>
        <w:t>Th</w:t>
      </w:r>
      <w:r w:rsidR="003613D7">
        <w:rPr>
          <w:rFonts w:cs="Arial"/>
          <w:bCs/>
          <w:szCs w:val="24"/>
          <w:lang w:val="en-ZA"/>
        </w:rPr>
        <w:t xml:space="preserve">ese are opposed urgent applications for the provisional sequestration of the respective estates of spouses who are married out of community of property. The application in respect of the husband, Mr </w:t>
      </w:r>
      <w:proofErr w:type="spellStart"/>
      <w:r w:rsidR="003613D7">
        <w:rPr>
          <w:rFonts w:cs="Arial"/>
          <w:bCs/>
          <w:szCs w:val="24"/>
          <w:lang w:val="en-ZA"/>
        </w:rPr>
        <w:t>Nonxuba</w:t>
      </w:r>
      <w:proofErr w:type="spellEnd"/>
      <w:r w:rsidR="003613D7">
        <w:rPr>
          <w:rFonts w:cs="Arial"/>
          <w:bCs/>
          <w:szCs w:val="24"/>
          <w:lang w:val="en-ZA"/>
        </w:rPr>
        <w:t xml:space="preserve">, is brought under case number EL 1440/2023 and in respect of the wife, Ms </w:t>
      </w:r>
      <w:proofErr w:type="spellStart"/>
      <w:r w:rsidR="003613D7">
        <w:rPr>
          <w:rFonts w:cs="Arial"/>
          <w:bCs/>
          <w:szCs w:val="24"/>
          <w:lang w:val="en-ZA"/>
        </w:rPr>
        <w:t>Nonxuba</w:t>
      </w:r>
      <w:proofErr w:type="spellEnd"/>
      <w:r w:rsidR="003613D7">
        <w:rPr>
          <w:rFonts w:cs="Arial"/>
          <w:bCs/>
          <w:szCs w:val="24"/>
          <w:lang w:val="en-ZA"/>
        </w:rPr>
        <w:t>, under case number 1441/2023. The issues in both applications are virtually identical and they were consequently heard together. This judgement accordingly deals with both applications.</w:t>
      </w:r>
    </w:p>
    <w:p w14:paraId="2AFC45F3" w14:textId="77777777" w:rsidR="003613D7" w:rsidRDefault="003613D7" w:rsidP="003613D7">
      <w:pPr>
        <w:spacing w:after="160"/>
        <w:contextualSpacing/>
        <w:rPr>
          <w:rFonts w:cs="Arial"/>
          <w:bCs/>
          <w:szCs w:val="24"/>
          <w:lang w:val="en-ZA"/>
        </w:rPr>
      </w:pPr>
    </w:p>
    <w:p w14:paraId="2B14539F" w14:textId="77777777" w:rsidR="003613D7" w:rsidRDefault="003613D7" w:rsidP="003613D7">
      <w:pPr>
        <w:spacing w:after="160"/>
        <w:contextualSpacing/>
        <w:rPr>
          <w:rFonts w:cs="Arial"/>
          <w:b/>
          <w:i/>
          <w:iCs/>
          <w:szCs w:val="24"/>
          <w:u w:val="single"/>
          <w:lang w:val="en-ZA"/>
        </w:rPr>
      </w:pPr>
      <w:r>
        <w:rPr>
          <w:rFonts w:cs="Arial"/>
          <w:b/>
          <w:i/>
          <w:iCs/>
          <w:szCs w:val="24"/>
          <w:u w:val="single"/>
          <w:lang w:val="en-ZA"/>
        </w:rPr>
        <w:t>The parties</w:t>
      </w:r>
    </w:p>
    <w:p w14:paraId="45D8B428" w14:textId="77777777" w:rsidR="003613D7" w:rsidRPr="00DA7521" w:rsidRDefault="003613D7" w:rsidP="003613D7">
      <w:pPr>
        <w:spacing w:after="160"/>
        <w:contextualSpacing/>
        <w:rPr>
          <w:rFonts w:cs="Arial"/>
          <w:bCs/>
          <w:szCs w:val="24"/>
          <w:lang w:val="en-ZA"/>
        </w:rPr>
      </w:pPr>
    </w:p>
    <w:p w14:paraId="2584419E" w14:textId="77777777" w:rsidR="003613D7" w:rsidRDefault="003613D7" w:rsidP="003613D7">
      <w:pPr>
        <w:spacing w:after="160"/>
        <w:ind w:left="0" w:firstLine="0"/>
        <w:contextualSpacing/>
        <w:rPr>
          <w:rFonts w:cs="Arial"/>
          <w:iCs/>
          <w:szCs w:val="24"/>
          <w:lang w:val="en-ZA"/>
        </w:rPr>
      </w:pPr>
      <w:r>
        <w:rPr>
          <w:rFonts w:cs="Arial"/>
          <w:iCs/>
          <w:szCs w:val="24"/>
          <w:lang w:val="en-ZA"/>
        </w:rPr>
        <w:t>[2] The spouses are the respective first respondents in each application. The second and third respondents in both applications are the Legal Practice Council (‘LPC’) and the Executive Council for Health: Eastern Cape (‘the Health Department’) respectively. The latter respondents have not entered the matters (save for a report submitted by the LPC in each case) which is being opposed by the respective first respondents (‘the respondents’) in both matters.</w:t>
      </w:r>
    </w:p>
    <w:p w14:paraId="5DD61121" w14:textId="77777777" w:rsidR="003613D7" w:rsidRDefault="003613D7" w:rsidP="003613D7">
      <w:pPr>
        <w:spacing w:after="160"/>
        <w:ind w:left="0" w:firstLine="0"/>
        <w:contextualSpacing/>
        <w:rPr>
          <w:rFonts w:cs="Arial"/>
          <w:iCs/>
          <w:szCs w:val="24"/>
          <w:lang w:val="en-ZA"/>
        </w:rPr>
      </w:pPr>
    </w:p>
    <w:p w14:paraId="785C0ACF" w14:textId="77777777" w:rsidR="003613D7" w:rsidRPr="0073066F" w:rsidRDefault="003613D7" w:rsidP="003613D7">
      <w:pPr>
        <w:spacing w:after="160"/>
        <w:ind w:left="0" w:firstLine="0"/>
        <w:contextualSpacing/>
        <w:rPr>
          <w:rFonts w:cs="Arial"/>
          <w:iCs/>
          <w:szCs w:val="24"/>
          <w:lang w:val="en-ZA"/>
        </w:rPr>
      </w:pPr>
      <w:r>
        <w:rPr>
          <w:rFonts w:cs="Arial"/>
          <w:iCs/>
          <w:szCs w:val="24"/>
          <w:lang w:val="en-ZA"/>
        </w:rPr>
        <w:t>[3] The original applicants in both applications were identical but this has since changed. They are the parents or guardians of minor children who all suffered severe bodily harm due to the negligent medical treatment administered to them by the employees or agents of the Health Department. Five of the original applicants, namely second, fourth, seventh, ninth and tenth applicants, have since terminated the mandate of the applicants’ attorneys of record on the basis of averred untoward conduct on the part of the attorneys. They no longer participate in the proceedings. The 11</w:t>
      </w:r>
      <w:r w:rsidRPr="0073066F">
        <w:rPr>
          <w:rFonts w:cs="Arial"/>
          <w:iCs/>
          <w:szCs w:val="24"/>
          <w:vertAlign w:val="superscript"/>
          <w:lang w:val="en-ZA"/>
        </w:rPr>
        <w:t>th</w:t>
      </w:r>
      <w:r>
        <w:rPr>
          <w:rFonts w:cs="Arial"/>
          <w:iCs/>
          <w:szCs w:val="24"/>
          <w:lang w:val="en-ZA"/>
        </w:rPr>
        <w:t xml:space="preserve"> applicant acted on behalf of her minor child, Thandolwethu, who has unfortunately passed away after the applications were launched. The respondents contend, correctly in my view, that the 11</w:t>
      </w:r>
      <w:r w:rsidRPr="0073066F">
        <w:rPr>
          <w:rFonts w:cs="Arial"/>
          <w:iCs/>
          <w:szCs w:val="24"/>
          <w:vertAlign w:val="superscript"/>
          <w:lang w:val="en-ZA"/>
        </w:rPr>
        <w:t>th</w:t>
      </w:r>
      <w:r>
        <w:rPr>
          <w:rFonts w:cs="Arial"/>
          <w:iCs/>
          <w:szCs w:val="24"/>
          <w:lang w:val="en-ZA"/>
        </w:rPr>
        <w:t xml:space="preserve"> applicant no longer enjoys </w:t>
      </w:r>
      <w:r w:rsidRPr="0073066F">
        <w:rPr>
          <w:rFonts w:cs="Arial"/>
          <w:i/>
          <w:szCs w:val="24"/>
          <w:lang w:val="en-ZA"/>
        </w:rPr>
        <w:t>locus stand</w:t>
      </w:r>
      <w:r>
        <w:rPr>
          <w:rFonts w:cs="Arial"/>
          <w:i/>
          <w:szCs w:val="24"/>
          <w:lang w:val="en-ZA"/>
        </w:rPr>
        <w:t>i</w:t>
      </w:r>
      <w:r>
        <w:rPr>
          <w:rFonts w:cs="Arial"/>
          <w:szCs w:val="24"/>
          <w:lang w:val="en-ZA"/>
        </w:rPr>
        <w:t xml:space="preserve"> to bring the applications, currently leaving only five applicants. Furthermore, with regard to the claims of the sixth and eighth applicants there are pending proceedings in the Mthatha High Court instituted by the Special Investigating Unit to rescind the awards made in respect of the respective minor children of the said applicants </w:t>
      </w:r>
      <w:r>
        <w:rPr>
          <w:rFonts w:cs="Arial"/>
          <w:szCs w:val="24"/>
          <w:lang w:val="en-ZA"/>
        </w:rPr>
        <w:lastRenderedPageBreak/>
        <w:t>and to defend the relevant damages actions. It is accordingly only the awards in respect of the first, third and fifth applicants that are presently enforceable and that are accordingly relevant for purposes of the present applications. The total sum of such awards amounts to R 49 691 649.00.</w:t>
      </w:r>
    </w:p>
    <w:p w14:paraId="7E178FA5" w14:textId="77777777" w:rsidR="003613D7" w:rsidRDefault="003613D7" w:rsidP="003613D7">
      <w:pPr>
        <w:spacing w:after="160"/>
        <w:ind w:left="0" w:firstLine="0"/>
        <w:contextualSpacing/>
        <w:rPr>
          <w:rFonts w:cs="Arial"/>
          <w:iCs/>
          <w:szCs w:val="24"/>
          <w:lang w:val="en-ZA"/>
        </w:rPr>
      </w:pPr>
    </w:p>
    <w:p w14:paraId="68EEB53C" w14:textId="77777777" w:rsidR="003613D7" w:rsidRDefault="003613D7" w:rsidP="003613D7">
      <w:pPr>
        <w:spacing w:after="160"/>
        <w:ind w:left="0" w:firstLine="0"/>
        <w:contextualSpacing/>
        <w:rPr>
          <w:rFonts w:cs="Arial"/>
          <w:b/>
          <w:bCs/>
          <w:i/>
          <w:szCs w:val="24"/>
          <w:u w:val="single"/>
          <w:lang w:val="en-ZA"/>
        </w:rPr>
      </w:pPr>
      <w:r>
        <w:rPr>
          <w:rFonts w:cs="Arial"/>
          <w:b/>
          <w:bCs/>
          <w:i/>
          <w:szCs w:val="24"/>
          <w:u w:val="single"/>
          <w:lang w:val="en-ZA"/>
        </w:rPr>
        <w:t>Background</w:t>
      </w:r>
    </w:p>
    <w:p w14:paraId="28ABA839" w14:textId="77777777" w:rsidR="003613D7" w:rsidRDefault="003613D7" w:rsidP="003613D7">
      <w:pPr>
        <w:spacing w:after="160"/>
        <w:ind w:left="0" w:firstLine="0"/>
        <w:contextualSpacing/>
        <w:rPr>
          <w:rFonts w:cs="Arial"/>
          <w:b/>
          <w:bCs/>
          <w:i/>
          <w:szCs w:val="24"/>
          <w:u w:val="single"/>
          <w:lang w:val="en-ZA"/>
        </w:rPr>
      </w:pPr>
    </w:p>
    <w:p w14:paraId="5C615BFC" w14:textId="77777777" w:rsidR="003613D7" w:rsidRDefault="003613D7" w:rsidP="003613D7">
      <w:pPr>
        <w:spacing w:after="160"/>
        <w:ind w:left="0" w:firstLine="0"/>
        <w:contextualSpacing/>
        <w:rPr>
          <w:rFonts w:cs="Arial"/>
          <w:iCs/>
          <w:szCs w:val="24"/>
          <w:lang w:val="en-ZA"/>
        </w:rPr>
      </w:pPr>
      <w:r>
        <w:rPr>
          <w:rFonts w:cs="Arial"/>
          <w:iCs/>
          <w:szCs w:val="24"/>
          <w:lang w:val="en-ZA"/>
        </w:rPr>
        <w:t xml:space="preserve">[4] The relevant background briefly is that the applicants mandated </w:t>
      </w:r>
      <w:proofErr w:type="spellStart"/>
      <w:r>
        <w:rPr>
          <w:rFonts w:cs="Arial"/>
          <w:iCs/>
          <w:szCs w:val="24"/>
          <w:lang w:val="en-ZA"/>
        </w:rPr>
        <w:t>Nonxuba</w:t>
      </w:r>
      <w:proofErr w:type="spellEnd"/>
      <w:r>
        <w:rPr>
          <w:rFonts w:cs="Arial"/>
          <w:iCs/>
          <w:szCs w:val="24"/>
          <w:lang w:val="en-ZA"/>
        </w:rPr>
        <w:t xml:space="preserve"> Inc, a Johannesburg firm of attorneys, to institute actions for damages on behalf of the minor children against the Health Department. Mr </w:t>
      </w:r>
      <w:proofErr w:type="spellStart"/>
      <w:r>
        <w:rPr>
          <w:rFonts w:cs="Arial"/>
          <w:iCs/>
          <w:szCs w:val="24"/>
          <w:lang w:val="en-ZA"/>
        </w:rPr>
        <w:t>Nonxuba</w:t>
      </w:r>
      <w:proofErr w:type="spellEnd"/>
      <w:r>
        <w:rPr>
          <w:rFonts w:cs="Arial"/>
          <w:iCs/>
          <w:szCs w:val="24"/>
          <w:lang w:val="en-ZA"/>
        </w:rPr>
        <w:t xml:space="preserve"> is an admitted attorney. At all material times he was the managing director of the firm. Ms </w:t>
      </w:r>
      <w:proofErr w:type="spellStart"/>
      <w:r>
        <w:rPr>
          <w:rFonts w:cs="Arial"/>
          <w:iCs/>
          <w:szCs w:val="24"/>
          <w:lang w:val="en-ZA"/>
        </w:rPr>
        <w:t>Nonxuba</w:t>
      </w:r>
      <w:proofErr w:type="spellEnd"/>
      <w:r>
        <w:rPr>
          <w:rFonts w:cs="Arial"/>
          <w:iCs/>
          <w:szCs w:val="24"/>
          <w:lang w:val="en-ZA"/>
        </w:rPr>
        <w:t xml:space="preserve">, who is also an admitted attorney, was in the employ of the firm between February 2018 – September 2021. She resigned and started her own firm, NA </w:t>
      </w:r>
      <w:proofErr w:type="spellStart"/>
      <w:r>
        <w:rPr>
          <w:rFonts w:cs="Arial"/>
          <w:iCs/>
          <w:szCs w:val="24"/>
          <w:lang w:val="en-ZA"/>
        </w:rPr>
        <w:t>Nonxuba</w:t>
      </w:r>
      <w:proofErr w:type="spellEnd"/>
      <w:r>
        <w:rPr>
          <w:rFonts w:cs="Arial"/>
          <w:iCs/>
          <w:szCs w:val="24"/>
          <w:lang w:val="en-ZA"/>
        </w:rPr>
        <w:t xml:space="preserve"> Attorneys Inc of which she is the sole director. Her exact former position in </w:t>
      </w:r>
      <w:proofErr w:type="spellStart"/>
      <w:r>
        <w:rPr>
          <w:rFonts w:cs="Arial"/>
          <w:iCs/>
          <w:szCs w:val="24"/>
          <w:lang w:val="en-ZA"/>
        </w:rPr>
        <w:t>Nonxuba</w:t>
      </w:r>
      <w:proofErr w:type="spellEnd"/>
      <w:r>
        <w:rPr>
          <w:rFonts w:cs="Arial"/>
          <w:iCs/>
          <w:szCs w:val="24"/>
          <w:lang w:val="en-ZA"/>
        </w:rPr>
        <w:t xml:space="preserve"> Inc is not altogether clear. According to her answering affidavit she was a salaried and not a profit-sharing director of that firm. For present purposes, it is accepted that she was a director of </w:t>
      </w:r>
      <w:proofErr w:type="spellStart"/>
      <w:r>
        <w:rPr>
          <w:rFonts w:cs="Arial"/>
          <w:iCs/>
          <w:szCs w:val="24"/>
          <w:lang w:val="en-ZA"/>
        </w:rPr>
        <w:t>Nonxuba</w:t>
      </w:r>
      <w:proofErr w:type="spellEnd"/>
      <w:r>
        <w:rPr>
          <w:rFonts w:cs="Arial"/>
          <w:iCs/>
          <w:szCs w:val="24"/>
          <w:lang w:val="en-ZA"/>
        </w:rPr>
        <w:t xml:space="preserve"> Inc during the period February 2018 – September 2021 when she resigned.</w:t>
      </w:r>
    </w:p>
    <w:p w14:paraId="1E12C51D" w14:textId="77777777" w:rsidR="003613D7" w:rsidRDefault="003613D7" w:rsidP="003613D7">
      <w:pPr>
        <w:spacing w:after="160"/>
        <w:ind w:left="0" w:firstLine="0"/>
        <w:contextualSpacing/>
        <w:rPr>
          <w:rFonts w:cs="Arial"/>
          <w:iCs/>
          <w:szCs w:val="24"/>
          <w:lang w:val="en-ZA"/>
        </w:rPr>
      </w:pPr>
    </w:p>
    <w:p w14:paraId="5120B8F5" w14:textId="77777777" w:rsidR="003613D7" w:rsidRDefault="003613D7" w:rsidP="003613D7">
      <w:pPr>
        <w:spacing w:after="160"/>
        <w:ind w:left="0" w:firstLine="0"/>
        <w:contextualSpacing/>
        <w:rPr>
          <w:rFonts w:cs="Arial"/>
          <w:iCs/>
          <w:szCs w:val="24"/>
          <w:lang w:val="en-ZA"/>
        </w:rPr>
      </w:pPr>
      <w:r>
        <w:rPr>
          <w:rFonts w:cs="Arial"/>
          <w:iCs/>
          <w:szCs w:val="24"/>
          <w:lang w:val="en-ZA"/>
        </w:rPr>
        <w:t xml:space="preserve">[5] Both respondents have ceased to be practising attorneys. Mr </w:t>
      </w:r>
      <w:proofErr w:type="spellStart"/>
      <w:r>
        <w:rPr>
          <w:rFonts w:cs="Arial"/>
          <w:iCs/>
          <w:szCs w:val="24"/>
          <w:lang w:val="en-ZA"/>
        </w:rPr>
        <w:t>Nonxuba</w:t>
      </w:r>
      <w:proofErr w:type="spellEnd"/>
      <w:r>
        <w:rPr>
          <w:rFonts w:cs="Arial"/>
          <w:iCs/>
          <w:szCs w:val="24"/>
          <w:lang w:val="en-ZA"/>
        </w:rPr>
        <w:t xml:space="preserve"> was suspended from practice pursuant to an order of the Western Cape High Court granted on 12 April 2022. The relevant court order makes provision for the LPC to bring an application to strike his name from the roll of attorneys. It does not appear that this has happened as yet. Ms </w:t>
      </w:r>
      <w:proofErr w:type="spellStart"/>
      <w:r>
        <w:rPr>
          <w:rFonts w:cs="Arial"/>
          <w:iCs/>
          <w:szCs w:val="24"/>
          <w:lang w:val="en-ZA"/>
        </w:rPr>
        <w:t>Nonxuba</w:t>
      </w:r>
      <w:proofErr w:type="spellEnd"/>
      <w:r>
        <w:rPr>
          <w:rFonts w:cs="Arial"/>
          <w:iCs/>
          <w:szCs w:val="24"/>
          <w:lang w:val="en-ZA"/>
        </w:rPr>
        <w:t xml:space="preserve"> has ceased to practice after the LPC refused to provide her with a fidelity fund certificate due to the difficulties at </w:t>
      </w:r>
      <w:proofErr w:type="spellStart"/>
      <w:r>
        <w:rPr>
          <w:rFonts w:cs="Arial"/>
          <w:iCs/>
          <w:szCs w:val="24"/>
          <w:lang w:val="en-ZA"/>
        </w:rPr>
        <w:t>Nonxuba</w:t>
      </w:r>
      <w:proofErr w:type="spellEnd"/>
      <w:r>
        <w:rPr>
          <w:rFonts w:cs="Arial"/>
          <w:iCs/>
          <w:szCs w:val="24"/>
          <w:lang w:val="en-ZA"/>
        </w:rPr>
        <w:t xml:space="preserve"> Inc that resulted in the suspension of Mr </w:t>
      </w:r>
      <w:proofErr w:type="spellStart"/>
      <w:r>
        <w:rPr>
          <w:rFonts w:cs="Arial"/>
          <w:iCs/>
          <w:szCs w:val="24"/>
          <w:lang w:val="en-ZA"/>
        </w:rPr>
        <w:t>Nonxuba</w:t>
      </w:r>
      <w:proofErr w:type="spellEnd"/>
      <w:r>
        <w:rPr>
          <w:rFonts w:cs="Arial"/>
          <w:iCs/>
          <w:szCs w:val="24"/>
          <w:lang w:val="en-ZA"/>
        </w:rPr>
        <w:t xml:space="preserve">. She was in fact cited as a respondent in the suspension application against Mr </w:t>
      </w:r>
      <w:proofErr w:type="spellStart"/>
      <w:r>
        <w:rPr>
          <w:rFonts w:cs="Arial"/>
          <w:iCs/>
          <w:szCs w:val="24"/>
          <w:lang w:val="en-ZA"/>
        </w:rPr>
        <w:t>Nonxuba</w:t>
      </w:r>
      <w:proofErr w:type="spellEnd"/>
      <w:r>
        <w:rPr>
          <w:rFonts w:cs="Arial"/>
          <w:iCs/>
          <w:szCs w:val="24"/>
          <w:lang w:val="en-ZA"/>
        </w:rPr>
        <w:t>. She unsuccessfully applied in the North Gauteng High Court for a review of that decision. The matter is presently on appeal.</w:t>
      </w:r>
    </w:p>
    <w:p w14:paraId="6F647D85" w14:textId="77777777" w:rsidR="003613D7" w:rsidRDefault="003613D7" w:rsidP="003613D7">
      <w:pPr>
        <w:spacing w:after="160"/>
        <w:ind w:left="0" w:firstLine="0"/>
        <w:contextualSpacing/>
        <w:rPr>
          <w:rFonts w:cs="Arial"/>
          <w:iCs/>
          <w:szCs w:val="24"/>
          <w:lang w:val="en-ZA"/>
        </w:rPr>
      </w:pPr>
    </w:p>
    <w:p w14:paraId="7D305471" w14:textId="77777777" w:rsidR="003613D7" w:rsidRDefault="003613D7" w:rsidP="003613D7">
      <w:pPr>
        <w:spacing w:after="160"/>
        <w:ind w:left="0" w:firstLine="0"/>
        <w:contextualSpacing/>
        <w:rPr>
          <w:rFonts w:cs="Arial"/>
          <w:iCs/>
          <w:szCs w:val="24"/>
          <w:lang w:val="en-ZA"/>
        </w:rPr>
      </w:pPr>
      <w:r>
        <w:rPr>
          <w:rFonts w:cs="Arial"/>
          <w:iCs/>
          <w:szCs w:val="24"/>
          <w:lang w:val="en-ZA"/>
        </w:rPr>
        <w:t xml:space="preserve">[6] The aforesaid mandate to institute claims against the Health Department was given to </w:t>
      </w:r>
      <w:proofErr w:type="spellStart"/>
      <w:r>
        <w:rPr>
          <w:rFonts w:cs="Arial"/>
          <w:iCs/>
          <w:szCs w:val="24"/>
          <w:lang w:val="en-ZA"/>
        </w:rPr>
        <w:t>Nonxuba</w:t>
      </w:r>
      <w:proofErr w:type="spellEnd"/>
      <w:r>
        <w:rPr>
          <w:rFonts w:cs="Arial"/>
          <w:iCs/>
          <w:szCs w:val="24"/>
          <w:lang w:val="en-ZA"/>
        </w:rPr>
        <w:t xml:space="preserve"> Inc during the period 2016 – 2018. All these claims succeeded, resulting in awards of damages (which are enforceable in respect of the first, third and fifth applicants) </w:t>
      </w:r>
      <w:r>
        <w:rPr>
          <w:rFonts w:cs="Arial"/>
          <w:iCs/>
          <w:szCs w:val="24"/>
          <w:lang w:val="en-ZA"/>
        </w:rPr>
        <w:lastRenderedPageBreak/>
        <w:t xml:space="preserve">in the total sum of R49 691 649.00 which was paid into the trust account of the firm by the Health Department. In terms of the relevant court orders, </w:t>
      </w:r>
      <w:proofErr w:type="spellStart"/>
      <w:r>
        <w:rPr>
          <w:rFonts w:cs="Arial"/>
          <w:iCs/>
          <w:szCs w:val="24"/>
          <w:lang w:val="en-ZA"/>
        </w:rPr>
        <w:t>Nonxuba</w:t>
      </w:r>
      <w:proofErr w:type="spellEnd"/>
      <w:r>
        <w:rPr>
          <w:rFonts w:cs="Arial"/>
          <w:iCs/>
          <w:szCs w:val="24"/>
          <w:lang w:val="en-ZA"/>
        </w:rPr>
        <w:t xml:space="preserve"> Inc had to register a trust for each one of the relevant beneficiaries and the proceeds of the awards, less the fees and disbursements due to the firm, had to be paid over to the respective trusts. According to the applicants this never happened. Instead, </w:t>
      </w:r>
      <w:proofErr w:type="spellStart"/>
      <w:r>
        <w:rPr>
          <w:rFonts w:cs="Arial"/>
          <w:iCs/>
          <w:szCs w:val="24"/>
          <w:lang w:val="en-ZA"/>
        </w:rPr>
        <w:t>Nonxuba</w:t>
      </w:r>
      <w:proofErr w:type="spellEnd"/>
      <w:r>
        <w:rPr>
          <w:rFonts w:cs="Arial"/>
          <w:iCs/>
          <w:szCs w:val="24"/>
          <w:lang w:val="en-ZA"/>
        </w:rPr>
        <w:t xml:space="preserve"> Inc stole the funds and the respondents were involved in the theft. I proceed to consider the applicants’ case.</w:t>
      </w:r>
    </w:p>
    <w:p w14:paraId="42248071" w14:textId="77777777" w:rsidR="003613D7" w:rsidRDefault="003613D7" w:rsidP="003613D7">
      <w:pPr>
        <w:spacing w:after="160"/>
        <w:ind w:left="0" w:firstLine="0"/>
        <w:contextualSpacing/>
        <w:rPr>
          <w:rFonts w:cs="Arial"/>
          <w:iCs/>
          <w:szCs w:val="24"/>
          <w:lang w:val="en-ZA"/>
        </w:rPr>
      </w:pPr>
    </w:p>
    <w:p w14:paraId="0D603F9A" w14:textId="77777777" w:rsidR="003613D7" w:rsidRDefault="003613D7" w:rsidP="003613D7">
      <w:pPr>
        <w:spacing w:after="160"/>
        <w:ind w:left="0" w:firstLine="0"/>
        <w:contextualSpacing/>
        <w:rPr>
          <w:rFonts w:cs="Arial"/>
          <w:b/>
          <w:bCs/>
          <w:i/>
          <w:szCs w:val="24"/>
          <w:u w:val="single"/>
          <w:lang w:val="en-ZA"/>
        </w:rPr>
      </w:pPr>
      <w:r>
        <w:rPr>
          <w:rFonts w:cs="Arial"/>
          <w:b/>
          <w:bCs/>
          <w:i/>
          <w:szCs w:val="24"/>
          <w:u w:val="single"/>
          <w:lang w:val="en-ZA"/>
        </w:rPr>
        <w:t>The applicants’ case</w:t>
      </w:r>
    </w:p>
    <w:p w14:paraId="4074B489" w14:textId="77777777" w:rsidR="003613D7" w:rsidRDefault="003613D7" w:rsidP="003613D7">
      <w:pPr>
        <w:spacing w:after="160"/>
        <w:ind w:left="0" w:firstLine="0"/>
        <w:contextualSpacing/>
        <w:rPr>
          <w:rFonts w:cs="Arial"/>
          <w:b/>
          <w:bCs/>
          <w:i/>
          <w:szCs w:val="24"/>
          <w:u w:val="single"/>
          <w:lang w:val="en-ZA"/>
        </w:rPr>
      </w:pPr>
    </w:p>
    <w:p w14:paraId="583ED172" w14:textId="77777777" w:rsidR="003613D7" w:rsidRDefault="003613D7" w:rsidP="003613D7">
      <w:pPr>
        <w:spacing w:after="160"/>
        <w:ind w:left="0" w:firstLine="0"/>
        <w:contextualSpacing/>
        <w:rPr>
          <w:rFonts w:cs="Arial"/>
          <w:iCs/>
          <w:szCs w:val="24"/>
          <w:lang w:val="en-ZA"/>
        </w:rPr>
      </w:pPr>
      <w:r>
        <w:rPr>
          <w:rFonts w:cs="Arial"/>
          <w:iCs/>
          <w:szCs w:val="24"/>
          <w:lang w:val="en-ZA"/>
        </w:rPr>
        <w:t xml:space="preserve">[7] The gravamen of the applicants’ case is that </w:t>
      </w:r>
      <w:proofErr w:type="spellStart"/>
      <w:r>
        <w:rPr>
          <w:rFonts w:cs="Arial"/>
          <w:iCs/>
          <w:szCs w:val="24"/>
          <w:lang w:val="en-ZA"/>
        </w:rPr>
        <w:t>Nonxuba</w:t>
      </w:r>
      <w:proofErr w:type="spellEnd"/>
      <w:r>
        <w:rPr>
          <w:rFonts w:cs="Arial"/>
          <w:iCs/>
          <w:szCs w:val="24"/>
          <w:lang w:val="en-ZA"/>
        </w:rPr>
        <w:t xml:space="preserve"> Inc is indebted to them pursuant to the theft of the funds. The amount stolen is given variously as R198m, more than R180m or more than R300m. Although it is not entirely clear, it appears that the case of the said applicants with enforceable awards is that all their money was stolen amounting to almost R50m. None of this has, however, been established since it appears that there is a credit balance of approximately R105m in the trust account of </w:t>
      </w:r>
      <w:proofErr w:type="spellStart"/>
      <w:r>
        <w:rPr>
          <w:rFonts w:cs="Arial"/>
          <w:iCs/>
          <w:szCs w:val="24"/>
          <w:lang w:val="en-ZA"/>
        </w:rPr>
        <w:t>Nonxuba</w:t>
      </w:r>
      <w:proofErr w:type="spellEnd"/>
      <w:r>
        <w:rPr>
          <w:rFonts w:cs="Arial"/>
          <w:iCs/>
          <w:szCs w:val="24"/>
          <w:lang w:val="en-ZA"/>
        </w:rPr>
        <w:t xml:space="preserve"> Inc. It is also unclear what nett amounts are payable to the trusts </w:t>
      </w:r>
      <w:proofErr w:type="spellStart"/>
      <w:r>
        <w:rPr>
          <w:rFonts w:cs="Arial"/>
          <w:iCs/>
          <w:szCs w:val="24"/>
          <w:lang w:val="en-ZA"/>
        </w:rPr>
        <w:t>ie</w:t>
      </w:r>
      <w:proofErr w:type="spellEnd"/>
      <w:r>
        <w:rPr>
          <w:rFonts w:cs="Arial"/>
          <w:iCs/>
          <w:szCs w:val="24"/>
          <w:lang w:val="en-ZA"/>
        </w:rPr>
        <w:t xml:space="preserve"> after the deduction of the fees and disbursements of </w:t>
      </w:r>
      <w:proofErr w:type="spellStart"/>
      <w:r>
        <w:rPr>
          <w:rFonts w:cs="Arial"/>
          <w:iCs/>
          <w:szCs w:val="24"/>
          <w:lang w:val="en-ZA"/>
        </w:rPr>
        <w:t>Nonxuba</w:t>
      </w:r>
      <w:proofErr w:type="spellEnd"/>
      <w:r>
        <w:rPr>
          <w:rFonts w:cs="Arial"/>
          <w:iCs/>
          <w:szCs w:val="24"/>
          <w:lang w:val="en-ZA"/>
        </w:rPr>
        <w:t xml:space="preserve"> Inc from the awards. </w:t>
      </w:r>
    </w:p>
    <w:p w14:paraId="7CF5EEE8" w14:textId="77777777" w:rsidR="003613D7" w:rsidRDefault="003613D7" w:rsidP="003613D7">
      <w:pPr>
        <w:spacing w:after="160"/>
        <w:ind w:left="0" w:firstLine="0"/>
        <w:contextualSpacing/>
        <w:rPr>
          <w:rFonts w:cs="Arial"/>
          <w:iCs/>
          <w:szCs w:val="24"/>
          <w:lang w:val="en-ZA"/>
        </w:rPr>
      </w:pPr>
    </w:p>
    <w:p w14:paraId="01DB3B16" w14:textId="77777777" w:rsidR="003613D7" w:rsidRDefault="003613D7" w:rsidP="003613D7">
      <w:pPr>
        <w:spacing w:after="160"/>
        <w:ind w:left="0" w:firstLine="0"/>
        <w:contextualSpacing/>
        <w:rPr>
          <w:rFonts w:cs="Arial"/>
          <w:iCs/>
          <w:szCs w:val="24"/>
          <w:lang w:val="en-ZA"/>
        </w:rPr>
      </w:pPr>
      <w:r>
        <w:rPr>
          <w:rFonts w:cs="Arial"/>
          <w:iCs/>
          <w:szCs w:val="24"/>
          <w:lang w:val="en-ZA"/>
        </w:rPr>
        <w:t xml:space="preserve">[8] All the claims were regulated by contingency fee agreements. According to Mr </w:t>
      </w:r>
      <w:proofErr w:type="spellStart"/>
      <w:r>
        <w:rPr>
          <w:rFonts w:cs="Arial"/>
          <w:iCs/>
          <w:szCs w:val="24"/>
          <w:lang w:val="en-ZA"/>
        </w:rPr>
        <w:t>Nonxuba</w:t>
      </w:r>
      <w:proofErr w:type="spellEnd"/>
      <w:r>
        <w:rPr>
          <w:rFonts w:cs="Arial"/>
          <w:iCs/>
          <w:szCs w:val="24"/>
          <w:lang w:val="en-ZA"/>
        </w:rPr>
        <w:t xml:space="preserve"> the fees and disbursements in medical negligence cases, such as those applicable in this case, average between 35% – 40% of the award. He attempted to demonstrate this by means of summaries of the accounts in respect of the claims of the fourth and fifth applicants which are annexed to his supplementary answering affidavit. It should be pointed out that this accounting is disputed by the applicants. It appears that this is only in respect of the account of the fifth applicant, since the fourth applicant terminated the mandate of the applicants’ attorneys of record and is no longer participating in the proceedings.</w:t>
      </w:r>
    </w:p>
    <w:p w14:paraId="527677C2" w14:textId="77777777" w:rsidR="003613D7" w:rsidRDefault="003613D7" w:rsidP="003613D7">
      <w:pPr>
        <w:spacing w:after="160"/>
        <w:ind w:left="0" w:firstLine="0"/>
        <w:contextualSpacing/>
        <w:rPr>
          <w:rFonts w:cs="Arial"/>
          <w:iCs/>
          <w:szCs w:val="24"/>
          <w:lang w:val="en-ZA"/>
        </w:rPr>
      </w:pPr>
    </w:p>
    <w:p w14:paraId="25DD333C" w14:textId="77777777" w:rsidR="003613D7" w:rsidRDefault="003613D7" w:rsidP="003613D7">
      <w:pPr>
        <w:spacing w:after="160"/>
        <w:ind w:left="0" w:firstLine="0"/>
        <w:contextualSpacing/>
        <w:rPr>
          <w:rFonts w:cs="Arial"/>
          <w:iCs/>
          <w:szCs w:val="24"/>
          <w:lang w:val="en-ZA"/>
        </w:rPr>
      </w:pPr>
      <w:r>
        <w:rPr>
          <w:rFonts w:cs="Arial"/>
          <w:iCs/>
          <w:szCs w:val="24"/>
          <w:lang w:val="en-ZA"/>
        </w:rPr>
        <w:t xml:space="preserve">[9] It is also unclear what amounts may be due to other trust creditors of </w:t>
      </w:r>
      <w:proofErr w:type="spellStart"/>
      <w:r>
        <w:rPr>
          <w:rFonts w:cs="Arial"/>
          <w:iCs/>
          <w:szCs w:val="24"/>
          <w:lang w:val="en-ZA"/>
        </w:rPr>
        <w:t>Nonxuba</w:t>
      </w:r>
      <w:proofErr w:type="spellEnd"/>
      <w:r>
        <w:rPr>
          <w:rFonts w:cs="Arial"/>
          <w:iCs/>
          <w:szCs w:val="24"/>
          <w:lang w:val="en-ZA"/>
        </w:rPr>
        <w:t xml:space="preserve"> Inc. The applicants refer in this regard to an averment by an official of the LPC in correspondence dated 31 August 2023 to the effect that it had been established in </w:t>
      </w:r>
      <w:r>
        <w:rPr>
          <w:rFonts w:cs="Arial"/>
          <w:iCs/>
          <w:szCs w:val="24"/>
          <w:lang w:val="en-ZA"/>
        </w:rPr>
        <w:lastRenderedPageBreak/>
        <w:t xml:space="preserve">collaboration with the National Prosecuting Authority (‘NPA’) and the Special Investigating Unit (‘SIU’) that there was a substantial shortfall on the trust account of </w:t>
      </w:r>
      <w:proofErr w:type="spellStart"/>
      <w:r>
        <w:rPr>
          <w:rFonts w:cs="Arial"/>
          <w:iCs/>
          <w:szCs w:val="24"/>
          <w:lang w:val="en-ZA"/>
        </w:rPr>
        <w:t>Nonxuba</w:t>
      </w:r>
      <w:proofErr w:type="spellEnd"/>
      <w:r>
        <w:rPr>
          <w:rFonts w:cs="Arial"/>
          <w:iCs/>
          <w:szCs w:val="24"/>
          <w:lang w:val="en-ZA"/>
        </w:rPr>
        <w:t xml:space="preserve"> Inc. No detail was provided in this regard. However, this has not been confirmed in these proceedings by the LPC and is denied by Mr </w:t>
      </w:r>
      <w:proofErr w:type="spellStart"/>
      <w:r>
        <w:rPr>
          <w:rFonts w:cs="Arial"/>
          <w:iCs/>
          <w:szCs w:val="24"/>
          <w:lang w:val="en-ZA"/>
        </w:rPr>
        <w:t>Nonxuba</w:t>
      </w:r>
      <w:proofErr w:type="spellEnd"/>
      <w:r>
        <w:rPr>
          <w:rFonts w:cs="Arial"/>
          <w:iCs/>
          <w:szCs w:val="24"/>
          <w:lang w:val="en-ZA"/>
        </w:rPr>
        <w:t>.</w:t>
      </w:r>
    </w:p>
    <w:p w14:paraId="3203428A" w14:textId="77777777" w:rsidR="003613D7" w:rsidRDefault="003613D7" w:rsidP="003613D7">
      <w:pPr>
        <w:spacing w:after="160"/>
        <w:ind w:left="0" w:firstLine="0"/>
        <w:contextualSpacing/>
        <w:rPr>
          <w:rFonts w:cs="Arial"/>
          <w:iCs/>
          <w:szCs w:val="24"/>
          <w:lang w:val="en-ZA"/>
        </w:rPr>
      </w:pPr>
    </w:p>
    <w:p w14:paraId="421C7562" w14:textId="77777777" w:rsidR="003613D7" w:rsidRDefault="003613D7" w:rsidP="003613D7">
      <w:pPr>
        <w:spacing w:after="160"/>
        <w:ind w:left="0" w:firstLine="0"/>
        <w:contextualSpacing/>
        <w:rPr>
          <w:rFonts w:cs="Arial"/>
          <w:iCs/>
          <w:szCs w:val="24"/>
          <w:lang w:val="en-ZA"/>
        </w:rPr>
      </w:pPr>
      <w:r>
        <w:rPr>
          <w:rFonts w:cs="Arial"/>
          <w:iCs/>
          <w:szCs w:val="24"/>
          <w:lang w:val="en-ZA"/>
        </w:rPr>
        <w:t xml:space="preserve">[10] Ms Killian, who appeared on behalf of the respondents together with Mr McKelvey, submitted that this information amounted to double hearsay, in that the applicants are relying on the averment of the LPC official who in turn rely on information from the NPA and SIU about what was allegedly uncovered. She submitted that the LPC has been unable to confirm any shortfall in the trust account of </w:t>
      </w:r>
      <w:proofErr w:type="spellStart"/>
      <w:r>
        <w:rPr>
          <w:rFonts w:cs="Arial"/>
          <w:iCs/>
          <w:szCs w:val="24"/>
          <w:lang w:val="en-ZA"/>
        </w:rPr>
        <w:t>Nonxuba</w:t>
      </w:r>
      <w:proofErr w:type="spellEnd"/>
      <w:r>
        <w:rPr>
          <w:rFonts w:cs="Arial"/>
          <w:iCs/>
          <w:szCs w:val="24"/>
          <w:lang w:val="en-ZA"/>
        </w:rPr>
        <w:t xml:space="preserve"> Inc as appears from the report that it submitted in both applications indicating that it leaves the matter in the hands of the court. She also correctly indicated that the allegation in the replying affidavit is unfounded that the Western Cape High Court had determined in the suspension judgement against Mr </w:t>
      </w:r>
      <w:proofErr w:type="spellStart"/>
      <w:r>
        <w:rPr>
          <w:rFonts w:cs="Arial"/>
          <w:iCs/>
          <w:szCs w:val="24"/>
          <w:lang w:val="en-ZA"/>
        </w:rPr>
        <w:t>Nonxuba</w:t>
      </w:r>
      <w:proofErr w:type="spellEnd"/>
      <w:r>
        <w:rPr>
          <w:rFonts w:cs="Arial"/>
          <w:iCs/>
          <w:szCs w:val="24"/>
          <w:lang w:val="en-ZA"/>
        </w:rPr>
        <w:t xml:space="preserve"> that </w:t>
      </w:r>
      <w:proofErr w:type="spellStart"/>
      <w:r>
        <w:rPr>
          <w:rFonts w:cs="Arial"/>
          <w:iCs/>
          <w:szCs w:val="24"/>
          <w:lang w:val="en-ZA"/>
        </w:rPr>
        <w:t>Nonxuba</w:t>
      </w:r>
      <w:proofErr w:type="spellEnd"/>
      <w:r>
        <w:rPr>
          <w:rFonts w:cs="Arial"/>
          <w:iCs/>
          <w:szCs w:val="24"/>
          <w:lang w:val="en-ZA"/>
        </w:rPr>
        <w:t xml:space="preserve"> Inc had misappropriated trust funds and misconducted the trust account. That court suspended Mr </w:t>
      </w:r>
      <w:proofErr w:type="spellStart"/>
      <w:r>
        <w:rPr>
          <w:rFonts w:cs="Arial"/>
          <w:iCs/>
          <w:szCs w:val="24"/>
          <w:lang w:val="en-ZA"/>
        </w:rPr>
        <w:t>Nonxuba</w:t>
      </w:r>
      <w:proofErr w:type="spellEnd"/>
      <w:r>
        <w:rPr>
          <w:rFonts w:cs="Arial"/>
          <w:iCs/>
          <w:szCs w:val="24"/>
          <w:lang w:val="en-ZA"/>
        </w:rPr>
        <w:t xml:space="preserve"> on the basis that it accepted the case of the LPC that he had fabricated the trust reconciliation. The further case of the LPC was not sustained that the accounting irregularities and the delay in paying over the damages awards to the relevant beneficiaries taken together with certain round figure transfers from the trust to the business accounts, gave rise to a suspicion that Mr </w:t>
      </w:r>
      <w:proofErr w:type="spellStart"/>
      <w:r>
        <w:rPr>
          <w:rFonts w:cs="Arial"/>
          <w:iCs/>
          <w:szCs w:val="24"/>
          <w:lang w:val="en-ZA"/>
        </w:rPr>
        <w:t>Nonxuba</w:t>
      </w:r>
      <w:proofErr w:type="spellEnd"/>
      <w:r>
        <w:rPr>
          <w:rFonts w:cs="Arial"/>
          <w:iCs/>
          <w:szCs w:val="24"/>
          <w:lang w:val="en-ZA"/>
        </w:rPr>
        <w:t xml:space="preserve"> had stolen trust monies. </w:t>
      </w:r>
    </w:p>
    <w:p w14:paraId="58D014DB" w14:textId="77777777" w:rsidR="003613D7" w:rsidRDefault="003613D7" w:rsidP="003613D7">
      <w:pPr>
        <w:spacing w:after="160"/>
        <w:ind w:left="0" w:firstLine="0"/>
        <w:contextualSpacing/>
        <w:rPr>
          <w:rFonts w:cs="Arial"/>
          <w:iCs/>
          <w:szCs w:val="24"/>
          <w:lang w:val="en-ZA"/>
        </w:rPr>
      </w:pPr>
    </w:p>
    <w:p w14:paraId="41BCF0BF" w14:textId="3855B46B" w:rsidR="003613D7" w:rsidRDefault="003613D7" w:rsidP="003613D7">
      <w:pPr>
        <w:spacing w:after="160"/>
        <w:ind w:left="0" w:firstLine="0"/>
        <w:contextualSpacing/>
        <w:rPr>
          <w:rFonts w:cs="Arial"/>
          <w:iCs/>
          <w:szCs w:val="24"/>
          <w:lang w:val="en-ZA"/>
        </w:rPr>
      </w:pPr>
      <w:r>
        <w:rPr>
          <w:rFonts w:cs="Arial"/>
          <w:iCs/>
          <w:szCs w:val="24"/>
          <w:lang w:val="en-ZA"/>
        </w:rPr>
        <w:t xml:space="preserve">[11] The applicants further aver in the replying affidavit that was deposed to by their attorney that according to a media report the LPC had apparently determined the total </w:t>
      </w:r>
      <w:r w:rsidR="00C61D05">
        <w:rPr>
          <w:rFonts w:cs="Arial"/>
          <w:iCs/>
          <w:szCs w:val="24"/>
          <w:lang w:val="en-ZA"/>
        </w:rPr>
        <w:t>sum</w:t>
      </w:r>
      <w:r>
        <w:rPr>
          <w:rFonts w:cs="Arial"/>
          <w:iCs/>
          <w:szCs w:val="24"/>
          <w:lang w:val="en-ZA"/>
        </w:rPr>
        <w:t xml:space="preserve"> of trust monies that were stolen by </w:t>
      </w:r>
      <w:proofErr w:type="spellStart"/>
      <w:r>
        <w:rPr>
          <w:rFonts w:cs="Arial"/>
          <w:iCs/>
          <w:szCs w:val="24"/>
          <w:lang w:val="en-ZA"/>
        </w:rPr>
        <w:t>Nonxuba</w:t>
      </w:r>
      <w:proofErr w:type="spellEnd"/>
      <w:r>
        <w:rPr>
          <w:rFonts w:cs="Arial"/>
          <w:iCs/>
          <w:szCs w:val="24"/>
          <w:lang w:val="en-ZA"/>
        </w:rPr>
        <w:t xml:space="preserve"> Inc amounted to R345m. This was also not confirmed by the LPC. </w:t>
      </w:r>
    </w:p>
    <w:p w14:paraId="086CAB67" w14:textId="77777777" w:rsidR="003613D7" w:rsidRDefault="003613D7" w:rsidP="003613D7">
      <w:pPr>
        <w:spacing w:after="160"/>
        <w:ind w:left="0" w:firstLine="0"/>
        <w:contextualSpacing/>
        <w:rPr>
          <w:rFonts w:cs="Arial"/>
          <w:iCs/>
          <w:szCs w:val="24"/>
          <w:lang w:val="en-ZA"/>
        </w:rPr>
      </w:pPr>
    </w:p>
    <w:p w14:paraId="4BF843FE" w14:textId="77777777" w:rsidR="003613D7" w:rsidRDefault="003613D7" w:rsidP="003613D7">
      <w:pPr>
        <w:spacing w:after="160"/>
        <w:ind w:left="0" w:firstLine="0"/>
        <w:contextualSpacing/>
        <w:rPr>
          <w:rFonts w:cs="Arial"/>
          <w:iCs/>
          <w:szCs w:val="24"/>
          <w:lang w:val="en-ZA"/>
        </w:rPr>
      </w:pPr>
      <w:r>
        <w:rPr>
          <w:rFonts w:cs="Arial"/>
          <w:iCs/>
          <w:szCs w:val="24"/>
          <w:lang w:val="en-ZA"/>
        </w:rPr>
        <w:t xml:space="preserve">[12] It is therefore unclear what amount exactly was stolen on the applicants’ version. At worst, it would be their entire awards amounting to R 49 691 649.00. This is, however, far from clear and it is not supported by any direct evidence. The applicants rely on an alleged deficit in the trust account of </w:t>
      </w:r>
      <w:proofErr w:type="spellStart"/>
      <w:r>
        <w:rPr>
          <w:rFonts w:cs="Arial"/>
          <w:iCs/>
          <w:szCs w:val="24"/>
          <w:lang w:val="en-ZA"/>
        </w:rPr>
        <w:t>Nonxuba</w:t>
      </w:r>
      <w:proofErr w:type="spellEnd"/>
      <w:r>
        <w:rPr>
          <w:rFonts w:cs="Arial"/>
          <w:iCs/>
          <w:szCs w:val="24"/>
          <w:lang w:val="en-ZA"/>
        </w:rPr>
        <w:t xml:space="preserve"> Inc for the inference that the funds were stolen. There is no acceptable evidence of a deficit in the trust account. In fact, the balance of </w:t>
      </w:r>
      <w:r>
        <w:rPr>
          <w:rFonts w:cs="Arial"/>
          <w:iCs/>
          <w:szCs w:val="24"/>
          <w:lang w:val="en-ZA"/>
        </w:rPr>
        <w:lastRenderedPageBreak/>
        <w:t>the trust account clearly covers the total gross amount of their claims and by the same token the nett amounts payable to the relevant trusts.</w:t>
      </w:r>
    </w:p>
    <w:p w14:paraId="0E553C3F" w14:textId="77777777" w:rsidR="003613D7" w:rsidRDefault="003613D7" w:rsidP="003613D7">
      <w:pPr>
        <w:spacing w:after="160"/>
        <w:ind w:left="0" w:firstLine="0"/>
        <w:contextualSpacing/>
        <w:rPr>
          <w:rFonts w:cs="Arial"/>
          <w:iCs/>
          <w:szCs w:val="24"/>
          <w:lang w:val="en-ZA"/>
        </w:rPr>
      </w:pPr>
    </w:p>
    <w:p w14:paraId="76F4EF9C" w14:textId="440E7AEA" w:rsidR="003613D7" w:rsidRDefault="003613D7" w:rsidP="003613D7">
      <w:pPr>
        <w:spacing w:after="160"/>
        <w:ind w:left="0" w:firstLine="0"/>
        <w:contextualSpacing/>
        <w:rPr>
          <w:rFonts w:cs="Arial"/>
          <w:iCs/>
          <w:szCs w:val="24"/>
          <w:lang w:val="en-ZA"/>
        </w:rPr>
      </w:pPr>
      <w:r>
        <w:rPr>
          <w:rFonts w:cs="Arial"/>
          <w:iCs/>
          <w:szCs w:val="24"/>
          <w:lang w:val="en-ZA"/>
        </w:rPr>
        <w:t xml:space="preserve">[13] There is no indication whether or not </w:t>
      </w:r>
      <w:proofErr w:type="spellStart"/>
      <w:r>
        <w:rPr>
          <w:rFonts w:cs="Arial"/>
          <w:iCs/>
          <w:szCs w:val="24"/>
          <w:lang w:val="en-ZA"/>
        </w:rPr>
        <w:t>Nonxuba</w:t>
      </w:r>
      <w:proofErr w:type="spellEnd"/>
      <w:r>
        <w:rPr>
          <w:rFonts w:cs="Arial"/>
          <w:iCs/>
          <w:szCs w:val="24"/>
          <w:lang w:val="en-ZA"/>
        </w:rPr>
        <w:t xml:space="preserve"> Inc has any trust creditors other than the applicants. This appears to be unlikely. According to the Western Cape High Court judgement </w:t>
      </w:r>
      <w:proofErr w:type="spellStart"/>
      <w:r>
        <w:rPr>
          <w:rFonts w:cs="Arial"/>
          <w:iCs/>
          <w:szCs w:val="24"/>
          <w:lang w:val="en-ZA"/>
        </w:rPr>
        <w:t>Nonxuba</w:t>
      </w:r>
      <w:proofErr w:type="spellEnd"/>
      <w:r>
        <w:rPr>
          <w:rFonts w:cs="Arial"/>
          <w:iCs/>
          <w:szCs w:val="24"/>
          <w:lang w:val="en-ZA"/>
        </w:rPr>
        <w:t xml:space="preserve"> Inc had 12 trust creditors as at 31 July 2021. One of these was the firm itself. It is therefore overwhelmingly probable that the remaining 11 creditors were the original 11 applicants in these proceedings.</w:t>
      </w:r>
    </w:p>
    <w:p w14:paraId="7A8E3906" w14:textId="77777777" w:rsidR="00B800A3" w:rsidRDefault="00B800A3" w:rsidP="003613D7">
      <w:pPr>
        <w:spacing w:after="160"/>
        <w:ind w:left="0" w:firstLine="0"/>
        <w:contextualSpacing/>
        <w:rPr>
          <w:rFonts w:cs="Arial"/>
          <w:iCs/>
          <w:szCs w:val="24"/>
          <w:lang w:val="en-ZA"/>
        </w:rPr>
      </w:pPr>
    </w:p>
    <w:p w14:paraId="2D9932C0" w14:textId="2416847B" w:rsidR="003613D7" w:rsidRDefault="003613D7" w:rsidP="003613D7">
      <w:pPr>
        <w:spacing w:after="160"/>
        <w:ind w:left="0" w:firstLine="0"/>
        <w:contextualSpacing/>
        <w:rPr>
          <w:rFonts w:cs="Arial"/>
          <w:iCs/>
          <w:szCs w:val="24"/>
          <w:lang w:val="en-ZA"/>
        </w:rPr>
      </w:pPr>
      <w:r>
        <w:rPr>
          <w:rFonts w:cs="Arial"/>
          <w:iCs/>
          <w:szCs w:val="24"/>
          <w:lang w:val="en-ZA"/>
        </w:rPr>
        <w:t xml:space="preserve">[14] Both respondents denied having stolen any funds or that funds were stolen at all. Ms </w:t>
      </w:r>
      <w:proofErr w:type="spellStart"/>
      <w:r>
        <w:rPr>
          <w:rFonts w:cs="Arial"/>
          <w:iCs/>
          <w:szCs w:val="24"/>
          <w:lang w:val="en-ZA"/>
        </w:rPr>
        <w:t>Nonxuba</w:t>
      </w:r>
      <w:proofErr w:type="spellEnd"/>
      <w:r>
        <w:rPr>
          <w:rFonts w:cs="Arial"/>
          <w:iCs/>
          <w:szCs w:val="24"/>
          <w:lang w:val="en-ZA"/>
        </w:rPr>
        <w:t xml:space="preserve"> furthermore indicated that as an employee, she had no access to the trust account or any involvement in the administration of </w:t>
      </w:r>
      <w:proofErr w:type="spellStart"/>
      <w:r>
        <w:rPr>
          <w:rFonts w:cs="Arial"/>
          <w:iCs/>
          <w:szCs w:val="24"/>
          <w:lang w:val="en-ZA"/>
        </w:rPr>
        <w:t>Nonxuba</w:t>
      </w:r>
      <w:proofErr w:type="spellEnd"/>
      <w:r>
        <w:rPr>
          <w:rFonts w:cs="Arial"/>
          <w:iCs/>
          <w:szCs w:val="24"/>
          <w:lang w:val="en-ZA"/>
        </w:rPr>
        <w:t xml:space="preserve"> Inc. She also indicated that most of the damages claims of the applicants were finalised before her term of office as a director of </w:t>
      </w:r>
      <w:proofErr w:type="spellStart"/>
      <w:r>
        <w:rPr>
          <w:rFonts w:cs="Arial"/>
          <w:iCs/>
          <w:szCs w:val="24"/>
          <w:lang w:val="en-ZA"/>
        </w:rPr>
        <w:t>Nonxuba</w:t>
      </w:r>
      <w:proofErr w:type="spellEnd"/>
      <w:r>
        <w:rPr>
          <w:rFonts w:cs="Arial"/>
          <w:iCs/>
          <w:szCs w:val="24"/>
          <w:lang w:val="en-ZA"/>
        </w:rPr>
        <w:t xml:space="preserve"> Inc.</w:t>
      </w:r>
    </w:p>
    <w:p w14:paraId="0EE51869" w14:textId="77777777" w:rsidR="00B800A3" w:rsidRDefault="00B800A3" w:rsidP="003613D7">
      <w:pPr>
        <w:spacing w:after="160"/>
        <w:ind w:left="0" w:firstLine="0"/>
        <w:contextualSpacing/>
        <w:rPr>
          <w:rFonts w:cs="Arial"/>
          <w:iCs/>
          <w:szCs w:val="24"/>
          <w:lang w:val="en-ZA"/>
        </w:rPr>
      </w:pPr>
    </w:p>
    <w:p w14:paraId="693CCBFC" w14:textId="77777777" w:rsidR="003613D7" w:rsidRDefault="003613D7" w:rsidP="003613D7">
      <w:pPr>
        <w:spacing w:after="160"/>
        <w:ind w:left="0" w:firstLine="0"/>
        <w:contextualSpacing/>
        <w:rPr>
          <w:rFonts w:cs="Arial"/>
          <w:iCs/>
          <w:szCs w:val="24"/>
          <w:lang w:val="en-ZA"/>
        </w:rPr>
      </w:pPr>
      <w:r>
        <w:rPr>
          <w:rFonts w:cs="Arial"/>
          <w:iCs/>
          <w:szCs w:val="24"/>
          <w:lang w:val="en-ZA"/>
        </w:rPr>
        <w:t xml:space="preserve">[15] No proceedings other than the present provisional sequestration applications were instituted to recover any of the amounts that are said to have been stolen. Although it is alluded to in the applicants’ papers that steps will be taken to liquidate </w:t>
      </w:r>
      <w:proofErr w:type="spellStart"/>
      <w:r>
        <w:rPr>
          <w:rFonts w:cs="Arial"/>
          <w:iCs/>
          <w:szCs w:val="24"/>
          <w:lang w:val="en-ZA"/>
        </w:rPr>
        <w:t>Nonxuba</w:t>
      </w:r>
      <w:proofErr w:type="spellEnd"/>
      <w:r>
        <w:rPr>
          <w:rFonts w:cs="Arial"/>
          <w:iCs/>
          <w:szCs w:val="24"/>
          <w:lang w:val="en-ZA"/>
        </w:rPr>
        <w:t xml:space="preserve"> Inc, this has not materialised. The indebtedness, if any, of </w:t>
      </w:r>
      <w:proofErr w:type="spellStart"/>
      <w:r>
        <w:rPr>
          <w:rFonts w:cs="Arial"/>
          <w:iCs/>
          <w:szCs w:val="24"/>
          <w:lang w:val="en-ZA"/>
        </w:rPr>
        <w:t>Nonxuba</w:t>
      </w:r>
      <w:proofErr w:type="spellEnd"/>
      <w:r>
        <w:rPr>
          <w:rFonts w:cs="Arial"/>
          <w:iCs/>
          <w:szCs w:val="24"/>
          <w:lang w:val="en-ZA"/>
        </w:rPr>
        <w:t xml:space="preserve"> Inc to the applicants has thus not been established in any legal proceedings.</w:t>
      </w:r>
    </w:p>
    <w:p w14:paraId="5C6A7363" w14:textId="77777777" w:rsidR="003613D7" w:rsidRDefault="003613D7" w:rsidP="003613D7">
      <w:pPr>
        <w:spacing w:after="160"/>
        <w:ind w:left="0" w:firstLine="0"/>
        <w:contextualSpacing/>
        <w:rPr>
          <w:rFonts w:cs="Arial"/>
          <w:iCs/>
          <w:szCs w:val="24"/>
          <w:lang w:val="en-ZA"/>
        </w:rPr>
      </w:pPr>
    </w:p>
    <w:p w14:paraId="7AD98BEE" w14:textId="77777777" w:rsidR="003613D7" w:rsidRDefault="003613D7" w:rsidP="003613D7">
      <w:pPr>
        <w:spacing w:after="160"/>
        <w:ind w:left="0" w:firstLine="0"/>
        <w:contextualSpacing/>
        <w:rPr>
          <w:rFonts w:cs="Arial"/>
          <w:b/>
          <w:bCs/>
          <w:i/>
          <w:szCs w:val="24"/>
          <w:u w:val="single"/>
          <w:lang w:val="en-ZA"/>
        </w:rPr>
      </w:pPr>
      <w:r>
        <w:rPr>
          <w:rFonts w:cs="Arial"/>
          <w:b/>
          <w:bCs/>
          <w:i/>
          <w:szCs w:val="24"/>
          <w:u w:val="single"/>
          <w:lang w:val="en-ZA"/>
        </w:rPr>
        <w:t>Merits</w:t>
      </w:r>
    </w:p>
    <w:p w14:paraId="06DA2A0B" w14:textId="77777777" w:rsidR="003613D7" w:rsidRDefault="003613D7" w:rsidP="003613D7">
      <w:pPr>
        <w:spacing w:after="160"/>
        <w:ind w:left="0" w:firstLine="0"/>
        <w:contextualSpacing/>
        <w:rPr>
          <w:rFonts w:cs="Arial"/>
          <w:b/>
          <w:bCs/>
          <w:i/>
          <w:szCs w:val="24"/>
          <w:u w:val="single"/>
          <w:lang w:val="en-ZA"/>
        </w:rPr>
      </w:pPr>
    </w:p>
    <w:p w14:paraId="7A8B8FC8" w14:textId="77777777" w:rsidR="003613D7" w:rsidRDefault="003613D7" w:rsidP="003613D7">
      <w:pPr>
        <w:spacing w:after="160"/>
        <w:ind w:left="0" w:firstLine="0"/>
        <w:contextualSpacing/>
        <w:rPr>
          <w:rFonts w:cs="Arial"/>
          <w:iCs/>
          <w:szCs w:val="24"/>
          <w:lang w:val="en-ZA"/>
        </w:rPr>
      </w:pPr>
      <w:r>
        <w:rPr>
          <w:rFonts w:cs="Arial"/>
          <w:iCs/>
          <w:szCs w:val="24"/>
          <w:lang w:val="en-ZA"/>
        </w:rPr>
        <w:t>[16] The applicants’ case against the respondents in a nutshell, is that pursuant to the provisions of section 19(3)</w:t>
      </w:r>
      <w:r>
        <w:rPr>
          <w:rStyle w:val="FootnoteReference"/>
          <w:rFonts w:cs="Arial"/>
          <w:iCs/>
          <w:szCs w:val="24"/>
          <w:lang w:val="en-ZA"/>
        </w:rPr>
        <w:footnoteReference w:id="1"/>
      </w:r>
      <w:r>
        <w:rPr>
          <w:rFonts w:cs="Arial"/>
          <w:iCs/>
          <w:szCs w:val="24"/>
          <w:lang w:val="en-ZA"/>
        </w:rPr>
        <w:t xml:space="preserve"> of the Companies Act, 71 of 2008, the respondents are jointly and severally liable in their capacities as directors with </w:t>
      </w:r>
      <w:proofErr w:type="spellStart"/>
      <w:r>
        <w:rPr>
          <w:rFonts w:cs="Arial"/>
          <w:iCs/>
          <w:szCs w:val="24"/>
          <w:lang w:val="en-ZA"/>
        </w:rPr>
        <w:t>Nonxuba</w:t>
      </w:r>
      <w:proofErr w:type="spellEnd"/>
      <w:r>
        <w:rPr>
          <w:rFonts w:cs="Arial"/>
          <w:iCs/>
          <w:szCs w:val="24"/>
          <w:lang w:val="en-ZA"/>
        </w:rPr>
        <w:t xml:space="preserve"> Inc for the latter’s indebtedness to the applicants. In effect, the applicants’ contention is that because </w:t>
      </w:r>
      <w:proofErr w:type="spellStart"/>
      <w:r>
        <w:rPr>
          <w:rFonts w:cs="Arial"/>
          <w:iCs/>
          <w:szCs w:val="24"/>
          <w:lang w:val="en-ZA"/>
        </w:rPr>
        <w:lastRenderedPageBreak/>
        <w:t>Nonxuba</w:t>
      </w:r>
      <w:proofErr w:type="spellEnd"/>
      <w:r>
        <w:rPr>
          <w:rFonts w:cs="Arial"/>
          <w:iCs/>
          <w:szCs w:val="24"/>
          <w:lang w:val="en-ZA"/>
        </w:rPr>
        <w:t xml:space="preserve"> Inc is a personal liability company (which is common cause) the respondents have incurred statutory liability in terms of the subsection as co-debtors with </w:t>
      </w:r>
      <w:proofErr w:type="spellStart"/>
      <w:r>
        <w:rPr>
          <w:rFonts w:cs="Arial"/>
          <w:iCs/>
          <w:szCs w:val="24"/>
          <w:lang w:val="en-ZA"/>
        </w:rPr>
        <w:t>Nonxuba</w:t>
      </w:r>
      <w:proofErr w:type="spellEnd"/>
      <w:r>
        <w:rPr>
          <w:rFonts w:cs="Arial"/>
          <w:iCs/>
          <w:szCs w:val="24"/>
          <w:lang w:val="en-ZA"/>
        </w:rPr>
        <w:t xml:space="preserve"> Inc. The applicants’ case accordingly turns on the proper interpretation of section 19(3).</w:t>
      </w:r>
    </w:p>
    <w:p w14:paraId="5717D6CD" w14:textId="77777777" w:rsidR="003613D7" w:rsidRDefault="003613D7" w:rsidP="003613D7">
      <w:pPr>
        <w:spacing w:after="160"/>
        <w:ind w:left="0" w:firstLine="0"/>
        <w:contextualSpacing/>
        <w:rPr>
          <w:rFonts w:cs="Arial"/>
          <w:iCs/>
          <w:szCs w:val="24"/>
          <w:lang w:val="en-ZA"/>
        </w:rPr>
      </w:pPr>
    </w:p>
    <w:p w14:paraId="48986D15" w14:textId="77777777" w:rsidR="003613D7" w:rsidRDefault="003613D7" w:rsidP="003613D7">
      <w:pPr>
        <w:spacing w:after="160"/>
        <w:ind w:left="0" w:firstLine="0"/>
        <w:contextualSpacing/>
        <w:rPr>
          <w:rFonts w:cs="Arial"/>
          <w:iCs/>
          <w:szCs w:val="24"/>
          <w:lang w:val="en-ZA"/>
        </w:rPr>
      </w:pPr>
      <w:r>
        <w:rPr>
          <w:rFonts w:cs="Arial"/>
          <w:iCs/>
          <w:szCs w:val="24"/>
          <w:lang w:val="en-ZA"/>
        </w:rPr>
        <w:t>[17] Section 19(3) is substantially similarly worded to its predecessor, section 53(b)</w:t>
      </w:r>
      <w:r>
        <w:rPr>
          <w:rStyle w:val="FootnoteReference"/>
          <w:rFonts w:cs="Arial"/>
          <w:iCs/>
          <w:szCs w:val="24"/>
          <w:lang w:val="en-ZA"/>
        </w:rPr>
        <w:footnoteReference w:id="2"/>
      </w:r>
      <w:r>
        <w:rPr>
          <w:rFonts w:cs="Arial"/>
          <w:iCs/>
          <w:szCs w:val="24"/>
          <w:lang w:val="en-ZA"/>
        </w:rPr>
        <w:t xml:space="preserve"> of the Companies Act, 1973. The former Appellate Division dealt with the proper construction of the latter subsection in </w:t>
      </w:r>
      <w:proofErr w:type="spellStart"/>
      <w:r>
        <w:rPr>
          <w:rFonts w:cs="Arial"/>
          <w:i/>
          <w:iCs/>
          <w:szCs w:val="24"/>
          <w:lang w:val="en-ZA"/>
        </w:rPr>
        <w:t>Fundstrust</w:t>
      </w:r>
      <w:proofErr w:type="spellEnd"/>
      <w:r>
        <w:rPr>
          <w:rStyle w:val="FootnoteReference"/>
          <w:rFonts w:cs="Arial"/>
          <w:i/>
          <w:iCs/>
          <w:szCs w:val="24"/>
          <w:lang w:val="en-ZA"/>
        </w:rPr>
        <w:footnoteReference w:id="3"/>
      </w:r>
      <w:r>
        <w:rPr>
          <w:rFonts w:cs="Arial"/>
          <w:iCs/>
          <w:szCs w:val="24"/>
          <w:lang w:val="en-ZA"/>
        </w:rPr>
        <w:t xml:space="preserve"> where it concluded that the subsection applies to contractual debts of the company arising from its ordinary financial or commercial commitments </w:t>
      </w:r>
      <w:proofErr w:type="spellStart"/>
      <w:r>
        <w:rPr>
          <w:rFonts w:cs="Arial"/>
          <w:iCs/>
          <w:szCs w:val="24"/>
          <w:lang w:val="en-ZA"/>
        </w:rPr>
        <w:t>ie</w:t>
      </w:r>
      <w:proofErr w:type="spellEnd"/>
      <w:r>
        <w:rPr>
          <w:rFonts w:cs="Arial"/>
          <w:iCs/>
          <w:szCs w:val="24"/>
          <w:lang w:val="en-ZA"/>
        </w:rPr>
        <w:t xml:space="preserve"> ordinary business debts.</w:t>
      </w:r>
      <w:r>
        <w:rPr>
          <w:rStyle w:val="FootnoteReference"/>
          <w:rFonts w:cs="Arial"/>
          <w:iCs/>
          <w:szCs w:val="24"/>
          <w:lang w:val="en-ZA"/>
        </w:rPr>
        <w:footnoteReference w:id="4"/>
      </w:r>
      <w:r>
        <w:rPr>
          <w:rFonts w:cs="Arial"/>
          <w:iCs/>
          <w:szCs w:val="24"/>
          <w:lang w:val="en-ZA"/>
        </w:rPr>
        <w:t xml:space="preserve"> </w:t>
      </w:r>
    </w:p>
    <w:p w14:paraId="1A9DAD13" w14:textId="77777777" w:rsidR="003613D7" w:rsidRDefault="003613D7" w:rsidP="003613D7">
      <w:pPr>
        <w:spacing w:after="160"/>
        <w:ind w:left="0" w:firstLine="0"/>
        <w:contextualSpacing/>
        <w:rPr>
          <w:rFonts w:cs="Arial"/>
          <w:iCs/>
          <w:szCs w:val="24"/>
          <w:lang w:val="en-ZA"/>
        </w:rPr>
      </w:pPr>
    </w:p>
    <w:p w14:paraId="2E0581B4" w14:textId="77777777" w:rsidR="003613D7" w:rsidRDefault="003613D7" w:rsidP="003613D7">
      <w:pPr>
        <w:spacing w:after="160"/>
        <w:ind w:left="0" w:firstLine="0"/>
        <w:contextualSpacing/>
        <w:rPr>
          <w:rFonts w:cs="Arial"/>
          <w:iCs/>
          <w:szCs w:val="24"/>
          <w:lang w:val="en-ZA"/>
        </w:rPr>
      </w:pPr>
      <w:r>
        <w:rPr>
          <w:rFonts w:cs="Arial"/>
          <w:iCs/>
          <w:szCs w:val="24"/>
          <w:lang w:val="en-ZA"/>
        </w:rPr>
        <w:t>[18] In my view, the above interpretation would apply with equal force to section 19(3).</w:t>
      </w:r>
      <w:r>
        <w:rPr>
          <w:rStyle w:val="FootnoteReference"/>
          <w:rFonts w:cs="Arial"/>
          <w:iCs/>
          <w:szCs w:val="24"/>
          <w:lang w:val="en-ZA"/>
        </w:rPr>
        <w:footnoteReference w:id="5"/>
      </w:r>
      <w:r>
        <w:rPr>
          <w:rFonts w:cs="Arial"/>
          <w:iCs/>
          <w:szCs w:val="24"/>
          <w:lang w:val="en-ZA"/>
        </w:rPr>
        <w:t xml:space="preserve"> It follows that the subsection provides for personal liability of directors for the ordinary commercial contractual debts or liability that are incurred by a personal liability company during the term of office of the director in question.</w:t>
      </w:r>
    </w:p>
    <w:p w14:paraId="244D9B07" w14:textId="77777777" w:rsidR="003613D7" w:rsidRDefault="003613D7" w:rsidP="003613D7">
      <w:pPr>
        <w:spacing w:after="160"/>
        <w:ind w:left="0" w:firstLine="0"/>
        <w:contextualSpacing/>
        <w:rPr>
          <w:rFonts w:cs="Arial"/>
          <w:iCs/>
          <w:szCs w:val="24"/>
          <w:lang w:val="en-ZA"/>
        </w:rPr>
      </w:pPr>
    </w:p>
    <w:p w14:paraId="50411DB4" w14:textId="2E468219" w:rsidR="003613D7" w:rsidRDefault="003613D7" w:rsidP="003613D7">
      <w:pPr>
        <w:spacing w:after="160"/>
        <w:ind w:left="0" w:firstLine="0"/>
        <w:contextualSpacing/>
        <w:rPr>
          <w:rFonts w:cs="Arial"/>
          <w:iCs/>
          <w:szCs w:val="24"/>
          <w:lang w:val="en-ZA"/>
        </w:rPr>
      </w:pPr>
      <w:r>
        <w:rPr>
          <w:rFonts w:cs="Arial"/>
          <w:iCs/>
          <w:szCs w:val="24"/>
          <w:lang w:val="en-ZA"/>
        </w:rPr>
        <w:t xml:space="preserve">[19] On the applicants’ version the debt of </w:t>
      </w:r>
      <w:proofErr w:type="spellStart"/>
      <w:r>
        <w:rPr>
          <w:rFonts w:cs="Arial"/>
          <w:iCs/>
          <w:szCs w:val="24"/>
          <w:lang w:val="en-ZA"/>
        </w:rPr>
        <w:t>Nonxuba</w:t>
      </w:r>
      <w:proofErr w:type="spellEnd"/>
      <w:r>
        <w:rPr>
          <w:rFonts w:cs="Arial"/>
          <w:iCs/>
          <w:szCs w:val="24"/>
          <w:lang w:val="en-ZA"/>
        </w:rPr>
        <w:t xml:space="preserve"> Inc arose from the theft of the trust funds. The respondents contend that this does not amount to a consensual, contractual debt incurred in the ordinary course of business but is a claim based in delict. The debt relied upon by the applicants accordingly does not fall within the provisions of section 19(3) of the Companies Act. It follows that the respondents did not incur joint and several liability together with </w:t>
      </w:r>
      <w:proofErr w:type="spellStart"/>
      <w:r>
        <w:rPr>
          <w:rFonts w:cs="Arial"/>
          <w:iCs/>
          <w:szCs w:val="24"/>
          <w:lang w:val="en-ZA"/>
        </w:rPr>
        <w:t>Nonxuba</w:t>
      </w:r>
      <w:proofErr w:type="spellEnd"/>
      <w:r>
        <w:rPr>
          <w:rFonts w:cs="Arial"/>
          <w:iCs/>
          <w:szCs w:val="24"/>
          <w:lang w:val="en-ZA"/>
        </w:rPr>
        <w:t xml:space="preserve"> Inc for the payment of such debt. In the respondents’ view </w:t>
      </w:r>
      <w:r>
        <w:rPr>
          <w:rFonts w:cs="Arial"/>
          <w:iCs/>
          <w:szCs w:val="24"/>
          <w:lang w:val="en-ZA"/>
        </w:rPr>
        <w:lastRenderedPageBreak/>
        <w:t>the applicants have accordingly failed to establish the basis for the relief which they seek against the respondents and the applications cannot succeed.</w:t>
      </w:r>
    </w:p>
    <w:p w14:paraId="61F9D578" w14:textId="77777777" w:rsidR="00B800A3" w:rsidRDefault="00B800A3" w:rsidP="003613D7">
      <w:pPr>
        <w:spacing w:after="160"/>
        <w:ind w:left="0" w:firstLine="0"/>
        <w:contextualSpacing/>
        <w:rPr>
          <w:rFonts w:cs="Arial"/>
          <w:iCs/>
          <w:szCs w:val="24"/>
          <w:lang w:val="en-ZA"/>
        </w:rPr>
      </w:pPr>
    </w:p>
    <w:p w14:paraId="6D1D6B23" w14:textId="77777777" w:rsidR="003613D7" w:rsidRDefault="003613D7" w:rsidP="003613D7">
      <w:pPr>
        <w:spacing w:after="160"/>
        <w:ind w:left="0" w:firstLine="0"/>
        <w:contextualSpacing/>
        <w:rPr>
          <w:rFonts w:cs="Arial"/>
          <w:iCs/>
          <w:szCs w:val="24"/>
          <w:lang w:val="en-ZA"/>
        </w:rPr>
      </w:pPr>
      <w:r>
        <w:rPr>
          <w:rFonts w:cs="Arial"/>
          <w:iCs/>
          <w:szCs w:val="24"/>
          <w:lang w:val="en-ZA"/>
        </w:rPr>
        <w:t xml:space="preserve">[20] While this argument appears to be attractive, it strikes me as being fallacious in that it fails to have due regard to the relationship between </w:t>
      </w:r>
      <w:proofErr w:type="spellStart"/>
      <w:r>
        <w:rPr>
          <w:rFonts w:cs="Arial"/>
          <w:iCs/>
          <w:szCs w:val="24"/>
          <w:lang w:val="en-ZA"/>
        </w:rPr>
        <w:t>Nonxuba</w:t>
      </w:r>
      <w:proofErr w:type="spellEnd"/>
      <w:r>
        <w:rPr>
          <w:rFonts w:cs="Arial"/>
          <w:iCs/>
          <w:szCs w:val="24"/>
          <w:lang w:val="en-ZA"/>
        </w:rPr>
        <w:t xml:space="preserve"> Inc and the applicants. The mandate granted to </w:t>
      </w:r>
      <w:proofErr w:type="spellStart"/>
      <w:r>
        <w:rPr>
          <w:rFonts w:cs="Arial"/>
          <w:iCs/>
          <w:szCs w:val="24"/>
          <w:lang w:val="en-ZA"/>
        </w:rPr>
        <w:t>Nonxuba</w:t>
      </w:r>
      <w:proofErr w:type="spellEnd"/>
      <w:r>
        <w:rPr>
          <w:rFonts w:cs="Arial"/>
          <w:iCs/>
          <w:szCs w:val="24"/>
          <w:lang w:val="en-ZA"/>
        </w:rPr>
        <w:t xml:space="preserve"> Inc to recover damages from the Health Department, clearly established a contractual relationship between the parties one of the terms whereof was that any damages recovered should accrue to the benefit of the beneficiaries. Theft of such damages awards would amount to a breach of the contract and would give rise to a contractual claim against </w:t>
      </w:r>
      <w:proofErr w:type="spellStart"/>
      <w:r>
        <w:rPr>
          <w:rFonts w:cs="Arial"/>
          <w:iCs/>
          <w:szCs w:val="24"/>
          <w:lang w:val="en-ZA"/>
        </w:rPr>
        <w:t>Nonxuba</w:t>
      </w:r>
      <w:proofErr w:type="spellEnd"/>
      <w:r>
        <w:rPr>
          <w:rFonts w:cs="Arial"/>
          <w:iCs/>
          <w:szCs w:val="24"/>
          <w:lang w:val="en-ZA"/>
        </w:rPr>
        <w:t xml:space="preserve"> Inc apart from any </w:t>
      </w:r>
      <w:proofErr w:type="spellStart"/>
      <w:r>
        <w:rPr>
          <w:rFonts w:cs="Arial"/>
          <w:iCs/>
          <w:szCs w:val="24"/>
          <w:lang w:val="en-ZA"/>
        </w:rPr>
        <w:t>delictual</w:t>
      </w:r>
      <w:proofErr w:type="spellEnd"/>
      <w:r>
        <w:rPr>
          <w:rFonts w:cs="Arial"/>
          <w:iCs/>
          <w:szCs w:val="24"/>
          <w:lang w:val="en-ZA"/>
        </w:rPr>
        <w:t xml:space="preserve"> claims that are available.</w:t>
      </w:r>
      <w:r>
        <w:rPr>
          <w:rStyle w:val="FootnoteReference"/>
          <w:rFonts w:cs="Arial"/>
          <w:iCs/>
          <w:szCs w:val="24"/>
          <w:lang w:val="en-ZA"/>
        </w:rPr>
        <w:footnoteReference w:id="6"/>
      </w:r>
      <w:r>
        <w:rPr>
          <w:rFonts w:cs="Arial"/>
          <w:iCs/>
          <w:szCs w:val="24"/>
          <w:lang w:val="en-ZA"/>
        </w:rPr>
        <w:t xml:space="preserve"> The case as presented is accordingly wide enough to cover contractual claims for any loss suffered as a result of theft thus falling within the purview of section 19(3).</w:t>
      </w:r>
    </w:p>
    <w:p w14:paraId="1CA41B5F" w14:textId="77777777" w:rsidR="003613D7" w:rsidRDefault="003613D7" w:rsidP="003613D7">
      <w:pPr>
        <w:spacing w:after="160"/>
        <w:ind w:left="0" w:firstLine="0"/>
        <w:contextualSpacing/>
        <w:rPr>
          <w:rFonts w:cs="Arial"/>
          <w:iCs/>
          <w:szCs w:val="24"/>
          <w:lang w:val="en-ZA"/>
        </w:rPr>
      </w:pPr>
    </w:p>
    <w:p w14:paraId="5EBAD683" w14:textId="4A23E1FC" w:rsidR="003613D7" w:rsidRDefault="003613D7" w:rsidP="003613D7">
      <w:pPr>
        <w:spacing w:after="160"/>
        <w:ind w:left="0" w:firstLine="0"/>
        <w:contextualSpacing/>
        <w:rPr>
          <w:rFonts w:cs="Arial"/>
          <w:iCs/>
          <w:szCs w:val="24"/>
          <w:lang w:val="en-ZA"/>
        </w:rPr>
      </w:pPr>
      <w:r>
        <w:rPr>
          <w:rFonts w:cs="Arial"/>
          <w:iCs/>
          <w:szCs w:val="24"/>
          <w:lang w:val="en-ZA"/>
        </w:rPr>
        <w:t xml:space="preserve">[21] The respondents further argued (if I understood it correctly) that section 19(3) </w:t>
      </w:r>
      <w:r>
        <w:rPr>
          <w:rFonts w:cs="Arial"/>
          <w:i/>
          <w:szCs w:val="24"/>
          <w:lang w:val="en-ZA"/>
        </w:rPr>
        <w:t xml:space="preserve">per se </w:t>
      </w:r>
      <w:r>
        <w:rPr>
          <w:rFonts w:cs="Arial"/>
          <w:iCs/>
          <w:szCs w:val="24"/>
          <w:lang w:val="en-ZA"/>
        </w:rPr>
        <w:t xml:space="preserve">does not authorise a creditor to obtain the sequestration of the directors without having first instituted legal proceedings to recover the debt from the directors and the debt remains unsatisfied. They indicated that the statutory mechanism created by section 19(3) relates to the recovery of the relevant debt. The corporation remains the principal debtor, while the subsection creates an additional right of recourse against the directors. The separate </w:t>
      </w:r>
      <w:r w:rsidR="003310C8">
        <w:rPr>
          <w:rFonts w:cs="Arial"/>
          <w:iCs/>
          <w:szCs w:val="24"/>
          <w:lang w:val="en-ZA"/>
        </w:rPr>
        <w:t>legal</w:t>
      </w:r>
      <w:r>
        <w:rPr>
          <w:rFonts w:cs="Arial"/>
          <w:iCs/>
          <w:szCs w:val="24"/>
          <w:lang w:val="en-ZA"/>
        </w:rPr>
        <w:t xml:space="preserve"> identity of the corporation and the principle that a director is not personally liable for the debts of the corporation, continue to apply. The subsection does not alter or affect the status of the directors nor does it render the directors without more debtors for the purposes of sections 9 and 10 of the Insolvency Act (‘the Act’). For the purposes of this argument, </w:t>
      </w:r>
      <w:proofErr w:type="spellStart"/>
      <w:r>
        <w:rPr>
          <w:rFonts w:cs="Arial"/>
          <w:iCs/>
          <w:szCs w:val="24"/>
          <w:lang w:val="en-ZA"/>
        </w:rPr>
        <w:t>Nonxuba</w:t>
      </w:r>
      <w:proofErr w:type="spellEnd"/>
      <w:r>
        <w:rPr>
          <w:rFonts w:cs="Arial"/>
          <w:iCs/>
          <w:szCs w:val="24"/>
          <w:lang w:val="en-ZA"/>
        </w:rPr>
        <w:t xml:space="preserve"> Inc would remain the debtor for the purposes of those sections. The directors do not become the debtor in their personal capacities thus vesting the creditor with </w:t>
      </w:r>
      <w:r>
        <w:rPr>
          <w:rFonts w:cs="Arial"/>
          <w:i/>
          <w:iCs/>
          <w:szCs w:val="24"/>
          <w:lang w:val="en-ZA"/>
        </w:rPr>
        <w:t>locus standi</w:t>
      </w:r>
      <w:r>
        <w:rPr>
          <w:rFonts w:cs="Arial"/>
          <w:iCs/>
          <w:szCs w:val="24"/>
          <w:lang w:val="en-ZA"/>
        </w:rPr>
        <w:t xml:space="preserve">, by reliance solely on section 19(3), to move for their provisional sequestration in terms of sections 9 and 10. The liability of the directors is accessory to that of the corporation, being the principal debtor, and is not such as to empower the creditor through direct reliance only on section 19(3), to seek the </w:t>
      </w:r>
      <w:r>
        <w:rPr>
          <w:rFonts w:cs="Arial"/>
          <w:iCs/>
          <w:szCs w:val="24"/>
          <w:lang w:val="en-ZA"/>
        </w:rPr>
        <w:lastRenderedPageBreak/>
        <w:t>sequestration of the directors independently from the corporation. The creditor is required first to establish the liability in terms of section 19(3) of the directors by means of legal proceedings instituted for that purpose against the directors thus rendering the latter debtors for the purposes of sections 9 and 10, before being able to move for their sequestration. The respondents therefore do not fall within the definition of ‘</w:t>
      </w:r>
      <w:r>
        <w:rPr>
          <w:rFonts w:cs="Arial"/>
          <w:i/>
          <w:iCs/>
          <w:szCs w:val="24"/>
          <w:lang w:val="en-ZA"/>
        </w:rPr>
        <w:t>debtor’</w:t>
      </w:r>
      <w:r>
        <w:rPr>
          <w:rFonts w:cs="Arial"/>
          <w:iCs/>
          <w:szCs w:val="24"/>
          <w:lang w:val="en-ZA"/>
        </w:rPr>
        <w:t xml:space="preserve"> in the Act. Ms Killian indicated that she has been unable to find authority supporting the present scenario where a sequestration is sought without having acted against the corporation or having established the liability of the director through proceedings instituted for that purpose against the latter. She therefore submitted that the applicants’ reliance on section 19(3) is not competent in the present circumstances.</w:t>
      </w:r>
    </w:p>
    <w:p w14:paraId="40C458F9" w14:textId="77777777" w:rsidR="003613D7" w:rsidRDefault="003613D7" w:rsidP="003613D7">
      <w:pPr>
        <w:spacing w:after="160"/>
        <w:ind w:left="0" w:firstLine="0"/>
        <w:contextualSpacing/>
        <w:rPr>
          <w:rFonts w:cs="Arial"/>
          <w:iCs/>
          <w:szCs w:val="24"/>
          <w:lang w:val="en-ZA"/>
        </w:rPr>
      </w:pPr>
    </w:p>
    <w:p w14:paraId="47962C30" w14:textId="1CFDF162" w:rsidR="003613D7" w:rsidRDefault="003613D7" w:rsidP="003613D7">
      <w:pPr>
        <w:spacing w:after="160"/>
        <w:ind w:left="0" w:firstLine="0"/>
        <w:contextualSpacing/>
        <w:rPr>
          <w:rFonts w:cs="Arial"/>
          <w:iCs/>
          <w:szCs w:val="24"/>
          <w:lang w:val="en-ZA"/>
        </w:rPr>
      </w:pPr>
      <w:r>
        <w:rPr>
          <w:rFonts w:cs="Arial"/>
          <w:iCs/>
          <w:szCs w:val="24"/>
          <w:lang w:val="en-ZA"/>
        </w:rPr>
        <w:t xml:space="preserve">[22] While this argument is persuasive on the face of it, I prefer not to make a determination with regard thereto given the undermentioned conclusion to which I have come on the merits of the applications. </w:t>
      </w:r>
      <w:r w:rsidR="007E6D2C">
        <w:rPr>
          <w:rFonts w:cs="Arial"/>
          <w:iCs/>
          <w:szCs w:val="24"/>
          <w:lang w:val="en-ZA"/>
        </w:rPr>
        <w:t xml:space="preserve">For the same reason I do not regard it necessary to determine the points </w:t>
      </w:r>
      <w:r w:rsidR="007E6D2C" w:rsidRPr="007E6D2C">
        <w:rPr>
          <w:rFonts w:cs="Arial"/>
          <w:i/>
          <w:iCs/>
          <w:szCs w:val="24"/>
          <w:lang w:val="en-ZA"/>
        </w:rPr>
        <w:t xml:space="preserve">in </w:t>
      </w:r>
      <w:proofErr w:type="spellStart"/>
      <w:r w:rsidR="007E6D2C" w:rsidRPr="007E6D2C">
        <w:rPr>
          <w:rFonts w:cs="Arial"/>
          <w:i/>
          <w:iCs/>
          <w:szCs w:val="24"/>
          <w:lang w:val="en-ZA"/>
        </w:rPr>
        <w:t>limine</w:t>
      </w:r>
      <w:proofErr w:type="spellEnd"/>
      <w:r w:rsidR="007E6D2C">
        <w:rPr>
          <w:rFonts w:cs="Arial"/>
          <w:iCs/>
          <w:szCs w:val="24"/>
          <w:lang w:val="en-ZA"/>
        </w:rPr>
        <w:t xml:space="preserve"> raised by the respondents with regard to </w:t>
      </w:r>
      <w:r w:rsidR="00292A5F">
        <w:rPr>
          <w:rFonts w:cs="Arial"/>
          <w:iCs/>
          <w:szCs w:val="24"/>
          <w:lang w:val="en-ZA"/>
        </w:rPr>
        <w:t xml:space="preserve">service </w:t>
      </w:r>
      <w:r w:rsidR="007E6D2C">
        <w:rPr>
          <w:rFonts w:cs="Arial"/>
          <w:iCs/>
          <w:szCs w:val="24"/>
          <w:lang w:val="en-ZA"/>
        </w:rPr>
        <w:t xml:space="preserve">of the application on the </w:t>
      </w:r>
      <w:r w:rsidR="00292A5F">
        <w:rPr>
          <w:rFonts w:cs="Arial"/>
          <w:iCs/>
          <w:szCs w:val="24"/>
          <w:lang w:val="en-ZA"/>
        </w:rPr>
        <w:t>Master</w:t>
      </w:r>
      <w:r w:rsidR="007E6D2C">
        <w:rPr>
          <w:rFonts w:cs="Arial"/>
          <w:iCs/>
          <w:szCs w:val="24"/>
          <w:lang w:val="en-ZA"/>
        </w:rPr>
        <w:t xml:space="preserve"> and the provision of security which in any event appear to be without merit.</w:t>
      </w:r>
    </w:p>
    <w:p w14:paraId="6729FE35" w14:textId="77777777" w:rsidR="003613D7" w:rsidRDefault="003613D7" w:rsidP="003613D7">
      <w:pPr>
        <w:spacing w:after="160"/>
        <w:ind w:left="0" w:firstLine="0"/>
        <w:contextualSpacing/>
        <w:rPr>
          <w:rFonts w:cs="Arial"/>
          <w:iCs/>
          <w:szCs w:val="24"/>
          <w:lang w:val="en-ZA"/>
        </w:rPr>
      </w:pPr>
    </w:p>
    <w:p w14:paraId="510A301D" w14:textId="6F8360E4" w:rsidR="003613D7" w:rsidRDefault="003613D7" w:rsidP="003613D7">
      <w:pPr>
        <w:spacing w:after="160"/>
        <w:ind w:left="0" w:firstLine="0"/>
        <w:contextualSpacing/>
        <w:rPr>
          <w:rFonts w:cs="Arial"/>
          <w:iCs/>
          <w:szCs w:val="24"/>
          <w:lang w:val="en-ZA"/>
        </w:rPr>
      </w:pPr>
      <w:r>
        <w:rPr>
          <w:rFonts w:cs="Arial"/>
          <w:iCs/>
          <w:szCs w:val="24"/>
          <w:lang w:val="en-ZA"/>
        </w:rPr>
        <w:t>[23] The more fundamental question</w:t>
      </w:r>
      <w:r w:rsidR="0077477C">
        <w:rPr>
          <w:rFonts w:cs="Arial"/>
          <w:iCs/>
          <w:szCs w:val="24"/>
          <w:lang w:val="en-ZA"/>
        </w:rPr>
        <w:t xml:space="preserve"> on the merits</w:t>
      </w:r>
      <w:r>
        <w:rPr>
          <w:rFonts w:cs="Arial"/>
          <w:iCs/>
          <w:szCs w:val="24"/>
          <w:lang w:val="en-ZA"/>
        </w:rPr>
        <w:t xml:space="preserve"> is whether there is a debt due by </w:t>
      </w:r>
      <w:proofErr w:type="spellStart"/>
      <w:r>
        <w:rPr>
          <w:rFonts w:cs="Arial"/>
          <w:iCs/>
          <w:szCs w:val="24"/>
          <w:lang w:val="en-ZA"/>
        </w:rPr>
        <w:t>Nonxuba</w:t>
      </w:r>
      <w:proofErr w:type="spellEnd"/>
      <w:r>
        <w:rPr>
          <w:rFonts w:cs="Arial"/>
          <w:iCs/>
          <w:szCs w:val="24"/>
          <w:lang w:val="en-ZA"/>
        </w:rPr>
        <w:t xml:space="preserve"> Inc to the applicants such as to justify the provisional sequestration of the respondents as debtors at the instance of the applicants. This is closely linked to the issue whether or not the applicants have established that </w:t>
      </w:r>
      <w:proofErr w:type="spellStart"/>
      <w:r>
        <w:rPr>
          <w:rFonts w:cs="Arial"/>
          <w:iCs/>
          <w:szCs w:val="24"/>
          <w:lang w:val="en-ZA"/>
        </w:rPr>
        <w:t>Nonxuba</w:t>
      </w:r>
      <w:proofErr w:type="spellEnd"/>
      <w:r>
        <w:rPr>
          <w:rFonts w:cs="Arial"/>
          <w:iCs/>
          <w:szCs w:val="24"/>
          <w:lang w:val="en-ZA"/>
        </w:rPr>
        <w:t xml:space="preserve"> Inc stole the awards. I proceed to deal with this aspect.</w:t>
      </w:r>
    </w:p>
    <w:p w14:paraId="0EE4A1DA" w14:textId="77777777" w:rsidR="003613D7" w:rsidRDefault="003613D7" w:rsidP="003613D7">
      <w:pPr>
        <w:spacing w:after="160"/>
        <w:ind w:left="0" w:firstLine="0"/>
        <w:contextualSpacing/>
        <w:rPr>
          <w:rFonts w:cs="Arial"/>
          <w:iCs/>
          <w:szCs w:val="24"/>
          <w:lang w:val="en-ZA"/>
        </w:rPr>
      </w:pPr>
    </w:p>
    <w:p w14:paraId="7421EF73" w14:textId="77777777" w:rsidR="003613D7" w:rsidRDefault="003613D7" w:rsidP="003613D7">
      <w:pPr>
        <w:spacing w:after="160"/>
        <w:ind w:left="0" w:firstLine="0"/>
        <w:contextualSpacing/>
        <w:rPr>
          <w:rFonts w:cs="Arial"/>
          <w:iCs/>
          <w:szCs w:val="24"/>
          <w:lang w:val="en-ZA"/>
        </w:rPr>
      </w:pPr>
      <w:r>
        <w:rPr>
          <w:rFonts w:cs="Arial"/>
          <w:iCs/>
          <w:szCs w:val="24"/>
          <w:lang w:val="en-ZA"/>
        </w:rPr>
        <w:t>[24] As indicated, there is no direct evidence of theft. Moreover, it has not been established (</w:t>
      </w:r>
      <w:r>
        <w:rPr>
          <w:rFonts w:cs="Arial"/>
          <w:i/>
          <w:szCs w:val="24"/>
          <w:lang w:val="en-ZA"/>
        </w:rPr>
        <w:t>prima facie</w:t>
      </w:r>
      <w:r>
        <w:rPr>
          <w:rFonts w:cs="Arial"/>
          <w:iCs/>
          <w:szCs w:val="24"/>
          <w:lang w:val="en-ZA"/>
        </w:rPr>
        <w:t xml:space="preserve"> or otherwise) that there is a shortfall in the trust account of </w:t>
      </w:r>
      <w:proofErr w:type="spellStart"/>
      <w:r>
        <w:rPr>
          <w:rFonts w:cs="Arial"/>
          <w:iCs/>
          <w:szCs w:val="24"/>
          <w:lang w:val="en-ZA"/>
        </w:rPr>
        <w:t>Nonxuba</w:t>
      </w:r>
      <w:proofErr w:type="spellEnd"/>
      <w:r>
        <w:rPr>
          <w:rFonts w:cs="Arial"/>
          <w:iCs/>
          <w:szCs w:val="24"/>
          <w:lang w:val="en-ZA"/>
        </w:rPr>
        <w:t xml:space="preserve"> Inc from which theft of the trust funds could be inferred. The applicants rely in this regard on the aforesaid email from the LPC official to the effect that there was a substantial shortfall on the trust account. This allegation is not supported by an affidavit from the official in question or in any other manner by the LPC itself which has filed a report in these proceedings indicating that it left the decision with regard to the </w:t>
      </w:r>
      <w:r>
        <w:rPr>
          <w:rFonts w:cs="Arial"/>
          <w:iCs/>
          <w:szCs w:val="24"/>
          <w:lang w:val="en-ZA"/>
        </w:rPr>
        <w:lastRenderedPageBreak/>
        <w:t xml:space="preserve">applications in the hands of the court. It should be pointed out that there is merit in the respondents’ contention that sufficient time has elapsed since the beginning of September 2023 when the applications were launched, for the applicants to have obtained the necessary affidavits supporting the allegation of a shortfall which is disputed by Mr </w:t>
      </w:r>
      <w:proofErr w:type="spellStart"/>
      <w:r>
        <w:rPr>
          <w:rFonts w:cs="Arial"/>
          <w:iCs/>
          <w:szCs w:val="24"/>
          <w:lang w:val="en-ZA"/>
        </w:rPr>
        <w:t>Nonxuba</w:t>
      </w:r>
      <w:proofErr w:type="spellEnd"/>
      <w:r>
        <w:rPr>
          <w:rFonts w:cs="Arial"/>
          <w:iCs/>
          <w:szCs w:val="24"/>
          <w:lang w:val="en-ZA"/>
        </w:rPr>
        <w:t>. Furthermore, section 9(3) of the Act requires that the facts relied upon for the sequestration application be confirmed by affidavit.</w:t>
      </w:r>
    </w:p>
    <w:p w14:paraId="54EC0503" w14:textId="77777777" w:rsidR="003613D7" w:rsidRDefault="003613D7" w:rsidP="003613D7">
      <w:pPr>
        <w:spacing w:after="160"/>
        <w:ind w:left="0" w:firstLine="0"/>
        <w:contextualSpacing/>
        <w:rPr>
          <w:rFonts w:cs="Arial"/>
          <w:iCs/>
          <w:szCs w:val="24"/>
          <w:lang w:val="en-ZA"/>
        </w:rPr>
      </w:pPr>
    </w:p>
    <w:p w14:paraId="7D893634" w14:textId="77777777" w:rsidR="003613D7" w:rsidRDefault="003613D7" w:rsidP="003613D7">
      <w:pPr>
        <w:spacing w:after="160"/>
        <w:ind w:left="0" w:firstLine="0"/>
        <w:contextualSpacing/>
        <w:rPr>
          <w:rFonts w:cs="Arial"/>
          <w:iCs/>
          <w:szCs w:val="24"/>
          <w:lang w:val="en-ZA"/>
        </w:rPr>
      </w:pPr>
      <w:r>
        <w:rPr>
          <w:rFonts w:cs="Arial"/>
          <w:iCs/>
          <w:szCs w:val="24"/>
          <w:lang w:val="en-ZA"/>
        </w:rPr>
        <w:t xml:space="preserve">[25] I am accordingly not satisfied, even on the lower threshold applicable to these proceedings in terms of section 10 of the Act, that the applicants have established that there is a shortfall on the trust account of </w:t>
      </w:r>
      <w:proofErr w:type="spellStart"/>
      <w:r>
        <w:rPr>
          <w:rFonts w:cs="Arial"/>
          <w:iCs/>
          <w:szCs w:val="24"/>
          <w:lang w:val="en-ZA"/>
        </w:rPr>
        <w:t>Nonxuba</w:t>
      </w:r>
      <w:proofErr w:type="spellEnd"/>
      <w:r>
        <w:rPr>
          <w:rFonts w:cs="Arial"/>
          <w:iCs/>
          <w:szCs w:val="24"/>
          <w:lang w:val="en-ZA"/>
        </w:rPr>
        <w:t xml:space="preserve"> Inc. The indications are in fact to the contrary. The gross amount of the applicants’ claims of approximately R50m is amply covered by the credit balance in the trust account. The main strut of the applicants’ case, namely the theft of the trust funds, has not been established (either </w:t>
      </w:r>
      <w:r>
        <w:rPr>
          <w:rFonts w:cs="Arial"/>
          <w:i/>
          <w:szCs w:val="24"/>
          <w:lang w:val="en-ZA"/>
        </w:rPr>
        <w:t>prima facie</w:t>
      </w:r>
      <w:r>
        <w:rPr>
          <w:rFonts w:cs="Arial"/>
          <w:iCs/>
          <w:szCs w:val="24"/>
          <w:lang w:val="en-ZA"/>
        </w:rPr>
        <w:t xml:space="preserve"> or otherwise) nor in the result that the applicants have a claim as envisaged in section 9(1) of the Act.</w:t>
      </w:r>
    </w:p>
    <w:p w14:paraId="13F15B3C" w14:textId="77777777" w:rsidR="003613D7" w:rsidRDefault="003613D7" w:rsidP="003613D7">
      <w:pPr>
        <w:spacing w:after="160"/>
        <w:ind w:left="0" w:firstLine="0"/>
        <w:contextualSpacing/>
        <w:rPr>
          <w:rFonts w:cs="Arial"/>
          <w:iCs/>
          <w:szCs w:val="24"/>
          <w:lang w:val="en-ZA"/>
        </w:rPr>
      </w:pPr>
    </w:p>
    <w:p w14:paraId="2D45C778" w14:textId="77777777" w:rsidR="003613D7" w:rsidRDefault="003613D7" w:rsidP="003613D7">
      <w:pPr>
        <w:spacing w:after="160"/>
        <w:ind w:left="0" w:firstLine="0"/>
        <w:contextualSpacing/>
        <w:rPr>
          <w:rFonts w:cs="Arial"/>
          <w:iCs/>
          <w:szCs w:val="24"/>
          <w:lang w:val="en-ZA"/>
        </w:rPr>
      </w:pPr>
      <w:r>
        <w:rPr>
          <w:rFonts w:cs="Arial"/>
          <w:iCs/>
          <w:szCs w:val="24"/>
          <w:lang w:val="en-ZA"/>
        </w:rPr>
        <w:t xml:space="preserve">[26] It is furthermore common cause that, for the purposes of section 10(b) of the Act, the applicants are relying on the factual insolvency of </w:t>
      </w:r>
      <w:proofErr w:type="spellStart"/>
      <w:r>
        <w:rPr>
          <w:rFonts w:cs="Arial"/>
          <w:iCs/>
          <w:szCs w:val="24"/>
          <w:lang w:val="en-ZA"/>
        </w:rPr>
        <w:t>Nonxuba</w:t>
      </w:r>
      <w:proofErr w:type="spellEnd"/>
      <w:r>
        <w:rPr>
          <w:rFonts w:cs="Arial"/>
          <w:iCs/>
          <w:szCs w:val="24"/>
          <w:lang w:val="en-ZA"/>
        </w:rPr>
        <w:t xml:space="preserve"> Inc and consequently of the respondents themselves, for the relief that they are seeking. It is clear from what is set out above, that the evidence does not warrant this conclusion. According to the applicants the shortfall in the trust account shows that </w:t>
      </w:r>
      <w:proofErr w:type="spellStart"/>
      <w:r>
        <w:rPr>
          <w:rFonts w:cs="Arial"/>
          <w:iCs/>
          <w:szCs w:val="24"/>
          <w:lang w:val="en-ZA"/>
        </w:rPr>
        <w:t>Nonxuba</w:t>
      </w:r>
      <w:proofErr w:type="spellEnd"/>
      <w:r>
        <w:rPr>
          <w:rFonts w:cs="Arial"/>
          <w:iCs/>
          <w:szCs w:val="24"/>
          <w:lang w:val="en-ZA"/>
        </w:rPr>
        <w:t xml:space="preserve"> Inc was unable to pay its creditors. This in turn justifies the inference that it was factually insolvent and unable to pay the nett amounts of their damages awards. For the same reason the respondents, who have insufficient assets to satisfy the claim, can be inferred to be factually insolvent. However, as things stand </w:t>
      </w:r>
      <w:proofErr w:type="spellStart"/>
      <w:r>
        <w:rPr>
          <w:rFonts w:cs="Arial"/>
          <w:iCs/>
          <w:szCs w:val="24"/>
          <w:lang w:val="en-ZA"/>
        </w:rPr>
        <w:t>Nonxuba</w:t>
      </w:r>
      <w:proofErr w:type="spellEnd"/>
      <w:r>
        <w:rPr>
          <w:rFonts w:cs="Arial"/>
          <w:iCs/>
          <w:szCs w:val="24"/>
          <w:lang w:val="en-ZA"/>
        </w:rPr>
        <w:t xml:space="preserve"> Inc is well able to pay the gross amount of the </w:t>
      </w:r>
      <w:proofErr w:type="spellStart"/>
      <w:r>
        <w:rPr>
          <w:rFonts w:cs="Arial"/>
          <w:iCs/>
          <w:szCs w:val="24"/>
          <w:lang w:val="en-ZA"/>
        </w:rPr>
        <w:t>applicants’claims</w:t>
      </w:r>
      <w:proofErr w:type="spellEnd"/>
      <w:r>
        <w:rPr>
          <w:rFonts w:cs="Arial"/>
          <w:iCs/>
          <w:szCs w:val="24"/>
          <w:lang w:val="en-ZA"/>
        </w:rPr>
        <w:t xml:space="preserve"> of approximately R 50m from the available trust funds. This puts paid to a finding of factual insolvency or by the same token any possible claim against the respondents.</w:t>
      </w:r>
    </w:p>
    <w:p w14:paraId="690202AF" w14:textId="77777777" w:rsidR="003613D7" w:rsidRDefault="003613D7" w:rsidP="003613D7">
      <w:pPr>
        <w:spacing w:after="160"/>
        <w:ind w:left="0" w:firstLine="0"/>
        <w:contextualSpacing/>
        <w:rPr>
          <w:rFonts w:cs="Arial"/>
          <w:iCs/>
          <w:szCs w:val="24"/>
          <w:lang w:val="en-ZA"/>
        </w:rPr>
      </w:pPr>
    </w:p>
    <w:p w14:paraId="0D2DE758" w14:textId="77777777" w:rsidR="003613D7" w:rsidRDefault="003613D7" w:rsidP="003613D7">
      <w:pPr>
        <w:spacing w:after="160"/>
        <w:ind w:left="0" w:firstLine="0"/>
        <w:contextualSpacing/>
        <w:rPr>
          <w:rFonts w:cs="Arial"/>
          <w:iCs/>
          <w:szCs w:val="24"/>
          <w:lang w:val="en-ZA"/>
        </w:rPr>
      </w:pPr>
      <w:r>
        <w:rPr>
          <w:rFonts w:cs="Arial"/>
          <w:iCs/>
          <w:szCs w:val="24"/>
          <w:lang w:val="en-ZA"/>
        </w:rPr>
        <w:t xml:space="preserve">[27] Insofar as the remaining requirement contained in section 10(c) of the Act is concerned, suffice it to say that at least as far as Ms </w:t>
      </w:r>
      <w:proofErr w:type="spellStart"/>
      <w:r>
        <w:rPr>
          <w:rFonts w:cs="Arial"/>
          <w:iCs/>
          <w:szCs w:val="24"/>
          <w:lang w:val="en-ZA"/>
        </w:rPr>
        <w:t>Nonxuba</w:t>
      </w:r>
      <w:proofErr w:type="spellEnd"/>
      <w:r>
        <w:rPr>
          <w:rFonts w:cs="Arial"/>
          <w:iCs/>
          <w:szCs w:val="24"/>
          <w:lang w:val="en-ZA"/>
        </w:rPr>
        <w:t xml:space="preserve"> is concerned there is no </w:t>
      </w:r>
      <w:r>
        <w:rPr>
          <w:rFonts w:cs="Arial"/>
          <w:iCs/>
          <w:szCs w:val="24"/>
          <w:lang w:val="en-ZA"/>
        </w:rPr>
        <w:lastRenderedPageBreak/>
        <w:t>indication or reason to believe that it will be to the advantage of creditors if her estate, which is bereft of any noteworthy assets, is sequestrated.</w:t>
      </w:r>
    </w:p>
    <w:p w14:paraId="3510C06F" w14:textId="73A107C8" w:rsidR="003613D7" w:rsidRDefault="003613D7" w:rsidP="003613D7">
      <w:pPr>
        <w:spacing w:after="160"/>
        <w:ind w:left="0" w:firstLine="0"/>
        <w:contextualSpacing/>
        <w:rPr>
          <w:rFonts w:cs="Arial"/>
          <w:iCs/>
          <w:szCs w:val="24"/>
          <w:lang w:val="en-ZA"/>
        </w:rPr>
      </w:pPr>
    </w:p>
    <w:p w14:paraId="03B46B23" w14:textId="77777777" w:rsidR="0077477C" w:rsidRDefault="0077477C" w:rsidP="003613D7">
      <w:pPr>
        <w:spacing w:after="160"/>
        <w:ind w:left="0" w:firstLine="0"/>
        <w:contextualSpacing/>
        <w:rPr>
          <w:rFonts w:cs="Arial"/>
          <w:iCs/>
          <w:szCs w:val="24"/>
          <w:lang w:val="en-ZA"/>
        </w:rPr>
      </w:pPr>
    </w:p>
    <w:p w14:paraId="5EB33545" w14:textId="77777777" w:rsidR="003613D7" w:rsidRDefault="003613D7" w:rsidP="003613D7">
      <w:pPr>
        <w:spacing w:after="160"/>
        <w:ind w:left="0" w:firstLine="0"/>
        <w:contextualSpacing/>
        <w:rPr>
          <w:rFonts w:cs="Arial"/>
          <w:bCs/>
          <w:szCs w:val="24"/>
          <w:lang w:val="en-ZA"/>
        </w:rPr>
      </w:pPr>
      <w:r>
        <w:rPr>
          <w:rFonts w:cs="Arial"/>
          <w:b/>
          <w:bCs/>
          <w:i/>
          <w:szCs w:val="24"/>
          <w:u w:val="single"/>
          <w:lang w:val="en-ZA"/>
        </w:rPr>
        <w:t>Conclusion</w:t>
      </w:r>
    </w:p>
    <w:p w14:paraId="1C0F74D5" w14:textId="77777777" w:rsidR="003613D7" w:rsidRDefault="003613D7" w:rsidP="003613D7">
      <w:pPr>
        <w:spacing w:after="160"/>
        <w:ind w:left="0" w:firstLine="0"/>
        <w:contextualSpacing/>
        <w:rPr>
          <w:rFonts w:cs="Arial"/>
          <w:bCs/>
          <w:szCs w:val="24"/>
          <w:lang w:val="en-ZA"/>
        </w:rPr>
      </w:pPr>
    </w:p>
    <w:p w14:paraId="1801BDEA" w14:textId="77777777" w:rsidR="003613D7" w:rsidRDefault="003613D7" w:rsidP="003613D7">
      <w:pPr>
        <w:spacing w:after="160"/>
        <w:ind w:left="0" w:firstLine="0"/>
        <w:contextualSpacing/>
        <w:rPr>
          <w:rFonts w:cs="Arial"/>
          <w:bCs/>
          <w:szCs w:val="24"/>
          <w:lang w:val="en-ZA"/>
        </w:rPr>
      </w:pPr>
      <w:r>
        <w:rPr>
          <w:rFonts w:cs="Arial"/>
          <w:bCs/>
          <w:szCs w:val="24"/>
          <w:lang w:val="en-ZA"/>
        </w:rPr>
        <w:t>[28] It follows that the applicants have failed to make out a case for the provisional sequestration of the estates of the respondents.</w:t>
      </w:r>
    </w:p>
    <w:p w14:paraId="15DF65C5" w14:textId="77777777" w:rsidR="003613D7" w:rsidRPr="00B243CB" w:rsidRDefault="003613D7" w:rsidP="003613D7">
      <w:pPr>
        <w:spacing w:after="160"/>
        <w:ind w:left="0" w:firstLine="0"/>
        <w:contextualSpacing/>
        <w:rPr>
          <w:rFonts w:cs="Arial"/>
          <w:iCs/>
          <w:szCs w:val="24"/>
          <w:lang w:val="en-ZA"/>
        </w:rPr>
      </w:pPr>
    </w:p>
    <w:p w14:paraId="364FED0A" w14:textId="77777777" w:rsidR="003613D7" w:rsidRDefault="003613D7" w:rsidP="003613D7">
      <w:pPr>
        <w:spacing w:after="160"/>
        <w:ind w:left="0" w:firstLine="0"/>
        <w:contextualSpacing/>
        <w:rPr>
          <w:rFonts w:cs="Arial"/>
          <w:iCs/>
          <w:szCs w:val="24"/>
          <w:lang w:val="en-ZA"/>
        </w:rPr>
      </w:pPr>
      <w:r>
        <w:rPr>
          <w:rFonts w:cs="Arial"/>
          <w:iCs/>
          <w:szCs w:val="24"/>
          <w:lang w:val="en-ZA"/>
        </w:rPr>
        <w:t xml:space="preserve">[29] For the sake of completeness, it should be indicated that even assuming that the basis for liability in terms of section 19(3) has been established, the applicants’ case against Ms </w:t>
      </w:r>
      <w:proofErr w:type="spellStart"/>
      <w:r>
        <w:rPr>
          <w:rFonts w:cs="Arial"/>
          <w:iCs/>
          <w:szCs w:val="24"/>
          <w:lang w:val="en-ZA"/>
        </w:rPr>
        <w:t>Nonxuba</w:t>
      </w:r>
      <w:proofErr w:type="spellEnd"/>
      <w:r>
        <w:rPr>
          <w:rFonts w:cs="Arial"/>
          <w:iCs/>
          <w:szCs w:val="24"/>
          <w:lang w:val="en-ZA"/>
        </w:rPr>
        <w:t xml:space="preserve"> is most tenuous. As indicated, she can only be held liable for debts incurred during her term of office as a director of </w:t>
      </w:r>
      <w:proofErr w:type="spellStart"/>
      <w:r>
        <w:rPr>
          <w:rFonts w:cs="Arial"/>
          <w:iCs/>
          <w:szCs w:val="24"/>
          <w:lang w:val="en-ZA"/>
        </w:rPr>
        <w:t>Nonxuba</w:t>
      </w:r>
      <w:proofErr w:type="spellEnd"/>
      <w:r>
        <w:rPr>
          <w:rFonts w:cs="Arial"/>
          <w:iCs/>
          <w:szCs w:val="24"/>
          <w:lang w:val="en-ZA"/>
        </w:rPr>
        <w:t xml:space="preserve"> Inc where her employment commenced in February 2018. There is no evidence at all that any theft occurred during her tenure. There is accordingly no basis to pursue her for any debts of </w:t>
      </w:r>
      <w:proofErr w:type="spellStart"/>
      <w:r>
        <w:rPr>
          <w:rFonts w:cs="Arial"/>
          <w:iCs/>
          <w:szCs w:val="24"/>
          <w:lang w:val="en-ZA"/>
        </w:rPr>
        <w:t>Nonxuba</w:t>
      </w:r>
      <w:proofErr w:type="spellEnd"/>
      <w:r>
        <w:rPr>
          <w:rFonts w:cs="Arial"/>
          <w:iCs/>
          <w:szCs w:val="24"/>
          <w:lang w:val="en-ZA"/>
        </w:rPr>
        <w:t xml:space="preserve"> Inc even assuming that the funds were indeed stolen. For this further reason, the application against Ms </w:t>
      </w:r>
      <w:proofErr w:type="spellStart"/>
      <w:r>
        <w:rPr>
          <w:rFonts w:cs="Arial"/>
          <w:iCs/>
          <w:szCs w:val="24"/>
          <w:lang w:val="en-ZA"/>
        </w:rPr>
        <w:t>Nonxuba</w:t>
      </w:r>
      <w:proofErr w:type="spellEnd"/>
      <w:r>
        <w:rPr>
          <w:rFonts w:cs="Arial"/>
          <w:iCs/>
          <w:szCs w:val="24"/>
          <w:lang w:val="en-ZA"/>
        </w:rPr>
        <w:t xml:space="preserve"> cannot succeed.</w:t>
      </w:r>
    </w:p>
    <w:p w14:paraId="3345747F" w14:textId="77777777" w:rsidR="003613D7" w:rsidRDefault="003613D7" w:rsidP="003613D7">
      <w:pPr>
        <w:spacing w:after="160"/>
        <w:ind w:left="0" w:firstLine="0"/>
        <w:contextualSpacing/>
        <w:rPr>
          <w:rFonts w:cs="Arial"/>
          <w:iCs/>
          <w:szCs w:val="24"/>
          <w:lang w:val="en-ZA"/>
        </w:rPr>
      </w:pPr>
    </w:p>
    <w:p w14:paraId="0A92FA24" w14:textId="77777777" w:rsidR="003613D7" w:rsidRDefault="003613D7" w:rsidP="003613D7">
      <w:pPr>
        <w:spacing w:after="160"/>
        <w:ind w:left="0" w:firstLine="0"/>
        <w:contextualSpacing/>
        <w:rPr>
          <w:rFonts w:cs="Arial"/>
          <w:iCs/>
          <w:szCs w:val="24"/>
          <w:lang w:val="en-ZA"/>
        </w:rPr>
      </w:pPr>
      <w:r>
        <w:rPr>
          <w:rFonts w:cs="Arial"/>
          <w:iCs/>
          <w:szCs w:val="24"/>
          <w:lang w:val="en-ZA"/>
        </w:rPr>
        <w:t xml:space="preserve">[30] I am constrained to refer in passing to the following striking features of this matter. The stated purpose of these proceedings is to expedite payment of the proceeds of the claims for the benefit of the affected children who are in dire need of assistance as Mr Cassim, who appeared on behalf of the applicants together with Mr Desai, repeatedly (and I should add correctly) impressed upon me. However, there is no explanation why no steps have been taken against </w:t>
      </w:r>
      <w:proofErr w:type="spellStart"/>
      <w:r>
        <w:rPr>
          <w:rFonts w:cs="Arial"/>
          <w:iCs/>
          <w:szCs w:val="24"/>
          <w:lang w:val="en-ZA"/>
        </w:rPr>
        <w:t>Nonxuba</w:t>
      </w:r>
      <w:proofErr w:type="spellEnd"/>
      <w:r>
        <w:rPr>
          <w:rFonts w:cs="Arial"/>
          <w:iCs/>
          <w:szCs w:val="24"/>
          <w:lang w:val="en-ZA"/>
        </w:rPr>
        <w:t xml:space="preserve"> Inc, the perpetrator of the theft on the applicants’ version, to obtain payment of the proceeds of the claims. There is a credit balance of at least R105m in its trust account. The claim for payment of the awards is liquidated. There is no reason why such a claim could not be pursued by means of urgent, or even ordinary, motion proceedings on an expedited hearings date by arrangement with the Judge President as often happens in this Division. Given the credit balance of the trust account, there is every prospect of recovering the entire amount of the relevant awards or at the very least a substantial portion thereof. I should add that the fact that a </w:t>
      </w:r>
      <w:r>
        <w:rPr>
          <w:rFonts w:cs="Arial"/>
          <w:iCs/>
          <w:szCs w:val="24"/>
          <w:lang w:val="en-ZA"/>
        </w:rPr>
        <w:lastRenderedPageBreak/>
        <w:t xml:space="preserve">curator was appointed by the Western Cape High Court to administer the trust account, is no bar to recovering debts due directly from </w:t>
      </w:r>
      <w:proofErr w:type="spellStart"/>
      <w:r>
        <w:rPr>
          <w:rFonts w:cs="Arial"/>
          <w:iCs/>
          <w:szCs w:val="24"/>
          <w:lang w:val="en-ZA"/>
        </w:rPr>
        <w:t>Nonxuba</w:t>
      </w:r>
      <w:proofErr w:type="spellEnd"/>
      <w:r>
        <w:rPr>
          <w:rFonts w:cs="Arial"/>
          <w:iCs/>
          <w:szCs w:val="24"/>
          <w:lang w:val="en-ZA"/>
        </w:rPr>
        <w:t xml:space="preserve"> Inc which is not in liquidation. The order of the Western Cape High Court expressly reserves the right of trust creditors to approach the civil courts in paragraph 1.10.5 thereof. Instead of pursuing </w:t>
      </w:r>
      <w:proofErr w:type="spellStart"/>
      <w:r>
        <w:rPr>
          <w:rFonts w:cs="Arial"/>
          <w:iCs/>
          <w:szCs w:val="24"/>
          <w:lang w:val="en-ZA"/>
        </w:rPr>
        <w:t>Nonxuba</w:t>
      </w:r>
      <w:proofErr w:type="spellEnd"/>
      <w:r>
        <w:rPr>
          <w:rFonts w:cs="Arial"/>
          <w:iCs/>
          <w:szCs w:val="24"/>
          <w:lang w:val="en-ZA"/>
        </w:rPr>
        <w:t xml:space="preserve"> Inc the present proceedings (which on established authority is ill-suited as a debt recovery procedure or where the debt is disputed) were instituted against the respondents who are said not to have sufficient funds to satisfy any claim. Ms </w:t>
      </w:r>
      <w:proofErr w:type="spellStart"/>
      <w:r>
        <w:rPr>
          <w:rFonts w:cs="Arial"/>
          <w:iCs/>
          <w:szCs w:val="24"/>
          <w:lang w:val="en-ZA"/>
        </w:rPr>
        <w:t>Nonxuba</w:t>
      </w:r>
      <w:proofErr w:type="spellEnd"/>
      <w:r>
        <w:rPr>
          <w:rFonts w:cs="Arial"/>
          <w:iCs/>
          <w:szCs w:val="24"/>
          <w:lang w:val="en-ZA"/>
        </w:rPr>
        <w:t xml:space="preserve"> has stated in terms that she does not possess any assets, that she is unemployed and dependent on Mr </w:t>
      </w:r>
      <w:proofErr w:type="spellStart"/>
      <w:r>
        <w:rPr>
          <w:rFonts w:cs="Arial"/>
          <w:iCs/>
          <w:szCs w:val="24"/>
          <w:lang w:val="en-ZA"/>
        </w:rPr>
        <w:t>Nonxuba</w:t>
      </w:r>
      <w:proofErr w:type="spellEnd"/>
      <w:r>
        <w:rPr>
          <w:rFonts w:cs="Arial"/>
          <w:iCs/>
          <w:szCs w:val="24"/>
          <w:lang w:val="en-ZA"/>
        </w:rPr>
        <w:t xml:space="preserve"> for maintenance. This is undisputed. However, it is even more disconcerting that any continued failure to act promptly against </w:t>
      </w:r>
      <w:proofErr w:type="spellStart"/>
      <w:r>
        <w:rPr>
          <w:rFonts w:cs="Arial"/>
          <w:iCs/>
          <w:szCs w:val="24"/>
          <w:lang w:val="en-ZA"/>
        </w:rPr>
        <w:t>Nonxuba</w:t>
      </w:r>
      <w:proofErr w:type="spellEnd"/>
      <w:r>
        <w:rPr>
          <w:rFonts w:cs="Arial"/>
          <w:iCs/>
          <w:szCs w:val="24"/>
          <w:lang w:val="en-ZA"/>
        </w:rPr>
        <w:t xml:space="preserve"> Inc might very well redound to the detriment of the children (one of whom has already passed away) whose best interests must be the overriding consideration. This is to be deprecated. </w:t>
      </w:r>
    </w:p>
    <w:p w14:paraId="4392EDED" w14:textId="77777777" w:rsidR="003613D7" w:rsidRDefault="003613D7" w:rsidP="003613D7">
      <w:pPr>
        <w:spacing w:after="160"/>
        <w:ind w:left="0" w:firstLine="0"/>
        <w:contextualSpacing/>
        <w:rPr>
          <w:rFonts w:cs="Arial"/>
          <w:iCs/>
          <w:szCs w:val="24"/>
          <w:lang w:val="en-ZA"/>
        </w:rPr>
      </w:pPr>
    </w:p>
    <w:p w14:paraId="76BE756F" w14:textId="77777777" w:rsidR="003613D7" w:rsidRDefault="003613D7" w:rsidP="003613D7">
      <w:pPr>
        <w:spacing w:after="160"/>
        <w:ind w:left="0" w:firstLine="0"/>
        <w:contextualSpacing/>
        <w:rPr>
          <w:rFonts w:cs="Arial"/>
          <w:iCs/>
          <w:szCs w:val="24"/>
          <w:lang w:val="en-ZA"/>
        </w:rPr>
      </w:pPr>
      <w:r>
        <w:rPr>
          <w:rFonts w:cs="Arial"/>
          <w:iCs/>
          <w:szCs w:val="24"/>
          <w:lang w:val="en-ZA"/>
        </w:rPr>
        <w:t xml:space="preserve">[31] I should add that there is clearly no basis for the rumours that Mr </w:t>
      </w:r>
      <w:proofErr w:type="spellStart"/>
      <w:r>
        <w:rPr>
          <w:rFonts w:cs="Arial"/>
          <w:iCs/>
          <w:szCs w:val="24"/>
          <w:lang w:val="en-ZA"/>
        </w:rPr>
        <w:t>Nonxuba</w:t>
      </w:r>
      <w:proofErr w:type="spellEnd"/>
      <w:r>
        <w:rPr>
          <w:rFonts w:cs="Arial"/>
          <w:iCs/>
          <w:szCs w:val="24"/>
          <w:lang w:val="en-ZA"/>
        </w:rPr>
        <w:t xml:space="preserve"> has bought a Jet. It is mystifying why this allegation was put in the court papers without even the slightest evidence.</w:t>
      </w:r>
    </w:p>
    <w:p w14:paraId="03AC2973" w14:textId="77777777" w:rsidR="003613D7" w:rsidRPr="00FA50C6" w:rsidRDefault="003613D7" w:rsidP="003613D7">
      <w:pPr>
        <w:spacing w:after="160"/>
        <w:ind w:left="0" w:firstLine="0"/>
        <w:contextualSpacing/>
        <w:rPr>
          <w:rFonts w:cs="Arial"/>
          <w:b/>
          <w:bCs/>
          <w:i/>
          <w:szCs w:val="24"/>
          <w:u w:val="single"/>
          <w:lang w:val="en-ZA"/>
        </w:rPr>
      </w:pPr>
    </w:p>
    <w:p w14:paraId="7EBED9A5" w14:textId="77777777" w:rsidR="003613D7" w:rsidRDefault="003613D7" w:rsidP="003613D7">
      <w:pPr>
        <w:spacing w:after="160"/>
        <w:ind w:left="0" w:firstLine="0"/>
        <w:contextualSpacing/>
        <w:rPr>
          <w:rFonts w:cs="Arial"/>
          <w:iCs/>
          <w:szCs w:val="24"/>
          <w:lang w:val="en-ZA"/>
        </w:rPr>
      </w:pPr>
      <w:r>
        <w:rPr>
          <w:rFonts w:cs="Arial"/>
          <w:iCs/>
          <w:szCs w:val="24"/>
          <w:lang w:val="en-ZA"/>
        </w:rPr>
        <w:t>[32] Insofar as the issue of costs is concerned, this is a high-profile matter that entails very serious consequences for the respondents who are both professionals. It furthermore concerned relatively novel issues relating in particular to the construction of section 19(3) of the Companies Act. The engagement of senior and junior counsel by both sides was therefore justified in the circumstances and such costs should be allowed.</w:t>
      </w:r>
    </w:p>
    <w:p w14:paraId="7AB089F8" w14:textId="77777777" w:rsidR="003613D7" w:rsidRDefault="003613D7" w:rsidP="003613D7">
      <w:pPr>
        <w:spacing w:after="160"/>
        <w:ind w:left="0" w:firstLine="0"/>
        <w:contextualSpacing/>
        <w:rPr>
          <w:rFonts w:cs="Arial"/>
          <w:iCs/>
          <w:szCs w:val="24"/>
          <w:lang w:val="en-ZA"/>
        </w:rPr>
      </w:pPr>
    </w:p>
    <w:p w14:paraId="61A9F92F" w14:textId="77777777" w:rsidR="003613D7" w:rsidRDefault="003613D7" w:rsidP="003613D7">
      <w:pPr>
        <w:spacing w:after="160"/>
        <w:ind w:left="0" w:firstLine="0"/>
        <w:contextualSpacing/>
        <w:rPr>
          <w:rFonts w:cs="Arial"/>
          <w:b/>
          <w:bCs/>
          <w:i/>
          <w:szCs w:val="24"/>
          <w:u w:val="single"/>
          <w:lang w:val="en-ZA"/>
        </w:rPr>
      </w:pPr>
      <w:r>
        <w:rPr>
          <w:rFonts w:cs="Arial"/>
          <w:b/>
          <w:bCs/>
          <w:i/>
          <w:szCs w:val="24"/>
          <w:u w:val="single"/>
          <w:lang w:val="en-ZA"/>
        </w:rPr>
        <w:t>Order</w:t>
      </w:r>
    </w:p>
    <w:p w14:paraId="50C97749" w14:textId="77777777" w:rsidR="003613D7" w:rsidRDefault="003613D7" w:rsidP="003613D7">
      <w:pPr>
        <w:spacing w:after="160"/>
        <w:ind w:left="0" w:firstLine="0"/>
        <w:contextualSpacing/>
        <w:rPr>
          <w:rFonts w:cs="Arial"/>
          <w:b/>
          <w:bCs/>
          <w:i/>
          <w:szCs w:val="24"/>
          <w:u w:val="single"/>
          <w:lang w:val="en-ZA"/>
        </w:rPr>
      </w:pPr>
    </w:p>
    <w:p w14:paraId="5BF204FC" w14:textId="77777777" w:rsidR="003613D7" w:rsidRDefault="003613D7" w:rsidP="003613D7">
      <w:pPr>
        <w:spacing w:after="160"/>
        <w:ind w:left="0" w:firstLine="0"/>
        <w:contextualSpacing/>
        <w:rPr>
          <w:rFonts w:cs="Arial"/>
          <w:iCs/>
          <w:szCs w:val="24"/>
          <w:lang w:val="en-ZA"/>
        </w:rPr>
      </w:pPr>
      <w:r>
        <w:rPr>
          <w:rFonts w:cs="Arial"/>
          <w:iCs/>
          <w:szCs w:val="24"/>
          <w:lang w:val="en-ZA"/>
        </w:rPr>
        <w:t>[33] In the result I make the following order:</w:t>
      </w:r>
    </w:p>
    <w:p w14:paraId="6EB60CBD" w14:textId="77777777" w:rsidR="003613D7" w:rsidRDefault="003613D7" w:rsidP="003613D7">
      <w:pPr>
        <w:spacing w:after="160"/>
        <w:ind w:left="0" w:firstLine="0"/>
        <w:contextualSpacing/>
        <w:rPr>
          <w:rFonts w:cs="Arial"/>
          <w:iCs/>
          <w:szCs w:val="24"/>
          <w:lang w:val="en-ZA"/>
        </w:rPr>
      </w:pPr>
    </w:p>
    <w:p w14:paraId="59139CA7" w14:textId="39A06982" w:rsidR="003613D7" w:rsidRPr="000F5699" w:rsidRDefault="000F5699" w:rsidP="000F5699">
      <w:pPr>
        <w:spacing w:after="160"/>
        <w:ind w:left="1080"/>
        <w:rPr>
          <w:rFonts w:cs="Arial"/>
          <w:iCs/>
          <w:szCs w:val="24"/>
          <w:lang w:val="en-ZA"/>
        </w:rPr>
      </w:pPr>
      <w:r>
        <w:rPr>
          <w:rFonts w:cs="Arial"/>
          <w:iCs/>
          <w:szCs w:val="24"/>
          <w:lang w:val="en-ZA"/>
        </w:rPr>
        <w:t>(a)</w:t>
      </w:r>
      <w:r>
        <w:rPr>
          <w:rFonts w:cs="Arial"/>
          <w:iCs/>
          <w:szCs w:val="24"/>
          <w:lang w:val="en-ZA"/>
        </w:rPr>
        <w:tab/>
      </w:r>
      <w:r w:rsidR="003613D7" w:rsidRPr="000F5699">
        <w:rPr>
          <w:rFonts w:cs="Arial"/>
          <w:iCs/>
          <w:szCs w:val="24"/>
          <w:lang w:val="en-ZA"/>
        </w:rPr>
        <w:t xml:space="preserve">the applications under case numbers 1440/2023 and 1441/2023 are </w:t>
      </w:r>
      <w:proofErr w:type="gramStart"/>
      <w:r w:rsidR="003613D7" w:rsidRPr="000F5699">
        <w:rPr>
          <w:rFonts w:cs="Arial"/>
          <w:iCs/>
          <w:szCs w:val="24"/>
          <w:lang w:val="en-ZA"/>
        </w:rPr>
        <w:t>dismissed;</w:t>
      </w:r>
      <w:proofErr w:type="gramEnd"/>
    </w:p>
    <w:p w14:paraId="606DA562" w14:textId="77777777" w:rsidR="003613D7" w:rsidRDefault="003613D7" w:rsidP="003613D7">
      <w:pPr>
        <w:pStyle w:val="ListParagraph"/>
        <w:spacing w:after="160"/>
        <w:ind w:left="1080" w:firstLine="0"/>
        <w:rPr>
          <w:rFonts w:cs="Arial"/>
          <w:iCs/>
          <w:szCs w:val="24"/>
          <w:lang w:val="en-ZA"/>
        </w:rPr>
      </w:pPr>
    </w:p>
    <w:p w14:paraId="696E7DF6" w14:textId="470705A7" w:rsidR="003613D7" w:rsidRPr="000F5699" w:rsidRDefault="000F5699" w:rsidP="000F5699">
      <w:pPr>
        <w:spacing w:after="160"/>
        <w:ind w:left="1080"/>
        <w:rPr>
          <w:rFonts w:cs="Arial"/>
          <w:iCs/>
          <w:szCs w:val="24"/>
          <w:lang w:val="en-ZA"/>
        </w:rPr>
      </w:pPr>
      <w:r w:rsidRPr="00477C99">
        <w:rPr>
          <w:rFonts w:cs="Arial"/>
          <w:iCs/>
          <w:szCs w:val="24"/>
          <w:lang w:val="en-ZA"/>
        </w:rPr>
        <w:lastRenderedPageBreak/>
        <w:t>(b)</w:t>
      </w:r>
      <w:r w:rsidRPr="00477C99">
        <w:rPr>
          <w:rFonts w:cs="Arial"/>
          <w:iCs/>
          <w:szCs w:val="24"/>
          <w:lang w:val="en-ZA"/>
        </w:rPr>
        <w:tab/>
      </w:r>
      <w:r w:rsidR="003613D7" w:rsidRPr="000F5699">
        <w:rPr>
          <w:rFonts w:cs="Arial"/>
          <w:iCs/>
          <w:szCs w:val="24"/>
          <w:lang w:val="en-ZA"/>
        </w:rPr>
        <w:t>the applicants are ordered to pay the costs of both applications, including the costs consequent upon the employment of two counsel, jointly and severally the one paying the others to be absolved.</w:t>
      </w:r>
    </w:p>
    <w:p w14:paraId="4EE32CA5" w14:textId="509AB731" w:rsidR="003613D7" w:rsidRDefault="003613D7" w:rsidP="003613D7">
      <w:pPr>
        <w:spacing w:after="160"/>
        <w:ind w:left="0" w:firstLine="0"/>
        <w:contextualSpacing/>
        <w:rPr>
          <w:rFonts w:cs="Arial"/>
          <w:bCs/>
          <w:szCs w:val="24"/>
          <w:lang w:val="en-ZA"/>
        </w:rPr>
      </w:pPr>
    </w:p>
    <w:p w14:paraId="5A72A2E6" w14:textId="77777777" w:rsidR="0077477C" w:rsidRDefault="0077477C" w:rsidP="003613D7">
      <w:pPr>
        <w:spacing w:after="160"/>
        <w:ind w:left="0" w:firstLine="0"/>
        <w:contextualSpacing/>
        <w:rPr>
          <w:rFonts w:cs="Arial"/>
          <w:bCs/>
          <w:szCs w:val="24"/>
          <w:lang w:val="en-ZA"/>
        </w:rPr>
      </w:pPr>
    </w:p>
    <w:p w14:paraId="7C348D74" w14:textId="77777777" w:rsidR="003613D7" w:rsidRDefault="003613D7" w:rsidP="003613D7">
      <w:pPr>
        <w:spacing w:after="160"/>
        <w:ind w:left="0" w:firstLine="0"/>
        <w:contextualSpacing/>
        <w:rPr>
          <w:rFonts w:cs="Arial"/>
          <w:bCs/>
          <w:szCs w:val="24"/>
          <w:lang w:val="en-ZA"/>
        </w:rPr>
      </w:pPr>
    </w:p>
    <w:p w14:paraId="0723A157" w14:textId="77777777" w:rsidR="003613D7" w:rsidRPr="0034599E" w:rsidRDefault="003613D7" w:rsidP="003613D7">
      <w:pPr>
        <w:spacing w:line="480" w:lineRule="auto"/>
        <w:ind w:left="0" w:firstLine="0"/>
        <w:rPr>
          <w:rFonts w:cs="Arial"/>
          <w:b/>
          <w:szCs w:val="24"/>
        </w:rPr>
      </w:pPr>
      <w:r w:rsidRPr="0034599E">
        <w:rPr>
          <w:rFonts w:cs="Arial"/>
          <w:b/>
          <w:szCs w:val="24"/>
        </w:rPr>
        <w:t>______________________</w:t>
      </w:r>
    </w:p>
    <w:p w14:paraId="7CF1465E" w14:textId="77777777" w:rsidR="003613D7" w:rsidRPr="0034599E" w:rsidRDefault="003613D7" w:rsidP="003613D7">
      <w:pPr>
        <w:spacing w:line="480" w:lineRule="auto"/>
        <w:rPr>
          <w:rFonts w:cs="Arial"/>
          <w:b/>
          <w:szCs w:val="24"/>
        </w:rPr>
      </w:pPr>
      <w:r>
        <w:rPr>
          <w:rFonts w:cs="Arial"/>
          <w:b/>
          <w:szCs w:val="24"/>
        </w:rPr>
        <w:t>D.O. POTGIETER</w:t>
      </w:r>
    </w:p>
    <w:p w14:paraId="4F257417" w14:textId="77777777" w:rsidR="003613D7" w:rsidRPr="0034599E" w:rsidRDefault="003613D7" w:rsidP="003613D7">
      <w:pPr>
        <w:spacing w:line="480" w:lineRule="auto"/>
        <w:rPr>
          <w:rFonts w:cs="Arial"/>
          <w:b/>
          <w:szCs w:val="24"/>
        </w:rPr>
      </w:pPr>
      <w:r w:rsidRPr="0034599E">
        <w:rPr>
          <w:rFonts w:cs="Arial"/>
          <w:b/>
          <w:szCs w:val="24"/>
        </w:rPr>
        <w:t>JUDGE OF THE HIGH COURT</w:t>
      </w:r>
    </w:p>
    <w:p w14:paraId="07773B3C" w14:textId="77777777" w:rsidR="0077477C" w:rsidRDefault="0077477C" w:rsidP="003613D7">
      <w:pPr>
        <w:ind w:left="0" w:firstLine="0"/>
        <w:rPr>
          <w:rFonts w:cs="Arial"/>
          <w:b/>
          <w:bCs/>
          <w:szCs w:val="24"/>
          <w:lang w:val="en-ZA"/>
        </w:rPr>
      </w:pPr>
    </w:p>
    <w:p w14:paraId="5C8D3C9B" w14:textId="77777777" w:rsidR="0077477C" w:rsidRDefault="0077477C" w:rsidP="003613D7">
      <w:pPr>
        <w:ind w:left="0" w:firstLine="0"/>
        <w:rPr>
          <w:rFonts w:cs="Arial"/>
          <w:b/>
          <w:bCs/>
          <w:szCs w:val="24"/>
          <w:lang w:val="en-ZA"/>
        </w:rPr>
      </w:pPr>
    </w:p>
    <w:p w14:paraId="7BB6E882" w14:textId="77777777" w:rsidR="0077477C" w:rsidRDefault="0077477C" w:rsidP="003613D7">
      <w:pPr>
        <w:ind w:left="0" w:firstLine="0"/>
        <w:rPr>
          <w:rFonts w:cs="Arial"/>
          <w:b/>
          <w:bCs/>
          <w:szCs w:val="24"/>
          <w:lang w:val="en-ZA"/>
        </w:rPr>
      </w:pPr>
    </w:p>
    <w:p w14:paraId="6C14DBFB" w14:textId="4863298B" w:rsidR="0077477C" w:rsidRDefault="0077477C" w:rsidP="003613D7">
      <w:pPr>
        <w:ind w:left="0" w:firstLine="0"/>
        <w:rPr>
          <w:rFonts w:cs="Arial"/>
          <w:b/>
          <w:bCs/>
          <w:szCs w:val="24"/>
          <w:lang w:val="en-ZA"/>
        </w:rPr>
      </w:pPr>
    </w:p>
    <w:p w14:paraId="6AE37E94" w14:textId="549A9C7B" w:rsidR="003613D7" w:rsidRPr="00D04FE6" w:rsidRDefault="003613D7" w:rsidP="003613D7">
      <w:pPr>
        <w:ind w:left="0" w:firstLine="0"/>
        <w:rPr>
          <w:rFonts w:cs="Arial"/>
          <w:b/>
          <w:bCs/>
          <w:szCs w:val="24"/>
          <w:lang w:val="en-ZA"/>
        </w:rPr>
      </w:pPr>
      <w:r w:rsidRPr="00D04FE6">
        <w:rPr>
          <w:rFonts w:cs="Arial"/>
          <w:b/>
          <w:bCs/>
          <w:szCs w:val="24"/>
          <w:lang w:val="en-ZA"/>
        </w:rPr>
        <w:t>APPEARANCE</w:t>
      </w:r>
      <w:r>
        <w:rPr>
          <w:rFonts w:cs="Arial"/>
          <w:b/>
          <w:bCs/>
          <w:szCs w:val="24"/>
          <w:lang w:val="en-ZA"/>
        </w:rPr>
        <w:t>S</w:t>
      </w:r>
    </w:p>
    <w:p w14:paraId="347BE702" w14:textId="77777777" w:rsidR="003613D7" w:rsidRPr="00D04FE6" w:rsidRDefault="003613D7" w:rsidP="003613D7">
      <w:pPr>
        <w:ind w:left="0" w:firstLine="0"/>
        <w:rPr>
          <w:rFonts w:cs="Arial"/>
          <w:b/>
          <w:bCs/>
          <w:szCs w:val="24"/>
          <w:lang w:val="en-ZA"/>
        </w:rPr>
      </w:pPr>
    </w:p>
    <w:p w14:paraId="1059F94B" w14:textId="77777777" w:rsidR="003613D7" w:rsidRDefault="003613D7" w:rsidP="003613D7">
      <w:pPr>
        <w:ind w:left="3600" w:hanging="3600"/>
        <w:rPr>
          <w:rFonts w:cs="Arial"/>
          <w:bCs/>
          <w:szCs w:val="24"/>
          <w:lang w:val="en-ZA"/>
        </w:rPr>
      </w:pPr>
      <w:r>
        <w:rPr>
          <w:rFonts w:cs="Arial"/>
          <w:bCs/>
          <w:szCs w:val="24"/>
          <w:lang w:val="en-ZA"/>
        </w:rPr>
        <w:t>F</w:t>
      </w:r>
      <w:r w:rsidRPr="00D04FE6">
        <w:rPr>
          <w:rFonts w:cs="Arial"/>
          <w:bCs/>
          <w:szCs w:val="24"/>
          <w:lang w:val="en-ZA"/>
        </w:rPr>
        <w:t xml:space="preserve">or the </w:t>
      </w:r>
      <w:r>
        <w:rPr>
          <w:rFonts w:cs="Arial"/>
          <w:bCs/>
          <w:szCs w:val="24"/>
          <w:lang w:val="en-ZA"/>
        </w:rPr>
        <w:t>Applicants</w:t>
      </w:r>
      <w:r w:rsidRPr="00D04FE6">
        <w:rPr>
          <w:rFonts w:cs="Arial"/>
          <w:bCs/>
          <w:szCs w:val="24"/>
          <w:lang w:val="en-ZA"/>
        </w:rPr>
        <w:t>:</w:t>
      </w:r>
      <w:r w:rsidRPr="00D04FE6">
        <w:rPr>
          <w:rFonts w:cs="Arial"/>
          <w:bCs/>
          <w:szCs w:val="24"/>
          <w:lang w:val="en-ZA"/>
        </w:rPr>
        <w:tab/>
      </w:r>
      <w:r>
        <w:rPr>
          <w:rFonts w:cs="Arial"/>
          <w:bCs/>
          <w:szCs w:val="24"/>
          <w:lang w:val="en-ZA"/>
        </w:rPr>
        <w:t>Adv. N Cassim SC and Adv. M Desai, instructed by:  Andraos &amp; Hatchett Inc., c/o Gravette Schoeman Inc., The Hub, Bonza Bay Road, Beacon Bay North, East London</w:t>
      </w:r>
    </w:p>
    <w:p w14:paraId="66BD633F" w14:textId="77777777" w:rsidR="003613D7" w:rsidRPr="00D04FE6" w:rsidRDefault="003613D7" w:rsidP="003613D7">
      <w:pPr>
        <w:ind w:left="3600" w:hanging="3600"/>
        <w:rPr>
          <w:rFonts w:cs="Arial"/>
          <w:bCs/>
          <w:szCs w:val="24"/>
          <w:lang w:val="en-ZA"/>
        </w:rPr>
      </w:pPr>
    </w:p>
    <w:p w14:paraId="0A956026" w14:textId="77777777" w:rsidR="003613D7" w:rsidRPr="00D04FE6" w:rsidRDefault="003613D7" w:rsidP="003613D7">
      <w:pPr>
        <w:ind w:left="3600" w:hanging="3600"/>
        <w:rPr>
          <w:rFonts w:cs="Arial"/>
          <w:bCs/>
          <w:szCs w:val="24"/>
          <w:lang w:val="en-ZA"/>
        </w:rPr>
      </w:pPr>
    </w:p>
    <w:p w14:paraId="1F9659BD" w14:textId="77777777" w:rsidR="003613D7" w:rsidRPr="00D04FE6" w:rsidRDefault="003613D7" w:rsidP="003613D7">
      <w:pPr>
        <w:ind w:left="3600" w:hanging="3600"/>
        <w:rPr>
          <w:rFonts w:cs="Arial"/>
          <w:bCs/>
          <w:szCs w:val="24"/>
          <w:lang w:val="en-ZA"/>
        </w:rPr>
      </w:pPr>
      <w:r w:rsidRPr="00D04FE6">
        <w:rPr>
          <w:rFonts w:cs="Arial"/>
          <w:bCs/>
          <w:szCs w:val="24"/>
          <w:lang w:val="en-ZA"/>
        </w:rPr>
        <w:t xml:space="preserve">For the </w:t>
      </w:r>
      <w:r>
        <w:rPr>
          <w:rFonts w:cs="Arial"/>
          <w:bCs/>
          <w:szCs w:val="24"/>
          <w:lang w:val="en-ZA"/>
        </w:rPr>
        <w:t>First Respondents</w:t>
      </w:r>
      <w:r w:rsidRPr="00D04FE6">
        <w:rPr>
          <w:rFonts w:cs="Arial"/>
          <w:bCs/>
          <w:szCs w:val="24"/>
          <w:lang w:val="en-ZA"/>
        </w:rPr>
        <w:t>:</w:t>
      </w:r>
      <w:r w:rsidRPr="00D04FE6">
        <w:rPr>
          <w:rFonts w:cs="Arial"/>
          <w:bCs/>
          <w:szCs w:val="24"/>
          <w:lang w:val="en-ZA"/>
        </w:rPr>
        <w:tab/>
      </w:r>
      <w:r>
        <w:rPr>
          <w:rFonts w:cs="Arial"/>
          <w:bCs/>
          <w:szCs w:val="24"/>
          <w:lang w:val="en-ZA"/>
        </w:rPr>
        <w:t>Adv. E Killian SC and Adv. C McKelvey, instructed by:  Enzo Meyers Attorneys, 121 Devereux Avenue, Vincent, East London</w:t>
      </w:r>
    </w:p>
    <w:p w14:paraId="65FD6985" w14:textId="77777777" w:rsidR="003613D7" w:rsidRDefault="003613D7" w:rsidP="003613D7">
      <w:pPr>
        <w:ind w:left="3600" w:hanging="3600"/>
        <w:rPr>
          <w:rFonts w:cs="Arial"/>
          <w:bCs/>
          <w:szCs w:val="24"/>
          <w:lang w:val="en-ZA"/>
        </w:rPr>
      </w:pPr>
    </w:p>
    <w:p w14:paraId="45C6068E" w14:textId="77777777" w:rsidR="003613D7" w:rsidRPr="00D04FE6" w:rsidRDefault="003613D7" w:rsidP="003613D7">
      <w:pPr>
        <w:ind w:left="3600" w:hanging="3600"/>
        <w:rPr>
          <w:rFonts w:cs="Arial"/>
          <w:bCs/>
          <w:szCs w:val="24"/>
          <w:lang w:val="en-ZA"/>
        </w:rPr>
      </w:pPr>
      <w:r w:rsidRPr="00D04FE6">
        <w:rPr>
          <w:rFonts w:cs="Arial"/>
          <w:bCs/>
          <w:szCs w:val="24"/>
          <w:lang w:val="en-ZA"/>
        </w:rPr>
        <w:t>Date of hearing:</w:t>
      </w:r>
      <w:r>
        <w:rPr>
          <w:rFonts w:cs="Arial"/>
          <w:bCs/>
          <w:szCs w:val="24"/>
          <w:lang w:val="en-ZA"/>
        </w:rPr>
        <w:tab/>
        <w:t>23 November 2023</w:t>
      </w:r>
      <w:r w:rsidRPr="00D04FE6">
        <w:rPr>
          <w:rFonts w:cs="Arial"/>
          <w:bCs/>
          <w:szCs w:val="24"/>
          <w:lang w:val="en-ZA"/>
        </w:rPr>
        <w:tab/>
      </w:r>
    </w:p>
    <w:p w14:paraId="58F65D5C" w14:textId="77777777" w:rsidR="003613D7" w:rsidRPr="00D04FE6" w:rsidRDefault="003613D7" w:rsidP="003613D7">
      <w:pPr>
        <w:ind w:left="3600" w:hanging="3600"/>
        <w:rPr>
          <w:rFonts w:cs="Arial"/>
          <w:bCs/>
          <w:szCs w:val="24"/>
          <w:lang w:val="en-ZA"/>
        </w:rPr>
      </w:pPr>
    </w:p>
    <w:p w14:paraId="79533684" w14:textId="74FF4676" w:rsidR="003613D7" w:rsidRPr="00EE2E2A" w:rsidRDefault="003613D7" w:rsidP="00B800A3">
      <w:pPr>
        <w:ind w:left="3600" w:hanging="3600"/>
      </w:pPr>
      <w:r w:rsidRPr="00D04FE6">
        <w:rPr>
          <w:rFonts w:cs="Arial"/>
          <w:bCs/>
          <w:szCs w:val="24"/>
          <w:lang w:val="en-ZA"/>
        </w:rPr>
        <w:t>Date of delivery of judgment:</w:t>
      </w:r>
      <w:r w:rsidRPr="00D04FE6">
        <w:rPr>
          <w:rFonts w:cs="Arial"/>
          <w:bCs/>
          <w:szCs w:val="24"/>
          <w:lang w:val="en-ZA"/>
        </w:rPr>
        <w:tab/>
      </w:r>
      <w:r>
        <w:rPr>
          <w:rFonts w:cs="Arial"/>
          <w:bCs/>
          <w:szCs w:val="24"/>
          <w:lang w:val="en-ZA"/>
        </w:rPr>
        <w:t>05 December 2023</w:t>
      </w:r>
    </w:p>
    <w:p w14:paraId="085F5C32" w14:textId="77777777" w:rsidR="003613D7" w:rsidRPr="001C3896" w:rsidRDefault="003613D7" w:rsidP="003613D7"/>
    <w:p w14:paraId="69EEEC9F" w14:textId="21F1CE1E" w:rsidR="00062FA9" w:rsidRPr="003613D7" w:rsidRDefault="00062FA9" w:rsidP="003613D7"/>
    <w:sectPr w:rsidR="00062FA9" w:rsidRPr="003613D7" w:rsidSect="00665272">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9828C" w14:textId="77777777" w:rsidR="00397121" w:rsidRDefault="00397121" w:rsidP="00665272">
      <w:pPr>
        <w:spacing w:line="240" w:lineRule="auto"/>
      </w:pPr>
      <w:r>
        <w:separator/>
      </w:r>
    </w:p>
  </w:endnote>
  <w:endnote w:type="continuationSeparator" w:id="0">
    <w:p w14:paraId="67B83006" w14:textId="77777777" w:rsidR="00397121" w:rsidRDefault="00397121" w:rsidP="006652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CEC1A" w14:textId="77777777" w:rsidR="00397121" w:rsidRDefault="00397121" w:rsidP="00665272">
      <w:pPr>
        <w:spacing w:line="240" w:lineRule="auto"/>
      </w:pPr>
      <w:r>
        <w:separator/>
      </w:r>
    </w:p>
  </w:footnote>
  <w:footnote w:type="continuationSeparator" w:id="0">
    <w:p w14:paraId="06E6B9D8" w14:textId="77777777" w:rsidR="00397121" w:rsidRDefault="00397121" w:rsidP="00665272">
      <w:pPr>
        <w:spacing w:line="240" w:lineRule="auto"/>
      </w:pPr>
      <w:r>
        <w:continuationSeparator/>
      </w:r>
    </w:p>
  </w:footnote>
  <w:footnote w:id="1">
    <w:p w14:paraId="3403D438" w14:textId="77777777" w:rsidR="003613D7" w:rsidRDefault="003613D7" w:rsidP="003613D7">
      <w:pPr>
        <w:pStyle w:val="FootnoteText"/>
        <w:rPr>
          <w:lang w:val="en-US"/>
        </w:rPr>
      </w:pPr>
      <w:r>
        <w:rPr>
          <w:rStyle w:val="FootnoteReference"/>
        </w:rPr>
        <w:footnoteRef/>
      </w:r>
      <w:r>
        <w:t xml:space="preserve"> </w:t>
      </w:r>
      <w:r>
        <w:rPr>
          <w:lang w:val="en-US"/>
        </w:rPr>
        <w:t>The subsection provides as follows:</w:t>
      </w:r>
    </w:p>
    <w:p w14:paraId="11F1336D" w14:textId="77777777" w:rsidR="003613D7" w:rsidRDefault="003613D7" w:rsidP="003613D7">
      <w:pPr>
        <w:pStyle w:val="FootnoteText"/>
        <w:ind w:left="720"/>
        <w:rPr>
          <w:lang w:val="en-US"/>
        </w:rPr>
      </w:pPr>
      <w:r>
        <w:rPr>
          <w:b/>
          <w:bCs/>
          <w:lang w:val="en-US"/>
        </w:rPr>
        <w:t>19. Legal status of companies.</w:t>
      </w:r>
      <w:r>
        <w:rPr>
          <w:lang w:val="en-US"/>
        </w:rPr>
        <w:t xml:space="preserve"> –</w:t>
      </w:r>
    </w:p>
    <w:p w14:paraId="6D4E9039" w14:textId="77777777" w:rsidR="003613D7" w:rsidRPr="00A067A0" w:rsidRDefault="003613D7" w:rsidP="003613D7">
      <w:pPr>
        <w:pStyle w:val="FootnoteText"/>
        <w:ind w:left="1080"/>
        <w:rPr>
          <w:lang w:val="en-US"/>
        </w:rPr>
      </w:pPr>
      <w:r>
        <w:rPr>
          <w:lang w:val="en-US"/>
        </w:rPr>
        <w:t xml:space="preserve">(3) If a company is a personal liability company the directors and past directors are jointly and severally liable, together with the company, for any debts and liabilities of the company as are or were </w:t>
      </w:r>
      <w:r w:rsidRPr="00A067A0">
        <w:rPr>
          <w:u w:val="single"/>
          <w:lang w:val="en-US"/>
        </w:rPr>
        <w:t>contracted</w:t>
      </w:r>
      <w:r>
        <w:rPr>
          <w:lang w:val="en-US"/>
        </w:rPr>
        <w:t xml:space="preserve"> during their respective periods of office.’       (Emphasis supplied)     </w:t>
      </w:r>
    </w:p>
  </w:footnote>
  <w:footnote w:id="2">
    <w:p w14:paraId="79FFBA50" w14:textId="77777777" w:rsidR="003613D7" w:rsidRDefault="003613D7" w:rsidP="003613D7">
      <w:pPr>
        <w:pStyle w:val="FootnoteText"/>
        <w:rPr>
          <w:lang w:val="en-US"/>
        </w:rPr>
      </w:pPr>
      <w:r>
        <w:rPr>
          <w:rStyle w:val="FootnoteReference"/>
        </w:rPr>
        <w:footnoteRef/>
      </w:r>
      <w:r>
        <w:t xml:space="preserve"> </w:t>
      </w:r>
      <w:r>
        <w:rPr>
          <w:lang w:val="en-US"/>
        </w:rPr>
        <w:t>The subsection is to the following effect:</w:t>
      </w:r>
    </w:p>
    <w:p w14:paraId="629B8692" w14:textId="77777777" w:rsidR="003613D7" w:rsidRDefault="003613D7" w:rsidP="003613D7">
      <w:pPr>
        <w:pStyle w:val="FootnoteText"/>
        <w:ind w:left="720"/>
        <w:rPr>
          <w:lang w:val="en-US"/>
        </w:rPr>
      </w:pPr>
      <w:r>
        <w:rPr>
          <w:lang w:val="en-US"/>
        </w:rPr>
        <w:t>‘The memorandum of a company may, in addition to the requirements of s 52 –</w:t>
      </w:r>
    </w:p>
    <w:p w14:paraId="03868475" w14:textId="621732E3" w:rsidR="003613D7" w:rsidRDefault="000F5699" w:rsidP="000F5699">
      <w:pPr>
        <w:pStyle w:val="FootnoteText"/>
        <w:ind w:left="1080"/>
        <w:rPr>
          <w:lang w:val="en-US"/>
        </w:rPr>
      </w:pPr>
      <w:r>
        <w:rPr>
          <w:lang w:val="en-US"/>
        </w:rPr>
        <w:t>(a)</w:t>
      </w:r>
      <w:r>
        <w:rPr>
          <w:lang w:val="en-US"/>
        </w:rPr>
        <w:tab/>
      </w:r>
      <w:r w:rsidR="003613D7">
        <w:rPr>
          <w:lang w:val="en-US"/>
        </w:rPr>
        <w:t>…</w:t>
      </w:r>
    </w:p>
    <w:p w14:paraId="5A9421D1" w14:textId="5D716406" w:rsidR="003613D7" w:rsidRPr="00A067A0" w:rsidRDefault="000F5699" w:rsidP="000F5699">
      <w:pPr>
        <w:pStyle w:val="FootnoteText"/>
        <w:ind w:left="1080"/>
        <w:rPr>
          <w:lang w:val="en-US"/>
        </w:rPr>
      </w:pPr>
      <w:r w:rsidRPr="00A067A0">
        <w:rPr>
          <w:lang w:val="en-US"/>
        </w:rPr>
        <w:t>(b)</w:t>
      </w:r>
      <w:r w:rsidRPr="00A067A0">
        <w:rPr>
          <w:lang w:val="en-US"/>
        </w:rPr>
        <w:tab/>
      </w:r>
      <w:r w:rsidR="003613D7">
        <w:rPr>
          <w:lang w:val="en-US"/>
        </w:rPr>
        <w:t xml:space="preserve">in the case of a private company, provide that the directors and past directors shall be liable jointly and severally, together with the company, for such debts and liabilities of the company as are or were </w:t>
      </w:r>
      <w:r w:rsidR="003613D7" w:rsidRPr="00EC78C3">
        <w:rPr>
          <w:u w:val="single"/>
          <w:lang w:val="en-US"/>
        </w:rPr>
        <w:t>contracted</w:t>
      </w:r>
      <w:r w:rsidR="003613D7">
        <w:rPr>
          <w:lang w:val="en-US"/>
        </w:rPr>
        <w:t xml:space="preserve"> during their periods of office, in which case the said directors and past directors shall be so liable.’         (Emphasis supplied)</w:t>
      </w:r>
    </w:p>
  </w:footnote>
  <w:footnote w:id="3">
    <w:p w14:paraId="7FE23A4B" w14:textId="77777777" w:rsidR="003613D7" w:rsidRPr="00EC78C3" w:rsidRDefault="003613D7" w:rsidP="003613D7">
      <w:pPr>
        <w:pStyle w:val="FootnoteText"/>
        <w:rPr>
          <w:lang w:val="en-US"/>
        </w:rPr>
      </w:pPr>
      <w:r>
        <w:rPr>
          <w:rStyle w:val="FootnoteReference"/>
        </w:rPr>
        <w:footnoteRef/>
      </w:r>
      <w:r>
        <w:t xml:space="preserve"> </w:t>
      </w:r>
      <w:r w:rsidRPr="00EC78C3">
        <w:rPr>
          <w:i/>
          <w:iCs/>
          <w:lang w:val="en-US"/>
        </w:rPr>
        <w:t>Fundstrust (Pty) Ltd (in liquidation) v Van Deventer</w:t>
      </w:r>
      <w:r>
        <w:rPr>
          <w:lang w:val="en-US"/>
        </w:rPr>
        <w:t xml:space="preserve"> 1997(1) SA 710 (AD).</w:t>
      </w:r>
    </w:p>
  </w:footnote>
  <w:footnote w:id="4">
    <w:p w14:paraId="24E35A9D" w14:textId="77777777" w:rsidR="003613D7" w:rsidRPr="00B54230" w:rsidRDefault="003613D7" w:rsidP="003613D7">
      <w:pPr>
        <w:pStyle w:val="FootnoteText"/>
        <w:rPr>
          <w:lang w:val="en-US"/>
        </w:rPr>
      </w:pPr>
      <w:r>
        <w:rPr>
          <w:rStyle w:val="FootnoteReference"/>
        </w:rPr>
        <w:footnoteRef/>
      </w:r>
      <w:r>
        <w:t xml:space="preserve"> </w:t>
      </w:r>
      <w:r>
        <w:rPr>
          <w:lang w:val="en-US"/>
        </w:rPr>
        <w:t xml:space="preserve">At 734G-H where the following appears: ‘ … I do not think that the liability arising from the commission of a delict would normally be regarded as one of its ordinary business debts. This may also apply to statutory liabilities which do not form part of the company’s regular expenses.’ See also: </w:t>
      </w:r>
      <w:r>
        <w:rPr>
          <w:i/>
          <w:iCs/>
          <w:lang w:val="en-US"/>
        </w:rPr>
        <w:t>Maritz &amp; Another v Maritz &amp; Pieterse Inc (in liquidation)</w:t>
      </w:r>
      <w:r>
        <w:rPr>
          <w:lang w:val="en-US"/>
        </w:rPr>
        <w:t xml:space="preserve"> 2006(3) SA 481 (SCA) para13.</w:t>
      </w:r>
    </w:p>
  </w:footnote>
  <w:footnote w:id="5">
    <w:p w14:paraId="41180D2E" w14:textId="77777777" w:rsidR="003613D7" w:rsidRPr="00BD7B1B" w:rsidRDefault="003613D7" w:rsidP="003613D7">
      <w:pPr>
        <w:pStyle w:val="FootnoteText"/>
        <w:rPr>
          <w:lang w:val="en-US"/>
        </w:rPr>
      </w:pPr>
      <w:r>
        <w:rPr>
          <w:rStyle w:val="FootnoteReference"/>
        </w:rPr>
        <w:footnoteRef/>
      </w:r>
      <w:r>
        <w:t xml:space="preserve"> </w:t>
      </w:r>
      <w:r>
        <w:rPr>
          <w:lang w:val="en-US"/>
        </w:rPr>
        <w:t>Cf Casim</w:t>
      </w:r>
      <w:r>
        <w:rPr>
          <w:i/>
          <w:iCs/>
          <w:lang w:val="en-US"/>
        </w:rPr>
        <w:t xml:space="preserve"> et al Contemporary Company Law</w:t>
      </w:r>
      <w:r>
        <w:rPr>
          <w:lang w:val="en-US"/>
        </w:rPr>
        <w:t xml:space="preserve"> pp 79-80 para 3.6.4.; Laniyan v Negota Ssh (Gauteng) Inc 2013 JDR 0331 (GSJ).</w:t>
      </w:r>
    </w:p>
  </w:footnote>
  <w:footnote w:id="6">
    <w:p w14:paraId="52BE76E0" w14:textId="77777777" w:rsidR="003613D7" w:rsidRPr="00DB3818" w:rsidRDefault="003613D7" w:rsidP="003613D7">
      <w:pPr>
        <w:pStyle w:val="FootnoteText"/>
        <w:rPr>
          <w:lang w:val="en-US"/>
        </w:rPr>
      </w:pPr>
      <w:r>
        <w:rPr>
          <w:rStyle w:val="FootnoteReference"/>
        </w:rPr>
        <w:footnoteRef/>
      </w:r>
      <w:r>
        <w:t xml:space="preserve"> </w:t>
      </w:r>
      <w:r>
        <w:rPr>
          <w:i/>
          <w:iCs/>
          <w:lang w:val="en-US"/>
        </w:rPr>
        <w:t>Fundstrust</w:t>
      </w:r>
      <w:r>
        <w:rPr>
          <w:lang w:val="en-US"/>
        </w:rPr>
        <w:t xml:space="preserve"> supra fn3 at 734C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347964"/>
      <w:docPartObj>
        <w:docPartGallery w:val="Page Numbers (Top of Page)"/>
        <w:docPartUnique/>
      </w:docPartObj>
    </w:sdtPr>
    <w:sdtEndPr>
      <w:rPr>
        <w:noProof/>
      </w:rPr>
    </w:sdtEndPr>
    <w:sdtContent>
      <w:p w14:paraId="5F3A9F0B" w14:textId="51D3E9FE" w:rsidR="009421B1" w:rsidRDefault="009421B1">
        <w:pPr>
          <w:pStyle w:val="Header"/>
          <w:jc w:val="right"/>
        </w:pPr>
        <w:r>
          <w:fldChar w:fldCharType="begin"/>
        </w:r>
        <w:r>
          <w:instrText xml:space="preserve"> PAGE   \* MERGEFORMAT </w:instrText>
        </w:r>
        <w:r>
          <w:fldChar w:fldCharType="separate"/>
        </w:r>
        <w:r w:rsidR="00B800A3">
          <w:rPr>
            <w:noProof/>
          </w:rPr>
          <w:t>15</w:t>
        </w:r>
        <w:r>
          <w:rPr>
            <w:noProof/>
          </w:rPr>
          <w:fldChar w:fldCharType="end"/>
        </w:r>
      </w:p>
    </w:sdtContent>
  </w:sdt>
  <w:p w14:paraId="66F44468" w14:textId="77777777" w:rsidR="009421B1" w:rsidRDefault="00942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0DFA"/>
    <w:multiLevelType w:val="hybridMultilevel"/>
    <w:tmpl w:val="EE3E610E"/>
    <w:lvl w:ilvl="0" w:tplc="4344F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F269B5"/>
    <w:multiLevelType w:val="hybridMultilevel"/>
    <w:tmpl w:val="A6BCEC74"/>
    <w:lvl w:ilvl="0" w:tplc="B73AB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E27A0"/>
    <w:multiLevelType w:val="hybridMultilevel"/>
    <w:tmpl w:val="54FA81F4"/>
    <w:lvl w:ilvl="0" w:tplc="4308E26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15:restartNumberingAfterBreak="0">
    <w:nsid w:val="0EA74A64"/>
    <w:multiLevelType w:val="hybridMultilevel"/>
    <w:tmpl w:val="599C5164"/>
    <w:lvl w:ilvl="0" w:tplc="2050ED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EC62C9"/>
    <w:multiLevelType w:val="hybridMultilevel"/>
    <w:tmpl w:val="56F0A018"/>
    <w:lvl w:ilvl="0" w:tplc="598242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4121A80"/>
    <w:multiLevelType w:val="hybridMultilevel"/>
    <w:tmpl w:val="B97C39A0"/>
    <w:lvl w:ilvl="0" w:tplc="899C909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503467E"/>
    <w:multiLevelType w:val="hybridMultilevel"/>
    <w:tmpl w:val="FA624DAA"/>
    <w:lvl w:ilvl="0" w:tplc="592C780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94802D6"/>
    <w:multiLevelType w:val="hybridMultilevel"/>
    <w:tmpl w:val="C9404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9101F"/>
    <w:multiLevelType w:val="multilevel"/>
    <w:tmpl w:val="5EAC6E62"/>
    <w:lvl w:ilvl="0">
      <w:start w:val="1"/>
      <w:numFmt w:val="decimal"/>
      <w:lvlText w:val="%1"/>
      <w:lvlJc w:val="left"/>
      <w:pPr>
        <w:ind w:left="720" w:hanging="720"/>
      </w:pPr>
      <w:rPr>
        <w:rFonts w:hint="default"/>
        <w:i w:val="0"/>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4320" w:hanging="144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9" w15:restartNumberingAfterBreak="0">
    <w:nsid w:val="26943EDD"/>
    <w:multiLevelType w:val="multilevel"/>
    <w:tmpl w:val="767022D8"/>
    <w:lvl w:ilvl="0">
      <w:start w:val="2"/>
      <w:numFmt w:val="decimal"/>
      <w:lvlText w:val="%1"/>
      <w:lvlJc w:val="left"/>
      <w:pPr>
        <w:ind w:left="400" w:hanging="400"/>
      </w:pPr>
      <w:rPr>
        <w:rFonts w:hint="default"/>
      </w:rPr>
    </w:lvl>
    <w:lvl w:ilvl="1">
      <w:start w:val="2"/>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933433C"/>
    <w:multiLevelType w:val="hybridMultilevel"/>
    <w:tmpl w:val="DA9E86A0"/>
    <w:lvl w:ilvl="0" w:tplc="9DA65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B64563"/>
    <w:multiLevelType w:val="hybridMultilevel"/>
    <w:tmpl w:val="3A9608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CC71A3B"/>
    <w:multiLevelType w:val="hybridMultilevel"/>
    <w:tmpl w:val="F4EEEC70"/>
    <w:lvl w:ilvl="0" w:tplc="3C5269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9A109A"/>
    <w:multiLevelType w:val="hybridMultilevel"/>
    <w:tmpl w:val="DE04FB9E"/>
    <w:lvl w:ilvl="0" w:tplc="A5D4234C">
      <w:start w:val="1"/>
      <w:numFmt w:val="decimal"/>
      <w:lvlText w:val="[%1]"/>
      <w:lvlJc w:val="left"/>
      <w:pPr>
        <w:ind w:left="720" w:hanging="360"/>
      </w:pPr>
      <w:rPr>
        <w:rFonts w:hint="default"/>
        <w:b w:val="0"/>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2A92ABE"/>
    <w:multiLevelType w:val="hybridMultilevel"/>
    <w:tmpl w:val="27D45D14"/>
    <w:lvl w:ilvl="0" w:tplc="4AE23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CF1E6D"/>
    <w:multiLevelType w:val="multilevel"/>
    <w:tmpl w:val="F8B035F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7AF6931"/>
    <w:multiLevelType w:val="hybridMultilevel"/>
    <w:tmpl w:val="A7028436"/>
    <w:lvl w:ilvl="0" w:tplc="BAF628F4">
      <w:start w:val="1"/>
      <w:numFmt w:val="lowerRoman"/>
      <w:lvlText w:val="(%1)"/>
      <w:lvlJc w:val="left"/>
      <w:pPr>
        <w:ind w:left="1800" w:hanging="720"/>
      </w:pPr>
      <w:rPr>
        <w:rFonts w:ascii="Times New Roman" w:hAnsi="Times New Roman" w:cs="Times New Roman" w:hint="default"/>
        <w:i/>
        <w:sz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9F11731"/>
    <w:multiLevelType w:val="hybridMultilevel"/>
    <w:tmpl w:val="F342DF56"/>
    <w:lvl w:ilvl="0" w:tplc="DE109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074EC7"/>
    <w:multiLevelType w:val="hybridMultilevel"/>
    <w:tmpl w:val="B42695C4"/>
    <w:lvl w:ilvl="0" w:tplc="95F20F70">
      <w:start w:val="1"/>
      <w:numFmt w:val="lowerLetter"/>
      <w:lvlText w:val="(%1)"/>
      <w:lvlJc w:val="left"/>
      <w:pPr>
        <w:ind w:left="1800" w:hanging="360"/>
      </w:pPr>
      <w:rPr>
        <w:rFonts w:ascii="Times New Roman" w:hAnsi="Times New Roman" w:cs="Times New Roman"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15:restartNumberingAfterBreak="0">
    <w:nsid w:val="3DD3764E"/>
    <w:multiLevelType w:val="hybridMultilevel"/>
    <w:tmpl w:val="9FC83974"/>
    <w:lvl w:ilvl="0" w:tplc="30FA6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9F1AA6"/>
    <w:multiLevelType w:val="hybridMultilevel"/>
    <w:tmpl w:val="68CCC6D2"/>
    <w:lvl w:ilvl="0" w:tplc="433487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4CE47BD"/>
    <w:multiLevelType w:val="hybridMultilevel"/>
    <w:tmpl w:val="D7881BC8"/>
    <w:lvl w:ilvl="0" w:tplc="E390BF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471C4E66"/>
    <w:multiLevelType w:val="hybridMultilevel"/>
    <w:tmpl w:val="C24EBE5E"/>
    <w:lvl w:ilvl="0" w:tplc="98764E32">
      <w:start w:val="1"/>
      <w:numFmt w:val="decimal"/>
      <w:lvlText w:val="[%1]"/>
      <w:lvlJc w:val="left"/>
      <w:pPr>
        <w:ind w:left="720" w:hanging="360"/>
      </w:pPr>
      <w:rPr>
        <w:rFonts w:ascii="Arial" w:hAnsi="Arial" w:cs="Arial"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3552EC"/>
    <w:multiLevelType w:val="hybridMultilevel"/>
    <w:tmpl w:val="521EDC32"/>
    <w:lvl w:ilvl="0" w:tplc="3D3E0606">
      <w:start w:val="1"/>
      <w:numFmt w:val="decimal"/>
      <w:lvlText w:val="%1."/>
      <w:lvlJc w:val="left"/>
      <w:pPr>
        <w:ind w:left="1060" w:hanging="360"/>
      </w:pPr>
      <w:rPr>
        <w:rFonts w:hint="default"/>
      </w:rPr>
    </w:lvl>
    <w:lvl w:ilvl="1" w:tplc="1C090019" w:tentative="1">
      <w:start w:val="1"/>
      <w:numFmt w:val="lowerLetter"/>
      <w:lvlText w:val="%2."/>
      <w:lvlJc w:val="left"/>
      <w:pPr>
        <w:ind w:left="1780" w:hanging="360"/>
      </w:pPr>
    </w:lvl>
    <w:lvl w:ilvl="2" w:tplc="1C09001B" w:tentative="1">
      <w:start w:val="1"/>
      <w:numFmt w:val="lowerRoman"/>
      <w:lvlText w:val="%3."/>
      <w:lvlJc w:val="right"/>
      <w:pPr>
        <w:ind w:left="2500" w:hanging="180"/>
      </w:pPr>
    </w:lvl>
    <w:lvl w:ilvl="3" w:tplc="1C09000F" w:tentative="1">
      <w:start w:val="1"/>
      <w:numFmt w:val="decimal"/>
      <w:lvlText w:val="%4."/>
      <w:lvlJc w:val="left"/>
      <w:pPr>
        <w:ind w:left="3220" w:hanging="360"/>
      </w:pPr>
    </w:lvl>
    <w:lvl w:ilvl="4" w:tplc="1C090019" w:tentative="1">
      <w:start w:val="1"/>
      <w:numFmt w:val="lowerLetter"/>
      <w:lvlText w:val="%5."/>
      <w:lvlJc w:val="left"/>
      <w:pPr>
        <w:ind w:left="3940" w:hanging="360"/>
      </w:pPr>
    </w:lvl>
    <w:lvl w:ilvl="5" w:tplc="1C09001B" w:tentative="1">
      <w:start w:val="1"/>
      <w:numFmt w:val="lowerRoman"/>
      <w:lvlText w:val="%6."/>
      <w:lvlJc w:val="right"/>
      <w:pPr>
        <w:ind w:left="4660" w:hanging="180"/>
      </w:pPr>
    </w:lvl>
    <w:lvl w:ilvl="6" w:tplc="1C09000F" w:tentative="1">
      <w:start w:val="1"/>
      <w:numFmt w:val="decimal"/>
      <w:lvlText w:val="%7."/>
      <w:lvlJc w:val="left"/>
      <w:pPr>
        <w:ind w:left="5380" w:hanging="360"/>
      </w:pPr>
    </w:lvl>
    <w:lvl w:ilvl="7" w:tplc="1C090019" w:tentative="1">
      <w:start w:val="1"/>
      <w:numFmt w:val="lowerLetter"/>
      <w:lvlText w:val="%8."/>
      <w:lvlJc w:val="left"/>
      <w:pPr>
        <w:ind w:left="6100" w:hanging="360"/>
      </w:pPr>
    </w:lvl>
    <w:lvl w:ilvl="8" w:tplc="1C09001B" w:tentative="1">
      <w:start w:val="1"/>
      <w:numFmt w:val="lowerRoman"/>
      <w:lvlText w:val="%9."/>
      <w:lvlJc w:val="right"/>
      <w:pPr>
        <w:ind w:left="6820" w:hanging="180"/>
      </w:pPr>
    </w:lvl>
  </w:abstractNum>
  <w:abstractNum w:abstractNumId="24" w15:restartNumberingAfterBreak="0">
    <w:nsid w:val="487570A4"/>
    <w:multiLevelType w:val="hybridMultilevel"/>
    <w:tmpl w:val="9A6ED858"/>
    <w:lvl w:ilvl="0" w:tplc="D3E6C3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57A5ED2"/>
    <w:multiLevelType w:val="hybridMultilevel"/>
    <w:tmpl w:val="CFA2277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64142BA"/>
    <w:multiLevelType w:val="hybridMultilevel"/>
    <w:tmpl w:val="D4F2EF86"/>
    <w:lvl w:ilvl="0" w:tplc="7B968CF4">
      <w:start w:val="1"/>
      <w:numFmt w:val="lowerLetter"/>
      <w:lvlText w:val="(%1)"/>
      <w:lvlJc w:val="left"/>
      <w:pPr>
        <w:ind w:left="1080" w:hanging="360"/>
      </w:pPr>
      <w:rPr>
        <w:rFonts w:ascii="Times New Roman" w:hAnsi="Times New Roman" w:cs="Times New Roman" w:hint="default"/>
        <w:i/>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5740743F"/>
    <w:multiLevelType w:val="hybridMultilevel"/>
    <w:tmpl w:val="6A2EE17A"/>
    <w:lvl w:ilvl="0" w:tplc="D7067830">
      <w:start w:val="1"/>
      <w:numFmt w:val="lowerLetter"/>
      <w:lvlText w:val="(%1)"/>
      <w:lvlJc w:val="left"/>
      <w:pPr>
        <w:ind w:left="720" w:hanging="360"/>
      </w:pPr>
      <w:rPr>
        <w:rFonts w:ascii="Times New Roman" w:hAnsi="Times New Roman" w:cs="Times New Roman"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76C07CD"/>
    <w:multiLevelType w:val="hybridMultilevel"/>
    <w:tmpl w:val="B8EAA174"/>
    <w:lvl w:ilvl="0" w:tplc="E3CE154E">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670C41"/>
    <w:multiLevelType w:val="hybridMultilevel"/>
    <w:tmpl w:val="41105828"/>
    <w:lvl w:ilvl="0" w:tplc="31863B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F914EA"/>
    <w:multiLevelType w:val="multilevel"/>
    <w:tmpl w:val="FC62EAF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D670DD5"/>
    <w:multiLevelType w:val="hybridMultilevel"/>
    <w:tmpl w:val="A4EA20FA"/>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5E36123D"/>
    <w:multiLevelType w:val="multilevel"/>
    <w:tmpl w:val="B3320A68"/>
    <w:lvl w:ilvl="0">
      <w:start w:val="1"/>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0FA19BB"/>
    <w:multiLevelType w:val="hybridMultilevel"/>
    <w:tmpl w:val="45BC9A02"/>
    <w:lvl w:ilvl="0" w:tplc="E08AD148">
      <w:start w:val="1"/>
      <w:numFmt w:val="lowerRoman"/>
      <w:lvlText w:val="(%1)"/>
      <w:lvlJc w:val="left"/>
      <w:pPr>
        <w:ind w:left="1080" w:hanging="72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7644727"/>
    <w:multiLevelType w:val="hybridMultilevel"/>
    <w:tmpl w:val="EDE64810"/>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67A863F3"/>
    <w:multiLevelType w:val="hybridMultilevel"/>
    <w:tmpl w:val="485670D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9727E34"/>
    <w:multiLevelType w:val="hybridMultilevel"/>
    <w:tmpl w:val="67C8C376"/>
    <w:lvl w:ilvl="0" w:tplc="B72CCC9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7" w15:restartNumberingAfterBreak="0">
    <w:nsid w:val="77066CAB"/>
    <w:multiLevelType w:val="hybridMultilevel"/>
    <w:tmpl w:val="892E2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0653B7"/>
    <w:multiLevelType w:val="hybridMultilevel"/>
    <w:tmpl w:val="EAB4C016"/>
    <w:lvl w:ilvl="0" w:tplc="B8B817F0">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6D6A4F"/>
    <w:multiLevelType w:val="multilevel"/>
    <w:tmpl w:val="527CE5C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CAD3E93"/>
    <w:multiLevelType w:val="multilevel"/>
    <w:tmpl w:val="BF1C458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1" w15:restartNumberingAfterBreak="0">
    <w:nsid w:val="7E512E66"/>
    <w:multiLevelType w:val="hybridMultilevel"/>
    <w:tmpl w:val="989867F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628732120">
    <w:abstractNumId w:val="38"/>
  </w:num>
  <w:num w:numId="2" w16cid:durableId="344552132">
    <w:abstractNumId w:val="19"/>
  </w:num>
  <w:num w:numId="3" w16cid:durableId="1159806685">
    <w:abstractNumId w:val="1"/>
  </w:num>
  <w:num w:numId="4" w16cid:durableId="1874610078">
    <w:abstractNumId w:val="5"/>
  </w:num>
  <w:num w:numId="5" w16cid:durableId="177353417">
    <w:abstractNumId w:val="2"/>
  </w:num>
  <w:num w:numId="6" w16cid:durableId="103110658">
    <w:abstractNumId w:val="22"/>
  </w:num>
  <w:num w:numId="7" w16cid:durableId="1567378530">
    <w:abstractNumId w:val="10"/>
  </w:num>
  <w:num w:numId="8" w16cid:durableId="1932273253">
    <w:abstractNumId w:val="14"/>
  </w:num>
  <w:num w:numId="9" w16cid:durableId="663121427">
    <w:abstractNumId w:val="32"/>
  </w:num>
  <w:num w:numId="10" w16cid:durableId="197472044">
    <w:abstractNumId w:val="7"/>
  </w:num>
  <w:num w:numId="11" w16cid:durableId="839544229">
    <w:abstractNumId w:val="15"/>
  </w:num>
  <w:num w:numId="12" w16cid:durableId="592587183">
    <w:abstractNumId w:val="40"/>
  </w:num>
  <w:num w:numId="13" w16cid:durableId="302581262">
    <w:abstractNumId w:val="4"/>
  </w:num>
  <w:num w:numId="14" w16cid:durableId="1285504201">
    <w:abstractNumId w:val="8"/>
  </w:num>
  <w:num w:numId="15" w16cid:durableId="1673333443">
    <w:abstractNumId w:val="6"/>
  </w:num>
  <w:num w:numId="16" w16cid:durableId="205069063">
    <w:abstractNumId w:val="36"/>
  </w:num>
  <w:num w:numId="17" w16cid:durableId="138502210">
    <w:abstractNumId w:val="26"/>
  </w:num>
  <w:num w:numId="18" w16cid:durableId="390540160">
    <w:abstractNumId w:val="16"/>
  </w:num>
  <w:num w:numId="19" w16cid:durableId="1833063138">
    <w:abstractNumId w:val="11"/>
  </w:num>
  <w:num w:numId="20" w16cid:durableId="323171089">
    <w:abstractNumId w:val="31"/>
  </w:num>
  <w:num w:numId="21" w16cid:durableId="1685478224">
    <w:abstractNumId w:val="34"/>
  </w:num>
  <w:num w:numId="22" w16cid:durableId="1111242190">
    <w:abstractNumId w:val="35"/>
  </w:num>
  <w:num w:numId="23" w16cid:durableId="1047801051">
    <w:abstractNumId w:val="41"/>
  </w:num>
  <w:num w:numId="24" w16cid:durableId="841093565">
    <w:abstractNumId w:val="25"/>
  </w:num>
  <w:num w:numId="25" w16cid:durableId="1478567522">
    <w:abstractNumId w:val="27"/>
  </w:num>
  <w:num w:numId="26" w16cid:durableId="1830053356">
    <w:abstractNumId w:val="18"/>
  </w:num>
  <w:num w:numId="27" w16cid:durableId="1843471606">
    <w:abstractNumId w:val="9"/>
  </w:num>
  <w:num w:numId="28" w16cid:durableId="1689018925">
    <w:abstractNumId w:val="23"/>
  </w:num>
  <w:num w:numId="29" w16cid:durableId="1428695579">
    <w:abstractNumId w:val="13"/>
  </w:num>
  <w:num w:numId="30" w16cid:durableId="1508788694">
    <w:abstractNumId w:val="39"/>
  </w:num>
  <w:num w:numId="31" w16cid:durableId="1347516292">
    <w:abstractNumId w:val="30"/>
  </w:num>
  <w:num w:numId="32" w16cid:durableId="2137290924">
    <w:abstractNumId w:val="24"/>
  </w:num>
  <w:num w:numId="33" w16cid:durableId="1793278561">
    <w:abstractNumId w:val="37"/>
  </w:num>
  <w:num w:numId="34" w16cid:durableId="1539512410">
    <w:abstractNumId w:val="12"/>
  </w:num>
  <w:num w:numId="35" w16cid:durableId="858395474">
    <w:abstractNumId w:val="28"/>
  </w:num>
  <w:num w:numId="36" w16cid:durableId="36397665">
    <w:abstractNumId w:val="20"/>
  </w:num>
  <w:num w:numId="37" w16cid:durableId="465853720">
    <w:abstractNumId w:val="33"/>
  </w:num>
  <w:num w:numId="38" w16cid:durableId="1358695459">
    <w:abstractNumId w:val="0"/>
  </w:num>
  <w:num w:numId="39" w16cid:durableId="1075708647">
    <w:abstractNumId w:val="21"/>
  </w:num>
  <w:num w:numId="40" w16cid:durableId="866261815">
    <w:abstractNumId w:val="17"/>
  </w:num>
  <w:num w:numId="41" w16cid:durableId="1996644140">
    <w:abstractNumId w:val="3"/>
  </w:num>
  <w:num w:numId="42" w16cid:durableId="102042505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GB" w:vendorID="64" w:dllVersion="0" w:nlCheck="1" w:checkStyle="0"/>
  <w:activeWritingStyle w:appName="MSWord" w:lang="en-ZA" w:vendorID="64" w:dllVersion="0" w:nlCheck="1" w:checkStyle="0"/>
  <w:activeWritingStyle w:appName="MSWord" w:lang="en-GB" w:vendorID="64" w:dllVersion="4096" w:nlCheck="1" w:checkStyle="0"/>
  <w:activeWritingStyle w:appName="MSWord" w:lang="en-ZA"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CD22178-0618-46E6-86F4-96DB3A7CAE46}"/>
    <w:docVar w:name="dgnword-eventsink" w:val="541114736"/>
  </w:docVars>
  <w:rsids>
    <w:rsidRoot w:val="0008561F"/>
    <w:rsid w:val="0000191A"/>
    <w:rsid w:val="000101A2"/>
    <w:rsid w:val="00010A78"/>
    <w:rsid w:val="000165E4"/>
    <w:rsid w:val="000247A7"/>
    <w:rsid w:val="000275E2"/>
    <w:rsid w:val="000345BA"/>
    <w:rsid w:val="00037B06"/>
    <w:rsid w:val="0004351F"/>
    <w:rsid w:val="00044B22"/>
    <w:rsid w:val="000542E5"/>
    <w:rsid w:val="0006014A"/>
    <w:rsid w:val="00062FA9"/>
    <w:rsid w:val="00065A6D"/>
    <w:rsid w:val="000705AF"/>
    <w:rsid w:val="00071510"/>
    <w:rsid w:val="00072F32"/>
    <w:rsid w:val="0008037F"/>
    <w:rsid w:val="000824EB"/>
    <w:rsid w:val="00084A1A"/>
    <w:rsid w:val="0008561F"/>
    <w:rsid w:val="00085D74"/>
    <w:rsid w:val="000A7481"/>
    <w:rsid w:val="000B02B0"/>
    <w:rsid w:val="000C1F2A"/>
    <w:rsid w:val="000C270F"/>
    <w:rsid w:val="000C5C07"/>
    <w:rsid w:val="000D025A"/>
    <w:rsid w:val="000D681E"/>
    <w:rsid w:val="000F1E32"/>
    <w:rsid w:val="000F5699"/>
    <w:rsid w:val="000F5A69"/>
    <w:rsid w:val="00101724"/>
    <w:rsid w:val="001079BC"/>
    <w:rsid w:val="00113662"/>
    <w:rsid w:val="001174C4"/>
    <w:rsid w:val="00117F75"/>
    <w:rsid w:val="00120B4C"/>
    <w:rsid w:val="00123F84"/>
    <w:rsid w:val="001330D6"/>
    <w:rsid w:val="001336A0"/>
    <w:rsid w:val="001359AD"/>
    <w:rsid w:val="00151C95"/>
    <w:rsid w:val="00156DCD"/>
    <w:rsid w:val="001679DB"/>
    <w:rsid w:val="0017139B"/>
    <w:rsid w:val="00172ABC"/>
    <w:rsid w:val="00174D41"/>
    <w:rsid w:val="001757C0"/>
    <w:rsid w:val="0017630B"/>
    <w:rsid w:val="00176802"/>
    <w:rsid w:val="001875D6"/>
    <w:rsid w:val="00191A1B"/>
    <w:rsid w:val="00191F1E"/>
    <w:rsid w:val="001943D6"/>
    <w:rsid w:val="00197E13"/>
    <w:rsid w:val="001A2F90"/>
    <w:rsid w:val="001A61A9"/>
    <w:rsid w:val="001C1D38"/>
    <w:rsid w:val="001C3896"/>
    <w:rsid w:val="001C3FEF"/>
    <w:rsid w:val="001C4759"/>
    <w:rsid w:val="001E4E07"/>
    <w:rsid w:val="001E768C"/>
    <w:rsid w:val="001F3966"/>
    <w:rsid w:val="001F3C76"/>
    <w:rsid w:val="001F72C1"/>
    <w:rsid w:val="001F78A0"/>
    <w:rsid w:val="00203255"/>
    <w:rsid w:val="00217A3D"/>
    <w:rsid w:val="00220D31"/>
    <w:rsid w:val="0022290F"/>
    <w:rsid w:val="0022489D"/>
    <w:rsid w:val="002251C1"/>
    <w:rsid w:val="002256BC"/>
    <w:rsid w:val="00231A43"/>
    <w:rsid w:val="00232753"/>
    <w:rsid w:val="00236766"/>
    <w:rsid w:val="0024065D"/>
    <w:rsid w:val="00245A93"/>
    <w:rsid w:val="002465F0"/>
    <w:rsid w:val="00250CED"/>
    <w:rsid w:val="00250DA8"/>
    <w:rsid w:val="00256096"/>
    <w:rsid w:val="00263181"/>
    <w:rsid w:val="00272FA0"/>
    <w:rsid w:val="00274411"/>
    <w:rsid w:val="00275AFA"/>
    <w:rsid w:val="002858E5"/>
    <w:rsid w:val="00287A0E"/>
    <w:rsid w:val="00292A5F"/>
    <w:rsid w:val="002A0421"/>
    <w:rsid w:val="002A04A4"/>
    <w:rsid w:val="002A3220"/>
    <w:rsid w:val="002A5AD4"/>
    <w:rsid w:val="002A7217"/>
    <w:rsid w:val="002B5782"/>
    <w:rsid w:val="002B5BE3"/>
    <w:rsid w:val="002B736F"/>
    <w:rsid w:val="002D4671"/>
    <w:rsid w:val="002F14AE"/>
    <w:rsid w:val="002F48C3"/>
    <w:rsid w:val="0030270B"/>
    <w:rsid w:val="0030311D"/>
    <w:rsid w:val="0030685C"/>
    <w:rsid w:val="00311FC0"/>
    <w:rsid w:val="0031271D"/>
    <w:rsid w:val="00313D62"/>
    <w:rsid w:val="00316295"/>
    <w:rsid w:val="003213F6"/>
    <w:rsid w:val="00321F0A"/>
    <w:rsid w:val="00325B09"/>
    <w:rsid w:val="00326ACC"/>
    <w:rsid w:val="003310C8"/>
    <w:rsid w:val="003326AF"/>
    <w:rsid w:val="00336E00"/>
    <w:rsid w:val="00337C08"/>
    <w:rsid w:val="00342170"/>
    <w:rsid w:val="0034599E"/>
    <w:rsid w:val="003613D7"/>
    <w:rsid w:val="00362AEC"/>
    <w:rsid w:val="00366D9C"/>
    <w:rsid w:val="00375290"/>
    <w:rsid w:val="00376F7C"/>
    <w:rsid w:val="00377BD5"/>
    <w:rsid w:val="00382333"/>
    <w:rsid w:val="00383012"/>
    <w:rsid w:val="00385DCE"/>
    <w:rsid w:val="0039436F"/>
    <w:rsid w:val="00396530"/>
    <w:rsid w:val="00397121"/>
    <w:rsid w:val="003A1F11"/>
    <w:rsid w:val="003A3B37"/>
    <w:rsid w:val="003A3C34"/>
    <w:rsid w:val="003B3E15"/>
    <w:rsid w:val="003C5B44"/>
    <w:rsid w:val="003C6576"/>
    <w:rsid w:val="003D51E3"/>
    <w:rsid w:val="003D53C3"/>
    <w:rsid w:val="003E2DBC"/>
    <w:rsid w:val="003E658F"/>
    <w:rsid w:val="003F4A18"/>
    <w:rsid w:val="004007D1"/>
    <w:rsid w:val="004023A7"/>
    <w:rsid w:val="004030F5"/>
    <w:rsid w:val="00405DAE"/>
    <w:rsid w:val="00411863"/>
    <w:rsid w:val="004129D1"/>
    <w:rsid w:val="00414D10"/>
    <w:rsid w:val="00415A74"/>
    <w:rsid w:val="004245B7"/>
    <w:rsid w:val="00433D96"/>
    <w:rsid w:val="004346D1"/>
    <w:rsid w:val="004400C0"/>
    <w:rsid w:val="00442084"/>
    <w:rsid w:val="00442F7A"/>
    <w:rsid w:val="00443342"/>
    <w:rsid w:val="004443D4"/>
    <w:rsid w:val="0044562C"/>
    <w:rsid w:val="004537D0"/>
    <w:rsid w:val="00457538"/>
    <w:rsid w:val="004647D4"/>
    <w:rsid w:val="004663F2"/>
    <w:rsid w:val="004724D8"/>
    <w:rsid w:val="00483D58"/>
    <w:rsid w:val="00496AF3"/>
    <w:rsid w:val="004A1B2B"/>
    <w:rsid w:val="004A7760"/>
    <w:rsid w:val="004A7BCC"/>
    <w:rsid w:val="004A7E4B"/>
    <w:rsid w:val="004B2A93"/>
    <w:rsid w:val="004B6B98"/>
    <w:rsid w:val="004B7236"/>
    <w:rsid w:val="004C4E8B"/>
    <w:rsid w:val="004D109A"/>
    <w:rsid w:val="004D4D92"/>
    <w:rsid w:val="004E28E3"/>
    <w:rsid w:val="004E3275"/>
    <w:rsid w:val="004E57DF"/>
    <w:rsid w:val="004F219A"/>
    <w:rsid w:val="004F224F"/>
    <w:rsid w:val="004F7374"/>
    <w:rsid w:val="005060DA"/>
    <w:rsid w:val="005074FC"/>
    <w:rsid w:val="00507F8B"/>
    <w:rsid w:val="00510A6F"/>
    <w:rsid w:val="0051656C"/>
    <w:rsid w:val="005201DA"/>
    <w:rsid w:val="005262F9"/>
    <w:rsid w:val="00546AB6"/>
    <w:rsid w:val="00560785"/>
    <w:rsid w:val="005621B4"/>
    <w:rsid w:val="005744EC"/>
    <w:rsid w:val="005830EF"/>
    <w:rsid w:val="0058592D"/>
    <w:rsid w:val="0058714C"/>
    <w:rsid w:val="005873AE"/>
    <w:rsid w:val="00592140"/>
    <w:rsid w:val="00595395"/>
    <w:rsid w:val="005B232E"/>
    <w:rsid w:val="005B5EDA"/>
    <w:rsid w:val="005B7868"/>
    <w:rsid w:val="005C20A4"/>
    <w:rsid w:val="005C6B99"/>
    <w:rsid w:val="005E004B"/>
    <w:rsid w:val="005E02EB"/>
    <w:rsid w:val="005E41C2"/>
    <w:rsid w:val="005E58DA"/>
    <w:rsid w:val="005F1F02"/>
    <w:rsid w:val="005F4510"/>
    <w:rsid w:val="00601F12"/>
    <w:rsid w:val="00605623"/>
    <w:rsid w:val="00606049"/>
    <w:rsid w:val="00610C12"/>
    <w:rsid w:val="00613ADB"/>
    <w:rsid w:val="006155C0"/>
    <w:rsid w:val="006260DE"/>
    <w:rsid w:val="00634443"/>
    <w:rsid w:val="006344A9"/>
    <w:rsid w:val="00636E53"/>
    <w:rsid w:val="006370BD"/>
    <w:rsid w:val="00640E2D"/>
    <w:rsid w:val="00640F11"/>
    <w:rsid w:val="006420BD"/>
    <w:rsid w:val="00653CCD"/>
    <w:rsid w:val="00664ACE"/>
    <w:rsid w:val="00665272"/>
    <w:rsid w:val="00666BBD"/>
    <w:rsid w:val="006679A8"/>
    <w:rsid w:val="00673491"/>
    <w:rsid w:val="006748BA"/>
    <w:rsid w:val="00684071"/>
    <w:rsid w:val="00686210"/>
    <w:rsid w:val="0069497F"/>
    <w:rsid w:val="00697F6F"/>
    <w:rsid w:val="006A1733"/>
    <w:rsid w:val="006A3090"/>
    <w:rsid w:val="006A41CA"/>
    <w:rsid w:val="006B4AE3"/>
    <w:rsid w:val="006C42DE"/>
    <w:rsid w:val="006D21AD"/>
    <w:rsid w:val="006D4DFA"/>
    <w:rsid w:val="006E0BFA"/>
    <w:rsid w:val="006E325F"/>
    <w:rsid w:val="006E3FE5"/>
    <w:rsid w:val="006E6C8C"/>
    <w:rsid w:val="006F07E1"/>
    <w:rsid w:val="006F2029"/>
    <w:rsid w:val="006F62E2"/>
    <w:rsid w:val="006F681A"/>
    <w:rsid w:val="007053CA"/>
    <w:rsid w:val="0070711C"/>
    <w:rsid w:val="007079BA"/>
    <w:rsid w:val="00714D3C"/>
    <w:rsid w:val="00715783"/>
    <w:rsid w:val="00727BEB"/>
    <w:rsid w:val="00730489"/>
    <w:rsid w:val="007326B6"/>
    <w:rsid w:val="00735C38"/>
    <w:rsid w:val="00740476"/>
    <w:rsid w:val="00747007"/>
    <w:rsid w:val="007509D8"/>
    <w:rsid w:val="00755AAE"/>
    <w:rsid w:val="00756314"/>
    <w:rsid w:val="007614E9"/>
    <w:rsid w:val="00763703"/>
    <w:rsid w:val="00770D9D"/>
    <w:rsid w:val="00772A85"/>
    <w:rsid w:val="00773D06"/>
    <w:rsid w:val="007745FC"/>
    <w:rsid w:val="0077477C"/>
    <w:rsid w:val="00780B9F"/>
    <w:rsid w:val="00787571"/>
    <w:rsid w:val="007913F2"/>
    <w:rsid w:val="0079211B"/>
    <w:rsid w:val="007A54DC"/>
    <w:rsid w:val="007B2033"/>
    <w:rsid w:val="007B2DB2"/>
    <w:rsid w:val="007B714D"/>
    <w:rsid w:val="007C5AFE"/>
    <w:rsid w:val="007D0F8A"/>
    <w:rsid w:val="007D7C46"/>
    <w:rsid w:val="007E0946"/>
    <w:rsid w:val="007E6D2C"/>
    <w:rsid w:val="007E77EC"/>
    <w:rsid w:val="007F066A"/>
    <w:rsid w:val="007F610D"/>
    <w:rsid w:val="008012A9"/>
    <w:rsid w:val="00802433"/>
    <w:rsid w:val="0080300B"/>
    <w:rsid w:val="00811ECA"/>
    <w:rsid w:val="008201EE"/>
    <w:rsid w:val="008213E2"/>
    <w:rsid w:val="00822754"/>
    <w:rsid w:val="00824AB8"/>
    <w:rsid w:val="008317EE"/>
    <w:rsid w:val="00834419"/>
    <w:rsid w:val="008415B4"/>
    <w:rsid w:val="00842F0A"/>
    <w:rsid w:val="008529AD"/>
    <w:rsid w:val="008647FF"/>
    <w:rsid w:val="00867800"/>
    <w:rsid w:val="00871BAA"/>
    <w:rsid w:val="00871F72"/>
    <w:rsid w:val="0087228E"/>
    <w:rsid w:val="008727B6"/>
    <w:rsid w:val="008741BF"/>
    <w:rsid w:val="008830EA"/>
    <w:rsid w:val="00894BA4"/>
    <w:rsid w:val="00897FEC"/>
    <w:rsid w:val="008A1B5D"/>
    <w:rsid w:val="008A7CAA"/>
    <w:rsid w:val="008B686D"/>
    <w:rsid w:val="008C3276"/>
    <w:rsid w:val="008D4E9F"/>
    <w:rsid w:val="008E0EFA"/>
    <w:rsid w:val="008E30A1"/>
    <w:rsid w:val="008E3189"/>
    <w:rsid w:val="008E5574"/>
    <w:rsid w:val="008E5C6A"/>
    <w:rsid w:val="008E661A"/>
    <w:rsid w:val="008F05EE"/>
    <w:rsid w:val="00902944"/>
    <w:rsid w:val="009031BB"/>
    <w:rsid w:val="00903D7F"/>
    <w:rsid w:val="00905944"/>
    <w:rsid w:val="00913BE5"/>
    <w:rsid w:val="009154F3"/>
    <w:rsid w:val="009162DA"/>
    <w:rsid w:val="00924ADB"/>
    <w:rsid w:val="00930915"/>
    <w:rsid w:val="00941044"/>
    <w:rsid w:val="009421B1"/>
    <w:rsid w:val="00944CC9"/>
    <w:rsid w:val="009519D1"/>
    <w:rsid w:val="00951D35"/>
    <w:rsid w:val="009524DB"/>
    <w:rsid w:val="009638EE"/>
    <w:rsid w:val="0097110E"/>
    <w:rsid w:val="00986320"/>
    <w:rsid w:val="0099480D"/>
    <w:rsid w:val="00994D70"/>
    <w:rsid w:val="009A7118"/>
    <w:rsid w:val="009B067E"/>
    <w:rsid w:val="009B069E"/>
    <w:rsid w:val="009C071C"/>
    <w:rsid w:val="009C5BAB"/>
    <w:rsid w:val="009C7FE4"/>
    <w:rsid w:val="009D1B27"/>
    <w:rsid w:val="009D6D68"/>
    <w:rsid w:val="009D7B1D"/>
    <w:rsid w:val="00A0331E"/>
    <w:rsid w:val="00A05877"/>
    <w:rsid w:val="00A142CC"/>
    <w:rsid w:val="00A218D2"/>
    <w:rsid w:val="00A26639"/>
    <w:rsid w:val="00A27357"/>
    <w:rsid w:val="00A332DA"/>
    <w:rsid w:val="00A4483A"/>
    <w:rsid w:val="00A55496"/>
    <w:rsid w:val="00A6262D"/>
    <w:rsid w:val="00A63D9E"/>
    <w:rsid w:val="00A661A3"/>
    <w:rsid w:val="00A70798"/>
    <w:rsid w:val="00A73734"/>
    <w:rsid w:val="00A73EC9"/>
    <w:rsid w:val="00A7640E"/>
    <w:rsid w:val="00A76F4D"/>
    <w:rsid w:val="00A83787"/>
    <w:rsid w:val="00AD234F"/>
    <w:rsid w:val="00AD7ECA"/>
    <w:rsid w:val="00AE0F13"/>
    <w:rsid w:val="00AE63C8"/>
    <w:rsid w:val="00AF2C96"/>
    <w:rsid w:val="00B17412"/>
    <w:rsid w:val="00B21871"/>
    <w:rsid w:val="00B2312E"/>
    <w:rsid w:val="00B32131"/>
    <w:rsid w:val="00B33588"/>
    <w:rsid w:val="00B357BE"/>
    <w:rsid w:val="00B37FBB"/>
    <w:rsid w:val="00B40A46"/>
    <w:rsid w:val="00B41FF3"/>
    <w:rsid w:val="00B5047A"/>
    <w:rsid w:val="00B62A5B"/>
    <w:rsid w:val="00B64367"/>
    <w:rsid w:val="00B651D0"/>
    <w:rsid w:val="00B707C9"/>
    <w:rsid w:val="00B737B2"/>
    <w:rsid w:val="00B753C9"/>
    <w:rsid w:val="00B800A3"/>
    <w:rsid w:val="00BA5968"/>
    <w:rsid w:val="00BB0894"/>
    <w:rsid w:val="00BB3E19"/>
    <w:rsid w:val="00BB7C2C"/>
    <w:rsid w:val="00BC2A2C"/>
    <w:rsid w:val="00BC591C"/>
    <w:rsid w:val="00BC7ECB"/>
    <w:rsid w:val="00BD32FA"/>
    <w:rsid w:val="00BE1AFD"/>
    <w:rsid w:val="00BE3824"/>
    <w:rsid w:val="00BF12F3"/>
    <w:rsid w:val="00BF4AAF"/>
    <w:rsid w:val="00C03ADE"/>
    <w:rsid w:val="00C051D5"/>
    <w:rsid w:val="00C05B6B"/>
    <w:rsid w:val="00C05ED0"/>
    <w:rsid w:val="00C0602F"/>
    <w:rsid w:val="00C1524A"/>
    <w:rsid w:val="00C24E43"/>
    <w:rsid w:val="00C30A65"/>
    <w:rsid w:val="00C31FF4"/>
    <w:rsid w:val="00C35C85"/>
    <w:rsid w:val="00C3781B"/>
    <w:rsid w:val="00C37C62"/>
    <w:rsid w:val="00C37DCE"/>
    <w:rsid w:val="00C443CD"/>
    <w:rsid w:val="00C46246"/>
    <w:rsid w:val="00C46655"/>
    <w:rsid w:val="00C55803"/>
    <w:rsid w:val="00C55D29"/>
    <w:rsid w:val="00C61D05"/>
    <w:rsid w:val="00C638FE"/>
    <w:rsid w:val="00C644CB"/>
    <w:rsid w:val="00C70840"/>
    <w:rsid w:val="00C7608B"/>
    <w:rsid w:val="00C819A6"/>
    <w:rsid w:val="00C90909"/>
    <w:rsid w:val="00C91EC2"/>
    <w:rsid w:val="00CA06B5"/>
    <w:rsid w:val="00CA23A4"/>
    <w:rsid w:val="00CA3A6B"/>
    <w:rsid w:val="00CA43CC"/>
    <w:rsid w:val="00CB035D"/>
    <w:rsid w:val="00CB13CE"/>
    <w:rsid w:val="00CB17A1"/>
    <w:rsid w:val="00CB217D"/>
    <w:rsid w:val="00CB2D1D"/>
    <w:rsid w:val="00CB6B3B"/>
    <w:rsid w:val="00CC3E36"/>
    <w:rsid w:val="00CC4543"/>
    <w:rsid w:val="00CC48AB"/>
    <w:rsid w:val="00CD0F4B"/>
    <w:rsid w:val="00CD3DA9"/>
    <w:rsid w:val="00CE0033"/>
    <w:rsid w:val="00CE0D22"/>
    <w:rsid w:val="00CE1BED"/>
    <w:rsid w:val="00CE28C8"/>
    <w:rsid w:val="00CE5269"/>
    <w:rsid w:val="00CE57B2"/>
    <w:rsid w:val="00CF2722"/>
    <w:rsid w:val="00CF2850"/>
    <w:rsid w:val="00CF2DD4"/>
    <w:rsid w:val="00CF4777"/>
    <w:rsid w:val="00D00BE5"/>
    <w:rsid w:val="00D03342"/>
    <w:rsid w:val="00D04FE6"/>
    <w:rsid w:val="00D0639F"/>
    <w:rsid w:val="00D15B5C"/>
    <w:rsid w:val="00D245C2"/>
    <w:rsid w:val="00D33289"/>
    <w:rsid w:val="00D35634"/>
    <w:rsid w:val="00D41FF0"/>
    <w:rsid w:val="00D453CA"/>
    <w:rsid w:val="00D47B6E"/>
    <w:rsid w:val="00D65E04"/>
    <w:rsid w:val="00D67E9A"/>
    <w:rsid w:val="00D70A56"/>
    <w:rsid w:val="00D773F9"/>
    <w:rsid w:val="00D809A9"/>
    <w:rsid w:val="00D80AE1"/>
    <w:rsid w:val="00D8438C"/>
    <w:rsid w:val="00D87401"/>
    <w:rsid w:val="00DA005F"/>
    <w:rsid w:val="00DA2ADC"/>
    <w:rsid w:val="00DA408D"/>
    <w:rsid w:val="00DC5170"/>
    <w:rsid w:val="00DC6C31"/>
    <w:rsid w:val="00DD1F9B"/>
    <w:rsid w:val="00DD4D14"/>
    <w:rsid w:val="00DD7345"/>
    <w:rsid w:val="00DD7F22"/>
    <w:rsid w:val="00DE05D4"/>
    <w:rsid w:val="00DE666B"/>
    <w:rsid w:val="00DE6D93"/>
    <w:rsid w:val="00DE7A38"/>
    <w:rsid w:val="00DF5352"/>
    <w:rsid w:val="00E015B5"/>
    <w:rsid w:val="00E0384C"/>
    <w:rsid w:val="00E052C3"/>
    <w:rsid w:val="00E104D2"/>
    <w:rsid w:val="00E11D57"/>
    <w:rsid w:val="00E136C0"/>
    <w:rsid w:val="00E1622A"/>
    <w:rsid w:val="00E20BE5"/>
    <w:rsid w:val="00E22F2E"/>
    <w:rsid w:val="00E2373A"/>
    <w:rsid w:val="00E31430"/>
    <w:rsid w:val="00E326BA"/>
    <w:rsid w:val="00E44BFE"/>
    <w:rsid w:val="00E45082"/>
    <w:rsid w:val="00E518E3"/>
    <w:rsid w:val="00E51A81"/>
    <w:rsid w:val="00E55742"/>
    <w:rsid w:val="00E635AB"/>
    <w:rsid w:val="00E6646D"/>
    <w:rsid w:val="00E679C6"/>
    <w:rsid w:val="00E70F18"/>
    <w:rsid w:val="00E73726"/>
    <w:rsid w:val="00E74FB5"/>
    <w:rsid w:val="00E9078F"/>
    <w:rsid w:val="00EA0D3B"/>
    <w:rsid w:val="00EA4CDB"/>
    <w:rsid w:val="00EA6706"/>
    <w:rsid w:val="00EB17B6"/>
    <w:rsid w:val="00EB3949"/>
    <w:rsid w:val="00EB4C32"/>
    <w:rsid w:val="00ED1259"/>
    <w:rsid w:val="00ED16B4"/>
    <w:rsid w:val="00EE2E2A"/>
    <w:rsid w:val="00EE6120"/>
    <w:rsid w:val="00EF0216"/>
    <w:rsid w:val="00EF7093"/>
    <w:rsid w:val="00F0049D"/>
    <w:rsid w:val="00F0183A"/>
    <w:rsid w:val="00F05DDA"/>
    <w:rsid w:val="00F1439B"/>
    <w:rsid w:val="00F14EA5"/>
    <w:rsid w:val="00F15205"/>
    <w:rsid w:val="00F17E23"/>
    <w:rsid w:val="00F21872"/>
    <w:rsid w:val="00F2443D"/>
    <w:rsid w:val="00F26EF9"/>
    <w:rsid w:val="00F53A2C"/>
    <w:rsid w:val="00F562CB"/>
    <w:rsid w:val="00F57DBF"/>
    <w:rsid w:val="00F57F69"/>
    <w:rsid w:val="00F62BBF"/>
    <w:rsid w:val="00F66F2C"/>
    <w:rsid w:val="00F709C1"/>
    <w:rsid w:val="00F83391"/>
    <w:rsid w:val="00F940F5"/>
    <w:rsid w:val="00F947CB"/>
    <w:rsid w:val="00FA38AC"/>
    <w:rsid w:val="00FB269B"/>
    <w:rsid w:val="00FB3FBA"/>
    <w:rsid w:val="00FB63E1"/>
    <w:rsid w:val="00FC73D4"/>
    <w:rsid w:val="00FD02B1"/>
    <w:rsid w:val="00FD05FD"/>
    <w:rsid w:val="00FD0C14"/>
    <w:rsid w:val="00FD4047"/>
    <w:rsid w:val="00FE3A2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A428"/>
  <w15:chartTrackingRefBased/>
  <w15:docId w15:val="{8895AF92-D698-4F36-85B6-6CD9628C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61F"/>
    <w:pPr>
      <w:spacing w:after="0" w:line="360" w:lineRule="auto"/>
      <w:ind w:left="360" w:hanging="360"/>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F11"/>
    <w:pPr>
      <w:ind w:left="720"/>
      <w:contextualSpacing/>
    </w:pPr>
  </w:style>
  <w:style w:type="paragraph" w:styleId="Header">
    <w:name w:val="header"/>
    <w:basedOn w:val="Normal"/>
    <w:link w:val="HeaderChar"/>
    <w:uiPriority w:val="99"/>
    <w:unhideWhenUsed/>
    <w:rsid w:val="00665272"/>
    <w:pPr>
      <w:tabs>
        <w:tab w:val="center" w:pos="4680"/>
        <w:tab w:val="right" w:pos="9360"/>
      </w:tabs>
      <w:spacing w:line="240" w:lineRule="auto"/>
    </w:pPr>
  </w:style>
  <w:style w:type="character" w:customStyle="1" w:styleId="HeaderChar">
    <w:name w:val="Header Char"/>
    <w:basedOn w:val="DefaultParagraphFont"/>
    <w:link w:val="Header"/>
    <w:uiPriority w:val="99"/>
    <w:rsid w:val="00665272"/>
    <w:rPr>
      <w:rFonts w:ascii="Arial" w:hAnsi="Arial"/>
      <w:sz w:val="24"/>
    </w:rPr>
  </w:style>
  <w:style w:type="paragraph" w:styleId="Footer">
    <w:name w:val="footer"/>
    <w:basedOn w:val="Normal"/>
    <w:link w:val="FooterChar"/>
    <w:uiPriority w:val="99"/>
    <w:unhideWhenUsed/>
    <w:rsid w:val="00665272"/>
    <w:pPr>
      <w:tabs>
        <w:tab w:val="center" w:pos="4680"/>
        <w:tab w:val="right" w:pos="9360"/>
      </w:tabs>
      <w:spacing w:line="240" w:lineRule="auto"/>
    </w:pPr>
  </w:style>
  <w:style w:type="character" w:customStyle="1" w:styleId="FooterChar">
    <w:name w:val="Footer Char"/>
    <w:basedOn w:val="DefaultParagraphFont"/>
    <w:link w:val="Footer"/>
    <w:uiPriority w:val="99"/>
    <w:rsid w:val="00665272"/>
    <w:rPr>
      <w:rFonts w:ascii="Arial" w:hAnsi="Arial"/>
      <w:sz w:val="24"/>
    </w:rPr>
  </w:style>
  <w:style w:type="paragraph" w:styleId="BalloonText">
    <w:name w:val="Balloon Text"/>
    <w:basedOn w:val="Normal"/>
    <w:link w:val="BalloonTextChar"/>
    <w:uiPriority w:val="99"/>
    <w:semiHidden/>
    <w:unhideWhenUsed/>
    <w:rsid w:val="006652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272"/>
    <w:rPr>
      <w:rFonts w:ascii="Segoe UI" w:hAnsi="Segoe UI" w:cs="Segoe UI"/>
      <w:sz w:val="18"/>
      <w:szCs w:val="18"/>
    </w:rPr>
  </w:style>
  <w:style w:type="paragraph" w:styleId="NoSpacing">
    <w:name w:val="No Spacing"/>
    <w:uiPriority w:val="1"/>
    <w:qFormat/>
    <w:rsid w:val="00F0049D"/>
    <w:pPr>
      <w:spacing w:after="0" w:line="240" w:lineRule="auto"/>
    </w:pPr>
    <w:rPr>
      <w:rFonts w:ascii="Calibri" w:eastAsia="Times New Roman" w:hAnsi="Calibri" w:cs="Times New Roman"/>
      <w:lang w:val="en-ZA"/>
    </w:rPr>
  </w:style>
  <w:style w:type="character" w:styleId="Hyperlink">
    <w:name w:val="Hyperlink"/>
    <w:basedOn w:val="DefaultParagraphFont"/>
    <w:uiPriority w:val="99"/>
    <w:unhideWhenUsed/>
    <w:rsid w:val="0087228E"/>
    <w:rPr>
      <w:color w:val="0563C1" w:themeColor="hyperlink"/>
      <w:u w:val="single"/>
    </w:rPr>
  </w:style>
  <w:style w:type="paragraph" w:styleId="FootnoteText">
    <w:name w:val="footnote text"/>
    <w:basedOn w:val="Normal"/>
    <w:link w:val="FootnoteTextChar"/>
    <w:uiPriority w:val="99"/>
    <w:semiHidden/>
    <w:unhideWhenUsed/>
    <w:rsid w:val="00735C38"/>
    <w:pPr>
      <w:spacing w:line="240" w:lineRule="auto"/>
    </w:pPr>
    <w:rPr>
      <w:sz w:val="20"/>
      <w:szCs w:val="20"/>
    </w:rPr>
  </w:style>
  <w:style w:type="character" w:customStyle="1" w:styleId="FootnoteTextChar">
    <w:name w:val="Footnote Text Char"/>
    <w:basedOn w:val="DefaultParagraphFont"/>
    <w:link w:val="FootnoteText"/>
    <w:uiPriority w:val="99"/>
    <w:semiHidden/>
    <w:rsid w:val="00735C38"/>
    <w:rPr>
      <w:rFonts w:ascii="Arial" w:hAnsi="Arial"/>
      <w:sz w:val="20"/>
      <w:szCs w:val="20"/>
    </w:rPr>
  </w:style>
  <w:style w:type="character" w:styleId="FootnoteReference">
    <w:name w:val="footnote reference"/>
    <w:basedOn w:val="DefaultParagraphFont"/>
    <w:uiPriority w:val="99"/>
    <w:semiHidden/>
    <w:unhideWhenUsed/>
    <w:rsid w:val="00735C38"/>
    <w:rPr>
      <w:vertAlign w:val="superscript"/>
    </w:rPr>
  </w:style>
  <w:style w:type="character" w:customStyle="1" w:styleId="footnoteanchor">
    <w:name w:val="footnoteanchor"/>
    <w:basedOn w:val="DefaultParagraphFont"/>
    <w:rsid w:val="00653CCD"/>
  </w:style>
  <w:style w:type="character" w:styleId="CommentReference">
    <w:name w:val="annotation reference"/>
    <w:basedOn w:val="DefaultParagraphFont"/>
    <w:uiPriority w:val="99"/>
    <w:semiHidden/>
    <w:unhideWhenUsed/>
    <w:rsid w:val="000C5C07"/>
    <w:rPr>
      <w:sz w:val="16"/>
      <w:szCs w:val="16"/>
    </w:rPr>
  </w:style>
  <w:style w:type="paragraph" w:styleId="CommentText">
    <w:name w:val="annotation text"/>
    <w:basedOn w:val="Normal"/>
    <w:link w:val="CommentTextChar"/>
    <w:uiPriority w:val="99"/>
    <w:unhideWhenUsed/>
    <w:rsid w:val="000C5C07"/>
    <w:pPr>
      <w:spacing w:line="240" w:lineRule="auto"/>
    </w:pPr>
    <w:rPr>
      <w:sz w:val="20"/>
      <w:szCs w:val="20"/>
    </w:rPr>
  </w:style>
  <w:style w:type="character" w:customStyle="1" w:styleId="CommentTextChar">
    <w:name w:val="Comment Text Char"/>
    <w:basedOn w:val="DefaultParagraphFont"/>
    <w:link w:val="CommentText"/>
    <w:uiPriority w:val="99"/>
    <w:rsid w:val="000C5C07"/>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0C5C07"/>
    <w:rPr>
      <w:b/>
      <w:bCs/>
    </w:rPr>
  </w:style>
  <w:style w:type="character" w:customStyle="1" w:styleId="CommentSubjectChar">
    <w:name w:val="Comment Subject Char"/>
    <w:basedOn w:val="CommentTextChar"/>
    <w:link w:val="CommentSubject"/>
    <w:uiPriority w:val="99"/>
    <w:semiHidden/>
    <w:rsid w:val="000C5C07"/>
    <w:rPr>
      <w:rFonts w:ascii="Arial" w:hAnsi="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039001">
      <w:bodyDiv w:val="1"/>
      <w:marLeft w:val="0"/>
      <w:marRight w:val="0"/>
      <w:marTop w:val="0"/>
      <w:marBottom w:val="0"/>
      <w:divBdr>
        <w:top w:val="none" w:sz="0" w:space="0" w:color="auto"/>
        <w:left w:val="none" w:sz="0" w:space="0" w:color="auto"/>
        <w:bottom w:val="none" w:sz="0" w:space="0" w:color="auto"/>
        <w:right w:val="none" w:sz="0" w:space="0" w:color="auto"/>
      </w:divBdr>
      <w:divsChild>
        <w:div w:id="316112734">
          <w:marLeft w:val="0"/>
          <w:marRight w:val="0"/>
          <w:marTop w:val="60"/>
          <w:marBottom w:val="0"/>
          <w:divBdr>
            <w:top w:val="none" w:sz="0" w:space="0" w:color="auto"/>
            <w:left w:val="none" w:sz="0" w:space="0" w:color="auto"/>
            <w:bottom w:val="none" w:sz="0" w:space="0" w:color="auto"/>
            <w:right w:val="none" w:sz="0" w:space="0" w:color="auto"/>
          </w:divBdr>
        </w:div>
        <w:div w:id="1939408540">
          <w:marLeft w:val="851"/>
          <w:marRight w:val="0"/>
          <w:marTop w:val="60"/>
          <w:marBottom w:val="0"/>
          <w:divBdr>
            <w:top w:val="none" w:sz="0" w:space="0" w:color="auto"/>
            <w:left w:val="none" w:sz="0" w:space="0" w:color="auto"/>
            <w:bottom w:val="none" w:sz="0" w:space="0" w:color="auto"/>
            <w:right w:val="none" w:sz="0" w:space="0" w:color="auto"/>
          </w:divBdr>
        </w:div>
        <w:div w:id="516383874">
          <w:marLeft w:val="0"/>
          <w:marRight w:val="0"/>
          <w:marTop w:val="20"/>
          <w:marBottom w:val="20"/>
          <w:divBdr>
            <w:top w:val="none" w:sz="0" w:space="0" w:color="auto"/>
            <w:left w:val="none" w:sz="0" w:space="0" w:color="auto"/>
            <w:bottom w:val="none" w:sz="0" w:space="0" w:color="auto"/>
            <w:right w:val="none" w:sz="0" w:space="0" w:color="auto"/>
          </w:divBdr>
        </w:div>
        <w:div w:id="8457042">
          <w:marLeft w:val="851"/>
          <w:marRight w:val="0"/>
          <w:marTop w:val="60"/>
          <w:marBottom w:val="0"/>
          <w:divBdr>
            <w:top w:val="none" w:sz="0" w:space="0" w:color="auto"/>
            <w:left w:val="none" w:sz="0" w:space="0" w:color="auto"/>
            <w:bottom w:val="none" w:sz="0" w:space="0" w:color="auto"/>
            <w:right w:val="none" w:sz="0" w:space="0" w:color="auto"/>
          </w:divBdr>
        </w:div>
        <w:div w:id="1492526565">
          <w:marLeft w:val="851"/>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FA3BA-4754-4625-8A1C-9C030B73B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3780</Words>
  <Characters>21551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Vuyokazi Tsana</dc:creator>
  <cp:keywords/>
  <dc:description/>
  <cp:lastModifiedBy>Lilitha Mdleleni</cp:lastModifiedBy>
  <cp:revision>3</cp:revision>
  <cp:lastPrinted>2023-11-29T08:43:00Z</cp:lastPrinted>
  <dcterms:created xsi:type="dcterms:W3CDTF">2023-12-06T12:37:00Z</dcterms:created>
  <dcterms:modified xsi:type="dcterms:W3CDTF">2023-12-09T14:54:00Z</dcterms:modified>
</cp:coreProperties>
</file>