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C439" w14:textId="77777777" w:rsidR="00E32765" w:rsidRPr="0086114B" w:rsidRDefault="00E32765" w:rsidP="00E32765">
      <w:pPr>
        <w:spacing w:line="480" w:lineRule="auto"/>
        <w:jc w:val="center"/>
        <w:rPr>
          <w:rFonts w:ascii="Arial" w:hAnsi="Arial" w:cs="Arial"/>
          <w:b/>
          <w:bCs/>
          <w:sz w:val="24"/>
          <w:szCs w:val="24"/>
          <w:lang w:val="en-US"/>
        </w:rPr>
      </w:pPr>
      <w:r w:rsidRPr="0086114B">
        <w:rPr>
          <w:rFonts w:ascii="Arial" w:hAnsi="Arial" w:cs="Arial"/>
          <w:noProof/>
          <w:lang w:eastAsia="en-ZA"/>
        </w:rPr>
        <w:drawing>
          <wp:inline distT="0" distB="0" distL="0" distR="0" wp14:anchorId="3D600B4D" wp14:editId="289E60A4">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3C9E94BA" w14:textId="77777777" w:rsidR="00E32765" w:rsidRPr="0086114B" w:rsidRDefault="00E32765" w:rsidP="00E32765">
      <w:pPr>
        <w:spacing w:line="276" w:lineRule="auto"/>
        <w:jc w:val="center"/>
        <w:rPr>
          <w:rFonts w:ascii="Arial" w:hAnsi="Arial" w:cs="Arial"/>
          <w:b/>
          <w:bCs/>
          <w:sz w:val="24"/>
          <w:szCs w:val="24"/>
          <w:lang w:val="en-US"/>
        </w:rPr>
      </w:pPr>
      <w:r w:rsidRPr="0086114B">
        <w:rPr>
          <w:rFonts w:ascii="Arial" w:hAnsi="Arial" w:cs="Arial"/>
          <w:b/>
          <w:bCs/>
          <w:sz w:val="24"/>
          <w:szCs w:val="24"/>
          <w:lang w:val="en-US"/>
        </w:rPr>
        <w:t>IN THE HIGH COURT OF SOUTH AFRICA</w:t>
      </w:r>
    </w:p>
    <w:p w14:paraId="2ABC6B21" w14:textId="77777777" w:rsidR="00E32765" w:rsidRPr="0086114B" w:rsidRDefault="00E32765" w:rsidP="00E32765">
      <w:pPr>
        <w:spacing w:line="276" w:lineRule="auto"/>
        <w:jc w:val="center"/>
        <w:rPr>
          <w:rFonts w:ascii="Arial" w:hAnsi="Arial" w:cs="Arial"/>
          <w:b/>
          <w:bCs/>
          <w:sz w:val="24"/>
          <w:szCs w:val="24"/>
          <w:lang w:val="en-US"/>
        </w:rPr>
      </w:pPr>
      <w:r w:rsidRPr="0086114B">
        <w:rPr>
          <w:rFonts w:ascii="Arial" w:hAnsi="Arial" w:cs="Arial"/>
          <w:b/>
          <w:bCs/>
          <w:sz w:val="24"/>
          <w:szCs w:val="24"/>
          <w:lang w:val="en-US"/>
        </w:rPr>
        <w:t xml:space="preserve">[EASTERN CAPE DIVISION, </w:t>
      </w:r>
      <w:r>
        <w:rPr>
          <w:rFonts w:ascii="Arial" w:hAnsi="Arial" w:cs="Arial"/>
          <w:b/>
          <w:bCs/>
          <w:sz w:val="24"/>
          <w:szCs w:val="24"/>
          <w:lang w:val="en-US"/>
        </w:rPr>
        <w:t>EAST LONDON CIRCUIT COURT</w:t>
      </w:r>
      <w:r w:rsidRPr="0086114B">
        <w:rPr>
          <w:rFonts w:ascii="Arial" w:hAnsi="Arial" w:cs="Arial"/>
          <w:b/>
          <w:bCs/>
          <w:sz w:val="24"/>
          <w:szCs w:val="24"/>
          <w:lang w:val="en-US"/>
        </w:rPr>
        <w:t>]</w:t>
      </w:r>
    </w:p>
    <w:p w14:paraId="3CB2445C" w14:textId="6F39CE02" w:rsidR="00E32765" w:rsidRPr="00E32765" w:rsidRDefault="00E32765" w:rsidP="00E32765">
      <w:pPr>
        <w:spacing w:line="240" w:lineRule="auto"/>
        <w:jc w:val="right"/>
        <w:rPr>
          <w:rFonts w:ascii="Calibri" w:eastAsia="Times New Roman" w:hAnsi="Calibri" w:cs="Calibri"/>
          <w:color w:val="000000"/>
          <w:kern w:val="0"/>
          <w:lang w:eastAsia="en-ZA"/>
          <w14:ligatures w14:val="none"/>
        </w:rPr>
      </w:pPr>
      <w:r w:rsidRPr="0086114B">
        <w:rPr>
          <w:rFonts w:ascii="Arial" w:hAnsi="Arial" w:cs="Arial"/>
          <w:b/>
          <w:bCs/>
          <w:sz w:val="24"/>
          <w:szCs w:val="24"/>
          <w:lang w:val="en-US"/>
        </w:rPr>
        <w:t>CASE NO.:</w:t>
      </w:r>
      <w:r>
        <w:rPr>
          <w:rFonts w:ascii="Arial" w:hAnsi="Arial" w:cs="Arial"/>
          <w:b/>
          <w:bCs/>
          <w:sz w:val="24"/>
          <w:szCs w:val="24"/>
          <w:lang w:val="en-US"/>
        </w:rPr>
        <w:t xml:space="preserve"> </w:t>
      </w:r>
      <w:r w:rsidRPr="00E32765">
        <w:rPr>
          <w:rFonts w:ascii="Arial" w:eastAsia="Times New Roman" w:hAnsi="Arial" w:cs="Arial"/>
          <w:b/>
          <w:bCs/>
          <w:color w:val="000000"/>
          <w:kern w:val="0"/>
          <w:sz w:val="24"/>
          <w:szCs w:val="24"/>
          <w:lang w:eastAsia="en-ZA"/>
          <w14:ligatures w14:val="none"/>
        </w:rPr>
        <w:t>EL1685/2023</w:t>
      </w:r>
    </w:p>
    <w:p w14:paraId="19669660" w14:textId="58286163" w:rsidR="00E32765" w:rsidRPr="0086114B" w:rsidRDefault="00E32765" w:rsidP="00E32765">
      <w:pPr>
        <w:spacing w:line="240" w:lineRule="auto"/>
        <w:jc w:val="right"/>
        <w:rPr>
          <w:rFonts w:ascii="Arial" w:hAnsi="Arial" w:cs="Arial"/>
          <w:b/>
          <w:bCs/>
          <w:sz w:val="24"/>
          <w:szCs w:val="24"/>
          <w:lang w:val="en-US"/>
        </w:rPr>
      </w:pPr>
    </w:p>
    <w:p w14:paraId="0FA39BFF" w14:textId="77777777" w:rsidR="00E32765" w:rsidRDefault="00E32765" w:rsidP="00E32765">
      <w:pPr>
        <w:spacing w:line="240" w:lineRule="auto"/>
        <w:jc w:val="both"/>
        <w:rPr>
          <w:rFonts w:ascii="Arial" w:hAnsi="Arial" w:cs="Arial"/>
          <w:sz w:val="24"/>
          <w:szCs w:val="24"/>
          <w:lang w:val="en-US"/>
        </w:rPr>
      </w:pPr>
      <w:r w:rsidRPr="0086114B">
        <w:rPr>
          <w:rFonts w:ascii="Arial" w:hAnsi="Arial" w:cs="Arial"/>
          <w:sz w:val="24"/>
          <w:szCs w:val="24"/>
          <w:lang w:val="en-US"/>
        </w:rPr>
        <w:t>In the matter between: -</w:t>
      </w:r>
    </w:p>
    <w:p w14:paraId="12A4452E" w14:textId="77777777" w:rsidR="00E32765" w:rsidRPr="0086114B" w:rsidRDefault="00E32765" w:rsidP="00E32765">
      <w:pPr>
        <w:spacing w:line="240" w:lineRule="auto"/>
        <w:jc w:val="both"/>
        <w:rPr>
          <w:rFonts w:ascii="Arial" w:hAnsi="Arial" w:cs="Arial"/>
          <w:b/>
          <w:bCs/>
          <w:sz w:val="24"/>
          <w:szCs w:val="24"/>
          <w:lang w:val="en-US"/>
        </w:rPr>
      </w:pPr>
    </w:p>
    <w:p w14:paraId="17D7C379" w14:textId="621FAA82" w:rsid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r w:rsidRPr="00E32765">
        <w:rPr>
          <w:rFonts w:ascii="Arial" w:eastAsia="Times New Roman" w:hAnsi="Arial" w:cs="Arial"/>
          <w:b/>
          <w:bCs/>
          <w:color w:val="000000"/>
          <w:kern w:val="0"/>
          <w:sz w:val="24"/>
          <w:szCs w:val="24"/>
          <w:lang w:eastAsia="en-ZA"/>
          <w14:ligatures w14:val="none"/>
        </w:rPr>
        <w:t xml:space="preserve">MAGQABI S.Z ATTORNEYS </w:t>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sidR="007614F8">
        <w:rPr>
          <w:rFonts w:ascii="Arial" w:eastAsia="Times New Roman" w:hAnsi="Arial" w:cs="Arial"/>
          <w:b/>
          <w:bCs/>
          <w:color w:val="000000"/>
          <w:kern w:val="0"/>
          <w:sz w:val="24"/>
          <w:szCs w:val="24"/>
          <w:lang w:eastAsia="en-ZA"/>
          <w14:ligatures w14:val="none"/>
        </w:rPr>
        <w:t>1</w:t>
      </w:r>
      <w:r w:rsidR="007614F8">
        <w:rPr>
          <w:rFonts w:ascii="Arial" w:eastAsia="Times New Roman" w:hAnsi="Arial" w:cs="Arial"/>
          <w:b/>
          <w:bCs/>
          <w:color w:val="000000"/>
          <w:kern w:val="0"/>
          <w:sz w:val="24"/>
          <w:szCs w:val="24"/>
          <w:vertAlign w:val="superscript"/>
          <w:lang w:eastAsia="en-ZA"/>
          <w14:ligatures w14:val="none"/>
        </w:rPr>
        <w:t xml:space="preserve">ST </w:t>
      </w:r>
      <w:r>
        <w:rPr>
          <w:rFonts w:ascii="Arial" w:eastAsia="Times New Roman" w:hAnsi="Arial" w:cs="Arial"/>
          <w:b/>
          <w:bCs/>
          <w:color w:val="000000"/>
          <w:kern w:val="0"/>
          <w:sz w:val="24"/>
          <w:szCs w:val="24"/>
          <w:lang w:eastAsia="en-ZA"/>
          <w14:ligatures w14:val="none"/>
        </w:rPr>
        <w:t>APPLICANT</w:t>
      </w:r>
    </w:p>
    <w:p w14:paraId="07E109C7" w14:textId="77777777" w:rsidR="007614F8" w:rsidRDefault="007614F8" w:rsidP="00E32765">
      <w:pPr>
        <w:spacing w:after="0" w:line="240" w:lineRule="auto"/>
        <w:jc w:val="both"/>
        <w:rPr>
          <w:rFonts w:ascii="Arial" w:eastAsia="Times New Roman" w:hAnsi="Arial" w:cs="Arial"/>
          <w:b/>
          <w:bCs/>
          <w:color w:val="000000"/>
          <w:kern w:val="0"/>
          <w:sz w:val="24"/>
          <w:szCs w:val="24"/>
          <w:lang w:eastAsia="en-ZA"/>
          <w14:ligatures w14:val="none"/>
        </w:rPr>
      </w:pPr>
    </w:p>
    <w:p w14:paraId="530EC07B" w14:textId="6A9B03D3" w:rsidR="007614F8" w:rsidRPr="00E32765" w:rsidRDefault="007614F8" w:rsidP="00E32765">
      <w:pPr>
        <w:spacing w:after="0" w:line="240" w:lineRule="auto"/>
        <w:jc w:val="both"/>
        <w:rPr>
          <w:rFonts w:ascii="Arial" w:eastAsia="Times New Roman" w:hAnsi="Arial" w:cs="Arial"/>
          <w:b/>
          <w:bCs/>
          <w:color w:val="000000"/>
          <w:kern w:val="0"/>
          <w:sz w:val="24"/>
          <w:szCs w:val="24"/>
          <w:lang w:eastAsia="en-ZA"/>
          <w14:ligatures w14:val="none"/>
        </w:rPr>
      </w:pPr>
      <w:r>
        <w:rPr>
          <w:rFonts w:ascii="Arial" w:eastAsia="Times New Roman" w:hAnsi="Arial" w:cs="Arial"/>
          <w:b/>
          <w:bCs/>
          <w:color w:val="000000"/>
          <w:kern w:val="0"/>
          <w:sz w:val="24"/>
          <w:szCs w:val="24"/>
          <w:lang w:eastAsia="en-ZA"/>
          <w14:ligatures w14:val="none"/>
        </w:rPr>
        <w:t>VUYISILE PYTHAGORAS MAGQABI</w:t>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t>2</w:t>
      </w:r>
      <w:r w:rsidRPr="007614F8">
        <w:rPr>
          <w:rFonts w:ascii="Arial" w:eastAsia="Times New Roman" w:hAnsi="Arial" w:cs="Arial"/>
          <w:b/>
          <w:bCs/>
          <w:color w:val="000000"/>
          <w:kern w:val="0"/>
          <w:sz w:val="24"/>
          <w:szCs w:val="24"/>
          <w:vertAlign w:val="superscript"/>
          <w:lang w:eastAsia="en-ZA"/>
          <w14:ligatures w14:val="none"/>
        </w:rPr>
        <w:t>ND</w:t>
      </w:r>
      <w:r>
        <w:rPr>
          <w:rFonts w:ascii="Arial" w:eastAsia="Times New Roman" w:hAnsi="Arial" w:cs="Arial"/>
          <w:b/>
          <w:bCs/>
          <w:color w:val="000000"/>
          <w:kern w:val="0"/>
          <w:sz w:val="24"/>
          <w:szCs w:val="24"/>
          <w:lang w:eastAsia="en-ZA"/>
          <w14:ligatures w14:val="none"/>
        </w:rPr>
        <w:t xml:space="preserve"> APPLICANT</w:t>
      </w:r>
    </w:p>
    <w:p w14:paraId="0DB79D2D" w14:textId="77777777" w:rsidR="00E32765" w:rsidRP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p>
    <w:p w14:paraId="10246556" w14:textId="77777777" w:rsidR="00363215" w:rsidRDefault="00363215" w:rsidP="00E32765">
      <w:pPr>
        <w:spacing w:after="0" w:line="240" w:lineRule="auto"/>
        <w:jc w:val="both"/>
        <w:rPr>
          <w:rFonts w:ascii="Arial" w:eastAsia="Times New Roman" w:hAnsi="Arial" w:cs="Arial"/>
          <w:b/>
          <w:bCs/>
          <w:color w:val="000000"/>
          <w:kern w:val="0"/>
          <w:sz w:val="24"/>
          <w:szCs w:val="24"/>
          <w:lang w:eastAsia="en-ZA"/>
          <w14:ligatures w14:val="none"/>
        </w:rPr>
      </w:pPr>
    </w:p>
    <w:p w14:paraId="49C57174" w14:textId="20239553" w:rsid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r w:rsidRPr="00E32765">
        <w:rPr>
          <w:rFonts w:ascii="Arial" w:eastAsia="Times New Roman" w:hAnsi="Arial" w:cs="Arial"/>
          <w:b/>
          <w:bCs/>
          <w:color w:val="000000"/>
          <w:kern w:val="0"/>
          <w:sz w:val="24"/>
          <w:szCs w:val="24"/>
          <w:lang w:eastAsia="en-ZA"/>
          <w14:ligatures w14:val="none"/>
        </w:rPr>
        <w:t>A</w:t>
      </w:r>
      <w:r w:rsidR="001414D7">
        <w:rPr>
          <w:rFonts w:ascii="Arial" w:eastAsia="Times New Roman" w:hAnsi="Arial" w:cs="Arial"/>
          <w:b/>
          <w:bCs/>
          <w:color w:val="000000"/>
          <w:kern w:val="0"/>
          <w:sz w:val="24"/>
          <w:szCs w:val="24"/>
          <w:lang w:eastAsia="en-ZA"/>
          <w14:ligatures w14:val="none"/>
        </w:rPr>
        <w:t>nd</w:t>
      </w:r>
    </w:p>
    <w:p w14:paraId="149480F3" w14:textId="77777777" w:rsidR="00363215" w:rsidRPr="00E32765" w:rsidRDefault="00363215" w:rsidP="00E32765">
      <w:pPr>
        <w:spacing w:after="0" w:line="240" w:lineRule="auto"/>
        <w:jc w:val="both"/>
        <w:rPr>
          <w:rFonts w:ascii="Arial" w:eastAsia="Times New Roman" w:hAnsi="Arial" w:cs="Arial"/>
          <w:b/>
          <w:bCs/>
          <w:color w:val="000000"/>
          <w:kern w:val="0"/>
          <w:sz w:val="24"/>
          <w:szCs w:val="24"/>
          <w:lang w:eastAsia="en-ZA"/>
          <w14:ligatures w14:val="none"/>
        </w:rPr>
      </w:pPr>
    </w:p>
    <w:p w14:paraId="7BA9B0C3" w14:textId="77777777" w:rsidR="00E32765" w:rsidRP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p>
    <w:p w14:paraId="20878A2B" w14:textId="7C263933" w:rsid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r w:rsidRPr="00E32765">
        <w:rPr>
          <w:rFonts w:ascii="Arial" w:eastAsia="Times New Roman" w:hAnsi="Arial" w:cs="Arial"/>
          <w:b/>
          <w:bCs/>
          <w:color w:val="000000"/>
          <w:kern w:val="0"/>
          <w:sz w:val="24"/>
          <w:szCs w:val="24"/>
          <w:lang w:eastAsia="en-ZA"/>
          <w14:ligatures w14:val="none"/>
        </w:rPr>
        <w:t>ASISIPHO NTANTISO</w:t>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r>
      <w:r>
        <w:rPr>
          <w:rFonts w:ascii="Arial" w:eastAsia="Times New Roman" w:hAnsi="Arial" w:cs="Arial"/>
          <w:b/>
          <w:bCs/>
          <w:color w:val="000000"/>
          <w:kern w:val="0"/>
          <w:sz w:val="24"/>
          <w:szCs w:val="24"/>
          <w:lang w:eastAsia="en-ZA"/>
          <w14:ligatures w14:val="none"/>
        </w:rPr>
        <w:tab/>
        <w:t xml:space="preserve">       1</w:t>
      </w:r>
      <w:r w:rsidRPr="00E32765">
        <w:rPr>
          <w:rFonts w:ascii="Arial" w:eastAsia="Times New Roman" w:hAnsi="Arial" w:cs="Arial"/>
          <w:b/>
          <w:bCs/>
          <w:color w:val="000000"/>
          <w:kern w:val="0"/>
          <w:sz w:val="24"/>
          <w:szCs w:val="24"/>
          <w:vertAlign w:val="superscript"/>
          <w:lang w:eastAsia="en-ZA"/>
          <w14:ligatures w14:val="none"/>
        </w:rPr>
        <w:t>ST</w:t>
      </w:r>
      <w:r>
        <w:rPr>
          <w:rFonts w:ascii="Arial" w:eastAsia="Times New Roman" w:hAnsi="Arial" w:cs="Arial"/>
          <w:b/>
          <w:bCs/>
          <w:color w:val="000000"/>
          <w:kern w:val="0"/>
          <w:sz w:val="24"/>
          <w:szCs w:val="24"/>
          <w:lang w:eastAsia="en-ZA"/>
          <w14:ligatures w14:val="none"/>
        </w:rPr>
        <w:t xml:space="preserve"> RESPONDENT</w:t>
      </w:r>
      <w:r w:rsidRPr="00E32765">
        <w:rPr>
          <w:rFonts w:ascii="Arial" w:eastAsia="Times New Roman" w:hAnsi="Arial" w:cs="Arial"/>
          <w:b/>
          <w:bCs/>
          <w:color w:val="000000"/>
          <w:kern w:val="0"/>
          <w:sz w:val="24"/>
          <w:szCs w:val="24"/>
          <w:lang w:eastAsia="en-ZA"/>
          <w14:ligatures w14:val="none"/>
        </w:rPr>
        <w:t xml:space="preserve"> </w:t>
      </w:r>
    </w:p>
    <w:p w14:paraId="34827469" w14:textId="77777777" w:rsid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p>
    <w:p w14:paraId="490E86DB" w14:textId="77777777" w:rsidR="00E32765" w:rsidRDefault="00E32765" w:rsidP="00E32765">
      <w:pPr>
        <w:spacing w:after="0" w:line="240" w:lineRule="auto"/>
        <w:jc w:val="both"/>
        <w:rPr>
          <w:rFonts w:ascii="Arial" w:eastAsia="Times New Roman" w:hAnsi="Arial" w:cs="Arial"/>
          <w:b/>
          <w:bCs/>
          <w:color w:val="000000"/>
          <w:kern w:val="0"/>
          <w:sz w:val="24"/>
          <w:szCs w:val="24"/>
          <w:lang w:eastAsia="en-ZA"/>
          <w14:ligatures w14:val="none"/>
        </w:rPr>
      </w:pPr>
    </w:p>
    <w:p w14:paraId="17117D13" w14:textId="77777777" w:rsidR="007614F8" w:rsidRDefault="007614F8" w:rsidP="00E32765">
      <w:pPr>
        <w:spacing w:after="0" w:line="240" w:lineRule="auto"/>
        <w:jc w:val="both"/>
        <w:rPr>
          <w:rFonts w:ascii="Arial" w:eastAsia="Times New Roman" w:hAnsi="Arial" w:cs="Arial"/>
          <w:b/>
          <w:bCs/>
          <w:color w:val="000000"/>
          <w:kern w:val="0"/>
          <w:sz w:val="24"/>
          <w:szCs w:val="24"/>
          <w:lang w:eastAsia="en-ZA"/>
          <w14:ligatures w14:val="none"/>
        </w:rPr>
      </w:pPr>
      <w:r>
        <w:rPr>
          <w:rFonts w:ascii="Arial" w:eastAsia="Times New Roman" w:hAnsi="Arial" w:cs="Arial"/>
          <w:b/>
          <w:bCs/>
          <w:color w:val="000000"/>
          <w:kern w:val="0"/>
          <w:sz w:val="24"/>
          <w:szCs w:val="24"/>
          <w:lang w:eastAsia="en-ZA"/>
          <w14:ligatures w14:val="none"/>
        </w:rPr>
        <w:t>NOMANDLA NDABENI, THE SHERIFF OF</w:t>
      </w:r>
    </w:p>
    <w:p w14:paraId="2870C768" w14:textId="60CB5F7D" w:rsidR="00E32765" w:rsidRPr="00E32765" w:rsidRDefault="007614F8" w:rsidP="00E32765">
      <w:pPr>
        <w:spacing w:after="0" w:line="240" w:lineRule="auto"/>
        <w:jc w:val="both"/>
        <w:rPr>
          <w:rFonts w:ascii="Arial" w:eastAsia="Times New Roman" w:hAnsi="Arial" w:cs="Arial"/>
          <w:b/>
          <w:bCs/>
          <w:color w:val="000000"/>
          <w:kern w:val="0"/>
          <w:sz w:val="24"/>
          <w:szCs w:val="24"/>
          <w:lang w:eastAsia="en-ZA"/>
          <w14:ligatures w14:val="none"/>
        </w:rPr>
      </w:pPr>
      <w:r>
        <w:rPr>
          <w:rFonts w:ascii="Arial" w:eastAsia="Times New Roman" w:hAnsi="Arial" w:cs="Arial"/>
          <w:b/>
          <w:bCs/>
          <w:color w:val="000000"/>
          <w:kern w:val="0"/>
          <w:sz w:val="24"/>
          <w:szCs w:val="24"/>
          <w:lang w:eastAsia="en-ZA"/>
          <w14:ligatures w14:val="none"/>
        </w:rPr>
        <w:t>THE HIGH COURT, EAST LONDON</w:t>
      </w:r>
      <w:r w:rsidR="00E32765">
        <w:rPr>
          <w:rFonts w:ascii="Arial" w:eastAsia="Times New Roman" w:hAnsi="Arial" w:cs="Arial"/>
          <w:b/>
          <w:bCs/>
          <w:color w:val="000000"/>
          <w:kern w:val="0"/>
          <w:sz w:val="24"/>
          <w:szCs w:val="24"/>
          <w:lang w:eastAsia="en-ZA"/>
          <w14:ligatures w14:val="none"/>
        </w:rPr>
        <w:tab/>
      </w:r>
      <w:r w:rsidR="00E32765">
        <w:rPr>
          <w:rFonts w:ascii="Arial" w:eastAsia="Times New Roman" w:hAnsi="Arial" w:cs="Arial"/>
          <w:b/>
          <w:bCs/>
          <w:color w:val="000000"/>
          <w:kern w:val="0"/>
          <w:sz w:val="24"/>
          <w:szCs w:val="24"/>
          <w:lang w:eastAsia="en-ZA"/>
          <w14:ligatures w14:val="none"/>
        </w:rPr>
        <w:tab/>
      </w:r>
      <w:r w:rsidR="00E32765">
        <w:rPr>
          <w:rFonts w:ascii="Arial" w:eastAsia="Times New Roman" w:hAnsi="Arial" w:cs="Arial"/>
          <w:b/>
          <w:bCs/>
          <w:color w:val="000000"/>
          <w:kern w:val="0"/>
          <w:sz w:val="24"/>
          <w:szCs w:val="24"/>
          <w:lang w:eastAsia="en-ZA"/>
          <w14:ligatures w14:val="none"/>
        </w:rPr>
        <w:tab/>
      </w:r>
      <w:r w:rsidR="00E32765">
        <w:rPr>
          <w:rFonts w:ascii="Arial" w:eastAsia="Times New Roman" w:hAnsi="Arial" w:cs="Arial"/>
          <w:b/>
          <w:bCs/>
          <w:color w:val="000000"/>
          <w:kern w:val="0"/>
          <w:sz w:val="24"/>
          <w:szCs w:val="24"/>
          <w:lang w:eastAsia="en-ZA"/>
          <w14:ligatures w14:val="none"/>
        </w:rPr>
        <w:tab/>
        <w:t xml:space="preserve">      2</w:t>
      </w:r>
      <w:r w:rsidR="00E32765" w:rsidRPr="00E32765">
        <w:rPr>
          <w:rFonts w:ascii="Arial" w:eastAsia="Times New Roman" w:hAnsi="Arial" w:cs="Arial"/>
          <w:b/>
          <w:bCs/>
          <w:color w:val="000000"/>
          <w:kern w:val="0"/>
          <w:sz w:val="24"/>
          <w:szCs w:val="24"/>
          <w:vertAlign w:val="superscript"/>
          <w:lang w:eastAsia="en-ZA"/>
          <w14:ligatures w14:val="none"/>
        </w:rPr>
        <w:t>ND</w:t>
      </w:r>
      <w:r w:rsidR="00E32765">
        <w:rPr>
          <w:rFonts w:ascii="Arial" w:eastAsia="Times New Roman" w:hAnsi="Arial" w:cs="Arial"/>
          <w:b/>
          <w:bCs/>
          <w:color w:val="000000"/>
          <w:kern w:val="0"/>
          <w:sz w:val="24"/>
          <w:szCs w:val="24"/>
          <w:lang w:eastAsia="en-ZA"/>
          <w14:ligatures w14:val="none"/>
        </w:rPr>
        <w:t xml:space="preserve"> RESPONDENT</w:t>
      </w:r>
      <w:r w:rsidR="00E32765">
        <w:rPr>
          <w:rFonts w:ascii="Arial" w:eastAsia="Times New Roman" w:hAnsi="Arial" w:cs="Arial"/>
          <w:b/>
          <w:bCs/>
          <w:color w:val="000000"/>
          <w:kern w:val="0"/>
          <w:sz w:val="24"/>
          <w:szCs w:val="24"/>
          <w:lang w:eastAsia="en-ZA"/>
          <w14:ligatures w14:val="none"/>
        </w:rPr>
        <w:tab/>
      </w:r>
    </w:p>
    <w:p w14:paraId="669053F8" w14:textId="77777777" w:rsidR="00E32765" w:rsidRDefault="00E32765" w:rsidP="00E32765">
      <w:pPr>
        <w:spacing w:line="240" w:lineRule="auto"/>
        <w:jc w:val="both"/>
        <w:rPr>
          <w:rFonts w:ascii="Arial" w:hAnsi="Arial" w:cs="Arial"/>
          <w:b/>
          <w:bCs/>
          <w:sz w:val="24"/>
          <w:szCs w:val="24"/>
          <w:lang w:val="en-US"/>
        </w:rPr>
      </w:pPr>
    </w:p>
    <w:p w14:paraId="6AFDE68A" w14:textId="77777777" w:rsidR="00E32765" w:rsidRDefault="00E32765" w:rsidP="00E32765">
      <w:pPr>
        <w:spacing w:line="240" w:lineRule="auto"/>
        <w:jc w:val="both"/>
        <w:rPr>
          <w:rFonts w:ascii="Arial" w:hAnsi="Arial" w:cs="Arial"/>
          <w:b/>
          <w:bCs/>
          <w:sz w:val="24"/>
          <w:szCs w:val="24"/>
          <w:lang w:val="en-US"/>
        </w:rPr>
      </w:pPr>
    </w:p>
    <w:p w14:paraId="29823A3D" w14:textId="77777777" w:rsidR="00E32765" w:rsidRPr="0086114B" w:rsidRDefault="00E32765" w:rsidP="00E32765">
      <w:pPr>
        <w:pBdr>
          <w:top w:val="single" w:sz="12" w:space="1" w:color="auto"/>
          <w:bottom w:val="single" w:sz="12" w:space="1" w:color="auto"/>
        </w:pBdr>
        <w:spacing w:line="240" w:lineRule="auto"/>
        <w:jc w:val="center"/>
        <w:rPr>
          <w:rFonts w:ascii="Arial" w:hAnsi="Arial" w:cs="Arial"/>
          <w:b/>
          <w:bCs/>
          <w:sz w:val="24"/>
          <w:szCs w:val="24"/>
          <w:lang w:val="en-US"/>
        </w:rPr>
      </w:pPr>
    </w:p>
    <w:p w14:paraId="0401049D" w14:textId="77777777" w:rsidR="00E32765" w:rsidRPr="0086114B" w:rsidRDefault="00E32765" w:rsidP="00E32765">
      <w:pPr>
        <w:pBdr>
          <w:top w:val="single" w:sz="12" w:space="1" w:color="auto"/>
          <w:bottom w:val="single" w:sz="12" w:space="1" w:color="auto"/>
        </w:pBdr>
        <w:spacing w:line="240" w:lineRule="auto"/>
        <w:jc w:val="center"/>
        <w:rPr>
          <w:rFonts w:ascii="Arial" w:hAnsi="Arial" w:cs="Arial"/>
          <w:b/>
          <w:bCs/>
          <w:sz w:val="24"/>
          <w:szCs w:val="24"/>
          <w:lang w:val="en-US"/>
        </w:rPr>
      </w:pPr>
      <w:r w:rsidRPr="0086114B">
        <w:rPr>
          <w:rFonts w:ascii="Arial" w:hAnsi="Arial" w:cs="Arial"/>
          <w:b/>
          <w:bCs/>
          <w:sz w:val="24"/>
          <w:szCs w:val="24"/>
          <w:lang w:val="en-US"/>
        </w:rPr>
        <w:t>JUDGMENT</w:t>
      </w:r>
    </w:p>
    <w:p w14:paraId="361AB555" w14:textId="77777777" w:rsidR="00E32765" w:rsidRPr="0086114B" w:rsidRDefault="00E32765" w:rsidP="00E32765">
      <w:pPr>
        <w:pBdr>
          <w:top w:val="single" w:sz="12" w:space="1" w:color="auto"/>
          <w:bottom w:val="single" w:sz="12" w:space="1" w:color="auto"/>
        </w:pBdr>
        <w:spacing w:line="240" w:lineRule="auto"/>
        <w:jc w:val="center"/>
        <w:rPr>
          <w:rFonts w:ascii="Arial" w:hAnsi="Arial" w:cs="Arial"/>
          <w:b/>
          <w:bCs/>
          <w:sz w:val="24"/>
          <w:szCs w:val="24"/>
          <w:lang w:val="en-US"/>
        </w:rPr>
      </w:pPr>
    </w:p>
    <w:p w14:paraId="39AB3D7E" w14:textId="77777777" w:rsidR="00E32765" w:rsidRPr="0086114B" w:rsidRDefault="00E32765" w:rsidP="00E32765">
      <w:pPr>
        <w:spacing w:line="240" w:lineRule="auto"/>
        <w:jc w:val="both"/>
        <w:rPr>
          <w:rFonts w:ascii="Arial" w:hAnsi="Arial" w:cs="Arial"/>
          <w:b/>
          <w:bCs/>
          <w:sz w:val="24"/>
          <w:szCs w:val="24"/>
          <w:lang w:val="en-US"/>
        </w:rPr>
      </w:pPr>
      <w:r>
        <w:rPr>
          <w:rFonts w:ascii="Arial" w:hAnsi="Arial" w:cs="Arial"/>
          <w:b/>
          <w:bCs/>
          <w:sz w:val="24"/>
          <w:szCs w:val="24"/>
          <w:lang w:val="en-US"/>
        </w:rPr>
        <w:t>ZONO</w:t>
      </w:r>
      <w:r w:rsidRPr="0086114B">
        <w:rPr>
          <w:rFonts w:ascii="Arial" w:hAnsi="Arial" w:cs="Arial"/>
          <w:b/>
          <w:bCs/>
          <w:sz w:val="24"/>
          <w:szCs w:val="24"/>
          <w:lang w:val="en-US"/>
        </w:rPr>
        <w:t xml:space="preserve"> </w:t>
      </w:r>
      <w:r>
        <w:rPr>
          <w:rFonts w:ascii="Arial" w:hAnsi="Arial" w:cs="Arial"/>
          <w:b/>
          <w:bCs/>
          <w:sz w:val="24"/>
          <w:szCs w:val="24"/>
          <w:lang w:val="en-US"/>
        </w:rPr>
        <w:t>A</w:t>
      </w:r>
      <w:r w:rsidRPr="0086114B">
        <w:rPr>
          <w:rFonts w:ascii="Arial" w:hAnsi="Arial" w:cs="Arial"/>
          <w:b/>
          <w:bCs/>
          <w:sz w:val="24"/>
          <w:szCs w:val="24"/>
          <w:lang w:val="en-US"/>
        </w:rPr>
        <w:t>J:</w:t>
      </w:r>
    </w:p>
    <w:p w14:paraId="7962ECC7" w14:textId="77777777" w:rsidR="00E32765" w:rsidRPr="0086114B" w:rsidRDefault="00E32765" w:rsidP="00E32765">
      <w:pPr>
        <w:spacing w:line="240" w:lineRule="auto"/>
        <w:jc w:val="both"/>
        <w:rPr>
          <w:rFonts w:ascii="Arial" w:hAnsi="Arial" w:cs="Arial"/>
          <w:b/>
          <w:bCs/>
          <w:sz w:val="24"/>
          <w:szCs w:val="24"/>
          <w:lang w:val="en-US"/>
        </w:rPr>
      </w:pPr>
    </w:p>
    <w:p w14:paraId="602D3399" w14:textId="1148D1F2" w:rsidR="00D167AB" w:rsidRDefault="00E32765" w:rsidP="00870868">
      <w:pPr>
        <w:spacing w:line="480" w:lineRule="auto"/>
        <w:ind w:left="720" w:hanging="720"/>
        <w:jc w:val="both"/>
        <w:rPr>
          <w:rFonts w:ascii="Arial" w:hAnsi="Arial" w:cs="Arial"/>
          <w:sz w:val="24"/>
          <w:szCs w:val="24"/>
          <w:lang w:val="en-US"/>
        </w:rPr>
      </w:pPr>
      <w:r w:rsidRPr="0086114B">
        <w:rPr>
          <w:rFonts w:ascii="Arial" w:hAnsi="Arial" w:cs="Arial"/>
          <w:sz w:val="24"/>
          <w:szCs w:val="24"/>
          <w:lang w:val="en-US"/>
        </w:rPr>
        <w:t>[1]</w:t>
      </w:r>
      <w:r w:rsidR="00363215">
        <w:rPr>
          <w:rFonts w:ascii="Arial" w:hAnsi="Arial" w:cs="Arial"/>
          <w:sz w:val="24"/>
          <w:szCs w:val="24"/>
          <w:lang w:val="en-US"/>
        </w:rPr>
        <w:tab/>
        <w:t xml:space="preserve">The applicants approached this court </w:t>
      </w:r>
      <w:r w:rsidR="00870868">
        <w:rPr>
          <w:rFonts w:ascii="Arial" w:hAnsi="Arial" w:cs="Arial"/>
          <w:sz w:val="24"/>
          <w:szCs w:val="24"/>
          <w:lang w:val="en-US"/>
        </w:rPr>
        <w:t xml:space="preserve">on 7 February 2024 with a certificate of </w:t>
      </w:r>
      <w:r w:rsidR="00B64B04">
        <w:rPr>
          <w:rFonts w:ascii="Arial" w:hAnsi="Arial" w:cs="Arial"/>
          <w:sz w:val="24"/>
          <w:szCs w:val="24"/>
          <w:lang w:val="en-US"/>
        </w:rPr>
        <w:t>urgency.</w:t>
      </w:r>
      <w:r w:rsidR="0064281F">
        <w:rPr>
          <w:rFonts w:ascii="Arial" w:hAnsi="Arial" w:cs="Arial"/>
          <w:sz w:val="24"/>
          <w:szCs w:val="24"/>
          <w:lang w:val="en-US"/>
        </w:rPr>
        <w:t xml:space="preserve"> This court issued directions </w:t>
      </w:r>
      <w:r w:rsidR="001A4A94">
        <w:rPr>
          <w:rFonts w:ascii="Arial" w:hAnsi="Arial" w:cs="Arial"/>
          <w:sz w:val="24"/>
          <w:szCs w:val="24"/>
          <w:lang w:val="en-US"/>
        </w:rPr>
        <w:t>in terms of Practice Rule 12(a)(</w:t>
      </w:r>
      <w:proofErr w:type="spellStart"/>
      <w:r w:rsidR="001A4A94">
        <w:rPr>
          <w:rFonts w:ascii="Arial" w:hAnsi="Arial" w:cs="Arial"/>
          <w:sz w:val="24"/>
          <w:szCs w:val="24"/>
          <w:lang w:val="en-US"/>
        </w:rPr>
        <w:t>i</w:t>
      </w:r>
      <w:proofErr w:type="spellEnd"/>
      <w:r w:rsidR="001A4A94">
        <w:rPr>
          <w:rFonts w:ascii="Arial" w:hAnsi="Arial" w:cs="Arial"/>
          <w:sz w:val="24"/>
          <w:szCs w:val="24"/>
          <w:lang w:val="en-US"/>
        </w:rPr>
        <w:t>)</w:t>
      </w:r>
      <w:r w:rsidR="00B64B04">
        <w:rPr>
          <w:rFonts w:ascii="Arial" w:hAnsi="Arial" w:cs="Arial"/>
          <w:sz w:val="24"/>
          <w:szCs w:val="24"/>
          <w:lang w:val="en-US"/>
        </w:rPr>
        <w:t xml:space="preserve"> </w:t>
      </w:r>
      <w:r w:rsidR="00A75307">
        <w:rPr>
          <w:rFonts w:ascii="Arial" w:hAnsi="Arial" w:cs="Arial"/>
          <w:sz w:val="24"/>
          <w:szCs w:val="24"/>
          <w:lang w:val="en-US"/>
        </w:rPr>
        <w:t>of the Joint Rules of Practice of this division</w:t>
      </w:r>
      <w:r w:rsidR="00F64ADA">
        <w:rPr>
          <w:rFonts w:ascii="Arial" w:hAnsi="Arial" w:cs="Arial"/>
          <w:sz w:val="24"/>
          <w:szCs w:val="24"/>
          <w:lang w:val="en-US"/>
        </w:rPr>
        <w:t>.</w:t>
      </w:r>
      <w:r w:rsidR="0095594A">
        <w:rPr>
          <w:rFonts w:ascii="Arial" w:hAnsi="Arial" w:cs="Arial"/>
          <w:sz w:val="24"/>
          <w:szCs w:val="24"/>
          <w:lang w:val="en-US"/>
        </w:rPr>
        <w:t xml:space="preserve"> </w:t>
      </w:r>
      <w:r w:rsidR="00F64ADA">
        <w:rPr>
          <w:rFonts w:ascii="Arial" w:hAnsi="Arial" w:cs="Arial"/>
          <w:sz w:val="24"/>
          <w:szCs w:val="24"/>
          <w:lang w:val="en-US"/>
        </w:rPr>
        <w:t>O</w:t>
      </w:r>
      <w:r w:rsidR="0095594A">
        <w:rPr>
          <w:rFonts w:ascii="Arial" w:hAnsi="Arial" w:cs="Arial"/>
          <w:sz w:val="24"/>
          <w:szCs w:val="24"/>
          <w:lang w:val="en-US"/>
        </w:rPr>
        <w:t>f importance i</w:t>
      </w:r>
      <w:r w:rsidR="00FE1640">
        <w:rPr>
          <w:rFonts w:ascii="Arial" w:hAnsi="Arial" w:cs="Arial"/>
          <w:sz w:val="24"/>
          <w:szCs w:val="24"/>
          <w:lang w:val="en-US"/>
        </w:rPr>
        <w:t xml:space="preserve">s paragraph 2.1 and 2.3 of the said </w:t>
      </w:r>
      <w:proofErr w:type="gramStart"/>
      <w:r w:rsidR="00FE1640">
        <w:rPr>
          <w:rFonts w:ascii="Arial" w:hAnsi="Arial" w:cs="Arial"/>
          <w:sz w:val="24"/>
          <w:szCs w:val="24"/>
          <w:lang w:val="en-US"/>
        </w:rPr>
        <w:t>directive</w:t>
      </w:r>
      <w:proofErr w:type="gramEnd"/>
      <w:r w:rsidR="00D167AB">
        <w:rPr>
          <w:rFonts w:ascii="Arial" w:hAnsi="Arial" w:cs="Arial"/>
          <w:sz w:val="24"/>
          <w:szCs w:val="24"/>
          <w:lang w:val="en-US"/>
        </w:rPr>
        <w:t xml:space="preserve"> which are couched </w:t>
      </w:r>
      <w:r w:rsidR="00F64ADA">
        <w:rPr>
          <w:rFonts w:ascii="Arial" w:hAnsi="Arial" w:cs="Arial"/>
          <w:sz w:val="24"/>
          <w:szCs w:val="24"/>
          <w:lang w:val="en-US"/>
        </w:rPr>
        <w:t>i</w:t>
      </w:r>
      <w:r w:rsidR="00D167AB">
        <w:rPr>
          <w:rFonts w:ascii="Arial" w:hAnsi="Arial" w:cs="Arial"/>
          <w:sz w:val="24"/>
          <w:szCs w:val="24"/>
          <w:lang w:val="en-US"/>
        </w:rPr>
        <w:t>n the following terms:</w:t>
      </w:r>
    </w:p>
    <w:p w14:paraId="6ECD531A" w14:textId="5D9CE709" w:rsidR="00F96A23" w:rsidRPr="00A22343" w:rsidRDefault="00D167AB" w:rsidP="00A22343">
      <w:pPr>
        <w:spacing w:line="240" w:lineRule="auto"/>
        <w:ind w:left="2160" w:hanging="720"/>
        <w:jc w:val="both"/>
        <w:rPr>
          <w:rFonts w:ascii="Arial" w:hAnsi="Arial" w:cs="Arial"/>
          <w:i/>
          <w:iCs/>
          <w:sz w:val="20"/>
          <w:szCs w:val="20"/>
          <w:lang w:val="en-US"/>
        </w:rPr>
      </w:pPr>
      <w:r w:rsidRPr="00A22343">
        <w:rPr>
          <w:rFonts w:ascii="Arial" w:hAnsi="Arial" w:cs="Arial"/>
          <w:sz w:val="20"/>
          <w:szCs w:val="20"/>
          <w:lang w:val="en-US"/>
        </w:rPr>
        <w:lastRenderedPageBreak/>
        <w:t>“</w:t>
      </w:r>
      <w:r w:rsidR="0035407E" w:rsidRPr="00A22343">
        <w:rPr>
          <w:rFonts w:ascii="Arial" w:hAnsi="Arial" w:cs="Arial"/>
          <w:i/>
          <w:iCs/>
          <w:sz w:val="20"/>
          <w:szCs w:val="20"/>
          <w:lang w:val="en-US"/>
        </w:rPr>
        <w:t>2.1</w:t>
      </w:r>
      <w:r w:rsidR="0035407E" w:rsidRPr="00A22343">
        <w:rPr>
          <w:rFonts w:ascii="Arial" w:hAnsi="Arial" w:cs="Arial"/>
          <w:i/>
          <w:iCs/>
          <w:sz w:val="20"/>
          <w:szCs w:val="20"/>
          <w:lang w:val="en-US"/>
        </w:rPr>
        <w:tab/>
      </w:r>
      <w:r w:rsidR="001440A1" w:rsidRPr="00A22343">
        <w:rPr>
          <w:rFonts w:ascii="Arial" w:hAnsi="Arial" w:cs="Arial"/>
          <w:i/>
          <w:iCs/>
          <w:sz w:val="20"/>
          <w:szCs w:val="20"/>
          <w:lang w:val="en-US"/>
        </w:rPr>
        <w:t xml:space="preserve">The applicant shall serve to respondents </w:t>
      </w:r>
      <w:r w:rsidR="00887FCD" w:rsidRPr="00A22343">
        <w:rPr>
          <w:rFonts w:ascii="Arial" w:hAnsi="Arial" w:cs="Arial"/>
          <w:i/>
          <w:iCs/>
          <w:sz w:val="20"/>
          <w:szCs w:val="20"/>
          <w:lang w:val="en-US"/>
        </w:rPr>
        <w:t xml:space="preserve">giving them not less than </w:t>
      </w:r>
      <w:r w:rsidR="00F96A23" w:rsidRPr="00A22343">
        <w:rPr>
          <w:rFonts w:ascii="Arial" w:hAnsi="Arial" w:cs="Arial"/>
          <w:i/>
          <w:iCs/>
          <w:sz w:val="20"/>
          <w:szCs w:val="20"/>
          <w:lang w:val="en-US"/>
        </w:rPr>
        <w:t xml:space="preserve">5 </w:t>
      </w:r>
      <w:proofErr w:type="spellStart"/>
      <w:r w:rsidR="00F96A23" w:rsidRPr="00A22343">
        <w:rPr>
          <w:rFonts w:ascii="Arial" w:hAnsi="Arial" w:cs="Arial"/>
          <w:i/>
          <w:iCs/>
          <w:sz w:val="20"/>
          <w:szCs w:val="20"/>
          <w:lang w:val="en-US"/>
        </w:rPr>
        <w:t>hours notice</w:t>
      </w:r>
      <w:proofErr w:type="spellEnd"/>
      <w:r w:rsidR="00F96A23" w:rsidRPr="00A22343">
        <w:rPr>
          <w:rFonts w:ascii="Arial" w:hAnsi="Arial" w:cs="Arial"/>
          <w:i/>
          <w:iCs/>
          <w:sz w:val="20"/>
          <w:szCs w:val="20"/>
          <w:lang w:val="en-US"/>
        </w:rPr>
        <w:t xml:space="preserve"> </w:t>
      </w:r>
      <w:r w:rsidR="00F64ADA">
        <w:rPr>
          <w:rFonts w:ascii="Arial" w:hAnsi="Arial" w:cs="Arial"/>
          <w:i/>
          <w:iCs/>
          <w:sz w:val="20"/>
          <w:szCs w:val="20"/>
          <w:lang w:val="en-US"/>
        </w:rPr>
        <w:t>before time for hearing as directed below.</w:t>
      </w:r>
    </w:p>
    <w:p w14:paraId="535844AB" w14:textId="420EDA1E" w:rsidR="00F31DDB" w:rsidRDefault="00F31DDB" w:rsidP="00A22343">
      <w:pPr>
        <w:spacing w:line="240" w:lineRule="auto"/>
        <w:ind w:left="2160" w:hanging="720"/>
        <w:jc w:val="both"/>
        <w:rPr>
          <w:rFonts w:ascii="Arial" w:hAnsi="Arial" w:cs="Arial"/>
          <w:i/>
          <w:iCs/>
          <w:sz w:val="20"/>
          <w:szCs w:val="20"/>
          <w:lang w:val="en-US"/>
        </w:rPr>
      </w:pPr>
      <w:r w:rsidRPr="00A22343">
        <w:rPr>
          <w:rFonts w:ascii="Arial" w:hAnsi="Arial" w:cs="Arial"/>
          <w:i/>
          <w:iCs/>
          <w:sz w:val="20"/>
          <w:szCs w:val="20"/>
          <w:lang w:val="en-US"/>
        </w:rPr>
        <w:t>2.3</w:t>
      </w:r>
      <w:r w:rsidRPr="00A22343">
        <w:rPr>
          <w:rFonts w:ascii="Arial" w:hAnsi="Arial" w:cs="Arial"/>
          <w:i/>
          <w:iCs/>
          <w:sz w:val="20"/>
          <w:szCs w:val="20"/>
          <w:lang w:val="en-US"/>
        </w:rPr>
        <w:tab/>
        <w:t>The hearing of this application is scheduled</w:t>
      </w:r>
      <w:r w:rsidR="00A22343" w:rsidRPr="00A22343">
        <w:rPr>
          <w:rFonts w:ascii="Arial" w:hAnsi="Arial" w:cs="Arial"/>
          <w:i/>
          <w:iCs/>
          <w:sz w:val="20"/>
          <w:szCs w:val="20"/>
          <w:lang w:val="en-US"/>
        </w:rPr>
        <w:t xml:space="preserve"> for 09 February 2024 at 12:00 in East London High Court.” </w:t>
      </w:r>
    </w:p>
    <w:p w14:paraId="7AE968B3" w14:textId="2A3B5C05" w:rsidR="00A22343" w:rsidRDefault="00A22343" w:rsidP="003A330E">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433CA5">
        <w:rPr>
          <w:rFonts w:ascii="Arial" w:hAnsi="Arial" w:cs="Arial"/>
          <w:sz w:val="24"/>
          <w:szCs w:val="24"/>
          <w:lang w:val="en-US"/>
        </w:rPr>
        <w:t>A return of service</w:t>
      </w:r>
      <w:r w:rsidR="00883186">
        <w:rPr>
          <w:rFonts w:ascii="Arial" w:hAnsi="Arial" w:cs="Arial"/>
          <w:sz w:val="24"/>
          <w:szCs w:val="24"/>
          <w:lang w:val="en-US"/>
        </w:rPr>
        <w:t xml:space="preserve">, which was </w:t>
      </w:r>
      <w:r w:rsidR="00E531DA">
        <w:rPr>
          <w:rFonts w:ascii="Arial" w:hAnsi="Arial" w:cs="Arial"/>
          <w:sz w:val="24"/>
          <w:szCs w:val="24"/>
          <w:lang w:val="en-US"/>
        </w:rPr>
        <w:t>at</w:t>
      </w:r>
      <w:r w:rsidR="00883186">
        <w:rPr>
          <w:rFonts w:ascii="Arial" w:hAnsi="Arial" w:cs="Arial"/>
          <w:sz w:val="24"/>
          <w:szCs w:val="24"/>
          <w:lang w:val="en-US"/>
        </w:rPr>
        <w:t xml:space="preserve"> page 54 of the applicant’s </w:t>
      </w:r>
      <w:r w:rsidR="003A330E">
        <w:rPr>
          <w:rFonts w:ascii="Arial" w:hAnsi="Arial" w:cs="Arial"/>
          <w:sz w:val="24"/>
          <w:szCs w:val="24"/>
          <w:lang w:val="en-US"/>
        </w:rPr>
        <w:t>papers reveals that</w:t>
      </w:r>
      <w:r w:rsidR="00E531DA">
        <w:rPr>
          <w:rFonts w:ascii="Arial" w:hAnsi="Arial" w:cs="Arial"/>
          <w:sz w:val="24"/>
          <w:szCs w:val="24"/>
          <w:lang w:val="en-US"/>
        </w:rPr>
        <w:t>,</w:t>
      </w:r>
      <w:r w:rsidR="003A330E">
        <w:rPr>
          <w:rFonts w:ascii="Arial" w:hAnsi="Arial" w:cs="Arial"/>
          <w:sz w:val="24"/>
          <w:szCs w:val="24"/>
          <w:lang w:val="en-US"/>
        </w:rPr>
        <w:t xml:space="preserve"> on 8 February 2024</w:t>
      </w:r>
      <w:r w:rsidR="008D1A27">
        <w:rPr>
          <w:rFonts w:ascii="Arial" w:hAnsi="Arial" w:cs="Arial"/>
          <w:sz w:val="24"/>
          <w:szCs w:val="24"/>
          <w:lang w:val="en-US"/>
        </w:rPr>
        <w:t xml:space="preserve"> at 09:20 notice of motion, founding affidavit</w:t>
      </w:r>
      <w:r w:rsidR="008928EB">
        <w:rPr>
          <w:rFonts w:ascii="Arial" w:hAnsi="Arial" w:cs="Arial"/>
          <w:sz w:val="24"/>
          <w:szCs w:val="24"/>
          <w:lang w:val="en-US"/>
        </w:rPr>
        <w:t xml:space="preserve"> with annexures</w:t>
      </w:r>
      <w:r w:rsidR="000E05AD">
        <w:rPr>
          <w:rFonts w:ascii="Arial" w:hAnsi="Arial" w:cs="Arial"/>
          <w:sz w:val="24"/>
          <w:szCs w:val="24"/>
          <w:lang w:val="en-US"/>
        </w:rPr>
        <w:t xml:space="preserve"> and court directive </w:t>
      </w:r>
      <w:r w:rsidR="00C06C83">
        <w:rPr>
          <w:rFonts w:ascii="Arial" w:hAnsi="Arial" w:cs="Arial"/>
          <w:sz w:val="24"/>
          <w:szCs w:val="24"/>
          <w:lang w:val="en-US"/>
        </w:rPr>
        <w:t xml:space="preserve">were served upon Xoliswa </w:t>
      </w:r>
      <w:proofErr w:type="spellStart"/>
      <w:r w:rsidR="00DA7C8D">
        <w:rPr>
          <w:rFonts w:ascii="Arial" w:hAnsi="Arial" w:cs="Arial"/>
          <w:sz w:val="24"/>
          <w:szCs w:val="24"/>
          <w:lang w:val="en-US"/>
        </w:rPr>
        <w:t>Bl</w:t>
      </w:r>
      <w:r w:rsidR="00B078C1">
        <w:rPr>
          <w:rFonts w:ascii="Arial" w:hAnsi="Arial" w:cs="Arial"/>
          <w:sz w:val="24"/>
          <w:szCs w:val="24"/>
          <w:lang w:val="en-US"/>
        </w:rPr>
        <w:t>aai</w:t>
      </w:r>
      <w:proofErr w:type="spellEnd"/>
      <w:r w:rsidR="00B078C1">
        <w:rPr>
          <w:rFonts w:ascii="Arial" w:hAnsi="Arial" w:cs="Arial"/>
          <w:sz w:val="24"/>
          <w:szCs w:val="24"/>
          <w:lang w:val="en-US"/>
        </w:rPr>
        <w:t xml:space="preserve"> </w:t>
      </w:r>
      <w:r w:rsidR="000B5282">
        <w:rPr>
          <w:rFonts w:ascii="Arial" w:hAnsi="Arial" w:cs="Arial"/>
          <w:sz w:val="24"/>
          <w:szCs w:val="24"/>
          <w:lang w:val="en-US"/>
        </w:rPr>
        <w:t xml:space="preserve">of LEM </w:t>
      </w:r>
      <w:proofErr w:type="spellStart"/>
      <w:r w:rsidR="000B5282">
        <w:rPr>
          <w:rFonts w:ascii="Arial" w:hAnsi="Arial" w:cs="Arial"/>
          <w:sz w:val="24"/>
          <w:szCs w:val="24"/>
          <w:lang w:val="en-US"/>
        </w:rPr>
        <w:t>Nomphandana</w:t>
      </w:r>
      <w:proofErr w:type="spellEnd"/>
      <w:r w:rsidR="000B5282">
        <w:rPr>
          <w:rFonts w:ascii="Arial" w:hAnsi="Arial" w:cs="Arial"/>
          <w:sz w:val="24"/>
          <w:szCs w:val="24"/>
          <w:lang w:val="en-US"/>
        </w:rPr>
        <w:t xml:space="preserve"> &amp; Sons Attorneys. LEM </w:t>
      </w:r>
      <w:proofErr w:type="spellStart"/>
      <w:r w:rsidR="000B5282">
        <w:rPr>
          <w:rFonts w:ascii="Arial" w:hAnsi="Arial" w:cs="Arial"/>
          <w:sz w:val="24"/>
          <w:szCs w:val="24"/>
          <w:lang w:val="en-US"/>
        </w:rPr>
        <w:t>Nomphandana</w:t>
      </w:r>
      <w:proofErr w:type="spellEnd"/>
      <w:r w:rsidR="002C611F">
        <w:rPr>
          <w:rFonts w:ascii="Arial" w:hAnsi="Arial" w:cs="Arial"/>
          <w:sz w:val="24"/>
          <w:szCs w:val="24"/>
          <w:lang w:val="en-US"/>
        </w:rPr>
        <w:t xml:space="preserve"> &amp; Sons Attorneys are first respondent’s attorneys.</w:t>
      </w:r>
    </w:p>
    <w:p w14:paraId="1FB1F1C1" w14:textId="4441D7E2" w:rsidR="002C611F" w:rsidRDefault="00330D3B" w:rsidP="003A330E">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9 February 2024 the matter was heard. According to the court order there was no appearance for the respondents. An Order in the following terms was granted by this court:</w:t>
      </w:r>
    </w:p>
    <w:p w14:paraId="06D73831" w14:textId="534CB8D8" w:rsidR="00330D3B" w:rsidRPr="003564EF" w:rsidRDefault="00330D3B" w:rsidP="003564EF">
      <w:pPr>
        <w:spacing w:line="240" w:lineRule="auto"/>
        <w:ind w:left="2160" w:hanging="720"/>
        <w:jc w:val="both"/>
        <w:rPr>
          <w:rFonts w:ascii="Arial" w:hAnsi="Arial" w:cs="Arial"/>
          <w:i/>
          <w:iCs/>
          <w:sz w:val="20"/>
          <w:szCs w:val="20"/>
          <w:lang w:val="en-US"/>
        </w:rPr>
      </w:pPr>
      <w:r w:rsidRPr="003564EF">
        <w:rPr>
          <w:rFonts w:ascii="Arial" w:hAnsi="Arial" w:cs="Arial"/>
          <w:sz w:val="20"/>
          <w:szCs w:val="20"/>
          <w:lang w:val="en-US"/>
        </w:rPr>
        <w:t>“</w:t>
      </w:r>
      <w:r w:rsidRPr="003564EF">
        <w:rPr>
          <w:rFonts w:ascii="Arial" w:hAnsi="Arial" w:cs="Arial"/>
          <w:i/>
          <w:iCs/>
          <w:sz w:val="20"/>
          <w:szCs w:val="20"/>
          <w:lang w:val="en-US"/>
        </w:rPr>
        <w:t>1.</w:t>
      </w:r>
      <w:r w:rsidRPr="003564EF">
        <w:rPr>
          <w:rFonts w:ascii="Arial" w:hAnsi="Arial" w:cs="Arial"/>
          <w:i/>
          <w:iCs/>
          <w:sz w:val="20"/>
          <w:szCs w:val="20"/>
          <w:lang w:val="en-US"/>
        </w:rPr>
        <w:tab/>
        <w:t xml:space="preserve">The forms and rules of service are dispensed </w:t>
      </w:r>
      <w:proofErr w:type="gramStart"/>
      <w:r w:rsidRPr="003564EF">
        <w:rPr>
          <w:rFonts w:ascii="Arial" w:hAnsi="Arial" w:cs="Arial"/>
          <w:i/>
          <w:iCs/>
          <w:sz w:val="20"/>
          <w:szCs w:val="20"/>
          <w:lang w:val="en-US"/>
        </w:rPr>
        <w:t>with</w:t>
      </w:r>
      <w:proofErr w:type="gramEnd"/>
      <w:r w:rsidRPr="003564EF">
        <w:rPr>
          <w:rFonts w:ascii="Arial" w:hAnsi="Arial" w:cs="Arial"/>
          <w:i/>
          <w:iCs/>
          <w:sz w:val="20"/>
          <w:szCs w:val="20"/>
          <w:lang w:val="en-US"/>
        </w:rPr>
        <w:t xml:space="preserve"> and leave is granting leave (sic) to being the matter on the basis of urgency.</w:t>
      </w:r>
    </w:p>
    <w:p w14:paraId="6CFA8269" w14:textId="5C233B65" w:rsidR="00330D3B" w:rsidRPr="003564EF" w:rsidRDefault="00330D3B" w:rsidP="003564EF">
      <w:pPr>
        <w:spacing w:line="240" w:lineRule="auto"/>
        <w:ind w:left="2160" w:hanging="720"/>
        <w:jc w:val="both"/>
        <w:rPr>
          <w:rFonts w:ascii="Arial" w:hAnsi="Arial" w:cs="Arial"/>
          <w:i/>
          <w:iCs/>
          <w:sz w:val="20"/>
          <w:szCs w:val="20"/>
          <w:lang w:val="en-US"/>
        </w:rPr>
      </w:pPr>
      <w:r w:rsidRPr="003564EF">
        <w:rPr>
          <w:rFonts w:ascii="Arial" w:hAnsi="Arial" w:cs="Arial"/>
          <w:i/>
          <w:iCs/>
          <w:sz w:val="20"/>
          <w:szCs w:val="20"/>
          <w:lang w:val="en-US"/>
        </w:rPr>
        <w:t>2.</w:t>
      </w:r>
      <w:r w:rsidRPr="003564EF">
        <w:rPr>
          <w:rFonts w:ascii="Arial" w:hAnsi="Arial" w:cs="Arial"/>
          <w:i/>
          <w:iCs/>
          <w:sz w:val="20"/>
          <w:szCs w:val="20"/>
          <w:lang w:val="en-US"/>
        </w:rPr>
        <w:tab/>
        <w:t xml:space="preserve">The warrant of </w:t>
      </w:r>
      <w:proofErr w:type="gramStart"/>
      <w:r w:rsidRPr="003564EF">
        <w:rPr>
          <w:rFonts w:ascii="Arial" w:hAnsi="Arial" w:cs="Arial"/>
          <w:i/>
          <w:iCs/>
          <w:sz w:val="20"/>
          <w:szCs w:val="20"/>
          <w:lang w:val="en-US"/>
        </w:rPr>
        <w:t>execution  issue</w:t>
      </w:r>
      <w:proofErr w:type="gramEnd"/>
      <w:r w:rsidRPr="003564EF">
        <w:rPr>
          <w:rFonts w:ascii="Arial" w:hAnsi="Arial" w:cs="Arial"/>
          <w:i/>
          <w:iCs/>
          <w:sz w:val="20"/>
          <w:szCs w:val="20"/>
          <w:lang w:val="en-US"/>
        </w:rPr>
        <w:t xml:space="preserve"> (sic) by this </w:t>
      </w:r>
      <w:proofErr w:type="spellStart"/>
      <w:r w:rsidRPr="003564EF">
        <w:rPr>
          <w:rFonts w:ascii="Arial" w:hAnsi="Arial" w:cs="Arial"/>
          <w:i/>
          <w:iCs/>
          <w:sz w:val="20"/>
          <w:szCs w:val="20"/>
          <w:lang w:val="en-US"/>
        </w:rPr>
        <w:t>Honourable</w:t>
      </w:r>
      <w:proofErr w:type="spellEnd"/>
      <w:r w:rsidRPr="003564EF">
        <w:rPr>
          <w:rFonts w:ascii="Arial" w:hAnsi="Arial" w:cs="Arial"/>
          <w:i/>
          <w:iCs/>
          <w:sz w:val="20"/>
          <w:szCs w:val="20"/>
          <w:lang w:val="en-US"/>
        </w:rPr>
        <w:t xml:space="preserve"> Court on 2 February 2024 is stayed, pending the outcome of the application for the rescission of the default judgment  ordered on 25 January 2024 and no further</w:t>
      </w:r>
      <w:r w:rsidR="00F64ADA">
        <w:rPr>
          <w:rFonts w:ascii="Arial" w:hAnsi="Arial" w:cs="Arial"/>
          <w:i/>
          <w:iCs/>
          <w:sz w:val="20"/>
          <w:szCs w:val="20"/>
          <w:lang w:val="en-US"/>
        </w:rPr>
        <w:t xml:space="preserve"> step </w:t>
      </w:r>
      <w:r w:rsidRPr="003564EF">
        <w:rPr>
          <w:rFonts w:ascii="Arial" w:hAnsi="Arial" w:cs="Arial"/>
          <w:i/>
          <w:iCs/>
          <w:sz w:val="20"/>
          <w:szCs w:val="20"/>
          <w:lang w:val="en-US"/>
        </w:rPr>
        <w:t xml:space="preserve"> in execution of the judgment may be taken until the rescission application has been finalized.</w:t>
      </w:r>
    </w:p>
    <w:p w14:paraId="273916C5" w14:textId="28D67A62" w:rsidR="003564EF" w:rsidRPr="003564EF" w:rsidRDefault="00330D3B" w:rsidP="003564EF">
      <w:pPr>
        <w:spacing w:line="240" w:lineRule="auto"/>
        <w:ind w:left="2160" w:hanging="720"/>
        <w:jc w:val="both"/>
        <w:rPr>
          <w:rFonts w:ascii="Arial" w:hAnsi="Arial" w:cs="Arial"/>
          <w:i/>
          <w:iCs/>
          <w:sz w:val="20"/>
          <w:szCs w:val="20"/>
          <w:lang w:val="en-US"/>
        </w:rPr>
      </w:pPr>
      <w:r w:rsidRPr="003564EF">
        <w:rPr>
          <w:rFonts w:ascii="Arial" w:hAnsi="Arial" w:cs="Arial"/>
          <w:i/>
          <w:iCs/>
          <w:sz w:val="20"/>
          <w:szCs w:val="20"/>
          <w:lang w:val="en-US"/>
        </w:rPr>
        <w:t>3.</w:t>
      </w:r>
      <w:r w:rsidRPr="003564EF">
        <w:rPr>
          <w:rFonts w:ascii="Arial" w:hAnsi="Arial" w:cs="Arial"/>
          <w:i/>
          <w:iCs/>
          <w:sz w:val="20"/>
          <w:szCs w:val="20"/>
          <w:lang w:val="en-US"/>
        </w:rPr>
        <w:tab/>
        <w:t xml:space="preserve">Pending the finalization of the rescission application </w:t>
      </w:r>
      <w:r w:rsidR="00F64ADA">
        <w:rPr>
          <w:rFonts w:ascii="Arial" w:hAnsi="Arial" w:cs="Arial"/>
          <w:i/>
          <w:iCs/>
          <w:sz w:val="20"/>
          <w:szCs w:val="20"/>
          <w:lang w:val="en-US"/>
        </w:rPr>
        <w:t>pursued</w:t>
      </w:r>
      <w:r w:rsidRPr="003564EF">
        <w:rPr>
          <w:rFonts w:ascii="Arial" w:hAnsi="Arial" w:cs="Arial"/>
          <w:i/>
          <w:iCs/>
          <w:sz w:val="20"/>
          <w:szCs w:val="20"/>
          <w:lang w:val="en-US"/>
        </w:rPr>
        <w:t xml:space="preserve"> by the applicants</w:t>
      </w:r>
      <w:r w:rsidR="00F64ADA">
        <w:rPr>
          <w:rFonts w:ascii="Arial" w:hAnsi="Arial" w:cs="Arial"/>
          <w:i/>
          <w:iCs/>
          <w:sz w:val="20"/>
          <w:szCs w:val="20"/>
          <w:lang w:val="en-US"/>
        </w:rPr>
        <w:t>, the</w:t>
      </w:r>
      <w:r w:rsidRPr="003564EF">
        <w:rPr>
          <w:rFonts w:ascii="Arial" w:hAnsi="Arial" w:cs="Arial"/>
          <w:i/>
          <w:iCs/>
          <w:sz w:val="20"/>
          <w:szCs w:val="20"/>
          <w:lang w:val="en-US"/>
        </w:rPr>
        <w:t xml:space="preserve"> second respondent is hereby </w:t>
      </w:r>
      <w:r w:rsidR="003564EF" w:rsidRPr="003564EF">
        <w:rPr>
          <w:rFonts w:ascii="Arial" w:hAnsi="Arial" w:cs="Arial"/>
          <w:i/>
          <w:iCs/>
          <w:sz w:val="20"/>
          <w:szCs w:val="20"/>
          <w:lang w:val="en-US"/>
        </w:rPr>
        <w:t>interdicted and restrained from proceeding with the execution of the warrant of execution issued by this court under Case Number EL1685/2023.</w:t>
      </w:r>
    </w:p>
    <w:p w14:paraId="4595671C" w14:textId="77777777" w:rsidR="003564EF" w:rsidRPr="003564EF" w:rsidRDefault="003564EF" w:rsidP="003564EF">
      <w:pPr>
        <w:spacing w:line="240" w:lineRule="auto"/>
        <w:ind w:left="2160" w:hanging="720"/>
        <w:jc w:val="both"/>
        <w:rPr>
          <w:rFonts w:ascii="Arial" w:hAnsi="Arial" w:cs="Arial"/>
          <w:i/>
          <w:iCs/>
          <w:sz w:val="20"/>
          <w:szCs w:val="20"/>
          <w:lang w:val="en-US"/>
        </w:rPr>
      </w:pPr>
      <w:r w:rsidRPr="003564EF">
        <w:rPr>
          <w:rFonts w:ascii="Arial" w:hAnsi="Arial" w:cs="Arial"/>
          <w:i/>
          <w:iCs/>
          <w:sz w:val="20"/>
          <w:szCs w:val="20"/>
          <w:lang w:val="en-US"/>
        </w:rPr>
        <w:t>4.</w:t>
      </w:r>
      <w:r w:rsidRPr="003564EF">
        <w:rPr>
          <w:rFonts w:ascii="Arial" w:hAnsi="Arial" w:cs="Arial"/>
          <w:i/>
          <w:iCs/>
          <w:sz w:val="20"/>
          <w:szCs w:val="20"/>
          <w:lang w:val="en-US"/>
        </w:rPr>
        <w:tab/>
        <w:t>No order as to costs.”</w:t>
      </w:r>
    </w:p>
    <w:p w14:paraId="2E04E082" w14:textId="77777777" w:rsidR="004E12DB" w:rsidRDefault="003564EF" w:rsidP="004E12DB">
      <w:pPr>
        <w:spacing w:line="480" w:lineRule="auto"/>
        <w:ind w:left="720"/>
        <w:jc w:val="both"/>
        <w:rPr>
          <w:rFonts w:ascii="Arial" w:hAnsi="Arial" w:cs="Arial"/>
          <w:sz w:val="24"/>
          <w:szCs w:val="24"/>
          <w:lang w:val="en-US"/>
        </w:rPr>
      </w:pPr>
      <w:r>
        <w:rPr>
          <w:rFonts w:ascii="Arial" w:hAnsi="Arial" w:cs="Arial"/>
          <w:sz w:val="24"/>
          <w:szCs w:val="24"/>
          <w:lang w:val="en-US"/>
        </w:rPr>
        <w:t xml:space="preserve">Suffices to state that the rescission application </w:t>
      </w:r>
      <w:r w:rsidR="004E12DB">
        <w:rPr>
          <w:rFonts w:ascii="Arial" w:hAnsi="Arial" w:cs="Arial"/>
          <w:sz w:val="24"/>
          <w:szCs w:val="24"/>
          <w:lang w:val="en-US"/>
        </w:rPr>
        <w:t>preceded this court order as it was filed on 30 January 2024.</w:t>
      </w:r>
    </w:p>
    <w:p w14:paraId="16B52B22" w14:textId="32153391" w:rsidR="00F76846" w:rsidRDefault="004E12DB" w:rsidP="004E12DB">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writ of execution referred to in the court order was issued following an order obtained </w:t>
      </w:r>
      <w:r w:rsidR="003D7170">
        <w:rPr>
          <w:rFonts w:ascii="Arial" w:hAnsi="Arial" w:cs="Arial"/>
          <w:sz w:val="24"/>
          <w:szCs w:val="24"/>
          <w:lang w:val="en-US"/>
        </w:rPr>
        <w:t xml:space="preserve">by default </w:t>
      </w:r>
      <w:r>
        <w:rPr>
          <w:rFonts w:ascii="Arial" w:hAnsi="Arial" w:cs="Arial"/>
          <w:sz w:val="24"/>
          <w:szCs w:val="24"/>
          <w:lang w:val="en-US"/>
        </w:rPr>
        <w:t>by the first respondent</w:t>
      </w:r>
      <w:r w:rsidR="00F64ADA">
        <w:rPr>
          <w:rFonts w:ascii="Arial" w:hAnsi="Arial" w:cs="Arial"/>
          <w:sz w:val="24"/>
          <w:szCs w:val="24"/>
          <w:lang w:val="en-US"/>
        </w:rPr>
        <w:t>,</w:t>
      </w:r>
      <w:r>
        <w:rPr>
          <w:rFonts w:ascii="Arial" w:hAnsi="Arial" w:cs="Arial"/>
          <w:sz w:val="24"/>
          <w:szCs w:val="24"/>
          <w:lang w:val="en-US"/>
        </w:rPr>
        <w:t xml:space="preserve"> who was the plaintiff in the main action against the applicants, who were the defendants therein. The default judgment in </w:t>
      </w:r>
      <w:proofErr w:type="spellStart"/>
      <w:r>
        <w:rPr>
          <w:rFonts w:ascii="Arial" w:hAnsi="Arial" w:cs="Arial"/>
          <w:sz w:val="24"/>
          <w:szCs w:val="24"/>
          <w:lang w:val="en-US"/>
        </w:rPr>
        <w:t>favour</w:t>
      </w:r>
      <w:proofErr w:type="spellEnd"/>
      <w:r>
        <w:rPr>
          <w:rFonts w:ascii="Arial" w:hAnsi="Arial" w:cs="Arial"/>
          <w:sz w:val="24"/>
          <w:szCs w:val="24"/>
          <w:lang w:val="en-US"/>
        </w:rPr>
        <w:t xml:space="preserve"> of the </w:t>
      </w:r>
      <w:r w:rsidR="00030925">
        <w:rPr>
          <w:rFonts w:ascii="Arial" w:hAnsi="Arial" w:cs="Arial"/>
          <w:sz w:val="24"/>
          <w:szCs w:val="24"/>
          <w:lang w:val="en-US"/>
        </w:rPr>
        <w:t xml:space="preserve">first respondent </w:t>
      </w:r>
      <w:r w:rsidR="00F76846">
        <w:rPr>
          <w:rFonts w:ascii="Arial" w:hAnsi="Arial" w:cs="Arial"/>
          <w:sz w:val="24"/>
          <w:szCs w:val="24"/>
          <w:lang w:val="en-US"/>
        </w:rPr>
        <w:t>ordered the applicants to pay to the first respondent an amount of R1 261 429.30 (One Million Two Hundred and Sixty</w:t>
      </w:r>
      <w:r w:rsidR="00AD3D3D">
        <w:rPr>
          <w:rFonts w:ascii="Arial" w:hAnsi="Arial" w:cs="Arial"/>
          <w:sz w:val="24"/>
          <w:szCs w:val="24"/>
          <w:lang w:val="en-US"/>
        </w:rPr>
        <w:t>-</w:t>
      </w:r>
      <w:r w:rsidR="00F76846">
        <w:rPr>
          <w:rFonts w:ascii="Arial" w:hAnsi="Arial" w:cs="Arial"/>
          <w:sz w:val="24"/>
          <w:szCs w:val="24"/>
          <w:lang w:val="en-US"/>
        </w:rPr>
        <w:t>One Thousand Four Hundred and Twenty</w:t>
      </w:r>
      <w:r w:rsidR="00AD3D3D">
        <w:rPr>
          <w:rFonts w:ascii="Arial" w:hAnsi="Arial" w:cs="Arial"/>
          <w:sz w:val="24"/>
          <w:szCs w:val="24"/>
          <w:lang w:val="en-US"/>
        </w:rPr>
        <w:t>-</w:t>
      </w:r>
      <w:r w:rsidR="00F76846">
        <w:rPr>
          <w:rFonts w:ascii="Arial" w:hAnsi="Arial" w:cs="Arial"/>
          <w:sz w:val="24"/>
          <w:szCs w:val="24"/>
          <w:lang w:val="en-US"/>
        </w:rPr>
        <w:t>Nine Rands Thirty Cents).</w:t>
      </w:r>
    </w:p>
    <w:p w14:paraId="32145CDB" w14:textId="7297BF26" w:rsidR="00375EBE" w:rsidRDefault="00F76846" w:rsidP="004E12DB">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[5]</w:t>
      </w:r>
      <w:r w:rsidR="00AD3D3D">
        <w:rPr>
          <w:rFonts w:ascii="Arial" w:hAnsi="Arial" w:cs="Arial"/>
          <w:sz w:val="24"/>
          <w:szCs w:val="24"/>
          <w:lang w:val="en-US"/>
        </w:rPr>
        <w:tab/>
        <w:t xml:space="preserve">Aggrieved by the court order of 9 February 2024, the first respondent invoked </w:t>
      </w:r>
      <w:r w:rsidR="00375EBE">
        <w:rPr>
          <w:rFonts w:ascii="Arial" w:hAnsi="Arial" w:cs="Arial"/>
          <w:sz w:val="24"/>
          <w:szCs w:val="24"/>
          <w:lang w:val="en-US"/>
        </w:rPr>
        <w:t xml:space="preserve">the provisions of Uniform Rules 6(12)(c) by making an application on a notice of motion supported by supporting affidavit for </w:t>
      </w:r>
      <w:proofErr w:type="gramStart"/>
      <w:r w:rsidR="00375EBE">
        <w:rPr>
          <w:rFonts w:ascii="Arial" w:hAnsi="Arial" w:cs="Arial"/>
          <w:sz w:val="24"/>
          <w:szCs w:val="24"/>
          <w:lang w:val="en-US"/>
        </w:rPr>
        <w:t>reconsideration  of</w:t>
      </w:r>
      <w:proofErr w:type="gramEnd"/>
      <w:r w:rsidR="00375EBE">
        <w:rPr>
          <w:rFonts w:ascii="Arial" w:hAnsi="Arial" w:cs="Arial"/>
          <w:sz w:val="24"/>
          <w:szCs w:val="24"/>
          <w:lang w:val="en-US"/>
        </w:rPr>
        <w:t xml:space="preserve"> the court order. Rule 6(12)(c) of the Uniform Rules of Court provides as follows:</w:t>
      </w:r>
    </w:p>
    <w:p w14:paraId="03971C20" w14:textId="07D64FBA" w:rsidR="00330D3B" w:rsidRPr="0035470E" w:rsidRDefault="00375EBE" w:rsidP="0035470E">
      <w:pPr>
        <w:spacing w:line="240" w:lineRule="auto"/>
        <w:ind w:left="2160" w:hanging="720"/>
        <w:jc w:val="both"/>
        <w:rPr>
          <w:rFonts w:ascii="Arial" w:hAnsi="Arial" w:cs="Arial"/>
          <w:i/>
          <w:iCs/>
          <w:sz w:val="20"/>
          <w:szCs w:val="20"/>
          <w:lang w:val="en-US"/>
        </w:rPr>
      </w:pPr>
      <w:r w:rsidRPr="0035470E">
        <w:rPr>
          <w:rFonts w:ascii="Arial" w:hAnsi="Arial" w:cs="Arial"/>
          <w:sz w:val="20"/>
          <w:szCs w:val="20"/>
          <w:lang w:val="en-US"/>
        </w:rPr>
        <w:t>“</w:t>
      </w:r>
      <w:r w:rsidRPr="0035470E">
        <w:rPr>
          <w:rFonts w:ascii="Arial" w:hAnsi="Arial" w:cs="Arial"/>
          <w:i/>
          <w:iCs/>
          <w:sz w:val="20"/>
          <w:szCs w:val="20"/>
          <w:lang w:val="en-US"/>
        </w:rPr>
        <w:t>(c)</w:t>
      </w:r>
      <w:r w:rsidRPr="0035470E">
        <w:rPr>
          <w:rFonts w:ascii="Arial" w:hAnsi="Arial" w:cs="Arial"/>
          <w:i/>
          <w:iCs/>
          <w:sz w:val="20"/>
          <w:szCs w:val="20"/>
          <w:lang w:val="en-US"/>
        </w:rPr>
        <w:tab/>
        <w:t>A person against whom an order was granted in such person</w:t>
      </w:r>
      <w:r w:rsidR="00F64ADA">
        <w:rPr>
          <w:rFonts w:ascii="Arial" w:hAnsi="Arial" w:cs="Arial"/>
          <w:i/>
          <w:iCs/>
          <w:sz w:val="20"/>
          <w:szCs w:val="20"/>
          <w:lang w:val="en-US"/>
        </w:rPr>
        <w:t>’</w:t>
      </w:r>
      <w:r w:rsidRPr="0035470E">
        <w:rPr>
          <w:rFonts w:ascii="Arial" w:hAnsi="Arial" w:cs="Arial"/>
          <w:i/>
          <w:iCs/>
          <w:sz w:val="20"/>
          <w:szCs w:val="20"/>
          <w:lang w:val="en-US"/>
        </w:rPr>
        <w:t xml:space="preserve">s absence in an urgent application may by notice of set down the matter for reconsideration of the order.” </w:t>
      </w:r>
      <w:r w:rsidR="00AD3D3D" w:rsidRPr="0035470E">
        <w:rPr>
          <w:rFonts w:ascii="Arial" w:hAnsi="Arial" w:cs="Arial"/>
          <w:sz w:val="20"/>
          <w:szCs w:val="20"/>
          <w:lang w:val="en-US"/>
        </w:rPr>
        <w:t xml:space="preserve"> </w:t>
      </w:r>
      <w:r w:rsidR="00330D3B" w:rsidRPr="0035470E">
        <w:rPr>
          <w:rFonts w:ascii="Arial" w:hAnsi="Arial" w:cs="Arial"/>
          <w:i/>
          <w:iCs/>
          <w:sz w:val="20"/>
          <w:szCs w:val="20"/>
          <w:lang w:val="en-US"/>
        </w:rPr>
        <w:t xml:space="preserve"> </w:t>
      </w:r>
    </w:p>
    <w:p w14:paraId="56292D08" w14:textId="635A52F0" w:rsidR="004F3D54" w:rsidRDefault="0035470E" w:rsidP="00A461CE">
      <w:pPr>
        <w:spacing w:line="48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From the wording of </w:t>
      </w:r>
      <w:r w:rsidR="00F64ADA">
        <w:rPr>
          <w:rFonts w:ascii="Arial" w:hAnsi="Arial" w:cs="Arial"/>
          <w:sz w:val="24"/>
          <w:szCs w:val="24"/>
          <w:lang w:val="en-US"/>
        </w:rPr>
        <w:t xml:space="preserve">the </w:t>
      </w:r>
      <w:r>
        <w:rPr>
          <w:rFonts w:ascii="Arial" w:hAnsi="Arial" w:cs="Arial"/>
          <w:sz w:val="24"/>
          <w:szCs w:val="24"/>
          <w:lang w:val="en-US"/>
        </w:rPr>
        <w:t xml:space="preserve">subrule it is clear that no notice of motion is required when seeking </w:t>
      </w:r>
      <w:r w:rsidR="00A461CE">
        <w:rPr>
          <w:rFonts w:ascii="Arial" w:hAnsi="Arial" w:cs="Arial"/>
          <w:sz w:val="24"/>
          <w:szCs w:val="24"/>
          <w:lang w:val="en-US"/>
        </w:rPr>
        <w:t>an order for reconsideration of the order. The respondent is only empowered to set the matter down for reconsideration of the order</w:t>
      </w:r>
      <w:r w:rsidR="005D0CEC">
        <w:rPr>
          <w:rFonts w:ascii="Arial" w:hAnsi="Arial" w:cs="Arial"/>
          <w:sz w:val="24"/>
          <w:szCs w:val="24"/>
          <w:lang w:val="en-US"/>
        </w:rPr>
        <w:t xml:space="preserve">. It goes without </w:t>
      </w:r>
      <w:proofErr w:type="gramStart"/>
      <w:r w:rsidR="005D0CEC">
        <w:rPr>
          <w:rFonts w:ascii="Arial" w:hAnsi="Arial" w:cs="Arial"/>
          <w:sz w:val="24"/>
          <w:szCs w:val="24"/>
          <w:lang w:val="en-US"/>
        </w:rPr>
        <w:t>saying  that</w:t>
      </w:r>
      <w:proofErr w:type="gramEnd"/>
      <w:r w:rsidR="005D0CEC">
        <w:rPr>
          <w:rFonts w:ascii="Arial" w:hAnsi="Arial" w:cs="Arial"/>
          <w:sz w:val="24"/>
          <w:szCs w:val="24"/>
          <w:lang w:val="en-US"/>
        </w:rPr>
        <w:t xml:space="preserve"> the </w:t>
      </w:r>
      <w:r w:rsidR="001D0F45">
        <w:rPr>
          <w:rFonts w:ascii="Arial" w:hAnsi="Arial" w:cs="Arial"/>
          <w:sz w:val="24"/>
          <w:szCs w:val="24"/>
          <w:lang w:val="en-US"/>
        </w:rPr>
        <w:t xml:space="preserve">first respondent adopted an improper procedure in bringing </w:t>
      </w:r>
      <w:r w:rsidR="004F3D54">
        <w:rPr>
          <w:rFonts w:ascii="Arial" w:hAnsi="Arial" w:cs="Arial"/>
          <w:sz w:val="24"/>
          <w:szCs w:val="24"/>
          <w:lang w:val="en-US"/>
        </w:rPr>
        <w:t>the matter before court. The notice of motion was a step that would otherwise be irregular.</w:t>
      </w:r>
    </w:p>
    <w:p w14:paraId="74F10D8C" w14:textId="166DCE6D" w:rsidR="00360ACE" w:rsidRDefault="004F3D54" w:rsidP="00A461CE">
      <w:pPr>
        <w:spacing w:line="48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EB199A">
        <w:rPr>
          <w:rFonts w:ascii="Arial" w:hAnsi="Arial" w:cs="Arial"/>
          <w:sz w:val="24"/>
          <w:szCs w:val="24"/>
          <w:lang w:val="en-US"/>
        </w:rPr>
        <w:t>Th</w:t>
      </w:r>
      <w:r w:rsidR="00E531DA">
        <w:rPr>
          <w:rFonts w:ascii="Arial" w:hAnsi="Arial" w:cs="Arial"/>
          <w:sz w:val="24"/>
          <w:szCs w:val="24"/>
          <w:lang w:val="en-US"/>
        </w:rPr>
        <w:t>e</w:t>
      </w:r>
      <w:r w:rsidR="00EB199A">
        <w:rPr>
          <w:rFonts w:ascii="Arial" w:hAnsi="Arial" w:cs="Arial"/>
          <w:sz w:val="24"/>
          <w:szCs w:val="24"/>
          <w:lang w:val="en-US"/>
        </w:rPr>
        <w:t xml:space="preserve"> notice of motion was </w:t>
      </w:r>
      <w:r w:rsidR="004952D5">
        <w:rPr>
          <w:rFonts w:ascii="Arial" w:hAnsi="Arial" w:cs="Arial"/>
          <w:sz w:val="24"/>
          <w:szCs w:val="24"/>
          <w:lang w:val="en-US"/>
        </w:rPr>
        <w:t>follow</w:t>
      </w:r>
      <w:r w:rsidR="00546532">
        <w:rPr>
          <w:rFonts w:ascii="Arial" w:hAnsi="Arial" w:cs="Arial"/>
          <w:sz w:val="24"/>
          <w:szCs w:val="24"/>
          <w:lang w:val="en-US"/>
        </w:rPr>
        <w:t xml:space="preserve">ed by an answering affidavit from the applicants. That </w:t>
      </w:r>
      <w:r w:rsidR="00F64ADA">
        <w:rPr>
          <w:rFonts w:ascii="Arial" w:hAnsi="Arial" w:cs="Arial"/>
          <w:sz w:val="24"/>
          <w:szCs w:val="24"/>
          <w:lang w:val="en-US"/>
        </w:rPr>
        <w:t>again</w:t>
      </w:r>
      <w:r w:rsidR="00546532">
        <w:rPr>
          <w:rFonts w:ascii="Arial" w:hAnsi="Arial" w:cs="Arial"/>
          <w:sz w:val="24"/>
          <w:szCs w:val="24"/>
          <w:lang w:val="en-US"/>
        </w:rPr>
        <w:t xml:space="preserve"> was an irregular procedure as the only step available to the applicant </w:t>
      </w:r>
      <w:r w:rsidR="00187D9F">
        <w:rPr>
          <w:rFonts w:ascii="Arial" w:hAnsi="Arial" w:cs="Arial"/>
          <w:sz w:val="24"/>
          <w:szCs w:val="24"/>
          <w:lang w:val="en-US"/>
        </w:rPr>
        <w:t xml:space="preserve">was the </w:t>
      </w:r>
      <w:r w:rsidR="00023D23">
        <w:rPr>
          <w:rFonts w:ascii="Arial" w:hAnsi="Arial" w:cs="Arial"/>
          <w:sz w:val="24"/>
          <w:szCs w:val="24"/>
          <w:lang w:val="en-US"/>
        </w:rPr>
        <w:t xml:space="preserve">filing of </w:t>
      </w:r>
      <w:proofErr w:type="gramStart"/>
      <w:r w:rsidR="00187D9F">
        <w:rPr>
          <w:rFonts w:ascii="Arial" w:hAnsi="Arial" w:cs="Arial"/>
          <w:sz w:val="24"/>
          <w:szCs w:val="24"/>
          <w:lang w:val="en-US"/>
        </w:rPr>
        <w:t>replying</w:t>
      </w:r>
      <w:proofErr w:type="gramEnd"/>
      <w:r w:rsidR="00187D9F">
        <w:rPr>
          <w:rFonts w:ascii="Arial" w:hAnsi="Arial" w:cs="Arial"/>
          <w:sz w:val="24"/>
          <w:szCs w:val="24"/>
          <w:lang w:val="en-US"/>
        </w:rPr>
        <w:t xml:space="preserve"> affidavit. A further confusion and irregularity </w:t>
      </w:r>
      <w:r w:rsidR="008610E4">
        <w:rPr>
          <w:rFonts w:ascii="Arial" w:hAnsi="Arial" w:cs="Arial"/>
          <w:sz w:val="24"/>
          <w:szCs w:val="24"/>
          <w:lang w:val="en-US"/>
        </w:rPr>
        <w:t>erupted by</w:t>
      </w:r>
      <w:r w:rsidR="00364FE9">
        <w:rPr>
          <w:rFonts w:ascii="Arial" w:hAnsi="Arial" w:cs="Arial"/>
          <w:sz w:val="24"/>
          <w:szCs w:val="24"/>
          <w:lang w:val="en-US"/>
        </w:rPr>
        <w:t xml:space="preserve"> first respondent</w:t>
      </w:r>
      <w:r w:rsidR="00E531DA">
        <w:rPr>
          <w:rFonts w:ascii="Arial" w:hAnsi="Arial" w:cs="Arial"/>
          <w:sz w:val="24"/>
          <w:szCs w:val="24"/>
          <w:lang w:val="en-US"/>
        </w:rPr>
        <w:t>’s</w:t>
      </w:r>
      <w:r w:rsidR="00364FE9">
        <w:rPr>
          <w:rFonts w:ascii="Arial" w:hAnsi="Arial" w:cs="Arial"/>
          <w:sz w:val="24"/>
          <w:szCs w:val="24"/>
          <w:lang w:val="en-US"/>
        </w:rPr>
        <w:t xml:space="preserve"> filing </w:t>
      </w:r>
      <w:r w:rsidR="00860A20">
        <w:rPr>
          <w:rFonts w:ascii="Arial" w:hAnsi="Arial" w:cs="Arial"/>
          <w:sz w:val="24"/>
          <w:szCs w:val="24"/>
          <w:lang w:val="en-US"/>
        </w:rPr>
        <w:t>of a fourth affidavit</w:t>
      </w:r>
      <w:r w:rsidR="00A2385D">
        <w:rPr>
          <w:rFonts w:ascii="Arial" w:hAnsi="Arial" w:cs="Arial"/>
          <w:sz w:val="24"/>
          <w:szCs w:val="24"/>
          <w:lang w:val="en-US"/>
        </w:rPr>
        <w:t xml:space="preserve"> </w:t>
      </w:r>
      <w:r w:rsidR="00860A20">
        <w:rPr>
          <w:rFonts w:ascii="Arial" w:hAnsi="Arial" w:cs="Arial"/>
          <w:sz w:val="24"/>
          <w:szCs w:val="24"/>
          <w:lang w:val="en-US"/>
        </w:rPr>
        <w:t xml:space="preserve">styled </w:t>
      </w:r>
      <w:r w:rsidR="00A2385D">
        <w:rPr>
          <w:rFonts w:ascii="Arial" w:hAnsi="Arial" w:cs="Arial"/>
          <w:sz w:val="24"/>
          <w:szCs w:val="24"/>
          <w:lang w:val="en-US"/>
        </w:rPr>
        <w:t>REPLYING AFFIDAVIT BY THE FIRST RESPONDENT</w:t>
      </w:r>
      <w:r w:rsidR="00CF1C20">
        <w:rPr>
          <w:rFonts w:ascii="Arial" w:hAnsi="Arial" w:cs="Arial"/>
          <w:sz w:val="24"/>
          <w:szCs w:val="24"/>
          <w:lang w:val="en-US"/>
        </w:rPr>
        <w:t xml:space="preserve">. A debate in court did not assist </w:t>
      </w:r>
      <w:r w:rsidR="00360ACE">
        <w:rPr>
          <w:rFonts w:ascii="Arial" w:hAnsi="Arial" w:cs="Arial"/>
          <w:sz w:val="24"/>
          <w:szCs w:val="24"/>
          <w:lang w:val="en-US"/>
        </w:rPr>
        <w:t>to resolve this quagmire. However, the first respondent bravely insisted that the matter must be proceeded with as it is. No party opposed that.</w:t>
      </w:r>
    </w:p>
    <w:p w14:paraId="7D96CB4C" w14:textId="3AB86501" w:rsidR="00C3074B" w:rsidRDefault="00360ACE" w:rsidP="00A461CE">
      <w:pPr>
        <w:spacing w:line="48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second respondent filed a notice to oppose and was represented in court by his counsel. The second respondent came to court only </w:t>
      </w:r>
      <w:r w:rsidR="0022563D">
        <w:rPr>
          <w:rFonts w:ascii="Arial" w:hAnsi="Arial" w:cs="Arial"/>
          <w:sz w:val="24"/>
          <w:szCs w:val="24"/>
          <w:lang w:val="en-US"/>
        </w:rPr>
        <w:t xml:space="preserve">to oppose </w:t>
      </w:r>
      <w:r w:rsidR="00F64ADA">
        <w:rPr>
          <w:rFonts w:ascii="Arial" w:hAnsi="Arial" w:cs="Arial"/>
          <w:sz w:val="24"/>
          <w:szCs w:val="24"/>
          <w:lang w:val="en-US"/>
        </w:rPr>
        <w:t xml:space="preserve">a relief </w:t>
      </w:r>
      <w:r w:rsidR="0022563D">
        <w:rPr>
          <w:rFonts w:ascii="Arial" w:hAnsi="Arial" w:cs="Arial"/>
          <w:sz w:val="24"/>
          <w:szCs w:val="24"/>
          <w:lang w:val="en-US"/>
        </w:rPr>
        <w:t xml:space="preserve">sought against her in paragraph </w:t>
      </w:r>
      <w:r w:rsidR="00C3074B">
        <w:rPr>
          <w:rFonts w:ascii="Arial" w:hAnsi="Arial" w:cs="Arial"/>
          <w:sz w:val="24"/>
          <w:szCs w:val="24"/>
          <w:lang w:val="en-US"/>
        </w:rPr>
        <w:t xml:space="preserve">5 of the notice of motion. In paragraph 5 of the notice of motion the first respondent </w:t>
      </w:r>
      <w:r w:rsidR="00F64ADA">
        <w:rPr>
          <w:rFonts w:ascii="Arial" w:hAnsi="Arial" w:cs="Arial"/>
          <w:sz w:val="24"/>
          <w:szCs w:val="24"/>
          <w:lang w:val="en-US"/>
        </w:rPr>
        <w:t>sought costs</w:t>
      </w:r>
      <w:r w:rsidR="00C3074B">
        <w:rPr>
          <w:rFonts w:ascii="Arial" w:hAnsi="Arial" w:cs="Arial"/>
          <w:sz w:val="24"/>
          <w:szCs w:val="24"/>
          <w:lang w:val="en-US"/>
        </w:rPr>
        <w:t xml:space="preserve"> against the second respondent in the following terms:</w:t>
      </w:r>
    </w:p>
    <w:p w14:paraId="56850869" w14:textId="06441869" w:rsidR="00330D3B" w:rsidRPr="0037775A" w:rsidRDefault="00C3074B" w:rsidP="0037775A">
      <w:pPr>
        <w:spacing w:line="240" w:lineRule="auto"/>
        <w:ind w:left="2160" w:hanging="720"/>
        <w:jc w:val="both"/>
        <w:rPr>
          <w:rFonts w:ascii="Arial" w:hAnsi="Arial" w:cs="Arial"/>
          <w:sz w:val="20"/>
          <w:szCs w:val="20"/>
          <w:lang w:val="en-US"/>
        </w:rPr>
      </w:pPr>
      <w:r w:rsidRPr="0037775A">
        <w:rPr>
          <w:rFonts w:ascii="Arial" w:hAnsi="Arial" w:cs="Arial"/>
          <w:sz w:val="20"/>
          <w:szCs w:val="20"/>
          <w:lang w:val="en-US"/>
        </w:rPr>
        <w:lastRenderedPageBreak/>
        <w:t>“</w:t>
      </w:r>
      <w:r w:rsidRPr="0037775A">
        <w:rPr>
          <w:rFonts w:ascii="Arial" w:hAnsi="Arial" w:cs="Arial"/>
          <w:i/>
          <w:iCs/>
          <w:sz w:val="20"/>
          <w:szCs w:val="20"/>
          <w:lang w:val="en-US"/>
        </w:rPr>
        <w:t>5.</w:t>
      </w:r>
      <w:r w:rsidRPr="0037775A">
        <w:rPr>
          <w:rFonts w:ascii="Arial" w:hAnsi="Arial" w:cs="Arial"/>
          <w:i/>
          <w:iCs/>
          <w:sz w:val="20"/>
          <w:szCs w:val="20"/>
          <w:lang w:val="en-US"/>
        </w:rPr>
        <w:tab/>
        <w:t xml:space="preserve">Ordering </w:t>
      </w:r>
      <w:r w:rsidR="00441917" w:rsidRPr="0037775A">
        <w:rPr>
          <w:rFonts w:ascii="Arial" w:hAnsi="Arial" w:cs="Arial"/>
          <w:i/>
          <w:iCs/>
          <w:sz w:val="20"/>
          <w:szCs w:val="20"/>
          <w:lang w:val="en-US"/>
        </w:rPr>
        <w:t>the first and second respondents to pay costs of this application jointly and severally one paying the other to be absolved on a scale between attorney and client.”</w:t>
      </w:r>
      <w:r w:rsidRPr="0037775A">
        <w:rPr>
          <w:rFonts w:ascii="Arial" w:hAnsi="Arial" w:cs="Arial"/>
          <w:sz w:val="20"/>
          <w:szCs w:val="20"/>
          <w:lang w:val="en-US"/>
        </w:rPr>
        <w:t xml:space="preserve"> </w:t>
      </w:r>
      <w:r w:rsidR="00360ACE" w:rsidRPr="0037775A">
        <w:rPr>
          <w:rFonts w:ascii="Arial" w:hAnsi="Arial" w:cs="Arial"/>
          <w:sz w:val="20"/>
          <w:szCs w:val="20"/>
          <w:lang w:val="en-US"/>
        </w:rPr>
        <w:t xml:space="preserve"> </w:t>
      </w:r>
    </w:p>
    <w:p w14:paraId="28780EF6" w14:textId="244C3183" w:rsidR="004506F1" w:rsidRDefault="0037775A" w:rsidP="00644632">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E14683">
        <w:rPr>
          <w:rFonts w:ascii="Arial" w:hAnsi="Arial" w:cs="Arial"/>
          <w:sz w:val="24"/>
          <w:szCs w:val="24"/>
        </w:rPr>
        <w:t>The only argument presented by the first respondent about</w:t>
      </w:r>
      <w:r w:rsidR="00A02C8D">
        <w:rPr>
          <w:rFonts w:ascii="Arial" w:hAnsi="Arial" w:cs="Arial"/>
          <w:sz w:val="24"/>
          <w:szCs w:val="24"/>
        </w:rPr>
        <w:t xml:space="preserve"> the order sought in paragraph</w:t>
      </w:r>
      <w:r w:rsidR="00F64ADA">
        <w:rPr>
          <w:rFonts w:ascii="Arial" w:hAnsi="Arial" w:cs="Arial"/>
          <w:sz w:val="24"/>
          <w:szCs w:val="24"/>
        </w:rPr>
        <w:t xml:space="preserve"> </w:t>
      </w:r>
      <w:r w:rsidR="00A02C8D">
        <w:rPr>
          <w:rFonts w:ascii="Arial" w:hAnsi="Arial" w:cs="Arial"/>
          <w:sz w:val="24"/>
          <w:szCs w:val="24"/>
        </w:rPr>
        <w:t>5 of the notice of motion was that</w:t>
      </w:r>
      <w:r w:rsidR="00D578C1">
        <w:rPr>
          <w:rFonts w:ascii="Arial" w:hAnsi="Arial" w:cs="Arial"/>
          <w:sz w:val="24"/>
          <w:szCs w:val="24"/>
        </w:rPr>
        <w:t xml:space="preserve"> it was a mistake to seek that order. The order of costs against the second respondent was not intended, so the argument went. Warming up in the argument</w:t>
      </w:r>
      <w:r w:rsidR="00640240">
        <w:rPr>
          <w:rFonts w:ascii="Arial" w:hAnsi="Arial" w:cs="Arial"/>
          <w:sz w:val="24"/>
          <w:szCs w:val="24"/>
        </w:rPr>
        <w:t xml:space="preserve">, Mr Metu, counsel for the first respondent confidentially argued that the second respondent should not have come to court as paragraph 5 of the notice of motion </w:t>
      </w:r>
      <w:r w:rsidR="00644632">
        <w:rPr>
          <w:rFonts w:ascii="Arial" w:hAnsi="Arial" w:cs="Arial"/>
          <w:sz w:val="24"/>
          <w:szCs w:val="24"/>
        </w:rPr>
        <w:t xml:space="preserve">was clearly a mistake. There is no </w:t>
      </w:r>
      <w:r w:rsidR="00F64ADA">
        <w:rPr>
          <w:rFonts w:ascii="Arial" w:hAnsi="Arial" w:cs="Arial"/>
          <w:sz w:val="24"/>
          <w:szCs w:val="24"/>
        </w:rPr>
        <w:t xml:space="preserve">merit </w:t>
      </w:r>
      <w:r w:rsidR="00644632">
        <w:rPr>
          <w:rFonts w:ascii="Arial" w:hAnsi="Arial" w:cs="Arial"/>
          <w:sz w:val="24"/>
          <w:szCs w:val="24"/>
        </w:rPr>
        <w:t>in this argument. The second respondent correctly came to court to defend her interest</w:t>
      </w:r>
      <w:r w:rsidR="00D9767C">
        <w:rPr>
          <w:rFonts w:ascii="Arial" w:hAnsi="Arial" w:cs="Arial"/>
          <w:sz w:val="24"/>
          <w:szCs w:val="24"/>
        </w:rPr>
        <w:t>s</w:t>
      </w:r>
      <w:r w:rsidR="00644632">
        <w:rPr>
          <w:rFonts w:ascii="Arial" w:hAnsi="Arial" w:cs="Arial"/>
          <w:sz w:val="24"/>
          <w:szCs w:val="24"/>
        </w:rPr>
        <w:t xml:space="preserve">. She was only told </w:t>
      </w:r>
      <w:r w:rsidR="00600361">
        <w:rPr>
          <w:rFonts w:ascii="Arial" w:hAnsi="Arial" w:cs="Arial"/>
          <w:sz w:val="24"/>
          <w:szCs w:val="24"/>
        </w:rPr>
        <w:t xml:space="preserve">of the alleged </w:t>
      </w:r>
      <w:r w:rsidR="00DD6904">
        <w:rPr>
          <w:rFonts w:ascii="Arial" w:hAnsi="Arial" w:cs="Arial"/>
          <w:sz w:val="24"/>
          <w:szCs w:val="24"/>
        </w:rPr>
        <w:t xml:space="preserve">mistake when she was already in court and </w:t>
      </w:r>
      <w:r w:rsidR="00D9767C">
        <w:rPr>
          <w:rFonts w:ascii="Arial" w:hAnsi="Arial" w:cs="Arial"/>
          <w:sz w:val="24"/>
          <w:szCs w:val="24"/>
        </w:rPr>
        <w:t xml:space="preserve">when </w:t>
      </w:r>
      <w:r w:rsidR="00DD6904">
        <w:rPr>
          <w:rFonts w:ascii="Arial" w:hAnsi="Arial" w:cs="Arial"/>
          <w:sz w:val="24"/>
          <w:szCs w:val="24"/>
        </w:rPr>
        <w:t>the costs had been incurred</w:t>
      </w:r>
      <w:r w:rsidR="00365F58">
        <w:rPr>
          <w:rFonts w:ascii="Arial" w:hAnsi="Arial" w:cs="Arial"/>
          <w:sz w:val="24"/>
          <w:szCs w:val="24"/>
        </w:rPr>
        <w:t xml:space="preserve"> already</w:t>
      </w:r>
      <w:r w:rsidR="00DD6904">
        <w:rPr>
          <w:rFonts w:ascii="Arial" w:hAnsi="Arial" w:cs="Arial"/>
          <w:sz w:val="24"/>
          <w:szCs w:val="24"/>
        </w:rPr>
        <w:t>.</w:t>
      </w:r>
      <w:r w:rsidR="00365F58">
        <w:rPr>
          <w:rFonts w:ascii="Arial" w:hAnsi="Arial" w:cs="Arial"/>
          <w:sz w:val="24"/>
          <w:szCs w:val="24"/>
        </w:rPr>
        <w:t xml:space="preserve"> Regardless of the outcome of the case </w:t>
      </w:r>
      <w:r w:rsidR="00A21601">
        <w:rPr>
          <w:rFonts w:ascii="Arial" w:hAnsi="Arial" w:cs="Arial"/>
          <w:sz w:val="24"/>
          <w:szCs w:val="24"/>
        </w:rPr>
        <w:t xml:space="preserve">the first respondent is liable </w:t>
      </w:r>
      <w:r w:rsidR="00F35B1F">
        <w:rPr>
          <w:rFonts w:ascii="Arial" w:hAnsi="Arial" w:cs="Arial"/>
          <w:sz w:val="24"/>
          <w:szCs w:val="24"/>
        </w:rPr>
        <w:t>to pay second respondent’s costs as the second respondent</w:t>
      </w:r>
      <w:r w:rsidR="00E82CC7">
        <w:rPr>
          <w:rFonts w:ascii="Arial" w:hAnsi="Arial" w:cs="Arial"/>
          <w:sz w:val="24"/>
          <w:szCs w:val="24"/>
        </w:rPr>
        <w:t xml:space="preserve"> would not have known that costs against her were </w:t>
      </w:r>
      <w:r w:rsidR="00D9767C">
        <w:rPr>
          <w:rFonts w:ascii="Arial" w:hAnsi="Arial" w:cs="Arial"/>
          <w:sz w:val="24"/>
          <w:szCs w:val="24"/>
        </w:rPr>
        <w:t xml:space="preserve">not </w:t>
      </w:r>
      <w:r w:rsidR="00E82CC7">
        <w:rPr>
          <w:rFonts w:ascii="Arial" w:hAnsi="Arial" w:cs="Arial"/>
          <w:sz w:val="24"/>
          <w:szCs w:val="24"/>
        </w:rPr>
        <w:t>going to be p</w:t>
      </w:r>
      <w:r w:rsidR="00286D4B">
        <w:rPr>
          <w:rFonts w:ascii="Arial" w:hAnsi="Arial" w:cs="Arial"/>
          <w:sz w:val="24"/>
          <w:szCs w:val="24"/>
        </w:rPr>
        <w:t>u</w:t>
      </w:r>
      <w:r w:rsidR="00E82CC7">
        <w:rPr>
          <w:rFonts w:ascii="Arial" w:hAnsi="Arial" w:cs="Arial"/>
          <w:sz w:val="24"/>
          <w:szCs w:val="24"/>
        </w:rPr>
        <w:t>rsued</w:t>
      </w:r>
      <w:r w:rsidR="00286D4B">
        <w:rPr>
          <w:rFonts w:ascii="Arial" w:hAnsi="Arial" w:cs="Arial"/>
          <w:sz w:val="24"/>
          <w:szCs w:val="24"/>
        </w:rPr>
        <w:t>. The first respondent</w:t>
      </w:r>
      <w:r w:rsidR="00226240">
        <w:rPr>
          <w:rFonts w:ascii="Arial" w:hAnsi="Arial" w:cs="Arial"/>
          <w:sz w:val="24"/>
          <w:szCs w:val="24"/>
        </w:rPr>
        <w:t xml:space="preserve"> sought costs against second respondent on a punitive attorney and client </w:t>
      </w:r>
      <w:r w:rsidR="00EC3031">
        <w:rPr>
          <w:rFonts w:ascii="Arial" w:hAnsi="Arial" w:cs="Arial"/>
          <w:sz w:val="24"/>
          <w:szCs w:val="24"/>
        </w:rPr>
        <w:t>scale when there was no case made out against the second respondent.</w:t>
      </w:r>
    </w:p>
    <w:p w14:paraId="2D8F1E22" w14:textId="423FE279" w:rsidR="00A4060E" w:rsidRDefault="004506F1" w:rsidP="00644632">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Without dealing extensively </w:t>
      </w:r>
      <w:r w:rsidR="001A1A08">
        <w:rPr>
          <w:rFonts w:ascii="Arial" w:hAnsi="Arial" w:cs="Arial"/>
          <w:sz w:val="24"/>
          <w:szCs w:val="24"/>
        </w:rPr>
        <w:t xml:space="preserve">with procedural irregularities alluded to above, I am of the view that </w:t>
      </w:r>
      <w:r w:rsidR="00703B7D">
        <w:rPr>
          <w:rFonts w:ascii="Arial" w:hAnsi="Arial" w:cs="Arial"/>
          <w:sz w:val="24"/>
          <w:szCs w:val="24"/>
        </w:rPr>
        <w:t xml:space="preserve">this matter </w:t>
      </w:r>
      <w:r w:rsidR="003554D3">
        <w:rPr>
          <w:rFonts w:ascii="Arial" w:hAnsi="Arial" w:cs="Arial"/>
          <w:sz w:val="24"/>
          <w:szCs w:val="24"/>
        </w:rPr>
        <w:t xml:space="preserve">may be disposed </w:t>
      </w:r>
      <w:r w:rsidR="0095702E">
        <w:rPr>
          <w:rFonts w:ascii="Arial" w:hAnsi="Arial" w:cs="Arial"/>
          <w:sz w:val="24"/>
          <w:szCs w:val="24"/>
        </w:rPr>
        <w:t xml:space="preserve">of by simple </w:t>
      </w:r>
      <w:r w:rsidR="00D9767C">
        <w:rPr>
          <w:rFonts w:ascii="Arial" w:hAnsi="Arial" w:cs="Arial"/>
          <w:sz w:val="24"/>
          <w:szCs w:val="24"/>
        </w:rPr>
        <w:t>looking</w:t>
      </w:r>
      <w:r w:rsidR="0095702E">
        <w:rPr>
          <w:rFonts w:ascii="Arial" w:hAnsi="Arial" w:cs="Arial"/>
          <w:sz w:val="24"/>
          <w:szCs w:val="24"/>
        </w:rPr>
        <w:t xml:space="preserve"> </w:t>
      </w:r>
      <w:r w:rsidR="00882F3C">
        <w:rPr>
          <w:rFonts w:ascii="Arial" w:hAnsi="Arial" w:cs="Arial"/>
          <w:sz w:val="24"/>
          <w:szCs w:val="24"/>
        </w:rPr>
        <w:t>at the nature of the case</w:t>
      </w:r>
      <w:r w:rsidR="008E3942">
        <w:rPr>
          <w:rFonts w:ascii="Arial" w:hAnsi="Arial" w:cs="Arial"/>
          <w:sz w:val="24"/>
          <w:szCs w:val="24"/>
        </w:rPr>
        <w:t xml:space="preserve"> and what has been pleaded</w:t>
      </w:r>
      <w:r w:rsidR="00B36D59">
        <w:rPr>
          <w:rFonts w:ascii="Arial" w:hAnsi="Arial" w:cs="Arial"/>
          <w:sz w:val="24"/>
          <w:szCs w:val="24"/>
        </w:rPr>
        <w:t xml:space="preserve"> by the parties, especially </w:t>
      </w:r>
      <w:r w:rsidR="00615E77">
        <w:rPr>
          <w:rFonts w:ascii="Arial" w:hAnsi="Arial" w:cs="Arial"/>
          <w:sz w:val="24"/>
          <w:szCs w:val="24"/>
        </w:rPr>
        <w:t>those issues</w:t>
      </w:r>
      <w:r w:rsidR="006956DF">
        <w:rPr>
          <w:rFonts w:ascii="Arial" w:hAnsi="Arial" w:cs="Arial"/>
          <w:sz w:val="24"/>
          <w:szCs w:val="24"/>
        </w:rPr>
        <w:t xml:space="preserve"> which are not </w:t>
      </w:r>
      <w:r w:rsidR="00A702D2">
        <w:rPr>
          <w:rFonts w:ascii="Arial" w:hAnsi="Arial" w:cs="Arial"/>
          <w:sz w:val="24"/>
          <w:szCs w:val="24"/>
        </w:rPr>
        <w:t>in</w:t>
      </w:r>
      <w:r w:rsidR="001460CB">
        <w:rPr>
          <w:rFonts w:ascii="Arial" w:hAnsi="Arial" w:cs="Arial"/>
          <w:sz w:val="24"/>
          <w:szCs w:val="24"/>
        </w:rPr>
        <w:t xml:space="preserve"> </w:t>
      </w:r>
      <w:r w:rsidR="00A702D2">
        <w:rPr>
          <w:rFonts w:ascii="Arial" w:hAnsi="Arial" w:cs="Arial"/>
          <w:sz w:val="24"/>
          <w:szCs w:val="24"/>
        </w:rPr>
        <w:t>dispute</w:t>
      </w:r>
      <w:r w:rsidR="007F589D">
        <w:rPr>
          <w:rFonts w:ascii="Arial" w:hAnsi="Arial" w:cs="Arial"/>
          <w:sz w:val="24"/>
          <w:szCs w:val="24"/>
        </w:rPr>
        <w:t xml:space="preserve">. I deal with this matter </w:t>
      </w:r>
      <w:r w:rsidR="004F0B66">
        <w:rPr>
          <w:rFonts w:ascii="Arial" w:hAnsi="Arial" w:cs="Arial"/>
          <w:sz w:val="24"/>
          <w:szCs w:val="24"/>
        </w:rPr>
        <w:t xml:space="preserve">without extensively </w:t>
      </w:r>
      <w:r w:rsidR="00A67602">
        <w:rPr>
          <w:rFonts w:ascii="Arial" w:hAnsi="Arial" w:cs="Arial"/>
          <w:sz w:val="24"/>
          <w:szCs w:val="24"/>
        </w:rPr>
        <w:t>dealing with those</w:t>
      </w:r>
      <w:r w:rsidR="00BB191E">
        <w:rPr>
          <w:rFonts w:ascii="Arial" w:hAnsi="Arial" w:cs="Arial"/>
          <w:sz w:val="24"/>
          <w:szCs w:val="24"/>
        </w:rPr>
        <w:t xml:space="preserve"> procedural obstacles because there is no party who has been prejudiced </w:t>
      </w:r>
      <w:r w:rsidR="00402347">
        <w:rPr>
          <w:rFonts w:ascii="Arial" w:hAnsi="Arial" w:cs="Arial"/>
          <w:sz w:val="24"/>
          <w:szCs w:val="24"/>
        </w:rPr>
        <w:t>by those irregularities. In fact</w:t>
      </w:r>
      <w:r w:rsidR="00840D35">
        <w:rPr>
          <w:rFonts w:ascii="Arial" w:hAnsi="Arial" w:cs="Arial"/>
          <w:sz w:val="24"/>
          <w:szCs w:val="24"/>
        </w:rPr>
        <w:t>, the applicants themselves are not innocent</w:t>
      </w:r>
      <w:r w:rsidR="006F5A30">
        <w:rPr>
          <w:rFonts w:ascii="Arial" w:hAnsi="Arial" w:cs="Arial"/>
          <w:sz w:val="24"/>
          <w:szCs w:val="24"/>
        </w:rPr>
        <w:t xml:space="preserve"> as I have </w:t>
      </w:r>
      <w:r w:rsidR="00C86F31">
        <w:rPr>
          <w:rFonts w:ascii="Arial" w:hAnsi="Arial" w:cs="Arial"/>
          <w:sz w:val="24"/>
          <w:szCs w:val="24"/>
        </w:rPr>
        <w:t>explained above.</w:t>
      </w:r>
    </w:p>
    <w:p w14:paraId="791EEA39" w14:textId="0F494ACB" w:rsidR="00145EF4" w:rsidRDefault="00145EF4" w:rsidP="00644632">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Parties and legal practitioners should not be encouraged to become </w:t>
      </w:r>
      <w:r w:rsidR="004E0A2F">
        <w:rPr>
          <w:rFonts w:ascii="Arial" w:hAnsi="Arial" w:cs="Arial"/>
          <w:sz w:val="24"/>
          <w:szCs w:val="24"/>
        </w:rPr>
        <w:t xml:space="preserve">slack </w:t>
      </w:r>
      <w:r w:rsidR="00504270">
        <w:rPr>
          <w:rFonts w:ascii="Arial" w:hAnsi="Arial" w:cs="Arial"/>
          <w:sz w:val="24"/>
          <w:szCs w:val="24"/>
        </w:rPr>
        <w:t xml:space="preserve">in the observance </w:t>
      </w:r>
      <w:r w:rsidR="00D93C17">
        <w:rPr>
          <w:rFonts w:ascii="Arial" w:hAnsi="Arial" w:cs="Arial"/>
          <w:sz w:val="24"/>
          <w:szCs w:val="24"/>
        </w:rPr>
        <w:t xml:space="preserve">of the rules, but technical </w:t>
      </w:r>
      <w:r w:rsidR="0020577A">
        <w:rPr>
          <w:rFonts w:ascii="Arial" w:hAnsi="Arial" w:cs="Arial"/>
          <w:sz w:val="24"/>
          <w:szCs w:val="24"/>
        </w:rPr>
        <w:t>objection</w:t>
      </w:r>
      <w:r w:rsidR="00564F77">
        <w:rPr>
          <w:rFonts w:ascii="Arial" w:hAnsi="Arial" w:cs="Arial"/>
          <w:sz w:val="24"/>
          <w:szCs w:val="24"/>
        </w:rPr>
        <w:t xml:space="preserve">s to less than perfect </w:t>
      </w:r>
      <w:r w:rsidR="00564F77">
        <w:rPr>
          <w:rFonts w:ascii="Arial" w:hAnsi="Arial" w:cs="Arial"/>
          <w:sz w:val="24"/>
          <w:szCs w:val="24"/>
        </w:rPr>
        <w:lastRenderedPageBreak/>
        <w:t xml:space="preserve">procedural steps should </w:t>
      </w:r>
      <w:r w:rsidR="00540D61">
        <w:rPr>
          <w:rFonts w:ascii="Arial" w:hAnsi="Arial" w:cs="Arial"/>
          <w:sz w:val="24"/>
          <w:szCs w:val="24"/>
        </w:rPr>
        <w:t xml:space="preserve">not be </w:t>
      </w:r>
      <w:r w:rsidR="00B12415">
        <w:rPr>
          <w:rFonts w:ascii="Arial" w:hAnsi="Arial" w:cs="Arial"/>
          <w:sz w:val="24"/>
          <w:szCs w:val="24"/>
        </w:rPr>
        <w:t xml:space="preserve">permitted in the absence </w:t>
      </w:r>
      <w:r w:rsidR="00526477">
        <w:rPr>
          <w:rFonts w:ascii="Arial" w:hAnsi="Arial" w:cs="Arial"/>
          <w:sz w:val="24"/>
          <w:szCs w:val="24"/>
        </w:rPr>
        <w:t>of prejudice</w:t>
      </w:r>
      <w:r w:rsidR="00B80ACE">
        <w:rPr>
          <w:rFonts w:ascii="Arial" w:hAnsi="Arial" w:cs="Arial"/>
          <w:sz w:val="24"/>
          <w:szCs w:val="24"/>
        </w:rPr>
        <w:t>, to interfere with</w:t>
      </w:r>
      <w:r w:rsidR="00EE004E">
        <w:rPr>
          <w:rFonts w:ascii="Arial" w:hAnsi="Arial" w:cs="Arial"/>
          <w:sz w:val="24"/>
          <w:szCs w:val="24"/>
        </w:rPr>
        <w:t xml:space="preserve"> expeditio</w:t>
      </w:r>
      <w:r w:rsidR="00D9767C">
        <w:rPr>
          <w:rFonts w:ascii="Arial" w:hAnsi="Arial" w:cs="Arial"/>
          <w:sz w:val="24"/>
          <w:szCs w:val="24"/>
        </w:rPr>
        <w:t>u</w:t>
      </w:r>
      <w:r w:rsidR="00EE004E">
        <w:rPr>
          <w:rFonts w:ascii="Arial" w:hAnsi="Arial" w:cs="Arial"/>
          <w:sz w:val="24"/>
          <w:szCs w:val="24"/>
        </w:rPr>
        <w:t xml:space="preserve">s </w:t>
      </w:r>
      <w:r w:rsidR="00955E6F">
        <w:rPr>
          <w:rFonts w:ascii="Arial" w:hAnsi="Arial" w:cs="Arial"/>
          <w:sz w:val="24"/>
          <w:szCs w:val="24"/>
        </w:rPr>
        <w:t>and, if possible, inexpensive decision of cases on their merits</w:t>
      </w:r>
      <w:r w:rsidR="00955E6F">
        <w:rPr>
          <w:rStyle w:val="FootnoteReference"/>
          <w:rFonts w:ascii="Arial" w:hAnsi="Arial" w:cs="Arial"/>
          <w:sz w:val="24"/>
          <w:szCs w:val="24"/>
        </w:rPr>
        <w:footnoteReference w:id="2"/>
      </w:r>
      <w:r w:rsidR="00955E6F">
        <w:rPr>
          <w:rFonts w:ascii="Arial" w:hAnsi="Arial" w:cs="Arial"/>
          <w:sz w:val="24"/>
          <w:szCs w:val="24"/>
        </w:rPr>
        <w:t xml:space="preserve">. I agree with the authorities </w:t>
      </w:r>
      <w:r w:rsidR="00046DE6">
        <w:rPr>
          <w:rFonts w:ascii="Arial" w:hAnsi="Arial" w:cs="Arial"/>
          <w:sz w:val="24"/>
          <w:szCs w:val="24"/>
        </w:rPr>
        <w:t xml:space="preserve">which </w:t>
      </w:r>
      <w:r w:rsidR="00D9767C">
        <w:rPr>
          <w:rFonts w:ascii="Arial" w:hAnsi="Arial" w:cs="Arial"/>
          <w:sz w:val="24"/>
          <w:szCs w:val="24"/>
        </w:rPr>
        <w:t>held</w:t>
      </w:r>
      <w:r w:rsidR="00046DE6">
        <w:rPr>
          <w:rFonts w:ascii="Arial" w:hAnsi="Arial" w:cs="Arial"/>
          <w:sz w:val="24"/>
          <w:szCs w:val="24"/>
        </w:rPr>
        <w:t xml:space="preserve"> that </w:t>
      </w:r>
      <w:r w:rsidR="008C0C80">
        <w:rPr>
          <w:rFonts w:ascii="Arial" w:hAnsi="Arial" w:cs="Arial"/>
          <w:sz w:val="24"/>
          <w:szCs w:val="24"/>
        </w:rPr>
        <w:t xml:space="preserve">substance should not be sacrificed on the </w:t>
      </w:r>
      <w:proofErr w:type="spellStart"/>
      <w:r w:rsidR="008C0C80">
        <w:rPr>
          <w:rFonts w:ascii="Arial" w:hAnsi="Arial" w:cs="Arial"/>
          <w:sz w:val="24"/>
          <w:szCs w:val="24"/>
        </w:rPr>
        <w:t>alter</w:t>
      </w:r>
      <w:proofErr w:type="spellEnd"/>
      <w:r w:rsidR="008C0C80">
        <w:rPr>
          <w:rFonts w:ascii="Arial" w:hAnsi="Arial" w:cs="Arial"/>
          <w:sz w:val="24"/>
          <w:szCs w:val="24"/>
        </w:rPr>
        <w:t xml:space="preserve"> of form.</w:t>
      </w:r>
    </w:p>
    <w:p w14:paraId="37AEBECB" w14:textId="101E72BC" w:rsidR="006D0D9A" w:rsidRDefault="000E598B" w:rsidP="0033156C">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first respondent’s case stands on two legs, namely</w:t>
      </w:r>
      <w:r w:rsidR="00D9767C">
        <w:rPr>
          <w:rFonts w:ascii="Arial" w:hAnsi="Arial" w:cs="Arial"/>
          <w:sz w:val="24"/>
          <w:szCs w:val="24"/>
        </w:rPr>
        <w:t>,</w:t>
      </w:r>
      <w:r>
        <w:rPr>
          <w:rFonts w:ascii="Arial" w:hAnsi="Arial" w:cs="Arial"/>
          <w:sz w:val="24"/>
          <w:szCs w:val="24"/>
        </w:rPr>
        <w:t xml:space="preserve"> that the ser</w:t>
      </w:r>
      <w:r w:rsidR="00F13148">
        <w:rPr>
          <w:rFonts w:ascii="Arial" w:hAnsi="Arial" w:cs="Arial"/>
          <w:sz w:val="24"/>
          <w:szCs w:val="24"/>
        </w:rPr>
        <w:t xml:space="preserve">vice </w:t>
      </w:r>
      <w:r w:rsidR="00855ECF">
        <w:rPr>
          <w:rFonts w:ascii="Arial" w:hAnsi="Arial" w:cs="Arial"/>
          <w:sz w:val="24"/>
          <w:szCs w:val="24"/>
        </w:rPr>
        <w:t>by the Sheriff</w:t>
      </w:r>
      <w:r w:rsidR="005355AA">
        <w:rPr>
          <w:rFonts w:ascii="Arial" w:hAnsi="Arial" w:cs="Arial"/>
          <w:sz w:val="24"/>
          <w:szCs w:val="24"/>
        </w:rPr>
        <w:t xml:space="preserve"> was not in line </w:t>
      </w:r>
      <w:r w:rsidR="00277EC2">
        <w:rPr>
          <w:rFonts w:ascii="Arial" w:hAnsi="Arial" w:cs="Arial"/>
          <w:sz w:val="24"/>
          <w:szCs w:val="24"/>
        </w:rPr>
        <w:t>with the directive</w:t>
      </w:r>
      <w:r w:rsidR="00C95B43">
        <w:rPr>
          <w:rFonts w:ascii="Arial" w:hAnsi="Arial" w:cs="Arial"/>
          <w:sz w:val="24"/>
          <w:szCs w:val="24"/>
        </w:rPr>
        <w:t xml:space="preserve">. </w:t>
      </w:r>
      <w:r w:rsidR="00E531DA">
        <w:rPr>
          <w:rFonts w:ascii="Arial" w:hAnsi="Arial" w:cs="Arial"/>
          <w:sz w:val="24"/>
          <w:szCs w:val="24"/>
        </w:rPr>
        <w:t xml:space="preserve">There was no service of the papers upon her. </w:t>
      </w:r>
      <w:r w:rsidR="00C95B43">
        <w:rPr>
          <w:rFonts w:ascii="Arial" w:hAnsi="Arial" w:cs="Arial"/>
          <w:sz w:val="24"/>
          <w:szCs w:val="24"/>
        </w:rPr>
        <w:t xml:space="preserve">The first respondent further states under this ground </w:t>
      </w:r>
      <w:r w:rsidR="00201B94">
        <w:rPr>
          <w:rFonts w:ascii="Arial" w:hAnsi="Arial" w:cs="Arial"/>
          <w:sz w:val="24"/>
          <w:szCs w:val="24"/>
        </w:rPr>
        <w:t>that the ser</w:t>
      </w:r>
      <w:r w:rsidR="004233DD">
        <w:rPr>
          <w:rFonts w:ascii="Arial" w:hAnsi="Arial" w:cs="Arial"/>
          <w:sz w:val="24"/>
          <w:szCs w:val="24"/>
        </w:rPr>
        <w:t xml:space="preserve">vice </w:t>
      </w:r>
      <w:r w:rsidR="00E01D92">
        <w:rPr>
          <w:rFonts w:ascii="Arial" w:hAnsi="Arial" w:cs="Arial"/>
          <w:sz w:val="24"/>
          <w:szCs w:val="24"/>
        </w:rPr>
        <w:t>was effected</w:t>
      </w:r>
      <w:r w:rsidR="009C1092">
        <w:rPr>
          <w:rFonts w:ascii="Arial" w:hAnsi="Arial" w:cs="Arial"/>
          <w:sz w:val="24"/>
          <w:szCs w:val="24"/>
        </w:rPr>
        <w:t xml:space="preserve"> on the f</w:t>
      </w:r>
      <w:r w:rsidR="00D9767C">
        <w:rPr>
          <w:rFonts w:ascii="Arial" w:hAnsi="Arial" w:cs="Arial"/>
          <w:sz w:val="24"/>
          <w:szCs w:val="24"/>
        </w:rPr>
        <w:t>i</w:t>
      </w:r>
      <w:r w:rsidR="009C1092">
        <w:rPr>
          <w:rFonts w:ascii="Arial" w:hAnsi="Arial" w:cs="Arial"/>
          <w:sz w:val="24"/>
          <w:szCs w:val="24"/>
        </w:rPr>
        <w:t xml:space="preserve">rm </w:t>
      </w:r>
      <w:r w:rsidR="009920FB">
        <w:rPr>
          <w:rFonts w:ascii="Arial" w:hAnsi="Arial" w:cs="Arial"/>
          <w:sz w:val="24"/>
          <w:szCs w:val="24"/>
        </w:rPr>
        <w:t>of attorney</w:t>
      </w:r>
      <w:r w:rsidR="00D9767C">
        <w:rPr>
          <w:rFonts w:ascii="Arial" w:hAnsi="Arial" w:cs="Arial"/>
          <w:sz w:val="24"/>
          <w:szCs w:val="24"/>
        </w:rPr>
        <w:t>s</w:t>
      </w:r>
      <w:r w:rsidR="009920FB">
        <w:rPr>
          <w:rFonts w:ascii="Arial" w:hAnsi="Arial" w:cs="Arial"/>
          <w:sz w:val="24"/>
          <w:szCs w:val="24"/>
        </w:rPr>
        <w:t xml:space="preserve"> </w:t>
      </w:r>
      <w:r w:rsidR="00127276">
        <w:rPr>
          <w:rFonts w:ascii="Arial" w:hAnsi="Arial" w:cs="Arial"/>
          <w:sz w:val="24"/>
          <w:szCs w:val="24"/>
        </w:rPr>
        <w:t xml:space="preserve">who represented her up to </w:t>
      </w:r>
      <w:r w:rsidR="00452B67">
        <w:rPr>
          <w:rFonts w:ascii="Arial" w:hAnsi="Arial" w:cs="Arial"/>
          <w:sz w:val="24"/>
          <w:szCs w:val="24"/>
        </w:rPr>
        <w:t xml:space="preserve">the stage </w:t>
      </w:r>
      <w:r w:rsidR="00ED0CEF">
        <w:rPr>
          <w:rFonts w:ascii="Arial" w:hAnsi="Arial" w:cs="Arial"/>
          <w:sz w:val="24"/>
          <w:szCs w:val="24"/>
        </w:rPr>
        <w:t>of the writ of execution</w:t>
      </w:r>
      <w:r w:rsidR="006D0D9A">
        <w:rPr>
          <w:rFonts w:ascii="Arial" w:hAnsi="Arial" w:cs="Arial"/>
          <w:sz w:val="24"/>
          <w:szCs w:val="24"/>
        </w:rPr>
        <w:t>.</w:t>
      </w:r>
      <w:r w:rsidR="0033156C">
        <w:rPr>
          <w:rFonts w:ascii="Arial" w:hAnsi="Arial" w:cs="Arial"/>
          <w:sz w:val="24"/>
          <w:szCs w:val="24"/>
        </w:rPr>
        <w:t xml:space="preserve"> </w:t>
      </w:r>
      <w:r w:rsidR="009D713E">
        <w:rPr>
          <w:rFonts w:ascii="Arial" w:hAnsi="Arial" w:cs="Arial"/>
          <w:sz w:val="24"/>
          <w:szCs w:val="24"/>
        </w:rPr>
        <w:t xml:space="preserve">Secondly, the first respondent complains </w:t>
      </w:r>
      <w:r w:rsidR="00D9767C">
        <w:rPr>
          <w:rFonts w:ascii="Arial" w:hAnsi="Arial" w:cs="Arial"/>
          <w:sz w:val="24"/>
          <w:szCs w:val="24"/>
        </w:rPr>
        <w:t xml:space="preserve">about short notice. She states that she was </w:t>
      </w:r>
      <w:r w:rsidR="00020993">
        <w:rPr>
          <w:rFonts w:ascii="Arial" w:hAnsi="Arial" w:cs="Arial"/>
          <w:sz w:val="24"/>
          <w:szCs w:val="24"/>
        </w:rPr>
        <w:t xml:space="preserve">given a short time </w:t>
      </w:r>
      <w:r w:rsidR="00A25DF1">
        <w:rPr>
          <w:rFonts w:ascii="Arial" w:hAnsi="Arial" w:cs="Arial"/>
          <w:sz w:val="24"/>
          <w:szCs w:val="24"/>
        </w:rPr>
        <w:t xml:space="preserve">to </w:t>
      </w:r>
      <w:proofErr w:type="gramStart"/>
      <w:r w:rsidR="00A25DF1">
        <w:rPr>
          <w:rFonts w:ascii="Arial" w:hAnsi="Arial" w:cs="Arial"/>
          <w:sz w:val="24"/>
          <w:szCs w:val="24"/>
        </w:rPr>
        <w:t>consult</w:t>
      </w:r>
      <w:proofErr w:type="gramEnd"/>
      <w:r w:rsidR="00A25DF1">
        <w:rPr>
          <w:rFonts w:ascii="Arial" w:hAnsi="Arial" w:cs="Arial"/>
          <w:sz w:val="24"/>
          <w:szCs w:val="24"/>
        </w:rPr>
        <w:t xml:space="preserve"> or her legal representative had a very short time to take instructions. I will deal with two grounds separately.</w:t>
      </w:r>
    </w:p>
    <w:p w14:paraId="3F926F6F" w14:textId="4D0A81A3" w:rsidR="00E531DA" w:rsidRPr="00E531DA" w:rsidRDefault="00E531DA" w:rsidP="0033156C">
      <w:pPr>
        <w:spacing w:line="480" w:lineRule="auto"/>
        <w:ind w:left="720" w:hanging="720"/>
        <w:jc w:val="both"/>
        <w:rPr>
          <w:rFonts w:ascii="Arial" w:hAnsi="Arial" w:cs="Arial"/>
          <w:i/>
          <w:iCs/>
          <w:sz w:val="24"/>
          <w:szCs w:val="24"/>
        </w:rPr>
      </w:pPr>
      <w:r w:rsidRPr="00E531DA">
        <w:rPr>
          <w:rFonts w:ascii="Arial" w:hAnsi="Arial" w:cs="Arial"/>
          <w:i/>
          <w:iCs/>
          <w:sz w:val="24"/>
          <w:szCs w:val="24"/>
        </w:rPr>
        <w:t>Service of the papers</w:t>
      </w:r>
    </w:p>
    <w:p w14:paraId="5C571478" w14:textId="4153EF06" w:rsidR="00A25DF1" w:rsidRDefault="00A25DF1" w:rsidP="0033156C">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C110E">
        <w:rPr>
          <w:rFonts w:ascii="Arial" w:hAnsi="Arial" w:cs="Arial"/>
          <w:sz w:val="24"/>
          <w:szCs w:val="24"/>
        </w:rPr>
        <w:t>With regard to the first ground</w:t>
      </w:r>
      <w:r w:rsidR="006735C2">
        <w:rPr>
          <w:rFonts w:ascii="Arial" w:hAnsi="Arial" w:cs="Arial"/>
          <w:sz w:val="24"/>
          <w:szCs w:val="24"/>
        </w:rPr>
        <w:t xml:space="preserve"> that th</w:t>
      </w:r>
      <w:r w:rsidR="00D9767C">
        <w:rPr>
          <w:rFonts w:ascii="Arial" w:hAnsi="Arial" w:cs="Arial"/>
          <w:sz w:val="24"/>
          <w:szCs w:val="24"/>
        </w:rPr>
        <w:t>er</w:t>
      </w:r>
      <w:r w:rsidR="006735C2">
        <w:rPr>
          <w:rFonts w:ascii="Arial" w:hAnsi="Arial" w:cs="Arial"/>
          <w:sz w:val="24"/>
          <w:szCs w:val="24"/>
        </w:rPr>
        <w:t xml:space="preserve">e was no service upon </w:t>
      </w:r>
      <w:r w:rsidR="00FB0367">
        <w:rPr>
          <w:rFonts w:ascii="Arial" w:hAnsi="Arial" w:cs="Arial"/>
          <w:sz w:val="24"/>
          <w:szCs w:val="24"/>
        </w:rPr>
        <w:t>the first respondent but upon the legal representative</w:t>
      </w:r>
      <w:r w:rsidR="00023D23">
        <w:rPr>
          <w:rFonts w:ascii="Arial" w:hAnsi="Arial" w:cs="Arial"/>
          <w:sz w:val="24"/>
          <w:szCs w:val="24"/>
        </w:rPr>
        <w:t>s</w:t>
      </w:r>
      <w:r w:rsidR="00FB0367">
        <w:rPr>
          <w:rFonts w:ascii="Arial" w:hAnsi="Arial" w:cs="Arial"/>
          <w:sz w:val="24"/>
          <w:szCs w:val="24"/>
        </w:rPr>
        <w:t xml:space="preserve">, the first respondent sought to distinguish </w:t>
      </w:r>
      <w:r w:rsidR="00A83A0F">
        <w:rPr>
          <w:rFonts w:ascii="Arial" w:hAnsi="Arial" w:cs="Arial"/>
          <w:sz w:val="24"/>
          <w:szCs w:val="24"/>
        </w:rPr>
        <w:t xml:space="preserve">herself from her </w:t>
      </w:r>
      <w:r w:rsidR="00FB0367">
        <w:rPr>
          <w:rFonts w:ascii="Arial" w:hAnsi="Arial" w:cs="Arial"/>
          <w:sz w:val="24"/>
          <w:szCs w:val="24"/>
        </w:rPr>
        <w:t>attorney</w:t>
      </w:r>
      <w:r w:rsidR="00A83A0F">
        <w:rPr>
          <w:rFonts w:ascii="Arial" w:hAnsi="Arial" w:cs="Arial"/>
          <w:sz w:val="24"/>
          <w:szCs w:val="24"/>
        </w:rPr>
        <w:t>s. She was represented by the same attorneys when the writ</w:t>
      </w:r>
      <w:r w:rsidR="00926EDA">
        <w:rPr>
          <w:rFonts w:ascii="Arial" w:hAnsi="Arial" w:cs="Arial"/>
          <w:sz w:val="24"/>
          <w:szCs w:val="24"/>
        </w:rPr>
        <w:t xml:space="preserve"> of execution</w:t>
      </w:r>
      <w:r w:rsidR="00A83A0F">
        <w:rPr>
          <w:rFonts w:ascii="Arial" w:hAnsi="Arial" w:cs="Arial"/>
          <w:sz w:val="24"/>
          <w:szCs w:val="24"/>
        </w:rPr>
        <w:t xml:space="preserve"> was issued.</w:t>
      </w:r>
      <w:r w:rsidR="00CB6CF1">
        <w:rPr>
          <w:rFonts w:ascii="Arial" w:hAnsi="Arial" w:cs="Arial"/>
          <w:sz w:val="24"/>
          <w:szCs w:val="24"/>
        </w:rPr>
        <w:t xml:space="preserve"> </w:t>
      </w:r>
      <w:r w:rsidR="00D9767C">
        <w:rPr>
          <w:rFonts w:ascii="Arial" w:hAnsi="Arial" w:cs="Arial"/>
          <w:sz w:val="24"/>
          <w:szCs w:val="24"/>
        </w:rPr>
        <w:t xml:space="preserve">There is </w:t>
      </w:r>
      <w:r w:rsidR="00CB6CF1">
        <w:rPr>
          <w:rFonts w:ascii="Arial" w:hAnsi="Arial" w:cs="Arial"/>
          <w:sz w:val="24"/>
          <w:szCs w:val="24"/>
        </w:rPr>
        <w:t xml:space="preserve">interwovenness </w:t>
      </w:r>
      <w:r w:rsidR="00E63061">
        <w:rPr>
          <w:rFonts w:ascii="Arial" w:hAnsi="Arial" w:cs="Arial"/>
          <w:sz w:val="24"/>
          <w:szCs w:val="24"/>
        </w:rPr>
        <w:t xml:space="preserve">and the relationship </w:t>
      </w:r>
      <w:r w:rsidR="00E7610E">
        <w:rPr>
          <w:rFonts w:ascii="Arial" w:hAnsi="Arial" w:cs="Arial"/>
          <w:sz w:val="24"/>
          <w:szCs w:val="24"/>
        </w:rPr>
        <w:t xml:space="preserve">between the writ of execution and the stay of </w:t>
      </w:r>
      <w:r w:rsidR="00023D23">
        <w:rPr>
          <w:rFonts w:ascii="Arial" w:hAnsi="Arial" w:cs="Arial"/>
          <w:sz w:val="24"/>
          <w:szCs w:val="24"/>
        </w:rPr>
        <w:t xml:space="preserve">writ of </w:t>
      </w:r>
      <w:r w:rsidR="00E7610E">
        <w:rPr>
          <w:rFonts w:ascii="Arial" w:hAnsi="Arial" w:cs="Arial"/>
          <w:sz w:val="24"/>
          <w:szCs w:val="24"/>
        </w:rPr>
        <w:t>execution</w:t>
      </w:r>
      <w:r w:rsidR="000679C8">
        <w:rPr>
          <w:rFonts w:ascii="Arial" w:hAnsi="Arial" w:cs="Arial"/>
          <w:sz w:val="24"/>
          <w:szCs w:val="24"/>
        </w:rPr>
        <w:t>. The writ of execution was issued by first respondent</w:t>
      </w:r>
      <w:r w:rsidR="00926EDA">
        <w:rPr>
          <w:rFonts w:ascii="Arial" w:hAnsi="Arial" w:cs="Arial"/>
          <w:sz w:val="24"/>
          <w:szCs w:val="24"/>
        </w:rPr>
        <w:t>’s</w:t>
      </w:r>
      <w:r w:rsidR="000679C8">
        <w:rPr>
          <w:rFonts w:ascii="Arial" w:hAnsi="Arial" w:cs="Arial"/>
          <w:sz w:val="24"/>
          <w:szCs w:val="24"/>
        </w:rPr>
        <w:t xml:space="preserve"> present legal representative</w:t>
      </w:r>
      <w:r w:rsidR="0028092D">
        <w:rPr>
          <w:rFonts w:ascii="Arial" w:hAnsi="Arial" w:cs="Arial"/>
          <w:sz w:val="24"/>
          <w:szCs w:val="24"/>
        </w:rPr>
        <w:t>s</w:t>
      </w:r>
      <w:r w:rsidR="000679C8">
        <w:rPr>
          <w:rFonts w:ascii="Arial" w:hAnsi="Arial" w:cs="Arial"/>
          <w:sz w:val="24"/>
          <w:szCs w:val="24"/>
        </w:rPr>
        <w:t xml:space="preserve"> on her behalf four days before the court’s directive. On the issuing of that writ of execution the first respondent was represented. The writ of execution was issued by the legal representative for the sole purpose of </w:t>
      </w:r>
      <w:r w:rsidR="000679C8">
        <w:rPr>
          <w:rFonts w:ascii="Arial" w:hAnsi="Arial" w:cs="Arial"/>
          <w:sz w:val="24"/>
          <w:szCs w:val="24"/>
        </w:rPr>
        <w:lastRenderedPageBreak/>
        <w:t>instructing the Sheriff to execute on the order granted</w:t>
      </w:r>
      <w:r w:rsidR="00D9767C">
        <w:rPr>
          <w:rFonts w:ascii="Arial" w:hAnsi="Arial" w:cs="Arial"/>
          <w:sz w:val="24"/>
          <w:szCs w:val="24"/>
        </w:rPr>
        <w:t xml:space="preserve"> i</w:t>
      </w:r>
      <w:r w:rsidR="000679C8">
        <w:rPr>
          <w:rFonts w:ascii="Arial" w:hAnsi="Arial" w:cs="Arial"/>
          <w:sz w:val="24"/>
          <w:szCs w:val="24"/>
        </w:rPr>
        <w:t>n first respondent’s favour on 25 January 2024.</w:t>
      </w:r>
      <w:r w:rsidR="00926EDA">
        <w:rPr>
          <w:rFonts w:ascii="Arial" w:hAnsi="Arial" w:cs="Arial"/>
          <w:sz w:val="24"/>
          <w:szCs w:val="24"/>
        </w:rPr>
        <w:t xml:space="preserve"> The writ of execution was, according </w:t>
      </w:r>
      <w:r w:rsidR="00256AAA">
        <w:rPr>
          <w:rFonts w:ascii="Arial" w:hAnsi="Arial" w:cs="Arial"/>
          <w:sz w:val="24"/>
          <w:szCs w:val="24"/>
        </w:rPr>
        <w:t xml:space="preserve">to the court order </w:t>
      </w:r>
      <w:r w:rsidR="00033A1F">
        <w:rPr>
          <w:rFonts w:ascii="Arial" w:hAnsi="Arial" w:cs="Arial"/>
          <w:sz w:val="24"/>
          <w:szCs w:val="24"/>
        </w:rPr>
        <w:t>9</w:t>
      </w:r>
      <w:r w:rsidR="00256AAA">
        <w:rPr>
          <w:rFonts w:ascii="Arial" w:hAnsi="Arial" w:cs="Arial"/>
          <w:sz w:val="24"/>
          <w:szCs w:val="24"/>
        </w:rPr>
        <w:t xml:space="preserve"> February 2024</w:t>
      </w:r>
      <w:r w:rsidR="00033A1F">
        <w:rPr>
          <w:rFonts w:ascii="Arial" w:hAnsi="Arial" w:cs="Arial"/>
          <w:sz w:val="24"/>
          <w:szCs w:val="24"/>
        </w:rPr>
        <w:t>,</w:t>
      </w:r>
      <w:r w:rsidR="00256AAA">
        <w:rPr>
          <w:rFonts w:ascii="Arial" w:hAnsi="Arial" w:cs="Arial"/>
          <w:sz w:val="24"/>
          <w:szCs w:val="24"/>
        </w:rPr>
        <w:t xml:space="preserve"> issued on 2 February 2024. The directive was issued on 7 February 2024. There is a clear proximity between these dates.</w:t>
      </w:r>
    </w:p>
    <w:p w14:paraId="3F505002" w14:textId="07BB136B" w:rsidR="000679C8" w:rsidRDefault="000679C8" w:rsidP="0033156C">
      <w:pPr>
        <w:spacing w:line="480" w:lineRule="auto"/>
        <w:ind w:left="720" w:hanging="720"/>
        <w:jc w:val="both"/>
        <w:rPr>
          <w:rFonts w:ascii="Arial" w:hAnsi="Arial" w:cs="Arial"/>
          <w:sz w:val="24"/>
          <w:szCs w:val="24"/>
        </w:rPr>
      </w:pPr>
      <w:r>
        <w:rPr>
          <w:rFonts w:ascii="Arial" w:hAnsi="Arial" w:cs="Arial"/>
          <w:sz w:val="24"/>
          <w:szCs w:val="24"/>
        </w:rPr>
        <w:t>[1</w:t>
      </w:r>
      <w:r w:rsidR="0036564B">
        <w:rPr>
          <w:rFonts w:ascii="Arial" w:hAnsi="Arial" w:cs="Arial"/>
          <w:sz w:val="24"/>
          <w:szCs w:val="24"/>
        </w:rPr>
        <w:t>4</w:t>
      </w:r>
      <w:r>
        <w:rPr>
          <w:rFonts w:ascii="Arial" w:hAnsi="Arial" w:cs="Arial"/>
          <w:sz w:val="24"/>
          <w:szCs w:val="24"/>
        </w:rPr>
        <w:t>]</w:t>
      </w:r>
      <w:r>
        <w:rPr>
          <w:rFonts w:ascii="Arial" w:hAnsi="Arial" w:cs="Arial"/>
          <w:sz w:val="24"/>
          <w:szCs w:val="24"/>
        </w:rPr>
        <w:tab/>
        <w:t>Mr Metu, counsel for the first respondent</w:t>
      </w:r>
      <w:r w:rsidR="00256AAA">
        <w:rPr>
          <w:rFonts w:ascii="Arial" w:hAnsi="Arial" w:cs="Arial"/>
          <w:sz w:val="24"/>
          <w:szCs w:val="24"/>
        </w:rPr>
        <w:t>, as he was strongly submitting that service upon attorneys is not service upon the first respondent,</w:t>
      </w:r>
      <w:r>
        <w:rPr>
          <w:rFonts w:ascii="Arial" w:hAnsi="Arial" w:cs="Arial"/>
          <w:sz w:val="24"/>
          <w:szCs w:val="24"/>
        </w:rPr>
        <w:t xml:space="preserve"> was referred to the provisions of Rule 4(</w:t>
      </w:r>
      <w:proofErr w:type="gramStart"/>
      <w:r>
        <w:rPr>
          <w:rFonts w:ascii="Arial" w:hAnsi="Arial" w:cs="Arial"/>
          <w:sz w:val="24"/>
          <w:szCs w:val="24"/>
        </w:rPr>
        <w:t>1)</w:t>
      </w:r>
      <w:r w:rsidR="00256AAA">
        <w:rPr>
          <w:rFonts w:ascii="Arial" w:hAnsi="Arial" w:cs="Arial"/>
          <w:sz w:val="24"/>
          <w:szCs w:val="24"/>
        </w:rPr>
        <w:t>(</w:t>
      </w:r>
      <w:proofErr w:type="spellStart"/>
      <w:proofErr w:type="gramEnd"/>
      <w:r w:rsidR="00256AAA">
        <w:rPr>
          <w:rFonts w:ascii="Arial" w:hAnsi="Arial" w:cs="Arial"/>
          <w:sz w:val="24"/>
          <w:szCs w:val="24"/>
        </w:rPr>
        <w:t>a</w:t>
      </w:r>
      <w:r>
        <w:rPr>
          <w:rFonts w:ascii="Arial" w:hAnsi="Arial" w:cs="Arial"/>
          <w:sz w:val="24"/>
          <w:szCs w:val="24"/>
        </w:rPr>
        <w:t>A</w:t>
      </w:r>
      <w:proofErr w:type="spellEnd"/>
      <w:r>
        <w:rPr>
          <w:rFonts w:ascii="Arial" w:hAnsi="Arial" w:cs="Arial"/>
          <w:sz w:val="24"/>
          <w:szCs w:val="24"/>
        </w:rPr>
        <w:t>) of the Uniform Rules which reads as follows:</w:t>
      </w:r>
    </w:p>
    <w:p w14:paraId="5E09D2DF" w14:textId="2BB3AA4A" w:rsidR="000679C8" w:rsidRDefault="000679C8" w:rsidP="0036564B">
      <w:pPr>
        <w:spacing w:line="240" w:lineRule="auto"/>
        <w:ind w:left="2160" w:hanging="720"/>
        <w:jc w:val="both"/>
        <w:rPr>
          <w:rFonts w:ascii="Arial" w:hAnsi="Arial" w:cs="Arial"/>
          <w:i/>
          <w:iCs/>
          <w:sz w:val="20"/>
          <w:szCs w:val="20"/>
        </w:rPr>
      </w:pPr>
      <w:r w:rsidRPr="0036564B">
        <w:rPr>
          <w:rFonts w:ascii="Arial" w:hAnsi="Arial" w:cs="Arial"/>
          <w:i/>
          <w:iCs/>
          <w:sz w:val="20"/>
          <w:szCs w:val="20"/>
        </w:rPr>
        <w:t>“(</w:t>
      </w:r>
      <w:proofErr w:type="spellStart"/>
      <w:r w:rsidR="00256AAA">
        <w:rPr>
          <w:rFonts w:ascii="Arial" w:hAnsi="Arial" w:cs="Arial"/>
          <w:i/>
          <w:iCs/>
          <w:sz w:val="20"/>
          <w:szCs w:val="20"/>
        </w:rPr>
        <w:t>a</w:t>
      </w:r>
      <w:r w:rsidRPr="0036564B">
        <w:rPr>
          <w:rFonts w:ascii="Arial" w:hAnsi="Arial" w:cs="Arial"/>
          <w:i/>
          <w:iCs/>
          <w:sz w:val="20"/>
          <w:szCs w:val="20"/>
        </w:rPr>
        <w:t>A</w:t>
      </w:r>
      <w:proofErr w:type="spellEnd"/>
      <w:r w:rsidRPr="0036564B">
        <w:rPr>
          <w:rFonts w:ascii="Arial" w:hAnsi="Arial" w:cs="Arial"/>
          <w:i/>
          <w:iCs/>
          <w:sz w:val="20"/>
          <w:szCs w:val="20"/>
        </w:rPr>
        <w:t>)</w:t>
      </w:r>
      <w:r w:rsidRPr="0036564B">
        <w:rPr>
          <w:rFonts w:ascii="Arial" w:hAnsi="Arial" w:cs="Arial"/>
          <w:i/>
          <w:iCs/>
          <w:sz w:val="20"/>
          <w:szCs w:val="20"/>
        </w:rPr>
        <w:tab/>
        <w:t>where the person to be served with any document initiating application proceeding</w:t>
      </w:r>
      <w:r w:rsidR="0036564B" w:rsidRPr="0036564B">
        <w:rPr>
          <w:rFonts w:ascii="Arial" w:hAnsi="Arial" w:cs="Arial"/>
          <w:i/>
          <w:iCs/>
          <w:sz w:val="20"/>
          <w:szCs w:val="20"/>
        </w:rPr>
        <w:t>s is already represented by an attorney of record, such document may be served upon such attorney by the party initiating such proceedings.”</w:t>
      </w:r>
    </w:p>
    <w:p w14:paraId="6B4DD107" w14:textId="77777777" w:rsidR="0036564B" w:rsidRDefault="0036564B" w:rsidP="0036564B">
      <w:pPr>
        <w:rPr>
          <w:rFonts w:ascii="Arial" w:hAnsi="Arial" w:cs="Arial"/>
          <w:i/>
          <w:iCs/>
          <w:sz w:val="20"/>
          <w:szCs w:val="20"/>
        </w:rPr>
      </w:pPr>
    </w:p>
    <w:p w14:paraId="244FEA24" w14:textId="6E0C5873" w:rsidR="0036564B" w:rsidRDefault="0036564B" w:rsidP="000E6F23">
      <w:pPr>
        <w:spacing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Another debate developed</w:t>
      </w:r>
      <w:r w:rsidR="000E6F23">
        <w:rPr>
          <w:rFonts w:ascii="Arial" w:hAnsi="Arial" w:cs="Arial"/>
          <w:sz w:val="24"/>
          <w:szCs w:val="24"/>
        </w:rPr>
        <w:t xml:space="preserve"> as Mr Metu was not without an answer. He disputed that the definition of a party includes an attorney with or without a counsel. Again, he was referred to Rule 1 of the Uniform Rules which reads as follows:</w:t>
      </w:r>
    </w:p>
    <w:p w14:paraId="1B93790D" w14:textId="585B0E81" w:rsidR="000E6F23" w:rsidRPr="000E6F23" w:rsidRDefault="000E6F23" w:rsidP="000E6F23">
      <w:pPr>
        <w:spacing w:line="240" w:lineRule="auto"/>
        <w:jc w:val="both"/>
        <w:rPr>
          <w:rFonts w:ascii="Arial" w:hAnsi="Arial" w:cs="Arial"/>
          <w:i/>
          <w:iCs/>
          <w:sz w:val="20"/>
          <w:szCs w:val="20"/>
        </w:rPr>
      </w:pPr>
      <w:r>
        <w:rPr>
          <w:rFonts w:ascii="Arial" w:hAnsi="Arial" w:cs="Arial"/>
          <w:sz w:val="24"/>
          <w:szCs w:val="24"/>
        </w:rPr>
        <w:tab/>
      </w:r>
      <w:r>
        <w:rPr>
          <w:rFonts w:ascii="Arial" w:hAnsi="Arial" w:cs="Arial"/>
          <w:sz w:val="24"/>
          <w:szCs w:val="24"/>
        </w:rPr>
        <w:tab/>
      </w:r>
      <w:r w:rsidRPr="000E6F23">
        <w:rPr>
          <w:rFonts w:ascii="Arial" w:hAnsi="Arial" w:cs="Arial"/>
          <w:sz w:val="20"/>
          <w:szCs w:val="20"/>
        </w:rPr>
        <w:t>“</w:t>
      </w:r>
      <w:r w:rsidRPr="000E6F23">
        <w:rPr>
          <w:rFonts w:ascii="Arial" w:hAnsi="Arial" w:cs="Arial"/>
          <w:i/>
          <w:iCs/>
          <w:sz w:val="20"/>
          <w:szCs w:val="20"/>
        </w:rPr>
        <w:t>1.</w:t>
      </w:r>
      <w:r w:rsidRPr="000E6F23">
        <w:rPr>
          <w:rFonts w:ascii="Arial" w:hAnsi="Arial" w:cs="Arial"/>
          <w:i/>
          <w:iCs/>
          <w:sz w:val="20"/>
          <w:szCs w:val="20"/>
        </w:rPr>
        <w:tab/>
        <w:t>Definitions</w:t>
      </w:r>
    </w:p>
    <w:p w14:paraId="4791BE49" w14:textId="2916AD0A" w:rsidR="000E6F23" w:rsidRDefault="000E6F23" w:rsidP="000E6F23">
      <w:pPr>
        <w:spacing w:line="240" w:lineRule="auto"/>
        <w:ind w:left="2160"/>
        <w:jc w:val="both"/>
        <w:rPr>
          <w:rFonts w:ascii="Arial" w:hAnsi="Arial" w:cs="Arial"/>
          <w:i/>
          <w:iCs/>
          <w:sz w:val="20"/>
          <w:szCs w:val="20"/>
        </w:rPr>
      </w:pPr>
      <w:r w:rsidRPr="000E6F23">
        <w:rPr>
          <w:rFonts w:ascii="Arial" w:hAnsi="Arial" w:cs="Arial"/>
          <w:i/>
          <w:iCs/>
          <w:sz w:val="20"/>
          <w:szCs w:val="20"/>
        </w:rPr>
        <w:t>Party or any reference to a plaintiff or other litigant in terms, includes such party’s attorney with or without an advocate, as the context may require.”</w:t>
      </w:r>
    </w:p>
    <w:p w14:paraId="7DF9C334" w14:textId="14B9C6F1" w:rsidR="000E6F23" w:rsidRDefault="000E6F23" w:rsidP="00256AAA">
      <w:pPr>
        <w:spacing w:line="480" w:lineRule="auto"/>
        <w:ind w:left="720"/>
        <w:rPr>
          <w:rFonts w:ascii="Arial" w:hAnsi="Arial" w:cs="Arial"/>
          <w:sz w:val="24"/>
          <w:szCs w:val="24"/>
        </w:rPr>
      </w:pPr>
      <w:r w:rsidRPr="000E6F23">
        <w:rPr>
          <w:rFonts w:ascii="Arial" w:hAnsi="Arial" w:cs="Arial"/>
          <w:sz w:val="24"/>
          <w:szCs w:val="24"/>
        </w:rPr>
        <w:t xml:space="preserve">Mr Metu </w:t>
      </w:r>
      <w:r w:rsidR="00256AAA">
        <w:rPr>
          <w:rFonts w:ascii="Arial" w:hAnsi="Arial" w:cs="Arial"/>
          <w:sz w:val="24"/>
          <w:szCs w:val="24"/>
        </w:rPr>
        <w:t xml:space="preserve">commendably </w:t>
      </w:r>
      <w:r w:rsidRPr="000E6F23">
        <w:rPr>
          <w:rFonts w:ascii="Arial" w:hAnsi="Arial" w:cs="Arial"/>
          <w:sz w:val="24"/>
          <w:szCs w:val="24"/>
        </w:rPr>
        <w:t>abandoned this point.</w:t>
      </w:r>
      <w:r w:rsidR="00256AAA">
        <w:rPr>
          <w:rFonts w:ascii="Arial" w:hAnsi="Arial" w:cs="Arial"/>
          <w:sz w:val="24"/>
          <w:szCs w:val="24"/>
        </w:rPr>
        <w:t xml:space="preserve"> He conceded in so doing that the service </w:t>
      </w:r>
      <w:r w:rsidR="00C70FF5">
        <w:rPr>
          <w:rFonts w:ascii="Arial" w:hAnsi="Arial" w:cs="Arial"/>
          <w:sz w:val="24"/>
          <w:szCs w:val="24"/>
        </w:rPr>
        <w:t>was effected.</w:t>
      </w:r>
    </w:p>
    <w:p w14:paraId="771D6F08" w14:textId="4DCBF388" w:rsidR="00C70FF5" w:rsidRPr="00C70FF5" w:rsidRDefault="00C70FF5" w:rsidP="00C70FF5">
      <w:pPr>
        <w:spacing w:line="480" w:lineRule="auto"/>
        <w:rPr>
          <w:rFonts w:ascii="Arial" w:hAnsi="Arial" w:cs="Arial"/>
          <w:i/>
          <w:iCs/>
          <w:sz w:val="24"/>
          <w:szCs w:val="24"/>
        </w:rPr>
      </w:pPr>
      <w:r w:rsidRPr="00C70FF5">
        <w:rPr>
          <w:rFonts w:ascii="Arial" w:hAnsi="Arial" w:cs="Arial"/>
          <w:i/>
          <w:iCs/>
          <w:sz w:val="24"/>
          <w:szCs w:val="24"/>
        </w:rPr>
        <w:t>Short service</w:t>
      </w:r>
    </w:p>
    <w:p w14:paraId="1CA28CBC" w14:textId="244A76A2" w:rsidR="008C1BB4" w:rsidRDefault="000E6F23" w:rsidP="006A4608">
      <w:pPr>
        <w:spacing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That leaves us with one point</w:t>
      </w:r>
      <w:r w:rsidR="00014A04">
        <w:rPr>
          <w:rFonts w:ascii="Arial" w:hAnsi="Arial" w:cs="Arial"/>
          <w:sz w:val="24"/>
          <w:szCs w:val="24"/>
        </w:rPr>
        <w:t xml:space="preserve"> of short notice.</w:t>
      </w:r>
      <w:r w:rsidR="001546AF">
        <w:rPr>
          <w:rFonts w:ascii="Arial" w:hAnsi="Arial" w:cs="Arial"/>
          <w:sz w:val="24"/>
          <w:szCs w:val="24"/>
        </w:rPr>
        <w:t xml:space="preserve"> The directive required </w:t>
      </w:r>
      <w:r w:rsidR="006A4608">
        <w:rPr>
          <w:rFonts w:ascii="Arial" w:hAnsi="Arial" w:cs="Arial"/>
          <w:sz w:val="24"/>
          <w:szCs w:val="24"/>
        </w:rPr>
        <w:t>the respondents</w:t>
      </w:r>
      <w:r w:rsidR="007C7D5B">
        <w:rPr>
          <w:rFonts w:ascii="Arial" w:hAnsi="Arial" w:cs="Arial"/>
          <w:sz w:val="24"/>
          <w:szCs w:val="24"/>
        </w:rPr>
        <w:t xml:space="preserve"> to be given not less than </w:t>
      </w:r>
      <w:r w:rsidR="00994514">
        <w:rPr>
          <w:rFonts w:ascii="Arial" w:hAnsi="Arial" w:cs="Arial"/>
          <w:sz w:val="24"/>
          <w:szCs w:val="24"/>
        </w:rPr>
        <w:t xml:space="preserve">5 hours’ notice </w:t>
      </w:r>
      <w:r w:rsidR="00A14381">
        <w:rPr>
          <w:rFonts w:ascii="Arial" w:hAnsi="Arial" w:cs="Arial"/>
          <w:sz w:val="24"/>
          <w:szCs w:val="24"/>
        </w:rPr>
        <w:t>before the hearing.</w:t>
      </w:r>
      <w:r w:rsidR="00BB6B48">
        <w:rPr>
          <w:rFonts w:ascii="Arial" w:hAnsi="Arial" w:cs="Arial"/>
          <w:sz w:val="24"/>
          <w:szCs w:val="24"/>
        </w:rPr>
        <w:t xml:space="preserve"> According to the</w:t>
      </w:r>
      <w:r w:rsidR="000A3863">
        <w:rPr>
          <w:rFonts w:ascii="Arial" w:hAnsi="Arial" w:cs="Arial"/>
          <w:sz w:val="24"/>
          <w:szCs w:val="24"/>
        </w:rPr>
        <w:t xml:space="preserve"> return of service </w:t>
      </w:r>
      <w:r w:rsidR="0064090B">
        <w:rPr>
          <w:rFonts w:ascii="Arial" w:hAnsi="Arial" w:cs="Arial"/>
          <w:sz w:val="24"/>
          <w:szCs w:val="24"/>
        </w:rPr>
        <w:t>the papers were served on the 8</w:t>
      </w:r>
      <w:r w:rsidR="0064090B" w:rsidRPr="0064090B">
        <w:rPr>
          <w:rFonts w:ascii="Arial" w:hAnsi="Arial" w:cs="Arial"/>
          <w:sz w:val="24"/>
          <w:szCs w:val="24"/>
          <w:vertAlign w:val="superscript"/>
        </w:rPr>
        <w:t>th</w:t>
      </w:r>
      <w:r w:rsidR="0064090B">
        <w:rPr>
          <w:rFonts w:ascii="Arial" w:hAnsi="Arial" w:cs="Arial"/>
          <w:sz w:val="24"/>
          <w:szCs w:val="24"/>
        </w:rPr>
        <w:t xml:space="preserve"> day of February 2024 at 09:20. This service was in full compliance with the Practice </w:t>
      </w:r>
      <w:r w:rsidR="00E55396">
        <w:rPr>
          <w:rFonts w:ascii="Arial" w:hAnsi="Arial" w:cs="Arial"/>
          <w:sz w:val="24"/>
          <w:szCs w:val="24"/>
        </w:rPr>
        <w:t>directive of 7 February 2024, as the matter was set down</w:t>
      </w:r>
      <w:r w:rsidR="005D3858">
        <w:rPr>
          <w:rFonts w:ascii="Arial" w:hAnsi="Arial" w:cs="Arial"/>
          <w:sz w:val="24"/>
          <w:szCs w:val="24"/>
        </w:rPr>
        <w:t xml:space="preserve"> for hearing on 9 February 2024 at 12:00. The first respondent had the full day </w:t>
      </w:r>
      <w:r w:rsidR="008C1BB4">
        <w:rPr>
          <w:rFonts w:ascii="Arial" w:hAnsi="Arial" w:cs="Arial"/>
          <w:sz w:val="24"/>
          <w:szCs w:val="24"/>
        </w:rPr>
        <w:t>on 8 February 2024</w:t>
      </w:r>
      <w:r w:rsidR="00C70FF5">
        <w:rPr>
          <w:rFonts w:ascii="Arial" w:hAnsi="Arial" w:cs="Arial"/>
          <w:sz w:val="24"/>
          <w:szCs w:val="24"/>
        </w:rPr>
        <w:t>,</w:t>
      </w:r>
      <w:r w:rsidR="008C1BB4">
        <w:rPr>
          <w:rFonts w:ascii="Arial" w:hAnsi="Arial" w:cs="Arial"/>
          <w:sz w:val="24"/>
          <w:szCs w:val="24"/>
        </w:rPr>
        <w:t xml:space="preserve"> and a half day on 9 February 2024 to at least prepare a notice to oppose.</w:t>
      </w:r>
    </w:p>
    <w:p w14:paraId="53C2B99A" w14:textId="30D7BD25" w:rsidR="000E6F23" w:rsidRDefault="008C1BB4" w:rsidP="001C7D70">
      <w:pPr>
        <w:spacing w:line="480" w:lineRule="auto"/>
        <w:ind w:left="720" w:hanging="720"/>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There was no explanation as to why at least a notice to oppose was not filed. Equally, there was no explanation as to why a legal representative failed to attend court.</w:t>
      </w:r>
    </w:p>
    <w:p w14:paraId="7E29B501" w14:textId="61E9A6C2" w:rsidR="007D009A" w:rsidRDefault="00222DCD" w:rsidP="001C7D70">
      <w:pPr>
        <w:spacing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dominant reason of the subrule is to afford an aggrieved party </w:t>
      </w:r>
      <w:r w:rsidR="006B5318">
        <w:rPr>
          <w:rFonts w:ascii="Arial" w:hAnsi="Arial" w:cs="Arial"/>
          <w:sz w:val="24"/>
          <w:szCs w:val="24"/>
        </w:rPr>
        <w:t xml:space="preserve">a mechanism designed to address imbalances in, and injustices and </w:t>
      </w:r>
      <w:r w:rsidR="00033A1F">
        <w:rPr>
          <w:rFonts w:ascii="Arial" w:hAnsi="Arial" w:cs="Arial"/>
          <w:sz w:val="24"/>
          <w:szCs w:val="24"/>
        </w:rPr>
        <w:t>o</w:t>
      </w:r>
      <w:r w:rsidR="002C0912">
        <w:rPr>
          <w:rFonts w:ascii="Arial" w:hAnsi="Arial" w:cs="Arial"/>
          <w:sz w:val="24"/>
          <w:szCs w:val="24"/>
        </w:rPr>
        <w:t>pposition following from an order granted as a matter of urgency</w:t>
      </w:r>
      <w:r w:rsidR="001F5A5C">
        <w:rPr>
          <w:rFonts w:ascii="Arial" w:hAnsi="Arial" w:cs="Arial"/>
          <w:sz w:val="24"/>
          <w:szCs w:val="24"/>
        </w:rPr>
        <w:t xml:space="preserve"> in his absence</w:t>
      </w:r>
      <w:r w:rsidR="001F5A5C">
        <w:rPr>
          <w:rStyle w:val="FootnoteReference"/>
          <w:rFonts w:ascii="Arial" w:hAnsi="Arial" w:cs="Arial"/>
          <w:sz w:val="24"/>
          <w:szCs w:val="24"/>
        </w:rPr>
        <w:footnoteReference w:id="3"/>
      </w:r>
      <w:r w:rsidR="005C7220">
        <w:rPr>
          <w:rFonts w:ascii="Arial" w:hAnsi="Arial" w:cs="Arial"/>
          <w:sz w:val="24"/>
          <w:szCs w:val="24"/>
        </w:rPr>
        <w:t>. The rationale is to address the actual or potential prejudice because of an absence of “</w:t>
      </w:r>
      <w:proofErr w:type="spellStart"/>
      <w:r w:rsidR="005C7220">
        <w:rPr>
          <w:rFonts w:ascii="Arial" w:hAnsi="Arial" w:cs="Arial"/>
          <w:i/>
          <w:iCs/>
          <w:sz w:val="24"/>
          <w:szCs w:val="24"/>
        </w:rPr>
        <w:t>audi</w:t>
      </w:r>
      <w:proofErr w:type="spellEnd"/>
      <w:r w:rsidR="005C7220">
        <w:rPr>
          <w:rFonts w:ascii="Arial" w:hAnsi="Arial" w:cs="Arial"/>
          <w:i/>
          <w:iCs/>
          <w:sz w:val="24"/>
          <w:szCs w:val="24"/>
        </w:rPr>
        <w:t xml:space="preserve"> alteram partem”</w:t>
      </w:r>
      <w:r w:rsidR="005C7220">
        <w:rPr>
          <w:rFonts w:ascii="Arial" w:hAnsi="Arial" w:cs="Arial"/>
          <w:sz w:val="24"/>
          <w:szCs w:val="24"/>
        </w:rPr>
        <w:t xml:space="preserve"> when the order was made</w:t>
      </w:r>
      <w:r w:rsidR="005C7220">
        <w:rPr>
          <w:rStyle w:val="FootnoteReference"/>
          <w:rFonts w:ascii="Arial" w:hAnsi="Arial" w:cs="Arial"/>
          <w:sz w:val="24"/>
          <w:szCs w:val="24"/>
        </w:rPr>
        <w:footnoteReference w:id="4"/>
      </w:r>
      <w:r w:rsidR="00D03695">
        <w:rPr>
          <w:rFonts w:ascii="Arial" w:hAnsi="Arial" w:cs="Arial"/>
          <w:sz w:val="24"/>
          <w:szCs w:val="24"/>
        </w:rPr>
        <w:t xml:space="preserve">. </w:t>
      </w:r>
      <w:r w:rsidR="00D03695">
        <w:rPr>
          <w:rFonts w:ascii="Arial" w:hAnsi="Arial" w:cs="Arial"/>
          <w:i/>
          <w:iCs/>
          <w:sz w:val="24"/>
          <w:szCs w:val="24"/>
        </w:rPr>
        <w:t xml:space="preserve">Audi alteram Partum </w:t>
      </w:r>
      <w:r w:rsidR="00D03695">
        <w:rPr>
          <w:rFonts w:ascii="Arial" w:hAnsi="Arial" w:cs="Arial"/>
          <w:sz w:val="24"/>
          <w:szCs w:val="24"/>
        </w:rPr>
        <w:t>rule engages f</w:t>
      </w:r>
      <w:r w:rsidR="00B61110">
        <w:rPr>
          <w:rFonts w:ascii="Arial" w:hAnsi="Arial" w:cs="Arial"/>
          <w:sz w:val="24"/>
          <w:szCs w:val="24"/>
        </w:rPr>
        <w:t>air</w:t>
      </w:r>
      <w:r w:rsidR="00D03695">
        <w:rPr>
          <w:rFonts w:ascii="Arial" w:hAnsi="Arial" w:cs="Arial"/>
          <w:sz w:val="24"/>
          <w:szCs w:val="24"/>
        </w:rPr>
        <w:t xml:space="preserve"> trial rights. It</w:t>
      </w:r>
      <w:r w:rsidR="00B61110">
        <w:rPr>
          <w:rFonts w:ascii="Arial" w:hAnsi="Arial" w:cs="Arial"/>
          <w:sz w:val="24"/>
          <w:szCs w:val="24"/>
        </w:rPr>
        <w:t xml:space="preserve"> i</w:t>
      </w:r>
      <w:r w:rsidR="00D03695">
        <w:rPr>
          <w:rFonts w:ascii="Arial" w:hAnsi="Arial" w:cs="Arial"/>
          <w:sz w:val="24"/>
          <w:szCs w:val="24"/>
        </w:rPr>
        <w:t xml:space="preserve">s about a right to be heard and a right to be informed </w:t>
      </w:r>
      <w:r w:rsidR="00D12F6D">
        <w:rPr>
          <w:rFonts w:ascii="Arial" w:hAnsi="Arial" w:cs="Arial"/>
          <w:sz w:val="24"/>
          <w:szCs w:val="24"/>
        </w:rPr>
        <w:t xml:space="preserve">prior the taking of a decision against a </w:t>
      </w:r>
      <w:r w:rsidR="00B61110">
        <w:rPr>
          <w:rFonts w:ascii="Arial" w:hAnsi="Arial" w:cs="Arial"/>
          <w:sz w:val="24"/>
          <w:szCs w:val="24"/>
        </w:rPr>
        <w:t>litigant or party</w:t>
      </w:r>
      <w:r w:rsidR="00D12F6D">
        <w:rPr>
          <w:rFonts w:ascii="Arial" w:hAnsi="Arial" w:cs="Arial"/>
          <w:sz w:val="24"/>
          <w:szCs w:val="24"/>
        </w:rPr>
        <w:t>.</w:t>
      </w:r>
    </w:p>
    <w:p w14:paraId="4FBA57FA" w14:textId="732C67E2" w:rsidR="00671E1E" w:rsidRDefault="00D12F6D" w:rsidP="001C7D70">
      <w:pPr>
        <w:spacing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Failure to accord a party a proper hearing may take different forms. To make an order against a party without providing the party an opportunity of being heard in opposition i</w:t>
      </w:r>
      <w:r w:rsidR="0004553E">
        <w:rPr>
          <w:rFonts w:ascii="Arial" w:hAnsi="Arial" w:cs="Arial"/>
          <w:sz w:val="24"/>
          <w:szCs w:val="24"/>
        </w:rPr>
        <w:t>s</w:t>
      </w:r>
      <w:r>
        <w:rPr>
          <w:rFonts w:ascii="Arial" w:hAnsi="Arial" w:cs="Arial"/>
          <w:sz w:val="24"/>
          <w:szCs w:val="24"/>
        </w:rPr>
        <w:t xml:space="preserve"> another form</w:t>
      </w:r>
      <w:r>
        <w:rPr>
          <w:rStyle w:val="FootnoteReference"/>
          <w:rFonts w:ascii="Arial" w:hAnsi="Arial" w:cs="Arial"/>
          <w:sz w:val="24"/>
          <w:szCs w:val="24"/>
        </w:rPr>
        <w:footnoteReference w:id="5"/>
      </w:r>
      <w:r w:rsidR="00E442F1">
        <w:rPr>
          <w:rFonts w:ascii="Arial" w:hAnsi="Arial" w:cs="Arial"/>
          <w:sz w:val="24"/>
          <w:szCs w:val="24"/>
        </w:rPr>
        <w:t>. One way of depriving a party</w:t>
      </w:r>
      <w:r w:rsidR="006327FA">
        <w:rPr>
          <w:rFonts w:ascii="Arial" w:hAnsi="Arial" w:cs="Arial"/>
          <w:sz w:val="24"/>
          <w:szCs w:val="24"/>
        </w:rPr>
        <w:t xml:space="preserve"> of the right to be heard is by failing to serve upon the party a notice of set down</w:t>
      </w:r>
      <w:r w:rsidR="00671E1E">
        <w:rPr>
          <w:rFonts w:ascii="Arial" w:hAnsi="Arial" w:cs="Arial"/>
          <w:sz w:val="24"/>
          <w:szCs w:val="24"/>
        </w:rPr>
        <w:t>.</w:t>
      </w:r>
    </w:p>
    <w:p w14:paraId="4212F623" w14:textId="77777777" w:rsidR="005A6438" w:rsidRDefault="00671E1E" w:rsidP="001C7D70">
      <w:pPr>
        <w:spacing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I agree with applicant’s counsel when he says the purpose of the subrule is not to afford</w:t>
      </w:r>
      <w:r w:rsidR="005A6438">
        <w:rPr>
          <w:rFonts w:ascii="Arial" w:hAnsi="Arial" w:cs="Arial"/>
          <w:sz w:val="24"/>
          <w:szCs w:val="24"/>
        </w:rPr>
        <w:t xml:space="preserve"> opportunity to parties who wilfully absented themselves from court when opportunity was given to them. Purposive interpretation of the subrule is to be invoked herein. The subrule is aimed at giving the party who was not afforded opportunity to be heard on urgent basis. It is not available to parties who chose not to come to court when a reasonable opportunity was given for that purpose.</w:t>
      </w:r>
    </w:p>
    <w:p w14:paraId="299A18D5" w14:textId="7FD19F6A" w:rsidR="00D12F6D" w:rsidRDefault="005A6438" w:rsidP="001C7D70">
      <w:pPr>
        <w:spacing w:line="48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 xml:space="preserve">In </w:t>
      </w:r>
      <w:r>
        <w:rPr>
          <w:rFonts w:ascii="Arial" w:hAnsi="Arial" w:cs="Arial"/>
          <w:b/>
          <w:bCs/>
          <w:i/>
          <w:iCs/>
          <w:sz w:val="24"/>
          <w:szCs w:val="24"/>
        </w:rPr>
        <w:t xml:space="preserve">Natal Joint Municipality Pension Fund v </w:t>
      </w:r>
      <w:proofErr w:type="spellStart"/>
      <w:r>
        <w:rPr>
          <w:rFonts w:ascii="Arial" w:hAnsi="Arial" w:cs="Arial"/>
          <w:b/>
          <w:bCs/>
          <w:i/>
          <w:iCs/>
          <w:sz w:val="24"/>
          <w:szCs w:val="24"/>
        </w:rPr>
        <w:t>Endumeni</w:t>
      </w:r>
      <w:proofErr w:type="spellEnd"/>
      <w:r>
        <w:rPr>
          <w:rStyle w:val="FootnoteReference"/>
          <w:rFonts w:ascii="Arial" w:hAnsi="Arial" w:cs="Arial"/>
          <w:b/>
          <w:bCs/>
          <w:i/>
          <w:iCs/>
          <w:sz w:val="24"/>
          <w:szCs w:val="24"/>
        </w:rPr>
        <w:footnoteReference w:id="6"/>
      </w:r>
      <w:r>
        <w:rPr>
          <w:rFonts w:ascii="Arial" w:hAnsi="Arial" w:cs="Arial"/>
          <w:sz w:val="24"/>
          <w:szCs w:val="24"/>
        </w:rPr>
        <w:t xml:space="preserve"> </w:t>
      </w:r>
      <w:r w:rsidR="00E442F1">
        <w:rPr>
          <w:rFonts w:ascii="Arial" w:hAnsi="Arial" w:cs="Arial"/>
          <w:sz w:val="24"/>
          <w:szCs w:val="24"/>
        </w:rPr>
        <w:t xml:space="preserve"> </w:t>
      </w:r>
      <w:r>
        <w:rPr>
          <w:rFonts w:ascii="Arial" w:hAnsi="Arial" w:cs="Arial"/>
          <w:sz w:val="24"/>
          <w:szCs w:val="24"/>
        </w:rPr>
        <w:t>the following:</w:t>
      </w:r>
    </w:p>
    <w:p w14:paraId="7E16BE41" w14:textId="66E6B854" w:rsidR="005A6438" w:rsidRPr="005A6438" w:rsidRDefault="005A6438" w:rsidP="005A6438">
      <w:pPr>
        <w:spacing w:line="240" w:lineRule="auto"/>
        <w:ind w:left="1440"/>
        <w:jc w:val="both"/>
        <w:rPr>
          <w:rFonts w:ascii="Arial" w:hAnsi="Arial" w:cs="Arial"/>
          <w:i/>
          <w:iCs/>
          <w:sz w:val="20"/>
          <w:szCs w:val="20"/>
        </w:rPr>
      </w:pPr>
      <w:r w:rsidRPr="005A6438">
        <w:rPr>
          <w:rFonts w:ascii="Arial" w:hAnsi="Arial" w:cs="Arial"/>
          <w:i/>
          <w:iCs/>
          <w:sz w:val="20"/>
          <w:szCs w:val="20"/>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w:t>
      </w:r>
      <w:proofErr w:type="gramStart"/>
      <w:r w:rsidRPr="005A6438">
        <w:rPr>
          <w:rFonts w:ascii="Arial" w:hAnsi="Arial" w:cs="Arial"/>
          <w:i/>
          <w:iCs/>
          <w:sz w:val="20"/>
          <w:szCs w:val="20"/>
        </w:rPr>
        <w:t>directed</w:t>
      </w:r>
      <w:proofErr w:type="gramEnd"/>
      <w:r w:rsidRPr="005A6438">
        <w:rPr>
          <w:rFonts w:ascii="Arial" w:hAnsi="Arial" w:cs="Arial"/>
          <w:i/>
          <w:iCs/>
          <w:sz w:val="20"/>
          <w:szCs w:val="20"/>
        </w:rPr>
        <w:t xml:space="preserve"> and the material known to those responsible for its production. . . . . .  The ‘inevitable point of departure is the language of the provision itself</w:t>
      </w:r>
      <w:r w:rsidR="00FA17D8">
        <w:rPr>
          <w:rFonts w:ascii="Arial" w:hAnsi="Arial" w:cs="Arial"/>
          <w:i/>
          <w:iCs/>
          <w:sz w:val="20"/>
          <w:szCs w:val="20"/>
        </w:rPr>
        <w:t>,</w:t>
      </w:r>
      <w:r w:rsidRPr="005A6438">
        <w:rPr>
          <w:rFonts w:ascii="Arial" w:hAnsi="Arial" w:cs="Arial"/>
          <w:i/>
          <w:iCs/>
          <w:sz w:val="20"/>
          <w:szCs w:val="20"/>
        </w:rPr>
        <w:t> read in context and having regard to the purpose of the provision and the background to the preparation and production of the document.”</w:t>
      </w:r>
    </w:p>
    <w:p w14:paraId="461187F2" w14:textId="54A239A7" w:rsidR="00214A7D" w:rsidRDefault="005A6438" w:rsidP="001C7D70">
      <w:pPr>
        <w:spacing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It would be absurd to interpret Rule 6(12)(c) to mean that “absence”</w:t>
      </w:r>
      <w:r w:rsidR="00825662">
        <w:rPr>
          <w:rFonts w:ascii="Arial" w:hAnsi="Arial" w:cs="Arial"/>
          <w:sz w:val="24"/>
          <w:szCs w:val="24"/>
        </w:rPr>
        <w:t xml:space="preserve"> refers to anyone who was physically absent in court regardless of whether or not that person was served and given adequate notice to file his/her notice to oppose and to attend court. The purpose of the subrule is to afford only a person who was not afforded opportunity to be in court when an urgent application was being considered</w:t>
      </w:r>
      <w:r w:rsidR="00033A1F">
        <w:rPr>
          <w:rFonts w:ascii="Arial" w:hAnsi="Arial" w:cs="Arial"/>
          <w:sz w:val="24"/>
          <w:szCs w:val="24"/>
        </w:rPr>
        <w:t>,</w:t>
      </w:r>
      <w:r w:rsidR="00FA17D8">
        <w:rPr>
          <w:rFonts w:ascii="Arial" w:hAnsi="Arial" w:cs="Arial"/>
          <w:sz w:val="24"/>
          <w:szCs w:val="24"/>
        </w:rPr>
        <w:t xml:space="preserve"> an</w:t>
      </w:r>
      <w:r w:rsidR="00825662">
        <w:rPr>
          <w:rFonts w:ascii="Arial" w:hAnsi="Arial" w:cs="Arial"/>
          <w:sz w:val="24"/>
          <w:szCs w:val="24"/>
        </w:rPr>
        <w:t xml:space="preserve"> opportunity to be heard. </w:t>
      </w:r>
      <w:r w:rsidR="00FA17D8">
        <w:rPr>
          <w:rFonts w:ascii="Arial" w:hAnsi="Arial" w:cs="Arial"/>
          <w:sz w:val="24"/>
          <w:szCs w:val="24"/>
        </w:rPr>
        <w:t>A different</w:t>
      </w:r>
      <w:r w:rsidR="00825662">
        <w:rPr>
          <w:rFonts w:ascii="Arial" w:hAnsi="Arial" w:cs="Arial"/>
          <w:sz w:val="24"/>
          <w:szCs w:val="24"/>
        </w:rPr>
        <w:t xml:space="preserve"> interpretation would result in absurdity.</w:t>
      </w:r>
      <w:r w:rsidR="00B176F1">
        <w:rPr>
          <w:rFonts w:ascii="Arial" w:hAnsi="Arial" w:cs="Arial"/>
          <w:sz w:val="24"/>
          <w:szCs w:val="24"/>
        </w:rPr>
        <w:t xml:space="preserve"> T</w:t>
      </w:r>
      <w:r w:rsidR="002309BF">
        <w:rPr>
          <w:rFonts w:ascii="Arial" w:hAnsi="Arial" w:cs="Arial"/>
          <w:sz w:val="24"/>
          <w:szCs w:val="24"/>
        </w:rPr>
        <w:t>his subrule is for</w:t>
      </w:r>
      <w:r w:rsidR="00B176F1">
        <w:rPr>
          <w:rFonts w:ascii="Arial" w:hAnsi="Arial" w:cs="Arial"/>
          <w:sz w:val="24"/>
          <w:szCs w:val="24"/>
        </w:rPr>
        <w:t xml:space="preserve"> the benefit of a party who gives a good explanation </w:t>
      </w:r>
      <w:r w:rsidR="00B931F7">
        <w:rPr>
          <w:rFonts w:ascii="Arial" w:hAnsi="Arial" w:cs="Arial"/>
          <w:sz w:val="24"/>
          <w:szCs w:val="24"/>
        </w:rPr>
        <w:t>for absence in court when the matter was heard.</w:t>
      </w:r>
    </w:p>
    <w:p w14:paraId="6DB7EDFD" w14:textId="036FD7E1" w:rsidR="00825662" w:rsidRDefault="00825662" w:rsidP="001C7D70">
      <w:pPr>
        <w:spacing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w:t>
      </w:r>
      <w:r w:rsidRPr="00825662">
        <w:rPr>
          <w:rFonts w:ascii="Arial" w:hAnsi="Arial" w:cs="Arial"/>
          <w:b/>
          <w:bCs/>
          <w:i/>
          <w:iCs/>
          <w:sz w:val="24"/>
          <w:szCs w:val="24"/>
        </w:rPr>
        <w:t>Cool Ideas 1186 CC v Hubbard &amp; Another</w:t>
      </w:r>
      <w:r>
        <w:rPr>
          <w:rStyle w:val="FootnoteReference"/>
          <w:rFonts w:ascii="Arial" w:hAnsi="Arial" w:cs="Arial"/>
          <w:sz w:val="24"/>
          <w:szCs w:val="24"/>
        </w:rPr>
        <w:footnoteReference w:id="7"/>
      </w:r>
      <w:r>
        <w:rPr>
          <w:rFonts w:ascii="Arial" w:hAnsi="Arial" w:cs="Arial"/>
          <w:b/>
          <w:bCs/>
          <w:sz w:val="24"/>
          <w:szCs w:val="24"/>
        </w:rPr>
        <w:t xml:space="preserve"> </w:t>
      </w:r>
      <w:r>
        <w:rPr>
          <w:rFonts w:ascii="Arial" w:hAnsi="Arial" w:cs="Arial"/>
          <w:sz w:val="24"/>
          <w:szCs w:val="24"/>
        </w:rPr>
        <w:t>the Constitutional Court held that:</w:t>
      </w:r>
      <w:r>
        <w:rPr>
          <w:rFonts w:ascii="Arial" w:hAnsi="Arial" w:cs="Arial"/>
          <w:sz w:val="24"/>
          <w:szCs w:val="24"/>
        </w:rPr>
        <w:tab/>
      </w:r>
    </w:p>
    <w:p w14:paraId="74E40E10" w14:textId="5F2F3A73" w:rsidR="00825662" w:rsidRDefault="00825662" w:rsidP="00825662">
      <w:pPr>
        <w:spacing w:line="240" w:lineRule="auto"/>
        <w:ind w:left="2160" w:hanging="720"/>
        <w:jc w:val="both"/>
        <w:rPr>
          <w:rFonts w:ascii="Arial" w:hAnsi="Arial" w:cs="Arial"/>
          <w:sz w:val="24"/>
          <w:szCs w:val="24"/>
        </w:rPr>
      </w:pPr>
      <w:r w:rsidRPr="00825662">
        <w:rPr>
          <w:rFonts w:ascii="Arial" w:hAnsi="Arial" w:cs="Arial"/>
          <w:i/>
          <w:iCs/>
          <w:sz w:val="20"/>
          <w:szCs w:val="20"/>
        </w:rPr>
        <w:t xml:space="preserve">“[28] </w:t>
      </w:r>
      <w:r w:rsidRPr="00825662">
        <w:rPr>
          <w:rFonts w:ascii="Arial" w:hAnsi="Arial" w:cs="Arial"/>
          <w:i/>
          <w:iCs/>
          <w:sz w:val="20"/>
          <w:szCs w:val="20"/>
        </w:rPr>
        <w:tab/>
        <w:t>A fundamental tenet of statutory interpretation is that the words in a statute must be given their ordinary grammatical meaning, unless to do so would result in an absurdity.18 There are three important interrelated riders to this general principle, namely: (a) that statutory provisions should always be interpreted purposively; 19 (b) the relevant statutory provision must be properly contextualised; 20 and (c) all statutes must be construed consistently with the Constitution, that is, where reasonably possible, legislative provisions ought to be interpreted to preserve their constitutional validity.</w:t>
      </w:r>
      <w:r>
        <w:rPr>
          <w:rFonts w:ascii="Arial" w:hAnsi="Arial" w:cs="Arial"/>
          <w:sz w:val="24"/>
          <w:szCs w:val="24"/>
        </w:rPr>
        <w:t>”</w:t>
      </w:r>
    </w:p>
    <w:p w14:paraId="430638D2" w14:textId="1E11BDF2" w:rsidR="008F09AE" w:rsidRDefault="00825662" w:rsidP="001C7D70">
      <w:pPr>
        <w:spacing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The purpose, again of the</w:t>
      </w:r>
      <w:r w:rsidR="006A0336">
        <w:rPr>
          <w:rFonts w:ascii="Arial" w:hAnsi="Arial" w:cs="Arial"/>
          <w:sz w:val="24"/>
          <w:szCs w:val="24"/>
        </w:rPr>
        <w:t xml:space="preserve"> subrule is to honour the old principle of </w:t>
      </w:r>
      <w:proofErr w:type="spellStart"/>
      <w:r w:rsidR="006A0336">
        <w:rPr>
          <w:rFonts w:ascii="Arial" w:hAnsi="Arial" w:cs="Arial"/>
          <w:i/>
          <w:iCs/>
          <w:sz w:val="24"/>
          <w:szCs w:val="24"/>
        </w:rPr>
        <w:t>audi</w:t>
      </w:r>
      <w:proofErr w:type="spellEnd"/>
      <w:r w:rsidR="006A0336">
        <w:rPr>
          <w:rFonts w:ascii="Arial" w:hAnsi="Arial" w:cs="Arial"/>
          <w:i/>
          <w:iCs/>
          <w:sz w:val="24"/>
          <w:szCs w:val="24"/>
        </w:rPr>
        <w:t xml:space="preserve"> alteram partum</w:t>
      </w:r>
      <w:r w:rsidR="006A0336">
        <w:rPr>
          <w:rFonts w:ascii="Arial" w:hAnsi="Arial" w:cs="Arial"/>
          <w:sz w:val="24"/>
          <w:szCs w:val="24"/>
        </w:rPr>
        <w:t xml:space="preserve"> rule. It must be in that </w:t>
      </w:r>
      <w:r w:rsidR="008F09AE">
        <w:rPr>
          <w:rFonts w:ascii="Arial" w:hAnsi="Arial" w:cs="Arial"/>
          <w:sz w:val="24"/>
          <w:szCs w:val="24"/>
        </w:rPr>
        <w:t>context that Rule 6(12</w:t>
      </w:r>
      <w:r w:rsidR="00FA17D8">
        <w:rPr>
          <w:rFonts w:ascii="Arial" w:hAnsi="Arial" w:cs="Arial"/>
          <w:sz w:val="24"/>
          <w:szCs w:val="24"/>
        </w:rPr>
        <w:t>)</w:t>
      </w:r>
      <w:r w:rsidR="008F09AE">
        <w:rPr>
          <w:rFonts w:ascii="Arial" w:hAnsi="Arial" w:cs="Arial"/>
          <w:sz w:val="24"/>
          <w:szCs w:val="24"/>
        </w:rPr>
        <w:t>(c) of the Uniform Rules must be interpreted</w:t>
      </w:r>
      <w:r w:rsidR="00033A1F">
        <w:rPr>
          <w:rFonts w:ascii="Arial" w:hAnsi="Arial" w:cs="Arial"/>
          <w:sz w:val="24"/>
          <w:szCs w:val="24"/>
        </w:rPr>
        <w:t>,</w:t>
      </w:r>
      <w:r w:rsidR="008F09AE">
        <w:rPr>
          <w:rFonts w:ascii="Arial" w:hAnsi="Arial" w:cs="Arial"/>
          <w:sz w:val="24"/>
          <w:szCs w:val="24"/>
        </w:rPr>
        <w:t xml:space="preserve"> otherwise any other interpretation may result in absurdity.</w:t>
      </w:r>
    </w:p>
    <w:p w14:paraId="7B155BA9" w14:textId="3A71A764" w:rsidR="00783DF1" w:rsidRDefault="008F09AE" w:rsidP="001C7D70">
      <w:pPr>
        <w:spacing w:line="480" w:lineRule="auto"/>
        <w:ind w:left="720" w:hanging="72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t xml:space="preserve">I therefore find that the first respondent was properly given an opportunity to be heard and wilfully </w:t>
      </w:r>
      <w:r w:rsidR="00783DF1">
        <w:rPr>
          <w:rFonts w:ascii="Arial" w:hAnsi="Arial" w:cs="Arial"/>
          <w:sz w:val="24"/>
          <w:szCs w:val="24"/>
        </w:rPr>
        <w:t>elected not to attend court nor file a notice of opposition. Therefore Rule 6(12)(c) was not available to the first respondent.</w:t>
      </w:r>
      <w:r w:rsidR="000B4C71">
        <w:rPr>
          <w:rFonts w:ascii="Arial" w:hAnsi="Arial" w:cs="Arial"/>
          <w:sz w:val="24"/>
          <w:szCs w:val="24"/>
        </w:rPr>
        <w:t xml:space="preserve"> No explanation</w:t>
      </w:r>
      <w:r w:rsidR="000D50D3">
        <w:rPr>
          <w:rFonts w:ascii="Arial" w:hAnsi="Arial" w:cs="Arial"/>
          <w:sz w:val="24"/>
          <w:szCs w:val="24"/>
        </w:rPr>
        <w:t>, except complaints about notice and service</w:t>
      </w:r>
      <w:r w:rsidR="00B26153">
        <w:rPr>
          <w:rFonts w:ascii="Arial" w:hAnsi="Arial" w:cs="Arial"/>
          <w:sz w:val="24"/>
          <w:szCs w:val="24"/>
        </w:rPr>
        <w:t xml:space="preserve"> was </w:t>
      </w:r>
      <w:r w:rsidR="00346E6E">
        <w:rPr>
          <w:rFonts w:ascii="Arial" w:hAnsi="Arial" w:cs="Arial"/>
          <w:sz w:val="24"/>
          <w:szCs w:val="24"/>
        </w:rPr>
        <w:t>made</w:t>
      </w:r>
      <w:r w:rsidR="00DC7FED">
        <w:rPr>
          <w:rFonts w:ascii="Arial" w:hAnsi="Arial" w:cs="Arial"/>
          <w:sz w:val="24"/>
          <w:szCs w:val="24"/>
        </w:rPr>
        <w:t xml:space="preserve"> by the first respondent for their absence in court.</w:t>
      </w:r>
    </w:p>
    <w:p w14:paraId="5C356B13" w14:textId="358F11A9" w:rsidR="00FA17D8" w:rsidRPr="00FA17D8" w:rsidRDefault="00FA17D8" w:rsidP="001C7D70">
      <w:pPr>
        <w:spacing w:line="480" w:lineRule="auto"/>
        <w:ind w:left="720" w:hanging="720"/>
        <w:jc w:val="both"/>
        <w:rPr>
          <w:rFonts w:ascii="Arial" w:hAnsi="Arial" w:cs="Arial"/>
          <w:i/>
          <w:iCs/>
          <w:sz w:val="24"/>
          <w:szCs w:val="24"/>
        </w:rPr>
      </w:pPr>
      <w:r w:rsidRPr="00FA17D8">
        <w:rPr>
          <w:rFonts w:ascii="Arial" w:hAnsi="Arial" w:cs="Arial"/>
          <w:i/>
          <w:iCs/>
          <w:sz w:val="24"/>
          <w:szCs w:val="24"/>
        </w:rPr>
        <w:t>Urgency</w:t>
      </w:r>
    </w:p>
    <w:p w14:paraId="57064FB8" w14:textId="2FCEE7DC" w:rsidR="004B6C17" w:rsidRDefault="00783DF1" w:rsidP="001C7D70">
      <w:pPr>
        <w:spacing w:line="48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 last attempt made by the first respondent was to attack the urgency of the applicants</w:t>
      </w:r>
      <w:r w:rsidR="00033A1F">
        <w:rPr>
          <w:rFonts w:ascii="Arial" w:hAnsi="Arial" w:cs="Arial"/>
          <w:sz w:val="24"/>
          <w:szCs w:val="24"/>
        </w:rPr>
        <w:t>’</w:t>
      </w:r>
      <w:r>
        <w:rPr>
          <w:rFonts w:ascii="Arial" w:hAnsi="Arial" w:cs="Arial"/>
          <w:sz w:val="24"/>
          <w:szCs w:val="24"/>
        </w:rPr>
        <w:t xml:space="preserve"> application. The first respondent made submissions from the bar about the lack of urgency when in her papers </w:t>
      </w:r>
      <w:r w:rsidR="004B6C17">
        <w:rPr>
          <w:rFonts w:ascii="Arial" w:hAnsi="Arial" w:cs="Arial"/>
          <w:sz w:val="24"/>
          <w:szCs w:val="24"/>
        </w:rPr>
        <w:t>such attack ha</w:t>
      </w:r>
      <w:r w:rsidR="00FA17D8">
        <w:rPr>
          <w:rFonts w:ascii="Arial" w:hAnsi="Arial" w:cs="Arial"/>
          <w:sz w:val="24"/>
          <w:szCs w:val="24"/>
        </w:rPr>
        <w:t>d</w:t>
      </w:r>
      <w:r w:rsidR="004B6C17">
        <w:rPr>
          <w:rFonts w:ascii="Arial" w:hAnsi="Arial" w:cs="Arial"/>
          <w:sz w:val="24"/>
          <w:szCs w:val="24"/>
        </w:rPr>
        <w:t xml:space="preserve"> not been </w:t>
      </w:r>
      <w:r w:rsidR="00FA17D8">
        <w:rPr>
          <w:rFonts w:ascii="Arial" w:hAnsi="Arial" w:cs="Arial"/>
          <w:sz w:val="24"/>
          <w:szCs w:val="24"/>
        </w:rPr>
        <w:t>made</w:t>
      </w:r>
      <w:r w:rsidR="004B6C17">
        <w:rPr>
          <w:rFonts w:ascii="Arial" w:hAnsi="Arial" w:cs="Arial"/>
          <w:sz w:val="24"/>
          <w:szCs w:val="24"/>
        </w:rPr>
        <w:t>. That kind of litigation is not permissible as urgency involve</w:t>
      </w:r>
      <w:r w:rsidR="00FA17D8">
        <w:rPr>
          <w:rFonts w:ascii="Arial" w:hAnsi="Arial" w:cs="Arial"/>
          <w:sz w:val="24"/>
          <w:szCs w:val="24"/>
        </w:rPr>
        <w:t>s</w:t>
      </w:r>
      <w:r w:rsidR="004B6C17">
        <w:rPr>
          <w:rFonts w:ascii="Arial" w:hAnsi="Arial" w:cs="Arial"/>
          <w:sz w:val="24"/>
          <w:szCs w:val="24"/>
        </w:rPr>
        <w:t xml:space="preserve"> facts.</w:t>
      </w:r>
    </w:p>
    <w:p w14:paraId="27EC32CB" w14:textId="50656657" w:rsidR="008050BA" w:rsidRDefault="004B6C17" w:rsidP="001C7D70">
      <w:pPr>
        <w:spacing w:line="48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However, the applicant’s case and the court file reveal that on 25 January 2024 the first respondent obtained </w:t>
      </w:r>
      <w:r w:rsidR="00FF0297">
        <w:rPr>
          <w:rFonts w:ascii="Arial" w:hAnsi="Arial" w:cs="Arial"/>
          <w:sz w:val="24"/>
          <w:szCs w:val="24"/>
        </w:rPr>
        <w:t>default judgment again</w:t>
      </w:r>
      <w:r w:rsidR="001276FD">
        <w:rPr>
          <w:rFonts w:ascii="Arial" w:hAnsi="Arial" w:cs="Arial"/>
          <w:sz w:val="24"/>
          <w:szCs w:val="24"/>
        </w:rPr>
        <w:t xml:space="preserve">st the applicant. On 30 January 2024 the applicants delivered and launched an application for rescission of default judgment aforesaid. </w:t>
      </w:r>
      <w:r w:rsidR="00FA17D8">
        <w:rPr>
          <w:rFonts w:ascii="Arial" w:hAnsi="Arial" w:cs="Arial"/>
          <w:sz w:val="24"/>
          <w:szCs w:val="24"/>
        </w:rPr>
        <w:t>T</w:t>
      </w:r>
      <w:r w:rsidR="001276FD">
        <w:rPr>
          <w:rFonts w:ascii="Arial" w:hAnsi="Arial" w:cs="Arial"/>
          <w:sz w:val="24"/>
          <w:szCs w:val="24"/>
        </w:rPr>
        <w:t xml:space="preserve">he court order granted by this court on </w:t>
      </w:r>
      <w:r w:rsidR="00033A1F">
        <w:rPr>
          <w:rFonts w:ascii="Arial" w:hAnsi="Arial" w:cs="Arial"/>
          <w:sz w:val="24"/>
          <w:szCs w:val="24"/>
        </w:rPr>
        <w:t>9</w:t>
      </w:r>
      <w:r w:rsidR="001276FD">
        <w:rPr>
          <w:rFonts w:ascii="Arial" w:hAnsi="Arial" w:cs="Arial"/>
          <w:sz w:val="24"/>
          <w:szCs w:val="24"/>
        </w:rPr>
        <w:t xml:space="preserve"> February 2024 records that the writ of execution was issued on 2 February 2024. The court file further reveals that a certificate of urgency was prepared on behalf of the applicant</w:t>
      </w:r>
      <w:r w:rsidR="00FA17D8">
        <w:rPr>
          <w:rFonts w:ascii="Arial" w:hAnsi="Arial" w:cs="Arial"/>
          <w:sz w:val="24"/>
          <w:szCs w:val="24"/>
        </w:rPr>
        <w:t>s</w:t>
      </w:r>
      <w:r w:rsidR="001276FD">
        <w:rPr>
          <w:rFonts w:ascii="Arial" w:hAnsi="Arial" w:cs="Arial"/>
          <w:sz w:val="24"/>
          <w:szCs w:val="24"/>
        </w:rPr>
        <w:t xml:space="preserve"> and in paragraph 3.17 thereof it is stated that</w:t>
      </w:r>
      <w:r w:rsidR="008050BA">
        <w:rPr>
          <w:rFonts w:ascii="Arial" w:hAnsi="Arial" w:cs="Arial"/>
          <w:sz w:val="24"/>
          <w:szCs w:val="24"/>
        </w:rPr>
        <w:t xml:space="preserve"> on 6 February 2024 applicant</w:t>
      </w:r>
      <w:r w:rsidR="00FA17D8">
        <w:rPr>
          <w:rFonts w:ascii="Arial" w:hAnsi="Arial" w:cs="Arial"/>
          <w:sz w:val="24"/>
          <w:szCs w:val="24"/>
        </w:rPr>
        <w:t>s</w:t>
      </w:r>
      <w:r w:rsidR="008050BA">
        <w:rPr>
          <w:rFonts w:ascii="Arial" w:hAnsi="Arial" w:cs="Arial"/>
          <w:sz w:val="24"/>
          <w:szCs w:val="24"/>
        </w:rPr>
        <w:t xml:space="preserve"> became aware of the existence of the writ of execution when </w:t>
      </w:r>
      <w:r w:rsidR="00FA17D8">
        <w:rPr>
          <w:rFonts w:ascii="Arial" w:hAnsi="Arial" w:cs="Arial"/>
          <w:sz w:val="24"/>
          <w:szCs w:val="24"/>
        </w:rPr>
        <w:t>their employee</w:t>
      </w:r>
      <w:r w:rsidR="008050BA">
        <w:rPr>
          <w:rFonts w:ascii="Arial" w:hAnsi="Arial" w:cs="Arial"/>
          <w:sz w:val="24"/>
          <w:szCs w:val="24"/>
        </w:rPr>
        <w:t xml:space="preserve"> visited Sheriff’s office. On 7 February 2024 the court</w:t>
      </w:r>
      <w:r w:rsidR="00FA17D8">
        <w:rPr>
          <w:rFonts w:ascii="Arial" w:hAnsi="Arial" w:cs="Arial"/>
          <w:sz w:val="24"/>
          <w:szCs w:val="24"/>
        </w:rPr>
        <w:t>,</w:t>
      </w:r>
      <w:r w:rsidR="008050BA">
        <w:rPr>
          <w:rFonts w:ascii="Arial" w:hAnsi="Arial" w:cs="Arial"/>
          <w:sz w:val="24"/>
          <w:szCs w:val="24"/>
        </w:rPr>
        <w:t xml:space="preserve"> after having considered the certificate of urgency issued the directive referred to above. The matter was heard on 9 February 2024.</w:t>
      </w:r>
    </w:p>
    <w:p w14:paraId="3C3BEFBC" w14:textId="74B1AF4C" w:rsidR="00DE12C7" w:rsidRDefault="008050BA" w:rsidP="001C7D70">
      <w:pPr>
        <w:spacing w:line="48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The relevant facts</w:t>
      </w:r>
      <w:r w:rsidR="005E0159">
        <w:rPr>
          <w:rFonts w:ascii="Arial" w:hAnsi="Arial" w:cs="Arial"/>
          <w:sz w:val="24"/>
          <w:szCs w:val="24"/>
        </w:rPr>
        <w:t xml:space="preserve"> </w:t>
      </w:r>
      <w:r w:rsidR="00FA17D8">
        <w:rPr>
          <w:rFonts w:ascii="Arial" w:hAnsi="Arial" w:cs="Arial"/>
          <w:sz w:val="24"/>
          <w:szCs w:val="24"/>
        </w:rPr>
        <w:t>in this case</w:t>
      </w:r>
      <w:r w:rsidR="005E0159">
        <w:rPr>
          <w:rFonts w:ascii="Arial" w:hAnsi="Arial" w:cs="Arial"/>
          <w:sz w:val="24"/>
          <w:szCs w:val="24"/>
        </w:rPr>
        <w:t xml:space="preserve"> that prompted applicants</w:t>
      </w:r>
      <w:r w:rsidR="00FA17D8">
        <w:rPr>
          <w:rFonts w:ascii="Arial" w:hAnsi="Arial" w:cs="Arial"/>
          <w:sz w:val="24"/>
          <w:szCs w:val="24"/>
        </w:rPr>
        <w:t>’</w:t>
      </w:r>
      <w:r w:rsidR="005E0159">
        <w:rPr>
          <w:rFonts w:ascii="Arial" w:hAnsi="Arial" w:cs="Arial"/>
          <w:sz w:val="24"/>
          <w:szCs w:val="24"/>
        </w:rPr>
        <w:t xml:space="preserve"> urgent </w:t>
      </w:r>
      <w:r w:rsidR="00FA17D8">
        <w:rPr>
          <w:rFonts w:ascii="Arial" w:hAnsi="Arial" w:cs="Arial"/>
          <w:sz w:val="24"/>
          <w:szCs w:val="24"/>
        </w:rPr>
        <w:t xml:space="preserve">application </w:t>
      </w:r>
      <w:r w:rsidR="005E0159">
        <w:rPr>
          <w:rFonts w:ascii="Arial" w:hAnsi="Arial" w:cs="Arial"/>
          <w:sz w:val="24"/>
          <w:szCs w:val="24"/>
        </w:rPr>
        <w:t xml:space="preserve">is the </w:t>
      </w:r>
      <w:r w:rsidR="00033A1F">
        <w:rPr>
          <w:rFonts w:ascii="Arial" w:hAnsi="Arial" w:cs="Arial"/>
          <w:sz w:val="24"/>
          <w:szCs w:val="24"/>
        </w:rPr>
        <w:t xml:space="preserve">knowledge of </w:t>
      </w:r>
      <w:r w:rsidR="005E0159">
        <w:rPr>
          <w:rFonts w:ascii="Arial" w:hAnsi="Arial" w:cs="Arial"/>
          <w:sz w:val="24"/>
          <w:szCs w:val="24"/>
        </w:rPr>
        <w:t>existence of the writ of execution. When the applicant</w:t>
      </w:r>
      <w:r w:rsidR="00FA17D8">
        <w:rPr>
          <w:rFonts w:ascii="Arial" w:hAnsi="Arial" w:cs="Arial"/>
          <w:sz w:val="24"/>
          <w:szCs w:val="24"/>
        </w:rPr>
        <w:t>s</w:t>
      </w:r>
      <w:r w:rsidR="005E0159">
        <w:rPr>
          <w:rFonts w:ascii="Arial" w:hAnsi="Arial" w:cs="Arial"/>
          <w:sz w:val="24"/>
          <w:szCs w:val="24"/>
        </w:rPr>
        <w:t xml:space="preserve"> became aware of the writ of execution on 6 February 2024 </w:t>
      </w:r>
      <w:r w:rsidR="00FA17D8">
        <w:rPr>
          <w:rFonts w:ascii="Arial" w:hAnsi="Arial" w:cs="Arial"/>
          <w:sz w:val="24"/>
          <w:szCs w:val="24"/>
        </w:rPr>
        <w:t>they approached</w:t>
      </w:r>
      <w:r w:rsidR="00033A1F">
        <w:rPr>
          <w:rFonts w:ascii="Arial" w:hAnsi="Arial" w:cs="Arial"/>
          <w:sz w:val="24"/>
          <w:szCs w:val="24"/>
        </w:rPr>
        <w:t xml:space="preserve"> </w:t>
      </w:r>
      <w:proofErr w:type="gramStart"/>
      <w:r w:rsidR="00033A1F">
        <w:rPr>
          <w:rFonts w:ascii="Arial" w:hAnsi="Arial" w:cs="Arial"/>
          <w:sz w:val="24"/>
          <w:szCs w:val="24"/>
        </w:rPr>
        <w:lastRenderedPageBreak/>
        <w:t xml:space="preserve">this </w:t>
      </w:r>
      <w:r w:rsidR="00FA17D8">
        <w:rPr>
          <w:rFonts w:ascii="Arial" w:hAnsi="Arial" w:cs="Arial"/>
          <w:sz w:val="24"/>
          <w:szCs w:val="24"/>
        </w:rPr>
        <w:t xml:space="preserve"> court</w:t>
      </w:r>
      <w:proofErr w:type="gramEnd"/>
      <w:r w:rsidR="005E0159">
        <w:rPr>
          <w:rFonts w:ascii="Arial" w:hAnsi="Arial" w:cs="Arial"/>
          <w:sz w:val="24"/>
          <w:szCs w:val="24"/>
        </w:rPr>
        <w:t xml:space="preserve"> on </w:t>
      </w:r>
      <w:r w:rsidR="000A39FA">
        <w:rPr>
          <w:rFonts w:ascii="Arial" w:hAnsi="Arial" w:cs="Arial"/>
          <w:sz w:val="24"/>
          <w:szCs w:val="24"/>
        </w:rPr>
        <w:t>7 February 2024</w:t>
      </w:r>
      <w:r w:rsidR="005E0159">
        <w:rPr>
          <w:rFonts w:ascii="Arial" w:hAnsi="Arial" w:cs="Arial"/>
          <w:sz w:val="24"/>
          <w:szCs w:val="24"/>
        </w:rPr>
        <w:t xml:space="preserve"> for a directive to be issued </w:t>
      </w:r>
      <w:r w:rsidR="000A39FA">
        <w:rPr>
          <w:rFonts w:ascii="Arial" w:hAnsi="Arial" w:cs="Arial"/>
          <w:sz w:val="24"/>
          <w:szCs w:val="24"/>
        </w:rPr>
        <w:t>in terms of Practice Rule 12(a)(</w:t>
      </w:r>
      <w:proofErr w:type="spellStart"/>
      <w:r w:rsidR="000A39FA">
        <w:rPr>
          <w:rFonts w:ascii="Arial" w:hAnsi="Arial" w:cs="Arial"/>
          <w:sz w:val="24"/>
          <w:szCs w:val="24"/>
        </w:rPr>
        <w:t>i</w:t>
      </w:r>
      <w:proofErr w:type="spellEnd"/>
      <w:r w:rsidR="000A39FA">
        <w:rPr>
          <w:rFonts w:ascii="Arial" w:hAnsi="Arial" w:cs="Arial"/>
          <w:sz w:val="24"/>
          <w:szCs w:val="24"/>
        </w:rPr>
        <w:t xml:space="preserve">) of the Joint Rules of this division. The order the applicant sought and obtained on 9 February 2024 stayed the warrant of execution </w:t>
      </w:r>
      <w:r w:rsidR="00FA17D8">
        <w:rPr>
          <w:rFonts w:ascii="Arial" w:hAnsi="Arial" w:cs="Arial"/>
          <w:sz w:val="24"/>
          <w:szCs w:val="24"/>
        </w:rPr>
        <w:t xml:space="preserve">aforesaid </w:t>
      </w:r>
      <w:r w:rsidR="000A39FA">
        <w:rPr>
          <w:rFonts w:ascii="Arial" w:hAnsi="Arial" w:cs="Arial"/>
          <w:sz w:val="24"/>
          <w:szCs w:val="24"/>
        </w:rPr>
        <w:t xml:space="preserve">pending the finalisation of the application for rescission of default judgment. That shows the interwovenness and </w:t>
      </w:r>
      <w:r w:rsidR="00FA17D8">
        <w:rPr>
          <w:rFonts w:ascii="Arial" w:hAnsi="Arial" w:cs="Arial"/>
          <w:sz w:val="24"/>
          <w:szCs w:val="24"/>
        </w:rPr>
        <w:t>synergy</w:t>
      </w:r>
      <w:r w:rsidR="000A39FA">
        <w:rPr>
          <w:rFonts w:ascii="Arial" w:hAnsi="Arial" w:cs="Arial"/>
          <w:sz w:val="24"/>
          <w:szCs w:val="24"/>
        </w:rPr>
        <w:t xml:space="preserve"> between the w</w:t>
      </w:r>
      <w:r w:rsidR="00DE12C7">
        <w:rPr>
          <w:rFonts w:ascii="Arial" w:hAnsi="Arial" w:cs="Arial"/>
          <w:sz w:val="24"/>
          <w:szCs w:val="24"/>
        </w:rPr>
        <w:t>arrant of execution and the co</w:t>
      </w:r>
      <w:r w:rsidR="00FA17D8">
        <w:rPr>
          <w:rFonts w:ascii="Arial" w:hAnsi="Arial" w:cs="Arial"/>
          <w:sz w:val="24"/>
          <w:szCs w:val="24"/>
        </w:rPr>
        <w:t>urt</w:t>
      </w:r>
      <w:r w:rsidR="00DE12C7">
        <w:rPr>
          <w:rFonts w:ascii="Arial" w:hAnsi="Arial" w:cs="Arial"/>
          <w:sz w:val="24"/>
          <w:szCs w:val="24"/>
        </w:rPr>
        <w:t xml:space="preserve"> order the applicant</w:t>
      </w:r>
      <w:r w:rsidR="00FA17D8">
        <w:rPr>
          <w:rFonts w:ascii="Arial" w:hAnsi="Arial" w:cs="Arial"/>
          <w:sz w:val="24"/>
          <w:szCs w:val="24"/>
        </w:rPr>
        <w:t>s</w:t>
      </w:r>
      <w:r w:rsidR="00DE12C7">
        <w:rPr>
          <w:rFonts w:ascii="Arial" w:hAnsi="Arial" w:cs="Arial"/>
          <w:sz w:val="24"/>
          <w:szCs w:val="24"/>
        </w:rPr>
        <w:t xml:space="preserve"> obtained on 9 February 2024.</w:t>
      </w:r>
    </w:p>
    <w:p w14:paraId="0B332944" w14:textId="17283BC4" w:rsidR="00392D88" w:rsidRDefault="00DE12C7" w:rsidP="001C7D70">
      <w:pPr>
        <w:spacing w:line="48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A writ of execution may be proceeded </w:t>
      </w:r>
      <w:r w:rsidR="00AD6A2E">
        <w:rPr>
          <w:rFonts w:ascii="Arial" w:hAnsi="Arial" w:cs="Arial"/>
          <w:sz w:val="24"/>
          <w:szCs w:val="24"/>
        </w:rPr>
        <w:t xml:space="preserve">with </w:t>
      </w:r>
      <w:r w:rsidR="00140A86">
        <w:rPr>
          <w:rFonts w:ascii="Arial" w:hAnsi="Arial" w:cs="Arial"/>
          <w:sz w:val="24"/>
          <w:szCs w:val="24"/>
        </w:rPr>
        <w:t>i</w:t>
      </w:r>
      <w:r w:rsidR="00AD6A2E">
        <w:rPr>
          <w:rFonts w:ascii="Arial" w:hAnsi="Arial" w:cs="Arial"/>
          <w:sz w:val="24"/>
          <w:szCs w:val="24"/>
        </w:rPr>
        <w:t>f the application</w:t>
      </w:r>
      <w:r w:rsidR="002A4FCE">
        <w:rPr>
          <w:rFonts w:ascii="Arial" w:hAnsi="Arial" w:cs="Arial"/>
          <w:sz w:val="24"/>
          <w:szCs w:val="24"/>
        </w:rPr>
        <w:t xml:space="preserve"> for rescission of default judgment does not succeed. Therefore, there is no irreparable harm that may be suffered by the first respondent if the application for reconsideration </w:t>
      </w:r>
      <w:proofErr w:type="gramStart"/>
      <w:r w:rsidR="002A4FCE">
        <w:rPr>
          <w:rFonts w:ascii="Arial" w:hAnsi="Arial" w:cs="Arial"/>
          <w:sz w:val="24"/>
          <w:szCs w:val="24"/>
        </w:rPr>
        <w:t>fails</w:t>
      </w:r>
      <w:proofErr w:type="gramEnd"/>
      <w:r w:rsidR="002A4FCE">
        <w:rPr>
          <w:rFonts w:ascii="Arial" w:hAnsi="Arial" w:cs="Arial"/>
          <w:sz w:val="24"/>
          <w:szCs w:val="24"/>
        </w:rPr>
        <w:t xml:space="preserve"> and the order granted on 9 February 2024 remains. Again, if the order of 9 February 2024 is set aside or otherwise </w:t>
      </w:r>
      <w:r w:rsidR="00392D88">
        <w:rPr>
          <w:rFonts w:ascii="Arial" w:hAnsi="Arial" w:cs="Arial"/>
          <w:sz w:val="24"/>
          <w:szCs w:val="24"/>
        </w:rPr>
        <w:t>upset and</w:t>
      </w:r>
      <w:r w:rsidR="002A4FCE">
        <w:rPr>
          <w:rFonts w:ascii="Arial" w:hAnsi="Arial" w:cs="Arial"/>
          <w:sz w:val="24"/>
          <w:szCs w:val="24"/>
        </w:rPr>
        <w:t xml:space="preserve"> the rescission application at the end </w:t>
      </w:r>
      <w:r w:rsidR="00046FF1">
        <w:rPr>
          <w:rFonts w:ascii="Arial" w:hAnsi="Arial" w:cs="Arial"/>
          <w:sz w:val="24"/>
          <w:szCs w:val="24"/>
        </w:rPr>
        <w:t>succeeds</w:t>
      </w:r>
      <w:r w:rsidR="002A4FCE">
        <w:rPr>
          <w:rFonts w:ascii="Arial" w:hAnsi="Arial" w:cs="Arial"/>
          <w:sz w:val="24"/>
          <w:szCs w:val="24"/>
        </w:rPr>
        <w:t xml:space="preserve">, the applicants would suffer irreparable harm. </w:t>
      </w:r>
      <w:r w:rsidR="00392D88">
        <w:rPr>
          <w:rFonts w:ascii="Arial" w:hAnsi="Arial" w:cs="Arial"/>
          <w:sz w:val="24"/>
          <w:szCs w:val="24"/>
        </w:rPr>
        <w:t>Finally, I find that in the circumstances, the balance of convenience favours the applicants. Accordingly,</w:t>
      </w:r>
      <w:r w:rsidR="00FA17D8">
        <w:rPr>
          <w:rFonts w:ascii="Arial" w:hAnsi="Arial" w:cs="Arial"/>
          <w:sz w:val="24"/>
          <w:szCs w:val="24"/>
        </w:rPr>
        <w:t xml:space="preserve"> an</w:t>
      </w:r>
      <w:r w:rsidR="00392D88">
        <w:rPr>
          <w:rFonts w:ascii="Arial" w:hAnsi="Arial" w:cs="Arial"/>
          <w:sz w:val="24"/>
          <w:szCs w:val="24"/>
        </w:rPr>
        <w:t xml:space="preserve"> application for reconsideration of the order of 9 February 2024 cannot succeed.</w:t>
      </w:r>
    </w:p>
    <w:p w14:paraId="5E2299C3" w14:textId="06EBE76A" w:rsidR="00392D88" w:rsidRPr="00392D88" w:rsidRDefault="00392D88" w:rsidP="001C7D70">
      <w:pPr>
        <w:spacing w:line="480" w:lineRule="auto"/>
        <w:ind w:left="720" w:hanging="720"/>
        <w:jc w:val="both"/>
        <w:rPr>
          <w:rFonts w:ascii="Arial" w:hAnsi="Arial" w:cs="Arial"/>
          <w:b/>
          <w:bCs/>
          <w:sz w:val="24"/>
          <w:szCs w:val="24"/>
        </w:rPr>
      </w:pPr>
      <w:r w:rsidRPr="00392D88">
        <w:rPr>
          <w:rFonts w:ascii="Arial" w:hAnsi="Arial" w:cs="Arial"/>
          <w:b/>
          <w:bCs/>
          <w:sz w:val="24"/>
          <w:szCs w:val="24"/>
        </w:rPr>
        <w:t>[28]</w:t>
      </w:r>
      <w:r w:rsidRPr="00392D88">
        <w:rPr>
          <w:rFonts w:ascii="Arial" w:hAnsi="Arial" w:cs="Arial"/>
          <w:b/>
          <w:bCs/>
          <w:sz w:val="24"/>
          <w:szCs w:val="24"/>
        </w:rPr>
        <w:tab/>
        <w:t xml:space="preserve">In the result, </w:t>
      </w:r>
      <w:r w:rsidR="00FA17D8">
        <w:rPr>
          <w:rFonts w:ascii="Arial" w:hAnsi="Arial" w:cs="Arial"/>
          <w:b/>
          <w:bCs/>
          <w:sz w:val="24"/>
          <w:szCs w:val="24"/>
        </w:rPr>
        <w:t>I make the following</w:t>
      </w:r>
      <w:r w:rsidRPr="00392D88">
        <w:rPr>
          <w:rFonts w:ascii="Arial" w:hAnsi="Arial" w:cs="Arial"/>
          <w:b/>
          <w:bCs/>
          <w:sz w:val="24"/>
          <w:szCs w:val="24"/>
        </w:rPr>
        <w:t xml:space="preserve"> order:</w:t>
      </w:r>
    </w:p>
    <w:p w14:paraId="76236C27" w14:textId="47F1433A" w:rsidR="00392D88" w:rsidRPr="00392D88" w:rsidRDefault="00392D88" w:rsidP="00392D88">
      <w:pPr>
        <w:spacing w:line="480" w:lineRule="auto"/>
        <w:ind w:left="1440" w:hanging="720"/>
        <w:jc w:val="both"/>
        <w:rPr>
          <w:rFonts w:ascii="Arial" w:hAnsi="Arial" w:cs="Arial"/>
          <w:b/>
          <w:bCs/>
          <w:sz w:val="24"/>
          <w:szCs w:val="24"/>
        </w:rPr>
      </w:pPr>
      <w:r w:rsidRPr="00392D88">
        <w:rPr>
          <w:rFonts w:ascii="Arial" w:hAnsi="Arial" w:cs="Arial"/>
          <w:b/>
          <w:bCs/>
          <w:sz w:val="24"/>
          <w:szCs w:val="24"/>
        </w:rPr>
        <w:t>28.1</w:t>
      </w:r>
      <w:r w:rsidRPr="00392D88">
        <w:rPr>
          <w:rFonts w:ascii="Arial" w:hAnsi="Arial" w:cs="Arial"/>
          <w:b/>
          <w:bCs/>
          <w:sz w:val="24"/>
          <w:szCs w:val="24"/>
        </w:rPr>
        <w:tab/>
        <w:t xml:space="preserve">The application for reconsideration of the order of 9 February 2024 is hereby dismissed. </w:t>
      </w:r>
    </w:p>
    <w:p w14:paraId="3B77C3EC" w14:textId="754701C9" w:rsidR="00392D88" w:rsidRPr="00392D88" w:rsidRDefault="00392D88" w:rsidP="00392D88">
      <w:pPr>
        <w:spacing w:line="480" w:lineRule="auto"/>
        <w:ind w:left="1440" w:hanging="720"/>
        <w:jc w:val="both"/>
        <w:rPr>
          <w:rFonts w:ascii="Arial" w:hAnsi="Arial" w:cs="Arial"/>
          <w:b/>
          <w:bCs/>
          <w:sz w:val="24"/>
          <w:szCs w:val="24"/>
        </w:rPr>
      </w:pPr>
      <w:r w:rsidRPr="00392D88">
        <w:rPr>
          <w:rFonts w:ascii="Arial" w:hAnsi="Arial" w:cs="Arial"/>
          <w:b/>
          <w:bCs/>
          <w:sz w:val="24"/>
          <w:szCs w:val="24"/>
        </w:rPr>
        <w:t>28.2</w:t>
      </w:r>
      <w:r w:rsidRPr="00392D88">
        <w:rPr>
          <w:rFonts w:ascii="Arial" w:hAnsi="Arial" w:cs="Arial"/>
          <w:b/>
          <w:bCs/>
          <w:sz w:val="24"/>
          <w:szCs w:val="24"/>
        </w:rPr>
        <w:tab/>
        <w:t>The first respondent is ordered to pay costs of the application, such costs to include costs of the second respondent’s opposition.</w:t>
      </w:r>
    </w:p>
    <w:p w14:paraId="753E7474" w14:textId="77777777" w:rsidR="00214A7D" w:rsidRDefault="00214A7D" w:rsidP="00033A1F">
      <w:pPr>
        <w:spacing w:line="480" w:lineRule="auto"/>
        <w:jc w:val="both"/>
        <w:rPr>
          <w:rFonts w:ascii="Arial" w:hAnsi="Arial" w:cs="Arial"/>
          <w:sz w:val="24"/>
          <w:szCs w:val="24"/>
        </w:rPr>
      </w:pPr>
    </w:p>
    <w:p w14:paraId="2B06CA9E" w14:textId="5E4D900D" w:rsidR="00214A7D" w:rsidRPr="001362DB" w:rsidRDefault="00214A7D" w:rsidP="001C7D70">
      <w:pPr>
        <w:spacing w:line="480" w:lineRule="auto"/>
        <w:ind w:left="720" w:hanging="720"/>
        <w:jc w:val="both"/>
        <w:rPr>
          <w:rFonts w:ascii="Arial" w:hAnsi="Arial" w:cs="Arial"/>
          <w:b/>
          <w:bCs/>
          <w:sz w:val="24"/>
          <w:szCs w:val="24"/>
        </w:rPr>
      </w:pPr>
      <w:r w:rsidRPr="001362DB">
        <w:rPr>
          <w:rFonts w:ascii="Arial" w:hAnsi="Arial" w:cs="Arial"/>
          <w:b/>
          <w:bCs/>
          <w:sz w:val="24"/>
          <w:szCs w:val="24"/>
        </w:rPr>
        <w:t>__________________________________</w:t>
      </w:r>
    </w:p>
    <w:p w14:paraId="1D4D271E" w14:textId="7A384630" w:rsidR="00214A7D" w:rsidRPr="001362DB" w:rsidRDefault="00214A7D" w:rsidP="001C7D70">
      <w:pPr>
        <w:spacing w:line="480" w:lineRule="auto"/>
        <w:ind w:left="720" w:hanging="720"/>
        <w:jc w:val="both"/>
        <w:rPr>
          <w:rFonts w:ascii="Arial" w:hAnsi="Arial" w:cs="Arial"/>
          <w:b/>
          <w:bCs/>
          <w:sz w:val="24"/>
          <w:szCs w:val="24"/>
        </w:rPr>
      </w:pPr>
      <w:r w:rsidRPr="001362DB">
        <w:rPr>
          <w:rFonts w:ascii="Arial" w:hAnsi="Arial" w:cs="Arial"/>
          <w:b/>
          <w:bCs/>
          <w:sz w:val="24"/>
          <w:szCs w:val="24"/>
        </w:rPr>
        <w:t>A.S. ZONO</w:t>
      </w:r>
    </w:p>
    <w:p w14:paraId="2CA3E811" w14:textId="7984464A" w:rsidR="00214A7D" w:rsidRDefault="00214A7D" w:rsidP="001C7D70">
      <w:pPr>
        <w:spacing w:line="480" w:lineRule="auto"/>
        <w:ind w:left="720" w:hanging="720"/>
        <w:jc w:val="both"/>
        <w:rPr>
          <w:rFonts w:ascii="Arial" w:hAnsi="Arial" w:cs="Arial"/>
          <w:b/>
          <w:bCs/>
          <w:sz w:val="24"/>
          <w:szCs w:val="24"/>
        </w:rPr>
      </w:pPr>
      <w:r w:rsidRPr="001362DB">
        <w:rPr>
          <w:rFonts w:ascii="Arial" w:hAnsi="Arial" w:cs="Arial"/>
          <w:b/>
          <w:bCs/>
          <w:sz w:val="24"/>
          <w:szCs w:val="24"/>
        </w:rPr>
        <w:lastRenderedPageBreak/>
        <w:t>ACTING JUDGE OF THE HIGH COURT</w:t>
      </w:r>
    </w:p>
    <w:p w14:paraId="32E9E281" w14:textId="77777777" w:rsidR="00033A1F" w:rsidRDefault="00033A1F" w:rsidP="001C7D70">
      <w:pPr>
        <w:spacing w:line="480" w:lineRule="auto"/>
        <w:ind w:left="720" w:hanging="720"/>
        <w:jc w:val="both"/>
        <w:rPr>
          <w:rFonts w:ascii="Arial" w:hAnsi="Arial" w:cs="Arial"/>
          <w:b/>
          <w:bCs/>
          <w:sz w:val="24"/>
          <w:szCs w:val="24"/>
        </w:rPr>
      </w:pPr>
    </w:p>
    <w:p w14:paraId="24EDFA7B" w14:textId="6F0A05BC" w:rsidR="000B07D8" w:rsidRDefault="000B07D8" w:rsidP="00B07BFC">
      <w:pPr>
        <w:spacing w:line="360" w:lineRule="auto"/>
        <w:ind w:left="720" w:hanging="720"/>
        <w:jc w:val="both"/>
        <w:rPr>
          <w:rFonts w:ascii="Arial" w:hAnsi="Arial" w:cs="Arial"/>
          <w:b/>
          <w:bCs/>
          <w:sz w:val="24"/>
          <w:szCs w:val="24"/>
        </w:rPr>
      </w:pPr>
      <w:r>
        <w:rPr>
          <w:rFonts w:ascii="Arial" w:hAnsi="Arial" w:cs="Arial"/>
          <w:b/>
          <w:bCs/>
          <w:sz w:val="24"/>
          <w:szCs w:val="24"/>
        </w:rPr>
        <w:t>APPEARANCES:</w:t>
      </w:r>
    </w:p>
    <w:p w14:paraId="4EEFEB7E" w14:textId="3976BF19" w:rsidR="000B07D8" w:rsidRDefault="000B07D8" w:rsidP="00B07BFC">
      <w:pPr>
        <w:spacing w:line="360" w:lineRule="auto"/>
        <w:ind w:left="720" w:hanging="720"/>
        <w:jc w:val="both"/>
        <w:rPr>
          <w:rFonts w:ascii="Arial" w:hAnsi="Arial" w:cs="Arial"/>
          <w:b/>
          <w:bCs/>
          <w:sz w:val="24"/>
          <w:szCs w:val="24"/>
        </w:rPr>
      </w:pPr>
      <w:r>
        <w:rPr>
          <w:rFonts w:ascii="Arial" w:hAnsi="Arial" w:cs="Arial"/>
          <w:b/>
          <w:bCs/>
          <w:sz w:val="24"/>
          <w:szCs w:val="24"/>
        </w:rPr>
        <w:t>For the APPLICANT</w:t>
      </w:r>
      <w:r w:rsidR="00B07BFC">
        <w:rPr>
          <w:rFonts w:ascii="Arial" w:hAnsi="Arial" w:cs="Arial"/>
          <w:b/>
          <w:bCs/>
          <w:sz w:val="24"/>
          <w:szCs w:val="24"/>
        </w:rPr>
        <w:t>S</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ADV</w:t>
      </w:r>
      <w:r w:rsidR="0032071C">
        <w:rPr>
          <w:rFonts w:ascii="Arial" w:hAnsi="Arial" w:cs="Arial"/>
          <w:b/>
          <w:bCs/>
          <w:sz w:val="24"/>
          <w:szCs w:val="24"/>
        </w:rPr>
        <w:t xml:space="preserve"> MAQABUKA</w:t>
      </w:r>
    </w:p>
    <w:p w14:paraId="6BB916B5" w14:textId="77777777" w:rsidR="00B07BFC" w:rsidRDefault="0032071C" w:rsidP="00B07BFC">
      <w:pPr>
        <w:spacing w:line="360" w:lineRule="auto"/>
        <w:ind w:left="720" w:hanging="720"/>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r>
      <w:r>
        <w:rPr>
          <w:rFonts w:ascii="Arial" w:hAnsi="Arial" w:cs="Arial"/>
          <w:b/>
          <w:bCs/>
          <w:sz w:val="24"/>
          <w:szCs w:val="24"/>
        </w:rPr>
        <w:tab/>
        <w:t>:</w:t>
      </w:r>
      <w:r w:rsidR="00B07BFC">
        <w:rPr>
          <w:rFonts w:ascii="Arial" w:hAnsi="Arial" w:cs="Arial"/>
          <w:b/>
          <w:bCs/>
          <w:sz w:val="24"/>
          <w:szCs w:val="24"/>
        </w:rPr>
        <w:tab/>
        <w:t>MAGQABI SETH ZITHA ATTORNEYS</w:t>
      </w:r>
    </w:p>
    <w:p w14:paraId="4C3DBA45" w14:textId="77777777" w:rsidR="00B07BFC" w:rsidRPr="00B07BFC" w:rsidRDefault="00B07BFC" w:rsidP="00B07BFC">
      <w:pPr>
        <w:spacing w:line="360" w:lineRule="auto"/>
        <w:ind w:left="720" w:hanging="72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07BFC">
        <w:rPr>
          <w:rFonts w:ascii="Arial" w:hAnsi="Arial" w:cs="Arial"/>
          <w:sz w:val="24"/>
          <w:szCs w:val="24"/>
        </w:rPr>
        <w:t>NO.4 TYRELL ROAD</w:t>
      </w:r>
    </w:p>
    <w:p w14:paraId="27D9DFEB" w14:textId="77777777" w:rsidR="00B07BFC" w:rsidRPr="00B07BFC" w:rsidRDefault="00B07BFC" w:rsidP="00B07BFC">
      <w:pPr>
        <w:spacing w:line="360" w:lineRule="auto"/>
        <w:ind w:left="720" w:hanging="720"/>
        <w:jc w:val="both"/>
        <w:rPr>
          <w:rFonts w:ascii="Arial" w:hAnsi="Arial" w:cs="Arial"/>
          <w:sz w:val="24"/>
          <w:szCs w:val="24"/>
        </w:rPr>
      </w:pP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t xml:space="preserve">BEREA </w:t>
      </w:r>
    </w:p>
    <w:p w14:paraId="5E466286" w14:textId="52C6EAC0" w:rsidR="00B07BFC" w:rsidRPr="00B07BFC" w:rsidRDefault="00B07BFC" w:rsidP="00B07BFC">
      <w:pPr>
        <w:spacing w:line="360" w:lineRule="auto"/>
        <w:ind w:left="720" w:hanging="720"/>
        <w:jc w:val="both"/>
        <w:rPr>
          <w:rFonts w:ascii="Arial" w:hAnsi="Arial" w:cs="Arial"/>
          <w:sz w:val="24"/>
          <w:szCs w:val="24"/>
        </w:rPr>
      </w:pP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t>EAST LONDON</w:t>
      </w:r>
      <w:r w:rsidRPr="00B07BFC">
        <w:rPr>
          <w:rFonts w:ascii="Arial" w:hAnsi="Arial" w:cs="Arial"/>
          <w:sz w:val="24"/>
          <w:szCs w:val="24"/>
        </w:rPr>
        <w:tab/>
      </w:r>
    </w:p>
    <w:p w14:paraId="25A31065" w14:textId="77777777" w:rsidR="00B07BFC" w:rsidRDefault="00B07BFC" w:rsidP="00B07BFC">
      <w:pPr>
        <w:spacing w:line="360" w:lineRule="auto"/>
        <w:ind w:left="720" w:hanging="720"/>
        <w:jc w:val="both"/>
        <w:rPr>
          <w:rFonts w:ascii="Arial" w:hAnsi="Arial" w:cs="Arial"/>
          <w:b/>
          <w:bCs/>
          <w:sz w:val="24"/>
          <w:szCs w:val="24"/>
        </w:rPr>
      </w:pPr>
    </w:p>
    <w:p w14:paraId="159987AF" w14:textId="7D6CE3B3" w:rsidR="0032071C" w:rsidRDefault="0032071C" w:rsidP="00B07BFC">
      <w:pPr>
        <w:spacing w:line="360" w:lineRule="auto"/>
        <w:ind w:left="720" w:hanging="720"/>
        <w:jc w:val="both"/>
        <w:rPr>
          <w:rFonts w:ascii="Arial" w:hAnsi="Arial" w:cs="Arial"/>
          <w:b/>
          <w:bCs/>
          <w:sz w:val="24"/>
          <w:szCs w:val="24"/>
        </w:rPr>
      </w:pPr>
      <w:r>
        <w:rPr>
          <w:rFonts w:ascii="Arial" w:hAnsi="Arial" w:cs="Arial"/>
          <w:b/>
          <w:bCs/>
          <w:sz w:val="24"/>
          <w:szCs w:val="24"/>
        </w:rPr>
        <w:t>For the 1</w:t>
      </w:r>
      <w:r w:rsidRPr="0032071C">
        <w:rPr>
          <w:rFonts w:ascii="Arial" w:hAnsi="Arial" w:cs="Arial"/>
          <w:b/>
          <w:bCs/>
          <w:sz w:val="24"/>
          <w:szCs w:val="24"/>
          <w:vertAlign w:val="superscript"/>
        </w:rPr>
        <w:t>st</w:t>
      </w:r>
      <w:r>
        <w:rPr>
          <w:rFonts w:ascii="Arial" w:hAnsi="Arial" w:cs="Arial"/>
          <w:b/>
          <w:bCs/>
          <w:sz w:val="24"/>
          <w:szCs w:val="24"/>
        </w:rPr>
        <w:t xml:space="preserve"> RESPONDENT</w:t>
      </w:r>
      <w:r>
        <w:rPr>
          <w:rFonts w:ascii="Arial" w:hAnsi="Arial" w:cs="Arial"/>
          <w:b/>
          <w:bCs/>
          <w:sz w:val="24"/>
          <w:szCs w:val="24"/>
        </w:rPr>
        <w:tab/>
        <w:t>:</w:t>
      </w:r>
      <w:r>
        <w:rPr>
          <w:rFonts w:ascii="Arial" w:hAnsi="Arial" w:cs="Arial"/>
          <w:b/>
          <w:bCs/>
          <w:sz w:val="24"/>
          <w:szCs w:val="24"/>
        </w:rPr>
        <w:tab/>
        <w:t>ADV METU</w:t>
      </w:r>
    </w:p>
    <w:p w14:paraId="4DC98C35" w14:textId="77777777" w:rsidR="00B07BFC" w:rsidRDefault="0032071C" w:rsidP="00B07BFC">
      <w:pPr>
        <w:spacing w:line="360" w:lineRule="auto"/>
        <w:ind w:left="720" w:hanging="720"/>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r>
      <w:r>
        <w:rPr>
          <w:rFonts w:ascii="Arial" w:hAnsi="Arial" w:cs="Arial"/>
          <w:b/>
          <w:bCs/>
          <w:sz w:val="24"/>
          <w:szCs w:val="24"/>
        </w:rPr>
        <w:tab/>
        <w:t>:</w:t>
      </w:r>
      <w:r w:rsidR="00B07BFC">
        <w:rPr>
          <w:rFonts w:ascii="Arial" w:hAnsi="Arial" w:cs="Arial"/>
          <w:b/>
          <w:bCs/>
          <w:sz w:val="24"/>
          <w:szCs w:val="24"/>
        </w:rPr>
        <w:tab/>
        <w:t>LEM NOMPANDANA &amp; SONS</w:t>
      </w:r>
    </w:p>
    <w:p w14:paraId="4814AF56" w14:textId="77777777" w:rsidR="00B07BFC" w:rsidRPr="00B07BFC" w:rsidRDefault="00B07BFC" w:rsidP="00B07BFC">
      <w:pPr>
        <w:spacing w:line="360" w:lineRule="auto"/>
        <w:ind w:left="720" w:hanging="72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07BFC">
        <w:rPr>
          <w:rFonts w:ascii="Arial" w:hAnsi="Arial" w:cs="Arial"/>
          <w:sz w:val="24"/>
          <w:szCs w:val="24"/>
        </w:rPr>
        <w:t>NO. 16 SUFFOLK ROAD</w:t>
      </w:r>
    </w:p>
    <w:p w14:paraId="5C97472A" w14:textId="77777777" w:rsidR="00B07BFC" w:rsidRPr="00B07BFC" w:rsidRDefault="00B07BFC" w:rsidP="00B07BFC">
      <w:pPr>
        <w:spacing w:line="360" w:lineRule="auto"/>
        <w:ind w:left="720" w:hanging="720"/>
        <w:jc w:val="both"/>
        <w:rPr>
          <w:rFonts w:ascii="Arial" w:hAnsi="Arial" w:cs="Arial"/>
          <w:sz w:val="24"/>
          <w:szCs w:val="24"/>
        </w:rPr>
      </w:pP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t>BEREA</w:t>
      </w:r>
    </w:p>
    <w:p w14:paraId="3291F6B1" w14:textId="77777777" w:rsidR="00B07BFC" w:rsidRPr="00B07BFC" w:rsidRDefault="00B07BFC" w:rsidP="00B07BFC">
      <w:pPr>
        <w:spacing w:line="360" w:lineRule="auto"/>
        <w:ind w:left="720" w:hanging="720"/>
        <w:jc w:val="both"/>
        <w:rPr>
          <w:rFonts w:ascii="Arial" w:hAnsi="Arial" w:cs="Arial"/>
          <w:sz w:val="24"/>
          <w:szCs w:val="24"/>
        </w:rPr>
      </w:pP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t>EAST LONDON</w:t>
      </w:r>
    </w:p>
    <w:p w14:paraId="24B1B560" w14:textId="77777777" w:rsidR="00B07BFC" w:rsidRPr="00B07BFC" w:rsidRDefault="00B07BFC" w:rsidP="00B07BFC">
      <w:pPr>
        <w:spacing w:line="360" w:lineRule="auto"/>
        <w:ind w:left="720" w:hanging="720"/>
        <w:jc w:val="both"/>
        <w:rPr>
          <w:rFonts w:ascii="Arial" w:hAnsi="Arial" w:cs="Arial"/>
          <w:sz w:val="24"/>
          <w:szCs w:val="24"/>
        </w:rPr>
      </w:pP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t>TEL: 043 726 0910</w:t>
      </w:r>
    </w:p>
    <w:p w14:paraId="5087EBE1" w14:textId="77777777" w:rsidR="00B07BFC" w:rsidRPr="00B07BFC" w:rsidRDefault="00B07BFC" w:rsidP="00B07BFC">
      <w:pPr>
        <w:spacing w:line="360" w:lineRule="auto"/>
        <w:ind w:left="720" w:hanging="720"/>
        <w:jc w:val="both"/>
        <w:rPr>
          <w:rFonts w:ascii="Arial" w:hAnsi="Arial" w:cs="Arial"/>
          <w:sz w:val="24"/>
          <w:szCs w:val="24"/>
        </w:rPr>
      </w:pP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r>
      <w:r w:rsidRPr="00B07BFC">
        <w:rPr>
          <w:rFonts w:ascii="Arial" w:hAnsi="Arial" w:cs="Arial"/>
          <w:sz w:val="24"/>
          <w:szCs w:val="24"/>
        </w:rPr>
        <w:tab/>
        <w:t xml:space="preserve">EMAIL: </w:t>
      </w:r>
      <w:hyperlink r:id="rId7" w:history="1">
        <w:r w:rsidRPr="00B07BFC">
          <w:rPr>
            <w:rStyle w:val="Hyperlink"/>
            <w:rFonts w:ascii="Arial" w:hAnsi="Arial" w:cs="Arial"/>
            <w:sz w:val="24"/>
            <w:szCs w:val="24"/>
          </w:rPr>
          <w:t>lutando@nompandana.co.za</w:t>
        </w:r>
      </w:hyperlink>
    </w:p>
    <w:p w14:paraId="19C9EFA7" w14:textId="097105EF" w:rsidR="0032071C" w:rsidRDefault="0032071C" w:rsidP="00B07BFC">
      <w:pPr>
        <w:spacing w:line="360" w:lineRule="auto"/>
        <w:ind w:left="720" w:hanging="720"/>
        <w:jc w:val="both"/>
        <w:rPr>
          <w:rFonts w:ascii="Arial" w:hAnsi="Arial" w:cs="Arial"/>
          <w:b/>
          <w:bCs/>
          <w:sz w:val="24"/>
          <w:szCs w:val="24"/>
        </w:rPr>
      </w:pPr>
    </w:p>
    <w:p w14:paraId="7490F0EC" w14:textId="1C640CF1" w:rsidR="0032071C" w:rsidRDefault="0032071C" w:rsidP="00B07BFC">
      <w:pPr>
        <w:spacing w:line="360" w:lineRule="auto"/>
        <w:ind w:left="720" w:hanging="720"/>
        <w:jc w:val="both"/>
        <w:rPr>
          <w:rFonts w:ascii="Arial" w:hAnsi="Arial" w:cs="Arial"/>
          <w:b/>
          <w:bCs/>
          <w:sz w:val="24"/>
          <w:szCs w:val="24"/>
        </w:rPr>
      </w:pPr>
      <w:r>
        <w:rPr>
          <w:rFonts w:ascii="Arial" w:hAnsi="Arial" w:cs="Arial"/>
          <w:b/>
          <w:bCs/>
          <w:sz w:val="24"/>
          <w:szCs w:val="24"/>
        </w:rPr>
        <w:t>For the 2</w:t>
      </w:r>
      <w:r w:rsidRPr="0032071C">
        <w:rPr>
          <w:rFonts w:ascii="Arial" w:hAnsi="Arial" w:cs="Arial"/>
          <w:b/>
          <w:bCs/>
          <w:sz w:val="24"/>
          <w:szCs w:val="24"/>
          <w:vertAlign w:val="superscript"/>
        </w:rPr>
        <w:t>nd</w:t>
      </w:r>
      <w:r>
        <w:rPr>
          <w:rFonts w:ascii="Arial" w:hAnsi="Arial" w:cs="Arial"/>
          <w:b/>
          <w:bCs/>
          <w:sz w:val="24"/>
          <w:szCs w:val="24"/>
        </w:rPr>
        <w:t xml:space="preserve"> RESPONDENT</w:t>
      </w:r>
      <w:r>
        <w:rPr>
          <w:rFonts w:ascii="Arial" w:hAnsi="Arial" w:cs="Arial"/>
          <w:b/>
          <w:bCs/>
          <w:sz w:val="24"/>
          <w:szCs w:val="24"/>
        </w:rPr>
        <w:tab/>
        <w:t>:</w:t>
      </w:r>
      <w:r>
        <w:rPr>
          <w:rFonts w:ascii="Arial" w:hAnsi="Arial" w:cs="Arial"/>
          <w:b/>
          <w:bCs/>
          <w:sz w:val="24"/>
          <w:szCs w:val="24"/>
        </w:rPr>
        <w:tab/>
        <w:t>ADV MATI</w:t>
      </w:r>
    </w:p>
    <w:p w14:paraId="1301F346" w14:textId="77777777" w:rsidR="00B07BFC" w:rsidRDefault="00E300DC" w:rsidP="00B07BFC">
      <w:pPr>
        <w:spacing w:after="0" w:line="360" w:lineRule="auto"/>
        <w:jc w:val="both"/>
        <w:rPr>
          <w:rFonts w:ascii="Arial" w:eastAsia="Times New Roman" w:hAnsi="Arial" w:cs="Arial"/>
          <w:b/>
          <w:bCs/>
          <w:color w:val="000000"/>
          <w:kern w:val="0"/>
          <w:sz w:val="24"/>
          <w:szCs w:val="24"/>
          <w:lang w:eastAsia="en-ZA"/>
          <w14:ligatures w14:val="none"/>
        </w:rPr>
      </w:pPr>
      <w:r>
        <w:rPr>
          <w:rFonts w:ascii="Arial" w:hAnsi="Arial" w:cs="Arial"/>
          <w:b/>
          <w:bCs/>
          <w:sz w:val="24"/>
          <w:szCs w:val="24"/>
        </w:rPr>
        <w:tab/>
        <w:t>Instructed by</w:t>
      </w:r>
      <w:r>
        <w:rPr>
          <w:rFonts w:ascii="Arial" w:hAnsi="Arial" w:cs="Arial"/>
          <w:b/>
          <w:bCs/>
          <w:sz w:val="24"/>
          <w:szCs w:val="24"/>
        </w:rPr>
        <w:tab/>
      </w:r>
      <w:r>
        <w:rPr>
          <w:rFonts w:ascii="Arial" w:hAnsi="Arial" w:cs="Arial"/>
          <w:b/>
          <w:bCs/>
          <w:sz w:val="24"/>
          <w:szCs w:val="24"/>
        </w:rPr>
        <w:tab/>
        <w:t>:</w:t>
      </w:r>
      <w:r w:rsidR="00B07BFC">
        <w:rPr>
          <w:rFonts w:ascii="Arial" w:hAnsi="Arial" w:cs="Arial"/>
          <w:b/>
          <w:bCs/>
          <w:sz w:val="24"/>
          <w:szCs w:val="24"/>
        </w:rPr>
        <w:tab/>
      </w:r>
      <w:r w:rsidR="00B07BFC">
        <w:rPr>
          <w:rFonts w:ascii="Arial" w:eastAsia="Times New Roman" w:hAnsi="Arial" w:cs="Arial"/>
          <w:b/>
          <w:bCs/>
          <w:color w:val="000000"/>
          <w:kern w:val="0"/>
          <w:sz w:val="24"/>
          <w:szCs w:val="24"/>
          <w:lang w:eastAsia="en-ZA"/>
          <w14:ligatures w14:val="none"/>
        </w:rPr>
        <w:t xml:space="preserve">NOMANDLA NDABENI, </w:t>
      </w:r>
    </w:p>
    <w:p w14:paraId="0EB5A8C2" w14:textId="77777777" w:rsidR="00B07BFC" w:rsidRPr="00B07BFC" w:rsidRDefault="00B07BFC" w:rsidP="00B07BFC">
      <w:pPr>
        <w:spacing w:after="0" w:line="360" w:lineRule="auto"/>
        <w:ind w:left="4320"/>
        <w:jc w:val="both"/>
        <w:rPr>
          <w:rFonts w:ascii="Arial" w:eastAsia="Times New Roman" w:hAnsi="Arial" w:cs="Arial"/>
          <w:color w:val="000000"/>
          <w:kern w:val="0"/>
          <w:sz w:val="24"/>
          <w:szCs w:val="24"/>
          <w:lang w:eastAsia="en-ZA"/>
          <w14:ligatures w14:val="none"/>
        </w:rPr>
      </w:pPr>
      <w:r w:rsidRPr="00B07BFC">
        <w:rPr>
          <w:rFonts w:ascii="Arial" w:eastAsia="Times New Roman" w:hAnsi="Arial" w:cs="Arial"/>
          <w:color w:val="000000"/>
          <w:kern w:val="0"/>
          <w:sz w:val="24"/>
          <w:szCs w:val="24"/>
          <w:lang w:eastAsia="en-ZA"/>
          <w14:ligatures w14:val="none"/>
        </w:rPr>
        <w:t>THE SHERIFF OF THE HIGH COURT</w:t>
      </w:r>
    </w:p>
    <w:p w14:paraId="09CF3888" w14:textId="77777777" w:rsidR="00B07BFC" w:rsidRPr="00B07BFC" w:rsidRDefault="00B07BFC" w:rsidP="00B07BFC">
      <w:pPr>
        <w:spacing w:after="0" w:line="360" w:lineRule="auto"/>
        <w:ind w:left="4320"/>
        <w:jc w:val="both"/>
        <w:rPr>
          <w:rFonts w:ascii="Arial" w:eastAsia="Times New Roman" w:hAnsi="Arial" w:cs="Arial"/>
          <w:color w:val="000000"/>
          <w:kern w:val="0"/>
          <w:sz w:val="24"/>
          <w:szCs w:val="24"/>
          <w:lang w:eastAsia="en-ZA"/>
          <w14:ligatures w14:val="none"/>
        </w:rPr>
      </w:pPr>
      <w:r w:rsidRPr="00B07BFC">
        <w:rPr>
          <w:rFonts w:ascii="Arial" w:eastAsia="Times New Roman" w:hAnsi="Arial" w:cs="Arial"/>
          <w:color w:val="000000"/>
          <w:kern w:val="0"/>
          <w:sz w:val="24"/>
          <w:szCs w:val="24"/>
          <w:lang w:eastAsia="en-ZA"/>
          <w14:ligatures w14:val="none"/>
        </w:rPr>
        <w:t>75 LONGFELLOW STREET</w:t>
      </w:r>
    </w:p>
    <w:p w14:paraId="1CD65A84" w14:textId="77777777" w:rsidR="00B07BFC" w:rsidRPr="00B07BFC" w:rsidRDefault="00B07BFC" w:rsidP="00B07BFC">
      <w:pPr>
        <w:spacing w:after="0" w:line="360" w:lineRule="auto"/>
        <w:ind w:left="4320"/>
        <w:jc w:val="both"/>
        <w:rPr>
          <w:rFonts w:ascii="Arial" w:eastAsia="Times New Roman" w:hAnsi="Arial" w:cs="Arial"/>
          <w:color w:val="000000"/>
          <w:kern w:val="0"/>
          <w:sz w:val="24"/>
          <w:szCs w:val="24"/>
          <w:lang w:eastAsia="en-ZA"/>
          <w14:ligatures w14:val="none"/>
        </w:rPr>
      </w:pPr>
      <w:r w:rsidRPr="00B07BFC">
        <w:rPr>
          <w:rFonts w:ascii="Arial" w:eastAsia="Times New Roman" w:hAnsi="Arial" w:cs="Arial"/>
          <w:color w:val="000000"/>
          <w:kern w:val="0"/>
          <w:sz w:val="24"/>
          <w:szCs w:val="24"/>
          <w:lang w:eastAsia="en-ZA"/>
          <w14:ligatures w14:val="none"/>
        </w:rPr>
        <w:t>QUIGNEY</w:t>
      </w:r>
    </w:p>
    <w:p w14:paraId="10962D9A" w14:textId="665B3585" w:rsidR="00E300DC" w:rsidRPr="00B07BFC" w:rsidRDefault="00B07BFC" w:rsidP="00B07BFC">
      <w:pPr>
        <w:spacing w:after="0" w:line="360" w:lineRule="auto"/>
        <w:ind w:left="4320"/>
        <w:jc w:val="both"/>
        <w:rPr>
          <w:rFonts w:ascii="Arial" w:eastAsia="Times New Roman" w:hAnsi="Arial" w:cs="Arial"/>
          <w:b/>
          <w:bCs/>
          <w:color w:val="000000"/>
          <w:kern w:val="0"/>
          <w:sz w:val="24"/>
          <w:szCs w:val="24"/>
          <w:lang w:eastAsia="en-ZA"/>
          <w14:ligatures w14:val="none"/>
        </w:rPr>
      </w:pPr>
      <w:r w:rsidRPr="00B07BFC">
        <w:rPr>
          <w:rFonts w:ascii="Arial" w:eastAsia="Times New Roman" w:hAnsi="Arial" w:cs="Arial"/>
          <w:color w:val="000000"/>
          <w:kern w:val="0"/>
          <w:sz w:val="24"/>
          <w:szCs w:val="24"/>
          <w:lang w:eastAsia="en-ZA"/>
          <w14:ligatures w14:val="none"/>
        </w:rPr>
        <w:t>EAST LONDON</w:t>
      </w:r>
      <w:r>
        <w:rPr>
          <w:rFonts w:ascii="Arial" w:hAnsi="Arial" w:cs="Arial"/>
          <w:b/>
          <w:bCs/>
          <w:sz w:val="24"/>
          <w:szCs w:val="24"/>
        </w:rPr>
        <w:tab/>
      </w:r>
      <w:r w:rsidR="00E300DC">
        <w:rPr>
          <w:rFonts w:ascii="Arial" w:hAnsi="Arial" w:cs="Arial"/>
          <w:b/>
          <w:bCs/>
          <w:sz w:val="24"/>
          <w:szCs w:val="24"/>
        </w:rPr>
        <w:tab/>
      </w:r>
    </w:p>
    <w:p w14:paraId="64DF6A8D" w14:textId="77777777" w:rsidR="007B1A81" w:rsidRDefault="007B1A81" w:rsidP="00B07BFC">
      <w:pPr>
        <w:spacing w:line="360" w:lineRule="auto"/>
        <w:ind w:left="720" w:hanging="720"/>
        <w:jc w:val="both"/>
        <w:rPr>
          <w:rFonts w:ascii="Arial" w:hAnsi="Arial" w:cs="Arial"/>
          <w:b/>
          <w:bCs/>
          <w:sz w:val="24"/>
          <w:szCs w:val="24"/>
        </w:rPr>
      </w:pPr>
    </w:p>
    <w:p w14:paraId="3CC89B50" w14:textId="676AAB50" w:rsidR="007B1A81" w:rsidRDefault="007B1A81" w:rsidP="00B07BFC">
      <w:pPr>
        <w:spacing w:line="360" w:lineRule="auto"/>
        <w:ind w:left="720" w:hanging="720"/>
        <w:jc w:val="both"/>
        <w:rPr>
          <w:rFonts w:ascii="Arial" w:hAnsi="Arial" w:cs="Arial"/>
          <w:b/>
          <w:bCs/>
          <w:sz w:val="24"/>
          <w:szCs w:val="24"/>
        </w:rPr>
      </w:pPr>
      <w:r>
        <w:rPr>
          <w:rFonts w:ascii="Arial" w:hAnsi="Arial" w:cs="Arial"/>
          <w:b/>
          <w:bCs/>
          <w:sz w:val="24"/>
          <w:szCs w:val="24"/>
        </w:rPr>
        <w:t xml:space="preserve">Matter heard on </w:t>
      </w:r>
      <w:r w:rsidR="00B07BFC">
        <w:rPr>
          <w:rFonts w:ascii="Arial" w:hAnsi="Arial" w:cs="Arial"/>
          <w:b/>
          <w:bCs/>
          <w:sz w:val="24"/>
          <w:szCs w:val="24"/>
        </w:rPr>
        <w:tab/>
      </w:r>
      <w:r w:rsidR="00B07BFC">
        <w:rPr>
          <w:rFonts w:ascii="Arial" w:hAnsi="Arial" w:cs="Arial"/>
          <w:b/>
          <w:bCs/>
          <w:sz w:val="24"/>
          <w:szCs w:val="24"/>
        </w:rPr>
        <w:tab/>
      </w:r>
      <w:r w:rsidR="00B07BFC">
        <w:rPr>
          <w:rFonts w:ascii="Arial" w:hAnsi="Arial" w:cs="Arial"/>
          <w:b/>
          <w:bCs/>
          <w:sz w:val="24"/>
          <w:szCs w:val="24"/>
        </w:rPr>
        <w:tab/>
        <w:t>:</w:t>
      </w:r>
      <w:r w:rsidR="00B07BFC">
        <w:rPr>
          <w:rFonts w:ascii="Arial" w:hAnsi="Arial" w:cs="Arial"/>
          <w:b/>
          <w:bCs/>
          <w:sz w:val="24"/>
          <w:szCs w:val="24"/>
        </w:rPr>
        <w:tab/>
      </w:r>
      <w:r>
        <w:rPr>
          <w:rFonts w:ascii="Arial" w:hAnsi="Arial" w:cs="Arial"/>
          <w:b/>
          <w:bCs/>
          <w:sz w:val="24"/>
          <w:szCs w:val="24"/>
        </w:rPr>
        <w:t>20 February 2024</w:t>
      </w:r>
    </w:p>
    <w:p w14:paraId="510D65A3" w14:textId="7173790A" w:rsidR="007B1A81" w:rsidRPr="001362DB" w:rsidRDefault="007B1A81" w:rsidP="00B07BFC">
      <w:pPr>
        <w:spacing w:line="360" w:lineRule="auto"/>
        <w:ind w:left="720" w:hanging="720"/>
        <w:jc w:val="both"/>
        <w:rPr>
          <w:rFonts w:ascii="Arial" w:hAnsi="Arial" w:cs="Arial"/>
          <w:b/>
          <w:bCs/>
          <w:sz w:val="24"/>
          <w:szCs w:val="24"/>
        </w:rPr>
      </w:pPr>
      <w:r>
        <w:rPr>
          <w:rFonts w:ascii="Arial" w:hAnsi="Arial" w:cs="Arial"/>
          <w:b/>
          <w:bCs/>
          <w:sz w:val="24"/>
          <w:szCs w:val="24"/>
        </w:rPr>
        <w:lastRenderedPageBreak/>
        <w:t xml:space="preserve">Judgment Delivered on </w:t>
      </w:r>
      <w:r>
        <w:rPr>
          <w:rFonts w:ascii="Arial" w:hAnsi="Arial" w:cs="Arial"/>
          <w:b/>
          <w:bCs/>
          <w:sz w:val="24"/>
          <w:szCs w:val="24"/>
        </w:rPr>
        <w:tab/>
      </w:r>
      <w:r w:rsidR="00B07BFC">
        <w:rPr>
          <w:rFonts w:ascii="Arial" w:hAnsi="Arial" w:cs="Arial"/>
          <w:b/>
          <w:bCs/>
          <w:sz w:val="24"/>
          <w:szCs w:val="24"/>
        </w:rPr>
        <w:tab/>
      </w:r>
      <w:r>
        <w:rPr>
          <w:rFonts w:ascii="Arial" w:hAnsi="Arial" w:cs="Arial"/>
          <w:b/>
          <w:bCs/>
          <w:sz w:val="24"/>
          <w:szCs w:val="24"/>
        </w:rPr>
        <w:t>:</w:t>
      </w:r>
      <w:r w:rsidR="00B07BFC">
        <w:rPr>
          <w:rFonts w:ascii="Arial" w:hAnsi="Arial" w:cs="Arial"/>
          <w:b/>
          <w:bCs/>
          <w:sz w:val="24"/>
          <w:szCs w:val="24"/>
        </w:rPr>
        <w:tab/>
        <w:t>23 February 2024</w:t>
      </w:r>
    </w:p>
    <w:sectPr w:rsidR="007B1A81" w:rsidRPr="001362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5786" w14:textId="77777777" w:rsidR="009E4F85" w:rsidRDefault="009E4F85" w:rsidP="00870868">
      <w:pPr>
        <w:spacing w:after="0" w:line="240" w:lineRule="auto"/>
      </w:pPr>
      <w:r>
        <w:separator/>
      </w:r>
    </w:p>
  </w:endnote>
  <w:endnote w:type="continuationSeparator" w:id="0">
    <w:p w14:paraId="77F127B3" w14:textId="77777777" w:rsidR="009E4F85" w:rsidRDefault="009E4F85" w:rsidP="00870868">
      <w:pPr>
        <w:spacing w:after="0" w:line="240" w:lineRule="auto"/>
      </w:pPr>
      <w:r>
        <w:continuationSeparator/>
      </w:r>
    </w:p>
  </w:endnote>
  <w:endnote w:type="continuationNotice" w:id="1">
    <w:p w14:paraId="32693EF1" w14:textId="77777777" w:rsidR="009E4F85" w:rsidRDefault="009E4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496590"/>
      <w:docPartObj>
        <w:docPartGallery w:val="Page Numbers (Bottom of Page)"/>
        <w:docPartUnique/>
      </w:docPartObj>
    </w:sdtPr>
    <w:sdtEndPr>
      <w:rPr>
        <w:noProof/>
      </w:rPr>
    </w:sdtEndPr>
    <w:sdtContent>
      <w:p w14:paraId="0D52AFE8" w14:textId="17FCF3FD" w:rsidR="00870868" w:rsidRDefault="008708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74F3B" w14:textId="77777777" w:rsidR="00870868" w:rsidRDefault="0087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580E" w14:textId="77777777" w:rsidR="009E4F85" w:rsidRDefault="009E4F85" w:rsidP="00870868">
      <w:pPr>
        <w:spacing w:after="0" w:line="240" w:lineRule="auto"/>
      </w:pPr>
      <w:r>
        <w:separator/>
      </w:r>
    </w:p>
  </w:footnote>
  <w:footnote w:type="continuationSeparator" w:id="0">
    <w:p w14:paraId="1A3F8365" w14:textId="77777777" w:rsidR="009E4F85" w:rsidRDefault="009E4F85" w:rsidP="00870868">
      <w:pPr>
        <w:spacing w:after="0" w:line="240" w:lineRule="auto"/>
      </w:pPr>
      <w:r>
        <w:continuationSeparator/>
      </w:r>
    </w:p>
  </w:footnote>
  <w:footnote w:type="continuationNotice" w:id="1">
    <w:p w14:paraId="554EDC59" w14:textId="77777777" w:rsidR="009E4F85" w:rsidRDefault="009E4F85">
      <w:pPr>
        <w:spacing w:after="0" w:line="240" w:lineRule="auto"/>
      </w:pPr>
    </w:p>
  </w:footnote>
  <w:footnote w:id="2">
    <w:p w14:paraId="57FF156E" w14:textId="2201026C" w:rsidR="00955E6F" w:rsidRPr="00955E6F" w:rsidRDefault="00955E6F" w:rsidP="00955E6F">
      <w:pPr>
        <w:pStyle w:val="FootnoteText"/>
        <w:ind w:left="142" w:hanging="142"/>
        <w:jc w:val="both"/>
        <w:rPr>
          <w:rFonts w:ascii="Arial" w:hAnsi="Arial" w:cs="Arial"/>
          <w:lang w:val="en-US"/>
        </w:rPr>
      </w:pPr>
      <w:r w:rsidRPr="00955E6F">
        <w:rPr>
          <w:rStyle w:val="FootnoteReference"/>
          <w:rFonts w:ascii="Arial" w:hAnsi="Arial" w:cs="Arial"/>
        </w:rPr>
        <w:footnoteRef/>
      </w:r>
      <w:r w:rsidRPr="00955E6F">
        <w:rPr>
          <w:rFonts w:ascii="Arial" w:hAnsi="Arial" w:cs="Arial"/>
        </w:rPr>
        <w:t xml:space="preserve"> </w:t>
      </w:r>
      <w:r w:rsidRPr="00955E6F">
        <w:rPr>
          <w:rFonts w:ascii="Arial" w:hAnsi="Arial" w:cs="Arial"/>
          <w:lang w:val="en-US"/>
        </w:rPr>
        <w:t xml:space="preserve">See </w:t>
      </w:r>
      <w:r w:rsidRPr="00955E6F">
        <w:rPr>
          <w:rFonts w:ascii="Arial" w:hAnsi="Arial" w:cs="Arial"/>
          <w:b/>
          <w:bCs/>
          <w:i/>
          <w:iCs/>
          <w:lang w:val="en-US"/>
        </w:rPr>
        <w:t>Trans-African Insurance Co. Ltd v Maluleka</w:t>
      </w:r>
      <w:r w:rsidRPr="00955E6F">
        <w:rPr>
          <w:rFonts w:ascii="Arial" w:hAnsi="Arial" w:cs="Arial"/>
          <w:lang w:val="en-US"/>
        </w:rPr>
        <w:t xml:space="preserve"> 1956 (2) SA 273 (A) at 277 A-B; </w:t>
      </w:r>
      <w:r w:rsidRPr="00955E6F">
        <w:rPr>
          <w:rFonts w:ascii="Arial" w:hAnsi="Arial" w:cs="Arial"/>
          <w:b/>
          <w:bCs/>
          <w:i/>
          <w:iCs/>
          <w:lang w:val="en-US"/>
        </w:rPr>
        <w:t>Rabie v De Wit</w:t>
      </w:r>
      <w:r w:rsidRPr="00955E6F">
        <w:rPr>
          <w:rFonts w:ascii="Arial" w:hAnsi="Arial" w:cs="Arial"/>
          <w:lang w:val="en-US"/>
        </w:rPr>
        <w:t xml:space="preserve"> 2013 (5) SA 219 (WCC) at 222 E-223A; </w:t>
      </w:r>
      <w:r w:rsidRPr="00955E6F">
        <w:rPr>
          <w:rFonts w:ascii="Arial" w:hAnsi="Arial" w:cs="Arial"/>
          <w:b/>
          <w:bCs/>
          <w:i/>
          <w:iCs/>
          <w:lang w:val="en-US"/>
        </w:rPr>
        <w:t>SAB Soc Ltd v SAB Pension Fund</w:t>
      </w:r>
      <w:r w:rsidRPr="00955E6F">
        <w:rPr>
          <w:rFonts w:ascii="Arial" w:hAnsi="Arial" w:cs="Arial"/>
          <w:lang w:val="en-US"/>
        </w:rPr>
        <w:t xml:space="preserve"> 2019 (4) SA 608 (GJ) at 621 E – 622G.</w:t>
      </w:r>
    </w:p>
  </w:footnote>
  <w:footnote w:id="3">
    <w:p w14:paraId="6C94FD6C" w14:textId="432CC3F5" w:rsidR="001F5A5C" w:rsidRPr="005C7220" w:rsidRDefault="001F5A5C" w:rsidP="005C7220">
      <w:pPr>
        <w:pStyle w:val="FootnoteText"/>
        <w:ind w:left="142" w:hanging="142"/>
        <w:jc w:val="both"/>
        <w:rPr>
          <w:rFonts w:ascii="Arial" w:hAnsi="Arial" w:cs="Arial"/>
          <w:lang w:val="en-US"/>
        </w:rPr>
      </w:pPr>
      <w:r w:rsidRPr="005C7220">
        <w:rPr>
          <w:rStyle w:val="FootnoteReference"/>
          <w:rFonts w:ascii="Arial" w:hAnsi="Arial" w:cs="Arial"/>
        </w:rPr>
        <w:footnoteRef/>
      </w:r>
      <w:r w:rsidRPr="005C7220">
        <w:rPr>
          <w:rFonts w:ascii="Arial" w:hAnsi="Arial" w:cs="Arial"/>
        </w:rPr>
        <w:t xml:space="preserve"> </w:t>
      </w:r>
      <w:r w:rsidRPr="005C7220">
        <w:rPr>
          <w:rFonts w:ascii="Arial" w:hAnsi="Arial" w:cs="Arial"/>
          <w:lang w:val="en-US"/>
        </w:rPr>
        <w:t xml:space="preserve">See </w:t>
      </w:r>
      <w:r w:rsidRPr="005C7220">
        <w:rPr>
          <w:rFonts w:ascii="Arial" w:hAnsi="Arial" w:cs="Arial"/>
          <w:b/>
          <w:bCs/>
          <w:i/>
          <w:iCs/>
          <w:lang w:val="en-US"/>
        </w:rPr>
        <w:t>I</w:t>
      </w:r>
      <w:r w:rsidR="00B61110">
        <w:rPr>
          <w:rFonts w:ascii="Arial" w:hAnsi="Arial" w:cs="Arial"/>
          <w:b/>
          <w:bCs/>
          <w:i/>
          <w:iCs/>
          <w:lang w:val="en-US"/>
        </w:rPr>
        <w:t>SDN</w:t>
      </w:r>
      <w:r w:rsidRPr="005C7220">
        <w:rPr>
          <w:rFonts w:ascii="Arial" w:hAnsi="Arial" w:cs="Arial"/>
          <w:b/>
          <w:bCs/>
          <w:i/>
          <w:iCs/>
          <w:lang w:val="en-US"/>
        </w:rPr>
        <w:t xml:space="preserve"> Solutions (Pty) Ltd v CSDN Solutions CC</w:t>
      </w:r>
      <w:r w:rsidR="00E62B36" w:rsidRPr="005C7220">
        <w:rPr>
          <w:rFonts w:ascii="Arial" w:hAnsi="Arial" w:cs="Arial"/>
          <w:b/>
          <w:bCs/>
          <w:i/>
          <w:iCs/>
          <w:lang w:val="en-US"/>
        </w:rPr>
        <w:t xml:space="preserve"> </w:t>
      </w:r>
      <w:r w:rsidR="00E62B36" w:rsidRPr="005C7220">
        <w:rPr>
          <w:rFonts w:ascii="Arial" w:hAnsi="Arial" w:cs="Arial"/>
          <w:lang w:val="en-US"/>
        </w:rPr>
        <w:t>1996 (4) SA 484 (W) at 486</w:t>
      </w:r>
      <w:r w:rsidR="00903178" w:rsidRPr="005C7220">
        <w:rPr>
          <w:rFonts w:ascii="Arial" w:hAnsi="Arial" w:cs="Arial"/>
          <w:lang w:val="en-US"/>
        </w:rPr>
        <w:t xml:space="preserve"> H-I; </w:t>
      </w:r>
      <w:r w:rsidR="00903178" w:rsidRPr="005C7220">
        <w:rPr>
          <w:rFonts w:ascii="Arial" w:hAnsi="Arial" w:cs="Arial"/>
          <w:b/>
          <w:bCs/>
          <w:i/>
          <w:iCs/>
          <w:lang w:val="en-US"/>
        </w:rPr>
        <w:t>Lourenco v Ferela (Pty) Ltd</w:t>
      </w:r>
      <w:r w:rsidR="000B79BE" w:rsidRPr="005C7220">
        <w:rPr>
          <w:rFonts w:ascii="Arial" w:hAnsi="Arial" w:cs="Arial"/>
          <w:b/>
          <w:bCs/>
          <w:i/>
          <w:iCs/>
          <w:lang w:val="en-US"/>
        </w:rPr>
        <w:t xml:space="preserve"> (NO)</w:t>
      </w:r>
      <w:r w:rsidR="000B79BE" w:rsidRPr="005C7220">
        <w:rPr>
          <w:rFonts w:ascii="Arial" w:hAnsi="Arial" w:cs="Arial"/>
          <w:lang w:val="en-US"/>
        </w:rPr>
        <w:t xml:space="preserve"> 1998 (3) SA 281 (T)</w:t>
      </w:r>
      <w:r w:rsidR="0004177E" w:rsidRPr="005C7220">
        <w:rPr>
          <w:rFonts w:ascii="Arial" w:hAnsi="Arial" w:cs="Arial"/>
          <w:lang w:val="en-US"/>
        </w:rPr>
        <w:t xml:space="preserve"> at </w:t>
      </w:r>
      <w:r w:rsidR="00B779E4" w:rsidRPr="005C7220">
        <w:rPr>
          <w:rFonts w:ascii="Arial" w:hAnsi="Arial" w:cs="Arial"/>
          <w:lang w:val="en-US"/>
        </w:rPr>
        <w:t>290 E-H.</w:t>
      </w:r>
    </w:p>
  </w:footnote>
  <w:footnote w:id="4">
    <w:p w14:paraId="693BEA02" w14:textId="7AD8AACA" w:rsidR="005C7220" w:rsidRPr="004926A8" w:rsidRDefault="005C7220" w:rsidP="004926A8">
      <w:pPr>
        <w:pStyle w:val="FootnoteText"/>
        <w:ind w:left="142" w:hanging="142"/>
        <w:jc w:val="both"/>
        <w:rPr>
          <w:rFonts w:ascii="Arial" w:hAnsi="Arial" w:cs="Arial"/>
          <w:lang w:val="en-US"/>
        </w:rPr>
      </w:pPr>
      <w:r w:rsidRPr="004926A8">
        <w:rPr>
          <w:rStyle w:val="FootnoteReference"/>
          <w:rFonts w:ascii="Arial" w:hAnsi="Arial" w:cs="Arial"/>
        </w:rPr>
        <w:footnoteRef/>
      </w:r>
      <w:r w:rsidRPr="004926A8">
        <w:rPr>
          <w:rFonts w:ascii="Arial" w:hAnsi="Arial" w:cs="Arial"/>
        </w:rPr>
        <w:t xml:space="preserve"> </w:t>
      </w:r>
      <w:r w:rsidRPr="004926A8">
        <w:rPr>
          <w:rFonts w:ascii="Arial" w:hAnsi="Arial" w:cs="Arial"/>
          <w:lang w:val="en-US"/>
        </w:rPr>
        <w:t xml:space="preserve">See </w:t>
      </w:r>
      <w:r w:rsidRPr="004926A8">
        <w:rPr>
          <w:rFonts w:ascii="Arial" w:hAnsi="Arial" w:cs="Arial"/>
          <w:b/>
          <w:bCs/>
          <w:i/>
          <w:iCs/>
          <w:lang w:val="en-US"/>
        </w:rPr>
        <w:t xml:space="preserve">Industrial Development Corporation of South Africa v </w:t>
      </w:r>
      <w:r w:rsidRPr="004926A8">
        <w:rPr>
          <w:rFonts w:ascii="Arial" w:hAnsi="Arial" w:cs="Arial"/>
          <w:b/>
          <w:bCs/>
          <w:i/>
          <w:iCs/>
          <w:lang w:val="en-US"/>
        </w:rPr>
        <w:t>Sooliman</w:t>
      </w:r>
      <w:r w:rsidRPr="004926A8">
        <w:rPr>
          <w:rFonts w:ascii="Arial" w:hAnsi="Arial" w:cs="Arial"/>
          <w:lang w:val="en-US"/>
        </w:rPr>
        <w:t xml:space="preserve"> 2013 (5) SA 603 (GSJ) at para 10; </w:t>
      </w:r>
      <w:r w:rsidRPr="004926A8">
        <w:rPr>
          <w:rFonts w:ascii="Arial" w:hAnsi="Arial" w:cs="Arial"/>
          <w:b/>
          <w:bCs/>
          <w:i/>
          <w:iCs/>
          <w:lang w:val="en-US"/>
        </w:rPr>
        <w:t>Farmers Trust v Competition Commission</w:t>
      </w:r>
      <w:r w:rsidRPr="004926A8">
        <w:rPr>
          <w:rFonts w:ascii="Arial" w:hAnsi="Arial" w:cs="Arial"/>
          <w:lang w:val="en-US"/>
        </w:rPr>
        <w:t xml:space="preserve"> 2020 (4) SA 541</w:t>
      </w:r>
      <w:r w:rsidR="004926A8" w:rsidRPr="004926A8">
        <w:rPr>
          <w:rFonts w:ascii="Arial" w:hAnsi="Arial" w:cs="Arial"/>
          <w:lang w:val="en-US"/>
        </w:rPr>
        <w:t xml:space="preserve"> (GP) para 23.</w:t>
      </w:r>
    </w:p>
  </w:footnote>
  <w:footnote w:id="5">
    <w:p w14:paraId="41A33D92" w14:textId="21241F43" w:rsidR="00D12F6D" w:rsidRPr="00D12F6D" w:rsidRDefault="00D12F6D" w:rsidP="00D12F6D">
      <w:pPr>
        <w:pStyle w:val="FootnoteText"/>
        <w:jc w:val="both"/>
        <w:rPr>
          <w:lang w:val="en-US"/>
        </w:rPr>
      </w:pPr>
      <w:r>
        <w:rPr>
          <w:rStyle w:val="FootnoteReference"/>
        </w:rPr>
        <w:footnoteRef/>
      </w:r>
      <w:r>
        <w:t xml:space="preserve"> </w:t>
      </w:r>
      <w:r w:rsidRPr="00D12F6D">
        <w:rPr>
          <w:rFonts w:ascii="Arial" w:hAnsi="Arial" w:cs="Arial"/>
          <w:lang w:val="en-US"/>
        </w:rPr>
        <w:t xml:space="preserve">See </w:t>
      </w:r>
      <w:r w:rsidRPr="00D12F6D">
        <w:rPr>
          <w:rFonts w:ascii="Arial" w:hAnsi="Arial" w:cs="Arial"/>
          <w:b/>
          <w:bCs/>
          <w:i/>
          <w:iCs/>
          <w:lang w:val="en-US"/>
        </w:rPr>
        <w:t>SA Motor Acceptance Corp (Pty) Ltd v Venter</w:t>
      </w:r>
      <w:r w:rsidRPr="00D12F6D">
        <w:rPr>
          <w:rFonts w:ascii="Arial" w:hAnsi="Arial" w:cs="Arial"/>
          <w:lang w:val="en-US"/>
        </w:rPr>
        <w:t xml:space="preserve"> 1963 (1) SA 214 (O).</w:t>
      </w:r>
    </w:p>
  </w:footnote>
  <w:footnote w:id="6">
    <w:p w14:paraId="6ED4A2C1" w14:textId="287CE530" w:rsidR="005A6438" w:rsidRPr="005A6438" w:rsidRDefault="005A6438">
      <w:pPr>
        <w:pStyle w:val="FootnoteText"/>
        <w:rPr>
          <w:lang w:val="en-US"/>
        </w:rPr>
      </w:pPr>
      <w:r>
        <w:rPr>
          <w:rStyle w:val="FootnoteReference"/>
        </w:rPr>
        <w:footnoteRef/>
      </w:r>
      <w:r>
        <w:t xml:space="preserve"> </w:t>
      </w:r>
      <w:r w:rsidRPr="005A6438">
        <w:rPr>
          <w:rFonts w:ascii="Arial" w:hAnsi="Arial" w:cs="Arial"/>
          <w:lang w:val="en-US"/>
        </w:rPr>
        <w:t>(920/2010) [2010] ZASCA 13 (15 March 2012</w:t>
      </w:r>
      <w:r>
        <w:rPr>
          <w:rFonts w:ascii="Arial" w:hAnsi="Arial" w:cs="Arial"/>
          <w:lang w:val="en-US"/>
        </w:rPr>
        <w:t>)</w:t>
      </w:r>
      <w:r w:rsidRPr="005A6438">
        <w:rPr>
          <w:rFonts w:ascii="Arial" w:hAnsi="Arial" w:cs="Arial"/>
          <w:lang w:val="en-US"/>
        </w:rPr>
        <w:t xml:space="preserve"> para 18.</w:t>
      </w:r>
    </w:p>
  </w:footnote>
  <w:footnote w:id="7">
    <w:p w14:paraId="118380A8" w14:textId="57C97B6C" w:rsidR="00825662" w:rsidRPr="00825662" w:rsidRDefault="00825662">
      <w:pPr>
        <w:pStyle w:val="FootnoteText"/>
        <w:rPr>
          <w:rFonts w:ascii="Arial" w:hAnsi="Arial" w:cs="Arial"/>
          <w:lang w:val="en-US"/>
        </w:rPr>
      </w:pPr>
      <w:r w:rsidRPr="00825662">
        <w:rPr>
          <w:rStyle w:val="FootnoteReference"/>
          <w:rFonts w:ascii="Arial" w:hAnsi="Arial" w:cs="Arial"/>
        </w:rPr>
        <w:footnoteRef/>
      </w:r>
      <w:r w:rsidRPr="00825662">
        <w:rPr>
          <w:rFonts w:ascii="Arial" w:hAnsi="Arial" w:cs="Arial"/>
        </w:rPr>
        <w:t xml:space="preserve"> </w:t>
      </w:r>
      <w:r w:rsidRPr="00825662">
        <w:rPr>
          <w:rFonts w:ascii="Arial" w:hAnsi="Arial" w:cs="Arial"/>
          <w:lang w:val="en-US"/>
        </w:rPr>
        <w:t>2014 (4) SA 474 (CC) at para 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65"/>
    <w:rsid w:val="00014A04"/>
    <w:rsid w:val="00020993"/>
    <w:rsid w:val="00023D23"/>
    <w:rsid w:val="00030925"/>
    <w:rsid w:val="00033A1F"/>
    <w:rsid w:val="0004177E"/>
    <w:rsid w:val="0004553E"/>
    <w:rsid w:val="00046DE6"/>
    <w:rsid w:val="00046FF1"/>
    <w:rsid w:val="000679C8"/>
    <w:rsid w:val="000A3863"/>
    <w:rsid w:val="000A39FA"/>
    <w:rsid w:val="000B07D8"/>
    <w:rsid w:val="000B4C71"/>
    <w:rsid w:val="000B5282"/>
    <w:rsid w:val="000B79BE"/>
    <w:rsid w:val="000D50D3"/>
    <w:rsid w:val="000E05AD"/>
    <w:rsid w:val="000E598B"/>
    <w:rsid w:val="000E6F23"/>
    <w:rsid w:val="00117CB7"/>
    <w:rsid w:val="00127276"/>
    <w:rsid w:val="001276FD"/>
    <w:rsid w:val="001362DB"/>
    <w:rsid w:val="00140A86"/>
    <w:rsid w:val="001414D7"/>
    <w:rsid w:val="001440A1"/>
    <w:rsid w:val="00145EF4"/>
    <w:rsid w:val="001460CB"/>
    <w:rsid w:val="00152450"/>
    <w:rsid w:val="001546AF"/>
    <w:rsid w:val="001569F7"/>
    <w:rsid w:val="00187D9F"/>
    <w:rsid w:val="001A1A08"/>
    <w:rsid w:val="001A3CA2"/>
    <w:rsid w:val="001A4A94"/>
    <w:rsid w:val="001B68F4"/>
    <w:rsid w:val="001C6F8A"/>
    <w:rsid w:val="001C7D70"/>
    <w:rsid w:val="001D0F45"/>
    <w:rsid w:val="001E3C55"/>
    <w:rsid w:val="001F5A5C"/>
    <w:rsid w:val="00201B94"/>
    <w:rsid w:val="0020577A"/>
    <w:rsid w:val="00214A7D"/>
    <w:rsid w:val="00222DCD"/>
    <w:rsid w:val="0022563D"/>
    <w:rsid w:val="00226240"/>
    <w:rsid w:val="002309BF"/>
    <w:rsid w:val="00256AAA"/>
    <w:rsid w:val="00262ECD"/>
    <w:rsid w:val="00277EC2"/>
    <w:rsid w:val="0028092D"/>
    <w:rsid w:val="00286D4B"/>
    <w:rsid w:val="002A4FCE"/>
    <w:rsid w:val="002C0912"/>
    <w:rsid w:val="002C611F"/>
    <w:rsid w:val="0032071C"/>
    <w:rsid w:val="00330D3B"/>
    <w:rsid w:val="0033156C"/>
    <w:rsid w:val="00346E6E"/>
    <w:rsid w:val="0035407E"/>
    <w:rsid w:val="0035470E"/>
    <w:rsid w:val="003554D3"/>
    <w:rsid w:val="003564EF"/>
    <w:rsid w:val="00360ACE"/>
    <w:rsid w:val="00363215"/>
    <w:rsid w:val="00364FE9"/>
    <w:rsid w:val="0036564B"/>
    <w:rsid w:val="00365F58"/>
    <w:rsid w:val="00375EBE"/>
    <w:rsid w:val="0037775A"/>
    <w:rsid w:val="00392D88"/>
    <w:rsid w:val="0039574F"/>
    <w:rsid w:val="003A330E"/>
    <w:rsid w:val="003B2A9E"/>
    <w:rsid w:val="003D7170"/>
    <w:rsid w:val="00402347"/>
    <w:rsid w:val="004233DD"/>
    <w:rsid w:val="00433CA5"/>
    <w:rsid w:val="00440799"/>
    <w:rsid w:val="00441917"/>
    <w:rsid w:val="004506F1"/>
    <w:rsid w:val="00452B67"/>
    <w:rsid w:val="004926A8"/>
    <w:rsid w:val="004952D5"/>
    <w:rsid w:val="004B6B6C"/>
    <w:rsid w:val="004B6C17"/>
    <w:rsid w:val="004E0A2F"/>
    <w:rsid w:val="004E12DB"/>
    <w:rsid w:val="004F0B66"/>
    <w:rsid w:val="004F3D54"/>
    <w:rsid w:val="00504270"/>
    <w:rsid w:val="00526477"/>
    <w:rsid w:val="005355AA"/>
    <w:rsid w:val="00540D61"/>
    <w:rsid w:val="00546532"/>
    <w:rsid w:val="00564F77"/>
    <w:rsid w:val="005A6438"/>
    <w:rsid w:val="005C7220"/>
    <w:rsid w:val="005D0CEC"/>
    <w:rsid w:val="005D3858"/>
    <w:rsid w:val="005E0159"/>
    <w:rsid w:val="005E5FF4"/>
    <w:rsid w:val="00600361"/>
    <w:rsid w:val="00612781"/>
    <w:rsid w:val="00615E77"/>
    <w:rsid w:val="006327FA"/>
    <w:rsid w:val="00640240"/>
    <w:rsid w:val="0064090B"/>
    <w:rsid w:val="0064281F"/>
    <w:rsid w:val="0064406F"/>
    <w:rsid w:val="00644632"/>
    <w:rsid w:val="00671E1E"/>
    <w:rsid w:val="006735C2"/>
    <w:rsid w:val="006956DF"/>
    <w:rsid w:val="006A0336"/>
    <w:rsid w:val="006A4608"/>
    <w:rsid w:val="006B5318"/>
    <w:rsid w:val="006B63AA"/>
    <w:rsid w:val="006D0D9A"/>
    <w:rsid w:val="006D160D"/>
    <w:rsid w:val="006D3E6C"/>
    <w:rsid w:val="006F5A30"/>
    <w:rsid w:val="00703B7D"/>
    <w:rsid w:val="007614F8"/>
    <w:rsid w:val="00776F92"/>
    <w:rsid w:val="00783DF1"/>
    <w:rsid w:val="007B191D"/>
    <w:rsid w:val="007B1A81"/>
    <w:rsid w:val="007C7D5B"/>
    <w:rsid w:val="007D009A"/>
    <w:rsid w:val="007F589D"/>
    <w:rsid w:val="008050BA"/>
    <w:rsid w:val="00825662"/>
    <w:rsid w:val="00840D35"/>
    <w:rsid w:val="008428CF"/>
    <w:rsid w:val="00855ECF"/>
    <w:rsid w:val="00860A20"/>
    <w:rsid w:val="008610E4"/>
    <w:rsid w:val="00870868"/>
    <w:rsid w:val="00882F3C"/>
    <w:rsid w:val="00883186"/>
    <w:rsid w:val="0088378F"/>
    <w:rsid w:val="00887FCD"/>
    <w:rsid w:val="008928EB"/>
    <w:rsid w:val="008C0C80"/>
    <w:rsid w:val="008C1BB4"/>
    <w:rsid w:val="008D1A27"/>
    <w:rsid w:val="008E3942"/>
    <w:rsid w:val="008F09AE"/>
    <w:rsid w:val="008F1633"/>
    <w:rsid w:val="00903178"/>
    <w:rsid w:val="00926EDA"/>
    <w:rsid w:val="0095594A"/>
    <w:rsid w:val="00955E6F"/>
    <w:rsid w:val="0095702E"/>
    <w:rsid w:val="00972DC9"/>
    <w:rsid w:val="009920FB"/>
    <w:rsid w:val="00994514"/>
    <w:rsid w:val="009C1092"/>
    <w:rsid w:val="009D713E"/>
    <w:rsid w:val="009E4F85"/>
    <w:rsid w:val="009E57DD"/>
    <w:rsid w:val="009F1A6A"/>
    <w:rsid w:val="009F2AA9"/>
    <w:rsid w:val="009F6772"/>
    <w:rsid w:val="00A02C8D"/>
    <w:rsid w:val="00A0307D"/>
    <w:rsid w:val="00A14381"/>
    <w:rsid w:val="00A21601"/>
    <w:rsid w:val="00A22343"/>
    <w:rsid w:val="00A2385D"/>
    <w:rsid w:val="00A25DF1"/>
    <w:rsid w:val="00A4060E"/>
    <w:rsid w:val="00A421A1"/>
    <w:rsid w:val="00A461CE"/>
    <w:rsid w:val="00A67602"/>
    <w:rsid w:val="00A702D2"/>
    <w:rsid w:val="00A75307"/>
    <w:rsid w:val="00A8313B"/>
    <w:rsid w:val="00A83A0F"/>
    <w:rsid w:val="00AD3D3D"/>
    <w:rsid w:val="00AD6A2E"/>
    <w:rsid w:val="00B078C1"/>
    <w:rsid w:val="00B07BFC"/>
    <w:rsid w:val="00B12415"/>
    <w:rsid w:val="00B176F1"/>
    <w:rsid w:val="00B2018E"/>
    <w:rsid w:val="00B26153"/>
    <w:rsid w:val="00B36D59"/>
    <w:rsid w:val="00B61110"/>
    <w:rsid w:val="00B64B04"/>
    <w:rsid w:val="00B779E4"/>
    <w:rsid w:val="00B80ACE"/>
    <w:rsid w:val="00B931F7"/>
    <w:rsid w:val="00BA4490"/>
    <w:rsid w:val="00BB191E"/>
    <w:rsid w:val="00BB6B48"/>
    <w:rsid w:val="00BD4B50"/>
    <w:rsid w:val="00C06C83"/>
    <w:rsid w:val="00C16630"/>
    <w:rsid w:val="00C22373"/>
    <w:rsid w:val="00C3074B"/>
    <w:rsid w:val="00C506E8"/>
    <w:rsid w:val="00C70FF5"/>
    <w:rsid w:val="00C86F31"/>
    <w:rsid w:val="00C95B43"/>
    <w:rsid w:val="00CB6CF1"/>
    <w:rsid w:val="00CF1C20"/>
    <w:rsid w:val="00D03695"/>
    <w:rsid w:val="00D12F6D"/>
    <w:rsid w:val="00D167AB"/>
    <w:rsid w:val="00D578C1"/>
    <w:rsid w:val="00D93C17"/>
    <w:rsid w:val="00D9767C"/>
    <w:rsid w:val="00DA7C8D"/>
    <w:rsid w:val="00DC110E"/>
    <w:rsid w:val="00DC7FED"/>
    <w:rsid w:val="00DD6904"/>
    <w:rsid w:val="00DE12C7"/>
    <w:rsid w:val="00E01D92"/>
    <w:rsid w:val="00E027E7"/>
    <w:rsid w:val="00E14683"/>
    <w:rsid w:val="00E300DC"/>
    <w:rsid w:val="00E32765"/>
    <w:rsid w:val="00E442F1"/>
    <w:rsid w:val="00E531DA"/>
    <w:rsid w:val="00E549C1"/>
    <w:rsid w:val="00E55396"/>
    <w:rsid w:val="00E62B36"/>
    <w:rsid w:val="00E63061"/>
    <w:rsid w:val="00E7610E"/>
    <w:rsid w:val="00E82CC7"/>
    <w:rsid w:val="00EB199A"/>
    <w:rsid w:val="00EC3031"/>
    <w:rsid w:val="00ED0CEF"/>
    <w:rsid w:val="00EE004E"/>
    <w:rsid w:val="00EF5B36"/>
    <w:rsid w:val="00F10DDF"/>
    <w:rsid w:val="00F13148"/>
    <w:rsid w:val="00F16F82"/>
    <w:rsid w:val="00F31DDB"/>
    <w:rsid w:val="00F3560A"/>
    <w:rsid w:val="00F35B1F"/>
    <w:rsid w:val="00F64ADA"/>
    <w:rsid w:val="00F76846"/>
    <w:rsid w:val="00F96A23"/>
    <w:rsid w:val="00FA17D8"/>
    <w:rsid w:val="00FB0367"/>
    <w:rsid w:val="00FD7835"/>
    <w:rsid w:val="00FE1640"/>
    <w:rsid w:val="00FF02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C2E6"/>
  <w15:chartTrackingRefBased/>
  <w15:docId w15:val="{AE48B24F-0DB3-474D-BF87-5FEAE42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65"/>
    <w:pPr>
      <w:spacing w:line="256" w:lineRule="auto"/>
    </w:pPr>
  </w:style>
  <w:style w:type="paragraph" w:styleId="Heading1">
    <w:name w:val="heading 1"/>
    <w:basedOn w:val="Normal"/>
    <w:next w:val="Normal"/>
    <w:link w:val="Heading1Char"/>
    <w:uiPriority w:val="9"/>
    <w:qFormat/>
    <w:rsid w:val="00E327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27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27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27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27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27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7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7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7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27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27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27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27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27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7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7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765"/>
    <w:rPr>
      <w:rFonts w:eastAsiaTheme="majorEastAsia" w:cstheme="majorBidi"/>
      <w:color w:val="272727" w:themeColor="text1" w:themeTint="D8"/>
    </w:rPr>
  </w:style>
  <w:style w:type="paragraph" w:styleId="Title">
    <w:name w:val="Title"/>
    <w:basedOn w:val="Normal"/>
    <w:next w:val="Normal"/>
    <w:link w:val="TitleChar"/>
    <w:uiPriority w:val="10"/>
    <w:qFormat/>
    <w:rsid w:val="00E327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7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7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765"/>
    <w:pPr>
      <w:spacing w:before="160"/>
      <w:jc w:val="center"/>
    </w:pPr>
    <w:rPr>
      <w:i/>
      <w:iCs/>
      <w:color w:val="404040" w:themeColor="text1" w:themeTint="BF"/>
    </w:rPr>
  </w:style>
  <w:style w:type="character" w:customStyle="1" w:styleId="QuoteChar">
    <w:name w:val="Quote Char"/>
    <w:basedOn w:val="DefaultParagraphFont"/>
    <w:link w:val="Quote"/>
    <w:uiPriority w:val="29"/>
    <w:rsid w:val="00E32765"/>
    <w:rPr>
      <w:i/>
      <w:iCs/>
      <w:color w:val="404040" w:themeColor="text1" w:themeTint="BF"/>
    </w:rPr>
  </w:style>
  <w:style w:type="paragraph" w:styleId="ListParagraph">
    <w:name w:val="List Paragraph"/>
    <w:basedOn w:val="Normal"/>
    <w:uiPriority w:val="34"/>
    <w:qFormat/>
    <w:rsid w:val="00E32765"/>
    <w:pPr>
      <w:ind w:left="720"/>
      <w:contextualSpacing/>
    </w:pPr>
  </w:style>
  <w:style w:type="character" w:styleId="IntenseEmphasis">
    <w:name w:val="Intense Emphasis"/>
    <w:basedOn w:val="DefaultParagraphFont"/>
    <w:uiPriority w:val="21"/>
    <w:qFormat/>
    <w:rsid w:val="00E32765"/>
    <w:rPr>
      <w:i/>
      <w:iCs/>
      <w:color w:val="0F4761" w:themeColor="accent1" w:themeShade="BF"/>
    </w:rPr>
  </w:style>
  <w:style w:type="paragraph" w:styleId="IntenseQuote">
    <w:name w:val="Intense Quote"/>
    <w:basedOn w:val="Normal"/>
    <w:next w:val="Normal"/>
    <w:link w:val="IntenseQuoteChar"/>
    <w:uiPriority w:val="30"/>
    <w:qFormat/>
    <w:rsid w:val="00E327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2765"/>
    <w:rPr>
      <w:i/>
      <w:iCs/>
      <w:color w:val="0F4761" w:themeColor="accent1" w:themeShade="BF"/>
    </w:rPr>
  </w:style>
  <w:style w:type="character" w:styleId="IntenseReference">
    <w:name w:val="Intense Reference"/>
    <w:basedOn w:val="DefaultParagraphFont"/>
    <w:uiPriority w:val="32"/>
    <w:qFormat/>
    <w:rsid w:val="00E32765"/>
    <w:rPr>
      <w:b/>
      <w:bCs/>
      <w:smallCaps/>
      <w:color w:val="0F4761" w:themeColor="accent1" w:themeShade="BF"/>
      <w:spacing w:val="5"/>
    </w:rPr>
  </w:style>
  <w:style w:type="paragraph" w:styleId="Header">
    <w:name w:val="header"/>
    <w:basedOn w:val="Normal"/>
    <w:link w:val="HeaderChar"/>
    <w:uiPriority w:val="99"/>
    <w:unhideWhenUsed/>
    <w:rsid w:val="00870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868"/>
  </w:style>
  <w:style w:type="paragraph" w:styleId="Footer">
    <w:name w:val="footer"/>
    <w:basedOn w:val="Normal"/>
    <w:link w:val="FooterChar"/>
    <w:uiPriority w:val="99"/>
    <w:unhideWhenUsed/>
    <w:rsid w:val="00870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868"/>
  </w:style>
  <w:style w:type="paragraph" w:styleId="FootnoteText">
    <w:name w:val="footnote text"/>
    <w:basedOn w:val="Normal"/>
    <w:link w:val="FootnoteTextChar"/>
    <w:uiPriority w:val="99"/>
    <w:semiHidden/>
    <w:unhideWhenUsed/>
    <w:rsid w:val="00955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E6F"/>
    <w:rPr>
      <w:sz w:val="20"/>
      <w:szCs w:val="20"/>
    </w:rPr>
  </w:style>
  <w:style w:type="character" w:styleId="FootnoteReference">
    <w:name w:val="footnote reference"/>
    <w:basedOn w:val="DefaultParagraphFont"/>
    <w:uiPriority w:val="99"/>
    <w:semiHidden/>
    <w:unhideWhenUsed/>
    <w:rsid w:val="00955E6F"/>
    <w:rPr>
      <w:vertAlign w:val="superscript"/>
    </w:rPr>
  </w:style>
  <w:style w:type="character" w:styleId="Hyperlink">
    <w:name w:val="Hyperlink"/>
    <w:basedOn w:val="DefaultParagraphFont"/>
    <w:uiPriority w:val="99"/>
    <w:unhideWhenUsed/>
    <w:rsid w:val="005A6438"/>
    <w:rPr>
      <w:color w:val="467886" w:themeColor="hyperlink"/>
      <w:u w:val="single"/>
    </w:rPr>
  </w:style>
  <w:style w:type="character" w:styleId="UnresolvedMention">
    <w:name w:val="Unresolved Mention"/>
    <w:basedOn w:val="DefaultParagraphFont"/>
    <w:uiPriority w:val="99"/>
    <w:semiHidden/>
    <w:unhideWhenUsed/>
    <w:rsid w:val="005A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0068">
      <w:bodyDiv w:val="1"/>
      <w:marLeft w:val="0"/>
      <w:marRight w:val="0"/>
      <w:marTop w:val="0"/>
      <w:marBottom w:val="0"/>
      <w:divBdr>
        <w:top w:val="none" w:sz="0" w:space="0" w:color="auto"/>
        <w:left w:val="none" w:sz="0" w:space="0" w:color="auto"/>
        <w:bottom w:val="none" w:sz="0" w:space="0" w:color="auto"/>
        <w:right w:val="none" w:sz="0" w:space="0" w:color="auto"/>
      </w:divBdr>
    </w:div>
    <w:div w:id="11993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utando@nompandan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2024-02-23T11:54:00Z</cp:lastPrinted>
  <dcterms:created xsi:type="dcterms:W3CDTF">2024-02-26T08:25:00Z</dcterms:created>
  <dcterms:modified xsi:type="dcterms:W3CDTF">2024-02-26T08:25:00Z</dcterms:modified>
</cp:coreProperties>
</file>