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DD91F0" w14:textId="77777777" w:rsidR="00D450B5" w:rsidRPr="00044B50" w:rsidRDefault="00D450B5" w:rsidP="0094300A">
      <w:pPr>
        <w:autoSpaceDE w:val="0"/>
        <w:autoSpaceDN w:val="0"/>
        <w:adjustRightInd w:val="0"/>
        <w:ind w:right="373"/>
        <w:jc w:val="right"/>
        <w:rPr>
          <w:lang w:val="en-GB"/>
        </w:rPr>
      </w:pPr>
      <w:bookmarkStart w:id="0" w:name="_GoBack"/>
      <w:bookmarkEnd w:id="0"/>
    </w:p>
    <w:p w14:paraId="74CEFBD9" w14:textId="77777777" w:rsidR="00B875D5" w:rsidRPr="00044B50" w:rsidRDefault="00B875D5" w:rsidP="00B875D5">
      <w:pPr>
        <w:jc w:val="center"/>
        <w:rPr>
          <w:lang w:val="en-GB"/>
        </w:rPr>
      </w:pPr>
      <w:r w:rsidRPr="00044B50">
        <w:rPr>
          <w:noProof/>
          <w:lang w:eastAsia="en-ZA"/>
        </w:rPr>
        <w:drawing>
          <wp:inline distT="0" distB="0" distL="0" distR="0" wp14:anchorId="5789DF9A" wp14:editId="5F53EBC3">
            <wp:extent cx="1444625" cy="1274445"/>
            <wp:effectExtent l="0" t="0" r="317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4625" cy="1274445"/>
                    </a:xfrm>
                    <a:prstGeom prst="rect">
                      <a:avLst/>
                    </a:prstGeom>
                    <a:noFill/>
                  </pic:spPr>
                </pic:pic>
              </a:graphicData>
            </a:graphic>
          </wp:inline>
        </w:drawing>
      </w:r>
    </w:p>
    <w:p w14:paraId="43A0AA25" w14:textId="77777777" w:rsidR="00B875D5" w:rsidRPr="00044B50" w:rsidRDefault="00B875D5" w:rsidP="00B875D5">
      <w:pPr>
        <w:jc w:val="center"/>
        <w:rPr>
          <w:b/>
          <w:bCs/>
          <w:lang w:val="en-GB"/>
        </w:rPr>
      </w:pPr>
      <w:r w:rsidRPr="00044B50">
        <w:rPr>
          <w:b/>
          <w:bCs/>
          <w:lang w:val="en-GB"/>
        </w:rPr>
        <w:t>IN THE HIGH COURT OF SOUTH AFRICA</w:t>
      </w:r>
    </w:p>
    <w:p w14:paraId="05AC2017" w14:textId="77777777" w:rsidR="00B875D5" w:rsidRPr="00044B50" w:rsidRDefault="00B875D5" w:rsidP="00B875D5">
      <w:pPr>
        <w:jc w:val="center"/>
        <w:rPr>
          <w:b/>
          <w:bCs/>
          <w:lang w:val="en-GB"/>
        </w:rPr>
      </w:pPr>
      <w:r>
        <w:rPr>
          <w:b/>
          <w:bCs/>
          <w:lang w:val="en-GB"/>
        </w:rPr>
        <w:t>(</w:t>
      </w:r>
      <w:r w:rsidRPr="00044B50">
        <w:rPr>
          <w:b/>
          <w:bCs/>
          <w:lang w:val="en-GB"/>
        </w:rPr>
        <w:t>EASTERN CAPE DIVISION,</w:t>
      </w:r>
      <w:r>
        <w:rPr>
          <w:b/>
          <w:bCs/>
          <w:lang w:val="en-GB"/>
        </w:rPr>
        <w:t xml:space="preserve"> MAKHANDA)</w:t>
      </w:r>
    </w:p>
    <w:p w14:paraId="3757D33F" w14:textId="77777777" w:rsidR="00B875D5" w:rsidRPr="00044B50" w:rsidRDefault="00B875D5" w:rsidP="00B875D5">
      <w:pPr>
        <w:widowControl w:val="0"/>
        <w:jc w:val="both"/>
        <w:rPr>
          <w:spacing w:val="14"/>
          <w:kern w:val="2"/>
          <w:u w:val="single"/>
          <w:lang w:val="en-GB"/>
        </w:rPr>
      </w:pPr>
    </w:p>
    <w:p w14:paraId="3F4FD6E7" w14:textId="69E8BD2C" w:rsidR="00B875D5" w:rsidRPr="00044B50" w:rsidRDefault="00B875D5" w:rsidP="00B875D5">
      <w:pPr>
        <w:tabs>
          <w:tab w:val="left" w:pos="8931"/>
        </w:tabs>
        <w:ind w:right="89"/>
        <w:jc w:val="center"/>
        <w:rPr>
          <w:b/>
          <w:bCs/>
          <w:lang w:val="en-GB"/>
        </w:rPr>
      </w:pPr>
      <w:r w:rsidRPr="00044B50">
        <w:rPr>
          <w:lang w:val="en-GB"/>
        </w:rPr>
        <w:t xml:space="preserve">                                                                                           </w:t>
      </w:r>
      <w:r>
        <w:rPr>
          <w:lang w:val="en-GB"/>
        </w:rPr>
        <w:t xml:space="preserve">         </w:t>
      </w:r>
      <w:r w:rsidRPr="00044B50">
        <w:rPr>
          <w:b/>
          <w:bCs/>
          <w:lang w:val="en-GB"/>
        </w:rPr>
        <w:t xml:space="preserve">NOT REPORTABLE                                     </w:t>
      </w:r>
    </w:p>
    <w:p w14:paraId="74F42C8A" w14:textId="77777777" w:rsidR="00B875D5" w:rsidRDefault="00B875D5" w:rsidP="00B875D5">
      <w:pPr>
        <w:jc w:val="center"/>
        <w:rPr>
          <w:lang w:val="en-GB"/>
        </w:rPr>
      </w:pPr>
      <w:r w:rsidRPr="00044B50">
        <w:rPr>
          <w:lang w:val="en-GB"/>
        </w:rPr>
        <w:t xml:space="preserve">                                                                                                  </w:t>
      </w:r>
    </w:p>
    <w:p w14:paraId="565D950E" w14:textId="20AE4071" w:rsidR="00B875D5" w:rsidRPr="00044B50" w:rsidRDefault="00B875D5" w:rsidP="00B875D5">
      <w:pPr>
        <w:ind w:left="5760" w:right="89" w:firstLine="720"/>
        <w:rPr>
          <w:lang w:val="en-GB"/>
        </w:rPr>
      </w:pPr>
      <w:r>
        <w:rPr>
          <w:lang w:val="en-GB"/>
        </w:rPr>
        <w:t xml:space="preserve">    </w:t>
      </w:r>
      <w:r w:rsidRPr="00044B50">
        <w:rPr>
          <w:lang w:val="en-GB"/>
        </w:rPr>
        <w:t xml:space="preserve">Case no: </w:t>
      </w:r>
      <w:r>
        <w:rPr>
          <w:lang w:val="en-GB"/>
        </w:rPr>
        <w:t>4264/2023</w:t>
      </w:r>
    </w:p>
    <w:p w14:paraId="5F2C1BB7" w14:textId="77777777" w:rsidR="00B875D5" w:rsidRPr="00044B50" w:rsidRDefault="00B875D5" w:rsidP="00B875D5">
      <w:pPr>
        <w:widowControl w:val="0"/>
        <w:jc w:val="right"/>
        <w:rPr>
          <w:spacing w:val="14"/>
          <w:kern w:val="2"/>
          <w:lang w:val="en-GB"/>
        </w:rPr>
      </w:pPr>
    </w:p>
    <w:p w14:paraId="3A302F52" w14:textId="77777777" w:rsidR="00B875D5" w:rsidRPr="00044B50" w:rsidRDefault="00B875D5" w:rsidP="00B875D5">
      <w:pPr>
        <w:widowControl w:val="0"/>
        <w:jc w:val="both"/>
        <w:rPr>
          <w:spacing w:val="14"/>
          <w:kern w:val="2"/>
          <w:lang w:val="en-GB"/>
        </w:rPr>
      </w:pPr>
      <w:r w:rsidRPr="00044B50">
        <w:rPr>
          <w:spacing w:val="14"/>
          <w:kern w:val="2"/>
          <w:lang w:val="en-GB"/>
        </w:rPr>
        <w:t>In the matter between:</w:t>
      </w:r>
    </w:p>
    <w:p w14:paraId="65942F95" w14:textId="77777777" w:rsidR="00B875D5" w:rsidRPr="00044B50" w:rsidRDefault="00B875D5" w:rsidP="00B875D5">
      <w:pPr>
        <w:widowControl w:val="0"/>
        <w:tabs>
          <w:tab w:val="right" w:pos="8198"/>
        </w:tabs>
        <w:jc w:val="both"/>
        <w:rPr>
          <w:spacing w:val="14"/>
          <w:kern w:val="2"/>
          <w:lang w:val="en-GB"/>
        </w:rPr>
      </w:pPr>
    </w:p>
    <w:p w14:paraId="00F25C52" w14:textId="77777777" w:rsidR="00B875D5" w:rsidRDefault="00B875D5" w:rsidP="00B875D5">
      <w:pPr>
        <w:tabs>
          <w:tab w:val="left" w:pos="6946"/>
        </w:tabs>
        <w:suppressAutoHyphens/>
        <w:ind w:right="89"/>
        <w:jc w:val="both"/>
        <w:rPr>
          <w:b/>
          <w:bCs/>
          <w:lang w:val="en-GB"/>
        </w:rPr>
      </w:pPr>
      <w:r>
        <w:rPr>
          <w:b/>
          <w:bCs/>
          <w:lang w:val="en-GB"/>
        </w:rPr>
        <w:t>STEAM DEVELOPMENT TECHNOLOGIES 96</w:t>
      </w:r>
      <w:r w:rsidRPr="00797E4E">
        <w:rPr>
          <w:b/>
          <w:bCs/>
          <w:lang w:val="en-GB"/>
        </w:rPr>
        <w:t xml:space="preserve"> </w:t>
      </w:r>
      <w:r>
        <w:rPr>
          <w:b/>
          <w:bCs/>
          <w:lang w:val="en-GB"/>
        </w:rPr>
        <w:tab/>
      </w:r>
      <w:r>
        <w:rPr>
          <w:b/>
          <w:bCs/>
          <w:lang w:val="en-GB"/>
        </w:rPr>
        <w:tab/>
        <w:t xml:space="preserve">         </w:t>
      </w:r>
      <w:r w:rsidRPr="00797E4E">
        <w:rPr>
          <w:b/>
          <w:bCs/>
          <w:lang w:val="en-GB"/>
        </w:rPr>
        <w:t>Ap</w:t>
      </w:r>
      <w:r>
        <w:rPr>
          <w:b/>
          <w:bCs/>
          <w:lang w:val="en-GB"/>
        </w:rPr>
        <w:t>plicant</w:t>
      </w:r>
    </w:p>
    <w:p w14:paraId="6CCC6C8F" w14:textId="77777777" w:rsidR="00B875D5" w:rsidRPr="00797E4E" w:rsidRDefault="00B875D5" w:rsidP="00B875D5">
      <w:pPr>
        <w:tabs>
          <w:tab w:val="left" w:pos="6946"/>
        </w:tabs>
        <w:suppressAutoHyphens/>
        <w:ind w:right="-52"/>
        <w:jc w:val="both"/>
        <w:rPr>
          <w:b/>
          <w:bCs/>
          <w:lang w:val="en-GB"/>
        </w:rPr>
      </w:pPr>
      <w:r>
        <w:rPr>
          <w:b/>
          <w:bCs/>
          <w:lang w:val="en-GB"/>
        </w:rPr>
        <w:t>DEGREES PROPRIETARY LIMITED</w:t>
      </w:r>
    </w:p>
    <w:p w14:paraId="796DA1AF" w14:textId="77777777" w:rsidR="00B875D5" w:rsidRPr="00044B50" w:rsidRDefault="00B875D5" w:rsidP="00B875D5">
      <w:pPr>
        <w:tabs>
          <w:tab w:val="right" w:pos="9072"/>
        </w:tabs>
        <w:suppressAutoHyphens/>
        <w:jc w:val="both"/>
        <w:rPr>
          <w:lang w:val="en-GB"/>
        </w:rPr>
      </w:pPr>
    </w:p>
    <w:p w14:paraId="7DE0A5FD" w14:textId="77777777" w:rsidR="00B875D5" w:rsidRPr="00044B50" w:rsidRDefault="00B875D5" w:rsidP="00B875D5">
      <w:pPr>
        <w:jc w:val="both"/>
        <w:rPr>
          <w:lang w:val="en-GB"/>
        </w:rPr>
      </w:pPr>
      <w:r w:rsidRPr="00044B50">
        <w:rPr>
          <w:lang w:val="en-GB"/>
        </w:rPr>
        <w:t>and</w:t>
      </w:r>
    </w:p>
    <w:p w14:paraId="2E4CDF03" w14:textId="77777777" w:rsidR="00B875D5" w:rsidRPr="00044B50" w:rsidRDefault="00B875D5" w:rsidP="00B875D5">
      <w:pPr>
        <w:jc w:val="both"/>
        <w:rPr>
          <w:lang w:val="en-GB"/>
        </w:rPr>
      </w:pPr>
    </w:p>
    <w:p w14:paraId="5614328E" w14:textId="77777777" w:rsidR="00B875D5" w:rsidRDefault="00B875D5" w:rsidP="00B875D5">
      <w:pPr>
        <w:tabs>
          <w:tab w:val="left" w:pos="7513"/>
        </w:tabs>
        <w:ind w:right="-52"/>
        <w:jc w:val="both"/>
        <w:rPr>
          <w:b/>
          <w:bCs/>
          <w:lang w:val="en-GB"/>
        </w:rPr>
      </w:pPr>
      <w:r>
        <w:rPr>
          <w:b/>
          <w:bCs/>
          <w:lang w:val="en-GB"/>
        </w:rPr>
        <w:t>THE MINISTER: DEPARTMENT OF PUBLIC</w:t>
      </w:r>
      <w:r w:rsidRPr="00797E4E">
        <w:rPr>
          <w:b/>
          <w:bCs/>
          <w:lang w:val="en-GB"/>
        </w:rPr>
        <w:tab/>
      </w:r>
      <w:r>
        <w:rPr>
          <w:b/>
          <w:bCs/>
          <w:lang w:val="en-GB"/>
        </w:rPr>
        <w:t>Respondent</w:t>
      </w:r>
    </w:p>
    <w:p w14:paraId="5FE461D4" w14:textId="77777777" w:rsidR="00B875D5" w:rsidRPr="00797E4E" w:rsidRDefault="00B875D5" w:rsidP="00B875D5">
      <w:pPr>
        <w:tabs>
          <w:tab w:val="left" w:pos="7513"/>
        </w:tabs>
        <w:ind w:right="-52"/>
        <w:jc w:val="both"/>
        <w:rPr>
          <w:b/>
          <w:bCs/>
          <w:lang w:val="en-GB"/>
        </w:rPr>
      </w:pPr>
      <w:r>
        <w:rPr>
          <w:b/>
          <w:bCs/>
          <w:lang w:val="en-GB"/>
        </w:rPr>
        <w:t>WORKS &amp; INFRASTRUCTURE</w:t>
      </w:r>
    </w:p>
    <w:p w14:paraId="76889E9C" w14:textId="24974D08" w:rsidR="00D450B5" w:rsidRPr="00044B50" w:rsidRDefault="00D450B5" w:rsidP="00772E4B">
      <w:pPr>
        <w:jc w:val="both"/>
        <w:rPr>
          <w:lang w:val="en-GB"/>
        </w:rPr>
      </w:pPr>
      <w:r w:rsidRPr="00044B50">
        <w:rPr>
          <w:lang w:val="en-GB"/>
        </w:rPr>
        <w:t>__________________________________________________________________</w:t>
      </w:r>
      <w:r w:rsidR="006B1DCE">
        <w:rPr>
          <w:lang w:val="en-GB"/>
        </w:rPr>
        <w:t>_</w:t>
      </w:r>
    </w:p>
    <w:p w14:paraId="37FFD90E" w14:textId="77777777" w:rsidR="0009497C" w:rsidRPr="00044B50" w:rsidRDefault="0009497C" w:rsidP="00772E4B">
      <w:pPr>
        <w:jc w:val="center"/>
        <w:rPr>
          <w:lang w:val="en-GB"/>
        </w:rPr>
      </w:pPr>
    </w:p>
    <w:p w14:paraId="7239B7A9" w14:textId="21B129A3" w:rsidR="00D450B5" w:rsidRPr="00044B50" w:rsidRDefault="000904A2" w:rsidP="00772E4B">
      <w:pPr>
        <w:jc w:val="center"/>
        <w:rPr>
          <w:b/>
          <w:bCs/>
          <w:lang w:val="en-GB"/>
        </w:rPr>
      </w:pPr>
      <w:r>
        <w:rPr>
          <w:b/>
          <w:bCs/>
          <w:lang w:val="en-GB"/>
        </w:rPr>
        <w:t>REASONS FOR THE INTERIM INTERDICT</w:t>
      </w:r>
    </w:p>
    <w:p w14:paraId="2B47CB4D" w14:textId="77777777" w:rsidR="00D450B5" w:rsidRPr="00044B50" w:rsidRDefault="00D450B5" w:rsidP="00772E4B">
      <w:pPr>
        <w:jc w:val="both"/>
        <w:rPr>
          <w:lang w:val="en-GB"/>
        </w:rPr>
      </w:pPr>
      <w:r w:rsidRPr="00044B50">
        <w:rPr>
          <w:lang w:val="en-GB"/>
        </w:rPr>
        <w:t>___________________________________________________________________</w:t>
      </w:r>
    </w:p>
    <w:p w14:paraId="4AB44067" w14:textId="3511E60E" w:rsidR="00E81F52" w:rsidRPr="000904A2" w:rsidRDefault="000904A2" w:rsidP="00682CE5">
      <w:pPr>
        <w:autoSpaceDE w:val="0"/>
        <w:autoSpaceDN w:val="0"/>
        <w:adjustRightInd w:val="0"/>
        <w:jc w:val="both"/>
        <w:rPr>
          <w:b/>
          <w:bCs/>
          <w:lang w:val="en-GB"/>
        </w:rPr>
      </w:pPr>
      <w:r>
        <w:rPr>
          <w:b/>
          <w:bCs/>
          <w:lang w:val="en-GB"/>
        </w:rPr>
        <w:t>GOVINDJEE J</w:t>
      </w:r>
    </w:p>
    <w:p w14:paraId="5EBD67B1" w14:textId="5BBA94E8" w:rsidR="000904A2" w:rsidRDefault="000904A2" w:rsidP="000904A2">
      <w:pPr>
        <w:autoSpaceDE w:val="0"/>
        <w:autoSpaceDN w:val="0"/>
        <w:adjustRightInd w:val="0"/>
        <w:jc w:val="both"/>
        <w:rPr>
          <w:lang w:val="en-GB"/>
        </w:rPr>
      </w:pPr>
    </w:p>
    <w:p w14:paraId="1FEF8231" w14:textId="02698099" w:rsidR="00446D82" w:rsidRDefault="00446D82" w:rsidP="000904A2">
      <w:pPr>
        <w:autoSpaceDE w:val="0"/>
        <w:autoSpaceDN w:val="0"/>
        <w:adjustRightInd w:val="0"/>
        <w:jc w:val="both"/>
        <w:rPr>
          <w:b/>
          <w:bCs/>
          <w:lang w:val="en-GB"/>
        </w:rPr>
      </w:pPr>
      <w:r>
        <w:rPr>
          <w:b/>
          <w:bCs/>
          <w:lang w:val="en-GB"/>
        </w:rPr>
        <w:t>The Order</w:t>
      </w:r>
    </w:p>
    <w:p w14:paraId="2477111A" w14:textId="77777777" w:rsidR="00446D82" w:rsidRPr="00446D82" w:rsidRDefault="00446D82" w:rsidP="000904A2">
      <w:pPr>
        <w:autoSpaceDE w:val="0"/>
        <w:autoSpaceDN w:val="0"/>
        <w:adjustRightInd w:val="0"/>
        <w:jc w:val="both"/>
        <w:rPr>
          <w:b/>
          <w:bCs/>
          <w:lang w:val="en-GB"/>
        </w:rPr>
      </w:pPr>
    </w:p>
    <w:p w14:paraId="233FCAC4" w14:textId="689DD7A8" w:rsidR="000904A2" w:rsidRPr="006D6D14" w:rsidRDefault="006D6D14" w:rsidP="006D6D14">
      <w:pPr>
        <w:autoSpaceDE w:val="0"/>
        <w:autoSpaceDN w:val="0"/>
        <w:adjustRightInd w:val="0"/>
        <w:jc w:val="both"/>
        <w:rPr>
          <w:lang w:val="en-GB"/>
        </w:rPr>
      </w:pPr>
      <w:r>
        <w:rPr>
          <w:lang w:val="en-GB"/>
        </w:rPr>
        <w:t>[1]</w:t>
      </w:r>
      <w:r>
        <w:rPr>
          <w:lang w:val="en-GB"/>
        </w:rPr>
        <w:tab/>
      </w:r>
      <w:r w:rsidR="000904A2" w:rsidRPr="006D6D14">
        <w:rPr>
          <w:lang w:val="en-GB"/>
        </w:rPr>
        <w:t>This matter was argued on 26 January 2024. The following order was granted on 30 January 2024:</w:t>
      </w:r>
    </w:p>
    <w:p w14:paraId="61529665" w14:textId="1E1955F0" w:rsidR="000904A2" w:rsidRDefault="000904A2" w:rsidP="000904A2">
      <w:pPr>
        <w:pStyle w:val="ListParagraph"/>
        <w:autoSpaceDE w:val="0"/>
        <w:autoSpaceDN w:val="0"/>
        <w:adjustRightInd w:val="0"/>
        <w:ind w:left="0"/>
        <w:jc w:val="both"/>
        <w:rPr>
          <w:lang w:val="en-GB"/>
        </w:rPr>
      </w:pPr>
    </w:p>
    <w:p w14:paraId="7A357691" w14:textId="0170D089" w:rsidR="000904A2" w:rsidRPr="006D6D14" w:rsidRDefault="006D6D14" w:rsidP="006D6D14">
      <w:pPr>
        <w:autoSpaceDE w:val="0"/>
        <w:autoSpaceDN w:val="0"/>
        <w:adjustRightInd w:val="0"/>
        <w:ind w:left="720" w:hanging="360"/>
        <w:jc w:val="both"/>
        <w:rPr>
          <w:lang w:val="en-GB"/>
        </w:rPr>
      </w:pPr>
      <w:r>
        <w:rPr>
          <w:lang w:val="en-GB"/>
        </w:rPr>
        <w:lastRenderedPageBreak/>
        <w:t>1.</w:t>
      </w:r>
      <w:r>
        <w:rPr>
          <w:lang w:val="en-GB"/>
        </w:rPr>
        <w:tab/>
      </w:r>
      <w:r w:rsidR="000904A2" w:rsidRPr="006D6D14">
        <w:rPr>
          <w:lang w:val="en-GB"/>
        </w:rPr>
        <w:t>‘The court dispenses with the forms and service provided for in the Uniform Rules of Court.</w:t>
      </w:r>
    </w:p>
    <w:p w14:paraId="70129581" w14:textId="77777777" w:rsidR="000904A2" w:rsidRDefault="000904A2" w:rsidP="000904A2">
      <w:pPr>
        <w:pStyle w:val="ListParagraph"/>
        <w:autoSpaceDE w:val="0"/>
        <w:autoSpaceDN w:val="0"/>
        <w:adjustRightInd w:val="0"/>
        <w:jc w:val="both"/>
        <w:rPr>
          <w:lang w:val="en-GB"/>
        </w:rPr>
      </w:pPr>
    </w:p>
    <w:p w14:paraId="13FE6762" w14:textId="05DDCEB4" w:rsidR="000904A2" w:rsidRPr="006D6D14" w:rsidRDefault="006D6D14" w:rsidP="006D6D14">
      <w:pPr>
        <w:autoSpaceDE w:val="0"/>
        <w:autoSpaceDN w:val="0"/>
        <w:adjustRightInd w:val="0"/>
        <w:ind w:left="720" w:hanging="360"/>
        <w:jc w:val="both"/>
        <w:rPr>
          <w:lang w:val="en-GB"/>
        </w:rPr>
      </w:pPr>
      <w:r>
        <w:rPr>
          <w:lang w:val="en-GB"/>
        </w:rPr>
        <w:t>2.</w:t>
      </w:r>
      <w:r>
        <w:rPr>
          <w:lang w:val="en-GB"/>
        </w:rPr>
        <w:tab/>
      </w:r>
      <w:r w:rsidR="000904A2" w:rsidRPr="006D6D14">
        <w:rPr>
          <w:lang w:val="en-GB"/>
        </w:rPr>
        <w:t>The respondent is interdicted and restrained from proceeding with the tenders:</w:t>
      </w:r>
    </w:p>
    <w:p w14:paraId="21D0D546" w14:textId="77777777" w:rsidR="000904A2" w:rsidRPr="00E81F52" w:rsidRDefault="000904A2" w:rsidP="000904A2">
      <w:pPr>
        <w:pStyle w:val="ListParagraph"/>
        <w:rPr>
          <w:lang w:val="en-GB"/>
        </w:rPr>
      </w:pPr>
    </w:p>
    <w:p w14:paraId="63929A85" w14:textId="34E644F0" w:rsidR="000904A2" w:rsidRPr="006D6D14" w:rsidRDefault="006D6D14" w:rsidP="006D6D14">
      <w:pPr>
        <w:autoSpaceDE w:val="0"/>
        <w:autoSpaceDN w:val="0"/>
        <w:adjustRightInd w:val="0"/>
        <w:ind w:left="1440" w:hanging="720"/>
        <w:jc w:val="both"/>
        <w:rPr>
          <w:lang w:val="en-GB"/>
        </w:rPr>
      </w:pPr>
      <w:r>
        <w:rPr>
          <w:lang w:val="en-GB"/>
        </w:rPr>
        <w:t>2.1</w:t>
      </w:r>
      <w:r>
        <w:rPr>
          <w:lang w:val="en-GB"/>
        </w:rPr>
        <w:tab/>
      </w:r>
      <w:r w:rsidR="000904A2" w:rsidRPr="006D6D14">
        <w:rPr>
          <w:lang w:val="en-GB"/>
        </w:rPr>
        <w:t xml:space="preserve">PET28/2023: Fort Glamorgan and </w:t>
      </w:r>
      <w:proofErr w:type="spellStart"/>
      <w:r w:rsidR="000904A2" w:rsidRPr="006D6D14">
        <w:rPr>
          <w:lang w:val="en-GB"/>
        </w:rPr>
        <w:t>Mdantsane</w:t>
      </w:r>
      <w:proofErr w:type="spellEnd"/>
      <w:r w:rsidR="000904A2" w:rsidRPr="006D6D14">
        <w:rPr>
          <w:lang w:val="en-GB"/>
        </w:rPr>
        <w:t xml:space="preserve"> Prison: 36 </w:t>
      </w:r>
      <w:proofErr w:type="gramStart"/>
      <w:r w:rsidR="000904A2" w:rsidRPr="006D6D14">
        <w:rPr>
          <w:lang w:val="en-GB"/>
        </w:rPr>
        <w:t>months</w:t>
      </w:r>
      <w:proofErr w:type="gramEnd"/>
      <w:r w:rsidR="000904A2" w:rsidRPr="006D6D14">
        <w:rPr>
          <w:lang w:val="en-GB"/>
        </w:rPr>
        <w:t xml:space="preserve"> term contract for boiler maintenance, repairs and services (‘PET28/2023’) and</w:t>
      </w:r>
    </w:p>
    <w:p w14:paraId="0A3ED416" w14:textId="2D3DFD0E" w:rsidR="000904A2" w:rsidRPr="006D6D14" w:rsidRDefault="006D6D14" w:rsidP="006D6D14">
      <w:pPr>
        <w:autoSpaceDE w:val="0"/>
        <w:autoSpaceDN w:val="0"/>
        <w:adjustRightInd w:val="0"/>
        <w:ind w:left="1440" w:hanging="720"/>
        <w:jc w:val="both"/>
        <w:rPr>
          <w:lang w:val="en-GB"/>
        </w:rPr>
      </w:pPr>
      <w:r>
        <w:rPr>
          <w:lang w:val="en-GB"/>
        </w:rPr>
        <w:t>2.2</w:t>
      </w:r>
      <w:r>
        <w:rPr>
          <w:lang w:val="en-GB"/>
        </w:rPr>
        <w:tab/>
      </w:r>
      <w:r w:rsidR="000904A2" w:rsidRPr="006D6D14">
        <w:rPr>
          <w:lang w:val="en-GB"/>
        </w:rPr>
        <w:t xml:space="preserve">PET29/2023: St Albans and Kirkwood Prison: 36 </w:t>
      </w:r>
      <w:proofErr w:type="gramStart"/>
      <w:r w:rsidR="000904A2" w:rsidRPr="006D6D14">
        <w:rPr>
          <w:lang w:val="en-GB"/>
        </w:rPr>
        <w:t>months</w:t>
      </w:r>
      <w:proofErr w:type="gramEnd"/>
      <w:r w:rsidR="000904A2" w:rsidRPr="006D6D14">
        <w:rPr>
          <w:lang w:val="en-GB"/>
        </w:rPr>
        <w:t xml:space="preserve"> term contract for boiler maintenance, repairs and services (‘PET29/2023’)</w:t>
      </w:r>
    </w:p>
    <w:p w14:paraId="275AF575" w14:textId="77777777" w:rsidR="000904A2" w:rsidRDefault="000904A2" w:rsidP="000904A2">
      <w:pPr>
        <w:autoSpaceDE w:val="0"/>
        <w:autoSpaceDN w:val="0"/>
        <w:adjustRightInd w:val="0"/>
        <w:ind w:left="720"/>
        <w:jc w:val="both"/>
        <w:rPr>
          <w:lang w:val="en-GB"/>
        </w:rPr>
      </w:pPr>
    </w:p>
    <w:p w14:paraId="67875C73" w14:textId="77777777" w:rsidR="000904A2" w:rsidRPr="00E81F52" w:rsidRDefault="000904A2" w:rsidP="000904A2">
      <w:pPr>
        <w:autoSpaceDE w:val="0"/>
        <w:autoSpaceDN w:val="0"/>
        <w:adjustRightInd w:val="0"/>
        <w:ind w:left="720"/>
        <w:jc w:val="both"/>
        <w:rPr>
          <w:lang w:val="en-GB"/>
        </w:rPr>
      </w:pPr>
      <w:r>
        <w:rPr>
          <w:lang w:val="en-GB"/>
        </w:rPr>
        <w:t>pending the finalisation of the proceedings currently pending between the parties in this court under case numbers 4175/2022 and 4176/2022 (currently the subject of applications for leave to appeal the dismissal) and the review proceedings in Part B, whichever concludes last, alternatively where any are finally concluded in the applicant’s favour.</w:t>
      </w:r>
    </w:p>
    <w:p w14:paraId="4EF2848A" w14:textId="77777777" w:rsidR="000904A2" w:rsidRPr="00E81F52" w:rsidRDefault="000904A2" w:rsidP="000904A2">
      <w:pPr>
        <w:pStyle w:val="ListParagraph"/>
        <w:rPr>
          <w:lang w:val="en-GB"/>
        </w:rPr>
      </w:pPr>
    </w:p>
    <w:p w14:paraId="48D37707" w14:textId="2F92D10D" w:rsidR="000904A2" w:rsidRPr="006D6D14" w:rsidRDefault="006D6D14" w:rsidP="006D6D14">
      <w:pPr>
        <w:autoSpaceDE w:val="0"/>
        <w:autoSpaceDN w:val="0"/>
        <w:adjustRightInd w:val="0"/>
        <w:ind w:left="720" w:hanging="360"/>
        <w:jc w:val="both"/>
        <w:rPr>
          <w:lang w:val="en-GB"/>
        </w:rPr>
      </w:pPr>
      <w:r>
        <w:rPr>
          <w:lang w:val="en-GB"/>
        </w:rPr>
        <w:t>3.</w:t>
      </w:r>
      <w:r>
        <w:rPr>
          <w:lang w:val="en-GB"/>
        </w:rPr>
        <w:tab/>
      </w:r>
      <w:r w:rsidR="000904A2" w:rsidRPr="006D6D14">
        <w:rPr>
          <w:lang w:val="en-GB"/>
        </w:rPr>
        <w:t>The respondent is directed to extend the closing date of tenders PET28/2023 and PET29/2023 indefinitely subject to paragraph 2, above.</w:t>
      </w:r>
    </w:p>
    <w:p w14:paraId="738A19A9" w14:textId="77777777" w:rsidR="000904A2" w:rsidRDefault="000904A2" w:rsidP="000904A2">
      <w:pPr>
        <w:pStyle w:val="ListParagraph"/>
        <w:autoSpaceDE w:val="0"/>
        <w:autoSpaceDN w:val="0"/>
        <w:adjustRightInd w:val="0"/>
        <w:jc w:val="both"/>
        <w:rPr>
          <w:lang w:val="en-GB"/>
        </w:rPr>
      </w:pPr>
    </w:p>
    <w:p w14:paraId="14076B99" w14:textId="2660A324" w:rsidR="000904A2" w:rsidRPr="006D6D14" w:rsidRDefault="006D6D14" w:rsidP="006D6D14">
      <w:pPr>
        <w:autoSpaceDE w:val="0"/>
        <w:autoSpaceDN w:val="0"/>
        <w:adjustRightInd w:val="0"/>
        <w:ind w:left="720" w:hanging="360"/>
        <w:jc w:val="both"/>
        <w:rPr>
          <w:lang w:val="en-GB"/>
        </w:rPr>
      </w:pPr>
      <w:r>
        <w:rPr>
          <w:lang w:val="en-GB"/>
        </w:rPr>
        <w:t>4.</w:t>
      </w:r>
      <w:r>
        <w:rPr>
          <w:lang w:val="en-GB"/>
        </w:rPr>
        <w:tab/>
      </w:r>
      <w:r w:rsidR="000904A2" w:rsidRPr="006D6D14">
        <w:rPr>
          <w:lang w:val="en-GB"/>
        </w:rPr>
        <w:t>The costs of this application are reserved for determination as part of the determination of the application under Part B.</w:t>
      </w:r>
    </w:p>
    <w:p w14:paraId="7D2E460E" w14:textId="77777777" w:rsidR="000904A2" w:rsidRPr="000904A2" w:rsidRDefault="000904A2" w:rsidP="000904A2">
      <w:pPr>
        <w:pStyle w:val="ListParagraph"/>
        <w:rPr>
          <w:lang w:val="en-GB"/>
        </w:rPr>
      </w:pPr>
    </w:p>
    <w:p w14:paraId="4D02A9B6" w14:textId="08F27588" w:rsidR="000904A2" w:rsidRPr="006D6D14" w:rsidRDefault="006D6D14" w:rsidP="006D6D14">
      <w:pPr>
        <w:autoSpaceDE w:val="0"/>
        <w:autoSpaceDN w:val="0"/>
        <w:adjustRightInd w:val="0"/>
        <w:ind w:left="720" w:hanging="360"/>
        <w:jc w:val="both"/>
        <w:rPr>
          <w:lang w:val="en-GB"/>
        </w:rPr>
      </w:pPr>
      <w:r w:rsidRPr="000904A2">
        <w:rPr>
          <w:lang w:val="en-GB"/>
        </w:rPr>
        <w:t>5.</w:t>
      </w:r>
      <w:r w:rsidRPr="000904A2">
        <w:rPr>
          <w:lang w:val="en-GB"/>
        </w:rPr>
        <w:tab/>
      </w:r>
      <w:r w:rsidR="000904A2">
        <w:t>The reasons for this order will be furnished upon application by either party in terms of Uniform Rule 49(1)(</w:t>
      </w:r>
      <w:r w:rsidR="000904A2" w:rsidRPr="006D6D14">
        <w:rPr>
          <w:i/>
          <w:iCs/>
        </w:rPr>
        <w:t>c</w:t>
      </w:r>
      <w:r w:rsidR="000904A2">
        <w:t>).’</w:t>
      </w:r>
    </w:p>
    <w:p w14:paraId="4D1A72B6" w14:textId="06D7C9AC" w:rsidR="000904A2" w:rsidRDefault="000904A2" w:rsidP="000904A2">
      <w:pPr>
        <w:autoSpaceDE w:val="0"/>
        <w:autoSpaceDN w:val="0"/>
        <w:adjustRightInd w:val="0"/>
        <w:jc w:val="both"/>
        <w:rPr>
          <w:lang w:val="en-GB"/>
        </w:rPr>
      </w:pPr>
    </w:p>
    <w:p w14:paraId="1F6090F2" w14:textId="72F4B4F0" w:rsidR="00446D82" w:rsidRDefault="00446D82" w:rsidP="000904A2">
      <w:pPr>
        <w:autoSpaceDE w:val="0"/>
        <w:autoSpaceDN w:val="0"/>
        <w:adjustRightInd w:val="0"/>
        <w:jc w:val="both"/>
        <w:rPr>
          <w:b/>
          <w:bCs/>
          <w:lang w:val="en-GB"/>
        </w:rPr>
      </w:pPr>
      <w:r>
        <w:rPr>
          <w:b/>
          <w:bCs/>
          <w:lang w:val="en-GB"/>
        </w:rPr>
        <w:t>Background</w:t>
      </w:r>
    </w:p>
    <w:p w14:paraId="30CE51E0" w14:textId="77777777" w:rsidR="00446D82" w:rsidRPr="00446D82" w:rsidRDefault="00446D82" w:rsidP="000904A2">
      <w:pPr>
        <w:autoSpaceDE w:val="0"/>
        <w:autoSpaceDN w:val="0"/>
        <w:adjustRightInd w:val="0"/>
        <w:jc w:val="both"/>
        <w:rPr>
          <w:b/>
          <w:bCs/>
          <w:lang w:val="en-GB"/>
        </w:rPr>
      </w:pPr>
    </w:p>
    <w:p w14:paraId="2864190E" w14:textId="1BF19765" w:rsidR="00343B83" w:rsidRPr="006D6D14" w:rsidRDefault="006D6D14" w:rsidP="006D6D14">
      <w:pPr>
        <w:autoSpaceDE w:val="0"/>
        <w:autoSpaceDN w:val="0"/>
        <w:adjustRightInd w:val="0"/>
        <w:jc w:val="both"/>
        <w:rPr>
          <w:lang w:val="en-GB"/>
        </w:rPr>
      </w:pPr>
      <w:r>
        <w:rPr>
          <w:lang w:val="en-GB"/>
        </w:rPr>
        <w:t>[2]</w:t>
      </w:r>
      <w:r>
        <w:rPr>
          <w:lang w:val="en-GB"/>
        </w:rPr>
        <w:tab/>
      </w:r>
      <w:r w:rsidR="006832EA" w:rsidRPr="006D6D14">
        <w:rPr>
          <w:lang w:val="en-GB"/>
        </w:rPr>
        <w:t>The reasons for the order follow. The dispute relates to tenders</w:t>
      </w:r>
      <w:r w:rsidR="00304C45" w:rsidRPr="006D6D14">
        <w:rPr>
          <w:lang w:val="en-GB"/>
        </w:rPr>
        <w:t xml:space="preserve"> for boiler maintenance, services and repairs at four prisons (namely, St Albans, Kirkwood, Fort Glamorgan and </w:t>
      </w:r>
      <w:proofErr w:type="spellStart"/>
      <w:r w:rsidR="00304C45" w:rsidRPr="006D6D14">
        <w:rPr>
          <w:lang w:val="en-GB"/>
        </w:rPr>
        <w:t>Mdantsane</w:t>
      </w:r>
      <w:proofErr w:type="spellEnd"/>
      <w:r w:rsidR="00304C45" w:rsidRPr="006D6D14">
        <w:rPr>
          <w:lang w:val="en-GB"/>
        </w:rPr>
        <w:t>)</w:t>
      </w:r>
      <w:r w:rsidR="006832EA" w:rsidRPr="006D6D14">
        <w:rPr>
          <w:lang w:val="en-GB"/>
        </w:rPr>
        <w:t xml:space="preserve">. Prior tenders for the services were awarded to the applicant by the Department of Public Works and Infrastructure (‘the Department’) but expired by effluxion of time. The </w:t>
      </w:r>
      <w:r w:rsidR="00D21766" w:rsidRPr="006D6D14">
        <w:rPr>
          <w:lang w:val="en-GB"/>
        </w:rPr>
        <w:t>D</w:t>
      </w:r>
      <w:r w:rsidR="006832EA" w:rsidRPr="006D6D14">
        <w:rPr>
          <w:lang w:val="en-GB"/>
        </w:rPr>
        <w:t xml:space="preserve">epartment advertised tenders for the services </w:t>
      </w:r>
      <w:r w:rsidR="00D21766" w:rsidRPr="006D6D14">
        <w:rPr>
          <w:lang w:val="en-GB"/>
        </w:rPr>
        <w:t xml:space="preserve">during 2021 </w:t>
      </w:r>
      <w:r w:rsidR="006832EA" w:rsidRPr="006D6D14">
        <w:rPr>
          <w:lang w:val="en-GB"/>
        </w:rPr>
        <w:t>(‘PET10/2021’ and ‘PET11/2021’)</w:t>
      </w:r>
      <w:r w:rsidR="00117AEE" w:rsidRPr="006D6D14">
        <w:rPr>
          <w:lang w:val="en-GB"/>
        </w:rPr>
        <w:t xml:space="preserve"> (‘the old tenders’)</w:t>
      </w:r>
      <w:r w:rsidR="006832EA" w:rsidRPr="006D6D14">
        <w:rPr>
          <w:lang w:val="en-GB"/>
        </w:rPr>
        <w:t xml:space="preserve">. </w:t>
      </w:r>
      <w:r w:rsidR="00D21766" w:rsidRPr="006D6D14">
        <w:rPr>
          <w:lang w:val="en-GB"/>
        </w:rPr>
        <w:t xml:space="preserve">All bids, including that of the applicant, were declared non-responsive and the Department sought to cancel the </w:t>
      </w:r>
      <w:r w:rsidR="00D21766" w:rsidRPr="006D6D14">
        <w:rPr>
          <w:lang w:val="en-GB"/>
        </w:rPr>
        <w:lastRenderedPageBreak/>
        <w:t xml:space="preserve">tenders. The applicant’s application to review these decisions </w:t>
      </w:r>
      <w:r w:rsidR="00F82811" w:rsidRPr="006D6D14">
        <w:rPr>
          <w:lang w:val="en-GB"/>
        </w:rPr>
        <w:t xml:space="preserve">(‘the first review’) </w:t>
      </w:r>
      <w:r w:rsidR="00D21766" w:rsidRPr="006D6D14">
        <w:rPr>
          <w:lang w:val="en-GB"/>
        </w:rPr>
        <w:t xml:space="preserve">was dismissed </w:t>
      </w:r>
      <w:r w:rsidR="006F0EA2" w:rsidRPr="006D6D14">
        <w:rPr>
          <w:lang w:val="en-GB"/>
        </w:rPr>
        <w:t xml:space="preserve">with costs </w:t>
      </w:r>
      <w:r w:rsidR="00D21766" w:rsidRPr="006D6D14">
        <w:rPr>
          <w:lang w:val="en-GB"/>
        </w:rPr>
        <w:t xml:space="preserve">by </w:t>
      </w:r>
      <w:proofErr w:type="spellStart"/>
      <w:r w:rsidR="00D21766" w:rsidRPr="006D6D14">
        <w:rPr>
          <w:lang w:val="en-GB"/>
        </w:rPr>
        <w:t>Mtshabe</w:t>
      </w:r>
      <w:proofErr w:type="spellEnd"/>
      <w:r w:rsidR="00D21766" w:rsidRPr="006D6D14">
        <w:rPr>
          <w:lang w:val="en-GB"/>
        </w:rPr>
        <w:t xml:space="preserve"> AJ on 17 October 2023. </w:t>
      </w:r>
      <w:r w:rsidR="00343B83" w:rsidRPr="006D6D14">
        <w:rPr>
          <w:lang w:val="en-GB"/>
        </w:rPr>
        <w:t xml:space="preserve">An application for leave to appeal against </w:t>
      </w:r>
      <w:r w:rsidR="00745C94" w:rsidRPr="006D6D14">
        <w:rPr>
          <w:lang w:val="en-GB"/>
        </w:rPr>
        <w:t>that decision</w:t>
      </w:r>
      <w:r w:rsidR="00343B83" w:rsidRPr="006D6D14">
        <w:rPr>
          <w:lang w:val="en-GB"/>
        </w:rPr>
        <w:t xml:space="preserve"> was filed and is pending. </w:t>
      </w:r>
    </w:p>
    <w:p w14:paraId="233C79A6" w14:textId="77777777" w:rsidR="00D657F2" w:rsidRDefault="00D657F2" w:rsidP="00D657F2">
      <w:pPr>
        <w:pStyle w:val="ListParagraph"/>
        <w:autoSpaceDE w:val="0"/>
        <w:autoSpaceDN w:val="0"/>
        <w:adjustRightInd w:val="0"/>
        <w:ind w:left="0"/>
        <w:jc w:val="both"/>
        <w:rPr>
          <w:lang w:val="en-GB"/>
        </w:rPr>
      </w:pPr>
    </w:p>
    <w:p w14:paraId="02AA6DCA" w14:textId="7BBC8E95" w:rsidR="00343B83" w:rsidRPr="006D6D14" w:rsidRDefault="006D6D14" w:rsidP="006D6D14">
      <w:pPr>
        <w:autoSpaceDE w:val="0"/>
        <w:autoSpaceDN w:val="0"/>
        <w:adjustRightInd w:val="0"/>
        <w:jc w:val="both"/>
        <w:rPr>
          <w:lang w:val="en-GB"/>
        </w:rPr>
      </w:pPr>
      <w:r>
        <w:rPr>
          <w:lang w:val="en-GB"/>
        </w:rPr>
        <w:t>[3]</w:t>
      </w:r>
      <w:r>
        <w:rPr>
          <w:lang w:val="en-GB"/>
        </w:rPr>
        <w:tab/>
      </w:r>
      <w:r w:rsidR="00343B83" w:rsidRPr="006D6D14">
        <w:rPr>
          <w:lang w:val="en-GB"/>
        </w:rPr>
        <w:t xml:space="preserve">Soon after that application was filed, the Department </w:t>
      </w:r>
      <w:r w:rsidR="00D657F2" w:rsidRPr="006D6D14">
        <w:rPr>
          <w:lang w:val="en-GB"/>
        </w:rPr>
        <w:t xml:space="preserve">advertised two new tenders for the same work (‘PET28/2023’ and ‘PET29/2023’) (‘the new tenders’). </w:t>
      </w:r>
      <w:r w:rsidR="00F82811" w:rsidRPr="006D6D14">
        <w:rPr>
          <w:lang w:val="en-GB"/>
        </w:rPr>
        <w:t xml:space="preserve">The main difference is that the Department seeks to implement a new scoring policy, seemingly adopted during July 2023. </w:t>
      </w:r>
      <w:r w:rsidR="009E6554" w:rsidRPr="006D6D14">
        <w:rPr>
          <w:lang w:val="en-GB"/>
        </w:rPr>
        <w:t>Part B of the present application is a review to set aside the new scoring policy and its implementation in the new tenders.</w:t>
      </w:r>
    </w:p>
    <w:p w14:paraId="5F427EC0" w14:textId="77777777" w:rsidR="00343B83" w:rsidRPr="00343B83" w:rsidRDefault="00343B83" w:rsidP="00343B83">
      <w:pPr>
        <w:pStyle w:val="ListParagraph"/>
        <w:rPr>
          <w:lang w:val="en-GB"/>
        </w:rPr>
      </w:pPr>
    </w:p>
    <w:p w14:paraId="0B780F70" w14:textId="241AA080" w:rsidR="006832EA" w:rsidRPr="006D6D14" w:rsidRDefault="006D6D14" w:rsidP="006D6D14">
      <w:pPr>
        <w:autoSpaceDE w:val="0"/>
        <w:autoSpaceDN w:val="0"/>
        <w:adjustRightInd w:val="0"/>
        <w:jc w:val="both"/>
        <w:rPr>
          <w:lang w:val="en-GB"/>
        </w:rPr>
      </w:pPr>
      <w:r>
        <w:rPr>
          <w:lang w:val="en-GB"/>
        </w:rPr>
        <w:t>[4]</w:t>
      </w:r>
      <w:r>
        <w:rPr>
          <w:lang w:val="en-GB"/>
        </w:rPr>
        <w:tab/>
      </w:r>
      <w:r w:rsidR="00F82811" w:rsidRPr="006D6D14">
        <w:rPr>
          <w:lang w:val="en-GB"/>
        </w:rPr>
        <w:t xml:space="preserve">The applicant seeks to interdict the respondent from proceeding with the new tenders pending </w:t>
      </w:r>
      <w:r w:rsidR="00FA5A2F" w:rsidRPr="006D6D14">
        <w:rPr>
          <w:lang w:val="en-GB"/>
        </w:rPr>
        <w:t xml:space="preserve">both </w:t>
      </w:r>
      <w:r w:rsidR="00F82811" w:rsidRPr="006D6D14">
        <w:rPr>
          <w:lang w:val="en-GB"/>
        </w:rPr>
        <w:t xml:space="preserve">the finalisation of </w:t>
      </w:r>
      <w:r w:rsidR="00405B2D" w:rsidRPr="006D6D14">
        <w:rPr>
          <w:lang w:val="en-GB"/>
        </w:rPr>
        <w:t xml:space="preserve">the </w:t>
      </w:r>
      <w:r w:rsidR="00F82811" w:rsidRPr="006D6D14">
        <w:rPr>
          <w:lang w:val="en-GB"/>
        </w:rPr>
        <w:t>legal proceedings pertaining to the first review</w:t>
      </w:r>
      <w:r w:rsidR="00FA5A2F" w:rsidRPr="006D6D14">
        <w:rPr>
          <w:lang w:val="en-GB"/>
        </w:rPr>
        <w:t xml:space="preserve"> and the Part B review proceedings, and to extend the closing dates of the new tenders accordingly.</w:t>
      </w:r>
      <w:r w:rsidR="00AC5BBA" w:rsidRPr="006D6D14">
        <w:rPr>
          <w:lang w:val="en-GB"/>
        </w:rPr>
        <w:t xml:space="preserve"> It </w:t>
      </w:r>
      <w:r w:rsidR="001B4A72" w:rsidRPr="006D6D14">
        <w:rPr>
          <w:lang w:val="en-GB"/>
        </w:rPr>
        <w:t xml:space="preserve">presently provides the services sought to be procured by the </w:t>
      </w:r>
      <w:r w:rsidR="00527DB8" w:rsidRPr="006D6D14">
        <w:rPr>
          <w:lang w:val="en-GB"/>
        </w:rPr>
        <w:t>D</w:t>
      </w:r>
      <w:r w:rsidR="001B4A72" w:rsidRPr="006D6D14">
        <w:rPr>
          <w:lang w:val="en-GB"/>
        </w:rPr>
        <w:t>epartment</w:t>
      </w:r>
      <w:r w:rsidR="00AC5BBA" w:rsidRPr="006D6D14">
        <w:rPr>
          <w:lang w:val="en-GB"/>
        </w:rPr>
        <w:t>, in terms of temporary appointments</w:t>
      </w:r>
      <w:r w:rsidR="00EB5C9F" w:rsidRPr="006D6D14">
        <w:rPr>
          <w:lang w:val="en-GB"/>
        </w:rPr>
        <w:t xml:space="preserve"> on a deviation basis</w:t>
      </w:r>
      <w:r w:rsidR="00AC5BBA" w:rsidRPr="006D6D14">
        <w:rPr>
          <w:lang w:val="en-GB"/>
        </w:rPr>
        <w:t>.</w:t>
      </w:r>
    </w:p>
    <w:p w14:paraId="5B966266" w14:textId="2AC2EBB1" w:rsidR="006F0EA2" w:rsidRDefault="006F0EA2" w:rsidP="00446D82">
      <w:pPr>
        <w:rPr>
          <w:lang w:val="en-GB"/>
        </w:rPr>
      </w:pPr>
    </w:p>
    <w:p w14:paraId="12D8BE52" w14:textId="51A1F0D9" w:rsidR="00446D82" w:rsidRDefault="00446D82" w:rsidP="00446D82">
      <w:pPr>
        <w:rPr>
          <w:b/>
          <w:bCs/>
          <w:lang w:val="en-GB"/>
        </w:rPr>
      </w:pPr>
      <w:r>
        <w:rPr>
          <w:b/>
          <w:bCs/>
          <w:lang w:val="en-GB"/>
        </w:rPr>
        <w:t>The Department’s submissions</w:t>
      </w:r>
    </w:p>
    <w:p w14:paraId="4CA19BB5" w14:textId="77777777" w:rsidR="00446D82" w:rsidRPr="00446D82" w:rsidRDefault="00446D82" w:rsidP="00446D82">
      <w:pPr>
        <w:rPr>
          <w:b/>
          <w:bCs/>
          <w:lang w:val="en-GB"/>
        </w:rPr>
      </w:pPr>
    </w:p>
    <w:p w14:paraId="0F3411AA" w14:textId="05910E7F" w:rsidR="006F0EA2" w:rsidRPr="006D6D14" w:rsidRDefault="006D6D14" w:rsidP="006D6D14">
      <w:pPr>
        <w:autoSpaceDE w:val="0"/>
        <w:autoSpaceDN w:val="0"/>
        <w:adjustRightInd w:val="0"/>
        <w:jc w:val="both"/>
        <w:rPr>
          <w:lang w:val="en-GB"/>
        </w:rPr>
      </w:pPr>
      <w:r>
        <w:rPr>
          <w:lang w:val="en-GB"/>
        </w:rPr>
        <w:t>[5]</w:t>
      </w:r>
      <w:r>
        <w:rPr>
          <w:lang w:val="en-GB"/>
        </w:rPr>
        <w:tab/>
      </w:r>
      <w:r w:rsidR="006F0EA2" w:rsidRPr="006D6D14">
        <w:rPr>
          <w:lang w:val="en-GB"/>
        </w:rPr>
        <w:t xml:space="preserve">The Department </w:t>
      </w:r>
      <w:r w:rsidR="00110063" w:rsidRPr="006D6D14">
        <w:rPr>
          <w:lang w:val="en-GB"/>
        </w:rPr>
        <w:t>notes</w:t>
      </w:r>
      <w:r w:rsidR="006F0EA2" w:rsidRPr="006D6D14">
        <w:rPr>
          <w:lang w:val="en-GB"/>
        </w:rPr>
        <w:t xml:space="preserve"> </w:t>
      </w:r>
      <w:r w:rsidR="0052574F" w:rsidRPr="006D6D14">
        <w:rPr>
          <w:lang w:val="en-GB"/>
        </w:rPr>
        <w:t xml:space="preserve">that the applicant has been undertaking the necessary and essential repair and maintenance work in question since the latter half of 2022. This, according to the Department, is inherently problematic, uncompetitive and inconsistent with s 217 of the Constitution of the Republic of South Africa (‘the Constitution’). </w:t>
      </w:r>
      <w:r w:rsidR="00110063" w:rsidRPr="006D6D14">
        <w:rPr>
          <w:lang w:val="en-GB"/>
        </w:rPr>
        <w:t>It argues that the effect of granting the interim interdict will be to extend the deviation period by a further undefined period to the sole benefit of the applicant.</w:t>
      </w:r>
      <w:r w:rsidR="00864350" w:rsidRPr="006D6D14">
        <w:rPr>
          <w:lang w:val="en-GB"/>
        </w:rPr>
        <w:t xml:space="preserve"> In addition, the Department submits that the requirements for an interim interdict have not been met on either basis advanced.</w:t>
      </w:r>
      <w:r w:rsidR="00E82034" w:rsidRPr="006D6D14">
        <w:rPr>
          <w:lang w:val="en-GB"/>
        </w:rPr>
        <w:t xml:space="preserve"> In particular, the quest to stall the new tenders pending the ‘finalisation’ of the first review proceedings is challenged on the basis of an absence of a prima facie right. The new tenders, and new scoring policy, are justified as consonant with new preferential procurement regulations and the decision of the Constitutional Court in </w:t>
      </w:r>
      <w:r w:rsidR="00E65AFA" w:rsidRPr="006D6D14">
        <w:rPr>
          <w:i/>
          <w:iCs/>
          <w:lang w:val="en-GB"/>
        </w:rPr>
        <w:t xml:space="preserve">Minister of Finance v </w:t>
      </w:r>
      <w:proofErr w:type="spellStart"/>
      <w:r w:rsidR="00E65AFA" w:rsidRPr="006D6D14">
        <w:rPr>
          <w:i/>
          <w:iCs/>
          <w:lang w:val="en-GB"/>
        </w:rPr>
        <w:t>Afribusiness</w:t>
      </w:r>
      <w:proofErr w:type="spellEnd"/>
      <w:r w:rsidR="00E65AFA" w:rsidRPr="006D6D14">
        <w:rPr>
          <w:lang w:val="en-GB"/>
        </w:rPr>
        <w:t>.</w:t>
      </w:r>
      <w:r w:rsidR="00E65AFA">
        <w:rPr>
          <w:rStyle w:val="FootnoteReference"/>
          <w:lang w:val="en-GB"/>
        </w:rPr>
        <w:footnoteReference w:id="1"/>
      </w:r>
      <w:r w:rsidR="00E65AFA" w:rsidRPr="006D6D14">
        <w:rPr>
          <w:lang w:val="en-GB"/>
        </w:rPr>
        <w:t xml:space="preserve"> The suggestion that consultation or a public participation process was required is criticised as erroneous</w:t>
      </w:r>
      <w:r w:rsidR="006B6D27" w:rsidRPr="006D6D14">
        <w:rPr>
          <w:lang w:val="en-GB"/>
        </w:rPr>
        <w:t>, inapplicable and impractical.</w:t>
      </w:r>
    </w:p>
    <w:p w14:paraId="392AF099" w14:textId="77777777" w:rsidR="00CF4C36" w:rsidRDefault="00CF4C36" w:rsidP="00CF4C36">
      <w:pPr>
        <w:pStyle w:val="ListParagraph"/>
        <w:autoSpaceDE w:val="0"/>
        <w:autoSpaceDN w:val="0"/>
        <w:adjustRightInd w:val="0"/>
        <w:ind w:left="0"/>
        <w:jc w:val="both"/>
        <w:rPr>
          <w:lang w:val="en-GB"/>
        </w:rPr>
      </w:pPr>
    </w:p>
    <w:p w14:paraId="0119F18B" w14:textId="77777777" w:rsidR="00D17A06" w:rsidRDefault="00D17A06" w:rsidP="00D17A06">
      <w:pPr>
        <w:rPr>
          <w:b/>
          <w:bCs/>
          <w:lang w:val="en-GB"/>
        </w:rPr>
      </w:pPr>
      <w:r>
        <w:rPr>
          <w:b/>
          <w:bCs/>
          <w:lang w:val="en-GB"/>
        </w:rPr>
        <w:t>The requirements for an interim interdict</w:t>
      </w:r>
    </w:p>
    <w:p w14:paraId="1A0064B8" w14:textId="377AE7C3" w:rsidR="00E82034" w:rsidRPr="00D17A06" w:rsidRDefault="00E82034" w:rsidP="00D17A06">
      <w:pPr>
        <w:rPr>
          <w:lang w:val="en-GB"/>
        </w:rPr>
      </w:pPr>
      <w:r w:rsidRPr="00D17A06">
        <w:rPr>
          <w:lang w:val="en-GB"/>
        </w:rPr>
        <w:t xml:space="preserve"> </w:t>
      </w:r>
    </w:p>
    <w:p w14:paraId="34F07A1C" w14:textId="3AA7941A" w:rsidR="00D17A06" w:rsidRPr="006D6D14" w:rsidRDefault="006D6D14" w:rsidP="006D6D14">
      <w:pPr>
        <w:autoSpaceDE w:val="0"/>
        <w:autoSpaceDN w:val="0"/>
        <w:adjustRightInd w:val="0"/>
        <w:jc w:val="both"/>
        <w:rPr>
          <w:lang w:val="en-GB"/>
        </w:rPr>
      </w:pPr>
      <w:r w:rsidRPr="00D17A06">
        <w:rPr>
          <w:lang w:val="en-GB"/>
        </w:rPr>
        <w:t>[6]</w:t>
      </w:r>
      <w:r w:rsidRPr="00D17A06">
        <w:rPr>
          <w:lang w:val="en-GB"/>
        </w:rPr>
        <w:tab/>
      </w:r>
      <w:r w:rsidR="00D17A06" w:rsidRPr="006D6D14">
        <w:rPr>
          <w:lang w:val="en-GB"/>
        </w:rPr>
        <w:t>This court has recently had the opportunity to consider the requirements for an interim interdict in the context of urgent tender proceedings.</w:t>
      </w:r>
      <w:r w:rsidR="00D17A06">
        <w:rPr>
          <w:rStyle w:val="FootnoteReference"/>
          <w:lang w:val="en-GB"/>
        </w:rPr>
        <w:footnoteReference w:id="2"/>
      </w:r>
      <w:r w:rsidR="00D17A06" w:rsidRPr="006D6D14">
        <w:rPr>
          <w:lang w:val="en-GB"/>
        </w:rPr>
        <w:t xml:space="preserve"> What follows is largely a repeat of the legal position sketched in that matter.</w:t>
      </w:r>
    </w:p>
    <w:p w14:paraId="066F61B6" w14:textId="77777777" w:rsidR="00D17A06" w:rsidRPr="007A7D66" w:rsidRDefault="00D17A06" w:rsidP="00D17A06">
      <w:pPr>
        <w:pStyle w:val="ListParagraph"/>
        <w:autoSpaceDE w:val="0"/>
        <w:autoSpaceDN w:val="0"/>
        <w:adjustRightInd w:val="0"/>
        <w:ind w:left="0"/>
        <w:jc w:val="both"/>
        <w:rPr>
          <w:b/>
          <w:bCs/>
          <w:lang w:val="en-GB"/>
        </w:rPr>
      </w:pPr>
    </w:p>
    <w:p w14:paraId="7A043F6E" w14:textId="5A2F11CB" w:rsidR="00D17A06" w:rsidRPr="006D6D14" w:rsidRDefault="006D6D14" w:rsidP="006D6D14">
      <w:pPr>
        <w:autoSpaceDE w:val="0"/>
        <w:autoSpaceDN w:val="0"/>
        <w:adjustRightInd w:val="0"/>
        <w:jc w:val="both"/>
        <w:rPr>
          <w:lang w:val="en-GB"/>
        </w:rPr>
      </w:pPr>
      <w:r>
        <w:rPr>
          <w:lang w:val="en-GB"/>
        </w:rPr>
        <w:t>[7]</w:t>
      </w:r>
      <w:r>
        <w:rPr>
          <w:lang w:val="en-GB"/>
        </w:rPr>
        <w:tab/>
      </w:r>
      <w:r w:rsidR="00D17A06" w:rsidRPr="006D6D14">
        <w:rPr>
          <w:lang w:val="en-GB"/>
        </w:rPr>
        <w:t>The applicant must establish:</w:t>
      </w:r>
      <w:r w:rsidR="00D17A06" w:rsidRPr="009625E6">
        <w:rPr>
          <w:rStyle w:val="FootnoteReference"/>
          <w:lang w:val="en-GB"/>
        </w:rPr>
        <w:footnoteReference w:id="3"/>
      </w:r>
    </w:p>
    <w:p w14:paraId="100267A2" w14:textId="71E828C3" w:rsidR="00D17A06" w:rsidRPr="006D6D14" w:rsidRDefault="006D6D14" w:rsidP="006D6D14">
      <w:pPr>
        <w:ind w:left="1080" w:hanging="720"/>
        <w:jc w:val="both"/>
        <w:rPr>
          <w:lang w:val="en-GB"/>
        </w:rPr>
      </w:pPr>
      <w:r w:rsidRPr="00FA307E">
        <w:rPr>
          <w:lang w:val="en-GB"/>
        </w:rPr>
        <w:t>(a)</w:t>
      </w:r>
      <w:r w:rsidRPr="00FA307E">
        <w:rPr>
          <w:lang w:val="en-GB"/>
        </w:rPr>
        <w:tab/>
      </w:r>
      <w:r w:rsidR="00D17A06" w:rsidRPr="006D6D14">
        <w:rPr>
          <w:lang w:val="en-GB"/>
        </w:rPr>
        <w:t>that the right which is the subject-matter of the main application(s) and which it seeks to protect by means of interim relief is clear or, if not clear, is prima facie established, though open to some doubt;</w:t>
      </w:r>
    </w:p>
    <w:p w14:paraId="474E7151" w14:textId="2D5AA2A1" w:rsidR="00D17A06" w:rsidRPr="006D6D14" w:rsidRDefault="006D6D14" w:rsidP="006D6D14">
      <w:pPr>
        <w:ind w:left="1080" w:hanging="720"/>
        <w:jc w:val="both"/>
        <w:rPr>
          <w:lang w:val="en-GB"/>
        </w:rPr>
      </w:pPr>
      <w:r>
        <w:rPr>
          <w:lang w:val="en-GB"/>
        </w:rPr>
        <w:t>(b)</w:t>
      </w:r>
      <w:r>
        <w:rPr>
          <w:lang w:val="en-GB"/>
        </w:rPr>
        <w:tab/>
      </w:r>
      <w:r w:rsidR="00D17A06" w:rsidRPr="006D6D14">
        <w:rPr>
          <w:lang w:val="en-GB"/>
        </w:rPr>
        <w:t xml:space="preserve">That, if the right is only </w:t>
      </w:r>
      <w:r w:rsidR="00D17A06" w:rsidRPr="006D6D14">
        <w:rPr>
          <w:i/>
          <w:iCs/>
          <w:lang w:val="en-GB"/>
        </w:rPr>
        <w:t xml:space="preserve">prima facie </w:t>
      </w:r>
      <w:r w:rsidR="00D17A06" w:rsidRPr="006D6D14">
        <w:rPr>
          <w:lang w:val="en-GB"/>
        </w:rPr>
        <w:t>established, there is a well-grounded apprehension of irreparable harm if the interim relief is not granted and it ultimately succeeds in establishing its right;</w:t>
      </w:r>
    </w:p>
    <w:p w14:paraId="275E047F" w14:textId="53D5658F" w:rsidR="00D17A06" w:rsidRPr="006D6D14" w:rsidRDefault="006D6D14" w:rsidP="006D6D14">
      <w:pPr>
        <w:ind w:left="1080" w:hanging="720"/>
        <w:jc w:val="both"/>
        <w:rPr>
          <w:lang w:val="en-GB"/>
        </w:rPr>
      </w:pPr>
      <w:r>
        <w:rPr>
          <w:lang w:val="en-GB"/>
        </w:rPr>
        <w:t>(c)</w:t>
      </w:r>
      <w:r>
        <w:rPr>
          <w:lang w:val="en-GB"/>
        </w:rPr>
        <w:tab/>
      </w:r>
      <w:r w:rsidR="00D17A06" w:rsidRPr="006D6D14">
        <w:rPr>
          <w:lang w:val="en-GB"/>
        </w:rPr>
        <w:t>That the balance of convenience favours the granting of interim relief; and</w:t>
      </w:r>
    </w:p>
    <w:p w14:paraId="5CDF4E55" w14:textId="73E77EB3" w:rsidR="00D17A06" w:rsidRPr="006D6D14" w:rsidRDefault="006D6D14" w:rsidP="006D6D14">
      <w:pPr>
        <w:ind w:left="1080" w:hanging="720"/>
        <w:jc w:val="both"/>
        <w:rPr>
          <w:lang w:val="en-GB"/>
        </w:rPr>
      </w:pPr>
      <w:r w:rsidRPr="00FA307E">
        <w:rPr>
          <w:lang w:val="en-GB"/>
        </w:rPr>
        <w:t>(d)</w:t>
      </w:r>
      <w:r w:rsidRPr="00FA307E">
        <w:rPr>
          <w:lang w:val="en-GB"/>
        </w:rPr>
        <w:tab/>
      </w:r>
      <w:r w:rsidR="00D17A06" w:rsidRPr="006D6D14">
        <w:rPr>
          <w:lang w:val="en-GB"/>
        </w:rPr>
        <w:t>That the applicant has no other satisfactory remedy.</w:t>
      </w:r>
    </w:p>
    <w:p w14:paraId="7DCCF6AE" w14:textId="77777777" w:rsidR="00D17A06" w:rsidRDefault="00D17A06" w:rsidP="00D17A06">
      <w:pPr>
        <w:pStyle w:val="ListParagraph"/>
        <w:autoSpaceDE w:val="0"/>
        <w:autoSpaceDN w:val="0"/>
        <w:adjustRightInd w:val="0"/>
        <w:ind w:left="0"/>
        <w:jc w:val="both"/>
        <w:rPr>
          <w:lang w:val="en-GB"/>
        </w:rPr>
      </w:pPr>
    </w:p>
    <w:p w14:paraId="3B206F51" w14:textId="02FAB2E2" w:rsidR="00D17A06" w:rsidRPr="006D6D14" w:rsidRDefault="006D6D14" w:rsidP="006D6D14">
      <w:pPr>
        <w:autoSpaceDE w:val="0"/>
        <w:autoSpaceDN w:val="0"/>
        <w:adjustRightInd w:val="0"/>
        <w:jc w:val="both"/>
        <w:rPr>
          <w:lang w:val="en-GB"/>
        </w:rPr>
      </w:pPr>
      <w:r>
        <w:rPr>
          <w:lang w:val="en-GB"/>
        </w:rPr>
        <w:t>[8]</w:t>
      </w:r>
      <w:r>
        <w:rPr>
          <w:lang w:val="en-GB"/>
        </w:rPr>
        <w:tab/>
      </w:r>
      <w:r w:rsidR="00C04436" w:rsidRPr="006D6D14">
        <w:rPr>
          <w:lang w:val="en-GB"/>
        </w:rPr>
        <w:t xml:space="preserve">Even if all these requirements are met, the court still enjoys an overriding discretion whether or not to grant the interim interdict. </w:t>
      </w:r>
      <w:r w:rsidR="00D17A06" w:rsidRPr="006D6D14">
        <w:rPr>
          <w:lang w:val="en-GB"/>
        </w:rPr>
        <w:t xml:space="preserve">In cases where a clear right is not established, there is authority going back to Van der Linden’s </w:t>
      </w:r>
      <w:r w:rsidR="00D17A06" w:rsidRPr="006D6D14">
        <w:rPr>
          <w:i/>
          <w:iCs/>
          <w:lang w:val="en-GB"/>
        </w:rPr>
        <w:t>Institutes</w:t>
      </w:r>
      <w:r w:rsidR="00D17A06" w:rsidRPr="006D6D14">
        <w:rPr>
          <w:lang w:val="en-GB"/>
        </w:rPr>
        <w:t xml:space="preserve">, and entering our law via </w:t>
      </w:r>
      <w:proofErr w:type="spellStart"/>
      <w:r w:rsidR="00D17A06" w:rsidRPr="006D6D14">
        <w:rPr>
          <w:i/>
          <w:iCs/>
          <w:lang w:val="en-GB"/>
        </w:rPr>
        <w:t>Setlogelo</w:t>
      </w:r>
      <w:proofErr w:type="spellEnd"/>
      <w:r w:rsidR="00D17A06" w:rsidRPr="006D6D14">
        <w:rPr>
          <w:i/>
          <w:iCs/>
          <w:lang w:val="en-GB"/>
        </w:rPr>
        <w:t xml:space="preserve"> v </w:t>
      </w:r>
      <w:proofErr w:type="spellStart"/>
      <w:r w:rsidR="00D17A06" w:rsidRPr="006D6D14">
        <w:rPr>
          <w:i/>
          <w:iCs/>
          <w:lang w:val="en-GB"/>
        </w:rPr>
        <w:t>Setlogelo</w:t>
      </w:r>
      <w:proofErr w:type="spellEnd"/>
      <w:r w:rsidR="00D17A06" w:rsidRPr="006D6D14">
        <w:rPr>
          <w:lang w:val="en-GB"/>
        </w:rPr>
        <w:t xml:space="preserve"> in 1914, that explains the correct approach.</w:t>
      </w:r>
      <w:r w:rsidR="00D17A06" w:rsidRPr="009625E6">
        <w:rPr>
          <w:rStyle w:val="FootnoteReference"/>
          <w:lang w:val="en-GB"/>
        </w:rPr>
        <w:footnoteReference w:id="4"/>
      </w:r>
      <w:r w:rsidR="00D17A06" w:rsidRPr="006D6D14">
        <w:rPr>
          <w:lang w:val="en-GB"/>
        </w:rPr>
        <w:t xml:space="preserve"> Applicants for interim relief are required to establish at least a prima facie right to relief, even if open to some doubt. They need not establish that right on a balance of probabilities. </w:t>
      </w:r>
    </w:p>
    <w:p w14:paraId="665B44E0" w14:textId="77777777" w:rsidR="00D17A06" w:rsidRDefault="00D17A06" w:rsidP="00D17A06">
      <w:pPr>
        <w:pStyle w:val="ListParagraph"/>
        <w:autoSpaceDE w:val="0"/>
        <w:autoSpaceDN w:val="0"/>
        <w:adjustRightInd w:val="0"/>
        <w:ind w:left="0"/>
        <w:jc w:val="both"/>
        <w:rPr>
          <w:lang w:val="en-GB"/>
        </w:rPr>
      </w:pPr>
    </w:p>
    <w:p w14:paraId="566E2608" w14:textId="7820CA41" w:rsidR="00D17A06" w:rsidRPr="006D6D14" w:rsidRDefault="006D6D14" w:rsidP="006D6D14">
      <w:pPr>
        <w:autoSpaceDE w:val="0"/>
        <w:autoSpaceDN w:val="0"/>
        <w:adjustRightInd w:val="0"/>
        <w:jc w:val="both"/>
        <w:rPr>
          <w:lang w:val="en-GB"/>
        </w:rPr>
      </w:pPr>
      <w:r>
        <w:rPr>
          <w:lang w:val="en-GB"/>
        </w:rPr>
        <w:t>[9]</w:t>
      </w:r>
      <w:r>
        <w:rPr>
          <w:lang w:val="en-GB"/>
        </w:rPr>
        <w:tab/>
      </w:r>
      <w:r w:rsidR="00D17A06" w:rsidRPr="006D6D14">
        <w:rPr>
          <w:lang w:val="en-GB"/>
        </w:rPr>
        <w:t xml:space="preserve">The oft-quoted passage from </w:t>
      </w:r>
      <w:r w:rsidR="00D17A06" w:rsidRPr="006D6D14">
        <w:rPr>
          <w:i/>
          <w:iCs/>
          <w:lang w:val="en-GB"/>
        </w:rPr>
        <w:t xml:space="preserve">Webster v Mitchell </w:t>
      </w:r>
      <w:r w:rsidR="00D17A06" w:rsidRPr="006D6D14">
        <w:rPr>
          <w:lang w:val="en-GB"/>
        </w:rPr>
        <w:t>explains the enquiry as follows:</w:t>
      </w:r>
      <w:r w:rsidR="00D17A06" w:rsidRPr="009625E6">
        <w:rPr>
          <w:rStyle w:val="FootnoteReference"/>
          <w:lang w:val="en-GB"/>
        </w:rPr>
        <w:footnoteReference w:id="5"/>
      </w:r>
    </w:p>
    <w:p w14:paraId="5AB5E6E2" w14:textId="77777777" w:rsidR="00D17A06" w:rsidRPr="005C53F5" w:rsidRDefault="00D17A06" w:rsidP="00D17A06">
      <w:pPr>
        <w:ind w:right="89"/>
        <w:jc w:val="both"/>
        <w:rPr>
          <w:sz w:val="22"/>
          <w:szCs w:val="22"/>
          <w:lang w:val="en-GB"/>
        </w:rPr>
      </w:pPr>
      <w:r w:rsidRPr="005C53F5">
        <w:rPr>
          <w:sz w:val="22"/>
          <w:szCs w:val="22"/>
          <w:lang w:val="en-GB"/>
        </w:rPr>
        <w:t xml:space="preserve">‘In the grant of a temporary interdict, apart from prejudice involved, the first question for the Court…is whether, if interim protection is given, the applicant could ever obtain the rights he seeks to protect. </w:t>
      </w:r>
      <w:r w:rsidRPr="005C53F5">
        <w:rPr>
          <w:i/>
          <w:iCs/>
          <w:sz w:val="22"/>
          <w:szCs w:val="22"/>
          <w:lang w:val="en-GB"/>
        </w:rPr>
        <w:t>Prima facie</w:t>
      </w:r>
      <w:r w:rsidRPr="005C53F5">
        <w:rPr>
          <w:sz w:val="22"/>
          <w:szCs w:val="22"/>
          <w:lang w:val="en-GB"/>
        </w:rPr>
        <w:t xml:space="preserve"> that has to be shown. The use of the phrase “</w:t>
      </w:r>
      <w:r w:rsidRPr="005C53F5">
        <w:rPr>
          <w:i/>
          <w:iCs/>
          <w:sz w:val="22"/>
          <w:szCs w:val="22"/>
          <w:lang w:val="en-GB"/>
        </w:rPr>
        <w:t xml:space="preserve">prima facie </w:t>
      </w:r>
      <w:r w:rsidRPr="005C53F5">
        <w:rPr>
          <w:sz w:val="22"/>
          <w:szCs w:val="22"/>
          <w:lang w:val="en-GB"/>
        </w:rPr>
        <w:lastRenderedPageBreak/>
        <w:t>established though open to some doubt” indicates…that more is required than merely to look at the allegations of the applicant, but something short of a weighing up of the probabilities of conflicting versions is required. The proper manner of approach…is to take the facts as set out by the applicant, together with any facts set out by the respondent which the applicant cannot dispute, and to consider whether, having regard to the inherent probabilities, the applicant could on those facts obtain final relief…The facts set up in contradiction by the respondent should then be considered. If serious doubt is thrown on the case of the applicant he could not succeed in obtaining temporary relief…But if there is mere contradiction, or unconvincing explanation, the matter should be left to trial and the right be protected in the meanwhile, subject of course to the respective prejudice in the grant or refusal of interim relief…the position of the respondent is protected because…the test whether or not temporary relief is to be granted is the harm which will be done…’</w:t>
      </w:r>
    </w:p>
    <w:p w14:paraId="0F674E1C" w14:textId="77777777" w:rsidR="00D17A06" w:rsidRPr="00D272A3" w:rsidRDefault="00D17A06" w:rsidP="00D17A06">
      <w:pPr>
        <w:pStyle w:val="ListParagraph"/>
        <w:rPr>
          <w:lang w:val="en-GB"/>
        </w:rPr>
      </w:pPr>
    </w:p>
    <w:p w14:paraId="092C5221" w14:textId="3C069B10" w:rsidR="00D17A06" w:rsidRPr="006D6D14" w:rsidRDefault="006D6D14" w:rsidP="006D6D14">
      <w:pPr>
        <w:autoSpaceDE w:val="0"/>
        <w:autoSpaceDN w:val="0"/>
        <w:adjustRightInd w:val="0"/>
        <w:jc w:val="both"/>
        <w:rPr>
          <w:lang w:val="en-GB"/>
        </w:rPr>
      </w:pPr>
      <w:r>
        <w:rPr>
          <w:lang w:val="en-GB"/>
        </w:rPr>
        <w:t>[10]</w:t>
      </w:r>
      <w:r>
        <w:rPr>
          <w:lang w:val="en-GB"/>
        </w:rPr>
        <w:tab/>
      </w:r>
      <w:r w:rsidR="00D17A06" w:rsidRPr="006D6D14">
        <w:rPr>
          <w:lang w:val="en-GB"/>
        </w:rPr>
        <w:t xml:space="preserve">That enquiry has subsequently been refined, so that the test is now whether the applicant </w:t>
      </w:r>
      <w:r w:rsidR="00D17A06" w:rsidRPr="006D6D14">
        <w:rPr>
          <w:i/>
          <w:iCs/>
          <w:lang w:val="en-GB"/>
        </w:rPr>
        <w:t xml:space="preserve">should </w:t>
      </w:r>
      <w:r w:rsidR="00D17A06" w:rsidRPr="006D6D14">
        <w:rPr>
          <w:lang w:val="en-GB"/>
        </w:rPr>
        <w:t>(not could) obtain final relief on those facts.</w:t>
      </w:r>
      <w:r w:rsidR="00D17A06" w:rsidRPr="009625E6">
        <w:rPr>
          <w:rStyle w:val="FootnoteReference"/>
          <w:lang w:val="en-GB"/>
        </w:rPr>
        <w:footnoteReference w:id="6"/>
      </w:r>
    </w:p>
    <w:p w14:paraId="04577A2F" w14:textId="77777777" w:rsidR="00D17A06" w:rsidRDefault="00D17A06" w:rsidP="00D17A06">
      <w:pPr>
        <w:pStyle w:val="ListParagraph"/>
        <w:autoSpaceDE w:val="0"/>
        <w:autoSpaceDN w:val="0"/>
        <w:adjustRightInd w:val="0"/>
        <w:ind w:left="0"/>
        <w:jc w:val="both"/>
        <w:rPr>
          <w:lang w:val="en-GB"/>
        </w:rPr>
      </w:pPr>
    </w:p>
    <w:p w14:paraId="5820B770" w14:textId="2F051ED5" w:rsidR="00600BDC" w:rsidRPr="006D6D14" w:rsidRDefault="006D6D14" w:rsidP="006D6D14">
      <w:pPr>
        <w:autoSpaceDE w:val="0"/>
        <w:autoSpaceDN w:val="0"/>
        <w:adjustRightInd w:val="0"/>
        <w:jc w:val="both"/>
        <w:rPr>
          <w:lang w:val="en-GB"/>
        </w:rPr>
      </w:pPr>
      <w:r w:rsidRPr="00563784">
        <w:rPr>
          <w:lang w:val="en-GB"/>
        </w:rPr>
        <w:t>[11]</w:t>
      </w:r>
      <w:r w:rsidRPr="00563784">
        <w:rPr>
          <w:lang w:val="en-GB"/>
        </w:rPr>
        <w:tab/>
      </w:r>
      <w:r w:rsidR="00563784" w:rsidRPr="006D6D14">
        <w:rPr>
          <w:lang w:val="en-GB"/>
        </w:rPr>
        <w:t xml:space="preserve">Generally, the threshold for an interim interdict in terms of a breached right or in terms of a threat of breach is not showing the </w:t>
      </w:r>
      <w:r w:rsidR="00563784" w:rsidRPr="006D6D14">
        <w:rPr>
          <w:i/>
          <w:iCs/>
          <w:lang w:val="en-GB"/>
        </w:rPr>
        <w:t>certain</w:t>
      </w:r>
      <w:r w:rsidR="00563784" w:rsidRPr="006D6D14">
        <w:rPr>
          <w:lang w:val="en-GB"/>
        </w:rPr>
        <w:t xml:space="preserve"> existence of the right. One need only show a right, though at the level of interim relief it may be ‘open to some doubt’.</w:t>
      </w:r>
      <w:r w:rsidR="00563784">
        <w:rPr>
          <w:rStyle w:val="FootnoteReference"/>
          <w:lang w:val="en-GB"/>
        </w:rPr>
        <w:footnoteReference w:id="7"/>
      </w:r>
      <w:r w:rsidR="00563784" w:rsidRPr="006D6D14">
        <w:rPr>
          <w:lang w:val="en-GB"/>
        </w:rPr>
        <w:t xml:space="preserve"> The prima facie right must be threatened by an impending or imminent irreparable harm. </w:t>
      </w:r>
      <w:r w:rsidR="00600BDC" w:rsidRPr="006D6D14">
        <w:rPr>
          <w:lang w:val="en-GB"/>
        </w:rPr>
        <w:t xml:space="preserve">As Moseneke DCJ held in </w:t>
      </w:r>
      <w:r w:rsidR="00600BDC" w:rsidRPr="006D6D14">
        <w:rPr>
          <w:i/>
          <w:iCs/>
          <w:lang w:val="en-GB"/>
        </w:rPr>
        <w:t>National Treasury</w:t>
      </w:r>
      <w:r w:rsidR="00600BDC" w:rsidRPr="006D6D14">
        <w:rPr>
          <w:lang w:val="en-GB"/>
        </w:rPr>
        <w:t>:</w:t>
      </w:r>
      <w:r w:rsidR="00600BDC">
        <w:rPr>
          <w:rStyle w:val="FootnoteReference"/>
          <w:lang w:val="en-GB"/>
        </w:rPr>
        <w:footnoteReference w:id="8"/>
      </w:r>
      <w:r w:rsidR="00600BDC" w:rsidRPr="006D6D14">
        <w:rPr>
          <w:i/>
          <w:iCs/>
          <w:lang w:val="en-GB"/>
        </w:rPr>
        <w:t xml:space="preserve"> </w:t>
      </w:r>
    </w:p>
    <w:p w14:paraId="7A2A2C6F" w14:textId="77777777" w:rsidR="00600BDC" w:rsidRPr="008C2737" w:rsidRDefault="00600BDC" w:rsidP="00600BDC">
      <w:pPr>
        <w:pStyle w:val="ListParagraph"/>
        <w:autoSpaceDE w:val="0"/>
        <w:autoSpaceDN w:val="0"/>
        <w:adjustRightInd w:val="0"/>
        <w:ind w:left="0"/>
        <w:jc w:val="both"/>
        <w:rPr>
          <w:sz w:val="22"/>
          <w:szCs w:val="22"/>
          <w:lang w:val="en-GB"/>
        </w:rPr>
      </w:pPr>
      <w:r w:rsidRPr="008C2737">
        <w:rPr>
          <w:sz w:val="22"/>
          <w:szCs w:val="22"/>
          <w:lang w:val="en-GB"/>
        </w:rPr>
        <w:t xml:space="preserve">‘The prima facie right a claimant must establish is not merely the right to approach a court in order to review an administrative decision. It is a right to which, if not protected by an interdict, irreparable harm would ensue. An interdict is meant to prevent future conduct and not decisions already made. Quite apart from the right to review and to set aside impugned decisions, the applicants should have demonstrated a </w:t>
      </w:r>
      <w:r w:rsidRPr="00BE69A3">
        <w:rPr>
          <w:i/>
          <w:iCs/>
          <w:sz w:val="22"/>
          <w:szCs w:val="22"/>
          <w:lang w:val="en-GB"/>
        </w:rPr>
        <w:t>prima facie</w:t>
      </w:r>
      <w:r w:rsidRPr="008C2737">
        <w:rPr>
          <w:sz w:val="22"/>
          <w:szCs w:val="22"/>
          <w:lang w:val="en-GB"/>
        </w:rPr>
        <w:t xml:space="preserve"> right that is threatened by an impending or imminent irreparable harm’.</w:t>
      </w:r>
    </w:p>
    <w:p w14:paraId="3E66AE4C" w14:textId="77777777" w:rsidR="00600BDC" w:rsidRPr="00600BDC" w:rsidRDefault="00600BDC" w:rsidP="00600BDC">
      <w:pPr>
        <w:pStyle w:val="ListParagraph"/>
        <w:autoSpaceDE w:val="0"/>
        <w:autoSpaceDN w:val="0"/>
        <w:adjustRightInd w:val="0"/>
        <w:ind w:left="0"/>
        <w:jc w:val="both"/>
        <w:rPr>
          <w:lang w:val="en-GB"/>
        </w:rPr>
      </w:pPr>
    </w:p>
    <w:p w14:paraId="2AF70769" w14:textId="700E7599" w:rsidR="00D17A06" w:rsidRPr="006D6D14" w:rsidRDefault="006D6D14" w:rsidP="006D6D14">
      <w:pPr>
        <w:autoSpaceDE w:val="0"/>
        <w:autoSpaceDN w:val="0"/>
        <w:adjustRightInd w:val="0"/>
        <w:jc w:val="both"/>
        <w:rPr>
          <w:lang w:val="en-GB"/>
        </w:rPr>
      </w:pPr>
      <w:r>
        <w:rPr>
          <w:lang w:val="en-GB"/>
        </w:rPr>
        <w:t>[12]</w:t>
      </w:r>
      <w:r>
        <w:rPr>
          <w:lang w:val="en-GB"/>
        </w:rPr>
        <w:tab/>
      </w:r>
      <w:r w:rsidR="00D17A06" w:rsidRPr="006D6D14">
        <w:rPr>
          <w:lang w:val="en-GB"/>
        </w:rPr>
        <w:t xml:space="preserve">Irreparable harm is an element in cases where the right asserted by the applicants, though </w:t>
      </w:r>
      <w:r w:rsidR="00D17A06" w:rsidRPr="006D6D14">
        <w:rPr>
          <w:i/>
          <w:iCs/>
          <w:lang w:val="en-GB"/>
        </w:rPr>
        <w:t xml:space="preserve">prima facie </w:t>
      </w:r>
      <w:r w:rsidR="00D17A06" w:rsidRPr="006D6D14">
        <w:rPr>
          <w:lang w:val="en-GB"/>
        </w:rPr>
        <w:t xml:space="preserve">established, is open to some doubt. In such cases, the </w:t>
      </w:r>
      <w:r w:rsidR="00D17A06" w:rsidRPr="006D6D14">
        <w:rPr>
          <w:lang w:val="en-GB"/>
        </w:rPr>
        <w:lastRenderedPageBreak/>
        <w:t>accepted test to be applied is whether the continuance of the thing against which an interdict is sought would cause irreparable injury to the applicant. If so, the better course is to grant the relief, but only if the discontinuance of the act complained of would not involve irreparable injury to the respondent.</w:t>
      </w:r>
      <w:r w:rsidR="00D17A06" w:rsidRPr="009625E6">
        <w:rPr>
          <w:rStyle w:val="FootnoteReference"/>
          <w:lang w:val="en-GB"/>
        </w:rPr>
        <w:footnoteReference w:id="9"/>
      </w:r>
      <w:r w:rsidR="00D17A06" w:rsidRPr="006D6D14">
        <w:rPr>
          <w:lang w:val="en-GB"/>
        </w:rPr>
        <w:t xml:space="preserve"> </w:t>
      </w:r>
    </w:p>
    <w:p w14:paraId="61E412AC" w14:textId="77777777" w:rsidR="00D17A06" w:rsidRPr="0059752F" w:rsidRDefault="00D17A06" w:rsidP="00D17A06">
      <w:pPr>
        <w:pStyle w:val="ListParagraph"/>
        <w:rPr>
          <w:lang w:val="en-GB"/>
        </w:rPr>
      </w:pPr>
    </w:p>
    <w:p w14:paraId="05AD2DED" w14:textId="3EDD7DD7" w:rsidR="00D17A06" w:rsidRPr="006D6D14" w:rsidRDefault="006D6D14" w:rsidP="006D6D14">
      <w:pPr>
        <w:autoSpaceDE w:val="0"/>
        <w:autoSpaceDN w:val="0"/>
        <w:adjustRightInd w:val="0"/>
        <w:jc w:val="both"/>
        <w:rPr>
          <w:lang w:val="en-GB"/>
        </w:rPr>
      </w:pPr>
      <w:r w:rsidRPr="0059752F">
        <w:rPr>
          <w:lang w:val="en-GB"/>
        </w:rPr>
        <w:t>[13]</w:t>
      </w:r>
      <w:r w:rsidRPr="0059752F">
        <w:rPr>
          <w:lang w:val="en-GB"/>
        </w:rPr>
        <w:tab/>
      </w:r>
      <w:r w:rsidR="00D17A06" w:rsidRPr="006D6D14">
        <w:rPr>
          <w:lang w:val="en-GB"/>
        </w:rPr>
        <w:t xml:space="preserve">As to the balance of convenience, </w:t>
      </w:r>
      <w:r w:rsidR="00D17A06" w:rsidRPr="006D6D14">
        <w:rPr>
          <w:i/>
          <w:iCs/>
          <w:lang w:val="en-GB"/>
        </w:rPr>
        <w:t>Webster v Mitchell</w:t>
      </w:r>
      <w:r w:rsidR="00D17A06" w:rsidRPr="006D6D14">
        <w:rPr>
          <w:lang w:val="en-GB"/>
        </w:rPr>
        <w:t xml:space="preserve"> goes as far as to state that if there is greater possible prejudice to the respondent an interim interdict will be refused.</w:t>
      </w:r>
      <w:r w:rsidR="00D17A06" w:rsidRPr="009625E6">
        <w:rPr>
          <w:rStyle w:val="FootnoteReference"/>
          <w:lang w:val="en-GB"/>
        </w:rPr>
        <w:footnoteReference w:id="10"/>
      </w:r>
      <w:r w:rsidR="00D17A06" w:rsidRPr="006D6D14">
        <w:rPr>
          <w:lang w:val="en-GB"/>
        </w:rPr>
        <w:t xml:space="preserve"> The balance of convenience enquiry must be applied cognisant of the normative scheme and democratic principles that underpin the Constitution.</w:t>
      </w:r>
      <w:r w:rsidR="00D17A06">
        <w:rPr>
          <w:rStyle w:val="FootnoteReference"/>
          <w:lang w:val="en-GB"/>
        </w:rPr>
        <w:footnoteReference w:id="11"/>
      </w:r>
      <w:r w:rsidR="00D17A06" w:rsidRPr="006D6D14">
        <w:rPr>
          <w:lang w:val="en-GB"/>
        </w:rPr>
        <w:t xml:space="preserve"> In other words, when a court considers whether to grant an interim interdict it must do so in a way that promotes the objects, spirit and purport of the Constitution.</w:t>
      </w:r>
      <w:r w:rsidR="00D17A06">
        <w:rPr>
          <w:rStyle w:val="FootnoteReference"/>
          <w:lang w:val="en-GB"/>
        </w:rPr>
        <w:footnoteReference w:id="12"/>
      </w:r>
      <w:r w:rsidR="00D17A06" w:rsidRPr="006D6D14">
        <w:rPr>
          <w:lang w:val="en-GB"/>
        </w:rPr>
        <w:t xml:space="preserve"> According to </w:t>
      </w:r>
      <w:r w:rsidR="00D17A06" w:rsidRPr="006D6D14">
        <w:rPr>
          <w:i/>
          <w:iCs/>
          <w:lang w:val="en-GB"/>
        </w:rPr>
        <w:t>EFF</w:t>
      </w:r>
      <w:r w:rsidR="00D17A06" w:rsidRPr="006D6D14">
        <w:rPr>
          <w:lang w:val="en-GB"/>
        </w:rPr>
        <w:t xml:space="preserve">, this invariably attracts various constitutional issues into the adjudication process, including possible issues regarding separation of powers, the constitutional duties of the parties that may be frustrated by the order and any constitutional rights implicated in the matter. </w:t>
      </w:r>
    </w:p>
    <w:p w14:paraId="5FC77D9D" w14:textId="77777777" w:rsidR="00D17A06" w:rsidRDefault="00D17A06" w:rsidP="00D17A06">
      <w:pPr>
        <w:pStyle w:val="ListParagraph"/>
        <w:autoSpaceDE w:val="0"/>
        <w:autoSpaceDN w:val="0"/>
        <w:adjustRightInd w:val="0"/>
        <w:ind w:left="0"/>
        <w:jc w:val="both"/>
        <w:rPr>
          <w:lang w:val="en-GB"/>
        </w:rPr>
      </w:pPr>
    </w:p>
    <w:p w14:paraId="032AE9CC" w14:textId="3FC51972" w:rsidR="00D17A06" w:rsidRPr="006D6D14" w:rsidRDefault="006D6D14" w:rsidP="006D6D14">
      <w:pPr>
        <w:autoSpaceDE w:val="0"/>
        <w:autoSpaceDN w:val="0"/>
        <w:adjustRightInd w:val="0"/>
        <w:jc w:val="both"/>
        <w:rPr>
          <w:rFonts w:cstheme="minorHAnsi"/>
          <w:sz w:val="22"/>
          <w:szCs w:val="22"/>
          <w:lang w:val="en-US"/>
        </w:rPr>
      </w:pPr>
      <w:r w:rsidRPr="00D65A74">
        <w:rPr>
          <w:rFonts w:cstheme="minorHAnsi"/>
          <w:sz w:val="22"/>
          <w:szCs w:val="22"/>
          <w:lang w:val="en-US"/>
        </w:rPr>
        <w:t>[14]</w:t>
      </w:r>
      <w:r w:rsidRPr="00D65A74">
        <w:rPr>
          <w:rFonts w:cstheme="minorHAnsi"/>
          <w:sz w:val="22"/>
          <w:szCs w:val="22"/>
          <w:lang w:val="en-US"/>
        </w:rPr>
        <w:tab/>
      </w:r>
      <w:r w:rsidR="00D17A06" w:rsidRPr="006D6D14">
        <w:rPr>
          <w:rFonts w:cstheme="minorHAnsi"/>
          <w:lang w:val="en-US"/>
        </w:rPr>
        <w:t>Where legislative or executive power will be ‘transgressed and thwarted’ by an interim interdict, it should only be granted ‘in the clearest of cases and after careful consideration of the possible harm to the separation of powers principle’.</w:t>
      </w:r>
      <w:r w:rsidR="00D17A06">
        <w:rPr>
          <w:rStyle w:val="FootnoteReference"/>
          <w:rFonts w:cstheme="minorHAnsi"/>
          <w:lang w:val="en-US"/>
        </w:rPr>
        <w:footnoteReference w:id="13"/>
      </w:r>
      <w:r w:rsidR="00D17A06" w:rsidRPr="006D6D14">
        <w:rPr>
          <w:rFonts w:cstheme="minorHAnsi"/>
          <w:lang w:val="en-US"/>
        </w:rPr>
        <w:t xml:space="preserve"> In </w:t>
      </w:r>
      <w:r w:rsidR="00D17A06" w:rsidRPr="006D6D14">
        <w:rPr>
          <w:rFonts w:cstheme="minorHAnsi"/>
          <w:i/>
          <w:iCs/>
          <w:lang w:val="en-US"/>
        </w:rPr>
        <w:t>EFF</w:t>
      </w:r>
      <w:r w:rsidR="00D17A06" w:rsidRPr="006D6D14">
        <w:rPr>
          <w:rFonts w:cstheme="minorHAnsi"/>
          <w:lang w:val="en-US"/>
        </w:rPr>
        <w:t xml:space="preserve">, </w:t>
      </w:r>
      <w:proofErr w:type="spellStart"/>
      <w:r w:rsidR="00D17A06" w:rsidRPr="006D6D14">
        <w:rPr>
          <w:rFonts w:cstheme="minorHAnsi"/>
          <w:lang w:val="en-US"/>
        </w:rPr>
        <w:t>Khampepe</w:t>
      </w:r>
      <w:proofErr w:type="spellEnd"/>
      <w:r w:rsidR="00D17A06" w:rsidRPr="006D6D14">
        <w:rPr>
          <w:rFonts w:cstheme="minorHAnsi"/>
          <w:lang w:val="en-US"/>
        </w:rPr>
        <w:t xml:space="preserve"> J explained that a court must carefully scrutinize whether granting an interdict will disrupt executive or legislative functions, thus implicating the separation and distribution of power as envisaged by law.</w:t>
      </w:r>
      <w:r w:rsidR="00D17A06">
        <w:rPr>
          <w:rStyle w:val="FootnoteReference"/>
          <w:rFonts w:cstheme="minorHAnsi"/>
          <w:lang w:val="en-US"/>
        </w:rPr>
        <w:footnoteReference w:id="14"/>
      </w:r>
      <w:r w:rsidR="00D17A06" w:rsidRPr="006D6D14">
        <w:rPr>
          <w:rFonts w:cstheme="minorHAnsi"/>
          <w:lang w:val="en-US"/>
        </w:rPr>
        <w:t xml:space="preserve"> It is in that instance that an interim interdict would only be granted in ‘exceptional cases in which a strong case for that relief has been made out’.</w:t>
      </w:r>
      <w:r w:rsidR="00D17A06">
        <w:rPr>
          <w:rStyle w:val="FootnoteReference"/>
          <w:rFonts w:cstheme="minorHAnsi"/>
          <w:lang w:val="en-US"/>
        </w:rPr>
        <w:footnoteReference w:id="15"/>
      </w:r>
      <w:r w:rsidR="00D17A06" w:rsidRPr="006D6D14">
        <w:rPr>
          <w:rFonts w:cstheme="minorHAnsi"/>
          <w:lang w:val="en-US"/>
        </w:rPr>
        <w:t xml:space="preserve"> </w:t>
      </w:r>
      <w:r w:rsidR="00D17A06" w:rsidRPr="006D6D14">
        <w:rPr>
          <w:rFonts w:cstheme="minorHAnsi"/>
          <w:i/>
          <w:iCs/>
          <w:lang w:val="en-US"/>
        </w:rPr>
        <w:t xml:space="preserve"> </w:t>
      </w:r>
    </w:p>
    <w:p w14:paraId="2057F0F5" w14:textId="77777777" w:rsidR="00D17A06" w:rsidRPr="00D65A74" w:rsidRDefault="00D17A06" w:rsidP="00D17A06">
      <w:pPr>
        <w:pStyle w:val="ListParagraph"/>
        <w:rPr>
          <w:rFonts w:cstheme="minorHAnsi"/>
          <w:lang w:val="en-US"/>
        </w:rPr>
      </w:pPr>
    </w:p>
    <w:p w14:paraId="68C3A32C" w14:textId="731A6194" w:rsidR="00D17A06" w:rsidRPr="006D6D14" w:rsidRDefault="006D6D14" w:rsidP="006D6D14">
      <w:pPr>
        <w:autoSpaceDE w:val="0"/>
        <w:autoSpaceDN w:val="0"/>
        <w:adjustRightInd w:val="0"/>
        <w:jc w:val="both"/>
        <w:rPr>
          <w:rFonts w:cstheme="minorHAnsi"/>
          <w:sz w:val="22"/>
          <w:szCs w:val="22"/>
          <w:lang w:val="en-US"/>
        </w:rPr>
      </w:pPr>
      <w:r w:rsidRPr="00D65A74">
        <w:rPr>
          <w:rFonts w:cstheme="minorHAnsi"/>
          <w:sz w:val="22"/>
          <w:szCs w:val="22"/>
          <w:lang w:val="en-US"/>
        </w:rPr>
        <w:lastRenderedPageBreak/>
        <w:t>[15]</w:t>
      </w:r>
      <w:r w:rsidRPr="00D65A74">
        <w:rPr>
          <w:rFonts w:cstheme="minorHAnsi"/>
          <w:sz w:val="22"/>
          <w:szCs w:val="22"/>
          <w:lang w:val="en-US"/>
        </w:rPr>
        <w:tab/>
      </w:r>
      <w:r w:rsidR="00D17A06" w:rsidRPr="006D6D14">
        <w:rPr>
          <w:rFonts w:cstheme="minorHAnsi"/>
          <w:lang w:val="en-US"/>
        </w:rPr>
        <w:t xml:space="preserve">In </w:t>
      </w:r>
      <w:r w:rsidR="00D17A06" w:rsidRPr="006D6D14">
        <w:rPr>
          <w:rFonts w:cstheme="minorHAnsi"/>
          <w:i/>
          <w:iCs/>
          <w:lang w:val="en-US"/>
        </w:rPr>
        <w:t>Eskom</w:t>
      </w:r>
      <w:r w:rsidR="00D17A06" w:rsidRPr="006D6D14">
        <w:rPr>
          <w:rFonts w:cstheme="minorHAnsi"/>
          <w:lang w:val="en-US"/>
        </w:rPr>
        <w:t xml:space="preserve">, </w:t>
      </w:r>
      <w:proofErr w:type="spellStart"/>
      <w:r w:rsidR="00D17A06" w:rsidRPr="006D6D14">
        <w:rPr>
          <w:rFonts w:cstheme="minorHAnsi"/>
          <w:lang w:val="en-US"/>
        </w:rPr>
        <w:t>Madlanga</w:t>
      </w:r>
      <w:proofErr w:type="spellEnd"/>
      <w:r w:rsidR="00D17A06" w:rsidRPr="006D6D14">
        <w:rPr>
          <w:rFonts w:cstheme="minorHAnsi"/>
          <w:lang w:val="en-US"/>
        </w:rPr>
        <w:t xml:space="preserve"> J also considered </w:t>
      </w:r>
      <w:r w:rsidR="00D17A06" w:rsidRPr="006D6D14">
        <w:rPr>
          <w:rFonts w:cstheme="minorHAnsi"/>
          <w:i/>
          <w:iCs/>
          <w:lang w:val="en-US"/>
        </w:rPr>
        <w:t>National Treasury</w:t>
      </w:r>
      <w:r w:rsidR="00D17A06" w:rsidRPr="006D6D14">
        <w:rPr>
          <w:rFonts w:cstheme="minorHAnsi"/>
          <w:lang w:val="en-US"/>
        </w:rPr>
        <w:t xml:space="preserve"> and </w:t>
      </w:r>
      <w:r w:rsidR="00D17A06" w:rsidRPr="006D6D14">
        <w:rPr>
          <w:rFonts w:cstheme="minorHAnsi"/>
          <w:i/>
          <w:iCs/>
          <w:lang w:val="en-US"/>
        </w:rPr>
        <w:t>EFF</w:t>
      </w:r>
      <w:r w:rsidR="00D17A06" w:rsidRPr="006D6D14">
        <w:rPr>
          <w:rFonts w:cstheme="minorHAnsi"/>
          <w:lang w:val="en-US"/>
        </w:rPr>
        <w:t xml:space="preserve"> as part of the enquiry as to the ‘balance of convenience’.</w:t>
      </w:r>
      <w:r w:rsidR="00D17A06">
        <w:rPr>
          <w:rStyle w:val="FootnoteReference"/>
          <w:rFonts w:cstheme="minorHAnsi"/>
          <w:lang w:val="en-US"/>
        </w:rPr>
        <w:footnoteReference w:id="16"/>
      </w:r>
      <w:r w:rsidR="00D17A06" w:rsidRPr="006D6D14">
        <w:rPr>
          <w:rFonts w:cstheme="minorHAnsi"/>
          <w:sz w:val="22"/>
          <w:szCs w:val="22"/>
          <w:lang w:val="en-US"/>
        </w:rPr>
        <w:t xml:space="preserve"> </w:t>
      </w:r>
      <w:r w:rsidR="00D17A06" w:rsidRPr="006D6D14">
        <w:rPr>
          <w:lang w:val="en-GB"/>
        </w:rPr>
        <w:t xml:space="preserve">It is useful to highlight the distinction drawn in </w:t>
      </w:r>
      <w:r w:rsidR="00D17A06" w:rsidRPr="006D6D14">
        <w:rPr>
          <w:i/>
          <w:iCs/>
          <w:lang w:val="en-GB"/>
        </w:rPr>
        <w:t>EFF</w:t>
      </w:r>
      <w:r w:rsidR="00D17A06" w:rsidRPr="006D6D14">
        <w:rPr>
          <w:lang w:val="en-GB"/>
        </w:rPr>
        <w:t xml:space="preserve"> as to the applicability of a more stringent requirement(s):</w:t>
      </w:r>
    </w:p>
    <w:p w14:paraId="3457BA5C" w14:textId="45478E97" w:rsidR="00D17A06" w:rsidRDefault="00D17A06" w:rsidP="00D17A06">
      <w:pPr>
        <w:pStyle w:val="ListParagraph"/>
        <w:autoSpaceDE w:val="0"/>
        <w:autoSpaceDN w:val="0"/>
        <w:adjustRightInd w:val="0"/>
        <w:ind w:left="0"/>
        <w:jc w:val="both"/>
        <w:rPr>
          <w:sz w:val="22"/>
          <w:szCs w:val="22"/>
          <w:lang w:val="en-GB"/>
        </w:rPr>
      </w:pPr>
      <w:r>
        <w:rPr>
          <w:sz w:val="22"/>
          <w:szCs w:val="22"/>
          <w:lang w:val="en-GB"/>
        </w:rPr>
        <w:t>‘[58] How would an interim interdict hinder the Public Protector in the exercise of her powers, or prevent her from exercising her functions once the report is released and in the public domain? … The Public Protector is not rendered ineffective since the investigation has been completed, the SARS Report has been finalised and published and the interim interdict is sought merely to protect the prima facie rights of an applicant…</w:t>
      </w:r>
    </w:p>
    <w:p w14:paraId="24951A10" w14:textId="77777777" w:rsidR="00D17A06" w:rsidRDefault="00D17A06" w:rsidP="00D17A06">
      <w:pPr>
        <w:pStyle w:val="ListParagraph"/>
        <w:autoSpaceDE w:val="0"/>
        <w:autoSpaceDN w:val="0"/>
        <w:adjustRightInd w:val="0"/>
        <w:ind w:left="0"/>
        <w:jc w:val="both"/>
        <w:rPr>
          <w:sz w:val="22"/>
          <w:szCs w:val="22"/>
          <w:lang w:val="en-GB"/>
        </w:rPr>
      </w:pPr>
    </w:p>
    <w:p w14:paraId="0715ABF6" w14:textId="77777777" w:rsidR="00D17A06" w:rsidRDefault="00D17A06" w:rsidP="00D17A06">
      <w:pPr>
        <w:pStyle w:val="ListParagraph"/>
        <w:autoSpaceDE w:val="0"/>
        <w:autoSpaceDN w:val="0"/>
        <w:adjustRightInd w:val="0"/>
        <w:ind w:left="0"/>
        <w:jc w:val="both"/>
        <w:rPr>
          <w:sz w:val="22"/>
          <w:szCs w:val="22"/>
          <w:lang w:val="en-GB"/>
        </w:rPr>
      </w:pPr>
      <w:r>
        <w:rPr>
          <w:sz w:val="22"/>
          <w:szCs w:val="22"/>
          <w:lang w:val="en-GB"/>
        </w:rPr>
        <w:t xml:space="preserve">[59] While I acknowledge that </w:t>
      </w:r>
      <w:r>
        <w:rPr>
          <w:i/>
          <w:iCs/>
          <w:sz w:val="22"/>
          <w:szCs w:val="22"/>
          <w:lang w:val="en-GB"/>
        </w:rPr>
        <w:t xml:space="preserve">OUTA </w:t>
      </w:r>
      <w:r>
        <w:rPr>
          <w:sz w:val="22"/>
          <w:szCs w:val="22"/>
          <w:lang w:val="en-GB"/>
        </w:rPr>
        <w:t xml:space="preserve">is distinguishable on the facts from the present matter, it is this very distinction that highlights the lack of prospects of success in the present case … </w:t>
      </w:r>
    </w:p>
    <w:p w14:paraId="6572AF2B" w14:textId="77777777" w:rsidR="00D17A06" w:rsidRDefault="00D17A06" w:rsidP="00D17A06">
      <w:pPr>
        <w:pStyle w:val="ListParagraph"/>
        <w:autoSpaceDE w:val="0"/>
        <w:autoSpaceDN w:val="0"/>
        <w:adjustRightInd w:val="0"/>
        <w:ind w:left="0"/>
        <w:jc w:val="both"/>
        <w:rPr>
          <w:sz w:val="22"/>
          <w:szCs w:val="22"/>
          <w:lang w:val="en-GB"/>
        </w:rPr>
      </w:pPr>
    </w:p>
    <w:p w14:paraId="7BB6E44D" w14:textId="77777777" w:rsidR="00D17A06" w:rsidRPr="008D567D" w:rsidRDefault="00D17A06" w:rsidP="00D17A06">
      <w:pPr>
        <w:pStyle w:val="ListParagraph"/>
        <w:autoSpaceDE w:val="0"/>
        <w:autoSpaceDN w:val="0"/>
        <w:adjustRightInd w:val="0"/>
        <w:ind w:left="0"/>
        <w:jc w:val="both"/>
        <w:rPr>
          <w:sz w:val="22"/>
          <w:szCs w:val="22"/>
          <w:lang w:val="en-GB"/>
        </w:rPr>
      </w:pPr>
      <w:r>
        <w:rPr>
          <w:sz w:val="22"/>
          <w:szCs w:val="22"/>
          <w:lang w:val="en-GB"/>
        </w:rPr>
        <w:t xml:space="preserve">[60] What is evident from the above is that the interim order sought in </w:t>
      </w:r>
      <w:r>
        <w:rPr>
          <w:i/>
          <w:iCs/>
          <w:sz w:val="22"/>
          <w:szCs w:val="22"/>
          <w:lang w:val="en-GB"/>
        </w:rPr>
        <w:t>OUTA</w:t>
      </w:r>
      <w:r>
        <w:rPr>
          <w:sz w:val="22"/>
          <w:szCs w:val="22"/>
          <w:lang w:val="en-GB"/>
        </w:rPr>
        <w:t xml:space="preserve"> would thwart the executive from carrying out its statutory and budgetary duties as required by statute [to raise revenue through tolls, a power vested by statute]. Plainly put, it would prevent the executive from doing what it was meant to do. Here, the interim interdict sought is different. The Public Protector has already performed the duties and functions that the Constitution requires of her. As I have stated before, the SARS Report has been completed. Her powers have been exercised and the SARS Report has been published. The interim interdict sought in the High Court therefore did not have the effect of subverting her constitutional powers.’</w:t>
      </w:r>
    </w:p>
    <w:p w14:paraId="65F822EC" w14:textId="450A7A14" w:rsidR="00DD1BAE" w:rsidRDefault="00DD1BAE" w:rsidP="00DD1BAE">
      <w:pPr>
        <w:pStyle w:val="ListParagraph"/>
        <w:autoSpaceDE w:val="0"/>
        <w:autoSpaceDN w:val="0"/>
        <w:adjustRightInd w:val="0"/>
        <w:ind w:left="0"/>
        <w:jc w:val="both"/>
        <w:rPr>
          <w:lang w:val="en-GB"/>
        </w:rPr>
      </w:pPr>
    </w:p>
    <w:p w14:paraId="3DFA34FF" w14:textId="7CD3E09B" w:rsidR="00EE68DA" w:rsidRDefault="00EE68DA" w:rsidP="00DD1BAE">
      <w:pPr>
        <w:pStyle w:val="ListParagraph"/>
        <w:autoSpaceDE w:val="0"/>
        <w:autoSpaceDN w:val="0"/>
        <w:adjustRightInd w:val="0"/>
        <w:ind w:left="0"/>
        <w:jc w:val="both"/>
        <w:rPr>
          <w:b/>
          <w:lang w:val="en-GB"/>
        </w:rPr>
      </w:pPr>
      <w:r>
        <w:rPr>
          <w:b/>
          <w:lang w:val="en-GB"/>
        </w:rPr>
        <w:t>Interdict pending review</w:t>
      </w:r>
    </w:p>
    <w:p w14:paraId="675C9916" w14:textId="77777777" w:rsidR="00EE68DA" w:rsidRPr="00EE68DA" w:rsidRDefault="00EE68DA" w:rsidP="00DD1BAE">
      <w:pPr>
        <w:pStyle w:val="ListParagraph"/>
        <w:autoSpaceDE w:val="0"/>
        <w:autoSpaceDN w:val="0"/>
        <w:adjustRightInd w:val="0"/>
        <w:ind w:left="0"/>
        <w:jc w:val="both"/>
        <w:rPr>
          <w:b/>
          <w:lang w:val="en-GB"/>
        </w:rPr>
      </w:pPr>
    </w:p>
    <w:p w14:paraId="22A2ABE8" w14:textId="3E0B8768" w:rsidR="00DD1BAE" w:rsidRPr="006D6D14" w:rsidRDefault="006D6D14" w:rsidP="006D6D14">
      <w:pPr>
        <w:autoSpaceDE w:val="0"/>
        <w:autoSpaceDN w:val="0"/>
        <w:adjustRightInd w:val="0"/>
        <w:jc w:val="both"/>
        <w:rPr>
          <w:lang w:val="en-GB"/>
        </w:rPr>
      </w:pPr>
      <w:r>
        <w:rPr>
          <w:lang w:val="en-GB"/>
        </w:rPr>
        <w:t>[16]</w:t>
      </w:r>
      <w:r>
        <w:rPr>
          <w:lang w:val="en-GB"/>
        </w:rPr>
        <w:tab/>
      </w:r>
      <w:r w:rsidR="00EE68DA" w:rsidRPr="006D6D14">
        <w:rPr>
          <w:lang w:val="en-GB"/>
        </w:rPr>
        <w:t xml:space="preserve">It is convenient to consider this dimension of the application first. </w:t>
      </w:r>
      <w:r w:rsidR="00E9569F" w:rsidRPr="006D6D14">
        <w:rPr>
          <w:lang w:val="en-GB"/>
        </w:rPr>
        <w:t xml:space="preserve">On the facts, </w:t>
      </w:r>
      <w:r w:rsidR="00DD1BAE" w:rsidRPr="006D6D14">
        <w:rPr>
          <w:lang w:val="en-GB"/>
        </w:rPr>
        <w:t xml:space="preserve">I have little difficulty in following the </w:t>
      </w:r>
      <w:r w:rsidR="00E9569F" w:rsidRPr="006D6D14">
        <w:rPr>
          <w:lang w:val="en-GB"/>
        </w:rPr>
        <w:t xml:space="preserve">various </w:t>
      </w:r>
      <w:r w:rsidR="00DD1BAE" w:rsidRPr="006D6D14">
        <w:rPr>
          <w:lang w:val="en-GB"/>
        </w:rPr>
        <w:t>authorities that have maintained the status quo pending the finalisation of a review application concerning the scoring system for the tenders in question.</w:t>
      </w:r>
      <w:r w:rsidR="004128F9">
        <w:rPr>
          <w:rStyle w:val="FootnoteReference"/>
          <w:lang w:val="en-GB"/>
        </w:rPr>
        <w:footnoteReference w:id="17"/>
      </w:r>
      <w:r w:rsidR="00DD1BAE" w:rsidRPr="006D6D14">
        <w:rPr>
          <w:lang w:val="en-GB"/>
        </w:rPr>
        <w:t xml:space="preserve"> </w:t>
      </w:r>
      <w:r w:rsidR="00A81379" w:rsidRPr="006D6D14">
        <w:rPr>
          <w:lang w:val="en-GB"/>
        </w:rPr>
        <w:t xml:space="preserve">These authorities have relied on the principle that a party in the position of the applicant will not be able to obtain ‘pragmatic and practical’ just and equitable relief in a pending review application in the event that a party in the position </w:t>
      </w:r>
      <w:r w:rsidR="00A81379" w:rsidRPr="006D6D14">
        <w:rPr>
          <w:lang w:val="en-GB"/>
        </w:rPr>
        <w:lastRenderedPageBreak/>
        <w:t>of the Department is not interdicted from implementing a new scoring system in the interim</w:t>
      </w:r>
      <w:r w:rsidR="0071087E" w:rsidRPr="006D6D14">
        <w:rPr>
          <w:lang w:val="en-GB"/>
        </w:rPr>
        <w:t>:</w:t>
      </w:r>
      <w:r w:rsidR="009B4E1F">
        <w:rPr>
          <w:rStyle w:val="FootnoteReference"/>
          <w:lang w:val="en-GB"/>
        </w:rPr>
        <w:footnoteReference w:id="18"/>
      </w:r>
    </w:p>
    <w:p w14:paraId="0196EDF1" w14:textId="4065F654" w:rsidR="0071087E" w:rsidRDefault="0071087E" w:rsidP="009B4E1F">
      <w:pPr>
        <w:jc w:val="both"/>
        <w:rPr>
          <w:sz w:val="22"/>
          <w:szCs w:val="22"/>
          <w:lang w:val="en-GB"/>
        </w:rPr>
      </w:pPr>
      <w:r>
        <w:rPr>
          <w:sz w:val="22"/>
          <w:szCs w:val="22"/>
          <w:lang w:val="en-GB"/>
        </w:rPr>
        <w:t xml:space="preserve">‘Relief capable of being implemented is part of the fundamental right to have disputes adjudicated in a court of law. And this is dependent on the </w:t>
      </w:r>
      <w:r>
        <w:rPr>
          <w:i/>
          <w:iCs/>
          <w:sz w:val="22"/>
          <w:szCs w:val="22"/>
          <w:lang w:val="en-GB"/>
        </w:rPr>
        <w:t>status quo</w:t>
      </w:r>
      <w:r>
        <w:rPr>
          <w:sz w:val="22"/>
          <w:szCs w:val="22"/>
          <w:lang w:val="en-GB"/>
        </w:rPr>
        <w:t xml:space="preserve"> (before the new scoring system) being maintained.’</w:t>
      </w:r>
    </w:p>
    <w:p w14:paraId="22A7BD20" w14:textId="77777777" w:rsidR="002B7ABF" w:rsidRPr="0071087E" w:rsidRDefault="002B7ABF" w:rsidP="009B4E1F">
      <w:pPr>
        <w:jc w:val="both"/>
        <w:rPr>
          <w:sz w:val="22"/>
          <w:szCs w:val="22"/>
          <w:lang w:val="en-GB"/>
        </w:rPr>
      </w:pPr>
    </w:p>
    <w:p w14:paraId="3ABD0C8A" w14:textId="4591213E" w:rsidR="0071087E" w:rsidRPr="006D6D14" w:rsidRDefault="006D6D14" w:rsidP="006D6D14">
      <w:pPr>
        <w:autoSpaceDE w:val="0"/>
        <w:autoSpaceDN w:val="0"/>
        <w:adjustRightInd w:val="0"/>
        <w:jc w:val="both"/>
        <w:rPr>
          <w:lang w:val="en-GB"/>
        </w:rPr>
      </w:pPr>
      <w:r>
        <w:rPr>
          <w:lang w:val="en-GB"/>
        </w:rPr>
        <w:t>[17]</w:t>
      </w:r>
      <w:r>
        <w:rPr>
          <w:lang w:val="en-GB"/>
        </w:rPr>
        <w:tab/>
      </w:r>
      <w:r w:rsidR="002B7ABF" w:rsidRPr="006D6D14">
        <w:rPr>
          <w:lang w:val="en-GB"/>
        </w:rPr>
        <w:t xml:space="preserve">The key question as to whether a </w:t>
      </w:r>
      <w:r w:rsidR="002B7ABF" w:rsidRPr="006D6D14">
        <w:rPr>
          <w:i/>
          <w:iCs/>
          <w:lang w:val="en-GB"/>
        </w:rPr>
        <w:t xml:space="preserve">prima facie </w:t>
      </w:r>
      <w:r w:rsidR="002B7ABF" w:rsidRPr="006D6D14">
        <w:rPr>
          <w:lang w:val="en-GB"/>
        </w:rPr>
        <w:t>case has been made out for interim relief</w:t>
      </w:r>
      <w:r w:rsidR="00092B84" w:rsidRPr="006D6D14">
        <w:rPr>
          <w:lang w:val="en-GB"/>
        </w:rPr>
        <w:t>,</w:t>
      </w:r>
      <w:r w:rsidR="002B7ABF" w:rsidRPr="006D6D14">
        <w:rPr>
          <w:lang w:val="en-GB"/>
        </w:rPr>
        <w:t xml:space="preserve"> </w:t>
      </w:r>
      <w:r w:rsidR="00092B84" w:rsidRPr="006D6D14">
        <w:rPr>
          <w:lang w:val="en-GB"/>
        </w:rPr>
        <w:t>including</w:t>
      </w:r>
      <w:r w:rsidR="002B7ABF" w:rsidRPr="006D6D14">
        <w:rPr>
          <w:lang w:val="en-GB"/>
        </w:rPr>
        <w:t xml:space="preserve"> whether the applicant ‘should’ obtain the relief it seeks</w:t>
      </w:r>
      <w:r w:rsidR="00092B84" w:rsidRPr="006D6D14">
        <w:rPr>
          <w:lang w:val="en-GB"/>
        </w:rPr>
        <w:t>,</w:t>
      </w:r>
      <w:r w:rsidR="002B7ABF" w:rsidRPr="006D6D14">
        <w:rPr>
          <w:lang w:val="en-GB"/>
        </w:rPr>
        <w:t xml:space="preserve"> draws the prospects of success in the review application into the enquiry. </w:t>
      </w:r>
      <w:r w:rsidR="00092B84" w:rsidRPr="006D6D14">
        <w:rPr>
          <w:lang w:val="en-GB"/>
        </w:rPr>
        <w:t>The other requirements for the granting of interim relief must also be established, and considered holistically</w:t>
      </w:r>
      <w:r w:rsidR="00A4689D" w:rsidRPr="006D6D14">
        <w:rPr>
          <w:lang w:val="en-GB"/>
        </w:rPr>
        <w:t>, and through the constitutional prism,</w:t>
      </w:r>
      <w:r w:rsidR="00092B84" w:rsidRPr="006D6D14">
        <w:rPr>
          <w:lang w:val="en-GB"/>
        </w:rPr>
        <w:t xml:space="preserve"> as part of the process to determine whether to exercise the discretion to interdict the new tenders.</w:t>
      </w:r>
    </w:p>
    <w:p w14:paraId="01D26CB1" w14:textId="77777777" w:rsidR="002665C5" w:rsidRDefault="002665C5" w:rsidP="002665C5">
      <w:pPr>
        <w:pStyle w:val="ListParagraph"/>
        <w:autoSpaceDE w:val="0"/>
        <w:autoSpaceDN w:val="0"/>
        <w:adjustRightInd w:val="0"/>
        <w:ind w:left="0"/>
        <w:jc w:val="both"/>
        <w:rPr>
          <w:lang w:val="en-GB"/>
        </w:rPr>
      </w:pPr>
    </w:p>
    <w:p w14:paraId="288ECBF3" w14:textId="7F53D293" w:rsidR="002665C5" w:rsidRPr="006D6D14" w:rsidRDefault="006D6D14" w:rsidP="006D6D14">
      <w:pPr>
        <w:autoSpaceDE w:val="0"/>
        <w:autoSpaceDN w:val="0"/>
        <w:adjustRightInd w:val="0"/>
        <w:jc w:val="both"/>
        <w:rPr>
          <w:lang w:val="en-GB"/>
        </w:rPr>
      </w:pPr>
      <w:r>
        <w:rPr>
          <w:lang w:val="en-GB"/>
        </w:rPr>
        <w:t>[18]</w:t>
      </w:r>
      <w:r>
        <w:rPr>
          <w:lang w:val="en-GB"/>
        </w:rPr>
        <w:tab/>
      </w:r>
      <w:r w:rsidR="002665C5" w:rsidRPr="006D6D14">
        <w:rPr>
          <w:lang w:val="en-GB"/>
        </w:rPr>
        <w:t>The analysis of the Preferential Procurement Policy Framework Act</w:t>
      </w:r>
      <w:r w:rsidR="002B6A4D" w:rsidRPr="006D6D14">
        <w:rPr>
          <w:lang w:val="en-GB"/>
        </w:rPr>
        <w:t>, 2000</w:t>
      </w:r>
      <w:r w:rsidR="002665C5">
        <w:rPr>
          <w:rStyle w:val="FootnoteReference"/>
          <w:lang w:val="en-GB"/>
        </w:rPr>
        <w:footnoteReference w:id="19"/>
      </w:r>
      <w:r w:rsidR="002B6A4D" w:rsidRPr="006D6D14">
        <w:rPr>
          <w:lang w:val="en-GB"/>
        </w:rPr>
        <w:t xml:space="preserve"> the Preferential Procurement Regulations, 2022 and the Broad-based Black Economic Empowerment Act, 2003</w:t>
      </w:r>
      <w:r w:rsidR="002B6A4D">
        <w:rPr>
          <w:rStyle w:val="FootnoteReference"/>
          <w:lang w:val="en-GB"/>
        </w:rPr>
        <w:footnoteReference w:id="20"/>
      </w:r>
      <w:r w:rsidR="00DD3969" w:rsidRPr="006D6D14">
        <w:rPr>
          <w:lang w:val="en-GB"/>
        </w:rPr>
        <w:t xml:space="preserve"> (‘the BBBEE Act’)</w:t>
      </w:r>
      <w:r w:rsidR="005660EE" w:rsidRPr="006D6D14">
        <w:rPr>
          <w:lang w:val="en-GB"/>
        </w:rPr>
        <w:t xml:space="preserve"> in the decision</w:t>
      </w:r>
      <w:r w:rsidR="000E0256" w:rsidRPr="006D6D14">
        <w:rPr>
          <w:lang w:val="en-GB"/>
        </w:rPr>
        <w:t>s</w:t>
      </w:r>
      <w:r w:rsidR="005660EE" w:rsidRPr="006D6D14">
        <w:rPr>
          <w:lang w:val="en-GB"/>
        </w:rPr>
        <w:t xml:space="preserve"> to which I have been referred </w:t>
      </w:r>
      <w:r w:rsidR="000E0256" w:rsidRPr="006D6D14">
        <w:rPr>
          <w:lang w:val="en-GB"/>
        </w:rPr>
        <w:t xml:space="preserve">need not be repeated. </w:t>
      </w:r>
      <w:r w:rsidR="00F00C1A" w:rsidRPr="006D6D14">
        <w:rPr>
          <w:lang w:val="en-GB"/>
        </w:rPr>
        <w:t xml:space="preserve">The applicant echoes the </w:t>
      </w:r>
      <w:r w:rsidR="00DD29D7" w:rsidRPr="006D6D14">
        <w:rPr>
          <w:lang w:val="en-GB"/>
        </w:rPr>
        <w:t xml:space="preserve">arguments advanced in those matters. </w:t>
      </w:r>
      <w:r w:rsidR="004B4230" w:rsidRPr="006D6D14">
        <w:rPr>
          <w:lang w:val="en-GB"/>
        </w:rPr>
        <w:t>T</w:t>
      </w:r>
      <w:r w:rsidR="00C07262" w:rsidRPr="006D6D14">
        <w:rPr>
          <w:lang w:val="en-GB"/>
        </w:rPr>
        <w:t xml:space="preserve">he applicant has </w:t>
      </w:r>
      <w:r w:rsidR="004B4230" w:rsidRPr="006D6D14">
        <w:rPr>
          <w:lang w:val="en-GB"/>
        </w:rPr>
        <w:t xml:space="preserve">at least </w:t>
      </w:r>
      <w:r w:rsidR="00C07262" w:rsidRPr="006D6D14">
        <w:rPr>
          <w:lang w:val="en-GB"/>
        </w:rPr>
        <w:t>established on a prima facie basis that i</w:t>
      </w:r>
      <w:r w:rsidR="00962601" w:rsidRPr="006D6D14">
        <w:rPr>
          <w:lang w:val="en-GB"/>
        </w:rPr>
        <w:t>t enjoys the</w:t>
      </w:r>
      <w:r w:rsidR="00C07262" w:rsidRPr="006D6D14">
        <w:rPr>
          <w:lang w:val="en-GB"/>
        </w:rPr>
        <w:t xml:space="preserve"> right to participate in a tender bidding process</w:t>
      </w:r>
      <w:r w:rsidR="005D1026" w:rsidRPr="006D6D14">
        <w:rPr>
          <w:lang w:val="en-GB"/>
        </w:rPr>
        <w:t>,</w:t>
      </w:r>
      <w:r w:rsidR="00C07262" w:rsidRPr="006D6D14">
        <w:rPr>
          <w:lang w:val="en-GB"/>
        </w:rPr>
        <w:t xml:space="preserve"> and to have its bids evaluated and adjudicated with a</w:t>
      </w:r>
      <w:r w:rsidR="005D1026" w:rsidRPr="006D6D14">
        <w:rPr>
          <w:lang w:val="en-GB"/>
        </w:rPr>
        <w:t xml:space="preserve"> system which is fair, lawful and constitutionally compliant</w:t>
      </w:r>
      <w:r w:rsidR="00962601" w:rsidRPr="006D6D14">
        <w:rPr>
          <w:lang w:val="en-GB"/>
        </w:rPr>
        <w:t xml:space="preserve">. That right is threatened by </w:t>
      </w:r>
      <w:r w:rsidR="00DD3969" w:rsidRPr="006D6D14">
        <w:rPr>
          <w:lang w:val="en-GB"/>
        </w:rPr>
        <w:t>the introduction of a scoring system that seemingly failed to consider a relevant code of good practice issued in terms of the BBBEE Act</w:t>
      </w:r>
      <w:r w:rsidR="008A70B8" w:rsidRPr="006D6D14">
        <w:rPr>
          <w:lang w:val="en-GB"/>
        </w:rPr>
        <w:t xml:space="preserve">. The applicant’s detailed submissions on the mandatory application of the Construction Sector Code, as amended, its significance in the context of the Construction Sector Transformation Charter and the BBBEE Act, </w:t>
      </w:r>
      <w:r w:rsidR="00B41FB6" w:rsidRPr="006D6D14">
        <w:rPr>
          <w:lang w:val="en-GB"/>
        </w:rPr>
        <w:t xml:space="preserve">and the contrast with the new scoring policy, </w:t>
      </w:r>
      <w:r w:rsidR="008A70B8" w:rsidRPr="006D6D14">
        <w:rPr>
          <w:lang w:val="en-GB"/>
        </w:rPr>
        <w:t xml:space="preserve">have simply been ignored </w:t>
      </w:r>
      <w:r w:rsidR="001B1D27" w:rsidRPr="006D6D14">
        <w:rPr>
          <w:lang w:val="en-GB"/>
        </w:rPr>
        <w:t>by</w:t>
      </w:r>
      <w:r w:rsidR="008A70B8" w:rsidRPr="006D6D14">
        <w:rPr>
          <w:lang w:val="en-GB"/>
        </w:rPr>
        <w:t xml:space="preserve"> the Department</w:t>
      </w:r>
      <w:r w:rsidR="001B1D27" w:rsidRPr="006D6D14">
        <w:rPr>
          <w:lang w:val="en-GB"/>
        </w:rPr>
        <w:t xml:space="preserve"> in its papers and during argument. </w:t>
      </w:r>
      <w:r w:rsidR="004F55ED" w:rsidRPr="006D6D14">
        <w:rPr>
          <w:lang w:val="en-GB"/>
        </w:rPr>
        <w:t>The applicant has, for this reason alone, satisfied the requirement of a prima facie right to protect the relief it seeks in the Part B proceedings</w:t>
      </w:r>
      <w:r w:rsidR="000B2A62" w:rsidRPr="006D6D14">
        <w:rPr>
          <w:lang w:val="en-GB"/>
        </w:rPr>
        <w:t>, based on non-compliance with the applicable legal framework for preferential procurement policy-making</w:t>
      </w:r>
      <w:r w:rsidR="004F55ED" w:rsidRPr="006D6D14">
        <w:rPr>
          <w:lang w:val="en-GB"/>
        </w:rPr>
        <w:t>.</w:t>
      </w:r>
      <w:r w:rsidR="00486BC6">
        <w:rPr>
          <w:rStyle w:val="FootnoteReference"/>
          <w:lang w:val="en-GB"/>
        </w:rPr>
        <w:footnoteReference w:id="21"/>
      </w:r>
      <w:r w:rsidR="00C451AE" w:rsidRPr="006D6D14">
        <w:rPr>
          <w:lang w:val="en-GB"/>
        </w:rPr>
        <w:t xml:space="preserve"> This bearing in mind </w:t>
      </w:r>
      <w:r w:rsidR="00C451AE" w:rsidRPr="006D6D14">
        <w:rPr>
          <w:lang w:val="en-GB"/>
        </w:rPr>
        <w:lastRenderedPageBreak/>
        <w:t xml:space="preserve">that </w:t>
      </w:r>
      <w:r w:rsidR="00FE3042" w:rsidRPr="006D6D14">
        <w:rPr>
          <w:lang w:val="en-GB"/>
        </w:rPr>
        <w:t xml:space="preserve">the </w:t>
      </w:r>
      <w:r w:rsidR="00C451AE" w:rsidRPr="006D6D14">
        <w:rPr>
          <w:lang w:val="en-GB"/>
        </w:rPr>
        <w:t>P</w:t>
      </w:r>
      <w:r w:rsidR="00FE3042" w:rsidRPr="006D6D14">
        <w:rPr>
          <w:lang w:val="en-GB"/>
        </w:rPr>
        <w:t xml:space="preserve">romotion of </w:t>
      </w:r>
      <w:r w:rsidR="00C451AE" w:rsidRPr="006D6D14">
        <w:rPr>
          <w:lang w:val="en-GB"/>
        </w:rPr>
        <w:t>A</w:t>
      </w:r>
      <w:r w:rsidR="00FE3042" w:rsidRPr="006D6D14">
        <w:rPr>
          <w:lang w:val="en-GB"/>
        </w:rPr>
        <w:t xml:space="preserve">dministrative Justice </w:t>
      </w:r>
      <w:r w:rsidR="00C451AE" w:rsidRPr="006D6D14">
        <w:rPr>
          <w:lang w:val="en-GB"/>
        </w:rPr>
        <w:t>A</w:t>
      </w:r>
      <w:r w:rsidR="00FE3042" w:rsidRPr="006D6D14">
        <w:rPr>
          <w:lang w:val="en-GB"/>
        </w:rPr>
        <w:t>ct, 2000,</w:t>
      </w:r>
      <w:r w:rsidR="006A367E">
        <w:rPr>
          <w:rStyle w:val="FootnoteReference"/>
          <w:lang w:val="en-GB"/>
        </w:rPr>
        <w:footnoteReference w:id="22"/>
      </w:r>
      <w:r w:rsidR="00444369" w:rsidRPr="006D6D14">
        <w:rPr>
          <w:lang w:val="en-GB"/>
        </w:rPr>
        <w:t xml:space="preserve"> (‘PAJA’)</w:t>
      </w:r>
      <w:r w:rsidR="00C451AE" w:rsidRPr="006D6D14">
        <w:rPr>
          <w:lang w:val="en-GB"/>
        </w:rPr>
        <w:t xml:space="preserve"> provides that administrative action that was materially influenced by an error of law may be judicially reviewed.</w:t>
      </w:r>
      <w:r w:rsidR="00C451AE">
        <w:rPr>
          <w:rStyle w:val="FootnoteReference"/>
          <w:lang w:val="en-GB"/>
        </w:rPr>
        <w:footnoteReference w:id="23"/>
      </w:r>
      <w:r w:rsidR="00C451AE" w:rsidRPr="006D6D14">
        <w:rPr>
          <w:lang w:val="en-GB"/>
        </w:rPr>
        <w:t xml:space="preserve"> </w:t>
      </w:r>
      <w:r w:rsidR="00EC5C39" w:rsidRPr="006D6D14">
        <w:rPr>
          <w:lang w:val="en-GB"/>
        </w:rPr>
        <w:t>No serious doubt has been cas</w:t>
      </w:r>
      <w:r w:rsidR="000B2A62" w:rsidRPr="006D6D14">
        <w:rPr>
          <w:lang w:val="en-GB"/>
        </w:rPr>
        <w:t>t</w:t>
      </w:r>
      <w:r w:rsidR="00EC5C39" w:rsidRPr="006D6D14">
        <w:rPr>
          <w:lang w:val="en-GB"/>
        </w:rPr>
        <w:t xml:space="preserve"> upon the case advanced and </w:t>
      </w:r>
      <w:r w:rsidR="004A4C80" w:rsidRPr="006D6D14">
        <w:rPr>
          <w:lang w:val="en-GB"/>
        </w:rPr>
        <w:t>the simpl</w:t>
      </w:r>
      <w:r w:rsidR="00275AA3" w:rsidRPr="006D6D14">
        <w:rPr>
          <w:lang w:val="en-GB"/>
        </w:rPr>
        <w:t>e</w:t>
      </w:r>
      <w:r w:rsidR="004A4C80" w:rsidRPr="006D6D14">
        <w:rPr>
          <w:lang w:val="en-GB"/>
        </w:rPr>
        <w:t xml:space="preserve"> suggestion that the new policy ‘complies with the constitutional, statutory and regulatory framework and complies with the approach adopted by the Constitutional Court…’ is </w:t>
      </w:r>
      <w:r w:rsidR="00D92CCC" w:rsidRPr="006D6D14">
        <w:rPr>
          <w:lang w:val="en-GB"/>
        </w:rPr>
        <w:t xml:space="preserve">left </w:t>
      </w:r>
      <w:r w:rsidR="004A4C80" w:rsidRPr="006D6D14">
        <w:rPr>
          <w:lang w:val="en-GB"/>
        </w:rPr>
        <w:t>unsubstantiated.</w:t>
      </w:r>
      <w:r w:rsidR="00486BC6" w:rsidRPr="006D6D14">
        <w:rPr>
          <w:lang w:val="en-GB"/>
        </w:rPr>
        <w:t xml:space="preserve"> </w:t>
      </w:r>
    </w:p>
    <w:p w14:paraId="735A3B03" w14:textId="77777777" w:rsidR="00DD29D7" w:rsidRPr="00DD29D7" w:rsidRDefault="00DD29D7" w:rsidP="00DD29D7">
      <w:pPr>
        <w:pStyle w:val="ListParagraph"/>
        <w:rPr>
          <w:lang w:val="en-GB"/>
        </w:rPr>
      </w:pPr>
    </w:p>
    <w:p w14:paraId="311BE628" w14:textId="4F1C803A" w:rsidR="009C0049" w:rsidRPr="006D6D14" w:rsidRDefault="006D6D14" w:rsidP="006D6D14">
      <w:pPr>
        <w:autoSpaceDE w:val="0"/>
        <w:autoSpaceDN w:val="0"/>
        <w:adjustRightInd w:val="0"/>
        <w:jc w:val="both"/>
        <w:rPr>
          <w:lang w:val="en-GB"/>
        </w:rPr>
      </w:pPr>
      <w:r>
        <w:rPr>
          <w:lang w:val="en-GB"/>
        </w:rPr>
        <w:t>[19]</w:t>
      </w:r>
      <w:r>
        <w:rPr>
          <w:lang w:val="en-GB"/>
        </w:rPr>
        <w:tab/>
      </w:r>
      <w:r w:rsidR="00997884" w:rsidRPr="006D6D14">
        <w:rPr>
          <w:lang w:val="en-GB"/>
        </w:rPr>
        <w:t>The other requirements for granting the interim interdict pending the review have also been satisfied. In particular, the balance of convenience favours the applicant</w:t>
      </w:r>
      <w:r w:rsidR="00FE0278" w:rsidRPr="006D6D14">
        <w:rPr>
          <w:lang w:val="en-GB"/>
        </w:rPr>
        <w:t>, bearing in mind the constitutional underpinning</w:t>
      </w:r>
      <w:r w:rsidR="00456D53" w:rsidRPr="006D6D14">
        <w:rPr>
          <w:lang w:val="en-GB"/>
        </w:rPr>
        <w:t>s</w:t>
      </w:r>
      <w:r w:rsidR="00734A05" w:rsidRPr="006D6D14">
        <w:rPr>
          <w:lang w:val="en-GB"/>
        </w:rPr>
        <w:t xml:space="preserve"> and strength</w:t>
      </w:r>
      <w:r w:rsidR="00FE0278" w:rsidRPr="006D6D14">
        <w:rPr>
          <w:lang w:val="en-GB"/>
        </w:rPr>
        <w:t xml:space="preserve"> of its application.</w:t>
      </w:r>
      <w:r w:rsidR="00997884" w:rsidRPr="006D6D14">
        <w:rPr>
          <w:lang w:val="en-GB"/>
        </w:rPr>
        <w:t xml:space="preserve"> </w:t>
      </w:r>
      <w:r w:rsidR="00456D53" w:rsidRPr="006D6D14">
        <w:rPr>
          <w:lang w:val="en-GB"/>
        </w:rPr>
        <w:t xml:space="preserve">While it may be accepted, generally speaking, that it is undesirable for the Department to be forced to contract for work on a ‘deviation’ or ad hoc basis over an extended period of time, </w:t>
      </w:r>
      <w:r w:rsidR="00DB6B6B" w:rsidRPr="006D6D14">
        <w:rPr>
          <w:lang w:val="en-GB"/>
        </w:rPr>
        <w:t xml:space="preserve">on the papers before me </w:t>
      </w:r>
      <w:r w:rsidR="00F47E84" w:rsidRPr="006D6D14">
        <w:rPr>
          <w:lang w:val="en-GB"/>
        </w:rPr>
        <w:t xml:space="preserve">that prejudice cannot be said to override the risks to the applicant </w:t>
      </w:r>
      <w:r w:rsidR="00943021" w:rsidRPr="006D6D14">
        <w:rPr>
          <w:lang w:val="en-GB"/>
        </w:rPr>
        <w:t xml:space="preserve">if the new tenders are not interdicted. </w:t>
      </w:r>
      <w:r w:rsidR="00315D99" w:rsidRPr="006D6D14">
        <w:rPr>
          <w:lang w:val="en-GB"/>
        </w:rPr>
        <w:t>It may be emphasised that the application has been launched on the narrow basis that only the new tenders are to be interdicted, and not all tenders where the Department chooses to adopt and implement a fresh approach to scoring. As such, any impact on the exercise of executive power is minimised so that application of a more stringent test appears to be unwarranted.</w:t>
      </w:r>
      <w:r w:rsidR="00C86679">
        <w:rPr>
          <w:rStyle w:val="FootnoteReference"/>
          <w:lang w:val="en-GB"/>
        </w:rPr>
        <w:footnoteReference w:id="24"/>
      </w:r>
    </w:p>
    <w:p w14:paraId="165966D3" w14:textId="77777777" w:rsidR="009C0049" w:rsidRPr="009C0049" w:rsidRDefault="009C0049" w:rsidP="009C0049">
      <w:pPr>
        <w:pStyle w:val="ListParagraph"/>
        <w:rPr>
          <w:lang w:val="en-GB"/>
        </w:rPr>
      </w:pPr>
    </w:p>
    <w:p w14:paraId="00EF31E8" w14:textId="6E7CF9EF" w:rsidR="00DD29D7" w:rsidRPr="006D6D14" w:rsidRDefault="006D6D14" w:rsidP="006D6D14">
      <w:pPr>
        <w:autoSpaceDE w:val="0"/>
        <w:autoSpaceDN w:val="0"/>
        <w:adjustRightInd w:val="0"/>
        <w:jc w:val="both"/>
        <w:rPr>
          <w:lang w:val="en-GB"/>
        </w:rPr>
      </w:pPr>
      <w:r>
        <w:rPr>
          <w:lang w:val="en-GB"/>
        </w:rPr>
        <w:t>[20]</w:t>
      </w:r>
      <w:r>
        <w:rPr>
          <w:lang w:val="en-GB"/>
        </w:rPr>
        <w:tab/>
      </w:r>
      <w:r w:rsidR="00C60BE2" w:rsidRPr="006D6D14">
        <w:rPr>
          <w:lang w:val="en-GB"/>
        </w:rPr>
        <w:t>As a result, it</w:t>
      </w:r>
      <w:r w:rsidR="00DD29D7" w:rsidRPr="006D6D14">
        <w:rPr>
          <w:lang w:val="en-GB"/>
        </w:rPr>
        <w:t xml:space="preserve"> is unnecessary to determine the applicant’s point that the Department had undertaken not to proceed with the new tenders until a date to be extended upon the lodging of an application for leave to appeal the first review judgment.</w:t>
      </w:r>
      <w:r w:rsidR="000B2A62" w:rsidRPr="006D6D14">
        <w:rPr>
          <w:lang w:val="en-GB"/>
        </w:rPr>
        <w:t xml:space="preserve"> In my view it is also unnecessary to opine as to the </w:t>
      </w:r>
      <w:r w:rsidR="00B42594" w:rsidRPr="006D6D14">
        <w:rPr>
          <w:lang w:val="en-GB"/>
        </w:rPr>
        <w:t>validity of the plethora of</w:t>
      </w:r>
      <w:r w:rsidR="000B2A62" w:rsidRPr="006D6D14">
        <w:rPr>
          <w:lang w:val="en-GB"/>
        </w:rPr>
        <w:t xml:space="preserve"> other grounds of review</w:t>
      </w:r>
      <w:r w:rsidR="00B42594" w:rsidRPr="006D6D14">
        <w:rPr>
          <w:lang w:val="en-GB"/>
        </w:rPr>
        <w:t xml:space="preserve"> linked to the Part B proceedings</w:t>
      </w:r>
      <w:r w:rsidR="000B2A62" w:rsidRPr="006D6D14">
        <w:rPr>
          <w:lang w:val="en-GB"/>
        </w:rPr>
        <w:t>, including</w:t>
      </w:r>
      <w:r w:rsidR="00B42594" w:rsidRPr="006D6D14">
        <w:rPr>
          <w:lang w:val="en-GB"/>
        </w:rPr>
        <w:t xml:space="preserve"> </w:t>
      </w:r>
      <w:r w:rsidR="00074403" w:rsidRPr="006D6D14">
        <w:rPr>
          <w:lang w:val="en-GB"/>
        </w:rPr>
        <w:t xml:space="preserve">the detailed submissions regarding the </w:t>
      </w:r>
      <w:r w:rsidR="00DE4F8A" w:rsidRPr="006D6D14">
        <w:rPr>
          <w:lang w:val="en-GB"/>
        </w:rPr>
        <w:t>participation</w:t>
      </w:r>
      <w:r w:rsidR="00074403" w:rsidRPr="006D6D14">
        <w:rPr>
          <w:lang w:val="en-GB"/>
        </w:rPr>
        <w:t xml:space="preserve"> process and legitimate expectation of consultation</w:t>
      </w:r>
      <w:r w:rsidR="003E0F3C" w:rsidRPr="006D6D14">
        <w:rPr>
          <w:lang w:val="en-GB"/>
        </w:rPr>
        <w:t xml:space="preserve"> in respect of the new scoring policy</w:t>
      </w:r>
      <w:r w:rsidR="00074403" w:rsidRPr="006D6D14">
        <w:rPr>
          <w:lang w:val="en-GB"/>
        </w:rPr>
        <w:t>.</w:t>
      </w:r>
    </w:p>
    <w:p w14:paraId="1CB83950" w14:textId="627B82AF" w:rsidR="000E781D" w:rsidRDefault="000E781D" w:rsidP="000E781D">
      <w:pPr>
        <w:rPr>
          <w:lang w:val="en-GB"/>
        </w:rPr>
      </w:pPr>
    </w:p>
    <w:p w14:paraId="7D2AE44E" w14:textId="77777777" w:rsidR="00244D9D" w:rsidRDefault="00244D9D" w:rsidP="000E781D">
      <w:pPr>
        <w:rPr>
          <w:lang w:val="en-GB"/>
        </w:rPr>
      </w:pPr>
    </w:p>
    <w:p w14:paraId="2C25FDD7" w14:textId="77777777" w:rsidR="00244D9D" w:rsidRDefault="00244D9D" w:rsidP="000E781D">
      <w:pPr>
        <w:rPr>
          <w:lang w:val="en-GB"/>
        </w:rPr>
      </w:pPr>
    </w:p>
    <w:p w14:paraId="37515E7F" w14:textId="091BAA70" w:rsidR="000E781D" w:rsidRDefault="000E781D" w:rsidP="000E781D">
      <w:pPr>
        <w:rPr>
          <w:b/>
          <w:bCs/>
          <w:lang w:val="en-GB"/>
        </w:rPr>
      </w:pPr>
      <w:r>
        <w:rPr>
          <w:b/>
          <w:bCs/>
          <w:lang w:val="en-GB"/>
        </w:rPr>
        <w:lastRenderedPageBreak/>
        <w:t>Interdict pending leave to appeal</w:t>
      </w:r>
    </w:p>
    <w:p w14:paraId="04CF69EA" w14:textId="77777777" w:rsidR="000E781D" w:rsidRPr="000E781D" w:rsidRDefault="000E781D" w:rsidP="000E781D">
      <w:pPr>
        <w:rPr>
          <w:b/>
          <w:bCs/>
          <w:lang w:val="en-GB"/>
        </w:rPr>
      </w:pPr>
    </w:p>
    <w:p w14:paraId="715A719E" w14:textId="367D0EC4" w:rsidR="00384B9F" w:rsidRPr="006D6D14" w:rsidRDefault="006D6D14" w:rsidP="006D6D14">
      <w:pPr>
        <w:autoSpaceDE w:val="0"/>
        <w:autoSpaceDN w:val="0"/>
        <w:adjustRightInd w:val="0"/>
        <w:jc w:val="both"/>
        <w:rPr>
          <w:lang w:val="en-GB"/>
        </w:rPr>
      </w:pPr>
      <w:r>
        <w:rPr>
          <w:lang w:val="en-GB"/>
        </w:rPr>
        <w:t>[21]</w:t>
      </w:r>
      <w:r>
        <w:rPr>
          <w:lang w:val="en-GB"/>
        </w:rPr>
        <w:tab/>
      </w:r>
      <w:r w:rsidR="00FF145F" w:rsidRPr="006D6D14">
        <w:rPr>
          <w:lang w:val="en-GB"/>
        </w:rPr>
        <w:t>It has been settled that an application for leave to appeal or the noting of an appeal does not revive an interim order which has been discharged.</w:t>
      </w:r>
      <w:r w:rsidR="00FF145F">
        <w:rPr>
          <w:rStyle w:val="FootnoteReference"/>
          <w:lang w:val="en-GB"/>
        </w:rPr>
        <w:footnoteReference w:id="25"/>
      </w:r>
      <w:r w:rsidR="00FF145F" w:rsidRPr="006D6D14">
        <w:rPr>
          <w:lang w:val="en-GB"/>
        </w:rPr>
        <w:t xml:space="preserve"> </w:t>
      </w:r>
      <w:r w:rsidR="0056765C" w:rsidRPr="006D6D14">
        <w:rPr>
          <w:lang w:val="en-GB"/>
        </w:rPr>
        <w:t>An applicant whose interim order (with or without a rule nisi) was discharged would therefore be obliged to bring a further application for an interim interdict pending the outcome of any appeal, should it require such relief.</w:t>
      </w:r>
      <w:r w:rsidR="0056765C">
        <w:rPr>
          <w:rStyle w:val="FootnoteReference"/>
          <w:lang w:val="en-GB"/>
        </w:rPr>
        <w:footnoteReference w:id="26"/>
      </w:r>
      <w:r w:rsidR="0056765C" w:rsidRPr="006D6D14">
        <w:rPr>
          <w:lang w:val="en-GB"/>
        </w:rPr>
        <w:t xml:space="preserve"> </w:t>
      </w:r>
      <w:r w:rsidR="000E781D" w:rsidRPr="006D6D14">
        <w:rPr>
          <w:lang w:val="en-GB"/>
        </w:rPr>
        <w:t>There is</w:t>
      </w:r>
      <w:r w:rsidR="0056765C" w:rsidRPr="006D6D14">
        <w:rPr>
          <w:lang w:val="en-GB"/>
        </w:rPr>
        <w:t xml:space="preserve">, however, </w:t>
      </w:r>
      <w:r w:rsidR="000E781D" w:rsidRPr="006D6D14">
        <w:rPr>
          <w:lang w:val="en-GB"/>
        </w:rPr>
        <w:t xml:space="preserve">authority, cited with approval by Van </w:t>
      </w:r>
      <w:proofErr w:type="spellStart"/>
      <w:r w:rsidR="000E781D" w:rsidRPr="006D6D14">
        <w:rPr>
          <w:lang w:val="en-GB"/>
        </w:rPr>
        <w:t>Loggerenberg</w:t>
      </w:r>
      <w:proofErr w:type="spellEnd"/>
      <w:r w:rsidR="000E781D" w:rsidRPr="006D6D14">
        <w:rPr>
          <w:lang w:val="en-GB"/>
        </w:rPr>
        <w:t xml:space="preserve"> in </w:t>
      </w:r>
      <w:r w:rsidR="000E781D" w:rsidRPr="006D6D14">
        <w:rPr>
          <w:i/>
          <w:iCs/>
          <w:lang w:val="en-GB"/>
        </w:rPr>
        <w:t>Erasmus: Superior Court Practice</w:t>
      </w:r>
      <w:r w:rsidR="000E781D" w:rsidRPr="006D6D14">
        <w:rPr>
          <w:lang w:val="en-GB"/>
        </w:rPr>
        <w:t>,</w:t>
      </w:r>
      <w:r w:rsidR="000E781D">
        <w:rPr>
          <w:rStyle w:val="FootnoteReference"/>
          <w:lang w:val="en-GB"/>
        </w:rPr>
        <w:footnoteReference w:id="27"/>
      </w:r>
      <w:r w:rsidR="000E781D" w:rsidRPr="006D6D14">
        <w:rPr>
          <w:lang w:val="en-GB"/>
        </w:rPr>
        <w:t xml:space="preserve"> </w:t>
      </w:r>
      <w:r w:rsidR="00A94E60" w:rsidRPr="006D6D14">
        <w:rPr>
          <w:lang w:val="en-GB"/>
        </w:rPr>
        <w:t>that s 18(1) of the Superior Courts Act, 2013</w:t>
      </w:r>
      <w:r w:rsidR="00A94E60">
        <w:rPr>
          <w:rStyle w:val="FootnoteReference"/>
          <w:lang w:val="en-GB"/>
        </w:rPr>
        <w:footnoteReference w:id="28"/>
      </w:r>
      <w:r w:rsidR="00E51B87" w:rsidRPr="006D6D14">
        <w:rPr>
          <w:lang w:val="en-GB"/>
        </w:rPr>
        <w:t xml:space="preserve"> applies to all decisions, including those dismissing an application for judicial review.</w:t>
      </w:r>
      <w:r w:rsidR="00E51B87">
        <w:rPr>
          <w:rStyle w:val="FootnoteReference"/>
          <w:lang w:val="en-GB"/>
        </w:rPr>
        <w:footnoteReference w:id="29"/>
      </w:r>
      <w:r w:rsidR="00E51B87" w:rsidRPr="006D6D14">
        <w:rPr>
          <w:lang w:val="en-GB"/>
        </w:rPr>
        <w:t xml:space="preserve"> </w:t>
      </w:r>
      <w:r w:rsidR="0016518A" w:rsidRPr="006D6D14">
        <w:rPr>
          <w:lang w:val="en-GB"/>
        </w:rPr>
        <w:t>Accepting that authority would seemingly on its own suspend the cancellation of the old tender</w:t>
      </w:r>
      <w:r w:rsidR="001A214C" w:rsidRPr="006D6D14">
        <w:rPr>
          <w:lang w:val="en-GB"/>
        </w:rPr>
        <w:t xml:space="preserve">, </w:t>
      </w:r>
      <w:r w:rsidR="00EA525E" w:rsidRPr="006D6D14">
        <w:rPr>
          <w:lang w:val="en-GB"/>
        </w:rPr>
        <w:t>in accordance with s 18(1)</w:t>
      </w:r>
      <w:r w:rsidR="001A214C" w:rsidRPr="006D6D14">
        <w:rPr>
          <w:lang w:val="en-GB"/>
        </w:rPr>
        <w:t>, pending the outcome of the applicant’s application for leave to appeal.</w:t>
      </w:r>
      <w:r w:rsidR="00495D95">
        <w:rPr>
          <w:rStyle w:val="FootnoteReference"/>
          <w:lang w:val="en-GB"/>
        </w:rPr>
        <w:footnoteReference w:id="30"/>
      </w:r>
      <w:r w:rsidR="00F54424" w:rsidRPr="006D6D14">
        <w:rPr>
          <w:lang w:val="en-GB"/>
        </w:rPr>
        <w:t xml:space="preserve"> </w:t>
      </w:r>
    </w:p>
    <w:p w14:paraId="22AC67DA" w14:textId="77777777" w:rsidR="00F307F0" w:rsidRPr="00F307F0" w:rsidRDefault="00F307F0" w:rsidP="00F307F0">
      <w:pPr>
        <w:pStyle w:val="ListParagraph"/>
        <w:autoSpaceDE w:val="0"/>
        <w:autoSpaceDN w:val="0"/>
        <w:adjustRightInd w:val="0"/>
        <w:ind w:left="0"/>
        <w:jc w:val="both"/>
        <w:rPr>
          <w:lang w:val="en-GB"/>
        </w:rPr>
      </w:pPr>
    </w:p>
    <w:p w14:paraId="66D0F06A" w14:textId="6D5C1414" w:rsidR="00150BBC" w:rsidRPr="006D6D14" w:rsidRDefault="006D6D14" w:rsidP="006D6D14">
      <w:pPr>
        <w:autoSpaceDE w:val="0"/>
        <w:autoSpaceDN w:val="0"/>
        <w:adjustRightInd w:val="0"/>
        <w:jc w:val="both"/>
        <w:rPr>
          <w:lang w:val="en-GB"/>
        </w:rPr>
      </w:pPr>
      <w:r>
        <w:rPr>
          <w:lang w:val="en-GB"/>
        </w:rPr>
        <w:t>[22]</w:t>
      </w:r>
      <w:r>
        <w:rPr>
          <w:lang w:val="en-GB"/>
        </w:rPr>
        <w:tab/>
      </w:r>
      <w:r w:rsidR="00510153" w:rsidRPr="006D6D14">
        <w:rPr>
          <w:lang w:val="en-GB"/>
        </w:rPr>
        <w:t xml:space="preserve">Absent </w:t>
      </w:r>
      <w:r w:rsidR="00550204" w:rsidRPr="006D6D14">
        <w:rPr>
          <w:lang w:val="en-GB"/>
        </w:rPr>
        <w:t>submissions on the point,</w:t>
      </w:r>
      <w:r w:rsidR="005A6FF5" w:rsidRPr="006D6D14">
        <w:rPr>
          <w:lang w:val="en-GB"/>
        </w:rPr>
        <w:t xml:space="preserve"> I do not intend to express a</w:t>
      </w:r>
      <w:r w:rsidR="00956013" w:rsidRPr="006D6D14">
        <w:rPr>
          <w:lang w:val="en-GB"/>
        </w:rPr>
        <w:t>ny</w:t>
      </w:r>
      <w:r w:rsidR="005A6FF5" w:rsidRPr="006D6D14">
        <w:rPr>
          <w:lang w:val="en-GB"/>
        </w:rPr>
        <w:t xml:space="preserve"> </w:t>
      </w:r>
      <w:r w:rsidR="00275AA3" w:rsidRPr="006D6D14">
        <w:rPr>
          <w:lang w:val="en-GB"/>
        </w:rPr>
        <w:t xml:space="preserve">firm </w:t>
      </w:r>
      <w:r w:rsidR="005A6FF5" w:rsidRPr="006D6D14">
        <w:rPr>
          <w:lang w:val="en-GB"/>
        </w:rPr>
        <w:t>view</w:t>
      </w:r>
      <w:r w:rsidR="00956013" w:rsidRPr="006D6D14">
        <w:rPr>
          <w:lang w:val="en-GB"/>
        </w:rPr>
        <w:t>s</w:t>
      </w:r>
      <w:r w:rsidR="005A6FF5" w:rsidRPr="006D6D14">
        <w:rPr>
          <w:lang w:val="en-GB"/>
        </w:rPr>
        <w:t xml:space="preserve"> on </w:t>
      </w:r>
      <w:r w:rsidR="00BC0822" w:rsidRPr="006D6D14">
        <w:rPr>
          <w:lang w:val="en-GB"/>
        </w:rPr>
        <w:t xml:space="preserve">the </w:t>
      </w:r>
      <w:r w:rsidR="00550204" w:rsidRPr="006D6D14">
        <w:rPr>
          <w:lang w:val="en-GB"/>
        </w:rPr>
        <w:t xml:space="preserve">outcome in </w:t>
      </w:r>
      <w:proofErr w:type="spellStart"/>
      <w:r w:rsidR="00550204" w:rsidRPr="006D6D14">
        <w:rPr>
          <w:i/>
          <w:iCs/>
          <w:lang w:val="en-GB"/>
        </w:rPr>
        <w:t>Uitzig</w:t>
      </w:r>
      <w:proofErr w:type="spellEnd"/>
      <w:r w:rsidR="00721F80" w:rsidRPr="006D6D14">
        <w:rPr>
          <w:i/>
          <w:iCs/>
          <w:lang w:val="en-GB"/>
        </w:rPr>
        <w:t xml:space="preserve"> </w:t>
      </w:r>
      <w:r w:rsidR="00721F80" w:rsidRPr="006D6D14">
        <w:rPr>
          <w:lang w:val="en-GB"/>
        </w:rPr>
        <w:t>or its implications</w:t>
      </w:r>
      <w:r w:rsidR="00BC0822" w:rsidRPr="006D6D14">
        <w:rPr>
          <w:lang w:val="en-GB"/>
        </w:rPr>
        <w:t xml:space="preserve">. </w:t>
      </w:r>
      <w:r w:rsidR="000520FA" w:rsidRPr="006D6D14">
        <w:rPr>
          <w:lang w:val="en-GB"/>
        </w:rPr>
        <w:t>I proceed on the basis</w:t>
      </w:r>
      <w:r w:rsidR="00384B9F" w:rsidRPr="006D6D14">
        <w:rPr>
          <w:lang w:val="en-GB"/>
        </w:rPr>
        <w:t xml:space="preserve"> that it </w:t>
      </w:r>
      <w:r w:rsidR="000520FA" w:rsidRPr="006D6D14">
        <w:rPr>
          <w:lang w:val="en-GB"/>
        </w:rPr>
        <w:t>remains</w:t>
      </w:r>
      <w:r w:rsidR="00384B9F" w:rsidRPr="006D6D14">
        <w:rPr>
          <w:lang w:val="en-GB"/>
        </w:rPr>
        <w:t xml:space="preserve"> necessary to consider the </w:t>
      </w:r>
      <w:r w:rsidR="00C9541F" w:rsidRPr="006D6D14">
        <w:rPr>
          <w:lang w:val="en-GB"/>
        </w:rPr>
        <w:t>requirements of an interim interdict</w:t>
      </w:r>
      <w:r w:rsidR="00405B9B" w:rsidRPr="006D6D14">
        <w:rPr>
          <w:lang w:val="en-GB"/>
        </w:rPr>
        <w:t>,</w:t>
      </w:r>
      <w:r w:rsidR="00C9541F" w:rsidRPr="006D6D14">
        <w:rPr>
          <w:lang w:val="en-GB"/>
        </w:rPr>
        <w:t xml:space="preserve"> including the </w:t>
      </w:r>
      <w:r w:rsidR="00384B9F" w:rsidRPr="006D6D14">
        <w:rPr>
          <w:lang w:val="en-GB"/>
        </w:rPr>
        <w:t>establishment of a prima facie right</w:t>
      </w:r>
      <w:r w:rsidR="00405B9B" w:rsidRPr="006D6D14">
        <w:rPr>
          <w:lang w:val="en-GB"/>
        </w:rPr>
        <w:t>,</w:t>
      </w:r>
      <w:r w:rsidR="00384B9F" w:rsidRPr="006D6D14">
        <w:rPr>
          <w:lang w:val="en-GB"/>
        </w:rPr>
        <w:t xml:space="preserve"> pending an application for leave to appeal</w:t>
      </w:r>
      <w:r w:rsidR="00322AE3" w:rsidRPr="006D6D14">
        <w:rPr>
          <w:lang w:val="en-GB"/>
        </w:rPr>
        <w:t>.</w:t>
      </w:r>
      <w:r w:rsidR="00384B9F" w:rsidRPr="006D6D14">
        <w:rPr>
          <w:lang w:val="en-GB"/>
        </w:rPr>
        <w:t xml:space="preserve"> </w:t>
      </w:r>
      <w:r w:rsidR="00322AE3" w:rsidRPr="006D6D14">
        <w:rPr>
          <w:lang w:val="en-GB"/>
        </w:rPr>
        <w:t xml:space="preserve">For </w:t>
      </w:r>
      <w:r w:rsidR="00322AE3" w:rsidRPr="006D6D14">
        <w:rPr>
          <w:lang w:val="en-GB"/>
        </w:rPr>
        <w:lastRenderedPageBreak/>
        <w:t xml:space="preserve">reasons that follow, </w:t>
      </w:r>
      <w:r w:rsidR="00384B9F" w:rsidRPr="006D6D14">
        <w:rPr>
          <w:lang w:val="en-GB"/>
        </w:rPr>
        <w:t>I am satisfied</w:t>
      </w:r>
      <w:r w:rsidR="00150BBC" w:rsidRPr="006D6D14">
        <w:rPr>
          <w:lang w:val="en-GB"/>
        </w:rPr>
        <w:t>,</w:t>
      </w:r>
      <w:r w:rsidR="00384B9F" w:rsidRPr="006D6D14">
        <w:rPr>
          <w:lang w:val="en-GB"/>
        </w:rPr>
        <w:t xml:space="preserve"> when considering the </w:t>
      </w:r>
      <w:r w:rsidR="002E13DD" w:rsidRPr="006D6D14">
        <w:rPr>
          <w:lang w:val="en-GB"/>
        </w:rPr>
        <w:t xml:space="preserve">affidavits and the </w:t>
      </w:r>
      <w:r w:rsidR="00384B9F" w:rsidRPr="006D6D14">
        <w:rPr>
          <w:lang w:val="en-GB"/>
        </w:rPr>
        <w:t>requirements for an interim interdict in their totality, that there is a real prospect of success on appeal</w:t>
      </w:r>
      <w:r w:rsidR="004C6B9D" w:rsidRPr="006D6D14">
        <w:rPr>
          <w:lang w:val="en-GB"/>
        </w:rPr>
        <w:t xml:space="preserve"> and </w:t>
      </w:r>
      <w:r w:rsidR="00E9569F" w:rsidRPr="006D6D14">
        <w:rPr>
          <w:lang w:val="en-GB"/>
        </w:rPr>
        <w:t>that</w:t>
      </w:r>
      <w:r w:rsidR="004C6B9D" w:rsidRPr="006D6D14">
        <w:rPr>
          <w:lang w:val="en-GB"/>
        </w:rPr>
        <w:t xml:space="preserve"> it is appropriate in the present circumstances to grant the relief sou</w:t>
      </w:r>
      <w:r w:rsidR="00EF39BE" w:rsidRPr="006D6D14">
        <w:rPr>
          <w:lang w:val="en-GB"/>
        </w:rPr>
        <w:t>ght</w:t>
      </w:r>
      <w:r w:rsidR="00384B9F" w:rsidRPr="006D6D14">
        <w:rPr>
          <w:lang w:val="en-GB"/>
        </w:rPr>
        <w:t>.</w:t>
      </w:r>
      <w:r w:rsidR="002E13DD">
        <w:rPr>
          <w:rStyle w:val="FootnoteReference"/>
          <w:lang w:val="en-GB"/>
        </w:rPr>
        <w:footnoteReference w:id="31"/>
      </w:r>
      <w:r w:rsidR="00384B9F" w:rsidRPr="006D6D14">
        <w:rPr>
          <w:lang w:val="en-GB"/>
        </w:rPr>
        <w:t xml:space="preserve"> </w:t>
      </w:r>
    </w:p>
    <w:p w14:paraId="78A40140" w14:textId="77777777" w:rsidR="00150BBC" w:rsidRPr="00150BBC" w:rsidRDefault="00150BBC" w:rsidP="00150BBC">
      <w:pPr>
        <w:pStyle w:val="ListParagraph"/>
        <w:rPr>
          <w:lang w:val="en-GB"/>
        </w:rPr>
      </w:pPr>
    </w:p>
    <w:p w14:paraId="4256F170" w14:textId="4DEF407A" w:rsidR="00384B9F" w:rsidRPr="006D6D14" w:rsidRDefault="006D6D14" w:rsidP="006D6D14">
      <w:pPr>
        <w:autoSpaceDE w:val="0"/>
        <w:autoSpaceDN w:val="0"/>
        <w:adjustRightInd w:val="0"/>
        <w:jc w:val="both"/>
        <w:rPr>
          <w:lang w:val="en-GB"/>
        </w:rPr>
      </w:pPr>
      <w:r>
        <w:rPr>
          <w:lang w:val="en-GB"/>
        </w:rPr>
        <w:t>[23]</w:t>
      </w:r>
      <w:r>
        <w:rPr>
          <w:lang w:val="en-GB"/>
        </w:rPr>
        <w:tab/>
      </w:r>
      <w:r w:rsidR="00487715" w:rsidRPr="006D6D14">
        <w:rPr>
          <w:lang w:val="en-GB"/>
        </w:rPr>
        <w:t xml:space="preserve">In coming to this conclusion, </w:t>
      </w:r>
      <w:r w:rsidR="005C406C" w:rsidRPr="006D6D14">
        <w:rPr>
          <w:lang w:val="en-GB"/>
        </w:rPr>
        <w:t xml:space="preserve">it may be noted that the court enjoys jurisdiction to grant the </w:t>
      </w:r>
      <w:r w:rsidR="00EF39BE" w:rsidRPr="006D6D14">
        <w:rPr>
          <w:lang w:val="en-GB"/>
        </w:rPr>
        <w:t>interim interdict</w:t>
      </w:r>
      <w:r w:rsidR="005C406C" w:rsidRPr="006D6D14">
        <w:rPr>
          <w:lang w:val="en-GB"/>
        </w:rPr>
        <w:t xml:space="preserve"> considering the absence of any prior determination by this court that the applicants do not have at least a prima facie case.</w:t>
      </w:r>
      <w:r w:rsidR="00D0110B">
        <w:rPr>
          <w:rStyle w:val="FootnoteReference"/>
          <w:lang w:val="en-GB"/>
        </w:rPr>
        <w:footnoteReference w:id="32"/>
      </w:r>
      <w:r w:rsidR="005C406C" w:rsidRPr="006D6D14">
        <w:rPr>
          <w:lang w:val="en-GB"/>
        </w:rPr>
        <w:t xml:space="preserve"> </w:t>
      </w:r>
      <w:r w:rsidR="009832D3" w:rsidRPr="006D6D14">
        <w:rPr>
          <w:lang w:val="en-GB"/>
        </w:rPr>
        <w:t xml:space="preserve">The judgment of </w:t>
      </w:r>
      <w:proofErr w:type="spellStart"/>
      <w:r w:rsidR="009832D3" w:rsidRPr="006D6D14">
        <w:rPr>
          <w:lang w:val="en-GB"/>
        </w:rPr>
        <w:t>Mtshabe</w:t>
      </w:r>
      <w:proofErr w:type="spellEnd"/>
      <w:r w:rsidR="009832D3" w:rsidRPr="006D6D14">
        <w:rPr>
          <w:lang w:val="en-GB"/>
        </w:rPr>
        <w:t xml:space="preserve"> AJ was concerned with questions of final relief.</w:t>
      </w:r>
      <w:r w:rsidR="009832D3">
        <w:rPr>
          <w:rStyle w:val="FootnoteReference"/>
          <w:lang w:val="en-GB"/>
        </w:rPr>
        <w:footnoteReference w:id="33"/>
      </w:r>
      <w:r w:rsidR="009832D3" w:rsidRPr="006D6D14">
        <w:rPr>
          <w:lang w:val="en-GB"/>
        </w:rPr>
        <w:t xml:space="preserve"> </w:t>
      </w:r>
      <w:r w:rsidR="005A36AF" w:rsidRPr="006D6D14">
        <w:rPr>
          <w:lang w:val="en-GB"/>
        </w:rPr>
        <w:t>Importantly, i</w:t>
      </w:r>
      <w:r w:rsidR="00487715" w:rsidRPr="006D6D14">
        <w:rPr>
          <w:lang w:val="en-GB"/>
        </w:rPr>
        <w:t xml:space="preserve">t may </w:t>
      </w:r>
      <w:r w:rsidR="009832D3" w:rsidRPr="006D6D14">
        <w:rPr>
          <w:lang w:val="en-GB"/>
        </w:rPr>
        <w:t xml:space="preserve">also </w:t>
      </w:r>
      <w:r w:rsidR="00487715" w:rsidRPr="006D6D14">
        <w:rPr>
          <w:lang w:val="en-GB"/>
        </w:rPr>
        <w:t xml:space="preserve">be emphasised that, unlike the situation in </w:t>
      </w:r>
      <w:proofErr w:type="spellStart"/>
      <w:r w:rsidR="00487715" w:rsidRPr="006D6D14">
        <w:rPr>
          <w:i/>
          <w:iCs/>
          <w:lang w:val="en-GB"/>
        </w:rPr>
        <w:t>Granbuild</w:t>
      </w:r>
      <w:proofErr w:type="spellEnd"/>
      <w:r w:rsidR="00715804" w:rsidRPr="006D6D14">
        <w:rPr>
          <w:i/>
          <w:iCs/>
          <w:lang w:val="en-GB"/>
        </w:rPr>
        <w:t xml:space="preserve"> </w:t>
      </w:r>
      <w:r w:rsidR="00715804" w:rsidRPr="006D6D14">
        <w:rPr>
          <w:lang w:val="en-GB"/>
        </w:rPr>
        <w:t xml:space="preserve">and </w:t>
      </w:r>
      <w:r w:rsidR="00715804" w:rsidRPr="006D6D14">
        <w:rPr>
          <w:i/>
          <w:iCs/>
          <w:lang w:val="en-GB"/>
        </w:rPr>
        <w:t>Aqua</w:t>
      </w:r>
      <w:r w:rsidR="00201FFC" w:rsidRPr="006D6D14">
        <w:rPr>
          <w:i/>
          <w:iCs/>
          <w:lang w:val="en-GB"/>
        </w:rPr>
        <w:t xml:space="preserve"> Transport</w:t>
      </w:r>
      <w:r w:rsidR="00487715" w:rsidRPr="006D6D14">
        <w:rPr>
          <w:lang w:val="en-GB"/>
        </w:rPr>
        <w:t xml:space="preserve">, </w:t>
      </w:r>
      <w:r w:rsidR="00342F5F" w:rsidRPr="006D6D14">
        <w:rPr>
          <w:lang w:val="en-GB"/>
        </w:rPr>
        <w:t>there has been no determination of an absence of reasonable prospects of success on appeal.</w:t>
      </w:r>
      <w:r w:rsidR="00342F5F">
        <w:rPr>
          <w:rStyle w:val="FootnoteReference"/>
          <w:lang w:val="en-GB"/>
        </w:rPr>
        <w:footnoteReference w:id="34"/>
      </w:r>
      <w:r w:rsidR="003E45F7" w:rsidRPr="006D6D14">
        <w:rPr>
          <w:lang w:val="en-GB"/>
        </w:rPr>
        <w:t xml:space="preserve"> There is therefore no need to persuade the court that a decision pertaining to an assessment of prospects of success on appeal was wrong. </w:t>
      </w:r>
    </w:p>
    <w:p w14:paraId="72B0E4D6" w14:textId="77777777" w:rsidR="00377FFD" w:rsidRPr="00377FFD" w:rsidRDefault="00377FFD" w:rsidP="00377FFD">
      <w:pPr>
        <w:pStyle w:val="ListParagraph"/>
        <w:rPr>
          <w:lang w:val="en-GB"/>
        </w:rPr>
      </w:pPr>
    </w:p>
    <w:p w14:paraId="72E267B1" w14:textId="1BC3A567" w:rsidR="00377FFD" w:rsidRPr="006D6D14" w:rsidRDefault="006D6D14" w:rsidP="006D6D14">
      <w:pPr>
        <w:autoSpaceDE w:val="0"/>
        <w:autoSpaceDN w:val="0"/>
        <w:adjustRightInd w:val="0"/>
        <w:jc w:val="both"/>
        <w:rPr>
          <w:lang w:val="en-GB"/>
        </w:rPr>
      </w:pPr>
      <w:r>
        <w:rPr>
          <w:lang w:val="en-GB"/>
        </w:rPr>
        <w:t>[24]</w:t>
      </w:r>
      <w:r>
        <w:rPr>
          <w:lang w:val="en-GB"/>
        </w:rPr>
        <w:tab/>
      </w:r>
      <w:r w:rsidR="00377FFD" w:rsidRPr="006D6D14">
        <w:rPr>
          <w:lang w:val="en-GB"/>
        </w:rPr>
        <w:t xml:space="preserve">In coming to this decision I am mindful of the remarks of Olsen J in </w:t>
      </w:r>
      <w:r w:rsidR="00377FFD" w:rsidRPr="006D6D14">
        <w:rPr>
          <w:i/>
          <w:iCs/>
          <w:lang w:val="en-GB"/>
        </w:rPr>
        <w:t>Aqua</w:t>
      </w:r>
      <w:r w:rsidR="00377FFD" w:rsidRPr="006D6D14">
        <w:rPr>
          <w:lang w:val="en-GB"/>
        </w:rPr>
        <w:t xml:space="preserve"> </w:t>
      </w:r>
      <w:r w:rsidR="00377FFD" w:rsidRPr="006D6D14">
        <w:rPr>
          <w:i/>
          <w:iCs/>
          <w:lang w:val="en-GB"/>
        </w:rPr>
        <w:t>Transport</w:t>
      </w:r>
      <w:r w:rsidR="00377FFD" w:rsidRPr="006D6D14">
        <w:rPr>
          <w:lang w:val="en-GB"/>
        </w:rPr>
        <w:t>:</w:t>
      </w:r>
      <w:r w:rsidR="00377FFD">
        <w:rPr>
          <w:rStyle w:val="FootnoteReference"/>
          <w:lang w:val="en-GB"/>
        </w:rPr>
        <w:footnoteReference w:id="35"/>
      </w:r>
    </w:p>
    <w:p w14:paraId="1A903DEB" w14:textId="0A351C6A" w:rsidR="00377FFD" w:rsidRDefault="00377FFD" w:rsidP="00377FFD">
      <w:pPr>
        <w:jc w:val="both"/>
        <w:rPr>
          <w:sz w:val="22"/>
          <w:szCs w:val="22"/>
          <w:lang w:val="en-GB"/>
        </w:rPr>
      </w:pPr>
      <w:r>
        <w:rPr>
          <w:sz w:val="22"/>
          <w:szCs w:val="22"/>
          <w:lang w:val="en-GB"/>
        </w:rPr>
        <w:t>‘A practice or procedure which involves another judge deciding the quality of prospects on appeal before the judge who heard the main case has decided whether the threshold of reasonable prospects of success on appeal is met undermines s 17(2)</w:t>
      </w:r>
      <w:r>
        <w:rPr>
          <w:i/>
          <w:iCs/>
          <w:sz w:val="22"/>
          <w:szCs w:val="22"/>
          <w:lang w:val="en-GB"/>
        </w:rPr>
        <w:t>(a)</w:t>
      </w:r>
      <w:r>
        <w:rPr>
          <w:sz w:val="22"/>
          <w:szCs w:val="22"/>
          <w:lang w:val="en-GB"/>
        </w:rPr>
        <w:t xml:space="preserve"> of the Superior Courts Act</w:t>
      </w:r>
      <w:r w:rsidR="00B62B58">
        <w:rPr>
          <w:sz w:val="22"/>
          <w:szCs w:val="22"/>
          <w:lang w:val="en-GB"/>
        </w:rPr>
        <w:t>. The section reflects the fact that fairness to all parties dictates that if at all possible the judge steeped in the case must decide the question of leave to appeal. Her or his decision should not be pre-empted by a prior decision of another judge. In my view, unless the application for the interdict is brought before the judge who made the decision subject to appeal, a glaring error on the part of the original judge must be apparent in most cases before interim relief is granted…’</w:t>
      </w:r>
    </w:p>
    <w:p w14:paraId="328FBE17" w14:textId="77777777" w:rsidR="00B62B58" w:rsidRPr="00377FFD" w:rsidRDefault="00B62B58" w:rsidP="00377FFD">
      <w:pPr>
        <w:jc w:val="both"/>
        <w:rPr>
          <w:sz w:val="22"/>
          <w:szCs w:val="22"/>
          <w:lang w:val="en-GB"/>
        </w:rPr>
      </w:pPr>
    </w:p>
    <w:p w14:paraId="74B3BBBA" w14:textId="5C8CD5B7" w:rsidR="00FA228A" w:rsidRPr="006D6D14" w:rsidRDefault="006D6D14" w:rsidP="006D6D14">
      <w:pPr>
        <w:autoSpaceDE w:val="0"/>
        <w:autoSpaceDN w:val="0"/>
        <w:adjustRightInd w:val="0"/>
        <w:jc w:val="both"/>
        <w:rPr>
          <w:lang w:val="en-GB"/>
        </w:rPr>
      </w:pPr>
      <w:r>
        <w:rPr>
          <w:lang w:val="en-GB"/>
        </w:rPr>
        <w:lastRenderedPageBreak/>
        <w:t>[25]</w:t>
      </w:r>
      <w:r>
        <w:rPr>
          <w:lang w:val="en-GB"/>
        </w:rPr>
        <w:tab/>
      </w:r>
      <w:r w:rsidR="00B62B58" w:rsidRPr="006D6D14">
        <w:rPr>
          <w:lang w:val="en-GB"/>
        </w:rPr>
        <w:t xml:space="preserve">Considering this authority, it is perhaps unfortunate that the parties </w:t>
      </w:r>
      <w:r w:rsidR="00AA0B5D" w:rsidRPr="006D6D14">
        <w:rPr>
          <w:lang w:val="en-GB"/>
        </w:rPr>
        <w:t>did</w:t>
      </w:r>
      <w:r w:rsidR="00B62B58" w:rsidRPr="006D6D14">
        <w:rPr>
          <w:lang w:val="en-GB"/>
        </w:rPr>
        <w:t xml:space="preserve"> not arrange for this application to be heard together with the application for leave to appeal. </w:t>
      </w:r>
      <w:r w:rsidR="00FE26CB" w:rsidRPr="006D6D14">
        <w:rPr>
          <w:lang w:val="en-GB"/>
        </w:rPr>
        <w:t>I am</w:t>
      </w:r>
      <w:r w:rsidR="00AF34E5" w:rsidRPr="006D6D14">
        <w:rPr>
          <w:lang w:val="en-GB"/>
        </w:rPr>
        <w:t>, however,</w:t>
      </w:r>
      <w:r w:rsidR="00FE26CB" w:rsidRPr="006D6D14">
        <w:rPr>
          <w:lang w:val="en-GB"/>
        </w:rPr>
        <w:t xml:space="preserve"> mindful that the learned judge who presided in the first review is no longer acting</w:t>
      </w:r>
      <w:r w:rsidR="00AF34E5" w:rsidRPr="006D6D14">
        <w:rPr>
          <w:lang w:val="en-GB"/>
        </w:rPr>
        <w:t>, so that this option may not have been feasible</w:t>
      </w:r>
      <w:r w:rsidR="00FE26CB" w:rsidRPr="006D6D14">
        <w:rPr>
          <w:lang w:val="en-GB"/>
        </w:rPr>
        <w:t xml:space="preserve">. </w:t>
      </w:r>
      <w:r w:rsidR="00275AA3" w:rsidRPr="006D6D14">
        <w:rPr>
          <w:lang w:val="en-GB"/>
        </w:rPr>
        <w:t>T</w:t>
      </w:r>
      <w:r w:rsidR="00282064" w:rsidRPr="006D6D14">
        <w:rPr>
          <w:lang w:val="en-GB"/>
        </w:rPr>
        <w:t xml:space="preserve">his court is </w:t>
      </w:r>
      <w:r w:rsidR="006733D9" w:rsidRPr="006D6D14">
        <w:rPr>
          <w:lang w:val="en-GB"/>
        </w:rPr>
        <w:t xml:space="preserve">regrettably </w:t>
      </w:r>
      <w:r w:rsidR="00282064" w:rsidRPr="006D6D14">
        <w:rPr>
          <w:lang w:val="en-GB"/>
        </w:rPr>
        <w:t xml:space="preserve">now compelled to express itself on issues that may best have been determined by the learned judge who heard the first review. </w:t>
      </w:r>
      <w:r w:rsidR="00E56D3D" w:rsidRPr="006D6D14">
        <w:rPr>
          <w:lang w:val="en-GB"/>
        </w:rPr>
        <w:t>Given the general discomfort in doing so, it is perhaps fortuitous that</w:t>
      </w:r>
      <w:r w:rsidR="00282064" w:rsidRPr="006D6D14">
        <w:rPr>
          <w:lang w:val="en-GB"/>
        </w:rPr>
        <w:t xml:space="preserve"> the papers</w:t>
      </w:r>
      <w:r w:rsidR="003B5E5D" w:rsidRPr="006D6D14">
        <w:rPr>
          <w:lang w:val="en-GB"/>
        </w:rPr>
        <w:t xml:space="preserve"> before me</w:t>
      </w:r>
      <w:r w:rsidR="00282064" w:rsidRPr="006D6D14">
        <w:rPr>
          <w:lang w:val="en-GB"/>
        </w:rPr>
        <w:t xml:space="preserve"> are such that the </w:t>
      </w:r>
      <w:r w:rsidR="00FA228A" w:rsidRPr="006D6D14">
        <w:rPr>
          <w:lang w:val="en-GB"/>
        </w:rPr>
        <w:t>applicant’s case for interdictory relief pending the leave to appeal processes cannot be gainsaid.</w:t>
      </w:r>
      <w:r w:rsidR="00282064" w:rsidRPr="006D6D14">
        <w:rPr>
          <w:lang w:val="en-GB"/>
        </w:rPr>
        <w:t xml:space="preserve"> </w:t>
      </w:r>
    </w:p>
    <w:p w14:paraId="5E2B37A1" w14:textId="77777777" w:rsidR="00FA228A" w:rsidRDefault="00FA228A" w:rsidP="00FA228A">
      <w:pPr>
        <w:pStyle w:val="ListParagraph"/>
        <w:autoSpaceDE w:val="0"/>
        <w:autoSpaceDN w:val="0"/>
        <w:adjustRightInd w:val="0"/>
        <w:ind w:left="0"/>
        <w:jc w:val="both"/>
        <w:rPr>
          <w:lang w:val="en-GB"/>
        </w:rPr>
      </w:pPr>
    </w:p>
    <w:p w14:paraId="2149CEEA" w14:textId="3D12CF6E" w:rsidR="00BA03D9" w:rsidRPr="006D6D14" w:rsidRDefault="006D6D14" w:rsidP="006D6D14">
      <w:pPr>
        <w:autoSpaceDE w:val="0"/>
        <w:autoSpaceDN w:val="0"/>
        <w:adjustRightInd w:val="0"/>
        <w:jc w:val="both"/>
        <w:rPr>
          <w:lang w:val="en-GB"/>
        </w:rPr>
      </w:pPr>
      <w:r w:rsidRPr="009F5BFC">
        <w:rPr>
          <w:lang w:val="en-GB"/>
        </w:rPr>
        <w:t>[26]</w:t>
      </w:r>
      <w:r w:rsidRPr="009F5BFC">
        <w:rPr>
          <w:lang w:val="en-GB"/>
        </w:rPr>
        <w:tab/>
      </w:r>
      <w:r w:rsidR="00625992" w:rsidRPr="006D6D14">
        <w:rPr>
          <w:lang w:val="en-GB"/>
        </w:rPr>
        <w:t>Section 217 of the Constitution ensures that contracts for goods or services are procured in accordance with a system which is fair, equitable, transparent, competitive and cost-effective. Section 33 of the Constitution guarantees the right to just administrative action, including administrative action that is lawful, reasonable and procedurally fair, as detailed in</w:t>
      </w:r>
      <w:r w:rsidR="00B1302E" w:rsidRPr="006D6D14">
        <w:rPr>
          <w:lang w:val="en-GB"/>
        </w:rPr>
        <w:t xml:space="preserve"> </w:t>
      </w:r>
      <w:r w:rsidR="00D16AE4" w:rsidRPr="006D6D14">
        <w:rPr>
          <w:lang w:val="en-GB"/>
        </w:rPr>
        <w:t>PAJA.</w:t>
      </w:r>
      <w:r w:rsidR="009F5BFC" w:rsidRPr="006D6D14">
        <w:rPr>
          <w:lang w:val="en-GB"/>
        </w:rPr>
        <w:t xml:space="preserve"> </w:t>
      </w:r>
      <w:r w:rsidR="00117AEE" w:rsidRPr="006D6D14">
        <w:rPr>
          <w:lang w:val="en-GB"/>
        </w:rPr>
        <w:t xml:space="preserve">On the facts set out by the applicant, it was incorrectly scored </w:t>
      </w:r>
      <w:r w:rsidR="00C96881" w:rsidRPr="006D6D14">
        <w:rPr>
          <w:lang w:val="en-GB"/>
        </w:rPr>
        <w:t xml:space="preserve">when the old tenders were assessed and it was irrational for the Department to have considered it to lack functional ability, particularly considering that it had rendered the boiler maintenance services for some years without complaint. </w:t>
      </w:r>
      <w:r w:rsidR="00364660" w:rsidRPr="006D6D14">
        <w:rPr>
          <w:lang w:val="en-GB"/>
        </w:rPr>
        <w:t xml:space="preserve">Leaving aside the </w:t>
      </w:r>
      <w:r w:rsidR="0065497E" w:rsidRPr="006D6D14">
        <w:rPr>
          <w:lang w:val="en-GB"/>
        </w:rPr>
        <w:t xml:space="preserve">single </w:t>
      </w:r>
      <w:r w:rsidR="00364660" w:rsidRPr="006D6D14">
        <w:rPr>
          <w:lang w:val="en-GB"/>
        </w:rPr>
        <w:t>bare averment that there are no reasonable prospects of another court coming to a different conclusion</w:t>
      </w:r>
      <w:r w:rsidR="00C6277C" w:rsidRPr="006D6D14">
        <w:rPr>
          <w:lang w:val="en-GB"/>
        </w:rPr>
        <w:t xml:space="preserve"> to that of </w:t>
      </w:r>
      <w:r w:rsidR="00B55313" w:rsidRPr="006D6D14">
        <w:rPr>
          <w:lang w:val="en-GB"/>
        </w:rPr>
        <w:t>the learned judge</w:t>
      </w:r>
      <w:r w:rsidR="00C6277C" w:rsidRPr="006D6D14">
        <w:rPr>
          <w:lang w:val="en-GB"/>
        </w:rPr>
        <w:t xml:space="preserve"> in the first review</w:t>
      </w:r>
      <w:r w:rsidR="00364660" w:rsidRPr="006D6D14">
        <w:rPr>
          <w:lang w:val="en-GB"/>
        </w:rPr>
        <w:t xml:space="preserve">, that averment is left </w:t>
      </w:r>
      <w:r w:rsidR="009F5BFC" w:rsidRPr="006D6D14">
        <w:rPr>
          <w:lang w:val="en-GB"/>
        </w:rPr>
        <w:t>unanswered</w:t>
      </w:r>
      <w:r w:rsidR="00364660" w:rsidRPr="006D6D14">
        <w:rPr>
          <w:lang w:val="en-GB"/>
        </w:rPr>
        <w:t xml:space="preserve"> in the </w:t>
      </w:r>
      <w:r w:rsidR="009F5BFC" w:rsidRPr="006D6D14">
        <w:rPr>
          <w:lang w:val="en-GB"/>
        </w:rPr>
        <w:t>Department’s</w:t>
      </w:r>
      <w:r w:rsidR="00364660" w:rsidRPr="006D6D14">
        <w:rPr>
          <w:lang w:val="en-GB"/>
        </w:rPr>
        <w:t xml:space="preserve"> </w:t>
      </w:r>
      <w:r w:rsidR="009F5BFC" w:rsidRPr="006D6D14">
        <w:rPr>
          <w:lang w:val="en-GB"/>
        </w:rPr>
        <w:t>papers</w:t>
      </w:r>
      <w:r w:rsidR="00364660" w:rsidRPr="006D6D14">
        <w:rPr>
          <w:lang w:val="en-GB"/>
        </w:rPr>
        <w:t>.</w:t>
      </w:r>
      <w:r w:rsidR="00685E2A">
        <w:rPr>
          <w:rStyle w:val="FootnoteReference"/>
          <w:lang w:val="en-GB"/>
        </w:rPr>
        <w:footnoteReference w:id="36"/>
      </w:r>
      <w:r w:rsidR="00D80E51" w:rsidRPr="006D6D14">
        <w:rPr>
          <w:lang w:val="en-GB"/>
        </w:rPr>
        <w:t xml:space="preserve"> </w:t>
      </w:r>
      <w:r w:rsidR="00AE0ECF" w:rsidRPr="006D6D14">
        <w:rPr>
          <w:lang w:val="en-GB"/>
        </w:rPr>
        <w:t xml:space="preserve">The court has </w:t>
      </w:r>
      <w:r w:rsidR="00841241" w:rsidRPr="006D6D14">
        <w:rPr>
          <w:lang w:val="en-GB"/>
        </w:rPr>
        <w:t xml:space="preserve">also </w:t>
      </w:r>
      <w:r w:rsidR="00AE0ECF" w:rsidRPr="006D6D14">
        <w:rPr>
          <w:lang w:val="en-GB"/>
        </w:rPr>
        <w:t>had the benefit of</w:t>
      </w:r>
      <w:r w:rsidR="00BA03D9" w:rsidRPr="006D6D14">
        <w:rPr>
          <w:lang w:val="en-GB"/>
        </w:rPr>
        <w:t xml:space="preserve"> </w:t>
      </w:r>
      <w:r w:rsidR="00302077" w:rsidRPr="006D6D14">
        <w:rPr>
          <w:lang w:val="en-GB"/>
        </w:rPr>
        <w:t xml:space="preserve">applicant’s heads of argument in the first review, the subsequent </w:t>
      </w:r>
      <w:r w:rsidR="00BA03D9" w:rsidRPr="006D6D14">
        <w:rPr>
          <w:lang w:val="en-GB"/>
        </w:rPr>
        <w:t xml:space="preserve">judgment </w:t>
      </w:r>
      <w:r w:rsidR="00302077" w:rsidRPr="006D6D14">
        <w:rPr>
          <w:lang w:val="en-GB"/>
        </w:rPr>
        <w:t>in that matter</w:t>
      </w:r>
      <w:r w:rsidR="00BA03D9" w:rsidRPr="006D6D14">
        <w:rPr>
          <w:lang w:val="en-GB"/>
        </w:rPr>
        <w:t xml:space="preserve"> and the application for leave to appeal</w:t>
      </w:r>
      <w:r w:rsidR="00AE0ECF" w:rsidRPr="006D6D14">
        <w:rPr>
          <w:lang w:val="en-GB"/>
        </w:rPr>
        <w:t xml:space="preserve">. </w:t>
      </w:r>
      <w:r w:rsidR="002842CB" w:rsidRPr="006D6D14">
        <w:rPr>
          <w:lang w:val="en-GB"/>
        </w:rPr>
        <w:t>Considering these documents together with the present affidavits, t</w:t>
      </w:r>
      <w:r w:rsidR="00490CDC" w:rsidRPr="006D6D14">
        <w:rPr>
          <w:lang w:val="en-GB"/>
        </w:rPr>
        <w:t xml:space="preserve">here is a prima </w:t>
      </w:r>
      <w:r w:rsidR="00592D7A" w:rsidRPr="006D6D14">
        <w:rPr>
          <w:lang w:val="en-GB"/>
        </w:rPr>
        <w:t xml:space="preserve">facie </w:t>
      </w:r>
      <w:r w:rsidR="00490CDC" w:rsidRPr="006D6D14">
        <w:rPr>
          <w:lang w:val="en-GB"/>
        </w:rPr>
        <w:t xml:space="preserve">basis to conclude that the applicant </w:t>
      </w:r>
      <w:r w:rsidR="00BC70EE" w:rsidRPr="006D6D14">
        <w:rPr>
          <w:lang w:val="en-GB"/>
        </w:rPr>
        <w:t xml:space="preserve">enjoys </w:t>
      </w:r>
      <w:r w:rsidR="00F86068" w:rsidRPr="006D6D14">
        <w:rPr>
          <w:lang w:val="en-GB"/>
        </w:rPr>
        <w:t xml:space="preserve">real </w:t>
      </w:r>
      <w:r w:rsidR="00BC70EE" w:rsidRPr="006D6D14">
        <w:rPr>
          <w:lang w:val="en-GB"/>
        </w:rPr>
        <w:t xml:space="preserve">prospects of success </w:t>
      </w:r>
      <w:r w:rsidR="00B14F80" w:rsidRPr="006D6D14">
        <w:rPr>
          <w:lang w:val="en-GB"/>
        </w:rPr>
        <w:t xml:space="preserve">on appeal </w:t>
      </w:r>
      <w:r w:rsidR="00BC70EE" w:rsidRPr="006D6D14">
        <w:rPr>
          <w:lang w:val="en-GB"/>
        </w:rPr>
        <w:t xml:space="preserve">and </w:t>
      </w:r>
      <w:r w:rsidR="00490CDC" w:rsidRPr="006D6D14">
        <w:rPr>
          <w:lang w:val="en-GB"/>
        </w:rPr>
        <w:t>should obtain the primary recourse it seeks, namely to have its bid declared responsive and to be awarded the old tenders.</w:t>
      </w:r>
      <w:r w:rsidR="00BA03D9" w:rsidRPr="006D6D14">
        <w:rPr>
          <w:lang w:val="en-GB"/>
        </w:rPr>
        <w:t xml:space="preserve"> </w:t>
      </w:r>
      <w:r w:rsidR="006C0D75" w:rsidRPr="006D6D14">
        <w:rPr>
          <w:lang w:val="en-GB"/>
        </w:rPr>
        <w:t>On these papers it has succeeded in demonstrating a prima facie right, including a real prospect of success, to contest the outcome of the first review within the framework of the constitutional right to just administrative action and access to court.</w:t>
      </w:r>
    </w:p>
    <w:p w14:paraId="2793B22A" w14:textId="77777777" w:rsidR="00BA03D9" w:rsidRPr="00BA03D9" w:rsidRDefault="00BA03D9" w:rsidP="00BA03D9">
      <w:pPr>
        <w:pStyle w:val="ListParagraph"/>
        <w:rPr>
          <w:lang w:val="en-GB"/>
        </w:rPr>
      </w:pPr>
    </w:p>
    <w:p w14:paraId="6AD2FA08" w14:textId="132C31CA" w:rsidR="00B91E6E" w:rsidRPr="006D6D14" w:rsidRDefault="006D6D14" w:rsidP="006D6D14">
      <w:pPr>
        <w:autoSpaceDE w:val="0"/>
        <w:autoSpaceDN w:val="0"/>
        <w:adjustRightInd w:val="0"/>
        <w:jc w:val="both"/>
        <w:rPr>
          <w:lang w:val="en-GB"/>
        </w:rPr>
      </w:pPr>
      <w:r>
        <w:rPr>
          <w:lang w:val="en-GB"/>
        </w:rPr>
        <w:lastRenderedPageBreak/>
        <w:t>[27]</w:t>
      </w:r>
      <w:r>
        <w:rPr>
          <w:lang w:val="en-GB"/>
        </w:rPr>
        <w:tab/>
      </w:r>
      <w:r w:rsidR="00BA03D9" w:rsidRPr="006D6D14">
        <w:rPr>
          <w:lang w:val="en-GB"/>
        </w:rPr>
        <w:t>That right is threatened by the new tenders</w:t>
      </w:r>
      <w:r w:rsidR="00222031" w:rsidRPr="006D6D14">
        <w:rPr>
          <w:lang w:val="en-GB"/>
        </w:rPr>
        <w:t xml:space="preserve"> and the applicant is at risk of irreparable harm, also absent any alternative recourse, in the event that the new tenders are not interdicted pending the </w:t>
      </w:r>
      <w:r w:rsidR="00E47D47" w:rsidRPr="006D6D14">
        <w:rPr>
          <w:lang w:val="en-GB"/>
        </w:rPr>
        <w:t>likely</w:t>
      </w:r>
      <w:r w:rsidR="00222031" w:rsidRPr="006D6D14">
        <w:rPr>
          <w:lang w:val="en-GB"/>
        </w:rPr>
        <w:t xml:space="preserve"> </w:t>
      </w:r>
      <w:r w:rsidR="008A3BBF" w:rsidRPr="006D6D14">
        <w:rPr>
          <w:lang w:val="en-GB"/>
        </w:rPr>
        <w:t>appeal</w:t>
      </w:r>
      <w:r w:rsidR="006D2F71" w:rsidRPr="006D6D14">
        <w:rPr>
          <w:lang w:val="en-GB"/>
        </w:rPr>
        <w:t xml:space="preserve"> processes</w:t>
      </w:r>
      <w:r w:rsidR="003959AA" w:rsidRPr="006D6D14">
        <w:rPr>
          <w:lang w:val="en-GB"/>
        </w:rPr>
        <w:t xml:space="preserve"> and run to completion</w:t>
      </w:r>
      <w:r w:rsidR="006D2F71" w:rsidRPr="006D6D14">
        <w:rPr>
          <w:lang w:val="en-GB"/>
        </w:rPr>
        <w:t>.</w:t>
      </w:r>
      <w:r w:rsidR="00F65161">
        <w:rPr>
          <w:rStyle w:val="FootnoteReference"/>
          <w:lang w:val="en-GB"/>
        </w:rPr>
        <w:footnoteReference w:id="37"/>
      </w:r>
      <w:r w:rsidR="006D2F71" w:rsidRPr="006D6D14">
        <w:rPr>
          <w:lang w:val="en-GB"/>
        </w:rPr>
        <w:t xml:space="preserve"> </w:t>
      </w:r>
    </w:p>
    <w:p w14:paraId="4A27F147" w14:textId="77777777" w:rsidR="00C84682" w:rsidRPr="00C84682" w:rsidRDefault="00C84682" w:rsidP="00C84682">
      <w:pPr>
        <w:pStyle w:val="ListParagraph"/>
        <w:autoSpaceDE w:val="0"/>
        <w:autoSpaceDN w:val="0"/>
        <w:adjustRightInd w:val="0"/>
        <w:ind w:left="0"/>
        <w:jc w:val="both"/>
        <w:rPr>
          <w:lang w:val="en-GB"/>
        </w:rPr>
      </w:pPr>
    </w:p>
    <w:p w14:paraId="3C77EDD2" w14:textId="6BC7490F" w:rsidR="001A035B" w:rsidRPr="006D6D14" w:rsidRDefault="006D6D14" w:rsidP="006D6D14">
      <w:pPr>
        <w:autoSpaceDE w:val="0"/>
        <w:autoSpaceDN w:val="0"/>
        <w:adjustRightInd w:val="0"/>
        <w:jc w:val="both"/>
        <w:rPr>
          <w:lang w:val="en-GB"/>
        </w:rPr>
      </w:pPr>
      <w:r>
        <w:rPr>
          <w:lang w:val="en-GB"/>
        </w:rPr>
        <w:t>[28]</w:t>
      </w:r>
      <w:r>
        <w:rPr>
          <w:lang w:val="en-GB"/>
        </w:rPr>
        <w:tab/>
      </w:r>
      <w:r w:rsidR="000A22FD" w:rsidRPr="006D6D14">
        <w:rPr>
          <w:lang w:val="en-GB"/>
        </w:rPr>
        <w:t>The same considerations in respect of possible intrusion into the realm of the executive, as outlined above, apply and support the conclusion reached.</w:t>
      </w:r>
      <w:r w:rsidR="00B91E6E" w:rsidRPr="006D6D14">
        <w:rPr>
          <w:lang w:val="en-GB"/>
        </w:rPr>
        <w:t xml:space="preserve"> In my view, the</w:t>
      </w:r>
      <w:r w:rsidR="00292EC8" w:rsidRPr="006D6D14">
        <w:rPr>
          <w:lang w:val="en-GB"/>
        </w:rPr>
        <w:t xml:space="preserve"> present circumstances involve only </w:t>
      </w:r>
      <w:r w:rsidR="00B91E6E" w:rsidRPr="006D6D14">
        <w:rPr>
          <w:lang w:val="en-GB"/>
        </w:rPr>
        <w:t>limited intrusion into the exclusive terrain of another branch of government, and correspondingly little cause for concern as to ‘separation of powers harm’.</w:t>
      </w:r>
      <w:r w:rsidR="00B91E6E">
        <w:rPr>
          <w:rStyle w:val="FootnoteReference"/>
          <w:lang w:val="en-GB"/>
        </w:rPr>
        <w:footnoteReference w:id="38"/>
      </w:r>
      <w:r w:rsidR="00B91E6E" w:rsidRPr="006D6D14">
        <w:rPr>
          <w:lang w:val="en-GB"/>
        </w:rPr>
        <w:t xml:space="preserve"> The court is not required to intrude into a ‘policy laden and polycentric decision</w:t>
      </w:r>
      <w:r w:rsidR="00244D9D" w:rsidRPr="006D6D14">
        <w:rPr>
          <w:lang w:val="en-GB"/>
        </w:rPr>
        <w:t>’</w:t>
      </w:r>
      <w:r w:rsidR="00B91E6E" w:rsidRPr="006D6D14">
        <w:rPr>
          <w:lang w:val="en-GB"/>
        </w:rPr>
        <w:t xml:space="preserve"> of the executive, as was the case in </w:t>
      </w:r>
      <w:r w:rsidR="00B91E6E" w:rsidRPr="006D6D14">
        <w:rPr>
          <w:i/>
          <w:iCs/>
          <w:lang w:val="en-GB"/>
        </w:rPr>
        <w:t>National Treasury</w:t>
      </w:r>
      <w:r w:rsidR="00B91E6E" w:rsidRPr="006D6D14">
        <w:rPr>
          <w:lang w:val="en-GB"/>
        </w:rPr>
        <w:t>.</w:t>
      </w:r>
      <w:r w:rsidR="00B91E6E">
        <w:rPr>
          <w:rStyle w:val="FootnoteReference"/>
          <w:lang w:val="en-GB"/>
        </w:rPr>
        <w:footnoteReference w:id="39"/>
      </w:r>
      <w:r w:rsidR="00B91E6E" w:rsidRPr="006D6D14">
        <w:rPr>
          <w:lang w:val="en-GB"/>
        </w:rPr>
        <w:t xml:space="preserve"> In any event, the fact that the harm grounding the interim interdict sought amounts to a breach of a fundamental right to just administrative action ‘tempers the impact of what may otherwise be too stringent a test’.</w:t>
      </w:r>
      <w:r w:rsidR="00B91E6E">
        <w:rPr>
          <w:rStyle w:val="FootnoteReference"/>
          <w:lang w:val="en-GB"/>
        </w:rPr>
        <w:footnoteReference w:id="40"/>
      </w:r>
      <w:r w:rsidR="00B91E6E" w:rsidRPr="006D6D14">
        <w:rPr>
          <w:lang w:val="en-GB"/>
        </w:rPr>
        <w:t xml:space="preserve"> Furthermore, the exercise of the Department’s powers in respect of tender awards in general is not rendered ineffective should th</w:t>
      </w:r>
      <w:r w:rsidR="0056637F" w:rsidRPr="006D6D14">
        <w:rPr>
          <w:lang w:val="en-GB"/>
        </w:rPr>
        <w:t>e</w:t>
      </w:r>
      <w:r w:rsidR="00B91E6E" w:rsidRPr="006D6D14">
        <w:rPr>
          <w:lang w:val="en-GB"/>
        </w:rPr>
        <w:t>s</w:t>
      </w:r>
      <w:r w:rsidR="0056637F" w:rsidRPr="006D6D14">
        <w:rPr>
          <w:lang w:val="en-GB"/>
        </w:rPr>
        <w:t>e</w:t>
      </w:r>
      <w:r w:rsidR="00B91E6E" w:rsidRPr="006D6D14">
        <w:rPr>
          <w:lang w:val="en-GB"/>
        </w:rPr>
        <w:t xml:space="preserve"> particular tender</w:t>
      </w:r>
      <w:r w:rsidR="0056637F" w:rsidRPr="006D6D14">
        <w:rPr>
          <w:lang w:val="en-GB"/>
        </w:rPr>
        <w:t>s</w:t>
      </w:r>
      <w:r w:rsidR="00B91E6E" w:rsidRPr="006D6D14">
        <w:rPr>
          <w:lang w:val="en-GB"/>
        </w:rPr>
        <w:t xml:space="preserve"> be interdicted on an interim basis. </w:t>
      </w:r>
      <w:r w:rsidR="00C84682" w:rsidRPr="006D6D14">
        <w:rPr>
          <w:lang w:val="en-GB"/>
        </w:rPr>
        <w:t>In determining the balance of convenience, while I note the hint of prejudice to the Department in the event that the applicant is permitted to continue to perform necessary work on a deviation basis,</w:t>
      </w:r>
      <w:r w:rsidR="00683821" w:rsidRPr="006D6D14">
        <w:rPr>
          <w:lang w:val="en-GB"/>
        </w:rPr>
        <w:t xml:space="preserve"> there is simply no evidence that the work being performed on this basis is unsatisfactory, overpriced or otherwise prejudicial. Any such prejudice</w:t>
      </w:r>
      <w:r w:rsidR="00C84682" w:rsidRPr="006D6D14">
        <w:rPr>
          <w:lang w:val="en-GB"/>
        </w:rPr>
        <w:t xml:space="preserve"> is </w:t>
      </w:r>
      <w:r w:rsidR="00683821" w:rsidRPr="006D6D14">
        <w:rPr>
          <w:lang w:val="en-GB"/>
        </w:rPr>
        <w:t xml:space="preserve">wholly </w:t>
      </w:r>
      <w:r w:rsidR="00C84682" w:rsidRPr="006D6D14">
        <w:rPr>
          <w:lang w:val="en-GB"/>
        </w:rPr>
        <w:t>overtaken and outweighed by the demonstrated prejudice to the applicant if a higher court determines that it ought to have been awarded the old tenders, in circumstances where a new process has been concluded and a new service provider permitted to commence with the same work.</w:t>
      </w:r>
      <w:r w:rsidR="00832BB0" w:rsidRPr="006D6D14">
        <w:rPr>
          <w:lang w:val="en-GB"/>
        </w:rPr>
        <w:t xml:space="preserve"> </w:t>
      </w:r>
    </w:p>
    <w:p w14:paraId="7CDF9276" w14:textId="77777777" w:rsidR="001A035B" w:rsidRDefault="001A035B" w:rsidP="001A035B">
      <w:pPr>
        <w:pStyle w:val="ListParagraph"/>
        <w:autoSpaceDE w:val="0"/>
        <w:autoSpaceDN w:val="0"/>
        <w:adjustRightInd w:val="0"/>
        <w:ind w:left="0"/>
        <w:jc w:val="both"/>
        <w:rPr>
          <w:lang w:val="en-GB"/>
        </w:rPr>
      </w:pPr>
    </w:p>
    <w:p w14:paraId="0B14DB3F" w14:textId="44D8A108" w:rsidR="00960BA8" w:rsidRPr="006D6D14" w:rsidRDefault="006D6D14" w:rsidP="006D6D14">
      <w:pPr>
        <w:autoSpaceDE w:val="0"/>
        <w:autoSpaceDN w:val="0"/>
        <w:adjustRightInd w:val="0"/>
        <w:jc w:val="both"/>
        <w:rPr>
          <w:lang w:val="en-GB"/>
        </w:rPr>
      </w:pPr>
      <w:r w:rsidRPr="00E6194F">
        <w:rPr>
          <w:lang w:val="en-GB"/>
        </w:rPr>
        <w:t>[29]</w:t>
      </w:r>
      <w:r w:rsidRPr="00E6194F">
        <w:rPr>
          <w:lang w:val="en-GB"/>
        </w:rPr>
        <w:tab/>
      </w:r>
      <w:r w:rsidR="001A035B" w:rsidRPr="006D6D14">
        <w:rPr>
          <w:lang w:val="en-GB"/>
        </w:rPr>
        <w:t>It is appropriate in these circumstances</w:t>
      </w:r>
      <w:r w:rsidR="00D42122" w:rsidRPr="006D6D14">
        <w:rPr>
          <w:lang w:val="en-GB"/>
        </w:rPr>
        <w:t>, and considering the affidavits as a whole,</w:t>
      </w:r>
      <w:r w:rsidR="001A035B" w:rsidRPr="006D6D14">
        <w:rPr>
          <w:lang w:val="en-GB"/>
        </w:rPr>
        <w:t xml:space="preserve"> for the court to exercise its discretion and grant the interim relief to the extent requested in the notice of motion.</w:t>
      </w:r>
      <w:r w:rsidR="00C44B3D">
        <w:rPr>
          <w:rStyle w:val="FootnoteReference"/>
          <w:lang w:val="en-GB"/>
        </w:rPr>
        <w:footnoteReference w:id="41"/>
      </w:r>
      <w:r w:rsidR="00C44B3D" w:rsidRPr="006D6D14">
        <w:rPr>
          <w:lang w:val="en-GB"/>
        </w:rPr>
        <w:t xml:space="preserve"> The public interest in ensuring cost-effective tender awards, and the scrupulous utilisation of public resources, as required by the </w:t>
      </w:r>
      <w:r w:rsidR="00C44B3D" w:rsidRPr="006D6D14">
        <w:rPr>
          <w:lang w:val="en-GB"/>
        </w:rPr>
        <w:lastRenderedPageBreak/>
        <w:t>Constitution, forms part of this decision.</w:t>
      </w:r>
      <w:r w:rsidR="00F447AF" w:rsidRPr="006D6D14">
        <w:rPr>
          <w:lang w:val="en-GB"/>
        </w:rPr>
        <w:t xml:space="preserve"> </w:t>
      </w:r>
      <w:r w:rsidR="008B2C97" w:rsidRPr="006D6D14">
        <w:rPr>
          <w:lang w:val="en-GB"/>
        </w:rPr>
        <w:t>It may also be noted that t</w:t>
      </w:r>
      <w:r w:rsidR="00F447AF" w:rsidRPr="006D6D14">
        <w:rPr>
          <w:lang w:val="en-GB"/>
        </w:rPr>
        <w:t>he applicant has committed itself, on the papers and during argument, to playing its part in expediting the forthcoming legal proceedings</w:t>
      </w:r>
      <w:r w:rsidR="005B67C5" w:rsidRPr="006D6D14">
        <w:rPr>
          <w:lang w:val="en-GB"/>
        </w:rPr>
        <w:t>, to the extent that this is a relevant consideration</w:t>
      </w:r>
      <w:r w:rsidR="00F447AF" w:rsidRPr="006D6D14">
        <w:rPr>
          <w:lang w:val="en-GB"/>
        </w:rPr>
        <w:t>. This will hopefully ensure that the ongoing provision of its services on a ‘deviation’ basis is minimised</w:t>
      </w:r>
      <w:r w:rsidR="007F268A" w:rsidRPr="006D6D14">
        <w:rPr>
          <w:lang w:val="en-GB"/>
        </w:rPr>
        <w:t xml:space="preserve"> rather than extended</w:t>
      </w:r>
      <w:r w:rsidR="0073060A" w:rsidRPr="006D6D14">
        <w:rPr>
          <w:lang w:val="en-GB"/>
        </w:rPr>
        <w:t xml:space="preserve"> indefinitely</w:t>
      </w:r>
      <w:r w:rsidR="00F447AF" w:rsidRPr="006D6D14">
        <w:rPr>
          <w:lang w:val="en-GB"/>
        </w:rPr>
        <w:t>.</w:t>
      </w:r>
      <w:r w:rsidR="00F447AF" w:rsidRPr="006D6D14">
        <w:rPr>
          <w:rFonts w:cstheme="minorHAnsi"/>
          <w:sz w:val="22"/>
          <w:szCs w:val="22"/>
          <w:lang w:val="en-US"/>
        </w:rPr>
        <w:t xml:space="preserve"> </w:t>
      </w:r>
    </w:p>
    <w:p w14:paraId="0DA9FF7F" w14:textId="77777777" w:rsidR="009C0F7C" w:rsidRPr="009C0F7C" w:rsidRDefault="009C0F7C" w:rsidP="009C0F7C">
      <w:pPr>
        <w:pStyle w:val="ListParagraph"/>
        <w:rPr>
          <w:lang w:val="en-GB"/>
        </w:rPr>
      </w:pPr>
    </w:p>
    <w:p w14:paraId="7AFDD493" w14:textId="522C94C8" w:rsidR="00CF4C36" w:rsidRPr="006D6D14" w:rsidRDefault="006D6D14" w:rsidP="006D6D14">
      <w:pPr>
        <w:autoSpaceDE w:val="0"/>
        <w:autoSpaceDN w:val="0"/>
        <w:adjustRightInd w:val="0"/>
        <w:jc w:val="both"/>
        <w:rPr>
          <w:rFonts w:cstheme="minorHAnsi"/>
          <w:sz w:val="22"/>
          <w:szCs w:val="22"/>
          <w:lang w:val="en-US"/>
        </w:rPr>
      </w:pPr>
      <w:r w:rsidRPr="00CF4C36">
        <w:rPr>
          <w:rFonts w:cstheme="minorHAnsi"/>
          <w:sz w:val="22"/>
          <w:szCs w:val="22"/>
          <w:lang w:val="en-US"/>
        </w:rPr>
        <w:t>[30]</w:t>
      </w:r>
      <w:r w:rsidRPr="00CF4C36">
        <w:rPr>
          <w:rFonts w:cstheme="minorHAnsi"/>
          <w:sz w:val="22"/>
          <w:szCs w:val="22"/>
          <w:lang w:val="en-US"/>
        </w:rPr>
        <w:tab/>
      </w:r>
      <w:r w:rsidR="00CA1338" w:rsidRPr="006D6D14">
        <w:rPr>
          <w:lang w:val="en-GB"/>
        </w:rPr>
        <w:t xml:space="preserve"> </w:t>
      </w:r>
      <w:r w:rsidR="000C6DEC" w:rsidRPr="006D6D14">
        <w:rPr>
          <w:lang w:val="en-GB"/>
        </w:rPr>
        <w:t>Finally, i</w:t>
      </w:r>
      <w:r w:rsidR="00625B16" w:rsidRPr="006D6D14">
        <w:rPr>
          <w:lang w:val="en-GB"/>
        </w:rPr>
        <w:t>t may be added that this outcome accords broadly with various recent decision</w:t>
      </w:r>
      <w:r w:rsidR="0064767D" w:rsidRPr="006D6D14">
        <w:rPr>
          <w:lang w:val="en-GB"/>
        </w:rPr>
        <w:t>s</w:t>
      </w:r>
      <w:r w:rsidR="00625B16" w:rsidRPr="006D6D14">
        <w:rPr>
          <w:lang w:val="en-GB"/>
        </w:rPr>
        <w:t xml:space="preserve">, including </w:t>
      </w:r>
      <w:proofErr w:type="spellStart"/>
      <w:r w:rsidR="00625B16" w:rsidRPr="006D6D14">
        <w:rPr>
          <w:i/>
          <w:iCs/>
          <w:lang w:val="en-GB"/>
        </w:rPr>
        <w:t>Bothongo</w:t>
      </w:r>
      <w:proofErr w:type="spellEnd"/>
      <w:r w:rsidR="00625B16" w:rsidRPr="006D6D14">
        <w:rPr>
          <w:i/>
          <w:iCs/>
          <w:lang w:val="en-GB"/>
        </w:rPr>
        <w:t xml:space="preserve"> Agriculture GP (Pty) Ltd v Johannesburg Water SOC Limited</w:t>
      </w:r>
      <w:r w:rsidR="00625B16" w:rsidRPr="006D6D14">
        <w:rPr>
          <w:lang w:val="en-GB"/>
        </w:rPr>
        <w:t>.</w:t>
      </w:r>
      <w:r w:rsidR="00625B16">
        <w:rPr>
          <w:rStyle w:val="FootnoteReference"/>
          <w:lang w:val="en-GB"/>
        </w:rPr>
        <w:footnoteReference w:id="42"/>
      </w:r>
      <w:r w:rsidR="00625B16" w:rsidRPr="006D6D14">
        <w:rPr>
          <w:lang w:val="en-GB"/>
        </w:rPr>
        <w:t xml:space="preserve"> As in the present proceedings, the applicant argued </w:t>
      </w:r>
      <w:r w:rsidR="00207407" w:rsidRPr="006D6D14">
        <w:rPr>
          <w:lang w:val="en-GB"/>
        </w:rPr>
        <w:t xml:space="preserve">successfully </w:t>
      </w:r>
      <w:r w:rsidR="00625B16" w:rsidRPr="006D6D14">
        <w:rPr>
          <w:lang w:val="en-GB"/>
        </w:rPr>
        <w:t>that the effect of implementation of a re-advertised tender, pending a final decision in review proceedings pertaining to an original, cancelled tender, would result in possible mootness and the undermining of the right to approach another court to vindicate the right to just administrative action.</w:t>
      </w:r>
      <w:r w:rsidR="00625B16">
        <w:rPr>
          <w:rStyle w:val="FootnoteReference"/>
          <w:lang w:val="en-GB"/>
        </w:rPr>
        <w:footnoteReference w:id="43"/>
      </w:r>
      <w:r w:rsidR="00AC322C" w:rsidRPr="006D6D14">
        <w:rPr>
          <w:lang w:val="en-GB"/>
        </w:rPr>
        <w:t xml:space="preserve"> </w:t>
      </w:r>
    </w:p>
    <w:p w14:paraId="76D0F739" w14:textId="77777777" w:rsidR="00CF4C36" w:rsidRPr="00CF4C36" w:rsidRDefault="00CF4C36" w:rsidP="00CF4C36">
      <w:pPr>
        <w:pStyle w:val="ListParagraph"/>
        <w:rPr>
          <w:lang w:val="en-GB"/>
        </w:rPr>
      </w:pPr>
    </w:p>
    <w:p w14:paraId="13D5B750" w14:textId="12031483" w:rsidR="00625B16" w:rsidRPr="006D6D14" w:rsidRDefault="006D6D14" w:rsidP="006D6D14">
      <w:pPr>
        <w:autoSpaceDE w:val="0"/>
        <w:autoSpaceDN w:val="0"/>
        <w:adjustRightInd w:val="0"/>
        <w:jc w:val="both"/>
        <w:rPr>
          <w:rFonts w:cstheme="minorHAnsi"/>
          <w:sz w:val="22"/>
          <w:szCs w:val="22"/>
          <w:lang w:val="en-US"/>
        </w:rPr>
      </w:pPr>
      <w:r w:rsidRPr="00F447AF">
        <w:rPr>
          <w:rFonts w:cstheme="minorHAnsi"/>
          <w:sz w:val="22"/>
          <w:szCs w:val="22"/>
          <w:lang w:val="en-US"/>
        </w:rPr>
        <w:t>[31]</w:t>
      </w:r>
      <w:r w:rsidRPr="00F447AF">
        <w:rPr>
          <w:rFonts w:cstheme="minorHAnsi"/>
          <w:sz w:val="22"/>
          <w:szCs w:val="22"/>
          <w:lang w:val="en-US"/>
        </w:rPr>
        <w:tab/>
      </w:r>
      <w:r w:rsidR="005022F3" w:rsidRPr="006D6D14">
        <w:rPr>
          <w:lang w:val="en-GB"/>
        </w:rPr>
        <w:t xml:space="preserve">These considerations informed the decision to grant the order repeated </w:t>
      </w:r>
      <w:r w:rsidR="00130D5C" w:rsidRPr="006D6D14">
        <w:rPr>
          <w:lang w:val="en-GB"/>
        </w:rPr>
        <w:t xml:space="preserve">in paragraph 1, </w:t>
      </w:r>
      <w:r w:rsidR="005022F3" w:rsidRPr="006D6D14">
        <w:rPr>
          <w:lang w:val="en-GB"/>
        </w:rPr>
        <w:t>above.</w:t>
      </w:r>
    </w:p>
    <w:p w14:paraId="219C0303" w14:textId="08E62FD0" w:rsidR="006B56E8" w:rsidRPr="009C0F7C" w:rsidRDefault="006B56E8" w:rsidP="00625B16">
      <w:pPr>
        <w:pStyle w:val="ListParagraph"/>
        <w:autoSpaceDE w:val="0"/>
        <w:autoSpaceDN w:val="0"/>
        <w:adjustRightInd w:val="0"/>
        <w:ind w:left="0"/>
        <w:jc w:val="both"/>
        <w:rPr>
          <w:rFonts w:cstheme="minorHAnsi"/>
          <w:sz w:val="22"/>
          <w:szCs w:val="22"/>
          <w:lang w:val="en-US"/>
        </w:rPr>
      </w:pPr>
    </w:p>
    <w:p w14:paraId="4E6343B6" w14:textId="77777777" w:rsidR="007D7A96" w:rsidRDefault="007D7A96" w:rsidP="00075260">
      <w:pPr>
        <w:pStyle w:val="ListParagraph"/>
        <w:autoSpaceDE w:val="0"/>
        <w:autoSpaceDN w:val="0"/>
        <w:adjustRightInd w:val="0"/>
        <w:ind w:left="0"/>
        <w:jc w:val="both"/>
        <w:rPr>
          <w:lang w:val="en-GB"/>
        </w:rPr>
      </w:pPr>
    </w:p>
    <w:p w14:paraId="4071424B" w14:textId="77777777" w:rsidR="00B875D5" w:rsidRDefault="00B875D5" w:rsidP="00075260">
      <w:pPr>
        <w:pStyle w:val="ListParagraph"/>
        <w:autoSpaceDE w:val="0"/>
        <w:autoSpaceDN w:val="0"/>
        <w:adjustRightInd w:val="0"/>
        <w:ind w:left="0"/>
        <w:jc w:val="both"/>
        <w:rPr>
          <w:lang w:val="en-GB"/>
        </w:rPr>
      </w:pPr>
    </w:p>
    <w:p w14:paraId="787FE614" w14:textId="77777777" w:rsidR="00B875D5" w:rsidRDefault="00B875D5" w:rsidP="00075260">
      <w:pPr>
        <w:pStyle w:val="ListParagraph"/>
        <w:autoSpaceDE w:val="0"/>
        <w:autoSpaceDN w:val="0"/>
        <w:adjustRightInd w:val="0"/>
        <w:ind w:left="0"/>
        <w:jc w:val="both"/>
        <w:rPr>
          <w:lang w:val="en-GB"/>
        </w:rPr>
      </w:pPr>
    </w:p>
    <w:p w14:paraId="363DCE68" w14:textId="3C4454A8" w:rsidR="00D450B5" w:rsidRPr="00044B50" w:rsidRDefault="00D450B5" w:rsidP="00CA056D">
      <w:pPr>
        <w:jc w:val="both"/>
        <w:rPr>
          <w:lang w:val="en-GB"/>
        </w:rPr>
      </w:pPr>
      <w:r w:rsidRPr="00044B50">
        <w:rPr>
          <w:lang w:val="en-GB"/>
        </w:rPr>
        <w:t>_______________</w:t>
      </w:r>
      <w:r w:rsidR="00276100" w:rsidRPr="00044B50">
        <w:rPr>
          <w:lang w:val="en-GB"/>
        </w:rPr>
        <w:t>__________</w:t>
      </w:r>
      <w:r w:rsidRPr="00044B50">
        <w:rPr>
          <w:lang w:val="en-GB"/>
        </w:rPr>
        <w:t xml:space="preserve"> </w:t>
      </w:r>
    </w:p>
    <w:p w14:paraId="7C243A9A" w14:textId="01E8CEBE" w:rsidR="00D450B5" w:rsidRPr="00044B50" w:rsidRDefault="00D450B5" w:rsidP="00CA056D">
      <w:pPr>
        <w:jc w:val="both"/>
        <w:rPr>
          <w:b/>
          <w:bCs/>
          <w:lang w:val="en-GB"/>
        </w:rPr>
      </w:pPr>
      <w:r w:rsidRPr="00044B50">
        <w:rPr>
          <w:b/>
          <w:bCs/>
          <w:lang w:val="en-GB"/>
        </w:rPr>
        <w:t xml:space="preserve">A GOVINDJEE                                                                                                                                                       </w:t>
      </w:r>
    </w:p>
    <w:p w14:paraId="14E92973" w14:textId="77777777" w:rsidR="00D450B5" w:rsidRDefault="00D450B5" w:rsidP="00CA056D">
      <w:pPr>
        <w:jc w:val="both"/>
        <w:rPr>
          <w:b/>
          <w:bCs/>
          <w:lang w:val="en-GB"/>
        </w:rPr>
      </w:pPr>
      <w:r w:rsidRPr="00044B50">
        <w:rPr>
          <w:b/>
          <w:bCs/>
          <w:lang w:val="en-GB"/>
        </w:rPr>
        <w:t>JUDGE OF THE HIGH COURT</w:t>
      </w:r>
    </w:p>
    <w:p w14:paraId="66B4BCC4" w14:textId="77777777" w:rsidR="00F01483" w:rsidRDefault="00F01483" w:rsidP="00CA056D">
      <w:pPr>
        <w:jc w:val="both"/>
        <w:rPr>
          <w:b/>
          <w:bCs/>
          <w:lang w:val="en-GB"/>
        </w:rPr>
      </w:pPr>
    </w:p>
    <w:p w14:paraId="4E913372" w14:textId="77777777" w:rsidR="008A75F3" w:rsidRDefault="008A75F3" w:rsidP="00EE00F7">
      <w:pPr>
        <w:widowControl w:val="0"/>
        <w:rPr>
          <w:spacing w:val="14"/>
          <w:kern w:val="2"/>
          <w:lang w:val="en-GB"/>
        </w:rPr>
      </w:pPr>
    </w:p>
    <w:p w14:paraId="04EEEF0A" w14:textId="7ABAFC56" w:rsidR="007A7BBE" w:rsidRPr="00EE00F7" w:rsidRDefault="007A7BBE" w:rsidP="00CA056D">
      <w:pPr>
        <w:widowControl w:val="0"/>
        <w:ind w:right="656"/>
        <w:rPr>
          <w:spacing w:val="14"/>
          <w:kern w:val="2"/>
          <w:lang w:val="en-GB"/>
        </w:rPr>
      </w:pPr>
      <w:r w:rsidRPr="00F01483">
        <w:rPr>
          <w:b/>
          <w:bCs/>
          <w:spacing w:val="14"/>
          <w:kern w:val="2"/>
          <w:lang w:val="en-GB"/>
        </w:rPr>
        <w:t>Heard:</w:t>
      </w:r>
      <w:r w:rsidR="00F01483">
        <w:rPr>
          <w:b/>
          <w:bCs/>
          <w:spacing w:val="14"/>
          <w:kern w:val="2"/>
          <w:lang w:val="en-GB"/>
        </w:rPr>
        <w:t xml:space="preserve"> </w:t>
      </w:r>
      <w:r w:rsidR="00EE00F7">
        <w:rPr>
          <w:spacing w:val="14"/>
          <w:kern w:val="2"/>
          <w:lang w:val="en-GB"/>
        </w:rPr>
        <w:t>26 January 2024</w:t>
      </w:r>
    </w:p>
    <w:p w14:paraId="299C01BC" w14:textId="77777777" w:rsidR="00CA056D" w:rsidRDefault="00CA056D" w:rsidP="000D4C7F">
      <w:pPr>
        <w:widowControl w:val="0"/>
        <w:ind w:left="4320" w:right="656" w:firstLine="720"/>
        <w:jc w:val="right"/>
        <w:rPr>
          <w:spacing w:val="14"/>
          <w:kern w:val="2"/>
          <w:lang w:val="en-GB"/>
        </w:rPr>
      </w:pPr>
    </w:p>
    <w:p w14:paraId="6B5DFF30" w14:textId="0D7BD075" w:rsidR="00EE00F7" w:rsidRPr="00EE00F7" w:rsidRDefault="00EE00F7" w:rsidP="00CA056D">
      <w:pPr>
        <w:widowControl w:val="0"/>
        <w:ind w:right="656"/>
        <w:rPr>
          <w:spacing w:val="14"/>
          <w:kern w:val="2"/>
          <w:lang w:val="en-GB"/>
        </w:rPr>
      </w:pPr>
      <w:r>
        <w:rPr>
          <w:b/>
          <w:bCs/>
          <w:spacing w:val="14"/>
          <w:kern w:val="2"/>
          <w:lang w:val="en-GB"/>
        </w:rPr>
        <w:t xml:space="preserve">Date of order: </w:t>
      </w:r>
      <w:r>
        <w:rPr>
          <w:spacing w:val="14"/>
          <w:kern w:val="2"/>
          <w:lang w:val="en-GB"/>
        </w:rPr>
        <w:t>30 January 2024</w:t>
      </w:r>
    </w:p>
    <w:p w14:paraId="643EA469" w14:textId="77777777" w:rsidR="00EE00F7" w:rsidRDefault="00EE00F7" w:rsidP="00CA056D">
      <w:pPr>
        <w:widowControl w:val="0"/>
        <w:ind w:right="656"/>
        <w:rPr>
          <w:b/>
          <w:bCs/>
          <w:spacing w:val="14"/>
          <w:kern w:val="2"/>
          <w:lang w:val="en-GB"/>
        </w:rPr>
      </w:pPr>
    </w:p>
    <w:p w14:paraId="5D550954" w14:textId="0753D9F6" w:rsidR="007A7BBE" w:rsidRPr="00EE00F7" w:rsidRDefault="00EE00F7" w:rsidP="00CA056D">
      <w:pPr>
        <w:widowControl w:val="0"/>
        <w:ind w:right="656"/>
        <w:rPr>
          <w:spacing w:val="14"/>
          <w:kern w:val="2"/>
          <w:lang w:val="en-GB"/>
        </w:rPr>
      </w:pPr>
      <w:r>
        <w:rPr>
          <w:b/>
          <w:bCs/>
          <w:spacing w:val="14"/>
          <w:kern w:val="2"/>
          <w:lang w:val="en-GB"/>
        </w:rPr>
        <w:t>Reasons d</w:t>
      </w:r>
      <w:r w:rsidR="007A7BBE" w:rsidRPr="00F01483">
        <w:rPr>
          <w:b/>
          <w:bCs/>
          <w:spacing w:val="14"/>
          <w:kern w:val="2"/>
          <w:lang w:val="en-GB"/>
        </w:rPr>
        <w:t>elivered:</w:t>
      </w:r>
      <w:r w:rsidR="00F01483">
        <w:rPr>
          <w:b/>
          <w:bCs/>
          <w:spacing w:val="14"/>
          <w:kern w:val="2"/>
          <w:lang w:val="en-GB"/>
        </w:rPr>
        <w:t xml:space="preserve"> </w:t>
      </w:r>
      <w:r>
        <w:rPr>
          <w:spacing w:val="14"/>
          <w:kern w:val="2"/>
          <w:lang w:val="en-GB"/>
        </w:rPr>
        <w:t>1</w:t>
      </w:r>
      <w:r w:rsidR="00B875D5">
        <w:rPr>
          <w:spacing w:val="14"/>
          <w:kern w:val="2"/>
          <w:lang w:val="en-GB"/>
        </w:rPr>
        <w:t>6</w:t>
      </w:r>
      <w:r>
        <w:rPr>
          <w:spacing w:val="14"/>
          <w:kern w:val="2"/>
          <w:lang w:val="en-GB"/>
        </w:rPr>
        <w:t xml:space="preserve"> February 2024</w:t>
      </w:r>
    </w:p>
    <w:p w14:paraId="294A39F0" w14:textId="77777777" w:rsidR="00F01483" w:rsidRDefault="00F01483" w:rsidP="00CA056D">
      <w:pPr>
        <w:widowControl w:val="0"/>
        <w:ind w:right="656"/>
        <w:rPr>
          <w:spacing w:val="14"/>
          <w:kern w:val="2"/>
          <w:lang w:val="en-GB"/>
        </w:rPr>
      </w:pPr>
    </w:p>
    <w:p w14:paraId="3E6C810A" w14:textId="77777777" w:rsidR="00B875D5" w:rsidRDefault="00B875D5" w:rsidP="00B875D5">
      <w:pPr>
        <w:jc w:val="both"/>
        <w:rPr>
          <w:lang w:val="en-GB"/>
        </w:rPr>
      </w:pPr>
      <w:r w:rsidRPr="00044B50">
        <w:rPr>
          <w:lang w:val="en-GB"/>
        </w:rPr>
        <w:lastRenderedPageBreak/>
        <w:t>Appearances:</w:t>
      </w:r>
    </w:p>
    <w:p w14:paraId="639F3D23" w14:textId="77777777" w:rsidR="00B875D5" w:rsidRDefault="00B875D5" w:rsidP="00B875D5">
      <w:pPr>
        <w:jc w:val="both"/>
        <w:rPr>
          <w:lang w:val="en-GB"/>
        </w:rPr>
      </w:pPr>
    </w:p>
    <w:p w14:paraId="6EF9661E" w14:textId="77777777" w:rsidR="00B875D5" w:rsidRDefault="00B875D5" w:rsidP="00B875D5">
      <w:pPr>
        <w:jc w:val="both"/>
      </w:pPr>
      <w:r>
        <w:t>Counsel for the Applicant:</w:t>
      </w:r>
      <w:r>
        <w:tab/>
      </w:r>
      <w:r>
        <w:tab/>
      </w:r>
      <w:r>
        <w:tab/>
        <w:t>Adv JJ Nepgen</w:t>
      </w:r>
    </w:p>
    <w:p w14:paraId="70CF7725" w14:textId="77777777" w:rsidR="00B875D5" w:rsidRDefault="00B875D5" w:rsidP="00B875D5">
      <w:pPr>
        <w:jc w:val="both"/>
      </w:pPr>
      <w:r>
        <w:tab/>
      </w:r>
      <w:r>
        <w:tab/>
      </w:r>
      <w:r>
        <w:tab/>
      </w:r>
      <w:r>
        <w:tab/>
      </w:r>
      <w:r>
        <w:tab/>
      </w:r>
      <w:r>
        <w:tab/>
        <w:t xml:space="preserve">Chambers, </w:t>
      </w:r>
      <w:proofErr w:type="spellStart"/>
      <w:r>
        <w:t>Gqeberha</w:t>
      </w:r>
      <w:proofErr w:type="spellEnd"/>
    </w:p>
    <w:p w14:paraId="621AB628" w14:textId="77777777" w:rsidR="00B875D5" w:rsidRDefault="00B875D5" w:rsidP="00B875D5">
      <w:pPr>
        <w:jc w:val="both"/>
        <w:rPr>
          <w:lang w:val="en-GB"/>
        </w:rPr>
      </w:pPr>
      <w:r>
        <w:rPr>
          <w:lang w:val="en-GB"/>
        </w:rPr>
        <w:tab/>
      </w:r>
      <w:r>
        <w:rPr>
          <w:lang w:val="en-GB"/>
        </w:rPr>
        <w:tab/>
      </w:r>
      <w:r>
        <w:rPr>
          <w:lang w:val="en-GB"/>
        </w:rPr>
        <w:tab/>
      </w:r>
      <w:r>
        <w:rPr>
          <w:lang w:val="en-GB"/>
        </w:rPr>
        <w:tab/>
      </w:r>
      <w:r>
        <w:rPr>
          <w:lang w:val="en-GB"/>
        </w:rPr>
        <w:tab/>
      </w:r>
      <w:r>
        <w:rPr>
          <w:lang w:val="en-GB"/>
        </w:rPr>
        <w:tab/>
      </w:r>
    </w:p>
    <w:p w14:paraId="35CB1624" w14:textId="77777777" w:rsidR="00B875D5" w:rsidRDefault="00B875D5" w:rsidP="00B875D5">
      <w:pPr>
        <w:jc w:val="both"/>
        <w:rPr>
          <w:lang w:val="en-GB"/>
        </w:rPr>
      </w:pPr>
      <w:r>
        <w:rPr>
          <w:lang w:val="en-GB"/>
        </w:rPr>
        <w:t>Instructed by:</w:t>
      </w:r>
      <w:r>
        <w:rPr>
          <w:lang w:val="en-GB"/>
        </w:rPr>
        <w:tab/>
      </w:r>
      <w:r>
        <w:rPr>
          <w:lang w:val="en-GB"/>
        </w:rPr>
        <w:tab/>
      </w:r>
      <w:r>
        <w:rPr>
          <w:lang w:val="en-GB"/>
        </w:rPr>
        <w:tab/>
      </w:r>
      <w:r>
        <w:rPr>
          <w:lang w:val="en-GB"/>
        </w:rPr>
        <w:tab/>
        <w:t>Joubert Galpin &amp; Searle Attorneys</w:t>
      </w:r>
    </w:p>
    <w:p w14:paraId="4B1D3559" w14:textId="77777777" w:rsidR="00B875D5" w:rsidRDefault="00B875D5" w:rsidP="00B875D5">
      <w:pPr>
        <w:jc w:val="both"/>
        <w:rPr>
          <w:lang w:val="en-GB"/>
        </w:rPr>
      </w:pPr>
      <w:r>
        <w:rPr>
          <w:lang w:val="en-GB"/>
        </w:rPr>
        <w:tab/>
      </w:r>
      <w:r>
        <w:rPr>
          <w:lang w:val="en-GB"/>
        </w:rPr>
        <w:tab/>
      </w:r>
      <w:r>
        <w:rPr>
          <w:lang w:val="en-GB"/>
        </w:rPr>
        <w:tab/>
      </w:r>
      <w:r>
        <w:rPr>
          <w:lang w:val="en-GB"/>
        </w:rPr>
        <w:tab/>
      </w:r>
      <w:r>
        <w:rPr>
          <w:lang w:val="en-GB"/>
        </w:rPr>
        <w:tab/>
      </w:r>
      <w:r>
        <w:rPr>
          <w:lang w:val="en-GB"/>
        </w:rPr>
        <w:tab/>
        <w:t>Applicant’s Attorneys</w:t>
      </w:r>
    </w:p>
    <w:p w14:paraId="3A94821B" w14:textId="77777777" w:rsidR="00B875D5" w:rsidRDefault="00B875D5" w:rsidP="00B875D5">
      <w:pPr>
        <w:jc w:val="both"/>
        <w:rPr>
          <w:lang w:val="en-GB"/>
        </w:rPr>
      </w:pPr>
      <w:r>
        <w:rPr>
          <w:lang w:val="en-GB"/>
        </w:rPr>
        <w:tab/>
      </w:r>
      <w:r>
        <w:rPr>
          <w:lang w:val="en-GB"/>
        </w:rPr>
        <w:tab/>
      </w:r>
      <w:r>
        <w:rPr>
          <w:lang w:val="en-GB"/>
        </w:rPr>
        <w:tab/>
      </w:r>
      <w:r>
        <w:rPr>
          <w:lang w:val="en-GB"/>
        </w:rPr>
        <w:tab/>
      </w:r>
      <w:r>
        <w:rPr>
          <w:lang w:val="en-GB"/>
        </w:rPr>
        <w:tab/>
      </w:r>
      <w:r>
        <w:rPr>
          <w:lang w:val="en-GB"/>
        </w:rPr>
        <w:tab/>
        <w:t xml:space="preserve">Email: </w:t>
      </w:r>
      <w:hyperlink r:id="rId9" w:history="1">
        <w:r w:rsidRPr="0083024E">
          <w:rPr>
            <w:rStyle w:val="Hyperlink"/>
            <w:lang w:val="en-GB"/>
          </w:rPr>
          <w:t>jac.marais@adams.africa</w:t>
        </w:r>
      </w:hyperlink>
    </w:p>
    <w:p w14:paraId="6E50196D" w14:textId="77777777" w:rsidR="00B875D5" w:rsidRDefault="00B875D5" w:rsidP="00B875D5">
      <w:pPr>
        <w:jc w:val="both"/>
        <w:rPr>
          <w:lang w:val="en-GB"/>
        </w:rPr>
      </w:pPr>
    </w:p>
    <w:p w14:paraId="11EC5FB7" w14:textId="77777777" w:rsidR="00B875D5" w:rsidRDefault="00B875D5" w:rsidP="00B875D5">
      <w:pPr>
        <w:jc w:val="both"/>
        <w:rPr>
          <w:lang w:val="en-GB"/>
        </w:rPr>
      </w:pPr>
      <w:r>
        <w:rPr>
          <w:lang w:val="en-GB"/>
        </w:rPr>
        <w:t>C/o:</w:t>
      </w:r>
      <w:r>
        <w:rPr>
          <w:lang w:val="en-GB"/>
        </w:rPr>
        <w:tab/>
      </w:r>
      <w:r>
        <w:rPr>
          <w:lang w:val="en-GB"/>
        </w:rPr>
        <w:tab/>
      </w:r>
      <w:r>
        <w:rPr>
          <w:lang w:val="en-GB"/>
        </w:rPr>
        <w:tab/>
      </w:r>
      <w:r>
        <w:rPr>
          <w:lang w:val="en-GB"/>
        </w:rPr>
        <w:tab/>
      </w:r>
      <w:r>
        <w:rPr>
          <w:lang w:val="en-GB"/>
        </w:rPr>
        <w:tab/>
      </w:r>
      <w:r>
        <w:rPr>
          <w:lang w:val="en-GB"/>
        </w:rPr>
        <w:tab/>
        <w:t>Huxtable Attorneys</w:t>
      </w:r>
    </w:p>
    <w:p w14:paraId="34209F5C" w14:textId="77777777" w:rsidR="00B875D5" w:rsidRDefault="00B875D5" w:rsidP="00B875D5">
      <w:pPr>
        <w:jc w:val="both"/>
        <w:rPr>
          <w:lang w:val="en-GB"/>
        </w:rPr>
      </w:pPr>
      <w:r>
        <w:rPr>
          <w:lang w:val="en-GB"/>
        </w:rPr>
        <w:tab/>
      </w:r>
      <w:r>
        <w:rPr>
          <w:lang w:val="en-GB"/>
        </w:rPr>
        <w:tab/>
      </w:r>
      <w:r>
        <w:rPr>
          <w:lang w:val="en-GB"/>
        </w:rPr>
        <w:tab/>
      </w:r>
      <w:r>
        <w:rPr>
          <w:lang w:val="en-GB"/>
        </w:rPr>
        <w:tab/>
      </w:r>
      <w:r>
        <w:rPr>
          <w:lang w:val="en-GB"/>
        </w:rPr>
        <w:tab/>
      </w:r>
      <w:r>
        <w:rPr>
          <w:lang w:val="en-GB"/>
        </w:rPr>
        <w:tab/>
        <w:t xml:space="preserve">26 New Street </w:t>
      </w:r>
    </w:p>
    <w:p w14:paraId="628E68E2" w14:textId="77777777" w:rsidR="00B875D5" w:rsidRDefault="00B875D5" w:rsidP="00B875D5">
      <w:pPr>
        <w:jc w:val="both"/>
        <w:rPr>
          <w:lang w:val="en-GB"/>
        </w:rPr>
      </w:pPr>
      <w:r>
        <w:rPr>
          <w:lang w:val="en-GB"/>
        </w:rPr>
        <w:tab/>
      </w:r>
      <w:r>
        <w:rPr>
          <w:lang w:val="en-GB"/>
        </w:rPr>
        <w:tab/>
      </w:r>
      <w:r>
        <w:rPr>
          <w:lang w:val="en-GB"/>
        </w:rPr>
        <w:tab/>
      </w:r>
      <w:r>
        <w:rPr>
          <w:lang w:val="en-GB"/>
        </w:rPr>
        <w:tab/>
      </w:r>
      <w:r>
        <w:rPr>
          <w:lang w:val="en-GB"/>
        </w:rPr>
        <w:tab/>
      </w:r>
      <w:r>
        <w:rPr>
          <w:lang w:val="en-GB"/>
        </w:rPr>
        <w:tab/>
      </w:r>
      <w:proofErr w:type="spellStart"/>
      <w:r>
        <w:rPr>
          <w:lang w:val="en-GB"/>
        </w:rPr>
        <w:t>Makhanda</w:t>
      </w:r>
      <w:proofErr w:type="spellEnd"/>
    </w:p>
    <w:p w14:paraId="0C5A857D" w14:textId="77777777" w:rsidR="00B875D5" w:rsidRDefault="00B875D5" w:rsidP="00B875D5">
      <w:pPr>
        <w:jc w:val="both"/>
        <w:rPr>
          <w:lang w:val="en-GB"/>
        </w:rPr>
      </w:pPr>
      <w:r>
        <w:rPr>
          <w:lang w:val="en-GB"/>
        </w:rPr>
        <w:tab/>
      </w:r>
      <w:r>
        <w:rPr>
          <w:lang w:val="en-GB"/>
        </w:rPr>
        <w:tab/>
      </w:r>
      <w:r>
        <w:rPr>
          <w:lang w:val="en-GB"/>
        </w:rPr>
        <w:tab/>
      </w:r>
      <w:r>
        <w:rPr>
          <w:lang w:val="en-GB"/>
        </w:rPr>
        <w:tab/>
      </w:r>
      <w:r>
        <w:rPr>
          <w:lang w:val="en-GB"/>
        </w:rPr>
        <w:tab/>
      </w:r>
      <w:r>
        <w:rPr>
          <w:lang w:val="en-GB"/>
        </w:rPr>
        <w:tab/>
        <w:t xml:space="preserve">Email: </w:t>
      </w:r>
      <w:r w:rsidRPr="008E4BF5">
        <w:rPr>
          <w:color w:val="4472C4" w:themeColor="accent1"/>
          <w:u w:val="single"/>
          <w:lang w:val="en-GB"/>
        </w:rPr>
        <w:t>law1huxattorneys.co.za</w:t>
      </w:r>
    </w:p>
    <w:p w14:paraId="07BFC8A8" w14:textId="77777777" w:rsidR="00B875D5" w:rsidRDefault="00B875D5" w:rsidP="00B875D5">
      <w:pPr>
        <w:jc w:val="both"/>
        <w:rPr>
          <w:lang w:val="en-GB"/>
        </w:rPr>
      </w:pPr>
      <w:r>
        <w:rPr>
          <w:lang w:val="en-GB"/>
        </w:rPr>
        <w:tab/>
      </w:r>
      <w:r>
        <w:rPr>
          <w:lang w:val="en-GB"/>
        </w:rPr>
        <w:tab/>
      </w:r>
      <w:r>
        <w:rPr>
          <w:lang w:val="en-GB"/>
        </w:rPr>
        <w:tab/>
      </w:r>
      <w:r>
        <w:rPr>
          <w:lang w:val="en-GB"/>
        </w:rPr>
        <w:tab/>
      </w:r>
      <w:r>
        <w:rPr>
          <w:lang w:val="en-GB"/>
        </w:rPr>
        <w:tab/>
      </w:r>
      <w:r>
        <w:rPr>
          <w:lang w:val="en-GB"/>
        </w:rPr>
        <w:tab/>
      </w:r>
    </w:p>
    <w:p w14:paraId="63818A01" w14:textId="77777777" w:rsidR="00B875D5" w:rsidRDefault="00B875D5" w:rsidP="00B875D5">
      <w:pPr>
        <w:jc w:val="both"/>
        <w:rPr>
          <w:lang w:val="en-GB"/>
        </w:rPr>
      </w:pPr>
      <w:r>
        <w:rPr>
          <w:lang w:val="en-GB"/>
        </w:rPr>
        <w:t>Counsel for the Respondent:</w:t>
      </w:r>
      <w:r>
        <w:rPr>
          <w:lang w:val="en-GB"/>
        </w:rPr>
        <w:tab/>
      </w:r>
      <w:r>
        <w:rPr>
          <w:lang w:val="en-GB"/>
        </w:rPr>
        <w:tab/>
        <w:t>Adv RG Buchanan SC</w:t>
      </w:r>
    </w:p>
    <w:p w14:paraId="7B98324F" w14:textId="77777777" w:rsidR="00B875D5" w:rsidRDefault="00B875D5" w:rsidP="00B875D5">
      <w:pPr>
        <w:jc w:val="both"/>
        <w:rPr>
          <w:lang w:val="en-GB"/>
        </w:rPr>
      </w:pPr>
      <w:r>
        <w:rPr>
          <w:lang w:val="en-GB"/>
        </w:rPr>
        <w:tab/>
      </w:r>
      <w:r>
        <w:rPr>
          <w:lang w:val="en-GB"/>
        </w:rPr>
        <w:tab/>
      </w:r>
      <w:r>
        <w:rPr>
          <w:lang w:val="en-GB"/>
        </w:rPr>
        <w:tab/>
      </w:r>
      <w:r>
        <w:rPr>
          <w:lang w:val="en-GB"/>
        </w:rPr>
        <w:tab/>
      </w:r>
      <w:r>
        <w:rPr>
          <w:lang w:val="en-GB"/>
        </w:rPr>
        <w:tab/>
      </w:r>
      <w:r>
        <w:rPr>
          <w:lang w:val="en-GB"/>
        </w:rPr>
        <w:tab/>
        <w:t xml:space="preserve">Chambers, </w:t>
      </w:r>
      <w:proofErr w:type="spellStart"/>
      <w:r>
        <w:rPr>
          <w:lang w:val="en-GB"/>
        </w:rPr>
        <w:t>Gqeberha</w:t>
      </w:r>
      <w:proofErr w:type="spellEnd"/>
    </w:p>
    <w:p w14:paraId="18CEFAC3" w14:textId="77777777" w:rsidR="00B875D5" w:rsidRDefault="00B875D5" w:rsidP="00B875D5">
      <w:pPr>
        <w:jc w:val="both"/>
        <w:rPr>
          <w:lang w:val="en-GB"/>
        </w:rPr>
      </w:pPr>
      <w:r>
        <w:rPr>
          <w:lang w:val="en-GB"/>
        </w:rPr>
        <w:tab/>
      </w:r>
      <w:r>
        <w:rPr>
          <w:lang w:val="en-GB"/>
        </w:rPr>
        <w:tab/>
      </w:r>
      <w:r>
        <w:rPr>
          <w:lang w:val="en-GB"/>
        </w:rPr>
        <w:tab/>
      </w:r>
      <w:r>
        <w:rPr>
          <w:lang w:val="en-GB"/>
        </w:rPr>
        <w:tab/>
      </w:r>
      <w:r>
        <w:rPr>
          <w:lang w:val="en-GB"/>
        </w:rPr>
        <w:tab/>
      </w:r>
      <w:r>
        <w:rPr>
          <w:lang w:val="en-GB"/>
        </w:rPr>
        <w:tab/>
      </w:r>
    </w:p>
    <w:p w14:paraId="5776BA45" w14:textId="77777777" w:rsidR="00B875D5" w:rsidRDefault="00B875D5" w:rsidP="00B875D5">
      <w:pPr>
        <w:jc w:val="both"/>
        <w:rPr>
          <w:lang w:val="en-GB"/>
        </w:rPr>
      </w:pPr>
      <w:r>
        <w:rPr>
          <w:lang w:val="en-GB"/>
        </w:rPr>
        <w:t>Instructed by:</w:t>
      </w:r>
      <w:r>
        <w:rPr>
          <w:lang w:val="en-GB"/>
        </w:rPr>
        <w:tab/>
      </w:r>
      <w:r>
        <w:rPr>
          <w:lang w:val="en-GB"/>
        </w:rPr>
        <w:tab/>
      </w:r>
      <w:r>
        <w:rPr>
          <w:lang w:val="en-GB"/>
        </w:rPr>
        <w:tab/>
      </w:r>
      <w:r>
        <w:rPr>
          <w:lang w:val="en-GB"/>
        </w:rPr>
        <w:tab/>
        <w:t>Office of the State Attorney</w:t>
      </w:r>
    </w:p>
    <w:p w14:paraId="00D4C216" w14:textId="77777777" w:rsidR="00B875D5" w:rsidRDefault="00B875D5" w:rsidP="00B875D5">
      <w:pPr>
        <w:jc w:val="both"/>
        <w:rPr>
          <w:lang w:val="en-GB"/>
        </w:rPr>
      </w:pPr>
      <w:r>
        <w:rPr>
          <w:lang w:val="en-GB"/>
        </w:rPr>
        <w:tab/>
      </w:r>
      <w:r>
        <w:rPr>
          <w:lang w:val="en-GB"/>
        </w:rPr>
        <w:tab/>
      </w:r>
      <w:r>
        <w:rPr>
          <w:lang w:val="en-GB"/>
        </w:rPr>
        <w:tab/>
      </w:r>
      <w:r>
        <w:rPr>
          <w:lang w:val="en-GB"/>
        </w:rPr>
        <w:tab/>
      </w:r>
      <w:r>
        <w:rPr>
          <w:lang w:val="en-GB"/>
        </w:rPr>
        <w:tab/>
      </w:r>
      <w:r>
        <w:rPr>
          <w:lang w:val="en-GB"/>
        </w:rPr>
        <w:tab/>
        <w:t>Respondent’s Attorneys</w:t>
      </w:r>
    </w:p>
    <w:p w14:paraId="7D26715F" w14:textId="77777777" w:rsidR="00B875D5" w:rsidRDefault="00B875D5" w:rsidP="00B875D5">
      <w:pPr>
        <w:jc w:val="both"/>
        <w:rPr>
          <w:lang w:val="en-GB"/>
        </w:rPr>
      </w:pPr>
      <w:r>
        <w:rPr>
          <w:lang w:val="en-GB"/>
        </w:rPr>
        <w:tab/>
      </w:r>
      <w:r>
        <w:rPr>
          <w:lang w:val="en-GB"/>
        </w:rPr>
        <w:tab/>
      </w:r>
      <w:r>
        <w:rPr>
          <w:lang w:val="en-GB"/>
        </w:rPr>
        <w:tab/>
      </w:r>
      <w:r>
        <w:rPr>
          <w:lang w:val="en-GB"/>
        </w:rPr>
        <w:tab/>
      </w:r>
      <w:r>
        <w:rPr>
          <w:lang w:val="en-GB"/>
        </w:rPr>
        <w:tab/>
      </w:r>
      <w:r>
        <w:rPr>
          <w:lang w:val="en-GB"/>
        </w:rPr>
        <w:tab/>
        <w:t xml:space="preserve">Email: </w:t>
      </w:r>
      <w:hyperlink r:id="rId10" w:history="1">
        <w:r w:rsidRPr="0083024E">
          <w:rPr>
            <w:rStyle w:val="Hyperlink"/>
            <w:lang w:val="en-GB"/>
          </w:rPr>
          <w:t>MicBotha@justice.gov.za</w:t>
        </w:r>
      </w:hyperlink>
    </w:p>
    <w:p w14:paraId="46D8503C" w14:textId="77777777" w:rsidR="00B875D5" w:rsidRDefault="00B875D5" w:rsidP="00B875D5">
      <w:pPr>
        <w:jc w:val="both"/>
        <w:rPr>
          <w:lang w:val="en-GB"/>
        </w:rPr>
      </w:pPr>
    </w:p>
    <w:p w14:paraId="738AE370" w14:textId="77777777" w:rsidR="00B875D5" w:rsidRDefault="00B875D5" w:rsidP="00B875D5">
      <w:pPr>
        <w:jc w:val="both"/>
        <w:rPr>
          <w:lang w:val="en-GB"/>
        </w:rPr>
      </w:pPr>
      <w:r>
        <w:rPr>
          <w:lang w:val="en-GB"/>
        </w:rPr>
        <w:t>C/o:</w:t>
      </w:r>
      <w:r>
        <w:rPr>
          <w:lang w:val="en-GB"/>
        </w:rPr>
        <w:tab/>
      </w:r>
      <w:r>
        <w:rPr>
          <w:lang w:val="en-GB"/>
        </w:rPr>
        <w:tab/>
      </w:r>
      <w:r>
        <w:rPr>
          <w:lang w:val="en-GB"/>
        </w:rPr>
        <w:tab/>
      </w:r>
      <w:r>
        <w:rPr>
          <w:lang w:val="en-GB"/>
        </w:rPr>
        <w:tab/>
      </w:r>
      <w:r>
        <w:rPr>
          <w:lang w:val="en-GB"/>
        </w:rPr>
        <w:tab/>
      </w:r>
      <w:r>
        <w:rPr>
          <w:lang w:val="en-GB"/>
        </w:rPr>
        <w:tab/>
        <w:t>Whitesides Attorneys</w:t>
      </w:r>
    </w:p>
    <w:p w14:paraId="32443121" w14:textId="77777777" w:rsidR="00B875D5" w:rsidRDefault="00B875D5" w:rsidP="00B875D5">
      <w:pPr>
        <w:jc w:val="both"/>
        <w:rPr>
          <w:lang w:val="en-GB"/>
        </w:rPr>
      </w:pPr>
      <w:r>
        <w:rPr>
          <w:lang w:val="en-GB"/>
        </w:rPr>
        <w:tab/>
      </w:r>
      <w:r>
        <w:rPr>
          <w:lang w:val="en-GB"/>
        </w:rPr>
        <w:tab/>
      </w:r>
      <w:r>
        <w:rPr>
          <w:lang w:val="en-GB"/>
        </w:rPr>
        <w:tab/>
      </w:r>
      <w:r>
        <w:rPr>
          <w:lang w:val="en-GB"/>
        </w:rPr>
        <w:tab/>
      </w:r>
      <w:r>
        <w:rPr>
          <w:lang w:val="en-GB"/>
        </w:rPr>
        <w:tab/>
      </w:r>
      <w:r>
        <w:rPr>
          <w:lang w:val="en-GB"/>
        </w:rPr>
        <w:tab/>
        <w:t>53 African street</w:t>
      </w:r>
    </w:p>
    <w:p w14:paraId="7D1D9920" w14:textId="77777777" w:rsidR="00B875D5" w:rsidRDefault="00B875D5" w:rsidP="00B875D5">
      <w:pPr>
        <w:jc w:val="both"/>
        <w:rPr>
          <w:lang w:val="en-GB"/>
        </w:rPr>
      </w:pPr>
      <w:r>
        <w:rPr>
          <w:lang w:val="en-GB"/>
        </w:rPr>
        <w:tab/>
      </w:r>
      <w:r>
        <w:rPr>
          <w:lang w:val="en-GB"/>
        </w:rPr>
        <w:tab/>
      </w:r>
      <w:r>
        <w:rPr>
          <w:lang w:val="en-GB"/>
        </w:rPr>
        <w:tab/>
      </w:r>
      <w:r>
        <w:rPr>
          <w:lang w:val="en-GB"/>
        </w:rPr>
        <w:tab/>
      </w:r>
      <w:r>
        <w:rPr>
          <w:lang w:val="en-GB"/>
        </w:rPr>
        <w:tab/>
      </w:r>
      <w:r>
        <w:rPr>
          <w:lang w:val="en-GB"/>
        </w:rPr>
        <w:tab/>
      </w:r>
      <w:proofErr w:type="spellStart"/>
      <w:r>
        <w:rPr>
          <w:lang w:val="en-GB"/>
        </w:rPr>
        <w:t>Makhanda</w:t>
      </w:r>
      <w:proofErr w:type="spellEnd"/>
    </w:p>
    <w:p w14:paraId="73884E2B" w14:textId="77777777" w:rsidR="00B875D5" w:rsidRPr="00DF214E" w:rsidRDefault="00B875D5" w:rsidP="00B875D5">
      <w:pPr>
        <w:jc w:val="both"/>
        <w:rPr>
          <w:u w:val="single"/>
          <w:lang w:val="en-GB"/>
        </w:rPr>
      </w:pPr>
      <w:r>
        <w:rPr>
          <w:lang w:val="en-GB"/>
        </w:rPr>
        <w:tab/>
      </w:r>
      <w:r>
        <w:rPr>
          <w:lang w:val="en-GB"/>
        </w:rPr>
        <w:tab/>
      </w:r>
      <w:r>
        <w:rPr>
          <w:lang w:val="en-GB"/>
        </w:rPr>
        <w:tab/>
      </w:r>
      <w:r>
        <w:rPr>
          <w:lang w:val="en-GB"/>
        </w:rPr>
        <w:tab/>
      </w:r>
      <w:r>
        <w:rPr>
          <w:lang w:val="en-GB"/>
        </w:rPr>
        <w:tab/>
      </w:r>
      <w:r>
        <w:rPr>
          <w:lang w:val="en-GB"/>
        </w:rPr>
        <w:tab/>
        <w:t xml:space="preserve">Email: </w:t>
      </w:r>
      <w:r w:rsidRPr="00DF214E">
        <w:rPr>
          <w:color w:val="4472C4" w:themeColor="accent1"/>
          <w:u w:val="single"/>
          <w:lang w:val="en-GB"/>
        </w:rPr>
        <w:t>barrowsec@whitesides.co.za</w:t>
      </w:r>
    </w:p>
    <w:p w14:paraId="4F2BB70A" w14:textId="77777777" w:rsidR="00B875D5" w:rsidRDefault="00B875D5" w:rsidP="00B875D5">
      <w:pPr>
        <w:jc w:val="both"/>
        <w:rPr>
          <w:lang w:val="en-GB"/>
        </w:rPr>
      </w:pPr>
      <w:r>
        <w:rPr>
          <w:lang w:val="en-GB"/>
        </w:rPr>
        <w:tab/>
      </w:r>
      <w:r>
        <w:rPr>
          <w:lang w:val="en-GB"/>
        </w:rPr>
        <w:tab/>
      </w:r>
    </w:p>
    <w:p w14:paraId="23C9F21C" w14:textId="7A1EF019" w:rsidR="007C247A" w:rsidRPr="00044B50" w:rsidRDefault="007C247A" w:rsidP="00B875D5">
      <w:pPr>
        <w:jc w:val="both"/>
        <w:rPr>
          <w:lang w:val="en-GB"/>
        </w:rPr>
      </w:pPr>
    </w:p>
    <w:sectPr w:rsidR="007C247A" w:rsidRPr="00044B50" w:rsidSect="001D59B0">
      <w:headerReference w:type="even" r:id="rId11"/>
      <w:headerReference w:type="default" r:id="rId12"/>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F4087C" w14:textId="77777777" w:rsidR="00DF650E" w:rsidRDefault="00DF650E" w:rsidP="00005691">
      <w:r>
        <w:separator/>
      </w:r>
    </w:p>
  </w:endnote>
  <w:endnote w:type="continuationSeparator" w:id="0">
    <w:p w14:paraId="6A0024B0" w14:textId="77777777" w:rsidR="00DF650E" w:rsidRDefault="00DF650E" w:rsidP="00005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530703" w14:textId="77777777" w:rsidR="00DF650E" w:rsidRDefault="00DF650E" w:rsidP="00005691">
      <w:r>
        <w:separator/>
      </w:r>
    </w:p>
  </w:footnote>
  <w:footnote w:type="continuationSeparator" w:id="0">
    <w:p w14:paraId="162D2835" w14:textId="77777777" w:rsidR="00DF650E" w:rsidRDefault="00DF650E" w:rsidP="00005691">
      <w:r>
        <w:continuationSeparator/>
      </w:r>
    </w:p>
  </w:footnote>
  <w:footnote w:id="1">
    <w:p w14:paraId="3ABC841F" w14:textId="7BBADE8D" w:rsidR="00E65AFA" w:rsidRPr="00E65AFA" w:rsidRDefault="00E65AFA" w:rsidP="00275AA3">
      <w:pPr>
        <w:pStyle w:val="FootnoteText"/>
        <w:spacing w:line="240" w:lineRule="auto"/>
        <w:jc w:val="both"/>
        <w:rPr>
          <w:lang w:val="en-US"/>
        </w:rPr>
      </w:pPr>
      <w:r>
        <w:rPr>
          <w:rStyle w:val="FootnoteReference"/>
        </w:rPr>
        <w:footnoteRef/>
      </w:r>
      <w:r>
        <w:t xml:space="preserve"> </w:t>
      </w:r>
      <w:r>
        <w:rPr>
          <w:i/>
          <w:iCs/>
          <w:lang w:val="en-US"/>
        </w:rPr>
        <w:t>Minister of Finance v Afribusiness</w:t>
      </w:r>
      <w:r>
        <w:rPr>
          <w:lang w:val="en-US"/>
        </w:rPr>
        <w:t xml:space="preserve"> 2022 (4) SA 362 (CC).</w:t>
      </w:r>
    </w:p>
  </w:footnote>
  <w:footnote w:id="2">
    <w:p w14:paraId="0C0DC655" w14:textId="6FEE76AC" w:rsidR="00D17A06" w:rsidRPr="00717573" w:rsidRDefault="00D17A06" w:rsidP="00275AA3">
      <w:pPr>
        <w:pStyle w:val="FootnoteText"/>
        <w:spacing w:line="240" w:lineRule="auto"/>
        <w:jc w:val="both"/>
        <w:rPr>
          <w:iCs/>
          <w:lang w:val="en-US"/>
        </w:rPr>
      </w:pPr>
      <w:r>
        <w:rPr>
          <w:rStyle w:val="FootnoteReference"/>
        </w:rPr>
        <w:footnoteRef/>
      </w:r>
      <w:r>
        <w:t xml:space="preserve"> </w:t>
      </w:r>
      <w:r>
        <w:rPr>
          <w:i/>
        </w:rPr>
        <w:t xml:space="preserve">Zen JV </w:t>
      </w:r>
      <w:r w:rsidR="00717573">
        <w:rPr>
          <w:i/>
        </w:rPr>
        <w:t>v Department of Transport: Province of the Eastern Cape and Others</w:t>
      </w:r>
      <w:r w:rsidR="00717573">
        <w:rPr>
          <w:iCs/>
        </w:rPr>
        <w:t xml:space="preserve"> [2023] ZAECMKHC 140.</w:t>
      </w:r>
    </w:p>
  </w:footnote>
  <w:footnote w:id="3">
    <w:p w14:paraId="53853D60" w14:textId="77777777" w:rsidR="00D17A06" w:rsidRPr="009A71E7" w:rsidRDefault="00D17A06" w:rsidP="00275AA3">
      <w:pPr>
        <w:pStyle w:val="FootnoteText"/>
        <w:spacing w:line="240" w:lineRule="auto"/>
        <w:jc w:val="both"/>
        <w:rPr>
          <w:lang w:val="en-US"/>
        </w:rPr>
      </w:pPr>
      <w:r>
        <w:rPr>
          <w:rStyle w:val="FootnoteReference"/>
        </w:rPr>
        <w:footnoteRef/>
      </w:r>
      <w:r>
        <w:t xml:space="preserve"> </w:t>
      </w:r>
      <w:r>
        <w:rPr>
          <w:i/>
          <w:iCs/>
          <w:lang w:val="en-US"/>
        </w:rPr>
        <w:t xml:space="preserve">L F Boshoff Investments (Pty) Ltd v Cape Town Municipality; Cape Town Municipality v L F Boshoff Investments (Pty) Ltd </w:t>
      </w:r>
      <w:r>
        <w:rPr>
          <w:lang w:val="en-US"/>
        </w:rPr>
        <w:t>1969 (2) SA 256 (C) at 267B-E.</w:t>
      </w:r>
    </w:p>
  </w:footnote>
  <w:footnote w:id="4">
    <w:p w14:paraId="39905F92" w14:textId="77777777" w:rsidR="00D17A06" w:rsidRPr="002C653E" w:rsidRDefault="00D17A06" w:rsidP="00275AA3">
      <w:pPr>
        <w:pStyle w:val="FootnoteText"/>
        <w:spacing w:line="240" w:lineRule="auto"/>
        <w:jc w:val="both"/>
        <w:rPr>
          <w:lang w:val="en-US"/>
        </w:rPr>
      </w:pPr>
      <w:r>
        <w:rPr>
          <w:rStyle w:val="FootnoteReference"/>
        </w:rPr>
        <w:footnoteRef/>
      </w:r>
      <w:r>
        <w:t xml:space="preserve"> </w:t>
      </w:r>
      <w:r>
        <w:rPr>
          <w:i/>
          <w:iCs/>
        </w:rPr>
        <w:t xml:space="preserve">Setlogelo v Setlogelo </w:t>
      </w:r>
      <w:r>
        <w:rPr>
          <w:lang w:val="en-US"/>
        </w:rPr>
        <w:t>1914 AD 221.</w:t>
      </w:r>
    </w:p>
  </w:footnote>
  <w:footnote w:id="5">
    <w:p w14:paraId="72AF39C1" w14:textId="77777777" w:rsidR="00D17A06" w:rsidRPr="000625E2" w:rsidRDefault="00D17A06" w:rsidP="00275AA3">
      <w:pPr>
        <w:pStyle w:val="FootnoteText"/>
        <w:spacing w:line="240" w:lineRule="auto"/>
        <w:jc w:val="both"/>
        <w:rPr>
          <w:lang w:val="en-US"/>
        </w:rPr>
      </w:pPr>
      <w:r>
        <w:rPr>
          <w:rStyle w:val="FootnoteReference"/>
        </w:rPr>
        <w:footnoteRef/>
      </w:r>
      <w:r>
        <w:t xml:space="preserve"> </w:t>
      </w:r>
      <w:r>
        <w:rPr>
          <w:i/>
          <w:iCs/>
        </w:rPr>
        <w:t xml:space="preserve">Webster v Mitchell </w:t>
      </w:r>
      <w:r>
        <w:rPr>
          <w:lang w:val="en-US"/>
        </w:rPr>
        <w:t>1948 (1) SA 1186 (W) at 1189-1190.</w:t>
      </w:r>
    </w:p>
  </w:footnote>
  <w:footnote w:id="6">
    <w:p w14:paraId="47479986" w14:textId="77777777" w:rsidR="00D17A06" w:rsidRPr="00147580" w:rsidRDefault="00D17A06" w:rsidP="00275AA3">
      <w:pPr>
        <w:pStyle w:val="FootnoteText"/>
        <w:spacing w:line="240" w:lineRule="auto"/>
        <w:jc w:val="both"/>
        <w:rPr>
          <w:lang w:val="en-US"/>
        </w:rPr>
      </w:pPr>
      <w:r>
        <w:rPr>
          <w:rStyle w:val="FootnoteReference"/>
        </w:rPr>
        <w:footnoteRef/>
      </w:r>
      <w:r>
        <w:t xml:space="preserve"> </w:t>
      </w:r>
      <w:r>
        <w:rPr>
          <w:i/>
          <w:iCs/>
          <w:lang w:val="en-US"/>
        </w:rPr>
        <w:t>Gool v Minister of Justice and Another</w:t>
      </w:r>
      <w:r>
        <w:rPr>
          <w:lang w:val="en-US"/>
        </w:rPr>
        <w:t xml:space="preserve"> [1955] 3 All SA 115 (C).</w:t>
      </w:r>
    </w:p>
  </w:footnote>
  <w:footnote w:id="7">
    <w:p w14:paraId="1A67B005" w14:textId="44A080FC" w:rsidR="00563784" w:rsidRPr="00336564" w:rsidRDefault="00563784" w:rsidP="00275AA3">
      <w:pPr>
        <w:pStyle w:val="FootnoteText"/>
        <w:spacing w:line="240" w:lineRule="auto"/>
        <w:jc w:val="both"/>
        <w:rPr>
          <w:lang w:val="en-US"/>
        </w:rPr>
      </w:pPr>
      <w:r>
        <w:rPr>
          <w:rStyle w:val="FootnoteReference"/>
        </w:rPr>
        <w:footnoteRef/>
      </w:r>
      <w:r>
        <w:t xml:space="preserve"> </w:t>
      </w:r>
      <w:r>
        <w:rPr>
          <w:i/>
          <w:iCs/>
          <w:lang w:val="en-US"/>
        </w:rPr>
        <w:t xml:space="preserve">Webster v Mitchell </w:t>
      </w:r>
      <w:r>
        <w:rPr>
          <w:lang w:val="en-US"/>
        </w:rPr>
        <w:t xml:space="preserve">above n 5 at 1189 and </w:t>
      </w:r>
      <w:r>
        <w:rPr>
          <w:i/>
          <w:iCs/>
          <w:lang w:val="en-US"/>
        </w:rPr>
        <w:t>Gool</w:t>
      </w:r>
      <w:r>
        <w:rPr>
          <w:lang w:val="en-US"/>
        </w:rPr>
        <w:t xml:space="preserve"> above n 6 at 688A, cited with approval in </w:t>
      </w:r>
      <w:r w:rsidR="00CF4C36">
        <w:rPr>
          <w:i/>
          <w:iCs/>
        </w:rPr>
        <w:t xml:space="preserve">Eskom Holdings SOC Ltd v Vaal River Development Association (Pty) Ltd and Others </w:t>
      </w:r>
      <w:r w:rsidR="00CF4C36">
        <w:t>[2022] ZACC 44 (‘</w:t>
      </w:r>
      <w:r w:rsidR="00CF4C36">
        <w:rPr>
          <w:i/>
          <w:iCs/>
          <w:lang w:val="en-US"/>
        </w:rPr>
        <w:t>Eskom</w:t>
      </w:r>
      <w:r w:rsidR="00CF4C36">
        <w:rPr>
          <w:lang w:val="en-US"/>
        </w:rPr>
        <w:t xml:space="preserve">’) </w:t>
      </w:r>
      <w:r>
        <w:rPr>
          <w:lang w:val="en-US"/>
        </w:rPr>
        <w:t>para 293.</w:t>
      </w:r>
    </w:p>
  </w:footnote>
  <w:footnote w:id="8">
    <w:p w14:paraId="00458F3D" w14:textId="68D50C1F" w:rsidR="00600BDC" w:rsidRPr="00D75B91" w:rsidRDefault="00600BDC" w:rsidP="00275AA3">
      <w:pPr>
        <w:pStyle w:val="FootnoteText"/>
        <w:spacing w:line="240" w:lineRule="auto"/>
        <w:jc w:val="both"/>
        <w:rPr>
          <w:lang w:val="en-US"/>
        </w:rPr>
      </w:pPr>
      <w:r>
        <w:rPr>
          <w:rStyle w:val="FootnoteReference"/>
        </w:rPr>
        <w:footnoteRef/>
      </w:r>
      <w:r>
        <w:t xml:space="preserve"> </w:t>
      </w:r>
      <w:r w:rsidR="00CF4C36">
        <w:rPr>
          <w:i/>
          <w:iCs/>
          <w:lang w:val="en-US"/>
        </w:rPr>
        <w:t>National Treasury and Others v Opposition to Urban Tolling Alliance and Others</w:t>
      </w:r>
      <w:r w:rsidR="00CF4C36">
        <w:rPr>
          <w:lang w:val="en-US"/>
        </w:rPr>
        <w:t xml:space="preserve"> 2012 (6) SA 223 (CC) (‘</w:t>
      </w:r>
      <w:r w:rsidR="00CF4C36">
        <w:rPr>
          <w:i/>
          <w:iCs/>
          <w:lang w:val="en-US"/>
        </w:rPr>
        <w:t>National Treasury</w:t>
      </w:r>
      <w:r w:rsidR="00CF4C36">
        <w:rPr>
          <w:lang w:val="en-US"/>
        </w:rPr>
        <w:t>’)</w:t>
      </w:r>
      <w:r>
        <w:rPr>
          <w:lang w:val="en-US"/>
        </w:rPr>
        <w:t xml:space="preserve"> para 50.</w:t>
      </w:r>
    </w:p>
  </w:footnote>
  <w:footnote w:id="9">
    <w:p w14:paraId="20D97FA0" w14:textId="77777777" w:rsidR="00D17A06" w:rsidRPr="007A0BE7" w:rsidRDefault="00D17A06" w:rsidP="00275AA3">
      <w:pPr>
        <w:pStyle w:val="FootnoteText"/>
        <w:spacing w:line="240" w:lineRule="auto"/>
        <w:jc w:val="both"/>
        <w:rPr>
          <w:lang w:val="en-US"/>
        </w:rPr>
      </w:pPr>
      <w:r>
        <w:rPr>
          <w:rStyle w:val="FootnoteReference"/>
        </w:rPr>
        <w:footnoteRef/>
      </w:r>
      <w:r>
        <w:t xml:space="preserve"> </w:t>
      </w:r>
      <w:r>
        <w:rPr>
          <w:i/>
          <w:iCs/>
          <w:lang w:val="en-US"/>
        </w:rPr>
        <w:t xml:space="preserve">Setlogelo </w:t>
      </w:r>
      <w:r>
        <w:rPr>
          <w:lang w:val="en-US"/>
        </w:rPr>
        <w:t>above n 4 at 227.</w:t>
      </w:r>
    </w:p>
  </w:footnote>
  <w:footnote w:id="10">
    <w:p w14:paraId="5301DDB6" w14:textId="77777777" w:rsidR="00D17A06" w:rsidRPr="00B1719B" w:rsidRDefault="00D17A06" w:rsidP="00275AA3">
      <w:pPr>
        <w:pStyle w:val="FootnoteText"/>
        <w:spacing w:line="240" w:lineRule="auto"/>
        <w:jc w:val="both"/>
        <w:rPr>
          <w:lang w:val="en-US"/>
        </w:rPr>
      </w:pPr>
      <w:r>
        <w:rPr>
          <w:rStyle w:val="FootnoteReference"/>
        </w:rPr>
        <w:footnoteRef/>
      </w:r>
      <w:r>
        <w:t xml:space="preserve"> </w:t>
      </w:r>
      <w:r>
        <w:rPr>
          <w:i/>
          <w:iCs/>
          <w:lang w:val="en-US"/>
        </w:rPr>
        <w:t xml:space="preserve">Webster </w:t>
      </w:r>
      <w:r>
        <w:rPr>
          <w:lang w:val="en-US"/>
        </w:rPr>
        <w:t>above n 5 at 1192.</w:t>
      </w:r>
    </w:p>
  </w:footnote>
  <w:footnote w:id="11">
    <w:p w14:paraId="09A37EFD" w14:textId="3466B750" w:rsidR="00D17A06" w:rsidRPr="00126CCB" w:rsidRDefault="00D17A06" w:rsidP="00275AA3">
      <w:pPr>
        <w:pStyle w:val="FootnoteText"/>
        <w:spacing w:line="240" w:lineRule="auto"/>
        <w:jc w:val="both"/>
        <w:rPr>
          <w:lang w:val="en-US"/>
        </w:rPr>
      </w:pPr>
      <w:r>
        <w:rPr>
          <w:rStyle w:val="FootnoteReference"/>
        </w:rPr>
        <w:footnoteRef/>
      </w:r>
      <w:r>
        <w:t xml:space="preserve"> </w:t>
      </w:r>
      <w:r w:rsidR="00CF4C36">
        <w:rPr>
          <w:i/>
          <w:iCs/>
        </w:rPr>
        <w:t xml:space="preserve">National Treasury </w:t>
      </w:r>
      <w:r w:rsidR="00CF4C36">
        <w:t xml:space="preserve">above n </w:t>
      </w:r>
      <w:r w:rsidR="0046403F">
        <w:t>8</w:t>
      </w:r>
      <w:r w:rsidR="00CF4C36">
        <w:t xml:space="preserve"> </w:t>
      </w:r>
      <w:r>
        <w:rPr>
          <w:lang w:val="en-US"/>
        </w:rPr>
        <w:t>paras 46-47.</w:t>
      </w:r>
    </w:p>
  </w:footnote>
  <w:footnote w:id="12">
    <w:p w14:paraId="604B6AA7" w14:textId="77777777" w:rsidR="00D17A06" w:rsidRPr="0042026F" w:rsidRDefault="00D17A06" w:rsidP="00275AA3">
      <w:pPr>
        <w:pStyle w:val="FootnoteText"/>
        <w:spacing w:line="240" w:lineRule="auto"/>
        <w:jc w:val="both"/>
        <w:rPr>
          <w:lang w:val="en-US"/>
        </w:rPr>
      </w:pPr>
      <w:r>
        <w:rPr>
          <w:rStyle w:val="FootnoteReference"/>
        </w:rPr>
        <w:footnoteRef/>
      </w:r>
      <w:r>
        <w:t xml:space="preserve"> </w:t>
      </w:r>
      <w:r>
        <w:rPr>
          <w:i/>
          <w:iCs/>
          <w:lang w:val="en-US"/>
        </w:rPr>
        <w:t>EFF v Gordhan and Others</w:t>
      </w:r>
      <w:r>
        <w:rPr>
          <w:lang w:val="en-US"/>
        </w:rPr>
        <w:t xml:space="preserve"> 2020 (6) SA 325 (CC) (‘</w:t>
      </w:r>
      <w:r>
        <w:rPr>
          <w:i/>
          <w:iCs/>
          <w:lang w:val="en-US"/>
        </w:rPr>
        <w:t>EFF</w:t>
      </w:r>
      <w:r>
        <w:rPr>
          <w:lang w:val="en-US"/>
        </w:rPr>
        <w:t>’)</w:t>
      </w:r>
      <w:r>
        <w:rPr>
          <w:i/>
          <w:iCs/>
          <w:lang w:val="en-US"/>
        </w:rPr>
        <w:t xml:space="preserve"> </w:t>
      </w:r>
      <w:r>
        <w:rPr>
          <w:lang w:val="en-US"/>
        </w:rPr>
        <w:t>para 40.</w:t>
      </w:r>
    </w:p>
  </w:footnote>
  <w:footnote w:id="13">
    <w:p w14:paraId="48477218" w14:textId="4D3E98E1" w:rsidR="00D17A06" w:rsidRPr="00C44B8C" w:rsidRDefault="00D17A06" w:rsidP="00275AA3">
      <w:pPr>
        <w:pStyle w:val="FootnoteText"/>
        <w:spacing w:line="240" w:lineRule="auto"/>
        <w:jc w:val="both"/>
        <w:rPr>
          <w:lang w:val="en-US"/>
        </w:rPr>
      </w:pPr>
      <w:r>
        <w:rPr>
          <w:rStyle w:val="FootnoteReference"/>
        </w:rPr>
        <w:footnoteRef/>
      </w:r>
      <w:r>
        <w:t xml:space="preserve"> </w:t>
      </w:r>
      <w:r>
        <w:rPr>
          <w:lang w:val="en-US"/>
        </w:rPr>
        <w:t xml:space="preserve">See </w:t>
      </w:r>
      <w:r>
        <w:rPr>
          <w:i/>
          <w:iCs/>
          <w:lang w:val="en-US"/>
        </w:rPr>
        <w:t xml:space="preserve">National Treasury </w:t>
      </w:r>
      <w:r>
        <w:rPr>
          <w:lang w:val="en-US"/>
        </w:rPr>
        <w:t xml:space="preserve">above n </w:t>
      </w:r>
      <w:r w:rsidR="00820823">
        <w:rPr>
          <w:lang w:val="en-US"/>
        </w:rPr>
        <w:t>8</w:t>
      </w:r>
      <w:r>
        <w:rPr>
          <w:lang w:val="en-US"/>
        </w:rPr>
        <w:t xml:space="preserve"> and </w:t>
      </w:r>
      <w:r>
        <w:rPr>
          <w:i/>
          <w:iCs/>
          <w:lang w:val="en-US"/>
        </w:rPr>
        <w:t>EFF</w:t>
      </w:r>
      <w:r>
        <w:rPr>
          <w:lang w:val="en-US"/>
        </w:rPr>
        <w:t xml:space="preserve"> above n 1</w:t>
      </w:r>
      <w:r w:rsidR="00820823">
        <w:rPr>
          <w:lang w:val="en-US"/>
        </w:rPr>
        <w:t>2</w:t>
      </w:r>
      <w:r>
        <w:rPr>
          <w:lang w:val="en-US"/>
        </w:rPr>
        <w:t xml:space="preserve"> para 110: the standard is applicable to constitutional matters and is triggered only where ‘the effect of the interdict is to prevent the exercise of public power. The standard may not be invoked in a commercial or contractual matter that has nothing to do with the exercise of public power: </w:t>
      </w:r>
      <w:r>
        <w:rPr>
          <w:i/>
          <w:iCs/>
          <w:lang w:val="en-US"/>
        </w:rPr>
        <w:t>EFF</w:t>
      </w:r>
      <w:r>
        <w:rPr>
          <w:lang w:val="en-US"/>
        </w:rPr>
        <w:t xml:space="preserve"> above n 1</w:t>
      </w:r>
      <w:r w:rsidR="0020533B">
        <w:rPr>
          <w:lang w:val="en-US"/>
        </w:rPr>
        <w:t>2</w:t>
      </w:r>
      <w:r>
        <w:rPr>
          <w:lang w:val="en-US"/>
        </w:rPr>
        <w:t xml:space="preserve"> para 110.</w:t>
      </w:r>
    </w:p>
  </w:footnote>
  <w:footnote w:id="14">
    <w:p w14:paraId="77F0CBFF" w14:textId="513FA5EE" w:rsidR="00D17A06" w:rsidRPr="0090442E" w:rsidRDefault="00D17A06" w:rsidP="00275AA3">
      <w:pPr>
        <w:pStyle w:val="FootnoteText"/>
        <w:spacing w:line="240" w:lineRule="auto"/>
        <w:jc w:val="both"/>
        <w:rPr>
          <w:lang w:val="en-US"/>
        </w:rPr>
      </w:pPr>
      <w:r>
        <w:rPr>
          <w:rStyle w:val="FootnoteReference"/>
        </w:rPr>
        <w:footnoteRef/>
      </w:r>
      <w:r>
        <w:t xml:space="preserve"> </w:t>
      </w:r>
      <w:r>
        <w:rPr>
          <w:lang w:val="en-US"/>
        </w:rPr>
        <w:t xml:space="preserve">The separation of powers doctrine, embedded in the architecture of the Constitution, requires courts to ensure that all branches of government act within the law. It also demands that courts must refrain from entering the exclusive terrain of the other branches of government unless the intrusion is mandated by the Constitution itself: </w:t>
      </w:r>
      <w:r>
        <w:rPr>
          <w:i/>
          <w:iCs/>
          <w:lang w:val="en-US"/>
        </w:rPr>
        <w:t xml:space="preserve">National Treasury </w:t>
      </w:r>
      <w:r>
        <w:rPr>
          <w:lang w:val="en-US"/>
        </w:rPr>
        <w:t xml:space="preserve">above n </w:t>
      </w:r>
      <w:r w:rsidR="0044453B">
        <w:rPr>
          <w:lang w:val="en-US"/>
        </w:rPr>
        <w:t>8</w:t>
      </w:r>
      <w:r>
        <w:rPr>
          <w:lang w:val="en-US"/>
        </w:rPr>
        <w:t xml:space="preserve"> para 44.</w:t>
      </w:r>
    </w:p>
  </w:footnote>
  <w:footnote w:id="15">
    <w:p w14:paraId="6BCEE833" w14:textId="1247DA94" w:rsidR="00D17A06" w:rsidRPr="0071506B" w:rsidRDefault="00D17A06" w:rsidP="00275AA3">
      <w:pPr>
        <w:pStyle w:val="FootnoteText"/>
        <w:spacing w:line="240" w:lineRule="auto"/>
        <w:jc w:val="both"/>
        <w:rPr>
          <w:lang w:val="en-US"/>
        </w:rPr>
      </w:pPr>
      <w:r>
        <w:rPr>
          <w:rStyle w:val="FootnoteReference"/>
        </w:rPr>
        <w:footnoteRef/>
      </w:r>
      <w:r>
        <w:t xml:space="preserve"> </w:t>
      </w:r>
      <w:r>
        <w:rPr>
          <w:i/>
          <w:iCs/>
          <w:lang w:val="en-US"/>
        </w:rPr>
        <w:t>EFF</w:t>
      </w:r>
      <w:r>
        <w:rPr>
          <w:lang w:val="en-US"/>
        </w:rPr>
        <w:t xml:space="preserve"> above n 1</w:t>
      </w:r>
      <w:r w:rsidR="0044453B">
        <w:rPr>
          <w:lang w:val="en-US"/>
        </w:rPr>
        <w:t>2</w:t>
      </w:r>
      <w:r>
        <w:rPr>
          <w:lang w:val="en-US"/>
        </w:rPr>
        <w:t xml:space="preserve"> para 48 and </w:t>
      </w:r>
      <w:r>
        <w:rPr>
          <w:i/>
          <w:iCs/>
          <w:lang w:val="en-US"/>
        </w:rPr>
        <w:t>National Treasury</w:t>
      </w:r>
      <w:r>
        <w:rPr>
          <w:lang w:val="en-US"/>
        </w:rPr>
        <w:t xml:space="preserve"> above n </w:t>
      </w:r>
      <w:r w:rsidR="0044453B">
        <w:rPr>
          <w:lang w:val="en-US"/>
        </w:rPr>
        <w:t>8</w:t>
      </w:r>
      <w:r>
        <w:rPr>
          <w:lang w:val="en-US"/>
        </w:rPr>
        <w:t xml:space="preserve"> para 47.</w:t>
      </w:r>
    </w:p>
  </w:footnote>
  <w:footnote w:id="16">
    <w:p w14:paraId="7BAEE263" w14:textId="3260AB19" w:rsidR="00D17A06" w:rsidRPr="00BD2543" w:rsidRDefault="00D17A06" w:rsidP="00275AA3">
      <w:pPr>
        <w:pStyle w:val="FootnoteText"/>
        <w:spacing w:line="240" w:lineRule="auto"/>
        <w:jc w:val="both"/>
        <w:rPr>
          <w:lang w:val="en-US"/>
        </w:rPr>
      </w:pPr>
      <w:r>
        <w:rPr>
          <w:rStyle w:val="FootnoteReference"/>
        </w:rPr>
        <w:footnoteRef/>
      </w:r>
      <w:r>
        <w:t xml:space="preserve"> </w:t>
      </w:r>
      <w:r w:rsidR="00CF4C36">
        <w:rPr>
          <w:i/>
          <w:iCs/>
        </w:rPr>
        <w:t xml:space="preserve">Eskom </w:t>
      </w:r>
      <w:r w:rsidR="00CF4C36">
        <w:t xml:space="preserve">above n </w:t>
      </w:r>
      <w:r w:rsidR="0044453B">
        <w:t>7</w:t>
      </w:r>
      <w:r w:rsidR="00CF4C36">
        <w:t xml:space="preserve"> </w:t>
      </w:r>
      <w:r>
        <w:rPr>
          <w:lang w:val="en-US"/>
        </w:rPr>
        <w:t xml:space="preserve">para 299. The majority indicated that a balancing exercise involving a sliding scale was applicable: the more policy laden or polycentric the decision, the more the role this ‘factor’ must play in influencing the outcome, and vice-versa. Affected fundamental rights would always play a critical role in the balancing exercise: </w:t>
      </w:r>
      <w:r>
        <w:rPr>
          <w:i/>
          <w:iCs/>
          <w:lang w:val="en-US"/>
        </w:rPr>
        <w:t xml:space="preserve">Eskom </w:t>
      </w:r>
      <w:r w:rsidR="0044453B">
        <w:rPr>
          <w:lang w:val="en-US"/>
        </w:rPr>
        <w:t xml:space="preserve">above n 7 </w:t>
      </w:r>
      <w:r>
        <w:rPr>
          <w:lang w:val="en-US"/>
        </w:rPr>
        <w:t>para 303.</w:t>
      </w:r>
    </w:p>
  </w:footnote>
  <w:footnote w:id="17">
    <w:p w14:paraId="0966A7AD" w14:textId="3273F055" w:rsidR="004128F9" w:rsidRPr="004128F9" w:rsidRDefault="004128F9" w:rsidP="00275AA3">
      <w:pPr>
        <w:pStyle w:val="FootnoteText"/>
        <w:spacing w:line="240" w:lineRule="auto"/>
        <w:jc w:val="both"/>
        <w:rPr>
          <w:lang w:val="en-US"/>
        </w:rPr>
      </w:pPr>
      <w:r>
        <w:rPr>
          <w:rStyle w:val="FootnoteReference"/>
        </w:rPr>
        <w:footnoteRef/>
      </w:r>
      <w:r>
        <w:t xml:space="preserve"> </w:t>
      </w:r>
      <w:r>
        <w:rPr>
          <w:lang w:val="en-US"/>
        </w:rPr>
        <w:t xml:space="preserve">See </w:t>
      </w:r>
      <w:r>
        <w:rPr>
          <w:i/>
          <w:iCs/>
          <w:lang w:val="en-US"/>
        </w:rPr>
        <w:t>SMEC South Africa (Pty) Ltd v South African National Road Agency SOC Ltd</w:t>
      </w:r>
      <w:r>
        <w:rPr>
          <w:lang w:val="en-US"/>
        </w:rPr>
        <w:t xml:space="preserve"> (unreported case not 075024/2023) (High Court of South Africa, Gauteng Division, Pretoria) </w:t>
      </w:r>
      <w:r w:rsidR="009B4E1F">
        <w:rPr>
          <w:lang w:val="en-US"/>
        </w:rPr>
        <w:t>(‘</w:t>
      </w:r>
      <w:r w:rsidR="009B4E1F" w:rsidRPr="009B4E1F">
        <w:rPr>
          <w:i/>
          <w:iCs/>
          <w:lang w:val="en-US"/>
        </w:rPr>
        <w:t>SMEC</w:t>
      </w:r>
      <w:r w:rsidR="009B4E1F">
        <w:rPr>
          <w:lang w:val="en-US"/>
        </w:rPr>
        <w:t xml:space="preserve">’) </w:t>
      </w:r>
      <w:r w:rsidRPr="009B4E1F">
        <w:rPr>
          <w:lang w:val="en-US"/>
        </w:rPr>
        <w:t>and</w:t>
      </w:r>
      <w:r>
        <w:rPr>
          <w:lang w:val="en-US"/>
        </w:rPr>
        <w:t xml:space="preserve"> </w:t>
      </w:r>
      <w:r>
        <w:rPr>
          <w:i/>
          <w:iCs/>
          <w:lang w:val="en-US"/>
        </w:rPr>
        <w:t>H&amp;I Construction v SANRAL &amp; Others</w:t>
      </w:r>
      <w:r>
        <w:rPr>
          <w:lang w:val="en-US"/>
        </w:rPr>
        <w:t xml:space="preserve"> (unreported case no. 1731/2023) (High Court of South Africa, Eastern Cape Division, Gqeberha).</w:t>
      </w:r>
    </w:p>
  </w:footnote>
  <w:footnote w:id="18">
    <w:p w14:paraId="17D300B6" w14:textId="53407D52" w:rsidR="009B4E1F" w:rsidRPr="0026458D" w:rsidRDefault="009B4E1F" w:rsidP="00275AA3">
      <w:pPr>
        <w:pStyle w:val="FootnoteText"/>
        <w:spacing w:line="240" w:lineRule="auto"/>
        <w:jc w:val="both"/>
        <w:rPr>
          <w:lang w:val="en-US"/>
        </w:rPr>
      </w:pPr>
      <w:r>
        <w:rPr>
          <w:rStyle w:val="FootnoteReference"/>
        </w:rPr>
        <w:footnoteRef/>
      </w:r>
      <w:r>
        <w:t xml:space="preserve"> </w:t>
      </w:r>
      <w:r w:rsidR="0026458D">
        <w:rPr>
          <w:i/>
          <w:iCs/>
        </w:rPr>
        <w:t>SMEC</w:t>
      </w:r>
      <w:r w:rsidR="0026458D">
        <w:t xml:space="preserve"> above n </w:t>
      </w:r>
      <w:r w:rsidR="00302B1E">
        <w:t>17</w:t>
      </w:r>
      <w:r w:rsidR="0026458D">
        <w:t xml:space="preserve"> para 12</w:t>
      </w:r>
      <w:r w:rsidR="00FC2070">
        <w:t xml:space="preserve"> and following.</w:t>
      </w:r>
    </w:p>
  </w:footnote>
  <w:footnote w:id="19">
    <w:p w14:paraId="07ED6ADA" w14:textId="2CBA5218" w:rsidR="002665C5" w:rsidRPr="002665C5" w:rsidRDefault="002665C5" w:rsidP="00275AA3">
      <w:pPr>
        <w:pStyle w:val="FootnoteText"/>
        <w:spacing w:line="240" w:lineRule="auto"/>
        <w:jc w:val="both"/>
        <w:rPr>
          <w:lang w:val="en-US"/>
        </w:rPr>
      </w:pPr>
      <w:r>
        <w:rPr>
          <w:rStyle w:val="FootnoteReference"/>
        </w:rPr>
        <w:footnoteRef/>
      </w:r>
      <w:r>
        <w:t xml:space="preserve"> </w:t>
      </w:r>
      <w:r>
        <w:rPr>
          <w:lang w:val="en-US"/>
        </w:rPr>
        <w:t xml:space="preserve">Act 5 of 2000. </w:t>
      </w:r>
    </w:p>
  </w:footnote>
  <w:footnote w:id="20">
    <w:p w14:paraId="3F38D3F4" w14:textId="0D6136F3" w:rsidR="002B6A4D" w:rsidRPr="002B6A4D" w:rsidRDefault="002B6A4D" w:rsidP="00275AA3">
      <w:pPr>
        <w:pStyle w:val="FootnoteText"/>
        <w:spacing w:line="240" w:lineRule="auto"/>
        <w:jc w:val="both"/>
        <w:rPr>
          <w:lang w:val="en-US"/>
        </w:rPr>
      </w:pPr>
      <w:r>
        <w:rPr>
          <w:rStyle w:val="FootnoteReference"/>
        </w:rPr>
        <w:footnoteRef/>
      </w:r>
      <w:r>
        <w:t xml:space="preserve"> </w:t>
      </w:r>
      <w:r>
        <w:rPr>
          <w:lang w:val="en-US"/>
        </w:rPr>
        <w:t>Act 53 of 2003.</w:t>
      </w:r>
    </w:p>
  </w:footnote>
  <w:footnote w:id="21">
    <w:p w14:paraId="031B1182" w14:textId="7253BF02" w:rsidR="00486BC6" w:rsidRPr="00486BC6" w:rsidRDefault="00486BC6" w:rsidP="00275AA3">
      <w:pPr>
        <w:pStyle w:val="FootnoteText"/>
        <w:spacing w:line="240" w:lineRule="auto"/>
        <w:jc w:val="both"/>
        <w:rPr>
          <w:lang w:val="en-US"/>
        </w:rPr>
      </w:pPr>
      <w:r>
        <w:rPr>
          <w:rStyle w:val="FootnoteReference"/>
        </w:rPr>
        <w:footnoteRef/>
      </w:r>
      <w:r>
        <w:t xml:space="preserve"> For a comparable recent illustration of the application of similar considerations in granting an interim interdict, see </w:t>
      </w:r>
      <w:r>
        <w:rPr>
          <w:i/>
          <w:iCs/>
        </w:rPr>
        <w:t>H &amp; I Civil &amp; Building (Pty) Ltd and Another v City of Cape Town and Others</w:t>
      </w:r>
      <w:r>
        <w:t xml:space="preserve"> [2024] ZAWCHC 15 para</w:t>
      </w:r>
      <w:r w:rsidR="00D32FA9">
        <w:t>s 39 -</w:t>
      </w:r>
      <w:r>
        <w:t xml:space="preserve"> 44.</w:t>
      </w:r>
    </w:p>
  </w:footnote>
  <w:footnote w:id="22">
    <w:p w14:paraId="3109C1B3" w14:textId="5AA0771C" w:rsidR="006A367E" w:rsidRPr="006A367E" w:rsidRDefault="006A367E" w:rsidP="00275AA3">
      <w:pPr>
        <w:pStyle w:val="FootnoteText"/>
        <w:spacing w:line="240" w:lineRule="auto"/>
        <w:jc w:val="both"/>
        <w:rPr>
          <w:lang w:val="en-US"/>
        </w:rPr>
      </w:pPr>
      <w:r>
        <w:rPr>
          <w:rStyle w:val="FootnoteReference"/>
        </w:rPr>
        <w:footnoteRef/>
      </w:r>
      <w:r>
        <w:t xml:space="preserve"> </w:t>
      </w:r>
      <w:r>
        <w:rPr>
          <w:lang w:val="en-US"/>
        </w:rPr>
        <w:t>Act 3 of 2000.</w:t>
      </w:r>
    </w:p>
  </w:footnote>
  <w:footnote w:id="23">
    <w:p w14:paraId="1C0F59BD" w14:textId="33E1751B" w:rsidR="00C451AE" w:rsidRPr="00C451AE" w:rsidRDefault="00C451AE" w:rsidP="00275AA3">
      <w:pPr>
        <w:pStyle w:val="FootnoteText"/>
        <w:spacing w:line="240" w:lineRule="auto"/>
        <w:jc w:val="both"/>
        <w:rPr>
          <w:lang w:val="en-US"/>
        </w:rPr>
      </w:pPr>
      <w:r>
        <w:rPr>
          <w:rStyle w:val="FootnoteReference"/>
        </w:rPr>
        <w:footnoteRef/>
      </w:r>
      <w:r>
        <w:t xml:space="preserve"> </w:t>
      </w:r>
      <w:r>
        <w:rPr>
          <w:lang w:val="en-US"/>
        </w:rPr>
        <w:t>S 6(1)</w:t>
      </w:r>
      <w:r>
        <w:rPr>
          <w:i/>
          <w:iCs/>
          <w:lang w:val="en-US"/>
        </w:rPr>
        <w:t>(d)</w:t>
      </w:r>
      <w:r>
        <w:rPr>
          <w:lang w:val="en-US"/>
        </w:rPr>
        <w:t xml:space="preserve"> of PAJA</w:t>
      </w:r>
      <w:r w:rsidR="00B42594">
        <w:rPr>
          <w:lang w:val="en-US"/>
        </w:rPr>
        <w:t>.</w:t>
      </w:r>
    </w:p>
  </w:footnote>
  <w:footnote w:id="24">
    <w:p w14:paraId="382C16FD" w14:textId="44624529" w:rsidR="00C86679" w:rsidRPr="00C86679" w:rsidRDefault="00C86679" w:rsidP="00275AA3">
      <w:pPr>
        <w:pStyle w:val="FootnoteText"/>
        <w:spacing w:line="240" w:lineRule="auto"/>
        <w:jc w:val="both"/>
        <w:rPr>
          <w:lang w:val="en-US"/>
        </w:rPr>
      </w:pPr>
      <w:r>
        <w:rPr>
          <w:rStyle w:val="FootnoteReference"/>
        </w:rPr>
        <w:footnoteRef/>
      </w:r>
      <w:r>
        <w:t xml:space="preserve"> </w:t>
      </w:r>
      <w:r>
        <w:rPr>
          <w:i/>
          <w:iCs/>
          <w:lang w:val="en-US"/>
        </w:rPr>
        <w:t>Down Touch Investments (Pty) Ltd v The South National Road Agency Soc Limited</w:t>
      </w:r>
      <w:r>
        <w:rPr>
          <w:lang w:val="en-US"/>
        </w:rPr>
        <w:t xml:space="preserve"> 2020 JDR 2278 (ECG) para 44.</w:t>
      </w:r>
    </w:p>
  </w:footnote>
  <w:footnote w:id="25">
    <w:p w14:paraId="5DA001C1" w14:textId="2113A715" w:rsidR="00FF145F" w:rsidRPr="00FF145F" w:rsidRDefault="00FF145F" w:rsidP="00275AA3">
      <w:pPr>
        <w:pStyle w:val="FootnoteText"/>
        <w:spacing w:line="240" w:lineRule="auto"/>
        <w:jc w:val="both"/>
        <w:rPr>
          <w:lang w:val="en-US"/>
        </w:rPr>
      </w:pPr>
      <w:r>
        <w:rPr>
          <w:rStyle w:val="FootnoteReference"/>
        </w:rPr>
        <w:footnoteRef/>
      </w:r>
      <w:r>
        <w:t xml:space="preserve"> </w:t>
      </w:r>
      <w:r>
        <w:rPr>
          <w:i/>
          <w:iCs/>
          <w:lang w:val="en-US"/>
        </w:rPr>
        <w:t>MV Snow Delta Serva Ship Ltd v Discount Tonnage Ltd</w:t>
      </w:r>
      <w:r>
        <w:rPr>
          <w:lang w:val="en-US"/>
        </w:rPr>
        <w:t xml:space="preserve"> 2000 (4) SA 746 (SCA) para 6.</w:t>
      </w:r>
    </w:p>
  </w:footnote>
  <w:footnote w:id="26">
    <w:p w14:paraId="7548D38D" w14:textId="2D426FDC" w:rsidR="0056765C" w:rsidRPr="0056765C" w:rsidRDefault="0056765C" w:rsidP="00275AA3">
      <w:pPr>
        <w:pStyle w:val="FootnoteText"/>
        <w:spacing w:line="240" w:lineRule="auto"/>
        <w:jc w:val="both"/>
        <w:rPr>
          <w:lang w:val="en-US"/>
        </w:rPr>
      </w:pPr>
      <w:r>
        <w:rPr>
          <w:rStyle w:val="FootnoteReference"/>
        </w:rPr>
        <w:footnoteRef/>
      </w:r>
      <w:r>
        <w:t xml:space="preserve"> </w:t>
      </w:r>
      <w:r>
        <w:rPr>
          <w:lang w:val="en-US"/>
        </w:rPr>
        <w:t xml:space="preserve">See </w:t>
      </w:r>
      <w:r>
        <w:rPr>
          <w:i/>
          <w:iCs/>
          <w:lang w:val="en-US"/>
        </w:rPr>
        <w:t>Kelly Group Ltd and Another v Solly Tshiki &amp; Associates (SA) (Pty) Ltd and Others</w:t>
      </w:r>
      <w:r>
        <w:rPr>
          <w:lang w:val="en-US"/>
        </w:rPr>
        <w:t xml:space="preserve"> 2010 (5) SA 224 (GSJ) (‘</w:t>
      </w:r>
      <w:r>
        <w:rPr>
          <w:i/>
          <w:iCs/>
          <w:lang w:val="en-US"/>
        </w:rPr>
        <w:t>Kelly Group</w:t>
      </w:r>
      <w:r>
        <w:rPr>
          <w:lang w:val="en-US"/>
        </w:rPr>
        <w:t>’) para 19.</w:t>
      </w:r>
    </w:p>
  </w:footnote>
  <w:footnote w:id="27">
    <w:p w14:paraId="585CB437" w14:textId="731F0DB2" w:rsidR="000E781D" w:rsidRPr="000E781D" w:rsidRDefault="000E781D" w:rsidP="00275AA3">
      <w:pPr>
        <w:pStyle w:val="FootnoteText"/>
        <w:spacing w:line="240" w:lineRule="auto"/>
        <w:jc w:val="both"/>
        <w:rPr>
          <w:lang w:val="en-US"/>
        </w:rPr>
      </w:pPr>
      <w:r>
        <w:rPr>
          <w:rStyle w:val="FootnoteReference"/>
        </w:rPr>
        <w:footnoteRef/>
      </w:r>
      <w:r>
        <w:t xml:space="preserve"> </w:t>
      </w:r>
      <w:r>
        <w:rPr>
          <w:lang w:val="en-US"/>
        </w:rPr>
        <w:t xml:space="preserve">DE van Loggerenberg </w:t>
      </w:r>
      <w:r>
        <w:rPr>
          <w:i/>
          <w:iCs/>
          <w:lang w:val="en-US"/>
        </w:rPr>
        <w:t xml:space="preserve">Erasmus: Superior Court Practice </w:t>
      </w:r>
      <w:r w:rsidR="0087770D">
        <w:rPr>
          <w:lang w:val="en-US"/>
        </w:rPr>
        <w:t>(</w:t>
      </w:r>
      <w:r>
        <w:rPr>
          <w:lang w:val="en-US"/>
        </w:rPr>
        <w:t>OS, 2023, D-121</w:t>
      </w:r>
      <w:r w:rsidR="0087770D">
        <w:rPr>
          <w:lang w:val="en-US"/>
        </w:rPr>
        <w:t>)</w:t>
      </w:r>
      <w:r>
        <w:rPr>
          <w:lang w:val="en-US"/>
        </w:rPr>
        <w:t>.</w:t>
      </w:r>
    </w:p>
  </w:footnote>
  <w:footnote w:id="28">
    <w:p w14:paraId="504F7CCA" w14:textId="2A54FD2E" w:rsidR="00A94E60" w:rsidRPr="00A94E60" w:rsidRDefault="00A94E60" w:rsidP="00275AA3">
      <w:pPr>
        <w:pStyle w:val="FootnoteText"/>
        <w:spacing w:line="240" w:lineRule="auto"/>
        <w:jc w:val="both"/>
        <w:rPr>
          <w:lang w:val="en-US"/>
        </w:rPr>
      </w:pPr>
      <w:r>
        <w:rPr>
          <w:rStyle w:val="FootnoteReference"/>
        </w:rPr>
        <w:footnoteRef/>
      </w:r>
      <w:r>
        <w:t xml:space="preserve"> </w:t>
      </w:r>
      <w:r>
        <w:rPr>
          <w:lang w:val="en-US"/>
        </w:rPr>
        <w:t>Act 10 of 2013.</w:t>
      </w:r>
    </w:p>
  </w:footnote>
  <w:footnote w:id="29">
    <w:p w14:paraId="72F3129A" w14:textId="774A567C" w:rsidR="00E51B87" w:rsidRPr="007B3EA7" w:rsidRDefault="00E51B87" w:rsidP="00275AA3">
      <w:pPr>
        <w:pStyle w:val="FootnoteText"/>
        <w:spacing w:line="240" w:lineRule="auto"/>
        <w:jc w:val="both"/>
        <w:rPr>
          <w:i/>
          <w:iCs/>
          <w:lang w:val="en-US"/>
        </w:rPr>
      </w:pPr>
      <w:r>
        <w:rPr>
          <w:rStyle w:val="FootnoteReference"/>
        </w:rPr>
        <w:footnoteRef/>
      </w:r>
      <w:r>
        <w:t xml:space="preserve"> </w:t>
      </w:r>
      <w:r>
        <w:rPr>
          <w:i/>
          <w:iCs/>
          <w:lang w:val="en-US"/>
        </w:rPr>
        <w:t>Uitzig Secondary School Governing Body v MEC for Education, Western Cape</w:t>
      </w:r>
      <w:r>
        <w:rPr>
          <w:lang w:val="en-US"/>
        </w:rPr>
        <w:t xml:space="preserve"> 2020 (4) SA 618 (WCC)</w:t>
      </w:r>
      <w:r w:rsidR="00495D95">
        <w:rPr>
          <w:lang w:val="en-US"/>
        </w:rPr>
        <w:t xml:space="preserve"> (‘</w:t>
      </w:r>
      <w:r w:rsidR="00495D95">
        <w:rPr>
          <w:i/>
          <w:iCs/>
          <w:lang w:val="en-US"/>
        </w:rPr>
        <w:t>Uitzig</w:t>
      </w:r>
      <w:r w:rsidR="00495D95">
        <w:rPr>
          <w:lang w:val="en-US"/>
        </w:rPr>
        <w:t>’)</w:t>
      </w:r>
      <w:r>
        <w:rPr>
          <w:lang w:val="en-US"/>
        </w:rPr>
        <w:t>.</w:t>
      </w:r>
      <w:r w:rsidR="007B3EA7">
        <w:rPr>
          <w:lang w:val="en-US"/>
        </w:rPr>
        <w:t xml:space="preserve"> </w:t>
      </w:r>
      <w:r w:rsidR="006D57CB">
        <w:rPr>
          <w:lang w:val="en-US"/>
        </w:rPr>
        <w:t xml:space="preserve">Also see </w:t>
      </w:r>
      <w:r w:rsidR="00352B6B">
        <w:rPr>
          <w:lang w:val="en-US"/>
        </w:rPr>
        <w:t xml:space="preserve">AC Cilliers, C Loots and HC Nel </w:t>
      </w:r>
      <w:r w:rsidR="006D57CB">
        <w:rPr>
          <w:i/>
          <w:iCs/>
          <w:lang w:val="en-US"/>
        </w:rPr>
        <w:t xml:space="preserve">Herbstein and Van Winsen: The Civil Practice of the High Courts and the Supreme Court of Appeal of South Africa </w:t>
      </w:r>
      <w:r w:rsidR="006D57CB">
        <w:rPr>
          <w:lang w:val="en-US"/>
        </w:rPr>
        <w:t>(5</w:t>
      </w:r>
      <w:r w:rsidR="006D57CB" w:rsidRPr="006D57CB">
        <w:rPr>
          <w:vertAlign w:val="superscript"/>
          <w:lang w:val="en-US"/>
        </w:rPr>
        <w:t>th</w:t>
      </w:r>
      <w:r w:rsidR="006D57CB">
        <w:rPr>
          <w:lang w:val="en-US"/>
        </w:rPr>
        <w:t xml:space="preserve"> Ed) (2009) ch44</w:t>
      </w:r>
      <w:r w:rsidR="006D57CB">
        <w:rPr>
          <w:lang w:val="en-US"/>
        </w:rPr>
        <w:softHyphen/>
        <w:t xml:space="preserve">–p1485. </w:t>
      </w:r>
      <w:r w:rsidR="00425685">
        <w:rPr>
          <w:lang w:val="en-US"/>
        </w:rPr>
        <w:t xml:space="preserve">Section 18(1) states that ‘subject to subsections (2) and (3), and unless the court under exceptional circumstances orders otherwise, the operation and execution of a decision which is the subject of an application for leave to appeal or of an appeal, is suspended pending the decision of the application or appeal’. </w:t>
      </w:r>
      <w:r w:rsidR="007B3EA7">
        <w:rPr>
          <w:lang w:val="en-US"/>
        </w:rPr>
        <w:t xml:space="preserve">In this matter, the applicants had applied to the SCA for leave to appeal a High Court decision dismissing their application to have an administrative decision, made by the respondent, set aside on review. The </w:t>
      </w:r>
      <w:r w:rsidR="00A53F4F">
        <w:rPr>
          <w:lang w:val="en-US"/>
        </w:rPr>
        <w:t>MEC</w:t>
      </w:r>
      <w:r w:rsidR="007B3EA7">
        <w:rPr>
          <w:lang w:val="en-US"/>
        </w:rPr>
        <w:t xml:space="preserve"> relied on SCA precedent that in cases where a claim or an application was dismissed, such order was not suspended pending an appeal.</w:t>
      </w:r>
      <w:r w:rsidR="00A53F4F">
        <w:rPr>
          <w:lang w:val="en-US"/>
        </w:rPr>
        <w:t xml:space="preserve"> </w:t>
      </w:r>
      <w:r w:rsidR="007B3EA7">
        <w:rPr>
          <w:lang w:val="en-US"/>
        </w:rPr>
        <w:t xml:space="preserve"> </w:t>
      </w:r>
      <w:r w:rsidR="00A53F4F">
        <w:rPr>
          <w:lang w:val="en-US"/>
        </w:rPr>
        <w:t xml:space="preserve">Following that approach, the MEC argued that a litigant who had lodged an application for leave to appeal and who wished to prevent the execution and implementation of an administrative decision (pending that application for leave to appeal) was required to apply for an interdict rather than rely on s 18(1). </w:t>
      </w:r>
      <w:r w:rsidR="007B3EA7">
        <w:rPr>
          <w:lang w:val="en-US"/>
        </w:rPr>
        <w:t>In holding that the opposite was true, the court highlighted the differences between s 18(1) and the common law</w:t>
      </w:r>
      <w:r w:rsidR="0059332D">
        <w:rPr>
          <w:lang w:val="en-US"/>
        </w:rPr>
        <w:t xml:space="preserve">. The purpose of s 18(1) was to provide protection to a litigant pending a full investigation of the matter by the court of appeal. To only suspend decisions where orders were granted </w:t>
      </w:r>
      <w:r w:rsidR="00B6170E">
        <w:rPr>
          <w:lang w:val="en-US"/>
        </w:rPr>
        <w:t xml:space="preserve">would strip a litigant in the position of the applicants of that protection, and would unjustifiably discriminate against them. </w:t>
      </w:r>
      <w:r w:rsidR="00B10D56">
        <w:rPr>
          <w:lang w:val="en-US"/>
        </w:rPr>
        <w:t xml:space="preserve">Absent an application in terms of s 18(3) of the Superior Courts Act, 2013, </w:t>
      </w:r>
      <w:r w:rsidR="007D19A5">
        <w:rPr>
          <w:lang w:val="en-US"/>
        </w:rPr>
        <w:t xml:space="preserve">s 18(1) </w:t>
      </w:r>
      <w:r w:rsidR="0061651B">
        <w:rPr>
          <w:lang w:val="en-US"/>
        </w:rPr>
        <w:t xml:space="preserve">protected the rights of the applicants and </w:t>
      </w:r>
      <w:r w:rsidR="007D19A5">
        <w:rPr>
          <w:lang w:val="en-US"/>
        </w:rPr>
        <w:t>suspended the execution and implementation of the order of the court a quo</w:t>
      </w:r>
      <w:r w:rsidR="0061651B">
        <w:rPr>
          <w:lang w:val="en-US"/>
        </w:rPr>
        <w:t>.</w:t>
      </w:r>
    </w:p>
  </w:footnote>
  <w:footnote w:id="30">
    <w:p w14:paraId="144BBB90" w14:textId="67F51189" w:rsidR="00495D95" w:rsidRPr="00253EFC" w:rsidRDefault="00495D95" w:rsidP="00275AA3">
      <w:pPr>
        <w:pStyle w:val="FootnoteText"/>
        <w:spacing w:line="240" w:lineRule="auto"/>
        <w:jc w:val="both"/>
        <w:rPr>
          <w:lang w:val="en-US"/>
        </w:rPr>
      </w:pPr>
      <w:r>
        <w:rPr>
          <w:rStyle w:val="FootnoteReference"/>
        </w:rPr>
        <w:footnoteRef/>
      </w:r>
      <w:r>
        <w:t xml:space="preserve"> </w:t>
      </w:r>
      <w:r>
        <w:rPr>
          <w:i/>
          <w:iCs/>
        </w:rPr>
        <w:t xml:space="preserve">Uitzig </w:t>
      </w:r>
      <w:r>
        <w:t xml:space="preserve">above n </w:t>
      </w:r>
      <w:r w:rsidR="000E7982">
        <w:t>28</w:t>
      </w:r>
      <w:r>
        <w:t xml:space="preserve"> </w:t>
      </w:r>
      <w:r w:rsidR="00D13F8E">
        <w:t xml:space="preserve">para </w:t>
      </w:r>
      <w:r>
        <w:t>17.</w:t>
      </w:r>
      <w:r w:rsidR="00D50191">
        <w:t xml:space="preserve"> Also see </w:t>
      </w:r>
      <w:r w:rsidR="00D50191">
        <w:rPr>
          <w:i/>
          <w:iCs/>
        </w:rPr>
        <w:t>Janse Van Rensburg v Obiang and Another</w:t>
      </w:r>
      <w:r w:rsidR="00D50191">
        <w:t xml:space="preserve"> 2023 (3) SA 591 (WCC)</w:t>
      </w:r>
      <w:r w:rsidR="00253EFC">
        <w:t xml:space="preserve">; </w:t>
      </w:r>
      <w:r w:rsidR="00253EFC">
        <w:rPr>
          <w:i/>
          <w:iCs/>
        </w:rPr>
        <w:t>Public Protector of South Africa v Speaker, National Assembly and Others</w:t>
      </w:r>
      <w:r w:rsidR="00253EFC">
        <w:t xml:space="preserve"> 2023 (4) SA 205 (WCC).</w:t>
      </w:r>
    </w:p>
  </w:footnote>
  <w:footnote w:id="31">
    <w:p w14:paraId="180CF5FC" w14:textId="706EEEFE" w:rsidR="002E13DD" w:rsidRPr="008216D9" w:rsidRDefault="002E13DD" w:rsidP="00275AA3">
      <w:pPr>
        <w:pStyle w:val="FootnoteText"/>
        <w:spacing w:line="240" w:lineRule="auto"/>
        <w:jc w:val="both"/>
        <w:rPr>
          <w:lang w:val="en-US"/>
        </w:rPr>
      </w:pPr>
      <w:r>
        <w:rPr>
          <w:rStyle w:val="FootnoteReference"/>
        </w:rPr>
        <w:footnoteRef/>
      </w:r>
      <w:r>
        <w:t xml:space="preserve"> </w:t>
      </w:r>
      <w:r>
        <w:rPr>
          <w:lang w:val="en-US"/>
        </w:rPr>
        <w:t xml:space="preserve">See the judgment of Schippers J in </w:t>
      </w:r>
      <w:r>
        <w:rPr>
          <w:i/>
          <w:iCs/>
          <w:lang w:val="en-US"/>
        </w:rPr>
        <w:t>Quality Labels Solutions CC &amp; Others v Head of Department of Culture, Sports and Recreation, Mpumalanga Province, &amp; Others</w:t>
      </w:r>
      <w:r>
        <w:rPr>
          <w:lang w:val="en-US"/>
        </w:rPr>
        <w:t xml:space="preserve"> [2013] ZAWCHC 193</w:t>
      </w:r>
      <w:r w:rsidR="009832D3">
        <w:rPr>
          <w:lang w:val="en-US"/>
        </w:rPr>
        <w:t xml:space="preserve"> paras 18 - 20</w:t>
      </w:r>
      <w:r>
        <w:rPr>
          <w:lang w:val="en-US"/>
        </w:rPr>
        <w:t xml:space="preserve">, cited with approval By Rogers J in </w:t>
      </w:r>
      <w:r>
        <w:rPr>
          <w:i/>
          <w:iCs/>
          <w:lang w:val="en-US"/>
        </w:rPr>
        <w:t xml:space="preserve">Granbuild (Pty) Ltd v Minister of Transport and Public Works, Western Cape and Another </w:t>
      </w:r>
      <w:r>
        <w:rPr>
          <w:lang w:val="en-US"/>
        </w:rPr>
        <w:t>[2015] ZAWCHC 83</w:t>
      </w:r>
      <w:r w:rsidR="00487715">
        <w:rPr>
          <w:lang w:val="en-US"/>
        </w:rPr>
        <w:t xml:space="preserve"> (‘</w:t>
      </w:r>
      <w:r w:rsidR="00487715">
        <w:rPr>
          <w:i/>
          <w:iCs/>
          <w:lang w:val="en-US"/>
        </w:rPr>
        <w:t>Granbuild</w:t>
      </w:r>
      <w:r w:rsidR="00487715">
        <w:rPr>
          <w:lang w:val="en-US"/>
        </w:rPr>
        <w:t>’)</w:t>
      </w:r>
      <w:r>
        <w:rPr>
          <w:lang w:val="en-US"/>
        </w:rPr>
        <w:t xml:space="preserve"> paras 33, 34.</w:t>
      </w:r>
      <w:r w:rsidR="0019290B">
        <w:rPr>
          <w:lang w:val="en-US"/>
        </w:rPr>
        <w:t xml:space="preserve"> Cf </w:t>
      </w:r>
      <w:r w:rsidR="0019290B">
        <w:rPr>
          <w:i/>
          <w:iCs/>
          <w:lang w:val="en-US"/>
        </w:rPr>
        <w:t>Aqua Transport &amp; Plant Hire (Pty) Ltd v Dube Tradeport Corporation and Others</w:t>
      </w:r>
      <w:r w:rsidR="0019290B">
        <w:rPr>
          <w:lang w:val="en-US"/>
        </w:rPr>
        <w:t xml:space="preserve"> [2018] ZAKZDHC 50 </w:t>
      </w:r>
      <w:r w:rsidR="00715804">
        <w:rPr>
          <w:lang w:val="en-US"/>
        </w:rPr>
        <w:t>(‘</w:t>
      </w:r>
      <w:r w:rsidR="00715804">
        <w:rPr>
          <w:i/>
          <w:iCs/>
          <w:lang w:val="en-US"/>
        </w:rPr>
        <w:t>Aqua Transport</w:t>
      </w:r>
      <w:r w:rsidR="00715804">
        <w:rPr>
          <w:lang w:val="en-US"/>
        </w:rPr>
        <w:t>’)</w:t>
      </w:r>
      <w:r w:rsidR="00715804">
        <w:rPr>
          <w:i/>
          <w:iCs/>
          <w:lang w:val="en-US"/>
        </w:rPr>
        <w:t xml:space="preserve"> </w:t>
      </w:r>
      <w:r w:rsidR="0019290B">
        <w:rPr>
          <w:lang w:val="en-US"/>
        </w:rPr>
        <w:t>para 38.</w:t>
      </w:r>
      <w:r w:rsidR="009A3FD1">
        <w:rPr>
          <w:lang w:val="en-US"/>
        </w:rPr>
        <w:t xml:space="preserve"> On the test in </w:t>
      </w:r>
      <w:r w:rsidR="009A3FD1">
        <w:rPr>
          <w:i/>
          <w:iCs/>
          <w:lang w:val="en-US"/>
        </w:rPr>
        <w:t>Aqua Transport</w:t>
      </w:r>
      <w:r w:rsidR="009A3FD1">
        <w:rPr>
          <w:lang w:val="en-US"/>
        </w:rPr>
        <w:t>, ‘exceptional circumstances’ would be required.</w:t>
      </w:r>
      <w:r w:rsidR="008216D9">
        <w:rPr>
          <w:lang w:val="en-US"/>
        </w:rPr>
        <w:t xml:space="preserve"> Cf </w:t>
      </w:r>
      <w:r w:rsidR="008216D9">
        <w:rPr>
          <w:i/>
          <w:iCs/>
          <w:lang w:val="en-US"/>
        </w:rPr>
        <w:t>Kelly Group</w:t>
      </w:r>
      <w:r w:rsidR="008216D9">
        <w:rPr>
          <w:lang w:val="en-US"/>
        </w:rPr>
        <w:t xml:space="preserve"> above n </w:t>
      </w:r>
      <w:r w:rsidR="007B4059">
        <w:rPr>
          <w:lang w:val="en-US"/>
        </w:rPr>
        <w:t>2</w:t>
      </w:r>
      <w:r w:rsidR="009F2047">
        <w:rPr>
          <w:lang w:val="en-US"/>
        </w:rPr>
        <w:t>6</w:t>
      </w:r>
      <w:r w:rsidR="008216D9">
        <w:rPr>
          <w:lang w:val="en-US"/>
        </w:rPr>
        <w:t xml:space="preserve"> paras 23, 24 and 31, seemingly applying the ordinary test for a prima facie right.</w:t>
      </w:r>
    </w:p>
  </w:footnote>
  <w:footnote w:id="32">
    <w:p w14:paraId="4CA8DD0E" w14:textId="152DE1E5" w:rsidR="00D0110B" w:rsidRPr="00D0110B" w:rsidRDefault="00D0110B" w:rsidP="00275AA3">
      <w:pPr>
        <w:pStyle w:val="FootnoteText"/>
        <w:spacing w:line="240" w:lineRule="auto"/>
        <w:jc w:val="both"/>
        <w:rPr>
          <w:lang w:val="en-US"/>
        </w:rPr>
      </w:pPr>
      <w:r>
        <w:rPr>
          <w:rStyle w:val="FootnoteReference"/>
        </w:rPr>
        <w:footnoteRef/>
      </w:r>
      <w:r>
        <w:t xml:space="preserve"> </w:t>
      </w:r>
      <w:r>
        <w:rPr>
          <w:i/>
          <w:iCs/>
          <w:lang w:val="en-US"/>
        </w:rPr>
        <w:t>Granbuild</w:t>
      </w:r>
      <w:r>
        <w:rPr>
          <w:lang w:val="en-US"/>
        </w:rPr>
        <w:t xml:space="preserve"> above n </w:t>
      </w:r>
      <w:r w:rsidR="00AD1247">
        <w:rPr>
          <w:lang w:val="en-US"/>
        </w:rPr>
        <w:t>3</w:t>
      </w:r>
      <w:r w:rsidR="000A69A9">
        <w:rPr>
          <w:lang w:val="en-US"/>
        </w:rPr>
        <w:t>1</w:t>
      </w:r>
      <w:r>
        <w:rPr>
          <w:lang w:val="en-US"/>
        </w:rPr>
        <w:t xml:space="preserve"> para 34.</w:t>
      </w:r>
    </w:p>
  </w:footnote>
  <w:footnote w:id="33">
    <w:p w14:paraId="0A819ED6" w14:textId="38A558CA" w:rsidR="009832D3" w:rsidRPr="00203A46" w:rsidRDefault="009832D3" w:rsidP="00275AA3">
      <w:pPr>
        <w:pStyle w:val="FootnoteText"/>
        <w:spacing w:line="240" w:lineRule="auto"/>
        <w:jc w:val="both"/>
        <w:rPr>
          <w:lang w:val="en-US"/>
        </w:rPr>
      </w:pPr>
      <w:r>
        <w:rPr>
          <w:rStyle w:val="FootnoteReference"/>
        </w:rPr>
        <w:footnoteRef/>
      </w:r>
      <w:r>
        <w:t xml:space="preserve"> </w:t>
      </w:r>
      <w:r>
        <w:rPr>
          <w:lang w:val="en-US"/>
        </w:rPr>
        <w:t>Ibid.</w:t>
      </w:r>
      <w:r w:rsidR="00203A46">
        <w:rPr>
          <w:lang w:val="en-US"/>
        </w:rPr>
        <w:t xml:space="preserve"> </w:t>
      </w:r>
      <w:r w:rsidR="00F307F0">
        <w:rPr>
          <w:lang w:val="en-US"/>
        </w:rPr>
        <w:t xml:space="preserve">Also see </w:t>
      </w:r>
      <w:r w:rsidR="00F307F0">
        <w:rPr>
          <w:i/>
          <w:iCs/>
          <w:lang w:val="en-US"/>
        </w:rPr>
        <w:t xml:space="preserve">Kelly </w:t>
      </w:r>
      <w:r w:rsidR="00F307F0" w:rsidRPr="00F307F0">
        <w:rPr>
          <w:i/>
          <w:iCs/>
          <w:lang w:val="en-US"/>
        </w:rPr>
        <w:t>Group</w:t>
      </w:r>
      <w:r w:rsidR="00F307F0">
        <w:rPr>
          <w:lang w:val="en-US"/>
        </w:rPr>
        <w:t xml:space="preserve"> above n </w:t>
      </w:r>
      <w:r w:rsidR="007B4059">
        <w:rPr>
          <w:lang w:val="en-US"/>
        </w:rPr>
        <w:t>2</w:t>
      </w:r>
      <w:r w:rsidR="000A69A9">
        <w:rPr>
          <w:lang w:val="en-US"/>
        </w:rPr>
        <w:t>6</w:t>
      </w:r>
      <w:r w:rsidR="00F307F0">
        <w:rPr>
          <w:lang w:val="en-US"/>
        </w:rPr>
        <w:t xml:space="preserve"> paras 21 – 22. </w:t>
      </w:r>
      <w:r w:rsidR="00203A46" w:rsidRPr="00F307F0">
        <w:rPr>
          <w:lang w:val="en-US"/>
        </w:rPr>
        <w:t>Cf</w:t>
      </w:r>
      <w:r w:rsidR="00203A46">
        <w:rPr>
          <w:lang w:val="en-US"/>
        </w:rPr>
        <w:t xml:space="preserve"> </w:t>
      </w:r>
      <w:r w:rsidR="00752FF5">
        <w:rPr>
          <w:i/>
          <w:iCs/>
          <w:lang w:val="en-US"/>
        </w:rPr>
        <w:t>Aqua Transport</w:t>
      </w:r>
      <w:r w:rsidR="00752FF5">
        <w:rPr>
          <w:lang w:val="en-US"/>
        </w:rPr>
        <w:t xml:space="preserve"> above n </w:t>
      </w:r>
      <w:r w:rsidR="00960CBE">
        <w:rPr>
          <w:lang w:val="en-US"/>
        </w:rPr>
        <w:t>3</w:t>
      </w:r>
      <w:r w:rsidR="000A69A9">
        <w:rPr>
          <w:lang w:val="en-US"/>
        </w:rPr>
        <w:t>1</w:t>
      </w:r>
      <w:r w:rsidR="00203A46">
        <w:rPr>
          <w:lang w:val="en-US"/>
        </w:rPr>
        <w:t xml:space="preserve"> para 35.</w:t>
      </w:r>
    </w:p>
  </w:footnote>
  <w:footnote w:id="34">
    <w:p w14:paraId="1252393F" w14:textId="30A3D74A" w:rsidR="00342F5F" w:rsidRPr="00752FF5" w:rsidRDefault="00342F5F" w:rsidP="00275AA3">
      <w:pPr>
        <w:pStyle w:val="FootnoteText"/>
        <w:spacing w:line="240" w:lineRule="auto"/>
        <w:jc w:val="both"/>
        <w:rPr>
          <w:lang w:val="en-US"/>
        </w:rPr>
      </w:pPr>
      <w:r>
        <w:rPr>
          <w:rStyle w:val="FootnoteReference"/>
        </w:rPr>
        <w:footnoteRef/>
      </w:r>
      <w:r>
        <w:t xml:space="preserve"> </w:t>
      </w:r>
      <w:r>
        <w:rPr>
          <w:i/>
          <w:iCs/>
          <w:lang w:val="en-US"/>
        </w:rPr>
        <w:t>Granbuild</w:t>
      </w:r>
      <w:r>
        <w:rPr>
          <w:lang w:val="en-US"/>
        </w:rPr>
        <w:t xml:space="preserve"> above n </w:t>
      </w:r>
      <w:r w:rsidR="00160F29">
        <w:rPr>
          <w:lang w:val="en-US"/>
        </w:rPr>
        <w:t>3</w:t>
      </w:r>
      <w:r w:rsidR="000A69A9">
        <w:rPr>
          <w:lang w:val="en-US"/>
        </w:rPr>
        <w:t>1</w:t>
      </w:r>
      <w:r>
        <w:rPr>
          <w:lang w:val="en-US"/>
        </w:rPr>
        <w:t xml:space="preserve"> para 35</w:t>
      </w:r>
      <w:r w:rsidR="00752FF5">
        <w:rPr>
          <w:lang w:val="en-US"/>
        </w:rPr>
        <w:t xml:space="preserve">; </w:t>
      </w:r>
      <w:r w:rsidR="00752FF5">
        <w:rPr>
          <w:i/>
          <w:iCs/>
          <w:lang w:val="en-US"/>
        </w:rPr>
        <w:t>Aqua Transport</w:t>
      </w:r>
      <w:r w:rsidR="00752FF5">
        <w:rPr>
          <w:lang w:val="en-US"/>
        </w:rPr>
        <w:t xml:space="preserve"> above n </w:t>
      </w:r>
      <w:r w:rsidR="00416BE1">
        <w:rPr>
          <w:lang w:val="en-US"/>
        </w:rPr>
        <w:t>3</w:t>
      </w:r>
      <w:r w:rsidR="000A69A9">
        <w:rPr>
          <w:lang w:val="en-US"/>
        </w:rPr>
        <w:t>1</w:t>
      </w:r>
      <w:r w:rsidR="00752FF5">
        <w:rPr>
          <w:lang w:val="en-US"/>
        </w:rPr>
        <w:t xml:space="preserve"> para</w:t>
      </w:r>
      <w:r w:rsidR="00480590">
        <w:rPr>
          <w:lang w:val="en-US"/>
        </w:rPr>
        <w:t>s 41, 43</w:t>
      </w:r>
      <w:r w:rsidR="00752FF5">
        <w:rPr>
          <w:lang w:val="en-US"/>
        </w:rPr>
        <w:t>.</w:t>
      </w:r>
    </w:p>
  </w:footnote>
  <w:footnote w:id="35">
    <w:p w14:paraId="395678EE" w14:textId="55CC54E8" w:rsidR="00377FFD" w:rsidRPr="00C07A22" w:rsidRDefault="00377FFD" w:rsidP="00275AA3">
      <w:pPr>
        <w:pStyle w:val="FootnoteText"/>
        <w:spacing w:line="240" w:lineRule="auto"/>
        <w:jc w:val="both"/>
        <w:rPr>
          <w:lang w:val="en-US"/>
        </w:rPr>
      </w:pPr>
      <w:r>
        <w:rPr>
          <w:rStyle w:val="FootnoteReference"/>
        </w:rPr>
        <w:footnoteRef/>
      </w:r>
      <w:r>
        <w:t xml:space="preserve"> </w:t>
      </w:r>
      <w:r>
        <w:rPr>
          <w:i/>
          <w:iCs/>
          <w:lang w:val="en-US"/>
        </w:rPr>
        <w:t>Aqua Transport</w:t>
      </w:r>
      <w:r>
        <w:rPr>
          <w:lang w:val="en-US"/>
        </w:rPr>
        <w:t xml:space="preserve"> above n </w:t>
      </w:r>
      <w:r w:rsidR="00B40CA6">
        <w:rPr>
          <w:lang w:val="en-US"/>
        </w:rPr>
        <w:t>3</w:t>
      </w:r>
      <w:r w:rsidR="000A69A9">
        <w:rPr>
          <w:lang w:val="en-US"/>
        </w:rPr>
        <w:t>1</w:t>
      </w:r>
      <w:r>
        <w:rPr>
          <w:lang w:val="en-US"/>
        </w:rPr>
        <w:t xml:space="preserve"> para 43.</w:t>
      </w:r>
      <w:r w:rsidR="00C07A22">
        <w:rPr>
          <w:lang w:val="en-US"/>
        </w:rPr>
        <w:t xml:space="preserve"> Cf </w:t>
      </w:r>
      <w:r w:rsidR="00C07A22">
        <w:rPr>
          <w:i/>
          <w:iCs/>
          <w:lang w:val="en-US"/>
        </w:rPr>
        <w:t xml:space="preserve">Kelly </w:t>
      </w:r>
      <w:r w:rsidR="00F26A21">
        <w:rPr>
          <w:i/>
          <w:iCs/>
          <w:lang w:val="en-US"/>
        </w:rPr>
        <w:t xml:space="preserve">Group </w:t>
      </w:r>
      <w:r w:rsidR="00F26A21">
        <w:rPr>
          <w:lang w:val="en-US"/>
        </w:rPr>
        <w:t xml:space="preserve">above n </w:t>
      </w:r>
      <w:r w:rsidR="009F2047">
        <w:rPr>
          <w:lang w:val="en-US"/>
        </w:rPr>
        <w:t>26</w:t>
      </w:r>
      <w:r w:rsidR="00F26A21">
        <w:rPr>
          <w:lang w:val="en-US"/>
        </w:rPr>
        <w:t xml:space="preserve"> </w:t>
      </w:r>
      <w:r w:rsidR="00C07A22">
        <w:rPr>
          <w:lang w:val="en-US"/>
        </w:rPr>
        <w:t>para 18, assuming that leave to appeal would be granted either by the court a quo or by the SCA.</w:t>
      </w:r>
    </w:p>
  </w:footnote>
  <w:footnote w:id="36">
    <w:p w14:paraId="0E33D89E" w14:textId="0745B24D" w:rsidR="00685E2A" w:rsidRPr="00685E2A" w:rsidRDefault="00685E2A" w:rsidP="00275AA3">
      <w:pPr>
        <w:pStyle w:val="FootnoteText"/>
        <w:spacing w:line="240" w:lineRule="auto"/>
        <w:jc w:val="both"/>
        <w:rPr>
          <w:lang w:val="en-US"/>
        </w:rPr>
      </w:pPr>
      <w:r>
        <w:rPr>
          <w:rStyle w:val="FootnoteReference"/>
        </w:rPr>
        <w:footnoteRef/>
      </w:r>
      <w:r>
        <w:t xml:space="preserve"> </w:t>
      </w:r>
      <w:r>
        <w:rPr>
          <w:lang w:val="en-US"/>
        </w:rPr>
        <w:t xml:space="preserve">See </w:t>
      </w:r>
      <w:r>
        <w:rPr>
          <w:i/>
          <w:iCs/>
          <w:lang w:val="en-US"/>
        </w:rPr>
        <w:t>Bothongo Agriculture GP (Pty) Ltd v Johannesburg Water SOC Limited</w:t>
      </w:r>
      <w:r>
        <w:rPr>
          <w:lang w:val="en-US"/>
        </w:rPr>
        <w:t xml:space="preserve"> </w:t>
      </w:r>
      <w:r w:rsidR="00B27ED2">
        <w:rPr>
          <w:lang w:val="en-US"/>
        </w:rPr>
        <w:t xml:space="preserve">[2023] ZAGPJHC 246 </w:t>
      </w:r>
      <w:r>
        <w:rPr>
          <w:lang w:val="en-US"/>
        </w:rPr>
        <w:t>para 56.</w:t>
      </w:r>
    </w:p>
  </w:footnote>
  <w:footnote w:id="37">
    <w:p w14:paraId="7108F27C" w14:textId="5DBC2F29" w:rsidR="00F65161" w:rsidRPr="00F65161" w:rsidRDefault="00F65161" w:rsidP="00275AA3">
      <w:pPr>
        <w:pStyle w:val="FootnoteText"/>
        <w:spacing w:line="240" w:lineRule="auto"/>
        <w:jc w:val="both"/>
        <w:rPr>
          <w:lang w:val="en-US"/>
        </w:rPr>
      </w:pPr>
      <w:r>
        <w:rPr>
          <w:rStyle w:val="FootnoteReference"/>
        </w:rPr>
        <w:footnoteRef/>
      </w:r>
      <w:r>
        <w:t xml:space="preserve"> </w:t>
      </w:r>
      <w:r w:rsidR="00B66D95">
        <w:rPr>
          <w:lang w:val="en-US"/>
        </w:rPr>
        <w:t xml:space="preserve">Ibid </w:t>
      </w:r>
      <w:r>
        <w:rPr>
          <w:lang w:val="en-US"/>
        </w:rPr>
        <w:t>paras 61-64.</w:t>
      </w:r>
    </w:p>
  </w:footnote>
  <w:footnote w:id="38">
    <w:p w14:paraId="1ECC89BC" w14:textId="403CD0F0" w:rsidR="00B91E6E" w:rsidRPr="00ED5EBE" w:rsidRDefault="00B91E6E" w:rsidP="00275AA3">
      <w:pPr>
        <w:pStyle w:val="FootnoteText"/>
        <w:spacing w:line="240" w:lineRule="auto"/>
        <w:jc w:val="both"/>
        <w:rPr>
          <w:lang w:val="en-US"/>
        </w:rPr>
      </w:pPr>
      <w:r>
        <w:rPr>
          <w:rStyle w:val="FootnoteReference"/>
        </w:rPr>
        <w:footnoteRef/>
      </w:r>
      <w:r>
        <w:t xml:space="preserve"> </w:t>
      </w:r>
      <w:r>
        <w:rPr>
          <w:lang w:val="en-US"/>
        </w:rPr>
        <w:t xml:space="preserve">See </w:t>
      </w:r>
      <w:r>
        <w:rPr>
          <w:i/>
          <w:iCs/>
          <w:lang w:val="en-US"/>
        </w:rPr>
        <w:t xml:space="preserve">National Treasury </w:t>
      </w:r>
      <w:r>
        <w:rPr>
          <w:lang w:val="en-US"/>
        </w:rPr>
        <w:t xml:space="preserve">above n </w:t>
      </w:r>
      <w:r w:rsidR="00ED7BF0">
        <w:rPr>
          <w:lang w:val="en-US"/>
        </w:rPr>
        <w:t>8</w:t>
      </w:r>
      <w:r>
        <w:rPr>
          <w:lang w:val="en-US"/>
        </w:rPr>
        <w:t xml:space="preserve"> para 47. </w:t>
      </w:r>
      <w:r>
        <w:rPr>
          <w:i/>
          <w:iCs/>
          <w:lang w:val="en-US"/>
        </w:rPr>
        <w:t>Down Touch Investments (Pty) Ltd v The South National Road Agency Soc Limited</w:t>
      </w:r>
      <w:r>
        <w:rPr>
          <w:lang w:val="en-US"/>
        </w:rPr>
        <w:t xml:space="preserve"> </w:t>
      </w:r>
      <w:r w:rsidR="00297069">
        <w:rPr>
          <w:lang w:val="en-US"/>
        </w:rPr>
        <w:t xml:space="preserve">above n 24 </w:t>
      </w:r>
      <w:r>
        <w:rPr>
          <w:lang w:val="en-US"/>
        </w:rPr>
        <w:t>para 44.</w:t>
      </w:r>
    </w:p>
  </w:footnote>
  <w:footnote w:id="39">
    <w:p w14:paraId="27CCC43F" w14:textId="693D0674" w:rsidR="00B91E6E" w:rsidRPr="00172E18" w:rsidRDefault="00B91E6E" w:rsidP="00275AA3">
      <w:pPr>
        <w:pStyle w:val="FootnoteText"/>
        <w:spacing w:line="240" w:lineRule="auto"/>
        <w:jc w:val="both"/>
        <w:rPr>
          <w:lang w:val="en-US"/>
        </w:rPr>
      </w:pPr>
      <w:r>
        <w:rPr>
          <w:rStyle w:val="FootnoteReference"/>
        </w:rPr>
        <w:footnoteRef/>
      </w:r>
      <w:r>
        <w:t xml:space="preserve"> </w:t>
      </w:r>
      <w:r>
        <w:rPr>
          <w:i/>
          <w:iCs/>
          <w:lang w:val="en-US"/>
        </w:rPr>
        <w:t>National Treasury</w:t>
      </w:r>
      <w:r>
        <w:rPr>
          <w:lang w:val="en-US"/>
        </w:rPr>
        <w:t xml:space="preserve"> above n </w:t>
      </w:r>
      <w:r w:rsidR="002E2705">
        <w:rPr>
          <w:lang w:val="en-US"/>
        </w:rPr>
        <w:t>8</w:t>
      </w:r>
      <w:r>
        <w:rPr>
          <w:lang w:val="en-US"/>
        </w:rPr>
        <w:t xml:space="preserve"> para 67-8.</w:t>
      </w:r>
    </w:p>
  </w:footnote>
  <w:footnote w:id="40">
    <w:p w14:paraId="75915B48" w14:textId="4C7683ED" w:rsidR="00B91E6E" w:rsidRPr="009A71B8" w:rsidRDefault="00B91E6E" w:rsidP="00275AA3">
      <w:pPr>
        <w:pStyle w:val="FootnoteText"/>
        <w:spacing w:line="240" w:lineRule="auto"/>
        <w:jc w:val="both"/>
        <w:rPr>
          <w:lang w:val="en-US"/>
        </w:rPr>
      </w:pPr>
      <w:r>
        <w:rPr>
          <w:rStyle w:val="FootnoteReference"/>
        </w:rPr>
        <w:footnoteRef/>
      </w:r>
      <w:r>
        <w:t xml:space="preserve"> </w:t>
      </w:r>
      <w:r>
        <w:rPr>
          <w:i/>
          <w:iCs/>
          <w:lang w:val="en-US"/>
        </w:rPr>
        <w:t>Eskom</w:t>
      </w:r>
      <w:r>
        <w:rPr>
          <w:lang w:val="en-US"/>
        </w:rPr>
        <w:t xml:space="preserve"> above n </w:t>
      </w:r>
      <w:r w:rsidR="002E2705">
        <w:rPr>
          <w:lang w:val="en-US"/>
        </w:rPr>
        <w:t>7</w:t>
      </w:r>
      <w:r>
        <w:rPr>
          <w:lang w:val="en-US"/>
        </w:rPr>
        <w:t xml:space="preserve"> para 302. </w:t>
      </w:r>
    </w:p>
  </w:footnote>
  <w:footnote w:id="41">
    <w:p w14:paraId="63C10048" w14:textId="77777777" w:rsidR="00C44B3D" w:rsidRPr="004F49DE" w:rsidRDefault="00C44B3D" w:rsidP="00275AA3">
      <w:pPr>
        <w:pStyle w:val="FootnoteText"/>
        <w:spacing w:line="240" w:lineRule="auto"/>
        <w:jc w:val="both"/>
        <w:rPr>
          <w:lang w:val="en-US"/>
        </w:rPr>
      </w:pPr>
      <w:r>
        <w:rPr>
          <w:rStyle w:val="FootnoteReference"/>
        </w:rPr>
        <w:footnoteRef/>
      </w:r>
      <w:r>
        <w:t xml:space="preserve"> </w:t>
      </w:r>
      <w:r>
        <w:rPr>
          <w:i/>
          <w:iCs/>
          <w:lang w:val="en-US"/>
        </w:rPr>
        <w:t xml:space="preserve">Eriksen Ltd v Protea Motors and Another </w:t>
      </w:r>
      <w:r w:rsidRPr="007C3B60">
        <w:rPr>
          <w:lang w:val="en-US"/>
        </w:rPr>
        <w:t>1973 (3) SA 685 (A) at 691C-G</w:t>
      </w:r>
      <w:r>
        <w:rPr>
          <w:lang w:val="en-US"/>
        </w:rPr>
        <w:t>.</w:t>
      </w:r>
    </w:p>
  </w:footnote>
  <w:footnote w:id="42">
    <w:p w14:paraId="01C4F770" w14:textId="5D10BFE3" w:rsidR="00625B16" w:rsidRPr="00045EA9" w:rsidRDefault="00625B16" w:rsidP="00275AA3">
      <w:pPr>
        <w:pStyle w:val="FootnoteText"/>
        <w:spacing w:line="240" w:lineRule="auto"/>
        <w:jc w:val="both"/>
        <w:rPr>
          <w:lang w:val="en-US"/>
        </w:rPr>
      </w:pPr>
      <w:r>
        <w:rPr>
          <w:rStyle w:val="FootnoteReference"/>
        </w:rPr>
        <w:footnoteRef/>
      </w:r>
      <w:r>
        <w:t xml:space="preserve"> </w:t>
      </w:r>
      <w:r>
        <w:rPr>
          <w:i/>
          <w:iCs/>
          <w:lang w:val="en-US"/>
        </w:rPr>
        <w:t>Bothongo Agriculture GP (Pty) Ltd v Johannesburg Water SOC Limited</w:t>
      </w:r>
      <w:r w:rsidR="00A11444">
        <w:rPr>
          <w:lang w:val="en-US"/>
        </w:rPr>
        <w:t xml:space="preserve"> above n 36</w:t>
      </w:r>
      <w:r w:rsidR="00EA5387">
        <w:rPr>
          <w:lang w:val="en-US"/>
        </w:rPr>
        <w:t>.</w:t>
      </w:r>
    </w:p>
  </w:footnote>
  <w:footnote w:id="43">
    <w:p w14:paraId="7C5531FD" w14:textId="77777777" w:rsidR="00625B16" w:rsidRPr="00D14F2A" w:rsidRDefault="00625B16" w:rsidP="00275AA3">
      <w:pPr>
        <w:pStyle w:val="FootnoteText"/>
        <w:spacing w:line="240" w:lineRule="auto"/>
        <w:jc w:val="both"/>
        <w:rPr>
          <w:lang w:val="en-US"/>
        </w:rPr>
      </w:pPr>
      <w:r>
        <w:rPr>
          <w:rStyle w:val="FootnoteReference"/>
        </w:rPr>
        <w:footnoteRef/>
      </w:r>
      <w:r>
        <w:t xml:space="preserve"> </w:t>
      </w:r>
      <w:r>
        <w:rPr>
          <w:lang w:val="en-US"/>
        </w:rPr>
        <w:t>Ibid para 9.</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600537942"/>
      <w:docPartObj>
        <w:docPartGallery w:val="Page Numbers (Top of Page)"/>
        <w:docPartUnique/>
      </w:docPartObj>
    </w:sdtPr>
    <w:sdtEndPr>
      <w:rPr>
        <w:rStyle w:val="PageNumber"/>
      </w:rPr>
    </w:sdtEndPr>
    <w:sdtContent>
      <w:p w14:paraId="70C87348" w14:textId="4DCB78CB" w:rsidR="00146BA3" w:rsidRDefault="00146BA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674FADB" w14:textId="77777777" w:rsidR="00146BA3" w:rsidRDefault="00146BA3" w:rsidP="00146BA3">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014796027"/>
      <w:docPartObj>
        <w:docPartGallery w:val="Page Numbers (Top of Page)"/>
        <w:docPartUnique/>
      </w:docPartObj>
    </w:sdtPr>
    <w:sdtEndPr>
      <w:rPr>
        <w:rStyle w:val="PageNumber"/>
      </w:rPr>
    </w:sdtEndPr>
    <w:sdtContent>
      <w:p w14:paraId="35370323" w14:textId="404251B6" w:rsidR="00146BA3" w:rsidRDefault="00146BA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D6D14">
          <w:rPr>
            <w:rStyle w:val="PageNumber"/>
            <w:noProof/>
          </w:rPr>
          <w:t>2</w:t>
        </w:r>
        <w:r>
          <w:rPr>
            <w:rStyle w:val="PageNumber"/>
          </w:rPr>
          <w:fldChar w:fldCharType="end"/>
        </w:r>
      </w:p>
    </w:sdtContent>
  </w:sdt>
  <w:p w14:paraId="21F7A9BA" w14:textId="77777777" w:rsidR="00146BA3" w:rsidRDefault="00146BA3" w:rsidP="00146BA3">
    <w:pPr>
      <w:pStyle w:val="Heade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15CB"/>
    <w:multiLevelType w:val="hybridMultilevel"/>
    <w:tmpl w:val="9CB44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E70A16"/>
    <w:multiLevelType w:val="hybridMultilevel"/>
    <w:tmpl w:val="34A86E54"/>
    <w:lvl w:ilvl="0" w:tplc="892E532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FDB7C98"/>
    <w:multiLevelType w:val="hybridMultilevel"/>
    <w:tmpl w:val="5A34F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112B71"/>
    <w:multiLevelType w:val="hybridMultilevel"/>
    <w:tmpl w:val="181A0B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EB3A42"/>
    <w:multiLevelType w:val="hybridMultilevel"/>
    <w:tmpl w:val="565EE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A06456"/>
    <w:multiLevelType w:val="hybridMultilevel"/>
    <w:tmpl w:val="F1B2C8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E5112E"/>
    <w:multiLevelType w:val="hybridMultilevel"/>
    <w:tmpl w:val="75384A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5F1397"/>
    <w:multiLevelType w:val="hybridMultilevel"/>
    <w:tmpl w:val="0F70BCAA"/>
    <w:lvl w:ilvl="0" w:tplc="228222EC">
      <w:start w:val="1"/>
      <w:numFmt w:val="low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4E4C9B"/>
    <w:multiLevelType w:val="hybridMultilevel"/>
    <w:tmpl w:val="D170431A"/>
    <w:lvl w:ilvl="0" w:tplc="B69E61C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A242B8"/>
    <w:multiLevelType w:val="hybridMultilevel"/>
    <w:tmpl w:val="393C1F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C261E73"/>
    <w:multiLevelType w:val="multilevel"/>
    <w:tmpl w:val="D170431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4F74231"/>
    <w:multiLevelType w:val="multilevel"/>
    <w:tmpl w:val="609A5C2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5BC26CBB"/>
    <w:multiLevelType w:val="hybridMultilevel"/>
    <w:tmpl w:val="DB0841E6"/>
    <w:lvl w:ilvl="0" w:tplc="1C090015">
      <w:start w:val="1"/>
      <w:numFmt w:val="upp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3" w15:restartNumberingAfterBreak="0">
    <w:nsid w:val="6BB72152"/>
    <w:multiLevelType w:val="hybridMultilevel"/>
    <w:tmpl w:val="FFFAB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C5411A"/>
    <w:multiLevelType w:val="hybridMultilevel"/>
    <w:tmpl w:val="F0966638"/>
    <w:lvl w:ilvl="0" w:tplc="0A68828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766ACE"/>
    <w:multiLevelType w:val="hybridMultilevel"/>
    <w:tmpl w:val="69FC57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BCB6D84"/>
    <w:multiLevelType w:val="hybridMultilevel"/>
    <w:tmpl w:val="4FA86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2B730E"/>
    <w:multiLevelType w:val="hybridMultilevel"/>
    <w:tmpl w:val="3A86AF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3"/>
  </w:num>
  <w:num w:numId="6">
    <w:abstractNumId w:val="6"/>
  </w:num>
  <w:num w:numId="7">
    <w:abstractNumId w:val="16"/>
  </w:num>
  <w:num w:numId="8">
    <w:abstractNumId w:val="1"/>
  </w:num>
  <w:num w:numId="9">
    <w:abstractNumId w:val="5"/>
  </w:num>
  <w:num w:numId="10">
    <w:abstractNumId w:val="8"/>
  </w:num>
  <w:num w:numId="11">
    <w:abstractNumId w:val="15"/>
  </w:num>
  <w:num w:numId="12">
    <w:abstractNumId w:val="7"/>
  </w:num>
  <w:num w:numId="13">
    <w:abstractNumId w:val="10"/>
  </w:num>
  <w:num w:numId="14">
    <w:abstractNumId w:val="9"/>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7"/>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1A4"/>
    <w:rsid w:val="00000935"/>
    <w:rsid w:val="0000206B"/>
    <w:rsid w:val="0000217A"/>
    <w:rsid w:val="00003C0F"/>
    <w:rsid w:val="00004006"/>
    <w:rsid w:val="00004E1E"/>
    <w:rsid w:val="00005691"/>
    <w:rsid w:val="00005ABB"/>
    <w:rsid w:val="00005BC2"/>
    <w:rsid w:val="0000642E"/>
    <w:rsid w:val="00006A5F"/>
    <w:rsid w:val="00006D19"/>
    <w:rsid w:val="00006EF3"/>
    <w:rsid w:val="00007087"/>
    <w:rsid w:val="00007904"/>
    <w:rsid w:val="000109B4"/>
    <w:rsid w:val="00012A2F"/>
    <w:rsid w:val="00013C4F"/>
    <w:rsid w:val="00014437"/>
    <w:rsid w:val="00014770"/>
    <w:rsid w:val="000161E8"/>
    <w:rsid w:val="00016FDA"/>
    <w:rsid w:val="000172B5"/>
    <w:rsid w:val="000220C3"/>
    <w:rsid w:val="00022804"/>
    <w:rsid w:val="0002365D"/>
    <w:rsid w:val="000243CC"/>
    <w:rsid w:val="00027DA3"/>
    <w:rsid w:val="00030A25"/>
    <w:rsid w:val="00031E07"/>
    <w:rsid w:val="000323B0"/>
    <w:rsid w:val="00033C59"/>
    <w:rsid w:val="000341AF"/>
    <w:rsid w:val="00034B32"/>
    <w:rsid w:val="0003553E"/>
    <w:rsid w:val="0004040E"/>
    <w:rsid w:val="00040F79"/>
    <w:rsid w:val="00041538"/>
    <w:rsid w:val="000422CD"/>
    <w:rsid w:val="0004347D"/>
    <w:rsid w:val="0004373B"/>
    <w:rsid w:val="00044B50"/>
    <w:rsid w:val="0004501B"/>
    <w:rsid w:val="000451D0"/>
    <w:rsid w:val="00045D66"/>
    <w:rsid w:val="00045EA9"/>
    <w:rsid w:val="00047035"/>
    <w:rsid w:val="0004779D"/>
    <w:rsid w:val="000478E8"/>
    <w:rsid w:val="0005061D"/>
    <w:rsid w:val="00051AF2"/>
    <w:rsid w:val="00051F6C"/>
    <w:rsid w:val="000520FA"/>
    <w:rsid w:val="000536DD"/>
    <w:rsid w:val="00053D81"/>
    <w:rsid w:val="00054DEC"/>
    <w:rsid w:val="00055257"/>
    <w:rsid w:val="00055C33"/>
    <w:rsid w:val="00056042"/>
    <w:rsid w:val="00056FBA"/>
    <w:rsid w:val="000574BF"/>
    <w:rsid w:val="00063188"/>
    <w:rsid w:val="00063C6E"/>
    <w:rsid w:val="00063D5A"/>
    <w:rsid w:val="0006762A"/>
    <w:rsid w:val="0007050F"/>
    <w:rsid w:val="0007234C"/>
    <w:rsid w:val="000723E8"/>
    <w:rsid w:val="0007399B"/>
    <w:rsid w:val="00073EFC"/>
    <w:rsid w:val="00074403"/>
    <w:rsid w:val="00075260"/>
    <w:rsid w:val="000778A4"/>
    <w:rsid w:val="00080D4E"/>
    <w:rsid w:val="000815F5"/>
    <w:rsid w:val="00081E7D"/>
    <w:rsid w:val="00083322"/>
    <w:rsid w:val="00083386"/>
    <w:rsid w:val="000833DB"/>
    <w:rsid w:val="00084C6F"/>
    <w:rsid w:val="00085D53"/>
    <w:rsid w:val="00086278"/>
    <w:rsid w:val="00086A06"/>
    <w:rsid w:val="0008715C"/>
    <w:rsid w:val="0009015D"/>
    <w:rsid w:val="000904A2"/>
    <w:rsid w:val="000910CD"/>
    <w:rsid w:val="00091F8C"/>
    <w:rsid w:val="00092B84"/>
    <w:rsid w:val="00093584"/>
    <w:rsid w:val="0009497C"/>
    <w:rsid w:val="00096BC1"/>
    <w:rsid w:val="000976CA"/>
    <w:rsid w:val="000A22FD"/>
    <w:rsid w:val="000A39A5"/>
    <w:rsid w:val="000A59DC"/>
    <w:rsid w:val="000A69A9"/>
    <w:rsid w:val="000B0946"/>
    <w:rsid w:val="000B0DC8"/>
    <w:rsid w:val="000B26AE"/>
    <w:rsid w:val="000B26CF"/>
    <w:rsid w:val="000B2A62"/>
    <w:rsid w:val="000B5790"/>
    <w:rsid w:val="000B5FBC"/>
    <w:rsid w:val="000B6309"/>
    <w:rsid w:val="000B643B"/>
    <w:rsid w:val="000B690B"/>
    <w:rsid w:val="000B78EC"/>
    <w:rsid w:val="000C0413"/>
    <w:rsid w:val="000C2D21"/>
    <w:rsid w:val="000C3531"/>
    <w:rsid w:val="000C3620"/>
    <w:rsid w:val="000C39A5"/>
    <w:rsid w:val="000C3A6D"/>
    <w:rsid w:val="000C450C"/>
    <w:rsid w:val="000C599B"/>
    <w:rsid w:val="000C67E0"/>
    <w:rsid w:val="000C6DEC"/>
    <w:rsid w:val="000C6FB4"/>
    <w:rsid w:val="000C7746"/>
    <w:rsid w:val="000C7A27"/>
    <w:rsid w:val="000D085B"/>
    <w:rsid w:val="000D0D78"/>
    <w:rsid w:val="000D17EF"/>
    <w:rsid w:val="000D22FB"/>
    <w:rsid w:val="000D487F"/>
    <w:rsid w:val="000D4BFA"/>
    <w:rsid w:val="000D4C7F"/>
    <w:rsid w:val="000D667A"/>
    <w:rsid w:val="000E0256"/>
    <w:rsid w:val="000E1C45"/>
    <w:rsid w:val="000E2444"/>
    <w:rsid w:val="000E3A93"/>
    <w:rsid w:val="000E3E15"/>
    <w:rsid w:val="000E4F0D"/>
    <w:rsid w:val="000E5100"/>
    <w:rsid w:val="000E5EB4"/>
    <w:rsid w:val="000E781D"/>
    <w:rsid w:val="000E7982"/>
    <w:rsid w:val="000E7ECD"/>
    <w:rsid w:val="000F05E0"/>
    <w:rsid w:val="000F16BA"/>
    <w:rsid w:val="000F1A95"/>
    <w:rsid w:val="000F6BFE"/>
    <w:rsid w:val="000F7DF4"/>
    <w:rsid w:val="0010068E"/>
    <w:rsid w:val="00100F9A"/>
    <w:rsid w:val="0010218C"/>
    <w:rsid w:val="00102D5B"/>
    <w:rsid w:val="00102E8A"/>
    <w:rsid w:val="001044DB"/>
    <w:rsid w:val="00105EB6"/>
    <w:rsid w:val="0010622C"/>
    <w:rsid w:val="001078B5"/>
    <w:rsid w:val="00107A5F"/>
    <w:rsid w:val="00110063"/>
    <w:rsid w:val="0011026A"/>
    <w:rsid w:val="00110EF0"/>
    <w:rsid w:val="00111DBA"/>
    <w:rsid w:val="001124A5"/>
    <w:rsid w:val="001148E0"/>
    <w:rsid w:val="00116EB9"/>
    <w:rsid w:val="00117AEE"/>
    <w:rsid w:val="00120E93"/>
    <w:rsid w:val="001226DE"/>
    <w:rsid w:val="00122BFA"/>
    <w:rsid w:val="00123296"/>
    <w:rsid w:val="0012621C"/>
    <w:rsid w:val="00130228"/>
    <w:rsid w:val="00130D5C"/>
    <w:rsid w:val="00131984"/>
    <w:rsid w:val="00131A28"/>
    <w:rsid w:val="001337CC"/>
    <w:rsid w:val="00134276"/>
    <w:rsid w:val="00134C11"/>
    <w:rsid w:val="00134DA6"/>
    <w:rsid w:val="00135C81"/>
    <w:rsid w:val="00137E08"/>
    <w:rsid w:val="00142F79"/>
    <w:rsid w:val="001435EB"/>
    <w:rsid w:val="00144974"/>
    <w:rsid w:val="00146BA3"/>
    <w:rsid w:val="00150BBC"/>
    <w:rsid w:val="001517E0"/>
    <w:rsid w:val="001527A3"/>
    <w:rsid w:val="00153496"/>
    <w:rsid w:val="00157785"/>
    <w:rsid w:val="00157898"/>
    <w:rsid w:val="00157C19"/>
    <w:rsid w:val="00160E01"/>
    <w:rsid w:val="00160EBC"/>
    <w:rsid w:val="00160F29"/>
    <w:rsid w:val="00160F58"/>
    <w:rsid w:val="00162F7D"/>
    <w:rsid w:val="00163A58"/>
    <w:rsid w:val="0016477F"/>
    <w:rsid w:val="00164B7B"/>
    <w:rsid w:val="00164FAD"/>
    <w:rsid w:val="0016518A"/>
    <w:rsid w:val="00172B5C"/>
    <w:rsid w:val="00173547"/>
    <w:rsid w:val="00174B6D"/>
    <w:rsid w:val="00175B8F"/>
    <w:rsid w:val="0017614D"/>
    <w:rsid w:val="0018006A"/>
    <w:rsid w:val="00180F4E"/>
    <w:rsid w:val="00181923"/>
    <w:rsid w:val="00181B01"/>
    <w:rsid w:val="00181E7E"/>
    <w:rsid w:val="00182175"/>
    <w:rsid w:val="00184625"/>
    <w:rsid w:val="00186769"/>
    <w:rsid w:val="001870AF"/>
    <w:rsid w:val="00191768"/>
    <w:rsid w:val="00192869"/>
    <w:rsid w:val="0019290B"/>
    <w:rsid w:val="001943D2"/>
    <w:rsid w:val="001954F0"/>
    <w:rsid w:val="00195571"/>
    <w:rsid w:val="001955AB"/>
    <w:rsid w:val="00196536"/>
    <w:rsid w:val="00196742"/>
    <w:rsid w:val="001A035B"/>
    <w:rsid w:val="001A214C"/>
    <w:rsid w:val="001A4BE7"/>
    <w:rsid w:val="001A4F33"/>
    <w:rsid w:val="001B0D01"/>
    <w:rsid w:val="001B1D27"/>
    <w:rsid w:val="001B2578"/>
    <w:rsid w:val="001B2CEA"/>
    <w:rsid w:val="001B2FE4"/>
    <w:rsid w:val="001B4A72"/>
    <w:rsid w:val="001B505F"/>
    <w:rsid w:val="001B69E3"/>
    <w:rsid w:val="001B7729"/>
    <w:rsid w:val="001C04BC"/>
    <w:rsid w:val="001C1478"/>
    <w:rsid w:val="001C1B06"/>
    <w:rsid w:val="001C232A"/>
    <w:rsid w:val="001C24AF"/>
    <w:rsid w:val="001C2DD7"/>
    <w:rsid w:val="001C48A5"/>
    <w:rsid w:val="001C7061"/>
    <w:rsid w:val="001D0962"/>
    <w:rsid w:val="001D214B"/>
    <w:rsid w:val="001D4C5E"/>
    <w:rsid w:val="001D57CD"/>
    <w:rsid w:val="001D59B0"/>
    <w:rsid w:val="001D5A9D"/>
    <w:rsid w:val="001D5F83"/>
    <w:rsid w:val="001D61C8"/>
    <w:rsid w:val="001D65C0"/>
    <w:rsid w:val="001E0F36"/>
    <w:rsid w:val="001E1834"/>
    <w:rsid w:val="001E1B07"/>
    <w:rsid w:val="001E1E07"/>
    <w:rsid w:val="001E24E0"/>
    <w:rsid w:val="001E4824"/>
    <w:rsid w:val="001E640A"/>
    <w:rsid w:val="001E6A6E"/>
    <w:rsid w:val="001E701F"/>
    <w:rsid w:val="001E7844"/>
    <w:rsid w:val="001E78D5"/>
    <w:rsid w:val="001E7C8F"/>
    <w:rsid w:val="001F03A3"/>
    <w:rsid w:val="001F2276"/>
    <w:rsid w:val="001F335C"/>
    <w:rsid w:val="001F3A41"/>
    <w:rsid w:val="001F59AB"/>
    <w:rsid w:val="001F7EF5"/>
    <w:rsid w:val="00201DC6"/>
    <w:rsid w:val="00201F12"/>
    <w:rsid w:val="00201FFC"/>
    <w:rsid w:val="00203A46"/>
    <w:rsid w:val="0020533B"/>
    <w:rsid w:val="00206D6C"/>
    <w:rsid w:val="00207407"/>
    <w:rsid w:val="00207573"/>
    <w:rsid w:val="002115FE"/>
    <w:rsid w:val="00213565"/>
    <w:rsid w:val="0021430F"/>
    <w:rsid w:val="002154D2"/>
    <w:rsid w:val="00215EBC"/>
    <w:rsid w:val="0021730A"/>
    <w:rsid w:val="00217399"/>
    <w:rsid w:val="002203EC"/>
    <w:rsid w:val="00220833"/>
    <w:rsid w:val="00222031"/>
    <w:rsid w:val="00222854"/>
    <w:rsid w:val="00224363"/>
    <w:rsid w:val="0022594E"/>
    <w:rsid w:val="00226444"/>
    <w:rsid w:val="00226ADA"/>
    <w:rsid w:val="00227379"/>
    <w:rsid w:val="00227580"/>
    <w:rsid w:val="00230B10"/>
    <w:rsid w:val="00231325"/>
    <w:rsid w:val="002327AF"/>
    <w:rsid w:val="0023410F"/>
    <w:rsid w:val="00234A6A"/>
    <w:rsid w:val="0023677B"/>
    <w:rsid w:val="00236B9D"/>
    <w:rsid w:val="00237273"/>
    <w:rsid w:val="0023768E"/>
    <w:rsid w:val="002402F6"/>
    <w:rsid w:val="00244D9D"/>
    <w:rsid w:val="00245504"/>
    <w:rsid w:val="00245BEB"/>
    <w:rsid w:val="00246150"/>
    <w:rsid w:val="00247551"/>
    <w:rsid w:val="00250530"/>
    <w:rsid w:val="0025056A"/>
    <w:rsid w:val="00251ACD"/>
    <w:rsid w:val="0025292B"/>
    <w:rsid w:val="00252FC1"/>
    <w:rsid w:val="00253273"/>
    <w:rsid w:val="00253EFC"/>
    <w:rsid w:val="00256208"/>
    <w:rsid w:val="00256FCC"/>
    <w:rsid w:val="00257A15"/>
    <w:rsid w:val="002606D8"/>
    <w:rsid w:val="00260A94"/>
    <w:rsid w:val="00260B67"/>
    <w:rsid w:val="002612A5"/>
    <w:rsid w:val="00261583"/>
    <w:rsid w:val="0026158F"/>
    <w:rsid w:val="002617D8"/>
    <w:rsid w:val="00262C99"/>
    <w:rsid w:val="00262D2A"/>
    <w:rsid w:val="002635B7"/>
    <w:rsid w:val="00263B8D"/>
    <w:rsid w:val="0026458D"/>
    <w:rsid w:val="0026495C"/>
    <w:rsid w:val="00265010"/>
    <w:rsid w:val="00265074"/>
    <w:rsid w:val="00265180"/>
    <w:rsid w:val="00265AEB"/>
    <w:rsid w:val="00265C6D"/>
    <w:rsid w:val="0026634E"/>
    <w:rsid w:val="0026645C"/>
    <w:rsid w:val="002665C5"/>
    <w:rsid w:val="002705E9"/>
    <w:rsid w:val="00273903"/>
    <w:rsid w:val="00274C64"/>
    <w:rsid w:val="00275410"/>
    <w:rsid w:val="00275AA3"/>
    <w:rsid w:val="00276100"/>
    <w:rsid w:val="00277EB6"/>
    <w:rsid w:val="0028182D"/>
    <w:rsid w:val="00282064"/>
    <w:rsid w:val="002842CB"/>
    <w:rsid w:val="002852C4"/>
    <w:rsid w:val="00285664"/>
    <w:rsid w:val="00287A18"/>
    <w:rsid w:val="00287A26"/>
    <w:rsid w:val="00290DC6"/>
    <w:rsid w:val="00290E92"/>
    <w:rsid w:val="00292EC8"/>
    <w:rsid w:val="0029395B"/>
    <w:rsid w:val="00294129"/>
    <w:rsid w:val="00294313"/>
    <w:rsid w:val="002960D0"/>
    <w:rsid w:val="00297069"/>
    <w:rsid w:val="002A01B5"/>
    <w:rsid w:val="002A080F"/>
    <w:rsid w:val="002A0EB5"/>
    <w:rsid w:val="002A157A"/>
    <w:rsid w:val="002A1950"/>
    <w:rsid w:val="002A1D97"/>
    <w:rsid w:val="002A1E2F"/>
    <w:rsid w:val="002A21AF"/>
    <w:rsid w:val="002A2AA4"/>
    <w:rsid w:val="002A3836"/>
    <w:rsid w:val="002A3C5C"/>
    <w:rsid w:val="002A46C2"/>
    <w:rsid w:val="002A5305"/>
    <w:rsid w:val="002A61D9"/>
    <w:rsid w:val="002A6332"/>
    <w:rsid w:val="002A6593"/>
    <w:rsid w:val="002A6B82"/>
    <w:rsid w:val="002A73A7"/>
    <w:rsid w:val="002B0DEA"/>
    <w:rsid w:val="002B1390"/>
    <w:rsid w:val="002B2268"/>
    <w:rsid w:val="002B31B7"/>
    <w:rsid w:val="002B3FE3"/>
    <w:rsid w:val="002B54B7"/>
    <w:rsid w:val="002B57C1"/>
    <w:rsid w:val="002B6730"/>
    <w:rsid w:val="002B6A4D"/>
    <w:rsid w:val="002B7155"/>
    <w:rsid w:val="002B7874"/>
    <w:rsid w:val="002B7ABF"/>
    <w:rsid w:val="002C1ECF"/>
    <w:rsid w:val="002C1ED3"/>
    <w:rsid w:val="002C3A0D"/>
    <w:rsid w:val="002C45D8"/>
    <w:rsid w:val="002C5462"/>
    <w:rsid w:val="002C7128"/>
    <w:rsid w:val="002D20C4"/>
    <w:rsid w:val="002D2D96"/>
    <w:rsid w:val="002D4422"/>
    <w:rsid w:val="002D4CBC"/>
    <w:rsid w:val="002D6D70"/>
    <w:rsid w:val="002D7292"/>
    <w:rsid w:val="002E0CCA"/>
    <w:rsid w:val="002E0F57"/>
    <w:rsid w:val="002E13DD"/>
    <w:rsid w:val="002E141A"/>
    <w:rsid w:val="002E1B95"/>
    <w:rsid w:val="002E2705"/>
    <w:rsid w:val="002E3EC7"/>
    <w:rsid w:val="002E4808"/>
    <w:rsid w:val="002E483E"/>
    <w:rsid w:val="002E4D2C"/>
    <w:rsid w:val="002E6855"/>
    <w:rsid w:val="002E6D7C"/>
    <w:rsid w:val="002E7045"/>
    <w:rsid w:val="002E7199"/>
    <w:rsid w:val="002F0070"/>
    <w:rsid w:val="002F012F"/>
    <w:rsid w:val="002F0513"/>
    <w:rsid w:val="002F0990"/>
    <w:rsid w:val="002F0C58"/>
    <w:rsid w:val="002F13D1"/>
    <w:rsid w:val="002F37F8"/>
    <w:rsid w:val="002F4EDB"/>
    <w:rsid w:val="002F60D3"/>
    <w:rsid w:val="002F7574"/>
    <w:rsid w:val="003007A7"/>
    <w:rsid w:val="00300A59"/>
    <w:rsid w:val="00300E3D"/>
    <w:rsid w:val="00302077"/>
    <w:rsid w:val="0030214A"/>
    <w:rsid w:val="00302B1E"/>
    <w:rsid w:val="00302E78"/>
    <w:rsid w:val="003035F7"/>
    <w:rsid w:val="00304C45"/>
    <w:rsid w:val="00306288"/>
    <w:rsid w:val="0031225F"/>
    <w:rsid w:val="003140F9"/>
    <w:rsid w:val="003142B4"/>
    <w:rsid w:val="003148EA"/>
    <w:rsid w:val="003150CA"/>
    <w:rsid w:val="00315CB8"/>
    <w:rsid w:val="00315D8D"/>
    <w:rsid w:val="00315D99"/>
    <w:rsid w:val="003168ED"/>
    <w:rsid w:val="003172EB"/>
    <w:rsid w:val="00317AB4"/>
    <w:rsid w:val="00320522"/>
    <w:rsid w:val="00321663"/>
    <w:rsid w:val="00321E11"/>
    <w:rsid w:val="003228A7"/>
    <w:rsid w:val="00322AE3"/>
    <w:rsid w:val="00324CE8"/>
    <w:rsid w:val="00325BD4"/>
    <w:rsid w:val="00326A33"/>
    <w:rsid w:val="0032785C"/>
    <w:rsid w:val="00327E36"/>
    <w:rsid w:val="00327E53"/>
    <w:rsid w:val="00330795"/>
    <w:rsid w:val="00330E85"/>
    <w:rsid w:val="0033219D"/>
    <w:rsid w:val="00333BEA"/>
    <w:rsid w:val="00333F69"/>
    <w:rsid w:val="00334624"/>
    <w:rsid w:val="00335693"/>
    <w:rsid w:val="00335897"/>
    <w:rsid w:val="0033634C"/>
    <w:rsid w:val="0033669D"/>
    <w:rsid w:val="003367DD"/>
    <w:rsid w:val="00336F34"/>
    <w:rsid w:val="00337609"/>
    <w:rsid w:val="00337DFE"/>
    <w:rsid w:val="00341497"/>
    <w:rsid w:val="0034206E"/>
    <w:rsid w:val="00342F5F"/>
    <w:rsid w:val="00343B83"/>
    <w:rsid w:val="00343E5D"/>
    <w:rsid w:val="00343E84"/>
    <w:rsid w:val="0034439B"/>
    <w:rsid w:val="003455A7"/>
    <w:rsid w:val="003469BB"/>
    <w:rsid w:val="00350743"/>
    <w:rsid w:val="00350A47"/>
    <w:rsid w:val="003513CA"/>
    <w:rsid w:val="00351FAC"/>
    <w:rsid w:val="003529AF"/>
    <w:rsid w:val="00352B6B"/>
    <w:rsid w:val="00353652"/>
    <w:rsid w:val="0035432E"/>
    <w:rsid w:val="003564CA"/>
    <w:rsid w:val="0035756C"/>
    <w:rsid w:val="00357751"/>
    <w:rsid w:val="003601F1"/>
    <w:rsid w:val="00360BFC"/>
    <w:rsid w:val="00362A40"/>
    <w:rsid w:val="00363BF3"/>
    <w:rsid w:val="00364660"/>
    <w:rsid w:val="003649E8"/>
    <w:rsid w:val="00366631"/>
    <w:rsid w:val="003679D5"/>
    <w:rsid w:val="00367B79"/>
    <w:rsid w:val="003700BB"/>
    <w:rsid w:val="0037015D"/>
    <w:rsid w:val="0037217E"/>
    <w:rsid w:val="003738E5"/>
    <w:rsid w:val="00373BB6"/>
    <w:rsid w:val="00374F02"/>
    <w:rsid w:val="00375614"/>
    <w:rsid w:val="00377FFD"/>
    <w:rsid w:val="00380E60"/>
    <w:rsid w:val="00381483"/>
    <w:rsid w:val="00381C36"/>
    <w:rsid w:val="00381D62"/>
    <w:rsid w:val="00382ADF"/>
    <w:rsid w:val="00384B9F"/>
    <w:rsid w:val="00384C87"/>
    <w:rsid w:val="003859D7"/>
    <w:rsid w:val="003869D5"/>
    <w:rsid w:val="003905B9"/>
    <w:rsid w:val="003914E2"/>
    <w:rsid w:val="00391FFC"/>
    <w:rsid w:val="0039206E"/>
    <w:rsid w:val="00392A4B"/>
    <w:rsid w:val="00392AA2"/>
    <w:rsid w:val="00393BA3"/>
    <w:rsid w:val="0039527F"/>
    <w:rsid w:val="003959AA"/>
    <w:rsid w:val="00395A71"/>
    <w:rsid w:val="0039682A"/>
    <w:rsid w:val="003A37F4"/>
    <w:rsid w:val="003A4F1D"/>
    <w:rsid w:val="003A4F95"/>
    <w:rsid w:val="003A567D"/>
    <w:rsid w:val="003A6F71"/>
    <w:rsid w:val="003A745C"/>
    <w:rsid w:val="003A7AA6"/>
    <w:rsid w:val="003A7BAA"/>
    <w:rsid w:val="003B01D4"/>
    <w:rsid w:val="003B036C"/>
    <w:rsid w:val="003B10EC"/>
    <w:rsid w:val="003B1570"/>
    <w:rsid w:val="003B15C9"/>
    <w:rsid w:val="003B21BF"/>
    <w:rsid w:val="003B3C31"/>
    <w:rsid w:val="003B43B8"/>
    <w:rsid w:val="003B5522"/>
    <w:rsid w:val="003B5E5D"/>
    <w:rsid w:val="003B5FEE"/>
    <w:rsid w:val="003B76D9"/>
    <w:rsid w:val="003C0CEB"/>
    <w:rsid w:val="003C1215"/>
    <w:rsid w:val="003C351A"/>
    <w:rsid w:val="003C3BC6"/>
    <w:rsid w:val="003C54AA"/>
    <w:rsid w:val="003C5934"/>
    <w:rsid w:val="003C7080"/>
    <w:rsid w:val="003D11D0"/>
    <w:rsid w:val="003D146E"/>
    <w:rsid w:val="003D1525"/>
    <w:rsid w:val="003D239A"/>
    <w:rsid w:val="003D2C74"/>
    <w:rsid w:val="003D5245"/>
    <w:rsid w:val="003D5507"/>
    <w:rsid w:val="003D5A10"/>
    <w:rsid w:val="003D5E6D"/>
    <w:rsid w:val="003D7CB9"/>
    <w:rsid w:val="003E0F3C"/>
    <w:rsid w:val="003E0F7C"/>
    <w:rsid w:val="003E1A50"/>
    <w:rsid w:val="003E2B73"/>
    <w:rsid w:val="003E2F03"/>
    <w:rsid w:val="003E3BBF"/>
    <w:rsid w:val="003E424A"/>
    <w:rsid w:val="003E45F7"/>
    <w:rsid w:val="003E4702"/>
    <w:rsid w:val="003E6B39"/>
    <w:rsid w:val="003E75F3"/>
    <w:rsid w:val="003F0D9E"/>
    <w:rsid w:val="003F12A3"/>
    <w:rsid w:val="003F1974"/>
    <w:rsid w:val="003F2109"/>
    <w:rsid w:val="003F2790"/>
    <w:rsid w:val="003F34A6"/>
    <w:rsid w:val="003F3C4F"/>
    <w:rsid w:val="003F41EF"/>
    <w:rsid w:val="003F50FF"/>
    <w:rsid w:val="003F5900"/>
    <w:rsid w:val="003F6355"/>
    <w:rsid w:val="00400266"/>
    <w:rsid w:val="004006D3"/>
    <w:rsid w:val="00401A9A"/>
    <w:rsid w:val="00402EEA"/>
    <w:rsid w:val="00404201"/>
    <w:rsid w:val="00405B2D"/>
    <w:rsid w:val="00405B9B"/>
    <w:rsid w:val="00405CEF"/>
    <w:rsid w:val="00406282"/>
    <w:rsid w:val="00406337"/>
    <w:rsid w:val="00406A00"/>
    <w:rsid w:val="004074B3"/>
    <w:rsid w:val="004075EA"/>
    <w:rsid w:val="00410C82"/>
    <w:rsid w:val="0041108E"/>
    <w:rsid w:val="00412658"/>
    <w:rsid w:val="004128F9"/>
    <w:rsid w:val="00412DF2"/>
    <w:rsid w:val="004138F5"/>
    <w:rsid w:val="00413D22"/>
    <w:rsid w:val="00414C90"/>
    <w:rsid w:val="004165B0"/>
    <w:rsid w:val="004165D6"/>
    <w:rsid w:val="00416BE1"/>
    <w:rsid w:val="00417973"/>
    <w:rsid w:val="0042163E"/>
    <w:rsid w:val="00422122"/>
    <w:rsid w:val="00423163"/>
    <w:rsid w:val="004244A5"/>
    <w:rsid w:val="00425685"/>
    <w:rsid w:val="00427318"/>
    <w:rsid w:val="004276CD"/>
    <w:rsid w:val="0042778E"/>
    <w:rsid w:val="00427843"/>
    <w:rsid w:val="00427A35"/>
    <w:rsid w:val="00430097"/>
    <w:rsid w:val="004302B6"/>
    <w:rsid w:val="0043230A"/>
    <w:rsid w:val="0043511C"/>
    <w:rsid w:val="00435538"/>
    <w:rsid w:val="00437E88"/>
    <w:rsid w:val="00440672"/>
    <w:rsid w:val="00440EDE"/>
    <w:rsid w:val="00441E70"/>
    <w:rsid w:val="00443779"/>
    <w:rsid w:val="00443CCC"/>
    <w:rsid w:val="004441E4"/>
    <w:rsid w:val="00444369"/>
    <w:rsid w:val="0044453B"/>
    <w:rsid w:val="004448E8"/>
    <w:rsid w:val="00446D82"/>
    <w:rsid w:val="004474FB"/>
    <w:rsid w:val="00447553"/>
    <w:rsid w:val="004528CC"/>
    <w:rsid w:val="004529C3"/>
    <w:rsid w:val="00453339"/>
    <w:rsid w:val="00454149"/>
    <w:rsid w:val="0045608B"/>
    <w:rsid w:val="00456A36"/>
    <w:rsid w:val="00456D53"/>
    <w:rsid w:val="00461504"/>
    <w:rsid w:val="00461701"/>
    <w:rsid w:val="0046403F"/>
    <w:rsid w:val="004652FD"/>
    <w:rsid w:val="004657F4"/>
    <w:rsid w:val="00466979"/>
    <w:rsid w:val="00466D17"/>
    <w:rsid w:val="00467E20"/>
    <w:rsid w:val="0047134D"/>
    <w:rsid w:val="00472A4C"/>
    <w:rsid w:val="00472B05"/>
    <w:rsid w:val="00472E85"/>
    <w:rsid w:val="00473068"/>
    <w:rsid w:val="004735D5"/>
    <w:rsid w:val="004741DE"/>
    <w:rsid w:val="0047556B"/>
    <w:rsid w:val="00475C2D"/>
    <w:rsid w:val="00477226"/>
    <w:rsid w:val="00480590"/>
    <w:rsid w:val="004813E8"/>
    <w:rsid w:val="004827F3"/>
    <w:rsid w:val="004829F2"/>
    <w:rsid w:val="00486114"/>
    <w:rsid w:val="004863E4"/>
    <w:rsid w:val="00486BC6"/>
    <w:rsid w:val="00487264"/>
    <w:rsid w:val="00487715"/>
    <w:rsid w:val="00490CDC"/>
    <w:rsid w:val="00490D2A"/>
    <w:rsid w:val="0049105D"/>
    <w:rsid w:val="004918C4"/>
    <w:rsid w:val="004932A2"/>
    <w:rsid w:val="00494ED1"/>
    <w:rsid w:val="00495D95"/>
    <w:rsid w:val="00496E8C"/>
    <w:rsid w:val="00496EAA"/>
    <w:rsid w:val="004A00B9"/>
    <w:rsid w:val="004A02BC"/>
    <w:rsid w:val="004A08D7"/>
    <w:rsid w:val="004A0E54"/>
    <w:rsid w:val="004A4C80"/>
    <w:rsid w:val="004A5151"/>
    <w:rsid w:val="004A5DB1"/>
    <w:rsid w:val="004A6745"/>
    <w:rsid w:val="004A687F"/>
    <w:rsid w:val="004A7359"/>
    <w:rsid w:val="004B124D"/>
    <w:rsid w:val="004B3161"/>
    <w:rsid w:val="004B4230"/>
    <w:rsid w:val="004B5BAF"/>
    <w:rsid w:val="004B5CB4"/>
    <w:rsid w:val="004B632A"/>
    <w:rsid w:val="004B7E82"/>
    <w:rsid w:val="004C06AD"/>
    <w:rsid w:val="004C0946"/>
    <w:rsid w:val="004C0C08"/>
    <w:rsid w:val="004C13CF"/>
    <w:rsid w:val="004C6B9D"/>
    <w:rsid w:val="004C7C7E"/>
    <w:rsid w:val="004C7EB2"/>
    <w:rsid w:val="004D0163"/>
    <w:rsid w:val="004D0AC5"/>
    <w:rsid w:val="004D19EB"/>
    <w:rsid w:val="004D1AAF"/>
    <w:rsid w:val="004D3210"/>
    <w:rsid w:val="004D35C6"/>
    <w:rsid w:val="004E06B4"/>
    <w:rsid w:val="004E189A"/>
    <w:rsid w:val="004E1A28"/>
    <w:rsid w:val="004E2076"/>
    <w:rsid w:val="004E2F8E"/>
    <w:rsid w:val="004E318F"/>
    <w:rsid w:val="004E5A0A"/>
    <w:rsid w:val="004E6694"/>
    <w:rsid w:val="004E6764"/>
    <w:rsid w:val="004E6E20"/>
    <w:rsid w:val="004E76BC"/>
    <w:rsid w:val="004E791F"/>
    <w:rsid w:val="004F021C"/>
    <w:rsid w:val="004F1757"/>
    <w:rsid w:val="004F1D20"/>
    <w:rsid w:val="004F326C"/>
    <w:rsid w:val="004F38A6"/>
    <w:rsid w:val="004F3F3E"/>
    <w:rsid w:val="004F444A"/>
    <w:rsid w:val="004F5575"/>
    <w:rsid w:val="004F55ED"/>
    <w:rsid w:val="004F79D9"/>
    <w:rsid w:val="00500FC1"/>
    <w:rsid w:val="005014BC"/>
    <w:rsid w:val="00501617"/>
    <w:rsid w:val="00502229"/>
    <w:rsid w:val="005022F3"/>
    <w:rsid w:val="005030DE"/>
    <w:rsid w:val="00504BCF"/>
    <w:rsid w:val="005056C1"/>
    <w:rsid w:val="0050634D"/>
    <w:rsid w:val="005078B2"/>
    <w:rsid w:val="005079C1"/>
    <w:rsid w:val="00507BBF"/>
    <w:rsid w:val="00510153"/>
    <w:rsid w:val="00511260"/>
    <w:rsid w:val="00511565"/>
    <w:rsid w:val="0051172C"/>
    <w:rsid w:val="00511D5A"/>
    <w:rsid w:val="0051380C"/>
    <w:rsid w:val="00514878"/>
    <w:rsid w:val="00515C52"/>
    <w:rsid w:val="0051674B"/>
    <w:rsid w:val="0051706E"/>
    <w:rsid w:val="00517CF3"/>
    <w:rsid w:val="00520E7F"/>
    <w:rsid w:val="00521389"/>
    <w:rsid w:val="00523DBC"/>
    <w:rsid w:val="005244E9"/>
    <w:rsid w:val="0052574F"/>
    <w:rsid w:val="00525DF3"/>
    <w:rsid w:val="00527DB8"/>
    <w:rsid w:val="00530003"/>
    <w:rsid w:val="00530509"/>
    <w:rsid w:val="00532080"/>
    <w:rsid w:val="00532409"/>
    <w:rsid w:val="005363AC"/>
    <w:rsid w:val="00545009"/>
    <w:rsid w:val="00545140"/>
    <w:rsid w:val="00545668"/>
    <w:rsid w:val="00550204"/>
    <w:rsid w:val="0055098F"/>
    <w:rsid w:val="005517B9"/>
    <w:rsid w:val="0055282D"/>
    <w:rsid w:val="00553E7D"/>
    <w:rsid w:val="005542BD"/>
    <w:rsid w:val="005547EA"/>
    <w:rsid w:val="00556489"/>
    <w:rsid w:val="00556EDA"/>
    <w:rsid w:val="00556FC7"/>
    <w:rsid w:val="005573D6"/>
    <w:rsid w:val="0056029F"/>
    <w:rsid w:val="00560779"/>
    <w:rsid w:val="00563784"/>
    <w:rsid w:val="00563CE1"/>
    <w:rsid w:val="0056509F"/>
    <w:rsid w:val="00565326"/>
    <w:rsid w:val="005660EE"/>
    <w:rsid w:val="0056637F"/>
    <w:rsid w:val="0056765C"/>
    <w:rsid w:val="005703D6"/>
    <w:rsid w:val="00570A0D"/>
    <w:rsid w:val="005741BF"/>
    <w:rsid w:val="005754FC"/>
    <w:rsid w:val="00575F9C"/>
    <w:rsid w:val="00576979"/>
    <w:rsid w:val="00577D50"/>
    <w:rsid w:val="00580D85"/>
    <w:rsid w:val="005813AC"/>
    <w:rsid w:val="00582985"/>
    <w:rsid w:val="0058354A"/>
    <w:rsid w:val="0058491A"/>
    <w:rsid w:val="00584BA7"/>
    <w:rsid w:val="0058542B"/>
    <w:rsid w:val="00586CFB"/>
    <w:rsid w:val="00587D29"/>
    <w:rsid w:val="00591072"/>
    <w:rsid w:val="00592D7A"/>
    <w:rsid w:val="0059332D"/>
    <w:rsid w:val="005934B8"/>
    <w:rsid w:val="00594C9D"/>
    <w:rsid w:val="00595C65"/>
    <w:rsid w:val="005964E5"/>
    <w:rsid w:val="00596992"/>
    <w:rsid w:val="005969E2"/>
    <w:rsid w:val="00597705"/>
    <w:rsid w:val="005A2449"/>
    <w:rsid w:val="005A2C73"/>
    <w:rsid w:val="005A36AF"/>
    <w:rsid w:val="005A3E4D"/>
    <w:rsid w:val="005A4FC0"/>
    <w:rsid w:val="005A65B7"/>
    <w:rsid w:val="005A6FF5"/>
    <w:rsid w:val="005A71F7"/>
    <w:rsid w:val="005B0623"/>
    <w:rsid w:val="005B1333"/>
    <w:rsid w:val="005B14E5"/>
    <w:rsid w:val="005B1872"/>
    <w:rsid w:val="005B649F"/>
    <w:rsid w:val="005B67C5"/>
    <w:rsid w:val="005B7922"/>
    <w:rsid w:val="005B7CEE"/>
    <w:rsid w:val="005C1439"/>
    <w:rsid w:val="005C15DC"/>
    <w:rsid w:val="005C1DEC"/>
    <w:rsid w:val="005C28AE"/>
    <w:rsid w:val="005C2D11"/>
    <w:rsid w:val="005C36E4"/>
    <w:rsid w:val="005C406C"/>
    <w:rsid w:val="005C4FDA"/>
    <w:rsid w:val="005C582D"/>
    <w:rsid w:val="005C5C47"/>
    <w:rsid w:val="005C6A41"/>
    <w:rsid w:val="005D0320"/>
    <w:rsid w:val="005D0B78"/>
    <w:rsid w:val="005D1026"/>
    <w:rsid w:val="005D25D6"/>
    <w:rsid w:val="005D3407"/>
    <w:rsid w:val="005D3941"/>
    <w:rsid w:val="005D411A"/>
    <w:rsid w:val="005D47C3"/>
    <w:rsid w:val="005D5E9D"/>
    <w:rsid w:val="005D6BF3"/>
    <w:rsid w:val="005D6D77"/>
    <w:rsid w:val="005E22F9"/>
    <w:rsid w:val="005E2529"/>
    <w:rsid w:val="005E2F30"/>
    <w:rsid w:val="005E3541"/>
    <w:rsid w:val="005E411E"/>
    <w:rsid w:val="005E560B"/>
    <w:rsid w:val="005E601A"/>
    <w:rsid w:val="005F03D5"/>
    <w:rsid w:val="005F04A5"/>
    <w:rsid w:val="005F158C"/>
    <w:rsid w:val="005F236B"/>
    <w:rsid w:val="005F5D90"/>
    <w:rsid w:val="005F6D85"/>
    <w:rsid w:val="005F77BC"/>
    <w:rsid w:val="00600269"/>
    <w:rsid w:val="0060045E"/>
    <w:rsid w:val="00600BDC"/>
    <w:rsid w:val="0060138F"/>
    <w:rsid w:val="0060391E"/>
    <w:rsid w:val="0060443D"/>
    <w:rsid w:val="0060486E"/>
    <w:rsid w:val="006062FB"/>
    <w:rsid w:val="00606867"/>
    <w:rsid w:val="00607419"/>
    <w:rsid w:val="006101AF"/>
    <w:rsid w:val="00612393"/>
    <w:rsid w:val="00612ACF"/>
    <w:rsid w:val="00613E36"/>
    <w:rsid w:val="00614A7A"/>
    <w:rsid w:val="0061651B"/>
    <w:rsid w:val="00616B35"/>
    <w:rsid w:val="00617A30"/>
    <w:rsid w:val="00617F99"/>
    <w:rsid w:val="006215E6"/>
    <w:rsid w:val="0062175A"/>
    <w:rsid w:val="00621B4B"/>
    <w:rsid w:val="006232F1"/>
    <w:rsid w:val="006233F2"/>
    <w:rsid w:val="00623DDE"/>
    <w:rsid w:val="00624695"/>
    <w:rsid w:val="006249C3"/>
    <w:rsid w:val="00624C27"/>
    <w:rsid w:val="00625992"/>
    <w:rsid w:val="00625B16"/>
    <w:rsid w:val="00625D2D"/>
    <w:rsid w:val="006271A4"/>
    <w:rsid w:val="00630138"/>
    <w:rsid w:val="006313FC"/>
    <w:rsid w:val="006318D3"/>
    <w:rsid w:val="00632122"/>
    <w:rsid w:val="006332F2"/>
    <w:rsid w:val="00634AA2"/>
    <w:rsid w:val="00634B17"/>
    <w:rsid w:val="00635D75"/>
    <w:rsid w:val="00635F99"/>
    <w:rsid w:val="00637A17"/>
    <w:rsid w:val="00641035"/>
    <w:rsid w:val="00641661"/>
    <w:rsid w:val="00641A2E"/>
    <w:rsid w:val="00644B6F"/>
    <w:rsid w:val="00644FB0"/>
    <w:rsid w:val="0064767D"/>
    <w:rsid w:val="006476E6"/>
    <w:rsid w:val="00650EE2"/>
    <w:rsid w:val="006511A4"/>
    <w:rsid w:val="006513E2"/>
    <w:rsid w:val="00651916"/>
    <w:rsid w:val="00651DE7"/>
    <w:rsid w:val="006531C9"/>
    <w:rsid w:val="006535E1"/>
    <w:rsid w:val="0065497E"/>
    <w:rsid w:val="00654EFA"/>
    <w:rsid w:val="0065507F"/>
    <w:rsid w:val="0066025E"/>
    <w:rsid w:val="00661C65"/>
    <w:rsid w:val="00661D64"/>
    <w:rsid w:val="00662682"/>
    <w:rsid w:val="006639A0"/>
    <w:rsid w:val="00663D7F"/>
    <w:rsid w:val="00664CD0"/>
    <w:rsid w:val="00665D94"/>
    <w:rsid w:val="006668FE"/>
    <w:rsid w:val="00667591"/>
    <w:rsid w:val="0066769F"/>
    <w:rsid w:val="006678AE"/>
    <w:rsid w:val="00667F9F"/>
    <w:rsid w:val="006710E7"/>
    <w:rsid w:val="00671A0B"/>
    <w:rsid w:val="0067210D"/>
    <w:rsid w:val="006733D9"/>
    <w:rsid w:val="00675C81"/>
    <w:rsid w:val="0068034D"/>
    <w:rsid w:val="00681152"/>
    <w:rsid w:val="00682987"/>
    <w:rsid w:val="00682CE5"/>
    <w:rsid w:val="006832EA"/>
    <w:rsid w:val="00683821"/>
    <w:rsid w:val="00683D2C"/>
    <w:rsid w:val="006841DC"/>
    <w:rsid w:val="0068468E"/>
    <w:rsid w:val="00685C68"/>
    <w:rsid w:val="00685DAD"/>
    <w:rsid w:val="00685E2A"/>
    <w:rsid w:val="0068615D"/>
    <w:rsid w:val="0068675A"/>
    <w:rsid w:val="00690810"/>
    <w:rsid w:val="0069106B"/>
    <w:rsid w:val="00691AF2"/>
    <w:rsid w:val="00691CB2"/>
    <w:rsid w:val="00691FE8"/>
    <w:rsid w:val="00694527"/>
    <w:rsid w:val="0069550C"/>
    <w:rsid w:val="00696D2F"/>
    <w:rsid w:val="00697465"/>
    <w:rsid w:val="00697EB1"/>
    <w:rsid w:val="006A079F"/>
    <w:rsid w:val="006A2310"/>
    <w:rsid w:val="006A2706"/>
    <w:rsid w:val="006A367E"/>
    <w:rsid w:val="006A498B"/>
    <w:rsid w:val="006A60BB"/>
    <w:rsid w:val="006A7DA6"/>
    <w:rsid w:val="006B150C"/>
    <w:rsid w:val="006B1DCE"/>
    <w:rsid w:val="006B2A93"/>
    <w:rsid w:val="006B42B2"/>
    <w:rsid w:val="006B56E8"/>
    <w:rsid w:val="006B6180"/>
    <w:rsid w:val="006B692B"/>
    <w:rsid w:val="006B6D27"/>
    <w:rsid w:val="006C0D75"/>
    <w:rsid w:val="006C1045"/>
    <w:rsid w:val="006C1733"/>
    <w:rsid w:val="006C177A"/>
    <w:rsid w:val="006C1B13"/>
    <w:rsid w:val="006C32C4"/>
    <w:rsid w:val="006D067F"/>
    <w:rsid w:val="006D07FB"/>
    <w:rsid w:val="006D2F71"/>
    <w:rsid w:val="006D3159"/>
    <w:rsid w:val="006D57CB"/>
    <w:rsid w:val="006D5A67"/>
    <w:rsid w:val="006D6D14"/>
    <w:rsid w:val="006D762E"/>
    <w:rsid w:val="006D7DFD"/>
    <w:rsid w:val="006E0983"/>
    <w:rsid w:val="006E16D1"/>
    <w:rsid w:val="006E2B6D"/>
    <w:rsid w:val="006E3C88"/>
    <w:rsid w:val="006E4C1C"/>
    <w:rsid w:val="006E5C79"/>
    <w:rsid w:val="006F027C"/>
    <w:rsid w:val="006F09D8"/>
    <w:rsid w:val="006F0EA2"/>
    <w:rsid w:val="006F1624"/>
    <w:rsid w:val="006F3052"/>
    <w:rsid w:val="006F31BD"/>
    <w:rsid w:val="006F3259"/>
    <w:rsid w:val="006F3C00"/>
    <w:rsid w:val="006F3F69"/>
    <w:rsid w:val="006F42AC"/>
    <w:rsid w:val="006F5D4A"/>
    <w:rsid w:val="006F7054"/>
    <w:rsid w:val="006F78DB"/>
    <w:rsid w:val="00702C42"/>
    <w:rsid w:val="00704A2E"/>
    <w:rsid w:val="007057AB"/>
    <w:rsid w:val="00705F57"/>
    <w:rsid w:val="00707343"/>
    <w:rsid w:val="007073FB"/>
    <w:rsid w:val="0071087E"/>
    <w:rsid w:val="00710C28"/>
    <w:rsid w:val="00711778"/>
    <w:rsid w:val="00711C08"/>
    <w:rsid w:val="00711CC1"/>
    <w:rsid w:val="00712ED3"/>
    <w:rsid w:val="00714697"/>
    <w:rsid w:val="00714C9E"/>
    <w:rsid w:val="00715651"/>
    <w:rsid w:val="00715804"/>
    <w:rsid w:val="00715A14"/>
    <w:rsid w:val="00717573"/>
    <w:rsid w:val="00717903"/>
    <w:rsid w:val="00717B10"/>
    <w:rsid w:val="00721ACF"/>
    <w:rsid w:val="00721F80"/>
    <w:rsid w:val="00724B29"/>
    <w:rsid w:val="00727A78"/>
    <w:rsid w:val="0073060A"/>
    <w:rsid w:val="00730A5A"/>
    <w:rsid w:val="00731207"/>
    <w:rsid w:val="0073191F"/>
    <w:rsid w:val="00734430"/>
    <w:rsid w:val="00734A05"/>
    <w:rsid w:val="00734C55"/>
    <w:rsid w:val="00734DBB"/>
    <w:rsid w:val="00736346"/>
    <w:rsid w:val="007376C2"/>
    <w:rsid w:val="0074053C"/>
    <w:rsid w:val="007413AE"/>
    <w:rsid w:val="00741589"/>
    <w:rsid w:val="00743D4D"/>
    <w:rsid w:val="00743EB1"/>
    <w:rsid w:val="007443BD"/>
    <w:rsid w:val="0074485F"/>
    <w:rsid w:val="007451A8"/>
    <w:rsid w:val="0074527C"/>
    <w:rsid w:val="00745BF2"/>
    <w:rsid w:val="00745C94"/>
    <w:rsid w:val="00745E2B"/>
    <w:rsid w:val="00746757"/>
    <w:rsid w:val="00751ADD"/>
    <w:rsid w:val="007520F6"/>
    <w:rsid w:val="00752FF5"/>
    <w:rsid w:val="007532C0"/>
    <w:rsid w:val="0075434E"/>
    <w:rsid w:val="00756020"/>
    <w:rsid w:val="00756098"/>
    <w:rsid w:val="00757F3C"/>
    <w:rsid w:val="00761FC6"/>
    <w:rsid w:val="007631E0"/>
    <w:rsid w:val="00763628"/>
    <w:rsid w:val="00763BF3"/>
    <w:rsid w:val="00764DCE"/>
    <w:rsid w:val="00764F87"/>
    <w:rsid w:val="00766E11"/>
    <w:rsid w:val="00767A6B"/>
    <w:rsid w:val="00767DDB"/>
    <w:rsid w:val="00771094"/>
    <w:rsid w:val="00771421"/>
    <w:rsid w:val="00772E4B"/>
    <w:rsid w:val="007744D5"/>
    <w:rsid w:val="0077459E"/>
    <w:rsid w:val="00775448"/>
    <w:rsid w:val="0077676B"/>
    <w:rsid w:val="0078014A"/>
    <w:rsid w:val="00782782"/>
    <w:rsid w:val="007841E0"/>
    <w:rsid w:val="007863FC"/>
    <w:rsid w:val="007866DC"/>
    <w:rsid w:val="00791465"/>
    <w:rsid w:val="0079276A"/>
    <w:rsid w:val="00794AA8"/>
    <w:rsid w:val="00796986"/>
    <w:rsid w:val="00796F39"/>
    <w:rsid w:val="00796F7A"/>
    <w:rsid w:val="00797A49"/>
    <w:rsid w:val="00797E4E"/>
    <w:rsid w:val="007A1488"/>
    <w:rsid w:val="007A1A81"/>
    <w:rsid w:val="007A2884"/>
    <w:rsid w:val="007A3705"/>
    <w:rsid w:val="007A39B0"/>
    <w:rsid w:val="007A4C61"/>
    <w:rsid w:val="007A769F"/>
    <w:rsid w:val="007A7AD5"/>
    <w:rsid w:val="007A7BBE"/>
    <w:rsid w:val="007B196E"/>
    <w:rsid w:val="007B1F09"/>
    <w:rsid w:val="007B3B30"/>
    <w:rsid w:val="007B3EA7"/>
    <w:rsid w:val="007B4059"/>
    <w:rsid w:val="007B566C"/>
    <w:rsid w:val="007B686F"/>
    <w:rsid w:val="007B6CEF"/>
    <w:rsid w:val="007C17AD"/>
    <w:rsid w:val="007C247A"/>
    <w:rsid w:val="007C4731"/>
    <w:rsid w:val="007C546A"/>
    <w:rsid w:val="007C65F3"/>
    <w:rsid w:val="007D0644"/>
    <w:rsid w:val="007D0A2D"/>
    <w:rsid w:val="007D19A5"/>
    <w:rsid w:val="007D3ACE"/>
    <w:rsid w:val="007D64EC"/>
    <w:rsid w:val="007D7A96"/>
    <w:rsid w:val="007E040A"/>
    <w:rsid w:val="007E05A2"/>
    <w:rsid w:val="007E1089"/>
    <w:rsid w:val="007E11A7"/>
    <w:rsid w:val="007E1B26"/>
    <w:rsid w:val="007E1F8D"/>
    <w:rsid w:val="007E58D1"/>
    <w:rsid w:val="007E5E24"/>
    <w:rsid w:val="007F0F84"/>
    <w:rsid w:val="007F1E72"/>
    <w:rsid w:val="007F268A"/>
    <w:rsid w:val="007F2C37"/>
    <w:rsid w:val="007F4798"/>
    <w:rsid w:val="007F597F"/>
    <w:rsid w:val="007F5DE4"/>
    <w:rsid w:val="007F68C4"/>
    <w:rsid w:val="00800438"/>
    <w:rsid w:val="008019A5"/>
    <w:rsid w:val="008020C2"/>
    <w:rsid w:val="008020CD"/>
    <w:rsid w:val="00803543"/>
    <w:rsid w:val="00806AFC"/>
    <w:rsid w:val="00810336"/>
    <w:rsid w:val="0081156D"/>
    <w:rsid w:val="00811B30"/>
    <w:rsid w:val="00812D95"/>
    <w:rsid w:val="00813448"/>
    <w:rsid w:val="00814EDE"/>
    <w:rsid w:val="0081612B"/>
    <w:rsid w:val="00816ED1"/>
    <w:rsid w:val="00820823"/>
    <w:rsid w:val="008216D9"/>
    <w:rsid w:val="00821D82"/>
    <w:rsid w:val="008230F2"/>
    <w:rsid w:val="00823442"/>
    <w:rsid w:val="00823CFE"/>
    <w:rsid w:val="008242ED"/>
    <w:rsid w:val="00824FF2"/>
    <w:rsid w:val="008276BB"/>
    <w:rsid w:val="00830F6A"/>
    <w:rsid w:val="00832AD6"/>
    <w:rsid w:val="00832BB0"/>
    <w:rsid w:val="00832EA6"/>
    <w:rsid w:val="00832FD6"/>
    <w:rsid w:val="0083336E"/>
    <w:rsid w:val="00834066"/>
    <w:rsid w:val="008343B4"/>
    <w:rsid w:val="00837310"/>
    <w:rsid w:val="00837B9A"/>
    <w:rsid w:val="00837E1F"/>
    <w:rsid w:val="008405CE"/>
    <w:rsid w:val="008405CF"/>
    <w:rsid w:val="0084081B"/>
    <w:rsid w:val="00841241"/>
    <w:rsid w:val="00841726"/>
    <w:rsid w:val="008417D1"/>
    <w:rsid w:val="00842052"/>
    <w:rsid w:val="008426AA"/>
    <w:rsid w:val="0084295A"/>
    <w:rsid w:val="0084393F"/>
    <w:rsid w:val="00846269"/>
    <w:rsid w:val="00851511"/>
    <w:rsid w:val="008536CA"/>
    <w:rsid w:val="008547C2"/>
    <w:rsid w:val="00854A89"/>
    <w:rsid w:val="00854DAC"/>
    <w:rsid w:val="00855355"/>
    <w:rsid w:val="008557C2"/>
    <w:rsid w:val="00855F97"/>
    <w:rsid w:val="008566EC"/>
    <w:rsid w:val="008579B6"/>
    <w:rsid w:val="0086080D"/>
    <w:rsid w:val="00861853"/>
    <w:rsid w:val="0086273D"/>
    <w:rsid w:val="008634DE"/>
    <w:rsid w:val="00864350"/>
    <w:rsid w:val="008647BD"/>
    <w:rsid w:val="00864943"/>
    <w:rsid w:val="008665C4"/>
    <w:rsid w:val="0086751C"/>
    <w:rsid w:val="008677E3"/>
    <w:rsid w:val="00870B41"/>
    <w:rsid w:val="0087195C"/>
    <w:rsid w:val="00873896"/>
    <w:rsid w:val="00873C6E"/>
    <w:rsid w:val="00873EB9"/>
    <w:rsid w:val="0087530A"/>
    <w:rsid w:val="00875D5A"/>
    <w:rsid w:val="00875F1E"/>
    <w:rsid w:val="00876123"/>
    <w:rsid w:val="0087770D"/>
    <w:rsid w:val="00880351"/>
    <w:rsid w:val="0088070D"/>
    <w:rsid w:val="0088086C"/>
    <w:rsid w:val="0088182F"/>
    <w:rsid w:val="008825BB"/>
    <w:rsid w:val="00882735"/>
    <w:rsid w:val="0088275A"/>
    <w:rsid w:val="00882EFE"/>
    <w:rsid w:val="00885C05"/>
    <w:rsid w:val="00885F6F"/>
    <w:rsid w:val="00886FED"/>
    <w:rsid w:val="00890F28"/>
    <w:rsid w:val="00891C7D"/>
    <w:rsid w:val="00892541"/>
    <w:rsid w:val="0089372D"/>
    <w:rsid w:val="00893E14"/>
    <w:rsid w:val="00894E7B"/>
    <w:rsid w:val="0089533C"/>
    <w:rsid w:val="00895554"/>
    <w:rsid w:val="008957A8"/>
    <w:rsid w:val="00895A54"/>
    <w:rsid w:val="00896B6A"/>
    <w:rsid w:val="008A0454"/>
    <w:rsid w:val="008A1381"/>
    <w:rsid w:val="008A1A60"/>
    <w:rsid w:val="008A3B56"/>
    <w:rsid w:val="008A3BBF"/>
    <w:rsid w:val="008A4281"/>
    <w:rsid w:val="008A537D"/>
    <w:rsid w:val="008A70B8"/>
    <w:rsid w:val="008A7240"/>
    <w:rsid w:val="008A75F3"/>
    <w:rsid w:val="008A7BFC"/>
    <w:rsid w:val="008A7CF7"/>
    <w:rsid w:val="008A7FAD"/>
    <w:rsid w:val="008B0A53"/>
    <w:rsid w:val="008B100F"/>
    <w:rsid w:val="008B1DA6"/>
    <w:rsid w:val="008B2C97"/>
    <w:rsid w:val="008B3660"/>
    <w:rsid w:val="008C210D"/>
    <w:rsid w:val="008C3E59"/>
    <w:rsid w:val="008C480D"/>
    <w:rsid w:val="008C4C45"/>
    <w:rsid w:val="008C651B"/>
    <w:rsid w:val="008C6E31"/>
    <w:rsid w:val="008C7138"/>
    <w:rsid w:val="008D136B"/>
    <w:rsid w:val="008D1F83"/>
    <w:rsid w:val="008D2564"/>
    <w:rsid w:val="008D3C26"/>
    <w:rsid w:val="008D3CE7"/>
    <w:rsid w:val="008D6E8B"/>
    <w:rsid w:val="008E1626"/>
    <w:rsid w:val="008E18D0"/>
    <w:rsid w:val="008E270C"/>
    <w:rsid w:val="008E51D4"/>
    <w:rsid w:val="008E66F8"/>
    <w:rsid w:val="008E74EF"/>
    <w:rsid w:val="008E7904"/>
    <w:rsid w:val="008E7EFA"/>
    <w:rsid w:val="008F051D"/>
    <w:rsid w:val="008F0DD8"/>
    <w:rsid w:val="008F0FC5"/>
    <w:rsid w:val="008F0FD2"/>
    <w:rsid w:val="008F17A3"/>
    <w:rsid w:val="008F4376"/>
    <w:rsid w:val="008F59AF"/>
    <w:rsid w:val="008F5B07"/>
    <w:rsid w:val="008F5E59"/>
    <w:rsid w:val="008F61FC"/>
    <w:rsid w:val="008F74A5"/>
    <w:rsid w:val="00901474"/>
    <w:rsid w:val="009014FD"/>
    <w:rsid w:val="00902AA7"/>
    <w:rsid w:val="00902C55"/>
    <w:rsid w:val="00903496"/>
    <w:rsid w:val="00903A37"/>
    <w:rsid w:val="00903CF4"/>
    <w:rsid w:val="009041F8"/>
    <w:rsid w:val="00904D53"/>
    <w:rsid w:val="00905C49"/>
    <w:rsid w:val="00906C53"/>
    <w:rsid w:val="00906F12"/>
    <w:rsid w:val="0090737A"/>
    <w:rsid w:val="00907E2C"/>
    <w:rsid w:val="009118D6"/>
    <w:rsid w:val="0091491D"/>
    <w:rsid w:val="0091517B"/>
    <w:rsid w:val="00917061"/>
    <w:rsid w:val="00921597"/>
    <w:rsid w:val="00921696"/>
    <w:rsid w:val="0092525C"/>
    <w:rsid w:val="009257EE"/>
    <w:rsid w:val="009262E3"/>
    <w:rsid w:val="00927E7F"/>
    <w:rsid w:val="009300E6"/>
    <w:rsid w:val="00931856"/>
    <w:rsid w:val="00931957"/>
    <w:rsid w:val="00932259"/>
    <w:rsid w:val="0093440F"/>
    <w:rsid w:val="00937B2D"/>
    <w:rsid w:val="00937F6E"/>
    <w:rsid w:val="00940225"/>
    <w:rsid w:val="00941EB2"/>
    <w:rsid w:val="009429D4"/>
    <w:rsid w:val="0094300A"/>
    <w:rsid w:val="00943021"/>
    <w:rsid w:val="009433F4"/>
    <w:rsid w:val="00943D4D"/>
    <w:rsid w:val="00944464"/>
    <w:rsid w:val="00944E53"/>
    <w:rsid w:val="00945BC4"/>
    <w:rsid w:val="009503FE"/>
    <w:rsid w:val="00952753"/>
    <w:rsid w:val="0095291D"/>
    <w:rsid w:val="00954778"/>
    <w:rsid w:val="00956013"/>
    <w:rsid w:val="0095687B"/>
    <w:rsid w:val="00957730"/>
    <w:rsid w:val="00960BA8"/>
    <w:rsid w:val="00960CBE"/>
    <w:rsid w:val="00960CDB"/>
    <w:rsid w:val="00962601"/>
    <w:rsid w:val="00962E0E"/>
    <w:rsid w:val="00964882"/>
    <w:rsid w:val="009648F1"/>
    <w:rsid w:val="00964C44"/>
    <w:rsid w:val="00964DFA"/>
    <w:rsid w:val="0096634B"/>
    <w:rsid w:val="00966B45"/>
    <w:rsid w:val="0097136D"/>
    <w:rsid w:val="00971D2F"/>
    <w:rsid w:val="009722AD"/>
    <w:rsid w:val="009737E6"/>
    <w:rsid w:val="00973801"/>
    <w:rsid w:val="0097492C"/>
    <w:rsid w:val="00974E2D"/>
    <w:rsid w:val="00975DB5"/>
    <w:rsid w:val="00976DCD"/>
    <w:rsid w:val="00976F0D"/>
    <w:rsid w:val="0097797A"/>
    <w:rsid w:val="0098066C"/>
    <w:rsid w:val="00981292"/>
    <w:rsid w:val="009812F2"/>
    <w:rsid w:val="009814B0"/>
    <w:rsid w:val="00981871"/>
    <w:rsid w:val="009832D3"/>
    <w:rsid w:val="00984181"/>
    <w:rsid w:val="0098571F"/>
    <w:rsid w:val="00987780"/>
    <w:rsid w:val="0099005D"/>
    <w:rsid w:val="00992504"/>
    <w:rsid w:val="00992B0D"/>
    <w:rsid w:val="009946AA"/>
    <w:rsid w:val="009949C6"/>
    <w:rsid w:val="009965F7"/>
    <w:rsid w:val="009969E0"/>
    <w:rsid w:val="00996B5C"/>
    <w:rsid w:val="00996F3E"/>
    <w:rsid w:val="00997884"/>
    <w:rsid w:val="009A0545"/>
    <w:rsid w:val="009A0B4E"/>
    <w:rsid w:val="009A1EC2"/>
    <w:rsid w:val="009A2220"/>
    <w:rsid w:val="009A336F"/>
    <w:rsid w:val="009A36AF"/>
    <w:rsid w:val="009A3E97"/>
    <w:rsid w:val="009A3FD1"/>
    <w:rsid w:val="009A591E"/>
    <w:rsid w:val="009A77E7"/>
    <w:rsid w:val="009B1B5C"/>
    <w:rsid w:val="009B306D"/>
    <w:rsid w:val="009B4E1F"/>
    <w:rsid w:val="009B5983"/>
    <w:rsid w:val="009B7B65"/>
    <w:rsid w:val="009C0049"/>
    <w:rsid w:val="009C052D"/>
    <w:rsid w:val="009C09A0"/>
    <w:rsid w:val="009C0F7C"/>
    <w:rsid w:val="009C2135"/>
    <w:rsid w:val="009C323D"/>
    <w:rsid w:val="009C36F1"/>
    <w:rsid w:val="009C3B51"/>
    <w:rsid w:val="009C3E3C"/>
    <w:rsid w:val="009C4E0E"/>
    <w:rsid w:val="009C4F54"/>
    <w:rsid w:val="009C5271"/>
    <w:rsid w:val="009C63A4"/>
    <w:rsid w:val="009C63D5"/>
    <w:rsid w:val="009C6B5F"/>
    <w:rsid w:val="009C787C"/>
    <w:rsid w:val="009C7FC6"/>
    <w:rsid w:val="009D00D9"/>
    <w:rsid w:val="009D161A"/>
    <w:rsid w:val="009D1693"/>
    <w:rsid w:val="009D1BCC"/>
    <w:rsid w:val="009D3D26"/>
    <w:rsid w:val="009D46C5"/>
    <w:rsid w:val="009D4AB7"/>
    <w:rsid w:val="009D5302"/>
    <w:rsid w:val="009D62F3"/>
    <w:rsid w:val="009D754F"/>
    <w:rsid w:val="009D7597"/>
    <w:rsid w:val="009E0C8B"/>
    <w:rsid w:val="009E133D"/>
    <w:rsid w:val="009E139B"/>
    <w:rsid w:val="009E1896"/>
    <w:rsid w:val="009E1980"/>
    <w:rsid w:val="009E1ACC"/>
    <w:rsid w:val="009E20B0"/>
    <w:rsid w:val="009E2833"/>
    <w:rsid w:val="009E2BB3"/>
    <w:rsid w:val="009E325E"/>
    <w:rsid w:val="009E3484"/>
    <w:rsid w:val="009E569F"/>
    <w:rsid w:val="009E5FDA"/>
    <w:rsid w:val="009E646F"/>
    <w:rsid w:val="009E6554"/>
    <w:rsid w:val="009E776E"/>
    <w:rsid w:val="009F11E8"/>
    <w:rsid w:val="009F1760"/>
    <w:rsid w:val="009F2047"/>
    <w:rsid w:val="009F4396"/>
    <w:rsid w:val="009F5BAA"/>
    <w:rsid w:val="009F5BFC"/>
    <w:rsid w:val="009F5D93"/>
    <w:rsid w:val="009F6F14"/>
    <w:rsid w:val="009F7433"/>
    <w:rsid w:val="00A00F3C"/>
    <w:rsid w:val="00A0144A"/>
    <w:rsid w:val="00A01C19"/>
    <w:rsid w:val="00A02844"/>
    <w:rsid w:val="00A034F2"/>
    <w:rsid w:val="00A03E67"/>
    <w:rsid w:val="00A042CC"/>
    <w:rsid w:val="00A05071"/>
    <w:rsid w:val="00A06BF5"/>
    <w:rsid w:val="00A07157"/>
    <w:rsid w:val="00A076B8"/>
    <w:rsid w:val="00A07E9C"/>
    <w:rsid w:val="00A11066"/>
    <w:rsid w:val="00A11444"/>
    <w:rsid w:val="00A1196D"/>
    <w:rsid w:val="00A11A36"/>
    <w:rsid w:val="00A11B5F"/>
    <w:rsid w:val="00A122F8"/>
    <w:rsid w:val="00A1243E"/>
    <w:rsid w:val="00A12914"/>
    <w:rsid w:val="00A12EEB"/>
    <w:rsid w:val="00A14173"/>
    <w:rsid w:val="00A167B8"/>
    <w:rsid w:val="00A17060"/>
    <w:rsid w:val="00A17ED7"/>
    <w:rsid w:val="00A20492"/>
    <w:rsid w:val="00A2185E"/>
    <w:rsid w:val="00A21919"/>
    <w:rsid w:val="00A26381"/>
    <w:rsid w:val="00A2657F"/>
    <w:rsid w:val="00A31C08"/>
    <w:rsid w:val="00A32889"/>
    <w:rsid w:val="00A331C2"/>
    <w:rsid w:val="00A34948"/>
    <w:rsid w:val="00A363B2"/>
    <w:rsid w:val="00A36A40"/>
    <w:rsid w:val="00A36D42"/>
    <w:rsid w:val="00A414A1"/>
    <w:rsid w:val="00A41BC0"/>
    <w:rsid w:val="00A42893"/>
    <w:rsid w:val="00A42906"/>
    <w:rsid w:val="00A43E5D"/>
    <w:rsid w:val="00A45490"/>
    <w:rsid w:val="00A4689D"/>
    <w:rsid w:val="00A46E6A"/>
    <w:rsid w:val="00A4723D"/>
    <w:rsid w:val="00A47250"/>
    <w:rsid w:val="00A5180C"/>
    <w:rsid w:val="00A51A24"/>
    <w:rsid w:val="00A521EE"/>
    <w:rsid w:val="00A53F4F"/>
    <w:rsid w:val="00A5427C"/>
    <w:rsid w:val="00A57BBF"/>
    <w:rsid w:val="00A603C3"/>
    <w:rsid w:val="00A61267"/>
    <w:rsid w:val="00A63829"/>
    <w:rsid w:val="00A64250"/>
    <w:rsid w:val="00A64CAF"/>
    <w:rsid w:val="00A64FD8"/>
    <w:rsid w:val="00A6550F"/>
    <w:rsid w:val="00A6688F"/>
    <w:rsid w:val="00A67C97"/>
    <w:rsid w:val="00A711F9"/>
    <w:rsid w:val="00A71783"/>
    <w:rsid w:val="00A719FE"/>
    <w:rsid w:val="00A74937"/>
    <w:rsid w:val="00A75B8E"/>
    <w:rsid w:val="00A80111"/>
    <w:rsid w:val="00A81379"/>
    <w:rsid w:val="00A81DF8"/>
    <w:rsid w:val="00A82B55"/>
    <w:rsid w:val="00A82BF6"/>
    <w:rsid w:val="00A83F39"/>
    <w:rsid w:val="00A84210"/>
    <w:rsid w:val="00A853CC"/>
    <w:rsid w:val="00A85465"/>
    <w:rsid w:val="00A866AE"/>
    <w:rsid w:val="00A86933"/>
    <w:rsid w:val="00A878A5"/>
    <w:rsid w:val="00A87D38"/>
    <w:rsid w:val="00A92225"/>
    <w:rsid w:val="00A9381F"/>
    <w:rsid w:val="00A94E60"/>
    <w:rsid w:val="00A958D5"/>
    <w:rsid w:val="00A95B9A"/>
    <w:rsid w:val="00A95C76"/>
    <w:rsid w:val="00A95CB4"/>
    <w:rsid w:val="00A976E6"/>
    <w:rsid w:val="00AA00D8"/>
    <w:rsid w:val="00AA02DF"/>
    <w:rsid w:val="00AA0B5D"/>
    <w:rsid w:val="00AA20EC"/>
    <w:rsid w:val="00AA32DA"/>
    <w:rsid w:val="00AA3C62"/>
    <w:rsid w:val="00AA45A4"/>
    <w:rsid w:val="00AA4712"/>
    <w:rsid w:val="00AA4FAB"/>
    <w:rsid w:val="00AA65F4"/>
    <w:rsid w:val="00AA7A71"/>
    <w:rsid w:val="00AB01B3"/>
    <w:rsid w:val="00AB1B2B"/>
    <w:rsid w:val="00AB43EE"/>
    <w:rsid w:val="00AB4F07"/>
    <w:rsid w:val="00AB5121"/>
    <w:rsid w:val="00AB51EA"/>
    <w:rsid w:val="00AB6822"/>
    <w:rsid w:val="00AB6F0C"/>
    <w:rsid w:val="00AB73F3"/>
    <w:rsid w:val="00AC1EC5"/>
    <w:rsid w:val="00AC2076"/>
    <w:rsid w:val="00AC322C"/>
    <w:rsid w:val="00AC4658"/>
    <w:rsid w:val="00AC4AC4"/>
    <w:rsid w:val="00AC4B01"/>
    <w:rsid w:val="00AC5BBA"/>
    <w:rsid w:val="00AC7F40"/>
    <w:rsid w:val="00AC7FDF"/>
    <w:rsid w:val="00AD0544"/>
    <w:rsid w:val="00AD061A"/>
    <w:rsid w:val="00AD1247"/>
    <w:rsid w:val="00AD1C15"/>
    <w:rsid w:val="00AD35F0"/>
    <w:rsid w:val="00AD5D92"/>
    <w:rsid w:val="00AD662B"/>
    <w:rsid w:val="00AD6B3C"/>
    <w:rsid w:val="00AE099A"/>
    <w:rsid w:val="00AE0D35"/>
    <w:rsid w:val="00AE0E91"/>
    <w:rsid w:val="00AE0ECF"/>
    <w:rsid w:val="00AE154F"/>
    <w:rsid w:val="00AE18E1"/>
    <w:rsid w:val="00AE1EE1"/>
    <w:rsid w:val="00AE207E"/>
    <w:rsid w:val="00AE2782"/>
    <w:rsid w:val="00AE2C20"/>
    <w:rsid w:val="00AE3DAE"/>
    <w:rsid w:val="00AE412E"/>
    <w:rsid w:val="00AE4248"/>
    <w:rsid w:val="00AE5E46"/>
    <w:rsid w:val="00AF05EC"/>
    <w:rsid w:val="00AF252E"/>
    <w:rsid w:val="00AF2AE0"/>
    <w:rsid w:val="00AF34E5"/>
    <w:rsid w:val="00AF399D"/>
    <w:rsid w:val="00AF3D6B"/>
    <w:rsid w:val="00AF4917"/>
    <w:rsid w:val="00AF4DC9"/>
    <w:rsid w:val="00AF6292"/>
    <w:rsid w:val="00AF680F"/>
    <w:rsid w:val="00AF6DF0"/>
    <w:rsid w:val="00B00514"/>
    <w:rsid w:val="00B00575"/>
    <w:rsid w:val="00B00C04"/>
    <w:rsid w:val="00B01C2D"/>
    <w:rsid w:val="00B01FAF"/>
    <w:rsid w:val="00B04260"/>
    <w:rsid w:val="00B04A4E"/>
    <w:rsid w:val="00B0511A"/>
    <w:rsid w:val="00B05D39"/>
    <w:rsid w:val="00B100BE"/>
    <w:rsid w:val="00B10D56"/>
    <w:rsid w:val="00B11284"/>
    <w:rsid w:val="00B11B3F"/>
    <w:rsid w:val="00B11F80"/>
    <w:rsid w:val="00B1302E"/>
    <w:rsid w:val="00B13486"/>
    <w:rsid w:val="00B13A6B"/>
    <w:rsid w:val="00B14F80"/>
    <w:rsid w:val="00B14FF9"/>
    <w:rsid w:val="00B15D9A"/>
    <w:rsid w:val="00B160F4"/>
    <w:rsid w:val="00B1673B"/>
    <w:rsid w:val="00B1684F"/>
    <w:rsid w:val="00B1722F"/>
    <w:rsid w:val="00B17CCB"/>
    <w:rsid w:val="00B207AC"/>
    <w:rsid w:val="00B20D36"/>
    <w:rsid w:val="00B21512"/>
    <w:rsid w:val="00B21FA2"/>
    <w:rsid w:val="00B235FF"/>
    <w:rsid w:val="00B24486"/>
    <w:rsid w:val="00B24846"/>
    <w:rsid w:val="00B26963"/>
    <w:rsid w:val="00B26AA4"/>
    <w:rsid w:val="00B27ED2"/>
    <w:rsid w:val="00B30BDA"/>
    <w:rsid w:val="00B30C98"/>
    <w:rsid w:val="00B32AE8"/>
    <w:rsid w:val="00B3323A"/>
    <w:rsid w:val="00B34ECD"/>
    <w:rsid w:val="00B35DC5"/>
    <w:rsid w:val="00B36696"/>
    <w:rsid w:val="00B40CA6"/>
    <w:rsid w:val="00B418D6"/>
    <w:rsid w:val="00B41FB6"/>
    <w:rsid w:val="00B42594"/>
    <w:rsid w:val="00B446F9"/>
    <w:rsid w:val="00B46ADF"/>
    <w:rsid w:val="00B500CB"/>
    <w:rsid w:val="00B50382"/>
    <w:rsid w:val="00B512A3"/>
    <w:rsid w:val="00B51F04"/>
    <w:rsid w:val="00B53331"/>
    <w:rsid w:val="00B54958"/>
    <w:rsid w:val="00B55313"/>
    <w:rsid w:val="00B559B2"/>
    <w:rsid w:val="00B56321"/>
    <w:rsid w:val="00B565D4"/>
    <w:rsid w:val="00B56BAF"/>
    <w:rsid w:val="00B56D13"/>
    <w:rsid w:val="00B56D2F"/>
    <w:rsid w:val="00B56DA8"/>
    <w:rsid w:val="00B57BF8"/>
    <w:rsid w:val="00B60E51"/>
    <w:rsid w:val="00B61677"/>
    <w:rsid w:val="00B6170E"/>
    <w:rsid w:val="00B62B58"/>
    <w:rsid w:val="00B63F7F"/>
    <w:rsid w:val="00B6537F"/>
    <w:rsid w:val="00B65433"/>
    <w:rsid w:val="00B65A2F"/>
    <w:rsid w:val="00B65D0C"/>
    <w:rsid w:val="00B65DEE"/>
    <w:rsid w:val="00B66D95"/>
    <w:rsid w:val="00B673D7"/>
    <w:rsid w:val="00B71571"/>
    <w:rsid w:val="00B715B1"/>
    <w:rsid w:val="00B75C4F"/>
    <w:rsid w:val="00B7619E"/>
    <w:rsid w:val="00B77677"/>
    <w:rsid w:val="00B77BF3"/>
    <w:rsid w:val="00B81698"/>
    <w:rsid w:val="00B83257"/>
    <w:rsid w:val="00B8381D"/>
    <w:rsid w:val="00B84964"/>
    <w:rsid w:val="00B849F3"/>
    <w:rsid w:val="00B85F87"/>
    <w:rsid w:val="00B86B4C"/>
    <w:rsid w:val="00B875D5"/>
    <w:rsid w:val="00B9092D"/>
    <w:rsid w:val="00B91527"/>
    <w:rsid w:val="00B91E6E"/>
    <w:rsid w:val="00B92470"/>
    <w:rsid w:val="00B92584"/>
    <w:rsid w:val="00B929D1"/>
    <w:rsid w:val="00B935F3"/>
    <w:rsid w:val="00B93AC6"/>
    <w:rsid w:val="00B94527"/>
    <w:rsid w:val="00B95349"/>
    <w:rsid w:val="00B955C0"/>
    <w:rsid w:val="00B95B9C"/>
    <w:rsid w:val="00B961E2"/>
    <w:rsid w:val="00B96D1A"/>
    <w:rsid w:val="00B97608"/>
    <w:rsid w:val="00B97770"/>
    <w:rsid w:val="00BA0067"/>
    <w:rsid w:val="00BA03D9"/>
    <w:rsid w:val="00BA0F9A"/>
    <w:rsid w:val="00BA2179"/>
    <w:rsid w:val="00BA3220"/>
    <w:rsid w:val="00BA55BB"/>
    <w:rsid w:val="00BA65AC"/>
    <w:rsid w:val="00BB0F68"/>
    <w:rsid w:val="00BB2985"/>
    <w:rsid w:val="00BB4314"/>
    <w:rsid w:val="00BC0822"/>
    <w:rsid w:val="00BC0A20"/>
    <w:rsid w:val="00BC21A0"/>
    <w:rsid w:val="00BC2587"/>
    <w:rsid w:val="00BC4EF3"/>
    <w:rsid w:val="00BC70EE"/>
    <w:rsid w:val="00BC76F8"/>
    <w:rsid w:val="00BC77C0"/>
    <w:rsid w:val="00BD0B25"/>
    <w:rsid w:val="00BD0D0E"/>
    <w:rsid w:val="00BD234D"/>
    <w:rsid w:val="00BD2561"/>
    <w:rsid w:val="00BD2E09"/>
    <w:rsid w:val="00BD5DCD"/>
    <w:rsid w:val="00BD616D"/>
    <w:rsid w:val="00BD6C4D"/>
    <w:rsid w:val="00BE0997"/>
    <w:rsid w:val="00BE1907"/>
    <w:rsid w:val="00BE1A97"/>
    <w:rsid w:val="00BE3AF3"/>
    <w:rsid w:val="00BE485B"/>
    <w:rsid w:val="00BE6A74"/>
    <w:rsid w:val="00BE7D08"/>
    <w:rsid w:val="00BF01E2"/>
    <w:rsid w:val="00BF0840"/>
    <w:rsid w:val="00BF0DFF"/>
    <w:rsid w:val="00BF22B8"/>
    <w:rsid w:val="00BF2603"/>
    <w:rsid w:val="00BF377F"/>
    <w:rsid w:val="00BF51CE"/>
    <w:rsid w:val="00BF5E37"/>
    <w:rsid w:val="00BF6541"/>
    <w:rsid w:val="00BF736D"/>
    <w:rsid w:val="00C01A0D"/>
    <w:rsid w:val="00C028D9"/>
    <w:rsid w:val="00C036E4"/>
    <w:rsid w:val="00C038B8"/>
    <w:rsid w:val="00C03B35"/>
    <w:rsid w:val="00C04436"/>
    <w:rsid w:val="00C04802"/>
    <w:rsid w:val="00C06574"/>
    <w:rsid w:val="00C06F31"/>
    <w:rsid w:val="00C07262"/>
    <w:rsid w:val="00C07A22"/>
    <w:rsid w:val="00C11EE9"/>
    <w:rsid w:val="00C12B8C"/>
    <w:rsid w:val="00C147FC"/>
    <w:rsid w:val="00C155D9"/>
    <w:rsid w:val="00C155E2"/>
    <w:rsid w:val="00C15958"/>
    <w:rsid w:val="00C2211D"/>
    <w:rsid w:val="00C22C9E"/>
    <w:rsid w:val="00C2344F"/>
    <w:rsid w:val="00C245F9"/>
    <w:rsid w:val="00C246F2"/>
    <w:rsid w:val="00C26707"/>
    <w:rsid w:val="00C27719"/>
    <w:rsid w:val="00C27877"/>
    <w:rsid w:val="00C31BCD"/>
    <w:rsid w:val="00C320EB"/>
    <w:rsid w:val="00C32799"/>
    <w:rsid w:val="00C32F7B"/>
    <w:rsid w:val="00C33845"/>
    <w:rsid w:val="00C34E6D"/>
    <w:rsid w:val="00C3513F"/>
    <w:rsid w:val="00C355AA"/>
    <w:rsid w:val="00C36223"/>
    <w:rsid w:val="00C40725"/>
    <w:rsid w:val="00C4207E"/>
    <w:rsid w:val="00C44B3D"/>
    <w:rsid w:val="00C451A3"/>
    <w:rsid w:val="00C451AE"/>
    <w:rsid w:val="00C4577E"/>
    <w:rsid w:val="00C50C8F"/>
    <w:rsid w:val="00C50D41"/>
    <w:rsid w:val="00C51156"/>
    <w:rsid w:val="00C53FD7"/>
    <w:rsid w:val="00C55C61"/>
    <w:rsid w:val="00C57047"/>
    <w:rsid w:val="00C60BE2"/>
    <w:rsid w:val="00C6277C"/>
    <w:rsid w:val="00C64F44"/>
    <w:rsid w:val="00C650ED"/>
    <w:rsid w:val="00C65132"/>
    <w:rsid w:val="00C65F6A"/>
    <w:rsid w:val="00C67F3E"/>
    <w:rsid w:val="00C70CD5"/>
    <w:rsid w:val="00C7194E"/>
    <w:rsid w:val="00C7216F"/>
    <w:rsid w:val="00C730E4"/>
    <w:rsid w:val="00C73BB8"/>
    <w:rsid w:val="00C74CC5"/>
    <w:rsid w:val="00C755E9"/>
    <w:rsid w:val="00C76B48"/>
    <w:rsid w:val="00C76CC4"/>
    <w:rsid w:val="00C77815"/>
    <w:rsid w:val="00C81100"/>
    <w:rsid w:val="00C8111D"/>
    <w:rsid w:val="00C823C5"/>
    <w:rsid w:val="00C82CD1"/>
    <w:rsid w:val="00C82D42"/>
    <w:rsid w:val="00C8322A"/>
    <w:rsid w:val="00C83583"/>
    <w:rsid w:val="00C83ECC"/>
    <w:rsid w:val="00C84682"/>
    <w:rsid w:val="00C84B12"/>
    <w:rsid w:val="00C85239"/>
    <w:rsid w:val="00C86017"/>
    <w:rsid w:val="00C86679"/>
    <w:rsid w:val="00C869BC"/>
    <w:rsid w:val="00C8737E"/>
    <w:rsid w:val="00C90444"/>
    <w:rsid w:val="00C9243B"/>
    <w:rsid w:val="00C95011"/>
    <w:rsid w:val="00C953C0"/>
    <w:rsid w:val="00C9541F"/>
    <w:rsid w:val="00C96881"/>
    <w:rsid w:val="00C96E5A"/>
    <w:rsid w:val="00C97ACC"/>
    <w:rsid w:val="00CA056D"/>
    <w:rsid w:val="00CA1338"/>
    <w:rsid w:val="00CA181F"/>
    <w:rsid w:val="00CA22C7"/>
    <w:rsid w:val="00CA26CB"/>
    <w:rsid w:val="00CA2A54"/>
    <w:rsid w:val="00CA3219"/>
    <w:rsid w:val="00CA519C"/>
    <w:rsid w:val="00CB01EB"/>
    <w:rsid w:val="00CB0DFA"/>
    <w:rsid w:val="00CB250C"/>
    <w:rsid w:val="00CB34D5"/>
    <w:rsid w:val="00CB352B"/>
    <w:rsid w:val="00CB4285"/>
    <w:rsid w:val="00CB6CB0"/>
    <w:rsid w:val="00CC06B8"/>
    <w:rsid w:val="00CC1252"/>
    <w:rsid w:val="00CC134C"/>
    <w:rsid w:val="00CC36F9"/>
    <w:rsid w:val="00CC39C5"/>
    <w:rsid w:val="00CC3E8F"/>
    <w:rsid w:val="00CD0BA2"/>
    <w:rsid w:val="00CD18DE"/>
    <w:rsid w:val="00CD27CC"/>
    <w:rsid w:val="00CD2E30"/>
    <w:rsid w:val="00CD515A"/>
    <w:rsid w:val="00CD55A2"/>
    <w:rsid w:val="00CD5B58"/>
    <w:rsid w:val="00CD6256"/>
    <w:rsid w:val="00CD643B"/>
    <w:rsid w:val="00CD7B7F"/>
    <w:rsid w:val="00CD7EA0"/>
    <w:rsid w:val="00CE0D42"/>
    <w:rsid w:val="00CE19D1"/>
    <w:rsid w:val="00CE23EF"/>
    <w:rsid w:val="00CE6197"/>
    <w:rsid w:val="00CE6490"/>
    <w:rsid w:val="00CE6BEE"/>
    <w:rsid w:val="00CE702E"/>
    <w:rsid w:val="00CE7723"/>
    <w:rsid w:val="00CF088A"/>
    <w:rsid w:val="00CF1AEC"/>
    <w:rsid w:val="00CF38F2"/>
    <w:rsid w:val="00CF43ED"/>
    <w:rsid w:val="00CF4C36"/>
    <w:rsid w:val="00CF5CD7"/>
    <w:rsid w:val="00CF79DF"/>
    <w:rsid w:val="00D00702"/>
    <w:rsid w:val="00D0110B"/>
    <w:rsid w:val="00D01E61"/>
    <w:rsid w:val="00D02296"/>
    <w:rsid w:val="00D02B99"/>
    <w:rsid w:val="00D0306C"/>
    <w:rsid w:val="00D034FA"/>
    <w:rsid w:val="00D04FFC"/>
    <w:rsid w:val="00D05957"/>
    <w:rsid w:val="00D06027"/>
    <w:rsid w:val="00D0751A"/>
    <w:rsid w:val="00D078F8"/>
    <w:rsid w:val="00D07D25"/>
    <w:rsid w:val="00D110F0"/>
    <w:rsid w:val="00D116BA"/>
    <w:rsid w:val="00D12852"/>
    <w:rsid w:val="00D13010"/>
    <w:rsid w:val="00D133F0"/>
    <w:rsid w:val="00D13F8E"/>
    <w:rsid w:val="00D143ED"/>
    <w:rsid w:val="00D14C65"/>
    <w:rsid w:val="00D14F2A"/>
    <w:rsid w:val="00D16AE4"/>
    <w:rsid w:val="00D16C5A"/>
    <w:rsid w:val="00D16DAA"/>
    <w:rsid w:val="00D17A06"/>
    <w:rsid w:val="00D17E12"/>
    <w:rsid w:val="00D20F59"/>
    <w:rsid w:val="00D21766"/>
    <w:rsid w:val="00D21B84"/>
    <w:rsid w:val="00D22983"/>
    <w:rsid w:val="00D25359"/>
    <w:rsid w:val="00D25E7D"/>
    <w:rsid w:val="00D261EA"/>
    <w:rsid w:val="00D26D6A"/>
    <w:rsid w:val="00D27732"/>
    <w:rsid w:val="00D27842"/>
    <w:rsid w:val="00D30628"/>
    <w:rsid w:val="00D30CEE"/>
    <w:rsid w:val="00D31D6C"/>
    <w:rsid w:val="00D32B3D"/>
    <w:rsid w:val="00D32FA9"/>
    <w:rsid w:val="00D33C8D"/>
    <w:rsid w:val="00D34D49"/>
    <w:rsid w:val="00D37148"/>
    <w:rsid w:val="00D37A00"/>
    <w:rsid w:val="00D40689"/>
    <w:rsid w:val="00D40860"/>
    <w:rsid w:val="00D42122"/>
    <w:rsid w:val="00D4280D"/>
    <w:rsid w:val="00D42B76"/>
    <w:rsid w:val="00D43787"/>
    <w:rsid w:val="00D447D8"/>
    <w:rsid w:val="00D447FF"/>
    <w:rsid w:val="00D45006"/>
    <w:rsid w:val="00D450B5"/>
    <w:rsid w:val="00D45623"/>
    <w:rsid w:val="00D45651"/>
    <w:rsid w:val="00D45942"/>
    <w:rsid w:val="00D45968"/>
    <w:rsid w:val="00D45C19"/>
    <w:rsid w:val="00D468AF"/>
    <w:rsid w:val="00D470FA"/>
    <w:rsid w:val="00D47F57"/>
    <w:rsid w:val="00D50191"/>
    <w:rsid w:val="00D50983"/>
    <w:rsid w:val="00D52347"/>
    <w:rsid w:val="00D53B35"/>
    <w:rsid w:val="00D5648F"/>
    <w:rsid w:val="00D56D45"/>
    <w:rsid w:val="00D56E3B"/>
    <w:rsid w:val="00D57CC2"/>
    <w:rsid w:val="00D616EC"/>
    <w:rsid w:val="00D625B8"/>
    <w:rsid w:val="00D648BA"/>
    <w:rsid w:val="00D657F2"/>
    <w:rsid w:val="00D66709"/>
    <w:rsid w:val="00D66A4D"/>
    <w:rsid w:val="00D724E1"/>
    <w:rsid w:val="00D762E6"/>
    <w:rsid w:val="00D76A95"/>
    <w:rsid w:val="00D801E1"/>
    <w:rsid w:val="00D80B56"/>
    <w:rsid w:val="00D80E51"/>
    <w:rsid w:val="00D82515"/>
    <w:rsid w:val="00D82682"/>
    <w:rsid w:val="00D82E21"/>
    <w:rsid w:val="00D840E2"/>
    <w:rsid w:val="00D846FE"/>
    <w:rsid w:val="00D860CB"/>
    <w:rsid w:val="00D87C68"/>
    <w:rsid w:val="00D92783"/>
    <w:rsid w:val="00D92B70"/>
    <w:rsid w:val="00D92CCC"/>
    <w:rsid w:val="00D92D3B"/>
    <w:rsid w:val="00D9456A"/>
    <w:rsid w:val="00D94B4E"/>
    <w:rsid w:val="00D94DBD"/>
    <w:rsid w:val="00DA00BB"/>
    <w:rsid w:val="00DA38F9"/>
    <w:rsid w:val="00DA3BAE"/>
    <w:rsid w:val="00DA776D"/>
    <w:rsid w:val="00DA7AAB"/>
    <w:rsid w:val="00DA7F99"/>
    <w:rsid w:val="00DB0815"/>
    <w:rsid w:val="00DB0C6F"/>
    <w:rsid w:val="00DB1859"/>
    <w:rsid w:val="00DB34DF"/>
    <w:rsid w:val="00DB3ABE"/>
    <w:rsid w:val="00DB4630"/>
    <w:rsid w:val="00DB6676"/>
    <w:rsid w:val="00DB6B6B"/>
    <w:rsid w:val="00DC2ABE"/>
    <w:rsid w:val="00DC4F24"/>
    <w:rsid w:val="00DC59DE"/>
    <w:rsid w:val="00DC7217"/>
    <w:rsid w:val="00DC79BB"/>
    <w:rsid w:val="00DD11EB"/>
    <w:rsid w:val="00DD1B8B"/>
    <w:rsid w:val="00DD1BAE"/>
    <w:rsid w:val="00DD1F32"/>
    <w:rsid w:val="00DD23D6"/>
    <w:rsid w:val="00DD29D7"/>
    <w:rsid w:val="00DD2D5F"/>
    <w:rsid w:val="00DD3969"/>
    <w:rsid w:val="00DD4855"/>
    <w:rsid w:val="00DD5378"/>
    <w:rsid w:val="00DD75C4"/>
    <w:rsid w:val="00DE04A4"/>
    <w:rsid w:val="00DE10B9"/>
    <w:rsid w:val="00DE1997"/>
    <w:rsid w:val="00DE1FBA"/>
    <w:rsid w:val="00DE4550"/>
    <w:rsid w:val="00DE4F8A"/>
    <w:rsid w:val="00DE5067"/>
    <w:rsid w:val="00DE55DE"/>
    <w:rsid w:val="00DE5968"/>
    <w:rsid w:val="00DE5A73"/>
    <w:rsid w:val="00DE6A2A"/>
    <w:rsid w:val="00DF1227"/>
    <w:rsid w:val="00DF131F"/>
    <w:rsid w:val="00DF2C98"/>
    <w:rsid w:val="00DF650E"/>
    <w:rsid w:val="00DF73A5"/>
    <w:rsid w:val="00DF77FD"/>
    <w:rsid w:val="00DF7AB6"/>
    <w:rsid w:val="00E00DCA"/>
    <w:rsid w:val="00E01C4F"/>
    <w:rsid w:val="00E033B7"/>
    <w:rsid w:val="00E038DB"/>
    <w:rsid w:val="00E03BB5"/>
    <w:rsid w:val="00E04FFB"/>
    <w:rsid w:val="00E05EEE"/>
    <w:rsid w:val="00E065DD"/>
    <w:rsid w:val="00E075A8"/>
    <w:rsid w:val="00E07D5A"/>
    <w:rsid w:val="00E105EE"/>
    <w:rsid w:val="00E10D91"/>
    <w:rsid w:val="00E11FCA"/>
    <w:rsid w:val="00E134FC"/>
    <w:rsid w:val="00E1436B"/>
    <w:rsid w:val="00E14F22"/>
    <w:rsid w:val="00E151BD"/>
    <w:rsid w:val="00E166F8"/>
    <w:rsid w:val="00E170FA"/>
    <w:rsid w:val="00E2020E"/>
    <w:rsid w:val="00E20D15"/>
    <w:rsid w:val="00E25A13"/>
    <w:rsid w:val="00E26F75"/>
    <w:rsid w:val="00E3064C"/>
    <w:rsid w:val="00E32CBA"/>
    <w:rsid w:val="00E33007"/>
    <w:rsid w:val="00E330A9"/>
    <w:rsid w:val="00E34483"/>
    <w:rsid w:val="00E3456D"/>
    <w:rsid w:val="00E35FB8"/>
    <w:rsid w:val="00E406B2"/>
    <w:rsid w:val="00E4190D"/>
    <w:rsid w:val="00E44987"/>
    <w:rsid w:val="00E44EB9"/>
    <w:rsid w:val="00E44F34"/>
    <w:rsid w:val="00E45859"/>
    <w:rsid w:val="00E47666"/>
    <w:rsid w:val="00E47A2E"/>
    <w:rsid w:val="00E47B16"/>
    <w:rsid w:val="00E47C2B"/>
    <w:rsid w:val="00E47D47"/>
    <w:rsid w:val="00E504E9"/>
    <w:rsid w:val="00E507A9"/>
    <w:rsid w:val="00E51B87"/>
    <w:rsid w:val="00E5253D"/>
    <w:rsid w:val="00E52A30"/>
    <w:rsid w:val="00E53860"/>
    <w:rsid w:val="00E54E23"/>
    <w:rsid w:val="00E554E7"/>
    <w:rsid w:val="00E564E0"/>
    <w:rsid w:val="00E5688C"/>
    <w:rsid w:val="00E56D3D"/>
    <w:rsid w:val="00E57C72"/>
    <w:rsid w:val="00E60AAF"/>
    <w:rsid w:val="00E60AEE"/>
    <w:rsid w:val="00E6194F"/>
    <w:rsid w:val="00E6547E"/>
    <w:rsid w:val="00E65AAE"/>
    <w:rsid w:val="00E65AFA"/>
    <w:rsid w:val="00E65E36"/>
    <w:rsid w:val="00E669A1"/>
    <w:rsid w:val="00E67625"/>
    <w:rsid w:val="00E700D9"/>
    <w:rsid w:val="00E75FF6"/>
    <w:rsid w:val="00E77A6F"/>
    <w:rsid w:val="00E81F52"/>
    <w:rsid w:val="00E82034"/>
    <w:rsid w:val="00E8390A"/>
    <w:rsid w:val="00E83A3B"/>
    <w:rsid w:val="00E8425C"/>
    <w:rsid w:val="00E901D7"/>
    <w:rsid w:val="00E90604"/>
    <w:rsid w:val="00E914E7"/>
    <w:rsid w:val="00E9172D"/>
    <w:rsid w:val="00E91BD8"/>
    <w:rsid w:val="00E922BE"/>
    <w:rsid w:val="00E9258D"/>
    <w:rsid w:val="00E9268E"/>
    <w:rsid w:val="00E92B00"/>
    <w:rsid w:val="00E9368B"/>
    <w:rsid w:val="00E94D9A"/>
    <w:rsid w:val="00E951CA"/>
    <w:rsid w:val="00E9538A"/>
    <w:rsid w:val="00E953FA"/>
    <w:rsid w:val="00E9569F"/>
    <w:rsid w:val="00E97913"/>
    <w:rsid w:val="00E97D0F"/>
    <w:rsid w:val="00E97E28"/>
    <w:rsid w:val="00EA484D"/>
    <w:rsid w:val="00EA4A96"/>
    <w:rsid w:val="00EA525E"/>
    <w:rsid w:val="00EA5387"/>
    <w:rsid w:val="00EB1A14"/>
    <w:rsid w:val="00EB1C95"/>
    <w:rsid w:val="00EB3B0A"/>
    <w:rsid w:val="00EB3DAC"/>
    <w:rsid w:val="00EB4081"/>
    <w:rsid w:val="00EB4093"/>
    <w:rsid w:val="00EB46F3"/>
    <w:rsid w:val="00EB4958"/>
    <w:rsid w:val="00EB5C9F"/>
    <w:rsid w:val="00EB784C"/>
    <w:rsid w:val="00EC1371"/>
    <w:rsid w:val="00EC2445"/>
    <w:rsid w:val="00EC33B2"/>
    <w:rsid w:val="00EC3796"/>
    <w:rsid w:val="00EC41A4"/>
    <w:rsid w:val="00EC45E1"/>
    <w:rsid w:val="00EC5C39"/>
    <w:rsid w:val="00EC5D78"/>
    <w:rsid w:val="00EC6563"/>
    <w:rsid w:val="00EC7294"/>
    <w:rsid w:val="00EC7555"/>
    <w:rsid w:val="00EC7728"/>
    <w:rsid w:val="00ED0109"/>
    <w:rsid w:val="00ED0680"/>
    <w:rsid w:val="00ED10A6"/>
    <w:rsid w:val="00ED27B9"/>
    <w:rsid w:val="00ED2905"/>
    <w:rsid w:val="00ED328C"/>
    <w:rsid w:val="00ED3D65"/>
    <w:rsid w:val="00ED4017"/>
    <w:rsid w:val="00ED7083"/>
    <w:rsid w:val="00ED7BF0"/>
    <w:rsid w:val="00ED7E7A"/>
    <w:rsid w:val="00ED7E9F"/>
    <w:rsid w:val="00EE00F7"/>
    <w:rsid w:val="00EE0D8C"/>
    <w:rsid w:val="00EE149D"/>
    <w:rsid w:val="00EE172B"/>
    <w:rsid w:val="00EE3EDC"/>
    <w:rsid w:val="00EE3F56"/>
    <w:rsid w:val="00EE4BB2"/>
    <w:rsid w:val="00EE560A"/>
    <w:rsid w:val="00EE6084"/>
    <w:rsid w:val="00EE68DA"/>
    <w:rsid w:val="00EE6B47"/>
    <w:rsid w:val="00EE733B"/>
    <w:rsid w:val="00EE7B6D"/>
    <w:rsid w:val="00EF13A5"/>
    <w:rsid w:val="00EF1724"/>
    <w:rsid w:val="00EF1AA9"/>
    <w:rsid w:val="00EF1B4E"/>
    <w:rsid w:val="00EF1CC2"/>
    <w:rsid w:val="00EF3963"/>
    <w:rsid w:val="00EF39BE"/>
    <w:rsid w:val="00EF5079"/>
    <w:rsid w:val="00EF554F"/>
    <w:rsid w:val="00EF6C71"/>
    <w:rsid w:val="00EF6E78"/>
    <w:rsid w:val="00EF7A77"/>
    <w:rsid w:val="00EF7DE3"/>
    <w:rsid w:val="00F006C9"/>
    <w:rsid w:val="00F00C1A"/>
    <w:rsid w:val="00F01483"/>
    <w:rsid w:val="00F02537"/>
    <w:rsid w:val="00F02F54"/>
    <w:rsid w:val="00F03638"/>
    <w:rsid w:val="00F039ED"/>
    <w:rsid w:val="00F03F16"/>
    <w:rsid w:val="00F0620D"/>
    <w:rsid w:val="00F07ECC"/>
    <w:rsid w:val="00F10116"/>
    <w:rsid w:val="00F11B23"/>
    <w:rsid w:val="00F123CE"/>
    <w:rsid w:val="00F1344F"/>
    <w:rsid w:val="00F13850"/>
    <w:rsid w:val="00F13A34"/>
    <w:rsid w:val="00F146CB"/>
    <w:rsid w:val="00F149E9"/>
    <w:rsid w:val="00F14B1E"/>
    <w:rsid w:val="00F1574B"/>
    <w:rsid w:val="00F15D92"/>
    <w:rsid w:val="00F20BE6"/>
    <w:rsid w:val="00F220EF"/>
    <w:rsid w:val="00F2298C"/>
    <w:rsid w:val="00F24CF2"/>
    <w:rsid w:val="00F25235"/>
    <w:rsid w:val="00F254F6"/>
    <w:rsid w:val="00F26A21"/>
    <w:rsid w:val="00F3022D"/>
    <w:rsid w:val="00F30708"/>
    <w:rsid w:val="00F307F0"/>
    <w:rsid w:val="00F31B3B"/>
    <w:rsid w:val="00F31E35"/>
    <w:rsid w:val="00F3228A"/>
    <w:rsid w:val="00F332B0"/>
    <w:rsid w:val="00F3395E"/>
    <w:rsid w:val="00F33A72"/>
    <w:rsid w:val="00F3415D"/>
    <w:rsid w:val="00F363F1"/>
    <w:rsid w:val="00F37256"/>
    <w:rsid w:val="00F43DFC"/>
    <w:rsid w:val="00F447AF"/>
    <w:rsid w:val="00F45E5A"/>
    <w:rsid w:val="00F4695D"/>
    <w:rsid w:val="00F47E84"/>
    <w:rsid w:val="00F50172"/>
    <w:rsid w:val="00F54424"/>
    <w:rsid w:val="00F54740"/>
    <w:rsid w:val="00F565D0"/>
    <w:rsid w:val="00F57A3E"/>
    <w:rsid w:val="00F62899"/>
    <w:rsid w:val="00F637A9"/>
    <w:rsid w:val="00F63A4A"/>
    <w:rsid w:val="00F63E31"/>
    <w:rsid w:val="00F645AE"/>
    <w:rsid w:val="00F65161"/>
    <w:rsid w:val="00F654A6"/>
    <w:rsid w:val="00F67065"/>
    <w:rsid w:val="00F67D00"/>
    <w:rsid w:val="00F67D2C"/>
    <w:rsid w:val="00F70011"/>
    <w:rsid w:val="00F720FA"/>
    <w:rsid w:val="00F733B2"/>
    <w:rsid w:val="00F744F3"/>
    <w:rsid w:val="00F75DF6"/>
    <w:rsid w:val="00F76978"/>
    <w:rsid w:val="00F772EA"/>
    <w:rsid w:val="00F77698"/>
    <w:rsid w:val="00F805A6"/>
    <w:rsid w:val="00F82811"/>
    <w:rsid w:val="00F83BC2"/>
    <w:rsid w:val="00F83CBF"/>
    <w:rsid w:val="00F84ED2"/>
    <w:rsid w:val="00F86068"/>
    <w:rsid w:val="00F87223"/>
    <w:rsid w:val="00F87AC1"/>
    <w:rsid w:val="00F90290"/>
    <w:rsid w:val="00F915B8"/>
    <w:rsid w:val="00F91B3B"/>
    <w:rsid w:val="00F94EC0"/>
    <w:rsid w:val="00F95610"/>
    <w:rsid w:val="00F96012"/>
    <w:rsid w:val="00F976C6"/>
    <w:rsid w:val="00FA0C52"/>
    <w:rsid w:val="00FA1CFB"/>
    <w:rsid w:val="00FA215D"/>
    <w:rsid w:val="00FA228A"/>
    <w:rsid w:val="00FA2451"/>
    <w:rsid w:val="00FA2726"/>
    <w:rsid w:val="00FA3FB9"/>
    <w:rsid w:val="00FA457D"/>
    <w:rsid w:val="00FA5A2F"/>
    <w:rsid w:val="00FA6E33"/>
    <w:rsid w:val="00FA72B1"/>
    <w:rsid w:val="00FB22F2"/>
    <w:rsid w:val="00FB4DF7"/>
    <w:rsid w:val="00FC2070"/>
    <w:rsid w:val="00FC3FD5"/>
    <w:rsid w:val="00FC479C"/>
    <w:rsid w:val="00FC6E57"/>
    <w:rsid w:val="00FC7151"/>
    <w:rsid w:val="00FD0560"/>
    <w:rsid w:val="00FD0A26"/>
    <w:rsid w:val="00FD0C02"/>
    <w:rsid w:val="00FD1FCF"/>
    <w:rsid w:val="00FD282F"/>
    <w:rsid w:val="00FD2992"/>
    <w:rsid w:val="00FD29BB"/>
    <w:rsid w:val="00FD4CB3"/>
    <w:rsid w:val="00FD6EAA"/>
    <w:rsid w:val="00FD79D2"/>
    <w:rsid w:val="00FE0278"/>
    <w:rsid w:val="00FE0ABB"/>
    <w:rsid w:val="00FE141F"/>
    <w:rsid w:val="00FE20F0"/>
    <w:rsid w:val="00FE26CB"/>
    <w:rsid w:val="00FE3042"/>
    <w:rsid w:val="00FE7911"/>
    <w:rsid w:val="00FE7C1C"/>
    <w:rsid w:val="00FF145F"/>
    <w:rsid w:val="00FF1735"/>
    <w:rsid w:val="00FF31C9"/>
    <w:rsid w:val="00FF3D51"/>
    <w:rsid w:val="00FF5A48"/>
    <w:rsid w:val="00FF5DB9"/>
    <w:rsid w:val="00FF663F"/>
    <w:rsid w:val="00FF7AE0"/>
    <w:rsid w:val="00FF7AF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3D529"/>
  <w15:docId w15:val="{EB63F7D5-A960-455F-9C24-05CD639F8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color w:val="000000" w:themeColor="text1"/>
        <w:sz w:val="24"/>
        <w:szCs w:val="24"/>
        <w:lang w:val="en-ZA"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51"/>
    <w:pPr>
      <w:ind w:left="720"/>
      <w:contextualSpacing/>
    </w:pPr>
  </w:style>
  <w:style w:type="paragraph" w:styleId="FootnoteText">
    <w:name w:val="footnote text"/>
    <w:basedOn w:val="Normal"/>
    <w:link w:val="FootnoteTextChar"/>
    <w:uiPriority w:val="99"/>
    <w:semiHidden/>
    <w:unhideWhenUsed/>
    <w:rsid w:val="00005691"/>
    <w:rPr>
      <w:sz w:val="20"/>
      <w:szCs w:val="20"/>
    </w:rPr>
  </w:style>
  <w:style w:type="character" w:customStyle="1" w:styleId="FootnoteTextChar">
    <w:name w:val="Footnote Text Char"/>
    <w:basedOn w:val="DefaultParagraphFont"/>
    <w:link w:val="FootnoteText"/>
    <w:uiPriority w:val="99"/>
    <w:semiHidden/>
    <w:rsid w:val="00005691"/>
    <w:rPr>
      <w:sz w:val="20"/>
      <w:szCs w:val="20"/>
    </w:rPr>
  </w:style>
  <w:style w:type="character" w:styleId="FootnoteReference">
    <w:name w:val="footnote reference"/>
    <w:basedOn w:val="DefaultParagraphFont"/>
    <w:uiPriority w:val="99"/>
    <w:semiHidden/>
    <w:unhideWhenUsed/>
    <w:rsid w:val="00005691"/>
    <w:rPr>
      <w:vertAlign w:val="superscript"/>
    </w:rPr>
  </w:style>
  <w:style w:type="paragraph" w:styleId="Header">
    <w:name w:val="header"/>
    <w:basedOn w:val="Normal"/>
    <w:link w:val="HeaderChar"/>
    <w:uiPriority w:val="99"/>
    <w:unhideWhenUsed/>
    <w:rsid w:val="00146BA3"/>
    <w:pPr>
      <w:tabs>
        <w:tab w:val="center" w:pos="4513"/>
        <w:tab w:val="right" w:pos="9026"/>
      </w:tabs>
    </w:pPr>
  </w:style>
  <w:style w:type="character" w:customStyle="1" w:styleId="HeaderChar">
    <w:name w:val="Header Char"/>
    <w:basedOn w:val="DefaultParagraphFont"/>
    <w:link w:val="Header"/>
    <w:uiPriority w:val="99"/>
    <w:rsid w:val="00146BA3"/>
  </w:style>
  <w:style w:type="character" w:styleId="PageNumber">
    <w:name w:val="page number"/>
    <w:basedOn w:val="DefaultParagraphFont"/>
    <w:uiPriority w:val="99"/>
    <w:semiHidden/>
    <w:unhideWhenUsed/>
    <w:rsid w:val="00146BA3"/>
  </w:style>
  <w:style w:type="character" w:styleId="Hyperlink">
    <w:name w:val="Hyperlink"/>
    <w:basedOn w:val="DefaultParagraphFont"/>
    <w:uiPriority w:val="99"/>
    <w:unhideWhenUsed/>
    <w:rsid w:val="00B875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10503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icBotha@justice.gov.za" TargetMode="External"/><Relationship Id="rId4" Type="http://schemas.openxmlformats.org/officeDocument/2006/relationships/settings" Target="settings.xml"/><Relationship Id="rId9" Type="http://schemas.openxmlformats.org/officeDocument/2006/relationships/hyperlink" Target="mailto:jac.marais@adams.afri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488D12-047E-4F05-AC06-F7616187F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3942</Words>
  <Characters>22470</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Govindjee, Avinash (Prof) (Summerstrand Campus South)</dc:creator>
  <cp:keywords/>
  <dc:description/>
  <cp:lastModifiedBy>Mary Bruce</cp:lastModifiedBy>
  <cp:revision>4</cp:revision>
  <cp:lastPrinted>2024-02-16T10:19:00Z</cp:lastPrinted>
  <dcterms:created xsi:type="dcterms:W3CDTF">2024-02-20T08:24:00Z</dcterms:created>
  <dcterms:modified xsi:type="dcterms:W3CDTF">2024-02-22T10:22:00Z</dcterms:modified>
</cp:coreProperties>
</file>