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044B50" w:rsidRDefault="00D450B5" w:rsidP="0094300A">
      <w:pPr>
        <w:autoSpaceDE w:val="0"/>
        <w:autoSpaceDN w:val="0"/>
        <w:adjustRightInd w:val="0"/>
        <w:ind w:right="373"/>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D266B1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6665F8C7" w:rsidR="00D450B5" w:rsidRPr="00044B50" w:rsidRDefault="00D450B5" w:rsidP="00A4012E">
      <w:pPr>
        <w:ind w:right="89"/>
        <w:jc w:val="center"/>
        <w:rPr>
          <w:b/>
          <w:bCs/>
          <w:lang w:val="en-GB"/>
        </w:rPr>
      </w:pPr>
      <w:r w:rsidRPr="00044B50">
        <w:rPr>
          <w:lang w:val="en-GB"/>
        </w:rPr>
        <w:t xml:space="preserve">                                                                                           </w:t>
      </w:r>
      <w:r w:rsidR="0094300A">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505102B1" w:rsidR="00E44987" w:rsidRPr="00044B50" w:rsidRDefault="0094300A" w:rsidP="00A4012E">
      <w:pPr>
        <w:ind w:left="5812" w:right="89" w:firstLine="862"/>
        <w:rPr>
          <w:lang w:val="en-GB"/>
        </w:rPr>
      </w:pPr>
      <w:r>
        <w:rPr>
          <w:lang w:val="en-GB"/>
        </w:rPr>
        <w:t xml:space="preserve"> </w:t>
      </w:r>
      <w:r w:rsidR="00E44987" w:rsidRPr="00044B50">
        <w:rPr>
          <w:lang w:val="en-GB"/>
        </w:rPr>
        <w:t xml:space="preserve">Case no: </w:t>
      </w:r>
      <w:r w:rsidR="00A4012E">
        <w:rPr>
          <w:lang w:val="en-GB"/>
        </w:rPr>
        <w:t>2988/2021</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424CC865" w:rsidR="00D450B5" w:rsidRPr="00797E4E" w:rsidRDefault="00A4012E" w:rsidP="00A4012E">
      <w:pPr>
        <w:tabs>
          <w:tab w:val="left" w:pos="6946"/>
        </w:tabs>
        <w:suppressAutoHyphens/>
        <w:ind w:right="89"/>
        <w:jc w:val="both"/>
        <w:rPr>
          <w:b/>
          <w:bCs/>
          <w:lang w:val="en-GB"/>
        </w:rPr>
      </w:pPr>
      <w:r>
        <w:rPr>
          <w:b/>
          <w:bCs/>
          <w:lang w:val="en-GB"/>
        </w:rPr>
        <w:t>LAFAMO MATEWOS MEGABO</w:t>
      </w:r>
      <w:r w:rsidR="00797E4E" w:rsidRPr="00797E4E">
        <w:rPr>
          <w:b/>
          <w:bCs/>
          <w:lang w:val="en-GB"/>
        </w:rPr>
        <w:t xml:space="preserve"> </w:t>
      </w:r>
      <w:r w:rsidR="00797E4E">
        <w:rPr>
          <w:b/>
          <w:bCs/>
          <w:lang w:val="en-GB"/>
        </w:rPr>
        <w:tab/>
      </w:r>
      <w:r w:rsidR="00797E4E">
        <w:rPr>
          <w:b/>
          <w:bCs/>
          <w:lang w:val="en-GB"/>
        </w:rPr>
        <w:tab/>
      </w:r>
      <w:r w:rsidR="0094300A">
        <w:rPr>
          <w:b/>
          <w:bCs/>
          <w:lang w:val="en-GB"/>
        </w:rPr>
        <w:t xml:space="preserve">         </w:t>
      </w:r>
      <w:r w:rsidR="00724250">
        <w:rPr>
          <w:b/>
          <w:bCs/>
          <w:lang w:val="en-GB"/>
        </w:rPr>
        <w:t>Applicant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33737BB1" w:rsidR="00C246F2" w:rsidRDefault="00A4012E" w:rsidP="00A4012E">
      <w:pPr>
        <w:tabs>
          <w:tab w:val="left" w:pos="6804"/>
        </w:tabs>
        <w:ind w:right="89"/>
        <w:jc w:val="both"/>
        <w:rPr>
          <w:b/>
          <w:bCs/>
          <w:lang w:val="en-GB"/>
        </w:rPr>
      </w:pPr>
      <w:r>
        <w:rPr>
          <w:b/>
          <w:bCs/>
          <w:lang w:val="en-GB"/>
        </w:rPr>
        <w:t>THE NATIONAL DIRECTOR OF PUBLIC</w:t>
      </w:r>
      <w:r w:rsidR="00C246F2" w:rsidRPr="00797E4E">
        <w:rPr>
          <w:b/>
          <w:bCs/>
          <w:lang w:val="en-GB"/>
        </w:rPr>
        <w:tab/>
      </w:r>
      <w:r>
        <w:rPr>
          <w:b/>
          <w:bCs/>
          <w:lang w:val="en-GB"/>
        </w:rPr>
        <w:t xml:space="preserve"> First </w:t>
      </w:r>
      <w:r w:rsidR="00797E4E">
        <w:rPr>
          <w:b/>
          <w:bCs/>
          <w:lang w:val="en-GB"/>
        </w:rPr>
        <w:t>Respondent</w:t>
      </w:r>
    </w:p>
    <w:p w14:paraId="075EA62E" w14:textId="5178704C" w:rsidR="00A4012E" w:rsidRDefault="00A4012E" w:rsidP="00A4012E">
      <w:pPr>
        <w:tabs>
          <w:tab w:val="left" w:pos="6804"/>
        </w:tabs>
        <w:ind w:right="89"/>
        <w:jc w:val="both"/>
        <w:rPr>
          <w:b/>
          <w:bCs/>
          <w:lang w:val="en-GB"/>
        </w:rPr>
      </w:pPr>
      <w:r>
        <w:rPr>
          <w:b/>
          <w:bCs/>
          <w:lang w:val="en-GB"/>
        </w:rPr>
        <w:t>PROSECUTIONS</w:t>
      </w:r>
    </w:p>
    <w:p w14:paraId="00620D9F" w14:textId="77777777" w:rsidR="00A4012E" w:rsidRDefault="00A4012E" w:rsidP="00A4012E">
      <w:pPr>
        <w:tabs>
          <w:tab w:val="left" w:pos="6804"/>
        </w:tabs>
        <w:ind w:right="89"/>
        <w:jc w:val="both"/>
        <w:rPr>
          <w:b/>
          <w:bCs/>
          <w:lang w:val="en-GB"/>
        </w:rPr>
      </w:pPr>
    </w:p>
    <w:p w14:paraId="4910DDC7" w14:textId="2C9ABA16" w:rsidR="00A4012E" w:rsidRDefault="00A4012E" w:rsidP="00A4012E">
      <w:pPr>
        <w:tabs>
          <w:tab w:val="left" w:pos="6521"/>
        </w:tabs>
        <w:ind w:right="-336"/>
        <w:jc w:val="both"/>
        <w:rPr>
          <w:b/>
          <w:bCs/>
          <w:lang w:val="en-GB"/>
        </w:rPr>
      </w:pPr>
      <w:r>
        <w:rPr>
          <w:b/>
          <w:bCs/>
          <w:lang w:val="en-GB"/>
        </w:rPr>
        <w:t xml:space="preserve">ACTING DEPUTY DIRECTOR OF PUBLIC </w:t>
      </w:r>
      <w:r>
        <w:rPr>
          <w:b/>
          <w:bCs/>
          <w:lang w:val="en-GB"/>
        </w:rPr>
        <w:tab/>
        <w:t>Second Respondent</w:t>
      </w:r>
    </w:p>
    <w:p w14:paraId="6BF20CEE" w14:textId="0A685951" w:rsidR="00A4012E" w:rsidRPr="00797E4E" w:rsidRDefault="00A4012E" w:rsidP="00A4012E">
      <w:pPr>
        <w:tabs>
          <w:tab w:val="left" w:pos="6521"/>
        </w:tabs>
        <w:ind w:right="-336"/>
        <w:jc w:val="both"/>
        <w:rPr>
          <w:b/>
          <w:bCs/>
          <w:lang w:val="en-GB"/>
        </w:rPr>
      </w:pPr>
      <w:r>
        <w:rPr>
          <w:b/>
          <w:bCs/>
          <w:lang w:val="en-GB"/>
        </w:rPr>
        <w:t>PROSECUTIONS</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5B54BD77" w14:textId="301616C6" w:rsidR="00AB4233" w:rsidRDefault="00AB4233" w:rsidP="00772E4B">
      <w:pPr>
        <w:jc w:val="both"/>
        <w:rPr>
          <w:b/>
          <w:bCs/>
          <w:lang w:val="en-GB"/>
        </w:rPr>
      </w:pPr>
    </w:p>
    <w:p w14:paraId="7C4F1B04" w14:textId="5AB48B66" w:rsidR="00D450B5" w:rsidRDefault="00E57C72" w:rsidP="00772E4B">
      <w:pPr>
        <w:jc w:val="both"/>
        <w:rPr>
          <w:b/>
          <w:bCs/>
          <w:lang w:val="en-GB"/>
        </w:rPr>
      </w:pPr>
      <w:r w:rsidRPr="00044B50">
        <w:rPr>
          <w:b/>
          <w:bCs/>
          <w:lang w:val="en-GB"/>
        </w:rPr>
        <w:t>Govindjee</w:t>
      </w:r>
      <w:r w:rsidR="00D450B5" w:rsidRPr="00044B50">
        <w:rPr>
          <w:b/>
          <w:bCs/>
          <w:lang w:val="en-GB"/>
        </w:rPr>
        <w:t xml:space="preserve"> J</w:t>
      </w:r>
    </w:p>
    <w:p w14:paraId="0DE758D2" w14:textId="77777777" w:rsidR="00A4012E" w:rsidRDefault="00A4012E" w:rsidP="00772E4B">
      <w:pPr>
        <w:jc w:val="both"/>
        <w:rPr>
          <w:b/>
          <w:bCs/>
          <w:lang w:val="en-GB"/>
        </w:rPr>
      </w:pPr>
    </w:p>
    <w:p w14:paraId="6650D217" w14:textId="77777777" w:rsidR="00A4012E" w:rsidRPr="00044B50" w:rsidRDefault="00A4012E" w:rsidP="00772E4B">
      <w:pPr>
        <w:jc w:val="both"/>
        <w:rPr>
          <w:b/>
          <w:bCs/>
          <w:lang w:val="en-GB"/>
        </w:rPr>
      </w:pPr>
    </w:p>
    <w:p w14:paraId="507FC818" w14:textId="46748601" w:rsidR="00A95FD1" w:rsidRDefault="00A95FD1" w:rsidP="00682CE5">
      <w:pPr>
        <w:autoSpaceDE w:val="0"/>
        <w:autoSpaceDN w:val="0"/>
        <w:adjustRightInd w:val="0"/>
        <w:jc w:val="both"/>
        <w:rPr>
          <w:b/>
          <w:bCs/>
          <w:lang w:val="en-GB"/>
        </w:rPr>
      </w:pPr>
    </w:p>
    <w:p w14:paraId="7F459CD1" w14:textId="71A14E47" w:rsidR="00094F1C" w:rsidRDefault="00094F1C" w:rsidP="00682CE5">
      <w:pPr>
        <w:autoSpaceDE w:val="0"/>
        <w:autoSpaceDN w:val="0"/>
        <w:adjustRightInd w:val="0"/>
        <w:jc w:val="both"/>
        <w:rPr>
          <w:b/>
          <w:bCs/>
          <w:lang w:val="en-GB"/>
        </w:rPr>
      </w:pPr>
      <w:r>
        <w:rPr>
          <w:b/>
          <w:bCs/>
          <w:lang w:val="en-GB"/>
        </w:rPr>
        <w:lastRenderedPageBreak/>
        <w:t>Issue and background</w:t>
      </w:r>
    </w:p>
    <w:p w14:paraId="5444FF04" w14:textId="77777777" w:rsidR="00094F1C" w:rsidRPr="00094F1C" w:rsidRDefault="00094F1C" w:rsidP="00682CE5">
      <w:pPr>
        <w:autoSpaceDE w:val="0"/>
        <w:autoSpaceDN w:val="0"/>
        <w:adjustRightInd w:val="0"/>
        <w:jc w:val="both"/>
        <w:rPr>
          <w:b/>
          <w:bCs/>
          <w:lang w:val="en-GB"/>
        </w:rPr>
      </w:pPr>
    </w:p>
    <w:p w14:paraId="323502D2" w14:textId="2D2B11FB" w:rsidR="00BA176D" w:rsidRPr="00546845" w:rsidRDefault="00546845" w:rsidP="00546845">
      <w:pPr>
        <w:autoSpaceDE w:val="0"/>
        <w:autoSpaceDN w:val="0"/>
        <w:adjustRightInd w:val="0"/>
        <w:jc w:val="both"/>
        <w:rPr>
          <w:lang w:val="en-GB"/>
        </w:rPr>
      </w:pPr>
      <w:r>
        <w:rPr>
          <w:lang w:val="en-GB"/>
        </w:rPr>
        <w:t>[1]</w:t>
      </w:r>
      <w:r>
        <w:rPr>
          <w:lang w:val="en-GB"/>
        </w:rPr>
        <w:tab/>
      </w:r>
      <w:r w:rsidR="008047BD" w:rsidRPr="00546845">
        <w:rPr>
          <w:lang w:val="en-GB"/>
        </w:rPr>
        <w:t xml:space="preserve">The issue for determination is </w:t>
      </w:r>
      <w:r w:rsidR="00F0541C" w:rsidRPr="00546845">
        <w:rPr>
          <w:lang w:val="en-GB"/>
        </w:rPr>
        <w:t>the application of</w:t>
      </w:r>
      <w:r w:rsidR="008047BD" w:rsidRPr="00546845">
        <w:rPr>
          <w:lang w:val="en-GB"/>
        </w:rPr>
        <w:t xml:space="preserve"> s 21(4) of the Refugees Act, 1998</w:t>
      </w:r>
      <w:r w:rsidR="008047BD">
        <w:rPr>
          <w:rStyle w:val="FootnoteReference"/>
          <w:lang w:val="en-GB"/>
        </w:rPr>
        <w:footnoteReference w:id="1"/>
      </w:r>
      <w:r w:rsidR="008047BD" w:rsidRPr="00546845">
        <w:rPr>
          <w:lang w:val="en-GB"/>
        </w:rPr>
        <w:t xml:space="preserve"> (‘the Refugees Act’)</w:t>
      </w:r>
      <w:r w:rsidR="0049313A" w:rsidRPr="00546845">
        <w:rPr>
          <w:lang w:val="en-GB"/>
        </w:rPr>
        <w:t>, and the institution or continuation of criminal proceedings pending judicial review of a decision to refuse asylum.</w:t>
      </w:r>
      <w:r w:rsidR="008047BD" w:rsidRPr="00546845">
        <w:rPr>
          <w:lang w:val="en-GB"/>
        </w:rPr>
        <w:t xml:space="preserve"> </w:t>
      </w:r>
    </w:p>
    <w:p w14:paraId="1850D81B" w14:textId="77777777" w:rsidR="00BA176D" w:rsidRDefault="00BA176D" w:rsidP="00BA176D">
      <w:pPr>
        <w:pStyle w:val="ListParagraph"/>
        <w:autoSpaceDE w:val="0"/>
        <w:autoSpaceDN w:val="0"/>
        <w:adjustRightInd w:val="0"/>
        <w:ind w:left="0"/>
        <w:jc w:val="both"/>
        <w:rPr>
          <w:lang w:val="en-GB"/>
        </w:rPr>
      </w:pPr>
    </w:p>
    <w:p w14:paraId="29827DF4" w14:textId="637E4B86" w:rsidR="000C67E0" w:rsidRPr="00546845" w:rsidRDefault="00546845" w:rsidP="00546845">
      <w:pPr>
        <w:autoSpaceDE w:val="0"/>
        <w:autoSpaceDN w:val="0"/>
        <w:adjustRightInd w:val="0"/>
        <w:jc w:val="both"/>
        <w:rPr>
          <w:lang w:val="en-GB"/>
        </w:rPr>
      </w:pPr>
      <w:r>
        <w:rPr>
          <w:lang w:val="en-GB"/>
        </w:rPr>
        <w:t>[2]</w:t>
      </w:r>
      <w:r>
        <w:rPr>
          <w:lang w:val="en-GB"/>
        </w:rPr>
        <w:tab/>
      </w:r>
      <w:r w:rsidR="007F7021" w:rsidRPr="00546845">
        <w:rPr>
          <w:lang w:val="en-GB"/>
        </w:rPr>
        <w:t>The applicant, an Ethiopian national, fled to South Africa in 2013. He lodged an application for asylum in the manner prescribed by s 21 of the Refugees Act</w:t>
      </w:r>
      <w:r w:rsidR="00EC63E2" w:rsidRPr="00546845">
        <w:rPr>
          <w:lang w:val="en-GB"/>
        </w:rPr>
        <w:t xml:space="preserve"> and was issued with an ‘asylum seeker temporary permit’ or visa. </w:t>
      </w:r>
      <w:r w:rsidR="00A14AEF" w:rsidRPr="00546845">
        <w:rPr>
          <w:lang w:val="en-GB"/>
        </w:rPr>
        <w:t xml:space="preserve">The applicant’s application for asylum was adjudicated by a Refugee Status Determination officer. </w:t>
      </w:r>
      <w:r w:rsidR="000E6315" w:rsidRPr="00546845">
        <w:rPr>
          <w:lang w:val="en-GB"/>
        </w:rPr>
        <w:t>The</w:t>
      </w:r>
      <w:r w:rsidR="00A14AEF" w:rsidRPr="00546845">
        <w:rPr>
          <w:lang w:val="en-GB"/>
        </w:rPr>
        <w:t xml:space="preserve"> Refugee Appeal Board subsequently upheld the decision of that officer to reject the application, prompting an application for judicial review.</w:t>
      </w:r>
    </w:p>
    <w:p w14:paraId="02DAC91F" w14:textId="77777777" w:rsidR="000B6E97" w:rsidRDefault="000B6E97" w:rsidP="000B6E97">
      <w:pPr>
        <w:pStyle w:val="ListParagraph"/>
        <w:autoSpaceDE w:val="0"/>
        <w:autoSpaceDN w:val="0"/>
        <w:adjustRightInd w:val="0"/>
        <w:ind w:left="0"/>
        <w:jc w:val="both"/>
        <w:rPr>
          <w:lang w:val="en-GB"/>
        </w:rPr>
      </w:pPr>
    </w:p>
    <w:p w14:paraId="7F762961" w14:textId="6E8D9238" w:rsidR="000B6E97" w:rsidRPr="00546845" w:rsidRDefault="00546845" w:rsidP="00546845">
      <w:pPr>
        <w:autoSpaceDE w:val="0"/>
        <w:autoSpaceDN w:val="0"/>
        <w:adjustRightInd w:val="0"/>
        <w:jc w:val="both"/>
        <w:rPr>
          <w:lang w:val="en-GB"/>
        </w:rPr>
      </w:pPr>
      <w:r>
        <w:rPr>
          <w:lang w:val="en-GB"/>
        </w:rPr>
        <w:t>[3]</w:t>
      </w:r>
      <w:r>
        <w:rPr>
          <w:lang w:val="en-GB"/>
        </w:rPr>
        <w:tab/>
      </w:r>
      <w:r w:rsidR="000B6E97" w:rsidRPr="00546845">
        <w:rPr>
          <w:lang w:val="en-GB"/>
        </w:rPr>
        <w:t xml:space="preserve">The applicant failed to renew his permit thereafter due to financial difficulties. </w:t>
      </w:r>
      <w:r w:rsidR="00FB0751" w:rsidRPr="00546845">
        <w:rPr>
          <w:lang w:val="en-GB"/>
        </w:rPr>
        <w:t xml:space="preserve">During </w:t>
      </w:r>
      <w:r w:rsidR="000B6E97" w:rsidRPr="00546845">
        <w:rPr>
          <w:lang w:val="en-GB"/>
        </w:rPr>
        <w:t xml:space="preserve">August 2019 he was found by an immigration officer not to be in possession of a valid permit. </w:t>
      </w:r>
      <w:r w:rsidR="00F70E24" w:rsidRPr="00546845">
        <w:rPr>
          <w:lang w:val="en-GB"/>
        </w:rPr>
        <w:t>He</w:t>
      </w:r>
      <w:r w:rsidR="00733B05" w:rsidRPr="00546845">
        <w:rPr>
          <w:lang w:val="en-GB"/>
        </w:rPr>
        <w:t xml:space="preserve"> was arrested and detained</w:t>
      </w:r>
      <w:r w:rsidR="009A12F7" w:rsidRPr="00546845">
        <w:rPr>
          <w:lang w:val="en-GB"/>
        </w:rPr>
        <w:t xml:space="preserve"> and a criminal prosecution was instituted.</w:t>
      </w:r>
      <w:r w:rsidR="00F70E24" w:rsidRPr="00546845">
        <w:rPr>
          <w:lang w:val="en-GB"/>
        </w:rPr>
        <w:t xml:space="preserve"> An application to challenge the lawfulness of the arrest and detention was dismissed by Roberson J due to an absence of </w:t>
      </w:r>
      <w:r w:rsidR="00F70E24" w:rsidRPr="00546845">
        <w:rPr>
          <w:i/>
          <w:iCs/>
          <w:lang w:val="en-GB"/>
        </w:rPr>
        <w:t>bona fides</w:t>
      </w:r>
      <w:r w:rsidR="00F70E24" w:rsidRPr="00546845">
        <w:rPr>
          <w:lang w:val="en-GB"/>
        </w:rPr>
        <w:t>.</w:t>
      </w:r>
      <w:r w:rsidR="00BA176D">
        <w:rPr>
          <w:rStyle w:val="FootnoteReference"/>
          <w:lang w:val="en-GB"/>
        </w:rPr>
        <w:footnoteReference w:id="2"/>
      </w:r>
      <w:r w:rsidR="00F70E24" w:rsidRPr="00546845">
        <w:rPr>
          <w:lang w:val="en-GB"/>
        </w:rPr>
        <w:t xml:space="preserve"> </w:t>
      </w:r>
      <w:r w:rsidR="000336B5" w:rsidRPr="00546845">
        <w:rPr>
          <w:lang w:val="en-GB"/>
        </w:rPr>
        <w:t>The applicant was subsequently released on bail.</w:t>
      </w:r>
      <w:r w:rsidR="00365E0E" w:rsidRPr="00546845">
        <w:rPr>
          <w:lang w:val="en-GB"/>
        </w:rPr>
        <w:t xml:space="preserve"> </w:t>
      </w:r>
    </w:p>
    <w:p w14:paraId="0891D2F3" w14:textId="77777777" w:rsidR="00365E0E" w:rsidRPr="00365E0E" w:rsidRDefault="00365E0E" w:rsidP="00365E0E">
      <w:pPr>
        <w:pStyle w:val="ListParagraph"/>
        <w:rPr>
          <w:lang w:val="en-GB"/>
        </w:rPr>
      </w:pPr>
    </w:p>
    <w:p w14:paraId="7268FA01" w14:textId="7B81F3F2" w:rsidR="00C6130F" w:rsidRPr="00546845" w:rsidRDefault="00546845" w:rsidP="00546845">
      <w:pPr>
        <w:autoSpaceDE w:val="0"/>
        <w:autoSpaceDN w:val="0"/>
        <w:adjustRightInd w:val="0"/>
        <w:jc w:val="both"/>
        <w:rPr>
          <w:lang w:val="en-GB"/>
        </w:rPr>
      </w:pPr>
      <w:r>
        <w:rPr>
          <w:lang w:val="en-GB"/>
        </w:rPr>
        <w:t>[4]</w:t>
      </w:r>
      <w:r>
        <w:rPr>
          <w:lang w:val="en-GB"/>
        </w:rPr>
        <w:tab/>
      </w:r>
      <w:r w:rsidR="00525CC5" w:rsidRPr="00546845">
        <w:rPr>
          <w:lang w:val="en-GB"/>
        </w:rPr>
        <w:t>The applicant has made various</w:t>
      </w:r>
      <w:r w:rsidR="00365E0E" w:rsidRPr="00546845">
        <w:rPr>
          <w:lang w:val="en-GB"/>
        </w:rPr>
        <w:t xml:space="preserve"> attempts to have the criminal proceedings withdrawn</w:t>
      </w:r>
      <w:r w:rsidR="00FB0751" w:rsidRPr="00546845">
        <w:rPr>
          <w:lang w:val="en-GB"/>
        </w:rPr>
        <w:t xml:space="preserve"> </w:t>
      </w:r>
      <w:r w:rsidR="00F96C64" w:rsidRPr="00546845">
        <w:rPr>
          <w:lang w:val="en-GB"/>
        </w:rPr>
        <w:t xml:space="preserve">or stopped </w:t>
      </w:r>
      <w:r w:rsidR="00FB0751" w:rsidRPr="00546845">
        <w:rPr>
          <w:lang w:val="en-GB"/>
        </w:rPr>
        <w:t>since October 2020</w:t>
      </w:r>
      <w:r w:rsidR="00365E0E" w:rsidRPr="00546845">
        <w:rPr>
          <w:lang w:val="en-GB"/>
        </w:rPr>
        <w:t>.</w:t>
      </w:r>
      <w:r w:rsidR="00FB0751" w:rsidRPr="00546845">
        <w:rPr>
          <w:lang w:val="en-GB"/>
        </w:rPr>
        <w:t xml:space="preserve"> Both the Senior Public Prosecutor (on 25 February 2021) and the Acting Deputy Director of Public Prosecutions, Makhanda, </w:t>
      </w:r>
      <w:r w:rsidR="00F96C64" w:rsidRPr="00546845">
        <w:rPr>
          <w:lang w:val="en-GB"/>
        </w:rPr>
        <w:t>(on 14 April 20</w:t>
      </w:r>
      <w:r w:rsidR="000E6315" w:rsidRPr="00546845">
        <w:rPr>
          <w:lang w:val="en-GB"/>
        </w:rPr>
        <w:t>2</w:t>
      </w:r>
      <w:r w:rsidR="00F96C64" w:rsidRPr="00546845">
        <w:rPr>
          <w:lang w:val="en-GB"/>
        </w:rPr>
        <w:t>1) rejected those submissions.</w:t>
      </w:r>
      <w:r w:rsidR="00A14E8B" w:rsidRPr="00546845">
        <w:rPr>
          <w:lang w:val="en-GB"/>
        </w:rPr>
        <w:t xml:space="preserve"> On 27 August 2021, the first respondent (‘the NDPP’) made a decision to continue prosecution. </w:t>
      </w:r>
      <w:r w:rsidR="00E912C3" w:rsidRPr="00546845">
        <w:rPr>
          <w:lang w:val="en-GB"/>
        </w:rPr>
        <w:t>It is that conduct</w:t>
      </w:r>
      <w:r w:rsidR="00683135" w:rsidRPr="00546845">
        <w:rPr>
          <w:lang w:val="en-GB"/>
        </w:rPr>
        <w:t>, o</w:t>
      </w:r>
      <w:r w:rsidR="00724250" w:rsidRPr="00546845">
        <w:rPr>
          <w:lang w:val="en-GB"/>
        </w:rPr>
        <w:t>r</w:t>
      </w:r>
      <w:r w:rsidR="00683135" w:rsidRPr="00546845">
        <w:rPr>
          <w:lang w:val="en-GB"/>
        </w:rPr>
        <w:t xml:space="preserve"> those decisions,</w:t>
      </w:r>
      <w:r w:rsidR="00E912C3" w:rsidRPr="00546845">
        <w:rPr>
          <w:lang w:val="en-GB"/>
        </w:rPr>
        <w:t xml:space="preserve"> on the part of the respondents </w:t>
      </w:r>
      <w:r w:rsidR="00862CCE" w:rsidRPr="00546845">
        <w:rPr>
          <w:lang w:val="en-GB"/>
        </w:rPr>
        <w:t>that forms the basis of the application, the applicant alleging irrationality and arbitrariness, alternatively unreasonableness as the review grounds.</w:t>
      </w:r>
      <w:r w:rsidR="00680110" w:rsidRPr="00546845">
        <w:rPr>
          <w:lang w:val="en-GB"/>
        </w:rPr>
        <w:t xml:space="preserve"> </w:t>
      </w:r>
    </w:p>
    <w:p w14:paraId="404BDFB1" w14:textId="010C56FC" w:rsidR="00C6130F" w:rsidRDefault="00C6130F" w:rsidP="00C6130F">
      <w:pPr>
        <w:rPr>
          <w:lang w:val="en-GB"/>
        </w:rPr>
      </w:pPr>
    </w:p>
    <w:p w14:paraId="1D272560" w14:textId="77777777" w:rsidR="00A4012E" w:rsidRDefault="00A4012E" w:rsidP="00C6130F">
      <w:pPr>
        <w:rPr>
          <w:lang w:val="en-GB"/>
        </w:rPr>
      </w:pPr>
    </w:p>
    <w:p w14:paraId="628F47D5" w14:textId="77777777" w:rsidR="00A4012E" w:rsidRDefault="00A4012E" w:rsidP="00C6130F">
      <w:pPr>
        <w:rPr>
          <w:lang w:val="en-GB"/>
        </w:rPr>
      </w:pPr>
    </w:p>
    <w:p w14:paraId="5171B7CB" w14:textId="0D85C0E7" w:rsidR="00C6130F" w:rsidRDefault="00C6130F" w:rsidP="00C6130F">
      <w:pPr>
        <w:rPr>
          <w:b/>
          <w:bCs/>
          <w:lang w:val="en-GB"/>
        </w:rPr>
      </w:pPr>
      <w:r>
        <w:rPr>
          <w:b/>
          <w:bCs/>
          <w:lang w:val="en-GB"/>
        </w:rPr>
        <w:lastRenderedPageBreak/>
        <w:t>The applicant’s case</w:t>
      </w:r>
    </w:p>
    <w:p w14:paraId="5F46234D" w14:textId="77777777" w:rsidR="00C6130F" w:rsidRPr="00C6130F" w:rsidRDefault="00C6130F" w:rsidP="00C6130F">
      <w:pPr>
        <w:rPr>
          <w:b/>
          <w:bCs/>
          <w:lang w:val="en-GB"/>
        </w:rPr>
      </w:pPr>
    </w:p>
    <w:p w14:paraId="74F0D428" w14:textId="081F4B3E" w:rsidR="00E912C3" w:rsidRPr="00546845" w:rsidRDefault="00546845" w:rsidP="00546845">
      <w:pPr>
        <w:autoSpaceDE w:val="0"/>
        <w:autoSpaceDN w:val="0"/>
        <w:adjustRightInd w:val="0"/>
        <w:jc w:val="both"/>
        <w:rPr>
          <w:lang w:val="en-GB"/>
        </w:rPr>
      </w:pPr>
      <w:r w:rsidRPr="00C6130F">
        <w:rPr>
          <w:lang w:val="en-GB"/>
        </w:rPr>
        <w:t>[5]</w:t>
      </w:r>
      <w:r w:rsidRPr="00C6130F">
        <w:rPr>
          <w:lang w:val="en-GB"/>
        </w:rPr>
        <w:tab/>
      </w:r>
      <w:r w:rsidR="00680110" w:rsidRPr="00546845">
        <w:rPr>
          <w:lang w:val="en-GB"/>
        </w:rPr>
        <w:t>In particular, reliance is placed on s 21(4)</w:t>
      </w:r>
      <w:r w:rsidR="00680110" w:rsidRPr="00546845">
        <w:rPr>
          <w:i/>
          <w:iCs/>
          <w:lang w:val="en-GB"/>
        </w:rPr>
        <w:t>(a)</w:t>
      </w:r>
      <w:r w:rsidR="00680110" w:rsidRPr="00546845">
        <w:rPr>
          <w:lang w:val="en-GB"/>
        </w:rPr>
        <w:t xml:space="preserve"> of the Refugees Act:</w:t>
      </w:r>
    </w:p>
    <w:p w14:paraId="267A7F64" w14:textId="6B7BCD90" w:rsidR="00680110" w:rsidRDefault="00680110" w:rsidP="00680110">
      <w:pPr>
        <w:rPr>
          <w:lang w:val="en-GB"/>
        </w:rPr>
      </w:pPr>
    </w:p>
    <w:p w14:paraId="0789FDDC" w14:textId="11BB7B26" w:rsidR="00680110" w:rsidRDefault="00680110" w:rsidP="003C6428">
      <w:pPr>
        <w:ind w:left="360" w:hanging="360"/>
        <w:jc w:val="both"/>
        <w:rPr>
          <w:sz w:val="22"/>
          <w:szCs w:val="22"/>
          <w:lang w:val="en-GB"/>
        </w:rPr>
      </w:pPr>
      <w:r>
        <w:rPr>
          <w:sz w:val="22"/>
          <w:szCs w:val="22"/>
          <w:lang w:val="en-GB"/>
        </w:rPr>
        <w:t>‘(4)</w:t>
      </w:r>
      <w:r>
        <w:rPr>
          <w:sz w:val="22"/>
          <w:szCs w:val="22"/>
          <w:lang w:val="en-GB"/>
        </w:rPr>
        <w:tab/>
        <w:t xml:space="preserve">Notwithstanding any other law to the contrary, no proceedings may be instituted or continued against any person in respect of his or her unlawful entry into or presence within the Republic if – </w:t>
      </w:r>
    </w:p>
    <w:p w14:paraId="5FC1C72D" w14:textId="17B98790" w:rsidR="00680110" w:rsidRPr="00546845" w:rsidRDefault="00546845" w:rsidP="00546845">
      <w:pPr>
        <w:ind w:left="720" w:hanging="360"/>
        <w:jc w:val="both"/>
        <w:rPr>
          <w:i/>
          <w:iCs/>
          <w:sz w:val="22"/>
          <w:szCs w:val="22"/>
          <w:lang w:val="en-GB"/>
        </w:rPr>
      </w:pPr>
      <w:r w:rsidRPr="00B36B03">
        <w:rPr>
          <w:i/>
          <w:iCs/>
          <w:sz w:val="22"/>
          <w:szCs w:val="22"/>
          <w:lang w:val="en-GB"/>
        </w:rPr>
        <w:t>(a)</w:t>
      </w:r>
      <w:r w:rsidRPr="00B36B03">
        <w:rPr>
          <w:i/>
          <w:iCs/>
          <w:sz w:val="22"/>
          <w:szCs w:val="22"/>
          <w:lang w:val="en-GB"/>
        </w:rPr>
        <w:tab/>
      </w:r>
      <w:r w:rsidR="00680110" w:rsidRPr="00546845">
        <w:rPr>
          <w:sz w:val="22"/>
          <w:szCs w:val="22"/>
          <w:lang w:val="en-GB"/>
        </w:rPr>
        <w:t xml:space="preserve">Such person has applied for asylum in terms of subsection (1), until a decision </w:t>
      </w:r>
      <w:r w:rsidR="006619AC" w:rsidRPr="00546845">
        <w:rPr>
          <w:sz w:val="22"/>
          <w:szCs w:val="22"/>
          <w:lang w:val="en-GB"/>
        </w:rPr>
        <w:t>has</w:t>
      </w:r>
      <w:r w:rsidR="00680110" w:rsidRPr="00546845">
        <w:rPr>
          <w:sz w:val="22"/>
          <w:szCs w:val="22"/>
          <w:lang w:val="en-GB"/>
        </w:rPr>
        <w:t xml:space="preserve"> been made on the application and, where applicable, such application has been reviewed in terms of section 24A or where the applicant exercised his or her right to appeal in terms of section 24B…’</w:t>
      </w:r>
    </w:p>
    <w:p w14:paraId="3E19C4CC" w14:textId="77777777" w:rsidR="00B36B03" w:rsidRPr="00680110" w:rsidRDefault="00B36B03" w:rsidP="00B36B03">
      <w:pPr>
        <w:pStyle w:val="ListParagraph"/>
        <w:jc w:val="both"/>
        <w:rPr>
          <w:i/>
          <w:iCs/>
          <w:sz w:val="22"/>
          <w:szCs w:val="22"/>
          <w:lang w:val="en-GB"/>
        </w:rPr>
      </w:pPr>
    </w:p>
    <w:p w14:paraId="47A52B4A" w14:textId="0546FA13" w:rsidR="00680110" w:rsidRPr="00546845" w:rsidRDefault="00546845" w:rsidP="00546845">
      <w:pPr>
        <w:autoSpaceDE w:val="0"/>
        <w:autoSpaceDN w:val="0"/>
        <w:adjustRightInd w:val="0"/>
        <w:jc w:val="both"/>
        <w:rPr>
          <w:lang w:val="en-GB"/>
        </w:rPr>
      </w:pPr>
      <w:r>
        <w:rPr>
          <w:lang w:val="en-GB"/>
        </w:rPr>
        <w:t>[6]</w:t>
      </w:r>
      <w:r>
        <w:rPr>
          <w:lang w:val="en-GB"/>
        </w:rPr>
        <w:tab/>
      </w:r>
      <w:r w:rsidR="00611E3F" w:rsidRPr="00546845">
        <w:rPr>
          <w:lang w:val="en-GB"/>
        </w:rPr>
        <w:t>The parties were agreed that the pre-amended version of this section, which operated at the time of the applicant’s arrest and refers to ‘rights of appeal and review in terms of chapter 4’, does not materially alter the meaning of the section</w:t>
      </w:r>
      <w:r w:rsidR="004E41B0" w:rsidRPr="00546845">
        <w:rPr>
          <w:lang w:val="en-GB"/>
        </w:rPr>
        <w:t>, that chapter in essence having been replaced by sections 24A and 24B.</w:t>
      </w:r>
    </w:p>
    <w:p w14:paraId="0F7B536B" w14:textId="77777777" w:rsidR="0075534A" w:rsidRDefault="0075534A" w:rsidP="0075534A">
      <w:pPr>
        <w:pStyle w:val="ListParagraph"/>
        <w:autoSpaceDE w:val="0"/>
        <w:autoSpaceDN w:val="0"/>
        <w:adjustRightInd w:val="0"/>
        <w:ind w:left="0"/>
        <w:jc w:val="both"/>
        <w:rPr>
          <w:lang w:val="en-GB"/>
        </w:rPr>
      </w:pPr>
    </w:p>
    <w:p w14:paraId="4A5F0862" w14:textId="0DAF53E1" w:rsidR="0075534A" w:rsidRPr="00546845" w:rsidRDefault="00546845" w:rsidP="00546845">
      <w:pPr>
        <w:autoSpaceDE w:val="0"/>
        <w:autoSpaceDN w:val="0"/>
        <w:adjustRightInd w:val="0"/>
        <w:jc w:val="both"/>
        <w:rPr>
          <w:lang w:val="en-GB"/>
        </w:rPr>
      </w:pPr>
      <w:r>
        <w:rPr>
          <w:lang w:val="en-GB"/>
        </w:rPr>
        <w:t>[7]</w:t>
      </w:r>
      <w:r>
        <w:rPr>
          <w:lang w:val="en-GB"/>
        </w:rPr>
        <w:tab/>
      </w:r>
      <w:r w:rsidR="0075534A" w:rsidRPr="00546845">
        <w:rPr>
          <w:lang w:val="en-GB"/>
        </w:rPr>
        <w:t>The applicant also places reliance on regulation 12(3) of the Regulations to the Refugees Act:</w:t>
      </w:r>
    </w:p>
    <w:p w14:paraId="651A34BE" w14:textId="76522B19" w:rsidR="0075534A" w:rsidRDefault="0075534A" w:rsidP="0075534A">
      <w:pPr>
        <w:jc w:val="both"/>
        <w:rPr>
          <w:sz w:val="22"/>
          <w:szCs w:val="22"/>
          <w:lang w:val="en-GB"/>
        </w:rPr>
      </w:pPr>
      <w:r>
        <w:rPr>
          <w:sz w:val="22"/>
          <w:szCs w:val="22"/>
          <w:lang w:val="en-GB"/>
        </w:rPr>
        <w:t>‘An asylum seeker visa may be issued to a failed asylum seeker upon service of a Notice of Motion indicating an application for judicial review: Provided that such visa may be issued for a period not exceeding 30 days at a time.’</w:t>
      </w:r>
    </w:p>
    <w:p w14:paraId="494C4B67" w14:textId="77777777" w:rsidR="006830F2" w:rsidRPr="0075534A" w:rsidRDefault="006830F2" w:rsidP="0075534A">
      <w:pPr>
        <w:jc w:val="both"/>
        <w:rPr>
          <w:sz w:val="22"/>
          <w:szCs w:val="22"/>
          <w:lang w:val="en-GB"/>
        </w:rPr>
      </w:pPr>
    </w:p>
    <w:p w14:paraId="0FA5C243" w14:textId="7E198B36" w:rsidR="0075534A" w:rsidRPr="00546845" w:rsidRDefault="00546845" w:rsidP="00546845">
      <w:pPr>
        <w:autoSpaceDE w:val="0"/>
        <w:autoSpaceDN w:val="0"/>
        <w:adjustRightInd w:val="0"/>
        <w:jc w:val="both"/>
        <w:rPr>
          <w:lang w:val="en-GB"/>
        </w:rPr>
      </w:pPr>
      <w:r>
        <w:rPr>
          <w:lang w:val="en-GB"/>
        </w:rPr>
        <w:t>[8]</w:t>
      </w:r>
      <w:r>
        <w:rPr>
          <w:lang w:val="en-GB"/>
        </w:rPr>
        <w:tab/>
      </w:r>
      <w:r w:rsidR="000940E5" w:rsidRPr="00546845">
        <w:rPr>
          <w:lang w:val="en-GB"/>
        </w:rPr>
        <w:t>In essence, the applicant’s case is that s 21(4)</w:t>
      </w:r>
      <w:r w:rsidR="000940E5" w:rsidRPr="00546845">
        <w:rPr>
          <w:i/>
          <w:iCs/>
          <w:lang w:val="en-GB"/>
        </w:rPr>
        <w:t>(a)</w:t>
      </w:r>
      <w:r w:rsidR="000940E5" w:rsidRPr="00546845">
        <w:rPr>
          <w:lang w:val="en-GB"/>
        </w:rPr>
        <w:t xml:space="preserve"> of the Refugees Act, also in its pre-amended form, barred the institution of any criminal proceedings for the contravention of s 49(1)</w:t>
      </w:r>
      <w:r w:rsidR="000940E5" w:rsidRPr="00546845">
        <w:rPr>
          <w:i/>
          <w:iCs/>
          <w:lang w:val="en-GB"/>
        </w:rPr>
        <w:t>(a)</w:t>
      </w:r>
      <w:r w:rsidR="000940E5" w:rsidRPr="00546845">
        <w:rPr>
          <w:lang w:val="en-GB"/>
        </w:rPr>
        <w:t xml:space="preserve"> of the Immigration Act, 2002</w:t>
      </w:r>
      <w:r w:rsidR="000940E5">
        <w:rPr>
          <w:rStyle w:val="FootnoteReference"/>
          <w:lang w:val="en-GB"/>
        </w:rPr>
        <w:footnoteReference w:id="3"/>
      </w:r>
      <w:r w:rsidR="0063012A" w:rsidRPr="00546845">
        <w:rPr>
          <w:lang w:val="en-GB"/>
        </w:rPr>
        <w:t xml:space="preserve"> against the applicant. The claim is that this also bars the continuation of such criminal proceedings against him whilst there is a pending </w:t>
      </w:r>
      <w:r w:rsidR="00384CD3" w:rsidRPr="00546845">
        <w:rPr>
          <w:lang w:val="en-GB"/>
        </w:rPr>
        <w:t>review application</w:t>
      </w:r>
      <w:r w:rsidR="0063012A" w:rsidRPr="00546845">
        <w:rPr>
          <w:lang w:val="en-GB"/>
        </w:rPr>
        <w:t xml:space="preserve"> against the decision of the Refugee</w:t>
      </w:r>
      <w:r w:rsidR="000E6315" w:rsidRPr="00546845">
        <w:rPr>
          <w:lang w:val="en-GB"/>
        </w:rPr>
        <w:t xml:space="preserve"> </w:t>
      </w:r>
      <w:r w:rsidR="0063012A" w:rsidRPr="00546845">
        <w:rPr>
          <w:lang w:val="en-GB"/>
        </w:rPr>
        <w:t xml:space="preserve"> Appeal Board for rejecting his asylum application.</w:t>
      </w:r>
    </w:p>
    <w:p w14:paraId="6847C32C" w14:textId="77777777" w:rsidR="00862CCE" w:rsidRPr="00862CCE" w:rsidRDefault="00862CCE" w:rsidP="00862CCE">
      <w:pPr>
        <w:pStyle w:val="ListParagraph"/>
        <w:rPr>
          <w:lang w:val="en-GB"/>
        </w:rPr>
      </w:pPr>
    </w:p>
    <w:p w14:paraId="2C08CA5B" w14:textId="4F925B13" w:rsidR="00862CCE" w:rsidRPr="00546845" w:rsidRDefault="00546845" w:rsidP="00546845">
      <w:pPr>
        <w:autoSpaceDE w:val="0"/>
        <w:autoSpaceDN w:val="0"/>
        <w:adjustRightInd w:val="0"/>
        <w:jc w:val="both"/>
        <w:rPr>
          <w:lang w:val="en-GB"/>
        </w:rPr>
      </w:pPr>
      <w:r>
        <w:rPr>
          <w:lang w:val="en-GB"/>
        </w:rPr>
        <w:t>[9]</w:t>
      </w:r>
      <w:r>
        <w:rPr>
          <w:lang w:val="en-GB"/>
        </w:rPr>
        <w:tab/>
      </w:r>
      <w:r w:rsidR="00446765" w:rsidRPr="00546845">
        <w:rPr>
          <w:lang w:val="en-GB"/>
        </w:rPr>
        <w:t xml:space="preserve">Reliance is placed on </w:t>
      </w:r>
      <w:r w:rsidR="00446765" w:rsidRPr="00546845">
        <w:rPr>
          <w:i/>
          <w:iCs/>
          <w:lang w:val="en-GB"/>
        </w:rPr>
        <w:t>Saidi and Others v Minister of Home Affairs and Others</w:t>
      </w:r>
      <w:r w:rsidR="00446765" w:rsidRPr="00C60630">
        <w:rPr>
          <w:rStyle w:val="FootnoteReference"/>
          <w:lang w:val="en-GB"/>
        </w:rPr>
        <w:footnoteReference w:id="4"/>
      </w:r>
      <w:r w:rsidR="00C60630" w:rsidRPr="00546845">
        <w:rPr>
          <w:i/>
          <w:iCs/>
          <w:lang w:val="en-GB"/>
        </w:rPr>
        <w:t xml:space="preserve"> </w:t>
      </w:r>
      <w:r w:rsidR="00C60630" w:rsidRPr="00546845">
        <w:rPr>
          <w:lang w:val="en-GB"/>
        </w:rPr>
        <w:t>(</w:t>
      </w:r>
      <w:r w:rsidR="00C60630" w:rsidRPr="00546845">
        <w:rPr>
          <w:i/>
          <w:iCs/>
          <w:lang w:val="en-GB"/>
        </w:rPr>
        <w:t>‘Saidi</w:t>
      </w:r>
      <w:r w:rsidR="00C60630" w:rsidRPr="00546845">
        <w:rPr>
          <w:lang w:val="en-GB"/>
        </w:rPr>
        <w:t>’).</w:t>
      </w:r>
      <w:r w:rsidR="008127B5" w:rsidRPr="00546845">
        <w:rPr>
          <w:lang w:val="en-GB"/>
        </w:rPr>
        <w:t xml:space="preserve"> In that matter, the applicants were asylum seekers </w:t>
      </w:r>
      <w:r w:rsidR="00272883" w:rsidRPr="00546845">
        <w:rPr>
          <w:lang w:val="en-GB"/>
        </w:rPr>
        <w:t xml:space="preserve">seeking refugee status in </w:t>
      </w:r>
      <w:r w:rsidR="00272883" w:rsidRPr="00546845">
        <w:rPr>
          <w:lang w:val="en-GB"/>
        </w:rPr>
        <w:lastRenderedPageBreak/>
        <w:t xml:space="preserve">South Africa. They each received an asylum seeker temporary permit entitling them to lawfully reside in the country for the duration of the application process. The temporary permits </w:t>
      </w:r>
      <w:r w:rsidR="00544A82" w:rsidRPr="00546845">
        <w:rPr>
          <w:lang w:val="en-GB"/>
        </w:rPr>
        <w:t>were</w:t>
      </w:r>
      <w:r w:rsidR="00272883" w:rsidRPr="00546845">
        <w:rPr>
          <w:lang w:val="en-GB"/>
        </w:rPr>
        <w:t xml:space="preserve"> extended </w:t>
      </w:r>
      <w:r w:rsidR="008C3F84" w:rsidRPr="00546845">
        <w:rPr>
          <w:lang w:val="en-GB"/>
        </w:rPr>
        <w:t xml:space="preserve">by the Refugee Reception Officer </w:t>
      </w:r>
      <w:r w:rsidR="00542900" w:rsidRPr="00546845">
        <w:rPr>
          <w:lang w:val="en-GB"/>
        </w:rPr>
        <w:t xml:space="preserve">(‘RRO’) </w:t>
      </w:r>
      <w:r w:rsidR="00272883" w:rsidRPr="00546845">
        <w:rPr>
          <w:lang w:val="en-GB"/>
        </w:rPr>
        <w:t xml:space="preserve">on application on a few occasions while </w:t>
      </w:r>
      <w:r w:rsidR="00BC3000" w:rsidRPr="00546845">
        <w:rPr>
          <w:lang w:val="en-GB"/>
        </w:rPr>
        <w:t xml:space="preserve">their asylum seekers’ applications were finalised. </w:t>
      </w:r>
      <w:r w:rsidR="00A77BD7" w:rsidRPr="00546845">
        <w:rPr>
          <w:lang w:val="en-GB"/>
        </w:rPr>
        <w:t xml:space="preserve">Those applications were all rejected in terms of s 24(3) of the Refugees Act and subsequent internal reviews or internal appeals, lodged in terms of ss 25 and 26 of the Refugees Act, were unsuccessful. The applicants </w:t>
      </w:r>
      <w:r w:rsidR="008127B5" w:rsidRPr="00546845">
        <w:rPr>
          <w:lang w:val="en-GB"/>
        </w:rPr>
        <w:t xml:space="preserve">instituted proceedings for judicial review under </w:t>
      </w:r>
      <w:r w:rsidR="007B7853" w:rsidRPr="00546845">
        <w:rPr>
          <w:lang w:val="en-GB"/>
        </w:rPr>
        <w:t>PAJA</w:t>
      </w:r>
      <w:r w:rsidR="007E28AD" w:rsidRPr="00546845">
        <w:rPr>
          <w:lang w:val="en-GB"/>
        </w:rPr>
        <w:t>, challenging the rejection of their applications</w:t>
      </w:r>
      <w:r w:rsidR="008127B5" w:rsidRPr="00546845">
        <w:rPr>
          <w:lang w:val="en-GB"/>
        </w:rPr>
        <w:t xml:space="preserve">. </w:t>
      </w:r>
    </w:p>
    <w:p w14:paraId="4EBCBA3E" w14:textId="77777777" w:rsidR="00542900" w:rsidRPr="00542900" w:rsidRDefault="00542900" w:rsidP="00542900">
      <w:pPr>
        <w:pStyle w:val="ListParagraph"/>
        <w:rPr>
          <w:lang w:val="en-GB"/>
        </w:rPr>
      </w:pPr>
    </w:p>
    <w:p w14:paraId="4821AB7D" w14:textId="40F216DE" w:rsidR="00542900" w:rsidRPr="00546845" w:rsidRDefault="00546845" w:rsidP="00546845">
      <w:pPr>
        <w:autoSpaceDE w:val="0"/>
        <w:autoSpaceDN w:val="0"/>
        <w:adjustRightInd w:val="0"/>
        <w:jc w:val="both"/>
        <w:rPr>
          <w:lang w:val="en-GB"/>
        </w:rPr>
      </w:pPr>
      <w:r>
        <w:rPr>
          <w:lang w:val="en-GB"/>
        </w:rPr>
        <w:t>[10]</w:t>
      </w:r>
      <w:r>
        <w:rPr>
          <w:lang w:val="en-GB"/>
        </w:rPr>
        <w:tab/>
      </w:r>
      <w:r w:rsidR="00542900" w:rsidRPr="00546845">
        <w:rPr>
          <w:lang w:val="en-GB"/>
        </w:rPr>
        <w:t>A previous practice, in terms of which the temporary permit would automatically be extended pending a PAJA review, had since been jettisoned</w:t>
      </w:r>
      <w:r w:rsidR="00A670A9" w:rsidRPr="00546845">
        <w:rPr>
          <w:lang w:val="en-GB"/>
        </w:rPr>
        <w:t xml:space="preserve">, and the acting manager of the refugee facility concerned had refused to extend any of the applicants’ permits, taking the view that this required a court order. </w:t>
      </w:r>
      <w:r w:rsidR="00FD5C61" w:rsidRPr="00546845">
        <w:rPr>
          <w:lang w:val="en-GB"/>
        </w:rPr>
        <w:t>This precipitated an urgent application to the High Court</w:t>
      </w:r>
      <w:r w:rsidR="00F020B8" w:rsidRPr="00546845">
        <w:rPr>
          <w:lang w:val="en-GB"/>
        </w:rPr>
        <w:t>, and a subsequent appeal to the Constitutional Court.</w:t>
      </w:r>
    </w:p>
    <w:p w14:paraId="69090873" w14:textId="77777777" w:rsidR="00F020B8" w:rsidRPr="00F020B8" w:rsidRDefault="00F020B8" w:rsidP="00F020B8">
      <w:pPr>
        <w:pStyle w:val="ListParagraph"/>
        <w:rPr>
          <w:lang w:val="en-GB"/>
        </w:rPr>
      </w:pPr>
    </w:p>
    <w:p w14:paraId="1F3FAE28" w14:textId="706337A1" w:rsidR="00F020B8" w:rsidRPr="00546845" w:rsidRDefault="00546845" w:rsidP="00546845">
      <w:pPr>
        <w:autoSpaceDE w:val="0"/>
        <w:autoSpaceDN w:val="0"/>
        <w:adjustRightInd w:val="0"/>
        <w:jc w:val="both"/>
        <w:rPr>
          <w:lang w:val="en-GB"/>
        </w:rPr>
      </w:pPr>
      <w:r>
        <w:rPr>
          <w:lang w:val="en-GB"/>
        </w:rPr>
        <w:t>[11]</w:t>
      </w:r>
      <w:r>
        <w:rPr>
          <w:lang w:val="en-GB"/>
        </w:rPr>
        <w:tab/>
      </w:r>
      <w:r w:rsidR="00F020B8" w:rsidRPr="00546845">
        <w:rPr>
          <w:lang w:val="en-GB"/>
        </w:rPr>
        <w:t>The Constitutional Court expressed itself on the proper interpretation of s 22(1) of the Refugees Act:</w:t>
      </w:r>
      <w:r w:rsidR="00F020B8">
        <w:rPr>
          <w:rStyle w:val="FootnoteReference"/>
          <w:lang w:val="en-GB"/>
        </w:rPr>
        <w:footnoteReference w:id="5"/>
      </w:r>
    </w:p>
    <w:p w14:paraId="6D827384" w14:textId="77777777" w:rsidR="008A5860" w:rsidRPr="008A5860" w:rsidRDefault="008A5860" w:rsidP="008A5860">
      <w:pPr>
        <w:autoSpaceDE w:val="0"/>
        <w:autoSpaceDN w:val="0"/>
        <w:adjustRightInd w:val="0"/>
        <w:jc w:val="both"/>
        <w:rPr>
          <w:sz w:val="22"/>
          <w:szCs w:val="22"/>
          <w:lang w:val="en-GB"/>
        </w:rPr>
      </w:pPr>
      <w:r w:rsidRPr="008A5860">
        <w:rPr>
          <w:sz w:val="22"/>
          <w:szCs w:val="22"/>
          <w:lang w:val="en-GB"/>
        </w:rPr>
        <w:t>‘The Refugee Reception Officer must, pending the outcome of an application in terms of s 21(1) issue to the applicant an asylum seeker permit in the prescribed form allowing the applicant to sojourn in the Republic temporarily, subject to any conditions, determined by the Standing Committee, which are not in conflict with the Constitution or international law and are endorsed by the Refugee Reception Officer on the permit.’</w:t>
      </w:r>
    </w:p>
    <w:p w14:paraId="338197C4" w14:textId="77777777" w:rsidR="008A5860" w:rsidRPr="008A5860" w:rsidRDefault="008A5860" w:rsidP="008A5860">
      <w:pPr>
        <w:rPr>
          <w:lang w:val="en-GB"/>
        </w:rPr>
      </w:pPr>
    </w:p>
    <w:p w14:paraId="43FBF20C" w14:textId="6D6961A6" w:rsidR="008A5860" w:rsidRPr="00546845" w:rsidRDefault="00546845" w:rsidP="00546845">
      <w:pPr>
        <w:autoSpaceDE w:val="0"/>
        <w:autoSpaceDN w:val="0"/>
        <w:adjustRightInd w:val="0"/>
        <w:jc w:val="both"/>
        <w:rPr>
          <w:lang w:val="en-GB"/>
        </w:rPr>
      </w:pPr>
      <w:r>
        <w:rPr>
          <w:lang w:val="en-GB"/>
        </w:rPr>
        <w:t>[12]</w:t>
      </w:r>
      <w:r>
        <w:rPr>
          <w:lang w:val="en-GB"/>
        </w:rPr>
        <w:tab/>
      </w:r>
      <w:r w:rsidR="00146872" w:rsidRPr="00546845">
        <w:rPr>
          <w:lang w:val="en-GB"/>
        </w:rPr>
        <w:t xml:space="preserve">Section 22(3) provides that a RRO ‘may’ from time to time extend the period for which a permit has been issued in terms of s 22(1). </w:t>
      </w:r>
      <w:r w:rsidR="009B090A" w:rsidRPr="00546845">
        <w:rPr>
          <w:lang w:val="en-GB"/>
        </w:rPr>
        <w:t>Reading the two subsections together, the Constitutional Court confirmed the parties</w:t>
      </w:r>
      <w:r w:rsidR="008C76FA" w:rsidRPr="00546845">
        <w:rPr>
          <w:lang w:val="en-GB"/>
        </w:rPr>
        <w:t>’</w:t>
      </w:r>
      <w:r w:rsidR="009B090A" w:rsidRPr="00546845">
        <w:rPr>
          <w:lang w:val="en-GB"/>
        </w:rPr>
        <w:t xml:space="preserve"> agreement that that the word ‘may’ in s 22(3) did not grant the RRO any discretion over the issuing of permits</w:t>
      </w:r>
      <w:r w:rsidR="00A33441" w:rsidRPr="00546845">
        <w:rPr>
          <w:lang w:val="en-GB"/>
        </w:rPr>
        <w:t>. In other words, the RRO had the power to extend permits and an obligation to exercise this power to extend the permit pending the outcome of an application for refugee status.</w:t>
      </w:r>
      <w:r w:rsidR="00A94BD0">
        <w:rPr>
          <w:rStyle w:val="FootnoteReference"/>
          <w:lang w:val="en-GB"/>
        </w:rPr>
        <w:footnoteReference w:id="6"/>
      </w:r>
      <w:r w:rsidR="00E70DE5" w:rsidRPr="00546845">
        <w:rPr>
          <w:lang w:val="en-GB"/>
        </w:rPr>
        <w:t xml:space="preserve"> This interpretation was held to better afford an asylum seeker constitutional protection whilst awaiting the outcome of their application.</w:t>
      </w:r>
    </w:p>
    <w:p w14:paraId="400E445A" w14:textId="77777777" w:rsidR="001F0835" w:rsidRDefault="001F0835" w:rsidP="001F0835">
      <w:pPr>
        <w:pStyle w:val="ListParagraph"/>
        <w:autoSpaceDE w:val="0"/>
        <w:autoSpaceDN w:val="0"/>
        <w:adjustRightInd w:val="0"/>
        <w:ind w:left="0"/>
        <w:jc w:val="both"/>
        <w:rPr>
          <w:lang w:val="en-GB"/>
        </w:rPr>
      </w:pPr>
    </w:p>
    <w:p w14:paraId="49ECD31B" w14:textId="20D03D42" w:rsidR="001F0835" w:rsidRPr="00546845" w:rsidRDefault="00546845" w:rsidP="00546845">
      <w:pPr>
        <w:autoSpaceDE w:val="0"/>
        <w:autoSpaceDN w:val="0"/>
        <w:adjustRightInd w:val="0"/>
        <w:jc w:val="both"/>
        <w:rPr>
          <w:lang w:val="en-GB"/>
        </w:rPr>
      </w:pPr>
      <w:r>
        <w:rPr>
          <w:lang w:val="en-GB"/>
        </w:rPr>
        <w:t>[13]</w:t>
      </w:r>
      <w:r>
        <w:rPr>
          <w:lang w:val="en-GB"/>
        </w:rPr>
        <w:tab/>
      </w:r>
      <w:r w:rsidR="001F0835" w:rsidRPr="00546845">
        <w:rPr>
          <w:lang w:val="en-GB"/>
        </w:rPr>
        <w:t xml:space="preserve">But what </w:t>
      </w:r>
      <w:r w:rsidR="00491280" w:rsidRPr="00546845">
        <w:rPr>
          <w:lang w:val="en-GB"/>
        </w:rPr>
        <w:t>was the pending ‘outcome’ that ‘must’ result in the asylum seeker permit being issued to enable temporary sojourn in the Republic?</w:t>
      </w:r>
      <w:r w:rsidR="00263FF7" w:rsidRPr="00546845">
        <w:rPr>
          <w:lang w:val="en-GB"/>
        </w:rPr>
        <w:t xml:space="preserve"> Was this a reference only to an outcome in terms of the process provided for in the Refugees Act, including internal reviews and internal appeals? Or did ‘outcome’ also include the final outcome of judicial review?</w:t>
      </w:r>
      <w:r w:rsidR="005A0C64">
        <w:rPr>
          <w:rStyle w:val="FootnoteReference"/>
          <w:lang w:val="en-GB"/>
        </w:rPr>
        <w:footnoteReference w:id="7"/>
      </w:r>
    </w:p>
    <w:p w14:paraId="5DA86AA4" w14:textId="77777777" w:rsidR="007375D3" w:rsidRPr="007375D3" w:rsidRDefault="007375D3" w:rsidP="007375D3">
      <w:pPr>
        <w:pStyle w:val="ListParagraph"/>
        <w:rPr>
          <w:lang w:val="en-GB"/>
        </w:rPr>
      </w:pPr>
    </w:p>
    <w:p w14:paraId="632A0255" w14:textId="13B1B700" w:rsidR="007375D3" w:rsidRPr="00546845" w:rsidRDefault="00546845" w:rsidP="00546845">
      <w:pPr>
        <w:autoSpaceDE w:val="0"/>
        <w:autoSpaceDN w:val="0"/>
        <w:adjustRightInd w:val="0"/>
        <w:jc w:val="both"/>
        <w:rPr>
          <w:lang w:val="en-GB"/>
        </w:rPr>
      </w:pPr>
      <w:r>
        <w:rPr>
          <w:lang w:val="en-GB"/>
        </w:rPr>
        <w:t>[14]</w:t>
      </w:r>
      <w:r>
        <w:rPr>
          <w:lang w:val="en-GB"/>
        </w:rPr>
        <w:tab/>
      </w:r>
      <w:r w:rsidR="007375D3" w:rsidRPr="00546845">
        <w:rPr>
          <w:lang w:val="en-GB"/>
        </w:rPr>
        <w:t>The Constitutional Court favoured the interpretation considered to accord with the purposes of the Refugees Act</w:t>
      </w:r>
      <w:r w:rsidR="001A00CB" w:rsidRPr="00546845">
        <w:rPr>
          <w:lang w:val="en-GB"/>
        </w:rPr>
        <w:t>, including giving effect to relevant international law,</w:t>
      </w:r>
      <w:r w:rsidR="007375D3" w:rsidRPr="00546845">
        <w:rPr>
          <w:lang w:val="en-GB"/>
        </w:rPr>
        <w:t xml:space="preserve"> and more consonant with the constitutional rights of asylum seekers.</w:t>
      </w:r>
      <w:r w:rsidR="009A2899">
        <w:rPr>
          <w:rStyle w:val="FootnoteReference"/>
          <w:lang w:val="en-GB"/>
        </w:rPr>
        <w:footnoteReference w:id="8"/>
      </w:r>
      <w:r w:rsidR="007375D3" w:rsidRPr="00546845">
        <w:rPr>
          <w:lang w:val="en-GB"/>
        </w:rPr>
        <w:t xml:space="preserve"> </w:t>
      </w:r>
      <w:r w:rsidR="00C25AA3" w:rsidRPr="00546845">
        <w:rPr>
          <w:lang w:val="en-GB"/>
        </w:rPr>
        <w:t>T</w:t>
      </w:r>
      <w:r w:rsidR="00D73D98" w:rsidRPr="00546845">
        <w:rPr>
          <w:lang w:val="en-GB"/>
        </w:rPr>
        <w:t>he respondents approach in that matter</w:t>
      </w:r>
      <w:r w:rsidR="003901AB" w:rsidRPr="00546845">
        <w:rPr>
          <w:lang w:val="en-GB"/>
        </w:rPr>
        <w:t xml:space="preserve">, including the suggestion that an urgent interdict was possible adequate redress, </w:t>
      </w:r>
      <w:r w:rsidR="00D73D98" w:rsidRPr="00546845">
        <w:rPr>
          <w:lang w:val="en-GB"/>
        </w:rPr>
        <w:t xml:space="preserve">was held to run counter to the principle of </w:t>
      </w:r>
      <w:r w:rsidR="00D73D98" w:rsidRPr="00546845">
        <w:rPr>
          <w:i/>
          <w:iCs/>
          <w:lang w:val="en-GB"/>
        </w:rPr>
        <w:t>non-refoulement</w:t>
      </w:r>
      <w:r w:rsidR="00D73D98" w:rsidRPr="00546845">
        <w:rPr>
          <w:lang w:val="en-GB"/>
        </w:rPr>
        <w:t xml:space="preserve"> and the provisions of s 2 of the Refugees Act</w:t>
      </w:r>
      <w:r w:rsidR="00A5177F" w:rsidRPr="00546845">
        <w:rPr>
          <w:lang w:val="en-GB"/>
        </w:rPr>
        <w:t>:</w:t>
      </w:r>
      <w:r w:rsidR="00377859">
        <w:rPr>
          <w:rStyle w:val="FootnoteReference"/>
          <w:lang w:val="en-GB"/>
        </w:rPr>
        <w:footnoteReference w:id="9"/>
      </w:r>
    </w:p>
    <w:p w14:paraId="02DBAF4E" w14:textId="66ADAFDD" w:rsidR="00A5177F" w:rsidRDefault="00377859" w:rsidP="00E8333C">
      <w:pPr>
        <w:jc w:val="both"/>
        <w:rPr>
          <w:sz w:val="22"/>
          <w:szCs w:val="22"/>
          <w:lang w:val="en-GB"/>
        </w:rPr>
      </w:pPr>
      <w:r>
        <w:rPr>
          <w:sz w:val="22"/>
          <w:szCs w:val="22"/>
          <w:lang w:val="en-GB"/>
        </w:rPr>
        <w:t>‘The respondents’ interpretation</w:t>
      </w:r>
      <w:r w:rsidR="00AB4DA6">
        <w:rPr>
          <w:sz w:val="22"/>
          <w:szCs w:val="22"/>
          <w:lang w:val="en-GB"/>
        </w:rPr>
        <w:t xml:space="preserve"> exposes an asylum seeker whose application has been administratively turned down, but who is desirous of seeking, or has launched, a judicial review, to all the risks set out in the preceding quote. That, when a judicial review may eventually establish that the asylum seeker was, in fact, entitled to be recognised as a refugee. This is absurd, especially in the light of another point made by Judge Pinto de Albuquerque that ‘(a) person does not become a refugee because of recognition, but is recognised because he or she is a refugee”.’</w:t>
      </w:r>
      <w:r w:rsidR="00795B79">
        <w:rPr>
          <w:sz w:val="22"/>
          <w:szCs w:val="22"/>
          <w:lang w:val="en-GB"/>
        </w:rPr>
        <w:t xml:space="preserve"> (Footnote omitted).</w:t>
      </w:r>
    </w:p>
    <w:p w14:paraId="7E083E92" w14:textId="77777777" w:rsidR="002B7C09" w:rsidRPr="00377859" w:rsidRDefault="002B7C09" w:rsidP="00E8333C">
      <w:pPr>
        <w:jc w:val="both"/>
        <w:rPr>
          <w:sz w:val="22"/>
          <w:szCs w:val="22"/>
          <w:lang w:val="en-GB"/>
        </w:rPr>
      </w:pPr>
    </w:p>
    <w:p w14:paraId="56BF458A" w14:textId="6716B311" w:rsidR="00A5177F" w:rsidRPr="00546845" w:rsidRDefault="00546845" w:rsidP="00546845">
      <w:pPr>
        <w:autoSpaceDE w:val="0"/>
        <w:autoSpaceDN w:val="0"/>
        <w:adjustRightInd w:val="0"/>
        <w:jc w:val="both"/>
        <w:rPr>
          <w:lang w:val="en-GB"/>
        </w:rPr>
      </w:pPr>
      <w:r>
        <w:rPr>
          <w:lang w:val="en-GB"/>
        </w:rPr>
        <w:t>[15]</w:t>
      </w:r>
      <w:r>
        <w:rPr>
          <w:lang w:val="en-GB"/>
        </w:rPr>
        <w:tab/>
      </w:r>
      <w:r w:rsidR="006B7773" w:rsidRPr="00546845">
        <w:rPr>
          <w:lang w:val="en-GB"/>
        </w:rPr>
        <w:t>A textual approach would favour the respondents but was held to be untenable.</w:t>
      </w:r>
      <w:r w:rsidR="00CE2BBA">
        <w:rPr>
          <w:rStyle w:val="FootnoteReference"/>
          <w:lang w:val="en-GB"/>
        </w:rPr>
        <w:footnoteReference w:id="10"/>
      </w:r>
      <w:r w:rsidR="00963B3D" w:rsidRPr="00546845">
        <w:rPr>
          <w:lang w:val="en-GB"/>
        </w:rPr>
        <w:t xml:space="preserve"> The Constitutional Court arrived at the following conclusion</w:t>
      </w:r>
      <w:r w:rsidR="00197D9E" w:rsidRPr="00546845">
        <w:rPr>
          <w:lang w:val="en-GB"/>
        </w:rPr>
        <w:t>:</w:t>
      </w:r>
      <w:r w:rsidR="00F27CE2">
        <w:rPr>
          <w:rStyle w:val="FootnoteReference"/>
          <w:lang w:val="en-GB"/>
        </w:rPr>
        <w:footnoteReference w:id="11"/>
      </w:r>
    </w:p>
    <w:p w14:paraId="006E25C5" w14:textId="19B78223" w:rsidR="00197D9E" w:rsidRDefault="004F2600" w:rsidP="00197D9E">
      <w:pPr>
        <w:pStyle w:val="ListParagraph"/>
        <w:autoSpaceDE w:val="0"/>
        <w:autoSpaceDN w:val="0"/>
        <w:adjustRightInd w:val="0"/>
        <w:ind w:left="0"/>
        <w:jc w:val="both"/>
        <w:rPr>
          <w:sz w:val="22"/>
          <w:szCs w:val="22"/>
          <w:lang w:val="en-GB"/>
        </w:rPr>
      </w:pPr>
      <w:r>
        <w:rPr>
          <w:sz w:val="22"/>
          <w:szCs w:val="22"/>
          <w:lang w:val="en-GB"/>
        </w:rPr>
        <w:t>‘[42]</w:t>
      </w:r>
      <w:r>
        <w:rPr>
          <w:sz w:val="22"/>
          <w:szCs w:val="22"/>
          <w:lang w:val="en-GB"/>
        </w:rPr>
        <w:tab/>
        <w:t xml:space="preserve">What I have held above relative to the existence of the power to renew pending judicial review does not leave much room for the exercise of a discretion before renewal. In particular, the imperatives of the principle of </w:t>
      </w:r>
      <w:r>
        <w:rPr>
          <w:i/>
          <w:iCs/>
          <w:sz w:val="22"/>
          <w:szCs w:val="22"/>
          <w:lang w:val="en-GB"/>
        </w:rPr>
        <w:t>non-refoulement</w:t>
      </w:r>
      <w:r>
        <w:rPr>
          <w:sz w:val="22"/>
          <w:szCs w:val="22"/>
          <w:lang w:val="en-GB"/>
        </w:rPr>
        <w:t xml:space="preserve"> dictate that, until judicial review proceedings have been finalised, there must be a permit in place. </w:t>
      </w:r>
      <w:r w:rsidR="00322D56">
        <w:rPr>
          <w:sz w:val="22"/>
          <w:szCs w:val="22"/>
          <w:lang w:val="en-GB"/>
        </w:rPr>
        <w:t>Denying an RRO a discretion which she or he does not have before finalisation of the internal application process does not place the state in a disadvantageous position. To the extent that, for whatever legally acceptable reason, an asylum seeker should not have a permit, there may be a withdrawal by the Minister in terms of s 22(6) of the Refugees Act.</w:t>
      </w:r>
    </w:p>
    <w:p w14:paraId="300835B5" w14:textId="4601350C" w:rsidR="004464BB" w:rsidRDefault="004464BB" w:rsidP="00197D9E">
      <w:pPr>
        <w:pStyle w:val="ListParagraph"/>
        <w:autoSpaceDE w:val="0"/>
        <w:autoSpaceDN w:val="0"/>
        <w:adjustRightInd w:val="0"/>
        <w:ind w:left="0"/>
        <w:jc w:val="both"/>
        <w:rPr>
          <w:sz w:val="22"/>
          <w:szCs w:val="22"/>
          <w:lang w:val="en-GB"/>
        </w:rPr>
      </w:pPr>
    </w:p>
    <w:p w14:paraId="375CF476" w14:textId="34C4F429" w:rsidR="004464BB" w:rsidRPr="004F2600" w:rsidRDefault="004464BB" w:rsidP="00197D9E">
      <w:pPr>
        <w:pStyle w:val="ListParagraph"/>
        <w:autoSpaceDE w:val="0"/>
        <w:autoSpaceDN w:val="0"/>
        <w:adjustRightInd w:val="0"/>
        <w:ind w:left="0"/>
        <w:jc w:val="both"/>
        <w:rPr>
          <w:sz w:val="22"/>
          <w:szCs w:val="22"/>
          <w:lang w:val="en-GB"/>
        </w:rPr>
      </w:pPr>
      <w:r>
        <w:rPr>
          <w:sz w:val="22"/>
          <w:szCs w:val="22"/>
          <w:lang w:val="en-GB"/>
        </w:rPr>
        <w:t>[43]</w:t>
      </w:r>
      <w:r>
        <w:rPr>
          <w:sz w:val="22"/>
          <w:szCs w:val="22"/>
          <w:lang w:val="en-GB"/>
        </w:rPr>
        <w:tab/>
        <w:t xml:space="preserve">… here are additional reasons why the RRO has to extend automatically … </w:t>
      </w:r>
      <w:r w:rsidR="006321B6">
        <w:rPr>
          <w:sz w:val="22"/>
          <w:szCs w:val="22"/>
          <w:lang w:val="en-GB"/>
        </w:rPr>
        <w:t>in the case of the Minister, s 22(6) clearly specifies the circumstances under which the Minister may effect cancellation. The RRO, on the other hand, is given carte blanche … why would the Minister’s discretion be circumscribed, and the RRO’s not? If anything, I would have expected the situation to be the reverse. To me, this is a pointer that – pending finalisation of judicial review – the RRO must extend a permit automatically.’</w:t>
      </w:r>
    </w:p>
    <w:p w14:paraId="03113DDE" w14:textId="77777777" w:rsidR="00197D9E" w:rsidRDefault="00197D9E" w:rsidP="00197D9E">
      <w:pPr>
        <w:pStyle w:val="ListParagraph"/>
        <w:autoSpaceDE w:val="0"/>
        <w:autoSpaceDN w:val="0"/>
        <w:adjustRightInd w:val="0"/>
        <w:ind w:left="0"/>
        <w:jc w:val="both"/>
        <w:rPr>
          <w:lang w:val="en-GB"/>
        </w:rPr>
      </w:pPr>
    </w:p>
    <w:p w14:paraId="784206C8" w14:textId="7BCB14B2" w:rsidR="00197D9E" w:rsidRPr="00546845" w:rsidRDefault="00546845" w:rsidP="00546845">
      <w:pPr>
        <w:autoSpaceDE w:val="0"/>
        <w:autoSpaceDN w:val="0"/>
        <w:adjustRightInd w:val="0"/>
        <w:jc w:val="both"/>
        <w:rPr>
          <w:lang w:val="en-GB"/>
        </w:rPr>
      </w:pPr>
      <w:r>
        <w:rPr>
          <w:lang w:val="en-GB"/>
        </w:rPr>
        <w:t>[16]</w:t>
      </w:r>
      <w:r>
        <w:rPr>
          <w:lang w:val="en-GB"/>
        </w:rPr>
        <w:tab/>
      </w:r>
      <w:r w:rsidR="00262404" w:rsidRPr="00546845">
        <w:rPr>
          <w:lang w:val="en-GB"/>
        </w:rPr>
        <w:t xml:space="preserve">The Constitutional Court </w:t>
      </w:r>
      <w:r w:rsidR="00CE2978" w:rsidRPr="00546845">
        <w:rPr>
          <w:lang w:val="en-GB"/>
        </w:rPr>
        <w:t>accordingly ordered that a RRO had the power to extend a s</w:t>
      </w:r>
      <w:r w:rsidR="00CA5B9D" w:rsidRPr="00546845">
        <w:rPr>
          <w:lang w:val="en-GB"/>
        </w:rPr>
        <w:t xml:space="preserve"> </w:t>
      </w:r>
      <w:r w:rsidR="00CE2978" w:rsidRPr="00546845">
        <w:rPr>
          <w:lang w:val="en-GB"/>
        </w:rPr>
        <w:t>22(1) permit pending finalisation of proceedings for judicial review of a decision to refuse an application for asylum. Pending finalisation of this review, a RRO was obliged to issue or extend the permit of the asylum seeker concerned</w:t>
      </w:r>
      <w:r w:rsidR="001D2714" w:rsidRPr="00546845">
        <w:rPr>
          <w:lang w:val="en-GB"/>
        </w:rPr>
        <w:t xml:space="preserve"> in accordance with the provisions of the Refugees Act and Regulations made in terms of s 38 of tha</w:t>
      </w:r>
      <w:r w:rsidR="004A7537" w:rsidRPr="00546845">
        <w:rPr>
          <w:lang w:val="en-GB"/>
        </w:rPr>
        <w:t>t Act.</w:t>
      </w:r>
      <w:r w:rsidR="00E66B0C" w:rsidRPr="00546845">
        <w:rPr>
          <w:lang w:val="en-GB"/>
        </w:rPr>
        <w:t xml:space="preserve"> Notable is that the court did not in fact make a specific order for the issuing of extensions of the applicants’ temporary permits, leaving it to the applicants to ‘again approach the RRO and for the RRO to act in accordance with this judgment and the declaratory orders’.</w:t>
      </w:r>
      <w:r w:rsidR="00F9139C">
        <w:rPr>
          <w:rStyle w:val="FootnoteReference"/>
          <w:lang w:val="en-GB"/>
        </w:rPr>
        <w:footnoteReference w:id="12"/>
      </w:r>
    </w:p>
    <w:p w14:paraId="58DC3E49" w14:textId="77753DBB" w:rsidR="007B617C" w:rsidRDefault="007B617C" w:rsidP="007B617C">
      <w:pPr>
        <w:pStyle w:val="ListParagraph"/>
        <w:autoSpaceDE w:val="0"/>
        <w:autoSpaceDN w:val="0"/>
        <w:adjustRightInd w:val="0"/>
        <w:ind w:left="0"/>
        <w:jc w:val="both"/>
        <w:rPr>
          <w:lang w:val="en-GB"/>
        </w:rPr>
      </w:pPr>
    </w:p>
    <w:p w14:paraId="67CE1642" w14:textId="05BA7820" w:rsidR="008177DF" w:rsidRDefault="008177DF" w:rsidP="007B617C">
      <w:pPr>
        <w:pStyle w:val="ListParagraph"/>
        <w:autoSpaceDE w:val="0"/>
        <w:autoSpaceDN w:val="0"/>
        <w:adjustRightInd w:val="0"/>
        <w:ind w:left="0"/>
        <w:jc w:val="both"/>
        <w:rPr>
          <w:b/>
          <w:bCs/>
          <w:lang w:val="en-GB"/>
        </w:rPr>
      </w:pPr>
      <w:r>
        <w:rPr>
          <w:b/>
          <w:bCs/>
          <w:lang w:val="en-GB"/>
        </w:rPr>
        <w:t>The respondents</w:t>
      </w:r>
      <w:r w:rsidR="00C40CCA">
        <w:rPr>
          <w:b/>
          <w:bCs/>
          <w:lang w:val="en-GB"/>
        </w:rPr>
        <w:t>’</w:t>
      </w:r>
      <w:r>
        <w:rPr>
          <w:b/>
          <w:bCs/>
          <w:lang w:val="en-GB"/>
        </w:rPr>
        <w:t xml:space="preserve"> case</w:t>
      </w:r>
    </w:p>
    <w:p w14:paraId="596DDB23" w14:textId="77777777" w:rsidR="008177DF" w:rsidRPr="008177DF" w:rsidRDefault="008177DF" w:rsidP="007B617C">
      <w:pPr>
        <w:pStyle w:val="ListParagraph"/>
        <w:autoSpaceDE w:val="0"/>
        <w:autoSpaceDN w:val="0"/>
        <w:adjustRightInd w:val="0"/>
        <w:ind w:left="0"/>
        <w:jc w:val="both"/>
        <w:rPr>
          <w:b/>
          <w:bCs/>
          <w:lang w:val="en-GB"/>
        </w:rPr>
      </w:pPr>
    </w:p>
    <w:p w14:paraId="451179F9" w14:textId="737B2C71" w:rsidR="007B617C" w:rsidRPr="00546845" w:rsidRDefault="00546845" w:rsidP="00546845">
      <w:pPr>
        <w:autoSpaceDE w:val="0"/>
        <w:autoSpaceDN w:val="0"/>
        <w:adjustRightInd w:val="0"/>
        <w:jc w:val="both"/>
        <w:rPr>
          <w:lang w:val="en-GB"/>
        </w:rPr>
      </w:pPr>
      <w:r>
        <w:rPr>
          <w:lang w:val="en-GB"/>
        </w:rPr>
        <w:t>[17]</w:t>
      </w:r>
      <w:r>
        <w:rPr>
          <w:lang w:val="en-GB"/>
        </w:rPr>
        <w:tab/>
      </w:r>
      <w:r w:rsidR="007B617C" w:rsidRPr="00546845">
        <w:rPr>
          <w:lang w:val="en-GB"/>
        </w:rPr>
        <w:t>The respondents chose to oppose the relief sought by filing a notice as contemplated in Uniform Rule 6(5)</w:t>
      </w:r>
      <w:r w:rsidR="007B617C" w:rsidRPr="00546845">
        <w:rPr>
          <w:i/>
          <w:iCs/>
          <w:lang w:val="en-GB"/>
        </w:rPr>
        <w:t>(d)</w:t>
      </w:r>
      <w:r w:rsidR="007B617C" w:rsidRPr="00546845">
        <w:rPr>
          <w:lang w:val="en-GB"/>
        </w:rPr>
        <w:t xml:space="preserve">(iii), raising limited points of law absent any answering affidavit. </w:t>
      </w:r>
      <w:r w:rsidR="003A33A1" w:rsidRPr="00546845">
        <w:rPr>
          <w:lang w:val="en-GB"/>
        </w:rPr>
        <w:t>The consequence is that the factual averments contained in the founding papers must be accepted and constitute the facts upon which the application stands to be determined.</w:t>
      </w:r>
      <w:r w:rsidR="004D4446" w:rsidRPr="00546845">
        <w:rPr>
          <w:lang w:val="en-GB"/>
        </w:rPr>
        <w:t xml:space="preserve"> </w:t>
      </w:r>
    </w:p>
    <w:p w14:paraId="3B0F429F" w14:textId="77777777" w:rsidR="004D4446" w:rsidRDefault="004D4446" w:rsidP="004D4446">
      <w:pPr>
        <w:pStyle w:val="ListParagraph"/>
        <w:autoSpaceDE w:val="0"/>
        <w:autoSpaceDN w:val="0"/>
        <w:adjustRightInd w:val="0"/>
        <w:ind w:left="0"/>
        <w:jc w:val="both"/>
        <w:rPr>
          <w:lang w:val="en-GB"/>
        </w:rPr>
      </w:pPr>
    </w:p>
    <w:p w14:paraId="0C07079E" w14:textId="7592A371" w:rsidR="004D4446" w:rsidRPr="00546845" w:rsidRDefault="00546845" w:rsidP="00546845">
      <w:pPr>
        <w:autoSpaceDE w:val="0"/>
        <w:autoSpaceDN w:val="0"/>
        <w:adjustRightInd w:val="0"/>
        <w:jc w:val="both"/>
        <w:rPr>
          <w:lang w:val="en-GB"/>
        </w:rPr>
      </w:pPr>
      <w:r>
        <w:rPr>
          <w:lang w:val="en-GB"/>
        </w:rPr>
        <w:t>[18]</w:t>
      </w:r>
      <w:r>
        <w:rPr>
          <w:lang w:val="en-GB"/>
        </w:rPr>
        <w:tab/>
      </w:r>
      <w:r w:rsidR="004D4446" w:rsidRPr="00546845">
        <w:rPr>
          <w:lang w:val="en-GB"/>
        </w:rPr>
        <w:t xml:space="preserve">Initially, </w:t>
      </w:r>
      <w:r w:rsidR="00490A4C" w:rsidRPr="00546845">
        <w:rPr>
          <w:lang w:val="en-GB"/>
        </w:rPr>
        <w:t>the respondents took the point that the applicant had erred in basing its case on the Promotion of Administrative Justice Act, 2000,</w:t>
      </w:r>
      <w:r w:rsidR="000F6ABE">
        <w:rPr>
          <w:rStyle w:val="FootnoteReference"/>
          <w:lang w:val="en-GB"/>
        </w:rPr>
        <w:footnoteReference w:id="13"/>
      </w:r>
      <w:r w:rsidR="00490A4C" w:rsidRPr="00546845">
        <w:rPr>
          <w:lang w:val="en-GB"/>
        </w:rPr>
        <w:t xml:space="preserve"> when the decisions in question were not ‘administrative decisions’. That angle was correct</w:t>
      </w:r>
      <w:r w:rsidR="00E436C8" w:rsidRPr="00546845">
        <w:rPr>
          <w:lang w:val="en-GB"/>
        </w:rPr>
        <w:t>ly</w:t>
      </w:r>
      <w:r w:rsidR="00490A4C" w:rsidRPr="00546845">
        <w:rPr>
          <w:lang w:val="en-GB"/>
        </w:rPr>
        <w:t xml:space="preserve"> jettisoned during arguments, the application, read in its entirety, being grounded in the </w:t>
      </w:r>
      <w:r w:rsidR="00F936E0" w:rsidRPr="00546845">
        <w:rPr>
          <w:lang w:val="en-GB"/>
        </w:rPr>
        <w:t xml:space="preserve">constitutional </w:t>
      </w:r>
      <w:r w:rsidR="00490A4C" w:rsidRPr="00546845">
        <w:rPr>
          <w:lang w:val="en-GB"/>
        </w:rPr>
        <w:t>principle of legality.</w:t>
      </w:r>
    </w:p>
    <w:p w14:paraId="3B902D98" w14:textId="77777777" w:rsidR="004D4446" w:rsidRPr="004D4446" w:rsidRDefault="004D4446" w:rsidP="004D4446">
      <w:pPr>
        <w:pStyle w:val="ListParagraph"/>
        <w:rPr>
          <w:lang w:val="en-GB"/>
        </w:rPr>
      </w:pPr>
    </w:p>
    <w:p w14:paraId="29158128" w14:textId="71A05D47" w:rsidR="00E70F51" w:rsidRPr="00546845" w:rsidRDefault="00546845" w:rsidP="00546845">
      <w:pPr>
        <w:autoSpaceDE w:val="0"/>
        <w:autoSpaceDN w:val="0"/>
        <w:adjustRightInd w:val="0"/>
        <w:jc w:val="both"/>
        <w:rPr>
          <w:lang w:val="en-GB"/>
        </w:rPr>
      </w:pPr>
      <w:r>
        <w:rPr>
          <w:lang w:val="en-GB"/>
        </w:rPr>
        <w:lastRenderedPageBreak/>
        <w:t>[19]</w:t>
      </w:r>
      <w:r>
        <w:rPr>
          <w:lang w:val="en-GB"/>
        </w:rPr>
        <w:tab/>
      </w:r>
      <w:r w:rsidR="004D4446" w:rsidRPr="00546845">
        <w:rPr>
          <w:lang w:val="en-GB"/>
        </w:rPr>
        <w:t xml:space="preserve">By time the matter was argued, the respondents’ stance had </w:t>
      </w:r>
      <w:r w:rsidR="000B5479" w:rsidRPr="00546845">
        <w:rPr>
          <w:lang w:val="en-GB"/>
        </w:rPr>
        <w:t xml:space="preserve">also </w:t>
      </w:r>
      <w:r w:rsidR="004D4446" w:rsidRPr="00546845">
        <w:rPr>
          <w:lang w:val="en-GB"/>
        </w:rPr>
        <w:t>changed</w:t>
      </w:r>
      <w:r w:rsidR="000B5479" w:rsidRPr="00546845">
        <w:rPr>
          <w:lang w:val="en-GB"/>
        </w:rPr>
        <w:t xml:space="preserve"> in respect of its second point, namely that the protection afforded by s 21(4)</w:t>
      </w:r>
      <w:r w:rsidR="000B5479" w:rsidRPr="00546845">
        <w:rPr>
          <w:i/>
          <w:iCs/>
          <w:lang w:val="en-GB"/>
        </w:rPr>
        <w:t>(a)</w:t>
      </w:r>
      <w:r w:rsidR="000B5479" w:rsidRPr="00546845">
        <w:rPr>
          <w:lang w:val="en-GB"/>
        </w:rPr>
        <w:t xml:space="preserve"> of the Refugees Act did not extend to </w:t>
      </w:r>
      <w:r w:rsidR="009E3042" w:rsidRPr="00546845">
        <w:rPr>
          <w:lang w:val="en-GB"/>
        </w:rPr>
        <w:t xml:space="preserve">unsuccessful </w:t>
      </w:r>
      <w:r w:rsidR="000B5479" w:rsidRPr="00546845">
        <w:rPr>
          <w:lang w:val="en-GB"/>
        </w:rPr>
        <w:t>asylum seekers who had lodged judicial review applications</w:t>
      </w:r>
      <w:r w:rsidR="004D4446" w:rsidRPr="00546845">
        <w:rPr>
          <w:lang w:val="en-GB"/>
        </w:rPr>
        <w:t xml:space="preserve">. An order interdicting and restraining the respondents from continuing with the criminal proceedings instituted against the applicant, pending the finalisation of the applicant’s pending judicial review, was conceded. That concession was properly made and accords with my understanding of at least part of the appropriate interpretation to be afforded to s 21(4) of the Refugees Act, </w:t>
      </w:r>
      <w:r w:rsidR="003C6428" w:rsidRPr="00546845">
        <w:rPr>
          <w:lang w:val="en-GB"/>
        </w:rPr>
        <w:t xml:space="preserve">particularly when considering </w:t>
      </w:r>
      <w:r w:rsidR="004D4446" w:rsidRPr="00546845">
        <w:rPr>
          <w:lang w:val="en-GB"/>
        </w:rPr>
        <w:t xml:space="preserve">the judgment in </w:t>
      </w:r>
      <w:r w:rsidR="004D4446" w:rsidRPr="00546845">
        <w:rPr>
          <w:i/>
          <w:iCs/>
          <w:lang w:val="en-GB"/>
        </w:rPr>
        <w:t>Saidi</w:t>
      </w:r>
      <w:r w:rsidR="004D4446" w:rsidRPr="00546845">
        <w:rPr>
          <w:lang w:val="en-GB"/>
        </w:rPr>
        <w:t>.</w:t>
      </w:r>
    </w:p>
    <w:p w14:paraId="5BEA4A9F" w14:textId="5561EEDD" w:rsidR="004D4446" w:rsidRDefault="004D4446" w:rsidP="00E70F51">
      <w:pPr>
        <w:pStyle w:val="ListParagraph"/>
        <w:autoSpaceDE w:val="0"/>
        <w:autoSpaceDN w:val="0"/>
        <w:adjustRightInd w:val="0"/>
        <w:ind w:left="0"/>
        <w:jc w:val="both"/>
        <w:rPr>
          <w:lang w:val="en-GB"/>
        </w:rPr>
      </w:pPr>
      <w:r>
        <w:rPr>
          <w:lang w:val="en-GB"/>
        </w:rPr>
        <w:t xml:space="preserve"> </w:t>
      </w:r>
    </w:p>
    <w:p w14:paraId="5C6F7960" w14:textId="6FE63EAF" w:rsidR="004D4446" w:rsidRPr="00546845" w:rsidRDefault="00546845" w:rsidP="00546845">
      <w:pPr>
        <w:autoSpaceDE w:val="0"/>
        <w:autoSpaceDN w:val="0"/>
        <w:adjustRightInd w:val="0"/>
        <w:jc w:val="both"/>
        <w:rPr>
          <w:lang w:val="en-GB"/>
        </w:rPr>
      </w:pPr>
      <w:r>
        <w:rPr>
          <w:lang w:val="en-GB"/>
        </w:rPr>
        <w:t>[20]</w:t>
      </w:r>
      <w:r>
        <w:rPr>
          <w:lang w:val="en-GB"/>
        </w:rPr>
        <w:tab/>
      </w:r>
      <w:r w:rsidR="00E70F51" w:rsidRPr="00546845">
        <w:rPr>
          <w:lang w:val="en-GB"/>
        </w:rPr>
        <w:t>Following this concession, the only questions remaining, on my understanding, pertain to the formulation of the relief to be granted, and the question of costs.</w:t>
      </w:r>
    </w:p>
    <w:p w14:paraId="0301674C" w14:textId="774E23CB" w:rsidR="00724250" w:rsidRDefault="00724250" w:rsidP="00724250">
      <w:pPr>
        <w:pStyle w:val="ListParagraph"/>
        <w:autoSpaceDE w:val="0"/>
        <w:autoSpaceDN w:val="0"/>
        <w:adjustRightInd w:val="0"/>
        <w:ind w:left="0"/>
        <w:jc w:val="both"/>
        <w:rPr>
          <w:lang w:val="en-GB"/>
        </w:rPr>
      </w:pPr>
    </w:p>
    <w:p w14:paraId="0BC01C22" w14:textId="1241DDF1" w:rsidR="00724250" w:rsidRDefault="00724250" w:rsidP="00724250">
      <w:pPr>
        <w:pStyle w:val="ListParagraph"/>
        <w:autoSpaceDE w:val="0"/>
        <w:autoSpaceDN w:val="0"/>
        <w:adjustRightInd w:val="0"/>
        <w:ind w:left="0"/>
        <w:jc w:val="both"/>
        <w:rPr>
          <w:b/>
          <w:bCs/>
          <w:lang w:val="en-GB"/>
        </w:rPr>
      </w:pPr>
      <w:r>
        <w:rPr>
          <w:b/>
          <w:bCs/>
          <w:lang w:val="en-GB"/>
        </w:rPr>
        <w:t>Analysis</w:t>
      </w:r>
    </w:p>
    <w:p w14:paraId="03EC0FD7" w14:textId="77777777" w:rsidR="00724250" w:rsidRPr="00724250" w:rsidRDefault="00724250" w:rsidP="00724250">
      <w:pPr>
        <w:pStyle w:val="ListParagraph"/>
        <w:autoSpaceDE w:val="0"/>
        <w:autoSpaceDN w:val="0"/>
        <w:adjustRightInd w:val="0"/>
        <w:ind w:left="0"/>
        <w:jc w:val="both"/>
        <w:rPr>
          <w:b/>
          <w:bCs/>
          <w:lang w:val="en-GB"/>
        </w:rPr>
      </w:pPr>
    </w:p>
    <w:p w14:paraId="511CC14D" w14:textId="5E669106" w:rsidR="006839DE" w:rsidRPr="00546845" w:rsidRDefault="00546845" w:rsidP="00546845">
      <w:pPr>
        <w:autoSpaceDE w:val="0"/>
        <w:autoSpaceDN w:val="0"/>
        <w:adjustRightInd w:val="0"/>
        <w:jc w:val="both"/>
        <w:rPr>
          <w:lang w:val="en-GB"/>
        </w:rPr>
      </w:pPr>
      <w:r w:rsidRPr="006839DE">
        <w:rPr>
          <w:lang w:val="en-GB"/>
        </w:rPr>
        <w:t>[21]</w:t>
      </w:r>
      <w:r w:rsidRPr="006839DE">
        <w:rPr>
          <w:lang w:val="en-GB"/>
        </w:rPr>
        <w:tab/>
      </w:r>
      <w:r w:rsidR="00CA7D96" w:rsidRPr="00546845">
        <w:rPr>
          <w:lang w:val="en-GB"/>
        </w:rPr>
        <w:t>The Constitutional Court has emphasised crucial aspects of the purposive reading to be given to the Refugees Act</w:t>
      </w:r>
      <w:r w:rsidR="00545500" w:rsidRPr="00546845">
        <w:rPr>
          <w:lang w:val="en-GB"/>
        </w:rPr>
        <w:t>, including an interpretation in accordance with international law</w:t>
      </w:r>
      <w:r w:rsidR="005634BE" w:rsidRPr="00546845">
        <w:rPr>
          <w:lang w:val="en-GB"/>
        </w:rPr>
        <w:t xml:space="preserve"> and the obligation of </w:t>
      </w:r>
      <w:r w:rsidR="005634BE" w:rsidRPr="00546845">
        <w:rPr>
          <w:i/>
          <w:iCs/>
          <w:lang w:val="en-GB"/>
        </w:rPr>
        <w:t>non-refoulement</w:t>
      </w:r>
      <w:r w:rsidR="00545500" w:rsidRPr="00546845">
        <w:rPr>
          <w:lang w:val="en-GB"/>
        </w:rPr>
        <w:t>.</w:t>
      </w:r>
      <w:r w:rsidR="00CA7D96">
        <w:rPr>
          <w:rStyle w:val="FootnoteReference"/>
          <w:lang w:val="en-GB"/>
        </w:rPr>
        <w:footnoteReference w:id="14"/>
      </w:r>
      <w:r w:rsidR="00CA7D96" w:rsidRPr="00546845">
        <w:rPr>
          <w:lang w:val="en-GB"/>
        </w:rPr>
        <w:t xml:space="preserve"> </w:t>
      </w:r>
      <w:r w:rsidR="002C4135" w:rsidRPr="00546845">
        <w:rPr>
          <w:lang w:val="en-GB"/>
        </w:rPr>
        <w:t>It has been established that once asylum seekers are in the country, the Refugees Act ensures the immediate protection of their rights, regularising their status pending the determination of their applications and ensuring their freedom and security in the interim.</w:t>
      </w:r>
      <w:r w:rsidR="002C4135">
        <w:rPr>
          <w:rStyle w:val="FootnoteReference"/>
          <w:lang w:val="en-GB"/>
        </w:rPr>
        <w:footnoteReference w:id="15"/>
      </w:r>
      <w:r w:rsidR="002C4135" w:rsidRPr="00546845">
        <w:rPr>
          <w:lang w:val="en-GB"/>
        </w:rPr>
        <w:t xml:space="preserve"> </w:t>
      </w:r>
      <w:r w:rsidR="0066093E" w:rsidRPr="00546845">
        <w:rPr>
          <w:i/>
          <w:iCs/>
          <w:lang w:val="en-GB"/>
        </w:rPr>
        <w:t xml:space="preserve">Saidi </w:t>
      </w:r>
      <w:r w:rsidR="003C1CA0" w:rsidRPr="00546845">
        <w:rPr>
          <w:lang w:val="en-GB"/>
        </w:rPr>
        <w:t xml:space="preserve">specifically highlights the significance of ‘immunity from prosecution’ </w:t>
      </w:r>
      <w:r w:rsidR="006839DE" w:rsidRPr="00546845">
        <w:rPr>
          <w:lang w:val="en-GB"/>
        </w:rPr>
        <w:t>as part of the appropriate interpretation of the Refugees Act:</w:t>
      </w:r>
      <w:r w:rsidR="005656C3">
        <w:rPr>
          <w:rStyle w:val="FootnoteReference"/>
          <w:lang w:val="en-GB"/>
        </w:rPr>
        <w:footnoteReference w:id="16"/>
      </w:r>
    </w:p>
    <w:p w14:paraId="204894B6" w14:textId="3E48A84C" w:rsidR="006839DE" w:rsidRDefault="006839DE" w:rsidP="006839DE">
      <w:pPr>
        <w:pStyle w:val="ListParagraph"/>
        <w:autoSpaceDE w:val="0"/>
        <w:autoSpaceDN w:val="0"/>
        <w:adjustRightInd w:val="0"/>
        <w:ind w:left="0"/>
        <w:jc w:val="both"/>
        <w:rPr>
          <w:sz w:val="22"/>
          <w:szCs w:val="22"/>
          <w:lang w:val="en-GB"/>
        </w:rPr>
      </w:pPr>
      <w:r>
        <w:rPr>
          <w:sz w:val="22"/>
          <w:szCs w:val="22"/>
          <w:lang w:val="en-GB"/>
        </w:rPr>
        <w:t xml:space="preserve">‘To illustrate a little more on the absurdity, an asylum seeker would be immune from prosecution while pursuing an internal appeal or review. This immunity would end as soon as this internal process is finalised. She or he would not have immunity pending a PAJA review. However, upon completion of the PAJA review, with the court deciding that the applicant ought </w:t>
      </w:r>
      <w:r>
        <w:rPr>
          <w:sz w:val="22"/>
          <w:szCs w:val="22"/>
          <w:lang w:val="en-GB"/>
        </w:rPr>
        <w:lastRenderedPageBreak/>
        <w:t>to have been granted asylum, the immunity would kick in again. An unfortunate, ominous game of “ping pong”.’</w:t>
      </w:r>
    </w:p>
    <w:p w14:paraId="046D4D2C" w14:textId="77777777" w:rsidR="006839DE" w:rsidRPr="006839DE" w:rsidRDefault="006839DE" w:rsidP="006839DE">
      <w:pPr>
        <w:pStyle w:val="ListParagraph"/>
        <w:autoSpaceDE w:val="0"/>
        <w:autoSpaceDN w:val="0"/>
        <w:adjustRightInd w:val="0"/>
        <w:ind w:left="0"/>
        <w:jc w:val="both"/>
        <w:rPr>
          <w:sz w:val="22"/>
          <w:szCs w:val="22"/>
          <w:lang w:val="en-GB"/>
        </w:rPr>
      </w:pPr>
    </w:p>
    <w:p w14:paraId="0B062AF3" w14:textId="34B331C5" w:rsidR="006839DE" w:rsidRPr="00546845" w:rsidRDefault="00546845" w:rsidP="00546845">
      <w:pPr>
        <w:autoSpaceDE w:val="0"/>
        <w:autoSpaceDN w:val="0"/>
        <w:adjustRightInd w:val="0"/>
        <w:jc w:val="both"/>
        <w:rPr>
          <w:lang w:val="en-GB"/>
        </w:rPr>
      </w:pPr>
      <w:r>
        <w:rPr>
          <w:lang w:val="en-GB"/>
        </w:rPr>
        <w:t>[22]</w:t>
      </w:r>
      <w:r>
        <w:rPr>
          <w:lang w:val="en-GB"/>
        </w:rPr>
        <w:tab/>
      </w:r>
      <w:r w:rsidR="006839DE" w:rsidRPr="00546845">
        <w:rPr>
          <w:i/>
          <w:iCs/>
          <w:lang w:val="en-GB"/>
        </w:rPr>
        <w:t>Saidi</w:t>
      </w:r>
      <w:r w:rsidR="006839DE" w:rsidRPr="00546845">
        <w:rPr>
          <w:lang w:val="en-GB"/>
        </w:rPr>
        <w:t xml:space="preserve"> establishes that the principle of </w:t>
      </w:r>
      <w:r w:rsidR="006839DE" w:rsidRPr="00546845">
        <w:rPr>
          <w:i/>
          <w:iCs/>
          <w:lang w:val="en-GB"/>
        </w:rPr>
        <w:t>non-refoulement</w:t>
      </w:r>
      <w:r w:rsidR="006839DE" w:rsidRPr="00546845">
        <w:rPr>
          <w:lang w:val="en-GB"/>
        </w:rPr>
        <w:t xml:space="preserve"> has an overarching effect that ‘at the very least’ endures until judicial review proceedings have been finalised.</w:t>
      </w:r>
      <w:r w:rsidR="006839DE">
        <w:rPr>
          <w:rStyle w:val="FootnoteReference"/>
          <w:lang w:val="en-GB"/>
        </w:rPr>
        <w:footnoteReference w:id="17"/>
      </w:r>
      <w:r w:rsidR="006839DE" w:rsidRPr="00546845">
        <w:rPr>
          <w:lang w:val="en-GB"/>
        </w:rPr>
        <w:t xml:space="preserve"> </w:t>
      </w:r>
      <w:r w:rsidR="000F7C66" w:rsidRPr="00546845">
        <w:rPr>
          <w:lang w:val="en-GB"/>
        </w:rPr>
        <w:t>This follows the core principle of refugee law that asylum seekers must be treated as presumptive refugees until the merits of their claim have been finally determined through a proper process.</w:t>
      </w:r>
      <w:r w:rsidR="000F7C66">
        <w:rPr>
          <w:rStyle w:val="FootnoteReference"/>
          <w:lang w:val="en-GB"/>
        </w:rPr>
        <w:footnoteReference w:id="18"/>
      </w:r>
      <w:r w:rsidR="000F7C66" w:rsidRPr="00546845">
        <w:rPr>
          <w:lang w:val="en-GB"/>
        </w:rPr>
        <w:t xml:space="preserve"> </w:t>
      </w:r>
      <w:r w:rsidR="006839DE" w:rsidRPr="00546845">
        <w:rPr>
          <w:lang w:val="en-GB"/>
        </w:rPr>
        <w:t>That</w:t>
      </w:r>
      <w:r w:rsidR="001F420B" w:rsidRPr="00546845">
        <w:rPr>
          <w:lang w:val="en-GB"/>
        </w:rPr>
        <w:t xml:space="preserve"> principle </w:t>
      </w:r>
      <w:r w:rsidR="00382EAB" w:rsidRPr="00546845">
        <w:rPr>
          <w:lang w:val="en-GB"/>
        </w:rPr>
        <w:t xml:space="preserve">was linked to the ‘continued entitlement to a temporary permit’ and must extend to the prohibition of institution or continuation of </w:t>
      </w:r>
      <w:r w:rsidR="00A217FF" w:rsidRPr="00546845">
        <w:rPr>
          <w:lang w:val="en-GB"/>
        </w:rPr>
        <w:t xml:space="preserve">criminal </w:t>
      </w:r>
      <w:r w:rsidR="00382EAB" w:rsidRPr="00546845">
        <w:rPr>
          <w:lang w:val="en-GB"/>
        </w:rPr>
        <w:t xml:space="preserve">proceedings, ‘notwithstanding any law to the contrary’, </w:t>
      </w:r>
      <w:r w:rsidR="00061BD8" w:rsidRPr="00546845">
        <w:rPr>
          <w:lang w:val="en-GB"/>
        </w:rPr>
        <w:t>in respect of a person’s unlawful entry into or presence within the country.</w:t>
      </w:r>
      <w:r w:rsidR="00B465B1">
        <w:rPr>
          <w:rStyle w:val="FootnoteReference"/>
          <w:lang w:val="en-GB"/>
        </w:rPr>
        <w:footnoteReference w:id="19"/>
      </w:r>
      <w:r w:rsidR="00705484" w:rsidRPr="00546845">
        <w:rPr>
          <w:lang w:val="en-GB"/>
        </w:rPr>
        <w:t xml:space="preserve"> As the Constitutional Court has explained, this interpretation accords with s 39(2) of the Constitution and constitutes an interpretation that better protects the rights of persons in the position of the applicant, including the rights to human dignity, freedom and security of the person</w:t>
      </w:r>
      <w:r w:rsidR="00B75874" w:rsidRPr="00546845">
        <w:rPr>
          <w:lang w:val="en-GB"/>
        </w:rPr>
        <w:t>, access to courts and just administrative action.</w:t>
      </w:r>
      <w:r w:rsidR="0061643A">
        <w:rPr>
          <w:rStyle w:val="FootnoteReference"/>
          <w:lang w:val="en-GB"/>
        </w:rPr>
        <w:footnoteReference w:id="20"/>
      </w:r>
      <w:r w:rsidR="006A3C61" w:rsidRPr="00546845">
        <w:rPr>
          <w:lang w:val="en-GB"/>
        </w:rPr>
        <w:t xml:space="preserve"> For an asylum seeker, a life of dignity includes protection from a possible violation of their right to freedom and security of the person, and </w:t>
      </w:r>
      <w:r w:rsidR="00180963" w:rsidRPr="00546845">
        <w:rPr>
          <w:lang w:val="en-GB"/>
        </w:rPr>
        <w:t>‘communing in ordinary human intercourse without undue state interference’.</w:t>
      </w:r>
      <w:r w:rsidR="00AE1ECA">
        <w:rPr>
          <w:rStyle w:val="FootnoteReference"/>
          <w:lang w:val="en-GB"/>
        </w:rPr>
        <w:footnoteReference w:id="21"/>
      </w:r>
      <w:r w:rsidR="003205BE" w:rsidRPr="00546845">
        <w:rPr>
          <w:lang w:val="en-GB"/>
        </w:rPr>
        <w:t xml:space="preserve"> I am also mindful of </w:t>
      </w:r>
      <w:r w:rsidR="00D653F6" w:rsidRPr="00546845">
        <w:rPr>
          <w:lang w:val="en-GB"/>
        </w:rPr>
        <w:t>the various underpinning principles of the 1951 United Nations Convention Relating to the Status of Refugees (1951 Geneva Convention)</w:t>
      </w:r>
      <w:r w:rsidR="00836D85" w:rsidRPr="00546845">
        <w:rPr>
          <w:lang w:val="en-GB"/>
        </w:rPr>
        <w:t>, including non-pensalisation.</w:t>
      </w:r>
      <w:r w:rsidR="00662DE0">
        <w:rPr>
          <w:rStyle w:val="FootnoteReference"/>
          <w:lang w:val="en-GB"/>
        </w:rPr>
        <w:footnoteReference w:id="22"/>
      </w:r>
    </w:p>
    <w:p w14:paraId="3B61050B" w14:textId="77777777" w:rsidR="00FF3197" w:rsidRDefault="00FF3197" w:rsidP="00FF3197">
      <w:pPr>
        <w:pStyle w:val="ListParagraph"/>
        <w:autoSpaceDE w:val="0"/>
        <w:autoSpaceDN w:val="0"/>
        <w:adjustRightInd w:val="0"/>
        <w:ind w:left="0"/>
        <w:jc w:val="both"/>
        <w:rPr>
          <w:lang w:val="en-GB"/>
        </w:rPr>
      </w:pPr>
    </w:p>
    <w:p w14:paraId="1F0AA03A" w14:textId="3BD3ABB2" w:rsidR="00FF3197" w:rsidRPr="00546845" w:rsidRDefault="00546845" w:rsidP="00546845">
      <w:pPr>
        <w:autoSpaceDE w:val="0"/>
        <w:autoSpaceDN w:val="0"/>
        <w:adjustRightInd w:val="0"/>
        <w:jc w:val="both"/>
        <w:rPr>
          <w:lang w:val="en-GB"/>
        </w:rPr>
      </w:pPr>
      <w:r>
        <w:rPr>
          <w:lang w:val="en-GB"/>
        </w:rPr>
        <w:t>[23]</w:t>
      </w:r>
      <w:r>
        <w:rPr>
          <w:lang w:val="en-GB"/>
        </w:rPr>
        <w:tab/>
      </w:r>
      <w:r w:rsidR="00FF3197" w:rsidRPr="00546845">
        <w:rPr>
          <w:lang w:val="en-GB"/>
        </w:rPr>
        <w:t xml:space="preserve">The judgment </w:t>
      </w:r>
      <w:r w:rsidR="003A2FAF" w:rsidRPr="00546845">
        <w:rPr>
          <w:lang w:val="en-GB"/>
        </w:rPr>
        <w:t xml:space="preserve">of Schippers AJ </w:t>
      </w:r>
      <w:r w:rsidR="00FF3197" w:rsidRPr="00546845">
        <w:rPr>
          <w:lang w:val="en-GB"/>
        </w:rPr>
        <w:t xml:space="preserve">in </w:t>
      </w:r>
      <w:r w:rsidR="00FF3197" w:rsidRPr="00546845">
        <w:rPr>
          <w:i/>
          <w:iCs/>
          <w:lang w:val="en-GB"/>
        </w:rPr>
        <w:t>Scalabrini</w:t>
      </w:r>
      <w:r w:rsidR="003A2FAF" w:rsidRPr="00546845">
        <w:rPr>
          <w:i/>
          <w:iCs/>
          <w:lang w:val="en-GB"/>
        </w:rPr>
        <w:t xml:space="preserve"> Centre of Cape Town v The Minister of Home Affairs and Others</w:t>
      </w:r>
      <w:r w:rsidR="003A2FAF" w:rsidRPr="00546845">
        <w:rPr>
          <w:lang w:val="en-GB"/>
        </w:rPr>
        <w:t xml:space="preserve"> is also relevant in determining the appropriate relief to be granted.</w:t>
      </w:r>
      <w:r w:rsidR="003A2FAF">
        <w:rPr>
          <w:rStyle w:val="FootnoteReference"/>
          <w:lang w:val="en-GB"/>
        </w:rPr>
        <w:footnoteReference w:id="23"/>
      </w:r>
      <w:r w:rsidR="003A2FAF" w:rsidRPr="00546845">
        <w:rPr>
          <w:lang w:val="en-GB"/>
        </w:rPr>
        <w:t xml:space="preserve"> In that matter,</w:t>
      </w:r>
      <w:r w:rsidR="00F454D0" w:rsidRPr="00546845">
        <w:rPr>
          <w:lang w:val="en-GB"/>
        </w:rPr>
        <w:t xml:space="preserve"> deemed abandonment of asylum applications under impugned sections of the Refugees Act was held to cut across various fundamental </w:t>
      </w:r>
      <w:r w:rsidR="00F454D0" w:rsidRPr="00546845">
        <w:rPr>
          <w:lang w:val="en-GB"/>
        </w:rPr>
        <w:lastRenderedPageBreak/>
        <w:t>rights, thereby exposing asylum seekers to arrest, detention and deportation as if they were ‘illegal foreigners’, merely because a visa had not been renewed.</w:t>
      </w:r>
    </w:p>
    <w:p w14:paraId="6B61EE37" w14:textId="77777777" w:rsidR="0013245C" w:rsidRPr="0013245C" w:rsidRDefault="0013245C" w:rsidP="0013245C">
      <w:pPr>
        <w:pStyle w:val="ListParagraph"/>
        <w:rPr>
          <w:lang w:val="en-GB"/>
        </w:rPr>
      </w:pPr>
    </w:p>
    <w:p w14:paraId="3E30A620" w14:textId="40CCEE46" w:rsidR="0013245C" w:rsidRPr="00546845" w:rsidRDefault="00546845" w:rsidP="00546845">
      <w:pPr>
        <w:autoSpaceDE w:val="0"/>
        <w:autoSpaceDN w:val="0"/>
        <w:adjustRightInd w:val="0"/>
        <w:jc w:val="both"/>
        <w:rPr>
          <w:lang w:val="en-GB"/>
        </w:rPr>
      </w:pPr>
      <w:r>
        <w:rPr>
          <w:lang w:val="en-GB"/>
        </w:rPr>
        <w:t>[24]</w:t>
      </w:r>
      <w:r>
        <w:rPr>
          <w:lang w:val="en-GB"/>
        </w:rPr>
        <w:tab/>
      </w:r>
      <w:r w:rsidR="003D20AA" w:rsidRPr="00546845">
        <w:rPr>
          <w:lang w:val="en-GB"/>
        </w:rPr>
        <w:t>In the present proceedings, t</w:t>
      </w:r>
      <w:r w:rsidR="0013245C" w:rsidRPr="00546845">
        <w:rPr>
          <w:lang w:val="en-GB"/>
        </w:rPr>
        <w:t xml:space="preserve">he applicant duly lodged an application for asylum in the manner prescribed and </w:t>
      </w:r>
      <w:r w:rsidR="00C518B1" w:rsidRPr="00546845">
        <w:rPr>
          <w:lang w:val="en-GB"/>
        </w:rPr>
        <w:t>was issued with ‘an asylum seeker temporary permit’, which is now a ‘visa</w:t>
      </w:r>
      <w:r w:rsidR="004D0DEA" w:rsidRPr="00546845">
        <w:rPr>
          <w:lang w:val="en-GB"/>
        </w:rPr>
        <w:t>’</w:t>
      </w:r>
      <w:r w:rsidR="00C518B1" w:rsidRPr="00546845">
        <w:rPr>
          <w:lang w:val="en-GB"/>
        </w:rPr>
        <w:t>.</w:t>
      </w:r>
      <w:r w:rsidR="00247C76" w:rsidRPr="00546845">
        <w:rPr>
          <w:lang w:val="en-GB"/>
        </w:rPr>
        <w:t xml:space="preserve"> He followed the internal appeal process when his application for asylum was turned down, and launched a</w:t>
      </w:r>
      <w:r w:rsidR="004D0DEA" w:rsidRPr="00546845">
        <w:rPr>
          <w:lang w:val="en-GB"/>
        </w:rPr>
        <w:t>n application for</w:t>
      </w:r>
      <w:r w:rsidR="00247C76" w:rsidRPr="00546845">
        <w:rPr>
          <w:lang w:val="en-GB"/>
        </w:rPr>
        <w:t xml:space="preserve"> judicial review </w:t>
      </w:r>
      <w:r w:rsidR="002D1E1A" w:rsidRPr="00546845">
        <w:rPr>
          <w:lang w:val="en-GB"/>
        </w:rPr>
        <w:t>during 2016</w:t>
      </w:r>
      <w:r w:rsidR="00247C76" w:rsidRPr="00546845">
        <w:rPr>
          <w:lang w:val="en-GB"/>
        </w:rPr>
        <w:t xml:space="preserve">. </w:t>
      </w:r>
      <w:r w:rsidR="00E167CB" w:rsidRPr="00546845">
        <w:rPr>
          <w:lang w:val="en-GB"/>
        </w:rPr>
        <w:t xml:space="preserve">That application remains pending. </w:t>
      </w:r>
      <w:r w:rsidR="003E4195" w:rsidRPr="00546845">
        <w:rPr>
          <w:lang w:val="en-GB"/>
        </w:rPr>
        <w:t>T</w:t>
      </w:r>
      <w:r w:rsidR="00E54928" w:rsidRPr="00546845">
        <w:rPr>
          <w:lang w:val="en-GB"/>
        </w:rPr>
        <w:t>he applicant</w:t>
      </w:r>
      <w:r w:rsidR="00216BDE" w:rsidRPr="00546845">
        <w:rPr>
          <w:lang w:val="en-GB"/>
        </w:rPr>
        <w:t xml:space="preserve"> encountered financial difficulties and, for that reason, failed to renew his permit in person in Durban, which was seemingly the only option available at the time. </w:t>
      </w:r>
      <w:r w:rsidR="008211C4" w:rsidRPr="00546845">
        <w:rPr>
          <w:lang w:val="en-GB"/>
        </w:rPr>
        <w:t>This resulted in his arrest, during August 2019, detention</w:t>
      </w:r>
      <w:r w:rsidR="00D07C71" w:rsidRPr="00546845">
        <w:rPr>
          <w:lang w:val="en-GB"/>
        </w:rPr>
        <w:t xml:space="preserve"> and the institution of criminal proceedings.</w:t>
      </w:r>
      <w:r w:rsidR="007052A4">
        <w:rPr>
          <w:rStyle w:val="FootnoteReference"/>
          <w:lang w:val="en-GB"/>
        </w:rPr>
        <w:footnoteReference w:id="24"/>
      </w:r>
    </w:p>
    <w:p w14:paraId="3692BDB7" w14:textId="77777777" w:rsidR="002D1E1A" w:rsidRPr="002D1E1A" w:rsidRDefault="002D1E1A" w:rsidP="002D1E1A">
      <w:pPr>
        <w:pStyle w:val="ListParagraph"/>
        <w:rPr>
          <w:lang w:val="en-GB"/>
        </w:rPr>
      </w:pPr>
    </w:p>
    <w:p w14:paraId="7CD29C78" w14:textId="3B229ACB" w:rsidR="006E76F0" w:rsidRPr="00546845" w:rsidRDefault="00546845" w:rsidP="00546845">
      <w:pPr>
        <w:autoSpaceDE w:val="0"/>
        <w:autoSpaceDN w:val="0"/>
        <w:adjustRightInd w:val="0"/>
        <w:jc w:val="both"/>
        <w:rPr>
          <w:lang w:val="en-GB"/>
        </w:rPr>
      </w:pPr>
      <w:r w:rsidRPr="00F35DED">
        <w:rPr>
          <w:lang w:val="en-GB"/>
        </w:rPr>
        <w:t>[25]</w:t>
      </w:r>
      <w:r w:rsidRPr="00F35DED">
        <w:rPr>
          <w:lang w:val="en-GB"/>
        </w:rPr>
        <w:tab/>
      </w:r>
      <w:r w:rsidR="004B333D" w:rsidRPr="00546845">
        <w:rPr>
          <w:lang w:val="en-GB"/>
        </w:rPr>
        <w:t xml:space="preserve">For the sake of completeness, it may be noted that </w:t>
      </w:r>
      <w:r w:rsidR="006E76F0" w:rsidRPr="00546845">
        <w:rPr>
          <w:lang w:val="en-GB"/>
        </w:rPr>
        <w:t xml:space="preserve">Ms </w:t>
      </w:r>
      <w:r w:rsidR="006E76F0" w:rsidRPr="00546845">
        <w:rPr>
          <w:i/>
          <w:iCs/>
          <w:lang w:val="en-GB"/>
        </w:rPr>
        <w:t>Crouse</w:t>
      </w:r>
      <w:r w:rsidR="006E76F0" w:rsidRPr="00546845">
        <w:rPr>
          <w:lang w:val="en-GB"/>
        </w:rPr>
        <w:t>,</w:t>
      </w:r>
      <w:r w:rsidR="006E76F0" w:rsidRPr="00546845">
        <w:rPr>
          <w:i/>
          <w:iCs/>
          <w:lang w:val="en-GB"/>
        </w:rPr>
        <w:t xml:space="preserve"> </w:t>
      </w:r>
      <w:r w:rsidR="006E76F0" w:rsidRPr="00546845">
        <w:rPr>
          <w:lang w:val="en-GB"/>
        </w:rPr>
        <w:t xml:space="preserve">applicant’s counsel, handed in a copy of an ‘asylum seeker temporary visa’ by consent during the course of her argument. That document reflects that the applicant now enjoys temporary permission to remain in the country ‘for the purpose of applying for asylum in terms of the Refugees Act…’. Reference is made to the pending judicial review. This visa was seemingly issued on 7 July 2023 for a five-month period. Reference is also made on the document to ‘7’ extensions. I was informed from the bar that an online extension of this visa was now possible, had been sought and was pending. </w:t>
      </w:r>
    </w:p>
    <w:p w14:paraId="6E2EF1C6" w14:textId="77777777" w:rsidR="006E76F0" w:rsidRDefault="006E76F0" w:rsidP="006E76F0">
      <w:pPr>
        <w:pStyle w:val="ListParagraph"/>
        <w:autoSpaceDE w:val="0"/>
        <w:autoSpaceDN w:val="0"/>
        <w:adjustRightInd w:val="0"/>
        <w:ind w:left="0"/>
        <w:jc w:val="both"/>
        <w:rPr>
          <w:lang w:val="en-GB"/>
        </w:rPr>
      </w:pPr>
    </w:p>
    <w:p w14:paraId="5C2D6229" w14:textId="56989FF8" w:rsidR="00660685" w:rsidRPr="00546845" w:rsidRDefault="00546845" w:rsidP="00546845">
      <w:pPr>
        <w:autoSpaceDE w:val="0"/>
        <w:autoSpaceDN w:val="0"/>
        <w:adjustRightInd w:val="0"/>
        <w:jc w:val="both"/>
        <w:rPr>
          <w:lang w:val="en-GB"/>
        </w:rPr>
      </w:pPr>
      <w:r>
        <w:rPr>
          <w:lang w:val="en-GB"/>
        </w:rPr>
        <w:t>[26]</w:t>
      </w:r>
      <w:r>
        <w:rPr>
          <w:lang w:val="en-GB"/>
        </w:rPr>
        <w:tab/>
      </w:r>
      <w:r w:rsidR="00D776E7" w:rsidRPr="00546845">
        <w:rPr>
          <w:lang w:val="en-GB"/>
        </w:rPr>
        <w:t xml:space="preserve">Although decisions to prosecute are subject to judicial review, it has been established that this does not extend to a review on the wider basis of PAJA, instead being </w:t>
      </w:r>
      <w:r w:rsidR="00441F56" w:rsidRPr="00546845">
        <w:rPr>
          <w:lang w:val="en-GB"/>
        </w:rPr>
        <w:t>restricted</w:t>
      </w:r>
      <w:r w:rsidR="00D776E7" w:rsidRPr="00546845">
        <w:rPr>
          <w:lang w:val="en-GB"/>
        </w:rPr>
        <w:t xml:space="preserve"> t</w:t>
      </w:r>
      <w:r w:rsidR="00EF6AF7" w:rsidRPr="00546845">
        <w:rPr>
          <w:lang w:val="en-GB"/>
        </w:rPr>
        <w:t>o</w:t>
      </w:r>
      <w:r w:rsidR="00D776E7" w:rsidRPr="00546845">
        <w:rPr>
          <w:lang w:val="en-GB"/>
        </w:rPr>
        <w:t xml:space="preserve"> grounds </w:t>
      </w:r>
      <w:r w:rsidR="00742B46" w:rsidRPr="00546845">
        <w:rPr>
          <w:lang w:val="en-GB"/>
        </w:rPr>
        <w:t>such as</w:t>
      </w:r>
      <w:r w:rsidR="00D776E7" w:rsidRPr="00546845">
        <w:rPr>
          <w:lang w:val="en-GB"/>
        </w:rPr>
        <w:t xml:space="preserve"> legality and rationality</w:t>
      </w:r>
      <w:r w:rsidR="00EF6AF7" w:rsidRPr="00546845">
        <w:rPr>
          <w:lang w:val="en-GB"/>
        </w:rPr>
        <w:t xml:space="preserve">, </w:t>
      </w:r>
      <w:r w:rsidR="008B3763" w:rsidRPr="00546845">
        <w:rPr>
          <w:lang w:val="en-GB"/>
        </w:rPr>
        <w:t>the meaning of which</w:t>
      </w:r>
      <w:r w:rsidR="00EF6AF7" w:rsidRPr="00546845">
        <w:rPr>
          <w:lang w:val="en-GB"/>
        </w:rPr>
        <w:t xml:space="preserve"> continue</w:t>
      </w:r>
      <w:r w:rsidR="008B3763" w:rsidRPr="00546845">
        <w:rPr>
          <w:lang w:val="en-GB"/>
        </w:rPr>
        <w:t>s</w:t>
      </w:r>
      <w:r w:rsidR="00EF6AF7" w:rsidRPr="00546845">
        <w:rPr>
          <w:lang w:val="en-GB"/>
        </w:rPr>
        <w:t xml:space="preserve"> to evolve</w:t>
      </w:r>
      <w:r w:rsidR="00D776E7" w:rsidRPr="00546845">
        <w:rPr>
          <w:lang w:val="en-GB"/>
        </w:rPr>
        <w:t>.</w:t>
      </w:r>
      <w:r w:rsidR="00FE5217">
        <w:rPr>
          <w:rStyle w:val="FootnoteReference"/>
          <w:lang w:val="en-GB"/>
        </w:rPr>
        <w:footnoteReference w:id="25"/>
      </w:r>
      <w:r w:rsidR="00D776E7" w:rsidRPr="00546845">
        <w:rPr>
          <w:lang w:val="en-GB"/>
        </w:rPr>
        <w:t xml:space="preserve"> </w:t>
      </w:r>
      <w:r w:rsidR="000A4A9C" w:rsidRPr="00546845">
        <w:rPr>
          <w:lang w:val="en-GB"/>
        </w:rPr>
        <w:t>Legality review is an incident of the rule of law and acts as a safety net, affording the court a measure of control over action that involves the exercise of public power but does not qualify for PAJA review.</w:t>
      </w:r>
      <w:r w:rsidR="009E687A">
        <w:rPr>
          <w:rStyle w:val="FootnoteReference"/>
          <w:lang w:val="en-GB"/>
        </w:rPr>
        <w:footnoteReference w:id="26"/>
      </w:r>
      <w:r w:rsidR="000A4A9C" w:rsidRPr="00546845">
        <w:rPr>
          <w:lang w:val="en-GB"/>
        </w:rPr>
        <w:t xml:space="preserve"> </w:t>
      </w:r>
      <w:r w:rsidR="00CB6A77" w:rsidRPr="00546845">
        <w:rPr>
          <w:lang w:val="en-GB"/>
        </w:rPr>
        <w:t xml:space="preserve">To be rational, a decision must be based on accurate findings of fact and a correct application of the law. </w:t>
      </w:r>
      <w:r w:rsidR="0092088E" w:rsidRPr="00546845">
        <w:rPr>
          <w:lang w:val="en-GB"/>
        </w:rPr>
        <w:t>O</w:t>
      </w:r>
      <w:r w:rsidR="00E167CB" w:rsidRPr="00546845">
        <w:rPr>
          <w:lang w:val="en-GB"/>
        </w:rPr>
        <w:t xml:space="preserve">n </w:t>
      </w:r>
      <w:r w:rsidR="00DD7AFC" w:rsidRPr="00546845">
        <w:rPr>
          <w:lang w:val="en-GB"/>
        </w:rPr>
        <w:t>the appropriate</w:t>
      </w:r>
      <w:r w:rsidR="00E167CB" w:rsidRPr="00546845">
        <w:rPr>
          <w:lang w:val="en-GB"/>
        </w:rPr>
        <w:t xml:space="preserve"> </w:t>
      </w:r>
      <w:r w:rsidR="000E2C40" w:rsidRPr="00546845">
        <w:rPr>
          <w:lang w:val="en-GB"/>
        </w:rPr>
        <w:t>interpretation of s 21(4)</w:t>
      </w:r>
      <w:r w:rsidR="00DD7AFC" w:rsidRPr="00546845">
        <w:rPr>
          <w:i/>
          <w:iCs/>
          <w:lang w:val="en-GB"/>
        </w:rPr>
        <w:t>(a)</w:t>
      </w:r>
      <w:r w:rsidR="000E2C40" w:rsidRPr="00546845">
        <w:rPr>
          <w:lang w:val="en-GB"/>
        </w:rPr>
        <w:t xml:space="preserve"> of the Refugees Act</w:t>
      </w:r>
      <w:r w:rsidR="00DD7AFC" w:rsidRPr="00546845">
        <w:rPr>
          <w:lang w:val="en-GB"/>
        </w:rPr>
        <w:t>, also in its pre-</w:t>
      </w:r>
      <w:r w:rsidR="00DD7AFC" w:rsidRPr="00546845">
        <w:rPr>
          <w:lang w:val="en-GB"/>
        </w:rPr>
        <w:lastRenderedPageBreak/>
        <w:t xml:space="preserve">amended form, in the light of </w:t>
      </w:r>
      <w:r w:rsidR="00DD7AFC" w:rsidRPr="00546845">
        <w:rPr>
          <w:i/>
          <w:iCs/>
          <w:lang w:val="en-GB"/>
        </w:rPr>
        <w:t>Saidi</w:t>
      </w:r>
      <w:r w:rsidR="00DD7AFC" w:rsidRPr="00546845">
        <w:rPr>
          <w:lang w:val="en-GB"/>
        </w:rPr>
        <w:t>, no proceedings could be instituted or continued in respect of the applicant’s presence within the country</w:t>
      </w:r>
      <w:r w:rsidR="00C63D33" w:rsidRPr="00546845">
        <w:rPr>
          <w:lang w:val="en-GB"/>
        </w:rPr>
        <w:t xml:space="preserve"> given the pending review.</w:t>
      </w:r>
      <w:r w:rsidR="002B5AD5" w:rsidRPr="00546845">
        <w:rPr>
          <w:lang w:val="en-GB"/>
        </w:rPr>
        <w:t xml:space="preserve"> </w:t>
      </w:r>
      <w:r w:rsidR="00ED4F8C" w:rsidRPr="00546845">
        <w:rPr>
          <w:lang w:val="en-GB"/>
        </w:rPr>
        <w:t xml:space="preserve">Being misaligned with the correct interpretation and application of the law, such decisions </w:t>
      </w:r>
      <w:r w:rsidR="00F760F6" w:rsidRPr="00546845">
        <w:rPr>
          <w:lang w:val="en-GB"/>
        </w:rPr>
        <w:t>are</w:t>
      </w:r>
      <w:r w:rsidR="00ED4F8C" w:rsidRPr="00546845">
        <w:rPr>
          <w:lang w:val="en-GB"/>
        </w:rPr>
        <w:t xml:space="preserve"> irrational</w:t>
      </w:r>
      <w:r w:rsidR="00660685" w:rsidRPr="00546845">
        <w:rPr>
          <w:lang w:val="en-GB"/>
        </w:rPr>
        <w:t xml:space="preserve"> and must be set aside</w:t>
      </w:r>
      <w:r w:rsidR="00745196" w:rsidRPr="00546845">
        <w:rPr>
          <w:lang w:val="en-GB"/>
        </w:rPr>
        <w:t>.</w:t>
      </w:r>
    </w:p>
    <w:p w14:paraId="541BA612" w14:textId="77777777" w:rsidR="00660685" w:rsidRPr="00660685" w:rsidRDefault="00660685" w:rsidP="00660685">
      <w:pPr>
        <w:pStyle w:val="ListParagraph"/>
        <w:rPr>
          <w:lang w:val="en-GB"/>
        </w:rPr>
      </w:pPr>
    </w:p>
    <w:p w14:paraId="175FF744" w14:textId="713DF0C5" w:rsidR="0059112F" w:rsidRPr="00546845" w:rsidRDefault="00546845" w:rsidP="00546845">
      <w:pPr>
        <w:autoSpaceDE w:val="0"/>
        <w:autoSpaceDN w:val="0"/>
        <w:adjustRightInd w:val="0"/>
        <w:jc w:val="both"/>
        <w:rPr>
          <w:lang w:val="en-GB"/>
        </w:rPr>
      </w:pPr>
      <w:r>
        <w:rPr>
          <w:lang w:val="en-GB"/>
        </w:rPr>
        <w:t>[27]</w:t>
      </w:r>
      <w:r>
        <w:rPr>
          <w:lang w:val="en-GB"/>
        </w:rPr>
        <w:tab/>
      </w:r>
      <w:r w:rsidR="002B5AD5" w:rsidRPr="00546845">
        <w:rPr>
          <w:lang w:val="en-GB"/>
        </w:rPr>
        <w:t>As the applicant has already pleaded to the charge levelled against him, the respondents may not simply withdraw the charge.</w:t>
      </w:r>
      <w:r w:rsidR="00417CED">
        <w:rPr>
          <w:rStyle w:val="FootnoteReference"/>
          <w:lang w:val="en-GB"/>
        </w:rPr>
        <w:footnoteReference w:id="27"/>
      </w:r>
      <w:r w:rsidR="00A5566F" w:rsidRPr="00546845">
        <w:rPr>
          <w:lang w:val="en-GB"/>
        </w:rPr>
        <w:t xml:space="preserve"> Instead, it is the prerogative of the first respondent to</w:t>
      </w:r>
      <w:r w:rsidR="00C723C0" w:rsidRPr="00546845">
        <w:rPr>
          <w:lang w:val="en-GB"/>
        </w:rPr>
        <w:t xml:space="preserve"> stop the prosecution in respect of a charge, which will </w:t>
      </w:r>
      <w:r w:rsidR="00C14472" w:rsidRPr="00546845">
        <w:rPr>
          <w:lang w:val="en-GB"/>
        </w:rPr>
        <w:t xml:space="preserve">necessarily </w:t>
      </w:r>
      <w:r w:rsidR="00C723C0" w:rsidRPr="00546845">
        <w:rPr>
          <w:lang w:val="en-GB"/>
        </w:rPr>
        <w:t>result in acquittal.</w:t>
      </w:r>
      <w:r w:rsidR="00C14472">
        <w:rPr>
          <w:rStyle w:val="FootnoteReference"/>
          <w:lang w:val="en-GB"/>
        </w:rPr>
        <w:footnoteReference w:id="28"/>
      </w:r>
      <w:r w:rsidR="00A5566F" w:rsidRPr="00546845">
        <w:rPr>
          <w:lang w:val="en-GB"/>
        </w:rPr>
        <w:t xml:space="preserve"> </w:t>
      </w:r>
      <w:r w:rsidR="00C52664" w:rsidRPr="00546845">
        <w:rPr>
          <w:lang w:val="en-GB"/>
        </w:rPr>
        <w:t xml:space="preserve"> </w:t>
      </w:r>
      <w:r w:rsidR="00FC613B" w:rsidRPr="00546845">
        <w:rPr>
          <w:lang w:val="en-GB"/>
        </w:rPr>
        <w:t>While it would be inappropriate for this court to direct that the prosecution be stopped, it is within the court’s power to review decisions of the respondents and set them aside for reconsideration.</w:t>
      </w:r>
      <w:r w:rsidR="004A2CF1">
        <w:rPr>
          <w:rStyle w:val="FootnoteReference"/>
          <w:lang w:val="en-GB"/>
        </w:rPr>
        <w:footnoteReference w:id="29"/>
      </w:r>
      <w:r w:rsidR="00CB6A77" w:rsidRPr="00546845">
        <w:rPr>
          <w:lang w:val="en-GB"/>
        </w:rPr>
        <w:t xml:space="preserve"> </w:t>
      </w:r>
      <w:r w:rsidR="00511BA7" w:rsidRPr="00546845">
        <w:rPr>
          <w:lang w:val="en-GB"/>
        </w:rPr>
        <w:t>There is no compelling reason why the respondents should not be given the opportunity to perform their constitutional mandates</w:t>
      </w:r>
      <w:r w:rsidR="005446BD" w:rsidRPr="00546845">
        <w:rPr>
          <w:lang w:val="en-GB"/>
        </w:rPr>
        <w:t>.</w:t>
      </w:r>
      <w:r w:rsidR="005446BD">
        <w:rPr>
          <w:rStyle w:val="FootnoteReference"/>
          <w:lang w:val="en-GB"/>
        </w:rPr>
        <w:footnoteReference w:id="30"/>
      </w:r>
      <w:r w:rsidR="005446BD" w:rsidRPr="00546845">
        <w:rPr>
          <w:lang w:val="en-GB"/>
        </w:rPr>
        <w:t xml:space="preserve"> </w:t>
      </w:r>
      <w:r w:rsidR="00A21E54" w:rsidRPr="00546845">
        <w:rPr>
          <w:lang w:val="en-GB"/>
        </w:rPr>
        <w:t>This appears to me to be the appropriate relief to be awarded, coupled with the declaratory relief sought.</w:t>
      </w:r>
    </w:p>
    <w:p w14:paraId="1C220061" w14:textId="00F9C313" w:rsidR="007A73C9" w:rsidRDefault="007A73C9" w:rsidP="007A73C9">
      <w:pPr>
        <w:pStyle w:val="ListParagraph"/>
        <w:autoSpaceDE w:val="0"/>
        <w:autoSpaceDN w:val="0"/>
        <w:adjustRightInd w:val="0"/>
        <w:ind w:left="0"/>
        <w:jc w:val="both"/>
        <w:rPr>
          <w:lang w:val="en-GB"/>
        </w:rPr>
      </w:pPr>
    </w:p>
    <w:p w14:paraId="08BD5D3D" w14:textId="22E74B4C" w:rsidR="00046459" w:rsidRDefault="00046459" w:rsidP="007A73C9">
      <w:pPr>
        <w:pStyle w:val="ListParagraph"/>
        <w:autoSpaceDE w:val="0"/>
        <w:autoSpaceDN w:val="0"/>
        <w:adjustRightInd w:val="0"/>
        <w:ind w:left="0"/>
        <w:jc w:val="both"/>
        <w:rPr>
          <w:b/>
          <w:bCs/>
          <w:lang w:val="en-GB"/>
        </w:rPr>
      </w:pPr>
      <w:r>
        <w:rPr>
          <w:b/>
          <w:bCs/>
          <w:lang w:val="en-GB"/>
        </w:rPr>
        <w:t>Costs</w:t>
      </w:r>
    </w:p>
    <w:p w14:paraId="1E406992" w14:textId="77777777" w:rsidR="00046459" w:rsidRPr="00046459" w:rsidRDefault="00046459" w:rsidP="007A73C9">
      <w:pPr>
        <w:pStyle w:val="ListParagraph"/>
        <w:autoSpaceDE w:val="0"/>
        <w:autoSpaceDN w:val="0"/>
        <w:adjustRightInd w:val="0"/>
        <w:ind w:left="0"/>
        <w:jc w:val="both"/>
        <w:rPr>
          <w:b/>
          <w:bCs/>
          <w:lang w:val="en-GB"/>
        </w:rPr>
      </w:pPr>
    </w:p>
    <w:p w14:paraId="3286F429" w14:textId="049F7FD0" w:rsidR="007A73C9" w:rsidRPr="00546845" w:rsidRDefault="00546845" w:rsidP="00546845">
      <w:pPr>
        <w:autoSpaceDE w:val="0"/>
        <w:autoSpaceDN w:val="0"/>
        <w:adjustRightInd w:val="0"/>
        <w:jc w:val="both"/>
        <w:rPr>
          <w:lang w:val="en-GB"/>
        </w:rPr>
      </w:pPr>
      <w:r w:rsidRPr="00EB1753">
        <w:rPr>
          <w:lang w:val="en-GB"/>
        </w:rPr>
        <w:t>[28]</w:t>
      </w:r>
      <w:r w:rsidRPr="00EB1753">
        <w:rPr>
          <w:lang w:val="en-GB"/>
        </w:rPr>
        <w:tab/>
      </w:r>
      <w:r w:rsidR="000E6315" w:rsidRPr="00546845">
        <w:rPr>
          <w:lang w:val="en-GB"/>
        </w:rPr>
        <w:t xml:space="preserve">The applicant has been successful in this application and is entitled to his costs. </w:t>
      </w:r>
      <w:r w:rsidR="007A73C9" w:rsidRPr="00546845">
        <w:rPr>
          <w:lang w:val="en-GB"/>
        </w:rPr>
        <w:t xml:space="preserve">Both parties made use of the services of two counsel. Considering the </w:t>
      </w:r>
      <w:r w:rsidR="00692CA0" w:rsidRPr="00546845">
        <w:rPr>
          <w:lang w:val="en-GB"/>
        </w:rPr>
        <w:t>complexity of this matter, which involved statutory interpretation, consideration of repealed legislation as well as the application of various decisions of the Constitutional Court and SCA, this was a reasonably necessary precaution</w:t>
      </w:r>
      <w:r w:rsidR="006B5BC0" w:rsidRPr="00546845">
        <w:rPr>
          <w:lang w:val="en-GB"/>
        </w:rPr>
        <w:t>, justifying a costs order to that effect.</w:t>
      </w:r>
    </w:p>
    <w:p w14:paraId="52A55AEE" w14:textId="7C3F3350" w:rsidR="003866FE" w:rsidRDefault="003866FE" w:rsidP="00B15943">
      <w:pPr>
        <w:rPr>
          <w:lang w:val="en-GB"/>
        </w:rPr>
      </w:pPr>
    </w:p>
    <w:p w14:paraId="1FA07009" w14:textId="0DCECC18" w:rsidR="00B15943" w:rsidRDefault="00B15943" w:rsidP="00B15943">
      <w:pPr>
        <w:rPr>
          <w:b/>
          <w:bCs/>
          <w:lang w:val="en-GB"/>
        </w:rPr>
      </w:pPr>
      <w:r>
        <w:rPr>
          <w:b/>
          <w:bCs/>
          <w:lang w:val="en-GB"/>
        </w:rPr>
        <w:t>Order</w:t>
      </w:r>
    </w:p>
    <w:p w14:paraId="517861E6" w14:textId="77777777" w:rsidR="00B15943" w:rsidRPr="00B15943" w:rsidRDefault="00B15943" w:rsidP="00B15943">
      <w:pPr>
        <w:rPr>
          <w:b/>
          <w:bCs/>
          <w:lang w:val="en-GB"/>
        </w:rPr>
      </w:pPr>
    </w:p>
    <w:p w14:paraId="11885E39" w14:textId="1E8467E2" w:rsidR="00B15943" w:rsidRPr="00546845" w:rsidRDefault="00546845" w:rsidP="00546845">
      <w:pPr>
        <w:autoSpaceDE w:val="0"/>
        <w:autoSpaceDN w:val="0"/>
        <w:adjustRightInd w:val="0"/>
        <w:jc w:val="both"/>
        <w:rPr>
          <w:lang w:val="en-GB"/>
        </w:rPr>
      </w:pPr>
      <w:r>
        <w:rPr>
          <w:lang w:val="en-GB"/>
        </w:rPr>
        <w:t>[29]</w:t>
      </w:r>
      <w:r>
        <w:rPr>
          <w:lang w:val="en-GB"/>
        </w:rPr>
        <w:tab/>
      </w:r>
      <w:r w:rsidR="00B15943" w:rsidRPr="00546845">
        <w:rPr>
          <w:lang w:val="en-GB"/>
        </w:rPr>
        <w:t>The following order is issued:</w:t>
      </w:r>
    </w:p>
    <w:p w14:paraId="2EF55409" w14:textId="77777777" w:rsidR="00B15943" w:rsidRDefault="00B15943" w:rsidP="00B15943">
      <w:pPr>
        <w:pStyle w:val="ListParagraph"/>
        <w:autoSpaceDE w:val="0"/>
        <w:autoSpaceDN w:val="0"/>
        <w:adjustRightInd w:val="0"/>
        <w:ind w:left="0"/>
        <w:jc w:val="both"/>
        <w:rPr>
          <w:lang w:val="en-GB"/>
        </w:rPr>
      </w:pPr>
    </w:p>
    <w:p w14:paraId="48D3747A" w14:textId="676A28CA" w:rsidR="00B15943" w:rsidRPr="00546845" w:rsidRDefault="00546845" w:rsidP="00546845">
      <w:pPr>
        <w:autoSpaceDE w:val="0"/>
        <w:autoSpaceDN w:val="0"/>
        <w:adjustRightInd w:val="0"/>
        <w:ind w:left="720" w:hanging="360"/>
        <w:jc w:val="both"/>
        <w:rPr>
          <w:lang w:val="en-GB"/>
        </w:rPr>
      </w:pPr>
      <w:r>
        <w:rPr>
          <w:lang w:val="en-GB"/>
        </w:rPr>
        <w:t>1.</w:t>
      </w:r>
      <w:r>
        <w:rPr>
          <w:lang w:val="en-GB"/>
        </w:rPr>
        <w:tab/>
      </w:r>
      <w:r w:rsidR="00B15943" w:rsidRPr="00546845">
        <w:rPr>
          <w:lang w:val="en-GB"/>
        </w:rPr>
        <w:t>The applicant’s non-compliance with Uniform Rule 53(4) is condoned.</w:t>
      </w:r>
    </w:p>
    <w:p w14:paraId="1CB217EA" w14:textId="552A38EC" w:rsidR="00013EAE" w:rsidRPr="00546845" w:rsidRDefault="00546845" w:rsidP="00546845">
      <w:pPr>
        <w:autoSpaceDE w:val="0"/>
        <w:autoSpaceDN w:val="0"/>
        <w:adjustRightInd w:val="0"/>
        <w:ind w:left="720" w:hanging="360"/>
        <w:jc w:val="both"/>
        <w:rPr>
          <w:lang w:val="en-GB"/>
        </w:rPr>
      </w:pPr>
      <w:r>
        <w:rPr>
          <w:lang w:val="en-GB"/>
        </w:rPr>
        <w:lastRenderedPageBreak/>
        <w:t>2.</w:t>
      </w:r>
      <w:r>
        <w:rPr>
          <w:lang w:val="en-GB"/>
        </w:rPr>
        <w:tab/>
      </w:r>
      <w:r w:rsidR="00B15943" w:rsidRPr="00546845">
        <w:rPr>
          <w:lang w:val="en-GB"/>
        </w:rPr>
        <w:t xml:space="preserve">The respondents’ decisions rejecting the </w:t>
      </w:r>
      <w:r w:rsidR="003836B9" w:rsidRPr="00546845">
        <w:rPr>
          <w:lang w:val="en-GB"/>
        </w:rPr>
        <w:t xml:space="preserve">applicant’s representations to have the proceedings </w:t>
      </w:r>
      <w:r w:rsidR="00B31BD5" w:rsidRPr="00546845">
        <w:rPr>
          <w:lang w:val="en-GB"/>
        </w:rPr>
        <w:t xml:space="preserve">instituted under case number A1353/2019 </w:t>
      </w:r>
      <w:r w:rsidR="003836B9" w:rsidRPr="00546845">
        <w:rPr>
          <w:lang w:val="en-GB"/>
        </w:rPr>
        <w:t>stopped</w:t>
      </w:r>
      <w:r w:rsidR="0001469B" w:rsidRPr="00546845">
        <w:rPr>
          <w:lang w:val="en-GB"/>
        </w:rPr>
        <w:t>,</w:t>
      </w:r>
      <w:r w:rsidR="003836B9" w:rsidRPr="00546845">
        <w:rPr>
          <w:lang w:val="en-GB"/>
        </w:rPr>
        <w:t xml:space="preserve"> based on the provisions of s 21(4)</w:t>
      </w:r>
      <w:r w:rsidR="003836B9" w:rsidRPr="00546845">
        <w:rPr>
          <w:i/>
          <w:iCs/>
          <w:lang w:val="en-GB"/>
        </w:rPr>
        <w:t>(a)</w:t>
      </w:r>
      <w:r w:rsidR="003836B9" w:rsidRPr="00546845">
        <w:rPr>
          <w:lang w:val="en-GB"/>
        </w:rPr>
        <w:t xml:space="preserve"> of the Refugees Act 130 of 1998</w:t>
      </w:r>
      <w:r w:rsidR="0061066B" w:rsidRPr="00546845">
        <w:rPr>
          <w:lang w:val="en-GB"/>
        </w:rPr>
        <w:t xml:space="preserve"> (‘the Act’)</w:t>
      </w:r>
      <w:r w:rsidR="0001469B" w:rsidRPr="00546845">
        <w:rPr>
          <w:lang w:val="en-GB"/>
        </w:rPr>
        <w:t>, are reviewed and set aside.</w:t>
      </w:r>
    </w:p>
    <w:p w14:paraId="4D3FF684" w14:textId="3B99CCED" w:rsidR="0061066B" w:rsidRPr="00546845" w:rsidRDefault="00546845" w:rsidP="00546845">
      <w:pPr>
        <w:autoSpaceDE w:val="0"/>
        <w:autoSpaceDN w:val="0"/>
        <w:adjustRightInd w:val="0"/>
        <w:ind w:left="720" w:hanging="360"/>
        <w:jc w:val="both"/>
        <w:rPr>
          <w:lang w:val="en-GB"/>
        </w:rPr>
      </w:pPr>
      <w:r>
        <w:rPr>
          <w:lang w:val="en-GB"/>
        </w:rPr>
        <w:t>3.</w:t>
      </w:r>
      <w:r>
        <w:rPr>
          <w:lang w:val="en-GB"/>
        </w:rPr>
        <w:tab/>
      </w:r>
      <w:r w:rsidR="0061066B" w:rsidRPr="00546845">
        <w:rPr>
          <w:lang w:val="en-GB"/>
        </w:rPr>
        <w:t>It is declared that s 21(4)</w:t>
      </w:r>
      <w:r w:rsidR="0061066B" w:rsidRPr="00546845">
        <w:rPr>
          <w:i/>
          <w:iCs/>
          <w:lang w:val="en-GB"/>
        </w:rPr>
        <w:t>(a)</w:t>
      </w:r>
      <w:r w:rsidR="0061066B" w:rsidRPr="00546845">
        <w:rPr>
          <w:lang w:val="en-GB"/>
        </w:rPr>
        <w:t xml:space="preserve"> of the Act barred the institution of any criminal proceedings for the contravention of s 49(1)</w:t>
      </w:r>
      <w:r w:rsidR="0061066B" w:rsidRPr="00546845">
        <w:rPr>
          <w:i/>
          <w:iCs/>
          <w:lang w:val="en-GB"/>
        </w:rPr>
        <w:t>(a)</w:t>
      </w:r>
      <w:r w:rsidR="0061066B" w:rsidRPr="00546845">
        <w:rPr>
          <w:lang w:val="en-GB"/>
        </w:rPr>
        <w:t xml:space="preserve"> of the Immigration Act 13 of 2002 against the applicant, and also bars the continuation of such criminal proceedings against him whil</w:t>
      </w:r>
      <w:r w:rsidR="007A3057" w:rsidRPr="00546845">
        <w:rPr>
          <w:lang w:val="en-GB"/>
        </w:rPr>
        <w:t>e</w:t>
      </w:r>
      <w:r w:rsidR="0061066B" w:rsidRPr="00546845">
        <w:rPr>
          <w:lang w:val="en-GB"/>
        </w:rPr>
        <w:t xml:space="preserve"> there is a pending </w:t>
      </w:r>
      <w:r w:rsidR="0002284A" w:rsidRPr="00546845">
        <w:rPr>
          <w:lang w:val="en-GB"/>
        </w:rPr>
        <w:t>application to review</w:t>
      </w:r>
      <w:r w:rsidR="0061066B" w:rsidRPr="00546845">
        <w:rPr>
          <w:lang w:val="en-GB"/>
        </w:rPr>
        <w:t xml:space="preserve"> the decision of the Refugee Appeal Board </w:t>
      </w:r>
      <w:r w:rsidR="007E2CA6" w:rsidRPr="00546845">
        <w:rPr>
          <w:lang w:val="en-GB"/>
        </w:rPr>
        <w:t>to</w:t>
      </w:r>
      <w:r w:rsidR="0061066B" w:rsidRPr="00546845">
        <w:rPr>
          <w:lang w:val="en-GB"/>
        </w:rPr>
        <w:t xml:space="preserve"> reject his asylum application.</w:t>
      </w:r>
    </w:p>
    <w:p w14:paraId="7D3B3560" w14:textId="555A9805" w:rsidR="0061066B" w:rsidRPr="00546845" w:rsidRDefault="00546845" w:rsidP="00546845">
      <w:pPr>
        <w:autoSpaceDE w:val="0"/>
        <w:autoSpaceDN w:val="0"/>
        <w:adjustRightInd w:val="0"/>
        <w:ind w:left="720" w:hanging="360"/>
        <w:jc w:val="both"/>
        <w:rPr>
          <w:lang w:val="en-GB"/>
        </w:rPr>
      </w:pPr>
      <w:r>
        <w:rPr>
          <w:lang w:val="en-GB"/>
        </w:rPr>
        <w:t>4.</w:t>
      </w:r>
      <w:r>
        <w:rPr>
          <w:lang w:val="en-GB"/>
        </w:rPr>
        <w:tab/>
      </w:r>
      <w:r w:rsidR="0061066B" w:rsidRPr="00546845">
        <w:rPr>
          <w:lang w:val="en-GB"/>
        </w:rPr>
        <w:t>The matter is remitted to the first respondent to make a decision after due consideration of the declarator in the previous paragraph of this order.</w:t>
      </w:r>
    </w:p>
    <w:p w14:paraId="5B4DCC59" w14:textId="15729D63" w:rsidR="003866FE" w:rsidRPr="00546845" w:rsidRDefault="00546845" w:rsidP="00546845">
      <w:pPr>
        <w:autoSpaceDE w:val="0"/>
        <w:autoSpaceDN w:val="0"/>
        <w:adjustRightInd w:val="0"/>
        <w:ind w:left="720" w:hanging="360"/>
        <w:jc w:val="both"/>
        <w:rPr>
          <w:lang w:val="en-GB"/>
        </w:rPr>
      </w:pPr>
      <w:r>
        <w:rPr>
          <w:lang w:val="en-GB"/>
        </w:rPr>
        <w:t>5.</w:t>
      </w:r>
      <w:r>
        <w:rPr>
          <w:lang w:val="en-GB"/>
        </w:rPr>
        <w:tab/>
      </w:r>
      <w:r w:rsidR="00564510" w:rsidRPr="00546845">
        <w:rPr>
          <w:lang w:val="en-GB"/>
        </w:rPr>
        <w:t>The respondents shall bear the costs of the applicant</w:t>
      </w:r>
      <w:r w:rsidR="00526FCB" w:rsidRPr="00546845">
        <w:rPr>
          <w:lang w:val="en-GB"/>
        </w:rPr>
        <w:t>,</w:t>
      </w:r>
      <w:r w:rsidR="00564510" w:rsidRPr="00546845">
        <w:rPr>
          <w:lang w:val="en-GB"/>
        </w:rPr>
        <w:t xml:space="preserve"> including the costs of two counsel where so employed.</w:t>
      </w:r>
    </w:p>
    <w:p w14:paraId="3FE8D808" w14:textId="77777777" w:rsidR="008A5860" w:rsidRDefault="008A5860" w:rsidP="00C8111D">
      <w:pPr>
        <w:pStyle w:val="ListParagraph"/>
        <w:autoSpaceDE w:val="0"/>
        <w:autoSpaceDN w:val="0"/>
        <w:adjustRightInd w:val="0"/>
        <w:ind w:left="0"/>
        <w:jc w:val="both"/>
        <w:rPr>
          <w:sz w:val="22"/>
          <w:szCs w:val="22"/>
          <w:lang w:val="en-GB"/>
        </w:rPr>
      </w:pPr>
    </w:p>
    <w:p w14:paraId="1517B484" w14:textId="77777777" w:rsidR="00C8111D" w:rsidRDefault="00C8111D" w:rsidP="00C8111D">
      <w:pPr>
        <w:pStyle w:val="ListParagraph"/>
        <w:autoSpaceDE w:val="0"/>
        <w:autoSpaceDN w:val="0"/>
        <w:adjustRightInd w:val="0"/>
        <w:ind w:left="0"/>
        <w:jc w:val="both"/>
        <w:rPr>
          <w:lang w:val="en-GB"/>
        </w:rPr>
      </w:pPr>
    </w:p>
    <w:p w14:paraId="491559B3" w14:textId="77777777" w:rsidR="00C8111D" w:rsidRPr="00C8111D" w:rsidRDefault="00C8111D" w:rsidP="00C8111D">
      <w:pPr>
        <w:pStyle w:val="ListParagraph"/>
        <w:rPr>
          <w:lang w:val="en-GB"/>
        </w:rPr>
      </w:pPr>
    </w:p>
    <w:p w14:paraId="4E6343B6" w14:textId="77777777" w:rsidR="007D7A96" w:rsidRDefault="007D7A96"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6B4BCC4" w14:textId="77777777" w:rsidR="00F01483" w:rsidRDefault="00F01483" w:rsidP="00CA056D">
      <w:pPr>
        <w:jc w:val="both"/>
        <w:rPr>
          <w:b/>
          <w:bCs/>
          <w:lang w:val="en-GB"/>
        </w:rPr>
      </w:pPr>
    </w:p>
    <w:p w14:paraId="6B5C0E06" w14:textId="77777777" w:rsidR="00F01483" w:rsidRDefault="00F01483" w:rsidP="00CA056D">
      <w:pPr>
        <w:jc w:val="both"/>
        <w:rPr>
          <w:b/>
          <w:bCs/>
          <w:lang w:val="en-GB"/>
        </w:rPr>
      </w:pPr>
    </w:p>
    <w:p w14:paraId="4E913372" w14:textId="77777777" w:rsidR="008A75F3" w:rsidRDefault="008A75F3" w:rsidP="008A75F3">
      <w:pPr>
        <w:widowControl w:val="0"/>
        <w:jc w:val="center"/>
        <w:rPr>
          <w:spacing w:val="14"/>
          <w:kern w:val="2"/>
          <w:lang w:val="en-GB"/>
        </w:rPr>
      </w:pPr>
    </w:p>
    <w:p w14:paraId="04EEEF0A" w14:textId="46E11555"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A4012E" w:rsidRPr="0092331E">
        <w:rPr>
          <w:spacing w:val="14"/>
          <w:kern w:val="2"/>
          <w:lang w:val="en-GB"/>
        </w:rPr>
        <w:t xml:space="preserve">25 </w:t>
      </w:r>
      <w:r w:rsidR="0092331E" w:rsidRPr="0092331E">
        <w:rPr>
          <w:spacing w:val="14"/>
          <w:kern w:val="2"/>
          <w:lang w:val="en-GB"/>
        </w:rPr>
        <w:t>January 2024</w:t>
      </w:r>
    </w:p>
    <w:p w14:paraId="299C01BC" w14:textId="77777777" w:rsidR="00CA056D" w:rsidRDefault="00CA056D" w:rsidP="000D4C7F">
      <w:pPr>
        <w:widowControl w:val="0"/>
        <w:ind w:left="4320" w:right="656" w:firstLine="720"/>
        <w:jc w:val="right"/>
        <w:rPr>
          <w:spacing w:val="14"/>
          <w:kern w:val="2"/>
          <w:lang w:val="en-GB"/>
        </w:rPr>
      </w:pPr>
    </w:p>
    <w:p w14:paraId="5D550954" w14:textId="38BD287D" w:rsidR="007A7BBE"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92331E" w:rsidRPr="0092331E">
        <w:rPr>
          <w:spacing w:val="14"/>
          <w:kern w:val="2"/>
          <w:lang w:val="en-GB"/>
        </w:rPr>
        <w:t>13 February 2024</w:t>
      </w:r>
    </w:p>
    <w:p w14:paraId="294A39F0" w14:textId="77777777" w:rsidR="00F01483" w:rsidRDefault="00F01483" w:rsidP="00CA056D">
      <w:pPr>
        <w:widowControl w:val="0"/>
        <w:ind w:right="656"/>
        <w:rPr>
          <w:spacing w:val="14"/>
          <w:kern w:val="2"/>
          <w:lang w:val="en-GB"/>
        </w:rPr>
      </w:pPr>
    </w:p>
    <w:p w14:paraId="7463034E" w14:textId="77777777" w:rsidR="00F01483" w:rsidRDefault="00F01483" w:rsidP="00CA056D">
      <w:pPr>
        <w:widowControl w:val="0"/>
        <w:ind w:right="656"/>
        <w:rPr>
          <w:spacing w:val="14"/>
          <w:kern w:val="2"/>
          <w:lang w:val="en-GB"/>
        </w:rPr>
      </w:pPr>
    </w:p>
    <w:p w14:paraId="53BDDB6F" w14:textId="77777777" w:rsidR="00F01483" w:rsidRDefault="00F01483" w:rsidP="00CA056D">
      <w:pPr>
        <w:widowControl w:val="0"/>
        <w:ind w:right="656"/>
        <w:rPr>
          <w:b/>
          <w:bCs/>
          <w:spacing w:val="14"/>
          <w:kern w:val="2"/>
          <w:lang w:val="en-GB"/>
        </w:rPr>
      </w:pPr>
    </w:p>
    <w:p w14:paraId="3240E056" w14:textId="77777777" w:rsidR="0092331E" w:rsidRDefault="0092331E" w:rsidP="00CA056D">
      <w:pPr>
        <w:widowControl w:val="0"/>
        <w:ind w:right="656"/>
        <w:rPr>
          <w:b/>
          <w:bCs/>
          <w:spacing w:val="14"/>
          <w:kern w:val="2"/>
          <w:lang w:val="en-GB"/>
        </w:rPr>
      </w:pPr>
    </w:p>
    <w:p w14:paraId="3C35696D" w14:textId="77777777" w:rsidR="0092331E" w:rsidRDefault="0092331E" w:rsidP="00CA056D">
      <w:pPr>
        <w:widowControl w:val="0"/>
        <w:ind w:right="656"/>
        <w:rPr>
          <w:b/>
          <w:bCs/>
          <w:spacing w:val="14"/>
          <w:kern w:val="2"/>
          <w:lang w:val="en-GB"/>
        </w:rPr>
      </w:pPr>
    </w:p>
    <w:p w14:paraId="56009488" w14:textId="77777777" w:rsidR="0092331E" w:rsidRDefault="0092331E" w:rsidP="00CA056D">
      <w:pPr>
        <w:widowControl w:val="0"/>
        <w:ind w:right="656"/>
        <w:rPr>
          <w:b/>
          <w:bCs/>
          <w:spacing w:val="14"/>
          <w:kern w:val="2"/>
          <w:lang w:val="en-GB"/>
        </w:rPr>
      </w:pPr>
    </w:p>
    <w:p w14:paraId="43A03133" w14:textId="77777777" w:rsidR="0092331E" w:rsidRDefault="0092331E" w:rsidP="00CA056D">
      <w:pPr>
        <w:widowControl w:val="0"/>
        <w:ind w:right="656"/>
        <w:rPr>
          <w:b/>
          <w:bCs/>
          <w:spacing w:val="14"/>
          <w:kern w:val="2"/>
          <w:lang w:val="en-GB"/>
        </w:rPr>
      </w:pPr>
    </w:p>
    <w:p w14:paraId="663A3D94" w14:textId="77777777" w:rsidR="0092331E" w:rsidRDefault="0092331E" w:rsidP="00CA056D">
      <w:pPr>
        <w:widowControl w:val="0"/>
        <w:ind w:right="656"/>
        <w:rPr>
          <w:b/>
          <w:bCs/>
          <w:spacing w:val="14"/>
          <w:kern w:val="2"/>
          <w:lang w:val="en-GB"/>
        </w:rPr>
      </w:pPr>
    </w:p>
    <w:p w14:paraId="0BAE84DD" w14:textId="79950F93" w:rsidR="007C247A" w:rsidRDefault="007C247A" w:rsidP="00772E4B">
      <w:pPr>
        <w:jc w:val="both"/>
        <w:rPr>
          <w:lang w:val="en-GB"/>
        </w:rPr>
      </w:pPr>
      <w:r w:rsidRPr="00044B50">
        <w:rPr>
          <w:lang w:val="en-GB"/>
        </w:rPr>
        <w:lastRenderedPageBreak/>
        <w:t>Appearances:</w:t>
      </w:r>
    </w:p>
    <w:p w14:paraId="66837056" w14:textId="5B798FD9" w:rsidR="00C33845" w:rsidRDefault="00C33845" w:rsidP="00772E4B">
      <w:pPr>
        <w:jc w:val="both"/>
        <w:rPr>
          <w:lang w:val="en-GB"/>
        </w:rPr>
      </w:pPr>
    </w:p>
    <w:p w14:paraId="1A96B021" w14:textId="795F1061" w:rsidR="00C33845" w:rsidRDefault="0092331E" w:rsidP="00772E4B">
      <w:pPr>
        <w:jc w:val="both"/>
        <w:rPr>
          <w:lang w:val="en-GB"/>
        </w:rPr>
      </w:pPr>
      <w:r>
        <w:rPr>
          <w:lang w:val="en-GB"/>
        </w:rPr>
        <w:t>Counsel f</w:t>
      </w:r>
      <w:r w:rsidR="00C33845">
        <w:rPr>
          <w:lang w:val="en-GB"/>
        </w:rPr>
        <w:t xml:space="preserve">or </w:t>
      </w:r>
      <w:r w:rsidR="00B97608">
        <w:rPr>
          <w:lang w:val="en-GB"/>
        </w:rPr>
        <w:t>the Applicant</w:t>
      </w:r>
      <w:r w:rsidR="00C33845">
        <w:rPr>
          <w:lang w:val="en-GB"/>
        </w:rPr>
        <w:t>:</w:t>
      </w:r>
      <w:r w:rsidR="00C33845">
        <w:rPr>
          <w:lang w:val="en-GB"/>
        </w:rPr>
        <w:tab/>
      </w:r>
      <w:r w:rsidR="00C33845">
        <w:rPr>
          <w:lang w:val="en-GB"/>
        </w:rPr>
        <w:tab/>
      </w:r>
      <w:r w:rsidR="00C33845">
        <w:rPr>
          <w:lang w:val="en-GB"/>
        </w:rPr>
        <w:tab/>
      </w:r>
      <w:r>
        <w:rPr>
          <w:lang w:val="en-GB"/>
        </w:rPr>
        <w:t>Adv L Crouse SC and Adv C Mcoseli</w:t>
      </w:r>
    </w:p>
    <w:p w14:paraId="437C83FB" w14:textId="739B7E98" w:rsidR="0092331E" w:rsidRDefault="0092331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Club Chambers, Gqeberha</w:t>
      </w:r>
    </w:p>
    <w:p w14:paraId="2D8F71ED" w14:textId="7338E932" w:rsidR="00B97608" w:rsidRDefault="00B97608" w:rsidP="00772E4B">
      <w:pPr>
        <w:jc w:val="both"/>
        <w:rPr>
          <w:lang w:val="en-GB"/>
        </w:rPr>
      </w:pPr>
      <w:r>
        <w:rPr>
          <w:lang w:val="en-GB"/>
        </w:rPr>
        <w:tab/>
      </w:r>
      <w:r>
        <w:rPr>
          <w:lang w:val="en-GB"/>
        </w:rPr>
        <w:tab/>
      </w:r>
      <w:r>
        <w:rPr>
          <w:lang w:val="en-GB"/>
        </w:rPr>
        <w:tab/>
      </w:r>
      <w:r>
        <w:rPr>
          <w:lang w:val="en-GB"/>
        </w:rPr>
        <w:tab/>
      </w:r>
    </w:p>
    <w:p w14:paraId="3B623D3C" w14:textId="76A2A921" w:rsidR="00B97608" w:rsidRDefault="00B97608" w:rsidP="00772E4B">
      <w:pPr>
        <w:jc w:val="both"/>
        <w:rPr>
          <w:lang w:val="en-GB"/>
        </w:rPr>
      </w:pPr>
      <w:r>
        <w:rPr>
          <w:lang w:val="en-GB"/>
        </w:rPr>
        <w:t>Instructed by:</w:t>
      </w:r>
      <w:r>
        <w:rPr>
          <w:lang w:val="en-GB"/>
        </w:rPr>
        <w:tab/>
      </w:r>
      <w:r>
        <w:rPr>
          <w:lang w:val="en-GB"/>
        </w:rPr>
        <w:tab/>
      </w:r>
      <w:r>
        <w:rPr>
          <w:lang w:val="en-GB"/>
        </w:rPr>
        <w:tab/>
      </w:r>
      <w:r>
        <w:rPr>
          <w:lang w:val="en-GB"/>
        </w:rPr>
        <w:tab/>
      </w:r>
      <w:r w:rsidR="0092331E">
        <w:rPr>
          <w:lang w:val="en-GB"/>
        </w:rPr>
        <w:t>SPJ Attorneys</w:t>
      </w:r>
    </w:p>
    <w:p w14:paraId="6C5757AF" w14:textId="183CE573" w:rsidR="0092331E" w:rsidRDefault="0092331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Attorneys for the Applicant</w:t>
      </w:r>
    </w:p>
    <w:p w14:paraId="3E039E47" w14:textId="18920679" w:rsidR="0092331E" w:rsidRDefault="0092331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Unit BLKB4, First Floor</w:t>
      </w:r>
    </w:p>
    <w:p w14:paraId="1D737A72" w14:textId="797040FC" w:rsidR="0092331E" w:rsidRDefault="0092331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No.32 Albany Road</w:t>
      </w:r>
    </w:p>
    <w:p w14:paraId="7C36E25B" w14:textId="59DB861E" w:rsidR="0092331E" w:rsidRDefault="0092331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Central</w:t>
      </w:r>
    </w:p>
    <w:p w14:paraId="1ED89AED" w14:textId="27C416DF" w:rsidR="0092331E" w:rsidRDefault="0092331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3D87368D" w14:textId="2633CA1B" w:rsidR="0092331E" w:rsidRDefault="0092331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Email: </w:t>
      </w:r>
      <w:hyperlink r:id="rId9" w:history="1">
        <w:r w:rsidRPr="008C7B59">
          <w:rPr>
            <w:rStyle w:val="Hyperlink"/>
            <w:lang w:val="en-GB"/>
          </w:rPr>
          <w:t>jali@spjattorneys.co.za</w:t>
        </w:r>
      </w:hyperlink>
    </w:p>
    <w:p w14:paraId="0DB27A61" w14:textId="77777777" w:rsidR="0092331E" w:rsidRDefault="0092331E" w:rsidP="00772E4B">
      <w:pPr>
        <w:jc w:val="both"/>
        <w:rPr>
          <w:lang w:val="en-GB"/>
        </w:rPr>
      </w:pPr>
    </w:p>
    <w:p w14:paraId="3FB18F3F" w14:textId="77777777" w:rsidR="0092331E" w:rsidRDefault="0092331E" w:rsidP="00772E4B">
      <w:pPr>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t>Akhona George and Associates</w:t>
      </w:r>
    </w:p>
    <w:p w14:paraId="41B7D8B5" w14:textId="77777777" w:rsidR="0092331E" w:rsidRDefault="0092331E" w:rsidP="00772E4B">
      <w:pPr>
        <w:jc w:val="both"/>
        <w:rPr>
          <w:lang w:val="en-GB"/>
        </w:rPr>
      </w:pPr>
      <w:r>
        <w:rPr>
          <w:lang w:val="en-GB"/>
        </w:rPr>
        <w:tab/>
      </w:r>
      <w:r>
        <w:rPr>
          <w:lang w:val="en-GB"/>
        </w:rPr>
        <w:tab/>
      </w:r>
      <w:r>
        <w:rPr>
          <w:lang w:val="en-GB"/>
        </w:rPr>
        <w:tab/>
      </w:r>
      <w:r>
        <w:rPr>
          <w:lang w:val="en-GB"/>
        </w:rPr>
        <w:tab/>
      </w:r>
      <w:r>
        <w:rPr>
          <w:lang w:val="en-GB"/>
        </w:rPr>
        <w:tab/>
      </w:r>
      <w:r>
        <w:rPr>
          <w:lang w:val="en-GB"/>
        </w:rPr>
        <w:tab/>
        <w:t>118 High Street</w:t>
      </w:r>
    </w:p>
    <w:p w14:paraId="04EC64F8" w14:textId="1AF5F9A1" w:rsidR="0092331E" w:rsidRDefault="0092331E" w:rsidP="0092331E">
      <w:pPr>
        <w:tabs>
          <w:tab w:val="left" w:pos="4395"/>
        </w:tabs>
        <w:ind w:left="3600" w:firstLine="720"/>
        <w:jc w:val="both"/>
        <w:rPr>
          <w:lang w:val="en-GB"/>
        </w:rPr>
      </w:pPr>
      <w:r>
        <w:rPr>
          <w:lang w:val="en-GB"/>
        </w:rPr>
        <w:t xml:space="preserve">Millbarn Centre  </w:t>
      </w:r>
    </w:p>
    <w:p w14:paraId="7C74DF65" w14:textId="31D9D9FB" w:rsidR="0092331E" w:rsidRDefault="0092331E" w:rsidP="0092331E">
      <w:pPr>
        <w:tabs>
          <w:tab w:val="left" w:pos="4395"/>
        </w:tabs>
        <w:ind w:left="3600" w:firstLine="720"/>
        <w:jc w:val="both"/>
        <w:rPr>
          <w:lang w:val="en-GB"/>
        </w:rPr>
      </w:pPr>
      <w:r>
        <w:rPr>
          <w:lang w:val="en-GB"/>
        </w:rPr>
        <w:t>Makhanda</w:t>
      </w:r>
    </w:p>
    <w:p w14:paraId="59FCD779" w14:textId="3EAA37EF" w:rsidR="0092331E" w:rsidRDefault="0092331E" w:rsidP="0092331E">
      <w:pPr>
        <w:tabs>
          <w:tab w:val="left" w:pos="4395"/>
        </w:tabs>
        <w:ind w:left="3600" w:firstLine="720"/>
        <w:jc w:val="both"/>
        <w:rPr>
          <w:lang w:val="en-GB"/>
        </w:rPr>
      </w:pPr>
      <w:r>
        <w:rPr>
          <w:lang w:val="en-GB"/>
        </w:rPr>
        <w:t>Email: reception@aglaw.org.za</w:t>
      </w:r>
    </w:p>
    <w:p w14:paraId="63002B62" w14:textId="6C2B5024" w:rsidR="0092331E" w:rsidRDefault="0092331E"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14:paraId="23A2D137" w14:textId="5DEB6BDE" w:rsidR="00C33845"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62DB8C01" w14:textId="4AD5AE48" w:rsidR="00B97608" w:rsidRDefault="0010378A" w:rsidP="00772E4B">
      <w:pPr>
        <w:jc w:val="both"/>
        <w:rPr>
          <w:lang w:val="en-GB"/>
        </w:rPr>
      </w:pPr>
      <w:r>
        <w:rPr>
          <w:lang w:val="en-GB"/>
        </w:rPr>
        <w:t>Counsel for</w:t>
      </w:r>
      <w:r w:rsidR="00C33845">
        <w:rPr>
          <w:lang w:val="en-GB"/>
        </w:rPr>
        <w:t xml:space="preserve"> </w:t>
      </w:r>
      <w:r w:rsidR="00B97608">
        <w:rPr>
          <w:lang w:val="en-GB"/>
        </w:rPr>
        <w:t>the Respondent</w:t>
      </w:r>
      <w:r w:rsidR="000E6315">
        <w:rPr>
          <w:lang w:val="en-GB"/>
        </w:rPr>
        <w:t>s</w:t>
      </w:r>
      <w:r w:rsidR="00C33845">
        <w:rPr>
          <w:lang w:val="en-GB"/>
        </w:rPr>
        <w:t>:</w:t>
      </w:r>
      <w:r w:rsidR="00C33845">
        <w:rPr>
          <w:lang w:val="en-GB"/>
        </w:rPr>
        <w:tab/>
      </w:r>
      <w:r w:rsidR="00C33845">
        <w:rPr>
          <w:lang w:val="en-GB"/>
        </w:rPr>
        <w:tab/>
      </w:r>
      <w:r>
        <w:rPr>
          <w:lang w:val="en-GB"/>
        </w:rPr>
        <w:t>Adv V Notshe SC and Adv AM Da Silva SC</w:t>
      </w:r>
    </w:p>
    <w:p w14:paraId="2B56DE8E" w14:textId="44200AE1" w:rsidR="0010378A" w:rsidRDefault="0010378A"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Chambers, Johannesburg and Bisho</w:t>
      </w:r>
    </w:p>
    <w:p w14:paraId="7CC93F24" w14:textId="7D9C57C4"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p>
    <w:p w14:paraId="58F8BF6F" w14:textId="77777777" w:rsidR="0010378A" w:rsidRDefault="00B97608" w:rsidP="00772E4B">
      <w:pPr>
        <w:jc w:val="both"/>
        <w:rPr>
          <w:lang w:val="en-GB"/>
        </w:rPr>
      </w:pPr>
      <w:r>
        <w:rPr>
          <w:lang w:val="en-GB"/>
        </w:rPr>
        <w:t>Instructed by:</w:t>
      </w:r>
      <w:r>
        <w:rPr>
          <w:lang w:val="en-GB"/>
        </w:rPr>
        <w:tab/>
      </w:r>
      <w:r w:rsidR="0088070D">
        <w:rPr>
          <w:lang w:val="en-GB"/>
        </w:rPr>
        <w:tab/>
      </w:r>
      <w:r w:rsidR="0088070D">
        <w:rPr>
          <w:lang w:val="en-GB"/>
        </w:rPr>
        <w:tab/>
      </w:r>
      <w:r w:rsidR="0088070D">
        <w:rPr>
          <w:lang w:val="en-GB"/>
        </w:rPr>
        <w:tab/>
      </w:r>
      <w:r w:rsidR="0010378A">
        <w:rPr>
          <w:lang w:val="en-GB"/>
        </w:rPr>
        <w:t>The State Attorney</w:t>
      </w:r>
    </w:p>
    <w:p w14:paraId="0E447F7A" w14:textId="77777777" w:rsidR="0010378A" w:rsidRDefault="0010378A"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Attorneys for the Respondents</w:t>
      </w:r>
    </w:p>
    <w:p w14:paraId="75F27232" w14:textId="77777777" w:rsidR="00D60FF1" w:rsidRDefault="0010378A"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sidR="00D60FF1">
        <w:rPr>
          <w:lang w:val="en-GB"/>
        </w:rPr>
        <w:t>17 Fleet Street</w:t>
      </w:r>
    </w:p>
    <w:p w14:paraId="36BF06B0" w14:textId="77777777" w:rsidR="00D60FF1" w:rsidRDefault="00D60FF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East London</w:t>
      </w:r>
    </w:p>
    <w:p w14:paraId="44649BD7" w14:textId="77777777" w:rsidR="00D60FF1" w:rsidRDefault="00D60FF1" w:rsidP="00772E4B">
      <w:pPr>
        <w:jc w:val="both"/>
        <w:rPr>
          <w:lang w:val="en-GB"/>
        </w:rPr>
      </w:pPr>
    </w:p>
    <w:p w14:paraId="49B60B85" w14:textId="77777777" w:rsidR="00D60FF1" w:rsidRDefault="00D60FF1" w:rsidP="00772E4B">
      <w:pPr>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t>Mabece Tilana Inc.</w:t>
      </w:r>
    </w:p>
    <w:p w14:paraId="5432DF69" w14:textId="77777777" w:rsidR="00D60FF1" w:rsidRDefault="00D60FF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39 New Street</w:t>
      </w:r>
    </w:p>
    <w:p w14:paraId="58714808" w14:textId="77777777" w:rsidR="00D60FF1" w:rsidRDefault="00D60FF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Makhanda</w:t>
      </w:r>
    </w:p>
    <w:p w14:paraId="1970E9F9" w14:textId="0B2B1973" w:rsidR="0088070D" w:rsidRDefault="00D60FF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Tel: 046 622 2432</w:t>
      </w:r>
      <w:r w:rsidR="00B97608">
        <w:rPr>
          <w:lang w:val="en-GB"/>
        </w:rPr>
        <w:tab/>
      </w:r>
      <w:r w:rsidR="00B97608">
        <w:rPr>
          <w:lang w:val="en-GB"/>
        </w:rPr>
        <w:tab/>
      </w:r>
      <w:r w:rsidR="00B97608">
        <w:rPr>
          <w:lang w:val="en-GB"/>
        </w:rPr>
        <w:tab/>
      </w:r>
    </w:p>
    <w:p w14:paraId="23C9F21C" w14:textId="4DA053CC" w:rsidR="007C247A" w:rsidRPr="00044B50" w:rsidRDefault="00C33845" w:rsidP="0088070D">
      <w:pPr>
        <w:jc w:val="both"/>
        <w:rPr>
          <w:lang w:val="en-GB"/>
        </w:rPr>
      </w:pPr>
      <w:r>
        <w:rPr>
          <w:lang w:val="en-GB"/>
        </w:rPr>
        <w:tab/>
      </w:r>
      <w:r>
        <w:rPr>
          <w:lang w:val="en-GB"/>
        </w:rPr>
        <w:tab/>
      </w:r>
      <w:r>
        <w:rPr>
          <w:lang w:val="en-GB"/>
        </w:rPr>
        <w:tab/>
      </w:r>
      <w:r>
        <w:rPr>
          <w:lang w:val="en-GB"/>
        </w:rPr>
        <w:tab/>
      </w:r>
      <w:r>
        <w:rPr>
          <w:lang w:val="en-GB"/>
        </w:rPr>
        <w:tab/>
      </w:r>
    </w:p>
    <w:sectPr w:rsidR="007C247A" w:rsidRPr="00044B50" w:rsidSect="00DA1C28">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20BB" w14:textId="77777777" w:rsidR="00B65E1D" w:rsidRDefault="00B65E1D" w:rsidP="00005691">
      <w:r>
        <w:separator/>
      </w:r>
    </w:p>
  </w:endnote>
  <w:endnote w:type="continuationSeparator" w:id="0">
    <w:p w14:paraId="4DB4EE41" w14:textId="77777777" w:rsidR="00B65E1D" w:rsidRDefault="00B65E1D"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7A4E4" w14:textId="77777777" w:rsidR="00B65E1D" w:rsidRDefault="00B65E1D" w:rsidP="00005691">
      <w:r>
        <w:separator/>
      </w:r>
    </w:p>
  </w:footnote>
  <w:footnote w:type="continuationSeparator" w:id="0">
    <w:p w14:paraId="2BEA5D10" w14:textId="77777777" w:rsidR="00B65E1D" w:rsidRDefault="00B65E1D" w:rsidP="00005691">
      <w:r>
        <w:continuationSeparator/>
      </w:r>
    </w:p>
  </w:footnote>
  <w:footnote w:id="1">
    <w:p w14:paraId="6519B301" w14:textId="77777777" w:rsidR="008047BD" w:rsidRPr="007F7021" w:rsidRDefault="008047BD" w:rsidP="00813CFC">
      <w:pPr>
        <w:pStyle w:val="FootnoteText"/>
        <w:spacing w:line="240" w:lineRule="auto"/>
        <w:jc w:val="both"/>
        <w:rPr>
          <w:lang w:val="en-US"/>
        </w:rPr>
      </w:pPr>
      <w:r>
        <w:rPr>
          <w:rStyle w:val="FootnoteReference"/>
        </w:rPr>
        <w:footnoteRef/>
      </w:r>
      <w:r>
        <w:t xml:space="preserve"> </w:t>
      </w:r>
      <w:r>
        <w:rPr>
          <w:lang w:val="en-US"/>
        </w:rPr>
        <w:t>Act 130 of 1998.</w:t>
      </w:r>
    </w:p>
  </w:footnote>
  <w:footnote w:id="2">
    <w:p w14:paraId="5D2509EC" w14:textId="139B4360" w:rsidR="00BA176D" w:rsidRPr="00BA176D" w:rsidRDefault="00BA176D" w:rsidP="00813CFC">
      <w:pPr>
        <w:pStyle w:val="FootnoteText"/>
        <w:spacing w:line="240" w:lineRule="auto"/>
        <w:jc w:val="both"/>
        <w:rPr>
          <w:lang w:val="en-US"/>
        </w:rPr>
      </w:pPr>
      <w:r>
        <w:rPr>
          <w:rStyle w:val="FootnoteReference"/>
        </w:rPr>
        <w:footnoteRef/>
      </w:r>
      <w:r>
        <w:t xml:space="preserve"> </w:t>
      </w:r>
      <w:r>
        <w:rPr>
          <w:lang w:val="en-US"/>
        </w:rPr>
        <w:t>The basis for that decision</w:t>
      </w:r>
      <w:r w:rsidR="00094F1C">
        <w:rPr>
          <w:lang w:val="en-US"/>
        </w:rPr>
        <w:t xml:space="preserve"> is apparent from the papers and the judgment and</w:t>
      </w:r>
      <w:r>
        <w:rPr>
          <w:lang w:val="en-US"/>
        </w:rPr>
        <w:t xml:space="preserve"> is immaterial for present purposes. </w:t>
      </w:r>
    </w:p>
  </w:footnote>
  <w:footnote w:id="3">
    <w:p w14:paraId="6EE1B87E" w14:textId="27863DE3" w:rsidR="000940E5" w:rsidRPr="000940E5" w:rsidRDefault="000940E5" w:rsidP="00813CFC">
      <w:pPr>
        <w:pStyle w:val="FootnoteText"/>
        <w:spacing w:line="240" w:lineRule="auto"/>
        <w:jc w:val="both"/>
        <w:rPr>
          <w:lang w:val="en-US"/>
        </w:rPr>
      </w:pPr>
      <w:r>
        <w:rPr>
          <w:rStyle w:val="FootnoteReference"/>
        </w:rPr>
        <w:footnoteRef/>
      </w:r>
      <w:r>
        <w:t xml:space="preserve"> </w:t>
      </w:r>
      <w:r>
        <w:rPr>
          <w:lang w:val="en-US"/>
        </w:rPr>
        <w:t>Act 13 of 2002.</w:t>
      </w:r>
    </w:p>
  </w:footnote>
  <w:footnote w:id="4">
    <w:p w14:paraId="76876E7C" w14:textId="2742AE4B" w:rsidR="00446765" w:rsidRPr="00446765" w:rsidRDefault="00446765" w:rsidP="00813CFC">
      <w:pPr>
        <w:pStyle w:val="FootnoteText"/>
        <w:spacing w:line="240" w:lineRule="auto"/>
        <w:jc w:val="both"/>
        <w:rPr>
          <w:lang w:val="en-US"/>
        </w:rPr>
      </w:pPr>
      <w:r>
        <w:rPr>
          <w:rStyle w:val="FootnoteReference"/>
        </w:rPr>
        <w:footnoteRef/>
      </w:r>
      <w:r>
        <w:t xml:space="preserve"> </w:t>
      </w:r>
      <w:r>
        <w:rPr>
          <w:i/>
          <w:iCs/>
          <w:lang w:val="en-US"/>
        </w:rPr>
        <w:t>Saidi and Others v Minister of Home Affairs and Others</w:t>
      </w:r>
      <w:r>
        <w:rPr>
          <w:lang w:val="en-US"/>
        </w:rPr>
        <w:t xml:space="preserve"> 2018 (4) SA 333 (CC) (‘</w:t>
      </w:r>
      <w:r>
        <w:rPr>
          <w:i/>
          <w:iCs/>
          <w:lang w:val="en-US"/>
        </w:rPr>
        <w:t>Saidi</w:t>
      </w:r>
      <w:r>
        <w:rPr>
          <w:lang w:val="en-US"/>
        </w:rPr>
        <w:t>’).</w:t>
      </w:r>
    </w:p>
  </w:footnote>
  <w:footnote w:id="5">
    <w:p w14:paraId="5401F07C" w14:textId="4ED37E0E" w:rsidR="00F020B8" w:rsidRPr="009846D6" w:rsidRDefault="00F020B8" w:rsidP="00813CFC">
      <w:pPr>
        <w:pStyle w:val="FootnoteText"/>
        <w:spacing w:line="240" w:lineRule="auto"/>
        <w:jc w:val="both"/>
        <w:rPr>
          <w:lang w:val="en-US"/>
        </w:rPr>
      </w:pPr>
      <w:r>
        <w:rPr>
          <w:rStyle w:val="FootnoteReference"/>
        </w:rPr>
        <w:footnoteRef/>
      </w:r>
      <w:r>
        <w:t xml:space="preserve"> </w:t>
      </w:r>
      <w:r>
        <w:rPr>
          <w:lang w:val="en-US"/>
        </w:rPr>
        <w:t>The section, along with other parts of the Refugees Act, has been amended, but the relevant amendments only took effect from 1 January 2020, after the applicant was arrested</w:t>
      </w:r>
      <w:r w:rsidR="000E2C40">
        <w:rPr>
          <w:lang w:val="en-US"/>
        </w:rPr>
        <w:t>.</w:t>
      </w:r>
    </w:p>
  </w:footnote>
  <w:footnote w:id="6">
    <w:p w14:paraId="30659685" w14:textId="718E9050" w:rsidR="00A94BD0" w:rsidRPr="00A94BD0" w:rsidRDefault="00A94BD0" w:rsidP="00813CFC">
      <w:pPr>
        <w:pStyle w:val="FootnoteText"/>
        <w:spacing w:line="240" w:lineRule="auto"/>
        <w:jc w:val="both"/>
        <w:rPr>
          <w:lang w:val="en-US"/>
        </w:rPr>
      </w:pPr>
      <w:r>
        <w:rPr>
          <w:rStyle w:val="FootnoteReference"/>
        </w:rPr>
        <w:footnoteRef/>
      </w:r>
      <w:r>
        <w:t xml:space="preserve"> </w:t>
      </w:r>
      <w:r>
        <w:rPr>
          <w:i/>
          <w:iCs/>
          <w:lang w:val="en-US"/>
        </w:rPr>
        <w:t>Saidi</w:t>
      </w:r>
      <w:r>
        <w:rPr>
          <w:lang w:val="en-US"/>
        </w:rPr>
        <w:t xml:space="preserve"> above n </w:t>
      </w:r>
      <w:r w:rsidR="006C5F1F">
        <w:rPr>
          <w:lang w:val="en-US"/>
        </w:rPr>
        <w:t>4</w:t>
      </w:r>
      <w:r>
        <w:rPr>
          <w:lang w:val="en-US"/>
        </w:rPr>
        <w:t xml:space="preserve"> para</w:t>
      </w:r>
      <w:r w:rsidR="007B3D95">
        <w:rPr>
          <w:lang w:val="en-US"/>
        </w:rPr>
        <w:t>s</w:t>
      </w:r>
      <w:r>
        <w:rPr>
          <w:lang w:val="en-US"/>
        </w:rPr>
        <w:t xml:space="preserve"> 16</w:t>
      </w:r>
      <w:r w:rsidR="007B3D95">
        <w:rPr>
          <w:lang w:val="en-US"/>
        </w:rPr>
        <w:t>, 18</w:t>
      </w:r>
      <w:r>
        <w:rPr>
          <w:lang w:val="en-US"/>
        </w:rPr>
        <w:t>.</w:t>
      </w:r>
    </w:p>
  </w:footnote>
  <w:footnote w:id="7">
    <w:p w14:paraId="45E263FF" w14:textId="1C437F35" w:rsidR="005A0C64" w:rsidRPr="005A0C64" w:rsidRDefault="005A0C64" w:rsidP="00813CFC">
      <w:pPr>
        <w:pStyle w:val="FootnoteText"/>
        <w:spacing w:line="240" w:lineRule="auto"/>
        <w:jc w:val="both"/>
        <w:rPr>
          <w:lang w:val="en-US"/>
        </w:rPr>
      </w:pPr>
      <w:r>
        <w:rPr>
          <w:rStyle w:val="FootnoteReference"/>
        </w:rPr>
        <w:footnoteRef/>
      </w:r>
      <w:r>
        <w:t xml:space="preserve"> </w:t>
      </w:r>
      <w:r>
        <w:rPr>
          <w:i/>
          <w:iCs/>
          <w:lang w:val="en-US"/>
        </w:rPr>
        <w:t xml:space="preserve">Saidi </w:t>
      </w:r>
      <w:r>
        <w:rPr>
          <w:lang w:val="en-US"/>
        </w:rPr>
        <w:t xml:space="preserve">above n </w:t>
      </w:r>
      <w:r w:rsidR="00334CEA">
        <w:rPr>
          <w:lang w:val="en-US"/>
        </w:rPr>
        <w:t>4</w:t>
      </w:r>
      <w:r>
        <w:rPr>
          <w:lang w:val="en-US"/>
        </w:rPr>
        <w:t xml:space="preserve"> para 19.</w:t>
      </w:r>
    </w:p>
  </w:footnote>
  <w:footnote w:id="8">
    <w:p w14:paraId="210CC27E" w14:textId="4BB90077" w:rsidR="009A2899" w:rsidRPr="009A2899" w:rsidRDefault="009A2899" w:rsidP="00813CFC">
      <w:pPr>
        <w:pStyle w:val="FootnoteText"/>
        <w:spacing w:line="240" w:lineRule="auto"/>
        <w:jc w:val="both"/>
        <w:rPr>
          <w:lang w:val="en-US"/>
        </w:rPr>
      </w:pPr>
      <w:r>
        <w:rPr>
          <w:rStyle w:val="FootnoteReference"/>
        </w:rPr>
        <w:footnoteRef/>
      </w:r>
      <w:r>
        <w:t xml:space="preserve"> </w:t>
      </w:r>
      <w:r>
        <w:rPr>
          <w:i/>
          <w:iCs/>
          <w:lang w:val="en-US"/>
        </w:rPr>
        <w:t xml:space="preserve">Saidi </w:t>
      </w:r>
      <w:r>
        <w:rPr>
          <w:lang w:val="en-US"/>
        </w:rPr>
        <w:t xml:space="preserve">above n </w:t>
      </w:r>
      <w:r w:rsidR="00334CEA">
        <w:rPr>
          <w:lang w:val="en-US"/>
        </w:rPr>
        <w:t>4</w:t>
      </w:r>
      <w:r>
        <w:rPr>
          <w:lang w:val="en-US"/>
        </w:rPr>
        <w:t xml:space="preserve"> paras 26, 27</w:t>
      </w:r>
      <w:r w:rsidR="00E76430">
        <w:rPr>
          <w:lang w:val="en-US"/>
        </w:rPr>
        <w:t xml:space="preserve"> and following.</w:t>
      </w:r>
    </w:p>
  </w:footnote>
  <w:footnote w:id="9">
    <w:p w14:paraId="7BED9DE5" w14:textId="0A4DEFC9" w:rsidR="00377859" w:rsidRPr="00377859" w:rsidRDefault="00377859" w:rsidP="00813CFC">
      <w:pPr>
        <w:pStyle w:val="FootnoteText"/>
        <w:spacing w:line="240" w:lineRule="auto"/>
        <w:jc w:val="both"/>
        <w:rPr>
          <w:lang w:val="en-US"/>
        </w:rPr>
      </w:pPr>
      <w:r>
        <w:rPr>
          <w:rStyle w:val="FootnoteReference"/>
        </w:rPr>
        <w:footnoteRef/>
      </w:r>
      <w:r>
        <w:t xml:space="preserve"> </w:t>
      </w:r>
      <w:r>
        <w:rPr>
          <w:i/>
          <w:iCs/>
          <w:lang w:val="en-US"/>
        </w:rPr>
        <w:t>Saidi</w:t>
      </w:r>
      <w:r>
        <w:rPr>
          <w:lang w:val="en-US"/>
        </w:rPr>
        <w:t xml:space="preserve"> above n </w:t>
      </w:r>
      <w:r w:rsidR="00334CEA">
        <w:rPr>
          <w:lang w:val="en-US"/>
        </w:rPr>
        <w:t>4</w:t>
      </w:r>
      <w:r>
        <w:rPr>
          <w:lang w:val="en-US"/>
        </w:rPr>
        <w:t xml:space="preserve"> para 34.</w:t>
      </w:r>
    </w:p>
  </w:footnote>
  <w:footnote w:id="10">
    <w:p w14:paraId="1687F1CE" w14:textId="48C8306D" w:rsidR="00CE2BBA" w:rsidRPr="00CE2BBA" w:rsidRDefault="00CE2BBA" w:rsidP="00813CFC">
      <w:pPr>
        <w:pStyle w:val="FootnoteText"/>
        <w:spacing w:line="240" w:lineRule="auto"/>
        <w:jc w:val="both"/>
        <w:rPr>
          <w:lang w:val="en-US"/>
        </w:rPr>
      </w:pPr>
      <w:r>
        <w:rPr>
          <w:rStyle w:val="FootnoteReference"/>
        </w:rPr>
        <w:footnoteRef/>
      </w:r>
      <w:r>
        <w:t xml:space="preserve"> </w:t>
      </w:r>
      <w:r>
        <w:rPr>
          <w:i/>
          <w:iCs/>
          <w:lang w:val="en-US"/>
        </w:rPr>
        <w:t xml:space="preserve">Saidi </w:t>
      </w:r>
      <w:r>
        <w:rPr>
          <w:lang w:val="en-US"/>
        </w:rPr>
        <w:t xml:space="preserve">above n </w:t>
      </w:r>
      <w:r w:rsidR="00334CEA">
        <w:rPr>
          <w:lang w:val="en-US"/>
        </w:rPr>
        <w:t>4</w:t>
      </w:r>
      <w:r>
        <w:rPr>
          <w:lang w:val="en-US"/>
        </w:rPr>
        <w:t xml:space="preserve"> para</w:t>
      </w:r>
      <w:r w:rsidR="009B5DAE">
        <w:rPr>
          <w:lang w:val="en-US"/>
        </w:rPr>
        <w:t>s 37 – 39.</w:t>
      </w:r>
    </w:p>
  </w:footnote>
  <w:footnote w:id="11">
    <w:p w14:paraId="74EA5BDA" w14:textId="0AC25831" w:rsidR="00F27CE2" w:rsidRPr="00F27CE2" w:rsidRDefault="00F27CE2" w:rsidP="00813CFC">
      <w:pPr>
        <w:pStyle w:val="FootnoteText"/>
        <w:spacing w:line="240" w:lineRule="auto"/>
        <w:jc w:val="both"/>
        <w:rPr>
          <w:lang w:val="en-US"/>
        </w:rPr>
      </w:pPr>
      <w:r>
        <w:rPr>
          <w:rStyle w:val="FootnoteReference"/>
        </w:rPr>
        <w:footnoteRef/>
      </w:r>
      <w:r>
        <w:t xml:space="preserve"> </w:t>
      </w:r>
      <w:r>
        <w:rPr>
          <w:i/>
          <w:iCs/>
          <w:lang w:val="en-US"/>
        </w:rPr>
        <w:t xml:space="preserve">Saidi </w:t>
      </w:r>
      <w:r>
        <w:rPr>
          <w:lang w:val="en-US"/>
        </w:rPr>
        <w:t xml:space="preserve">above n </w:t>
      </w:r>
      <w:r w:rsidR="00334CEA">
        <w:rPr>
          <w:lang w:val="en-US"/>
        </w:rPr>
        <w:t>4</w:t>
      </w:r>
      <w:r>
        <w:rPr>
          <w:lang w:val="en-US"/>
        </w:rPr>
        <w:t xml:space="preserve"> paras 42, 43.</w:t>
      </w:r>
    </w:p>
  </w:footnote>
  <w:footnote w:id="12">
    <w:p w14:paraId="6A298316" w14:textId="1046122E" w:rsidR="00F9139C" w:rsidRPr="00F9139C" w:rsidRDefault="00F9139C" w:rsidP="00813CFC">
      <w:pPr>
        <w:pStyle w:val="FootnoteText"/>
        <w:spacing w:line="240" w:lineRule="auto"/>
        <w:jc w:val="both"/>
        <w:rPr>
          <w:lang w:val="en-US"/>
        </w:rPr>
      </w:pPr>
      <w:r>
        <w:rPr>
          <w:rStyle w:val="FootnoteReference"/>
        </w:rPr>
        <w:footnoteRef/>
      </w:r>
      <w:r>
        <w:t xml:space="preserve"> </w:t>
      </w:r>
      <w:r>
        <w:rPr>
          <w:i/>
          <w:iCs/>
          <w:lang w:val="en-US"/>
        </w:rPr>
        <w:t>Saidi</w:t>
      </w:r>
      <w:r>
        <w:rPr>
          <w:lang w:val="en-US"/>
        </w:rPr>
        <w:t xml:space="preserve"> above n </w:t>
      </w:r>
      <w:r w:rsidR="003834BE">
        <w:rPr>
          <w:lang w:val="en-US"/>
        </w:rPr>
        <w:t>4</w:t>
      </w:r>
      <w:r>
        <w:rPr>
          <w:lang w:val="en-US"/>
        </w:rPr>
        <w:t xml:space="preserve"> para 46.</w:t>
      </w:r>
    </w:p>
  </w:footnote>
  <w:footnote w:id="13">
    <w:p w14:paraId="351FA61B" w14:textId="6FDC6EFB" w:rsidR="000F6ABE" w:rsidRPr="000F6ABE" w:rsidRDefault="000F6ABE" w:rsidP="00813CFC">
      <w:pPr>
        <w:pStyle w:val="FootnoteText"/>
        <w:spacing w:line="240" w:lineRule="auto"/>
        <w:jc w:val="both"/>
        <w:rPr>
          <w:lang w:val="en-US"/>
        </w:rPr>
      </w:pPr>
      <w:r>
        <w:rPr>
          <w:rStyle w:val="FootnoteReference"/>
        </w:rPr>
        <w:footnoteRef/>
      </w:r>
      <w:r>
        <w:t xml:space="preserve"> </w:t>
      </w:r>
      <w:r>
        <w:rPr>
          <w:lang w:val="en-US"/>
        </w:rPr>
        <w:t>Act 3 of 2000.</w:t>
      </w:r>
    </w:p>
  </w:footnote>
  <w:footnote w:id="14">
    <w:p w14:paraId="6B15D012" w14:textId="4CFBBB7C" w:rsidR="00CA7D96" w:rsidRPr="002D5CDB" w:rsidRDefault="00CA7D96" w:rsidP="00813CFC">
      <w:pPr>
        <w:pStyle w:val="FootnoteText"/>
        <w:spacing w:line="240" w:lineRule="auto"/>
        <w:jc w:val="both"/>
        <w:rPr>
          <w:lang w:val="en-US"/>
        </w:rPr>
      </w:pPr>
      <w:r>
        <w:rPr>
          <w:rStyle w:val="FootnoteReference"/>
        </w:rPr>
        <w:footnoteRef/>
      </w:r>
      <w:r>
        <w:t xml:space="preserve"> </w:t>
      </w:r>
      <w:r>
        <w:rPr>
          <w:lang w:val="en-US"/>
        </w:rPr>
        <w:t xml:space="preserve">See, for example </w:t>
      </w:r>
      <w:r>
        <w:rPr>
          <w:i/>
          <w:iCs/>
          <w:lang w:val="en-US"/>
        </w:rPr>
        <w:t>Saidi</w:t>
      </w:r>
      <w:r>
        <w:rPr>
          <w:lang w:val="en-US"/>
        </w:rPr>
        <w:t xml:space="preserve"> above n </w:t>
      </w:r>
      <w:r w:rsidR="003834BE">
        <w:rPr>
          <w:lang w:val="en-US"/>
        </w:rPr>
        <w:t>4</w:t>
      </w:r>
      <w:r>
        <w:rPr>
          <w:lang w:val="en-US"/>
        </w:rPr>
        <w:t xml:space="preserve"> para</w:t>
      </w:r>
      <w:r w:rsidR="00545500">
        <w:rPr>
          <w:lang w:val="en-US"/>
        </w:rPr>
        <w:t>s</w:t>
      </w:r>
      <w:r>
        <w:rPr>
          <w:lang w:val="en-US"/>
        </w:rPr>
        <w:t xml:space="preserve"> 27</w:t>
      </w:r>
      <w:r w:rsidR="00545500">
        <w:rPr>
          <w:lang w:val="en-US"/>
        </w:rPr>
        <w:t>, 31</w:t>
      </w:r>
      <w:r>
        <w:rPr>
          <w:lang w:val="en-US"/>
        </w:rPr>
        <w:t>.</w:t>
      </w:r>
      <w:r w:rsidR="00F8295D">
        <w:rPr>
          <w:lang w:val="en-US"/>
        </w:rPr>
        <w:t xml:space="preserve"> Section 233 of the Constitution provides: ‘When interpreting any legislation, every court must prefer any reasonable interpretation of the legislation that is consistent with international law over any alternative interpretation that is inconsistent with international law.’</w:t>
      </w:r>
      <w:r w:rsidR="002D5CDB">
        <w:rPr>
          <w:lang w:val="en-US"/>
        </w:rPr>
        <w:t xml:space="preserve"> Also see </w:t>
      </w:r>
      <w:r w:rsidR="002D5CDB">
        <w:rPr>
          <w:i/>
          <w:iCs/>
          <w:lang w:val="en-US"/>
        </w:rPr>
        <w:t>Minister of Home Affairs and Others v Somali Association of South Africa and Another</w:t>
      </w:r>
      <w:r w:rsidR="002D5CDB">
        <w:rPr>
          <w:lang w:val="en-US"/>
        </w:rPr>
        <w:t xml:space="preserve"> 2015 (3) SA 545 (SCA) para 2.</w:t>
      </w:r>
    </w:p>
  </w:footnote>
  <w:footnote w:id="15">
    <w:p w14:paraId="1D3FEEA1" w14:textId="1E9C9FFB" w:rsidR="002C4135" w:rsidRPr="00D53207" w:rsidRDefault="002C4135" w:rsidP="00813CFC">
      <w:pPr>
        <w:pStyle w:val="FootnoteText"/>
        <w:spacing w:line="240" w:lineRule="auto"/>
        <w:jc w:val="both"/>
        <w:rPr>
          <w:lang w:val="en-US"/>
        </w:rPr>
      </w:pPr>
      <w:r>
        <w:rPr>
          <w:rStyle w:val="FootnoteReference"/>
        </w:rPr>
        <w:footnoteRef/>
      </w:r>
      <w:r>
        <w:t xml:space="preserve"> </w:t>
      </w:r>
      <w:r>
        <w:rPr>
          <w:i/>
          <w:iCs/>
          <w:lang w:val="en-US"/>
        </w:rPr>
        <w:t>Scalabrini Centre, Cape Town and Others v Minister of Home Affairs and Others</w:t>
      </w:r>
      <w:r>
        <w:rPr>
          <w:lang w:val="en-US"/>
        </w:rPr>
        <w:t xml:space="preserve"> 2018 (4) SA 125 (SCA) para 35.</w:t>
      </w:r>
      <w:r w:rsidR="00D53207">
        <w:rPr>
          <w:lang w:val="en-US"/>
        </w:rPr>
        <w:t xml:space="preserve"> Cf </w:t>
      </w:r>
      <w:r w:rsidR="00D53207">
        <w:rPr>
          <w:i/>
          <w:iCs/>
          <w:lang w:val="en-US"/>
        </w:rPr>
        <w:t>Ashebo v Minister of Home Affairs and Others</w:t>
      </w:r>
      <w:r w:rsidR="00D53207">
        <w:rPr>
          <w:lang w:val="en-US"/>
        </w:rPr>
        <w:t xml:space="preserve"> 2023 (5) SA 382 (CC).</w:t>
      </w:r>
    </w:p>
  </w:footnote>
  <w:footnote w:id="16">
    <w:p w14:paraId="4D6BE09A" w14:textId="6FFE9AFF" w:rsidR="005656C3" w:rsidRPr="005656C3" w:rsidRDefault="005656C3" w:rsidP="00813CFC">
      <w:pPr>
        <w:pStyle w:val="FootnoteText"/>
        <w:spacing w:line="240" w:lineRule="auto"/>
        <w:jc w:val="both"/>
        <w:rPr>
          <w:lang w:val="en-US"/>
        </w:rPr>
      </w:pPr>
      <w:r>
        <w:rPr>
          <w:rStyle w:val="FootnoteReference"/>
        </w:rPr>
        <w:footnoteRef/>
      </w:r>
      <w:r>
        <w:t xml:space="preserve"> </w:t>
      </w:r>
      <w:r>
        <w:rPr>
          <w:i/>
          <w:iCs/>
          <w:lang w:val="en-US"/>
        </w:rPr>
        <w:t>Saidi</w:t>
      </w:r>
      <w:r>
        <w:rPr>
          <w:lang w:val="en-US"/>
        </w:rPr>
        <w:t xml:space="preserve"> above n </w:t>
      </w:r>
      <w:r w:rsidR="003834BE">
        <w:rPr>
          <w:lang w:val="en-US"/>
        </w:rPr>
        <w:t>4</w:t>
      </w:r>
      <w:r>
        <w:rPr>
          <w:lang w:val="en-US"/>
        </w:rPr>
        <w:t xml:space="preserve"> para 35.</w:t>
      </w:r>
    </w:p>
  </w:footnote>
  <w:footnote w:id="17">
    <w:p w14:paraId="2DCF437B" w14:textId="60D52F56" w:rsidR="006839DE" w:rsidRPr="00BA07D9" w:rsidRDefault="006839DE" w:rsidP="00813CFC">
      <w:pPr>
        <w:pStyle w:val="FootnoteText"/>
        <w:spacing w:line="240" w:lineRule="auto"/>
        <w:jc w:val="both"/>
        <w:rPr>
          <w:lang w:val="en-US"/>
        </w:rPr>
      </w:pPr>
      <w:r>
        <w:rPr>
          <w:rStyle w:val="FootnoteReference"/>
        </w:rPr>
        <w:footnoteRef/>
      </w:r>
      <w:r>
        <w:t xml:space="preserve"> </w:t>
      </w:r>
      <w:r>
        <w:rPr>
          <w:i/>
          <w:iCs/>
          <w:lang w:val="en-US"/>
        </w:rPr>
        <w:t>Saidi</w:t>
      </w:r>
      <w:r>
        <w:rPr>
          <w:lang w:val="en-US"/>
        </w:rPr>
        <w:t xml:space="preserve"> above n </w:t>
      </w:r>
      <w:r w:rsidR="003834BE">
        <w:rPr>
          <w:lang w:val="en-US"/>
        </w:rPr>
        <w:t>4</w:t>
      </w:r>
      <w:r>
        <w:rPr>
          <w:lang w:val="en-US"/>
        </w:rPr>
        <w:t xml:space="preserve"> para 37.</w:t>
      </w:r>
      <w:r w:rsidR="00577AB9">
        <w:rPr>
          <w:lang w:val="en-US"/>
        </w:rPr>
        <w:t xml:space="preserve"> Also see </w:t>
      </w:r>
      <w:r w:rsidR="00577AB9">
        <w:rPr>
          <w:i/>
          <w:iCs/>
          <w:lang w:val="en-US"/>
        </w:rPr>
        <w:t>Ruta v Minister of Home Affairs</w:t>
      </w:r>
      <w:r w:rsidR="00577AB9">
        <w:rPr>
          <w:lang w:val="en-US"/>
        </w:rPr>
        <w:t xml:space="preserve"> [2018] ZACC 52; 2019 (2) SA 329 (CC); 2019 (3) BCLR 383 (CC) para 29</w:t>
      </w:r>
      <w:r w:rsidR="00BA07D9">
        <w:rPr>
          <w:lang w:val="en-US"/>
        </w:rPr>
        <w:t xml:space="preserve">: all asylum seekers are protected by the principle of </w:t>
      </w:r>
      <w:r w:rsidR="00BA07D9">
        <w:rPr>
          <w:i/>
          <w:iCs/>
          <w:lang w:val="en-US"/>
        </w:rPr>
        <w:t>non-refoulement</w:t>
      </w:r>
      <w:r w:rsidR="00BA07D9">
        <w:rPr>
          <w:lang w:val="en-US"/>
        </w:rPr>
        <w:t>, and the protection applies as long as the claim to refugee status has not been finally rejected after a proper procedure.</w:t>
      </w:r>
    </w:p>
  </w:footnote>
  <w:footnote w:id="18">
    <w:p w14:paraId="0503EBC6" w14:textId="4E6DA75F" w:rsidR="000F7C66" w:rsidRPr="00F81E9A" w:rsidRDefault="000F7C66" w:rsidP="00813CFC">
      <w:pPr>
        <w:pStyle w:val="FootnoteText"/>
        <w:spacing w:line="240" w:lineRule="auto"/>
        <w:jc w:val="both"/>
        <w:rPr>
          <w:lang w:val="en-US"/>
        </w:rPr>
      </w:pPr>
      <w:r>
        <w:rPr>
          <w:rStyle w:val="FootnoteReference"/>
        </w:rPr>
        <w:footnoteRef/>
      </w:r>
      <w:r>
        <w:t xml:space="preserve"> </w:t>
      </w:r>
      <w:r>
        <w:rPr>
          <w:i/>
          <w:iCs/>
          <w:lang w:val="en-US"/>
        </w:rPr>
        <w:t>Ruta</w:t>
      </w:r>
      <w:r>
        <w:rPr>
          <w:lang w:val="en-US"/>
        </w:rPr>
        <w:t xml:space="preserve"> above n </w:t>
      </w:r>
      <w:r w:rsidR="003834BE">
        <w:rPr>
          <w:lang w:val="en-US"/>
        </w:rPr>
        <w:t>17</w:t>
      </w:r>
      <w:r>
        <w:rPr>
          <w:lang w:val="en-US"/>
        </w:rPr>
        <w:t xml:space="preserve"> paras 26-27.</w:t>
      </w:r>
      <w:r w:rsidR="00F81E9A">
        <w:rPr>
          <w:lang w:val="en-US"/>
        </w:rPr>
        <w:t xml:space="preserve"> Also see </w:t>
      </w:r>
      <w:r w:rsidR="00F81E9A">
        <w:rPr>
          <w:i/>
          <w:iCs/>
          <w:lang w:val="en-US"/>
        </w:rPr>
        <w:t>Abore v Minister of Home Affairs and Another</w:t>
      </w:r>
      <w:r w:rsidR="00F81E9A">
        <w:rPr>
          <w:lang w:val="en-US"/>
        </w:rPr>
        <w:t xml:space="preserve"> 2022 (2) SA 321 (CC); 2022 (4) BCLR 387; [2021] ZACC 50</w:t>
      </w:r>
      <w:r w:rsidR="008A664F">
        <w:rPr>
          <w:lang w:val="en-US"/>
        </w:rPr>
        <w:t xml:space="preserve"> para 48.</w:t>
      </w:r>
    </w:p>
  </w:footnote>
  <w:footnote w:id="19">
    <w:p w14:paraId="69BB627C" w14:textId="2DC532F2" w:rsidR="00B465B1" w:rsidRPr="00B465B1" w:rsidRDefault="00B465B1" w:rsidP="00813CFC">
      <w:pPr>
        <w:pStyle w:val="FootnoteText"/>
        <w:spacing w:line="240" w:lineRule="auto"/>
        <w:jc w:val="both"/>
        <w:rPr>
          <w:lang w:val="en-US"/>
        </w:rPr>
      </w:pPr>
      <w:r>
        <w:rPr>
          <w:rStyle w:val="FootnoteReference"/>
        </w:rPr>
        <w:footnoteRef/>
      </w:r>
      <w:r>
        <w:t xml:space="preserve"> </w:t>
      </w:r>
      <w:r>
        <w:rPr>
          <w:lang w:val="en-US"/>
        </w:rPr>
        <w:t>S 21(4)</w:t>
      </w:r>
      <w:r>
        <w:rPr>
          <w:i/>
          <w:iCs/>
          <w:lang w:val="en-US"/>
        </w:rPr>
        <w:t>(a)</w:t>
      </w:r>
      <w:r>
        <w:rPr>
          <w:lang w:val="en-US"/>
        </w:rPr>
        <w:t xml:space="preserve"> of the Refugees Act, read with </w:t>
      </w:r>
      <w:r>
        <w:rPr>
          <w:i/>
          <w:iCs/>
          <w:lang w:val="en-US"/>
        </w:rPr>
        <w:t>Saidi</w:t>
      </w:r>
      <w:r w:rsidR="008D74DD">
        <w:rPr>
          <w:i/>
          <w:iCs/>
          <w:lang w:val="en-US"/>
        </w:rPr>
        <w:t xml:space="preserve"> </w:t>
      </w:r>
      <w:r w:rsidR="008D74DD">
        <w:rPr>
          <w:lang w:val="en-US"/>
        </w:rPr>
        <w:t>above n 4</w:t>
      </w:r>
      <w:r>
        <w:rPr>
          <w:lang w:val="en-US"/>
        </w:rPr>
        <w:t>.</w:t>
      </w:r>
    </w:p>
  </w:footnote>
  <w:footnote w:id="20">
    <w:p w14:paraId="0E975574" w14:textId="49FC4F3A" w:rsidR="0061643A" w:rsidRPr="0061643A" w:rsidRDefault="0061643A" w:rsidP="00813CFC">
      <w:pPr>
        <w:pStyle w:val="FootnoteText"/>
        <w:spacing w:line="240" w:lineRule="auto"/>
        <w:jc w:val="both"/>
        <w:rPr>
          <w:lang w:val="en-US"/>
        </w:rPr>
      </w:pPr>
      <w:r>
        <w:rPr>
          <w:rStyle w:val="FootnoteReference"/>
        </w:rPr>
        <w:footnoteRef/>
      </w:r>
      <w:r>
        <w:t xml:space="preserve"> </w:t>
      </w:r>
      <w:r>
        <w:rPr>
          <w:i/>
          <w:iCs/>
          <w:lang w:val="en-US"/>
        </w:rPr>
        <w:t>Saidi</w:t>
      </w:r>
      <w:r>
        <w:rPr>
          <w:lang w:val="en-US"/>
        </w:rPr>
        <w:t xml:space="preserve"> above n </w:t>
      </w:r>
      <w:r w:rsidR="00F068C2">
        <w:rPr>
          <w:lang w:val="en-US"/>
        </w:rPr>
        <w:t>4</w:t>
      </w:r>
      <w:r>
        <w:rPr>
          <w:lang w:val="en-US"/>
        </w:rPr>
        <w:t xml:space="preserve"> paras 38, 40.</w:t>
      </w:r>
      <w:r w:rsidR="00604B6A">
        <w:rPr>
          <w:lang w:val="en-US"/>
        </w:rPr>
        <w:t xml:space="preserve"> </w:t>
      </w:r>
    </w:p>
  </w:footnote>
  <w:footnote w:id="21">
    <w:p w14:paraId="39E2A3F5" w14:textId="758F66EC" w:rsidR="00AE1ECA" w:rsidRPr="00AE1ECA" w:rsidRDefault="00AE1ECA" w:rsidP="00813CFC">
      <w:pPr>
        <w:pStyle w:val="FootnoteText"/>
        <w:spacing w:line="240" w:lineRule="auto"/>
        <w:jc w:val="both"/>
        <w:rPr>
          <w:lang w:val="en-US"/>
        </w:rPr>
      </w:pPr>
      <w:r>
        <w:rPr>
          <w:rStyle w:val="FootnoteReference"/>
        </w:rPr>
        <w:footnoteRef/>
      </w:r>
      <w:r>
        <w:t xml:space="preserve"> </w:t>
      </w:r>
      <w:r>
        <w:rPr>
          <w:i/>
          <w:iCs/>
          <w:lang w:val="en-US"/>
        </w:rPr>
        <w:t>Saidi</w:t>
      </w:r>
      <w:r>
        <w:rPr>
          <w:lang w:val="en-US"/>
        </w:rPr>
        <w:t xml:space="preserve"> above n </w:t>
      </w:r>
      <w:r w:rsidR="00F068C2">
        <w:rPr>
          <w:lang w:val="en-US"/>
        </w:rPr>
        <w:t>4</w:t>
      </w:r>
      <w:r>
        <w:rPr>
          <w:lang w:val="en-US"/>
        </w:rPr>
        <w:t xml:space="preserve"> para 18.</w:t>
      </w:r>
    </w:p>
  </w:footnote>
  <w:footnote w:id="22">
    <w:p w14:paraId="4235A32D" w14:textId="0F7DB412" w:rsidR="00662DE0" w:rsidRPr="00662DE0" w:rsidRDefault="00662DE0" w:rsidP="00813CFC">
      <w:pPr>
        <w:pStyle w:val="FootnoteText"/>
        <w:spacing w:line="240" w:lineRule="auto"/>
        <w:jc w:val="both"/>
        <w:rPr>
          <w:lang w:val="en-US"/>
        </w:rPr>
      </w:pPr>
      <w:r>
        <w:rPr>
          <w:rStyle w:val="FootnoteReference"/>
        </w:rPr>
        <w:footnoteRef/>
      </w:r>
      <w:r>
        <w:t xml:space="preserve"> </w:t>
      </w:r>
      <w:r>
        <w:rPr>
          <w:lang w:val="en-US"/>
        </w:rPr>
        <w:t xml:space="preserve">See, for example, </w:t>
      </w:r>
      <w:r>
        <w:rPr>
          <w:i/>
          <w:iCs/>
          <w:lang w:val="en-US"/>
        </w:rPr>
        <w:t>Scalabrini Centre of Cape Town and Another v The Minister of Home Affairs and Others</w:t>
      </w:r>
      <w:r>
        <w:rPr>
          <w:lang w:val="en-US"/>
        </w:rPr>
        <w:t xml:space="preserve"> [2023] ZACC 45 </w:t>
      </w:r>
      <w:r w:rsidR="003A2FAF">
        <w:rPr>
          <w:lang w:val="en-US"/>
        </w:rPr>
        <w:t>(‘</w:t>
      </w:r>
      <w:r w:rsidR="003A2FAF">
        <w:rPr>
          <w:i/>
          <w:iCs/>
          <w:lang w:val="en-US"/>
        </w:rPr>
        <w:t>Scalabrini Centre</w:t>
      </w:r>
      <w:r w:rsidR="003A2FAF">
        <w:rPr>
          <w:lang w:val="en-US"/>
        </w:rPr>
        <w:t>’)</w:t>
      </w:r>
      <w:r w:rsidR="003A2FAF">
        <w:rPr>
          <w:i/>
          <w:iCs/>
          <w:lang w:val="en-US"/>
        </w:rPr>
        <w:t xml:space="preserve"> </w:t>
      </w:r>
      <w:r>
        <w:rPr>
          <w:lang w:val="en-US"/>
        </w:rPr>
        <w:t>para 30.</w:t>
      </w:r>
    </w:p>
  </w:footnote>
  <w:footnote w:id="23">
    <w:p w14:paraId="74AC8444" w14:textId="0FF69666" w:rsidR="003A2FAF" w:rsidRPr="003A2FAF" w:rsidRDefault="003A2FAF" w:rsidP="00813CFC">
      <w:pPr>
        <w:pStyle w:val="FootnoteText"/>
        <w:spacing w:line="240" w:lineRule="auto"/>
        <w:jc w:val="both"/>
        <w:rPr>
          <w:lang w:val="en-US"/>
        </w:rPr>
      </w:pPr>
      <w:r>
        <w:rPr>
          <w:rStyle w:val="FootnoteReference"/>
        </w:rPr>
        <w:footnoteRef/>
      </w:r>
      <w:r>
        <w:t xml:space="preserve"> </w:t>
      </w:r>
      <w:r>
        <w:rPr>
          <w:i/>
          <w:iCs/>
        </w:rPr>
        <w:t>Scalabrini Centre</w:t>
      </w:r>
      <w:r>
        <w:t xml:space="preserve"> above n </w:t>
      </w:r>
      <w:r w:rsidR="00F068C2">
        <w:t>22</w:t>
      </w:r>
      <w:r>
        <w:t xml:space="preserve"> para</w:t>
      </w:r>
      <w:r w:rsidR="00C52CEF">
        <w:t xml:space="preserve"> 40.</w:t>
      </w:r>
    </w:p>
  </w:footnote>
  <w:footnote w:id="24">
    <w:p w14:paraId="1668B93D" w14:textId="4A1F1520" w:rsidR="007052A4" w:rsidRPr="007052A4" w:rsidRDefault="007052A4" w:rsidP="00813CFC">
      <w:pPr>
        <w:pStyle w:val="FootnoteText"/>
        <w:spacing w:line="240" w:lineRule="auto"/>
        <w:jc w:val="both"/>
        <w:rPr>
          <w:lang w:val="en-US"/>
        </w:rPr>
      </w:pPr>
      <w:r>
        <w:rPr>
          <w:rStyle w:val="FootnoteReference"/>
        </w:rPr>
        <w:footnoteRef/>
      </w:r>
      <w:r>
        <w:t xml:space="preserve"> </w:t>
      </w:r>
      <w:r>
        <w:rPr>
          <w:lang w:val="en-US"/>
        </w:rPr>
        <w:t xml:space="preserve">On the effect of the Refugees Act on detention pursuant to an evinced intention to apply for asylum, see </w:t>
      </w:r>
      <w:r>
        <w:rPr>
          <w:i/>
          <w:iCs/>
          <w:lang w:val="en-US"/>
        </w:rPr>
        <w:t>Abraham v Minister of Home Affairs</w:t>
      </w:r>
      <w:r>
        <w:rPr>
          <w:lang w:val="en-US"/>
        </w:rPr>
        <w:t xml:space="preserve"> </w:t>
      </w:r>
      <w:r>
        <w:rPr>
          <w:i/>
          <w:iCs/>
          <w:lang w:val="en-US"/>
        </w:rPr>
        <w:t>and Another</w:t>
      </w:r>
      <w:r>
        <w:rPr>
          <w:lang w:val="en-US"/>
        </w:rPr>
        <w:t xml:space="preserve"> 2023 (5) SA 178 (GSJ).</w:t>
      </w:r>
    </w:p>
  </w:footnote>
  <w:footnote w:id="25">
    <w:p w14:paraId="3CA8DFE9" w14:textId="2D46EA5F" w:rsidR="00FE5217" w:rsidRPr="00FE5217" w:rsidRDefault="00FE5217" w:rsidP="00813CFC">
      <w:pPr>
        <w:pStyle w:val="FootnoteText"/>
        <w:spacing w:line="240" w:lineRule="auto"/>
        <w:jc w:val="both"/>
        <w:rPr>
          <w:lang w:val="en-US"/>
        </w:rPr>
      </w:pPr>
      <w:r>
        <w:rPr>
          <w:rStyle w:val="FootnoteReference"/>
        </w:rPr>
        <w:footnoteRef/>
      </w:r>
      <w:r>
        <w:t xml:space="preserve"> </w:t>
      </w:r>
      <w:r>
        <w:rPr>
          <w:i/>
          <w:iCs/>
          <w:lang w:val="en-US"/>
        </w:rPr>
        <w:t>National Director of Public Prosecutions and Others v Freedom Under Law</w:t>
      </w:r>
      <w:r>
        <w:rPr>
          <w:lang w:val="en-US"/>
        </w:rPr>
        <w:t xml:space="preserve"> 2014 (4) SA 298 (SCA)</w:t>
      </w:r>
      <w:r w:rsidR="005446BD">
        <w:rPr>
          <w:lang w:val="en-US"/>
        </w:rPr>
        <w:t xml:space="preserve"> (</w:t>
      </w:r>
      <w:r w:rsidR="005446BD">
        <w:rPr>
          <w:i/>
          <w:iCs/>
          <w:lang w:val="en-US"/>
        </w:rPr>
        <w:t>NDPP v FUL</w:t>
      </w:r>
      <w:r w:rsidR="005446BD">
        <w:rPr>
          <w:lang w:val="en-US"/>
        </w:rPr>
        <w:t>)</w:t>
      </w:r>
      <w:r>
        <w:rPr>
          <w:lang w:val="en-US"/>
        </w:rPr>
        <w:t xml:space="preserve"> para 27 and following.</w:t>
      </w:r>
    </w:p>
  </w:footnote>
  <w:footnote w:id="26">
    <w:p w14:paraId="4E837CEA" w14:textId="4DF7F630" w:rsidR="009E687A" w:rsidRPr="009E687A" w:rsidRDefault="009E687A" w:rsidP="00813CFC">
      <w:pPr>
        <w:pStyle w:val="FootnoteText"/>
        <w:spacing w:line="240" w:lineRule="auto"/>
        <w:jc w:val="both"/>
        <w:rPr>
          <w:lang w:val="en-US"/>
        </w:rPr>
      </w:pPr>
      <w:r>
        <w:rPr>
          <w:rStyle w:val="FootnoteReference"/>
        </w:rPr>
        <w:footnoteRef/>
      </w:r>
      <w:r>
        <w:t xml:space="preserve"> </w:t>
      </w:r>
      <w:r>
        <w:rPr>
          <w:lang w:val="en-US"/>
        </w:rPr>
        <w:t>Ibid para 29.</w:t>
      </w:r>
    </w:p>
  </w:footnote>
  <w:footnote w:id="27">
    <w:p w14:paraId="671E0B23" w14:textId="4CADA181" w:rsidR="00417CED" w:rsidRPr="00417CED" w:rsidRDefault="00417CED" w:rsidP="00813CFC">
      <w:pPr>
        <w:pStyle w:val="FootnoteText"/>
        <w:spacing w:line="240" w:lineRule="auto"/>
        <w:jc w:val="both"/>
        <w:rPr>
          <w:lang w:val="en-US"/>
        </w:rPr>
      </w:pPr>
      <w:r>
        <w:rPr>
          <w:rStyle w:val="FootnoteReference"/>
        </w:rPr>
        <w:footnoteRef/>
      </w:r>
      <w:r>
        <w:t xml:space="preserve"> </w:t>
      </w:r>
      <w:r>
        <w:rPr>
          <w:lang w:val="en-US"/>
        </w:rPr>
        <w:t>S 6</w:t>
      </w:r>
      <w:r w:rsidR="00C14472">
        <w:rPr>
          <w:i/>
          <w:iCs/>
          <w:lang w:val="en-US"/>
        </w:rPr>
        <w:t>(a)</w:t>
      </w:r>
      <w:r>
        <w:rPr>
          <w:lang w:val="en-US"/>
        </w:rPr>
        <w:t xml:space="preserve"> of the Criminal Procedure Act, 1977 (Act 51 of 1977)</w:t>
      </w:r>
      <w:r w:rsidR="00C14472">
        <w:rPr>
          <w:lang w:val="en-US"/>
        </w:rPr>
        <w:t xml:space="preserve"> (‘the CPA’)</w:t>
      </w:r>
      <w:r>
        <w:rPr>
          <w:lang w:val="en-US"/>
        </w:rPr>
        <w:t>.</w:t>
      </w:r>
    </w:p>
  </w:footnote>
  <w:footnote w:id="28">
    <w:p w14:paraId="2778D343" w14:textId="6ED5D996" w:rsidR="00C14472" w:rsidRPr="00191071" w:rsidRDefault="00C14472" w:rsidP="00813CFC">
      <w:pPr>
        <w:pStyle w:val="FootnoteText"/>
        <w:spacing w:line="240" w:lineRule="auto"/>
        <w:jc w:val="both"/>
        <w:rPr>
          <w:lang w:val="en-US"/>
        </w:rPr>
      </w:pPr>
      <w:r>
        <w:rPr>
          <w:rStyle w:val="FootnoteReference"/>
        </w:rPr>
        <w:footnoteRef/>
      </w:r>
      <w:r>
        <w:t xml:space="preserve"> </w:t>
      </w:r>
      <w:r>
        <w:rPr>
          <w:lang w:val="en-US"/>
        </w:rPr>
        <w:t>S 6</w:t>
      </w:r>
      <w:r>
        <w:rPr>
          <w:i/>
          <w:iCs/>
          <w:lang w:val="en-US"/>
        </w:rPr>
        <w:t>(b)</w:t>
      </w:r>
      <w:r>
        <w:rPr>
          <w:lang w:val="en-US"/>
        </w:rPr>
        <w:t xml:space="preserve"> of the CPA, read with s 45 of the National Prosecuting Authority Act, 1998 (Act 32 of 1998).</w:t>
      </w:r>
      <w:r w:rsidR="00191071">
        <w:rPr>
          <w:lang w:val="en-US"/>
        </w:rPr>
        <w:t xml:space="preserve"> See </w:t>
      </w:r>
      <w:r w:rsidR="00191071">
        <w:rPr>
          <w:i/>
          <w:iCs/>
          <w:lang w:val="en-US"/>
        </w:rPr>
        <w:t>Attorney-General v Additional Magistrate, Middledrift, and Others</w:t>
      </w:r>
      <w:r w:rsidR="00191071">
        <w:rPr>
          <w:lang w:val="en-US"/>
        </w:rPr>
        <w:t xml:space="preserve"> 1987 (4) SA 914 (Ck).</w:t>
      </w:r>
    </w:p>
  </w:footnote>
  <w:footnote w:id="29">
    <w:p w14:paraId="77B85FE4" w14:textId="2F65C576" w:rsidR="004A2CF1" w:rsidRPr="004A2CF1" w:rsidRDefault="004A2CF1" w:rsidP="00813CFC">
      <w:pPr>
        <w:pStyle w:val="FootnoteText"/>
        <w:spacing w:line="240" w:lineRule="auto"/>
        <w:jc w:val="both"/>
        <w:rPr>
          <w:lang w:val="en-US"/>
        </w:rPr>
      </w:pPr>
      <w:r>
        <w:rPr>
          <w:rStyle w:val="FootnoteReference"/>
        </w:rPr>
        <w:footnoteRef/>
      </w:r>
      <w:r>
        <w:t xml:space="preserve"> </w:t>
      </w:r>
      <w:r>
        <w:rPr>
          <w:i/>
          <w:iCs/>
          <w:lang w:val="en-US"/>
        </w:rPr>
        <w:t>Essop v National Director of Public Prosecutions</w:t>
      </w:r>
      <w:r>
        <w:rPr>
          <w:lang w:val="en-US"/>
        </w:rPr>
        <w:t xml:space="preserve"> 2020 JDR 2162 (KZP) para 1</w:t>
      </w:r>
      <w:r w:rsidR="004371D6">
        <w:rPr>
          <w:lang w:val="en-US"/>
        </w:rPr>
        <w:t xml:space="preserve"> fn 1</w:t>
      </w:r>
      <w:r>
        <w:rPr>
          <w:lang w:val="en-US"/>
        </w:rPr>
        <w:t>.</w:t>
      </w:r>
    </w:p>
  </w:footnote>
  <w:footnote w:id="30">
    <w:p w14:paraId="7D11C24D" w14:textId="7A0A984D" w:rsidR="005446BD" w:rsidRPr="005446BD" w:rsidRDefault="005446BD" w:rsidP="00813CFC">
      <w:pPr>
        <w:pStyle w:val="FootnoteText"/>
        <w:spacing w:line="240" w:lineRule="auto"/>
        <w:jc w:val="both"/>
        <w:rPr>
          <w:lang w:val="en-US"/>
        </w:rPr>
      </w:pPr>
      <w:r>
        <w:rPr>
          <w:rStyle w:val="FootnoteReference"/>
        </w:rPr>
        <w:footnoteRef/>
      </w:r>
      <w:r>
        <w:t xml:space="preserve"> See </w:t>
      </w:r>
      <w:r>
        <w:rPr>
          <w:i/>
          <w:iCs/>
        </w:rPr>
        <w:t>NDPP v FUL</w:t>
      </w:r>
      <w:r>
        <w:t xml:space="preserve"> above n </w:t>
      </w:r>
      <w:r w:rsidR="00AB1567">
        <w:t>25</w:t>
      </w:r>
      <w:r w:rsidR="002F631C">
        <w:t xml:space="preserve"> para 51.</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4079C2CD"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6845">
          <w:rPr>
            <w:rStyle w:val="PageNumber"/>
            <w:noProof/>
          </w:rPr>
          <w:t>12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71B09"/>
    <w:multiLevelType w:val="hybridMultilevel"/>
    <w:tmpl w:val="473C5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A1054"/>
    <w:multiLevelType w:val="hybridMultilevel"/>
    <w:tmpl w:val="8A36BF88"/>
    <w:lvl w:ilvl="0" w:tplc="DE90C4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3"/>
  </w:num>
  <w:num w:numId="6">
    <w:abstractNumId w:val="7"/>
  </w:num>
  <w:num w:numId="7">
    <w:abstractNumId w:val="16"/>
  </w:num>
  <w:num w:numId="8">
    <w:abstractNumId w:val="1"/>
  </w:num>
  <w:num w:numId="9">
    <w:abstractNumId w:val="6"/>
  </w:num>
  <w:num w:numId="10">
    <w:abstractNumId w:val="9"/>
  </w:num>
  <w:num w:numId="11">
    <w:abstractNumId w:val="15"/>
  </w:num>
  <w:num w:numId="12">
    <w:abstractNumId w:val="8"/>
  </w:num>
  <w:num w:numId="13">
    <w:abstractNumId w:val="11"/>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C0F"/>
    <w:rsid w:val="00004E1E"/>
    <w:rsid w:val="00005691"/>
    <w:rsid w:val="00005ABB"/>
    <w:rsid w:val="00005BC2"/>
    <w:rsid w:val="0000642E"/>
    <w:rsid w:val="00006A5F"/>
    <w:rsid w:val="00006D19"/>
    <w:rsid w:val="00006EF3"/>
    <w:rsid w:val="00007087"/>
    <w:rsid w:val="00007904"/>
    <w:rsid w:val="000109B4"/>
    <w:rsid w:val="00012A2F"/>
    <w:rsid w:val="00013C4F"/>
    <w:rsid w:val="00013EAE"/>
    <w:rsid w:val="00014437"/>
    <w:rsid w:val="0001469B"/>
    <w:rsid w:val="00014770"/>
    <w:rsid w:val="000161E8"/>
    <w:rsid w:val="00016FDA"/>
    <w:rsid w:val="000172B5"/>
    <w:rsid w:val="000220C3"/>
    <w:rsid w:val="00022804"/>
    <w:rsid w:val="0002284A"/>
    <w:rsid w:val="0002365D"/>
    <w:rsid w:val="00023C12"/>
    <w:rsid w:val="000243CC"/>
    <w:rsid w:val="00027DA3"/>
    <w:rsid w:val="00030A25"/>
    <w:rsid w:val="000323B0"/>
    <w:rsid w:val="000336B5"/>
    <w:rsid w:val="00033C59"/>
    <w:rsid w:val="000341AF"/>
    <w:rsid w:val="00034B32"/>
    <w:rsid w:val="0003553E"/>
    <w:rsid w:val="0004040E"/>
    <w:rsid w:val="00040F79"/>
    <w:rsid w:val="00041538"/>
    <w:rsid w:val="000422CD"/>
    <w:rsid w:val="0004347D"/>
    <w:rsid w:val="0004373B"/>
    <w:rsid w:val="00044B50"/>
    <w:rsid w:val="0004501B"/>
    <w:rsid w:val="000451D0"/>
    <w:rsid w:val="00046459"/>
    <w:rsid w:val="00047035"/>
    <w:rsid w:val="0004779D"/>
    <w:rsid w:val="000478E8"/>
    <w:rsid w:val="0005061D"/>
    <w:rsid w:val="00051AF2"/>
    <w:rsid w:val="00051F6C"/>
    <w:rsid w:val="00052497"/>
    <w:rsid w:val="000536DD"/>
    <w:rsid w:val="00053D81"/>
    <w:rsid w:val="00054DEC"/>
    <w:rsid w:val="00055C33"/>
    <w:rsid w:val="00056042"/>
    <w:rsid w:val="00056FBA"/>
    <w:rsid w:val="000574BF"/>
    <w:rsid w:val="00061BD8"/>
    <w:rsid w:val="00063188"/>
    <w:rsid w:val="00063C6E"/>
    <w:rsid w:val="00063D5A"/>
    <w:rsid w:val="0006762A"/>
    <w:rsid w:val="0007050F"/>
    <w:rsid w:val="0007234C"/>
    <w:rsid w:val="000723E8"/>
    <w:rsid w:val="0007399B"/>
    <w:rsid w:val="00073EFC"/>
    <w:rsid w:val="00075260"/>
    <w:rsid w:val="000778A4"/>
    <w:rsid w:val="00080D4E"/>
    <w:rsid w:val="000815F5"/>
    <w:rsid w:val="00081E7D"/>
    <w:rsid w:val="00083322"/>
    <w:rsid w:val="00083386"/>
    <w:rsid w:val="000833DB"/>
    <w:rsid w:val="00084C6F"/>
    <w:rsid w:val="00085D53"/>
    <w:rsid w:val="00086278"/>
    <w:rsid w:val="00086A06"/>
    <w:rsid w:val="0008715C"/>
    <w:rsid w:val="0009015D"/>
    <w:rsid w:val="0009053A"/>
    <w:rsid w:val="000910CD"/>
    <w:rsid w:val="00091F8C"/>
    <w:rsid w:val="00093584"/>
    <w:rsid w:val="000940E5"/>
    <w:rsid w:val="0009497C"/>
    <w:rsid w:val="00094F1C"/>
    <w:rsid w:val="00096BC1"/>
    <w:rsid w:val="000976CA"/>
    <w:rsid w:val="000A39A5"/>
    <w:rsid w:val="000A4A9C"/>
    <w:rsid w:val="000A59DC"/>
    <w:rsid w:val="000B0946"/>
    <w:rsid w:val="000B0DC8"/>
    <w:rsid w:val="000B26AE"/>
    <w:rsid w:val="000B26CF"/>
    <w:rsid w:val="000B3691"/>
    <w:rsid w:val="000B5479"/>
    <w:rsid w:val="000B5790"/>
    <w:rsid w:val="000B5FBC"/>
    <w:rsid w:val="000B6309"/>
    <w:rsid w:val="000B643B"/>
    <w:rsid w:val="000B690B"/>
    <w:rsid w:val="000B6E97"/>
    <w:rsid w:val="000B78EC"/>
    <w:rsid w:val="000C0413"/>
    <w:rsid w:val="000C2D21"/>
    <w:rsid w:val="000C3531"/>
    <w:rsid w:val="000C3620"/>
    <w:rsid w:val="000C39A5"/>
    <w:rsid w:val="000C3A6D"/>
    <w:rsid w:val="000C450C"/>
    <w:rsid w:val="000C599B"/>
    <w:rsid w:val="000C67E0"/>
    <w:rsid w:val="000C6FB4"/>
    <w:rsid w:val="000C7746"/>
    <w:rsid w:val="000C7A27"/>
    <w:rsid w:val="000D085B"/>
    <w:rsid w:val="000D0D78"/>
    <w:rsid w:val="000D17EF"/>
    <w:rsid w:val="000D22FB"/>
    <w:rsid w:val="000D487F"/>
    <w:rsid w:val="000D4BFA"/>
    <w:rsid w:val="000D4C7F"/>
    <w:rsid w:val="000D667A"/>
    <w:rsid w:val="000E1C45"/>
    <w:rsid w:val="000E1C54"/>
    <w:rsid w:val="000E2444"/>
    <w:rsid w:val="000E2C40"/>
    <w:rsid w:val="000E3A93"/>
    <w:rsid w:val="000E3E15"/>
    <w:rsid w:val="000E4F0D"/>
    <w:rsid w:val="000E5100"/>
    <w:rsid w:val="000E6315"/>
    <w:rsid w:val="000E7ECD"/>
    <w:rsid w:val="000F05E0"/>
    <w:rsid w:val="000F16BA"/>
    <w:rsid w:val="000F1A95"/>
    <w:rsid w:val="000F6ABE"/>
    <w:rsid w:val="000F6BFE"/>
    <w:rsid w:val="000F7C66"/>
    <w:rsid w:val="000F7DF4"/>
    <w:rsid w:val="0010068E"/>
    <w:rsid w:val="00100F9A"/>
    <w:rsid w:val="0010218C"/>
    <w:rsid w:val="00102D5B"/>
    <w:rsid w:val="0010378A"/>
    <w:rsid w:val="001044DB"/>
    <w:rsid w:val="00105EB6"/>
    <w:rsid w:val="0010622C"/>
    <w:rsid w:val="001078B5"/>
    <w:rsid w:val="00107A5F"/>
    <w:rsid w:val="0011026A"/>
    <w:rsid w:val="00110EF0"/>
    <w:rsid w:val="001124A5"/>
    <w:rsid w:val="001143C5"/>
    <w:rsid w:val="001148E0"/>
    <w:rsid w:val="00116EB9"/>
    <w:rsid w:val="00120E93"/>
    <w:rsid w:val="001226DE"/>
    <w:rsid w:val="00123296"/>
    <w:rsid w:val="00125CE3"/>
    <w:rsid w:val="0012621C"/>
    <w:rsid w:val="00130228"/>
    <w:rsid w:val="00131984"/>
    <w:rsid w:val="00131A28"/>
    <w:rsid w:val="0013245C"/>
    <w:rsid w:val="001337CC"/>
    <w:rsid w:val="00134276"/>
    <w:rsid w:val="00134C11"/>
    <w:rsid w:val="00134DA6"/>
    <w:rsid w:val="00135C81"/>
    <w:rsid w:val="00137E08"/>
    <w:rsid w:val="00142F79"/>
    <w:rsid w:val="001435EB"/>
    <w:rsid w:val="00144974"/>
    <w:rsid w:val="00146307"/>
    <w:rsid w:val="00146872"/>
    <w:rsid w:val="00146BA3"/>
    <w:rsid w:val="001517E0"/>
    <w:rsid w:val="001527A3"/>
    <w:rsid w:val="00153496"/>
    <w:rsid w:val="00157785"/>
    <w:rsid w:val="00157898"/>
    <w:rsid w:val="00157C19"/>
    <w:rsid w:val="00160EBC"/>
    <w:rsid w:val="00160F58"/>
    <w:rsid w:val="00162F7D"/>
    <w:rsid w:val="00163A58"/>
    <w:rsid w:val="0016477F"/>
    <w:rsid w:val="00164B7B"/>
    <w:rsid w:val="00164FAD"/>
    <w:rsid w:val="00165960"/>
    <w:rsid w:val="00172B5C"/>
    <w:rsid w:val="00173547"/>
    <w:rsid w:val="00174B6D"/>
    <w:rsid w:val="0017614D"/>
    <w:rsid w:val="0018006A"/>
    <w:rsid w:val="00180963"/>
    <w:rsid w:val="00180F4E"/>
    <w:rsid w:val="00181923"/>
    <w:rsid w:val="00181B01"/>
    <w:rsid w:val="00181E7E"/>
    <w:rsid w:val="00182175"/>
    <w:rsid w:val="00184625"/>
    <w:rsid w:val="00186769"/>
    <w:rsid w:val="001870AF"/>
    <w:rsid w:val="00191071"/>
    <w:rsid w:val="00191768"/>
    <w:rsid w:val="00192869"/>
    <w:rsid w:val="00193CA2"/>
    <w:rsid w:val="001943D2"/>
    <w:rsid w:val="001954F0"/>
    <w:rsid w:val="00195571"/>
    <w:rsid w:val="001955AB"/>
    <w:rsid w:val="00196536"/>
    <w:rsid w:val="00196742"/>
    <w:rsid w:val="00197D9E"/>
    <w:rsid w:val="001A00CB"/>
    <w:rsid w:val="001A4BE7"/>
    <w:rsid w:val="001A4F33"/>
    <w:rsid w:val="001B0D01"/>
    <w:rsid w:val="001B2578"/>
    <w:rsid w:val="001B2FE4"/>
    <w:rsid w:val="001B505F"/>
    <w:rsid w:val="001B69E3"/>
    <w:rsid w:val="001B7729"/>
    <w:rsid w:val="001C04BC"/>
    <w:rsid w:val="001C1478"/>
    <w:rsid w:val="001C232A"/>
    <w:rsid w:val="001C24AF"/>
    <w:rsid w:val="001C2DD7"/>
    <w:rsid w:val="001C48A5"/>
    <w:rsid w:val="001C7061"/>
    <w:rsid w:val="001D0962"/>
    <w:rsid w:val="001D214B"/>
    <w:rsid w:val="001D2714"/>
    <w:rsid w:val="001D4C5E"/>
    <w:rsid w:val="001D57CD"/>
    <w:rsid w:val="001D5A9D"/>
    <w:rsid w:val="001D5F83"/>
    <w:rsid w:val="001D61C8"/>
    <w:rsid w:val="001D65C0"/>
    <w:rsid w:val="001E0F36"/>
    <w:rsid w:val="001E1661"/>
    <w:rsid w:val="001E1834"/>
    <w:rsid w:val="001E1B07"/>
    <w:rsid w:val="001E1E07"/>
    <w:rsid w:val="001E24E0"/>
    <w:rsid w:val="001E4824"/>
    <w:rsid w:val="001E640A"/>
    <w:rsid w:val="001E6A6E"/>
    <w:rsid w:val="001E701F"/>
    <w:rsid w:val="001E7844"/>
    <w:rsid w:val="001E78D5"/>
    <w:rsid w:val="001E7C8F"/>
    <w:rsid w:val="001F0835"/>
    <w:rsid w:val="001F2276"/>
    <w:rsid w:val="001F335C"/>
    <w:rsid w:val="001F3A41"/>
    <w:rsid w:val="001F420B"/>
    <w:rsid w:val="001F59AB"/>
    <w:rsid w:val="001F7EF5"/>
    <w:rsid w:val="00201DC6"/>
    <w:rsid w:val="00201F12"/>
    <w:rsid w:val="00206D6C"/>
    <w:rsid w:val="00207573"/>
    <w:rsid w:val="002115FE"/>
    <w:rsid w:val="00213565"/>
    <w:rsid w:val="0021430F"/>
    <w:rsid w:val="002154D2"/>
    <w:rsid w:val="00215EBC"/>
    <w:rsid w:val="00216BDE"/>
    <w:rsid w:val="0021730A"/>
    <w:rsid w:val="00217399"/>
    <w:rsid w:val="002203EC"/>
    <w:rsid w:val="00220833"/>
    <w:rsid w:val="00222854"/>
    <w:rsid w:val="00224363"/>
    <w:rsid w:val="0022594E"/>
    <w:rsid w:val="00226444"/>
    <w:rsid w:val="00226ADA"/>
    <w:rsid w:val="00227248"/>
    <w:rsid w:val="00227379"/>
    <w:rsid w:val="00227580"/>
    <w:rsid w:val="00230B10"/>
    <w:rsid w:val="00231325"/>
    <w:rsid w:val="002327AF"/>
    <w:rsid w:val="0023410F"/>
    <w:rsid w:val="00234A6A"/>
    <w:rsid w:val="0023677B"/>
    <w:rsid w:val="00236840"/>
    <w:rsid w:val="00236B9D"/>
    <w:rsid w:val="00237273"/>
    <w:rsid w:val="0023768E"/>
    <w:rsid w:val="002402F6"/>
    <w:rsid w:val="00245504"/>
    <w:rsid w:val="00245BEB"/>
    <w:rsid w:val="00246150"/>
    <w:rsid w:val="00247551"/>
    <w:rsid w:val="00247C76"/>
    <w:rsid w:val="00250530"/>
    <w:rsid w:val="0025056A"/>
    <w:rsid w:val="00251ACD"/>
    <w:rsid w:val="0025292B"/>
    <w:rsid w:val="00252FC1"/>
    <w:rsid w:val="00253273"/>
    <w:rsid w:val="00256208"/>
    <w:rsid w:val="00256FCC"/>
    <w:rsid w:val="00257A15"/>
    <w:rsid w:val="00257CD3"/>
    <w:rsid w:val="002606D8"/>
    <w:rsid w:val="00260A94"/>
    <w:rsid w:val="00260B67"/>
    <w:rsid w:val="002612A5"/>
    <w:rsid w:val="00261583"/>
    <w:rsid w:val="0026158F"/>
    <w:rsid w:val="002617D8"/>
    <w:rsid w:val="00262404"/>
    <w:rsid w:val="00262C99"/>
    <w:rsid w:val="00262D2A"/>
    <w:rsid w:val="002635B7"/>
    <w:rsid w:val="00263B8D"/>
    <w:rsid w:val="00263FF7"/>
    <w:rsid w:val="0026495C"/>
    <w:rsid w:val="00265010"/>
    <w:rsid w:val="00265180"/>
    <w:rsid w:val="00265AEB"/>
    <w:rsid w:val="00265C6D"/>
    <w:rsid w:val="0026634E"/>
    <w:rsid w:val="0026645C"/>
    <w:rsid w:val="002705E9"/>
    <w:rsid w:val="00272883"/>
    <w:rsid w:val="00273903"/>
    <w:rsid w:val="00274C64"/>
    <w:rsid w:val="00275410"/>
    <w:rsid w:val="00276100"/>
    <w:rsid w:val="00277EB6"/>
    <w:rsid w:val="0028182D"/>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3E80"/>
    <w:rsid w:val="002A46C2"/>
    <w:rsid w:val="002A5305"/>
    <w:rsid w:val="002A61D9"/>
    <w:rsid w:val="002A6332"/>
    <w:rsid w:val="002A6593"/>
    <w:rsid w:val="002A6B82"/>
    <w:rsid w:val="002A73A7"/>
    <w:rsid w:val="002B0DEA"/>
    <w:rsid w:val="002B1390"/>
    <w:rsid w:val="002B2268"/>
    <w:rsid w:val="002B31B7"/>
    <w:rsid w:val="002B3FE3"/>
    <w:rsid w:val="002B54B7"/>
    <w:rsid w:val="002B57C1"/>
    <w:rsid w:val="002B5AD5"/>
    <w:rsid w:val="002B6730"/>
    <w:rsid w:val="002B7155"/>
    <w:rsid w:val="002B7874"/>
    <w:rsid w:val="002B7C09"/>
    <w:rsid w:val="002C1ECF"/>
    <w:rsid w:val="002C1ED3"/>
    <w:rsid w:val="002C3A0D"/>
    <w:rsid w:val="002C4135"/>
    <w:rsid w:val="002C45D8"/>
    <w:rsid w:val="002C5462"/>
    <w:rsid w:val="002C7128"/>
    <w:rsid w:val="002D1145"/>
    <w:rsid w:val="002D1E1A"/>
    <w:rsid w:val="002D20C4"/>
    <w:rsid w:val="002D2D96"/>
    <w:rsid w:val="002D4422"/>
    <w:rsid w:val="002D4CBC"/>
    <w:rsid w:val="002D5CDB"/>
    <w:rsid w:val="002D6D70"/>
    <w:rsid w:val="002D7292"/>
    <w:rsid w:val="002E0CCA"/>
    <w:rsid w:val="002E0F57"/>
    <w:rsid w:val="002E141A"/>
    <w:rsid w:val="002E1B95"/>
    <w:rsid w:val="002E3EC7"/>
    <w:rsid w:val="002E4808"/>
    <w:rsid w:val="002E483E"/>
    <w:rsid w:val="002E6855"/>
    <w:rsid w:val="002E6D7C"/>
    <w:rsid w:val="002E7045"/>
    <w:rsid w:val="002E7199"/>
    <w:rsid w:val="002F0070"/>
    <w:rsid w:val="002F012F"/>
    <w:rsid w:val="002F0513"/>
    <w:rsid w:val="002F0990"/>
    <w:rsid w:val="002F0C58"/>
    <w:rsid w:val="002F13D1"/>
    <w:rsid w:val="002F37F8"/>
    <w:rsid w:val="002F4EDB"/>
    <w:rsid w:val="002F60D3"/>
    <w:rsid w:val="002F631C"/>
    <w:rsid w:val="002F7574"/>
    <w:rsid w:val="003007A7"/>
    <w:rsid w:val="00300A59"/>
    <w:rsid w:val="00300E3D"/>
    <w:rsid w:val="0030214A"/>
    <w:rsid w:val="00302E78"/>
    <w:rsid w:val="003035F7"/>
    <w:rsid w:val="00306288"/>
    <w:rsid w:val="0031225F"/>
    <w:rsid w:val="00313D60"/>
    <w:rsid w:val="003140F9"/>
    <w:rsid w:val="00314268"/>
    <w:rsid w:val="003142B4"/>
    <w:rsid w:val="003148EA"/>
    <w:rsid w:val="003150CA"/>
    <w:rsid w:val="00315CB8"/>
    <w:rsid w:val="00315D8D"/>
    <w:rsid w:val="003168ED"/>
    <w:rsid w:val="003172EB"/>
    <w:rsid w:val="00317AB4"/>
    <w:rsid w:val="00320522"/>
    <w:rsid w:val="003205BE"/>
    <w:rsid w:val="00321663"/>
    <w:rsid w:val="00321E11"/>
    <w:rsid w:val="003228A7"/>
    <w:rsid w:val="00322D56"/>
    <w:rsid w:val="00324CE8"/>
    <w:rsid w:val="00325BD4"/>
    <w:rsid w:val="00326A33"/>
    <w:rsid w:val="0032785C"/>
    <w:rsid w:val="00327E36"/>
    <w:rsid w:val="00327E53"/>
    <w:rsid w:val="00330795"/>
    <w:rsid w:val="00330E85"/>
    <w:rsid w:val="0033219D"/>
    <w:rsid w:val="00333BEA"/>
    <w:rsid w:val="00333F69"/>
    <w:rsid w:val="00334624"/>
    <w:rsid w:val="00334CEA"/>
    <w:rsid w:val="00335693"/>
    <w:rsid w:val="00335897"/>
    <w:rsid w:val="0033634C"/>
    <w:rsid w:val="0033669D"/>
    <w:rsid w:val="003367DD"/>
    <w:rsid w:val="00336F34"/>
    <w:rsid w:val="00337DFE"/>
    <w:rsid w:val="00341497"/>
    <w:rsid w:val="0034206E"/>
    <w:rsid w:val="00343E5D"/>
    <w:rsid w:val="00343E84"/>
    <w:rsid w:val="0034439B"/>
    <w:rsid w:val="003455A7"/>
    <w:rsid w:val="003469BB"/>
    <w:rsid w:val="00350743"/>
    <w:rsid w:val="00350A47"/>
    <w:rsid w:val="003513CA"/>
    <w:rsid w:val="00351FAC"/>
    <w:rsid w:val="003529AF"/>
    <w:rsid w:val="00353652"/>
    <w:rsid w:val="0035432E"/>
    <w:rsid w:val="003564CA"/>
    <w:rsid w:val="0035756C"/>
    <w:rsid w:val="00357751"/>
    <w:rsid w:val="003601F1"/>
    <w:rsid w:val="00360BFC"/>
    <w:rsid w:val="00362A40"/>
    <w:rsid w:val="00363BF3"/>
    <w:rsid w:val="003649E8"/>
    <w:rsid w:val="00365E0E"/>
    <w:rsid w:val="00366631"/>
    <w:rsid w:val="003679D5"/>
    <w:rsid w:val="00367B79"/>
    <w:rsid w:val="003700BB"/>
    <w:rsid w:val="0037015D"/>
    <w:rsid w:val="0037217E"/>
    <w:rsid w:val="003738E5"/>
    <w:rsid w:val="00373BB6"/>
    <w:rsid w:val="00374F02"/>
    <w:rsid w:val="00375614"/>
    <w:rsid w:val="00377859"/>
    <w:rsid w:val="00380E60"/>
    <w:rsid w:val="00381483"/>
    <w:rsid w:val="00381C36"/>
    <w:rsid w:val="00381D62"/>
    <w:rsid w:val="00382ADF"/>
    <w:rsid w:val="00382EAB"/>
    <w:rsid w:val="003834BE"/>
    <w:rsid w:val="003836B9"/>
    <w:rsid w:val="00384C87"/>
    <w:rsid w:val="00384CD3"/>
    <w:rsid w:val="003866FE"/>
    <w:rsid w:val="003869D5"/>
    <w:rsid w:val="003901AB"/>
    <w:rsid w:val="003905B9"/>
    <w:rsid w:val="003914E2"/>
    <w:rsid w:val="00391FFC"/>
    <w:rsid w:val="0039206E"/>
    <w:rsid w:val="00392A4B"/>
    <w:rsid w:val="00392AA2"/>
    <w:rsid w:val="00393BA3"/>
    <w:rsid w:val="0039527F"/>
    <w:rsid w:val="00395A71"/>
    <w:rsid w:val="0039682A"/>
    <w:rsid w:val="003A2FAF"/>
    <w:rsid w:val="003A33A1"/>
    <w:rsid w:val="003A37F4"/>
    <w:rsid w:val="003A4F1D"/>
    <w:rsid w:val="003A4F95"/>
    <w:rsid w:val="003A567D"/>
    <w:rsid w:val="003A6F71"/>
    <w:rsid w:val="003A745C"/>
    <w:rsid w:val="003A7AA6"/>
    <w:rsid w:val="003A7BAA"/>
    <w:rsid w:val="003B01D4"/>
    <w:rsid w:val="003B036C"/>
    <w:rsid w:val="003B10EC"/>
    <w:rsid w:val="003B1570"/>
    <w:rsid w:val="003B15C9"/>
    <w:rsid w:val="003B21BF"/>
    <w:rsid w:val="003B30E6"/>
    <w:rsid w:val="003B3C31"/>
    <w:rsid w:val="003B43B8"/>
    <w:rsid w:val="003B5522"/>
    <w:rsid w:val="003B5FEE"/>
    <w:rsid w:val="003B76D9"/>
    <w:rsid w:val="003C0CEB"/>
    <w:rsid w:val="003C1215"/>
    <w:rsid w:val="003C1CA0"/>
    <w:rsid w:val="003C351A"/>
    <w:rsid w:val="003C3BC6"/>
    <w:rsid w:val="003C54AA"/>
    <w:rsid w:val="003C5934"/>
    <w:rsid w:val="003C6428"/>
    <w:rsid w:val="003C7080"/>
    <w:rsid w:val="003D11D0"/>
    <w:rsid w:val="003D146E"/>
    <w:rsid w:val="003D1525"/>
    <w:rsid w:val="003D20AA"/>
    <w:rsid w:val="003D239A"/>
    <w:rsid w:val="003D2C74"/>
    <w:rsid w:val="003D5245"/>
    <w:rsid w:val="003D5507"/>
    <w:rsid w:val="003D5A10"/>
    <w:rsid w:val="003D5E6D"/>
    <w:rsid w:val="003D7CB9"/>
    <w:rsid w:val="003E0F7C"/>
    <w:rsid w:val="003E1A50"/>
    <w:rsid w:val="003E2B73"/>
    <w:rsid w:val="003E2F03"/>
    <w:rsid w:val="003E3BBF"/>
    <w:rsid w:val="003E4195"/>
    <w:rsid w:val="003E424A"/>
    <w:rsid w:val="003E4414"/>
    <w:rsid w:val="003E4702"/>
    <w:rsid w:val="003E75F3"/>
    <w:rsid w:val="003F0D9E"/>
    <w:rsid w:val="003F12A3"/>
    <w:rsid w:val="003F1974"/>
    <w:rsid w:val="003F2109"/>
    <w:rsid w:val="003F2790"/>
    <w:rsid w:val="003F3C4F"/>
    <w:rsid w:val="003F41EF"/>
    <w:rsid w:val="003F50FF"/>
    <w:rsid w:val="003F5900"/>
    <w:rsid w:val="003F6355"/>
    <w:rsid w:val="00400266"/>
    <w:rsid w:val="00401A9A"/>
    <w:rsid w:val="00402EEA"/>
    <w:rsid w:val="00404201"/>
    <w:rsid w:val="00405CEF"/>
    <w:rsid w:val="00406282"/>
    <w:rsid w:val="00406337"/>
    <w:rsid w:val="00406A00"/>
    <w:rsid w:val="004074B3"/>
    <w:rsid w:val="004075EA"/>
    <w:rsid w:val="00410C82"/>
    <w:rsid w:val="0041108E"/>
    <w:rsid w:val="00412658"/>
    <w:rsid w:val="00412DF2"/>
    <w:rsid w:val="004138F5"/>
    <w:rsid w:val="00413D22"/>
    <w:rsid w:val="00414885"/>
    <w:rsid w:val="00414C90"/>
    <w:rsid w:val="004165B0"/>
    <w:rsid w:val="004165D6"/>
    <w:rsid w:val="00417973"/>
    <w:rsid w:val="00417CED"/>
    <w:rsid w:val="0042163E"/>
    <w:rsid w:val="00422122"/>
    <w:rsid w:val="00423163"/>
    <w:rsid w:val="004244A5"/>
    <w:rsid w:val="00427318"/>
    <w:rsid w:val="004276CD"/>
    <w:rsid w:val="0042778E"/>
    <w:rsid w:val="00427843"/>
    <w:rsid w:val="00427A35"/>
    <w:rsid w:val="004302B6"/>
    <w:rsid w:val="0043230A"/>
    <w:rsid w:val="00433F81"/>
    <w:rsid w:val="00434BCA"/>
    <w:rsid w:val="0043511C"/>
    <w:rsid w:val="00435538"/>
    <w:rsid w:val="004371D6"/>
    <w:rsid w:val="00437E88"/>
    <w:rsid w:val="00440672"/>
    <w:rsid w:val="00440EDE"/>
    <w:rsid w:val="00441E70"/>
    <w:rsid w:val="00441F56"/>
    <w:rsid w:val="00443779"/>
    <w:rsid w:val="00443CCC"/>
    <w:rsid w:val="004441E4"/>
    <w:rsid w:val="004448E8"/>
    <w:rsid w:val="004464BB"/>
    <w:rsid w:val="00446765"/>
    <w:rsid w:val="004474FB"/>
    <w:rsid w:val="00447553"/>
    <w:rsid w:val="004528CC"/>
    <w:rsid w:val="004529C3"/>
    <w:rsid w:val="00453339"/>
    <w:rsid w:val="00454149"/>
    <w:rsid w:val="0045608B"/>
    <w:rsid w:val="00461504"/>
    <w:rsid w:val="00461701"/>
    <w:rsid w:val="00463430"/>
    <w:rsid w:val="004652FD"/>
    <w:rsid w:val="004657F4"/>
    <w:rsid w:val="00466979"/>
    <w:rsid w:val="00466D17"/>
    <w:rsid w:val="00467E20"/>
    <w:rsid w:val="00472A4C"/>
    <w:rsid w:val="00472B05"/>
    <w:rsid w:val="00472E85"/>
    <w:rsid w:val="00473068"/>
    <w:rsid w:val="004735D5"/>
    <w:rsid w:val="004741DE"/>
    <w:rsid w:val="0047556B"/>
    <w:rsid w:val="00475C2D"/>
    <w:rsid w:val="00477226"/>
    <w:rsid w:val="004813E8"/>
    <w:rsid w:val="004827F3"/>
    <w:rsid w:val="004829F2"/>
    <w:rsid w:val="00486114"/>
    <w:rsid w:val="004863E4"/>
    <w:rsid w:val="00487264"/>
    <w:rsid w:val="00490A4C"/>
    <w:rsid w:val="00490D2A"/>
    <w:rsid w:val="0049105D"/>
    <w:rsid w:val="00491280"/>
    <w:rsid w:val="004918C4"/>
    <w:rsid w:val="0049313A"/>
    <w:rsid w:val="004932A2"/>
    <w:rsid w:val="00496E8C"/>
    <w:rsid w:val="00496EAA"/>
    <w:rsid w:val="004A00B9"/>
    <w:rsid w:val="004A02BC"/>
    <w:rsid w:val="004A08D7"/>
    <w:rsid w:val="004A0E54"/>
    <w:rsid w:val="004A2CF1"/>
    <w:rsid w:val="004A5151"/>
    <w:rsid w:val="004A5DB1"/>
    <w:rsid w:val="004A6745"/>
    <w:rsid w:val="004A687F"/>
    <w:rsid w:val="004A7359"/>
    <w:rsid w:val="004A7537"/>
    <w:rsid w:val="004B124D"/>
    <w:rsid w:val="004B3161"/>
    <w:rsid w:val="004B333D"/>
    <w:rsid w:val="004B5BAF"/>
    <w:rsid w:val="004B5CB4"/>
    <w:rsid w:val="004B632A"/>
    <w:rsid w:val="004B7E82"/>
    <w:rsid w:val="004C06AD"/>
    <w:rsid w:val="004C0946"/>
    <w:rsid w:val="004C0C08"/>
    <w:rsid w:val="004C13CF"/>
    <w:rsid w:val="004C7C7E"/>
    <w:rsid w:val="004C7EB2"/>
    <w:rsid w:val="004D0163"/>
    <w:rsid w:val="004D0AC5"/>
    <w:rsid w:val="004D0DEA"/>
    <w:rsid w:val="004D19EB"/>
    <w:rsid w:val="004D1AAF"/>
    <w:rsid w:val="004D3210"/>
    <w:rsid w:val="004D35C6"/>
    <w:rsid w:val="004D4446"/>
    <w:rsid w:val="004D63A0"/>
    <w:rsid w:val="004E06B4"/>
    <w:rsid w:val="004E189A"/>
    <w:rsid w:val="004E1A28"/>
    <w:rsid w:val="004E2076"/>
    <w:rsid w:val="004E2F8E"/>
    <w:rsid w:val="004E318F"/>
    <w:rsid w:val="004E41B0"/>
    <w:rsid w:val="004E5A0A"/>
    <w:rsid w:val="004E6694"/>
    <w:rsid w:val="004E6764"/>
    <w:rsid w:val="004E76BC"/>
    <w:rsid w:val="004E791F"/>
    <w:rsid w:val="004F021C"/>
    <w:rsid w:val="004F169D"/>
    <w:rsid w:val="004F1757"/>
    <w:rsid w:val="004F1D20"/>
    <w:rsid w:val="004F2600"/>
    <w:rsid w:val="004F2706"/>
    <w:rsid w:val="004F326C"/>
    <w:rsid w:val="004F38A6"/>
    <w:rsid w:val="004F3F3E"/>
    <w:rsid w:val="004F444A"/>
    <w:rsid w:val="004F5575"/>
    <w:rsid w:val="004F79D9"/>
    <w:rsid w:val="00500FC1"/>
    <w:rsid w:val="005014BC"/>
    <w:rsid w:val="0050151F"/>
    <w:rsid w:val="00501617"/>
    <w:rsid w:val="00502229"/>
    <w:rsid w:val="005030DE"/>
    <w:rsid w:val="00504BCF"/>
    <w:rsid w:val="005056C1"/>
    <w:rsid w:val="0050634D"/>
    <w:rsid w:val="005078B2"/>
    <w:rsid w:val="005079C1"/>
    <w:rsid w:val="00507BBF"/>
    <w:rsid w:val="00511260"/>
    <w:rsid w:val="00511565"/>
    <w:rsid w:val="0051172C"/>
    <w:rsid w:val="00511BA7"/>
    <w:rsid w:val="00511D5A"/>
    <w:rsid w:val="0051380C"/>
    <w:rsid w:val="00514878"/>
    <w:rsid w:val="00516B6C"/>
    <w:rsid w:val="0051706E"/>
    <w:rsid w:val="00517CF3"/>
    <w:rsid w:val="00520E7F"/>
    <w:rsid w:val="00521389"/>
    <w:rsid w:val="00523DBC"/>
    <w:rsid w:val="005244E9"/>
    <w:rsid w:val="00525CC5"/>
    <w:rsid w:val="00525DF3"/>
    <w:rsid w:val="00526FCB"/>
    <w:rsid w:val="00530003"/>
    <w:rsid w:val="00530509"/>
    <w:rsid w:val="00532080"/>
    <w:rsid w:val="00532409"/>
    <w:rsid w:val="00540066"/>
    <w:rsid w:val="00542900"/>
    <w:rsid w:val="00544658"/>
    <w:rsid w:val="005446BD"/>
    <w:rsid w:val="00544A82"/>
    <w:rsid w:val="00545009"/>
    <w:rsid w:val="00545140"/>
    <w:rsid w:val="00545500"/>
    <w:rsid w:val="00545668"/>
    <w:rsid w:val="00546845"/>
    <w:rsid w:val="0055098F"/>
    <w:rsid w:val="005517B9"/>
    <w:rsid w:val="0055282D"/>
    <w:rsid w:val="00553E7D"/>
    <w:rsid w:val="005542BD"/>
    <w:rsid w:val="00556489"/>
    <w:rsid w:val="00556EDA"/>
    <w:rsid w:val="00556FC7"/>
    <w:rsid w:val="005573C1"/>
    <w:rsid w:val="005573D6"/>
    <w:rsid w:val="0056029F"/>
    <w:rsid w:val="00560779"/>
    <w:rsid w:val="005634BE"/>
    <w:rsid w:val="00563CE1"/>
    <w:rsid w:val="00564510"/>
    <w:rsid w:val="0056509F"/>
    <w:rsid w:val="00565326"/>
    <w:rsid w:val="005656C3"/>
    <w:rsid w:val="005703D6"/>
    <w:rsid w:val="00570A0D"/>
    <w:rsid w:val="005741BF"/>
    <w:rsid w:val="005754FC"/>
    <w:rsid w:val="00575F9C"/>
    <w:rsid w:val="00576979"/>
    <w:rsid w:val="00577AB9"/>
    <w:rsid w:val="00577D50"/>
    <w:rsid w:val="00580D85"/>
    <w:rsid w:val="005813AC"/>
    <w:rsid w:val="00582985"/>
    <w:rsid w:val="0058354A"/>
    <w:rsid w:val="0058491A"/>
    <w:rsid w:val="00584BA7"/>
    <w:rsid w:val="0058542B"/>
    <w:rsid w:val="00586CFB"/>
    <w:rsid w:val="00587D29"/>
    <w:rsid w:val="00591072"/>
    <w:rsid w:val="0059112F"/>
    <w:rsid w:val="005914AA"/>
    <w:rsid w:val="005934B8"/>
    <w:rsid w:val="00594C9D"/>
    <w:rsid w:val="00595C65"/>
    <w:rsid w:val="005964E5"/>
    <w:rsid w:val="00596992"/>
    <w:rsid w:val="005969E2"/>
    <w:rsid w:val="00597705"/>
    <w:rsid w:val="005A0C64"/>
    <w:rsid w:val="005A2449"/>
    <w:rsid w:val="005A2C73"/>
    <w:rsid w:val="005A3E4D"/>
    <w:rsid w:val="005A4FC0"/>
    <w:rsid w:val="005A65B7"/>
    <w:rsid w:val="005A71F7"/>
    <w:rsid w:val="005B0623"/>
    <w:rsid w:val="005B1333"/>
    <w:rsid w:val="005B14E5"/>
    <w:rsid w:val="005B1872"/>
    <w:rsid w:val="005B649F"/>
    <w:rsid w:val="005B7922"/>
    <w:rsid w:val="005B7CEE"/>
    <w:rsid w:val="005C1439"/>
    <w:rsid w:val="005C15DC"/>
    <w:rsid w:val="005C1DEC"/>
    <w:rsid w:val="005C28AE"/>
    <w:rsid w:val="005C36E4"/>
    <w:rsid w:val="005C4FDA"/>
    <w:rsid w:val="005C5C47"/>
    <w:rsid w:val="005C6411"/>
    <w:rsid w:val="005C6A41"/>
    <w:rsid w:val="005D0320"/>
    <w:rsid w:val="005D0B78"/>
    <w:rsid w:val="005D25D6"/>
    <w:rsid w:val="005D3407"/>
    <w:rsid w:val="005D3941"/>
    <w:rsid w:val="005D411A"/>
    <w:rsid w:val="005D47C3"/>
    <w:rsid w:val="005D5E9D"/>
    <w:rsid w:val="005D6BF3"/>
    <w:rsid w:val="005D6D77"/>
    <w:rsid w:val="005E22F9"/>
    <w:rsid w:val="005E2529"/>
    <w:rsid w:val="005E2F30"/>
    <w:rsid w:val="005E3541"/>
    <w:rsid w:val="005E411E"/>
    <w:rsid w:val="005E560B"/>
    <w:rsid w:val="005E601A"/>
    <w:rsid w:val="005E6A08"/>
    <w:rsid w:val="005F03D5"/>
    <w:rsid w:val="005F04A5"/>
    <w:rsid w:val="005F158C"/>
    <w:rsid w:val="005F236B"/>
    <w:rsid w:val="005F5D90"/>
    <w:rsid w:val="005F6D85"/>
    <w:rsid w:val="005F77BC"/>
    <w:rsid w:val="005F78D0"/>
    <w:rsid w:val="00600269"/>
    <w:rsid w:val="0060045E"/>
    <w:rsid w:val="0060138F"/>
    <w:rsid w:val="0060391E"/>
    <w:rsid w:val="0060443D"/>
    <w:rsid w:val="0060486E"/>
    <w:rsid w:val="00604B6A"/>
    <w:rsid w:val="006062FB"/>
    <w:rsid w:val="00606867"/>
    <w:rsid w:val="00607419"/>
    <w:rsid w:val="0060749B"/>
    <w:rsid w:val="006101AF"/>
    <w:rsid w:val="0061066B"/>
    <w:rsid w:val="00611E3F"/>
    <w:rsid w:val="00612393"/>
    <w:rsid w:val="00612ACF"/>
    <w:rsid w:val="00613E36"/>
    <w:rsid w:val="00614A7A"/>
    <w:rsid w:val="0061643A"/>
    <w:rsid w:val="00616B35"/>
    <w:rsid w:val="00617A30"/>
    <w:rsid w:val="00617F99"/>
    <w:rsid w:val="006215E6"/>
    <w:rsid w:val="0062175A"/>
    <w:rsid w:val="00621B4B"/>
    <w:rsid w:val="006232F1"/>
    <w:rsid w:val="006233F2"/>
    <w:rsid w:val="00623DDE"/>
    <w:rsid w:val="00624695"/>
    <w:rsid w:val="006249C3"/>
    <w:rsid w:val="00624C27"/>
    <w:rsid w:val="00625D2D"/>
    <w:rsid w:val="00625E2E"/>
    <w:rsid w:val="006271A4"/>
    <w:rsid w:val="0063012A"/>
    <w:rsid w:val="00630138"/>
    <w:rsid w:val="006313FC"/>
    <w:rsid w:val="00632122"/>
    <w:rsid w:val="006321B6"/>
    <w:rsid w:val="006332F2"/>
    <w:rsid w:val="00634AA2"/>
    <w:rsid w:val="00634B17"/>
    <w:rsid w:val="00635F99"/>
    <w:rsid w:val="00637A17"/>
    <w:rsid w:val="00641035"/>
    <w:rsid w:val="00641661"/>
    <w:rsid w:val="00641A2E"/>
    <w:rsid w:val="00644B6F"/>
    <w:rsid w:val="00644FB0"/>
    <w:rsid w:val="006476E6"/>
    <w:rsid w:val="00650EE2"/>
    <w:rsid w:val="006511A4"/>
    <w:rsid w:val="006513E2"/>
    <w:rsid w:val="00651916"/>
    <w:rsid w:val="00651DE7"/>
    <w:rsid w:val="006531C9"/>
    <w:rsid w:val="006535E1"/>
    <w:rsid w:val="00654EFA"/>
    <w:rsid w:val="0065507F"/>
    <w:rsid w:val="0066025E"/>
    <w:rsid w:val="00660685"/>
    <w:rsid w:val="0066093E"/>
    <w:rsid w:val="006619AC"/>
    <w:rsid w:val="00661D64"/>
    <w:rsid w:val="006621B3"/>
    <w:rsid w:val="00662682"/>
    <w:rsid w:val="00662DE0"/>
    <w:rsid w:val="006639A0"/>
    <w:rsid w:val="00663D7F"/>
    <w:rsid w:val="00664CD0"/>
    <w:rsid w:val="00665D94"/>
    <w:rsid w:val="006668FE"/>
    <w:rsid w:val="00667591"/>
    <w:rsid w:val="0066769F"/>
    <w:rsid w:val="006678AE"/>
    <w:rsid w:val="00667F9F"/>
    <w:rsid w:val="006710E7"/>
    <w:rsid w:val="00671A0B"/>
    <w:rsid w:val="0067210D"/>
    <w:rsid w:val="00675C81"/>
    <w:rsid w:val="006771CC"/>
    <w:rsid w:val="00680110"/>
    <w:rsid w:val="0068034D"/>
    <w:rsid w:val="00681152"/>
    <w:rsid w:val="00682987"/>
    <w:rsid w:val="00682CE5"/>
    <w:rsid w:val="006830F2"/>
    <w:rsid w:val="00683135"/>
    <w:rsid w:val="006839DE"/>
    <w:rsid w:val="00683D2C"/>
    <w:rsid w:val="006841DC"/>
    <w:rsid w:val="0068468E"/>
    <w:rsid w:val="00685DAD"/>
    <w:rsid w:val="0068615D"/>
    <w:rsid w:val="0068675A"/>
    <w:rsid w:val="00690810"/>
    <w:rsid w:val="0069106B"/>
    <w:rsid w:val="00691AF2"/>
    <w:rsid w:val="00691CB2"/>
    <w:rsid w:val="00691FE8"/>
    <w:rsid w:val="00692CA0"/>
    <w:rsid w:val="00694527"/>
    <w:rsid w:val="0069550C"/>
    <w:rsid w:val="00696D2F"/>
    <w:rsid w:val="00697465"/>
    <w:rsid w:val="00697EB1"/>
    <w:rsid w:val="006A2310"/>
    <w:rsid w:val="006A2706"/>
    <w:rsid w:val="006A3B38"/>
    <w:rsid w:val="006A3C61"/>
    <w:rsid w:val="006A498B"/>
    <w:rsid w:val="006A7DA6"/>
    <w:rsid w:val="006B150C"/>
    <w:rsid w:val="006B1DCE"/>
    <w:rsid w:val="006B2A93"/>
    <w:rsid w:val="006B42B2"/>
    <w:rsid w:val="006B5BC0"/>
    <w:rsid w:val="006B6180"/>
    <w:rsid w:val="006B692B"/>
    <w:rsid w:val="006B7773"/>
    <w:rsid w:val="006C0F20"/>
    <w:rsid w:val="006C1045"/>
    <w:rsid w:val="006C1733"/>
    <w:rsid w:val="006C177A"/>
    <w:rsid w:val="006C1B13"/>
    <w:rsid w:val="006C32C4"/>
    <w:rsid w:val="006C5F1F"/>
    <w:rsid w:val="006D067F"/>
    <w:rsid w:val="006D07FB"/>
    <w:rsid w:val="006D5A67"/>
    <w:rsid w:val="006D762E"/>
    <w:rsid w:val="006D7DFD"/>
    <w:rsid w:val="006E0983"/>
    <w:rsid w:val="006E1383"/>
    <w:rsid w:val="006E16D1"/>
    <w:rsid w:val="006E2B6D"/>
    <w:rsid w:val="006E3B17"/>
    <w:rsid w:val="006E3C88"/>
    <w:rsid w:val="006E4C1C"/>
    <w:rsid w:val="006E5C79"/>
    <w:rsid w:val="006E5EDE"/>
    <w:rsid w:val="006E76F0"/>
    <w:rsid w:val="006F027C"/>
    <w:rsid w:val="006F09D8"/>
    <w:rsid w:val="006F1624"/>
    <w:rsid w:val="006F3052"/>
    <w:rsid w:val="006F31BD"/>
    <w:rsid w:val="006F3259"/>
    <w:rsid w:val="006F396D"/>
    <w:rsid w:val="006F3C00"/>
    <w:rsid w:val="006F3F69"/>
    <w:rsid w:val="006F42AC"/>
    <w:rsid w:val="006F5D4A"/>
    <w:rsid w:val="006F78DB"/>
    <w:rsid w:val="00701AB1"/>
    <w:rsid w:val="00702C42"/>
    <w:rsid w:val="00704A2E"/>
    <w:rsid w:val="007052A4"/>
    <w:rsid w:val="00705484"/>
    <w:rsid w:val="007057AB"/>
    <w:rsid w:val="00705F57"/>
    <w:rsid w:val="00707343"/>
    <w:rsid w:val="007073FB"/>
    <w:rsid w:val="00710C28"/>
    <w:rsid w:val="00711778"/>
    <w:rsid w:val="00711C08"/>
    <w:rsid w:val="00711CC1"/>
    <w:rsid w:val="00712ED3"/>
    <w:rsid w:val="00714697"/>
    <w:rsid w:val="00714C9E"/>
    <w:rsid w:val="00715651"/>
    <w:rsid w:val="00715A14"/>
    <w:rsid w:val="00717903"/>
    <w:rsid w:val="00717B10"/>
    <w:rsid w:val="00721ACF"/>
    <w:rsid w:val="00724250"/>
    <w:rsid w:val="00724B29"/>
    <w:rsid w:val="00727A78"/>
    <w:rsid w:val="00730A5A"/>
    <w:rsid w:val="00731207"/>
    <w:rsid w:val="0073191F"/>
    <w:rsid w:val="00733B05"/>
    <w:rsid w:val="00734430"/>
    <w:rsid w:val="00734C55"/>
    <w:rsid w:val="00734DBB"/>
    <w:rsid w:val="00736346"/>
    <w:rsid w:val="007375D3"/>
    <w:rsid w:val="0074053C"/>
    <w:rsid w:val="007413AE"/>
    <w:rsid w:val="00741589"/>
    <w:rsid w:val="00742B46"/>
    <w:rsid w:val="00743D4D"/>
    <w:rsid w:val="00743EB1"/>
    <w:rsid w:val="007443BD"/>
    <w:rsid w:val="0074485F"/>
    <w:rsid w:val="00745196"/>
    <w:rsid w:val="007451A8"/>
    <w:rsid w:val="0074527C"/>
    <w:rsid w:val="00745BF2"/>
    <w:rsid w:val="00745E2B"/>
    <w:rsid w:val="00746757"/>
    <w:rsid w:val="00751ADD"/>
    <w:rsid w:val="007520F6"/>
    <w:rsid w:val="007532C0"/>
    <w:rsid w:val="0075434E"/>
    <w:rsid w:val="0075534A"/>
    <w:rsid w:val="00756020"/>
    <w:rsid w:val="00756098"/>
    <w:rsid w:val="00757F3C"/>
    <w:rsid w:val="00761FC6"/>
    <w:rsid w:val="007631E0"/>
    <w:rsid w:val="00763628"/>
    <w:rsid w:val="00763BF3"/>
    <w:rsid w:val="00764F87"/>
    <w:rsid w:val="00766E11"/>
    <w:rsid w:val="00767A6B"/>
    <w:rsid w:val="00767DDB"/>
    <w:rsid w:val="00771094"/>
    <w:rsid w:val="00771421"/>
    <w:rsid w:val="00772E4B"/>
    <w:rsid w:val="007744D5"/>
    <w:rsid w:val="0077459E"/>
    <w:rsid w:val="00775448"/>
    <w:rsid w:val="0077676B"/>
    <w:rsid w:val="0078014A"/>
    <w:rsid w:val="00782782"/>
    <w:rsid w:val="007841E0"/>
    <w:rsid w:val="007863FC"/>
    <w:rsid w:val="007866DC"/>
    <w:rsid w:val="00791465"/>
    <w:rsid w:val="0079276A"/>
    <w:rsid w:val="00794AA8"/>
    <w:rsid w:val="00795B79"/>
    <w:rsid w:val="00796986"/>
    <w:rsid w:val="00796F39"/>
    <w:rsid w:val="00796F7A"/>
    <w:rsid w:val="00797A49"/>
    <w:rsid w:val="00797E4E"/>
    <w:rsid w:val="007A1488"/>
    <w:rsid w:val="007A1A81"/>
    <w:rsid w:val="007A2884"/>
    <w:rsid w:val="007A3057"/>
    <w:rsid w:val="007A3705"/>
    <w:rsid w:val="007A39B0"/>
    <w:rsid w:val="007A4C61"/>
    <w:rsid w:val="007A73C9"/>
    <w:rsid w:val="007A769F"/>
    <w:rsid w:val="007A7AD5"/>
    <w:rsid w:val="007A7BBE"/>
    <w:rsid w:val="007B1093"/>
    <w:rsid w:val="007B196E"/>
    <w:rsid w:val="007B1F09"/>
    <w:rsid w:val="007B3D95"/>
    <w:rsid w:val="007B566C"/>
    <w:rsid w:val="007B617C"/>
    <w:rsid w:val="007B6238"/>
    <w:rsid w:val="007B686F"/>
    <w:rsid w:val="007B6CEF"/>
    <w:rsid w:val="007B7853"/>
    <w:rsid w:val="007C17AD"/>
    <w:rsid w:val="007C247A"/>
    <w:rsid w:val="007C4731"/>
    <w:rsid w:val="007C546A"/>
    <w:rsid w:val="007C65AA"/>
    <w:rsid w:val="007D0644"/>
    <w:rsid w:val="007D0A2D"/>
    <w:rsid w:val="007D3ACE"/>
    <w:rsid w:val="007D64EC"/>
    <w:rsid w:val="007D7A96"/>
    <w:rsid w:val="007E040A"/>
    <w:rsid w:val="007E05A2"/>
    <w:rsid w:val="007E1089"/>
    <w:rsid w:val="007E11A7"/>
    <w:rsid w:val="007E1B26"/>
    <w:rsid w:val="007E1F8D"/>
    <w:rsid w:val="007E28AD"/>
    <w:rsid w:val="007E2CA6"/>
    <w:rsid w:val="007E58D1"/>
    <w:rsid w:val="007E5E24"/>
    <w:rsid w:val="007F0F84"/>
    <w:rsid w:val="007F1E72"/>
    <w:rsid w:val="007F2C37"/>
    <w:rsid w:val="007F4798"/>
    <w:rsid w:val="007F597F"/>
    <w:rsid w:val="007F5DE4"/>
    <w:rsid w:val="007F7021"/>
    <w:rsid w:val="00800438"/>
    <w:rsid w:val="008019A5"/>
    <w:rsid w:val="008020C2"/>
    <w:rsid w:val="008020CD"/>
    <w:rsid w:val="00803543"/>
    <w:rsid w:val="008047BD"/>
    <w:rsid w:val="00806AFC"/>
    <w:rsid w:val="00810336"/>
    <w:rsid w:val="0081156D"/>
    <w:rsid w:val="00811B30"/>
    <w:rsid w:val="008127B5"/>
    <w:rsid w:val="00812D95"/>
    <w:rsid w:val="00813448"/>
    <w:rsid w:val="00813CFC"/>
    <w:rsid w:val="00814EDE"/>
    <w:rsid w:val="0081612B"/>
    <w:rsid w:val="00816ED1"/>
    <w:rsid w:val="008177DF"/>
    <w:rsid w:val="008211C4"/>
    <w:rsid w:val="00821C69"/>
    <w:rsid w:val="00821D82"/>
    <w:rsid w:val="008230F2"/>
    <w:rsid w:val="00823442"/>
    <w:rsid w:val="00823CFE"/>
    <w:rsid w:val="008242ED"/>
    <w:rsid w:val="00824FF2"/>
    <w:rsid w:val="008276BB"/>
    <w:rsid w:val="00830F6A"/>
    <w:rsid w:val="00832AD6"/>
    <w:rsid w:val="00832EA6"/>
    <w:rsid w:val="00832FD6"/>
    <w:rsid w:val="0083336E"/>
    <w:rsid w:val="00834066"/>
    <w:rsid w:val="008343B4"/>
    <w:rsid w:val="00836D85"/>
    <w:rsid w:val="00837310"/>
    <w:rsid w:val="00837B9A"/>
    <w:rsid w:val="00837D33"/>
    <w:rsid w:val="00837E1F"/>
    <w:rsid w:val="008405CE"/>
    <w:rsid w:val="008405CF"/>
    <w:rsid w:val="0084081B"/>
    <w:rsid w:val="00841726"/>
    <w:rsid w:val="008417D1"/>
    <w:rsid w:val="008426AA"/>
    <w:rsid w:val="0084295A"/>
    <w:rsid w:val="0084393F"/>
    <w:rsid w:val="00846269"/>
    <w:rsid w:val="00851511"/>
    <w:rsid w:val="008536CA"/>
    <w:rsid w:val="008547C2"/>
    <w:rsid w:val="00854A89"/>
    <w:rsid w:val="00854DAC"/>
    <w:rsid w:val="00855355"/>
    <w:rsid w:val="008557C2"/>
    <w:rsid w:val="00855F97"/>
    <w:rsid w:val="008566EC"/>
    <w:rsid w:val="008579B6"/>
    <w:rsid w:val="0086080D"/>
    <w:rsid w:val="00861853"/>
    <w:rsid w:val="0086273D"/>
    <w:rsid w:val="00862CCE"/>
    <w:rsid w:val="008634DE"/>
    <w:rsid w:val="008647BD"/>
    <w:rsid w:val="00864943"/>
    <w:rsid w:val="008665C4"/>
    <w:rsid w:val="0086751C"/>
    <w:rsid w:val="008677E3"/>
    <w:rsid w:val="00870B41"/>
    <w:rsid w:val="0087195C"/>
    <w:rsid w:val="00873896"/>
    <w:rsid w:val="00873C6E"/>
    <w:rsid w:val="00873EB9"/>
    <w:rsid w:val="00875D5A"/>
    <w:rsid w:val="00875F1E"/>
    <w:rsid w:val="00880351"/>
    <w:rsid w:val="0088070D"/>
    <w:rsid w:val="0088086C"/>
    <w:rsid w:val="0088182F"/>
    <w:rsid w:val="008825BB"/>
    <w:rsid w:val="00882735"/>
    <w:rsid w:val="0088275A"/>
    <w:rsid w:val="00882EFE"/>
    <w:rsid w:val="00885C05"/>
    <w:rsid w:val="00885F6F"/>
    <w:rsid w:val="00886FED"/>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B56"/>
    <w:rsid w:val="008A4281"/>
    <w:rsid w:val="008A469E"/>
    <w:rsid w:val="008A537D"/>
    <w:rsid w:val="008A5860"/>
    <w:rsid w:val="008A664F"/>
    <w:rsid w:val="008A7240"/>
    <w:rsid w:val="008A75F3"/>
    <w:rsid w:val="008A7BFC"/>
    <w:rsid w:val="008A7CF7"/>
    <w:rsid w:val="008A7FAD"/>
    <w:rsid w:val="008B0A53"/>
    <w:rsid w:val="008B100F"/>
    <w:rsid w:val="008B1DA6"/>
    <w:rsid w:val="008B3660"/>
    <w:rsid w:val="008B3763"/>
    <w:rsid w:val="008C210D"/>
    <w:rsid w:val="008C3E59"/>
    <w:rsid w:val="008C3F84"/>
    <w:rsid w:val="008C480D"/>
    <w:rsid w:val="008C4C45"/>
    <w:rsid w:val="008C651B"/>
    <w:rsid w:val="008C7138"/>
    <w:rsid w:val="008C76FA"/>
    <w:rsid w:val="008D136B"/>
    <w:rsid w:val="008D1F83"/>
    <w:rsid w:val="008D2564"/>
    <w:rsid w:val="008D3C26"/>
    <w:rsid w:val="008D3CE7"/>
    <w:rsid w:val="008D6E8B"/>
    <w:rsid w:val="008D74DD"/>
    <w:rsid w:val="008E1626"/>
    <w:rsid w:val="008E18D0"/>
    <w:rsid w:val="008E270C"/>
    <w:rsid w:val="008E51D4"/>
    <w:rsid w:val="008E66F8"/>
    <w:rsid w:val="008E74EF"/>
    <w:rsid w:val="008E7904"/>
    <w:rsid w:val="008E7EFA"/>
    <w:rsid w:val="008F051D"/>
    <w:rsid w:val="008F0DD8"/>
    <w:rsid w:val="008F0FC5"/>
    <w:rsid w:val="008F0FD2"/>
    <w:rsid w:val="008F17A3"/>
    <w:rsid w:val="008F4376"/>
    <w:rsid w:val="008F59AF"/>
    <w:rsid w:val="008F5B07"/>
    <w:rsid w:val="008F5E59"/>
    <w:rsid w:val="008F61FC"/>
    <w:rsid w:val="008F74A5"/>
    <w:rsid w:val="00901474"/>
    <w:rsid w:val="009014FD"/>
    <w:rsid w:val="00902AA7"/>
    <w:rsid w:val="00902C55"/>
    <w:rsid w:val="00903496"/>
    <w:rsid w:val="00903A37"/>
    <w:rsid w:val="00903CF4"/>
    <w:rsid w:val="009041F8"/>
    <w:rsid w:val="00904D53"/>
    <w:rsid w:val="00905C49"/>
    <w:rsid w:val="00906C53"/>
    <w:rsid w:val="00906F12"/>
    <w:rsid w:val="00907256"/>
    <w:rsid w:val="0090737A"/>
    <w:rsid w:val="00907E2C"/>
    <w:rsid w:val="00910B3F"/>
    <w:rsid w:val="009118D6"/>
    <w:rsid w:val="0091491D"/>
    <w:rsid w:val="00914FD9"/>
    <w:rsid w:val="0091517B"/>
    <w:rsid w:val="00917061"/>
    <w:rsid w:val="0092088E"/>
    <w:rsid w:val="00921597"/>
    <w:rsid w:val="00921696"/>
    <w:rsid w:val="0092331E"/>
    <w:rsid w:val="00923A9B"/>
    <w:rsid w:val="0092525C"/>
    <w:rsid w:val="009257EE"/>
    <w:rsid w:val="009262E3"/>
    <w:rsid w:val="00927E7F"/>
    <w:rsid w:val="009300E6"/>
    <w:rsid w:val="00931856"/>
    <w:rsid w:val="00931957"/>
    <w:rsid w:val="00932259"/>
    <w:rsid w:val="0093440F"/>
    <w:rsid w:val="00937B2D"/>
    <w:rsid w:val="00937F6E"/>
    <w:rsid w:val="00940225"/>
    <w:rsid w:val="00941EB2"/>
    <w:rsid w:val="009429D4"/>
    <w:rsid w:val="0094300A"/>
    <w:rsid w:val="009433F4"/>
    <w:rsid w:val="00943D4D"/>
    <w:rsid w:val="00944464"/>
    <w:rsid w:val="00944E53"/>
    <w:rsid w:val="00945BC4"/>
    <w:rsid w:val="009503FE"/>
    <w:rsid w:val="00952319"/>
    <w:rsid w:val="0095256D"/>
    <w:rsid w:val="00952753"/>
    <w:rsid w:val="0095291D"/>
    <w:rsid w:val="00953EB5"/>
    <w:rsid w:val="00954778"/>
    <w:rsid w:val="0095687B"/>
    <w:rsid w:val="00957730"/>
    <w:rsid w:val="00960CDB"/>
    <w:rsid w:val="00962E0E"/>
    <w:rsid w:val="00963B3D"/>
    <w:rsid w:val="00964882"/>
    <w:rsid w:val="009648F1"/>
    <w:rsid w:val="00964C44"/>
    <w:rsid w:val="00964DFA"/>
    <w:rsid w:val="0096634B"/>
    <w:rsid w:val="00966B45"/>
    <w:rsid w:val="0097136D"/>
    <w:rsid w:val="00971D2F"/>
    <w:rsid w:val="009722AD"/>
    <w:rsid w:val="009737E6"/>
    <w:rsid w:val="00973801"/>
    <w:rsid w:val="0097492C"/>
    <w:rsid w:val="00974E2D"/>
    <w:rsid w:val="00975D21"/>
    <w:rsid w:val="00975DB5"/>
    <w:rsid w:val="00976DCD"/>
    <w:rsid w:val="00976F0D"/>
    <w:rsid w:val="0097768D"/>
    <w:rsid w:val="0097797A"/>
    <w:rsid w:val="0098066C"/>
    <w:rsid w:val="00981292"/>
    <w:rsid w:val="009812F2"/>
    <w:rsid w:val="009814B0"/>
    <w:rsid w:val="00981871"/>
    <w:rsid w:val="00984181"/>
    <w:rsid w:val="009846D6"/>
    <w:rsid w:val="0098571F"/>
    <w:rsid w:val="00987780"/>
    <w:rsid w:val="0099005D"/>
    <w:rsid w:val="00992504"/>
    <w:rsid w:val="00992B0D"/>
    <w:rsid w:val="009946AA"/>
    <w:rsid w:val="009949C6"/>
    <w:rsid w:val="009965F7"/>
    <w:rsid w:val="009969E0"/>
    <w:rsid w:val="00996B5C"/>
    <w:rsid w:val="00996F3E"/>
    <w:rsid w:val="009A0545"/>
    <w:rsid w:val="009A0B4E"/>
    <w:rsid w:val="009A12F7"/>
    <w:rsid w:val="009A1EC2"/>
    <w:rsid w:val="009A2220"/>
    <w:rsid w:val="009A2899"/>
    <w:rsid w:val="009A336F"/>
    <w:rsid w:val="009A36AF"/>
    <w:rsid w:val="009A3E97"/>
    <w:rsid w:val="009A591E"/>
    <w:rsid w:val="009A77E7"/>
    <w:rsid w:val="009B090A"/>
    <w:rsid w:val="009B1B5C"/>
    <w:rsid w:val="009B306D"/>
    <w:rsid w:val="009B5983"/>
    <w:rsid w:val="009B5DAE"/>
    <w:rsid w:val="009B7B65"/>
    <w:rsid w:val="009C052D"/>
    <w:rsid w:val="009C09A0"/>
    <w:rsid w:val="009C2135"/>
    <w:rsid w:val="009C323D"/>
    <w:rsid w:val="009C36F1"/>
    <w:rsid w:val="009C3B51"/>
    <w:rsid w:val="009C3E3C"/>
    <w:rsid w:val="009C4E0E"/>
    <w:rsid w:val="009C4F54"/>
    <w:rsid w:val="009C5271"/>
    <w:rsid w:val="009C63A4"/>
    <w:rsid w:val="009C63D5"/>
    <w:rsid w:val="009C6B5F"/>
    <w:rsid w:val="009C787C"/>
    <w:rsid w:val="009C7FC6"/>
    <w:rsid w:val="009D00D9"/>
    <w:rsid w:val="009D161A"/>
    <w:rsid w:val="009D1693"/>
    <w:rsid w:val="009D1BCC"/>
    <w:rsid w:val="009D3D26"/>
    <w:rsid w:val="009D46C5"/>
    <w:rsid w:val="009D4AB7"/>
    <w:rsid w:val="009D5302"/>
    <w:rsid w:val="009D5EFC"/>
    <w:rsid w:val="009D62F3"/>
    <w:rsid w:val="009D754F"/>
    <w:rsid w:val="009D7597"/>
    <w:rsid w:val="009E1896"/>
    <w:rsid w:val="009E1980"/>
    <w:rsid w:val="009E1ACC"/>
    <w:rsid w:val="009E20B0"/>
    <w:rsid w:val="009E2833"/>
    <w:rsid w:val="009E2BB3"/>
    <w:rsid w:val="009E3042"/>
    <w:rsid w:val="009E325E"/>
    <w:rsid w:val="009E3484"/>
    <w:rsid w:val="009E569F"/>
    <w:rsid w:val="009E5FDA"/>
    <w:rsid w:val="009E646F"/>
    <w:rsid w:val="009E687A"/>
    <w:rsid w:val="009E776E"/>
    <w:rsid w:val="009F11E8"/>
    <w:rsid w:val="009F1760"/>
    <w:rsid w:val="009F4396"/>
    <w:rsid w:val="009F5BAA"/>
    <w:rsid w:val="009F5D93"/>
    <w:rsid w:val="009F6F14"/>
    <w:rsid w:val="009F7433"/>
    <w:rsid w:val="00A00F3C"/>
    <w:rsid w:val="00A0144A"/>
    <w:rsid w:val="00A016F6"/>
    <w:rsid w:val="00A01C19"/>
    <w:rsid w:val="00A02844"/>
    <w:rsid w:val="00A034F2"/>
    <w:rsid w:val="00A03E67"/>
    <w:rsid w:val="00A042CC"/>
    <w:rsid w:val="00A05071"/>
    <w:rsid w:val="00A06BF5"/>
    <w:rsid w:val="00A07157"/>
    <w:rsid w:val="00A076B8"/>
    <w:rsid w:val="00A07E9C"/>
    <w:rsid w:val="00A11066"/>
    <w:rsid w:val="00A1196D"/>
    <w:rsid w:val="00A11A36"/>
    <w:rsid w:val="00A11B5F"/>
    <w:rsid w:val="00A122F8"/>
    <w:rsid w:val="00A1243E"/>
    <w:rsid w:val="00A12914"/>
    <w:rsid w:val="00A12EEB"/>
    <w:rsid w:val="00A14173"/>
    <w:rsid w:val="00A14AEF"/>
    <w:rsid w:val="00A14E8B"/>
    <w:rsid w:val="00A167B8"/>
    <w:rsid w:val="00A17060"/>
    <w:rsid w:val="00A17ED7"/>
    <w:rsid w:val="00A20492"/>
    <w:rsid w:val="00A217FF"/>
    <w:rsid w:val="00A2185E"/>
    <w:rsid w:val="00A21919"/>
    <w:rsid w:val="00A21E54"/>
    <w:rsid w:val="00A26381"/>
    <w:rsid w:val="00A2657F"/>
    <w:rsid w:val="00A31C08"/>
    <w:rsid w:val="00A32889"/>
    <w:rsid w:val="00A331C2"/>
    <w:rsid w:val="00A33441"/>
    <w:rsid w:val="00A338D6"/>
    <w:rsid w:val="00A34948"/>
    <w:rsid w:val="00A363B2"/>
    <w:rsid w:val="00A36A40"/>
    <w:rsid w:val="00A36D42"/>
    <w:rsid w:val="00A4012E"/>
    <w:rsid w:val="00A414A1"/>
    <w:rsid w:val="00A41BC0"/>
    <w:rsid w:val="00A42893"/>
    <w:rsid w:val="00A42906"/>
    <w:rsid w:val="00A43E5D"/>
    <w:rsid w:val="00A45490"/>
    <w:rsid w:val="00A46559"/>
    <w:rsid w:val="00A46E6A"/>
    <w:rsid w:val="00A4723D"/>
    <w:rsid w:val="00A47250"/>
    <w:rsid w:val="00A5177F"/>
    <w:rsid w:val="00A5180C"/>
    <w:rsid w:val="00A521EE"/>
    <w:rsid w:val="00A5427C"/>
    <w:rsid w:val="00A5566F"/>
    <w:rsid w:val="00A57BBF"/>
    <w:rsid w:val="00A603C3"/>
    <w:rsid w:val="00A61267"/>
    <w:rsid w:val="00A63829"/>
    <w:rsid w:val="00A64250"/>
    <w:rsid w:val="00A64CAF"/>
    <w:rsid w:val="00A64FD8"/>
    <w:rsid w:val="00A6550F"/>
    <w:rsid w:val="00A6688F"/>
    <w:rsid w:val="00A670A9"/>
    <w:rsid w:val="00A67C97"/>
    <w:rsid w:val="00A711F9"/>
    <w:rsid w:val="00A71783"/>
    <w:rsid w:val="00A719FE"/>
    <w:rsid w:val="00A74937"/>
    <w:rsid w:val="00A75B8E"/>
    <w:rsid w:val="00A77BD7"/>
    <w:rsid w:val="00A80111"/>
    <w:rsid w:val="00A81DF8"/>
    <w:rsid w:val="00A81EC8"/>
    <w:rsid w:val="00A82B55"/>
    <w:rsid w:val="00A82BF6"/>
    <w:rsid w:val="00A83F39"/>
    <w:rsid w:val="00A84210"/>
    <w:rsid w:val="00A84D57"/>
    <w:rsid w:val="00A853CC"/>
    <w:rsid w:val="00A85465"/>
    <w:rsid w:val="00A866AE"/>
    <w:rsid w:val="00A86933"/>
    <w:rsid w:val="00A878A5"/>
    <w:rsid w:val="00A87D38"/>
    <w:rsid w:val="00A92225"/>
    <w:rsid w:val="00A9381F"/>
    <w:rsid w:val="00A94BD0"/>
    <w:rsid w:val="00A958D5"/>
    <w:rsid w:val="00A95B9A"/>
    <w:rsid w:val="00A95C76"/>
    <w:rsid w:val="00A95CB4"/>
    <w:rsid w:val="00A95FD1"/>
    <w:rsid w:val="00A976E6"/>
    <w:rsid w:val="00AA00D8"/>
    <w:rsid w:val="00AA02DF"/>
    <w:rsid w:val="00AA20EC"/>
    <w:rsid w:val="00AA32DA"/>
    <w:rsid w:val="00AA3C62"/>
    <w:rsid w:val="00AA45A4"/>
    <w:rsid w:val="00AA4712"/>
    <w:rsid w:val="00AA4FAB"/>
    <w:rsid w:val="00AA65C1"/>
    <w:rsid w:val="00AA65F4"/>
    <w:rsid w:val="00AA7A71"/>
    <w:rsid w:val="00AB01B3"/>
    <w:rsid w:val="00AB1567"/>
    <w:rsid w:val="00AB1B2B"/>
    <w:rsid w:val="00AB4233"/>
    <w:rsid w:val="00AB43EE"/>
    <w:rsid w:val="00AB4DA6"/>
    <w:rsid w:val="00AB4F07"/>
    <w:rsid w:val="00AB5121"/>
    <w:rsid w:val="00AB51EA"/>
    <w:rsid w:val="00AB5B9E"/>
    <w:rsid w:val="00AB6822"/>
    <w:rsid w:val="00AB6F0C"/>
    <w:rsid w:val="00AB73F3"/>
    <w:rsid w:val="00AC1EC5"/>
    <w:rsid w:val="00AC2076"/>
    <w:rsid w:val="00AC4658"/>
    <w:rsid w:val="00AC49F4"/>
    <w:rsid w:val="00AC4AC4"/>
    <w:rsid w:val="00AC4B01"/>
    <w:rsid w:val="00AC7F40"/>
    <w:rsid w:val="00AC7FDF"/>
    <w:rsid w:val="00AD0544"/>
    <w:rsid w:val="00AD061A"/>
    <w:rsid w:val="00AD1C15"/>
    <w:rsid w:val="00AD35F0"/>
    <w:rsid w:val="00AD5D92"/>
    <w:rsid w:val="00AD6B3C"/>
    <w:rsid w:val="00AE099A"/>
    <w:rsid w:val="00AE0D35"/>
    <w:rsid w:val="00AE0E91"/>
    <w:rsid w:val="00AE154F"/>
    <w:rsid w:val="00AE18E1"/>
    <w:rsid w:val="00AE1ECA"/>
    <w:rsid w:val="00AE1EE1"/>
    <w:rsid w:val="00AE207E"/>
    <w:rsid w:val="00AE2782"/>
    <w:rsid w:val="00AE2C20"/>
    <w:rsid w:val="00AE3DAE"/>
    <w:rsid w:val="00AE412E"/>
    <w:rsid w:val="00AE4248"/>
    <w:rsid w:val="00AE5E46"/>
    <w:rsid w:val="00AE6410"/>
    <w:rsid w:val="00AF05EC"/>
    <w:rsid w:val="00AF252E"/>
    <w:rsid w:val="00AF2AE0"/>
    <w:rsid w:val="00AF399D"/>
    <w:rsid w:val="00AF3D6B"/>
    <w:rsid w:val="00AF4917"/>
    <w:rsid w:val="00AF4DC9"/>
    <w:rsid w:val="00AF6292"/>
    <w:rsid w:val="00AF680F"/>
    <w:rsid w:val="00AF6DF0"/>
    <w:rsid w:val="00B00514"/>
    <w:rsid w:val="00B00575"/>
    <w:rsid w:val="00B00C04"/>
    <w:rsid w:val="00B01C2D"/>
    <w:rsid w:val="00B01FAF"/>
    <w:rsid w:val="00B04260"/>
    <w:rsid w:val="00B04A4E"/>
    <w:rsid w:val="00B0511A"/>
    <w:rsid w:val="00B05D39"/>
    <w:rsid w:val="00B100BE"/>
    <w:rsid w:val="00B11284"/>
    <w:rsid w:val="00B11F80"/>
    <w:rsid w:val="00B13A6B"/>
    <w:rsid w:val="00B14FF9"/>
    <w:rsid w:val="00B15943"/>
    <w:rsid w:val="00B15D9A"/>
    <w:rsid w:val="00B160F4"/>
    <w:rsid w:val="00B1673B"/>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1BD5"/>
    <w:rsid w:val="00B32AE8"/>
    <w:rsid w:val="00B3323A"/>
    <w:rsid w:val="00B34ECD"/>
    <w:rsid w:val="00B35DC5"/>
    <w:rsid w:val="00B36696"/>
    <w:rsid w:val="00B36B03"/>
    <w:rsid w:val="00B418D6"/>
    <w:rsid w:val="00B41EF2"/>
    <w:rsid w:val="00B446F9"/>
    <w:rsid w:val="00B465B1"/>
    <w:rsid w:val="00B46ADF"/>
    <w:rsid w:val="00B500CB"/>
    <w:rsid w:val="00B50382"/>
    <w:rsid w:val="00B512A3"/>
    <w:rsid w:val="00B51F04"/>
    <w:rsid w:val="00B53331"/>
    <w:rsid w:val="00B54958"/>
    <w:rsid w:val="00B559B2"/>
    <w:rsid w:val="00B56321"/>
    <w:rsid w:val="00B565D4"/>
    <w:rsid w:val="00B56BAF"/>
    <w:rsid w:val="00B56D13"/>
    <w:rsid w:val="00B56D2F"/>
    <w:rsid w:val="00B56DA8"/>
    <w:rsid w:val="00B57BF8"/>
    <w:rsid w:val="00B60E51"/>
    <w:rsid w:val="00B61677"/>
    <w:rsid w:val="00B63F7F"/>
    <w:rsid w:val="00B6537F"/>
    <w:rsid w:val="00B65433"/>
    <w:rsid w:val="00B65A2F"/>
    <w:rsid w:val="00B65D0C"/>
    <w:rsid w:val="00B65DEE"/>
    <w:rsid w:val="00B65E1D"/>
    <w:rsid w:val="00B673D7"/>
    <w:rsid w:val="00B71571"/>
    <w:rsid w:val="00B715B1"/>
    <w:rsid w:val="00B75874"/>
    <w:rsid w:val="00B75C4F"/>
    <w:rsid w:val="00B7619E"/>
    <w:rsid w:val="00B77677"/>
    <w:rsid w:val="00B77BF3"/>
    <w:rsid w:val="00B81698"/>
    <w:rsid w:val="00B83257"/>
    <w:rsid w:val="00B8381D"/>
    <w:rsid w:val="00B84964"/>
    <w:rsid w:val="00B849F3"/>
    <w:rsid w:val="00B85F87"/>
    <w:rsid w:val="00B86B4C"/>
    <w:rsid w:val="00B9092D"/>
    <w:rsid w:val="00B91527"/>
    <w:rsid w:val="00B92470"/>
    <w:rsid w:val="00B92584"/>
    <w:rsid w:val="00B929D1"/>
    <w:rsid w:val="00B935F3"/>
    <w:rsid w:val="00B93AC6"/>
    <w:rsid w:val="00B94527"/>
    <w:rsid w:val="00B95349"/>
    <w:rsid w:val="00B955C0"/>
    <w:rsid w:val="00B95B9C"/>
    <w:rsid w:val="00B961E2"/>
    <w:rsid w:val="00B96D1A"/>
    <w:rsid w:val="00B97608"/>
    <w:rsid w:val="00BA0067"/>
    <w:rsid w:val="00BA07D9"/>
    <w:rsid w:val="00BA0F9A"/>
    <w:rsid w:val="00BA176D"/>
    <w:rsid w:val="00BA2179"/>
    <w:rsid w:val="00BA3220"/>
    <w:rsid w:val="00BA65AC"/>
    <w:rsid w:val="00BB0F3A"/>
    <w:rsid w:val="00BB2985"/>
    <w:rsid w:val="00BB4314"/>
    <w:rsid w:val="00BC0A20"/>
    <w:rsid w:val="00BC21A0"/>
    <w:rsid w:val="00BC3000"/>
    <w:rsid w:val="00BC4EF3"/>
    <w:rsid w:val="00BC76F8"/>
    <w:rsid w:val="00BC77C0"/>
    <w:rsid w:val="00BD0B25"/>
    <w:rsid w:val="00BD0D0E"/>
    <w:rsid w:val="00BD15F9"/>
    <w:rsid w:val="00BD234D"/>
    <w:rsid w:val="00BD2561"/>
    <w:rsid w:val="00BD5DCD"/>
    <w:rsid w:val="00BD616D"/>
    <w:rsid w:val="00BD6C4D"/>
    <w:rsid w:val="00BE0997"/>
    <w:rsid w:val="00BE1907"/>
    <w:rsid w:val="00BE1A97"/>
    <w:rsid w:val="00BE3AF3"/>
    <w:rsid w:val="00BE485B"/>
    <w:rsid w:val="00BE6A74"/>
    <w:rsid w:val="00BE7D08"/>
    <w:rsid w:val="00BF01E2"/>
    <w:rsid w:val="00BF062B"/>
    <w:rsid w:val="00BF0840"/>
    <w:rsid w:val="00BF0DFF"/>
    <w:rsid w:val="00BF22B8"/>
    <w:rsid w:val="00BF2603"/>
    <w:rsid w:val="00BF377F"/>
    <w:rsid w:val="00BF51CE"/>
    <w:rsid w:val="00BF5E37"/>
    <w:rsid w:val="00BF6541"/>
    <w:rsid w:val="00BF736D"/>
    <w:rsid w:val="00C01A0D"/>
    <w:rsid w:val="00C028D9"/>
    <w:rsid w:val="00C036E4"/>
    <w:rsid w:val="00C038B8"/>
    <w:rsid w:val="00C03B35"/>
    <w:rsid w:val="00C04802"/>
    <w:rsid w:val="00C06574"/>
    <w:rsid w:val="00C06F31"/>
    <w:rsid w:val="00C11EE9"/>
    <w:rsid w:val="00C12B8C"/>
    <w:rsid w:val="00C14472"/>
    <w:rsid w:val="00C155D9"/>
    <w:rsid w:val="00C155E2"/>
    <w:rsid w:val="00C15958"/>
    <w:rsid w:val="00C2211D"/>
    <w:rsid w:val="00C22C9E"/>
    <w:rsid w:val="00C2344F"/>
    <w:rsid w:val="00C245F9"/>
    <w:rsid w:val="00C246F2"/>
    <w:rsid w:val="00C25851"/>
    <w:rsid w:val="00C25AA3"/>
    <w:rsid w:val="00C26707"/>
    <w:rsid w:val="00C275AB"/>
    <w:rsid w:val="00C27719"/>
    <w:rsid w:val="00C27877"/>
    <w:rsid w:val="00C31BCD"/>
    <w:rsid w:val="00C320EB"/>
    <w:rsid w:val="00C32799"/>
    <w:rsid w:val="00C32F7B"/>
    <w:rsid w:val="00C33845"/>
    <w:rsid w:val="00C34BDE"/>
    <w:rsid w:val="00C34E6D"/>
    <w:rsid w:val="00C3513F"/>
    <w:rsid w:val="00C355AA"/>
    <w:rsid w:val="00C36212"/>
    <w:rsid w:val="00C36223"/>
    <w:rsid w:val="00C40725"/>
    <w:rsid w:val="00C40CCA"/>
    <w:rsid w:val="00C4207E"/>
    <w:rsid w:val="00C4396C"/>
    <w:rsid w:val="00C451A3"/>
    <w:rsid w:val="00C4577E"/>
    <w:rsid w:val="00C47BB9"/>
    <w:rsid w:val="00C50C8F"/>
    <w:rsid w:val="00C50D41"/>
    <w:rsid w:val="00C51156"/>
    <w:rsid w:val="00C518B1"/>
    <w:rsid w:val="00C52664"/>
    <w:rsid w:val="00C52CEF"/>
    <w:rsid w:val="00C53E17"/>
    <w:rsid w:val="00C53FD7"/>
    <w:rsid w:val="00C55C61"/>
    <w:rsid w:val="00C57047"/>
    <w:rsid w:val="00C60630"/>
    <w:rsid w:val="00C6130F"/>
    <w:rsid w:val="00C63D33"/>
    <w:rsid w:val="00C64F44"/>
    <w:rsid w:val="00C650ED"/>
    <w:rsid w:val="00C65132"/>
    <w:rsid w:val="00C65F6A"/>
    <w:rsid w:val="00C67F3E"/>
    <w:rsid w:val="00C70CD5"/>
    <w:rsid w:val="00C7194E"/>
    <w:rsid w:val="00C7216F"/>
    <w:rsid w:val="00C723C0"/>
    <w:rsid w:val="00C730E4"/>
    <w:rsid w:val="00C73BB8"/>
    <w:rsid w:val="00C74CC5"/>
    <w:rsid w:val="00C755E9"/>
    <w:rsid w:val="00C76B48"/>
    <w:rsid w:val="00C76CC4"/>
    <w:rsid w:val="00C77815"/>
    <w:rsid w:val="00C81100"/>
    <w:rsid w:val="00C8111D"/>
    <w:rsid w:val="00C823C5"/>
    <w:rsid w:val="00C82CD1"/>
    <w:rsid w:val="00C82D42"/>
    <w:rsid w:val="00C8322A"/>
    <w:rsid w:val="00C83583"/>
    <w:rsid w:val="00C83ECC"/>
    <w:rsid w:val="00C84B12"/>
    <w:rsid w:val="00C85239"/>
    <w:rsid w:val="00C869BC"/>
    <w:rsid w:val="00C8737E"/>
    <w:rsid w:val="00C90444"/>
    <w:rsid w:val="00C9243B"/>
    <w:rsid w:val="00C95011"/>
    <w:rsid w:val="00C953C0"/>
    <w:rsid w:val="00C96E5A"/>
    <w:rsid w:val="00C97ACC"/>
    <w:rsid w:val="00CA056D"/>
    <w:rsid w:val="00CA181F"/>
    <w:rsid w:val="00CA22C7"/>
    <w:rsid w:val="00CA26CB"/>
    <w:rsid w:val="00CA2A54"/>
    <w:rsid w:val="00CA3219"/>
    <w:rsid w:val="00CA519C"/>
    <w:rsid w:val="00CA5B9D"/>
    <w:rsid w:val="00CA7D96"/>
    <w:rsid w:val="00CB01EB"/>
    <w:rsid w:val="00CB0DFA"/>
    <w:rsid w:val="00CB250C"/>
    <w:rsid w:val="00CB34D5"/>
    <w:rsid w:val="00CB352B"/>
    <w:rsid w:val="00CB4285"/>
    <w:rsid w:val="00CB5DA7"/>
    <w:rsid w:val="00CB6A77"/>
    <w:rsid w:val="00CB6CB0"/>
    <w:rsid w:val="00CC06B8"/>
    <w:rsid w:val="00CC1252"/>
    <w:rsid w:val="00CC134C"/>
    <w:rsid w:val="00CC36F9"/>
    <w:rsid w:val="00CC3E8F"/>
    <w:rsid w:val="00CD0BA2"/>
    <w:rsid w:val="00CD18DE"/>
    <w:rsid w:val="00CD27CC"/>
    <w:rsid w:val="00CD2E30"/>
    <w:rsid w:val="00CD360B"/>
    <w:rsid w:val="00CD515A"/>
    <w:rsid w:val="00CD55A2"/>
    <w:rsid w:val="00CD5B58"/>
    <w:rsid w:val="00CD6256"/>
    <w:rsid w:val="00CD643B"/>
    <w:rsid w:val="00CD7B7F"/>
    <w:rsid w:val="00CD7EA0"/>
    <w:rsid w:val="00CE0D42"/>
    <w:rsid w:val="00CE19D1"/>
    <w:rsid w:val="00CE23EF"/>
    <w:rsid w:val="00CE2978"/>
    <w:rsid w:val="00CE2BBA"/>
    <w:rsid w:val="00CE6197"/>
    <w:rsid w:val="00CE6490"/>
    <w:rsid w:val="00CE6BEE"/>
    <w:rsid w:val="00CE702E"/>
    <w:rsid w:val="00CE7723"/>
    <w:rsid w:val="00CF088A"/>
    <w:rsid w:val="00CF1AEC"/>
    <w:rsid w:val="00CF38F2"/>
    <w:rsid w:val="00CF43ED"/>
    <w:rsid w:val="00CF5CD7"/>
    <w:rsid w:val="00CF79DF"/>
    <w:rsid w:val="00D00702"/>
    <w:rsid w:val="00D01E61"/>
    <w:rsid w:val="00D02296"/>
    <w:rsid w:val="00D02B99"/>
    <w:rsid w:val="00D0306C"/>
    <w:rsid w:val="00D034FA"/>
    <w:rsid w:val="00D04FFC"/>
    <w:rsid w:val="00D05957"/>
    <w:rsid w:val="00D06027"/>
    <w:rsid w:val="00D0751A"/>
    <w:rsid w:val="00D078F8"/>
    <w:rsid w:val="00D07C71"/>
    <w:rsid w:val="00D07D25"/>
    <w:rsid w:val="00D110F0"/>
    <w:rsid w:val="00D116BA"/>
    <w:rsid w:val="00D12852"/>
    <w:rsid w:val="00D13010"/>
    <w:rsid w:val="00D133F0"/>
    <w:rsid w:val="00D143ED"/>
    <w:rsid w:val="00D14C65"/>
    <w:rsid w:val="00D16C5A"/>
    <w:rsid w:val="00D16DAA"/>
    <w:rsid w:val="00D17E12"/>
    <w:rsid w:val="00D20F59"/>
    <w:rsid w:val="00D21932"/>
    <w:rsid w:val="00D21B84"/>
    <w:rsid w:val="00D22983"/>
    <w:rsid w:val="00D25359"/>
    <w:rsid w:val="00D25E7D"/>
    <w:rsid w:val="00D261EA"/>
    <w:rsid w:val="00D26D6A"/>
    <w:rsid w:val="00D27732"/>
    <w:rsid w:val="00D27842"/>
    <w:rsid w:val="00D30628"/>
    <w:rsid w:val="00D30CEE"/>
    <w:rsid w:val="00D31D6C"/>
    <w:rsid w:val="00D32B3D"/>
    <w:rsid w:val="00D33C8D"/>
    <w:rsid w:val="00D34D49"/>
    <w:rsid w:val="00D37148"/>
    <w:rsid w:val="00D37A00"/>
    <w:rsid w:val="00D40860"/>
    <w:rsid w:val="00D4280D"/>
    <w:rsid w:val="00D42B76"/>
    <w:rsid w:val="00D43787"/>
    <w:rsid w:val="00D447D8"/>
    <w:rsid w:val="00D447FF"/>
    <w:rsid w:val="00D45006"/>
    <w:rsid w:val="00D450B5"/>
    <w:rsid w:val="00D45623"/>
    <w:rsid w:val="00D45651"/>
    <w:rsid w:val="00D45942"/>
    <w:rsid w:val="00D45968"/>
    <w:rsid w:val="00D468AF"/>
    <w:rsid w:val="00D470FA"/>
    <w:rsid w:val="00D47F57"/>
    <w:rsid w:val="00D50983"/>
    <w:rsid w:val="00D52347"/>
    <w:rsid w:val="00D53207"/>
    <w:rsid w:val="00D53B35"/>
    <w:rsid w:val="00D5648F"/>
    <w:rsid w:val="00D56D45"/>
    <w:rsid w:val="00D56E3B"/>
    <w:rsid w:val="00D57CC2"/>
    <w:rsid w:val="00D60FF1"/>
    <w:rsid w:val="00D616EC"/>
    <w:rsid w:val="00D625B8"/>
    <w:rsid w:val="00D648BA"/>
    <w:rsid w:val="00D653F6"/>
    <w:rsid w:val="00D66709"/>
    <w:rsid w:val="00D66A4D"/>
    <w:rsid w:val="00D724E1"/>
    <w:rsid w:val="00D7287D"/>
    <w:rsid w:val="00D73D98"/>
    <w:rsid w:val="00D762E6"/>
    <w:rsid w:val="00D76A95"/>
    <w:rsid w:val="00D776E7"/>
    <w:rsid w:val="00D801E1"/>
    <w:rsid w:val="00D80B56"/>
    <w:rsid w:val="00D82515"/>
    <w:rsid w:val="00D82682"/>
    <w:rsid w:val="00D82E21"/>
    <w:rsid w:val="00D840E2"/>
    <w:rsid w:val="00D846FE"/>
    <w:rsid w:val="00D860CB"/>
    <w:rsid w:val="00D87C68"/>
    <w:rsid w:val="00D92783"/>
    <w:rsid w:val="00D92B70"/>
    <w:rsid w:val="00D92D3B"/>
    <w:rsid w:val="00D92EBB"/>
    <w:rsid w:val="00D943FD"/>
    <w:rsid w:val="00D9456A"/>
    <w:rsid w:val="00D94B4E"/>
    <w:rsid w:val="00D94DBD"/>
    <w:rsid w:val="00DA00BB"/>
    <w:rsid w:val="00DA1C28"/>
    <w:rsid w:val="00DA38F9"/>
    <w:rsid w:val="00DA3BAE"/>
    <w:rsid w:val="00DA776D"/>
    <w:rsid w:val="00DA7AAB"/>
    <w:rsid w:val="00DA7F99"/>
    <w:rsid w:val="00DB0815"/>
    <w:rsid w:val="00DB0C6F"/>
    <w:rsid w:val="00DB1859"/>
    <w:rsid w:val="00DB34DF"/>
    <w:rsid w:val="00DB3ABE"/>
    <w:rsid w:val="00DB4553"/>
    <w:rsid w:val="00DB6676"/>
    <w:rsid w:val="00DC2ABE"/>
    <w:rsid w:val="00DC4F24"/>
    <w:rsid w:val="00DC59DE"/>
    <w:rsid w:val="00DC7217"/>
    <w:rsid w:val="00DC79BB"/>
    <w:rsid w:val="00DD11EB"/>
    <w:rsid w:val="00DD1B8B"/>
    <w:rsid w:val="00DD1F32"/>
    <w:rsid w:val="00DD23D6"/>
    <w:rsid w:val="00DD2D5F"/>
    <w:rsid w:val="00DD4855"/>
    <w:rsid w:val="00DD5378"/>
    <w:rsid w:val="00DD6E01"/>
    <w:rsid w:val="00DD75C4"/>
    <w:rsid w:val="00DD7AFC"/>
    <w:rsid w:val="00DE10B9"/>
    <w:rsid w:val="00DE1FBA"/>
    <w:rsid w:val="00DE4550"/>
    <w:rsid w:val="00DE55DE"/>
    <w:rsid w:val="00DE5968"/>
    <w:rsid w:val="00DE5A73"/>
    <w:rsid w:val="00DE6A2A"/>
    <w:rsid w:val="00DF1227"/>
    <w:rsid w:val="00DF131F"/>
    <w:rsid w:val="00DF2C98"/>
    <w:rsid w:val="00DF73A5"/>
    <w:rsid w:val="00DF77FD"/>
    <w:rsid w:val="00DF7AB6"/>
    <w:rsid w:val="00E00DCA"/>
    <w:rsid w:val="00E01C4F"/>
    <w:rsid w:val="00E033B7"/>
    <w:rsid w:val="00E038DB"/>
    <w:rsid w:val="00E03BB5"/>
    <w:rsid w:val="00E04FFB"/>
    <w:rsid w:val="00E05EEE"/>
    <w:rsid w:val="00E065DD"/>
    <w:rsid w:val="00E075A8"/>
    <w:rsid w:val="00E07D5A"/>
    <w:rsid w:val="00E105EE"/>
    <w:rsid w:val="00E10D91"/>
    <w:rsid w:val="00E11FCA"/>
    <w:rsid w:val="00E134FC"/>
    <w:rsid w:val="00E1436B"/>
    <w:rsid w:val="00E14F22"/>
    <w:rsid w:val="00E151BD"/>
    <w:rsid w:val="00E166F8"/>
    <w:rsid w:val="00E167CB"/>
    <w:rsid w:val="00E170FA"/>
    <w:rsid w:val="00E2020E"/>
    <w:rsid w:val="00E20D15"/>
    <w:rsid w:val="00E2216B"/>
    <w:rsid w:val="00E25A13"/>
    <w:rsid w:val="00E26F75"/>
    <w:rsid w:val="00E3064C"/>
    <w:rsid w:val="00E32CBA"/>
    <w:rsid w:val="00E33007"/>
    <w:rsid w:val="00E330A9"/>
    <w:rsid w:val="00E34483"/>
    <w:rsid w:val="00E3456D"/>
    <w:rsid w:val="00E35FB8"/>
    <w:rsid w:val="00E36EC3"/>
    <w:rsid w:val="00E406B2"/>
    <w:rsid w:val="00E4190D"/>
    <w:rsid w:val="00E436C8"/>
    <w:rsid w:val="00E44987"/>
    <w:rsid w:val="00E44EB9"/>
    <w:rsid w:val="00E44F34"/>
    <w:rsid w:val="00E45859"/>
    <w:rsid w:val="00E47666"/>
    <w:rsid w:val="00E47A2E"/>
    <w:rsid w:val="00E47B16"/>
    <w:rsid w:val="00E47C2B"/>
    <w:rsid w:val="00E504E9"/>
    <w:rsid w:val="00E507A9"/>
    <w:rsid w:val="00E5253D"/>
    <w:rsid w:val="00E52A30"/>
    <w:rsid w:val="00E53860"/>
    <w:rsid w:val="00E54928"/>
    <w:rsid w:val="00E54E23"/>
    <w:rsid w:val="00E554E7"/>
    <w:rsid w:val="00E56391"/>
    <w:rsid w:val="00E5688C"/>
    <w:rsid w:val="00E57C72"/>
    <w:rsid w:val="00E60AAF"/>
    <w:rsid w:val="00E60AEE"/>
    <w:rsid w:val="00E6547E"/>
    <w:rsid w:val="00E65AAE"/>
    <w:rsid w:val="00E65E36"/>
    <w:rsid w:val="00E669A1"/>
    <w:rsid w:val="00E66B0C"/>
    <w:rsid w:val="00E67625"/>
    <w:rsid w:val="00E700D9"/>
    <w:rsid w:val="00E70DE5"/>
    <w:rsid w:val="00E70F51"/>
    <w:rsid w:val="00E75FF6"/>
    <w:rsid w:val="00E76430"/>
    <w:rsid w:val="00E77A6F"/>
    <w:rsid w:val="00E8333C"/>
    <w:rsid w:val="00E8390A"/>
    <w:rsid w:val="00E83A3B"/>
    <w:rsid w:val="00E8425C"/>
    <w:rsid w:val="00E901D7"/>
    <w:rsid w:val="00E912C3"/>
    <w:rsid w:val="00E914E7"/>
    <w:rsid w:val="00E9172D"/>
    <w:rsid w:val="00E91BD8"/>
    <w:rsid w:val="00E922BE"/>
    <w:rsid w:val="00E9258D"/>
    <w:rsid w:val="00E9268E"/>
    <w:rsid w:val="00E92B00"/>
    <w:rsid w:val="00E9368B"/>
    <w:rsid w:val="00E94D9A"/>
    <w:rsid w:val="00E951CA"/>
    <w:rsid w:val="00E9538A"/>
    <w:rsid w:val="00E953FA"/>
    <w:rsid w:val="00E95BCF"/>
    <w:rsid w:val="00E97913"/>
    <w:rsid w:val="00E97D0F"/>
    <w:rsid w:val="00E97E28"/>
    <w:rsid w:val="00EA200B"/>
    <w:rsid w:val="00EA484D"/>
    <w:rsid w:val="00EA4A96"/>
    <w:rsid w:val="00EB1753"/>
    <w:rsid w:val="00EB1A14"/>
    <w:rsid w:val="00EB1C95"/>
    <w:rsid w:val="00EB3B0A"/>
    <w:rsid w:val="00EB3DAC"/>
    <w:rsid w:val="00EB4081"/>
    <w:rsid w:val="00EB4093"/>
    <w:rsid w:val="00EB46F3"/>
    <w:rsid w:val="00EB4958"/>
    <w:rsid w:val="00EB784C"/>
    <w:rsid w:val="00EC1371"/>
    <w:rsid w:val="00EC2445"/>
    <w:rsid w:val="00EC33B2"/>
    <w:rsid w:val="00EC3796"/>
    <w:rsid w:val="00EC41A4"/>
    <w:rsid w:val="00EC45E1"/>
    <w:rsid w:val="00EC5D78"/>
    <w:rsid w:val="00EC62C5"/>
    <w:rsid w:val="00EC63E2"/>
    <w:rsid w:val="00EC6563"/>
    <w:rsid w:val="00EC7294"/>
    <w:rsid w:val="00EC7555"/>
    <w:rsid w:val="00EC7728"/>
    <w:rsid w:val="00ED0109"/>
    <w:rsid w:val="00ED0680"/>
    <w:rsid w:val="00ED10A6"/>
    <w:rsid w:val="00ED27B9"/>
    <w:rsid w:val="00ED2905"/>
    <w:rsid w:val="00ED328C"/>
    <w:rsid w:val="00ED3D65"/>
    <w:rsid w:val="00ED4017"/>
    <w:rsid w:val="00ED4036"/>
    <w:rsid w:val="00ED4F8C"/>
    <w:rsid w:val="00ED7083"/>
    <w:rsid w:val="00ED7E7A"/>
    <w:rsid w:val="00ED7E9F"/>
    <w:rsid w:val="00EE0D8C"/>
    <w:rsid w:val="00EE0DD5"/>
    <w:rsid w:val="00EE149D"/>
    <w:rsid w:val="00EE172B"/>
    <w:rsid w:val="00EE3EDC"/>
    <w:rsid w:val="00EE3F56"/>
    <w:rsid w:val="00EE4BB2"/>
    <w:rsid w:val="00EE560A"/>
    <w:rsid w:val="00EE6084"/>
    <w:rsid w:val="00EE6B47"/>
    <w:rsid w:val="00EE733B"/>
    <w:rsid w:val="00EE7B6D"/>
    <w:rsid w:val="00EF13A5"/>
    <w:rsid w:val="00EF1724"/>
    <w:rsid w:val="00EF1AA9"/>
    <w:rsid w:val="00EF1B4E"/>
    <w:rsid w:val="00EF1CC2"/>
    <w:rsid w:val="00EF221F"/>
    <w:rsid w:val="00EF3963"/>
    <w:rsid w:val="00EF5079"/>
    <w:rsid w:val="00EF6AF7"/>
    <w:rsid w:val="00EF6C71"/>
    <w:rsid w:val="00EF6E78"/>
    <w:rsid w:val="00EF7A77"/>
    <w:rsid w:val="00EF7DE3"/>
    <w:rsid w:val="00F006C9"/>
    <w:rsid w:val="00F01483"/>
    <w:rsid w:val="00F020B8"/>
    <w:rsid w:val="00F02537"/>
    <w:rsid w:val="00F02F54"/>
    <w:rsid w:val="00F03638"/>
    <w:rsid w:val="00F039ED"/>
    <w:rsid w:val="00F03F16"/>
    <w:rsid w:val="00F0541C"/>
    <w:rsid w:val="00F05464"/>
    <w:rsid w:val="00F0620D"/>
    <w:rsid w:val="00F068C2"/>
    <w:rsid w:val="00F07ECC"/>
    <w:rsid w:val="00F10116"/>
    <w:rsid w:val="00F11B23"/>
    <w:rsid w:val="00F123CE"/>
    <w:rsid w:val="00F1344F"/>
    <w:rsid w:val="00F13850"/>
    <w:rsid w:val="00F13A34"/>
    <w:rsid w:val="00F146CB"/>
    <w:rsid w:val="00F149E9"/>
    <w:rsid w:val="00F14B1E"/>
    <w:rsid w:val="00F1574B"/>
    <w:rsid w:val="00F15D92"/>
    <w:rsid w:val="00F20BE6"/>
    <w:rsid w:val="00F220EF"/>
    <w:rsid w:val="00F2298C"/>
    <w:rsid w:val="00F24CF2"/>
    <w:rsid w:val="00F25235"/>
    <w:rsid w:val="00F254F6"/>
    <w:rsid w:val="00F27CE2"/>
    <w:rsid w:val="00F3022D"/>
    <w:rsid w:val="00F30708"/>
    <w:rsid w:val="00F31B3B"/>
    <w:rsid w:val="00F31E35"/>
    <w:rsid w:val="00F3228A"/>
    <w:rsid w:val="00F3288E"/>
    <w:rsid w:val="00F332B0"/>
    <w:rsid w:val="00F3395E"/>
    <w:rsid w:val="00F33A72"/>
    <w:rsid w:val="00F3415D"/>
    <w:rsid w:val="00F35DED"/>
    <w:rsid w:val="00F363F1"/>
    <w:rsid w:val="00F37256"/>
    <w:rsid w:val="00F43DFC"/>
    <w:rsid w:val="00F441FD"/>
    <w:rsid w:val="00F454D0"/>
    <w:rsid w:val="00F45E5A"/>
    <w:rsid w:val="00F4695D"/>
    <w:rsid w:val="00F50172"/>
    <w:rsid w:val="00F54740"/>
    <w:rsid w:val="00F565D0"/>
    <w:rsid w:val="00F57A3E"/>
    <w:rsid w:val="00F62899"/>
    <w:rsid w:val="00F637A9"/>
    <w:rsid w:val="00F63A4A"/>
    <w:rsid w:val="00F63E31"/>
    <w:rsid w:val="00F645AE"/>
    <w:rsid w:val="00F654A6"/>
    <w:rsid w:val="00F67065"/>
    <w:rsid w:val="00F67D00"/>
    <w:rsid w:val="00F67D2C"/>
    <w:rsid w:val="00F70011"/>
    <w:rsid w:val="00F70E24"/>
    <w:rsid w:val="00F720FA"/>
    <w:rsid w:val="00F733B2"/>
    <w:rsid w:val="00F744F3"/>
    <w:rsid w:val="00F75DF6"/>
    <w:rsid w:val="00F760F6"/>
    <w:rsid w:val="00F772EA"/>
    <w:rsid w:val="00F77698"/>
    <w:rsid w:val="00F805A6"/>
    <w:rsid w:val="00F81E9A"/>
    <w:rsid w:val="00F8295D"/>
    <w:rsid w:val="00F83BC2"/>
    <w:rsid w:val="00F83CBF"/>
    <w:rsid w:val="00F84ED2"/>
    <w:rsid w:val="00F87223"/>
    <w:rsid w:val="00F87AC1"/>
    <w:rsid w:val="00F90220"/>
    <w:rsid w:val="00F90290"/>
    <w:rsid w:val="00F9139C"/>
    <w:rsid w:val="00F915B8"/>
    <w:rsid w:val="00F91B3B"/>
    <w:rsid w:val="00F92104"/>
    <w:rsid w:val="00F936E0"/>
    <w:rsid w:val="00F94EC0"/>
    <w:rsid w:val="00F95610"/>
    <w:rsid w:val="00F96012"/>
    <w:rsid w:val="00F96C64"/>
    <w:rsid w:val="00F976C6"/>
    <w:rsid w:val="00FA0C52"/>
    <w:rsid w:val="00FA1CFB"/>
    <w:rsid w:val="00FA215D"/>
    <w:rsid w:val="00FA2451"/>
    <w:rsid w:val="00FA2726"/>
    <w:rsid w:val="00FA3FB9"/>
    <w:rsid w:val="00FA457D"/>
    <w:rsid w:val="00FA6E33"/>
    <w:rsid w:val="00FA72B1"/>
    <w:rsid w:val="00FB0751"/>
    <w:rsid w:val="00FB4DF7"/>
    <w:rsid w:val="00FC3FD5"/>
    <w:rsid w:val="00FC479C"/>
    <w:rsid w:val="00FC613B"/>
    <w:rsid w:val="00FC6E57"/>
    <w:rsid w:val="00FC7151"/>
    <w:rsid w:val="00FD0560"/>
    <w:rsid w:val="00FD0A26"/>
    <w:rsid w:val="00FD0C02"/>
    <w:rsid w:val="00FD1FCF"/>
    <w:rsid w:val="00FD22A5"/>
    <w:rsid w:val="00FD282F"/>
    <w:rsid w:val="00FD2992"/>
    <w:rsid w:val="00FD29BB"/>
    <w:rsid w:val="00FD4CB3"/>
    <w:rsid w:val="00FD5C61"/>
    <w:rsid w:val="00FD6EAA"/>
    <w:rsid w:val="00FD79D2"/>
    <w:rsid w:val="00FE0ABB"/>
    <w:rsid w:val="00FE141F"/>
    <w:rsid w:val="00FE20F0"/>
    <w:rsid w:val="00FE5217"/>
    <w:rsid w:val="00FE7911"/>
    <w:rsid w:val="00FE7C1C"/>
    <w:rsid w:val="00FF1735"/>
    <w:rsid w:val="00FF3197"/>
    <w:rsid w:val="00FF31C9"/>
    <w:rsid w:val="00FF3D51"/>
    <w:rsid w:val="00FF5A48"/>
    <w:rsid w:val="00FF5DB9"/>
    <w:rsid w:val="00FF6583"/>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styleId="Hyperlink">
    <w:name w:val="Hyperlink"/>
    <w:basedOn w:val="DefaultParagraphFont"/>
    <w:uiPriority w:val="99"/>
    <w:unhideWhenUsed/>
    <w:rsid w:val="0092331E"/>
    <w:rPr>
      <w:color w:val="0563C1" w:themeColor="hyperlink"/>
      <w:u w:val="single"/>
    </w:rPr>
  </w:style>
  <w:style w:type="character" w:customStyle="1" w:styleId="UnresolvedMention">
    <w:name w:val="Unresolved Mention"/>
    <w:basedOn w:val="DefaultParagraphFont"/>
    <w:uiPriority w:val="99"/>
    <w:semiHidden/>
    <w:unhideWhenUsed/>
    <w:rsid w:val="0092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li@spj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522D-E59E-4ACF-9E2F-D0439B43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dcterms:created xsi:type="dcterms:W3CDTF">2024-02-21T12:46:00Z</dcterms:created>
  <dcterms:modified xsi:type="dcterms:W3CDTF">2024-02-23T10:33:00Z</dcterms:modified>
</cp:coreProperties>
</file>