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46367" w14:textId="77777777" w:rsidR="00D450B5" w:rsidRPr="00044B50" w:rsidRDefault="00D450B5" w:rsidP="00772E4B">
      <w:pPr>
        <w:jc w:val="center"/>
        <w:rPr>
          <w:lang w:val="en-GB"/>
        </w:rPr>
      </w:pPr>
      <w:bookmarkStart w:id="0" w:name="_GoBack"/>
      <w:bookmarkEnd w:id="0"/>
      <w:r w:rsidRPr="00044B50">
        <w:rPr>
          <w:noProof/>
          <w:lang w:eastAsia="en-ZA"/>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772E4B">
      <w:pPr>
        <w:jc w:val="center"/>
        <w:rPr>
          <w:b/>
          <w:bCs/>
          <w:lang w:val="en-GB"/>
        </w:rPr>
      </w:pPr>
      <w:r w:rsidRPr="00044B50">
        <w:rPr>
          <w:b/>
          <w:bCs/>
          <w:lang w:val="en-GB"/>
        </w:rPr>
        <w:t>IN THE HIGH COURT OF SOUTH AFRICA</w:t>
      </w:r>
    </w:p>
    <w:p w14:paraId="130E4897" w14:textId="6D266B19" w:rsidR="00D450B5" w:rsidRPr="00044B50" w:rsidRDefault="00797E4E" w:rsidP="00772E4B">
      <w:pPr>
        <w:jc w:val="center"/>
        <w:rPr>
          <w:b/>
          <w:bCs/>
          <w:lang w:val="en-GB"/>
        </w:rPr>
      </w:pPr>
      <w:r>
        <w:rPr>
          <w:b/>
          <w:bCs/>
          <w:lang w:val="en-GB"/>
        </w:rPr>
        <w:t>(</w:t>
      </w:r>
      <w:r w:rsidR="00D450B5" w:rsidRPr="00044B50">
        <w:rPr>
          <w:b/>
          <w:bCs/>
          <w:lang w:val="en-GB"/>
        </w:rPr>
        <w:t>EASTERN CAPE DIVISION,</w:t>
      </w:r>
      <w:r w:rsidR="00CA22C7">
        <w:rPr>
          <w:b/>
          <w:bCs/>
          <w:lang w:val="en-GB"/>
        </w:rPr>
        <w:t xml:space="preserve"> </w:t>
      </w:r>
      <w:r>
        <w:rPr>
          <w:b/>
          <w:bCs/>
          <w:lang w:val="en-GB"/>
        </w:rPr>
        <w:t>MAKHANDA)</w:t>
      </w:r>
    </w:p>
    <w:p w14:paraId="260381A7" w14:textId="77777777" w:rsidR="00D450B5" w:rsidRPr="00044B50" w:rsidRDefault="00D450B5" w:rsidP="00772E4B">
      <w:pPr>
        <w:widowControl w:val="0"/>
        <w:jc w:val="both"/>
        <w:rPr>
          <w:spacing w:val="14"/>
          <w:kern w:val="2"/>
          <w:u w:val="single"/>
          <w:lang w:val="en-GB"/>
        </w:rPr>
      </w:pPr>
    </w:p>
    <w:p w14:paraId="434E4AD9" w14:textId="2BCA461B" w:rsidR="00D450B5" w:rsidRPr="00044B50" w:rsidRDefault="00D450B5" w:rsidP="0094300A">
      <w:pPr>
        <w:tabs>
          <w:tab w:val="left" w:pos="8931"/>
        </w:tabs>
        <w:ind w:right="89"/>
        <w:jc w:val="center"/>
        <w:rPr>
          <w:b/>
          <w:bCs/>
          <w:lang w:val="en-GB"/>
        </w:rPr>
      </w:pPr>
      <w:r w:rsidRPr="00044B50">
        <w:rPr>
          <w:lang w:val="en-GB"/>
        </w:rPr>
        <w:t xml:space="preserve">                                                                                           </w:t>
      </w:r>
      <w:r w:rsidR="0094300A">
        <w:rPr>
          <w:lang w:val="en-GB"/>
        </w:rPr>
        <w:t xml:space="preserve">        </w:t>
      </w:r>
      <w:r w:rsidR="009E1BBF">
        <w:rPr>
          <w:b/>
          <w:bCs/>
          <w:lang w:val="en-GB"/>
        </w:rPr>
        <w:t>REPORTABLE</w:t>
      </w:r>
      <w:r w:rsidRPr="00044B50">
        <w:rPr>
          <w:b/>
          <w:bCs/>
          <w:lang w:val="en-GB"/>
        </w:rPr>
        <w:t xml:space="preserve">                                     </w:t>
      </w:r>
    </w:p>
    <w:p w14:paraId="101AD6EF" w14:textId="77777777" w:rsidR="008A75F3" w:rsidRDefault="00E44987" w:rsidP="008A75F3">
      <w:pPr>
        <w:jc w:val="center"/>
        <w:rPr>
          <w:lang w:val="en-GB"/>
        </w:rPr>
      </w:pPr>
      <w:r w:rsidRPr="00044B50">
        <w:rPr>
          <w:lang w:val="en-GB"/>
        </w:rPr>
        <w:t xml:space="preserve">                                                                                                  </w:t>
      </w:r>
    </w:p>
    <w:p w14:paraId="4934DB4B" w14:textId="18F6B945" w:rsidR="00E44987" w:rsidRPr="00044B50" w:rsidRDefault="0094300A" w:rsidP="0094300A">
      <w:pPr>
        <w:ind w:left="5760" w:right="89" w:firstLine="720"/>
        <w:rPr>
          <w:lang w:val="en-GB"/>
        </w:rPr>
      </w:pPr>
      <w:r>
        <w:rPr>
          <w:lang w:val="en-GB"/>
        </w:rPr>
        <w:t xml:space="preserve">   </w:t>
      </w:r>
      <w:r w:rsidR="00E44987" w:rsidRPr="00044B50">
        <w:rPr>
          <w:lang w:val="en-GB"/>
        </w:rPr>
        <w:t xml:space="preserve">Case no: </w:t>
      </w:r>
      <w:r w:rsidR="008F3B92">
        <w:rPr>
          <w:lang w:val="en-GB"/>
        </w:rPr>
        <w:t>04/2024</w:t>
      </w:r>
    </w:p>
    <w:p w14:paraId="13EEBE4B" w14:textId="77777777" w:rsidR="00D450B5" w:rsidRPr="00044B50" w:rsidRDefault="00D450B5" w:rsidP="00772E4B">
      <w:pPr>
        <w:widowControl w:val="0"/>
        <w:jc w:val="right"/>
        <w:rPr>
          <w:spacing w:val="14"/>
          <w:kern w:val="2"/>
          <w:lang w:val="en-GB"/>
        </w:rPr>
      </w:pPr>
    </w:p>
    <w:p w14:paraId="49070A0E" w14:textId="0BCDA14B" w:rsidR="00D450B5" w:rsidRPr="00044B50" w:rsidRDefault="00D450B5" w:rsidP="00772E4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14:paraId="2E198784" w14:textId="2CE4C2C0" w:rsidR="00D450B5" w:rsidRPr="00044B50" w:rsidRDefault="00D450B5" w:rsidP="00772E4B">
      <w:pPr>
        <w:widowControl w:val="0"/>
        <w:tabs>
          <w:tab w:val="right" w:pos="8198"/>
        </w:tabs>
        <w:jc w:val="both"/>
        <w:rPr>
          <w:spacing w:val="14"/>
          <w:kern w:val="2"/>
          <w:lang w:val="en-GB"/>
        </w:rPr>
      </w:pPr>
    </w:p>
    <w:p w14:paraId="0D746988" w14:textId="5BE49742" w:rsidR="00D450B5" w:rsidRPr="00797E4E" w:rsidRDefault="008F3B92" w:rsidP="0094300A">
      <w:pPr>
        <w:tabs>
          <w:tab w:val="left" w:pos="6946"/>
        </w:tabs>
        <w:suppressAutoHyphens/>
        <w:ind w:right="-52"/>
        <w:jc w:val="both"/>
        <w:rPr>
          <w:b/>
          <w:bCs/>
          <w:lang w:val="en-GB"/>
        </w:rPr>
      </w:pPr>
      <w:r>
        <w:rPr>
          <w:b/>
          <w:bCs/>
          <w:lang w:val="en-GB"/>
        </w:rPr>
        <w:t>THE STATE</w:t>
      </w:r>
      <w:r w:rsidR="00797E4E" w:rsidRPr="00797E4E">
        <w:rPr>
          <w:b/>
          <w:bCs/>
          <w:lang w:val="en-GB"/>
        </w:rPr>
        <w:t xml:space="preserve"> </w:t>
      </w:r>
      <w:r w:rsidR="00797E4E">
        <w:rPr>
          <w:b/>
          <w:bCs/>
          <w:lang w:val="en-GB"/>
        </w:rPr>
        <w:tab/>
      </w:r>
      <w:r w:rsidR="00797E4E">
        <w:rPr>
          <w:b/>
          <w:bCs/>
          <w:lang w:val="en-GB"/>
        </w:rPr>
        <w:tab/>
      </w:r>
      <w:r w:rsidR="0094300A">
        <w:rPr>
          <w:b/>
          <w:bCs/>
          <w:lang w:val="en-GB"/>
        </w:rPr>
        <w:t xml:space="preserve">         </w:t>
      </w:r>
    </w:p>
    <w:p w14:paraId="50A760EA" w14:textId="77777777" w:rsidR="00F565D0" w:rsidRPr="00044B50" w:rsidRDefault="00F565D0" w:rsidP="00772E4B">
      <w:pPr>
        <w:tabs>
          <w:tab w:val="right" w:pos="9072"/>
        </w:tabs>
        <w:suppressAutoHyphens/>
        <w:jc w:val="both"/>
        <w:rPr>
          <w:lang w:val="en-GB"/>
        </w:rPr>
      </w:pPr>
    </w:p>
    <w:p w14:paraId="460137EF" w14:textId="77777777" w:rsidR="00D450B5" w:rsidRPr="00044B50" w:rsidRDefault="00D450B5" w:rsidP="00772E4B">
      <w:pPr>
        <w:jc w:val="both"/>
        <w:rPr>
          <w:lang w:val="en-GB"/>
        </w:rPr>
      </w:pPr>
      <w:r w:rsidRPr="00044B50">
        <w:rPr>
          <w:lang w:val="en-GB"/>
        </w:rPr>
        <w:t>and</w:t>
      </w:r>
    </w:p>
    <w:p w14:paraId="37CBA823" w14:textId="4B4FCA3C" w:rsidR="00D450B5" w:rsidRPr="00044B50" w:rsidRDefault="00D450B5" w:rsidP="00772E4B">
      <w:pPr>
        <w:jc w:val="both"/>
        <w:rPr>
          <w:lang w:val="en-GB"/>
        </w:rPr>
      </w:pPr>
    </w:p>
    <w:p w14:paraId="4F0E2CE6" w14:textId="0B343AA4" w:rsidR="00C246F2" w:rsidRPr="00797E4E" w:rsidRDefault="00447A78" w:rsidP="0094300A">
      <w:pPr>
        <w:tabs>
          <w:tab w:val="left" w:pos="7513"/>
        </w:tabs>
        <w:ind w:right="-52"/>
        <w:jc w:val="both"/>
        <w:rPr>
          <w:b/>
          <w:bCs/>
          <w:lang w:val="en-GB"/>
        </w:rPr>
      </w:pPr>
      <w:r>
        <w:rPr>
          <w:b/>
          <w:bCs/>
          <w:lang w:val="en-GB"/>
        </w:rPr>
        <w:t>LANDILE TYOLO</w:t>
      </w:r>
      <w:r w:rsidR="00C246F2" w:rsidRPr="00797E4E">
        <w:rPr>
          <w:b/>
          <w:bCs/>
          <w:lang w:val="en-GB"/>
        </w:rPr>
        <w:tab/>
      </w:r>
      <w:r w:rsidR="008F3B92">
        <w:rPr>
          <w:b/>
          <w:bCs/>
          <w:lang w:val="en-GB"/>
        </w:rPr>
        <w:t>Accused</w:t>
      </w:r>
    </w:p>
    <w:p w14:paraId="76889E9C" w14:textId="24974D08" w:rsidR="00D450B5" w:rsidRPr="00044B50" w:rsidRDefault="00D450B5" w:rsidP="00772E4B">
      <w:pPr>
        <w:jc w:val="both"/>
        <w:rPr>
          <w:lang w:val="en-GB"/>
        </w:rPr>
      </w:pPr>
      <w:r w:rsidRPr="00044B50">
        <w:rPr>
          <w:lang w:val="en-GB"/>
        </w:rPr>
        <w:t>__________________________________________________________________</w:t>
      </w:r>
      <w:r w:rsidR="006B1DCE">
        <w:rPr>
          <w:lang w:val="en-GB"/>
        </w:rPr>
        <w:t>_</w:t>
      </w:r>
    </w:p>
    <w:p w14:paraId="37FFD90E" w14:textId="77777777" w:rsidR="0009497C" w:rsidRPr="00044B50" w:rsidRDefault="0009497C" w:rsidP="00772E4B">
      <w:pPr>
        <w:jc w:val="center"/>
        <w:rPr>
          <w:lang w:val="en-GB"/>
        </w:rPr>
      </w:pPr>
    </w:p>
    <w:p w14:paraId="7239B7A9" w14:textId="08665342" w:rsidR="00D450B5" w:rsidRPr="00044B50" w:rsidRDefault="00821746" w:rsidP="00772E4B">
      <w:pPr>
        <w:jc w:val="center"/>
        <w:rPr>
          <w:b/>
          <w:bCs/>
          <w:lang w:val="en-GB"/>
        </w:rPr>
      </w:pPr>
      <w:r>
        <w:rPr>
          <w:b/>
          <w:bCs/>
          <w:lang w:val="en-GB"/>
        </w:rPr>
        <w:t>SENTENCE</w:t>
      </w:r>
    </w:p>
    <w:p w14:paraId="2B47CB4D" w14:textId="77777777" w:rsidR="00D450B5" w:rsidRPr="00044B50" w:rsidRDefault="00D450B5" w:rsidP="00772E4B">
      <w:pPr>
        <w:jc w:val="both"/>
        <w:rPr>
          <w:lang w:val="en-GB"/>
        </w:rPr>
      </w:pPr>
      <w:r w:rsidRPr="00044B50">
        <w:rPr>
          <w:lang w:val="en-GB"/>
        </w:rPr>
        <w:t>___________________________________________________________________</w:t>
      </w:r>
    </w:p>
    <w:p w14:paraId="7C4F1B04" w14:textId="25864082" w:rsidR="00D450B5" w:rsidRPr="00044B50" w:rsidRDefault="00E57C72" w:rsidP="00772E4B">
      <w:pPr>
        <w:jc w:val="both"/>
        <w:rPr>
          <w:b/>
          <w:bCs/>
          <w:lang w:val="en-GB"/>
        </w:rPr>
      </w:pPr>
      <w:r w:rsidRPr="00044B50">
        <w:rPr>
          <w:b/>
          <w:bCs/>
          <w:lang w:val="en-GB"/>
        </w:rPr>
        <w:t>Govindjee</w:t>
      </w:r>
      <w:r w:rsidR="00D450B5" w:rsidRPr="00044B50">
        <w:rPr>
          <w:b/>
          <w:bCs/>
          <w:lang w:val="en-GB"/>
        </w:rPr>
        <w:t xml:space="preserve"> J</w:t>
      </w:r>
    </w:p>
    <w:p w14:paraId="35B5324E" w14:textId="77777777" w:rsidR="00552E93" w:rsidRDefault="00552E93" w:rsidP="00682CE5">
      <w:pPr>
        <w:autoSpaceDE w:val="0"/>
        <w:autoSpaceDN w:val="0"/>
        <w:adjustRightInd w:val="0"/>
        <w:jc w:val="both"/>
        <w:rPr>
          <w:lang w:val="en-GB"/>
        </w:rPr>
      </w:pPr>
    </w:p>
    <w:p w14:paraId="6CEFCFDC" w14:textId="6C30DC40" w:rsidR="007C4DD5" w:rsidRPr="003168AC" w:rsidRDefault="003168AC" w:rsidP="003168AC">
      <w:pPr>
        <w:autoSpaceDE w:val="0"/>
        <w:autoSpaceDN w:val="0"/>
        <w:adjustRightInd w:val="0"/>
        <w:jc w:val="both"/>
        <w:rPr>
          <w:lang w:val="en-GB"/>
        </w:rPr>
      </w:pPr>
      <w:r w:rsidRPr="00FB2CCF">
        <w:rPr>
          <w:lang w:val="en-GB"/>
        </w:rPr>
        <w:t>[1]</w:t>
      </w:r>
      <w:r w:rsidRPr="00FB2CCF">
        <w:rPr>
          <w:lang w:val="en-GB"/>
        </w:rPr>
        <w:tab/>
      </w:r>
      <w:r w:rsidR="00D65C02" w:rsidRPr="003168AC">
        <w:rPr>
          <w:lang w:val="en-GB"/>
        </w:rPr>
        <w:t>Witchcraft has been defined as the practice of using supernatural power for evil, to harm others or to help oneself at the expense of others.</w:t>
      </w:r>
      <w:r w:rsidR="00D65C02">
        <w:rPr>
          <w:rStyle w:val="FootnoteReference"/>
          <w:lang w:val="en-GB"/>
        </w:rPr>
        <w:footnoteReference w:id="1"/>
      </w:r>
      <w:r w:rsidR="00D65C02" w:rsidRPr="003168AC">
        <w:rPr>
          <w:lang w:val="en-GB"/>
        </w:rPr>
        <w:t xml:space="preserve"> </w:t>
      </w:r>
      <w:r w:rsidR="00723312" w:rsidRPr="003168AC">
        <w:rPr>
          <w:lang w:val="en-GB"/>
        </w:rPr>
        <w:t xml:space="preserve">Accused witches </w:t>
      </w:r>
      <w:r w:rsidR="000C72CD" w:rsidRPr="003168AC">
        <w:rPr>
          <w:lang w:val="en-GB"/>
        </w:rPr>
        <w:t xml:space="preserve">or wizards </w:t>
      </w:r>
      <w:r w:rsidR="00723312" w:rsidRPr="003168AC">
        <w:rPr>
          <w:lang w:val="en-GB"/>
        </w:rPr>
        <w:t>can be young or old, male or female.</w:t>
      </w:r>
      <w:r w:rsidR="00723312">
        <w:rPr>
          <w:rStyle w:val="FootnoteReference"/>
          <w:lang w:val="en-GB"/>
        </w:rPr>
        <w:footnoteReference w:id="2"/>
      </w:r>
      <w:r w:rsidR="00723312" w:rsidRPr="003168AC">
        <w:rPr>
          <w:lang w:val="en-GB"/>
        </w:rPr>
        <w:t xml:space="preserve"> </w:t>
      </w:r>
      <w:r w:rsidR="000920A6" w:rsidRPr="003168AC">
        <w:rPr>
          <w:lang w:val="en-GB"/>
        </w:rPr>
        <w:t>According to Tebbe, anthropologists have found that communities tend to suspect members that are elderly, female, disabled, or otherwise marginalised.</w:t>
      </w:r>
      <w:r w:rsidR="000920A6">
        <w:rPr>
          <w:rStyle w:val="FootnoteReference"/>
          <w:lang w:val="en-GB"/>
        </w:rPr>
        <w:footnoteReference w:id="3"/>
      </w:r>
      <w:r w:rsidR="000920A6" w:rsidRPr="003168AC">
        <w:rPr>
          <w:lang w:val="en-GB"/>
        </w:rPr>
        <w:t xml:space="preserve"> </w:t>
      </w:r>
      <w:r w:rsidR="007C4DD5" w:rsidRPr="003168AC">
        <w:rPr>
          <w:lang w:val="en-GB"/>
        </w:rPr>
        <w:t xml:space="preserve">Fear of witchcraft is widespread in South Africa, though </w:t>
      </w:r>
      <w:r w:rsidR="007C4DD5" w:rsidRPr="003168AC">
        <w:rPr>
          <w:lang w:val="en-GB"/>
        </w:rPr>
        <w:lastRenderedPageBreak/>
        <w:t xml:space="preserve">measuring its prevalence </w:t>
      </w:r>
      <w:r w:rsidR="00FB2CCF" w:rsidRPr="003168AC">
        <w:rPr>
          <w:lang w:val="en-GB"/>
        </w:rPr>
        <w:t xml:space="preserve">using rigorous empirical methods </w:t>
      </w:r>
      <w:r w:rsidR="007C4DD5" w:rsidRPr="003168AC">
        <w:rPr>
          <w:lang w:val="en-GB"/>
        </w:rPr>
        <w:t>has seemingly not been attempted nationwide.</w:t>
      </w:r>
      <w:r w:rsidR="00BD2938">
        <w:rPr>
          <w:rStyle w:val="FootnoteReference"/>
          <w:lang w:val="en-GB"/>
        </w:rPr>
        <w:footnoteReference w:id="4"/>
      </w:r>
      <w:r w:rsidR="007C4DD5" w:rsidRPr="003168AC">
        <w:rPr>
          <w:lang w:val="en-GB"/>
        </w:rPr>
        <w:t xml:space="preserve"> </w:t>
      </w:r>
      <w:r w:rsidR="0083453D" w:rsidRPr="003168AC">
        <w:rPr>
          <w:lang w:val="en-GB"/>
        </w:rPr>
        <w:t>The proverb ‘umhlahlo ngamehlo’</w:t>
      </w:r>
      <w:r w:rsidR="005D50BE" w:rsidRPr="003168AC">
        <w:rPr>
          <w:lang w:val="en-GB"/>
        </w:rPr>
        <w:t xml:space="preserve"> (‘to kill someone while everyone is looking’)</w:t>
      </w:r>
      <w:r w:rsidR="0083453D" w:rsidRPr="003168AC">
        <w:rPr>
          <w:lang w:val="en-GB"/>
        </w:rPr>
        <w:t>, according to Mesatywa and Jordan</w:t>
      </w:r>
      <w:r w:rsidR="005D50BE" w:rsidRPr="003168AC">
        <w:rPr>
          <w:lang w:val="en-GB"/>
        </w:rPr>
        <w:t>, tell</w:t>
      </w:r>
      <w:r w:rsidR="00C5198F" w:rsidRPr="003168AC">
        <w:rPr>
          <w:lang w:val="en-GB"/>
        </w:rPr>
        <w:t>s</w:t>
      </w:r>
      <w:r w:rsidR="005D50BE" w:rsidRPr="003168AC">
        <w:rPr>
          <w:lang w:val="en-GB"/>
        </w:rPr>
        <w:t xml:space="preserve"> the story of the practice of </w:t>
      </w:r>
      <w:r w:rsidR="00560709" w:rsidRPr="003168AC">
        <w:rPr>
          <w:lang w:val="en-GB"/>
        </w:rPr>
        <w:t>earlier</w:t>
      </w:r>
      <w:r w:rsidR="005D50BE" w:rsidRPr="003168AC">
        <w:rPr>
          <w:lang w:val="en-GB"/>
        </w:rPr>
        <w:t xml:space="preserve"> time</w:t>
      </w:r>
      <w:r w:rsidR="00560709" w:rsidRPr="003168AC">
        <w:rPr>
          <w:lang w:val="en-GB"/>
        </w:rPr>
        <w:t>s</w:t>
      </w:r>
      <w:r w:rsidR="0083453D" w:rsidRPr="003168AC">
        <w:rPr>
          <w:lang w:val="en-GB"/>
        </w:rPr>
        <w:t xml:space="preserve"> </w:t>
      </w:r>
      <w:r w:rsidR="005D50BE" w:rsidRPr="003168AC">
        <w:rPr>
          <w:lang w:val="en-GB"/>
        </w:rPr>
        <w:t>and the treatment of persons suspected to be witches</w:t>
      </w:r>
      <w:r w:rsidR="00C5198F" w:rsidRPr="003168AC">
        <w:rPr>
          <w:lang w:val="en-GB"/>
        </w:rPr>
        <w:t xml:space="preserve"> in a public gathering</w:t>
      </w:r>
      <w:r w:rsidR="005D50BE" w:rsidRPr="003168AC">
        <w:rPr>
          <w:lang w:val="en-GB"/>
        </w:rPr>
        <w:t>.</w:t>
      </w:r>
      <w:r w:rsidR="007A0692">
        <w:rPr>
          <w:rStyle w:val="FootnoteReference"/>
          <w:lang w:val="en-GB"/>
        </w:rPr>
        <w:footnoteReference w:id="5"/>
      </w:r>
      <w:r w:rsidR="005D50BE" w:rsidRPr="003168AC">
        <w:rPr>
          <w:lang w:val="en-GB"/>
        </w:rPr>
        <w:t xml:space="preserve"> </w:t>
      </w:r>
      <w:r w:rsidR="00FC00AE" w:rsidRPr="003168AC">
        <w:rPr>
          <w:lang w:val="en-GB"/>
        </w:rPr>
        <w:t xml:space="preserve">Some twenty-five years after </w:t>
      </w:r>
      <w:r w:rsidR="00750684" w:rsidRPr="003168AC">
        <w:rPr>
          <w:lang w:val="en-GB"/>
        </w:rPr>
        <w:t>the Commission of Gender Equality’s</w:t>
      </w:r>
      <w:r w:rsidR="00FC00AE" w:rsidRPr="003168AC">
        <w:rPr>
          <w:lang w:val="en-GB"/>
        </w:rPr>
        <w:t xml:space="preserve"> adoption of </w:t>
      </w:r>
      <w:r w:rsidR="00B412B4" w:rsidRPr="003168AC">
        <w:rPr>
          <w:lang w:val="en-GB"/>
        </w:rPr>
        <w:t>t</w:t>
      </w:r>
      <w:r w:rsidR="00FC00AE" w:rsidRPr="003168AC">
        <w:rPr>
          <w:lang w:val="en-GB"/>
        </w:rPr>
        <w:t xml:space="preserve">he Thohoyandou Declaration on Ending Witchcraft Violence, </w:t>
      </w:r>
      <w:r w:rsidR="000850B8" w:rsidRPr="003168AC">
        <w:rPr>
          <w:lang w:val="en-GB"/>
        </w:rPr>
        <w:t>crimes with undertones of witchcraft persist</w:t>
      </w:r>
      <w:r w:rsidR="000D7DF2" w:rsidRPr="003168AC">
        <w:rPr>
          <w:lang w:val="en-GB"/>
        </w:rPr>
        <w:t xml:space="preserve">. </w:t>
      </w:r>
      <w:r w:rsidR="002F3875" w:rsidRPr="003168AC">
        <w:rPr>
          <w:lang w:val="en-GB"/>
        </w:rPr>
        <w:t>Despite various calls and proposals, p</w:t>
      </w:r>
      <w:r w:rsidR="000D7DF2" w:rsidRPr="003168AC">
        <w:rPr>
          <w:lang w:val="en-GB"/>
        </w:rPr>
        <w:t>ost-constitutional national legislation to address the issue has not yet been enacted.</w:t>
      </w:r>
    </w:p>
    <w:p w14:paraId="4EA0AB30" w14:textId="77777777" w:rsidR="007C4DD5" w:rsidRDefault="007C4DD5" w:rsidP="007C4DD5">
      <w:pPr>
        <w:pStyle w:val="ListParagraph"/>
        <w:autoSpaceDE w:val="0"/>
        <w:autoSpaceDN w:val="0"/>
        <w:adjustRightInd w:val="0"/>
        <w:ind w:left="0"/>
        <w:jc w:val="both"/>
        <w:rPr>
          <w:lang w:val="en-GB"/>
        </w:rPr>
      </w:pPr>
    </w:p>
    <w:p w14:paraId="29827DF4" w14:textId="18D3645C" w:rsidR="000C67E0" w:rsidRPr="003168AC" w:rsidRDefault="003168AC" w:rsidP="003168AC">
      <w:pPr>
        <w:autoSpaceDE w:val="0"/>
        <w:autoSpaceDN w:val="0"/>
        <w:adjustRightInd w:val="0"/>
        <w:jc w:val="both"/>
        <w:rPr>
          <w:lang w:val="en-GB"/>
        </w:rPr>
      </w:pPr>
      <w:r>
        <w:rPr>
          <w:lang w:val="en-GB"/>
        </w:rPr>
        <w:t>[2]</w:t>
      </w:r>
      <w:r>
        <w:rPr>
          <w:lang w:val="en-GB"/>
        </w:rPr>
        <w:tab/>
      </w:r>
      <w:r w:rsidR="00956EC3" w:rsidRPr="003168AC">
        <w:rPr>
          <w:lang w:val="en-GB"/>
        </w:rPr>
        <w:t>The Witchcraft Suppression Act, 1957</w:t>
      </w:r>
      <w:r w:rsidR="00FC00AE" w:rsidRPr="003168AC">
        <w:rPr>
          <w:lang w:val="en-GB"/>
        </w:rPr>
        <w:t>,</w:t>
      </w:r>
      <w:r w:rsidR="00956EC3">
        <w:rPr>
          <w:rStyle w:val="FootnoteReference"/>
          <w:lang w:val="en-GB"/>
        </w:rPr>
        <w:footnoteReference w:id="6"/>
      </w:r>
      <w:r w:rsidR="00BD4065" w:rsidRPr="003168AC">
        <w:rPr>
          <w:lang w:val="en-GB"/>
        </w:rPr>
        <w:t xml:space="preserve"> (‘the Act’)</w:t>
      </w:r>
      <w:r w:rsidR="00956EC3" w:rsidRPr="003168AC">
        <w:rPr>
          <w:lang w:val="en-GB"/>
        </w:rPr>
        <w:t xml:space="preserve"> </w:t>
      </w:r>
      <w:r w:rsidR="00E3036B" w:rsidRPr="003168AC">
        <w:rPr>
          <w:lang w:val="en-GB"/>
        </w:rPr>
        <w:t>provides for the suppression of the practice of witchcraft and similar practices. Any person who names or indicates any other person as a ‘wizard’ is guilty of an offence.</w:t>
      </w:r>
      <w:r w:rsidR="009F0F54">
        <w:rPr>
          <w:rStyle w:val="FootnoteReference"/>
          <w:lang w:val="en-GB"/>
        </w:rPr>
        <w:footnoteReference w:id="7"/>
      </w:r>
      <w:r w:rsidR="00E3036B" w:rsidRPr="003168AC">
        <w:rPr>
          <w:lang w:val="en-GB"/>
        </w:rPr>
        <w:t xml:space="preserve"> Where a person in respect of whom such offence was committed has been killed, imprisonment for a period not exceeding twenty years is appropriate</w:t>
      </w:r>
      <w:r w:rsidR="00911C4B" w:rsidRPr="003168AC">
        <w:rPr>
          <w:lang w:val="en-GB"/>
        </w:rPr>
        <w:t xml:space="preserve"> for the commission of the statutory offence.</w:t>
      </w:r>
      <w:r w:rsidR="00823BC4">
        <w:rPr>
          <w:rStyle w:val="FootnoteReference"/>
          <w:lang w:val="en-GB"/>
        </w:rPr>
        <w:footnoteReference w:id="8"/>
      </w:r>
      <w:r w:rsidR="00B55A9B" w:rsidRPr="003168AC">
        <w:rPr>
          <w:lang w:val="en-GB"/>
        </w:rPr>
        <w:t xml:space="preserve"> Murder, when the death of the victim resulted from, or is directly related to, any offence contemplated in s</w:t>
      </w:r>
      <w:r w:rsidR="00E860EB" w:rsidRPr="003168AC">
        <w:rPr>
          <w:lang w:val="en-GB"/>
        </w:rPr>
        <w:t>s</w:t>
      </w:r>
      <w:r w:rsidR="00B55A9B" w:rsidRPr="003168AC">
        <w:rPr>
          <w:lang w:val="en-GB"/>
        </w:rPr>
        <w:t xml:space="preserve"> 1(</w:t>
      </w:r>
      <w:r w:rsidR="00B55A9B" w:rsidRPr="003168AC">
        <w:rPr>
          <w:i/>
          <w:iCs/>
          <w:lang w:val="en-GB"/>
        </w:rPr>
        <w:t>a</w:t>
      </w:r>
      <w:r w:rsidR="00B55A9B" w:rsidRPr="003168AC">
        <w:rPr>
          <w:lang w:val="en-GB"/>
        </w:rPr>
        <w:t>) to (</w:t>
      </w:r>
      <w:r w:rsidR="00B55A9B" w:rsidRPr="003168AC">
        <w:rPr>
          <w:i/>
          <w:iCs/>
          <w:lang w:val="en-GB"/>
        </w:rPr>
        <w:t>e</w:t>
      </w:r>
      <w:r w:rsidR="00B55A9B" w:rsidRPr="003168AC">
        <w:rPr>
          <w:lang w:val="en-GB"/>
        </w:rPr>
        <w:t xml:space="preserve">) of the </w:t>
      </w:r>
      <w:r w:rsidR="00E860EB" w:rsidRPr="003168AC">
        <w:rPr>
          <w:lang w:val="en-GB"/>
        </w:rPr>
        <w:t>Act</w:t>
      </w:r>
      <w:r w:rsidR="00B55A9B" w:rsidRPr="003168AC">
        <w:rPr>
          <w:lang w:val="en-GB"/>
        </w:rPr>
        <w:t xml:space="preserve"> is an offence in Part I of Schedule 2 of the Criminal Law Amendment Act, 19</w:t>
      </w:r>
      <w:r w:rsidR="00C66542" w:rsidRPr="003168AC">
        <w:rPr>
          <w:lang w:val="en-GB"/>
        </w:rPr>
        <w:t>9</w:t>
      </w:r>
      <w:r w:rsidR="00B55A9B" w:rsidRPr="003168AC">
        <w:rPr>
          <w:lang w:val="en-GB"/>
        </w:rPr>
        <w:t>7</w:t>
      </w:r>
      <w:r w:rsidR="000968DB" w:rsidRPr="003168AC">
        <w:rPr>
          <w:lang w:val="en-GB"/>
        </w:rPr>
        <w:t>.</w:t>
      </w:r>
      <w:r w:rsidR="00B55A9B">
        <w:rPr>
          <w:rStyle w:val="FootnoteReference"/>
          <w:lang w:val="en-GB"/>
        </w:rPr>
        <w:footnoteReference w:id="9"/>
      </w:r>
      <w:r w:rsidR="000968DB" w:rsidRPr="003168AC">
        <w:rPr>
          <w:lang w:val="en-GB"/>
        </w:rPr>
        <w:t xml:space="preserve"> As is the case with murder when planned or premeditated, a discretionary minimum sentence of imprisonment for life is prescribed, unless the court is satisfied that substantial and compelling circumstances exist which justify the imposition of a lesser sentence.</w:t>
      </w:r>
      <w:r w:rsidR="00BE43B2">
        <w:rPr>
          <w:rStyle w:val="FootnoteReference"/>
          <w:lang w:val="en-GB"/>
        </w:rPr>
        <w:footnoteReference w:id="10"/>
      </w:r>
    </w:p>
    <w:p w14:paraId="1B704E1E" w14:textId="0DF08FAF" w:rsidR="008E2551" w:rsidRDefault="008E2551" w:rsidP="008E2551">
      <w:pPr>
        <w:pStyle w:val="ListParagraph"/>
        <w:rPr>
          <w:lang w:val="en-GB"/>
        </w:rPr>
      </w:pPr>
    </w:p>
    <w:p w14:paraId="60C4F33B" w14:textId="77777777" w:rsidR="00C62A02" w:rsidRPr="008E2551" w:rsidRDefault="00C62A02" w:rsidP="008E2551">
      <w:pPr>
        <w:pStyle w:val="ListParagraph"/>
        <w:rPr>
          <w:lang w:val="en-GB"/>
        </w:rPr>
      </w:pPr>
    </w:p>
    <w:p w14:paraId="69E15385" w14:textId="1AF14BC0" w:rsidR="00816C2F" w:rsidRPr="00552E93" w:rsidRDefault="00816C2F" w:rsidP="00816C2F">
      <w:pPr>
        <w:rPr>
          <w:b/>
          <w:bCs/>
          <w:lang w:val="en-GB"/>
        </w:rPr>
      </w:pPr>
      <w:r>
        <w:rPr>
          <w:b/>
          <w:bCs/>
          <w:lang w:val="en-GB"/>
        </w:rPr>
        <w:lastRenderedPageBreak/>
        <w:t xml:space="preserve">Nature of the </w:t>
      </w:r>
      <w:r w:rsidR="00A35D48">
        <w:rPr>
          <w:b/>
          <w:bCs/>
          <w:lang w:val="en-GB"/>
        </w:rPr>
        <w:t>crimes</w:t>
      </w:r>
    </w:p>
    <w:p w14:paraId="46D2EB67" w14:textId="77777777" w:rsidR="00816C2F" w:rsidRPr="00816C2F" w:rsidRDefault="00816C2F" w:rsidP="00816C2F">
      <w:pPr>
        <w:rPr>
          <w:b/>
          <w:bCs/>
          <w:lang w:val="en-GB"/>
        </w:rPr>
      </w:pPr>
    </w:p>
    <w:p w14:paraId="578019DE" w14:textId="0C5B4E97" w:rsidR="00816C2F" w:rsidRPr="003168AC" w:rsidRDefault="003168AC" w:rsidP="003168AC">
      <w:pPr>
        <w:autoSpaceDE w:val="0"/>
        <w:autoSpaceDN w:val="0"/>
        <w:adjustRightInd w:val="0"/>
        <w:jc w:val="both"/>
        <w:rPr>
          <w:lang w:val="en-GB"/>
        </w:rPr>
      </w:pPr>
      <w:r>
        <w:rPr>
          <w:lang w:val="en-GB"/>
        </w:rPr>
        <w:t>[3]</w:t>
      </w:r>
      <w:r>
        <w:rPr>
          <w:lang w:val="en-GB"/>
        </w:rPr>
        <w:tab/>
      </w:r>
      <w:r w:rsidR="00DF3C3F" w:rsidRPr="003168AC">
        <w:rPr>
          <w:lang w:val="en-GB"/>
        </w:rPr>
        <w:t xml:space="preserve">Mr Tyolo travelled from Cape Town to East London and stayed with his brother and sister-in-law in a shack in their yard between September 2022 and 3 December 2022. Upon arrival in East London, he discovered that another brother, </w:t>
      </w:r>
      <w:r w:rsidR="0022367A" w:rsidRPr="003168AC">
        <w:rPr>
          <w:lang w:val="en-GB"/>
        </w:rPr>
        <w:t xml:space="preserve">Sibongile, </w:t>
      </w:r>
      <w:r w:rsidR="00DF3C3F" w:rsidRPr="003168AC">
        <w:rPr>
          <w:lang w:val="en-GB"/>
        </w:rPr>
        <w:t xml:space="preserve">who had grown up with him, was very ill. </w:t>
      </w:r>
      <w:r w:rsidR="0022367A" w:rsidRPr="003168AC">
        <w:rPr>
          <w:lang w:val="en-GB"/>
        </w:rPr>
        <w:t>Sibongile</w:t>
      </w:r>
      <w:r w:rsidR="00DF3C3F" w:rsidRPr="003168AC">
        <w:rPr>
          <w:lang w:val="en-GB"/>
        </w:rPr>
        <w:t xml:space="preserve"> suffered from a severe bloated stomach that required periodic hospitalisation. </w:t>
      </w:r>
      <w:r w:rsidR="00F33D3F" w:rsidRPr="003168AC">
        <w:rPr>
          <w:lang w:val="en-GB"/>
        </w:rPr>
        <w:t>The condition worsened despite m</w:t>
      </w:r>
      <w:r w:rsidR="00DF3C3F" w:rsidRPr="003168AC">
        <w:rPr>
          <w:lang w:val="en-GB"/>
        </w:rPr>
        <w:t>edical treatment, especially during November 2022. Mr Tyolo</w:t>
      </w:r>
      <w:r w:rsidR="00C87F96" w:rsidRPr="003168AC">
        <w:rPr>
          <w:lang w:val="en-GB"/>
        </w:rPr>
        <w:t xml:space="preserve"> </w:t>
      </w:r>
      <w:r w:rsidR="00DF3C3F" w:rsidRPr="003168AC">
        <w:rPr>
          <w:lang w:val="en-GB"/>
        </w:rPr>
        <w:t xml:space="preserve">felt helpless </w:t>
      </w:r>
      <w:r w:rsidR="00C87F96" w:rsidRPr="003168AC">
        <w:rPr>
          <w:lang w:val="en-GB"/>
        </w:rPr>
        <w:t>and upset, having</w:t>
      </w:r>
      <w:r w:rsidR="00DF3C3F" w:rsidRPr="003168AC">
        <w:rPr>
          <w:lang w:val="en-GB"/>
        </w:rPr>
        <w:t xml:space="preserve"> offer</w:t>
      </w:r>
      <w:r w:rsidR="00C87F96" w:rsidRPr="003168AC">
        <w:rPr>
          <w:lang w:val="en-GB"/>
        </w:rPr>
        <w:t>ed</w:t>
      </w:r>
      <w:r w:rsidR="00DF3C3F" w:rsidRPr="003168AC">
        <w:rPr>
          <w:lang w:val="en-GB"/>
        </w:rPr>
        <w:t xml:space="preserve"> whatever assistance was possible, including financial support towards treatment and transport. </w:t>
      </w:r>
    </w:p>
    <w:p w14:paraId="050933AB" w14:textId="77777777" w:rsidR="004479CC" w:rsidRDefault="004479CC" w:rsidP="004479CC">
      <w:pPr>
        <w:pStyle w:val="ListParagraph"/>
        <w:autoSpaceDE w:val="0"/>
        <w:autoSpaceDN w:val="0"/>
        <w:adjustRightInd w:val="0"/>
        <w:ind w:left="0"/>
        <w:jc w:val="both"/>
        <w:rPr>
          <w:lang w:val="en-GB"/>
        </w:rPr>
      </w:pPr>
    </w:p>
    <w:p w14:paraId="0C7E0847" w14:textId="423B3C1D" w:rsidR="004479CC" w:rsidRPr="003168AC" w:rsidRDefault="003168AC" w:rsidP="003168AC">
      <w:pPr>
        <w:autoSpaceDE w:val="0"/>
        <w:autoSpaceDN w:val="0"/>
        <w:adjustRightInd w:val="0"/>
        <w:jc w:val="both"/>
        <w:rPr>
          <w:lang w:val="en-GB"/>
        </w:rPr>
      </w:pPr>
      <w:r>
        <w:rPr>
          <w:lang w:val="en-GB"/>
        </w:rPr>
        <w:t>[4]</w:t>
      </w:r>
      <w:r>
        <w:rPr>
          <w:lang w:val="en-GB"/>
        </w:rPr>
        <w:tab/>
      </w:r>
      <w:r w:rsidR="0022367A" w:rsidRPr="003168AC">
        <w:rPr>
          <w:lang w:val="en-GB"/>
        </w:rPr>
        <w:t xml:space="preserve">By December 2022, Mr Tyolo came to believe that his aunt, the deceased, was responsible for Sibongile’s condition in that she had bewitched him, blaming her for his condition. </w:t>
      </w:r>
      <w:r w:rsidR="002003E2" w:rsidRPr="003168AC">
        <w:rPr>
          <w:lang w:val="en-GB"/>
        </w:rPr>
        <w:t>Mr Tyolo and the deceased attended a traditional ceremony on 3 December 2022. He consumed a lot of liquor, mixing brandy with other kinds of alcohol. At some point during the day, and in the company of his sister and Sibongile, he said ‘that the deceased was a witch using witchcraft that was causing Sibongile’s illness’. He then decided to kill the deceased because of what she had done. He offered the deceased a place to sleep at his residence, intending to kill her there. He walked with her to his shack. Upon arrival, he assaulted the deceased, using a panga-like object to cause her death</w:t>
      </w:r>
      <w:r w:rsidR="0069715B" w:rsidRPr="003168AC">
        <w:rPr>
          <w:lang w:val="en-GB"/>
        </w:rPr>
        <w:t>, striking her several times in the head area, as reflected</w:t>
      </w:r>
      <w:r w:rsidR="002003E2" w:rsidRPr="003168AC">
        <w:rPr>
          <w:lang w:val="en-GB"/>
        </w:rPr>
        <w:t xml:space="preserve"> in the post-mortem examination</w:t>
      </w:r>
      <w:r w:rsidR="0069715B" w:rsidRPr="003168AC">
        <w:rPr>
          <w:lang w:val="en-GB"/>
        </w:rPr>
        <w:t>.</w:t>
      </w:r>
      <w:r w:rsidR="008B3920" w:rsidRPr="003168AC">
        <w:rPr>
          <w:lang w:val="en-GB"/>
        </w:rPr>
        <w:t xml:space="preserve"> The chief post-mortem findings were multiple lacerations on the left side of the face, multiple skull fractures, subdural </w:t>
      </w:r>
      <w:r w:rsidR="00271A4F" w:rsidRPr="003168AC">
        <w:rPr>
          <w:lang w:val="en-GB"/>
        </w:rPr>
        <w:t>haemorrhages,</w:t>
      </w:r>
      <w:r w:rsidR="008B3920" w:rsidRPr="003168AC">
        <w:rPr>
          <w:lang w:val="en-GB"/>
        </w:rPr>
        <w:t xml:space="preserve"> and haemorrhage-strained muscles (neck).</w:t>
      </w:r>
      <w:r w:rsidR="004C3B62" w:rsidRPr="003168AC">
        <w:rPr>
          <w:lang w:val="en-GB"/>
        </w:rPr>
        <w:t xml:space="preserve"> </w:t>
      </w:r>
      <w:r w:rsidR="00EB59F3" w:rsidRPr="003168AC">
        <w:rPr>
          <w:lang w:val="en-GB"/>
        </w:rPr>
        <w:t xml:space="preserve">The facial lacerations measured 10 to 15 centimetres in length. </w:t>
      </w:r>
      <w:r w:rsidR="004C3B62" w:rsidRPr="003168AC">
        <w:rPr>
          <w:lang w:val="en-GB"/>
        </w:rPr>
        <w:t>The cause of death was traumatic head injury.</w:t>
      </w:r>
    </w:p>
    <w:p w14:paraId="1A1AF5C6" w14:textId="77777777" w:rsidR="002003E2" w:rsidRPr="002003E2" w:rsidRDefault="002003E2" w:rsidP="002003E2">
      <w:pPr>
        <w:pStyle w:val="ListParagraph"/>
        <w:rPr>
          <w:lang w:val="en-GB"/>
        </w:rPr>
      </w:pPr>
    </w:p>
    <w:p w14:paraId="7816B497" w14:textId="63DACD92" w:rsidR="002003E2" w:rsidRPr="003168AC" w:rsidRDefault="003168AC" w:rsidP="003168AC">
      <w:pPr>
        <w:autoSpaceDE w:val="0"/>
        <w:autoSpaceDN w:val="0"/>
        <w:adjustRightInd w:val="0"/>
        <w:jc w:val="both"/>
        <w:rPr>
          <w:lang w:val="en-GB"/>
        </w:rPr>
      </w:pPr>
      <w:r>
        <w:rPr>
          <w:lang w:val="en-GB"/>
        </w:rPr>
        <w:t>[5]</w:t>
      </w:r>
      <w:r>
        <w:rPr>
          <w:lang w:val="en-GB"/>
        </w:rPr>
        <w:tab/>
      </w:r>
      <w:r w:rsidR="0069715B" w:rsidRPr="003168AC">
        <w:rPr>
          <w:lang w:val="en-GB"/>
        </w:rPr>
        <w:t xml:space="preserve">During the assault, </w:t>
      </w:r>
      <w:r w:rsidR="006C356C" w:rsidRPr="003168AC">
        <w:rPr>
          <w:lang w:val="en-GB"/>
        </w:rPr>
        <w:t xml:space="preserve">Mr Tyolo also threatened </w:t>
      </w:r>
      <w:r w:rsidR="0069715B" w:rsidRPr="003168AC">
        <w:rPr>
          <w:lang w:val="en-GB"/>
        </w:rPr>
        <w:t>his brother and sister-in-law</w:t>
      </w:r>
      <w:r w:rsidR="006C356C" w:rsidRPr="003168AC">
        <w:rPr>
          <w:lang w:val="en-GB"/>
        </w:rPr>
        <w:t xml:space="preserve">, </w:t>
      </w:r>
      <w:r w:rsidR="00552E93" w:rsidRPr="003168AC">
        <w:rPr>
          <w:lang w:val="en-GB"/>
        </w:rPr>
        <w:t>to</w:t>
      </w:r>
      <w:r w:rsidR="006C356C" w:rsidRPr="003168AC">
        <w:rPr>
          <w:lang w:val="en-GB"/>
        </w:rPr>
        <w:t xml:space="preserve"> prevent their attempts to intervene.</w:t>
      </w:r>
      <w:r w:rsidR="006E4622" w:rsidRPr="003168AC">
        <w:rPr>
          <w:lang w:val="en-GB"/>
        </w:rPr>
        <w:t xml:space="preserve"> Havin</w:t>
      </w:r>
      <w:r w:rsidR="00552E93" w:rsidRPr="003168AC">
        <w:rPr>
          <w:lang w:val="en-GB"/>
        </w:rPr>
        <w:t>g</w:t>
      </w:r>
      <w:r w:rsidR="006E4622" w:rsidRPr="003168AC">
        <w:rPr>
          <w:lang w:val="en-GB"/>
        </w:rPr>
        <w:t xml:space="preserve"> killed the deceased, Mr Tyolo took her body and placed it in the road. He later told his sister that he had killed </w:t>
      </w:r>
      <w:r w:rsidR="00FD4867" w:rsidRPr="003168AC">
        <w:rPr>
          <w:lang w:val="en-GB"/>
        </w:rPr>
        <w:t>the deceased</w:t>
      </w:r>
      <w:r w:rsidR="006E4622" w:rsidRPr="003168AC">
        <w:rPr>
          <w:lang w:val="en-GB"/>
        </w:rPr>
        <w:t xml:space="preserve"> because she had caused Sibongile’s illness through witchcraft.</w:t>
      </w:r>
      <w:r w:rsidR="00682693" w:rsidRPr="003168AC">
        <w:rPr>
          <w:lang w:val="en-GB"/>
        </w:rPr>
        <w:t xml:space="preserve"> </w:t>
      </w:r>
    </w:p>
    <w:p w14:paraId="5EE4B0E3" w14:textId="77777777" w:rsidR="00DF3C3F" w:rsidRDefault="00DF3C3F" w:rsidP="00DF3C3F">
      <w:pPr>
        <w:pStyle w:val="ListParagraph"/>
        <w:autoSpaceDE w:val="0"/>
        <w:autoSpaceDN w:val="0"/>
        <w:adjustRightInd w:val="0"/>
        <w:ind w:left="0"/>
        <w:jc w:val="both"/>
        <w:rPr>
          <w:lang w:val="en-GB"/>
        </w:rPr>
      </w:pPr>
    </w:p>
    <w:p w14:paraId="09FB3841" w14:textId="589C4F68" w:rsidR="00DF3C3F" w:rsidRPr="003168AC" w:rsidRDefault="003168AC" w:rsidP="003168AC">
      <w:pPr>
        <w:autoSpaceDE w:val="0"/>
        <w:autoSpaceDN w:val="0"/>
        <w:adjustRightInd w:val="0"/>
        <w:jc w:val="both"/>
        <w:rPr>
          <w:lang w:val="en-GB"/>
        </w:rPr>
      </w:pPr>
      <w:r>
        <w:rPr>
          <w:lang w:val="en-GB"/>
        </w:rPr>
        <w:t>[6]</w:t>
      </w:r>
      <w:r>
        <w:rPr>
          <w:lang w:val="en-GB"/>
        </w:rPr>
        <w:tab/>
      </w:r>
      <w:r w:rsidR="004E59F3" w:rsidRPr="003168AC">
        <w:rPr>
          <w:lang w:val="en-GB"/>
        </w:rPr>
        <w:t>Mr Tyolo was convicted by this court of the offence of naming or indicating another person as a wizard in contravention of s 1(</w:t>
      </w:r>
      <w:r w:rsidR="004E59F3" w:rsidRPr="003168AC">
        <w:rPr>
          <w:i/>
          <w:iCs/>
          <w:lang w:val="en-GB"/>
        </w:rPr>
        <w:t>a</w:t>
      </w:r>
      <w:r w:rsidR="004E59F3" w:rsidRPr="003168AC">
        <w:rPr>
          <w:lang w:val="en-GB"/>
        </w:rPr>
        <w:t xml:space="preserve">), read with s 2, of the </w:t>
      </w:r>
      <w:r w:rsidR="00DF2217" w:rsidRPr="003168AC">
        <w:rPr>
          <w:lang w:val="en-GB"/>
        </w:rPr>
        <w:t xml:space="preserve">Act </w:t>
      </w:r>
      <w:r w:rsidR="004E59F3" w:rsidRPr="003168AC">
        <w:rPr>
          <w:lang w:val="en-GB"/>
        </w:rPr>
        <w:t xml:space="preserve">and of murder. </w:t>
      </w:r>
      <w:r w:rsidR="00536965" w:rsidRPr="003168AC">
        <w:rPr>
          <w:lang w:val="en-GB"/>
        </w:rPr>
        <w:t xml:space="preserve">The offences are </w:t>
      </w:r>
      <w:r w:rsidR="00E14B24" w:rsidRPr="003168AC">
        <w:rPr>
          <w:lang w:val="en-GB"/>
        </w:rPr>
        <w:t xml:space="preserve">extremely serious. The photographs submitted by the State </w:t>
      </w:r>
      <w:r w:rsidR="00E14B24" w:rsidRPr="003168AC">
        <w:rPr>
          <w:lang w:val="en-GB"/>
        </w:rPr>
        <w:lastRenderedPageBreak/>
        <w:t xml:space="preserve">depict </w:t>
      </w:r>
      <w:r w:rsidR="00C258A1" w:rsidRPr="003168AC">
        <w:rPr>
          <w:lang w:val="en-GB"/>
        </w:rPr>
        <w:t xml:space="preserve">a gruesome attack that resulted in the death of the deceased. </w:t>
      </w:r>
      <w:r w:rsidR="00F27459" w:rsidRPr="003168AC">
        <w:rPr>
          <w:lang w:val="en-GB"/>
        </w:rPr>
        <w:t xml:space="preserve">That attack was </w:t>
      </w:r>
      <w:r w:rsidR="00A55801" w:rsidRPr="003168AC">
        <w:rPr>
          <w:lang w:val="en-GB"/>
        </w:rPr>
        <w:t xml:space="preserve">planned or </w:t>
      </w:r>
      <w:r w:rsidR="00F27459" w:rsidRPr="003168AC">
        <w:rPr>
          <w:lang w:val="en-GB"/>
        </w:rPr>
        <w:t>premeditated</w:t>
      </w:r>
      <w:r w:rsidR="00302D10" w:rsidRPr="003168AC">
        <w:rPr>
          <w:lang w:val="en-GB"/>
        </w:rPr>
        <w:t xml:space="preserve"> and perpetrated on an elderly </w:t>
      </w:r>
      <w:r w:rsidR="001E5F3D" w:rsidRPr="003168AC">
        <w:rPr>
          <w:lang w:val="en-GB"/>
        </w:rPr>
        <w:t>female</w:t>
      </w:r>
      <w:r w:rsidR="009D00A6" w:rsidRPr="003168AC">
        <w:rPr>
          <w:lang w:val="en-GB"/>
        </w:rPr>
        <w:t xml:space="preserve"> relative</w:t>
      </w:r>
      <w:r w:rsidR="00F27459" w:rsidRPr="003168AC">
        <w:rPr>
          <w:lang w:val="en-GB"/>
        </w:rPr>
        <w:t xml:space="preserve">. </w:t>
      </w:r>
    </w:p>
    <w:p w14:paraId="5CFCE1B3" w14:textId="0E3E540B" w:rsidR="00A35D48" w:rsidRDefault="00A35D48" w:rsidP="00A35D48">
      <w:pPr>
        <w:rPr>
          <w:lang w:val="en-GB"/>
        </w:rPr>
      </w:pPr>
    </w:p>
    <w:p w14:paraId="082AEFE8" w14:textId="4616D6DB" w:rsidR="00A35D48" w:rsidRDefault="00A35D48" w:rsidP="00A35D48">
      <w:pPr>
        <w:rPr>
          <w:b/>
          <w:bCs/>
          <w:lang w:val="en-GB"/>
        </w:rPr>
      </w:pPr>
      <w:r>
        <w:rPr>
          <w:b/>
          <w:bCs/>
          <w:lang w:val="en-GB"/>
        </w:rPr>
        <w:t>The accused’s circumstances and interests</w:t>
      </w:r>
    </w:p>
    <w:p w14:paraId="753D60C7" w14:textId="77777777" w:rsidR="00A35D48" w:rsidRPr="00A35D48" w:rsidRDefault="00A35D48" w:rsidP="00A35D48">
      <w:pPr>
        <w:rPr>
          <w:b/>
          <w:bCs/>
          <w:lang w:val="en-GB"/>
        </w:rPr>
      </w:pPr>
    </w:p>
    <w:p w14:paraId="0A9A5007" w14:textId="77DEDF4A" w:rsidR="00A35D48" w:rsidRPr="003168AC" w:rsidRDefault="003168AC" w:rsidP="003168AC">
      <w:pPr>
        <w:autoSpaceDE w:val="0"/>
        <w:autoSpaceDN w:val="0"/>
        <w:adjustRightInd w:val="0"/>
        <w:jc w:val="both"/>
        <w:rPr>
          <w:lang w:val="en-GB"/>
        </w:rPr>
      </w:pPr>
      <w:r>
        <w:rPr>
          <w:lang w:val="en-GB"/>
        </w:rPr>
        <w:t>[7]</w:t>
      </w:r>
      <w:r>
        <w:rPr>
          <w:lang w:val="en-GB"/>
        </w:rPr>
        <w:tab/>
      </w:r>
      <w:r w:rsidR="00FF54DA" w:rsidRPr="003168AC">
        <w:rPr>
          <w:lang w:val="en-GB"/>
        </w:rPr>
        <w:t xml:space="preserve">Mr </w:t>
      </w:r>
      <w:r w:rsidR="00FF54DA" w:rsidRPr="003168AC">
        <w:rPr>
          <w:i/>
          <w:iCs/>
          <w:lang w:val="en-GB"/>
        </w:rPr>
        <w:t>Geldenhuys</w:t>
      </w:r>
      <w:r w:rsidR="00FF54DA" w:rsidRPr="003168AC">
        <w:rPr>
          <w:lang w:val="en-GB"/>
        </w:rPr>
        <w:t>, representing Mr Tyolo, described his personal circumstances, no evidence having been led in mitigation.</w:t>
      </w:r>
      <w:r w:rsidR="00FF54DA" w:rsidRPr="003168AC">
        <w:rPr>
          <w:i/>
          <w:iCs/>
          <w:lang w:val="en-GB"/>
        </w:rPr>
        <w:t xml:space="preserve"> </w:t>
      </w:r>
      <w:r w:rsidR="0038501E" w:rsidRPr="003168AC">
        <w:rPr>
          <w:lang w:val="en-GB"/>
        </w:rPr>
        <w:t>Mr Tyolo is 46 years of age, unmarried with two children who live with their mother. He left school during standard eight. While in Cape Town he was self-employed, repairing shoes and selling traditional medicines and earning between R4000 and R5000 per month. Part of this income was used to support his children, who are aged 12 and 16.</w:t>
      </w:r>
    </w:p>
    <w:p w14:paraId="0F0F4ED8" w14:textId="77777777" w:rsidR="007E4237" w:rsidRDefault="007E4237" w:rsidP="007E4237">
      <w:pPr>
        <w:pStyle w:val="ListParagraph"/>
        <w:autoSpaceDE w:val="0"/>
        <w:autoSpaceDN w:val="0"/>
        <w:adjustRightInd w:val="0"/>
        <w:ind w:left="0"/>
        <w:jc w:val="both"/>
        <w:rPr>
          <w:lang w:val="en-GB"/>
        </w:rPr>
      </w:pPr>
    </w:p>
    <w:p w14:paraId="429C8E81" w14:textId="2C6C8D7E" w:rsidR="007E4237" w:rsidRPr="003168AC" w:rsidRDefault="003168AC" w:rsidP="003168AC">
      <w:pPr>
        <w:autoSpaceDE w:val="0"/>
        <w:autoSpaceDN w:val="0"/>
        <w:adjustRightInd w:val="0"/>
        <w:jc w:val="both"/>
        <w:rPr>
          <w:lang w:val="en-GB"/>
        </w:rPr>
      </w:pPr>
      <w:r>
        <w:rPr>
          <w:lang w:val="en-GB"/>
        </w:rPr>
        <w:t>[8]</w:t>
      </w:r>
      <w:r>
        <w:rPr>
          <w:lang w:val="en-GB"/>
        </w:rPr>
        <w:tab/>
      </w:r>
      <w:r w:rsidR="002051B8" w:rsidRPr="003168AC">
        <w:rPr>
          <w:lang w:val="en-GB"/>
        </w:rPr>
        <w:t xml:space="preserve">The State proved that </w:t>
      </w:r>
      <w:r w:rsidR="007E4237" w:rsidRPr="003168AC">
        <w:rPr>
          <w:lang w:val="en-GB"/>
        </w:rPr>
        <w:t>Mr Tyolo was convicted of rape during 2002</w:t>
      </w:r>
      <w:r w:rsidR="002051B8" w:rsidRPr="003168AC">
        <w:rPr>
          <w:lang w:val="en-GB"/>
        </w:rPr>
        <w:t xml:space="preserve">, and sentenced to 15 years imprisonment. He was released on parole </w:t>
      </w:r>
      <w:r w:rsidR="008D096D" w:rsidRPr="003168AC">
        <w:rPr>
          <w:lang w:val="en-GB"/>
        </w:rPr>
        <w:t>on</w:t>
      </w:r>
      <w:r w:rsidR="002051B8" w:rsidRPr="003168AC">
        <w:rPr>
          <w:lang w:val="en-GB"/>
        </w:rPr>
        <w:t xml:space="preserve"> 31 March 2010. </w:t>
      </w:r>
      <w:r w:rsidR="008D096D" w:rsidRPr="003168AC">
        <w:rPr>
          <w:lang w:val="en-GB"/>
        </w:rPr>
        <w:t>He pleaded guilty to both offences in this court and has been in custody since his arrest in December 2022.</w:t>
      </w:r>
      <w:r w:rsidR="00FF54DA" w:rsidRPr="003168AC">
        <w:rPr>
          <w:lang w:val="en-GB"/>
        </w:rPr>
        <w:t xml:space="preserve"> </w:t>
      </w:r>
    </w:p>
    <w:p w14:paraId="0A921EAB" w14:textId="77777777" w:rsidR="00FF54DA" w:rsidRPr="00FF54DA" w:rsidRDefault="00FF54DA" w:rsidP="00FF54DA">
      <w:pPr>
        <w:pStyle w:val="ListParagraph"/>
        <w:rPr>
          <w:lang w:val="en-GB"/>
        </w:rPr>
      </w:pPr>
    </w:p>
    <w:p w14:paraId="42607C6C" w14:textId="6AC26736" w:rsidR="00FF54DA" w:rsidRPr="003168AC" w:rsidRDefault="003168AC" w:rsidP="003168AC">
      <w:pPr>
        <w:autoSpaceDE w:val="0"/>
        <w:autoSpaceDN w:val="0"/>
        <w:adjustRightInd w:val="0"/>
        <w:jc w:val="both"/>
        <w:rPr>
          <w:lang w:val="en-GB"/>
        </w:rPr>
      </w:pPr>
      <w:r>
        <w:rPr>
          <w:lang w:val="en-GB"/>
        </w:rPr>
        <w:t>[9]</w:t>
      </w:r>
      <w:r>
        <w:rPr>
          <w:lang w:val="en-GB"/>
        </w:rPr>
        <w:tab/>
      </w:r>
      <w:r w:rsidR="00B577D2" w:rsidRPr="003168AC">
        <w:rPr>
          <w:lang w:val="en-GB"/>
        </w:rPr>
        <w:t xml:space="preserve">In arguing for the cumulative existence of substantial and compelling considerations, </w:t>
      </w:r>
      <w:r w:rsidR="00FF54DA" w:rsidRPr="003168AC">
        <w:rPr>
          <w:lang w:val="en-GB"/>
        </w:rPr>
        <w:t xml:space="preserve">Mr </w:t>
      </w:r>
      <w:r w:rsidR="00FF54DA" w:rsidRPr="003168AC">
        <w:rPr>
          <w:i/>
          <w:iCs/>
          <w:lang w:val="en-GB"/>
        </w:rPr>
        <w:t>Geldenhuys</w:t>
      </w:r>
      <w:r w:rsidR="00454218" w:rsidRPr="003168AC">
        <w:rPr>
          <w:lang w:val="en-GB"/>
        </w:rPr>
        <w:t xml:space="preserve"> </w:t>
      </w:r>
      <w:r w:rsidR="00FF54DA" w:rsidRPr="003168AC">
        <w:rPr>
          <w:lang w:val="en-GB"/>
        </w:rPr>
        <w:t xml:space="preserve">emphasised that </w:t>
      </w:r>
      <w:r w:rsidR="00454218" w:rsidRPr="003168AC">
        <w:rPr>
          <w:lang w:val="en-GB"/>
        </w:rPr>
        <w:t>Mr Tyolo had been upset about his brother’s illness and highlighted the authorities that have viewed belief in witchcraft as a mitigating consideration.</w:t>
      </w:r>
      <w:r w:rsidR="00360750" w:rsidRPr="003168AC">
        <w:rPr>
          <w:lang w:val="en-GB"/>
        </w:rPr>
        <w:t xml:space="preserve"> Mr Tyolo’s alcohol consumption was also cited as a general factor to be considered</w:t>
      </w:r>
      <w:r w:rsidR="00A06E7C" w:rsidRPr="003168AC">
        <w:rPr>
          <w:lang w:val="en-GB"/>
        </w:rPr>
        <w:t xml:space="preserve"> in </w:t>
      </w:r>
      <w:r w:rsidR="00CC38AC" w:rsidRPr="003168AC">
        <w:rPr>
          <w:lang w:val="en-GB"/>
        </w:rPr>
        <w:t>assessing the proportionality of imposing the ultimate punishment.</w:t>
      </w:r>
    </w:p>
    <w:p w14:paraId="1DD99CB4" w14:textId="6E8060FE" w:rsidR="00435A69" w:rsidRDefault="00435A69" w:rsidP="00435A69">
      <w:pPr>
        <w:rPr>
          <w:lang w:val="en-GB"/>
        </w:rPr>
      </w:pPr>
    </w:p>
    <w:p w14:paraId="4E15EBD4" w14:textId="3CE7EE84" w:rsidR="00435A69" w:rsidRDefault="00435A69" w:rsidP="00435A69">
      <w:pPr>
        <w:rPr>
          <w:b/>
          <w:bCs/>
          <w:lang w:val="en-GB"/>
        </w:rPr>
      </w:pPr>
      <w:r>
        <w:rPr>
          <w:b/>
          <w:bCs/>
          <w:lang w:val="en-GB"/>
        </w:rPr>
        <w:t>The interests of society</w:t>
      </w:r>
    </w:p>
    <w:p w14:paraId="28B62488" w14:textId="77777777" w:rsidR="00435A69" w:rsidRPr="00435A69" w:rsidRDefault="00435A69" w:rsidP="00435A69">
      <w:pPr>
        <w:rPr>
          <w:b/>
          <w:bCs/>
          <w:lang w:val="en-GB"/>
        </w:rPr>
      </w:pPr>
    </w:p>
    <w:p w14:paraId="582EFE2B" w14:textId="58B94F35" w:rsidR="00435A69" w:rsidRPr="003168AC" w:rsidRDefault="003168AC" w:rsidP="003168AC">
      <w:pPr>
        <w:autoSpaceDE w:val="0"/>
        <w:autoSpaceDN w:val="0"/>
        <w:adjustRightInd w:val="0"/>
        <w:jc w:val="both"/>
        <w:rPr>
          <w:lang w:val="en-GB"/>
        </w:rPr>
      </w:pPr>
      <w:r>
        <w:rPr>
          <w:lang w:val="en-GB"/>
        </w:rPr>
        <w:t>[10]</w:t>
      </w:r>
      <w:r>
        <w:rPr>
          <w:lang w:val="en-GB"/>
        </w:rPr>
        <w:tab/>
      </w:r>
      <w:r w:rsidR="001E555E" w:rsidRPr="003168AC">
        <w:rPr>
          <w:lang w:val="en-GB"/>
        </w:rPr>
        <w:t xml:space="preserve">The legislature’s inclusion of a prescribed minimum sentence of life imprisonment for murder linked to </w:t>
      </w:r>
      <w:r w:rsidR="00F00A6D" w:rsidRPr="003168AC">
        <w:rPr>
          <w:lang w:val="en-GB"/>
        </w:rPr>
        <w:t xml:space="preserve">certain </w:t>
      </w:r>
      <w:r w:rsidR="001E555E" w:rsidRPr="003168AC">
        <w:rPr>
          <w:lang w:val="en-GB"/>
        </w:rPr>
        <w:t xml:space="preserve">offences described in the </w:t>
      </w:r>
      <w:r w:rsidR="00501808" w:rsidRPr="003168AC">
        <w:rPr>
          <w:lang w:val="en-GB"/>
        </w:rPr>
        <w:t>Act</w:t>
      </w:r>
      <w:r w:rsidR="001E555E" w:rsidRPr="003168AC">
        <w:rPr>
          <w:lang w:val="en-GB"/>
        </w:rPr>
        <w:t xml:space="preserve"> reflect</w:t>
      </w:r>
      <w:r w:rsidR="00D66440" w:rsidRPr="003168AC">
        <w:rPr>
          <w:lang w:val="en-GB"/>
        </w:rPr>
        <w:t>s</w:t>
      </w:r>
      <w:r w:rsidR="001E555E" w:rsidRPr="003168AC">
        <w:rPr>
          <w:lang w:val="en-GB"/>
        </w:rPr>
        <w:t xml:space="preserve"> society’s abhorrence for crimes of this nature. The purpose of </w:t>
      </w:r>
      <w:r w:rsidR="00E05E4D" w:rsidRPr="003168AC">
        <w:rPr>
          <w:lang w:val="en-GB"/>
        </w:rPr>
        <w:t xml:space="preserve">the prescribed minimum sentence is to ensure a severe, </w:t>
      </w:r>
      <w:r w:rsidR="000F01AB" w:rsidRPr="003168AC">
        <w:rPr>
          <w:lang w:val="en-GB"/>
        </w:rPr>
        <w:t>standardised,</w:t>
      </w:r>
      <w:r w:rsidR="00E05E4D" w:rsidRPr="003168AC">
        <w:rPr>
          <w:lang w:val="en-GB"/>
        </w:rPr>
        <w:t xml:space="preserve"> and consistent response from the courts to the commission of such crimes, unless there were, and could be seen to be, truly convincing reasons for a different response.</w:t>
      </w:r>
    </w:p>
    <w:p w14:paraId="70C6E31A" w14:textId="77777777" w:rsidR="00E05E4D" w:rsidRDefault="00E05E4D" w:rsidP="00E05E4D">
      <w:pPr>
        <w:pStyle w:val="ListParagraph"/>
        <w:autoSpaceDE w:val="0"/>
        <w:autoSpaceDN w:val="0"/>
        <w:adjustRightInd w:val="0"/>
        <w:ind w:left="0"/>
        <w:jc w:val="both"/>
        <w:rPr>
          <w:lang w:val="en-GB"/>
        </w:rPr>
      </w:pPr>
    </w:p>
    <w:p w14:paraId="21A8AEC0" w14:textId="2C61E161" w:rsidR="009A6540" w:rsidRPr="003168AC" w:rsidRDefault="003168AC" w:rsidP="003168AC">
      <w:pPr>
        <w:autoSpaceDE w:val="0"/>
        <w:autoSpaceDN w:val="0"/>
        <w:adjustRightInd w:val="0"/>
        <w:jc w:val="both"/>
        <w:rPr>
          <w:lang w:val="en-GB"/>
        </w:rPr>
      </w:pPr>
      <w:r>
        <w:rPr>
          <w:lang w:val="en-GB"/>
        </w:rPr>
        <w:lastRenderedPageBreak/>
        <w:t>[11]</w:t>
      </w:r>
      <w:r>
        <w:rPr>
          <w:lang w:val="en-GB"/>
        </w:rPr>
        <w:tab/>
      </w:r>
      <w:r w:rsidR="000F01AB" w:rsidRPr="003168AC">
        <w:rPr>
          <w:lang w:val="en-GB"/>
        </w:rPr>
        <w:t>It must also be noted that s 30(4) of the Older Persons Act, 2006</w:t>
      </w:r>
      <w:r w:rsidR="009A6540" w:rsidRPr="003168AC">
        <w:rPr>
          <w:lang w:val="en-GB"/>
        </w:rPr>
        <w:t>,</w:t>
      </w:r>
      <w:r w:rsidR="000F01AB">
        <w:rPr>
          <w:rStyle w:val="FootnoteReference"/>
          <w:lang w:val="en-GB"/>
        </w:rPr>
        <w:footnoteReference w:id="11"/>
      </w:r>
      <w:r w:rsidR="009A6540" w:rsidRPr="003168AC">
        <w:rPr>
          <w:lang w:val="en-GB"/>
        </w:rPr>
        <w:t xml:space="preserve"> provides that if a court, after having convicted a person of any crime or offence, finds that the convicted person has abused an older person in the commission of such crime or offence, such finding must be regarded as an aggravating circumstance for sentencing purposes.</w:t>
      </w:r>
      <w:r w:rsidR="005B5C65" w:rsidRPr="003168AC">
        <w:rPr>
          <w:lang w:val="en-GB"/>
        </w:rPr>
        <w:t xml:space="preserve"> The deceased was 82 years of age and the aunt of Mr Tyolo. </w:t>
      </w:r>
      <w:r w:rsidR="001931AE" w:rsidRPr="003168AC">
        <w:rPr>
          <w:lang w:val="en-GB"/>
        </w:rPr>
        <w:t>The crime constitutes a specific form of family violence</w:t>
      </w:r>
      <w:r w:rsidR="006935FF" w:rsidRPr="003168AC">
        <w:rPr>
          <w:lang w:val="en-GB"/>
        </w:rPr>
        <w:t xml:space="preserve"> which is aggravating</w:t>
      </w:r>
      <w:r w:rsidR="001931AE" w:rsidRPr="003168AC">
        <w:rPr>
          <w:lang w:val="en-GB"/>
        </w:rPr>
        <w:t xml:space="preserve">. </w:t>
      </w:r>
      <w:r w:rsidR="005B5C65" w:rsidRPr="003168AC">
        <w:rPr>
          <w:lang w:val="en-GB"/>
        </w:rPr>
        <w:t>She accepted his offer of accommodation, only to be viciously</w:t>
      </w:r>
      <w:r w:rsidR="0022739F" w:rsidRPr="003168AC">
        <w:rPr>
          <w:lang w:val="en-GB"/>
        </w:rPr>
        <w:t xml:space="preserve"> and painfully</w:t>
      </w:r>
      <w:r w:rsidR="005B5C65" w:rsidRPr="003168AC">
        <w:rPr>
          <w:lang w:val="en-GB"/>
        </w:rPr>
        <w:t xml:space="preserve"> attacked to death </w:t>
      </w:r>
      <w:r w:rsidR="009865CF" w:rsidRPr="003168AC">
        <w:rPr>
          <w:lang w:val="en-GB"/>
        </w:rPr>
        <w:t xml:space="preserve">by </w:t>
      </w:r>
      <w:r w:rsidR="008C571C" w:rsidRPr="003168AC">
        <w:rPr>
          <w:lang w:val="en-GB"/>
        </w:rPr>
        <w:t>her</w:t>
      </w:r>
      <w:r w:rsidR="009865CF" w:rsidRPr="003168AC">
        <w:rPr>
          <w:lang w:val="en-GB"/>
        </w:rPr>
        <w:t xml:space="preserve"> relative </w:t>
      </w:r>
      <w:r w:rsidR="00C145E8" w:rsidRPr="003168AC">
        <w:rPr>
          <w:lang w:val="en-GB"/>
        </w:rPr>
        <w:t>in a place she would have considered to be safe.</w:t>
      </w:r>
      <w:r w:rsidR="00824E2E" w:rsidRPr="003168AC">
        <w:rPr>
          <w:lang w:val="en-GB"/>
        </w:rPr>
        <w:t xml:space="preserve"> The only reason for the murder was Mr Tyolo’s belief in witchcraft and suspicion that the deceased was a witch.</w:t>
      </w:r>
      <w:r w:rsidR="00A53511" w:rsidRPr="003168AC">
        <w:rPr>
          <w:lang w:val="en-GB"/>
        </w:rPr>
        <w:t xml:space="preserve"> Attempts to prevent the attack were met with threats of violence, and the act completed by the deceased’s body </w:t>
      </w:r>
      <w:r w:rsidR="009C44DF" w:rsidRPr="003168AC">
        <w:rPr>
          <w:lang w:val="en-GB"/>
        </w:rPr>
        <w:t xml:space="preserve">brazenly </w:t>
      </w:r>
      <w:r w:rsidR="00A53511" w:rsidRPr="003168AC">
        <w:rPr>
          <w:lang w:val="en-GB"/>
        </w:rPr>
        <w:t>being placed in the roa</w:t>
      </w:r>
      <w:r w:rsidR="009C44DF" w:rsidRPr="003168AC">
        <w:rPr>
          <w:lang w:val="en-GB"/>
        </w:rPr>
        <w:t>d.</w:t>
      </w:r>
      <w:r w:rsidR="00A53511" w:rsidRPr="003168AC">
        <w:rPr>
          <w:lang w:val="en-GB"/>
        </w:rPr>
        <w:t xml:space="preserve"> </w:t>
      </w:r>
    </w:p>
    <w:p w14:paraId="5778F349" w14:textId="7124A668" w:rsidR="005B5C65" w:rsidRDefault="005B5C65" w:rsidP="00173F2B">
      <w:pPr>
        <w:rPr>
          <w:lang w:val="en-GB"/>
        </w:rPr>
      </w:pPr>
    </w:p>
    <w:p w14:paraId="602CFC2A" w14:textId="77777777" w:rsidR="00CA11D0" w:rsidRPr="00CA11D0" w:rsidRDefault="00CA11D0" w:rsidP="00CA11D0">
      <w:pPr>
        <w:pStyle w:val="ListParagraph"/>
        <w:autoSpaceDE w:val="0"/>
        <w:autoSpaceDN w:val="0"/>
        <w:adjustRightInd w:val="0"/>
        <w:ind w:left="0"/>
        <w:jc w:val="both"/>
        <w:rPr>
          <w:b/>
          <w:bCs/>
          <w:lang w:val="en-GB"/>
        </w:rPr>
      </w:pPr>
      <w:r w:rsidRPr="00CA11D0">
        <w:rPr>
          <w:b/>
          <w:bCs/>
          <w:lang w:val="en-GB"/>
        </w:rPr>
        <w:t>Witchcraft and the proper sentence: case law developments</w:t>
      </w:r>
    </w:p>
    <w:p w14:paraId="38D2AE8D" w14:textId="77777777" w:rsidR="00CA11D0" w:rsidRPr="00CA11D0" w:rsidRDefault="00CA11D0" w:rsidP="00CA11D0">
      <w:pPr>
        <w:pStyle w:val="ListParagraph"/>
        <w:autoSpaceDE w:val="0"/>
        <w:autoSpaceDN w:val="0"/>
        <w:adjustRightInd w:val="0"/>
        <w:ind w:left="0"/>
        <w:jc w:val="both"/>
        <w:rPr>
          <w:lang w:val="en-GB"/>
        </w:rPr>
      </w:pPr>
    </w:p>
    <w:p w14:paraId="2C0CCBF3" w14:textId="57B8245A" w:rsidR="00CE23A8" w:rsidRPr="003168AC" w:rsidRDefault="003168AC" w:rsidP="003168AC">
      <w:pPr>
        <w:autoSpaceDE w:val="0"/>
        <w:autoSpaceDN w:val="0"/>
        <w:adjustRightInd w:val="0"/>
        <w:jc w:val="both"/>
        <w:rPr>
          <w:lang w:val="en-GB"/>
        </w:rPr>
      </w:pPr>
      <w:r>
        <w:rPr>
          <w:lang w:val="en-GB"/>
        </w:rPr>
        <w:t>[12]</w:t>
      </w:r>
      <w:r>
        <w:rPr>
          <w:lang w:val="en-GB"/>
        </w:rPr>
        <w:tab/>
      </w:r>
      <w:r w:rsidR="00CA11D0" w:rsidRPr="003168AC">
        <w:rPr>
          <w:lang w:val="en-GB"/>
        </w:rPr>
        <w:t xml:space="preserve">Considering the reliance placed on Mr Tyolo’s belief in witchcraft as a substantial and compelling consideration, it is necessary to </w:t>
      </w:r>
      <w:r w:rsidR="003024EF" w:rsidRPr="003168AC">
        <w:rPr>
          <w:lang w:val="en-GB"/>
        </w:rPr>
        <w:t>consider</w:t>
      </w:r>
      <w:r w:rsidR="00CA11D0" w:rsidRPr="003168AC">
        <w:rPr>
          <w:lang w:val="en-GB"/>
        </w:rPr>
        <w:t xml:space="preserve"> certain authorities </w:t>
      </w:r>
      <w:r w:rsidR="003024EF" w:rsidRPr="003168AC">
        <w:rPr>
          <w:lang w:val="en-GB"/>
        </w:rPr>
        <w:t xml:space="preserve">before determining the appropriate sentence in this matter. </w:t>
      </w:r>
      <w:r w:rsidR="00CA11D0" w:rsidRPr="003168AC">
        <w:rPr>
          <w:lang w:val="en-GB"/>
        </w:rPr>
        <w:t xml:space="preserve">The approach to sentence in cases involving murder and witchcraft has evolved over time. While each case is to be assessed on its own facts, decisions of courts in cases involving witchcraft must be considered against the background of the legal framework applicable at the time. </w:t>
      </w:r>
    </w:p>
    <w:p w14:paraId="480AD24E" w14:textId="77777777" w:rsidR="00CE23A8" w:rsidRDefault="00CE23A8" w:rsidP="00CE23A8">
      <w:pPr>
        <w:pStyle w:val="ListParagraph"/>
        <w:autoSpaceDE w:val="0"/>
        <w:autoSpaceDN w:val="0"/>
        <w:adjustRightInd w:val="0"/>
        <w:ind w:left="0"/>
        <w:jc w:val="both"/>
        <w:rPr>
          <w:lang w:val="en-GB"/>
        </w:rPr>
      </w:pPr>
    </w:p>
    <w:p w14:paraId="057F2228" w14:textId="1D8A1477" w:rsidR="00CA11D0" w:rsidRPr="003168AC" w:rsidRDefault="003168AC" w:rsidP="003168AC">
      <w:pPr>
        <w:autoSpaceDE w:val="0"/>
        <w:autoSpaceDN w:val="0"/>
        <w:adjustRightInd w:val="0"/>
        <w:jc w:val="both"/>
        <w:rPr>
          <w:lang w:val="en-GB"/>
        </w:rPr>
      </w:pPr>
      <w:r>
        <w:rPr>
          <w:lang w:val="en-GB"/>
        </w:rPr>
        <w:t>[13]</w:t>
      </w:r>
      <w:r>
        <w:rPr>
          <w:lang w:val="en-GB"/>
        </w:rPr>
        <w:tab/>
      </w:r>
      <w:r w:rsidR="00CA11D0" w:rsidRPr="003168AC">
        <w:rPr>
          <w:lang w:val="en-GB"/>
        </w:rPr>
        <w:t>As Hoctor notes, a court practice arose in the first part of the previous century and, with limited exceptions, continues to present day: namely to treat belief in witchcraft as a mitigating factor in certain circumstances.</w:t>
      </w:r>
      <w:r w:rsidR="00CA11D0">
        <w:rPr>
          <w:rStyle w:val="FootnoteReference"/>
          <w:lang w:val="en-GB"/>
        </w:rPr>
        <w:footnoteReference w:id="12"/>
      </w:r>
      <w:r w:rsidR="00CA11D0" w:rsidRPr="003168AC">
        <w:rPr>
          <w:lang w:val="en-GB"/>
        </w:rPr>
        <w:t xml:space="preserve">  In early cases, such as </w:t>
      </w:r>
      <w:r w:rsidR="00CA11D0" w:rsidRPr="003168AC">
        <w:rPr>
          <w:i/>
          <w:iCs/>
          <w:lang w:val="en-GB"/>
        </w:rPr>
        <w:t>R v Biyana</w:t>
      </w:r>
      <w:r w:rsidR="00CA11D0" w:rsidRPr="003168AC">
        <w:rPr>
          <w:lang w:val="en-GB"/>
        </w:rPr>
        <w:t>,</w:t>
      </w:r>
      <w:r w:rsidR="00CA11D0">
        <w:rPr>
          <w:rStyle w:val="FootnoteReference"/>
          <w:lang w:val="en-GB"/>
        </w:rPr>
        <w:footnoteReference w:id="13"/>
      </w:r>
      <w:r w:rsidR="00CA11D0" w:rsidRPr="003168AC">
        <w:rPr>
          <w:lang w:val="en-GB"/>
        </w:rPr>
        <w:t xml:space="preserve"> the court considered whether a profound belief in witchcraft, and its practise by the victim to cause grave harm, was an ‘extenuating circumstance’. In </w:t>
      </w:r>
      <w:r w:rsidR="00CA11D0" w:rsidRPr="003168AC">
        <w:rPr>
          <w:i/>
          <w:iCs/>
          <w:lang w:val="en-GB"/>
        </w:rPr>
        <w:t>R v Fundakubi and Others</w:t>
      </w:r>
      <w:r w:rsidR="00CA11D0" w:rsidRPr="003168AC">
        <w:rPr>
          <w:lang w:val="en-GB"/>
        </w:rPr>
        <w:t>,</w:t>
      </w:r>
      <w:r w:rsidR="00CA11D0" w:rsidRPr="005F5C50">
        <w:rPr>
          <w:rStyle w:val="FootnoteReference"/>
          <w:lang w:val="en-GB"/>
        </w:rPr>
        <w:footnoteReference w:id="14"/>
      </w:r>
      <w:r w:rsidR="00CA11D0" w:rsidRPr="003168AC">
        <w:rPr>
          <w:lang w:val="en-GB"/>
        </w:rPr>
        <w:t xml:space="preserve"> Schreiner JA considered the belief in witchcraft to be a factor which ‘does materially bear upon the accused’s blameworthiness’. </w:t>
      </w:r>
      <w:r w:rsidR="00CA11D0" w:rsidRPr="003168AC">
        <w:rPr>
          <w:i/>
          <w:iCs/>
          <w:lang w:val="en-GB"/>
        </w:rPr>
        <w:t xml:space="preserve"> </w:t>
      </w:r>
      <w:r w:rsidR="00CA11D0" w:rsidRPr="003168AC">
        <w:rPr>
          <w:lang w:val="en-GB"/>
        </w:rPr>
        <w:t xml:space="preserve">That was 75 years ago and, importantly, almost a decade prior to the enactment of the </w:t>
      </w:r>
      <w:r w:rsidR="00CE23A8" w:rsidRPr="003168AC">
        <w:rPr>
          <w:lang w:val="en-GB"/>
        </w:rPr>
        <w:t>Act</w:t>
      </w:r>
      <w:r w:rsidR="00CA11D0" w:rsidRPr="003168AC">
        <w:rPr>
          <w:lang w:val="en-GB"/>
        </w:rPr>
        <w:t xml:space="preserve">. Even in that </w:t>
      </w:r>
      <w:r w:rsidR="00CA11D0" w:rsidRPr="003168AC">
        <w:rPr>
          <w:lang w:val="en-GB"/>
        </w:rPr>
        <w:lastRenderedPageBreak/>
        <w:t>context, Schreiner JA held that the existence of a belief in witchcraft would not necessarily and in all cases be treated as an ‘effective extenuating circumstance’,</w:t>
      </w:r>
      <w:r w:rsidR="00CA11D0">
        <w:rPr>
          <w:rStyle w:val="FootnoteReference"/>
          <w:lang w:val="en-GB"/>
        </w:rPr>
        <w:footnoteReference w:id="15"/>
      </w:r>
      <w:r w:rsidR="00CA11D0" w:rsidRPr="003168AC">
        <w:rPr>
          <w:lang w:val="en-GB"/>
        </w:rPr>
        <w:t xml:space="preserve"> considered it necessary to add the following:</w:t>
      </w:r>
      <w:r w:rsidR="00CA11D0">
        <w:rPr>
          <w:rStyle w:val="FootnoteReference"/>
          <w:lang w:val="en-GB"/>
        </w:rPr>
        <w:footnoteReference w:id="16"/>
      </w:r>
    </w:p>
    <w:p w14:paraId="794DFE38" w14:textId="77777777" w:rsidR="00CA11D0" w:rsidRDefault="00CA11D0" w:rsidP="00CA11D0">
      <w:pPr>
        <w:pStyle w:val="ListParagraph"/>
        <w:autoSpaceDE w:val="0"/>
        <w:autoSpaceDN w:val="0"/>
        <w:adjustRightInd w:val="0"/>
        <w:ind w:left="0"/>
        <w:jc w:val="both"/>
        <w:rPr>
          <w:sz w:val="22"/>
          <w:szCs w:val="22"/>
          <w:lang w:val="en-GB"/>
        </w:rPr>
      </w:pPr>
      <w:r>
        <w:rPr>
          <w:sz w:val="22"/>
          <w:szCs w:val="22"/>
          <w:lang w:val="en-GB"/>
        </w:rPr>
        <w:t>‘But it is of importance to emphasise that the prevalent belief in witchcraft is a very great blight … Excessive leniency in dealing with cases where such a belief has led to the commission of cruel crimes, often against the weakest members of the community, may conceivably help to delay the disappearance of such belief … the imposition of suitably severe punishments should be made the occasion, not so much for expressions of sympathy … as for public admonition or reprobation of those criminally foolish persons who allow themselves to be induced by utterly unfounded suspicions of innocent persons to commit the most savage murders.’</w:t>
      </w:r>
    </w:p>
    <w:p w14:paraId="401E9232" w14:textId="77777777" w:rsidR="00CA11D0" w:rsidRPr="00310D97" w:rsidRDefault="00CA11D0" w:rsidP="00CA11D0">
      <w:pPr>
        <w:pStyle w:val="ListParagraph"/>
        <w:autoSpaceDE w:val="0"/>
        <w:autoSpaceDN w:val="0"/>
        <w:adjustRightInd w:val="0"/>
        <w:ind w:left="0"/>
        <w:jc w:val="both"/>
        <w:rPr>
          <w:sz w:val="22"/>
          <w:szCs w:val="22"/>
          <w:lang w:val="en-GB"/>
        </w:rPr>
      </w:pPr>
    </w:p>
    <w:p w14:paraId="0DB2A00F" w14:textId="21E4CC50" w:rsidR="006A0A6C" w:rsidRPr="003168AC" w:rsidRDefault="003168AC" w:rsidP="003168AC">
      <w:pPr>
        <w:autoSpaceDE w:val="0"/>
        <w:autoSpaceDN w:val="0"/>
        <w:adjustRightInd w:val="0"/>
        <w:jc w:val="both"/>
        <w:rPr>
          <w:lang w:val="en-GB"/>
        </w:rPr>
      </w:pPr>
      <w:r>
        <w:rPr>
          <w:lang w:val="en-GB"/>
        </w:rPr>
        <w:t>[14]</w:t>
      </w:r>
      <w:r>
        <w:rPr>
          <w:lang w:val="en-GB"/>
        </w:rPr>
        <w:tab/>
      </w:r>
      <w:r w:rsidR="00CA11D0" w:rsidRPr="003168AC">
        <w:rPr>
          <w:lang w:val="en-GB"/>
        </w:rPr>
        <w:t xml:space="preserve">Prior to the constitutional dispensation and the decision in </w:t>
      </w:r>
      <w:r w:rsidR="00CA11D0" w:rsidRPr="003168AC">
        <w:rPr>
          <w:i/>
          <w:iCs/>
          <w:lang w:val="en-GB"/>
        </w:rPr>
        <w:t>S v Makwanyane</w:t>
      </w:r>
      <w:r w:rsidR="00CA11D0" w:rsidRPr="003168AC">
        <w:rPr>
          <w:lang w:val="en-GB"/>
        </w:rPr>
        <w:t xml:space="preserve"> </w:t>
      </w:r>
      <w:r w:rsidR="00CA11D0" w:rsidRPr="003168AC">
        <w:rPr>
          <w:i/>
          <w:iCs/>
          <w:lang w:val="en-GB"/>
        </w:rPr>
        <w:t>and Another</w:t>
      </w:r>
      <w:r w:rsidR="00CA11D0" w:rsidRPr="003168AC">
        <w:rPr>
          <w:lang w:val="en-GB"/>
        </w:rPr>
        <w:t>,</w:t>
      </w:r>
      <w:r w:rsidR="00CA11D0" w:rsidRPr="00DB4919">
        <w:rPr>
          <w:rStyle w:val="FootnoteReference"/>
          <w:lang w:val="en-GB"/>
        </w:rPr>
        <w:footnoteReference w:id="17"/>
      </w:r>
      <w:r w:rsidR="00867EE7" w:rsidRPr="003168AC">
        <w:rPr>
          <w:lang w:val="en-GB"/>
        </w:rPr>
        <w:t xml:space="preserve"> (‘</w:t>
      </w:r>
      <w:r w:rsidR="00867EE7" w:rsidRPr="003168AC">
        <w:rPr>
          <w:i/>
          <w:iCs/>
          <w:lang w:val="en-GB"/>
        </w:rPr>
        <w:t>Makwanyane</w:t>
      </w:r>
      <w:r w:rsidR="00867EE7" w:rsidRPr="003168AC">
        <w:rPr>
          <w:lang w:val="en-GB"/>
        </w:rPr>
        <w:t>’)</w:t>
      </w:r>
      <w:r w:rsidR="00CA11D0" w:rsidRPr="003168AC">
        <w:rPr>
          <w:i/>
          <w:iCs/>
          <w:lang w:val="en-GB"/>
        </w:rPr>
        <w:t xml:space="preserve"> </w:t>
      </w:r>
      <w:r w:rsidR="00CA11D0" w:rsidRPr="003168AC">
        <w:rPr>
          <w:lang w:val="en-GB"/>
        </w:rPr>
        <w:t>murder cases involving witchcraft focused on the question whether the death sentence was the only proper sentence.</w:t>
      </w:r>
      <w:r w:rsidR="00CA11D0">
        <w:rPr>
          <w:rStyle w:val="FootnoteReference"/>
          <w:lang w:val="en-GB"/>
        </w:rPr>
        <w:footnoteReference w:id="18"/>
      </w:r>
      <w:r w:rsidR="00CA11D0" w:rsidRPr="003168AC">
        <w:rPr>
          <w:lang w:val="en-GB"/>
        </w:rPr>
        <w:t xml:space="preserve"> In </w:t>
      </w:r>
      <w:r w:rsidR="00CA11D0" w:rsidRPr="003168AC">
        <w:rPr>
          <w:i/>
          <w:iCs/>
          <w:lang w:val="en-GB"/>
        </w:rPr>
        <w:t>S v Lukhwa and Another</w:t>
      </w:r>
      <w:r w:rsidR="00CA11D0" w:rsidRPr="003168AC">
        <w:rPr>
          <w:lang w:val="en-GB"/>
        </w:rPr>
        <w:t>,</w:t>
      </w:r>
      <w:r w:rsidR="00CA11D0" w:rsidRPr="00184907">
        <w:rPr>
          <w:rStyle w:val="FootnoteReference"/>
          <w:lang w:val="en-GB"/>
        </w:rPr>
        <w:footnoteReference w:id="19"/>
      </w:r>
      <w:r w:rsidR="00CA11D0" w:rsidRPr="003168AC">
        <w:rPr>
          <w:lang w:val="en-GB"/>
        </w:rPr>
        <w:t xml:space="preserve"> for example, the court accepted that the only reasonable explanation for a witch hunt and killing spree was that the appellants cherished a deeply-rooted belief in and fear for witchcraft and that the events had been ignited and fuelled by such belief. While death sentences imposed by the trial court were set aside because this was not the only proper sentence, life imprisonment was imposed. </w:t>
      </w:r>
    </w:p>
    <w:p w14:paraId="2BE95D3E" w14:textId="77777777" w:rsidR="006A0A6C" w:rsidRDefault="006A0A6C" w:rsidP="006A0A6C">
      <w:pPr>
        <w:pStyle w:val="ListParagraph"/>
        <w:autoSpaceDE w:val="0"/>
        <w:autoSpaceDN w:val="0"/>
        <w:adjustRightInd w:val="0"/>
        <w:ind w:left="0"/>
        <w:jc w:val="both"/>
        <w:rPr>
          <w:lang w:val="en-GB"/>
        </w:rPr>
      </w:pPr>
    </w:p>
    <w:p w14:paraId="6FDB58B6" w14:textId="7030391C" w:rsidR="00CA11D0" w:rsidRPr="003168AC" w:rsidRDefault="003168AC" w:rsidP="003168AC">
      <w:pPr>
        <w:autoSpaceDE w:val="0"/>
        <w:autoSpaceDN w:val="0"/>
        <w:adjustRightInd w:val="0"/>
        <w:jc w:val="both"/>
        <w:rPr>
          <w:lang w:val="en-GB"/>
        </w:rPr>
      </w:pPr>
      <w:r>
        <w:rPr>
          <w:lang w:val="en-GB"/>
        </w:rPr>
        <w:t>[15]</w:t>
      </w:r>
      <w:r>
        <w:rPr>
          <w:lang w:val="en-GB"/>
        </w:rPr>
        <w:tab/>
      </w:r>
      <w:r w:rsidR="00CA11D0" w:rsidRPr="003168AC">
        <w:rPr>
          <w:lang w:val="en-GB"/>
        </w:rPr>
        <w:t xml:space="preserve">Hoctor provides the following useful translation of the legal position prior to the Constitution of the Republic of South Africa, 1996, (‘the Constitution’) as expressed by Kriegler AJA in </w:t>
      </w:r>
      <w:r w:rsidR="00CA11D0" w:rsidRPr="003168AC">
        <w:rPr>
          <w:i/>
          <w:iCs/>
          <w:lang w:val="en-GB"/>
        </w:rPr>
        <w:t>S v Motsepa</w:t>
      </w:r>
      <w:r w:rsidR="00CA11D0" w:rsidRPr="003168AC">
        <w:rPr>
          <w:lang w:val="en-GB"/>
        </w:rPr>
        <w:t xml:space="preserve"> (‘</w:t>
      </w:r>
      <w:r w:rsidR="00CA11D0" w:rsidRPr="003168AC">
        <w:rPr>
          <w:i/>
          <w:iCs/>
          <w:lang w:val="en-GB"/>
        </w:rPr>
        <w:t>Motsepa</w:t>
      </w:r>
      <w:r w:rsidR="00CA11D0" w:rsidRPr="003168AC">
        <w:rPr>
          <w:lang w:val="en-GB"/>
        </w:rPr>
        <w:t>’):</w:t>
      </w:r>
      <w:r w:rsidR="00CA11D0">
        <w:rPr>
          <w:rStyle w:val="FootnoteReference"/>
          <w:lang w:val="en-GB"/>
        </w:rPr>
        <w:footnoteReference w:id="20"/>
      </w:r>
    </w:p>
    <w:p w14:paraId="4CE72212" w14:textId="77777777" w:rsidR="00CA11D0" w:rsidRDefault="00CA11D0" w:rsidP="00CA11D0">
      <w:pPr>
        <w:pStyle w:val="ListParagraph"/>
        <w:autoSpaceDE w:val="0"/>
        <w:autoSpaceDN w:val="0"/>
        <w:adjustRightInd w:val="0"/>
        <w:ind w:left="0"/>
        <w:jc w:val="both"/>
        <w:rPr>
          <w:sz w:val="22"/>
          <w:szCs w:val="22"/>
          <w:lang w:val="en-GB"/>
        </w:rPr>
      </w:pPr>
      <w:r>
        <w:rPr>
          <w:sz w:val="22"/>
          <w:szCs w:val="22"/>
          <w:lang w:val="en-GB"/>
        </w:rPr>
        <w:t xml:space="preserve">‘A genuine and established belief in witchcraft which served in the mind of the accused as a motive for committing a murder was almost always a consideration at the determination of the presence or absence of mitigating factors. At such an inquiry various factors have played a role. Among them was the genuineness and depth of the accused’s superstitious belief, the </w:t>
      </w:r>
      <w:r>
        <w:rPr>
          <w:sz w:val="22"/>
          <w:szCs w:val="22"/>
          <w:lang w:val="en-GB"/>
        </w:rPr>
        <w:lastRenderedPageBreak/>
        <w:t>extent of the fear which it aroused in the accused, the immediacy of the perceived threat, the relationship between the accused and the threatened party (the ‘witch’), as well as the degree of cruelty with which the alleged witch was killed.’</w:t>
      </w:r>
    </w:p>
    <w:p w14:paraId="5A12F25E" w14:textId="77777777" w:rsidR="00CA11D0" w:rsidRPr="006977F7" w:rsidRDefault="00CA11D0" w:rsidP="00CA11D0">
      <w:pPr>
        <w:pStyle w:val="ListParagraph"/>
        <w:autoSpaceDE w:val="0"/>
        <w:autoSpaceDN w:val="0"/>
        <w:adjustRightInd w:val="0"/>
        <w:ind w:left="0"/>
        <w:jc w:val="both"/>
        <w:rPr>
          <w:sz w:val="22"/>
          <w:szCs w:val="22"/>
          <w:lang w:val="en-GB"/>
        </w:rPr>
      </w:pPr>
    </w:p>
    <w:p w14:paraId="23E8D438" w14:textId="610D9D9E" w:rsidR="00CA11D0" w:rsidRPr="003168AC" w:rsidRDefault="003168AC" w:rsidP="003168AC">
      <w:pPr>
        <w:autoSpaceDE w:val="0"/>
        <w:autoSpaceDN w:val="0"/>
        <w:adjustRightInd w:val="0"/>
        <w:jc w:val="both"/>
        <w:rPr>
          <w:lang w:val="en-GB"/>
        </w:rPr>
      </w:pPr>
      <w:r>
        <w:rPr>
          <w:lang w:val="en-GB"/>
        </w:rPr>
        <w:t>[16]</w:t>
      </w:r>
      <w:r>
        <w:rPr>
          <w:lang w:val="en-GB"/>
        </w:rPr>
        <w:tab/>
      </w:r>
      <w:r w:rsidR="00CA11D0" w:rsidRPr="003168AC">
        <w:rPr>
          <w:lang w:val="en-GB"/>
        </w:rPr>
        <w:t>The Constitution promises a society based on fundamental human rights and in which every citizen is equally protected by law. Human dignity and the advancement of human rights and freedoms are part of the founding values of the Constitution and everyone has the right to life.</w:t>
      </w:r>
      <w:r w:rsidR="00CA11D0">
        <w:rPr>
          <w:rStyle w:val="FootnoteReference"/>
          <w:lang w:val="en-GB"/>
        </w:rPr>
        <w:footnoteReference w:id="21"/>
      </w:r>
      <w:r w:rsidR="00CA11D0" w:rsidRPr="003168AC">
        <w:rPr>
          <w:lang w:val="en-GB"/>
        </w:rPr>
        <w:t xml:space="preserve"> The right to freedom and security of the person includes the right to be free from all forms of violence from either public or private sources.</w:t>
      </w:r>
      <w:r w:rsidR="00CA11D0">
        <w:rPr>
          <w:rStyle w:val="FootnoteReference"/>
          <w:lang w:val="en-GB"/>
        </w:rPr>
        <w:footnoteReference w:id="22"/>
      </w:r>
      <w:r w:rsidR="00CA11D0" w:rsidRPr="003168AC">
        <w:rPr>
          <w:lang w:val="en-GB"/>
        </w:rPr>
        <w:t xml:space="preserve"> Sachs J, in </w:t>
      </w:r>
      <w:r w:rsidR="00CA11D0" w:rsidRPr="003168AC">
        <w:rPr>
          <w:i/>
          <w:iCs/>
          <w:lang w:val="en-GB"/>
        </w:rPr>
        <w:t>Makwanyane</w:t>
      </w:r>
      <w:r w:rsidR="00CA11D0" w:rsidRPr="003168AC">
        <w:rPr>
          <w:lang w:val="en-GB"/>
        </w:rPr>
        <w:t>, bemoaned ‘the frenzied, extra-judicial killings of supposed witches …’, advocating for rejection of the ‘exorcist’ tradition.</w:t>
      </w:r>
      <w:r w:rsidR="00CA11D0">
        <w:rPr>
          <w:rStyle w:val="FootnoteReference"/>
          <w:lang w:val="en-GB"/>
        </w:rPr>
        <w:footnoteReference w:id="23"/>
      </w:r>
    </w:p>
    <w:p w14:paraId="36223A8A" w14:textId="77777777" w:rsidR="00CA11D0" w:rsidRDefault="00CA11D0" w:rsidP="00CA11D0">
      <w:pPr>
        <w:pStyle w:val="ListParagraph"/>
        <w:autoSpaceDE w:val="0"/>
        <w:autoSpaceDN w:val="0"/>
        <w:adjustRightInd w:val="0"/>
        <w:ind w:left="0"/>
        <w:jc w:val="both"/>
        <w:rPr>
          <w:lang w:val="en-GB"/>
        </w:rPr>
      </w:pPr>
    </w:p>
    <w:p w14:paraId="1C1F0245" w14:textId="5117E5CF" w:rsidR="00BC16DE" w:rsidRPr="003168AC" w:rsidRDefault="003168AC" w:rsidP="003168AC">
      <w:pPr>
        <w:autoSpaceDE w:val="0"/>
        <w:autoSpaceDN w:val="0"/>
        <w:adjustRightInd w:val="0"/>
        <w:jc w:val="both"/>
        <w:rPr>
          <w:lang w:val="en-GB"/>
        </w:rPr>
      </w:pPr>
      <w:r>
        <w:rPr>
          <w:lang w:val="en-GB"/>
        </w:rPr>
        <w:t>[17]</w:t>
      </w:r>
      <w:r>
        <w:rPr>
          <w:lang w:val="en-GB"/>
        </w:rPr>
        <w:tab/>
      </w:r>
      <w:r w:rsidR="00CA11D0" w:rsidRPr="003168AC">
        <w:rPr>
          <w:lang w:val="en-GB"/>
        </w:rPr>
        <w:t>Still, and notwithstanding various cautions and remarks indicative of a changing tide, courts have, post-Constitution, followed the earlier authorities that held that a genuine belief in witchcraft could be a mitigating factor.</w:t>
      </w:r>
      <w:r w:rsidR="00CA11D0">
        <w:rPr>
          <w:rStyle w:val="FootnoteReference"/>
          <w:lang w:val="en-GB"/>
        </w:rPr>
        <w:footnoteReference w:id="24"/>
      </w:r>
      <w:r w:rsidR="00CA11D0" w:rsidRPr="003168AC">
        <w:rPr>
          <w:lang w:val="en-GB"/>
        </w:rPr>
        <w:t xml:space="preserve"> That belief has also, on various occasions, been held to constitute a substantial and compelling circumstance justifying the imposition of a lesser sentence than the prescribed life imprisonment.</w:t>
      </w:r>
      <w:r w:rsidR="00CA11D0">
        <w:rPr>
          <w:rStyle w:val="FootnoteReference"/>
          <w:lang w:val="en-GB"/>
        </w:rPr>
        <w:footnoteReference w:id="25"/>
      </w:r>
      <w:r w:rsidR="00CA11D0" w:rsidRPr="003168AC">
        <w:rPr>
          <w:lang w:val="en-GB"/>
        </w:rPr>
        <w:t xml:space="preserve"> In this Division, cases such as </w:t>
      </w:r>
      <w:r w:rsidR="00CA11D0" w:rsidRPr="003168AC">
        <w:rPr>
          <w:i/>
          <w:iCs/>
          <w:lang w:val="en-GB"/>
        </w:rPr>
        <w:t>S v Latha</w:t>
      </w:r>
      <w:r w:rsidR="00CA11D0" w:rsidRPr="003168AC">
        <w:rPr>
          <w:lang w:val="en-GB"/>
        </w:rPr>
        <w:t xml:space="preserve"> </w:t>
      </w:r>
      <w:r w:rsidR="00CA11D0" w:rsidRPr="003168AC">
        <w:rPr>
          <w:i/>
          <w:iCs/>
          <w:lang w:val="en-GB"/>
        </w:rPr>
        <w:t xml:space="preserve">and Another </w:t>
      </w:r>
      <w:r w:rsidR="000C25DB" w:rsidRPr="003168AC">
        <w:rPr>
          <w:lang w:val="en-GB"/>
        </w:rPr>
        <w:t>(‘</w:t>
      </w:r>
      <w:r w:rsidR="000C25DB" w:rsidRPr="003168AC">
        <w:rPr>
          <w:i/>
          <w:iCs/>
          <w:lang w:val="en-GB"/>
        </w:rPr>
        <w:t>Latha</w:t>
      </w:r>
      <w:r w:rsidR="000C25DB" w:rsidRPr="003168AC">
        <w:rPr>
          <w:lang w:val="en-GB"/>
        </w:rPr>
        <w:t>’)</w:t>
      </w:r>
      <w:r w:rsidR="000C25DB" w:rsidRPr="003168AC">
        <w:rPr>
          <w:i/>
          <w:iCs/>
          <w:lang w:val="en-GB"/>
        </w:rPr>
        <w:t xml:space="preserve"> </w:t>
      </w:r>
      <w:r w:rsidR="00CA11D0" w:rsidRPr="003168AC">
        <w:rPr>
          <w:lang w:val="en-GB"/>
        </w:rPr>
        <w:t xml:space="preserve">and </w:t>
      </w:r>
      <w:r w:rsidR="00CA11D0" w:rsidRPr="003168AC">
        <w:rPr>
          <w:i/>
          <w:iCs/>
          <w:lang w:val="en-GB"/>
        </w:rPr>
        <w:t>S v Manundu and Another</w:t>
      </w:r>
      <w:r w:rsidR="00CA11D0" w:rsidRPr="00B7446F">
        <w:rPr>
          <w:rStyle w:val="FootnoteReference"/>
          <w:lang w:val="en-GB"/>
        </w:rPr>
        <w:footnoteReference w:id="26"/>
      </w:r>
      <w:r w:rsidR="00CA11D0" w:rsidRPr="003168AC">
        <w:rPr>
          <w:i/>
          <w:iCs/>
          <w:lang w:val="en-GB"/>
        </w:rPr>
        <w:t xml:space="preserve"> </w:t>
      </w:r>
      <w:r w:rsidR="00CA11D0" w:rsidRPr="003168AC">
        <w:rPr>
          <w:lang w:val="en-GB"/>
        </w:rPr>
        <w:t>(‘</w:t>
      </w:r>
      <w:r w:rsidR="00CA11D0" w:rsidRPr="003168AC">
        <w:rPr>
          <w:i/>
          <w:iCs/>
          <w:lang w:val="en-GB"/>
        </w:rPr>
        <w:t>Manundu</w:t>
      </w:r>
      <w:r w:rsidR="00CA11D0" w:rsidRPr="003168AC">
        <w:rPr>
          <w:lang w:val="en-GB"/>
        </w:rPr>
        <w:t>’)</w:t>
      </w:r>
      <w:r w:rsidR="00CA11D0" w:rsidRPr="003168AC">
        <w:rPr>
          <w:i/>
          <w:iCs/>
          <w:lang w:val="en-GB"/>
        </w:rPr>
        <w:t xml:space="preserve"> </w:t>
      </w:r>
      <w:r w:rsidR="00CA11D0" w:rsidRPr="003168AC">
        <w:rPr>
          <w:lang w:val="en-GB"/>
        </w:rPr>
        <w:t>rely on the earlier authorities (pre-</w:t>
      </w:r>
      <w:r w:rsidR="00F3592A" w:rsidRPr="003168AC">
        <w:rPr>
          <w:lang w:val="en-GB"/>
        </w:rPr>
        <w:t>c</w:t>
      </w:r>
      <w:r w:rsidR="00CA11D0" w:rsidRPr="003168AC">
        <w:rPr>
          <w:lang w:val="en-GB"/>
        </w:rPr>
        <w:t>onstitutional and pre-amendment of the minimum sentencing legislation) in reflecting this approach. In the former case, and distinct from the present circumstances, counsel for the state conceded that substantial and compelling circumstances were present.</w:t>
      </w:r>
      <w:r w:rsidR="00CA11D0">
        <w:rPr>
          <w:rStyle w:val="FootnoteReference"/>
          <w:lang w:val="en-GB"/>
        </w:rPr>
        <w:footnoteReference w:id="27"/>
      </w:r>
      <w:r w:rsidR="00CA11D0" w:rsidRPr="003168AC">
        <w:rPr>
          <w:lang w:val="en-GB"/>
        </w:rPr>
        <w:t xml:space="preserve"> </w:t>
      </w:r>
    </w:p>
    <w:p w14:paraId="6CA6CC72" w14:textId="77777777" w:rsidR="00BC16DE" w:rsidRPr="00BC16DE" w:rsidRDefault="00BC16DE" w:rsidP="00BC16DE">
      <w:pPr>
        <w:pStyle w:val="ListParagraph"/>
        <w:rPr>
          <w:lang w:val="en-GB"/>
        </w:rPr>
      </w:pPr>
    </w:p>
    <w:p w14:paraId="5A2CA3F0" w14:textId="735CD775" w:rsidR="00CA11D0" w:rsidRPr="003168AC" w:rsidRDefault="003168AC" w:rsidP="003168AC">
      <w:pPr>
        <w:autoSpaceDE w:val="0"/>
        <w:autoSpaceDN w:val="0"/>
        <w:adjustRightInd w:val="0"/>
        <w:jc w:val="both"/>
        <w:rPr>
          <w:lang w:val="en-GB"/>
        </w:rPr>
      </w:pPr>
      <w:r>
        <w:rPr>
          <w:lang w:val="en-GB"/>
        </w:rPr>
        <w:t>[18]</w:t>
      </w:r>
      <w:r>
        <w:rPr>
          <w:lang w:val="en-GB"/>
        </w:rPr>
        <w:tab/>
      </w:r>
      <w:r w:rsidR="00CA11D0" w:rsidRPr="003168AC">
        <w:rPr>
          <w:lang w:val="en-GB"/>
        </w:rPr>
        <w:t xml:space="preserve">In the Gauteng Division, in </w:t>
      </w:r>
      <w:r w:rsidR="00CA11D0" w:rsidRPr="003168AC">
        <w:rPr>
          <w:i/>
          <w:iCs/>
          <w:lang w:val="en-GB"/>
        </w:rPr>
        <w:t>S v Morake</w:t>
      </w:r>
      <w:r w:rsidR="00CA11D0" w:rsidRPr="003168AC">
        <w:rPr>
          <w:lang w:val="en-GB"/>
        </w:rPr>
        <w:t>,</w:t>
      </w:r>
      <w:r w:rsidR="00CA11D0">
        <w:rPr>
          <w:rStyle w:val="FootnoteReference"/>
          <w:lang w:val="en-GB"/>
        </w:rPr>
        <w:footnoteReference w:id="28"/>
      </w:r>
      <w:r w:rsidR="00CA11D0" w:rsidRPr="003168AC">
        <w:rPr>
          <w:lang w:val="en-GB"/>
        </w:rPr>
        <w:t xml:space="preserve"> (‘</w:t>
      </w:r>
      <w:r w:rsidR="00CA11D0" w:rsidRPr="003168AC">
        <w:rPr>
          <w:i/>
          <w:iCs/>
          <w:lang w:val="en-GB"/>
        </w:rPr>
        <w:t>Morake</w:t>
      </w:r>
      <w:r w:rsidR="00CA11D0" w:rsidRPr="003168AC">
        <w:rPr>
          <w:lang w:val="en-GB"/>
        </w:rPr>
        <w:t>’)</w:t>
      </w:r>
      <w:r w:rsidR="00CA11D0" w:rsidRPr="003168AC">
        <w:rPr>
          <w:i/>
          <w:iCs/>
          <w:lang w:val="en-GB"/>
        </w:rPr>
        <w:t xml:space="preserve"> </w:t>
      </w:r>
      <w:r w:rsidR="00CA11D0" w:rsidRPr="003168AC">
        <w:rPr>
          <w:lang w:val="en-GB"/>
        </w:rPr>
        <w:t>a full bench considered a magistrate’s failure to consider a real belief in witchcraft linked to the fear of harm as a misdirection.</w:t>
      </w:r>
      <w:r w:rsidR="00CA11D0" w:rsidRPr="003168AC">
        <w:rPr>
          <w:rStyle w:val="FootnoteReference"/>
          <w:lang w:val="en-GB"/>
        </w:rPr>
        <w:t xml:space="preserve"> </w:t>
      </w:r>
      <w:r w:rsidR="00CA11D0" w:rsidRPr="003168AC">
        <w:rPr>
          <w:lang w:val="en-GB"/>
        </w:rPr>
        <w:t xml:space="preserve">It relied on the SCA decision in </w:t>
      </w:r>
      <w:r w:rsidR="00CA11D0" w:rsidRPr="003168AC">
        <w:rPr>
          <w:i/>
          <w:iCs/>
          <w:lang w:val="en-GB"/>
        </w:rPr>
        <w:t>Director of Public Prosecutions v Moloto</w:t>
      </w:r>
      <w:r w:rsidR="00CA11D0" w:rsidRPr="007938C6">
        <w:rPr>
          <w:rStyle w:val="FootnoteReference"/>
          <w:lang w:val="en-GB"/>
        </w:rPr>
        <w:footnoteReference w:id="29"/>
      </w:r>
      <w:r w:rsidR="00CA11D0" w:rsidRPr="003168AC">
        <w:rPr>
          <w:i/>
          <w:iCs/>
          <w:lang w:val="en-GB"/>
        </w:rPr>
        <w:t xml:space="preserve"> </w:t>
      </w:r>
      <w:r w:rsidR="00CA11D0" w:rsidRPr="003168AC">
        <w:rPr>
          <w:lang w:val="en-GB"/>
        </w:rPr>
        <w:t>(‘</w:t>
      </w:r>
      <w:r w:rsidR="00CA11D0" w:rsidRPr="003168AC">
        <w:rPr>
          <w:i/>
          <w:iCs/>
          <w:lang w:val="en-GB"/>
        </w:rPr>
        <w:t>Moloto</w:t>
      </w:r>
      <w:r w:rsidR="00CA11D0" w:rsidRPr="003168AC">
        <w:rPr>
          <w:lang w:val="en-GB"/>
        </w:rPr>
        <w:t xml:space="preserve">’) in finding that the appellant’s fear of harm for himself and others, </w:t>
      </w:r>
      <w:r w:rsidR="00CA11D0" w:rsidRPr="003168AC">
        <w:rPr>
          <w:lang w:val="en-GB"/>
        </w:rPr>
        <w:lastRenderedPageBreak/>
        <w:t>taken cumulatively with his personal circumstances, constituted substantial and compelling circumstances justifying a deviation from the prescribed minimum sentence.</w:t>
      </w:r>
      <w:r w:rsidR="00CA11D0">
        <w:rPr>
          <w:rStyle w:val="FootnoteReference"/>
          <w:lang w:val="en-GB"/>
        </w:rPr>
        <w:footnoteReference w:id="30"/>
      </w:r>
      <w:r w:rsidR="00CA11D0" w:rsidRPr="003168AC">
        <w:rPr>
          <w:lang w:val="en-GB"/>
        </w:rPr>
        <w:t xml:space="preserve"> While </w:t>
      </w:r>
      <w:r w:rsidR="00CA11D0" w:rsidRPr="003168AC">
        <w:rPr>
          <w:i/>
          <w:iCs/>
          <w:lang w:val="en-GB"/>
        </w:rPr>
        <w:t xml:space="preserve">Morake </w:t>
      </w:r>
      <w:r w:rsidR="00CA11D0" w:rsidRPr="003168AC">
        <w:rPr>
          <w:lang w:val="en-GB"/>
        </w:rPr>
        <w:t xml:space="preserve">involved a charge pertaining to the </w:t>
      </w:r>
      <w:r w:rsidR="00BC16DE" w:rsidRPr="003168AC">
        <w:rPr>
          <w:lang w:val="en-GB"/>
        </w:rPr>
        <w:t>Act</w:t>
      </w:r>
      <w:r w:rsidR="00CA11D0" w:rsidRPr="003168AC">
        <w:rPr>
          <w:lang w:val="en-GB"/>
        </w:rPr>
        <w:t xml:space="preserve">, and the resultant trigger of a prescribed minimum sentence of life imprisonment for that reason too, </w:t>
      </w:r>
      <w:r w:rsidR="00CA11D0" w:rsidRPr="003168AC">
        <w:rPr>
          <w:i/>
          <w:iCs/>
          <w:lang w:val="en-GB"/>
        </w:rPr>
        <w:t>Moloto</w:t>
      </w:r>
      <w:r w:rsidR="00CA11D0" w:rsidRPr="003168AC">
        <w:rPr>
          <w:lang w:val="en-GB"/>
        </w:rPr>
        <w:t xml:space="preserve"> did not. In </w:t>
      </w:r>
      <w:r w:rsidR="00CA11D0" w:rsidRPr="003168AC">
        <w:rPr>
          <w:i/>
          <w:iCs/>
          <w:lang w:val="en-GB"/>
        </w:rPr>
        <w:t>Moloto</w:t>
      </w:r>
      <w:r w:rsidR="00CA11D0" w:rsidRPr="003168AC">
        <w:rPr>
          <w:lang w:val="en-GB"/>
        </w:rPr>
        <w:t>, a minimum sentence of life imprisonment was applicable only by virtue of a conviction of premeditated murder. The SCA cited passages of various authorities to support the need for a weighty sentence, including the following sentiments:</w:t>
      </w:r>
      <w:r w:rsidR="00CA11D0">
        <w:rPr>
          <w:rStyle w:val="FootnoteReference"/>
          <w:lang w:val="en-GB"/>
        </w:rPr>
        <w:footnoteReference w:id="31"/>
      </w:r>
    </w:p>
    <w:p w14:paraId="7D9A05ED" w14:textId="77777777" w:rsidR="00CA11D0" w:rsidRDefault="00CA11D0" w:rsidP="00CA11D0">
      <w:pPr>
        <w:pStyle w:val="ListParagraph"/>
        <w:autoSpaceDE w:val="0"/>
        <w:autoSpaceDN w:val="0"/>
        <w:adjustRightInd w:val="0"/>
        <w:ind w:left="0"/>
        <w:jc w:val="both"/>
        <w:rPr>
          <w:sz w:val="22"/>
          <w:szCs w:val="22"/>
          <w:lang w:val="en-GB"/>
        </w:rPr>
      </w:pPr>
      <w:r>
        <w:rPr>
          <w:sz w:val="22"/>
          <w:szCs w:val="22"/>
          <w:lang w:val="en-GB"/>
        </w:rPr>
        <w:t>‘To regard such killings as substantial and compelling circumstances would send out the wrong message to the community. The prevalence of such cases in South Africa is high. The continuation of such killings will create more instability in the communities where such practices are rife. A strong message must be sent out that such conduct will not be condoned in a civilised society. Where such killings arise they must be punished with the full strength of the law.’ (Footnotes omitted.)</w:t>
      </w:r>
    </w:p>
    <w:p w14:paraId="18E249D7" w14:textId="77777777" w:rsidR="00CA11D0" w:rsidRPr="00EF2802" w:rsidRDefault="00CA11D0" w:rsidP="00CA11D0">
      <w:pPr>
        <w:pStyle w:val="ListParagraph"/>
        <w:autoSpaceDE w:val="0"/>
        <w:autoSpaceDN w:val="0"/>
        <w:adjustRightInd w:val="0"/>
        <w:ind w:left="0"/>
        <w:jc w:val="both"/>
        <w:rPr>
          <w:sz w:val="22"/>
          <w:szCs w:val="22"/>
          <w:lang w:val="en-GB"/>
        </w:rPr>
      </w:pPr>
    </w:p>
    <w:p w14:paraId="3C377095" w14:textId="469932AB" w:rsidR="00CA11D0" w:rsidRPr="003168AC" w:rsidRDefault="003168AC" w:rsidP="003168AC">
      <w:pPr>
        <w:autoSpaceDE w:val="0"/>
        <w:autoSpaceDN w:val="0"/>
        <w:adjustRightInd w:val="0"/>
        <w:jc w:val="both"/>
        <w:rPr>
          <w:lang w:val="en-GB"/>
        </w:rPr>
      </w:pPr>
      <w:r>
        <w:rPr>
          <w:lang w:val="en-GB"/>
        </w:rPr>
        <w:t>[19]</w:t>
      </w:r>
      <w:r>
        <w:rPr>
          <w:lang w:val="en-GB"/>
        </w:rPr>
        <w:tab/>
      </w:r>
      <w:r w:rsidR="00CA11D0" w:rsidRPr="003168AC">
        <w:rPr>
          <w:lang w:val="en-GB"/>
        </w:rPr>
        <w:t>The SCA nonetheless accepted as mitigating factors the accused’s belief in witchcraft and that her life was in danger, also based on the deceased having threatened to kill her previously. Considered cumulatively with the accused’s personal circumstances, the SCA held that substantial and compelling circumstances justified a deviation from the prescribed minimum sentence, imposing a sentence of 10 years imprisonment.</w:t>
      </w:r>
      <w:r w:rsidR="00CA11D0">
        <w:rPr>
          <w:rStyle w:val="FootnoteReference"/>
          <w:lang w:val="en-GB"/>
        </w:rPr>
        <w:footnoteReference w:id="32"/>
      </w:r>
    </w:p>
    <w:p w14:paraId="1A05D683" w14:textId="77777777" w:rsidR="00CA11D0" w:rsidRPr="00107141" w:rsidRDefault="00CA11D0" w:rsidP="00107141">
      <w:pPr>
        <w:rPr>
          <w:lang w:val="en-GB"/>
        </w:rPr>
      </w:pPr>
    </w:p>
    <w:p w14:paraId="6D032B57" w14:textId="0D7EDAEE" w:rsidR="00CA11D0" w:rsidRPr="003168AC" w:rsidRDefault="003168AC" w:rsidP="003168AC">
      <w:pPr>
        <w:autoSpaceDE w:val="0"/>
        <w:autoSpaceDN w:val="0"/>
        <w:adjustRightInd w:val="0"/>
        <w:jc w:val="both"/>
        <w:rPr>
          <w:lang w:val="en-GB"/>
        </w:rPr>
      </w:pPr>
      <w:r>
        <w:rPr>
          <w:lang w:val="en-GB"/>
        </w:rPr>
        <w:t>[20]</w:t>
      </w:r>
      <w:r>
        <w:rPr>
          <w:lang w:val="en-GB"/>
        </w:rPr>
        <w:tab/>
      </w:r>
      <w:r w:rsidR="00CA11D0" w:rsidRPr="003168AC">
        <w:rPr>
          <w:lang w:val="en-GB"/>
        </w:rPr>
        <w:t>Hoctor, noting the relevant amendments to the Criminal Law Amendment Act, 1997, argued more than a decade ago that the cases reflected a trend to regard any mitigating effect due to a genuine belief in witchcraft ‘as increasingly less substantial … [reflecting] the modern South African society’.</w:t>
      </w:r>
      <w:r w:rsidR="00CA11D0">
        <w:rPr>
          <w:rStyle w:val="FootnoteReference"/>
          <w:lang w:val="en-GB"/>
        </w:rPr>
        <w:footnoteReference w:id="33"/>
      </w:r>
      <w:r w:rsidR="00CA11D0" w:rsidRPr="003168AC">
        <w:rPr>
          <w:lang w:val="en-GB"/>
        </w:rPr>
        <w:t xml:space="preserve"> That analysis stops short of assessing the continued place of a genuine belief in witchcraft, on its own, as a ‘substantial and compelling’ factor in circumstances where the legislature has expressly included witchcraft-related offences, when linked to murder, as deserving of life imprisonment. Put differently, can the very rationale for imposition of a minimum </w:t>
      </w:r>
      <w:r w:rsidR="00CA11D0" w:rsidRPr="003168AC">
        <w:rPr>
          <w:lang w:val="en-GB"/>
        </w:rPr>
        <w:lastRenderedPageBreak/>
        <w:t>sentence of life imprisonment qualify on its own as a substantial and compelling circumstance to justify imposition of a lesser sentence than that prescribed?</w:t>
      </w:r>
    </w:p>
    <w:p w14:paraId="2DA29AF3" w14:textId="77777777" w:rsidR="00CA11D0" w:rsidRPr="00B03E00" w:rsidRDefault="00CA11D0" w:rsidP="00B03E00">
      <w:pPr>
        <w:rPr>
          <w:lang w:val="en-GB"/>
        </w:rPr>
      </w:pPr>
    </w:p>
    <w:p w14:paraId="521F16F2" w14:textId="5A7C0B0E" w:rsidR="00CA11D0" w:rsidRPr="003168AC" w:rsidRDefault="003168AC" w:rsidP="003168AC">
      <w:pPr>
        <w:autoSpaceDE w:val="0"/>
        <w:autoSpaceDN w:val="0"/>
        <w:adjustRightInd w:val="0"/>
        <w:jc w:val="both"/>
        <w:rPr>
          <w:lang w:val="en-GB"/>
        </w:rPr>
      </w:pPr>
      <w:r>
        <w:rPr>
          <w:lang w:val="en-GB"/>
        </w:rPr>
        <w:t>[21]</w:t>
      </w:r>
      <w:r>
        <w:rPr>
          <w:lang w:val="en-GB"/>
        </w:rPr>
        <w:tab/>
      </w:r>
      <w:r w:rsidR="00CA11D0" w:rsidRPr="003168AC">
        <w:rPr>
          <w:lang w:val="en-GB"/>
        </w:rPr>
        <w:t xml:space="preserve">In </w:t>
      </w:r>
      <w:r w:rsidR="00CA11D0" w:rsidRPr="003168AC">
        <w:rPr>
          <w:i/>
          <w:iCs/>
          <w:lang w:val="en-GB"/>
        </w:rPr>
        <w:t>S v Xaba</w:t>
      </w:r>
      <w:r w:rsidR="00CA11D0" w:rsidRPr="003168AC">
        <w:rPr>
          <w:lang w:val="en-GB"/>
        </w:rPr>
        <w:t>,</w:t>
      </w:r>
      <w:r w:rsidR="00CA11D0">
        <w:rPr>
          <w:rStyle w:val="FootnoteReference"/>
          <w:lang w:val="en-GB"/>
        </w:rPr>
        <w:footnoteReference w:id="34"/>
      </w:r>
      <w:r w:rsidR="00CA11D0" w:rsidRPr="003168AC">
        <w:rPr>
          <w:lang w:val="en-GB"/>
        </w:rPr>
        <w:t xml:space="preserve"> Mbatha J answered a similar question by holding that a belief in witchcraft should not be considered as a mitigating factor at all.</w:t>
      </w:r>
      <w:r w:rsidR="00CA11D0">
        <w:rPr>
          <w:rStyle w:val="FootnoteReference"/>
          <w:lang w:val="en-GB"/>
        </w:rPr>
        <w:footnoteReference w:id="35"/>
      </w:r>
      <w:r w:rsidR="00CA11D0" w:rsidRPr="003168AC">
        <w:rPr>
          <w:lang w:val="en-GB"/>
        </w:rPr>
        <w:t xml:space="preserve"> In </w:t>
      </w:r>
      <w:r w:rsidR="00CA11D0" w:rsidRPr="003168AC">
        <w:rPr>
          <w:i/>
          <w:iCs/>
          <w:lang w:val="en-GB"/>
        </w:rPr>
        <w:t>Nkosi</w:t>
      </w:r>
      <w:r w:rsidR="00CA11D0" w:rsidRPr="003168AC">
        <w:rPr>
          <w:lang w:val="en-GB"/>
        </w:rPr>
        <w:t xml:space="preserve"> </w:t>
      </w:r>
      <w:r w:rsidR="00CA11D0" w:rsidRPr="003168AC">
        <w:rPr>
          <w:i/>
          <w:iCs/>
          <w:lang w:val="en-GB"/>
        </w:rPr>
        <w:t>v S</w:t>
      </w:r>
      <w:r w:rsidR="00CA11D0" w:rsidRPr="003168AC">
        <w:rPr>
          <w:lang w:val="en-GB"/>
        </w:rPr>
        <w:t>,</w:t>
      </w:r>
      <w:r w:rsidR="00CA11D0" w:rsidRPr="00D018FB">
        <w:rPr>
          <w:rStyle w:val="FootnoteReference"/>
          <w:lang w:val="en-GB"/>
        </w:rPr>
        <w:footnoteReference w:id="36"/>
      </w:r>
      <w:r w:rsidR="00CA11D0" w:rsidRPr="003168AC">
        <w:rPr>
          <w:lang w:val="en-GB"/>
        </w:rPr>
        <w:t xml:space="preserve"> the appellant was found guilty of the murder of his grandmother, a crime perpetrated in the belief that she was a witch. A full bench in the Gauteng Division refused to consider the appellant’s belief in witchcraft to ‘rise to the level of being either a substantial or compelling circumstance’, based on the appellant’s ability to function and ‘hold his own in modern society’.</w:t>
      </w:r>
      <w:r w:rsidR="00CA11D0">
        <w:rPr>
          <w:rStyle w:val="FootnoteReference"/>
          <w:lang w:val="en-GB"/>
        </w:rPr>
        <w:footnoteReference w:id="37"/>
      </w:r>
    </w:p>
    <w:p w14:paraId="47E12B7D" w14:textId="77777777" w:rsidR="00B03E00" w:rsidRPr="00B03E00" w:rsidRDefault="00B03E00" w:rsidP="00B03E00">
      <w:pPr>
        <w:pStyle w:val="ListParagraph"/>
        <w:rPr>
          <w:lang w:val="en-GB"/>
        </w:rPr>
      </w:pPr>
    </w:p>
    <w:p w14:paraId="25F1CA0D" w14:textId="5464C071" w:rsidR="00B03E00" w:rsidRPr="003168AC" w:rsidRDefault="003168AC" w:rsidP="003168AC">
      <w:pPr>
        <w:autoSpaceDE w:val="0"/>
        <w:autoSpaceDN w:val="0"/>
        <w:adjustRightInd w:val="0"/>
        <w:jc w:val="both"/>
        <w:rPr>
          <w:lang w:val="en-GB"/>
        </w:rPr>
      </w:pPr>
      <w:r>
        <w:rPr>
          <w:lang w:val="en-GB"/>
        </w:rPr>
        <w:t>[22]</w:t>
      </w:r>
      <w:r>
        <w:rPr>
          <w:lang w:val="en-GB"/>
        </w:rPr>
        <w:tab/>
      </w:r>
      <w:r w:rsidR="00B03E00" w:rsidRPr="003168AC">
        <w:rPr>
          <w:lang w:val="en-GB"/>
        </w:rPr>
        <w:t>It may be useful to consider the position by way of analogy. Assume that the legislature decides that a particular use of a dangerous dependence-producing substance, an existing offence in terms of the Drugs and Drug Trafficking Act, 1992,</w:t>
      </w:r>
      <w:r w:rsidR="00B03E00">
        <w:rPr>
          <w:rStyle w:val="FootnoteReference"/>
          <w:lang w:val="en-GB"/>
        </w:rPr>
        <w:footnoteReference w:id="38"/>
      </w:r>
      <w:r w:rsidR="00B03E00" w:rsidRPr="003168AC">
        <w:rPr>
          <w:lang w:val="en-GB"/>
        </w:rPr>
        <w:t xml:space="preserve"> is increasingly linked to the commission of the crime of murder. It amends part I of Schedule 2 of the Criminal Law Amendment Act, 1997, to include murder when the death of the victim resulted from, or is directly related to, that particular drug use. Would such a drug user, convicted for the statutory offence, be able to rely on the use of th</w:t>
      </w:r>
      <w:r w:rsidR="00107141" w:rsidRPr="003168AC">
        <w:rPr>
          <w:lang w:val="en-GB"/>
        </w:rPr>
        <w:t>at</w:t>
      </w:r>
      <w:r w:rsidR="00B03E00" w:rsidRPr="003168AC">
        <w:rPr>
          <w:lang w:val="en-GB"/>
        </w:rPr>
        <w:t xml:space="preserve"> drug</w:t>
      </w:r>
      <w:r w:rsidR="00107141" w:rsidRPr="003168AC">
        <w:rPr>
          <w:lang w:val="en-GB"/>
        </w:rPr>
        <w:t>, on its own, as a</w:t>
      </w:r>
      <w:r w:rsidR="00B03E00" w:rsidRPr="003168AC">
        <w:rPr>
          <w:lang w:val="en-GB"/>
        </w:rPr>
        <w:t xml:space="preserve"> ‘substantial and compelling’ circumstance, to avoid life imprisonment? </w:t>
      </w:r>
      <w:r w:rsidR="00B1149B" w:rsidRPr="003168AC">
        <w:rPr>
          <w:lang w:val="en-GB"/>
        </w:rPr>
        <w:t xml:space="preserve">Bearing in mind the legislative intent, could </w:t>
      </w:r>
      <w:r w:rsidR="001E4AC2" w:rsidRPr="003168AC">
        <w:rPr>
          <w:lang w:val="en-GB"/>
        </w:rPr>
        <w:t xml:space="preserve">such </w:t>
      </w:r>
      <w:r w:rsidR="00B1149B" w:rsidRPr="003168AC">
        <w:rPr>
          <w:lang w:val="en-GB"/>
        </w:rPr>
        <w:t>drug use be mitigating at all in these circumstances?</w:t>
      </w:r>
    </w:p>
    <w:p w14:paraId="607A5DF1" w14:textId="77777777" w:rsidR="00107141" w:rsidRPr="00107141" w:rsidRDefault="00107141" w:rsidP="00107141">
      <w:pPr>
        <w:pStyle w:val="ListParagraph"/>
        <w:rPr>
          <w:lang w:val="en-GB"/>
        </w:rPr>
      </w:pPr>
    </w:p>
    <w:p w14:paraId="3B440F9E" w14:textId="1BF45568" w:rsidR="007306D8" w:rsidRPr="003168AC" w:rsidRDefault="003168AC" w:rsidP="003168AC">
      <w:pPr>
        <w:autoSpaceDE w:val="0"/>
        <w:autoSpaceDN w:val="0"/>
        <w:adjustRightInd w:val="0"/>
        <w:jc w:val="both"/>
        <w:rPr>
          <w:lang w:val="en-GB"/>
        </w:rPr>
      </w:pPr>
      <w:r>
        <w:rPr>
          <w:lang w:val="en-GB"/>
        </w:rPr>
        <w:t>[23]</w:t>
      </w:r>
      <w:r>
        <w:rPr>
          <w:lang w:val="en-GB"/>
        </w:rPr>
        <w:tab/>
      </w:r>
      <w:r w:rsidR="00352116" w:rsidRPr="003168AC">
        <w:rPr>
          <w:lang w:val="en-GB"/>
        </w:rPr>
        <w:t xml:space="preserve">The </w:t>
      </w:r>
      <w:r w:rsidR="003E3762" w:rsidRPr="003168AC">
        <w:rPr>
          <w:lang w:val="en-GB"/>
        </w:rPr>
        <w:t>Act</w:t>
      </w:r>
      <w:r w:rsidR="00352116" w:rsidRPr="003168AC">
        <w:rPr>
          <w:lang w:val="en-GB"/>
        </w:rPr>
        <w:t xml:space="preserve"> must have been crafted taking due cognisance of witchcraft beliefs. </w:t>
      </w:r>
      <w:r w:rsidR="00E11491" w:rsidRPr="003168AC">
        <w:rPr>
          <w:lang w:val="en-GB"/>
        </w:rPr>
        <w:t>It</w:t>
      </w:r>
      <w:r w:rsidR="00352116" w:rsidRPr="003168AC">
        <w:rPr>
          <w:lang w:val="en-GB"/>
        </w:rPr>
        <w:t xml:space="preserve"> expressly seeks to suppress the practice of witchcraft and similar practices, notwithstanding the beliefs of individuals in society. </w:t>
      </w:r>
      <w:r w:rsidR="00D724C4" w:rsidRPr="003168AC">
        <w:rPr>
          <w:lang w:val="en-GB"/>
        </w:rPr>
        <w:t xml:space="preserve">It is accepted that those who name or indicate any other person as a wizard, in contravention of the </w:t>
      </w:r>
      <w:r w:rsidR="0020122F" w:rsidRPr="003168AC">
        <w:rPr>
          <w:lang w:val="en-GB"/>
        </w:rPr>
        <w:t>Act</w:t>
      </w:r>
      <w:r w:rsidR="00D724C4" w:rsidRPr="003168AC">
        <w:rPr>
          <w:lang w:val="en-GB"/>
        </w:rPr>
        <w:t xml:space="preserve">, typically do so out of a genuine subjective belief. </w:t>
      </w:r>
      <w:r w:rsidR="007306D8" w:rsidRPr="003168AC">
        <w:rPr>
          <w:lang w:val="en-GB"/>
        </w:rPr>
        <w:t xml:space="preserve">Such conduct has been criminalised as described. </w:t>
      </w:r>
      <w:r w:rsidR="007306D8" w:rsidRPr="003168AC">
        <w:rPr>
          <w:lang w:val="en-GB"/>
        </w:rPr>
        <w:lastRenderedPageBreak/>
        <w:t>In addition, murder when the death of the victim resulted from, or is directly related to, such an offence carries a minimum sentence of life imprisonment, as prescribed by the legislature. That being the case, it is inapposite to rely on the underlying subjective belief in witchcraft</w:t>
      </w:r>
      <w:r w:rsidR="003046DB" w:rsidRPr="003168AC">
        <w:rPr>
          <w:lang w:val="en-GB"/>
        </w:rPr>
        <w:t xml:space="preserve"> alone</w:t>
      </w:r>
      <w:r w:rsidR="007306D8" w:rsidRPr="003168AC">
        <w:rPr>
          <w:lang w:val="en-GB"/>
        </w:rPr>
        <w:t xml:space="preserve"> as a substantial and compelling circumstance. </w:t>
      </w:r>
      <w:r w:rsidR="0090253D" w:rsidRPr="003168AC">
        <w:rPr>
          <w:i/>
          <w:iCs/>
          <w:lang w:val="en-GB"/>
        </w:rPr>
        <w:t xml:space="preserve">Latha </w:t>
      </w:r>
      <w:r w:rsidR="0090253D" w:rsidRPr="003168AC">
        <w:rPr>
          <w:lang w:val="en-GB"/>
        </w:rPr>
        <w:t xml:space="preserve">and </w:t>
      </w:r>
      <w:r w:rsidR="001C44BE" w:rsidRPr="003168AC">
        <w:rPr>
          <w:i/>
          <w:iCs/>
          <w:lang w:val="en-GB"/>
        </w:rPr>
        <w:t xml:space="preserve">Manundu </w:t>
      </w:r>
      <w:r w:rsidR="001C44BE" w:rsidRPr="003168AC">
        <w:rPr>
          <w:lang w:val="en-GB"/>
        </w:rPr>
        <w:t xml:space="preserve">did not consider the impact of the minimum sentence provisioning pertaining </w:t>
      </w:r>
      <w:r w:rsidR="00613F21" w:rsidRPr="003168AC">
        <w:rPr>
          <w:lang w:val="en-GB"/>
        </w:rPr>
        <w:t xml:space="preserve">directly </w:t>
      </w:r>
      <w:r w:rsidR="001C44BE" w:rsidRPr="003168AC">
        <w:rPr>
          <w:lang w:val="en-GB"/>
        </w:rPr>
        <w:t xml:space="preserve">to witchcraft in arriving at </w:t>
      </w:r>
      <w:r w:rsidR="00FD6FA4" w:rsidRPr="003168AC">
        <w:rPr>
          <w:lang w:val="en-GB"/>
        </w:rPr>
        <w:t>their</w:t>
      </w:r>
      <w:r w:rsidR="001C44BE" w:rsidRPr="003168AC">
        <w:rPr>
          <w:lang w:val="en-GB"/>
        </w:rPr>
        <w:t xml:space="preserve"> </w:t>
      </w:r>
      <w:r w:rsidR="00FD6FA4" w:rsidRPr="003168AC">
        <w:rPr>
          <w:lang w:val="en-GB"/>
        </w:rPr>
        <w:t>outcomes</w:t>
      </w:r>
      <w:r w:rsidR="001C44BE" w:rsidRPr="003168AC">
        <w:rPr>
          <w:lang w:val="en-GB"/>
        </w:rPr>
        <w:t xml:space="preserve"> and, respectfully, cannot be followed based on this analysis. </w:t>
      </w:r>
    </w:p>
    <w:p w14:paraId="0D939C8B" w14:textId="77777777" w:rsidR="00B315F9" w:rsidRPr="00B315F9" w:rsidRDefault="00B315F9" w:rsidP="00B315F9">
      <w:pPr>
        <w:pStyle w:val="ListParagraph"/>
        <w:autoSpaceDE w:val="0"/>
        <w:autoSpaceDN w:val="0"/>
        <w:adjustRightInd w:val="0"/>
        <w:ind w:left="0"/>
        <w:jc w:val="both"/>
        <w:rPr>
          <w:lang w:val="en-GB"/>
        </w:rPr>
      </w:pPr>
    </w:p>
    <w:p w14:paraId="1BAF520D" w14:textId="0C3D2DAB" w:rsidR="00107141" w:rsidRPr="003168AC" w:rsidRDefault="003168AC" w:rsidP="003168AC">
      <w:pPr>
        <w:autoSpaceDE w:val="0"/>
        <w:autoSpaceDN w:val="0"/>
        <w:adjustRightInd w:val="0"/>
        <w:jc w:val="both"/>
        <w:rPr>
          <w:lang w:val="en-GB"/>
        </w:rPr>
      </w:pPr>
      <w:r>
        <w:rPr>
          <w:lang w:val="en-GB"/>
        </w:rPr>
        <w:t>[24]</w:t>
      </w:r>
      <w:r>
        <w:rPr>
          <w:lang w:val="en-GB"/>
        </w:rPr>
        <w:tab/>
      </w:r>
      <w:r w:rsidR="005B43EC" w:rsidRPr="003168AC">
        <w:rPr>
          <w:lang w:val="en-GB"/>
        </w:rPr>
        <w:t xml:space="preserve">Considering the decision in </w:t>
      </w:r>
      <w:r w:rsidR="005B43EC" w:rsidRPr="003168AC">
        <w:rPr>
          <w:i/>
          <w:iCs/>
          <w:lang w:val="en-GB"/>
        </w:rPr>
        <w:t>Moloto</w:t>
      </w:r>
      <w:r w:rsidR="005B43EC" w:rsidRPr="003168AC">
        <w:rPr>
          <w:lang w:val="en-GB"/>
        </w:rPr>
        <w:t xml:space="preserve">, </w:t>
      </w:r>
      <w:r w:rsidR="00D856B8" w:rsidRPr="003168AC">
        <w:rPr>
          <w:lang w:val="en-GB"/>
        </w:rPr>
        <w:t xml:space="preserve">however, </w:t>
      </w:r>
      <w:r w:rsidR="005B43EC" w:rsidRPr="003168AC">
        <w:rPr>
          <w:lang w:val="en-GB"/>
        </w:rPr>
        <w:t>it must be accepted that a belief in witchcraft may still be mitigating in certain circumstances</w:t>
      </w:r>
      <w:r w:rsidR="007306D8" w:rsidRPr="003168AC">
        <w:rPr>
          <w:lang w:val="en-GB"/>
        </w:rPr>
        <w:t xml:space="preserve">, </w:t>
      </w:r>
      <w:r w:rsidR="005B43EC" w:rsidRPr="003168AC">
        <w:rPr>
          <w:lang w:val="en-GB"/>
        </w:rPr>
        <w:t>notably when a</w:t>
      </w:r>
      <w:r w:rsidR="003F03EA" w:rsidRPr="003168AC">
        <w:rPr>
          <w:lang w:val="en-GB"/>
        </w:rPr>
        <w:t>n accused acts out of genuine</w:t>
      </w:r>
      <w:r w:rsidR="005B43EC" w:rsidRPr="003168AC">
        <w:rPr>
          <w:lang w:val="en-GB"/>
        </w:rPr>
        <w:t xml:space="preserve"> fear. </w:t>
      </w:r>
      <w:r w:rsidR="00F0435B" w:rsidRPr="003168AC">
        <w:rPr>
          <w:lang w:val="en-GB"/>
        </w:rPr>
        <w:t xml:space="preserve">It is unnecessary for present purposes to attempt to draw the dividing line with any greater degree of clarity. </w:t>
      </w:r>
      <w:r w:rsidR="00A82ABC" w:rsidRPr="003168AC">
        <w:rPr>
          <w:lang w:val="en-GB"/>
        </w:rPr>
        <w:t xml:space="preserve">Both </w:t>
      </w:r>
      <w:r w:rsidR="00107141" w:rsidRPr="003168AC">
        <w:rPr>
          <w:i/>
          <w:iCs/>
          <w:lang w:val="en-GB"/>
        </w:rPr>
        <w:t>Moloto</w:t>
      </w:r>
      <w:r w:rsidR="00107141" w:rsidRPr="003168AC">
        <w:rPr>
          <w:lang w:val="en-GB"/>
        </w:rPr>
        <w:t xml:space="preserve"> </w:t>
      </w:r>
      <w:r w:rsidR="005B43EC" w:rsidRPr="003168AC">
        <w:rPr>
          <w:lang w:val="en-GB"/>
        </w:rPr>
        <w:t xml:space="preserve">and </w:t>
      </w:r>
      <w:r w:rsidR="005B43EC" w:rsidRPr="003168AC">
        <w:rPr>
          <w:i/>
          <w:iCs/>
          <w:lang w:val="en-GB"/>
        </w:rPr>
        <w:t xml:space="preserve">Morake </w:t>
      </w:r>
      <w:r w:rsidR="005B43EC" w:rsidRPr="003168AC">
        <w:rPr>
          <w:lang w:val="en-GB"/>
        </w:rPr>
        <w:t>are</w:t>
      </w:r>
      <w:r w:rsidR="00107141" w:rsidRPr="003168AC">
        <w:rPr>
          <w:lang w:val="en-GB"/>
        </w:rPr>
        <w:t xml:space="preserve"> distinguishable on the facts.</w:t>
      </w:r>
      <w:r w:rsidR="00686B77" w:rsidRPr="003168AC">
        <w:rPr>
          <w:lang w:val="en-GB"/>
        </w:rPr>
        <w:t xml:space="preserve"> </w:t>
      </w:r>
      <w:r w:rsidR="002679D3" w:rsidRPr="003168AC">
        <w:rPr>
          <w:lang w:val="en-GB"/>
        </w:rPr>
        <w:t>It may be added that m</w:t>
      </w:r>
      <w:r w:rsidR="00686B77" w:rsidRPr="003168AC">
        <w:rPr>
          <w:lang w:val="en-GB"/>
        </w:rPr>
        <w:t xml:space="preserve">any of the earlier cases </w:t>
      </w:r>
      <w:r w:rsidR="00643DAC" w:rsidRPr="003168AC">
        <w:rPr>
          <w:lang w:val="en-GB"/>
        </w:rPr>
        <w:t>concerning witchcraft</w:t>
      </w:r>
      <w:r w:rsidR="00FB1548" w:rsidRPr="003168AC">
        <w:rPr>
          <w:lang w:val="en-GB"/>
        </w:rPr>
        <w:t xml:space="preserve"> </w:t>
      </w:r>
      <w:r w:rsidR="00686B77" w:rsidRPr="003168AC">
        <w:rPr>
          <w:lang w:val="en-GB"/>
        </w:rPr>
        <w:t xml:space="preserve">did not involve any charge pertaining to contravention of the Act, </w:t>
      </w:r>
      <w:r w:rsidR="00FB1548" w:rsidRPr="003168AC">
        <w:rPr>
          <w:lang w:val="en-GB"/>
        </w:rPr>
        <w:t>in addition to a charge of murder</w:t>
      </w:r>
      <w:r w:rsidR="00C944FE" w:rsidRPr="003168AC">
        <w:rPr>
          <w:lang w:val="en-GB"/>
        </w:rPr>
        <w:t xml:space="preserve">. </w:t>
      </w:r>
      <w:r w:rsidR="008A02BF" w:rsidRPr="003168AC">
        <w:rPr>
          <w:lang w:val="en-GB"/>
        </w:rPr>
        <w:t>Similarly, v</w:t>
      </w:r>
      <w:r w:rsidR="00FB1548" w:rsidRPr="003168AC">
        <w:rPr>
          <w:lang w:val="en-GB"/>
        </w:rPr>
        <w:t xml:space="preserve">arious authorities were not seized with considering the implications of the reference to the Act in the Criminal Law Amendment Act, 1997, for </w:t>
      </w:r>
      <w:r w:rsidR="00FC1AA5" w:rsidRPr="003168AC">
        <w:rPr>
          <w:lang w:val="en-GB"/>
        </w:rPr>
        <w:t xml:space="preserve">purposes of </w:t>
      </w:r>
      <w:r w:rsidR="00FB1548" w:rsidRPr="003168AC">
        <w:rPr>
          <w:lang w:val="en-GB"/>
        </w:rPr>
        <w:t xml:space="preserve">determining the applicability of </w:t>
      </w:r>
      <w:r w:rsidR="00FC1AA5" w:rsidRPr="003168AC">
        <w:rPr>
          <w:lang w:val="en-GB"/>
        </w:rPr>
        <w:t>the prescribed minimum sentence.</w:t>
      </w:r>
    </w:p>
    <w:p w14:paraId="43A631B0" w14:textId="77777777" w:rsidR="00CA11D0" w:rsidRDefault="00CA11D0" w:rsidP="00173F2B">
      <w:pPr>
        <w:rPr>
          <w:b/>
          <w:bCs/>
          <w:lang w:val="en-GB"/>
        </w:rPr>
      </w:pPr>
    </w:p>
    <w:p w14:paraId="2610DDC4" w14:textId="6F62FD8E" w:rsidR="00173F2B" w:rsidRDefault="00173F2B" w:rsidP="00173F2B">
      <w:pPr>
        <w:rPr>
          <w:b/>
          <w:bCs/>
          <w:lang w:val="en-GB"/>
        </w:rPr>
      </w:pPr>
      <w:r>
        <w:rPr>
          <w:b/>
          <w:bCs/>
          <w:lang w:val="en-GB"/>
        </w:rPr>
        <w:t>Analysis</w:t>
      </w:r>
    </w:p>
    <w:p w14:paraId="0ABB2DBF" w14:textId="77777777" w:rsidR="00173F2B" w:rsidRPr="00173F2B" w:rsidRDefault="00173F2B" w:rsidP="00173F2B">
      <w:pPr>
        <w:rPr>
          <w:b/>
          <w:bCs/>
          <w:lang w:val="en-GB"/>
        </w:rPr>
      </w:pPr>
    </w:p>
    <w:p w14:paraId="711DB833" w14:textId="55F7E8F8" w:rsidR="00A50DE3" w:rsidRPr="003168AC" w:rsidRDefault="003168AC" w:rsidP="003168AC">
      <w:pPr>
        <w:autoSpaceDE w:val="0"/>
        <w:autoSpaceDN w:val="0"/>
        <w:adjustRightInd w:val="0"/>
        <w:jc w:val="both"/>
        <w:rPr>
          <w:lang w:val="en-GB"/>
        </w:rPr>
      </w:pPr>
      <w:r>
        <w:rPr>
          <w:lang w:val="en-GB"/>
        </w:rPr>
        <w:t>[25]</w:t>
      </w:r>
      <w:r>
        <w:rPr>
          <w:lang w:val="en-GB"/>
        </w:rPr>
        <w:tab/>
      </w:r>
      <w:r w:rsidR="00E429A6" w:rsidRPr="003168AC">
        <w:rPr>
          <w:lang w:val="en-GB"/>
        </w:rPr>
        <w:t>It is so that sentencing, even in serious cases, involves the application of a moderation of generosity where appropriate.</w:t>
      </w:r>
      <w:r w:rsidR="00FF547D" w:rsidRPr="003168AC">
        <w:rPr>
          <w:lang w:val="en-GB"/>
        </w:rPr>
        <w:t xml:space="preserve"> That principle cannot replace the balanced weighing of the triad of factors to determine whether the prescribed minimum sentence should be imposed.</w:t>
      </w:r>
      <w:r w:rsidR="00151594">
        <w:rPr>
          <w:rStyle w:val="FootnoteReference"/>
          <w:lang w:val="en-GB"/>
        </w:rPr>
        <w:footnoteReference w:id="39"/>
      </w:r>
      <w:r w:rsidR="00E429A6" w:rsidRPr="003168AC">
        <w:rPr>
          <w:lang w:val="en-GB"/>
        </w:rPr>
        <w:t xml:space="preserve"> </w:t>
      </w:r>
      <w:r w:rsidR="003A114E" w:rsidRPr="003168AC">
        <w:rPr>
          <w:lang w:val="en-GB"/>
        </w:rPr>
        <w:t>Both the striving after severity and misplaced pity are out of place, as are sentences designed to use the crime to set an example for others in society.</w:t>
      </w:r>
      <w:r w:rsidR="003A114E">
        <w:rPr>
          <w:rStyle w:val="FootnoteReference"/>
          <w:lang w:val="en-GB"/>
        </w:rPr>
        <w:footnoteReference w:id="40"/>
      </w:r>
      <w:r w:rsidR="003A114E" w:rsidRPr="003168AC">
        <w:rPr>
          <w:lang w:val="en-GB"/>
        </w:rPr>
        <w:t xml:space="preserve"> </w:t>
      </w:r>
      <w:r w:rsidR="00860739" w:rsidRPr="003168AC">
        <w:rPr>
          <w:lang w:val="en-GB"/>
        </w:rPr>
        <w:t>Courts are obliged to impose the minimum sentences expressed by parliament, unless there are truly convincing reasons to depart from them.</w:t>
      </w:r>
      <w:r w:rsidR="00DE7C05">
        <w:rPr>
          <w:rStyle w:val="FootnoteReference"/>
          <w:lang w:val="en-GB"/>
        </w:rPr>
        <w:footnoteReference w:id="41"/>
      </w:r>
      <w:r w:rsidR="00860739" w:rsidRPr="003168AC">
        <w:rPr>
          <w:lang w:val="en-GB"/>
        </w:rPr>
        <w:t xml:space="preserve"> </w:t>
      </w:r>
    </w:p>
    <w:p w14:paraId="0C0859DB" w14:textId="77777777" w:rsidR="00A50DE3" w:rsidRDefault="00A50DE3" w:rsidP="00A50DE3">
      <w:pPr>
        <w:pStyle w:val="ListParagraph"/>
        <w:autoSpaceDE w:val="0"/>
        <w:autoSpaceDN w:val="0"/>
        <w:adjustRightInd w:val="0"/>
        <w:ind w:left="0"/>
        <w:jc w:val="both"/>
        <w:rPr>
          <w:lang w:val="en-GB"/>
        </w:rPr>
      </w:pPr>
    </w:p>
    <w:p w14:paraId="087497AB" w14:textId="5768D061" w:rsidR="00FE7C53" w:rsidRPr="003168AC" w:rsidRDefault="003168AC" w:rsidP="003168AC">
      <w:pPr>
        <w:autoSpaceDE w:val="0"/>
        <w:autoSpaceDN w:val="0"/>
        <w:adjustRightInd w:val="0"/>
        <w:jc w:val="both"/>
        <w:rPr>
          <w:lang w:val="en-GB"/>
        </w:rPr>
      </w:pPr>
      <w:r>
        <w:rPr>
          <w:lang w:val="en-GB"/>
        </w:rPr>
        <w:t>[26]</w:t>
      </w:r>
      <w:r>
        <w:rPr>
          <w:lang w:val="en-GB"/>
        </w:rPr>
        <w:tab/>
      </w:r>
      <w:r w:rsidR="009803BA" w:rsidRPr="003168AC">
        <w:rPr>
          <w:lang w:val="en-GB"/>
        </w:rPr>
        <w:t>Bearing those principles in mi</w:t>
      </w:r>
      <w:r w:rsidR="00133355" w:rsidRPr="003168AC">
        <w:rPr>
          <w:lang w:val="en-GB"/>
        </w:rPr>
        <w:t xml:space="preserve">nd, </w:t>
      </w:r>
      <w:r w:rsidR="009803BA" w:rsidRPr="003168AC">
        <w:rPr>
          <w:lang w:val="en-GB"/>
        </w:rPr>
        <w:t>t</w:t>
      </w:r>
      <w:r w:rsidR="00B11CCB" w:rsidRPr="003168AC">
        <w:rPr>
          <w:lang w:val="en-GB"/>
        </w:rPr>
        <w:t xml:space="preserve">here is little to suggest substantial and compelling circumstances to deviate from the prescribed minimum sentence for murder in these proceedings, or that imposition of that sentence would be </w:t>
      </w:r>
      <w:r w:rsidR="00B11CCB" w:rsidRPr="003168AC">
        <w:rPr>
          <w:lang w:val="en-GB"/>
        </w:rPr>
        <w:lastRenderedPageBreak/>
        <w:t xml:space="preserve">disproportionate in the circumstances. </w:t>
      </w:r>
      <w:r w:rsidR="00A50DE3" w:rsidRPr="003168AC">
        <w:rPr>
          <w:lang w:val="en-GB"/>
        </w:rPr>
        <w:t xml:space="preserve">This </w:t>
      </w:r>
      <w:r w:rsidR="00627888" w:rsidRPr="003168AC">
        <w:rPr>
          <w:lang w:val="en-GB"/>
        </w:rPr>
        <w:t xml:space="preserve">while </w:t>
      </w:r>
      <w:r w:rsidR="00F714FD" w:rsidRPr="003168AC">
        <w:rPr>
          <w:lang w:val="en-GB"/>
        </w:rPr>
        <w:t>alive to the fact</w:t>
      </w:r>
      <w:r w:rsidR="00A50DE3" w:rsidRPr="003168AC">
        <w:rPr>
          <w:lang w:val="en-GB"/>
        </w:rPr>
        <w:t xml:space="preserve"> that life imprisonment is the heaviest sentence that a person can legally be obliged to serve.</w:t>
      </w:r>
      <w:r w:rsidR="00A50DE3">
        <w:rPr>
          <w:rStyle w:val="FootnoteReference"/>
          <w:lang w:val="en-GB"/>
        </w:rPr>
        <w:footnoteReference w:id="42"/>
      </w:r>
      <w:r w:rsidR="00A50DE3" w:rsidRPr="003168AC">
        <w:rPr>
          <w:lang w:val="en-GB"/>
        </w:rPr>
        <w:t xml:space="preserve"> </w:t>
      </w:r>
    </w:p>
    <w:p w14:paraId="7BEB34D0" w14:textId="77777777" w:rsidR="00FE7C53" w:rsidRPr="00FE7C53" w:rsidRDefault="00FE7C53" w:rsidP="00FE7C53">
      <w:pPr>
        <w:pStyle w:val="ListParagraph"/>
        <w:rPr>
          <w:lang w:val="en-GB"/>
        </w:rPr>
      </w:pPr>
    </w:p>
    <w:p w14:paraId="5831FB0E" w14:textId="78E6F0B7" w:rsidR="00FA10BB" w:rsidRPr="003168AC" w:rsidRDefault="003168AC" w:rsidP="003168AC">
      <w:pPr>
        <w:autoSpaceDE w:val="0"/>
        <w:autoSpaceDN w:val="0"/>
        <w:adjustRightInd w:val="0"/>
        <w:jc w:val="both"/>
        <w:rPr>
          <w:lang w:val="en-GB"/>
        </w:rPr>
      </w:pPr>
      <w:r>
        <w:rPr>
          <w:lang w:val="en-GB"/>
        </w:rPr>
        <w:t>[27]</w:t>
      </w:r>
      <w:r>
        <w:rPr>
          <w:lang w:val="en-GB"/>
        </w:rPr>
        <w:tab/>
      </w:r>
      <w:r w:rsidR="009A75E1" w:rsidRPr="003168AC">
        <w:rPr>
          <w:lang w:val="en-GB"/>
        </w:rPr>
        <w:t>Mr Tyolo</w:t>
      </w:r>
      <w:r w:rsidR="0020228E" w:rsidRPr="003168AC">
        <w:rPr>
          <w:lang w:val="en-GB"/>
        </w:rPr>
        <w:t xml:space="preserve"> admitted a previous conviction for rape</w:t>
      </w:r>
      <w:r w:rsidR="00306E1E" w:rsidRPr="003168AC">
        <w:rPr>
          <w:lang w:val="en-GB"/>
        </w:rPr>
        <w:t xml:space="preserve"> in terms of s 271 of the Criminal Procedure Act, 1977</w:t>
      </w:r>
      <w:r w:rsidR="00B11CCB">
        <w:rPr>
          <w:rStyle w:val="FootnoteReference"/>
          <w:lang w:val="en-GB"/>
        </w:rPr>
        <w:footnoteReference w:id="43"/>
      </w:r>
      <w:r w:rsidR="00044037" w:rsidRPr="003168AC">
        <w:rPr>
          <w:lang w:val="en-GB"/>
        </w:rPr>
        <w:t xml:space="preserve"> (‘the CPA’).</w:t>
      </w:r>
      <w:r w:rsidR="009A75E1" w:rsidRPr="003168AC">
        <w:rPr>
          <w:lang w:val="en-GB"/>
        </w:rPr>
        <w:t xml:space="preserve"> This court is obliged to take </w:t>
      </w:r>
      <w:r w:rsidR="001413C8" w:rsidRPr="003168AC">
        <w:rPr>
          <w:lang w:val="en-GB"/>
        </w:rPr>
        <w:t>that</w:t>
      </w:r>
      <w:r w:rsidR="009A75E1" w:rsidRPr="003168AC">
        <w:rPr>
          <w:lang w:val="en-GB"/>
        </w:rPr>
        <w:t xml:space="preserve"> conviction into account when imposing any sentence in these proceedings</w:t>
      </w:r>
      <w:r w:rsidR="00DF1190" w:rsidRPr="003168AC">
        <w:rPr>
          <w:lang w:val="en-GB"/>
        </w:rPr>
        <w:t xml:space="preserve"> and notes that it includes an element of violence.</w:t>
      </w:r>
      <w:r w:rsidR="00011006">
        <w:rPr>
          <w:rStyle w:val="FootnoteReference"/>
          <w:lang w:val="en-GB"/>
        </w:rPr>
        <w:footnoteReference w:id="44"/>
      </w:r>
      <w:r w:rsidR="00AB3CC7" w:rsidRPr="003168AC">
        <w:rPr>
          <w:lang w:val="en-GB"/>
        </w:rPr>
        <w:t xml:space="preserve"> Although it is accepted that he had consumed a mixture of liquor and was operating to some extent under its influence</w:t>
      </w:r>
      <w:r w:rsidR="00E00015" w:rsidRPr="003168AC">
        <w:rPr>
          <w:lang w:val="en-GB"/>
        </w:rPr>
        <w:t xml:space="preserve"> on 3 December 2022</w:t>
      </w:r>
      <w:r w:rsidR="00AB3CC7" w:rsidRPr="003168AC">
        <w:rPr>
          <w:lang w:val="en-GB"/>
        </w:rPr>
        <w:t>, Mr Tyolo admits that he was aware of what was happening around him, and at all times able to distinguish between right and wrong.</w:t>
      </w:r>
      <w:r w:rsidR="00E53ACA">
        <w:rPr>
          <w:rStyle w:val="FootnoteReference"/>
          <w:lang w:val="en-GB"/>
        </w:rPr>
        <w:footnoteReference w:id="45"/>
      </w:r>
      <w:r w:rsidR="008F44FB" w:rsidRPr="003168AC">
        <w:rPr>
          <w:lang w:val="en-GB"/>
        </w:rPr>
        <w:t xml:space="preserve"> </w:t>
      </w:r>
    </w:p>
    <w:p w14:paraId="1475D77C" w14:textId="77777777" w:rsidR="00FA10BB" w:rsidRDefault="00FA10BB" w:rsidP="00FA10BB">
      <w:pPr>
        <w:pStyle w:val="ListParagraph"/>
        <w:autoSpaceDE w:val="0"/>
        <w:autoSpaceDN w:val="0"/>
        <w:adjustRightInd w:val="0"/>
        <w:ind w:left="0"/>
        <w:jc w:val="both"/>
        <w:rPr>
          <w:lang w:val="en-GB"/>
        </w:rPr>
      </w:pPr>
    </w:p>
    <w:p w14:paraId="0F48B3E7" w14:textId="37E9721F" w:rsidR="00C927E7" w:rsidRPr="003168AC" w:rsidRDefault="003168AC" w:rsidP="003168AC">
      <w:pPr>
        <w:autoSpaceDE w:val="0"/>
        <w:autoSpaceDN w:val="0"/>
        <w:adjustRightInd w:val="0"/>
        <w:jc w:val="both"/>
        <w:rPr>
          <w:lang w:val="en-GB"/>
        </w:rPr>
      </w:pPr>
      <w:r>
        <w:rPr>
          <w:lang w:val="en-GB"/>
        </w:rPr>
        <w:t>[28]</w:t>
      </w:r>
      <w:r>
        <w:rPr>
          <w:lang w:val="en-GB"/>
        </w:rPr>
        <w:tab/>
      </w:r>
      <w:r w:rsidR="008F44FB" w:rsidRPr="003168AC">
        <w:rPr>
          <w:lang w:val="en-GB"/>
        </w:rPr>
        <w:t>His conduct reflects thought and planning</w:t>
      </w:r>
      <w:r w:rsidR="000261E6" w:rsidRPr="003168AC">
        <w:rPr>
          <w:lang w:val="en-GB"/>
        </w:rPr>
        <w:t xml:space="preserve">. His brother’s condition worsened during November and by December 2022 he had placed the blame for this on his aunt’s supposed power to bewitch. </w:t>
      </w:r>
      <w:r w:rsidR="002B296D" w:rsidRPr="003168AC">
        <w:rPr>
          <w:lang w:val="en-GB"/>
        </w:rPr>
        <w:t xml:space="preserve">The traditional ceremony </w:t>
      </w:r>
      <w:r w:rsidR="004A4260" w:rsidRPr="003168AC">
        <w:rPr>
          <w:lang w:val="en-GB"/>
        </w:rPr>
        <w:t xml:space="preserve">that took place a few days later, </w:t>
      </w:r>
      <w:r w:rsidR="002B296D" w:rsidRPr="003168AC">
        <w:rPr>
          <w:lang w:val="en-GB"/>
        </w:rPr>
        <w:t>on 3 December 2022</w:t>
      </w:r>
      <w:r w:rsidR="004A4260" w:rsidRPr="003168AC">
        <w:rPr>
          <w:lang w:val="en-GB"/>
        </w:rPr>
        <w:t>,</w:t>
      </w:r>
      <w:r w:rsidR="002B296D" w:rsidRPr="003168AC">
        <w:rPr>
          <w:lang w:val="en-GB"/>
        </w:rPr>
        <w:t xml:space="preserve"> added fuel to his fire</w:t>
      </w:r>
      <w:r w:rsidR="004A4260" w:rsidRPr="003168AC">
        <w:rPr>
          <w:lang w:val="en-GB"/>
        </w:rPr>
        <w:t xml:space="preserve"> and provided him with an opportunity</w:t>
      </w:r>
      <w:r w:rsidR="002B296D" w:rsidRPr="003168AC">
        <w:rPr>
          <w:lang w:val="en-GB"/>
        </w:rPr>
        <w:t xml:space="preserve">. </w:t>
      </w:r>
      <w:r w:rsidR="00FC7919" w:rsidRPr="003168AC">
        <w:rPr>
          <w:lang w:val="en-GB"/>
        </w:rPr>
        <w:t>During the day he named his aunt as a witch</w:t>
      </w:r>
      <w:r w:rsidR="007F6266" w:rsidRPr="003168AC">
        <w:rPr>
          <w:lang w:val="en-GB"/>
        </w:rPr>
        <w:t>, deciding to kill her for what she had supposedly done to Sibongile, who was present at the ceremony.</w:t>
      </w:r>
      <w:r w:rsidR="004B5F75" w:rsidRPr="003168AC">
        <w:rPr>
          <w:lang w:val="en-GB"/>
        </w:rPr>
        <w:t xml:space="preserve"> </w:t>
      </w:r>
      <w:r w:rsidR="004B2EE5" w:rsidRPr="003168AC">
        <w:rPr>
          <w:lang w:val="en-GB"/>
        </w:rPr>
        <w:t>H</w:t>
      </w:r>
      <w:r w:rsidR="004B5F75" w:rsidRPr="003168AC">
        <w:rPr>
          <w:lang w:val="en-GB"/>
        </w:rPr>
        <w:t xml:space="preserve">e acted by inviting the deceased to sleep at his residence, purely so that he could kill </w:t>
      </w:r>
      <w:r w:rsidR="00CE4D16" w:rsidRPr="003168AC">
        <w:rPr>
          <w:lang w:val="en-GB"/>
        </w:rPr>
        <w:t xml:space="preserve">her there. </w:t>
      </w:r>
      <w:r w:rsidR="005A7F71" w:rsidRPr="003168AC">
        <w:rPr>
          <w:lang w:val="en-GB"/>
        </w:rPr>
        <w:t>He walked with her. At his shack he used the panga-like object to cause her death</w:t>
      </w:r>
      <w:r w:rsidR="00B55C3A" w:rsidRPr="003168AC">
        <w:rPr>
          <w:lang w:val="en-GB"/>
        </w:rPr>
        <w:t xml:space="preserve">, </w:t>
      </w:r>
      <w:r w:rsidR="00D64C7A" w:rsidRPr="003168AC">
        <w:rPr>
          <w:lang w:val="en-GB"/>
        </w:rPr>
        <w:t>inflict</w:t>
      </w:r>
      <w:r w:rsidR="00B55C3A" w:rsidRPr="003168AC">
        <w:rPr>
          <w:lang w:val="en-GB"/>
        </w:rPr>
        <w:t>ing</w:t>
      </w:r>
      <w:r w:rsidR="00D64C7A" w:rsidRPr="003168AC">
        <w:rPr>
          <w:lang w:val="en-GB"/>
        </w:rPr>
        <w:t>, inter alia, multiple lacerations, 10 to 15 centimetres in length, on the left side of her face and multiple skull fractures</w:t>
      </w:r>
      <w:r w:rsidR="005A7F71" w:rsidRPr="003168AC">
        <w:rPr>
          <w:lang w:val="en-GB"/>
        </w:rPr>
        <w:t xml:space="preserve">. </w:t>
      </w:r>
      <w:r w:rsidR="007F6266" w:rsidRPr="003168AC">
        <w:rPr>
          <w:lang w:val="en-GB"/>
        </w:rPr>
        <w:t xml:space="preserve"> </w:t>
      </w:r>
    </w:p>
    <w:p w14:paraId="3290DF0C" w14:textId="77777777" w:rsidR="00FA10BB" w:rsidRPr="00FA10BB" w:rsidRDefault="00FA10BB" w:rsidP="00FA10BB">
      <w:pPr>
        <w:pStyle w:val="ListParagraph"/>
        <w:rPr>
          <w:lang w:val="en-GB"/>
        </w:rPr>
      </w:pPr>
    </w:p>
    <w:p w14:paraId="55380761" w14:textId="470281C7" w:rsidR="004D2EA8" w:rsidRPr="003168AC" w:rsidRDefault="003168AC" w:rsidP="003168AC">
      <w:pPr>
        <w:autoSpaceDE w:val="0"/>
        <w:autoSpaceDN w:val="0"/>
        <w:adjustRightInd w:val="0"/>
        <w:jc w:val="both"/>
        <w:rPr>
          <w:lang w:val="en-GB"/>
        </w:rPr>
      </w:pPr>
      <w:r w:rsidRPr="009A00EF">
        <w:rPr>
          <w:lang w:val="en-GB"/>
        </w:rPr>
        <w:t>[29]</w:t>
      </w:r>
      <w:r w:rsidRPr="009A00EF">
        <w:rPr>
          <w:lang w:val="en-GB"/>
        </w:rPr>
        <w:tab/>
      </w:r>
      <w:r w:rsidR="00FD35D0" w:rsidRPr="003168AC">
        <w:rPr>
          <w:lang w:val="en-GB"/>
        </w:rPr>
        <w:t xml:space="preserve">While Mr Tyolo pleaded guilty to both offences, the circumstances are such that the evidence against him was overwhelming, there being at least two eye-witnesses to both offences. </w:t>
      </w:r>
      <w:r w:rsidR="00DC2170" w:rsidRPr="003168AC">
        <w:rPr>
          <w:lang w:val="en-GB"/>
        </w:rPr>
        <w:t>There is no suggestion of regret or remorse</w:t>
      </w:r>
      <w:r w:rsidR="00AA35A8" w:rsidRPr="003168AC">
        <w:rPr>
          <w:lang w:val="en-GB"/>
        </w:rPr>
        <w:t xml:space="preserve">, </w:t>
      </w:r>
      <w:r w:rsidR="00417D21" w:rsidRPr="003168AC">
        <w:rPr>
          <w:lang w:val="en-GB"/>
        </w:rPr>
        <w:t xml:space="preserve">as is evident from the </w:t>
      </w:r>
      <w:r w:rsidR="003438EF" w:rsidRPr="003168AC">
        <w:rPr>
          <w:lang w:val="en-GB"/>
        </w:rPr>
        <w:t>treatment of the body</w:t>
      </w:r>
      <w:r w:rsidR="00417D21" w:rsidRPr="003168AC">
        <w:rPr>
          <w:lang w:val="en-GB"/>
        </w:rPr>
        <w:t xml:space="preserve"> after the murder, </w:t>
      </w:r>
      <w:r w:rsidR="00AA35A8" w:rsidRPr="003168AC">
        <w:rPr>
          <w:lang w:val="en-GB"/>
        </w:rPr>
        <w:t xml:space="preserve">merely the repeated justification based on the belief in witchcraft linked to </w:t>
      </w:r>
      <w:r w:rsidR="00E47D66" w:rsidRPr="003168AC">
        <w:rPr>
          <w:lang w:val="en-GB"/>
        </w:rPr>
        <w:t>Mr Tyolo’s sympathies towards Sibongile’s health</w:t>
      </w:r>
      <w:r w:rsidR="00DC2170" w:rsidRPr="003168AC">
        <w:rPr>
          <w:lang w:val="en-GB"/>
        </w:rPr>
        <w:t xml:space="preserve">. </w:t>
      </w:r>
      <w:r w:rsidR="00044037" w:rsidRPr="003168AC">
        <w:rPr>
          <w:lang w:val="en-GB"/>
        </w:rPr>
        <w:t>There is also no mention in his statement</w:t>
      </w:r>
      <w:r w:rsidR="00F077E4" w:rsidRPr="003168AC">
        <w:rPr>
          <w:lang w:val="en-GB"/>
        </w:rPr>
        <w:t>,</w:t>
      </w:r>
      <w:r w:rsidR="00044037" w:rsidRPr="003168AC">
        <w:rPr>
          <w:lang w:val="en-GB"/>
        </w:rPr>
        <w:t xml:space="preserve"> in terms of s 112 of the CPA</w:t>
      </w:r>
      <w:r w:rsidR="00F077E4" w:rsidRPr="003168AC">
        <w:rPr>
          <w:lang w:val="en-GB"/>
        </w:rPr>
        <w:t>,</w:t>
      </w:r>
      <w:r w:rsidR="00DD0E2F" w:rsidRPr="003168AC">
        <w:rPr>
          <w:lang w:val="en-GB"/>
        </w:rPr>
        <w:t xml:space="preserve"> that once released he would refrain from such conduct.</w:t>
      </w:r>
      <w:r w:rsidR="00CE5D89">
        <w:rPr>
          <w:rStyle w:val="FootnoteReference"/>
          <w:lang w:val="en-GB"/>
        </w:rPr>
        <w:footnoteReference w:id="46"/>
      </w:r>
    </w:p>
    <w:p w14:paraId="200763E2" w14:textId="77777777" w:rsidR="00B20C9A" w:rsidRPr="00B20C9A" w:rsidRDefault="00B20C9A" w:rsidP="00B20C9A">
      <w:pPr>
        <w:pStyle w:val="ListParagraph"/>
        <w:rPr>
          <w:lang w:val="en-GB"/>
        </w:rPr>
      </w:pPr>
    </w:p>
    <w:p w14:paraId="5AF318DB" w14:textId="777B3B3C" w:rsidR="00707FA4" w:rsidRPr="003168AC" w:rsidRDefault="003168AC" w:rsidP="003168AC">
      <w:pPr>
        <w:autoSpaceDE w:val="0"/>
        <w:autoSpaceDN w:val="0"/>
        <w:adjustRightInd w:val="0"/>
        <w:jc w:val="both"/>
        <w:rPr>
          <w:lang w:val="en-GB"/>
        </w:rPr>
      </w:pPr>
      <w:r>
        <w:rPr>
          <w:lang w:val="en-GB"/>
        </w:rPr>
        <w:t>[30]</w:t>
      </w:r>
      <w:r>
        <w:rPr>
          <w:lang w:val="en-GB"/>
        </w:rPr>
        <w:tab/>
      </w:r>
      <w:r w:rsidR="00866680" w:rsidRPr="003168AC">
        <w:rPr>
          <w:lang w:val="en-GB"/>
        </w:rPr>
        <w:t>It is in the best interests of society that a belief in witchcraft should not</w:t>
      </w:r>
      <w:r w:rsidR="00FE7C53" w:rsidRPr="003168AC">
        <w:rPr>
          <w:lang w:val="en-GB"/>
        </w:rPr>
        <w:t xml:space="preserve">, </w:t>
      </w:r>
      <w:r w:rsidR="008F095A" w:rsidRPr="003168AC">
        <w:rPr>
          <w:lang w:val="en-GB"/>
        </w:rPr>
        <w:t xml:space="preserve">at least </w:t>
      </w:r>
      <w:r w:rsidR="00FE7C53" w:rsidRPr="003168AC">
        <w:rPr>
          <w:lang w:val="en-GB"/>
        </w:rPr>
        <w:t>on its own,</w:t>
      </w:r>
      <w:r w:rsidR="00866680" w:rsidRPr="003168AC">
        <w:rPr>
          <w:lang w:val="en-GB"/>
        </w:rPr>
        <w:t xml:space="preserve"> be permitted to displace what sound, established sentencing principles require</w:t>
      </w:r>
      <w:r w:rsidR="004B1C2E" w:rsidRPr="003168AC">
        <w:rPr>
          <w:lang w:val="en-GB"/>
        </w:rPr>
        <w:t>, considering the moral blameworthiness of the individual for the offence having regard to all the facts.</w:t>
      </w:r>
      <w:r w:rsidR="00866680">
        <w:rPr>
          <w:rStyle w:val="FootnoteReference"/>
          <w:lang w:val="en-GB"/>
        </w:rPr>
        <w:footnoteReference w:id="47"/>
      </w:r>
      <w:r w:rsidR="006F33F3" w:rsidRPr="003168AC">
        <w:rPr>
          <w:lang w:val="en-GB"/>
        </w:rPr>
        <w:t xml:space="preserve"> </w:t>
      </w:r>
      <w:r w:rsidR="00866680" w:rsidRPr="003168AC">
        <w:rPr>
          <w:lang w:val="en-GB"/>
        </w:rPr>
        <w:t xml:space="preserve"> </w:t>
      </w:r>
      <w:r w:rsidR="0037021A" w:rsidRPr="003168AC">
        <w:rPr>
          <w:lang w:val="en-GB"/>
        </w:rPr>
        <w:t xml:space="preserve">To permit this would, in effect, be to undermine the legislature’s </w:t>
      </w:r>
      <w:r w:rsidR="008A781B" w:rsidRPr="003168AC">
        <w:rPr>
          <w:lang w:val="en-GB"/>
        </w:rPr>
        <w:t>prescri</w:t>
      </w:r>
      <w:r w:rsidR="002C79F6" w:rsidRPr="003168AC">
        <w:rPr>
          <w:lang w:val="en-GB"/>
        </w:rPr>
        <w:t xml:space="preserve">ption of a </w:t>
      </w:r>
      <w:r w:rsidR="0037021A" w:rsidRPr="003168AC">
        <w:rPr>
          <w:lang w:val="en-GB"/>
        </w:rPr>
        <w:t>minimum sentence of life imp</w:t>
      </w:r>
      <w:r w:rsidR="002C79F6" w:rsidRPr="003168AC">
        <w:rPr>
          <w:lang w:val="en-GB"/>
        </w:rPr>
        <w:t>risonment when murder is directly related to an offence contemplated in s</w:t>
      </w:r>
      <w:r w:rsidR="00AF425A" w:rsidRPr="003168AC">
        <w:rPr>
          <w:lang w:val="en-GB"/>
        </w:rPr>
        <w:t>s</w:t>
      </w:r>
      <w:r w:rsidR="002C79F6" w:rsidRPr="003168AC">
        <w:rPr>
          <w:lang w:val="en-GB"/>
        </w:rPr>
        <w:t xml:space="preserve"> 1(</w:t>
      </w:r>
      <w:r w:rsidR="002C79F6" w:rsidRPr="003168AC">
        <w:rPr>
          <w:i/>
          <w:iCs/>
          <w:lang w:val="en-GB"/>
        </w:rPr>
        <w:t>a</w:t>
      </w:r>
      <w:r w:rsidR="002C79F6" w:rsidRPr="003168AC">
        <w:rPr>
          <w:lang w:val="en-GB"/>
        </w:rPr>
        <w:t>) to (</w:t>
      </w:r>
      <w:r w:rsidR="002C79F6" w:rsidRPr="003168AC">
        <w:rPr>
          <w:i/>
          <w:iCs/>
          <w:lang w:val="en-GB"/>
        </w:rPr>
        <w:t>e</w:t>
      </w:r>
      <w:r w:rsidR="002C79F6" w:rsidRPr="003168AC">
        <w:rPr>
          <w:lang w:val="en-GB"/>
        </w:rPr>
        <w:t xml:space="preserve">) of the </w:t>
      </w:r>
      <w:r w:rsidR="00C86E57" w:rsidRPr="003168AC">
        <w:rPr>
          <w:lang w:val="en-GB"/>
        </w:rPr>
        <w:t>Act</w:t>
      </w:r>
      <w:r w:rsidR="002C79F6" w:rsidRPr="003168AC">
        <w:rPr>
          <w:lang w:val="en-GB"/>
        </w:rPr>
        <w:t>.</w:t>
      </w:r>
    </w:p>
    <w:p w14:paraId="3B0D66B2" w14:textId="77777777" w:rsidR="00707FA4" w:rsidRPr="00707FA4" w:rsidRDefault="00707FA4" w:rsidP="00707FA4">
      <w:pPr>
        <w:pStyle w:val="ListParagraph"/>
        <w:rPr>
          <w:lang w:val="en-GB"/>
        </w:rPr>
      </w:pPr>
    </w:p>
    <w:p w14:paraId="514004DD" w14:textId="1F5134E5" w:rsidR="00B20C9A" w:rsidRPr="003168AC" w:rsidRDefault="003168AC" w:rsidP="003168AC">
      <w:pPr>
        <w:autoSpaceDE w:val="0"/>
        <w:autoSpaceDN w:val="0"/>
        <w:adjustRightInd w:val="0"/>
        <w:jc w:val="both"/>
        <w:rPr>
          <w:lang w:val="en-GB"/>
        </w:rPr>
      </w:pPr>
      <w:r>
        <w:rPr>
          <w:lang w:val="en-GB"/>
        </w:rPr>
        <w:t>[31]</w:t>
      </w:r>
      <w:r>
        <w:rPr>
          <w:lang w:val="en-GB"/>
        </w:rPr>
        <w:tab/>
      </w:r>
      <w:r w:rsidR="00B20C9A" w:rsidRPr="003168AC">
        <w:rPr>
          <w:lang w:val="en-GB"/>
        </w:rPr>
        <w:t xml:space="preserve">Even if </w:t>
      </w:r>
      <w:r w:rsidR="000A4D92" w:rsidRPr="003168AC">
        <w:rPr>
          <w:lang w:val="en-GB"/>
        </w:rPr>
        <w:t>the</w:t>
      </w:r>
      <w:r w:rsidR="00B20C9A" w:rsidRPr="003168AC">
        <w:rPr>
          <w:lang w:val="en-GB"/>
        </w:rPr>
        <w:t xml:space="preserve"> </w:t>
      </w:r>
      <w:r w:rsidR="000A4D92" w:rsidRPr="003168AC">
        <w:rPr>
          <w:lang w:val="en-GB"/>
        </w:rPr>
        <w:t>analysis regarding witchcraft as a possible substantial and compelling factor</w:t>
      </w:r>
      <w:r w:rsidR="00B20C9A" w:rsidRPr="003168AC">
        <w:rPr>
          <w:lang w:val="en-GB"/>
        </w:rPr>
        <w:t xml:space="preserve"> is erroneous, the facts are such that the belief in witchcraft, together with the other factors in favour of Mr Tyolo, are not substantial and compelling to justify imposition of a lesser sentence. </w:t>
      </w:r>
      <w:r w:rsidR="004C76DF" w:rsidRPr="003168AC">
        <w:rPr>
          <w:lang w:val="en-GB"/>
        </w:rPr>
        <w:t xml:space="preserve">Applying the considerations expressed in </w:t>
      </w:r>
      <w:r w:rsidR="004C76DF" w:rsidRPr="003168AC">
        <w:rPr>
          <w:i/>
          <w:iCs/>
          <w:lang w:val="en-GB"/>
        </w:rPr>
        <w:t>Motsepa</w:t>
      </w:r>
      <w:r w:rsidR="004C76DF" w:rsidRPr="003168AC">
        <w:rPr>
          <w:lang w:val="en-GB"/>
        </w:rPr>
        <w:t>,</w:t>
      </w:r>
      <w:r w:rsidR="004C76DF" w:rsidRPr="003168AC">
        <w:rPr>
          <w:i/>
          <w:iCs/>
          <w:lang w:val="en-GB"/>
        </w:rPr>
        <w:t xml:space="preserve"> </w:t>
      </w:r>
      <w:r w:rsidR="004C76DF" w:rsidRPr="003168AC">
        <w:rPr>
          <w:lang w:val="en-GB"/>
        </w:rPr>
        <w:t>and a</w:t>
      </w:r>
      <w:r w:rsidR="00B20C9A" w:rsidRPr="003168AC">
        <w:rPr>
          <w:lang w:val="en-GB"/>
        </w:rPr>
        <w:t xml:space="preserve">s in </w:t>
      </w:r>
      <w:r w:rsidR="00B20C9A" w:rsidRPr="003168AC">
        <w:rPr>
          <w:i/>
          <w:iCs/>
          <w:lang w:val="en-GB"/>
        </w:rPr>
        <w:t>Phama</w:t>
      </w:r>
      <w:r w:rsidR="00B20C9A" w:rsidRPr="003168AC">
        <w:rPr>
          <w:lang w:val="en-GB"/>
        </w:rPr>
        <w:t xml:space="preserve">, this was not an instance where the accused operated under imminent threat or out of a sense of </w:t>
      </w:r>
      <w:r w:rsidR="00E16F52" w:rsidRPr="003168AC">
        <w:rPr>
          <w:lang w:val="en-GB"/>
        </w:rPr>
        <w:t xml:space="preserve">fear, </w:t>
      </w:r>
      <w:r w:rsidR="00B20C9A" w:rsidRPr="003168AC">
        <w:rPr>
          <w:lang w:val="en-GB"/>
        </w:rPr>
        <w:t>prevention or self-protection. Rather, it was more an act of vengeance</w:t>
      </w:r>
      <w:r w:rsidR="008429FF" w:rsidRPr="003168AC">
        <w:rPr>
          <w:lang w:val="en-GB"/>
        </w:rPr>
        <w:t xml:space="preserve"> ‘because of what I believed the deceased had done to my brother’.</w:t>
      </w:r>
      <w:r w:rsidR="007074E8">
        <w:rPr>
          <w:rStyle w:val="FootnoteReference"/>
          <w:lang w:val="en-GB"/>
        </w:rPr>
        <w:footnoteReference w:id="48"/>
      </w:r>
      <w:r w:rsidR="00B20C9A" w:rsidRPr="003168AC">
        <w:rPr>
          <w:lang w:val="en-GB"/>
        </w:rPr>
        <w:t xml:space="preserve"> </w:t>
      </w:r>
      <w:r w:rsidR="00802DC7" w:rsidRPr="003168AC">
        <w:rPr>
          <w:lang w:val="en-GB"/>
        </w:rPr>
        <w:t>Even if depth and sincerity of belief are assumed,</w:t>
      </w:r>
      <w:r w:rsidR="00AC4BEE" w:rsidRPr="003168AC">
        <w:rPr>
          <w:lang w:val="en-GB"/>
        </w:rPr>
        <w:t xml:space="preserve"> there is nothing to suggest that the accused has lived in a part of society that may be considered as justifiably behind the times. The information at hand suggests the contrary, the accused having considered Cape Town to be his home. T</w:t>
      </w:r>
      <w:r w:rsidR="00802DC7" w:rsidRPr="003168AC">
        <w:rPr>
          <w:lang w:val="en-GB"/>
        </w:rPr>
        <w:t xml:space="preserve">he extent of fear experienced by the accused, the immediacy of any perceived threat or impulse and the accused’s relationship with the deceased was unexplained. Added to this is the brutality with which the </w:t>
      </w:r>
      <w:r w:rsidR="009A3184" w:rsidRPr="003168AC">
        <w:rPr>
          <w:lang w:val="en-GB"/>
        </w:rPr>
        <w:t xml:space="preserve">premeditated </w:t>
      </w:r>
      <w:r w:rsidR="00802DC7" w:rsidRPr="003168AC">
        <w:rPr>
          <w:lang w:val="en-GB"/>
        </w:rPr>
        <w:t>murder was committed, coupled with the various other aggravating features of the crime</w:t>
      </w:r>
      <w:r w:rsidR="00AC4BEE" w:rsidRPr="003168AC">
        <w:rPr>
          <w:lang w:val="en-GB"/>
        </w:rPr>
        <w:t xml:space="preserve"> already described</w:t>
      </w:r>
      <w:r w:rsidR="00FB556F" w:rsidRPr="003168AC">
        <w:rPr>
          <w:lang w:val="en-GB"/>
        </w:rPr>
        <w:t xml:space="preserve">, </w:t>
      </w:r>
      <w:r w:rsidR="000E6636" w:rsidRPr="003168AC">
        <w:rPr>
          <w:lang w:val="en-GB"/>
        </w:rPr>
        <w:t>notably</w:t>
      </w:r>
      <w:r w:rsidR="00FB556F" w:rsidRPr="003168AC">
        <w:rPr>
          <w:lang w:val="en-GB"/>
        </w:rPr>
        <w:t xml:space="preserve"> the victim’s age</w:t>
      </w:r>
      <w:r w:rsidR="009A7394" w:rsidRPr="003168AC">
        <w:rPr>
          <w:lang w:val="en-GB"/>
        </w:rPr>
        <w:t xml:space="preserve"> and the inherent breach of trust when considering the familial connection and circumstances of the offence</w:t>
      </w:r>
      <w:r w:rsidR="002868E4" w:rsidRPr="003168AC">
        <w:rPr>
          <w:lang w:val="en-GB"/>
        </w:rPr>
        <w:t>. S</w:t>
      </w:r>
      <w:r w:rsidR="004A2187" w:rsidRPr="003168AC">
        <w:rPr>
          <w:lang w:val="en-GB"/>
        </w:rPr>
        <w:t xml:space="preserve">ociety’s evolving view regarding such crimes, as reflected in the link between contraventions of the </w:t>
      </w:r>
      <w:r w:rsidR="00C86E57" w:rsidRPr="003168AC">
        <w:rPr>
          <w:lang w:val="en-GB"/>
        </w:rPr>
        <w:t>Act</w:t>
      </w:r>
      <w:r w:rsidR="004A2187" w:rsidRPr="003168AC">
        <w:rPr>
          <w:lang w:val="en-GB"/>
        </w:rPr>
        <w:t xml:space="preserve"> and a minimum sentence of life imprisonment for a related murder</w:t>
      </w:r>
      <w:r w:rsidR="002868E4" w:rsidRPr="003168AC">
        <w:rPr>
          <w:lang w:val="en-GB"/>
        </w:rPr>
        <w:t xml:space="preserve">, </w:t>
      </w:r>
      <w:r w:rsidR="00514A7B" w:rsidRPr="003168AC">
        <w:rPr>
          <w:lang w:val="en-GB"/>
        </w:rPr>
        <w:t>must</w:t>
      </w:r>
      <w:r w:rsidR="002868E4" w:rsidRPr="003168AC">
        <w:rPr>
          <w:lang w:val="en-GB"/>
        </w:rPr>
        <w:t xml:space="preserve"> also be considered.</w:t>
      </w:r>
      <w:r w:rsidR="004A2187">
        <w:rPr>
          <w:rStyle w:val="FootnoteReference"/>
          <w:lang w:val="en-GB"/>
        </w:rPr>
        <w:footnoteReference w:id="49"/>
      </w:r>
      <w:r w:rsidR="00FC6583" w:rsidRPr="003168AC">
        <w:rPr>
          <w:lang w:val="en-GB"/>
        </w:rPr>
        <w:t xml:space="preserve"> </w:t>
      </w:r>
      <w:r w:rsidR="00CC3358" w:rsidRPr="003168AC">
        <w:rPr>
          <w:lang w:val="en-GB"/>
        </w:rPr>
        <w:t xml:space="preserve">Mr Tyolo’s personal circumstances, </w:t>
      </w:r>
      <w:r w:rsidR="00C23192" w:rsidRPr="003168AC">
        <w:rPr>
          <w:lang w:val="en-GB"/>
        </w:rPr>
        <w:lastRenderedPageBreak/>
        <w:t>notably</w:t>
      </w:r>
      <w:r w:rsidR="00CC3358" w:rsidRPr="003168AC">
        <w:rPr>
          <w:lang w:val="en-GB"/>
        </w:rPr>
        <w:t xml:space="preserve"> his plea of guilty and alcohol usage, </w:t>
      </w:r>
      <w:r w:rsidR="00C23192" w:rsidRPr="003168AC">
        <w:rPr>
          <w:lang w:val="en-GB"/>
        </w:rPr>
        <w:t xml:space="preserve">are </w:t>
      </w:r>
      <w:r w:rsidR="0092272B" w:rsidRPr="003168AC">
        <w:rPr>
          <w:lang w:val="en-GB"/>
        </w:rPr>
        <w:t xml:space="preserve">wholly </w:t>
      </w:r>
      <w:r w:rsidR="00C23192" w:rsidRPr="003168AC">
        <w:rPr>
          <w:lang w:val="en-GB"/>
        </w:rPr>
        <w:t xml:space="preserve">outweighed </w:t>
      </w:r>
      <w:r w:rsidR="0092272B" w:rsidRPr="003168AC">
        <w:rPr>
          <w:lang w:val="en-GB"/>
        </w:rPr>
        <w:t>by the other factors considered</w:t>
      </w:r>
      <w:r w:rsidR="00CC3358" w:rsidRPr="003168AC">
        <w:rPr>
          <w:lang w:val="en-GB"/>
        </w:rPr>
        <w:t xml:space="preserve">. </w:t>
      </w:r>
      <w:r w:rsidR="00FC6583" w:rsidRPr="003168AC">
        <w:rPr>
          <w:lang w:val="en-GB"/>
        </w:rPr>
        <w:t xml:space="preserve">I am </w:t>
      </w:r>
      <w:r w:rsidR="008A783C" w:rsidRPr="003168AC">
        <w:rPr>
          <w:lang w:val="en-GB"/>
        </w:rPr>
        <w:t xml:space="preserve">ultimately </w:t>
      </w:r>
      <w:r w:rsidR="00FC6583" w:rsidRPr="003168AC">
        <w:rPr>
          <w:lang w:val="en-GB"/>
        </w:rPr>
        <w:t>unconvinced</w:t>
      </w:r>
      <w:r w:rsidR="008A783C" w:rsidRPr="003168AC">
        <w:rPr>
          <w:lang w:val="en-GB"/>
        </w:rPr>
        <w:t>, when examining the circumstances of the case,</w:t>
      </w:r>
      <w:r w:rsidR="00FC6583" w:rsidRPr="003168AC">
        <w:rPr>
          <w:lang w:val="en-GB"/>
        </w:rPr>
        <w:t xml:space="preserve"> that imposition of the prescribed sentence would be disproportionate to the crime</w:t>
      </w:r>
      <w:r w:rsidR="00FB6BD2" w:rsidRPr="003168AC">
        <w:rPr>
          <w:lang w:val="en-GB"/>
        </w:rPr>
        <w:t>, the criminal and the legitimate needs of society.</w:t>
      </w:r>
      <w:r w:rsidR="00A67582">
        <w:rPr>
          <w:rStyle w:val="FootnoteReference"/>
          <w:lang w:val="en-GB"/>
        </w:rPr>
        <w:footnoteReference w:id="50"/>
      </w:r>
      <w:r w:rsidR="00D54FCE" w:rsidRPr="003168AC">
        <w:rPr>
          <w:lang w:val="en-GB"/>
        </w:rPr>
        <w:t xml:space="preserve"> Considering the seriousness of the statutory offence, which precipitated the murder, and the provisions of the Act, I impose the maximum sentence permissible for that crime, to run concurrently with the sentence imposed for murder.</w:t>
      </w:r>
    </w:p>
    <w:p w14:paraId="0F1629D8" w14:textId="604FF73E" w:rsidR="004A67B9" w:rsidRDefault="004A67B9" w:rsidP="004A67B9">
      <w:pPr>
        <w:pStyle w:val="ListParagraph"/>
        <w:autoSpaceDE w:val="0"/>
        <w:autoSpaceDN w:val="0"/>
        <w:adjustRightInd w:val="0"/>
        <w:ind w:left="0"/>
        <w:jc w:val="both"/>
        <w:rPr>
          <w:lang w:val="en-GB"/>
        </w:rPr>
      </w:pPr>
    </w:p>
    <w:p w14:paraId="76CCF311" w14:textId="5B93A851" w:rsidR="004A67B9" w:rsidRDefault="004A67B9" w:rsidP="004A67B9">
      <w:pPr>
        <w:pStyle w:val="ListParagraph"/>
        <w:autoSpaceDE w:val="0"/>
        <w:autoSpaceDN w:val="0"/>
        <w:adjustRightInd w:val="0"/>
        <w:ind w:left="0"/>
        <w:jc w:val="both"/>
        <w:rPr>
          <w:b/>
          <w:bCs/>
          <w:lang w:val="en-GB"/>
        </w:rPr>
      </w:pPr>
      <w:r>
        <w:rPr>
          <w:b/>
          <w:bCs/>
          <w:lang w:val="en-GB"/>
        </w:rPr>
        <w:t>Order</w:t>
      </w:r>
    </w:p>
    <w:p w14:paraId="4AAD1CB8" w14:textId="77777777" w:rsidR="004A67B9" w:rsidRPr="004A67B9" w:rsidRDefault="004A67B9" w:rsidP="004A67B9">
      <w:pPr>
        <w:pStyle w:val="ListParagraph"/>
        <w:autoSpaceDE w:val="0"/>
        <w:autoSpaceDN w:val="0"/>
        <w:adjustRightInd w:val="0"/>
        <w:ind w:left="0"/>
        <w:jc w:val="both"/>
        <w:rPr>
          <w:b/>
          <w:bCs/>
          <w:lang w:val="en-GB"/>
        </w:rPr>
      </w:pPr>
    </w:p>
    <w:p w14:paraId="24A1C12F" w14:textId="3845FDE2" w:rsidR="004A67B9" w:rsidRPr="003168AC" w:rsidRDefault="003168AC" w:rsidP="003168AC">
      <w:pPr>
        <w:autoSpaceDE w:val="0"/>
        <w:autoSpaceDN w:val="0"/>
        <w:adjustRightInd w:val="0"/>
        <w:jc w:val="both"/>
        <w:rPr>
          <w:lang w:val="en-GB"/>
        </w:rPr>
      </w:pPr>
      <w:r>
        <w:rPr>
          <w:lang w:val="en-GB"/>
        </w:rPr>
        <w:t>[32]</w:t>
      </w:r>
      <w:r>
        <w:rPr>
          <w:lang w:val="en-GB"/>
        </w:rPr>
        <w:tab/>
      </w:r>
      <w:r w:rsidR="00FB0CC4" w:rsidRPr="003168AC">
        <w:rPr>
          <w:lang w:val="en-GB"/>
        </w:rPr>
        <w:t>The following sentence is imposed:</w:t>
      </w:r>
    </w:p>
    <w:p w14:paraId="5327D7A1" w14:textId="3A881447" w:rsidR="00FB0CC4" w:rsidRDefault="00FB0CC4" w:rsidP="00FB0CC4">
      <w:pPr>
        <w:pStyle w:val="ListParagraph"/>
        <w:autoSpaceDE w:val="0"/>
        <w:autoSpaceDN w:val="0"/>
        <w:adjustRightInd w:val="0"/>
        <w:ind w:left="0"/>
        <w:jc w:val="both"/>
        <w:rPr>
          <w:lang w:val="en-GB"/>
        </w:rPr>
      </w:pPr>
    </w:p>
    <w:p w14:paraId="117ECB00" w14:textId="7384EE9B" w:rsidR="00FB0CC4" w:rsidRPr="003168AC" w:rsidRDefault="003168AC" w:rsidP="003168AC">
      <w:pPr>
        <w:autoSpaceDE w:val="0"/>
        <w:autoSpaceDN w:val="0"/>
        <w:adjustRightInd w:val="0"/>
        <w:ind w:left="720" w:hanging="360"/>
        <w:jc w:val="both"/>
        <w:rPr>
          <w:lang w:val="en-GB"/>
        </w:rPr>
      </w:pPr>
      <w:r>
        <w:rPr>
          <w:lang w:val="en-GB"/>
        </w:rPr>
        <w:t>1.</w:t>
      </w:r>
      <w:r>
        <w:rPr>
          <w:lang w:val="en-GB"/>
        </w:rPr>
        <w:tab/>
      </w:r>
      <w:r w:rsidR="00FB0CC4" w:rsidRPr="003168AC">
        <w:rPr>
          <w:lang w:val="en-GB"/>
        </w:rPr>
        <w:t xml:space="preserve">The accused is sentenced </w:t>
      </w:r>
      <w:r w:rsidR="0022338C" w:rsidRPr="003168AC">
        <w:rPr>
          <w:lang w:val="en-GB"/>
        </w:rPr>
        <w:t>to life imprisonment for the murder of Nobinza Violet Kevu.</w:t>
      </w:r>
    </w:p>
    <w:p w14:paraId="16137B8A" w14:textId="56BCC825" w:rsidR="0022338C" w:rsidRPr="003168AC" w:rsidRDefault="003168AC" w:rsidP="003168AC">
      <w:pPr>
        <w:autoSpaceDE w:val="0"/>
        <w:autoSpaceDN w:val="0"/>
        <w:adjustRightInd w:val="0"/>
        <w:ind w:left="720" w:hanging="360"/>
        <w:jc w:val="both"/>
        <w:rPr>
          <w:lang w:val="en-GB"/>
        </w:rPr>
      </w:pPr>
      <w:r>
        <w:rPr>
          <w:lang w:val="en-GB"/>
        </w:rPr>
        <w:t>2.</w:t>
      </w:r>
      <w:r>
        <w:rPr>
          <w:lang w:val="en-GB"/>
        </w:rPr>
        <w:tab/>
      </w:r>
      <w:r w:rsidR="00136055" w:rsidRPr="003168AC">
        <w:rPr>
          <w:lang w:val="en-GB"/>
        </w:rPr>
        <w:t xml:space="preserve">The accused is sentenced to twenty years imprisonment for </w:t>
      </w:r>
      <w:r w:rsidR="0091102D" w:rsidRPr="003168AC">
        <w:rPr>
          <w:lang w:val="en-GB"/>
        </w:rPr>
        <w:t>contravention of s 1(</w:t>
      </w:r>
      <w:r w:rsidR="0091102D" w:rsidRPr="003168AC">
        <w:rPr>
          <w:i/>
          <w:iCs/>
          <w:lang w:val="en-GB"/>
        </w:rPr>
        <w:t>a</w:t>
      </w:r>
      <w:r w:rsidR="0091102D" w:rsidRPr="003168AC">
        <w:rPr>
          <w:lang w:val="en-GB"/>
        </w:rPr>
        <w:t>), read with s 2, of the Witchcraft Suppression Act, 1957, the sentence to run concurrently with the sentence of life imprisonment.</w:t>
      </w:r>
    </w:p>
    <w:p w14:paraId="4FE8ACC1" w14:textId="437183FB" w:rsidR="0091102D" w:rsidRPr="003168AC" w:rsidRDefault="003168AC" w:rsidP="003168AC">
      <w:pPr>
        <w:autoSpaceDE w:val="0"/>
        <w:autoSpaceDN w:val="0"/>
        <w:adjustRightInd w:val="0"/>
        <w:ind w:left="720" w:hanging="360"/>
        <w:jc w:val="both"/>
        <w:rPr>
          <w:lang w:val="en-GB"/>
        </w:rPr>
      </w:pPr>
      <w:r>
        <w:rPr>
          <w:lang w:val="en-GB"/>
        </w:rPr>
        <w:t>3.</w:t>
      </w:r>
      <w:r>
        <w:rPr>
          <w:lang w:val="en-GB"/>
        </w:rPr>
        <w:tab/>
      </w:r>
      <w:r w:rsidR="0091102D" w:rsidRPr="003168AC">
        <w:rPr>
          <w:lang w:val="en-GB"/>
        </w:rPr>
        <w:t xml:space="preserve">The </w:t>
      </w:r>
      <w:r w:rsidR="00E00198" w:rsidRPr="003168AC">
        <w:rPr>
          <w:lang w:val="en-GB"/>
        </w:rPr>
        <w:t xml:space="preserve">Registrar is directed to ensure that the accused’s name is placed on the </w:t>
      </w:r>
      <w:r w:rsidR="007443CC" w:rsidRPr="003168AC">
        <w:rPr>
          <w:lang w:val="en-GB"/>
        </w:rPr>
        <w:t xml:space="preserve">Minister of Social Development’s </w:t>
      </w:r>
      <w:r w:rsidR="00E00198" w:rsidRPr="003168AC">
        <w:rPr>
          <w:lang w:val="en-GB"/>
        </w:rPr>
        <w:t>register of persons convicted of an offence contemplated in s 30(4) of the Older Persons Act, 2006.</w:t>
      </w:r>
    </w:p>
    <w:p w14:paraId="1256103B" w14:textId="5388997A" w:rsidR="00E00198" w:rsidRPr="003168AC" w:rsidRDefault="003168AC" w:rsidP="003168AC">
      <w:pPr>
        <w:autoSpaceDE w:val="0"/>
        <w:autoSpaceDN w:val="0"/>
        <w:adjustRightInd w:val="0"/>
        <w:ind w:left="720" w:hanging="360"/>
        <w:jc w:val="both"/>
        <w:rPr>
          <w:lang w:val="en-GB"/>
        </w:rPr>
      </w:pPr>
      <w:r w:rsidRPr="00E00198">
        <w:rPr>
          <w:lang w:val="en-GB"/>
        </w:rPr>
        <w:t>4.</w:t>
      </w:r>
      <w:r w:rsidRPr="00E00198">
        <w:rPr>
          <w:lang w:val="en-GB"/>
        </w:rPr>
        <w:tab/>
      </w:r>
      <w:r w:rsidR="00E00198" w:rsidRPr="003168AC">
        <w:rPr>
          <w:lang w:val="en-GB"/>
        </w:rPr>
        <w:t>In terms of section 103(1) of the Firearms Control Act 60 of 2000, the accused is unfit to possess a firearm, the Registrar of Firearms to be notified accordingly.</w:t>
      </w:r>
    </w:p>
    <w:p w14:paraId="4974E93F" w14:textId="77777777" w:rsidR="00C8111D" w:rsidRPr="00573AD0" w:rsidRDefault="00C8111D" w:rsidP="00573AD0">
      <w:pPr>
        <w:rPr>
          <w:lang w:val="en-GB"/>
        </w:rPr>
      </w:pPr>
    </w:p>
    <w:p w14:paraId="05FDEF86" w14:textId="77777777" w:rsidR="00F071B7" w:rsidRDefault="00F071B7" w:rsidP="00075260">
      <w:pPr>
        <w:pStyle w:val="ListParagraph"/>
        <w:autoSpaceDE w:val="0"/>
        <w:autoSpaceDN w:val="0"/>
        <w:adjustRightInd w:val="0"/>
        <w:ind w:left="0"/>
        <w:jc w:val="both"/>
        <w:rPr>
          <w:lang w:val="en-GB"/>
        </w:rPr>
      </w:pPr>
    </w:p>
    <w:p w14:paraId="363DCE68" w14:textId="3C4454A8" w:rsidR="00D450B5" w:rsidRPr="00044B50" w:rsidRDefault="00D450B5" w:rsidP="00CA056D">
      <w:pPr>
        <w:jc w:val="both"/>
        <w:rPr>
          <w:lang w:val="en-GB"/>
        </w:rPr>
      </w:pPr>
      <w:r w:rsidRPr="00044B50">
        <w:rPr>
          <w:lang w:val="en-GB"/>
        </w:rPr>
        <w:t>_______________</w:t>
      </w:r>
      <w:r w:rsidR="00276100" w:rsidRPr="00044B50">
        <w:rPr>
          <w:lang w:val="en-GB"/>
        </w:rPr>
        <w:t>__________</w:t>
      </w:r>
      <w:r w:rsidRPr="00044B50">
        <w:rPr>
          <w:lang w:val="en-GB"/>
        </w:rPr>
        <w:t xml:space="preserve"> </w:t>
      </w:r>
    </w:p>
    <w:p w14:paraId="7C243A9A" w14:textId="01E8CEBE" w:rsidR="00D450B5" w:rsidRPr="00044B50" w:rsidRDefault="00D450B5" w:rsidP="00CA056D">
      <w:pPr>
        <w:jc w:val="both"/>
        <w:rPr>
          <w:b/>
          <w:bCs/>
          <w:lang w:val="en-GB"/>
        </w:rPr>
      </w:pPr>
      <w:r w:rsidRPr="00044B50">
        <w:rPr>
          <w:b/>
          <w:bCs/>
          <w:lang w:val="en-GB"/>
        </w:rPr>
        <w:t xml:space="preserve">A GOVINDJEE                                                                                                                                                       </w:t>
      </w:r>
    </w:p>
    <w:p w14:paraId="14E92973" w14:textId="77777777" w:rsidR="00D450B5" w:rsidRDefault="00D450B5" w:rsidP="00CA056D">
      <w:pPr>
        <w:jc w:val="both"/>
        <w:rPr>
          <w:b/>
          <w:bCs/>
          <w:lang w:val="en-GB"/>
        </w:rPr>
      </w:pPr>
      <w:r w:rsidRPr="00044B50">
        <w:rPr>
          <w:b/>
          <w:bCs/>
          <w:lang w:val="en-GB"/>
        </w:rPr>
        <w:t>JUDGE OF THE HIGH COURT</w:t>
      </w:r>
    </w:p>
    <w:p w14:paraId="6B5C0E06" w14:textId="77777777" w:rsidR="00F01483" w:rsidRDefault="00F01483" w:rsidP="00CA056D">
      <w:pPr>
        <w:jc w:val="both"/>
        <w:rPr>
          <w:b/>
          <w:bCs/>
          <w:lang w:val="en-GB"/>
        </w:rPr>
      </w:pPr>
    </w:p>
    <w:p w14:paraId="4E913372" w14:textId="77777777" w:rsidR="008A75F3" w:rsidRDefault="008A75F3" w:rsidP="008A75F3">
      <w:pPr>
        <w:widowControl w:val="0"/>
        <w:jc w:val="center"/>
        <w:rPr>
          <w:spacing w:val="14"/>
          <w:kern w:val="2"/>
          <w:lang w:val="en-GB"/>
        </w:rPr>
      </w:pPr>
    </w:p>
    <w:p w14:paraId="04EEEF0A" w14:textId="5C845AE9" w:rsidR="007A7BBE" w:rsidRPr="00F01483" w:rsidRDefault="007A7BBE" w:rsidP="00CA056D">
      <w:pPr>
        <w:widowControl w:val="0"/>
        <w:ind w:right="656"/>
        <w:rPr>
          <w:spacing w:val="14"/>
          <w:kern w:val="2"/>
          <w:lang w:val="en-GB"/>
        </w:rPr>
      </w:pPr>
      <w:r w:rsidRPr="00F01483">
        <w:rPr>
          <w:b/>
          <w:bCs/>
          <w:spacing w:val="14"/>
          <w:kern w:val="2"/>
          <w:lang w:val="en-GB"/>
        </w:rPr>
        <w:t>Heard:</w:t>
      </w:r>
      <w:r w:rsidR="00F01483">
        <w:rPr>
          <w:b/>
          <w:bCs/>
          <w:spacing w:val="14"/>
          <w:kern w:val="2"/>
          <w:lang w:val="en-GB"/>
        </w:rPr>
        <w:t xml:space="preserve"> </w:t>
      </w:r>
      <w:r w:rsidR="008F3B92" w:rsidRPr="008F3B92">
        <w:rPr>
          <w:spacing w:val="14"/>
          <w:kern w:val="2"/>
          <w:lang w:val="en-GB"/>
        </w:rPr>
        <w:t>11 March 2024</w:t>
      </w:r>
    </w:p>
    <w:p w14:paraId="299C01BC" w14:textId="77777777" w:rsidR="00CA056D" w:rsidRDefault="00CA056D" w:rsidP="000D4C7F">
      <w:pPr>
        <w:widowControl w:val="0"/>
        <w:ind w:left="4320" w:right="656" w:firstLine="720"/>
        <w:jc w:val="right"/>
        <w:rPr>
          <w:spacing w:val="14"/>
          <w:kern w:val="2"/>
          <w:lang w:val="en-GB"/>
        </w:rPr>
      </w:pPr>
    </w:p>
    <w:p w14:paraId="5D550954" w14:textId="7B58E5A6" w:rsidR="007A7BBE" w:rsidRPr="008F3B92" w:rsidRDefault="007A7BBE" w:rsidP="00CA056D">
      <w:pPr>
        <w:widowControl w:val="0"/>
        <w:ind w:right="656"/>
        <w:rPr>
          <w:spacing w:val="14"/>
          <w:kern w:val="2"/>
          <w:lang w:val="en-GB"/>
        </w:rPr>
      </w:pPr>
      <w:r w:rsidRPr="00F01483">
        <w:rPr>
          <w:b/>
          <w:bCs/>
          <w:spacing w:val="14"/>
          <w:kern w:val="2"/>
          <w:lang w:val="en-GB"/>
        </w:rPr>
        <w:t>Delivered:</w:t>
      </w:r>
      <w:r w:rsidR="00F01483">
        <w:rPr>
          <w:b/>
          <w:bCs/>
          <w:spacing w:val="14"/>
          <w:kern w:val="2"/>
          <w:lang w:val="en-GB"/>
        </w:rPr>
        <w:t xml:space="preserve"> </w:t>
      </w:r>
      <w:r w:rsidR="008F3B92" w:rsidRPr="008F3B92">
        <w:rPr>
          <w:spacing w:val="14"/>
          <w:kern w:val="2"/>
          <w:lang w:val="en-GB"/>
        </w:rPr>
        <w:t>14 March 2024</w:t>
      </w:r>
    </w:p>
    <w:p w14:paraId="54400678" w14:textId="77777777" w:rsidR="00F071B7" w:rsidRDefault="00F071B7" w:rsidP="008F3B92">
      <w:pPr>
        <w:jc w:val="both"/>
        <w:rPr>
          <w:lang w:val="en-GB"/>
        </w:rPr>
      </w:pPr>
    </w:p>
    <w:p w14:paraId="6E28A4EA" w14:textId="77777777" w:rsidR="00F071B7" w:rsidRDefault="00F071B7" w:rsidP="008F3B92">
      <w:pPr>
        <w:jc w:val="both"/>
        <w:rPr>
          <w:lang w:val="en-GB"/>
        </w:rPr>
      </w:pPr>
    </w:p>
    <w:p w14:paraId="78B4BE4C" w14:textId="77777777" w:rsidR="00F071B7" w:rsidRDefault="00F071B7" w:rsidP="008F3B92">
      <w:pPr>
        <w:jc w:val="both"/>
        <w:rPr>
          <w:lang w:val="en-GB"/>
        </w:rPr>
      </w:pPr>
    </w:p>
    <w:p w14:paraId="04CA04EC" w14:textId="284BA2E4" w:rsidR="008F3B92" w:rsidRDefault="008F3B92" w:rsidP="008F3B92">
      <w:pPr>
        <w:jc w:val="both"/>
        <w:rPr>
          <w:lang w:val="en-GB"/>
        </w:rPr>
      </w:pPr>
      <w:r w:rsidRPr="00044B50">
        <w:rPr>
          <w:lang w:val="en-GB"/>
        </w:rPr>
        <w:t>Appearances:</w:t>
      </w:r>
    </w:p>
    <w:p w14:paraId="552B96B2" w14:textId="77777777" w:rsidR="008F3B92" w:rsidRDefault="008F3B92" w:rsidP="008F3B92">
      <w:pPr>
        <w:jc w:val="both"/>
        <w:rPr>
          <w:lang w:val="en-GB"/>
        </w:rPr>
      </w:pPr>
    </w:p>
    <w:p w14:paraId="04411DC4" w14:textId="28C2CFB6" w:rsidR="008F3B92" w:rsidRDefault="008F3B92" w:rsidP="008F3B92">
      <w:pPr>
        <w:jc w:val="both"/>
        <w:rPr>
          <w:lang w:val="en-GB"/>
        </w:rPr>
      </w:pPr>
      <w:r>
        <w:rPr>
          <w:lang w:val="en-GB"/>
        </w:rPr>
        <w:t>For the State:</w:t>
      </w:r>
      <w:r>
        <w:rPr>
          <w:lang w:val="en-GB"/>
        </w:rPr>
        <w:tab/>
      </w:r>
      <w:r>
        <w:rPr>
          <w:lang w:val="en-GB"/>
        </w:rPr>
        <w:tab/>
      </w:r>
      <w:r>
        <w:rPr>
          <w:lang w:val="en-GB"/>
        </w:rPr>
        <w:tab/>
      </w:r>
      <w:r>
        <w:rPr>
          <w:lang w:val="en-GB"/>
        </w:rPr>
        <w:tab/>
        <w:t>Adv T Soga</w:t>
      </w:r>
    </w:p>
    <w:p w14:paraId="511FAAF7" w14:textId="77777777" w:rsidR="008F3B92" w:rsidRDefault="008F3B92" w:rsidP="008F3B92">
      <w:pPr>
        <w:jc w:val="both"/>
        <w:rPr>
          <w:lang w:val="en-GB"/>
        </w:rPr>
      </w:pPr>
      <w:r>
        <w:rPr>
          <w:lang w:val="en-GB"/>
        </w:rPr>
        <w:tab/>
      </w:r>
      <w:r>
        <w:rPr>
          <w:lang w:val="en-GB"/>
        </w:rPr>
        <w:tab/>
      </w:r>
      <w:r>
        <w:rPr>
          <w:lang w:val="en-GB"/>
        </w:rPr>
        <w:tab/>
      </w:r>
      <w:r>
        <w:rPr>
          <w:lang w:val="en-GB"/>
        </w:rPr>
        <w:tab/>
      </w:r>
      <w:r>
        <w:rPr>
          <w:lang w:val="en-GB"/>
        </w:rPr>
        <w:tab/>
      </w:r>
      <w:r>
        <w:rPr>
          <w:lang w:val="en-GB"/>
        </w:rPr>
        <w:tab/>
        <w:t>Director of Public Prosecutions</w:t>
      </w:r>
    </w:p>
    <w:p w14:paraId="46EE9980" w14:textId="77777777" w:rsidR="008F3B92" w:rsidRDefault="008F3B92" w:rsidP="008F3B92">
      <w:pPr>
        <w:jc w:val="both"/>
        <w:rPr>
          <w:lang w:val="en-GB"/>
        </w:rPr>
      </w:pPr>
      <w:r>
        <w:rPr>
          <w:lang w:val="en-GB"/>
        </w:rPr>
        <w:tab/>
      </w:r>
      <w:r>
        <w:rPr>
          <w:lang w:val="en-GB"/>
        </w:rPr>
        <w:tab/>
      </w:r>
      <w:r>
        <w:rPr>
          <w:lang w:val="en-GB"/>
        </w:rPr>
        <w:tab/>
      </w:r>
      <w:r>
        <w:rPr>
          <w:lang w:val="en-GB"/>
        </w:rPr>
        <w:tab/>
      </w:r>
      <w:r>
        <w:rPr>
          <w:lang w:val="en-GB"/>
        </w:rPr>
        <w:tab/>
      </w:r>
      <w:r>
        <w:rPr>
          <w:lang w:val="en-GB"/>
        </w:rPr>
        <w:tab/>
        <w:t>Makhanda</w:t>
      </w:r>
    </w:p>
    <w:p w14:paraId="4A83A030" w14:textId="77777777" w:rsidR="008F3B92" w:rsidRDefault="008F3B92" w:rsidP="008F3B92">
      <w:pPr>
        <w:jc w:val="both"/>
        <w:rPr>
          <w:lang w:val="en-GB"/>
        </w:rPr>
      </w:pPr>
      <w:r>
        <w:rPr>
          <w:lang w:val="en-GB"/>
        </w:rPr>
        <w:tab/>
      </w:r>
      <w:r>
        <w:rPr>
          <w:lang w:val="en-GB"/>
        </w:rPr>
        <w:tab/>
      </w:r>
      <w:r>
        <w:rPr>
          <w:lang w:val="en-GB"/>
        </w:rPr>
        <w:tab/>
      </w:r>
      <w:r>
        <w:rPr>
          <w:lang w:val="en-GB"/>
        </w:rPr>
        <w:tab/>
      </w:r>
      <w:r>
        <w:rPr>
          <w:lang w:val="en-GB"/>
        </w:rPr>
        <w:tab/>
      </w:r>
      <w:r>
        <w:rPr>
          <w:lang w:val="en-GB"/>
        </w:rPr>
        <w:tab/>
        <w:t>046 602 3000</w:t>
      </w:r>
    </w:p>
    <w:p w14:paraId="36A51F5D" w14:textId="77777777" w:rsidR="008F3B92" w:rsidRDefault="008F3B92" w:rsidP="008F3B92">
      <w:pPr>
        <w:jc w:val="both"/>
        <w:rPr>
          <w:lang w:val="en-GB"/>
        </w:rPr>
      </w:pPr>
    </w:p>
    <w:p w14:paraId="77B10906" w14:textId="77777777" w:rsidR="008F3B92" w:rsidRDefault="008F3B92" w:rsidP="008F3B92">
      <w:pPr>
        <w:jc w:val="both"/>
        <w:rPr>
          <w:lang w:val="en-GB"/>
        </w:rPr>
      </w:pPr>
    </w:p>
    <w:p w14:paraId="5DB42E01" w14:textId="77777777" w:rsidR="008F3B92" w:rsidRDefault="008F3B92" w:rsidP="008F3B92">
      <w:pPr>
        <w:jc w:val="both"/>
        <w:rPr>
          <w:lang w:val="en-GB"/>
        </w:rPr>
      </w:pPr>
      <w:r>
        <w:rPr>
          <w:lang w:val="en-GB"/>
        </w:rPr>
        <w:t>For the Accused:</w:t>
      </w:r>
      <w:r>
        <w:rPr>
          <w:lang w:val="en-GB"/>
        </w:rPr>
        <w:tab/>
      </w:r>
      <w:r>
        <w:rPr>
          <w:lang w:val="en-GB"/>
        </w:rPr>
        <w:tab/>
      </w:r>
      <w:r>
        <w:rPr>
          <w:lang w:val="en-GB"/>
        </w:rPr>
        <w:tab/>
      </w:r>
      <w:r>
        <w:rPr>
          <w:lang w:val="en-GB"/>
        </w:rPr>
        <w:tab/>
        <w:t>Adv D Geldenhuys</w:t>
      </w:r>
      <w:r>
        <w:rPr>
          <w:lang w:val="en-GB"/>
        </w:rPr>
        <w:tab/>
      </w:r>
    </w:p>
    <w:p w14:paraId="6455BBE5" w14:textId="77777777" w:rsidR="008F3B92" w:rsidRDefault="008F3B92" w:rsidP="008F3B92">
      <w:pPr>
        <w:jc w:val="both"/>
        <w:rPr>
          <w:lang w:val="en-GB"/>
        </w:rPr>
      </w:pPr>
      <w:r>
        <w:rPr>
          <w:lang w:val="en-GB"/>
        </w:rPr>
        <w:tab/>
      </w:r>
      <w:r>
        <w:rPr>
          <w:lang w:val="en-GB"/>
        </w:rPr>
        <w:tab/>
      </w:r>
      <w:r>
        <w:rPr>
          <w:lang w:val="en-GB"/>
        </w:rPr>
        <w:tab/>
      </w:r>
      <w:r>
        <w:rPr>
          <w:lang w:val="en-GB"/>
        </w:rPr>
        <w:tab/>
      </w:r>
      <w:r>
        <w:rPr>
          <w:lang w:val="en-GB"/>
        </w:rPr>
        <w:tab/>
      </w:r>
      <w:r>
        <w:rPr>
          <w:lang w:val="en-GB"/>
        </w:rPr>
        <w:tab/>
        <w:t>Legal Aid South Africa</w:t>
      </w:r>
    </w:p>
    <w:p w14:paraId="481630BC" w14:textId="77777777" w:rsidR="008F3B92" w:rsidRDefault="008F3B92" w:rsidP="008F3B92">
      <w:pPr>
        <w:jc w:val="both"/>
        <w:rPr>
          <w:lang w:val="en-GB"/>
        </w:rPr>
      </w:pPr>
      <w:r>
        <w:rPr>
          <w:lang w:val="en-GB"/>
        </w:rPr>
        <w:tab/>
      </w:r>
      <w:r>
        <w:rPr>
          <w:lang w:val="en-GB"/>
        </w:rPr>
        <w:tab/>
      </w:r>
      <w:r>
        <w:rPr>
          <w:lang w:val="en-GB"/>
        </w:rPr>
        <w:tab/>
      </w:r>
      <w:r>
        <w:rPr>
          <w:lang w:val="en-GB"/>
        </w:rPr>
        <w:tab/>
      </w:r>
      <w:r>
        <w:rPr>
          <w:lang w:val="en-GB"/>
        </w:rPr>
        <w:tab/>
      </w:r>
      <w:r>
        <w:rPr>
          <w:lang w:val="en-GB"/>
        </w:rPr>
        <w:tab/>
        <w:t>Makhanda</w:t>
      </w:r>
    </w:p>
    <w:p w14:paraId="23C9F21C" w14:textId="16586F65" w:rsidR="007C247A" w:rsidRPr="00044B50" w:rsidRDefault="008F3B92" w:rsidP="008F3B92">
      <w:pPr>
        <w:jc w:val="both"/>
        <w:rPr>
          <w:lang w:val="en-GB"/>
        </w:rPr>
      </w:pPr>
      <w:r>
        <w:rPr>
          <w:lang w:val="en-GB"/>
        </w:rPr>
        <w:tab/>
      </w:r>
      <w:r>
        <w:rPr>
          <w:lang w:val="en-GB"/>
        </w:rPr>
        <w:tab/>
      </w:r>
      <w:r>
        <w:rPr>
          <w:lang w:val="en-GB"/>
        </w:rPr>
        <w:tab/>
      </w:r>
      <w:r>
        <w:rPr>
          <w:lang w:val="en-GB"/>
        </w:rPr>
        <w:tab/>
      </w:r>
      <w:r>
        <w:rPr>
          <w:lang w:val="en-GB"/>
        </w:rPr>
        <w:tab/>
      </w:r>
      <w:r>
        <w:rPr>
          <w:lang w:val="en-GB"/>
        </w:rPr>
        <w:tab/>
        <w:t>046 622 9350</w:t>
      </w:r>
      <w:r>
        <w:rPr>
          <w:lang w:val="en-GB"/>
        </w:rPr>
        <w:tab/>
      </w:r>
      <w:r>
        <w:rPr>
          <w:lang w:val="en-GB"/>
        </w:rPr>
        <w:tab/>
      </w:r>
    </w:p>
    <w:sectPr w:rsidR="007C247A" w:rsidRPr="00044B50" w:rsidSect="00385F10">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D272D" w14:textId="77777777" w:rsidR="00332F25" w:rsidRDefault="00332F25" w:rsidP="00005691">
      <w:r>
        <w:separator/>
      </w:r>
    </w:p>
  </w:endnote>
  <w:endnote w:type="continuationSeparator" w:id="0">
    <w:p w14:paraId="142D20B1" w14:textId="77777777" w:rsidR="00332F25" w:rsidRDefault="00332F25"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90F22" w14:textId="77777777" w:rsidR="00332F25" w:rsidRDefault="00332F25" w:rsidP="00005691">
      <w:r>
        <w:separator/>
      </w:r>
    </w:p>
  </w:footnote>
  <w:footnote w:type="continuationSeparator" w:id="0">
    <w:p w14:paraId="3611EA0D" w14:textId="77777777" w:rsidR="00332F25" w:rsidRDefault="00332F25" w:rsidP="00005691">
      <w:r>
        <w:continuationSeparator/>
      </w:r>
    </w:p>
  </w:footnote>
  <w:footnote w:id="1">
    <w:p w14:paraId="0A48549C" w14:textId="3749A622" w:rsidR="00D65C02" w:rsidRPr="00D65C02" w:rsidRDefault="00D65C02" w:rsidP="00BD4065">
      <w:pPr>
        <w:pStyle w:val="FootnoteText"/>
        <w:spacing w:line="240" w:lineRule="auto"/>
        <w:jc w:val="both"/>
        <w:rPr>
          <w:lang w:val="en-US"/>
        </w:rPr>
      </w:pPr>
      <w:r>
        <w:rPr>
          <w:rStyle w:val="FootnoteReference"/>
        </w:rPr>
        <w:footnoteRef/>
      </w:r>
      <w:r>
        <w:t xml:space="preserve"> </w:t>
      </w:r>
      <w:r>
        <w:rPr>
          <w:lang w:val="en-US"/>
        </w:rPr>
        <w:t xml:space="preserve">N Tebbe ‘Witchcraft and statecraft: liberal democracy in Africa’ (2007) 96 </w:t>
      </w:r>
      <w:r>
        <w:rPr>
          <w:i/>
          <w:iCs/>
          <w:lang w:val="en-US"/>
        </w:rPr>
        <w:t>Geo LJ</w:t>
      </w:r>
      <w:r>
        <w:rPr>
          <w:lang w:val="en-US"/>
        </w:rPr>
        <w:t xml:space="preserve"> 183 at 190.</w:t>
      </w:r>
    </w:p>
  </w:footnote>
  <w:footnote w:id="2">
    <w:p w14:paraId="27FE2115" w14:textId="0D9207F1" w:rsidR="00723312" w:rsidRPr="00723312" w:rsidRDefault="00723312" w:rsidP="00BD4065">
      <w:pPr>
        <w:pStyle w:val="FootnoteText"/>
        <w:spacing w:line="240" w:lineRule="auto"/>
        <w:jc w:val="both"/>
        <w:rPr>
          <w:lang w:val="en-US"/>
        </w:rPr>
      </w:pPr>
      <w:r>
        <w:rPr>
          <w:rStyle w:val="FootnoteReference"/>
        </w:rPr>
        <w:footnoteRef/>
      </w:r>
      <w:r>
        <w:t xml:space="preserve"> </w:t>
      </w:r>
      <w:r w:rsidR="0088389B">
        <w:rPr>
          <w:lang w:val="en-US"/>
        </w:rPr>
        <w:t xml:space="preserve">N Tebbe ‘Witchcraft and the Constitution’ in TW Bennett (ed) </w:t>
      </w:r>
      <w:r w:rsidR="0088389B">
        <w:rPr>
          <w:i/>
          <w:iCs/>
          <w:lang w:val="en-US"/>
        </w:rPr>
        <w:t xml:space="preserve">Traditional African Religions in South African Law </w:t>
      </w:r>
      <w:r w:rsidR="0088389B">
        <w:rPr>
          <w:lang w:val="en-US"/>
        </w:rPr>
        <w:t xml:space="preserve">(2011) at 163 accessed at </w:t>
      </w:r>
      <w:hyperlink r:id="rId1" w:history="1">
        <w:r w:rsidR="0088389B" w:rsidRPr="00F91646">
          <w:rPr>
            <w:rStyle w:val="Hyperlink"/>
            <w:lang w:val="en-US"/>
          </w:rPr>
          <w:t>http://ssrn.com/abstract=1926885</w:t>
        </w:r>
      </w:hyperlink>
      <w:r w:rsidR="0088389B">
        <w:rPr>
          <w:lang w:val="en-US"/>
        </w:rPr>
        <w:t xml:space="preserve">. </w:t>
      </w:r>
    </w:p>
  </w:footnote>
  <w:footnote w:id="3">
    <w:p w14:paraId="48F4351A" w14:textId="2F7DC41B" w:rsidR="000920A6" w:rsidRPr="00BA15DE" w:rsidRDefault="000920A6" w:rsidP="00BD4065">
      <w:pPr>
        <w:pStyle w:val="FootnoteText"/>
        <w:spacing w:line="240" w:lineRule="auto"/>
        <w:jc w:val="both"/>
        <w:rPr>
          <w:lang w:val="en-US"/>
        </w:rPr>
      </w:pPr>
      <w:r>
        <w:rPr>
          <w:rStyle w:val="FootnoteReference"/>
        </w:rPr>
        <w:footnoteRef/>
      </w:r>
      <w:r>
        <w:t xml:space="preserve"> </w:t>
      </w:r>
      <w:r>
        <w:rPr>
          <w:lang w:val="en-US"/>
        </w:rPr>
        <w:t>Ibid at 163, 164.</w:t>
      </w:r>
      <w:r w:rsidR="00BA15DE">
        <w:rPr>
          <w:lang w:val="en-US"/>
        </w:rPr>
        <w:t xml:space="preserve"> See </w:t>
      </w:r>
      <w:r w:rsidR="00BA15DE">
        <w:rPr>
          <w:i/>
          <w:iCs/>
          <w:lang w:val="en-US"/>
        </w:rPr>
        <w:t>S v Mafunisa</w:t>
      </w:r>
      <w:r w:rsidR="00BA15DE">
        <w:rPr>
          <w:lang w:val="en-US"/>
        </w:rPr>
        <w:t xml:space="preserve"> 1986 (3) SA 495 (V).</w:t>
      </w:r>
    </w:p>
  </w:footnote>
  <w:footnote w:id="4">
    <w:p w14:paraId="3C9AAC9B" w14:textId="71F0D4D3" w:rsidR="00BD2938" w:rsidRPr="00BD2938" w:rsidRDefault="00BD2938" w:rsidP="00BD4065">
      <w:pPr>
        <w:pStyle w:val="FootnoteText"/>
        <w:spacing w:line="240" w:lineRule="auto"/>
        <w:jc w:val="both"/>
        <w:rPr>
          <w:lang w:val="en-US"/>
        </w:rPr>
      </w:pPr>
      <w:r>
        <w:rPr>
          <w:rStyle w:val="FootnoteReference"/>
        </w:rPr>
        <w:footnoteRef/>
      </w:r>
      <w:r>
        <w:t xml:space="preserve"> </w:t>
      </w:r>
      <w:r>
        <w:rPr>
          <w:lang w:val="en-US"/>
        </w:rPr>
        <w:t>Ibid at 164.</w:t>
      </w:r>
    </w:p>
  </w:footnote>
  <w:footnote w:id="5">
    <w:p w14:paraId="0E9F3B9F" w14:textId="50A302A1" w:rsidR="007A0692" w:rsidRPr="007A0692" w:rsidRDefault="007A0692" w:rsidP="00BD4065">
      <w:pPr>
        <w:pStyle w:val="FootnoteText"/>
        <w:spacing w:line="240" w:lineRule="auto"/>
        <w:jc w:val="both"/>
        <w:rPr>
          <w:lang w:val="en-US"/>
        </w:rPr>
      </w:pPr>
      <w:r>
        <w:rPr>
          <w:rStyle w:val="FootnoteReference"/>
        </w:rPr>
        <w:footnoteRef/>
      </w:r>
      <w:r>
        <w:t xml:space="preserve"> </w:t>
      </w:r>
      <w:r>
        <w:rPr>
          <w:lang w:val="en-US"/>
        </w:rPr>
        <w:t xml:space="preserve">EWM Mesatywa and AC Jordan </w:t>
      </w:r>
      <w:r>
        <w:rPr>
          <w:i/>
          <w:iCs/>
          <w:lang w:val="en-US"/>
        </w:rPr>
        <w:t>Izaci Namaqhalo EsiXhosa</w:t>
      </w:r>
      <w:r>
        <w:rPr>
          <w:lang w:val="en-US"/>
        </w:rPr>
        <w:t xml:space="preserve"> (1971) at 63 as cited in A Mvanyashe ‘IsiXhosa proverbs and idioms as a reflection of indigenous knowledge systems and an education tool’ </w:t>
      </w:r>
      <w:r>
        <w:rPr>
          <w:i/>
          <w:iCs/>
          <w:lang w:val="en-US"/>
        </w:rPr>
        <w:t>Southern African Journal for Folklore Studies</w:t>
      </w:r>
      <w:r>
        <w:rPr>
          <w:lang w:val="en-US"/>
        </w:rPr>
        <w:t xml:space="preserve"> (vol 29, no. 2) (2019) at 11</w:t>
      </w:r>
    </w:p>
  </w:footnote>
  <w:footnote w:id="6">
    <w:p w14:paraId="034550FC" w14:textId="2EE86922" w:rsidR="00956EC3" w:rsidRPr="00956EC3" w:rsidRDefault="00956EC3" w:rsidP="00BD4065">
      <w:pPr>
        <w:pStyle w:val="FootnoteText"/>
        <w:spacing w:line="240" w:lineRule="auto"/>
        <w:jc w:val="both"/>
        <w:rPr>
          <w:lang w:val="en-US"/>
        </w:rPr>
      </w:pPr>
      <w:r>
        <w:rPr>
          <w:rStyle w:val="FootnoteReference"/>
        </w:rPr>
        <w:footnoteRef/>
      </w:r>
      <w:r>
        <w:t xml:space="preserve"> </w:t>
      </w:r>
      <w:r>
        <w:rPr>
          <w:lang w:val="en-US"/>
        </w:rPr>
        <w:t>Act 3 of 1957.</w:t>
      </w:r>
    </w:p>
  </w:footnote>
  <w:footnote w:id="7">
    <w:p w14:paraId="5C93F4F1" w14:textId="7EB40349" w:rsidR="009F0F54" w:rsidRPr="00453627" w:rsidRDefault="009F0F54" w:rsidP="00BD4065">
      <w:pPr>
        <w:pStyle w:val="FootnoteText"/>
        <w:spacing w:line="240" w:lineRule="auto"/>
        <w:jc w:val="both"/>
        <w:rPr>
          <w:lang w:val="en-US"/>
        </w:rPr>
      </w:pPr>
      <w:r>
        <w:rPr>
          <w:rStyle w:val="FootnoteReference"/>
        </w:rPr>
        <w:footnoteRef/>
      </w:r>
      <w:r>
        <w:t xml:space="preserve"> </w:t>
      </w:r>
      <w:r>
        <w:rPr>
          <w:lang w:val="en-US"/>
        </w:rPr>
        <w:t>The act does not define ‘wizard’. The term may be understood to mean a human being who deploys supernatural power for nefarious purposes</w:t>
      </w:r>
      <w:r w:rsidR="005A7398">
        <w:rPr>
          <w:lang w:val="en-US"/>
        </w:rPr>
        <w:t xml:space="preserve">: N Tebbe ‘Witchcraft and the Constitution’ </w:t>
      </w:r>
      <w:r w:rsidR="00723312">
        <w:rPr>
          <w:lang w:val="en-US"/>
        </w:rPr>
        <w:t xml:space="preserve">in TW Bennett (ed) </w:t>
      </w:r>
      <w:r w:rsidR="00723312">
        <w:rPr>
          <w:i/>
          <w:iCs/>
          <w:lang w:val="en-US"/>
        </w:rPr>
        <w:t xml:space="preserve">Traditional African Religions in South African Law </w:t>
      </w:r>
      <w:r w:rsidR="005A7398">
        <w:rPr>
          <w:lang w:val="en-US"/>
        </w:rPr>
        <w:t xml:space="preserve">(2011) </w:t>
      </w:r>
      <w:r w:rsidR="00417A43">
        <w:rPr>
          <w:lang w:val="en-US"/>
        </w:rPr>
        <w:t xml:space="preserve">at 161 </w:t>
      </w:r>
      <w:r w:rsidR="005A7398">
        <w:rPr>
          <w:lang w:val="en-US"/>
        </w:rPr>
        <w:t>accessed at</w:t>
      </w:r>
      <w:r w:rsidR="00583CC8">
        <w:rPr>
          <w:lang w:val="en-US"/>
        </w:rPr>
        <w:t xml:space="preserve"> </w:t>
      </w:r>
      <w:hyperlink r:id="rId2" w:history="1">
        <w:r w:rsidR="00417A43" w:rsidRPr="00F91646">
          <w:rPr>
            <w:rStyle w:val="Hyperlink"/>
            <w:lang w:val="en-US"/>
          </w:rPr>
          <w:t>http://ssrn.com/abstract=1926885</w:t>
        </w:r>
      </w:hyperlink>
      <w:r w:rsidR="005A7398">
        <w:rPr>
          <w:lang w:val="en-US"/>
        </w:rPr>
        <w:t xml:space="preserve">. </w:t>
      </w:r>
      <w:r w:rsidR="00BA3ABA">
        <w:rPr>
          <w:lang w:val="en-US"/>
        </w:rPr>
        <w:t>The term is clearly not intended to refer only to male practitioners of the occult and</w:t>
      </w:r>
      <w:r w:rsidR="00453627">
        <w:rPr>
          <w:lang w:val="en-US"/>
        </w:rPr>
        <w:t xml:space="preserve"> also</w:t>
      </w:r>
      <w:r w:rsidR="00BA3ABA">
        <w:rPr>
          <w:lang w:val="en-US"/>
        </w:rPr>
        <w:t xml:space="preserve"> includes females</w:t>
      </w:r>
      <w:r w:rsidR="00880514">
        <w:rPr>
          <w:lang w:val="en-US"/>
        </w:rPr>
        <w:t>, and the accused does not have to be shown to have used the word ‘wizard’ before he may be convicted</w:t>
      </w:r>
      <w:r w:rsidR="00BA3ABA">
        <w:rPr>
          <w:lang w:val="en-US"/>
        </w:rPr>
        <w:t xml:space="preserve">: see SV Hoctor </w:t>
      </w:r>
      <w:r w:rsidR="00BA3ABA">
        <w:rPr>
          <w:i/>
          <w:iCs/>
          <w:lang w:val="en-US"/>
        </w:rPr>
        <w:t>et al</w:t>
      </w:r>
      <w:r w:rsidR="00BA3ABA">
        <w:rPr>
          <w:lang w:val="en-US"/>
        </w:rPr>
        <w:t xml:space="preserve"> </w:t>
      </w:r>
      <w:r w:rsidR="00BA3ABA">
        <w:rPr>
          <w:i/>
          <w:iCs/>
          <w:lang w:val="en-US"/>
        </w:rPr>
        <w:t>South African Criminal Law and Procedure Volume III: Statutory Offences</w:t>
      </w:r>
      <w:r w:rsidR="00BA3ABA">
        <w:rPr>
          <w:lang w:val="en-US"/>
        </w:rPr>
        <w:t xml:space="preserve"> </w:t>
      </w:r>
      <w:r w:rsidR="003B0FA4">
        <w:rPr>
          <w:lang w:val="en-US"/>
        </w:rPr>
        <w:t>(RS 23) (2013) chE2-p3.</w:t>
      </w:r>
      <w:r w:rsidR="00453627">
        <w:rPr>
          <w:lang w:val="en-US"/>
        </w:rPr>
        <w:t xml:space="preserve"> Also see </w:t>
      </w:r>
      <w:r w:rsidR="00453627">
        <w:rPr>
          <w:i/>
          <w:iCs/>
          <w:lang w:val="en-US"/>
        </w:rPr>
        <w:t>S v Mafunisa</w:t>
      </w:r>
      <w:r w:rsidR="00453627">
        <w:rPr>
          <w:lang w:val="en-US"/>
        </w:rPr>
        <w:t xml:space="preserve"> 1986 (</w:t>
      </w:r>
      <w:r w:rsidR="00C62A02">
        <w:rPr>
          <w:lang w:val="en-US"/>
        </w:rPr>
        <w:t>3</w:t>
      </w:r>
      <w:r w:rsidR="00453627">
        <w:rPr>
          <w:lang w:val="en-US"/>
        </w:rPr>
        <w:t>) SA 495 (V).</w:t>
      </w:r>
    </w:p>
  </w:footnote>
  <w:footnote w:id="8">
    <w:p w14:paraId="5804EA61" w14:textId="3F381ACA" w:rsidR="00823BC4" w:rsidRPr="00823BC4" w:rsidRDefault="00823BC4" w:rsidP="00BD4065">
      <w:pPr>
        <w:pStyle w:val="FootnoteText"/>
        <w:spacing w:line="240" w:lineRule="auto"/>
        <w:jc w:val="both"/>
        <w:rPr>
          <w:lang w:val="en-US"/>
        </w:rPr>
      </w:pPr>
      <w:r>
        <w:rPr>
          <w:rStyle w:val="FootnoteReference"/>
        </w:rPr>
        <w:footnoteRef/>
      </w:r>
      <w:r>
        <w:t xml:space="preserve"> </w:t>
      </w:r>
      <w:r>
        <w:rPr>
          <w:lang w:val="en-US"/>
        </w:rPr>
        <w:t xml:space="preserve">S 1(i) of the </w:t>
      </w:r>
      <w:r w:rsidR="00C86E57">
        <w:rPr>
          <w:lang w:val="en-US"/>
        </w:rPr>
        <w:t>Act</w:t>
      </w:r>
      <w:r>
        <w:rPr>
          <w:lang w:val="en-US"/>
        </w:rPr>
        <w:t>.</w:t>
      </w:r>
      <w:r w:rsidR="00C66542">
        <w:rPr>
          <w:lang w:val="en-US"/>
        </w:rPr>
        <w:t xml:space="preserve"> Where any person in respect of whom such an offence was committed is killed, it is presumed, until the contrary is proved, that such person was killed in consequence of the commission of such offence: s 2 of the </w:t>
      </w:r>
      <w:r w:rsidR="00C86E57">
        <w:rPr>
          <w:lang w:val="en-US"/>
        </w:rPr>
        <w:t>Act</w:t>
      </w:r>
      <w:r w:rsidR="00C66542">
        <w:rPr>
          <w:lang w:val="en-US"/>
        </w:rPr>
        <w:t>.</w:t>
      </w:r>
    </w:p>
  </w:footnote>
  <w:footnote w:id="9">
    <w:p w14:paraId="0945A630" w14:textId="30355AE7" w:rsidR="00B55A9B" w:rsidRPr="00B55A9B" w:rsidRDefault="00B55A9B" w:rsidP="00BD4065">
      <w:pPr>
        <w:pStyle w:val="FootnoteText"/>
        <w:spacing w:line="240" w:lineRule="auto"/>
        <w:jc w:val="both"/>
        <w:rPr>
          <w:lang w:val="en-US"/>
        </w:rPr>
      </w:pPr>
      <w:r>
        <w:rPr>
          <w:rStyle w:val="FootnoteReference"/>
        </w:rPr>
        <w:footnoteRef/>
      </w:r>
      <w:r>
        <w:t xml:space="preserve"> </w:t>
      </w:r>
      <w:r>
        <w:rPr>
          <w:lang w:val="en-US"/>
        </w:rPr>
        <w:t>Act 105 of 1997.</w:t>
      </w:r>
    </w:p>
  </w:footnote>
  <w:footnote w:id="10">
    <w:p w14:paraId="0D69C035" w14:textId="34B01EFC" w:rsidR="00BE43B2" w:rsidRPr="00BE43B2" w:rsidRDefault="00BE43B2" w:rsidP="00BD4065">
      <w:pPr>
        <w:pStyle w:val="FootnoteText"/>
        <w:spacing w:line="240" w:lineRule="auto"/>
        <w:jc w:val="both"/>
        <w:rPr>
          <w:lang w:val="en-US"/>
        </w:rPr>
      </w:pPr>
      <w:r>
        <w:rPr>
          <w:rStyle w:val="FootnoteReference"/>
        </w:rPr>
        <w:footnoteRef/>
      </w:r>
      <w:r>
        <w:t xml:space="preserve"> </w:t>
      </w:r>
      <w:r>
        <w:rPr>
          <w:lang w:val="en-US"/>
        </w:rPr>
        <w:t>S 51(1) read with s 51(3) of the Criminal Law Amendment Act, 1997.</w:t>
      </w:r>
      <w:r w:rsidR="00FD6651">
        <w:rPr>
          <w:lang w:val="en-US"/>
        </w:rPr>
        <w:t xml:space="preserve"> The applicable amendment to this legislation has been in effect for more than 15 years.</w:t>
      </w:r>
    </w:p>
  </w:footnote>
  <w:footnote w:id="11">
    <w:p w14:paraId="1861AF35" w14:textId="1D2F5467" w:rsidR="000F01AB" w:rsidRPr="000F01AB" w:rsidRDefault="000F01AB" w:rsidP="00BD4065">
      <w:pPr>
        <w:pStyle w:val="FootnoteText"/>
        <w:spacing w:line="240" w:lineRule="auto"/>
        <w:jc w:val="both"/>
        <w:rPr>
          <w:lang w:val="en-US"/>
        </w:rPr>
      </w:pPr>
      <w:r>
        <w:rPr>
          <w:rStyle w:val="FootnoteReference"/>
        </w:rPr>
        <w:footnoteRef/>
      </w:r>
      <w:r>
        <w:t xml:space="preserve"> </w:t>
      </w:r>
      <w:r>
        <w:rPr>
          <w:lang w:val="en-US"/>
        </w:rPr>
        <w:t>Act 13 of 2006. ‘Abuse’ includes physical abuse, which is defined to mean any act or threat of physical violence towards an older person, defined to include women over the age of 60.</w:t>
      </w:r>
    </w:p>
  </w:footnote>
  <w:footnote w:id="12">
    <w:p w14:paraId="0DC02460" w14:textId="77777777" w:rsidR="00CA11D0" w:rsidRPr="00F64B91" w:rsidRDefault="00CA11D0" w:rsidP="00BD4065">
      <w:pPr>
        <w:pStyle w:val="FootnoteText"/>
        <w:spacing w:line="240" w:lineRule="auto"/>
        <w:jc w:val="both"/>
        <w:rPr>
          <w:lang w:val="en-US"/>
        </w:rPr>
      </w:pPr>
      <w:r>
        <w:rPr>
          <w:rStyle w:val="FootnoteReference"/>
        </w:rPr>
        <w:footnoteRef/>
      </w:r>
      <w:r>
        <w:t xml:space="preserve"> </w:t>
      </w:r>
      <w:r>
        <w:rPr>
          <w:lang w:val="en-US"/>
        </w:rPr>
        <w:t xml:space="preserve">S Hoctor ‘Belief in witchcraft as a mitigating factor in sentencing: </w:t>
      </w:r>
      <w:r>
        <w:rPr>
          <w:i/>
          <w:iCs/>
          <w:lang w:val="en-US"/>
        </w:rPr>
        <w:t>S v Latha and Another</w:t>
      </w:r>
      <w:r>
        <w:rPr>
          <w:lang w:val="en-US"/>
        </w:rPr>
        <w:t xml:space="preserve"> 2012 (2) SACR 30 (ECG)’ </w:t>
      </w:r>
      <w:r>
        <w:rPr>
          <w:i/>
          <w:iCs/>
          <w:lang w:val="en-US"/>
        </w:rPr>
        <w:t>Obiter</w:t>
      </w:r>
      <w:r>
        <w:rPr>
          <w:lang w:val="en-US"/>
        </w:rPr>
        <w:t xml:space="preserve"> (2012) 380 at 382.</w:t>
      </w:r>
    </w:p>
  </w:footnote>
  <w:footnote w:id="13">
    <w:p w14:paraId="1F401DEA" w14:textId="77777777" w:rsidR="00CA11D0" w:rsidRPr="0021222A" w:rsidRDefault="00CA11D0" w:rsidP="00BD4065">
      <w:pPr>
        <w:pStyle w:val="FootnoteText"/>
        <w:spacing w:line="240" w:lineRule="auto"/>
        <w:jc w:val="both"/>
        <w:rPr>
          <w:lang w:val="en-US"/>
        </w:rPr>
      </w:pPr>
      <w:r>
        <w:rPr>
          <w:rStyle w:val="FootnoteReference"/>
        </w:rPr>
        <w:footnoteRef/>
      </w:r>
      <w:r>
        <w:t xml:space="preserve"> </w:t>
      </w:r>
      <w:r>
        <w:rPr>
          <w:i/>
          <w:iCs/>
          <w:lang w:val="en-US"/>
        </w:rPr>
        <w:t xml:space="preserve">R v Biyana </w:t>
      </w:r>
      <w:r>
        <w:rPr>
          <w:lang w:val="en-US"/>
        </w:rPr>
        <w:t>1938 EDL 310.</w:t>
      </w:r>
    </w:p>
  </w:footnote>
  <w:footnote w:id="14">
    <w:p w14:paraId="79C865D5" w14:textId="77777777" w:rsidR="00CA11D0" w:rsidRPr="002B303E" w:rsidRDefault="00CA11D0" w:rsidP="00BD4065">
      <w:pPr>
        <w:pStyle w:val="FootnoteText"/>
        <w:spacing w:line="240" w:lineRule="auto"/>
        <w:jc w:val="both"/>
        <w:rPr>
          <w:lang w:val="en-US"/>
        </w:rPr>
      </w:pPr>
      <w:r>
        <w:rPr>
          <w:rStyle w:val="FootnoteReference"/>
        </w:rPr>
        <w:footnoteRef/>
      </w:r>
      <w:r>
        <w:t xml:space="preserve"> </w:t>
      </w:r>
      <w:r>
        <w:rPr>
          <w:i/>
          <w:iCs/>
          <w:lang w:val="en-US"/>
        </w:rPr>
        <w:t>R v Fundakubi and Others</w:t>
      </w:r>
      <w:r>
        <w:rPr>
          <w:lang w:val="en-US"/>
        </w:rPr>
        <w:t xml:space="preserve"> 1948 (3) SA 810 (A) at 818.</w:t>
      </w:r>
    </w:p>
  </w:footnote>
  <w:footnote w:id="15">
    <w:p w14:paraId="17F795B1" w14:textId="77777777" w:rsidR="00CA11D0" w:rsidRPr="00340864" w:rsidRDefault="00CA11D0" w:rsidP="00BD4065">
      <w:pPr>
        <w:pStyle w:val="FootnoteText"/>
        <w:spacing w:line="240" w:lineRule="auto"/>
        <w:jc w:val="both"/>
        <w:rPr>
          <w:lang w:val="en-US"/>
        </w:rPr>
      </w:pPr>
      <w:r>
        <w:rPr>
          <w:rStyle w:val="FootnoteReference"/>
        </w:rPr>
        <w:footnoteRef/>
      </w:r>
      <w:r>
        <w:t xml:space="preserve"> </w:t>
      </w:r>
      <w:r>
        <w:rPr>
          <w:lang w:val="en-US"/>
        </w:rPr>
        <w:t>Ibid at 819 – 820.</w:t>
      </w:r>
    </w:p>
  </w:footnote>
  <w:footnote w:id="16">
    <w:p w14:paraId="10365DC7" w14:textId="6722F133" w:rsidR="00CA11D0" w:rsidRPr="005C34AF" w:rsidRDefault="00CA11D0" w:rsidP="00BD4065">
      <w:pPr>
        <w:pStyle w:val="FootnoteText"/>
        <w:spacing w:line="240" w:lineRule="auto"/>
        <w:jc w:val="both"/>
        <w:rPr>
          <w:lang w:val="en-US"/>
        </w:rPr>
      </w:pPr>
      <w:r>
        <w:rPr>
          <w:rStyle w:val="FootnoteReference"/>
        </w:rPr>
        <w:footnoteRef/>
      </w:r>
      <w:r>
        <w:t xml:space="preserve"> </w:t>
      </w:r>
      <w:r>
        <w:rPr>
          <w:lang w:val="en-US"/>
        </w:rPr>
        <w:t xml:space="preserve">Ibid at 818 – 819. Also see </w:t>
      </w:r>
      <w:r>
        <w:rPr>
          <w:i/>
          <w:iCs/>
          <w:lang w:val="en-US"/>
        </w:rPr>
        <w:t xml:space="preserve">S v Phama </w:t>
      </w:r>
      <w:r>
        <w:rPr>
          <w:lang w:val="en-US"/>
        </w:rPr>
        <w:t>1997 (1) SACR 485 (E) (‘</w:t>
      </w:r>
      <w:r>
        <w:rPr>
          <w:i/>
          <w:iCs/>
          <w:lang w:val="en-US"/>
        </w:rPr>
        <w:t>Phama</w:t>
      </w:r>
      <w:r>
        <w:rPr>
          <w:lang w:val="en-US"/>
        </w:rPr>
        <w:t>’)</w:t>
      </w:r>
      <w:r>
        <w:rPr>
          <w:i/>
          <w:iCs/>
          <w:lang w:val="en-US"/>
        </w:rPr>
        <w:t xml:space="preserve"> </w:t>
      </w:r>
      <w:r>
        <w:rPr>
          <w:lang w:val="en-US"/>
        </w:rPr>
        <w:t>at 487, where Jones J held that ‘…my sentence should reflect the revulsion of society at the readiness to resort to criminal violence; the ho</w:t>
      </w:r>
      <w:r w:rsidR="006E31AF">
        <w:rPr>
          <w:lang w:val="en-US"/>
        </w:rPr>
        <w:t>rr</w:t>
      </w:r>
      <w:r>
        <w:rPr>
          <w:lang w:val="en-US"/>
        </w:rPr>
        <w:t>or of society that human life should be made so cheap; and the need to show the accused and other potential offenders that the price they must pay for resorting to murder in order to eliminate an alleged witch or wizard from their midst is not worth it’.</w:t>
      </w:r>
    </w:p>
  </w:footnote>
  <w:footnote w:id="17">
    <w:p w14:paraId="10B850CC" w14:textId="77777777" w:rsidR="00CA11D0" w:rsidRPr="00EA0603" w:rsidRDefault="00CA11D0" w:rsidP="00BD4065">
      <w:pPr>
        <w:pStyle w:val="FootnoteText"/>
        <w:spacing w:line="240" w:lineRule="auto"/>
        <w:jc w:val="both"/>
        <w:rPr>
          <w:lang w:val="en-US"/>
        </w:rPr>
      </w:pPr>
      <w:r>
        <w:rPr>
          <w:rStyle w:val="FootnoteReference"/>
        </w:rPr>
        <w:footnoteRef/>
      </w:r>
      <w:r>
        <w:t xml:space="preserve"> </w:t>
      </w:r>
      <w:r>
        <w:rPr>
          <w:i/>
          <w:iCs/>
          <w:lang w:val="en-US"/>
        </w:rPr>
        <w:t>S v Makwanyane and Another</w:t>
      </w:r>
      <w:r>
        <w:rPr>
          <w:lang w:val="en-US"/>
        </w:rPr>
        <w:t xml:space="preserve"> 1995 (3) SA 391 (CC).</w:t>
      </w:r>
    </w:p>
  </w:footnote>
  <w:footnote w:id="18">
    <w:p w14:paraId="0A0049C0" w14:textId="5766D726" w:rsidR="00CA11D0" w:rsidRPr="00DB4919" w:rsidRDefault="00CA11D0" w:rsidP="00BD4065">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S v Motsepa and Another</w:t>
      </w:r>
      <w:r>
        <w:rPr>
          <w:lang w:val="en-US"/>
        </w:rPr>
        <w:t xml:space="preserve"> 1991 (2) SACR 462 (A)</w:t>
      </w:r>
      <w:r w:rsidR="00F048DC">
        <w:rPr>
          <w:lang w:val="en-US"/>
        </w:rPr>
        <w:t xml:space="preserve"> (‘</w:t>
      </w:r>
      <w:r w:rsidR="00F048DC">
        <w:rPr>
          <w:i/>
          <w:iCs/>
          <w:lang w:val="en-US"/>
        </w:rPr>
        <w:t>Motsepa</w:t>
      </w:r>
      <w:r w:rsidR="00F048DC">
        <w:rPr>
          <w:lang w:val="en-US"/>
        </w:rPr>
        <w:t>’)</w:t>
      </w:r>
      <w:r>
        <w:rPr>
          <w:lang w:val="en-US"/>
        </w:rPr>
        <w:t xml:space="preserve">. </w:t>
      </w:r>
    </w:p>
  </w:footnote>
  <w:footnote w:id="19">
    <w:p w14:paraId="481A0199" w14:textId="77777777" w:rsidR="00CA11D0" w:rsidRPr="006A5E98" w:rsidRDefault="00CA11D0" w:rsidP="00BD4065">
      <w:pPr>
        <w:pStyle w:val="FootnoteText"/>
        <w:spacing w:line="240" w:lineRule="auto"/>
        <w:jc w:val="both"/>
        <w:rPr>
          <w:lang w:val="en-US"/>
        </w:rPr>
      </w:pPr>
      <w:r>
        <w:rPr>
          <w:rStyle w:val="FootnoteReference"/>
        </w:rPr>
        <w:footnoteRef/>
      </w:r>
      <w:r>
        <w:t xml:space="preserve"> </w:t>
      </w:r>
      <w:r>
        <w:rPr>
          <w:i/>
          <w:iCs/>
          <w:lang w:val="en-US"/>
        </w:rPr>
        <w:t>S v Lukhwa and Anothers</w:t>
      </w:r>
      <w:r>
        <w:rPr>
          <w:lang w:val="en-US"/>
        </w:rPr>
        <w:t xml:space="preserve"> 1994 (1) SACR 5 (A).</w:t>
      </w:r>
    </w:p>
  </w:footnote>
  <w:footnote w:id="20">
    <w:p w14:paraId="28BC22ED" w14:textId="69DBA399" w:rsidR="00CA11D0" w:rsidRPr="000B6942" w:rsidRDefault="00CA11D0" w:rsidP="00BD4065">
      <w:pPr>
        <w:pStyle w:val="FootnoteText"/>
        <w:spacing w:line="240" w:lineRule="auto"/>
        <w:jc w:val="both"/>
        <w:rPr>
          <w:lang w:val="en-US"/>
        </w:rPr>
      </w:pPr>
      <w:r>
        <w:rPr>
          <w:rStyle w:val="FootnoteReference"/>
        </w:rPr>
        <w:footnoteRef/>
      </w:r>
      <w:r>
        <w:t xml:space="preserve"> </w:t>
      </w:r>
      <w:r>
        <w:rPr>
          <w:i/>
          <w:iCs/>
          <w:lang w:val="en-US"/>
        </w:rPr>
        <w:t>Motsepa</w:t>
      </w:r>
      <w:r>
        <w:rPr>
          <w:lang w:val="en-US"/>
        </w:rPr>
        <w:t xml:space="preserve"> </w:t>
      </w:r>
      <w:r w:rsidR="00A21DE5">
        <w:rPr>
          <w:lang w:val="en-US"/>
        </w:rPr>
        <w:t xml:space="preserve">above n 18 </w:t>
      </w:r>
      <w:r>
        <w:rPr>
          <w:lang w:val="en-US"/>
        </w:rPr>
        <w:t xml:space="preserve">at 470, as translated by Hoctor above n </w:t>
      </w:r>
      <w:r w:rsidR="00573AD0">
        <w:rPr>
          <w:lang w:val="en-US"/>
        </w:rPr>
        <w:t>12</w:t>
      </w:r>
      <w:r>
        <w:rPr>
          <w:lang w:val="en-US"/>
        </w:rPr>
        <w:t xml:space="preserve"> at 386.</w:t>
      </w:r>
    </w:p>
  </w:footnote>
  <w:footnote w:id="21">
    <w:p w14:paraId="5494977E" w14:textId="77777777" w:rsidR="00CA11D0" w:rsidRPr="009668DB" w:rsidRDefault="00CA11D0" w:rsidP="00BD4065">
      <w:pPr>
        <w:pStyle w:val="FootnoteText"/>
        <w:spacing w:line="240" w:lineRule="auto"/>
        <w:jc w:val="both"/>
        <w:rPr>
          <w:lang w:val="en-US"/>
        </w:rPr>
      </w:pPr>
      <w:r>
        <w:rPr>
          <w:rStyle w:val="FootnoteReference"/>
        </w:rPr>
        <w:footnoteRef/>
      </w:r>
      <w:r>
        <w:t xml:space="preserve"> </w:t>
      </w:r>
      <w:r>
        <w:rPr>
          <w:lang w:val="en-US"/>
        </w:rPr>
        <w:t>Preamble to the Constitution, read with ss 1 and 11 of the Constitution.</w:t>
      </w:r>
    </w:p>
  </w:footnote>
  <w:footnote w:id="22">
    <w:p w14:paraId="63849BDB" w14:textId="77777777" w:rsidR="00CA11D0" w:rsidRPr="00772FDC" w:rsidRDefault="00CA11D0" w:rsidP="00BD4065">
      <w:pPr>
        <w:pStyle w:val="FootnoteText"/>
        <w:spacing w:line="240" w:lineRule="auto"/>
        <w:jc w:val="both"/>
        <w:rPr>
          <w:lang w:val="en-US"/>
        </w:rPr>
      </w:pPr>
      <w:r>
        <w:rPr>
          <w:rStyle w:val="FootnoteReference"/>
        </w:rPr>
        <w:footnoteRef/>
      </w:r>
      <w:r>
        <w:t xml:space="preserve"> </w:t>
      </w:r>
      <w:r>
        <w:rPr>
          <w:lang w:val="en-US"/>
        </w:rPr>
        <w:t>S 12(1)(</w:t>
      </w:r>
      <w:r>
        <w:rPr>
          <w:i/>
          <w:iCs/>
          <w:lang w:val="en-US"/>
        </w:rPr>
        <w:t>c</w:t>
      </w:r>
      <w:r>
        <w:rPr>
          <w:lang w:val="en-US"/>
        </w:rPr>
        <w:t>) of the Constitution.</w:t>
      </w:r>
    </w:p>
  </w:footnote>
  <w:footnote w:id="23">
    <w:p w14:paraId="715C0DA7" w14:textId="57B9FE62" w:rsidR="00CA11D0" w:rsidRPr="00FC416A" w:rsidRDefault="00CA11D0" w:rsidP="00BD4065">
      <w:pPr>
        <w:pStyle w:val="FootnoteText"/>
        <w:spacing w:line="240" w:lineRule="auto"/>
        <w:jc w:val="both"/>
        <w:rPr>
          <w:lang w:val="en-US"/>
        </w:rPr>
      </w:pPr>
      <w:r>
        <w:rPr>
          <w:rStyle w:val="FootnoteReference"/>
        </w:rPr>
        <w:footnoteRef/>
      </w:r>
      <w:r>
        <w:t xml:space="preserve"> </w:t>
      </w:r>
      <w:r>
        <w:rPr>
          <w:i/>
          <w:iCs/>
          <w:lang w:val="en-US"/>
        </w:rPr>
        <w:t>S v Makwanyane</w:t>
      </w:r>
      <w:r>
        <w:rPr>
          <w:lang w:val="en-US"/>
        </w:rPr>
        <w:t xml:space="preserve"> </w:t>
      </w:r>
      <w:r w:rsidR="004D32EB">
        <w:rPr>
          <w:lang w:val="en-US"/>
        </w:rPr>
        <w:t>above n 17</w:t>
      </w:r>
      <w:r>
        <w:rPr>
          <w:lang w:val="en-US"/>
        </w:rPr>
        <w:t xml:space="preserve"> at 381 – 382, cited in Hoctor above n </w:t>
      </w:r>
      <w:r w:rsidR="00573AD0">
        <w:rPr>
          <w:lang w:val="en-US"/>
        </w:rPr>
        <w:t>12</w:t>
      </w:r>
      <w:r>
        <w:rPr>
          <w:lang w:val="en-US"/>
        </w:rPr>
        <w:t xml:space="preserve"> at 387.</w:t>
      </w:r>
    </w:p>
  </w:footnote>
  <w:footnote w:id="24">
    <w:p w14:paraId="7384AB7D" w14:textId="77777777" w:rsidR="00CA11D0" w:rsidRPr="004A5463" w:rsidRDefault="00CA11D0" w:rsidP="00BD4065">
      <w:pPr>
        <w:pStyle w:val="FootnoteText"/>
        <w:spacing w:line="240" w:lineRule="auto"/>
        <w:jc w:val="both"/>
        <w:rPr>
          <w:lang w:val="en-US"/>
        </w:rPr>
      </w:pPr>
      <w:r>
        <w:rPr>
          <w:rStyle w:val="FootnoteReference"/>
        </w:rPr>
        <w:footnoteRef/>
      </w:r>
      <w:r>
        <w:t xml:space="preserve"> </w:t>
      </w:r>
      <w:r>
        <w:rPr>
          <w:lang w:val="en-US"/>
        </w:rPr>
        <w:t xml:space="preserve">See, for example, </w:t>
      </w:r>
      <w:r>
        <w:rPr>
          <w:i/>
          <w:iCs/>
          <w:lang w:val="en-US"/>
        </w:rPr>
        <w:t>S v Zuma</w:t>
      </w:r>
      <w:r>
        <w:rPr>
          <w:lang w:val="en-US"/>
        </w:rPr>
        <w:t xml:space="preserve"> [2000] JOL 7061 (N) at 114 – 115.</w:t>
      </w:r>
    </w:p>
  </w:footnote>
  <w:footnote w:id="25">
    <w:p w14:paraId="43B3C2EF" w14:textId="77777777" w:rsidR="00CA11D0" w:rsidRPr="009D46D5" w:rsidRDefault="00CA11D0" w:rsidP="00BD4065">
      <w:pPr>
        <w:pStyle w:val="FootnoteText"/>
        <w:spacing w:line="240" w:lineRule="auto"/>
        <w:jc w:val="both"/>
        <w:rPr>
          <w:lang w:val="en-US"/>
        </w:rPr>
      </w:pPr>
      <w:r>
        <w:rPr>
          <w:rStyle w:val="FootnoteReference"/>
        </w:rPr>
        <w:footnoteRef/>
      </w:r>
      <w:r>
        <w:t xml:space="preserve"> </w:t>
      </w:r>
      <w:r>
        <w:rPr>
          <w:i/>
          <w:iCs/>
          <w:lang w:val="en-US"/>
        </w:rPr>
        <w:t>S v Mbobi</w:t>
      </w:r>
      <w:r>
        <w:rPr>
          <w:lang w:val="en-US"/>
        </w:rPr>
        <w:t xml:space="preserve"> (2005 JDR 0016 (E)) paras 9 – 10.</w:t>
      </w:r>
    </w:p>
  </w:footnote>
  <w:footnote w:id="26">
    <w:p w14:paraId="624A33A6" w14:textId="77777777" w:rsidR="00CA11D0" w:rsidRPr="009D1C58" w:rsidRDefault="00CA11D0" w:rsidP="00BD4065">
      <w:pPr>
        <w:pStyle w:val="FootnoteText"/>
        <w:spacing w:line="240" w:lineRule="auto"/>
        <w:jc w:val="both"/>
        <w:rPr>
          <w:lang w:val="en-US"/>
        </w:rPr>
      </w:pPr>
      <w:r>
        <w:rPr>
          <w:rStyle w:val="FootnoteReference"/>
        </w:rPr>
        <w:footnoteRef/>
      </w:r>
      <w:r>
        <w:t xml:space="preserve"> </w:t>
      </w:r>
      <w:r>
        <w:rPr>
          <w:i/>
          <w:iCs/>
        </w:rPr>
        <w:t xml:space="preserve">S v Manundu </w:t>
      </w:r>
      <w:r>
        <w:t>(2022 JDR 2409 (ECM)) paras 15, 26 and 31.</w:t>
      </w:r>
    </w:p>
  </w:footnote>
  <w:footnote w:id="27">
    <w:p w14:paraId="53AC4590" w14:textId="2DBDD0A0" w:rsidR="00CA11D0" w:rsidRPr="007730AC" w:rsidRDefault="00CA11D0" w:rsidP="00BD4065">
      <w:pPr>
        <w:pStyle w:val="FootnoteText"/>
        <w:spacing w:line="240" w:lineRule="auto"/>
        <w:jc w:val="both"/>
        <w:rPr>
          <w:lang w:val="en-US"/>
        </w:rPr>
      </w:pPr>
      <w:r>
        <w:rPr>
          <w:rStyle w:val="FootnoteReference"/>
        </w:rPr>
        <w:footnoteRef/>
      </w:r>
      <w:r>
        <w:t xml:space="preserve"> </w:t>
      </w:r>
      <w:r w:rsidR="00FC3281">
        <w:rPr>
          <w:i/>
          <w:iCs/>
          <w:lang w:val="en-US"/>
        </w:rPr>
        <w:t>S v Latha and Another</w:t>
      </w:r>
      <w:r w:rsidR="00FC3281">
        <w:rPr>
          <w:lang w:val="en-US"/>
        </w:rPr>
        <w:t xml:space="preserve"> 2012 (2) SACR 30 (ECG) (‘</w:t>
      </w:r>
      <w:r w:rsidR="00FC3281">
        <w:rPr>
          <w:i/>
          <w:iCs/>
          <w:lang w:val="en-US"/>
        </w:rPr>
        <w:t>Latha</w:t>
      </w:r>
      <w:r w:rsidR="00FC3281">
        <w:rPr>
          <w:lang w:val="en-US"/>
        </w:rPr>
        <w:t xml:space="preserve">’) </w:t>
      </w:r>
      <w:r>
        <w:rPr>
          <w:lang w:val="en-US"/>
        </w:rPr>
        <w:t>paras 27 – 28. In that matter, the State accepted an indirect intention to kill.</w:t>
      </w:r>
    </w:p>
  </w:footnote>
  <w:footnote w:id="28">
    <w:p w14:paraId="12F5927C" w14:textId="77777777" w:rsidR="00CA11D0" w:rsidRPr="0018737A" w:rsidRDefault="00CA11D0" w:rsidP="00BD4065">
      <w:pPr>
        <w:pStyle w:val="FootnoteText"/>
        <w:spacing w:line="240" w:lineRule="auto"/>
        <w:jc w:val="both"/>
        <w:rPr>
          <w:lang w:val="en-US"/>
        </w:rPr>
      </w:pPr>
      <w:r>
        <w:rPr>
          <w:rStyle w:val="FootnoteReference"/>
        </w:rPr>
        <w:footnoteRef/>
      </w:r>
      <w:r>
        <w:t xml:space="preserve"> </w:t>
      </w:r>
      <w:r>
        <w:rPr>
          <w:i/>
          <w:iCs/>
          <w:lang w:val="en-US"/>
        </w:rPr>
        <w:t>S v Morake</w:t>
      </w:r>
      <w:r>
        <w:rPr>
          <w:lang w:val="en-US"/>
        </w:rPr>
        <w:t xml:space="preserve"> (2020 JDR 2633 (GP) (‘</w:t>
      </w:r>
      <w:r>
        <w:rPr>
          <w:i/>
          <w:iCs/>
          <w:lang w:val="en-US"/>
        </w:rPr>
        <w:t>Morake</w:t>
      </w:r>
      <w:r>
        <w:rPr>
          <w:lang w:val="en-US"/>
        </w:rPr>
        <w:t>’).</w:t>
      </w:r>
    </w:p>
  </w:footnote>
  <w:footnote w:id="29">
    <w:p w14:paraId="72016B79" w14:textId="77777777" w:rsidR="00CA11D0" w:rsidRPr="001A2E0B" w:rsidRDefault="00CA11D0" w:rsidP="00BD4065">
      <w:pPr>
        <w:pStyle w:val="FootnoteText"/>
        <w:spacing w:line="240" w:lineRule="auto"/>
        <w:jc w:val="both"/>
        <w:rPr>
          <w:lang w:val="en-US"/>
        </w:rPr>
      </w:pPr>
      <w:r>
        <w:rPr>
          <w:rStyle w:val="FootnoteReference"/>
        </w:rPr>
        <w:footnoteRef/>
      </w:r>
      <w:r>
        <w:t xml:space="preserve"> </w:t>
      </w:r>
      <w:r>
        <w:rPr>
          <w:i/>
          <w:iCs/>
          <w:lang w:val="en-US"/>
        </w:rPr>
        <w:t>Director of Public Prosecutions v Moloto</w:t>
      </w:r>
      <w:r>
        <w:rPr>
          <w:lang w:val="en-US"/>
        </w:rPr>
        <w:t xml:space="preserve"> 2019 (2) SACR 123 (SCA) (‘</w:t>
      </w:r>
      <w:r>
        <w:rPr>
          <w:i/>
          <w:iCs/>
          <w:lang w:val="en-US"/>
        </w:rPr>
        <w:t>Moloto</w:t>
      </w:r>
      <w:r>
        <w:rPr>
          <w:lang w:val="en-US"/>
        </w:rPr>
        <w:t>’).</w:t>
      </w:r>
    </w:p>
  </w:footnote>
  <w:footnote w:id="30">
    <w:p w14:paraId="3B84E549" w14:textId="5642F9E3" w:rsidR="00CA11D0" w:rsidRPr="00A77DD2" w:rsidRDefault="00CA11D0" w:rsidP="00BD4065">
      <w:pPr>
        <w:pStyle w:val="FootnoteText"/>
        <w:spacing w:line="240" w:lineRule="auto"/>
        <w:jc w:val="both"/>
        <w:rPr>
          <w:lang w:val="en-US"/>
        </w:rPr>
      </w:pPr>
      <w:r>
        <w:rPr>
          <w:rStyle w:val="FootnoteReference"/>
        </w:rPr>
        <w:footnoteRef/>
      </w:r>
      <w:r>
        <w:t xml:space="preserve"> </w:t>
      </w:r>
      <w:r>
        <w:rPr>
          <w:i/>
          <w:iCs/>
        </w:rPr>
        <w:t>Morake</w:t>
      </w:r>
      <w:r>
        <w:t xml:space="preserve"> above n </w:t>
      </w:r>
      <w:r w:rsidR="00023C89">
        <w:t>28</w:t>
      </w:r>
      <w:r>
        <w:t xml:space="preserve"> </w:t>
      </w:r>
      <w:r>
        <w:rPr>
          <w:lang w:val="en-US"/>
        </w:rPr>
        <w:t>para 7.6. A sentence of 20 years imprisonment was imposed.</w:t>
      </w:r>
    </w:p>
  </w:footnote>
  <w:footnote w:id="31">
    <w:p w14:paraId="745D03BF" w14:textId="69A5E343" w:rsidR="00CA11D0" w:rsidRPr="00361B54" w:rsidRDefault="00CA11D0" w:rsidP="00BD4065">
      <w:pPr>
        <w:pStyle w:val="FootnoteText"/>
        <w:spacing w:line="240" w:lineRule="auto"/>
        <w:jc w:val="both"/>
        <w:rPr>
          <w:lang w:val="en-US"/>
        </w:rPr>
      </w:pPr>
      <w:r>
        <w:rPr>
          <w:rStyle w:val="FootnoteReference"/>
        </w:rPr>
        <w:footnoteRef/>
      </w:r>
      <w:r>
        <w:t xml:space="preserve"> </w:t>
      </w:r>
      <w:r w:rsidR="00023C89">
        <w:rPr>
          <w:i/>
          <w:iCs/>
          <w:lang w:val="en-US"/>
        </w:rPr>
        <w:t>S v Mogaramedi</w:t>
      </w:r>
      <w:r w:rsidR="00023C89">
        <w:rPr>
          <w:lang w:val="en-US"/>
        </w:rPr>
        <w:t xml:space="preserve"> (2014 JDR 1622 (GP)) </w:t>
      </w:r>
      <w:r>
        <w:rPr>
          <w:lang w:val="en-US"/>
        </w:rPr>
        <w:t xml:space="preserve">para 35, cited with approval in </w:t>
      </w:r>
      <w:r>
        <w:rPr>
          <w:i/>
          <w:iCs/>
          <w:lang w:val="en-US"/>
        </w:rPr>
        <w:t>Moloto</w:t>
      </w:r>
      <w:r>
        <w:rPr>
          <w:lang w:val="en-US"/>
        </w:rPr>
        <w:t xml:space="preserve"> above n </w:t>
      </w:r>
      <w:r w:rsidR="00306949">
        <w:rPr>
          <w:lang w:val="en-US"/>
        </w:rPr>
        <w:t>29</w:t>
      </w:r>
      <w:r>
        <w:rPr>
          <w:lang w:val="en-US"/>
        </w:rPr>
        <w:t xml:space="preserve"> para 10.</w:t>
      </w:r>
    </w:p>
  </w:footnote>
  <w:footnote w:id="32">
    <w:p w14:paraId="2F65BB9C" w14:textId="0444E28A" w:rsidR="00CA11D0" w:rsidRPr="00054EA7" w:rsidRDefault="00CA11D0" w:rsidP="00BD4065">
      <w:pPr>
        <w:pStyle w:val="FootnoteText"/>
        <w:spacing w:line="240" w:lineRule="auto"/>
        <w:jc w:val="both"/>
        <w:rPr>
          <w:lang w:val="en-US"/>
        </w:rPr>
      </w:pPr>
      <w:r>
        <w:rPr>
          <w:rStyle w:val="FootnoteReference"/>
        </w:rPr>
        <w:footnoteRef/>
      </w:r>
      <w:r>
        <w:t xml:space="preserve"> </w:t>
      </w:r>
      <w:r>
        <w:rPr>
          <w:i/>
          <w:iCs/>
          <w:lang w:val="en-US"/>
        </w:rPr>
        <w:t>Moloto</w:t>
      </w:r>
      <w:r>
        <w:rPr>
          <w:lang w:val="en-US"/>
        </w:rPr>
        <w:t xml:space="preserve"> above n </w:t>
      </w:r>
      <w:r w:rsidR="006B3C49">
        <w:rPr>
          <w:lang w:val="en-US"/>
        </w:rPr>
        <w:t>29</w:t>
      </w:r>
      <w:r>
        <w:rPr>
          <w:lang w:val="en-US"/>
        </w:rPr>
        <w:t xml:space="preserve"> para 11. For criticism of this decision, see S Terblanche (ed) </w:t>
      </w:r>
      <w:r>
        <w:rPr>
          <w:i/>
          <w:iCs/>
          <w:lang w:val="en-US"/>
        </w:rPr>
        <w:t xml:space="preserve">Du Toit: Commentary on the Criminal Procedure Act </w:t>
      </w:r>
      <w:r>
        <w:rPr>
          <w:lang w:val="en-US"/>
        </w:rPr>
        <w:t>(RS 61) (2018) ch 28 - p18Z – 6 / 7.</w:t>
      </w:r>
    </w:p>
  </w:footnote>
  <w:footnote w:id="33">
    <w:p w14:paraId="6CDB2803" w14:textId="570A27C9" w:rsidR="00CA11D0" w:rsidRPr="008D20BA" w:rsidRDefault="00CA11D0" w:rsidP="00BD4065">
      <w:pPr>
        <w:pStyle w:val="FootnoteText"/>
        <w:spacing w:line="240" w:lineRule="auto"/>
        <w:jc w:val="both"/>
        <w:rPr>
          <w:lang w:val="en-US"/>
        </w:rPr>
      </w:pPr>
      <w:r>
        <w:rPr>
          <w:rStyle w:val="FootnoteReference"/>
        </w:rPr>
        <w:footnoteRef/>
      </w:r>
      <w:r>
        <w:t xml:space="preserve"> </w:t>
      </w:r>
      <w:r>
        <w:rPr>
          <w:lang w:val="en-US"/>
        </w:rPr>
        <w:t xml:space="preserve">Hoctor above n </w:t>
      </w:r>
      <w:r w:rsidR="00C01423">
        <w:rPr>
          <w:lang w:val="en-US"/>
        </w:rPr>
        <w:t>12</w:t>
      </w:r>
      <w:r>
        <w:rPr>
          <w:lang w:val="en-US"/>
        </w:rPr>
        <w:t xml:space="preserve"> at 389.</w:t>
      </w:r>
    </w:p>
  </w:footnote>
  <w:footnote w:id="34">
    <w:p w14:paraId="2E9ADAD9" w14:textId="77777777" w:rsidR="00CA11D0" w:rsidRPr="00297435" w:rsidRDefault="00CA11D0" w:rsidP="00BD4065">
      <w:pPr>
        <w:pStyle w:val="FootnoteText"/>
        <w:spacing w:line="240" w:lineRule="auto"/>
        <w:jc w:val="both"/>
        <w:rPr>
          <w:lang w:val="en-US"/>
        </w:rPr>
      </w:pPr>
      <w:r>
        <w:rPr>
          <w:rStyle w:val="FootnoteReference"/>
        </w:rPr>
        <w:footnoteRef/>
      </w:r>
      <w:r>
        <w:t xml:space="preserve"> </w:t>
      </w:r>
      <w:r>
        <w:rPr>
          <w:i/>
          <w:iCs/>
          <w:lang w:val="en-US"/>
        </w:rPr>
        <w:t>S v Xaba</w:t>
      </w:r>
      <w:r>
        <w:rPr>
          <w:lang w:val="en-US"/>
        </w:rPr>
        <w:t xml:space="preserve"> (2018 JDR 0964 (KZP)).</w:t>
      </w:r>
    </w:p>
  </w:footnote>
  <w:footnote w:id="35">
    <w:p w14:paraId="05CA9612" w14:textId="1F82286F" w:rsidR="00CA11D0" w:rsidRPr="00A55306" w:rsidRDefault="00CA11D0" w:rsidP="00BD4065">
      <w:pPr>
        <w:pStyle w:val="FootnoteText"/>
        <w:spacing w:line="240" w:lineRule="auto"/>
        <w:jc w:val="both"/>
        <w:rPr>
          <w:lang w:val="en-US"/>
        </w:rPr>
      </w:pPr>
      <w:r>
        <w:rPr>
          <w:rStyle w:val="FootnoteReference"/>
        </w:rPr>
        <w:footnoteRef/>
      </w:r>
      <w:r>
        <w:t xml:space="preserve"> </w:t>
      </w:r>
      <w:r>
        <w:rPr>
          <w:lang w:val="en-US"/>
        </w:rPr>
        <w:t xml:space="preserve">Ibid para 23. For support of the approach in </w:t>
      </w:r>
      <w:r>
        <w:rPr>
          <w:i/>
          <w:iCs/>
          <w:lang w:val="en-US"/>
        </w:rPr>
        <w:t>Xaba</w:t>
      </w:r>
      <w:r>
        <w:rPr>
          <w:lang w:val="en-US"/>
        </w:rPr>
        <w:t xml:space="preserve">, see Terblance above n </w:t>
      </w:r>
      <w:r w:rsidR="00D04E23">
        <w:rPr>
          <w:lang w:val="en-US"/>
        </w:rPr>
        <w:t>32</w:t>
      </w:r>
      <w:r>
        <w:rPr>
          <w:lang w:val="en-US"/>
        </w:rPr>
        <w:t xml:space="preserve"> at p18Z - 5. For criticism of the actual sentences imposed in </w:t>
      </w:r>
      <w:r>
        <w:rPr>
          <w:i/>
          <w:iCs/>
          <w:lang w:val="en-US"/>
        </w:rPr>
        <w:t>Xaba</w:t>
      </w:r>
      <w:r>
        <w:rPr>
          <w:lang w:val="en-US"/>
        </w:rPr>
        <w:t xml:space="preserve">, and the extent of their departure from the sentence prescribed, see S Terblanche ‘Sentencing’ (2018) </w:t>
      </w:r>
      <w:r>
        <w:rPr>
          <w:i/>
          <w:iCs/>
          <w:lang w:val="en-US"/>
        </w:rPr>
        <w:t>SACR</w:t>
      </w:r>
      <w:r>
        <w:rPr>
          <w:lang w:val="en-US"/>
        </w:rPr>
        <w:t xml:space="preserve"> 465 at 477 – 478. </w:t>
      </w:r>
    </w:p>
  </w:footnote>
  <w:footnote w:id="36">
    <w:p w14:paraId="47EBDED8" w14:textId="77777777" w:rsidR="00CA11D0" w:rsidRPr="00D018FB" w:rsidRDefault="00CA11D0" w:rsidP="00BD4065">
      <w:pPr>
        <w:pStyle w:val="FootnoteText"/>
        <w:spacing w:line="240" w:lineRule="auto"/>
        <w:jc w:val="both"/>
        <w:rPr>
          <w:lang w:val="en-US"/>
        </w:rPr>
      </w:pPr>
      <w:r>
        <w:rPr>
          <w:rStyle w:val="FootnoteReference"/>
        </w:rPr>
        <w:footnoteRef/>
      </w:r>
      <w:r>
        <w:t xml:space="preserve"> </w:t>
      </w:r>
      <w:r>
        <w:rPr>
          <w:i/>
          <w:iCs/>
          <w:lang w:val="en-US"/>
        </w:rPr>
        <w:t>Nkosi v S</w:t>
      </w:r>
      <w:r>
        <w:rPr>
          <w:lang w:val="en-US"/>
        </w:rPr>
        <w:t xml:space="preserve"> [2022] ZAGPPHC 563.</w:t>
      </w:r>
    </w:p>
  </w:footnote>
  <w:footnote w:id="37">
    <w:p w14:paraId="3ED0E80D" w14:textId="77777777" w:rsidR="00CA11D0" w:rsidRPr="006F676F" w:rsidRDefault="00CA11D0" w:rsidP="00BD4065">
      <w:pPr>
        <w:pStyle w:val="FootnoteText"/>
        <w:spacing w:line="240" w:lineRule="auto"/>
        <w:jc w:val="both"/>
        <w:rPr>
          <w:lang w:val="en-US"/>
        </w:rPr>
      </w:pPr>
      <w:r>
        <w:rPr>
          <w:rStyle w:val="FootnoteReference"/>
        </w:rPr>
        <w:footnoteRef/>
      </w:r>
      <w:r>
        <w:t xml:space="preserve"> </w:t>
      </w:r>
      <w:r>
        <w:rPr>
          <w:lang w:val="en-US"/>
        </w:rPr>
        <w:t>Ibid para 18. In that matter, only the youthfulness of the accused, who was 22 years old at the time of the commission of the offence, spared him from a sentence of life imprisonment for the murder of his grandmother. A sentence of 25 years imprisonment was imposed, of which five years was suspended.</w:t>
      </w:r>
    </w:p>
  </w:footnote>
  <w:footnote w:id="38">
    <w:p w14:paraId="0F479D3F" w14:textId="77777777" w:rsidR="00B03E00" w:rsidRPr="00BE4408" w:rsidRDefault="00B03E00" w:rsidP="00BD4065">
      <w:pPr>
        <w:pStyle w:val="FootnoteText"/>
        <w:spacing w:line="240" w:lineRule="auto"/>
        <w:jc w:val="both"/>
        <w:rPr>
          <w:lang w:val="en-US"/>
        </w:rPr>
      </w:pPr>
      <w:r>
        <w:rPr>
          <w:rStyle w:val="FootnoteReference"/>
        </w:rPr>
        <w:footnoteRef/>
      </w:r>
      <w:r>
        <w:t xml:space="preserve"> </w:t>
      </w:r>
      <w:r>
        <w:rPr>
          <w:lang w:val="en-US"/>
        </w:rPr>
        <w:t>Act 140 of 1992.</w:t>
      </w:r>
    </w:p>
  </w:footnote>
  <w:footnote w:id="39">
    <w:p w14:paraId="4B04AB02" w14:textId="16996262" w:rsidR="00151594" w:rsidRPr="00151594" w:rsidRDefault="00151594" w:rsidP="00BD4065">
      <w:pPr>
        <w:pStyle w:val="FootnoteText"/>
        <w:spacing w:line="240" w:lineRule="auto"/>
        <w:jc w:val="both"/>
        <w:rPr>
          <w:lang w:val="en-US"/>
        </w:rPr>
      </w:pPr>
      <w:r>
        <w:rPr>
          <w:rStyle w:val="FootnoteReference"/>
        </w:rPr>
        <w:footnoteRef/>
      </w:r>
      <w:r>
        <w:t xml:space="preserve"> </w:t>
      </w:r>
      <w:r>
        <w:rPr>
          <w:i/>
          <w:iCs/>
          <w:lang w:val="en-US"/>
        </w:rPr>
        <w:t>S v Zinn</w:t>
      </w:r>
      <w:r>
        <w:rPr>
          <w:lang w:val="en-US"/>
        </w:rPr>
        <w:t xml:space="preserve"> [1969] 3 All SA 57 (A) at 540G – H.</w:t>
      </w:r>
    </w:p>
  </w:footnote>
  <w:footnote w:id="40">
    <w:p w14:paraId="1AA78BFB" w14:textId="49076D53" w:rsidR="003A114E" w:rsidRPr="003A114E" w:rsidRDefault="003A114E" w:rsidP="00BD4065">
      <w:pPr>
        <w:pStyle w:val="FootnoteText"/>
        <w:spacing w:line="240" w:lineRule="auto"/>
        <w:jc w:val="both"/>
        <w:rPr>
          <w:lang w:val="en-US"/>
        </w:rPr>
      </w:pPr>
      <w:r>
        <w:rPr>
          <w:rStyle w:val="FootnoteReference"/>
        </w:rPr>
        <w:footnoteRef/>
      </w:r>
      <w:r>
        <w:t xml:space="preserve"> </w:t>
      </w:r>
      <w:r>
        <w:rPr>
          <w:i/>
          <w:iCs/>
          <w:lang w:val="en-US"/>
        </w:rPr>
        <w:t>S v Khulu</w:t>
      </w:r>
      <w:r>
        <w:rPr>
          <w:lang w:val="en-US"/>
        </w:rPr>
        <w:t xml:space="preserve"> 1975 (2) SA 518 (N) at 521 – 522.</w:t>
      </w:r>
    </w:p>
  </w:footnote>
  <w:footnote w:id="41">
    <w:p w14:paraId="665E4B6E" w14:textId="57F47A8D" w:rsidR="00DE7C05" w:rsidRPr="00DE7C05" w:rsidRDefault="00DE7C05" w:rsidP="00BD4065">
      <w:pPr>
        <w:pStyle w:val="FootnoteText"/>
        <w:spacing w:line="240" w:lineRule="auto"/>
        <w:jc w:val="both"/>
        <w:rPr>
          <w:lang w:val="en-US"/>
        </w:rPr>
      </w:pPr>
      <w:r>
        <w:rPr>
          <w:rStyle w:val="FootnoteReference"/>
        </w:rPr>
        <w:footnoteRef/>
      </w:r>
      <w:r>
        <w:t xml:space="preserve"> </w:t>
      </w:r>
      <w:r>
        <w:rPr>
          <w:i/>
          <w:iCs/>
          <w:lang w:val="en-US"/>
        </w:rPr>
        <w:t xml:space="preserve">S v Matyityi </w:t>
      </w:r>
      <w:r>
        <w:rPr>
          <w:lang w:val="en-US"/>
        </w:rPr>
        <w:t>2011 (1) SACR 40 (SCA) para 23.</w:t>
      </w:r>
    </w:p>
  </w:footnote>
  <w:footnote w:id="42">
    <w:p w14:paraId="6C670619" w14:textId="17232C89" w:rsidR="00A50DE3" w:rsidRPr="00A50DE3" w:rsidRDefault="00A50DE3" w:rsidP="00BD4065">
      <w:pPr>
        <w:pStyle w:val="FootnoteText"/>
        <w:spacing w:line="240" w:lineRule="auto"/>
        <w:jc w:val="both"/>
        <w:rPr>
          <w:lang w:val="en-US"/>
        </w:rPr>
      </w:pPr>
      <w:r>
        <w:rPr>
          <w:rStyle w:val="FootnoteReference"/>
        </w:rPr>
        <w:footnoteRef/>
      </w:r>
      <w:r>
        <w:t xml:space="preserve"> </w:t>
      </w:r>
      <w:r>
        <w:rPr>
          <w:i/>
          <w:iCs/>
          <w:lang w:val="en-US"/>
        </w:rPr>
        <w:t>Rammoko v Director of Public Prosecutions</w:t>
      </w:r>
      <w:r>
        <w:rPr>
          <w:lang w:val="en-US"/>
        </w:rPr>
        <w:t xml:space="preserve"> 2003 (1) SACR 200 (SCA).</w:t>
      </w:r>
    </w:p>
  </w:footnote>
  <w:footnote w:id="43">
    <w:p w14:paraId="20EAF673" w14:textId="51F4F96E" w:rsidR="00B11CCB" w:rsidRPr="00B11CCB" w:rsidRDefault="00B11CCB" w:rsidP="00BD4065">
      <w:pPr>
        <w:pStyle w:val="FootnoteText"/>
        <w:spacing w:line="240" w:lineRule="auto"/>
        <w:jc w:val="both"/>
        <w:rPr>
          <w:lang w:val="en-US"/>
        </w:rPr>
      </w:pPr>
      <w:r>
        <w:rPr>
          <w:rStyle w:val="FootnoteReference"/>
        </w:rPr>
        <w:footnoteRef/>
      </w:r>
      <w:r>
        <w:t xml:space="preserve"> </w:t>
      </w:r>
      <w:r>
        <w:rPr>
          <w:lang w:val="en-US"/>
        </w:rPr>
        <w:t>Act 51 of 1977.</w:t>
      </w:r>
    </w:p>
  </w:footnote>
  <w:footnote w:id="44">
    <w:p w14:paraId="288CD5CB" w14:textId="3F798D54" w:rsidR="00011006" w:rsidRPr="00011006" w:rsidRDefault="00011006" w:rsidP="00BD4065">
      <w:pPr>
        <w:pStyle w:val="FootnoteText"/>
        <w:spacing w:line="240" w:lineRule="auto"/>
        <w:jc w:val="both"/>
        <w:rPr>
          <w:lang w:val="en-US"/>
        </w:rPr>
      </w:pPr>
      <w:r>
        <w:rPr>
          <w:rStyle w:val="FootnoteReference"/>
        </w:rPr>
        <w:footnoteRef/>
      </w:r>
      <w:r>
        <w:t xml:space="preserve"> </w:t>
      </w:r>
      <w:r>
        <w:rPr>
          <w:lang w:val="en-US"/>
        </w:rPr>
        <w:t>S 271(4) of the Criminal Procedure Act, 1977 (Act 51 of 1977).</w:t>
      </w:r>
    </w:p>
  </w:footnote>
  <w:footnote w:id="45">
    <w:p w14:paraId="001B0129" w14:textId="04A0782E" w:rsidR="00E53ACA" w:rsidRPr="00E53ACA" w:rsidRDefault="00E53ACA" w:rsidP="00BD4065">
      <w:pPr>
        <w:pStyle w:val="FootnoteText"/>
        <w:spacing w:line="240" w:lineRule="auto"/>
        <w:jc w:val="both"/>
        <w:rPr>
          <w:lang w:val="en-US"/>
        </w:rPr>
      </w:pPr>
      <w:r>
        <w:rPr>
          <w:rStyle w:val="FootnoteReference"/>
        </w:rPr>
        <w:footnoteRef/>
      </w:r>
      <w:r>
        <w:t xml:space="preserve"> </w:t>
      </w:r>
      <w:r w:rsidR="00D0717F">
        <w:rPr>
          <w:lang w:val="en-US"/>
        </w:rPr>
        <w:t>A similar approach was adopted in</w:t>
      </w:r>
      <w:r>
        <w:rPr>
          <w:lang w:val="en-US"/>
        </w:rPr>
        <w:t xml:space="preserve"> </w:t>
      </w:r>
      <w:r w:rsidR="00FC3281">
        <w:rPr>
          <w:i/>
          <w:iCs/>
          <w:lang w:val="en-US"/>
        </w:rPr>
        <w:t xml:space="preserve">Latha </w:t>
      </w:r>
      <w:r w:rsidR="00FC3281">
        <w:rPr>
          <w:lang w:val="en-US"/>
        </w:rPr>
        <w:t xml:space="preserve">above n </w:t>
      </w:r>
      <w:r w:rsidR="00383C8E">
        <w:rPr>
          <w:lang w:val="en-US"/>
        </w:rPr>
        <w:t>27</w:t>
      </w:r>
      <w:r w:rsidR="00FC3281">
        <w:rPr>
          <w:lang w:val="en-US"/>
        </w:rPr>
        <w:t xml:space="preserve"> </w:t>
      </w:r>
      <w:r>
        <w:rPr>
          <w:lang w:val="en-US"/>
        </w:rPr>
        <w:t>para 1</w:t>
      </w:r>
      <w:r w:rsidR="00985227">
        <w:rPr>
          <w:lang w:val="en-US"/>
        </w:rPr>
        <w:t>5</w:t>
      </w:r>
      <w:r w:rsidR="00833D1A">
        <w:rPr>
          <w:lang w:val="en-US"/>
        </w:rPr>
        <w:t>.</w:t>
      </w:r>
    </w:p>
  </w:footnote>
  <w:footnote w:id="46">
    <w:p w14:paraId="1A160EFB" w14:textId="271D12C0" w:rsidR="00CE5D89" w:rsidRPr="00CE5D89" w:rsidRDefault="00CE5D89" w:rsidP="00BD4065">
      <w:pPr>
        <w:pStyle w:val="FootnoteText"/>
        <w:spacing w:line="240" w:lineRule="auto"/>
        <w:jc w:val="both"/>
        <w:rPr>
          <w:lang w:val="en-US"/>
        </w:rPr>
      </w:pPr>
      <w:r>
        <w:rPr>
          <w:rStyle w:val="FootnoteReference"/>
        </w:rPr>
        <w:footnoteRef/>
      </w:r>
      <w:r>
        <w:t xml:space="preserve"> </w:t>
      </w:r>
      <w:r>
        <w:rPr>
          <w:lang w:val="en-US"/>
        </w:rPr>
        <w:t xml:space="preserve">See </w:t>
      </w:r>
      <w:r w:rsidR="00023C89">
        <w:rPr>
          <w:i/>
          <w:iCs/>
          <w:lang w:val="en-US"/>
        </w:rPr>
        <w:t xml:space="preserve">Mogaramedi </w:t>
      </w:r>
      <w:r w:rsidR="00023C89">
        <w:rPr>
          <w:lang w:val="en-US"/>
        </w:rPr>
        <w:t xml:space="preserve">above n </w:t>
      </w:r>
      <w:r w:rsidR="00D04E23">
        <w:rPr>
          <w:lang w:val="en-US"/>
        </w:rPr>
        <w:t>31</w:t>
      </w:r>
      <w:r w:rsidR="00023C89">
        <w:rPr>
          <w:lang w:val="en-US"/>
        </w:rPr>
        <w:t xml:space="preserve"> </w:t>
      </w:r>
      <w:r>
        <w:rPr>
          <w:lang w:val="en-US"/>
        </w:rPr>
        <w:t>paras 30 – 31.</w:t>
      </w:r>
    </w:p>
  </w:footnote>
  <w:footnote w:id="47">
    <w:p w14:paraId="2B2B9485" w14:textId="5540C920" w:rsidR="00866680" w:rsidRPr="00E55D0A" w:rsidRDefault="00866680" w:rsidP="00BD4065">
      <w:pPr>
        <w:pStyle w:val="FootnoteText"/>
        <w:spacing w:line="240" w:lineRule="auto"/>
        <w:jc w:val="both"/>
        <w:rPr>
          <w:lang w:val="en-US"/>
        </w:rPr>
      </w:pPr>
      <w:r>
        <w:rPr>
          <w:rStyle w:val="FootnoteReference"/>
        </w:rPr>
        <w:footnoteRef/>
      </w:r>
      <w:r>
        <w:t xml:space="preserve"> </w:t>
      </w:r>
      <w:r>
        <w:rPr>
          <w:lang w:val="en-US"/>
        </w:rPr>
        <w:t xml:space="preserve">Terblanche above n </w:t>
      </w:r>
      <w:r w:rsidR="00C86365">
        <w:rPr>
          <w:lang w:val="en-US"/>
        </w:rPr>
        <w:t>32</w:t>
      </w:r>
      <w:r>
        <w:rPr>
          <w:lang w:val="en-US"/>
        </w:rPr>
        <w:t xml:space="preserve"> at p18Z – 5.</w:t>
      </w:r>
      <w:r w:rsidR="00E55D0A">
        <w:rPr>
          <w:lang w:val="en-US"/>
        </w:rPr>
        <w:t xml:space="preserve"> Also see </w:t>
      </w:r>
      <w:r w:rsidR="00E55D0A">
        <w:rPr>
          <w:i/>
          <w:iCs/>
          <w:lang w:val="en-US"/>
        </w:rPr>
        <w:t>Kapesh and Another v The People</w:t>
      </w:r>
      <w:r w:rsidR="00E55D0A">
        <w:rPr>
          <w:lang w:val="en-US"/>
        </w:rPr>
        <w:t xml:space="preserve"> (unreported, SCZ / 9 / 99, 100/2013, appeal case no 99/100/205, 6 September 2017 at 147 as cited in Terblanche above n </w:t>
      </w:r>
      <w:r w:rsidR="00C86365">
        <w:rPr>
          <w:lang w:val="en-US"/>
        </w:rPr>
        <w:t>32</w:t>
      </w:r>
      <w:r w:rsidR="00E55D0A">
        <w:rPr>
          <w:lang w:val="en-US"/>
        </w:rPr>
        <w:t xml:space="preserve"> at p18Z – 6</w:t>
      </w:r>
      <w:r w:rsidR="008D2E53">
        <w:rPr>
          <w:lang w:val="en-US"/>
        </w:rPr>
        <w:t>: a belief in witchcraft should reach the threshold required for provocation if it is to serve as an extenuating factor to an accused person facing a charge of murder, given that there is ‘absolute need to protect victims of witchcraft accusations from unprovable allegations leading invariably to multiple violations of their rights, and in some cases death’.</w:t>
      </w:r>
    </w:p>
  </w:footnote>
  <w:footnote w:id="48">
    <w:p w14:paraId="11A38287" w14:textId="386CBBC5" w:rsidR="007074E8" w:rsidRPr="006A482B" w:rsidRDefault="007074E8" w:rsidP="00BD4065">
      <w:pPr>
        <w:pStyle w:val="FootnoteText"/>
        <w:spacing w:line="240" w:lineRule="auto"/>
        <w:jc w:val="both"/>
        <w:rPr>
          <w:lang w:val="en-US"/>
        </w:rPr>
      </w:pPr>
      <w:r>
        <w:rPr>
          <w:rStyle w:val="FootnoteReference"/>
        </w:rPr>
        <w:footnoteRef/>
      </w:r>
      <w:r>
        <w:t xml:space="preserve"> </w:t>
      </w:r>
      <w:r>
        <w:rPr>
          <w:i/>
          <w:iCs/>
          <w:lang w:val="en-US"/>
        </w:rPr>
        <w:t>S v Phama</w:t>
      </w:r>
      <w:r>
        <w:rPr>
          <w:lang w:val="en-US"/>
        </w:rPr>
        <w:t xml:space="preserve"> above n </w:t>
      </w:r>
      <w:r w:rsidR="00383C8E">
        <w:rPr>
          <w:lang w:val="en-US"/>
        </w:rPr>
        <w:t>16</w:t>
      </w:r>
      <w:r>
        <w:rPr>
          <w:lang w:val="en-US"/>
        </w:rPr>
        <w:t xml:space="preserve"> at 487I – J.</w:t>
      </w:r>
      <w:r w:rsidR="000254AD">
        <w:rPr>
          <w:lang w:val="en-US"/>
        </w:rPr>
        <w:t xml:space="preserve"> As the court noted in </w:t>
      </w:r>
      <w:r w:rsidR="000254AD">
        <w:rPr>
          <w:i/>
          <w:iCs/>
          <w:lang w:val="en-US"/>
        </w:rPr>
        <w:t>Latha</w:t>
      </w:r>
      <w:r w:rsidR="000254AD">
        <w:rPr>
          <w:lang w:val="en-US"/>
        </w:rPr>
        <w:t>,</w:t>
      </w:r>
      <w:r w:rsidR="000254AD">
        <w:rPr>
          <w:i/>
          <w:iCs/>
          <w:lang w:val="en-US"/>
        </w:rPr>
        <w:t xml:space="preserve"> </w:t>
      </w:r>
      <w:r w:rsidR="000254AD">
        <w:rPr>
          <w:lang w:val="en-US"/>
        </w:rPr>
        <w:t xml:space="preserve">the sentence in </w:t>
      </w:r>
      <w:r w:rsidR="000254AD">
        <w:rPr>
          <w:i/>
          <w:iCs/>
          <w:lang w:val="en-US"/>
        </w:rPr>
        <w:t>Phama</w:t>
      </w:r>
      <w:r w:rsidR="000254AD">
        <w:rPr>
          <w:lang w:val="en-US"/>
        </w:rPr>
        <w:t xml:space="preserve"> was imposed prior to the promulgation of the minimum sentencing legislation</w:t>
      </w:r>
      <w:r w:rsidR="006A482B">
        <w:rPr>
          <w:lang w:val="en-US"/>
        </w:rPr>
        <w:t xml:space="preserve">: see </w:t>
      </w:r>
      <w:r w:rsidR="006A482B">
        <w:rPr>
          <w:i/>
          <w:iCs/>
          <w:lang w:val="en-US"/>
        </w:rPr>
        <w:t>Latha</w:t>
      </w:r>
      <w:r w:rsidR="006A482B">
        <w:rPr>
          <w:lang w:val="en-US"/>
        </w:rPr>
        <w:t xml:space="preserve"> above n </w:t>
      </w:r>
      <w:r w:rsidR="00383C8E">
        <w:rPr>
          <w:lang w:val="en-US"/>
        </w:rPr>
        <w:t>27</w:t>
      </w:r>
      <w:r w:rsidR="006A482B">
        <w:rPr>
          <w:lang w:val="en-US"/>
        </w:rPr>
        <w:t xml:space="preserve"> para 18.</w:t>
      </w:r>
    </w:p>
  </w:footnote>
  <w:footnote w:id="49">
    <w:p w14:paraId="6C6EF503" w14:textId="04602E98" w:rsidR="004A2187" w:rsidRPr="004A2187" w:rsidRDefault="004A2187" w:rsidP="00BD4065">
      <w:pPr>
        <w:pStyle w:val="FootnoteText"/>
        <w:spacing w:line="240" w:lineRule="auto"/>
        <w:jc w:val="both"/>
        <w:rPr>
          <w:lang w:val="en-US"/>
        </w:rPr>
      </w:pPr>
      <w:r>
        <w:rPr>
          <w:rStyle w:val="FootnoteReference"/>
        </w:rPr>
        <w:footnoteRef/>
      </w:r>
      <w:r>
        <w:t xml:space="preserve"> </w:t>
      </w:r>
      <w:r>
        <w:rPr>
          <w:lang w:val="en-US"/>
        </w:rPr>
        <w:t xml:space="preserve">See SS Terblanch </w:t>
      </w:r>
      <w:r>
        <w:rPr>
          <w:i/>
          <w:iCs/>
          <w:lang w:val="en-US"/>
        </w:rPr>
        <w:t>A guide to sentencing</w:t>
      </w:r>
      <w:r>
        <w:rPr>
          <w:lang w:val="en-US"/>
        </w:rPr>
        <w:t xml:space="preserve"> (3</w:t>
      </w:r>
      <w:r w:rsidRPr="004A2187">
        <w:rPr>
          <w:vertAlign w:val="superscript"/>
          <w:lang w:val="en-US"/>
        </w:rPr>
        <w:t>rd</w:t>
      </w:r>
      <w:r>
        <w:rPr>
          <w:lang w:val="en-US"/>
        </w:rPr>
        <w:t xml:space="preserve"> Ed) (2016) at 231.</w:t>
      </w:r>
    </w:p>
  </w:footnote>
  <w:footnote w:id="50">
    <w:p w14:paraId="7AB611DA" w14:textId="5D8D0EC8" w:rsidR="00A67582" w:rsidRPr="00A67582" w:rsidRDefault="00A67582" w:rsidP="00BD4065">
      <w:pPr>
        <w:pStyle w:val="FootnoteText"/>
        <w:spacing w:line="240" w:lineRule="auto"/>
        <w:jc w:val="both"/>
        <w:rPr>
          <w:lang w:val="en-US"/>
        </w:rPr>
      </w:pPr>
      <w:r>
        <w:rPr>
          <w:rStyle w:val="FootnoteReference"/>
        </w:rPr>
        <w:footnoteRef/>
      </w:r>
      <w:r>
        <w:t xml:space="preserve"> </w:t>
      </w:r>
      <w:r>
        <w:rPr>
          <w:i/>
          <w:iCs/>
          <w:lang w:val="en-US"/>
        </w:rPr>
        <w:t>S v GK</w:t>
      </w:r>
      <w:r>
        <w:rPr>
          <w:lang w:val="en-US"/>
        </w:rPr>
        <w:t xml:space="preserve"> 2013 (2) SACR 505 (WCC) para 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00537942"/>
      <w:docPartObj>
        <w:docPartGallery w:val="Page Numbers (Top of Page)"/>
        <w:docPartUnique/>
      </w:docPartObj>
    </w:sdtPr>
    <w:sdtEndPr>
      <w:rPr>
        <w:rStyle w:val="PageNumber"/>
      </w:rPr>
    </w:sdtEndPr>
    <w:sdtContent>
      <w:p w14:paraId="70C87348" w14:textId="4DCB78CB" w:rsidR="00146BA3" w:rsidRDefault="00146B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14796027"/>
      <w:docPartObj>
        <w:docPartGallery w:val="Page Numbers (Top of Page)"/>
        <w:docPartUnique/>
      </w:docPartObj>
    </w:sdtPr>
    <w:sdtEndPr>
      <w:rPr>
        <w:rStyle w:val="PageNumber"/>
      </w:rPr>
    </w:sdtEndPr>
    <w:sdtContent>
      <w:p w14:paraId="35370323" w14:textId="722771AF" w:rsidR="00146BA3" w:rsidRDefault="00146B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168AC">
          <w:rPr>
            <w:rStyle w:val="PageNumber"/>
            <w:noProof/>
          </w:rPr>
          <w:t>2</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5F1397"/>
    <w:multiLevelType w:val="hybridMultilevel"/>
    <w:tmpl w:val="0F70BCAA"/>
    <w:lvl w:ilvl="0" w:tplc="228222EC">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F228D3"/>
    <w:multiLevelType w:val="hybridMultilevel"/>
    <w:tmpl w:val="208E712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A242B8"/>
    <w:multiLevelType w:val="hybridMultilevel"/>
    <w:tmpl w:val="393C1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261E73"/>
    <w:multiLevelType w:val="multilevel"/>
    <w:tmpl w:val="D17043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BC26CBB"/>
    <w:multiLevelType w:val="hybridMultilevel"/>
    <w:tmpl w:val="DB0841E6"/>
    <w:lvl w:ilvl="0" w:tplc="1C090015">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8607B5"/>
    <w:multiLevelType w:val="hybridMultilevel"/>
    <w:tmpl w:val="E2B49828"/>
    <w:lvl w:ilvl="0" w:tplc="B69E61C6">
      <w:start w:val="1"/>
      <w:numFmt w:val="decimal"/>
      <w:lvlText w:val="[%1]"/>
      <w:lvlJc w:val="left"/>
      <w:pPr>
        <w:ind w:left="720" w:hanging="360"/>
      </w:pPr>
      <w:rPr>
        <w:rFonts w:hint="default"/>
      </w:rPr>
    </w:lvl>
    <w:lvl w:ilvl="1" w:tplc="DD0A5DA0">
      <w:start w:val="1"/>
      <w:numFmt w:val="decimal"/>
      <w:lvlText w:val="%2."/>
      <w:lvlJc w:val="left"/>
      <w:pPr>
        <w:ind w:left="1440" w:hanging="360"/>
      </w:pPr>
      <w:rPr>
        <w:rFonts w:ascii="Arial" w:eastAsiaTheme="minorHAnsi" w:hAnsi="Arial" w:cs="Arial"/>
      </w:rPr>
    </w:lvl>
    <w:lvl w:ilvl="2" w:tplc="0809001B">
      <w:start w:val="1"/>
      <w:numFmt w:val="lowerRoman"/>
      <w:lvlText w:val="%3."/>
      <w:lvlJc w:val="right"/>
      <w:pPr>
        <w:ind w:left="2160" w:hanging="180"/>
      </w:pPr>
    </w:lvl>
    <w:lvl w:ilvl="3" w:tplc="AEFA520C">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766ACE"/>
    <w:multiLevelType w:val="hybridMultilevel"/>
    <w:tmpl w:val="69FC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3"/>
  </w:num>
  <w:num w:numId="6">
    <w:abstractNumId w:val="6"/>
  </w:num>
  <w:num w:numId="7">
    <w:abstractNumId w:val="16"/>
  </w:num>
  <w:num w:numId="8">
    <w:abstractNumId w:val="1"/>
  </w:num>
  <w:num w:numId="9">
    <w:abstractNumId w:val="5"/>
  </w:num>
  <w:num w:numId="10">
    <w:abstractNumId w:val="9"/>
  </w:num>
  <w:num w:numId="11">
    <w:abstractNumId w:val="15"/>
  </w:num>
  <w:num w:numId="12">
    <w:abstractNumId w:val="7"/>
  </w:num>
  <w:num w:numId="13">
    <w:abstractNumId w:val="11"/>
  </w:num>
  <w:num w:numId="14">
    <w:abstractNumId w:val="1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4"/>
    <w:rsid w:val="00000935"/>
    <w:rsid w:val="0000206B"/>
    <w:rsid w:val="0000217A"/>
    <w:rsid w:val="00003247"/>
    <w:rsid w:val="00003C0F"/>
    <w:rsid w:val="00004E1E"/>
    <w:rsid w:val="00005691"/>
    <w:rsid w:val="00005ABB"/>
    <w:rsid w:val="00005BC2"/>
    <w:rsid w:val="0000642E"/>
    <w:rsid w:val="00006A5F"/>
    <w:rsid w:val="00006D19"/>
    <w:rsid w:val="00006EF3"/>
    <w:rsid w:val="00007087"/>
    <w:rsid w:val="00007904"/>
    <w:rsid w:val="000109B4"/>
    <w:rsid w:val="00011006"/>
    <w:rsid w:val="00011A92"/>
    <w:rsid w:val="00012A2F"/>
    <w:rsid w:val="00013C4F"/>
    <w:rsid w:val="00014437"/>
    <w:rsid w:val="00014770"/>
    <w:rsid w:val="000161E8"/>
    <w:rsid w:val="00016FDA"/>
    <w:rsid w:val="000172B5"/>
    <w:rsid w:val="000220C3"/>
    <w:rsid w:val="000223EC"/>
    <w:rsid w:val="00022804"/>
    <w:rsid w:val="0002365D"/>
    <w:rsid w:val="000239B9"/>
    <w:rsid w:val="00023C89"/>
    <w:rsid w:val="000243CC"/>
    <w:rsid w:val="000254AD"/>
    <w:rsid w:val="000261E6"/>
    <w:rsid w:val="00027DA3"/>
    <w:rsid w:val="00030A25"/>
    <w:rsid w:val="000323B0"/>
    <w:rsid w:val="00033C59"/>
    <w:rsid w:val="000341AF"/>
    <w:rsid w:val="00034B32"/>
    <w:rsid w:val="0003553E"/>
    <w:rsid w:val="0004040E"/>
    <w:rsid w:val="00040F79"/>
    <w:rsid w:val="00041538"/>
    <w:rsid w:val="000422CD"/>
    <w:rsid w:val="00042C9C"/>
    <w:rsid w:val="0004347D"/>
    <w:rsid w:val="0004373B"/>
    <w:rsid w:val="00044037"/>
    <w:rsid w:val="000441F5"/>
    <w:rsid w:val="00044B50"/>
    <w:rsid w:val="0004501B"/>
    <w:rsid w:val="000451D0"/>
    <w:rsid w:val="00047035"/>
    <w:rsid w:val="0004779D"/>
    <w:rsid w:val="000478E8"/>
    <w:rsid w:val="0005061D"/>
    <w:rsid w:val="00051AF2"/>
    <w:rsid w:val="00051F6C"/>
    <w:rsid w:val="000536DD"/>
    <w:rsid w:val="00053D81"/>
    <w:rsid w:val="00054DEC"/>
    <w:rsid w:val="00054EA7"/>
    <w:rsid w:val="00055C33"/>
    <w:rsid w:val="00056042"/>
    <w:rsid w:val="00056FBA"/>
    <w:rsid w:val="000574BF"/>
    <w:rsid w:val="00062F97"/>
    <w:rsid w:val="00063188"/>
    <w:rsid w:val="00063C6E"/>
    <w:rsid w:val="00063D5A"/>
    <w:rsid w:val="0006762A"/>
    <w:rsid w:val="0007050F"/>
    <w:rsid w:val="0007234C"/>
    <w:rsid w:val="000723E8"/>
    <w:rsid w:val="0007399B"/>
    <w:rsid w:val="00073EFC"/>
    <w:rsid w:val="00075260"/>
    <w:rsid w:val="000778A4"/>
    <w:rsid w:val="00080D4E"/>
    <w:rsid w:val="00081154"/>
    <w:rsid w:val="000815F5"/>
    <w:rsid w:val="00081E7D"/>
    <w:rsid w:val="00083322"/>
    <w:rsid w:val="00083386"/>
    <w:rsid w:val="000833DB"/>
    <w:rsid w:val="00084C6F"/>
    <w:rsid w:val="000850B8"/>
    <w:rsid w:val="00085D53"/>
    <w:rsid w:val="00086278"/>
    <w:rsid w:val="00086A06"/>
    <w:rsid w:val="0008715C"/>
    <w:rsid w:val="000876A2"/>
    <w:rsid w:val="0009015D"/>
    <w:rsid w:val="000910CD"/>
    <w:rsid w:val="00091F8C"/>
    <w:rsid w:val="000920A6"/>
    <w:rsid w:val="000924A4"/>
    <w:rsid w:val="00093584"/>
    <w:rsid w:val="0009497C"/>
    <w:rsid w:val="000968DB"/>
    <w:rsid w:val="00096BC1"/>
    <w:rsid w:val="000976CA"/>
    <w:rsid w:val="000A1769"/>
    <w:rsid w:val="000A2633"/>
    <w:rsid w:val="000A39A5"/>
    <w:rsid w:val="000A4D92"/>
    <w:rsid w:val="000A59DC"/>
    <w:rsid w:val="000B0946"/>
    <w:rsid w:val="000B0DC8"/>
    <w:rsid w:val="000B26AE"/>
    <w:rsid w:val="000B26CF"/>
    <w:rsid w:val="000B5790"/>
    <w:rsid w:val="000B5FBC"/>
    <w:rsid w:val="000B6309"/>
    <w:rsid w:val="000B643B"/>
    <w:rsid w:val="000B690B"/>
    <w:rsid w:val="000B6942"/>
    <w:rsid w:val="000B78EC"/>
    <w:rsid w:val="000C0413"/>
    <w:rsid w:val="000C25DB"/>
    <w:rsid w:val="000C2D21"/>
    <w:rsid w:val="000C3531"/>
    <w:rsid w:val="000C3620"/>
    <w:rsid w:val="000C39A5"/>
    <w:rsid w:val="000C3A6D"/>
    <w:rsid w:val="000C450C"/>
    <w:rsid w:val="000C599B"/>
    <w:rsid w:val="000C67E0"/>
    <w:rsid w:val="000C68C1"/>
    <w:rsid w:val="000C6FB4"/>
    <w:rsid w:val="000C72CD"/>
    <w:rsid w:val="000C7746"/>
    <w:rsid w:val="000C7A27"/>
    <w:rsid w:val="000D085B"/>
    <w:rsid w:val="000D0D78"/>
    <w:rsid w:val="000D17EF"/>
    <w:rsid w:val="000D22FB"/>
    <w:rsid w:val="000D2937"/>
    <w:rsid w:val="000D487F"/>
    <w:rsid w:val="000D4BFA"/>
    <w:rsid w:val="000D4C7F"/>
    <w:rsid w:val="000D667A"/>
    <w:rsid w:val="000D7DF2"/>
    <w:rsid w:val="000E1C45"/>
    <w:rsid w:val="000E2444"/>
    <w:rsid w:val="000E3A93"/>
    <w:rsid w:val="000E3E15"/>
    <w:rsid w:val="000E4F0D"/>
    <w:rsid w:val="000E5100"/>
    <w:rsid w:val="000E6636"/>
    <w:rsid w:val="000E7ECD"/>
    <w:rsid w:val="000F01AB"/>
    <w:rsid w:val="000F05E0"/>
    <w:rsid w:val="000F16BA"/>
    <w:rsid w:val="000F1A95"/>
    <w:rsid w:val="000F5D33"/>
    <w:rsid w:val="000F6BFE"/>
    <w:rsid w:val="000F6DB6"/>
    <w:rsid w:val="000F7DF4"/>
    <w:rsid w:val="0010068E"/>
    <w:rsid w:val="00100F9A"/>
    <w:rsid w:val="0010218C"/>
    <w:rsid w:val="00102D5B"/>
    <w:rsid w:val="001044DB"/>
    <w:rsid w:val="00105EB6"/>
    <w:rsid w:val="0010622C"/>
    <w:rsid w:val="00107141"/>
    <w:rsid w:val="001078B5"/>
    <w:rsid w:val="00107A5F"/>
    <w:rsid w:val="0011026A"/>
    <w:rsid w:val="00110EF0"/>
    <w:rsid w:val="001124A5"/>
    <w:rsid w:val="001148E0"/>
    <w:rsid w:val="00115862"/>
    <w:rsid w:val="00116EB9"/>
    <w:rsid w:val="00120E93"/>
    <w:rsid w:val="0012100D"/>
    <w:rsid w:val="001226DE"/>
    <w:rsid w:val="00123296"/>
    <w:rsid w:val="0012621C"/>
    <w:rsid w:val="00130228"/>
    <w:rsid w:val="001311AB"/>
    <w:rsid w:val="00131984"/>
    <w:rsid w:val="00131A28"/>
    <w:rsid w:val="00133355"/>
    <w:rsid w:val="001337CC"/>
    <w:rsid w:val="00134276"/>
    <w:rsid w:val="00134C11"/>
    <w:rsid w:val="00134DA6"/>
    <w:rsid w:val="00135C81"/>
    <w:rsid w:val="00136055"/>
    <w:rsid w:val="00137085"/>
    <w:rsid w:val="00137E08"/>
    <w:rsid w:val="001401B1"/>
    <w:rsid w:val="001413C8"/>
    <w:rsid w:val="00142F79"/>
    <w:rsid w:val="001435EB"/>
    <w:rsid w:val="00144974"/>
    <w:rsid w:val="00146BA3"/>
    <w:rsid w:val="00151594"/>
    <w:rsid w:val="001517E0"/>
    <w:rsid w:val="001527A3"/>
    <w:rsid w:val="00153496"/>
    <w:rsid w:val="00157785"/>
    <w:rsid w:val="00157898"/>
    <w:rsid w:val="00157C19"/>
    <w:rsid w:val="00160EBC"/>
    <w:rsid w:val="00160F58"/>
    <w:rsid w:val="00162F7D"/>
    <w:rsid w:val="00163A58"/>
    <w:rsid w:val="0016477F"/>
    <w:rsid w:val="00164B7B"/>
    <w:rsid w:val="00164FAD"/>
    <w:rsid w:val="00165747"/>
    <w:rsid w:val="00172B5C"/>
    <w:rsid w:val="00173547"/>
    <w:rsid w:val="00173F2B"/>
    <w:rsid w:val="00174B6D"/>
    <w:rsid w:val="0017614D"/>
    <w:rsid w:val="00176B67"/>
    <w:rsid w:val="0018006A"/>
    <w:rsid w:val="00180F4E"/>
    <w:rsid w:val="00181923"/>
    <w:rsid w:val="00181B01"/>
    <w:rsid w:val="00181E7E"/>
    <w:rsid w:val="00182175"/>
    <w:rsid w:val="0018277D"/>
    <w:rsid w:val="00184625"/>
    <w:rsid w:val="00184907"/>
    <w:rsid w:val="00186769"/>
    <w:rsid w:val="001870AF"/>
    <w:rsid w:val="0018737A"/>
    <w:rsid w:val="00191768"/>
    <w:rsid w:val="00192869"/>
    <w:rsid w:val="001931AE"/>
    <w:rsid w:val="001943D2"/>
    <w:rsid w:val="001954F0"/>
    <w:rsid w:val="00195571"/>
    <w:rsid w:val="001955AB"/>
    <w:rsid w:val="00196536"/>
    <w:rsid w:val="00196742"/>
    <w:rsid w:val="001A2E0B"/>
    <w:rsid w:val="001A4BE7"/>
    <w:rsid w:val="001A4F33"/>
    <w:rsid w:val="001A51E4"/>
    <w:rsid w:val="001B0D01"/>
    <w:rsid w:val="001B2578"/>
    <w:rsid w:val="001B2FE4"/>
    <w:rsid w:val="001B505F"/>
    <w:rsid w:val="001B69E3"/>
    <w:rsid w:val="001B7729"/>
    <w:rsid w:val="001C04BC"/>
    <w:rsid w:val="001C1478"/>
    <w:rsid w:val="001C232A"/>
    <w:rsid w:val="001C24AF"/>
    <w:rsid w:val="001C2DD7"/>
    <w:rsid w:val="001C44BE"/>
    <w:rsid w:val="001C48A5"/>
    <w:rsid w:val="001C701C"/>
    <w:rsid w:val="001C7061"/>
    <w:rsid w:val="001C7088"/>
    <w:rsid w:val="001D0962"/>
    <w:rsid w:val="001D214B"/>
    <w:rsid w:val="001D4C5E"/>
    <w:rsid w:val="001D57CD"/>
    <w:rsid w:val="001D5A9D"/>
    <w:rsid w:val="001D5F83"/>
    <w:rsid w:val="001D61C8"/>
    <w:rsid w:val="001D65C0"/>
    <w:rsid w:val="001E0F36"/>
    <w:rsid w:val="001E1834"/>
    <w:rsid w:val="001E1B07"/>
    <w:rsid w:val="001E1E07"/>
    <w:rsid w:val="001E24E0"/>
    <w:rsid w:val="001E4824"/>
    <w:rsid w:val="001E4AC2"/>
    <w:rsid w:val="001E555E"/>
    <w:rsid w:val="001E5F3D"/>
    <w:rsid w:val="001E640A"/>
    <w:rsid w:val="001E6A6E"/>
    <w:rsid w:val="001E6F90"/>
    <w:rsid w:val="001E701F"/>
    <w:rsid w:val="001E7844"/>
    <w:rsid w:val="001E78D5"/>
    <w:rsid w:val="001E7C8F"/>
    <w:rsid w:val="001F120F"/>
    <w:rsid w:val="001F2276"/>
    <w:rsid w:val="001F335C"/>
    <w:rsid w:val="001F3A41"/>
    <w:rsid w:val="001F59AB"/>
    <w:rsid w:val="001F7BA8"/>
    <w:rsid w:val="001F7EF5"/>
    <w:rsid w:val="002003E2"/>
    <w:rsid w:val="0020122F"/>
    <w:rsid w:val="00201DC6"/>
    <w:rsid w:val="00201F12"/>
    <w:rsid w:val="0020228E"/>
    <w:rsid w:val="00203E1A"/>
    <w:rsid w:val="002051B8"/>
    <w:rsid w:val="00206D6C"/>
    <w:rsid w:val="00207573"/>
    <w:rsid w:val="002100E1"/>
    <w:rsid w:val="002115FE"/>
    <w:rsid w:val="0021222A"/>
    <w:rsid w:val="00213565"/>
    <w:rsid w:val="0021430F"/>
    <w:rsid w:val="002154D2"/>
    <w:rsid w:val="00215EBC"/>
    <w:rsid w:val="0021730A"/>
    <w:rsid w:val="00217399"/>
    <w:rsid w:val="002203EC"/>
    <w:rsid w:val="002205D2"/>
    <w:rsid w:val="00220833"/>
    <w:rsid w:val="00222854"/>
    <w:rsid w:val="0022338C"/>
    <w:rsid w:val="0022367A"/>
    <w:rsid w:val="00224363"/>
    <w:rsid w:val="0022594E"/>
    <w:rsid w:val="00226444"/>
    <w:rsid w:val="00226ADA"/>
    <w:rsid w:val="00227379"/>
    <w:rsid w:val="0022739F"/>
    <w:rsid w:val="00227580"/>
    <w:rsid w:val="00230B10"/>
    <w:rsid w:val="00231325"/>
    <w:rsid w:val="002327AF"/>
    <w:rsid w:val="0023410F"/>
    <w:rsid w:val="00234A6A"/>
    <w:rsid w:val="0023677B"/>
    <w:rsid w:val="00236B9D"/>
    <w:rsid w:val="00237273"/>
    <w:rsid w:val="0023768E"/>
    <w:rsid w:val="002402F6"/>
    <w:rsid w:val="00245504"/>
    <w:rsid w:val="00245BEB"/>
    <w:rsid w:val="00246150"/>
    <w:rsid w:val="00247551"/>
    <w:rsid w:val="00250530"/>
    <w:rsid w:val="0025056A"/>
    <w:rsid w:val="00251ACD"/>
    <w:rsid w:val="0025292B"/>
    <w:rsid w:val="00252FC1"/>
    <w:rsid w:val="00253273"/>
    <w:rsid w:val="00256208"/>
    <w:rsid w:val="00256FCC"/>
    <w:rsid w:val="00257A15"/>
    <w:rsid w:val="002606D8"/>
    <w:rsid w:val="00260A94"/>
    <w:rsid w:val="00260B67"/>
    <w:rsid w:val="002612A5"/>
    <w:rsid w:val="00261583"/>
    <w:rsid w:val="0026158F"/>
    <w:rsid w:val="002617D8"/>
    <w:rsid w:val="00262C99"/>
    <w:rsid w:val="00262D2A"/>
    <w:rsid w:val="002635B7"/>
    <w:rsid w:val="00263B8D"/>
    <w:rsid w:val="002644E7"/>
    <w:rsid w:val="0026495C"/>
    <w:rsid w:val="00265010"/>
    <w:rsid w:val="00265180"/>
    <w:rsid w:val="00265AEB"/>
    <w:rsid w:val="00265C6D"/>
    <w:rsid w:val="0026634E"/>
    <w:rsid w:val="0026645C"/>
    <w:rsid w:val="002679D3"/>
    <w:rsid w:val="002705E9"/>
    <w:rsid w:val="00271583"/>
    <w:rsid w:val="00271A4F"/>
    <w:rsid w:val="00273903"/>
    <w:rsid w:val="00274C64"/>
    <w:rsid w:val="00275410"/>
    <w:rsid w:val="00276100"/>
    <w:rsid w:val="00277EB6"/>
    <w:rsid w:val="0028182D"/>
    <w:rsid w:val="002852C4"/>
    <w:rsid w:val="00285664"/>
    <w:rsid w:val="002868E4"/>
    <w:rsid w:val="00287A18"/>
    <w:rsid w:val="00287A26"/>
    <w:rsid w:val="00290DC6"/>
    <w:rsid w:val="00290E92"/>
    <w:rsid w:val="0029395B"/>
    <w:rsid w:val="00294129"/>
    <w:rsid w:val="00294313"/>
    <w:rsid w:val="002960D0"/>
    <w:rsid w:val="00297435"/>
    <w:rsid w:val="002A01B5"/>
    <w:rsid w:val="002A080F"/>
    <w:rsid w:val="002A0EB5"/>
    <w:rsid w:val="002A157A"/>
    <w:rsid w:val="002A1950"/>
    <w:rsid w:val="002A1D97"/>
    <w:rsid w:val="002A1E2F"/>
    <w:rsid w:val="002A21AF"/>
    <w:rsid w:val="002A2AA4"/>
    <w:rsid w:val="002A3836"/>
    <w:rsid w:val="002A39C2"/>
    <w:rsid w:val="002A3C5C"/>
    <w:rsid w:val="002A46C2"/>
    <w:rsid w:val="002A5305"/>
    <w:rsid w:val="002A61D9"/>
    <w:rsid w:val="002A6332"/>
    <w:rsid w:val="002A6593"/>
    <w:rsid w:val="002A6B82"/>
    <w:rsid w:val="002A73A7"/>
    <w:rsid w:val="002B0DEA"/>
    <w:rsid w:val="002B1390"/>
    <w:rsid w:val="002B2268"/>
    <w:rsid w:val="002B296D"/>
    <w:rsid w:val="002B303E"/>
    <w:rsid w:val="002B31B7"/>
    <w:rsid w:val="002B3FE3"/>
    <w:rsid w:val="002B54B7"/>
    <w:rsid w:val="002B57C1"/>
    <w:rsid w:val="002B5C21"/>
    <w:rsid w:val="002B6730"/>
    <w:rsid w:val="002B7155"/>
    <w:rsid w:val="002B7874"/>
    <w:rsid w:val="002C1ECF"/>
    <w:rsid w:val="002C1ED3"/>
    <w:rsid w:val="002C3A0D"/>
    <w:rsid w:val="002C45D8"/>
    <w:rsid w:val="002C4BB7"/>
    <w:rsid w:val="002C5462"/>
    <w:rsid w:val="002C55A9"/>
    <w:rsid w:val="002C7128"/>
    <w:rsid w:val="002C79F6"/>
    <w:rsid w:val="002D20C4"/>
    <w:rsid w:val="002D2D96"/>
    <w:rsid w:val="002D4422"/>
    <w:rsid w:val="002D4CBC"/>
    <w:rsid w:val="002D69F6"/>
    <w:rsid w:val="002D6D70"/>
    <w:rsid w:val="002D7292"/>
    <w:rsid w:val="002E0CCA"/>
    <w:rsid w:val="002E0F57"/>
    <w:rsid w:val="002E141A"/>
    <w:rsid w:val="002E1B95"/>
    <w:rsid w:val="002E3EC7"/>
    <w:rsid w:val="002E4808"/>
    <w:rsid w:val="002E483E"/>
    <w:rsid w:val="002E66F3"/>
    <w:rsid w:val="002E6855"/>
    <w:rsid w:val="002E6D7C"/>
    <w:rsid w:val="002E7045"/>
    <w:rsid w:val="002E7199"/>
    <w:rsid w:val="002E7355"/>
    <w:rsid w:val="002F0070"/>
    <w:rsid w:val="002F012F"/>
    <w:rsid w:val="002F0513"/>
    <w:rsid w:val="002F0990"/>
    <w:rsid w:val="002F0C58"/>
    <w:rsid w:val="002F13D1"/>
    <w:rsid w:val="002F37F8"/>
    <w:rsid w:val="002F3875"/>
    <w:rsid w:val="002F4EDB"/>
    <w:rsid w:val="002F60D3"/>
    <w:rsid w:val="002F7574"/>
    <w:rsid w:val="003007A7"/>
    <w:rsid w:val="00300A59"/>
    <w:rsid w:val="00300B12"/>
    <w:rsid w:val="00300E3D"/>
    <w:rsid w:val="0030120D"/>
    <w:rsid w:val="0030214A"/>
    <w:rsid w:val="003024EF"/>
    <w:rsid w:val="00302D10"/>
    <w:rsid w:val="00302E78"/>
    <w:rsid w:val="003035F7"/>
    <w:rsid w:val="003046DB"/>
    <w:rsid w:val="00306288"/>
    <w:rsid w:val="00306949"/>
    <w:rsid w:val="00306E1E"/>
    <w:rsid w:val="00310D97"/>
    <w:rsid w:val="0031225F"/>
    <w:rsid w:val="003140F9"/>
    <w:rsid w:val="003142B4"/>
    <w:rsid w:val="003148EA"/>
    <w:rsid w:val="003150CA"/>
    <w:rsid w:val="00315CB8"/>
    <w:rsid w:val="00315D8D"/>
    <w:rsid w:val="003168AC"/>
    <w:rsid w:val="003168ED"/>
    <w:rsid w:val="003172EB"/>
    <w:rsid w:val="00317AB4"/>
    <w:rsid w:val="00320522"/>
    <w:rsid w:val="00321663"/>
    <w:rsid w:val="00321E11"/>
    <w:rsid w:val="003228A7"/>
    <w:rsid w:val="00324CE8"/>
    <w:rsid w:val="00325BD4"/>
    <w:rsid w:val="00326A33"/>
    <w:rsid w:val="0032785C"/>
    <w:rsid w:val="00327E36"/>
    <w:rsid w:val="00327E53"/>
    <w:rsid w:val="00330795"/>
    <w:rsid w:val="00330E85"/>
    <w:rsid w:val="0033219D"/>
    <w:rsid w:val="00332F25"/>
    <w:rsid w:val="00333BEA"/>
    <w:rsid w:val="00333F69"/>
    <w:rsid w:val="00334624"/>
    <w:rsid w:val="00335693"/>
    <w:rsid w:val="00335897"/>
    <w:rsid w:val="00335D85"/>
    <w:rsid w:val="0033634C"/>
    <w:rsid w:val="0033669D"/>
    <w:rsid w:val="003367DD"/>
    <w:rsid w:val="00336F34"/>
    <w:rsid w:val="00337DFE"/>
    <w:rsid w:val="00340864"/>
    <w:rsid w:val="00341497"/>
    <w:rsid w:val="0034206E"/>
    <w:rsid w:val="003438EF"/>
    <w:rsid w:val="00343E5D"/>
    <w:rsid w:val="00343E84"/>
    <w:rsid w:val="0034439B"/>
    <w:rsid w:val="003455A7"/>
    <w:rsid w:val="003457F1"/>
    <w:rsid w:val="003469BB"/>
    <w:rsid w:val="00350743"/>
    <w:rsid w:val="0035095E"/>
    <w:rsid w:val="00350A47"/>
    <w:rsid w:val="003513CA"/>
    <w:rsid w:val="00351FAC"/>
    <w:rsid w:val="00352116"/>
    <w:rsid w:val="003529AF"/>
    <w:rsid w:val="00353652"/>
    <w:rsid w:val="0035432E"/>
    <w:rsid w:val="003564CA"/>
    <w:rsid w:val="0035756C"/>
    <w:rsid w:val="00357751"/>
    <w:rsid w:val="003601F1"/>
    <w:rsid w:val="00360750"/>
    <w:rsid w:val="00360BFC"/>
    <w:rsid w:val="00361B54"/>
    <w:rsid w:val="00362A40"/>
    <w:rsid w:val="00363BF3"/>
    <w:rsid w:val="003649E8"/>
    <w:rsid w:val="00366631"/>
    <w:rsid w:val="003679D5"/>
    <w:rsid w:val="00367B79"/>
    <w:rsid w:val="003700BB"/>
    <w:rsid w:val="0037015D"/>
    <w:rsid w:val="0037021A"/>
    <w:rsid w:val="0037217E"/>
    <w:rsid w:val="003738E5"/>
    <w:rsid w:val="00373BB6"/>
    <w:rsid w:val="00374F02"/>
    <w:rsid w:val="00375614"/>
    <w:rsid w:val="00380E60"/>
    <w:rsid w:val="00381483"/>
    <w:rsid w:val="00381C36"/>
    <w:rsid w:val="00381D62"/>
    <w:rsid w:val="00382ADF"/>
    <w:rsid w:val="00383C8E"/>
    <w:rsid w:val="00384C87"/>
    <w:rsid w:val="0038501E"/>
    <w:rsid w:val="00385F10"/>
    <w:rsid w:val="003869D5"/>
    <w:rsid w:val="003905B9"/>
    <w:rsid w:val="003914E2"/>
    <w:rsid w:val="00391FFC"/>
    <w:rsid w:val="0039206E"/>
    <w:rsid w:val="00392A4B"/>
    <w:rsid w:val="00392AA2"/>
    <w:rsid w:val="00393BA3"/>
    <w:rsid w:val="0039527F"/>
    <w:rsid w:val="00395A71"/>
    <w:rsid w:val="0039682A"/>
    <w:rsid w:val="003A114E"/>
    <w:rsid w:val="003A3212"/>
    <w:rsid w:val="003A37F4"/>
    <w:rsid w:val="003A4F1D"/>
    <w:rsid w:val="003A4F95"/>
    <w:rsid w:val="003A567D"/>
    <w:rsid w:val="003A6F71"/>
    <w:rsid w:val="003A745C"/>
    <w:rsid w:val="003A7AA6"/>
    <w:rsid w:val="003A7BAA"/>
    <w:rsid w:val="003B01D4"/>
    <w:rsid w:val="003B036C"/>
    <w:rsid w:val="003B0FA4"/>
    <w:rsid w:val="003B10EC"/>
    <w:rsid w:val="003B1570"/>
    <w:rsid w:val="003B15C9"/>
    <w:rsid w:val="003B21BF"/>
    <w:rsid w:val="003B3C31"/>
    <w:rsid w:val="003B43B8"/>
    <w:rsid w:val="003B5522"/>
    <w:rsid w:val="003B5FEE"/>
    <w:rsid w:val="003B76AD"/>
    <w:rsid w:val="003B76D9"/>
    <w:rsid w:val="003C0CEB"/>
    <w:rsid w:val="003C1215"/>
    <w:rsid w:val="003C351A"/>
    <w:rsid w:val="003C3BC6"/>
    <w:rsid w:val="003C54AA"/>
    <w:rsid w:val="003C5934"/>
    <w:rsid w:val="003C7080"/>
    <w:rsid w:val="003D11D0"/>
    <w:rsid w:val="003D146E"/>
    <w:rsid w:val="003D1525"/>
    <w:rsid w:val="003D239A"/>
    <w:rsid w:val="003D28CF"/>
    <w:rsid w:val="003D2C74"/>
    <w:rsid w:val="003D5245"/>
    <w:rsid w:val="003D5507"/>
    <w:rsid w:val="003D5A10"/>
    <w:rsid w:val="003D5E6D"/>
    <w:rsid w:val="003D7CB9"/>
    <w:rsid w:val="003E0F7C"/>
    <w:rsid w:val="003E1A50"/>
    <w:rsid w:val="003E2B73"/>
    <w:rsid w:val="003E2F03"/>
    <w:rsid w:val="003E3762"/>
    <w:rsid w:val="003E3BBF"/>
    <w:rsid w:val="003E424A"/>
    <w:rsid w:val="003E4702"/>
    <w:rsid w:val="003E4D1C"/>
    <w:rsid w:val="003E6A82"/>
    <w:rsid w:val="003E75F3"/>
    <w:rsid w:val="003F03EA"/>
    <w:rsid w:val="003F0D9E"/>
    <w:rsid w:val="003F12A3"/>
    <w:rsid w:val="003F1974"/>
    <w:rsid w:val="003F2109"/>
    <w:rsid w:val="003F2790"/>
    <w:rsid w:val="003F3C4F"/>
    <w:rsid w:val="003F41EF"/>
    <w:rsid w:val="003F50FF"/>
    <w:rsid w:val="003F5900"/>
    <w:rsid w:val="003F6355"/>
    <w:rsid w:val="00400266"/>
    <w:rsid w:val="00401A9A"/>
    <w:rsid w:val="00402EEA"/>
    <w:rsid w:val="00404201"/>
    <w:rsid w:val="00405CEF"/>
    <w:rsid w:val="00406282"/>
    <w:rsid w:val="00406337"/>
    <w:rsid w:val="00406A00"/>
    <w:rsid w:val="004074B3"/>
    <w:rsid w:val="004075EA"/>
    <w:rsid w:val="00410C82"/>
    <w:rsid w:val="0041108E"/>
    <w:rsid w:val="00412658"/>
    <w:rsid w:val="00412DF2"/>
    <w:rsid w:val="004138F5"/>
    <w:rsid w:val="00413D22"/>
    <w:rsid w:val="00414C90"/>
    <w:rsid w:val="004165B0"/>
    <w:rsid w:val="004165D6"/>
    <w:rsid w:val="00417973"/>
    <w:rsid w:val="00417A43"/>
    <w:rsid w:val="00417D21"/>
    <w:rsid w:val="0042163E"/>
    <w:rsid w:val="00422122"/>
    <w:rsid w:val="00423163"/>
    <w:rsid w:val="004244A5"/>
    <w:rsid w:val="00427318"/>
    <w:rsid w:val="004276CD"/>
    <w:rsid w:val="0042778E"/>
    <w:rsid w:val="00427843"/>
    <w:rsid w:val="00427A35"/>
    <w:rsid w:val="004302B6"/>
    <w:rsid w:val="0043230A"/>
    <w:rsid w:val="0043511C"/>
    <w:rsid w:val="00435538"/>
    <w:rsid w:val="00435A69"/>
    <w:rsid w:val="00437E88"/>
    <w:rsid w:val="00440672"/>
    <w:rsid w:val="00440EDE"/>
    <w:rsid w:val="00441E70"/>
    <w:rsid w:val="00443779"/>
    <w:rsid w:val="00443CCC"/>
    <w:rsid w:val="004441E4"/>
    <w:rsid w:val="004448E8"/>
    <w:rsid w:val="004474FB"/>
    <w:rsid w:val="00447553"/>
    <w:rsid w:val="004479CC"/>
    <w:rsid w:val="00447A78"/>
    <w:rsid w:val="004528CC"/>
    <w:rsid w:val="004529C3"/>
    <w:rsid w:val="00453339"/>
    <w:rsid w:val="00453627"/>
    <w:rsid w:val="00454149"/>
    <w:rsid w:val="00454218"/>
    <w:rsid w:val="0045608B"/>
    <w:rsid w:val="004601FB"/>
    <w:rsid w:val="00461504"/>
    <w:rsid w:val="00461701"/>
    <w:rsid w:val="004652FD"/>
    <w:rsid w:val="004657F4"/>
    <w:rsid w:val="00466979"/>
    <w:rsid w:val="00466D17"/>
    <w:rsid w:val="00467E20"/>
    <w:rsid w:val="0047142B"/>
    <w:rsid w:val="00472A4C"/>
    <w:rsid w:val="00472B05"/>
    <w:rsid w:val="00472E85"/>
    <w:rsid w:val="00473068"/>
    <w:rsid w:val="004735D5"/>
    <w:rsid w:val="004741DE"/>
    <w:rsid w:val="0047556B"/>
    <w:rsid w:val="00475C2D"/>
    <w:rsid w:val="00477226"/>
    <w:rsid w:val="004813E8"/>
    <w:rsid w:val="004827F3"/>
    <w:rsid w:val="004829F2"/>
    <w:rsid w:val="00486114"/>
    <w:rsid w:val="004863E4"/>
    <w:rsid w:val="00487264"/>
    <w:rsid w:val="00490D2A"/>
    <w:rsid w:val="0049105D"/>
    <w:rsid w:val="004918C4"/>
    <w:rsid w:val="004932A2"/>
    <w:rsid w:val="00496E8C"/>
    <w:rsid w:val="00496EAA"/>
    <w:rsid w:val="004A004A"/>
    <w:rsid w:val="004A00B9"/>
    <w:rsid w:val="004A02BC"/>
    <w:rsid w:val="004A08D7"/>
    <w:rsid w:val="004A0E54"/>
    <w:rsid w:val="004A2187"/>
    <w:rsid w:val="004A4260"/>
    <w:rsid w:val="004A5151"/>
    <w:rsid w:val="004A5463"/>
    <w:rsid w:val="004A5DB1"/>
    <w:rsid w:val="004A6745"/>
    <w:rsid w:val="004A67B9"/>
    <w:rsid w:val="004A687F"/>
    <w:rsid w:val="004A7359"/>
    <w:rsid w:val="004B124D"/>
    <w:rsid w:val="004B1C2E"/>
    <w:rsid w:val="004B2EE5"/>
    <w:rsid w:val="004B3161"/>
    <w:rsid w:val="004B5BAF"/>
    <w:rsid w:val="004B5CB4"/>
    <w:rsid w:val="004B5F75"/>
    <w:rsid w:val="004B632A"/>
    <w:rsid w:val="004B7E82"/>
    <w:rsid w:val="004C06AD"/>
    <w:rsid w:val="004C0946"/>
    <w:rsid w:val="004C0C08"/>
    <w:rsid w:val="004C13CF"/>
    <w:rsid w:val="004C2142"/>
    <w:rsid w:val="004C3B62"/>
    <w:rsid w:val="004C76DF"/>
    <w:rsid w:val="004C7C7E"/>
    <w:rsid w:val="004C7EB2"/>
    <w:rsid w:val="004D0163"/>
    <w:rsid w:val="004D0AC5"/>
    <w:rsid w:val="004D10B9"/>
    <w:rsid w:val="004D19EB"/>
    <w:rsid w:val="004D1AAF"/>
    <w:rsid w:val="004D2EA8"/>
    <w:rsid w:val="004D3210"/>
    <w:rsid w:val="004D32EB"/>
    <w:rsid w:val="004D35C6"/>
    <w:rsid w:val="004E06B4"/>
    <w:rsid w:val="004E10EE"/>
    <w:rsid w:val="004E189A"/>
    <w:rsid w:val="004E1A28"/>
    <w:rsid w:val="004E2076"/>
    <w:rsid w:val="004E2F8E"/>
    <w:rsid w:val="004E318F"/>
    <w:rsid w:val="004E59F3"/>
    <w:rsid w:val="004E5A0A"/>
    <w:rsid w:val="004E6694"/>
    <w:rsid w:val="004E6764"/>
    <w:rsid w:val="004E76BC"/>
    <w:rsid w:val="004E791F"/>
    <w:rsid w:val="004F021C"/>
    <w:rsid w:val="004F1757"/>
    <w:rsid w:val="004F1D20"/>
    <w:rsid w:val="004F326C"/>
    <w:rsid w:val="004F38A6"/>
    <w:rsid w:val="004F3F3E"/>
    <w:rsid w:val="004F444A"/>
    <w:rsid w:val="004F5575"/>
    <w:rsid w:val="004F79D9"/>
    <w:rsid w:val="004F7EC8"/>
    <w:rsid w:val="00500FC1"/>
    <w:rsid w:val="005014BC"/>
    <w:rsid w:val="00501617"/>
    <w:rsid w:val="00501808"/>
    <w:rsid w:val="00502229"/>
    <w:rsid w:val="005030DE"/>
    <w:rsid w:val="00504BCF"/>
    <w:rsid w:val="005056C1"/>
    <w:rsid w:val="0050634D"/>
    <w:rsid w:val="005078B2"/>
    <w:rsid w:val="005079C1"/>
    <w:rsid w:val="00507BBF"/>
    <w:rsid w:val="00511260"/>
    <w:rsid w:val="00511565"/>
    <w:rsid w:val="0051172C"/>
    <w:rsid w:val="00511D5A"/>
    <w:rsid w:val="0051380C"/>
    <w:rsid w:val="00514878"/>
    <w:rsid w:val="00514A7B"/>
    <w:rsid w:val="0051706E"/>
    <w:rsid w:val="00517511"/>
    <w:rsid w:val="00517CF3"/>
    <w:rsid w:val="00520E7F"/>
    <w:rsid w:val="00521389"/>
    <w:rsid w:val="00523DBC"/>
    <w:rsid w:val="005244E9"/>
    <w:rsid w:val="00524580"/>
    <w:rsid w:val="00525DF3"/>
    <w:rsid w:val="00530003"/>
    <w:rsid w:val="00530509"/>
    <w:rsid w:val="00532080"/>
    <w:rsid w:val="00532409"/>
    <w:rsid w:val="005346AE"/>
    <w:rsid w:val="00536965"/>
    <w:rsid w:val="00545009"/>
    <w:rsid w:val="00545140"/>
    <w:rsid w:val="00545668"/>
    <w:rsid w:val="0055098F"/>
    <w:rsid w:val="005517B9"/>
    <w:rsid w:val="0055282D"/>
    <w:rsid w:val="00552E93"/>
    <w:rsid w:val="00553E7D"/>
    <w:rsid w:val="005542BD"/>
    <w:rsid w:val="00556489"/>
    <w:rsid w:val="00556EDA"/>
    <w:rsid w:val="00556FC7"/>
    <w:rsid w:val="005573D6"/>
    <w:rsid w:val="0056029F"/>
    <w:rsid w:val="00560709"/>
    <w:rsid w:val="00560779"/>
    <w:rsid w:val="00563CE1"/>
    <w:rsid w:val="0056509F"/>
    <w:rsid w:val="00565326"/>
    <w:rsid w:val="005660D5"/>
    <w:rsid w:val="005703D6"/>
    <w:rsid w:val="00570A0D"/>
    <w:rsid w:val="00570CA7"/>
    <w:rsid w:val="00573AD0"/>
    <w:rsid w:val="005741BF"/>
    <w:rsid w:val="005754FC"/>
    <w:rsid w:val="00575F9C"/>
    <w:rsid w:val="00576979"/>
    <w:rsid w:val="00577D50"/>
    <w:rsid w:val="00580D85"/>
    <w:rsid w:val="005813AC"/>
    <w:rsid w:val="00582985"/>
    <w:rsid w:val="0058354A"/>
    <w:rsid w:val="00583CC8"/>
    <w:rsid w:val="0058491A"/>
    <w:rsid w:val="00584BA7"/>
    <w:rsid w:val="0058542B"/>
    <w:rsid w:val="00586CFB"/>
    <w:rsid w:val="00587D29"/>
    <w:rsid w:val="005903BC"/>
    <w:rsid w:val="00591072"/>
    <w:rsid w:val="005934B8"/>
    <w:rsid w:val="00594C9D"/>
    <w:rsid w:val="00595C65"/>
    <w:rsid w:val="005964E5"/>
    <w:rsid w:val="00596992"/>
    <w:rsid w:val="005969E2"/>
    <w:rsid w:val="00597705"/>
    <w:rsid w:val="005A2449"/>
    <w:rsid w:val="005A2C73"/>
    <w:rsid w:val="005A3E4D"/>
    <w:rsid w:val="005A4FC0"/>
    <w:rsid w:val="005A65B7"/>
    <w:rsid w:val="005A71F7"/>
    <w:rsid w:val="005A7398"/>
    <w:rsid w:val="005A7F71"/>
    <w:rsid w:val="005B0623"/>
    <w:rsid w:val="005B1202"/>
    <w:rsid w:val="005B1333"/>
    <w:rsid w:val="005B14E5"/>
    <w:rsid w:val="005B1872"/>
    <w:rsid w:val="005B43EC"/>
    <w:rsid w:val="005B5C65"/>
    <w:rsid w:val="005B649F"/>
    <w:rsid w:val="005B7922"/>
    <w:rsid w:val="005B7CEE"/>
    <w:rsid w:val="005C13BD"/>
    <w:rsid w:val="005C1439"/>
    <w:rsid w:val="005C15DC"/>
    <w:rsid w:val="005C1DEC"/>
    <w:rsid w:val="005C28AE"/>
    <w:rsid w:val="005C34AF"/>
    <w:rsid w:val="005C36E4"/>
    <w:rsid w:val="005C4FDA"/>
    <w:rsid w:val="005C5BA6"/>
    <w:rsid w:val="005C5C47"/>
    <w:rsid w:val="005C6A41"/>
    <w:rsid w:val="005D0320"/>
    <w:rsid w:val="005D0B78"/>
    <w:rsid w:val="005D25D6"/>
    <w:rsid w:val="005D3407"/>
    <w:rsid w:val="005D3941"/>
    <w:rsid w:val="005D411A"/>
    <w:rsid w:val="005D47C3"/>
    <w:rsid w:val="005D50BE"/>
    <w:rsid w:val="005D5E9D"/>
    <w:rsid w:val="005D5F9E"/>
    <w:rsid w:val="005D6BF3"/>
    <w:rsid w:val="005D6D77"/>
    <w:rsid w:val="005E12E1"/>
    <w:rsid w:val="005E22F9"/>
    <w:rsid w:val="005E2529"/>
    <w:rsid w:val="005E2F30"/>
    <w:rsid w:val="005E3541"/>
    <w:rsid w:val="005E411E"/>
    <w:rsid w:val="005E48C6"/>
    <w:rsid w:val="005E560B"/>
    <w:rsid w:val="005E601A"/>
    <w:rsid w:val="005F03D5"/>
    <w:rsid w:val="005F04A5"/>
    <w:rsid w:val="005F158C"/>
    <w:rsid w:val="005F236B"/>
    <w:rsid w:val="005F5C50"/>
    <w:rsid w:val="005F5D90"/>
    <w:rsid w:val="005F65D1"/>
    <w:rsid w:val="005F6D85"/>
    <w:rsid w:val="005F77BC"/>
    <w:rsid w:val="00600269"/>
    <w:rsid w:val="0060045E"/>
    <w:rsid w:val="00601302"/>
    <w:rsid w:val="0060138F"/>
    <w:rsid w:val="0060391E"/>
    <w:rsid w:val="0060443D"/>
    <w:rsid w:val="0060486E"/>
    <w:rsid w:val="006062FB"/>
    <w:rsid w:val="00606867"/>
    <w:rsid w:val="00607419"/>
    <w:rsid w:val="006101AF"/>
    <w:rsid w:val="00610771"/>
    <w:rsid w:val="00612393"/>
    <w:rsid w:val="00612650"/>
    <w:rsid w:val="00612ACF"/>
    <w:rsid w:val="00613E36"/>
    <w:rsid w:val="00613F21"/>
    <w:rsid w:val="00614A7A"/>
    <w:rsid w:val="00616B35"/>
    <w:rsid w:val="00617A30"/>
    <w:rsid w:val="00617F99"/>
    <w:rsid w:val="006215E6"/>
    <w:rsid w:val="0062175A"/>
    <w:rsid w:val="00621B4B"/>
    <w:rsid w:val="006232F1"/>
    <w:rsid w:val="006233F2"/>
    <w:rsid w:val="00623DDE"/>
    <w:rsid w:val="00624695"/>
    <w:rsid w:val="006249C3"/>
    <w:rsid w:val="00624C27"/>
    <w:rsid w:val="00625D2D"/>
    <w:rsid w:val="006271A4"/>
    <w:rsid w:val="00627888"/>
    <w:rsid w:val="00630138"/>
    <w:rsid w:val="006313FC"/>
    <w:rsid w:val="00632122"/>
    <w:rsid w:val="006332F2"/>
    <w:rsid w:val="00634AA2"/>
    <w:rsid w:val="00634B17"/>
    <w:rsid w:val="00635F99"/>
    <w:rsid w:val="00637A17"/>
    <w:rsid w:val="00641035"/>
    <w:rsid w:val="00641661"/>
    <w:rsid w:val="00641A2E"/>
    <w:rsid w:val="006433BF"/>
    <w:rsid w:val="00643DAC"/>
    <w:rsid w:val="00644B6F"/>
    <w:rsid w:val="00644FB0"/>
    <w:rsid w:val="006476E6"/>
    <w:rsid w:val="00650EE2"/>
    <w:rsid w:val="006511A4"/>
    <w:rsid w:val="006513E2"/>
    <w:rsid w:val="00651916"/>
    <w:rsid w:val="00651DE7"/>
    <w:rsid w:val="006531C9"/>
    <w:rsid w:val="006535E1"/>
    <w:rsid w:val="00654EFA"/>
    <w:rsid w:val="0065507F"/>
    <w:rsid w:val="0066025E"/>
    <w:rsid w:val="00661D64"/>
    <w:rsid w:val="00662682"/>
    <w:rsid w:val="006639A0"/>
    <w:rsid w:val="00663D7F"/>
    <w:rsid w:val="00664CD0"/>
    <w:rsid w:val="00664F91"/>
    <w:rsid w:val="00665D94"/>
    <w:rsid w:val="006668FE"/>
    <w:rsid w:val="00667591"/>
    <w:rsid w:val="0066769F"/>
    <w:rsid w:val="006678AE"/>
    <w:rsid w:val="00667F9F"/>
    <w:rsid w:val="006710E7"/>
    <w:rsid w:val="00671946"/>
    <w:rsid w:val="00671A0B"/>
    <w:rsid w:val="0067210D"/>
    <w:rsid w:val="0067505B"/>
    <w:rsid w:val="00675C81"/>
    <w:rsid w:val="0068034D"/>
    <w:rsid w:val="00681152"/>
    <w:rsid w:val="00682693"/>
    <w:rsid w:val="00682987"/>
    <w:rsid w:val="00682CE5"/>
    <w:rsid w:val="00683D2C"/>
    <w:rsid w:val="006841DC"/>
    <w:rsid w:val="0068468E"/>
    <w:rsid w:val="00685DAD"/>
    <w:rsid w:val="0068615D"/>
    <w:rsid w:val="0068675A"/>
    <w:rsid w:val="00686B77"/>
    <w:rsid w:val="00690810"/>
    <w:rsid w:val="0069106B"/>
    <w:rsid w:val="006912DA"/>
    <w:rsid w:val="00691AF2"/>
    <w:rsid w:val="00691CB2"/>
    <w:rsid w:val="00691FE8"/>
    <w:rsid w:val="006935FF"/>
    <w:rsid w:val="00694527"/>
    <w:rsid w:val="0069550C"/>
    <w:rsid w:val="00696D2F"/>
    <w:rsid w:val="0069715B"/>
    <w:rsid w:val="00697465"/>
    <w:rsid w:val="006974FA"/>
    <w:rsid w:val="006977F7"/>
    <w:rsid w:val="00697EB1"/>
    <w:rsid w:val="006A0A6C"/>
    <w:rsid w:val="006A115F"/>
    <w:rsid w:val="006A15F2"/>
    <w:rsid w:val="006A2310"/>
    <w:rsid w:val="006A2706"/>
    <w:rsid w:val="006A34C1"/>
    <w:rsid w:val="006A482B"/>
    <w:rsid w:val="006A498B"/>
    <w:rsid w:val="006A5E98"/>
    <w:rsid w:val="006A7DA6"/>
    <w:rsid w:val="006A7E1B"/>
    <w:rsid w:val="006B150C"/>
    <w:rsid w:val="006B1DCE"/>
    <w:rsid w:val="006B2A93"/>
    <w:rsid w:val="006B3C49"/>
    <w:rsid w:val="006B42B2"/>
    <w:rsid w:val="006B6180"/>
    <w:rsid w:val="006B692B"/>
    <w:rsid w:val="006C1045"/>
    <w:rsid w:val="006C1733"/>
    <w:rsid w:val="006C177A"/>
    <w:rsid w:val="006C1B13"/>
    <w:rsid w:val="006C32C4"/>
    <w:rsid w:val="006C356C"/>
    <w:rsid w:val="006C3883"/>
    <w:rsid w:val="006D067F"/>
    <w:rsid w:val="006D07FB"/>
    <w:rsid w:val="006D5A67"/>
    <w:rsid w:val="006D762E"/>
    <w:rsid w:val="006D7DFD"/>
    <w:rsid w:val="006E0983"/>
    <w:rsid w:val="006E16D1"/>
    <w:rsid w:val="006E2B6D"/>
    <w:rsid w:val="006E31AF"/>
    <w:rsid w:val="006E3C88"/>
    <w:rsid w:val="006E4622"/>
    <w:rsid w:val="006E4C1C"/>
    <w:rsid w:val="006E5C79"/>
    <w:rsid w:val="006F027C"/>
    <w:rsid w:val="006F09D8"/>
    <w:rsid w:val="006F1624"/>
    <w:rsid w:val="006F3052"/>
    <w:rsid w:val="006F31BD"/>
    <w:rsid w:val="006F3259"/>
    <w:rsid w:val="006F33F3"/>
    <w:rsid w:val="006F3C00"/>
    <w:rsid w:val="006F3F69"/>
    <w:rsid w:val="006F42AC"/>
    <w:rsid w:val="006F5D4A"/>
    <w:rsid w:val="006F676F"/>
    <w:rsid w:val="006F6E9A"/>
    <w:rsid w:val="006F78DB"/>
    <w:rsid w:val="00702C42"/>
    <w:rsid w:val="00704A2E"/>
    <w:rsid w:val="007057AB"/>
    <w:rsid w:val="00705F57"/>
    <w:rsid w:val="00707343"/>
    <w:rsid w:val="007073FB"/>
    <w:rsid w:val="007074E8"/>
    <w:rsid w:val="00707FA4"/>
    <w:rsid w:val="00710C28"/>
    <w:rsid w:val="0071125A"/>
    <w:rsid w:val="00711778"/>
    <w:rsid w:val="00711C08"/>
    <w:rsid w:val="00711CC1"/>
    <w:rsid w:val="00712ED3"/>
    <w:rsid w:val="00714697"/>
    <w:rsid w:val="00714C9E"/>
    <w:rsid w:val="00715651"/>
    <w:rsid w:val="00715A14"/>
    <w:rsid w:val="00717903"/>
    <w:rsid w:val="00717A73"/>
    <w:rsid w:val="00717B10"/>
    <w:rsid w:val="00721ACF"/>
    <w:rsid w:val="00723312"/>
    <w:rsid w:val="00723741"/>
    <w:rsid w:val="00724B29"/>
    <w:rsid w:val="00725A5F"/>
    <w:rsid w:val="00727A78"/>
    <w:rsid w:val="007306D8"/>
    <w:rsid w:val="00730A5A"/>
    <w:rsid w:val="00731207"/>
    <w:rsid w:val="0073191F"/>
    <w:rsid w:val="00734430"/>
    <w:rsid w:val="0073480A"/>
    <w:rsid w:val="00734C55"/>
    <w:rsid w:val="00734DBB"/>
    <w:rsid w:val="00735682"/>
    <w:rsid w:val="00736346"/>
    <w:rsid w:val="0074053C"/>
    <w:rsid w:val="007413AE"/>
    <w:rsid w:val="00741589"/>
    <w:rsid w:val="007438F9"/>
    <w:rsid w:val="00743D4D"/>
    <w:rsid w:val="00743EB1"/>
    <w:rsid w:val="007443BD"/>
    <w:rsid w:val="007443CC"/>
    <w:rsid w:val="0074485F"/>
    <w:rsid w:val="007451A8"/>
    <w:rsid w:val="0074527C"/>
    <w:rsid w:val="00745BF2"/>
    <w:rsid w:val="00745E2B"/>
    <w:rsid w:val="00746757"/>
    <w:rsid w:val="00750684"/>
    <w:rsid w:val="00751ADD"/>
    <w:rsid w:val="007520F6"/>
    <w:rsid w:val="007532C0"/>
    <w:rsid w:val="0075434E"/>
    <w:rsid w:val="00756020"/>
    <w:rsid w:val="00756098"/>
    <w:rsid w:val="00757F3C"/>
    <w:rsid w:val="00761FC6"/>
    <w:rsid w:val="007628CF"/>
    <w:rsid w:val="007631E0"/>
    <w:rsid w:val="00763628"/>
    <w:rsid w:val="00763BF3"/>
    <w:rsid w:val="00764F87"/>
    <w:rsid w:val="00766E11"/>
    <w:rsid w:val="00767A6B"/>
    <w:rsid w:val="00767DDB"/>
    <w:rsid w:val="00771094"/>
    <w:rsid w:val="00771421"/>
    <w:rsid w:val="00772E4B"/>
    <w:rsid w:val="00772FDC"/>
    <w:rsid w:val="007730AC"/>
    <w:rsid w:val="007744D5"/>
    <w:rsid w:val="0077459E"/>
    <w:rsid w:val="00775448"/>
    <w:rsid w:val="0077676B"/>
    <w:rsid w:val="0078014A"/>
    <w:rsid w:val="00782782"/>
    <w:rsid w:val="007841E0"/>
    <w:rsid w:val="007863FC"/>
    <w:rsid w:val="007866DC"/>
    <w:rsid w:val="00791465"/>
    <w:rsid w:val="0079276A"/>
    <w:rsid w:val="00793352"/>
    <w:rsid w:val="007938C6"/>
    <w:rsid w:val="00794AA8"/>
    <w:rsid w:val="00796986"/>
    <w:rsid w:val="00796F39"/>
    <w:rsid w:val="00796F7A"/>
    <w:rsid w:val="00797A49"/>
    <w:rsid w:val="00797E4E"/>
    <w:rsid w:val="007A0692"/>
    <w:rsid w:val="007A1488"/>
    <w:rsid w:val="007A1A81"/>
    <w:rsid w:val="007A1FEC"/>
    <w:rsid w:val="007A2884"/>
    <w:rsid w:val="007A2B73"/>
    <w:rsid w:val="007A3705"/>
    <w:rsid w:val="007A39B0"/>
    <w:rsid w:val="007A4C61"/>
    <w:rsid w:val="007A769F"/>
    <w:rsid w:val="007A7AD5"/>
    <w:rsid w:val="007A7BBE"/>
    <w:rsid w:val="007B192D"/>
    <w:rsid w:val="007B196E"/>
    <w:rsid w:val="007B1F09"/>
    <w:rsid w:val="007B566C"/>
    <w:rsid w:val="007B686F"/>
    <w:rsid w:val="007B6CEF"/>
    <w:rsid w:val="007C17AD"/>
    <w:rsid w:val="007C247A"/>
    <w:rsid w:val="007C4731"/>
    <w:rsid w:val="007C4DD5"/>
    <w:rsid w:val="007C546A"/>
    <w:rsid w:val="007D0644"/>
    <w:rsid w:val="007D0A2D"/>
    <w:rsid w:val="007D3ACE"/>
    <w:rsid w:val="007D64EC"/>
    <w:rsid w:val="007D7A96"/>
    <w:rsid w:val="007E040A"/>
    <w:rsid w:val="007E05A2"/>
    <w:rsid w:val="007E1089"/>
    <w:rsid w:val="007E11A7"/>
    <w:rsid w:val="007E1B26"/>
    <w:rsid w:val="007E1F8D"/>
    <w:rsid w:val="007E387C"/>
    <w:rsid w:val="007E4237"/>
    <w:rsid w:val="007E502C"/>
    <w:rsid w:val="007E58D1"/>
    <w:rsid w:val="007E5E24"/>
    <w:rsid w:val="007E7DDF"/>
    <w:rsid w:val="007F0F84"/>
    <w:rsid w:val="007F1E72"/>
    <w:rsid w:val="007F2C37"/>
    <w:rsid w:val="007F4798"/>
    <w:rsid w:val="007F597F"/>
    <w:rsid w:val="007F5DE4"/>
    <w:rsid w:val="007F6266"/>
    <w:rsid w:val="00800438"/>
    <w:rsid w:val="008019A5"/>
    <w:rsid w:val="008020C2"/>
    <w:rsid w:val="008020CD"/>
    <w:rsid w:val="00802DC7"/>
    <w:rsid w:val="00803543"/>
    <w:rsid w:val="00806AFC"/>
    <w:rsid w:val="00810336"/>
    <w:rsid w:val="0081156D"/>
    <w:rsid w:val="00811B30"/>
    <w:rsid w:val="00812D95"/>
    <w:rsid w:val="00813448"/>
    <w:rsid w:val="00814EDE"/>
    <w:rsid w:val="0081612B"/>
    <w:rsid w:val="00816C2F"/>
    <w:rsid w:val="00816ED1"/>
    <w:rsid w:val="00821746"/>
    <w:rsid w:val="00821D82"/>
    <w:rsid w:val="008230F2"/>
    <w:rsid w:val="00823442"/>
    <w:rsid w:val="00823BC4"/>
    <w:rsid w:val="00823CFE"/>
    <w:rsid w:val="008242ED"/>
    <w:rsid w:val="00824E2E"/>
    <w:rsid w:val="00824FF2"/>
    <w:rsid w:val="008276BB"/>
    <w:rsid w:val="00830F6A"/>
    <w:rsid w:val="00831372"/>
    <w:rsid w:val="00832AD6"/>
    <w:rsid w:val="00832EA6"/>
    <w:rsid w:val="00832FD6"/>
    <w:rsid w:val="0083336E"/>
    <w:rsid w:val="00833D1A"/>
    <w:rsid w:val="00834066"/>
    <w:rsid w:val="008343B4"/>
    <w:rsid w:val="0083453D"/>
    <w:rsid w:val="00837310"/>
    <w:rsid w:val="00837B9A"/>
    <w:rsid w:val="00837E1F"/>
    <w:rsid w:val="008405CE"/>
    <w:rsid w:val="008405CF"/>
    <w:rsid w:val="0084081B"/>
    <w:rsid w:val="00841726"/>
    <w:rsid w:val="008417D1"/>
    <w:rsid w:val="008426AA"/>
    <w:rsid w:val="0084295A"/>
    <w:rsid w:val="008429FF"/>
    <w:rsid w:val="0084393F"/>
    <w:rsid w:val="00845F69"/>
    <w:rsid w:val="00846269"/>
    <w:rsid w:val="00851511"/>
    <w:rsid w:val="008536CA"/>
    <w:rsid w:val="008547C2"/>
    <w:rsid w:val="00854A89"/>
    <w:rsid w:val="00854DAC"/>
    <w:rsid w:val="00855355"/>
    <w:rsid w:val="008557C2"/>
    <w:rsid w:val="00855F97"/>
    <w:rsid w:val="008566EC"/>
    <w:rsid w:val="008579B6"/>
    <w:rsid w:val="00860739"/>
    <w:rsid w:val="0086080D"/>
    <w:rsid w:val="00861853"/>
    <w:rsid w:val="0086273D"/>
    <w:rsid w:val="008634DE"/>
    <w:rsid w:val="008647BD"/>
    <w:rsid w:val="00864943"/>
    <w:rsid w:val="008665C4"/>
    <w:rsid w:val="00866680"/>
    <w:rsid w:val="0086751C"/>
    <w:rsid w:val="008677E3"/>
    <w:rsid w:val="00867B49"/>
    <w:rsid w:val="00867C6E"/>
    <w:rsid w:val="00867EE7"/>
    <w:rsid w:val="00870B41"/>
    <w:rsid w:val="0087195C"/>
    <w:rsid w:val="00873896"/>
    <w:rsid w:val="00873C6E"/>
    <w:rsid w:val="00873EB9"/>
    <w:rsid w:val="00875D5A"/>
    <w:rsid w:val="00875F1E"/>
    <w:rsid w:val="00880351"/>
    <w:rsid w:val="00880514"/>
    <w:rsid w:val="0088070D"/>
    <w:rsid w:val="0088086C"/>
    <w:rsid w:val="0088182F"/>
    <w:rsid w:val="008825BB"/>
    <w:rsid w:val="00882735"/>
    <w:rsid w:val="0088275A"/>
    <w:rsid w:val="00882EFE"/>
    <w:rsid w:val="0088389B"/>
    <w:rsid w:val="00885C05"/>
    <w:rsid w:val="00885F6F"/>
    <w:rsid w:val="00886FED"/>
    <w:rsid w:val="00890AA3"/>
    <w:rsid w:val="00890F28"/>
    <w:rsid w:val="00891C7D"/>
    <w:rsid w:val="00892541"/>
    <w:rsid w:val="0089372D"/>
    <w:rsid w:val="00893E14"/>
    <w:rsid w:val="00894E7B"/>
    <w:rsid w:val="0089533C"/>
    <w:rsid w:val="00895554"/>
    <w:rsid w:val="008957A8"/>
    <w:rsid w:val="00895A54"/>
    <w:rsid w:val="00896A32"/>
    <w:rsid w:val="00896B6A"/>
    <w:rsid w:val="008A02BF"/>
    <w:rsid w:val="008A0454"/>
    <w:rsid w:val="008A1381"/>
    <w:rsid w:val="008A1A60"/>
    <w:rsid w:val="008A21D3"/>
    <w:rsid w:val="008A3B56"/>
    <w:rsid w:val="008A4281"/>
    <w:rsid w:val="008A537D"/>
    <w:rsid w:val="008A7240"/>
    <w:rsid w:val="008A75F3"/>
    <w:rsid w:val="008A781B"/>
    <w:rsid w:val="008A783C"/>
    <w:rsid w:val="008A7BFC"/>
    <w:rsid w:val="008A7CF7"/>
    <w:rsid w:val="008A7FAD"/>
    <w:rsid w:val="008B0A53"/>
    <w:rsid w:val="008B100F"/>
    <w:rsid w:val="008B1DA6"/>
    <w:rsid w:val="008B3660"/>
    <w:rsid w:val="008B3920"/>
    <w:rsid w:val="008C210D"/>
    <w:rsid w:val="008C3E59"/>
    <w:rsid w:val="008C480D"/>
    <w:rsid w:val="008C4C45"/>
    <w:rsid w:val="008C571C"/>
    <w:rsid w:val="008C5A29"/>
    <w:rsid w:val="008C651B"/>
    <w:rsid w:val="008C7138"/>
    <w:rsid w:val="008D096D"/>
    <w:rsid w:val="008D136B"/>
    <w:rsid w:val="008D1F83"/>
    <w:rsid w:val="008D20BA"/>
    <w:rsid w:val="008D2564"/>
    <w:rsid w:val="008D2E53"/>
    <w:rsid w:val="008D3C26"/>
    <w:rsid w:val="008D3CE7"/>
    <w:rsid w:val="008D6E8B"/>
    <w:rsid w:val="008E14CA"/>
    <w:rsid w:val="008E1626"/>
    <w:rsid w:val="008E18D0"/>
    <w:rsid w:val="008E2551"/>
    <w:rsid w:val="008E270C"/>
    <w:rsid w:val="008E51D4"/>
    <w:rsid w:val="008E66F8"/>
    <w:rsid w:val="008E74EF"/>
    <w:rsid w:val="008E7904"/>
    <w:rsid w:val="008E7EFA"/>
    <w:rsid w:val="008F051D"/>
    <w:rsid w:val="008F095A"/>
    <w:rsid w:val="008F0DD8"/>
    <w:rsid w:val="008F0FC5"/>
    <w:rsid w:val="008F0FD2"/>
    <w:rsid w:val="008F17A3"/>
    <w:rsid w:val="008F3B92"/>
    <w:rsid w:val="008F4376"/>
    <w:rsid w:val="008F44FB"/>
    <w:rsid w:val="008F59AF"/>
    <w:rsid w:val="008F5B07"/>
    <w:rsid w:val="008F5E59"/>
    <w:rsid w:val="008F61FC"/>
    <w:rsid w:val="008F74A5"/>
    <w:rsid w:val="00900638"/>
    <w:rsid w:val="00901474"/>
    <w:rsid w:val="009014FD"/>
    <w:rsid w:val="0090253D"/>
    <w:rsid w:val="00902AA7"/>
    <w:rsid w:val="00902C55"/>
    <w:rsid w:val="00903496"/>
    <w:rsid w:val="00903A37"/>
    <w:rsid w:val="00903CF4"/>
    <w:rsid w:val="009041F8"/>
    <w:rsid w:val="00904D53"/>
    <w:rsid w:val="00905C49"/>
    <w:rsid w:val="00906C53"/>
    <w:rsid w:val="00906F12"/>
    <w:rsid w:val="0090737A"/>
    <w:rsid w:val="009075F9"/>
    <w:rsid w:val="00907E2C"/>
    <w:rsid w:val="0091102D"/>
    <w:rsid w:val="009118D6"/>
    <w:rsid w:val="00911C4B"/>
    <w:rsid w:val="0091491D"/>
    <w:rsid w:val="0091517B"/>
    <w:rsid w:val="00917061"/>
    <w:rsid w:val="00921597"/>
    <w:rsid w:val="00921696"/>
    <w:rsid w:val="0092272B"/>
    <w:rsid w:val="0092525C"/>
    <w:rsid w:val="009257EE"/>
    <w:rsid w:val="00925A7E"/>
    <w:rsid w:val="009262E3"/>
    <w:rsid w:val="009265F2"/>
    <w:rsid w:val="009273DB"/>
    <w:rsid w:val="00927E7F"/>
    <w:rsid w:val="009300E6"/>
    <w:rsid w:val="00931856"/>
    <w:rsid w:val="00931957"/>
    <w:rsid w:val="00932259"/>
    <w:rsid w:val="0093440F"/>
    <w:rsid w:val="00937B2D"/>
    <w:rsid w:val="00937F6E"/>
    <w:rsid w:val="00940225"/>
    <w:rsid w:val="00941597"/>
    <w:rsid w:val="00941EB2"/>
    <w:rsid w:val="009429D4"/>
    <w:rsid w:val="0094300A"/>
    <w:rsid w:val="009433F4"/>
    <w:rsid w:val="00943D4D"/>
    <w:rsid w:val="00944464"/>
    <w:rsid w:val="00944E53"/>
    <w:rsid w:val="00945BC4"/>
    <w:rsid w:val="0094713D"/>
    <w:rsid w:val="009503FE"/>
    <w:rsid w:val="00952753"/>
    <w:rsid w:val="0095291D"/>
    <w:rsid w:val="00954778"/>
    <w:rsid w:val="0095687B"/>
    <w:rsid w:val="00956EC3"/>
    <w:rsid w:val="00957730"/>
    <w:rsid w:val="00960CDB"/>
    <w:rsid w:val="00961568"/>
    <w:rsid w:val="00962E0E"/>
    <w:rsid w:val="00964882"/>
    <w:rsid w:val="009648F1"/>
    <w:rsid w:val="00964C44"/>
    <w:rsid w:val="00964DFA"/>
    <w:rsid w:val="0096634B"/>
    <w:rsid w:val="009668DB"/>
    <w:rsid w:val="00966B45"/>
    <w:rsid w:val="0097136D"/>
    <w:rsid w:val="00971D2F"/>
    <w:rsid w:val="009722AD"/>
    <w:rsid w:val="009737E6"/>
    <w:rsid w:val="00973801"/>
    <w:rsid w:val="0097492C"/>
    <w:rsid w:val="00974E2D"/>
    <w:rsid w:val="00975DB5"/>
    <w:rsid w:val="00976DCD"/>
    <w:rsid w:val="00976F0D"/>
    <w:rsid w:val="0097797A"/>
    <w:rsid w:val="009803BA"/>
    <w:rsid w:val="0098066C"/>
    <w:rsid w:val="00981292"/>
    <w:rsid w:val="009812F2"/>
    <w:rsid w:val="009814B0"/>
    <w:rsid w:val="00981871"/>
    <w:rsid w:val="00984181"/>
    <w:rsid w:val="00985227"/>
    <w:rsid w:val="0098571F"/>
    <w:rsid w:val="009865CF"/>
    <w:rsid w:val="00987780"/>
    <w:rsid w:val="0099005D"/>
    <w:rsid w:val="00992504"/>
    <w:rsid w:val="00992B0D"/>
    <w:rsid w:val="009946AA"/>
    <w:rsid w:val="009949C6"/>
    <w:rsid w:val="009965F7"/>
    <w:rsid w:val="009969E0"/>
    <w:rsid w:val="00996B5C"/>
    <w:rsid w:val="00996F3E"/>
    <w:rsid w:val="009A00EF"/>
    <w:rsid w:val="009A0545"/>
    <w:rsid w:val="009A0B4E"/>
    <w:rsid w:val="009A1E87"/>
    <w:rsid w:val="009A1EC2"/>
    <w:rsid w:val="009A2220"/>
    <w:rsid w:val="009A3184"/>
    <w:rsid w:val="009A336F"/>
    <w:rsid w:val="009A36AF"/>
    <w:rsid w:val="009A3E97"/>
    <w:rsid w:val="009A591E"/>
    <w:rsid w:val="009A5C2F"/>
    <w:rsid w:val="009A6540"/>
    <w:rsid w:val="009A697C"/>
    <w:rsid w:val="009A7394"/>
    <w:rsid w:val="009A75E1"/>
    <w:rsid w:val="009A77E7"/>
    <w:rsid w:val="009B13C7"/>
    <w:rsid w:val="009B1B5C"/>
    <w:rsid w:val="009B306D"/>
    <w:rsid w:val="009B5983"/>
    <w:rsid w:val="009B74ED"/>
    <w:rsid w:val="009B7B65"/>
    <w:rsid w:val="009C052D"/>
    <w:rsid w:val="009C09A0"/>
    <w:rsid w:val="009C2135"/>
    <w:rsid w:val="009C323D"/>
    <w:rsid w:val="009C36F1"/>
    <w:rsid w:val="009C3B51"/>
    <w:rsid w:val="009C3E3C"/>
    <w:rsid w:val="009C44DF"/>
    <w:rsid w:val="009C4E0E"/>
    <w:rsid w:val="009C4F54"/>
    <w:rsid w:val="009C5271"/>
    <w:rsid w:val="009C63A4"/>
    <w:rsid w:val="009C63D5"/>
    <w:rsid w:val="009C6B5F"/>
    <w:rsid w:val="009C6ECF"/>
    <w:rsid w:val="009C787C"/>
    <w:rsid w:val="009C7FC6"/>
    <w:rsid w:val="009D00A6"/>
    <w:rsid w:val="009D00D9"/>
    <w:rsid w:val="009D161A"/>
    <w:rsid w:val="009D1693"/>
    <w:rsid w:val="009D1BCC"/>
    <w:rsid w:val="009D1C58"/>
    <w:rsid w:val="009D3D26"/>
    <w:rsid w:val="009D46C5"/>
    <w:rsid w:val="009D46D5"/>
    <w:rsid w:val="009D4AB7"/>
    <w:rsid w:val="009D5302"/>
    <w:rsid w:val="009D62F3"/>
    <w:rsid w:val="009D754F"/>
    <w:rsid w:val="009D7597"/>
    <w:rsid w:val="009E17ED"/>
    <w:rsid w:val="009E1896"/>
    <w:rsid w:val="009E1980"/>
    <w:rsid w:val="009E1ACC"/>
    <w:rsid w:val="009E1BBF"/>
    <w:rsid w:val="009E20B0"/>
    <w:rsid w:val="009E2833"/>
    <w:rsid w:val="009E2BB3"/>
    <w:rsid w:val="009E325E"/>
    <w:rsid w:val="009E3484"/>
    <w:rsid w:val="009E4348"/>
    <w:rsid w:val="009E569F"/>
    <w:rsid w:val="009E5FDA"/>
    <w:rsid w:val="009E646F"/>
    <w:rsid w:val="009E776E"/>
    <w:rsid w:val="009F04C6"/>
    <w:rsid w:val="009F0F54"/>
    <w:rsid w:val="009F11E8"/>
    <w:rsid w:val="009F1760"/>
    <w:rsid w:val="009F4396"/>
    <w:rsid w:val="009F5BAA"/>
    <w:rsid w:val="009F5D93"/>
    <w:rsid w:val="009F6514"/>
    <w:rsid w:val="009F6F14"/>
    <w:rsid w:val="009F7433"/>
    <w:rsid w:val="00A00F3C"/>
    <w:rsid w:val="00A0144A"/>
    <w:rsid w:val="00A01C19"/>
    <w:rsid w:val="00A02844"/>
    <w:rsid w:val="00A034F2"/>
    <w:rsid w:val="00A0370E"/>
    <w:rsid w:val="00A03E67"/>
    <w:rsid w:val="00A042CC"/>
    <w:rsid w:val="00A05071"/>
    <w:rsid w:val="00A06BF5"/>
    <w:rsid w:val="00A06E7C"/>
    <w:rsid w:val="00A07157"/>
    <w:rsid w:val="00A07318"/>
    <w:rsid w:val="00A076B8"/>
    <w:rsid w:val="00A07E9C"/>
    <w:rsid w:val="00A11066"/>
    <w:rsid w:val="00A1196D"/>
    <w:rsid w:val="00A11A36"/>
    <w:rsid w:val="00A11B5F"/>
    <w:rsid w:val="00A122F8"/>
    <w:rsid w:val="00A1243E"/>
    <w:rsid w:val="00A12914"/>
    <w:rsid w:val="00A12EEB"/>
    <w:rsid w:val="00A14173"/>
    <w:rsid w:val="00A167B8"/>
    <w:rsid w:val="00A17060"/>
    <w:rsid w:val="00A17ED7"/>
    <w:rsid w:val="00A2002A"/>
    <w:rsid w:val="00A20492"/>
    <w:rsid w:val="00A2185E"/>
    <w:rsid w:val="00A21919"/>
    <w:rsid w:val="00A21DE5"/>
    <w:rsid w:val="00A244E8"/>
    <w:rsid w:val="00A26381"/>
    <w:rsid w:val="00A2657F"/>
    <w:rsid w:val="00A306FC"/>
    <w:rsid w:val="00A31C08"/>
    <w:rsid w:val="00A32889"/>
    <w:rsid w:val="00A331C2"/>
    <w:rsid w:val="00A34948"/>
    <w:rsid w:val="00A35D48"/>
    <w:rsid w:val="00A363B2"/>
    <w:rsid w:val="00A36A40"/>
    <w:rsid w:val="00A36D42"/>
    <w:rsid w:val="00A414A1"/>
    <w:rsid w:val="00A41BC0"/>
    <w:rsid w:val="00A42893"/>
    <w:rsid w:val="00A42906"/>
    <w:rsid w:val="00A43E5D"/>
    <w:rsid w:val="00A44B4B"/>
    <w:rsid w:val="00A45490"/>
    <w:rsid w:val="00A455E7"/>
    <w:rsid w:val="00A46E6A"/>
    <w:rsid w:val="00A4723D"/>
    <w:rsid w:val="00A47250"/>
    <w:rsid w:val="00A50DE3"/>
    <w:rsid w:val="00A5180C"/>
    <w:rsid w:val="00A521EE"/>
    <w:rsid w:val="00A53511"/>
    <w:rsid w:val="00A5427C"/>
    <w:rsid w:val="00A55306"/>
    <w:rsid w:val="00A55801"/>
    <w:rsid w:val="00A57BBF"/>
    <w:rsid w:val="00A603C3"/>
    <w:rsid w:val="00A61267"/>
    <w:rsid w:val="00A63829"/>
    <w:rsid w:val="00A64250"/>
    <w:rsid w:val="00A64CAF"/>
    <w:rsid w:val="00A64FD8"/>
    <w:rsid w:val="00A6550F"/>
    <w:rsid w:val="00A6688F"/>
    <w:rsid w:val="00A67582"/>
    <w:rsid w:val="00A67C97"/>
    <w:rsid w:val="00A711F9"/>
    <w:rsid w:val="00A71783"/>
    <w:rsid w:val="00A719FE"/>
    <w:rsid w:val="00A74937"/>
    <w:rsid w:val="00A75B8E"/>
    <w:rsid w:val="00A763E0"/>
    <w:rsid w:val="00A77DD2"/>
    <w:rsid w:val="00A80111"/>
    <w:rsid w:val="00A81DF8"/>
    <w:rsid w:val="00A82ABC"/>
    <w:rsid w:val="00A82B55"/>
    <w:rsid w:val="00A82BF6"/>
    <w:rsid w:val="00A83F39"/>
    <w:rsid w:val="00A84210"/>
    <w:rsid w:val="00A853CC"/>
    <w:rsid w:val="00A85465"/>
    <w:rsid w:val="00A866AE"/>
    <w:rsid w:val="00A86933"/>
    <w:rsid w:val="00A878A5"/>
    <w:rsid w:val="00A879DD"/>
    <w:rsid w:val="00A87D38"/>
    <w:rsid w:val="00A92225"/>
    <w:rsid w:val="00A9381F"/>
    <w:rsid w:val="00A958D5"/>
    <w:rsid w:val="00A95B9A"/>
    <w:rsid w:val="00A95C76"/>
    <w:rsid w:val="00A95CB4"/>
    <w:rsid w:val="00A976E6"/>
    <w:rsid w:val="00AA00D8"/>
    <w:rsid w:val="00AA02DF"/>
    <w:rsid w:val="00AA20EC"/>
    <w:rsid w:val="00AA32DA"/>
    <w:rsid w:val="00AA35A8"/>
    <w:rsid w:val="00AA3C62"/>
    <w:rsid w:val="00AA45A4"/>
    <w:rsid w:val="00AA4712"/>
    <w:rsid w:val="00AA4FAB"/>
    <w:rsid w:val="00AA65F4"/>
    <w:rsid w:val="00AA7A71"/>
    <w:rsid w:val="00AB01B3"/>
    <w:rsid w:val="00AB1B2B"/>
    <w:rsid w:val="00AB3CC7"/>
    <w:rsid w:val="00AB43EE"/>
    <w:rsid w:val="00AB4F07"/>
    <w:rsid w:val="00AB5121"/>
    <w:rsid w:val="00AB51EA"/>
    <w:rsid w:val="00AB6822"/>
    <w:rsid w:val="00AB6F0C"/>
    <w:rsid w:val="00AB73F3"/>
    <w:rsid w:val="00AC1EC5"/>
    <w:rsid w:val="00AC2076"/>
    <w:rsid w:val="00AC4658"/>
    <w:rsid w:val="00AC4AC4"/>
    <w:rsid w:val="00AC4B01"/>
    <w:rsid w:val="00AC4BEE"/>
    <w:rsid w:val="00AC7F40"/>
    <w:rsid w:val="00AC7FDF"/>
    <w:rsid w:val="00AD0544"/>
    <w:rsid w:val="00AD061A"/>
    <w:rsid w:val="00AD1C15"/>
    <w:rsid w:val="00AD35F0"/>
    <w:rsid w:val="00AD5D92"/>
    <w:rsid w:val="00AD6B3C"/>
    <w:rsid w:val="00AE099A"/>
    <w:rsid w:val="00AE0D35"/>
    <w:rsid w:val="00AE0E91"/>
    <w:rsid w:val="00AE154F"/>
    <w:rsid w:val="00AE18E1"/>
    <w:rsid w:val="00AE1EE1"/>
    <w:rsid w:val="00AE207E"/>
    <w:rsid w:val="00AE2782"/>
    <w:rsid w:val="00AE2C20"/>
    <w:rsid w:val="00AE3DAE"/>
    <w:rsid w:val="00AE412E"/>
    <w:rsid w:val="00AE4248"/>
    <w:rsid w:val="00AE5E46"/>
    <w:rsid w:val="00AF05EC"/>
    <w:rsid w:val="00AF252E"/>
    <w:rsid w:val="00AF2AE0"/>
    <w:rsid w:val="00AF399D"/>
    <w:rsid w:val="00AF3D6B"/>
    <w:rsid w:val="00AF425A"/>
    <w:rsid w:val="00AF4917"/>
    <w:rsid w:val="00AF4DC9"/>
    <w:rsid w:val="00AF6292"/>
    <w:rsid w:val="00AF680F"/>
    <w:rsid w:val="00AF6DF0"/>
    <w:rsid w:val="00B00514"/>
    <w:rsid w:val="00B00575"/>
    <w:rsid w:val="00B00C04"/>
    <w:rsid w:val="00B01C2D"/>
    <w:rsid w:val="00B01FAF"/>
    <w:rsid w:val="00B02642"/>
    <w:rsid w:val="00B03E00"/>
    <w:rsid w:val="00B04260"/>
    <w:rsid w:val="00B04A4E"/>
    <w:rsid w:val="00B0511A"/>
    <w:rsid w:val="00B05D39"/>
    <w:rsid w:val="00B100BE"/>
    <w:rsid w:val="00B11254"/>
    <w:rsid w:val="00B11284"/>
    <w:rsid w:val="00B1149B"/>
    <w:rsid w:val="00B11CCB"/>
    <w:rsid w:val="00B11F80"/>
    <w:rsid w:val="00B13A6B"/>
    <w:rsid w:val="00B14FF9"/>
    <w:rsid w:val="00B15D9A"/>
    <w:rsid w:val="00B160F4"/>
    <w:rsid w:val="00B1673B"/>
    <w:rsid w:val="00B1684F"/>
    <w:rsid w:val="00B1722F"/>
    <w:rsid w:val="00B17CCB"/>
    <w:rsid w:val="00B207AC"/>
    <w:rsid w:val="00B20C9A"/>
    <w:rsid w:val="00B20D36"/>
    <w:rsid w:val="00B21512"/>
    <w:rsid w:val="00B21FA2"/>
    <w:rsid w:val="00B235FF"/>
    <w:rsid w:val="00B24486"/>
    <w:rsid w:val="00B24846"/>
    <w:rsid w:val="00B26963"/>
    <w:rsid w:val="00B26AA4"/>
    <w:rsid w:val="00B30BDA"/>
    <w:rsid w:val="00B30C98"/>
    <w:rsid w:val="00B31011"/>
    <w:rsid w:val="00B315F9"/>
    <w:rsid w:val="00B32AE8"/>
    <w:rsid w:val="00B3323A"/>
    <w:rsid w:val="00B34ECD"/>
    <w:rsid w:val="00B35DC5"/>
    <w:rsid w:val="00B36696"/>
    <w:rsid w:val="00B412B4"/>
    <w:rsid w:val="00B418D6"/>
    <w:rsid w:val="00B446F9"/>
    <w:rsid w:val="00B46ADF"/>
    <w:rsid w:val="00B500CB"/>
    <w:rsid w:val="00B50382"/>
    <w:rsid w:val="00B512A3"/>
    <w:rsid w:val="00B51F04"/>
    <w:rsid w:val="00B53331"/>
    <w:rsid w:val="00B54958"/>
    <w:rsid w:val="00B559B2"/>
    <w:rsid w:val="00B55A9B"/>
    <w:rsid w:val="00B55C3A"/>
    <w:rsid w:val="00B56321"/>
    <w:rsid w:val="00B565D4"/>
    <w:rsid w:val="00B56BAF"/>
    <w:rsid w:val="00B56D13"/>
    <w:rsid w:val="00B56D2F"/>
    <w:rsid w:val="00B56DA8"/>
    <w:rsid w:val="00B577D2"/>
    <w:rsid w:val="00B57BF8"/>
    <w:rsid w:val="00B60E51"/>
    <w:rsid w:val="00B61677"/>
    <w:rsid w:val="00B63F7F"/>
    <w:rsid w:val="00B6537F"/>
    <w:rsid w:val="00B65433"/>
    <w:rsid w:val="00B65A2F"/>
    <w:rsid w:val="00B65D0C"/>
    <w:rsid w:val="00B65DEE"/>
    <w:rsid w:val="00B673D7"/>
    <w:rsid w:val="00B71571"/>
    <w:rsid w:val="00B715B1"/>
    <w:rsid w:val="00B7446F"/>
    <w:rsid w:val="00B75C4F"/>
    <w:rsid w:val="00B7619E"/>
    <w:rsid w:val="00B77677"/>
    <w:rsid w:val="00B77BF3"/>
    <w:rsid w:val="00B81698"/>
    <w:rsid w:val="00B83257"/>
    <w:rsid w:val="00B8381D"/>
    <w:rsid w:val="00B84964"/>
    <w:rsid w:val="00B849F3"/>
    <w:rsid w:val="00B85F87"/>
    <w:rsid w:val="00B86B4C"/>
    <w:rsid w:val="00B901E2"/>
    <w:rsid w:val="00B9092D"/>
    <w:rsid w:val="00B91527"/>
    <w:rsid w:val="00B92470"/>
    <w:rsid w:val="00B92584"/>
    <w:rsid w:val="00B929D1"/>
    <w:rsid w:val="00B935F3"/>
    <w:rsid w:val="00B93AC6"/>
    <w:rsid w:val="00B94527"/>
    <w:rsid w:val="00B95349"/>
    <w:rsid w:val="00B955C0"/>
    <w:rsid w:val="00B95B9C"/>
    <w:rsid w:val="00B961E2"/>
    <w:rsid w:val="00B96D1A"/>
    <w:rsid w:val="00B97608"/>
    <w:rsid w:val="00BA0067"/>
    <w:rsid w:val="00BA0F9A"/>
    <w:rsid w:val="00BA15DE"/>
    <w:rsid w:val="00BA2179"/>
    <w:rsid w:val="00BA3220"/>
    <w:rsid w:val="00BA3ABA"/>
    <w:rsid w:val="00BA65AC"/>
    <w:rsid w:val="00BB2985"/>
    <w:rsid w:val="00BB4314"/>
    <w:rsid w:val="00BC0A20"/>
    <w:rsid w:val="00BC16DE"/>
    <w:rsid w:val="00BC21A0"/>
    <w:rsid w:val="00BC4EF3"/>
    <w:rsid w:val="00BC76F8"/>
    <w:rsid w:val="00BC77C0"/>
    <w:rsid w:val="00BD0B25"/>
    <w:rsid w:val="00BD0D0E"/>
    <w:rsid w:val="00BD234D"/>
    <w:rsid w:val="00BD2561"/>
    <w:rsid w:val="00BD2938"/>
    <w:rsid w:val="00BD4065"/>
    <w:rsid w:val="00BD5DCD"/>
    <w:rsid w:val="00BD616D"/>
    <w:rsid w:val="00BD6C4D"/>
    <w:rsid w:val="00BE0997"/>
    <w:rsid w:val="00BE1907"/>
    <w:rsid w:val="00BE1A97"/>
    <w:rsid w:val="00BE32D3"/>
    <w:rsid w:val="00BE3AF3"/>
    <w:rsid w:val="00BE43B2"/>
    <w:rsid w:val="00BE4408"/>
    <w:rsid w:val="00BE485B"/>
    <w:rsid w:val="00BE6A74"/>
    <w:rsid w:val="00BE7D08"/>
    <w:rsid w:val="00BF01E2"/>
    <w:rsid w:val="00BF0840"/>
    <w:rsid w:val="00BF0DFF"/>
    <w:rsid w:val="00BF22B8"/>
    <w:rsid w:val="00BF2603"/>
    <w:rsid w:val="00BF377F"/>
    <w:rsid w:val="00BF51CE"/>
    <w:rsid w:val="00BF5E37"/>
    <w:rsid w:val="00BF6541"/>
    <w:rsid w:val="00BF736D"/>
    <w:rsid w:val="00C01423"/>
    <w:rsid w:val="00C01A0D"/>
    <w:rsid w:val="00C028D9"/>
    <w:rsid w:val="00C036E4"/>
    <w:rsid w:val="00C038B8"/>
    <w:rsid w:val="00C03B35"/>
    <w:rsid w:val="00C04802"/>
    <w:rsid w:val="00C05ABC"/>
    <w:rsid w:val="00C06574"/>
    <w:rsid w:val="00C06F31"/>
    <w:rsid w:val="00C11EE9"/>
    <w:rsid w:val="00C12B8C"/>
    <w:rsid w:val="00C145E8"/>
    <w:rsid w:val="00C155D9"/>
    <w:rsid w:val="00C155E2"/>
    <w:rsid w:val="00C15958"/>
    <w:rsid w:val="00C2211D"/>
    <w:rsid w:val="00C22C9E"/>
    <w:rsid w:val="00C23192"/>
    <w:rsid w:val="00C2344F"/>
    <w:rsid w:val="00C245F9"/>
    <w:rsid w:val="00C246F2"/>
    <w:rsid w:val="00C258A1"/>
    <w:rsid w:val="00C262C9"/>
    <w:rsid w:val="00C26707"/>
    <w:rsid w:val="00C26CF9"/>
    <w:rsid w:val="00C27719"/>
    <w:rsid w:val="00C27877"/>
    <w:rsid w:val="00C31BCD"/>
    <w:rsid w:val="00C320EB"/>
    <w:rsid w:val="00C32799"/>
    <w:rsid w:val="00C32F7B"/>
    <w:rsid w:val="00C33845"/>
    <w:rsid w:val="00C34E6D"/>
    <w:rsid w:val="00C3513F"/>
    <w:rsid w:val="00C355AA"/>
    <w:rsid w:val="00C36223"/>
    <w:rsid w:val="00C40725"/>
    <w:rsid w:val="00C4207E"/>
    <w:rsid w:val="00C451A3"/>
    <w:rsid w:val="00C4577E"/>
    <w:rsid w:val="00C50C8F"/>
    <w:rsid w:val="00C50D41"/>
    <w:rsid w:val="00C51156"/>
    <w:rsid w:val="00C5198F"/>
    <w:rsid w:val="00C53FD7"/>
    <w:rsid w:val="00C55C61"/>
    <w:rsid w:val="00C57047"/>
    <w:rsid w:val="00C62357"/>
    <w:rsid w:val="00C62A02"/>
    <w:rsid w:val="00C64F44"/>
    <w:rsid w:val="00C650ED"/>
    <w:rsid w:val="00C65132"/>
    <w:rsid w:val="00C65F6A"/>
    <w:rsid w:val="00C66542"/>
    <w:rsid w:val="00C67F3E"/>
    <w:rsid w:val="00C70CD5"/>
    <w:rsid w:val="00C7194E"/>
    <w:rsid w:val="00C7216F"/>
    <w:rsid w:val="00C72570"/>
    <w:rsid w:val="00C730E4"/>
    <w:rsid w:val="00C73BB8"/>
    <w:rsid w:val="00C74CC5"/>
    <w:rsid w:val="00C755E9"/>
    <w:rsid w:val="00C76B48"/>
    <w:rsid w:val="00C76CC4"/>
    <w:rsid w:val="00C77815"/>
    <w:rsid w:val="00C81100"/>
    <w:rsid w:val="00C8111D"/>
    <w:rsid w:val="00C823C5"/>
    <w:rsid w:val="00C82CD1"/>
    <w:rsid w:val="00C82D42"/>
    <w:rsid w:val="00C8322A"/>
    <w:rsid w:val="00C83583"/>
    <w:rsid w:val="00C83ECC"/>
    <w:rsid w:val="00C84B12"/>
    <w:rsid w:val="00C85239"/>
    <w:rsid w:val="00C8539D"/>
    <w:rsid w:val="00C86365"/>
    <w:rsid w:val="00C869BC"/>
    <w:rsid w:val="00C86E57"/>
    <w:rsid w:val="00C8737E"/>
    <w:rsid w:val="00C87F96"/>
    <w:rsid w:val="00C90444"/>
    <w:rsid w:val="00C90641"/>
    <w:rsid w:val="00C922D1"/>
    <w:rsid w:val="00C9243B"/>
    <w:rsid w:val="00C927E7"/>
    <w:rsid w:val="00C944FE"/>
    <w:rsid w:val="00C95011"/>
    <w:rsid w:val="00C953C0"/>
    <w:rsid w:val="00C96E5A"/>
    <w:rsid w:val="00C97ACC"/>
    <w:rsid w:val="00CA056D"/>
    <w:rsid w:val="00CA11D0"/>
    <w:rsid w:val="00CA181F"/>
    <w:rsid w:val="00CA22C7"/>
    <w:rsid w:val="00CA26CB"/>
    <w:rsid w:val="00CA2A54"/>
    <w:rsid w:val="00CA3219"/>
    <w:rsid w:val="00CA519C"/>
    <w:rsid w:val="00CB01EB"/>
    <w:rsid w:val="00CB0CB9"/>
    <w:rsid w:val="00CB0DFA"/>
    <w:rsid w:val="00CB250C"/>
    <w:rsid w:val="00CB34D5"/>
    <w:rsid w:val="00CB352B"/>
    <w:rsid w:val="00CB4285"/>
    <w:rsid w:val="00CB6CB0"/>
    <w:rsid w:val="00CC06B8"/>
    <w:rsid w:val="00CC1252"/>
    <w:rsid w:val="00CC134C"/>
    <w:rsid w:val="00CC3358"/>
    <w:rsid w:val="00CC36F9"/>
    <w:rsid w:val="00CC38AC"/>
    <w:rsid w:val="00CC3E8F"/>
    <w:rsid w:val="00CD0BA2"/>
    <w:rsid w:val="00CD18DE"/>
    <w:rsid w:val="00CD27CC"/>
    <w:rsid w:val="00CD2E30"/>
    <w:rsid w:val="00CD515A"/>
    <w:rsid w:val="00CD55A2"/>
    <w:rsid w:val="00CD5B58"/>
    <w:rsid w:val="00CD6256"/>
    <w:rsid w:val="00CD643B"/>
    <w:rsid w:val="00CD7B7F"/>
    <w:rsid w:val="00CD7EA0"/>
    <w:rsid w:val="00CE0D42"/>
    <w:rsid w:val="00CE19D1"/>
    <w:rsid w:val="00CE23A8"/>
    <w:rsid w:val="00CE23EF"/>
    <w:rsid w:val="00CE4D16"/>
    <w:rsid w:val="00CE5D89"/>
    <w:rsid w:val="00CE6197"/>
    <w:rsid w:val="00CE6490"/>
    <w:rsid w:val="00CE6BEE"/>
    <w:rsid w:val="00CE702E"/>
    <w:rsid w:val="00CE7723"/>
    <w:rsid w:val="00CF088A"/>
    <w:rsid w:val="00CF1AEC"/>
    <w:rsid w:val="00CF38F2"/>
    <w:rsid w:val="00CF43ED"/>
    <w:rsid w:val="00CF5CD7"/>
    <w:rsid w:val="00CF79DF"/>
    <w:rsid w:val="00D00702"/>
    <w:rsid w:val="00D018FB"/>
    <w:rsid w:val="00D01E61"/>
    <w:rsid w:val="00D02296"/>
    <w:rsid w:val="00D02B99"/>
    <w:rsid w:val="00D0306C"/>
    <w:rsid w:val="00D034FA"/>
    <w:rsid w:val="00D04E23"/>
    <w:rsid w:val="00D04FFC"/>
    <w:rsid w:val="00D0576C"/>
    <w:rsid w:val="00D05957"/>
    <w:rsid w:val="00D06027"/>
    <w:rsid w:val="00D0717F"/>
    <w:rsid w:val="00D0751A"/>
    <w:rsid w:val="00D078F8"/>
    <w:rsid w:val="00D07D25"/>
    <w:rsid w:val="00D110F0"/>
    <w:rsid w:val="00D116BA"/>
    <w:rsid w:val="00D12852"/>
    <w:rsid w:val="00D13010"/>
    <w:rsid w:val="00D133F0"/>
    <w:rsid w:val="00D143ED"/>
    <w:rsid w:val="00D14C65"/>
    <w:rsid w:val="00D16C5A"/>
    <w:rsid w:val="00D16DAA"/>
    <w:rsid w:val="00D17E12"/>
    <w:rsid w:val="00D20F59"/>
    <w:rsid w:val="00D21B84"/>
    <w:rsid w:val="00D22983"/>
    <w:rsid w:val="00D25359"/>
    <w:rsid w:val="00D25E7D"/>
    <w:rsid w:val="00D261EA"/>
    <w:rsid w:val="00D268AB"/>
    <w:rsid w:val="00D26D6A"/>
    <w:rsid w:val="00D27732"/>
    <w:rsid w:val="00D27842"/>
    <w:rsid w:val="00D30628"/>
    <w:rsid w:val="00D30CEE"/>
    <w:rsid w:val="00D31D6C"/>
    <w:rsid w:val="00D32B3D"/>
    <w:rsid w:val="00D33C8D"/>
    <w:rsid w:val="00D34D49"/>
    <w:rsid w:val="00D37148"/>
    <w:rsid w:val="00D37A00"/>
    <w:rsid w:val="00D40860"/>
    <w:rsid w:val="00D426E5"/>
    <w:rsid w:val="00D4280D"/>
    <w:rsid w:val="00D42B76"/>
    <w:rsid w:val="00D43787"/>
    <w:rsid w:val="00D447D8"/>
    <w:rsid w:val="00D447FF"/>
    <w:rsid w:val="00D45006"/>
    <w:rsid w:val="00D450B5"/>
    <w:rsid w:val="00D45623"/>
    <w:rsid w:val="00D45651"/>
    <w:rsid w:val="00D45942"/>
    <w:rsid w:val="00D45968"/>
    <w:rsid w:val="00D468AF"/>
    <w:rsid w:val="00D46E3D"/>
    <w:rsid w:val="00D470FA"/>
    <w:rsid w:val="00D47F57"/>
    <w:rsid w:val="00D50983"/>
    <w:rsid w:val="00D52347"/>
    <w:rsid w:val="00D52F9C"/>
    <w:rsid w:val="00D53B35"/>
    <w:rsid w:val="00D54FCE"/>
    <w:rsid w:val="00D5648F"/>
    <w:rsid w:val="00D56D45"/>
    <w:rsid w:val="00D56E3B"/>
    <w:rsid w:val="00D5787E"/>
    <w:rsid w:val="00D57CC2"/>
    <w:rsid w:val="00D616EC"/>
    <w:rsid w:val="00D625B8"/>
    <w:rsid w:val="00D648BA"/>
    <w:rsid w:val="00D64C7A"/>
    <w:rsid w:val="00D65C02"/>
    <w:rsid w:val="00D66440"/>
    <w:rsid w:val="00D66709"/>
    <w:rsid w:val="00D66A4D"/>
    <w:rsid w:val="00D724C4"/>
    <w:rsid w:val="00D724E1"/>
    <w:rsid w:val="00D7392C"/>
    <w:rsid w:val="00D75E61"/>
    <w:rsid w:val="00D762E6"/>
    <w:rsid w:val="00D76A95"/>
    <w:rsid w:val="00D801E1"/>
    <w:rsid w:val="00D80B56"/>
    <w:rsid w:val="00D82515"/>
    <w:rsid w:val="00D82682"/>
    <w:rsid w:val="00D82E21"/>
    <w:rsid w:val="00D840E2"/>
    <w:rsid w:val="00D846FE"/>
    <w:rsid w:val="00D856B8"/>
    <w:rsid w:val="00D860CB"/>
    <w:rsid w:val="00D87C68"/>
    <w:rsid w:val="00D92783"/>
    <w:rsid w:val="00D92B70"/>
    <w:rsid w:val="00D92D3B"/>
    <w:rsid w:val="00D9456A"/>
    <w:rsid w:val="00D94B4E"/>
    <w:rsid w:val="00D94DBD"/>
    <w:rsid w:val="00DA00BB"/>
    <w:rsid w:val="00DA38F9"/>
    <w:rsid w:val="00DA3BAE"/>
    <w:rsid w:val="00DA776D"/>
    <w:rsid w:val="00DA7AAB"/>
    <w:rsid w:val="00DA7F99"/>
    <w:rsid w:val="00DB0815"/>
    <w:rsid w:val="00DB0C6F"/>
    <w:rsid w:val="00DB1859"/>
    <w:rsid w:val="00DB34DF"/>
    <w:rsid w:val="00DB3ABE"/>
    <w:rsid w:val="00DB4919"/>
    <w:rsid w:val="00DB6676"/>
    <w:rsid w:val="00DC2170"/>
    <w:rsid w:val="00DC2ABE"/>
    <w:rsid w:val="00DC4F24"/>
    <w:rsid w:val="00DC59DE"/>
    <w:rsid w:val="00DC7217"/>
    <w:rsid w:val="00DC79BB"/>
    <w:rsid w:val="00DD0E2F"/>
    <w:rsid w:val="00DD11EB"/>
    <w:rsid w:val="00DD1B8B"/>
    <w:rsid w:val="00DD1F32"/>
    <w:rsid w:val="00DD23D6"/>
    <w:rsid w:val="00DD2D5F"/>
    <w:rsid w:val="00DD4855"/>
    <w:rsid w:val="00DD5378"/>
    <w:rsid w:val="00DD75C4"/>
    <w:rsid w:val="00DE10B9"/>
    <w:rsid w:val="00DE1FBA"/>
    <w:rsid w:val="00DE4550"/>
    <w:rsid w:val="00DE55DE"/>
    <w:rsid w:val="00DE5968"/>
    <w:rsid w:val="00DE5A73"/>
    <w:rsid w:val="00DE6A2A"/>
    <w:rsid w:val="00DE7C05"/>
    <w:rsid w:val="00DF1190"/>
    <w:rsid w:val="00DF1227"/>
    <w:rsid w:val="00DF131F"/>
    <w:rsid w:val="00DF2217"/>
    <w:rsid w:val="00DF2C98"/>
    <w:rsid w:val="00DF3C3F"/>
    <w:rsid w:val="00DF73A5"/>
    <w:rsid w:val="00DF77FD"/>
    <w:rsid w:val="00DF7AB6"/>
    <w:rsid w:val="00E00015"/>
    <w:rsid w:val="00E00198"/>
    <w:rsid w:val="00E00DCA"/>
    <w:rsid w:val="00E01C4F"/>
    <w:rsid w:val="00E033B7"/>
    <w:rsid w:val="00E038DB"/>
    <w:rsid w:val="00E03BB5"/>
    <w:rsid w:val="00E04FFB"/>
    <w:rsid w:val="00E05E4D"/>
    <w:rsid w:val="00E05EEE"/>
    <w:rsid w:val="00E065DD"/>
    <w:rsid w:val="00E075A8"/>
    <w:rsid w:val="00E07D5A"/>
    <w:rsid w:val="00E105EE"/>
    <w:rsid w:val="00E10D91"/>
    <w:rsid w:val="00E11491"/>
    <w:rsid w:val="00E11FCA"/>
    <w:rsid w:val="00E134FC"/>
    <w:rsid w:val="00E1436B"/>
    <w:rsid w:val="00E14B24"/>
    <w:rsid w:val="00E14F22"/>
    <w:rsid w:val="00E151BD"/>
    <w:rsid w:val="00E166F8"/>
    <w:rsid w:val="00E16F52"/>
    <w:rsid w:val="00E170FA"/>
    <w:rsid w:val="00E2020E"/>
    <w:rsid w:val="00E20BBE"/>
    <w:rsid w:val="00E20D15"/>
    <w:rsid w:val="00E25A13"/>
    <w:rsid w:val="00E26F75"/>
    <w:rsid w:val="00E3036B"/>
    <w:rsid w:val="00E3064C"/>
    <w:rsid w:val="00E31FA0"/>
    <w:rsid w:val="00E32CBA"/>
    <w:rsid w:val="00E33007"/>
    <w:rsid w:val="00E330A9"/>
    <w:rsid w:val="00E34483"/>
    <w:rsid w:val="00E3456D"/>
    <w:rsid w:val="00E35FB8"/>
    <w:rsid w:val="00E406B2"/>
    <w:rsid w:val="00E4190D"/>
    <w:rsid w:val="00E429A6"/>
    <w:rsid w:val="00E44987"/>
    <w:rsid w:val="00E44EB9"/>
    <w:rsid w:val="00E44F34"/>
    <w:rsid w:val="00E45859"/>
    <w:rsid w:val="00E47666"/>
    <w:rsid w:val="00E47A2E"/>
    <w:rsid w:val="00E47B16"/>
    <w:rsid w:val="00E47C2B"/>
    <w:rsid w:val="00E47D66"/>
    <w:rsid w:val="00E504E9"/>
    <w:rsid w:val="00E507A9"/>
    <w:rsid w:val="00E5253D"/>
    <w:rsid w:val="00E52A30"/>
    <w:rsid w:val="00E53860"/>
    <w:rsid w:val="00E53ACA"/>
    <w:rsid w:val="00E54E23"/>
    <w:rsid w:val="00E554E7"/>
    <w:rsid w:val="00E5558C"/>
    <w:rsid w:val="00E55D0A"/>
    <w:rsid w:val="00E5688C"/>
    <w:rsid w:val="00E57C72"/>
    <w:rsid w:val="00E60AAF"/>
    <w:rsid w:val="00E60AEE"/>
    <w:rsid w:val="00E6547E"/>
    <w:rsid w:val="00E65AAE"/>
    <w:rsid w:val="00E65E36"/>
    <w:rsid w:val="00E669A1"/>
    <w:rsid w:val="00E67625"/>
    <w:rsid w:val="00E700D9"/>
    <w:rsid w:val="00E75FF6"/>
    <w:rsid w:val="00E77A6F"/>
    <w:rsid w:val="00E82CFC"/>
    <w:rsid w:val="00E8390A"/>
    <w:rsid w:val="00E83A3B"/>
    <w:rsid w:val="00E8425C"/>
    <w:rsid w:val="00E860EB"/>
    <w:rsid w:val="00E901D7"/>
    <w:rsid w:val="00E90BD0"/>
    <w:rsid w:val="00E914E7"/>
    <w:rsid w:val="00E9172D"/>
    <w:rsid w:val="00E91BD8"/>
    <w:rsid w:val="00E922BE"/>
    <w:rsid w:val="00E9258D"/>
    <w:rsid w:val="00E9268E"/>
    <w:rsid w:val="00E92B00"/>
    <w:rsid w:val="00E9368B"/>
    <w:rsid w:val="00E94D9A"/>
    <w:rsid w:val="00E951CA"/>
    <w:rsid w:val="00E9538A"/>
    <w:rsid w:val="00E953FA"/>
    <w:rsid w:val="00E97913"/>
    <w:rsid w:val="00E97D0F"/>
    <w:rsid w:val="00E97E28"/>
    <w:rsid w:val="00EA0603"/>
    <w:rsid w:val="00EA3564"/>
    <w:rsid w:val="00EA393B"/>
    <w:rsid w:val="00EA484D"/>
    <w:rsid w:val="00EA4A96"/>
    <w:rsid w:val="00EA6A4A"/>
    <w:rsid w:val="00EB1A14"/>
    <w:rsid w:val="00EB1C95"/>
    <w:rsid w:val="00EB3B0A"/>
    <w:rsid w:val="00EB3DAC"/>
    <w:rsid w:val="00EB4081"/>
    <w:rsid w:val="00EB4093"/>
    <w:rsid w:val="00EB46F3"/>
    <w:rsid w:val="00EB4958"/>
    <w:rsid w:val="00EB59F3"/>
    <w:rsid w:val="00EB784C"/>
    <w:rsid w:val="00EC1371"/>
    <w:rsid w:val="00EC2445"/>
    <w:rsid w:val="00EC33B2"/>
    <w:rsid w:val="00EC3796"/>
    <w:rsid w:val="00EC41A4"/>
    <w:rsid w:val="00EC45E1"/>
    <w:rsid w:val="00EC5D78"/>
    <w:rsid w:val="00EC6563"/>
    <w:rsid w:val="00EC6EF6"/>
    <w:rsid w:val="00EC7294"/>
    <w:rsid w:val="00EC7555"/>
    <w:rsid w:val="00EC7728"/>
    <w:rsid w:val="00ED0109"/>
    <w:rsid w:val="00ED0680"/>
    <w:rsid w:val="00ED10A6"/>
    <w:rsid w:val="00ED27B9"/>
    <w:rsid w:val="00ED2905"/>
    <w:rsid w:val="00ED328C"/>
    <w:rsid w:val="00ED3D65"/>
    <w:rsid w:val="00ED4017"/>
    <w:rsid w:val="00ED7083"/>
    <w:rsid w:val="00ED7814"/>
    <w:rsid w:val="00ED7E7A"/>
    <w:rsid w:val="00ED7E9F"/>
    <w:rsid w:val="00EE0D8C"/>
    <w:rsid w:val="00EE149D"/>
    <w:rsid w:val="00EE172B"/>
    <w:rsid w:val="00EE3E53"/>
    <w:rsid w:val="00EE3EDC"/>
    <w:rsid w:val="00EE3F56"/>
    <w:rsid w:val="00EE4BB2"/>
    <w:rsid w:val="00EE560A"/>
    <w:rsid w:val="00EE5D7C"/>
    <w:rsid w:val="00EE6084"/>
    <w:rsid w:val="00EE6B47"/>
    <w:rsid w:val="00EE733B"/>
    <w:rsid w:val="00EE7B6D"/>
    <w:rsid w:val="00EF13A5"/>
    <w:rsid w:val="00EF1724"/>
    <w:rsid w:val="00EF1AA9"/>
    <w:rsid w:val="00EF1B4E"/>
    <w:rsid w:val="00EF1CC2"/>
    <w:rsid w:val="00EF2802"/>
    <w:rsid w:val="00EF3963"/>
    <w:rsid w:val="00EF5079"/>
    <w:rsid w:val="00EF6C71"/>
    <w:rsid w:val="00EF6E78"/>
    <w:rsid w:val="00EF77BA"/>
    <w:rsid w:val="00EF7A77"/>
    <w:rsid w:val="00EF7DE3"/>
    <w:rsid w:val="00F006C9"/>
    <w:rsid w:val="00F00A6D"/>
    <w:rsid w:val="00F013E5"/>
    <w:rsid w:val="00F01483"/>
    <w:rsid w:val="00F02537"/>
    <w:rsid w:val="00F02F54"/>
    <w:rsid w:val="00F03638"/>
    <w:rsid w:val="00F039ED"/>
    <w:rsid w:val="00F03F16"/>
    <w:rsid w:val="00F0435B"/>
    <w:rsid w:val="00F048DC"/>
    <w:rsid w:val="00F0620D"/>
    <w:rsid w:val="00F071B7"/>
    <w:rsid w:val="00F077E4"/>
    <w:rsid w:val="00F07ECC"/>
    <w:rsid w:val="00F10116"/>
    <w:rsid w:val="00F11B23"/>
    <w:rsid w:val="00F123CE"/>
    <w:rsid w:val="00F1344F"/>
    <w:rsid w:val="00F13850"/>
    <w:rsid w:val="00F13A34"/>
    <w:rsid w:val="00F14688"/>
    <w:rsid w:val="00F146CB"/>
    <w:rsid w:val="00F149E9"/>
    <w:rsid w:val="00F14B1E"/>
    <w:rsid w:val="00F1574B"/>
    <w:rsid w:val="00F15D92"/>
    <w:rsid w:val="00F20BE6"/>
    <w:rsid w:val="00F220EF"/>
    <w:rsid w:val="00F2298C"/>
    <w:rsid w:val="00F24CF2"/>
    <w:rsid w:val="00F25235"/>
    <w:rsid w:val="00F254F6"/>
    <w:rsid w:val="00F27459"/>
    <w:rsid w:val="00F3022D"/>
    <w:rsid w:val="00F30708"/>
    <w:rsid w:val="00F31B3B"/>
    <w:rsid w:val="00F31E35"/>
    <w:rsid w:val="00F3228A"/>
    <w:rsid w:val="00F32EBA"/>
    <w:rsid w:val="00F332B0"/>
    <w:rsid w:val="00F3395E"/>
    <w:rsid w:val="00F33A72"/>
    <w:rsid w:val="00F33D3F"/>
    <w:rsid w:val="00F3415D"/>
    <w:rsid w:val="00F3592A"/>
    <w:rsid w:val="00F363F1"/>
    <w:rsid w:val="00F37256"/>
    <w:rsid w:val="00F40131"/>
    <w:rsid w:val="00F43DFC"/>
    <w:rsid w:val="00F45E5A"/>
    <w:rsid w:val="00F4695D"/>
    <w:rsid w:val="00F50172"/>
    <w:rsid w:val="00F54740"/>
    <w:rsid w:val="00F565D0"/>
    <w:rsid w:val="00F57A3E"/>
    <w:rsid w:val="00F62899"/>
    <w:rsid w:val="00F637A9"/>
    <w:rsid w:val="00F63A4A"/>
    <w:rsid w:val="00F63E31"/>
    <w:rsid w:val="00F645AE"/>
    <w:rsid w:val="00F64B91"/>
    <w:rsid w:val="00F654A6"/>
    <w:rsid w:val="00F67065"/>
    <w:rsid w:val="00F67D00"/>
    <w:rsid w:val="00F67D2C"/>
    <w:rsid w:val="00F70011"/>
    <w:rsid w:val="00F714FD"/>
    <w:rsid w:val="00F720FA"/>
    <w:rsid w:val="00F733B2"/>
    <w:rsid w:val="00F744F3"/>
    <w:rsid w:val="00F75DF6"/>
    <w:rsid w:val="00F772EA"/>
    <w:rsid w:val="00F77698"/>
    <w:rsid w:val="00F805A6"/>
    <w:rsid w:val="00F83BC2"/>
    <w:rsid w:val="00F83CBF"/>
    <w:rsid w:val="00F84ED2"/>
    <w:rsid w:val="00F86B74"/>
    <w:rsid w:val="00F87223"/>
    <w:rsid w:val="00F87AC1"/>
    <w:rsid w:val="00F90290"/>
    <w:rsid w:val="00F915B8"/>
    <w:rsid w:val="00F91B3B"/>
    <w:rsid w:val="00F94EC0"/>
    <w:rsid w:val="00F95610"/>
    <w:rsid w:val="00F96012"/>
    <w:rsid w:val="00F976C6"/>
    <w:rsid w:val="00FA0C52"/>
    <w:rsid w:val="00FA10BB"/>
    <w:rsid w:val="00FA1CFB"/>
    <w:rsid w:val="00FA215D"/>
    <w:rsid w:val="00FA2451"/>
    <w:rsid w:val="00FA2726"/>
    <w:rsid w:val="00FA3FB9"/>
    <w:rsid w:val="00FA457D"/>
    <w:rsid w:val="00FA631F"/>
    <w:rsid w:val="00FA6E33"/>
    <w:rsid w:val="00FA72B1"/>
    <w:rsid w:val="00FB0CC4"/>
    <w:rsid w:val="00FB1548"/>
    <w:rsid w:val="00FB2CCF"/>
    <w:rsid w:val="00FB4DF7"/>
    <w:rsid w:val="00FB556F"/>
    <w:rsid w:val="00FB6BD2"/>
    <w:rsid w:val="00FB7432"/>
    <w:rsid w:val="00FC00AE"/>
    <w:rsid w:val="00FC1AA5"/>
    <w:rsid w:val="00FC3281"/>
    <w:rsid w:val="00FC3FD5"/>
    <w:rsid w:val="00FC416A"/>
    <w:rsid w:val="00FC479C"/>
    <w:rsid w:val="00FC564B"/>
    <w:rsid w:val="00FC6583"/>
    <w:rsid w:val="00FC6E57"/>
    <w:rsid w:val="00FC7151"/>
    <w:rsid w:val="00FC7919"/>
    <w:rsid w:val="00FD0560"/>
    <w:rsid w:val="00FD0A26"/>
    <w:rsid w:val="00FD0C02"/>
    <w:rsid w:val="00FD1FCF"/>
    <w:rsid w:val="00FD282F"/>
    <w:rsid w:val="00FD2992"/>
    <w:rsid w:val="00FD29BB"/>
    <w:rsid w:val="00FD35D0"/>
    <w:rsid w:val="00FD4867"/>
    <w:rsid w:val="00FD4CB3"/>
    <w:rsid w:val="00FD5855"/>
    <w:rsid w:val="00FD6651"/>
    <w:rsid w:val="00FD6EAA"/>
    <w:rsid w:val="00FD6FA4"/>
    <w:rsid w:val="00FD79D2"/>
    <w:rsid w:val="00FE0ABB"/>
    <w:rsid w:val="00FE141F"/>
    <w:rsid w:val="00FE20F0"/>
    <w:rsid w:val="00FE7911"/>
    <w:rsid w:val="00FE7C1C"/>
    <w:rsid w:val="00FE7C53"/>
    <w:rsid w:val="00FF1735"/>
    <w:rsid w:val="00FF31C9"/>
    <w:rsid w:val="00FF3D51"/>
    <w:rsid w:val="00FF547D"/>
    <w:rsid w:val="00FF54DA"/>
    <w:rsid w:val="00FF5A48"/>
    <w:rsid w:val="00FF5DB9"/>
    <w:rsid w:val="00FF663F"/>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docId w15:val="{EB63F7D5-A960-455F-9C24-05CD639F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 w:type="character" w:styleId="Hyperlink">
    <w:name w:val="Hyperlink"/>
    <w:basedOn w:val="DefaultParagraphFont"/>
    <w:uiPriority w:val="99"/>
    <w:unhideWhenUsed/>
    <w:rsid w:val="005A7398"/>
    <w:rPr>
      <w:color w:val="0563C1" w:themeColor="hyperlink"/>
      <w:u w:val="single"/>
    </w:rPr>
  </w:style>
  <w:style w:type="character" w:customStyle="1" w:styleId="UnresolvedMention">
    <w:name w:val="Unresolved Mention"/>
    <w:basedOn w:val="DefaultParagraphFont"/>
    <w:uiPriority w:val="99"/>
    <w:semiHidden/>
    <w:unhideWhenUsed/>
    <w:rsid w:val="005A7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050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rn.com/abstract=1926885" TargetMode="External"/><Relationship Id="rId1" Type="http://schemas.openxmlformats.org/officeDocument/2006/relationships/hyperlink" Target="http://ssrn.com/abstract=19268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84204-61D0-4476-8908-76107E61E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3750</Words>
  <Characters>21377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Mary Bruce</cp:lastModifiedBy>
  <cp:revision>3</cp:revision>
  <cp:lastPrinted>2024-03-15T07:28:00Z</cp:lastPrinted>
  <dcterms:created xsi:type="dcterms:W3CDTF">2024-03-25T06:29:00Z</dcterms:created>
  <dcterms:modified xsi:type="dcterms:W3CDTF">2024-03-26T16:53:00Z</dcterms:modified>
</cp:coreProperties>
</file>