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E2E9E" w14:textId="77777777" w:rsidR="008C76A2" w:rsidRPr="00137E42" w:rsidRDefault="008C76A2" w:rsidP="008C76A2">
      <w:pPr>
        <w:ind w:right="95"/>
        <w:jc w:val="center"/>
        <w:rPr>
          <w:rFonts w:ascii="Arial" w:hAnsi="Arial" w:cs="Arial"/>
          <w:b/>
          <w:sz w:val="24"/>
          <w:szCs w:val="24"/>
        </w:rPr>
      </w:pPr>
      <w:r w:rsidRPr="00137E42">
        <w:rPr>
          <w:rFonts w:ascii="Arial" w:hAnsi="Arial" w:cs="Arial"/>
          <w:b/>
          <w:noProof/>
          <w:sz w:val="24"/>
          <w:szCs w:val="24"/>
          <w:lang w:val="en-US"/>
        </w:rPr>
        <w:drawing>
          <wp:inline distT="0" distB="0" distL="0" distR="0" wp14:anchorId="3B0BE45E" wp14:editId="5244AE2F">
            <wp:extent cx="1987550" cy="165227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p>
    <w:p w14:paraId="191F6CBF" w14:textId="77777777" w:rsidR="008C76A2" w:rsidRPr="00137E42" w:rsidRDefault="008C76A2" w:rsidP="008C76A2">
      <w:pPr>
        <w:ind w:right="-613"/>
        <w:rPr>
          <w:rFonts w:ascii="Arial" w:hAnsi="Arial" w:cs="Arial"/>
          <w:b/>
          <w:sz w:val="24"/>
          <w:szCs w:val="24"/>
        </w:rPr>
      </w:pPr>
    </w:p>
    <w:p w14:paraId="659B8CEA" w14:textId="77777777" w:rsidR="008C76A2" w:rsidRPr="00137E42" w:rsidRDefault="008C76A2" w:rsidP="008C76A2">
      <w:pPr>
        <w:ind w:right="95"/>
        <w:jc w:val="center"/>
        <w:rPr>
          <w:rFonts w:ascii="Arial" w:hAnsi="Arial" w:cs="Arial"/>
          <w:b/>
          <w:sz w:val="24"/>
          <w:szCs w:val="24"/>
        </w:rPr>
      </w:pPr>
      <w:r w:rsidRPr="00137E42">
        <w:rPr>
          <w:rFonts w:ascii="Arial" w:hAnsi="Arial" w:cs="Arial"/>
          <w:b/>
          <w:sz w:val="24"/>
          <w:szCs w:val="24"/>
        </w:rPr>
        <w:t>IN THE HIGH COURT OF SOUTH AFRICA</w:t>
      </w:r>
    </w:p>
    <w:p w14:paraId="1B79C952" w14:textId="724F56D8" w:rsidR="008C76A2" w:rsidRPr="00137E42" w:rsidRDefault="008C76A2" w:rsidP="008C76A2">
      <w:pPr>
        <w:spacing w:line="600" w:lineRule="auto"/>
        <w:ind w:right="95"/>
        <w:jc w:val="center"/>
        <w:rPr>
          <w:rFonts w:ascii="Arial" w:hAnsi="Arial" w:cs="Arial"/>
          <w:b/>
          <w:sz w:val="24"/>
          <w:szCs w:val="24"/>
        </w:rPr>
      </w:pPr>
      <w:r w:rsidRPr="00137E42">
        <w:rPr>
          <w:rFonts w:ascii="Arial" w:hAnsi="Arial" w:cs="Arial"/>
          <w:b/>
          <w:sz w:val="24"/>
          <w:szCs w:val="24"/>
        </w:rPr>
        <w:t>(EASTERN CAPE DIVISION, MTHATHA)</w:t>
      </w:r>
    </w:p>
    <w:p w14:paraId="2A2D203D" w14:textId="77777777" w:rsidR="008C76A2" w:rsidRPr="00137E42" w:rsidRDefault="008C76A2" w:rsidP="008C76A2">
      <w:pPr>
        <w:jc w:val="right"/>
        <w:rPr>
          <w:rFonts w:ascii="Arial" w:hAnsi="Arial" w:cs="Arial"/>
          <w:b/>
          <w:sz w:val="24"/>
          <w:szCs w:val="24"/>
        </w:rPr>
      </w:pPr>
      <w:r w:rsidRPr="00137E42">
        <w:rPr>
          <w:rFonts w:ascii="Arial" w:hAnsi="Arial" w:cs="Arial"/>
          <w:b/>
          <w:sz w:val="24"/>
          <w:szCs w:val="24"/>
        </w:rPr>
        <w:tab/>
      </w:r>
      <w:r w:rsidRPr="00137E42">
        <w:rPr>
          <w:rFonts w:ascii="Arial" w:hAnsi="Arial" w:cs="Arial"/>
          <w:b/>
          <w:sz w:val="24"/>
          <w:szCs w:val="24"/>
        </w:rPr>
        <w:tab/>
      </w:r>
      <w:r w:rsidRPr="00137E42">
        <w:rPr>
          <w:rFonts w:ascii="Arial" w:hAnsi="Arial" w:cs="Arial"/>
          <w:b/>
          <w:sz w:val="24"/>
          <w:szCs w:val="24"/>
        </w:rPr>
        <w:tab/>
      </w:r>
      <w:r w:rsidRPr="00137E42">
        <w:rPr>
          <w:rFonts w:ascii="Arial" w:hAnsi="Arial" w:cs="Arial"/>
          <w:b/>
          <w:sz w:val="24"/>
          <w:szCs w:val="24"/>
        </w:rPr>
        <w:tab/>
      </w:r>
      <w:r w:rsidRPr="00137E42">
        <w:rPr>
          <w:rFonts w:ascii="Arial" w:hAnsi="Arial" w:cs="Arial"/>
          <w:b/>
          <w:sz w:val="24"/>
          <w:szCs w:val="24"/>
        </w:rPr>
        <w:tab/>
      </w:r>
      <w:r w:rsidRPr="00137E42">
        <w:rPr>
          <w:rFonts w:ascii="Arial" w:hAnsi="Arial" w:cs="Arial"/>
          <w:b/>
          <w:sz w:val="24"/>
          <w:szCs w:val="24"/>
        </w:rPr>
        <w:tab/>
      </w:r>
    </w:p>
    <w:p w14:paraId="203A88A6" w14:textId="49DC14EC" w:rsidR="008C76A2" w:rsidRPr="00137E42" w:rsidRDefault="008C76A2" w:rsidP="008C76A2">
      <w:pPr>
        <w:spacing w:after="0" w:line="360" w:lineRule="auto"/>
        <w:jc w:val="both"/>
        <w:rPr>
          <w:rFonts w:ascii="Arial" w:hAnsi="Arial" w:cs="Arial"/>
          <w:sz w:val="24"/>
          <w:szCs w:val="24"/>
        </w:rPr>
      </w:pPr>
      <w:r w:rsidRPr="00137E42">
        <w:rPr>
          <w:rFonts w:ascii="Arial" w:hAnsi="Arial" w:cs="Arial"/>
          <w:sz w:val="24"/>
          <w:szCs w:val="24"/>
        </w:rPr>
        <w:tab/>
      </w:r>
      <w:r w:rsidRPr="00137E42">
        <w:rPr>
          <w:rFonts w:ascii="Arial" w:hAnsi="Arial" w:cs="Arial"/>
          <w:sz w:val="24"/>
          <w:szCs w:val="24"/>
        </w:rPr>
        <w:tab/>
      </w:r>
      <w:r w:rsidRPr="00137E42">
        <w:rPr>
          <w:rFonts w:ascii="Arial" w:hAnsi="Arial" w:cs="Arial"/>
          <w:sz w:val="24"/>
          <w:szCs w:val="24"/>
        </w:rPr>
        <w:tab/>
      </w:r>
      <w:r w:rsidRPr="00137E42">
        <w:rPr>
          <w:rFonts w:ascii="Arial" w:hAnsi="Arial" w:cs="Arial"/>
          <w:sz w:val="24"/>
          <w:szCs w:val="24"/>
        </w:rPr>
        <w:tab/>
      </w:r>
      <w:r w:rsidRPr="00137E42">
        <w:rPr>
          <w:rFonts w:ascii="Arial" w:hAnsi="Arial" w:cs="Arial"/>
          <w:sz w:val="24"/>
          <w:szCs w:val="24"/>
        </w:rPr>
        <w:tab/>
      </w:r>
      <w:r w:rsidRPr="00137E42">
        <w:rPr>
          <w:rFonts w:ascii="Arial" w:hAnsi="Arial" w:cs="Arial"/>
          <w:sz w:val="24"/>
          <w:szCs w:val="24"/>
        </w:rPr>
        <w:tab/>
        <w:t xml:space="preserve">          </w:t>
      </w:r>
      <w:r w:rsidRPr="00137E42">
        <w:rPr>
          <w:rFonts w:ascii="Arial" w:hAnsi="Arial" w:cs="Arial"/>
          <w:sz w:val="24"/>
          <w:szCs w:val="24"/>
        </w:rPr>
        <w:tab/>
      </w:r>
      <w:r w:rsidRPr="00137E42">
        <w:rPr>
          <w:rFonts w:ascii="Arial" w:hAnsi="Arial" w:cs="Arial"/>
          <w:sz w:val="24"/>
          <w:szCs w:val="24"/>
        </w:rPr>
        <w:tab/>
        <w:t xml:space="preserve">                Case No: 1481/2020</w:t>
      </w:r>
    </w:p>
    <w:p w14:paraId="0098FC89" w14:textId="77777777" w:rsidR="008C76A2" w:rsidRPr="00137E42" w:rsidRDefault="008C76A2" w:rsidP="008C76A2">
      <w:pPr>
        <w:spacing w:after="0" w:line="360" w:lineRule="auto"/>
        <w:jc w:val="both"/>
        <w:rPr>
          <w:rFonts w:ascii="Arial" w:hAnsi="Arial" w:cs="Arial"/>
          <w:sz w:val="24"/>
          <w:szCs w:val="24"/>
        </w:rPr>
      </w:pPr>
      <w:r w:rsidRPr="00137E42">
        <w:rPr>
          <w:rFonts w:ascii="Arial" w:hAnsi="Arial" w:cs="Arial"/>
          <w:sz w:val="24"/>
          <w:szCs w:val="24"/>
        </w:rPr>
        <w:t>In the matter between:</w:t>
      </w:r>
    </w:p>
    <w:p w14:paraId="081CB80A" w14:textId="77777777" w:rsidR="008C76A2" w:rsidRPr="00137E42" w:rsidRDefault="008C76A2" w:rsidP="008C76A2">
      <w:pPr>
        <w:spacing w:after="0" w:line="360" w:lineRule="auto"/>
        <w:jc w:val="both"/>
        <w:rPr>
          <w:rFonts w:ascii="Arial" w:hAnsi="Arial" w:cs="Arial"/>
          <w:b/>
          <w:bCs/>
          <w:sz w:val="24"/>
          <w:szCs w:val="24"/>
        </w:rPr>
      </w:pPr>
    </w:p>
    <w:p w14:paraId="50CD07D0" w14:textId="071F3928" w:rsidR="008C76A2" w:rsidRPr="00137E42" w:rsidRDefault="008C76A2" w:rsidP="008C76A2">
      <w:pPr>
        <w:spacing w:after="0" w:line="360" w:lineRule="auto"/>
        <w:jc w:val="both"/>
        <w:rPr>
          <w:rFonts w:ascii="Arial" w:hAnsi="Arial" w:cs="Arial"/>
          <w:b/>
          <w:bCs/>
          <w:sz w:val="24"/>
          <w:szCs w:val="24"/>
        </w:rPr>
      </w:pPr>
      <w:r w:rsidRPr="00137E42">
        <w:rPr>
          <w:rFonts w:ascii="Arial" w:hAnsi="Arial" w:cs="Arial"/>
          <w:b/>
          <w:bCs/>
          <w:sz w:val="24"/>
          <w:szCs w:val="24"/>
        </w:rPr>
        <w:t>PUMEZA INNOCENTIA NCELEKAZI</w:t>
      </w:r>
      <w:r w:rsidRPr="00137E42">
        <w:rPr>
          <w:rFonts w:ascii="Arial" w:hAnsi="Arial" w:cs="Arial"/>
          <w:b/>
          <w:bCs/>
          <w:sz w:val="24"/>
          <w:szCs w:val="24"/>
        </w:rPr>
        <w:tab/>
      </w:r>
      <w:r w:rsidRPr="00137E42">
        <w:rPr>
          <w:rFonts w:ascii="Arial" w:hAnsi="Arial" w:cs="Arial"/>
          <w:b/>
          <w:bCs/>
          <w:sz w:val="24"/>
          <w:szCs w:val="24"/>
        </w:rPr>
        <w:tab/>
        <w:t xml:space="preserve">                                       APPLICANT</w:t>
      </w:r>
    </w:p>
    <w:p w14:paraId="64B19409" w14:textId="77777777" w:rsidR="008C76A2" w:rsidRPr="00137E42" w:rsidRDefault="008C76A2" w:rsidP="008C76A2">
      <w:pPr>
        <w:spacing w:after="0" w:line="360" w:lineRule="auto"/>
        <w:jc w:val="both"/>
        <w:rPr>
          <w:rFonts w:ascii="Arial" w:hAnsi="Arial" w:cs="Arial"/>
          <w:sz w:val="24"/>
          <w:szCs w:val="24"/>
        </w:rPr>
      </w:pPr>
    </w:p>
    <w:p w14:paraId="0B88FAC9" w14:textId="77777777" w:rsidR="008C76A2" w:rsidRPr="00137E42" w:rsidRDefault="008C76A2" w:rsidP="008C76A2">
      <w:pPr>
        <w:spacing w:after="0" w:line="360" w:lineRule="auto"/>
        <w:jc w:val="both"/>
        <w:rPr>
          <w:rFonts w:ascii="Arial" w:hAnsi="Arial" w:cs="Arial"/>
          <w:sz w:val="24"/>
          <w:szCs w:val="24"/>
        </w:rPr>
      </w:pPr>
      <w:r w:rsidRPr="00137E42">
        <w:rPr>
          <w:rFonts w:ascii="Arial" w:hAnsi="Arial" w:cs="Arial"/>
          <w:sz w:val="24"/>
          <w:szCs w:val="24"/>
        </w:rPr>
        <w:t>and</w:t>
      </w:r>
    </w:p>
    <w:p w14:paraId="21099882" w14:textId="77777777" w:rsidR="008C76A2" w:rsidRPr="00137E42" w:rsidRDefault="008C76A2" w:rsidP="008C76A2">
      <w:pPr>
        <w:spacing w:after="0" w:line="360" w:lineRule="auto"/>
        <w:jc w:val="both"/>
        <w:rPr>
          <w:rFonts w:ascii="Arial" w:hAnsi="Arial" w:cs="Arial"/>
          <w:sz w:val="24"/>
          <w:szCs w:val="24"/>
        </w:rPr>
      </w:pPr>
    </w:p>
    <w:p w14:paraId="2E974915" w14:textId="4D32FF44" w:rsidR="008C76A2" w:rsidRPr="00137E42" w:rsidRDefault="008C76A2" w:rsidP="008C76A2">
      <w:pPr>
        <w:spacing w:after="0" w:line="360" w:lineRule="auto"/>
        <w:jc w:val="both"/>
        <w:rPr>
          <w:rFonts w:ascii="Arial" w:hAnsi="Arial" w:cs="Arial"/>
          <w:b/>
          <w:bCs/>
          <w:sz w:val="24"/>
          <w:szCs w:val="24"/>
        </w:rPr>
      </w:pPr>
      <w:r w:rsidRPr="00137E42">
        <w:rPr>
          <w:rFonts w:ascii="Arial" w:hAnsi="Arial" w:cs="Arial"/>
          <w:b/>
          <w:bCs/>
          <w:sz w:val="24"/>
          <w:szCs w:val="24"/>
        </w:rPr>
        <w:t>MASTER OF THE HIGH COURT, MTHATHA</w:t>
      </w:r>
      <w:r w:rsidRPr="00137E42">
        <w:rPr>
          <w:rFonts w:ascii="Arial" w:hAnsi="Arial" w:cs="Arial"/>
          <w:b/>
          <w:bCs/>
          <w:sz w:val="24"/>
          <w:szCs w:val="24"/>
        </w:rPr>
        <w:tab/>
        <w:t xml:space="preserve">                       FIRST RESPONDENT</w:t>
      </w:r>
    </w:p>
    <w:p w14:paraId="7587DDB3" w14:textId="77777777" w:rsidR="008C76A2" w:rsidRPr="00137E42" w:rsidRDefault="008C76A2" w:rsidP="008C76A2">
      <w:pPr>
        <w:spacing w:after="0" w:line="360" w:lineRule="auto"/>
        <w:jc w:val="both"/>
        <w:rPr>
          <w:rFonts w:ascii="Arial" w:hAnsi="Arial" w:cs="Arial"/>
          <w:b/>
          <w:bCs/>
          <w:sz w:val="24"/>
          <w:szCs w:val="24"/>
        </w:rPr>
      </w:pPr>
    </w:p>
    <w:p w14:paraId="456F8FA7" w14:textId="4BBABB26" w:rsidR="008C76A2" w:rsidRPr="00137E42" w:rsidRDefault="008C76A2" w:rsidP="008C76A2">
      <w:pPr>
        <w:spacing w:after="0" w:line="360" w:lineRule="auto"/>
        <w:jc w:val="both"/>
        <w:rPr>
          <w:rFonts w:ascii="Arial" w:hAnsi="Arial" w:cs="Arial"/>
          <w:b/>
          <w:bCs/>
          <w:sz w:val="24"/>
          <w:szCs w:val="24"/>
        </w:rPr>
      </w:pPr>
      <w:r w:rsidRPr="00137E42">
        <w:rPr>
          <w:rFonts w:ascii="Arial" w:hAnsi="Arial" w:cs="Arial"/>
          <w:b/>
          <w:bCs/>
          <w:sz w:val="24"/>
          <w:szCs w:val="24"/>
        </w:rPr>
        <w:t>BUSISWA BEAUTY FUTSHANE N.O.</w:t>
      </w:r>
      <w:r w:rsidRPr="00137E42">
        <w:rPr>
          <w:rFonts w:ascii="Arial" w:hAnsi="Arial" w:cs="Arial"/>
          <w:b/>
          <w:bCs/>
          <w:sz w:val="24"/>
          <w:szCs w:val="24"/>
        </w:rPr>
        <w:tab/>
        <w:t xml:space="preserve">                             SECOND RESPONDENT</w:t>
      </w:r>
    </w:p>
    <w:p w14:paraId="577BDA39" w14:textId="77777777" w:rsidR="008C76A2" w:rsidRPr="00137E42" w:rsidRDefault="008C76A2" w:rsidP="008C76A2">
      <w:pPr>
        <w:spacing w:after="0" w:line="360" w:lineRule="auto"/>
        <w:jc w:val="both"/>
        <w:rPr>
          <w:rFonts w:ascii="Arial" w:hAnsi="Arial" w:cs="Arial"/>
          <w:b/>
          <w:bCs/>
          <w:sz w:val="24"/>
          <w:szCs w:val="24"/>
        </w:rPr>
      </w:pPr>
    </w:p>
    <w:p w14:paraId="54EFB9AE" w14:textId="1E32CE54" w:rsidR="008C76A2" w:rsidRPr="00137E42" w:rsidRDefault="008C76A2" w:rsidP="008C76A2">
      <w:pPr>
        <w:spacing w:after="0" w:line="360" w:lineRule="auto"/>
        <w:jc w:val="both"/>
        <w:rPr>
          <w:rFonts w:ascii="Arial" w:hAnsi="Arial" w:cs="Arial"/>
          <w:b/>
          <w:bCs/>
          <w:sz w:val="24"/>
          <w:szCs w:val="24"/>
        </w:rPr>
      </w:pPr>
      <w:r w:rsidRPr="00137E42">
        <w:rPr>
          <w:rFonts w:ascii="Arial" w:hAnsi="Arial" w:cs="Arial"/>
          <w:b/>
          <w:bCs/>
          <w:sz w:val="24"/>
          <w:szCs w:val="24"/>
        </w:rPr>
        <w:t>NMELI PROGRESS MHAULI</w:t>
      </w:r>
      <w:r w:rsidRPr="00137E42">
        <w:rPr>
          <w:rFonts w:ascii="Arial" w:hAnsi="Arial" w:cs="Arial"/>
          <w:b/>
          <w:bCs/>
          <w:sz w:val="24"/>
          <w:szCs w:val="24"/>
        </w:rPr>
        <w:tab/>
        <w:t xml:space="preserve">                                            THIRD RESPONDENT</w:t>
      </w:r>
    </w:p>
    <w:p w14:paraId="29BD0EDB" w14:textId="77777777" w:rsidR="008C76A2" w:rsidRPr="00137E42" w:rsidRDefault="008C76A2" w:rsidP="008C76A2">
      <w:pPr>
        <w:spacing w:after="0" w:line="360" w:lineRule="auto"/>
        <w:jc w:val="both"/>
        <w:rPr>
          <w:rFonts w:ascii="Arial" w:hAnsi="Arial" w:cs="Arial"/>
          <w:b/>
          <w:bCs/>
          <w:sz w:val="24"/>
          <w:szCs w:val="24"/>
        </w:rPr>
      </w:pPr>
    </w:p>
    <w:p w14:paraId="29516DB6" w14:textId="22898D95" w:rsidR="008C76A2" w:rsidRPr="00137E42" w:rsidRDefault="008C76A2" w:rsidP="008C76A2">
      <w:pPr>
        <w:spacing w:after="0" w:line="360" w:lineRule="auto"/>
        <w:jc w:val="both"/>
        <w:rPr>
          <w:rFonts w:ascii="Arial" w:hAnsi="Arial" w:cs="Arial"/>
          <w:b/>
          <w:bCs/>
          <w:sz w:val="24"/>
          <w:szCs w:val="24"/>
        </w:rPr>
      </w:pPr>
      <w:r w:rsidRPr="00137E42">
        <w:rPr>
          <w:rFonts w:ascii="Arial" w:hAnsi="Arial" w:cs="Arial"/>
          <w:b/>
          <w:bCs/>
          <w:sz w:val="24"/>
          <w:szCs w:val="24"/>
        </w:rPr>
        <w:t>SIVUYILE KNOWLEDGE NCELEKAZI</w:t>
      </w:r>
      <w:r w:rsidRPr="00137E42">
        <w:rPr>
          <w:rFonts w:ascii="Arial" w:hAnsi="Arial" w:cs="Arial"/>
          <w:b/>
          <w:bCs/>
          <w:sz w:val="24"/>
          <w:szCs w:val="24"/>
        </w:rPr>
        <w:tab/>
        <w:t xml:space="preserve">                             FOURTH RESPONDENT</w:t>
      </w:r>
    </w:p>
    <w:p w14:paraId="7CDB89A2" w14:textId="77777777" w:rsidR="008C76A2" w:rsidRPr="00137E42" w:rsidRDefault="008C76A2" w:rsidP="008C76A2">
      <w:pPr>
        <w:pStyle w:val="GW13"/>
        <w:tabs>
          <w:tab w:val="clear" w:pos="8640"/>
          <w:tab w:val="right" w:pos="9072"/>
        </w:tabs>
        <w:spacing w:line="240" w:lineRule="auto"/>
        <w:ind w:right="-45"/>
        <w:rPr>
          <w:rFonts w:ascii="Arial" w:hAnsi="Arial" w:cs="Arial"/>
          <w:b/>
          <w:szCs w:val="24"/>
        </w:rPr>
      </w:pPr>
      <w:r w:rsidRPr="00137E42">
        <w:rPr>
          <w:rFonts w:ascii="Arial" w:hAnsi="Arial" w:cs="Arial"/>
          <w:b/>
          <w:szCs w:val="24"/>
        </w:rPr>
        <w:t>___________________________________________________________________</w:t>
      </w:r>
    </w:p>
    <w:p w14:paraId="0D3C1858" w14:textId="77777777" w:rsidR="008C76A2" w:rsidRPr="00137E42" w:rsidRDefault="008C76A2" w:rsidP="008C76A2">
      <w:pPr>
        <w:pStyle w:val="GW13"/>
        <w:tabs>
          <w:tab w:val="clear" w:pos="8640"/>
        </w:tabs>
        <w:spacing w:line="240" w:lineRule="auto"/>
        <w:ind w:right="-45"/>
        <w:jc w:val="center"/>
        <w:rPr>
          <w:rFonts w:ascii="Arial" w:hAnsi="Arial" w:cs="Arial"/>
          <w:b/>
          <w:szCs w:val="24"/>
        </w:rPr>
      </w:pPr>
    </w:p>
    <w:p w14:paraId="557EB19F" w14:textId="77777777" w:rsidR="008C76A2" w:rsidRPr="00137E42" w:rsidRDefault="008C76A2" w:rsidP="008C76A2">
      <w:pPr>
        <w:pStyle w:val="GW13"/>
        <w:tabs>
          <w:tab w:val="clear" w:pos="8640"/>
          <w:tab w:val="right" w:pos="9072"/>
        </w:tabs>
        <w:spacing w:line="240" w:lineRule="auto"/>
        <w:ind w:right="-45"/>
        <w:jc w:val="center"/>
        <w:rPr>
          <w:rFonts w:ascii="Arial" w:hAnsi="Arial" w:cs="Arial"/>
          <w:b/>
          <w:szCs w:val="24"/>
        </w:rPr>
      </w:pPr>
      <w:r w:rsidRPr="00137E42">
        <w:rPr>
          <w:rFonts w:ascii="Arial" w:hAnsi="Arial" w:cs="Arial"/>
          <w:b/>
          <w:szCs w:val="24"/>
        </w:rPr>
        <w:t>JUDGMENT</w:t>
      </w:r>
    </w:p>
    <w:p w14:paraId="78710FCD" w14:textId="77777777" w:rsidR="008C76A2" w:rsidRPr="00137E42" w:rsidRDefault="008C76A2" w:rsidP="008C76A2">
      <w:pPr>
        <w:pStyle w:val="GW13"/>
        <w:tabs>
          <w:tab w:val="clear" w:pos="8640"/>
          <w:tab w:val="right" w:pos="9072"/>
        </w:tabs>
        <w:spacing w:line="240" w:lineRule="auto"/>
        <w:ind w:right="-45"/>
        <w:jc w:val="center"/>
        <w:rPr>
          <w:rFonts w:ascii="Arial" w:hAnsi="Arial" w:cs="Arial"/>
          <w:b/>
          <w:szCs w:val="24"/>
        </w:rPr>
      </w:pPr>
      <w:r w:rsidRPr="00137E42">
        <w:rPr>
          <w:rFonts w:ascii="Arial" w:hAnsi="Arial" w:cs="Arial"/>
          <w:b/>
          <w:szCs w:val="24"/>
        </w:rPr>
        <w:t>___________________________________________________________________</w:t>
      </w:r>
    </w:p>
    <w:p w14:paraId="24783305" w14:textId="77777777" w:rsidR="008C76A2" w:rsidRPr="00137E42" w:rsidRDefault="008C76A2" w:rsidP="008C76A2">
      <w:pPr>
        <w:pStyle w:val="GW13"/>
        <w:tabs>
          <w:tab w:val="clear" w:pos="8640"/>
          <w:tab w:val="right" w:pos="9072"/>
        </w:tabs>
        <w:spacing w:line="480" w:lineRule="auto"/>
        <w:ind w:right="-46"/>
        <w:rPr>
          <w:rFonts w:ascii="Arial" w:hAnsi="Arial" w:cs="Arial"/>
          <w:b/>
          <w:szCs w:val="24"/>
        </w:rPr>
      </w:pPr>
    </w:p>
    <w:p w14:paraId="324A10EC" w14:textId="77777777" w:rsidR="008C76A2" w:rsidRPr="00137E42" w:rsidRDefault="008C76A2" w:rsidP="008C76A2">
      <w:pPr>
        <w:pStyle w:val="GW13"/>
        <w:tabs>
          <w:tab w:val="clear" w:pos="8640"/>
          <w:tab w:val="right" w:pos="9072"/>
        </w:tabs>
        <w:spacing w:line="480" w:lineRule="auto"/>
        <w:ind w:right="-46"/>
        <w:rPr>
          <w:rFonts w:ascii="Arial" w:hAnsi="Arial" w:cs="Arial"/>
          <w:b/>
          <w:szCs w:val="24"/>
          <w:u w:val="single"/>
        </w:rPr>
      </w:pPr>
      <w:r w:rsidRPr="00137E42">
        <w:rPr>
          <w:rFonts w:ascii="Arial" w:hAnsi="Arial" w:cs="Arial"/>
          <w:b/>
          <w:szCs w:val="24"/>
          <w:u w:val="single"/>
        </w:rPr>
        <w:t>BANDS J:</w:t>
      </w:r>
    </w:p>
    <w:p w14:paraId="5E77F9DC" w14:textId="77777777" w:rsidR="008C76A2" w:rsidRPr="00137E42" w:rsidRDefault="008C76A2" w:rsidP="008C76A2">
      <w:pPr>
        <w:pStyle w:val="ListParagraph"/>
        <w:spacing w:after="0" w:line="480" w:lineRule="auto"/>
        <w:ind w:left="851"/>
        <w:jc w:val="both"/>
        <w:rPr>
          <w:rFonts w:ascii="Arial" w:hAnsi="Arial" w:cs="Arial"/>
          <w:sz w:val="24"/>
          <w:szCs w:val="24"/>
        </w:rPr>
      </w:pPr>
    </w:p>
    <w:p w14:paraId="5BB4D449" w14:textId="0525245A" w:rsidR="00C04AD9" w:rsidRPr="002A4FF9" w:rsidRDefault="002A4FF9" w:rsidP="002A4FF9">
      <w:pPr>
        <w:spacing w:after="0"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137E42" w:rsidRPr="002A4FF9">
        <w:rPr>
          <w:rFonts w:ascii="Arial" w:hAnsi="Arial" w:cs="Arial"/>
          <w:sz w:val="24"/>
          <w:szCs w:val="24"/>
        </w:rPr>
        <w:t xml:space="preserve">By letters of executorship granted by the </w:t>
      </w:r>
      <w:r w:rsidR="00537EC8" w:rsidRPr="002A4FF9">
        <w:rPr>
          <w:rFonts w:ascii="Arial" w:hAnsi="Arial" w:cs="Arial"/>
          <w:sz w:val="24"/>
          <w:szCs w:val="24"/>
        </w:rPr>
        <w:t>a</w:t>
      </w:r>
      <w:r w:rsidR="00137E42" w:rsidRPr="002A4FF9">
        <w:rPr>
          <w:rFonts w:ascii="Arial" w:hAnsi="Arial" w:cs="Arial"/>
          <w:sz w:val="24"/>
          <w:szCs w:val="24"/>
        </w:rPr>
        <w:t xml:space="preserve">ssistant </w:t>
      </w:r>
      <w:r w:rsidR="00537EC8" w:rsidRPr="002A4FF9">
        <w:rPr>
          <w:rFonts w:ascii="Arial" w:hAnsi="Arial" w:cs="Arial"/>
          <w:sz w:val="24"/>
          <w:szCs w:val="24"/>
        </w:rPr>
        <w:t>m</w:t>
      </w:r>
      <w:r w:rsidR="00137E42" w:rsidRPr="002A4FF9">
        <w:rPr>
          <w:rFonts w:ascii="Arial" w:hAnsi="Arial" w:cs="Arial"/>
          <w:sz w:val="24"/>
          <w:szCs w:val="24"/>
        </w:rPr>
        <w:t xml:space="preserve">aster of the High Court, Mthatha, on 6 June 2019, the applicant was appointed as the executor </w:t>
      </w:r>
      <w:r w:rsidR="00537EC8" w:rsidRPr="002A4FF9">
        <w:rPr>
          <w:rFonts w:ascii="Arial" w:hAnsi="Arial" w:cs="Arial"/>
          <w:sz w:val="24"/>
          <w:szCs w:val="24"/>
        </w:rPr>
        <w:t>in</w:t>
      </w:r>
      <w:r w:rsidR="00137E42" w:rsidRPr="002A4FF9">
        <w:rPr>
          <w:rFonts w:ascii="Arial" w:hAnsi="Arial" w:cs="Arial"/>
          <w:sz w:val="24"/>
          <w:szCs w:val="24"/>
        </w:rPr>
        <w:t xml:space="preserve"> the estate of Dora Mhlauli (“</w:t>
      </w:r>
      <w:r w:rsidR="00137E42" w:rsidRPr="002A4FF9">
        <w:rPr>
          <w:rFonts w:ascii="Arial" w:hAnsi="Arial" w:cs="Arial"/>
          <w:i/>
          <w:iCs/>
          <w:sz w:val="24"/>
          <w:szCs w:val="24"/>
        </w:rPr>
        <w:t xml:space="preserve">the </w:t>
      </w:r>
      <w:r w:rsidR="00C04AD9" w:rsidRPr="002A4FF9">
        <w:rPr>
          <w:rFonts w:ascii="Arial" w:hAnsi="Arial" w:cs="Arial"/>
          <w:i/>
          <w:iCs/>
          <w:sz w:val="24"/>
          <w:szCs w:val="24"/>
        </w:rPr>
        <w:t>deceased</w:t>
      </w:r>
      <w:r w:rsidR="00137E42" w:rsidRPr="002A4FF9">
        <w:rPr>
          <w:rFonts w:ascii="Arial" w:hAnsi="Arial" w:cs="Arial"/>
          <w:sz w:val="24"/>
          <w:szCs w:val="24"/>
        </w:rPr>
        <w:t xml:space="preserve">”).  </w:t>
      </w:r>
      <w:r w:rsidR="005211B3" w:rsidRPr="002A4FF9">
        <w:rPr>
          <w:rFonts w:ascii="Arial" w:hAnsi="Arial" w:cs="Arial"/>
          <w:sz w:val="24"/>
          <w:szCs w:val="24"/>
        </w:rPr>
        <w:t>This is a review application in which the applicant</w:t>
      </w:r>
      <w:r w:rsidR="00C04AD9" w:rsidRPr="002A4FF9">
        <w:rPr>
          <w:rFonts w:ascii="Arial" w:hAnsi="Arial" w:cs="Arial"/>
          <w:sz w:val="24"/>
          <w:szCs w:val="24"/>
        </w:rPr>
        <w:t xml:space="preserve">, acting </w:t>
      </w:r>
      <w:r w:rsidR="00CB4B96" w:rsidRPr="002A4FF9">
        <w:rPr>
          <w:rFonts w:ascii="Arial" w:hAnsi="Arial" w:cs="Arial"/>
          <w:sz w:val="24"/>
          <w:szCs w:val="24"/>
        </w:rPr>
        <w:t xml:space="preserve">in </w:t>
      </w:r>
      <w:r w:rsidR="00003A8F" w:rsidRPr="002A4FF9">
        <w:rPr>
          <w:rFonts w:ascii="Arial" w:hAnsi="Arial" w:cs="Arial"/>
          <w:sz w:val="24"/>
          <w:szCs w:val="24"/>
        </w:rPr>
        <w:t xml:space="preserve">the aforesaid </w:t>
      </w:r>
      <w:r w:rsidR="00C04AD9" w:rsidRPr="002A4FF9">
        <w:rPr>
          <w:rFonts w:ascii="Arial" w:hAnsi="Arial" w:cs="Arial"/>
          <w:sz w:val="24"/>
          <w:szCs w:val="24"/>
        </w:rPr>
        <w:t xml:space="preserve">capacity, seeks to review and set aside </w:t>
      </w:r>
      <w:r w:rsidR="00137E42" w:rsidRPr="002A4FF9">
        <w:rPr>
          <w:rFonts w:ascii="Arial" w:hAnsi="Arial" w:cs="Arial"/>
          <w:sz w:val="24"/>
          <w:szCs w:val="24"/>
        </w:rPr>
        <w:t xml:space="preserve">the </w:t>
      </w:r>
      <w:r w:rsidR="00FE7F93" w:rsidRPr="002A4FF9">
        <w:rPr>
          <w:rFonts w:ascii="Arial" w:hAnsi="Arial" w:cs="Arial"/>
          <w:sz w:val="24"/>
          <w:szCs w:val="24"/>
        </w:rPr>
        <w:t>Master’s</w:t>
      </w:r>
      <w:r w:rsidR="000D1038" w:rsidRPr="002A4FF9">
        <w:rPr>
          <w:rFonts w:ascii="Arial" w:hAnsi="Arial" w:cs="Arial"/>
          <w:sz w:val="24"/>
          <w:szCs w:val="24"/>
        </w:rPr>
        <w:t xml:space="preserve"> decision</w:t>
      </w:r>
      <w:r w:rsidR="00276994" w:rsidRPr="002A4FF9">
        <w:rPr>
          <w:rFonts w:ascii="Arial" w:hAnsi="Arial" w:cs="Arial"/>
          <w:sz w:val="24"/>
          <w:szCs w:val="24"/>
        </w:rPr>
        <w:t>, acting through the Assistant Master,</w:t>
      </w:r>
      <w:r w:rsidR="000D1038" w:rsidRPr="002A4FF9">
        <w:rPr>
          <w:rFonts w:ascii="Arial" w:hAnsi="Arial" w:cs="Arial"/>
          <w:sz w:val="24"/>
          <w:szCs w:val="24"/>
        </w:rPr>
        <w:t xml:space="preserve"> </w:t>
      </w:r>
      <w:r w:rsidR="00137E42" w:rsidRPr="002A4FF9">
        <w:rPr>
          <w:rFonts w:ascii="Arial" w:hAnsi="Arial" w:cs="Arial"/>
          <w:sz w:val="24"/>
          <w:szCs w:val="24"/>
        </w:rPr>
        <w:t xml:space="preserve">to </w:t>
      </w:r>
      <w:r w:rsidR="00C04AD9" w:rsidRPr="002A4FF9">
        <w:rPr>
          <w:rFonts w:ascii="Arial" w:hAnsi="Arial" w:cs="Arial"/>
          <w:sz w:val="24"/>
          <w:szCs w:val="24"/>
        </w:rPr>
        <w:t>appoint the second respondent as co-executor in the deceased’s estate on 16 March 2020.</w:t>
      </w:r>
      <w:r w:rsidR="008E2544" w:rsidRPr="002A4FF9">
        <w:rPr>
          <w:rFonts w:ascii="Arial" w:hAnsi="Arial" w:cs="Arial"/>
          <w:sz w:val="24"/>
          <w:szCs w:val="24"/>
        </w:rPr>
        <w:t xml:space="preserve">  </w:t>
      </w:r>
    </w:p>
    <w:p w14:paraId="2C16449B" w14:textId="77777777" w:rsidR="00C04AD9" w:rsidRDefault="00C04AD9" w:rsidP="00C04AD9">
      <w:pPr>
        <w:pStyle w:val="ListParagraph"/>
        <w:spacing w:after="0" w:line="480" w:lineRule="auto"/>
        <w:ind w:left="0"/>
        <w:jc w:val="both"/>
        <w:rPr>
          <w:rFonts w:ascii="Arial" w:hAnsi="Arial" w:cs="Arial"/>
          <w:sz w:val="24"/>
          <w:szCs w:val="24"/>
        </w:rPr>
      </w:pPr>
    </w:p>
    <w:p w14:paraId="54FFBE4E" w14:textId="26753843" w:rsidR="00003A8F" w:rsidRPr="002A4FF9" w:rsidRDefault="002A4FF9" w:rsidP="002A4FF9">
      <w:pPr>
        <w:spacing w:after="0" w:line="480" w:lineRule="auto"/>
        <w:jc w:val="both"/>
        <w:rPr>
          <w:rFonts w:ascii="Arial" w:hAnsi="Arial" w:cs="Arial"/>
          <w:sz w:val="24"/>
          <w:szCs w:val="24"/>
        </w:rPr>
      </w:pPr>
      <w:r>
        <w:rPr>
          <w:rFonts w:ascii="Arial" w:hAnsi="Arial" w:cs="Arial"/>
          <w:sz w:val="24"/>
          <w:szCs w:val="24"/>
        </w:rPr>
        <w:t>[2]</w:t>
      </w:r>
      <w:bookmarkStart w:id="0" w:name="_GoBack"/>
      <w:bookmarkEnd w:id="0"/>
      <w:r>
        <w:rPr>
          <w:rFonts w:ascii="Arial" w:hAnsi="Arial" w:cs="Arial"/>
          <w:sz w:val="24"/>
          <w:szCs w:val="24"/>
        </w:rPr>
        <w:tab/>
      </w:r>
      <w:r w:rsidR="008E2544" w:rsidRPr="002A4FF9">
        <w:rPr>
          <w:rFonts w:ascii="Arial" w:hAnsi="Arial" w:cs="Arial"/>
          <w:sz w:val="24"/>
          <w:szCs w:val="24"/>
        </w:rPr>
        <w:t xml:space="preserve">The application was brought in two parts. Only part B of the application was before me for determination.  The relief originally sought in part A of the notice of motion was an order interdicting and restraining the: (i) first respondent from implementing or otherwise giving effect to the decision to appoint the second respondent as a co-executor; and (ii) the second respondent from carrying out any act of administration and/or winding up of the deceased estate, pending the determination </w:t>
      </w:r>
      <w:r w:rsidR="000D1038" w:rsidRPr="002A4FF9">
        <w:rPr>
          <w:rFonts w:ascii="Arial" w:hAnsi="Arial" w:cs="Arial"/>
          <w:sz w:val="24"/>
          <w:szCs w:val="24"/>
        </w:rPr>
        <w:t xml:space="preserve">of the relief sought in Part B of the notice of motion.  </w:t>
      </w:r>
      <w:r w:rsidR="00E22C31" w:rsidRPr="002A4FF9">
        <w:rPr>
          <w:rFonts w:ascii="Arial" w:hAnsi="Arial" w:cs="Arial"/>
          <w:sz w:val="24"/>
          <w:szCs w:val="24"/>
        </w:rPr>
        <w:t>Although</w:t>
      </w:r>
      <w:r w:rsidR="000D1038" w:rsidRPr="002A4FF9">
        <w:rPr>
          <w:rFonts w:ascii="Arial" w:hAnsi="Arial" w:cs="Arial"/>
          <w:sz w:val="24"/>
          <w:szCs w:val="24"/>
        </w:rPr>
        <w:t xml:space="preserve"> it appears to be common cause that an order in accordance with Part A of the notice of motion was previously granted, this is neither apparent from the papers before me, nor from the court file.</w:t>
      </w:r>
      <w:r w:rsidR="00CC5FDC" w:rsidRPr="002A4FF9">
        <w:rPr>
          <w:rFonts w:ascii="Arial" w:hAnsi="Arial" w:cs="Arial"/>
          <w:sz w:val="24"/>
          <w:szCs w:val="24"/>
        </w:rPr>
        <w:t xml:space="preserve">  In respect of the relief sought in Part B, whilst </w:t>
      </w:r>
      <w:r w:rsidR="001A3629" w:rsidRPr="002A4FF9">
        <w:rPr>
          <w:rFonts w:ascii="Arial" w:hAnsi="Arial" w:cs="Arial"/>
          <w:sz w:val="24"/>
          <w:szCs w:val="24"/>
        </w:rPr>
        <w:t xml:space="preserve">the relief initially sought was </w:t>
      </w:r>
      <w:r w:rsidR="00CC5FDC" w:rsidRPr="002A4FF9">
        <w:rPr>
          <w:rFonts w:ascii="Arial" w:hAnsi="Arial" w:cs="Arial"/>
          <w:sz w:val="24"/>
          <w:szCs w:val="24"/>
        </w:rPr>
        <w:t xml:space="preserve">considerably more comprehensive in nature, the applicant limited its ambit to the </w:t>
      </w:r>
      <w:r w:rsidR="001A3629" w:rsidRPr="002A4FF9">
        <w:rPr>
          <w:rFonts w:ascii="Arial" w:hAnsi="Arial" w:cs="Arial"/>
          <w:sz w:val="24"/>
          <w:szCs w:val="24"/>
        </w:rPr>
        <w:t>issue set out in paragraph 1 of this judgment</w:t>
      </w:r>
      <w:r w:rsidR="00CC5FDC" w:rsidRPr="002A4FF9">
        <w:rPr>
          <w:rFonts w:ascii="Arial" w:hAnsi="Arial" w:cs="Arial"/>
          <w:sz w:val="24"/>
          <w:szCs w:val="24"/>
        </w:rPr>
        <w:t>.</w:t>
      </w:r>
      <w:r w:rsidR="00CC5FDC">
        <w:rPr>
          <w:rStyle w:val="FootnoteReference"/>
          <w:rFonts w:ascii="Arial" w:hAnsi="Arial" w:cs="Arial"/>
          <w:sz w:val="24"/>
          <w:szCs w:val="24"/>
        </w:rPr>
        <w:footnoteReference w:id="1"/>
      </w:r>
      <w:r w:rsidR="00266A99" w:rsidRPr="002A4FF9">
        <w:rPr>
          <w:rFonts w:ascii="Arial" w:hAnsi="Arial" w:cs="Arial"/>
          <w:sz w:val="24"/>
          <w:szCs w:val="24"/>
        </w:rPr>
        <w:t xml:space="preserve">  The fourth respondent makes common cause with the applicant.</w:t>
      </w:r>
    </w:p>
    <w:p w14:paraId="72348994" w14:textId="77777777" w:rsidR="00003A8F" w:rsidRPr="00003A8F" w:rsidRDefault="00003A8F" w:rsidP="006431E7">
      <w:pPr>
        <w:pStyle w:val="ListParagraph"/>
        <w:spacing w:after="0" w:line="480" w:lineRule="auto"/>
        <w:rPr>
          <w:rFonts w:ascii="Arial" w:hAnsi="Arial" w:cs="Arial"/>
          <w:sz w:val="24"/>
          <w:szCs w:val="24"/>
        </w:rPr>
      </w:pPr>
    </w:p>
    <w:p w14:paraId="0C69151F" w14:textId="0F340934" w:rsidR="00366C57" w:rsidRPr="002A4FF9" w:rsidRDefault="002A4FF9" w:rsidP="002A4FF9">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03A8F" w:rsidRPr="002A4FF9">
        <w:rPr>
          <w:rFonts w:ascii="Arial" w:hAnsi="Arial" w:cs="Arial"/>
          <w:sz w:val="24"/>
          <w:szCs w:val="24"/>
        </w:rPr>
        <w:t>The application was opposed by the second and third respondents</w:t>
      </w:r>
      <w:r w:rsidR="006431E7" w:rsidRPr="002A4FF9">
        <w:rPr>
          <w:rFonts w:ascii="Arial" w:hAnsi="Arial" w:cs="Arial"/>
          <w:sz w:val="24"/>
          <w:szCs w:val="24"/>
        </w:rPr>
        <w:t xml:space="preserve">, whom I shall refer to as the respondents in this judgment, unless the context dictates </w:t>
      </w:r>
      <w:r w:rsidR="006431E7" w:rsidRPr="002A4FF9">
        <w:rPr>
          <w:rFonts w:ascii="Arial" w:hAnsi="Arial" w:cs="Arial"/>
          <w:sz w:val="24"/>
          <w:szCs w:val="24"/>
        </w:rPr>
        <w:lastRenderedPageBreak/>
        <w:t>otherwise</w:t>
      </w:r>
      <w:r w:rsidR="00003A8F" w:rsidRPr="002A4FF9">
        <w:rPr>
          <w:rFonts w:ascii="Arial" w:hAnsi="Arial" w:cs="Arial"/>
          <w:sz w:val="24"/>
          <w:szCs w:val="24"/>
        </w:rPr>
        <w:t>.</w:t>
      </w:r>
      <w:r w:rsidR="00A366A8" w:rsidRPr="002A4FF9">
        <w:rPr>
          <w:rFonts w:ascii="Arial" w:hAnsi="Arial" w:cs="Arial"/>
          <w:sz w:val="24"/>
          <w:szCs w:val="24"/>
        </w:rPr>
        <w:t xml:space="preserve">  In addition to opposing the application,</w:t>
      </w:r>
      <w:r w:rsidR="00A366A8">
        <w:rPr>
          <w:rStyle w:val="FootnoteReference"/>
          <w:rFonts w:ascii="Arial" w:hAnsi="Arial" w:cs="Arial"/>
          <w:sz w:val="24"/>
          <w:szCs w:val="24"/>
        </w:rPr>
        <w:footnoteReference w:id="2"/>
      </w:r>
      <w:r w:rsidR="00A366A8" w:rsidRPr="002A4FF9">
        <w:rPr>
          <w:rFonts w:ascii="Arial" w:hAnsi="Arial" w:cs="Arial"/>
          <w:sz w:val="24"/>
          <w:szCs w:val="24"/>
        </w:rPr>
        <w:t xml:space="preserve"> the respondents launched a counter application</w:t>
      </w:r>
      <w:r w:rsidR="00A366A8">
        <w:rPr>
          <w:rStyle w:val="FootnoteReference"/>
          <w:rFonts w:ascii="Arial" w:hAnsi="Arial" w:cs="Arial"/>
          <w:sz w:val="24"/>
          <w:szCs w:val="24"/>
        </w:rPr>
        <w:footnoteReference w:id="3"/>
      </w:r>
      <w:r w:rsidR="00A366A8" w:rsidRPr="002A4FF9">
        <w:rPr>
          <w:rFonts w:ascii="Arial" w:hAnsi="Arial" w:cs="Arial"/>
          <w:sz w:val="24"/>
          <w:szCs w:val="24"/>
        </w:rPr>
        <w:t xml:space="preserve"> in which they sought </w:t>
      </w:r>
      <w:r w:rsidR="00366C57" w:rsidRPr="002A4FF9">
        <w:rPr>
          <w:rFonts w:ascii="Arial" w:hAnsi="Arial" w:cs="Arial"/>
          <w:i/>
          <w:iCs/>
          <w:sz w:val="24"/>
          <w:szCs w:val="24"/>
        </w:rPr>
        <w:t>inter alia</w:t>
      </w:r>
      <w:r w:rsidR="00366C57" w:rsidRPr="002A4FF9">
        <w:rPr>
          <w:rFonts w:ascii="Arial" w:hAnsi="Arial" w:cs="Arial"/>
          <w:sz w:val="24"/>
          <w:szCs w:val="24"/>
        </w:rPr>
        <w:t xml:space="preserve"> that: </w:t>
      </w:r>
    </w:p>
    <w:p w14:paraId="365BFACA" w14:textId="77777777" w:rsidR="00366C57" w:rsidRPr="00366C57" w:rsidRDefault="00366C57" w:rsidP="00366C57">
      <w:pPr>
        <w:pStyle w:val="ListParagraph"/>
        <w:rPr>
          <w:rFonts w:ascii="Arial" w:hAnsi="Arial" w:cs="Arial"/>
          <w:sz w:val="24"/>
          <w:szCs w:val="24"/>
        </w:rPr>
      </w:pPr>
    </w:p>
    <w:p w14:paraId="34D0F019" w14:textId="01E32101" w:rsidR="00A366A8" w:rsidRDefault="00366C57" w:rsidP="00366C57">
      <w:pPr>
        <w:pStyle w:val="ListParagraph"/>
        <w:spacing w:after="0" w:line="360" w:lineRule="auto"/>
        <w:jc w:val="both"/>
        <w:rPr>
          <w:rFonts w:ascii="Arial" w:hAnsi="Arial" w:cs="Arial"/>
          <w:sz w:val="24"/>
          <w:szCs w:val="24"/>
        </w:rPr>
      </w:pPr>
      <w:r>
        <w:rPr>
          <w:rFonts w:ascii="Arial" w:hAnsi="Arial" w:cs="Arial"/>
          <w:sz w:val="24"/>
          <w:szCs w:val="24"/>
        </w:rPr>
        <w:t>“</w:t>
      </w:r>
      <w:r w:rsidRPr="00366C57">
        <w:rPr>
          <w:rFonts w:ascii="Arial" w:hAnsi="Arial" w:cs="Arial"/>
          <w:i/>
          <w:iCs/>
        </w:rPr>
        <w:t>The appointment of the executrix including that of the Applicant in the said deceased estate be reviewed and set aside as invalid, alternatively stayed, pending the appointment of the late Goodman Mhlauli, deceased’s husband herein, and finalisation of its winding up.  As a further alternative thereto, that the appointment of the 2</w:t>
      </w:r>
      <w:r w:rsidRPr="00366C57">
        <w:rPr>
          <w:rFonts w:ascii="Arial" w:hAnsi="Arial" w:cs="Arial"/>
          <w:i/>
          <w:iCs/>
          <w:vertAlign w:val="superscript"/>
        </w:rPr>
        <w:t>nd</w:t>
      </w:r>
      <w:r w:rsidRPr="00366C57">
        <w:rPr>
          <w:rFonts w:ascii="Arial" w:hAnsi="Arial" w:cs="Arial"/>
          <w:i/>
          <w:iCs/>
        </w:rPr>
        <w:t xml:space="preserve"> Respondent as the co-executrix in the deceased estate be declared as lawful</w:t>
      </w:r>
      <w:r>
        <w:rPr>
          <w:rFonts w:ascii="Arial" w:hAnsi="Arial" w:cs="Arial"/>
          <w:sz w:val="24"/>
          <w:szCs w:val="24"/>
        </w:rPr>
        <w:t xml:space="preserve">”,  </w:t>
      </w:r>
    </w:p>
    <w:p w14:paraId="3A3E0719" w14:textId="77777777" w:rsidR="00366C57" w:rsidRDefault="00366C57" w:rsidP="00366C57">
      <w:pPr>
        <w:pStyle w:val="ListParagraph"/>
        <w:spacing w:after="0" w:line="360" w:lineRule="auto"/>
        <w:jc w:val="both"/>
        <w:rPr>
          <w:rFonts w:ascii="Arial" w:hAnsi="Arial" w:cs="Arial"/>
          <w:sz w:val="24"/>
          <w:szCs w:val="24"/>
        </w:rPr>
      </w:pPr>
    </w:p>
    <w:p w14:paraId="3FB51CEA" w14:textId="5229883C" w:rsidR="00185A2D" w:rsidRDefault="00366C57" w:rsidP="007E5ACB">
      <w:pPr>
        <w:spacing w:after="0" w:line="480" w:lineRule="auto"/>
        <w:jc w:val="both"/>
        <w:rPr>
          <w:rFonts w:ascii="Arial" w:hAnsi="Arial" w:cs="Arial"/>
          <w:sz w:val="24"/>
          <w:szCs w:val="24"/>
        </w:rPr>
      </w:pPr>
      <w:r>
        <w:rPr>
          <w:rFonts w:ascii="Arial" w:hAnsi="Arial" w:cs="Arial"/>
          <w:sz w:val="24"/>
          <w:szCs w:val="24"/>
        </w:rPr>
        <w:t xml:space="preserve">the aforesaid being the </w:t>
      </w:r>
      <w:r w:rsidR="001B53FC">
        <w:rPr>
          <w:rFonts w:ascii="Arial" w:hAnsi="Arial" w:cs="Arial"/>
          <w:sz w:val="24"/>
          <w:szCs w:val="24"/>
        </w:rPr>
        <w:t>only</w:t>
      </w:r>
      <w:r>
        <w:rPr>
          <w:rFonts w:ascii="Arial" w:hAnsi="Arial" w:cs="Arial"/>
          <w:sz w:val="24"/>
          <w:szCs w:val="24"/>
        </w:rPr>
        <w:t xml:space="preserve"> relief </w:t>
      </w:r>
      <w:r w:rsidR="00185A2D">
        <w:rPr>
          <w:rFonts w:ascii="Arial" w:hAnsi="Arial" w:cs="Arial"/>
          <w:sz w:val="24"/>
          <w:szCs w:val="24"/>
        </w:rPr>
        <w:t xml:space="preserve">on their papers, which they elected to pursue </w:t>
      </w:r>
      <w:r>
        <w:rPr>
          <w:rFonts w:ascii="Arial" w:hAnsi="Arial" w:cs="Arial"/>
          <w:sz w:val="24"/>
          <w:szCs w:val="24"/>
        </w:rPr>
        <w:t>when the matter was argued.</w:t>
      </w:r>
      <w:r w:rsidR="00185A2D">
        <w:rPr>
          <w:rFonts w:ascii="Arial" w:hAnsi="Arial" w:cs="Arial"/>
          <w:sz w:val="24"/>
          <w:szCs w:val="24"/>
        </w:rPr>
        <w:t xml:space="preserve">  </w:t>
      </w:r>
      <w:r w:rsidR="006A5E21">
        <w:rPr>
          <w:rFonts w:ascii="Arial" w:hAnsi="Arial" w:cs="Arial"/>
          <w:sz w:val="24"/>
          <w:szCs w:val="24"/>
        </w:rPr>
        <w:t xml:space="preserve">In addition, </w:t>
      </w:r>
      <w:r w:rsidR="00185A2D">
        <w:rPr>
          <w:rFonts w:ascii="Arial" w:hAnsi="Arial" w:cs="Arial"/>
          <w:sz w:val="24"/>
          <w:szCs w:val="24"/>
        </w:rPr>
        <w:t>the respondents’ counsel, from the bar, sought further alternative</w:t>
      </w:r>
      <w:r w:rsidR="006A5E21">
        <w:rPr>
          <w:rFonts w:ascii="Arial" w:hAnsi="Arial" w:cs="Arial"/>
          <w:sz w:val="24"/>
          <w:szCs w:val="24"/>
        </w:rPr>
        <w:t xml:space="preserve"> relief</w:t>
      </w:r>
      <w:r w:rsidR="00185A2D">
        <w:rPr>
          <w:rFonts w:ascii="Arial" w:hAnsi="Arial" w:cs="Arial"/>
          <w:sz w:val="24"/>
          <w:szCs w:val="24"/>
        </w:rPr>
        <w:t xml:space="preserve">, </w:t>
      </w:r>
      <w:r w:rsidR="001573E8">
        <w:rPr>
          <w:rFonts w:ascii="Arial" w:hAnsi="Arial" w:cs="Arial"/>
          <w:sz w:val="24"/>
          <w:szCs w:val="24"/>
        </w:rPr>
        <w:t xml:space="preserve">to the effect that </w:t>
      </w:r>
      <w:r w:rsidR="00185A2D">
        <w:rPr>
          <w:rFonts w:ascii="Arial" w:hAnsi="Arial" w:cs="Arial"/>
          <w:sz w:val="24"/>
          <w:szCs w:val="24"/>
        </w:rPr>
        <w:t>the first respondent be directed to appoint a neutral executor to the deceased estate.  I return to the relief sought in the counter application later.</w:t>
      </w:r>
    </w:p>
    <w:p w14:paraId="4E50B4A9" w14:textId="77777777" w:rsidR="001573E8" w:rsidRDefault="001573E8" w:rsidP="007E5ACB">
      <w:pPr>
        <w:spacing w:after="0" w:line="480" w:lineRule="auto"/>
        <w:jc w:val="both"/>
        <w:rPr>
          <w:rFonts w:ascii="Arial" w:hAnsi="Arial" w:cs="Arial"/>
          <w:sz w:val="24"/>
          <w:szCs w:val="24"/>
        </w:rPr>
      </w:pPr>
    </w:p>
    <w:p w14:paraId="7FFD86D0" w14:textId="616A7D00" w:rsidR="001573E8" w:rsidRPr="002A4FF9" w:rsidRDefault="002A4FF9" w:rsidP="002A4FF9">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66A99" w:rsidRPr="002A4FF9">
        <w:rPr>
          <w:rFonts w:ascii="Arial" w:hAnsi="Arial" w:cs="Arial"/>
          <w:sz w:val="24"/>
          <w:szCs w:val="24"/>
        </w:rPr>
        <w:t>T</w:t>
      </w:r>
      <w:r w:rsidR="00003A8F" w:rsidRPr="002A4FF9">
        <w:rPr>
          <w:rFonts w:ascii="Arial" w:hAnsi="Arial" w:cs="Arial"/>
          <w:sz w:val="24"/>
          <w:szCs w:val="24"/>
        </w:rPr>
        <w:t>he first respondent filed a notice to abide the decision of this court</w:t>
      </w:r>
      <w:r w:rsidR="00266A99" w:rsidRPr="002A4FF9">
        <w:rPr>
          <w:rFonts w:ascii="Arial" w:hAnsi="Arial" w:cs="Arial"/>
          <w:sz w:val="24"/>
          <w:szCs w:val="24"/>
        </w:rPr>
        <w:t>.</w:t>
      </w:r>
      <w:r w:rsidR="00003A8F" w:rsidRPr="002A4FF9">
        <w:rPr>
          <w:rFonts w:ascii="Arial" w:hAnsi="Arial" w:cs="Arial"/>
          <w:sz w:val="24"/>
          <w:szCs w:val="24"/>
        </w:rPr>
        <w:t xml:space="preserve">  </w:t>
      </w:r>
    </w:p>
    <w:p w14:paraId="2A2CE1A1" w14:textId="77777777" w:rsidR="001573E8" w:rsidRDefault="001573E8" w:rsidP="007E5ACB">
      <w:pPr>
        <w:pStyle w:val="ListParagraph"/>
        <w:spacing w:after="0" w:line="480" w:lineRule="auto"/>
        <w:ind w:left="0"/>
        <w:jc w:val="both"/>
        <w:rPr>
          <w:rFonts w:ascii="Arial" w:hAnsi="Arial" w:cs="Arial"/>
          <w:sz w:val="24"/>
          <w:szCs w:val="24"/>
        </w:rPr>
      </w:pPr>
    </w:p>
    <w:p w14:paraId="773E6809" w14:textId="158D6501" w:rsidR="00A036D6" w:rsidRPr="002A4FF9" w:rsidRDefault="002A4FF9" w:rsidP="002A4FF9">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03A8F" w:rsidRPr="002A4FF9">
        <w:rPr>
          <w:rFonts w:ascii="Arial" w:hAnsi="Arial" w:cs="Arial"/>
          <w:sz w:val="24"/>
          <w:szCs w:val="24"/>
        </w:rPr>
        <w:t>This application initially came before me on the opposed motion court roll on 2 February 2023, having</w:t>
      </w:r>
      <w:r w:rsidR="00CF170C" w:rsidRPr="002A4FF9">
        <w:rPr>
          <w:rFonts w:ascii="Arial" w:hAnsi="Arial" w:cs="Arial"/>
          <w:sz w:val="24"/>
          <w:szCs w:val="24"/>
        </w:rPr>
        <w:t xml:space="preserve"> previously</w:t>
      </w:r>
      <w:r w:rsidR="00003A8F" w:rsidRPr="002A4FF9">
        <w:rPr>
          <w:rFonts w:ascii="Arial" w:hAnsi="Arial" w:cs="Arial"/>
          <w:sz w:val="24"/>
          <w:szCs w:val="24"/>
        </w:rPr>
        <w:t xml:space="preserve"> been postponed to such date</w:t>
      </w:r>
      <w:r w:rsidR="001573E8" w:rsidRPr="002A4FF9">
        <w:rPr>
          <w:rFonts w:ascii="Arial" w:hAnsi="Arial" w:cs="Arial"/>
          <w:sz w:val="24"/>
          <w:szCs w:val="24"/>
        </w:rPr>
        <w:t xml:space="preserve"> in</w:t>
      </w:r>
      <w:r w:rsidR="00CF170C" w:rsidRPr="002A4FF9">
        <w:rPr>
          <w:rFonts w:ascii="Arial" w:hAnsi="Arial" w:cs="Arial"/>
          <w:sz w:val="24"/>
          <w:szCs w:val="24"/>
        </w:rPr>
        <w:t xml:space="preserve"> terms of an order of court, dated 28 July 2022, which order recorded the attendance of</w:t>
      </w:r>
      <w:r w:rsidR="0037743B" w:rsidRPr="002A4FF9">
        <w:rPr>
          <w:rFonts w:ascii="Arial" w:hAnsi="Arial" w:cs="Arial"/>
          <w:sz w:val="24"/>
          <w:szCs w:val="24"/>
        </w:rPr>
        <w:t xml:space="preserve"> the</w:t>
      </w:r>
      <w:r w:rsidR="00CF170C" w:rsidRPr="002A4FF9">
        <w:rPr>
          <w:rFonts w:ascii="Arial" w:hAnsi="Arial" w:cs="Arial"/>
          <w:sz w:val="24"/>
          <w:szCs w:val="24"/>
        </w:rPr>
        <w:t xml:space="preserve"> legal representatives on behalf of the both the applicant and </w:t>
      </w:r>
      <w:r w:rsidR="001573E8" w:rsidRPr="002A4FF9">
        <w:rPr>
          <w:rFonts w:ascii="Arial" w:hAnsi="Arial" w:cs="Arial"/>
          <w:sz w:val="24"/>
          <w:szCs w:val="24"/>
        </w:rPr>
        <w:t>respondents</w:t>
      </w:r>
      <w:r w:rsidR="00E43032" w:rsidRPr="002A4FF9">
        <w:rPr>
          <w:rFonts w:ascii="Arial" w:hAnsi="Arial" w:cs="Arial"/>
          <w:sz w:val="24"/>
          <w:szCs w:val="24"/>
        </w:rPr>
        <w:t xml:space="preserve"> (“</w:t>
      </w:r>
      <w:r w:rsidR="00E43032" w:rsidRPr="002A4FF9">
        <w:rPr>
          <w:rFonts w:ascii="Arial" w:hAnsi="Arial" w:cs="Arial"/>
          <w:i/>
          <w:iCs/>
          <w:sz w:val="24"/>
          <w:szCs w:val="24"/>
        </w:rPr>
        <w:t>the parties</w:t>
      </w:r>
      <w:r w:rsidR="00E43032" w:rsidRPr="002A4FF9">
        <w:rPr>
          <w:rFonts w:ascii="Arial" w:hAnsi="Arial" w:cs="Arial"/>
          <w:sz w:val="24"/>
          <w:szCs w:val="24"/>
        </w:rPr>
        <w:t>”)</w:t>
      </w:r>
      <w:r w:rsidR="00003A8F" w:rsidRPr="002A4FF9">
        <w:rPr>
          <w:rFonts w:ascii="Arial" w:hAnsi="Arial" w:cs="Arial"/>
          <w:sz w:val="24"/>
          <w:szCs w:val="24"/>
        </w:rPr>
        <w:t>.</w:t>
      </w:r>
      <w:r w:rsidR="006431E7" w:rsidRPr="002A4FF9">
        <w:rPr>
          <w:rFonts w:ascii="Arial" w:hAnsi="Arial" w:cs="Arial"/>
          <w:sz w:val="24"/>
          <w:szCs w:val="24"/>
        </w:rPr>
        <w:t xml:space="preserve">  Notwithstanding the aforesaid, there was no appearance on behalf of the</w:t>
      </w:r>
      <w:r w:rsidR="001573E8" w:rsidRPr="002A4FF9">
        <w:rPr>
          <w:rFonts w:ascii="Arial" w:hAnsi="Arial" w:cs="Arial"/>
          <w:sz w:val="24"/>
          <w:szCs w:val="24"/>
        </w:rPr>
        <w:t xml:space="preserve"> applicant on </w:t>
      </w:r>
      <w:r w:rsidR="00FE0BB1" w:rsidRPr="002A4FF9">
        <w:rPr>
          <w:rFonts w:ascii="Arial" w:hAnsi="Arial" w:cs="Arial"/>
          <w:sz w:val="24"/>
          <w:szCs w:val="24"/>
        </w:rPr>
        <w:t>2 February 2023</w:t>
      </w:r>
      <w:r w:rsidR="001573E8" w:rsidRPr="002A4FF9">
        <w:rPr>
          <w:rFonts w:ascii="Arial" w:hAnsi="Arial" w:cs="Arial"/>
          <w:sz w:val="24"/>
          <w:szCs w:val="24"/>
        </w:rPr>
        <w:t xml:space="preserve">.  After having stood the matter down to the end of the </w:t>
      </w:r>
      <w:r w:rsidR="00E43032" w:rsidRPr="002A4FF9">
        <w:rPr>
          <w:rFonts w:ascii="Arial" w:hAnsi="Arial" w:cs="Arial"/>
          <w:sz w:val="24"/>
          <w:szCs w:val="24"/>
        </w:rPr>
        <w:t xml:space="preserve">opposed motion court </w:t>
      </w:r>
      <w:r w:rsidR="001573E8" w:rsidRPr="002A4FF9">
        <w:rPr>
          <w:rFonts w:ascii="Arial" w:hAnsi="Arial" w:cs="Arial"/>
          <w:sz w:val="24"/>
          <w:szCs w:val="24"/>
        </w:rPr>
        <w:t xml:space="preserve">roll, and having been satisfied that the applicant was aware of the </w:t>
      </w:r>
      <w:r w:rsidR="00FE0BB1" w:rsidRPr="002A4FF9">
        <w:rPr>
          <w:rFonts w:ascii="Arial" w:hAnsi="Arial" w:cs="Arial"/>
          <w:sz w:val="24"/>
          <w:szCs w:val="24"/>
        </w:rPr>
        <w:t xml:space="preserve">date of </w:t>
      </w:r>
      <w:r w:rsidR="00FE0BB1" w:rsidRPr="002A4FF9">
        <w:rPr>
          <w:rFonts w:ascii="Arial" w:hAnsi="Arial" w:cs="Arial"/>
          <w:sz w:val="24"/>
          <w:szCs w:val="24"/>
        </w:rPr>
        <w:lastRenderedPageBreak/>
        <w:t>hearing</w:t>
      </w:r>
      <w:r w:rsidR="001573E8" w:rsidRPr="002A4FF9">
        <w:rPr>
          <w:rFonts w:ascii="Arial" w:hAnsi="Arial" w:cs="Arial"/>
          <w:sz w:val="24"/>
          <w:szCs w:val="24"/>
        </w:rPr>
        <w:t>,</w:t>
      </w:r>
      <w:r w:rsidR="001573E8">
        <w:rPr>
          <w:rStyle w:val="FootnoteReference"/>
          <w:rFonts w:ascii="Arial" w:hAnsi="Arial" w:cs="Arial"/>
          <w:sz w:val="24"/>
          <w:szCs w:val="24"/>
        </w:rPr>
        <w:footnoteReference w:id="4"/>
      </w:r>
      <w:r w:rsidR="001573E8" w:rsidRPr="002A4FF9">
        <w:rPr>
          <w:rFonts w:ascii="Arial" w:hAnsi="Arial" w:cs="Arial"/>
          <w:sz w:val="24"/>
          <w:szCs w:val="24"/>
        </w:rPr>
        <w:t xml:space="preserve"> I proceeded to hear argument on behalf of the respondents in the absence of the applicant.</w:t>
      </w:r>
      <w:r w:rsidR="00E43032" w:rsidRPr="002A4FF9">
        <w:rPr>
          <w:rFonts w:ascii="Arial" w:hAnsi="Arial" w:cs="Arial"/>
          <w:sz w:val="24"/>
          <w:szCs w:val="24"/>
        </w:rPr>
        <w:t xml:space="preserve">  </w:t>
      </w:r>
    </w:p>
    <w:p w14:paraId="302A13D6" w14:textId="77777777" w:rsidR="00A036D6" w:rsidRPr="00A036D6" w:rsidRDefault="00A036D6" w:rsidP="007E5ACB">
      <w:pPr>
        <w:pStyle w:val="ListParagraph"/>
        <w:spacing w:after="0" w:line="480" w:lineRule="auto"/>
        <w:rPr>
          <w:rFonts w:ascii="Arial" w:hAnsi="Arial" w:cs="Arial"/>
          <w:sz w:val="24"/>
          <w:szCs w:val="24"/>
        </w:rPr>
      </w:pPr>
    </w:p>
    <w:p w14:paraId="1836E428" w14:textId="0C06C85C" w:rsidR="007E5ACB" w:rsidRPr="002A4FF9" w:rsidRDefault="002A4FF9" w:rsidP="002A4FF9">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43032" w:rsidRPr="002A4FF9">
        <w:rPr>
          <w:rFonts w:ascii="Arial" w:hAnsi="Arial" w:cs="Arial"/>
          <w:sz w:val="24"/>
          <w:szCs w:val="24"/>
        </w:rPr>
        <w:t>Following argument and prior to judgment being delivered, the legal representative on behalf of the applicant approached my offices</w:t>
      </w:r>
      <w:r w:rsidR="00A036D6" w:rsidRPr="002A4FF9">
        <w:rPr>
          <w:rFonts w:ascii="Arial" w:hAnsi="Arial" w:cs="Arial"/>
          <w:sz w:val="24"/>
          <w:szCs w:val="24"/>
        </w:rPr>
        <w:t>,</w:t>
      </w:r>
      <w:r w:rsidR="00E43032" w:rsidRPr="002A4FF9">
        <w:rPr>
          <w:rFonts w:ascii="Arial" w:hAnsi="Arial" w:cs="Arial"/>
          <w:sz w:val="24"/>
          <w:szCs w:val="24"/>
        </w:rPr>
        <w:t xml:space="preserve"> through my </w:t>
      </w:r>
      <w:r w:rsidR="005C37BA" w:rsidRPr="002A4FF9">
        <w:rPr>
          <w:rFonts w:ascii="Arial" w:hAnsi="Arial" w:cs="Arial"/>
          <w:sz w:val="24"/>
          <w:szCs w:val="24"/>
        </w:rPr>
        <w:t>clerk</w:t>
      </w:r>
      <w:r w:rsidR="00E43032" w:rsidRPr="002A4FF9">
        <w:rPr>
          <w:rFonts w:ascii="Arial" w:hAnsi="Arial" w:cs="Arial"/>
          <w:sz w:val="24"/>
          <w:szCs w:val="24"/>
        </w:rPr>
        <w:t>, advising that, to his knowledge, the matter had been postponed to 3 February 2023</w:t>
      </w:r>
      <w:r w:rsidR="00CF170C" w:rsidRPr="002A4FF9">
        <w:rPr>
          <w:rFonts w:ascii="Arial" w:hAnsi="Arial" w:cs="Arial"/>
          <w:sz w:val="24"/>
          <w:szCs w:val="24"/>
        </w:rPr>
        <w:t>, by agreement between the parties,</w:t>
      </w:r>
      <w:r w:rsidR="00E43032" w:rsidRPr="002A4FF9">
        <w:rPr>
          <w:rFonts w:ascii="Arial" w:hAnsi="Arial" w:cs="Arial"/>
          <w:sz w:val="24"/>
          <w:szCs w:val="24"/>
        </w:rPr>
        <w:t xml:space="preserve"> in terms of a draft order</w:t>
      </w:r>
      <w:r w:rsidR="00BA083D" w:rsidRPr="002A4FF9">
        <w:rPr>
          <w:rFonts w:ascii="Arial" w:hAnsi="Arial" w:cs="Arial"/>
          <w:sz w:val="24"/>
          <w:szCs w:val="24"/>
        </w:rPr>
        <w:t xml:space="preserve"> of court</w:t>
      </w:r>
      <w:r w:rsidR="00CF170C" w:rsidRPr="002A4FF9">
        <w:rPr>
          <w:rFonts w:ascii="Arial" w:hAnsi="Arial" w:cs="Arial"/>
          <w:sz w:val="24"/>
          <w:szCs w:val="24"/>
        </w:rPr>
        <w:t>.  A</w:t>
      </w:r>
      <w:r w:rsidR="00E43032" w:rsidRPr="002A4FF9">
        <w:rPr>
          <w:rFonts w:ascii="Arial" w:hAnsi="Arial" w:cs="Arial"/>
          <w:sz w:val="24"/>
          <w:szCs w:val="24"/>
        </w:rPr>
        <w:t xml:space="preserve">ccordingly, </w:t>
      </w:r>
      <w:r w:rsidR="00CF170C" w:rsidRPr="002A4FF9">
        <w:rPr>
          <w:rFonts w:ascii="Arial" w:hAnsi="Arial" w:cs="Arial"/>
          <w:sz w:val="24"/>
          <w:szCs w:val="24"/>
        </w:rPr>
        <w:t xml:space="preserve">he was of the view that the matter </w:t>
      </w:r>
      <w:r w:rsidR="00304E93" w:rsidRPr="002A4FF9">
        <w:rPr>
          <w:rFonts w:ascii="Arial" w:hAnsi="Arial" w:cs="Arial"/>
          <w:sz w:val="24"/>
          <w:szCs w:val="24"/>
        </w:rPr>
        <w:t xml:space="preserve">had </w:t>
      </w:r>
      <w:r w:rsidR="00E43032" w:rsidRPr="002A4FF9">
        <w:rPr>
          <w:rFonts w:ascii="Arial" w:hAnsi="Arial" w:cs="Arial"/>
          <w:sz w:val="24"/>
          <w:szCs w:val="24"/>
        </w:rPr>
        <w:t xml:space="preserve">erroneously </w:t>
      </w:r>
      <w:r w:rsidR="00304E93" w:rsidRPr="002A4FF9">
        <w:rPr>
          <w:rFonts w:ascii="Arial" w:hAnsi="Arial" w:cs="Arial"/>
          <w:sz w:val="24"/>
          <w:szCs w:val="24"/>
        </w:rPr>
        <w:t xml:space="preserve">been </w:t>
      </w:r>
      <w:r w:rsidR="00E43032" w:rsidRPr="002A4FF9">
        <w:rPr>
          <w:rFonts w:ascii="Arial" w:hAnsi="Arial" w:cs="Arial"/>
          <w:sz w:val="24"/>
          <w:szCs w:val="24"/>
        </w:rPr>
        <w:t>enrolled on the motion court roll</w:t>
      </w:r>
      <w:r w:rsidR="00CF170C" w:rsidRPr="002A4FF9">
        <w:rPr>
          <w:rFonts w:ascii="Arial" w:hAnsi="Arial" w:cs="Arial"/>
          <w:sz w:val="24"/>
          <w:szCs w:val="24"/>
        </w:rPr>
        <w:t xml:space="preserve"> and heard on 2 February 2023</w:t>
      </w:r>
      <w:r w:rsidR="00E43032" w:rsidRPr="002A4FF9">
        <w:rPr>
          <w:rFonts w:ascii="Arial" w:hAnsi="Arial" w:cs="Arial"/>
          <w:sz w:val="24"/>
          <w:szCs w:val="24"/>
        </w:rPr>
        <w:t>.</w:t>
      </w:r>
      <w:r w:rsidR="00304E93" w:rsidRPr="002A4FF9">
        <w:rPr>
          <w:rFonts w:ascii="Arial" w:hAnsi="Arial" w:cs="Arial"/>
          <w:sz w:val="24"/>
          <w:szCs w:val="24"/>
        </w:rPr>
        <w:t xml:space="preserve">  At the time of the query, the draft order </w:t>
      </w:r>
      <w:r w:rsidR="00CF170C" w:rsidRPr="002A4FF9">
        <w:rPr>
          <w:rFonts w:ascii="Arial" w:hAnsi="Arial" w:cs="Arial"/>
          <w:sz w:val="24"/>
          <w:szCs w:val="24"/>
        </w:rPr>
        <w:t xml:space="preserve">to which reference was made, </w:t>
      </w:r>
      <w:r w:rsidR="00304E93" w:rsidRPr="002A4FF9">
        <w:rPr>
          <w:rFonts w:ascii="Arial" w:hAnsi="Arial" w:cs="Arial"/>
          <w:sz w:val="24"/>
          <w:szCs w:val="24"/>
        </w:rPr>
        <w:t>was not contained in the court file</w:t>
      </w:r>
      <w:r w:rsidR="00CF170C" w:rsidRPr="002A4FF9">
        <w:rPr>
          <w:rFonts w:ascii="Arial" w:hAnsi="Arial" w:cs="Arial"/>
          <w:sz w:val="24"/>
          <w:szCs w:val="24"/>
        </w:rPr>
        <w:t xml:space="preserve"> and accordingly a copy thereof was supplied by the applicant’s legal representative depicting the date, 3 February 2023, this being </w:t>
      </w:r>
      <w:r w:rsidR="007E5ACB" w:rsidRPr="002A4FF9">
        <w:rPr>
          <w:rFonts w:ascii="Arial" w:hAnsi="Arial" w:cs="Arial"/>
          <w:sz w:val="24"/>
          <w:szCs w:val="24"/>
        </w:rPr>
        <w:t xml:space="preserve">at variance </w:t>
      </w:r>
      <w:r w:rsidR="00CF170C" w:rsidRPr="002A4FF9">
        <w:rPr>
          <w:rFonts w:ascii="Arial" w:hAnsi="Arial" w:cs="Arial"/>
          <w:sz w:val="24"/>
          <w:szCs w:val="24"/>
        </w:rPr>
        <w:t xml:space="preserve">to the order of court contained in the court file.  </w:t>
      </w:r>
    </w:p>
    <w:p w14:paraId="0CDB876F" w14:textId="77777777" w:rsidR="007E5ACB" w:rsidRPr="007E5ACB" w:rsidRDefault="007E5ACB" w:rsidP="007E5ACB">
      <w:pPr>
        <w:pStyle w:val="ListParagraph"/>
        <w:spacing w:after="0" w:line="480" w:lineRule="auto"/>
        <w:rPr>
          <w:rFonts w:ascii="Arial" w:hAnsi="Arial" w:cs="Arial"/>
          <w:sz w:val="24"/>
          <w:szCs w:val="24"/>
        </w:rPr>
      </w:pPr>
    </w:p>
    <w:p w14:paraId="42D0E0C3" w14:textId="7880D33A" w:rsidR="006D0A50" w:rsidRPr="002A4FF9" w:rsidRDefault="002A4FF9" w:rsidP="002A4FF9">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F170C" w:rsidRPr="002A4FF9">
        <w:rPr>
          <w:rFonts w:ascii="Arial" w:hAnsi="Arial" w:cs="Arial"/>
          <w:sz w:val="24"/>
          <w:szCs w:val="24"/>
        </w:rPr>
        <w:t>As I was performing judicial duties in Gqeberha at the time</w:t>
      </w:r>
      <w:r w:rsidR="00613094" w:rsidRPr="002A4FF9">
        <w:rPr>
          <w:rFonts w:ascii="Arial" w:hAnsi="Arial" w:cs="Arial"/>
          <w:sz w:val="24"/>
          <w:szCs w:val="24"/>
        </w:rPr>
        <w:t>, I</w:t>
      </w:r>
      <w:r w:rsidR="00B14704" w:rsidRPr="002A4FF9">
        <w:rPr>
          <w:rFonts w:ascii="Arial" w:hAnsi="Arial" w:cs="Arial"/>
          <w:sz w:val="24"/>
          <w:szCs w:val="24"/>
        </w:rPr>
        <w:t xml:space="preserve"> was unable to engage personally with the respective legal representatives to enquire into the apparent dichotomy</w:t>
      </w:r>
      <w:r w:rsidR="00613094" w:rsidRPr="002A4FF9">
        <w:rPr>
          <w:rFonts w:ascii="Arial" w:hAnsi="Arial" w:cs="Arial"/>
          <w:sz w:val="24"/>
          <w:szCs w:val="24"/>
        </w:rPr>
        <w:t xml:space="preserve">.  The matter was accordingly </w:t>
      </w:r>
      <w:r w:rsidR="00CF170C" w:rsidRPr="002A4FF9">
        <w:rPr>
          <w:rFonts w:ascii="Arial" w:hAnsi="Arial" w:cs="Arial"/>
          <w:sz w:val="24"/>
          <w:szCs w:val="24"/>
        </w:rPr>
        <w:t>referred to the Acting Deputy Judge President</w:t>
      </w:r>
      <w:r w:rsidR="007E5ACB" w:rsidRPr="002A4FF9">
        <w:rPr>
          <w:rFonts w:ascii="Arial" w:hAnsi="Arial" w:cs="Arial"/>
          <w:sz w:val="24"/>
          <w:szCs w:val="24"/>
        </w:rPr>
        <w:t xml:space="preserve"> of this court</w:t>
      </w:r>
      <w:r w:rsidR="00B14704" w:rsidRPr="002A4FF9">
        <w:rPr>
          <w:rFonts w:ascii="Arial" w:hAnsi="Arial" w:cs="Arial"/>
          <w:sz w:val="24"/>
          <w:szCs w:val="24"/>
        </w:rPr>
        <w:t>.  Following a meeting between the parties</w:t>
      </w:r>
      <w:r w:rsidR="006304EF" w:rsidRPr="002A4FF9">
        <w:rPr>
          <w:rFonts w:ascii="Arial" w:hAnsi="Arial" w:cs="Arial"/>
          <w:sz w:val="24"/>
          <w:szCs w:val="24"/>
        </w:rPr>
        <w:t>’</w:t>
      </w:r>
      <w:r w:rsidR="00B14704" w:rsidRPr="002A4FF9">
        <w:rPr>
          <w:rFonts w:ascii="Arial" w:hAnsi="Arial" w:cs="Arial"/>
          <w:sz w:val="24"/>
          <w:szCs w:val="24"/>
        </w:rPr>
        <w:t xml:space="preserve"> legal representatives and the Acting Deputy Judge President, the parties agreed to</w:t>
      </w:r>
      <w:r w:rsidR="006304EF" w:rsidRPr="002A4FF9">
        <w:rPr>
          <w:rFonts w:ascii="Arial" w:hAnsi="Arial" w:cs="Arial"/>
          <w:sz w:val="24"/>
          <w:szCs w:val="24"/>
        </w:rPr>
        <w:t xml:space="preserve"> the matter being disposed of without the need to advance further oral argument, subject to the</w:t>
      </w:r>
      <w:r w:rsidR="00395C1C" w:rsidRPr="002A4FF9">
        <w:rPr>
          <w:rFonts w:ascii="Arial" w:hAnsi="Arial" w:cs="Arial"/>
          <w:sz w:val="24"/>
          <w:szCs w:val="24"/>
        </w:rPr>
        <w:t>ir</w:t>
      </w:r>
      <w:r w:rsidR="006304EF" w:rsidRPr="002A4FF9">
        <w:rPr>
          <w:rFonts w:ascii="Arial" w:hAnsi="Arial" w:cs="Arial"/>
          <w:sz w:val="24"/>
          <w:szCs w:val="24"/>
        </w:rPr>
        <w:t xml:space="preserve"> right to supplement the submissions made in argument by way of </w:t>
      </w:r>
      <w:r w:rsidR="000F257F" w:rsidRPr="002A4FF9">
        <w:rPr>
          <w:rFonts w:ascii="Arial" w:hAnsi="Arial" w:cs="Arial"/>
          <w:sz w:val="24"/>
          <w:szCs w:val="24"/>
        </w:rPr>
        <w:t>supplementary</w:t>
      </w:r>
      <w:r w:rsidR="00B14704" w:rsidRPr="002A4FF9">
        <w:rPr>
          <w:rFonts w:ascii="Arial" w:hAnsi="Arial" w:cs="Arial"/>
          <w:sz w:val="24"/>
          <w:szCs w:val="24"/>
        </w:rPr>
        <w:t xml:space="preserve"> </w:t>
      </w:r>
      <w:r w:rsidR="006304EF" w:rsidRPr="002A4FF9">
        <w:rPr>
          <w:rFonts w:ascii="Arial" w:hAnsi="Arial" w:cs="Arial"/>
          <w:sz w:val="24"/>
          <w:szCs w:val="24"/>
        </w:rPr>
        <w:t xml:space="preserve">heads of argument </w:t>
      </w:r>
      <w:r w:rsidR="00B14704" w:rsidRPr="002A4FF9">
        <w:rPr>
          <w:rFonts w:ascii="Arial" w:hAnsi="Arial" w:cs="Arial"/>
          <w:sz w:val="24"/>
          <w:szCs w:val="24"/>
        </w:rPr>
        <w:t>to be submitted</w:t>
      </w:r>
      <w:r w:rsidR="000F257F" w:rsidRPr="002A4FF9">
        <w:rPr>
          <w:rFonts w:ascii="Arial" w:hAnsi="Arial" w:cs="Arial"/>
          <w:sz w:val="24"/>
          <w:szCs w:val="24"/>
        </w:rPr>
        <w:t xml:space="preserve"> by 10 and 20 March 2023, respectively</w:t>
      </w:r>
      <w:r w:rsidR="006304EF" w:rsidRPr="002A4FF9">
        <w:rPr>
          <w:rFonts w:ascii="Arial" w:hAnsi="Arial" w:cs="Arial"/>
          <w:sz w:val="24"/>
          <w:szCs w:val="24"/>
        </w:rPr>
        <w:t xml:space="preserve">, with the effective </w:t>
      </w:r>
      <w:r w:rsidR="006304EF" w:rsidRPr="002A4FF9">
        <w:rPr>
          <w:rFonts w:ascii="Arial" w:hAnsi="Arial" w:cs="Arial"/>
          <w:sz w:val="24"/>
          <w:szCs w:val="24"/>
        </w:rPr>
        <w:lastRenderedPageBreak/>
        <w:t>date of argument being 20 March 2023</w:t>
      </w:r>
      <w:r w:rsidR="000F257F" w:rsidRPr="002A4FF9">
        <w:rPr>
          <w:rFonts w:ascii="Arial" w:hAnsi="Arial" w:cs="Arial"/>
          <w:sz w:val="24"/>
          <w:szCs w:val="24"/>
        </w:rPr>
        <w:t>.</w:t>
      </w:r>
      <w:r w:rsidR="006304EF" w:rsidRPr="002A4FF9">
        <w:rPr>
          <w:rFonts w:ascii="Arial" w:hAnsi="Arial" w:cs="Arial"/>
          <w:sz w:val="24"/>
          <w:szCs w:val="24"/>
        </w:rPr>
        <w:t xml:space="preserve">  Curiously, only the respondents availed themselves of th</w:t>
      </w:r>
      <w:r w:rsidR="002B0FBC" w:rsidRPr="002A4FF9">
        <w:rPr>
          <w:rFonts w:ascii="Arial" w:hAnsi="Arial" w:cs="Arial"/>
          <w:sz w:val="24"/>
          <w:szCs w:val="24"/>
        </w:rPr>
        <w:t>is</w:t>
      </w:r>
      <w:r w:rsidR="006304EF" w:rsidRPr="002A4FF9">
        <w:rPr>
          <w:rFonts w:ascii="Arial" w:hAnsi="Arial" w:cs="Arial"/>
          <w:sz w:val="24"/>
          <w:szCs w:val="24"/>
        </w:rPr>
        <w:t xml:space="preserve"> opportunity. </w:t>
      </w:r>
    </w:p>
    <w:p w14:paraId="0BC909D5" w14:textId="77777777" w:rsidR="00282AA3" w:rsidRDefault="00282AA3" w:rsidP="00282AA3">
      <w:pPr>
        <w:pStyle w:val="ListParagraph"/>
        <w:spacing w:after="0" w:line="480" w:lineRule="auto"/>
        <w:ind w:left="0"/>
        <w:jc w:val="both"/>
        <w:rPr>
          <w:rFonts w:ascii="Arial" w:hAnsi="Arial" w:cs="Arial"/>
          <w:sz w:val="24"/>
          <w:szCs w:val="24"/>
        </w:rPr>
      </w:pPr>
    </w:p>
    <w:p w14:paraId="3FF8E809" w14:textId="58945DF0" w:rsidR="006D0A50" w:rsidRPr="002A4FF9" w:rsidRDefault="002A4FF9" w:rsidP="002A4FF9">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D0A50" w:rsidRPr="002A4FF9">
        <w:rPr>
          <w:rFonts w:ascii="Arial" w:hAnsi="Arial" w:cs="Arial"/>
          <w:sz w:val="24"/>
          <w:szCs w:val="24"/>
        </w:rPr>
        <w:t>Lastly,</w:t>
      </w:r>
      <w:r w:rsidR="003A787E" w:rsidRPr="002A4FF9">
        <w:rPr>
          <w:rFonts w:ascii="Arial" w:hAnsi="Arial" w:cs="Arial"/>
          <w:sz w:val="24"/>
          <w:szCs w:val="24"/>
        </w:rPr>
        <w:t xml:space="preserve"> </w:t>
      </w:r>
      <w:r w:rsidR="006D0A50" w:rsidRPr="002A4FF9">
        <w:rPr>
          <w:rFonts w:ascii="Arial" w:hAnsi="Arial" w:cs="Arial"/>
          <w:sz w:val="24"/>
          <w:szCs w:val="24"/>
        </w:rPr>
        <w:t>prior to dealing with the merits of the applications, the status of the papers</w:t>
      </w:r>
      <w:r w:rsidR="00DD0581" w:rsidRPr="002A4FF9">
        <w:rPr>
          <w:rFonts w:ascii="Arial" w:hAnsi="Arial" w:cs="Arial"/>
          <w:sz w:val="24"/>
          <w:szCs w:val="24"/>
        </w:rPr>
        <w:t xml:space="preserve"> before court</w:t>
      </w:r>
      <w:r w:rsidR="006D0A50" w:rsidRPr="002A4FF9">
        <w:rPr>
          <w:rFonts w:ascii="Arial" w:hAnsi="Arial" w:cs="Arial"/>
          <w:sz w:val="24"/>
          <w:szCs w:val="24"/>
        </w:rPr>
        <w:t xml:space="preserve"> require</w:t>
      </w:r>
      <w:r w:rsidR="00336EF0" w:rsidRPr="002A4FF9">
        <w:rPr>
          <w:rFonts w:ascii="Arial" w:hAnsi="Arial" w:cs="Arial"/>
          <w:sz w:val="24"/>
          <w:szCs w:val="24"/>
        </w:rPr>
        <w:t>s</w:t>
      </w:r>
      <w:r w:rsidR="006D0A50" w:rsidRPr="002A4FF9">
        <w:rPr>
          <w:rFonts w:ascii="Arial" w:hAnsi="Arial" w:cs="Arial"/>
          <w:sz w:val="24"/>
          <w:szCs w:val="24"/>
        </w:rPr>
        <w:t xml:space="preserve"> comment.  Certain of the annexures</w:t>
      </w:r>
      <w:r w:rsidR="003A787E">
        <w:rPr>
          <w:rStyle w:val="FootnoteReference"/>
          <w:rFonts w:ascii="Arial" w:hAnsi="Arial" w:cs="Arial"/>
          <w:sz w:val="24"/>
          <w:szCs w:val="24"/>
        </w:rPr>
        <w:footnoteReference w:id="5"/>
      </w:r>
      <w:r w:rsidR="006D0A50" w:rsidRPr="002A4FF9">
        <w:rPr>
          <w:rFonts w:ascii="Arial" w:hAnsi="Arial" w:cs="Arial"/>
          <w:sz w:val="24"/>
          <w:szCs w:val="24"/>
        </w:rPr>
        <w:t xml:space="preserve"> to the applicant’s founding papers are not contained in the </w:t>
      </w:r>
      <w:r w:rsidR="00284201" w:rsidRPr="002A4FF9">
        <w:rPr>
          <w:rFonts w:ascii="Arial" w:hAnsi="Arial" w:cs="Arial"/>
          <w:sz w:val="24"/>
          <w:szCs w:val="24"/>
        </w:rPr>
        <w:t>court file</w:t>
      </w:r>
      <w:r w:rsidR="006D0A50" w:rsidRPr="002A4FF9">
        <w:rPr>
          <w:rFonts w:ascii="Arial" w:hAnsi="Arial" w:cs="Arial"/>
          <w:sz w:val="24"/>
          <w:szCs w:val="24"/>
        </w:rPr>
        <w:t xml:space="preserve">.  An explanation for this anomaly </w:t>
      </w:r>
      <w:r w:rsidR="00386498" w:rsidRPr="002A4FF9">
        <w:rPr>
          <w:rFonts w:ascii="Arial" w:hAnsi="Arial" w:cs="Arial"/>
          <w:sz w:val="24"/>
          <w:szCs w:val="24"/>
        </w:rPr>
        <w:t>i</w:t>
      </w:r>
      <w:r w:rsidR="00DA7D35" w:rsidRPr="002A4FF9">
        <w:rPr>
          <w:rFonts w:ascii="Arial" w:hAnsi="Arial" w:cs="Arial"/>
          <w:sz w:val="24"/>
          <w:szCs w:val="24"/>
        </w:rPr>
        <w:t>s</w:t>
      </w:r>
      <w:r w:rsidR="00386498" w:rsidRPr="002A4FF9">
        <w:rPr>
          <w:rFonts w:ascii="Arial" w:hAnsi="Arial" w:cs="Arial"/>
          <w:sz w:val="24"/>
          <w:szCs w:val="24"/>
        </w:rPr>
        <w:t xml:space="preserve"> contained in</w:t>
      </w:r>
      <w:r w:rsidR="006D0A50" w:rsidRPr="002A4FF9">
        <w:rPr>
          <w:rFonts w:ascii="Arial" w:hAnsi="Arial" w:cs="Arial"/>
          <w:sz w:val="24"/>
          <w:szCs w:val="24"/>
        </w:rPr>
        <w:t xml:space="preserve"> an explanatory affidavit, deposed to by the respondents’ attorney of record,</w:t>
      </w:r>
      <w:r w:rsidR="00DA7D35" w:rsidRPr="002A4FF9">
        <w:rPr>
          <w:rFonts w:ascii="Arial" w:hAnsi="Arial" w:cs="Arial"/>
          <w:sz w:val="24"/>
          <w:szCs w:val="24"/>
        </w:rPr>
        <w:t xml:space="preserve"> and was further addressed in argument by the respondents’ counsel in open court on 2 February 2023.  The relevant portion of the affidavit </w:t>
      </w:r>
      <w:r w:rsidR="006D0A50" w:rsidRPr="002A4FF9">
        <w:rPr>
          <w:rFonts w:ascii="Arial" w:hAnsi="Arial" w:cs="Arial"/>
          <w:sz w:val="24"/>
          <w:szCs w:val="24"/>
        </w:rPr>
        <w:t>reads as follows:</w:t>
      </w:r>
    </w:p>
    <w:p w14:paraId="23D883F8" w14:textId="77777777" w:rsidR="006D0A50" w:rsidRPr="006D0A50" w:rsidRDefault="006D0A50" w:rsidP="007E5ACB">
      <w:pPr>
        <w:pStyle w:val="ListParagraph"/>
        <w:spacing w:after="0" w:line="480" w:lineRule="auto"/>
        <w:rPr>
          <w:rFonts w:ascii="Arial" w:hAnsi="Arial" w:cs="Arial"/>
          <w:sz w:val="24"/>
          <w:szCs w:val="24"/>
        </w:rPr>
      </w:pPr>
    </w:p>
    <w:p w14:paraId="1FEB6042" w14:textId="18CCAF7F" w:rsidR="006D0A50" w:rsidRPr="00E27867" w:rsidRDefault="006D0A50" w:rsidP="00E27867">
      <w:pPr>
        <w:pStyle w:val="ListParagraph"/>
        <w:spacing w:after="0" w:line="360" w:lineRule="auto"/>
        <w:jc w:val="both"/>
        <w:rPr>
          <w:rFonts w:ascii="Arial" w:hAnsi="Arial" w:cs="Arial"/>
          <w:i/>
          <w:iCs/>
          <w:lang w:val="en-US"/>
        </w:rPr>
      </w:pPr>
      <w:r>
        <w:rPr>
          <w:rFonts w:ascii="Arial" w:hAnsi="Arial" w:cs="Arial"/>
          <w:sz w:val="24"/>
          <w:szCs w:val="24"/>
        </w:rPr>
        <w:t>“</w:t>
      </w:r>
      <w:r w:rsidRPr="00E27867">
        <w:rPr>
          <w:rFonts w:ascii="Arial" w:hAnsi="Arial" w:cs="Arial"/>
          <w:i/>
          <w:iCs/>
        </w:rPr>
        <w:t>1.</w:t>
      </w:r>
      <w:r w:rsidRPr="00E27867">
        <w:rPr>
          <w:rFonts w:ascii="Arial" w:hAnsi="Arial" w:cs="Arial"/>
          <w:i/>
          <w:iCs/>
        </w:rPr>
        <w:tab/>
        <w:t xml:space="preserve">… the matter </w:t>
      </w:r>
      <w:r w:rsidRPr="00E27867">
        <w:rPr>
          <w:rFonts w:ascii="Arial" w:hAnsi="Arial" w:cs="Arial"/>
          <w:i/>
          <w:iCs/>
          <w:lang w:val="en-US"/>
        </w:rPr>
        <w:t>was before court on the 3</w:t>
      </w:r>
      <w:r w:rsidRPr="00E27867">
        <w:rPr>
          <w:rFonts w:ascii="Arial" w:hAnsi="Arial" w:cs="Arial"/>
          <w:i/>
          <w:iCs/>
          <w:vertAlign w:val="superscript"/>
          <w:lang w:val="en-US"/>
        </w:rPr>
        <w:t>rd</w:t>
      </w:r>
      <w:r w:rsidRPr="00E27867">
        <w:rPr>
          <w:rFonts w:ascii="Arial" w:hAnsi="Arial" w:cs="Arial"/>
          <w:i/>
          <w:iCs/>
          <w:lang w:val="en-US"/>
        </w:rPr>
        <w:t xml:space="preserve"> of February 2022 and was then postponed at the instance of the applicant to the 28</w:t>
      </w:r>
      <w:r w:rsidRPr="00E27867">
        <w:rPr>
          <w:rFonts w:ascii="Arial" w:hAnsi="Arial" w:cs="Arial"/>
          <w:i/>
          <w:iCs/>
          <w:vertAlign w:val="superscript"/>
          <w:lang w:val="en-US"/>
        </w:rPr>
        <w:t>th</w:t>
      </w:r>
      <w:r w:rsidRPr="00E27867">
        <w:rPr>
          <w:rFonts w:ascii="Arial" w:hAnsi="Arial" w:cs="Arial"/>
          <w:i/>
          <w:iCs/>
          <w:lang w:val="en-US"/>
        </w:rPr>
        <w:t xml:space="preserve"> of July 2022 on the opposed court roll.</w:t>
      </w:r>
    </w:p>
    <w:p w14:paraId="5463B2B7" w14:textId="49BDB43A" w:rsidR="006D0A50" w:rsidRPr="00E27867" w:rsidRDefault="006D0A50" w:rsidP="00E27867">
      <w:pPr>
        <w:pStyle w:val="ListParagraph"/>
        <w:spacing w:after="0" w:line="360" w:lineRule="auto"/>
        <w:jc w:val="both"/>
        <w:rPr>
          <w:rFonts w:ascii="Arial" w:hAnsi="Arial" w:cs="Arial"/>
          <w:i/>
          <w:iCs/>
          <w:lang w:val="en-US"/>
        </w:rPr>
      </w:pPr>
      <w:r w:rsidRPr="00E27867">
        <w:rPr>
          <w:rFonts w:ascii="Arial" w:hAnsi="Arial" w:cs="Arial"/>
          <w:i/>
          <w:iCs/>
          <w:lang w:val="en-US"/>
        </w:rPr>
        <w:t>2.</w:t>
      </w:r>
      <w:r w:rsidRPr="00E27867">
        <w:rPr>
          <w:rFonts w:ascii="Arial" w:hAnsi="Arial" w:cs="Arial"/>
          <w:i/>
          <w:iCs/>
          <w:lang w:val="en-US"/>
        </w:rPr>
        <w:tab/>
        <w:t>I attended the court thereafter on numerous occasions trying to get the court ordered dated the 3</w:t>
      </w:r>
      <w:r w:rsidRPr="00E27867">
        <w:rPr>
          <w:rFonts w:ascii="Arial" w:hAnsi="Arial" w:cs="Arial"/>
          <w:i/>
          <w:iCs/>
          <w:vertAlign w:val="superscript"/>
          <w:lang w:val="en-US"/>
        </w:rPr>
        <w:t>rd</w:t>
      </w:r>
      <w:r w:rsidRPr="00E27867">
        <w:rPr>
          <w:rFonts w:ascii="Arial" w:hAnsi="Arial" w:cs="Arial"/>
          <w:i/>
          <w:iCs/>
          <w:lang w:val="en-US"/>
        </w:rPr>
        <w:t xml:space="preserve"> of February 2022 and to ensure that the court file is in order prior to it</w:t>
      </w:r>
      <w:r w:rsidR="00E27867" w:rsidRPr="00E27867">
        <w:rPr>
          <w:rFonts w:ascii="Arial" w:hAnsi="Arial" w:cs="Arial"/>
          <w:i/>
          <w:iCs/>
          <w:lang w:val="en-US"/>
        </w:rPr>
        <w:t xml:space="preserve"> (sic)</w:t>
      </w:r>
      <w:r w:rsidRPr="00E27867">
        <w:rPr>
          <w:rFonts w:ascii="Arial" w:hAnsi="Arial" w:cs="Arial"/>
          <w:i/>
          <w:iCs/>
          <w:lang w:val="en-US"/>
        </w:rPr>
        <w:t xml:space="preserve"> matter being enrolled on the set</w:t>
      </w:r>
      <w:r w:rsidR="00E27867" w:rsidRPr="00E27867">
        <w:rPr>
          <w:rFonts w:ascii="Arial" w:hAnsi="Arial" w:cs="Arial"/>
          <w:i/>
          <w:iCs/>
          <w:lang w:val="en-US"/>
        </w:rPr>
        <w:t>-</w:t>
      </w:r>
      <w:r w:rsidRPr="00E27867">
        <w:rPr>
          <w:rFonts w:ascii="Arial" w:hAnsi="Arial" w:cs="Arial"/>
          <w:i/>
          <w:iCs/>
          <w:lang w:val="en-US"/>
        </w:rPr>
        <w:t>date</w:t>
      </w:r>
      <w:r w:rsidR="00E27867" w:rsidRPr="00E27867">
        <w:rPr>
          <w:rFonts w:ascii="Arial" w:hAnsi="Arial" w:cs="Arial"/>
          <w:i/>
          <w:iCs/>
          <w:lang w:val="en-US"/>
        </w:rPr>
        <w:t xml:space="preserve"> (sic)</w:t>
      </w:r>
      <w:r w:rsidRPr="00E27867">
        <w:rPr>
          <w:rFonts w:ascii="Arial" w:hAnsi="Arial" w:cs="Arial"/>
          <w:i/>
          <w:iCs/>
          <w:lang w:val="en-US"/>
        </w:rPr>
        <w:t xml:space="preserve"> only to be advised that the file is empty.</w:t>
      </w:r>
    </w:p>
    <w:p w14:paraId="3515F3B2" w14:textId="57E59367" w:rsidR="006D0A50" w:rsidRPr="00E27867" w:rsidRDefault="006D0A50" w:rsidP="00E27867">
      <w:pPr>
        <w:pStyle w:val="ListParagraph"/>
        <w:spacing w:after="0" w:line="360" w:lineRule="auto"/>
        <w:jc w:val="both"/>
        <w:rPr>
          <w:rFonts w:ascii="Arial" w:hAnsi="Arial" w:cs="Arial"/>
          <w:i/>
          <w:iCs/>
          <w:lang w:val="en-US"/>
        </w:rPr>
      </w:pPr>
      <w:r w:rsidRPr="00E27867">
        <w:rPr>
          <w:rFonts w:ascii="Arial" w:hAnsi="Arial" w:cs="Arial"/>
          <w:i/>
          <w:iCs/>
          <w:lang w:val="en-US"/>
        </w:rPr>
        <w:t>3.</w:t>
      </w:r>
      <w:r w:rsidRPr="00E27867">
        <w:rPr>
          <w:rFonts w:ascii="Arial" w:hAnsi="Arial" w:cs="Arial"/>
          <w:i/>
          <w:iCs/>
          <w:lang w:val="en-US"/>
        </w:rPr>
        <w:tab/>
        <w:t>I tried to call the applicant</w:t>
      </w:r>
      <w:r w:rsidR="00E27867" w:rsidRPr="00E27867">
        <w:rPr>
          <w:rFonts w:ascii="Arial" w:hAnsi="Arial" w:cs="Arial"/>
          <w:i/>
          <w:iCs/>
          <w:lang w:val="en-US"/>
        </w:rPr>
        <w:t>’</w:t>
      </w:r>
      <w:r w:rsidRPr="00E27867">
        <w:rPr>
          <w:rFonts w:ascii="Arial" w:hAnsi="Arial" w:cs="Arial"/>
          <w:i/>
          <w:iCs/>
          <w:lang w:val="en-US"/>
        </w:rPr>
        <w:t xml:space="preserve">s attorneys to request them to </w:t>
      </w:r>
      <w:r w:rsidR="00E27867" w:rsidRPr="00E27867">
        <w:rPr>
          <w:rFonts w:ascii="Arial" w:hAnsi="Arial" w:cs="Arial"/>
          <w:i/>
          <w:iCs/>
          <w:lang w:val="en-US"/>
        </w:rPr>
        <w:t>e</w:t>
      </w:r>
      <w:r w:rsidRPr="00E27867">
        <w:rPr>
          <w:rFonts w:ascii="Arial" w:hAnsi="Arial" w:cs="Arial"/>
          <w:i/>
          <w:iCs/>
          <w:lang w:val="en-US"/>
        </w:rPr>
        <w:t xml:space="preserve">mail us all the annexes to their notice of motion. </w:t>
      </w:r>
      <w:r w:rsidR="00E27867" w:rsidRPr="00E27867">
        <w:rPr>
          <w:rFonts w:ascii="Arial" w:hAnsi="Arial" w:cs="Arial"/>
          <w:i/>
          <w:iCs/>
          <w:lang w:val="en-US"/>
        </w:rPr>
        <w:t xml:space="preserve"> </w:t>
      </w:r>
      <w:r w:rsidRPr="00E27867">
        <w:rPr>
          <w:rFonts w:ascii="Arial" w:hAnsi="Arial" w:cs="Arial"/>
          <w:i/>
          <w:iCs/>
          <w:lang w:val="en-US"/>
        </w:rPr>
        <w:t>I</w:t>
      </w:r>
      <w:r w:rsidR="00E27867" w:rsidRPr="00E27867">
        <w:rPr>
          <w:rFonts w:ascii="Arial" w:hAnsi="Arial" w:cs="Arial"/>
          <w:i/>
          <w:iCs/>
          <w:lang w:val="en-US"/>
        </w:rPr>
        <w:t xml:space="preserve"> have</w:t>
      </w:r>
      <w:r w:rsidRPr="00E27867">
        <w:rPr>
          <w:rFonts w:ascii="Arial" w:hAnsi="Arial" w:cs="Arial"/>
          <w:i/>
          <w:iCs/>
          <w:lang w:val="en-US"/>
        </w:rPr>
        <w:t xml:space="preserve"> spoken to the director of the firm and he promised that he will make sure that I get the annexes as requested. </w:t>
      </w:r>
      <w:r w:rsidR="00E27867" w:rsidRPr="00E27867">
        <w:rPr>
          <w:rFonts w:ascii="Arial" w:hAnsi="Arial" w:cs="Arial"/>
          <w:i/>
          <w:iCs/>
          <w:lang w:val="en-US"/>
        </w:rPr>
        <w:t xml:space="preserve"> </w:t>
      </w:r>
      <w:r w:rsidRPr="00E27867">
        <w:rPr>
          <w:rFonts w:ascii="Arial" w:hAnsi="Arial" w:cs="Arial"/>
          <w:i/>
          <w:iCs/>
          <w:lang w:val="en-US"/>
        </w:rPr>
        <w:t>I waited until I deposed to this affidavit for those annexes in vain.</w:t>
      </w:r>
    </w:p>
    <w:p w14:paraId="27CB6E24" w14:textId="610191A8" w:rsidR="006D0A50" w:rsidRDefault="006D0A50" w:rsidP="00E27867">
      <w:pPr>
        <w:pStyle w:val="ListParagraph"/>
        <w:spacing w:after="0" w:line="360" w:lineRule="auto"/>
        <w:jc w:val="both"/>
        <w:rPr>
          <w:rFonts w:ascii="Arial" w:hAnsi="Arial" w:cs="Arial"/>
          <w:sz w:val="24"/>
          <w:szCs w:val="24"/>
        </w:rPr>
      </w:pPr>
      <w:r w:rsidRPr="00E27867">
        <w:rPr>
          <w:rFonts w:ascii="Arial" w:hAnsi="Arial" w:cs="Arial"/>
          <w:i/>
          <w:iCs/>
          <w:lang w:val="en-US"/>
        </w:rPr>
        <w:t>4.</w:t>
      </w:r>
      <w:r w:rsidRPr="00E27867">
        <w:rPr>
          <w:rFonts w:ascii="Arial" w:hAnsi="Arial" w:cs="Arial"/>
          <w:i/>
          <w:iCs/>
          <w:lang w:val="en-US"/>
        </w:rPr>
        <w:tab/>
        <w:t xml:space="preserve">I then decided to construct a temporal </w:t>
      </w:r>
      <w:r w:rsidR="00E27867" w:rsidRPr="00E27867">
        <w:rPr>
          <w:rFonts w:ascii="Arial" w:hAnsi="Arial" w:cs="Arial"/>
          <w:i/>
          <w:iCs/>
          <w:lang w:val="en-US"/>
        </w:rPr>
        <w:t xml:space="preserve">(sic) </w:t>
      </w:r>
      <w:r w:rsidRPr="00E27867">
        <w:rPr>
          <w:rFonts w:ascii="Arial" w:hAnsi="Arial" w:cs="Arial"/>
          <w:i/>
          <w:iCs/>
          <w:lang w:val="en-US"/>
        </w:rPr>
        <w:t>file as the original file could not be found or located by the cl</w:t>
      </w:r>
      <w:r w:rsidR="00E27867" w:rsidRPr="00E27867">
        <w:rPr>
          <w:rFonts w:ascii="Arial" w:hAnsi="Arial" w:cs="Arial"/>
          <w:i/>
          <w:iCs/>
          <w:lang w:val="en-US"/>
        </w:rPr>
        <w:t>erk</w:t>
      </w:r>
      <w:r w:rsidRPr="00E27867">
        <w:rPr>
          <w:rFonts w:ascii="Arial" w:hAnsi="Arial" w:cs="Arial"/>
          <w:i/>
          <w:iCs/>
          <w:lang w:val="en-US"/>
        </w:rPr>
        <w:t>s and its whereabouts remain unknown</w:t>
      </w:r>
      <w:r>
        <w:rPr>
          <w:rFonts w:ascii="Arial" w:hAnsi="Arial" w:cs="Arial"/>
          <w:sz w:val="24"/>
          <w:szCs w:val="24"/>
          <w:lang w:val="en-US"/>
        </w:rPr>
        <w:t>.”</w:t>
      </w:r>
    </w:p>
    <w:p w14:paraId="4AEA781C" w14:textId="77777777" w:rsidR="006D0A50" w:rsidRPr="006D0A50" w:rsidRDefault="006D0A50" w:rsidP="00E27867">
      <w:pPr>
        <w:pStyle w:val="ListParagraph"/>
        <w:spacing w:after="0" w:line="480" w:lineRule="auto"/>
        <w:rPr>
          <w:rFonts w:ascii="Arial" w:hAnsi="Arial" w:cs="Arial"/>
          <w:sz w:val="24"/>
          <w:szCs w:val="24"/>
        </w:rPr>
      </w:pPr>
    </w:p>
    <w:p w14:paraId="324A5D58" w14:textId="0290101F" w:rsidR="00E27867" w:rsidRPr="002A4FF9" w:rsidRDefault="002A4FF9" w:rsidP="002A4FF9">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F3C5B" w:rsidRPr="002A4FF9">
        <w:rPr>
          <w:rFonts w:ascii="Arial" w:hAnsi="Arial" w:cs="Arial"/>
          <w:sz w:val="24"/>
          <w:szCs w:val="24"/>
        </w:rPr>
        <w:t xml:space="preserve">Prior to the delivery of judgment, and </w:t>
      </w:r>
      <w:r w:rsidR="0059596B" w:rsidRPr="002A4FF9">
        <w:rPr>
          <w:rFonts w:ascii="Arial" w:hAnsi="Arial" w:cs="Arial"/>
          <w:sz w:val="24"/>
          <w:szCs w:val="24"/>
        </w:rPr>
        <w:t xml:space="preserve">despite </w:t>
      </w:r>
      <w:r w:rsidR="004227B0" w:rsidRPr="002A4FF9">
        <w:rPr>
          <w:rFonts w:ascii="Arial" w:hAnsi="Arial" w:cs="Arial"/>
          <w:sz w:val="24"/>
          <w:szCs w:val="24"/>
        </w:rPr>
        <w:t xml:space="preserve">efforts, through the offices of my </w:t>
      </w:r>
      <w:r w:rsidR="00C37C05" w:rsidRPr="002A4FF9">
        <w:rPr>
          <w:rFonts w:ascii="Arial" w:hAnsi="Arial" w:cs="Arial"/>
          <w:sz w:val="24"/>
          <w:szCs w:val="24"/>
        </w:rPr>
        <w:t>clerk</w:t>
      </w:r>
      <w:r w:rsidR="004227B0" w:rsidRPr="002A4FF9">
        <w:rPr>
          <w:rFonts w:ascii="Arial" w:hAnsi="Arial" w:cs="Arial"/>
          <w:sz w:val="24"/>
          <w:szCs w:val="24"/>
        </w:rPr>
        <w:t xml:space="preserve">, </w:t>
      </w:r>
      <w:r w:rsidR="00E27867" w:rsidRPr="002A4FF9">
        <w:rPr>
          <w:rFonts w:ascii="Arial" w:hAnsi="Arial" w:cs="Arial"/>
          <w:sz w:val="24"/>
          <w:szCs w:val="24"/>
        </w:rPr>
        <w:t xml:space="preserve">the missing annexures were unable to be located to supplement the court file.  Having said that, and given the finding to which I have arrived, the matter can readily </w:t>
      </w:r>
      <w:r w:rsidR="00E27867" w:rsidRPr="002A4FF9">
        <w:rPr>
          <w:rFonts w:ascii="Arial" w:hAnsi="Arial" w:cs="Arial"/>
          <w:sz w:val="24"/>
          <w:szCs w:val="24"/>
        </w:rPr>
        <w:lastRenderedPageBreak/>
        <w:t>be disposed of on the papers</w:t>
      </w:r>
      <w:r w:rsidR="000762AF" w:rsidRPr="002A4FF9">
        <w:rPr>
          <w:rFonts w:ascii="Arial" w:hAnsi="Arial" w:cs="Arial"/>
          <w:sz w:val="24"/>
          <w:szCs w:val="24"/>
        </w:rPr>
        <w:t xml:space="preserve">, as constituted, </w:t>
      </w:r>
      <w:r w:rsidR="00E27867" w:rsidRPr="002A4FF9">
        <w:rPr>
          <w:rFonts w:ascii="Arial" w:hAnsi="Arial" w:cs="Arial"/>
          <w:sz w:val="24"/>
          <w:szCs w:val="24"/>
        </w:rPr>
        <w:t>without reference to the annexures</w:t>
      </w:r>
      <w:r w:rsidR="00814708" w:rsidRPr="002A4FF9">
        <w:rPr>
          <w:rFonts w:ascii="Arial" w:hAnsi="Arial" w:cs="Arial"/>
          <w:sz w:val="24"/>
          <w:szCs w:val="24"/>
        </w:rPr>
        <w:t xml:space="preserve"> in question</w:t>
      </w:r>
      <w:r w:rsidR="00E27867" w:rsidRPr="002A4FF9">
        <w:rPr>
          <w:rFonts w:ascii="Arial" w:hAnsi="Arial" w:cs="Arial"/>
          <w:sz w:val="24"/>
          <w:szCs w:val="24"/>
        </w:rPr>
        <w:t>.</w:t>
      </w:r>
    </w:p>
    <w:p w14:paraId="48E6B0C3" w14:textId="37A9D564" w:rsidR="000762AF" w:rsidRDefault="000762AF" w:rsidP="000762AF">
      <w:pPr>
        <w:pStyle w:val="ListParagraph"/>
        <w:spacing w:after="0" w:line="480" w:lineRule="auto"/>
        <w:ind w:left="0"/>
        <w:jc w:val="both"/>
        <w:rPr>
          <w:rFonts w:ascii="Arial" w:hAnsi="Arial" w:cs="Arial"/>
          <w:sz w:val="24"/>
          <w:szCs w:val="24"/>
        </w:rPr>
      </w:pPr>
    </w:p>
    <w:p w14:paraId="322094E8" w14:textId="7096BBBE" w:rsidR="009D2942" w:rsidRPr="009D2942" w:rsidRDefault="009D2942" w:rsidP="000762AF">
      <w:pPr>
        <w:pStyle w:val="ListParagraph"/>
        <w:spacing w:after="0" w:line="480" w:lineRule="auto"/>
        <w:ind w:left="0"/>
        <w:jc w:val="both"/>
        <w:rPr>
          <w:rFonts w:ascii="Arial" w:hAnsi="Arial" w:cs="Arial"/>
          <w:b/>
          <w:bCs/>
          <w:sz w:val="24"/>
          <w:szCs w:val="24"/>
          <w:u w:val="single"/>
        </w:rPr>
      </w:pPr>
      <w:r w:rsidRPr="009D2942">
        <w:rPr>
          <w:rFonts w:ascii="Arial" w:hAnsi="Arial" w:cs="Arial"/>
          <w:b/>
          <w:bCs/>
          <w:sz w:val="24"/>
          <w:szCs w:val="24"/>
          <w:u w:val="single"/>
        </w:rPr>
        <w:t>Background</w:t>
      </w:r>
    </w:p>
    <w:p w14:paraId="2C06DA05" w14:textId="7EA3DFDC" w:rsidR="000762AF" w:rsidRDefault="000762AF" w:rsidP="009D2942">
      <w:pPr>
        <w:pStyle w:val="ListParagraph"/>
        <w:spacing w:after="0" w:line="480" w:lineRule="auto"/>
        <w:ind w:left="0"/>
        <w:jc w:val="both"/>
        <w:rPr>
          <w:rFonts w:ascii="Arial" w:hAnsi="Arial" w:cs="Arial"/>
          <w:sz w:val="24"/>
          <w:szCs w:val="24"/>
        </w:rPr>
      </w:pPr>
    </w:p>
    <w:p w14:paraId="0442AE83" w14:textId="0EC506B4" w:rsidR="003E3314" w:rsidRPr="002A4FF9" w:rsidRDefault="002A4FF9" w:rsidP="002A4FF9">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D2942" w:rsidRPr="002A4FF9">
        <w:rPr>
          <w:rFonts w:ascii="Arial" w:hAnsi="Arial" w:cs="Arial"/>
          <w:sz w:val="24"/>
          <w:szCs w:val="24"/>
        </w:rPr>
        <w:t>The deceased</w:t>
      </w:r>
      <w:r w:rsidR="00FE2E32" w:rsidRPr="002A4FF9">
        <w:rPr>
          <w:rFonts w:ascii="Arial" w:hAnsi="Arial" w:cs="Arial"/>
          <w:sz w:val="24"/>
          <w:szCs w:val="24"/>
        </w:rPr>
        <w:t xml:space="preserve"> died intestate on 13 September 2018</w:t>
      </w:r>
      <w:r w:rsidR="00C2009F" w:rsidRPr="002A4FF9">
        <w:rPr>
          <w:rFonts w:ascii="Arial" w:hAnsi="Arial" w:cs="Arial"/>
          <w:sz w:val="24"/>
          <w:szCs w:val="24"/>
        </w:rPr>
        <w:t xml:space="preserve"> leaving behind </w:t>
      </w:r>
      <w:r w:rsidR="00FE2E32" w:rsidRPr="002A4FF9">
        <w:rPr>
          <w:rFonts w:ascii="Arial" w:hAnsi="Arial" w:cs="Arial"/>
          <w:sz w:val="24"/>
          <w:szCs w:val="24"/>
        </w:rPr>
        <w:t xml:space="preserve">her four children, </w:t>
      </w:r>
      <w:r w:rsidR="00BA5FE9" w:rsidRPr="002A4FF9">
        <w:rPr>
          <w:rFonts w:ascii="Arial" w:hAnsi="Arial" w:cs="Arial"/>
          <w:sz w:val="24"/>
          <w:szCs w:val="24"/>
        </w:rPr>
        <w:t xml:space="preserve">namely, </w:t>
      </w:r>
      <w:r w:rsidR="00FE2E32" w:rsidRPr="002A4FF9">
        <w:rPr>
          <w:rFonts w:ascii="Arial" w:hAnsi="Arial" w:cs="Arial"/>
          <w:sz w:val="24"/>
          <w:szCs w:val="24"/>
        </w:rPr>
        <w:t>the applicant and the second to fourth respondents</w:t>
      </w:r>
      <w:r w:rsidR="00BA5FE9" w:rsidRPr="002A4FF9">
        <w:rPr>
          <w:rFonts w:ascii="Arial" w:hAnsi="Arial" w:cs="Arial"/>
          <w:sz w:val="24"/>
          <w:szCs w:val="24"/>
        </w:rPr>
        <w:t>.</w:t>
      </w:r>
      <w:r w:rsidR="00FE2E32" w:rsidRPr="002A4FF9">
        <w:rPr>
          <w:rFonts w:ascii="Arial" w:hAnsi="Arial" w:cs="Arial"/>
          <w:sz w:val="24"/>
          <w:szCs w:val="24"/>
        </w:rPr>
        <w:t xml:space="preserve">  Whilst the third respondent was initially appointed as the executor in the deceased estate, on 20 November 2018, his appointment was</w:t>
      </w:r>
      <w:r w:rsidR="00BA5FE9" w:rsidRPr="002A4FF9">
        <w:rPr>
          <w:rFonts w:ascii="Arial" w:hAnsi="Arial" w:cs="Arial"/>
          <w:sz w:val="24"/>
          <w:szCs w:val="24"/>
        </w:rPr>
        <w:t xml:space="preserve"> </w:t>
      </w:r>
      <w:r w:rsidR="00FE2E32" w:rsidRPr="002A4FF9">
        <w:rPr>
          <w:rFonts w:ascii="Arial" w:hAnsi="Arial" w:cs="Arial"/>
          <w:sz w:val="24"/>
          <w:szCs w:val="24"/>
        </w:rPr>
        <w:t xml:space="preserve">successfully challenged by the </w:t>
      </w:r>
      <w:r w:rsidR="004F7799" w:rsidRPr="002A4FF9">
        <w:rPr>
          <w:rFonts w:ascii="Arial" w:hAnsi="Arial" w:cs="Arial"/>
          <w:sz w:val="24"/>
          <w:szCs w:val="24"/>
        </w:rPr>
        <w:t>applicant</w:t>
      </w:r>
      <w:r w:rsidR="00FE2E32" w:rsidRPr="002A4FF9">
        <w:rPr>
          <w:rFonts w:ascii="Arial" w:hAnsi="Arial" w:cs="Arial"/>
          <w:sz w:val="24"/>
          <w:szCs w:val="24"/>
        </w:rPr>
        <w:t xml:space="preserve"> on the basis that the third respondent had fraudulently misrepresented his nomination to the first respondent.  </w:t>
      </w:r>
      <w:r w:rsidR="00BE0E7E" w:rsidRPr="002A4FF9">
        <w:rPr>
          <w:rFonts w:ascii="Arial" w:hAnsi="Arial" w:cs="Arial"/>
          <w:sz w:val="24"/>
          <w:szCs w:val="24"/>
        </w:rPr>
        <w:t xml:space="preserve">Albeit that the respondents denied any fraudulent conduct on behalf of the third respondent, </w:t>
      </w:r>
      <w:r w:rsidR="00FE2E32" w:rsidRPr="002A4FF9">
        <w:rPr>
          <w:rFonts w:ascii="Arial" w:hAnsi="Arial" w:cs="Arial"/>
          <w:sz w:val="24"/>
          <w:szCs w:val="24"/>
        </w:rPr>
        <w:t>in their answering affidavit</w:t>
      </w:r>
      <w:r w:rsidR="00BA5FE9" w:rsidRPr="002A4FF9">
        <w:rPr>
          <w:rFonts w:ascii="Arial" w:hAnsi="Arial" w:cs="Arial"/>
          <w:sz w:val="24"/>
          <w:szCs w:val="24"/>
        </w:rPr>
        <w:t>,</w:t>
      </w:r>
      <w:r w:rsidR="001332C7" w:rsidRPr="002A4FF9">
        <w:rPr>
          <w:rFonts w:ascii="Arial" w:hAnsi="Arial" w:cs="Arial"/>
          <w:sz w:val="24"/>
          <w:szCs w:val="24"/>
        </w:rPr>
        <w:t xml:space="preserve"> </w:t>
      </w:r>
      <w:r w:rsidR="00BE0E7E" w:rsidRPr="002A4FF9">
        <w:rPr>
          <w:rFonts w:ascii="Arial" w:hAnsi="Arial" w:cs="Arial"/>
          <w:sz w:val="24"/>
          <w:szCs w:val="24"/>
        </w:rPr>
        <w:t>this aspect was later</w:t>
      </w:r>
      <w:r w:rsidR="00BA5FE9" w:rsidRPr="002A4FF9">
        <w:rPr>
          <w:rFonts w:ascii="Arial" w:hAnsi="Arial" w:cs="Arial"/>
          <w:sz w:val="24"/>
          <w:szCs w:val="24"/>
        </w:rPr>
        <w:t xml:space="preserve"> conceded </w:t>
      </w:r>
      <w:r w:rsidR="003E3314" w:rsidRPr="002A4FF9">
        <w:rPr>
          <w:rFonts w:ascii="Arial" w:hAnsi="Arial" w:cs="Arial"/>
          <w:sz w:val="24"/>
          <w:szCs w:val="24"/>
        </w:rPr>
        <w:t>in the</w:t>
      </w:r>
      <w:r w:rsidR="00BE0E7E" w:rsidRPr="002A4FF9">
        <w:rPr>
          <w:rFonts w:ascii="Arial" w:hAnsi="Arial" w:cs="Arial"/>
          <w:sz w:val="24"/>
          <w:szCs w:val="24"/>
        </w:rPr>
        <w:t xml:space="preserve"> respondents’</w:t>
      </w:r>
      <w:r w:rsidR="003E3314" w:rsidRPr="002A4FF9">
        <w:rPr>
          <w:rFonts w:ascii="Arial" w:hAnsi="Arial" w:cs="Arial"/>
          <w:sz w:val="24"/>
          <w:szCs w:val="24"/>
        </w:rPr>
        <w:t xml:space="preserve"> heads of argument.</w:t>
      </w:r>
      <w:r w:rsidR="003E3314">
        <w:rPr>
          <w:rStyle w:val="FootnoteReference"/>
          <w:rFonts w:ascii="Arial" w:hAnsi="Arial" w:cs="Arial"/>
          <w:sz w:val="24"/>
          <w:szCs w:val="24"/>
        </w:rPr>
        <w:footnoteReference w:id="6"/>
      </w:r>
    </w:p>
    <w:p w14:paraId="64966950" w14:textId="77777777" w:rsidR="00BE0E7E" w:rsidRDefault="00BE0E7E" w:rsidP="00BE0E7E">
      <w:pPr>
        <w:pStyle w:val="ListParagraph"/>
        <w:spacing w:after="0" w:line="480" w:lineRule="auto"/>
        <w:ind w:left="0"/>
        <w:jc w:val="both"/>
        <w:rPr>
          <w:rFonts w:ascii="Arial" w:hAnsi="Arial" w:cs="Arial"/>
          <w:sz w:val="24"/>
          <w:szCs w:val="24"/>
        </w:rPr>
      </w:pPr>
    </w:p>
    <w:p w14:paraId="1E9C5B41" w14:textId="65BD97BA" w:rsidR="006C7C64" w:rsidRPr="002A4FF9" w:rsidRDefault="002A4FF9" w:rsidP="002A4FF9">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47A96" w:rsidRPr="002A4FF9">
        <w:rPr>
          <w:rFonts w:ascii="Arial" w:hAnsi="Arial" w:cs="Arial"/>
          <w:sz w:val="24"/>
          <w:szCs w:val="24"/>
        </w:rPr>
        <w:t>T</w:t>
      </w:r>
      <w:r w:rsidR="00BE0E7E" w:rsidRPr="002A4FF9">
        <w:rPr>
          <w:rFonts w:ascii="Arial" w:hAnsi="Arial" w:cs="Arial"/>
          <w:sz w:val="24"/>
          <w:szCs w:val="24"/>
        </w:rPr>
        <w:t>he applicant was thereafter appointed as the</w:t>
      </w:r>
      <w:r w:rsidR="00647A96" w:rsidRPr="002A4FF9">
        <w:rPr>
          <w:rFonts w:ascii="Arial" w:hAnsi="Arial" w:cs="Arial"/>
          <w:sz w:val="24"/>
          <w:szCs w:val="24"/>
        </w:rPr>
        <w:t xml:space="preserve"> sole</w:t>
      </w:r>
      <w:r w:rsidR="00BE0E7E" w:rsidRPr="002A4FF9">
        <w:rPr>
          <w:rFonts w:ascii="Arial" w:hAnsi="Arial" w:cs="Arial"/>
          <w:sz w:val="24"/>
          <w:szCs w:val="24"/>
        </w:rPr>
        <w:t xml:space="preserve"> executor of the deceased estate on 6 June 2019.</w:t>
      </w:r>
      <w:r w:rsidR="00F147AE" w:rsidRPr="002A4FF9">
        <w:rPr>
          <w:rFonts w:ascii="Arial" w:hAnsi="Arial" w:cs="Arial"/>
          <w:sz w:val="24"/>
          <w:szCs w:val="24"/>
        </w:rPr>
        <w:t xml:space="preserve">  Due to </w:t>
      </w:r>
      <w:r w:rsidR="00CD6ADF" w:rsidRPr="002A4FF9">
        <w:rPr>
          <w:rFonts w:ascii="Arial" w:hAnsi="Arial" w:cs="Arial"/>
          <w:sz w:val="24"/>
          <w:szCs w:val="24"/>
        </w:rPr>
        <w:t>a divide in the family regarding the administration of the deceased estate, the assistant master convened a meeting at the Masters’ Office on 25 October 2019 in an endeavour to resolve the family’s differences</w:t>
      </w:r>
      <w:r w:rsidR="00284DD8" w:rsidRPr="002A4FF9">
        <w:rPr>
          <w:rFonts w:ascii="Arial" w:hAnsi="Arial" w:cs="Arial"/>
          <w:sz w:val="24"/>
          <w:szCs w:val="24"/>
        </w:rPr>
        <w:t>, including the issue of whether the applicant ought to remain as executor of the deceased estate</w:t>
      </w:r>
      <w:r w:rsidR="00CD6ADF" w:rsidRPr="002A4FF9">
        <w:rPr>
          <w:rFonts w:ascii="Arial" w:hAnsi="Arial" w:cs="Arial"/>
          <w:sz w:val="24"/>
          <w:szCs w:val="24"/>
        </w:rPr>
        <w:t>.</w:t>
      </w:r>
      <w:r w:rsidR="00F43784" w:rsidRPr="002A4FF9">
        <w:rPr>
          <w:rFonts w:ascii="Arial" w:hAnsi="Arial" w:cs="Arial"/>
          <w:sz w:val="24"/>
          <w:szCs w:val="24"/>
        </w:rPr>
        <w:t xml:space="preserve">  </w:t>
      </w:r>
    </w:p>
    <w:p w14:paraId="6F65A1A8" w14:textId="77777777" w:rsidR="006C7C64" w:rsidRPr="006C7C64" w:rsidRDefault="006C7C64" w:rsidP="006C7C64">
      <w:pPr>
        <w:pStyle w:val="ListParagraph"/>
        <w:rPr>
          <w:rFonts w:ascii="Arial" w:hAnsi="Arial" w:cs="Arial"/>
          <w:sz w:val="24"/>
          <w:szCs w:val="24"/>
        </w:rPr>
      </w:pPr>
    </w:p>
    <w:p w14:paraId="59B88360" w14:textId="357555CC" w:rsidR="00C95444" w:rsidRPr="002A4FF9" w:rsidRDefault="002A4FF9" w:rsidP="002A4FF9">
      <w:pPr>
        <w:spacing w:after="0"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F43784" w:rsidRPr="002A4FF9">
        <w:rPr>
          <w:rFonts w:ascii="Arial" w:hAnsi="Arial" w:cs="Arial"/>
          <w:sz w:val="24"/>
          <w:szCs w:val="24"/>
        </w:rPr>
        <w:t>Notwithstanding that the aforesaid issue was resolved in favour of the applicant, the assistant master issued a notice of removal to the applicant via email on 20 December 2019,</w:t>
      </w:r>
      <w:r w:rsidR="00817D42">
        <w:rPr>
          <w:rStyle w:val="FootnoteReference"/>
          <w:rFonts w:ascii="Arial" w:hAnsi="Arial" w:cs="Arial"/>
          <w:sz w:val="24"/>
          <w:szCs w:val="24"/>
        </w:rPr>
        <w:footnoteReference w:id="7"/>
      </w:r>
      <w:r w:rsidR="00F43784" w:rsidRPr="002A4FF9">
        <w:rPr>
          <w:rFonts w:ascii="Arial" w:hAnsi="Arial" w:cs="Arial"/>
          <w:sz w:val="24"/>
          <w:szCs w:val="24"/>
        </w:rPr>
        <w:t xml:space="preserve"> affording the applicant seven days within which to provide reasons, if any, why she should not be removed.  The basis for the proposed removal </w:t>
      </w:r>
      <w:r w:rsidR="00E10E5B" w:rsidRPr="002A4FF9">
        <w:rPr>
          <w:rFonts w:ascii="Arial" w:hAnsi="Arial" w:cs="Arial"/>
          <w:sz w:val="24"/>
          <w:szCs w:val="24"/>
        </w:rPr>
        <w:t>was</w:t>
      </w:r>
      <w:r w:rsidR="00F43784" w:rsidRPr="002A4FF9">
        <w:rPr>
          <w:rFonts w:ascii="Arial" w:hAnsi="Arial" w:cs="Arial"/>
          <w:sz w:val="24"/>
          <w:szCs w:val="24"/>
        </w:rPr>
        <w:t xml:space="preserve"> cited as the receipt of new complaints regarding the manner in which the applicant had dealt with the administration of the estate.  </w:t>
      </w:r>
      <w:r w:rsidR="00C96F7F" w:rsidRPr="002A4FF9">
        <w:rPr>
          <w:rFonts w:ascii="Arial" w:hAnsi="Arial" w:cs="Arial"/>
          <w:sz w:val="24"/>
          <w:szCs w:val="24"/>
        </w:rPr>
        <w:t xml:space="preserve">Ultimately however, </w:t>
      </w:r>
      <w:r w:rsidR="00F43784" w:rsidRPr="002A4FF9">
        <w:rPr>
          <w:rFonts w:ascii="Arial" w:hAnsi="Arial" w:cs="Arial"/>
          <w:sz w:val="24"/>
          <w:szCs w:val="24"/>
        </w:rPr>
        <w:t xml:space="preserve">the assistant master decided not to remove the applicant as executor but instead, </w:t>
      </w:r>
      <w:r w:rsidR="00C95444" w:rsidRPr="002A4FF9">
        <w:rPr>
          <w:rFonts w:ascii="Arial" w:hAnsi="Arial" w:cs="Arial"/>
          <w:sz w:val="24"/>
          <w:szCs w:val="24"/>
        </w:rPr>
        <w:t>on 16 March 2020, advised the applicant of her decision to appoint the second respondent as co-executor, advising that any person aggrieved by the decision “</w:t>
      </w:r>
      <w:r w:rsidR="00C95444" w:rsidRPr="002A4FF9">
        <w:rPr>
          <w:rFonts w:ascii="Arial" w:hAnsi="Arial" w:cs="Arial"/>
          <w:i/>
          <w:iCs/>
          <w:sz w:val="24"/>
          <w:szCs w:val="24"/>
        </w:rPr>
        <w:t>must come up with a better solution</w:t>
      </w:r>
      <w:r w:rsidR="00C95444" w:rsidRPr="002A4FF9">
        <w:rPr>
          <w:rFonts w:ascii="Arial" w:hAnsi="Arial" w:cs="Arial"/>
          <w:sz w:val="24"/>
          <w:szCs w:val="24"/>
        </w:rPr>
        <w:t xml:space="preserve">”.  </w:t>
      </w:r>
    </w:p>
    <w:p w14:paraId="687D4B78" w14:textId="4016545C" w:rsidR="006C7C64" w:rsidRDefault="006C7C64" w:rsidP="005F3AC0">
      <w:pPr>
        <w:pStyle w:val="ListParagraph"/>
        <w:spacing w:after="0" w:line="480" w:lineRule="auto"/>
        <w:ind w:left="0"/>
        <w:jc w:val="both"/>
        <w:rPr>
          <w:rFonts w:ascii="Arial" w:hAnsi="Arial" w:cs="Arial"/>
          <w:sz w:val="24"/>
          <w:szCs w:val="24"/>
        </w:rPr>
      </w:pPr>
    </w:p>
    <w:p w14:paraId="063ADB3A" w14:textId="2C5D8A38" w:rsidR="00F92F4F" w:rsidRPr="002A4FF9" w:rsidRDefault="002A4FF9" w:rsidP="002A4FF9">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C7C64" w:rsidRPr="002A4FF9">
        <w:rPr>
          <w:rFonts w:ascii="Arial" w:hAnsi="Arial" w:cs="Arial"/>
          <w:sz w:val="24"/>
          <w:szCs w:val="24"/>
        </w:rPr>
        <w:t>On the same</w:t>
      </w:r>
      <w:r w:rsidR="00C6365D" w:rsidRPr="002A4FF9">
        <w:rPr>
          <w:rFonts w:ascii="Arial" w:hAnsi="Arial" w:cs="Arial"/>
          <w:sz w:val="24"/>
          <w:szCs w:val="24"/>
        </w:rPr>
        <w:t xml:space="preserve"> day, the applicant’s attorney of record directed correspondence to the assistant master, requesting that the letters of authority be held </w:t>
      </w:r>
      <w:r w:rsidR="005F3AC0" w:rsidRPr="002A4FF9">
        <w:rPr>
          <w:rFonts w:ascii="Arial" w:hAnsi="Arial" w:cs="Arial"/>
          <w:sz w:val="24"/>
          <w:szCs w:val="24"/>
        </w:rPr>
        <w:t xml:space="preserve">in abeyance </w:t>
      </w:r>
      <w:r w:rsidR="00C6365D" w:rsidRPr="002A4FF9">
        <w:rPr>
          <w:rFonts w:ascii="Arial" w:hAnsi="Arial" w:cs="Arial"/>
          <w:sz w:val="24"/>
          <w:szCs w:val="24"/>
        </w:rPr>
        <w:t>until</w:t>
      </w:r>
      <w:r w:rsidR="005F3AC0" w:rsidRPr="002A4FF9">
        <w:rPr>
          <w:rFonts w:ascii="Arial" w:hAnsi="Arial" w:cs="Arial"/>
          <w:sz w:val="24"/>
          <w:szCs w:val="24"/>
        </w:rPr>
        <w:t xml:space="preserve"> such time as</w:t>
      </w:r>
      <w:r w:rsidR="00C6365D" w:rsidRPr="002A4FF9">
        <w:rPr>
          <w:rFonts w:ascii="Arial" w:hAnsi="Arial" w:cs="Arial"/>
          <w:sz w:val="24"/>
          <w:szCs w:val="24"/>
        </w:rPr>
        <w:t xml:space="preserve"> the applicant had been afforded an opportunity to consult with her attorney of record and make representations in respect of the proposed appointment.  The assistant master, in the face </w:t>
      </w:r>
      <w:r w:rsidR="006E73F4" w:rsidRPr="002A4FF9">
        <w:rPr>
          <w:rFonts w:ascii="Arial" w:hAnsi="Arial" w:cs="Arial"/>
          <w:sz w:val="24"/>
          <w:szCs w:val="24"/>
        </w:rPr>
        <w:t>o</w:t>
      </w:r>
      <w:r w:rsidR="00C6365D" w:rsidRPr="002A4FF9">
        <w:rPr>
          <w:rFonts w:ascii="Arial" w:hAnsi="Arial" w:cs="Arial"/>
          <w:sz w:val="24"/>
          <w:szCs w:val="24"/>
        </w:rPr>
        <w:t xml:space="preserve">f the aforesaid correspondence, </w:t>
      </w:r>
      <w:r w:rsidR="005F3AC0" w:rsidRPr="002A4FF9">
        <w:rPr>
          <w:rFonts w:ascii="Arial" w:hAnsi="Arial" w:cs="Arial"/>
          <w:sz w:val="24"/>
          <w:szCs w:val="24"/>
        </w:rPr>
        <w:t>took no cognisance of the request and proceeded to appoint the second respondent as co-executor on 17 March 2020.</w:t>
      </w:r>
      <w:r w:rsidR="00F92F4F" w:rsidRPr="002A4FF9">
        <w:rPr>
          <w:rFonts w:ascii="Arial" w:hAnsi="Arial" w:cs="Arial"/>
          <w:sz w:val="24"/>
          <w:szCs w:val="24"/>
        </w:rPr>
        <w:t xml:space="preserve">  </w:t>
      </w:r>
    </w:p>
    <w:p w14:paraId="1AF8FFFD" w14:textId="77777777" w:rsidR="00F92F4F" w:rsidRPr="00F92F4F" w:rsidRDefault="00F92F4F" w:rsidP="001B4AD1">
      <w:pPr>
        <w:pStyle w:val="ListParagraph"/>
        <w:spacing w:after="0" w:line="480" w:lineRule="auto"/>
        <w:rPr>
          <w:rFonts w:ascii="Arial" w:hAnsi="Arial" w:cs="Arial"/>
          <w:sz w:val="24"/>
          <w:szCs w:val="24"/>
        </w:rPr>
      </w:pPr>
    </w:p>
    <w:p w14:paraId="70C232C0" w14:textId="216298BE" w:rsidR="005F3AC0" w:rsidRPr="002A4FF9" w:rsidRDefault="002A4FF9" w:rsidP="002A4FF9">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F3AC0" w:rsidRPr="002A4FF9">
        <w:rPr>
          <w:rFonts w:ascii="Arial" w:hAnsi="Arial" w:cs="Arial"/>
          <w:sz w:val="24"/>
          <w:szCs w:val="24"/>
        </w:rPr>
        <w:t xml:space="preserve">The </w:t>
      </w:r>
      <w:r w:rsidR="001B4AD1" w:rsidRPr="002A4FF9">
        <w:rPr>
          <w:rFonts w:ascii="Arial" w:hAnsi="Arial" w:cs="Arial"/>
          <w:sz w:val="24"/>
          <w:szCs w:val="24"/>
        </w:rPr>
        <w:t xml:space="preserve">events culminating in the appointment of the </w:t>
      </w:r>
      <w:r w:rsidR="005F3AC0" w:rsidRPr="002A4FF9">
        <w:rPr>
          <w:rFonts w:ascii="Arial" w:hAnsi="Arial" w:cs="Arial"/>
          <w:sz w:val="24"/>
          <w:szCs w:val="24"/>
        </w:rPr>
        <w:t>second respondent</w:t>
      </w:r>
      <w:r w:rsidR="001B4AD1" w:rsidRPr="002A4FF9">
        <w:rPr>
          <w:rFonts w:ascii="Arial" w:hAnsi="Arial" w:cs="Arial"/>
          <w:sz w:val="24"/>
          <w:szCs w:val="24"/>
        </w:rPr>
        <w:t xml:space="preserve"> as co-executor</w:t>
      </w:r>
      <w:r w:rsidR="005F3AC0" w:rsidRPr="002A4FF9">
        <w:rPr>
          <w:rFonts w:ascii="Arial" w:hAnsi="Arial" w:cs="Arial"/>
          <w:sz w:val="24"/>
          <w:szCs w:val="24"/>
        </w:rPr>
        <w:t xml:space="preserve"> </w:t>
      </w:r>
      <w:r w:rsidR="00C04E03" w:rsidRPr="002A4FF9">
        <w:rPr>
          <w:rFonts w:ascii="Arial" w:hAnsi="Arial" w:cs="Arial"/>
          <w:sz w:val="24"/>
          <w:szCs w:val="24"/>
        </w:rPr>
        <w:t>are</w:t>
      </w:r>
      <w:r w:rsidR="005F3AC0" w:rsidRPr="002A4FF9">
        <w:rPr>
          <w:rFonts w:ascii="Arial" w:hAnsi="Arial" w:cs="Arial"/>
          <w:sz w:val="24"/>
          <w:szCs w:val="24"/>
        </w:rPr>
        <w:t xml:space="preserve"> common cause on the papers.</w:t>
      </w:r>
      <w:r w:rsidR="00F92F4F" w:rsidRPr="002A4FF9">
        <w:rPr>
          <w:rFonts w:ascii="Arial" w:hAnsi="Arial" w:cs="Arial"/>
          <w:sz w:val="24"/>
          <w:szCs w:val="24"/>
        </w:rPr>
        <w:t xml:space="preserve">  Significantly, </w:t>
      </w:r>
      <w:r w:rsidR="00412D12" w:rsidRPr="002A4FF9">
        <w:rPr>
          <w:rFonts w:ascii="Arial" w:hAnsi="Arial" w:cs="Arial"/>
          <w:sz w:val="24"/>
          <w:szCs w:val="24"/>
        </w:rPr>
        <w:t xml:space="preserve">in answer, the </w:t>
      </w:r>
      <w:r w:rsidR="00F92F4F" w:rsidRPr="002A4FF9">
        <w:rPr>
          <w:rFonts w:ascii="Arial" w:hAnsi="Arial" w:cs="Arial"/>
          <w:sz w:val="24"/>
          <w:szCs w:val="24"/>
        </w:rPr>
        <w:t xml:space="preserve">respondents </w:t>
      </w:r>
      <w:r w:rsidR="00412D12" w:rsidRPr="002A4FF9">
        <w:rPr>
          <w:rFonts w:ascii="Arial" w:hAnsi="Arial" w:cs="Arial"/>
          <w:sz w:val="24"/>
          <w:szCs w:val="24"/>
        </w:rPr>
        <w:t>state</w:t>
      </w:r>
      <w:r w:rsidR="00F92F4F" w:rsidRPr="002A4FF9">
        <w:rPr>
          <w:rFonts w:ascii="Arial" w:hAnsi="Arial" w:cs="Arial"/>
          <w:sz w:val="24"/>
          <w:szCs w:val="24"/>
        </w:rPr>
        <w:t xml:space="preserve"> as follows:</w:t>
      </w:r>
    </w:p>
    <w:p w14:paraId="4024354B" w14:textId="77777777" w:rsidR="00F92F4F" w:rsidRPr="00F92F4F" w:rsidRDefault="00F92F4F" w:rsidP="00F92F4F">
      <w:pPr>
        <w:pStyle w:val="ListParagraph"/>
        <w:spacing w:after="0" w:line="360" w:lineRule="auto"/>
        <w:rPr>
          <w:rFonts w:ascii="Arial" w:hAnsi="Arial" w:cs="Arial"/>
          <w:i/>
          <w:iCs/>
          <w:sz w:val="24"/>
          <w:szCs w:val="24"/>
        </w:rPr>
      </w:pPr>
    </w:p>
    <w:p w14:paraId="51D3A9C1" w14:textId="5FF5E291" w:rsidR="00F92F4F" w:rsidRPr="00F92F4F" w:rsidRDefault="00F92F4F" w:rsidP="00F92F4F">
      <w:pPr>
        <w:pStyle w:val="ListParagraph"/>
        <w:spacing w:after="0" w:line="360" w:lineRule="auto"/>
        <w:jc w:val="both"/>
        <w:rPr>
          <w:rFonts w:ascii="Arial" w:hAnsi="Arial" w:cs="Arial"/>
        </w:rPr>
      </w:pPr>
      <w:r w:rsidRPr="00F92F4F">
        <w:rPr>
          <w:rFonts w:ascii="Arial" w:hAnsi="Arial" w:cs="Arial"/>
          <w:i/>
          <w:iCs/>
          <w:sz w:val="24"/>
          <w:szCs w:val="24"/>
        </w:rPr>
        <w:t>“</w:t>
      </w:r>
      <w:r w:rsidRPr="00F92F4F">
        <w:rPr>
          <w:rFonts w:ascii="Arial" w:hAnsi="Arial" w:cs="Arial"/>
          <w:i/>
          <w:iCs/>
        </w:rPr>
        <w:t>47.</w:t>
      </w:r>
      <w:r w:rsidRPr="00F92F4F">
        <w:rPr>
          <w:rFonts w:ascii="Arial" w:hAnsi="Arial" w:cs="Arial"/>
          <w:i/>
          <w:iCs/>
        </w:rPr>
        <w:tab/>
      </w:r>
      <w:r w:rsidRPr="00F92F4F">
        <w:rPr>
          <w:rFonts w:ascii="Arial" w:hAnsi="Arial" w:cs="Arial"/>
          <w:i/>
          <w:iCs/>
          <w:lang w:val="en-US"/>
        </w:rPr>
        <w:t>The applicant should be reminded that in its wisdom the legislature in terms of the act decided to vest the administration of deceased estates to the office of the master as an objective entity to administer deceased estate, th</w:t>
      </w:r>
      <w:r w:rsidR="00E94B55">
        <w:rPr>
          <w:rFonts w:ascii="Arial" w:hAnsi="Arial" w:cs="Arial"/>
          <w:i/>
          <w:iCs/>
          <w:lang w:val="en-US"/>
        </w:rPr>
        <w:t>a</w:t>
      </w:r>
      <w:r w:rsidRPr="00F92F4F">
        <w:rPr>
          <w:rFonts w:ascii="Arial" w:hAnsi="Arial" w:cs="Arial"/>
          <w:i/>
          <w:iCs/>
          <w:lang w:val="en-US"/>
        </w:rPr>
        <w:t>n</w:t>
      </w:r>
      <w:r w:rsidR="00E426E2">
        <w:rPr>
          <w:rFonts w:ascii="Arial" w:hAnsi="Arial" w:cs="Arial"/>
          <w:i/>
          <w:iCs/>
          <w:lang w:val="en-US"/>
        </w:rPr>
        <w:t xml:space="preserve"> (sic)</w:t>
      </w:r>
      <w:r w:rsidRPr="00F92F4F">
        <w:rPr>
          <w:rFonts w:ascii="Arial" w:hAnsi="Arial" w:cs="Arial"/>
          <w:i/>
          <w:iCs/>
          <w:lang w:val="en-US"/>
        </w:rPr>
        <w:t xml:space="preserve"> leaving it to the </w:t>
      </w:r>
      <w:r w:rsidRPr="00F92F4F">
        <w:rPr>
          <w:rFonts w:ascii="Arial" w:hAnsi="Arial" w:cs="Arial"/>
          <w:i/>
          <w:iCs/>
          <w:lang w:val="en-US"/>
        </w:rPr>
        <w:lastRenderedPageBreak/>
        <w:t>whims of subjective wishes of heirs, which is exactly what the applicant pursues in this application. The decisions of the master, in the circumstances, should prevail and are supported as against those of applicant.</w:t>
      </w:r>
      <w:r w:rsidRPr="00F92F4F">
        <w:rPr>
          <w:rFonts w:ascii="Arial" w:hAnsi="Arial" w:cs="Arial"/>
          <w:lang w:val="en-US"/>
        </w:rPr>
        <w:t>”</w:t>
      </w:r>
    </w:p>
    <w:p w14:paraId="66B5F2E6" w14:textId="77777777" w:rsidR="00F92F4F" w:rsidRPr="00F92F4F" w:rsidRDefault="00F92F4F" w:rsidP="0048070F">
      <w:pPr>
        <w:pStyle w:val="ListParagraph"/>
        <w:spacing w:after="0" w:line="480" w:lineRule="auto"/>
        <w:rPr>
          <w:rFonts w:ascii="Arial" w:hAnsi="Arial" w:cs="Arial"/>
        </w:rPr>
      </w:pPr>
    </w:p>
    <w:p w14:paraId="14B29D69" w14:textId="6E782039" w:rsidR="001B7156" w:rsidRPr="002A4FF9" w:rsidRDefault="002A4FF9" w:rsidP="002A4FF9">
      <w:pPr>
        <w:spacing w:after="0" w:line="480" w:lineRule="auto"/>
        <w:jc w:val="both"/>
        <w:rPr>
          <w:rFonts w:ascii="Arial" w:hAnsi="Arial" w:cs="Arial"/>
          <w:sz w:val="24"/>
          <w:szCs w:val="24"/>
        </w:rPr>
      </w:pPr>
      <w:r w:rsidRPr="00DB157A">
        <w:rPr>
          <w:rFonts w:ascii="Arial" w:hAnsi="Arial" w:cs="Arial"/>
          <w:sz w:val="24"/>
          <w:szCs w:val="24"/>
        </w:rPr>
        <w:t>[15]</w:t>
      </w:r>
      <w:r w:rsidRPr="00DB157A">
        <w:rPr>
          <w:rFonts w:ascii="Arial" w:hAnsi="Arial" w:cs="Arial"/>
          <w:sz w:val="24"/>
          <w:szCs w:val="24"/>
        </w:rPr>
        <w:tab/>
      </w:r>
      <w:r w:rsidR="00DB157A" w:rsidRPr="002A4FF9">
        <w:rPr>
          <w:rFonts w:ascii="Arial" w:hAnsi="Arial" w:cs="Arial"/>
          <w:sz w:val="24"/>
          <w:szCs w:val="24"/>
        </w:rPr>
        <w:t xml:space="preserve">Whilst the primary function of the Master is to </w:t>
      </w:r>
      <w:r w:rsidR="00DB157A" w:rsidRPr="002A4FF9">
        <w:rPr>
          <w:rFonts w:ascii="Arial" w:hAnsi="Arial" w:cs="Arial"/>
          <w:i/>
          <w:iCs/>
          <w:sz w:val="24"/>
          <w:szCs w:val="24"/>
        </w:rPr>
        <w:t>regulate</w:t>
      </w:r>
      <w:r w:rsidR="00DB157A" w:rsidRPr="002A4FF9">
        <w:rPr>
          <w:rFonts w:ascii="Arial" w:hAnsi="Arial" w:cs="Arial"/>
          <w:sz w:val="24"/>
          <w:szCs w:val="24"/>
        </w:rPr>
        <w:t xml:space="preserve"> the administration of estates, t</w:t>
      </w:r>
      <w:r w:rsidR="00412D12" w:rsidRPr="002A4FF9">
        <w:rPr>
          <w:rFonts w:ascii="Arial" w:hAnsi="Arial" w:cs="Arial"/>
          <w:sz w:val="24"/>
          <w:szCs w:val="24"/>
        </w:rPr>
        <w:t>he stance adopted by the respondents departs</w:t>
      </w:r>
      <w:r w:rsidR="001B7156" w:rsidRPr="002A4FF9">
        <w:rPr>
          <w:rFonts w:ascii="Arial" w:hAnsi="Arial" w:cs="Arial"/>
          <w:sz w:val="24"/>
          <w:szCs w:val="24"/>
        </w:rPr>
        <w:t xml:space="preserve"> from the accepted legal principl</w:t>
      </w:r>
      <w:r w:rsidR="008A3046" w:rsidRPr="002A4FF9">
        <w:rPr>
          <w:rFonts w:ascii="Arial" w:hAnsi="Arial" w:cs="Arial"/>
          <w:sz w:val="24"/>
          <w:szCs w:val="24"/>
        </w:rPr>
        <w:t>e</w:t>
      </w:r>
      <w:r w:rsidR="001B7156" w:rsidRPr="002A4FF9">
        <w:rPr>
          <w:rFonts w:ascii="Arial" w:hAnsi="Arial" w:cs="Arial"/>
          <w:sz w:val="24"/>
          <w:szCs w:val="24"/>
        </w:rPr>
        <w:t xml:space="preserve">s </w:t>
      </w:r>
      <w:r w:rsidR="00DB157A" w:rsidRPr="002A4FF9">
        <w:rPr>
          <w:rFonts w:ascii="Arial" w:hAnsi="Arial" w:cs="Arial"/>
          <w:sz w:val="24"/>
          <w:szCs w:val="24"/>
        </w:rPr>
        <w:t>and</w:t>
      </w:r>
      <w:r w:rsidR="001B7156" w:rsidRPr="002A4FF9">
        <w:rPr>
          <w:rFonts w:ascii="Arial" w:hAnsi="Arial" w:cs="Arial"/>
          <w:sz w:val="24"/>
          <w:szCs w:val="24"/>
        </w:rPr>
        <w:t xml:space="preserve"> suggests, somewhat startlingly, that heirs in an estate have no voice in relation to the appointment of executors.</w:t>
      </w:r>
    </w:p>
    <w:p w14:paraId="70AB7FD1" w14:textId="77777777" w:rsidR="001B7156" w:rsidRDefault="001B7156" w:rsidP="0096414D">
      <w:pPr>
        <w:pStyle w:val="ListParagraph"/>
        <w:spacing w:after="0" w:line="480" w:lineRule="auto"/>
        <w:ind w:left="0"/>
        <w:jc w:val="both"/>
        <w:rPr>
          <w:rFonts w:ascii="Arial" w:hAnsi="Arial" w:cs="Arial"/>
          <w:sz w:val="24"/>
          <w:szCs w:val="24"/>
        </w:rPr>
      </w:pPr>
    </w:p>
    <w:p w14:paraId="64839FB3" w14:textId="4BD50B83" w:rsidR="0096414D" w:rsidRDefault="000E2436" w:rsidP="0096414D">
      <w:pPr>
        <w:pStyle w:val="ListParagraph"/>
        <w:spacing w:after="0" w:line="480" w:lineRule="auto"/>
        <w:ind w:left="0"/>
        <w:jc w:val="both"/>
        <w:rPr>
          <w:rFonts w:ascii="Arial" w:hAnsi="Arial" w:cs="Arial"/>
          <w:b/>
          <w:bCs/>
          <w:sz w:val="24"/>
          <w:szCs w:val="24"/>
          <w:u w:val="single"/>
        </w:rPr>
      </w:pPr>
      <w:r w:rsidRPr="000E2436">
        <w:rPr>
          <w:rFonts w:ascii="Arial" w:hAnsi="Arial" w:cs="Arial"/>
          <w:b/>
          <w:bCs/>
          <w:sz w:val="24"/>
          <w:szCs w:val="24"/>
          <w:u w:val="single"/>
        </w:rPr>
        <w:t>Review</w:t>
      </w:r>
    </w:p>
    <w:p w14:paraId="508DBFC3" w14:textId="77777777" w:rsidR="000E2436" w:rsidRPr="000E2436" w:rsidRDefault="000E2436" w:rsidP="0096414D">
      <w:pPr>
        <w:pStyle w:val="ListParagraph"/>
        <w:spacing w:after="0" w:line="480" w:lineRule="auto"/>
        <w:ind w:left="0"/>
        <w:jc w:val="both"/>
        <w:rPr>
          <w:rFonts w:ascii="Arial" w:hAnsi="Arial" w:cs="Arial"/>
          <w:b/>
          <w:bCs/>
          <w:sz w:val="24"/>
          <w:szCs w:val="24"/>
          <w:u w:val="single"/>
        </w:rPr>
      </w:pPr>
    </w:p>
    <w:p w14:paraId="7ECC0511" w14:textId="1889CD00" w:rsidR="00561DE9" w:rsidRPr="002A4FF9" w:rsidRDefault="002A4FF9" w:rsidP="002A4FF9">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E2436" w:rsidRPr="002A4FF9">
        <w:rPr>
          <w:rFonts w:ascii="Arial" w:hAnsi="Arial" w:cs="Arial"/>
          <w:sz w:val="24"/>
          <w:szCs w:val="24"/>
        </w:rPr>
        <w:t xml:space="preserve">It is perhaps appropriate at this juncture to identify the grounds of review </w:t>
      </w:r>
      <w:r w:rsidR="00231D6D" w:rsidRPr="002A4FF9">
        <w:rPr>
          <w:rFonts w:ascii="Arial" w:hAnsi="Arial" w:cs="Arial"/>
          <w:sz w:val="24"/>
          <w:szCs w:val="24"/>
        </w:rPr>
        <w:t>relied upon by the applicant in relation to the relief sought</w:t>
      </w:r>
      <w:r w:rsidR="00561DE9" w:rsidRPr="002A4FF9">
        <w:rPr>
          <w:rFonts w:ascii="Arial" w:hAnsi="Arial" w:cs="Arial"/>
          <w:sz w:val="24"/>
          <w:szCs w:val="24"/>
        </w:rPr>
        <w:t>.  The applicant alleges that the decision is reviewable in that: (i) the procedure in taking the impugned decision is procedurally unfair</w:t>
      </w:r>
      <w:r w:rsidR="00B644A4" w:rsidRPr="002A4FF9">
        <w:rPr>
          <w:rFonts w:ascii="Arial" w:hAnsi="Arial" w:cs="Arial"/>
          <w:sz w:val="24"/>
          <w:szCs w:val="24"/>
        </w:rPr>
        <w:t xml:space="preserve"> for want of the assistant master’s failure to allow the applicant an opportunity to consult with her legal advisor and to make representations in respect of the second respondent’s appointment as co-executor</w:t>
      </w:r>
      <w:r w:rsidR="00561DE9" w:rsidRPr="002A4FF9">
        <w:rPr>
          <w:rFonts w:ascii="Arial" w:hAnsi="Arial" w:cs="Arial"/>
          <w:sz w:val="24"/>
          <w:szCs w:val="24"/>
        </w:rPr>
        <w:t xml:space="preserve">; </w:t>
      </w:r>
      <w:r w:rsidR="000D29E7" w:rsidRPr="002A4FF9">
        <w:rPr>
          <w:rFonts w:ascii="Arial" w:hAnsi="Arial" w:cs="Arial"/>
          <w:sz w:val="24"/>
          <w:szCs w:val="24"/>
        </w:rPr>
        <w:t xml:space="preserve">and </w:t>
      </w:r>
      <w:r w:rsidR="00561DE9" w:rsidRPr="002A4FF9">
        <w:rPr>
          <w:rFonts w:ascii="Arial" w:hAnsi="Arial" w:cs="Arial"/>
          <w:sz w:val="24"/>
          <w:szCs w:val="24"/>
        </w:rPr>
        <w:t xml:space="preserve">(ii) the </w:t>
      </w:r>
      <w:r w:rsidR="00C96F7F" w:rsidRPr="002A4FF9">
        <w:rPr>
          <w:rFonts w:ascii="Arial" w:hAnsi="Arial" w:cs="Arial"/>
          <w:sz w:val="24"/>
          <w:szCs w:val="24"/>
        </w:rPr>
        <w:t>a</w:t>
      </w:r>
      <w:r w:rsidR="00561DE9" w:rsidRPr="002A4FF9">
        <w:rPr>
          <w:rFonts w:ascii="Arial" w:hAnsi="Arial" w:cs="Arial"/>
          <w:sz w:val="24"/>
          <w:szCs w:val="24"/>
        </w:rPr>
        <w:t xml:space="preserve">ssistant </w:t>
      </w:r>
      <w:r w:rsidR="00C96F7F" w:rsidRPr="002A4FF9">
        <w:rPr>
          <w:rFonts w:ascii="Arial" w:hAnsi="Arial" w:cs="Arial"/>
          <w:sz w:val="24"/>
          <w:szCs w:val="24"/>
        </w:rPr>
        <w:t>m</w:t>
      </w:r>
      <w:r w:rsidR="00561DE9" w:rsidRPr="002A4FF9">
        <w:rPr>
          <w:rFonts w:ascii="Arial" w:hAnsi="Arial" w:cs="Arial"/>
          <w:sz w:val="24"/>
          <w:szCs w:val="24"/>
        </w:rPr>
        <w:t>aster’s decision was taken arbitrarily</w:t>
      </w:r>
      <w:r w:rsidR="000D29E7" w:rsidRPr="002A4FF9">
        <w:rPr>
          <w:rFonts w:ascii="Arial" w:hAnsi="Arial" w:cs="Arial"/>
          <w:sz w:val="24"/>
          <w:szCs w:val="24"/>
        </w:rPr>
        <w:t>;</w:t>
      </w:r>
      <w:r w:rsidR="00561DE9" w:rsidRPr="002A4FF9">
        <w:rPr>
          <w:rFonts w:ascii="Arial" w:hAnsi="Arial" w:cs="Arial"/>
          <w:sz w:val="24"/>
          <w:szCs w:val="24"/>
        </w:rPr>
        <w:t xml:space="preserve"> capriciously;</w:t>
      </w:r>
      <w:r w:rsidR="000D29E7" w:rsidRPr="002A4FF9">
        <w:rPr>
          <w:rFonts w:ascii="Arial" w:hAnsi="Arial" w:cs="Arial"/>
          <w:sz w:val="24"/>
          <w:szCs w:val="24"/>
        </w:rPr>
        <w:t xml:space="preserve"> and/or </w:t>
      </w:r>
      <w:r w:rsidR="00561DE9" w:rsidRPr="002A4FF9">
        <w:rPr>
          <w:rFonts w:ascii="Arial" w:hAnsi="Arial" w:cs="Arial"/>
          <w:sz w:val="24"/>
          <w:szCs w:val="24"/>
        </w:rPr>
        <w:t>irrational</w:t>
      </w:r>
      <w:r w:rsidR="000D29E7" w:rsidRPr="002A4FF9">
        <w:rPr>
          <w:rFonts w:ascii="Arial" w:hAnsi="Arial" w:cs="Arial"/>
          <w:sz w:val="24"/>
          <w:szCs w:val="24"/>
        </w:rPr>
        <w:t xml:space="preserve">ly in that the second respondent was unsuited to be a co-executor given the untenable relationship </w:t>
      </w:r>
      <w:r w:rsidR="004704EF" w:rsidRPr="002A4FF9">
        <w:rPr>
          <w:rFonts w:ascii="Arial" w:hAnsi="Arial" w:cs="Arial"/>
          <w:sz w:val="24"/>
          <w:szCs w:val="24"/>
        </w:rPr>
        <w:t xml:space="preserve">in existence </w:t>
      </w:r>
      <w:r w:rsidR="000D29E7" w:rsidRPr="002A4FF9">
        <w:rPr>
          <w:rFonts w:ascii="Arial" w:hAnsi="Arial" w:cs="Arial"/>
          <w:sz w:val="24"/>
          <w:szCs w:val="24"/>
        </w:rPr>
        <w:t>between the applicant and the second respondent</w:t>
      </w:r>
      <w:r w:rsidR="00561DE9" w:rsidRPr="002A4FF9">
        <w:rPr>
          <w:rFonts w:ascii="Arial" w:hAnsi="Arial" w:cs="Arial"/>
          <w:sz w:val="24"/>
          <w:szCs w:val="24"/>
        </w:rPr>
        <w:t>.</w:t>
      </w:r>
    </w:p>
    <w:p w14:paraId="1770D01D" w14:textId="77777777" w:rsidR="003E2688" w:rsidRDefault="003E2688" w:rsidP="003E2688">
      <w:pPr>
        <w:pStyle w:val="ListParagraph"/>
        <w:spacing w:after="0" w:line="480" w:lineRule="auto"/>
        <w:ind w:left="0"/>
        <w:jc w:val="both"/>
        <w:rPr>
          <w:rFonts w:ascii="Arial" w:hAnsi="Arial" w:cs="Arial"/>
          <w:sz w:val="24"/>
          <w:szCs w:val="24"/>
        </w:rPr>
      </w:pPr>
    </w:p>
    <w:p w14:paraId="0940D236" w14:textId="0A9F06B7" w:rsidR="004629DD" w:rsidRPr="002A4FF9" w:rsidRDefault="002A4FF9" w:rsidP="002A4FF9">
      <w:pPr>
        <w:spacing w:after="0" w:line="480" w:lineRule="auto"/>
        <w:jc w:val="both"/>
        <w:rPr>
          <w:rFonts w:ascii="Arial" w:hAnsi="Arial" w:cs="Arial"/>
          <w:sz w:val="24"/>
          <w:szCs w:val="24"/>
        </w:rPr>
      </w:pPr>
      <w:r w:rsidRPr="004629DD">
        <w:rPr>
          <w:rFonts w:ascii="Arial" w:hAnsi="Arial" w:cs="Arial"/>
          <w:sz w:val="24"/>
          <w:szCs w:val="24"/>
        </w:rPr>
        <w:t>[17]</w:t>
      </w:r>
      <w:r w:rsidRPr="004629DD">
        <w:rPr>
          <w:rFonts w:ascii="Arial" w:hAnsi="Arial" w:cs="Arial"/>
          <w:sz w:val="24"/>
          <w:szCs w:val="24"/>
        </w:rPr>
        <w:tab/>
      </w:r>
      <w:r w:rsidR="004629DD" w:rsidRPr="002A4FF9">
        <w:rPr>
          <w:rFonts w:ascii="Arial" w:hAnsi="Arial" w:cs="Arial"/>
          <w:sz w:val="24"/>
          <w:szCs w:val="24"/>
        </w:rPr>
        <w:t>Section 95 of the Administration of Estates Act, 66 of 1965 ("</w:t>
      </w:r>
      <w:r w:rsidR="004629DD" w:rsidRPr="002A4FF9">
        <w:rPr>
          <w:rFonts w:ascii="Arial" w:hAnsi="Arial" w:cs="Arial"/>
          <w:i/>
          <w:iCs/>
          <w:sz w:val="24"/>
          <w:szCs w:val="24"/>
        </w:rPr>
        <w:t>the Administration of Estates Act</w:t>
      </w:r>
      <w:r w:rsidR="004629DD" w:rsidRPr="002A4FF9">
        <w:rPr>
          <w:rFonts w:ascii="Arial" w:hAnsi="Arial" w:cs="Arial"/>
          <w:sz w:val="24"/>
          <w:szCs w:val="24"/>
        </w:rPr>
        <w:t>"), provides that:</w:t>
      </w:r>
    </w:p>
    <w:p w14:paraId="16CD15EC" w14:textId="77777777" w:rsidR="004629DD" w:rsidRPr="004629DD" w:rsidRDefault="004629DD" w:rsidP="004629DD">
      <w:pPr>
        <w:pStyle w:val="NormalWeb"/>
        <w:shd w:val="clear" w:color="auto" w:fill="FFFFFF"/>
        <w:spacing w:before="0" w:beforeAutospacing="0" w:after="0" w:afterAutospacing="0" w:line="480" w:lineRule="auto"/>
        <w:jc w:val="both"/>
        <w:rPr>
          <w:rFonts w:ascii="Arial" w:hAnsi="Arial" w:cs="Arial"/>
        </w:rPr>
      </w:pPr>
    </w:p>
    <w:p w14:paraId="175B6185" w14:textId="3EA5F715" w:rsidR="004629DD" w:rsidRPr="004629DD" w:rsidRDefault="004629DD" w:rsidP="00F01C3B">
      <w:pPr>
        <w:pStyle w:val="NormalWeb"/>
        <w:spacing w:before="0" w:beforeAutospacing="0" w:after="0" w:afterAutospacing="0" w:line="360" w:lineRule="auto"/>
        <w:ind w:left="709"/>
        <w:jc w:val="both"/>
        <w:rPr>
          <w:rFonts w:ascii="Arial" w:hAnsi="Arial" w:cs="Arial"/>
          <w:sz w:val="22"/>
          <w:szCs w:val="22"/>
        </w:rPr>
      </w:pPr>
      <w:r w:rsidRPr="004629DD">
        <w:rPr>
          <w:rFonts w:ascii="Arial" w:hAnsi="Arial" w:cs="Arial"/>
          <w:sz w:val="22"/>
          <w:szCs w:val="22"/>
        </w:rPr>
        <w:t>"</w:t>
      </w:r>
      <w:r w:rsidRPr="004629DD">
        <w:rPr>
          <w:rFonts w:ascii="Arial" w:hAnsi="Arial" w:cs="Arial"/>
          <w:i/>
          <w:iCs/>
          <w:sz w:val="22"/>
          <w:szCs w:val="22"/>
        </w:rPr>
        <w:t xml:space="preserve">Every appointment by the Master of an executor, tutor, curator or interim curator, and every decision, ruling, order, direction or taxation by the Master under this Act shall be subject to appeal to or review by the Court upon motion at the instance of any </w:t>
      </w:r>
      <w:r w:rsidRPr="004629DD">
        <w:rPr>
          <w:rFonts w:ascii="Arial" w:hAnsi="Arial" w:cs="Arial"/>
          <w:i/>
          <w:iCs/>
          <w:sz w:val="22"/>
          <w:szCs w:val="22"/>
        </w:rPr>
        <w:lastRenderedPageBreak/>
        <w:t>person aggrieved thereby, and the Court may on any such appeal or review confirm, set aside or vary the appointment, decision, ruling, order, direction or taxation, as the case may be."</w:t>
      </w:r>
      <w:r w:rsidRPr="004629DD">
        <w:rPr>
          <w:rFonts w:ascii="Arial" w:hAnsi="Arial" w:cs="Arial"/>
          <w:sz w:val="22"/>
          <w:szCs w:val="22"/>
        </w:rPr>
        <w:t> </w:t>
      </w:r>
    </w:p>
    <w:p w14:paraId="27B8D74D" w14:textId="77777777" w:rsidR="004629DD" w:rsidRPr="004629DD" w:rsidRDefault="004629DD" w:rsidP="004629DD">
      <w:pPr>
        <w:pStyle w:val="NormalWeb"/>
        <w:shd w:val="clear" w:color="auto" w:fill="FFFFFF"/>
        <w:spacing w:before="0" w:beforeAutospacing="0" w:after="0" w:afterAutospacing="0" w:line="480" w:lineRule="auto"/>
        <w:ind w:right="261"/>
        <w:jc w:val="both"/>
        <w:rPr>
          <w:rFonts w:ascii="Arial" w:hAnsi="Arial" w:cs="Arial"/>
        </w:rPr>
      </w:pPr>
    </w:p>
    <w:p w14:paraId="201F5148" w14:textId="26FF506E" w:rsidR="004629DD" w:rsidRPr="002A4FF9" w:rsidRDefault="002A4FF9" w:rsidP="002A4FF9">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01C3B" w:rsidRPr="002A4FF9">
        <w:rPr>
          <w:rFonts w:ascii="Arial" w:hAnsi="Arial" w:cs="Arial"/>
          <w:sz w:val="24"/>
          <w:szCs w:val="24"/>
        </w:rPr>
        <w:t xml:space="preserve">It is axiomatic that the right to review an appointment by the Master in terms of section 95 of the Administration of Estates Act is a statutory recordal of such right and provides no independent grounds of review </w:t>
      </w:r>
      <w:r w:rsidR="00D01E11" w:rsidRPr="002A4FF9">
        <w:rPr>
          <w:rFonts w:ascii="Arial" w:hAnsi="Arial" w:cs="Arial"/>
          <w:sz w:val="24"/>
          <w:szCs w:val="24"/>
        </w:rPr>
        <w:t xml:space="preserve">apart </w:t>
      </w:r>
      <w:r w:rsidR="00F01C3B" w:rsidRPr="002A4FF9">
        <w:rPr>
          <w:rFonts w:ascii="Arial" w:hAnsi="Arial" w:cs="Arial"/>
          <w:sz w:val="24"/>
          <w:szCs w:val="24"/>
        </w:rPr>
        <w:t>from those contained in the Promotion of Administrative Justice Act, 3 of 2000 (“</w:t>
      </w:r>
      <w:r w:rsidR="00F01C3B" w:rsidRPr="002A4FF9">
        <w:rPr>
          <w:rFonts w:ascii="Arial" w:hAnsi="Arial" w:cs="Arial"/>
          <w:i/>
          <w:iCs/>
          <w:sz w:val="24"/>
          <w:szCs w:val="24"/>
        </w:rPr>
        <w:t>PAJA</w:t>
      </w:r>
      <w:r w:rsidR="00F01C3B" w:rsidRPr="002A4FF9">
        <w:rPr>
          <w:rFonts w:ascii="Arial" w:hAnsi="Arial" w:cs="Arial"/>
          <w:sz w:val="24"/>
          <w:szCs w:val="24"/>
        </w:rPr>
        <w:t>”) or, to the extent applicable, the common law.</w:t>
      </w:r>
      <w:r w:rsidR="00D01E11">
        <w:rPr>
          <w:rStyle w:val="FootnoteReference"/>
          <w:rFonts w:ascii="Arial" w:hAnsi="Arial" w:cs="Arial"/>
          <w:sz w:val="24"/>
          <w:szCs w:val="24"/>
        </w:rPr>
        <w:footnoteReference w:id="8"/>
      </w:r>
      <w:r w:rsidR="00F01C3B" w:rsidRPr="002A4FF9">
        <w:rPr>
          <w:rFonts w:ascii="Arial" w:hAnsi="Arial" w:cs="Arial"/>
          <w:sz w:val="24"/>
          <w:szCs w:val="24"/>
        </w:rPr>
        <w:t xml:space="preserve">  </w:t>
      </w:r>
    </w:p>
    <w:p w14:paraId="10C56BB8" w14:textId="77777777" w:rsidR="009D2BD0" w:rsidRPr="009D2BD0" w:rsidRDefault="009D2BD0" w:rsidP="009D2BD0">
      <w:pPr>
        <w:pStyle w:val="ListParagraph"/>
        <w:spacing w:after="0" w:line="480" w:lineRule="auto"/>
        <w:ind w:left="0"/>
        <w:jc w:val="both"/>
        <w:rPr>
          <w:rFonts w:ascii="Arial" w:hAnsi="Arial" w:cs="Arial"/>
          <w:sz w:val="24"/>
          <w:szCs w:val="24"/>
        </w:rPr>
      </w:pPr>
    </w:p>
    <w:p w14:paraId="4CF9873C" w14:textId="6FAF0F29" w:rsidR="009D2BD0" w:rsidRPr="002A4FF9" w:rsidRDefault="002A4FF9" w:rsidP="002A4FF9">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D2BD0" w:rsidRPr="002A4FF9">
        <w:rPr>
          <w:rFonts w:ascii="Arial" w:hAnsi="Arial" w:cs="Arial"/>
          <w:sz w:val="24"/>
          <w:szCs w:val="24"/>
        </w:rPr>
        <w:t>Accordingly, the issue</w:t>
      </w:r>
      <w:r w:rsidR="00B45DD1" w:rsidRPr="002A4FF9">
        <w:rPr>
          <w:rFonts w:ascii="Arial" w:hAnsi="Arial" w:cs="Arial"/>
          <w:sz w:val="24"/>
          <w:szCs w:val="24"/>
        </w:rPr>
        <w:t xml:space="preserve"> to be determined herein</w:t>
      </w:r>
      <w:r w:rsidR="009D2BD0" w:rsidRPr="002A4FF9">
        <w:rPr>
          <w:rFonts w:ascii="Arial" w:hAnsi="Arial" w:cs="Arial"/>
          <w:sz w:val="24"/>
          <w:szCs w:val="24"/>
        </w:rPr>
        <w:t>, properly framed</w:t>
      </w:r>
      <w:r w:rsidR="00B45DD1" w:rsidRPr="002A4FF9">
        <w:rPr>
          <w:rFonts w:ascii="Arial" w:hAnsi="Arial" w:cs="Arial"/>
          <w:sz w:val="24"/>
          <w:szCs w:val="24"/>
        </w:rPr>
        <w:t>,</w:t>
      </w:r>
      <w:r w:rsidR="009D2BD0" w:rsidRPr="002A4FF9">
        <w:rPr>
          <w:rFonts w:ascii="Arial" w:hAnsi="Arial" w:cs="Arial"/>
          <w:sz w:val="24"/>
          <w:szCs w:val="24"/>
        </w:rPr>
        <w:t xml:space="preserve"> is whether on the common cause facts, the applicant is entitled to the relief sought in terms of section 95 of the Administration of Estates Act read with the provisions of sections 6, 7, and 8 of PAJA.</w:t>
      </w:r>
    </w:p>
    <w:p w14:paraId="5DA7ABB4" w14:textId="77777777" w:rsidR="00125437" w:rsidRPr="00125437" w:rsidRDefault="00125437" w:rsidP="003E2688">
      <w:pPr>
        <w:pStyle w:val="ListParagraph"/>
        <w:spacing w:after="0" w:line="480" w:lineRule="auto"/>
        <w:rPr>
          <w:rFonts w:ascii="Arial" w:hAnsi="Arial" w:cs="Arial"/>
          <w:sz w:val="24"/>
          <w:szCs w:val="24"/>
        </w:rPr>
      </w:pPr>
    </w:p>
    <w:p w14:paraId="639BF7E1" w14:textId="7E366F0D" w:rsidR="000053B4" w:rsidRPr="002A4FF9" w:rsidRDefault="002A4FF9" w:rsidP="002A4FF9">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E2688" w:rsidRPr="002A4FF9">
        <w:rPr>
          <w:rFonts w:ascii="Arial" w:hAnsi="Arial" w:cs="Arial"/>
          <w:sz w:val="24"/>
          <w:szCs w:val="24"/>
        </w:rPr>
        <w:t xml:space="preserve">Apart from the factual basis set out </w:t>
      </w:r>
      <w:r w:rsidR="009A3459" w:rsidRPr="002A4FF9">
        <w:rPr>
          <w:rFonts w:ascii="Arial" w:hAnsi="Arial" w:cs="Arial"/>
          <w:sz w:val="24"/>
          <w:szCs w:val="24"/>
        </w:rPr>
        <w:t>herein</w:t>
      </w:r>
      <w:r w:rsidR="003E2688" w:rsidRPr="002A4FF9">
        <w:rPr>
          <w:rFonts w:ascii="Arial" w:hAnsi="Arial" w:cs="Arial"/>
          <w:sz w:val="24"/>
          <w:szCs w:val="24"/>
        </w:rPr>
        <w:t xml:space="preserve">, </w:t>
      </w:r>
      <w:r w:rsidR="000053B4" w:rsidRPr="002A4FF9">
        <w:rPr>
          <w:rFonts w:ascii="Arial" w:hAnsi="Arial" w:cs="Arial"/>
          <w:sz w:val="24"/>
          <w:szCs w:val="24"/>
        </w:rPr>
        <w:t xml:space="preserve">and for reasons which will become apparent, </w:t>
      </w:r>
      <w:r w:rsidR="003E2688" w:rsidRPr="002A4FF9">
        <w:rPr>
          <w:rFonts w:ascii="Arial" w:hAnsi="Arial" w:cs="Arial"/>
          <w:sz w:val="24"/>
          <w:szCs w:val="24"/>
        </w:rPr>
        <w:t>I do not deem it necessary to deal with every allegation</w:t>
      </w:r>
      <w:r w:rsidR="00F419C5" w:rsidRPr="002A4FF9">
        <w:rPr>
          <w:rFonts w:ascii="Arial" w:hAnsi="Arial" w:cs="Arial"/>
          <w:sz w:val="24"/>
          <w:szCs w:val="24"/>
        </w:rPr>
        <w:t xml:space="preserve"> relied upon by the applicant </w:t>
      </w:r>
      <w:r w:rsidR="003E2688" w:rsidRPr="002A4FF9">
        <w:rPr>
          <w:rFonts w:ascii="Arial" w:hAnsi="Arial" w:cs="Arial"/>
          <w:sz w:val="24"/>
          <w:szCs w:val="24"/>
        </w:rPr>
        <w:t>in support of the aforesaid grounds of review</w:t>
      </w:r>
      <w:r w:rsidR="009A3459" w:rsidRPr="002A4FF9">
        <w:rPr>
          <w:rFonts w:ascii="Arial" w:hAnsi="Arial" w:cs="Arial"/>
          <w:sz w:val="24"/>
          <w:szCs w:val="24"/>
        </w:rPr>
        <w:t>.</w:t>
      </w:r>
      <w:r w:rsidR="008829BC">
        <w:rPr>
          <w:rStyle w:val="FootnoteReference"/>
          <w:rFonts w:ascii="Arial" w:hAnsi="Arial" w:cs="Arial"/>
          <w:sz w:val="24"/>
          <w:szCs w:val="24"/>
        </w:rPr>
        <w:footnoteReference w:id="9"/>
      </w:r>
      <w:r w:rsidR="009A3459" w:rsidRPr="002A4FF9">
        <w:rPr>
          <w:rFonts w:ascii="Arial" w:hAnsi="Arial" w:cs="Arial"/>
          <w:sz w:val="24"/>
          <w:szCs w:val="24"/>
        </w:rPr>
        <w:t xml:space="preserve">  To do so would be to </w:t>
      </w:r>
      <w:r w:rsidR="000053B4" w:rsidRPr="002A4FF9">
        <w:rPr>
          <w:rFonts w:ascii="Arial" w:hAnsi="Arial" w:cs="Arial"/>
          <w:sz w:val="24"/>
          <w:szCs w:val="24"/>
        </w:rPr>
        <w:t>burden this judgment unnecessarily</w:t>
      </w:r>
      <w:r w:rsidR="00DE3771" w:rsidRPr="002A4FF9">
        <w:rPr>
          <w:rFonts w:ascii="Arial" w:hAnsi="Arial" w:cs="Arial"/>
          <w:sz w:val="24"/>
          <w:szCs w:val="24"/>
        </w:rPr>
        <w:t xml:space="preserve"> in the circumstances.</w:t>
      </w:r>
    </w:p>
    <w:p w14:paraId="1C1E040B" w14:textId="77777777" w:rsidR="000B4471" w:rsidRPr="000B4471" w:rsidRDefault="000B4471" w:rsidP="007C6A3E">
      <w:pPr>
        <w:pStyle w:val="ListParagraph"/>
        <w:spacing w:after="0" w:line="480" w:lineRule="auto"/>
        <w:rPr>
          <w:rFonts w:ascii="Arial" w:hAnsi="Arial" w:cs="Arial"/>
          <w:sz w:val="24"/>
          <w:szCs w:val="24"/>
        </w:rPr>
      </w:pPr>
    </w:p>
    <w:p w14:paraId="05F4D1B7" w14:textId="2D6C6EB1" w:rsidR="000B4471" w:rsidRPr="002A4FF9" w:rsidRDefault="002A4FF9" w:rsidP="002A4FF9">
      <w:pPr>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C6A3E" w:rsidRPr="002A4FF9">
        <w:rPr>
          <w:rFonts w:ascii="Arial" w:hAnsi="Arial" w:cs="Arial"/>
          <w:sz w:val="24"/>
          <w:szCs w:val="24"/>
        </w:rPr>
        <w:t>Section 18 of the Administration of Estates Act</w:t>
      </w:r>
      <w:r w:rsidR="00E75930" w:rsidRPr="002A4FF9">
        <w:rPr>
          <w:rFonts w:ascii="Arial" w:hAnsi="Arial" w:cs="Arial"/>
          <w:sz w:val="24"/>
          <w:szCs w:val="24"/>
        </w:rPr>
        <w:t>, which</w:t>
      </w:r>
      <w:r w:rsidR="007C6A3E" w:rsidRPr="002A4FF9">
        <w:rPr>
          <w:rFonts w:ascii="Arial" w:hAnsi="Arial" w:cs="Arial"/>
          <w:sz w:val="24"/>
          <w:szCs w:val="24"/>
        </w:rPr>
        <w:t xml:space="preserve"> deals with the appointment of executors provides, </w:t>
      </w:r>
      <w:r w:rsidR="007C6A3E" w:rsidRPr="002A4FF9">
        <w:rPr>
          <w:rFonts w:ascii="Arial" w:hAnsi="Arial" w:cs="Arial"/>
          <w:i/>
          <w:iCs/>
          <w:sz w:val="24"/>
          <w:szCs w:val="24"/>
        </w:rPr>
        <w:t>inter alia</w:t>
      </w:r>
      <w:r w:rsidR="007C6A3E" w:rsidRPr="002A4FF9">
        <w:rPr>
          <w:rFonts w:ascii="Arial" w:hAnsi="Arial" w:cs="Arial"/>
          <w:sz w:val="24"/>
          <w:szCs w:val="24"/>
        </w:rPr>
        <w:t>, as follows:</w:t>
      </w:r>
    </w:p>
    <w:p w14:paraId="5B69AFAC" w14:textId="77777777" w:rsidR="007C6A3E" w:rsidRPr="007C6A3E" w:rsidRDefault="007C6A3E" w:rsidP="007C6A3E">
      <w:pPr>
        <w:pStyle w:val="ListParagraph"/>
        <w:spacing w:after="0" w:line="480" w:lineRule="auto"/>
        <w:rPr>
          <w:rFonts w:ascii="Arial" w:hAnsi="Arial" w:cs="Arial"/>
          <w:sz w:val="24"/>
          <w:szCs w:val="24"/>
        </w:rPr>
      </w:pPr>
    </w:p>
    <w:p w14:paraId="03C8328D" w14:textId="351E8ACC" w:rsidR="007C6A3E" w:rsidRDefault="007C6A3E" w:rsidP="007C6A3E">
      <w:pPr>
        <w:pStyle w:val="NormalWeb"/>
        <w:shd w:val="clear" w:color="auto" w:fill="FFFFFF"/>
        <w:spacing w:before="0" w:beforeAutospacing="0" w:after="0" w:afterAutospacing="0" w:line="360" w:lineRule="auto"/>
        <w:ind w:left="709"/>
        <w:jc w:val="both"/>
        <w:rPr>
          <w:rFonts w:ascii="Verdana" w:hAnsi="Verdana"/>
          <w:color w:val="242121"/>
          <w:sz w:val="27"/>
          <w:szCs w:val="27"/>
        </w:rPr>
      </w:pPr>
      <w:r>
        <w:rPr>
          <w:i/>
          <w:iCs/>
          <w:color w:val="242121"/>
          <w:sz w:val="26"/>
          <w:szCs w:val="26"/>
          <w:lang w:val="en-GB"/>
        </w:rPr>
        <w:lastRenderedPageBreak/>
        <w:t>“(1) The Master shall … -</w:t>
      </w:r>
    </w:p>
    <w:p w14:paraId="3247F795" w14:textId="77777777" w:rsidR="007C6A3E" w:rsidRDefault="007C6A3E" w:rsidP="007C6A3E">
      <w:pPr>
        <w:pStyle w:val="NormalWeb"/>
        <w:shd w:val="clear" w:color="auto" w:fill="FFFFFF"/>
        <w:spacing w:before="0" w:beforeAutospacing="0" w:after="0" w:afterAutospacing="0" w:line="360" w:lineRule="auto"/>
        <w:ind w:left="709"/>
        <w:jc w:val="both"/>
        <w:rPr>
          <w:rFonts w:ascii="Verdana" w:hAnsi="Verdana"/>
          <w:color w:val="242121"/>
          <w:sz w:val="27"/>
          <w:szCs w:val="27"/>
        </w:rPr>
      </w:pPr>
      <w:r>
        <w:rPr>
          <w:i/>
          <w:iCs/>
          <w:color w:val="242121"/>
          <w:sz w:val="26"/>
          <w:szCs w:val="26"/>
          <w:lang w:val="en-GB"/>
        </w:rPr>
        <w:t>a) if any person has died without having by will nominated any person to be his executor; or</w:t>
      </w:r>
    </w:p>
    <w:p w14:paraId="0DF1D6FD" w14:textId="77777777" w:rsidR="007C6A3E" w:rsidRDefault="007C6A3E" w:rsidP="007C6A3E">
      <w:pPr>
        <w:pStyle w:val="NormalWeb"/>
        <w:shd w:val="clear" w:color="auto" w:fill="FFFFFF"/>
        <w:spacing w:before="0" w:beforeAutospacing="0" w:after="0" w:afterAutospacing="0" w:line="360" w:lineRule="auto"/>
        <w:ind w:left="709"/>
        <w:jc w:val="both"/>
        <w:rPr>
          <w:rFonts w:ascii="Verdana" w:hAnsi="Verdana"/>
          <w:color w:val="242121"/>
          <w:sz w:val="27"/>
          <w:szCs w:val="27"/>
        </w:rPr>
      </w:pPr>
      <w:r>
        <w:rPr>
          <w:rFonts w:ascii="Verdana" w:hAnsi="Verdana"/>
          <w:color w:val="242121"/>
          <w:sz w:val="27"/>
          <w:szCs w:val="27"/>
        </w:rPr>
        <w:t>…</w:t>
      </w:r>
    </w:p>
    <w:p w14:paraId="11D162CF" w14:textId="77777777" w:rsidR="007C6A3E" w:rsidRDefault="007C6A3E" w:rsidP="007C6A3E">
      <w:pPr>
        <w:pStyle w:val="NormalWeb"/>
        <w:shd w:val="clear" w:color="auto" w:fill="FFFFFF"/>
        <w:spacing w:before="0" w:beforeAutospacing="0" w:after="0" w:afterAutospacing="0" w:line="360" w:lineRule="auto"/>
        <w:ind w:left="709"/>
        <w:jc w:val="both"/>
        <w:rPr>
          <w:rFonts w:ascii="Verdana" w:hAnsi="Verdana"/>
          <w:color w:val="242121"/>
          <w:sz w:val="27"/>
          <w:szCs w:val="27"/>
          <w:lang w:val="en-GB"/>
        </w:rPr>
      </w:pPr>
      <w:r>
        <w:rPr>
          <w:i/>
          <w:iCs/>
          <w:color w:val="242121"/>
          <w:sz w:val="26"/>
          <w:szCs w:val="26"/>
          <w:lang w:val="en-GB"/>
        </w:rPr>
        <w:t>e) if any person who is the sole executor … cease(s) for any reason to be executor(s) thereof;</w:t>
      </w:r>
    </w:p>
    <w:p w14:paraId="28C849D6" w14:textId="77777777" w:rsidR="007C6A3E" w:rsidRDefault="007C6A3E" w:rsidP="007C6A3E">
      <w:pPr>
        <w:pStyle w:val="NormalWeb"/>
        <w:shd w:val="clear" w:color="auto" w:fill="FFFFFF"/>
        <w:spacing w:before="0" w:beforeAutospacing="0" w:after="0" w:afterAutospacing="0" w:line="360" w:lineRule="auto"/>
        <w:ind w:left="709"/>
        <w:jc w:val="both"/>
        <w:rPr>
          <w:rFonts w:ascii="Verdana" w:hAnsi="Verdana"/>
          <w:color w:val="242121"/>
          <w:sz w:val="27"/>
          <w:szCs w:val="27"/>
        </w:rPr>
      </w:pPr>
      <w:r>
        <w:rPr>
          <w:rFonts w:ascii="Verdana" w:hAnsi="Verdana"/>
          <w:color w:val="242121"/>
          <w:sz w:val="27"/>
          <w:szCs w:val="27"/>
        </w:rPr>
        <w:t>…</w:t>
      </w:r>
    </w:p>
    <w:p w14:paraId="26C557C8" w14:textId="77777777" w:rsidR="007C6A3E" w:rsidRDefault="007C6A3E" w:rsidP="007C6A3E">
      <w:pPr>
        <w:pStyle w:val="NormalWeb"/>
        <w:shd w:val="clear" w:color="auto" w:fill="FFFFFF"/>
        <w:spacing w:before="0" w:beforeAutospacing="0" w:after="0" w:afterAutospacing="0" w:line="360" w:lineRule="auto"/>
        <w:ind w:left="709"/>
        <w:jc w:val="both"/>
        <w:rPr>
          <w:i/>
          <w:iCs/>
          <w:color w:val="242121"/>
          <w:sz w:val="26"/>
          <w:szCs w:val="26"/>
          <w:lang w:val="en-GB"/>
        </w:rPr>
      </w:pPr>
      <w:r>
        <w:rPr>
          <w:i/>
          <w:iCs/>
          <w:color w:val="242121"/>
          <w:sz w:val="26"/>
          <w:szCs w:val="26"/>
          <w:lang w:val="en-GB"/>
        </w:rPr>
        <w:t>appoint and grant letters of executorship to such person or persons who he may deem fit and proper to be executor’.</w:t>
      </w:r>
    </w:p>
    <w:p w14:paraId="078F2BF9" w14:textId="77777777" w:rsidR="007C6A3E" w:rsidRDefault="007C6A3E" w:rsidP="007C6A3E">
      <w:pPr>
        <w:pStyle w:val="NormalWeb"/>
        <w:shd w:val="clear" w:color="auto" w:fill="FFFFFF"/>
        <w:spacing w:before="0" w:beforeAutospacing="0" w:after="0" w:afterAutospacing="0" w:line="480" w:lineRule="auto"/>
        <w:jc w:val="both"/>
        <w:rPr>
          <w:i/>
          <w:iCs/>
          <w:color w:val="242121"/>
          <w:sz w:val="26"/>
          <w:szCs w:val="26"/>
          <w:lang w:val="en-GB"/>
        </w:rPr>
      </w:pPr>
    </w:p>
    <w:p w14:paraId="6E9AB155" w14:textId="164968FF" w:rsidR="00B77F0E" w:rsidRPr="002A4FF9" w:rsidRDefault="002A4FF9" w:rsidP="002A4FF9">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B7C4F" w:rsidRPr="002A4FF9">
        <w:rPr>
          <w:rFonts w:ascii="Arial" w:hAnsi="Arial" w:cs="Arial"/>
          <w:sz w:val="24"/>
          <w:szCs w:val="24"/>
        </w:rPr>
        <w:t>Whilst the master</w:t>
      </w:r>
      <w:r w:rsidR="00CF306D" w:rsidRPr="002A4FF9">
        <w:rPr>
          <w:rFonts w:ascii="Arial" w:hAnsi="Arial" w:cs="Arial"/>
          <w:sz w:val="24"/>
          <w:szCs w:val="24"/>
        </w:rPr>
        <w:t>, in accordance with section 18 of the Administration of Estates Act,</w:t>
      </w:r>
      <w:r w:rsidR="003B7C4F" w:rsidRPr="002A4FF9">
        <w:rPr>
          <w:rFonts w:ascii="Arial" w:hAnsi="Arial" w:cs="Arial"/>
          <w:sz w:val="24"/>
          <w:szCs w:val="24"/>
        </w:rPr>
        <w:t xml:space="preserve"> enjoys a wide power to grant letters of executorship to any person he deems fit and proper to be an executor,</w:t>
      </w:r>
      <w:r w:rsidR="001F47F4" w:rsidRPr="002A4FF9">
        <w:rPr>
          <w:rFonts w:ascii="Arial" w:hAnsi="Arial" w:cs="Arial"/>
          <w:sz w:val="24"/>
          <w:szCs w:val="24"/>
        </w:rPr>
        <w:t xml:space="preserve"> this is not the only consideration which comes into play.  I</w:t>
      </w:r>
      <w:r w:rsidR="003B7C4F" w:rsidRPr="002A4FF9">
        <w:rPr>
          <w:rFonts w:ascii="Arial" w:hAnsi="Arial" w:cs="Arial"/>
          <w:sz w:val="24"/>
          <w:szCs w:val="24"/>
        </w:rPr>
        <w:t xml:space="preserve">f </w:t>
      </w:r>
      <w:r w:rsidR="007D15AB" w:rsidRPr="002A4FF9">
        <w:rPr>
          <w:rFonts w:ascii="Arial" w:hAnsi="Arial" w:cs="Arial"/>
          <w:sz w:val="24"/>
          <w:szCs w:val="24"/>
        </w:rPr>
        <w:t xml:space="preserve">proper </w:t>
      </w:r>
      <w:r w:rsidR="003B7C4F" w:rsidRPr="002A4FF9">
        <w:rPr>
          <w:rFonts w:ascii="Arial" w:hAnsi="Arial" w:cs="Arial"/>
          <w:sz w:val="24"/>
          <w:szCs w:val="24"/>
        </w:rPr>
        <w:t>regard is had to the wording</w:t>
      </w:r>
      <w:r w:rsidR="00115B2A" w:rsidRPr="002A4FF9">
        <w:rPr>
          <w:rFonts w:ascii="Arial" w:hAnsi="Arial" w:cs="Arial"/>
          <w:sz w:val="24"/>
          <w:szCs w:val="24"/>
        </w:rPr>
        <w:t xml:space="preserve"> of</w:t>
      </w:r>
      <w:r w:rsidR="007D15AB" w:rsidRPr="002A4FF9">
        <w:rPr>
          <w:rFonts w:ascii="Arial" w:hAnsi="Arial" w:cs="Arial"/>
          <w:sz w:val="24"/>
          <w:szCs w:val="24"/>
        </w:rPr>
        <w:t xml:space="preserve"> section</w:t>
      </w:r>
      <w:r w:rsidR="0011125A" w:rsidRPr="002A4FF9">
        <w:rPr>
          <w:rFonts w:ascii="Arial" w:hAnsi="Arial" w:cs="Arial"/>
          <w:sz w:val="24"/>
          <w:szCs w:val="24"/>
        </w:rPr>
        <w:t xml:space="preserve"> 18</w:t>
      </w:r>
      <w:r w:rsidR="003B7C4F" w:rsidRPr="002A4FF9">
        <w:rPr>
          <w:rFonts w:ascii="Arial" w:hAnsi="Arial" w:cs="Arial"/>
          <w:sz w:val="24"/>
          <w:szCs w:val="24"/>
        </w:rPr>
        <w:t xml:space="preserve">, </w:t>
      </w:r>
      <w:r w:rsidR="00770D06" w:rsidRPr="002A4FF9">
        <w:rPr>
          <w:rFonts w:ascii="Arial" w:hAnsi="Arial" w:cs="Arial"/>
          <w:sz w:val="24"/>
          <w:szCs w:val="24"/>
        </w:rPr>
        <w:t>and more particularly</w:t>
      </w:r>
      <w:r w:rsidR="00FD2F48" w:rsidRPr="002A4FF9">
        <w:rPr>
          <w:rFonts w:ascii="Arial" w:hAnsi="Arial" w:cs="Arial"/>
          <w:sz w:val="24"/>
          <w:szCs w:val="24"/>
        </w:rPr>
        <w:t>, in the context of the present dispute,</w:t>
      </w:r>
      <w:r w:rsidR="00E54825" w:rsidRPr="002A4FF9">
        <w:rPr>
          <w:rFonts w:ascii="Arial" w:hAnsi="Arial" w:cs="Arial"/>
          <w:sz w:val="24"/>
          <w:szCs w:val="24"/>
        </w:rPr>
        <w:t xml:space="preserve"> </w:t>
      </w:r>
      <w:r w:rsidR="00AC4308" w:rsidRPr="002A4FF9">
        <w:rPr>
          <w:rFonts w:ascii="Arial" w:hAnsi="Arial" w:cs="Arial"/>
          <w:sz w:val="24"/>
          <w:szCs w:val="24"/>
        </w:rPr>
        <w:t>sub</w:t>
      </w:r>
      <w:r w:rsidR="00770D06" w:rsidRPr="002A4FF9">
        <w:rPr>
          <w:rFonts w:ascii="Arial" w:hAnsi="Arial" w:cs="Arial"/>
          <w:sz w:val="24"/>
          <w:szCs w:val="24"/>
        </w:rPr>
        <w:t>section 18(1)(e) thereof,</w:t>
      </w:r>
      <w:r w:rsidR="007D15AB" w:rsidRPr="002A4FF9">
        <w:rPr>
          <w:rFonts w:ascii="Arial" w:hAnsi="Arial" w:cs="Arial"/>
          <w:sz w:val="24"/>
          <w:szCs w:val="24"/>
        </w:rPr>
        <w:t xml:space="preserve"> </w:t>
      </w:r>
      <w:r w:rsidR="00770D06" w:rsidRPr="002A4FF9">
        <w:rPr>
          <w:rFonts w:ascii="Arial" w:hAnsi="Arial" w:cs="Arial"/>
          <w:sz w:val="24"/>
          <w:szCs w:val="24"/>
        </w:rPr>
        <w:t>it presupposes that once an executor has been appointed, it is not open to the master to appoint and grant letters of executorship to any other person/s as he may deem fit and proper until such time as an event, as</w:t>
      </w:r>
      <w:r w:rsidR="00162D91" w:rsidRPr="002A4FF9">
        <w:rPr>
          <w:rFonts w:ascii="Arial" w:hAnsi="Arial" w:cs="Arial"/>
          <w:sz w:val="24"/>
          <w:szCs w:val="24"/>
        </w:rPr>
        <w:t xml:space="preserve"> catered </w:t>
      </w:r>
      <w:r w:rsidR="00770D06" w:rsidRPr="002A4FF9">
        <w:rPr>
          <w:rFonts w:ascii="Arial" w:hAnsi="Arial" w:cs="Arial"/>
          <w:sz w:val="24"/>
          <w:szCs w:val="24"/>
        </w:rPr>
        <w:t xml:space="preserve">for in the section, </w:t>
      </w:r>
      <w:r w:rsidR="00D05253" w:rsidRPr="002A4FF9">
        <w:rPr>
          <w:rFonts w:ascii="Arial" w:hAnsi="Arial" w:cs="Arial"/>
          <w:sz w:val="24"/>
          <w:szCs w:val="24"/>
        </w:rPr>
        <w:t>occurs</w:t>
      </w:r>
      <w:r w:rsidR="00162D91" w:rsidRPr="002A4FF9">
        <w:rPr>
          <w:rFonts w:ascii="Arial" w:hAnsi="Arial" w:cs="Arial"/>
          <w:sz w:val="24"/>
          <w:szCs w:val="24"/>
        </w:rPr>
        <w:t xml:space="preserve">, triggering </w:t>
      </w:r>
      <w:r w:rsidR="00D05253" w:rsidRPr="002A4FF9">
        <w:rPr>
          <w:rFonts w:ascii="Arial" w:hAnsi="Arial" w:cs="Arial"/>
          <w:sz w:val="24"/>
          <w:szCs w:val="24"/>
        </w:rPr>
        <w:t>the operation of such power</w:t>
      </w:r>
      <w:r w:rsidR="00770D06" w:rsidRPr="002A4FF9">
        <w:rPr>
          <w:rFonts w:ascii="Arial" w:hAnsi="Arial" w:cs="Arial"/>
          <w:sz w:val="24"/>
          <w:szCs w:val="24"/>
        </w:rPr>
        <w:t xml:space="preserve">, </w:t>
      </w:r>
      <w:r w:rsidR="00926817" w:rsidRPr="002A4FF9">
        <w:rPr>
          <w:rFonts w:ascii="Arial" w:hAnsi="Arial" w:cs="Arial"/>
          <w:sz w:val="24"/>
          <w:szCs w:val="24"/>
        </w:rPr>
        <w:t>for example,</w:t>
      </w:r>
      <w:r w:rsidR="00770D06" w:rsidRPr="002A4FF9">
        <w:rPr>
          <w:rFonts w:ascii="Arial" w:hAnsi="Arial" w:cs="Arial"/>
          <w:sz w:val="24"/>
          <w:szCs w:val="24"/>
        </w:rPr>
        <w:t xml:space="preserve"> the cessation of the appointed executor to </w:t>
      </w:r>
      <w:r w:rsidR="009A3158" w:rsidRPr="002A4FF9">
        <w:rPr>
          <w:rFonts w:ascii="Arial" w:hAnsi="Arial" w:cs="Arial"/>
          <w:sz w:val="24"/>
          <w:szCs w:val="24"/>
        </w:rPr>
        <w:t xml:space="preserve">act </w:t>
      </w:r>
      <w:r w:rsidR="0056524D" w:rsidRPr="002A4FF9">
        <w:rPr>
          <w:rFonts w:ascii="Arial" w:hAnsi="Arial" w:cs="Arial"/>
          <w:sz w:val="24"/>
          <w:szCs w:val="24"/>
        </w:rPr>
        <w:t>in such capacity</w:t>
      </w:r>
      <w:r w:rsidR="009A3158" w:rsidRPr="002A4FF9">
        <w:rPr>
          <w:rFonts w:ascii="Arial" w:hAnsi="Arial" w:cs="Arial"/>
          <w:sz w:val="24"/>
          <w:szCs w:val="24"/>
        </w:rPr>
        <w:t>.</w:t>
      </w:r>
    </w:p>
    <w:p w14:paraId="673DDE47" w14:textId="77777777" w:rsidR="00B77F0E" w:rsidRDefault="00B77F0E" w:rsidP="00B77F0E">
      <w:pPr>
        <w:spacing w:after="0" w:line="480" w:lineRule="auto"/>
        <w:jc w:val="both"/>
        <w:rPr>
          <w:rFonts w:ascii="Arial" w:hAnsi="Arial" w:cs="Arial"/>
          <w:sz w:val="24"/>
          <w:szCs w:val="24"/>
        </w:rPr>
      </w:pPr>
    </w:p>
    <w:p w14:paraId="4B854978" w14:textId="0AFF674D" w:rsidR="00B77F0E" w:rsidRPr="002A4FF9" w:rsidRDefault="002A4FF9" w:rsidP="002A4FF9">
      <w:pPr>
        <w:spacing w:after="0" w:line="480" w:lineRule="auto"/>
        <w:jc w:val="both"/>
        <w:rPr>
          <w:rFonts w:ascii="Arial" w:hAnsi="Arial" w:cs="Arial"/>
          <w:sz w:val="24"/>
          <w:szCs w:val="24"/>
        </w:rPr>
      </w:pPr>
      <w:r w:rsidRPr="00C3655D">
        <w:rPr>
          <w:rFonts w:ascii="Arial" w:hAnsi="Arial" w:cs="Arial"/>
          <w:sz w:val="24"/>
          <w:szCs w:val="24"/>
        </w:rPr>
        <w:t>[23]</w:t>
      </w:r>
      <w:r w:rsidRPr="00C3655D">
        <w:rPr>
          <w:rFonts w:ascii="Arial" w:hAnsi="Arial" w:cs="Arial"/>
          <w:sz w:val="24"/>
          <w:szCs w:val="24"/>
        </w:rPr>
        <w:tab/>
      </w:r>
      <w:r w:rsidR="00B77F0E" w:rsidRPr="002A4FF9">
        <w:rPr>
          <w:rFonts w:ascii="Arial" w:hAnsi="Arial" w:cs="Arial"/>
          <w:sz w:val="24"/>
          <w:szCs w:val="24"/>
        </w:rPr>
        <w:t xml:space="preserve">Our courts have over time, developed harmony, in the proper approach to the interpretation of documents.  As succinctly set out in </w:t>
      </w:r>
      <w:r w:rsidR="00B77F0E" w:rsidRPr="002A4FF9">
        <w:rPr>
          <w:rFonts w:ascii="Arial" w:hAnsi="Arial" w:cs="Arial"/>
          <w:i/>
          <w:iCs/>
          <w:sz w:val="24"/>
          <w:szCs w:val="24"/>
        </w:rPr>
        <w:t>Natal Joint Municipal Pension Fund v Endumeni Municipality</w:t>
      </w:r>
      <w:r w:rsidR="00B77F0E" w:rsidRPr="002A4FF9">
        <w:rPr>
          <w:rFonts w:ascii="Arial" w:hAnsi="Arial" w:cs="Arial"/>
          <w:sz w:val="24"/>
          <w:szCs w:val="24"/>
        </w:rPr>
        <w:t>:</w:t>
      </w:r>
      <w:r w:rsidR="00B77F0E">
        <w:rPr>
          <w:rStyle w:val="FootnoteReference"/>
          <w:rFonts w:ascii="Arial" w:hAnsi="Arial" w:cs="Arial"/>
          <w:i/>
          <w:iCs/>
          <w:sz w:val="24"/>
          <w:szCs w:val="24"/>
        </w:rPr>
        <w:footnoteReference w:id="10"/>
      </w:r>
      <w:r w:rsidR="00B77F0E" w:rsidRPr="002A4FF9">
        <w:rPr>
          <w:rFonts w:ascii="Arial" w:hAnsi="Arial" w:cs="Arial"/>
          <w:sz w:val="24"/>
          <w:szCs w:val="24"/>
        </w:rPr>
        <w:t xml:space="preserve"> </w:t>
      </w:r>
    </w:p>
    <w:p w14:paraId="53606E37" w14:textId="77777777" w:rsidR="00B77F0E" w:rsidRDefault="00B77F0E" w:rsidP="00B77F0E">
      <w:pPr>
        <w:pStyle w:val="ListParagraph"/>
        <w:spacing w:after="0" w:line="480" w:lineRule="auto"/>
        <w:ind w:left="851"/>
        <w:jc w:val="both"/>
        <w:rPr>
          <w:rFonts w:ascii="Arial" w:hAnsi="Arial" w:cs="Arial"/>
          <w:sz w:val="20"/>
          <w:szCs w:val="20"/>
        </w:rPr>
      </w:pPr>
    </w:p>
    <w:p w14:paraId="357103DB" w14:textId="77777777" w:rsidR="00B77F0E" w:rsidRPr="00A12D68" w:rsidRDefault="00B77F0E" w:rsidP="00B77F0E">
      <w:pPr>
        <w:pStyle w:val="ListParagraph"/>
        <w:spacing w:after="0" w:line="360" w:lineRule="auto"/>
        <w:ind w:left="709"/>
        <w:jc w:val="both"/>
        <w:rPr>
          <w:rFonts w:ascii="Arial" w:hAnsi="Arial" w:cs="Arial"/>
          <w:i/>
          <w:iCs/>
          <w:color w:val="242121"/>
          <w:shd w:val="clear" w:color="auto" w:fill="FFFFFF"/>
        </w:rPr>
      </w:pPr>
      <w:r w:rsidRPr="00A12D68">
        <w:rPr>
          <w:rFonts w:ascii="Arial" w:hAnsi="Arial" w:cs="Arial"/>
        </w:rPr>
        <w:t>“</w:t>
      </w:r>
      <w:r w:rsidRPr="00A12D68">
        <w:rPr>
          <w:rFonts w:ascii="Arial" w:hAnsi="Arial" w:cs="Arial"/>
          <w:i/>
          <w:iCs/>
        </w:rPr>
        <w:t>[18]</w:t>
      </w:r>
      <w:r w:rsidRPr="00A12D68">
        <w:rPr>
          <w:rFonts w:ascii="Arial" w:hAnsi="Arial" w:cs="Arial"/>
          <w:i/>
          <w:iCs/>
        </w:rPr>
        <w:tab/>
        <w:t>…</w:t>
      </w:r>
      <w:r w:rsidRPr="00A12D68">
        <w:rPr>
          <w:rFonts w:ascii="Arial" w:hAnsi="Arial" w:cs="Arial"/>
          <w:i/>
          <w:iCs/>
          <w:color w:val="242121"/>
          <w:shd w:val="clear" w:color="auto" w:fill="FFFFFF"/>
        </w:rPr>
        <w:t xml:space="preserve"> The present state of the law can be expressed as follows. Interpretation is the process of attributing meaning to the words used in a document, be it legislation, </w:t>
      </w:r>
      <w:r w:rsidRPr="00A12D68">
        <w:rPr>
          <w:rFonts w:ascii="Arial" w:hAnsi="Arial" w:cs="Arial"/>
          <w:i/>
          <w:iCs/>
          <w:color w:val="242121"/>
          <w:shd w:val="clear" w:color="auto" w:fill="FFFFFF"/>
        </w:rPr>
        <w:lastRenderedPageBreak/>
        <w:t>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r w:rsidRPr="00A12D68">
        <w:rPr>
          <w:rFonts w:ascii="Arial" w:hAnsi="Arial" w:cs="Arial"/>
          <w:i/>
          <w:iCs/>
          <w:color w:val="242121"/>
          <w:shd w:val="clear" w:color="auto" w:fill="FFFFFF"/>
          <w:vertAlign w:val="superscript"/>
        </w:rPr>
        <w:t xml:space="preserve"> </w:t>
      </w:r>
      <w:r w:rsidRPr="00A12D68">
        <w:rPr>
          <w:rFonts w:ascii="Arial" w:hAnsi="Arial" w:cs="Arial"/>
          <w:i/>
          <w:iCs/>
          <w:color w:val="242121"/>
          <w:shd w:val="clear" w:color="auto" w:fill="FFFFFF"/>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w:t>
      </w:r>
    </w:p>
    <w:p w14:paraId="4BADB429" w14:textId="77777777" w:rsidR="00B77F0E" w:rsidRPr="00A12D68" w:rsidRDefault="00B77F0E" w:rsidP="00B77F0E">
      <w:pPr>
        <w:pStyle w:val="ListParagraph"/>
        <w:spacing w:after="0" w:line="360" w:lineRule="auto"/>
        <w:ind w:left="851"/>
        <w:jc w:val="both"/>
        <w:rPr>
          <w:rFonts w:ascii="Arial" w:hAnsi="Arial" w:cs="Arial"/>
          <w:i/>
          <w:iCs/>
          <w:color w:val="242121"/>
          <w:shd w:val="clear" w:color="auto" w:fill="FFFFFF"/>
        </w:rPr>
      </w:pPr>
      <w:r w:rsidRPr="00A12D68">
        <w:rPr>
          <w:rFonts w:ascii="Arial" w:hAnsi="Arial" w:cs="Arial"/>
          <w:i/>
          <w:iCs/>
          <w:color w:val="242121"/>
          <w:shd w:val="clear" w:color="auto" w:fill="FFFFFF"/>
        </w:rPr>
        <w:t>…</w:t>
      </w:r>
    </w:p>
    <w:p w14:paraId="61E56D4C" w14:textId="77777777" w:rsidR="00B77F0E" w:rsidRPr="00A12D68" w:rsidRDefault="00B77F0E" w:rsidP="00B77F0E">
      <w:pPr>
        <w:pStyle w:val="western"/>
        <w:shd w:val="clear" w:color="auto" w:fill="FFFFFF"/>
        <w:spacing w:before="0" w:beforeAutospacing="0" w:after="0" w:afterAutospacing="0" w:line="360" w:lineRule="auto"/>
        <w:ind w:left="709"/>
        <w:jc w:val="both"/>
        <w:rPr>
          <w:rFonts w:ascii="Arial" w:hAnsi="Arial" w:cs="Arial"/>
          <w:i/>
          <w:iCs/>
          <w:color w:val="242121"/>
          <w:sz w:val="22"/>
          <w:szCs w:val="22"/>
        </w:rPr>
      </w:pPr>
      <w:r w:rsidRPr="00A12D68">
        <w:rPr>
          <w:rFonts w:ascii="Arial" w:hAnsi="Arial" w:cs="Arial"/>
          <w:i/>
          <w:iCs/>
          <w:color w:val="242121"/>
          <w:sz w:val="22"/>
          <w:szCs w:val="22"/>
        </w:rPr>
        <w:t>[19] All this is consistent with the ‘emerging trend in statutory construction’. It clearly adopts as the proper approach to the interpretation of documents the second of the two possible approaches mentioned by Schreiner JA in Jaga v Dönges NO and another, namely that from the outset one considers the context and the language together, with neither predominating over the other. This is the approach that courts in South Africa should now follow, without the need to cite authorities from an earlier era that are not necessarily consistent and frequently reflect an approach to interpretation that is no longer appropriate. The path that Schreiner JA pointed to is now received wisdom elsewhere. Thus Sir Anthony Mason CJ said:</w:t>
      </w:r>
    </w:p>
    <w:p w14:paraId="399EE5BC" w14:textId="77777777" w:rsidR="00B77F0E" w:rsidRPr="00A12D68" w:rsidRDefault="00B77F0E" w:rsidP="00B77F0E">
      <w:pPr>
        <w:pStyle w:val="western"/>
        <w:shd w:val="clear" w:color="auto" w:fill="FFFFFF"/>
        <w:spacing w:before="0" w:beforeAutospacing="0" w:after="0" w:afterAutospacing="0" w:line="360" w:lineRule="auto"/>
        <w:ind w:left="1418"/>
        <w:jc w:val="both"/>
        <w:rPr>
          <w:rFonts w:ascii="Arial" w:hAnsi="Arial" w:cs="Arial"/>
          <w:i/>
          <w:iCs/>
          <w:color w:val="242121"/>
          <w:sz w:val="22"/>
          <w:szCs w:val="22"/>
          <w:lang w:val="en-GB"/>
        </w:rPr>
      </w:pPr>
      <w:r w:rsidRPr="00A12D68">
        <w:rPr>
          <w:rFonts w:ascii="Arial" w:hAnsi="Arial" w:cs="Arial"/>
          <w:i/>
          <w:iCs/>
          <w:color w:val="242121"/>
          <w:sz w:val="22"/>
          <w:szCs w:val="22"/>
          <w:lang w:val="en-GB"/>
        </w:rPr>
        <w:t>‘</w:t>
      </w:r>
      <w:r w:rsidRPr="00A12D68">
        <w:rPr>
          <w:rFonts w:ascii="Arial" w:hAnsi="Arial" w:cs="Arial"/>
          <w:i/>
          <w:iCs/>
          <w:color w:val="242121"/>
          <w:sz w:val="22"/>
          <w:szCs w:val="22"/>
        </w:rPr>
        <w:t>Problems of legal interpretation are not solved satisfactorily by ritual incantations which emphasise the clarity of meaning which words have when viewed in isolation, divorced from their context. The modern approach to interpretation insists that context be considered in the first instance, especially in the case of general words, and not merely at some later stage when ambiguity might be thought to arise.’</w:t>
      </w:r>
    </w:p>
    <w:p w14:paraId="1FE03112" w14:textId="77777777" w:rsidR="00B77F0E" w:rsidRPr="00A12D68" w:rsidRDefault="00B77F0E" w:rsidP="00B77F0E">
      <w:pPr>
        <w:pStyle w:val="ListParagraph"/>
        <w:spacing w:after="0" w:line="360" w:lineRule="auto"/>
        <w:ind w:left="709"/>
        <w:jc w:val="both"/>
        <w:rPr>
          <w:rFonts w:ascii="Arial" w:hAnsi="Arial" w:cs="Arial"/>
          <w:i/>
          <w:iCs/>
        </w:rPr>
      </w:pPr>
      <w:r w:rsidRPr="00A12D68">
        <w:rPr>
          <w:rFonts w:ascii="Arial" w:hAnsi="Arial" w:cs="Arial"/>
          <w:i/>
          <w:iCs/>
        </w:rPr>
        <w:t>…</w:t>
      </w:r>
    </w:p>
    <w:p w14:paraId="76C735DC" w14:textId="77777777" w:rsidR="00B77F0E" w:rsidRPr="00A12D68" w:rsidRDefault="00B77F0E" w:rsidP="00B77F0E">
      <w:pPr>
        <w:pStyle w:val="ListParagraph"/>
        <w:spacing w:after="0" w:line="360" w:lineRule="auto"/>
        <w:ind w:left="709"/>
        <w:jc w:val="both"/>
        <w:rPr>
          <w:rFonts w:ascii="Arial" w:hAnsi="Arial" w:cs="Arial"/>
          <w:i/>
          <w:iCs/>
        </w:rPr>
      </w:pPr>
      <w:r w:rsidRPr="00A12D68">
        <w:rPr>
          <w:rFonts w:ascii="Arial" w:hAnsi="Arial" w:cs="Arial"/>
          <w:i/>
          <w:iCs/>
        </w:rPr>
        <w:t xml:space="preserve">[23] … </w:t>
      </w:r>
      <w:r w:rsidRPr="00A12D68">
        <w:rPr>
          <w:rFonts w:ascii="Arial" w:hAnsi="Arial" w:cs="Arial"/>
          <w:i/>
          <w:iCs/>
          <w:color w:val="242121"/>
          <w:shd w:val="clear" w:color="auto" w:fill="FFFFFF"/>
        </w:rPr>
        <w:t>If interpretation is, as all agree it is, an exercise in ascertaining the meaning of the words used in the statute and is objective in form, it is unrelated to whatever intention those responsible for the words may have had at the time they selected them. Their purpose is something different from their intention, as is their contemplation of the problem to which the words were addressed.</w:t>
      </w:r>
    </w:p>
    <w:p w14:paraId="2B5546DC" w14:textId="77777777" w:rsidR="00B77F0E" w:rsidRPr="00A12D68" w:rsidRDefault="00B77F0E" w:rsidP="00B77F0E">
      <w:pPr>
        <w:pStyle w:val="ListParagraph"/>
        <w:spacing w:after="0" w:line="360" w:lineRule="auto"/>
        <w:ind w:left="709"/>
        <w:jc w:val="both"/>
        <w:rPr>
          <w:rFonts w:ascii="Arial" w:hAnsi="Arial" w:cs="Arial"/>
        </w:rPr>
      </w:pPr>
      <w:r w:rsidRPr="00A12D68">
        <w:rPr>
          <w:rFonts w:ascii="Arial" w:hAnsi="Arial" w:cs="Arial"/>
          <w:i/>
          <w:iCs/>
        </w:rPr>
        <w:t xml:space="preserve">[25] … [W]hen the provision is read in context, that is the appropriate meaning to give to the language used. At the other extreme, where the context makes it plain that </w:t>
      </w:r>
      <w:r w:rsidRPr="00A12D68">
        <w:rPr>
          <w:rFonts w:ascii="Arial" w:hAnsi="Arial" w:cs="Arial"/>
          <w:i/>
          <w:iCs/>
        </w:rPr>
        <w:lastRenderedPageBreak/>
        <w:t>adhering to the meaning suggested by apparently plain language would lead to glaring absurdity, the court will ascribe a meaning to the language that avoids the absurdity. This is said to involve a departure from the plain meaning of the words used. More accurately it is either a restriction or extension of the language used by the adoption of a narrow or broad meaning of the words, the selection of a less immediately apparent meaning or sometimes the correction of an apparent error in the language in order to avoid the identified absurdity</w:t>
      </w:r>
      <w:r w:rsidRPr="00A12D68">
        <w:rPr>
          <w:rFonts w:ascii="Arial" w:hAnsi="Arial" w:cs="Arial"/>
        </w:rPr>
        <w:t>.”</w:t>
      </w:r>
    </w:p>
    <w:p w14:paraId="018C4263" w14:textId="77777777" w:rsidR="00B77F0E" w:rsidRPr="00A12D68" w:rsidRDefault="00B77F0E" w:rsidP="00B77F0E">
      <w:pPr>
        <w:pStyle w:val="ListParagraph"/>
        <w:spacing w:after="0" w:line="480" w:lineRule="auto"/>
        <w:ind w:left="851"/>
        <w:jc w:val="both"/>
        <w:rPr>
          <w:rFonts w:ascii="Arial" w:hAnsi="Arial" w:cs="Arial"/>
        </w:rPr>
      </w:pPr>
    </w:p>
    <w:p w14:paraId="7CDB88FB" w14:textId="5EB07B13" w:rsidR="00B77F0E" w:rsidRPr="002A4FF9" w:rsidRDefault="002A4FF9" w:rsidP="002A4FF9">
      <w:pPr>
        <w:spacing w:after="0" w:line="480" w:lineRule="auto"/>
        <w:jc w:val="both"/>
        <w:rPr>
          <w:rFonts w:ascii="Arial" w:hAnsi="Arial" w:cs="Arial"/>
          <w:sz w:val="24"/>
          <w:szCs w:val="24"/>
        </w:rPr>
      </w:pPr>
      <w:r w:rsidRPr="00E57597">
        <w:rPr>
          <w:rFonts w:ascii="Arial" w:hAnsi="Arial" w:cs="Arial"/>
          <w:sz w:val="24"/>
          <w:szCs w:val="24"/>
        </w:rPr>
        <w:t>[24]</w:t>
      </w:r>
      <w:r w:rsidRPr="00E57597">
        <w:rPr>
          <w:rFonts w:ascii="Arial" w:hAnsi="Arial" w:cs="Arial"/>
          <w:sz w:val="24"/>
          <w:szCs w:val="24"/>
        </w:rPr>
        <w:tab/>
      </w:r>
      <w:r w:rsidR="00B77F0E" w:rsidRPr="002A4FF9">
        <w:rPr>
          <w:rFonts w:ascii="Arial" w:hAnsi="Arial" w:cs="Arial"/>
          <w:color w:val="242121"/>
          <w:sz w:val="24"/>
          <w:szCs w:val="24"/>
          <w:lang w:val="en-GB"/>
        </w:rPr>
        <w:t>In </w:t>
      </w:r>
      <w:r w:rsidR="00B77F0E" w:rsidRPr="002A4FF9">
        <w:rPr>
          <w:rFonts w:ascii="Arial" w:hAnsi="Arial" w:cs="Arial"/>
          <w:i/>
          <w:iCs/>
          <w:color w:val="242121"/>
          <w:sz w:val="24"/>
          <w:szCs w:val="24"/>
          <w:lang w:val="en-GB"/>
        </w:rPr>
        <w:t>Cool Ideas 1186 CC v Hubbard</w:t>
      </w:r>
      <w:bookmarkStart w:id="1" w:name="_ftnref25"/>
      <w:r w:rsidR="00B77F0E" w:rsidRPr="00E57597">
        <w:rPr>
          <w:rStyle w:val="FootnoteReference"/>
          <w:rFonts w:ascii="Arial" w:hAnsi="Arial" w:cs="Arial"/>
          <w:i/>
          <w:iCs/>
          <w:color w:val="242121"/>
          <w:sz w:val="24"/>
          <w:szCs w:val="24"/>
          <w:lang w:val="en-GB"/>
        </w:rPr>
        <w:footnoteReference w:id="11"/>
      </w:r>
      <w:bookmarkEnd w:id="1"/>
      <w:r w:rsidR="00B77F0E" w:rsidRPr="002A4FF9">
        <w:rPr>
          <w:rFonts w:ascii="Arial" w:hAnsi="Arial" w:cs="Arial"/>
          <w:color w:val="242121"/>
          <w:sz w:val="24"/>
          <w:szCs w:val="24"/>
          <w:lang w:val="en-GB"/>
        </w:rPr>
        <w:t xml:space="preserve"> the court, at paragraph [28], in dealing with the interpretation of statutes said the following:</w:t>
      </w:r>
    </w:p>
    <w:p w14:paraId="0D230E28" w14:textId="77777777" w:rsidR="00B77F0E" w:rsidRPr="00E57597" w:rsidRDefault="00B77F0E" w:rsidP="00B77F0E">
      <w:pPr>
        <w:pStyle w:val="NormalWeb"/>
        <w:shd w:val="clear" w:color="auto" w:fill="FFFFFF"/>
        <w:spacing w:before="144" w:beforeAutospacing="0" w:after="0" w:afterAutospacing="0" w:line="480" w:lineRule="atLeast"/>
        <w:ind w:left="709"/>
        <w:jc w:val="both"/>
        <w:rPr>
          <w:rFonts w:ascii="Arial" w:hAnsi="Arial" w:cs="Arial"/>
          <w:i/>
          <w:iCs/>
          <w:color w:val="242121"/>
          <w:sz w:val="22"/>
          <w:szCs w:val="22"/>
        </w:rPr>
      </w:pPr>
      <w:r w:rsidRPr="00E57597">
        <w:rPr>
          <w:rFonts w:ascii="Arial" w:hAnsi="Arial" w:cs="Arial"/>
          <w:color w:val="000000"/>
        </w:rPr>
        <w:t>“</w:t>
      </w:r>
      <w:r w:rsidRPr="00E57597">
        <w:rPr>
          <w:rFonts w:ascii="Arial" w:hAnsi="Arial" w:cs="Arial"/>
          <w:i/>
          <w:iCs/>
          <w:color w:val="242121"/>
          <w:sz w:val="22"/>
          <w:szCs w:val="22"/>
        </w:rPr>
        <w:t>A fundamental tenet of statutory interpretation is that the words in a statute must be given their ordinary grammatical meaning, unless to do so would result in an absurdity.  There are three important interrelated riders to this general principle, namely:</w:t>
      </w:r>
    </w:p>
    <w:p w14:paraId="14E2D50C" w14:textId="77777777" w:rsidR="00B77F0E" w:rsidRPr="00E57597" w:rsidRDefault="00B77F0E" w:rsidP="00B77F0E">
      <w:pPr>
        <w:pStyle w:val="NormalWeb"/>
        <w:shd w:val="clear" w:color="auto" w:fill="FFFFFF"/>
        <w:spacing w:before="144" w:beforeAutospacing="0" w:after="0" w:afterAutospacing="0" w:line="480" w:lineRule="atLeast"/>
        <w:ind w:left="720" w:hanging="11"/>
        <w:jc w:val="both"/>
        <w:rPr>
          <w:rFonts w:ascii="Arial" w:hAnsi="Arial" w:cs="Arial"/>
          <w:i/>
          <w:iCs/>
          <w:color w:val="242121"/>
          <w:sz w:val="22"/>
          <w:szCs w:val="22"/>
        </w:rPr>
      </w:pPr>
      <w:r w:rsidRPr="00E57597">
        <w:rPr>
          <w:rFonts w:ascii="Arial" w:hAnsi="Arial" w:cs="Arial"/>
          <w:i/>
          <w:iCs/>
          <w:color w:val="242121"/>
          <w:sz w:val="22"/>
          <w:szCs w:val="22"/>
        </w:rPr>
        <w:t>(a) </w:t>
      </w:r>
      <w:r w:rsidRPr="00E57597">
        <w:rPr>
          <w:rFonts w:ascii="Arial" w:hAnsi="Arial" w:cs="Arial"/>
          <w:i/>
          <w:iCs/>
          <w:color w:val="242121"/>
          <w:sz w:val="22"/>
          <w:szCs w:val="22"/>
        </w:rPr>
        <w:tab/>
        <w:t>that statutory provisions should always be interpreted purposively;</w:t>
      </w:r>
    </w:p>
    <w:p w14:paraId="5D13EFE5" w14:textId="77777777" w:rsidR="00B77F0E" w:rsidRPr="00E57597" w:rsidRDefault="00B77F0E" w:rsidP="00B77F0E">
      <w:pPr>
        <w:pStyle w:val="NormalWeb"/>
        <w:shd w:val="clear" w:color="auto" w:fill="FFFFFF"/>
        <w:spacing w:before="144" w:beforeAutospacing="0" w:after="0" w:afterAutospacing="0" w:line="480" w:lineRule="atLeast"/>
        <w:ind w:left="720" w:hanging="11"/>
        <w:jc w:val="both"/>
        <w:rPr>
          <w:rFonts w:ascii="Arial" w:hAnsi="Arial" w:cs="Arial"/>
          <w:i/>
          <w:iCs/>
          <w:color w:val="242121"/>
          <w:sz w:val="22"/>
          <w:szCs w:val="22"/>
        </w:rPr>
      </w:pPr>
      <w:r w:rsidRPr="00E57597">
        <w:rPr>
          <w:rFonts w:ascii="Arial" w:hAnsi="Arial" w:cs="Arial"/>
          <w:i/>
          <w:iCs/>
          <w:color w:val="242121"/>
          <w:sz w:val="22"/>
          <w:szCs w:val="22"/>
        </w:rPr>
        <w:t>(b) </w:t>
      </w:r>
      <w:r w:rsidRPr="00E57597">
        <w:rPr>
          <w:rFonts w:ascii="Arial" w:hAnsi="Arial" w:cs="Arial"/>
          <w:i/>
          <w:iCs/>
          <w:color w:val="242121"/>
          <w:sz w:val="22"/>
          <w:szCs w:val="22"/>
        </w:rPr>
        <w:tab/>
        <w:t>the relevant statutory provision must be properly contextualised; and</w:t>
      </w:r>
    </w:p>
    <w:p w14:paraId="60E7096B" w14:textId="77777777" w:rsidR="00B77F0E" w:rsidRPr="00E57597" w:rsidRDefault="00B77F0E" w:rsidP="00B77F0E">
      <w:pPr>
        <w:pStyle w:val="NormalWeb"/>
        <w:shd w:val="clear" w:color="auto" w:fill="FFFFFF"/>
        <w:spacing w:before="144" w:beforeAutospacing="0" w:after="0" w:afterAutospacing="0" w:line="480" w:lineRule="atLeast"/>
        <w:ind w:left="709" w:hanging="11"/>
        <w:jc w:val="both"/>
        <w:rPr>
          <w:rFonts w:ascii="Arial" w:hAnsi="Arial" w:cs="Arial"/>
          <w:color w:val="242121"/>
        </w:rPr>
      </w:pPr>
      <w:r w:rsidRPr="00E57597">
        <w:rPr>
          <w:rFonts w:ascii="Arial" w:hAnsi="Arial" w:cs="Arial"/>
          <w:i/>
          <w:iCs/>
          <w:color w:val="242121"/>
          <w:sz w:val="22"/>
          <w:szCs w:val="22"/>
        </w:rPr>
        <w:t>(c) </w:t>
      </w:r>
      <w:r w:rsidRPr="00E57597">
        <w:rPr>
          <w:rFonts w:ascii="Arial" w:hAnsi="Arial" w:cs="Arial"/>
          <w:i/>
          <w:iCs/>
          <w:color w:val="242121"/>
          <w:sz w:val="22"/>
          <w:szCs w:val="22"/>
        </w:rPr>
        <w:tab/>
        <w:t>all statutes must be construed consistently with the Constitution, that is,</w:t>
      </w:r>
      <w:r w:rsidRPr="00E57597">
        <w:rPr>
          <w:rFonts w:ascii="Arial" w:hAnsi="Arial" w:cs="Arial"/>
          <w:i/>
          <w:iCs/>
          <w:color w:val="242121"/>
          <w:sz w:val="22"/>
          <w:szCs w:val="22"/>
        </w:rPr>
        <w:tab/>
        <w:t>where reasonably possible, legislative provisions ought to be interpreted to preserve their constitutional validity.  This proviso to the general principle is closely related to the purposive approach referred to in (a).</w:t>
      </w:r>
      <w:r w:rsidRPr="00E57597">
        <w:rPr>
          <w:rFonts w:ascii="Arial" w:hAnsi="Arial" w:cs="Arial"/>
          <w:color w:val="242121"/>
        </w:rPr>
        <w:t>”</w:t>
      </w:r>
    </w:p>
    <w:p w14:paraId="1A6136EC" w14:textId="77777777" w:rsidR="00B77F0E" w:rsidRDefault="00B77F0E" w:rsidP="00B77F0E">
      <w:pPr>
        <w:pStyle w:val="ListParagraph"/>
        <w:spacing w:after="0" w:line="480" w:lineRule="auto"/>
        <w:ind w:left="851" w:hanging="11"/>
        <w:jc w:val="both"/>
        <w:rPr>
          <w:rFonts w:ascii="Arial" w:hAnsi="Arial" w:cs="Arial"/>
          <w:sz w:val="24"/>
          <w:szCs w:val="24"/>
        </w:rPr>
      </w:pPr>
    </w:p>
    <w:p w14:paraId="1E84C88A" w14:textId="19C1A0E0" w:rsidR="00B77F0E" w:rsidRPr="002A4FF9" w:rsidRDefault="002A4FF9" w:rsidP="002A4FF9">
      <w:pPr>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77F0E" w:rsidRPr="002A4FF9">
        <w:rPr>
          <w:rFonts w:ascii="Arial" w:hAnsi="Arial" w:cs="Arial"/>
          <w:sz w:val="24"/>
          <w:szCs w:val="24"/>
        </w:rPr>
        <w:t xml:space="preserve">The Supreme Court of Appeal, in </w:t>
      </w:r>
      <w:r w:rsidR="00B77F0E" w:rsidRPr="002A4FF9">
        <w:rPr>
          <w:rFonts w:ascii="Arial" w:hAnsi="Arial" w:cs="Arial"/>
          <w:i/>
          <w:iCs/>
          <w:sz w:val="24"/>
          <w:szCs w:val="24"/>
        </w:rPr>
        <w:t>Capitec Bank Holdings Limited and another v Coral Lagoon Investments 194 (Pty) Ltd and others</w:t>
      </w:r>
      <w:r w:rsidR="00B77F0E" w:rsidRPr="002A4FF9">
        <w:rPr>
          <w:rFonts w:ascii="Arial" w:hAnsi="Arial" w:cs="Arial"/>
          <w:sz w:val="24"/>
          <w:szCs w:val="24"/>
        </w:rPr>
        <w:t>,</w:t>
      </w:r>
      <w:r w:rsidR="00B77F0E">
        <w:rPr>
          <w:rStyle w:val="FootnoteReference"/>
          <w:rFonts w:ascii="Arial" w:hAnsi="Arial" w:cs="Arial"/>
          <w:sz w:val="24"/>
          <w:szCs w:val="24"/>
        </w:rPr>
        <w:footnoteReference w:id="12"/>
      </w:r>
      <w:r w:rsidR="00B77F0E" w:rsidRPr="002A4FF9">
        <w:rPr>
          <w:rFonts w:ascii="Arial" w:hAnsi="Arial" w:cs="Arial"/>
          <w:sz w:val="24"/>
          <w:szCs w:val="24"/>
        </w:rPr>
        <w:t xml:space="preserve"> cautioned against utilising the principals enunciated in </w:t>
      </w:r>
      <w:r w:rsidR="00B77F0E" w:rsidRPr="002A4FF9">
        <w:rPr>
          <w:rFonts w:ascii="Arial" w:hAnsi="Arial" w:cs="Arial"/>
          <w:i/>
          <w:iCs/>
          <w:sz w:val="24"/>
          <w:szCs w:val="24"/>
        </w:rPr>
        <w:t>Endumeni Municipality</w:t>
      </w:r>
      <w:r w:rsidR="00B77F0E" w:rsidRPr="002A4FF9">
        <w:rPr>
          <w:rFonts w:ascii="Arial" w:hAnsi="Arial" w:cs="Arial"/>
          <w:sz w:val="24"/>
          <w:szCs w:val="24"/>
        </w:rPr>
        <w:t xml:space="preserve"> as an open-ended permission to </w:t>
      </w:r>
      <w:r w:rsidR="00B77F0E" w:rsidRPr="002A4FF9">
        <w:rPr>
          <w:rFonts w:ascii="Arial" w:hAnsi="Arial" w:cs="Arial"/>
          <w:sz w:val="24"/>
          <w:szCs w:val="24"/>
        </w:rPr>
        <w:lastRenderedPageBreak/>
        <w:t>pursue undisciplined and self-serving interpretations.  Unterhalter AJA went on further to state at paragraph [50] that:</w:t>
      </w:r>
    </w:p>
    <w:p w14:paraId="670E1093" w14:textId="77777777" w:rsidR="00B77F0E" w:rsidRDefault="00B77F0E" w:rsidP="00B77F0E">
      <w:pPr>
        <w:spacing w:after="0" w:line="480" w:lineRule="auto"/>
        <w:jc w:val="both"/>
        <w:rPr>
          <w:rFonts w:ascii="Arial" w:hAnsi="Arial" w:cs="Arial"/>
          <w:sz w:val="24"/>
          <w:szCs w:val="24"/>
        </w:rPr>
      </w:pPr>
    </w:p>
    <w:p w14:paraId="219ECB52" w14:textId="77777777" w:rsidR="00B77F0E" w:rsidRPr="00A12D68" w:rsidRDefault="00B77F0E" w:rsidP="00B77F0E">
      <w:pPr>
        <w:pStyle w:val="ListParagraph"/>
        <w:spacing w:after="0" w:line="360" w:lineRule="auto"/>
        <w:ind w:left="709"/>
        <w:jc w:val="both"/>
        <w:rPr>
          <w:rFonts w:ascii="Arial" w:hAnsi="Arial" w:cs="Arial"/>
        </w:rPr>
      </w:pPr>
      <w:r w:rsidRPr="00A12D68">
        <w:rPr>
          <w:rFonts w:ascii="Arial" w:hAnsi="Arial" w:cs="Arial"/>
        </w:rPr>
        <w:t>“</w:t>
      </w:r>
      <w:r w:rsidRPr="00A12D68">
        <w:rPr>
          <w:rFonts w:ascii="Arial" w:hAnsi="Arial" w:cs="Arial"/>
          <w:i/>
          <w:iCs/>
        </w:rPr>
        <w:t>Endumeni simply gives expression to the view that the words and concepts used in a contract and their relationship to the external world are not self-defining. The case and its progeny emphasise that the meaning of a contested term of a contract (or provision in a statute) is properly understood not simply by selecting standard definitions of particular words, often taken from dictionaries, but by understanding the words and sentences that comprise the contested term as they fit into the larger structure of the agreement, its context and purpose. Meaning is ultimately the most compelling and coherent account the interpreter can provide, making use of these sources of interpretation. It is not a partial selection of interpretational materials directed at a predetermined result.</w:t>
      </w:r>
      <w:r w:rsidRPr="00A12D68">
        <w:rPr>
          <w:rFonts w:ascii="Arial" w:hAnsi="Arial" w:cs="Arial"/>
        </w:rPr>
        <w:t>”</w:t>
      </w:r>
    </w:p>
    <w:p w14:paraId="63EABC30" w14:textId="77777777" w:rsidR="00B77F0E" w:rsidRPr="00A12D68" w:rsidRDefault="00B77F0E" w:rsidP="00B77F0E">
      <w:pPr>
        <w:pStyle w:val="ListParagraph"/>
        <w:spacing w:after="0" w:line="480" w:lineRule="auto"/>
        <w:ind w:left="709"/>
        <w:jc w:val="both"/>
        <w:rPr>
          <w:rFonts w:ascii="Arial" w:hAnsi="Arial" w:cs="Arial"/>
        </w:rPr>
      </w:pPr>
    </w:p>
    <w:p w14:paraId="3F426E81" w14:textId="0BEEEB86" w:rsidR="00B77F0E" w:rsidRPr="002A4FF9" w:rsidRDefault="002A4FF9" w:rsidP="002A4FF9">
      <w:pPr>
        <w:spacing w:after="0" w:line="48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77F0E" w:rsidRPr="002A4FF9">
        <w:rPr>
          <w:rFonts w:ascii="Arial" w:hAnsi="Arial" w:cs="Arial"/>
          <w:sz w:val="24"/>
          <w:szCs w:val="24"/>
        </w:rPr>
        <w:t>At paragraph [51] Unterhalter AJA, commented, in the context of contracts, that:</w:t>
      </w:r>
    </w:p>
    <w:p w14:paraId="7296285F" w14:textId="77777777" w:rsidR="00B77F0E" w:rsidRDefault="00B77F0E" w:rsidP="00B77F0E">
      <w:pPr>
        <w:pStyle w:val="ListParagraph"/>
        <w:spacing w:after="0" w:line="480" w:lineRule="auto"/>
        <w:ind w:left="851"/>
        <w:jc w:val="both"/>
        <w:rPr>
          <w:rFonts w:ascii="Arial" w:hAnsi="Arial" w:cs="Arial"/>
          <w:sz w:val="24"/>
          <w:szCs w:val="24"/>
        </w:rPr>
      </w:pPr>
    </w:p>
    <w:p w14:paraId="0597B8BB" w14:textId="77777777" w:rsidR="00B77F0E" w:rsidRPr="00A12D68" w:rsidRDefault="00B77F0E" w:rsidP="00B77F0E">
      <w:pPr>
        <w:pStyle w:val="ListParagraph"/>
        <w:spacing w:after="0" w:line="360" w:lineRule="auto"/>
        <w:ind w:left="709"/>
        <w:jc w:val="both"/>
        <w:rPr>
          <w:rFonts w:ascii="Arial" w:hAnsi="Arial" w:cs="Arial"/>
        </w:rPr>
      </w:pPr>
      <w:r w:rsidRPr="00A12D68">
        <w:rPr>
          <w:rFonts w:ascii="Arial" w:hAnsi="Arial" w:cs="Arial"/>
        </w:rPr>
        <w:t>“</w:t>
      </w:r>
      <w:r w:rsidRPr="00A12D68">
        <w:rPr>
          <w:rFonts w:ascii="Arial" w:hAnsi="Arial" w:cs="Arial"/>
          <w:i/>
          <w:iCs/>
        </w:rPr>
        <w:t>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Pr="00A12D68">
        <w:rPr>
          <w:rFonts w:ascii="Arial" w:hAnsi="Arial" w:cs="Arial"/>
        </w:rPr>
        <w:t>”</w:t>
      </w:r>
    </w:p>
    <w:p w14:paraId="3819341C" w14:textId="77777777" w:rsidR="00B77F0E" w:rsidRDefault="00B77F0E" w:rsidP="00B77F0E">
      <w:pPr>
        <w:pStyle w:val="ListParagraph"/>
        <w:spacing w:after="0" w:line="480" w:lineRule="auto"/>
        <w:ind w:left="709"/>
        <w:jc w:val="both"/>
        <w:rPr>
          <w:rFonts w:ascii="Arial" w:hAnsi="Arial" w:cs="Arial"/>
          <w:sz w:val="24"/>
          <w:szCs w:val="24"/>
        </w:rPr>
      </w:pPr>
    </w:p>
    <w:p w14:paraId="289686EC" w14:textId="0ACA396D" w:rsidR="00B77F0E" w:rsidRPr="002A4FF9" w:rsidRDefault="002A4FF9" w:rsidP="002A4FF9">
      <w:pPr>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77F0E" w:rsidRPr="002A4FF9">
        <w:rPr>
          <w:rFonts w:ascii="Arial" w:hAnsi="Arial" w:cs="Arial"/>
          <w:sz w:val="24"/>
          <w:szCs w:val="24"/>
        </w:rPr>
        <w:t>The same can be said regarding the drafters of legislation and the statutory interpretation.</w:t>
      </w:r>
    </w:p>
    <w:p w14:paraId="31C2CCEC" w14:textId="77777777" w:rsidR="00B77F0E" w:rsidRPr="00E57597" w:rsidRDefault="00B77F0E" w:rsidP="00B36AE6">
      <w:pPr>
        <w:pStyle w:val="ListParagraph"/>
        <w:spacing w:after="0" w:line="480" w:lineRule="auto"/>
        <w:ind w:left="0"/>
        <w:jc w:val="both"/>
        <w:rPr>
          <w:rFonts w:ascii="Arial" w:hAnsi="Arial" w:cs="Arial"/>
          <w:sz w:val="24"/>
          <w:szCs w:val="24"/>
        </w:rPr>
      </w:pPr>
    </w:p>
    <w:p w14:paraId="193C54A0" w14:textId="20F80D5A" w:rsidR="00B77F0E" w:rsidRPr="002A4FF9" w:rsidRDefault="002A4FF9" w:rsidP="002A4FF9">
      <w:pPr>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77F0E" w:rsidRPr="002A4FF9">
        <w:rPr>
          <w:rFonts w:ascii="Arial" w:hAnsi="Arial" w:cs="Arial"/>
          <w:sz w:val="24"/>
          <w:szCs w:val="24"/>
        </w:rPr>
        <w:t>If regard is had to the wording of section 18(1), due consideration being had to the factors enunciated in the above decisions of our courts, the clear wording of the provisions under examination cannot be overlooked.  It is clear that the purpose of the said section</w:t>
      </w:r>
      <w:r w:rsidR="008A1B75" w:rsidRPr="002A4FF9">
        <w:rPr>
          <w:rFonts w:ascii="Arial" w:hAnsi="Arial" w:cs="Arial"/>
          <w:sz w:val="24"/>
          <w:szCs w:val="24"/>
        </w:rPr>
        <w:t xml:space="preserve"> caters for situations </w:t>
      </w:r>
      <w:r w:rsidR="00EF3F12" w:rsidRPr="002A4FF9">
        <w:rPr>
          <w:rFonts w:ascii="Arial" w:hAnsi="Arial" w:cs="Arial"/>
          <w:sz w:val="24"/>
          <w:szCs w:val="24"/>
        </w:rPr>
        <w:t>under</w:t>
      </w:r>
      <w:r w:rsidR="008A1B75" w:rsidRPr="002A4FF9">
        <w:rPr>
          <w:rFonts w:ascii="Arial" w:hAnsi="Arial" w:cs="Arial"/>
          <w:sz w:val="24"/>
          <w:szCs w:val="24"/>
        </w:rPr>
        <w:t xml:space="preserve"> </w:t>
      </w:r>
      <w:r w:rsidR="00B77F0E" w:rsidRPr="002A4FF9">
        <w:rPr>
          <w:rFonts w:ascii="Arial" w:hAnsi="Arial" w:cs="Arial"/>
          <w:sz w:val="24"/>
          <w:szCs w:val="24"/>
        </w:rPr>
        <w:t xml:space="preserve">which the master enjoys the power afforded to </w:t>
      </w:r>
      <w:r w:rsidR="00B77F0E" w:rsidRPr="002A4FF9">
        <w:rPr>
          <w:rFonts w:ascii="Arial" w:hAnsi="Arial" w:cs="Arial"/>
          <w:sz w:val="24"/>
          <w:szCs w:val="24"/>
        </w:rPr>
        <w:lastRenderedPageBreak/>
        <w:t xml:space="preserve">him/her to appoint an executor.  Nowhere in the sub-section under consideration, or in the broader context of section 18, does the legislation give the master blanket authority to grant letters of executorship in all instances, provided that they are granted to a person who </w:t>
      </w:r>
      <w:r w:rsidR="00BA53BB" w:rsidRPr="002A4FF9">
        <w:rPr>
          <w:rFonts w:ascii="Arial" w:hAnsi="Arial" w:cs="Arial"/>
          <w:sz w:val="24"/>
          <w:szCs w:val="24"/>
        </w:rPr>
        <w:t>the master</w:t>
      </w:r>
      <w:r w:rsidR="00B77F0E" w:rsidRPr="002A4FF9">
        <w:rPr>
          <w:rFonts w:ascii="Arial" w:hAnsi="Arial" w:cs="Arial"/>
          <w:sz w:val="24"/>
          <w:szCs w:val="24"/>
        </w:rPr>
        <w:t xml:space="preserve"> deems to be fit and proper to be an executor.  </w:t>
      </w:r>
      <w:r w:rsidR="007112CC" w:rsidRPr="002A4FF9">
        <w:rPr>
          <w:rFonts w:ascii="Arial" w:hAnsi="Arial" w:cs="Arial"/>
          <w:sz w:val="24"/>
          <w:szCs w:val="24"/>
        </w:rPr>
        <w:t>If that were the case, t</w:t>
      </w:r>
      <w:r w:rsidR="00B77F0E" w:rsidRPr="002A4FF9">
        <w:rPr>
          <w:rFonts w:ascii="Arial" w:hAnsi="Arial" w:cs="Arial"/>
          <w:sz w:val="24"/>
          <w:szCs w:val="24"/>
        </w:rPr>
        <w:t>he specific inclusion section 18(1)(e)</w:t>
      </w:r>
      <w:r w:rsidR="007112CC" w:rsidRPr="002A4FF9">
        <w:rPr>
          <w:rFonts w:ascii="Arial" w:hAnsi="Arial" w:cs="Arial"/>
          <w:sz w:val="24"/>
          <w:szCs w:val="24"/>
        </w:rPr>
        <w:t>, read in the context of the entire provision,</w:t>
      </w:r>
      <w:r w:rsidR="00B77F0E" w:rsidRPr="002A4FF9">
        <w:rPr>
          <w:rFonts w:ascii="Arial" w:hAnsi="Arial" w:cs="Arial"/>
          <w:sz w:val="24"/>
          <w:szCs w:val="24"/>
        </w:rPr>
        <w:t xml:space="preserve"> would be</w:t>
      </w:r>
      <w:r w:rsidR="007112CC" w:rsidRPr="002A4FF9">
        <w:rPr>
          <w:rFonts w:ascii="Arial" w:hAnsi="Arial" w:cs="Arial"/>
          <w:sz w:val="24"/>
          <w:szCs w:val="24"/>
        </w:rPr>
        <w:t xml:space="preserve"> non-sensical and arbitrary.</w:t>
      </w:r>
      <w:r w:rsidR="00B77F0E" w:rsidRPr="002A4FF9">
        <w:rPr>
          <w:rFonts w:ascii="Arial" w:hAnsi="Arial" w:cs="Arial"/>
          <w:sz w:val="24"/>
          <w:szCs w:val="24"/>
        </w:rPr>
        <w:t xml:space="preserve">   </w:t>
      </w:r>
    </w:p>
    <w:p w14:paraId="759D156B" w14:textId="77777777" w:rsidR="007112CC" w:rsidRPr="007112CC" w:rsidRDefault="007112CC" w:rsidP="00B36AE6">
      <w:pPr>
        <w:pStyle w:val="ListParagraph"/>
        <w:spacing w:after="0" w:line="480" w:lineRule="auto"/>
        <w:rPr>
          <w:rFonts w:ascii="Arial" w:hAnsi="Arial" w:cs="Arial"/>
          <w:sz w:val="24"/>
          <w:szCs w:val="24"/>
        </w:rPr>
      </w:pPr>
    </w:p>
    <w:p w14:paraId="7BFB8928" w14:textId="0D683C00" w:rsidR="004E6F55" w:rsidRPr="002A4FF9" w:rsidRDefault="002A4FF9" w:rsidP="002A4FF9">
      <w:pPr>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77F0E" w:rsidRPr="002A4FF9">
        <w:rPr>
          <w:rFonts w:ascii="Arial" w:hAnsi="Arial" w:cs="Arial"/>
          <w:sz w:val="24"/>
          <w:szCs w:val="24"/>
        </w:rPr>
        <w:t>I am accordingly of the view that the first respondent</w:t>
      </w:r>
      <w:r w:rsidR="007112CC" w:rsidRPr="002A4FF9">
        <w:rPr>
          <w:rFonts w:ascii="Arial" w:hAnsi="Arial" w:cs="Arial"/>
          <w:sz w:val="24"/>
          <w:szCs w:val="24"/>
        </w:rPr>
        <w:t xml:space="preserve">, in the absence of </w:t>
      </w:r>
      <w:r w:rsidR="00564C18" w:rsidRPr="002A4FF9">
        <w:rPr>
          <w:rFonts w:ascii="Arial" w:hAnsi="Arial" w:cs="Arial"/>
          <w:sz w:val="24"/>
          <w:szCs w:val="24"/>
        </w:rPr>
        <w:t xml:space="preserve">the occurrence of </w:t>
      </w:r>
      <w:r w:rsidR="007112CC" w:rsidRPr="002A4FF9">
        <w:rPr>
          <w:rFonts w:ascii="Arial" w:hAnsi="Arial" w:cs="Arial"/>
          <w:sz w:val="24"/>
          <w:szCs w:val="24"/>
        </w:rPr>
        <w:t>an event catered for under section 18(1) of the Administration of Estates Act, was not clothed with the power to appoint the second respondent as a co-executor in the circumstances of this case</w:t>
      </w:r>
      <w:r w:rsidR="004E6F55" w:rsidRPr="002A4FF9">
        <w:rPr>
          <w:rFonts w:ascii="Arial" w:hAnsi="Arial" w:cs="Arial"/>
          <w:sz w:val="24"/>
          <w:szCs w:val="24"/>
        </w:rPr>
        <w:t xml:space="preserve"> and accordingly, the assistant master’s decision is reviewable in that he failed to comply with a mandatory and material procedure or condition prescribed by an empowering provision </w:t>
      </w:r>
      <w:r w:rsidR="00975E2D" w:rsidRPr="002A4FF9">
        <w:rPr>
          <w:rFonts w:ascii="Arial" w:hAnsi="Arial" w:cs="Arial"/>
          <w:sz w:val="24"/>
          <w:szCs w:val="24"/>
        </w:rPr>
        <w:t>as envisaged in section 6(2)(b) of PAJA</w:t>
      </w:r>
      <w:r w:rsidR="004E6F55" w:rsidRPr="002A4FF9">
        <w:rPr>
          <w:rFonts w:ascii="Arial" w:hAnsi="Arial" w:cs="Arial"/>
          <w:sz w:val="24"/>
          <w:szCs w:val="24"/>
        </w:rPr>
        <w:t>.</w:t>
      </w:r>
    </w:p>
    <w:p w14:paraId="1A53CBF8" w14:textId="77777777" w:rsidR="00975E2D" w:rsidRPr="00975E2D" w:rsidRDefault="00975E2D" w:rsidP="00B36AE6">
      <w:pPr>
        <w:pStyle w:val="ListParagraph"/>
        <w:spacing w:after="0" w:line="480" w:lineRule="auto"/>
        <w:rPr>
          <w:rFonts w:ascii="Arial" w:hAnsi="Arial" w:cs="Arial"/>
          <w:sz w:val="24"/>
          <w:szCs w:val="24"/>
        </w:rPr>
      </w:pPr>
    </w:p>
    <w:p w14:paraId="6068F1C8" w14:textId="69A3530D" w:rsidR="000E4E63" w:rsidRPr="002A4FF9" w:rsidRDefault="002A4FF9" w:rsidP="002A4FF9">
      <w:pPr>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75E2D" w:rsidRPr="002A4FF9">
        <w:rPr>
          <w:rFonts w:ascii="Arial" w:hAnsi="Arial" w:cs="Arial"/>
          <w:sz w:val="24"/>
          <w:szCs w:val="24"/>
        </w:rPr>
        <w:t xml:space="preserve">Further and in any event, </w:t>
      </w:r>
      <w:r w:rsidR="00A513A8" w:rsidRPr="002A4FF9">
        <w:rPr>
          <w:rFonts w:ascii="Arial" w:hAnsi="Arial" w:cs="Arial"/>
          <w:sz w:val="24"/>
          <w:szCs w:val="24"/>
        </w:rPr>
        <w:t>I am of the considered view that there is merit in the applicant’s complaints of procedural unfairness on the part of the assistant master insofar as she</w:t>
      </w:r>
      <w:r w:rsidR="003F133E" w:rsidRPr="002A4FF9">
        <w:rPr>
          <w:rFonts w:ascii="Arial" w:hAnsi="Arial" w:cs="Arial"/>
          <w:sz w:val="24"/>
          <w:szCs w:val="24"/>
        </w:rPr>
        <w:t xml:space="preserve"> failed to allow the applicant an opportunity to consult with her legal advisor and to make representations in respect of the second respondent’s appointment as co-executor.</w:t>
      </w:r>
      <w:r w:rsidR="00CF28FA" w:rsidRPr="002A4FF9">
        <w:rPr>
          <w:rFonts w:ascii="Arial" w:hAnsi="Arial" w:cs="Arial"/>
          <w:sz w:val="24"/>
          <w:szCs w:val="24"/>
        </w:rPr>
        <w:t xml:space="preserve">  Section 3 of PAJA stipulates that administrative action which materially and adversely affects the rights or legitimate expectations of any person must be procedurally fair.  It cannot be gainsaid that the appointment of the second respondent as co-executor, is administrative action which falls within the ambit of section 3.</w:t>
      </w:r>
      <w:r w:rsidR="000E4E63" w:rsidRPr="002A4FF9">
        <w:rPr>
          <w:rFonts w:ascii="Arial" w:hAnsi="Arial" w:cs="Arial"/>
          <w:sz w:val="24"/>
          <w:szCs w:val="24"/>
        </w:rPr>
        <w:t xml:space="preserve">  Moreover, whilst the convening of a meeting for the purposes of recommending</w:t>
      </w:r>
      <w:r w:rsidR="005245DC" w:rsidRPr="002A4FF9">
        <w:rPr>
          <w:rFonts w:ascii="Arial" w:hAnsi="Arial" w:cs="Arial"/>
          <w:sz w:val="24"/>
          <w:szCs w:val="24"/>
        </w:rPr>
        <w:t>,</w:t>
      </w:r>
      <w:r w:rsidR="000E4E63" w:rsidRPr="002A4FF9">
        <w:rPr>
          <w:rFonts w:ascii="Arial" w:hAnsi="Arial" w:cs="Arial"/>
          <w:sz w:val="24"/>
          <w:szCs w:val="24"/>
        </w:rPr>
        <w:t xml:space="preserve"> to the master</w:t>
      </w:r>
      <w:r w:rsidR="005245DC" w:rsidRPr="002A4FF9">
        <w:rPr>
          <w:rFonts w:ascii="Arial" w:hAnsi="Arial" w:cs="Arial"/>
          <w:sz w:val="24"/>
          <w:szCs w:val="24"/>
        </w:rPr>
        <w:t>,</w:t>
      </w:r>
      <w:r w:rsidR="000E4E63" w:rsidRPr="002A4FF9">
        <w:rPr>
          <w:rFonts w:ascii="Arial" w:hAnsi="Arial" w:cs="Arial"/>
          <w:sz w:val="24"/>
          <w:szCs w:val="24"/>
        </w:rPr>
        <w:t xml:space="preserve"> a person or persons</w:t>
      </w:r>
      <w:r w:rsidR="005245DC" w:rsidRPr="002A4FF9">
        <w:rPr>
          <w:rFonts w:ascii="Arial" w:hAnsi="Arial" w:cs="Arial"/>
          <w:sz w:val="24"/>
          <w:szCs w:val="24"/>
        </w:rPr>
        <w:t xml:space="preserve"> </w:t>
      </w:r>
      <w:r w:rsidR="000E4E63" w:rsidRPr="002A4FF9">
        <w:rPr>
          <w:rFonts w:ascii="Arial" w:hAnsi="Arial" w:cs="Arial"/>
          <w:sz w:val="24"/>
          <w:szCs w:val="24"/>
        </w:rPr>
        <w:t>for the appointment as executor/s</w:t>
      </w:r>
      <w:r w:rsidR="005245DC" w:rsidRPr="002A4FF9">
        <w:rPr>
          <w:rFonts w:ascii="Arial" w:hAnsi="Arial" w:cs="Arial"/>
          <w:sz w:val="24"/>
          <w:szCs w:val="24"/>
        </w:rPr>
        <w:t>,</w:t>
      </w:r>
      <w:r w:rsidR="000E4E63" w:rsidRPr="002A4FF9">
        <w:rPr>
          <w:rFonts w:ascii="Arial" w:hAnsi="Arial" w:cs="Arial"/>
          <w:sz w:val="24"/>
          <w:szCs w:val="24"/>
        </w:rPr>
        <w:t xml:space="preserve"> </w:t>
      </w:r>
      <w:r w:rsidR="000E4E63" w:rsidRPr="002A4FF9">
        <w:rPr>
          <w:rFonts w:ascii="Arial" w:hAnsi="Arial" w:cs="Arial"/>
          <w:sz w:val="24"/>
          <w:szCs w:val="24"/>
        </w:rPr>
        <w:lastRenderedPageBreak/>
        <w:t>is no longer mandatory under the amended section 18,</w:t>
      </w:r>
      <w:r w:rsidR="000E4E63">
        <w:rPr>
          <w:rStyle w:val="FootnoteReference"/>
          <w:rFonts w:ascii="Arial" w:hAnsi="Arial" w:cs="Arial"/>
          <w:sz w:val="24"/>
          <w:szCs w:val="24"/>
        </w:rPr>
        <w:footnoteReference w:id="13"/>
      </w:r>
      <w:r w:rsidR="000E4E63" w:rsidRPr="002A4FF9">
        <w:rPr>
          <w:rFonts w:ascii="Arial" w:hAnsi="Arial" w:cs="Arial"/>
          <w:sz w:val="24"/>
          <w:szCs w:val="24"/>
        </w:rPr>
        <w:t xml:space="preserve"> the master should, in practice pay heed to the wishes of heirs, which</w:t>
      </w:r>
      <w:r w:rsidR="005245DC" w:rsidRPr="002A4FF9">
        <w:rPr>
          <w:rFonts w:ascii="Arial" w:hAnsi="Arial" w:cs="Arial"/>
          <w:sz w:val="24"/>
          <w:szCs w:val="24"/>
        </w:rPr>
        <w:t>, in turn,</w:t>
      </w:r>
      <w:r w:rsidR="000E4E63" w:rsidRPr="002A4FF9">
        <w:rPr>
          <w:rFonts w:ascii="Arial" w:hAnsi="Arial" w:cs="Arial"/>
          <w:sz w:val="24"/>
          <w:szCs w:val="24"/>
        </w:rPr>
        <w:t xml:space="preserve"> should prevail in the appointment of an executor.</w:t>
      </w:r>
      <w:r w:rsidR="000E4E63">
        <w:rPr>
          <w:rStyle w:val="FootnoteReference"/>
          <w:rFonts w:ascii="Arial" w:hAnsi="Arial" w:cs="Arial"/>
          <w:sz w:val="24"/>
          <w:szCs w:val="24"/>
        </w:rPr>
        <w:footnoteReference w:id="14"/>
      </w:r>
    </w:p>
    <w:p w14:paraId="35106B56" w14:textId="77777777" w:rsidR="000E4E63" w:rsidRPr="000E4E63" w:rsidRDefault="000E4E63" w:rsidP="00B36AE6">
      <w:pPr>
        <w:pStyle w:val="ListParagraph"/>
        <w:spacing w:after="0" w:line="480" w:lineRule="auto"/>
        <w:rPr>
          <w:rFonts w:ascii="Arial" w:hAnsi="Arial" w:cs="Arial"/>
          <w:sz w:val="24"/>
          <w:szCs w:val="24"/>
        </w:rPr>
      </w:pPr>
    </w:p>
    <w:p w14:paraId="7C87A28D" w14:textId="41045B37" w:rsidR="00B36AE6" w:rsidRPr="002A4FF9" w:rsidRDefault="002A4FF9" w:rsidP="002A4FF9">
      <w:pPr>
        <w:spacing w:after="0" w:line="480" w:lineRule="auto"/>
        <w:jc w:val="both"/>
        <w:rPr>
          <w:rFonts w:ascii="Arial" w:hAnsi="Arial" w:cs="Arial"/>
          <w:sz w:val="24"/>
          <w:szCs w:val="24"/>
        </w:rPr>
      </w:pPr>
      <w:r w:rsidRPr="005E1F88">
        <w:rPr>
          <w:rFonts w:ascii="Arial" w:hAnsi="Arial" w:cs="Arial"/>
          <w:sz w:val="24"/>
          <w:szCs w:val="24"/>
        </w:rPr>
        <w:t>[31]</w:t>
      </w:r>
      <w:r w:rsidRPr="005E1F88">
        <w:rPr>
          <w:rFonts w:ascii="Arial" w:hAnsi="Arial" w:cs="Arial"/>
          <w:sz w:val="24"/>
          <w:szCs w:val="24"/>
        </w:rPr>
        <w:tab/>
      </w:r>
      <w:r w:rsidR="000E4E63" w:rsidRPr="002A4FF9">
        <w:rPr>
          <w:rFonts w:ascii="Arial" w:hAnsi="Arial" w:cs="Arial"/>
          <w:sz w:val="24"/>
          <w:szCs w:val="24"/>
        </w:rPr>
        <w:t xml:space="preserve"> </w:t>
      </w:r>
      <w:r w:rsidR="00CF28FA" w:rsidRPr="002A4FF9">
        <w:rPr>
          <w:rFonts w:ascii="Arial" w:hAnsi="Arial" w:cs="Arial"/>
          <w:sz w:val="24"/>
          <w:szCs w:val="24"/>
        </w:rPr>
        <w:t xml:space="preserve">  </w:t>
      </w:r>
      <w:r w:rsidR="00B36AE6" w:rsidRPr="002A4FF9">
        <w:rPr>
          <w:rFonts w:ascii="Arial" w:hAnsi="Arial" w:cs="Arial"/>
          <w:sz w:val="24"/>
          <w:szCs w:val="24"/>
        </w:rPr>
        <w:t>I am accordingly of the view that the assistant master’s decision is reviewable in that it was procedurally unfair as envisaged in section 6(2)(c) of PAJA.</w:t>
      </w:r>
    </w:p>
    <w:p w14:paraId="74B30C06" w14:textId="7A7403E3" w:rsidR="00CF28FA" w:rsidRPr="005E1F88" w:rsidRDefault="00CF28FA" w:rsidP="00C41404">
      <w:pPr>
        <w:pStyle w:val="ListParagraph"/>
        <w:spacing w:after="0" w:line="480" w:lineRule="auto"/>
        <w:ind w:left="0"/>
        <w:jc w:val="both"/>
        <w:rPr>
          <w:rFonts w:ascii="Arial" w:hAnsi="Arial" w:cs="Arial"/>
          <w:sz w:val="24"/>
          <w:szCs w:val="24"/>
        </w:rPr>
      </w:pPr>
    </w:p>
    <w:p w14:paraId="131A2BA3" w14:textId="1F7C7579" w:rsidR="005E1F88" w:rsidRPr="002A4FF9" w:rsidRDefault="002A4FF9" w:rsidP="002A4FF9">
      <w:pPr>
        <w:spacing w:after="0" w:line="480" w:lineRule="auto"/>
        <w:jc w:val="both"/>
        <w:rPr>
          <w:rFonts w:ascii="Arial" w:hAnsi="Arial" w:cs="Arial"/>
          <w:sz w:val="24"/>
          <w:szCs w:val="24"/>
        </w:rPr>
      </w:pPr>
      <w:r w:rsidRPr="005E1F88">
        <w:rPr>
          <w:rFonts w:ascii="Arial" w:hAnsi="Arial" w:cs="Arial"/>
          <w:sz w:val="24"/>
          <w:szCs w:val="24"/>
        </w:rPr>
        <w:t>[32]</w:t>
      </w:r>
      <w:r w:rsidRPr="005E1F88">
        <w:rPr>
          <w:rFonts w:ascii="Arial" w:hAnsi="Arial" w:cs="Arial"/>
          <w:sz w:val="24"/>
          <w:szCs w:val="24"/>
        </w:rPr>
        <w:tab/>
      </w:r>
      <w:r w:rsidR="005E1F88" w:rsidRPr="002A4FF9">
        <w:rPr>
          <w:rFonts w:ascii="Arial" w:hAnsi="Arial" w:cs="Arial"/>
          <w:sz w:val="24"/>
          <w:szCs w:val="24"/>
          <w:lang w:val="en-US"/>
        </w:rPr>
        <w:t>In light of the conclusion</w:t>
      </w:r>
      <w:r w:rsidR="00C41404" w:rsidRPr="002A4FF9">
        <w:rPr>
          <w:rFonts w:ascii="Arial" w:hAnsi="Arial" w:cs="Arial"/>
          <w:sz w:val="24"/>
          <w:szCs w:val="24"/>
          <w:lang w:val="en-US"/>
        </w:rPr>
        <w:t>s</w:t>
      </w:r>
      <w:r w:rsidR="005E1F88" w:rsidRPr="002A4FF9">
        <w:rPr>
          <w:rFonts w:ascii="Arial" w:hAnsi="Arial" w:cs="Arial"/>
          <w:sz w:val="24"/>
          <w:szCs w:val="24"/>
          <w:lang w:val="en-US"/>
        </w:rPr>
        <w:t xml:space="preserve"> to which I have arrived, I am required by section 172(1)(a) of the Constitution to declare the decision under consideration unlawful on either of the aforesaid bas</w:t>
      </w:r>
      <w:r w:rsidR="005245DC" w:rsidRPr="002A4FF9">
        <w:rPr>
          <w:rFonts w:ascii="Arial" w:hAnsi="Arial" w:cs="Arial"/>
          <w:sz w:val="24"/>
          <w:szCs w:val="24"/>
          <w:lang w:val="en-US"/>
        </w:rPr>
        <w:t>e</w:t>
      </w:r>
      <w:r w:rsidR="005E1F88" w:rsidRPr="002A4FF9">
        <w:rPr>
          <w:rFonts w:ascii="Arial" w:hAnsi="Arial" w:cs="Arial"/>
          <w:sz w:val="24"/>
          <w:szCs w:val="24"/>
          <w:lang w:val="en-US"/>
        </w:rPr>
        <w:t>s.</w:t>
      </w:r>
      <w:r w:rsidR="005E1F88" w:rsidRPr="005E1F88">
        <w:rPr>
          <w:rStyle w:val="FootnoteReference"/>
          <w:rFonts w:ascii="Arial" w:hAnsi="Arial" w:cs="Arial"/>
          <w:sz w:val="24"/>
          <w:szCs w:val="24"/>
          <w:lang w:val="en-US"/>
        </w:rPr>
        <w:footnoteReference w:id="15"/>
      </w:r>
      <w:r w:rsidR="005E1F88" w:rsidRPr="002A4FF9">
        <w:rPr>
          <w:rFonts w:ascii="Arial" w:hAnsi="Arial" w:cs="Arial"/>
          <w:sz w:val="24"/>
          <w:szCs w:val="24"/>
          <w:lang w:val="en-US"/>
        </w:rPr>
        <w:t xml:space="preserve">  Accordingly, it is not necessary to deal with the remaining disputes on the papers.</w:t>
      </w:r>
    </w:p>
    <w:p w14:paraId="6E08C5FB" w14:textId="77777777" w:rsidR="005E1F88" w:rsidRPr="005E1F88" w:rsidRDefault="005E1F88" w:rsidP="00C41404">
      <w:pPr>
        <w:pStyle w:val="ListParagraph"/>
        <w:spacing w:after="0" w:line="480" w:lineRule="auto"/>
        <w:rPr>
          <w:rFonts w:ascii="Arial" w:hAnsi="Arial" w:cs="Arial"/>
          <w:sz w:val="24"/>
          <w:szCs w:val="24"/>
          <w:lang w:val="en-US"/>
        </w:rPr>
      </w:pPr>
    </w:p>
    <w:p w14:paraId="26B7EDE6" w14:textId="2DC8B281" w:rsidR="00350118" w:rsidRPr="002A4FF9" w:rsidRDefault="002A4FF9" w:rsidP="002A4FF9">
      <w:pPr>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50118" w:rsidRPr="002A4FF9">
        <w:rPr>
          <w:rFonts w:ascii="Arial" w:hAnsi="Arial" w:cs="Arial"/>
          <w:sz w:val="24"/>
          <w:szCs w:val="24"/>
        </w:rPr>
        <w:t>As stated, t</w:t>
      </w:r>
      <w:r w:rsidR="005E1F88" w:rsidRPr="002A4FF9">
        <w:rPr>
          <w:rFonts w:ascii="Arial" w:hAnsi="Arial" w:cs="Arial"/>
          <w:sz w:val="24"/>
          <w:szCs w:val="24"/>
        </w:rPr>
        <w:t>he</w:t>
      </w:r>
      <w:r w:rsidR="00350118" w:rsidRPr="002A4FF9">
        <w:rPr>
          <w:rFonts w:ascii="Arial" w:hAnsi="Arial" w:cs="Arial"/>
          <w:sz w:val="24"/>
          <w:szCs w:val="24"/>
        </w:rPr>
        <w:t xml:space="preserve"> respondents </w:t>
      </w:r>
      <w:r w:rsidR="005E1F88" w:rsidRPr="002A4FF9">
        <w:rPr>
          <w:rFonts w:ascii="Arial" w:hAnsi="Arial" w:cs="Arial"/>
          <w:sz w:val="24"/>
          <w:szCs w:val="24"/>
        </w:rPr>
        <w:t>in their counter application</w:t>
      </w:r>
      <w:r w:rsidR="00350118" w:rsidRPr="002A4FF9">
        <w:rPr>
          <w:rFonts w:ascii="Arial" w:hAnsi="Arial" w:cs="Arial"/>
          <w:sz w:val="24"/>
          <w:szCs w:val="24"/>
        </w:rPr>
        <w:t xml:space="preserve"> seek, in the main, to review and set aside the appointment of the applicant.  In essence, the respondents, by way of review, erroneously seek to have the applicant removed from office in accordance with section 54(1) of the Administration of Estates Act.  The cause of action relied on by the respondents in the instant application is misplaced, with no case having been made out for the relief sought.</w:t>
      </w:r>
      <w:r w:rsidR="00C41404">
        <w:rPr>
          <w:rStyle w:val="FootnoteReference"/>
          <w:rFonts w:ascii="Arial" w:hAnsi="Arial" w:cs="Arial"/>
          <w:sz w:val="24"/>
          <w:szCs w:val="24"/>
        </w:rPr>
        <w:footnoteReference w:id="16"/>
      </w:r>
      <w:r w:rsidR="00350118" w:rsidRPr="002A4FF9">
        <w:rPr>
          <w:rFonts w:ascii="Arial" w:hAnsi="Arial" w:cs="Arial"/>
          <w:sz w:val="24"/>
          <w:szCs w:val="24"/>
        </w:rPr>
        <w:t xml:space="preserve">  Accordingly, the counter application must fail.</w:t>
      </w:r>
    </w:p>
    <w:p w14:paraId="14F77B42" w14:textId="38F2491D" w:rsidR="00350118" w:rsidRPr="002A4FF9" w:rsidRDefault="002A4FF9" w:rsidP="002A4FF9">
      <w:pPr>
        <w:spacing w:after="0" w:line="480" w:lineRule="auto"/>
        <w:jc w:val="both"/>
        <w:rPr>
          <w:rFonts w:ascii="Arial" w:hAnsi="Arial" w:cs="Arial"/>
          <w:sz w:val="24"/>
          <w:szCs w:val="24"/>
        </w:rPr>
      </w:pPr>
      <w:r w:rsidRPr="00DF59F2">
        <w:rPr>
          <w:rFonts w:ascii="Arial" w:hAnsi="Arial" w:cs="Arial"/>
          <w:sz w:val="24"/>
          <w:szCs w:val="24"/>
        </w:rPr>
        <w:lastRenderedPageBreak/>
        <w:t>[34]</w:t>
      </w:r>
      <w:r w:rsidRPr="00DF59F2">
        <w:rPr>
          <w:rFonts w:ascii="Arial" w:hAnsi="Arial" w:cs="Arial"/>
          <w:sz w:val="24"/>
          <w:szCs w:val="24"/>
        </w:rPr>
        <w:tab/>
      </w:r>
      <w:r w:rsidR="00350118" w:rsidRPr="002A4FF9">
        <w:rPr>
          <w:rFonts w:ascii="Arial" w:hAnsi="Arial" w:cs="Arial"/>
          <w:sz w:val="24"/>
          <w:szCs w:val="24"/>
        </w:rPr>
        <w:t>In respect of costs, I see no reason to depart from the usual order in respect of both applications.</w:t>
      </w:r>
    </w:p>
    <w:p w14:paraId="1BBBFB88" w14:textId="77777777" w:rsidR="00350118" w:rsidRPr="00DF59F2" w:rsidRDefault="00350118" w:rsidP="00F80316">
      <w:pPr>
        <w:pStyle w:val="ListParagraph"/>
        <w:spacing w:after="0" w:line="480" w:lineRule="auto"/>
        <w:rPr>
          <w:rFonts w:ascii="Arial" w:hAnsi="Arial" w:cs="Arial"/>
          <w:sz w:val="24"/>
          <w:szCs w:val="24"/>
        </w:rPr>
      </w:pPr>
    </w:p>
    <w:p w14:paraId="576B58B7" w14:textId="2DF02E86" w:rsidR="00137E42" w:rsidRPr="002A4FF9" w:rsidRDefault="002A4FF9" w:rsidP="002A4FF9">
      <w:pPr>
        <w:spacing w:after="0" w:line="480" w:lineRule="auto"/>
        <w:jc w:val="both"/>
        <w:rPr>
          <w:rFonts w:ascii="Arial" w:hAnsi="Arial" w:cs="Arial"/>
          <w:sz w:val="24"/>
          <w:szCs w:val="24"/>
        </w:rPr>
      </w:pPr>
      <w:r w:rsidRPr="00DF59F2">
        <w:rPr>
          <w:rFonts w:ascii="Arial" w:hAnsi="Arial" w:cs="Arial"/>
          <w:sz w:val="24"/>
          <w:szCs w:val="24"/>
        </w:rPr>
        <w:t>[35]</w:t>
      </w:r>
      <w:r w:rsidRPr="00DF59F2">
        <w:rPr>
          <w:rFonts w:ascii="Arial" w:hAnsi="Arial" w:cs="Arial"/>
          <w:sz w:val="24"/>
          <w:szCs w:val="24"/>
        </w:rPr>
        <w:tab/>
      </w:r>
      <w:r w:rsidR="00137E42" w:rsidRPr="002A4FF9">
        <w:rPr>
          <w:rFonts w:ascii="Arial" w:hAnsi="Arial" w:cs="Arial"/>
          <w:sz w:val="24"/>
          <w:szCs w:val="24"/>
        </w:rPr>
        <w:t>In the result, the following order is issued:</w:t>
      </w:r>
    </w:p>
    <w:p w14:paraId="4C37521A" w14:textId="77777777" w:rsidR="00137E42" w:rsidRPr="00DF59F2" w:rsidRDefault="00137E42" w:rsidP="00F80316">
      <w:pPr>
        <w:pStyle w:val="NormalWeb"/>
        <w:shd w:val="clear" w:color="auto" w:fill="FFFFFF"/>
        <w:spacing w:before="0" w:beforeAutospacing="0" w:after="0" w:afterAutospacing="0" w:line="480" w:lineRule="auto"/>
        <w:ind w:left="1436" w:right="259"/>
        <w:jc w:val="both"/>
        <w:rPr>
          <w:rFonts w:ascii="Arial" w:hAnsi="Arial" w:cs="Arial"/>
        </w:rPr>
      </w:pPr>
    </w:p>
    <w:p w14:paraId="65F5E365" w14:textId="39062B9B" w:rsidR="00DF59F2" w:rsidRPr="00DF59F2" w:rsidRDefault="002A4FF9" w:rsidP="002A4FF9">
      <w:pPr>
        <w:pStyle w:val="NormalWeb"/>
        <w:shd w:val="clear" w:color="auto" w:fill="FFFFFF"/>
        <w:spacing w:before="0" w:beforeAutospacing="0" w:after="0" w:afterAutospacing="0" w:line="480" w:lineRule="auto"/>
        <w:ind w:left="1436" w:right="259" w:hanging="585"/>
        <w:jc w:val="both"/>
        <w:rPr>
          <w:rFonts w:ascii="Arial" w:hAnsi="Arial" w:cs="Arial"/>
        </w:rPr>
      </w:pPr>
      <w:r w:rsidRPr="00DF59F2">
        <w:rPr>
          <w:rFonts w:ascii="Arial" w:hAnsi="Arial" w:cs="Arial"/>
        </w:rPr>
        <w:t>1.</w:t>
      </w:r>
      <w:r w:rsidRPr="00DF59F2">
        <w:rPr>
          <w:rFonts w:ascii="Arial" w:hAnsi="Arial" w:cs="Arial"/>
        </w:rPr>
        <w:tab/>
      </w:r>
      <w:r w:rsidR="00137E42" w:rsidRPr="00DF59F2">
        <w:rPr>
          <w:rFonts w:ascii="Arial" w:hAnsi="Arial" w:cs="Arial"/>
        </w:rPr>
        <w:t xml:space="preserve">The first respondent’s decision to </w:t>
      </w:r>
      <w:r w:rsidR="00DF59F2" w:rsidRPr="00DF59F2">
        <w:rPr>
          <w:rFonts w:ascii="Arial" w:hAnsi="Arial" w:cs="Arial"/>
        </w:rPr>
        <w:t xml:space="preserve">appoint the second respondent as a co-executor in the </w:t>
      </w:r>
      <w:r w:rsidR="00F80316">
        <w:rPr>
          <w:rFonts w:ascii="Arial" w:hAnsi="Arial" w:cs="Arial"/>
        </w:rPr>
        <w:t>E</w:t>
      </w:r>
      <w:r w:rsidR="00DF59F2" w:rsidRPr="00DF59F2">
        <w:rPr>
          <w:rFonts w:ascii="Arial" w:hAnsi="Arial" w:cs="Arial"/>
        </w:rPr>
        <w:t xml:space="preserve">state </w:t>
      </w:r>
      <w:r w:rsidR="00F80316">
        <w:rPr>
          <w:rFonts w:ascii="Arial" w:hAnsi="Arial" w:cs="Arial"/>
        </w:rPr>
        <w:t>L</w:t>
      </w:r>
      <w:r w:rsidR="00DF59F2" w:rsidRPr="00DF59F2">
        <w:rPr>
          <w:rFonts w:ascii="Arial" w:hAnsi="Arial" w:cs="Arial"/>
        </w:rPr>
        <w:t>ate Dorah Mhlauli on 16 March 2020</w:t>
      </w:r>
      <w:r w:rsidR="00173B11">
        <w:rPr>
          <w:rFonts w:ascii="Arial" w:hAnsi="Arial" w:cs="Arial"/>
        </w:rPr>
        <w:t>, and the subsequent appointment of the second respondent as co-executor on 17 March 2020,</w:t>
      </w:r>
      <w:r w:rsidR="00DF59F2" w:rsidRPr="00DF59F2">
        <w:rPr>
          <w:rFonts w:ascii="Arial" w:hAnsi="Arial" w:cs="Arial"/>
        </w:rPr>
        <w:t xml:space="preserve"> is reviewed and set aside.</w:t>
      </w:r>
    </w:p>
    <w:p w14:paraId="4B0B5311" w14:textId="77777777" w:rsidR="00DF59F2" w:rsidRPr="00DF59F2" w:rsidRDefault="00DF59F2" w:rsidP="00DF59F2">
      <w:pPr>
        <w:pStyle w:val="NormalWeb"/>
        <w:shd w:val="clear" w:color="auto" w:fill="FFFFFF"/>
        <w:spacing w:before="0" w:beforeAutospacing="0" w:after="0" w:afterAutospacing="0" w:line="480" w:lineRule="auto"/>
        <w:ind w:left="1436" w:right="259"/>
        <w:jc w:val="both"/>
        <w:rPr>
          <w:rFonts w:ascii="Arial" w:hAnsi="Arial" w:cs="Arial"/>
        </w:rPr>
      </w:pPr>
    </w:p>
    <w:p w14:paraId="6F8F9A5A" w14:textId="5E3882FE" w:rsidR="00DF59F2" w:rsidRPr="00DF59F2" w:rsidRDefault="002A4FF9" w:rsidP="002A4FF9">
      <w:pPr>
        <w:pStyle w:val="NormalWeb"/>
        <w:shd w:val="clear" w:color="auto" w:fill="FFFFFF"/>
        <w:spacing w:before="0" w:beforeAutospacing="0" w:after="0" w:afterAutospacing="0" w:line="480" w:lineRule="auto"/>
        <w:ind w:left="1436" w:right="259" w:hanging="585"/>
        <w:jc w:val="both"/>
        <w:rPr>
          <w:rFonts w:ascii="Arial" w:hAnsi="Arial" w:cs="Arial"/>
        </w:rPr>
      </w:pPr>
      <w:r w:rsidRPr="00DF59F2">
        <w:rPr>
          <w:rFonts w:ascii="Arial" w:hAnsi="Arial" w:cs="Arial"/>
        </w:rPr>
        <w:t>2.</w:t>
      </w:r>
      <w:r w:rsidRPr="00DF59F2">
        <w:rPr>
          <w:rFonts w:ascii="Arial" w:hAnsi="Arial" w:cs="Arial"/>
        </w:rPr>
        <w:tab/>
      </w:r>
      <w:r w:rsidR="00DF59F2" w:rsidRPr="00DF59F2">
        <w:rPr>
          <w:rFonts w:ascii="Arial" w:hAnsi="Arial" w:cs="Arial"/>
        </w:rPr>
        <w:t>The second and third respondents are ordered to pay the costs of the applicant’s application.</w:t>
      </w:r>
    </w:p>
    <w:p w14:paraId="6FA0F0DA" w14:textId="77777777" w:rsidR="00DF59F2" w:rsidRPr="00DF59F2" w:rsidRDefault="00DF59F2" w:rsidP="00DF59F2">
      <w:pPr>
        <w:pStyle w:val="NormalWeb"/>
        <w:shd w:val="clear" w:color="auto" w:fill="FFFFFF"/>
        <w:spacing w:before="0" w:beforeAutospacing="0" w:after="0" w:afterAutospacing="0" w:line="480" w:lineRule="auto"/>
        <w:ind w:left="1436" w:right="259"/>
        <w:jc w:val="both"/>
        <w:rPr>
          <w:rFonts w:ascii="Arial" w:hAnsi="Arial" w:cs="Arial"/>
        </w:rPr>
      </w:pPr>
    </w:p>
    <w:p w14:paraId="7176508A" w14:textId="7F54406D" w:rsidR="00DF59F2" w:rsidRPr="00DF59F2" w:rsidRDefault="002A4FF9" w:rsidP="002A4FF9">
      <w:pPr>
        <w:pStyle w:val="NormalWeb"/>
        <w:shd w:val="clear" w:color="auto" w:fill="FFFFFF"/>
        <w:spacing w:before="0" w:beforeAutospacing="0" w:after="0" w:afterAutospacing="0" w:line="480" w:lineRule="auto"/>
        <w:ind w:left="1436" w:right="259" w:hanging="585"/>
        <w:jc w:val="both"/>
        <w:rPr>
          <w:rFonts w:ascii="Arial" w:hAnsi="Arial" w:cs="Arial"/>
        </w:rPr>
      </w:pPr>
      <w:r w:rsidRPr="00DF59F2">
        <w:rPr>
          <w:rFonts w:ascii="Arial" w:hAnsi="Arial" w:cs="Arial"/>
        </w:rPr>
        <w:t>3.</w:t>
      </w:r>
      <w:r w:rsidRPr="00DF59F2">
        <w:rPr>
          <w:rFonts w:ascii="Arial" w:hAnsi="Arial" w:cs="Arial"/>
        </w:rPr>
        <w:tab/>
      </w:r>
      <w:r w:rsidR="00DF59F2" w:rsidRPr="00DF59F2">
        <w:rPr>
          <w:rFonts w:ascii="Arial" w:hAnsi="Arial" w:cs="Arial"/>
        </w:rPr>
        <w:t>The second and third respondents counter application is dismissed.</w:t>
      </w:r>
    </w:p>
    <w:p w14:paraId="4887CB0A" w14:textId="3ADD368D" w:rsidR="00DF59F2" w:rsidRPr="00DF59F2" w:rsidRDefault="00DF59F2" w:rsidP="00DF59F2">
      <w:pPr>
        <w:pStyle w:val="NormalWeb"/>
        <w:shd w:val="clear" w:color="auto" w:fill="FFFFFF"/>
        <w:spacing w:before="0" w:beforeAutospacing="0" w:after="0" w:afterAutospacing="0" w:line="480" w:lineRule="auto"/>
        <w:ind w:left="1436" w:right="259"/>
        <w:jc w:val="both"/>
        <w:rPr>
          <w:rFonts w:ascii="Arial" w:hAnsi="Arial" w:cs="Arial"/>
        </w:rPr>
      </w:pPr>
    </w:p>
    <w:p w14:paraId="071CA2DE" w14:textId="3A58E4F4" w:rsidR="00DF59F2" w:rsidRPr="00DF59F2" w:rsidRDefault="002A4FF9" w:rsidP="002A4FF9">
      <w:pPr>
        <w:pStyle w:val="NormalWeb"/>
        <w:shd w:val="clear" w:color="auto" w:fill="FFFFFF"/>
        <w:spacing w:before="0" w:beforeAutospacing="0" w:after="0" w:afterAutospacing="0" w:line="480" w:lineRule="auto"/>
        <w:ind w:left="1436" w:right="259" w:hanging="585"/>
        <w:jc w:val="both"/>
        <w:rPr>
          <w:rFonts w:ascii="Arial" w:hAnsi="Arial" w:cs="Arial"/>
        </w:rPr>
      </w:pPr>
      <w:r w:rsidRPr="00DF59F2">
        <w:rPr>
          <w:rFonts w:ascii="Arial" w:hAnsi="Arial" w:cs="Arial"/>
        </w:rPr>
        <w:t>4.</w:t>
      </w:r>
      <w:r w:rsidRPr="00DF59F2">
        <w:rPr>
          <w:rFonts w:ascii="Arial" w:hAnsi="Arial" w:cs="Arial"/>
        </w:rPr>
        <w:tab/>
      </w:r>
      <w:r w:rsidR="00DF59F2" w:rsidRPr="00DF59F2">
        <w:rPr>
          <w:rFonts w:ascii="Arial" w:hAnsi="Arial" w:cs="Arial"/>
        </w:rPr>
        <w:t>The second and third respondents are ordered to pay the applicant’s costs of the counter application.</w:t>
      </w:r>
    </w:p>
    <w:p w14:paraId="4DB3DD82" w14:textId="77777777" w:rsidR="00DF59F2" w:rsidRPr="00DF59F2" w:rsidRDefault="00DF59F2" w:rsidP="00DF59F2">
      <w:pPr>
        <w:tabs>
          <w:tab w:val="left" w:pos="7797"/>
        </w:tabs>
        <w:spacing w:after="0" w:line="480" w:lineRule="auto"/>
        <w:jc w:val="both"/>
        <w:rPr>
          <w:rStyle w:val="Hyperlink"/>
          <w:rFonts w:ascii="Arial" w:hAnsi="Arial" w:cs="Arial"/>
          <w:i/>
          <w:iCs/>
          <w:color w:val="auto"/>
          <w:sz w:val="24"/>
          <w:szCs w:val="24"/>
        </w:rPr>
      </w:pPr>
    </w:p>
    <w:p w14:paraId="08459F7E" w14:textId="77777777" w:rsidR="00DF59F2" w:rsidRPr="00DF59F2" w:rsidRDefault="00DF59F2" w:rsidP="00DF59F2">
      <w:pPr>
        <w:spacing w:after="0" w:line="360" w:lineRule="auto"/>
        <w:jc w:val="both"/>
        <w:rPr>
          <w:rStyle w:val="Hyperlink"/>
          <w:rFonts w:ascii="Arial" w:hAnsi="Arial" w:cs="Arial"/>
          <w:i/>
          <w:iCs/>
          <w:color w:val="auto"/>
          <w:sz w:val="24"/>
          <w:szCs w:val="24"/>
        </w:rPr>
      </w:pPr>
      <w:r w:rsidRPr="00DF59F2">
        <w:rPr>
          <w:rStyle w:val="Hyperlink"/>
          <w:rFonts w:ascii="Arial" w:hAnsi="Arial" w:cs="Arial"/>
          <w:i/>
          <w:iCs/>
          <w:color w:val="auto"/>
          <w:sz w:val="24"/>
          <w:szCs w:val="24"/>
        </w:rPr>
        <w:t>________________________________</w:t>
      </w:r>
    </w:p>
    <w:p w14:paraId="72046163" w14:textId="77777777" w:rsidR="00DF59F2" w:rsidRPr="00DF59F2" w:rsidRDefault="00DF59F2" w:rsidP="00DF59F2">
      <w:pPr>
        <w:spacing w:after="0" w:line="360" w:lineRule="auto"/>
        <w:jc w:val="both"/>
        <w:rPr>
          <w:rFonts w:ascii="Arial" w:hAnsi="Arial" w:cs="Arial"/>
          <w:b/>
          <w:bCs/>
          <w:sz w:val="24"/>
          <w:szCs w:val="24"/>
        </w:rPr>
      </w:pPr>
      <w:r w:rsidRPr="00DF59F2">
        <w:rPr>
          <w:rFonts w:ascii="Arial" w:hAnsi="Arial" w:cs="Arial"/>
          <w:b/>
          <w:bCs/>
          <w:sz w:val="24"/>
          <w:szCs w:val="24"/>
        </w:rPr>
        <w:t xml:space="preserve">I BANDS </w:t>
      </w:r>
    </w:p>
    <w:p w14:paraId="2D191125" w14:textId="6D7AAC86" w:rsidR="00DF59F2" w:rsidRPr="00951523" w:rsidRDefault="00DF59F2" w:rsidP="00DF59F2">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35B38DC9" w14:textId="77777777" w:rsidR="00DF59F2" w:rsidRDefault="00DF59F2" w:rsidP="00DF59F2">
      <w:pPr>
        <w:spacing w:after="0" w:line="360" w:lineRule="auto"/>
        <w:ind w:left="2880" w:hanging="2880"/>
        <w:jc w:val="both"/>
        <w:rPr>
          <w:rFonts w:ascii="Arial" w:hAnsi="Arial" w:cs="Arial"/>
          <w:sz w:val="24"/>
          <w:szCs w:val="24"/>
        </w:rPr>
      </w:pPr>
    </w:p>
    <w:p w14:paraId="4608BDF7" w14:textId="3FFECE8C" w:rsidR="00DF59F2" w:rsidRDefault="00DF59F2" w:rsidP="00DF59F2">
      <w:pPr>
        <w:spacing w:after="0" w:line="360" w:lineRule="auto"/>
        <w:jc w:val="both"/>
        <w:rPr>
          <w:rFonts w:ascii="Arial" w:hAnsi="Arial" w:cs="Arial"/>
          <w:sz w:val="24"/>
          <w:szCs w:val="24"/>
        </w:rPr>
      </w:pPr>
      <w:r>
        <w:rPr>
          <w:rFonts w:ascii="Arial" w:hAnsi="Arial" w:cs="Arial"/>
          <w:sz w:val="24"/>
          <w:szCs w:val="24"/>
        </w:rPr>
        <w:t>Judgment granted</w:t>
      </w:r>
      <w:r w:rsidRPr="00951523">
        <w:rPr>
          <w:rFonts w:ascii="Arial" w:hAnsi="Arial" w:cs="Arial"/>
          <w:sz w:val="24"/>
          <w:szCs w:val="24"/>
        </w:rPr>
        <w:t>:</w:t>
      </w:r>
      <w:r>
        <w:rPr>
          <w:rFonts w:ascii="Arial" w:hAnsi="Arial" w:cs="Arial"/>
          <w:sz w:val="24"/>
          <w:szCs w:val="24"/>
        </w:rPr>
        <w:tab/>
      </w:r>
      <w:r w:rsidRPr="00951523">
        <w:rPr>
          <w:rFonts w:ascii="Arial" w:hAnsi="Arial" w:cs="Arial"/>
          <w:sz w:val="24"/>
          <w:szCs w:val="24"/>
        </w:rPr>
        <w:tab/>
      </w:r>
      <w:r>
        <w:rPr>
          <w:rFonts w:ascii="Arial" w:hAnsi="Arial" w:cs="Arial"/>
          <w:sz w:val="24"/>
          <w:szCs w:val="24"/>
        </w:rPr>
        <w:tab/>
        <w:t>14</w:t>
      </w:r>
      <w:r w:rsidRPr="00951523">
        <w:rPr>
          <w:rFonts w:ascii="Arial" w:hAnsi="Arial" w:cs="Arial"/>
          <w:sz w:val="24"/>
          <w:szCs w:val="24"/>
        </w:rPr>
        <w:t xml:space="preserve"> </w:t>
      </w:r>
      <w:r>
        <w:rPr>
          <w:rFonts w:ascii="Arial" w:hAnsi="Arial" w:cs="Arial"/>
          <w:sz w:val="24"/>
          <w:szCs w:val="24"/>
        </w:rPr>
        <w:t>September</w:t>
      </w:r>
      <w:r w:rsidRPr="00951523">
        <w:rPr>
          <w:rFonts w:ascii="Arial" w:hAnsi="Arial" w:cs="Arial"/>
          <w:sz w:val="24"/>
          <w:szCs w:val="24"/>
        </w:rPr>
        <w:t xml:space="preserve"> 2023</w:t>
      </w:r>
    </w:p>
    <w:p w14:paraId="0B29458A" w14:textId="77777777" w:rsidR="00DF59F2" w:rsidRDefault="00DF59F2" w:rsidP="00DF59F2">
      <w:pPr>
        <w:spacing w:after="0" w:line="360" w:lineRule="auto"/>
        <w:jc w:val="both"/>
        <w:rPr>
          <w:rFonts w:ascii="Arial" w:hAnsi="Arial" w:cs="Arial"/>
          <w:sz w:val="24"/>
          <w:szCs w:val="24"/>
        </w:rPr>
      </w:pPr>
    </w:p>
    <w:p w14:paraId="57C1C802" w14:textId="5465D749" w:rsidR="00DF59F2" w:rsidRDefault="00DF59F2" w:rsidP="00DF59F2">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t>No appearance (on the date of hearing)</w:t>
      </w:r>
    </w:p>
    <w:p w14:paraId="1FC6DFC3" w14:textId="77777777" w:rsidR="00D9650D" w:rsidRDefault="00D9650D" w:rsidP="00DF59F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Madikizela (written submissions)</w:t>
      </w:r>
      <w:r w:rsidR="00DF59F2">
        <w:rPr>
          <w:rFonts w:ascii="Arial" w:hAnsi="Arial" w:cs="Arial"/>
          <w:sz w:val="24"/>
          <w:szCs w:val="24"/>
        </w:rPr>
        <w:tab/>
      </w:r>
    </w:p>
    <w:p w14:paraId="4022DDED" w14:textId="5A162CF0" w:rsidR="00DF59F2" w:rsidRDefault="00DF59F2" w:rsidP="00DF59F2">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 Mbata Attorneys </w:t>
      </w:r>
    </w:p>
    <w:p w14:paraId="14A8A7D7" w14:textId="77777777" w:rsidR="00DF59F2" w:rsidRDefault="00DF59F2" w:rsidP="00DF59F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3B954F" w14:textId="33C9A4FA" w:rsidR="00DF59F2" w:rsidRDefault="00DF59F2" w:rsidP="00DF59F2">
      <w:pPr>
        <w:spacing w:after="0" w:line="360" w:lineRule="auto"/>
        <w:jc w:val="both"/>
        <w:rPr>
          <w:rFonts w:ascii="Arial" w:hAnsi="Arial" w:cs="Arial"/>
          <w:sz w:val="24"/>
          <w:szCs w:val="24"/>
        </w:rPr>
      </w:pPr>
      <w:r>
        <w:rPr>
          <w:rFonts w:ascii="Arial" w:hAnsi="Arial" w:cs="Arial"/>
          <w:sz w:val="24"/>
          <w:szCs w:val="24"/>
        </w:rPr>
        <w:t>For the 2</w:t>
      </w:r>
      <w:r w:rsidRPr="00B523F0">
        <w:rPr>
          <w:rFonts w:ascii="Arial" w:hAnsi="Arial" w:cs="Arial"/>
          <w:sz w:val="24"/>
          <w:szCs w:val="24"/>
          <w:vertAlign w:val="superscript"/>
        </w:rPr>
        <w:t>nd</w:t>
      </w:r>
      <w:r>
        <w:rPr>
          <w:rFonts w:ascii="Arial" w:hAnsi="Arial" w:cs="Arial"/>
          <w:sz w:val="24"/>
          <w:szCs w:val="24"/>
        </w:rPr>
        <w:t xml:space="preserve"> and 3</w:t>
      </w:r>
      <w:r w:rsidRPr="00DF59F2">
        <w:rPr>
          <w:rFonts w:ascii="Arial" w:hAnsi="Arial" w:cs="Arial"/>
          <w:sz w:val="24"/>
          <w:szCs w:val="24"/>
          <w:vertAlign w:val="superscript"/>
        </w:rPr>
        <w:t>rd</w:t>
      </w:r>
      <w:r>
        <w:rPr>
          <w:rFonts w:ascii="Arial" w:hAnsi="Arial" w:cs="Arial"/>
          <w:sz w:val="24"/>
          <w:szCs w:val="24"/>
        </w:rPr>
        <w:t xml:space="preserve"> respondents: </w:t>
      </w:r>
      <w:r>
        <w:rPr>
          <w:rFonts w:ascii="Arial" w:hAnsi="Arial" w:cs="Arial"/>
          <w:sz w:val="24"/>
          <w:szCs w:val="24"/>
        </w:rPr>
        <w:tab/>
      </w:r>
      <w:r w:rsidR="00D9650D">
        <w:rPr>
          <w:rFonts w:ascii="Arial" w:hAnsi="Arial" w:cs="Arial"/>
          <w:sz w:val="24"/>
          <w:szCs w:val="24"/>
        </w:rPr>
        <w:t>Adv</w:t>
      </w:r>
      <w:r>
        <w:rPr>
          <w:rFonts w:ascii="Arial" w:hAnsi="Arial" w:cs="Arial"/>
          <w:sz w:val="24"/>
          <w:szCs w:val="24"/>
        </w:rPr>
        <w:t xml:space="preserve"> Qikila (on the date of hearing)</w:t>
      </w:r>
    </w:p>
    <w:p w14:paraId="144813CD" w14:textId="21FADAED" w:rsidR="00DF59F2" w:rsidRDefault="00DF59F2" w:rsidP="00DF59F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650D">
        <w:rPr>
          <w:rFonts w:ascii="Arial" w:hAnsi="Arial" w:cs="Arial"/>
          <w:sz w:val="24"/>
          <w:szCs w:val="24"/>
        </w:rPr>
        <w:t>Adv Matyumza SC (w</w:t>
      </w:r>
      <w:r>
        <w:rPr>
          <w:rFonts w:ascii="Arial" w:hAnsi="Arial" w:cs="Arial"/>
          <w:sz w:val="24"/>
          <w:szCs w:val="24"/>
        </w:rPr>
        <w:t>ritten submissions</w:t>
      </w:r>
      <w:r w:rsidR="00D9650D">
        <w:rPr>
          <w:rFonts w:ascii="Arial" w:hAnsi="Arial" w:cs="Arial"/>
          <w:sz w:val="24"/>
          <w:szCs w:val="24"/>
        </w:rPr>
        <w:t xml:space="preserve">) </w:t>
      </w:r>
    </w:p>
    <w:p w14:paraId="03D487F1" w14:textId="747D17F9" w:rsidR="00DF59F2" w:rsidRDefault="00DF59F2" w:rsidP="00DF59F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650D">
        <w:rPr>
          <w:rFonts w:ascii="Arial" w:hAnsi="Arial" w:cs="Arial"/>
          <w:sz w:val="24"/>
          <w:szCs w:val="24"/>
        </w:rPr>
        <w:t>Adv</w:t>
      </w:r>
      <w:r>
        <w:rPr>
          <w:rFonts w:ascii="Arial" w:hAnsi="Arial" w:cs="Arial"/>
          <w:sz w:val="24"/>
          <w:szCs w:val="24"/>
        </w:rPr>
        <w:t xml:space="preserve"> Qikila (</w:t>
      </w:r>
      <w:r w:rsidR="00D9650D">
        <w:rPr>
          <w:rFonts w:ascii="Arial" w:hAnsi="Arial" w:cs="Arial"/>
          <w:sz w:val="24"/>
          <w:szCs w:val="24"/>
        </w:rPr>
        <w:t>supplementary</w:t>
      </w:r>
      <w:r>
        <w:rPr>
          <w:rFonts w:ascii="Arial" w:hAnsi="Arial" w:cs="Arial"/>
          <w:sz w:val="24"/>
          <w:szCs w:val="24"/>
        </w:rPr>
        <w:t xml:space="preserve"> written submissions)</w:t>
      </w:r>
    </w:p>
    <w:p w14:paraId="79DBC5FF" w14:textId="3D48FD65" w:rsidR="00DF59F2" w:rsidRDefault="00DF59F2" w:rsidP="00DF59F2">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MDA Mncedane Inc.</w:t>
      </w:r>
    </w:p>
    <w:p w14:paraId="7F47C0B8" w14:textId="77777777" w:rsidR="00DF59F2" w:rsidRDefault="00DF59F2" w:rsidP="00DF59F2">
      <w:pPr>
        <w:spacing w:after="0" w:line="360" w:lineRule="auto"/>
        <w:jc w:val="both"/>
        <w:rPr>
          <w:rFonts w:ascii="Arial" w:hAnsi="Arial" w:cs="Arial"/>
          <w:sz w:val="24"/>
          <w:szCs w:val="24"/>
        </w:rPr>
      </w:pPr>
    </w:p>
    <w:p w14:paraId="779A377B" w14:textId="77777777" w:rsidR="00DF59F2" w:rsidRDefault="00DF59F2" w:rsidP="00DF59F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4F53EE" w14:textId="77777777" w:rsidR="00DF59F2" w:rsidRDefault="00DF59F2" w:rsidP="00DF59F2"/>
    <w:p w14:paraId="56B80877" w14:textId="77777777" w:rsidR="000D2B2A" w:rsidRPr="00137E42" w:rsidRDefault="000D2B2A">
      <w:pPr>
        <w:rPr>
          <w:rFonts w:ascii="Arial" w:hAnsi="Arial" w:cs="Arial"/>
          <w:sz w:val="24"/>
          <w:szCs w:val="24"/>
        </w:rPr>
      </w:pPr>
    </w:p>
    <w:sectPr w:rsidR="000D2B2A" w:rsidRPr="00137E42" w:rsidSect="00173B1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1D70" w14:textId="77777777" w:rsidR="00F81498" w:rsidRDefault="00F81498" w:rsidP="008C76A2">
      <w:pPr>
        <w:spacing w:after="0" w:line="240" w:lineRule="auto"/>
      </w:pPr>
      <w:r>
        <w:separator/>
      </w:r>
    </w:p>
  </w:endnote>
  <w:endnote w:type="continuationSeparator" w:id="0">
    <w:p w14:paraId="108D6D6B" w14:textId="77777777" w:rsidR="00F81498" w:rsidRDefault="00F81498" w:rsidP="008C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C775" w14:textId="77777777" w:rsidR="00F81498" w:rsidRDefault="00F81498" w:rsidP="008C76A2">
      <w:pPr>
        <w:spacing w:after="0" w:line="240" w:lineRule="auto"/>
      </w:pPr>
      <w:r>
        <w:separator/>
      </w:r>
    </w:p>
  </w:footnote>
  <w:footnote w:type="continuationSeparator" w:id="0">
    <w:p w14:paraId="40370406" w14:textId="77777777" w:rsidR="00F81498" w:rsidRDefault="00F81498" w:rsidP="008C76A2">
      <w:pPr>
        <w:spacing w:after="0" w:line="240" w:lineRule="auto"/>
      </w:pPr>
      <w:r>
        <w:continuationSeparator/>
      </w:r>
    </w:p>
  </w:footnote>
  <w:footnote w:id="1">
    <w:p w14:paraId="1B101BDD" w14:textId="2A219054" w:rsidR="00CC5FDC" w:rsidRPr="00CC5FDC" w:rsidRDefault="00CC5FDC">
      <w:pPr>
        <w:pStyle w:val="FootnoteText"/>
        <w:rPr>
          <w:rFonts w:ascii="Arial" w:hAnsi="Arial" w:cs="Arial"/>
          <w:sz w:val="22"/>
          <w:szCs w:val="22"/>
          <w:lang w:val="en-US"/>
        </w:rPr>
      </w:pPr>
      <w:r w:rsidRPr="00CC5FDC">
        <w:rPr>
          <w:rStyle w:val="FootnoteReference"/>
          <w:rFonts w:ascii="Arial" w:hAnsi="Arial" w:cs="Arial"/>
          <w:sz w:val="22"/>
          <w:szCs w:val="22"/>
        </w:rPr>
        <w:footnoteRef/>
      </w:r>
      <w:r w:rsidRPr="00CC5FDC">
        <w:rPr>
          <w:rFonts w:ascii="Arial" w:hAnsi="Arial" w:cs="Arial"/>
          <w:sz w:val="22"/>
          <w:szCs w:val="22"/>
        </w:rPr>
        <w:t xml:space="preserve"> </w:t>
      </w:r>
      <w:r w:rsidRPr="00CC5FDC">
        <w:rPr>
          <w:rFonts w:ascii="Arial" w:hAnsi="Arial" w:cs="Arial"/>
          <w:sz w:val="22"/>
          <w:szCs w:val="22"/>
          <w:lang w:val="en-US"/>
        </w:rPr>
        <w:t xml:space="preserve">As </w:t>
      </w:r>
      <w:r w:rsidR="0052770B">
        <w:rPr>
          <w:rFonts w:ascii="Arial" w:hAnsi="Arial" w:cs="Arial"/>
          <w:sz w:val="22"/>
          <w:szCs w:val="22"/>
          <w:lang w:val="en-US"/>
        </w:rPr>
        <w:t xml:space="preserve">conceded in </w:t>
      </w:r>
      <w:r w:rsidRPr="00CC5FDC">
        <w:rPr>
          <w:rFonts w:ascii="Arial" w:hAnsi="Arial" w:cs="Arial"/>
          <w:sz w:val="22"/>
          <w:szCs w:val="22"/>
          <w:lang w:val="en-US"/>
        </w:rPr>
        <w:t xml:space="preserve">paragraph 2 of </w:t>
      </w:r>
      <w:r w:rsidR="0052770B">
        <w:rPr>
          <w:rFonts w:ascii="Arial" w:hAnsi="Arial" w:cs="Arial"/>
          <w:sz w:val="22"/>
          <w:szCs w:val="22"/>
          <w:lang w:val="en-US"/>
        </w:rPr>
        <w:t xml:space="preserve">the applicant’s </w:t>
      </w:r>
      <w:r w:rsidRPr="00CC5FDC">
        <w:rPr>
          <w:rFonts w:ascii="Arial" w:hAnsi="Arial" w:cs="Arial"/>
          <w:sz w:val="22"/>
          <w:szCs w:val="22"/>
          <w:lang w:val="en-US"/>
        </w:rPr>
        <w:t>heads of argument.</w:t>
      </w:r>
    </w:p>
  </w:footnote>
  <w:footnote w:id="2">
    <w:p w14:paraId="463550CA" w14:textId="2B63A53E" w:rsidR="00A366A8" w:rsidRPr="008A3046" w:rsidRDefault="00A366A8" w:rsidP="008A3046">
      <w:pPr>
        <w:pStyle w:val="FootnoteText"/>
        <w:spacing w:line="360" w:lineRule="auto"/>
        <w:rPr>
          <w:rFonts w:ascii="Arial" w:hAnsi="Arial" w:cs="Arial"/>
          <w:i/>
          <w:iCs/>
          <w:sz w:val="22"/>
          <w:szCs w:val="22"/>
          <w:lang w:val="en-US"/>
        </w:rPr>
      </w:pPr>
      <w:r w:rsidRPr="008A3046">
        <w:rPr>
          <w:rStyle w:val="FootnoteReference"/>
          <w:rFonts w:ascii="Arial" w:hAnsi="Arial" w:cs="Arial"/>
          <w:sz w:val="22"/>
          <w:szCs w:val="22"/>
        </w:rPr>
        <w:footnoteRef/>
      </w:r>
      <w:r w:rsidRPr="008A3046">
        <w:rPr>
          <w:rFonts w:ascii="Arial" w:hAnsi="Arial" w:cs="Arial"/>
          <w:sz w:val="22"/>
          <w:szCs w:val="22"/>
        </w:rPr>
        <w:t xml:space="preserve"> </w:t>
      </w:r>
      <w:r w:rsidRPr="008A3046">
        <w:rPr>
          <w:rFonts w:ascii="Arial" w:hAnsi="Arial" w:cs="Arial"/>
          <w:sz w:val="22"/>
          <w:szCs w:val="22"/>
          <w:lang w:val="en-US"/>
        </w:rPr>
        <w:t xml:space="preserve">Seeking its dismissal with costs on a </w:t>
      </w:r>
      <w:r w:rsidRPr="008A3046">
        <w:rPr>
          <w:rFonts w:ascii="Arial" w:hAnsi="Arial" w:cs="Arial"/>
          <w:i/>
          <w:iCs/>
          <w:sz w:val="22"/>
          <w:szCs w:val="22"/>
          <w:lang w:val="en-US"/>
        </w:rPr>
        <w:t>de bonis propriis</w:t>
      </w:r>
      <w:r w:rsidRPr="008A3046">
        <w:rPr>
          <w:rFonts w:ascii="Arial" w:hAnsi="Arial" w:cs="Arial"/>
          <w:sz w:val="22"/>
          <w:szCs w:val="22"/>
          <w:lang w:val="en-US"/>
        </w:rPr>
        <w:t xml:space="preserve"> scale and the discharge of the </w:t>
      </w:r>
      <w:r w:rsidRPr="008A3046">
        <w:rPr>
          <w:rFonts w:ascii="Arial" w:hAnsi="Arial" w:cs="Arial"/>
          <w:i/>
          <w:iCs/>
          <w:sz w:val="22"/>
          <w:szCs w:val="22"/>
          <w:lang w:val="en-US"/>
        </w:rPr>
        <w:t>rule nisi.</w:t>
      </w:r>
    </w:p>
  </w:footnote>
  <w:footnote w:id="3">
    <w:p w14:paraId="6D4B9AB3" w14:textId="7B479610" w:rsidR="00A366A8" w:rsidRPr="008A3046" w:rsidRDefault="00A366A8" w:rsidP="008A3046">
      <w:pPr>
        <w:pStyle w:val="FootnoteText"/>
        <w:spacing w:line="360" w:lineRule="auto"/>
        <w:rPr>
          <w:rFonts w:ascii="Arial" w:hAnsi="Arial" w:cs="Arial"/>
          <w:sz w:val="22"/>
          <w:szCs w:val="22"/>
          <w:lang w:val="en-US"/>
        </w:rPr>
      </w:pPr>
      <w:r w:rsidRPr="008A3046">
        <w:rPr>
          <w:rStyle w:val="FootnoteReference"/>
          <w:rFonts w:ascii="Arial" w:hAnsi="Arial" w:cs="Arial"/>
          <w:sz w:val="22"/>
          <w:szCs w:val="22"/>
        </w:rPr>
        <w:footnoteRef/>
      </w:r>
      <w:r w:rsidRPr="008A3046">
        <w:rPr>
          <w:rFonts w:ascii="Arial" w:hAnsi="Arial" w:cs="Arial"/>
          <w:sz w:val="22"/>
          <w:szCs w:val="22"/>
        </w:rPr>
        <w:t xml:space="preserve"> </w:t>
      </w:r>
      <w:r w:rsidRPr="008A3046">
        <w:rPr>
          <w:rFonts w:ascii="Arial" w:hAnsi="Arial" w:cs="Arial"/>
          <w:sz w:val="22"/>
          <w:szCs w:val="22"/>
          <w:lang w:val="en-US"/>
        </w:rPr>
        <w:t>Placing reliance on their answering affidavit.</w:t>
      </w:r>
    </w:p>
  </w:footnote>
  <w:footnote w:id="4">
    <w:p w14:paraId="166C71AE" w14:textId="4E2B8DA0" w:rsidR="001573E8" w:rsidRPr="007A1C9B" w:rsidRDefault="001573E8" w:rsidP="007A1C9B">
      <w:pPr>
        <w:pStyle w:val="FootnoteText"/>
        <w:spacing w:line="360" w:lineRule="auto"/>
        <w:jc w:val="both"/>
        <w:rPr>
          <w:rFonts w:ascii="Arial" w:hAnsi="Arial" w:cs="Arial"/>
          <w:sz w:val="22"/>
          <w:szCs w:val="22"/>
          <w:lang w:val="en-US"/>
        </w:rPr>
      </w:pPr>
      <w:r w:rsidRPr="007A1C9B">
        <w:rPr>
          <w:rStyle w:val="FootnoteReference"/>
          <w:rFonts w:ascii="Arial" w:hAnsi="Arial" w:cs="Arial"/>
          <w:sz w:val="22"/>
          <w:szCs w:val="22"/>
        </w:rPr>
        <w:footnoteRef/>
      </w:r>
      <w:r w:rsidRPr="007A1C9B">
        <w:rPr>
          <w:rFonts w:ascii="Arial" w:hAnsi="Arial" w:cs="Arial"/>
          <w:sz w:val="22"/>
          <w:szCs w:val="22"/>
        </w:rPr>
        <w:t xml:space="preserve"> </w:t>
      </w:r>
      <w:r w:rsidRPr="007A1C9B">
        <w:rPr>
          <w:rFonts w:ascii="Arial" w:hAnsi="Arial" w:cs="Arial"/>
          <w:sz w:val="22"/>
          <w:szCs w:val="22"/>
          <w:lang w:val="en-US"/>
        </w:rPr>
        <w:t xml:space="preserve">This being apparent from the order of court granted on 28 July 2022 </w:t>
      </w:r>
      <w:r w:rsidR="00E43032" w:rsidRPr="007A1C9B">
        <w:rPr>
          <w:rFonts w:ascii="Arial" w:hAnsi="Arial" w:cs="Arial"/>
          <w:sz w:val="22"/>
          <w:szCs w:val="22"/>
          <w:lang w:val="en-US"/>
        </w:rPr>
        <w:t>as well as from the respondents’ counsel who confirmed that the order had been granted by agreement between the parties.</w:t>
      </w:r>
      <w:r w:rsidRPr="007A1C9B">
        <w:rPr>
          <w:rFonts w:ascii="Arial" w:hAnsi="Arial" w:cs="Arial"/>
          <w:sz w:val="22"/>
          <w:szCs w:val="22"/>
          <w:lang w:val="en-US"/>
        </w:rPr>
        <w:t xml:space="preserve"> </w:t>
      </w:r>
    </w:p>
  </w:footnote>
  <w:footnote w:id="5">
    <w:p w14:paraId="24926B6F" w14:textId="1F5A908B" w:rsidR="003A787E" w:rsidRPr="00DF3C5B" w:rsidRDefault="003A787E">
      <w:pPr>
        <w:pStyle w:val="FootnoteText"/>
        <w:rPr>
          <w:rFonts w:ascii="Arial" w:hAnsi="Arial" w:cs="Arial"/>
          <w:sz w:val="22"/>
          <w:szCs w:val="22"/>
          <w:lang w:val="en-US"/>
        </w:rPr>
      </w:pPr>
      <w:r w:rsidRPr="00DF3C5B">
        <w:rPr>
          <w:rStyle w:val="FootnoteReference"/>
          <w:rFonts w:ascii="Arial" w:hAnsi="Arial" w:cs="Arial"/>
          <w:sz w:val="22"/>
          <w:szCs w:val="22"/>
        </w:rPr>
        <w:footnoteRef/>
      </w:r>
      <w:r w:rsidRPr="00DF3C5B">
        <w:rPr>
          <w:rFonts w:ascii="Arial" w:hAnsi="Arial" w:cs="Arial"/>
          <w:sz w:val="22"/>
          <w:szCs w:val="22"/>
        </w:rPr>
        <w:t xml:space="preserve"> </w:t>
      </w:r>
      <w:r w:rsidRPr="00DF3C5B">
        <w:rPr>
          <w:rFonts w:ascii="Arial" w:hAnsi="Arial" w:cs="Arial"/>
          <w:sz w:val="22"/>
          <w:szCs w:val="22"/>
          <w:lang w:val="en-US"/>
        </w:rPr>
        <w:t xml:space="preserve">“P4”; and “P7” – “P14”.  </w:t>
      </w:r>
    </w:p>
  </w:footnote>
  <w:footnote w:id="6">
    <w:p w14:paraId="18947FCF" w14:textId="0EB9D64F" w:rsidR="003E3314" w:rsidRPr="003E3314" w:rsidRDefault="003E3314" w:rsidP="003E3314">
      <w:pPr>
        <w:pStyle w:val="FootnoteText"/>
        <w:spacing w:line="360" w:lineRule="auto"/>
        <w:jc w:val="both"/>
        <w:rPr>
          <w:rFonts w:ascii="Arial" w:hAnsi="Arial" w:cs="Arial"/>
          <w:sz w:val="22"/>
          <w:szCs w:val="22"/>
          <w:lang w:val="en-US"/>
        </w:rPr>
      </w:pPr>
      <w:r w:rsidRPr="003E3314">
        <w:rPr>
          <w:rStyle w:val="FootnoteReference"/>
          <w:rFonts w:ascii="Arial" w:hAnsi="Arial" w:cs="Arial"/>
          <w:sz w:val="22"/>
          <w:szCs w:val="22"/>
        </w:rPr>
        <w:footnoteRef/>
      </w:r>
      <w:r w:rsidRPr="003E3314">
        <w:rPr>
          <w:rFonts w:ascii="Arial" w:hAnsi="Arial" w:cs="Arial"/>
          <w:sz w:val="22"/>
          <w:szCs w:val="22"/>
        </w:rPr>
        <w:t xml:space="preserve"> </w:t>
      </w:r>
      <w:r w:rsidRPr="003E3314">
        <w:rPr>
          <w:rFonts w:ascii="Arial" w:hAnsi="Arial" w:cs="Arial"/>
          <w:sz w:val="22"/>
          <w:szCs w:val="22"/>
          <w:lang w:val="en-US"/>
        </w:rPr>
        <w:t>Paragraph 13 of the heads of argument, where it records, in relation to the suggested reappointment of the third respondent as a co-executor:</w:t>
      </w:r>
    </w:p>
    <w:p w14:paraId="07D33052" w14:textId="77777777" w:rsidR="003E3314" w:rsidRPr="003E3314" w:rsidRDefault="003E3314" w:rsidP="003E3314">
      <w:pPr>
        <w:pStyle w:val="FootnoteText"/>
        <w:spacing w:line="360" w:lineRule="auto"/>
        <w:jc w:val="both"/>
        <w:rPr>
          <w:rFonts w:ascii="Arial" w:hAnsi="Arial" w:cs="Arial"/>
          <w:sz w:val="22"/>
          <w:szCs w:val="22"/>
          <w:lang w:val="en-US"/>
        </w:rPr>
      </w:pPr>
    </w:p>
    <w:p w14:paraId="0807FABB" w14:textId="132350B8" w:rsidR="003E3314" w:rsidRPr="003E3314" w:rsidRDefault="003E3314" w:rsidP="003E3314">
      <w:pPr>
        <w:pStyle w:val="FootnoteText"/>
        <w:spacing w:line="360" w:lineRule="auto"/>
        <w:ind w:left="720"/>
        <w:jc w:val="both"/>
        <w:rPr>
          <w:rFonts w:ascii="Arial" w:hAnsi="Arial" w:cs="Arial"/>
          <w:sz w:val="22"/>
          <w:szCs w:val="22"/>
          <w:lang w:val="en-US"/>
        </w:rPr>
      </w:pPr>
      <w:r w:rsidRPr="003E3314">
        <w:rPr>
          <w:rFonts w:ascii="Arial" w:hAnsi="Arial" w:cs="Arial"/>
          <w:sz w:val="22"/>
          <w:szCs w:val="22"/>
          <w:lang w:val="en-US"/>
        </w:rPr>
        <w:t>“</w:t>
      </w:r>
      <w:r w:rsidRPr="003E3314">
        <w:rPr>
          <w:rFonts w:ascii="Arial" w:hAnsi="Arial" w:cs="Arial"/>
          <w:i/>
          <w:iCs/>
          <w:sz w:val="22"/>
          <w:szCs w:val="22"/>
          <w:lang w:val="en-US"/>
        </w:rPr>
        <w:t xml:space="preserve">Applicant is aware that the reason the </w:t>
      </w:r>
      <w:r>
        <w:rPr>
          <w:rFonts w:ascii="Arial" w:hAnsi="Arial" w:cs="Arial"/>
          <w:i/>
          <w:iCs/>
          <w:sz w:val="22"/>
          <w:szCs w:val="22"/>
          <w:lang w:val="en-US"/>
        </w:rPr>
        <w:t>M</w:t>
      </w:r>
      <w:r w:rsidRPr="003E3314">
        <w:rPr>
          <w:rFonts w:ascii="Arial" w:hAnsi="Arial" w:cs="Arial"/>
          <w:i/>
          <w:iCs/>
          <w:sz w:val="22"/>
          <w:szCs w:val="22"/>
          <w:lang w:val="en-US"/>
        </w:rPr>
        <w:t xml:space="preserve">aster refused the </w:t>
      </w:r>
      <w:r>
        <w:rPr>
          <w:rFonts w:ascii="Arial" w:hAnsi="Arial" w:cs="Arial"/>
          <w:i/>
          <w:iCs/>
          <w:sz w:val="22"/>
          <w:szCs w:val="22"/>
          <w:lang w:val="en-US"/>
        </w:rPr>
        <w:t>c</w:t>
      </w:r>
      <w:r w:rsidRPr="003E3314">
        <w:rPr>
          <w:rFonts w:ascii="Arial" w:hAnsi="Arial" w:cs="Arial"/>
          <w:i/>
          <w:iCs/>
          <w:sz w:val="22"/>
          <w:szCs w:val="22"/>
          <w:lang w:val="en-US"/>
        </w:rPr>
        <w:t>o</w:t>
      </w:r>
      <w:r>
        <w:rPr>
          <w:rFonts w:ascii="Arial" w:hAnsi="Arial" w:cs="Arial"/>
          <w:i/>
          <w:iCs/>
          <w:sz w:val="22"/>
          <w:szCs w:val="22"/>
          <w:lang w:val="en-US"/>
        </w:rPr>
        <w:t>-</w:t>
      </w:r>
      <w:r w:rsidRPr="003E3314">
        <w:rPr>
          <w:rFonts w:ascii="Arial" w:hAnsi="Arial" w:cs="Arial"/>
          <w:i/>
          <w:iCs/>
          <w:sz w:val="22"/>
          <w:szCs w:val="22"/>
          <w:lang w:val="en-US"/>
        </w:rPr>
        <w:t xml:space="preserve">executorship of the </w:t>
      </w:r>
      <w:r>
        <w:rPr>
          <w:rFonts w:ascii="Arial" w:hAnsi="Arial" w:cs="Arial"/>
          <w:i/>
          <w:iCs/>
          <w:sz w:val="22"/>
          <w:szCs w:val="22"/>
          <w:lang w:val="en-US"/>
        </w:rPr>
        <w:t>3</w:t>
      </w:r>
      <w:r w:rsidRPr="003E3314">
        <w:rPr>
          <w:rFonts w:ascii="Arial" w:hAnsi="Arial" w:cs="Arial"/>
          <w:i/>
          <w:iCs/>
          <w:sz w:val="22"/>
          <w:szCs w:val="22"/>
          <w:vertAlign w:val="superscript"/>
          <w:lang w:val="en-US"/>
        </w:rPr>
        <w:t>rd</w:t>
      </w:r>
      <w:r w:rsidRPr="003E3314">
        <w:rPr>
          <w:rFonts w:ascii="Arial" w:hAnsi="Arial" w:cs="Arial"/>
          <w:i/>
          <w:iCs/>
          <w:sz w:val="22"/>
          <w:szCs w:val="22"/>
          <w:lang w:val="en-US"/>
        </w:rPr>
        <w:t xml:space="preserve"> respondent is that </w:t>
      </w:r>
      <w:r>
        <w:rPr>
          <w:rFonts w:ascii="Arial" w:hAnsi="Arial" w:cs="Arial"/>
          <w:i/>
          <w:iCs/>
          <w:sz w:val="22"/>
          <w:szCs w:val="22"/>
          <w:lang w:val="en-US"/>
        </w:rPr>
        <w:t>3</w:t>
      </w:r>
      <w:r w:rsidRPr="003E3314">
        <w:rPr>
          <w:rFonts w:ascii="Arial" w:hAnsi="Arial" w:cs="Arial"/>
          <w:i/>
          <w:iCs/>
          <w:sz w:val="22"/>
          <w:szCs w:val="22"/>
          <w:vertAlign w:val="superscript"/>
          <w:lang w:val="en-US"/>
        </w:rPr>
        <w:t>rd</w:t>
      </w:r>
      <w:r w:rsidRPr="003E3314">
        <w:rPr>
          <w:rFonts w:ascii="Arial" w:hAnsi="Arial" w:cs="Arial"/>
          <w:i/>
          <w:iCs/>
          <w:sz w:val="22"/>
          <w:szCs w:val="22"/>
          <w:lang w:val="en-US"/>
        </w:rPr>
        <w:t xml:space="preserve"> respondent could not be so re</w:t>
      </w:r>
      <w:r w:rsidR="00E16CE6">
        <w:rPr>
          <w:rFonts w:ascii="Arial" w:hAnsi="Arial" w:cs="Arial"/>
          <w:i/>
          <w:iCs/>
          <w:sz w:val="22"/>
          <w:szCs w:val="22"/>
          <w:lang w:val="en-US"/>
        </w:rPr>
        <w:t>-</w:t>
      </w:r>
      <w:r w:rsidRPr="003E3314">
        <w:rPr>
          <w:rFonts w:ascii="Arial" w:hAnsi="Arial" w:cs="Arial"/>
          <w:i/>
          <w:iCs/>
          <w:sz w:val="22"/>
          <w:szCs w:val="22"/>
          <w:lang w:val="en-US"/>
        </w:rPr>
        <w:t>appointed after already committed fraud.</w:t>
      </w:r>
      <w:r w:rsidRPr="003E3314">
        <w:rPr>
          <w:rFonts w:ascii="Arial" w:hAnsi="Arial" w:cs="Arial"/>
          <w:sz w:val="22"/>
          <w:szCs w:val="22"/>
          <w:lang w:val="en-US"/>
        </w:rPr>
        <w:t>”</w:t>
      </w:r>
    </w:p>
  </w:footnote>
  <w:footnote w:id="7">
    <w:p w14:paraId="3187D577" w14:textId="43C79817" w:rsidR="00817D42" w:rsidRPr="00817D42" w:rsidRDefault="00817D42">
      <w:pPr>
        <w:pStyle w:val="FootnoteText"/>
        <w:rPr>
          <w:lang w:val="en-US"/>
        </w:rPr>
      </w:pPr>
      <w:r>
        <w:rPr>
          <w:rStyle w:val="FootnoteReference"/>
        </w:rPr>
        <w:footnoteRef/>
      </w:r>
      <w:r>
        <w:t xml:space="preserve"> </w:t>
      </w:r>
      <w:r w:rsidRPr="00817D42">
        <w:rPr>
          <w:rFonts w:ascii="Arial" w:hAnsi="Arial" w:cs="Arial"/>
          <w:sz w:val="22"/>
          <w:szCs w:val="22"/>
          <w:lang w:val="en-US"/>
        </w:rPr>
        <w:t>Which did not comply with the provisions of the Administration of Estates Act.</w:t>
      </w:r>
    </w:p>
  </w:footnote>
  <w:footnote w:id="8">
    <w:p w14:paraId="4588D035" w14:textId="7DB7AE2F" w:rsidR="00D01E11" w:rsidRPr="008829BC" w:rsidRDefault="00D01E11" w:rsidP="00D01E11">
      <w:pPr>
        <w:pStyle w:val="FootnoteText"/>
        <w:spacing w:line="360" w:lineRule="auto"/>
        <w:jc w:val="both"/>
        <w:rPr>
          <w:rFonts w:ascii="Arial" w:hAnsi="Arial" w:cs="Arial"/>
          <w:sz w:val="22"/>
          <w:szCs w:val="22"/>
          <w:lang w:val="en-US"/>
        </w:rPr>
      </w:pPr>
      <w:r w:rsidRPr="00D01E11">
        <w:rPr>
          <w:rStyle w:val="FootnoteReference"/>
          <w:rFonts w:ascii="Arial" w:hAnsi="Arial" w:cs="Arial"/>
          <w:sz w:val="22"/>
          <w:szCs w:val="22"/>
        </w:rPr>
        <w:footnoteRef/>
      </w:r>
      <w:r w:rsidRPr="00D01E11">
        <w:rPr>
          <w:rFonts w:ascii="Arial" w:hAnsi="Arial" w:cs="Arial"/>
          <w:sz w:val="22"/>
          <w:szCs w:val="22"/>
        </w:rPr>
        <w:t xml:space="preserve"> </w:t>
      </w:r>
      <w:r w:rsidRPr="00D01E11">
        <w:rPr>
          <w:rFonts w:ascii="Arial" w:hAnsi="Arial" w:cs="Arial"/>
          <w:i/>
          <w:iCs/>
          <w:sz w:val="22"/>
          <w:szCs w:val="22"/>
          <w:lang w:val="en-US"/>
        </w:rPr>
        <w:t>Da Silva and others v Da Silva NO and Others</w:t>
      </w:r>
      <w:r w:rsidRPr="00D01E11">
        <w:rPr>
          <w:rFonts w:ascii="Arial" w:hAnsi="Arial" w:cs="Arial"/>
          <w:sz w:val="22"/>
          <w:szCs w:val="22"/>
          <w:lang w:val="en-US"/>
        </w:rPr>
        <w:t xml:space="preserve"> (2498/2007 and 4247/2007) [2007] ZAWCHC </w:t>
      </w:r>
      <w:r w:rsidRPr="008829BC">
        <w:rPr>
          <w:rFonts w:ascii="Arial" w:hAnsi="Arial" w:cs="Arial"/>
          <w:sz w:val="22"/>
          <w:szCs w:val="22"/>
          <w:lang w:val="en-US"/>
        </w:rPr>
        <w:t xml:space="preserve">82 at para 11.  </w:t>
      </w:r>
      <w:r w:rsidRPr="00D01E11">
        <w:rPr>
          <w:rFonts w:ascii="Arial" w:eastAsia="Times New Roman" w:hAnsi="Arial" w:cs="Arial"/>
          <w:i/>
          <w:iCs/>
          <w:sz w:val="22"/>
          <w:szCs w:val="22"/>
          <w:lang w:eastAsia="en-ZA"/>
        </w:rPr>
        <w:t>M.J v Master of the High Court and Others</w:t>
      </w:r>
      <w:r w:rsidRPr="00D01E11">
        <w:rPr>
          <w:rFonts w:ascii="Arial" w:eastAsia="Times New Roman" w:hAnsi="Arial" w:cs="Arial"/>
          <w:sz w:val="22"/>
          <w:szCs w:val="22"/>
          <w:lang w:eastAsia="en-ZA"/>
        </w:rPr>
        <w:t xml:space="preserve"> (15699/2017) [2019] ZAWCHC 8 </w:t>
      </w:r>
      <w:r w:rsidRPr="008829BC">
        <w:rPr>
          <w:rFonts w:ascii="Arial" w:eastAsia="Times New Roman" w:hAnsi="Arial" w:cs="Arial"/>
          <w:sz w:val="22"/>
          <w:szCs w:val="22"/>
          <w:lang w:eastAsia="en-ZA"/>
        </w:rPr>
        <w:t>at para 14.</w:t>
      </w:r>
    </w:p>
  </w:footnote>
  <w:footnote w:id="9">
    <w:p w14:paraId="03307CA3" w14:textId="221FD8FB" w:rsidR="008829BC" w:rsidRPr="008829BC" w:rsidRDefault="008829BC">
      <w:pPr>
        <w:pStyle w:val="FootnoteText"/>
        <w:rPr>
          <w:rFonts w:ascii="Arial" w:hAnsi="Arial" w:cs="Arial"/>
          <w:sz w:val="22"/>
          <w:szCs w:val="22"/>
          <w:lang w:val="en-US"/>
        </w:rPr>
      </w:pPr>
      <w:r w:rsidRPr="008829BC">
        <w:rPr>
          <w:rStyle w:val="FootnoteReference"/>
          <w:rFonts w:ascii="Arial" w:hAnsi="Arial" w:cs="Arial"/>
          <w:sz w:val="22"/>
          <w:szCs w:val="22"/>
        </w:rPr>
        <w:footnoteRef/>
      </w:r>
      <w:r w:rsidRPr="008829BC">
        <w:rPr>
          <w:rFonts w:ascii="Arial" w:hAnsi="Arial" w:cs="Arial"/>
          <w:sz w:val="22"/>
          <w:szCs w:val="22"/>
        </w:rPr>
        <w:t xml:space="preserve"> </w:t>
      </w:r>
      <w:r w:rsidRPr="008829BC">
        <w:rPr>
          <w:rFonts w:ascii="Arial" w:hAnsi="Arial" w:cs="Arial"/>
          <w:sz w:val="22"/>
          <w:szCs w:val="22"/>
          <w:lang w:val="en-US"/>
        </w:rPr>
        <w:t>Or the responses thereto on behalf of the respondents.</w:t>
      </w:r>
    </w:p>
  </w:footnote>
  <w:footnote w:id="10">
    <w:p w14:paraId="4DACF78B" w14:textId="77777777" w:rsidR="00B77F0E" w:rsidRPr="00662EEA" w:rsidRDefault="00B77F0E" w:rsidP="00B77F0E">
      <w:pPr>
        <w:pStyle w:val="FootnoteText"/>
        <w:rPr>
          <w:rFonts w:ascii="Arial" w:hAnsi="Arial" w:cs="Arial"/>
        </w:rPr>
      </w:pPr>
      <w:r w:rsidRPr="00662EEA">
        <w:rPr>
          <w:rStyle w:val="FootnoteReference"/>
          <w:rFonts w:ascii="Arial" w:hAnsi="Arial" w:cs="Arial"/>
        </w:rPr>
        <w:footnoteRef/>
      </w:r>
      <w:r w:rsidRPr="00662EEA">
        <w:rPr>
          <w:rFonts w:ascii="Arial" w:hAnsi="Arial" w:cs="Arial"/>
        </w:rPr>
        <w:t xml:space="preserve"> 2012 (4) SA 593 (SCA).</w:t>
      </w:r>
    </w:p>
  </w:footnote>
  <w:footnote w:id="11">
    <w:p w14:paraId="7FA17ACA" w14:textId="77777777" w:rsidR="00B77F0E" w:rsidRPr="006D08FC" w:rsidRDefault="00B77F0E" w:rsidP="006D08FC">
      <w:pPr>
        <w:pStyle w:val="FootnoteText"/>
        <w:spacing w:line="360" w:lineRule="auto"/>
        <w:rPr>
          <w:rFonts w:ascii="Arial" w:hAnsi="Arial" w:cs="Arial"/>
          <w:sz w:val="22"/>
          <w:szCs w:val="22"/>
        </w:rPr>
      </w:pPr>
      <w:r w:rsidRPr="006D08FC">
        <w:rPr>
          <w:rStyle w:val="FootnoteReference"/>
          <w:rFonts w:ascii="Arial" w:hAnsi="Arial" w:cs="Arial"/>
          <w:sz w:val="22"/>
          <w:szCs w:val="22"/>
        </w:rPr>
        <w:footnoteRef/>
      </w:r>
      <w:r w:rsidRPr="006D08FC">
        <w:rPr>
          <w:rFonts w:ascii="Arial" w:hAnsi="Arial" w:cs="Arial"/>
          <w:sz w:val="22"/>
          <w:szCs w:val="22"/>
        </w:rPr>
        <w:t xml:space="preserve"> </w:t>
      </w:r>
      <w:r w:rsidRPr="006D08FC">
        <w:rPr>
          <w:rFonts w:ascii="Arial" w:hAnsi="Arial" w:cs="Arial"/>
          <w:color w:val="242121"/>
          <w:sz w:val="22"/>
          <w:szCs w:val="22"/>
          <w:shd w:val="clear" w:color="auto" w:fill="FFFFFF"/>
        </w:rPr>
        <w:t>2014 (4) SA 474 (CC).</w:t>
      </w:r>
    </w:p>
  </w:footnote>
  <w:footnote w:id="12">
    <w:p w14:paraId="70F09BC7" w14:textId="77777777" w:rsidR="00B77F0E" w:rsidRPr="006D08FC" w:rsidRDefault="00B77F0E" w:rsidP="006D08FC">
      <w:pPr>
        <w:pStyle w:val="FootnoteText"/>
        <w:spacing w:line="360" w:lineRule="auto"/>
        <w:rPr>
          <w:rFonts w:ascii="Arial" w:hAnsi="Arial" w:cs="Arial"/>
          <w:sz w:val="22"/>
          <w:szCs w:val="22"/>
        </w:rPr>
      </w:pPr>
      <w:r w:rsidRPr="006D08FC">
        <w:rPr>
          <w:rStyle w:val="FootnoteReference"/>
          <w:rFonts w:ascii="Arial" w:hAnsi="Arial" w:cs="Arial"/>
          <w:sz w:val="22"/>
          <w:szCs w:val="22"/>
        </w:rPr>
        <w:footnoteRef/>
      </w:r>
      <w:r w:rsidRPr="006D08FC">
        <w:rPr>
          <w:rFonts w:ascii="Arial" w:hAnsi="Arial" w:cs="Arial"/>
          <w:sz w:val="22"/>
          <w:szCs w:val="22"/>
        </w:rPr>
        <w:t xml:space="preserve"> (470/2020) [2021] ZASCA 99 (09 July 2021) at paragraph [49].</w:t>
      </w:r>
    </w:p>
  </w:footnote>
  <w:footnote w:id="13">
    <w:p w14:paraId="3288383D" w14:textId="32247209" w:rsidR="000E4E63" w:rsidRPr="00B36AE6" w:rsidRDefault="000E4E63" w:rsidP="00B36AE6">
      <w:pPr>
        <w:pStyle w:val="FootnoteText"/>
        <w:spacing w:line="360" w:lineRule="auto"/>
        <w:rPr>
          <w:rFonts w:ascii="Arial" w:hAnsi="Arial" w:cs="Arial"/>
          <w:sz w:val="22"/>
          <w:szCs w:val="22"/>
          <w:lang w:val="en-US"/>
        </w:rPr>
      </w:pPr>
      <w:r w:rsidRPr="00B36AE6">
        <w:rPr>
          <w:rStyle w:val="FootnoteReference"/>
          <w:rFonts w:ascii="Arial" w:hAnsi="Arial" w:cs="Arial"/>
          <w:sz w:val="22"/>
          <w:szCs w:val="22"/>
        </w:rPr>
        <w:footnoteRef/>
      </w:r>
      <w:r w:rsidRPr="00B36AE6">
        <w:rPr>
          <w:rFonts w:ascii="Arial" w:hAnsi="Arial" w:cs="Arial"/>
          <w:sz w:val="22"/>
          <w:szCs w:val="22"/>
        </w:rPr>
        <w:t xml:space="preserve"> </w:t>
      </w:r>
      <w:r w:rsidRPr="00B36AE6">
        <w:rPr>
          <w:rFonts w:ascii="Arial" w:hAnsi="Arial" w:cs="Arial"/>
          <w:sz w:val="22"/>
          <w:szCs w:val="22"/>
          <w:lang w:val="en-US"/>
        </w:rPr>
        <w:t>As amended by section 4 of the Administration of Estates Amendment Act 86 of 1983.</w:t>
      </w:r>
    </w:p>
  </w:footnote>
  <w:footnote w:id="14">
    <w:p w14:paraId="3B66CF81" w14:textId="7EEACCB7" w:rsidR="000E4E63" w:rsidRPr="00B36AE6" w:rsidRDefault="000E4E63" w:rsidP="00B36AE6">
      <w:pPr>
        <w:pStyle w:val="FootnoteText"/>
        <w:spacing w:line="360" w:lineRule="auto"/>
        <w:rPr>
          <w:rFonts w:ascii="Arial" w:hAnsi="Arial" w:cs="Arial"/>
          <w:sz w:val="22"/>
          <w:szCs w:val="22"/>
          <w:lang w:val="en-US"/>
        </w:rPr>
      </w:pPr>
      <w:r w:rsidRPr="00B36AE6">
        <w:rPr>
          <w:rStyle w:val="FootnoteReference"/>
          <w:rFonts w:ascii="Arial" w:hAnsi="Arial" w:cs="Arial"/>
          <w:sz w:val="22"/>
          <w:szCs w:val="22"/>
        </w:rPr>
        <w:footnoteRef/>
      </w:r>
      <w:r w:rsidRPr="00B36AE6">
        <w:rPr>
          <w:rFonts w:ascii="Arial" w:hAnsi="Arial" w:cs="Arial"/>
          <w:sz w:val="22"/>
          <w:szCs w:val="22"/>
        </w:rPr>
        <w:t xml:space="preserve"> </w:t>
      </w:r>
      <w:r w:rsidR="00B36AE6" w:rsidRPr="00B36AE6">
        <w:rPr>
          <w:rFonts w:ascii="Arial" w:hAnsi="Arial" w:cs="Arial"/>
          <w:i/>
          <w:iCs/>
          <w:sz w:val="22"/>
          <w:szCs w:val="22"/>
        </w:rPr>
        <w:t xml:space="preserve">Meyerowitz on Administration of Estates and Their Taxation, </w:t>
      </w:r>
      <w:r w:rsidR="00B36AE6" w:rsidRPr="00B36AE6">
        <w:rPr>
          <w:rFonts w:ascii="Arial" w:hAnsi="Arial" w:cs="Arial"/>
          <w:sz w:val="22"/>
          <w:szCs w:val="22"/>
        </w:rPr>
        <w:t>P.H. Cilliers, Juta, 2023.</w:t>
      </w:r>
    </w:p>
  </w:footnote>
  <w:footnote w:id="15">
    <w:p w14:paraId="4C6386C4" w14:textId="77777777" w:rsidR="005E1F88" w:rsidRPr="00C41404" w:rsidRDefault="005E1F88" w:rsidP="00C41404">
      <w:pPr>
        <w:pStyle w:val="FootnoteText"/>
        <w:spacing w:line="360" w:lineRule="auto"/>
        <w:jc w:val="both"/>
        <w:rPr>
          <w:rFonts w:ascii="Arial" w:hAnsi="Arial" w:cs="Arial"/>
          <w:sz w:val="22"/>
          <w:szCs w:val="22"/>
        </w:rPr>
      </w:pPr>
      <w:r w:rsidRPr="00B54532">
        <w:rPr>
          <w:rStyle w:val="FootnoteReference"/>
          <w:rFonts w:ascii="Arial" w:hAnsi="Arial" w:cs="Arial"/>
        </w:rPr>
        <w:footnoteRef/>
      </w:r>
      <w:r w:rsidRPr="00B54532">
        <w:rPr>
          <w:rFonts w:ascii="Arial" w:hAnsi="Arial" w:cs="Arial"/>
        </w:rPr>
        <w:t xml:space="preserve"> </w:t>
      </w:r>
      <w:r w:rsidRPr="00B54532">
        <w:rPr>
          <w:rFonts w:ascii="Arial" w:hAnsi="Arial" w:cs="Arial"/>
          <w:i/>
          <w:iCs/>
        </w:rPr>
        <w:t xml:space="preserve">Allpay Consolidated Investment Holdings (Pty) Ltd and Others v Chief Executive Officer of the </w:t>
      </w:r>
      <w:r w:rsidRPr="00C41404">
        <w:rPr>
          <w:rFonts w:ascii="Arial" w:hAnsi="Arial" w:cs="Arial"/>
          <w:i/>
          <w:iCs/>
          <w:sz w:val="22"/>
          <w:szCs w:val="22"/>
        </w:rPr>
        <w:t xml:space="preserve">South African Social Security Agency and Others </w:t>
      </w:r>
      <w:r w:rsidRPr="00C41404">
        <w:rPr>
          <w:rFonts w:ascii="Arial" w:hAnsi="Arial" w:cs="Arial"/>
          <w:sz w:val="22"/>
          <w:szCs w:val="22"/>
        </w:rPr>
        <w:t>ZACC 42; 2014 (1) SA 604 (CC) at para 25.</w:t>
      </w:r>
    </w:p>
  </w:footnote>
  <w:footnote w:id="16">
    <w:p w14:paraId="39224995" w14:textId="14BC71E9" w:rsidR="00C41404" w:rsidRPr="00C41404" w:rsidRDefault="00C41404" w:rsidP="00C41404">
      <w:pPr>
        <w:pStyle w:val="FootnoteText"/>
        <w:spacing w:line="360" w:lineRule="auto"/>
        <w:jc w:val="both"/>
        <w:rPr>
          <w:rFonts w:ascii="Arial" w:hAnsi="Arial" w:cs="Arial"/>
          <w:sz w:val="22"/>
          <w:szCs w:val="22"/>
          <w:lang w:val="en-US"/>
        </w:rPr>
      </w:pPr>
      <w:r w:rsidRPr="00C41404">
        <w:rPr>
          <w:rStyle w:val="FootnoteReference"/>
          <w:rFonts w:ascii="Arial" w:hAnsi="Arial" w:cs="Arial"/>
          <w:sz w:val="22"/>
          <w:szCs w:val="22"/>
        </w:rPr>
        <w:footnoteRef/>
      </w:r>
      <w:r w:rsidRPr="00C41404">
        <w:rPr>
          <w:rFonts w:ascii="Arial" w:hAnsi="Arial" w:cs="Arial"/>
          <w:sz w:val="22"/>
          <w:szCs w:val="22"/>
        </w:rPr>
        <w:t xml:space="preserve"> </w:t>
      </w:r>
      <w:r w:rsidRPr="00C41404">
        <w:rPr>
          <w:rFonts w:ascii="Arial" w:hAnsi="Arial" w:cs="Arial"/>
          <w:sz w:val="22"/>
          <w:szCs w:val="22"/>
          <w:lang w:val="en-US"/>
        </w:rPr>
        <w:t xml:space="preserve">Insofar as the respondents rely on the alleged fraud on behalf of the applicant, in utilising estate monies, this of course, is not only insufficient to found a basis </w:t>
      </w:r>
      <w:r w:rsidR="007F7F9E">
        <w:rPr>
          <w:rFonts w:ascii="Arial" w:hAnsi="Arial" w:cs="Arial"/>
          <w:sz w:val="22"/>
          <w:szCs w:val="22"/>
          <w:lang w:val="en-US"/>
        </w:rPr>
        <w:t xml:space="preserve">to review and set aside </w:t>
      </w:r>
      <w:r w:rsidRPr="00C41404">
        <w:rPr>
          <w:rFonts w:ascii="Arial" w:hAnsi="Arial" w:cs="Arial"/>
          <w:sz w:val="22"/>
          <w:szCs w:val="22"/>
          <w:lang w:val="en-US"/>
        </w:rPr>
        <w:t>the assistant master’s decision to appoint the applicant as an executor, but it is undisputed on the papers that the NPA has declined to prosecute the applicant as there are no reasonable prospects of success in pursuing the matter.  Moreover, I am satisfied that the issue pertaining to the utili</w:t>
      </w:r>
      <w:r>
        <w:rPr>
          <w:rFonts w:ascii="Arial" w:hAnsi="Arial" w:cs="Arial"/>
          <w:sz w:val="22"/>
          <w:szCs w:val="22"/>
          <w:lang w:val="en-US"/>
        </w:rPr>
        <w:t>s</w:t>
      </w:r>
      <w:r w:rsidRPr="00C41404">
        <w:rPr>
          <w:rFonts w:ascii="Arial" w:hAnsi="Arial" w:cs="Arial"/>
          <w:sz w:val="22"/>
          <w:szCs w:val="22"/>
          <w:lang w:val="en-US"/>
        </w:rPr>
        <w:t>ation of the funds has been properly</w:t>
      </w:r>
      <w:r>
        <w:rPr>
          <w:rFonts w:ascii="Arial" w:hAnsi="Arial" w:cs="Arial"/>
          <w:sz w:val="22"/>
          <w:szCs w:val="22"/>
          <w:lang w:val="en-US"/>
        </w:rPr>
        <w:t xml:space="preserve"> explained by the applicant</w:t>
      </w:r>
      <w:r w:rsidRPr="00C41404">
        <w:rPr>
          <w:rFonts w:ascii="Arial" w:hAnsi="Arial" w:cs="Arial"/>
          <w:sz w:val="22"/>
          <w:szCs w:val="22"/>
          <w:lang w:val="en-US"/>
        </w:rPr>
        <w:t xml:space="preserve"> on the papers before court, with specific reference to the minute of the meeting during October 20</w:t>
      </w:r>
      <w:r w:rsidR="00A44089">
        <w:rPr>
          <w:rFonts w:ascii="Arial" w:hAnsi="Arial" w:cs="Arial"/>
          <w:sz w:val="22"/>
          <w:szCs w:val="22"/>
          <w:lang w:val="en-US"/>
        </w:rPr>
        <w:t>19</w:t>
      </w:r>
      <w:r w:rsidRPr="00C41404">
        <w:rPr>
          <w:rFonts w:ascii="Arial" w:hAnsi="Arial" w:cs="Arial"/>
          <w:sz w:val="22"/>
          <w:szCs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CAF8615" w14:textId="77777777" w:rsidR="00173B11" w:rsidRDefault="00173B1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F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FF9">
          <w:rPr>
            <w:b/>
            <w:bCs/>
            <w:noProof/>
          </w:rPr>
          <w:t>17</w:t>
        </w:r>
        <w:r>
          <w:rPr>
            <w:b/>
            <w:bCs/>
            <w:sz w:val="24"/>
            <w:szCs w:val="24"/>
          </w:rPr>
          <w:fldChar w:fldCharType="end"/>
        </w:r>
      </w:p>
    </w:sdtContent>
  </w:sdt>
  <w:p w14:paraId="0F226C95" w14:textId="77777777" w:rsidR="00173B11" w:rsidRDefault="00173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C4A"/>
    <w:multiLevelType w:val="hybridMultilevel"/>
    <w:tmpl w:val="5E7E606A"/>
    <w:lvl w:ilvl="0" w:tplc="33CCAAF0">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2D2FFE"/>
    <w:multiLevelType w:val="singleLevel"/>
    <w:tmpl w:val="6736E2E0"/>
    <w:lvl w:ilvl="0">
      <w:start w:val="1"/>
      <w:numFmt w:val="decimal"/>
      <w:lvlText w:val="[%1]"/>
      <w:lvlJc w:val="left"/>
      <w:pPr>
        <w:ind w:left="360" w:hanging="360"/>
      </w:pPr>
      <w:rPr>
        <w:rFonts w:hint="default"/>
        <w:sz w:val="24"/>
      </w:rPr>
    </w:lvl>
  </w:abstractNum>
  <w:abstractNum w:abstractNumId="3">
    <w:nsid w:val="6DD42062"/>
    <w:multiLevelType w:val="hybridMultilevel"/>
    <w:tmpl w:val="71984A12"/>
    <w:lvl w:ilvl="0" w:tplc="266075E6">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A2"/>
    <w:rsid w:val="00003A8F"/>
    <w:rsid w:val="000053B4"/>
    <w:rsid w:val="0003076C"/>
    <w:rsid w:val="00055A1E"/>
    <w:rsid w:val="000762AF"/>
    <w:rsid w:val="000B4471"/>
    <w:rsid w:val="000D1038"/>
    <w:rsid w:val="000D29E7"/>
    <w:rsid w:val="000D2B2A"/>
    <w:rsid w:val="000E2436"/>
    <w:rsid w:val="000E4E63"/>
    <w:rsid w:val="000F257F"/>
    <w:rsid w:val="0011125A"/>
    <w:rsid w:val="00115B2A"/>
    <w:rsid w:val="0012401B"/>
    <w:rsid w:val="00125437"/>
    <w:rsid w:val="001332C7"/>
    <w:rsid w:val="00137E42"/>
    <w:rsid w:val="001573E8"/>
    <w:rsid w:val="00162D91"/>
    <w:rsid w:val="00173B11"/>
    <w:rsid w:val="00185A2D"/>
    <w:rsid w:val="001A3629"/>
    <w:rsid w:val="001B4AD1"/>
    <w:rsid w:val="001B53FC"/>
    <w:rsid w:val="001B7156"/>
    <w:rsid w:val="001D206C"/>
    <w:rsid w:val="001D463B"/>
    <w:rsid w:val="001F47F4"/>
    <w:rsid w:val="00231D6D"/>
    <w:rsid w:val="00266A99"/>
    <w:rsid w:val="00276994"/>
    <w:rsid w:val="00282AA3"/>
    <w:rsid w:val="00284201"/>
    <w:rsid w:val="00284DD8"/>
    <w:rsid w:val="00291439"/>
    <w:rsid w:val="002A4FF9"/>
    <w:rsid w:val="002B0FBC"/>
    <w:rsid w:val="002C0F32"/>
    <w:rsid w:val="002C7E25"/>
    <w:rsid w:val="00304E93"/>
    <w:rsid w:val="00336EF0"/>
    <w:rsid w:val="00350118"/>
    <w:rsid w:val="00366C57"/>
    <w:rsid w:val="0037743B"/>
    <w:rsid w:val="00386498"/>
    <w:rsid w:val="00395C1C"/>
    <w:rsid w:val="003A787E"/>
    <w:rsid w:val="003B7C4F"/>
    <w:rsid w:val="003E2688"/>
    <w:rsid w:val="003E3314"/>
    <w:rsid w:val="003F133E"/>
    <w:rsid w:val="00412D12"/>
    <w:rsid w:val="004227B0"/>
    <w:rsid w:val="004504C6"/>
    <w:rsid w:val="004629DD"/>
    <w:rsid w:val="004704EF"/>
    <w:rsid w:val="0048070F"/>
    <w:rsid w:val="004E5F38"/>
    <w:rsid w:val="004E6F55"/>
    <w:rsid w:val="004F7799"/>
    <w:rsid w:val="005211B3"/>
    <w:rsid w:val="005245DC"/>
    <w:rsid w:val="0052770B"/>
    <w:rsid w:val="00537EC8"/>
    <w:rsid w:val="00561DE9"/>
    <w:rsid w:val="00564C18"/>
    <w:rsid w:val="0056524D"/>
    <w:rsid w:val="0059596B"/>
    <w:rsid w:val="005C37BA"/>
    <w:rsid w:val="005E1F88"/>
    <w:rsid w:val="005F3AC0"/>
    <w:rsid w:val="00613094"/>
    <w:rsid w:val="006304EF"/>
    <w:rsid w:val="006431E7"/>
    <w:rsid w:val="00647A96"/>
    <w:rsid w:val="006A5E21"/>
    <w:rsid w:val="006C7C64"/>
    <w:rsid w:val="006D08FC"/>
    <w:rsid w:val="006D0A50"/>
    <w:rsid w:val="006E73F4"/>
    <w:rsid w:val="007112CC"/>
    <w:rsid w:val="00723291"/>
    <w:rsid w:val="00770D06"/>
    <w:rsid w:val="007A1C9B"/>
    <w:rsid w:val="007A1F84"/>
    <w:rsid w:val="007C6A3E"/>
    <w:rsid w:val="007D15AB"/>
    <w:rsid w:val="007E5ACB"/>
    <w:rsid w:val="007F7F9E"/>
    <w:rsid w:val="00814708"/>
    <w:rsid w:val="008155FE"/>
    <w:rsid w:val="00817D42"/>
    <w:rsid w:val="008304AC"/>
    <w:rsid w:val="008829BC"/>
    <w:rsid w:val="008A1B75"/>
    <w:rsid w:val="008A3046"/>
    <w:rsid w:val="008C76A2"/>
    <w:rsid w:val="008E2544"/>
    <w:rsid w:val="008F31F3"/>
    <w:rsid w:val="00926817"/>
    <w:rsid w:val="0096414D"/>
    <w:rsid w:val="00975E2D"/>
    <w:rsid w:val="009A3158"/>
    <w:rsid w:val="009A3459"/>
    <w:rsid w:val="009D2942"/>
    <w:rsid w:val="009D2BD0"/>
    <w:rsid w:val="00A036D6"/>
    <w:rsid w:val="00A366A8"/>
    <w:rsid w:val="00A36BAD"/>
    <w:rsid w:val="00A37553"/>
    <w:rsid w:val="00A44089"/>
    <w:rsid w:val="00A513A8"/>
    <w:rsid w:val="00A63F27"/>
    <w:rsid w:val="00AB198A"/>
    <w:rsid w:val="00AC4308"/>
    <w:rsid w:val="00B14704"/>
    <w:rsid w:val="00B36AE6"/>
    <w:rsid w:val="00B45DD1"/>
    <w:rsid w:val="00B644A4"/>
    <w:rsid w:val="00B77F0E"/>
    <w:rsid w:val="00BA083D"/>
    <w:rsid w:val="00BA53BB"/>
    <w:rsid w:val="00BA5FE9"/>
    <w:rsid w:val="00BE0E7E"/>
    <w:rsid w:val="00C04AD9"/>
    <w:rsid w:val="00C04E03"/>
    <w:rsid w:val="00C2009F"/>
    <w:rsid w:val="00C37C05"/>
    <w:rsid w:val="00C41404"/>
    <w:rsid w:val="00C6365D"/>
    <w:rsid w:val="00C74314"/>
    <w:rsid w:val="00C750EC"/>
    <w:rsid w:val="00C95444"/>
    <w:rsid w:val="00C96F7F"/>
    <w:rsid w:val="00CB4B96"/>
    <w:rsid w:val="00CC5FDC"/>
    <w:rsid w:val="00CD6ADF"/>
    <w:rsid w:val="00CF170C"/>
    <w:rsid w:val="00CF28FA"/>
    <w:rsid w:val="00CF306D"/>
    <w:rsid w:val="00D01E11"/>
    <w:rsid w:val="00D05253"/>
    <w:rsid w:val="00D9650D"/>
    <w:rsid w:val="00DA7D35"/>
    <w:rsid w:val="00DB157A"/>
    <w:rsid w:val="00DD0581"/>
    <w:rsid w:val="00DE2625"/>
    <w:rsid w:val="00DE3771"/>
    <w:rsid w:val="00DF3C5B"/>
    <w:rsid w:val="00DF59F2"/>
    <w:rsid w:val="00E07015"/>
    <w:rsid w:val="00E10E5B"/>
    <w:rsid w:val="00E16CE6"/>
    <w:rsid w:val="00E22C31"/>
    <w:rsid w:val="00E27867"/>
    <w:rsid w:val="00E426E2"/>
    <w:rsid w:val="00E43032"/>
    <w:rsid w:val="00E54825"/>
    <w:rsid w:val="00E75930"/>
    <w:rsid w:val="00E94B55"/>
    <w:rsid w:val="00EF3F12"/>
    <w:rsid w:val="00F01C3B"/>
    <w:rsid w:val="00F147AE"/>
    <w:rsid w:val="00F40D2A"/>
    <w:rsid w:val="00F419C5"/>
    <w:rsid w:val="00F43784"/>
    <w:rsid w:val="00F80316"/>
    <w:rsid w:val="00F81498"/>
    <w:rsid w:val="00F85D77"/>
    <w:rsid w:val="00F92F4F"/>
    <w:rsid w:val="00FD2F48"/>
    <w:rsid w:val="00FE0BB1"/>
    <w:rsid w:val="00FE2E32"/>
    <w:rsid w:val="00FE7F93"/>
    <w:rsid w:val="00FF35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0EA"/>
  <w15:chartTrackingRefBased/>
  <w15:docId w15:val="{D50C9552-F4CB-484A-9218-9B34E475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A2"/>
    <w:pPr>
      <w:spacing w:after="200" w:line="276" w:lineRule="auto"/>
    </w:pPr>
  </w:style>
  <w:style w:type="paragraph" w:styleId="Heading2">
    <w:name w:val="heading 2"/>
    <w:basedOn w:val="Normal"/>
    <w:link w:val="Heading2Char"/>
    <w:uiPriority w:val="9"/>
    <w:qFormat/>
    <w:rsid w:val="00D01E1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1 Char1 Char Char,Footnote Text Char Char Char1 Char1 Char Char,Footnote Text Char1 Char"/>
    <w:basedOn w:val="Normal"/>
    <w:link w:val="FootnoteTextChar"/>
    <w:uiPriority w:val="99"/>
    <w:unhideWhenUsed/>
    <w:rsid w:val="008C76A2"/>
    <w:pPr>
      <w:spacing w:after="0" w:line="240" w:lineRule="auto"/>
    </w:pPr>
    <w:rPr>
      <w:sz w:val="20"/>
      <w:szCs w:val="20"/>
    </w:rPr>
  </w:style>
  <w:style w:type="character" w:customStyle="1" w:styleId="FootnoteTextChar">
    <w:name w:val="Footnote Text Char"/>
    <w:aliases w:val="Footnote Text Char1 Char1,Footnote Text Char Char Char,Footnote Text Char1 Char Char Char,Footnote Text Char Char Char Char Char,Footnote Text Char1 Char1 Char1 Char Char Char,Footnote Text Char Char Char1 Char1 Char Char Char"/>
    <w:basedOn w:val="DefaultParagraphFont"/>
    <w:link w:val="FootnoteText"/>
    <w:uiPriority w:val="99"/>
    <w:rsid w:val="008C76A2"/>
    <w:rPr>
      <w:sz w:val="20"/>
      <w:szCs w:val="20"/>
    </w:rPr>
  </w:style>
  <w:style w:type="character" w:styleId="FootnoteReference">
    <w:name w:val="footnote reference"/>
    <w:basedOn w:val="DefaultParagraphFont"/>
    <w:uiPriority w:val="99"/>
    <w:unhideWhenUsed/>
    <w:rsid w:val="008C76A2"/>
    <w:rPr>
      <w:vertAlign w:val="superscript"/>
    </w:rPr>
  </w:style>
  <w:style w:type="paragraph" w:styleId="ListParagraph">
    <w:name w:val="List Paragraph"/>
    <w:basedOn w:val="Normal"/>
    <w:link w:val="ListParagraphChar"/>
    <w:uiPriority w:val="34"/>
    <w:qFormat/>
    <w:rsid w:val="008C76A2"/>
    <w:pPr>
      <w:ind w:left="720"/>
      <w:contextualSpacing/>
    </w:pPr>
  </w:style>
  <w:style w:type="paragraph" w:customStyle="1" w:styleId="GW13">
    <w:name w:val="GW1.3"/>
    <w:basedOn w:val="Normal"/>
    <w:rsid w:val="008C76A2"/>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8C76A2"/>
  </w:style>
  <w:style w:type="paragraph" w:styleId="NormalWeb">
    <w:name w:val="Normal (Web)"/>
    <w:basedOn w:val="Normal"/>
    <w:uiPriority w:val="99"/>
    <w:unhideWhenUsed/>
    <w:rsid w:val="00137E4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D01E11"/>
    <w:rPr>
      <w:rFonts w:ascii="Times New Roman" w:eastAsia="Times New Roman" w:hAnsi="Times New Roman" w:cs="Times New Roman"/>
      <w:b/>
      <w:bCs/>
      <w:sz w:val="36"/>
      <w:szCs w:val="36"/>
      <w:lang w:eastAsia="en-ZA"/>
    </w:rPr>
  </w:style>
  <w:style w:type="paragraph" w:customStyle="1" w:styleId="western">
    <w:name w:val="western"/>
    <w:basedOn w:val="Normal"/>
    <w:rsid w:val="00B77F0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5E1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F88"/>
  </w:style>
  <w:style w:type="character" w:styleId="Hyperlink">
    <w:name w:val="Hyperlink"/>
    <w:basedOn w:val="DefaultParagraphFont"/>
    <w:uiPriority w:val="99"/>
    <w:unhideWhenUsed/>
    <w:rsid w:val="00DF59F2"/>
    <w:rPr>
      <w:color w:val="0563C1" w:themeColor="hyperlink"/>
      <w:u w:val="single"/>
    </w:rPr>
  </w:style>
  <w:style w:type="paragraph" w:styleId="Header">
    <w:name w:val="header"/>
    <w:basedOn w:val="Normal"/>
    <w:link w:val="HeaderChar"/>
    <w:uiPriority w:val="99"/>
    <w:unhideWhenUsed/>
    <w:rsid w:val="00173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52541">
      <w:bodyDiv w:val="1"/>
      <w:marLeft w:val="0"/>
      <w:marRight w:val="0"/>
      <w:marTop w:val="0"/>
      <w:marBottom w:val="0"/>
      <w:divBdr>
        <w:top w:val="none" w:sz="0" w:space="0" w:color="auto"/>
        <w:left w:val="none" w:sz="0" w:space="0" w:color="auto"/>
        <w:bottom w:val="none" w:sz="0" w:space="0" w:color="auto"/>
        <w:right w:val="none" w:sz="0" w:space="0" w:color="auto"/>
      </w:divBdr>
    </w:div>
    <w:div w:id="21385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97FF-1978-4FE9-8379-501C1A93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2023-09-14T06:47:00Z</cp:lastPrinted>
  <dcterms:created xsi:type="dcterms:W3CDTF">2023-09-18T07:02:00Z</dcterms:created>
  <dcterms:modified xsi:type="dcterms:W3CDTF">2023-09-18T07:03:00Z</dcterms:modified>
</cp:coreProperties>
</file>