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24A07" w14:textId="77777777" w:rsidR="00987737" w:rsidRPr="00987737" w:rsidRDefault="00987737" w:rsidP="00987737">
      <w:pPr>
        <w:spacing w:after="0" w:line="360" w:lineRule="auto"/>
        <w:jc w:val="center"/>
        <w:rPr>
          <w:rFonts w:ascii="Arial" w:eastAsia="Calibri" w:hAnsi="Arial" w:cs="Arial"/>
          <w:color w:val="000000"/>
          <w:kern w:val="0"/>
          <w:sz w:val="24"/>
          <w:szCs w:val="24"/>
          <w14:ligatures w14:val="none"/>
        </w:rPr>
      </w:pPr>
      <w:bookmarkStart w:id="0" w:name="_GoBack"/>
      <w:bookmarkEnd w:id="0"/>
      <w:r w:rsidRPr="00987737">
        <w:rPr>
          <w:rFonts w:ascii="Arial" w:eastAsia="Calibri" w:hAnsi="Arial" w:cs="Arial"/>
          <w:noProof/>
          <w:color w:val="000000"/>
          <w:kern w:val="0"/>
          <w:sz w:val="24"/>
          <w:szCs w:val="24"/>
          <w:lang w:val="en-ZA" w:eastAsia="en-ZA"/>
          <w14:ligatures w14:val="none"/>
        </w:rPr>
        <w:drawing>
          <wp:inline distT="0" distB="0" distL="0" distR="0" wp14:anchorId="6E5B506E" wp14:editId="402976BC">
            <wp:extent cx="1311275" cy="1274445"/>
            <wp:effectExtent l="0" t="0" r="3175" b="1905"/>
            <wp:docPr id="515929968" name="Picture 515929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275" cy="1274445"/>
                    </a:xfrm>
                    <a:prstGeom prst="rect">
                      <a:avLst/>
                    </a:prstGeom>
                    <a:noFill/>
                  </pic:spPr>
                </pic:pic>
              </a:graphicData>
            </a:graphic>
          </wp:inline>
        </w:drawing>
      </w:r>
    </w:p>
    <w:p w14:paraId="5E8EDF15" w14:textId="77777777" w:rsidR="00987737" w:rsidRPr="00C87A55" w:rsidRDefault="00987737" w:rsidP="00987737">
      <w:pPr>
        <w:spacing w:after="0" w:line="360" w:lineRule="auto"/>
        <w:jc w:val="center"/>
        <w:rPr>
          <w:rFonts w:ascii="Arial" w:eastAsia="Calibri" w:hAnsi="Arial" w:cs="Arial"/>
          <w:b/>
          <w:bCs/>
          <w:color w:val="000000"/>
          <w:kern w:val="0"/>
          <w:sz w:val="24"/>
          <w:szCs w:val="24"/>
          <w14:ligatures w14:val="none"/>
        </w:rPr>
      </w:pPr>
      <w:r w:rsidRPr="00C87A55">
        <w:rPr>
          <w:rFonts w:ascii="Arial" w:eastAsia="Calibri" w:hAnsi="Arial" w:cs="Arial"/>
          <w:b/>
          <w:bCs/>
          <w:color w:val="000000"/>
          <w:kern w:val="0"/>
          <w:sz w:val="24"/>
          <w:szCs w:val="24"/>
          <w14:ligatures w14:val="none"/>
        </w:rPr>
        <w:t>IN THE HIGH COURT OF SOUTH AFRICA</w:t>
      </w:r>
    </w:p>
    <w:p w14:paraId="357B6F1A" w14:textId="00AB7792" w:rsidR="00987737" w:rsidRPr="00C87A55" w:rsidRDefault="00987737" w:rsidP="00C970B5">
      <w:pPr>
        <w:jc w:val="center"/>
        <w:rPr>
          <w:rFonts w:ascii="Arial" w:hAnsi="Arial" w:cs="Arial"/>
          <w:sz w:val="24"/>
          <w:szCs w:val="24"/>
          <w:u w:val="single"/>
        </w:rPr>
      </w:pPr>
      <w:r w:rsidRPr="00C87A55">
        <w:rPr>
          <w:rFonts w:ascii="Arial" w:eastAsia="Calibri" w:hAnsi="Arial" w:cs="Arial"/>
          <w:b/>
          <w:bCs/>
          <w:color w:val="000000"/>
          <w:kern w:val="0"/>
          <w:sz w:val="24"/>
          <w:szCs w:val="24"/>
          <w14:ligatures w14:val="none"/>
        </w:rPr>
        <w:t>[EASTERN CAPE DIVISION, MTHATHA]</w:t>
      </w:r>
    </w:p>
    <w:p w14:paraId="7E7CA12F" w14:textId="77777777" w:rsidR="00987737" w:rsidRPr="00C87A55" w:rsidRDefault="00987737" w:rsidP="00987737">
      <w:pPr>
        <w:jc w:val="right"/>
        <w:rPr>
          <w:rFonts w:ascii="Arial" w:eastAsia="Times New Roman" w:hAnsi="Arial" w:cs="Arial"/>
          <w:b/>
          <w:kern w:val="0"/>
          <w:sz w:val="24"/>
          <w:szCs w:val="24"/>
          <w:lang w:val="en-ZA" w:eastAsia="en-ZA"/>
          <w14:ligatures w14:val="none"/>
        </w:rPr>
      </w:pPr>
    </w:p>
    <w:p w14:paraId="7C455906" w14:textId="4C5B26C8" w:rsidR="00987737" w:rsidRPr="00C87A55" w:rsidRDefault="00987737" w:rsidP="00C970B5">
      <w:pPr>
        <w:jc w:val="right"/>
        <w:rPr>
          <w:rFonts w:ascii="Arial" w:hAnsi="Arial" w:cs="Arial"/>
          <w:b/>
          <w:bCs/>
          <w:sz w:val="24"/>
          <w:szCs w:val="24"/>
        </w:rPr>
      </w:pPr>
      <w:r w:rsidRPr="00C87A55">
        <w:rPr>
          <w:rFonts w:ascii="Arial" w:hAnsi="Arial" w:cs="Arial"/>
          <w:b/>
          <w:bCs/>
          <w:sz w:val="24"/>
          <w:szCs w:val="24"/>
        </w:rPr>
        <w:t>CASE NO: 2792/23</w:t>
      </w:r>
    </w:p>
    <w:tbl>
      <w:tblPr>
        <w:tblW w:w="2580" w:type="dxa"/>
        <w:tblInd w:w="6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1"/>
        <w:gridCol w:w="1319"/>
      </w:tblGrid>
      <w:tr w:rsidR="00987737" w:rsidRPr="00C87A55" w14:paraId="7D6835A8" w14:textId="77777777" w:rsidTr="00C970B5">
        <w:trPr>
          <w:trHeight w:val="542"/>
        </w:trPr>
        <w:tc>
          <w:tcPr>
            <w:tcW w:w="1261" w:type="dxa"/>
          </w:tcPr>
          <w:p w14:paraId="0B7528A7" w14:textId="77777777" w:rsidR="00987737" w:rsidRPr="00C87A55" w:rsidRDefault="00987737" w:rsidP="00987737">
            <w:pPr>
              <w:spacing w:after="0" w:line="240" w:lineRule="auto"/>
              <w:rPr>
                <w:rFonts w:ascii="Arial" w:eastAsia="Times New Roman" w:hAnsi="Arial" w:cs="Arial"/>
                <w:b/>
                <w:kern w:val="0"/>
                <w:sz w:val="20"/>
                <w:szCs w:val="20"/>
                <w:lang w:val="en-ZA" w:eastAsia="en-ZA"/>
                <w14:ligatures w14:val="none"/>
              </w:rPr>
            </w:pPr>
          </w:p>
          <w:p w14:paraId="28A550AE" w14:textId="77777777" w:rsidR="00987737" w:rsidRPr="00C87A55" w:rsidRDefault="00987737" w:rsidP="00987737">
            <w:pPr>
              <w:spacing w:after="0" w:line="240" w:lineRule="auto"/>
              <w:jc w:val="center"/>
              <w:rPr>
                <w:rFonts w:ascii="Arial" w:eastAsia="Times New Roman" w:hAnsi="Arial" w:cs="Arial"/>
                <w:b/>
                <w:kern w:val="0"/>
                <w:sz w:val="20"/>
                <w:szCs w:val="20"/>
                <w:lang w:val="en-ZA" w:eastAsia="en-ZA"/>
                <w14:ligatures w14:val="none"/>
              </w:rPr>
            </w:pPr>
            <w:r w:rsidRPr="00C87A55">
              <w:rPr>
                <w:rFonts w:ascii="Arial" w:eastAsia="Times New Roman" w:hAnsi="Arial" w:cs="Arial"/>
                <w:b/>
                <w:kern w:val="0"/>
                <w:sz w:val="20"/>
                <w:szCs w:val="20"/>
                <w:lang w:val="en-ZA" w:eastAsia="en-ZA"/>
                <w14:ligatures w14:val="none"/>
              </w:rPr>
              <w:t>Reportable</w:t>
            </w:r>
          </w:p>
        </w:tc>
        <w:tc>
          <w:tcPr>
            <w:tcW w:w="1319" w:type="dxa"/>
          </w:tcPr>
          <w:p w14:paraId="6914FE06" w14:textId="77777777" w:rsidR="00987737" w:rsidRPr="00C87A55" w:rsidRDefault="00987737" w:rsidP="00987737">
            <w:pPr>
              <w:spacing w:after="0" w:line="240" w:lineRule="auto"/>
              <w:rPr>
                <w:rFonts w:ascii="Arial" w:eastAsia="Times New Roman" w:hAnsi="Arial" w:cs="Arial"/>
                <w:b/>
                <w:kern w:val="0"/>
                <w:sz w:val="20"/>
                <w:szCs w:val="20"/>
                <w:lang w:val="en-ZA" w:eastAsia="en-ZA"/>
                <w14:ligatures w14:val="none"/>
              </w:rPr>
            </w:pPr>
          </w:p>
          <w:p w14:paraId="65620BB6" w14:textId="77777777" w:rsidR="00987737" w:rsidRPr="00C87A55" w:rsidRDefault="00987737" w:rsidP="00987737">
            <w:pPr>
              <w:spacing w:after="0" w:line="240" w:lineRule="auto"/>
              <w:jc w:val="center"/>
              <w:rPr>
                <w:rFonts w:ascii="Arial" w:eastAsia="Times New Roman" w:hAnsi="Arial" w:cs="Arial"/>
                <w:b/>
                <w:kern w:val="0"/>
                <w:sz w:val="20"/>
                <w:szCs w:val="20"/>
                <w:lang w:val="en-ZA" w:eastAsia="en-ZA"/>
                <w14:ligatures w14:val="none"/>
              </w:rPr>
            </w:pPr>
            <w:r w:rsidRPr="00C87A55">
              <w:rPr>
                <w:rFonts w:ascii="Arial" w:eastAsia="Times New Roman" w:hAnsi="Arial" w:cs="Arial"/>
                <w:b/>
                <w:kern w:val="0"/>
                <w:sz w:val="20"/>
                <w:szCs w:val="20"/>
                <w:lang w:val="en-ZA" w:eastAsia="en-ZA"/>
                <w14:ligatures w14:val="none"/>
              </w:rPr>
              <w:t>Yes / No</w:t>
            </w:r>
          </w:p>
        </w:tc>
      </w:tr>
    </w:tbl>
    <w:p w14:paraId="5B620159" w14:textId="77777777" w:rsidR="00987737" w:rsidRPr="00C87A55" w:rsidRDefault="00987737" w:rsidP="00987737">
      <w:pPr>
        <w:rPr>
          <w:rFonts w:ascii="Arial" w:hAnsi="Arial" w:cs="Arial"/>
          <w:sz w:val="24"/>
          <w:szCs w:val="24"/>
        </w:rPr>
      </w:pPr>
    </w:p>
    <w:p w14:paraId="34A251E7" w14:textId="7E54D5EF" w:rsidR="00987737" w:rsidRPr="00C87A55" w:rsidRDefault="00987737" w:rsidP="00987737">
      <w:pPr>
        <w:rPr>
          <w:rFonts w:ascii="Arial" w:hAnsi="Arial" w:cs="Arial"/>
          <w:sz w:val="24"/>
          <w:szCs w:val="24"/>
        </w:rPr>
      </w:pPr>
      <w:r w:rsidRPr="00C87A55">
        <w:rPr>
          <w:rFonts w:ascii="Arial" w:hAnsi="Arial" w:cs="Arial"/>
          <w:sz w:val="24"/>
          <w:szCs w:val="24"/>
        </w:rPr>
        <w:t>In the matter between:</w:t>
      </w:r>
    </w:p>
    <w:p w14:paraId="522CD133" w14:textId="77777777" w:rsidR="00987737" w:rsidRPr="00C87A55" w:rsidRDefault="00987737" w:rsidP="00987737">
      <w:pPr>
        <w:rPr>
          <w:rFonts w:ascii="Arial" w:hAnsi="Arial" w:cs="Arial"/>
          <w:sz w:val="24"/>
          <w:szCs w:val="24"/>
        </w:rPr>
      </w:pPr>
    </w:p>
    <w:p w14:paraId="1C6279E8" w14:textId="7693591E" w:rsidR="00987737" w:rsidRPr="00C87A55" w:rsidRDefault="00987737" w:rsidP="00987737">
      <w:pPr>
        <w:rPr>
          <w:rFonts w:ascii="Arial" w:hAnsi="Arial" w:cs="Arial"/>
          <w:b/>
          <w:bCs/>
          <w:sz w:val="24"/>
          <w:szCs w:val="24"/>
          <w:lang w:val="en-ZA"/>
        </w:rPr>
      </w:pPr>
      <w:r w:rsidRPr="00C87A55">
        <w:rPr>
          <w:rFonts w:ascii="Arial" w:hAnsi="Arial" w:cs="Arial"/>
          <w:b/>
          <w:bCs/>
          <w:sz w:val="24"/>
          <w:szCs w:val="24"/>
        </w:rPr>
        <w:t>SIMPHIWE KWATSHA</w:t>
      </w:r>
      <w:r w:rsidRPr="00C87A55">
        <w:rPr>
          <w:rFonts w:ascii="Arial" w:hAnsi="Arial" w:cs="Arial"/>
          <w:b/>
          <w:bCs/>
          <w:sz w:val="24"/>
          <w:szCs w:val="24"/>
          <w:lang w:val="en-ZA"/>
        </w:rPr>
        <w:tab/>
        <w:t xml:space="preserve">                                                                       APPLICANT</w:t>
      </w:r>
    </w:p>
    <w:p w14:paraId="08EB6DBC" w14:textId="77777777" w:rsidR="00987737" w:rsidRPr="00C87A55" w:rsidRDefault="00987737" w:rsidP="00987737">
      <w:pPr>
        <w:rPr>
          <w:rFonts w:ascii="Arial" w:hAnsi="Arial" w:cs="Arial"/>
          <w:b/>
          <w:bCs/>
          <w:sz w:val="24"/>
          <w:szCs w:val="24"/>
          <w:lang w:val="en-ZA"/>
        </w:rPr>
      </w:pPr>
    </w:p>
    <w:p w14:paraId="4ADD7E78" w14:textId="72F628F6" w:rsidR="00987737" w:rsidRPr="00C87A55" w:rsidRDefault="00987737" w:rsidP="00987737">
      <w:pPr>
        <w:rPr>
          <w:rFonts w:ascii="Arial" w:hAnsi="Arial" w:cs="Arial"/>
          <w:sz w:val="24"/>
          <w:szCs w:val="24"/>
          <w:lang w:val="en-ZA"/>
        </w:rPr>
      </w:pPr>
      <w:r w:rsidRPr="00C87A55">
        <w:rPr>
          <w:rFonts w:ascii="Arial" w:hAnsi="Arial" w:cs="Arial"/>
          <w:sz w:val="24"/>
          <w:szCs w:val="24"/>
          <w:lang w:val="en-ZA"/>
        </w:rPr>
        <w:t>and</w:t>
      </w:r>
    </w:p>
    <w:p w14:paraId="2E498BC6" w14:textId="77777777" w:rsidR="00987737" w:rsidRPr="00C87A55" w:rsidRDefault="00987737" w:rsidP="00987737">
      <w:pPr>
        <w:rPr>
          <w:rFonts w:ascii="Arial" w:hAnsi="Arial" w:cs="Arial"/>
          <w:b/>
          <w:bCs/>
          <w:sz w:val="24"/>
          <w:szCs w:val="24"/>
          <w:lang w:val="en-ZA"/>
        </w:rPr>
      </w:pPr>
    </w:p>
    <w:p w14:paraId="5683FE06" w14:textId="0ACAC01F" w:rsidR="00987737" w:rsidRPr="00C87A55" w:rsidRDefault="00987737" w:rsidP="00987737">
      <w:pPr>
        <w:rPr>
          <w:rFonts w:ascii="Arial" w:hAnsi="Arial" w:cs="Arial"/>
          <w:b/>
          <w:bCs/>
          <w:sz w:val="24"/>
          <w:szCs w:val="24"/>
          <w:lang w:val="en-ZA"/>
        </w:rPr>
      </w:pPr>
      <w:r w:rsidRPr="00C87A55">
        <w:rPr>
          <w:rFonts w:ascii="Arial" w:hAnsi="Arial" w:cs="Arial"/>
          <w:b/>
          <w:bCs/>
          <w:sz w:val="24"/>
          <w:szCs w:val="24"/>
          <w:lang w:val="en-ZA"/>
        </w:rPr>
        <w:t>MINISTER OF POLICE</w:t>
      </w:r>
      <w:r w:rsidRPr="00C87A55">
        <w:rPr>
          <w:rFonts w:ascii="Arial" w:hAnsi="Arial" w:cs="Arial"/>
          <w:b/>
          <w:bCs/>
          <w:sz w:val="24"/>
          <w:szCs w:val="24"/>
          <w:lang w:val="en-ZA"/>
        </w:rPr>
        <w:tab/>
        <w:t xml:space="preserve">                                                                   RESPONDENT</w:t>
      </w:r>
    </w:p>
    <w:p w14:paraId="1908AB6A" w14:textId="77777777" w:rsidR="00987737" w:rsidRPr="00C87A55" w:rsidRDefault="00987737">
      <w:pPr>
        <w:rPr>
          <w:rFonts w:ascii="Arial" w:hAnsi="Arial" w:cs="Arial"/>
          <w:sz w:val="24"/>
          <w:szCs w:val="24"/>
        </w:rPr>
      </w:pPr>
    </w:p>
    <w:p w14:paraId="62AF76B2" w14:textId="77777777" w:rsidR="00987737" w:rsidRPr="00C87A55" w:rsidRDefault="00987737" w:rsidP="00987737">
      <w:pPr>
        <w:spacing w:after="0" w:line="360" w:lineRule="auto"/>
        <w:jc w:val="both"/>
        <w:rPr>
          <w:rFonts w:ascii="Arial" w:eastAsia="Calibri" w:hAnsi="Arial" w:cs="Arial"/>
          <w:b/>
          <w:bCs/>
          <w:color w:val="000000"/>
          <w:kern w:val="0"/>
          <w:sz w:val="24"/>
          <w:szCs w:val="24"/>
          <w:u w:val="single"/>
          <w14:ligatures w14:val="none"/>
        </w:rPr>
      </w:pPr>
      <w:r w:rsidRPr="00C87A55">
        <w:rPr>
          <w:rFonts w:ascii="Arial" w:eastAsia="Calibri" w:hAnsi="Arial" w:cs="Arial"/>
          <w:b/>
          <w:bCs/>
          <w:color w:val="000000"/>
          <w:kern w:val="0"/>
          <w:sz w:val="24"/>
          <w:szCs w:val="24"/>
          <w:u w:val="single"/>
          <w14:ligatures w14:val="none"/>
        </w:rPr>
        <w:t>___________________________________________________________________</w:t>
      </w:r>
    </w:p>
    <w:p w14:paraId="006988C6" w14:textId="77777777" w:rsidR="00987737" w:rsidRPr="00C87A55" w:rsidRDefault="00987737" w:rsidP="00987737">
      <w:pPr>
        <w:spacing w:after="0" w:line="360" w:lineRule="auto"/>
        <w:jc w:val="center"/>
        <w:rPr>
          <w:rFonts w:ascii="Arial" w:eastAsia="Calibri" w:hAnsi="Arial" w:cs="Arial"/>
          <w:color w:val="000000"/>
          <w:kern w:val="0"/>
          <w:sz w:val="24"/>
          <w:szCs w:val="24"/>
          <w14:ligatures w14:val="none"/>
        </w:rPr>
      </w:pPr>
    </w:p>
    <w:p w14:paraId="6BB0BBF0" w14:textId="77777777" w:rsidR="00987737" w:rsidRPr="00C87A55" w:rsidRDefault="00987737" w:rsidP="00987737">
      <w:pPr>
        <w:spacing w:after="0" w:line="360" w:lineRule="auto"/>
        <w:jc w:val="center"/>
        <w:rPr>
          <w:rFonts w:ascii="Arial" w:eastAsia="Calibri" w:hAnsi="Arial" w:cs="Arial"/>
          <w:b/>
          <w:bCs/>
          <w:color w:val="000000"/>
          <w:kern w:val="0"/>
          <w:sz w:val="24"/>
          <w:szCs w:val="24"/>
          <w14:ligatures w14:val="none"/>
        </w:rPr>
      </w:pPr>
      <w:r w:rsidRPr="00C87A55">
        <w:rPr>
          <w:rFonts w:ascii="Arial" w:eastAsia="Calibri" w:hAnsi="Arial" w:cs="Arial"/>
          <w:b/>
          <w:bCs/>
          <w:color w:val="000000"/>
          <w:kern w:val="0"/>
          <w:sz w:val="24"/>
          <w:szCs w:val="24"/>
          <w14:ligatures w14:val="none"/>
        </w:rPr>
        <w:t xml:space="preserve">JUDGMENT </w:t>
      </w:r>
    </w:p>
    <w:p w14:paraId="7626E63D" w14:textId="77777777" w:rsidR="00987737" w:rsidRPr="00C87A55" w:rsidRDefault="00987737" w:rsidP="00987737">
      <w:pPr>
        <w:spacing w:after="0" w:line="360" w:lineRule="auto"/>
        <w:jc w:val="both"/>
        <w:rPr>
          <w:rFonts w:ascii="Arial" w:eastAsia="Calibri" w:hAnsi="Arial" w:cs="Arial"/>
          <w:b/>
          <w:bCs/>
          <w:color w:val="000000"/>
          <w:kern w:val="0"/>
          <w:sz w:val="24"/>
          <w:szCs w:val="24"/>
          <w:u w:val="single"/>
          <w14:ligatures w14:val="none"/>
        </w:rPr>
      </w:pPr>
      <w:r w:rsidRPr="00C87A55">
        <w:rPr>
          <w:rFonts w:ascii="Arial" w:eastAsia="Calibri" w:hAnsi="Arial" w:cs="Arial"/>
          <w:b/>
          <w:bCs/>
          <w:color w:val="000000"/>
          <w:kern w:val="0"/>
          <w:sz w:val="24"/>
          <w:szCs w:val="24"/>
          <w:u w:val="single"/>
          <w14:ligatures w14:val="none"/>
        </w:rPr>
        <w:t xml:space="preserve">___________________________________________________________________ </w:t>
      </w:r>
    </w:p>
    <w:p w14:paraId="4D5BAAB8" w14:textId="77777777" w:rsidR="00987737" w:rsidRPr="00C87A55" w:rsidRDefault="00987737" w:rsidP="00987737">
      <w:pPr>
        <w:spacing w:after="0" w:line="360" w:lineRule="auto"/>
        <w:ind w:left="720"/>
        <w:contextualSpacing/>
        <w:jc w:val="both"/>
        <w:rPr>
          <w:rFonts w:ascii="Arial" w:eastAsia="Calibri" w:hAnsi="Arial" w:cs="Arial"/>
          <w:color w:val="000000"/>
          <w:kern w:val="0"/>
          <w:sz w:val="24"/>
          <w:szCs w:val="24"/>
          <w14:ligatures w14:val="none"/>
        </w:rPr>
      </w:pPr>
    </w:p>
    <w:p w14:paraId="674F027C" w14:textId="5628526B" w:rsidR="00987737" w:rsidRPr="00C87A55" w:rsidRDefault="00987737" w:rsidP="00987737">
      <w:pPr>
        <w:spacing w:line="480" w:lineRule="auto"/>
        <w:rPr>
          <w:rFonts w:ascii="Arial" w:hAnsi="Arial" w:cs="Arial"/>
          <w:b/>
          <w:bCs/>
          <w:sz w:val="24"/>
          <w:szCs w:val="24"/>
        </w:rPr>
      </w:pPr>
      <w:r w:rsidRPr="00C87A55">
        <w:rPr>
          <w:rFonts w:ascii="Arial" w:hAnsi="Arial" w:cs="Arial"/>
          <w:b/>
          <w:bCs/>
          <w:sz w:val="24"/>
          <w:szCs w:val="24"/>
        </w:rPr>
        <w:t>PAKATI J</w:t>
      </w:r>
    </w:p>
    <w:p w14:paraId="76838C60" w14:textId="77777777" w:rsidR="00987737" w:rsidRPr="00C87A55" w:rsidRDefault="00987737" w:rsidP="00987737">
      <w:pPr>
        <w:spacing w:line="480" w:lineRule="auto"/>
        <w:jc w:val="both"/>
        <w:rPr>
          <w:rFonts w:ascii="Arial" w:hAnsi="Arial" w:cs="Arial"/>
          <w:i/>
          <w:iCs/>
          <w:sz w:val="24"/>
          <w:szCs w:val="24"/>
        </w:rPr>
      </w:pPr>
      <w:r w:rsidRPr="00C87A55">
        <w:rPr>
          <w:rFonts w:ascii="Arial" w:hAnsi="Arial" w:cs="Arial"/>
          <w:i/>
          <w:iCs/>
          <w:sz w:val="24"/>
          <w:szCs w:val="24"/>
        </w:rPr>
        <w:t>Introduction</w:t>
      </w:r>
    </w:p>
    <w:p w14:paraId="0604D3EB" w14:textId="5CA55DFE" w:rsidR="00987737" w:rsidRPr="00C87A55" w:rsidRDefault="00987737" w:rsidP="00C970B5">
      <w:pPr>
        <w:spacing w:line="480" w:lineRule="auto"/>
        <w:jc w:val="both"/>
        <w:rPr>
          <w:rFonts w:ascii="Arial" w:hAnsi="Arial" w:cs="Arial"/>
          <w:sz w:val="24"/>
          <w:szCs w:val="24"/>
        </w:rPr>
      </w:pPr>
      <w:r w:rsidRPr="00C87A55">
        <w:rPr>
          <w:rFonts w:ascii="Arial" w:hAnsi="Arial" w:cs="Arial"/>
          <w:sz w:val="24"/>
          <w:szCs w:val="24"/>
        </w:rPr>
        <w:t>[1]</w:t>
      </w:r>
      <w:r w:rsidRPr="00C87A55">
        <w:rPr>
          <w:rFonts w:ascii="Arial" w:hAnsi="Arial" w:cs="Arial"/>
          <w:sz w:val="24"/>
          <w:szCs w:val="24"/>
        </w:rPr>
        <w:tab/>
        <w:t xml:space="preserve">This is an application brought on an urgent basis for </w:t>
      </w:r>
      <w:r w:rsidRPr="00C87A55">
        <w:rPr>
          <w:rFonts w:ascii="Arial" w:hAnsi="Arial" w:cs="Arial"/>
          <w:i/>
          <w:iCs/>
          <w:sz w:val="24"/>
          <w:szCs w:val="24"/>
        </w:rPr>
        <w:t>mandament van spolie</w:t>
      </w:r>
      <w:r w:rsidRPr="00C87A55">
        <w:rPr>
          <w:rFonts w:ascii="Arial" w:hAnsi="Arial" w:cs="Arial"/>
          <w:sz w:val="24"/>
          <w:szCs w:val="24"/>
        </w:rPr>
        <w:t xml:space="preserve"> by the applicant against the respondent for the return of 70 goats (“the goats”) to his possession. The applicant also seeks an order declaring the seizure of the goats </w:t>
      </w:r>
      <w:r w:rsidRPr="00C87A55">
        <w:rPr>
          <w:rFonts w:ascii="Arial" w:hAnsi="Arial" w:cs="Arial"/>
          <w:sz w:val="24"/>
          <w:szCs w:val="24"/>
        </w:rPr>
        <w:lastRenderedPageBreak/>
        <w:t xml:space="preserve">unlawful and that the respondent be directed to restore the applicant’s peaceful and undisturbed possession of </w:t>
      </w:r>
      <w:r w:rsidR="0092715B" w:rsidRPr="00C87A55">
        <w:rPr>
          <w:rFonts w:ascii="Arial" w:hAnsi="Arial" w:cs="Arial"/>
          <w:sz w:val="24"/>
          <w:szCs w:val="24"/>
        </w:rPr>
        <w:t>same</w:t>
      </w:r>
      <w:r w:rsidRPr="00C87A55">
        <w:rPr>
          <w:rFonts w:ascii="Arial" w:hAnsi="Arial" w:cs="Arial"/>
          <w:sz w:val="24"/>
          <w:szCs w:val="24"/>
        </w:rPr>
        <w:t xml:space="preserve"> within 72 hours of the order. The respondent, as the executive head of the Department of the South African Police Services, is cited on the basis that he is statutorily liable for the conduct of his members.</w:t>
      </w:r>
    </w:p>
    <w:p w14:paraId="02429C1E" w14:textId="77777777" w:rsidR="00987737" w:rsidRPr="00C87A55" w:rsidRDefault="00987737" w:rsidP="00987737">
      <w:pPr>
        <w:spacing w:line="480" w:lineRule="auto"/>
        <w:jc w:val="both"/>
        <w:rPr>
          <w:rFonts w:ascii="Arial" w:hAnsi="Arial" w:cs="Arial"/>
          <w:sz w:val="24"/>
          <w:szCs w:val="24"/>
        </w:rPr>
      </w:pPr>
      <w:r w:rsidRPr="00C87A55">
        <w:rPr>
          <w:rFonts w:ascii="Arial" w:hAnsi="Arial" w:cs="Arial"/>
          <w:sz w:val="24"/>
          <w:szCs w:val="24"/>
        </w:rPr>
        <w:t xml:space="preserve"> </w:t>
      </w:r>
    </w:p>
    <w:p w14:paraId="506BD1C9" w14:textId="77777777" w:rsidR="00987737" w:rsidRPr="00C87A55" w:rsidRDefault="00987737" w:rsidP="00987737">
      <w:pPr>
        <w:spacing w:line="480" w:lineRule="auto"/>
        <w:jc w:val="both"/>
        <w:rPr>
          <w:rFonts w:ascii="Arial" w:hAnsi="Arial" w:cs="Arial"/>
          <w:i/>
          <w:iCs/>
          <w:sz w:val="24"/>
          <w:szCs w:val="24"/>
        </w:rPr>
      </w:pPr>
      <w:r w:rsidRPr="00C87A55">
        <w:rPr>
          <w:rFonts w:ascii="Arial" w:hAnsi="Arial" w:cs="Arial"/>
          <w:i/>
          <w:iCs/>
          <w:sz w:val="24"/>
          <w:szCs w:val="24"/>
        </w:rPr>
        <w:t>Point in limine</w:t>
      </w:r>
    </w:p>
    <w:p w14:paraId="535BF046" w14:textId="75EE8F8C" w:rsidR="00987737" w:rsidRPr="00C87A55" w:rsidRDefault="00987737" w:rsidP="00987737">
      <w:pPr>
        <w:spacing w:line="480" w:lineRule="auto"/>
        <w:jc w:val="both"/>
        <w:rPr>
          <w:rFonts w:ascii="Arial" w:hAnsi="Arial" w:cs="Arial"/>
          <w:sz w:val="24"/>
          <w:szCs w:val="24"/>
        </w:rPr>
      </w:pPr>
      <w:r w:rsidRPr="00C87A55">
        <w:rPr>
          <w:rFonts w:ascii="Arial" w:hAnsi="Arial" w:cs="Arial"/>
          <w:sz w:val="24"/>
          <w:szCs w:val="24"/>
        </w:rPr>
        <w:t>[2]</w:t>
      </w:r>
      <w:r w:rsidRPr="00C87A55">
        <w:rPr>
          <w:rFonts w:ascii="Arial" w:hAnsi="Arial" w:cs="Arial"/>
          <w:sz w:val="24"/>
          <w:szCs w:val="24"/>
        </w:rPr>
        <w:tab/>
        <w:t xml:space="preserve">Mr Mnqandi, on behalf of the respondent, raised a point </w:t>
      </w:r>
      <w:r w:rsidRPr="00C87A55">
        <w:rPr>
          <w:rFonts w:ascii="Arial" w:hAnsi="Arial" w:cs="Arial"/>
          <w:i/>
          <w:iCs/>
          <w:sz w:val="24"/>
          <w:szCs w:val="24"/>
        </w:rPr>
        <w:t>in limine</w:t>
      </w:r>
      <w:r w:rsidRPr="00C87A55">
        <w:rPr>
          <w:rFonts w:ascii="Arial" w:hAnsi="Arial" w:cs="Arial"/>
          <w:sz w:val="24"/>
          <w:szCs w:val="24"/>
        </w:rPr>
        <w:t xml:space="preserve"> of non-joinder of the station commissioner for the first time in his heads of argument. He submitted that the station commissioner is the one in control of the goats and should the court find on behalf of the applicant, </w:t>
      </w:r>
      <w:r w:rsidR="0092715B" w:rsidRPr="00C87A55">
        <w:rPr>
          <w:rFonts w:ascii="Arial" w:hAnsi="Arial" w:cs="Arial"/>
          <w:sz w:val="24"/>
          <w:szCs w:val="24"/>
        </w:rPr>
        <w:t>t</w:t>
      </w:r>
      <w:r w:rsidRPr="00C87A55">
        <w:rPr>
          <w:rFonts w:ascii="Arial" w:hAnsi="Arial" w:cs="Arial"/>
          <w:sz w:val="24"/>
          <w:szCs w:val="24"/>
        </w:rPr>
        <w:t xml:space="preserve">he </w:t>
      </w:r>
      <w:r w:rsidR="0092715B" w:rsidRPr="00C87A55">
        <w:rPr>
          <w:rFonts w:ascii="Arial" w:hAnsi="Arial" w:cs="Arial"/>
          <w:sz w:val="24"/>
          <w:szCs w:val="24"/>
        </w:rPr>
        <w:t xml:space="preserve">station commissioner </w:t>
      </w:r>
      <w:r w:rsidRPr="00C87A55">
        <w:rPr>
          <w:rFonts w:ascii="Arial" w:hAnsi="Arial" w:cs="Arial"/>
          <w:sz w:val="24"/>
          <w:szCs w:val="24"/>
        </w:rPr>
        <w:t>would be the one ordered to return the goats. He submitted further that without the joinder of the station commissioner, the application should fail.</w:t>
      </w:r>
    </w:p>
    <w:p w14:paraId="091D9FA0" w14:textId="77777777" w:rsidR="00987737" w:rsidRPr="00C87A55" w:rsidRDefault="00987737" w:rsidP="00987737">
      <w:pPr>
        <w:spacing w:line="480" w:lineRule="auto"/>
        <w:jc w:val="both"/>
        <w:rPr>
          <w:rFonts w:ascii="Arial" w:hAnsi="Arial" w:cs="Arial"/>
          <w:sz w:val="24"/>
          <w:szCs w:val="24"/>
        </w:rPr>
      </w:pPr>
    </w:p>
    <w:p w14:paraId="508169B5" w14:textId="77777777" w:rsidR="00987737" w:rsidRPr="00C87A55" w:rsidRDefault="00987737" w:rsidP="00987737">
      <w:pPr>
        <w:spacing w:line="480" w:lineRule="auto"/>
        <w:jc w:val="both"/>
        <w:rPr>
          <w:rFonts w:ascii="Arial" w:hAnsi="Arial" w:cs="Arial"/>
          <w:sz w:val="24"/>
          <w:szCs w:val="24"/>
        </w:rPr>
      </w:pPr>
      <w:r w:rsidRPr="00C87A55">
        <w:rPr>
          <w:rFonts w:ascii="Arial" w:hAnsi="Arial" w:cs="Arial"/>
          <w:sz w:val="24"/>
          <w:szCs w:val="24"/>
        </w:rPr>
        <w:t>[3]</w:t>
      </w:r>
      <w:r w:rsidRPr="00C87A55">
        <w:rPr>
          <w:rFonts w:ascii="Arial" w:hAnsi="Arial" w:cs="Arial"/>
          <w:sz w:val="24"/>
          <w:szCs w:val="24"/>
        </w:rPr>
        <w:tab/>
        <w:t xml:space="preserve">Mr Mzileni, for the applicant, opposed the application for the non-joinder of the station commissioner and correctly pointed out that this issue was not raised in the answering affidavit but in the respondent’s heads of argument. He argued that failure to cite the station commissioner is unnecessary in the circumstances of this case.  </w:t>
      </w:r>
    </w:p>
    <w:p w14:paraId="0FC12185" w14:textId="77777777" w:rsidR="00987737" w:rsidRPr="00C87A55" w:rsidRDefault="00987737" w:rsidP="00987737">
      <w:pPr>
        <w:spacing w:line="480" w:lineRule="auto"/>
        <w:jc w:val="both"/>
        <w:rPr>
          <w:rFonts w:ascii="Arial" w:hAnsi="Arial" w:cs="Arial"/>
          <w:sz w:val="24"/>
          <w:szCs w:val="24"/>
        </w:rPr>
      </w:pPr>
    </w:p>
    <w:p w14:paraId="7F2F99D8" w14:textId="37B40D2B" w:rsidR="00987737" w:rsidRPr="00C87A55" w:rsidRDefault="00987737" w:rsidP="00987737">
      <w:pPr>
        <w:spacing w:line="480" w:lineRule="auto"/>
        <w:jc w:val="both"/>
        <w:rPr>
          <w:rFonts w:ascii="Arial" w:hAnsi="Arial" w:cs="Arial"/>
          <w:sz w:val="24"/>
          <w:szCs w:val="24"/>
        </w:rPr>
      </w:pPr>
      <w:r w:rsidRPr="00C87A55">
        <w:rPr>
          <w:rFonts w:ascii="Arial" w:hAnsi="Arial" w:cs="Arial"/>
          <w:sz w:val="24"/>
          <w:szCs w:val="24"/>
        </w:rPr>
        <w:t>[4]</w:t>
      </w:r>
      <w:r w:rsidRPr="00C87A55">
        <w:rPr>
          <w:rFonts w:ascii="Arial" w:hAnsi="Arial" w:cs="Arial"/>
          <w:sz w:val="24"/>
          <w:szCs w:val="24"/>
        </w:rPr>
        <w:tab/>
        <w:t xml:space="preserve">S 2(1) of the State Liability Act 20 of 1957 provides that in any action or other proceedings instituted by virtue of the provisions of section 1, the executive authority of the department concerned must be cited as a nominal defendant or respondent. The respondent in this case is the nominal respondent and not the station commissioner. Brand JA (Cloete, Snyders, Mhlantla et Petse JJA concurring) in </w:t>
      </w:r>
      <w:r w:rsidRPr="00C87A55">
        <w:rPr>
          <w:rFonts w:ascii="Arial" w:hAnsi="Arial" w:cs="Arial"/>
          <w:i/>
          <w:iCs/>
          <w:sz w:val="24"/>
          <w:szCs w:val="24"/>
        </w:rPr>
        <w:t>The</w:t>
      </w:r>
      <w:r w:rsidRPr="00C87A55">
        <w:rPr>
          <w:rFonts w:ascii="Arial" w:hAnsi="Arial" w:cs="Arial"/>
          <w:sz w:val="24"/>
          <w:szCs w:val="24"/>
        </w:rPr>
        <w:t xml:space="preserve"> </w:t>
      </w:r>
      <w:r w:rsidRPr="00C87A55">
        <w:rPr>
          <w:rFonts w:ascii="Arial" w:hAnsi="Arial" w:cs="Arial"/>
          <w:i/>
          <w:iCs/>
          <w:sz w:val="24"/>
          <w:szCs w:val="24"/>
        </w:rPr>
        <w:lastRenderedPageBreak/>
        <w:t>Judicial Service Commission v The Cape Bar Council (Centre for Constitutional Rights as amicus curiae)</w:t>
      </w:r>
      <w:r w:rsidRPr="00C87A55">
        <w:rPr>
          <w:rStyle w:val="FootnoteReference"/>
          <w:rFonts w:ascii="Arial" w:hAnsi="Arial" w:cs="Arial"/>
          <w:i/>
          <w:iCs/>
          <w:sz w:val="24"/>
          <w:szCs w:val="24"/>
        </w:rPr>
        <w:footnoteReference w:id="1"/>
      </w:r>
      <w:r w:rsidRPr="00C87A55">
        <w:rPr>
          <w:rFonts w:ascii="Arial" w:hAnsi="Arial" w:cs="Arial"/>
          <w:i/>
          <w:iCs/>
          <w:sz w:val="24"/>
          <w:szCs w:val="24"/>
        </w:rPr>
        <w:t xml:space="preserve">, </w:t>
      </w:r>
      <w:r w:rsidRPr="00C87A55">
        <w:rPr>
          <w:rFonts w:ascii="Arial" w:hAnsi="Arial" w:cs="Arial"/>
          <w:sz w:val="24"/>
          <w:szCs w:val="24"/>
        </w:rPr>
        <w:t>had this to say:</w:t>
      </w:r>
    </w:p>
    <w:p w14:paraId="602DEBF4" w14:textId="6BA740D4" w:rsidR="00987737" w:rsidRPr="00C87A55" w:rsidRDefault="00987737" w:rsidP="00C970B5">
      <w:pPr>
        <w:spacing w:line="480" w:lineRule="auto"/>
        <w:ind w:left="720"/>
        <w:jc w:val="both"/>
        <w:rPr>
          <w:rFonts w:ascii="Arial" w:hAnsi="Arial" w:cs="Arial"/>
          <w:i/>
          <w:iCs/>
          <w:sz w:val="20"/>
          <w:szCs w:val="20"/>
        </w:rPr>
      </w:pPr>
      <w:r w:rsidRPr="00C87A55">
        <w:rPr>
          <w:rFonts w:ascii="Arial" w:hAnsi="Arial" w:cs="Arial"/>
          <w:sz w:val="20"/>
          <w:szCs w:val="20"/>
        </w:rPr>
        <w:t xml:space="preserve">“[12] It has by now become settled law that the joinder of a party is only required as a matter of necessity – as opposed to a matter of convenience – if that party has a direct and substantial interest which may be affected prejudicially by the judgment of the court in the proceedings concerned (see eg </w:t>
      </w:r>
      <w:r w:rsidRPr="00C87A55">
        <w:rPr>
          <w:rFonts w:ascii="Arial" w:hAnsi="Arial" w:cs="Arial"/>
          <w:i/>
          <w:iCs/>
          <w:sz w:val="20"/>
          <w:szCs w:val="20"/>
        </w:rPr>
        <w:t>Bowring NO v Vrededorp Properties</w:t>
      </w:r>
      <w:r w:rsidRPr="00C87A55">
        <w:rPr>
          <w:rFonts w:ascii="Arial" w:hAnsi="Arial" w:cs="Arial"/>
          <w:sz w:val="20"/>
          <w:szCs w:val="20"/>
        </w:rPr>
        <w:t xml:space="preserve"> CC 2007 (5) SA 391 (SCA) para 21). The mere fact that a party may have an interest in the outcome of the litigation does not warrant a non-joinder plea. The right of a party to validly raise the objection that other parties should have been joined to the proceedings, has thus been held to be a limited one. (see eg </w:t>
      </w:r>
      <w:r w:rsidRPr="00C87A55">
        <w:rPr>
          <w:rFonts w:ascii="Arial" w:hAnsi="Arial" w:cs="Arial"/>
          <w:i/>
          <w:iCs/>
          <w:sz w:val="20"/>
          <w:szCs w:val="20"/>
        </w:rPr>
        <w:t xml:space="preserve">Burger v Rand Water Board </w:t>
      </w:r>
      <w:r w:rsidRPr="00C87A55">
        <w:rPr>
          <w:rFonts w:ascii="Arial" w:hAnsi="Arial" w:cs="Arial"/>
          <w:sz w:val="20"/>
          <w:szCs w:val="20"/>
        </w:rPr>
        <w:t>2007 (1) SA 30 (SCA) para 7; Andries Charl Cilliers, Cheryl Loots and Hendrik Chr</w:t>
      </w:r>
      <w:r w:rsidR="0092715B" w:rsidRPr="00C87A55">
        <w:rPr>
          <w:rFonts w:ascii="Arial" w:hAnsi="Arial" w:cs="Arial"/>
          <w:sz w:val="20"/>
          <w:szCs w:val="20"/>
        </w:rPr>
        <w:t>i</w:t>
      </w:r>
      <w:r w:rsidRPr="00C87A55">
        <w:rPr>
          <w:rFonts w:ascii="Arial" w:hAnsi="Arial" w:cs="Arial"/>
          <w:sz w:val="20"/>
          <w:szCs w:val="20"/>
        </w:rPr>
        <w:t xml:space="preserve">stoffel Nel </w:t>
      </w:r>
      <w:r w:rsidRPr="00C87A55">
        <w:rPr>
          <w:rFonts w:ascii="Arial" w:hAnsi="Arial" w:cs="Arial"/>
          <w:i/>
          <w:iCs/>
          <w:sz w:val="20"/>
          <w:szCs w:val="20"/>
        </w:rPr>
        <w:t>Herbstein &amp; Van Winsen The Civil Practice of the High Courts of South Africa</w:t>
      </w:r>
      <w:r w:rsidRPr="00C87A55">
        <w:rPr>
          <w:rFonts w:ascii="Arial" w:hAnsi="Arial" w:cs="Arial"/>
          <w:sz w:val="20"/>
          <w:szCs w:val="20"/>
        </w:rPr>
        <w:t xml:space="preserve"> 5 ed vol 1 at 239 and the cases there cited.)”</w:t>
      </w:r>
      <w:r w:rsidRPr="00C87A55">
        <w:rPr>
          <w:rFonts w:ascii="Arial" w:hAnsi="Arial" w:cs="Arial"/>
          <w:i/>
          <w:iCs/>
          <w:sz w:val="20"/>
          <w:szCs w:val="20"/>
        </w:rPr>
        <w:t xml:space="preserve"> </w:t>
      </w:r>
    </w:p>
    <w:p w14:paraId="5CC1CC7A" w14:textId="77777777" w:rsidR="00987737" w:rsidRPr="00C87A55" w:rsidRDefault="00987737" w:rsidP="00987737">
      <w:pPr>
        <w:spacing w:line="276" w:lineRule="auto"/>
        <w:jc w:val="both"/>
        <w:rPr>
          <w:rFonts w:ascii="Arial" w:hAnsi="Arial" w:cs="Arial"/>
          <w:sz w:val="24"/>
          <w:szCs w:val="24"/>
        </w:rPr>
      </w:pPr>
    </w:p>
    <w:p w14:paraId="11CE402F" w14:textId="3A01042F" w:rsidR="00987737" w:rsidRPr="00C87A55" w:rsidRDefault="00987737" w:rsidP="00987737">
      <w:pPr>
        <w:spacing w:line="480" w:lineRule="auto"/>
        <w:jc w:val="both"/>
        <w:rPr>
          <w:rFonts w:ascii="Arial" w:hAnsi="Arial" w:cs="Arial"/>
          <w:sz w:val="24"/>
          <w:szCs w:val="24"/>
        </w:rPr>
      </w:pPr>
      <w:r w:rsidRPr="00C87A55">
        <w:rPr>
          <w:rFonts w:ascii="Arial" w:hAnsi="Arial" w:cs="Arial"/>
          <w:sz w:val="24"/>
          <w:szCs w:val="24"/>
        </w:rPr>
        <w:t>[5]</w:t>
      </w:r>
      <w:r w:rsidRPr="00C87A55">
        <w:rPr>
          <w:rFonts w:ascii="Arial" w:hAnsi="Arial" w:cs="Arial"/>
          <w:sz w:val="24"/>
          <w:szCs w:val="24"/>
        </w:rPr>
        <w:tab/>
        <w:t xml:space="preserve">In the instant case, it is unnecessary to join the station commissioner because this issue </w:t>
      </w:r>
      <w:r w:rsidR="00DB099B" w:rsidRPr="00C87A55">
        <w:rPr>
          <w:rFonts w:ascii="Arial" w:hAnsi="Arial" w:cs="Arial"/>
          <w:sz w:val="24"/>
          <w:szCs w:val="24"/>
        </w:rPr>
        <w:t xml:space="preserve">is raised </w:t>
      </w:r>
      <w:r w:rsidRPr="00C87A55">
        <w:rPr>
          <w:rFonts w:ascii="Arial" w:hAnsi="Arial" w:cs="Arial"/>
          <w:sz w:val="24"/>
          <w:szCs w:val="24"/>
        </w:rPr>
        <w:t xml:space="preserve">as a matter of convenience and not necessity. Therefore, the application for non-joinder of the station commissioner cannot stand. </w:t>
      </w:r>
    </w:p>
    <w:p w14:paraId="30811913" w14:textId="77777777" w:rsidR="00987737" w:rsidRPr="00C87A55" w:rsidRDefault="00987737" w:rsidP="00987737">
      <w:pPr>
        <w:spacing w:line="480" w:lineRule="auto"/>
        <w:jc w:val="both"/>
        <w:rPr>
          <w:rFonts w:ascii="Arial" w:hAnsi="Arial" w:cs="Arial"/>
          <w:sz w:val="24"/>
          <w:szCs w:val="24"/>
        </w:rPr>
      </w:pPr>
    </w:p>
    <w:p w14:paraId="63ABCB1C" w14:textId="3A008E7D" w:rsidR="00987737" w:rsidRPr="00C87A55" w:rsidRDefault="00987737" w:rsidP="00987737">
      <w:pPr>
        <w:spacing w:line="480" w:lineRule="auto"/>
        <w:jc w:val="both"/>
        <w:rPr>
          <w:rFonts w:ascii="Arial" w:hAnsi="Arial" w:cs="Arial"/>
          <w:i/>
          <w:iCs/>
          <w:sz w:val="24"/>
          <w:szCs w:val="24"/>
        </w:rPr>
      </w:pPr>
      <w:r w:rsidRPr="00C87A55">
        <w:rPr>
          <w:rFonts w:ascii="Arial" w:hAnsi="Arial" w:cs="Arial"/>
          <w:i/>
          <w:iCs/>
          <w:sz w:val="24"/>
          <w:szCs w:val="24"/>
        </w:rPr>
        <w:t>Urgency</w:t>
      </w:r>
      <w:r w:rsidR="007476E7" w:rsidRPr="00C87A55">
        <w:rPr>
          <w:rFonts w:ascii="Arial" w:hAnsi="Arial" w:cs="Arial"/>
          <w:i/>
          <w:iCs/>
          <w:sz w:val="24"/>
          <w:szCs w:val="24"/>
        </w:rPr>
        <w:t xml:space="preserve"> alleged by the applicant</w:t>
      </w:r>
    </w:p>
    <w:p w14:paraId="509BEFE0" w14:textId="31264EA0" w:rsidR="00987737" w:rsidRPr="00C87A55" w:rsidRDefault="00987737" w:rsidP="00987737">
      <w:pPr>
        <w:spacing w:line="480" w:lineRule="auto"/>
        <w:jc w:val="both"/>
        <w:rPr>
          <w:rFonts w:ascii="Arial" w:hAnsi="Arial" w:cs="Arial"/>
          <w:sz w:val="24"/>
          <w:szCs w:val="24"/>
        </w:rPr>
      </w:pPr>
      <w:r w:rsidRPr="00C87A55">
        <w:rPr>
          <w:rFonts w:ascii="Arial" w:hAnsi="Arial" w:cs="Arial"/>
          <w:sz w:val="24"/>
          <w:szCs w:val="24"/>
        </w:rPr>
        <w:t>[6]</w:t>
      </w:r>
      <w:r w:rsidRPr="00C87A55">
        <w:rPr>
          <w:rFonts w:ascii="Arial" w:hAnsi="Arial" w:cs="Arial"/>
          <w:sz w:val="24"/>
          <w:szCs w:val="24"/>
        </w:rPr>
        <w:tab/>
        <w:t xml:space="preserve">The applicant alleges that the application is urgent. He contends that he is unemployed and earns a living by selling goats. The respondent disputes that the application is urgent and alleges that urgency is self-created. That is because the applicant was never in possession of the goats.  </w:t>
      </w:r>
    </w:p>
    <w:p w14:paraId="094E4423" w14:textId="77777777" w:rsidR="00987737" w:rsidRPr="00C87A55" w:rsidRDefault="00987737" w:rsidP="00987737">
      <w:pPr>
        <w:spacing w:line="480" w:lineRule="auto"/>
        <w:jc w:val="both"/>
        <w:rPr>
          <w:rFonts w:ascii="Arial" w:hAnsi="Arial" w:cs="Arial"/>
          <w:sz w:val="24"/>
          <w:szCs w:val="24"/>
        </w:rPr>
      </w:pPr>
    </w:p>
    <w:p w14:paraId="6DF5AE6B" w14:textId="4E090FDC" w:rsidR="00987737" w:rsidRPr="00C87A55" w:rsidRDefault="00987737" w:rsidP="00987737">
      <w:pPr>
        <w:spacing w:line="480" w:lineRule="auto"/>
        <w:jc w:val="both"/>
        <w:rPr>
          <w:rFonts w:ascii="Arial" w:hAnsi="Arial" w:cs="Arial"/>
          <w:sz w:val="24"/>
          <w:szCs w:val="24"/>
        </w:rPr>
      </w:pPr>
      <w:r w:rsidRPr="00C87A55">
        <w:rPr>
          <w:rFonts w:ascii="Arial" w:hAnsi="Arial" w:cs="Arial"/>
          <w:sz w:val="24"/>
          <w:szCs w:val="24"/>
        </w:rPr>
        <w:lastRenderedPageBreak/>
        <w:t>[7]</w:t>
      </w:r>
      <w:r w:rsidRPr="00C87A55">
        <w:rPr>
          <w:rFonts w:ascii="Arial" w:hAnsi="Arial" w:cs="Arial"/>
          <w:sz w:val="24"/>
          <w:szCs w:val="24"/>
        </w:rPr>
        <w:tab/>
      </w:r>
      <w:r w:rsidR="00DB099B" w:rsidRPr="00C87A55">
        <w:rPr>
          <w:rFonts w:ascii="Arial" w:hAnsi="Arial" w:cs="Arial"/>
          <w:sz w:val="24"/>
          <w:szCs w:val="24"/>
        </w:rPr>
        <w:t>It is common cause that t</w:t>
      </w:r>
      <w:r w:rsidRPr="00C87A55">
        <w:rPr>
          <w:rFonts w:ascii="Arial" w:hAnsi="Arial" w:cs="Arial"/>
          <w:sz w:val="24"/>
          <w:szCs w:val="24"/>
        </w:rPr>
        <w:t xml:space="preserve">he goats were confiscated on 30 May 2023. On 31 May 2023, the applicant proceeded to the police station and enquired about the whereabouts of the goats. He was referred to the stock pound where he was told to go to the Stock Theft Unit. At the Stock Theft Unit, the police officers ignored him </w:t>
      </w:r>
      <w:r w:rsidR="007476E7" w:rsidRPr="00C87A55">
        <w:rPr>
          <w:rFonts w:ascii="Arial" w:hAnsi="Arial" w:cs="Arial"/>
          <w:sz w:val="24"/>
          <w:szCs w:val="24"/>
        </w:rPr>
        <w:t xml:space="preserve">thereby </w:t>
      </w:r>
      <w:r w:rsidRPr="00C87A55">
        <w:rPr>
          <w:rFonts w:ascii="Arial" w:hAnsi="Arial" w:cs="Arial"/>
          <w:sz w:val="24"/>
          <w:szCs w:val="24"/>
        </w:rPr>
        <w:t>refus</w:t>
      </w:r>
      <w:r w:rsidR="007476E7" w:rsidRPr="00C87A55">
        <w:rPr>
          <w:rFonts w:ascii="Arial" w:hAnsi="Arial" w:cs="Arial"/>
          <w:sz w:val="24"/>
          <w:szCs w:val="24"/>
        </w:rPr>
        <w:t xml:space="preserve">ing </w:t>
      </w:r>
      <w:r w:rsidRPr="00C87A55">
        <w:rPr>
          <w:rFonts w:ascii="Arial" w:hAnsi="Arial" w:cs="Arial"/>
          <w:sz w:val="24"/>
          <w:szCs w:val="24"/>
        </w:rPr>
        <w:t>to assist him</w:t>
      </w:r>
      <w:r w:rsidR="007476E7" w:rsidRPr="00C87A55">
        <w:rPr>
          <w:rFonts w:ascii="Arial" w:hAnsi="Arial" w:cs="Arial"/>
          <w:sz w:val="24"/>
          <w:szCs w:val="24"/>
        </w:rPr>
        <w:t xml:space="preserve"> and instead referred to him as a thief and liar</w:t>
      </w:r>
      <w:r w:rsidRPr="00C87A55">
        <w:rPr>
          <w:rFonts w:ascii="Arial" w:hAnsi="Arial" w:cs="Arial"/>
          <w:sz w:val="24"/>
          <w:szCs w:val="24"/>
        </w:rPr>
        <w:t>. He then approached his legal representative, ZP Maketa Attorneys Incorporated, who addressed a letter (Annexure “A”) to the Station Commander dated 05 June 2023, claiming the release of the goats within seven days of receipt of the said letter. In that letter, the Station Commander was also warned to release the goats as requested otherwise “</w:t>
      </w:r>
      <w:r w:rsidRPr="00C87A55">
        <w:rPr>
          <w:rFonts w:ascii="Arial" w:hAnsi="Arial" w:cs="Arial"/>
          <w:i/>
          <w:iCs/>
          <w:sz w:val="24"/>
          <w:szCs w:val="24"/>
        </w:rPr>
        <w:t>legal action will be taken against you, and we shall seek for costs order against you on a punitive scale</w:t>
      </w:r>
      <w:r w:rsidRPr="00C87A55">
        <w:rPr>
          <w:rFonts w:ascii="Arial" w:hAnsi="Arial" w:cs="Arial"/>
          <w:sz w:val="24"/>
          <w:szCs w:val="24"/>
        </w:rPr>
        <w:t>.” On 07 June 2023, the Sheriff, Ms S Mduzulwana, served the letter on the Station Commander at Sulenkama Police Station by handing it over to W/O Mlulami Totyi. When no response was forthcoming from the Station Commander</w:t>
      </w:r>
      <w:r w:rsidR="007476E7" w:rsidRPr="00C87A55">
        <w:rPr>
          <w:rFonts w:ascii="Arial" w:hAnsi="Arial" w:cs="Arial"/>
          <w:sz w:val="24"/>
          <w:szCs w:val="24"/>
        </w:rPr>
        <w:t>,</w:t>
      </w:r>
      <w:r w:rsidRPr="00C87A55">
        <w:rPr>
          <w:rFonts w:ascii="Arial" w:hAnsi="Arial" w:cs="Arial"/>
          <w:sz w:val="24"/>
          <w:szCs w:val="24"/>
        </w:rPr>
        <w:t xml:space="preserve"> the applicant’s attorney of record advised him to approach court on urgent </w:t>
      </w:r>
      <w:r w:rsidR="007476E7" w:rsidRPr="00C87A55">
        <w:rPr>
          <w:rFonts w:ascii="Arial" w:hAnsi="Arial" w:cs="Arial"/>
          <w:sz w:val="24"/>
          <w:szCs w:val="24"/>
        </w:rPr>
        <w:t>basis,</w:t>
      </w:r>
      <w:r w:rsidRPr="00C87A55">
        <w:rPr>
          <w:rFonts w:ascii="Arial" w:hAnsi="Arial" w:cs="Arial"/>
          <w:sz w:val="24"/>
          <w:szCs w:val="24"/>
        </w:rPr>
        <w:t xml:space="preserve"> but </w:t>
      </w:r>
      <w:r w:rsidR="007476E7" w:rsidRPr="00C87A55">
        <w:rPr>
          <w:rFonts w:ascii="Arial" w:hAnsi="Arial" w:cs="Arial"/>
          <w:sz w:val="24"/>
          <w:szCs w:val="24"/>
        </w:rPr>
        <w:t xml:space="preserve">he </w:t>
      </w:r>
      <w:r w:rsidRPr="00C87A55">
        <w:rPr>
          <w:rFonts w:ascii="Arial" w:hAnsi="Arial" w:cs="Arial"/>
          <w:sz w:val="24"/>
          <w:szCs w:val="24"/>
        </w:rPr>
        <w:t>did not have funds to do so. After about a month he managed to raise some funds and on 04 July 2023, he filed a notice on motion thereby giving the respondent two weeks to either respond or return the goats. On 18 July 2023, the respondent filed a notice of intention to oppose the application and an answering affidavit. The applicant filed a replying affidavit on 20 July 2023. The matter was heard the same day.</w:t>
      </w:r>
    </w:p>
    <w:p w14:paraId="0E98F8DD" w14:textId="77777777" w:rsidR="00987737" w:rsidRPr="00C87A55" w:rsidRDefault="00987737" w:rsidP="00987737">
      <w:pPr>
        <w:spacing w:line="480" w:lineRule="auto"/>
        <w:jc w:val="both"/>
        <w:rPr>
          <w:rFonts w:ascii="Arial" w:hAnsi="Arial" w:cs="Arial"/>
          <w:sz w:val="24"/>
          <w:szCs w:val="24"/>
        </w:rPr>
      </w:pPr>
    </w:p>
    <w:p w14:paraId="05312AB2" w14:textId="07873169" w:rsidR="00987737" w:rsidRPr="00C87A55" w:rsidRDefault="00987737" w:rsidP="00987737">
      <w:pPr>
        <w:spacing w:line="480" w:lineRule="auto"/>
        <w:jc w:val="both"/>
        <w:rPr>
          <w:rFonts w:ascii="Arial" w:hAnsi="Arial" w:cs="Arial"/>
          <w:sz w:val="24"/>
          <w:szCs w:val="24"/>
        </w:rPr>
      </w:pPr>
      <w:r w:rsidRPr="00C87A55">
        <w:rPr>
          <w:rFonts w:ascii="Arial" w:hAnsi="Arial" w:cs="Arial"/>
          <w:sz w:val="24"/>
          <w:szCs w:val="24"/>
        </w:rPr>
        <w:t>[8]</w:t>
      </w:r>
      <w:r w:rsidRPr="00C87A55">
        <w:rPr>
          <w:rFonts w:ascii="Arial" w:hAnsi="Arial" w:cs="Arial"/>
          <w:sz w:val="24"/>
          <w:szCs w:val="24"/>
        </w:rPr>
        <w:tab/>
        <w:t xml:space="preserve">In </w:t>
      </w:r>
      <w:r w:rsidRPr="00C87A55">
        <w:rPr>
          <w:rFonts w:ascii="Arial" w:hAnsi="Arial" w:cs="Arial"/>
          <w:i/>
          <w:sz w:val="24"/>
          <w:szCs w:val="24"/>
        </w:rPr>
        <w:t>Mangala v Mangala</w:t>
      </w:r>
      <w:r w:rsidRPr="00C87A55">
        <w:rPr>
          <w:rStyle w:val="FootnoteReference"/>
          <w:rFonts w:ascii="Arial" w:hAnsi="Arial" w:cs="Arial"/>
          <w:sz w:val="24"/>
          <w:szCs w:val="24"/>
        </w:rPr>
        <w:footnoteReference w:id="2"/>
      </w:r>
      <w:r w:rsidRPr="00C87A55">
        <w:rPr>
          <w:rFonts w:ascii="Arial" w:hAnsi="Arial" w:cs="Arial"/>
          <w:sz w:val="24"/>
          <w:szCs w:val="24"/>
        </w:rPr>
        <w:t xml:space="preserve"> Munnik J </w:t>
      </w:r>
      <w:r w:rsidR="007476E7" w:rsidRPr="00C87A55">
        <w:rPr>
          <w:rFonts w:ascii="Arial" w:hAnsi="Arial" w:cs="Arial"/>
          <w:sz w:val="24"/>
          <w:szCs w:val="24"/>
        </w:rPr>
        <w:t>remarked as follows regarding spoliation as a remedy</w:t>
      </w:r>
      <w:r w:rsidRPr="00C87A55">
        <w:rPr>
          <w:rFonts w:ascii="Arial" w:hAnsi="Arial" w:cs="Arial"/>
          <w:sz w:val="24"/>
          <w:szCs w:val="24"/>
        </w:rPr>
        <w:t>:</w:t>
      </w:r>
    </w:p>
    <w:p w14:paraId="4A3FB0D3" w14:textId="77777777" w:rsidR="00987737" w:rsidRPr="00C87A55" w:rsidRDefault="00987737" w:rsidP="00C87A55">
      <w:pPr>
        <w:spacing w:line="360" w:lineRule="auto"/>
        <w:ind w:left="1440"/>
        <w:jc w:val="both"/>
        <w:rPr>
          <w:rFonts w:ascii="Arial" w:hAnsi="Arial" w:cs="Arial"/>
          <w:i/>
          <w:iCs/>
          <w:color w:val="000000"/>
          <w:sz w:val="20"/>
          <w:szCs w:val="20"/>
        </w:rPr>
      </w:pPr>
      <w:r w:rsidRPr="00C87A55">
        <w:rPr>
          <w:rFonts w:ascii="Arial" w:hAnsi="Arial" w:cs="Arial"/>
          <w:sz w:val="20"/>
          <w:szCs w:val="20"/>
        </w:rPr>
        <w:lastRenderedPageBreak/>
        <w:t>“</w:t>
      </w:r>
      <w:r w:rsidRPr="00C87A55">
        <w:rPr>
          <w:rFonts w:ascii="Arial" w:hAnsi="Arial" w:cs="Arial"/>
          <w:color w:val="000000"/>
          <w:sz w:val="20"/>
          <w:szCs w:val="20"/>
        </w:rPr>
        <w:t>It is true that a spoliation order is a remedy which in the nature of things should be a speedy one, but the fact that there has to be restitution before all else simply means that, once an applicant has proved that he was in peaceful possession and his possession was disturbed, the respondent must restore that position before entering into the merits of the ownership or otherwise of the subject matter. It does not follow that, because an application is one for a spoliation order, the matter automatically becomes one of urgency. The applicant must either comply with the Rules in the normal way or make out a case for urgency in accordance with the provision of Rule 6 (12) </w:t>
      </w:r>
      <w:r w:rsidRPr="00C87A55">
        <w:rPr>
          <w:rFonts w:ascii="Arial" w:hAnsi="Arial" w:cs="Arial"/>
          <w:i/>
          <w:iCs/>
          <w:color w:val="000000"/>
          <w:sz w:val="20"/>
          <w:szCs w:val="20"/>
        </w:rPr>
        <w:t>(b).”</w:t>
      </w:r>
    </w:p>
    <w:p w14:paraId="374481B6" w14:textId="77777777" w:rsidR="00987737" w:rsidRPr="00C87A55" w:rsidRDefault="00987737" w:rsidP="00987737">
      <w:pPr>
        <w:spacing w:line="276" w:lineRule="auto"/>
        <w:jc w:val="both"/>
        <w:rPr>
          <w:rFonts w:ascii="Arial" w:hAnsi="Arial" w:cs="Arial"/>
          <w:i/>
          <w:iCs/>
          <w:color w:val="000000"/>
          <w:sz w:val="24"/>
          <w:szCs w:val="24"/>
        </w:rPr>
      </w:pPr>
    </w:p>
    <w:p w14:paraId="5A30EE0B" w14:textId="282595DA" w:rsidR="00987737" w:rsidRPr="00C87A55" w:rsidRDefault="00987737" w:rsidP="00987737">
      <w:pPr>
        <w:spacing w:line="480" w:lineRule="auto"/>
        <w:jc w:val="both"/>
        <w:rPr>
          <w:rFonts w:ascii="Arial" w:hAnsi="Arial" w:cs="Arial"/>
          <w:iCs/>
          <w:color w:val="000000"/>
          <w:sz w:val="24"/>
          <w:szCs w:val="24"/>
        </w:rPr>
      </w:pPr>
      <w:r w:rsidRPr="00C87A55">
        <w:rPr>
          <w:rFonts w:ascii="Arial" w:hAnsi="Arial" w:cs="Arial"/>
          <w:iCs/>
          <w:color w:val="000000"/>
          <w:sz w:val="24"/>
          <w:szCs w:val="24"/>
        </w:rPr>
        <w:t>[9]</w:t>
      </w:r>
      <w:r w:rsidRPr="00C87A55">
        <w:rPr>
          <w:rFonts w:ascii="Arial" w:hAnsi="Arial" w:cs="Arial"/>
          <w:iCs/>
          <w:color w:val="000000"/>
          <w:sz w:val="24"/>
          <w:szCs w:val="24"/>
        </w:rPr>
        <w:tab/>
        <w:t xml:space="preserve">Rule 6(12) (b) of the Uniform Rules of Court provides that in every affidavit or petition filed in support of any application under paragraph (a) of this subrule, the applicant must set forth explicitly the circumstances which are averred render the matter urgent and the reasons why the applicant claims that the applicant could not be afforded substantial redress at the hearing in due course. </w:t>
      </w:r>
    </w:p>
    <w:p w14:paraId="22290E6A" w14:textId="77777777" w:rsidR="00987737" w:rsidRPr="00C87A55" w:rsidRDefault="00987737" w:rsidP="00987737">
      <w:pPr>
        <w:spacing w:line="480" w:lineRule="auto"/>
        <w:jc w:val="both"/>
        <w:rPr>
          <w:rFonts w:ascii="Arial" w:hAnsi="Arial" w:cs="Arial"/>
          <w:iCs/>
          <w:color w:val="000000"/>
          <w:sz w:val="24"/>
          <w:szCs w:val="24"/>
        </w:rPr>
      </w:pPr>
    </w:p>
    <w:p w14:paraId="485E3C09" w14:textId="242DAE7F" w:rsidR="00987737" w:rsidRPr="00C87A55" w:rsidRDefault="00987737" w:rsidP="00987737">
      <w:pPr>
        <w:spacing w:line="480" w:lineRule="auto"/>
        <w:jc w:val="both"/>
        <w:rPr>
          <w:rFonts w:ascii="Arial" w:hAnsi="Arial" w:cs="Arial"/>
          <w:sz w:val="24"/>
          <w:szCs w:val="24"/>
          <w:lang w:val="en-ZA"/>
        </w:rPr>
      </w:pPr>
      <w:r w:rsidRPr="00C87A55">
        <w:rPr>
          <w:rFonts w:ascii="Arial" w:hAnsi="Arial" w:cs="Arial"/>
          <w:sz w:val="24"/>
          <w:szCs w:val="24"/>
        </w:rPr>
        <w:t>[10]</w:t>
      </w:r>
      <w:r w:rsidRPr="00C87A55">
        <w:rPr>
          <w:rFonts w:ascii="Arial" w:hAnsi="Arial" w:cs="Arial"/>
          <w:sz w:val="24"/>
          <w:szCs w:val="24"/>
        </w:rPr>
        <w:tab/>
        <w:t xml:space="preserve">The applicant stated that he sells the goats to earn a living and presently, he is unable to support his family. He would </w:t>
      </w:r>
      <w:r w:rsidR="007476E7" w:rsidRPr="00C87A55">
        <w:rPr>
          <w:rFonts w:ascii="Arial" w:hAnsi="Arial" w:cs="Arial"/>
          <w:sz w:val="24"/>
          <w:szCs w:val="24"/>
        </w:rPr>
        <w:t xml:space="preserve">therefore </w:t>
      </w:r>
      <w:r w:rsidRPr="00C87A55">
        <w:rPr>
          <w:rFonts w:ascii="Arial" w:hAnsi="Arial" w:cs="Arial"/>
          <w:sz w:val="24"/>
          <w:szCs w:val="24"/>
        </w:rPr>
        <w:t>not be afforded substantial redress at a hearing in due course as he maintains a business of the sale of goats to maintain his</w:t>
      </w:r>
      <w:r w:rsidR="007476E7" w:rsidRPr="00C87A55">
        <w:rPr>
          <w:rFonts w:ascii="Arial" w:hAnsi="Arial" w:cs="Arial"/>
          <w:sz w:val="24"/>
          <w:szCs w:val="24"/>
        </w:rPr>
        <w:t xml:space="preserve"> family</w:t>
      </w:r>
      <w:r w:rsidRPr="00C87A55">
        <w:rPr>
          <w:rFonts w:ascii="Arial" w:hAnsi="Arial" w:cs="Arial"/>
          <w:sz w:val="24"/>
          <w:szCs w:val="24"/>
        </w:rPr>
        <w:t xml:space="preserve">. I am therefore satisfied that the applicant has complied with the provisions of Rule 6(12) (b). </w:t>
      </w:r>
    </w:p>
    <w:p w14:paraId="3BF7C99D" w14:textId="77777777" w:rsidR="00987737" w:rsidRPr="00C87A55" w:rsidRDefault="00987737" w:rsidP="00987737">
      <w:pPr>
        <w:spacing w:line="480" w:lineRule="auto"/>
        <w:jc w:val="both"/>
        <w:rPr>
          <w:rFonts w:ascii="Arial" w:hAnsi="Arial" w:cs="Arial"/>
          <w:sz w:val="24"/>
          <w:szCs w:val="24"/>
          <w:lang w:val="en-ZA"/>
        </w:rPr>
      </w:pPr>
    </w:p>
    <w:p w14:paraId="6231FB49" w14:textId="77777777" w:rsidR="00987737" w:rsidRPr="00C87A55" w:rsidRDefault="00987737" w:rsidP="00987737">
      <w:pPr>
        <w:spacing w:line="480" w:lineRule="auto"/>
        <w:jc w:val="both"/>
        <w:rPr>
          <w:rFonts w:ascii="Arial" w:hAnsi="Arial" w:cs="Arial"/>
          <w:i/>
          <w:iCs/>
          <w:sz w:val="24"/>
          <w:szCs w:val="24"/>
        </w:rPr>
      </w:pPr>
      <w:r w:rsidRPr="00C87A55">
        <w:rPr>
          <w:rFonts w:ascii="Arial" w:hAnsi="Arial" w:cs="Arial"/>
          <w:i/>
          <w:iCs/>
          <w:sz w:val="24"/>
          <w:szCs w:val="24"/>
        </w:rPr>
        <w:t>The factual background</w:t>
      </w:r>
    </w:p>
    <w:p w14:paraId="32820D71" w14:textId="303CB964" w:rsidR="00987737" w:rsidRPr="00C87A55" w:rsidRDefault="00987737" w:rsidP="00987737">
      <w:pPr>
        <w:spacing w:line="480" w:lineRule="auto"/>
        <w:jc w:val="both"/>
        <w:rPr>
          <w:rFonts w:ascii="Arial" w:hAnsi="Arial" w:cs="Arial"/>
          <w:sz w:val="24"/>
          <w:szCs w:val="24"/>
        </w:rPr>
      </w:pPr>
      <w:r w:rsidRPr="00C87A55">
        <w:rPr>
          <w:rFonts w:ascii="Arial" w:hAnsi="Arial" w:cs="Arial"/>
          <w:sz w:val="24"/>
          <w:szCs w:val="24"/>
        </w:rPr>
        <w:t>[11]</w:t>
      </w:r>
      <w:r w:rsidRPr="00C87A55">
        <w:rPr>
          <w:rFonts w:ascii="Arial" w:hAnsi="Arial" w:cs="Arial"/>
          <w:sz w:val="24"/>
          <w:szCs w:val="24"/>
        </w:rPr>
        <w:tab/>
        <w:t xml:space="preserve">The applicant </w:t>
      </w:r>
      <w:r w:rsidR="007E63D9" w:rsidRPr="00C87A55">
        <w:rPr>
          <w:rFonts w:ascii="Arial" w:hAnsi="Arial" w:cs="Arial"/>
          <w:sz w:val="24"/>
          <w:szCs w:val="24"/>
        </w:rPr>
        <w:t xml:space="preserve">asserted that he </w:t>
      </w:r>
      <w:r w:rsidRPr="00C87A55">
        <w:rPr>
          <w:rFonts w:ascii="Arial" w:hAnsi="Arial" w:cs="Arial"/>
          <w:sz w:val="24"/>
          <w:szCs w:val="24"/>
        </w:rPr>
        <w:t xml:space="preserve">is an unemployed male person residing at Rayport Location, Etwa Administrative Area in Qumbu, Eastern Cape, and the owner of the goats. He </w:t>
      </w:r>
      <w:r w:rsidR="007E63D9" w:rsidRPr="00C87A55">
        <w:rPr>
          <w:rFonts w:ascii="Arial" w:hAnsi="Arial" w:cs="Arial"/>
          <w:sz w:val="24"/>
          <w:szCs w:val="24"/>
        </w:rPr>
        <w:t xml:space="preserve">alleged that he </w:t>
      </w:r>
      <w:r w:rsidRPr="00C87A55">
        <w:rPr>
          <w:rFonts w:ascii="Arial" w:hAnsi="Arial" w:cs="Arial"/>
          <w:sz w:val="24"/>
          <w:szCs w:val="24"/>
        </w:rPr>
        <w:t xml:space="preserve">keeps them at Ms Conny Nkalitshana’s homestead which he also refers to as his homestead. </w:t>
      </w:r>
      <w:r w:rsidR="007E63D9" w:rsidRPr="00C87A55">
        <w:rPr>
          <w:rFonts w:ascii="Arial" w:hAnsi="Arial" w:cs="Arial"/>
          <w:sz w:val="24"/>
          <w:szCs w:val="24"/>
        </w:rPr>
        <w:t>He alleged further that o</w:t>
      </w:r>
      <w:r w:rsidRPr="00C87A55">
        <w:rPr>
          <w:rFonts w:ascii="Arial" w:hAnsi="Arial" w:cs="Arial"/>
          <w:sz w:val="24"/>
          <w:szCs w:val="24"/>
        </w:rPr>
        <w:t xml:space="preserve">n 30 May 2023 at about 09h00, he was in peaceful, free, and undisturbed possession of the goats.  </w:t>
      </w:r>
    </w:p>
    <w:p w14:paraId="33934D77" w14:textId="77777777" w:rsidR="00EB3306" w:rsidRPr="00C87A55" w:rsidRDefault="00987737" w:rsidP="00EB3306">
      <w:pPr>
        <w:spacing w:line="480" w:lineRule="auto"/>
        <w:jc w:val="both"/>
        <w:rPr>
          <w:rFonts w:ascii="Arial" w:hAnsi="Arial" w:cs="Arial"/>
          <w:sz w:val="24"/>
          <w:szCs w:val="24"/>
        </w:rPr>
      </w:pPr>
      <w:r w:rsidRPr="00C87A55">
        <w:rPr>
          <w:rFonts w:ascii="Arial" w:hAnsi="Arial" w:cs="Arial"/>
          <w:sz w:val="24"/>
          <w:szCs w:val="24"/>
        </w:rPr>
        <w:lastRenderedPageBreak/>
        <w:t>[12]</w:t>
      </w:r>
      <w:r w:rsidRPr="00C87A55">
        <w:rPr>
          <w:rFonts w:ascii="Arial" w:hAnsi="Arial" w:cs="Arial"/>
          <w:sz w:val="24"/>
          <w:szCs w:val="24"/>
        </w:rPr>
        <w:tab/>
      </w:r>
      <w:r w:rsidR="007E63D9" w:rsidRPr="00C87A55">
        <w:rPr>
          <w:rFonts w:ascii="Arial" w:hAnsi="Arial" w:cs="Arial"/>
          <w:sz w:val="24"/>
          <w:szCs w:val="24"/>
        </w:rPr>
        <w:t xml:space="preserve">On the day of the incident three </w:t>
      </w:r>
      <w:r w:rsidRPr="00C87A55">
        <w:rPr>
          <w:rFonts w:ascii="Arial" w:hAnsi="Arial" w:cs="Arial"/>
          <w:sz w:val="24"/>
          <w:szCs w:val="24"/>
        </w:rPr>
        <w:t xml:space="preserve">police officers </w:t>
      </w:r>
      <w:r w:rsidR="007E63D9" w:rsidRPr="00C87A55">
        <w:rPr>
          <w:rFonts w:ascii="Arial" w:hAnsi="Arial" w:cs="Arial"/>
          <w:sz w:val="24"/>
          <w:szCs w:val="24"/>
        </w:rPr>
        <w:t>wear</w:t>
      </w:r>
      <w:r w:rsidRPr="00C87A55">
        <w:rPr>
          <w:rFonts w:ascii="Arial" w:hAnsi="Arial" w:cs="Arial"/>
          <w:sz w:val="24"/>
          <w:szCs w:val="24"/>
        </w:rPr>
        <w:t>in</w:t>
      </w:r>
      <w:r w:rsidR="007E63D9" w:rsidRPr="00C87A55">
        <w:rPr>
          <w:rFonts w:ascii="Arial" w:hAnsi="Arial" w:cs="Arial"/>
          <w:sz w:val="24"/>
          <w:szCs w:val="24"/>
        </w:rPr>
        <w:t>g</w:t>
      </w:r>
      <w:r w:rsidRPr="00C87A55">
        <w:rPr>
          <w:rFonts w:ascii="Arial" w:hAnsi="Arial" w:cs="Arial"/>
          <w:sz w:val="24"/>
          <w:szCs w:val="24"/>
        </w:rPr>
        <w:t xml:space="preserve"> civilian clothes </w:t>
      </w:r>
      <w:r w:rsidR="007E63D9" w:rsidRPr="00C87A55">
        <w:rPr>
          <w:rFonts w:ascii="Arial" w:hAnsi="Arial" w:cs="Arial"/>
          <w:sz w:val="24"/>
          <w:szCs w:val="24"/>
        </w:rPr>
        <w:t xml:space="preserve">approached his home </w:t>
      </w:r>
      <w:r w:rsidRPr="00C87A55">
        <w:rPr>
          <w:rFonts w:ascii="Arial" w:hAnsi="Arial" w:cs="Arial"/>
          <w:sz w:val="24"/>
          <w:szCs w:val="24"/>
        </w:rPr>
        <w:t xml:space="preserve">and </w:t>
      </w:r>
      <w:r w:rsidR="007E63D9" w:rsidRPr="00C87A55">
        <w:rPr>
          <w:rFonts w:ascii="Arial" w:hAnsi="Arial" w:cs="Arial"/>
          <w:sz w:val="24"/>
          <w:szCs w:val="24"/>
        </w:rPr>
        <w:t xml:space="preserve">were </w:t>
      </w:r>
      <w:r w:rsidRPr="00C87A55">
        <w:rPr>
          <w:rFonts w:ascii="Arial" w:hAnsi="Arial" w:cs="Arial"/>
          <w:sz w:val="24"/>
          <w:szCs w:val="24"/>
        </w:rPr>
        <w:t>travell</w:t>
      </w:r>
      <w:r w:rsidR="007E63D9" w:rsidRPr="00C87A55">
        <w:rPr>
          <w:rFonts w:ascii="Arial" w:hAnsi="Arial" w:cs="Arial"/>
          <w:sz w:val="24"/>
          <w:szCs w:val="24"/>
        </w:rPr>
        <w:t>ing</w:t>
      </w:r>
      <w:r w:rsidRPr="00C87A55">
        <w:rPr>
          <w:rFonts w:ascii="Arial" w:hAnsi="Arial" w:cs="Arial"/>
          <w:sz w:val="24"/>
          <w:szCs w:val="24"/>
        </w:rPr>
        <w:t xml:space="preserve"> in two unmarked vehicles. On their arrival, they introduced themselves as police officers from Sulenkama Police Station</w:t>
      </w:r>
      <w:r w:rsidR="007E63D9" w:rsidRPr="00C87A55">
        <w:rPr>
          <w:rFonts w:ascii="Arial" w:hAnsi="Arial" w:cs="Arial"/>
          <w:sz w:val="24"/>
          <w:szCs w:val="24"/>
        </w:rPr>
        <w:t>,</w:t>
      </w:r>
      <w:r w:rsidRPr="00C87A55">
        <w:rPr>
          <w:rFonts w:ascii="Arial" w:hAnsi="Arial" w:cs="Arial"/>
          <w:sz w:val="24"/>
          <w:szCs w:val="24"/>
        </w:rPr>
        <w:t xml:space="preserve"> Qumbu</w:t>
      </w:r>
      <w:r w:rsidR="007E63D9" w:rsidRPr="00C87A55">
        <w:rPr>
          <w:rFonts w:ascii="Arial" w:hAnsi="Arial" w:cs="Arial"/>
          <w:sz w:val="24"/>
          <w:szCs w:val="24"/>
        </w:rPr>
        <w:t xml:space="preserve">. They </w:t>
      </w:r>
      <w:r w:rsidRPr="00C87A55">
        <w:rPr>
          <w:rFonts w:ascii="Arial" w:hAnsi="Arial" w:cs="Arial"/>
          <w:sz w:val="24"/>
          <w:szCs w:val="24"/>
        </w:rPr>
        <w:t xml:space="preserve">enquired as to who the goats </w:t>
      </w:r>
      <w:r w:rsidR="007E63D9" w:rsidRPr="00C87A55">
        <w:rPr>
          <w:rFonts w:ascii="Arial" w:hAnsi="Arial" w:cs="Arial"/>
          <w:sz w:val="24"/>
          <w:szCs w:val="24"/>
        </w:rPr>
        <w:t>belonged, and h</w:t>
      </w:r>
      <w:r w:rsidRPr="00C87A55">
        <w:rPr>
          <w:rFonts w:ascii="Arial" w:hAnsi="Arial" w:cs="Arial"/>
          <w:sz w:val="24"/>
          <w:szCs w:val="24"/>
        </w:rPr>
        <w:t>e responded that they belonged to him. He added that he produced a stock card reflecting the exact number of the goats. Despite that, the</w:t>
      </w:r>
      <w:r w:rsidR="00C67856" w:rsidRPr="00C87A55">
        <w:rPr>
          <w:rFonts w:ascii="Arial" w:hAnsi="Arial" w:cs="Arial"/>
          <w:sz w:val="24"/>
          <w:szCs w:val="24"/>
        </w:rPr>
        <w:t>y</w:t>
      </w:r>
      <w:r w:rsidRPr="00C87A55">
        <w:rPr>
          <w:rFonts w:ascii="Arial" w:hAnsi="Arial" w:cs="Arial"/>
          <w:sz w:val="24"/>
          <w:szCs w:val="24"/>
        </w:rPr>
        <w:t xml:space="preserve"> confiscated 70 goats from the stock kraal </w:t>
      </w:r>
      <w:r w:rsidR="00C67856" w:rsidRPr="00C87A55">
        <w:rPr>
          <w:rFonts w:ascii="Arial" w:hAnsi="Arial" w:cs="Arial"/>
          <w:sz w:val="24"/>
          <w:szCs w:val="24"/>
        </w:rPr>
        <w:t xml:space="preserve">leaving </w:t>
      </w:r>
      <w:r w:rsidRPr="00C87A55">
        <w:rPr>
          <w:rFonts w:ascii="Arial" w:hAnsi="Arial" w:cs="Arial"/>
          <w:sz w:val="24"/>
          <w:szCs w:val="24"/>
        </w:rPr>
        <w:t>only two</w:t>
      </w:r>
      <w:r w:rsidR="00C67856" w:rsidRPr="00C87A55">
        <w:rPr>
          <w:rFonts w:ascii="Arial" w:hAnsi="Arial" w:cs="Arial"/>
          <w:sz w:val="24"/>
          <w:szCs w:val="24"/>
        </w:rPr>
        <w:t xml:space="preserve"> </w:t>
      </w:r>
      <w:r w:rsidRPr="00C87A55">
        <w:rPr>
          <w:rFonts w:ascii="Arial" w:hAnsi="Arial" w:cs="Arial"/>
          <w:sz w:val="24"/>
          <w:szCs w:val="24"/>
        </w:rPr>
        <w:t>thereby wrongfully depriving him of th</w:t>
      </w:r>
      <w:r w:rsidR="00C67856" w:rsidRPr="00C87A55">
        <w:rPr>
          <w:rFonts w:ascii="Arial" w:hAnsi="Arial" w:cs="Arial"/>
          <w:sz w:val="24"/>
          <w:szCs w:val="24"/>
        </w:rPr>
        <w:t>eir</w:t>
      </w:r>
      <w:r w:rsidRPr="00C87A55">
        <w:rPr>
          <w:rFonts w:ascii="Arial" w:hAnsi="Arial" w:cs="Arial"/>
          <w:sz w:val="24"/>
          <w:szCs w:val="24"/>
        </w:rPr>
        <w:t xml:space="preserve"> possession. They did not tell him why they seized the goats.</w:t>
      </w:r>
    </w:p>
    <w:p w14:paraId="42AABA2D" w14:textId="01CD1460" w:rsidR="00EB3306" w:rsidRPr="00C87A55" w:rsidRDefault="00987737" w:rsidP="00EB3306">
      <w:pPr>
        <w:spacing w:line="480" w:lineRule="auto"/>
        <w:jc w:val="both"/>
        <w:rPr>
          <w:rFonts w:ascii="Arial" w:hAnsi="Arial" w:cs="Arial"/>
          <w:sz w:val="24"/>
          <w:szCs w:val="24"/>
        </w:rPr>
      </w:pPr>
      <w:r w:rsidRPr="00C87A55">
        <w:rPr>
          <w:rFonts w:ascii="Arial" w:hAnsi="Arial" w:cs="Arial"/>
          <w:sz w:val="24"/>
          <w:szCs w:val="24"/>
        </w:rPr>
        <w:t xml:space="preserve"> </w:t>
      </w:r>
    </w:p>
    <w:p w14:paraId="0E0D8BBB" w14:textId="2AB52159" w:rsidR="00EB3306" w:rsidRPr="00C87A55" w:rsidRDefault="00EB3306" w:rsidP="00EB3306">
      <w:pPr>
        <w:spacing w:line="480" w:lineRule="auto"/>
        <w:jc w:val="both"/>
        <w:rPr>
          <w:rFonts w:ascii="Arial" w:hAnsi="Arial" w:cs="Arial"/>
          <w:sz w:val="24"/>
          <w:szCs w:val="24"/>
        </w:rPr>
      </w:pPr>
      <w:r w:rsidRPr="00C87A55">
        <w:rPr>
          <w:rFonts w:ascii="Arial" w:hAnsi="Arial" w:cs="Arial"/>
          <w:i/>
          <w:iCs/>
          <w:sz w:val="24"/>
          <w:szCs w:val="24"/>
        </w:rPr>
        <w:t xml:space="preserve">The answering affidavit                              </w:t>
      </w:r>
    </w:p>
    <w:p w14:paraId="38B63DCE" w14:textId="4C3F2918" w:rsidR="00EB3306" w:rsidRPr="00C87A55" w:rsidRDefault="00EB3306" w:rsidP="00EB3306">
      <w:pPr>
        <w:spacing w:line="480" w:lineRule="auto"/>
        <w:jc w:val="both"/>
        <w:rPr>
          <w:rFonts w:ascii="Arial" w:hAnsi="Arial" w:cs="Arial"/>
          <w:sz w:val="24"/>
          <w:szCs w:val="24"/>
        </w:rPr>
      </w:pPr>
      <w:r w:rsidRPr="00C87A55">
        <w:rPr>
          <w:rFonts w:ascii="Arial" w:hAnsi="Arial" w:cs="Arial"/>
          <w:sz w:val="24"/>
          <w:szCs w:val="24"/>
        </w:rPr>
        <w:t>[13]</w:t>
      </w:r>
      <w:r w:rsidRPr="00C87A55">
        <w:rPr>
          <w:rFonts w:ascii="Arial" w:hAnsi="Arial" w:cs="Arial"/>
          <w:sz w:val="24"/>
          <w:szCs w:val="24"/>
        </w:rPr>
        <w:tab/>
        <w:t>The deponent to the answering affidavit, Mr Odwa Xego, is a constable attached to the Stock Theft Unit in Qumbu. He stated that they (police officers) received information that there were goats kept at a certain homestead at Rayport Location, Etwa Administrative Area, in Qumbu. He, constable Banayi and another unnamed officer proceeded to Rayport Location where ‘</w:t>
      </w:r>
      <w:r w:rsidRPr="00C87A55">
        <w:rPr>
          <w:rFonts w:ascii="Arial" w:hAnsi="Arial" w:cs="Arial"/>
          <w:i/>
          <w:iCs/>
          <w:sz w:val="24"/>
          <w:szCs w:val="24"/>
        </w:rPr>
        <w:t>we found a number of goats in the kraal</w:t>
      </w:r>
      <w:r w:rsidRPr="00C87A55">
        <w:rPr>
          <w:rFonts w:ascii="Arial" w:hAnsi="Arial" w:cs="Arial"/>
          <w:sz w:val="24"/>
          <w:szCs w:val="24"/>
        </w:rPr>
        <w:t xml:space="preserve">’. On their arrival, they observed a male person, who turned out to be Mzwamajola, running away when he saw the police coming. </w:t>
      </w:r>
      <w:r w:rsidR="00064587" w:rsidRPr="00C87A55">
        <w:rPr>
          <w:rFonts w:ascii="Arial" w:hAnsi="Arial" w:cs="Arial"/>
          <w:sz w:val="24"/>
          <w:szCs w:val="24"/>
        </w:rPr>
        <w:t>The police officers asked him to s</w:t>
      </w:r>
      <w:r w:rsidRPr="00C87A55">
        <w:rPr>
          <w:rFonts w:ascii="Arial" w:hAnsi="Arial" w:cs="Arial"/>
          <w:sz w:val="24"/>
          <w:szCs w:val="24"/>
        </w:rPr>
        <w:t>top</w:t>
      </w:r>
      <w:r w:rsidR="00064587" w:rsidRPr="00C87A55">
        <w:rPr>
          <w:rFonts w:ascii="Arial" w:hAnsi="Arial" w:cs="Arial"/>
          <w:sz w:val="24"/>
          <w:szCs w:val="24"/>
        </w:rPr>
        <w:t>, which he did</w:t>
      </w:r>
      <w:r w:rsidRPr="00C87A55">
        <w:rPr>
          <w:rFonts w:ascii="Arial" w:hAnsi="Arial" w:cs="Arial"/>
          <w:sz w:val="24"/>
          <w:szCs w:val="24"/>
        </w:rPr>
        <w:t xml:space="preserve"> and approached the</w:t>
      </w:r>
      <w:r w:rsidR="00064587" w:rsidRPr="00C87A55">
        <w:rPr>
          <w:rFonts w:ascii="Arial" w:hAnsi="Arial" w:cs="Arial"/>
          <w:sz w:val="24"/>
          <w:szCs w:val="24"/>
        </w:rPr>
        <w:t xml:space="preserve"> police officers</w:t>
      </w:r>
      <w:r w:rsidRPr="00C87A55">
        <w:rPr>
          <w:rFonts w:ascii="Arial" w:hAnsi="Arial" w:cs="Arial"/>
          <w:sz w:val="24"/>
          <w:szCs w:val="24"/>
        </w:rPr>
        <w:t xml:space="preserve">. </w:t>
      </w:r>
      <w:r w:rsidR="00064587" w:rsidRPr="00C87A55">
        <w:rPr>
          <w:rFonts w:ascii="Arial" w:hAnsi="Arial" w:cs="Arial"/>
          <w:sz w:val="24"/>
          <w:szCs w:val="24"/>
        </w:rPr>
        <w:t>According to the police officers, h</w:t>
      </w:r>
      <w:r w:rsidRPr="00C87A55">
        <w:rPr>
          <w:rFonts w:ascii="Arial" w:hAnsi="Arial" w:cs="Arial"/>
          <w:sz w:val="24"/>
          <w:szCs w:val="24"/>
        </w:rPr>
        <w:t xml:space="preserve">e introduced himself as Mzwamajola Nkalitshana and claimed to be the owner of the goats. However, he could not produce a stock card. When requested to depose to an affidavit, he refused. According to the police officers, </w:t>
      </w:r>
      <w:r w:rsidR="006E3A9D" w:rsidRPr="00C87A55">
        <w:rPr>
          <w:rFonts w:ascii="Arial" w:hAnsi="Arial" w:cs="Arial"/>
          <w:sz w:val="24"/>
          <w:szCs w:val="24"/>
        </w:rPr>
        <w:t>suc</w:t>
      </w:r>
      <w:r w:rsidRPr="00C87A55">
        <w:rPr>
          <w:rFonts w:ascii="Arial" w:hAnsi="Arial" w:cs="Arial"/>
          <w:sz w:val="24"/>
          <w:szCs w:val="24"/>
        </w:rPr>
        <w:t xml:space="preserve">h refusal raised a suspicion that the goats </w:t>
      </w:r>
      <w:r w:rsidR="006E3A9D" w:rsidRPr="00C87A55">
        <w:rPr>
          <w:rFonts w:ascii="Arial" w:hAnsi="Arial" w:cs="Arial"/>
          <w:sz w:val="24"/>
          <w:szCs w:val="24"/>
        </w:rPr>
        <w:t xml:space="preserve">were </w:t>
      </w:r>
      <w:r w:rsidRPr="00C87A55">
        <w:rPr>
          <w:rFonts w:ascii="Arial" w:hAnsi="Arial" w:cs="Arial"/>
          <w:sz w:val="24"/>
          <w:szCs w:val="24"/>
        </w:rPr>
        <w:t>stolen</w:t>
      </w:r>
      <w:r w:rsidR="00064587" w:rsidRPr="00C87A55">
        <w:rPr>
          <w:rFonts w:ascii="Arial" w:hAnsi="Arial" w:cs="Arial"/>
          <w:sz w:val="24"/>
          <w:szCs w:val="24"/>
        </w:rPr>
        <w:t>,</w:t>
      </w:r>
      <w:r w:rsidRPr="00C87A55">
        <w:rPr>
          <w:rFonts w:ascii="Arial" w:hAnsi="Arial" w:cs="Arial"/>
          <w:sz w:val="24"/>
          <w:szCs w:val="24"/>
        </w:rPr>
        <w:t xml:space="preserve"> hence they confiscated the</w:t>
      </w:r>
      <w:r w:rsidR="00064587" w:rsidRPr="00C87A55">
        <w:rPr>
          <w:rFonts w:ascii="Arial" w:hAnsi="Arial" w:cs="Arial"/>
          <w:sz w:val="24"/>
          <w:szCs w:val="24"/>
        </w:rPr>
        <w:t>m</w:t>
      </w:r>
      <w:r w:rsidRPr="00C87A55">
        <w:rPr>
          <w:rFonts w:ascii="Arial" w:hAnsi="Arial" w:cs="Arial"/>
          <w:sz w:val="24"/>
          <w:szCs w:val="24"/>
        </w:rPr>
        <w:t>.</w:t>
      </w:r>
    </w:p>
    <w:p w14:paraId="426DDC81" w14:textId="77777777" w:rsidR="00EB3306" w:rsidRPr="00C87A55" w:rsidRDefault="00EB3306" w:rsidP="00EB3306">
      <w:pPr>
        <w:spacing w:line="480" w:lineRule="auto"/>
        <w:jc w:val="both"/>
        <w:rPr>
          <w:rFonts w:ascii="Arial" w:hAnsi="Arial" w:cs="Arial"/>
          <w:sz w:val="24"/>
          <w:szCs w:val="24"/>
        </w:rPr>
      </w:pPr>
    </w:p>
    <w:p w14:paraId="326AC91A" w14:textId="244AD22B" w:rsidR="00987737" w:rsidRPr="00C87A55" w:rsidRDefault="006E3A9D" w:rsidP="00987737">
      <w:pPr>
        <w:spacing w:line="480" w:lineRule="auto"/>
        <w:jc w:val="both"/>
        <w:rPr>
          <w:rFonts w:ascii="Arial" w:hAnsi="Arial" w:cs="Arial"/>
          <w:sz w:val="24"/>
          <w:szCs w:val="24"/>
        </w:rPr>
      </w:pPr>
      <w:r w:rsidRPr="00C87A55">
        <w:rPr>
          <w:rFonts w:ascii="Arial" w:hAnsi="Arial" w:cs="Arial"/>
          <w:sz w:val="24"/>
          <w:szCs w:val="24"/>
        </w:rPr>
        <w:lastRenderedPageBreak/>
        <w:t>[14]</w:t>
      </w:r>
      <w:r w:rsidRPr="00C87A55">
        <w:rPr>
          <w:rFonts w:ascii="Arial" w:hAnsi="Arial" w:cs="Arial"/>
          <w:sz w:val="24"/>
          <w:szCs w:val="24"/>
        </w:rPr>
        <w:tab/>
      </w:r>
      <w:r w:rsidR="00987737" w:rsidRPr="00C87A55">
        <w:rPr>
          <w:rFonts w:ascii="Arial" w:hAnsi="Arial" w:cs="Arial"/>
          <w:sz w:val="24"/>
          <w:szCs w:val="24"/>
        </w:rPr>
        <w:t>In the replying affidavit, the applicant denie</w:t>
      </w:r>
      <w:r w:rsidR="00C67856" w:rsidRPr="00C87A55">
        <w:rPr>
          <w:rFonts w:ascii="Arial" w:hAnsi="Arial" w:cs="Arial"/>
          <w:sz w:val="24"/>
          <w:szCs w:val="24"/>
        </w:rPr>
        <w:t>d</w:t>
      </w:r>
      <w:r w:rsidR="00987737" w:rsidRPr="00C87A55">
        <w:rPr>
          <w:rFonts w:ascii="Arial" w:hAnsi="Arial" w:cs="Arial"/>
          <w:sz w:val="24"/>
          <w:szCs w:val="24"/>
        </w:rPr>
        <w:t xml:space="preserve"> that the police officers spoke to his uncle, Mzwamajola, when they visited his homestead. He disputed further that Mzwamajola claimed to be the owner of the goats. He was </w:t>
      </w:r>
      <w:r w:rsidR="00C67856" w:rsidRPr="00C87A55">
        <w:rPr>
          <w:rFonts w:ascii="Arial" w:hAnsi="Arial" w:cs="Arial"/>
          <w:sz w:val="24"/>
          <w:szCs w:val="24"/>
        </w:rPr>
        <w:t xml:space="preserve">also </w:t>
      </w:r>
      <w:r w:rsidR="00987737" w:rsidRPr="00C87A55">
        <w:rPr>
          <w:rFonts w:ascii="Arial" w:hAnsi="Arial" w:cs="Arial"/>
          <w:sz w:val="24"/>
          <w:szCs w:val="24"/>
        </w:rPr>
        <w:t>not asked to produce a stock card and did not refuse to depose to an affidavit. Although the police officers allege</w:t>
      </w:r>
      <w:r w:rsidR="00C67856" w:rsidRPr="00C87A55">
        <w:rPr>
          <w:rFonts w:ascii="Arial" w:hAnsi="Arial" w:cs="Arial"/>
          <w:sz w:val="24"/>
          <w:szCs w:val="24"/>
        </w:rPr>
        <w:t>d</w:t>
      </w:r>
      <w:r w:rsidR="00987737" w:rsidRPr="00C87A55">
        <w:rPr>
          <w:rFonts w:ascii="Arial" w:hAnsi="Arial" w:cs="Arial"/>
          <w:sz w:val="24"/>
          <w:szCs w:val="24"/>
        </w:rPr>
        <w:t xml:space="preserve"> that they suspected that the goats might have been stolen, they neither investigated nor arrested </w:t>
      </w:r>
      <w:r w:rsidR="007D1D8E" w:rsidRPr="00C87A55">
        <w:rPr>
          <w:rFonts w:ascii="Arial" w:hAnsi="Arial" w:cs="Arial"/>
          <w:sz w:val="24"/>
          <w:szCs w:val="24"/>
        </w:rPr>
        <w:t>t</w:t>
      </w:r>
      <w:r w:rsidR="003A42B3" w:rsidRPr="00C87A55">
        <w:rPr>
          <w:rFonts w:ascii="Arial" w:hAnsi="Arial" w:cs="Arial"/>
          <w:sz w:val="24"/>
          <w:szCs w:val="24"/>
        </w:rPr>
        <w:t>h</w:t>
      </w:r>
      <w:r w:rsidR="007D1D8E" w:rsidRPr="00C87A55">
        <w:rPr>
          <w:rFonts w:ascii="Arial" w:hAnsi="Arial" w:cs="Arial"/>
          <w:sz w:val="24"/>
          <w:szCs w:val="24"/>
        </w:rPr>
        <w:t>e applicant</w:t>
      </w:r>
      <w:r w:rsidR="003A42B3" w:rsidRPr="00C87A55">
        <w:rPr>
          <w:rFonts w:ascii="Arial" w:hAnsi="Arial" w:cs="Arial"/>
          <w:sz w:val="24"/>
          <w:szCs w:val="24"/>
        </w:rPr>
        <w:t xml:space="preserve"> </w:t>
      </w:r>
      <w:r w:rsidR="00987737" w:rsidRPr="00C87A55">
        <w:rPr>
          <w:rFonts w:ascii="Arial" w:hAnsi="Arial" w:cs="Arial"/>
          <w:sz w:val="24"/>
          <w:szCs w:val="24"/>
        </w:rPr>
        <w:t xml:space="preserve">or his uncle. </w:t>
      </w:r>
      <w:r w:rsidR="007D1D8E" w:rsidRPr="00C87A55">
        <w:rPr>
          <w:rFonts w:ascii="Arial" w:hAnsi="Arial" w:cs="Arial"/>
          <w:sz w:val="24"/>
          <w:szCs w:val="24"/>
        </w:rPr>
        <w:t>The applicant</w:t>
      </w:r>
      <w:r w:rsidR="00987737" w:rsidRPr="00C87A55">
        <w:rPr>
          <w:rFonts w:ascii="Arial" w:hAnsi="Arial" w:cs="Arial"/>
          <w:sz w:val="24"/>
          <w:szCs w:val="24"/>
        </w:rPr>
        <w:t xml:space="preserve"> d</w:t>
      </w:r>
      <w:r w:rsidR="00C67856" w:rsidRPr="00C87A55">
        <w:rPr>
          <w:rFonts w:ascii="Arial" w:hAnsi="Arial" w:cs="Arial"/>
          <w:sz w:val="24"/>
          <w:szCs w:val="24"/>
        </w:rPr>
        <w:t>en</w:t>
      </w:r>
      <w:r w:rsidR="00987737" w:rsidRPr="00C87A55">
        <w:rPr>
          <w:rFonts w:ascii="Arial" w:hAnsi="Arial" w:cs="Arial"/>
          <w:sz w:val="24"/>
          <w:szCs w:val="24"/>
        </w:rPr>
        <w:t>ie</w:t>
      </w:r>
      <w:r w:rsidR="00C67856" w:rsidRPr="00C87A55">
        <w:rPr>
          <w:rFonts w:ascii="Arial" w:hAnsi="Arial" w:cs="Arial"/>
          <w:sz w:val="24"/>
          <w:szCs w:val="24"/>
        </w:rPr>
        <w:t>d</w:t>
      </w:r>
      <w:r w:rsidR="00987737" w:rsidRPr="00C87A55">
        <w:rPr>
          <w:rFonts w:ascii="Arial" w:hAnsi="Arial" w:cs="Arial"/>
          <w:sz w:val="24"/>
          <w:szCs w:val="24"/>
        </w:rPr>
        <w:t xml:space="preserve"> that there were people who claimed to be the owners of the goats, as alleged by the police officers.   </w:t>
      </w:r>
    </w:p>
    <w:p w14:paraId="45B1C602" w14:textId="77777777" w:rsidR="00987737" w:rsidRPr="00C87A55" w:rsidRDefault="00987737" w:rsidP="00987737">
      <w:pPr>
        <w:spacing w:line="480" w:lineRule="auto"/>
        <w:jc w:val="both"/>
        <w:rPr>
          <w:rFonts w:ascii="Arial" w:hAnsi="Arial" w:cs="Arial"/>
          <w:i/>
          <w:iCs/>
          <w:sz w:val="24"/>
          <w:szCs w:val="24"/>
        </w:rPr>
      </w:pPr>
    </w:p>
    <w:p w14:paraId="2A8246C9" w14:textId="20C00C37" w:rsidR="00987737" w:rsidRPr="00C87A55" w:rsidRDefault="00987737" w:rsidP="00987737">
      <w:pPr>
        <w:spacing w:line="480" w:lineRule="auto"/>
        <w:jc w:val="both"/>
        <w:rPr>
          <w:rFonts w:ascii="Arial" w:hAnsi="Arial" w:cs="Arial"/>
          <w:i/>
          <w:iCs/>
          <w:sz w:val="24"/>
          <w:szCs w:val="24"/>
          <w:u w:val="single"/>
        </w:rPr>
      </w:pPr>
      <w:r w:rsidRPr="00C87A55">
        <w:rPr>
          <w:rFonts w:ascii="Arial" w:hAnsi="Arial" w:cs="Arial"/>
          <w:i/>
          <w:iCs/>
          <w:sz w:val="24"/>
          <w:szCs w:val="24"/>
        </w:rPr>
        <w:t xml:space="preserve">The defences raised by the </w:t>
      </w:r>
      <w:r w:rsidR="00AD3A5A" w:rsidRPr="00C87A55">
        <w:rPr>
          <w:rFonts w:ascii="Arial" w:hAnsi="Arial" w:cs="Arial"/>
          <w:i/>
          <w:iCs/>
          <w:sz w:val="24"/>
          <w:szCs w:val="24"/>
        </w:rPr>
        <w:t>respondent.</w:t>
      </w:r>
    </w:p>
    <w:p w14:paraId="62E24B6F" w14:textId="598542D5" w:rsidR="00987737" w:rsidRPr="00C87A55" w:rsidRDefault="00987737" w:rsidP="00987737">
      <w:pPr>
        <w:spacing w:line="480" w:lineRule="auto"/>
        <w:jc w:val="both"/>
        <w:rPr>
          <w:rFonts w:ascii="Arial" w:hAnsi="Arial" w:cs="Arial"/>
          <w:sz w:val="24"/>
          <w:szCs w:val="24"/>
        </w:rPr>
      </w:pPr>
      <w:r w:rsidRPr="00C87A55">
        <w:rPr>
          <w:rFonts w:ascii="Arial" w:hAnsi="Arial" w:cs="Arial"/>
          <w:sz w:val="24"/>
          <w:szCs w:val="24"/>
        </w:rPr>
        <w:t>[1</w:t>
      </w:r>
      <w:r w:rsidR="003A42B3" w:rsidRPr="00C87A55">
        <w:rPr>
          <w:rFonts w:ascii="Arial" w:hAnsi="Arial" w:cs="Arial"/>
          <w:sz w:val="24"/>
          <w:szCs w:val="24"/>
        </w:rPr>
        <w:t>5</w:t>
      </w:r>
      <w:r w:rsidRPr="00C87A55">
        <w:rPr>
          <w:rFonts w:ascii="Arial" w:hAnsi="Arial" w:cs="Arial"/>
          <w:sz w:val="24"/>
          <w:szCs w:val="24"/>
        </w:rPr>
        <w:t>]</w:t>
      </w:r>
      <w:r w:rsidRPr="00C87A55">
        <w:rPr>
          <w:rFonts w:ascii="Arial" w:hAnsi="Arial" w:cs="Arial"/>
          <w:sz w:val="24"/>
          <w:szCs w:val="24"/>
        </w:rPr>
        <w:tab/>
        <w:t xml:space="preserve">The respondent raised two defences. </w:t>
      </w:r>
      <w:r w:rsidR="003A42B3" w:rsidRPr="00C87A55">
        <w:rPr>
          <w:rFonts w:ascii="Arial" w:hAnsi="Arial" w:cs="Arial"/>
          <w:sz w:val="24"/>
          <w:szCs w:val="24"/>
        </w:rPr>
        <w:t>Th</w:t>
      </w:r>
      <w:r w:rsidRPr="00C87A55">
        <w:rPr>
          <w:rFonts w:ascii="Arial" w:hAnsi="Arial" w:cs="Arial"/>
          <w:sz w:val="24"/>
          <w:szCs w:val="24"/>
        </w:rPr>
        <w:t xml:space="preserve">e </w:t>
      </w:r>
      <w:r w:rsidR="003A42B3" w:rsidRPr="00C87A55">
        <w:rPr>
          <w:rFonts w:ascii="Arial" w:hAnsi="Arial" w:cs="Arial"/>
          <w:sz w:val="24"/>
          <w:szCs w:val="24"/>
        </w:rPr>
        <w:t xml:space="preserve">police officers </w:t>
      </w:r>
      <w:r w:rsidRPr="00C87A55">
        <w:rPr>
          <w:rFonts w:ascii="Arial" w:hAnsi="Arial" w:cs="Arial"/>
          <w:sz w:val="24"/>
          <w:szCs w:val="24"/>
        </w:rPr>
        <w:t>denied that the applicant was in possession of the goats at the time of the alleged spoliation. That is because the goats were found in Ms Conny Nkalitshana’s homestead who is a mayor in Mpumalanga. The</w:t>
      </w:r>
      <w:r w:rsidR="003A42B3" w:rsidRPr="00C87A55">
        <w:rPr>
          <w:rFonts w:ascii="Arial" w:hAnsi="Arial" w:cs="Arial"/>
          <w:sz w:val="24"/>
          <w:szCs w:val="24"/>
        </w:rPr>
        <w:t>y</w:t>
      </w:r>
      <w:r w:rsidRPr="00C87A55">
        <w:rPr>
          <w:rFonts w:ascii="Arial" w:hAnsi="Arial" w:cs="Arial"/>
          <w:sz w:val="24"/>
          <w:szCs w:val="24"/>
        </w:rPr>
        <w:t xml:space="preserve"> suspected that the goats </w:t>
      </w:r>
      <w:r w:rsidR="003A42B3" w:rsidRPr="00C87A55">
        <w:rPr>
          <w:rFonts w:ascii="Arial" w:hAnsi="Arial" w:cs="Arial"/>
          <w:sz w:val="24"/>
          <w:szCs w:val="24"/>
        </w:rPr>
        <w:t xml:space="preserve">were </w:t>
      </w:r>
      <w:r w:rsidRPr="00C87A55">
        <w:rPr>
          <w:rFonts w:ascii="Arial" w:hAnsi="Arial" w:cs="Arial"/>
          <w:sz w:val="24"/>
          <w:szCs w:val="24"/>
        </w:rPr>
        <w:t>stolen as they were not given a satisfactory explanation as to the</w:t>
      </w:r>
      <w:r w:rsidR="003A42B3" w:rsidRPr="00C87A55">
        <w:rPr>
          <w:rFonts w:ascii="Arial" w:hAnsi="Arial" w:cs="Arial"/>
          <w:sz w:val="24"/>
          <w:szCs w:val="24"/>
        </w:rPr>
        <w:t>ir</w:t>
      </w:r>
      <w:r w:rsidRPr="00C87A55">
        <w:rPr>
          <w:rFonts w:ascii="Arial" w:hAnsi="Arial" w:cs="Arial"/>
          <w:sz w:val="24"/>
          <w:szCs w:val="24"/>
        </w:rPr>
        <w:t xml:space="preserve"> </w:t>
      </w:r>
      <w:r w:rsidR="00AD3A5A" w:rsidRPr="00C87A55">
        <w:rPr>
          <w:rFonts w:ascii="Arial" w:hAnsi="Arial" w:cs="Arial"/>
          <w:sz w:val="24"/>
          <w:szCs w:val="24"/>
        </w:rPr>
        <w:t>ownership</w:t>
      </w:r>
      <w:r w:rsidR="003A42B3" w:rsidRPr="00C87A55">
        <w:rPr>
          <w:rFonts w:ascii="Arial" w:hAnsi="Arial" w:cs="Arial"/>
          <w:sz w:val="24"/>
          <w:szCs w:val="24"/>
        </w:rPr>
        <w:t>.</w:t>
      </w:r>
      <w:r w:rsidRPr="00C87A55">
        <w:rPr>
          <w:rFonts w:ascii="Arial" w:hAnsi="Arial" w:cs="Arial"/>
          <w:sz w:val="24"/>
          <w:szCs w:val="24"/>
        </w:rPr>
        <w:t xml:space="preserve"> </w:t>
      </w:r>
      <w:r w:rsidR="003A42B3" w:rsidRPr="00C87A55">
        <w:rPr>
          <w:rFonts w:ascii="Arial" w:hAnsi="Arial" w:cs="Arial"/>
          <w:sz w:val="24"/>
          <w:szCs w:val="24"/>
        </w:rPr>
        <w:t>They contended that the</w:t>
      </w:r>
      <w:r w:rsidRPr="00C87A55">
        <w:rPr>
          <w:rFonts w:ascii="Arial" w:hAnsi="Arial" w:cs="Arial"/>
          <w:sz w:val="24"/>
          <w:szCs w:val="24"/>
        </w:rPr>
        <w:t xml:space="preserve"> deprivation </w:t>
      </w:r>
      <w:r w:rsidR="003A42B3" w:rsidRPr="00C87A55">
        <w:rPr>
          <w:rFonts w:ascii="Arial" w:hAnsi="Arial" w:cs="Arial"/>
          <w:sz w:val="24"/>
          <w:szCs w:val="24"/>
        </w:rPr>
        <w:t xml:space="preserve">of the said goats </w:t>
      </w:r>
      <w:r w:rsidRPr="00C87A55">
        <w:rPr>
          <w:rFonts w:ascii="Arial" w:hAnsi="Arial" w:cs="Arial"/>
          <w:sz w:val="24"/>
          <w:szCs w:val="24"/>
        </w:rPr>
        <w:t>was not wrongful.</w:t>
      </w:r>
    </w:p>
    <w:p w14:paraId="44BC1498" w14:textId="77777777" w:rsidR="00C87A55" w:rsidRDefault="00C87A55" w:rsidP="00987737">
      <w:pPr>
        <w:spacing w:line="480" w:lineRule="auto"/>
        <w:jc w:val="both"/>
        <w:rPr>
          <w:rFonts w:ascii="Arial" w:hAnsi="Arial" w:cs="Arial"/>
          <w:i/>
          <w:iCs/>
          <w:sz w:val="24"/>
          <w:szCs w:val="24"/>
        </w:rPr>
      </w:pPr>
    </w:p>
    <w:p w14:paraId="010057A1" w14:textId="206B056E" w:rsidR="00987737" w:rsidRPr="00C87A55" w:rsidRDefault="00987737" w:rsidP="00987737">
      <w:pPr>
        <w:spacing w:line="480" w:lineRule="auto"/>
        <w:jc w:val="both"/>
        <w:rPr>
          <w:rFonts w:ascii="Arial" w:hAnsi="Arial" w:cs="Arial"/>
          <w:sz w:val="24"/>
          <w:szCs w:val="24"/>
        </w:rPr>
      </w:pPr>
      <w:r w:rsidRPr="00C87A55">
        <w:rPr>
          <w:rFonts w:ascii="Arial" w:hAnsi="Arial" w:cs="Arial"/>
          <w:i/>
          <w:iCs/>
          <w:sz w:val="24"/>
          <w:szCs w:val="24"/>
        </w:rPr>
        <w:t>Issues</w:t>
      </w:r>
    </w:p>
    <w:p w14:paraId="02F461BF" w14:textId="77777777" w:rsidR="00C87A55" w:rsidRDefault="00987737" w:rsidP="00987737">
      <w:pPr>
        <w:spacing w:line="480" w:lineRule="auto"/>
        <w:jc w:val="both"/>
        <w:rPr>
          <w:rFonts w:ascii="Arial" w:hAnsi="Arial" w:cs="Arial"/>
          <w:sz w:val="24"/>
          <w:szCs w:val="24"/>
        </w:rPr>
      </w:pPr>
      <w:r w:rsidRPr="00C87A55">
        <w:rPr>
          <w:rFonts w:ascii="Arial" w:hAnsi="Arial" w:cs="Arial"/>
          <w:sz w:val="24"/>
          <w:szCs w:val="24"/>
        </w:rPr>
        <w:t>[1</w:t>
      </w:r>
      <w:r w:rsidR="003A42B3" w:rsidRPr="00C87A55">
        <w:rPr>
          <w:rFonts w:ascii="Arial" w:hAnsi="Arial" w:cs="Arial"/>
          <w:sz w:val="24"/>
          <w:szCs w:val="24"/>
        </w:rPr>
        <w:t>6</w:t>
      </w:r>
      <w:r w:rsidRPr="00C87A55">
        <w:rPr>
          <w:rFonts w:ascii="Arial" w:hAnsi="Arial" w:cs="Arial"/>
          <w:sz w:val="24"/>
          <w:szCs w:val="24"/>
        </w:rPr>
        <w:t>]</w:t>
      </w:r>
      <w:r w:rsidRPr="00C87A55">
        <w:rPr>
          <w:rFonts w:ascii="Arial" w:hAnsi="Arial" w:cs="Arial"/>
          <w:sz w:val="24"/>
          <w:szCs w:val="24"/>
        </w:rPr>
        <w:tab/>
        <w:t xml:space="preserve">The issue is whether the applicant was in possession of the goats </w:t>
      </w:r>
      <w:r w:rsidR="00355841" w:rsidRPr="00C87A55">
        <w:rPr>
          <w:rFonts w:ascii="Arial" w:hAnsi="Arial" w:cs="Arial"/>
          <w:sz w:val="24"/>
          <w:szCs w:val="24"/>
        </w:rPr>
        <w:t xml:space="preserve">at the relevant time </w:t>
      </w:r>
      <w:r w:rsidRPr="00C87A55">
        <w:rPr>
          <w:rFonts w:ascii="Arial" w:hAnsi="Arial" w:cs="Arial"/>
          <w:sz w:val="24"/>
          <w:szCs w:val="24"/>
        </w:rPr>
        <w:t>and whether the respondent dispossessed him of such possession forcibly or unlawfully and against his consent.</w:t>
      </w:r>
    </w:p>
    <w:p w14:paraId="052E73B0" w14:textId="4AD25ADB" w:rsidR="00987737" w:rsidRPr="00C87A55" w:rsidRDefault="00987737" w:rsidP="00987737">
      <w:pPr>
        <w:spacing w:line="480" w:lineRule="auto"/>
        <w:jc w:val="both"/>
        <w:rPr>
          <w:rFonts w:ascii="Arial" w:hAnsi="Arial" w:cs="Arial"/>
          <w:sz w:val="24"/>
          <w:szCs w:val="24"/>
        </w:rPr>
      </w:pPr>
      <w:r w:rsidRPr="00C87A55">
        <w:rPr>
          <w:rFonts w:ascii="Arial" w:hAnsi="Arial" w:cs="Arial"/>
          <w:sz w:val="24"/>
          <w:szCs w:val="24"/>
        </w:rPr>
        <w:t xml:space="preserve">   </w:t>
      </w:r>
    </w:p>
    <w:p w14:paraId="390F1E60" w14:textId="77777777" w:rsidR="00C87A55" w:rsidRDefault="00C87A55" w:rsidP="00987737">
      <w:pPr>
        <w:spacing w:line="480" w:lineRule="auto"/>
        <w:jc w:val="both"/>
        <w:rPr>
          <w:rFonts w:ascii="Arial" w:hAnsi="Arial" w:cs="Arial"/>
          <w:i/>
          <w:iCs/>
          <w:sz w:val="24"/>
          <w:szCs w:val="24"/>
        </w:rPr>
      </w:pPr>
    </w:p>
    <w:p w14:paraId="6FD3226A" w14:textId="27BA81B7" w:rsidR="00987737" w:rsidRPr="00C87A55" w:rsidRDefault="00987737" w:rsidP="00987737">
      <w:pPr>
        <w:spacing w:line="480" w:lineRule="auto"/>
        <w:jc w:val="both"/>
        <w:rPr>
          <w:rFonts w:ascii="Arial" w:hAnsi="Arial" w:cs="Arial"/>
          <w:i/>
          <w:iCs/>
          <w:sz w:val="24"/>
          <w:szCs w:val="24"/>
        </w:rPr>
      </w:pPr>
      <w:r w:rsidRPr="00C87A55">
        <w:rPr>
          <w:rFonts w:ascii="Arial" w:hAnsi="Arial" w:cs="Arial"/>
          <w:i/>
          <w:iCs/>
          <w:sz w:val="24"/>
          <w:szCs w:val="24"/>
        </w:rPr>
        <w:lastRenderedPageBreak/>
        <w:t>The applicable law regarding mandament van spolie</w:t>
      </w:r>
    </w:p>
    <w:p w14:paraId="49EC955B" w14:textId="77777777" w:rsidR="002A2DBD" w:rsidRDefault="00987737" w:rsidP="00987737">
      <w:pPr>
        <w:spacing w:line="480" w:lineRule="auto"/>
        <w:ind w:left="720" w:hanging="720"/>
        <w:jc w:val="both"/>
        <w:rPr>
          <w:rFonts w:ascii="Arial" w:hAnsi="Arial" w:cs="Arial"/>
          <w:sz w:val="24"/>
          <w:szCs w:val="24"/>
        </w:rPr>
      </w:pPr>
      <w:r w:rsidRPr="00C87A55">
        <w:rPr>
          <w:rFonts w:ascii="Arial" w:hAnsi="Arial" w:cs="Arial"/>
          <w:sz w:val="24"/>
          <w:szCs w:val="24"/>
        </w:rPr>
        <w:t>[1</w:t>
      </w:r>
      <w:r w:rsidR="00355841" w:rsidRPr="00C87A55">
        <w:rPr>
          <w:rFonts w:ascii="Arial" w:hAnsi="Arial" w:cs="Arial"/>
          <w:sz w:val="24"/>
          <w:szCs w:val="24"/>
        </w:rPr>
        <w:t>7</w:t>
      </w:r>
      <w:r w:rsidRPr="00C87A55">
        <w:rPr>
          <w:rFonts w:ascii="Arial" w:hAnsi="Arial" w:cs="Arial"/>
          <w:sz w:val="24"/>
          <w:szCs w:val="24"/>
        </w:rPr>
        <w:t>]</w:t>
      </w:r>
      <w:r w:rsidRPr="00C87A55">
        <w:rPr>
          <w:rFonts w:ascii="Arial" w:hAnsi="Arial" w:cs="Arial"/>
          <w:sz w:val="24"/>
          <w:szCs w:val="24"/>
        </w:rPr>
        <w:tab/>
        <w:t xml:space="preserve">Spoliation is an extraordinary, robust and speedy remedy. An applicant seeking </w:t>
      </w:r>
    </w:p>
    <w:p w14:paraId="43570273" w14:textId="77777777" w:rsidR="002A2DBD" w:rsidRDefault="00987737" w:rsidP="00987737">
      <w:pPr>
        <w:spacing w:line="480" w:lineRule="auto"/>
        <w:ind w:left="720" w:hanging="720"/>
        <w:jc w:val="both"/>
        <w:rPr>
          <w:rFonts w:ascii="Arial" w:hAnsi="Arial" w:cs="Arial"/>
          <w:sz w:val="24"/>
          <w:szCs w:val="24"/>
        </w:rPr>
      </w:pPr>
      <w:r w:rsidRPr="00C87A55">
        <w:rPr>
          <w:rFonts w:ascii="Arial" w:hAnsi="Arial" w:cs="Arial"/>
          <w:i/>
          <w:iCs/>
          <w:sz w:val="24"/>
          <w:szCs w:val="24"/>
        </w:rPr>
        <w:t>mandament van spolie</w:t>
      </w:r>
      <w:r w:rsidRPr="00C87A55">
        <w:rPr>
          <w:rFonts w:ascii="Arial" w:hAnsi="Arial" w:cs="Arial"/>
          <w:sz w:val="24"/>
          <w:szCs w:val="24"/>
        </w:rPr>
        <w:t xml:space="preserve"> must allege and prove that he was in peaceful and undisturbed </w:t>
      </w:r>
    </w:p>
    <w:p w14:paraId="054E39D5" w14:textId="77777777" w:rsidR="002A2DBD" w:rsidRDefault="00987737" w:rsidP="00987737">
      <w:pPr>
        <w:spacing w:line="480" w:lineRule="auto"/>
        <w:ind w:left="720" w:hanging="720"/>
        <w:jc w:val="both"/>
        <w:rPr>
          <w:rFonts w:ascii="Arial" w:hAnsi="Arial" w:cs="Arial"/>
          <w:sz w:val="24"/>
          <w:szCs w:val="24"/>
        </w:rPr>
      </w:pPr>
      <w:r w:rsidRPr="00C87A55">
        <w:rPr>
          <w:rFonts w:ascii="Arial" w:hAnsi="Arial" w:cs="Arial"/>
          <w:sz w:val="24"/>
          <w:szCs w:val="24"/>
        </w:rPr>
        <w:t xml:space="preserve">possession of the thing and was unlawfully deprived of possession by the respondent. </w:t>
      </w:r>
    </w:p>
    <w:p w14:paraId="0DDAAD44" w14:textId="77777777" w:rsidR="002A2DBD" w:rsidRDefault="00987737" w:rsidP="00987737">
      <w:pPr>
        <w:spacing w:line="480" w:lineRule="auto"/>
        <w:ind w:left="720" w:hanging="720"/>
        <w:jc w:val="both"/>
        <w:rPr>
          <w:rFonts w:ascii="Arial" w:hAnsi="Arial" w:cs="Arial"/>
          <w:sz w:val="24"/>
          <w:szCs w:val="24"/>
        </w:rPr>
      </w:pPr>
      <w:r w:rsidRPr="00C87A55">
        <w:rPr>
          <w:rFonts w:ascii="Arial" w:hAnsi="Arial" w:cs="Arial"/>
          <w:sz w:val="24"/>
          <w:szCs w:val="24"/>
        </w:rPr>
        <w:t>In this context ‘</w:t>
      </w:r>
      <w:r w:rsidRPr="00C87A55">
        <w:rPr>
          <w:rFonts w:ascii="Arial" w:hAnsi="Arial" w:cs="Arial"/>
          <w:i/>
          <w:iCs/>
          <w:sz w:val="24"/>
          <w:szCs w:val="24"/>
        </w:rPr>
        <w:t>unlawful</w:t>
      </w:r>
      <w:r w:rsidRPr="00C87A55">
        <w:rPr>
          <w:rFonts w:ascii="Arial" w:hAnsi="Arial" w:cs="Arial"/>
          <w:sz w:val="24"/>
          <w:szCs w:val="24"/>
        </w:rPr>
        <w:t xml:space="preserve">’ refers to dispossession without the applicant’s consent or due </w:t>
      </w:r>
    </w:p>
    <w:p w14:paraId="3D3A244C" w14:textId="77777777" w:rsidR="002A2DBD" w:rsidRDefault="00987737" w:rsidP="00987737">
      <w:pPr>
        <w:spacing w:line="480" w:lineRule="auto"/>
        <w:ind w:left="720" w:hanging="720"/>
        <w:jc w:val="both"/>
        <w:rPr>
          <w:rFonts w:ascii="Arial" w:hAnsi="Arial" w:cs="Arial"/>
          <w:sz w:val="24"/>
          <w:szCs w:val="24"/>
        </w:rPr>
      </w:pPr>
      <w:r w:rsidRPr="00C87A55">
        <w:rPr>
          <w:rFonts w:ascii="Arial" w:hAnsi="Arial" w:cs="Arial"/>
          <w:sz w:val="24"/>
          <w:szCs w:val="24"/>
        </w:rPr>
        <w:t>legal process.</w:t>
      </w:r>
      <w:r w:rsidRPr="00C87A55">
        <w:rPr>
          <w:rStyle w:val="FootnoteReference"/>
          <w:rFonts w:ascii="Arial" w:hAnsi="Arial" w:cs="Arial"/>
          <w:sz w:val="24"/>
          <w:szCs w:val="24"/>
        </w:rPr>
        <w:footnoteReference w:id="3"/>
      </w:r>
      <w:r w:rsidRPr="00C87A55">
        <w:rPr>
          <w:rFonts w:ascii="Arial" w:hAnsi="Arial" w:cs="Arial"/>
          <w:sz w:val="24"/>
          <w:szCs w:val="24"/>
        </w:rPr>
        <w:t xml:space="preserve"> Notably, it is a physical possession, not the right to possession that is </w:t>
      </w:r>
    </w:p>
    <w:p w14:paraId="679BF5CB" w14:textId="77777777" w:rsidR="002A2DBD" w:rsidRDefault="00987737" w:rsidP="00987737">
      <w:pPr>
        <w:spacing w:line="480" w:lineRule="auto"/>
        <w:ind w:left="720" w:hanging="720"/>
        <w:jc w:val="both"/>
        <w:rPr>
          <w:rFonts w:ascii="Arial" w:hAnsi="Arial" w:cs="Arial"/>
          <w:sz w:val="24"/>
          <w:szCs w:val="24"/>
        </w:rPr>
      </w:pPr>
      <w:r w:rsidRPr="00C87A55">
        <w:rPr>
          <w:rFonts w:ascii="Arial" w:hAnsi="Arial" w:cs="Arial"/>
          <w:sz w:val="24"/>
          <w:szCs w:val="24"/>
        </w:rPr>
        <w:t xml:space="preserve">protected. Possession for purposes of the </w:t>
      </w:r>
      <w:r w:rsidRPr="00C87A55">
        <w:rPr>
          <w:rFonts w:ascii="Arial" w:hAnsi="Arial" w:cs="Arial"/>
          <w:i/>
          <w:iCs/>
          <w:sz w:val="24"/>
          <w:szCs w:val="24"/>
        </w:rPr>
        <w:t>mandament</w:t>
      </w:r>
      <w:r w:rsidRPr="00C87A55">
        <w:rPr>
          <w:rFonts w:ascii="Arial" w:hAnsi="Arial" w:cs="Arial"/>
          <w:sz w:val="24"/>
          <w:szCs w:val="24"/>
        </w:rPr>
        <w:t xml:space="preserve"> is not possession in the strict </w:t>
      </w:r>
    </w:p>
    <w:p w14:paraId="2F25B1E3" w14:textId="77777777" w:rsidR="002A2DBD" w:rsidRDefault="00987737" w:rsidP="00987737">
      <w:pPr>
        <w:spacing w:line="480" w:lineRule="auto"/>
        <w:ind w:left="720" w:hanging="720"/>
        <w:jc w:val="both"/>
        <w:rPr>
          <w:rFonts w:ascii="Arial" w:hAnsi="Arial" w:cs="Arial"/>
          <w:sz w:val="24"/>
          <w:szCs w:val="24"/>
        </w:rPr>
      </w:pPr>
      <w:r w:rsidRPr="00C87A55">
        <w:rPr>
          <w:rFonts w:ascii="Arial" w:hAnsi="Arial" w:cs="Arial"/>
          <w:sz w:val="24"/>
          <w:szCs w:val="24"/>
        </w:rPr>
        <w:t xml:space="preserve">judicial sense. It suffices if the holding was with the intention of securing some benefit </w:t>
      </w:r>
    </w:p>
    <w:p w14:paraId="65552FE2" w14:textId="77777777" w:rsidR="002A2DBD" w:rsidRDefault="00987737" w:rsidP="00987737">
      <w:pPr>
        <w:spacing w:line="480" w:lineRule="auto"/>
        <w:ind w:left="720" w:hanging="720"/>
        <w:jc w:val="both"/>
        <w:rPr>
          <w:rFonts w:ascii="Arial" w:hAnsi="Arial" w:cs="Arial"/>
          <w:sz w:val="24"/>
          <w:szCs w:val="24"/>
        </w:rPr>
      </w:pPr>
      <w:r w:rsidRPr="00C87A55">
        <w:rPr>
          <w:rFonts w:ascii="Arial" w:hAnsi="Arial" w:cs="Arial"/>
          <w:sz w:val="24"/>
          <w:szCs w:val="24"/>
        </w:rPr>
        <w:t xml:space="preserve">for the plaintiff. The </w:t>
      </w:r>
      <w:r w:rsidRPr="00C87A55">
        <w:rPr>
          <w:rFonts w:ascii="Arial" w:hAnsi="Arial" w:cs="Arial"/>
          <w:i/>
          <w:iCs/>
          <w:sz w:val="24"/>
          <w:szCs w:val="24"/>
        </w:rPr>
        <w:t>causa</w:t>
      </w:r>
      <w:r w:rsidRPr="00C87A55">
        <w:rPr>
          <w:rFonts w:ascii="Arial" w:hAnsi="Arial" w:cs="Arial"/>
          <w:sz w:val="24"/>
          <w:szCs w:val="24"/>
        </w:rPr>
        <w:t xml:space="preserve"> of the plaintiff’s possession is irrelevant, and it is also </w:t>
      </w:r>
    </w:p>
    <w:p w14:paraId="57FED981" w14:textId="66EB20C6" w:rsidR="002A2DBD" w:rsidRDefault="00987737" w:rsidP="00987737">
      <w:pPr>
        <w:spacing w:line="480" w:lineRule="auto"/>
        <w:ind w:left="720" w:hanging="720"/>
        <w:jc w:val="both"/>
        <w:rPr>
          <w:rFonts w:ascii="Arial" w:hAnsi="Arial" w:cs="Arial"/>
          <w:sz w:val="24"/>
          <w:szCs w:val="24"/>
        </w:rPr>
      </w:pPr>
      <w:r w:rsidRPr="00C87A55">
        <w:rPr>
          <w:rFonts w:ascii="Arial" w:hAnsi="Arial" w:cs="Arial"/>
          <w:sz w:val="24"/>
          <w:szCs w:val="24"/>
        </w:rPr>
        <w:t>irrelevant that the defendant has a stronger right or claim to possession.</w:t>
      </w:r>
      <w:r w:rsidRPr="00C87A55">
        <w:rPr>
          <w:rStyle w:val="FootnoteReference"/>
          <w:rFonts w:ascii="Arial" w:hAnsi="Arial" w:cs="Arial"/>
          <w:sz w:val="24"/>
          <w:szCs w:val="24"/>
        </w:rPr>
        <w:footnoteReference w:id="4"/>
      </w:r>
      <w:r w:rsidRPr="00C87A55">
        <w:rPr>
          <w:rFonts w:ascii="Arial" w:hAnsi="Arial" w:cs="Arial"/>
          <w:sz w:val="24"/>
          <w:szCs w:val="24"/>
        </w:rPr>
        <w:t xml:space="preserve"> Again, </w:t>
      </w:r>
    </w:p>
    <w:p w14:paraId="70AE7CC9" w14:textId="77777777" w:rsidR="002A2DBD" w:rsidRDefault="00987737" w:rsidP="00987737">
      <w:pPr>
        <w:spacing w:line="480" w:lineRule="auto"/>
        <w:ind w:left="720" w:hanging="720"/>
        <w:jc w:val="both"/>
        <w:rPr>
          <w:rFonts w:ascii="Arial" w:hAnsi="Arial" w:cs="Arial"/>
          <w:sz w:val="24"/>
          <w:szCs w:val="24"/>
        </w:rPr>
      </w:pPr>
      <w:r w:rsidRPr="00C87A55">
        <w:rPr>
          <w:rFonts w:ascii="Arial" w:hAnsi="Arial" w:cs="Arial"/>
          <w:sz w:val="24"/>
          <w:szCs w:val="24"/>
        </w:rPr>
        <w:t>the fact that the claimant’s possession is wrongful, or illegal, is irrelevant.</w:t>
      </w:r>
      <w:r w:rsidRPr="00C87A55">
        <w:rPr>
          <w:rStyle w:val="FootnoteReference"/>
          <w:rFonts w:ascii="Arial" w:hAnsi="Arial" w:cs="Arial"/>
          <w:sz w:val="24"/>
          <w:szCs w:val="24"/>
        </w:rPr>
        <w:footnoteReference w:id="5"/>
      </w:r>
      <w:r w:rsidRPr="00C87A55">
        <w:rPr>
          <w:rFonts w:ascii="Arial" w:hAnsi="Arial" w:cs="Arial"/>
          <w:sz w:val="24"/>
          <w:szCs w:val="24"/>
        </w:rPr>
        <w:t xml:space="preserve"> </w:t>
      </w:r>
      <w:r w:rsidR="00355841" w:rsidRPr="00C87A55">
        <w:rPr>
          <w:rFonts w:ascii="Arial" w:hAnsi="Arial" w:cs="Arial"/>
          <w:sz w:val="24"/>
          <w:szCs w:val="24"/>
        </w:rPr>
        <w:t xml:space="preserve"> The claim </w:t>
      </w:r>
    </w:p>
    <w:p w14:paraId="2EFBFA6C" w14:textId="77777777" w:rsidR="002A2DBD" w:rsidRDefault="00355841" w:rsidP="00987737">
      <w:pPr>
        <w:spacing w:line="480" w:lineRule="auto"/>
        <w:ind w:left="720" w:hanging="720"/>
        <w:jc w:val="both"/>
        <w:rPr>
          <w:rFonts w:ascii="Arial" w:hAnsi="Arial" w:cs="Arial"/>
          <w:sz w:val="24"/>
          <w:szCs w:val="24"/>
        </w:rPr>
      </w:pPr>
      <w:r w:rsidRPr="00C87A55">
        <w:rPr>
          <w:rFonts w:ascii="Arial" w:hAnsi="Arial" w:cs="Arial"/>
          <w:sz w:val="24"/>
          <w:szCs w:val="24"/>
        </w:rPr>
        <w:t xml:space="preserve">to relief under the </w:t>
      </w:r>
      <w:r w:rsidRPr="00C87A55">
        <w:rPr>
          <w:rFonts w:ascii="Arial" w:hAnsi="Arial" w:cs="Arial"/>
          <w:i/>
          <w:iCs/>
          <w:sz w:val="24"/>
          <w:szCs w:val="24"/>
        </w:rPr>
        <w:t>mandament van spolie</w:t>
      </w:r>
      <w:r w:rsidRPr="00C87A55">
        <w:rPr>
          <w:rFonts w:ascii="Arial" w:hAnsi="Arial" w:cs="Arial"/>
          <w:sz w:val="24"/>
          <w:szCs w:val="24"/>
        </w:rPr>
        <w:t xml:space="preserve"> arises solely from deprivation of possession </w:t>
      </w:r>
    </w:p>
    <w:p w14:paraId="11DC2962" w14:textId="70F62BD2" w:rsidR="00987737" w:rsidRDefault="00355841" w:rsidP="00987737">
      <w:pPr>
        <w:spacing w:line="480" w:lineRule="auto"/>
        <w:ind w:left="720" w:hanging="720"/>
        <w:jc w:val="both"/>
        <w:rPr>
          <w:rFonts w:ascii="Arial" w:hAnsi="Arial" w:cs="Arial"/>
          <w:sz w:val="24"/>
          <w:szCs w:val="24"/>
        </w:rPr>
      </w:pPr>
      <w:r w:rsidRPr="00C87A55">
        <w:rPr>
          <w:rFonts w:ascii="Arial" w:hAnsi="Arial" w:cs="Arial"/>
          <w:sz w:val="24"/>
          <w:szCs w:val="24"/>
        </w:rPr>
        <w:t>otherwise than through legal process.</w:t>
      </w:r>
    </w:p>
    <w:p w14:paraId="7D1F4B54" w14:textId="77777777" w:rsidR="005D5D96" w:rsidRPr="00C87A55" w:rsidRDefault="005D5D96" w:rsidP="00987737">
      <w:pPr>
        <w:spacing w:line="480" w:lineRule="auto"/>
        <w:ind w:left="720" w:hanging="720"/>
        <w:jc w:val="both"/>
        <w:rPr>
          <w:rFonts w:ascii="Arial" w:hAnsi="Arial" w:cs="Arial"/>
          <w:sz w:val="24"/>
          <w:szCs w:val="24"/>
        </w:rPr>
      </w:pPr>
    </w:p>
    <w:p w14:paraId="28825C4A" w14:textId="102AA7BF" w:rsidR="00987737" w:rsidRPr="00C87A55" w:rsidRDefault="00987737" w:rsidP="005D5D96">
      <w:pPr>
        <w:spacing w:line="360" w:lineRule="auto"/>
        <w:jc w:val="both"/>
        <w:rPr>
          <w:rFonts w:ascii="Arial" w:hAnsi="Arial" w:cs="Arial"/>
          <w:sz w:val="24"/>
          <w:szCs w:val="24"/>
        </w:rPr>
      </w:pPr>
      <w:r w:rsidRPr="00C87A55">
        <w:rPr>
          <w:rFonts w:ascii="Arial" w:hAnsi="Arial" w:cs="Arial"/>
          <w:sz w:val="24"/>
          <w:szCs w:val="24"/>
        </w:rPr>
        <w:t>[</w:t>
      </w:r>
      <w:r w:rsidR="00355841" w:rsidRPr="00C87A55">
        <w:rPr>
          <w:rFonts w:ascii="Arial" w:hAnsi="Arial" w:cs="Arial"/>
          <w:sz w:val="24"/>
          <w:szCs w:val="24"/>
        </w:rPr>
        <w:t>18</w:t>
      </w:r>
      <w:r w:rsidRPr="00C87A55">
        <w:rPr>
          <w:rFonts w:ascii="Arial" w:hAnsi="Arial" w:cs="Arial"/>
          <w:sz w:val="24"/>
          <w:szCs w:val="24"/>
        </w:rPr>
        <w:t>]</w:t>
      </w:r>
      <w:r w:rsidRPr="00C87A55">
        <w:rPr>
          <w:rFonts w:ascii="Arial" w:hAnsi="Arial" w:cs="Arial"/>
          <w:sz w:val="24"/>
          <w:szCs w:val="24"/>
        </w:rPr>
        <w:tab/>
        <w:t xml:space="preserve">In </w:t>
      </w:r>
      <w:r w:rsidRPr="00C87A55">
        <w:rPr>
          <w:rFonts w:ascii="Arial" w:hAnsi="Arial" w:cs="Arial"/>
          <w:i/>
          <w:iCs/>
          <w:sz w:val="24"/>
          <w:szCs w:val="24"/>
        </w:rPr>
        <w:t>Nino Bonino v De Lange</w:t>
      </w:r>
      <w:r w:rsidRPr="00C87A55">
        <w:rPr>
          <w:rStyle w:val="FootnoteReference"/>
          <w:rFonts w:ascii="Arial" w:hAnsi="Arial" w:cs="Arial"/>
          <w:sz w:val="24"/>
          <w:szCs w:val="24"/>
        </w:rPr>
        <w:footnoteReference w:id="6"/>
      </w:r>
      <w:r w:rsidRPr="00C87A55">
        <w:rPr>
          <w:rFonts w:ascii="Arial" w:hAnsi="Arial" w:cs="Arial"/>
          <w:sz w:val="24"/>
          <w:szCs w:val="24"/>
        </w:rPr>
        <w:t xml:space="preserve"> Innes CJ held:</w:t>
      </w:r>
    </w:p>
    <w:p w14:paraId="2C1B3B28" w14:textId="77777777" w:rsidR="00987737" w:rsidRPr="00C87A55" w:rsidRDefault="00987737" w:rsidP="00C87A55">
      <w:pPr>
        <w:spacing w:line="360" w:lineRule="auto"/>
        <w:ind w:left="1440"/>
        <w:jc w:val="both"/>
        <w:rPr>
          <w:rFonts w:ascii="Arial" w:hAnsi="Arial" w:cs="Arial"/>
          <w:sz w:val="20"/>
          <w:szCs w:val="20"/>
        </w:rPr>
      </w:pPr>
      <w:r w:rsidRPr="00C87A55">
        <w:rPr>
          <w:rFonts w:ascii="Arial" w:hAnsi="Arial" w:cs="Arial"/>
          <w:sz w:val="20"/>
          <w:szCs w:val="20"/>
        </w:rPr>
        <w:t xml:space="preserve">“It is a fundamental principle that no man is allowed to take the law into his own hands; no one is permitted to dispossess another forcibly or wrongly and against his consent of the possession of the property, whether movable or immovable. If he does so, the </w:t>
      </w:r>
      <w:r w:rsidRPr="00C87A55">
        <w:rPr>
          <w:rFonts w:ascii="Arial" w:hAnsi="Arial" w:cs="Arial"/>
          <w:sz w:val="20"/>
          <w:szCs w:val="20"/>
        </w:rPr>
        <w:lastRenderedPageBreak/>
        <w:t xml:space="preserve">Court will summarily restore the </w:t>
      </w:r>
      <w:r w:rsidRPr="00C87A55">
        <w:rPr>
          <w:rFonts w:ascii="Arial" w:hAnsi="Arial" w:cs="Arial"/>
          <w:i/>
          <w:iCs/>
          <w:sz w:val="20"/>
          <w:szCs w:val="20"/>
        </w:rPr>
        <w:t>status quo ante</w:t>
      </w:r>
      <w:r w:rsidRPr="00C87A55">
        <w:rPr>
          <w:rFonts w:ascii="Arial" w:hAnsi="Arial" w:cs="Arial"/>
          <w:sz w:val="20"/>
          <w:szCs w:val="20"/>
        </w:rPr>
        <w:t xml:space="preserve">, and will do that as a preliminary to any enquiry or investigation into the merits of the dispute.” </w:t>
      </w:r>
    </w:p>
    <w:p w14:paraId="2BB930D2" w14:textId="77777777" w:rsidR="00987737" w:rsidRPr="00C87A55" w:rsidRDefault="00987737" w:rsidP="00987737">
      <w:pPr>
        <w:spacing w:line="480" w:lineRule="auto"/>
        <w:ind w:left="1440"/>
        <w:jc w:val="both"/>
        <w:rPr>
          <w:rFonts w:ascii="Arial" w:hAnsi="Arial" w:cs="Arial"/>
          <w:sz w:val="24"/>
          <w:szCs w:val="24"/>
          <w:u w:val="single"/>
        </w:rPr>
      </w:pPr>
    </w:p>
    <w:p w14:paraId="64C1513A" w14:textId="77777777" w:rsidR="001D15C5" w:rsidRDefault="00987737" w:rsidP="001D15C5">
      <w:pPr>
        <w:spacing w:line="480" w:lineRule="auto"/>
        <w:ind w:left="720" w:hanging="720"/>
        <w:jc w:val="both"/>
        <w:rPr>
          <w:rFonts w:ascii="Arial" w:hAnsi="Arial" w:cs="Arial"/>
          <w:sz w:val="24"/>
          <w:szCs w:val="24"/>
        </w:rPr>
      </w:pPr>
      <w:r w:rsidRPr="00C87A55">
        <w:rPr>
          <w:rFonts w:ascii="Arial" w:hAnsi="Arial" w:cs="Arial"/>
          <w:sz w:val="24"/>
          <w:szCs w:val="24"/>
        </w:rPr>
        <w:t>[</w:t>
      </w:r>
      <w:r w:rsidR="00355841" w:rsidRPr="00C87A55">
        <w:rPr>
          <w:rFonts w:ascii="Arial" w:hAnsi="Arial" w:cs="Arial"/>
          <w:sz w:val="24"/>
          <w:szCs w:val="24"/>
        </w:rPr>
        <w:t>19</w:t>
      </w:r>
      <w:r w:rsidRPr="00C87A55">
        <w:rPr>
          <w:rFonts w:ascii="Arial" w:hAnsi="Arial" w:cs="Arial"/>
          <w:sz w:val="24"/>
          <w:szCs w:val="24"/>
        </w:rPr>
        <w:t>]</w:t>
      </w:r>
      <w:r w:rsidRPr="00C87A55">
        <w:rPr>
          <w:rFonts w:ascii="Arial" w:hAnsi="Arial" w:cs="Arial"/>
          <w:sz w:val="24"/>
          <w:szCs w:val="24"/>
        </w:rPr>
        <w:tab/>
        <w:t xml:space="preserve">In </w:t>
      </w:r>
      <w:r w:rsidRPr="00C87A55">
        <w:rPr>
          <w:rFonts w:ascii="Arial" w:hAnsi="Arial" w:cs="Arial"/>
          <w:i/>
          <w:iCs/>
          <w:sz w:val="24"/>
          <w:szCs w:val="24"/>
        </w:rPr>
        <w:t>Ngqukumba v Minister of Safety and Security and Others,</w:t>
      </w:r>
      <w:r w:rsidRPr="00C87A55">
        <w:rPr>
          <w:rStyle w:val="FootnoteReference"/>
          <w:rFonts w:ascii="Arial" w:hAnsi="Arial" w:cs="Arial"/>
          <w:sz w:val="24"/>
          <w:szCs w:val="24"/>
        </w:rPr>
        <w:footnoteReference w:id="7"/>
      </w:r>
      <w:r w:rsidRPr="00C87A55">
        <w:rPr>
          <w:rFonts w:ascii="Arial" w:hAnsi="Arial" w:cs="Arial"/>
          <w:sz w:val="24"/>
          <w:szCs w:val="24"/>
        </w:rPr>
        <w:t xml:space="preserve"> Madlanga</w:t>
      </w:r>
      <w:r w:rsidR="001D15C5">
        <w:rPr>
          <w:rFonts w:ascii="Arial" w:hAnsi="Arial" w:cs="Arial"/>
          <w:sz w:val="24"/>
          <w:szCs w:val="24"/>
        </w:rPr>
        <w:t xml:space="preserve"> J</w:t>
      </w:r>
    </w:p>
    <w:p w14:paraId="73DAB5A0" w14:textId="77A08954" w:rsidR="00987737" w:rsidRPr="00C87A55" w:rsidRDefault="00987737" w:rsidP="001D15C5">
      <w:pPr>
        <w:spacing w:line="480" w:lineRule="auto"/>
        <w:ind w:left="720" w:hanging="720"/>
        <w:jc w:val="both"/>
        <w:rPr>
          <w:rFonts w:ascii="Arial" w:hAnsi="Arial" w:cs="Arial"/>
          <w:sz w:val="24"/>
          <w:szCs w:val="24"/>
        </w:rPr>
      </w:pPr>
      <w:r w:rsidRPr="00C87A55">
        <w:rPr>
          <w:rFonts w:ascii="Arial" w:hAnsi="Arial" w:cs="Arial"/>
          <w:sz w:val="24"/>
          <w:szCs w:val="24"/>
        </w:rPr>
        <w:t>remarked as follows about the essence of spoliation:</w:t>
      </w:r>
    </w:p>
    <w:p w14:paraId="46A54474" w14:textId="78A8B70E" w:rsidR="00987737" w:rsidRPr="00C87A55" w:rsidRDefault="00987737" w:rsidP="005D5D96">
      <w:pPr>
        <w:spacing w:line="360" w:lineRule="auto"/>
        <w:ind w:left="1440"/>
        <w:jc w:val="both"/>
        <w:rPr>
          <w:rFonts w:ascii="Arial" w:hAnsi="Arial" w:cs="Arial"/>
          <w:sz w:val="20"/>
          <w:szCs w:val="20"/>
        </w:rPr>
      </w:pPr>
      <w:r w:rsidRPr="00C87A55">
        <w:rPr>
          <w:rFonts w:ascii="Arial" w:hAnsi="Arial" w:cs="Arial"/>
          <w:sz w:val="20"/>
          <w:szCs w:val="20"/>
        </w:rPr>
        <w:t xml:space="preserve">“[10] The essence of </w:t>
      </w:r>
      <w:r w:rsidRPr="00C87A55">
        <w:rPr>
          <w:rFonts w:ascii="Arial" w:hAnsi="Arial" w:cs="Arial"/>
          <w:i/>
          <w:iCs/>
          <w:sz w:val="20"/>
          <w:szCs w:val="20"/>
        </w:rPr>
        <w:t>mandament van spolie</w:t>
      </w:r>
      <w:r w:rsidRPr="00C87A55">
        <w:rPr>
          <w:rFonts w:ascii="Arial" w:hAnsi="Arial" w:cs="Arial"/>
          <w:sz w:val="20"/>
          <w:szCs w:val="20"/>
        </w:rPr>
        <w:t xml:space="preserve"> is the restoration before all else of unlawfully deprived possession to the possessor. It finds expression in the maxim </w:t>
      </w:r>
      <w:r w:rsidRPr="00C87A55">
        <w:rPr>
          <w:rFonts w:ascii="Arial" w:hAnsi="Arial" w:cs="Arial"/>
          <w:i/>
          <w:iCs/>
          <w:sz w:val="20"/>
          <w:szCs w:val="20"/>
        </w:rPr>
        <w:t>spoliatus ante omnia restituendus est</w:t>
      </w:r>
      <w:r w:rsidRPr="00C87A55">
        <w:rPr>
          <w:rFonts w:ascii="Arial" w:hAnsi="Arial" w:cs="Arial"/>
          <w:sz w:val="20"/>
          <w:szCs w:val="20"/>
        </w:rPr>
        <w:t xml:space="preserve"> (the despoiled person must be restored to possession before all else). The spoliation order is meant to prevent the taking of possession otherwise than in accordance with the law. Its underlying philosophy is that no one should resort to self-help to obtain or regain possession. The main purpose of the </w:t>
      </w:r>
      <w:r w:rsidRPr="00C87A55">
        <w:rPr>
          <w:rFonts w:ascii="Arial" w:hAnsi="Arial" w:cs="Arial"/>
          <w:i/>
          <w:iCs/>
          <w:sz w:val="20"/>
          <w:szCs w:val="20"/>
        </w:rPr>
        <w:t>mandament van spolie</w:t>
      </w:r>
      <w:r w:rsidRPr="00C87A55">
        <w:rPr>
          <w:rFonts w:ascii="Arial" w:hAnsi="Arial" w:cs="Arial"/>
          <w:sz w:val="20"/>
          <w:szCs w:val="20"/>
        </w:rPr>
        <w:t xml:space="preserve"> is to preserve public order by restraining persons from taking the law into their own hands and by inducing them to follow due process.”</w:t>
      </w:r>
    </w:p>
    <w:p w14:paraId="4D3FF8F8" w14:textId="77777777" w:rsidR="00987737" w:rsidRPr="00C87A55" w:rsidRDefault="00987737" w:rsidP="005D5D96">
      <w:pPr>
        <w:spacing w:line="276" w:lineRule="auto"/>
        <w:jc w:val="both"/>
        <w:rPr>
          <w:rFonts w:ascii="Arial" w:hAnsi="Arial" w:cs="Arial"/>
          <w:sz w:val="24"/>
          <w:szCs w:val="24"/>
        </w:rPr>
      </w:pPr>
    </w:p>
    <w:p w14:paraId="745CAB44" w14:textId="68690D29" w:rsidR="005D5D96" w:rsidRPr="00C87A55" w:rsidRDefault="00987737" w:rsidP="00E67CB4">
      <w:pPr>
        <w:spacing w:line="480" w:lineRule="auto"/>
        <w:jc w:val="both"/>
        <w:rPr>
          <w:rFonts w:ascii="Arial" w:hAnsi="Arial" w:cs="Arial"/>
          <w:sz w:val="24"/>
          <w:szCs w:val="24"/>
        </w:rPr>
      </w:pPr>
      <w:r w:rsidRPr="00C87A55">
        <w:rPr>
          <w:rFonts w:ascii="Arial" w:hAnsi="Arial" w:cs="Arial"/>
          <w:sz w:val="24"/>
          <w:szCs w:val="24"/>
        </w:rPr>
        <w:t>[2</w:t>
      </w:r>
      <w:r w:rsidR="00355841" w:rsidRPr="00C87A55">
        <w:rPr>
          <w:rFonts w:ascii="Arial" w:hAnsi="Arial" w:cs="Arial"/>
          <w:sz w:val="24"/>
          <w:szCs w:val="24"/>
        </w:rPr>
        <w:t>0</w:t>
      </w:r>
      <w:r w:rsidRPr="00C87A55">
        <w:rPr>
          <w:rFonts w:ascii="Arial" w:hAnsi="Arial" w:cs="Arial"/>
          <w:sz w:val="24"/>
          <w:szCs w:val="24"/>
        </w:rPr>
        <w:t>]</w:t>
      </w:r>
      <w:r w:rsidRPr="00C87A55">
        <w:rPr>
          <w:rFonts w:ascii="Arial" w:hAnsi="Arial" w:cs="Arial"/>
          <w:sz w:val="24"/>
          <w:szCs w:val="24"/>
        </w:rPr>
        <w:tab/>
      </w:r>
      <w:r w:rsidR="00355841" w:rsidRPr="00C87A55">
        <w:rPr>
          <w:rFonts w:ascii="Arial" w:hAnsi="Arial" w:cs="Arial"/>
          <w:sz w:val="24"/>
          <w:szCs w:val="24"/>
        </w:rPr>
        <w:t>It is also a possessory remedy, the unlimited and exclusive function of which</w:t>
      </w:r>
      <w:r w:rsidR="005D5D96">
        <w:rPr>
          <w:rFonts w:ascii="Arial" w:hAnsi="Arial" w:cs="Arial"/>
          <w:sz w:val="24"/>
          <w:szCs w:val="24"/>
        </w:rPr>
        <w:t xml:space="preserve"> </w:t>
      </w:r>
      <w:r w:rsidR="00355841" w:rsidRPr="00C87A55">
        <w:rPr>
          <w:rFonts w:ascii="Arial" w:hAnsi="Arial" w:cs="Arial"/>
          <w:sz w:val="24"/>
          <w:szCs w:val="24"/>
        </w:rPr>
        <w:t>is</w:t>
      </w:r>
      <w:r w:rsidR="005D5D96">
        <w:rPr>
          <w:rFonts w:ascii="Arial" w:hAnsi="Arial" w:cs="Arial"/>
          <w:sz w:val="24"/>
          <w:szCs w:val="24"/>
        </w:rPr>
        <w:t xml:space="preserve"> </w:t>
      </w:r>
      <w:r w:rsidR="00355841" w:rsidRPr="00C87A55">
        <w:rPr>
          <w:rFonts w:ascii="Arial" w:hAnsi="Arial" w:cs="Arial"/>
          <w:sz w:val="24"/>
          <w:szCs w:val="24"/>
        </w:rPr>
        <w:t xml:space="preserve">to restore the </w:t>
      </w:r>
      <w:r w:rsidR="00355841" w:rsidRPr="00C87A55">
        <w:rPr>
          <w:rFonts w:ascii="Arial" w:hAnsi="Arial" w:cs="Arial"/>
          <w:i/>
          <w:sz w:val="24"/>
          <w:szCs w:val="24"/>
        </w:rPr>
        <w:t>status quo ante</w:t>
      </w:r>
      <w:r w:rsidR="00355841" w:rsidRPr="00C87A55">
        <w:rPr>
          <w:rFonts w:ascii="Arial" w:hAnsi="Arial" w:cs="Arial"/>
          <w:sz w:val="24"/>
          <w:szCs w:val="24"/>
        </w:rPr>
        <w:t>, and therefore, it matters not that the spoliator might have a stronger claim to possession than the person spoliated or that the latter has indeed no right to possession.</w:t>
      </w:r>
      <w:r w:rsidR="00355841" w:rsidRPr="00C87A55">
        <w:rPr>
          <w:rStyle w:val="FootnoteReference"/>
          <w:rFonts w:ascii="Arial" w:hAnsi="Arial" w:cs="Arial"/>
          <w:sz w:val="24"/>
          <w:szCs w:val="24"/>
        </w:rPr>
        <w:footnoteReference w:id="8"/>
      </w:r>
      <w:r w:rsidR="00355841" w:rsidRPr="00C87A55">
        <w:rPr>
          <w:rFonts w:ascii="Arial" w:hAnsi="Arial" w:cs="Arial"/>
          <w:sz w:val="24"/>
          <w:szCs w:val="24"/>
        </w:rPr>
        <w:t xml:space="preserve">  The purpose of a </w:t>
      </w:r>
      <w:r w:rsidR="00355841" w:rsidRPr="00C87A55">
        <w:rPr>
          <w:rFonts w:ascii="Arial" w:hAnsi="Arial" w:cs="Arial"/>
          <w:i/>
          <w:sz w:val="24"/>
          <w:szCs w:val="24"/>
        </w:rPr>
        <w:t>mandament van spolie</w:t>
      </w:r>
      <w:r w:rsidR="00355841" w:rsidRPr="00C87A55">
        <w:rPr>
          <w:rFonts w:ascii="Arial" w:hAnsi="Arial" w:cs="Arial"/>
          <w:sz w:val="24"/>
          <w:szCs w:val="24"/>
        </w:rPr>
        <w:t xml:space="preserve"> is a speedy restoration of possession to the person who has been unlawfully deprived of possession.</w:t>
      </w:r>
    </w:p>
    <w:p w14:paraId="27C3F729" w14:textId="6C74F298" w:rsidR="00355841" w:rsidRPr="00C87A55" w:rsidRDefault="00355841" w:rsidP="005D5D96">
      <w:pPr>
        <w:spacing w:line="480" w:lineRule="auto"/>
        <w:jc w:val="both"/>
        <w:rPr>
          <w:rFonts w:ascii="Arial" w:hAnsi="Arial" w:cs="Arial"/>
          <w:sz w:val="24"/>
          <w:szCs w:val="24"/>
        </w:rPr>
      </w:pPr>
    </w:p>
    <w:p w14:paraId="52A5E0D5" w14:textId="2F3A0F88" w:rsidR="00987737" w:rsidRPr="00C87A55" w:rsidRDefault="00355841" w:rsidP="00C970B5">
      <w:pPr>
        <w:spacing w:line="480" w:lineRule="auto"/>
        <w:jc w:val="both"/>
        <w:rPr>
          <w:rFonts w:ascii="Arial" w:hAnsi="Arial" w:cs="Arial"/>
          <w:sz w:val="24"/>
          <w:szCs w:val="24"/>
        </w:rPr>
      </w:pPr>
      <w:r w:rsidRPr="00C87A55">
        <w:rPr>
          <w:rFonts w:ascii="Arial" w:hAnsi="Arial" w:cs="Arial"/>
          <w:sz w:val="24"/>
          <w:szCs w:val="24"/>
        </w:rPr>
        <w:t>[21]</w:t>
      </w:r>
      <w:r w:rsidRPr="00C87A55">
        <w:rPr>
          <w:rFonts w:ascii="Arial" w:hAnsi="Arial" w:cs="Arial"/>
          <w:sz w:val="24"/>
          <w:szCs w:val="24"/>
        </w:rPr>
        <w:tab/>
      </w:r>
      <w:r w:rsidR="00987737" w:rsidRPr="00C87A55">
        <w:rPr>
          <w:rFonts w:ascii="Arial" w:hAnsi="Arial" w:cs="Arial"/>
          <w:sz w:val="24"/>
          <w:szCs w:val="24"/>
        </w:rPr>
        <w:t>M</w:t>
      </w:r>
      <w:r w:rsidR="00987737" w:rsidRPr="00C87A55">
        <w:rPr>
          <w:rFonts w:ascii="Arial" w:hAnsi="Arial" w:cs="Arial"/>
          <w:i/>
          <w:iCs/>
          <w:sz w:val="24"/>
          <w:szCs w:val="24"/>
        </w:rPr>
        <w:t>andament</w:t>
      </w:r>
      <w:r w:rsidR="00987737" w:rsidRPr="00C87A55">
        <w:rPr>
          <w:rFonts w:ascii="Arial" w:hAnsi="Arial" w:cs="Arial"/>
          <w:sz w:val="24"/>
          <w:szCs w:val="24"/>
        </w:rPr>
        <w:t xml:space="preserve"> provides for interim relief pending a final determination of the parties rights, and only to that extent is it final. In </w:t>
      </w:r>
      <w:r w:rsidR="00987737" w:rsidRPr="00C87A55">
        <w:rPr>
          <w:rFonts w:ascii="Arial" w:hAnsi="Arial" w:cs="Arial"/>
          <w:i/>
          <w:iCs/>
          <w:sz w:val="24"/>
          <w:szCs w:val="24"/>
        </w:rPr>
        <w:t>Bon Quelle (Pty) Ltd v Otavi Municipality</w:t>
      </w:r>
      <w:r w:rsidR="00987737" w:rsidRPr="00C87A55">
        <w:rPr>
          <w:rStyle w:val="FootnoteReference"/>
          <w:rFonts w:ascii="Arial" w:hAnsi="Arial" w:cs="Arial"/>
          <w:sz w:val="24"/>
          <w:szCs w:val="24"/>
        </w:rPr>
        <w:footnoteReference w:id="9"/>
      </w:r>
      <w:r w:rsidR="00987737" w:rsidRPr="00C87A55">
        <w:rPr>
          <w:rFonts w:ascii="Arial" w:hAnsi="Arial" w:cs="Arial"/>
          <w:sz w:val="24"/>
          <w:szCs w:val="24"/>
        </w:rPr>
        <w:t xml:space="preserve"> the court held that a spoliation order is no more than a precursor to an action over the merits of the dispute. In </w:t>
      </w:r>
      <w:r w:rsidR="00987737" w:rsidRPr="00C87A55">
        <w:rPr>
          <w:rFonts w:ascii="Arial" w:hAnsi="Arial" w:cs="Arial"/>
          <w:i/>
          <w:iCs/>
          <w:sz w:val="24"/>
          <w:szCs w:val="24"/>
        </w:rPr>
        <w:t xml:space="preserve">Tswelopele Non-Profit Organisation &amp; others </w:t>
      </w:r>
      <w:r w:rsidR="00987737" w:rsidRPr="00C87A55">
        <w:rPr>
          <w:rFonts w:ascii="Arial" w:hAnsi="Arial" w:cs="Arial"/>
          <w:i/>
          <w:iCs/>
          <w:sz w:val="24"/>
          <w:szCs w:val="24"/>
        </w:rPr>
        <w:lastRenderedPageBreak/>
        <w:t>v City of Tshwane Metropolitan &amp; others,</w:t>
      </w:r>
      <w:r w:rsidR="00987737" w:rsidRPr="00C87A55">
        <w:rPr>
          <w:rStyle w:val="FootnoteReference"/>
          <w:rFonts w:ascii="Arial" w:hAnsi="Arial" w:cs="Arial"/>
          <w:sz w:val="24"/>
          <w:szCs w:val="24"/>
        </w:rPr>
        <w:footnoteReference w:id="10"/>
      </w:r>
      <w:r w:rsidR="00987737" w:rsidRPr="00C87A55">
        <w:rPr>
          <w:rFonts w:ascii="Arial" w:hAnsi="Arial" w:cs="Arial"/>
          <w:sz w:val="24"/>
          <w:szCs w:val="24"/>
        </w:rPr>
        <w:t xml:space="preserve"> the court dealt with the nature of the </w:t>
      </w:r>
      <w:r w:rsidR="00987737" w:rsidRPr="00C87A55">
        <w:rPr>
          <w:rFonts w:ascii="Arial" w:hAnsi="Arial" w:cs="Arial"/>
          <w:i/>
          <w:iCs/>
          <w:sz w:val="24"/>
          <w:szCs w:val="24"/>
        </w:rPr>
        <w:t xml:space="preserve">mandament </w:t>
      </w:r>
      <w:r w:rsidR="00987737" w:rsidRPr="00C87A55">
        <w:rPr>
          <w:rFonts w:ascii="Arial" w:hAnsi="Arial" w:cs="Arial"/>
          <w:sz w:val="24"/>
          <w:szCs w:val="24"/>
        </w:rPr>
        <w:t>and remarked:</w:t>
      </w:r>
    </w:p>
    <w:p w14:paraId="5AE46348" w14:textId="020DDDCF" w:rsidR="00987737" w:rsidRPr="00C87A55" w:rsidRDefault="00987737" w:rsidP="00C87A55">
      <w:pPr>
        <w:spacing w:line="360" w:lineRule="auto"/>
        <w:ind w:left="720"/>
        <w:jc w:val="both"/>
        <w:rPr>
          <w:rFonts w:ascii="Arial" w:hAnsi="Arial" w:cs="Arial"/>
          <w:sz w:val="20"/>
          <w:szCs w:val="20"/>
        </w:rPr>
      </w:pPr>
      <w:r w:rsidRPr="00C87A55">
        <w:rPr>
          <w:rFonts w:ascii="Arial" w:hAnsi="Arial" w:cs="Arial"/>
          <w:sz w:val="20"/>
          <w:szCs w:val="20"/>
        </w:rPr>
        <w:t>“Its object is the interim restoration of physical control and enjoyment of specified property– not its reconstituted equivalent.”</w:t>
      </w:r>
    </w:p>
    <w:p w14:paraId="06C1B287" w14:textId="77777777" w:rsidR="00987737" w:rsidRPr="00C87A55" w:rsidRDefault="00987737" w:rsidP="00987737">
      <w:pPr>
        <w:spacing w:line="480" w:lineRule="auto"/>
        <w:ind w:left="720" w:hanging="720"/>
        <w:jc w:val="both"/>
        <w:rPr>
          <w:rFonts w:ascii="Arial" w:hAnsi="Arial" w:cs="Arial"/>
          <w:sz w:val="24"/>
          <w:szCs w:val="24"/>
        </w:rPr>
      </w:pPr>
    </w:p>
    <w:p w14:paraId="78D3DA3F" w14:textId="588A7C74" w:rsidR="00987737" w:rsidRPr="00C87A55" w:rsidRDefault="00987737" w:rsidP="00C970B5">
      <w:pPr>
        <w:spacing w:line="480" w:lineRule="auto"/>
        <w:jc w:val="both"/>
        <w:rPr>
          <w:rFonts w:ascii="Arial" w:hAnsi="Arial" w:cs="Arial"/>
          <w:sz w:val="24"/>
          <w:szCs w:val="24"/>
        </w:rPr>
      </w:pPr>
      <w:r w:rsidRPr="00C87A55">
        <w:rPr>
          <w:rFonts w:ascii="Arial" w:hAnsi="Arial" w:cs="Arial"/>
          <w:sz w:val="24"/>
          <w:szCs w:val="24"/>
        </w:rPr>
        <w:t>[</w:t>
      </w:r>
      <w:r w:rsidR="003C5042" w:rsidRPr="00C87A55">
        <w:rPr>
          <w:rFonts w:ascii="Arial" w:hAnsi="Arial" w:cs="Arial"/>
          <w:sz w:val="24"/>
          <w:szCs w:val="24"/>
        </w:rPr>
        <w:t>22</w:t>
      </w:r>
      <w:r w:rsidRPr="00C87A55">
        <w:rPr>
          <w:rFonts w:ascii="Arial" w:hAnsi="Arial" w:cs="Arial"/>
          <w:sz w:val="24"/>
          <w:szCs w:val="24"/>
        </w:rPr>
        <w:t>]</w:t>
      </w:r>
      <w:r w:rsidRPr="00C87A55">
        <w:rPr>
          <w:rFonts w:ascii="Arial" w:hAnsi="Arial" w:cs="Arial"/>
          <w:sz w:val="24"/>
          <w:szCs w:val="24"/>
        </w:rPr>
        <w:tab/>
      </w:r>
      <w:r w:rsidRPr="00C87A55">
        <w:rPr>
          <w:rFonts w:ascii="Arial" w:hAnsi="Arial" w:cs="Arial"/>
          <w:i/>
          <w:iCs/>
          <w:sz w:val="24"/>
          <w:szCs w:val="24"/>
        </w:rPr>
        <w:t>Mandament</w:t>
      </w:r>
      <w:r w:rsidRPr="00C87A55">
        <w:rPr>
          <w:rFonts w:ascii="Arial" w:hAnsi="Arial" w:cs="Arial"/>
          <w:sz w:val="24"/>
          <w:szCs w:val="24"/>
        </w:rPr>
        <w:t xml:space="preserve"> also applies to police officers who dispossess an individual of an object unlawfully thereby purporting to act under the colour of search and seizure provided for in sections 20</w:t>
      </w:r>
      <w:r w:rsidR="00AC7E84" w:rsidRPr="00C87A55">
        <w:rPr>
          <w:rStyle w:val="FootnoteReference"/>
          <w:rFonts w:ascii="Arial" w:hAnsi="Arial" w:cs="Arial"/>
          <w:sz w:val="24"/>
          <w:szCs w:val="24"/>
        </w:rPr>
        <w:footnoteReference w:id="11"/>
      </w:r>
      <w:r w:rsidRPr="00C87A55">
        <w:rPr>
          <w:rFonts w:ascii="Arial" w:hAnsi="Arial" w:cs="Arial"/>
          <w:sz w:val="24"/>
          <w:szCs w:val="24"/>
        </w:rPr>
        <w:t xml:space="preserve"> and 22</w:t>
      </w:r>
      <w:r w:rsidR="006B7CCC" w:rsidRPr="00C87A55">
        <w:rPr>
          <w:rStyle w:val="FootnoteReference"/>
          <w:rFonts w:ascii="Arial" w:hAnsi="Arial" w:cs="Arial"/>
          <w:sz w:val="24"/>
          <w:szCs w:val="24"/>
        </w:rPr>
        <w:footnoteReference w:id="12"/>
      </w:r>
      <w:r w:rsidRPr="00C87A55">
        <w:rPr>
          <w:rFonts w:ascii="Arial" w:hAnsi="Arial" w:cs="Arial"/>
          <w:sz w:val="24"/>
          <w:szCs w:val="24"/>
        </w:rPr>
        <w:t xml:space="preserve"> of the CPA.  This means that non-compliance with these sections in seizing a person’s thing is unlawful.  The unlawfulness as well as other requirements for a spoliation order satisfy the requisites for the order.  </w:t>
      </w:r>
    </w:p>
    <w:p w14:paraId="14A7F76E" w14:textId="77777777" w:rsidR="006347B3" w:rsidRPr="00C87A55" w:rsidRDefault="006347B3" w:rsidP="00987737">
      <w:pPr>
        <w:spacing w:line="480" w:lineRule="auto"/>
        <w:ind w:left="720" w:hanging="720"/>
        <w:jc w:val="both"/>
        <w:rPr>
          <w:rFonts w:ascii="Arial" w:hAnsi="Arial" w:cs="Arial"/>
          <w:i/>
          <w:iCs/>
          <w:sz w:val="24"/>
          <w:szCs w:val="24"/>
        </w:rPr>
      </w:pPr>
    </w:p>
    <w:p w14:paraId="15C84EDC" w14:textId="5D014459" w:rsidR="00987737" w:rsidRPr="00C87A55" w:rsidRDefault="00987737" w:rsidP="00987737">
      <w:pPr>
        <w:spacing w:line="480" w:lineRule="auto"/>
        <w:ind w:left="720" w:hanging="720"/>
        <w:jc w:val="both"/>
        <w:rPr>
          <w:rFonts w:ascii="Arial" w:hAnsi="Arial" w:cs="Arial"/>
          <w:i/>
          <w:iCs/>
          <w:sz w:val="24"/>
          <w:szCs w:val="24"/>
        </w:rPr>
      </w:pPr>
      <w:r w:rsidRPr="00C87A55">
        <w:rPr>
          <w:rFonts w:ascii="Arial" w:hAnsi="Arial" w:cs="Arial"/>
          <w:i/>
          <w:iCs/>
          <w:sz w:val="24"/>
          <w:szCs w:val="24"/>
        </w:rPr>
        <w:t>Whether the applicant was in possession of the goats</w:t>
      </w:r>
    </w:p>
    <w:p w14:paraId="32318785" w14:textId="102C9B9D" w:rsidR="00987737" w:rsidRPr="00C87A55" w:rsidRDefault="00987737" w:rsidP="00987737">
      <w:pPr>
        <w:spacing w:line="480" w:lineRule="auto"/>
        <w:jc w:val="both"/>
        <w:rPr>
          <w:rFonts w:ascii="Arial" w:hAnsi="Arial" w:cs="Arial"/>
          <w:i/>
          <w:iCs/>
          <w:sz w:val="24"/>
          <w:szCs w:val="24"/>
        </w:rPr>
      </w:pPr>
      <w:r w:rsidRPr="00C87A55">
        <w:rPr>
          <w:rFonts w:ascii="Arial" w:hAnsi="Arial" w:cs="Arial"/>
          <w:sz w:val="24"/>
          <w:szCs w:val="24"/>
        </w:rPr>
        <w:t>[2</w:t>
      </w:r>
      <w:r w:rsidR="003C5042" w:rsidRPr="00C87A55">
        <w:rPr>
          <w:rFonts w:ascii="Arial" w:hAnsi="Arial" w:cs="Arial"/>
          <w:sz w:val="24"/>
          <w:szCs w:val="24"/>
        </w:rPr>
        <w:t>3</w:t>
      </w:r>
      <w:r w:rsidRPr="00C87A55">
        <w:rPr>
          <w:rFonts w:ascii="Arial" w:hAnsi="Arial" w:cs="Arial"/>
          <w:sz w:val="24"/>
          <w:szCs w:val="24"/>
        </w:rPr>
        <w:t>]</w:t>
      </w:r>
      <w:r w:rsidRPr="00C87A55">
        <w:rPr>
          <w:rFonts w:ascii="Arial" w:hAnsi="Arial" w:cs="Arial"/>
          <w:sz w:val="24"/>
          <w:szCs w:val="24"/>
        </w:rPr>
        <w:tab/>
        <w:t>The applicant alleges that he was in physical possession of the goats, which is denied by the respondent. In the founding affidavit, he avers that he keeps the goats in his homestead at Rayport Location, which turned out to be his aunt’s homestead. He adds that “</w:t>
      </w:r>
      <w:r w:rsidRPr="00C87A55">
        <w:rPr>
          <w:rFonts w:ascii="Arial" w:hAnsi="Arial" w:cs="Arial"/>
          <w:i/>
          <w:iCs/>
          <w:sz w:val="24"/>
          <w:szCs w:val="24"/>
        </w:rPr>
        <w:t xml:space="preserve">at all material times hereto, I possessed these goats.” </w:t>
      </w:r>
    </w:p>
    <w:p w14:paraId="3128BF60" w14:textId="77777777" w:rsidR="00987737" w:rsidRPr="00C87A55" w:rsidRDefault="00987737" w:rsidP="00987737">
      <w:pPr>
        <w:spacing w:line="480" w:lineRule="auto"/>
        <w:jc w:val="both"/>
        <w:rPr>
          <w:rFonts w:ascii="Arial" w:hAnsi="Arial" w:cs="Arial"/>
          <w:i/>
          <w:iCs/>
          <w:sz w:val="24"/>
          <w:szCs w:val="24"/>
        </w:rPr>
      </w:pPr>
    </w:p>
    <w:p w14:paraId="03429959" w14:textId="0FB565FF" w:rsidR="00987737" w:rsidRPr="00C87A55" w:rsidRDefault="00987737" w:rsidP="00987737">
      <w:pPr>
        <w:spacing w:line="480" w:lineRule="auto"/>
        <w:jc w:val="both"/>
        <w:rPr>
          <w:rFonts w:ascii="Arial" w:hAnsi="Arial" w:cs="Arial"/>
          <w:sz w:val="24"/>
          <w:szCs w:val="24"/>
        </w:rPr>
      </w:pPr>
      <w:r w:rsidRPr="00C87A55">
        <w:rPr>
          <w:rFonts w:ascii="Arial" w:hAnsi="Arial" w:cs="Arial"/>
          <w:sz w:val="24"/>
          <w:szCs w:val="24"/>
        </w:rPr>
        <w:t>[2</w:t>
      </w:r>
      <w:r w:rsidR="003C5042" w:rsidRPr="00C87A55">
        <w:rPr>
          <w:rFonts w:ascii="Arial" w:hAnsi="Arial" w:cs="Arial"/>
          <w:sz w:val="24"/>
          <w:szCs w:val="24"/>
        </w:rPr>
        <w:t>4</w:t>
      </w:r>
      <w:r w:rsidRPr="00C87A55">
        <w:rPr>
          <w:rFonts w:ascii="Arial" w:hAnsi="Arial" w:cs="Arial"/>
          <w:sz w:val="24"/>
          <w:szCs w:val="24"/>
        </w:rPr>
        <w:t>]</w:t>
      </w:r>
      <w:r w:rsidRPr="00C87A55">
        <w:rPr>
          <w:rFonts w:ascii="Arial" w:hAnsi="Arial" w:cs="Arial"/>
          <w:sz w:val="24"/>
          <w:szCs w:val="24"/>
        </w:rPr>
        <w:tab/>
        <w:t xml:space="preserve">In paragraph 8 of the answering affidavit, the respondent alleges that their investigations revealed that the homestead where the goats were kept does not belong to the applicant but to Ms Nkalitshana who indicated that she knows nothing about goats kept at her homestead. </w:t>
      </w:r>
      <w:r w:rsidR="003C5042" w:rsidRPr="00C87A55">
        <w:rPr>
          <w:rFonts w:ascii="Arial" w:hAnsi="Arial" w:cs="Arial"/>
          <w:sz w:val="24"/>
          <w:szCs w:val="24"/>
        </w:rPr>
        <w:t>Strangely, t</w:t>
      </w:r>
      <w:r w:rsidRPr="00C87A55">
        <w:rPr>
          <w:rFonts w:ascii="Arial" w:hAnsi="Arial" w:cs="Arial"/>
          <w:sz w:val="24"/>
          <w:szCs w:val="24"/>
        </w:rPr>
        <w:t xml:space="preserve">he respondent filed no confirmatory affidavit by Ms Nkalitshana. In this regard, the respondent explained that </w:t>
      </w:r>
      <w:r w:rsidR="003C5042" w:rsidRPr="00C87A55">
        <w:rPr>
          <w:rFonts w:ascii="Arial" w:hAnsi="Arial" w:cs="Arial"/>
          <w:sz w:val="24"/>
          <w:szCs w:val="24"/>
        </w:rPr>
        <w:t>Ms Nkalitshana</w:t>
      </w:r>
      <w:r w:rsidRPr="00C87A55">
        <w:rPr>
          <w:rFonts w:ascii="Arial" w:hAnsi="Arial" w:cs="Arial"/>
          <w:sz w:val="24"/>
          <w:szCs w:val="24"/>
        </w:rPr>
        <w:t xml:space="preserve"> was asked to depose to an affidavit but ‘</w:t>
      </w:r>
      <w:r w:rsidRPr="00C87A55">
        <w:rPr>
          <w:rFonts w:ascii="Arial" w:hAnsi="Arial" w:cs="Arial"/>
          <w:i/>
          <w:iCs/>
          <w:sz w:val="24"/>
          <w:szCs w:val="24"/>
        </w:rPr>
        <w:t>we have not in the short space of time available been able to get her affidavit</w:t>
      </w:r>
      <w:r w:rsidRPr="00C87A55">
        <w:rPr>
          <w:rFonts w:ascii="Arial" w:hAnsi="Arial" w:cs="Arial"/>
          <w:sz w:val="24"/>
          <w:szCs w:val="24"/>
        </w:rPr>
        <w:t xml:space="preserve">’. However, it is unclear what method of communication was used with Ms Nkalitshana by the police, where and when it was made to explain the short space of time the respondent refers to. The evidence shows that the goats were impounded on 30 May 2023 at Ms Nkalitshana’s homestead, which is undisputed, and the answering affidavit was filed on 18 July 2023.   For a month and a half, there has been no affidavit filed in this regard either by Ms Nkalitshana or the police officer who communicated with her. </w:t>
      </w:r>
    </w:p>
    <w:p w14:paraId="2D01AC26" w14:textId="77777777" w:rsidR="00987737" w:rsidRPr="00C87A55" w:rsidRDefault="00987737" w:rsidP="00987737">
      <w:pPr>
        <w:spacing w:line="480" w:lineRule="auto"/>
        <w:jc w:val="both"/>
        <w:rPr>
          <w:rFonts w:ascii="Arial" w:hAnsi="Arial" w:cs="Arial"/>
          <w:sz w:val="24"/>
          <w:szCs w:val="24"/>
        </w:rPr>
      </w:pPr>
    </w:p>
    <w:p w14:paraId="3435E5DB" w14:textId="471B2C30" w:rsidR="00987737" w:rsidRPr="00C87A55" w:rsidRDefault="00987737" w:rsidP="00987737">
      <w:pPr>
        <w:spacing w:line="480" w:lineRule="auto"/>
        <w:jc w:val="both"/>
        <w:rPr>
          <w:rFonts w:ascii="Arial" w:hAnsi="Arial" w:cs="Arial"/>
          <w:sz w:val="24"/>
          <w:szCs w:val="24"/>
        </w:rPr>
      </w:pPr>
      <w:r w:rsidRPr="00C87A55">
        <w:rPr>
          <w:rFonts w:ascii="Arial" w:hAnsi="Arial" w:cs="Arial"/>
          <w:sz w:val="24"/>
          <w:szCs w:val="24"/>
        </w:rPr>
        <w:t>[2</w:t>
      </w:r>
      <w:r w:rsidR="003C5042" w:rsidRPr="00C87A55">
        <w:rPr>
          <w:rFonts w:ascii="Arial" w:hAnsi="Arial" w:cs="Arial"/>
          <w:sz w:val="24"/>
          <w:szCs w:val="24"/>
        </w:rPr>
        <w:t>5</w:t>
      </w:r>
      <w:r w:rsidRPr="00C87A55">
        <w:rPr>
          <w:rFonts w:ascii="Arial" w:hAnsi="Arial" w:cs="Arial"/>
          <w:sz w:val="24"/>
          <w:szCs w:val="24"/>
        </w:rPr>
        <w:t>]</w:t>
      </w:r>
      <w:r w:rsidRPr="00C87A55">
        <w:rPr>
          <w:rFonts w:ascii="Arial" w:hAnsi="Arial" w:cs="Arial"/>
          <w:sz w:val="24"/>
          <w:szCs w:val="24"/>
        </w:rPr>
        <w:tab/>
        <w:t>In his replying affidavit, the applicant a</w:t>
      </w:r>
      <w:r w:rsidR="003C5042" w:rsidRPr="00C87A55">
        <w:rPr>
          <w:rFonts w:ascii="Arial" w:hAnsi="Arial" w:cs="Arial"/>
          <w:sz w:val="24"/>
          <w:szCs w:val="24"/>
        </w:rPr>
        <w:t>sserted</w:t>
      </w:r>
      <w:r w:rsidRPr="00C87A55">
        <w:rPr>
          <w:rFonts w:ascii="Arial" w:hAnsi="Arial" w:cs="Arial"/>
          <w:sz w:val="24"/>
          <w:szCs w:val="24"/>
        </w:rPr>
        <w:t xml:space="preserve"> that Ms Nkalitshana is his paternal aunt and Mzwamajola, is his uncle. This is undisputed. It is further undisputed that the goats are kept at h</w:t>
      </w:r>
      <w:r w:rsidR="003C5042" w:rsidRPr="00C87A55">
        <w:rPr>
          <w:rFonts w:ascii="Arial" w:hAnsi="Arial" w:cs="Arial"/>
          <w:sz w:val="24"/>
          <w:szCs w:val="24"/>
        </w:rPr>
        <w:t>is</w:t>
      </w:r>
      <w:r w:rsidRPr="00C87A55">
        <w:rPr>
          <w:rFonts w:ascii="Arial" w:hAnsi="Arial" w:cs="Arial"/>
          <w:sz w:val="24"/>
          <w:szCs w:val="24"/>
        </w:rPr>
        <w:t xml:space="preserve"> uncle’s homestead</w:t>
      </w:r>
      <w:r w:rsidR="003C5042" w:rsidRPr="00C87A55">
        <w:rPr>
          <w:rFonts w:ascii="Arial" w:hAnsi="Arial" w:cs="Arial"/>
          <w:sz w:val="24"/>
          <w:szCs w:val="24"/>
        </w:rPr>
        <w:t xml:space="preserve"> which is also Ms Nkalitshana’s homestead</w:t>
      </w:r>
      <w:r w:rsidRPr="00C87A55">
        <w:rPr>
          <w:rFonts w:ascii="Arial" w:hAnsi="Arial" w:cs="Arial"/>
          <w:sz w:val="24"/>
          <w:szCs w:val="24"/>
        </w:rPr>
        <w:t xml:space="preserve">. How he calls his aunt’s homestead, is neither here nor there. The relevant question is whether he was in possession of the goats at the time of spoliation. Moreover, the fact that the goats are kept at the applicant’s uncle’s and/or aunt’s homestead does not mean that he is not in possession of same.  He asserts that he sells the goats to earn a living, and that has not been disputed. He alleges that he </w:t>
      </w:r>
      <w:r w:rsidRPr="00C87A55">
        <w:rPr>
          <w:rFonts w:ascii="Arial" w:hAnsi="Arial" w:cs="Arial"/>
          <w:sz w:val="24"/>
          <w:szCs w:val="24"/>
        </w:rPr>
        <w:lastRenderedPageBreak/>
        <w:t xml:space="preserve">stays at Rayport Location, Etwa Administrative Area, Qumbu, and this is where the goats were seized. </w:t>
      </w:r>
    </w:p>
    <w:p w14:paraId="12BFC7F2" w14:textId="77777777" w:rsidR="00987737" w:rsidRPr="00C87A55" w:rsidRDefault="00987737" w:rsidP="00987737">
      <w:pPr>
        <w:spacing w:line="480" w:lineRule="auto"/>
        <w:jc w:val="both"/>
        <w:rPr>
          <w:rFonts w:ascii="Arial" w:hAnsi="Arial" w:cs="Arial"/>
          <w:sz w:val="24"/>
          <w:szCs w:val="24"/>
        </w:rPr>
      </w:pPr>
    </w:p>
    <w:p w14:paraId="62664A08" w14:textId="0E445A5F" w:rsidR="00987737" w:rsidRPr="00C87A55" w:rsidRDefault="00987737" w:rsidP="00987737">
      <w:pPr>
        <w:spacing w:line="480" w:lineRule="auto"/>
        <w:jc w:val="both"/>
        <w:rPr>
          <w:rFonts w:ascii="Arial" w:hAnsi="Arial" w:cs="Arial"/>
          <w:sz w:val="24"/>
          <w:szCs w:val="24"/>
        </w:rPr>
      </w:pPr>
      <w:r w:rsidRPr="00C87A55">
        <w:rPr>
          <w:rFonts w:ascii="Arial" w:hAnsi="Arial" w:cs="Arial"/>
          <w:sz w:val="24"/>
          <w:szCs w:val="24"/>
        </w:rPr>
        <w:t>[</w:t>
      </w:r>
      <w:r w:rsidR="003C5042" w:rsidRPr="00C87A55">
        <w:rPr>
          <w:rFonts w:ascii="Arial" w:hAnsi="Arial" w:cs="Arial"/>
          <w:sz w:val="24"/>
          <w:szCs w:val="24"/>
        </w:rPr>
        <w:t>26</w:t>
      </w:r>
      <w:r w:rsidRPr="00C87A55">
        <w:rPr>
          <w:rFonts w:ascii="Arial" w:hAnsi="Arial" w:cs="Arial"/>
          <w:sz w:val="24"/>
          <w:szCs w:val="24"/>
        </w:rPr>
        <w:t>]</w:t>
      </w:r>
      <w:r w:rsidRPr="00C87A55">
        <w:rPr>
          <w:rFonts w:ascii="Arial" w:hAnsi="Arial" w:cs="Arial"/>
          <w:sz w:val="24"/>
          <w:szCs w:val="24"/>
        </w:rPr>
        <w:tab/>
        <w:t>It is the respondent’s case that when they approached the house where the goats were confiscated, they spoke to Mzwamajola. The police officers deny that the applicant is the owner of the goats. They allege that certain people claimed ownership of the goats. In paragraph 9 of the answering affidavit the deponent states:</w:t>
      </w:r>
    </w:p>
    <w:p w14:paraId="0932FAD0" w14:textId="77777777" w:rsidR="00987737" w:rsidRPr="00C87A55" w:rsidRDefault="00987737" w:rsidP="00C87A55">
      <w:pPr>
        <w:spacing w:line="360" w:lineRule="auto"/>
        <w:ind w:left="720"/>
        <w:jc w:val="both"/>
        <w:rPr>
          <w:rFonts w:ascii="Arial" w:hAnsi="Arial" w:cs="Arial"/>
          <w:sz w:val="24"/>
          <w:szCs w:val="24"/>
        </w:rPr>
      </w:pPr>
      <w:r w:rsidRPr="00C87A55">
        <w:rPr>
          <w:rFonts w:ascii="Arial" w:hAnsi="Arial" w:cs="Arial"/>
          <w:sz w:val="20"/>
          <w:szCs w:val="20"/>
        </w:rPr>
        <w:t xml:space="preserve">“9. I can also confirm that there are people who have since identified some of the goats as theirs. We have called the applicant to come to Qumbu where the goats are impounded to meet the people, but he has since refused to do so.” </w:t>
      </w:r>
      <w:r w:rsidRPr="00C87A55">
        <w:rPr>
          <w:rFonts w:ascii="Arial" w:hAnsi="Arial" w:cs="Arial"/>
          <w:sz w:val="24"/>
          <w:szCs w:val="24"/>
        </w:rPr>
        <w:t xml:space="preserve">                                                                                                                                                     </w:t>
      </w:r>
    </w:p>
    <w:p w14:paraId="03CCB23E" w14:textId="77777777" w:rsidR="00987737" w:rsidRPr="00C87A55" w:rsidRDefault="00987737" w:rsidP="00987737">
      <w:pPr>
        <w:spacing w:line="480" w:lineRule="auto"/>
        <w:jc w:val="both"/>
        <w:rPr>
          <w:rFonts w:ascii="Arial" w:hAnsi="Arial" w:cs="Arial"/>
          <w:sz w:val="24"/>
          <w:szCs w:val="24"/>
        </w:rPr>
      </w:pPr>
    </w:p>
    <w:p w14:paraId="5EDE9C3C" w14:textId="366658C4" w:rsidR="00987737" w:rsidRPr="00C87A55" w:rsidRDefault="00987737" w:rsidP="00987737">
      <w:pPr>
        <w:spacing w:line="480" w:lineRule="auto"/>
        <w:jc w:val="both"/>
        <w:rPr>
          <w:rFonts w:ascii="Arial" w:hAnsi="Arial" w:cs="Arial"/>
          <w:sz w:val="24"/>
          <w:szCs w:val="24"/>
        </w:rPr>
      </w:pPr>
      <w:r w:rsidRPr="00C87A55">
        <w:rPr>
          <w:rFonts w:ascii="Arial" w:hAnsi="Arial" w:cs="Arial"/>
          <w:sz w:val="24"/>
          <w:szCs w:val="24"/>
        </w:rPr>
        <w:t>[</w:t>
      </w:r>
      <w:r w:rsidR="003C5042" w:rsidRPr="00C87A55">
        <w:rPr>
          <w:rFonts w:ascii="Arial" w:hAnsi="Arial" w:cs="Arial"/>
          <w:sz w:val="24"/>
          <w:szCs w:val="24"/>
        </w:rPr>
        <w:t>27</w:t>
      </w:r>
      <w:r w:rsidRPr="00C87A55">
        <w:rPr>
          <w:rFonts w:ascii="Arial" w:hAnsi="Arial" w:cs="Arial"/>
          <w:sz w:val="24"/>
          <w:szCs w:val="24"/>
        </w:rPr>
        <w:t>]</w:t>
      </w:r>
      <w:r w:rsidRPr="00C87A55">
        <w:rPr>
          <w:rFonts w:ascii="Arial" w:hAnsi="Arial" w:cs="Arial"/>
          <w:sz w:val="24"/>
          <w:szCs w:val="24"/>
        </w:rPr>
        <w:tab/>
        <w:t>The respondent alleges that the applicant was called to meet the people but refused to do so. It remains undisputed that the applicant indeed went to the charge office to meet the alleged people but to his amazement, this was after the application had been launched and service of the application had taken place on the respondent. According to the applicant, when he presented himself at the police station on 11 July 2023 after the police officers had called him, he was arrested on charges relating to a firearm but nothing pertaining to the goats. He was released the following day without appearing in court. This was uncontroverted. The people referred to by the police officers remain nameless and faceless. They filed no confirmatory affidavits.</w:t>
      </w:r>
    </w:p>
    <w:p w14:paraId="1D1C8DFA" w14:textId="77777777" w:rsidR="00987737" w:rsidRPr="00C87A55" w:rsidRDefault="00987737" w:rsidP="00987737">
      <w:pPr>
        <w:spacing w:line="480" w:lineRule="auto"/>
        <w:jc w:val="both"/>
        <w:rPr>
          <w:rFonts w:ascii="Arial" w:hAnsi="Arial" w:cs="Arial"/>
          <w:sz w:val="24"/>
          <w:szCs w:val="24"/>
        </w:rPr>
      </w:pPr>
    </w:p>
    <w:p w14:paraId="6B7F840A" w14:textId="1E5B138F" w:rsidR="00987737" w:rsidRPr="00C87A55" w:rsidRDefault="00987737" w:rsidP="00987737">
      <w:pPr>
        <w:spacing w:line="480" w:lineRule="auto"/>
        <w:jc w:val="both"/>
        <w:rPr>
          <w:rFonts w:ascii="Arial" w:hAnsi="Arial" w:cs="Arial"/>
          <w:sz w:val="24"/>
          <w:szCs w:val="24"/>
        </w:rPr>
      </w:pPr>
      <w:r w:rsidRPr="00C87A55">
        <w:rPr>
          <w:rFonts w:ascii="Arial" w:hAnsi="Arial" w:cs="Arial"/>
          <w:sz w:val="24"/>
          <w:szCs w:val="24"/>
        </w:rPr>
        <w:t>[2</w:t>
      </w:r>
      <w:r w:rsidR="003C5042" w:rsidRPr="00C87A55">
        <w:rPr>
          <w:rFonts w:ascii="Arial" w:hAnsi="Arial" w:cs="Arial"/>
          <w:sz w:val="24"/>
          <w:szCs w:val="24"/>
        </w:rPr>
        <w:t>8</w:t>
      </w:r>
      <w:r w:rsidRPr="00C87A55">
        <w:rPr>
          <w:rFonts w:ascii="Arial" w:hAnsi="Arial" w:cs="Arial"/>
          <w:sz w:val="24"/>
          <w:szCs w:val="24"/>
        </w:rPr>
        <w:t>]</w:t>
      </w:r>
      <w:r w:rsidRPr="00C87A55">
        <w:rPr>
          <w:rFonts w:ascii="Arial" w:hAnsi="Arial" w:cs="Arial"/>
          <w:sz w:val="24"/>
          <w:szCs w:val="24"/>
        </w:rPr>
        <w:tab/>
        <w:t xml:space="preserve">Moreover, to submit that the applicant is not the owner ignores the fact that it is physical possession that is protected and not the right to possession. The fact that the applicant’s possession is, according to the respondent, wrongful or illegal, is irrelevant. </w:t>
      </w:r>
      <w:r w:rsidRPr="00C87A55">
        <w:rPr>
          <w:rFonts w:ascii="Arial" w:hAnsi="Arial" w:cs="Arial"/>
          <w:sz w:val="24"/>
          <w:szCs w:val="24"/>
        </w:rPr>
        <w:lastRenderedPageBreak/>
        <w:t xml:space="preserve">That is because a good title is irrelevant, the respondent cannot contest the applicant’s title to the goats. Restoration </w:t>
      </w:r>
      <w:r w:rsidR="003C5042" w:rsidRPr="00C87A55">
        <w:rPr>
          <w:rFonts w:ascii="Arial" w:hAnsi="Arial" w:cs="Arial"/>
          <w:sz w:val="24"/>
          <w:szCs w:val="24"/>
        </w:rPr>
        <w:t xml:space="preserve">of the thing </w:t>
      </w:r>
      <w:r w:rsidRPr="00C87A55">
        <w:rPr>
          <w:rFonts w:ascii="Arial" w:hAnsi="Arial" w:cs="Arial"/>
          <w:sz w:val="24"/>
          <w:szCs w:val="24"/>
        </w:rPr>
        <w:t xml:space="preserve">may even be to a person who might eventually be a thief or robber.  </w:t>
      </w:r>
    </w:p>
    <w:p w14:paraId="15F953C5" w14:textId="77777777" w:rsidR="00987737" w:rsidRPr="00C87A55" w:rsidRDefault="00987737" w:rsidP="00987737">
      <w:pPr>
        <w:spacing w:line="480" w:lineRule="auto"/>
        <w:jc w:val="both"/>
        <w:rPr>
          <w:rFonts w:ascii="Arial" w:hAnsi="Arial" w:cs="Arial"/>
          <w:sz w:val="24"/>
          <w:szCs w:val="24"/>
        </w:rPr>
      </w:pPr>
    </w:p>
    <w:p w14:paraId="190F61D8" w14:textId="77777777" w:rsidR="00987737" w:rsidRPr="00C87A55" w:rsidRDefault="00987737" w:rsidP="00987737">
      <w:pPr>
        <w:spacing w:line="480" w:lineRule="auto"/>
        <w:jc w:val="both"/>
        <w:rPr>
          <w:rFonts w:ascii="Arial" w:hAnsi="Arial" w:cs="Arial"/>
          <w:i/>
          <w:iCs/>
          <w:sz w:val="24"/>
          <w:szCs w:val="24"/>
        </w:rPr>
      </w:pPr>
      <w:r w:rsidRPr="00C87A55">
        <w:rPr>
          <w:rFonts w:ascii="Arial" w:hAnsi="Arial" w:cs="Arial"/>
          <w:b/>
          <w:bCs/>
          <w:sz w:val="24"/>
          <w:szCs w:val="24"/>
        </w:rPr>
        <w:t xml:space="preserve">  </w:t>
      </w:r>
      <w:r w:rsidRPr="00C87A55">
        <w:rPr>
          <w:rFonts w:ascii="Arial" w:hAnsi="Arial" w:cs="Arial"/>
          <w:i/>
          <w:iCs/>
          <w:sz w:val="24"/>
          <w:szCs w:val="24"/>
        </w:rPr>
        <w:t>Whether the applicant was unlawfully deprived of possession</w:t>
      </w:r>
    </w:p>
    <w:p w14:paraId="7E295490" w14:textId="697CA4BA" w:rsidR="00987737" w:rsidRPr="00C87A55" w:rsidRDefault="00987737" w:rsidP="00987737">
      <w:pPr>
        <w:spacing w:line="480" w:lineRule="auto"/>
        <w:jc w:val="both"/>
        <w:rPr>
          <w:rFonts w:ascii="Arial" w:hAnsi="Arial" w:cs="Arial"/>
          <w:sz w:val="24"/>
          <w:szCs w:val="24"/>
        </w:rPr>
      </w:pPr>
      <w:r w:rsidRPr="00C87A55">
        <w:rPr>
          <w:rFonts w:ascii="Arial" w:hAnsi="Arial" w:cs="Arial"/>
          <w:sz w:val="24"/>
          <w:szCs w:val="24"/>
        </w:rPr>
        <w:t>[</w:t>
      </w:r>
      <w:r w:rsidR="003C5042" w:rsidRPr="00C87A55">
        <w:rPr>
          <w:rFonts w:ascii="Arial" w:hAnsi="Arial" w:cs="Arial"/>
          <w:sz w:val="24"/>
          <w:szCs w:val="24"/>
        </w:rPr>
        <w:t>29</w:t>
      </w:r>
      <w:r w:rsidRPr="00C87A55">
        <w:rPr>
          <w:rFonts w:ascii="Arial" w:hAnsi="Arial" w:cs="Arial"/>
          <w:sz w:val="24"/>
          <w:szCs w:val="24"/>
        </w:rPr>
        <w:t>]</w:t>
      </w:r>
      <w:r w:rsidRPr="00C87A55">
        <w:rPr>
          <w:rFonts w:ascii="Arial" w:hAnsi="Arial" w:cs="Arial"/>
          <w:sz w:val="24"/>
          <w:szCs w:val="24"/>
        </w:rPr>
        <w:tab/>
        <w:t>The applicant contend</w:t>
      </w:r>
      <w:r w:rsidR="003C5042" w:rsidRPr="00C87A55">
        <w:rPr>
          <w:rFonts w:ascii="Arial" w:hAnsi="Arial" w:cs="Arial"/>
          <w:sz w:val="24"/>
          <w:szCs w:val="24"/>
        </w:rPr>
        <w:t>ed</w:t>
      </w:r>
      <w:r w:rsidRPr="00C87A55">
        <w:rPr>
          <w:rFonts w:ascii="Arial" w:hAnsi="Arial" w:cs="Arial"/>
          <w:sz w:val="24"/>
          <w:szCs w:val="24"/>
        </w:rPr>
        <w:t xml:space="preserve"> that the police did not tell him why they seized the goats. In response, the respondent allege</w:t>
      </w:r>
      <w:r w:rsidR="003C5042" w:rsidRPr="00C87A55">
        <w:rPr>
          <w:rFonts w:ascii="Arial" w:hAnsi="Arial" w:cs="Arial"/>
          <w:sz w:val="24"/>
          <w:szCs w:val="24"/>
        </w:rPr>
        <w:t>d</w:t>
      </w:r>
      <w:r w:rsidRPr="00C87A55">
        <w:rPr>
          <w:rFonts w:ascii="Arial" w:hAnsi="Arial" w:cs="Arial"/>
          <w:sz w:val="24"/>
          <w:szCs w:val="24"/>
        </w:rPr>
        <w:t xml:space="preserve"> that the stock card presented by the applicant showed that he owns 33 goats. Cst Xego, the deponent to the answering affidavit and the police official who seized the goats, </w:t>
      </w:r>
      <w:r w:rsidRPr="00C87A55">
        <w:rPr>
          <w:rFonts w:ascii="Arial" w:hAnsi="Arial" w:cs="Arial"/>
          <w:sz w:val="24"/>
          <w:szCs w:val="24"/>
          <w:lang w:val="en-ZA"/>
        </w:rPr>
        <w:t>state</w:t>
      </w:r>
      <w:r w:rsidR="003C5042" w:rsidRPr="00C87A55">
        <w:rPr>
          <w:rFonts w:ascii="Arial" w:hAnsi="Arial" w:cs="Arial"/>
          <w:sz w:val="24"/>
          <w:szCs w:val="24"/>
          <w:lang w:val="en-ZA"/>
        </w:rPr>
        <w:t>d</w:t>
      </w:r>
      <w:r w:rsidRPr="00C87A55">
        <w:rPr>
          <w:rFonts w:ascii="Arial" w:hAnsi="Arial" w:cs="Arial"/>
          <w:sz w:val="24"/>
          <w:szCs w:val="24"/>
          <w:lang w:val="en-ZA"/>
        </w:rPr>
        <w:t xml:space="preserve"> that after the police officers received information that the goats were kept at a certain homestead at Etwa locality, ‘…w</w:t>
      </w:r>
      <w:r w:rsidRPr="00C87A55">
        <w:rPr>
          <w:rFonts w:ascii="Arial" w:hAnsi="Arial" w:cs="Arial"/>
          <w:i/>
          <w:iCs/>
          <w:sz w:val="24"/>
          <w:szCs w:val="24"/>
          <w:lang w:val="en-ZA"/>
        </w:rPr>
        <w:t>e immediately went to the homestead in Rayport where we indeed found a number of goats in the kraal</w:t>
      </w:r>
      <w:r w:rsidRPr="00C87A55">
        <w:rPr>
          <w:rFonts w:ascii="Arial" w:hAnsi="Arial" w:cs="Arial"/>
          <w:sz w:val="24"/>
          <w:szCs w:val="24"/>
          <w:lang w:val="en-ZA"/>
        </w:rPr>
        <w:t>.” He</w:t>
      </w:r>
      <w:r w:rsidRPr="00C87A55">
        <w:rPr>
          <w:rFonts w:ascii="Arial" w:hAnsi="Arial" w:cs="Arial"/>
          <w:sz w:val="24"/>
          <w:szCs w:val="24"/>
        </w:rPr>
        <w:t xml:space="preserve"> does not disclose how many goats were seized. In paragraph 7 of the answering affidavit the deponent alleges that “</w:t>
      </w:r>
      <w:r w:rsidRPr="00C87A55">
        <w:rPr>
          <w:rFonts w:ascii="Arial" w:hAnsi="Arial" w:cs="Arial"/>
          <w:i/>
          <w:iCs/>
          <w:sz w:val="24"/>
          <w:szCs w:val="24"/>
        </w:rPr>
        <w:t>we suspected that the goats might have been stolen and since we got no credible explanation from the said Mzwamajola about the ownership we then decided to impound the goats so that an owner can come to claim them.</w:t>
      </w:r>
      <w:r w:rsidRPr="00C87A55">
        <w:rPr>
          <w:rFonts w:ascii="Arial" w:hAnsi="Arial" w:cs="Arial"/>
          <w:sz w:val="24"/>
          <w:szCs w:val="24"/>
        </w:rPr>
        <w:t>’  According to him, the goats could not be returned to the applicant.</w:t>
      </w:r>
    </w:p>
    <w:p w14:paraId="129E01E4" w14:textId="77777777" w:rsidR="00987737" w:rsidRPr="00C87A55" w:rsidRDefault="00987737" w:rsidP="00987737">
      <w:pPr>
        <w:spacing w:line="480" w:lineRule="auto"/>
        <w:jc w:val="both"/>
        <w:rPr>
          <w:rFonts w:ascii="Arial" w:hAnsi="Arial" w:cs="Arial"/>
          <w:sz w:val="24"/>
          <w:szCs w:val="24"/>
        </w:rPr>
      </w:pPr>
    </w:p>
    <w:p w14:paraId="737D3567" w14:textId="3A2311BD" w:rsidR="00987737" w:rsidRPr="00C87A55" w:rsidRDefault="00987737" w:rsidP="00987737">
      <w:pPr>
        <w:spacing w:line="480" w:lineRule="auto"/>
        <w:jc w:val="both"/>
        <w:rPr>
          <w:rFonts w:ascii="Arial" w:hAnsi="Arial" w:cs="Arial"/>
          <w:sz w:val="24"/>
          <w:szCs w:val="24"/>
        </w:rPr>
      </w:pPr>
      <w:r w:rsidRPr="00C87A55">
        <w:rPr>
          <w:rFonts w:ascii="Arial" w:hAnsi="Arial" w:cs="Arial"/>
          <w:sz w:val="24"/>
          <w:szCs w:val="24"/>
        </w:rPr>
        <w:t>[3</w:t>
      </w:r>
      <w:r w:rsidR="003C5042" w:rsidRPr="00C87A55">
        <w:rPr>
          <w:rFonts w:ascii="Arial" w:hAnsi="Arial" w:cs="Arial"/>
          <w:sz w:val="24"/>
          <w:szCs w:val="24"/>
        </w:rPr>
        <w:t>0</w:t>
      </w:r>
      <w:r w:rsidRPr="00C87A55">
        <w:rPr>
          <w:rFonts w:ascii="Arial" w:hAnsi="Arial" w:cs="Arial"/>
          <w:sz w:val="24"/>
          <w:szCs w:val="24"/>
        </w:rPr>
        <w:t>]</w:t>
      </w:r>
      <w:r w:rsidRPr="00C87A55">
        <w:rPr>
          <w:rFonts w:ascii="Arial" w:hAnsi="Arial" w:cs="Arial"/>
          <w:sz w:val="24"/>
          <w:szCs w:val="24"/>
        </w:rPr>
        <w:tab/>
        <w:t xml:space="preserve">In </w:t>
      </w:r>
      <w:r w:rsidRPr="00C87A55">
        <w:rPr>
          <w:rFonts w:ascii="Arial" w:hAnsi="Arial" w:cs="Arial"/>
          <w:i/>
          <w:iCs/>
          <w:sz w:val="24"/>
          <w:szCs w:val="24"/>
        </w:rPr>
        <w:t>Ivanov v North West Gambling Board,</w:t>
      </w:r>
      <w:r w:rsidRPr="00C87A55">
        <w:rPr>
          <w:rStyle w:val="FootnoteReference"/>
          <w:rFonts w:ascii="Arial" w:hAnsi="Arial" w:cs="Arial"/>
          <w:i/>
          <w:iCs/>
          <w:sz w:val="24"/>
          <w:szCs w:val="24"/>
        </w:rPr>
        <w:footnoteReference w:id="13"/>
      </w:r>
      <w:r w:rsidRPr="00C87A55">
        <w:rPr>
          <w:rFonts w:ascii="Arial" w:hAnsi="Arial" w:cs="Arial"/>
          <w:sz w:val="24"/>
          <w:szCs w:val="24"/>
        </w:rPr>
        <w:t xml:space="preserve"> the appellant’s failure to produce a stock card is irrelevant in spoliation proceedings. It cannot on its own establish a reasonable ground for the belief that the stock was stolen, which may have justified the seizure of the stock in terms of section 20 of the CPA. Only the applicant disclosed </w:t>
      </w:r>
      <w:r w:rsidRPr="00C87A55">
        <w:rPr>
          <w:rFonts w:ascii="Arial" w:hAnsi="Arial" w:cs="Arial"/>
          <w:sz w:val="24"/>
          <w:szCs w:val="24"/>
        </w:rPr>
        <w:lastRenderedPageBreak/>
        <w:t>the number of goats seized which remains undisputed. No confirmatory affidavit was filed in respect of Mzwamajola.</w:t>
      </w:r>
    </w:p>
    <w:p w14:paraId="2C9ED4DC" w14:textId="77777777" w:rsidR="00987737" w:rsidRPr="00C87A55" w:rsidRDefault="00987737" w:rsidP="00987737">
      <w:pPr>
        <w:spacing w:line="480" w:lineRule="auto"/>
        <w:jc w:val="both"/>
        <w:rPr>
          <w:rFonts w:ascii="Arial" w:hAnsi="Arial" w:cs="Arial"/>
          <w:sz w:val="24"/>
          <w:szCs w:val="24"/>
        </w:rPr>
      </w:pPr>
    </w:p>
    <w:p w14:paraId="2576A2D6" w14:textId="4AB5B792" w:rsidR="00987737" w:rsidRPr="00C87A55" w:rsidRDefault="00987737" w:rsidP="00987737">
      <w:pPr>
        <w:spacing w:line="480" w:lineRule="auto"/>
        <w:jc w:val="both"/>
        <w:rPr>
          <w:rFonts w:ascii="Arial" w:hAnsi="Arial" w:cs="Arial"/>
          <w:sz w:val="24"/>
          <w:szCs w:val="24"/>
        </w:rPr>
      </w:pPr>
      <w:r w:rsidRPr="00C87A55">
        <w:rPr>
          <w:rFonts w:ascii="Arial" w:hAnsi="Arial" w:cs="Arial"/>
          <w:sz w:val="24"/>
          <w:szCs w:val="24"/>
        </w:rPr>
        <w:t>[3</w:t>
      </w:r>
      <w:r w:rsidR="003C5042" w:rsidRPr="00C87A55">
        <w:rPr>
          <w:rFonts w:ascii="Arial" w:hAnsi="Arial" w:cs="Arial"/>
          <w:sz w:val="24"/>
          <w:szCs w:val="24"/>
        </w:rPr>
        <w:t>1</w:t>
      </w:r>
      <w:r w:rsidRPr="00C87A55">
        <w:rPr>
          <w:rFonts w:ascii="Arial" w:hAnsi="Arial" w:cs="Arial"/>
          <w:sz w:val="24"/>
          <w:szCs w:val="24"/>
        </w:rPr>
        <w:t>]</w:t>
      </w:r>
      <w:r w:rsidRPr="00C87A55">
        <w:rPr>
          <w:rFonts w:ascii="Arial" w:hAnsi="Arial" w:cs="Arial"/>
          <w:sz w:val="24"/>
          <w:szCs w:val="24"/>
        </w:rPr>
        <w:tab/>
        <w:t xml:space="preserve">In paragraph 13 of </w:t>
      </w:r>
      <w:r w:rsidRPr="00C87A55">
        <w:rPr>
          <w:rFonts w:ascii="Arial" w:hAnsi="Arial" w:cs="Arial"/>
          <w:i/>
          <w:iCs/>
          <w:sz w:val="24"/>
          <w:szCs w:val="24"/>
        </w:rPr>
        <w:t>Ngqukumba supra</w:t>
      </w:r>
      <w:r w:rsidRPr="00C87A55">
        <w:rPr>
          <w:rFonts w:ascii="Arial" w:hAnsi="Arial" w:cs="Arial"/>
          <w:sz w:val="24"/>
          <w:szCs w:val="24"/>
        </w:rPr>
        <w:t>, the Constitutional Court as per Madlanga J held:</w:t>
      </w:r>
    </w:p>
    <w:p w14:paraId="7F7260B3" w14:textId="165E8ABF" w:rsidR="00987737" w:rsidRPr="00C87A55" w:rsidRDefault="00987737" w:rsidP="00C87A55">
      <w:pPr>
        <w:spacing w:line="360" w:lineRule="auto"/>
        <w:ind w:left="1440"/>
        <w:jc w:val="both"/>
        <w:rPr>
          <w:rFonts w:ascii="Arial" w:hAnsi="Arial" w:cs="Arial"/>
          <w:sz w:val="20"/>
          <w:szCs w:val="20"/>
        </w:rPr>
      </w:pPr>
      <w:r w:rsidRPr="00C87A55">
        <w:rPr>
          <w:rFonts w:ascii="Arial" w:hAnsi="Arial" w:cs="Arial"/>
          <w:sz w:val="20"/>
          <w:szCs w:val="20"/>
        </w:rPr>
        <w:t xml:space="preserve">“[13] It matters not that a government entity may be purporting to act under colour of law, statutory or otherwise.  The real issue is whether it is properly acting within the law. After all the principle of legality requires of state organs always to act in terms of the law. Surely then, it should make no difference that, in dispossessing an individual of an object unlawfully, the police purported to act under colour of the search and seizure powers contained in the Criminal Procedure Act [51 of 1977]. Non-compliance with the provisions of the Criminal Procedure Act in seizing a person’s goods is unlawful. This unlawfulness, plus the other requirement for a spoliation order (namely, having been in possession immediately prior to the being despoiled) satisfy the requisites for the order.” </w:t>
      </w:r>
    </w:p>
    <w:p w14:paraId="61F4AB49" w14:textId="77777777" w:rsidR="00987737" w:rsidRPr="00C87A55" w:rsidRDefault="00987737" w:rsidP="00987737">
      <w:pPr>
        <w:spacing w:line="276" w:lineRule="auto"/>
        <w:jc w:val="both"/>
        <w:rPr>
          <w:rFonts w:ascii="Arial" w:hAnsi="Arial" w:cs="Arial"/>
          <w:sz w:val="24"/>
          <w:szCs w:val="24"/>
        </w:rPr>
      </w:pPr>
    </w:p>
    <w:p w14:paraId="025BFDE5" w14:textId="7B6BA529" w:rsidR="00987737" w:rsidRPr="00C87A55" w:rsidRDefault="00987737" w:rsidP="00987737">
      <w:pPr>
        <w:spacing w:line="480" w:lineRule="auto"/>
        <w:jc w:val="both"/>
        <w:rPr>
          <w:rFonts w:ascii="Arial" w:hAnsi="Arial" w:cs="Arial"/>
          <w:sz w:val="24"/>
          <w:szCs w:val="24"/>
        </w:rPr>
      </w:pPr>
      <w:r w:rsidRPr="00C87A55">
        <w:rPr>
          <w:rFonts w:ascii="Arial" w:hAnsi="Arial" w:cs="Arial"/>
          <w:sz w:val="24"/>
          <w:szCs w:val="24"/>
        </w:rPr>
        <w:t>[3</w:t>
      </w:r>
      <w:r w:rsidR="003C5042" w:rsidRPr="00C87A55">
        <w:rPr>
          <w:rFonts w:ascii="Arial" w:hAnsi="Arial" w:cs="Arial"/>
          <w:sz w:val="24"/>
          <w:szCs w:val="24"/>
        </w:rPr>
        <w:t>2</w:t>
      </w:r>
      <w:r w:rsidRPr="00C87A55">
        <w:rPr>
          <w:rFonts w:ascii="Arial" w:hAnsi="Arial" w:cs="Arial"/>
          <w:sz w:val="24"/>
          <w:szCs w:val="24"/>
        </w:rPr>
        <w:t>]</w:t>
      </w:r>
      <w:r w:rsidRPr="00C87A55">
        <w:rPr>
          <w:rFonts w:ascii="Arial" w:hAnsi="Arial" w:cs="Arial"/>
          <w:sz w:val="24"/>
          <w:szCs w:val="24"/>
        </w:rPr>
        <w:tab/>
        <w:t>In paragraph [20] the learned Judge added:</w:t>
      </w:r>
    </w:p>
    <w:p w14:paraId="1E27DCA9" w14:textId="6C3E30DE" w:rsidR="00987737" w:rsidRPr="00C87A55" w:rsidRDefault="00987737" w:rsidP="00C87A55">
      <w:pPr>
        <w:spacing w:line="360" w:lineRule="auto"/>
        <w:ind w:left="1440"/>
        <w:jc w:val="both"/>
        <w:rPr>
          <w:rFonts w:ascii="Arial" w:hAnsi="Arial" w:cs="Arial"/>
          <w:sz w:val="20"/>
          <w:szCs w:val="20"/>
        </w:rPr>
      </w:pPr>
      <w:r w:rsidRPr="00C87A55">
        <w:rPr>
          <w:rFonts w:ascii="Arial" w:hAnsi="Arial" w:cs="Arial"/>
          <w:sz w:val="20"/>
          <w:szCs w:val="20"/>
        </w:rPr>
        <w:t xml:space="preserve">“Without doubt the police play an important role in combating and preventing crime, conducting criminal investigations, maintaining public order, protecting, and securing the inhabitants of South Africa and their property and upholding and enforcing the law. Their endeavours in this regard should not be interfered with unduly. However, they, like everyone else, are subject to the Constitution, in particular – for present purposes – the rule of law. A failure to hold them to the Constitution strictly may have negative consequences: it may encourage them to be a law unto themselves. After all, police excesses are not unknown. Reading sections 68(6) (b) and 89(1) [of the CPA] in a manner that ousts the </w:t>
      </w:r>
      <w:r w:rsidRPr="00C87A55">
        <w:rPr>
          <w:rFonts w:ascii="Arial" w:hAnsi="Arial" w:cs="Arial"/>
          <w:i/>
          <w:iCs/>
          <w:sz w:val="20"/>
          <w:szCs w:val="20"/>
        </w:rPr>
        <w:t>mandament van spolie</w:t>
      </w:r>
      <w:r w:rsidRPr="00C87A55">
        <w:rPr>
          <w:rFonts w:ascii="Arial" w:hAnsi="Arial" w:cs="Arial"/>
          <w:sz w:val="20"/>
          <w:szCs w:val="20"/>
        </w:rPr>
        <w:t xml:space="preserve"> may lead to a culture of impunity amongst the police. That is at odds with constitutionalism.”</w:t>
      </w:r>
    </w:p>
    <w:p w14:paraId="5ECA98F5" w14:textId="77777777" w:rsidR="00987737" w:rsidRPr="00C87A55" w:rsidRDefault="00987737" w:rsidP="00987737">
      <w:pPr>
        <w:spacing w:line="480" w:lineRule="auto"/>
        <w:jc w:val="both"/>
        <w:rPr>
          <w:rFonts w:ascii="Arial" w:hAnsi="Arial" w:cs="Arial"/>
          <w:sz w:val="24"/>
          <w:szCs w:val="24"/>
        </w:rPr>
      </w:pPr>
    </w:p>
    <w:p w14:paraId="404207D9" w14:textId="2476A57A" w:rsidR="00987737" w:rsidRPr="00C87A55" w:rsidRDefault="00987737" w:rsidP="00987737">
      <w:pPr>
        <w:spacing w:line="480" w:lineRule="auto"/>
        <w:jc w:val="both"/>
        <w:rPr>
          <w:rFonts w:ascii="Arial" w:hAnsi="Arial" w:cs="Arial"/>
          <w:sz w:val="24"/>
          <w:szCs w:val="24"/>
        </w:rPr>
      </w:pPr>
      <w:r w:rsidRPr="00C87A55">
        <w:rPr>
          <w:rFonts w:ascii="Arial" w:hAnsi="Arial" w:cs="Arial"/>
          <w:sz w:val="24"/>
          <w:szCs w:val="24"/>
        </w:rPr>
        <w:t>[3</w:t>
      </w:r>
      <w:r w:rsidR="002B230C" w:rsidRPr="00C87A55">
        <w:rPr>
          <w:rFonts w:ascii="Arial" w:hAnsi="Arial" w:cs="Arial"/>
          <w:sz w:val="24"/>
          <w:szCs w:val="24"/>
        </w:rPr>
        <w:t>3</w:t>
      </w:r>
      <w:r w:rsidRPr="00C87A55">
        <w:rPr>
          <w:rFonts w:ascii="Arial" w:hAnsi="Arial" w:cs="Arial"/>
          <w:sz w:val="24"/>
          <w:szCs w:val="24"/>
        </w:rPr>
        <w:t>]</w:t>
      </w:r>
      <w:r w:rsidRPr="00C87A55">
        <w:rPr>
          <w:rFonts w:ascii="Arial" w:hAnsi="Arial" w:cs="Arial"/>
          <w:sz w:val="24"/>
          <w:szCs w:val="24"/>
        </w:rPr>
        <w:tab/>
        <w:t xml:space="preserve">From the time the goats were seized until the matter was heard, no one has been arrested for the theft of the goats. There is also no evidence that such a case is being investigated or opened. Instead, the respondent resorted to unlawfully </w:t>
      </w:r>
      <w:r w:rsidRPr="00C87A55">
        <w:rPr>
          <w:rFonts w:ascii="Arial" w:hAnsi="Arial" w:cs="Arial"/>
          <w:sz w:val="24"/>
          <w:szCs w:val="24"/>
        </w:rPr>
        <w:lastRenderedPageBreak/>
        <w:t xml:space="preserve">despoiling the applicant. I am satisfied that the applicant has managed to satisfy both requirements of the </w:t>
      </w:r>
      <w:r w:rsidRPr="00C87A55">
        <w:rPr>
          <w:rFonts w:ascii="Arial" w:hAnsi="Arial" w:cs="Arial"/>
          <w:i/>
          <w:iCs/>
          <w:sz w:val="24"/>
          <w:szCs w:val="24"/>
        </w:rPr>
        <w:t>mandamus</w:t>
      </w:r>
      <w:r w:rsidRPr="00C87A55">
        <w:rPr>
          <w:rFonts w:ascii="Arial" w:hAnsi="Arial" w:cs="Arial"/>
          <w:sz w:val="24"/>
          <w:szCs w:val="24"/>
        </w:rPr>
        <w:t xml:space="preserve"> that he was in peaceful and undisturbed possession of the goats and was unlawfully dispossessed of same. He is therefore entitled to the order sought. </w:t>
      </w:r>
    </w:p>
    <w:p w14:paraId="7387E054" w14:textId="77777777" w:rsidR="00987737" w:rsidRPr="00C87A55" w:rsidRDefault="00987737" w:rsidP="00987737">
      <w:pPr>
        <w:spacing w:line="480" w:lineRule="auto"/>
        <w:jc w:val="both"/>
        <w:rPr>
          <w:rFonts w:ascii="Arial" w:hAnsi="Arial" w:cs="Arial"/>
          <w:sz w:val="24"/>
          <w:szCs w:val="24"/>
        </w:rPr>
      </w:pPr>
    </w:p>
    <w:p w14:paraId="4033D4B1" w14:textId="64EEA587" w:rsidR="00987737" w:rsidRPr="00C87A55" w:rsidRDefault="00987737" w:rsidP="00987737">
      <w:pPr>
        <w:spacing w:line="480" w:lineRule="auto"/>
        <w:jc w:val="both"/>
        <w:rPr>
          <w:rFonts w:ascii="Arial" w:hAnsi="Arial" w:cs="Arial"/>
          <w:b/>
          <w:bCs/>
          <w:sz w:val="24"/>
          <w:szCs w:val="24"/>
        </w:rPr>
      </w:pPr>
      <w:r w:rsidRPr="00C87A55">
        <w:rPr>
          <w:rFonts w:ascii="Arial" w:hAnsi="Arial" w:cs="Arial"/>
          <w:sz w:val="24"/>
          <w:szCs w:val="24"/>
        </w:rPr>
        <w:t>[3</w:t>
      </w:r>
      <w:r w:rsidR="002B230C" w:rsidRPr="00C87A55">
        <w:rPr>
          <w:rFonts w:ascii="Arial" w:hAnsi="Arial" w:cs="Arial"/>
          <w:sz w:val="24"/>
          <w:szCs w:val="24"/>
        </w:rPr>
        <w:t>4</w:t>
      </w:r>
      <w:r w:rsidRPr="00C87A55">
        <w:rPr>
          <w:rFonts w:ascii="Arial" w:hAnsi="Arial" w:cs="Arial"/>
          <w:sz w:val="24"/>
          <w:szCs w:val="24"/>
        </w:rPr>
        <w:t>]</w:t>
      </w:r>
      <w:r w:rsidRPr="00C87A55">
        <w:rPr>
          <w:rFonts w:ascii="Arial" w:hAnsi="Arial" w:cs="Arial"/>
          <w:sz w:val="24"/>
          <w:szCs w:val="24"/>
        </w:rPr>
        <w:tab/>
      </w:r>
      <w:r w:rsidRPr="00C87A55">
        <w:rPr>
          <w:rFonts w:ascii="Arial" w:hAnsi="Arial" w:cs="Arial"/>
          <w:b/>
          <w:bCs/>
          <w:sz w:val="24"/>
          <w:szCs w:val="24"/>
          <w:u w:val="single"/>
        </w:rPr>
        <w:t>In the circumstances, I issue the following order</w:t>
      </w:r>
      <w:r w:rsidRPr="00C87A55">
        <w:rPr>
          <w:rFonts w:ascii="Arial" w:hAnsi="Arial" w:cs="Arial"/>
          <w:b/>
          <w:bCs/>
          <w:sz w:val="24"/>
          <w:szCs w:val="24"/>
        </w:rPr>
        <w:t>:</w:t>
      </w:r>
    </w:p>
    <w:p w14:paraId="2AA53282" w14:textId="37920AF6" w:rsidR="00987737" w:rsidRPr="002F5F4F" w:rsidRDefault="002F5F4F" w:rsidP="002F5F4F">
      <w:pPr>
        <w:spacing w:line="480" w:lineRule="auto"/>
        <w:ind w:left="927" w:hanging="360"/>
        <w:jc w:val="both"/>
        <w:rPr>
          <w:rFonts w:ascii="Arial" w:hAnsi="Arial" w:cs="Arial"/>
          <w:b/>
          <w:bCs/>
          <w:sz w:val="24"/>
          <w:szCs w:val="24"/>
        </w:rPr>
      </w:pPr>
      <w:r w:rsidRPr="00C87A55">
        <w:rPr>
          <w:rFonts w:ascii="Arial" w:hAnsi="Arial" w:cs="Arial"/>
          <w:b/>
          <w:bCs/>
          <w:sz w:val="24"/>
          <w:szCs w:val="24"/>
        </w:rPr>
        <w:t>1.</w:t>
      </w:r>
      <w:r w:rsidRPr="00C87A55">
        <w:rPr>
          <w:rFonts w:ascii="Arial" w:hAnsi="Arial" w:cs="Arial"/>
          <w:b/>
          <w:bCs/>
          <w:sz w:val="24"/>
          <w:szCs w:val="24"/>
        </w:rPr>
        <w:tab/>
      </w:r>
      <w:r w:rsidR="00987737" w:rsidRPr="002F5F4F">
        <w:rPr>
          <w:rFonts w:ascii="Arial" w:hAnsi="Arial" w:cs="Arial"/>
          <w:b/>
          <w:bCs/>
          <w:sz w:val="24"/>
          <w:szCs w:val="24"/>
        </w:rPr>
        <w:t xml:space="preserve">The respondent is directed to restore the applicant’s peaceful and undisturbed possession of the applicant’s 70 goats within 72 hours of this order. </w:t>
      </w:r>
    </w:p>
    <w:p w14:paraId="20127C38" w14:textId="77777777" w:rsidR="00987737" w:rsidRPr="00C87A55" w:rsidRDefault="00987737" w:rsidP="00C970B5">
      <w:pPr>
        <w:pStyle w:val="ListParagraph"/>
        <w:spacing w:line="480" w:lineRule="auto"/>
        <w:ind w:left="927"/>
        <w:jc w:val="both"/>
        <w:rPr>
          <w:rFonts w:ascii="Arial" w:hAnsi="Arial" w:cs="Arial"/>
          <w:b/>
          <w:bCs/>
          <w:sz w:val="24"/>
          <w:szCs w:val="24"/>
        </w:rPr>
      </w:pPr>
    </w:p>
    <w:p w14:paraId="6C58572E" w14:textId="4DED8AF4" w:rsidR="00987737" w:rsidRPr="002F5F4F" w:rsidRDefault="002F5F4F" w:rsidP="002F5F4F">
      <w:pPr>
        <w:spacing w:line="480" w:lineRule="auto"/>
        <w:ind w:left="927" w:hanging="360"/>
        <w:jc w:val="both"/>
        <w:rPr>
          <w:rFonts w:ascii="Arial" w:hAnsi="Arial" w:cs="Arial"/>
          <w:b/>
          <w:bCs/>
          <w:sz w:val="24"/>
          <w:szCs w:val="24"/>
        </w:rPr>
      </w:pPr>
      <w:r w:rsidRPr="00C87A55">
        <w:rPr>
          <w:rFonts w:ascii="Arial" w:hAnsi="Arial" w:cs="Arial"/>
          <w:b/>
          <w:bCs/>
          <w:sz w:val="24"/>
          <w:szCs w:val="24"/>
        </w:rPr>
        <w:t>2.</w:t>
      </w:r>
      <w:r w:rsidRPr="00C87A55">
        <w:rPr>
          <w:rFonts w:ascii="Arial" w:hAnsi="Arial" w:cs="Arial"/>
          <w:b/>
          <w:bCs/>
          <w:sz w:val="24"/>
          <w:szCs w:val="24"/>
        </w:rPr>
        <w:tab/>
      </w:r>
      <w:r w:rsidR="00987737" w:rsidRPr="002F5F4F">
        <w:rPr>
          <w:rFonts w:ascii="Arial" w:hAnsi="Arial" w:cs="Arial"/>
          <w:b/>
          <w:bCs/>
          <w:sz w:val="24"/>
          <w:szCs w:val="24"/>
        </w:rPr>
        <w:t>The respondent’s seizure of the applicant’s 70 goats is hereby declared unlawful.</w:t>
      </w:r>
    </w:p>
    <w:p w14:paraId="15A2BF4F" w14:textId="77777777" w:rsidR="00987737" w:rsidRPr="00C87A55" w:rsidRDefault="00987737" w:rsidP="00C970B5">
      <w:pPr>
        <w:pStyle w:val="ListParagraph"/>
        <w:spacing w:line="480" w:lineRule="auto"/>
        <w:rPr>
          <w:rFonts w:ascii="Arial" w:hAnsi="Arial" w:cs="Arial"/>
          <w:b/>
          <w:bCs/>
          <w:sz w:val="24"/>
          <w:szCs w:val="24"/>
        </w:rPr>
      </w:pPr>
    </w:p>
    <w:p w14:paraId="0A9A9721" w14:textId="24C39CAA" w:rsidR="00987737" w:rsidRPr="002F5F4F" w:rsidRDefault="002F5F4F" w:rsidP="002F5F4F">
      <w:pPr>
        <w:spacing w:line="480" w:lineRule="auto"/>
        <w:ind w:left="927" w:hanging="360"/>
        <w:rPr>
          <w:rFonts w:ascii="Arial" w:hAnsi="Arial" w:cs="Arial"/>
          <w:b/>
          <w:bCs/>
          <w:sz w:val="24"/>
          <w:szCs w:val="24"/>
        </w:rPr>
      </w:pPr>
      <w:r w:rsidRPr="00C87A55">
        <w:rPr>
          <w:rFonts w:ascii="Arial" w:hAnsi="Arial" w:cs="Arial"/>
          <w:b/>
          <w:bCs/>
          <w:sz w:val="24"/>
          <w:szCs w:val="24"/>
        </w:rPr>
        <w:t>3.</w:t>
      </w:r>
      <w:r w:rsidRPr="00C87A55">
        <w:rPr>
          <w:rFonts w:ascii="Arial" w:hAnsi="Arial" w:cs="Arial"/>
          <w:b/>
          <w:bCs/>
          <w:sz w:val="24"/>
          <w:szCs w:val="24"/>
        </w:rPr>
        <w:tab/>
      </w:r>
      <w:r w:rsidR="00987737" w:rsidRPr="002F5F4F">
        <w:rPr>
          <w:rFonts w:ascii="Arial" w:hAnsi="Arial" w:cs="Arial"/>
          <w:b/>
          <w:bCs/>
          <w:sz w:val="24"/>
          <w:szCs w:val="24"/>
        </w:rPr>
        <w:t>The respondent is ordered to pay the costs of the application.</w:t>
      </w:r>
    </w:p>
    <w:p w14:paraId="67A4858F" w14:textId="77777777" w:rsidR="00987737" w:rsidRPr="00C87A55" w:rsidRDefault="00987737" w:rsidP="00C970B5">
      <w:pPr>
        <w:pStyle w:val="ListParagraph"/>
        <w:rPr>
          <w:rFonts w:ascii="Arial" w:hAnsi="Arial" w:cs="Arial"/>
          <w:sz w:val="24"/>
          <w:szCs w:val="24"/>
        </w:rPr>
      </w:pPr>
    </w:p>
    <w:p w14:paraId="001B24AE" w14:textId="77777777" w:rsidR="00987737" w:rsidRPr="00C87A55" w:rsidRDefault="00987737" w:rsidP="00987737">
      <w:pPr>
        <w:rPr>
          <w:rFonts w:ascii="Arial" w:hAnsi="Arial" w:cs="Arial"/>
          <w:sz w:val="24"/>
          <w:szCs w:val="24"/>
        </w:rPr>
      </w:pPr>
    </w:p>
    <w:p w14:paraId="76A66A31" w14:textId="77777777" w:rsidR="00987737" w:rsidRPr="00C87A55" w:rsidRDefault="00987737" w:rsidP="00987737">
      <w:pPr>
        <w:spacing w:line="480" w:lineRule="auto"/>
        <w:jc w:val="both"/>
        <w:rPr>
          <w:rFonts w:ascii="Arial" w:eastAsia="Times New Roman" w:hAnsi="Arial" w:cs="Arial"/>
          <w:b/>
          <w:kern w:val="0"/>
          <w:sz w:val="24"/>
          <w:szCs w:val="24"/>
          <w:lang w:val="en-ZA" w:eastAsia="en-ZA"/>
          <w14:ligatures w14:val="none"/>
        </w:rPr>
      </w:pPr>
      <w:r w:rsidRPr="00C87A55">
        <w:rPr>
          <w:rFonts w:ascii="Arial" w:hAnsi="Arial" w:cs="Arial"/>
          <w:sz w:val="24"/>
          <w:szCs w:val="24"/>
        </w:rPr>
        <w:t xml:space="preserve"> </w:t>
      </w:r>
    </w:p>
    <w:p w14:paraId="6944DF65" w14:textId="77777777" w:rsidR="00987737" w:rsidRPr="00987737" w:rsidRDefault="00987737" w:rsidP="00987737">
      <w:pPr>
        <w:spacing w:after="200" w:line="240" w:lineRule="auto"/>
        <w:jc w:val="both"/>
        <w:rPr>
          <w:rFonts w:ascii="Arial" w:eastAsia="Times New Roman" w:hAnsi="Arial" w:cs="Arial"/>
          <w:kern w:val="0"/>
          <w:sz w:val="24"/>
          <w:szCs w:val="24"/>
          <w:lang w:val="en-ZA" w:eastAsia="en-ZA"/>
          <w14:ligatures w14:val="none"/>
        </w:rPr>
      </w:pPr>
      <w:r w:rsidRPr="00987737">
        <w:rPr>
          <w:rFonts w:ascii="Arial" w:eastAsia="Times New Roman" w:hAnsi="Arial" w:cs="Arial"/>
          <w:b/>
          <w:kern w:val="0"/>
          <w:sz w:val="24"/>
          <w:szCs w:val="24"/>
          <w:lang w:val="en-ZA" w:eastAsia="en-ZA"/>
          <w14:ligatures w14:val="none"/>
        </w:rPr>
        <w:t>_________________</w:t>
      </w:r>
    </w:p>
    <w:p w14:paraId="123B20CD" w14:textId="6DA214F7" w:rsidR="00987737" w:rsidRPr="00987737" w:rsidRDefault="00987737" w:rsidP="00987737">
      <w:pPr>
        <w:spacing w:after="200" w:line="240" w:lineRule="auto"/>
        <w:ind w:left="630" w:hanging="630"/>
        <w:jc w:val="both"/>
        <w:rPr>
          <w:rFonts w:ascii="Arial" w:eastAsia="Times New Roman" w:hAnsi="Arial" w:cs="Arial"/>
          <w:b/>
          <w:kern w:val="0"/>
          <w:sz w:val="24"/>
          <w:szCs w:val="24"/>
          <w:lang w:val="en-ZA" w:eastAsia="en-ZA"/>
          <w14:ligatures w14:val="none"/>
        </w:rPr>
      </w:pPr>
      <w:r>
        <w:rPr>
          <w:rFonts w:ascii="Arial" w:eastAsia="Times New Roman" w:hAnsi="Arial" w:cs="Arial"/>
          <w:b/>
          <w:kern w:val="0"/>
          <w:sz w:val="24"/>
          <w:szCs w:val="24"/>
          <w:lang w:val="en-ZA" w:eastAsia="en-ZA"/>
          <w14:ligatures w14:val="none"/>
        </w:rPr>
        <w:t>B PAKATI</w:t>
      </w:r>
    </w:p>
    <w:p w14:paraId="45663E1C" w14:textId="6AD42E88" w:rsidR="00987737" w:rsidRPr="00987737" w:rsidRDefault="00987737" w:rsidP="00987737">
      <w:pPr>
        <w:spacing w:after="200" w:line="240" w:lineRule="auto"/>
        <w:ind w:left="630" w:hanging="630"/>
        <w:jc w:val="both"/>
        <w:rPr>
          <w:rFonts w:ascii="Arial" w:eastAsia="Times New Roman" w:hAnsi="Arial" w:cs="Arial"/>
          <w:b/>
          <w:kern w:val="0"/>
          <w:sz w:val="24"/>
          <w:szCs w:val="24"/>
          <w:lang w:val="en-ZA" w:eastAsia="en-ZA"/>
          <w14:ligatures w14:val="none"/>
        </w:rPr>
      </w:pPr>
      <w:r w:rsidRPr="00987737">
        <w:rPr>
          <w:rFonts w:ascii="Arial" w:eastAsia="Times New Roman" w:hAnsi="Arial" w:cs="Arial"/>
          <w:b/>
          <w:kern w:val="0"/>
          <w:sz w:val="24"/>
          <w:szCs w:val="24"/>
          <w:lang w:val="en-ZA" w:eastAsia="en-ZA"/>
          <w14:ligatures w14:val="none"/>
        </w:rPr>
        <w:t>JUDGE OF THE HIGH COURT</w:t>
      </w:r>
      <w:r>
        <w:rPr>
          <w:rFonts w:ascii="Arial" w:eastAsia="Times New Roman" w:hAnsi="Arial" w:cs="Arial"/>
          <w:b/>
          <w:kern w:val="0"/>
          <w:sz w:val="24"/>
          <w:szCs w:val="24"/>
          <w:lang w:val="en-ZA" w:eastAsia="en-ZA"/>
          <w14:ligatures w14:val="none"/>
        </w:rPr>
        <w:t xml:space="preserve"> OF SOUTH AFRICA: GQEBERHA</w:t>
      </w:r>
    </w:p>
    <w:p w14:paraId="7E699348" w14:textId="77777777" w:rsidR="00987737" w:rsidRDefault="00987737" w:rsidP="00987737">
      <w:pPr>
        <w:spacing w:after="200" w:line="240" w:lineRule="auto"/>
        <w:jc w:val="both"/>
        <w:rPr>
          <w:rFonts w:ascii="Arial" w:eastAsia="Times New Roman" w:hAnsi="Arial" w:cs="Arial"/>
          <w:kern w:val="0"/>
          <w:sz w:val="24"/>
          <w:szCs w:val="24"/>
          <w:lang w:val="en-ZA" w:eastAsia="en-ZA"/>
          <w14:ligatures w14:val="none"/>
        </w:rPr>
      </w:pPr>
    </w:p>
    <w:p w14:paraId="36465759" w14:textId="77777777" w:rsidR="00987737" w:rsidRDefault="00987737" w:rsidP="00987737">
      <w:pPr>
        <w:spacing w:after="200" w:line="240" w:lineRule="auto"/>
        <w:jc w:val="both"/>
        <w:rPr>
          <w:rFonts w:ascii="Arial" w:eastAsia="Times New Roman" w:hAnsi="Arial" w:cs="Arial"/>
          <w:kern w:val="0"/>
          <w:sz w:val="24"/>
          <w:szCs w:val="24"/>
          <w:lang w:val="en-ZA" w:eastAsia="en-ZA"/>
          <w14:ligatures w14:val="none"/>
        </w:rPr>
      </w:pPr>
    </w:p>
    <w:p w14:paraId="029B247E" w14:textId="77777777" w:rsidR="00613A4B" w:rsidRDefault="00613A4B" w:rsidP="004A080A">
      <w:pPr>
        <w:spacing w:before="240" w:after="120" w:line="360" w:lineRule="auto"/>
        <w:jc w:val="both"/>
        <w:rPr>
          <w:rFonts w:ascii="Arial" w:eastAsia="SimSun" w:hAnsi="Arial" w:cs="Arial"/>
          <w:b/>
          <w:w w:val="104"/>
          <w:kern w:val="0"/>
          <w:sz w:val="24"/>
          <w:szCs w:val="24"/>
          <w:lang w:val="en-ZA" w:eastAsia="zh-CN"/>
          <w14:ligatures w14:val="none"/>
        </w:rPr>
      </w:pPr>
    </w:p>
    <w:p w14:paraId="15F43ABB" w14:textId="77777777" w:rsidR="00613A4B" w:rsidRDefault="00613A4B" w:rsidP="004A080A">
      <w:pPr>
        <w:spacing w:before="240" w:after="120" w:line="360" w:lineRule="auto"/>
        <w:jc w:val="both"/>
        <w:rPr>
          <w:rFonts w:ascii="Arial" w:eastAsia="SimSun" w:hAnsi="Arial" w:cs="Arial"/>
          <w:b/>
          <w:w w:val="104"/>
          <w:kern w:val="0"/>
          <w:sz w:val="24"/>
          <w:szCs w:val="24"/>
          <w:lang w:val="en-ZA" w:eastAsia="zh-CN"/>
          <w14:ligatures w14:val="none"/>
        </w:rPr>
      </w:pPr>
    </w:p>
    <w:p w14:paraId="5738FE12" w14:textId="77777777" w:rsidR="00613A4B" w:rsidRDefault="00613A4B" w:rsidP="004A080A">
      <w:pPr>
        <w:spacing w:before="240" w:after="120" w:line="360" w:lineRule="auto"/>
        <w:jc w:val="both"/>
        <w:rPr>
          <w:rFonts w:ascii="Arial" w:eastAsia="SimSun" w:hAnsi="Arial" w:cs="Arial"/>
          <w:b/>
          <w:w w:val="104"/>
          <w:kern w:val="0"/>
          <w:sz w:val="24"/>
          <w:szCs w:val="24"/>
          <w:lang w:val="en-ZA" w:eastAsia="zh-CN"/>
          <w14:ligatures w14:val="none"/>
        </w:rPr>
      </w:pPr>
    </w:p>
    <w:p w14:paraId="487BD525" w14:textId="557DD3F3" w:rsidR="004A080A" w:rsidRPr="00987737" w:rsidRDefault="004A080A" w:rsidP="004A080A">
      <w:pPr>
        <w:spacing w:before="240" w:after="120" w:line="360" w:lineRule="auto"/>
        <w:jc w:val="both"/>
        <w:rPr>
          <w:rFonts w:ascii="Arial" w:eastAsia="SimSun" w:hAnsi="Arial" w:cs="Arial"/>
          <w:b/>
          <w:w w:val="104"/>
          <w:kern w:val="0"/>
          <w:sz w:val="24"/>
          <w:szCs w:val="24"/>
          <w:lang w:val="en-ZA" w:eastAsia="zh-CN"/>
          <w14:ligatures w14:val="none"/>
        </w:rPr>
      </w:pPr>
      <w:r w:rsidRPr="00987737">
        <w:rPr>
          <w:rFonts w:ascii="Arial" w:eastAsia="SimSun" w:hAnsi="Arial" w:cs="Arial"/>
          <w:b/>
          <w:w w:val="104"/>
          <w:kern w:val="0"/>
          <w:sz w:val="24"/>
          <w:szCs w:val="24"/>
          <w:lang w:val="en-ZA" w:eastAsia="zh-CN"/>
          <w14:ligatures w14:val="none"/>
        </w:rPr>
        <w:t>APPEARANCES:</w:t>
      </w:r>
    </w:p>
    <w:p w14:paraId="51ACD81D" w14:textId="77777777" w:rsidR="004A080A" w:rsidRPr="00987737" w:rsidRDefault="004A080A" w:rsidP="004A080A">
      <w:pPr>
        <w:spacing w:after="200" w:line="240" w:lineRule="auto"/>
        <w:jc w:val="both"/>
        <w:rPr>
          <w:rFonts w:ascii="Arial" w:eastAsia="Times New Roman" w:hAnsi="Arial" w:cs="Arial"/>
          <w:kern w:val="0"/>
          <w:sz w:val="24"/>
          <w:szCs w:val="24"/>
          <w:lang w:val="en-ZA" w:eastAsia="en-ZA"/>
          <w14:ligatures w14:val="none"/>
        </w:rPr>
      </w:pPr>
    </w:p>
    <w:p w14:paraId="79793E1B" w14:textId="77777777" w:rsidR="002A2DBD" w:rsidRDefault="002A2DBD" w:rsidP="004A080A">
      <w:pPr>
        <w:spacing w:after="200" w:line="240" w:lineRule="auto"/>
        <w:ind w:left="630" w:hanging="630"/>
        <w:jc w:val="both"/>
        <w:rPr>
          <w:rFonts w:ascii="Arial" w:eastAsia="Times New Roman" w:hAnsi="Arial" w:cs="Arial"/>
          <w:kern w:val="0"/>
          <w:sz w:val="24"/>
          <w:szCs w:val="24"/>
          <w:lang w:val="en-ZA" w:eastAsia="en-ZA"/>
          <w14:ligatures w14:val="none"/>
        </w:rPr>
      </w:pPr>
    </w:p>
    <w:p w14:paraId="6EEBAB0C" w14:textId="2430A6BC" w:rsidR="004A080A" w:rsidRPr="00987737" w:rsidRDefault="004A080A" w:rsidP="004A080A">
      <w:pPr>
        <w:spacing w:after="200" w:line="240" w:lineRule="auto"/>
        <w:ind w:left="630" w:hanging="630"/>
        <w:jc w:val="both"/>
        <w:rPr>
          <w:rFonts w:ascii="Arial" w:eastAsia="Times New Roman" w:hAnsi="Arial" w:cs="Arial"/>
          <w:kern w:val="0"/>
          <w:sz w:val="24"/>
          <w:szCs w:val="24"/>
          <w:lang w:val="en-ZA" w:eastAsia="en-ZA"/>
          <w14:ligatures w14:val="none"/>
        </w:rPr>
      </w:pPr>
      <w:r w:rsidRPr="00987737">
        <w:rPr>
          <w:rFonts w:ascii="Arial" w:eastAsia="Times New Roman" w:hAnsi="Arial" w:cs="Arial"/>
          <w:kern w:val="0"/>
          <w:sz w:val="24"/>
          <w:szCs w:val="24"/>
          <w:lang w:val="en-ZA" w:eastAsia="en-ZA"/>
          <w14:ligatures w14:val="none"/>
        </w:rPr>
        <w:t>Counsel for the Applicant:</w:t>
      </w:r>
      <w:r w:rsidRPr="00987737">
        <w:rPr>
          <w:rFonts w:ascii="Arial" w:eastAsia="Times New Roman" w:hAnsi="Arial" w:cs="Arial"/>
          <w:kern w:val="0"/>
          <w:sz w:val="24"/>
          <w:szCs w:val="24"/>
          <w:lang w:val="en-ZA" w:eastAsia="en-ZA"/>
          <w14:ligatures w14:val="none"/>
        </w:rPr>
        <w:tab/>
      </w:r>
      <w:r>
        <w:rPr>
          <w:rFonts w:ascii="Arial" w:eastAsia="Times New Roman" w:hAnsi="Arial" w:cs="Arial"/>
          <w:kern w:val="0"/>
          <w:sz w:val="24"/>
          <w:szCs w:val="24"/>
          <w:lang w:val="en-ZA" w:eastAsia="en-ZA"/>
          <w14:ligatures w14:val="none"/>
        </w:rPr>
        <w:t>Adv S Mzileni</w:t>
      </w:r>
      <w:r w:rsidRPr="00987737">
        <w:rPr>
          <w:rFonts w:ascii="Arial" w:eastAsia="Times New Roman" w:hAnsi="Arial" w:cs="Arial"/>
          <w:kern w:val="0"/>
          <w:sz w:val="24"/>
          <w:szCs w:val="24"/>
          <w:lang w:val="en-ZA" w:eastAsia="en-ZA"/>
          <w14:ligatures w14:val="none"/>
        </w:rPr>
        <w:tab/>
      </w:r>
      <w:r w:rsidRPr="00987737">
        <w:rPr>
          <w:rFonts w:ascii="Arial" w:eastAsia="Times New Roman" w:hAnsi="Arial" w:cs="Arial"/>
          <w:kern w:val="0"/>
          <w:sz w:val="24"/>
          <w:szCs w:val="24"/>
          <w:lang w:val="en-ZA" w:eastAsia="en-ZA"/>
          <w14:ligatures w14:val="none"/>
        </w:rPr>
        <w:tab/>
      </w:r>
    </w:p>
    <w:p w14:paraId="620DD562" w14:textId="77777777" w:rsidR="004A080A" w:rsidRPr="00987737" w:rsidRDefault="004A080A" w:rsidP="004A080A">
      <w:pPr>
        <w:spacing w:after="200" w:line="240" w:lineRule="auto"/>
        <w:ind w:left="630" w:hanging="630"/>
        <w:jc w:val="both"/>
        <w:rPr>
          <w:rFonts w:ascii="Arial" w:eastAsia="Times New Roman" w:hAnsi="Arial" w:cs="Arial"/>
          <w:kern w:val="0"/>
          <w:sz w:val="24"/>
          <w:szCs w:val="24"/>
          <w:lang w:val="en-ZA" w:eastAsia="en-ZA"/>
          <w14:ligatures w14:val="none"/>
        </w:rPr>
      </w:pPr>
      <w:r w:rsidRPr="00987737">
        <w:rPr>
          <w:rFonts w:ascii="Arial" w:eastAsia="Times New Roman" w:hAnsi="Arial" w:cs="Arial"/>
          <w:kern w:val="0"/>
          <w:sz w:val="24"/>
          <w:szCs w:val="24"/>
          <w:lang w:val="en-ZA" w:eastAsia="en-ZA"/>
          <w14:ligatures w14:val="none"/>
        </w:rPr>
        <w:t>Instructed by:</w:t>
      </w:r>
      <w:r w:rsidRPr="00987737">
        <w:rPr>
          <w:rFonts w:ascii="Arial" w:eastAsia="Times New Roman" w:hAnsi="Arial" w:cs="Arial"/>
          <w:kern w:val="0"/>
          <w:sz w:val="24"/>
          <w:szCs w:val="24"/>
          <w:lang w:val="en-ZA" w:eastAsia="en-ZA"/>
          <w14:ligatures w14:val="none"/>
        </w:rPr>
        <w:tab/>
      </w:r>
      <w:r>
        <w:rPr>
          <w:rFonts w:ascii="Arial" w:eastAsia="Times New Roman" w:hAnsi="Arial" w:cs="Arial"/>
          <w:kern w:val="0"/>
          <w:sz w:val="24"/>
          <w:szCs w:val="24"/>
          <w:lang w:val="en-ZA" w:eastAsia="en-ZA"/>
          <w14:ligatures w14:val="none"/>
        </w:rPr>
        <w:tab/>
        <w:t>Z.P. Maketa Attorneys</w:t>
      </w:r>
      <w:r w:rsidRPr="00987737">
        <w:rPr>
          <w:rFonts w:ascii="Arial" w:eastAsia="Times New Roman" w:hAnsi="Arial" w:cs="Arial"/>
          <w:kern w:val="0"/>
          <w:sz w:val="24"/>
          <w:szCs w:val="24"/>
          <w:lang w:val="en-ZA" w:eastAsia="en-ZA"/>
          <w14:ligatures w14:val="none"/>
        </w:rPr>
        <w:tab/>
      </w:r>
      <w:r w:rsidRPr="00987737">
        <w:rPr>
          <w:rFonts w:ascii="Arial" w:eastAsia="Times New Roman" w:hAnsi="Arial" w:cs="Arial"/>
          <w:kern w:val="0"/>
          <w:sz w:val="24"/>
          <w:szCs w:val="24"/>
          <w:lang w:val="en-ZA" w:eastAsia="en-ZA"/>
          <w14:ligatures w14:val="none"/>
        </w:rPr>
        <w:tab/>
      </w:r>
    </w:p>
    <w:p w14:paraId="47BFEB57" w14:textId="77777777" w:rsidR="004A080A" w:rsidRPr="00987737" w:rsidRDefault="004A080A" w:rsidP="004A080A">
      <w:pPr>
        <w:spacing w:after="200" w:line="240" w:lineRule="auto"/>
        <w:ind w:left="630" w:hanging="630"/>
        <w:jc w:val="both"/>
        <w:rPr>
          <w:rFonts w:ascii="Arial" w:eastAsia="Times New Roman" w:hAnsi="Arial" w:cs="Arial"/>
          <w:kern w:val="0"/>
          <w:sz w:val="24"/>
          <w:szCs w:val="24"/>
          <w:lang w:val="en-ZA" w:eastAsia="en-ZA"/>
          <w14:ligatures w14:val="none"/>
        </w:rPr>
      </w:pPr>
      <w:r w:rsidRPr="00987737">
        <w:rPr>
          <w:rFonts w:ascii="Arial" w:eastAsia="Times New Roman" w:hAnsi="Arial" w:cs="Arial"/>
          <w:kern w:val="0"/>
          <w:sz w:val="24"/>
          <w:szCs w:val="24"/>
          <w:lang w:val="en-ZA" w:eastAsia="en-ZA"/>
          <w14:ligatures w14:val="none"/>
        </w:rPr>
        <w:tab/>
      </w:r>
      <w:r w:rsidRPr="00987737">
        <w:rPr>
          <w:rFonts w:ascii="Arial" w:eastAsia="Times New Roman" w:hAnsi="Arial" w:cs="Arial"/>
          <w:kern w:val="0"/>
          <w:sz w:val="24"/>
          <w:szCs w:val="24"/>
          <w:lang w:val="en-ZA" w:eastAsia="en-ZA"/>
          <w14:ligatures w14:val="none"/>
        </w:rPr>
        <w:tab/>
      </w:r>
      <w:r w:rsidRPr="00987737">
        <w:rPr>
          <w:rFonts w:ascii="Arial" w:eastAsia="Times New Roman" w:hAnsi="Arial" w:cs="Arial"/>
          <w:kern w:val="0"/>
          <w:sz w:val="24"/>
          <w:szCs w:val="24"/>
          <w:lang w:val="en-ZA" w:eastAsia="en-ZA"/>
          <w14:ligatures w14:val="none"/>
        </w:rPr>
        <w:tab/>
      </w:r>
      <w:r w:rsidRPr="00987737">
        <w:rPr>
          <w:rFonts w:ascii="Arial" w:eastAsia="Times New Roman" w:hAnsi="Arial" w:cs="Arial"/>
          <w:kern w:val="0"/>
          <w:sz w:val="24"/>
          <w:szCs w:val="24"/>
          <w:lang w:val="en-ZA" w:eastAsia="en-ZA"/>
          <w14:ligatures w14:val="none"/>
        </w:rPr>
        <w:tab/>
      </w:r>
      <w:r w:rsidRPr="00987737">
        <w:rPr>
          <w:rFonts w:ascii="Arial" w:eastAsia="Times New Roman" w:hAnsi="Arial" w:cs="Arial"/>
          <w:kern w:val="0"/>
          <w:sz w:val="24"/>
          <w:szCs w:val="24"/>
          <w:lang w:val="en-ZA" w:eastAsia="en-ZA"/>
          <w14:ligatures w14:val="none"/>
        </w:rPr>
        <w:tab/>
      </w:r>
      <w:r w:rsidRPr="00987737">
        <w:rPr>
          <w:rFonts w:ascii="Arial" w:eastAsia="Times New Roman" w:hAnsi="Arial" w:cs="Arial"/>
          <w:kern w:val="0"/>
          <w:sz w:val="24"/>
          <w:szCs w:val="24"/>
          <w:lang w:val="en-ZA" w:eastAsia="en-ZA"/>
          <w14:ligatures w14:val="none"/>
        </w:rPr>
        <w:tab/>
      </w:r>
      <w:r w:rsidRPr="00987737">
        <w:rPr>
          <w:rFonts w:ascii="Arial" w:eastAsia="Times New Roman" w:hAnsi="Arial" w:cs="Arial"/>
          <w:kern w:val="0"/>
          <w:sz w:val="24"/>
          <w:szCs w:val="24"/>
          <w:lang w:val="en-ZA" w:eastAsia="en-ZA"/>
          <w14:ligatures w14:val="none"/>
        </w:rPr>
        <w:tab/>
      </w:r>
    </w:p>
    <w:p w14:paraId="28B4412C" w14:textId="77777777" w:rsidR="004A080A" w:rsidRPr="00987737" w:rsidRDefault="004A080A" w:rsidP="004A080A">
      <w:pPr>
        <w:spacing w:after="200" w:line="240" w:lineRule="auto"/>
        <w:ind w:left="630" w:hanging="630"/>
        <w:jc w:val="both"/>
        <w:rPr>
          <w:rFonts w:ascii="Arial" w:eastAsia="Times New Roman" w:hAnsi="Arial" w:cs="Arial"/>
          <w:kern w:val="0"/>
          <w:sz w:val="24"/>
          <w:szCs w:val="24"/>
          <w:lang w:val="en-ZA" w:eastAsia="en-ZA"/>
          <w14:ligatures w14:val="none"/>
        </w:rPr>
      </w:pPr>
      <w:r w:rsidRPr="00987737">
        <w:rPr>
          <w:rFonts w:ascii="Arial" w:eastAsia="Times New Roman" w:hAnsi="Arial" w:cs="Arial"/>
          <w:kern w:val="0"/>
          <w:sz w:val="24"/>
          <w:szCs w:val="24"/>
          <w:lang w:val="en-ZA" w:eastAsia="en-ZA"/>
          <w14:ligatures w14:val="none"/>
        </w:rPr>
        <w:tab/>
      </w:r>
      <w:r w:rsidRPr="00987737">
        <w:rPr>
          <w:rFonts w:ascii="Arial" w:eastAsia="Times New Roman" w:hAnsi="Arial" w:cs="Arial"/>
          <w:kern w:val="0"/>
          <w:sz w:val="24"/>
          <w:szCs w:val="24"/>
          <w:lang w:val="en-ZA" w:eastAsia="en-ZA"/>
          <w14:ligatures w14:val="none"/>
        </w:rPr>
        <w:tab/>
      </w:r>
      <w:r w:rsidRPr="00987737">
        <w:rPr>
          <w:rFonts w:ascii="Arial" w:eastAsia="Times New Roman" w:hAnsi="Arial" w:cs="Arial"/>
          <w:kern w:val="0"/>
          <w:sz w:val="24"/>
          <w:szCs w:val="24"/>
          <w:lang w:val="en-ZA" w:eastAsia="en-ZA"/>
          <w14:ligatures w14:val="none"/>
        </w:rPr>
        <w:tab/>
      </w:r>
      <w:r w:rsidRPr="00987737">
        <w:rPr>
          <w:rFonts w:ascii="Arial" w:eastAsia="Times New Roman" w:hAnsi="Arial" w:cs="Arial"/>
          <w:kern w:val="0"/>
          <w:sz w:val="24"/>
          <w:szCs w:val="24"/>
          <w:lang w:val="en-ZA" w:eastAsia="en-ZA"/>
          <w14:ligatures w14:val="none"/>
        </w:rPr>
        <w:tab/>
      </w:r>
      <w:r w:rsidRPr="00987737">
        <w:rPr>
          <w:rFonts w:ascii="Arial" w:eastAsia="Times New Roman" w:hAnsi="Arial" w:cs="Arial"/>
          <w:kern w:val="0"/>
          <w:sz w:val="24"/>
          <w:szCs w:val="24"/>
          <w:lang w:val="en-ZA" w:eastAsia="en-ZA"/>
          <w14:ligatures w14:val="none"/>
        </w:rPr>
        <w:tab/>
      </w:r>
      <w:r w:rsidRPr="00987737">
        <w:rPr>
          <w:rFonts w:ascii="Arial" w:eastAsia="Times New Roman" w:hAnsi="Arial" w:cs="Arial"/>
          <w:kern w:val="0"/>
          <w:sz w:val="24"/>
          <w:szCs w:val="24"/>
          <w:lang w:val="en-ZA" w:eastAsia="en-ZA"/>
          <w14:ligatures w14:val="none"/>
        </w:rPr>
        <w:tab/>
      </w:r>
      <w:r w:rsidRPr="00987737">
        <w:rPr>
          <w:rFonts w:ascii="Arial" w:eastAsia="Times New Roman" w:hAnsi="Arial" w:cs="Arial"/>
          <w:kern w:val="0"/>
          <w:sz w:val="24"/>
          <w:szCs w:val="24"/>
          <w:lang w:val="en-ZA" w:eastAsia="en-ZA"/>
          <w14:ligatures w14:val="none"/>
        </w:rPr>
        <w:tab/>
      </w:r>
    </w:p>
    <w:p w14:paraId="26350349" w14:textId="77777777" w:rsidR="004A080A" w:rsidRPr="00987737" w:rsidRDefault="004A080A" w:rsidP="004A080A">
      <w:pPr>
        <w:spacing w:after="200" w:line="240" w:lineRule="auto"/>
        <w:ind w:left="630" w:hanging="630"/>
        <w:jc w:val="both"/>
        <w:rPr>
          <w:rFonts w:ascii="Arial" w:eastAsia="Times New Roman" w:hAnsi="Arial" w:cs="Arial"/>
          <w:b/>
          <w:bCs/>
          <w:kern w:val="0"/>
          <w:sz w:val="24"/>
          <w:szCs w:val="24"/>
          <w:lang w:val="en-ZA" w:eastAsia="en-ZA"/>
          <w14:ligatures w14:val="none"/>
        </w:rPr>
      </w:pPr>
      <w:r w:rsidRPr="00987737">
        <w:rPr>
          <w:rFonts w:ascii="Arial" w:eastAsia="Times New Roman" w:hAnsi="Arial" w:cs="Arial"/>
          <w:kern w:val="0"/>
          <w:sz w:val="24"/>
          <w:szCs w:val="24"/>
          <w:lang w:val="en-ZA" w:eastAsia="en-ZA"/>
          <w14:ligatures w14:val="none"/>
        </w:rPr>
        <w:tab/>
      </w:r>
      <w:r w:rsidRPr="00987737">
        <w:rPr>
          <w:rFonts w:ascii="Arial" w:eastAsia="Times New Roman" w:hAnsi="Arial" w:cs="Arial"/>
          <w:kern w:val="0"/>
          <w:sz w:val="24"/>
          <w:szCs w:val="24"/>
          <w:lang w:val="en-ZA" w:eastAsia="en-ZA"/>
          <w14:ligatures w14:val="none"/>
        </w:rPr>
        <w:tab/>
      </w:r>
      <w:r w:rsidRPr="00987737">
        <w:rPr>
          <w:rFonts w:ascii="Arial" w:eastAsia="Times New Roman" w:hAnsi="Arial" w:cs="Arial"/>
          <w:kern w:val="0"/>
          <w:sz w:val="24"/>
          <w:szCs w:val="24"/>
          <w:lang w:val="en-ZA" w:eastAsia="en-ZA"/>
          <w14:ligatures w14:val="none"/>
        </w:rPr>
        <w:tab/>
      </w:r>
      <w:r w:rsidRPr="00987737">
        <w:rPr>
          <w:rFonts w:ascii="Arial" w:eastAsia="Times New Roman" w:hAnsi="Arial" w:cs="Arial"/>
          <w:kern w:val="0"/>
          <w:sz w:val="24"/>
          <w:szCs w:val="24"/>
          <w:lang w:val="en-ZA" w:eastAsia="en-ZA"/>
          <w14:ligatures w14:val="none"/>
        </w:rPr>
        <w:tab/>
      </w:r>
      <w:r w:rsidRPr="00987737">
        <w:rPr>
          <w:rFonts w:ascii="Arial" w:eastAsia="Times New Roman" w:hAnsi="Arial" w:cs="Arial"/>
          <w:kern w:val="0"/>
          <w:sz w:val="24"/>
          <w:szCs w:val="24"/>
          <w:lang w:val="en-ZA" w:eastAsia="en-ZA"/>
          <w14:ligatures w14:val="none"/>
        </w:rPr>
        <w:tab/>
      </w:r>
      <w:r w:rsidRPr="00987737">
        <w:rPr>
          <w:rFonts w:ascii="Arial" w:eastAsia="Times New Roman" w:hAnsi="Arial" w:cs="Arial"/>
          <w:kern w:val="0"/>
          <w:sz w:val="24"/>
          <w:szCs w:val="24"/>
          <w:lang w:val="en-ZA" w:eastAsia="en-ZA"/>
          <w14:ligatures w14:val="none"/>
        </w:rPr>
        <w:tab/>
      </w:r>
      <w:r w:rsidRPr="00987737">
        <w:rPr>
          <w:rFonts w:ascii="Arial" w:eastAsia="Times New Roman" w:hAnsi="Arial" w:cs="Arial"/>
          <w:kern w:val="0"/>
          <w:sz w:val="24"/>
          <w:szCs w:val="24"/>
          <w:lang w:val="en-ZA" w:eastAsia="en-ZA"/>
          <w14:ligatures w14:val="none"/>
        </w:rPr>
        <w:tab/>
      </w:r>
    </w:p>
    <w:p w14:paraId="5ACBDA3D" w14:textId="77777777" w:rsidR="004A080A" w:rsidRPr="00987737" w:rsidRDefault="004A080A" w:rsidP="004A080A">
      <w:pPr>
        <w:spacing w:after="200" w:line="240" w:lineRule="auto"/>
        <w:ind w:left="630" w:hanging="630"/>
        <w:jc w:val="both"/>
        <w:rPr>
          <w:rFonts w:ascii="Arial" w:eastAsia="Times New Roman" w:hAnsi="Arial" w:cs="Arial"/>
          <w:b/>
          <w:kern w:val="0"/>
          <w:sz w:val="24"/>
          <w:szCs w:val="24"/>
          <w:lang w:val="en-ZA" w:eastAsia="en-ZA"/>
          <w14:ligatures w14:val="none"/>
        </w:rPr>
      </w:pPr>
    </w:p>
    <w:p w14:paraId="59804461" w14:textId="77777777" w:rsidR="004A080A" w:rsidRPr="00987737" w:rsidRDefault="004A080A" w:rsidP="004A080A">
      <w:pPr>
        <w:spacing w:after="200" w:line="240" w:lineRule="auto"/>
        <w:ind w:left="630" w:hanging="630"/>
        <w:jc w:val="both"/>
        <w:rPr>
          <w:rFonts w:ascii="Arial" w:eastAsia="Times New Roman" w:hAnsi="Arial" w:cs="Arial"/>
          <w:b/>
          <w:kern w:val="0"/>
          <w:sz w:val="24"/>
          <w:szCs w:val="24"/>
          <w:lang w:val="en-ZA" w:eastAsia="en-ZA"/>
          <w14:ligatures w14:val="none"/>
        </w:rPr>
      </w:pPr>
      <w:r w:rsidRPr="00987737">
        <w:rPr>
          <w:rFonts w:ascii="Arial" w:eastAsia="Times New Roman" w:hAnsi="Arial" w:cs="Arial"/>
          <w:kern w:val="0"/>
          <w:sz w:val="24"/>
          <w:szCs w:val="24"/>
          <w:lang w:val="en-ZA" w:eastAsia="en-ZA"/>
          <w14:ligatures w14:val="none"/>
        </w:rPr>
        <w:t>Counsel for the Respondents:</w:t>
      </w:r>
      <w:r>
        <w:rPr>
          <w:rFonts w:ascii="Arial" w:eastAsia="Times New Roman" w:hAnsi="Arial" w:cs="Arial"/>
          <w:kern w:val="0"/>
          <w:sz w:val="24"/>
          <w:szCs w:val="24"/>
          <w:lang w:val="en-ZA" w:eastAsia="en-ZA"/>
          <w14:ligatures w14:val="none"/>
        </w:rPr>
        <w:t xml:space="preserve"> Adv P Mnqandi</w:t>
      </w:r>
      <w:r w:rsidRPr="00987737">
        <w:rPr>
          <w:rFonts w:ascii="Arial" w:eastAsia="Times New Roman" w:hAnsi="Arial" w:cs="Arial"/>
          <w:kern w:val="0"/>
          <w:sz w:val="24"/>
          <w:szCs w:val="24"/>
          <w:lang w:val="en-ZA" w:eastAsia="en-ZA"/>
          <w14:ligatures w14:val="none"/>
        </w:rPr>
        <w:tab/>
      </w:r>
      <w:r w:rsidRPr="00987737">
        <w:rPr>
          <w:rFonts w:ascii="Arial" w:eastAsia="Times New Roman" w:hAnsi="Arial" w:cs="Arial"/>
          <w:kern w:val="0"/>
          <w:sz w:val="24"/>
          <w:szCs w:val="24"/>
          <w:lang w:val="en-ZA" w:eastAsia="en-ZA"/>
          <w14:ligatures w14:val="none"/>
        </w:rPr>
        <w:tab/>
      </w:r>
    </w:p>
    <w:p w14:paraId="28CC1E7F" w14:textId="77777777" w:rsidR="004A080A" w:rsidRPr="00987737" w:rsidRDefault="004A080A" w:rsidP="004A080A">
      <w:pPr>
        <w:spacing w:after="200" w:line="240" w:lineRule="auto"/>
        <w:ind w:left="4320" w:hanging="4320"/>
        <w:jc w:val="both"/>
        <w:rPr>
          <w:rFonts w:ascii="Arial" w:eastAsia="Times New Roman" w:hAnsi="Arial" w:cs="Arial"/>
          <w:kern w:val="0"/>
          <w:sz w:val="24"/>
          <w:szCs w:val="24"/>
          <w:lang w:val="en-ZA" w:eastAsia="en-ZA"/>
          <w14:ligatures w14:val="none"/>
        </w:rPr>
      </w:pPr>
      <w:r w:rsidRPr="00987737">
        <w:rPr>
          <w:rFonts w:ascii="Arial" w:eastAsia="Times New Roman" w:hAnsi="Arial" w:cs="Arial"/>
          <w:kern w:val="0"/>
          <w:sz w:val="24"/>
          <w:szCs w:val="24"/>
          <w:lang w:val="en-ZA" w:eastAsia="en-ZA"/>
          <w14:ligatures w14:val="none"/>
        </w:rPr>
        <w:t>Instructed by:</w:t>
      </w:r>
      <w:r>
        <w:rPr>
          <w:rFonts w:ascii="Arial" w:eastAsia="Times New Roman" w:hAnsi="Arial" w:cs="Arial"/>
          <w:kern w:val="0"/>
          <w:sz w:val="24"/>
          <w:szCs w:val="24"/>
          <w:lang w:val="en-ZA" w:eastAsia="en-ZA"/>
          <w14:ligatures w14:val="none"/>
        </w:rPr>
        <w:t xml:space="preserve">                           State Attorney</w:t>
      </w:r>
    </w:p>
    <w:p w14:paraId="39BABF23" w14:textId="77777777" w:rsidR="004A080A" w:rsidRPr="00987737" w:rsidRDefault="004A080A" w:rsidP="004A080A">
      <w:pPr>
        <w:spacing w:after="200" w:line="240" w:lineRule="auto"/>
        <w:ind w:left="4320" w:hanging="4320"/>
        <w:jc w:val="both"/>
        <w:rPr>
          <w:rFonts w:ascii="Arial" w:eastAsia="Times New Roman" w:hAnsi="Arial" w:cs="Arial"/>
          <w:kern w:val="0"/>
          <w:sz w:val="24"/>
          <w:szCs w:val="24"/>
          <w:lang w:val="en-ZA" w:eastAsia="en-ZA"/>
          <w14:ligatures w14:val="none"/>
        </w:rPr>
      </w:pPr>
      <w:r w:rsidRPr="00987737">
        <w:rPr>
          <w:rFonts w:ascii="Arial" w:eastAsia="Times New Roman" w:hAnsi="Arial" w:cs="Arial"/>
          <w:kern w:val="0"/>
          <w:sz w:val="24"/>
          <w:szCs w:val="24"/>
          <w:lang w:val="en-ZA" w:eastAsia="en-ZA"/>
          <w14:ligatures w14:val="none"/>
        </w:rPr>
        <w:tab/>
      </w:r>
    </w:p>
    <w:p w14:paraId="4C4362C1" w14:textId="77777777" w:rsidR="004A080A" w:rsidRPr="00987737" w:rsidRDefault="004A080A" w:rsidP="004A080A">
      <w:pPr>
        <w:spacing w:after="200" w:line="240" w:lineRule="auto"/>
        <w:ind w:left="4320" w:hanging="4320"/>
        <w:jc w:val="both"/>
        <w:rPr>
          <w:rFonts w:ascii="Arial" w:eastAsia="Times New Roman" w:hAnsi="Arial" w:cs="Arial"/>
          <w:kern w:val="0"/>
          <w:sz w:val="24"/>
          <w:szCs w:val="24"/>
          <w:lang w:val="en-ZA" w:eastAsia="en-ZA"/>
          <w14:ligatures w14:val="none"/>
        </w:rPr>
      </w:pPr>
      <w:r w:rsidRPr="00987737">
        <w:rPr>
          <w:rFonts w:ascii="Arial" w:eastAsia="Times New Roman" w:hAnsi="Arial" w:cs="Arial"/>
          <w:kern w:val="0"/>
          <w:sz w:val="24"/>
          <w:szCs w:val="24"/>
          <w:lang w:val="en-ZA" w:eastAsia="en-ZA"/>
          <w14:ligatures w14:val="none"/>
        </w:rPr>
        <w:tab/>
      </w:r>
    </w:p>
    <w:p w14:paraId="50305310" w14:textId="77777777" w:rsidR="004A080A" w:rsidRPr="00987737" w:rsidRDefault="004A080A" w:rsidP="004A080A">
      <w:pPr>
        <w:spacing w:after="200" w:line="240" w:lineRule="auto"/>
        <w:ind w:left="4320" w:hanging="4320"/>
        <w:jc w:val="both"/>
        <w:rPr>
          <w:rFonts w:ascii="Arial" w:eastAsia="Times New Roman" w:hAnsi="Arial" w:cs="Arial"/>
          <w:b/>
          <w:bCs/>
          <w:kern w:val="0"/>
          <w:sz w:val="24"/>
          <w:szCs w:val="24"/>
          <w:lang w:val="en-ZA" w:eastAsia="en-ZA"/>
          <w14:ligatures w14:val="none"/>
        </w:rPr>
      </w:pPr>
      <w:r w:rsidRPr="00987737">
        <w:rPr>
          <w:rFonts w:ascii="Arial" w:eastAsia="Times New Roman" w:hAnsi="Arial" w:cs="Arial"/>
          <w:kern w:val="0"/>
          <w:sz w:val="24"/>
          <w:szCs w:val="24"/>
          <w:lang w:val="en-ZA" w:eastAsia="en-ZA"/>
          <w14:ligatures w14:val="none"/>
        </w:rPr>
        <w:tab/>
      </w:r>
    </w:p>
    <w:p w14:paraId="68EF7B8E" w14:textId="77777777" w:rsidR="004A080A" w:rsidRPr="00987737" w:rsidRDefault="004A080A" w:rsidP="004A080A">
      <w:pPr>
        <w:spacing w:after="200" w:line="240" w:lineRule="auto"/>
        <w:jc w:val="both"/>
        <w:rPr>
          <w:rFonts w:ascii="Arial" w:eastAsia="Times New Roman" w:hAnsi="Arial" w:cs="Arial"/>
          <w:kern w:val="0"/>
          <w:sz w:val="24"/>
          <w:szCs w:val="24"/>
          <w:lang w:val="en-ZA" w:eastAsia="en-ZA"/>
          <w14:ligatures w14:val="none"/>
        </w:rPr>
      </w:pPr>
    </w:p>
    <w:p w14:paraId="4663E242" w14:textId="77777777" w:rsidR="004A080A" w:rsidRPr="00987737" w:rsidRDefault="004A080A" w:rsidP="004A080A">
      <w:pPr>
        <w:spacing w:after="200" w:line="240" w:lineRule="auto"/>
        <w:ind w:left="630" w:hanging="630"/>
        <w:jc w:val="both"/>
        <w:rPr>
          <w:rFonts w:ascii="Arial" w:eastAsia="Times New Roman" w:hAnsi="Arial" w:cs="Arial"/>
          <w:kern w:val="0"/>
          <w:sz w:val="24"/>
          <w:szCs w:val="24"/>
          <w:lang w:val="en-ZA" w:eastAsia="en-ZA"/>
          <w14:ligatures w14:val="none"/>
        </w:rPr>
      </w:pPr>
      <w:r w:rsidRPr="00987737">
        <w:rPr>
          <w:rFonts w:ascii="Arial" w:eastAsia="Times New Roman" w:hAnsi="Arial" w:cs="Arial"/>
          <w:kern w:val="0"/>
          <w:sz w:val="24"/>
          <w:szCs w:val="24"/>
          <w:lang w:val="en-ZA" w:eastAsia="en-ZA"/>
          <w14:ligatures w14:val="none"/>
        </w:rPr>
        <w:t>Date Heard:</w:t>
      </w:r>
      <w:r w:rsidRPr="00987737">
        <w:rPr>
          <w:rFonts w:ascii="Arial" w:eastAsia="Times New Roman" w:hAnsi="Arial" w:cs="Arial"/>
          <w:kern w:val="0"/>
          <w:sz w:val="24"/>
          <w:szCs w:val="24"/>
          <w:lang w:val="en-ZA" w:eastAsia="en-ZA"/>
          <w14:ligatures w14:val="none"/>
        </w:rPr>
        <w:tab/>
      </w:r>
      <w:r>
        <w:rPr>
          <w:rFonts w:ascii="Arial" w:eastAsia="Times New Roman" w:hAnsi="Arial" w:cs="Arial"/>
          <w:kern w:val="0"/>
          <w:sz w:val="24"/>
          <w:szCs w:val="24"/>
          <w:lang w:val="en-ZA" w:eastAsia="en-ZA"/>
          <w14:ligatures w14:val="none"/>
        </w:rPr>
        <w:t>27 July 2023</w:t>
      </w:r>
      <w:r w:rsidRPr="00987737">
        <w:rPr>
          <w:rFonts w:ascii="Arial" w:eastAsia="Times New Roman" w:hAnsi="Arial" w:cs="Arial"/>
          <w:kern w:val="0"/>
          <w:sz w:val="24"/>
          <w:szCs w:val="24"/>
          <w:lang w:val="en-ZA" w:eastAsia="en-ZA"/>
          <w14:ligatures w14:val="none"/>
        </w:rPr>
        <w:tab/>
      </w:r>
      <w:r w:rsidRPr="00987737">
        <w:rPr>
          <w:rFonts w:ascii="Arial" w:eastAsia="Times New Roman" w:hAnsi="Arial" w:cs="Arial"/>
          <w:kern w:val="0"/>
          <w:sz w:val="24"/>
          <w:szCs w:val="24"/>
          <w:lang w:val="en-ZA" w:eastAsia="en-ZA"/>
          <w14:ligatures w14:val="none"/>
        </w:rPr>
        <w:tab/>
      </w:r>
      <w:r w:rsidRPr="00987737">
        <w:rPr>
          <w:rFonts w:ascii="Arial" w:eastAsia="Times New Roman" w:hAnsi="Arial" w:cs="Arial"/>
          <w:kern w:val="0"/>
          <w:sz w:val="24"/>
          <w:szCs w:val="24"/>
          <w:lang w:val="en-ZA" w:eastAsia="en-ZA"/>
          <w14:ligatures w14:val="none"/>
        </w:rPr>
        <w:tab/>
      </w:r>
      <w:r w:rsidRPr="00987737">
        <w:rPr>
          <w:rFonts w:ascii="Arial" w:eastAsia="Times New Roman" w:hAnsi="Arial" w:cs="Arial"/>
          <w:kern w:val="0"/>
          <w:sz w:val="24"/>
          <w:szCs w:val="24"/>
          <w:lang w:val="en-ZA" w:eastAsia="en-ZA"/>
          <w14:ligatures w14:val="none"/>
        </w:rPr>
        <w:tab/>
      </w:r>
    </w:p>
    <w:p w14:paraId="00EBD87E" w14:textId="4D594403" w:rsidR="004A080A" w:rsidRPr="00987737" w:rsidRDefault="004A080A" w:rsidP="004A080A">
      <w:pPr>
        <w:spacing w:after="200" w:line="240" w:lineRule="auto"/>
        <w:ind w:left="630" w:hanging="630"/>
        <w:jc w:val="both"/>
        <w:rPr>
          <w:rFonts w:ascii="Arial" w:eastAsia="Times New Roman" w:hAnsi="Arial" w:cs="Arial"/>
          <w:kern w:val="0"/>
          <w:sz w:val="24"/>
          <w:szCs w:val="24"/>
          <w:lang w:val="en-ZA" w:eastAsia="en-ZA"/>
          <w14:ligatures w14:val="none"/>
        </w:rPr>
      </w:pPr>
      <w:r w:rsidRPr="00987737">
        <w:rPr>
          <w:rFonts w:ascii="Arial" w:eastAsia="Times New Roman" w:hAnsi="Arial" w:cs="Arial"/>
          <w:kern w:val="0"/>
          <w:sz w:val="24"/>
          <w:szCs w:val="24"/>
          <w:lang w:val="en-ZA" w:eastAsia="en-ZA"/>
          <w14:ligatures w14:val="none"/>
        </w:rPr>
        <w:t>Judgment Delivered:</w:t>
      </w:r>
      <w:r>
        <w:rPr>
          <w:rFonts w:ascii="Arial" w:eastAsia="Times New Roman" w:hAnsi="Arial" w:cs="Arial"/>
          <w:kern w:val="0"/>
          <w:sz w:val="24"/>
          <w:szCs w:val="24"/>
          <w:lang w:val="en-ZA" w:eastAsia="en-ZA"/>
          <w14:ligatures w14:val="none"/>
        </w:rPr>
        <w:t xml:space="preserve"> </w:t>
      </w:r>
      <w:r w:rsidR="00AD3A5A">
        <w:rPr>
          <w:rFonts w:ascii="Arial" w:eastAsia="Times New Roman" w:hAnsi="Arial" w:cs="Arial"/>
          <w:kern w:val="0"/>
          <w:sz w:val="24"/>
          <w:szCs w:val="24"/>
          <w:lang w:val="en-ZA" w:eastAsia="en-ZA"/>
          <w14:ligatures w14:val="none"/>
        </w:rPr>
        <w:t>1</w:t>
      </w:r>
      <w:r>
        <w:rPr>
          <w:rFonts w:ascii="Arial" w:eastAsia="Times New Roman" w:hAnsi="Arial" w:cs="Arial"/>
          <w:kern w:val="0"/>
          <w:sz w:val="24"/>
          <w:szCs w:val="24"/>
          <w:lang w:val="en-ZA" w:eastAsia="en-ZA"/>
          <w14:ligatures w14:val="none"/>
        </w:rPr>
        <w:t xml:space="preserve">9 </w:t>
      </w:r>
      <w:r w:rsidR="00300ADA">
        <w:rPr>
          <w:rFonts w:ascii="Arial" w:eastAsia="Times New Roman" w:hAnsi="Arial" w:cs="Arial"/>
          <w:kern w:val="0"/>
          <w:sz w:val="24"/>
          <w:szCs w:val="24"/>
          <w:lang w:val="en-ZA" w:eastAsia="en-ZA"/>
          <w14:ligatures w14:val="none"/>
        </w:rPr>
        <w:t>October</w:t>
      </w:r>
      <w:r>
        <w:rPr>
          <w:rFonts w:ascii="Arial" w:eastAsia="Times New Roman" w:hAnsi="Arial" w:cs="Arial"/>
          <w:kern w:val="0"/>
          <w:sz w:val="24"/>
          <w:szCs w:val="24"/>
          <w:lang w:val="en-ZA" w:eastAsia="en-ZA"/>
          <w14:ligatures w14:val="none"/>
        </w:rPr>
        <w:t xml:space="preserve"> 2023</w:t>
      </w:r>
      <w:r w:rsidRPr="00987737">
        <w:rPr>
          <w:rFonts w:ascii="Arial" w:eastAsia="Times New Roman" w:hAnsi="Arial" w:cs="Arial"/>
          <w:kern w:val="0"/>
          <w:sz w:val="24"/>
          <w:szCs w:val="24"/>
          <w:lang w:val="en-ZA" w:eastAsia="en-ZA"/>
          <w14:ligatures w14:val="none"/>
        </w:rPr>
        <w:tab/>
      </w:r>
      <w:r>
        <w:rPr>
          <w:rFonts w:ascii="Arial" w:eastAsia="Times New Roman" w:hAnsi="Arial" w:cs="Arial"/>
          <w:kern w:val="0"/>
          <w:sz w:val="24"/>
          <w:szCs w:val="24"/>
          <w:lang w:val="en-ZA" w:eastAsia="en-ZA"/>
          <w14:ligatures w14:val="none"/>
        </w:rPr>
        <w:tab/>
      </w:r>
    </w:p>
    <w:sectPr w:rsidR="004A080A" w:rsidRPr="0098773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325BD" w14:textId="77777777" w:rsidR="00532A0B" w:rsidRDefault="00532A0B" w:rsidP="00106907">
      <w:pPr>
        <w:spacing w:after="0" w:line="240" w:lineRule="auto"/>
      </w:pPr>
      <w:r>
        <w:separator/>
      </w:r>
    </w:p>
  </w:endnote>
  <w:endnote w:type="continuationSeparator" w:id="0">
    <w:p w14:paraId="078D2940" w14:textId="77777777" w:rsidR="00532A0B" w:rsidRDefault="00532A0B" w:rsidP="00106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EE8C4" w14:textId="77777777" w:rsidR="00532A0B" w:rsidRDefault="00532A0B" w:rsidP="00106907">
      <w:pPr>
        <w:spacing w:after="0" w:line="240" w:lineRule="auto"/>
      </w:pPr>
      <w:r>
        <w:separator/>
      </w:r>
    </w:p>
  </w:footnote>
  <w:footnote w:type="continuationSeparator" w:id="0">
    <w:p w14:paraId="23C60B0B" w14:textId="77777777" w:rsidR="00532A0B" w:rsidRDefault="00532A0B" w:rsidP="00106907">
      <w:pPr>
        <w:spacing w:after="0" w:line="240" w:lineRule="auto"/>
      </w:pPr>
      <w:r>
        <w:continuationSeparator/>
      </w:r>
    </w:p>
  </w:footnote>
  <w:footnote w:id="1">
    <w:p w14:paraId="3D8AB3DE" w14:textId="1BDEB7F1" w:rsidR="00987737" w:rsidRPr="00C970B5" w:rsidRDefault="00987737" w:rsidP="00987737">
      <w:pPr>
        <w:pStyle w:val="FootnoteText"/>
        <w:spacing w:line="360" w:lineRule="auto"/>
        <w:rPr>
          <w:rFonts w:ascii="Arial" w:hAnsi="Arial" w:cs="Arial"/>
          <w:sz w:val="16"/>
          <w:szCs w:val="16"/>
          <w:lang w:val="pt-BR"/>
        </w:rPr>
      </w:pPr>
      <w:r>
        <w:rPr>
          <w:rStyle w:val="FootnoteReference"/>
        </w:rPr>
        <w:footnoteRef/>
      </w:r>
      <w:r w:rsidRPr="00C970B5">
        <w:rPr>
          <w:lang w:val="pt-BR"/>
        </w:rPr>
        <w:t xml:space="preserve"> </w:t>
      </w:r>
      <w:r w:rsidRPr="00C970B5">
        <w:rPr>
          <w:rFonts w:ascii="Arial" w:hAnsi="Arial" w:cs="Arial"/>
          <w:sz w:val="16"/>
          <w:szCs w:val="16"/>
          <w:lang w:val="pt-BR"/>
        </w:rPr>
        <w:t>2013 (1) SA 170 (SCA)</w:t>
      </w:r>
    </w:p>
    <w:p w14:paraId="116A0331" w14:textId="0D230FE9" w:rsidR="00987737" w:rsidRPr="00C970B5" w:rsidRDefault="00987737">
      <w:pPr>
        <w:pStyle w:val="FootnoteText"/>
        <w:rPr>
          <w:lang w:val="pt-BR"/>
        </w:rPr>
      </w:pPr>
    </w:p>
  </w:footnote>
  <w:footnote w:id="2">
    <w:p w14:paraId="594EB8CD" w14:textId="638F236E" w:rsidR="00987737" w:rsidRPr="00987737" w:rsidRDefault="00987737" w:rsidP="00987737">
      <w:pPr>
        <w:pStyle w:val="FootnoteText"/>
        <w:rPr>
          <w:rFonts w:ascii="Times New Roman" w:hAnsi="Times New Roman" w:cs="Times New Roman"/>
          <w:i/>
          <w:iCs/>
          <w:lang w:val="pt-BR"/>
        </w:rPr>
      </w:pPr>
      <w:r>
        <w:rPr>
          <w:rStyle w:val="FootnoteReference"/>
        </w:rPr>
        <w:footnoteRef/>
      </w:r>
      <w:r w:rsidRPr="00987737">
        <w:rPr>
          <w:lang w:val="pt-BR"/>
        </w:rPr>
        <w:t xml:space="preserve"> </w:t>
      </w:r>
      <w:r w:rsidRPr="00C970B5">
        <w:rPr>
          <w:rFonts w:ascii="Arial" w:hAnsi="Arial" w:cs="Arial"/>
          <w:sz w:val="16"/>
          <w:szCs w:val="16"/>
          <w:lang w:val="pt-BR"/>
        </w:rPr>
        <w:t>1967 (2) SA 415 ECD at 416 para F</w:t>
      </w:r>
    </w:p>
  </w:footnote>
  <w:footnote w:id="3">
    <w:p w14:paraId="766A6ECB" w14:textId="77777777" w:rsidR="00987737" w:rsidRPr="00C970B5" w:rsidRDefault="00987737" w:rsidP="00C970B5">
      <w:pPr>
        <w:pStyle w:val="FootnoteText"/>
        <w:spacing w:line="360" w:lineRule="auto"/>
        <w:rPr>
          <w:rFonts w:ascii="Arial" w:hAnsi="Arial" w:cs="Arial"/>
          <w:sz w:val="16"/>
          <w:szCs w:val="16"/>
          <w:lang w:val="en-ZA"/>
        </w:rPr>
      </w:pPr>
      <w:r w:rsidRPr="00C970B5">
        <w:rPr>
          <w:rStyle w:val="FootnoteReference"/>
          <w:rFonts w:ascii="Arial" w:hAnsi="Arial" w:cs="Arial"/>
          <w:sz w:val="16"/>
          <w:szCs w:val="16"/>
        </w:rPr>
        <w:footnoteRef/>
      </w:r>
      <w:r w:rsidRPr="00C970B5">
        <w:rPr>
          <w:rFonts w:ascii="Arial" w:hAnsi="Arial" w:cs="Arial"/>
          <w:sz w:val="16"/>
          <w:szCs w:val="16"/>
        </w:rPr>
        <w:t xml:space="preserve"> </w:t>
      </w:r>
      <w:r w:rsidRPr="00C970B5">
        <w:rPr>
          <w:rFonts w:ascii="Arial" w:hAnsi="Arial" w:cs="Arial"/>
          <w:sz w:val="16"/>
          <w:szCs w:val="16"/>
          <w:lang w:val="en-ZA"/>
        </w:rPr>
        <w:t>George Municipality v Vena and Another 1989 (2) SA 263 (A) at 271D. see also Impala Water Users Association v Lourens NO [2004] 2 All SA 476 (SCA), 2008 (2) SA 495 (SCA).</w:t>
      </w:r>
    </w:p>
  </w:footnote>
  <w:footnote w:id="4">
    <w:p w14:paraId="6C294A0B" w14:textId="3E970126" w:rsidR="00987737" w:rsidRPr="00C970B5" w:rsidRDefault="00987737" w:rsidP="00C970B5">
      <w:pPr>
        <w:pStyle w:val="FootnoteText"/>
        <w:spacing w:line="360" w:lineRule="auto"/>
        <w:rPr>
          <w:rFonts w:ascii="Arial" w:hAnsi="Arial" w:cs="Arial"/>
          <w:sz w:val="16"/>
          <w:szCs w:val="16"/>
          <w:lang w:val="pt-BR"/>
        </w:rPr>
      </w:pPr>
      <w:r w:rsidRPr="00C970B5">
        <w:rPr>
          <w:rStyle w:val="FootnoteReference"/>
          <w:rFonts w:ascii="Arial" w:hAnsi="Arial" w:cs="Arial"/>
          <w:sz w:val="16"/>
          <w:szCs w:val="16"/>
        </w:rPr>
        <w:footnoteRef/>
      </w:r>
      <w:r w:rsidRPr="00C970B5">
        <w:rPr>
          <w:rFonts w:ascii="Arial" w:hAnsi="Arial" w:cs="Arial"/>
          <w:sz w:val="16"/>
          <w:szCs w:val="16"/>
          <w:lang w:val="pt-BR"/>
        </w:rPr>
        <w:t xml:space="preserve"> Yeko v Qana 1973 (4) SA 735 (A)</w:t>
      </w:r>
      <w:r>
        <w:rPr>
          <w:rFonts w:ascii="Arial" w:hAnsi="Arial" w:cs="Arial"/>
          <w:sz w:val="16"/>
          <w:szCs w:val="16"/>
          <w:lang w:val="pt-BR"/>
        </w:rPr>
        <w:t>.</w:t>
      </w:r>
    </w:p>
  </w:footnote>
  <w:footnote w:id="5">
    <w:p w14:paraId="070A8235" w14:textId="77777777" w:rsidR="00987737" w:rsidRPr="00C970B5" w:rsidRDefault="00987737" w:rsidP="00C970B5">
      <w:pPr>
        <w:pStyle w:val="FootnoteText"/>
        <w:spacing w:line="360" w:lineRule="auto"/>
        <w:rPr>
          <w:rFonts w:ascii="Arial" w:hAnsi="Arial" w:cs="Arial"/>
          <w:sz w:val="16"/>
          <w:szCs w:val="16"/>
          <w:lang w:val="en-ZA"/>
        </w:rPr>
      </w:pPr>
      <w:r w:rsidRPr="00C970B5">
        <w:rPr>
          <w:rStyle w:val="FootnoteReference"/>
          <w:rFonts w:ascii="Arial" w:hAnsi="Arial" w:cs="Arial"/>
          <w:sz w:val="16"/>
          <w:szCs w:val="16"/>
        </w:rPr>
        <w:footnoteRef/>
      </w:r>
      <w:r w:rsidRPr="00C970B5">
        <w:rPr>
          <w:rFonts w:ascii="Arial" w:hAnsi="Arial" w:cs="Arial"/>
          <w:sz w:val="16"/>
          <w:szCs w:val="16"/>
        </w:rPr>
        <w:t xml:space="preserve"> </w:t>
      </w:r>
      <w:r w:rsidRPr="00C970B5">
        <w:rPr>
          <w:rFonts w:ascii="Arial" w:hAnsi="Arial" w:cs="Arial"/>
          <w:sz w:val="16"/>
          <w:szCs w:val="16"/>
          <w:lang w:val="en-ZA"/>
        </w:rPr>
        <w:t>Ivanov v North West Gambling Board and Others [2012] 4 All SA (1) (SCA), 2012 (6) SA 67 (SCA), 2012 (2) SACR 408 (SCA).</w:t>
      </w:r>
    </w:p>
  </w:footnote>
  <w:footnote w:id="6">
    <w:p w14:paraId="4AB5EC89" w14:textId="77777777" w:rsidR="00987737" w:rsidRPr="004D5124" w:rsidRDefault="00987737" w:rsidP="00C970B5">
      <w:pPr>
        <w:pStyle w:val="FootnoteText"/>
        <w:spacing w:line="360" w:lineRule="auto"/>
        <w:rPr>
          <w:rFonts w:ascii="Times New Roman" w:hAnsi="Times New Roman" w:cs="Times New Roman"/>
          <w:lang w:val="en-ZA"/>
        </w:rPr>
      </w:pPr>
      <w:r w:rsidRPr="00C970B5">
        <w:rPr>
          <w:rStyle w:val="FootnoteReference"/>
          <w:rFonts w:ascii="Arial" w:hAnsi="Arial" w:cs="Arial"/>
          <w:sz w:val="16"/>
          <w:szCs w:val="16"/>
        </w:rPr>
        <w:footnoteRef/>
      </w:r>
      <w:r w:rsidRPr="00C970B5">
        <w:rPr>
          <w:rFonts w:ascii="Arial" w:hAnsi="Arial" w:cs="Arial"/>
          <w:sz w:val="16"/>
          <w:szCs w:val="16"/>
        </w:rPr>
        <w:t xml:space="preserve"> </w:t>
      </w:r>
      <w:r w:rsidRPr="00C970B5">
        <w:rPr>
          <w:rFonts w:ascii="Arial" w:hAnsi="Arial" w:cs="Arial"/>
          <w:sz w:val="16"/>
          <w:szCs w:val="16"/>
          <w:lang w:val="en-ZA"/>
        </w:rPr>
        <w:t>1906 TS 120.</w:t>
      </w:r>
    </w:p>
  </w:footnote>
  <w:footnote w:id="7">
    <w:p w14:paraId="40401644" w14:textId="77777777" w:rsidR="00987737" w:rsidRPr="00C970B5" w:rsidRDefault="00987737" w:rsidP="00C970B5">
      <w:pPr>
        <w:pStyle w:val="FootnoteText"/>
        <w:spacing w:line="360" w:lineRule="auto"/>
        <w:rPr>
          <w:rFonts w:ascii="Arial" w:hAnsi="Arial" w:cs="Arial"/>
          <w:sz w:val="16"/>
          <w:szCs w:val="16"/>
          <w:lang w:val="en-ZA"/>
        </w:rPr>
      </w:pPr>
      <w:r w:rsidRPr="00C970B5">
        <w:rPr>
          <w:rStyle w:val="FootnoteReference"/>
          <w:rFonts w:ascii="Arial" w:hAnsi="Arial" w:cs="Arial"/>
          <w:sz w:val="16"/>
          <w:szCs w:val="16"/>
        </w:rPr>
        <w:footnoteRef/>
      </w:r>
      <w:r w:rsidRPr="00C970B5">
        <w:rPr>
          <w:rFonts w:ascii="Arial" w:hAnsi="Arial" w:cs="Arial"/>
          <w:sz w:val="16"/>
          <w:szCs w:val="16"/>
        </w:rPr>
        <w:t xml:space="preserve"> </w:t>
      </w:r>
      <w:r w:rsidRPr="00C970B5">
        <w:rPr>
          <w:rFonts w:ascii="Arial" w:hAnsi="Arial" w:cs="Arial"/>
          <w:sz w:val="16"/>
          <w:szCs w:val="16"/>
          <w:lang w:val="en-ZA"/>
        </w:rPr>
        <w:t>[2014] ZACC 14 Case No. CCT 87/13 at para [10].</w:t>
      </w:r>
    </w:p>
  </w:footnote>
  <w:footnote w:id="8">
    <w:p w14:paraId="5D8BAB47" w14:textId="77777777" w:rsidR="00355841" w:rsidRPr="00C970B5" w:rsidRDefault="00355841" w:rsidP="00355841">
      <w:pPr>
        <w:pStyle w:val="FootnoteText"/>
        <w:spacing w:line="360" w:lineRule="auto"/>
        <w:jc w:val="both"/>
        <w:rPr>
          <w:rFonts w:ascii="Arial" w:hAnsi="Arial" w:cs="Arial"/>
          <w:sz w:val="16"/>
          <w:szCs w:val="16"/>
          <w:lang w:val="en-ZA"/>
        </w:rPr>
      </w:pPr>
      <w:r w:rsidRPr="00C970B5">
        <w:rPr>
          <w:rStyle w:val="FootnoteReference"/>
          <w:rFonts w:ascii="Arial" w:hAnsi="Arial" w:cs="Arial"/>
          <w:sz w:val="16"/>
          <w:szCs w:val="16"/>
        </w:rPr>
        <w:footnoteRef/>
      </w:r>
      <w:r w:rsidRPr="00C970B5">
        <w:rPr>
          <w:rFonts w:ascii="Arial" w:hAnsi="Arial" w:cs="Arial"/>
          <w:sz w:val="16"/>
          <w:szCs w:val="16"/>
        </w:rPr>
        <w:t xml:space="preserve"> </w:t>
      </w:r>
      <w:r w:rsidRPr="00C970B5">
        <w:rPr>
          <w:rFonts w:ascii="Arial" w:hAnsi="Arial" w:cs="Arial"/>
          <w:sz w:val="16"/>
          <w:szCs w:val="16"/>
          <w:lang w:val="en-ZA"/>
        </w:rPr>
        <w:t>See Bon Quelle (Edms) Bpk v Munisipaliteit van Otavi 1989 (1) SA 508 (A) at 512A-B.</w:t>
      </w:r>
    </w:p>
  </w:footnote>
  <w:footnote w:id="9">
    <w:p w14:paraId="7886ACC3" w14:textId="77777777" w:rsidR="00987737" w:rsidRPr="00C970B5" w:rsidRDefault="00987737" w:rsidP="00C970B5">
      <w:pPr>
        <w:pStyle w:val="FootnoteText"/>
        <w:spacing w:line="360" w:lineRule="auto"/>
        <w:rPr>
          <w:rFonts w:ascii="Arial" w:hAnsi="Arial" w:cs="Arial"/>
          <w:sz w:val="16"/>
          <w:szCs w:val="16"/>
          <w:lang w:val="en-ZA"/>
        </w:rPr>
      </w:pPr>
      <w:r w:rsidRPr="00C970B5">
        <w:rPr>
          <w:rStyle w:val="FootnoteReference"/>
          <w:rFonts w:ascii="Arial" w:hAnsi="Arial" w:cs="Arial"/>
          <w:sz w:val="16"/>
          <w:szCs w:val="16"/>
        </w:rPr>
        <w:footnoteRef/>
      </w:r>
      <w:r w:rsidRPr="00C970B5">
        <w:rPr>
          <w:rFonts w:ascii="Arial" w:hAnsi="Arial" w:cs="Arial"/>
          <w:sz w:val="16"/>
          <w:szCs w:val="16"/>
        </w:rPr>
        <w:t xml:space="preserve"> 1989 (1) SA  508 (A) at 511H-I.</w:t>
      </w:r>
    </w:p>
  </w:footnote>
  <w:footnote w:id="10">
    <w:p w14:paraId="619EBB7C" w14:textId="77777777" w:rsidR="00987737" w:rsidRPr="009F4664" w:rsidRDefault="00987737" w:rsidP="00C970B5">
      <w:pPr>
        <w:pStyle w:val="FootnoteText"/>
        <w:spacing w:line="360" w:lineRule="auto"/>
        <w:rPr>
          <w:rFonts w:ascii="Times New Roman" w:hAnsi="Times New Roman" w:cs="Times New Roman"/>
          <w:i/>
          <w:iCs/>
          <w:lang w:val="en-ZA"/>
        </w:rPr>
      </w:pPr>
      <w:r w:rsidRPr="00C970B5">
        <w:rPr>
          <w:rStyle w:val="FootnoteReference"/>
          <w:rFonts w:ascii="Arial" w:hAnsi="Arial" w:cs="Arial"/>
          <w:sz w:val="16"/>
          <w:szCs w:val="16"/>
        </w:rPr>
        <w:footnoteRef/>
      </w:r>
      <w:r w:rsidRPr="00C970B5">
        <w:rPr>
          <w:rFonts w:ascii="Arial" w:hAnsi="Arial" w:cs="Arial"/>
          <w:sz w:val="16"/>
          <w:szCs w:val="16"/>
        </w:rPr>
        <w:t xml:space="preserve"> </w:t>
      </w:r>
      <w:r w:rsidRPr="00C970B5">
        <w:rPr>
          <w:rFonts w:ascii="Arial" w:hAnsi="Arial" w:cs="Arial"/>
          <w:sz w:val="16"/>
          <w:szCs w:val="16"/>
          <w:lang w:val="en-ZA"/>
        </w:rPr>
        <w:t>2007 (6) SA 511 (SCA).</w:t>
      </w:r>
      <w:r w:rsidRPr="009F4664">
        <w:rPr>
          <w:rFonts w:ascii="Times New Roman" w:hAnsi="Times New Roman" w:cs="Times New Roman"/>
          <w:i/>
          <w:iCs/>
          <w:lang w:val="en-ZA"/>
        </w:rPr>
        <w:t xml:space="preserve"> </w:t>
      </w:r>
    </w:p>
  </w:footnote>
  <w:footnote w:id="11">
    <w:p w14:paraId="49383805" w14:textId="4C189C44" w:rsidR="00AC7E84" w:rsidRDefault="00AC7E84">
      <w:pPr>
        <w:pStyle w:val="FootnoteText"/>
        <w:rPr>
          <w:b/>
          <w:bCs/>
          <w:lang w:val="en-US"/>
        </w:rPr>
      </w:pPr>
      <w:r>
        <w:rPr>
          <w:rStyle w:val="FootnoteReference"/>
        </w:rPr>
        <w:footnoteRef/>
      </w:r>
      <w:r>
        <w:t xml:space="preserve"> </w:t>
      </w:r>
      <w:r>
        <w:rPr>
          <w:lang w:val="en-US"/>
        </w:rPr>
        <w:t xml:space="preserve">S 20 of the Criminal Procedure Act </w:t>
      </w:r>
      <w:r w:rsidR="006B7CCC">
        <w:rPr>
          <w:lang w:val="en-US"/>
        </w:rPr>
        <w:t xml:space="preserve">51 of 1977 </w:t>
      </w:r>
      <w:r>
        <w:rPr>
          <w:lang w:val="en-US"/>
        </w:rPr>
        <w:t xml:space="preserve">provides: </w:t>
      </w:r>
      <w:r w:rsidR="006B7CCC">
        <w:rPr>
          <w:lang w:val="en-US"/>
        </w:rPr>
        <w:t>“</w:t>
      </w:r>
      <w:r w:rsidRPr="00AC7E84">
        <w:rPr>
          <w:b/>
          <w:bCs/>
          <w:lang w:val="en-US"/>
        </w:rPr>
        <w:t>20 State may seize certain articles</w:t>
      </w:r>
    </w:p>
    <w:p w14:paraId="1D04F546" w14:textId="2413DC06" w:rsidR="00AC7E84" w:rsidRPr="00337CF3" w:rsidRDefault="00AC7E84">
      <w:pPr>
        <w:pStyle w:val="FootnoteText"/>
        <w:rPr>
          <w:lang w:val="en-US"/>
        </w:rPr>
      </w:pPr>
      <w:r w:rsidRPr="00337CF3">
        <w:rPr>
          <w:lang w:val="en-US"/>
        </w:rPr>
        <w:t>The State may</w:t>
      </w:r>
      <w:r w:rsidR="00337CF3" w:rsidRPr="00337CF3">
        <w:rPr>
          <w:lang w:val="en-US"/>
        </w:rPr>
        <w:t xml:space="preserve">, in accordance with the provisions of this Chapter, seize anything (in this Chapter referred to as an article) </w:t>
      </w:r>
      <w:r w:rsidR="00337CF3">
        <w:rPr>
          <w:lang w:val="en-US"/>
        </w:rPr>
        <w:t xml:space="preserve">– (a) which is concerned in or is on reasonable grounds believed to be concerned in the commission or suspected commission of an offence, whether within the Republic or elsewhere; (b) which may afford evidence </w:t>
      </w:r>
      <w:r w:rsidR="006B7CCC">
        <w:rPr>
          <w:lang w:val="en-US"/>
        </w:rPr>
        <w:t>of the commission of an offence, whether within the Republic or elsewhere; or (c) which is intended to be used or is on reasonable grounds believed to be intended to be used in the commission of an offence.”</w:t>
      </w:r>
    </w:p>
  </w:footnote>
  <w:footnote w:id="12">
    <w:p w14:paraId="53D54BE0" w14:textId="73E9B31D" w:rsidR="006B7CCC" w:rsidRDefault="006B7CCC">
      <w:pPr>
        <w:pStyle w:val="FootnoteText"/>
        <w:rPr>
          <w:b/>
          <w:bCs/>
          <w:lang w:val="en-US"/>
        </w:rPr>
      </w:pPr>
      <w:r>
        <w:rPr>
          <w:rStyle w:val="FootnoteReference"/>
        </w:rPr>
        <w:footnoteRef/>
      </w:r>
      <w:r>
        <w:t xml:space="preserve"> </w:t>
      </w:r>
      <w:r>
        <w:rPr>
          <w:lang w:val="en-US"/>
        </w:rPr>
        <w:t>S 22 of the Criminal Procedure Act 51 of 1977 states: “</w:t>
      </w:r>
      <w:r w:rsidRPr="006B7CCC">
        <w:rPr>
          <w:b/>
          <w:bCs/>
          <w:lang w:val="en-US"/>
        </w:rPr>
        <w:t>22 Circumstances in which article may be seized without search</w:t>
      </w:r>
    </w:p>
    <w:p w14:paraId="19114B1B" w14:textId="27149E15" w:rsidR="006B7CCC" w:rsidRPr="006B7CCC" w:rsidRDefault="006B7CCC">
      <w:pPr>
        <w:pStyle w:val="FootnoteText"/>
        <w:rPr>
          <w:lang w:val="en-US"/>
        </w:rPr>
      </w:pPr>
      <w:r w:rsidRPr="006B7CCC">
        <w:rPr>
          <w:lang w:val="en-US"/>
        </w:rPr>
        <w:t>A</w:t>
      </w:r>
      <w:r>
        <w:rPr>
          <w:lang w:val="en-US"/>
        </w:rPr>
        <w:t xml:space="preserve"> police official may without a search warrant search any person or container or premises for the purpose of seizing any article referred to in section 20 – (a) If the person concerned consents to such search for and the seizure of the article in question, or if the person who may consent to the search of the container or premises</w:t>
      </w:r>
      <w:r w:rsidR="006347B3">
        <w:rPr>
          <w:lang w:val="en-US"/>
        </w:rPr>
        <w:t xml:space="preserve"> consents to such search and the seizure of the article in question; or (b) if he on reasonable grounds believes – (i) that a search warrant will be issued to him under paragraph (a) of section 21 (1) if he applies for such warrant; and (ii) the delay in obtaining such warrant would defeat the object of the search.”</w:t>
      </w:r>
    </w:p>
  </w:footnote>
  <w:footnote w:id="13">
    <w:p w14:paraId="218B6D9F" w14:textId="77777777" w:rsidR="00987737" w:rsidRPr="00C970B5" w:rsidRDefault="00987737" w:rsidP="00987737">
      <w:pPr>
        <w:pStyle w:val="FootnoteText"/>
        <w:rPr>
          <w:rFonts w:ascii="Arial" w:hAnsi="Arial" w:cs="Arial"/>
          <w:sz w:val="18"/>
          <w:szCs w:val="18"/>
          <w:lang w:val="en-ZA"/>
        </w:rPr>
      </w:pPr>
      <w:r w:rsidRPr="00C970B5">
        <w:rPr>
          <w:rStyle w:val="FootnoteReference"/>
          <w:rFonts w:ascii="Arial" w:hAnsi="Arial" w:cs="Arial"/>
          <w:sz w:val="18"/>
          <w:szCs w:val="18"/>
        </w:rPr>
        <w:footnoteRef/>
      </w:r>
      <w:r w:rsidRPr="00C970B5">
        <w:rPr>
          <w:rFonts w:ascii="Arial" w:hAnsi="Arial" w:cs="Arial"/>
          <w:sz w:val="18"/>
          <w:szCs w:val="18"/>
        </w:rPr>
        <w:t xml:space="preserve"> (312/2011) [2012] ZASCA 92 (31 May 2012) at para [18].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spacing w:val="60"/>
      </w:rPr>
      <w:id w:val="742535967"/>
      <w:docPartObj>
        <w:docPartGallery w:val="Page Numbers (Top of Page)"/>
        <w:docPartUnique/>
      </w:docPartObj>
    </w:sdtPr>
    <w:sdtEndPr>
      <w:rPr>
        <w:b/>
        <w:bCs/>
        <w:noProof/>
        <w:color w:val="auto"/>
        <w:spacing w:val="0"/>
      </w:rPr>
    </w:sdtEndPr>
    <w:sdtContent>
      <w:p w14:paraId="3F14E446" w14:textId="0E0CD0CB" w:rsidR="00106907" w:rsidRDefault="00106907" w:rsidP="00987737">
        <w:pPr>
          <w:pStyle w:val="Header"/>
          <w:pBdr>
            <w:bottom w:val="single" w:sz="4" w:space="1" w:color="D9D9D9"/>
          </w:pBdr>
          <w:jc w:val="right"/>
          <w:rPr>
            <w:b/>
            <w:bCs/>
          </w:rPr>
        </w:pPr>
        <w:r w:rsidRPr="00987737">
          <w:rPr>
            <w:color w:val="7F7F7F"/>
            <w:spacing w:val="60"/>
          </w:rPr>
          <w:t>Page</w:t>
        </w:r>
        <w:r>
          <w:t xml:space="preserve"> | </w:t>
        </w:r>
        <w:r>
          <w:fldChar w:fldCharType="begin"/>
        </w:r>
        <w:r>
          <w:instrText xml:space="preserve"> PAGE   \* MERGEFORMAT </w:instrText>
        </w:r>
        <w:r>
          <w:fldChar w:fldCharType="separate"/>
        </w:r>
        <w:r w:rsidR="002F5F4F" w:rsidRPr="002F5F4F">
          <w:rPr>
            <w:b/>
            <w:bCs/>
            <w:noProof/>
          </w:rPr>
          <w:t>1</w:t>
        </w:r>
        <w:r>
          <w:rPr>
            <w:b/>
            <w:bCs/>
            <w:noProof/>
          </w:rPr>
          <w:fldChar w:fldCharType="end"/>
        </w:r>
      </w:p>
    </w:sdtContent>
  </w:sdt>
  <w:p w14:paraId="24D79476" w14:textId="77777777" w:rsidR="00106907" w:rsidRDefault="0010690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904C1B"/>
    <w:multiLevelType w:val="hybridMultilevel"/>
    <w:tmpl w:val="15606B3C"/>
    <w:lvl w:ilvl="0" w:tplc="5A40ADEE">
      <w:start w:val="1"/>
      <w:numFmt w:val="decimal"/>
      <w:lvlText w:val="%1."/>
      <w:lvlJc w:val="left"/>
      <w:pPr>
        <w:ind w:left="927" w:hanging="360"/>
      </w:pPr>
      <w:rPr>
        <w:rFonts w:ascii="Arial" w:hAnsi="Arial" w:cs="Arial" w:hint="default"/>
        <w:b/>
        <w:bCs/>
        <w:sz w:val="24"/>
        <w:szCs w:val="24"/>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 w15:restartNumberingAfterBreak="0">
    <w:nsid w:val="75CF662E"/>
    <w:multiLevelType w:val="hybridMultilevel"/>
    <w:tmpl w:val="8C4EF4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tjQ3N7YwtzQ2MzQxNLZQ0lEKTi0uzszPAykwrAUA0L5ariwAAAA="/>
    <w:docVar w:name="dgnword-docGUID" w:val="{8773D3F5-536A-4D9D-A70E-CCC9922CA7C4}"/>
    <w:docVar w:name="dgnword-eventsink" w:val="2969621775840"/>
  </w:docVars>
  <w:rsids>
    <w:rsidRoot w:val="00E76F82"/>
    <w:rsid w:val="000003BB"/>
    <w:rsid w:val="00002A2F"/>
    <w:rsid w:val="00003848"/>
    <w:rsid w:val="00003907"/>
    <w:rsid w:val="00006088"/>
    <w:rsid w:val="00022409"/>
    <w:rsid w:val="00033A83"/>
    <w:rsid w:val="00037FF0"/>
    <w:rsid w:val="00040F2D"/>
    <w:rsid w:val="00041226"/>
    <w:rsid w:val="00045F20"/>
    <w:rsid w:val="000468DD"/>
    <w:rsid w:val="00047DA2"/>
    <w:rsid w:val="00052BCA"/>
    <w:rsid w:val="00056C2B"/>
    <w:rsid w:val="00064587"/>
    <w:rsid w:val="00081B93"/>
    <w:rsid w:val="00081FA1"/>
    <w:rsid w:val="00082995"/>
    <w:rsid w:val="00083374"/>
    <w:rsid w:val="000865AF"/>
    <w:rsid w:val="000908C7"/>
    <w:rsid w:val="00093B76"/>
    <w:rsid w:val="0009756B"/>
    <w:rsid w:val="000A021D"/>
    <w:rsid w:val="000A1461"/>
    <w:rsid w:val="000B0AEE"/>
    <w:rsid w:val="000B528C"/>
    <w:rsid w:val="000B5D00"/>
    <w:rsid w:val="000B7D2B"/>
    <w:rsid w:val="000C1739"/>
    <w:rsid w:val="000D1E42"/>
    <w:rsid w:val="000E00A0"/>
    <w:rsid w:val="000F4423"/>
    <w:rsid w:val="00106907"/>
    <w:rsid w:val="00110FEF"/>
    <w:rsid w:val="001170AD"/>
    <w:rsid w:val="001216D4"/>
    <w:rsid w:val="00123557"/>
    <w:rsid w:val="00132292"/>
    <w:rsid w:val="001332BA"/>
    <w:rsid w:val="0013632D"/>
    <w:rsid w:val="001467EA"/>
    <w:rsid w:val="00161438"/>
    <w:rsid w:val="001667A9"/>
    <w:rsid w:val="00166CAD"/>
    <w:rsid w:val="001742C3"/>
    <w:rsid w:val="001806F5"/>
    <w:rsid w:val="00182750"/>
    <w:rsid w:val="00185481"/>
    <w:rsid w:val="00191294"/>
    <w:rsid w:val="00192E4E"/>
    <w:rsid w:val="001931F9"/>
    <w:rsid w:val="0019527E"/>
    <w:rsid w:val="001A1C71"/>
    <w:rsid w:val="001B3833"/>
    <w:rsid w:val="001C72BE"/>
    <w:rsid w:val="001D15C5"/>
    <w:rsid w:val="001E7129"/>
    <w:rsid w:val="001F2A6F"/>
    <w:rsid w:val="001F74A3"/>
    <w:rsid w:val="00207D71"/>
    <w:rsid w:val="002133E7"/>
    <w:rsid w:val="0022259D"/>
    <w:rsid w:val="00227D28"/>
    <w:rsid w:val="00231123"/>
    <w:rsid w:val="0023723F"/>
    <w:rsid w:val="00251F42"/>
    <w:rsid w:val="002527A0"/>
    <w:rsid w:val="00253C58"/>
    <w:rsid w:val="00257BB5"/>
    <w:rsid w:val="0026160D"/>
    <w:rsid w:val="00262FE0"/>
    <w:rsid w:val="00263141"/>
    <w:rsid w:val="00271A17"/>
    <w:rsid w:val="00282B95"/>
    <w:rsid w:val="00286EFB"/>
    <w:rsid w:val="00287DD1"/>
    <w:rsid w:val="00292C10"/>
    <w:rsid w:val="00295056"/>
    <w:rsid w:val="002A2DBD"/>
    <w:rsid w:val="002A37C9"/>
    <w:rsid w:val="002B0041"/>
    <w:rsid w:val="002B230C"/>
    <w:rsid w:val="002B6279"/>
    <w:rsid w:val="002B6328"/>
    <w:rsid w:val="002B6685"/>
    <w:rsid w:val="002C0A29"/>
    <w:rsid w:val="002C0BDD"/>
    <w:rsid w:val="002C1B07"/>
    <w:rsid w:val="002D2FE8"/>
    <w:rsid w:val="002D710A"/>
    <w:rsid w:val="002E5555"/>
    <w:rsid w:val="002E6E29"/>
    <w:rsid w:val="002F5F4F"/>
    <w:rsid w:val="002F625B"/>
    <w:rsid w:val="00300ADA"/>
    <w:rsid w:val="00303248"/>
    <w:rsid w:val="00333225"/>
    <w:rsid w:val="00337CF3"/>
    <w:rsid w:val="00340BB3"/>
    <w:rsid w:val="00342C7C"/>
    <w:rsid w:val="00347496"/>
    <w:rsid w:val="00347815"/>
    <w:rsid w:val="0035221D"/>
    <w:rsid w:val="00355841"/>
    <w:rsid w:val="00360EB0"/>
    <w:rsid w:val="0036125D"/>
    <w:rsid w:val="00380D3B"/>
    <w:rsid w:val="00385020"/>
    <w:rsid w:val="00385BAF"/>
    <w:rsid w:val="00390DB7"/>
    <w:rsid w:val="0039343E"/>
    <w:rsid w:val="003970D0"/>
    <w:rsid w:val="003A42B3"/>
    <w:rsid w:val="003A71B2"/>
    <w:rsid w:val="003B5856"/>
    <w:rsid w:val="003C32C9"/>
    <w:rsid w:val="003C4F23"/>
    <w:rsid w:val="003C5042"/>
    <w:rsid w:val="003C526F"/>
    <w:rsid w:val="003D7DC6"/>
    <w:rsid w:val="003F0250"/>
    <w:rsid w:val="003F7545"/>
    <w:rsid w:val="004055C4"/>
    <w:rsid w:val="004145A5"/>
    <w:rsid w:val="00423520"/>
    <w:rsid w:val="004266A9"/>
    <w:rsid w:val="004300F6"/>
    <w:rsid w:val="00432800"/>
    <w:rsid w:val="00433426"/>
    <w:rsid w:val="00442113"/>
    <w:rsid w:val="00447266"/>
    <w:rsid w:val="004539BD"/>
    <w:rsid w:val="00454895"/>
    <w:rsid w:val="0045616B"/>
    <w:rsid w:val="00456871"/>
    <w:rsid w:val="00461231"/>
    <w:rsid w:val="0047364B"/>
    <w:rsid w:val="00477EDF"/>
    <w:rsid w:val="004805BB"/>
    <w:rsid w:val="0049429A"/>
    <w:rsid w:val="00496310"/>
    <w:rsid w:val="004A080A"/>
    <w:rsid w:val="004B046D"/>
    <w:rsid w:val="004B52AE"/>
    <w:rsid w:val="004B6E74"/>
    <w:rsid w:val="004C1B49"/>
    <w:rsid w:val="004D5124"/>
    <w:rsid w:val="004F4673"/>
    <w:rsid w:val="004F6065"/>
    <w:rsid w:val="004F74E0"/>
    <w:rsid w:val="00514BFF"/>
    <w:rsid w:val="00521AB9"/>
    <w:rsid w:val="00525CAF"/>
    <w:rsid w:val="00530C24"/>
    <w:rsid w:val="00532A0B"/>
    <w:rsid w:val="00537137"/>
    <w:rsid w:val="00540A95"/>
    <w:rsid w:val="00546D6F"/>
    <w:rsid w:val="00555F5C"/>
    <w:rsid w:val="005648EE"/>
    <w:rsid w:val="00566539"/>
    <w:rsid w:val="00571FB9"/>
    <w:rsid w:val="005729A3"/>
    <w:rsid w:val="00574139"/>
    <w:rsid w:val="00592106"/>
    <w:rsid w:val="0059286C"/>
    <w:rsid w:val="005A1896"/>
    <w:rsid w:val="005A4766"/>
    <w:rsid w:val="005A4A87"/>
    <w:rsid w:val="005A509D"/>
    <w:rsid w:val="005A7DA1"/>
    <w:rsid w:val="005B1939"/>
    <w:rsid w:val="005C5752"/>
    <w:rsid w:val="005C7A4E"/>
    <w:rsid w:val="005D0616"/>
    <w:rsid w:val="005D08F8"/>
    <w:rsid w:val="005D30C3"/>
    <w:rsid w:val="005D39DE"/>
    <w:rsid w:val="005D5D96"/>
    <w:rsid w:val="005E0966"/>
    <w:rsid w:val="005E2512"/>
    <w:rsid w:val="005E3420"/>
    <w:rsid w:val="005F1EE4"/>
    <w:rsid w:val="006011AC"/>
    <w:rsid w:val="006064A6"/>
    <w:rsid w:val="00607FF9"/>
    <w:rsid w:val="00613A4B"/>
    <w:rsid w:val="0062321E"/>
    <w:rsid w:val="006347B3"/>
    <w:rsid w:val="00636FDF"/>
    <w:rsid w:val="00647FD4"/>
    <w:rsid w:val="00654EF4"/>
    <w:rsid w:val="006610BB"/>
    <w:rsid w:val="006761B7"/>
    <w:rsid w:val="00676DF8"/>
    <w:rsid w:val="006830E7"/>
    <w:rsid w:val="00683982"/>
    <w:rsid w:val="00690308"/>
    <w:rsid w:val="0069150E"/>
    <w:rsid w:val="00697EBF"/>
    <w:rsid w:val="006A1A5B"/>
    <w:rsid w:val="006B1374"/>
    <w:rsid w:val="006B7CCC"/>
    <w:rsid w:val="006C3700"/>
    <w:rsid w:val="006C3E03"/>
    <w:rsid w:val="006D0ABF"/>
    <w:rsid w:val="006D1B83"/>
    <w:rsid w:val="006D4384"/>
    <w:rsid w:val="006E0521"/>
    <w:rsid w:val="006E3A9D"/>
    <w:rsid w:val="006E5449"/>
    <w:rsid w:val="006E5B67"/>
    <w:rsid w:val="006E66BF"/>
    <w:rsid w:val="006F1353"/>
    <w:rsid w:val="006F4D35"/>
    <w:rsid w:val="006F6563"/>
    <w:rsid w:val="00707736"/>
    <w:rsid w:val="0073175B"/>
    <w:rsid w:val="0073237F"/>
    <w:rsid w:val="0073422E"/>
    <w:rsid w:val="00737FB2"/>
    <w:rsid w:val="007414B7"/>
    <w:rsid w:val="00741C1D"/>
    <w:rsid w:val="007476E7"/>
    <w:rsid w:val="00750165"/>
    <w:rsid w:val="00751B0F"/>
    <w:rsid w:val="00753EAC"/>
    <w:rsid w:val="00754BD4"/>
    <w:rsid w:val="00763BAC"/>
    <w:rsid w:val="00775E0A"/>
    <w:rsid w:val="00784D33"/>
    <w:rsid w:val="00784F42"/>
    <w:rsid w:val="007919A5"/>
    <w:rsid w:val="007A4132"/>
    <w:rsid w:val="007A4823"/>
    <w:rsid w:val="007B223D"/>
    <w:rsid w:val="007B2412"/>
    <w:rsid w:val="007B30FA"/>
    <w:rsid w:val="007C0100"/>
    <w:rsid w:val="007C43BD"/>
    <w:rsid w:val="007D1D8E"/>
    <w:rsid w:val="007D4953"/>
    <w:rsid w:val="007E2B5F"/>
    <w:rsid w:val="007E3FDC"/>
    <w:rsid w:val="007E63D9"/>
    <w:rsid w:val="007F03B7"/>
    <w:rsid w:val="007F2D65"/>
    <w:rsid w:val="007F574D"/>
    <w:rsid w:val="007F697F"/>
    <w:rsid w:val="007F776C"/>
    <w:rsid w:val="00805A40"/>
    <w:rsid w:val="00810250"/>
    <w:rsid w:val="0082205D"/>
    <w:rsid w:val="008224DE"/>
    <w:rsid w:val="008308E1"/>
    <w:rsid w:val="00836E48"/>
    <w:rsid w:val="008404A1"/>
    <w:rsid w:val="008463A1"/>
    <w:rsid w:val="008519BB"/>
    <w:rsid w:val="00856FAB"/>
    <w:rsid w:val="00874DA2"/>
    <w:rsid w:val="00891508"/>
    <w:rsid w:val="008916BF"/>
    <w:rsid w:val="00897D57"/>
    <w:rsid w:val="008A014D"/>
    <w:rsid w:val="008A0431"/>
    <w:rsid w:val="008A23AC"/>
    <w:rsid w:val="008A4268"/>
    <w:rsid w:val="008A75A9"/>
    <w:rsid w:val="008B0D6C"/>
    <w:rsid w:val="008B15AA"/>
    <w:rsid w:val="008B16B0"/>
    <w:rsid w:val="008B4851"/>
    <w:rsid w:val="008C3357"/>
    <w:rsid w:val="008C4C2F"/>
    <w:rsid w:val="008D5E11"/>
    <w:rsid w:val="008D70EB"/>
    <w:rsid w:val="008D7F69"/>
    <w:rsid w:val="008E2304"/>
    <w:rsid w:val="008F3D2A"/>
    <w:rsid w:val="00905964"/>
    <w:rsid w:val="0090671F"/>
    <w:rsid w:val="00906DBE"/>
    <w:rsid w:val="0091090C"/>
    <w:rsid w:val="00916F00"/>
    <w:rsid w:val="00920B80"/>
    <w:rsid w:val="00923F3A"/>
    <w:rsid w:val="009249E2"/>
    <w:rsid w:val="0092715B"/>
    <w:rsid w:val="009273FA"/>
    <w:rsid w:val="009316C1"/>
    <w:rsid w:val="00932331"/>
    <w:rsid w:val="009355DF"/>
    <w:rsid w:val="009357EF"/>
    <w:rsid w:val="00940478"/>
    <w:rsid w:val="0095151C"/>
    <w:rsid w:val="009515F9"/>
    <w:rsid w:val="0095325E"/>
    <w:rsid w:val="0096655F"/>
    <w:rsid w:val="00973245"/>
    <w:rsid w:val="00983CCF"/>
    <w:rsid w:val="00987737"/>
    <w:rsid w:val="009915B1"/>
    <w:rsid w:val="009926C0"/>
    <w:rsid w:val="00992C5C"/>
    <w:rsid w:val="00994698"/>
    <w:rsid w:val="00994D39"/>
    <w:rsid w:val="009A02E9"/>
    <w:rsid w:val="009B142E"/>
    <w:rsid w:val="009B52A2"/>
    <w:rsid w:val="009B6179"/>
    <w:rsid w:val="009C0839"/>
    <w:rsid w:val="009C2BC8"/>
    <w:rsid w:val="009D58CD"/>
    <w:rsid w:val="009E1A51"/>
    <w:rsid w:val="009E6164"/>
    <w:rsid w:val="009E698A"/>
    <w:rsid w:val="009E7D33"/>
    <w:rsid w:val="009F0C19"/>
    <w:rsid w:val="009F4664"/>
    <w:rsid w:val="00A04715"/>
    <w:rsid w:val="00A05F97"/>
    <w:rsid w:val="00A155C2"/>
    <w:rsid w:val="00A222D5"/>
    <w:rsid w:val="00A26CB3"/>
    <w:rsid w:val="00A42561"/>
    <w:rsid w:val="00A442DF"/>
    <w:rsid w:val="00A45AED"/>
    <w:rsid w:val="00A57CB0"/>
    <w:rsid w:val="00A66B4B"/>
    <w:rsid w:val="00A66E18"/>
    <w:rsid w:val="00A73462"/>
    <w:rsid w:val="00A75940"/>
    <w:rsid w:val="00A76ABD"/>
    <w:rsid w:val="00A96675"/>
    <w:rsid w:val="00AA46A6"/>
    <w:rsid w:val="00AB04A0"/>
    <w:rsid w:val="00AB7415"/>
    <w:rsid w:val="00AC4453"/>
    <w:rsid w:val="00AC7E84"/>
    <w:rsid w:val="00AD387A"/>
    <w:rsid w:val="00AD3A5A"/>
    <w:rsid w:val="00AD534E"/>
    <w:rsid w:val="00AF0BE3"/>
    <w:rsid w:val="00AF62B0"/>
    <w:rsid w:val="00AF6831"/>
    <w:rsid w:val="00B13788"/>
    <w:rsid w:val="00B1703A"/>
    <w:rsid w:val="00B27593"/>
    <w:rsid w:val="00B37F81"/>
    <w:rsid w:val="00B4314D"/>
    <w:rsid w:val="00B4435B"/>
    <w:rsid w:val="00B46E93"/>
    <w:rsid w:val="00B50EF1"/>
    <w:rsid w:val="00B53AE4"/>
    <w:rsid w:val="00B54B00"/>
    <w:rsid w:val="00B63EA5"/>
    <w:rsid w:val="00B66815"/>
    <w:rsid w:val="00B66B3F"/>
    <w:rsid w:val="00B7137A"/>
    <w:rsid w:val="00B730A3"/>
    <w:rsid w:val="00B73F87"/>
    <w:rsid w:val="00B7603A"/>
    <w:rsid w:val="00B81173"/>
    <w:rsid w:val="00B82531"/>
    <w:rsid w:val="00B961DD"/>
    <w:rsid w:val="00BA0087"/>
    <w:rsid w:val="00BA050A"/>
    <w:rsid w:val="00BA6DB1"/>
    <w:rsid w:val="00BE4CF1"/>
    <w:rsid w:val="00BF19BC"/>
    <w:rsid w:val="00BF663A"/>
    <w:rsid w:val="00C15B2F"/>
    <w:rsid w:val="00C16CDC"/>
    <w:rsid w:val="00C24B8C"/>
    <w:rsid w:val="00C3324B"/>
    <w:rsid w:val="00C337B8"/>
    <w:rsid w:val="00C35DBB"/>
    <w:rsid w:val="00C3605A"/>
    <w:rsid w:val="00C40386"/>
    <w:rsid w:val="00C468E0"/>
    <w:rsid w:val="00C46D20"/>
    <w:rsid w:val="00C531E7"/>
    <w:rsid w:val="00C53A8B"/>
    <w:rsid w:val="00C55074"/>
    <w:rsid w:val="00C60FAF"/>
    <w:rsid w:val="00C61552"/>
    <w:rsid w:val="00C66706"/>
    <w:rsid w:val="00C67856"/>
    <w:rsid w:val="00C7134F"/>
    <w:rsid w:val="00C713C8"/>
    <w:rsid w:val="00C718BD"/>
    <w:rsid w:val="00C8306F"/>
    <w:rsid w:val="00C8794D"/>
    <w:rsid w:val="00C87A55"/>
    <w:rsid w:val="00C93419"/>
    <w:rsid w:val="00C946A2"/>
    <w:rsid w:val="00C9597E"/>
    <w:rsid w:val="00C970B5"/>
    <w:rsid w:val="00CA0A14"/>
    <w:rsid w:val="00CA4FCD"/>
    <w:rsid w:val="00CB0174"/>
    <w:rsid w:val="00CB1E5C"/>
    <w:rsid w:val="00CC2F43"/>
    <w:rsid w:val="00CC47F0"/>
    <w:rsid w:val="00CD2E54"/>
    <w:rsid w:val="00CD5791"/>
    <w:rsid w:val="00CD635B"/>
    <w:rsid w:val="00CF3C68"/>
    <w:rsid w:val="00CF6297"/>
    <w:rsid w:val="00D04DD3"/>
    <w:rsid w:val="00D074F9"/>
    <w:rsid w:val="00D1063B"/>
    <w:rsid w:val="00D11B1F"/>
    <w:rsid w:val="00D20B40"/>
    <w:rsid w:val="00D25C6F"/>
    <w:rsid w:val="00D26034"/>
    <w:rsid w:val="00D26C63"/>
    <w:rsid w:val="00D35EA5"/>
    <w:rsid w:val="00D35FB6"/>
    <w:rsid w:val="00D42198"/>
    <w:rsid w:val="00D47E0C"/>
    <w:rsid w:val="00D523EE"/>
    <w:rsid w:val="00D559D8"/>
    <w:rsid w:val="00D63712"/>
    <w:rsid w:val="00D766C7"/>
    <w:rsid w:val="00D76D2E"/>
    <w:rsid w:val="00D81594"/>
    <w:rsid w:val="00D871DC"/>
    <w:rsid w:val="00D94459"/>
    <w:rsid w:val="00DA51CB"/>
    <w:rsid w:val="00DB07F3"/>
    <w:rsid w:val="00DB099B"/>
    <w:rsid w:val="00DB0C7D"/>
    <w:rsid w:val="00DB1981"/>
    <w:rsid w:val="00DB6063"/>
    <w:rsid w:val="00DD593D"/>
    <w:rsid w:val="00DD79BA"/>
    <w:rsid w:val="00DF0CE7"/>
    <w:rsid w:val="00DF1A94"/>
    <w:rsid w:val="00E01E2B"/>
    <w:rsid w:val="00E132F1"/>
    <w:rsid w:val="00E15B50"/>
    <w:rsid w:val="00E15EBE"/>
    <w:rsid w:val="00E307A5"/>
    <w:rsid w:val="00E3496D"/>
    <w:rsid w:val="00E36514"/>
    <w:rsid w:val="00E37821"/>
    <w:rsid w:val="00E5259F"/>
    <w:rsid w:val="00E567E5"/>
    <w:rsid w:val="00E64464"/>
    <w:rsid w:val="00E67CB4"/>
    <w:rsid w:val="00E76F82"/>
    <w:rsid w:val="00E7736B"/>
    <w:rsid w:val="00E80D22"/>
    <w:rsid w:val="00E93BA7"/>
    <w:rsid w:val="00E949D2"/>
    <w:rsid w:val="00EA0C6D"/>
    <w:rsid w:val="00EA1B2B"/>
    <w:rsid w:val="00EA4201"/>
    <w:rsid w:val="00EB3306"/>
    <w:rsid w:val="00EB4AF6"/>
    <w:rsid w:val="00EC487F"/>
    <w:rsid w:val="00ED2FEE"/>
    <w:rsid w:val="00EE47EC"/>
    <w:rsid w:val="00EF02AE"/>
    <w:rsid w:val="00EF218B"/>
    <w:rsid w:val="00EF7057"/>
    <w:rsid w:val="00EF74CA"/>
    <w:rsid w:val="00F113FF"/>
    <w:rsid w:val="00F117A5"/>
    <w:rsid w:val="00F26BEB"/>
    <w:rsid w:val="00F34153"/>
    <w:rsid w:val="00F512C5"/>
    <w:rsid w:val="00F67B5A"/>
    <w:rsid w:val="00F73D2A"/>
    <w:rsid w:val="00F75F9D"/>
    <w:rsid w:val="00F761F2"/>
    <w:rsid w:val="00F774F6"/>
    <w:rsid w:val="00F82556"/>
    <w:rsid w:val="00F842D4"/>
    <w:rsid w:val="00F949B2"/>
    <w:rsid w:val="00F95233"/>
    <w:rsid w:val="00FA10C8"/>
    <w:rsid w:val="00FA3012"/>
    <w:rsid w:val="00FA4082"/>
    <w:rsid w:val="00FB130D"/>
    <w:rsid w:val="00FB4224"/>
    <w:rsid w:val="00FC44BC"/>
    <w:rsid w:val="00FC651A"/>
    <w:rsid w:val="00FD2E4B"/>
    <w:rsid w:val="00FD45A9"/>
    <w:rsid w:val="00FD4A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B85F9"/>
  <w15:chartTrackingRefBased/>
  <w15:docId w15:val="{1153E12E-9A23-41AD-BF66-94B1386DE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9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907"/>
    <w:rPr>
      <w:lang w:val="en-GB"/>
    </w:rPr>
  </w:style>
  <w:style w:type="paragraph" w:styleId="Footer">
    <w:name w:val="footer"/>
    <w:basedOn w:val="Normal"/>
    <w:link w:val="FooterChar"/>
    <w:uiPriority w:val="99"/>
    <w:unhideWhenUsed/>
    <w:rsid w:val="001069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907"/>
    <w:rPr>
      <w:lang w:val="en-GB"/>
    </w:rPr>
  </w:style>
  <w:style w:type="paragraph" w:styleId="FootnoteText">
    <w:name w:val="footnote text"/>
    <w:basedOn w:val="Normal"/>
    <w:link w:val="FootnoteTextChar"/>
    <w:uiPriority w:val="99"/>
    <w:unhideWhenUsed/>
    <w:rsid w:val="00C53A8B"/>
    <w:pPr>
      <w:spacing w:after="0" w:line="240" w:lineRule="auto"/>
    </w:pPr>
    <w:rPr>
      <w:sz w:val="20"/>
      <w:szCs w:val="20"/>
    </w:rPr>
  </w:style>
  <w:style w:type="character" w:customStyle="1" w:styleId="FootnoteTextChar">
    <w:name w:val="Footnote Text Char"/>
    <w:basedOn w:val="DefaultParagraphFont"/>
    <w:link w:val="FootnoteText"/>
    <w:uiPriority w:val="99"/>
    <w:rsid w:val="00C53A8B"/>
    <w:rPr>
      <w:sz w:val="20"/>
      <w:szCs w:val="20"/>
      <w:lang w:val="en-GB"/>
    </w:rPr>
  </w:style>
  <w:style w:type="character" w:styleId="FootnoteReference">
    <w:name w:val="footnote reference"/>
    <w:basedOn w:val="DefaultParagraphFont"/>
    <w:uiPriority w:val="99"/>
    <w:semiHidden/>
    <w:unhideWhenUsed/>
    <w:rsid w:val="00C53A8B"/>
    <w:rPr>
      <w:vertAlign w:val="superscript"/>
    </w:rPr>
  </w:style>
  <w:style w:type="character" w:styleId="CommentReference">
    <w:name w:val="annotation reference"/>
    <w:basedOn w:val="DefaultParagraphFont"/>
    <w:uiPriority w:val="99"/>
    <w:semiHidden/>
    <w:unhideWhenUsed/>
    <w:rsid w:val="006E66BF"/>
    <w:rPr>
      <w:sz w:val="16"/>
      <w:szCs w:val="16"/>
    </w:rPr>
  </w:style>
  <w:style w:type="paragraph" w:styleId="CommentText">
    <w:name w:val="annotation text"/>
    <w:basedOn w:val="Normal"/>
    <w:link w:val="CommentTextChar"/>
    <w:uiPriority w:val="99"/>
    <w:semiHidden/>
    <w:unhideWhenUsed/>
    <w:rsid w:val="006E66BF"/>
    <w:pPr>
      <w:spacing w:line="240" w:lineRule="auto"/>
    </w:pPr>
    <w:rPr>
      <w:kern w:val="0"/>
      <w:sz w:val="20"/>
      <w:szCs w:val="20"/>
      <w14:ligatures w14:val="none"/>
    </w:rPr>
  </w:style>
  <w:style w:type="character" w:customStyle="1" w:styleId="CommentTextChar">
    <w:name w:val="Comment Text Char"/>
    <w:basedOn w:val="DefaultParagraphFont"/>
    <w:link w:val="CommentText"/>
    <w:uiPriority w:val="99"/>
    <w:semiHidden/>
    <w:rsid w:val="006E66BF"/>
    <w:rPr>
      <w:kern w:val="0"/>
      <w:sz w:val="20"/>
      <w:szCs w:val="20"/>
      <w:lang w:val="en-GB"/>
      <w14:ligatures w14:val="none"/>
    </w:rPr>
  </w:style>
  <w:style w:type="paragraph" w:styleId="ListParagraph">
    <w:name w:val="List Paragraph"/>
    <w:basedOn w:val="Normal"/>
    <w:uiPriority w:val="34"/>
    <w:qFormat/>
    <w:rsid w:val="008A0431"/>
    <w:pPr>
      <w:ind w:left="720"/>
      <w:contextualSpacing/>
    </w:pPr>
  </w:style>
  <w:style w:type="paragraph" w:styleId="NormalWeb">
    <w:name w:val="Normal (Web)"/>
    <w:basedOn w:val="Normal"/>
    <w:uiPriority w:val="99"/>
    <w:semiHidden/>
    <w:unhideWhenUsed/>
    <w:rsid w:val="00E132F1"/>
    <w:pPr>
      <w:spacing w:before="100" w:beforeAutospacing="1" w:after="100" w:afterAutospacing="1" w:line="240" w:lineRule="auto"/>
    </w:pPr>
    <w:rPr>
      <w:rFonts w:ascii="Times New Roman" w:eastAsia="Times New Roman" w:hAnsi="Times New Roman" w:cs="Times New Roman"/>
      <w:kern w:val="0"/>
      <w:sz w:val="24"/>
      <w:szCs w:val="24"/>
      <w:lang w:val="en-ZA" w:eastAsia="en-ZA"/>
      <w14:ligatures w14:val="none"/>
    </w:rPr>
  </w:style>
  <w:style w:type="paragraph" w:styleId="BalloonText">
    <w:name w:val="Balloon Text"/>
    <w:basedOn w:val="Normal"/>
    <w:link w:val="BalloonTextChar"/>
    <w:uiPriority w:val="99"/>
    <w:semiHidden/>
    <w:unhideWhenUsed/>
    <w:rsid w:val="003612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25D"/>
    <w:rPr>
      <w:rFonts w:ascii="Segoe UI" w:hAnsi="Segoe UI" w:cs="Segoe UI"/>
      <w:sz w:val="18"/>
      <w:szCs w:val="18"/>
      <w:lang w:val="en-GB"/>
    </w:rPr>
  </w:style>
  <w:style w:type="character" w:customStyle="1" w:styleId="mc">
    <w:name w:val="mc"/>
    <w:basedOn w:val="DefaultParagraphFont"/>
    <w:rsid w:val="006610BB"/>
  </w:style>
  <w:style w:type="paragraph" w:styleId="Revision">
    <w:name w:val="Revision"/>
    <w:hidden/>
    <w:uiPriority w:val="99"/>
    <w:semiHidden/>
    <w:rsid w:val="00987737"/>
    <w:pPr>
      <w:spacing w:after="0" w:line="240" w:lineRule="auto"/>
    </w:pPr>
    <w:rPr>
      <w:lang w:val="en-GB"/>
    </w:rPr>
  </w:style>
  <w:style w:type="character" w:styleId="Hyperlink">
    <w:name w:val="Hyperlink"/>
    <w:basedOn w:val="DefaultParagraphFont"/>
    <w:uiPriority w:val="99"/>
    <w:unhideWhenUsed/>
    <w:rsid w:val="00987737"/>
    <w:rPr>
      <w:color w:val="0563C1" w:themeColor="hyperlink"/>
      <w:u w:val="single"/>
    </w:rPr>
  </w:style>
  <w:style w:type="character" w:customStyle="1" w:styleId="UnresolvedMention1">
    <w:name w:val="Unresolved Mention1"/>
    <w:basedOn w:val="DefaultParagraphFont"/>
    <w:uiPriority w:val="99"/>
    <w:semiHidden/>
    <w:unhideWhenUsed/>
    <w:rsid w:val="009877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840426">
      <w:bodyDiv w:val="1"/>
      <w:marLeft w:val="0"/>
      <w:marRight w:val="0"/>
      <w:marTop w:val="0"/>
      <w:marBottom w:val="0"/>
      <w:divBdr>
        <w:top w:val="none" w:sz="0" w:space="0" w:color="auto"/>
        <w:left w:val="none" w:sz="0" w:space="0" w:color="auto"/>
        <w:bottom w:val="none" w:sz="0" w:space="0" w:color="auto"/>
        <w:right w:val="none" w:sz="0" w:space="0" w:color="auto"/>
      </w:divBdr>
      <w:divsChild>
        <w:div w:id="80102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CAAE9-A4EB-4F7F-9370-95EB0AD31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3393</Words>
  <Characters>19345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Judge-Bulelwa Pakati</dc:creator>
  <cp:keywords/>
  <dc:description/>
  <cp:lastModifiedBy>Mary Bruce</cp:lastModifiedBy>
  <cp:revision>3</cp:revision>
  <cp:lastPrinted>2023-10-18T08:21:00Z</cp:lastPrinted>
  <dcterms:created xsi:type="dcterms:W3CDTF">2023-10-26T09:23:00Z</dcterms:created>
  <dcterms:modified xsi:type="dcterms:W3CDTF">2023-10-26T10:30:00Z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71bbcf3b00ca04a28a1672da51a6cd0a7e40524bd6da02679a6e09932b6c024b</vt:lpwstr>
  </property>
</Properties>
</file>