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E965" w14:textId="77777777" w:rsidR="005432E8" w:rsidRPr="00A32B6F" w:rsidRDefault="005432E8" w:rsidP="005432E8">
      <w:pPr>
        <w:pStyle w:val="Header"/>
        <w:widowControl w:val="0"/>
        <w:spacing w:line="360" w:lineRule="auto"/>
        <w:jc w:val="center"/>
        <w:rPr>
          <w:rFonts w:cs="Arial"/>
        </w:rPr>
      </w:pPr>
      <w:r w:rsidRPr="00A32B6F">
        <w:rPr>
          <w:rFonts w:cs="Arial"/>
          <w:noProof/>
          <w:lang w:eastAsia="en-ZA"/>
        </w:rPr>
        <w:drawing>
          <wp:inline distT="0" distB="0" distL="0" distR="0" wp14:anchorId="030D3BA3" wp14:editId="2DB59FE0">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117D8104" w14:textId="77777777" w:rsidR="005432E8" w:rsidRPr="00A32B6F" w:rsidRDefault="005432E8" w:rsidP="005432E8">
      <w:pPr>
        <w:pStyle w:val="Header"/>
        <w:widowControl w:val="0"/>
        <w:spacing w:line="360" w:lineRule="auto"/>
        <w:jc w:val="center"/>
        <w:rPr>
          <w:rFonts w:ascii="Arial" w:hAnsi="Arial" w:cs="Arial"/>
          <w:b/>
          <w:sz w:val="24"/>
          <w:szCs w:val="24"/>
        </w:rPr>
      </w:pPr>
      <w:r w:rsidRPr="00A32B6F">
        <w:rPr>
          <w:rFonts w:ascii="Arial" w:hAnsi="Arial" w:cs="Arial"/>
          <w:b/>
          <w:sz w:val="24"/>
          <w:szCs w:val="24"/>
        </w:rPr>
        <w:t>IN THE HIGH COURT OF SOUTH AFRICA</w:t>
      </w:r>
    </w:p>
    <w:p w14:paraId="16CB2835" w14:textId="77777777" w:rsidR="005432E8" w:rsidRDefault="005432E8" w:rsidP="005432E8">
      <w:pPr>
        <w:widowControl w:val="0"/>
        <w:tabs>
          <w:tab w:val="right" w:pos="9213"/>
        </w:tabs>
        <w:spacing w:line="240" w:lineRule="auto"/>
        <w:jc w:val="center"/>
        <w:rPr>
          <w:rFonts w:ascii="Arial" w:hAnsi="Arial" w:cs="Arial"/>
          <w:b/>
          <w:sz w:val="24"/>
          <w:szCs w:val="24"/>
        </w:rPr>
      </w:pPr>
      <w:r w:rsidRPr="00A32B6F">
        <w:rPr>
          <w:rFonts w:ascii="Arial" w:hAnsi="Arial" w:cs="Arial"/>
          <w:b/>
          <w:sz w:val="24"/>
          <w:szCs w:val="24"/>
        </w:rPr>
        <w:t>EASTERN CAPE DIVISION, MTHATHA</w:t>
      </w:r>
    </w:p>
    <w:p w14:paraId="0AD2441C" w14:textId="47E4124E" w:rsidR="00D43E7E" w:rsidRDefault="005432E8" w:rsidP="00A516DE">
      <w:pPr>
        <w:widowControl w:val="0"/>
        <w:tabs>
          <w:tab w:val="right" w:pos="9213"/>
        </w:tabs>
        <w:spacing w:line="240" w:lineRule="auto"/>
        <w:jc w:val="center"/>
        <w:rPr>
          <w:rFonts w:ascii="Arial" w:hAnsi="Arial" w:cs="Arial"/>
          <w:b/>
          <w:sz w:val="24"/>
          <w:szCs w:val="24"/>
        </w:rPr>
      </w:pPr>
      <w:r>
        <w:rPr>
          <w:rFonts w:ascii="Arial" w:hAnsi="Arial" w:cs="Arial"/>
          <w:b/>
          <w:sz w:val="24"/>
          <w:szCs w:val="24"/>
        </w:rPr>
        <w:tab/>
      </w:r>
      <w:r w:rsidR="00D43E7E">
        <w:rPr>
          <w:rFonts w:ascii="Arial" w:hAnsi="Arial" w:cs="Arial"/>
          <w:b/>
          <w:sz w:val="24"/>
          <w:szCs w:val="24"/>
        </w:rPr>
        <w:t>Not Reportable</w:t>
      </w:r>
    </w:p>
    <w:p w14:paraId="3F8BAB42" w14:textId="77777777" w:rsidR="005432E8" w:rsidRPr="00A32B6F" w:rsidRDefault="005432E8" w:rsidP="00A516DE">
      <w:pPr>
        <w:widowControl w:val="0"/>
        <w:tabs>
          <w:tab w:val="right" w:pos="9213"/>
        </w:tabs>
        <w:spacing w:line="240" w:lineRule="auto"/>
        <w:jc w:val="center"/>
        <w:rPr>
          <w:rFonts w:ascii="Arial" w:hAnsi="Arial" w:cs="Arial"/>
          <w:sz w:val="24"/>
          <w:szCs w:val="24"/>
        </w:rPr>
      </w:pPr>
      <w:r w:rsidRPr="00A32B6F">
        <w:rPr>
          <w:rFonts w:ascii="Arial" w:hAnsi="Arial" w:cs="Arial"/>
          <w:sz w:val="24"/>
          <w:szCs w:val="24"/>
        </w:rPr>
        <w:tab/>
        <w:t>CASE NO. CA</w:t>
      </w:r>
      <w:r w:rsidR="00A516DE">
        <w:rPr>
          <w:rFonts w:ascii="Arial" w:hAnsi="Arial" w:cs="Arial"/>
          <w:sz w:val="24"/>
          <w:szCs w:val="24"/>
        </w:rPr>
        <w:t>&amp;R 60/2022</w:t>
      </w:r>
    </w:p>
    <w:p w14:paraId="6C35C895" w14:textId="77777777" w:rsidR="005432E8" w:rsidRPr="00A32B6F" w:rsidRDefault="005432E8" w:rsidP="005432E8">
      <w:pPr>
        <w:widowControl w:val="0"/>
        <w:tabs>
          <w:tab w:val="right" w:pos="9213"/>
        </w:tabs>
        <w:spacing w:line="240" w:lineRule="auto"/>
        <w:rPr>
          <w:rFonts w:ascii="Arial" w:hAnsi="Arial" w:cs="Arial"/>
          <w:sz w:val="24"/>
          <w:szCs w:val="24"/>
        </w:rPr>
      </w:pPr>
    </w:p>
    <w:p w14:paraId="665CF283" w14:textId="77777777" w:rsidR="005432E8" w:rsidRPr="00A32B6F" w:rsidRDefault="005432E8" w:rsidP="005432E8">
      <w:pPr>
        <w:widowControl w:val="0"/>
        <w:tabs>
          <w:tab w:val="right" w:pos="9213"/>
        </w:tabs>
        <w:spacing w:line="240" w:lineRule="auto"/>
        <w:rPr>
          <w:rFonts w:ascii="Arial" w:hAnsi="Arial" w:cs="Arial"/>
          <w:sz w:val="24"/>
          <w:szCs w:val="24"/>
        </w:rPr>
      </w:pPr>
      <w:r w:rsidRPr="00A32B6F">
        <w:rPr>
          <w:rFonts w:ascii="Arial" w:hAnsi="Arial" w:cs="Arial"/>
          <w:sz w:val="24"/>
          <w:szCs w:val="24"/>
        </w:rPr>
        <w:t>In the matter between:</w:t>
      </w:r>
    </w:p>
    <w:p w14:paraId="16D08B7F" w14:textId="77777777" w:rsidR="005432E8" w:rsidRPr="00A32B6F" w:rsidRDefault="00A516DE" w:rsidP="00F21B63">
      <w:pPr>
        <w:widowControl w:val="0"/>
        <w:tabs>
          <w:tab w:val="right" w:pos="9356"/>
        </w:tabs>
        <w:spacing w:line="240" w:lineRule="auto"/>
        <w:rPr>
          <w:rFonts w:ascii="Arial" w:hAnsi="Arial" w:cs="Arial"/>
          <w:b/>
          <w:sz w:val="24"/>
          <w:szCs w:val="24"/>
        </w:rPr>
      </w:pPr>
      <w:r>
        <w:rPr>
          <w:rFonts w:ascii="Arial" w:hAnsi="Arial" w:cs="Arial"/>
          <w:b/>
          <w:sz w:val="24"/>
          <w:szCs w:val="24"/>
        </w:rPr>
        <w:t>SIZWE BEBULA</w:t>
      </w:r>
      <w:r w:rsidR="005432E8" w:rsidRPr="00A32B6F">
        <w:rPr>
          <w:rFonts w:ascii="Arial" w:hAnsi="Arial" w:cs="Arial"/>
          <w:b/>
          <w:sz w:val="24"/>
          <w:szCs w:val="24"/>
        </w:rPr>
        <w:t xml:space="preserve"> </w:t>
      </w:r>
      <w:r w:rsidR="005432E8" w:rsidRPr="00A32B6F">
        <w:rPr>
          <w:rFonts w:ascii="Arial" w:hAnsi="Arial" w:cs="Arial"/>
          <w:b/>
          <w:sz w:val="24"/>
          <w:szCs w:val="24"/>
        </w:rPr>
        <w:tab/>
        <w:t>App</w:t>
      </w:r>
      <w:r>
        <w:rPr>
          <w:rFonts w:ascii="Arial" w:hAnsi="Arial" w:cs="Arial"/>
          <w:b/>
          <w:sz w:val="24"/>
          <w:szCs w:val="24"/>
        </w:rPr>
        <w:t>ellant</w:t>
      </w:r>
    </w:p>
    <w:p w14:paraId="59843CEF" w14:textId="77777777" w:rsidR="005432E8" w:rsidRPr="00A32B6F" w:rsidRDefault="005432E8" w:rsidP="005432E8">
      <w:pPr>
        <w:widowControl w:val="0"/>
        <w:tabs>
          <w:tab w:val="right" w:pos="9213"/>
        </w:tabs>
        <w:spacing w:line="240" w:lineRule="auto"/>
        <w:rPr>
          <w:rFonts w:ascii="Arial" w:hAnsi="Arial" w:cs="Arial"/>
          <w:b/>
          <w:sz w:val="24"/>
          <w:szCs w:val="24"/>
        </w:rPr>
      </w:pPr>
    </w:p>
    <w:p w14:paraId="412286B3" w14:textId="77777777" w:rsidR="005432E8" w:rsidRPr="000D4B66" w:rsidRDefault="005432E8" w:rsidP="005432E8">
      <w:pPr>
        <w:widowControl w:val="0"/>
        <w:tabs>
          <w:tab w:val="right" w:pos="9213"/>
        </w:tabs>
        <w:spacing w:line="600" w:lineRule="auto"/>
        <w:rPr>
          <w:rFonts w:ascii="Arial" w:hAnsi="Arial" w:cs="Arial"/>
          <w:sz w:val="24"/>
          <w:szCs w:val="24"/>
        </w:rPr>
      </w:pPr>
      <w:r w:rsidRPr="000D4B66">
        <w:rPr>
          <w:rFonts w:ascii="Arial" w:hAnsi="Arial" w:cs="Arial"/>
          <w:sz w:val="24"/>
          <w:szCs w:val="24"/>
        </w:rPr>
        <w:t>and</w:t>
      </w:r>
    </w:p>
    <w:p w14:paraId="64964DC1" w14:textId="77777777" w:rsidR="005432E8" w:rsidRPr="00A32B6F" w:rsidRDefault="00F21B63" w:rsidP="00F21B63">
      <w:pPr>
        <w:widowControl w:val="0"/>
        <w:tabs>
          <w:tab w:val="right" w:pos="9356"/>
        </w:tabs>
        <w:spacing w:line="240" w:lineRule="auto"/>
        <w:rPr>
          <w:rFonts w:ascii="Arial" w:hAnsi="Arial" w:cs="Arial"/>
          <w:b/>
          <w:sz w:val="24"/>
          <w:szCs w:val="24"/>
        </w:rPr>
      </w:pPr>
      <w:r>
        <w:rPr>
          <w:rFonts w:ascii="Arial" w:hAnsi="Arial" w:cs="Arial"/>
          <w:b/>
          <w:sz w:val="24"/>
          <w:szCs w:val="24"/>
        </w:rPr>
        <w:t>THE STATE</w:t>
      </w:r>
      <w:r w:rsidR="005432E8" w:rsidRPr="00A32B6F">
        <w:rPr>
          <w:rFonts w:ascii="Arial" w:hAnsi="Arial" w:cs="Arial"/>
          <w:b/>
          <w:sz w:val="24"/>
          <w:szCs w:val="24"/>
        </w:rPr>
        <w:t xml:space="preserve"> </w:t>
      </w:r>
      <w:r w:rsidR="005432E8" w:rsidRPr="00A32B6F">
        <w:rPr>
          <w:rFonts w:ascii="Arial" w:hAnsi="Arial" w:cs="Arial"/>
          <w:b/>
          <w:sz w:val="24"/>
          <w:szCs w:val="24"/>
        </w:rPr>
        <w:tab/>
      </w:r>
      <w:r w:rsidR="00014237">
        <w:rPr>
          <w:rFonts w:ascii="Arial" w:hAnsi="Arial" w:cs="Arial"/>
          <w:b/>
          <w:sz w:val="24"/>
          <w:szCs w:val="24"/>
        </w:rPr>
        <w:t>R</w:t>
      </w:r>
      <w:r w:rsidR="005432E8" w:rsidRPr="00A32B6F">
        <w:rPr>
          <w:rFonts w:ascii="Arial" w:hAnsi="Arial" w:cs="Arial"/>
          <w:b/>
          <w:sz w:val="24"/>
          <w:szCs w:val="24"/>
        </w:rPr>
        <w:t>espondent</w:t>
      </w:r>
    </w:p>
    <w:p w14:paraId="7531BEF3" w14:textId="77777777" w:rsidR="005432E8" w:rsidRPr="00A32B6F" w:rsidRDefault="005432E8" w:rsidP="00F21B63">
      <w:pPr>
        <w:spacing w:line="240" w:lineRule="auto"/>
        <w:rPr>
          <w:rFonts w:ascii="Arial" w:hAnsi="Arial" w:cs="Arial"/>
          <w:sz w:val="24"/>
          <w:szCs w:val="24"/>
          <w:lang w:val="en-GB"/>
        </w:rPr>
      </w:pPr>
      <w:r w:rsidRPr="00A32B6F">
        <w:rPr>
          <w:rFonts w:ascii="Arial" w:hAnsi="Arial" w:cs="Arial"/>
          <w:sz w:val="24"/>
          <w:szCs w:val="24"/>
          <w:lang w:val="en-GB"/>
        </w:rPr>
        <w:t>___________________________________________________________________</w:t>
      </w:r>
      <w:r w:rsidR="00F21B63">
        <w:rPr>
          <w:rFonts w:ascii="Arial" w:hAnsi="Arial" w:cs="Arial"/>
          <w:sz w:val="24"/>
          <w:szCs w:val="24"/>
          <w:lang w:val="en-GB"/>
        </w:rPr>
        <w:t>___</w:t>
      </w:r>
    </w:p>
    <w:p w14:paraId="10776851" w14:textId="77777777" w:rsidR="00D43E7E" w:rsidRDefault="00D43E7E" w:rsidP="005432E8">
      <w:pPr>
        <w:spacing w:line="360" w:lineRule="auto"/>
        <w:jc w:val="center"/>
        <w:rPr>
          <w:rFonts w:ascii="Arial" w:hAnsi="Arial" w:cs="Arial"/>
          <w:b/>
          <w:sz w:val="24"/>
          <w:szCs w:val="24"/>
          <w:lang w:val="en-GB"/>
        </w:rPr>
      </w:pPr>
    </w:p>
    <w:p w14:paraId="4FE99E9A" w14:textId="77777777" w:rsidR="005432E8" w:rsidRPr="00A32B6F" w:rsidRDefault="005432E8" w:rsidP="005432E8">
      <w:pPr>
        <w:spacing w:line="360" w:lineRule="auto"/>
        <w:jc w:val="center"/>
        <w:rPr>
          <w:rFonts w:ascii="Arial" w:hAnsi="Arial" w:cs="Arial"/>
          <w:b/>
          <w:sz w:val="24"/>
          <w:szCs w:val="24"/>
          <w:lang w:val="en-GB"/>
        </w:rPr>
      </w:pPr>
      <w:r w:rsidRPr="00A32B6F">
        <w:rPr>
          <w:rFonts w:ascii="Arial" w:hAnsi="Arial" w:cs="Arial"/>
          <w:b/>
          <w:sz w:val="24"/>
          <w:szCs w:val="24"/>
          <w:lang w:val="en-GB"/>
        </w:rPr>
        <w:t>JUDGMENT</w:t>
      </w:r>
    </w:p>
    <w:p w14:paraId="5076561B" w14:textId="77777777" w:rsidR="005432E8" w:rsidRPr="00A32B6F" w:rsidRDefault="005432E8" w:rsidP="005432E8">
      <w:pPr>
        <w:spacing w:line="360" w:lineRule="auto"/>
        <w:rPr>
          <w:rFonts w:ascii="Arial" w:hAnsi="Arial" w:cs="Arial"/>
          <w:sz w:val="24"/>
          <w:szCs w:val="24"/>
          <w:lang w:val="en-GB"/>
        </w:rPr>
      </w:pPr>
      <w:r w:rsidRPr="00A32B6F">
        <w:rPr>
          <w:rFonts w:ascii="Arial" w:hAnsi="Arial" w:cs="Arial"/>
          <w:sz w:val="24"/>
          <w:szCs w:val="24"/>
          <w:lang w:val="en-GB"/>
        </w:rPr>
        <w:t>___________________________________________________________________</w:t>
      </w:r>
      <w:r w:rsidR="00F21B63">
        <w:rPr>
          <w:rFonts w:ascii="Arial" w:hAnsi="Arial" w:cs="Arial"/>
          <w:sz w:val="24"/>
          <w:szCs w:val="24"/>
          <w:lang w:val="en-GB"/>
        </w:rPr>
        <w:t>___</w:t>
      </w:r>
    </w:p>
    <w:p w14:paraId="66D233AE" w14:textId="77777777" w:rsidR="0031623B" w:rsidRDefault="00F21B63" w:rsidP="00F21B63">
      <w:pPr>
        <w:spacing w:line="360" w:lineRule="auto"/>
        <w:jc w:val="both"/>
        <w:rPr>
          <w:rFonts w:ascii="Arial" w:hAnsi="Arial" w:cs="Arial"/>
          <w:b/>
          <w:bCs/>
          <w:sz w:val="24"/>
          <w:szCs w:val="24"/>
        </w:rPr>
      </w:pPr>
      <w:r w:rsidRPr="00F21B63">
        <w:rPr>
          <w:rFonts w:ascii="Arial" w:hAnsi="Arial" w:cs="Arial"/>
          <w:b/>
          <w:bCs/>
          <w:sz w:val="24"/>
          <w:szCs w:val="24"/>
        </w:rPr>
        <w:t>LAING J</w:t>
      </w:r>
    </w:p>
    <w:p w14:paraId="29158D4D" w14:textId="77777777" w:rsidR="00F21B63" w:rsidRPr="00F21B63" w:rsidRDefault="00F21B63" w:rsidP="00F21B63">
      <w:pPr>
        <w:spacing w:line="360" w:lineRule="auto"/>
        <w:jc w:val="both"/>
        <w:rPr>
          <w:rFonts w:ascii="Arial" w:hAnsi="Arial" w:cs="Arial"/>
          <w:b/>
          <w:bCs/>
          <w:sz w:val="24"/>
          <w:szCs w:val="24"/>
        </w:rPr>
      </w:pPr>
    </w:p>
    <w:p w14:paraId="3ADA9CD0" w14:textId="77777777" w:rsidR="00D77041" w:rsidRDefault="0031623B" w:rsidP="0031623B">
      <w:pPr>
        <w:pStyle w:val="ListParagraph"/>
        <w:numPr>
          <w:ilvl w:val="0"/>
          <w:numId w:val="5"/>
        </w:numPr>
        <w:spacing w:line="360" w:lineRule="auto"/>
        <w:ind w:left="0" w:firstLine="0"/>
        <w:jc w:val="both"/>
        <w:rPr>
          <w:rFonts w:ascii="Arial" w:hAnsi="Arial" w:cs="Arial"/>
          <w:sz w:val="24"/>
          <w:szCs w:val="24"/>
        </w:rPr>
      </w:pPr>
      <w:r w:rsidRPr="00D77041">
        <w:rPr>
          <w:rFonts w:ascii="Arial" w:hAnsi="Arial" w:cs="Arial"/>
          <w:sz w:val="24"/>
          <w:szCs w:val="24"/>
        </w:rPr>
        <w:t xml:space="preserve">This is an appeal against the judgment of the Magistrates’ Court for the District of Libode, </w:t>
      </w:r>
      <w:r w:rsidR="00CA7BCF" w:rsidRPr="00D77041">
        <w:rPr>
          <w:rFonts w:ascii="Arial" w:hAnsi="Arial" w:cs="Arial"/>
          <w:sz w:val="24"/>
          <w:szCs w:val="24"/>
        </w:rPr>
        <w:t xml:space="preserve">on 9 May 2023, </w:t>
      </w:r>
      <w:r w:rsidRPr="00D77041">
        <w:rPr>
          <w:rFonts w:ascii="Arial" w:hAnsi="Arial" w:cs="Arial"/>
          <w:sz w:val="24"/>
          <w:szCs w:val="24"/>
        </w:rPr>
        <w:t>refusing the granting of bail to the appellant on new facts.</w:t>
      </w:r>
    </w:p>
    <w:p w14:paraId="6FBEA93B" w14:textId="77777777" w:rsidR="00D77041" w:rsidRDefault="00D77041" w:rsidP="00D77041">
      <w:pPr>
        <w:pStyle w:val="ListParagraph"/>
        <w:spacing w:line="360" w:lineRule="auto"/>
        <w:ind w:left="0"/>
        <w:jc w:val="both"/>
        <w:rPr>
          <w:rFonts w:ascii="Arial" w:hAnsi="Arial" w:cs="Arial"/>
          <w:sz w:val="24"/>
          <w:szCs w:val="24"/>
        </w:rPr>
      </w:pPr>
    </w:p>
    <w:p w14:paraId="006F3C31" w14:textId="77777777" w:rsidR="00D77041" w:rsidRDefault="00D77041" w:rsidP="00D77041">
      <w:pPr>
        <w:pStyle w:val="ListParagraph"/>
        <w:spacing w:line="360" w:lineRule="auto"/>
        <w:ind w:left="0"/>
        <w:jc w:val="both"/>
        <w:rPr>
          <w:rFonts w:ascii="Arial" w:hAnsi="Arial" w:cs="Arial"/>
          <w:sz w:val="24"/>
          <w:szCs w:val="24"/>
        </w:rPr>
      </w:pPr>
    </w:p>
    <w:p w14:paraId="4664CBBD" w14:textId="77777777" w:rsidR="0031623B" w:rsidRDefault="0031623B" w:rsidP="00C53F41">
      <w:pPr>
        <w:pStyle w:val="ListParagraph"/>
        <w:spacing w:line="360" w:lineRule="auto"/>
        <w:ind w:left="0"/>
        <w:jc w:val="both"/>
        <w:rPr>
          <w:rFonts w:ascii="Arial" w:hAnsi="Arial" w:cs="Arial"/>
          <w:b/>
          <w:bCs/>
          <w:sz w:val="24"/>
          <w:szCs w:val="24"/>
        </w:rPr>
      </w:pPr>
      <w:r w:rsidRPr="00D77041">
        <w:rPr>
          <w:rFonts w:ascii="Arial" w:hAnsi="Arial" w:cs="Arial"/>
          <w:b/>
          <w:bCs/>
          <w:sz w:val="24"/>
          <w:szCs w:val="24"/>
        </w:rPr>
        <w:t>Background</w:t>
      </w:r>
    </w:p>
    <w:p w14:paraId="3A0BB244" w14:textId="77777777" w:rsidR="007552E4" w:rsidRPr="00D77041" w:rsidRDefault="007552E4" w:rsidP="00C53F41">
      <w:pPr>
        <w:pStyle w:val="ListParagraph"/>
        <w:spacing w:line="360" w:lineRule="auto"/>
        <w:ind w:left="0"/>
        <w:jc w:val="both"/>
        <w:rPr>
          <w:rFonts w:ascii="Arial" w:hAnsi="Arial" w:cs="Arial"/>
          <w:sz w:val="24"/>
          <w:szCs w:val="24"/>
        </w:rPr>
      </w:pPr>
    </w:p>
    <w:p w14:paraId="388E56EC" w14:textId="77777777" w:rsidR="00494276" w:rsidRDefault="0031623B" w:rsidP="0031623B">
      <w:pPr>
        <w:pStyle w:val="ListParagraph"/>
        <w:numPr>
          <w:ilvl w:val="0"/>
          <w:numId w:val="5"/>
        </w:numPr>
        <w:spacing w:line="360" w:lineRule="auto"/>
        <w:ind w:left="0" w:firstLine="0"/>
        <w:jc w:val="both"/>
        <w:rPr>
          <w:rFonts w:ascii="Arial" w:hAnsi="Arial" w:cs="Arial"/>
          <w:sz w:val="24"/>
          <w:szCs w:val="24"/>
        </w:rPr>
      </w:pPr>
      <w:r w:rsidRPr="00D77041">
        <w:rPr>
          <w:rFonts w:ascii="Arial" w:hAnsi="Arial" w:cs="Arial"/>
          <w:sz w:val="24"/>
          <w:szCs w:val="24"/>
        </w:rPr>
        <w:t>The appellant has been charged with</w:t>
      </w:r>
      <w:r w:rsidR="007D7D08" w:rsidRPr="00D77041">
        <w:rPr>
          <w:rFonts w:ascii="Arial" w:hAnsi="Arial" w:cs="Arial"/>
          <w:sz w:val="24"/>
          <w:szCs w:val="24"/>
        </w:rPr>
        <w:t xml:space="preserve">, </w:t>
      </w:r>
      <w:r w:rsidR="007D7D08" w:rsidRPr="00D77041">
        <w:rPr>
          <w:rFonts w:ascii="Arial" w:hAnsi="Arial" w:cs="Arial"/>
          <w:i/>
          <w:iCs/>
          <w:sz w:val="24"/>
          <w:szCs w:val="24"/>
        </w:rPr>
        <w:t>inter alia</w:t>
      </w:r>
      <w:r w:rsidR="007D7D08" w:rsidRPr="00D77041">
        <w:rPr>
          <w:rFonts w:ascii="Arial" w:hAnsi="Arial" w:cs="Arial"/>
          <w:sz w:val="24"/>
          <w:szCs w:val="24"/>
        </w:rPr>
        <w:t xml:space="preserve">, murder and the unlawful possession of a firearm and ammunition. It is common cause that he has been charged </w:t>
      </w:r>
      <w:r w:rsidR="007D7D08" w:rsidRPr="00D77041">
        <w:rPr>
          <w:rFonts w:ascii="Arial" w:hAnsi="Arial" w:cs="Arial"/>
          <w:sz w:val="24"/>
          <w:szCs w:val="24"/>
        </w:rPr>
        <w:lastRenderedPageBreak/>
        <w:t>with an offence listed in Schedule 6 of the Criminal Procedure Act 51 of 1977 (‘the CPA’).</w:t>
      </w:r>
      <w:r w:rsidR="00AD4FAE" w:rsidRPr="00D77041">
        <w:rPr>
          <w:rFonts w:ascii="Arial" w:hAnsi="Arial" w:cs="Arial"/>
          <w:sz w:val="24"/>
          <w:szCs w:val="24"/>
        </w:rPr>
        <w:t xml:space="preserve"> It </w:t>
      </w:r>
      <w:r w:rsidR="00595F7B" w:rsidRPr="00D77041">
        <w:rPr>
          <w:rFonts w:ascii="Arial" w:hAnsi="Arial" w:cs="Arial"/>
          <w:sz w:val="24"/>
          <w:szCs w:val="24"/>
        </w:rPr>
        <w:t>i</w:t>
      </w:r>
      <w:r w:rsidR="00AD4FAE" w:rsidRPr="00D77041">
        <w:rPr>
          <w:rFonts w:ascii="Arial" w:hAnsi="Arial" w:cs="Arial"/>
          <w:sz w:val="24"/>
          <w:szCs w:val="24"/>
        </w:rPr>
        <w:t xml:space="preserve">s also not disputed that he would need to satisfy </w:t>
      </w:r>
      <w:r w:rsidR="00595F7B" w:rsidRPr="00D77041">
        <w:rPr>
          <w:rFonts w:ascii="Arial" w:hAnsi="Arial" w:cs="Arial"/>
          <w:sz w:val="24"/>
          <w:szCs w:val="24"/>
        </w:rPr>
        <w:t>a</w:t>
      </w:r>
      <w:r w:rsidR="00AD4FAE" w:rsidRPr="00D77041">
        <w:rPr>
          <w:rFonts w:ascii="Arial" w:hAnsi="Arial" w:cs="Arial"/>
          <w:sz w:val="24"/>
          <w:szCs w:val="24"/>
        </w:rPr>
        <w:t xml:space="preserve"> court</w:t>
      </w:r>
      <w:r w:rsidR="00595F7B" w:rsidRPr="00D77041">
        <w:rPr>
          <w:rFonts w:ascii="Arial" w:hAnsi="Arial" w:cs="Arial"/>
          <w:sz w:val="24"/>
          <w:szCs w:val="24"/>
        </w:rPr>
        <w:t>, in terms of section 60(11)(a),</w:t>
      </w:r>
      <w:r w:rsidR="00AD4FAE" w:rsidRPr="00D77041">
        <w:rPr>
          <w:rFonts w:ascii="Arial" w:hAnsi="Arial" w:cs="Arial"/>
          <w:sz w:val="24"/>
          <w:szCs w:val="24"/>
        </w:rPr>
        <w:t xml:space="preserve"> that there were exceptional circumstances </w:t>
      </w:r>
      <w:r w:rsidR="00595F7B" w:rsidRPr="00D77041">
        <w:rPr>
          <w:rFonts w:ascii="Arial" w:hAnsi="Arial" w:cs="Arial"/>
          <w:sz w:val="24"/>
          <w:szCs w:val="24"/>
        </w:rPr>
        <w:t>which, in the interests of justice, permitted his release.</w:t>
      </w:r>
    </w:p>
    <w:p w14:paraId="47A974F9" w14:textId="77777777" w:rsidR="00494276" w:rsidRPr="00494276" w:rsidRDefault="00494276" w:rsidP="00494276">
      <w:pPr>
        <w:pStyle w:val="ListParagraph"/>
        <w:rPr>
          <w:rFonts w:ascii="Arial" w:hAnsi="Arial" w:cs="Arial"/>
          <w:sz w:val="24"/>
          <w:szCs w:val="24"/>
        </w:rPr>
      </w:pPr>
    </w:p>
    <w:p w14:paraId="4AF95B1C" w14:textId="77777777" w:rsidR="00494276" w:rsidRDefault="007D7D08" w:rsidP="0031623B">
      <w:pPr>
        <w:pStyle w:val="ListParagraph"/>
        <w:numPr>
          <w:ilvl w:val="0"/>
          <w:numId w:val="5"/>
        </w:numPr>
        <w:spacing w:line="360" w:lineRule="auto"/>
        <w:ind w:left="0" w:firstLine="0"/>
        <w:jc w:val="both"/>
        <w:rPr>
          <w:rFonts w:ascii="Arial" w:hAnsi="Arial" w:cs="Arial"/>
          <w:sz w:val="24"/>
          <w:szCs w:val="24"/>
        </w:rPr>
      </w:pPr>
      <w:r w:rsidRPr="00494276">
        <w:rPr>
          <w:rFonts w:ascii="Arial" w:hAnsi="Arial" w:cs="Arial"/>
          <w:sz w:val="24"/>
          <w:szCs w:val="24"/>
        </w:rPr>
        <w:t>The appellant brought an initial bail application, which was dismissed on 8 March 2022. He subsequently brought a further bail application on new facts. This</w:t>
      </w:r>
      <w:r w:rsidR="00595F7B" w:rsidRPr="00494276">
        <w:rPr>
          <w:rFonts w:ascii="Arial" w:hAnsi="Arial" w:cs="Arial"/>
          <w:sz w:val="24"/>
          <w:szCs w:val="24"/>
        </w:rPr>
        <w:t xml:space="preserve"> </w:t>
      </w:r>
      <w:r w:rsidRPr="00494276">
        <w:rPr>
          <w:rFonts w:ascii="Arial" w:hAnsi="Arial" w:cs="Arial"/>
          <w:sz w:val="24"/>
          <w:szCs w:val="24"/>
        </w:rPr>
        <w:t>was dismissed</w:t>
      </w:r>
      <w:r w:rsidR="00E2496E" w:rsidRPr="00494276">
        <w:rPr>
          <w:rFonts w:ascii="Arial" w:hAnsi="Arial" w:cs="Arial"/>
          <w:sz w:val="24"/>
          <w:szCs w:val="24"/>
        </w:rPr>
        <w:t xml:space="preserve"> </w:t>
      </w:r>
      <w:r w:rsidR="003677A0" w:rsidRPr="00494276">
        <w:rPr>
          <w:rFonts w:ascii="Arial" w:hAnsi="Arial" w:cs="Arial"/>
          <w:sz w:val="24"/>
          <w:szCs w:val="24"/>
        </w:rPr>
        <w:t>and forms the subject of the appeal</w:t>
      </w:r>
      <w:r w:rsidRPr="00494276">
        <w:rPr>
          <w:rFonts w:ascii="Arial" w:hAnsi="Arial" w:cs="Arial"/>
          <w:sz w:val="24"/>
          <w:szCs w:val="24"/>
        </w:rPr>
        <w:t xml:space="preserve">. </w:t>
      </w:r>
      <w:r w:rsidR="0051259A" w:rsidRPr="00494276">
        <w:rPr>
          <w:rFonts w:ascii="Arial" w:hAnsi="Arial" w:cs="Arial"/>
          <w:sz w:val="24"/>
          <w:szCs w:val="24"/>
        </w:rPr>
        <w:t>The matter was</w:t>
      </w:r>
      <w:r w:rsidR="003677A0" w:rsidRPr="00494276">
        <w:rPr>
          <w:rFonts w:ascii="Arial" w:hAnsi="Arial" w:cs="Arial"/>
          <w:sz w:val="24"/>
          <w:szCs w:val="24"/>
        </w:rPr>
        <w:t>, in the interim,</w:t>
      </w:r>
      <w:r w:rsidR="0051259A" w:rsidRPr="00494276">
        <w:rPr>
          <w:rFonts w:ascii="Arial" w:hAnsi="Arial" w:cs="Arial"/>
          <w:sz w:val="24"/>
          <w:szCs w:val="24"/>
        </w:rPr>
        <w:t xml:space="preserve"> transferred to the High Court.</w:t>
      </w:r>
    </w:p>
    <w:p w14:paraId="5B29152A" w14:textId="77777777" w:rsidR="00494276" w:rsidRPr="00494276" w:rsidRDefault="00494276" w:rsidP="00494276">
      <w:pPr>
        <w:pStyle w:val="ListParagraph"/>
        <w:rPr>
          <w:rFonts w:ascii="Arial" w:hAnsi="Arial" w:cs="Arial"/>
          <w:sz w:val="24"/>
          <w:szCs w:val="24"/>
        </w:rPr>
      </w:pPr>
    </w:p>
    <w:p w14:paraId="521DDDD9" w14:textId="77777777" w:rsidR="007D7D08" w:rsidRPr="00494276" w:rsidRDefault="007D7D08" w:rsidP="0031623B">
      <w:pPr>
        <w:pStyle w:val="ListParagraph"/>
        <w:numPr>
          <w:ilvl w:val="0"/>
          <w:numId w:val="5"/>
        </w:numPr>
        <w:spacing w:line="360" w:lineRule="auto"/>
        <w:ind w:left="0" w:firstLine="0"/>
        <w:jc w:val="both"/>
        <w:rPr>
          <w:rFonts w:ascii="Arial" w:hAnsi="Arial" w:cs="Arial"/>
          <w:sz w:val="24"/>
          <w:szCs w:val="24"/>
        </w:rPr>
      </w:pPr>
      <w:r w:rsidRPr="00494276">
        <w:rPr>
          <w:rFonts w:ascii="Arial" w:hAnsi="Arial" w:cs="Arial"/>
          <w:sz w:val="24"/>
          <w:szCs w:val="24"/>
        </w:rPr>
        <w:t xml:space="preserve">The </w:t>
      </w:r>
      <w:r w:rsidR="00E2496E" w:rsidRPr="00494276">
        <w:rPr>
          <w:rFonts w:ascii="Arial" w:hAnsi="Arial" w:cs="Arial"/>
          <w:sz w:val="24"/>
          <w:szCs w:val="24"/>
        </w:rPr>
        <w:t xml:space="preserve">details of </w:t>
      </w:r>
      <w:r w:rsidR="00E1084B" w:rsidRPr="00494276">
        <w:rPr>
          <w:rFonts w:ascii="Arial" w:hAnsi="Arial" w:cs="Arial"/>
          <w:sz w:val="24"/>
          <w:szCs w:val="24"/>
        </w:rPr>
        <w:t xml:space="preserve">the appellant’s </w:t>
      </w:r>
      <w:r w:rsidR="00CA7BCF" w:rsidRPr="00494276">
        <w:rPr>
          <w:rFonts w:ascii="Arial" w:hAnsi="Arial" w:cs="Arial"/>
          <w:sz w:val="24"/>
          <w:szCs w:val="24"/>
        </w:rPr>
        <w:t xml:space="preserve">applications </w:t>
      </w:r>
      <w:r w:rsidR="00E2496E" w:rsidRPr="00494276">
        <w:rPr>
          <w:rFonts w:ascii="Arial" w:hAnsi="Arial" w:cs="Arial"/>
          <w:sz w:val="24"/>
          <w:szCs w:val="24"/>
        </w:rPr>
        <w:t>are set out below.</w:t>
      </w:r>
    </w:p>
    <w:p w14:paraId="5ED4B5C2" w14:textId="77777777" w:rsidR="00E2496E" w:rsidRDefault="00E2496E" w:rsidP="0031623B">
      <w:pPr>
        <w:spacing w:line="360" w:lineRule="auto"/>
        <w:rPr>
          <w:rFonts w:ascii="Arial" w:hAnsi="Arial" w:cs="Arial"/>
          <w:sz w:val="24"/>
          <w:szCs w:val="24"/>
        </w:rPr>
      </w:pPr>
    </w:p>
    <w:p w14:paraId="3B9FF25E" w14:textId="70D41556" w:rsidR="00E2496E" w:rsidRPr="000D4B66" w:rsidRDefault="00E2496E" w:rsidP="000D4B66">
      <w:pPr>
        <w:spacing w:line="360" w:lineRule="auto"/>
        <w:jc w:val="both"/>
        <w:rPr>
          <w:rFonts w:ascii="Arial" w:hAnsi="Arial" w:cs="Arial"/>
          <w:iCs/>
          <w:sz w:val="24"/>
          <w:szCs w:val="24"/>
        </w:rPr>
      </w:pPr>
      <w:r w:rsidRPr="000D4B66">
        <w:rPr>
          <w:rFonts w:ascii="Arial" w:hAnsi="Arial" w:cs="Arial"/>
          <w:b/>
          <w:iCs/>
          <w:sz w:val="24"/>
          <w:szCs w:val="24"/>
        </w:rPr>
        <w:t>First bail application</w:t>
      </w:r>
    </w:p>
    <w:p w14:paraId="0221C815" w14:textId="66390954" w:rsidR="00494276" w:rsidRDefault="00E2496E" w:rsidP="0031623B">
      <w:pPr>
        <w:pStyle w:val="ListParagraph"/>
        <w:numPr>
          <w:ilvl w:val="0"/>
          <w:numId w:val="5"/>
        </w:numPr>
        <w:spacing w:line="360" w:lineRule="auto"/>
        <w:ind w:left="0" w:firstLine="0"/>
        <w:jc w:val="both"/>
        <w:rPr>
          <w:rFonts w:ascii="Arial" w:hAnsi="Arial" w:cs="Arial"/>
          <w:sz w:val="24"/>
          <w:szCs w:val="24"/>
        </w:rPr>
      </w:pPr>
      <w:r w:rsidRPr="00494276">
        <w:rPr>
          <w:rFonts w:ascii="Arial" w:hAnsi="Arial" w:cs="Arial"/>
          <w:sz w:val="24"/>
          <w:szCs w:val="24"/>
        </w:rPr>
        <w:t xml:space="preserve">The appellant stated on affidavit that he is an adult male, born on 27 March 1981. He resides in </w:t>
      </w:r>
      <w:proofErr w:type="spellStart"/>
      <w:r w:rsidRPr="00494276">
        <w:rPr>
          <w:rFonts w:ascii="Arial" w:hAnsi="Arial" w:cs="Arial"/>
          <w:sz w:val="24"/>
          <w:szCs w:val="24"/>
        </w:rPr>
        <w:t>Grabouw</w:t>
      </w:r>
      <w:proofErr w:type="spellEnd"/>
      <w:r w:rsidRPr="00494276">
        <w:rPr>
          <w:rFonts w:ascii="Arial" w:hAnsi="Arial" w:cs="Arial"/>
          <w:sz w:val="24"/>
          <w:szCs w:val="24"/>
        </w:rPr>
        <w:t xml:space="preserve">, Western Cape Province. He is unmarried and has a child who was born on 28 April 2018. The child is an epileptic and stays with his mother, whom the appellant supports with monthly payments of R 3,500. At the time of his arrest, the appellant had been employed by a security firm, earning R 20,000 per month. He also worked for his family business, </w:t>
      </w:r>
      <w:proofErr w:type="spellStart"/>
      <w:r w:rsidRPr="00494276">
        <w:rPr>
          <w:rFonts w:ascii="Arial" w:hAnsi="Arial" w:cs="Arial"/>
          <w:sz w:val="24"/>
          <w:szCs w:val="24"/>
        </w:rPr>
        <w:t>Bebula</w:t>
      </w:r>
      <w:proofErr w:type="spellEnd"/>
      <w:r w:rsidRPr="00494276">
        <w:rPr>
          <w:rFonts w:ascii="Arial" w:hAnsi="Arial" w:cs="Arial"/>
          <w:sz w:val="24"/>
          <w:szCs w:val="24"/>
        </w:rPr>
        <w:t xml:space="preserve"> Family Transport Services, which employed approximately nine staff and made monthly profits of about R 10,000.</w:t>
      </w:r>
      <w:r w:rsidR="0070180F" w:rsidRPr="00494276">
        <w:rPr>
          <w:rFonts w:ascii="Arial" w:hAnsi="Arial" w:cs="Arial"/>
          <w:sz w:val="24"/>
          <w:szCs w:val="24"/>
        </w:rPr>
        <w:t xml:space="preserve"> The appellant mentioned that he participated in community development programmes. </w:t>
      </w:r>
    </w:p>
    <w:p w14:paraId="65058F7D" w14:textId="77777777" w:rsidR="00494276" w:rsidRDefault="00494276" w:rsidP="00494276">
      <w:pPr>
        <w:pStyle w:val="ListParagraph"/>
        <w:spacing w:line="360" w:lineRule="auto"/>
        <w:ind w:left="0"/>
        <w:jc w:val="both"/>
        <w:rPr>
          <w:rFonts w:ascii="Arial" w:hAnsi="Arial" w:cs="Arial"/>
          <w:sz w:val="24"/>
          <w:szCs w:val="24"/>
        </w:rPr>
      </w:pPr>
    </w:p>
    <w:p w14:paraId="215EA1A8" w14:textId="46186DFA" w:rsidR="00494276" w:rsidRDefault="0070180F" w:rsidP="0031623B">
      <w:pPr>
        <w:pStyle w:val="ListParagraph"/>
        <w:numPr>
          <w:ilvl w:val="0"/>
          <w:numId w:val="5"/>
        </w:numPr>
        <w:spacing w:line="360" w:lineRule="auto"/>
        <w:ind w:left="0" w:firstLine="0"/>
        <w:jc w:val="both"/>
        <w:rPr>
          <w:rFonts w:ascii="Arial" w:hAnsi="Arial" w:cs="Arial"/>
          <w:sz w:val="24"/>
          <w:szCs w:val="24"/>
        </w:rPr>
      </w:pPr>
      <w:r w:rsidRPr="00494276">
        <w:rPr>
          <w:rFonts w:ascii="Arial" w:hAnsi="Arial" w:cs="Arial"/>
          <w:sz w:val="24"/>
          <w:szCs w:val="24"/>
        </w:rPr>
        <w:t>He had a previous conviction in 2002 for the possession of dagga; a conviction in 2012 for robbery</w:t>
      </w:r>
      <w:r w:rsidR="007C0D55">
        <w:rPr>
          <w:rStyle w:val="FootnoteReference"/>
          <w:rFonts w:ascii="Arial" w:hAnsi="Arial" w:cs="Arial"/>
          <w:sz w:val="24"/>
          <w:szCs w:val="24"/>
        </w:rPr>
        <w:footnoteReference w:id="1"/>
      </w:r>
      <w:r w:rsidRPr="00494276">
        <w:rPr>
          <w:rFonts w:ascii="Arial" w:hAnsi="Arial" w:cs="Arial"/>
          <w:sz w:val="24"/>
          <w:szCs w:val="24"/>
        </w:rPr>
        <w:t xml:space="preserve"> in relation to which he had just completed a sentence of nine years; and he had been charged with murder in the </w:t>
      </w:r>
      <w:r w:rsidR="0009502A" w:rsidRPr="00494276">
        <w:rPr>
          <w:rFonts w:ascii="Arial" w:hAnsi="Arial" w:cs="Arial"/>
          <w:sz w:val="24"/>
          <w:szCs w:val="24"/>
        </w:rPr>
        <w:t>R</w:t>
      </w:r>
      <w:r w:rsidR="00333F04" w:rsidRPr="00494276">
        <w:rPr>
          <w:rFonts w:ascii="Arial" w:hAnsi="Arial" w:cs="Arial"/>
          <w:sz w:val="24"/>
          <w:szCs w:val="24"/>
        </w:rPr>
        <w:t>egional</w:t>
      </w:r>
      <w:r w:rsidR="0009502A" w:rsidRPr="00494276">
        <w:rPr>
          <w:rFonts w:ascii="Arial" w:hAnsi="Arial" w:cs="Arial"/>
          <w:sz w:val="24"/>
          <w:szCs w:val="24"/>
        </w:rPr>
        <w:t xml:space="preserve"> Court in Cape Town</w:t>
      </w:r>
      <w:r w:rsidRPr="00494276">
        <w:rPr>
          <w:rFonts w:ascii="Arial" w:hAnsi="Arial" w:cs="Arial"/>
          <w:sz w:val="24"/>
          <w:szCs w:val="24"/>
        </w:rPr>
        <w:t xml:space="preserve">, which case was still pending. The appellant asserted that he had never intimidated witnesses, evaded trial, or interfered with police investigations. He </w:t>
      </w:r>
      <w:r w:rsidR="00AD4FAE" w:rsidRPr="00494276">
        <w:rPr>
          <w:rFonts w:ascii="Arial" w:hAnsi="Arial" w:cs="Arial"/>
          <w:sz w:val="24"/>
          <w:szCs w:val="24"/>
        </w:rPr>
        <w:t xml:space="preserve">had no relations outside the country, </w:t>
      </w:r>
      <w:r w:rsidRPr="00494276">
        <w:rPr>
          <w:rFonts w:ascii="Arial" w:hAnsi="Arial" w:cs="Arial"/>
          <w:sz w:val="24"/>
          <w:szCs w:val="24"/>
        </w:rPr>
        <w:t>possessed no travel documentation</w:t>
      </w:r>
      <w:r w:rsidR="00AD4FAE" w:rsidRPr="00494276">
        <w:rPr>
          <w:rFonts w:ascii="Arial" w:hAnsi="Arial" w:cs="Arial"/>
          <w:sz w:val="24"/>
          <w:szCs w:val="24"/>
        </w:rPr>
        <w:t>,</w:t>
      </w:r>
      <w:r w:rsidRPr="00494276">
        <w:rPr>
          <w:rFonts w:ascii="Arial" w:hAnsi="Arial" w:cs="Arial"/>
          <w:sz w:val="24"/>
          <w:szCs w:val="24"/>
        </w:rPr>
        <w:t xml:space="preserve"> and was not a flight risk.</w:t>
      </w:r>
      <w:r w:rsidR="00AD4FAE" w:rsidRPr="00494276">
        <w:rPr>
          <w:rFonts w:ascii="Arial" w:hAnsi="Arial" w:cs="Arial"/>
          <w:sz w:val="24"/>
          <w:szCs w:val="24"/>
        </w:rPr>
        <w:t xml:space="preserve"> Several undertakings were </w:t>
      </w:r>
      <w:r w:rsidR="00AD4FAE" w:rsidRPr="00494276">
        <w:rPr>
          <w:rFonts w:ascii="Arial" w:hAnsi="Arial" w:cs="Arial"/>
          <w:sz w:val="24"/>
          <w:szCs w:val="24"/>
        </w:rPr>
        <w:lastRenderedPageBreak/>
        <w:t>made in one form or another to cooperate with the authorities.</w:t>
      </w:r>
      <w:r w:rsidR="00595F7B" w:rsidRPr="00494276">
        <w:rPr>
          <w:rFonts w:ascii="Arial" w:hAnsi="Arial" w:cs="Arial"/>
          <w:sz w:val="24"/>
          <w:szCs w:val="24"/>
        </w:rPr>
        <w:t xml:space="preserve"> </w:t>
      </w:r>
      <w:r w:rsidR="00AD4FAE" w:rsidRPr="00494276">
        <w:rPr>
          <w:rFonts w:ascii="Arial" w:hAnsi="Arial" w:cs="Arial"/>
          <w:sz w:val="24"/>
          <w:szCs w:val="24"/>
        </w:rPr>
        <w:t xml:space="preserve">The appellant presented a letter from the </w:t>
      </w:r>
      <w:proofErr w:type="spellStart"/>
      <w:r w:rsidR="00AD4FAE" w:rsidRPr="00494276">
        <w:rPr>
          <w:rFonts w:ascii="Arial" w:hAnsi="Arial" w:cs="Arial"/>
          <w:sz w:val="24"/>
          <w:szCs w:val="24"/>
        </w:rPr>
        <w:t>Grabouw</w:t>
      </w:r>
      <w:proofErr w:type="spellEnd"/>
      <w:r w:rsidR="00AD4FAE" w:rsidRPr="00494276">
        <w:rPr>
          <w:rFonts w:ascii="Arial" w:hAnsi="Arial" w:cs="Arial"/>
          <w:sz w:val="24"/>
          <w:szCs w:val="24"/>
        </w:rPr>
        <w:t xml:space="preserve"> Community Police Forum</w:t>
      </w:r>
      <w:r w:rsidR="00D379C5" w:rsidRPr="00494276">
        <w:rPr>
          <w:rFonts w:ascii="Arial" w:hAnsi="Arial" w:cs="Arial"/>
          <w:sz w:val="24"/>
          <w:szCs w:val="24"/>
        </w:rPr>
        <w:t xml:space="preserve"> (‘CPF’)</w:t>
      </w:r>
      <w:r w:rsidR="00AD4FAE" w:rsidRPr="00494276">
        <w:rPr>
          <w:rFonts w:ascii="Arial" w:hAnsi="Arial" w:cs="Arial"/>
          <w:sz w:val="24"/>
          <w:szCs w:val="24"/>
        </w:rPr>
        <w:t xml:space="preserve">, apparently indicating the community’s support for his application for release on bail. He averred that he intended to plead </w:t>
      </w:r>
      <w:r w:rsidR="00595F7B" w:rsidRPr="00494276">
        <w:rPr>
          <w:rFonts w:ascii="Arial" w:hAnsi="Arial" w:cs="Arial"/>
          <w:sz w:val="24"/>
          <w:szCs w:val="24"/>
        </w:rPr>
        <w:t>not guilty</w:t>
      </w:r>
      <w:r w:rsidR="00AD4FAE" w:rsidRPr="00494276">
        <w:rPr>
          <w:rFonts w:ascii="Arial" w:hAnsi="Arial" w:cs="Arial"/>
          <w:sz w:val="24"/>
          <w:szCs w:val="24"/>
        </w:rPr>
        <w:t xml:space="preserve"> to the charges.</w:t>
      </w:r>
    </w:p>
    <w:p w14:paraId="466C5C15" w14:textId="77777777" w:rsidR="00494276" w:rsidRPr="00494276" w:rsidRDefault="00494276" w:rsidP="00494276">
      <w:pPr>
        <w:pStyle w:val="ListParagraph"/>
        <w:rPr>
          <w:rFonts w:ascii="Arial" w:hAnsi="Arial" w:cs="Arial"/>
          <w:sz w:val="24"/>
          <w:szCs w:val="24"/>
        </w:rPr>
      </w:pPr>
    </w:p>
    <w:p w14:paraId="4615785B" w14:textId="77777777" w:rsidR="00494276" w:rsidRDefault="00595F7B" w:rsidP="0031623B">
      <w:pPr>
        <w:pStyle w:val="ListParagraph"/>
        <w:numPr>
          <w:ilvl w:val="0"/>
          <w:numId w:val="5"/>
        </w:numPr>
        <w:spacing w:line="360" w:lineRule="auto"/>
        <w:ind w:left="0" w:firstLine="0"/>
        <w:jc w:val="both"/>
        <w:rPr>
          <w:rFonts w:ascii="Arial" w:hAnsi="Arial" w:cs="Arial"/>
          <w:sz w:val="24"/>
          <w:szCs w:val="24"/>
        </w:rPr>
      </w:pPr>
      <w:r w:rsidRPr="00494276">
        <w:rPr>
          <w:rFonts w:ascii="Arial" w:hAnsi="Arial" w:cs="Arial"/>
          <w:sz w:val="24"/>
          <w:szCs w:val="24"/>
        </w:rPr>
        <w:t>Dealing with the existence of exceptional circumstances, the appellant</w:t>
      </w:r>
      <w:r w:rsidR="00812C81" w:rsidRPr="00494276">
        <w:rPr>
          <w:rFonts w:ascii="Arial" w:hAnsi="Arial" w:cs="Arial"/>
          <w:sz w:val="24"/>
          <w:szCs w:val="24"/>
        </w:rPr>
        <w:t xml:space="preserve"> argued that the state’s case </w:t>
      </w:r>
      <w:r w:rsidR="00267E03" w:rsidRPr="00494276">
        <w:rPr>
          <w:rFonts w:ascii="Arial" w:hAnsi="Arial" w:cs="Arial"/>
          <w:sz w:val="24"/>
          <w:szCs w:val="24"/>
        </w:rPr>
        <w:t xml:space="preserve">against him was ‘very weak’ </w:t>
      </w:r>
      <w:r w:rsidR="00BA4577" w:rsidRPr="00494276">
        <w:rPr>
          <w:rFonts w:ascii="Arial" w:hAnsi="Arial" w:cs="Arial"/>
          <w:sz w:val="24"/>
          <w:szCs w:val="24"/>
        </w:rPr>
        <w:t>since</w:t>
      </w:r>
      <w:r w:rsidR="00267E03" w:rsidRPr="00494276">
        <w:rPr>
          <w:rFonts w:ascii="Arial" w:hAnsi="Arial" w:cs="Arial"/>
          <w:sz w:val="24"/>
          <w:szCs w:val="24"/>
        </w:rPr>
        <w:t xml:space="preserve"> it depended </w:t>
      </w:r>
      <w:r w:rsidR="000B1330" w:rsidRPr="00494276">
        <w:rPr>
          <w:rFonts w:ascii="Arial" w:hAnsi="Arial" w:cs="Arial"/>
          <w:sz w:val="24"/>
          <w:szCs w:val="24"/>
        </w:rPr>
        <w:t xml:space="preserve">chiefly </w:t>
      </w:r>
      <w:r w:rsidR="00267E03" w:rsidRPr="00494276">
        <w:rPr>
          <w:rFonts w:ascii="Arial" w:hAnsi="Arial" w:cs="Arial"/>
          <w:sz w:val="24"/>
          <w:szCs w:val="24"/>
        </w:rPr>
        <w:t xml:space="preserve">on </w:t>
      </w:r>
      <w:r w:rsidR="008747A9" w:rsidRPr="00494276">
        <w:rPr>
          <w:rFonts w:ascii="Arial" w:hAnsi="Arial" w:cs="Arial"/>
          <w:sz w:val="24"/>
          <w:szCs w:val="24"/>
        </w:rPr>
        <w:t>the evidence emanating from an identification parade</w:t>
      </w:r>
      <w:r w:rsidR="00BA4577" w:rsidRPr="00494276">
        <w:rPr>
          <w:rFonts w:ascii="Arial" w:hAnsi="Arial" w:cs="Arial"/>
          <w:sz w:val="24"/>
          <w:szCs w:val="24"/>
        </w:rPr>
        <w:t xml:space="preserve">. </w:t>
      </w:r>
      <w:r w:rsidR="00DF0083" w:rsidRPr="00494276">
        <w:rPr>
          <w:rFonts w:ascii="Arial" w:hAnsi="Arial" w:cs="Arial"/>
          <w:sz w:val="24"/>
          <w:szCs w:val="24"/>
        </w:rPr>
        <w:t>He also</w:t>
      </w:r>
      <w:r w:rsidR="001C4C1E" w:rsidRPr="00494276">
        <w:rPr>
          <w:rFonts w:ascii="Arial" w:hAnsi="Arial" w:cs="Arial"/>
          <w:sz w:val="24"/>
          <w:szCs w:val="24"/>
        </w:rPr>
        <w:t xml:space="preserve"> pointed out that he had depleted his funds and needed to be released </w:t>
      </w:r>
      <w:r w:rsidR="00877D10" w:rsidRPr="00494276">
        <w:rPr>
          <w:rFonts w:ascii="Arial" w:hAnsi="Arial" w:cs="Arial"/>
          <w:sz w:val="24"/>
          <w:szCs w:val="24"/>
        </w:rPr>
        <w:t>so that he could generate an income to pay for a legal representative of his choice</w:t>
      </w:r>
      <w:r w:rsidR="0051259A" w:rsidRPr="00494276">
        <w:rPr>
          <w:rFonts w:ascii="Arial" w:hAnsi="Arial" w:cs="Arial"/>
          <w:sz w:val="24"/>
          <w:szCs w:val="24"/>
        </w:rPr>
        <w:t xml:space="preserve">. The </w:t>
      </w:r>
      <w:r w:rsidR="00C50D95" w:rsidRPr="00494276">
        <w:rPr>
          <w:rFonts w:ascii="Arial" w:hAnsi="Arial" w:cs="Arial"/>
          <w:sz w:val="24"/>
          <w:szCs w:val="24"/>
        </w:rPr>
        <w:t xml:space="preserve">transfer of the matter to the High Court meant that there would be </w:t>
      </w:r>
      <w:r w:rsidR="005F19CD" w:rsidRPr="00494276">
        <w:rPr>
          <w:rFonts w:ascii="Arial" w:hAnsi="Arial" w:cs="Arial"/>
          <w:sz w:val="24"/>
          <w:szCs w:val="24"/>
        </w:rPr>
        <w:t>an inordinate delay before finalization.</w:t>
      </w:r>
      <w:r w:rsidR="00E501F7" w:rsidRPr="00494276">
        <w:rPr>
          <w:rFonts w:ascii="Arial" w:hAnsi="Arial" w:cs="Arial"/>
          <w:sz w:val="24"/>
          <w:szCs w:val="24"/>
        </w:rPr>
        <w:t xml:space="preserve"> The appellant </w:t>
      </w:r>
      <w:r w:rsidR="005E33D7" w:rsidRPr="00494276">
        <w:rPr>
          <w:rFonts w:ascii="Arial" w:hAnsi="Arial" w:cs="Arial"/>
          <w:sz w:val="24"/>
          <w:szCs w:val="24"/>
        </w:rPr>
        <w:t>sai</w:t>
      </w:r>
      <w:r w:rsidR="00E501F7" w:rsidRPr="00494276">
        <w:rPr>
          <w:rFonts w:ascii="Arial" w:hAnsi="Arial" w:cs="Arial"/>
          <w:sz w:val="24"/>
          <w:szCs w:val="24"/>
        </w:rPr>
        <w:t xml:space="preserve">d that his health was deteriorating </w:t>
      </w:r>
      <w:r w:rsidR="005863A6" w:rsidRPr="00494276">
        <w:rPr>
          <w:rFonts w:ascii="Arial" w:hAnsi="Arial" w:cs="Arial"/>
          <w:sz w:val="24"/>
          <w:szCs w:val="24"/>
        </w:rPr>
        <w:t>because of</w:t>
      </w:r>
      <w:r w:rsidR="00316384" w:rsidRPr="00494276">
        <w:rPr>
          <w:rFonts w:ascii="Arial" w:hAnsi="Arial" w:cs="Arial"/>
          <w:sz w:val="24"/>
          <w:szCs w:val="24"/>
        </w:rPr>
        <w:t xml:space="preserve"> the alleged assault and torture that he </w:t>
      </w:r>
      <w:r w:rsidR="005863A6" w:rsidRPr="00494276">
        <w:rPr>
          <w:rFonts w:ascii="Arial" w:hAnsi="Arial" w:cs="Arial"/>
          <w:sz w:val="24"/>
          <w:szCs w:val="24"/>
        </w:rPr>
        <w:t xml:space="preserve">had </w:t>
      </w:r>
      <w:r w:rsidR="00316384" w:rsidRPr="00494276">
        <w:rPr>
          <w:rFonts w:ascii="Arial" w:hAnsi="Arial" w:cs="Arial"/>
          <w:sz w:val="24"/>
          <w:szCs w:val="24"/>
        </w:rPr>
        <w:t>suffered at the hands of the police</w:t>
      </w:r>
      <w:r w:rsidR="002A5574" w:rsidRPr="00494276">
        <w:rPr>
          <w:rFonts w:ascii="Arial" w:hAnsi="Arial" w:cs="Arial"/>
          <w:sz w:val="24"/>
          <w:szCs w:val="24"/>
        </w:rPr>
        <w:t xml:space="preserve"> and </w:t>
      </w:r>
      <w:r w:rsidR="008E4A7C" w:rsidRPr="00494276">
        <w:rPr>
          <w:rFonts w:ascii="Arial" w:hAnsi="Arial" w:cs="Arial"/>
          <w:sz w:val="24"/>
          <w:szCs w:val="24"/>
        </w:rPr>
        <w:t xml:space="preserve">the medical attention that he had received </w:t>
      </w:r>
      <w:r w:rsidR="002A5574" w:rsidRPr="00494276">
        <w:rPr>
          <w:rFonts w:ascii="Arial" w:hAnsi="Arial" w:cs="Arial"/>
          <w:sz w:val="24"/>
          <w:szCs w:val="24"/>
        </w:rPr>
        <w:t xml:space="preserve">had been </w:t>
      </w:r>
      <w:r w:rsidR="00797B99" w:rsidRPr="00494276">
        <w:rPr>
          <w:rFonts w:ascii="Arial" w:hAnsi="Arial" w:cs="Arial"/>
          <w:sz w:val="24"/>
          <w:szCs w:val="24"/>
        </w:rPr>
        <w:t>wholly in</w:t>
      </w:r>
      <w:r w:rsidR="007C0D55" w:rsidRPr="00494276">
        <w:rPr>
          <w:rFonts w:ascii="Arial" w:hAnsi="Arial" w:cs="Arial"/>
          <w:sz w:val="24"/>
          <w:szCs w:val="24"/>
        </w:rPr>
        <w:t>adequate</w:t>
      </w:r>
      <w:r w:rsidR="005863A6" w:rsidRPr="00494276">
        <w:rPr>
          <w:rFonts w:ascii="Arial" w:hAnsi="Arial" w:cs="Arial"/>
          <w:sz w:val="24"/>
          <w:szCs w:val="24"/>
        </w:rPr>
        <w:t>.</w:t>
      </w:r>
      <w:r w:rsidR="00797B99" w:rsidRPr="00494276">
        <w:rPr>
          <w:rFonts w:ascii="Arial" w:hAnsi="Arial" w:cs="Arial"/>
          <w:sz w:val="24"/>
          <w:szCs w:val="24"/>
        </w:rPr>
        <w:t xml:space="preserve"> </w:t>
      </w:r>
      <w:r w:rsidR="00935AFB" w:rsidRPr="00494276">
        <w:rPr>
          <w:rFonts w:ascii="Arial" w:hAnsi="Arial" w:cs="Arial"/>
          <w:sz w:val="24"/>
          <w:szCs w:val="24"/>
        </w:rPr>
        <w:t xml:space="preserve">Moreover, his </w:t>
      </w:r>
      <w:r w:rsidR="005F72B4" w:rsidRPr="00494276">
        <w:rPr>
          <w:rFonts w:ascii="Arial" w:hAnsi="Arial" w:cs="Arial"/>
          <w:sz w:val="24"/>
          <w:szCs w:val="24"/>
        </w:rPr>
        <w:t>child, as an epileptic, needed his love and support</w:t>
      </w:r>
      <w:r w:rsidR="00A62F59" w:rsidRPr="00494276">
        <w:rPr>
          <w:rFonts w:ascii="Arial" w:hAnsi="Arial" w:cs="Arial"/>
          <w:sz w:val="24"/>
          <w:szCs w:val="24"/>
        </w:rPr>
        <w:t>. The</w:t>
      </w:r>
      <w:r w:rsidR="00616CEF" w:rsidRPr="00494276">
        <w:rPr>
          <w:rFonts w:ascii="Arial" w:hAnsi="Arial" w:cs="Arial"/>
          <w:sz w:val="24"/>
          <w:szCs w:val="24"/>
        </w:rPr>
        <w:t xml:space="preserve"> child’s mother was </w:t>
      </w:r>
      <w:r w:rsidR="00DE6C02" w:rsidRPr="00494276">
        <w:rPr>
          <w:rFonts w:ascii="Arial" w:hAnsi="Arial" w:cs="Arial"/>
          <w:sz w:val="24"/>
          <w:szCs w:val="24"/>
        </w:rPr>
        <w:t>unemployed</w:t>
      </w:r>
      <w:r w:rsidR="0084178B" w:rsidRPr="00494276">
        <w:rPr>
          <w:rFonts w:ascii="Arial" w:hAnsi="Arial" w:cs="Arial"/>
          <w:sz w:val="24"/>
          <w:szCs w:val="24"/>
        </w:rPr>
        <w:t xml:space="preserve"> and was unable to transport the child </w:t>
      </w:r>
      <w:r w:rsidR="009C7955" w:rsidRPr="00494276">
        <w:rPr>
          <w:rFonts w:ascii="Arial" w:hAnsi="Arial" w:cs="Arial"/>
          <w:sz w:val="24"/>
          <w:szCs w:val="24"/>
        </w:rPr>
        <w:t>to hospital for proper care;</w:t>
      </w:r>
      <w:r w:rsidR="00616CEF" w:rsidRPr="00494276">
        <w:rPr>
          <w:rFonts w:ascii="Arial" w:hAnsi="Arial" w:cs="Arial"/>
          <w:sz w:val="24"/>
          <w:szCs w:val="24"/>
        </w:rPr>
        <w:t xml:space="preserve"> the </w:t>
      </w:r>
      <w:r w:rsidR="00A62F59" w:rsidRPr="00494276">
        <w:rPr>
          <w:rFonts w:ascii="Arial" w:hAnsi="Arial" w:cs="Arial"/>
          <w:sz w:val="24"/>
          <w:szCs w:val="24"/>
        </w:rPr>
        <w:t xml:space="preserve">appellant </w:t>
      </w:r>
      <w:r w:rsidR="003B78F7" w:rsidRPr="00494276">
        <w:rPr>
          <w:rFonts w:ascii="Arial" w:hAnsi="Arial" w:cs="Arial"/>
          <w:sz w:val="24"/>
          <w:szCs w:val="24"/>
        </w:rPr>
        <w:t xml:space="preserve">asserted that he </w:t>
      </w:r>
      <w:r w:rsidR="00A62F59" w:rsidRPr="00494276">
        <w:rPr>
          <w:rFonts w:ascii="Arial" w:hAnsi="Arial" w:cs="Arial"/>
          <w:sz w:val="24"/>
          <w:szCs w:val="24"/>
        </w:rPr>
        <w:t>had been the child’s primary caregiver</w:t>
      </w:r>
      <w:r w:rsidR="00A03B3D" w:rsidRPr="00494276">
        <w:rPr>
          <w:rFonts w:ascii="Arial" w:hAnsi="Arial" w:cs="Arial"/>
          <w:sz w:val="24"/>
          <w:szCs w:val="24"/>
        </w:rPr>
        <w:t xml:space="preserve">. </w:t>
      </w:r>
      <w:r w:rsidR="00DE6C02" w:rsidRPr="00494276">
        <w:rPr>
          <w:rFonts w:ascii="Arial" w:hAnsi="Arial" w:cs="Arial"/>
          <w:sz w:val="24"/>
          <w:szCs w:val="24"/>
        </w:rPr>
        <w:t xml:space="preserve">In support of his application, the appellant attached </w:t>
      </w:r>
      <w:r w:rsidR="00E7496D" w:rsidRPr="00494276">
        <w:rPr>
          <w:rFonts w:ascii="Arial" w:hAnsi="Arial" w:cs="Arial"/>
          <w:sz w:val="24"/>
          <w:szCs w:val="24"/>
        </w:rPr>
        <w:t xml:space="preserve">various documents, including letters from both the security </w:t>
      </w:r>
      <w:r w:rsidR="00E57611" w:rsidRPr="00494276">
        <w:rPr>
          <w:rFonts w:ascii="Arial" w:hAnsi="Arial" w:cs="Arial"/>
          <w:sz w:val="24"/>
          <w:szCs w:val="24"/>
        </w:rPr>
        <w:t>firm and his family business</w:t>
      </w:r>
      <w:r w:rsidR="00C57B61" w:rsidRPr="00494276">
        <w:rPr>
          <w:rFonts w:ascii="Arial" w:hAnsi="Arial" w:cs="Arial"/>
          <w:sz w:val="24"/>
          <w:szCs w:val="24"/>
        </w:rPr>
        <w:t xml:space="preserve"> which </w:t>
      </w:r>
      <w:r w:rsidR="009A7C60" w:rsidRPr="00494276">
        <w:rPr>
          <w:rFonts w:ascii="Arial" w:hAnsi="Arial" w:cs="Arial"/>
          <w:sz w:val="24"/>
          <w:szCs w:val="24"/>
        </w:rPr>
        <w:t xml:space="preserve">indicated that they had suffered considerable losses </w:t>
      </w:r>
      <w:r w:rsidR="00542CD2" w:rsidRPr="00494276">
        <w:rPr>
          <w:rFonts w:ascii="Arial" w:hAnsi="Arial" w:cs="Arial"/>
          <w:sz w:val="24"/>
          <w:szCs w:val="24"/>
        </w:rPr>
        <w:t xml:space="preserve">without </w:t>
      </w:r>
      <w:r w:rsidR="0047409E" w:rsidRPr="00494276">
        <w:rPr>
          <w:rFonts w:ascii="Arial" w:hAnsi="Arial" w:cs="Arial"/>
          <w:sz w:val="24"/>
          <w:szCs w:val="24"/>
        </w:rPr>
        <w:t xml:space="preserve">his experience and expertise. </w:t>
      </w:r>
      <w:r w:rsidR="00D379C5" w:rsidRPr="00494276">
        <w:rPr>
          <w:rFonts w:ascii="Arial" w:hAnsi="Arial" w:cs="Arial"/>
          <w:sz w:val="24"/>
          <w:szCs w:val="24"/>
        </w:rPr>
        <w:t xml:space="preserve">A letter from the </w:t>
      </w:r>
      <w:proofErr w:type="spellStart"/>
      <w:r w:rsidR="00D379C5" w:rsidRPr="00494276">
        <w:rPr>
          <w:rFonts w:ascii="Arial" w:hAnsi="Arial" w:cs="Arial"/>
          <w:sz w:val="24"/>
          <w:szCs w:val="24"/>
        </w:rPr>
        <w:t>Grabouw</w:t>
      </w:r>
      <w:proofErr w:type="spellEnd"/>
      <w:r w:rsidR="00D379C5" w:rsidRPr="00494276">
        <w:rPr>
          <w:rFonts w:ascii="Arial" w:hAnsi="Arial" w:cs="Arial"/>
          <w:sz w:val="24"/>
          <w:szCs w:val="24"/>
        </w:rPr>
        <w:t xml:space="preserve"> CPF</w:t>
      </w:r>
      <w:r w:rsidR="00AB5E5A" w:rsidRPr="00494276">
        <w:rPr>
          <w:rFonts w:ascii="Arial" w:hAnsi="Arial" w:cs="Arial"/>
          <w:sz w:val="24"/>
          <w:szCs w:val="24"/>
        </w:rPr>
        <w:t xml:space="preserve">, signed by </w:t>
      </w:r>
      <w:r w:rsidR="00D70ED3" w:rsidRPr="00494276">
        <w:rPr>
          <w:rFonts w:ascii="Arial" w:hAnsi="Arial" w:cs="Arial"/>
          <w:sz w:val="24"/>
          <w:szCs w:val="24"/>
        </w:rPr>
        <w:t xml:space="preserve">a member thereof, referred to a </w:t>
      </w:r>
      <w:r w:rsidR="00FA2A1C" w:rsidRPr="00494276">
        <w:rPr>
          <w:rFonts w:ascii="Arial" w:hAnsi="Arial" w:cs="Arial"/>
          <w:sz w:val="24"/>
          <w:szCs w:val="24"/>
        </w:rPr>
        <w:t xml:space="preserve">meeting </w:t>
      </w:r>
      <w:r w:rsidR="00D70ED3" w:rsidRPr="00494276">
        <w:rPr>
          <w:rFonts w:ascii="Arial" w:hAnsi="Arial" w:cs="Arial"/>
          <w:sz w:val="24"/>
          <w:szCs w:val="24"/>
        </w:rPr>
        <w:t xml:space="preserve">whereat </w:t>
      </w:r>
      <w:r w:rsidR="00FA2A1C" w:rsidRPr="00494276">
        <w:rPr>
          <w:rFonts w:ascii="Arial" w:hAnsi="Arial" w:cs="Arial"/>
          <w:sz w:val="24"/>
          <w:szCs w:val="24"/>
        </w:rPr>
        <w:t xml:space="preserve">the community had </w:t>
      </w:r>
      <w:r w:rsidR="00ED7520" w:rsidRPr="00494276">
        <w:rPr>
          <w:rFonts w:ascii="Arial" w:hAnsi="Arial" w:cs="Arial"/>
          <w:sz w:val="24"/>
          <w:szCs w:val="24"/>
        </w:rPr>
        <w:t>supported the appellant’s release on bail.</w:t>
      </w:r>
    </w:p>
    <w:p w14:paraId="40B71606" w14:textId="77777777" w:rsidR="00494276" w:rsidRDefault="00494276" w:rsidP="00494276">
      <w:pPr>
        <w:pStyle w:val="ListParagraph"/>
        <w:spacing w:line="360" w:lineRule="auto"/>
        <w:ind w:left="0"/>
        <w:jc w:val="both"/>
        <w:rPr>
          <w:rFonts w:ascii="Arial" w:hAnsi="Arial" w:cs="Arial"/>
          <w:sz w:val="24"/>
          <w:szCs w:val="24"/>
        </w:rPr>
      </w:pPr>
    </w:p>
    <w:p w14:paraId="4AD4AB49" w14:textId="77777777" w:rsidR="00494276" w:rsidRDefault="006839C9" w:rsidP="0031623B">
      <w:pPr>
        <w:pStyle w:val="ListParagraph"/>
        <w:numPr>
          <w:ilvl w:val="0"/>
          <w:numId w:val="5"/>
        </w:numPr>
        <w:spacing w:line="360" w:lineRule="auto"/>
        <w:ind w:left="0" w:firstLine="0"/>
        <w:jc w:val="both"/>
        <w:rPr>
          <w:rFonts w:ascii="Arial" w:hAnsi="Arial" w:cs="Arial"/>
          <w:sz w:val="24"/>
          <w:szCs w:val="24"/>
        </w:rPr>
      </w:pPr>
      <w:r w:rsidRPr="00494276">
        <w:rPr>
          <w:rFonts w:ascii="Arial" w:hAnsi="Arial" w:cs="Arial"/>
          <w:sz w:val="24"/>
          <w:szCs w:val="24"/>
        </w:rPr>
        <w:t>For its part, t</w:t>
      </w:r>
      <w:r w:rsidR="00F02693" w:rsidRPr="00494276">
        <w:rPr>
          <w:rFonts w:ascii="Arial" w:hAnsi="Arial" w:cs="Arial"/>
          <w:sz w:val="24"/>
          <w:szCs w:val="24"/>
        </w:rPr>
        <w:t>he state called the investigating</w:t>
      </w:r>
      <w:r w:rsidRPr="00494276">
        <w:rPr>
          <w:rFonts w:ascii="Arial" w:hAnsi="Arial" w:cs="Arial"/>
          <w:sz w:val="24"/>
          <w:szCs w:val="24"/>
        </w:rPr>
        <w:t xml:space="preserve"> officer, </w:t>
      </w:r>
      <w:proofErr w:type="spellStart"/>
      <w:r w:rsidRPr="00494276">
        <w:rPr>
          <w:rFonts w:ascii="Arial" w:hAnsi="Arial" w:cs="Arial"/>
          <w:sz w:val="24"/>
          <w:szCs w:val="24"/>
        </w:rPr>
        <w:t>Capt</w:t>
      </w:r>
      <w:proofErr w:type="spellEnd"/>
      <w:r w:rsidRPr="00494276">
        <w:rPr>
          <w:rFonts w:ascii="Arial" w:hAnsi="Arial" w:cs="Arial"/>
          <w:sz w:val="24"/>
          <w:szCs w:val="24"/>
        </w:rPr>
        <w:t xml:space="preserve"> </w:t>
      </w:r>
      <w:proofErr w:type="spellStart"/>
      <w:r w:rsidRPr="00494276">
        <w:rPr>
          <w:rFonts w:ascii="Arial" w:hAnsi="Arial" w:cs="Arial"/>
          <w:sz w:val="24"/>
          <w:szCs w:val="24"/>
        </w:rPr>
        <w:t>Xolile</w:t>
      </w:r>
      <w:proofErr w:type="spellEnd"/>
      <w:r w:rsidRPr="00494276">
        <w:rPr>
          <w:rFonts w:ascii="Arial" w:hAnsi="Arial" w:cs="Arial"/>
          <w:sz w:val="24"/>
          <w:szCs w:val="24"/>
        </w:rPr>
        <w:t xml:space="preserve"> </w:t>
      </w:r>
      <w:proofErr w:type="spellStart"/>
      <w:r w:rsidRPr="00494276">
        <w:rPr>
          <w:rFonts w:ascii="Arial" w:hAnsi="Arial" w:cs="Arial"/>
          <w:sz w:val="24"/>
          <w:szCs w:val="24"/>
        </w:rPr>
        <w:t>Mdepha</w:t>
      </w:r>
      <w:proofErr w:type="spellEnd"/>
      <w:r w:rsidR="00FF076F" w:rsidRPr="00494276">
        <w:rPr>
          <w:rFonts w:ascii="Arial" w:hAnsi="Arial" w:cs="Arial"/>
          <w:sz w:val="24"/>
          <w:szCs w:val="24"/>
        </w:rPr>
        <w:t xml:space="preserve">, who </w:t>
      </w:r>
      <w:r w:rsidR="00DE5D8B" w:rsidRPr="00494276">
        <w:rPr>
          <w:rFonts w:ascii="Arial" w:hAnsi="Arial" w:cs="Arial"/>
          <w:sz w:val="24"/>
          <w:szCs w:val="24"/>
        </w:rPr>
        <w:t>explain</w:t>
      </w:r>
      <w:r w:rsidR="00FF076F" w:rsidRPr="00494276">
        <w:rPr>
          <w:rFonts w:ascii="Arial" w:hAnsi="Arial" w:cs="Arial"/>
          <w:sz w:val="24"/>
          <w:szCs w:val="24"/>
        </w:rPr>
        <w:t xml:space="preserve">ed why </w:t>
      </w:r>
      <w:r w:rsidR="00F22E52" w:rsidRPr="00494276">
        <w:rPr>
          <w:rFonts w:ascii="Arial" w:hAnsi="Arial" w:cs="Arial"/>
          <w:sz w:val="24"/>
          <w:szCs w:val="24"/>
        </w:rPr>
        <w:t xml:space="preserve">the application for bail was opposed. </w:t>
      </w:r>
      <w:r w:rsidR="00D64A4B" w:rsidRPr="00494276">
        <w:rPr>
          <w:rFonts w:ascii="Arial" w:hAnsi="Arial" w:cs="Arial"/>
          <w:sz w:val="24"/>
          <w:szCs w:val="24"/>
        </w:rPr>
        <w:t>He said that the appellant had used different names in the past</w:t>
      </w:r>
      <w:r w:rsidR="00D81DE6" w:rsidRPr="00494276">
        <w:rPr>
          <w:rFonts w:ascii="Arial" w:hAnsi="Arial" w:cs="Arial"/>
          <w:sz w:val="24"/>
          <w:szCs w:val="24"/>
        </w:rPr>
        <w:t xml:space="preserve">. </w:t>
      </w:r>
      <w:r w:rsidR="00D92992" w:rsidRPr="00494276">
        <w:rPr>
          <w:rFonts w:ascii="Arial" w:hAnsi="Arial" w:cs="Arial"/>
          <w:sz w:val="24"/>
          <w:szCs w:val="24"/>
        </w:rPr>
        <w:t>In the</w:t>
      </w:r>
      <w:r w:rsidR="002B577F" w:rsidRPr="00494276">
        <w:rPr>
          <w:rFonts w:ascii="Arial" w:hAnsi="Arial" w:cs="Arial"/>
          <w:sz w:val="24"/>
          <w:szCs w:val="24"/>
        </w:rPr>
        <w:t xml:space="preserve"> case </w:t>
      </w:r>
      <w:r w:rsidR="00D92992" w:rsidRPr="00494276">
        <w:rPr>
          <w:rFonts w:ascii="Arial" w:hAnsi="Arial" w:cs="Arial"/>
          <w:sz w:val="24"/>
          <w:szCs w:val="24"/>
        </w:rPr>
        <w:t>before court, t</w:t>
      </w:r>
      <w:r w:rsidR="00D81DE6" w:rsidRPr="00494276">
        <w:rPr>
          <w:rFonts w:ascii="Arial" w:hAnsi="Arial" w:cs="Arial"/>
          <w:sz w:val="24"/>
          <w:szCs w:val="24"/>
        </w:rPr>
        <w:t>he state</w:t>
      </w:r>
      <w:r w:rsidR="00D92992" w:rsidRPr="00494276">
        <w:rPr>
          <w:rFonts w:ascii="Arial" w:hAnsi="Arial" w:cs="Arial"/>
          <w:sz w:val="24"/>
          <w:szCs w:val="24"/>
        </w:rPr>
        <w:t xml:space="preserve"> would rely on the </w:t>
      </w:r>
      <w:r w:rsidR="00DE5D8B" w:rsidRPr="00494276">
        <w:rPr>
          <w:rFonts w:ascii="Arial" w:hAnsi="Arial" w:cs="Arial"/>
          <w:sz w:val="24"/>
          <w:szCs w:val="24"/>
        </w:rPr>
        <w:t>testimony of the wife of the deceased, who</w:t>
      </w:r>
      <w:r w:rsidR="000B2D85" w:rsidRPr="00494276">
        <w:rPr>
          <w:rFonts w:ascii="Arial" w:hAnsi="Arial" w:cs="Arial"/>
          <w:sz w:val="24"/>
          <w:szCs w:val="24"/>
        </w:rPr>
        <w:t xml:space="preserve"> had identified the appellant and whose </w:t>
      </w:r>
      <w:r w:rsidR="00E23E93" w:rsidRPr="00494276">
        <w:rPr>
          <w:rFonts w:ascii="Arial" w:hAnsi="Arial" w:cs="Arial"/>
          <w:sz w:val="24"/>
          <w:szCs w:val="24"/>
        </w:rPr>
        <w:t xml:space="preserve">statement </w:t>
      </w:r>
      <w:r w:rsidR="00122824" w:rsidRPr="00494276">
        <w:rPr>
          <w:rFonts w:ascii="Arial" w:hAnsi="Arial" w:cs="Arial"/>
          <w:sz w:val="24"/>
          <w:szCs w:val="24"/>
        </w:rPr>
        <w:t xml:space="preserve">was corroborated </w:t>
      </w:r>
      <w:r w:rsidR="00E23E93" w:rsidRPr="00494276">
        <w:rPr>
          <w:rFonts w:ascii="Arial" w:hAnsi="Arial" w:cs="Arial"/>
          <w:sz w:val="24"/>
          <w:szCs w:val="24"/>
        </w:rPr>
        <w:t>by another witness.</w:t>
      </w:r>
      <w:r w:rsidR="00B92A4D" w:rsidRPr="00494276">
        <w:rPr>
          <w:rFonts w:ascii="Arial" w:hAnsi="Arial" w:cs="Arial"/>
          <w:sz w:val="24"/>
          <w:szCs w:val="24"/>
        </w:rPr>
        <w:t xml:space="preserve"> </w:t>
      </w:r>
      <w:proofErr w:type="spellStart"/>
      <w:r w:rsidR="002A0702" w:rsidRPr="00494276">
        <w:rPr>
          <w:rFonts w:ascii="Arial" w:hAnsi="Arial" w:cs="Arial"/>
          <w:sz w:val="24"/>
          <w:szCs w:val="24"/>
        </w:rPr>
        <w:t>Capt</w:t>
      </w:r>
      <w:proofErr w:type="spellEnd"/>
      <w:r w:rsidR="002A0702" w:rsidRPr="00494276">
        <w:rPr>
          <w:rFonts w:ascii="Arial" w:hAnsi="Arial" w:cs="Arial"/>
          <w:sz w:val="24"/>
          <w:szCs w:val="24"/>
        </w:rPr>
        <w:t xml:space="preserve"> </w:t>
      </w:r>
      <w:proofErr w:type="spellStart"/>
      <w:r w:rsidR="002A0702" w:rsidRPr="00494276">
        <w:rPr>
          <w:rFonts w:ascii="Arial" w:hAnsi="Arial" w:cs="Arial"/>
          <w:sz w:val="24"/>
          <w:szCs w:val="24"/>
        </w:rPr>
        <w:t>Mdepha</w:t>
      </w:r>
      <w:proofErr w:type="spellEnd"/>
      <w:r w:rsidR="002A0702" w:rsidRPr="00494276">
        <w:rPr>
          <w:rFonts w:ascii="Arial" w:hAnsi="Arial" w:cs="Arial"/>
          <w:sz w:val="24"/>
          <w:szCs w:val="24"/>
        </w:rPr>
        <w:t xml:space="preserve"> also </w:t>
      </w:r>
      <w:r w:rsidR="00F40440" w:rsidRPr="00494276">
        <w:rPr>
          <w:rFonts w:ascii="Arial" w:hAnsi="Arial" w:cs="Arial"/>
          <w:sz w:val="24"/>
          <w:szCs w:val="24"/>
        </w:rPr>
        <w:t>said that the appellant had been arrested in connection with the</w:t>
      </w:r>
      <w:r w:rsidR="006D0444" w:rsidRPr="00494276">
        <w:rPr>
          <w:rFonts w:ascii="Arial" w:hAnsi="Arial" w:cs="Arial"/>
          <w:sz w:val="24"/>
          <w:szCs w:val="24"/>
        </w:rPr>
        <w:t xml:space="preserve"> </w:t>
      </w:r>
      <w:r w:rsidR="00F40440" w:rsidRPr="00494276">
        <w:rPr>
          <w:rFonts w:ascii="Arial" w:hAnsi="Arial" w:cs="Arial"/>
          <w:sz w:val="24"/>
          <w:szCs w:val="24"/>
        </w:rPr>
        <w:t>murder</w:t>
      </w:r>
      <w:r w:rsidR="001428B6" w:rsidRPr="00494276">
        <w:rPr>
          <w:rFonts w:ascii="Arial" w:hAnsi="Arial" w:cs="Arial"/>
          <w:sz w:val="24"/>
          <w:szCs w:val="24"/>
        </w:rPr>
        <w:t xml:space="preserve"> </w:t>
      </w:r>
      <w:r w:rsidR="00F40440" w:rsidRPr="00494276">
        <w:rPr>
          <w:rFonts w:ascii="Arial" w:hAnsi="Arial" w:cs="Arial"/>
          <w:sz w:val="24"/>
          <w:szCs w:val="24"/>
        </w:rPr>
        <w:t xml:space="preserve">of a school principal </w:t>
      </w:r>
      <w:r w:rsidR="006D6CF0" w:rsidRPr="00494276">
        <w:rPr>
          <w:rFonts w:ascii="Arial" w:hAnsi="Arial" w:cs="Arial"/>
          <w:sz w:val="24"/>
          <w:szCs w:val="24"/>
        </w:rPr>
        <w:t>from</w:t>
      </w:r>
      <w:r w:rsidR="00F40440" w:rsidRPr="00494276">
        <w:rPr>
          <w:rFonts w:ascii="Arial" w:hAnsi="Arial" w:cs="Arial"/>
          <w:sz w:val="24"/>
          <w:szCs w:val="24"/>
        </w:rPr>
        <w:t xml:space="preserve"> </w:t>
      </w:r>
      <w:proofErr w:type="spellStart"/>
      <w:r w:rsidR="00F40440" w:rsidRPr="00494276">
        <w:rPr>
          <w:rFonts w:ascii="Arial" w:hAnsi="Arial" w:cs="Arial"/>
          <w:sz w:val="24"/>
          <w:szCs w:val="24"/>
        </w:rPr>
        <w:t>Grabouw</w:t>
      </w:r>
      <w:proofErr w:type="spellEnd"/>
      <w:r w:rsidR="00235482" w:rsidRPr="00494276">
        <w:rPr>
          <w:rFonts w:ascii="Arial" w:hAnsi="Arial" w:cs="Arial"/>
          <w:sz w:val="24"/>
          <w:szCs w:val="24"/>
        </w:rPr>
        <w:t xml:space="preserve">, after </w:t>
      </w:r>
      <w:r w:rsidR="001428B6" w:rsidRPr="00494276">
        <w:rPr>
          <w:rFonts w:ascii="Arial" w:hAnsi="Arial" w:cs="Arial"/>
          <w:sz w:val="24"/>
          <w:szCs w:val="24"/>
        </w:rPr>
        <w:t>t</w:t>
      </w:r>
      <w:r w:rsidR="00235482" w:rsidRPr="00494276">
        <w:rPr>
          <w:rFonts w:ascii="Arial" w:hAnsi="Arial" w:cs="Arial"/>
          <w:sz w:val="24"/>
          <w:szCs w:val="24"/>
        </w:rPr>
        <w:t>he</w:t>
      </w:r>
      <w:r w:rsidR="006D0444" w:rsidRPr="00494276">
        <w:rPr>
          <w:rFonts w:ascii="Arial" w:hAnsi="Arial" w:cs="Arial"/>
          <w:sz w:val="24"/>
          <w:szCs w:val="24"/>
        </w:rPr>
        <w:t xml:space="preserve"> </w:t>
      </w:r>
      <w:r w:rsidR="001428B6" w:rsidRPr="00494276">
        <w:rPr>
          <w:rFonts w:ascii="Arial" w:hAnsi="Arial" w:cs="Arial"/>
          <w:sz w:val="24"/>
          <w:szCs w:val="24"/>
        </w:rPr>
        <w:t>appellant</w:t>
      </w:r>
      <w:r w:rsidR="00235482" w:rsidRPr="00494276">
        <w:rPr>
          <w:rFonts w:ascii="Arial" w:hAnsi="Arial" w:cs="Arial"/>
          <w:sz w:val="24"/>
          <w:szCs w:val="24"/>
        </w:rPr>
        <w:t xml:space="preserve"> had been released on parole in relation to </w:t>
      </w:r>
      <w:r w:rsidR="00CA1F4C" w:rsidRPr="00494276">
        <w:rPr>
          <w:rFonts w:ascii="Arial" w:hAnsi="Arial" w:cs="Arial"/>
          <w:sz w:val="24"/>
          <w:szCs w:val="24"/>
        </w:rPr>
        <w:t>his previous conviction</w:t>
      </w:r>
      <w:r w:rsidR="006D0444" w:rsidRPr="00494276">
        <w:rPr>
          <w:rFonts w:ascii="Arial" w:hAnsi="Arial" w:cs="Arial"/>
          <w:sz w:val="24"/>
          <w:szCs w:val="24"/>
        </w:rPr>
        <w:t xml:space="preserve"> and sentence</w:t>
      </w:r>
      <w:r w:rsidR="00CA1F4C" w:rsidRPr="00494276">
        <w:rPr>
          <w:rFonts w:ascii="Arial" w:hAnsi="Arial" w:cs="Arial"/>
          <w:sz w:val="24"/>
          <w:szCs w:val="24"/>
        </w:rPr>
        <w:t>.</w:t>
      </w:r>
      <w:r w:rsidR="001F08DB" w:rsidRPr="00494276">
        <w:rPr>
          <w:rFonts w:ascii="Arial" w:hAnsi="Arial" w:cs="Arial"/>
          <w:sz w:val="24"/>
          <w:szCs w:val="24"/>
        </w:rPr>
        <w:t xml:space="preserve"> There was a danger that he could </w:t>
      </w:r>
      <w:r w:rsidR="002D2523" w:rsidRPr="00494276">
        <w:rPr>
          <w:rFonts w:ascii="Arial" w:hAnsi="Arial" w:cs="Arial"/>
          <w:sz w:val="24"/>
          <w:szCs w:val="24"/>
        </w:rPr>
        <w:t>harm the wi</w:t>
      </w:r>
      <w:r w:rsidR="00FF4A19" w:rsidRPr="00494276">
        <w:rPr>
          <w:rFonts w:ascii="Arial" w:hAnsi="Arial" w:cs="Arial"/>
          <w:sz w:val="24"/>
          <w:szCs w:val="24"/>
        </w:rPr>
        <w:t>fe of the deceased in the present matter</w:t>
      </w:r>
      <w:r w:rsidR="00F80334" w:rsidRPr="00494276">
        <w:rPr>
          <w:rFonts w:ascii="Arial" w:hAnsi="Arial" w:cs="Arial"/>
          <w:sz w:val="24"/>
          <w:szCs w:val="24"/>
        </w:rPr>
        <w:t xml:space="preserve">, especially </w:t>
      </w:r>
      <w:r w:rsidR="006C02AC" w:rsidRPr="00494276">
        <w:rPr>
          <w:rFonts w:ascii="Arial" w:hAnsi="Arial" w:cs="Arial"/>
          <w:sz w:val="24"/>
          <w:szCs w:val="24"/>
        </w:rPr>
        <w:t>as he knew her address.</w:t>
      </w:r>
    </w:p>
    <w:p w14:paraId="551F0722" w14:textId="77777777" w:rsidR="00E22434" w:rsidRDefault="00605D98" w:rsidP="0031623B">
      <w:pPr>
        <w:pStyle w:val="ListParagraph"/>
        <w:numPr>
          <w:ilvl w:val="0"/>
          <w:numId w:val="5"/>
        </w:numPr>
        <w:spacing w:line="360" w:lineRule="auto"/>
        <w:ind w:left="0" w:firstLine="0"/>
        <w:jc w:val="both"/>
        <w:rPr>
          <w:rFonts w:ascii="Arial" w:hAnsi="Arial" w:cs="Arial"/>
          <w:sz w:val="24"/>
          <w:szCs w:val="24"/>
        </w:rPr>
      </w:pPr>
      <w:r w:rsidRPr="00494276">
        <w:rPr>
          <w:rFonts w:ascii="Arial" w:hAnsi="Arial" w:cs="Arial"/>
          <w:sz w:val="24"/>
          <w:szCs w:val="24"/>
        </w:rPr>
        <w:lastRenderedPageBreak/>
        <w:t>The investigating officer</w:t>
      </w:r>
      <w:r w:rsidR="0067115E" w:rsidRPr="00494276">
        <w:rPr>
          <w:rFonts w:ascii="Arial" w:hAnsi="Arial" w:cs="Arial"/>
          <w:sz w:val="24"/>
          <w:szCs w:val="24"/>
        </w:rPr>
        <w:t xml:space="preserve"> l</w:t>
      </w:r>
      <w:r w:rsidR="00D76BE0" w:rsidRPr="00494276">
        <w:rPr>
          <w:rFonts w:ascii="Arial" w:hAnsi="Arial" w:cs="Arial"/>
          <w:sz w:val="24"/>
          <w:szCs w:val="24"/>
        </w:rPr>
        <w:t xml:space="preserve">isted additional convictions, including </w:t>
      </w:r>
      <w:r w:rsidR="00AD186D" w:rsidRPr="00494276">
        <w:rPr>
          <w:rFonts w:ascii="Arial" w:hAnsi="Arial" w:cs="Arial"/>
          <w:sz w:val="24"/>
          <w:szCs w:val="24"/>
        </w:rPr>
        <w:t>a conviction for robbery in 2001</w:t>
      </w:r>
      <w:r w:rsidR="004934C8" w:rsidRPr="00494276">
        <w:rPr>
          <w:rFonts w:ascii="Arial" w:hAnsi="Arial" w:cs="Arial"/>
          <w:sz w:val="24"/>
          <w:szCs w:val="24"/>
        </w:rPr>
        <w:t xml:space="preserve">. </w:t>
      </w:r>
      <w:r w:rsidR="007620F9" w:rsidRPr="00494276">
        <w:rPr>
          <w:rFonts w:ascii="Arial" w:hAnsi="Arial" w:cs="Arial"/>
          <w:sz w:val="24"/>
          <w:szCs w:val="24"/>
        </w:rPr>
        <w:t xml:space="preserve">Other cases had been opened </w:t>
      </w:r>
      <w:r w:rsidR="00E90470" w:rsidRPr="00494276">
        <w:rPr>
          <w:rFonts w:ascii="Arial" w:hAnsi="Arial" w:cs="Arial"/>
          <w:sz w:val="24"/>
          <w:szCs w:val="24"/>
        </w:rPr>
        <w:t>against the appellant, too</w:t>
      </w:r>
      <w:r w:rsidR="00903BD3" w:rsidRPr="00494276">
        <w:rPr>
          <w:rFonts w:ascii="Arial" w:hAnsi="Arial" w:cs="Arial"/>
          <w:sz w:val="24"/>
          <w:szCs w:val="24"/>
        </w:rPr>
        <w:t xml:space="preserve">. </w:t>
      </w:r>
      <w:r w:rsidR="004934C8" w:rsidRPr="00494276">
        <w:rPr>
          <w:rFonts w:ascii="Arial" w:hAnsi="Arial" w:cs="Arial"/>
          <w:sz w:val="24"/>
          <w:szCs w:val="24"/>
        </w:rPr>
        <w:t xml:space="preserve">He testified that the </w:t>
      </w:r>
      <w:r w:rsidR="00D76BE0" w:rsidRPr="00494276">
        <w:rPr>
          <w:rFonts w:ascii="Arial" w:hAnsi="Arial" w:cs="Arial"/>
          <w:sz w:val="24"/>
          <w:szCs w:val="24"/>
        </w:rPr>
        <w:t>appellant</w:t>
      </w:r>
      <w:r w:rsidR="00694DDE" w:rsidRPr="00494276">
        <w:rPr>
          <w:rFonts w:ascii="Arial" w:hAnsi="Arial" w:cs="Arial"/>
          <w:sz w:val="24"/>
          <w:szCs w:val="24"/>
        </w:rPr>
        <w:t xml:space="preserve"> had </w:t>
      </w:r>
      <w:r w:rsidR="009D0F4D" w:rsidRPr="00494276">
        <w:rPr>
          <w:rFonts w:ascii="Arial" w:hAnsi="Arial" w:cs="Arial"/>
          <w:sz w:val="24"/>
          <w:szCs w:val="24"/>
        </w:rPr>
        <w:t xml:space="preserve">used different names </w:t>
      </w:r>
      <w:r w:rsidR="00315CA8" w:rsidRPr="00494276">
        <w:rPr>
          <w:rFonts w:ascii="Arial" w:hAnsi="Arial" w:cs="Arial"/>
          <w:sz w:val="24"/>
          <w:szCs w:val="24"/>
        </w:rPr>
        <w:t>on different occasions.</w:t>
      </w:r>
      <w:r w:rsidR="000D32BD" w:rsidRPr="00494276">
        <w:rPr>
          <w:rFonts w:ascii="Arial" w:hAnsi="Arial" w:cs="Arial"/>
          <w:sz w:val="24"/>
          <w:szCs w:val="24"/>
        </w:rPr>
        <w:t xml:space="preserve"> </w:t>
      </w:r>
      <w:proofErr w:type="spellStart"/>
      <w:r w:rsidR="00EE3E3C" w:rsidRPr="00494276">
        <w:rPr>
          <w:rFonts w:ascii="Arial" w:hAnsi="Arial" w:cs="Arial"/>
          <w:sz w:val="24"/>
          <w:szCs w:val="24"/>
        </w:rPr>
        <w:t>Capt</w:t>
      </w:r>
      <w:proofErr w:type="spellEnd"/>
      <w:r w:rsidR="00EE3E3C" w:rsidRPr="00494276">
        <w:rPr>
          <w:rFonts w:ascii="Arial" w:hAnsi="Arial" w:cs="Arial"/>
          <w:sz w:val="24"/>
          <w:szCs w:val="24"/>
        </w:rPr>
        <w:t xml:space="preserve"> </w:t>
      </w:r>
      <w:proofErr w:type="spellStart"/>
      <w:r w:rsidR="00EE3E3C" w:rsidRPr="00494276">
        <w:rPr>
          <w:rFonts w:ascii="Arial" w:hAnsi="Arial" w:cs="Arial"/>
          <w:sz w:val="24"/>
          <w:szCs w:val="24"/>
        </w:rPr>
        <w:t>Mdepha</w:t>
      </w:r>
      <w:proofErr w:type="spellEnd"/>
      <w:r w:rsidR="00EE3E3C" w:rsidRPr="00494276">
        <w:rPr>
          <w:rFonts w:ascii="Arial" w:hAnsi="Arial" w:cs="Arial"/>
          <w:sz w:val="24"/>
          <w:szCs w:val="24"/>
        </w:rPr>
        <w:t xml:space="preserve"> went on to say that he had not had an opportunity to verify much of what the appellant had </w:t>
      </w:r>
      <w:r w:rsidR="00AA2BD0" w:rsidRPr="00494276">
        <w:rPr>
          <w:rFonts w:ascii="Arial" w:hAnsi="Arial" w:cs="Arial"/>
          <w:sz w:val="24"/>
          <w:szCs w:val="24"/>
        </w:rPr>
        <w:t>mentioned in his affidavit</w:t>
      </w:r>
      <w:r w:rsidR="000D32BD" w:rsidRPr="00494276">
        <w:rPr>
          <w:rFonts w:ascii="Arial" w:hAnsi="Arial" w:cs="Arial"/>
          <w:sz w:val="24"/>
          <w:szCs w:val="24"/>
        </w:rPr>
        <w:t xml:space="preserve"> and still </w:t>
      </w:r>
      <w:r w:rsidR="00EB4C1D" w:rsidRPr="00494276">
        <w:rPr>
          <w:rFonts w:ascii="Arial" w:hAnsi="Arial" w:cs="Arial"/>
          <w:sz w:val="24"/>
          <w:szCs w:val="24"/>
        </w:rPr>
        <w:t xml:space="preserve">needed to </w:t>
      </w:r>
      <w:r w:rsidR="000D32BD" w:rsidRPr="00494276">
        <w:rPr>
          <w:rFonts w:ascii="Arial" w:hAnsi="Arial" w:cs="Arial"/>
          <w:sz w:val="24"/>
          <w:szCs w:val="24"/>
        </w:rPr>
        <w:t>do so</w:t>
      </w:r>
      <w:r w:rsidR="00AF2166" w:rsidRPr="00494276">
        <w:rPr>
          <w:rFonts w:ascii="Arial" w:hAnsi="Arial" w:cs="Arial"/>
          <w:sz w:val="24"/>
          <w:szCs w:val="24"/>
        </w:rPr>
        <w:t xml:space="preserve">. He concluded by saying that the appellant was a ‘very wanted man’ and that there </w:t>
      </w:r>
      <w:r w:rsidR="00F46718" w:rsidRPr="00494276">
        <w:rPr>
          <w:rFonts w:ascii="Arial" w:hAnsi="Arial" w:cs="Arial"/>
          <w:sz w:val="24"/>
          <w:szCs w:val="24"/>
        </w:rPr>
        <w:t>was a risk that he could be killed if he were to be released from custody.</w:t>
      </w:r>
    </w:p>
    <w:p w14:paraId="22618702" w14:textId="77777777" w:rsidR="00E22434" w:rsidRPr="00E22434" w:rsidRDefault="00E22434" w:rsidP="00E22434">
      <w:pPr>
        <w:pStyle w:val="ListParagraph"/>
        <w:rPr>
          <w:rFonts w:ascii="Arial" w:hAnsi="Arial" w:cs="Arial"/>
          <w:sz w:val="24"/>
          <w:szCs w:val="24"/>
        </w:rPr>
      </w:pPr>
    </w:p>
    <w:p w14:paraId="12852189" w14:textId="77777777" w:rsidR="006F547E" w:rsidRPr="00E22434" w:rsidRDefault="006F547E" w:rsidP="0031623B">
      <w:pPr>
        <w:pStyle w:val="ListParagraph"/>
        <w:numPr>
          <w:ilvl w:val="0"/>
          <w:numId w:val="5"/>
        </w:numPr>
        <w:spacing w:line="360" w:lineRule="auto"/>
        <w:ind w:left="0" w:firstLine="0"/>
        <w:jc w:val="both"/>
        <w:rPr>
          <w:rFonts w:ascii="Arial" w:hAnsi="Arial" w:cs="Arial"/>
          <w:sz w:val="24"/>
          <w:szCs w:val="24"/>
        </w:rPr>
      </w:pPr>
      <w:r w:rsidRPr="00E22434">
        <w:rPr>
          <w:rFonts w:ascii="Arial" w:hAnsi="Arial" w:cs="Arial"/>
          <w:sz w:val="24"/>
          <w:szCs w:val="24"/>
        </w:rPr>
        <w:t xml:space="preserve">In </w:t>
      </w:r>
      <w:r w:rsidR="009161E7" w:rsidRPr="00E22434">
        <w:rPr>
          <w:rFonts w:ascii="Arial" w:hAnsi="Arial" w:cs="Arial"/>
          <w:sz w:val="24"/>
          <w:szCs w:val="24"/>
        </w:rPr>
        <w:t xml:space="preserve">his </w:t>
      </w:r>
      <w:r w:rsidR="00C93100" w:rsidRPr="00E22434">
        <w:rPr>
          <w:rFonts w:ascii="Arial" w:hAnsi="Arial" w:cs="Arial"/>
          <w:sz w:val="24"/>
          <w:szCs w:val="24"/>
        </w:rPr>
        <w:t>judgment, the magistrate</w:t>
      </w:r>
      <w:r w:rsidR="00EF1877" w:rsidRPr="00E22434">
        <w:rPr>
          <w:rFonts w:ascii="Arial" w:hAnsi="Arial" w:cs="Arial"/>
          <w:sz w:val="24"/>
          <w:szCs w:val="24"/>
        </w:rPr>
        <w:t xml:space="preserve"> declined </w:t>
      </w:r>
      <w:r w:rsidR="0059068C" w:rsidRPr="00E22434">
        <w:rPr>
          <w:rFonts w:ascii="Arial" w:hAnsi="Arial" w:cs="Arial"/>
          <w:sz w:val="24"/>
          <w:szCs w:val="24"/>
        </w:rPr>
        <w:t xml:space="preserve">to answer </w:t>
      </w:r>
      <w:r w:rsidR="00EF1877" w:rsidRPr="00E22434">
        <w:rPr>
          <w:rFonts w:ascii="Arial" w:hAnsi="Arial" w:cs="Arial"/>
          <w:sz w:val="24"/>
          <w:szCs w:val="24"/>
        </w:rPr>
        <w:t>t</w:t>
      </w:r>
      <w:r w:rsidR="0065709E" w:rsidRPr="00E22434">
        <w:rPr>
          <w:rFonts w:ascii="Arial" w:hAnsi="Arial" w:cs="Arial"/>
          <w:sz w:val="24"/>
          <w:szCs w:val="24"/>
        </w:rPr>
        <w:t xml:space="preserve">he question of the </w:t>
      </w:r>
      <w:r w:rsidR="005C390D" w:rsidRPr="00E22434">
        <w:rPr>
          <w:rFonts w:ascii="Arial" w:hAnsi="Arial" w:cs="Arial"/>
          <w:sz w:val="24"/>
          <w:szCs w:val="24"/>
        </w:rPr>
        <w:t>admissibility</w:t>
      </w:r>
      <w:r w:rsidR="0065709E" w:rsidRPr="00E22434">
        <w:rPr>
          <w:rFonts w:ascii="Arial" w:hAnsi="Arial" w:cs="Arial"/>
          <w:sz w:val="24"/>
          <w:szCs w:val="24"/>
        </w:rPr>
        <w:t xml:space="preserve"> </w:t>
      </w:r>
      <w:r w:rsidR="005C390D" w:rsidRPr="00E22434">
        <w:rPr>
          <w:rFonts w:ascii="Arial" w:hAnsi="Arial" w:cs="Arial"/>
          <w:sz w:val="24"/>
          <w:szCs w:val="24"/>
        </w:rPr>
        <w:t>of the evidence emanating from the identification parade</w:t>
      </w:r>
      <w:r w:rsidR="00DF2CE8" w:rsidRPr="00E22434">
        <w:rPr>
          <w:rFonts w:ascii="Arial" w:hAnsi="Arial" w:cs="Arial"/>
          <w:sz w:val="24"/>
          <w:szCs w:val="24"/>
        </w:rPr>
        <w:t xml:space="preserve">. However, he held that there was a likelihood that </w:t>
      </w:r>
      <w:r w:rsidR="0059068C" w:rsidRPr="00E22434">
        <w:rPr>
          <w:rFonts w:ascii="Arial" w:hAnsi="Arial" w:cs="Arial"/>
          <w:sz w:val="24"/>
          <w:szCs w:val="24"/>
        </w:rPr>
        <w:t>t</w:t>
      </w:r>
      <w:r w:rsidR="00DF2CE8" w:rsidRPr="00E22434">
        <w:rPr>
          <w:rFonts w:ascii="Arial" w:hAnsi="Arial" w:cs="Arial"/>
          <w:sz w:val="24"/>
          <w:szCs w:val="24"/>
        </w:rPr>
        <w:t>he</w:t>
      </w:r>
      <w:r w:rsidR="007B2D97" w:rsidRPr="00E22434">
        <w:rPr>
          <w:rFonts w:ascii="Arial" w:hAnsi="Arial" w:cs="Arial"/>
          <w:sz w:val="24"/>
          <w:szCs w:val="24"/>
        </w:rPr>
        <w:t xml:space="preserve"> </w:t>
      </w:r>
      <w:r w:rsidR="0059068C" w:rsidRPr="00E22434">
        <w:rPr>
          <w:rFonts w:ascii="Arial" w:hAnsi="Arial" w:cs="Arial"/>
          <w:sz w:val="24"/>
          <w:szCs w:val="24"/>
        </w:rPr>
        <w:t>appellant</w:t>
      </w:r>
      <w:r w:rsidR="00DF2CE8" w:rsidRPr="00E22434">
        <w:rPr>
          <w:rFonts w:ascii="Arial" w:hAnsi="Arial" w:cs="Arial"/>
          <w:sz w:val="24"/>
          <w:szCs w:val="24"/>
        </w:rPr>
        <w:t xml:space="preserve"> would interfere </w:t>
      </w:r>
      <w:r w:rsidR="00026F7B" w:rsidRPr="00E22434">
        <w:rPr>
          <w:rFonts w:ascii="Arial" w:hAnsi="Arial" w:cs="Arial"/>
          <w:sz w:val="24"/>
          <w:szCs w:val="24"/>
        </w:rPr>
        <w:t>with the main witness</w:t>
      </w:r>
      <w:r w:rsidR="007B2D97" w:rsidRPr="00E22434">
        <w:rPr>
          <w:rFonts w:ascii="Arial" w:hAnsi="Arial" w:cs="Arial"/>
          <w:sz w:val="24"/>
          <w:szCs w:val="24"/>
        </w:rPr>
        <w:t>, viz. the wife of the deceased.</w:t>
      </w:r>
      <w:r w:rsidR="00F873BA" w:rsidRPr="00E22434">
        <w:rPr>
          <w:rFonts w:ascii="Arial" w:hAnsi="Arial" w:cs="Arial"/>
          <w:sz w:val="24"/>
          <w:szCs w:val="24"/>
        </w:rPr>
        <w:t xml:space="preserve"> There was also a likelihood, said the magistrate, that the appellant would </w:t>
      </w:r>
      <w:r w:rsidR="00BD5894" w:rsidRPr="00E22434">
        <w:rPr>
          <w:rFonts w:ascii="Arial" w:hAnsi="Arial" w:cs="Arial"/>
          <w:sz w:val="24"/>
          <w:szCs w:val="24"/>
        </w:rPr>
        <w:t>commit further offences.</w:t>
      </w:r>
      <w:r w:rsidR="00587DAA" w:rsidRPr="00E22434">
        <w:rPr>
          <w:rFonts w:ascii="Arial" w:hAnsi="Arial" w:cs="Arial"/>
          <w:sz w:val="24"/>
          <w:szCs w:val="24"/>
        </w:rPr>
        <w:t xml:space="preserve"> By reason of the seriousness of the charges brought against the appellant</w:t>
      </w:r>
      <w:r w:rsidR="004507D4" w:rsidRPr="00E22434">
        <w:rPr>
          <w:rFonts w:ascii="Arial" w:hAnsi="Arial" w:cs="Arial"/>
          <w:sz w:val="24"/>
          <w:szCs w:val="24"/>
        </w:rPr>
        <w:t xml:space="preserve"> and the sentence that could be imposed</w:t>
      </w:r>
      <w:r w:rsidR="00587DAA" w:rsidRPr="00E22434">
        <w:rPr>
          <w:rFonts w:ascii="Arial" w:hAnsi="Arial" w:cs="Arial"/>
          <w:sz w:val="24"/>
          <w:szCs w:val="24"/>
        </w:rPr>
        <w:t xml:space="preserve">, he would be attempted to </w:t>
      </w:r>
      <w:r w:rsidR="004507D4" w:rsidRPr="00E22434">
        <w:rPr>
          <w:rFonts w:ascii="Arial" w:hAnsi="Arial" w:cs="Arial"/>
          <w:sz w:val="24"/>
          <w:szCs w:val="24"/>
        </w:rPr>
        <w:t xml:space="preserve">evade trial. The magistrate held, ultimately, that </w:t>
      </w:r>
      <w:r w:rsidR="00BF5AD2" w:rsidRPr="00E22434">
        <w:rPr>
          <w:rFonts w:ascii="Arial" w:hAnsi="Arial" w:cs="Arial"/>
          <w:sz w:val="24"/>
          <w:szCs w:val="24"/>
        </w:rPr>
        <w:t>the appellant had failed to discharge the onus; there were no exceptional circumstances</w:t>
      </w:r>
      <w:r w:rsidR="0044430B" w:rsidRPr="00E22434">
        <w:rPr>
          <w:rFonts w:ascii="Arial" w:hAnsi="Arial" w:cs="Arial"/>
          <w:sz w:val="24"/>
          <w:szCs w:val="24"/>
        </w:rPr>
        <w:t>.</w:t>
      </w:r>
    </w:p>
    <w:p w14:paraId="18643507" w14:textId="77777777" w:rsidR="006F04FB" w:rsidRDefault="006F04FB" w:rsidP="0031623B">
      <w:pPr>
        <w:spacing w:line="360" w:lineRule="auto"/>
        <w:rPr>
          <w:rFonts w:ascii="Arial" w:hAnsi="Arial" w:cs="Arial"/>
          <w:sz w:val="24"/>
          <w:szCs w:val="24"/>
        </w:rPr>
      </w:pPr>
    </w:p>
    <w:p w14:paraId="2638700B" w14:textId="7B538A99" w:rsidR="006F04FB" w:rsidRDefault="006F04FB" w:rsidP="000D4B66">
      <w:pPr>
        <w:spacing w:line="360" w:lineRule="auto"/>
        <w:jc w:val="both"/>
        <w:rPr>
          <w:rFonts w:ascii="Arial" w:hAnsi="Arial" w:cs="Arial"/>
          <w:sz w:val="24"/>
          <w:szCs w:val="24"/>
        </w:rPr>
      </w:pPr>
      <w:r w:rsidRPr="000D4B66">
        <w:rPr>
          <w:rFonts w:ascii="Arial" w:hAnsi="Arial" w:cs="Arial"/>
          <w:b/>
          <w:iCs/>
          <w:sz w:val="24"/>
          <w:szCs w:val="24"/>
        </w:rPr>
        <w:t>Second bail application</w:t>
      </w:r>
    </w:p>
    <w:p w14:paraId="5E2F141C" w14:textId="77777777" w:rsidR="00CD6751" w:rsidRDefault="006F04FB" w:rsidP="0031623B">
      <w:pPr>
        <w:pStyle w:val="ListParagraph"/>
        <w:numPr>
          <w:ilvl w:val="0"/>
          <w:numId w:val="5"/>
        </w:numPr>
        <w:spacing w:line="360" w:lineRule="auto"/>
        <w:ind w:left="0" w:firstLine="0"/>
        <w:jc w:val="both"/>
        <w:rPr>
          <w:rFonts w:ascii="Arial" w:hAnsi="Arial" w:cs="Arial"/>
          <w:sz w:val="24"/>
          <w:szCs w:val="24"/>
        </w:rPr>
      </w:pPr>
      <w:r w:rsidRPr="00CD6751">
        <w:rPr>
          <w:rFonts w:ascii="Arial" w:hAnsi="Arial" w:cs="Arial"/>
          <w:sz w:val="24"/>
          <w:szCs w:val="24"/>
        </w:rPr>
        <w:t xml:space="preserve">The appellant </w:t>
      </w:r>
      <w:r w:rsidR="00601D25" w:rsidRPr="00CD6751">
        <w:rPr>
          <w:rFonts w:ascii="Arial" w:hAnsi="Arial" w:cs="Arial"/>
          <w:sz w:val="24"/>
          <w:szCs w:val="24"/>
        </w:rPr>
        <w:t xml:space="preserve">made a further application for bail, based on </w:t>
      </w:r>
      <w:r w:rsidR="00843335" w:rsidRPr="00CD6751">
        <w:rPr>
          <w:rFonts w:ascii="Arial" w:hAnsi="Arial" w:cs="Arial"/>
          <w:sz w:val="24"/>
          <w:szCs w:val="24"/>
        </w:rPr>
        <w:t xml:space="preserve">several </w:t>
      </w:r>
      <w:r w:rsidR="00516FA9" w:rsidRPr="00CD6751">
        <w:rPr>
          <w:rFonts w:ascii="Arial" w:hAnsi="Arial" w:cs="Arial"/>
          <w:sz w:val="24"/>
          <w:szCs w:val="24"/>
        </w:rPr>
        <w:t>new facts</w:t>
      </w:r>
      <w:r w:rsidR="00B064DA" w:rsidRPr="00CD6751">
        <w:rPr>
          <w:rFonts w:ascii="Arial" w:hAnsi="Arial" w:cs="Arial"/>
          <w:sz w:val="24"/>
          <w:szCs w:val="24"/>
        </w:rPr>
        <w:t xml:space="preserve"> that </w:t>
      </w:r>
      <w:r w:rsidR="00744AE9" w:rsidRPr="00CD6751">
        <w:rPr>
          <w:rFonts w:ascii="Arial" w:hAnsi="Arial" w:cs="Arial"/>
          <w:sz w:val="24"/>
          <w:szCs w:val="24"/>
        </w:rPr>
        <w:t>allegedly amounted to exceptional circumstances</w:t>
      </w:r>
      <w:r w:rsidR="00516FA9" w:rsidRPr="00CD6751">
        <w:rPr>
          <w:rFonts w:ascii="Arial" w:hAnsi="Arial" w:cs="Arial"/>
          <w:sz w:val="24"/>
          <w:szCs w:val="24"/>
        </w:rPr>
        <w:t xml:space="preserve">. </w:t>
      </w:r>
      <w:r w:rsidR="00550685" w:rsidRPr="00CD6751">
        <w:rPr>
          <w:rFonts w:ascii="Arial" w:hAnsi="Arial" w:cs="Arial"/>
          <w:sz w:val="24"/>
          <w:szCs w:val="24"/>
        </w:rPr>
        <w:t>T</w:t>
      </w:r>
      <w:r w:rsidR="002F670A" w:rsidRPr="00CD6751">
        <w:rPr>
          <w:rFonts w:ascii="Arial" w:hAnsi="Arial" w:cs="Arial"/>
          <w:sz w:val="24"/>
          <w:szCs w:val="24"/>
        </w:rPr>
        <w:t xml:space="preserve">hese </w:t>
      </w:r>
      <w:r w:rsidR="00843335" w:rsidRPr="00CD6751">
        <w:rPr>
          <w:rFonts w:ascii="Arial" w:hAnsi="Arial" w:cs="Arial"/>
          <w:sz w:val="24"/>
          <w:szCs w:val="24"/>
        </w:rPr>
        <w:t>are detailed below.</w:t>
      </w:r>
    </w:p>
    <w:p w14:paraId="4F236644" w14:textId="77777777" w:rsidR="00CD6751" w:rsidRDefault="00CD6751" w:rsidP="00CD6751">
      <w:pPr>
        <w:pStyle w:val="ListParagraph"/>
        <w:spacing w:line="360" w:lineRule="auto"/>
        <w:ind w:left="0"/>
        <w:jc w:val="both"/>
        <w:rPr>
          <w:rFonts w:ascii="Arial" w:hAnsi="Arial" w:cs="Arial"/>
          <w:sz w:val="24"/>
          <w:szCs w:val="24"/>
        </w:rPr>
      </w:pPr>
    </w:p>
    <w:p w14:paraId="1C170E5B" w14:textId="77777777" w:rsidR="00CD6751" w:rsidRDefault="007B63C5" w:rsidP="0031623B">
      <w:pPr>
        <w:pStyle w:val="ListParagraph"/>
        <w:numPr>
          <w:ilvl w:val="0"/>
          <w:numId w:val="5"/>
        </w:numPr>
        <w:spacing w:line="360" w:lineRule="auto"/>
        <w:ind w:left="0" w:firstLine="0"/>
        <w:jc w:val="both"/>
        <w:rPr>
          <w:rFonts w:ascii="Arial" w:hAnsi="Arial" w:cs="Arial"/>
          <w:sz w:val="24"/>
          <w:szCs w:val="24"/>
        </w:rPr>
      </w:pPr>
      <w:r w:rsidRPr="00CD6751">
        <w:rPr>
          <w:rFonts w:ascii="Arial" w:hAnsi="Arial" w:cs="Arial"/>
          <w:sz w:val="24"/>
          <w:szCs w:val="24"/>
        </w:rPr>
        <w:t xml:space="preserve">Firstly, the appellant </w:t>
      </w:r>
      <w:r w:rsidR="003D7B77" w:rsidRPr="00CD6751">
        <w:rPr>
          <w:rFonts w:ascii="Arial" w:hAnsi="Arial" w:cs="Arial"/>
          <w:sz w:val="24"/>
          <w:szCs w:val="24"/>
        </w:rPr>
        <w:t xml:space="preserve">averred </w:t>
      </w:r>
      <w:r w:rsidR="00516FA9" w:rsidRPr="00CD6751">
        <w:rPr>
          <w:rFonts w:ascii="Arial" w:hAnsi="Arial" w:cs="Arial"/>
          <w:sz w:val="24"/>
          <w:szCs w:val="24"/>
        </w:rPr>
        <w:t xml:space="preserve">on affidavit </w:t>
      </w:r>
      <w:r w:rsidR="00A60126" w:rsidRPr="00CD6751">
        <w:rPr>
          <w:rFonts w:ascii="Arial" w:hAnsi="Arial" w:cs="Arial"/>
          <w:sz w:val="24"/>
          <w:szCs w:val="24"/>
        </w:rPr>
        <w:t xml:space="preserve">that the </w:t>
      </w:r>
      <w:r w:rsidR="00CD0BE8" w:rsidRPr="00CD6751">
        <w:rPr>
          <w:rFonts w:ascii="Arial" w:hAnsi="Arial" w:cs="Arial"/>
          <w:sz w:val="24"/>
          <w:szCs w:val="24"/>
        </w:rPr>
        <w:t>case pending in the Regional Court in Cape Town</w:t>
      </w:r>
      <w:r w:rsidR="006B1FA4" w:rsidRPr="00CD6751">
        <w:rPr>
          <w:rFonts w:ascii="Arial" w:hAnsi="Arial" w:cs="Arial"/>
          <w:sz w:val="24"/>
          <w:szCs w:val="24"/>
        </w:rPr>
        <w:t xml:space="preserve"> </w:t>
      </w:r>
      <w:r w:rsidR="004C61F8" w:rsidRPr="00CD6751">
        <w:rPr>
          <w:rFonts w:ascii="Arial" w:hAnsi="Arial" w:cs="Arial"/>
          <w:sz w:val="24"/>
          <w:szCs w:val="24"/>
        </w:rPr>
        <w:t xml:space="preserve">had since </w:t>
      </w:r>
      <w:r w:rsidR="003D6B73" w:rsidRPr="00CD6751">
        <w:rPr>
          <w:rFonts w:ascii="Arial" w:hAnsi="Arial" w:cs="Arial"/>
          <w:sz w:val="24"/>
          <w:szCs w:val="24"/>
        </w:rPr>
        <w:t>been struck off the roll</w:t>
      </w:r>
      <w:r w:rsidR="00AE472E" w:rsidRPr="00CD6751">
        <w:rPr>
          <w:rFonts w:ascii="Arial" w:hAnsi="Arial" w:cs="Arial"/>
          <w:sz w:val="24"/>
          <w:szCs w:val="24"/>
        </w:rPr>
        <w:t xml:space="preserve">. This had occurred </w:t>
      </w:r>
      <w:r w:rsidR="00911896" w:rsidRPr="00CD6751">
        <w:rPr>
          <w:rFonts w:ascii="Arial" w:hAnsi="Arial" w:cs="Arial"/>
          <w:sz w:val="24"/>
          <w:szCs w:val="24"/>
        </w:rPr>
        <w:t xml:space="preserve">on 3 March 2023 </w:t>
      </w:r>
      <w:r w:rsidR="003D6B73" w:rsidRPr="00CD6751">
        <w:rPr>
          <w:rFonts w:ascii="Arial" w:hAnsi="Arial" w:cs="Arial"/>
          <w:sz w:val="24"/>
          <w:szCs w:val="24"/>
        </w:rPr>
        <w:t>in terms of section 342A of the CPA.</w:t>
      </w:r>
      <w:r w:rsidR="00C869E6" w:rsidRPr="00CD6751">
        <w:rPr>
          <w:rFonts w:ascii="Arial" w:hAnsi="Arial" w:cs="Arial"/>
          <w:sz w:val="24"/>
          <w:szCs w:val="24"/>
        </w:rPr>
        <w:t xml:space="preserve"> </w:t>
      </w:r>
      <w:r w:rsidR="00A05782" w:rsidRPr="00CD6751">
        <w:rPr>
          <w:rFonts w:ascii="Arial" w:hAnsi="Arial" w:cs="Arial"/>
          <w:sz w:val="24"/>
          <w:szCs w:val="24"/>
        </w:rPr>
        <w:t xml:space="preserve">The case, argued the appellant, </w:t>
      </w:r>
      <w:r w:rsidR="003D7B77" w:rsidRPr="00CD6751">
        <w:rPr>
          <w:rFonts w:ascii="Arial" w:hAnsi="Arial" w:cs="Arial"/>
          <w:sz w:val="24"/>
          <w:szCs w:val="24"/>
        </w:rPr>
        <w:t>had previously persuaded the magistrate that he had a propensity to commit violent crimes.</w:t>
      </w:r>
    </w:p>
    <w:p w14:paraId="3B8E6FC2" w14:textId="77777777" w:rsidR="00C53F41" w:rsidRPr="00C53F41" w:rsidRDefault="00C53F41" w:rsidP="00C53F41">
      <w:pPr>
        <w:pStyle w:val="ListParagraph"/>
        <w:rPr>
          <w:rFonts w:ascii="Arial" w:hAnsi="Arial" w:cs="Arial"/>
          <w:sz w:val="24"/>
          <w:szCs w:val="24"/>
        </w:rPr>
      </w:pPr>
    </w:p>
    <w:p w14:paraId="62622FE1" w14:textId="77777777" w:rsidR="00C53F41" w:rsidRDefault="00C53F41" w:rsidP="00C53F41">
      <w:pPr>
        <w:pStyle w:val="ListParagraph"/>
        <w:spacing w:line="360" w:lineRule="auto"/>
        <w:ind w:left="0"/>
        <w:jc w:val="both"/>
        <w:rPr>
          <w:rFonts w:ascii="Arial" w:hAnsi="Arial" w:cs="Arial"/>
          <w:sz w:val="24"/>
          <w:szCs w:val="24"/>
        </w:rPr>
      </w:pPr>
    </w:p>
    <w:p w14:paraId="6BD3B2BD" w14:textId="77777777" w:rsidR="00236CDF" w:rsidRDefault="00AE472E" w:rsidP="0031623B">
      <w:pPr>
        <w:pStyle w:val="ListParagraph"/>
        <w:numPr>
          <w:ilvl w:val="0"/>
          <w:numId w:val="5"/>
        </w:numPr>
        <w:spacing w:line="360" w:lineRule="auto"/>
        <w:ind w:left="0" w:firstLine="0"/>
        <w:jc w:val="both"/>
        <w:rPr>
          <w:rFonts w:ascii="Arial" w:hAnsi="Arial" w:cs="Arial"/>
          <w:sz w:val="24"/>
          <w:szCs w:val="24"/>
        </w:rPr>
      </w:pPr>
      <w:r w:rsidRPr="00CD6751">
        <w:rPr>
          <w:rFonts w:ascii="Arial" w:hAnsi="Arial" w:cs="Arial"/>
          <w:sz w:val="24"/>
          <w:szCs w:val="24"/>
        </w:rPr>
        <w:t xml:space="preserve">Secondly, </w:t>
      </w:r>
      <w:r w:rsidR="00A05782" w:rsidRPr="00CD6751">
        <w:rPr>
          <w:rFonts w:ascii="Arial" w:hAnsi="Arial" w:cs="Arial"/>
          <w:sz w:val="24"/>
          <w:szCs w:val="24"/>
        </w:rPr>
        <w:t xml:space="preserve">the main witness </w:t>
      </w:r>
      <w:r w:rsidR="00DD70CA" w:rsidRPr="00CD6751">
        <w:rPr>
          <w:rFonts w:ascii="Arial" w:hAnsi="Arial" w:cs="Arial"/>
          <w:sz w:val="24"/>
          <w:szCs w:val="24"/>
        </w:rPr>
        <w:t>had already testified</w:t>
      </w:r>
      <w:r w:rsidR="00D65C85" w:rsidRPr="00CD6751">
        <w:rPr>
          <w:rFonts w:ascii="Arial" w:hAnsi="Arial" w:cs="Arial"/>
          <w:sz w:val="24"/>
          <w:szCs w:val="24"/>
        </w:rPr>
        <w:t>,</w:t>
      </w:r>
      <w:r w:rsidR="00DD70CA" w:rsidRPr="00CD6751">
        <w:rPr>
          <w:rFonts w:ascii="Arial" w:hAnsi="Arial" w:cs="Arial"/>
          <w:sz w:val="24"/>
          <w:szCs w:val="24"/>
        </w:rPr>
        <w:t xml:space="preserve"> </w:t>
      </w:r>
      <w:r w:rsidR="00D65C85" w:rsidRPr="00CD6751">
        <w:rPr>
          <w:rFonts w:ascii="Arial" w:hAnsi="Arial" w:cs="Arial"/>
          <w:sz w:val="24"/>
          <w:szCs w:val="24"/>
        </w:rPr>
        <w:t xml:space="preserve">after the transfer of the matter to the High Court. </w:t>
      </w:r>
      <w:r w:rsidR="005C1161" w:rsidRPr="00CD6751">
        <w:rPr>
          <w:rFonts w:ascii="Arial" w:hAnsi="Arial" w:cs="Arial"/>
          <w:sz w:val="24"/>
          <w:szCs w:val="24"/>
        </w:rPr>
        <w:t xml:space="preserve">She had </w:t>
      </w:r>
      <w:r w:rsidR="000E37A2" w:rsidRPr="00CD6751">
        <w:rPr>
          <w:rFonts w:ascii="Arial" w:hAnsi="Arial" w:cs="Arial"/>
          <w:sz w:val="24"/>
          <w:szCs w:val="24"/>
        </w:rPr>
        <w:t xml:space="preserve">placed her evidence on record and had </w:t>
      </w:r>
      <w:r w:rsidR="005C1161" w:rsidRPr="00CD6751">
        <w:rPr>
          <w:rFonts w:ascii="Arial" w:hAnsi="Arial" w:cs="Arial"/>
          <w:sz w:val="24"/>
          <w:szCs w:val="24"/>
        </w:rPr>
        <w:t>subsequently been excused from the proceedings.</w:t>
      </w:r>
      <w:r w:rsidR="008159A7" w:rsidRPr="00CD6751">
        <w:rPr>
          <w:rFonts w:ascii="Arial" w:hAnsi="Arial" w:cs="Arial"/>
          <w:sz w:val="24"/>
          <w:szCs w:val="24"/>
        </w:rPr>
        <w:t xml:space="preserve"> Her safety had weighed heavily</w:t>
      </w:r>
      <w:r w:rsidR="00C520B7" w:rsidRPr="00CD6751">
        <w:rPr>
          <w:rFonts w:ascii="Arial" w:hAnsi="Arial" w:cs="Arial"/>
          <w:sz w:val="24"/>
          <w:szCs w:val="24"/>
        </w:rPr>
        <w:t xml:space="preserve"> </w:t>
      </w:r>
      <w:r w:rsidR="008159A7" w:rsidRPr="00CD6751">
        <w:rPr>
          <w:rFonts w:ascii="Arial" w:hAnsi="Arial" w:cs="Arial"/>
          <w:sz w:val="24"/>
          <w:szCs w:val="24"/>
        </w:rPr>
        <w:t>in the magistr</w:t>
      </w:r>
      <w:r w:rsidR="00866D85" w:rsidRPr="00CD6751">
        <w:rPr>
          <w:rFonts w:ascii="Arial" w:hAnsi="Arial" w:cs="Arial"/>
          <w:sz w:val="24"/>
          <w:szCs w:val="24"/>
        </w:rPr>
        <w:t>ate’s earlier decision to refuse the granting of bail.</w:t>
      </w:r>
    </w:p>
    <w:p w14:paraId="57EA367C" w14:textId="77777777" w:rsidR="00236CDF" w:rsidRDefault="00C520B7"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lastRenderedPageBreak/>
        <w:t>Thirdly, the</w:t>
      </w:r>
      <w:r w:rsidR="00DA1E09" w:rsidRPr="00236CDF">
        <w:rPr>
          <w:rFonts w:ascii="Arial" w:hAnsi="Arial" w:cs="Arial"/>
          <w:sz w:val="24"/>
          <w:szCs w:val="24"/>
        </w:rPr>
        <w:t xml:space="preserve">re </w:t>
      </w:r>
      <w:r w:rsidR="00D660B5" w:rsidRPr="00236CDF">
        <w:rPr>
          <w:rFonts w:ascii="Arial" w:hAnsi="Arial" w:cs="Arial"/>
          <w:sz w:val="24"/>
          <w:szCs w:val="24"/>
        </w:rPr>
        <w:t xml:space="preserve">had been an inordinate delay in the trial proceedings in the High Court, caused in part by the </w:t>
      </w:r>
      <w:r w:rsidR="00AE3DF2" w:rsidRPr="00236CDF">
        <w:rPr>
          <w:rFonts w:ascii="Arial" w:hAnsi="Arial" w:cs="Arial"/>
          <w:sz w:val="24"/>
          <w:szCs w:val="24"/>
        </w:rPr>
        <w:t>judge’s taking long leave.</w:t>
      </w:r>
      <w:r w:rsidR="00A06069" w:rsidRPr="00236CDF">
        <w:rPr>
          <w:rFonts w:ascii="Arial" w:hAnsi="Arial" w:cs="Arial"/>
          <w:sz w:val="24"/>
          <w:szCs w:val="24"/>
        </w:rPr>
        <w:t xml:space="preserve"> The appellant had had nothing to do with the delay.</w:t>
      </w:r>
      <w:r w:rsidR="00F32367" w:rsidRPr="00236CDF">
        <w:rPr>
          <w:rFonts w:ascii="Arial" w:hAnsi="Arial" w:cs="Arial"/>
          <w:sz w:val="24"/>
          <w:szCs w:val="24"/>
        </w:rPr>
        <w:t xml:space="preserve"> </w:t>
      </w:r>
      <w:r w:rsidR="00B7477A" w:rsidRPr="00236CDF">
        <w:rPr>
          <w:rFonts w:ascii="Arial" w:hAnsi="Arial" w:cs="Arial"/>
          <w:sz w:val="24"/>
          <w:szCs w:val="24"/>
        </w:rPr>
        <w:t xml:space="preserve">His continued detention </w:t>
      </w:r>
      <w:r w:rsidR="00F32367" w:rsidRPr="00236CDF">
        <w:rPr>
          <w:rFonts w:ascii="Arial" w:hAnsi="Arial" w:cs="Arial"/>
          <w:sz w:val="24"/>
          <w:szCs w:val="24"/>
        </w:rPr>
        <w:t xml:space="preserve">was </w:t>
      </w:r>
      <w:r w:rsidR="00B7477A" w:rsidRPr="00236CDF">
        <w:rPr>
          <w:rFonts w:ascii="Arial" w:hAnsi="Arial" w:cs="Arial"/>
          <w:sz w:val="24"/>
          <w:szCs w:val="24"/>
        </w:rPr>
        <w:t xml:space="preserve">not </w:t>
      </w:r>
      <w:r w:rsidR="00F32367" w:rsidRPr="00236CDF">
        <w:rPr>
          <w:rFonts w:ascii="Arial" w:hAnsi="Arial" w:cs="Arial"/>
          <w:sz w:val="24"/>
          <w:szCs w:val="24"/>
        </w:rPr>
        <w:t xml:space="preserve">in the </w:t>
      </w:r>
      <w:r w:rsidR="00B7477A" w:rsidRPr="00236CDF">
        <w:rPr>
          <w:rFonts w:ascii="Arial" w:hAnsi="Arial" w:cs="Arial"/>
          <w:sz w:val="24"/>
          <w:szCs w:val="24"/>
        </w:rPr>
        <w:t xml:space="preserve">interests of justice. </w:t>
      </w:r>
    </w:p>
    <w:p w14:paraId="4F3928AF" w14:textId="77777777" w:rsidR="00236CDF" w:rsidRPr="00236CDF" w:rsidRDefault="00236CDF" w:rsidP="00236CDF">
      <w:pPr>
        <w:pStyle w:val="ListParagraph"/>
        <w:rPr>
          <w:rFonts w:ascii="Arial" w:hAnsi="Arial" w:cs="Arial"/>
          <w:sz w:val="24"/>
          <w:szCs w:val="24"/>
        </w:rPr>
      </w:pPr>
    </w:p>
    <w:p w14:paraId="5EDAA228" w14:textId="77777777" w:rsidR="00236CDF" w:rsidRDefault="00B7477A"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t xml:space="preserve">Fourthly, </w:t>
      </w:r>
      <w:r w:rsidR="000D7FEE" w:rsidRPr="00236CDF">
        <w:rPr>
          <w:rFonts w:ascii="Arial" w:hAnsi="Arial" w:cs="Arial"/>
          <w:sz w:val="24"/>
          <w:szCs w:val="24"/>
        </w:rPr>
        <w:t>the appellant’s incarceration had deprived him of an opportunity to earn an income, resulting in the depletion of his financial resources</w:t>
      </w:r>
      <w:r w:rsidR="002744E3" w:rsidRPr="00236CDF">
        <w:rPr>
          <w:rFonts w:ascii="Arial" w:hAnsi="Arial" w:cs="Arial"/>
          <w:sz w:val="24"/>
          <w:szCs w:val="24"/>
        </w:rPr>
        <w:t xml:space="preserve">. He </w:t>
      </w:r>
      <w:r w:rsidR="009A38EF" w:rsidRPr="00236CDF">
        <w:rPr>
          <w:rFonts w:ascii="Arial" w:hAnsi="Arial" w:cs="Arial"/>
          <w:sz w:val="24"/>
          <w:szCs w:val="24"/>
        </w:rPr>
        <w:t>was, consequently, unable to pay for the services of a legal practitioner of his choice.</w:t>
      </w:r>
      <w:r w:rsidR="005F0A45" w:rsidRPr="00236CDF">
        <w:rPr>
          <w:rFonts w:ascii="Arial" w:hAnsi="Arial" w:cs="Arial"/>
          <w:sz w:val="24"/>
          <w:szCs w:val="24"/>
        </w:rPr>
        <w:t xml:space="preserve"> </w:t>
      </w:r>
      <w:r w:rsidR="00AE0AA5" w:rsidRPr="00236CDF">
        <w:rPr>
          <w:rFonts w:ascii="Arial" w:hAnsi="Arial" w:cs="Arial"/>
          <w:sz w:val="24"/>
          <w:szCs w:val="24"/>
        </w:rPr>
        <w:t>The appellant submitted a letter</w:t>
      </w:r>
      <w:r w:rsidR="0006621F" w:rsidRPr="00236CDF">
        <w:rPr>
          <w:rFonts w:ascii="Arial" w:hAnsi="Arial" w:cs="Arial"/>
          <w:sz w:val="24"/>
          <w:szCs w:val="24"/>
        </w:rPr>
        <w:t xml:space="preserve"> from his employer</w:t>
      </w:r>
      <w:r w:rsidR="004F42C9" w:rsidRPr="00236CDF">
        <w:rPr>
          <w:rFonts w:ascii="Arial" w:hAnsi="Arial" w:cs="Arial"/>
          <w:sz w:val="24"/>
          <w:szCs w:val="24"/>
        </w:rPr>
        <w:t>, confirming that employment was still available</w:t>
      </w:r>
      <w:r w:rsidR="003B6BDF" w:rsidRPr="00236CDF">
        <w:rPr>
          <w:rFonts w:ascii="Arial" w:hAnsi="Arial" w:cs="Arial"/>
          <w:sz w:val="24"/>
          <w:szCs w:val="24"/>
        </w:rPr>
        <w:t>.</w:t>
      </w:r>
    </w:p>
    <w:p w14:paraId="048BB78B" w14:textId="77777777" w:rsidR="00236CDF" w:rsidRPr="00236CDF" w:rsidRDefault="00236CDF" w:rsidP="00236CDF">
      <w:pPr>
        <w:pStyle w:val="ListParagraph"/>
        <w:rPr>
          <w:rFonts w:ascii="Arial" w:hAnsi="Arial" w:cs="Arial"/>
          <w:sz w:val="24"/>
          <w:szCs w:val="24"/>
        </w:rPr>
      </w:pPr>
    </w:p>
    <w:p w14:paraId="7F0D0F42" w14:textId="77777777" w:rsidR="00236CDF" w:rsidRDefault="00C46804"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t xml:space="preserve">Fifthly, </w:t>
      </w:r>
      <w:r w:rsidR="002C66AA" w:rsidRPr="00236CDF">
        <w:rPr>
          <w:rFonts w:ascii="Arial" w:hAnsi="Arial" w:cs="Arial"/>
          <w:sz w:val="24"/>
          <w:szCs w:val="24"/>
        </w:rPr>
        <w:t xml:space="preserve">the matter was taking </w:t>
      </w:r>
      <w:r w:rsidR="00291883" w:rsidRPr="00236CDF">
        <w:rPr>
          <w:rFonts w:ascii="Arial" w:hAnsi="Arial" w:cs="Arial"/>
          <w:sz w:val="24"/>
          <w:szCs w:val="24"/>
        </w:rPr>
        <w:t xml:space="preserve">a lengthy </w:t>
      </w:r>
      <w:r w:rsidR="00AE3BF4" w:rsidRPr="00236CDF">
        <w:rPr>
          <w:rFonts w:ascii="Arial" w:hAnsi="Arial" w:cs="Arial"/>
          <w:sz w:val="24"/>
          <w:szCs w:val="24"/>
        </w:rPr>
        <w:t>period</w:t>
      </w:r>
      <w:r w:rsidR="00291883" w:rsidRPr="00236CDF">
        <w:rPr>
          <w:rFonts w:ascii="Arial" w:hAnsi="Arial" w:cs="Arial"/>
          <w:sz w:val="24"/>
          <w:szCs w:val="24"/>
        </w:rPr>
        <w:t xml:space="preserve"> to become finalised </w:t>
      </w:r>
      <w:r w:rsidR="000460FA" w:rsidRPr="00236CDF">
        <w:rPr>
          <w:rFonts w:ascii="Arial" w:hAnsi="Arial" w:cs="Arial"/>
          <w:sz w:val="24"/>
          <w:szCs w:val="24"/>
        </w:rPr>
        <w:t xml:space="preserve">in the High Court. A period of two years had </w:t>
      </w:r>
      <w:r w:rsidR="00AE3BF4" w:rsidRPr="00236CDF">
        <w:rPr>
          <w:rFonts w:ascii="Arial" w:hAnsi="Arial" w:cs="Arial"/>
          <w:sz w:val="24"/>
          <w:szCs w:val="24"/>
        </w:rPr>
        <w:t>lapsed,</w:t>
      </w:r>
      <w:r w:rsidR="000460FA" w:rsidRPr="00236CDF">
        <w:rPr>
          <w:rFonts w:ascii="Arial" w:hAnsi="Arial" w:cs="Arial"/>
          <w:sz w:val="24"/>
          <w:szCs w:val="24"/>
        </w:rPr>
        <w:t xml:space="preserve"> and the state had yet to conclude its case.</w:t>
      </w:r>
    </w:p>
    <w:p w14:paraId="330F46EC" w14:textId="77777777" w:rsidR="00236CDF" w:rsidRPr="00236CDF" w:rsidRDefault="00236CDF" w:rsidP="00236CDF">
      <w:pPr>
        <w:pStyle w:val="ListParagraph"/>
        <w:rPr>
          <w:rFonts w:ascii="Arial" w:hAnsi="Arial" w:cs="Arial"/>
          <w:sz w:val="24"/>
          <w:szCs w:val="24"/>
        </w:rPr>
      </w:pPr>
    </w:p>
    <w:p w14:paraId="6C208D98" w14:textId="77777777" w:rsidR="00236CDF" w:rsidRDefault="007D42CB"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t xml:space="preserve">The appellant concluded his application by </w:t>
      </w:r>
      <w:r w:rsidR="00C52419" w:rsidRPr="00236CDF">
        <w:rPr>
          <w:rFonts w:ascii="Arial" w:hAnsi="Arial" w:cs="Arial"/>
          <w:sz w:val="24"/>
          <w:szCs w:val="24"/>
        </w:rPr>
        <w:t>making several undertakings</w:t>
      </w:r>
      <w:r w:rsidR="00124894" w:rsidRPr="00236CDF">
        <w:rPr>
          <w:rFonts w:ascii="Arial" w:hAnsi="Arial" w:cs="Arial"/>
          <w:sz w:val="24"/>
          <w:szCs w:val="24"/>
        </w:rPr>
        <w:t>. He also indicated that he could afford bail in the sum of R 2,000.</w:t>
      </w:r>
    </w:p>
    <w:p w14:paraId="37E4F376" w14:textId="77777777" w:rsidR="00236CDF" w:rsidRPr="00236CDF" w:rsidRDefault="00236CDF" w:rsidP="00236CDF">
      <w:pPr>
        <w:pStyle w:val="ListParagraph"/>
        <w:rPr>
          <w:rFonts w:ascii="Arial" w:hAnsi="Arial" w:cs="Arial"/>
          <w:sz w:val="24"/>
          <w:szCs w:val="24"/>
        </w:rPr>
      </w:pPr>
    </w:p>
    <w:p w14:paraId="655CB76D" w14:textId="77777777" w:rsidR="00236CDF" w:rsidRDefault="00227294"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t xml:space="preserve">The state called </w:t>
      </w:r>
      <w:r w:rsidR="006D08DC" w:rsidRPr="00236CDF">
        <w:rPr>
          <w:rFonts w:ascii="Arial" w:hAnsi="Arial" w:cs="Arial"/>
          <w:sz w:val="24"/>
          <w:szCs w:val="24"/>
        </w:rPr>
        <w:t xml:space="preserve">Lt-Col </w:t>
      </w:r>
      <w:proofErr w:type="spellStart"/>
      <w:r w:rsidR="006D08DC" w:rsidRPr="00236CDF">
        <w:rPr>
          <w:rFonts w:ascii="Arial" w:hAnsi="Arial" w:cs="Arial"/>
          <w:sz w:val="24"/>
          <w:szCs w:val="24"/>
        </w:rPr>
        <w:t>Mdepha</w:t>
      </w:r>
      <w:proofErr w:type="spellEnd"/>
      <w:r w:rsidR="006D08DC" w:rsidRPr="00236CDF">
        <w:rPr>
          <w:rFonts w:ascii="Arial" w:hAnsi="Arial" w:cs="Arial"/>
          <w:sz w:val="24"/>
          <w:szCs w:val="24"/>
        </w:rPr>
        <w:t xml:space="preserve"> to testify.</w:t>
      </w:r>
      <w:r w:rsidR="006D08DC">
        <w:rPr>
          <w:rStyle w:val="FootnoteReference"/>
          <w:rFonts w:ascii="Arial" w:hAnsi="Arial" w:cs="Arial"/>
          <w:sz w:val="24"/>
          <w:szCs w:val="24"/>
        </w:rPr>
        <w:footnoteReference w:id="2"/>
      </w:r>
      <w:r w:rsidR="00004CAD" w:rsidRPr="00236CDF">
        <w:rPr>
          <w:rFonts w:ascii="Arial" w:hAnsi="Arial" w:cs="Arial"/>
          <w:sz w:val="24"/>
          <w:szCs w:val="24"/>
        </w:rPr>
        <w:t xml:space="preserve"> He confirmed that he </w:t>
      </w:r>
      <w:r w:rsidR="009D0DD2" w:rsidRPr="00236CDF">
        <w:rPr>
          <w:rFonts w:ascii="Arial" w:hAnsi="Arial" w:cs="Arial"/>
          <w:sz w:val="24"/>
          <w:szCs w:val="24"/>
        </w:rPr>
        <w:t>remained</w:t>
      </w:r>
      <w:r w:rsidR="00004CAD" w:rsidRPr="00236CDF">
        <w:rPr>
          <w:rFonts w:ascii="Arial" w:hAnsi="Arial" w:cs="Arial"/>
          <w:sz w:val="24"/>
          <w:szCs w:val="24"/>
        </w:rPr>
        <w:t xml:space="preserve"> the investigating officer</w:t>
      </w:r>
      <w:r w:rsidR="009A4D37" w:rsidRPr="00236CDF">
        <w:rPr>
          <w:rFonts w:ascii="Arial" w:hAnsi="Arial" w:cs="Arial"/>
          <w:sz w:val="24"/>
          <w:szCs w:val="24"/>
        </w:rPr>
        <w:t xml:space="preserve"> and that the state still opposed the granting of bail. In that regard, Lt-Col </w:t>
      </w:r>
      <w:r w:rsidR="00AC595C" w:rsidRPr="00236CDF">
        <w:rPr>
          <w:rFonts w:ascii="Arial" w:hAnsi="Arial" w:cs="Arial"/>
          <w:sz w:val="24"/>
          <w:szCs w:val="24"/>
        </w:rPr>
        <w:t xml:space="preserve">averred that the main witness </w:t>
      </w:r>
      <w:r w:rsidR="00DC18C3" w:rsidRPr="00236CDF">
        <w:rPr>
          <w:rFonts w:ascii="Arial" w:hAnsi="Arial" w:cs="Arial"/>
          <w:sz w:val="24"/>
          <w:szCs w:val="24"/>
        </w:rPr>
        <w:t xml:space="preserve">may yet be called back to the stand to provide further evidence. There were other witnesses, too, who </w:t>
      </w:r>
      <w:r w:rsidR="003506DD" w:rsidRPr="00236CDF">
        <w:rPr>
          <w:rFonts w:ascii="Arial" w:hAnsi="Arial" w:cs="Arial"/>
          <w:sz w:val="24"/>
          <w:szCs w:val="24"/>
        </w:rPr>
        <w:t>had to testify.</w:t>
      </w:r>
      <w:r w:rsidR="000E5A6A" w:rsidRPr="00236CDF">
        <w:rPr>
          <w:rFonts w:ascii="Arial" w:hAnsi="Arial" w:cs="Arial"/>
          <w:sz w:val="24"/>
          <w:szCs w:val="24"/>
        </w:rPr>
        <w:t xml:space="preserve"> The likelihood was there that the appellant may interfere</w:t>
      </w:r>
      <w:r w:rsidR="00101EA3" w:rsidRPr="00236CDF">
        <w:rPr>
          <w:rFonts w:ascii="Arial" w:hAnsi="Arial" w:cs="Arial"/>
          <w:sz w:val="24"/>
          <w:szCs w:val="24"/>
        </w:rPr>
        <w:t xml:space="preserve">. </w:t>
      </w:r>
    </w:p>
    <w:p w14:paraId="30F5CE54" w14:textId="77777777" w:rsidR="00236CDF" w:rsidRPr="00236CDF" w:rsidRDefault="00236CDF" w:rsidP="00236CDF">
      <w:pPr>
        <w:pStyle w:val="ListParagraph"/>
        <w:rPr>
          <w:rFonts w:ascii="Arial" w:hAnsi="Arial" w:cs="Arial"/>
          <w:sz w:val="24"/>
          <w:szCs w:val="24"/>
        </w:rPr>
      </w:pPr>
    </w:p>
    <w:p w14:paraId="60F93E69" w14:textId="77777777" w:rsidR="00236CDF" w:rsidRDefault="00101EA3"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t xml:space="preserve">Regarding the case in the </w:t>
      </w:r>
      <w:r w:rsidR="00E2702D" w:rsidRPr="00236CDF">
        <w:rPr>
          <w:rFonts w:ascii="Arial" w:hAnsi="Arial" w:cs="Arial"/>
          <w:sz w:val="24"/>
          <w:szCs w:val="24"/>
        </w:rPr>
        <w:t xml:space="preserve">Regional Court, Lt-Col </w:t>
      </w:r>
      <w:proofErr w:type="spellStart"/>
      <w:r w:rsidR="00E2702D" w:rsidRPr="00236CDF">
        <w:rPr>
          <w:rFonts w:ascii="Arial" w:hAnsi="Arial" w:cs="Arial"/>
          <w:sz w:val="24"/>
          <w:szCs w:val="24"/>
        </w:rPr>
        <w:t>Mdepha</w:t>
      </w:r>
      <w:proofErr w:type="spellEnd"/>
      <w:r w:rsidR="00E2702D" w:rsidRPr="00236CDF">
        <w:rPr>
          <w:rFonts w:ascii="Arial" w:hAnsi="Arial" w:cs="Arial"/>
          <w:sz w:val="24"/>
          <w:szCs w:val="24"/>
        </w:rPr>
        <w:t xml:space="preserve"> said that </w:t>
      </w:r>
      <w:r w:rsidR="00D24AF8" w:rsidRPr="00236CDF">
        <w:rPr>
          <w:rFonts w:ascii="Arial" w:hAnsi="Arial" w:cs="Arial"/>
          <w:sz w:val="24"/>
          <w:szCs w:val="24"/>
        </w:rPr>
        <w:t xml:space="preserve">an arrangement had been made with </w:t>
      </w:r>
      <w:r w:rsidR="00006967" w:rsidRPr="00236CDF">
        <w:rPr>
          <w:rFonts w:ascii="Arial" w:hAnsi="Arial" w:cs="Arial"/>
          <w:sz w:val="24"/>
          <w:szCs w:val="24"/>
        </w:rPr>
        <w:t xml:space="preserve">his counterpart </w:t>
      </w:r>
      <w:r w:rsidR="00D24AF8" w:rsidRPr="00236CDF">
        <w:rPr>
          <w:rFonts w:ascii="Arial" w:hAnsi="Arial" w:cs="Arial"/>
          <w:sz w:val="24"/>
          <w:szCs w:val="24"/>
        </w:rPr>
        <w:t xml:space="preserve">that the Mthatha case be finalised before </w:t>
      </w:r>
      <w:r w:rsidR="00FA1398" w:rsidRPr="00236CDF">
        <w:rPr>
          <w:rFonts w:ascii="Arial" w:hAnsi="Arial" w:cs="Arial"/>
          <w:sz w:val="24"/>
          <w:szCs w:val="24"/>
        </w:rPr>
        <w:t>further steps were taken</w:t>
      </w:r>
      <w:r w:rsidR="00006967" w:rsidRPr="00236CDF">
        <w:rPr>
          <w:rFonts w:ascii="Arial" w:hAnsi="Arial" w:cs="Arial"/>
          <w:sz w:val="24"/>
          <w:szCs w:val="24"/>
        </w:rPr>
        <w:t xml:space="preserve"> in Cape Town</w:t>
      </w:r>
      <w:r w:rsidR="003F4CC3" w:rsidRPr="00236CDF">
        <w:rPr>
          <w:rFonts w:ascii="Arial" w:hAnsi="Arial" w:cs="Arial"/>
          <w:sz w:val="24"/>
          <w:szCs w:val="24"/>
        </w:rPr>
        <w:t>. There was too much risk involved in transporting the appellant between the two centres.</w:t>
      </w:r>
      <w:r w:rsidR="00D252F8" w:rsidRPr="00236CDF">
        <w:rPr>
          <w:rFonts w:ascii="Arial" w:hAnsi="Arial" w:cs="Arial"/>
          <w:sz w:val="24"/>
          <w:szCs w:val="24"/>
        </w:rPr>
        <w:t xml:space="preserve"> The case in the Regional Court had not been removed from the roll permanently.</w:t>
      </w:r>
    </w:p>
    <w:p w14:paraId="54DC3070" w14:textId="77777777" w:rsidR="00236CDF" w:rsidRPr="00236CDF" w:rsidRDefault="00236CDF" w:rsidP="00236CDF">
      <w:pPr>
        <w:pStyle w:val="ListParagraph"/>
        <w:rPr>
          <w:rFonts w:ascii="Arial" w:hAnsi="Arial" w:cs="Arial"/>
          <w:sz w:val="24"/>
          <w:szCs w:val="24"/>
        </w:rPr>
      </w:pPr>
    </w:p>
    <w:p w14:paraId="1E3B20EA" w14:textId="77777777" w:rsidR="00236CDF" w:rsidRDefault="00FB5D30"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t xml:space="preserve">Lt-Col </w:t>
      </w:r>
      <w:proofErr w:type="spellStart"/>
      <w:r w:rsidRPr="00236CDF">
        <w:rPr>
          <w:rFonts w:ascii="Arial" w:hAnsi="Arial" w:cs="Arial"/>
          <w:sz w:val="24"/>
          <w:szCs w:val="24"/>
        </w:rPr>
        <w:t>Mdepha</w:t>
      </w:r>
      <w:proofErr w:type="spellEnd"/>
      <w:r w:rsidRPr="00236CDF">
        <w:rPr>
          <w:rFonts w:ascii="Arial" w:hAnsi="Arial" w:cs="Arial"/>
          <w:sz w:val="24"/>
          <w:szCs w:val="24"/>
        </w:rPr>
        <w:t xml:space="preserve"> could not comment on the judge’s taking long leave in the High Court. </w:t>
      </w:r>
      <w:r w:rsidR="004A56EC" w:rsidRPr="00236CDF">
        <w:rPr>
          <w:rFonts w:ascii="Arial" w:hAnsi="Arial" w:cs="Arial"/>
          <w:sz w:val="24"/>
          <w:szCs w:val="24"/>
        </w:rPr>
        <w:t xml:space="preserve">The state had nothing to do with any delay in that regard. He </w:t>
      </w:r>
      <w:r w:rsidR="00E535D3" w:rsidRPr="00236CDF">
        <w:rPr>
          <w:rFonts w:ascii="Arial" w:hAnsi="Arial" w:cs="Arial"/>
          <w:sz w:val="24"/>
          <w:szCs w:val="24"/>
        </w:rPr>
        <w:t>indicat</w:t>
      </w:r>
      <w:r w:rsidR="004A56EC" w:rsidRPr="00236CDF">
        <w:rPr>
          <w:rFonts w:ascii="Arial" w:hAnsi="Arial" w:cs="Arial"/>
          <w:sz w:val="24"/>
          <w:szCs w:val="24"/>
        </w:rPr>
        <w:t xml:space="preserve">ed, too, that there were </w:t>
      </w:r>
      <w:r w:rsidR="00E535D3" w:rsidRPr="00236CDF">
        <w:rPr>
          <w:rFonts w:ascii="Arial" w:hAnsi="Arial" w:cs="Arial"/>
          <w:sz w:val="24"/>
          <w:szCs w:val="24"/>
        </w:rPr>
        <w:t>less than ten witnesses still to testify.</w:t>
      </w:r>
      <w:r w:rsidR="0076321B" w:rsidRPr="00236CDF">
        <w:rPr>
          <w:rFonts w:ascii="Arial" w:hAnsi="Arial" w:cs="Arial"/>
          <w:sz w:val="24"/>
          <w:szCs w:val="24"/>
        </w:rPr>
        <w:t xml:space="preserve"> The </w:t>
      </w:r>
      <w:r w:rsidR="00CE29C5" w:rsidRPr="00236CDF">
        <w:rPr>
          <w:rFonts w:ascii="Arial" w:hAnsi="Arial" w:cs="Arial"/>
          <w:sz w:val="24"/>
          <w:szCs w:val="24"/>
        </w:rPr>
        <w:t>case for the state was close to completion.</w:t>
      </w:r>
    </w:p>
    <w:p w14:paraId="596C2EE0" w14:textId="77777777" w:rsidR="00CD21E1" w:rsidRDefault="00CE29C5" w:rsidP="0031623B">
      <w:pPr>
        <w:pStyle w:val="ListParagraph"/>
        <w:numPr>
          <w:ilvl w:val="0"/>
          <w:numId w:val="5"/>
        </w:numPr>
        <w:spacing w:line="360" w:lineRule="auto"/>
        <w:ind w:left="0" w:firstLine="0"/>
        <w:jc w:val="both"/>
        <w:rPr>
          <w:rFonts w:ascii="Arial" w:hAnsi="Arial" w:cs="Arial"/>
          <w:sz w:val="24"/>
          <w:szCs w:val="24"/>
        </w:rPr>
      </w:pPr>
      <w:r w:rsidRPr="00236CDF">
        <w:rPr>
          <w:rFonts w:ascii="Arial" w:hAnsi="Arial" w:cs="Arial"/>
          <w:sz w:val="24"/>
          <w:szCs w:val="24"/>
        </w:rPr>
        <w:lastRenderedPageBreak/>
        <w:t xml:space="preserve">In relation to the </w:t>
      </w:r>
      <w:r w:rsidR="00BA43FE" w:rsidRPr="00236CDF">
        <w:rPr>
          <w:rFonts w:ascii="Arial" w:hAnsi="Arial" w:cs="Arial"/>
          <w:sz w:val="24"/>
          <w:szCs w:val="24"/>
        </w:rPr>
        <w:t xml:space="preserve">appellant’s employment, Lt-Col </w:t>
      </w:r>
      <w:proofErr w:type="spellStart"/>
      <w:r w:rsidR="00BA43FE" w:rsidRPr="00236CDF">
        <w:rPr>
          <w:rFonts w:ascii="Arial" w:hAnsi="Arial" w:cs="Arial"/>
          <w:sz w:val="24"/>
          <w:szCs w:val="24"/>
        </w:rPr>
        <w:t>Mdepha</w:t>
      </w:r>
      <w:proofErr w:type="spellEnd"/>
      <w:r w:rsidR="00BA43FE" w:rsidRPr="00236CDF">
        <w:rPr>
          <w:rFonts w:ascii="Arial" w:hAnsi="Arial" w:cs="Arial"/>
          <w:sz w:val="24"/>
          <w:szCs w:val="24"/>
        </w:rPr>
        <w:t xml:space="preserve"> alleged that he had </w:t>
      </w:r>
      <w:r w:rsidR="007A6AA2" w:rsidRPr="00236CDF">
        <w:rPr>
          <w:rFonts w:ascii="Arial" w:hAnsi="Arial" w:cs="Arial"/>
          <w:sz w:val="24"/>
          <w:szCs w:val="24"/>
        </w:rPr>
        <w:t>not had permanent employment at the time of his arrest</w:t>
      </w:r>
      <w:r w:rsidR="00DB3A02" w:rsidRPr="00236CDF">
        <w:rPr>
          <w:rFonts w:ascii="Arial" w:hAnsi="Arial" w:cs="Arial"/>
          <w:sz w:val="24"/>
          <w:szCs w:val="24"/>
        </w:rPr>
        <w:t xml:space="preserve">; </w:t>
      </w:r>
      <w:r w:rsidR="007512D2" w:rsidRPr="00236CDF">
        <w:rPr>
          <w:rFonts w:ascii="Arial" w:hAnsi="Arial" w:cs="Arial"/>
          <w:sz w:val="24"/>
          <w:szCs w:val="24"/>
        </w:rPr>
        <w:t xml:space="preserve">however, </w:t>
      </w:r>
      <w:r w:rsidR="00DB3A02" w:rsidRPr="00236CDF">
        <w:rPr>
          <w:rFonts w:ascii="Arial" w:hAnsi="Arial" w:cs="Arial"/>
          <w:sz w:val="24"/>
          <w:szCs w:val="24"/>
        </w:rPr>
        <w:t xml:space="preserve">he may have </w:t>
      </w:r>
      <w:r w:rsidR="00B449F9" w:rsidRPr="00236CDF">
        <w:rPr>
          <w:rFonts w:ascii="Arial" w:hAnsi="Arial" w:cs="Arial"/>
          <w:sz w:val="24"/>
          <w:szCs w:val="24"/>
        </w:rPr>
        <w:t xml:space="preserve">been </w:t>
      </w:r>
      <w:r w:rsidR="00CF13EC" w:rsidRPr="00236CDF">
        <w:rPr>
          <w:rFonts w:ascii="Arial" w:hAnsi="Arial" w:cs="Arial"/>
          <w:sz w:val="24"/>
          <w:szCs w:val="24"/>
        </w:rPr>
        <w:t>involv</w:t>
      </w:r>
      <w:r w:rsidR="00B449F9" w:rsidRPr="00236CDF">
        <w:rPr>
          <w:rFonts w:ascii="Arial" w:hAnsi="Arial" w:cs="Arial"/>
          <w:sz w:val="24"/>
          <w:szCs w:val="24"/>
        </w:rPr>
        <w:t>ed in</w:t>
      </w:r>
      <w:r w:rsidR="00DB3A02" w:rsidRPr="00236CDF">
        <w:rPr>
          <w:rFonts w:ascii="Arial" w:hAnsi="Arial" w:cs="Arial"/>
          <w:sz w:val="24"/>
          <w:szCs w:val="24"/>
        </w:rPr>
        <w:t xml:space="preserve"> piecemeal work.</w:t>
      </w:r>
      <w:r w:rsidR="00CF13EC" w:rsidRPr="00236CDF">
        <w:rPr>
          <w:rFonts w:ascii="Arial" w:hAnsi="Arial" w:cs="Arial"/>
          <w:sz w:val="24"/>
          <w:szCs w:val="24"/>
        </w:rPr>
        <w:t xml:space="preserve"> Lt-Col </w:t>
      </w:r>
      <w:proofErr w:type="spellStart"/>
      <w:r w:rsidR="00CF13EC" w:rsidRPr="00236CDF">
        <w:rPr>
          <w:rFonts w:ascii="Arial" w:hAnsi="Arial" w:cs="Arial"/>
          <w:sz w:val="24"/>
          <w:szCs w:val="24"/>
        </w:rPr>
        <w:t>Mdepha</w:t>
      </w:r>
      <w:proofErr w:type="spellEnd"/>
      <w:r w:rsidR="00CF13EC" w:rsidRPr="00236CDF">
        <w:rPr>
          <w:rFonts w:ascii="Arial" w:hAnsi="Arial" w:cs="Arial"/>
          <w:sz w:val="24"/>
          <w:szCs w:val="24"/>
        </w:rPr>
        <w:t xml:space="preserve"> did not know the employer referred to by the appellant.</w:t>
      </w:r>
    </w:p>
    <w:p w14:paraId="264F372B" w14:textId="77777777" w:rsidR="00CD21E1" w:rsidRPr="00CD21E1" w:rsidRDefault="00CD21E1" w:rsidP="00CD21E1">
      <w:pPr>
        <w:pStyle w:val="ListParagraph"/>
        <w:rPr>
          <w:rFonts w:ascii="Arial" w:hAnsi="Arial" w:cs="Arial"/>
          <w:sz w:val="24"/>
          <w:szCs w:val="24"/>
        </w:rPr>
      </w:pPr>
    </w:p>
    <w:p w14:paraId="480446C2" w14:textId="77777777" w:rsidR="00CD21E1" w:rsidRDefault="00626423" w:rsidP="0031623B">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t xml:space="preserve">There had been no reports, said Lt-Col </w:t>
      </w:r>
      <w:proofErr w:type="spellStart"/>
      <w:r w:rsidRPr="00CD21E1">
        <w:rPr>
          <w:rFonts w:ascii="Arial" w:hAnsi="Arial" w:cs="Arial"/>
          <w:sz w:val="24"/>
          <w:szCs w:val="24"/>
        </w:rPr>
        <w:t>Mdepha</w:t>
      </w:r>
      <w:proofErr w:type="spellEnd"/>
      <w:r w:rsidR="00C01B7C" w:rsidRPr="00CD21E1">
        <w:rPr>
          <w:rFonts w:ascii="Arial" w:hAnsi="Arial" w:cs="Arial"/>
          <w:sz w:val="24"/>
          <w:szCs w:val="24"/>
        </w:rPr>
        <w:t>, pertaining to the appellant’s state of health.</w:t>
      </w:r>
      <w:r w:rsidR="00243BA1" w:rsidRPr="00CD21E1">
        <w:rPr>
          <w:rFonts w:ascii="Arial" w:hAnsi="Arial" w:cs="Arial"/>
          <w:sz w:val="24"/>
          <w:szCs w:val="24"/>
        </w:rPr>
        <w:t xml:space="preserve"> He had heard nothing to this effect from either the </w:t>
      </w:r>
      <w:r w:rsidR="00F61574" w:rsidRPr="00CD21E1">
        <w:rPr>
          <w:rFonts w:ascii="Arial" w:hAnsi="Arial" w:cs="Arial"/>
          <w:sz w:val="24"/>
          <w:szCs w:val="24"/>
        </w:rPr>
        <w:t xml:space="preserve">Department of Correctional Services </w:t>
      </w:r>
      <w:r w:rsidR="00C4357D" w:rsidRPr="00CD21E1">
        <w:rPr>
          <w:rFonts w:ascii="Arial" w:hAnsi="Arial" w:cs="Arial"/>
          <w:sz w:val="24"/>
          <w:szCs w:val="24"/>
        </w:rPr>
        <w:t>officials or the appellant himself.</w:t>
      </w:r>
    </w:p>
    <w:p w14:paraId="671B6E05" w14:textId="77777777" w:rsidR="00CD21E1" w:rsidRPr="00CD21E1" w:rsidRDefault="00CD21E1" w:rsidP="00CD21E1">
      <w:pPr>
        <w:pStyle w:val="ListParagraph"/>
        <w:rPr>
          <w:rFonts w:ascii="Arial" w:hAnsi="Arial" w:cs="Arial"/>
          <w:sz w:val="24"/>
          <w:szCs w:val="24"/>
        </w:rPr>
      </w:pPr>
    </w:p>
    <w:p w14:paraId="2258A516" w14:textId="77777777" w:rsidR="00CD21E1" w:rsidRDefault="00FF5573" w:rsidP="0031623B">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t xml:space="preserve">Lt-Col </w:t>
      </w:r>
      <w:proofErr w:type="spellStart"/>
      <w:r w:rsidRPr="00CD21E1">
        <w:rPr>
          <w:rFonts w:ascii="Arial" w:hAnsi="Arial" w:cs="Arial"/>
          <w:sz w:val="24"/>
          <w:szCs w:val="24"/>
        </w:rPr>
        <w:t>Mdepha</w:t>
      </w:r>
      <w:proofErr w:type="spellEnd"/>
      <w:r w:rsidRPr="00CD21E1">
        <w:rPr>
          <w:rFonts w:ascii="Arial" w:hAnsi="Arial" w:cs="Arial"/>
          <w:sz w:val="24"/>
          <w:szCs w:val="24"/>
        </w:rPr>
        <w:t xml:space="preserve"> was adamant that the appellant remained a flight risk. He would attempt to evade trial because of the charges that he was facing, and the police would find it difficult to apprehend him because he used different names.</w:t>
      </w:r>
    </w:p>
    <w:p w14:paraId="3DC20CB7" w14:textId="77777777" w:rsidR="00CD21E1" w:rsidRPr="00CD21E1" w:rsidRDefault="00CD21E1" w:rsidP="00CD21E1">
      <w:pPr>
        <w:pStyle w:val="ListParagraph"/>
        <w:rPr>
          <w:rFonts w:ascii="Arial" w:hAnsi="Arial" w:cs="Arial"/>
          <w:sz w:val="24"/>
          <w:szCs w:val="24"/>
        </w:rPr>
      </w:pPr>
    </w:p>
    <w:p w14:paraId="586EAC82" w14:textId="77777777" w:rsidR="00CD21E1" w:rsidRDefault="00FF5573" w:rsidP="0031623B">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t xml:space="preserve">Under cross-examination, Lt-Col </w:t>
      </w:r>
      <w:proofErr w:type="spellStart"/>
      <w:r w:rsidRPr="00CD21E1">
        <w:rPr>
          <w:rFonts w:ascii="Arial" w:hAnsi="Arial" w:cs="Arial"/>
          <w:sz w:val="24"/>
          <w:szCs w:val="24"/>
        </w:rPr>
        <w:t>Mdepha</w:t>
      </w:r>
      <w:proofErr w:type="spellEnd"/>
      <w:r w:rsidRPr="00CD21E1">
        <w:rPr>
          <w:rFonts w:ascii="Arial" w:hAnsi="Arial" w:cs="Arial"/>
          <w:sz w:val="24"/>
          <w:szCs w:val="24"/>
        </w:rPr>
        <w:t xml:space="preserve"> could not dispute that the appellant had depleted his financial resources. He could also not dispute that the conclusion of the main witness’s testimony, the removal from the roll of the case in the Regional Court, and the offer of employment, were new facts.</w:t>
      </w:r>
    </w:p>
    <w:p w14:paraId="28DCE3E0" w14:textId="77777777" w:rsidR="00CD21E1" w:rsidRPr="00CD21E1" w:rsidRDefault="00CD21E1" w:rsidP="00CD21E1">
      <w:pPr>
        <w:pStyle w:val="ListParagraph"/>
        <w:rPr>
          <w:rFonts w:ascii="Arial" w:hAnsi="Arial" w:cs="Arial"/>
          <w:sz w:val="24"/>
          <w:szCs w:val="24"/>
        </w:rPr>
      </w:pPr>
    </w:p>
    <w:p w14:paraId="3D1ECA63" w14:textId="77777777" w:rsidR="00CD21E1" w:rsidRDefault="00FF5573" w:rsidP="0031623B">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t xml:space="preserve">The magistrate, in his judgment, </w:t>
      </w:r>
      <w:r w:rsidR="00421886" w:rsidRPr="00CD21E1">
        <w:rPr>
          <w:rFonts w:ascii="Arial" w:hAnsi="Arial" w:cs="Arial"/>
          <w:sz w:val="24"/>
          <w:szCs w:val="24"/>
        </w:rPr>
        <w:t>accepted that the appellant had presented new facts for consideration. They could not, however, be considered in isolation. The facts that emerged from the first bail application were overwhelmingly against the granting of bail.</w:t>
      </w:r>
    </w:p>
    <w:p w14:paraId="614712C7" w14:textId="77777777" w:rsidR="00CD21E1" w:rsidRPr="00CD21E1" w:rsidRDefault="00CD21E1" w:rsidP="00CD21E1">
      <w:pPr>
        <w:pStyle w:val="ListParagraph"/>
        <w:rPr>
          <w:rFonts w:ascii="Arial" w:hAnsi="Arial" w:cs="Arial"/>
          <w:sz w:val="24"/>
          <w:szCs w:val="24"/>
        </w:rPr>
      </w:pPr>
    </w:p>
    <w:p w14:paraId="7EA83BD3" w14:textId="77777777" w:rsidR="002D11C7" w:rsidRPr="00CD21E1" w:rsidRDefault="002D11C7" w:rsidP="0031623B">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t>It is the above decision against which the appellant appeals.</w:t>
      </w:r>
    </w:p>
    <w:p w14:paraId="170BFE33" w14:textId="77777777" w:rsidR="002D11C7" w:rsidRDefault="002D11C7" w:rsidP="0031623B">
      <w:pPr>
        <w:spacing w:line="360" w:lineRule="auto"/>
        <w:rPr>
          <w:rFonts w:ascii="Arial" w:hAnsi="Arial" w:cs="Arial"/>
          <w:sz w:val="24"/>
          <w:szCs w:val="24"/>
        </w:rPr>
      </w:pPr>
    </w:p>
    <w:p w14:paraId="42239769" w14:textId="77777777" w:rsidR="002D11C7" w:rsidRPr="002D11C7" w:rsidRDefault="002D11C7" w:rsidP="00CD21E1">
      <w:pPr>
        <w:spacing w:line="360" w:lineRule="auto"/>
        <w:jc w:val="both"/>
        <w:rPr>
          <w:rFonts w:ascii="Arial" w:hAnsi="Arial" w:cs="Arial"/>
          <w:b/>
          <w:bCs/>
          <w:sz w:val="24"/>
          <w:szCs w:val="24"/>
        </w:rPr>
      </w:pPr>
      <w:r w:rsidRPr="002D11C7">
        <w:rPr>
          <w:rFonts w:ascii="Arial" w:hAnsi="Arial" w:cs="Arial"/>
          <w:b/>
          <w:bCs/>
          <w:sz w:val="24"/>
          <w:szCs w:val="24"/>
        </w:rPr>
        <w:t>Grounds of appeal</w:t>
      </w:r>
    </w:p>
    <w:p w14:paraId="6A74696A" w14:textId="77777777" w:rsidR="00CD21E1" w:rsidRDefault="002D11C7" w:rsidP="0031623B">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t>The appellant’s grounds of appeal are</w:t>
      </w:r>
      <w:r w:rsidR="008E10DC" w:rsidRPr="00CD21E1">
        <w:rPr>
          <w:rFonts w:ascii="Arial" w:hAnsi="Arial" w:cs="Arial"/>
          <w:sz w:val="24"/>
          <w:szCs w:val="24"/>
        </w:rPr>
        <w:t xml:space="preserve"> as follows: the </w:t>
      </w:r>
      <w:r w:rsidR="00C606EB" w:rsidRPr="00CD21E1">
        <w:rPr>
          <w:rFonts w:ascii="Arial" w:hAnsi="Arial" w:cs="Arial"/>
          <w:sz w:val="24"/>
          <w:szCs w:val="24"/>
        </w:rPr>
        <w:t xml:space="preserve">magistrate failed to address the question whether the new facts amounted to exceptional circumstances; </w:t>
      </w:r>
      <w:r w:rsidR="00915254" w:rsidRPr="00CD21E1">
        <w:rPr>
          <w:rFonts w:ascii="Arial" w:hAnsi="Arial" w:cs="Arial"/>
          <w:sz w:val="24"/>
          <w:szCs w:val="24"/>
        </w:rPr>
        <w:t xml:space="preserve">he failed to </w:t>
      </w:r>
      <w:r w:rsidR="000437CD" w:rsidRPr="00CD21E1">
        <w:rPr>
          <w:rFonts w:ascii="Arial" w:hAnsi="Arial" w:cs="Arial"/>
          <w:sz w:val="24"/>
          <w:szCs w:val="24"/>
        </w:rPr>
        <w:t>weigh up all the evidence</w:t>
      </w:r>
      <w:r w:rsidR="00072CB4" w:rsidRPr="00CD21E1">
        <w:rPr>
          <w:rFonts w:ascii="Arial" w:hAnsi="Arial" w:cs="Arial"/>
          <w:sz w:val="24"/>
          <w:szCs w:val="24"/>
        </w:rPr>
        <w:t xml:space="preserve"> presented in the first and second bail applications to decide whether </w:t>
      </w:r>
      <w:r w:rsidR="0007133A" w:rsidRPr="00CD21E1">
        <w:rPr>
          <w:rFonts w:ascii="Arial" w:hAnsi="Arial" w:cs="Arial"/>
          <w:sz w:val="24"/>
          <w:szCs w:val="24"/>
        </w:rPr>
        <w:t xml:space="preserve">exceptional circumstances existed; </w:t>
      </w:r>
      <w:r w:rsidR="00075893" w:rsidRPr="00CD21E1">
        <w:rPr>
          <w:rFonts w:ascii="Arial" w:hAnsi="Arial" w:cs="Arial"/>
          <w:sz w:val="24"/>
          <w:szCs w:val="24"/>
        </w:rPr>
        <w:t xml:space="preserve">he failed to exercise his discretion at all; </w:t>
      </w:r>
      <w:r w:rsidR="008C3A64" w:rsidRPr="00CD21E1">
        <w:rPr>
          <w:rFonts w:ascii="Arial" w:hAnsi="Arial" w:cs="Arial"/>
          <w:sz w:val="24"/>
          <w:szCs w:val="24"/>
        </w:rPr>
        <w:t xml:space="preserve">he failed to protect the appellant’s right to a fair hearing </w:t>
      </w:r>
      <w:r w:rsidR="00F549C1" w:rsidRPr="00CD21E1">
        <w:rPr>
          <w:rFonts w:ascii="Arial" w:hAnsi="Arial" w:cs="Arial"/>
          <w:sz w:val="24"/>
          <w:szCs w:val="24"/>
        </w:rPr>
        <w:t xml:space="preserve">of his bail application by </w:t>
      </w:r>
      <w:r w:rsidR="005A6012" w:rsidRPr="00CD21E1">
        <w:rPr>
          <w:rFonts w:ascii="Arial" w:hAnsi="Arial" w:cs="Arial"/>
          <w:sz w:val="24"/>
          <w:szCs w:val="24"/>
        </w:rPr>
        <w:t xml:space="preserve">merely </w:t>
      </w:r>
      <w:r w:rsidR="00F549C1" w:rsidRPr="00CD21E1">
        <w:rPr>
          <w:rFonts w:ascii="Arial" w:hAnsi="Arial" w:cs="Arial"/>
          <w:sz w:val="24"/>
          <w:szCs w:val="24"/>
        </w:rPr>
        <w:t xml:space="preserve">advising him that he could </w:t>
      </w:r>
      <w:r w:rsidR="005A6012" w:rsidRPr="00CD21E1">
        <w:rPr>
          <w:rFonts w:ascii="Arial" w:hAnsi="Arial" w:cs="Arial"/>
          <w:sz w:val="24"/>
          <w:szCs w:val="24"/>
        </w:rPr>
        <w:t>appeal the decision</w:t>
      </w:r>
      <w:r w:rsidR="00216A07" w:rsidRPr="00CD21E1">
        <w:rPr>
          <w:rFonts w:ascii="Arial" w:hAnsi="Arial" w:cs="Arial"/>
          <w:sz w:val="24"/>
          <w:szCs w:val="24"/>
        </w:rPr>
        <w:t>; and, overall, the magistrate exercised his discretion wrongly.</w:t>
      </w:r>
    </w:p>
    <w:p w14:paraId="18E787C7" w14:textId="77777777" w:rsidR="00E9104F" w:rsidRPr="00CD21E1" w:rsidRDefault="009F6A7A" w:rsidP="0031623B">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lastRenderedPageBreak/>
        <w:t xml:space="preserve">The provisions of section 65(4) of the CPA, contends the </w:t>
      </w:r>
      <w:r w:rsidR="00DE07B4" w:rsidRPr="00CD21E1">
        <w:rPr>
          <w:rFonts w:ascii="Arial" w:hAnsi="Arial" w:cs="Arial"/>
          <w:sz w:val="24"/>
          <w:szCs w:val="24"/>
        </w:rPr>
        <w:t>appellant, ought to be invoked.</w:t>
      </w:r>
    </w:p>
    <w:p w14:paraId="0550AC0C" w14:textId="77777777" w:rsidR="00421886" w:rsidRDefault="00421886" w:rsidP="0031623B">
      <w:pPr>
        <w:spacing w:line="360" w:lineRule="auto"/>
        <w:rPr>
          <w:rFonts w:ascii="Arial" w:hAnsi="Arial" w:cs="Arial"/>
          <w:sz w:val="24"/>
          <w:szCs w:val="24"/>
        </w:rPr>
      </w:pPr>
    </w:p>
    <w:p w14:paraId="251138C1" w14:textId="4EF9175A" w:rsidR="00421886" w:rsidRDefault="00421886" w:rsidP="000D4B66">
      <w:pPr>
        <w:spacing w:line="360" w:lineRule="auto"/>
        <w:jc w:val="both"/>
        <w:rPr>
          <w:rFonts w:ascii="Arial" w:hAnsi="Arial" w:cs="Arial"/>
          <w:sz w:val="24"/>
          <w:szCs w:val="24"/>
        </w:rPr>
      </w:pPr>
      <w:r w:rsidRPr="00421886">
        <w:rPr>
          <w:rFonts w:ascii="Arial" w:hAnsi="Arial" w:cs="Arial"/>
          <w:b/>
          <w:bCs/>
          <w:sz w:val="24"/>
          <w:szCs w:val="24"/>
        </w:rPr>
        <w:t>Issue to be decided</w:t>
      </w:r>
    </w:p>
    <w:p w14:paraId="20BB0142" w14:textId="77777777" w:rsidR="00421886" w:rsidRPr="00CD21E1" w:rsidRDefault="00421886" w:rsidP="00CD21E1">
      <w:pPr>
        <w:pStyle w:val="ListParagraph"/>
        <w:numPr>
          <w:ilvl w:val="0"/>
          <w:numId w:val="5"/>
        </w:numPr>
        <w:spacing w:line="360" w:lineRule="auto"/>
        <w:ind w:left="0" w:firstLine="0"/>
        <w:jc w:val="both"/>
        <w:rPr>
          <w:rFonts w:ascii="Arial" w:hAnsi="Arial" w:cs="Arial"/>
          <w:sz w:val="24"/>
          <w:szCs w:val="24"/>
        </w:rPr>
      </w:pPr>
      <w:r w:rsidRPr="00CD21E1">
        <w:rPr>
          <w:rFonts w:ascii="Arial" w:hAnsi="Arial" w:cs="Arial"/>
          <w:sz w:val="24"/>
          <w:szCs w:val="24"/>
        </w:rPr>
        <w:t xml:space="preserve">The provisions of section 65(4) are </w:t>
      </w:r>
      <w:r w:rsidR="00DE07B4" w:rsidRPr="00CD21E1">
        <w:rPr>
          <w:rFonts w:ascii="Arial" w:hAnsi="Arial" w:cs="Arial"/>
          <w:sz w:val="24"/>
          <w:szCs w:val="24"/>
        </w:rPr>
        <w:t xml:space="preserve">indeed </w:t>
      </w:r>
      <w:r w:rsidRPr="00CD21E1">
        <w:rPr>
          <w:rFonts w:ascii="Arial" w:hAnsi="Arial" w:cs="Arial"/>
          <w:sz w:val="24"/>
          <w:szCs w:val="24"/>
        </w:rPr>
        <w:t>pertinent. The</w:t>
      </w:r>
      <w:r w:rsidR="00DE07B4" w:rsidRPr="00CD21E1">
        <w:rPr>
          <w:rFonts w:ascii="Arial" w:hAnsi="Arial" w:cs="Arial"/>
          <w:sz w:val="24"/>
          <w:szCs w:val="24"/>
        </w:rPr>
        <w:t>y</w:t>
      </w:r>
      <w:r w:rsidRPr="00CD21E1">
        <w:rPr>
          <w:rFonts w:ascii="Arial" w:hAnsi="Arial" w:cs="Arial"/>
          <w:sz w:val="24"/>
          <w:szCs w:val="24"/>
        </w:rPr>
        <w:t xml:space="preserve"> provide as follows:</w:t>
      </w:r>
    </w:p>
    <w:p w14:paraId="412C13D9" w14:textId="77777777" w:rsidR="002D11C7" w:rsidRDefault="002D11C7" w:rsidP="000D4B66">
      <w:pPr>
        <w:spacing w:line="360" w:lineRule="auto"/>
        <w:rPr>
          <w:rFonts w:ascii="Arial" w:hAnsi="Arial" w:cs="Arial"/>
          <w:sz w:val="24"/>
          <w:szCs w:val="24"/>
        </w:rPr>
      </w:pPr>
    </w:p>
    <w:p w14:paraId="530241A0" w14:textId="77777777" w:rsidR="00421886" w:rsidRPr="002D11C7" w:rsidRDefault="00421886" w:rsidP="00043F17">
      <w:pPr>
        <w:spacing w:line="360" w:lineRule="auto"/>
        <w:ind w:left="720"/>
        <w:jc w:val="both"/>
        <w:rPr>
          <w:rFonts w:ascii="Arial" w:hAnsi="Arial" w:cs="Arial"/>
        </w:rPr>
      </w:pPr>
      <w:r w:rsidRPr="002D11C7">
        <w:rPr>
          <w:rFonts w:ascii="Arial" w:hAnsi="Arial" w:cs="Arial"/>
        </w:rPr>
        <w:t>‘</w:t>
      </w:r>
      <w:r w:rsidR="002D11C7" w:rsidRPr="002D11C7">
        <w:rPr>
          <w:rFonts w:ascii="Arial" w:hAnsi="Arial" w:cs="Arial"/>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14:paraId="189C7024" w14:textId="77777777" w:rsidR="002D11C7" w:rsidRDefault="002D11C7" w:rsidP="002D11C7">
      <w:pPr>
        <w:spacing w:line="360" w:lineRule="auto"/>
        <w:rPr>
          <w:rFonts w:ascii="Arial" w:hAnsi="Arial" w:cs="Arial"/>
          <w:sz w:val="24"/>
          <w:szCs w:val="24"/>
        </w:rPr>
      </w:pPr>
    </w:p>
    <w:p w14:paraId="4486E6D3" w14:textId="77777777" w:rsidR="00FC161A" w:rsidRPr="00043F17" w:rsidRDefault="002D11C7" w:rsidP="00043F17">
      <w:pPr>
        <w:pStyle w:val="ListParagraph"/>
        <w:numPr>
          <w:ilvl w:val="0"/>
          <w:numId w:val="5"/>
        </w:numPr>
        <w:spacing w:line="360" w:lineRule="auto"/>
        <w:ind w:left="0" w:firstLine="0"/>
        <w:jc w:val="both"/>
        <w:rPr>
          <w:rFonts w:ascii="Arial" w:hAnsi="Arial" w:cs="Arial"/>
          <w:sz w:val="24"/>
          <w:szCs w:val="24"/>
        </w:rPr>
      </w:pPr>
      <w:r w:rsidRPr="00043F17">
        <w:rPr>
          <w:rFonts w:ascii="Arial" w:hAnsi="Arial" w:cs="Arial"/>
          <w:sz w:val="24"/>
          <w:szCs w:val="24"/>
        </w:rPr>
        <w:t>From the above, the crisp issue for determination is whether the decision made by the magistrate on 9 May 2023 was wrong.</w:t>
      </w:r>
      <w:r w:rsidR="00754945" w:rsidRPr="00043F17">
        <w:rPr>
          <w:rFonts w:ascii="Arial" w:hAnsi="Arial" w:cs="Arial"/>
          <w:sz w:val="24"/>
          <w:szCs w:val="24"/>
        </w:rPr>
        <w:t xml:space="preserve"> </w:t>
      </w:r>
      <w:r w:rsidR="00F138AD" w:rsidRPr="00043F17">
        <w:rPr>
          <w:rFonts w:ascii="Arial" w:hAnsi="Arial" w:cs="Arial"/>
          <w:sz w:val="24"/>
          <w:szCs w:val="24"/>
        </w:rPr>
        <w:t>This will depend, in turn, on whether the appellant met the conditions of section 6</w:t>
      </w:r>
      <w:r w:rsidR="00FA77A7" w:rsidRPr="00043F17">
        <w:rPr>
          <w:rFonts w:ascii="Arial" w:hAnsi="Arial" w:cs="Arial"/>
          <w:sz w:val="24"/>
          <w:szCs w:val="24"/>
        </w:rPr>
        <w:t>0</w:t>
      </w:r>
      <w:r w:rsidR="00F138AD" w:rsidRPr="00043F17">
        <w:rPr>
          <w:rFonts w:ascii="Arial" w:hAnsi="Arial" w:cs="Arial"/>
          <w:sz w:val="24"/>
          <w:szCs w:val="24"/>
        </w:rPr>
        <w:t>(11)(a)</w:t>
      </w:r>
      <w:r w:rsidR="00006BB8" w:rsidRPr="00043F17">
        <w:rPr>
          <w:rFonts w:ascii="Arial" w:hAnsi="Arial" w:cs="Arial"/>
          <w:sz w:val="24"/>
          <w:szCs w:val="24"/>
        </w:rPr>
        <w:t>, which stipulate as follows</w:t>
      </w:r>
      <w:r w:rsidR="00FC161A" w:rsidRPr="00043F17">
        <w:rPr>
          <w:rFonts w:ascii="Arial" w:hAnsi="Arial" w:cs="Arial"/>
          <w:sz w:val="24"/>
          <w:szCs w:val="24"/>
        </w:rPr>
        <w:t>:</w:t>
      </w:r>
    </w:p>
    <w:p w14:paraId="14C9F632" w14:textId="77777777" w:rsidR="00006BB8" w:rsidRPr="00DE12E6" w:rsidRDefault="00006BB8" w:rsidP="000D4B66">
      <w:pPr>
        <w:spacing w:line="360" w:lineRule="auto"/>
        <w:jc w:val="both"/>
        <w:rPr>
          <w:rFonts w:ascii="Arial" w:hAnsi="Arial" w:cs="Arial"/>
        </w:rPr>
      </w:pPr>
      <w:r w:rsidRPr="00DE12E6">
        <w:rPr>
          <w:rFonts w:ascii="Arial" w:hAnsi="Arial" w:cs="Arial"/>
        </w:rPr>
        <w:t>‘</w:t>
      </w:r>
      <w:r w:rsidR="00D712D1" w:rsidRPr="00DE12E6">
        <w:rPr>
          <w:rFonts w:ascii="Arial" w:hAnsi="Arial" w:cs="Arial"/>
        </w:rPr>
        <w:t>…Notwithstanding any provision of this Act</w:t>
      </w:r>
      <w:r w:rsidR="00FA77A7" w:rsidRPr="00DE12E6">
        <w:rPr>
          <w:rFonts w:ascii="Arial" w:hAnsi="Arial" w:cs="Arial"/>
        </w:rPr>
        <w:t>, where an accused is charged with an offence–</w:t>
      </w:r>
    </w:p>
    <w:p w14:paraId="22F6A84B" w14:textId="77777777" w:rsidR="00FA77A7" w:rsidRPr="00DE12E6" w:rsidRDefault="00DE12E6" w:rsidP="00043F17">
      <w:pPr>
        <w:pStyle w:val="ListParagraph"/>
        <w:numPr>
          <w:ilvl w:val="0"/>
          <w:numId w:val="1"/>
        </w:numPr>
        <w:spacing w:line="360" w:lineRule="auto"/>
        <w:jc w:val="both"/>
        <w:rPr>
          <w:rFonts w:ascii="Arial" w:hAnsi="Arial" w:cs="Arial"/>
        </w:rPr>
      </w:pPr>
      <w:r w:rsidRPr="00DE12E6">
        <w:rPr>
          <w:rFonts w:ascii="Arial" w:hAnsi="Arial" w:cs="Arial"/>
        </w:rPr>
        <w:t>r</w:t>
      </w:r>
      <w:r w:rsidR="00930DC3" w:rsidRPr="00DE12E6">
        <w:rPr>
          <w:rFonts w:ascii="Arial" w:hAnsi="Arial" w:cs="Arial"/>
        </w:rPr>
        <w:t xml:space="preserve">eferred to in Schedule 6, the court shall order that the accused </w:t>
      </w:r>
      <w:r w:rsidR="00B649E1" w:rsidRPr="00DE12E6">
        <w:rPr>
          <w:rFonts w:ascii="Arial" w:hAnsi="Arial" w:cs="Arial"/>
        </w:rPr>
        <w:t xml:space="preserve">be detained in custody until he or she is dealt with in accordance with the law, </w:t>
      </w:r>
      <w:r w:rsidR="006C526E" w:rsidRPr="00DE12E6">
        <w:rPr>
          <w:rFonts w:ascii="Arial" w:hAnsi="Arial" w:cs="Arial"/>
        </w:rPr>
        <w:t xml:space="preserve">unless the accused, having been given a reasonable opportunity to do so, </w:t>
      </w:r>
      <w:r w:rsidR="00645FD2" w:rsidRPr="00DE12E6">
        <w:rPr>
          <w:rFonts w:ascii="Arial" w:hAnsi="Arial" w:cs="Arial"/>
        </w:rPr>
        <w:t xml:space="preserve">adduces evidence which satisfies the court that exceptional circumstances exist </w:t>
      </w:r>
      <w:r w:rsidR="0017277C" w:rsidRPr="00DE12E6">
        <w:rPr>
          <w:rFonts w:ascii="Arial" w:hAnsi="Arial" w:cs="Arial"/>
        </w:rPr>
        <w:t>which in the interests of justice permit his or her release…’</w:t>
      </w:r>
    </w:p>
    <w:p w14:paraId="6BA30DB3" w14:textId="77777777" w:rsidR="00DE12E6" w:rsidRDefault="00DE12E6" w:rsidP="002D11C7">
      <w:pPr>
        <w:spacing w:line="360" w:lineRule="auto"/>
        <w:rPr>
          <w:rFonts w:ascii="Arial" w:hAnsi="Arial" w:cs="Arial"/>
          <w:sz w:val="24"/>
          <w:szCs w:val="24"/>
        </w:rPr>
      </w:pPr>
    </w:p>
    <w:p w14:paraId="69517EAA" w14:textId="77777777" w:rsidR="002D11C7" w:rsidRPr="0037510D" w:rsidRDefault="00754945" w:rsidP="0037510D">
      <w:pPr>
        <w:pStyle w:val="ListParagraph"/>
        <w:numPr>
          <w:ilvl w:val="0"/>
          <w:numId w:val="5"/>
        </w:numPr>
        <w:spacing w:line="360" w:lineRule="auto"/>
        <w:ind w:left="0" w:firstLine="0"/>
        <w:jc w:val="both"/>
        <w:rPr>
          <w:rFonts w:ascii="Arial" w:hAnsi="Arial" w:cs="Arial"/>
          <w:sz w:val="24"/>
          <w:szCs w:val="24"/>
        </w:rPr>
      </w:pPr>
      <w:r w:rsidRPr="0037510D">
        <w:rPr>
          <w:rFonts w:ascii="Arial" w:hAnsi="Arial" w:cs="Arial"/>
          <w:sz w:val="24"/>
          <w:szCs w:val="24"/>
        </w:rPr>
        <w:t>It will be necessary</w:t>
      </w:r>
      <w:r w:rsidR="00DE12E6" w:rsidRPr="0037510D">
        <w:rPr>
          <w:rFonts w:ascii="Arial" w:hAnsi="Arial" w:cs="Arial"/>
          <w:sz w:val="24"/>
          <w:szCs w:val="24"/>
        </w:rPr>
        <w:t>, at this stage,</w:t>
      </w:r>
      <w:r w:rsidRPr="0037510D">
        <w:rPr>
          <w:rFonts w:ascii="Arial" w:hAnsi="Arial" w:cs="Arial"/>
          <w:sz w:val="24"/>
          <w:szCs w:val="24"/>
        </w:rPr>
        <w:t xml:space="preserve"> to consider the </w:t>
      </w:r>
      <w:r w:rsidR="00666B19" w:rsidRPr="0037510D">
        <w:rPr>
          <w:rFonts w:ascii="Arial" w:hAnsi="Arial" w:cs="Arial"/>
          <w:sz w:val="24"/>
          <w:szCs w:val="24"/>
        </w:rPr>
        <w:t>case presented</w:t>
      </w:r>
      <w:r w:rsidRPr="0037510D">
        <w:rPr>
          <w:rFonts w:ascii="Arial" w:hAnsi="Arial" w:cs="Arial"/>
          <w:sz w:val="24"/>
          <w:szCs w:val="24"/>
        </w:rPr>
        <w:t xml:space="preserve"> by the</w:t>
      </w:r>
      <w:r w:rsidR="00666B19" w:rsidRPr="0037510D">
        <w:rPr>
          <w:rFonts w:ascii="Arial" w:hAnsi="Arial" w:cs="Arial"/>
          <w:sz w:val="24"/>
          <w:szCs w:val="24"/>
        </w:rPr>
        <w:t xml:space="preserve"> appellant</w:t>
      </w:r>
      <w:r w:rsidRPr="0037510D">
        <w:rPr>
          <w:rFonts w:ascii="Arial" w:hAnsi="Arial" w:cs="Arial"/>
          <w:sz w:val="24"/>
          <w:szCs w:val="24"/>
        </w:rPr>
        <w:t xml:space="preserve"> in further detail.</w:t>
      </w:r>
    </w:p>
    <w:p w14:paraId="76753CA9" w14:textId="77777777" w:rsidR="004E337A" w:rsidRDefault="004E337A" w:rsidP="002D11C7">
      <w:pPr>
        <w:spacing w:line="360" w:lineRule="auto"/>
        <w:rPr>
          <w:rFonts w:ascii="Arial" w:hAnsi="Arial" w:cs="Arial"/>
          <w:sz w:val="24"/>
          <w:szCs w:val="24"/>
        </w:rPr>
      </w:pPr>
    </w:p>
    <w:p w14:paraId="7A8C2FFB" w14:textId="4501B6A1" w:rsidR="004E337A" w:rsidRDefault="004E337A" w:rsidP="000D4B66">
      <w:pPr>
        <w:spacing w:line="360" w:lineRule="auto"/>
        <w:jc w:val="both"/>
        <w:rPr>
          <w:rFonts w:ascii="Arial" w:hAnsi="Arial" w:cs="Arial"/>
          <w:sz w:val="24"/>
          <w:szCs w:val="24"/>
        </w:rPr>
      </w:pPr>
      <w:r w:rsidRPr="00863D9D">
        <w:rPr>
          <w:rFonts w:ascii="Arial" w:hAnsi="Arial" w:cs="Arial"/>
          <w:b/>
          <w:bCs/>
          <w:sz w:val="24"/>
          <w:szCs w:val="24"/>
        </w:rPr>
        <w:t>Discussion</w:t>
      </w:r>
    </w:p>
    <w:p w14:paraId="6F19A239" w14:textId="77777777" w:rsidR="004E337A" w:rsidRPr="00043F17" w:rsidRDefault="004E337A" w:rsidP="00043F17">
      <w:pPr>
        <w:pStyle w:val="ListParagraph"/>
        <w:numPr>
          <w:ilvl w:val="0"/>
          <w:numId w:val="5"/>
        </w:numPr>
        <w:spacing w:line="360" w:lineRule="auto"/>
        <w:ind w:left="0" w:firstLine="0"/>
        <w:jc w:val="both"/>
        <w:rPr>
          <w:rFonts w:ascii="Arial" w:hAnsi="Arial" w:cs="Arial"/>
          <w:sz w:val="24"/>
          <w:szCs w:val="24"/>
        </w:rPr>
      </w:pPr>
      <w:r w:rsidRPr="00043F17">
        <w:rPr>
          <w:rFonts w:ascii="Arial" w:hAnsi="Arial" w:cs="Arial"/>
          <w:sz w:val="24"/>
          <w:szCs w:val="24"/>
        </w:rPr>
        <w:lastRenderedPageBreak/>
        <w:t xml:space="preserve">As a starting point, counsel for the appellant </w:t>
      </w:r>
      <w:r w:rsidR="002712A1" w:rsidRPr="00043F17">
        <w:rPr>
          <w:rFonts w:ascii="Arial" w:hAnsi="Arial" w:cs="Arial"/>
          <w:sz w:val="24"/>
          <w:szCs w:val="24"/>
        </w:rPr>
        <w:t xml:space="preserve">helpfully </w:t>
      </w:r>
      <w:r w:rsidRPr="00043F17">
        <w:rPr>
          <w:rFonts w:ascii="Arial" w:hAnsi="Arial" w:cs="Arial"/>
          <w:sz w:val="24"/>
          <w:szCs w:val="24"/>
        </w:rPr>
        <w:t>referred to the decision</w:t>
      </w:r>
      <w:r w:rsidR="00863D9D" w:rsidRPr="00043F17">
        <w:rPr>
          <w:rFonts w:ascii="Arial" w:hAnsi="Arial" w:cs="Arial"/>
          <w:sz w:val="24"/>
          <w:szCs w:val="24"/>
        </w:rPr>
        <w:t xml:space="preserve"> in </w:t>
      </w:r>
      <w:r w:rsidR="00863D9D" w:rsidRPr="00043F17">
        <w:rPr>
          <w:rFonts w:ascii="Arial" w:hAnsi="Arial" w:cs="Arial"/>
          <w:i/>
          <w:iCs/>
          <w:sz w:val="24"/>
          <w:szCs w:val="24"/>
        </w:rPr>
        <w:t>S v Barber,</w:t>
      </w:r>
      <w:r w:rsidR="00863D9D">
        <w:rPr>
          <w:rStyle w:val="FootnoteReference"/>
          <w:rFonts w:ascii="Arial" w:hAnsi="Arial" w:cs="Arial"/>
          <w:sz w:val="24"/>
          <w:szCs w:val="24"/>
        </w:rPr>
        <w:footnoteReference w:id="3"/>
      </w:r>
      <w:r w:rsidR="00E00034" w:rsidRPr="00043F17">
        <w:rPr>
          <w:rFonts w:ascii="Arial" w:hAnsi="Arial" w:cs="Arial"/>
          <w:sz w:val="24"/>
          <w:szCs w:val="24"/>
        </w:rPr>
        <w:t xml:space="preserve"> where </w:t>
      </w:r>
      <w:proofErr w:type="spellStart"/>
      <w:r w:rsidR="00E00034" w:rsidRPr="00043F17">
        <w:rPr>
          <w:rFonts w:ascii="Arial" w:hAnsi="Arial" w:cs="Arial"/>
          <w:sz w:val="24"/>
          <w:szCs w:val="24"/>
        </w:rPr>
        <w:t>Hefer</w:t>
      </w:r>
      <w:proofErr w:type="spellEnd"/>
      <w:r w:rsidR="00E00034" w:rsidRPr="00043F17">
        <w:rPr>
          <w:rFonts w:ascii="Arial" w:hAnsi="Arial" w:cs="Arial"/>
          <w:sz w:val="24"/>
          <w:szCs w:val="24"/>
        </w:rPr>
        <w:t xml:space="preserve"> J held as follows: </w:t>
      </w:r>
    </w:p>
    <w:p w14:paraId="271FB416" w14:textId="77777777" w:rsidR="002712A1" w:rsidRPr="005E51E1" w:rsidRDefault="002712A1" w:rsidP="000D4B66">
      <w:pPr>
        <w:spacing w:line="360" w:lineRule="auto"/>
        <w:jc w:val="both"/>
        <w:rPr>
          <w:rFonts w:ascii="Arial" w:hAnsi="Arial" w:cs="Arial"/>
        </w:rPr>
      </w:pPr>
      <w:r w:rsidRPr="005E51E1">
        <w:rPr>
          <w:rFonts w:ascii="Arial" w:hAnsi="Arial" w:cs="Arial"/>
        </w:rPr>
        <w:t>‘</w:t>
      </w:r>
      <w:r w:rsidR="00933514" w:rsidRPr="005E51E1">
        <w:rPr>
          <w:rFonts w:ascii="Arial" w:hAnsi="Arial" w:cs="Arial"/>
        </w:rPr>
        <w:t>It is well known that the powers of this Court are largely limited where the matter comes before it on appeal</w:t>
      </w:r>
      <w:r w:rsidR="005A0D65" w:rsidRPr="005E51E1">
        <w:rPr>
          <w:rFonts w:ascii="Arial" w:hAnsi="Arial" w:cs="Arial"/>
        </w:rPr>
        <w:t xml:space="preserve"> and not as a substantive application for bail. This Court has</w:t>
      </w:r>
      <w:r w:rsidR="004A2976" w:rsidRPr="005E51E1">
        <w:rPr>
          <w:rFonts w:ascii="Arial" w:hAnsi="Arial" w:cs="Arial"/>
        </w:rPr>
        <w:t xml:space="preserve"> </w:t>
      </w:r>
      <w:r w:rsidR="005A0D65" w:rsidRPr="005E51E1">
        <w:rPr>
          <w:rFonts w:ascii="Arial" w:hAnsi="Arial" w:cs="Arial"/>
        </w:rPr>
        <w:t xml:space="preserve">to be persuaded that the magistrate exercised </w:t>
      </w:r>
      <w:r w:rsidR="00003D38" w:rsidRPr="005E51E1">
        <w:rPr>
          <w:rFonts w:ascii="Arial" w:hAnsi="Arial" w:cs="Arial"/>
        </w:rPr>
        <w:t>the discretion which he has wrongly. Accordingly, although this Court may have a different view</w:t>
      </w:r>
      <w:r w:rsidR="004A2976" w:rsidRPr="005E51E1">
        <w:rPr>
          <w:rFonts w:ascii="Arial" w:hAnsi="Arial" w:cs="Arial"/>
        </w:rPr>
        <w:t xml:space="preserve">, it should not substitute its own view for that of the magistrate because that would be </w:t>
      </w:r>
      <w:r w:rsidR="00701BE1" w:rsidRPr="005E51E1">
        <w:rPr>
          <w:rFonts w:ascii="Arial" w:hAnsi="Arial" w:cs="Arial"/>
        </w:rPr>
        <w:t xml:space="preserve">an </w:t>
      </w:r>
      <w:r w:rsidR="004A2976" w:rsidRPr="005E51E1">
        <w:rPr>
          <w:rFonts w:ascii="Arial" w:hAnsi="Arial" w:cs="Arial"/>
        </w:rPr>
        <w:t>unfair</w:t>
      </w:r>
      <w:r w:rsidR="00701BE1" w:rsidRPr="005E51E1">
        <w:rPr>
          <w:rFonts w:ascii="Arial" w:hAnsi="Arial" w:cs="Arial"/>
        </w:rPr>
        <w:t xml:space="preserve"> interference with the magistrate’s exercise of his discretion</w:t>
      </w:r>
      <w:r w:rsidR="00E621D4" w:rsidRPr="005E51E1">
        <w:rPr>
          <w:rFonts w:ascii="Arial" w:hAnsi="Arial" w:cs="Arial"/>
        </w:rPr>
        <w:t xml:space="preserve">. I think it should be stressed that, no matter what this Court’s own views </w:t>
      </w:r>
      <w:r w:rsidR="00A12E1D" w:rsidRPr="005E51E1">
        <w:rPr>
          <w:rFonts w:ascii="Arial" w:hAnsi="Arial" w:cs="Arial"/>
        </w:rPr>
        <w:t xml:space="preserve">are, the real question is whether it can be said that the magistrate who had the discretion </w:t>
      </w:r>
      <w:r w:rsidR="00773244" w:rsidRPr="005E51E1">
        <w:rPr>
          <w:rFonts w:ascii="Arial" w:hAnsi="Arial" w:cs="Arial"/>
        </w:rPr>
        <w:t>to grant bail exercised that discretion wrongly.’</w:t>
      </w:r>
      <w:r w:rsidR="00145FE4">
        <w:rPr>
          <w:rStyle w:val="FootnoteReference"/>
          <w:rFonts w:ascii="Arial" w:hAnsi="Arial" w:cs="Arial"/>
        </w:rPr>
        <w:footnoteReference w:id="4"/>
      </w:r>
    </w:p>
    <w:p w14:paraId="064C82DE" w14:textId="77777777" w:rsidR="005E51E1" w:rsidRDefault="005E51E1" w:rsidP="002D11C7">
      <w:pPr>
        <w:spacing w:line="360" w:lineRule="auto"/>
        <w:rPr>
          <w:rFonts w:ascii="Arial" w:hAnsi="Arial" w:cs="Arial"/>
          <w:sz w:val="24"/>
          <w:szCs w:val="24"/>
        </w:rPr>
      </w:pPr>
    </w:p>
    <w:p w14:paraId="40452E14" w14:textId="036CC37C" w:rsidR="00145FE4" w:rsidRDefault="0005505F" w:rsidP="00043F17">
      <w:pPr>
        <w:pStyle w:val="ListParagraph"/>
        <w:numPr>
          <w:ilvl w:val="0"/>
          <w:numId w:val="5"/>
        </w:numPr>
        <w:spacing w:line="360" w:lineRule="auto"/>
        <w:ind w:left="0" w:firstLine="0"/>
        <w:jc w:val="both"/>
        <w:rPr>
          <w:rFonts w:ascii="Arial" w:hAnsi="Arial" w:cs="Arial"/>
          <w:sz w:val="24"/>
          <w:szCs w:val="24"/>
        </w:rPr>
      </w:pPr>
      <w:r w:rsidRPr="00043F17">
        <w:rPr>
          <w:rFonts w:ascii="Arial" w:hAnsi="Arial" w:cs="Arial"/>
          <w:sz w:val="24"/>
          <w:szCs w:val="24"/>
        </w:rPr>
        <w:t xml:space="preserve">The above </w:t>
      </w:r>
      <w:r w:rsidR="00EB6EF3" w:rsidRPr="00043F17">
        <w:rPr>
          <w:rFonts w:ascii="Arial" w:hAnsi="Arial" w:cs="Arial"/>
          <w:sz w:val="24"/>
          <w:szCs w:val="24"/>
        </w:rPr>
        <w:t xml:space="preserve">authority is a useful reminder of the </w:t>
      </w:r>
      <w:r w:rsidR="00D1599C" w:rsidRPr="00043F17">
        <w:rPr>
          <w:rFonts w:ascii="Arial" w:hAnsi="Arial" w:cs="Arial"/>
          <w:sz w:val="24"/>
          <w:szCs w:val="24"/>
        </w:rPr>
        <w:t xml:space="preserve">role of </w:t>
      </w:r>
      <w:r w:rsidR="00D020B0">
        <w:rPr>
          <w:rFonts w:ascii="Arial" w:hAnsi="Arial" w:cs="Arial"/>
          <w:sz w:val="24"/>
          <w:szCs w:val="24"/>
        </w:rPr>
        <w:t>a</w:t>
      </w:r>
      <w:r w:rsidR="00EA10EA" w:rsidRPr="00043F17">
        <w:rPr>
          <w:rFonts w:ascii="Arial" w:hAnsi="Arial" w:cs="Arial"/>
          <w:sz w:val="24"/>
          <w:szCs w:val="24"/>
        </w:rPr>
        <w:t xml:space="preserve"> court of appeal.</w:t>
      </w:r>
      <w:r w:rsidR="00EC61CC" w:rsidRPr="00043F17">
        <w:rPr>
          <w:rFonts w:ascii="Arial" w:hAnsi="Arial" w:cs="Arial"/>
          <w:sz w:val="24"/>
          <w:szCs w:val="24"/>
        </w:rPr>
        <w:t xml:space="preserve"> It involves a two-stage process: (a) deciding whether</w:t>
      </w:r>
      <w:r w:rsidR="00D1599C" w:rsidRPr="00043F17">
        <w:rPr>
          <w:rFonts w:ascii="Arial" w:hAnsi="Arial" w:cs="Arial"/>
          <w:sz w:val="24"/>
          <w:szCs w:val="24"/>
        </w:rPr>
        <w:t xml:space="preserve"> the </w:t>
      </w:r>
      <w:r w:rsidR="003B5237" w:rsidRPr="00043F17">
        <w:rPr>
          <w:rFonts w:ascii="Arial" w:hAnsi="Arial" w:cs="Arial"/>
          <w:sz w:val="24"/>
          <w:szCs w:val="24"/>
        </w:rPr>
        <w:t>decision of the</w:t>
      </w:r>
      <w:r w:rsidR="00145FE4" w:rsidRPr="00043F17">
        <w:rPr>
          <w:rFonts w:ascii="Arial" w:hAnsi="Arial" w:cs="Arial"/>
          <w:sz w:val="24"/>
          <w:szCs w:val="24"/>
        </w:rPr>
        <w:t xml:space="preserve"> lower court </w:t>
      </w:r>
      <w:r w:rsidR="003B5237" w:rsidRPr="00043F17">
        <w:rPr>
          <w:rFonts w:ascii="Arial" w:hAnsi="Arial" w:cs="Arial"/>
          <w:sz w:val="24"/>
          <w:szCs w:val="24"/>
        </w:rPr>
        <w:t>was wrong; and (b)</w:t>
      </w:r>
      <w:r w:rsidR="00351DB3" w:rsidRPr="00043F17">
        <w:rPr>
          <w:rFonts w:ascii="Arial" w:hAnsi="Arial" w:cs="Arial"/>
          <w:sz w:val="24"/>
          <w:szCs w:val="24"/>
        </w:rPr>
        <w:t xml:space="preserve"> </w:t>
      </w:r>
      <w:r w:rsidR="00145FE4" w:rsidRPr="00043F17">
        <w:rPr>
          <w:rFonts w:ascii="Arial" w:hAnsi="Arial" w:cs="Arial"/>
          <w:sz w:val="24"/>
          <w:szCs w:val="24"/>
        </w:rPr>
        <w:t>if so, then making</w:t>
      </w:r>
      <w:r w:rsidR="00351DB3" w:rsidRPr="00043F17">
        <w:rPr>
          <w:rFonts w:ascii="Arial" w:hAnsi="Arial" w:cs="Arial"/>
          <w:sz w:val="24"/>
          <w:szCs w:val="24"/>
        </w:rPr>
        <w:t xml:space="preserve"> the decision which</w:t>
      </w:r>
      <w:r w:rsidR="00091237" w:rsidRPr="00043F17">
        <w:rPr>
          <w:rFonts w:ascii="Arial" w:hAnsi="Arial" w:cs="Arial"/>
          <w:sz w:val="24"/>
          <w:szCs w:val="24"/>
        </w:rPr>
        <w:t xml:space="preserve">, in its opinion, </w:t>
      </w:r>
      <w:r w:rsidR="00145FE4" w:rsidRPr="00043F17">
        <w:rPr>
          <w:rFonts w:ascii="Arial" w:hAnsi="Arial" w:cs="Arial"/>
          <w:sz w:val="24"/>
          <w:szCs w:val="24"/>
        </w:rPr>
        <w:t xml:space="preserve">the lower court </w:t>
      </w:r>
      <w:r w:rsidR="00091237" w:rsidRPr="00043F17">
        <w:rPr>
          <w:rFonts w:ascii="Arial" w:hAnsi="Arial" w:cs="Arial"/>
          <w:sz w:val="24"/>
          <w:szCs w:val="24"/>
        </w:rPr>
        <w:t xml:space="preserve">ought to have </w:t>
      </w:r>
      <w:r w:rsidR="00145FE4" w:rsidRPr="00043F17">
        <w:rPr>
          <w:rFonts w:ascii="Arial" w:hAnsi="Arial" w:cs="Arial"/>
          <w:sz w:val="24"/>
          <w:szCs w:val="24"/>
        </w:rPr>
        <w:t>given.</w:t>
      </w:r>
    </w:p>
    <w:p w14:paraId="6E8E8197" w14:textId="77777777" w:rsidR="00C005E3" w:rsidRPr="00043F17" w:rsidRDefault="00C005E3" w:rsidP="00C005E3">
      <w:pPr>
        <w:pStyle w:val="ListParagraph"/>
        <w:spacing w:line="360" w:lineRule="auto"/>
        <w:ind w:left="0"/>
        <w:jc w:val="both"/>
        <w:rPr>
          <w:rFonts w:ascii="Arial" w:hAnsi="Arial" w:cs="Arial"/>
          <w:sz w:val="24"/>
          <w:szCs w:val="24"/>
        </w:rPr>
      </w:pPr>
    </w:p>
    <w:p w14:paraId="39058E48" w14:textId="77777777" w:rsidR="00945BAD" w:rsidRPr="00C005E3" w:rsidRDefault="005E51E1" w:rsidP="00C005E3">
      <w:pPr>
        <w:pStyle w:val="ListParagraph"/>
        <w:numPr>
          <w:ilvl w:val="0"/>
          <w:numId w:val="5"/>
        </w:numPr>
        <w:spacing w:line="360" w:lineRule="auto"/>
        <w:ind w:left="0" w:firstLine="0"/>
        <w:rPr>
          <w:rFonts w:ascii="Arial" w:hAnsi="Arial" w:cs="Arial"/>
          <w:sz w:val="24"/>
          <w:szCs w:val="24"/>
        </w:rPr>
      </w:pPr>
      <w:r w:rsidRPr="00C005E3">
        <w:rPr>
          <w:rFonts w:ascii="Arial" w:hAnsi="Arial" w:cs="Arial"/>
          <w:sz w:val="24"/>
          <w:szCs w:val="24"/>
        </w:rPr>
        <w:t xml:space="preserve">Beginning with the magistrate’s </w:t>
      </w:r>
      <w:r w:rsidR="00A354BB" w:rsidRPr="00C005E3">
        <w:rPr>
          <w:rFonts w:ascii="Arial" w:hAnsi="Arial" w:cs="Arial"/>
          <w:sz w:val="24"/>
          <w:szCs w:val="24"/>
        </w:rPr>
        <w:t>advice</w:t>
      </w:r>
      <w:r w:rsidR="00EA1498" w:rsidRPr="00C005E3">
        <w:rPr>
          <w:rFonts w:ascii="Arial" w:hAnsi="Arial" w:cs="Arial"/>
          <w:sz w:val="24"/>
          <w:szCs w:val="24"/>
        </w:rPr>
        <w:t xml:space="preserve"> to the appellant, if it can be called that, the </w:t>
      </w:r>
      <w:r w:rsidR="00576CD6" w:rsidRPr="00C005E3">
        <w:rPr>
          <w:rFonts w:ascii="Arial" w:hAnsi="Arial" w:cs="Arial"/>
          <w:sz w:val="24"/>
          <w:szCs w:val="24"/>
        </w:rPr>
        <w:t xml:space="preserve">record </w:t>
      </w:r>
      <w:r w:rsidR="0005505F" w:rsidRPr="00C005E3">
        <w:rPr>
          <w:rFonts w:ascii="Arial" w:hAnsi="Arial" w:cs="Arial"/>
          <w:sz w:val="24"/>
          <w:szCs w:val="24"/>
        </w:rPr>
        <w:t>merely indicates as follows</w:t>
      </w:r>
      <w:r w:rsidR="00145FE4" w:rsidRPr="00C005E3">
        <w:rPr>
          <w:rFonts w:ascii="Arial" w:hAnsi="Arial" w:cs="Arial"/>
          <w:sz w:val="24"/>
          <w:szCs w:val="24"/>
        </w:rPr>
        <w:t>:</w:t>
      </w:r>
    </w:p>
    <w:p w14:paraId="253031E8" w14:textId="77777777" w:rsidR="00145FE4" w:rsidRDefault="00145FE4" w:rsidP="00043F17">
      <w:pPr>
        <w:spacing w:line="360" w:lineRule="auto"/>
        <w:jc w:val="both"/>
        <w:rPr>
          <w:rFonts w:ascii="Arial" w:hAnsi="Arial" w:cs="Arial"/>
          <w:sz w:val="24"/>
          <w:szCs w:val="24"/>
        </w:rPr>
      </w:pPr>
      <w:r>
        <w:rPr>
          <w:rFonts w:ascii="Arial" w:hAnsi="Arial" w:cs="Arial"/>
          <w:sz w:val="24"/>
          <w:szCs w:val="24"/>
        </w:rPr>
        <w:tab/>
      </w:r>
    </w:p>
    <w:p w14:paraId="44F74B47" w14:textId="77777777" w:rsidR="00145FE4" w:rsidRPr="00145FE4" w:rsidRDefault="00145FE4" w:rsidP="00043F17">
      <w:pPr>
        <w:spacing w:line="360" w:lineRule="auto"/>
        <w:ind w:firstLine="720"/>
        <w:jc w:val="both"/>
        <w:rPr>
          <w:rFonts w:ascii="Arial" w:hAnsi="Arial" w:cs="Arial"/>
        </w:rPr>
      </w:pPr>
      <w:r w:rsidRPr="00145FE4">
        <w:rPr>
          <w:rFonts w:ascii="Arial" w:hAnsi="Arial" w:cs="Arial"/>
        </w:rPr>
        <w:t>‘COURT:</w:t>
      </w:r>
      <w:r w:rsidRPr="00145FE4">
        <w:rPr>
          <w:rFonts w:ascii="Arial" w:hAnsi="Arial" w:cs="Arial"/>
        </w:rPr>
        <w:tab/>
      </w:r>
      <w:r w:rsidRPr="00145FE4">
        <w:rPr>
          <w:rFonts w:ascii="Arial" w:hAnsi="Arial" w:cs="Arial"/>
        </w:rPr>
        <w:tab/>
      </w:r>
      <w:r w:rsidRPr="00145FE4">
        <w:rPr>
          <w:rFonts w:ascii="Arial" w:hAnsi="Arial" w:cs="Arial"/>
        </w:rPr>
        <w:tab/>
        <w:t>…Therefore, bail on the new facts does not succeed.</w:t>
      </w:r>
    </w:p>
    <w:p w14:paraId="5E0FACE5" w14:textId="77777777" w:rsidR="00145FE4" w:rsidRPr="00145FE4" w:rsidRDefault="00145FE4" w:rsidP="00043F17">
      <w:pPr>
        <w:spacing w:line="360" w:lineRule="auto"/>
        <w:jc w:val="both"/>
        <w:rPr>
          <w:rFonts w:ascii="Arial" w:hAnsi="Arial" w:cs="Arial"/>
        </w:rPr>
      </w:pPr>
      <w:r w:rsidRPr="00145FE4">
        <w:rPr>
          <w:rFonts w:ascii="Arial" w:hAnsi="Arial" w:cs="Arial"/>
        </w:rPr>
        <w:tab/>
        <w:t>MR GWEBINDLALA:</w:t>
      </w:r>
      <w:r w:rsidRPr="00145FE4">
        <w:rPr>
          <w:rFonts w:ascii="Arial" w:hAnsi="Arial" w:cs="Arial"/>
        </w:rPr>
        <w:tab/>
      </w:r>
      <w:r>
        <w:rPr>
          <w:rFonts w:ascii="Arial" w:hAnsi="Arial" w:cs="Arial"/>
        </w:rPr>
        <w:tab/>
      </w:r>
      <w:r w:rsidRPr="00145FE4">
        <w:rPr>
          <w:rFonts w:ascii="Arial" w:hAnsi="Arial" w:cs="Arial"/>
        </w:rPr>
        <w:t>As the Court pleases.</w:t>
      </w:r>
    </w:p>
    <w:p w14:paraId="1A68BFAF" w14:textId="77777777" w:rsidR="00145FE4" w:rsidRPr="00145FE4" w:rsidRDefault="00145FE4" w:rsidP="00043F17">
      <w:pPr>
        <w:spacing w:line="360" w:lineRule="auto"/>
        <w:jc w:val="both"/>
        <w:rPr>
          <w:rFonts w:ascii="Arial" w:hAnsi="Arial" w:cs="Arial"/>
        </w:rPr>
      </w:pPr>
      <w:r w:rsidRPr="00145FE4">
        <w:rPr>
          <w:rFonts w:ascii="Arial" w:hAnsi="Arial" w:cs="Arial"/>
        </w:rPr>
        <w:tab/>
        <w:t>PROSECUTOR:</w:t>
      </w:r>
      <w:r w:rsidRPr="00145FE4">
        <w:rPr>
          <w:rFonts w:ascii="Arial" w:hAnsi="Arial" w:cs="Arial"/>
        </w:rPr>
        <w:tab/>
      </w:r>
      <w:r w:rsidRPr="00145FE4">
        <w:rPr>
          <w:rFonts w:ascii="Arial" w:hAnsi="Arial" w:cs="Arial"/>
        </w:rPr>
        <w:tab/>
        <w:t>As the Court pleases.</w:t>
      </w:r>
    </w:p>
    <w:p w14:paraId="3F8E6508" w14:textId="77777777" w:rsidR="00145FE4" w:rsidRPr="00145FE4" w:rsidRDefault="00145FE4" w:rsidP="00043F17">
      <w:pPr>
        <w:spacing w:line="360" w:lineRule="auto"/>
        <w:ind w:left="3600" w:hanging="2880"/>
        <w:jc w:val="both"/>
        <w:rPr>
          <w:rFonts w:ascii="Arial" w:hAnsi="Arial" w:cs="Arial"/>
        </w:rPr>
      </w:pPr>
      <w:r w:rsidRPr="00145FE4">
        <w:rPr>
          <w:rFonts w:ascii="Arial" w:hAnsi="Arial" w:cs="Arial"/>
        </w:rPr>
        <w:t>COURT:</w:t>
      </w:r>
      <w:r w:rsidRPr="00145FE4">
        <w:rPr>
          <w:rFonts w:ascii="Arial" w:hAnsi="Arial" w:cs="Arial"/>
        </w:rPr>
        <w:tab/>
        <w:t>So, the bail in fact is denied. Matter I think postponed to 26 June 2023, in the High Court Mthatha. Applicant may appeal the decision by this Court.’</w:t>
      </w:r>
      <w:r>
        <w:rPr>
          <w:rStyle w:val="FootnoteReference"/>
          <w:rFonts w:ascii="Arial" w:hAnsi="Arial" w:cs="Arial"/>
        </w:rPr>
        <w:footnoteReference w:id="5"/>
      </w:r>
    </w:p>
    <w:p w14:paraId="54C6B02F" w14:textId="77777777" w:rsidR="00145FE4" w:rsidRDefault="00145FE4" w:rsidP="002D11C7">
      <w:pPr>
        <w:spacing w:line="360" w:lineRule="auto"/>
        <w:rPr>
          <w:rFonts w:ascii="Arial" w:hAnsi="Arial" w:cs="Arial"/>
          <w:sz w:val="24"/>
          <w:szCs w:val="24"/>
        </w:rPr>
      </w:pPr>
    </w:p>
    <w:p w14:paraId="6561D177" w14:textId="77777777" w:rsidR="00043F17" w:rsidRDefault="00145FE4" w:rsidP="002D11C7">
      <w:pPr>
        <w:pStyle w:val="ListParagraph"/>
        <w:numPr>
          <w:ilvl w:val="0"/>
          <w:numId w:val="5"/>
        </w:numPr>
        <w:spacing w:line="360" w:lineRule="auto"/>
        <w:ind w:left="0" w:firstLine="0"/>
        <w:jc w:val="both"/>
        <w:rPr>
          <w:rFonts w:ascii="Arial" w:hAnsi="Arial" w:cs="Arial"/>
          <w:sz w:val="24"/>
          <w:szCs w:val="24"/>
        </w:rPr>
      </w:pPr>
      <w:r w:rsidRPr="00043F17">
        <w:rPr>
          <w:rFonts w:ascii="Arial" w:hAnsi="Arial" w:cs="Arial"/>
          <w:sz w:val="24"/>
          <w:szCs w:val="24"/>
        </w:rPr>
        <w:lastRenderedPageBreak/>
        <w:t>To assert, as the appellant has done, that this demonstrates that the magistrate failed to afford him a fair hearing is difficult to understand. The magistrate merely stated the obvious</w:t>
      </w:r>
      <w:r w:rsidR="006A4DB1" w:rsidRPr="00043F17">
        <w:rPr>
          <w:rFonts w:ascii="Arial" w:hAnsi="Arial" w:cs="Arial"/>
          <w:sz w:val="24"/>
          <w:szCs w:val="24"/>
        </w:rPr>
        <w:t xml:space="preserve"> at the conclusion of a standard bail application: the appellant still had recourse available to him, notwithstanding that the decision had been unfavourable. It would be </w:t>
      </w:r>
      <w:r w:rsidR="007C0D55" w:rsidRPr="00043F17">
        <w:rPr>
          <w:rFonts w:ascii="Arial" w:hAnsi="Arial" w:cs="Arial"/>
          <w:sz w:val="24"/>
          <w:szCs w:val="24"/>
        </w:rPr>
        <w:t xml:space="preserve">unduly </w:t>
      </w:r>
      <w:r w:rsidR="006A4DB1" w:rsidRPr="00043F17">
        <w:rPr>
          <w:rFonts w:ascii="Arial" w:hAnsi="Arial" w:cs="Arial"/>
          <w:sz w:val="24"/>
          <w:szCs w:val="24"/>
        </w:rPr>
        <w:t>stretching the limits of interpretation to contend that the above extract reveals unfairness or possible bias on the part of the magistrate.</w:t>
      </w:r>
    </w:p>
    <w:p w14:paraId="74ADACA0" w14:textId="77777777" w:rsidR="00043F17" w:rsidRDefault="00043F17" w:rsidP="00043F17">
      <w:pPr>
        <w:pStyle w:val="ListParagraph"/>
        <w:spacing w:line="360" w:lineRule="auto"/>
        <w:ind w:left="0"/>
        <w:jc w:val="both"/>
        <w:rPr>
          <w:rFonts w:ascii="Arial" w:hAnsi="Arial" w:cs="Arial"/>
          <w:sz w:val="24"/>
          <w:szCs w:val="24"/>
        </w:rPr>
      </w:pPr>
    </w:p>
    <w:p w14:paraId="45C473A1" w14:textId="72BA2A42" w:rsidR="00043F17" w:rsidRDefault="006A4DB1" w:rsidP="002D11C7">
      <w:pPr>
        <w:pStyle w:val="ListParagraph"/>
        <w:numPr>
          <w:ilvl w:val="0"/>
          <w:numId w:val="5"/>
        </w:numPr>
        <w:spacing w:line="360" w:lineRule="auto"/>
        <w:ind w:left="0" w:firstLine="0"/>
        <w:jc w:val="both"/>
        <w:rPr>
          <w:rFonts w:ascii="Arial" w:hAnsi="Arial" w:cs="Arial"/>
          <w:sz w:val="24"/>
          <w:szCs w:val="24"/>
        </w:rPr>
      </w:pPr>
      <w:r w:rsidRPr="00043F17">
        <w:rPr>
          <w:rFonts w:ascii="Arial" w:hAnsi="Arial" w:cs="Arial"/>
          <w:sz w:val="24"/>
          <w:szCs w:val="24"/>
        </w:rPr>
        <w:t xml:space="preserve">Counsel for the appellant went on to argue that the magistrate’s decision was not based on any proper reasoning. Whereas </w:t>
      </w:r>
      <w:r w:rsidR="003442E8" w:rsidRPr="00043F17">
        <w:rPr>
          <w:rFonts w:ascii="Arial" w:hAnsi="Arial" w:cs="Arial"/>
          <w:sz w:val="24"/>
          <w:szCs w:val="24"/>
        </w:rPr>
        <w:t>t</w:t>
      </w:r>
      <w:r w:rsidRPr="00043F17">
        <w:rPr>
          <w:rFonts w:ascii="Arial" w:hAnsi="Arial" w:cs="Arial"/>
          <w:sz w:val="24"/>
          <w:szCs w:val="24"/>
        </w:rPr>
        <w:t xml:space="preserve">he </w:t>
      </w:r>
      <w:r w:rsidR="003442E8" w:rsidRPr="00043F17">
        <w:rPr>
          <w:rFonts w:ascii="Arial" w:hAnsi="Arial" w:cs="Arial"/>
          <w:sz w:val="24"/>
          <w:szCs w:val="24"/>
        </w:rPr>
        <w:t xml:space="preserve">magistrate </w:t>
      </w:r>
      <w:r w:rsidRPr="00043F17">
        <w:rPr>
          <w:rFonts w:ascii="Arial" w:hAnsi="Arial" w:cs="Arial"/>
          <w:sz w:val="24"/>
          <w:szCs w:val="24"/>
        </w:rPr>
        <w:t xml:space="preserve">accepted that the appellant had presented new facts, he failed to </w:t>
      </w:r>
      <w:r w:rsidR="00F34434" w:rsidRPr="00043F17">
        <w:rPr>
          <w:rFonts w:ascii="Arial" w:hAnsi="Arial" w:cs="Arial"/>
          <w:sz w:val="24"/>
          <w:szCs w:val="24"/>
        </w:rPr>
        <w:t xml:space="preserve">evaluate and assess </w:t>
      </w:r>
      <w:r w:rsidR="005E341D" w:rsidRPr="00043F17">
        <w:rPr>
          <w:rFonts w:ascii="Arial" w:hAnsi="Arial" w:cs="Arial"/>
          <w:sz w:val="24"/>
          <w:szCs w:val="24"/>
        </w:rPr>
        <w:t xml:space="preserve">both the </w:t>
      </w:r>
      <w:r w:rsidR="00FE608C" w:rsidRPr="00043F17">
        <w:rPr>
          <w:rFonts w:ascii="Arial" w:hAnsi="Arial" w:cs="Arial"/>
          <w:sz w:val="24"/>
          <w:szCs w:val="24"/>
        </w:rPr>
        <w:t xml:space="preserve">old and the new facts to arrive at </w:t>
      </w:r>
      <w:r w:rsidR="00E25091" w:rsidRPr="00043F17">
        <w:rPr>
          <w:rFonts w:ascii="Arial" w:hAnsi="Arial" w:cs="Arial"/>
          <w:sz w:val="24"/>
          <w:szCs w:val="24"/>
        </w:rPr>
        <w:t>his decision</w:t>
      </w:r>
      <w:r w:rsidR="00FE5FBF" w:rsidRPr="00043F17">
        <w:rPr>
          <w:rFonts w:ascii="Arial" w:hAnsi="Arial" w:cs="Arial"/>
          <w:sz w:val="24"/>
          <w:szCs w:val="24"/>
        </w:rPr>
        <w:t xml:space="preserve">. </w:t>
      </w:r>
      <w:r w:rsidR="00C07473" w:rsidRPr="00043F17">
        <w:rPr>
          <w:rFonts w:ascii="Arial" w:hAnsi="Arial" w:cs="Arial"/>
          <w:sz w:val="24"/>
          <w:szCs w:val="24"/>
        </w:rPr>
        <w:t xml:space="preserve">The decision </w:t>
      </w:r>
      <w:r w:rsidR="005424A9" w:rsidRPr="00043F17">
        <w:rPr>
          <w:rFonts w:ascii="Arial" w:hAnsi="Arial" w:cs="Arial"/>
          <w:sz w:val="24"/>
          <w:szCs w:val="24"/>
        </w:rPr>
        <w:t xml:space="preserve">of </w:t>
      </w:r>
      <w:r w:rsidR="005424A9" w:rsidRPr="00C005E3">
        <w:rPr>
          <w:rFonts w:ascii="Arial" w:hAnsi="Arial" w:cs="Arial"/>
          <w:iCs/>
          <w:sz w:val="24"/>
          <w:szCs w:val="24"/>
        </w:rPr>
        <w:t xml:space="preserve">Van </w:t>
      </w:r>
      <w:proofErr w:type="spellStart"/>
      <w:r w:rsidR="005424A9" w:rsidRPr="00C005E3">
        <w:rPr>
          <w:rFonts w:ascii="Arial" w:hAnsi="Arial" w:cs="Arial"/>
          <w:iCs/>
          <w:sz w:val="24"/>
          <w:szCs w:val="24"/>
        </w:rPr>
        <w:t>Dijkhorst</w:t>
      </w:r>
      <w:proofErr w:type="spellEnd"/>
      <w:r w:rsidR="005424A9" w:rsidRPr="00C005E3">
        <w:rPr>
          <w:rFonts w:ascii="Arial" w:hAnsi="Arial" w:cs="Arial"/>
          <w:iCs/>
          <w:sz w:val="24"/>
          <w:szCs w:val="24"/>
        </w:rPr>
        <w:t xml:space="preserve"> J </w:t>
      </w:r>
      <w:r w:rsidR="00C07473" w:rsidRPr="000D4B66">
        <w:rPr>
          <w:rFonts w:ascii="Arial" w:hAnsi="Arial" w:cs="Arial"/>
          <w:i/>
          <w:sz w:val="24"/>
          <w:szCs w:val="24"/>
        </w:rPr>
        <w:t xml:space="preserve">in </w:t>
      </w:r>
      <w:r w:rsidR="00C07473" w:rsidRPr="00A91878">
        <w:rPr>
          <w:rFonts w:ascii="Arial" w:hAnsi="Arial" w:cs="Arial"/>
          <w:i/>
          <w:iCs/>
          <w:sz w:val="24"/>
          <w:szCs w:val="24"/>
        </w:rPr>
        <w:t>S v Verma</w:t>
      </w:r>
      <w:r w:rsidR="00D66E9A" w:rsidRPr="00A91878">
        <w:rPr>
          <w:rFonts w:ascii="Arial" w:hAnsi="Arial" w:cs="Arial"/>
          <w:i/>
          <w:iCs/>
          <w:sz w:val="24"/>
          <w:szCs w:val="24"/>
        </w:rPr>
        <w:t>a</w:t>
      </w:r>
      <w:r w:rsidR="00C07473" w:rsidRPr="00A91878">
        <w:rPr>
          <w:rFonts w:ascii="Arial" w:hAnsi="Arial" w:cs="Arial"/>
          <w:i/>
          <w:iCs/>
          <w:sz w:val="24"/>
          <w:szCs w:val="24"/>
        </w:rPr>
        <w:t>s</w:t>
      </w:r>
      <w:r w:rsidR="002B71E9">
        <w:rPr>
          <w:rStyle w:val="FootnoteReference"/>
          <w:rFonts w:ascii="Arial" w:hAnsi="Arial" w:cs="Arial"/>
          <w:sz w:val="24"/>
          <w:szCs w:val="24"/>
        </w:rPr>
        <w:footnoteReference w:id="6"/>
      </w:r>
      <w:r w:rsidR="00C07473" w:rsidRPr="00043F17">
        <w:rPr>
          <w:rFonts w:ascii="Arial" w:hAnsi="Arial" w:cs="Arial"/>
          <w:sz w:val="24"/>
          <w:szCs w:val="24"/>
        </w:rPr>
        <w:t xml:space="preserve"> was relied upon </w:t>
      </w:r>
      <w:r w:rsidR="001113EC" w:rsidRPr="00043F17">
        <w:rPr>
          <w:rFonts w:ascii="Arial" w:hAnsi="Arial" w:cs="Arial"/>
          <w:sz w:val="24"/>
          <w:szCs w:val="24"/>
        </w:rPr>
        <w:t>to assert</w:t>
      </w:r>
      <w:r w:rsidR="00F91C68" w:rsidRPr="00043F17">
        <w:rPr>
          <w:rFonts w:ascii="Arial" w:hAnsi="Arial" w:cs="Arial"/>
          <w:sz w:val="24"/>
          <w:szCs w:val="24"/>
        </w:rPr>
        <w:t xml:space="preserve"> that the court is required to consider all the facts before it</w:t>
      </w:r>
      <w:r w:rsidR="006E6EC4" w:rsidRPr="00043F17">
        <w:rPr>
          <w:rFonts w:ascii="Arial" w:hAnsi="Arial" w:cs="Arial"/>
          <w:sz w:val="24"/>
          <w:szCs w:val="24"/>
        </w:rPr>
        <w:t xml:space="preserve">, old and new, and </w:t>
      </w:r>
      <w:r w:rsidR="001E3115" w:rsidRPr="00043F17">
        <w:rPr>
          <w:rFonts w:ascii="Arial" w:hAnsi="Arial" w:cs="Arial"/>
          <w:sz w:val="24"/>
          <w:szCs w:val="24"/>
        </w:rPr>
        <w:t>conclude</w:t>
      </w:r>
      <w:r w:rsidR="006E6EC4" w:rsidRPr="00043F17">
        <w:rPr>
          <w:rFonts w:ascii="Arial" w:hAnsi="Arial" w:cs="Arial"/>
          <w:sz w:val="24"/>
          <w:szCs w:val="24"/>
        </w:rPr>
        <w:t xml:space="preserve"> on the totality thereof</w:t>
      </w:r>
      <w:r w:rsidR="001974DC" w:rsidRPr="00043F17">
        <w:rPr>
          <w:rFonts w:ascii="Arial" w:hAnsi="Arial" w:cs="Arial"/>
          <w:sz w:val="24"/>
          <w:szCs w:val="24"/>
        </w:rPr>
        <w:t>.</w:t>
      </w:r>
      <w:r w:rsidR="001974DC">
        <w:rPr>
          <w:rStyle w:val="FootnoteReference"/>
          <w:rFonts w:ascii="Arial" w:hAnsi="Arial" w:cs="Arial"/>
          <w:sz w:val="24"/>
          <w:szCs w:val="24"/>
        </w:rPr>
        <w:footnoteReference w:id="7"/>
      </w:r>
    </w:p>
    <w:p w14:paraId="1C94CAEC" w14:textId="77777777" w:rsidR="00043F17" w:rsidRPr="00043F17" w:rsidRDefault="00043F17" w:rsidP="00043F17">
      <w:pPr>
        <w:pStyle w:val="ListParagraph"/>
        <w:rPr>
          <w:rFonts w:ascii="Arial" w:hAnsi="Arial" w:cs="Arial"/>
          <w:sz w:val="24"/>
          <w:szCs w:val="24"/>
        </w:rPr>
      </w:pPr>
    </w:p>
    <w:p w14:paraId="133974A3" w14:textId="77777777" w:rsidR="00E56FCD" w:rsidRPr="009E259D" w:rsidRDefault="007076FE" w:rsidP="002D11C7">
      <w:pPr>
        <w:pStyle w:val="ListParagraph"/>
        <w:numPr>
          <w:ilvl w:val="0"/>
          <w:numId w:val="5"/>
        </w:numPr>
        <w:spacing w:line="360" w:lineRule="auto"/>
        <w:ind w:left="0" w:firstLine="0"/>
        <w:jc w:val="both"/>
        <w:rPr>
          <w:rFonts w:ascii="Arial" w:hAnsi="Arial" w:cs="Arial"/>
          <w:sz w:val="24"/>
          <w:szCs w:val="24"/>
        </w:rPr>
      </w:pPr>
      <w:r w:rsidRPr="00043F17">
        <w:rPr>
          <w:rFonts w:ascii="Arial" w:hAnsi="Arial" w:cs="Arial"/>
          <w:sz w:val="24"/>
          <w:szCs w:val="24"/>
        </w:rPr>
        <w:t xml:space="preserve">From the record, however, it is apparent that the </w:t>
      </w:r>
      <w:r w:rsidR="00043ADD" w:rsidRPr="00043F17">
        <w:rPr>
          <w:rFonts w:ascii="Arial" w:hAnsi="Arial" w:cs="Arial"/>
          <w:sz w:val="24"/>
          <w:szCs w:val="24"/>
        </w:rPr>
        <w:t xml:space="preserve">magistrate </w:t>
      </w:r>
      <w:r w:rsidR="006F407B" w:rsidRPr="00043F17">
        <w:rPr>
          <w:rFonts w:ascii="Arial" w:hAnsi="Arial" w:cs="Arial"/>
          <w:sz w:val="24"/>
          <w:szCs w:val="24"/>
        </w:rPr>
        <w:t xml:space="preserve">did not </w:t>
      </w:r>
      <w:r w:rsidR="00DA2044" w:rsidRPr="00043F17">
        <w:rPr>
          <w:rFonts w:ascii="Arial" w:hAnsi="Arial" w:cs="Arial"/>
          <w:sz w:val="24"/>
          <w:szCs w:val="24"/>
        </w:rPr>
        <w:t xml:space="preserve">limit himself to </w:t>
      </w:r>
      <w:r w:rsidR="00E56FCD" w:rsidRPr="00043F17">
        <w:rPr>
          <w:rFonts w:ascii="Arial" w:hAnsi="Arial" w:cs="Arial"/>
          <w:sz w:val="24"/>
          <w:szCs w:val="24"/>
        </w:rPr>
        <w:t>the new facts.</w:t>
      </w:r>
      <w:r w:rsidR="006F407B" w:rsidRPr="00043F17">
        <w:rPr>
          <w:rFonts w:ascii="Arial" w:hAnsi="Arial" w:cs="Arial"/>
          <w:sz w:val="24"/>
          <w:szCs w:val="24"/>
        </w:rPr>
        <w:t xml:space="preserve"> </w:t>
      </w:r>
      <w:r w:rsidR="00656CB8" w:rsidRPr="00043F17">
        <w:rPr>
          <w:rFonts w:ascii="Arial" w:hAnsi="Arial" w:cs="Arial"/>
          <w:sz w:val="24"/>
          <w:szCs w:val="24"/>
        </w:rPr>
        <w:t>The following extract is pertinent</w:t>
      </w:r>
      <w:r w:rsidR="00327128" w:rsidRPr="00043F17">
        <w:rPr>
          <w:rFonts w:ascii="Arial" w:hAnsi="Arial" w:cs="Arial"/>
          <w:sz w:val="24"/>
          <w:szCs w:val="24"/>
        </w:rPr>
        <w:t>:</w:t>
      </w:r>
    </w:p>
    <w:p w14:paraId="1E3C4DD6" w14:textId="01334C13" w:rsidR="00327128" w:rsidRPr="002818CB" w:rsidRDefault="00327128" w:rsidP="00043F17">
      <w:pPr>
        <w:spacing w:line="360" w:lineRule="auto"/>
        <w:ind w:left="3600" w:hanging="2880"/>
        <w:jc w:val="both"/>
        <w:rPr>
          <w:rFonts w:ascii="Arial" w:hAnsi="Arial" w:cs="Arial"/>
        </w:rPr>
      </w:pPr>
      <w:r w:rsidRPr="002818CB">
        <w:rPr>
          <w:rFonts w:ascii="Arial" w:hAnsi="Arial" w:cs="Arial"/>
        </w:rPr>
        <w:t>‘</w:t>
      </w:r>
      <w:r w:rsidR="007967DB" w:rsidRPr="002818CB">
        <w:rPr>
          <w:rFonts w:ascii="Arial" w:hAnsi="Arial" w:cs="Arial"/>
        </w:rPr>
        <w:t>COURT:</w:t>
      </w:r>
      <w:r w:rsidR="007967DB" w:rsidRPr="002818CB">
        <w:rPr>
          <w:rFonts w:ascii="Arial" w:hAnsi="Arial" w:cs="Arial"/>
        </w:rPr>
        <w:tab/>
      </w:r>
      <w:r w:rsidR="00E25A79" w:rsidRPr="002818CB">
        <w:rPr>
          <w:rFonts w:ascii="Arial" w:hAnsi="Arial" w:cs="Arial"/>
        </w:rPr>
        <w:t xml:space="preserve">…As I indicated that these factors of </w:t>
      </w:r>
      <w:r w:rsidR="00C31E90" w:rsidRPr="002818CB">
        <w:rPr>
          <w:rFonts w:ascii="Arial" w:hAnsi="Arial" w:cs="Arial"/>
        </w:rPr>
        <w:t xml:space="preserve">bail, new facts </w:t>
      </w:r>
      <w:r w:rsidR="00A95959">
        <w:rPr>
          <w:rFonts w:ascii="Arial" w:hAnsi="Arial" w:cs="Arial"/>
        </w:rPr>
        <w:t>in</w:t>
      </w:r>
      <w:r w:rsidR="00C31E90" w:rsidRPr="002818CB">
        <w:rPr>
          <w:rFonts w:ascii="Arial" w:hAnsi="Arial" w:cs="Arial"/>
        </w:rPr>
        <w:t xml:space="preserve"> this case, cannot be considered in isolation</w:t>
      </w:r>
      <w:r w:rsidR="000E06A0" w:rsidRPr="002818CB">
        <w:rPr>
          <w:rFonts w:ascii="Arial" w:hAnsi="Arial" w:cs="Arial"/>
        </w:rPr>
        <w:t>. The factors on the first bail application are still overwhelming. They are still overwhelming against the new facts</w:t>
      </w:r>
      <w:r w:rsidR="00F62C19" w:rsidRPr="002818CB">
        <w:rPr>
          <w:rFonts w:ascii="Arial" w:hAnsi="Arial" w:cs="Arial"/>
        </w:rPr>
        <w:t>.’</w:t>
      </w:r>
      <w:r w:rsidR="000F4363">
        <w:rPr>
          <w:rStyle w:val="FootnoteReference"/>
          <w:rFonts w:ascii="Arial" w:hAnsi="Arial" w:cs="Arial"/>
        </w:rPr>
        <w:footnoteReference w:id="8"/>
      </w:r>
    </w:p>
    <w:p w14:paraId="0A82BC33" w14:textId="77777777" w:rsidR="00F62C19" w:rsidRDefault="00F62C19" w:rsidP="00F62C19">
      <w:pPr>
        <w:spacing w:line="360" w:lineRule="auto"/>
        <w:rPr>
          <w:rFonts w:ascii="Arial" w:hAnsi="Arial" w:cs="Arial"/>
          <w:sz w:val="24"/>
          <w:szCs w:val="24"/>
        </w:rPr>
      </w:pPr>
    </w:p>
    <w:p w14:paraId="547A9F82" w14:textId="77777777" w:rsidR="00626B87" w:rsidRDefault="00F62C19" w:rsidP="00F62C19">
      <w:pPr>
        <w:pStyle w:val="ListParagraph"/>
        <w:numPr>
          <w:ilvl w:val="0"/>
          <w:numId w:val="5"/>
        </w:numPr>
        <w:spacing w:line="360" w:lineRule="auto"/>
        <w:ind w:left="0" w:firstLine="0"/>
        <w:jc w:val="both"/>
        <w:rPr>
          <w:rFonts w:ascii="Arial" w:hAnsi="Arial" w:cs="Arial"/>
          <w:sz w:val="24"/>
          <w:szCs w:val="24"/>
        </w:rPr>
      </w:pPr>
      <w:r w:rsidRPr="009E259D">
        <w:rPr>
          <w:rFonts w:ascii="Arial" w:hAnsi="Arial" w:cs="Arial"/>
          <w:sz w:val="24"/>
          <w:szCs w:val="24"/>
        </w:rPr>
        <w:t>If anything, the</w:t>
      </w:r>
      <w:r w:rsidR="002818CB" w:rsidRPr="009E259D">
        <w:rPr>
          <w:rFonts w:ascii="Arial" w:hAnsi="Arial" w:cs="Arial"/>
          <w:sz w:val="24"/>
          <w:szCs w:val="24"/>
        </w:rPr>
        <w:t>n the</w:t>
      </w:r>
      <w:r w:rsidRPr="009E259D">
        <w:rPr>
          <w:rFonts w:ascii="Arial" w:hAnsi="Arial" w:cs="Arial"/>
          <w:sz w:val="24"/>
          <w:szCs w:val="24"/>
        </w:rPr>
        <w:t xml:space="preserve"> magistrate can be criticised for the </w:t>
      </w:r>
      <w:r w:rsidR="00870C8F" w:rsidRPr="009E259D">
        <w:rPr>
          <w:rFonts w:ascii="Arial" w:hAnsi="Arial" w:cs="Arial"/>
          <w:sz w:val="24"/>
          <w:szCs w:val="24"/>
        </w:rPr>
        <w:t xml:space="preserve">paucity of </w:t>
      </w:r>
      <w:r w:rsidR="00493123" w:rsidRPr="009E259D">
        <w:rPr>
          <w:rFonts w:ascii="Arial" w:hAnsi="Arial" w:cs="Arial"/>
          <w:sz w:val="24"/>
          <w:szCs w:val="24"/>
        </w:rPr>
        <w:t>reasons</w:t>
      </w:r>
      <w:r w:rsidR="00F06E68" w:rsidRPr="009E259D">
        <w:rPr>
          <w:rFonts w:ascii="Arial" w:hAnsi="Arial" w:cs="Arial"/>
          <w:sz w:val="24"/>
          <w:szCs w:val="24"/>
        </w:rPr>
        <w:t xml:space="preserve"> given </w:t>
      </w:r>
      <w:r w:rsidR="00493123" w:rsidRPr="009E259D">
        <w:rPr>
          <w:rFonts w:ascii="Arial" w:hAnsi="Arial" w:cs="Arial"/>
          <w:sz w:val="24"/>
          <w:szCs w:val="24"/>
        </w:rPr>
        <w:t>for</w:t>
      </w:r>
      <w:r w:rsidR="00F06E68" w:rsidRPr="009E259D">
        <w:rPr>
          <w:rFonts w:ascii="Arial" w:hAnsi="Arial" w:cs="Arial"/>
          <w:sz w:val="24"/>
          <w:szCs w:val="24"/>
        </w:rPr>
        <w:t xml:space="preserve"> his decision to</w:t>
      </w:r>
      <w:r w:rsidR="00493123" w:rsidRPr="009E259D">
        <w:rPr>
          <w:rFonts w:ascii="Arial" w:hAnsi="Arial" w:cs="Arial"/>
          <w:sz w:val="24"/>
          <w:szCs w:val="24"/>
        </w:rPr>
        <w:t xml:space="preserve"> </w:t>
      </w:r>
      <w:r w:rsidR="00B36774" w:rsidRPr="009E259D">
        <w:rPr>
          <w:rFonts w:ascii="Arial" w:hAnsi="Arial" w:cs="Arial"/>
          <w:sz w:val="24"/>
          <w:szCs w:val="24"/>
        </w:rPr>
        <w:t>refus</w:t>
      </w:r>
      <w:r w:rsidR="00BC27C0" w:rsidRPr="009E259D">
        <w:rPr>
          <w:rFonts w:ascii="Arial" w:hAnsi="Arial" w:cs="Arial"/>
          <w:sz w:val="24"/>
          <w:szCs w:val="24"/>
        </w:rPr>
        <w:t>e the application. This does not</w:t>
      </w:r>
      <w:r w:rsidR="00593324" w:rsidRPr="009E259D">
        <w:rPr>
          <w:rFonts w:ascii="Arial" w:hAnsi="Arial" w:cs="Arial"/>
          <w:sz w:val="24"/>
          <w:szCs w:val="24"/>
        </w:rPr>
        <w:t xml:space="preserve"> necessarily mean</w:t>
      </w:r>
      <w:r w:rsidR="00BC27C0" w:rsidRPr="009E259D">
        <w:rPr>
          <w:rFonts w:ascii="Arial" w:hAnsi="Arial" w:cs="Arial"/>
          <w:sz w:val="24"/>
          <w:szCs w:val="24"/>
        </w:rPr>
        <w:t>, however, that his decision was wrong.</w:t>
      </w:r>
    </w:p>
    <w:p w14:paraId="7F4613CB" w14:textId="77777777" w:rsidR="00626B87" w:rsidRDefault="00626B87" w:rsidP="00626B87">
      <w:pPr>
        <w:pStyle w:val="ListParagraph"/>
        <w:spacing w:line="360" w:lineRule="auto"/>
        <w:ind w:left="0"/>
        <w:jc w:val="both"/>
        <w:rPr>
          <w:rFonts w:ascii="Arial" w:hAnsi="Arial" w:cs="Arial"/>
          <w:sz w:val="24"/>
          <w:szCs w:val="24"/>
        </w:rPr>
      </w:pPr>
    </w:p>
    <w:p w14:paraId="3E723D38" w14:textId="77777777" w:rsidR="00593324" w:rsidRDefault="00593324" w:rsidP="00F62C19">
      <w:pPr>
        <w:pStyle w:val="ListParagraph"/>
        <w:numPr>
          <w:ilvl w:val="0"/>
          <w:numId w:val="5"/>
        </w:numPr>
        <w:spacing w:line="360" w:lineRule="auto"/>
        <w:ind w:left="0" w:firstLine="0"/>
        <w:jc w:val="both"/>
        <w:rPr>
          <w:rFonts w:ascii="Arial" w:hAnsi="Arial" w:cs="Arial"/>
          <w:sz w:val="24"/>
          <w:szCs w:val="24"/>
        </w:rPr>
      </w:pPr>
      <w:r w:rsidRPr="00626B87">
        <w:rPr>
          <w:rFonts w:ascii="Arial" w:hAnsi="Arial" w:cs="Arial"/>
          <w:sz w:val="24"/>
          <w:szCs w:val="24"/>
        </w:rPr>
        <w:t xml:space="preserve">In </w:t>
      </w:r>
      <w:r w:rsidR="003C212A" w:rsidRPr="00626B87">
        <w:rPr>
          <w:rFonts w:ascii="Arial" w:hAnsi="Arial" w:cs="Arial"/>
          <w:i/>
          <w:iCs/>
          <w:sz w:val="24"/>
          <w:szCs w:val="24"/>
        </w:rPr>
        <w:t>S v Ali</w:t>
      </w:r>
      <w:r w:rsidR="003C212A" w:rsidRPr="00626B87">
        <w:rPr>
          <w:rFonts w:ascii="Arial" w:hAnsi="Arial" w:cs="Arial"/>
          <w:sz w:val="24"/>
          <w:szCs w:val="24"/>
        </w:rPr>
        <w:t>,</w:t>
      </w:r>
      <w:r w:rsidR="003C212A">
        <w:rPr>
          <w:rStyle w:val="FootnoteReference"/>
          <w:rFonts w:ascii="Arial" w:hAnsi="Arial" w:cs="Arial"/>
          <w:sz w:val="24"/>
          <w:szCs w:val="24"/>
        </w:rPr>
        <w:footnoteReference w:id="9"/>
      </w:r>
      <w:r w:rsidR="00191208" w:rsidRPr="00626B87">
        <w:rPr>
          <w:rFonts w:ascii="Arial" w:hAnsi="Arial" w:cs="Arial"/>
          <w:sz w:val="24"/>
          <w:szCs w:val="24"/>
        </w:rPr>
        <w:t xml:space="preserve"> Grogan AJ</w:t>
      </w:r>
      <w:r w:rsidR="006142C5" w:rsidRPr="00626B87">
        <w:rPr>
          <w:rFonts w:ascii="Arial" w:hAnsi="Arial" w:cs="Arial"/>
          <w:sz w:val="24"/>
          <w:szCs w:val="24"/>
        </w:rPr>
        <w:t xml:space="preserve"> held that:</w:t>
      </w:r>
    </w:p>
    <w:p w14:paraId="7B61003E" w14:textId="77777777" w:rsidR="006142C5" w:rsidRPr="00345113" w:rsidRDefault="006142C5" w:rsidP="000D4B66">
      <w:pPr>
        <w:spacing w:line="360" w:lineRule="auto"/>
        <w:rPr>
          <w:rFonts w:ascii="Arial" w:hAnsi="Arial" w:cs="Arial"/>
        </w:rPr>
      </w:pPr>
      <w:r w:rsidRPr="00345113">
        <w:rPr>
          <w:rFonts w:ascii="Arial" w:hAnsi="Arial" w:cs="Arial"/>
        </w:rPr>
        <w:lastRenderedPageBreak/>
        <w:t xml:space="preserve">‘I have </w:t>
      </w:r>
      <w:r w:rsidR="000B0850" w:rsidRPr="00345113">
        <w:rPr>
          <w:rFonts w:ascii="Arial" w:hAnsi="Arial" w:cs="Arial"/>
        </w:rPr>
        <w:t xml:space="preserve">already adverted to the brevity </w:t>
      </w:r>
      <w:r w:rsidR="00E95461" w:rsidRPr="00345113">
        <w:rPr>
          <w:rFonts w:ascii="Arial" w:hAnsi="Arial" w:cs="Arial"/>
        </w:rPr>
        <w:t xml:space="preserve">of the reasons the magistrate gave for his decision to dismiss </w:t>
      </w:r>
      <w:r w:rsidR="0096313E" w:rsidRPr="00345113">
        <w:rPr>
          <w:rFonts w:ascii="Arial" w:hAnsi="Arial" w:cs="Arial"/>
        </w:rPr>
        <w:t xml:space="preserve">the appellant’s third bail application. However, brevity is not in itself </w:t>
      </w:r>
      <w:r w:rsidR="004D52D8" w:rsidRPr="00345113">
        <w:rPr>
          <w:rFonts w:ascii="Arial" w:hAnsi="Arial" w:cs="Arial"/>
        </w:rPr>
        <w:t xml:space="preserve">sufficient basis for concluding that the magistrate ignored </w:t>
      </w:r>
      <w:r w:rsidR="00290A41" w:rsidRPr="00345113">
        <w:rPr>
          <w:rFonts w:ascii="Arial" w:hAnsi="Arial" w:cs="Arial"/>
        </w:rPr>
        <w:t>or gave insufficient weight to the considerations set out in s 60 of the Act.</w:t>
      </w:r>
      <w:r w:rsidR="0000731F" w:rsidRPr="00345113">
        <w:rPr>
          <w:rFonts w:ascii="Arial" w:hAnsi="Arial" w:cs="Arial"/>
        </w:rPr>
        <w:t xml:space="preserve"> It is clear that the magistrate concluded that it was in the interests of justice</w:t>
      </w:r>
      <w:r w:rsidR="008E1116" w:rsidRPr="00345113">
        <w:rPr>
          <w:rFonts w:ascii="Arial" w:hAnsi="Arial" w:cs="Arial"/>
        </w:rPr>
        <w:t xml:space="preserve"> that the appellant should be denied bail </w:t>
      </w:r>
      <w:r w:rsidR="006E308D" w:rsidRPr="00345113">
        <w:rPr>
          <w:rFonts w:ascii="Arial" w:hAnsi="Arial" w:cs="Arial"/>
        </w:rPr>
        <w:t>because he is a flight risk.’</w:t>
      </w:r>
      <w:r w:rsidR="006E308D" w:rsidRPr="00345113">
        <w:rPr>
          <w:rStyle w:val="FootnoteReference"/>
          <w:rFonts w:ascii="Arial" w:hAnsi="Arial" w:cs="Arial"/>
        </w:rPr>
        <w:footnoteReference w:id="10"/>
      </w:r>
    </w:p>
    <w:p w14:paraId="5353416F" w14:textId="77777777" w:rsidR="006E308D" w:rsidRDefault="006E308D" w:rsidP="00F62C19">
      <w:pPr>
        <w:spacing w:line="360" w:lineRule="auto"/>
        <w:rPr>
          <w:rFonts w:ascii="Arial" w:hAnsi="Arial" w:cs="Arial"/>
          <w:sz w:val="24"/>
          <w:szCs w:val="24"/>
        </w:rPr>
      </w:pPr>
    </w:p>
    <w:p w14:paraId="3C02235B" w14:textId="77777777" w:rsidR="00626B87" w:rsidRDefault="006E308D" w:rsidP="00F62C19">
      <w:pPr>
        <w:pStyle w:val="ListParagraph"/>
        <w:numPr>
          <w:ilvl w:val="0"/>
          <w:numId w:val="5"/>
        </w:numPr>
        <w:spacing w:line="360" w:lineRule="auto"/>
        <w:ind w:left="0" w:firstLine="0"/>
        <w:jc w:val="both"/>
        <w:rPr>
          <w:rFonts w:ascii="Arial" w:hAnsi="Arial" w:cs="Arial"/>
          <w:sz w:val="24"/>
          <w:szCs w:val="24"/>
        </w:rPr>
      </w:pPr>
      <w:r w:rsidRPr="00626B87">
        <w:rPr>
          <w:rFonts w:ascii="Arial" w:hAnsi="Arial" w:cs="Arial"/>
          <w:sz w:val="24"/>
          <w:szCs w:val="24"/>
        </w:rPr>
        <w:t xml:space="preserve">The test remains whether the decision was wrong. </w:t>
      </w:r>
      <w:r w:rsidR="00215231" w:rsidRPr="00626B87">
        <w:rPr>
          <w:rFonts w:ascii="Arial" w:hAnsi="Arial" w:cs="Arial"/>
          <w:sz w:val="24"/>
          <w:szCs w:val="24"/>
        </w:rPr>
        <w:t>This must be determined</w:t>
      </w:r>
      <w:r w:rsidR="00C513AC" w:rsidRPr="00626B87">
        <w:rPr>
          <w:rFonts w:ascii="Arial" w:hAnsi="Arial" w:cs="Arial"/>
          <w:sz w:val="24"/>
          <w:szCs w:val="24"/>
        </w:rPr>
        <w:t xml:space="preserve"> on</w:t>
      </w:r>
      <w:r w:rsidR="00215231" w:rsidRPr="00626B87">
        <w:rPr>
          <w:rFonts w:ascii="Arial" w:hAnsi="Arial" w:cs="Arial"/>
          <w:sz w:val="24"/>
          <w:szCs w:val="24"/>
        </w:rPr>
        <w:t xml:space="preserve"> </w:t>
      </w:r>
      <w:r w:rsidR="003B3835" w:rsidRPr="00626B87">
        <w:rPr>
          <w:rFonts w:ascii="Arial" w:hAnsi="Arial" w:cs="Arial"/>
          <w:sz w:val="24"/>
          <w:szCs w:val="24"/>
        </w:rPr>
        <w:t xml:space="preserve">whether </w:t>
      </w:r>
      <w:r w:rsidR="00215231" w:rsidRPr="00626B87">
        <w:rPr>
          <w:rFonts w:ascii="Arial" w:hAnsi="Arial" w:cs="Arial"/>
          <w:sz w:val="24"/>
          <w:szCs w:val="24"/>
        </w:rPr>
        <w:t xml:space="preserve">the </w:t>
      </w:r>
      <w:r w:rsidR="001B3E6E" w:rsidRPr="00626B87">
        <w:rPr>
          <w:rFonts w:ascii="Arial" w:hAnsi="Arial" w:cs="Arial"/>
          <w:sz w:val="24"/>
          <w:szCs w:val="24"/>
        </w:rPr>
        <w:t xml:space="preserve">appellant </w:t>
      </w:r>
      <w:r w:rsidR="00BF388D" w:rsidRPr="00626B87">
        <w:rPr>
          <w:rFonts w:ascii="Arial" w:hAnsi="Arial" w:cs="Arial"/>
          <w:sz w:val="24"/>
          <w:szCs w:val="24"/>
        </w:rPr>
        <w:t xml:space="preserve">successfully demonstrated </w:t>
      </w:r>
      <w:r w:rsidR="001B3E6E" w:rsidRPr="00626B87">
        <w:rPr>
          <w:rFonts w:ascii="Arial" w:hAnsi="Arial" w:cs="Arial"/>
          <w:sz w:val="24"/>
          <w:szCs w:val="24"/>
        </w:rPr>
        <w:t xml:space="preserve">that </w:t>
      </w:r>
      <w:r w:rsidR="009574B1" w:rsidRPr="00626B87">
        <w:rPr>
          <w:rFonts w:ascii="Arial" w:hAnsi="Arial" w:cs="Arial"/>
          <w:sz w:val="24"/>
          <w:szCs w:val="24"/>
        </w:rPr>
        <w:t xml:space="preserve">there were </w:t>
      </w:r>
      <w:r w:rsidR="003B3835" w:rsidRPr="00626B87">
        <w:rPr>
          <w:rFonts w:ascii="Arial" w:hAnsi="Arial" w:cs="Arial"/>
          <w:sz w:val="24"/>
          <w:szCs w:val="24"/>
        </w:rPr>
        <w:t xml:space="preserve">exceptional circumstances which, </w:t>
      </w:r>
      <w:r w:rsidR="00A404CD" w:rsidRPr="00626B87">
        <w:rPr>
          <w:rFonts w:ascii="Arial" w:hAnsi="Arial" w:cs="Arial"/>
          <w:sz w:val="24"/>
          <w:szCs w:val="24"/>
        </w:rPr>
        <w:t xml:space="preserve">in the interests of justice, </w:t>
      </w:r>
      <w:r w:rsidR="009574B1" w:rsidRPr="00626B87">
        <w:rPr>
          <w:rFonts w:ascii="Arial" w:hAnsi="Arial" w:cs="Arial"/>
          <w:sz w:val="24"/>
          <w:szCs w:val="24"/>
        </w:rPr>
        <w:t>permitted his release.</w:t>
      </w:r>
    </w:p>
    <w:p w14:paraId="39132058" w14:textId="77777777" w:rsidR="00626B87" w:rsidRDefault="00626B87" w:rsidP="00626B87">
      <w:pPr>
        <w:pStyle w:val="ListParagraph"/>
        <w:spacing w:line="360" w:lineRule="auto"/>
        <w:ind w:left="0"/>
        <w:jc w:val="both"/>
        <w:rPr>
          <w:rFonts w:ascii="Arial" w:hAnsi="Arial" w:cs="Arial"/>
          <w:sz w:val="24"/>
          <w:szCs w:val="24"/>
        </w:rPr>
      </w:pPr>
    </w:p>
    <w:p w14:paraId="2DCC91FB" w14:textId="77777777" w:rsidR="00D474B6" w:rsidRPr="00626B87" w:rsidRDefault="00D474B6" w:rsidP="00F62C19">
      <w:pPr>
        <w:pStyle w:val="ListParagraph"/>
        <w:numPr>
          <w:ilvl w:val="0"/>
          <w:numId w:val="5"/>
        </w:numPr>
        <w:spacing w:line="360" w:lineRule="auto"/>
        <w:ind w:left="0" w:firstLine="0"/>
        <w:jc w:val="both"/>
        <w:rPr>
          <w:rFonts w:ascii="Arial" w:hAnsi="Arial" w:cs="Arial"/>
          <w:sz w:val="24"/>
          <w:szCs w:val="24"/>
        </w:rPr>
      </w:pPr>
      <w:r w:rsidRPr="00626B87">
        <w:rPr>
          <w:rFonts w:ascii="Arial" w:hAnsi="Arial" w:cs="Arial"/>
          <w:sz w:val="24"/>
          <w:szCs w:val="24"/>
        </w:rPr>
        <w:t xml:space="preserve">Precisely what </w:t>
      </w:r>
      <w:r w:rsidR="002C5687" w:rsidRPr="00626B87">
        <w:rPr>
          <w:rFonts w:ascii="Arial" w:hAnsi="Arial" w:cs="Arial"/>
          <w:sz w:val="24"/>
          <w:szCs w:val="24"/>
        </w:rPr>
        <w:t xml:space="preserve">constitute exceptional circumstances is not always easy to say. In </w:t>
      </w:r>
      <w:r w:rsidR="002C5687" w:rsidRPr="00626B87">
        <w:rPr>
          <w:rFonts w:ascii="Arial" w:hAnsi="Arial" w:cs="Arial"/>
          <w:i/>
          <w:iCs/>
          <w:sz w:val="24"/>
          <w:szCs w:val="24"/>
        </w:rPr>
        <w:t>S v Jon</w:t>
      </w:r>
      <w:r w:rsidR="00F3375F" w:rsidRPr="00626B87">
        <w:rPr>
          <w:rFonts w:ascii="Arial" w:hAnsi="Arial" w:cs="Arial"/>
          <w:i/>
          <w:iCs/>
          <w:sz w:val="24"/>
          <w:szCs w:val="24"/>
        </w:rPr>
        <w:t>a</w:t>
      </w:r>
      <w:r w:rsidR="002C5687" w:rsidRPr="00626B87">
        <w:rPr>
          <w:rFonts w:ascii="Arial" w:hAnsi="Arial" w:cs="Arial"/>
          <w:i/>
          <w:iCs/>
          <w:sz w:val="24"/>
          <w:szCs w:val="24"/>
        </w:rPr>
        <w:t>s</w:t>
      </w:r>
      <w:r w:rsidR="002C5687" w:rsidRPr="00626B87">
        <w:rPr>
          <w:rFonts w:ascii="Arial" w:hAnsi="Arial" w:cs="Arial"/>
          <w:sz w:val="24"/>
          <w:szCs w:val="24"/>
        </w:rPr>
        <w:t>,</w:t>
      </w:r>
      <w:r w:rsidR="002C5687">
        <w:rPr>
          <w:rStyle w:val="FootnoteReference"/>
          <w:rFonts w:ascii="Arial" w:hAnsi="Arial" w:cs="Arial"/>
          <w:sz w:val="24"/>
          <w:szCs w:val="24"/>
        </w:rPr>
        <w:footnoteReference w:id="11"/>
      </w:r>
      <w:r w:rsidR="00B95FA7" w:rsidRPr="00626B87">
        <w:rPr>
          <w:rFonts w:ascii="Arial" w:hAnsi="Arial" w:cs="Arial"/>
          <w:sz w:val="24"/>
          <w:szCs w:val="24"/>
        </w:rPr>
        <w:t xml:space="preserve"> to which counsel for the appellant referred, </w:t>
      </w:r>
      <w:r w:rsidR="00586AEB" w:rsidRPr="00626B87">
        <w:rPr>
          <w:rFonts w:ascii="Arial" w:hAnsi="Arial" w:cs="Arial"/>
          <w:sz w:val="24"/>
          <w:szCs w:val="24"/>
        </w:rPr>
        <w:t>Horn JA held that:</w:t>
      </w:r>
    </w:p>
    <w:p w14:paraId="25DD2A2C" w14:textId="77777777" w:rsidR="00586AEB" w:rsidRPr="008724CB" w:rsidRDefault="00586AEB" w:rsidP="000D4B66">
      <w:pPr>
        <w:spacing w:line="360" w:lineRule="auto"/>
        <w:jc w:val="both"/>
        <w:rPr>
          <w:rFonts w:ascii="Arial" w:hAnsi="Arial" w:cs="Arial"/>
        </w:rPr>
      </w:pPr>
      <w:r w:rsidRPr="008724CB">
        <w:rPr>
          <w:rFonts w:ascii="Arial" w:hAnsi="Arial" w:cs="Arial"/>
        </w:rPr>
        <w:t>‘The term “exceptional circumstances” is not defined</w:t>
      </w:r>
      <w:r w:rsidR="005D75D9" w:rsidRPr="008724CB">
        <w:rPr>
          <w:rFonts w:ascii="Arial" w:hAnsi="Arial" w:cs="Arial"/>
        </w:rPr>
        <w:t xml:space="preserve">. There can be as many circumstances which are exceptional as the term in essence implies. </w:t>
      </w:r>
      <w:r w:rsidR="000D2E5C" w:rsidRPr="008724CB">
        <w:rPr>
          <w:rFonts w:ascii="Arial" w:hAnsi="Arial" w:cs="Arial"/>
        </w:rPr>
        <w:t>An urgent serious medical operation necessitating the accused’s absence is one that springs to mind. A terminal illness</w:t>
      </w:r>
      <w:r w:rsidR="002813EE" w:rsidRPr="008724CB">
        <w:rPr>
          <w:rFonts w:ascii="Arial" w:hAnsi="Arial" w:cs="Arial"/>
        </w:rPr>
        <w:t xml:space="preserve"> may be another. It would be futile to attempt to provide a list of possibilities </w:t>
      </w:r>
      <w:r w:rsidR="00754845" w:rsidRPr="008724CB">
        <w:rPr>
          <w:rFonts w:ascii="Arial" w:hAnsi="Arial" w:cs="Arial"/>
        </w:rPr>
        <w:t xml:space="preserve">which will constitute such exceptional circumstances. To my mind, </w:t>
      </w:r>
      <w:r w:rsidR="00B302FE" w:rsidRPr="008724CB">
        <w:rPr>
          <w:rFonts w:ascii="Arial" w:hAnsi="Arial" w:cs="Arial"/>
        </w:rPr>
        <w:t xml:space="preserve">to incarcerate an innocent person for an offence which he did not commit could also be viewed as </w:t>
      </w:r>
      <w:r w:rsidR="0027119F" w:rsidRPr="008724CB">
        <w:rPr>
          <w:rFonts w:ascii="Arial" w:hAnsi="Arial" w:cs="Arial"/>
        </w:rPr>
        <w:t xml:space="preserve">an exceptional circumstance. Where a man is charged with a commission of a Schedule 6 offence when everything </w:t>
      </w:r>
      <w:r w:rsidR="00A26886" w:rsidRPr="008724CB">
        <w:rPr>
          <w:rFonts w:ascii="Arial" w:hAnsi="Arial" w:cs="Arial"/>
        </w:rPr>
        <w:t xml:space="preserve">points to the fact that he could not have committed the offence because, </w:t>
      </w:r>
      <w:proofErr w:type="gramStart"/>
      <w:r w:rsidR="00A26886" w:rsidRPr="008724CB">
        <w:rPr>
          <w:rFonts w:ascii="Arial" w:hAnsi="Arial" w:cs="Arial"/>
        </w:rPr>
        <w:t>e.g.</w:t>
      </w:r>
      <w:proofErr w:type="gramEnd"/>
      <w:r w:rsidR="00A26886" w:rsidRPr="008724CB">
        <w:rPr>
          <w:rFonts w:ascii="Arial" w:hAnsi="Arial" w:cs="Arial"/>
        </w:rPr>
        <w:t xml:space="preserve"> he has a cast-iron alibi</w:t>
      </w:r>
      <w:r w:rsidR="00691CEA" w:rsidRPr="008724CB">
        <w:rPr>
          <w:rFonts w:ascii="Arial" w:hAnsi="Arial" w:cs="Arial"/>
        </w:rPr>
        <w:t>, this would likewise constitute an exceptional circumstance.’</w:t>
      </w:r>
      <w:r w:rsidR="00691CEA" w:rsidRPr="008724CB">
        <w:rPr>
          <w:rStyle w:val="FootnoteReference"/>
          <w:rFonts w:ascii="Arial" w:hAnsi="Arial" w:cs="Arial"/>
        </w:rPr>
        <w:footnoteReference w:id="12"/>
      </w:r>
    </w:p>
    <w:p w14:paraId="30A7A42A" w14:textId="77777777" w:rsidR="006A4DB1" w:rsidRDefault="006A4DB1" w:rsidP="002D11C7">
      <w:pPr>
        <w:spacing w:line="360" w:lineRule="auto"/>
        <w:rPr>
          <w:rFonts w:ascii="Arial" w:hAnsi="Arial" w:cs="Arial"/>
          <w:sz w:val="24"/>
          <w:szCs w:val="24"/>
        </w:rPr>
      </w:pPr>
    </w:p>
    <w:p w14:paraId="2A51B25B" w14:textId="77777777" w:rsidR="00B870DA" w:rsidRDefault="007C0D55" w:rsidP="002D11C7">
      <w:pPr>
        <w:pStyle w:val="ListParagraph"/>
        <w:numPr>
          <w:ilvl w:val="0"/>
          <w:numId w:val="5"/>
        </w:numPr>
        <w:spacing w:line="360" w:lineRule="auto"/>
        <w:ind w:left="0" w:firstLine="0"/>
        <w:jc w:val="both"/>
        <w:rPr>
          <w:rFonts w:ascii="Arial" w:hAnsi="Arial" w:cs="Arial"/>
          <w:sz w:val="24"/>
          <w:szCs w:val="24"/>
        </w:rPr>
      </w:pPr>
      <w:r w:rsidRPr="000F2F28">
        <w:rPr>
          <w:rFonts w:ascii="Arial" w:hAnsi="Arial" w:cs="Arial"/>
          <w:sz w:val="24"/>
          <w:szCs w:val="24"/>
        </w:rPr>
        <w:t xml:space="preserve">In summary, the circumstances listed by the appellant in his first bail application consisted of the following: he has a child who is an epileptic and for whom the appellant alleges that he is the primary caregiver; he was employed both at a security firm and at a family business, which depended on his expertise and experience for their financial viability; he </w:t>
      </w:r>
      <w:r w:rsidR="00E926D0" w:rsidRPr="000F2F28">
        <w:rPr>
          <w:rFonts w:ascii="Arial" w:hAnsi="Arial" w:cs="Arial"/>
          <w:sz w:val="24"/>
          <w:szCs w:val="24"/>
        </w:rPr>
        <w:t xml:space="preserve">had </w:t>
      </w:r>
      <w:r w:rsidRPr="000F2F28">
        <w:rPr>
          <w:rFonts w:ascii="Arial" w:hAnsi="Arial" w:cs="Arial"/>
          <w:sz w:val="24"/>
          <w:szCs w:val="24"/>
        </w:rPr>
        <w:t>participated in community development programmes</w:t>
      </w:r>
      <w:r w:rsidR="00E926D0" w:rsidRPr="000F2F28">
        <w:rPr>
          <w:rFonts w:ascii="Arial" w:hAnsi="Arial" w:cs="Arial"/>
          <w:sz w:val="24"/>
          <w:szCs w:val="24"/>
        </w:rPr>
        <w:t xml:space="preserve"> and enjoyed the </w:t>
      </w:r>
      <w:r w:rsidR="00E926D0" w:rsidRPr="000F2F28">
        <w:rPr>
          <w:rFonts w:ascii="Arial" w:hAnsi="Arial" w:cs="Arial"/>
          <w:sz w:val="24"/>
          <w:szCs w:val="24"/>
        </w:rPr>
        <w:lastRenderedPageBreak/>
        <w:t>support of his community</w:t>
      </w:r>
      <w:r w:rsidRPr="000F2F28">
        <w:rPr>
          <w:rFonts w:ascii="Arial" w:hAnsi="Arial" w:cs="Arial"/>
          <w:sz w:val="24"/>
          <w:szCs w:val="24"/>
        </w:rPr>
        <w:t xml:space="preserve">; he had just completed his sentence </w:t>
      </w:r>
      <w:r w:rsidR="00E926D0" w:rsidRPr="000F2F28">
        <w:rPr>
          <w:rFonts w:ascii="Arial" w:hAnsi="Arial" w:cs="Arial"/>
          <w:sz w:val="24"/>
          <w:szCs w:val="24"/>
        </w:rPr>
        <w:t xml:space="preserve">in relation to </w:t>
      </w:r>
      <w:r w:rsidRPr="000F2F28">
        <w:rPr>
          <w:rFonts w:ascii="Arial" w:hAnsi="Arial" w:cs="Arial"/>
          <w:sz w:val="24"/>
          <w:szCs w:val="24"/>
        </w:rPr>
        <w:t>a conviction for robbery;</w:t>
      </w:r>
      <w:r w:rsidR="00E926D0" w:rsidRPr="000F2F28">
        <w:rPr>
          <w:rFonts w:ascii="Arial" w:hAnsi="Arial" w:cs="Arial"/>
          <w:sz w:val="24"/>
          <w:szCs w:val="24"/>
        </w:rPr>
        <w:t xml:space="preserve"> he had not interfered with police investigations or witnesses; and he was not a flight risk. The exceptional circumstances mentioned by the appellant included the alleged weakness of the state’s case, the appellant’s inability to generate an income to fund his defence, the unreasonable delay that would be caused by the transfer of the matter to the High Court, his deteriorating health, and his child’s need for the appellant’s emotional and financial support. </w:t>
      </w:r>
    </w:p>
    <w:p w14:paraId="1B341165" w14:textId="77777777" w:rsidR="00B870DA" w:rsidRDefault="00B870DA" w:rsidP="00B870DA">
      <w:pPr>
        <w:pStyle w:val="ListParagraph"/>
        <w:spacing w:line="360" w:lineRule="auto"/>
        <w:ind w:left="0"/>
        <w:jc w:val="both"/>
        <w:rPr>
          <w:rFonts w:ascii="Arial" w:hAnsi="Arial" w:cs="Arial"/>
          <w:sz w:val="24"/>
          <w:szCs w:val="24"/>
        </w:rPr>
      </w:pPr>
    </w:p>
    <w:p w14:paraId="378C1C58" w14:textId="77777777" w:rsidR="00B870DA" w:rsidRDefault="00E926D0" w:rsidP="002D11C7">
      <w:pPr>
        <w:pStyle w:val="ListParagraph"/>
        <w:numPr>
          <w:ilvl w:val="0"/>
          <w:numId w:val="5"/>
        </w:numPr>
        <w:spacing w:line="360" w:lineRule="auto"/>
        <w:ind w:left="0" w:firstLine="0"/>
        <w:jc w:val="both"/>
        <w:rPr>
          <w:rFonts w:ascii="Arial" w:hAnsi="Arial" w:cs="Arial"/>
          <w:sz w:val="24"/>
          <w:szCs w:val="24"/>
        </w:rPr>
      </w:pPr>
      <w:r w:rsidRPr="00B870DA">
        <w:rPr>
          <w:rFonts w:ascii="Arial" w:hAnsi="Arial" w:cs="Arial"/>
          <w:sz w:val="24"/>
          <w:szCs w:val="24"/>
        </w:rPr>
        <w:t xml:space="preserve">None of the circumstances listed, on </w:t>
      </w:r>
      <w:r w:rsidR="00F477D6" w:rsidRPr="00B870DA">
        <w:rPr>
          <w:rFonts w:ascii="Arial" w:hAnsi="Arial" w:cs="Arial"/>
          <w:sz w:val="24"/>
          <w:szCs w:val="24"/>
        </w:rPr>
        <w:t xml:space="preserve">their own, could be said to be exceptional. The consequences of being taken into custody </w:t>
      </w:r>
      <w:r w:rsidR="00DD4FD0" w:rsidRPr="00B870DA">
        <w:rPr>
          <w:rFonts w:ascii="Arial" w:hAnsi="Arial" w:cs="Arial"/>
          <w:sz w:val="24"/>
          <w:szCs w:val="24"/>
        </w:rPr>
        <w:t>entail, often</w:t>
      </w:r>
      <w:r w:rsidR="00F477D6" w:rsidRPr="00B870DA">
        <w:rPr>
          <w:rFonts w:ascii="Arial" w:hAnsi="Arial" w:cs="Arial"/>
          <w:sz w:val="24"/>
          <w:szCs w:val="24"/>
        </w:rPr>
        <w:t xml:space="preserve">, the loss of support for family members, and the loss of employment or other sources of income. In the present matter, the extent of support from the </w:t>
      </w:r>
      <w:proofErr w:type="spellStart"/>
      <w:r w:rsidR="00F477D6" w:rsidRPr="00B870DA">
        <w:rPr>
          <w:rFonts w:ascii="Arial" w:hAnsi="Arial" w:cs="Arial"/>
          <w:sz w:val="24"/>
          <w:szCs w:val="24"/>
        </w:rPr>
        <w:t>Grabouw</w:t>
      </w:r>
      <w:proofErr w:type="spellEnd"/>
      <w:r w:rsidR="00F477D6" w:rsidRPr="00B870DA">
        <w:rPr>
          <w:rFonts w:ascii="Arial" w:hAnsi="Arial" w:cs="Arial"/>
          <w:sz w:val="24"/>
          <w:szCs w:val="24"/>
        </w:rPr>
        <w:t xml:space="preserve"> community is unclear, especially considering the allegation made against the appellant that he had murdered a school principal from the same community. The strength of the state’s case against him c</w:t>
      </w:r>
      <w:r w:rsidR="00C53BA8" w:rsidRPr="00B870DA">
        <w:rPr>
          <w:rFonts w:ascii="Arial" w:hAnsi="Arial" w:cs="Arial"/>
          <w:sz w:val="24"/>
          <w:szCs w:val="24"/>
        </w:rPr>
        <w:t>an</w:t>
      </w:r>
      <w:r w:rsidR="00F477D6" w:rsidRPr="00B870DA">
        <w:rPr>
          <w:rFonts w:ascii="Arial" w:hAnsi="Arial" w:cs="Arial"/>
          <w:sz w:val="24"/>
          <w:szCs w:val="24"/>
        </w:rPr>
        <w:t xml:space="preserve"> only be properly tested during the ongoing trial</w:t>
      </w:r>
      <w:r w:rsidR="00077095" w:rsidRPr="00B870DA">
        <w:rPr>
          <w:rFonts w:ascii="Arial" w:hAnsi="Arial" w:cs="Arial"/>
          <w:sz w:val="24"/>
          <w:szCs w:val="24"/>
        </w:rPr>
        <w:t>;</w:t>
      </w:r>
      <w:r w:rsidR="00F477D6" w:rsidRPr="00B870DA">
        <w:rPr>
          <w:rFonts w:ascii="Arial" w:hAnsi="Arial" w:cs="Arial"/>
          <w:sz w:val="24"/>
          <w:szCs w:val="24"/>
        </w:rPr>
        <w:t xml:space="preserve"> it was not apparent why the appellant had described it as ‘very weak’. The delay in the trial was not </w:t>
      </w:r>
      <w:r w:rsidR="00AA27B5" w:rsidRPr="00B870DA">
        <w:rPr>
          <w:rFonts w:ascii="Arial" w:hAnsi="Arial" w:cs="Arial"/>
          <w:sz w:val="24"/>
          <w:szCs w:val="24"/>
        </w:rPr>
        <w:t>unusual</w:t>
      </w:r>
      <w:r w:rsidR="00F477D6" w:rsidRPr="00B870DA">
        <w:rPr>
          <w:rFonts w:ascii="Arial" w:hAnsi="Arial" w:cs="Arial"/>
          <w:sz w:val="24"/>
          <w:szCs w:val="24"/>
        </w:rPr>
        <w:t xml:space="preserve">; it was common cause that the state’s case was well underway. There was simply no independent evidence produced by the appellant regarding the state of his health, such as a medical report. In relation to the child, the appellant had not explained </w:t>
      </w:r>
      <w:r w:rsidR="00A708AA" w:rsidRPr="00B870DA">
        <w:rPr>
          <w:rFonts w:ascii="Arial" w:hAnsi="Arial" w:cs="Arial"/>
          <w:sz w:val="24"/>
          <w:szCs w:val="24"/>
        </w:rPr>
        <w:t xml:space="preserve">if or </w:t>
      </w:r>
      <w:r w:rsidR="00F477D6" w:rsidRPr="00B870DA">
        <w:rPr>
          <w:rFonts w:ascii="Arial" w:hAnsi="Arial" w:cs="Arial"/>
          <w:sz w:val="24"/>
          <w:szCs w:val="24"/>
        </w:rPr>
        <w:t>why the mother was</w:t>
      </w:r>
      <w:r w:rsidR="00A708AA" w:rsidRPr="00B870DA">
        <w:rPr>
          <w:rFonts w:ascii="Arial" w:hAnsi="Arial" w:cs="Arial"/>
          <w:sz w:val="24"/>
          <w:szCs w:val="24"/>
        </w:rPr>
        <w:t xml:space="preserve"> unable to continue providing support, notwithstanding financial hardship.</w:t>
      </w:r>
    </w:p>
    <w:p w14:paraId="15282ED8" w14:textId="77777777" w:rsidR="00B870DA" w:rsidRPr="00B870DA" w:rsidRDefault="00B870DA" w:rsidP="00B870DA">
      <w:pPr>
        <w:pStyle w:val="ListParagraph"/>
        <w:rPr>
          <w:rFonts w:ascii="Arial" w:hAnsi="Arial" w:cs="Arial"/>
          <w:sz w:val="24"/>
          <w:szCs w:val="24"/>
        </w:rPr>
      </w:pPr>
    </w:p>
    <w:p w14:paraId="4199C3E6" w14:textId="77777777" w:rsidR="00B870DA" w:rsidRDefault="00A708AA" w:rsidP="002D11C7">
      <w:pPr>
        <w:pStyle w:val="ListParagraph"/>
        <w:numPr>
          <w:ilvl w:val="0"/>
          <w:numId w:val="5"/>
        </w:numPr>
        <w:spacing w:line="360" w:lineRule="auto"/>
        <w:ind w:left="0" w:firstLine="0"/>
        <w:jc w:val="both"/>
        <w:rPr>
          <w:rFonts w:ascii="Arial" w:hAnsi="Arial" w:cs="Arial"/>
          <w:sz w:val="24"/>
          <w:szCs w:val="24"/>
        </w:rPr>
      </w:pPr>
      <w:r w:rsidRPr="00B870DA">
        <w:rPr>
          <w:rFonts w:ascii="Arial" w:hAnsi="Arial" w:cs="Arial"/>
          <w:sz w:val="24"/>
          <w:szCs w:val="24"/>
        </w:rPr>
        <w:t>The remainder of the facts presented are unremarkable. Cumulatively, they fall far short of being exceptional.</w:t>
      </w:r>
    </w:p>
    <w:p w14:paraId="42FD2792" w14:textId="77777777" w:rsidR="00B870DA" w:rsidRPr="00B870DA" w:rsidRDefault="00B870DA" w:rsidP="00B870DA">
      <w:pPr>
        <w:pStyle w:val="ListParagraph"/>
        <w:rPr>
          <w:rFonts w:ascii="Arial" w:hAnsi="Arial" w:cs="Arial"/>
          <w:sz w:val="24"/>
          <w:szCs w:val="24"/>
        </w:rPr>
      </w:pPr>
    </w:p>
    <w:p w14:paraId="04E3DDCA" w14:textId="77777777" w:rsidR="00697941" w:rsidRDefault="00C02BA5" w:rsidP="002D11C7">
      <w:pPr>
        <w:pStyle w:val="ListParagraph"/>
        <w:numPr>
          <w:ilvl w:val="0"/>
          <w:numId w:val="5"/>
        </w:numPr>
        <w:spacing w:line="360" w:lineRule="auto"/>
        <w:ind w:left="0" w:firstLine="0"/>
        <w:jc w:val="both"/>
        <w:rPr>
          <w:rFonts w:ascii="Arial" w:hAnsi="Arial" w:cs="Arial"/>
          <w:sz w:val="24"/>
          <w:szCs w:val="24"/>
        </w:rPr>
      </w:pPr>
      <w:r w:rsidRPr="00B870DA">
        <w:rPr>
          <w:rFonts w:ascii="Arial" w:hAnsi="Arial" w:cs="Arial"/>
          <w:sz w:val="24"/>
          <w:szCs w:val="24"/>
        </w:rPr>
        <w:t>Regarding the second bail application, the</w:t>
      </w:r>
      <w:r w:rsidR="00B767EE" w:rsidRPr="00B870DA">
        <w:rPr>
          <w:rFonts w:ascii="Arial" w:hAnsi="Arial" w:cs="Arial"/>
          <w:sz w:val="24"/>
          <w:szCs w:val="24"/>
        </w:rPr>
        <w:t xml:space="preserve"> appellant expressly listed the </w:t>
      </w:r>
      <w:r w:rsidR="002C684B" w:rsidRPr="00B870DA">
        <w:rPr>
          <w:rFonts w:ascii="Arial" w:hAnsi="Arial" w:cs="Arial"/>
          <w:sz w:val="24"/>
          <w:szCs w:val="24"/>
        </w:rPr>
        <w:t xml:space="preserve">new facts as follows: the case in the Regional Court had been struck from the roll; </w:t>
      </w:r>
      <w:r w:rsidR="00CB63B3" w:rsidRPr="00B870DA">
        <w:rPr>
          <w:rFonts w:ascii="Arial" w:hAnsi="Arial" w:cs="Arial"/>
          <w:sz w:val="24"/>
          <w:szCs w:val="24"/>
        </w:rPr>
        <w:t>the main witness</w:t>
      </w:r>
      <w:r w:rsidR="0043566F" w:rsidRPr="00B870DA">
        <w:rPr>
          <w:rFonts w:ascii="Arial" w:hAnsi="Arial" w:cs="Arial"/>
          <w:sz w:val="24"/>
          <w:szCs w:val="24"/>
        </w:rPr>
        <w:t xml:space="preserve"> in the present matter had already testified; there had been an inordinate delay</w:t>
      </w:r>
      <w:r w:rsidR="00406F1B" w:rsidRPr="00B870DA">
        <w:rPr>
          <w:rFonts w:ascii="Arial" w:hAnsi="Arial" w:cs="Arial"/>
          <w:sz w:val="24"/>
          <w:szCs w:val="24"/>
        </w:rPr>
        <w:t xml:space="preserve">, caused by the judge’s taking long leave and the </w:t>
      </w:r>
      <w:r w:rsidR="002E5127" w:rsidRPr="00B870DA">
        <w:rPr>
          <w:rFonts w:ascii="Arial" w:hAnsi="Arial" w:cs="Arial"/>
          <w:sz w:val="24"/>
          <w:szCs w:val="24"/>
        </w:rPr>
        <w:t xml:space="preserve">failure of the state to finalise its case; and </w:t>
      </w:r>
      <w:r w:rsidR="005436DA" w:rsidRPr="00B870DA">
        <w:rPr>
          <w:rFonts w:ascii="Arial" w:hAnsi="Arial" w:cs="Arial"/>
          <w:sz w:val="24"/>
          <w:szCs w:val="24"/>
        </w:rPr>
        <w:t>the appellant</w:t>
      </w:r>
      <w:r w:rsidR="007772CA" w:rsidRPr="00B870DA">
        <w:rPr>
          <w:rFonts w:ascii="Arial" w:hAnsi="Arial" w:cs="Arial"/>
          <w:sz w:val="24"/>
          <w:szCs w:val="24"/>
        </w:rPr>
        <w:t>, despite being unable to generate an income to pay legal fees,</w:t>
      </w:r>
      <w:r w:rsidR="005436DA" w:rsidRPr="00B870DA">
        <w:rPr>
          <w:rFonts w:ascii="Arial" w:hAnsi="Arial" w:cs="Arial"/>
          <w:sz w:val="24"/>
          <w:szCs w:val="24"/>
        </w:rPr>
        <w:t xml:space="preserve"> had received confirmation</w:t>
      </w:r>
      <w:r w:rsidR="007772CA" w:rsidRPr="00B870DA">
        <w:rPr>
          <w:rFonts w:ascii="Arial" w:hAnsi="Arial" w:cs="Arial"/>
          <w:sz w:val="24"/>
          <w:szCs w:val="24"/>
        </w:rPr>
        <w:t xml:space="preserve"> from his employer that employment was still available.</w:t>
      </w:r>
    </w:p>
    <w:p w14:paraId="34C04861" w14:textId="77777777" w:rsidR="00697941" w:rsidRPr="00697941" w:rsidRDefault="00697941" w:rsidP="00697941">
      <w:pPr>
        <w:pStyle w:val="ListParagraph"/>
        <w:rPr>
          <w:rFonts w:ascii="Arial" w:hAnsi="Arial" w:cs="Arial"/>
          <w:sz w:val="24"/>
          <w:szCs w:val="24"/>
        </w:rPr>
      </w:pPr>
    </w:p>
    <w:p w14:paraId="4FA57B57" w14:textId="77777777" w:rsidR="00F43CA5" w:rsidRPr="00697941" w:rsidRDefault="008C7E3A" w:rsidP="002D11C7">
      <w:pPr>
        <w:pStyle w:val="ListParagraph"/>
        <w:numPr>
          <w:ilvl w:val="0"/>
          <w:numId w:val="5"/>
        </w:numPr>
        <w:spacing w:line="360" w:lineRule="auto"/>
        <w:ind w:left="0" w:firstLine="0"/>
        <w:jc w:val="both"/>
        <w:rPr>
          <w:rFonts w:ascii="Arial" w:hAnsi="Arial" w:cs="Arial"/>
          <w:sz w:val="24"/>
          <w:szCs w:val="24"/>
        </w:rPr>
      </w:pPr>
      <w:r w:rsidRPr="00697941">
        <w:rPr>
          <w:rFonts w:ascii="Arial" w:hAnsi="Arial" w:cs="Arial"/>
          <w:sz w:val="24"/>
          <w:szCs w:val="24"/>
        </w:rPr>
        <w:lastRenderedPageBreak/>
        <w:t>The provisions of</w:t>
      </w:r>
      <w:r w:rsidR="00301C7B" w:rsidRPr="00697941">
        <w:rPr>
          <w:rFonts w:ascii="Arial" w:hAnsi="Arial" w:cs="Arial"/>
          <w:sz w:val="24"/>
          <w:szCs w:val="24"/>
        </w:rPr>
        <w:t xml:space="preserve"> section 342A of the CPA</w:t>
      </w:r>
      <w:r w:rsidR="00F116C7" w:rsidRPr="00697941">
        <w:rPr>
          <w:rFonts w:ascii="Arial" w:hAnsi="Arial" w:cs="Arial"/>
          <w:sz w:val="24"/>
          <w:szCs w:val="24"/>
        </w:rPr>
        <w:t xml:space="preserve"> address unreasonable delays in trials. </w:t>
      </w:r>
      <w:r w:rsidR="0013099B" w:rsidRPr="00697941">
        <w:rPr>
          <w:rFonts w:ascii="Arial" w:hAnsi="Arial" w:cs="Arial"/>
          <w:sz w:val="24"/>
          <w:szCs w:val="24"/>
        </w:rPr>
        <w:t>T</w:t>
      </w:r>
      <w:r w:rsidR="001601E9" w:rsidRPr="00697941">
        <w:rPr>
          <w:rFonts w:ascii="Arial" w:hAnsi="Arial" w:cs="Arial"/>
          <w:sz w:val="24"/>
          <w:szCs w:val="24"/>
        </w:rPr>
        <w:t>o that effect, sub-section (3)</w:t>
      </w:r>
      <w:r w:rsidR="0013099B" w:rsidRPr="00697941">
        <w:rPr>
          <w:rFonts w:ascii="Arial" w:hAnsi="Arial" w:cs="Arial"/>
          <w:sz w:val="24"/>
          <w:szCs w:val="24"/>
        </w:rPr>
        <w:t xml:space="preserve"> </w:t>
      </w:r>
      <w:r w:rsidR="00F43CA5" w:rsidRPr="00697941">
        <w:rPr>
          <w:rFonts w:ascii="Arial" w:hAnsi="Arial" w:cs="Arial"/>
          <w:sz w:val="24"/>
          <w:szCs w:val="24"/>
        </w:rPr>
        <w:t>provides that:</w:t>
      </w:r>
    </w:p>
    <w:p w14:paraId="48A5A68A" w14:textId="77777777" w:rsidR="008C7E3A" w:rsidRPr="00A72AFF" w:rsidRDefault="00F43CA5" w:rsidP="000D4B66">
      <w:pPr>
        <w:spacing w:line="360" w:lineRule="auto"/>
        <w:jc w:val="both"/>
        <w:rPr>
          <w:rFonts w:ascii="Arial" w:hAnsi="Arial" w:cs="Arial"/>
        </w:rPr>
      </w:pPr>
      <w:r w:rsidRPr="00A72AFF">
        <w:rPr>
          <w:rFonts w:ascii="Arial" w:hAnsi="Arial" w:cs="Arial"/>
        </w:rPr>
        <w:t>‘</w:t>
      </w:r>
      <w:r w:rsidR="001217E7" w:rsidRPr="00A72AFF">
        <w:rPr>
          <w:rFonts w:ascii="Arial" w:hAnsi="Arial" w:cs="Arial"/>
        </w:rPr>
        <w:t xml:space="preserve">If the court finds that the completion </w:t>
      </w:r>
      <w:r w:rsidR="002B4DFE" w:rsidRPr="00A72AFF">
        <w:rPr>
          <w:rFonts w:ascii="Arial" w:hAnsi="Arial" w:cs="Arial"/>
        </w:rPr>
        <w:t xml:space="preserve">of the </w:t>
      </w:r>
      <w:r w:rsidR="00B04885" w:rsidRPr="00A72AFF">
        <w:rPr>
          <w:rFonts w:ascii="Arial" w:hAnsi="Arial" w:cs="Arial"/>
        </w:rPr>
        <w:t xml:space="preserve">proceedings </w:t>
      </w:r>
      <w:r w:rsidR="002B4DFE" w:rsidRPr="00A72AFF">
        <w:rPr>
          <w:rFonts w:ascii="Arial" w:hAnsi="Arial" w:cs="Arial"/>
        </w:rPr>
        <w:t xml:space="preserve">is being </w:t>
      </w:r>
      <w:r w:rsidR="00B04885" w:rsidRPr="00A72AFF">
        <w:rPr>
          <w:rFonts w:ascii="Arial" w:hAnsi="Arial" w:cs="Arial"/>
        </w:rPr>
        <w:t>delayed unreasonably</w:t>
      </w:r>
      <w:r w:rsidR="00000235" w:rsidRPr="00A72AFF">
        <w:rPr>
          <w:rFonts w:ascii="Arial" w:hAnsi="Arial" w:cs="Arial"/>
        </w:rPr>
        <w:t xml:space="preserve">, </w:t>
      </w:r>
      <w:r w:rsidR="00ED587C" w:rsidRPr="00A72AFF">
        <w:rPr>
          <w:rFonts w:ascii="Arial" w:hAnsi="Arial" w:cs="Arial"/>
        </w:rPr>
        <w:t xml:space="preserve">the court may </w:t>
      </w:r>
      <w:r w:rsidR="00141894" w:rsidRPr="00A72AFF">
        <w:rPr>
          <w:rFonts w:ascii="Arial" w:hAnsi="Arial" w:cs="Arial"/>
        </w:rPr>
        <w:t xml:space="preserve">issue any </w:t>
      </w:r>
      <w:r w:rsidR="00ED587C" w:rsidRPr="00A72AFF">
        <w:rPr>
          <w:rFonts w:ascii="Arial" w:hAnsi="Arial" w:cs="Arial"/>
        </w:rPr>
        <w:t xml:space="preserve">such </w:t>
      </w:r>
      <w:r w:rsidR="00141894" w:rsidRPr="00A72AFF">
        <w:rPr>
          <w:rFonts w:ascii="Arial" w:hAnsi="Arial" w:cs="Arial"/>
        </w:rPr>
        <w:t>order</w:t>
      </w:r>
      <w:r w:rsidR="00377BC5" w:rsidRPr="00A72AFF">
        <w:rPr>
          <w:rFonts w:ascii="Arial" w:hAnsi="Arial" w:cs="Arial"/>
        </w:rPr>
        <w:t xml:space="preserve"> </w:t>
      </w:r>
      <w:r w:rsidR="00ED587C" w:rsidRPr="00A72AFF">
        <w:rPr>
          <w:rFonts w:ascii="Arial" w:hAnsi="Arial" w:cs="Arial"/>
        </w:rPr>
        <w:t>as</w:t>
      </w:r>
      <w:r w:rsidR="00141894" w:rsidRPr="00A72AFF">
        <w:rPr>
          <w:rFonts w:ascii="Arial" w:hAnsi="Arial" w:cs="Arial"/>
        </w:rPr>
        <w:t xml:space="preserve"> it deems fit</w:t>
      </w:r>
      <w:r w:rsidR="00377BC5" w:rsidRPr="00A72AFF">
        <w:rPr>
          <w:rFonts w:ascii="Arial" w:hAnsi="Arial" w:cs="Arial"/>
        </w:rPr>
        <w:t xml:space="preserve"> </w:t>
      </w:r>
      <w:r w:rsidR="00ED587C" w:rsidRPr="00A72AFF">
        <w:rPr>
          <w:rFonts w:ascii="Arial" w:hAnsi="Arial" w:cs="Arial"/>
        </w:rPr>
        <w:t xml:space="preserve">in order </w:t>
      </w:r>
      <w:r w:rsidR="00377BC5" w:rsidRPr="00A72AFF">
        <w:rPr>
          <w:rFonts w:ascii="Arial" w:hAnsi="Arial" w:cs="Arial"/>
        </w:rPr>
        <w:t>to eliminate the delay and any prejudice arising from</w:t>
      </w:r>
      <w:r w:rsidR="00525BCF" w:rsidRPr="00A72AFF">
        <w:rPr>
          <w:rFonts w:ascii="Arial" w:hAnsi="Arial" w:cs="Arial"/>
        </w:rPr>
        <w:t xml:space="preserve"> it</w:t>
      </w:r>
      <w:r w:rsidR="009A7FE7" w:rsidRPr="00A72AFF">
        <w:rPr>
          <w:rFonts w:ascii="Arial" w:hAnsi="Arial" w:cs="Arial"/>
        </w:rPr>
        <w:t xml:space="preserve"> or to prevent further delay or prejudice, including an order</w:t>
      </w:r>
      <w:r w:rsidR="00367112" w:rsidRPr="00A72AFF">
        <w:rPr>
          <w:rFonts w:ascii="Arial" w:hAnsi="Arial" w:cs="Arial"/>
        </w:rPr>
        <w:t>–</w:t>
      </w:r>
    </w:p>
    <w:p w14:paraId="15F2C86A" w14:textId="77777777" w:rsidR="00367112" w:rsidRPr="00A72AFF" w:rsidRDefault="005B56B7" w:rsidP="00697941">
      <w:pPr>
        <w:pStyle w:val="ListParagraph"/>
        <w:numPr>
          <w:ilvl w:val="0"/>
          <w:numId w:val="2"/>
        </w:numPr>
        <w:spacing w:line="360" w:lineRule="auto"/>
        <w:jc w:val="both"/>
        <w:rPr>
          <w:rFonts w:ascii="Arial" w:hAnsi="Arial" w:cs="Arial"/>
        </w:rPr>
      </w:pPr>
      <w:r w:rsidRPr="00A72AFF">
        <w:rPr>
          <w:rFonts w:ascii="Arial" w:hAnsi="Arial" w:cs="Arial"/>
        </w:rPr>
        <w:t>…</w:t>
      </w:r>
    </w:p>
    <w:p w14:paraId="1DFF3A8A" w14:textId="77777777" w:rsidR="005B56B7" w:rsidRPr="00A72AFF" w:rsidRDefault="005B56B7" w:rsidP="00697941">
      <w:pPr>
        <w:pStyle w:val="ListParagraph"/>
        <w:numPr>
          <w:ilvl w:val="0"/>
          <w:numId w:val="2"/>
        </w:numPr>
        <w:spacing w:line="360" w:lineRule="auto"/>
        <w:jc w:val="both"/>
        <w:rPr>
          <w:rFonts w:ascii="Arial" w:hAnsi="Arial" w:cs="Arial"/>
        </w:rPr>
      </w:pPr>
      <w:r w:rsidRPr="00A72AFF">
        <w:rPr>
          <w:rFonts w:ascii="Arial" w:hAnsi="Arial" w:cs="Arial"/>
        </w:rPr>
        <w:t>…</w:t>
      </w:r>
    </w:p>
    <w:p w14:paraId="6375842A" w14:textId="77777777" w:rsidR="005B56B7" w:rsidRPr="00A72AFF" w:rsidRDefault="00633873" w:rsidP="00697941">
      <w:pPr>
        <w:pStyle w:val="ListParagraph"/>
        <w:numPr>
          <w:ilvl w:val="0"/>
          <w:numId w:val="2"/>
        </w:numPr>
        <w:spacing w:line="360" w:lineRule="auto"/>
        <w:jc w:val="both"/>
        <w:rPr>
          <w:rFonts w:ascii="Arial" w:hAnsi="Arial" w:cs="Arial"/>
        </w:rPr>
      </w:pPr>
      <w:r w:rsidRPr="00A72AFF">
        <w:rPr>
          <w:rFonts w:ascii="Arial" w:hAnsi="Arial" w:cs="Arial"/>
        </w:rPr>
        <w:t>where the accused has not yet pleaded to the charge, that the case be struck off the roll</w:t>
      </w:r>
      <w:r w:rsidR="00D7110B" w:rsidRPr="00A72AFF">
        <w:rPr>
          <w:rFonts w:ascii="Arial" w:hAnsi="Arial" w:cs="Arial"/>
        </w:rPr>
        <w:t xml:space="preserve"> and the prosecution </w:t>
      </w:r>
      <w:proofErr w:type="gramStart"/>
      <w:r w:rsidR="00D7110B" w:rsidRPr="00A72AFF">
        <w:rPr>
          <w:rFonts w:ascii="Arial" w:hAnsi="Arial" w:cs="Arial"/>
        </w:rPr>
        <w:t>not be</w:t>
      </w:r>
      <w:proofErr w:type="gramEnd"/>
      <w:r w:rsidR="00D7110B" w:rsidRPr="00A72AFF">
        <w:rPr>
          <w:rFonts w:ascii="Arial" w:hAnsi="Arial" w:cs="Arial"/>
        </w:rPr>
        <w:t xml:space="preserve"> resumed or instituted </w:t>
      </w:r>
      <w:r w:rsidR="00D7110B" w:rsidRPr="00A72AFF">
        <w:rPr>
          <w:rFonts w:ascii="Arial" w:hAnsi="Arial" w:cs="Arial"/>
          <w:i/>
          <w:iCs/>
        </w:rPr>
        <w:t>de novo</w:t>
      </w:r>
      <w:r w:rsidR="00B122D7" w:rsidRPr="00A72AFF">
        <w:rPr>
          <w:rFonts w:ascii="Arial" w:hAnsi="Arial" w:cs="Arial"/>
        </w:rPr>
        <w:t xml:space="preserve"> without the written instruction of the attorney-general</w:t>
      </w:r>
      <w:r w:rsidR="002E40F5" w:rsidRPr="00A72AFF">
        <w:rPr>
          <w:rFonts w:ascii="Arial" w:hAnsi="Arial" w:cs="Arial"/>
        </w:rPr>
        <w:t>…’</w:t>
      </w:r>
    </w:p>
    <w:p w14:paraId="2E5C3CC4" w14:textId="77777777" w:rsidR="00CE1AAD" w:rsidRDefault="00CE1AAD" w:rsidP="00CE1AAD">
      <w:pPr>
        <w:spacing w:line="360" w:lineRule="auto"/>
        <w:rPr>
          <w:rFonts w:ascii="Arial" w:hAnsi="Arial" w:cs="Arial"/>
          <w:sz w:val="24"/>
          <w:szCs w:val="24"/>
        </w:rPr>
      </w:pPr>
    </w:p>
    <w:p w14:paraId="2393E832" w14:textId="2510BBEC" w:rsidR="00790E56" w:rsidRDefault="00F77D28" w:rsidP="00CE1AAD">
      <w:pPr>
        <w:pStyle w:val="ListParagraph"/>
        <w:numPr>
          <w:ilvl w:val="0"/>
          <w:numId w:val="5"/>
        </w:numPr>
        <w:spacing w:line="360" w:lineRule="auto"/>
        <w:ind w:left="0" w:firstLine="0"/>
        <w:jc w:val="both"/>
        <w:rPr>
          <w:rFonts w:ascii="Arial" w:hAnsi="Arial" w:cs="Arial"/>
          <w:sz w:val="24"/>
          <w:szCs w:val="24"/>
        </w:rPr>
      </w:pPr>
      <w:r w:rsidRPr="00697941">
        <w:rPr>
          <w:rFonts w:ascii="Arial" w:hAnsi="Arial" w:cs="Arial"/>
          <w:sz w:val="24"/>
          <w:szCs w:val="24"/>
        </w:rPr>
        <w:t>I</w:t>
      </w:r>
      <w:r w:rsidR="009D02AC" w:rsidRPr="00697941">
        <w:rPr>
          <w:rFonts w:ascii="Arial" w:hAnsi="Arial" w:cs="Arial"/>
          <w:sz w:val="24"/>
          <w:szCs w:val="24"/>
        </w:rPr>
        <w:t xml:space="preserve">t is common cause </w:t>
      </w:r>
      <w:r w:rsidR="009B47E6" w:rsidRPr="00697941">
        <w:rPr>
          <w:rFonts w:ascii="Arial" w:hAnsi="Arial" w:cs="Arial"/>
          <w:sz w:val="24"/>
          <w:szCs w:val="24"/>
        </w:rPr>
        <w:t>that the case in the Regional Court was struck from the roll.</w:t>
      </w:r>
      <w:r w:rsidR="0009397E" w:rsidRPr="00697941">
        <w:rPr>
          <w:rFonts w:ascii="Arial" w:hAnsi="Arial" w:cs="Arial"/>
          <w:sz w:val="24"/>
          <w:szCs w:val="24"/>
        </w:rPr>
        <w:t xml:space="preserve"> </w:t>
      </w:r>
      <w:r w:rsidR="00077297" w:rsidRPr="00697941">
        <w:rPr>
          <w:rFonts w:ascii="Arial" w:hAnsi="Arial" w:cs="Arial"/>
          <w:sz w:val="24"/>
          <w:szCs w:val="24"/>
        </w:rPr>
        <w:t xml:space="preserve">Whereas counsel for the appellant contended in argument that his client was a ‘free man’ in relation to </w:t>
      </w:r>
      <w:r w:rsidR="00156534">
        <w:rPr>
          <w:rFonts w:ascii="Arial" w:hAnsi="Arial" w:cs="Arial"/>
          <w:sz w:val="24"/>
          <w:szCs w:val="24"/>
        </w:rPr>
        <w:t>such</w:t>
      </w:r>
      <w:r w:rsidR="00077297" w:rsidRPr="00697941">
        <w:rPr>
          <w:rFonts w:ascii="Arial" w:hAnsi="Arial" w:cs="Arial"/>
          <w:sz w:val="24"/>
          <w:szCs w:val="24"/>
        </w:rPr>
        <w:t xml:space="preserve"> proceedings</w:t>
      </w:r>
      <w:r w:rsidR="00406997">
        <w:rPr>
          <w:rFonts w:ascii="Arial" w:hAnsi="Arial" w:cs="Arial"/>
          <w:sz w:val="24"/>
          <w:szCs w:val="24"/>
        </w:rPr>
        <w:t>,</w:t>
      </w:r>
      <w:r w:rsidR="00077297" w:rsidRPr="00697941">
        <w:rPr>
          <w:rFonts w:ascii="Arial" w:hAnsi="Arial" w:cs="Arial"/>
          <w:sz w:val="24"/>
          <w:szCs w:val="24"/>
        </w:rPr>
        <w:t xml:space="preserve"> </w:t>
      </w:r>
      <w:r w:rsidR="003F7354" w:rsidRPr="00697941">
        <w:rPr>
          <w:rFonts w:ascii="Arial" w:hAnsi="Arial" w:cs="Arial"/>
          <w:sz w:val="24"/>
          <w:szCs w:val="24"/>
        </w:rPr>
        <w:t xml:space="preserve">Lt-Col </w:t>
      </w:r>
      <w:proofErr w:type="spellStart"/>
      <w:r w:rsidR="0026436B" w:rsidRPr="00697941">
        <w:rPr>
          <w:rFonts w:ascii="Arial" w:hAnsi="Arial" w:cs="Arial"/>
          <w:sz w:val="24"/>
          <w:szCs w:val="24"/>
        </w:rPr>
        <w:t>Mdepha</w:t>
      </w:r>
      <w:proofErr w:type="spellEnd"/>
      <w:r w:rsidR="0026436B" w:rsidRPr="00697941">
        <w:rPr>
          <w:rFonts w:ascii="Arial" w:hAnsi="Arial" w:cs="Arial"/>
          <w:sz w:val="24"/>
          <w:szCs w:val="24"/>
        </w:rPr>
        <w:t xml:space="preserve"> made it clear that </w:t>
      </w:r>
      <w:r w:rsidR="00CF4452" w:rsidRPr="00697941">
        <w:rPr>
          <w:rFonts w:ascii="Arial" w:hAnsi="Arial" w:cs="Arial"/>
          <w:sz w:val="24"/>
          <w:szCs w:val="24"/>
        </w:rPr>
        <w:t xml:space="preserve">further </w:t>
      </w:r>
      <w:r w:rsidR="0026436B" w:rsidRPr="00697941">
        <w:rPr>
          <w:rFonts w:ascii="Arial" w:hAnsi="Arial" w:cs="Arial"/>
          <w:sz w:val="24"/>
          <w:szCs w:val="24"/>
        </w:rPr>
        <w:t xml:space="preserve">steps would be taken against the appellant </w:t>
      </w:r>
      <w:r w:rsidR="00CF4452" w:rsidRPr="00697941">
        <w:rPr>
          <w:rFonts w:ascii="Arial" w:hAnsi="Arial" w:cs="Arial"/>
          <w:sz w:val="24"/>
          <w:szCs w:val="24"/>
        </w:rPr>
        <w:t xml:space="preserve">by the investigating officer in Cape Town, but not before the </w:t>
      </w:r>
      <w:r w:rsidR="000800E0" w:rsidRPr="00697941">
        <w:rPr>
          <w:rFonts w:ascii="Arial" w:hAnsi="Arial" w:cs="Arial"/>
          <w:sz w:val="24"/>
          <w:szCs w:val="24"/>
        </w:rPr>
        <w:t xml:space="preserve">Mthatha </w:t>
      </w:r>
      <w:r w:rsidR="001677C8" w:rsidRPr="00697941">
        <w:rPr>
          <w:rFonts w:ascii="Arial" w:hAnsi="Arial" w:cs="Arial"/>
          <w:sz w:val="24"/>
          <w:szCs w:val="24"/>
        </w:rPr>
        <w:t>case</w:t>
      </w:r>
      <w:r w:rsidR="000800E0" w:rsidRPr="00697941">
        <w:rPr>
          <w:rFonts w:ascii="Arial" w:hAnsi="Arial" w:cs="Arial"/>
          <w:sz w:val="24"/>
          <w:szCs w:val="24"/>
        </w:rPr>
        <w:t xml:space="preserve"> had been completed. </w:t>
      </w:r>
      <w:r w:rsidR="001677C8" w:rsidRPr="00697941">
        <w:rPr>
          <w:rFonts w:ascii="Arial" w:hAnsi="Arial" w:cs="Arial"/>
          <w:sz w:val="24"/>
          <w:szCs w:val="24"/>
        </w:rPr>
        <w:t>T</w:t>
      </w:r>
      <w:r w:rsidR="008C4F49" w:rsidRPr="00697941">
        <w:rPr>
          <w:rFonts w:ascii="Arial" w:hAnsi="Arial" w:cs="Arial"/>
          <w:sz w:val="24"/>
          <w:szCs w:val="24"/>
        </w:rPr>
        <w:t xml:space="preserve">he </w:t>
      </w:r>
      <w:r w:rsidR="009D02AC" w:rsidRPr="00697941">
        <w:rPr>
          <w:rFonts w:ascii="Arial" w:hAnsi="Arial" w:cs="Arial"/>
          <w:sz w:val="24"/>
          <w:szCs w:val="24"/>
        </w:rPr>
        <w:t xml:space="preserve">relevant portion of sub-section (3) </w:t>
      </w:r>
      <w:r w:rsidR="008B4FE7" w:rsidRPr="00697941">
        <w:rPr>
          <w:rFonts w:ascii="Arial" w:hAnsi="Arial" w:cs="Arial"/>
          <w:sz w:val="24"/>
          <w:szCs w:val="24"/>
        </w:rPr>
        <w:t xml:space="preserve">allows the resumption or institution </w:t>
      </w:r>
      <w:r w:rsidR="003B4620" w:rsidRPr="00697941">
        <w:rPr>
          <w:rFonts w:ascii="Arial" w:hAnsi="Arial" w:cs="Arial"/>
          <w:i/>
          <w:iCs/>
          <w:sz w:val="24"/>
          <w:szCs w:val="24"/>
        </w:rPr>
        <w:t>de novo</w:t>
      </w:r>
      <w:r w:rsidR="003B4620" w:rsidRPr="00697941">
        <w:rPr>
          <w:rFonts w:ascii="Arial" w:hAnsi="Arial" w:cs="Arial"/>
          <w:sz w:val="24"/>
          <w:szCs w:val="24"/>
        </w:rPr>
        <w:t xml:space="preserve"> of the prosecution of the appellant, albeit upon the written instruction of the relevant authorit</w:t>
      </w:r>
      <w:r w:rsidR="00D864ED" w:rsidRPr="00697941">
        <w:rPr>
          <w:rFonts w:ascii="Arial" w:hAnsi="Arial" w:cs="Arial"/>
          <w:sz w:val="24"/>
          <w:szCs w:val="24"/>
        </w:rPr>
        <w:t>y.</w:t>
      </w:r>
      <w:r w:rsidR="00E17906" w:rsidRPr="00697941">
        <w:rPr>
          <w:rFonts w:ascii="Arial" w:hAnsi="Arial" w:cs="Arial"/>
          <w:sz w:val="24"/>
          <w:szCs w:val="24"/>
        </w:rPr>
        <w:t xml:space="preserve"> The striking of the case does not assist the appellant. </w:t>
      </w:r>
      <w:r w:rsidR="00FE4CBA" w:rsidRPr="00697941">
        <w:rPr>
          <w:rFonts w:ascii="Arial" w:hAnsi="Arial" w:cs="Arial"/>
          <w:sz w:val="24"/>
          <w:szCs w:val="24"/>
        </w:rPr>
        <w:t xml:space="preserve">His further prosecution </w:t>
      </w:r>
      <w:r w:rsidR="00C757AA" w:rsidRPr="00697941">
        <w:rPr>
          <w:rFonts w:ascii="Arial" w:hAnsi="Arial" w:cs="Arial"/>
          <w:sz w:val="24"/>
          <w:szCs w:val="24"/>
        </w:rPr>
        <w:t>remain</w:t>
      </w:r>
      <w:r w:rsidR="00FE4CBA" w:rsidRPr="00697941">
        <w:rPr>
          <w:rFonts w:ascii="Arial" w:hAnsi="Arial" w:cs="Arial"/>
          <w:sz w:val="24"/>
          <w:szCs w:val="24"/>
        </w:rPr>
        <w:t xml:space="preserve">s a distinct possibility, as </w:t>
      </w:r>
      <w:r w:rsidR="0080496C" w:rsidRPr="00697941">
        <w:rPr>
          <w:rFonts w:ascii="Arial" w:hAnsi="Arial" w:cs="Arial"/>
          <w:sz w:val="24"/>
          <w:szCs w:val="24"/>
        </w:rPr>
        <w:t xml:space="preserve">Lt-Col </w:t>
      </w:r>
      <w:proofErr w:type="spellStart"/>
      <w:r w:rsidR="0080496C" w:rsidRPr="00697941">
        <w:rPr>
          <w:rFonts w:ascii="Arial" w:hAnsi="Arial" w:cs="Arial"/>
          <w:sz w:val="24"/>
          <w:szCs w:val="24"/>
        </w:rPr>
        <w:t>Mdepha</w:t>
      </w:r>
      <w:proofErr w:type="spellEnd"/>
      <w:r w:rsidR="0080496C" w:rsidRPr="00697941">
        <w:rPr>
          <w:rFonts w:ascii="Arial" w:hAnsi="Arial" w:cs="Arial"/>
          <w:sz w:val="24"/>
          <w:szCs w:val="24"/>
        </w:rPr>
        <w:t xml:space="preserve"> indicated.</w:t>
      </w:r>
    </w:p>
    <w:p w14:paraId="7C3F9A74" w14:textId="77777777" w:rsidR="00790E56" w:rsidRDefault="00790E56" w:rsidP="00790E56">
      <w:pPr>
        <w:pStyle w:val="ListParagraph"/>
        <w:spacing w:line="360" w:lineRule="auto"/>
        <w:ind w:left="0"/>
        <w:jc w:val="both"/>
        <w:rPr>
          <w:rFonts w:ascii="Arial" w:hAnsi="Arial" w:cs="Arial"/>
          <w:sz w:val="24"/>
          <w:szCs w:val="24"/>
        </w:rPr>
      </w:pPr>
    </w:p>
    <w:p w14:paraId="2F15619B" w14:textId="77777777" w:rsidR="00790E56" w:rsidRDefault="00C757AA" w:rsidP="00CE1AAD">
      <w:pPr>
        <w:pStyle w:val="ListParagraph"/>
        <w:numPr>
          <w:ilvl w:val="0"/>
          <w:numId w:val="5"/>
        </w:numPr>
        <w:spacing w:line="360" w:lineRule="auto"/>
        <w:ind w:left="0" w:firstLine="0"/>
        <w:jc w:val="both"/>
        <w:rPr>
          <w:rFonts w:ascii="Arial" w:hAnsi="Arial" w:cs="Arial"/>
          <w:sz w:val="24"/>
          <w:szCs w:val="24"/>
        </w:rPr>
      </w:pPr>
      <w:r w:rsidRPr="00790E56">
        <w:rPr>
          <w:rFonts w:ascii="Arial" w:hAnsi="Arial" w:cs="Arial"/>
          <w:sz w:val="24"/>
          <w:szCs w:val="24"/>
        </w:rPr>
        <w:t xml:space="preserve">Regarding the </w:t>
      </w:r>
      <w:r w:rsidR="007C166F" w:rsidRPr="00790E56">
        <w:rPr>
          <w:rFonts w:ascii="Arial" w:hAnsi="Arial" w:cs="Arial"/>
          <w:sz w:val="24"/>
          <w:szCs w:val="24"/>
        </w:rPr>
        <w:t xml:space="preserve">completion of the </w:t>
      </w:r>
      <w:r w:rsidRPr="00790E56">
        <w:rPr>
          <w:rFonts w:ascii="Arial" w:hAnsi="Arial" w:cs="Arial"/>
          <w:sz w:val="24"/>
          <w:szCs w:val="24"/>
        </w:rPr>
        <w:t>main witness</w:t>
      </w:r>
      <w:r w:rsidR="007C166F" w:rsidRPr="00790E56">
        <w:rPr>
          <w:rFonts w:ascii="Arial" w:hAnsi="Arial" w:cs="Arial"/>
          <w:sz w:val="24"/>
          <w:szCs w:val="24"/>
        </w:rPr>
        <w:t>’s testimony</w:t>
      </w:r>
      <w:r w:rsidRPr="00790E56">
        <w:rPr>
          <w:rFonts w:ascii="Arial" w:hAnsi="Arial" w:cs="Arial"/>
          <w:sz w:val="24"/>
          <w:szCs w:val="24"/>
        </w:rPr>
        <w:t xml:space="preserve"> in the present matter</w:t>
      </w:r>
      <w:r w:rsidR="007C166F" w:rsidRPr="00790E56">
        <w:rPr>
          <w:rFonts w:ascii="Arial" w:hAnsi="Arial" w:cs="Arial"/>
          <w:sz w:val="24"/>
          <w:szCs w:val="24"/>
        </w:rPr>
        <w:t xml:space="preserve">, </w:t>
      </w:r>
      <w:r w:rsidR="00316997" w:rsidRPr="00790E56">
        <w:rPr>
          <w:rFonts w:ascii="Arial" w:hAnsi="Arial" w:cs="Arial"/>
          <w:sz w:val="24"/>
          <w:szCs w:val="24"/>
        </w:rPr>
        <w:t xml:space="preserve">counsel for the appellant </w:t>
      </w:r>
      <w:r w:rsidR="0085288D" w:rsidRPr="00790E56">
        <w:rPr>
          <w:rFonts w:ascii="Arial" w:hAnsi="Arial" w:cs="Arial"/>
          <w:sz w:val="24"/>
          <w:szCs w:val="24"/>
        </w:rPr>
        <w:t>appear</w:t>
      </w:r>
      <w:r w:rsidR="00886A5E" w:rsidRPr="00790E56">
        <w:rPr>
          <w:rFonts w:ascii="Arial" w:hAnsi="Arial" w:cs="Arial"/>
          <w:sz w:val="24"/>
          <w:szCs w:val="24"/>
        </w:rPr>
        <w:t xml:space="preserve">ed to </w:t>
      </w:r>
      <w:r w:rsidR="00316997" w:rsidRPr="00790E56">
        <w:rPr>
          <w:rFonts w:ascii="Arial" w:hAnsi="Arial" w:cs="Arial"/>
          <w:sz w:val="24"/>
          <w:szCs w:val="24"/>
        </w:rPr>
        <w:t xml:space="preserve">skirt the </w:t>
      </w:r>
      <w:r w:rsidR="00936B43" w:rsidRPr="00790E56">
        <w:rPr>
          <w:rFonts w:ascii="Arial" w:hAnsi="Arial" w:cs="Arial"/>
          <w:sz w:val="24"/>
          <w:szCs w:val="24"/>
        </w:rPr>
        <w:t xml:space="preserve">issue </w:t>
      </w:r>
      <w:r w:rsidR="00886A5E" w:rsidRPr="00790E56">
        <w:rPr>
          <w:rFonts w:ascii="Arial" w:hAnsi="Arial" w:cs="Arial"/>
          <w:sz w:val="24"/>
          <w:szCs w:val="24"/>
        </w:rPr>
        <w:t xml:space="preserve">of </w:t>
      </w:r>
      <w:r w:rsidR="00936B43" w:rsidRPr="00790E56">
        <w:rPr>
          <w:rFonts w:ascii="Arial" w:hAnsi="Arial" w:cs="Arial"/>
          <w:sz w:val="24"/>
          <w:szCs w:val="24"/>
        </w:rPr>
        <w:t>her p</w:t>
      </w:r>
      <w:r w:rsidR="008E69BF" w:rsidRPr="00790E56">
        <w:rPr>
          <w:rFonts w:ascii="Arial" w:hAnsi="Arial" w:cs="Arial"/>
          <w:sz w:val="24"/>
          <w:szCs w:val="24"/>
        </w:rPr>
        <w:t xml:space="preserve">ossible recall. In that regard, counsel for the state pointed out that the witness in question could be </w:t>
      </w:r>
      <w:r w:rsidR="00254539" w:rsidRPr="00790E56">
        <w:rPr>
          <w:rFonts w:ascii="Arial" w:hAnsi="Arial" w:cs="Arial"/>
          <w:sz w:val="24"/>
          <w:szCs w:val="24"/>
        </w:rPr>
        <w:t>requested to testify during sentencing proceedings</w:t>
      </w:r>
      <w:r w:rsidR="009F7B42" w:rsidRPr="00790E56">
        <w:rPr>
          <w:rFonts w:ascii="Arial" w:hAnsi="Arial" w:cs="Arial"/>
          <w:sz w:val="24"/>
          <w:szCs w:val="24"/>
        </w:rPr>
        <w:t>. She was still not safe</w:t>
      </w:r>
      <w:r w:rsidR="00872003" w:rsidRPr="00790E56">
        <w:rPr>
          <w:rFonts w:ascii="Arial" w:hAnsi="Arial" w:cs="Arial"/>
          <w:sz w:val="24"/>
          <w:szCs w:val="24"/>
        </w:rPr>
        <w:t xml:space="preserve">. </w:t>
      </w:r>
      <w:r w:rsidR="00886A5E" w:rsidRPr="00790E56">
        <w:rPr>
          <w:rFonts w:ascii="Arial" w:hAnsi="Arial" w:cs="Arial"/>
          <w:sz w:val="24"/>
          <w:szCs w:val="24"/>
        </w:rPr>
        <w:t>There were concerns, too, about the safety of other witnesses.</w:t>
      </w:r>
      <w:r w:rsidR="0009604F" w:rsidRPr="00790E56">
        <w:rPr>
          <w:rFonts w:ascii="Arial" w:hAnsi="Arial" w:cs="Arial"/>
          <w:sz w:val="24"/>
          <w:szCs w:val="24"/>
        </w:rPr>
        <w:t xml:space="preserve"> </w:t>
      </w:r>
      <w:r w:rsidR="00F969CD" w:rsidRPr="00790E56">
        <w:rPr>
          <w:rFonts w:ascii="Arial" w:hAnsi="Arial" w:cs="Arial"/>
          <w:sz w:val="24"/>
          <w:szCs w:val="24"/>
        </w:rPr>
        <w:t>T</w:t>
      </w:r>
      <w:r w:rsidR="0085288D" w:rsidRPr="00790E56">
        <w:rPr>
          <w:rFonts w:ascii="Arial" w:hAnsi="Arial" w:cs="Arial"/>
          <w:sz w:val="24"/>
          <w:szCs w:val="24"/>
        </w:rPr>
        <w:t>h</w:t>
      </w:r>
      <w:r w:rsidR="00F969CD" w:rsidRPr="00790E56">
        <w:rPr>
          <w:rFonts w:ascii="Arial" w:hAnsi="Arial" w:cs="Arial"/>
          <w:sz w:val="24"/>
          <w:szCs w:val="24"/>
        </w:rPr>
        <w:t>is aspect was not satisfactorily addressed by counsel for the appellant</w:t>
      </w:r>
      <w:r w:rsidR="003B388E" w:rsidRPr="00790E56">
        <w:rPr>
          <w:rFonts w:ascii="Arial" w:hAnsi="Arial" w:cs="Arial"/>
          <w:sz w:val="24"/>
          <w:szCs w:val="24"/>
        </w:rPr>
        <w:t>, t</w:t>
      </w:r>
      <w:r w:rsidR="0009604F" w:rsidRPr="00790E56">
        <w:rPr>
          <w:rFonts w:ascii="Arial" w:hAnsi="Arial" w:cs="Arial"/>
          <w:sz w:val="24"/>
          <w:szCs w:val="24"/>
        </w:rPr>
        <w:t xml:space="preserve">he </w:t>
      </w:r>
      <w:r w:rsidR="0003541C" w:rsidRPr="00790E56">
        <w:rPr>
          <w:rFonts w:ascii="Arial" w:hAnsi="Arial" w:cs="Arial"/>
          <w:sz w:val="24"/>
          <w:szCs w:val="24"/>
        </w:rPr>
        <w:t>new</w:t>
      </w:r>
      <w:r w:rsidR="003B388E" w:rsidRPr="00790E56">
        <w:rPr>
          <w:rFonts w:ascii="Arial" w:hAnsi="Arial" w:cs="Arial"/>
          <w:sz w:val="24"/>
          <w:szCs w:val="24"/>
        </w:rPr>
        <w:t xml:space="preserve"> </w:t>
      </w:r>
      <w:r w:rsidR="0003541C" w:rsidRPr="00790E56">
        <w:rPr>
          <w:rFonts w:ascii="Arial" w:hAnsi="Arial" w:cs="Arial"/>
          <w:sz w:val="24"/>
          <w:szCs w:val="24"/>
        </w:rPr>
        <w:t>fact does not assist.</w:t>
      </w:r>
    </w:p>
    <w:p w14:paraId="624E4EC0" w14:textId="77777777" w:rsidR="00790E56" w:rsidRPr="00790E56" w:rsidRDefault="00790E56" w:rsidP="00790E56">
      <w:pPr>
        <w:pStyle w:val="ListParagraph"/>
        <w:rPr>
          <w:rFonts w:ascii="Arial" w:hAnsi="Arial" w:cs="Arial"/>
          <w:sz w:val="24"/>
          <w:szCs w:val="24"/>
        </w:rPr>
      </w:pPr>
    </w:p>
    <w:p w14:paraId="712FF49D" w14:textId="77777777" w:rsidR="005A1877" w:rsidRPr="00790E56" w:rsidRDefault="005A1877" w:rsidP="00CE1AAD">
      <w:pPr>
        <w:pStyle w:val="ListParagraph"/>
        <w:numPr>
          <w:ilvl w:val="0"/>
          <w:numId w:val="5"/>
        </w:numPr>
        <w:spacing w:line="360" w:lineRule="auto"/>
        <w:ind w:left="0" w:firstLine="0"/>
        <w:jc w:val="both"/>
        <w:rPr>
          <w:rFonts w:ascii="Arial" w:hAnsi="Arial" w:cs="Arial"/>
          <w:sz w:val="24"/>
          <w:szCs w:val="24"/>
        </w:rPr>
      </w:pPr>
      <w:r w:rsidRPr="00790E56">
        <w:rPr>
          <w:rFonts w:ascii="Arial" w:hAnsi="Arial" w:cs="Arial"/>
          <w:sz w:val="24"/>
          <w:szCs w:val="24"/>
        </w:rPr>
        <w:lastRenderedPageBreak/>
        <w:t>Counsel for the appellant,</w:t>
      </w:r>
      <w:r w:rsidR="009B74EE" w:rsidRPr="00790E56">
        <w:rPr>
          <w:rFonts w:ascii="Arial" w:hAnsi="Arial" w:cs="Arial"/>
          <w:sz w:val="24"/>
          <w:szCs w:val="24"/>
        </w:rPr>
        <w:t xml:space="preserve"> in relation to the alleged delay in the </w:t>
      </w:r>
      <w:r w:rsidR="00E63492" w:rsidRPr="00790E56">
        <w:rPr>
          <w:rFonts w:ascii="Arial" w:hAnsi="Arial" w:cs="Arial"/>
          <w:sz w:val="24"/>
          <w:szCs w:val="24"/>
        </w:rPr>
        <w:t xml:space="preserve">High Court proceedings, referred to the decision of </w:t>
      </w:r>
      <w:r w:rsidR="00994465" w:rsidRPr="00790E56">
        <w:rPr>
          <w:rFonts w:ascii="Arial" w:hAnsi="Arial" w:cs="Arial"/>
          <w:sz w:val="24"/>
          <w:szCs w:val="24"/>
        </w:rPr>
        <w:t xml:space="preserve">De Wet AJ in </w:t>
      </w:r>
      <w:r w:rsidR="00994465" w:rsidRPr="00790E56">
        <w:rPr>
          <w:rFonts w:ascii="Arial" w:hAnsi="Arial" w:cs="Arial"/>
          <w:i/>
          <w:iCs/>
          <w:sz w:val="24"/>
          <w:szCs w:val="24"/>
        </w:rPr>
        <w:t>S v Yanta</w:t>
      </w:r>
      <w:r w:rsidR="00994465" w:rsidRPr="00790E56">
        <w:rPr>
          <w:rFonts w:ascii="Arial" w:hAnsi="Arial" w:cs="Arial"/>
          <w:sz w:val="24"/>
          <w:szCs w:val="24"/>
        </w:rPr>
        <w:t>,</w:t>
      </w:r>
      <w:r w:rsidR="00994465">
        <w:rPr>
          <w:rStyle w:val="FootnoteReference"/>
          <w:rFonts w:ascii="Arial" w:hAnsi="Arial" w:cs="Arial"/>
          <w:sz w:val="24"/>
          <w:szCs w:val="24"/>
        </w:rPr>
        <w:footnoteReference w:id="13"/>
      </w:r>
      <w:r w:rsidR="006525BD" w:rsidRPr="00790E56">
        <w:rPr>
          <w:rFonts w:ascii="Arial" w:hAnsi="Arial" w:cs="Arial"/>
          <w:sz w:val="24"/>
          <w:szCs w:val="24"/>
        </w:rPr>
        <w:t xml:space="preserve"> where the court observed:</w:t>
      </w:r>
    </w:p>
    <w:p w14:paraId="31E27AEE" w14:textId="77777777" w:rsidR="006525BD" w:rsidRPr="00496FBA" w:rsidRDefault="006525BD" w:rsidP="000D4B66">
      <w:pPr>
        <w:spacing w:line="360" w:lineRule="auto"/>
        <w:rPr>
          <w:rFonts w:ascii="Arial" w:hAnsi="Arial" w:cs="Arial"/>
        </w:rPr>
      </w:pPr>
      <w:r w:rsidRPr="00496FBA">
        <w:rPr>
          <w:rFonts w:ascii="Arial" w:hAnsi="Arial" w:cs="Arial"/>
        </w:rPr>
        <w:t>‘</w:t>
      </w:r>
      <w:r w:rsidR="00671E9E" w:rsidRPr="00496FBA">
        <w:rPr>
          <w:rFonts w:ascii="Arial" w:hAnsi="Arial" w:cs="Arial"/>
        </w:rPr>
        <w:t xml:space="preserve">…As to the issue of </w:t>
      </w:r>
      <w:r w:rsidR="009B526C" w:rsidRPr="00496FBA">
        <w:rPr>
          <w:rFonts w:ascii="Arial" w:hAnsi="Arial" w:cs="Arial"/>
        </w:rPr>
        <w:t xml:space="preserve">the </w:t>
      </w:r>
      <w:r w:rsidR="00671E9E" w:rsidRPr="00496FBA">
        <w:rPr>
          <w:rFonts w:ascii="Arial" w:hAnsi="Arial" w:cs="Arial"/>
        </w:rPr>
        <w:t>delay</w:t>
      </w:r>
      <w:r w:rsidR="009B526C" w:rsidRPr="00496FBA">
        <w:rPr>
          <w:rFonts w:ascii="Arial" w:hAnsi="Arial" w:cs="Arial"/>
        </w:rPr>
        <w:t xml:space="preserve"> in the finalisation of the trial, </w:t>
      </w:r>
      <w:r w:rsidR="00F32C29" w:rsidRPr="00496FBA">
        <w:rPr>
          <w:rFonts w:ascii="Arial" w:hAnsi="Arial" w:cs="Arial"/>
        </w:rPr>
        <w:t xml:space="preserve">I point out that new facts or changed circumstances will not have the same effect </w:t>
      </w:r>
      <w:r w:rsidR="007A14B7" w:rsidRPr="00496FBA">
        <w:rPr>
          <w:rFonts w:ascii="Arial" w:hAnsi="Arial" w:cs="Arial"/>
        </w:rPr>
        <w:t>in every bail application on new facts, as the cumulative effect of the facts in each bail application may differ.</w:t>
      </w:r>
      <w:r w:rsidR="0058640B" w:rsidRPr="00496FBA">
        <w:rPr>
          <w:rFonts w:ascii="Arial" w:hAnsi="Arial" w:cs="Arial"/>
        </w:rPr>
        <w:t xml:space="preserve"> Whilst a delay in one matter may tilt the scales in favour of an applicant in some circumstances, </w:t>
      </w:r>
      <w:r w:rsidR="00396EAA" w:rsidRPr="00496FBA">
        <w:rPr>
          <w:rFonts w:ascii="Arial" w:hAnsi="Arial" w:cs="Arial"/>
        </w:rPr>
        <w:t>it does not necessarily have the same effect in others.’</w:t>
      </w:r>
      <w:r w:rsidR="00340049" w:rsidRPr="00496FBA">
        <w:rPr>
          <w:rStyle w:val="FootnoteReference"/>
          <w:rFonts w:ascii="Arial" w:hAnsi="Arial" w:cs="Arial"/>
        </w:rPr>
        <w:footnoteReference w:id="14"/>
      </w:r>
    </w:p>
    <w:p w14:paraId="5892CCC8" w14:textId="77777777" w:rsidR="00340049" w:rsidRDefault="00340049" w:rsidP="00340049">
      <w:pPr>
        <w:spacing w:line="360" w:lineRule="auto"/>
        <w:rPr>
          <w:rFonts w:ascii="Arial" w:hAnsi="Arial" w:cs="Arial"/>
          <w:sz w:val="24"/>
          <w:szCs w:val="24"/>
        </w:rPr>
      </w:pPr>
    </w:p>
    <w:p w14:paraId="12C70A12" w14:textId="2F076687" w:rsidR="00926D7C" w:rsidRDefault="00DB3D31" w:rsidP="006F334F">
      <w:pPr>
        <w:pStyle w:val="ListParagraph"/>
        <w:numPr>
          <w:ilvl w:val="0"/>
          <w:numId w:val="5"/>
        </w:numPr>
        <w:spacing w:line="360" w:lineRule="auto"/>
        <w:ind w:left="0" w:firstLine="0"/>
        <w:jc w:val="both"/>
        <w:rPr>
          <w:rFonts w:ascii="Arial" w:hAnsi="Arial" w:cs="Arial"/>
          <w:sz w:val="24"/>
          <w:szCs w:val="24"/>
        </w:rPr>
      </w:pPr>
      <w:r w:rsidRPr="00811D35">
        <w:rPr>
          <w:rFonts w:ascii="Arial" w:hAnsi="Arial" w:cs="Arial"/>
          <w:sz w:val="24"/>
          <w:szCs w:val="24"/>
        </w:rPr>
        <w:t xml:space="preserve">The </w:t>
      </w:r>
      <w:r w:rsidR="00496FBA" w:rsidRPr="00811D35">
        <w:rPr>
          <w:rFonts w:ascii="Arial" w:hAnsi="Arial" w:cs="Arial"/>
          <w:sz w:val="24"/>
          <w:szCs w:val="24"/>
        </w:rPr>
        <w:t xml:space="preserve">above </w:t>
      </w:r>
      <w:r w:rsidR="00EA0513" w:rsidRPr="00811D35">
        <w:rPr>
          <w:rFonts w:ascii="Arial" w:hAnsi="Arial" w:cs="Arial"/>
          <w:sz w:val="24"/>
          <w:szCs w:val="24"/>
        </w:rPr>
        <w:t xml:space="preserve">principle applies equally to the present matter. There is nothing </w:t>
      </w:r>
      <w:r w:rsidR="00624524" w:rsidRPr="00811D35">
        <w:rPr>
          <w:rFonts w:ascii="Arial" w:hAnsi="Arial" w:cs="Arial"/>
          <w:sz w:val="24"/>
          <w:szCs w:val="24"/>
        </w:rPr>
        <w:t xml:space="preserve">to persuade this court that any delay already experienced by the appellant is </w:t>
      </w:r>
      <w:r w:rsidR="002863EF" w:rsidRPr="00811D35">
        <w:rPr>
          <w:rFonts w:ascii="Arial" w:hAnsi="Arial" w:cs="Arial"/>
          <w:sz w:val="24"/>
          <w:szCs w:val="24"/>
        </w:rPr>
        <w:t xml:space="preserve">inordinate or that </w:t>
      </w:r>
      <w:r w:rsidR="0054746B" w:rsidRPr="00811D35">
        <w:rPr>
          <w:rFonts w:ascii="Arial" w:hAnsi="Arial" w:cs="Arial"/>
          <w:sz w:val="24"/>
          <w:szCs w:val="24"/>
        </w:rPr>
        <w:t xml:space="preserve">the effect thereof, when combined with the other facts mentioned by the appellant, should </w:t>
      </w:r>
      <w:r w:rsidR="00A253CF" w:rsidRPr="00811D35">
        <w:rPr>
          <w:rFonts w:ascii="Arial" w:hAnsi="Arial" w:cs="Arial"/>
          <w:sz w:val="24"/>
          <w:szCs w:val="24"/>
        </w:rPr>
        <w:t xml:space="preserve">persuade the court that exceptional circumstances exist. It is common cause that the state’s case is well underway and that </w:t>
      </w:r>
      <w:r w:rsidR="000916F2" w:rsidRPr="00811D35">
        <w:rPr>
          <w:rFonts w:ascii="Arial" w:hAnsi="Arial" w:cs="Arial"/>
          <w:sz w:val="24"/>
          <w:szCs w:val="24"/>
        </w:rPr>
        <w:t xml:space="preserve">the trial was in progress </w:t>
      </w:r>
      <w:r w:rsidR="008F2267" w:rsidRPr="00811D35">
        <w:rPr>
          <w:rFonts w:ascii="Arial" w:hAnsi="Arial" w:cs="Arial"/>
          <w:sz w:val="24"/>
          <w:szCs w:val="24"/>
        </w:rPr>
        <w:t xml:space="preserve">shortly before the </w:t>
      </w:r>
      <w:r w:rsidR="00E765D1">
        <w:rPr>
          <w:rFonts w:ascii="Arial" w:hAnsi="Arial" w:cs="Arial"/>
          <w:sz w:val="24"/>
          <w:szCs w:val="24"/>
        </w:rPr>
        <w:t>hearing of the</w:t>
      </w:r>
      <w:r w:rsidR="008F2267" w:rsidRPr="00811D35">
        <w:rPr>
          <w:rFonts w:ascii="Arial" w:hAnsi="Arial" w:cs="Arial"/>
          <w:sz w:val="24"/>
          <w:szCs w:val="24"/>
        </w:rPr>
        <w:t xml:space="preserve"> appeal.</w:t>
      </w:r>
    </w:p>
    <w:p w14:paraId="78DA2037" w14:textId="77777777" w:rsidR="00926D7C" w:rsidRDefault="00926D7C" w:rsidP="00926D7C">
      <w:pPr>
        <w:pStyle w:val="ListParagraph"/>
        <w:spacing w:line="360" w:lineRule="auto"/>
        <w:ind w:left="0"/>
        <w:jc w:val="both"/>
        <w:rPr>
          <w:rFonts w:ascii="Arial" w:hAnsi="Arial" w:cs="Arial"/>
          <w:sz w:val="24"/>
          <w:szCs w:val="24"/>
        </w:rPr>
      </w:pPr>
    </w:p>
    <w:p w14:paraId="6312C95A" w14:textId="77777777" w:rsidR="00060BE2" w:rsidRPr="00926D7C" w:rsidRDefault="00CB32B5" w:rsidP="006F334F">
      <w:pPr>
        <w:pStyle w:val="ListParagraph"/>
        <w:numPr>
          <w:ilvl w:val="0"/>
          <w:numId w:val="5"/>
        </w:numPr>
        <w:spacing w:line="360" w:lineRule="auto"/>
        <w:ind w:left="0" w:firstLine="0"/>
        <w:jc w:val="both"/>
        <w:rPr>
          <w:rFonts w:ascii="Arial" w:hAnsi="Arial" w:cs="Arial"/>
          <w:sz w:val="24"/>
          <w:szCs w:val="24"/>
        </w:rPr>
      </w:pPr>
      <w:r w:rsidRPr="00926D7C">
        <w:rPr>
          <w:rFonts w:ascii="Arial" w:hAnsi="Arial" w:cs="Arial"/>
          <w:sz w:val="24"/>
          <w:szCs w:val="24"/>
        </w:rPr>
        <w:t xml:space="preserve">Regarding the </w:t>
      </w:r>
      <w:r w:rsidR="00416939" w:rsidRPr="00926D7C">
        <w:rPr>
          <w:rFonts w:ascii="Arial" w:hAnsi="Arial" w:cs="Arial"/>
          <w:sz w:val="24"/>
          <w:szCs w:val="24"/>
        </w:rPr>
        <w:t xml:space="preserve">appellant’s favourable prospects of employment, notwithstanding his incarceration, </w:t>
      </w:r>
      <w:r w:rsidR="00387B5F" w:rsidRPr="00926D7C">
        <w:rPr>
          <w:rFonts w:ascii="Arial" w:hAnsi="Arial" w:cs="Arial"/>
          <w:sz w:val="24"/>
          <w:szCs w:val="24"/>
        </w:rPr>
        <w:t xml:space="preserve">the court is not convinced that this should be </w:t>
      </w:r>
      <w:r w:rsidR="00275555" w:rsidRPr="00926D7C">
        <w:rPr>
          <w:rFonts w:ascii="Arial" w:hAnsi="Arial" w:cs="Arial"/>
          <w:sz w:val="24"/>
          <w:szCs w:val="24"/>
        </w:rPr>
        <w:t>elevated to anything extraordinary.</w:t>
      </w:r>
      <w:r w:rsidR="002534E0" w:rsidRPr="00926D7C">
        <w:rPr>
          <w:rFonts w:ascii="Arial" w:hAnsi="Arial" w:cs="Arial"/>
          <w:sz w:val="24"/>
          <w:szCs w:val="24"/>
        </w:rPr>
        <w:t xml:space="preserve"> The </w:t>
      </w:r>
      <w:r w:rsidR="00B3221F" w:rsidRPr="00926D7C">
        <w:rPr>
          <w:rFonts w:ascii="Arial" w:hAnsi="Arial" w:cs="Arial"/>
          <w:sz w:val="24"/>
          <w:szCs w:val="24"/>
        </w:rPr>
        <w:t xml:space="preserve">appellant </w:t>
      </w:r>
      <w:r w:rsidR="007F0A78" w:rsidRPr="00926D7C">
        <w:rPr>
          <w:rFonts w:ascii="Arial" w:hAnsi="Arial" w:cs="Arial"/>
          <w:sz w:val="24"/>
          <w:szCs w:val="24"/>
        </w:rPr>
        <w:t xml:space="preserve">may well </w:t>
      </w:r>
      <w:r w:rsidR="008B7A5F" w:rsidRPr="00926D7C">
        <w:rPr>
          <w:rFonts w:ascii="Arial" w:hAnsi="Arial" w:cs="Arial"/>
          <w:sz w:val="24"/>
          <w:szCs w:val="24"/>
        </w:rPr>
        <w:t xml:space="preserve">depend on such employment to fund his defence. </w:t>
      </w:r>
      <w:r w:rsidR="00DE6948" w:rsidRPr="00926D7C">
        <w:rPr>
          <w:rFonts w:ascii="Arial" w:hAnsi="Arial" w:cs="Arial"/>
          <w:sz w:val="24"/>
          <w:szCs w:val="24"/>
        </w:rPr>
        <w:t xml:space="preserve">His right to a fair trial includes the right to choose and to be represented by a </w:t>
      </w:r>
      <w:r w:rsidR="00AC76FE" w:rsidRPr="00926D7C">
        <w:rPr>
          <w:rFonts w:ascii="Arial" w:hAnsi="Arial" w:cs="Arial"/>
          <w:sz w:val="24"/>
          <w:szCs w:val="24"/>
        </w:rPr>
        <w:t>legal practitioner</w:t>
      </w:r>
      <w:r w:rsidR="00AE681B" w:rsidRPr="00926D7C">
        <w:rPr>
          <w:rFonts w:ascii="Arial" w:hAnsi="Arial" w:cs="Arial"/>
          <w:sz w:val="24"/>
          <w:szCs w:val="24"/>
        </w:rPr>
        <w:t>,</w:t>
      </w:r>
      <w:r w:rsidR="00370B46" w:rsidRPr="00370B46">
        <w:rPr>
          <w:vertAlign w:val="superscript"/>
        </w:rPr>
        <w:footnoteReference w:id="15"/>
      </w:r>
      <w:r w:rsidR="00370B46" w:rsidRPr="00926D7C">
        <w:rPr>
          <w:rFonts w:ascii="Arial" w:hAnsi="Arial" w:cs="Arial"/>
          <w:sz w:val="24"/>
          <w:szCs w:val="24"/>
        </w:rPr>
        <w:t xml:space="preserve"> who </w:t>
      </w:r>
      <w:r w:rsidR="00B079D7" w:rsidRPr="00926D7C">
        <w:rPr>
          <w:rFonts w:ascii="Arial" w:hAnsi="Arial" w:cs="Arial"/>
          <w:sz w:val="24"/>
          <w:szCs w:val="24"/>
        </w:rPr>
        <w:t xml:space="preserve">is likely to </w:t>
      </w:r>
      <w:r w:rsidR="00370B46" w:rsidRPr="00926D7C">
        <w:rPr>
          <w:rFonts w:ascii="Arial" w:hAnsi="Arial" w:cs="Arial"/>
          <w:sz w:val="24"/>
          <w:szCs w:val="24"/>
        </w:rPr>
        <w:t>charge a fee for his or her professional services</w:t>
      </w:r>
      <w:r w:rsidR="00AC76FE" w:rsidRPr="00926D7C">
        <w:rPr>
          <w:rFonts w:ascii="Arial" w:hAnsi="Arial" w:cs="Arial"/>
          <w:sz w:val="24"/>
          <w:szCs w:val="24"/>
        </w:rPr>
        <w:t xml:space="preserve">. </w:t>
      </w:r>
      <w:r w:rsidR="005B3E28" w:rsidRPr="00926D7C">
        <w:rPr>
          <w:rFonts w:ascii="Arial" w:hAnsi="Arial" w:cs="Arial"/>
          <w:sz w:val="24"/>
          <w:szCs w:val="24"/>
        </w:rPr>
        <w:t xml:space="preserve">The right is, however, not unrestricted. </w:t>
      </w:r>
      <w:r w:rsidR="006C2A3A" w:rsidRPr="00926D7C">
        <w:rPr>
          <w:rFonts w:ascii="Arial" w:hAnsi="Arial" w:cs="Arial"/>
          <w:sz w:val="24"/>
          <w:szCs w:val="24"/>
        </w:rPr>
        <w:t>If</w:t>
      </w:r>
      <w:r w:rsidR="007B1030" w:rsidRPr="00926D7C">
        <w:rPr>
          <w:rFonts w:ascii="Arial" w:hAnsi="Arial" w:cs="Arial"/>
          <w:sz w:val="24"/>
          <w:szCs w:val="24"/>
        </w:rPr>
        <w:t xml:space="preserve"> </w:t>
      </w:r>
      <w:r w:rsidR="00D5543A" w:rsidRPr="00926D7C">
        <w:rPr>
          <w:rFonts w:ascii="Arial" w:hAnsi="Arial" w:cs="Arial"/>
          <w:sz w:val="24"/>
          <w:szCs w:val="24"/>
        </w:rPr>
        <w:t>an accused person such as the</w:t>
      </w:r>
      <w:r w:rsidR="00914949" w:rsidRPr="00926D7C">
        <w:rPr>
          <w:rFonts w:ascii="Arial" w:hAnsi="Arial" w:cs="Arial"/>
          <w:sz w:val="24"/>
          <w:szCs w:val="24"/>
        </w:rPr>
        <w:t xml:space="preserve"> appellant cannot afford </w:t>
      </w:r>
      <w:r w:rsidR="002B6656" w:rsidRPr="00926D7C">
        <w:rPr>
          <w:rFonts w:ascii="Arial" w:hAnsi="Arial" w:cs="Arial"/>
          <w:sz w:val="24"/>
          <w:szCs w:val="24"/>
        </w:rPr>
        <w:t xml:space="preserve">the </w:t>
      </w:r>
      <w:r w:rsidR="00914949" w:rsidRPr="00926D7C">
        <w:rPr>
          <w:rFonts w:ascii="Arial" w:hAnsi="Arial" w:cs="Arial"/>
          <w:sz w:val="24"/>
          <w:szCs w:val="24"/>
        </w:rPr>
        <w:t>services</w:t>
      </w:r>
      <w:r w:rsidR="002B6656" w:rsidRPr="00926D7C">
        <w:rPr>
          <w:rFonts w:ascii="Arial" w:hAnsi="Arial" w:cs="Arial"/>
          <w:sz w:val="24"/>
          <w:szCs w:val="24"/>
        </w:rPr>
        <w:t xml:space="preserve"> in question</w:t>
      </w:r>
      <w:r w:rsidR="00D5543A" w:rsidRPr="00926D7C">
        <w:rPr>
          <w:rFonts w:ascii="Arial" w:hAnsi="Arial" w:cs="Arial"/>
          <w:sz w:val="24"/>
          <w:szCs w:val="24"/>
        </w:rPr>
        <w:t xml:space="preserve">, </w:t>
      </w:r>
      <w:r w:rsidR="006C2A3A" w:rsidRPr="00926D7C">
        <w:rPr>
          <w:rFonts w:ascii="Arial" w:hAnsi="Arial" w:cs="Arial"/>
          <w:sz w:val="24"/>
          <w:szCs w:val="24"/>
        </w:rPr>
        <w:t xml:space="preserve">then </w:t>
      </w:r>
      <w:r w:rsidR="00F57505" w:rsidRPr="00926D7C">
        <w:rPr>
          <w:rFonts w:ascii="Arial" w:hAnsi="Arial" w:cs="Arial"/>
          <w:sz w:val="24"/>
          <w:szCs w:val="24"/>
        </w:rPr>
        <w:t>t</w:t>
      </w:r>
      <w:r w:rsidR="00D5543A" w:rsidRPr="00926D7C">
        <w:rPr>
          <w:rFonts w:ascii="Arial" w:hAnsi="Arial" w:cs="Arial"/>
          <w:sz w:val="24"/>
          <w:szCs w:val="24"/>
        </w:rPr>
        <w:t>he</w:t>
      </w:r>
      <w:r w:rsidR="00F57505" w:rsidRPr="00926D7C">
        <w:rPr>
          <w:rFonts w:ascii="Arial" w:hAnsi="Arial" w:cs="Arial"/>
          <w:sz w:val="24"/>
          <w:szCs w:val="24"/>
        </w:rPr>
        <w:t xml:space="preserve"> state can assist</w:t>
      </w:r>
      <w:r w:rsidR="00B90DD1" w:rsidRPr="00926D7C">
        <w:rPr>
          <w:rFonts w:ascii="Arial" w:hAnsi="Arial" w:cs="Arial"/>
          <w:sz w:val="24"/>
          <w:szCs w:val="24"/>
        </w:rPr>
        <w:t xml:space="preserve"> </w:t>
      </w:r>
      <w:r w:rsidR="00087CDE" w:rsidRPr="00926D7C">
        <w:rPr>
          <w:rFonts w:ascii="Arial" w:hAnsi="Arial" w:cs="Arial"/>
          <w:sz w:val="24"/>
          <w:szCs w:val="24"/>
        </w:rPr>
        <w:t>but</w:t>
      </w:r>
      <w:r w:rsidR="00B90DD1" w:rsidRPr="00926D7C">
        <w:rPr>
          <w:rFonts w:ascii="Arial" w:hAnsi="Arial" w:cs="Arial"/>
          <w:sz w:val="24"/>
          <w:szCs w:val="24"/>
        </w:rPr>
        <w:t xml:space="preserve"> there is little </w:t>
      </w:r>
      <w:r w:rsidR="005D4E2E" w:rsidRPr="00926D7C">
        <w:rPr>
          <w:rFonts w:ascii="Arial" w:hAnsi="Arial" w:cs="Arial"/>
          <w:sz w:val="24"/>
          <w:szCs w:val="24"/>
        </w:rPr>
        <w:t xml:space="preserve">opportunity </w:t>
      </w:r>
      <w:r w:rsidR="00B90DD1" w:rsidRPr="00926D7C">
        <w:rPr>
          <w:rFonts w:ascii="Arial" w:hAnsi="Arial" w:cs="Arial"/>
          <w:sz w:val="24"/>
          <w:szCs w:val="24"/>
        </w:rPr>
        <w:t>to</w:t>
      </w:r>
      <w:r w:rsidR="009A4B26" w:rsidRPr="00926D7C">
        <w:rPr>
          <w:rFonts w:ascii="Arial" w:hAnsi="Arial" w:cs="Arial"/>
          <w:sz w:val="24"/>
          <w:szCs w:val="24"/>
        </w:rPr>
        <w:t xml:space="preserve"> pick and choose, so to speak</w:t>
      </w:r>
      <w:r w:rsidR="00D86D1B" w:rsidRPr="00926D7C">
        <w:rPr>
          <w:rFonts w:ascii="Arial" w:hAnsi="Arial" w:cs="Arial"/>
          <w:sz w:val="24"/>
          <w:szCs w:val="24"/>
        </w:rPr>
        <w:t xml:space="preserve">. The </w:t>
      </w:r>
      <w:r w:rsidR="00060BE2" w:rsidRPr="00926D7C">
        <w:rPr>
          <w:rFonts w:ascii="Arial" w:hAnsi="Arial" w:cs="Arial"/>
          <w:sz w:val="24"/>
          <w:szCs w:val="24"/>
        </w:rPr>
        <w:t xml:space="preserve">decision in </w:t>
      </w:r>
      <w:r w:rsidR="00060BE2" w:rsidRPr="00926D7C">
        <w:rPr>
          <w:rFonts w:ascii="Arial" w:hAnsi="Arial" w:cs="Arial"/>
          <w:i/>
          <w:iCs/>
          <w:sz w:val="24"/>
          <w:szCs w:val="24"/>
        </w:rPr>
        <w:t xml:space="preserve">S v </w:t>
      </w:r>
      <w:proofErr w:type="spellStart"/>
      <w:r w:rsidR="00060BE2" w:rsidRPr="00926D7C">
        <w:rPr>
          <w:rFonts w:ascii="Arial" w:hAnsi="Arial" w:cs="Arial"/>
          <w:i/>
          <w:iCs/>
          <w:sz w:val="24"/>
          <w:szCs w:val="24"/>
        </w:rPr>
        <w:t>Halgryn</w:t>
      </w:r>
      <w:proofErr w:type="spellEnd"/>
      <w:r w:rsidR="00D86D1B" w:rsidRPr="001748EE">
        <w:rPr>
          <w:vertAlign w:val="superscript"/>
        </w:rPr>
        <w:footnoteReference w:id="16"/>
      </w:r>
      <w:r w:rsidR="00D86D1B" w:rsidRPr="00926D7C">
        <w:rPr>
          <w:rFonts w:ascii="Arial" w:hAnsi="Arial" w:cs="Arial"/>
          <w:i/>
          <w:iCs/>
          <w:sz w:val="24"/>
          <w:szCs w:val="24"/>
        </w:rPr>
        <w:t xml:space="preserve">  </w:t>
      </w:r>
      <w:r w:rsidR="00D86D1B" w:rsidRPr="00926D7C">
        <w:rPr>
          <w:rFonts w:ascii="Arial" w:hAnsi="Arial" w:cs="Arial"/>
          <w:sz w:val="24"/>
          <w:szCs w:val="24"/>
        </w:rPr>
        <w:t>illustrates this</w:t>
      </w:r>
      <w:r w:rsidR="00060BE2" w:rsidRPr="00926D7C">
        <w:rPr>
          <w:rFonts w:ascii="Arial" w:hAnsi="Arial" w:cs="Arial"/>
          <w:sz w:val="24"/>
          <w:szCs w:val="24"/>
        </w:rPr>
        <w:t>, where Harms JA stated:</w:t>
      </w:r>
    </w:p>
    <w:p w14:paraId="7D4A950A" w14:textId="77777777" w:rsidR="00060BE2" w:rsidRPr="00097C65" w:rsidRDefault="00060BE2" w:rsidP="000D4B66">
      <w:pPr>
        <w:spacing w:line="360" w:lineRule="auto"/>
        <w:jc w:val="both"/>
        <w:rPr>
          <w:rFonts w:ascii="Arial" w:hAnsi="Arial" w:cs="Arial"/>
        </w:rPr>
      </w:pPr>
      <w:r w:rsidRPr="00060BE2">
        <w:rPr>
          <w:rFonts w:ascii="Arial" w:hAnsi="Arial" w:cs="Arial"/>
        </w:rPr>
        <w:t xml:space="preserve">‘…Although the right to choose a legal representative is a fundamental right and one to be zealously protected by the courts, it is not an absolute right and is subject to reasonable limitations… It presupposes that the accused can make the necessary financial or other </w:t>
      </w:r>
      <w:r w:rsidRPr="00060BE2">
        <w:rPr>
          <w:rFonts w:ascii="Arial" w:hAnsi="Arial" w:cs="Arial"/>
        </w:rPr>
        <w:lastRenderedPageBreak/>
        <w:t>arrangements for engaging the services of the chosen lawyer and, furthermore, that the lawyer is readily available to perform the mandate, having due regard to the court’s organization and the prompt despatch of the business of the court. An accused cannot, through the choice of any particular counsel, ignore all other considerations… and the convenience of counsel is not overriding…</w:t>
      </w:r>
      <w:r w:rsidR="00D22415" w:rsidRPr="00097C65">
        <w:rPr>
          <w:rFonts w:ascii="Arial" w:hAnsi="Arial" w:cs="Arial"/>
        </w:rPr>
        <w:t>’</w:t>
      </w:r>
      <w:r w:rsidRPr="00060BE2">
        <w:rPr>
          <w:rFonts w:ascii="Arial" w:hAnsi="Arial" w:cs="Arial"/>
          <w:vertAlign w:val="superscript"/>
        </w:rPr>
        <w:footnoteReference w:id="17"/>
      </w:r>
    </w:p>
    <w:p w14:paraId="31449C0A" w14:textId="77777777" w:rsidR="00C93804" w:rsidRDefault="00C93804" w:rsidP="00C93804">
      <w:pPr>
        <w:spacing w:line="360" w:lineRule="auto"/>
        <w:rPr>
          <w:rFonts w:ascii="Arial" w:hAnsi="Arial" w:cs="Arial"/>
          <w:sz w:val="24"/>
          <w:szCs w:val="24"/>
        </w:rPr>
      </w:pPr>
    </w:p>
    <w:p w14:paraId="30230BC4" w14:textId="77777777" w:rsidR="00C93804" w:rsidRPr="00926D7C" w:rsidRDefault="00C93804" w:rsidP="00926D7C">
      <w:pPr>
        <w:pStyle w:val="ListParagraph"/>
        <w:numPr>
          <w:ilvl w:val="0"/>
          <w:numId w:val="5"/>
        </w:numPr>
        <w:spacing w:line="360" w:lineRule="auto"/>
        <w:ind w:left="0" w:firstLine="0"/>
        <w:jc w:val="both"/>
        <w:rPr>
          <w:rFonts w:ascii="Arial" w:hAnsi="Arial" w:cs="Arial"/>
          <w:sz w:val="24"/>
          <w:szCs w:val="24"/>
        </w:rPr>
      </w:pPr>
      <w:r w:rsidRPr="00926D7C">
        <w:rPr>
          <w:rFonts w:ascii="Arial" w:hAnsi="Arial" w:cs="Arial"/>
          <w:sz w:val="24"/>
          <w:szCs w:val="24"/>
        </w:rPr>
        <w:t xml:space="preserve">The </w:t>
      </w:r>
      <w:r w:rsidR="002A40FC" w:rsidRPr="00926D7C">
        <w:rPr>
          <w:rFonts w:ascii="Arial" w:hAnsi="Arial" w:cs="Arial"/>
          <w:sz w:val="24"/>
          <w:szCs w:val="24"/>
        </w:rPr>
        <w:t>availability of employment</w:t>
      </w:r>
      <w:r w:rsidR="002B6656" w:rsidRPr="00926D7C">
        <w:rPr>
          <w:rFonts w:ascii="Arial" w:hAnsi="Arial" w:cs="Arial"/>
          <w:sz w:val="24"/>
          <w:szCs w:val="24"/>
        </w:rPr>
        <w:t xml:space="preserve"> </w:t>
      </w:r>
      <w:r w:rsidR="00A31703" w:rsidRPr="00926D7C">
        <w:rPr>
          <w:rFonts w:ascii="Arial" w:hAnsi="Arial" w:cs="Arial"/>
          <w:sz w:val="24"/>
          <w:szCs w:val="24"/>
        </w:rPr>
        <w:t xml:space="preserve">cannot be used, in the present matter, to </w:t>
      </w:r>
      <w:r w:rsidR="007F3FE2" w:rsidRPr="00926D7C">
        <w:rPr>
          <w:rFonts w:ascii="Arial" w:hAnsi="Arial" w:cs="Arial"/>
          <w:sz w:val="24"/>
          <w:szCs w:val="24"/>
        </w:rPr>
        <w:t xml:space="preserve">justify </w:t>
      </w:r>
      <w:r w:rsidR="009276CC" w:rsidRPr="00926D7C">
        <w:rPr>
          <w:rFonts w:ascii="Arial" w:hAnsi="Arial" w:cs="Arial"/>
          <w:sz w:val="24"/>
          <w:szCs w:val="24"/>
        </w:rPr>
        <w:t xml:space="preserve">the appellant’s </w:t>
      </w:r>
      <w:r w:rsidR="007F3FE2" w:rsidRPr="00926D7C">
        <w:rPr>
          <w:rFonts w:ascii="Arial" w:hAnsi="Arial" w:cs="Arial"/>
          <w:sz w:val="24"/>
          <w:szCs w:val="24"/>
        </w:rPr>
        <w:t>release from custody to exercise</w:t>
      </w:r>
      <w:r w:rsidR="009276CC" w:rsidRPr="00926D7C">
        <w:rPr>
          <w:rFonts w:ascii="Arial" w:hAnsi="Arial" w:cs="Arial"/>
          <w:sz w:val="24"/>
          <w:szCs w:val="24"/>
        </w:rPr>
        <w:t xml:space="preserve"> his </w:t>
      </w:r>
      <w:r w:rsidRPr="00926D7C">
        <w:rPr>
          <w:rFonts w:ascii="Arial" w:hAnsi="Arial" w:cs="Arial"/>
          <w:sz w:val="24"/>
          <w:szCs w:val="24"/>
        </w:rPr>
        <w:t>right to</w:t>
      </w:r>
      <w:r w:rsidR="00097C65" w:rsidRPr="00926D7C">
        <w:rPr>
          <w:rFonts w:ascii="Arial" w:hAnsi="Arial" w:cs="Arial"/>
          <w:sz w:val="24"/>
          <w:szCs w:val="24"/>
        </w:rPr>
        <w:t xml:space="preserve"> choose and to be represented by a legal practitioner</w:t>
      </w:r>
      <w:r w:rsidR="001E46AA" w:rsidRPr="00926D7C">
        <w:rPr>
          <w:rFonts w:ascii="Arial" w:hAnsi="Arial" w:cs="Arial"/>
          <w:sz w:val="24"/>
          <w:szCs w:val="24"/>
        </w:rPr>
        <w:t xml:space="preserve"> of his preference.</w:t>
      </w:r>
      <w:r w:rsidR="00B21C09" w:rsidRPr="00926D7C">
        <w:rPr>
          <w:rFonts w:ascii="Arial" w:hAnsi="Arial" w:cs="Arial"/>
          <w:sz w:val="24"/>
          <w:szCs w:val="24"/>
        </w:rPr>
        <w:t xml:space="preserve"> If the appellant has depleted his resources, then </w:t>
      </w:r>
      <w:r w:rsidR="00BE1C53" w:rsidRPr="00926D7C">
        <w:rPr>
          <w:rFonts w:ascii="Arial" w:hAnsi="Arial" w:cs="Arial"/>
          <w:sz w:val="24"/>
          <w:szCs w:val="24"/>
        </w:rPr>
        <w:t xml:space="preserve">he may </w:t>
      </w:r>
      <w:r w:rsidR="00520D70" w:rsidRPr="00926D7C">
        <w:rPr>
          <w:rFonts w:ascii="Arial" w:hAnsi="Arial" w:cs="Arial"/>
          <w:sz w:val="24"/>
          <w:szCs w:val="24"/>
        </w:rPr>
        <w:t xml:space="preserve">yet </w:t>
      </w:r>
      <w:r w:rsidR="00BE1C53" w:rsidRPr="00926D7C">
        <w:rPr>
          <w:rFonts w:ascii="Arial" w:hAnsi="Arial" w:cs="Arial"/>
          <w:sz w:val="24"/>
          <w:szCs w:val="24"/>
        </w:rPr>
        <w:t xml:space="preserve">avail himself of the services of a practitioner </w:t>
      </w:r>
      <w:r w:rsidR="00520D70" w:rsidRPr="00926D7C">
        <w:rPr>
          <w:rFonts w:ascii="Arial" w:hAnsi="Arial" w:cs="Arial"/>
          <w:sz w:val="24"/>
          <w:szCs w:val="24"/>
        </w:rPr>
        <w:t>appointed by the state.</w:t>
      </w:r>
      <w:r w:rsidR="00B829CE" w:rsidRPr="00926D7C">
        <w:rPr>
          <w:rFonts w:ascii="Arial" w:hAnsi="Arial" w:cs="Arial"/>
          <w:sz w:val="24"/>
          <w:szCs w:val="24"/>
        </w:rPr>
        <w:t xml:space="preserve"> The new fact relied upon by the appellant, </w:t>
      </w:r>
      <w:r w:rsidR="00B44F04" w:rsidRPr="00926D7C">
        <w:rPr>
          <w:rFonts w:ascii="Arial" w:hAnsi="Arial" w:cs="Arial"/>
          <w:sz w:val="24"/>
          <w:szCs w:val="24"/>
        </w:rPr>
        <w:t xml:space="preserve">viz. </w:t>
      </w:r>
      <w:r w:rsidR="004A37E0" w:rsidRPr="00926D7C">
        <w:rPr>
          <w:rFonts w:ascii="Arial" w:hAnsi="Arial" w:cs="Arial"/>
          <w:sz w:val="24"/>
          <w:szCs w:val="24"/>
        </w:rPr>
        <w:t xml:space="preserve">confirmation received from </w:t>
      </w:r>
      <w:r w:rsidR="00B44F04" w:rsidRPr="00926D7C">
        <w:rPr>
          <w:rFonts w:ascii="Arial" w:hAnsi="Arial" w:cs="Arial"/>
          <w:sz w:val="24"/>
          <w:szCs w:val="24"/>
        </w:rPr>
        <w:t>his employer</w:t>
      </w:r>
      <w:r w:rsidR="004A37E0" w:rsidRPr="00926D7C">
        <w:rPr>
          <w:rFonts w:ascii="Arial" w:hAnsi="Arial" w:cs="Arial"/>
          <w:sz w:val="24"/>
          <w:szCs w:val="24"/>
        </w:rPr>
        <w:t xml:space="preserve"> </w:t>
      </w:r>
      <w:r w:rsidR="00D62F35" w:rsidRPr="00926D7C">
        <w:rPr>
          <w:rFonts w:ascii="Arial" w:hAnsi="Arial" w:cs="Arial"/>
          <w:sz w:val="24"/>
          <w:szCs w:val="24"/>
        </w:rPr>
        <w:t>that h</w:t>
      </w:r>
      <w:r w:rsidR="00C90E40" w:rsidRPr="00926D7C">
        <w:rPr>
          <w:rFonts w:ascii="Arial" w:hAnsi="Arial" w:cs="Arial"/>
          <w:sz w:val="24"/>
          <w:szCs w:val="24"/>
        </w:rPr>
        <w:t>e may return to work</w:t>
      </w:r>
      <w:r w:rsidR="00B02D5D" w:rsidRPr="00926D7C">
        <w:rPr>
          <w:rFonts w:ascii="Arial" w:hAnsi="Arial" w:cs="Arial"/>
          <w:sz w:val="24"/>
          <w:szCs w:val="24"/>
        </w:rPr>
        <w:t xml:space="preserve">, </w:t>
      </w:r>
      <w:r w:rsidR="00C730E2" w:rsidRPr="00926D7C">
        <w:rPr>
          <w:rFonts w:ascii="Arial" w:hAnsi="Arial" w:cs="Arial"/>
          <w:sz w:val="24"/>
          <w:szCs w:val="24"/>
        </w:rPr>
        <w:t>advance</w:t>
      </w:r>
      <w:r w:rsidR="001E4BDC" w:rsidRPr="00926D7C">
        <w:rPr>
          <w:rFonts w:ascii="Arial" w:hAnsi="Arial" w:cs="Arial"/>
          <w:sz w:val="24"/>
          <w:szCs w:val="24"/>
        </w:rPr>
        <w:t>s</w:t>
      </w:r>
      <w:r w:rsidR="00C730E2" w:rsidRPr="00926D7C">
        <w:rPr>
          <w:rFonts w:ascii="Arial" w:hAnsi="Arial" w:cs="Arial"/>
          <w:sz w:val="24"/>
          <w:szCs w:val="24"/>
        </w:rPr>
        <w:t xml:space="preserve"> his case </w:t>
      </w:r>
      <w:r w:rsidR="001E4BDC" w:rsidRPr="00926D7C">
        <w:rPr>
          <w:rFonts w:ascii="Arial" w:hAnsi="Arial" w:cs="Arial"/>
          <w:sz w:val="24"/>
          <w:szCs w:val="24"/>
        </w:rPr>
        <w:t xml:space="preserve">no </w:t>
      </w:r>
      <w:r w:rsidR="00C730E2" w:rsidRPr="00926D7C">
        <w:rPr>
          <w:rFonts w:ascii="Arial" w:hAnsi="Arial" w:cs="Arial"/>
          <w:sz w:val="24"/>
          <w:szCs w:val="24"/>
        </w:rPr>
        <w:t>further.</w:t>
      </w:r>
      <w:r w:rsidR="009635DC" w:rsidRPr="00926D7C">
        <w:rPr>
          <w:rFonts w:ascii="Arial" w:hAnsi="Arial" w:cs="Arial"/>
          <w:sz w:val="24"/>
          <w:szCs w:val="24"/>
        </w:rPr>
        <w:t xml:space="preserve"> </w:t>
      </w:r>
    </w:p>
    <w:p w14:paraId="4B8739C4" w14:textId="77777777" w:rsidR="001E4BDC" w:rsidRDefault="001E4BDC" w:rsidP="00C93804">
      <w:pPr>
        <w:spacing w:line="360" w:lineRule="auto"/>
        <w:rPr>
          <w:rFonts w:ascii="Arial" w:hAnsi="Arial" w:cs="Arial"/>
          <w:sz w:val="24"/>
          <w:szCs w:val="24"/>
        </w:rPr>
      </w:pPr>
    </w:p>
    <w:p w14:paraId="1DBFECB2" w14:textId="77777777" w:rsidR="005508EE" w:rsidRPr="001E4BDC" w:rsidRDefault="00633272" w:rsidP="00984BE7">
      <w:pPr>
        <w:spacing w:line="360" w:lineRule="auto"/>
        <w:jc w:val="both"/>
        <w:rPr>
          <w:rFonts w:ascii="Arial" w:hAnsi="Arial" w:cs="Arial"/>
          <w:b/>
          <w:bCs/>
          <w:sz w:val="24"/>
          <w:szCs w:val="24"/>
        </w:rPr>
      </w:pPr>
      <w:r w:rsidRPr="001E4BDC">
        <w:rPr>
          <w:rFonts w:ascii="Arial" w:hAnsi="Arial" w:cs="Arial"/>
          <w:b/>
          <w:bCs/>
          <w:sz w:val="24"/>
          <w:szCs w:val="24"/>
        </w:rPr>
        <w:t xml:space="preserve">Relief and order </w:t>
      </w:r>
    </w:p>
    <w:p w14:paraId="7486207A" w14:textId="77777777" w:rsidR="00633272" w:rsidRPr="00984BE7" w:rsidRDefault="00D15F60" w:rsidP="00984BE7">
      <w:pPr>
        <w:pStyle w:val="ListParagraph"/>
        <w:numPr>
          <w:ilvl w:val="0"/>
          <w:numId w:val="5"/>
        </w:numPr>
        <w:spacing w:line="360" w:lineRule="auto"/>
        <w:ind w:left="0" w:firstLine="0"/>
        <w:jc w:val="both"/>
        <w:rPr>
          <w:rFonts w:ascii="Arial" w:hAnsi="Arial" w:cs="Arial"/>
          <w:sz w:val="24"/>
          <w:szCs w:val="24"/>
        </w:rPr>
      </w:pPr>
      <w:r w:rsidRPr="00984BE7">
        <w:rPr>
          <w:rFonts w:ascii="Arial" w:hAnsi="Arial" w:cs="Arial"/>
          <w:sz w:val="24"/>
          <w:szCs w:val="24"/>
        </w:rPr>
        <w:t xml:space="preserve">In </w:t>
      </w:r>
      <w:r w:rsidR="001E4BDC" w:rsidRPr="00984BE7">
        <w:rPr>
          <w:rFonts w:ascii="Arial" w:hAnsi="Arial" w:cs="Arial"/>
          <w:i/>
          <w:iCs/>
          <w:sz w:val="24"/>
          <w:szCs w:val="24"/>
        </w:rPr>
        <w:t xml:space="preserve">S v </w:t>
      </w:r>
      <w:proofErr w:type="spellStart"/>
      <w:r w:rsidR="001E4BDC" w:rsidRPr="00984BE7">
        <w:rPr>
          <w:rFonts w:ascii="Arial" w:hAnsi="Arial" w:cs="Arial"/>
          <w:i/>
          <w:iCs/>
          <w:sz w:val="24"/>
          <w:szCs w:val="24"/>
        </w:rPr>
        <w:t>Mpofana</w:t>
      </w:r>
      <w:proofErr w:type="spellEnd"/>
      <w:r w:rsidR="001E4BDC" w:rsidRPr="00984BE7">
        <w:rPr>
          <w:rFonts w:ascii="Arial" w:hAnsi="Arial" w:cs="Arial"/>
          <w:sz w:val="24"/>
          <w:szCs w:val="24"/>
        </w:rPr>
        <w:t>,</w:t>
      </w:r>
      <w:r w:rsidR="001E4BDC">
        <w:rPr>
          <w:rStyle w:val="FootnoteReference"/>
          <w:rFonts w:ascii="Arial" w:hAnsi="Arial" w:cs="Arial"/>
          <w:sz w:val="24"/>
          <w:szCs w:val="24"/>
        </w:rPr>
        <w:footnoteReference w:id="18"/>
      </w:r>
      <w:r w:rsidR="00D136FE" w:rsidRPr="00984BE7">
        <w:rPr>
          <w:rFonts w:ascii="Arial" w:hAnsi="Arial" w:cs="Arial"/>
          <w:sz w:val="24"/>
          <w:szCs w:val="24"/>
        </w:rPr>
        <w:t xml:space="preserve"> </w:t>
      </w:r>
      <w:r w:rsidR="00D1025D" w:rsidRPr="00984BE7">
        <w:rPr>
          <w:rFonts w:ascii="Arial" w:hAnsi="Arial" w:cs="Arial"/>
          <w:sz w:val="24"/>
          <w:szCs w:val="24"/>
        </w:rPr>
        <w:t xml:space="preserve">mentioned by counsel for the appellant, </w:t>
      </w:r>
      <w:r w:rsidR="00D136FE" w:rsidRPr="00984BE7">
        <w:rPr>
          <w:rFonts w:ascii="Arial" w:hAnsi="Arial" w:cs="Arial"/>
          <w:sz w:val="24"/>
          <w:szCs w:val="24"/>
        </w:rPr>
        <w:t>Mbenenge AJ (as he then was) held that:</w:t>
      </w:r>
    </w:p>
    <w:p w14:paraId="7A5CEE2F" w14:textId="77777777" w:rsidR="00D136FE" w:rsidRPr="00953E98" w:rsidRDefault="00D136FE" w:rsidP="000D4B66">
      <w:pPr>
        <w:spacing w:line="360" w:lineRule="auto"/>
        <w:jc w:val="both"/>
        <w:rPr>
          <w:rFonts w:ascii="Arial" w:hAnsi="Arial" w:cs="Arial"/>
        </w:rPr>
      </w:pPr>
      <w:r w:rsidRPr="00953E98">
        <w:rPr>
          <w:rFonts w:ascii="Arial" w:hAnsi="Arial" w:cs="Arial"/>
        </w:rPr>
        <w:t>‘</w:t>
      </w:r>
      <w:r w:rsidR="00142FB3" w:rsidRPr="00953E98">
        <w:rPr>
          <w:rFonts w:ascii="Arial" w:hAnsi="Arial" w:cs="Arial"/>
        </w:rPr>
        <w:t xml:space="preserve">In considering an application for </w:t>
      </w:r>
      <w:r w:rsidR="00225E9A" w:rsidRPr="00953E98">
        <w:rPr>
          <w:rFonts w:ascii="Arial" w:hAnsi="Arial" w:cs="Arial"/>
        </w:rPr>
        <w:t>bail allegedly brought on the strength of new facts, the court’s approach is to consider whether there are</w:t>
      </w:r>
      <w:r w:rsidR="00260471" w:rsidRPr="00953E98">
        <w:rPr>
          <w:rFonts w:ascii="Arial" w:hAnsi="Arial" w:cs="Arial"/>
        </w:rPr>
        <w:t xml:space="preserve">, in the first instance, new facts and, if there are, reconsider the bail application </w:t>
      </w:r>
      <w:r w:rsidR="00CD5DCB" w:rsidRPr="00953E98">
        <w:rPr>
          <w:rFonts w:ascii="Arial" w:hAnsi="Arial" w:cs="Arial"/>
        </w:rPr>
        <w:t>on such new facts, against the background of the old facts…</w:t>
      </w:r>
    </w:p>
    <w:p w14:paraId="5A2A749D" w14:textId="77777777" w:rsidR="00CD5DCB" w:rsidRPr="00060BE2" w:rsidRDefault="00CD5DCB" w:rsidP="00984BE7">
      <w:pPr>
        <w:spacing w:line="360" w:lineRule="auto"/>
        <w:ind w:left="720"/>
        <w:jc w:val="both"/>
        <w:rPr>
          <w:rFonts w:ascii="Arial" w:hAnsi="Arial" w:cs="Arial"/>
        </w:rPr>
      </w:pPr>
      <w:r w:rsidRPr="00953E98">
        <w:rPr>
          <w:rFonts w:ascii="Arial" w:hAnsi="Arial" w:cs="Arial"/>
        </w:rPr>
        <w:t>…</w:t>
      </w:r>
      <w:r w:rsidR="00C517ED" w:rsidRPr="00953E98">
        <w:rPr>
          <w:rFonts w:ascii="Arial" w:hAnsi="Arial" w:cs="Arial"/>
        </w:rPr>
        <w:t xml:space="preserve">whilst the new application is not merely an extension of the initial one, the court </w:t>
      </w:r>
      <w:r w:rsidR="00D6621F" w:rsidRPr="00953E98">
        <w:rPr>
          <w:rFonts w:ascii="Arial" w:hAnsi="Arial" w:cs="Arial"/>
        </w:rPr>
        <w:t xml:space="preserve">which entertains the new application should </w:t>
      </w:r>
      <w:proofErr w:type="gramStart"/>
      <w:r w:rsidR="00D6621F" w:rsidRPr="00953E98">
        <w:rPr>
          <w:rFonts w:ascii="Arial" w:hAnsi="Arial" w:cs="Arial"/>
        </w:rPr>
        <w:t>come to a conclusion</w:t>
      </w:r>
      <w:proofErr w:type="gramEnd"/>
      <w:r w:rsidR="00D6621F" w:rsidRPr="00953E98">
        <w:rPr>
          <w:rFonts w:ascii="Arial" w:hAnsi="Arial" w:cs="Arial"/>
        </w:rPr>
        <w:t xml:space="preserve"> after considering whether, viewed in the light of the facts that were </w:t>
      </w:r>
      <w:r w:rsidR="0036260E" w:rsidRPr="00953E98">
        <w:rPr>
          <w:rFonts w:ascii="Arial" w:hAnsi="Arial" w:cs="Arial"/>
        </w:rPr>
        <w:t xml:space="preserve">placed before court in the initial application, there are new facts warranting the </w:t>
      </w:r>
      <w:r w:rsidR="00EF5F0C" w:rsidRPr="00953E98">
        <w:rPr>
          <w:rFonts w:ascii="Arial" w:hAnsi="Arial" w:cs="Arial"/>
        </w:rPr>
        <w:t>granting of the bail application.’</w:t>
      </w:r>
      <w:r w:rsidR="00EF5F0C" w:rsidRPr="00953E98">
        <w:rPr>
          <w:rStyle w:val="FootnoteReference"/>
          <w:rFonts w:ascii="Arial" w:hAnsi="Arial" w:cs="Arial"/>
        </w:rPr>
        <w:footnoteReference w:id="19"/>
      </w:r>
    </w:p>
    <w:p w14:paraId="29C88879" w14:textId="77777777" w:rsidR="002534E0" w:rsidRDefault="002534E0" w:rsidP="00C73E2A">
      <w:pPr>
        <w:spacing w:line="360" w:lineRule="auto"/>
        <w:rPr>
          <w:rFonts w:ascii="Arial" w:hAnsi="Arial" w:cs="Arial"/>
          <w:sz w:val="24"/>
          <w:szCs w:val="24"/>
        </w:rPr>
      </w:pPr>
    </w:p>
    <w:p w14:paraId="0D2850D8" w14:textId="77777777" w:rsidR="00BB2534" w:rsidRDefault="00824086" w:rsidP="00984BE7">
      <w:pPr>
        <w:pStyle w:val="ListParagraph"/>
        <w:numPr>
          <w:ilvl w:val="0"/>
          <w:numId w:val="5"/>
        </w:numPr>
        <w:spacing w:line="360" w:lineRule="auto"/>
        <w:ind w:left="0" w:firstLine="0"/>
        <w:jc w:val="both"/>
        <w:rPr>
          <w:rFonts w:ascii="Arial" w:hAnsi="Arial" w:cs="Arial"/>
          <w:sz w:val="24"/>
          <w:szCs w:val="24"/>
        </w:rPr>
      </w:pPr>
      <w:r w:rsidRPr="00984BE7">
        <w:rPr>
          <w:rFonts w:ascii="Arial" w:hAnsi="Arial" w:cs="Arial"/>
          <w:sz w:val="24"/>
          <w:szCs w:val="24"/>
          <w:lang w:val="en-US"/>
        </w:rPr>
        <w:t xml:space="preserve">Counsel for the appellant argued that, viewed collectively, the </w:t>
      </w:r>
      <w:r w:rsidR="00394EF5" w:rsidRPr="00984BE7">
        <w:rPr>
          <w:rFonts w:ascii="Arial" w:hAnsi="Arial" w:cs="Arial"/>
          <w:sz w:val="24"/>
          <w:szCs w:val="24"/>
          <w:lang w:val="en-US"/>
        </w:rPr>
        <w:t xml:space="preserve">old and new facts </w:t>
      </w:r>
      <w:r w:rsidRPr="00984BE7">
        <w:rPr>
          <w:rFonts w:ascii="Arial" w:hAnsi="Arial" w:cs="Arial"/>
          <w:sz w:val="24"/>
          <w:szCs w:val="24"/>
          <w:lang w:val="en-US"/>
        </w:rPr>
        <w:t xml:space="preserve">outlined in the bail applications demonstrated </w:t>
      </w:r>
      <w:r w:rsidR="00804F25" w:rsidRPr="00984BE7">
        <w:rPr>
          <w:rFonts w:ascii="Arial" w:hAnsi="Arial" w:cs="Arial"/>
          <w:sz w:val="24"/>
          <w:szCs w:val="24"/>
          <w:lang w:val="en-US"/>
        </w:rPr>
        <w:t xml:space="preserve">conclusively </w:t>
      </w:r>
      <w:r w:rsidRPr="00984BE7">
        <w:rPr>
          <w:rFonts w:ascii="Arial" w:hAnsi="Arial" w:cs="Arial"/>
          <w:sz w:val="24"/>
          <w:szCs w:val="24"/>
          <w:lang w:val="en-US"/>
        </w:rPr>
        <w:t xml:space="preserve">that not only were the so-called </w:t>
      </w:r>
      <w:r w:rsidRPr="00984BE7">
        <w:rPr>
          <w:rFonts w:ascii="Arial" w:hAnsi="Arial" w:cs="Arial"/>
          <w:sz w:val="24"/>
          <w:szCs w:val="24"/>
          <w:lang w:val="en-US"/>
        </w:rPr>
        <w:lastRenderedPageBreak/>
        <w:t>‘likelihoods’ mentioned in section 60(4), read with sub-sections (5) to (9), absent</w:t>
      </w:r>
      <w:r w:rsidR="00D66B57" w:rsidRPr="00984BE7">
        <w:rPr>
          <w:rFonts w:ascii="Arial" w:hAnsi="Arial" w:cs="Arial"/>
          <w:sz w:val="24"/>
          <w:szCs w:val="24"/>
          <w:lang w:val="en-US"/>
        </w:rPr>
        <w:t>,</w:t>
      </w:r>
      <w:r w:rsidRPr="00984BE7">
        <w:rPr>
          <w:rFonts w:ascii="Arial" w:hAnsi="Arial" w:cs="Arial"/>
          <w:sz w:val="24"/>
          <w:szCs w:val="24"/>
          <w:lang w:val="en-US"/>
        </w:rPr>
        <w:t xml:space="preserve"> but also </w:t>
      </w:r>
      <w:r w:rsidR="00804F25" w:rsidRPr="00984BE7">
        <w:rPr>
          <w:rFonts w:ascii="Arial" w:hAnsi="Arial" w:cs="Arial"/>
          <w:sz w:val="24"/>
          <w:szCs w:val="24"/>
          <w:lang w:val="en-US"/>
        </w:rPr>
        <w:t>that exceptional circumstances existed</w:t>
      </w:r>
      <w:r w:rsidR="00D41E0E" w:rsidRPr="00984BE7">
        <w:rPr>
          <w:rFonts w:ascii="Arial" w:hAnsi="Arial" w:cs="Arial"/>
          <w:sz w:val="24"/>
          <w:szCs w:val="24"/>
          <w:lang w:val="en-US"/>
        </w:rPr>
        <w:t xml:space="preserve">. </w:t>
      </w:r>
      <w:r w:rsidR="00775CB4" w:rsidRPr="00984BE7">
        <w:rPr>
          <w:rFonts w:ascii="Arial" w:hAnsi="Arial" w:cs="Arial"/>
          <w:sz w:val="24"/>
          <w:szCs w:val="24"/>
        </w:rPr>
        <w:t xml:space="preserve">Having had regard to </w:t>
      </w:r>
      <w:r w:rsidR="00D41E0E" w:rsidRPr="00984BE7">
        <w:rPr>
          <w:rFonts w:ascii="Arial" w:hAnsi="Arial" w:cs="Arial"/>
          <w:sz w:val="24"/>
          <w:szCs w:val="24"/>
        </w:rPr>
        <w:t xml:space="preserve">above </w:t>
      </w:r>
      <w:r w:rsidR="00775CB4" w:rsidRPr="00984BE7">
        <w:rPr>
          <w:rFonts w:ascii="Arial" w:hAnsi="Arial" w:cs="Arial"/>
          <w:sz w:val="24"/>
          <w:szCs w:val="24"/>
        </w:rPr>
        <w:t>facts</w:t>
      </w:r>
      <w:r w:rsidR="00D41E0E" w:rsidRPr="00984BE7">
        <w:rPr>
          <w:rFonts w:ascii="Arial" w:hAnsi="Arial" w:cs="Arial"/>
          <w:sz w:val="24"/>
          <w:szCs w:val="24"/>
        </w:rPr>
        <w:t>,</w:t>
      </w:r>
      <w:r w:rsidR="00775CB4" w:rsidRPr="00984BE7">
        <w:rPr>
          <w:rFonts w:ascii="Arial" w:hAnsi="Arial" w:cs="Arial"/>
          <w:sz w:val="24"/>
          <w:szCs w:val="24"/>
        </w:rPr>
        <w:t xml:space="preserve"> the court is not satisfied that th</w:t>
      </w:r>
      <w:r w:rsidR="00972225" w:rsidRPr="00984BE7">
        <w:rPr>
          <w:rFonts w:ascii="Arial" w:hAnsi="Arial" w:cs="Arial"/>
          <w:sz w:val="24"/>
          <w:szCs w:val="24"/>
        </w:rPr>
        <w:t>is is so. There</w:t>
      </w:r>
      <w:r w:rsidR="00775CB4" w:rsidRPr="00984BE7">
        <w:rPr>
          <w:rFonts w:ascii="Arial" w:hAnsi="Arial" w:cs="Arial"/>
          <w:sz w:val="24"/>
          <w:szCs w:val="24"/>
        </w:rPr>
        <w:t xml:space="preserve"> are </w:t>
      </w:r>
      <w:r w:rsidR="00972225" w:rsidRPr="00984BE7">
        <w:rPr>
          <w:rFonts w:ascii="Arial" w:hAnsi="Arial" w:cs="Arial"/>
          <w:sz w:val="24"/>
          <w:szCs w:val="24"/>
        </w:rPr>
        <w:t xml:space="preserve">no </w:t>
      </w:r>
      <w:r w:rsidR="00775CB4" w:rsidRPr="00984BE7">
        <w:rPr>
          <w:rFonts w:ascii="Arial" w:hAnsi="Arial" w:cs="Arial"/>
          <w:sz w:val="24"/>
          <w:szCs w:val="24"/>
        </w:rPr>
        <w:t xml:space="preserve">exceptional circumstances which, in the interests of justice, permit his release. </w:t>
      </w:r>
      <w:r w:rsidR="00A76241" w:rsidRPr="00984BE7">
        <w:rPr>
          <w:rFonts w:ascii="Arial" w:hAnsi="Arial" w:cs="Arial"/>
          <w:sz w:val="24"/>
          <w:szCs w:val="24"/>
        </w:rPr>
        <w:t xml:space="preserve">The appellant </w:t>
      </w:r>
      <w:r w:rsidR="00D66B57" w:rsidRPr="00984BE7">
        <w:rPr>
          <w:rFonts w:ascii="Arial" w:hAnsi="Arial" w:cs="Arial"/>
          <w:sz w:val="24"/>
          <w:szCs w:val="24"/>
        </w:rPr>
        <w:t xml:space="preserve">has </w:t>
      </w:r>
      <w:r w:rsidR="00A76241" w:rsidRPr="00984BE7">
        <w:rPr>
          <w:rFonts w:ascii="Arial" w:hAnsi="Arial" w:cs="Arial"/>
          <w:sz w:val="24"/>
          <w:szCs w:val="24"/>
        </w:rPr>
        <w:t xml:space="preserve">failed to meet the requirements of section </w:t>
      </w:r>
      <w:r w:rsidR="00645C55" w:rsidRPr="00984BE7">
        <w:rPr>
          <w:rFonts w:ascii="Arial" w:hAnsi="Arial" w:cs="Arial"/>
          <w:sz w:val="24"/>
          <w:szCs w:val="24"/>
        </w:rPr>
        <w:t>60(11)(a).</w:t>
      </w:r>
    </w:p>
    <w:p w14:paraId="5EB21B80" w14:textId="77777777" w:rsidR="00291EDC" w:rsidRPr="00984BE7" w:rsidRDefault="00291EDC" w:rsidP="000D4B66">
      <w:pPr>
        <w:pStyle w:val="ListParagraph"/>
        <w:spacing w:line="360" w:lineRule="auto"/>
        <w:ind w:left="0"/>
        <w:jc w:val="both"/>
        <w:rPr>
          <w:rFonts w:ascii="Arial" w:hAnsi="Arial" w:cs="Arial"/>
          <w:sz w:val="24"/>
          <w:szCs w:val="24"/>
        </w:rPr>
      </w:pPr>
    </w:p>
    <w:p w14:paraId="71D5DDB5" w14:textId="77777777" w:rsidR="00984BE7" w:rsidRDefault="00645C55" w:rsidP="00891728">
      <w:pPr>
        <w:pStyle w:val="ListParagraph"/>
        <w:numPr>
          <w:ilvl w:val="0"/>
          <w:numId w:val="5"/>
        </w:numPr>
        <w:spacing w:line="360" w:lineRule="auto"/>
        <w:ind w:left="0" w:firstLine="0"/>
        <w:jc w:val="both"/>
        <w:rPr>
          <w:rFonts w:ascii="Arial" w:hAnsi="Arial" w:cs="Arial"/>
          <w:sz w:val="24"/>
          <w:szCs w:val="24"/>
        </w:rPr>
      </w:pPr>
      <w:r w:rsidRPr="00984BE7">
        <w:rPr>
          <w:rFonts w:ascii="Arial" w:hAnsi="Arial" w:cs="Arial"/>
          <w:sz w:val="24"/>
          <w:szCs w:val="24"/>
        </w:rPr>
        <w:t xml:space="preserve">Consequently, the court is not </w:t>
      </w:r>
      <w:r w:rsidR="00B449C4" w:rsidRPr="00984BE7">
        <w:rPr>
          <w:rFonts w:ascii="Arial" w:hAnsi="Arial" w:cs="Arial"/>
          <w:sz w:val="24"/>
          <w:szCs w:val="24"/>
        </w:rPr>
        <w:t>satisfied that the magistrate’s decision was wrong. He exercised his discretion correctly</w:t>
      </w:r>
      <w:r w:rsidR="00CA364F" w:rsidRPr="00984BE7">
        <w:rPr>
          <w:rFonts w:ascii="Arial" w:hAnsi="Arial" w:cs="Arial"/>
          <w:sz w:val="24"/>
          <w:szCs w:val="24"/>
        </w:rPr>
        <w:t xml:space="preserve">. There is no basis upon which to set aside </w:t>
      </w:r>
      <w:r w:rsidR="007A7B44" w:rsidRPr="00984BE7">
        <w:rPr>
          <w:rFonts w:ascii="Arial" w:hAnsi="Arial" w:cs="Arial"/>
          <w:sz w:val="24"/>
          <w:szCs w:val="24"/>
        </w:rPr>
        <w:t xml:space="preserve">the </w:t>
      </w:r>
      <w:r w:rsidR="00362316" w:rsidRPr="00984BE7">
        <w:rPr>
          <w:rFonts w:ascii="Arial" w:hAnsi="Arial" w:cs="Arial"/>
          <w:sz w:val="24"/>
          <w:szCs w:val="24"/>
        </w:rPr>
        <w:t>decision</w:t>
      </w:r>
      <w:r w:rsidR="007A7B44" w:rsidRPr="00984BE7">
        <w:rPr>
          <w:rFonts w:ascii="Arial" w:hAnsi="Arial" w:cs="Arial"/>
          <w:sz w:val="24"/>
          <w:szCs w:val="24"/>
        </w:rPr>
        <w:t xml:space="preserve"> in question.</w:t>
      </w:r>
    </w:p>
    <w:p w14:paraId="34A74B49" w14:textId="77777777" w:rsidR="00984BE7" w:rsidRDefault="00984BE7" w:rsidP="00984BE7">
      <w:pPr>
        <w:pStyle w:val="ListParagraph"/>
        <w:spacing w:line="360" w:lineRule="auto"/>
        <w:ind w:left="0"/>
        <w:jc w:val="both"/>
        <w:rPr>
          <w:rFonts w:ascii="Arial" w:hAnsi="Arial" w:cs="Arial"/>
          <w:sz w:val="24"/>
          <w:szCs w:val="24"/>
        </w:rPr>
      </w:pPr>
    </w:p>
    <w:p w14:paraId="110003F8" w14:textId="77777777" w:rsidR="00A51836" w:rsidRPr="00984BE7" w:rsidRDefault="00526DF3" w:rsidP="00891728">
      <w:pPr>
        <w:pStyle w:val="ListParagraph"/>
        <w:numPr>
          <w:ilvl w:val="0"/>
          <w:numId w:val="5"/>
        </w:numPr>
        <w:spacing w:line="360" w:lineRule="auto"/>
        <w:ind w:left="0" w:firstLine="0"/>
        <w:jc w:val="both"/>
        <w:rPr>
          <w:rFonts w:ascii="Arial" w:hAnsi="Arial" w:cs="Arial"/>
          <w:sz w:val="24"/>
          <w:szCs w:val="24"/>
        </w:rPr>
      </w:pPr>
      <w:r w:rsidRPr="00984BE7">
        <w:rPr>
          <w:rFonts w:ascii="Arial" w:hAnsi="Arial" w:cs="Arial"/>
          <w:sz w:val="24"/>
          <w:szCs w:val="24"/>
        </w:rPr>
        <w:t xml:space="preserve">It is ordered, accordingly, that </w:t>
      </w:r>
      <w:r w:rsidR="00891728" w:rsidRPr="00984BE7">
        <w:rPr>
          <w:rFonts w:ascii="Arial" w:hAnsi="Arial" w:cs="Arial"/>
          <w:sz w:val="24"/>
          <w:szCs w:val="24"/>
        </w:rPr>
        <w:t xml:space="preserve">the </w:t>
      </w:r>
      <w:r w:rsidR="00A51836" w:rsidRPr="00984BE7">
        <w:rPr>
          <w:rFonts w:ascii="Arial" w:hAnsi="Arial" w:cs="Arial"/>
          <w:sz w:val="24"/>
          <w:szCs w:val="24"/>
        </w:rPr>
        <w:t xml:space="preserve">appeal </w:t>
      </w:r>
      <w:r w:rsidR="00891728" w:rsidRPr="00984BE7">
        <w:rPr>
          <w:rFonts w:ascii="Arial" w:hAnsi="Arial" w:cs="Arial"/>
          <w:sz w:val="24"/>
          <w:szCs w:val="24"/>
        </w:rPr>
        <w:t xml:space="preserve">be and </w:t>
      </w:r>
      <w:r w:rsidR="00A51836" w:rsidRPr="00984BE7">
        <w:rPr>
          <w:rFonts w:ascii="Arial" w:hAnsi="Arial" w:cs="Arial"/>
          <w:sz w:val="24"/>
          <w:szCs w:val="24"/>
        </w:rPr>
        <w:t xml:space="preserve">is </w:t>
      </w:r>
      <w:r w:rsidR="00891728" w:rsidRPr="00984BE7">
        <w:rPr>
          <w:rFonts w:ascii="Arial" w:hAnsi="Arial" w:cs="Arial"/>
          <w:sz w:val="24"/>
          <w:szCs w:val="24"/>
        </w:rPr>
        <w:t xml:space="preserve">hereby </w:t>
      </w:r>
      <w:r w:rsidR="00A51836" w:rsidRPr="00984BE7">
        <w:rPr>
          <w:rFonts w:ascii="Arial" w:hAnsi="Arial" w:cs="Arial"/>
          <w:sz w:val="24"/>
          <w:szCs w:val="24"/>
        </w:rPr>
        <w:t>dismissed.</w:t>
      </w:r>
    </w:p>
    <w:p w14:paraId="48A4E968" w14:textId="77777777" w:rsidR="00891728" w:rsidRDefault="00891728" w:rsidP="00891728">
      <w:pPr>
        <w:spacing w:line="360" w:lineRule="auto"/>
        <w:rPr>
          <w:rFonts w:ascii="Arial" w:hAnsi="Arial" w:cs="Arial"/>
          <w:sz w:val="24"/>
          <w:szCs w:val="24"/>
        </w:rPr>
      </w:pPr>
    </w:p>
    <w:p w14:paraId="799B09FA" w14:textId="77777777" w:rsidR="00891728" w:rsidRDefault="00891728" w:rsidP="00891728">
      <w:pPr>
        <w:spacing w:line="360" w:lineRule="auto"/>
        <w:rPr>
          <w:rFonts w:ascii="Arial" w:hAnsi="Arial" w:cs="Arial"/>
          <w:sz w:val="24"/>
          <w:szCs w:val="24"/>
        </w:rPr>
      </w:pPr>
    </w:p>
    <w:p w14:paraId="4BDABBCC" w14:textId="77777777" w:rsidR="00891728" w:rsidRDefault="00891728" w:rsidP="00984BE7">
      <w:pPr>
        <w:spacing w:line="240" w:lineRule="auto"/>
        <w:jc w:val="both"/>
        <w:rPr>
          <w:rFonts w:ascii="Arial" w:hAnsi="Arial" w:cs="Arial"/>
          <w:sz w:val="24"/>
          <w:szCs w:val="24"/>
        </w:rPr>
      </w:pPr>
      <w:r>
        <w:rPr>
          <w:rFonts w:ascii="Arial" w:hAnsi="Arial" w:cs="Arial"/>
          <w:sz w:val="24"/>
          <w:szCs w:val="24"/>
        </w:rPr>
        <w:t>_________________________</w:t>
      </w:r>
    </w:p>
    <w:p w14:paraId="2163643E" w14:textId="77777777" w:rsidR="00891728" w:rsidRPr="00891728" w:rsidRDefault="00891728" w:rsidP="00984BE7">
      <w:pPr>
        <w:spacing w:line="240" w:lineRule="auto"/>
        <w:jc w:val="both"/>
        <w:rPr>
          <w:rFonts w:ascii="Arial" w:hAnsi="Arial" w:cs="Arial"/>
          <w:b/>
          <w:bCs/>
          <w:sz w:val="24"/>
          <w:szCs w:val="24"/>
        </w:rPr>
      </w:pPr>
      <w:r w:rsidRPr="00891728">
        <w:rPr>
          <w:rFonts w:ascii="Arial" w:hAnsi="Arial" w:cs="Arial"/>
          <w:b/>
          <w:bCs/>
          <w:sz w:val="24"/>
          <w:szCs w:val="24"/>
        </w:rPr>
        <w:t>JGA LAING</w:t>
      </w:r>
    </w:p>
    <w:p w14:paraId="7D095DE9" w14:textId="77777777" w:rsidR="00891728" w:rsidRPr="00891728" w:rsidRDefault="00891728" w:rsidP="00984BE7">
      <w:pPr>
        <w:spacing w:line="240" w:lineRule="auto"/>
        <w:jc w:val="both"/>
        <w:rPr>
          <w:rFonts w:ascii="Arial" w:hAnsi="Arial" w:cs="Arial"/>
          <w:b/>
          <w:bCs/>
          <w:sz w:val="24"/>
          <w:szCs w:val="24"/>
        </w:rPr>
      </w:pPr>
      <w:r w:rsidRPr="00891728">
        <w:rPr>
          <w:rFonts w:ascii="Arial" w:hAnsi="Arial" w:cs="Arial"/>
          <w:b/>
          <w:bCs/>
          <w:sz w:val="24"/>
          <w:szCs w:val="24"/>
        </w:rPr>
        <w:t>JUDGE OF THE HIGH COURT</w:t>
      </w:r>
    </w:p>
    <w:p w14:paraId="6B64A71B" w14:textId="77777777" w:rsidR="00367112" w:rsidRDefault="00367112" w:rsidP="00A45351">
      <w:pPr>
        <w:spacing w:line="360" w:lineRule="auto"/>
        <w:rPr>
          <w:rFonts w:ascii="Arial" w:hAnsi="Arial" w:cs="Arial"/>
          <w:sz w:val="24"/>
          <w:szCs w:val="24"/>
        </w:rPr>
      </w:pPr>
    </w:p>
    <w:p w14:paraId="0F6BB391" w14:textId="77777777" w:rsidR="00984BE7" w:rsidRDefault="00984BE7" w:rsidP="00A45351">
      <w:pPr>
        <w:spacing w:line="360" w:lineRule="auto"/>
        <w:rPr>
          <w:rFonts w:ascii="Arial" w:hAnsi="Arial" w:cs="Arial"/>
          <w:sz w:val="24"/>
          <w:szCs w:val="24"/>
        </w:rPr>
      </w:pPr>
    </w:p>
    <w:p w14:paraId="31D485C9" w14:textId="77777777" w:rsidR="00984BE7" w:rsidRDefault="00984BE7" w:rsidP="00A45351">
      <w:pPr>
        <w:spacing w:line="360" w:lineRule="auto"/>
        <w:rPr>
          <w:rFonts w:ascii="Arial" w:hAnsi="Arial" w:cs="Arial"/>
          <w:sz w:val="24"/>
          <w:szCs w:val="24"/>
        </w:rPr>
      </w:pPr>
    </w:p>
    <w:p w14:paraId="411D4E21" w14:textId="77777777" w:rsidR="00984BE7" w:rsidRDefault="00984BE7" w:rsidP="00A45351">
      <w:pPr>
        <w:spacing w:line="360" w:lineRule="auto"/>
        <w:rPr>
          <w:rFonts w:ascii="Arial" w:hAnsi="Arial" w:cs="Arial"/>
          <w:sz w:val="24"/>
          <w:szCs w:val="24"/>
        </w:rPr>
      </w:pPr>
    </w:p>
    <w:p w14:paraId="1C4B273A" w14:textId="77777777" w:rsidR="00984BE7" w:rsidRDefault="00984BE7" w:rsidP="00A45351">
      <w:pPr>
        <w:spacing w:line="360" w:lineRule="auto"/>
        <w:rPr>
          <w:rFonts w:ascii="Arial" w:hAnsi="Arial" w:cs="Arial"/>
          <w:sz w:val="24"/>
          <w:szCs w:val="24"/>
        </w:rPr>
      </w:pPr>
    </w:p>
    <w:p w14:paraId="0A2C8A61" w14:textId="77777777" w:rsidR="00984BE7" w:rsidRDefault="00984BE7" w:rsidP="00A45351">
      <w:pPr>
        <w:spacing w:line="360" w:lineRule="auto"/>
        <w:rPr>
          <w:rFonts w:ascii="Arial" w:hAnsi="Arial" w:cs="Arial"/>
          <w:sz w:val="24"/>
          <w:szCs w:val="24"/>
        </w:rPr>
      </w:pPr>
    </w:p>
    <w:p w14:paraId="69C56874" w14:textId="77777777" w:rsidR="00984BE7" w:rsidRDefault="00984BE7" w:rsidP="00A45351">
      <w:pPr>
        <w:spacing w:line="360" w:lineRule="auto"/>
        <w:rPr>
          <w:rFonts w:ascii="Arial" w:hAnsi="Arial" w:cs="Arial"/>
          <w:sz w:val="24"/>
          <w:szCs w:val="24"/>
        </w:rPr>
      </w:pPr>
    </w:p>
    <w:p w14:paraId="55451357" w14:textId="77777777" w:rsidR="00984BE7" w:rsidRDefault="00984BE7" w:rsidP="00A45351">
      <w:pPr>
        <w:spacing w:line="360" w:lineRule="auto"/>
        <w:rPr>
          <w:rFonts w:ascii="Arial" w:hAnsi="Arial" w:cs="Arial"/>
          <w:sz w:val="24"/>
          <w:szCs w:val="24"/>
        </w:rPr>
      </w:pPr>
    </w:p>
    <w:p w14:paraId="5603CB58" w14:textId="77777777" w:rsidR="00984BE7" w:rsidRDefault="00984BE7" w:rsidP="00A45351">
      <w:pPr>
        <w:spacing w:line="360" w:lineRule="auto"/>
        <w:rPr>
          <w:rFonts w:ascii="Arial" w:hAnsi="Arial" w:cs="Arial"/>
          <w:sz w:val="24"/>
          <w:szCs w:val="24"/>
        </w:rPr>
      </w:pPr>
    </w:p>
    <w:p w14:paraId="6A9CC788" w14:textId="77777777" w:rsidR="00984BE7" w:rsidRDefault="00984BE7" w:rsidP="00A45351">
      <w:pPr>
        <w:spacing w:line="360" w:lineRule="auto"/>
        <w:rPr>
          <w:rFonts w:ascii="Arial" w:hAnsi="Arial" w:cs="Arial"/>
          <w:sz w:val="24"/>
          <w:szCs w:val="24"/>
        </w:rPr>
      </w:pPr>
    </w:p>
    <w:p w14:paraId="70E16F3B" w14:textId="77777777" w:rsidR="00984BE7" w:rsidRDefault="00FB273E" w:rsidP="00A45351">
      <w:pPr>
        <w:spacing w:line="360" w:lineRule="auto"/>
        <w:rPr>
          <w:rFonts w:ascii="Arial" w:hAnsi="Arial" w:cs="Arial"/>
          <w:sz w:val="24"/>
          <w:szCs w:val="24"/>
        </w:rPr>
      </w:pPr>
      <w:r>
        <w:rPr>
          <w:rFonts w:ascii="Arial" w:hAnsi="Arial" w:cs="Arial"/>
          <w:sz w:val="24"/>
          <w:szCs w:val="24"/>
        </w:rPr>
        <w:lastRenderedPageBreak/>
        <w:t>Appearances</w:t>
      </w:r>
    </w:p>
    <w:p w14:paraId="137511D6" w14:textId="77777777" w:rsidR="00FB273E" w:rsidRDefault="00FB273E" w:rsidP="00B72D62">
      <w:pPr>
        <w:spacing w:line="360" w:lineRule="auto"/>
        <w:ind w:left="2880" w:hanging="2880"/>
        <w:rPr>
          <w:rFonts w:ascii="Arial" w:hAnsi="Arial" w:cs="Arial"/>
          <w:sz w:val="24"/>
          <w:szCs w:val="24"/>
        </w:rPr>
      </w:pPr>
      <w:r>
        <w:rPr>
          <w:rFonts w:ascii="Arial" w:hAnsi="Arial" w:cs="Arial"/>
          <w:sz w:val="24"/>
          <w:szCs w:val="24"/>
        </w:rPr>
        <w:t>For appellant:</w:t>
      </w:r>
      <w:r>
        <w:rPr>
          <w:rFonts w:ascii="Arial" w:hAnsi="Arial" w:cs="Arial"/>
          <w:sz w:val="24"/>
          <w:szCs w:val="24"/>
        </w:rPr>
        <w:tab/>
      </w:r>
      <w:r w:rsidR="00B327D0">
        <w:rPr>
          <w:rFonts w:ascii="Arial" w:hAnsi="Arial" w:cs="Arial"/>
          <w:sz w:val="24"/>
          <w:szCs w:val="24"/>
        </w:rPr>
        <w:t xml:space="preserve">Adv </w:t>
      </w:r>
      <w:proofErr w:type="spellStart"/>
      <w:r w:rsidR="00B327D0">
        <w:rPr>
          <w:rFonts w:ascii="Arial" w:hAnsi="Arial" w:cs="Arial"/>
          <w:sz w:val="24"/>
          <w:szCs w:val="24"/>
        </w:rPr>
        <w:t>Calaza</w:t>
      </w:r>
      <w:proofErr w:type="spellEnd"/>
      <w:r w:rsidR="00B327D0">
        <w:rPr>
          <w:rFonts w:ascii="Arial" w:hAnsi="Arial" w:cs="Arial"/>
          <w:sz w:val="24"/>
          <w:szCs w:val="24"/>
        </w:rPr>
        <w:t xml:space="preserve">, instructed by V. </w:t>
      </w:r>
      <w:proofErr w:type="spellStart"/>
      <w:r w:rsidR="00B327D0">
        <w:rPr>
          <w:rFonts w:ascii="Arial" w:hAnsi="Arial" w:cs="Arial"/>
          <w:sz w:val="24"/>
          <w:szCs w:val="24"/>
        </w:rPr>
        <w:t>Gwebindlala</w:t>
      </w:r>
      <w:proofErr w:type="spellEnd"/>
      <w:r w:rsidR="00B327D0">
        <w:rPr>
          <w:rFonts w:ascii="Arial" w:hAnsi="Arial" w:cs="Arial"/>
          <w:sz w:val="24"/>
          <w:szCs w:val="24"/>
        </w:rPr>
        <w:t xml:space="preserve"> </w:t>
      </w:r>
      <w:r w:rsidR="00B72D62">
        <w:rPr>
          <w:rFonts w:ascii="Arial" w:hAnsi="Arial" w:cs="Arial"/>
          <w:sz w:val="24"/>
          <w:szCs w:val="24"/>
        </w:rPr>
        <w:t xml:space="preserve">&amp; Associates, Mthatha. </w:t>
      </w:r>
    </w:p>
    <w:p w14:paraId="0D3A0BB2" w14:textId="77777777" w:rsidR="00B72D62" w:rsidRDefault="00B72D62" w:rsidP="00D90D99">
      <w:pPr>
        <w:spacing w:line="360" w:lineRule="auto"/>
        <w:ind w:left="2880" w:hanging="2880"/>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2740A4">
        <w:rPr>
          <w:rFonts w:ascii="Arial" w:hAnsi="Arial" w:cs="Arial"/>
          <w:sz w:val="24"/>
          <w:szCs w:val="24"/>
        </w:rPr>
        <w:t xml:space="preserve">Adv Maarman, instructed by The Director of </w:t>
      </w:r>
      <w:r w:rsidR="00D90D99">
        <w:rPr>
          <w:rFonts w:ascii="Arial" w:hAnsi="Arial" w:cs="Arial"/>
          <w:sz w:val="24"/>
          <w:szCs w:val="24"/>
        </w:rPr>
        <w:t>Public Prosecutions, Mthatha</w:t>
      </w:r>
      <w:r w:rsidR="00A12472">
        <w:rPr>
          <w:rFonts w:ascii="Arial" w:hAnsi="Arial" w:cs="Arial"/>
          <w:sz w:val="24"/>
          <w:szCs w:val="24"/>
        </w:rPr>
        <w:t xml:space="preserve">. </w:t>
      </w:r>
    </w:p>
    <w:p w14:paraId="06DF740C" w14:textId="77777777" w:rsidR="00A12472" w:rsidRDefault="00A12472" w:rsidP="00D90D99">
      <w:pPr>
        <w:spacing w:line="360" w:lineRule="auto"/>
        <w:ind w:left="2880" w:hanging="2880"/>
        <w:rPr>
          <w:rFonts w:ascii="Arial" w:hAnsi="Arial" w:cs="Arial"/>
          <w:sz w:val="24"/>
          <w:szCs w:val="24"/>
        </w:rPr>
      </w:pPr>
      <w:r>
        <w:rPr>
          <w:rFonts w:ascii="Arial" w:hAnsi="Arial" w:cs="Arial"/>
          <w:sz w:val="24"/>
          <w:szCs w:val="24"/>
        </w:rPr>
        <w:t>Date of hearing:</w:t>
      </w:r>
      <w:r>
        <w:rPr>
          <w:rFonts w:ascii="Arial" w:hAnsi="Arial" w:cs="Arial"/>
          <w:sz w:val="24"/>
          <w:szCs w:val="24"/>
        </w:rPr>
        <w:tab/>
        <w:t>20 October 2023.</w:t>
      </w:r>
    </w:p>
    <w:p w14:paraId="4573B5AB" w14:textId="77777777" w:rsidR="00A84CAC" w:rsidRPr="00E2496E" w:rsidRDefault="00A84CAC" w:rsidP="00D90D99">
      <w:pPr>
        <w:spacing w:line="360" w:lineRule="auto"/>
        <w:ind w:left="2880" w:hanging="2880"/>
        <w:rPr>
          <w:rFonts w:ascii="Arial" w:hAnsi="Arial" w:cs="Arial"/>
          <w:sz w:val="24"/>
          <w:szCs w:val="24"/>
        </w:rPr>
      </w:pPr>
      <w:r>
        <w:rPr>
          <w:rFonts w:ascii="Arial" w:hAnsi="Arial" w:cs="Arial"/>
          <w:sz w:val="24"/>
          <w:szCs w:val="24"/>
        </w:rPr>
        <w:t xml:space="preserve">Date </w:t>
      </w:r>
      <w:r w:rsidR="00ED4D15">
        <w:rPr>
          <w:rFonts w:ascii="Arial" w:hAnsi="Arial" w:cs="Arial"/>
          <w:sz w:val="24"/>
          <w:szCs w:val="24"/>
        </w:rPr>
        <w:t>of judgment:</w:t>
      </w:r>
      <w:r w:rsidR="00ED4D15">
        <w:rPr>
          <w:rFonts w:ascii="Arial" w:hAnsi="Arial" w:cs="Arial"/>
          <w:sz w:val="24"/>
          <w:szCs w:val="24"/>
        </w:rPr>
        <w:tab/>
        <w:t>31 October 2023.</w:t>
      </w:r>
    </w:p>
    <w:sectPr w:rsidR="00A84CAC" w:rsidRPr="00E2496E" w:rsidSect="00D7704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0029" w14:textId="77777777" w:rsidR="00610F6C" w:rsidRDefault="00610F6C" w:rsidP="006D08DC">
      <w:pPr>
        <w:spacing w:after="0" w:line="240" w:lineRule="auto"/>
      </w:pPr>
      <w:r>
        <w:separator/>
      </w:r>
    </w:p>
  </w:endnote>
  <w:endnote w:type="continuationSeparator" w:id="0">
    <w:p w14:paraId="7E81811F" w14:textId="77777777" w:rsidR="00610F6C" w:rsidRDefault="00610F6C" w:rsidP="006D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24E9" w14:textId="77777777" w:rsidR="00610F6C" w:rsidRDefault="00610F6C" w:rsidP="006D08DC">
      <w:pPr>
        <w:spacing w:after="0" w:line="240" w:lineRule="auto"/>
      </w:pPr>
      <w:r>
        <w:separator/>
      </w:r>
    </w:p>
  </w:footnote>
  <w:footnote w:type="continuationSeparator" w:id="0">
    <w:p w14:paraId="605E9840" w14:textId="77777777" w:rsidR="00610F6C" w:rsidRDefault="00610F6C" w:rsidP="006D08DC">
      <w:pPr>
        <w:spacing w:after="0" w:line="240" w:lineRule="auto"/>
      </w:pPr>
      <w:r>
        <w:continuationSeparator/>
      </w:r>
    </w:p>
  </w:footnote>
  <w:footnote w:id="1">
    <w:p w14:paraId="36BEE1FE" w14:textId="77777777" w:rsidR="007C0D55" w:rsidRPr="007C0D55" w:rsidRDefault="007C0D55" w:rsidP="00494276">
      <w:pPr>
        <w:pStyle w:val="FootnoteText"/>
        <w:jc w:val="both"/>
        <w:rPr>
          <w:lang w:val="en-US"/>
        </w:rPr>
      </w:pPr>
      <w:r>
        <w:rPr>
          <w:rStyle w:val="FootnoteReference"/>
        </w:rPr>
        <w:footnoteRef/>
      </w:r>
      <w:r>
        <w:t xml:space="preserve"> </w:t>
      </w:r>
      <w:r>
        <w:rPr>
          <w:lang w:val="en-US"/>
        </w:rPr>
        <w:t xml:space="preserve">It is not apparent from the record whether the conviction was for </w:t>
      </w:r>
      <w:proofErr w:type="gramStart"/>
      <w:r>
        <w:rPr>
          <w:lang w:val="en-US"/>
        </w:rPr>
        <w:t>robbery</w:t>
      </w:r>
      <w:proofErr w:type="gramEnd"/>
      <w:r>
        <w:rPr>
          <w:lang w:val="en-US"/>
        </w:rPr>
        <w:t xml:space="preserve"> or ‘attempted robbery’ as averred by the appellant.</w:t>
      </w:r>
    </w:p>
  </w:footnote>
  <w:footnote w:id="2">
    <w:p w14:paraId="53F09641" w14:textId="77777777" w:rsidR="006D08DC" w:rsidRPr="006D08DC" w:rsidRDefault="006D08DC" w:rsidP="00236CDF">
      <w:pPr>
        <w:pStyle w:val="FootnoteText"/>
        <w:jc w:val="both"/>
        <w:rPr>
          <w:lang w:val="en-US"/>
        </w:rPr>
      </w:pPr>
      <w:r>
        <w:rPr>
          <w:rStyle w:val="FootnoteReference"/>
        </w:rPr>
        <w:footnoteRef/>
      </w:r>
      <w:r>
        <w:t xml:space="preserve"> </w:t>
      </w:r>
      <w:r>
        <w:rPr>
          <w:lang w:val="en-US"/>
        </w:rPr>
        <w:t xml:space="preserve">It appears that the witness was promoted </w:t>
      </w:r>
      <w:r w:rsidR="005F486A">
        <w:rPr>
          <w:lang w:val="en-US"/>
        </w:rPr>
        <w:t xml:space="preserve">from the rank of captain to lieutenant-colonel </w:t>
      </w:r>
      <w:r w:rsidR="000568D6">
        <w:rPr>
          <w:lang w:val="en-US"/>
        </w:rPr>
        <w:t xml:space="preserve">after </w:t>
      </w:r>
      <w:r w:rsidR="00D70F99">
        <w:rPr>
          <w:lang w:val="en-US"/>
        </w:rPr>
        <w:t>having previously given evidence.</w:t>
      </w:r>
    </w:p>
  </w:footnote>
  <w:footnote w:id="3">
    <w:p w14:paraId="4FC1124E" w14:textId="77777777" w:rsidR="00863D9D" w:rsidRPr="00863D9D" w:rsidRDefault="00863D9D" w:rsidP="00043F17">
      <w:pPr>
        <w:pStyle w:val="FootnoteText"/>
        <w:jc w:val="both"/>
        <w:rPr>
          <w:lang w:val="en-US"/>
        </w:rPr>
      </w:pPr>
      <w:r>
        <w:rPr>
          <w:rStyle w:val="FootnoteReference"/>
        </w:rPr>
        <w:footnoteRef/>
      </w:r>
      <w:r>
        <w:t xml:space="preserve"> </w:t>
      </w:r>
      <w:r w:rsidR="00C44419">
        <w:rPr>
          <w:lang w:val="en-US"/>
        </w:rPr>
        <w:t xml:space="preserve">1979 (4) </w:t>
      </w:r>
      <w:r w:rsidR="00E00034">
        <w:rPr>
          <w:lang w:val="en-US"/>
        </w:rPr>
        <w:t>SA 218 (D).</w:t>
      </w:r>
    </w:p>
  </w:footnote>
  <w:footnote w:id="4">
    <w:p w14:paraId="3CE81A3F" w14:textId="77777777" w:rsidR="00145FE4" w:rsidRPr="00145FE4" w:rsidRDefault="00145FE4" w:rsidP="00043F17">
      <w:pPr>
        <w:pStyle w:val="FootnoteText"/>
        <w:jc w:val="both"/>
        <w:rPr>
          <w:lang w:val="en-US"/>
        </w:rPr>
      </w:pPr>
      <w:r>
        <w:rPr>
          <w:rStyle w:val="FootnoteReference"/>
        </w:rPr>
        <w:footnoteRef/>
      </w:r>
      <w:r>
        <w:t xml:space="preserve"> </w:t>
      </w:r>
      <w:r>
        <w:rPr>
          <w:lang w:val="en-US"/>
        </w:rPr>
        <w:t>At 220E-F.</w:t>
      </w:r>
    </w:p>
  </w:footnote>
  <w:footnote w:id="5">
    <w:p w14:paraId="2F43A98C" w14:textId="77777777" w:rsidR="00145FE4" w:rsidRPr="00145FE4" w:rsidRDefault="00145FE4" w:rsidP="00043F17">
      <w:pPr>
        <w:pStyle w:val="FootnoteText"/>
        <w:jc w:val="both"/>
        <w:rPr>
          <w:lang w:val="en-US"/>
        </w:rPr>
      </w:pPr>
      <w:r>
        <w:rPr>
          <w:rStyle w:val="FootnoteReference"/>
        </w:rPr>
        <w:footnoteRef/>
      </w:r>
      <w:r>
        <w:t xml:space="preserve"> </w:t>
      </w:r>
      <w:r>
        <w:rPr>
          <w:lang w:val="en-US"/>
        </w:rPr>
        <w:t>Sic.</w:t>
      </w:r>
    </w:p>
  </w:footnote>
  <w:footnote w:id="6">
    <w:p w14:paraId="51CC1E59" w14:textId="77777777" w:rsidR="002B71E9" w:rsidRPr="002B71E9" w:rsidRDefault="002B71E9" w:rsidP="00043F17">
      <w:pPr>
        <w:pStyle w:val="FootnoteText"/>
        <w:jc w:val="both"/>
        <w:rPr>
          <w:lang w:val="en-US"/>
        </w:rPr>
      </w:pPr>
      <w:r>
        <w:rPr>
          <w:rStyle w:val="FootnoteReference"/>
        </w:rPr>
        <w:footnoteRef/>
      </w:r>
      <w:r>
        <w:t xml:space="preserve"> </w:t>
      </w:r>
      <w:r>
        <w:rPr>
          <w:lang w:val="en-US"/>
        </w:rPr>
        <w:t>1996 (1) SACR 528 (T)</w:t>
      </w:r>
      <w:r w:rsidR="00526A62">
        <w:rPr>
          <w:lang w:val="en-US"/>
        </w:rPr>
        <w:t>.</w:t>
      </w:r>
    </w:p>
  </w:footnote>
  <w:footnote w:id="7">
    <w:p w14:paraId="1EB528E8" w14:textId="77777777" w:rsidR="001974DC" w:rsidRPr="001974DC" w:rsidRDefault="001974DC" w:rsidP="00043F17">
      <w:pPr>
        <w:pStyle w:val="FootnoteText"/>
        <w:jc w:val="both"/>
        <w:rPr>
          <w:lang w:val="en-US"/>
        </w:rPr>
      </w:pPr>
      <w:r>
        <w:rPr>
          <w:rStyle w:val="FootnoteReference"/>
        </w:rPr>
        <w:footnoteRef/>
      </w:r>
      <w:r>
        <w:t xml:space="preserve"> </w:t>
      </w:r>
      <w:r>
        <w:rPr>
          <w:lang w:val="en-US"/>
        </w:rPr>
        <w:t>At 531e-f.</w:t>
      </w:r>
    </w:p>
  </w:footnote>
  <w:footnote w:id="8">
    <w:p w14:paraId="27FA2130" w14:textId="406BA008" w:rsidR="000F4363" w:rsidRPr="000F4363" w:rsidRDefault="000F4363">
      <w:pPr>
        <w:pStyle w:val="FootnoteText"/>
        <w:rPr>
          <w:lang w:val="en-GB"/>
        </w:rPr>
      </w:pPr>
      <w:r>
        <w:rPr>
          <w:rStyle w:val="FootnoteReference"/>
        </w:rPr>
        <w:footnoteRef/>
      </w:r>
      <w:r>
        <w:t xml:space="preserve"> </w:t>
      </w:r>
      <w:r w:rsidR="00385D6B">
        <w:rPr>
          <w:lang w:val="en-GB"/>
        </w:rPr>
        <w:t>Sic.</w:t>
      </w:r>
    </w:p>
  </w:footnote>
  <w:footnote w:id="9">
    <w:p w14:paraId="26EF0754" w14:textId="77777777" w:rsidR="003C212A" w:rsidRPr="003C212A" w:rsidRDefault="003C212A" w:rsidP="00626B87">
      <w:pPr>
        <w:pStyle w:val="FootnoteText"/>
        <w:jc w:val="both"/>
        <w:rPr>
          <w:lang w:val="en-US"/>
        </w:rPr>
      </w:pPr>
      <w:r>
        <w:rPr>
          <w:rStyle w:val="FootnoteReference"/>
        </w:rPr>
        <w:footnoteRef/>
      </w:r>
      <w:r>
        <w:t xml:space="preserve"> </w:t>
      </w:r>
      <w:r w:rsidR="00191208">
        <w:rPr>
          <w:lang w:val="en-US"/>
        </w:rPr>
        <w:t>2011 (1) SACR 34 (ECP).</w:t>
      </w:r>
    </w:p>
  </w:footnote>
  <w:footnote w:id="10">
    <w:p w14:paraId="3AF8DA16" w14:textId="77777777" w:rsidR="006E308D" w:rsidRPr="006E308D" w:rsidRDefault="006E308D" w:rsidP="00626B87">
      <w:pPr>
        <w:pStyle w:val="FootnoteText"/>
        <w:jc w:val="both"/>
        <w:rPr>
          <w:lang w:val="en-US"/>
        </w:rPr>
      </w:pPr>
      <w:r>
        <w:rPr>
          <w:rStyle w:val="FootnoteReference"/>
        </w:rPr>
        <w:footnoteRef/>
      </w:r>
      <w:r>
        <w:t xml:space="preserve"> </w:t>
      </w:r>
      <w:r>
        <w:rPr>
          <w:lang w:val="en-US"/>
        </w:rPr>
        <w:t xml:space="preserve">At paragraph [15]. See, too, </w:t>
      </w:r>
      <w:r w:rsidRPr="006E308D">
        <w:rPr>
          <w:i/>
          <w:iCs/>
          <w:lang w:val="en-US"/>
        </w:rPr>
        <w:t xml:space="preserve">S v </w:t>
      </w:r>
      <w:proofErr w:type="spellStart"/>
      <w:r w:rsidRPr="006E308D">
        <w:rPr>
          <w:i/>
          <w:iCs/>
          <w:lang w:val="en-US"/>
        </w:rPr>
        <w:t>Sinuka</w:t>
      </w:r>
      <w:proofErr w:type="spellEnd"/>
      <w:r>
        <w:rPr>
          <w:lang w:val="en-US"/>
        </w:rPr>
        <w:t xml:space="preserve"> (unreported, ECB case no CA&amp;R 06/2011, 12 April 2011); </w:t>
      </w:r>
      <w:r w:rsidRPr="006E308D">
        <w:rPr>
          <w:i/>
          <w:iCs/>
          <w:lang w:val="en-US"/>
        </w:rPr>
        <w:t xml:space="preserve">S v </w:t>
      </w:r>
      <w:proofErr w:type="spellStart"/>
      <w:r w:rsidRPr="006E308D">
        <w:rPr>
          <w:i/>
          <w:iCs/>
          <w:lang w:val="en-US"/>
        </w:rPr>
        <w:t>Mququ</w:t>
      </w:r>
      <w:proofErr w:type="spellEnd"/>
      <w:r>
        <w:rPr>
          <w:lang w:val="en-US"/>
        </w:rPr>
        <w:t xml:space="preserve"> 2019 (2) SACR 207 (ECG).</w:t>
      </w:r>
    </w:p>
  </w:footnote>
  <w:footnote w:id="11">
    <w:p w14:paraId="77D35D26" w14:textId="77777777" w:rsidR="002C5687" w:rsidRPr="002C5687" w:rsidRDefault="002C5687" w:rsidP="00626B87">
      <w:pPr>
        <w:pStyle w:val="FootnoteText"/>
        <w:jc w:val="both"/>
        <w:rPr>
          <w:lang w:val="en-US"/>
        </w:rPr>
      </w:pPr>
      <w:r>
        <w:rPr>
          <w:rStyle w:val="FootnoteReference"/>
        </w:rPr>
        <w:footnoteRef/>
      </w:r>
      <w:r>
        <w:t xml:space="preserve"> </w:t>
      </w:r>
      <w:r w:rsidR="009178A6">
        <w:t>1998 (2) SACR 677 (SEC).</w:t>
      </w:r>
    </w:p>
  </w:footnote>
  <w:footnote w:id="12">
    <w:p w14:paraId="02A96EDF" w14:textId="77777777" w:rsidR="00691CEA" w:rsidRPr="00691CEA" w:rsidRDefault="00691CEA" w:rsidP="00B870DA">
      <w:pPr>
        <w:pStyle w:val="FootnoteText"/>
        <w:jc w:val="both"/>
        <w:rPr>
          <w:lang w:val="en-US"/>
        </w:rPr>
      </w:pPr>
      <w:r>
        <w:rPr>
          <w:rStyle w:val="FootnoteReference"/>
        </w:rPr>
        <w:footnoteRef/>
      </w:r>
      <w:r>
        <w:t xml:space="preserve"> </w:t>
      </w:r>
      <w:r>
        <w:rPr>
          <w:lang w:val="en-US"/>
        </w:rPr>
        <w:t>At 678</w:t>
      </w:r>
      <w:r w:rsidR="00E72DA6">
        <w:rPr>
          <w:lang w:val="en-US"/>
        </w:rPr>
        <w:t>e-f.</w:t>
      </w:r>
    </w:p>
  </w:footnote>
  <w:footnote w:id="13">
    <w:p w14:paraId="390F226D" w14:textId="77777777" w:rsidR="00994465" w:rsidRPr="00994465" w:rsidRDefault="00994465" w:rsidP="00811D35">
      <w:pPr>
        <w:pStyle w:val="FootnoteText"/>
        <w:jc w:val="both"/>
        <w:rPr>
          <w:lang w:val="en-US"/>
        </w:rPr>
      </w:pPr>
      <w:r>
        <w:rPr>
          <w:rStyle w:val="FootnoteReference"/>
        </w:rPr>
        <w:footnoteRef/>
      </w:r>
      <w:r>
        <w:t xml:space="preserve"> </w:t>
      </w:r>
      <w:r w:rsidR="0009351A">
        <w:rPr>
          <w:lang w:val="en-US"/>
        </w:rPr>
        <w:t>2023 (2) SACR 387 (WCC).</w:t>
      </w:r>
    </w:p>
  </w:footnote>
  <w:footnote w:id="14">
    <w:p w14:paraId="14A87908" w14:textId="77777777" w:rsidR="00340049" w:rsidRPr="00340049" w:rsidRDefault="00340049" w:rsidP="00811D35">
      <w:pPr>
        <w:pStyle w:val="FootnoteText"/>
        <w:jc w:val="both"/>
        <w:rPr>
          <w:lang w:val="en-US"/>
        </w:rPr>
      </w:pPr>
      <w:r>
        <w:rPr>
          <w:rStyle w:val="FootnoteReference"/>
        </w:rPr>
        <w:footnoteRef/>
      </w:r>
      <w:r>
        <w:t xml:space="preserve"> </w:t>
      </w:r>
      <w:r>
        <w:rPr>
          <w:lang w:val="en-US"/>
        </w:rPr>
        <w:t>At paragraph [43].</w:t>
      </w:r>
    </w:p>
  </w:footnote>
  <w:footnote w:id="15">
    <w:p w14:paraId="1E37F2B0" w14:textId="77777777" w:rsidR="00370B46" w:rsidRPr="001F6E21" w:rsidRDefault="00370B46" w:rsidP="00370B46">
      <w:pPr>
        <w:pStyle w:val="FootnoteText"/>
        <w:jc w:val="both"/>
        <w:rPr>
          <w:lang w:val="en-US"/>
        </w:rPr>
      </w:pPr>
      <w:r>
        <w:rPr>
          <w:rStyle w:val="FootnoteReference"/>
        </w:rPr>
        <w:footnoteRef/>
      </w:r>
      <w:r>
        <w:t xml:space="preserve"> </w:t>
      </w:r>
      <w:r>
        <w:rPr>
          <w:lang w:val="en-US"/>
        </w:rPr>
        <w:t>Section 35(3)(f) of the Constitution of the Republic of South Africa, 1996.</w:t>
      </w:r>
    </w:p>
  </w:footnote>
  <w:footnote w:id="16">
    <w:p w14:paraId="6366080D" w14:textId="77777777" w:rsidR="00D86D1B" w:rsidRPr="00C124DA" w:rsidRDefault="00D86D1B" w:rsidP="00D86D1B">
      <w:pPr>
        <w:pStyle w:val="FootnoteText"/>
        <w:jc w:val="both"/>
        <w:rPr>
          <w:lang w:val="en-US"/>
        </w:rPr>
      </w:pPr>
      <w:r>
        <w:rPr>
          <w:rStyle w:val="FootnoteReference"/>
        </w:rPr>
        <w:footnoteRef/>
      </w:r>
      <w:r>
        <w:t xml:space="preserve"> </w:t>
      </w:r>
      <w:r>
        <w:rPr>
          <w:lang w:val="en-US"/>
        </w:rPr>
        <w:t>2002 (2) SACR 211 (SCA).</w:t>
      </w:r>
    </w:p>
  </w:footnote>
  <w:footnote w:id="17">
    <w:p w14:paraId="5C4FCAD0" w14:textId="77777777" w:rsidR="00060BE2" w:rsidRPr="0083006D" w:rsidRDefault="00060BE2" w:rsidP="00060BE2">
      <w:pPr>
        <w:pStyle w:val="FootnoteText"/>
        <w:jc w:val="both"/>
        <w:rPr>
          <w:lang w:val="en-US"/>
        </w:rPr>
      </w:pPr>
      <w:r>
        <w:rPr>
          <w:rStyle w:val="FootnoteReference"/>
        </w:rPr>
        <w:footnoteRef/>
      </w:r>
      <w:r>
        <w:t xml:space="preserve"> </w:t>
      </w:r>
      <w:r>
        <w:rPr>
          <w:lang w:val="en-US"/>
        </w:rPr>
        <w:t>At paragraph [11].</w:t>
      </w:r>
    </w:p>
  </w:footnote>
  <w:footnote w:id="18">
    <w:p w14:paraId="7C248392" w14:textId="77777777" w:rsidR="001E4BDC" w:rsidRPr="001E4BDC" w:rsidRDefault="001E4BDC" w:rsidP="00984BE7">
      <w:pPr>
        <w:pStyle w:val="FootnoteText"/>
        <w:jc w:val="both"/>
        <w:rPr>
          <w:lang w:val="en-US"/>
        </w:rPr>
      </w:pPr>
      <w:r>
        <w:rPr>
          <w:rStyle w:val="FootnoteReference"/>
        </w:rPr>
        <w:footnoteRef/>
      </w:r>
      <w:r>
        <w:t xml:space="preserve"> </w:t>
      </w:r>
      <w:r w:rsidR="00D14993">
        <w:rPr>
          <w:lang w:val="en-US"/>
        </w:rPr>
        <w:t>1998 (1) SACR 40 (</w:t>
      </w:r>
      <w:proofErr w:type="spellStart"/>
      <w:r w:rsidR="00D14993">
        <w:rPr>
          <w:lang w:val="en-US"/>
        </w:rPr>
        <w:t>TkHC</w:t>
      </w:r>
      <w:proofErr w:type="spellEnd"/>
      <w:r w:rsidR="00D14993">
        <w:rPr>
          <w:lang w:val="en-US"/>
        </w:rPr>
        <w:t>).</w:t>
      </w:r>
    </w:p>
  </w:footnote>
  <w:footnote w:id="19">
    <w:p w14:paraId="1FD87B77" w14:textId="77777777" w:rsidR="00EF5F0C" w:rsidRPr="00EF5F0C" w:rsidRDefault="00EF5F0C" w:rsidP="00984BE7">
      <w:pPr>
        <w:pStyle w:val="FootnoteText"/>
        <w:jc w:val="both"/>
        <w:rPr>
          <w:lang w:val="en-US"/>
        </w:rPr>
      </w:pPr>
      <w:r>
        <w:rPr>
          <w:rStyle w:val="FootnoteReference"/>
        </w:rPr>
        <w:footnoteRef/>
      </w:r>
      <w:r>
        <w:t xml:space="preserve"> </w:t>
      </w:r>
      <w:r>
        <w:rPr>
          <w:lang w:val="en-US"/>
        </w:rPr>
        <w:t>At 44g</w:t>
      </w:r>
      <w:r w:rsidR="00D1025D">
        <w:rPr>
          <w:lang w:val="en-US"/>
        </w:rPr>
        <w:t>- 45a.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99410"/>
      <w:docPartObj>
        <w:docPartGallery w:val="Page Numbers (Top of Page)"/>
        <w:docPartUnique/>
      </w:docPartObj>
    </w:sdtPr>
    <w:sdtEndPr>
      <w:rPr>
        <w:noProof/>
      </w:rPr>
    </w:sdtEndPr>
    <w:sdtContent>
      <w:p w14:paraId="70A3B913" w14:textId="77777777" w:rsidR="00D77041" w:rsidRDefault="00D77041">
        <w:pPr>
          <w:pStyle w:val="Header"/>
          <w:jc w:val="center"/>
        </w:pPr>
        <w:r>
          <w:fldChar w:fldCharType="begin"/>
        </w:r>
        <w:r>
          <w:instrText xml:space="preserve"> PAGE   \* MERGEFORMAT </w:instrText>
        </w:r>
        <w:r>
          <w:fldChar w:fldCharType="separate"/>
        </w:r>
        <w:r w:rsidR="00291EDC">
          <w:rPr>
            <w:noProof/>
          </w:rPr>
          <w:t>14</w:t>
        </w:r>
        <w:r>
          <w:rPr>
            <w:noProof/>
          </w:rPr>
          <w:fldChar w:fldCharType="end"/>
        </w:r>
      </w:p>
    </w:sdtContent>
  </w:sdt>
  <w:p w14:paraId="54000D5B" w14:textId="77777777" w:rsidR="00D77041" w:rsidRDefault="00D77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4FF"/>
    <w:multiLevelType w:val="hybridMultilevel"/>
    <w:tmpl w:val="05862A6E"/>
    <w:lvl w:ilvl="0" w:tplc="1706C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2168B"/>
    <w:multiLevelType w:val="hybridMultilevel"/>
    <w:tmpl w:val="3B3CF0A0"/>
    <w:lvl w:ilvl="0" w:tplc="E2A427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82428C"/>
    <w:multiLevelType w:val="hybridMultilevel"/>
    <w:tmpl w:val="405A16A4"/>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1746DB"/>
    <w:multiLevelType w:val="hybridMultilevel"/>
    <w:tmpl w:val="EB48A6C8"/>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3F597E"/>
    <w:multiLevelType w:val="hybridMultilevel"/>
    <w:tmpl w:val="0C94F6BA"/>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227BDE"/>
    <w:multiLevelType w:val="hybridMultilevel"/>
    <w:tmpl w:val="A3F2F9CC"/>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807CBE"/>
    <w:multiLevelType w:val="hybridMultilevel"/>
    <w:tmpl w:val="B37C22DA"/>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63306F"/>
    <w:multiLevelType w:val="hybridMultilevel"/>
    <w:tmpl w:val="B862375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2865E06"/>
    <w:multiLevelType w:val="hybridMultilevel"/>
    <w:tmpl w:val="214A8AC2"/>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D514D2"/>
    <w:multiLevelType w:val="hybridMultilevel"/>
    <w:tmpl w:val="DE842A0C"/>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FD2945"/>
    <w:multiLevelType w:val="hybridMultilevel"/>
    <w:tmpl w:val="E0A0ED40"/>
    <w:lvl w:ilvl="0" w:tplc="AFCEE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289917">
    <w:abstractNumId w:val="1"/>
  </w:num>
  <w:num w:numId="2" w16cid:durableId="1423840454">
    <w:abstractNumId w:val="10"/>
  </w:num>
  <w:num w:numId="3" w16cid:durableId="387458631">
    <w:abstractNumId w:val="2"/>
  </w:num>
  <w:num w:numId="4" w16cid:durableId="2039816088">
    <w:abstractNumId w:val="0"/>
  </w:num>
  <w:num w:numId="5" w16cid:durableId="2127310871">
    <w:abstractNumId w:val="8"/>
  </w:num>
  <w:num w:numId="6" w16cid:durableId="1701592894">
    <w:abstractNumId w:val="5"/>
  </w:num>
  <w:num w:numId="7" w16cid:durableId="1219632758">
    <w:abstractNumId w:val="9"/>
  </w:num>
  <w:num w:numId="8" w16cid:durableId="29688711">
    <w:abstractNumId w:val="7"/>
  </w:num>
  <w:num w:numId="9" w16cid:durableId="723412418">
    <w:abstractNumId w:val="4"/>
  </w:num>
  <w:num w:numId="10" w16cid:durableId="2009550040">
    <w:abstractNumId w:val="6"/>
  </w:num>
  <w:num w:numId="11" w16cid:durableId="32397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3B"/>
    <w:rsid w:val="00000235"/>
    <w:rsid w:val="00003D38"/>
    <w:rsid w:val="000042EC"/>
    <w:rsid w:val="00004CAD"/>
    <w:rsid w:val="00006967"/>
    <w:rsid w:val="00006BB8"/>
    <w:rsid w:val="0000731F"/>
    <w:rsid w:val="00014237"/>
    <w:rsid w:val="000160B7"/>
    <w:rsid w:val="00026F7B"/>
    <w:rsid w:val="0003541C"/>
    <w:rsid w:val="000437CD"/>
    <w:rsid w:val="00043ADD"/>
    <w:rsid w:val="00043F17"/>
    <w:rsid w:val="000460FA"/>
    <w:rsid w:val="0005505F"/>
    <w:rsid w:val="000568D6"/>
    <w:rsid w:val="00060BE2"/>
    <w:rsid w:val="0006621F"/>
    <w:rsid w:val="0007133A"/>
    <w:rsid w:val="00072CB4"/>
    <w:rsid w:val="00075893"/>
    <w:rsid w:val="00077095"/>
    <w:rsid w:val="00077297"/>
    <w:rsid w:val="000800E0"/>
    <w:rsid w:val="00087CDE"/>
    <w:rsid w:val="00091237"/>
    <w:rsid w:val="000916F2"/>
    <w:rsid w:val="0009351A"/>
    <w:rsid w:val="0009397E"/>
    <w:rsid w:val="0009502A"/>
    <w:rsid w:val="0009604F"/>
    <w:rsid w:val="00097C65"/>
    <w:rsid w:val="000A3B66"/>
    <w:rsid w:val="000B0850"/>
    <w:rsid w:val="000B1330"/>
    <w:rsid w:val="000B2D85"/>
    <w:rsid w:val="000D2E5C"/>
    <w:rsid w:val="000D32BD"/>
    <w:rsid w:val="000D4B66"/>
    <w:rsid w:val="000D7FEE"/>
    <w:rsid w:val="000E06A0"/>
    <w:rsid w:val="000E37A2"/>
    <w:rsid w:val="000E5A6A"/>
    <w:rsid w:val="000F2F28"/>
    <w:rsid w:val="000F4363"/>
    <w:rsid w:val="000F464B"/>
    <w:rsid w:val="00101EA3"/>
    <w:rsid w:val="00103227"/>
    <w:rsid w:val="001113EC"/>
    <w:rsid w:val="001217E7"/>
    <w:rsid w:val="00122824"/>
    <w:rsid w:val="001244F1"/>
    <w:rsid w:val="00124894"/>
    <w:rsid w:val="0013099B"/>
    <w:rsid w:val="00141894"/>
    <w:rsid w:val="001428B6"/>
    <w:rsid w:val="00142FB3"/>
    <w:rsid w:val="00145F99"/>
    <w:rsid w:val="00145FE4"/>
    <w:rsid w:val="00151B95"/>
    <w:rsid w:val="001522D2"/>
    <w:rsid w:val="00156534"/>
    <w:rsid w:val="001601E9"/>
    <w:rsid w:val="001677C8"/>
    <w:rsid w:val="0017277C"/>
    <w:rsid w:val="001748EE"/>
    <w:rsid w:val="001811B8"/>
    <w:rsid w:val="00191208"/>
    <w:rsid w:val="001974DC"/>
    <w:rsid w:val="001B3E6E"/>
    <w:rsid w:val="001C4C1E"/>
    <w:rsid w:val="001E3115"/>
    <w:rsid w:val="001E46AA"/>
    <w:rsid w:val="001E4BDC"/>
    <w:rsid w:val="001F08DB"/>
    <w:rsid w:val="001F537A"/>
    <w:rsid w:val="00215231"/>
    <w:rsid w:val="00216A07"/>
    <w:rsid w:val="00225E9A"/>
    <w:rsid w:val="00227294"/>
    <w:rsid w:val="00235482"/>
    <w:rsid w:val="00236CDF"/>
    <w:rsid w:val="00243BA1"/>
    <w:rsid w:val="002534E0"/>
    <w:rsid w:val="00254539"/>
    <w:rsid w:val="00260471"/>
    <w:rsid w:val="0026436B"/>
    <w:rsid w:val="00267E03"/>
    <w:rsid w:val="0027119F"/>
    <w:rsid w:val="002712A1"/>
    <w:rsid w:val="002740A4"/>
    <w:rsid w:val="002744E3"/>
    <w:rsid w:val="00275555"/>
    <w:rsid w:val="002813EE"/>
    <w:rsid w:val="002818CB"/>
    <w:rsid w:val="00283A8A"/>
    <w:rsid w:val="00284938"/>
    <w:rsid w:val="002863EF"/>
    <w:rsid w:val="00290A41"/>
    <w:rsid w:val="00291883"/>
    <w:rsid w:val="00291EDC"/>
    <w:rsid w:val="002A0702"/>
    <w:rsid w:val="002A40FC"/>
    <w:rsid w:val="002A4BDA"/>
    <w:rsid w:val="002A5574"/>
    <w:rsid w:val="002A7379"/>
    <w:rsid w:val="002B4DFE"/>
    <w:rsid w:val="002B577F"/>
    <w:rsid w:val="002B6656"/>
    <w:rsid w:val="002B71E9"/>
    <w:rsid w:val="002C5687"/>
    <w:rsid w:val="002C66AA"/>
    <w:rsid w:val="002C684B"/>
    <w:rsid w:val="002D11C7"/>
    <w:rsid w:val="002D2523"/>
    <w:rsid w:val="002E40F5"/>
    <w:rsid w:val="002E5127"/>
    <w:rsid w:val="002F670A"/>
    <w:rsid w:val="00301C7B"/>
    <w:rsid w:val="0031534C"/>
    <w:rsid w:val="00315CA8"/>
    <w:rsid w:val="0031623B"/>
    <w:rsid w:val="00316384"/>
    <w:rsid w:val="00316997"/>
    <w:rsid w:val="00327128"/>
    <w:rsid w:val="00333F04"/>
    <w:rsid w:val="00334F0B"/>
    <w:rsid w:val="00340049"/>
    <w:rsid w:val="003442E8"/>
    <w:rsid w:val="00345113"/>
    <w:rsid w:val="003506DD"/>
    <w:rsid w:val="00351DB3"/>
    <w:rsid w:val="00357975"/>
    <w:rsid w:val="00362316"/>
    <w:rsid w:val="0036260E"/>
    <w:rsid w:val="00367112"/>
    <w:rsid w:val="003677A0"/>
    <w:rsid w:val="00370B46"/>
    <w:rsid w:val="0037510D"/>
    <w:rsid w:val="00377BC5"/>
    <w:rsid w:val="00385D6B"/>
    <w:rsid w:val="00387B5F"/>
    <w:rsid w:val="00394EF5"/>
    <w:rsid w:val="00396EAA"/>
    <w:rsid w:val="003B3835"/>
    <w:rsid w:val="003B388E"/>
    <w:rsid w:val="003B4620"/>
    <w:rsid w:val="003B5237"/>
    <w:rsid w:val="003B6BDF"/>
    <w:rsid w:val="003B78F7"/>
    <w:rsid w:val="003C212A"/>
    <w:rsid w:val="003D6B73"/>
    <w:rsid w:val="003D7B77"/>
    <w:rsid w:val="003F1445"/>
    <w:rsid w:val="003F4CC3"/>
    <w:rsid w:val="003F7354"/>
    <w:rsid w:val="003F794B"/>
    <w:rsid w:val="00406997"/>
    <w:rsid w:val="00406F1B"/>
    <w:rsid w:val="0041162F"/>
    <w:rsid w:val="00416939"/>
    <w:rsid w:val="00421886"/>
    <w:rsid w:val="00431CF4"/>
    <w:rsid w:val="0043566F"/>
    <w:rsid w:val="0044430B"/>
    <w:rsid w:val="004507D4"/>
    <w:rsid w:val="00450C04"/>
    <w:rsid w:val="0047409E"/>
    <w:rsid w:val="00493123"/>
    <w:rsid w:val="004934C8"/>
    <w:rsid w:val="00494276"/>
    <w:rsid w:val="00496FBA"/>
    <w:rsid w:val="004A2976"/>
    <w:rsid w:val="004A37E0"/>
    <w:rsid w:val="004A56EC"/>
    <w:rsid w:val="004C61F8"/>
    <w:rsid w:val="004D3B78"/>
    <w:rsid w:val="004D52D8"/>
    <w:rsid w:val="004D744A"/>
    <w:rsid w:val="004E337A"/>
    <w:rsid w:val="004F42C9"/>
    <w:rsid w:val="0051259A"/>
    <w:rsid w:val="00516FA9"/>
    <w:rsid w:val="00520D70"/>
    <w:rsid w:val="00525BCF"/>
    <w:rsid w:val="00526A62"/>
    <w:rsid w:val="00526DF3"/>
    <w:rsid w:val="00535484"/>
    <w:rsid w:val="005424A9"/>
    <w:rsid w:val="00542CD2"/>
    <w:rsid w:val="005432E8"/>
    <w:rsid w:val="005436DA"/>
    <w:rsid w:val="0054746B"/>
    <w:rsid w:val="00550685"/>
    <w:rsid w:val="005508EE"/>
    <w:rsid w:val="00555D25"/>
    <w:rsid w:val="00576CD6"/>
    <w:rsid w:val="005863A6"/>
    <w:rsid w:val="0058640B"/>
    <w:rsid w:val="00586AEB"/>
    <w:rsid w:val="00587DAA"/>
    <w:rsid w:val="0059068C"/>
    <w:rsid w:val="00593324"/>
    <w:rsid w:val="00595F7B"/>
    <w:rsid w:val="005A0D65"/>
    <w:rsid w:val="005A1877"/>
    <w:rsid w:val="005A6012"/>
    <w:rsid w:val="005B3E28"/>
    <w:rsid w:val="005B56B7"/>
    <w:rsid w:val="005C1161"/>
    <w:rsid w:val="005C390D"/>
    <w:rsid w:val="005D4E2E"/>
    <w:rsid w:val="005D75D9"/>
    <w:rsid w:val="005D7D6B"/>
    <w:rsid w:val="005E33D7"/>
    <w:rsid w:val="005E341D"/>
    <w:rsid w:val="005E51E1"/>
    <w:rsid w:val="005F0A45"/>
    <w:rsid w:val="005F19CD"/>
    <w:rsid w:val="005F486A"/>
    <w:rsid w:val="005F566E"/>
    <w:rsid w:val="005F72B4"/>
    <w:rsid w:val="00601D25"/>
    <w:rsid w:val="00605D98"/>
    <w:rsid w:val="00610F6C"/>
    <w:rsid w:val="006142C5"/>
    <w:rsid w:val="00616CEF"/>
    <w:rsid w:val="00624524"/>
    <w:rsid w:val="00626423"/>
    <w:rsid w:val="00626B87"/>
    <w:rsid w:val="00633272"/>
    <w:rsid w:val="00633873"/>
    <w:rsid w:val="00645C55"/>
    <w:rsid w:val="00645FD2"/>
    <w:rsid w:val="006525BD"/>
    <w:rsid w:val="00656CB8"/>
    <w:rsid w:val="0065709E"/>
    <w:rsid w:val="00666B19"/>
    <w:rsid w:val="0067115E"/>
    <w:rsid w:val="00671E9E"/>
    <w:rsid w:val="006839C9"/>
    <w:rsid w:val="0068416F"/>
    <w:rsid w:val="00691CEA"/>
    <w:rsid w:val="00694DDE"/>
    <w:rsid w:val="00697941"/>
    <w:rsid w:val="006A4DB1"/>
    <w:rsid w:val="006B1284"/>
    <w:rsid w:val="006B1FA4"/>
    <w:rsid w:val="006B24DC"/>
    <w:rsid w:val="006C02AC"/>
    <w:rsid w:val="006C2A3A"/>
    <w:rsid w:val="006C2BB7"/>
    <w:rsid w:val="006C526E"/>
    <w:rsid w:val="006D0444"/>
    <w:rsid w:val="006D08DC"/>
    <w:rsid w:val="006D4110"/>
    <w:rsid w:val="006D6CF0"/>
    <w:rsid w:val="006E308D"/>
    <w:rsid w:val="006E6EC4"/>
    <w:rsid w:val="006F04FB"/>
    <w:rsid w:val="006F334F"/>
    <w:rsid w:val="006F407B"/>
    <w:rsid w:val="006F547E"/>
    <w:rsid w:val="0070180F"/>
    <w:rsid w:val="00701BE1"/>
    <w:rsid w:val="00703C9F"/>
    <w:rsid w:val="007076FE"/>
    <w:rsid w:val="00717EAE"/>
    <w:rsid w:val="00744AE9"/>
    <w:rsid w:val="007512D2"/>
    <w:rsid w:val="00754845"/>
    <w:rsid w:val="00754945"/>
    <w:rsid w:val="007552E4"/>
    <w:rsid w:val="00755D51"/>
    <w:rsid w:val="007620F9"/>
    <w:rsid w:val="0076321B"/>
    <w:rsid w:val="0076602D"/>
    <w:rsid w:val="00773244"/>
    <w:rsid w:val="00775CB4"/>
    <w:rsid w:val="007772CA"/>
    <w:rsid w:val="00790E56"/>
    <w:rsid w:val="007967DB"/>
    <w:rsid w:val="00797B99"/>
    <w:rsid w:val="007A14B7"/>
    <w:rsid w:val="007A646A"/>
    <w:rsid w:val="007A6AA2"/>
    <w:rsid w:val="007A7B44"/>
    <w:rsid w:val="007B1030"/>
    <w:rsid w:val="007B2D97"/>
    <w:rsid w:val="007B63C5"/>
    <w:rsid w:val="007C0D55"/>
    <w:rsid w:val="007C166F"/>
    <w:rsid w:val="007D1F3D"/>
    <w:rsid w:val="007D42CB"/>
    <w:rsid w:val="007D7D08"/>
    <w:rsid w:val="007F0A78"/>
    <w:rsid w:val="007F3FE2"/>
    <w:rsid w:val="0080496C"/>
    <w:rsid w:val="00804F25"/>
    <w:rsid w:val="00811D35"/>
    <w:rsid w:val="00812C81"/>
    <w:rsid w:val="008159A7"/>
    <w:rsid w:val="00824086"/>
    <w:rsid w:val="0084178B"/>
    <w:rsid w:val="00842516"/>
    <w:rsid w:val="00843335"/>
    <w:rsid w:val="0085288D"/>
    <w:rsid w:val="00863D9D"/>
    <w:rsid w:val="00866D85"/>
    <w:rsid w:val="00870C8F"/>
    <w:rsid w:val="00872003"/>
    <w:rsid w:val="008724CB"/>
    <w:rsid w:val="008747A9"/>
    <w:rsid w:val="00877D10"/>
    <w:rsid w:val="00886A5E"/>
    <w:rsid w:val="008876B5"/>
    <w:rsid w:val="00891728"/>
    <w:rsid w:val="008B4FE7"/>
    <w:rsid w:val="008B7A5F"/>
    <w:rsid w:val="008C3A64"/>
    <w:rsid w:val="008C4F49"/>
    <w:rsid w:val="008C7E3A"/>
    <w:rsid w:val="008E10DC"/>
    <w:rsid w:val="008E1116"/>
    <w:rsid w:val="008E4A7C"/>
    <w:rsid w:val="008E69BF"/>
    <w:rsid w:val="008F2267"/>
    <w:rsid w:val="00903BD3"/>
    <w:rsid w:val="00911896"/>
    <w:rsid w:val="00914949"/>
    <w:rsid w:val="00915254"/>
    <w:rsid w:val="009161E7"/>
    <w:rsid w:val="009178A6"/>
    <w:rsid w:val="00924B17"/>
    <w:rsid w:val="00926D7C"/>
    <w:rsid w:val="009276CC"/>
    <w:rsid w:val="0093087D"/>
    <w:rsid w:val="00930DC3"/>
    <w:rsid w:val="00933514"/>
    <w:rsid w:val="00934DA0"/>
    <w:rsid w:val="00935AFB"/>
    <w:rsid w:val="00936B43"/>
    <w:rsid w:val="00945BAD"/>
    <w:rsid w:val="00953E98"/>
    <w:rsid w:val="009574B1"/>
    <w:rsid w:val="0096313E"/>
    <w:rsid w:val="009635DC"/>
    <w:rsid w:val="00972225"/>
    <w:rsid w:val="00984BE7"/>
    <w:rsid w:val="00994465"/>
    <w:rsid w:val="00996089"/>
    <w:rsid w:val="009A38EF"/>
    <w:rsid w:val="009A4B26"/>
    <w:rsid w:val="009A4D37"/>
    <w:rsid w:val="009A7C60"/>
    <w:rsid w:val="009A7FE7"/>
    <w:rsid w:val="009B47E6"/>
    <w:rsid w:val="009B526C"/>
    <w:rsid w:val="009B74EE"/>
    <w:rsid w:val="009C476F"/>
    <w:rsid w:val="009C7955"/>
    <w:rsid w:val="009D02AC"/>
    <w:rsid w:val="009D0DD2"/>
    <w:rsid w:val="009D0F4D"/>
    <w:rsid w:val="009E259D"/>
    <w:rsid w:val="009F6A7A"/>
    <w:rsid w:val="009F7B42"/>
    <w:rsid w:val="00A03B3D"/>
    <w:rsid w:val="00A05782"/>
    <w:rsid w:val="00A06069"/>
    <w:rsid w:val="00A12472"/>
    <w:rsid w:val="00A12E1D"/>
    <w:rsid w:val="00A174E7"/>
    <w:rsid w:val="00A227EB"/>
    <w:rsid w:val="00A253CF"/>
    <w:rsid w:val="00A2540B"/>
    <w:rsid w:val="00A26886"/>
    <w:rsid w:val="00A31703"/>
    <w:rsid w:val="00A354BB"/>
    <w:rsid w:val="00A404CD"/>
    <w:rsid w:val="00A45351"/>
    <w:rsid w:val="00A516DE"/>
    <w:rsid w:val="00A51836"/>
    <w:rsid w:val="00A60126"/>
    <w:rsid w:val="00A62F59"/>
    <w:rsid w:val="00A708AA"/>
    <w:rsid w:val="00A72AFF"/>
    <w:rsid w:val="00A76241"/>
    <w:rsid w:val="00A81BA7"/>
    <w:rsid w:val="00A84CAC"/>
    <w:rsid w:val="00A91878"/>
    <w:rsid w:val="00A95959"/>
    <w:rsid w:val="00A959FF"/>
    <w:rsid w:val="00A96731"/>
    <w:rsid w:val="00AA27B5"/>
    <w:rsid w:val="00AA2BD0"/>
    <w:rsid w:val="00AB5E5A"/>
    <w:rsid w:val="00AC595C"/>
    <w:rsid w:val="00AC76FE"/>
    <w:rsid w:val="00AD186D"/>
    <w:rsid w:val="00AD4FAE"/>
    <w:rsid w:val="00AE0AA5"/>
    <w:rsid w:val="00AE3BF4"/>
    <w:rsid w:val="00AE3DF2"/>
    <w:rsid w:val="00AE472E"/>
    <w:rsid w:val="00AE4F39"/>
    <w:rsid w:val="00AE681B"/>
    <w:rsid w:val="00AF2166"/>
    <w:rsid w:val="00B02D5D"/>
    <w:rsid w:val="00B04885"/>
    <w:rsid w:val="00B064DA"/>
    <w:rsid w:val="00B079D7"/>
    <w:rsid w:val="00B122D7"/>
    <w:rsid w:val="00B16C7F"/>
    <w:rsid w:val="00B21C09"/>
    <w:rsid w:val="00B302FE"/>
    <w:rsid w:val="00B3221F"/>
    <w:rsid w:val="00B327D0"/>
    <w:rsid w:val="00B36774"/>
    <w:rsid w:val="00B449C4"/>
    <w:rsid w:val="00B449F9"/>
    <w:rsid w:val="00B44F04"/>
    <w:rsid w:val="00B649E1"/>
    <w:rsid w:val="00B72D62"/>
    <w:rsid w:val="00B7477A"/>
    <w:rsid w:val="00B75C37"/>
    <w:rsid w:val="00B767EE"/>
    <w:rsid w:val="00B829CE"/>
    <w:rsid w:val="00B870DA"/>
    <w:rsid w:val="00B90DD1"/>
    <w:rsid w:val="00B92A4D"/>
    <w:rsid w:val="00B95FA7"/>
    <w:rsid w:val="00BA43FE"/>
    <w:rsid w:val="00BA4577"/>
    <w:rsid w:val="00BB2534"/>
    <w:rsid w:val="00BC27C0"/>
    <w:rsid w:val="00BD5894"/>
    <w:rsid w:val="00BE1C53"/>
    <w:rsid w:val="00BF388D"/>
    <w:rsid w:val="00BF5AD2"/>
    <w:rsid w:val="00BF7726"/>
    <w:rsid w:val="00C005E3"/>
    <w:rsid w:val="00C01B7C"/>
    <w:rsid w:val="00C02BA5"/>
    <w:rsid w:val="00C02F7D"/>
    <w:rsid w:val="00C07473"/>
    <w:rsid w:val="00C20716"/>
    <w:rsid w:val="00C31E90"/>
    <w:rsid w:val="00C4357D"/>
    <w:rsid w:val="00C4431F"/>
    <w:rsid w:val="00C44419"/>
    <w:rsid w:val="00C46804"/>
    <w:rsid w:val="00C50D95"/>
    <w:rsid w:val="00C513AC"/>
    <w:rsid w:val="00C517ED"/>
    <w:rsid w:val="00C520B7"/>
    <w:rsid w:val="00C52419"/>
    <w:rsid w:val="00C53BA8"/>
    <w:rsid w:val="00C53F41"/>
    <w:rsid w:val="00C57B61"/>
    <w:rsid w:val="00C606EB"/>
    <w:rsid w:val="00C708ED"/>
    <w:rsid w:val="00C730E2"/>
    <w:rsid w:val="00C73E2A"/>
    <w:rsid w:val="00C757AA"/>
    <w:rsid w:val="00C869E6"/>
    <w:rsid w:val="00C90E40"/>
    <w:rsid w:val="00C9127D"/>
    <w:rsid w:val="00C93100"/>
    <w:rsid w:val="00C933DB"/>
    <w:rsid w:val="00C93804"/>
    <w:rsid w:val="00C94915"/>
    <w:rsid w:val="00CA1F4C"/>
    <w:rsid w:val="00CA364F"/>
    <w:rsid w:val="00CA7BCF"/>
    <w:rsid w:val="00CB32B5"/>
    <w:rsid w:val="00CB63B3"/>
    <w:rsid w:val="00CD0BE8"/>
    <w:rsid w:val="00CD21E1"/>
    <w:rsid w:val="00CD5DCB"/>
    <w:rsid w:val="00CD6751"/>
    <w:rsid w:val="00CE0C9C"/>
    <w:rsid w:val="00CE1AAD"/>
    <w:rsid w:val="00CE29C5"/>
    <w:rsid w:val="00CF13EC"/>
    <w:rsid w:val="00CF4452"/>
    <w:rsid w:val="00D020B0"/>
    <w:rsid w:val="00D1025D"/>
    <w:rsid w:val="00D136FE"/>
    <w:rsid w:val="00D14993"/>
    <w:rsid w:val="00D1599C"/>
    <w:rsid w:val="00D15F60"/>
    <w:rsid w:val="00D16368"/>
    <w:rsid w:val="00D22415"/>
    <w:rsid w:val="00D226F9"/>
    <w:rsid w:val="00D24AF8"/>
    <w:rsid w:val="00D252F8"/>
    <w:rsid w:val="00D32642"/>
    <w:rsid w:val="00D379C5"/>
    <w:rsid w:val="00D41E0E"/>
    <w:rsid w:val="00D43E7E"/>
    <w:rsid w:val="00D46272"/>
    <w:rsid w:val="00D474B6"/>
    <w:rsid w:val="00D5543A"/>
    <w:rsid w:val="00D62F35"/>
    <w:rsid w:val="00D64A4B"/>
    <w:rsid w:val="00D65C85"/>
    <w:rsid w:val="00D660B5"/>
    <w:rsid w:val="00D6621F"/>
    <w:rsid w:val="00D66B57"/>
    <w:rsid w:val="00D66E9A"/>
    <w:rsid w:val="00D70ED3"/>
    <w:rsid w:val="00D70F99"/>
    <w:rsid w:val="00D7110B"/>
    <w:rsid w:val="00D712D1"/>
    <w:rsid w:val="00D76BE0"/>
    <w:rsid w:val="00D77041"/>
    <w:rsid w:val="00D81DE6"/>
    <w:rsid w:val="00D864ED"/>
    <w:rsid w:val="00D86D1B"/>
    <w:rsid w:val="00D90D99"/>
    <w:rsid w:val="00D92992"/>
    <w:rsid w:val="00DA1E09"/>
    <w:rsid w:val="00DA2044"/>
    <w:rsid w:val="00DB3A02"/>
    <w:rsid w:val="00DB3D31"/>
    <w:rsid w:val="00DC18C3"/>
    <w:rsid w:val="00DD4FD0"/>
    <w:rsid w:val="00DD70CA"/>
    <w:rsid w:val="00DE07B4"/>
    <w:rsid w:val="00DE12E6"/>
    <w:rsid w:val="00DE5D8B"/>
    <w:rsid w:val="00DE6948"/>
    <w:rsid w:val="00DE6C02"/>
    <w:rsid w:val="00DF0083"/>
    <w:rsid w:val="00DF2CE8"/>
    <w:rsid w:val="00E00034"/>
    <w:rsid w:val="00E1084B"/>
    <w:rsid w:val="00E154A8"/>
    <w:rsid w:val="00E17906"/>
    <w:rsid w:val="00E22434"/>
    <w:rsid w:val="00E23E93"/>
    <w:rsid w:val="00E2496E"/>
    <w:rsid w:val="00E25091"/>
    <w:rsid w:val="00E25A79"/>
    <w:rsid w:val="00E2702D"/>
    <w:rsid w:val="00E501F7"/>
    <w:rsid w:val="00E535D3"/>
    <w:rsid w:val="00E56FCD"/>
    <w:rsid w:val="00E57611"/>
    <w:rsid w:val="00E621D4"/>
    <w:rsid w:val="00E6223B"/>
    <w:rsid w:val="00E63492"/>
    <w:rsid w:val="00E72DA6"/>
    <w:rsid w:val="00E7496D"/>
    <w:rsid w:val="00E765D1"/>
    <w:rsid w:val="00E90470"/>
    <w:rsid w:val="00E9104F"/>
    <w:rsid w:val="00E926D0"/>
    <w:rsid w:val="00E95461"/>
    <w:rsid w:val="00EA0513"/>
    <w:rsid w:val="00EA10EA"/>
    <w:rsid w:val="00EA1498"/>
    <w:rsid w:val="00EB4C1D"/>
    <w:rsid w:val="00EB6EF3"/>
    <w:rsid w:val="00EC1528"/>
    <w:rsid w:val="00EC61CC"/>
    <w:rsid w:val="00ED4D15"/>
    <w:rsid w:val="00ED587C"/>
    <w:rsid w:val="00ED7520"/>
    <w:rsid w:val="00EE3E3C"/>
    <w:rsid w:val="00EF1877"/>
    <w:rsid w:val="00EF5F0C"/>
    <w:rsid w:val="00F02693"/>
    <w:rsid w:val="00F05957"/>
    <w:rsid w:val="00F06E68"/>
    <w:rsid w:val="00F116C7"/>
    <w:rsid w:val="00F138AD"/>
    <w:rsid w:val="00F21B63"/>
    <w:rsid w:val="00F22E52"/>
    <w:rsid w:val="00F23526"/>
    <w:rsid w:val="00F32367"/>
    <w:rsid w:val="00F32C29"/>
    <w:rsid w:val="00F3375F"/>
    <w:rsid w:val="00F34434"/>
    <w:rsid w:val="00F40440"/>
    <w:rsid w:val="00F43CA5"/>
    <w:rsid w:val="00F46718"/>
    <w:rsid w:val="00F477D6"/>
    <w:rsid w:val="00F549C1"/>
    <w:rsid w:val="00F57505"/>
    <w:rsid w:val="00F61574"/>
    <w:rsid w:val="00F62C19"/>
    <w:rsid w:val="00F71198"/>
    <w:rsid w:val="00F77D28"/>
    <w:rsid w:val="00F77E07"/>
    <w:rsid w:val="00F80334"/>
    <w:rsid w:val="00F84529"/>
    <w:rsid w:val="00F86EC2"/>
    <w:rsid w:val="00F873BA"/>
    <w:rsid w:val="00F91C68"/>
    <w:rsid w:val="00F969CD"/>
    <w:rsid w:val="00FA1398"/>
    <w:rsid w:val="00FA2A1C"/>
    <w:rsid w:val="00FA77A7"/>
    <w:rsid w:val="00FB273E"/>
    <w:rsid w:val="00FB5D30"/>
    <w:rsid w:val="00FC161A"/>
    <w:rsid w:val="00FE4CBA"/>
    <w:rsid w:val="00FE5FBF"/>
    <w:rsid w:val="00FE608C"/>
    <w:rsid w:val="00FF076F"/>
    <w:rsid w:val="00FF4A19"/>
    <w:rsid w:val="00FF5573"/>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5151"/>
  <w15:chartTrackingRefBased/>
  <w15:docId w15:val="{8264F947-2ABC-4F8C-9D96-6AEF9FDD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08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8DC"/>
    <w:rPr>
      <w:sz w:val="20"/>
      <w:szCs w:val="20"/>
      <w:lang w:val="en-ZA"/>
    </w:rPr>
  </w:style>
  <w:style w:type="character" w:styleId="FootnoteReference">
    <w:name w:val="footnote reference"/>
    <w:basedOn w:val="DefaultParagraphFont"/>
    <w:uiPriority w:val="99"/>
    <w:semiHidden/>
    <w:unhideWhenUsed/>
    <w:rsid w:val="006D08DC"/>
    <w:rPr>
      <w:vertAlign w:val="superscript"/>
    </w:rPr>
  </w:style>
  <w:style w:type="paragraph" w:styleId="ListParagraph">
    <w:name w:val="List Paragraph"/>
    <w:basedOn w:val="Normal"/>
    <w:uiPriority w:val="34"/>
    <w:qFormat/>
    <w:rsid w:val="00930DC3"/>
    <w:pPr>
      <w:ind w:left="720"/>
      <w:contextualSpacing/>
    </w:pPr>
  </w:style>
  <w:style w:type="paragraph" w:styleId="Header">
    <w:name w:val="header"/>
    <w:basedOn w:val="Normal"/>
    <w:link w:val="HeaderChar"/>
    <w:uiPriority w:val="99"/>
    <w:unhideWhenUsed/>
    <w:rsid w:val="00D77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41"/>
    <w:rPr>
      <w:lang w:val="en-ZA"/>
    </w:rPr>
  </w:style>
  <w:style w:type="paragraph" w:styleId="Footer">
    <w:name w:val="footer"/>
    <w:basedOn w:val="Normal"/>
    <w:link w:val="FooterChar"/>
    <w:uiPriority w:val="99"/>
    <w:unhideWhenUsed/>
    <w:rsid w:val="00D77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41"/>
    <w:rPr>
      <w:lang w:val="en-ZA"/>
    </w:rPr>
  </w:style>
  <w:style w:type="paragraph" w:styleId="BalloonText">
    <w:name w:val="Balloon Text"/>
    <w:basedOn w:val="Normal"/>
    <w:link w:val="BalloonTextChar"/>
    <w:uiPriority w:val="99"/>
    <w:semiHidden/>
    <w:unhideWhenUsed/>
    <w:rsid w:val="00D4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E"/>
    <w:rPr>
      <w:rFonts w:ascii="Segoe UI" w:hAnsi="Segoe UI" w:cs="Segoe UI"/>
      <w:sz w:val="18"/>
      <w:szCs w:val="18"/>
      <w:lang w:val="en-ZA"/>
    </w:rPr>
  </w:style>
  <w:style w:type="paragraph" w:styleId="Revision">
    <w:name w:val="Revision"/>
    <w:hidden/>
    <w:uiPriority w:val="99"/>
    <w:semiHidden/>
    <w:rsid w:val="000D4B66"/>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D335-D049-48FC-8AD0-7573A1A9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Nomakorinte Ntliziywana</cp:lastModifiedBy>
  <cp:revision>2</cp:revision>
  <dcterms:created xsi:type="dcterms:W3CDTF">2023-10-31T13:29:00Z</dcterms:created>
  <dcterms:modified xsi:type="dcterms:W3CDTF">2023-10-31T13:29:00Z</dcterms:modified>
</cp:coreProperties>
</file>