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2289" w14:textId="77777777" w:rsidR="00C91BD0" w:rsidRPr="00F34416" w:rsidRDefault="00C91BD0" w:rsidP="0086500C">
      <w:pPr>
        <w:jc w:val="center"/>
        <w:rPr>
          <w:lang w:val="en-GB"/>
        </w:rPr>
      </w:pPr>
      <w:r w:rsidRPr="00F34416">
        <w:rPr>
          <w:noProof/>
          <w:lang w:eastAsia="en-ZA"/>
        </w:rPr>
        <w:drawing>
          <wp:anchor distT="0" distB="0" distL="114300" distR="114300" simplePos="0" relativeHeight="251658240" behindDoc="0" locked="0" layoutInCell="1" allowOverlap="1" wp14:anchorId="3293590E" wp14:editId="59CC35DE">
            <wp:simplePos x="0" y="0"/>
            <wp:positionH relativeFrom="column">
              <wp:posOffset>1958454</wp:posOffset>
            </wp:positionH>
            <wp:positionV relativeFrom="paragraph">
              <wp:align>top</wp:align>
            </wp:positionV>
            <wp:extent cx="1311275" cy="1274445"/>
            <wp:effectExtent l="0" t="0" r="317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1274445"/>
                    </a:xfrm>
                    <a:prstGeom prst="rect">
                      <a:avLst/>
                    </a:prstGeom>
                    <a:noFill/>
                  </pic:spPr>
                </pic:pic>
              </a:graphicData>
            </a:graphic>
          </wp:anchor>
        </w:drawing>
      </w:r>
      <w:r w:rsidR="00A52CC7">
        <w:rPr>
          <w:lang w:val="en-GB"/>
        </w:rPr>
        <w:br w:type="textWrapping" w:clear="all"/>
      </w:r>
    </w:p>
    <w:p w14:paraId="5F9FB47D" w14:textId="77777777" w:rsidR="00C91BD0" w:rsidRPr="00F34416" w:rsidRDefault="00707240" w:rsidP="00C91BD0">
      <w:pPr>
        <w:jc w:val="center"/>
        <w:rPr>
          <w:b/>
          <w:bCs/>
          <w:lang w:val="en-GB"/>
        </w:rPr>
      </w:pPr>
      <w:r w:rsidRPr="00F34416">
        <w:rPr>
          <w:b/>
          <w:bCs/>
          <w:lang w:val="en-GB"/>
        </w:rPr>
        <w:t>IN THE HIGH COURT OF SOUTH AFRICA</w:t>
      </w:r>
    </w:p>
    <w:p w14:paraId="0CDC0DA2" w14:textId="77777777" w:rsidR="00C91BD0" w:rsidRDefault="00707240" w:rsidP="00C91BD0">
      <w:pPr>
        <w:jc w:val="center"/>
        <w:rPr>
          <w:b/>
          <w:bCs/>
          <w:lang w:val="en-GB"/>
        </w:rPr>
      </w:pPr>
      <w:r>
        <w:rPr>
          <w:b/>
          <w:bCs/>
          <w:lang w:val="en-GB"/>
        </w:rPr>
        <w:t>(</w:t>
      </w:r>
      <w:r w:rsidRPr="00F34416">
        <w:rPr>
          <w:b/>
          <w:bCs/>
          <w:lang w:val="en-GB"/>
        </w:rPr>
        <w:t>EAST</w:t>
      </w:r>
      <w:r>
        <w:rPr>
          <w:b/>
          <w:bCs/>
          <w:lang w:val="en-GB"/>
        </w:rPr>
        <w:t>ERN CAPE DIVISION, MTHATHA)</w:t>
      </w:r>
    </w:p>
    <w:p w14:paraId="7103BABE" w14:textId="77777777" w:rsidR="00707240" w:rsidRDefault="00707240" w:rsidP="00C91BD0">
      <w:pPr>
        <w:jc w:val="center"/>
        <w:rPr>
          <w:b/>
          <w:bCs/>
          <w:lang w:val="en-GB"/>
        </w:rPr>
      </w:pPr>
    </w:p>
    <w:p w14:paraId="37200263" w14:textId="77777777" w:rsidR="00707240" w:rsidRPr="00707240" w:rsidRDefault="00707240" w:rsidP="00707240">
      <w:pPr>
        <w:spacing w:after="200" w:line="276" w:lineRule="auto"/>
        <w:jc w:val="right"/>
        <w:rPr>
          <w:rFonts w:eastAsia="Times New Roman"/>
          <w:b/>
          <w:color w:val="auto"/>
          <w:lang w:eastAsia="en-ZA"/>
        </w:rPr>
      </w:pPr>
      <w:r w:rsidRPr="00707240">
        <w:rPr>
          <w:rFonts w:eastAsia="Times New Roman"/>
          <w:b/>
          <w:color w:val="auto"/>
          <w:lang w:eastAsia="en-ZA"/>
        </w:rPr>
        <w:t>CASE NO</w:t>
      </w:r>
      <w:r>
        <w:rPr>
          <w:rFonts w:eastAsia="Times New Roman"/>
          <w:b/>
          <w:color w:val="auto"/>
          <w:lang w:eastAsia="en-ZA"/>
        </w:rPr>
        <w:t xml:space="preserve">: </w:t>
      </w:r>
      <w:r w:rsidRPr="00A33C63">
        <w:rPr>
          <w:b/>
          <w:bCs/>
          <w:lang w:val="en-GB"/>
        </w:rPr>
        <w:t>802/2020</w:t>
      </w:r>
    </w:p>
    <w:tbl>
      <w:tblPr>
        <w:tblW w:w="2580" w:type="dxa"/>
        <w:tblInd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1203"/>
      </w:tblGrid>
      <w:tr w:rsidR="00707240" w:rsidRPr="00707240" w14:paraId="7131D1FA" w14:textId="77777777" w:rsidTr="000F37DB">
        <w:trPr>
          <w:trHeight w:val="542"/>
        </w:trPr>
        <w:tc>
          <w:tcPr>
            <w:tcW w:w="1377" w:type="dxa"/>
          </w:tcPr>
          <w:p w14:paraId="62085113" w14:textId="77777777" w:rsidR="00707240" w:rsidRPr="00707240" w:rsidRDefault="00707240" w:rsidP="00707240">
            <w:pPr>
              <w:spacing w:line="240" w:lineRule="auto"/>
              <w:rPr>
                <w:rFonts w:eastAsia="Times New Roman"/>
                <w:b/>
                <w:color w:val="auto"/>
                <w:sz w:val="20"/>
                <w:szCs w:val="20"/>
                <w:lang w:eastAsia="en-ZA"/>
              </w:rPr>
            </w:pPr>
          </w:p>
          <w:p w14:paraId="741B402F" w14:textId="77777777" w:rsidR="00707240" w:rsidRPr="00707240" w:rsidRDefault="00707240" w:rsidP="00707240">
            <w:pPr>
              <w:spacing w:line="240" w:lineRule="auto"/>
              <w:jc w:val="center"/>
              <w:rPr>
                <w:rFonts w:eastAsia="Times New Roman"/>
                <w:b/>
                <w:color w:val="auto"/>
                <w:sz w:val="20"/>
                <w:szCs w:val="20"/>
                <w:lang w:eastAsia="en-ZA"/>
              </w:rPr>
            </w:pPr>
            <w:r w:rsidRPr="00707240">
              <w:rPr>
                <w:rFonts w:eastAsia="Times New Roman"/>
                <w:b/>
                <w:color w:val="auto"/>
                <w:sz w:val="20"/>
                <w:szCs w:val="20"/>
                <w:lang w:eastAsia="en-ZA"/>
              </w:rPr>
              <w:t>Reportable</w:t>
            </w:r>
          </w:p>
        </w:tc>
        <w:tc>
          <w:tcPr>
            <w:tcW w:w="1203" w:type="dxa"/>
          </w:tcPr>
          <w:p w14:paraId="547A35B2" w14:textId="77777777" w:rsidR="00707240" w:rsidRPr="00707240" w:rsidRDefault="00707240" w:rsidP="00707240">
            <w:pPr>
              <w:spacing w:line="240" w:lineRule="auto"/>
              <w:rPr>
                <w:rFonts w:eastAsia="Times New Roman"/>
                <w:b/>
                <w:color w:val="auto"/>
                <w:sz w:val="20"/>
                <w:szCs w:val="20"/>
                <w:lang w:eastAsia="en-ZA"/>
              </w:rPr>
            </w:pPr>
          </w:p>
          <w:p w14:paraId="6F6AD9C8" w14:textId="77777777" w:rsidR="00707240" w:rsidRPr="00707240" w:rsidRDefault="00707240" w:rsidP="00707240">
            <w:pPr>
              <w:spacing w:line="240" w:lineRule="auto"/>
              <w:jc w:val="center"/>
              <w:rPr>
                <w:rFonts w:eastAsia="Times New Roman"/>
                <w:b/>
                <w:color w:val="auto"/>
                <w:sz w:val="20"/>
                <w:szCs w:val="20"/>
                <w:lang w:eastAsia="en-ZA"/>
              </w:rPr>
            </w:pPr>
            <w:r w:rsidRPr="00707240">
              <w:rPr>
                <w:rFonts w:eastAsia="Times New Roman"/>
                <w:b/>
                <w:color w:val="auto"/>
                <w:sz w:val="20"/>
                <w:szCs w:val="20"/>
                <w:lang w:eastAsia="en-ZA"/>
              </w:rPr>
              <w:t>Yes / No</w:t>
            </w:r>
          </w:p>
        </w:tc>
      </w:tr>
    </w:tbl>
    <w:p w14:paraId="1F515BA2" w14:textId="77777777" w:rsidR="00707240" w:rsidRPr="00707240" w:rsidRDefault="00707240" w:rsidP="00707240">
      <w:pPr>
        <w:spacing w:after="200" w:line="276" w:lineRule="auto"/>
        <w:jc w:val="both"/>
        <w:rPr>
          <w:rFonts w:eastAsia="Times New Roman"/>
          <w:color w:val="auto"/>
          <w:lang w:eastAsia="en-ZA"/>
        </w:rPr>
      </w:pPr>
    </w:p>
    <w:p w14:paraId="0F351A6A" w14:textId="77777777" w:rsidR="00707240" w:rsidRPr="00707240" w:rsidRDefault="00707240" w:rsidP="00707240">
      <w:pPr>
        <w:spacing w:after="200" w:line="276" w:lineRule="auto"/>
        <w:jc w:val="both"/>
        <w:rPr>
          <w:rFonts w:eastAsia="Times New Roman"/>
          <w:color w:val="auto"/>
          <w:lang w:eastAsia="en-ZA"/>
        </w:rPr>
      </w:pPr>
      <w:r w:rsidRPr="00707240">
        <w:rPr>
          <w:rFonts w:eastAsia="Times New Roman"/>
          <w:color w:val="auto"/>
          <w:lang w:eastAsia="en-ZA"/>
        </w:rPr>
        <w:t>In the matter between:</w:t>
      </w:r>
    </w:p>
    <w:p w14:paraId="03430FB5" w14:textId="77777777" w:rsidR="00707240" w:rsidRPr="00707240" w:rsidRDefault="00707240" w:rsidP="00707240">
      <w:pPr>
        <w:spacing w:after="200" w:line="276" w:lineRule="auto"/>
        <w:jc w:val="both"/>
        <w:rPr>
          <w:rFonts w:eastAsia="Times New Roman"/>
          <w:b/>
          <w:color w:val="auto"/>
          <w:lang w:eastAsia="en-ZA"/>
        </w:rPr>
      </w:pPr>
    </w:p>
    <w:p w14:paraId="3EBE32E6" w14:textId="77777777" w:rsidR="00707240" w:rsidRPr="00707240" w:rsidRDefault="00707240" w:rsidP="00707240">
      <w:pPr>
        <w:spacing w:after="200" w:line="276" w:lineRule="auto"/>
        <w:jc w:val="both"/>
        <w:rPr>
          <w:rFonts w:eastAsia="Times New Roman"/>
          <w:b/>
          <w:color w:val="auto"/>
          <w:lang w:eastAsia="en-ZA"/>
        </w:rPr>
      </w:pPr>
      <w:r>
        <w:rPr>
          <w:rFonts w:eastAsia="Times New Roman"/>
          <w:b/>
          <w:color w:val="auto"/>
          <w:lang w:eastAsia="en-ZA"/>
        </w:rPr>
        <w:t>LUDWE SKEPE</w:t>
      </w:r>
      <w:r w:rsidRPr="00707240">
        <w:rPr>
          <w:rFonts w:eastAsia="Times New Roman"/>
          <w:b/>
          <w:color w:val="auto"/>
          <w:lang w:eastAsia="en-ZA"/>
        </w:rPr>
        <w:tab/>
      </w:r>
      <w:r w:rsidRPr="00707240">
        <w:rPr>
          <w:rFonts w:eastAsia="Times New Roman"/>
          <w:b/>
          <w:color w:val="auto"/>
          <w:lang w:eastAsia="en-ZA"/>
        </w:rPr>
        <w:tab/>
      </w:r>
      <w:r w:rsidRPr="00707240">
        <w:rPr>
          <w:rFonts w:eastAsia="Times New Roman"/>
          <w:b/>
          <w:color w:val="auto"/>
          <w:lang w:eastAsia="en-ZA"/>
        </w:rPr>
        <w:tab/>
      </w:r>
      <w:r w:rsidRPr="00707240">
        <w:rPr>
          <w:rFonts w:eastAsia="Times New Roman"/>
          <w:b/>
          <w:color w:val="auto"/>
          <w:lang w:eastAsia="en-ZA"/>
        </w:rPr>
        <w:tab/>
      </w:r>
      <w:r w:rsidRPr="00707240">
        <w:rPr>
          <w:rFonts w:eastAsia="Times New Roman"/>
          <w:b/>
          <w:color w:val="auto"/>
          <w:lang w:eastAsia="en-ZA"/>
        </w:rPr>
        <w:tab/>
      </w:r>
      <w:r w:rsidRPr="00707240">
        <w:rPr>
          <w:rFonts w:eastAsia="Times New Roman"/>
          <w:b/>
          <w:color w:val="auto"/>
          <w:lang w:eastAsia="en-ZA"/>
        </w:rPr>
        <w:tab/>
      </w:r>
      <w:r w:rsidRPr="00707240">
        <w:rPr>
          <w:rFonts w:eastAsia="Times New Roman"/>
          <w:b/>
          <w:color w:val="auto"/>
          <w:lang w:eastAsia="en-ZA"/>
        </w:rPr>
        <w:tab/>
      </w:r>
      <w:r w:rsidRPr="00707240">
        <w:rPr>
          <w:rFonts w:eastAsia="Times New Roman"/>
          <w:b/>
          <w:color w:val="auto"/>
          <w:lang w:eastAsia="en-ZA"/>
        </w:rPr>
        <w:tab/>
        <w:t xml:space="preserve">        PLAINTIFF</w:t>
      </w:r>
    </w:p>
    <w:p w14:paraId="21B3787A" w14:textId="77777777" w:rsidR="00707240" w:rsidRPr="00707240" w:rsidRDefault="00707240" w:rsidP="00707240">
      <w:pPr>
        <w:spacing w:after="200" w:line="276" w:lineRule="auto"/>
        <w:jc w:val="both"/>
        <w:rPr>
          <w:rFonts w:eastAsia="Times New Roman"/>
          <w:b/>
          <w:color w:val="auto"/>
          <w:lang w:eastAsia="en-ZA"/>
        </w:rPr>
      </w:pPr>
    </w:p>
    <w:p w14:paraId="7D219F68" w14:textId="77777777" w:rsidR="00707240" w:rsidRPr="00B2378C" w:rsidRDefault="00707240" w:rsidP="00707240">
      <w:pPr>
        <w:spacing w:after="200" w:line="276" w:lineRule="auto"/>
        <w:jc w:val="both"/>
        <w:rPr>
          <w:rFonts w:eastAsia="Times New Roman"/>
          <w:bCs/>
          <w:color w:val="auto"/>
          <w:lang w:eastAsia="en-ZA"/>
        </w:rPr>
      </w:pPr>
      <w:r w:rsidRPr="00B2378C">
        <w:rPr>
          <w:rFonts w:eastAsia="Times New Roman"/>
          <w:bCs/>
          <w:color w:val="auto"/>
          <w:lang w:eastAsia="en-ZA"/>
        </w:rPr>
        <w:t>and</w:t>
      </w:r>
    </w:p>
    <w:p w14:paraId="0DED56BD" w14:textId="77777777" w:rsidR="00707240" w:rsidRPr="00707240" w:rsidRDefault="00707240" w:rsidP="00707240">
      <w:pPr>
        <w:spacing w:after="200" w:line="276" w:lineRule="auto"/>
        <w:jc w:val="both"/>
        <w:rPr>
          <w:rFonts w:eastAsia="Times New Roman"/>
          <w:b/>
          <w:color w:val="auto"/>
          <w:lang w:eastAsia="en-ZA"/>
        </w:rPr>
      </w:pPr>
    </w:p>
    <w:p w14:paraId="6525512C" w14:textId="77777777" w:rsidR="00707240" w:rsidRPr="00707240" w:rsidRDefault="00707240" w:rsidP="00707240">
      <w:pPr>
        <w:spacing w:after="200" w:line="276" w:lineRule="auto"/>
        <w:jc w:val="both"/>
        <w:rPr>
          <w:rFonts w:eastAsia="Times New Roman"/>
          <w:b/>
          <w:color w:val="auto"/>
          <w:lang w:eastAsia="en-ZA"/>
        </w:rPr>
      </w:pPr>
      <w:r>
        <w:rPr>
          <w:rFonts w:eastAsia="Times New Roman"/>
          <w:b/>
          <w:color w:val="auto"/>
          <w:lang w:eastAsia="en-ZA"/>
        </w:rPr>
        <w:t>MINISTER OF POLICE</w:t>
      </w:r>
      <w:r w:rsidRPr="00707240">
        <w:rPr>
          <w:rFonts w:eastAsia="Times New Roman"/>
          <w:b/>
          <w:color w:val="auto"/>
          <w:lang w:eastAsia="en-ZA"/>
        </w:rPr>
        <w:tab/>
      </w:r>
      <w:r w:rsidRPr="00707240">
        <w:rPr>
          <w:rFonts w:eastAsia="Times New Roman"/>
          <w:b/>
          <w:color w:val="auto"/>
          <w:lang w:eastAsia="en-ZA"/>
        </w:rPr>
        <w:tab/>
        <w:t xml:space="preserve">   </w:t>
      </w:r>
      <w:r>
        <w:rPr>
          <w:rFonts w:eastAsia="Times New Roman"/>
          <w:b/>
          <w:color w:val="auto"/>
          <w:lang w:eastAsia="en-ZA"/>
        </w:rPr>
        <w:tab/>
      </w:r>
      <w:r>
        <w:rPr>
          <w:rFonts w:eastAsia="Times New Roman"/>
          <w:b/>
          <w:color w:val="auto"/>
          <w:lang w:eastAsia="en-ZA"/>
        </w:rPr>
        <w:tab/>
      </w:r>
      <w:r>
        <w:rPr>
          <w:rFonts w:eastAsia="Times New Roman"/>
          <w:b/>
          <w:color w:val="auto"/>
          <w:lang w:eastAsia="en-ZA"/>
        </w:rPr>
        <w:tab/>
      </w:r>
      <w:r>
        <w:rPr>
          <w:rFonts w:eastAsia="Times New Roman"/>
          <w:b/>
          <w:color w:val="auto"/>
          <w:lang w:eastAsia="en-ZA"/>
        </w:rPr>
        <w:tab/>
      </w:r>
      <w:r>
        <w:rPr>
          <w:rFonts w:eastAsia="Times New Roman"/>
          <w:b/>
          <w:color w:val="auto"/>
          <w:lang w:eastAsia="en-ZA"/>
        </w:rPr>
        <w:tab/>
        <w:t xml:space="preserve">    </w:t>
      </w:r>
      <w:r w:rsidRPr="00707240">
        <w:rPr>
          <w:rFonts w:eastAsia="Times New Roman"/>
          <w:b/>
          <w:color w:val="auto"/>
          <w:lang w:eastAsia="en-ZA"/>
        </w:rPr>
        <w:t>DEFENDANT</w:t>
      </w:r>
    </w:p>
    <w:p w14:paraId="63A7EDE2" w14:textId="77777777" w:rsidR="00707240" w:rsidRPr="00707240" w:rsidRDefault="00707240" w:rsidP="00707240">
      <w:pPr>
        <w:pBdr>
          <w:top w:val="single" w:sz="12" w:space="1" w:color="auto"/>
          <w:bottom w:val="single" w:sz="12" w:space="1" w:color="auto"/>
        </w:pBdr>
        <w:spacing w:after="200" w:line="276" w:lineRule="auto"/>
        <w:jc w:val="center"/>
        <w:rPr>
          <w:rFonts w:eastAsia="Times New Roman"/>
          <w:b/>
          <w:color w:val="auto"/>
          <w:lang w:eastAsia="en-ZA"/>
        </w:rPr>
      </w:pPr>
    </w:p>
    <w:p w14:paraId="3C5DDC55" w14:textId="77777777" w:rsidR="00707240" w:rsidRPr="00707240" w:rsidRDefault="00707240" w:rsidP="00707240">
      <w:pPr>
        <w:pBdr>
          <w:top w:val="single" w:sz="12" w:space="1" w:color="auto"/>
          <w:bottom w:val="single" w:sz="12" w:space="1" w:color="auto"/>
        </w:pBdr>
        <w:spacing w:after="200" w:line="276" w:lineRule="auto"/>
        <w:jc w:val="center"/>
        <w:rPr>
          <w:rFonts w:eastAsia="Times New Roman"/>
          <w:b/>
          <w:color w:val="auto"/>
          <w:sz w:val="28"/>
          <w:szCs w:val="28"/>
          <w:lang w:eastAsia="en-ZA"/>
        </w:rPr>
      </w:pPr>
      <w:r w:rsidRPr="00707240">
        <w:rPr>
          <w:rFonts w:eastAsia="Times New Roman"/>
          <w:b/>
          <w:color w:val="auto"/>
          <w:sz w:val="28"/>
          <w:szCs w:val="28"/>
          <w:lang w:eastAsia="en-ZA"/>
        </w:rPr>
        <w:t>JUDGMENT</w:t>
      </w:r>
    </w:p>
    <w:p w14:paraId="77DA6B90" w14:textId="77777777" w:rsidR="00707240" w:rsidRPr="00707240" w:rsidRDefault="00707240" w:rsidP="00707240">
      <w:pPr>
        <w:pBdr>
          <w:top w:val="single" w:sz="12" w:space="1" w:color="auto"/>
          <w:bottom w:val="single" w:sz="12" w:space="1" w:color="auto"/>
        </w:pBdr>
        <w:spacing w:after="200" w:line="276" w:lineRule="auto"/>
        <w:jc w:val="center"/>
        <w:rPr>
          <w:rFonts w:eastAsia="Times New Roman"/>
          <w:b/>
          <w:color w:val="auto"/>
          <w:lang w:eastAsia="en-ZA"/>
        </w:rPr>
      </w:pPr>
    </w:p>
    <w:p w14:paraId="115D667B" w14:textId="77777777" w:rsidR="00707240" w:rsidRDefault="00707240" w:rsidP="00707240">
      <w:pPr>
        <w:spacing w:after="200" w:line="480" w:lineRule="auto"/>
        <w:jc w:val="both"/>
        <w:rPr>
          <w:rFonts w:eastAsia="Times New Roman"/>
          <w:b/>
          <w:color w:val="auto"/>
          <w:lang w:eastAsia="en-ZA"/>
        </w:rPr>
      </w:pPr>
      <w:r w:rsidRPr="00707240">
        <w:rPr>
          <w:rFonts w:eastAsia="Times New Roman"/>
          <w:b/>
          <w:color w:val="auto"/>
          <w:lang w:eastAsia="en-ZA"/>
        </w:rPr>
        <w:t>CENGANI</w:t>
      </w:r>
      <w:r>
        <w:rPr>
          <w:rFonts w:eastAsia="Times New Roman"/>
          <w:b/>
          <w:color w:val="auto"/>
          <w:lang w:eastAsia="en-ZA"/>
        </w:rPr>
        <w:t xml:space="preserve"> </w:t>
      </w:r>
      <w:r w:rsidRPr="00707240">
        <w:rPr>
          <w:rFonts w:eastAsia="Times New Roman"/>
          <w:b/>
          <w:color w:val="auto"/>
          <w:lang w:eastAsia="en-ZA"/>
        </w:rPr>
        <w:t>-</w:t>
      </w:r>
      <w:r>
        <w:rPr>
          <w:rFonts w:eastAsia="Times New Roman"/>
          <w:b/>
          <w:color w:val="auto"/>
          <w:lang w:eastAsia="en-ZA"/>
        </w:rPr>
        <w:t xml:space="preserve"> </w:t>
      </w:r>
      <w:r w:rsidRPr="00707240">
        <w:rPr>
          <w:rFonts w:eastAsia="Times New Roman"/>
          <w:b/>
          <w:color w:val="auto"/>
          <w:lang w:eastAsia="en-ZA"/>
        </w:rPr>
        <w:t>MBAKAZA AJ</w:t>
      </w:r>
    </w:p>
    <w:p w14:paraId="47313734" w14:textId="77777777" w:rsidR="00707240" w:rsidRPr="00B2378C" w:rsidRDefault="00707240" w:rsidP="00707240">
      <w:pPr>
        <w:spacing w:after="200" w:line="480" w:lineRule="auto"/>
        <w:jc w:val="both"/>
        <w:rPr>
          <w:rFonts w:eastAsia="Times New Roman"/>
          <w:b/>
          <w:color w:val="auto"/>
          <w:u w:val="single"/>
          <w:lang w:eastAsia="en-ZA"/>
        </w:rPr>
      </w:pPr>
      <w:r w:rsidRPr="00B2378C">
        <w:rPr>
          <w:rFonts w:eastAsia="Times New Roman"/>
          <w:b/>
          <w:color w:val="auto"/>
          <w:u w:val="single"/>
          <w:lang w:eastAsia="en-ZA"/>
        </w:rPr>
        <w:t>Introduction</w:t>
      </w:r>
    </w:p>
    <w:p w14:paraId="461F9A69" w14:textId="77777777" w:rsidR="00707240" w:rsidRDefault="00707240" w:rsidP="00707240">
      <w:pPr>
        <w:spacing w:after="200" w:line="480" w:lineRule="auto"/>
        <w:jc w:val="both"/>
        <w:rPr>
          <w:rFonts w:eastAsia="Times New Roman"/>
          <w:color w:val="auto"/>
          <w:lang w:val="en-GB" w:eastAsia="en-ZA"/>
        </w:rPr>
      </w:pPr>
      <w:r w:rsidRPr="00707240">
        <w:rPr>
          <w:rFonts w:eastAsia="Times New Roman"/>
          <w:color w:val="auto"/>
          <w:lang w:eastAsia="en-ZA"/>
        </w:rPr>
        <w:t>[1]</w:t>
      </w:r>
      <w:r w:rsidRPr="00707240">
        <w:rPr>
          <w:rFonts w:eastAsia="Times New Roman"/>
          <w:color w:val="auto"/>
          <w:lang w:eastAsia="en-ZA"/>
        </w:rPr>
        <w:tab/>
      </w:r>
      <w:r w:rsidRPr="00707240">
        <w:rPr>
          <w:rFonts w:eastAsia="Times New Roman"/>
          <w:color w:val="auto"/>
          <w:lang w:val="en-GB" w:eastAsia="en-ZA"/>
        </w:rPr>
        <w:t xml:space="preserve">On 28 February 2020, Mr </w:t>
      </w:r>
      <w:proofErr w:type="spellStart"/>
      <w:r w:rsidRPr="00707240">
        <w:rPr>
          <w:rFonts w:eastAsia="Times New Roman"/>
          <w:color w:val="auto"/>
          <w:lang w:val="en-GB" w:eastAsia="en-ZA"/>
        </w:rPr>
        <w:t>Ludwe</w:t>
      </w:r>
      <w:proofErr w:type="spellEnd"/>
      <w:r w:rsidRPr="00707240">
        <w:rPr>
          <w:rFonts w:eastAsia="Times New Roman"/>
          <w:color w:val="auto"/>
          <w:lang w:val="en-GB" w:eastAsia="en-ZA"/>
        </w:rPr>
        <w:t xml:space="preserve"> </w:t>
      </w:r>
      <w:proofErr w:type="spellStart"/>
      <w:r w:rsidRPr="00707240">
        <w:rPr>
          <w:rFonts w:eastAsia="Times New Roman"/>
          <w:color w:val="auto"/>
          <w:lang w:val="en-GB" w:eastAsia="en-ZA"/>
        </w:rPr>
        <w:t>Skepe</w:t>
      </w:r>
      <w:proofErr w:type="spellEnd"/>
      <w:r w:rsidRPr="00707240">
        <w:rPr>
          <w:rFonts w:eastAsia="Times New Roman"/>
          <w:color w:val="auto"/>
          <w:lang w:val="en-GB" w:eastAsia="en-ZA"/>
        </w:rPr>
        <w:t xml:space="preserve"> (the plaintiff) issued a combined summons in this court for damages arising out of unlawful arrest and detention against the Minister of Police (the defendant). The defendant is sued in his capacity as the Minister in charge of the members of his department, the South African Police </w:t>
      </w:r>
      <w:r w:rsidRPr="00707240">
        <w:rPr>
          <w:rFonts w:eastAsia="Times New Roman"/>
          <w:color w:val="auto"/>
          <w:lang w:val="en-GB" w:eastAsia="en-ZA"/>
        </w:rPr>
        <w:lastRenderedPageBreak/>
        <w:t xml:space="preserve">Services (SAPS). In law, the defendant is </w:t>
      </w:r>
      <w:r w:rsidR="00AA2305">
        <w:rPr>
          <w:rFonts w:eastAsia="Times New Roman"/>
          <w:color w:val="auto"/>
          <w:lang w:val="en-GB" w:eastAsia="en-ZA"/>
        </w:rPr>
        <w:t>vicariously</w:t>
      </w:r>
      <w:r w:rsidRPr="00707240">
        <w:rPr>
          <w:rFonts w:eastAsia="Times New Roman"/>
          <w:color w:val="auto"/>
          <w:lang w:val="en-GB" w:eastAsia="en-ZA"/>
        </w:rPr>
        <w:t xml:space="preserve"> liable for the delicts committed by the members of SAPS while acting within the course and scope of their employment.</w:t>
      </w:r>
    </w:p>
    <w:p w14:paraId="457383CA" w14:textId="77777777" w:rsidR="00707240" w:rsidRDefault="00707240" w:rsidP="00707240">
      <w:pPr>
        <w:spacing w:after="200" w:line="480" w:lineRule="auto"/>
        <w:jc w:val="both"/>
        <w:rPr>
          <w:lang w:val="en-GB"/>
        </w:rPr>
      </w:pPr>
    </w:p>
    <w:p w14:paraId="7B93A775" w14:textId="77777777" w:rsidR="00707240" w:rsidRDefault="00707240" w:rsidP="00707240">
      <w:pPr>
        <w:spacing w:after="200" w:line="480" w:lineRule="auto"/>
        <w:jc w:val="both"/>
        <w:rPr>
          <w:rFonts w:eastAsia="Times New Roman"/>
          <w:color w:val="auto"/>
          <w:lang w:val="en-GB" w:eastAsia="en-ZA"/>
        </w:rPr>
      </w:pPr>
      <w:r>
        <w:rPr>
          <w:lang w:val="en-GB"/>
        </w:rPr>
        <w:t>[2]</w:t>
      </w:r>
      <w:r>
        <w:rPr>
          <w:lang w:val="en-GB"/>
        </w:rPr>
        <w:tab/>
      </w:r>
      <w:r w:rsidRPr="00707240">
        <w:rPr>
          <w:rFonts w:eastAsia="Times New Roman"/>
          <w:color w:val="auto"/>
          <w:lang w:val="en-GB" w:eastAsia="en-ZA"/>
        </w:rPr>
        <w:t>In the pleadings, the plaintiff alleged that on 26 September 2017 around 14h40, the plaintiff was wrongfully and unlawfully arrested by</w:t>
      </w:r>
      <w:r w:rsidR="000F37DB">
        <w:rPr>
          <w:rFonts w:eastAsia="Times New Roman"/>
          <w:color w:val="auto"/>
          <w:lang w:val="en-GB" w:eastAsia="en-ZA"/>
        </w:rPr>
        <w:t xml:space="preserve"> </w:t>
      </w:r>
      <w:proofErr w:type="gramStart"/>
      <w:r w:rsidR="000F37DB">
        <w:rPr>
          <w:rFonts w:eastAsia="Times New Roman"/>
          <w:color w:val="auto"/>
          <w:lang w:val="en-GB" w:eastAsia="en-ZA"/>
        </w:rPr>
        <w:t>the</w:t>
      </w:r>
      <w:r w:rsidRPr="00707240">
        <w:rPr>
          <w:rFonts w:eastAsia="Times New Roman"/>
          <w:color w:val="auto"/>
          <w:lang w:val="en-GB" w:eastAsia="en-ZA"/>
        </w:rPr>
        <w:t xml:space="preserve">  members</w:t>
      </w:r>
      <w:proofErr w:type="gramEnd"/>
      <w:r w:rsidRPr="00707240">
        <w:rPr>
          <w:rFonts w:eastAsia="Times New Roman"/>
          <w:color w:val="auto"/>
          <w:lang w:val="en-GB" w:eastAsia="en-ZA"/>
        </w:rPr>
        <w:t xml:space="preserve"> of SAPS without producing a warrant for his arrest. The plaintiff was accused of having committed an offence of theft of a motor vehicle tyre at or near Sprigg Street, Mthatha.</w:t>
      </w:r>
    </w:p>
    <w:p w14:paraId="6A8C33DB" w14:textId="77777777" w:rsidR="00707240" w:rsidRDefault="00707240" w:rsidP="00707240">
      <w:pPr>
        <w:spacing w:after="200" w:line="480" w:lineRule="auto"/>
        <w:jc w:val="both"/>
        <w:rPr>
          <w:rFonts w:eastAsia="Times New Roman"/>
          <w:color w:val="auto"/>
          <w:lang w:val="en-GB" w:eastAsia="en-ZA"/>
        </w:rPr>
      </w:pPr>
    </w:p>
    <w:p w14:paraId="1FAE383F" w14:textId="77777777" w:rsidR="00707240" w:rsidRDefault="00707240" w:rsidP="00707240">
      <w:pPr>
        <w:spacing w:after="200" w:line="480" w:lineRule="auto"/>
        <w:jc w:val="both"/>
        <w:rPr>
          <w:rFonts w:eastAsia="Times New Roman"/>
          <w:color w:val="auto"/>
          <w:lang w:val="en-GB" w:eastAsia="en-ZA"/>
        </w:rPr>
      </w:pPr>
      <w:r w:rsidRPr="00707240">
        <w:rPr>
          <w:lang w:val="en-GB"/>
        </w:rPr>
        <w:t xml:space="preserve"> </w:t>
      </w:r>
      <w:r w:rsidRPr="00707240">
        <w:rPr>
          <w:rFonts w:eastAsia="Times New Roman"/>
          <w:color w:val="auto"/>
          <w:lang w:val="en-GB" w:eastAsia="en-ZA"/>
        </w:rPr>
        <w:t>[3]</w:t>
      </w:r>
      <w:r w:rsidRPr="00707240">
        <w:rPr>
          <w:rFonts w:eastAsia="Times New Roman"/>
          <w:color w:val="auto"/>
          <w:lang w:val="en-GB" w:eastAsia="en-ZA"/>
        </w:rPr>
        <w:tab/>
        <w:t>Following his arrest, he was transported to Madeira police station where he was detained. He appeared in court on 27 September 2017 and was later released after numerous postponements of the matter.</w:t>
      </w:r>
    </w:p>
    <w:p w14:paraId="79B07AA3" w14:textId="77777777" w:rsidR="00707240" w:rsidRPr="00707240" w:rsidRDefault="00707240" w:rsidP="00707240">
      <w:pPr>
        <w:spacing w:after="200" w:line="480" w:lineRule="auto"/>
        <w:jc w:val="both"/>
        <w:rPr>
          <w:rFonts w:eastAsia="Times New Roman"/>
          <w:color w:val="auto"/>
          <w:lang w:val="en-GB" w:eastAsia="en-ZA"/>
        </w:rPr>
      </w:pPr>
    </w:p>
    <w:p w14:paraId="025DB070" w14:textId="77777777" w:rsidR="00707240" w:rsidRPr="00707240" w:rsidRDefault="00707240" w:rsidP="00707240">
      <w:pPr>
        <w:spacing w:after="200" w:line="480" w:lineRule="auto"/>
        <w:jc w:val="both"/>
        <w:rPr>
          <w:rFonts w:eastAsia="Times New Roman"/>
          <w:color w:val="auto"/>
          <w:lang w:val="en-GB" w:eastAsia="en-ZA"/>
        </w:rPr>
      </w:pPr>
      <w:r w:rsidRPr="00707240">
        <w:rPr>
          <w:rFonts w:eastAsia="Times New Roman"/>
          <w:color w:val="auto"/>
          <w:lang w:val="en-GB" w:eastAsia="en-ZA"/>
        </w:rPr>
        <w:t>[4]</w:t>
      </w:r>
      <w:r w:rsidRPr="00707240">
        <w:rPr>
          <w:rFonts w:eastAsia="Times New Roman"/>
          <w:color w:val="auto"/>
          <w:lang w:val="en-GB" w:eastAsia="en-ZA"/>
        </w:rPr>
        <w:tab/>
        <w:t xml:space="preserve">The plaintiff holds the defendant vicariously liable for the pleaded breaches including the sequelae suffered as a result thereof. The plaintiff seeks payment of damages as a </w:t>
      </w:r>
      <w:r w:rsidRPr="00707240">
        <w:rPr>
          <w:rFonts w:eastAsia="Times New Roman"/>
          <w:i/>
          <w:color w:val="auto"/>
          <w:lang w:val="en-GB" w:eastAsia="en-ZA"/>
        </w:rPr>
        <w:t>solatium f</w:t>
      </w:r>
      <w:r w:rsidRPr="00707240">
        <w:rPr>
          <w:rFonts w:eastAsia="Times New Roman"/>
          <w:color w:val="auto"/>
          <w:lang w:val="en-GB" w:eastAsia="en-ZA"/>
        </w:rPr>
        <w:t>or injuries to dignity, liberty and personal feelings. Ultimately, the plaintiff seeks:</w:t>
      </w:r>
    </w:p>
    <w:p w14:paraId="5F46577B" w14:textId="77777777" w:rsidR="00707240" w:rsidRPr="00707240" w:rsidRDefault="00707240" w:rsidP="00707240">
      <w:pPr>
        <w:numPr>
          <w:ilvl w:val="0"/>
          <w:numId w:val="27"/>
        </w:numPr>
        <w:spacing w:after="200" w:line="480" w:lineRule="auto"/>
        <w:jc w:val="both"/>
        <w:rPr>
          <w:rFonts w:eastAsia="Times New Roman"/>
          <w:color w:val="auto"/>
          <w:lang w:val="en-GB" w:eastAsia="en-ZA"/>
        </w:rPr>
      </w:pPr>
      <w:r w:rsidRPr="00707240">
        <w:rPr>
          <w:rFonts w:eastAsia="Times New Roman"/>
          <w:color w:val="auto"/>
          <w:lang w:val="en-GB" w:eastAsia="en-ZA"/>
        </w:rPr>
        <w:t>R200 000 (Two hundred thousand rand) for unlawful arrest;</w:t>
      </w:r>
    </w:p>
    <w:p w14:paraId="2896FCA1" w14:textId="77777777" w:rsidR="00707240" w:rsidRPr="00707240" w:rsidRDefault="00707240" w:rsidP="00707240">
      <w:pPr>
        <w:numPr>
          <w:ilvl w:val="0"/>
          <w:numId w:val="27"/>
        </w:numPr>
        <w:spacing w:after="200" w:line="480" w:lineRule="auto"/>
        <w:jc w:val="both"/>
        <w:rPr>
          <w:rFonts w:eastAsia="Times New Roman"/>
          <w:color w:val="auto"/>
          <w:lang w:val="en-GB" w:eastAsia="en-ZA"/>
        </w:rPr>
      </w:pPr>
      <w:r w:rsidRPr="00707240">
        <w:rPr>
          <w:rFonts w:eastAsia="Times New Roman"/>
          <w:color w:val="auto"/>
          <w:lang w:val="en-GB" w:eastAsia="en-ZA"/>
        </w:rPr>
        <w:t>R300 000 (Three hundred thousand rand) for unlawful detention; and</w:t>
      </w:r>
    </w:p>
    <w:p w14:paraId="43666908" w14:textId="77777777" w:rsidR="00707240" w:rsidRPr="00707240" w:rsidRDefault="00707240" w:rsidP="00707240">
      <w:pPr>
        <w:numPr>
          <w:ilvl w:val="0"/>
          <w:numId w:val="27"/>
        </w:numPr>
        <w:spacing w:after="200" w:line="480" w:lineRule="auto"/>
        <w:jc w:val="both"/>
        <w:rPr>
          <w:rFonts w:eastAsia="Times New Roman"/>
          <w:color w:val="auto"/>
          <w:lang w:val="en-GB" w:eastAsia="en-ZA"/>
        </w:rPr>
      </w:pPr>
      <w:r w:rsidRPr="00707240">
        <w:rPr>
          <w:rFonts w:eastAsia="Times New Roman"/>
          <w:color w:val="auto"/>
          <w:lang w:val="en-GB" w:eastAsia="en-ZA"/>
        </w:rPr>
        <w:t>R600 000 (</w:t>
      </w:r>
      <w:r w:rsidR="00391029">
        <w:rPr>
          <w:rFonts w:eastAsia="Times New Roman"/>
          <w:color w:val="auto"/>
          <w:lang w:val="en-GB" w:eastAsia="en-ZA"/>
        </w:rPr>
        <w:t>S</w:t>
      </w:r>
      <w:r w:rsidRPr="00707240">
        <w:rPr>
          <w:rFonts w:eastAsia="Times New Roman"/>
          <w:color w:val="auto"/>
          <w:lang w:val="en-GB" w:eastAsia="en-ZA"/>
        </w:rPr>
        <w:t xml:space="preserve">ix hundred thousand rand) for </w:t>
      </w:r>
      <w:proofErr w:type="spellStart"/>
      <w:r w:rsidRPr="00707240">
        <w:rPr>
          <w:rFonts w:eastAsia="Times New Roman"/>
          <w:color w:val="auto"/>
          <w:lang w:val="en-GB" w:eastAsia="en-ZA"/>
        </w:rPr>
        <w:t>contumelia</w:t>
      </w:r>
      <w:proofErr w:type="spellEnd"/>
      <w:r w:rsidRPr="00707240">
        <w:rPr>
          <w:rFonts w:eastAsia="Times New Roman"/>
          <w:color w:val="auto"/>
          <w:lang w:val="en-GB" w:eastAsia="en-ZA"/>
        </w:rPr>
        <w:t>.</w:t>
      </w:r>
    </w:p>
    <w:p w14:paraId="4AD828C1" w14:textId="77777777" w:rsidR="00707240" w:rsidRPr="00707240" w:rsidRDefault="00707240" w:rsidP="00707240">
      <w:pPr>
        <w:spacing w:after="200" w:line="480" w:lineRule="auto"/>
        <w:jc w:val="both"/>
        <w:rPr>
          <w:rFonts w:eastAsia="Times New Roman"/>
          <w:color w:val="auto"/>
          <w:lang w:val="en-GB" w:eastAsia="en-ZA"/>
        </w:rPr>
      </w:pPr>
    </w:p>
    <w:p w14:paraId="61A04D93" w14:textId="77777777" w:rsidR="00707240" w:rsidRPr="00707240" w:rsidRDefault="00707240" w:rsidP="00707240">
      <w:pPr>
        <w:spacing w:after="200" w:line="480" w:lineRule="auto"/>
        <w:jc w:val="both"/>
        <w:rPr>
          <w:rFonts w:eastAsia="Times New Roman"/>
          <w:color w:val="auto"/>
          <w:lang w:val="en-GB" w:eastAsia="en-ZA"/>
        </w:rPr>
      </w:pPr>
      <w:r w:rsidRPr="00707240">
        <w:rPr>
          <w:rFonts w:eastAsia="Times New Roman"/>
          <w:color w:val="auto"/>
          <w:lang w:val="en-GB" w:eastAsia="en-ZA"/>
        </w:rPr>
        <w:lastRenderedPageBreak/>
        <w:t>[5]</w:t>
      </w:r>
      <w:r w:rsidRPr="00707240">
        <w:rPr>
          <w:rFonts w:eastAsia="Times New Roman"/>
          <w:color w:val="auto"/>
          <w:lang w:val="en-GB" w:eastAsia="en-ZA"/>
        </w:rPr>
        <w:tab/>
        <w:t xml:space="preserve">In resisting the claim, the defendant filed a plea and alleged that the arrest and subsequent detention of the plaintiff was justified. To substantiate, the defendant alleged that the arrest was effected in terms of Section 40(1) (a) of the Criminal Procedure Act 51 of 1977 (CPA). </w:t>
      </w:r>
      <w:r w:rsidR="00AA2305">
        <w:rPr>
          <w:rFonts w:eastAsia="Times New Roman"/>
          <w:color w:val="auto"/>
          <w:lang w:val="en-GB" w:eastAsia="en-ZA"/>
        </w:rPr>
        <w:t>It was alleged that t</w:t>
      </w:r>
      <w:r w:rsidRPr="00707240">
        <w:rPr>
          <w:rFonts w:eastAsia="Times New Roman"/>
          <w:color w:val="auto"/>
          <w:lang w:val="en-GB" w:eastAsia="en-ZA"/>
        </w:rPr>
        <w:t>he plaintiff</w:t>
      </w:r>
      <w:r w:rsidR="007040CA">
        <w:rPr>
          <w:rFonts w:eastAsia="Times New Roman"/>
          <w:color w:val="auto"/>
          <w:lang w:val="en-GB" w:eastAsia="en-ZA"/>
        </w:rPr>
        <w:t>, together with his erstwhile co-</w:t>
      </w:r>
      <w:proofErr w:type="gramStart"/>
      <w:r w:rsidR="007040CA">
        <w:rPr>
          <w:rFonts w:eastAsia="Times New Roman"/>
          <w:color w:val="auto"/>
          <w:lang w:val="en-GB" w:eastAsia="en-ZA"/>
        </w:rPr>
        <w:t>accused,</w:t>
      </w:r>
      <w:r w:rsidRPr="00707240">
        <w:rPr>
          <w:rFonts w:eastAsia="Times New Roman"/>
          <w:color w:val="auto"/>
          <w:lang w:val="en-GB" w:eastAsia="en-ZA"/>
        </w:rPr>
        <w:t xml:space="preserve">  stole</w:t>
      </w:r>
      <w:proofErr w:type="gramEnd"/>
      <w:r w:rsidRPr="00707240">
        <w:rPr>
          <w:rFonts w:eastAsia="Times New Roman"/>
          <w:color w:val="auto"/>
          <w:lang w:val="en-GB" w:eastAsia="en-ZA"/>
        </w:rPr>
        <w:t xml:space="preserve"> a motor vehicle tyre from </w:t>
      </w:r>
      <w:r w:rsidR="00AA2305">
        <w:rPr>
          <w:rFonts w:eastAsia="Times New Roman"/>
          <w:color w:val="auto"/>
          <w:lang w:val="en-GB" w:eastAsia="en-ZA"/>
        </w:rPr>
        <w:t xml:space="preserve"> a</w:t>
      </w:r>
      <w:r w:rsidRPr="00707240">
        <w:rPr>
          <w:rFonts w:eastAsia="Times New Roman"/>
          <w:color w:val="auto"/>
          <w:lang w:val="en-GB" w:eastAsia="en-ZA"/>
        </w:rPr>
        <w:t xml:space="preserve"> Nissan bakkie with registration letters and numbers NP 200 which was parked at Sprigg Street. </w:t>
      </w:r>
      <w:proofErr w:type="gramStart"/>
      <w:r w:rsidRPr="00707240">
        <w:rPr>
          <w:rFonts w:eastAsia="Times New Roman"/>
          <w:color w:val="auto"/>
          <w:lang w:val="en-GB" w:eastAsia="en-ZA"/>
        </w:rPr>
        <w:t>Th</w:t>
      </w:r>
      <w:r w:rsidR="007040CA">
        <w:rPr>
          <w:rFonts w:eastAsia="Times New Roman"/>
          <w:color w:val="auto"/>
          <w:lang w:val="en-GB" w:eastAsia="en-ZA"/>
        </w:rPr>
        <w:t>e</w:t>
      </w:r>
      <w:r w:rsidRPr="00707240">
        <w:rPr>
          <w:rFonts w:eastAsia="Times New Roman"/>
          <w:color w:val="auto"/>
          <w:lang w:val="en-GB" w:eastAsia="en-ZA"/>
        </w:rPr>
        <w:t xml:space="preserve"> </w:t>
      </w:r>
      <w:r w:rsidR="00683C62">
        <w:rPr>
          <w:rFonts w:eastAsia="Times New Roman"/>
          <w:color w:val="auto"/>
          <w:lang w:val="en-GB" w:eastAsia="en-ZA"/>
        </w:rPr>
        <w:t xml:space="preserve"> said</w:t>
      </w:r>
      <w:proofErr w:type="gramEnd"/>
      <w:r w:rsidR="00683C62">
        <w:rPr>
          <w:rFonts w:eastAsia="Times New Roman"/>
          <w:color w:val="auto"/>
          <w:lang w:val="en-GB" w:eastAsia="en-ZA"/>
        </w:rPr>
        <w:t xml:space="preserve"> </w:t>
      </w:r>
      <w:r w:rsidR="007040CA">
        <w:rPr>
          <w:rFonts w:eastAsia="Times New Roman"/>
          <w:color w:val="auto"/>
          <w:lang w:val="en-GB" w:eastAsia="en-ZA"/>
        </w:rPr>
        <w:t xml:space="preserve"> offence was committed</w:t>
      </w:r>
      <w:r w:rsidRPr="00707240">
        <w:rPr>
          <w:rFonts w:eastAsia="Times New Roman"/>
          <w:color w:val="auto"/>
          <w:lang w:val="en-GB" w:eastAsia="en-ZA"/>
        </w:rPr>
        <w:t xml:space="preserve"> in the presence of the members of the SAPS. </w:t>
      </w:r>
    </w:p>
    <w:p w14:paraId="5DCCFBF5" w14:textId="77777777" w:rsidR="00707240" w:rsidRPr="00707240" w:rsidRDefault="00707240" w:rsidP="00707240">
      <w:pPr>
        <w:spacing w:after="200" w:line="480" w:lineRule="auto"/>
        <w:jc w:val="both"/>
        <w:rPr>
          <w:rFonts w:eastAsia="Times New Roman"/>
          <w:color w:val="auto"/>
          <w:lang w:val="en-GB" w:eastAsia="en-ZA"/>
        </w:rPr>
      </w:pPr>
    </w:p>
    <w:p w14:paraId="1BEAD400" w14:textId="77777777" w:rsidR="00707240" w:rsidRPr="00707240" w:rsidRDefault="00707240" w:rsidP="00707240">
      <w:pPr>
        <w:spacing w:after="200" w:line="480" w:lineRule="auto"/>
        <w:jc w:val="both"/>
        <w:rPr>
          <w:rFonts w:eastAsia="Times New Roman"/>
          <w:color w:val="auto"/>
          <w:u w:val="single"/>
          <w:lang w:val="en-GB" w:eastAsia="en-ZA"/>
        </w:rPr>
      </w:pPr>
      <w:r w:rsidRPr="00707240">
        <w:rPr>
          <w:rFonts w:eastAsia="Times New Roman"/>
          <w:color w:val="auto"/>
          <w:lang w:val="en-GB" w:eastAsia="en-ZA"/>
        </w:rPr>
        <w:t>[6]</w:t>
      </w:r>
      <w:r w:rsidRPr="00707240">
        <w:rPr>
          <w:rFonts w:eastAsia="Times New Roman"/>
          <w:color w:val="auto"/>
          <w:lang w:val="en-GB" w:eastAsia="en-ZA"/>
        </w:rPr>
        <w:tab/>
        <w:t xml:space="preserve">On the date of trial, the defendant withdrew a special plea regarding the plaintiffs’ compliance with the provisions of the Institution of Legal Proceedings against Certain Organs of the State, Act 40 of 2002. In terms </w:t>
      </w:r>
      <w:proofErr w:type="gramStart"/>
      <w:r w:rsidRPr="00707240">
        <w:rPr>
          <w:rFonts w:eastAsia="Times New Roman"/>
          <w:color w:val="auto"/>
          <w:lang w:val="en-GB" w:eastAsia="en-ZA"/>
        </w:rPr>
        <w:t>of  Uniform</w:t>
      </w:r>
      <w:proofErr w:type="gramEnd"/>
      <w:r w:rsidRPr="00707240">
        <w:rPr>
          <w:rFonts w:eastAsia="Times New Roman"/>
          <w:color w:val="auto"/>
          <w:lang w:val="en-GB" w:eastAsia="en-ZA"/>
        </w:rPr>
        <w:t xml:space="preserve"> Rule 33(4), I made an order that the merits be separated from quantum as agreed by the parties. The parties agreed further that the defendant bore the onus to justify </w:t>
      </w:r>
      <w:r w:rsidR="007040CA">
        <w:rPr>
          <w:rFonts w:eastAsia="Times New Roman"/>
          <w:color w:val="auto"/>
          <w:lang w:val="en-GB" w:eastAsia="en-ZA"/>
        </w:rPr>
        <w:t xml:space="preserve">the </w:t>
      </w:r>
      <w:r w:rsidRPr="00707240">
        <w:rPr>
          <w:rFonts w:eastAsia="Times New Roman"/>
          <w:color w:val="auto"/>
          <w:lang w:val="en-GB" w:eastAsia="en-ZA"/>
        </w:rPr>
        <w:t>arrest and that they would begin to lead evidence.</w:t>
      </w:r>
      <w:r w:rsidRPr="00707240">
        <w:rPr>
          <w:rFonts w:eastAsia="Times New Roman"/>
          <w:color w:val="auto"/>
          <w:u w:val="single"/>
          <w:lang w:val="en-GB" w:eastAsia="en-ZA"/>
        </w:rPr>
        <w:t xml:space="preserve"> </w:t>
      </w:r>
    </w:p>
    <w:p w14:paraId="1AD3D05B" w14:textId="77777777" w:rsidR="00707240" w:rsidRPr="00B2378C" w:rsidRDefault="00707240" w:rsidP="00707240">
      <w:pPr>
        <w:spacing w:after="200" w:line="480" w:lineRule="auto"/>
        <w:jc w:val="both"/>
        <w:rPr>
          <w:rFonts w:eastAsia="Times New Roman"/>
          <w:b/>
          <w:bCs/>
          <w:color w:val="auto"/>
          <w:u w:val="single"/>
          <w:lang w:val="en-GB" w:eastAsia="en-ZA"/>
        </w:rPr>
      </w:pPr>
    </w:p>
    <w:p w14:paraId="4AECEA0E" w14:textId="77777777" w:rsidR="00707240" w:rsidRPr="00B2378C" w:rsidRDefault="00707240" w:rsidP="00707240">
      <w:pPr>
        <w:spacing w:after="200" w:line="480" w:lineRule="auto"/>
        <w:jc w:val="both"/>
        <w:rPr>
          <w:rFonts w:eastAsia="Times New Roman"/>
          <w:b/>
          <w:bCs/>
          <w:color w:val="auto"/>
          <w:u w:val="single"/>
          <w:lang w:val="en-GB" w:eastAsia="en-ZA"/>
        </w:rPr>
      </w:pPr>
      <w:r w:rsidRPr="00B2378C">
        <w:rPr>
          <w:rFonts w:eastAsia="Times New Roman"/>
          <w:b/>
          <w:bCs/>
          <w:color w:val="auto"/>
          <w:u w:val="single"/>
          <w:lang w:val="en-GB" w:eastAsia="en-ZA"/>
        </w:rPr>
        <w:t>The defendant’s case</w:t>
      </w:r>
    </w:p>
    <w:p w14:paraId="7DDC015C" w14:textId="77777777" w:rsidR="00707240" w:rsidRPr="00707240" w:rsidRDefault="00707240" w:rsidP="00707240">
      <w:pPr>
        <w:spacing w:after="200" w:line="480" w:lineRule="auto"/>
        <w:jc w:val="both"/>
        <w:rPr>
          <w:rFonts w:eastAsia="Times New Roman"/>
          <w:color w:val="auto"/>
          <w:lang w:val="en-GB" w:eastAsia="en-ZA"/>
        </w:rPr>
      </w:pPr>
      <w:r w:rsidRPr="00707240">
        <w:rPr>
          <w:rFonts w:eastAsia="Times New Roman"/>
          <w:color w:val="auto"/>
          <w:lang w:val="en-GB" w:eastAsia="en-ZA"/>
        </w:rPr>
        <w:t>[7]</w:t>
      </w:r>
      <w:r w:rsidRPr="00707240">
        <w:rPr>
          <w:rFonts w:eastAsia="Times New Roman"/>
          <w:color w:val="auto"/>
          <w:lang w:val="en-GB" w:eastAsia="en-ZA"/>
        </w:rPr>
        <w:tab/>
        <w:t xml:space="preserve">Warrant officer </w:t>
      </w:r>
      <w:proofErr w:type="spellStart"/>
      <w:r w:rsidRPr="00707240">
        <w:rPr>
          <w:rFonts w:eastAsia="Times New Roman"/>
          <w:color w:val="auto"/>
          <w:lang w:val="en-GB" w:eastAsia="en-ZA"/>
        </w:rPr>
        <w:t>Sikhundla</w:t>
      </w:r>
      <w:proofErr w:type="spellEnd"/>
      <w:r w:rsidRPr="00707240">
        <w:rPr>
          <w:rFonts w:eastAsia="Times New Roman"/>
          <w:color w:val="auto"/>
          <w:lang w:val="en-GB" w:eastAsia="en-ZA"/>
        </w:rPr>
        <w:t xml:space="preserve"> (the arresting officer) testified that he has been working for SAPS, attached to the Crime Prevention unit for 33 years</w:t>
      </w:r>
      <w:r w:rsidR="00580F8F">
        <w:rPr>
          <w:rFonts w:eastAsia="Times New Roman"/>
          <w:color w:val="auto"/>
          <w:lang w:val="en-GB" w:eastAsia="en-ZA"/>
        </w:rPr>
        <w:t>.</w:t>
      </w:r>
      <w:r w:rsidRPr="00707240">
        <w:rPr>
          <w:rFonts w:eastAsia="Times New Roman"/>
          <w:color w:val="auto"/>
          <w:lang w:val="en-GB" w:eastAsia="en-ZA"/>
        </w:rPr>
        <w:t xml:space="preserve"> In September 2017, it was the police strategy to report on duty, conduct some checks and balances and map a plan on how to prevent crime in their area of jurisdiction. In their approach, it was decided that some officers would be visibl</w:t>
      </w:r>
      <w:r w:rsidR="000F37DB">
        <w:rPr>
          <w:rFonts w:eastAsia="Times New Roman"/>
          <w:color w:val="auto"/>
          <w:lang w:val="en-GB" w:eastAsia="en-ZA"/>
        </w:rPr>
        <w:t>e</w:t>
      </w:r>
      <w:r w:rsidR="0099211E">
        <w:rPr>
          <w:rFonts w:eastAsia="Times New Roman"/>
          <w:color w:val="auto"/>
          <w:lang w:val="en-GB" w:eastAsia="en-ZA"/>
        </w:rPr>
        <w:t>,</w:t>
      </w:r>
      <w:r w:rsidRPr="00707240">
        <w:rPr>
          <w:rFonts w:eastAsia="Times New Roman"/>
          <w:color w:val="auto"/>
          <w:lang w:val="en-GB" w:eastAsia="en-ZA"/>
        </w:rPr>
        <w:t xml:space="preserve"> patrolling in their police uniform and </w:t>
      </w:r>
      <w:proofErr w:type="gramStart"/>
      <w:r w:rsidRPr="00707240">
        <w:rPr>
          <w:rFonts w:eastAsia="Times New Roman"/>
          <w:color w:val="auto"/>
          <w:lang w:val="en-GB" w:eastAsia="en-ZA"/>
        </w:rPr>
        <w:t xml:space="preserve">some </w:t>
      </w:r>
      <w:r w:rsidR="00683C62">
        <w:rPr>
          <w:rFonts w:eastAsia="Times New Roman"/>
          <w:color w:val="auto"/>
          <w:lang w:val="en-GB" w:eastAsia="en-ZA"/>
        </w:rPr>
        <w:t xml:space="preserve"> in</w:t>
      </w:r>
      <w:proofErr w:type="gramEnd"/>
      <w:r w:rsidRPr="00707240">
        <w:rPr>
          <w:rFonts w:eastAsia="Times New Roman"/>
          <w:color w:val="auto"/>
          <w:lang w:val="en-GB" w:eastAsia="en-ZA"/>
        </w:rPr>
        <w:t xml:space="preserve"> civilian clothing. </w:t>
      </w:r>
    </w:p>
    <w:p w14:paraId="7C2D244C" w14:textId="77777777" w:rsidR="00707240" w:rsidRPr="00707240" w:rsidRDefault="00707240" w:rsidP="00707240">
      <w:pPr>
        <w:spacing w:after="200" w:line="480" w:lineRule="auto"/>
        <w:jc w:val="both"/>
        <w:rPr>
          <w:rFonts w:eastAsia="Times New Roman"/>
          <w:color w:val="auto"/>
          <w:lang w:val="en-GB" w:eastAsia="en-ZA"/>
        </w:rPr>
      </w:pPr>
    </w:p>
    <w:p w14:paraId="6AD67DCE" w14:textId="77777777" w:rsidR="00707240" w:rsidRPr="00707240" w:rsidRDefault="00707240" w:rsidP="00707240">
      <w:pPr>
        <w:spacing w:after="200" w:line="480" w:lineRule="auto"/>
        <w:jc w:val="both"/>
        <w:rPr>
          <w:rFonts w:eastAsia="Times New Roman"/>
          <w:color w:val="auto"/>
          <w:u w:val="single"/>
          <w:lang w:val="en-GB" w:eastAsia="en-ZA"/>
        </w:rPr>
      </w:pPr>
      <w:r w:rsidRPr="00707240">
        <w:rPr>
          <w:rFonts w:eastAsia="Times New Roman"/>
          <w:color w:val="auto"/>
          <w:lang w:val="en-GB" w:eastAsia="en-ZA"/>
        </w:rPr>
        <w:lastRenderedPageBreak/>
        <w:t>[8]</w:t>
      </w:r>
      <w:r w:rsidRPr="00707240">
        <w:rPr>
          <w:rFonts w:eastAsia="Times New Roman"/>
          <w:color w:val="auto"/>
          <w:lang w:val="en-GB" w:eastAsia="en-ZA"/>
        </w:rPr>
        <w:tab/>
        <w:t xml:space="preserve">On 26 September 2017, </w:t>
      </w:r>
      <w:r w:rsidR="007040CA">
        <w:rPr>
          <w:rFonts w:eastAsia="Times New Roman"/>
          <w:color w:val="auto"/>
          <w:lang w:val="en-GB" w:eastAsia="en-ZA"/>
        </w:rPr>
        <w:t xml:space="preserve">W/O </w:t>
      </w:r>
      <w:proofErr w:type="spellStart"/>
      <w:r w:rsidR="007040CA">
        <w:rPr>
          <w:rFonts w:eastAsia="Times New Roman"/>
          <w:color w:val="auto"/>
          <w:lang w:val="en-GB" w:eastAsia="en-ZA"/>
        </w:rPr>
        <w:t>Sikhundla</w:t>
      </w:r>
      <w:proofErr w:type="spellEnd"/>
      <w:r w:rsidRPr="00707240">
        <w:rPr>
          <w:rFonts w:eastAsia="Times New Roman"/>
          <w:color w:val="auto"/>
          <w:lang w:val="en-GB" w:eastAsia="en-ZA"/>
        </w:rPr>
        <w:t xml:space="preserve"> was in the company of his colleague, Warrant Officer </w:t>
      </w:r>
      <w:proofErr w:type="spellStart"/>
      <w:r w:rsidRPr="00707240">
        <w:rPr>
          <w:rFonts w:eastAsia="Times New Roman"/>
          <w:color w:val="auto"/>
          <w:lang w:val="en-GB" w:eastAsia="en-ZA"/>
        </w:rPr>
        <w:t>Sidima</w:t>
      </w:r>
      <w:proofErr w:type="spellEnd"/>
      <w:r w:rsidRPr="00707240">
        <w:rPr>
          <w:rFonts w:eastAsia="Times New Roman"/>
          <w:color w:val="auto"/>
          <w:lang w:val="en-GB" w:eastAsia="en-ZA"/>
        </w:rPr>
        <w:t xml:space="preserve"> </w:t>
      </w:r>
      <w:proofErr w:type="spellStart"/>
      <w:r w:rsidRPr="00707240">
        <w:rPr>
          <w:rFonts w:eastAsia="Times New Roman"/>
          <w:color w:val="auto"/>
          <w:lang w:val="en-GB" w:eastAsia="en-ZA"/>
        </w:rPr>
        <w:t>Nongoloza</w:t>
      </w:r>
      <w:proofErr w:type="spellEnd"/>
      <w:r w:rsidRPr="00707240">
        <w:rPr>
          <w:rFonts w:eastAsia="Times New Roman"/>
          <w:color w:val="auto"/>
          <w:lang w:val="en-GB" w:eastAsia="en-ZA"/>
        </w:rPr>
        <w:t xml:space="preserve"> (W</w:t>
      </w:r>
      <w:r w:rsidR="00AC77C2">
        <w:rPr>
          <w:rFonts w:eastAsia="Times New Roman"/>
          <w:color w:val="auto"/>
          <w:lang w:val="en-GB" w:eastAsia="en-ZA"/>
        </w:rPr>
        <w:t>/O</w:t>
      </w:r>
      <w:r w:rsidRPr="00707240">
        <w:rPr>
          <w:rFonts w:eastAsia="Times New Roman"/>
          <w:color w:val="auto"/>
          <w:lang w:val="en-GB" w:eastAsia="en-ZA"/>
        </w:rPr>
        <w:t xml:space="preserve"> </w:t>
      </w:r>
      <w:proofErr w:type="spellStart"/>
      <w:r w:rsidRPr="00707240">
        <w:rPr>
          <w:rFonts w:eastAsia="Times New Roman"/>
          <w:color w:val="auto"/>
          <w:lang w:val="en-GB" w:eastAsia="en-ZA"/>
        </w:rPr>
        <w:t>Nongoloza</w:t>
      </w:r>
      <w:proofErr w:type="spellEnd"/>
      <w:r w:rsidRPr="00707240">
        <w:rPr>
          <w:rFonts w:eastAsia="Times New Roman"/>
          <w:color w:val="auto"/>
          <w:lang w:val="en-GB" w:eastAsia="en-ZA"/>
        </w:rPr>
        <w:t>) patrolling around Sprigg Street in  civilian clothing</w:t>
      </w:r>
      <w:r w:rsidR="00683C62">
        <w:rPr>
          <w:rFonts w:eastAsia="Times New Roman"/>
          <w:color w:val="auto"/>
          <w:lang w:val="en-GB" w:eastAsia="en-ZA"/>
        </w:rPr>
        <w:t>, driving an unmarked police vehicle.</w:t>
      </w:r>
      <w:r w:rsidR="0099211E">
        <w:rPr>
          <w:rFonts w:eastAsia="Times New Roman"/>
          <w:color w:val="auto"/>
          <w:lang w:val="en-GB" w:eastAsia="en-ZA"/>
        </w:rPr>
        <w:t xml:space="preserve"> </w:t>
      </w:r>
      <w:r w:rsidR="007040CA">
        <w:rPr>
          <w:rFonts w:eastAsia="Times New Roman"/>
          <w:color w:val="auto"/>
          <w:lang w:val="en-GB" w:eastAsia="en-ZA"/>
        </w:rPr>
        <w:t xml:space="preserve">In the tour of their </w:t>
      </w:r>
      <w:proofErr w:type="spellStart"/>
      <w:r w:rsidRPr="00707240">
        <w:rPr>
          <w:rFonts w:eastAsia="Times New Roman"/>
          <w:color w:val="auto"/>
          <w:lang w:val="en-GB" w:eastAsia="en-ZA"/>
        </w:rPr>
        <w:t>patroll</w:t>
      </w:r>
      <w:proofErr w:type="spellEnd"/>
      <w:r w:rsidRPr="00707240">
        <w:rPr>
          <w:rFonts w:eastAsia="Times New Roman"/>
          <w:color w:val="auto"/>
          <w:lang w:val="en-GB" w:eastAsia="en-ZA"/>
        </w:rPr>
        <w:t>, they parked their motor vehicle</w:t>
      </w:r>
      <w:r w:rsidR="0099211E">
        <w:rPr>
          <w:rFonts w:eastAsia="Times New Roman"/>
          <w:color w:val="auto"/>
          <w:lang w:val="en-GB" w:eastAsia="en-ZA"/>
        </w:rPr>
        <w:t>, had a little break</w:t>
      </w:r>
      <w:r w:rsidRPr="00707240">
        <w:rPr>
          <w:rFonts w:eastAsia="Times New Roman"/>
          <w:color w:val="auto"/>
          <w:lang w:val="en-GB" w:eastAsia="en-ZA"/>
        </w:rPr>
        <w:t xml:space="preserve"> opposite </w:t>
      </w:r>
      <w:r w:rsidR="007040CA">
        <w:rPr>
          <w:rFonts w:eastAsia="Times New Roman"/>
          <w:color w:val="auto"/>
          <w:lang w:val="en-GB" w:eastAsia="en-ZA"/>
        </w:rPr>
        <w:t xml:space="preserve">the </w:t>
      </w:r>
      <w:proofErr w:type="spellStart"/>
      <w:r w:rsidR="007040CA" w:rsidRPr="00342227">
        <w:rPr>
          <w:rFonts w:eastAsia="Times New Roman"/>
          <w:color w:val="auto"/>
          <w:lang w:val="en-GB" w:eastAsia="en-ZA"/>
        </w:rPr>
        <w:t>B</w:t>
      </w:r>
      <w:r w:rsidRPr="00342227">
        <w:rPr>
          <w:rFonts w:eastAsia="Times New Roman"/>
          <w:color w:val="auto"/>
          <w:lang w:val="en-GB" w:eastAsia="en-ZA"/>
        </w:rPr>
        <w:t>uild</w:t>
      </w:r>
      <w:r w:rsidR="0099211E">
        <w:rPr>
          <w:rFonts w:eastAsia="Times New Roman"/>
          <w:color w:val="auto"/>
          <w:lang w:val="en-GB" w:eastAsia="en-ZA"/>
        </w:rPr>
        <w:t>it</w:t>
      </w:r>
      <w:proofErr w:type="spellEnd"/>
      <w:r w:rsidRPr="00707240">
        <w:rPr>
          <w:rFonts w:eastAsia="Times New Roman"/>
          <w:color w:val="auto"/>
          <w:lang w:val="en-GB" w:eastAsia="en-ZA"/>
        </w:rPr>
        <w:t xml:space="preserve"> warehouse. </w:t>
      </w:r>
      <w:r w:rsidR="006C1411">
        <w:rPr>
          <w:rFonts w:eastAsia="Times New Roman"/>
          <w:color w:val="auto"/>
          <w:lang w:val="en-GB" w:eastAsia="en-ZA"/>
        </w:rPr>
        <w:t>Whilst sitting in their motor vehicle t</w:t>
      </w:r>
      <w:r w:rsidRPr="00707240">
        <w:rPr>
          <w:rFonts w:eastAsia="Times New Roman"/>
          <w:color w:val="auto"/>
          <w:lang w:val="en-GB" w:eastAsia="en-ZA"/>
        </w:rPr>
        <w:t>hey saw the plaintiff calling a man who was standing on the other side of the road. He addressed this man as ‘uncle’. The man approached the plaintiff.</w:t>
      </w:r>
    </w:p>
    <w:p w14:paraId="41A52DF7" w14:textId="77777777" w:rsidR="00707240" w:rsidRPr="00707240" w:rsidRDefault="00707240" w:rsidP="00707240">
      <w:pPr>
        <w:spacing w:after="200" w:line="480" w:lineRule="auto"/>
        <w:jc w:val="both"/>
        <w:rPr>
          <w:rFonts w:eastAsia="Times New Roman"/>
          <w:color w:val="auto"/>
          <w:lang w:val="en-GB" w:eastAsia="en-ZA"/>
        </w:rPr>
      </w:pPr>
    </w:p>
    <w:p w14:paraId="78E12662" w14:textId="77777777" w:rsidR="00707240" w:rsidRPr="00707240" w:rsidRDefault="00707240" w:rsidP="00707240">
      <w:pPr>
        <w:spacing w:after="200" w:line="480" w:lineRule="auto"/>
        <w:jc w:val="both"/>
        <w:rPr>
          <w:rFonts w:eastAsia="Times New Roman"/>
          <w:color w:val="auto"/>
          <w:lang w:val="en-GB" w:eastAsia="en-ZA"/>
        </w:rPr>
      </w:pPr>
      <w:r w:rsidRPr="00707240">
        <w:rPr>
          <w:rFonts w:eastAsia="Times New Roman"/>
          <w:color w:val="auto"/>
          <w:lang w:val="en-GB" w:eastAsia="en-ZA"/>
        </w:rPr>
        <w:t>[9]</w:t>
      </w:r>
      <w:r w:rsidRPr="00707240">
        <w:rPr>
          <w:rFonts w:eastAsia="Times New Roman"/>
          <w:color w:val="auto"/>
          <w:lang w:val="en-GB" w:eastAsia="en-ZA"/>
        </w:rPr>
        <w:tab/>
        <w:t>T</w:t>
      </w:r>
      <w:r w:rsidR="00683C62">
        <w:rPr>
          <w:rFonts w:eastAsia="Times New Roman"/>
          <w:color w:val="auto"/>
          <w:lang w:val="en-GB" w:eastAsia="en-ZA"/>
        </w:rPr>
        <w:t>ogether with this man, the plaintiff</w:t>
      </w:r>
      <w:r w:rsidRPr="00707240">
        <w:rPr>
          <w:rFonts w:eastAsia="Times New Roman"/>
          <w:color w:val="auto"/>
          <w:lang w:val="en-GB" w:eastAsia="en-ZA"/>
        </w:rPr>
        <w:t xml:space="preserve"> went to a Nissan bakkie (the </w:t>
      </w:r>
      <w:proofErr w:type="gramStart"/>
      <w:r w:rsidRPr="00707240">
        <w:rPr>
          <w:rFonts w:eastAsia="Times New Roman"/>
          <w:color w:val="auto"/>
          <w:lang w:val="en-GB" w:eastAsia="en-ZA"/>
        </w:rPr>
        <w:t xml:space="preserve">bakkie) </w:t>
      </w:r>
      <w:r w:rsidR="00683C62">
        <w:rPr>
          <w:rFonts w:eastAsia="Times New Roman"/>
          <w:color w:val="auto"/>
          <w:lang w:val="en-GB" w:eastAsia="en-ZA"/>
        </w:rPr>
        <w:t xml:space="preserve"> which</w:t>
      </w:r>
      <w:proofErr w:type="gramEnd"/>
      <w:r w:rsidRPr="00707240">
        <w:rPr>
          <w:rFonts w:eastAsia="Times New Roman"/>
          <w:color w:val="auto"/>
          <w:lang w:val="en-GB" w:eastAsia="en-ZA"/>
        </w:rPr>
        <w:t xml:space="preserve"> was close by, parked in front of where the unmarked police </w:t>
      </w:r>
      <w:r w:rsidR="00683C62">
        <w:rPr>
          <w:rFonts w:eastAsia="Times New Roman"/>
          <w:color w:val="auto"/>
          <w:lang w:val="en-GB" w:eastAsia="en-ZA"/>
        </w:rPr>
        <w:t>vehicle</w:t>
      </w:r>
      <w:r w:rsidRPr="00707240">
        <w:rPr>
          <w:rFonts w:eastAsia="Times New Roman"/>
          <w:color w:val="auto"/>
          <w:lang w:val="en-GB" w:eastAsia="en-ZA"/>
        </w:rPr>
        <w:t xml:space="preserve"> was stationed. According to the arresting officer, </w:t>
      </w:r>
      <w:proofErr w:type="gramStart"/>
      <w:r w:rsidRPr="00707240">
        <w:rPr>
          <w:rFonts w:eastAsia="Times New Roman"/>
          <w:color w:val="auto"/>
          <w:lang w:val="en-GB" w:eastAsia="en-ZA"/>
        </w:rPr>
        <w:t xml:space="preserve">they  </w:t>
      </w:r>
      <w:r w:rsidR="00683C62">
        <w:rPr>
          <w:rFonts w:eastAsia="Times New Roman"/>
          <w:color w:val="auto"/>
          <w:lang w:val="en-GB" w:eastAsia="en-ZA"/>
        </w:rPr>
        <w:t>thought</w:t>
      </w:r>
      <w:proofErr w:type="gramEnd"/>
      <w:r w:rsidR="00683C62">
        <w:rPr>
          <w:rFonts w:eastAsia="Times New Roman"/>
          <w:color w:val="auto"/>
          <w:lang w:val="en-GB" w:eastAsia="en-ZA"/>
        </w:rPr>
        <w:t xml:space="preserve"> </w:t>
      </w:r>
      <w:r w:rsidRPr="00707240">
        <w:rPr>
          <w:rFonts w:eastAsia="Times New Roman"/>
          <w:color w:val="auto"/>
          <w:lang w:val="en-GB" w:eastAsia="en-ZA"/>
        </w:rPr>
        <w:t xml:space="preserve"> that the plaintiff and his companion  ha</w:t>
      </w:r>
      <w:r w:rsidR="006C1411">
        <w:rPr>
          <w:rFonts w:eastAsia="Times New Roman"/>
          <w:color w:val="auto"/>
          <w:lang w:val="en-GB" w:eastAsia="en-ZA"/>
        </w:rPr>
        <w:t>d</w:t>
      </w:r>
      <w:r w:rsidRPr="00707240">
        <w:rPr>
          <w:rFonts w:eastAsia="Times New Roman"/>
          <w:color w:val="auto"/>
          <w:lang w:val="en-GB" w:eastAsia="en-ZA"/>
        </w:rPr>
        <w:t xml:space="preserve"> locked </w:t>
      </w:r>
      <w:r w:rsidR="006C1411">
        <w:rPr>
          <w:rFonts w:eastAsia="Times New Roman"/>
          <w:color w:val="auto"/>
          <w:lang w:val="en-GB" w:eastAsia="en-ZA"/>
        </w:rPr>
        <w:t xml:space="preserve">their car </w:t>
      </w:r>
      <w:r w:rsidRPr="00707240">
        <w:rPr>
          <w:rFonts w:eastAsia="Times New Roman"/>
          <w:color w:val="auto"/>
          <w:lang w:val="en-GB" w:eastAsia="en-ZA"/>
        </w:rPr>
        <w:t xml:space="preserve"> key</w:t>
      </w:r>
      <w:r w:rsidR="006C1411">
        <w:rPr>
          <w:rFonts w:eastAsia="Times New Roman"/>
          <w:color w:val="auto"/>
          <w:lang w:val="en-GB" w:eastAsia="en-ZA"/>
        </w:rPr>
        <w:t>s</w:t>
      </w:r>
      <w:r w:rsidRPr="00707240">
        <w:rPr>
          <w:rFonts w:eastAsia="Times New Roman"/>
          <w:color w:val="auto"/>
          <w:lang w:val="en-GB" w:eastAsia="en-ZA"/>
        </w:rPr>
        <w:t xml:space="preserve"> inside the </w:t>
      </w:r>
      <w:r w:rsidR="006C1411">
        <w:rPr>
          <w:rFonts w:eastAsia="Times New Roman"/>
          <w:color w:val="auto"/>
          <w:lang w:val="en-GB" w:eastAsia="en-ZA"/>
        </w:rPr>
        <w:t>vehicle</w:t>
      </w:r>
      <w:r w:rsidRPr="00707240">
        <w:rPr>
          <w:rFonts w:eastAsia="Times New Roman"/>
          <w:color w:val="auto"/>
          <w:lang w:val="en-GB" w:eastAsia="en-ZA"/>
        </w:rPr>
        <w:t xml:space="preserve"> and were trying to retrieve</w:t>
      </w:r>
      <w:r w:rsidR="00683C62">
        <w:rPr>
          <w:rFonts w:eastAsia="Times New Roman"/>
          <w:color w:val="auto"/>
          <w:lang w:val="en-GB" w:eastAsia="en-ZA"/>
        </w:rPr>
        <w:t xml:space="preserve"> them</w:t>
      </w:r>
      <w:r w:rsidRPr="00707240">
        <w:rPr>
          <w:rFonts w:eastAsia="Times New Roman"/>
          <w:color w:val="auto"/>
          <w:lang w:val="en-GB" w:eastAsia="en-ZA"/>
        </w:rPr>
        <w:t xml:space="preserve">. </w:t>
      </w:r>
      <w:proofErr w:type="gramStart"/>
      <w:r w:rsidRPr="00707240">
        <w:rPr>
          <w:rFonts w:eastAsia="Times New Roman"/>
          <w:color w:val="auto"/>
          <w:lang w:val="en-GB" w:eastAsia="en-ZA"/>
        </w:rPr>
        <w:t>On  look</w:t>
      </w:r>
      <w:r w:rsidR="006C1411">
        <w:rPr>
          <w:rFonts w:eastAsia="Times New Roman"/>
          <w:color w:val="auto"/>
          <w:lang w:val="en-GB" w:eastAsia="en-ZA"/>
        </w:rPr>
        <w:t>ing</w:t>
      </w:r>
      <w:proofErr w:type="gramEnd"/>
      <w:r w:rsidR="006C1411">
        <w:rPr>
          <w:rFonts w:eastAsia="Times New Roman"/>
          <w:color w:val="auto"/>
          <w:lang w:val="en-GB" w:eastAsia="en-ZA"/>
        </w:rPr>
        <w:t xml:space="preserve"> closer</w:t>
      </w:r>
      <w:r w:rsidRPr="00707240">
        <w:rPr>
          <w:rFonts w:eastAsia="Times New Roman"/>
          <w:color w:val="auto"/>
          <w:lang w:val="en-GB" w:eastAsia="en-ZA"/>
        </w:rPr>
        <w:t>, they saw the man</w:t>
      </w:r>
      <w:r w:rsidR="006C1411">
        <w:rPr>
          <w:rFonts w:eastAsia="Times New Roman"/>
          <w:color w:val="auto"/>
          <w:lang w:val="en-GB" w:eastAsia="en-ZA"/>
        </w:rPr>
        <w:t>(uncle)</w:t>
      </w:r>
      <w:r w:rsidRPr="00707240">
        <w:rPr>
          <w:rFonts w:eastAsia="Times New Roman"/>
          <w:color w:val="auto"/>
          <w:lang w:val="en-GB" w:eastAsia="en-ZA"/>
        </w:rPr>
        <w:t xml:space="preserve"> opening the driver’s door, the plaintiff opened the passenger door and took a tyre that was placed behind the front passenger seat of the bakkie. </w:t>
      </w:r>
    </w:p>
    <w:p w14:paraId="708A6CA5" w14:textId="77777777" w:rsidR="00707240" w:rsidRPr="00707240" w:rsidRDefault="00707240" w:rsidP="00707240">
      <w:pPr>
        <w:spacing w:after="200" w:line="480" w:lineRule="auto"/>
        <w:jc w:val="both"/>
        <w:rPr>
          <w:rFonts w:eastAsia="Times New Roman"/>
          <w:color w:val="auto"/>
          <w:lang w:val="en-GB" w:eastAsia="en-ZA"/>
        </w:rPr>
      </w:pPr>
    </w:p>
    <w:p w14:paraId="0976D747" w14:textId="77777777" w:rsidR="00707240" w:rsidRPr="00707240" w:rsidRDefault="00707240" w:rsidP="00707240">
      <w:pPr>
        <w:spacing w:after="200" w:line="480" w:lineRule="auto"/>
        <w:jc w:val="both"/>
        <w:rPr>
          <w:rFonts w:eastAsia="Times New Roman"/>
          <w:color w:val="auto"/>
          <w:u w:val="single"/>
          <w:lang w:val="en-GB" w:eastAsia="en-ZA"/>
        </w:rPr>
      </w:pPr>
      <w:r w:rsidRPr="00707240">
        <w:rPr>
          <w:rFonts w:eastAsia="Times New Roman"/>
          <w:color w:val="auto"/>
          <w:lang w:val="en-GB" w:eastAsia="en-ZA"/>
        </w:rPr>
        <w:t>[10]</w:t>
      </w:r>
      <w:r w:rsidRPr="00707240">
        <w:rPr>
          <w:rFonts w:eastAsia="Times New Roman"/>
          <w:color w:val="auto"/>
          <w:lang w:val="en-GB" w:eastAsia="en-ZA"/>
        </w:rPr>
        <w:tab/>
        <w:t xml:space="preserve">The </w:t>
      </w:r>
      <w:proofErr w:type="gramStart"/>
      <w:r w:rsidRPr="00707240">
        <w:rPr>
          <w:rFonts w:eastAsia="Times New Roman"/>
          <w:color w:val="auto"/>
          <w:lang w:val="en-GB" w:eastAsia="en-ZA"/>
        </w:rPr>
        <w:t xml:space="preserve">plaintiff </w:t>
      </w:r>
      <w:r w:rsidR="006C1411">
        <w:rPr>
          <w:rFonts w:eastAsia="Times New Roman"/>
          <w:color w:val="auto"/>
          <w:lang w:val="en-GB" w:eastAsia="en-ZA"/>
        </w:rPr>
        <w:t xml:space="preserve"> rolled</w:t>
      </w:r>
      <w:proofErr w:type="gramEnd"/>
      <w:r w:rsidRPr="00707240">
        <w:rPr>
          <w:rFonts w:eastAsia="Times New Roman"/>
          <w:color w:val="auto"/>
          <w:lang w:val="en-GB" w:eastAsia="en-ZA"/>
        </w:rPr>
        <w:t xml:space="preserve"> the tyre whilst simultaneously walking towards the direction</w:t>
      </w:r>
      <w:r w:rsidR="00683C62">
        <w:rPr>
          <w:rFonts w:eastAsia="Times New Roman"/>
          <w:color w:val="auto"/>
          <w:lang w:val="en-GB" w:eastAsia="en-ZA"/>
        </w:rPr>
        <w:t xml:space="preserve"> of the police vehicle</w:t>
      </w:r>
      <w:r w:rsidRPr="00707240">
        <w:rPr>
          <w:rFonts w:eastAsia="Times New Roman"/>
          <w:color w:val="auto"/>
          <w:lang w:val="en-GB" w:eastAsia="en-ZA"/>
        </w:rPr>
        <w:t xml:space="preserve">. The arresting officer and his colleague approached the plaintiff and produced </w:t>
      </w:r>
      <w:proofErr w:type="gramStart"/>
      <w:r w:rsidRPr="00707240">
        <w:rPr>
          <w:rFonts w:eastAsia="Times New Roman"/>
          <w:color w:val="auto"/>
          <w:lang w:val="en-GB" w:eastAsia="en-ZA"/>
        </w:rPr>
        <w:t>their  identification</w:t>
      </w:r>
      <w:proofErr w:type="gramEnd"/>
      <w:r w:rsidRPr="00707240">
        <w:rPr>
          <w:rFonts w:eastAsia="Times New Roman"/>
          <w:color w:val="auto"/>
          <w:lang w:val="en-GB" w:eastAsia="en-ZA"/>
        </w:rPr>
        <w:t xml:space="preserve"> cards. The plaintiff dumped the tyre and started to run. He tripped and fell and at that moment </w:t>
      </w:r>
      <w:r w:rsidR="006C1411">
        <w:rPr>
          <w:rFonts w:eastAsia="Times New Roman"/>
          <w:color w:val="auto"/>
          <w:lang w:val="en-GB" w:eastAsia="en-ZA"/>
        </w:rPr>
        <w:t>t</w:t>
      </w:r>
      <w:r w:rsidRPr="00707240">
        <w:rPr>
          <w:rFonts w:eastAsia="Times New Roman"/>
          <w:color w:val="auto"/>
          <w:lang w:val="en-GB" w:eastAsia="en-ZA"/>
        </w:rPr>
        <w:t>he</w:t>
      </w:r>
      <w:r w:rsidR="006C1411">
        <w:rPr>
          <w:rFonts w:eastAsia="Times New Roman"/>
          <w:color w:val="auto"/>
          <w:lang w:val="en-GB" w:eastAsia="en-ZA"/>
        </w:rPr>
        <w:t xml:space="preserve"> police</w:t>
      </w:r>
      <w:r w:rsidRPr="00707240">
        <w:rPr>
          <w:rFonts w:eastAsia="Times New Roman"/>
          <w:color w:val="auto"/>
          <w:lang w:val="en-GB" w:eastAsia="en-ZA"/>
        </w:rPr>
        <w:t xml:space="preserve"> caught up with him.</w:t>
      </w:r>
    </w:p>
    <w:p w14:paraId="2F2D7079" w14:textId="77777777" w:rsidR="00707240" w:rsidRPr="00707240" w:rsidRDefault="00707240" w:rsidP="00707240">
      <w:pPr>
        <w:spacing w:after="200" w:line="480" w:lineRule="auto"/>
        <w:jc w:val="both"/>
        <w:rPr>
          <w:rFonts w:eastAsia="Times New Roman"/>
          <w:color w:val="auto"/>
          <w:lang w:val="en-GB" w:eastAsia="en-ZA"/>
        </w:rPr>
      </w:pPr>
    </w:p>
    <w:p w14:paraId="7D4095D7" w14:textId="77777777" w:rsidR="00707240" w:rsidRPr="00707240" w:rsidRDefault="00707240" w:rsidP="00707240">
      <w:pPr>
        <w:spacing w:after="200" w:line="480" w:lineRule="auto"/>
        <w:jc w:val="both"/>
        <w:rPr>
          <w:rFonts w:eastAsia="Times New Roman"/>
          <w:color w:val="auto"/>
          <w:u w:val="single"/>
          <w:lang w:val="en-GB" w:eastAsia="en-ZA"/>
        </w:rPr>
      </w:pPr>
      <w:r w:rsidRPr="00707240">
        <w:rPr>
          <w:rFonts w:eastAsia="Times New Roman"/>
          <w:color w:val="auto"/>
          <w:lang w:val="en-GB" w:eastAsia="en-ZA"/>
        </w:rPr>
        <w:t>[11]</w:t>
      </w:r>
      <w:r w:rsidRPr="00707240">
        <w:rPr>
          <w:rFonts w:eastAsia="Times New Roman"/>
          <w:color w:val="auto"/>
          <w:lang w:val="en-GB" w:eastAsia="en-ZA"/>
        </w:rPr>
        <w:tab/>
        <w:t>When asked where he was taking the tyre</w:t>
      </w:r>
      <w:r w:rsidR="006245E2">
        <w:rPr>
          <w:rFonts w:eastAsia="Times New Roman"/>
          <w:color w:val="auto"/>
          <w:lang w:val="en-GB" w:eastAsia="en-ZA"/>
        </w:rPr>
        <w:t xml:space="preserve"> to</w:t>
      </w:r>
      <w:r w:rsidRPr="00707240">
        <w:rPr>
          <w:rFonts w:eastAsia="Times New Roman"/>
          <w:color w:val="auto"/>
          <w:lang w:val="en-GB" w:eastAsia="en-ZA"/>
        </w:rPr>
        <w:t>, the plaintiff informed the</w:t>
      </w:r>
      <w:r w:rsidR="00342227">
        <w:rPr>
          <w:rFonts w:eastAsia="Times New Roman"/>
          <w:color w:val="auto"/>
          <w:lang w:val="en-GB" w:eastAsia="en-ZA"/>
        </w:rPr>
        <w:t xml:space="preserve"> </w:t>
      </w:r>
      <w:r w:rsidR="006245E2">
        <w:rPr>
          <w:rFonts w:eastAsia="Times New Roman"/>
          <w:color w:val="auto"/>
          <w:lang w:val="en-GB" w:eastAsia="en-ZA"/>
        </w:rPr>
        <w:t>police</w:t>
      </w:r>
      <w:r w:rsidRPr="00707240">
        <w:rPr>
          <w:rFonts w:eastAsia="Times New Roman"/>
          <w:color w:val="auto"/>
          <w:lang w:val="en-GB" w:eastAsia="en-ZA"/>
        </w:rPr>
        <w:t xml:space="preserve"> that he </w:t>
      </w:r>
      <w:r w:rsidR="006C1411">
        <w:rPr>
          <w:rFonts w:eastAsia="Times New Roman"/>
          <w:color w:val="auto"/>
          <w:lang w:val="en-GB" w:eastAsia="en-ZA"/>
        </w:rPr>
        <w:t>was going to</w:t>
      </w:r>
      <w:r w:rsidRPr="00707240">
        <w:rPr>
          <w:rFonts w:eastAsia="Times New Roman"/>
          <w:color w:val="auto"/>
          <w:lang w:val="en-GB" w:eastAsia="en-ZA"/>
        </w:rPr>
        <w:t xml:space="preserve"> sell it. The arresting officer left the plaintiff in the custody of W</w:t>
      </w:r>
      <w:r w:rsidR="00AC77C2">
        <w:rPr>
          <w:rFonts w:eastAsia="Times New Roman"/>
          <w:color w:val="auto"/>
          <w:lang w:val="en-GB" w:eastAsia="en-ZA"/>
        </w:rPr>
        <w:t>/O</w:t>
      </w:r>
      <w:r w:rsidRPr="00707240">
        <w:rPr>
          <w:rFonts w:eastAsia="Times New Roman"/>
          <w:color w:val="auto"/>
          <w:lang w:val="en-GB" w:eastAsia="en-ZA"/>
        </w:rPr>
        <w:t xml:space="preserve"> </w:t>
      </w:r>
      <w:proofErr w:type="spellStart"/>
      <w:r w:rsidRPr="00707240">
        <w:rPr>
          <w:rFonts w:eastAsia="Times New Roman"/>
          <w:color w:val="auto"/>
          <w:lang w:val="en-GB" w:eastAsia="en-ZA"/>
        </w:rPr>
        <w:lastRenderedPageBreak/>
        <w:t>Nongoloza</w:t>
      </w:r>
      <w:proofErr w:type="spellEnd"/>
      <w:r w:rsidRPr="00707240">
        <w:rPr>
          <w:rFonts w:eastAsia="Times New Roman"/>
          <w:color w:val="auto"/>
          <w:lang w:val="en-GB" w:eastAsia="en-ZA"/>
        </w:rPr>
        <w:t>. He went to the other man (the plaintiff’s erstwhile accused). He asked for permission to search</w:t>
      </w:r>
      <w:r w:rsidR="006245E2">
        <w:rPr>
          <w:rFonts w:eastAsia="Times New Roman"/>
          <w:color w:val="auto"/>
          <w:lang w:val="en-GB" w:eastAsia="en-ZA"/>
        </w:rPr>
        <w:t xml:space="preserve"> him,</w:t>
      </w:r>
      <w:r w:rsidRPr="00707240">
        <w:rPr>
          <w:rFonts w:eastAsia="Times New Roman"/>
          <w:color w:val="auto"/>
          <w:lang w:val="en-GB" w:eastAsia="en-ZA"/>
        </w:rPr>
        <w:t xml:space="preserve"> which</w:t>
      </w:r>
      <w:r w:rsidR="006245E2">
        <w:rPr>
          <w:rFonts w:eastAsia="Times New Roman"/>
          <w:color w:val="auto"/>
          <w:lang w:val="en-GB" w:eastAsia="en-ZA"/>
        </w:rPr>
        <w:t xml:space="preserve"> permission was</w:t>
      </w:r>
      <w:r w:rsidRPr="00707240">
        <w:rPr>
          <w:rFonts w:eastAsia="Times New Roman"/>
          <w:color w:val="auto"/>
          <w:lang w:val="en-GB" w:eastAsia="en-ZA"/>
        </w:rPr>
        <w:t xml:space="preserve"> </w:t>
      </w:r>
      <w:proofErr w:type="gramStart"/>
      <w:r w:rsidRPr="00707240">
        <w:rPr>
          <w:rFonts w:eastAsia="Times New Roman"/>
          <w:color w:val="auto"/>
          <w:lang w:val="en-GB" w:eastAsia="en-ZA"/>
        </w:rPr>
        <w:t>granted .</w:t>
      </w:r>
      <w:proofErr w:type="gramEnd"/>
      <w:r w:rsidRPr="00707240">
        <w:rPr>
          <w:rFonts w:eastAsia="Times New Roman"/>
          <w:color w:val="auto"/>
          <w:lang w:val="en-GB" w:eastAsia="en-ZA"/>
        </w:rPr>
        <w:t xml:space="preserve"> He found an </w:t>
      </w:r>
      <w:proofErr w:type="gramStart"/>
      <w:r w:rsidRPr="00707240">
        <w:rPr>
          <w:rFonts w:eastAsia="Times New Roman"/>
          <w:color w:val="auto"/>
          <w:lang w:val="en-GB" w:eastAsia="en-ZA"/>
        </w:rPr>
        <w:t>instrument  he</w:t>
      </w:r>
      <w:proofErr w:type="gramEnd"/>
      <w:r w:rsidRPr="00707240">
        <w:rPr>
          <w:rFonts w:eastAsia="Times New Roman"/>
          <w:color w:val="auto"/>
          <w:lang w:val="en-GB" w:eastAsia="en-ZA"/>
        </w:rPr>
        <w:t xml:space="preserve"> believed was used in the breaking in of the bakkie at the back pocket of the plaintiff’s erstwhile accused. Nothing was found in the plaintiff’s possession. Both the plaintiff and his erstwhile accused were</w:t>
      </w:r>
      <w:r w:rsidR="00342227">
        <w:rPr>
          <w:rFonts w:eastAsia="Times New Roman"/>
          <w:color w:val="auto"/>
          <w:lang w:val="en-GB" w:eastAsia="en-ZA"/>
        </w:rPr>
        <w:t xml:space="preserve"> put under arrest and</w:t>
      </w:r>
      <w:r w:rsidRPr="00707240">
        <w:rPr>
          <w:rFonts w:eastAsia="Times New Roman"/>
          <w:color w:val="auto"/>
          <w:lang w:val="en-GB" w:eastAsia="en-ZA"/>
        </w:rPr>
        <w:t xml:space="preserve"> advised of their Constitutional rights</w:t>
      </w:r>
      <w:r w:rsidR="00342227">
        <w:rPr>
          <w:rFonts w:eastAsia="Times New Roman"/>
          <w:color w:val="auto"/>
          <w:lang w:val="en-GB" w:eastAsia="en-ZA"/>
        </w:rPr>
        <w:t>.</w:t>
      </w:r>
      <w:r w:rsidRPr="00707240">
        <w:rPr>
          <w:rFonts w:eastAsia="Times New Roman"/>
          <w:color w:val="auto"/>
          <w:lang w:val="en-GB" w:eastAsia="en-ZA"/>
        </w:rPr>
        <w:t xml:space="preserve"> </w:t>
      </w:r>
    </w:p>
    <w:p w14:paraId="31C148AD" w14:textId="77777777" w:rsidR="00707240" w:rsidRPr="00707240" w:rsidRDefault="00707240" w:rsidP="00707240">
      <w:pPr>
        <w:spacing w:after="200" w:line="480" w:lineRule="auto"/>
        <w:jc w:val="both"/>
        <w:rPr>
          <w:rFonts w:eastAsia="Times New Roman"/>
          <w:color w:val="auto"/>
          <w:u w:val="single"/>
          <w:lang w:val="en-GB" w:eastAsia="en-ZA"/>
        </w:rPr>
      </w:pPr>
    </w:p>
    <w:p w14:paraId="5F0DDA28" w14:textId="77777777" w:rsidR="00707240" w:rsidRDefault="00707240" w:rsidP="00707240">
      <w:pPr>
        <w:spacing w:after="200" w:line="480" w:lineRule="auto"/>
        <w:jc w:val="both"/>
        <w:rPr>
          <w:rFonts w:eastAsia="Times New Roman"/>
          <w:color w:val="auto"/>
          <w:lang w:val="en-GB" w:eastAsia="en-ZA"/>
        </w:rPr>
      </w:pPr>
      <w:r w:rsidRPr="00707240">
        <w:rPr>
          <w:rFonts w:eastAsia="Times New Roman"/>
          <w:color w:val="auto"/>
          <w:lang w:val="en-GB" w:eastAsia="en-ZA"/>
        </w:rPr>
        <w:t>[12]</w:t>
      </w:r>
      <w:r w:rsidRPr="00707240">
        <w:rPr>
          <w:rFonts w:eastAsia="Times New Roman"/>
          <w:color w:val="auto"/>
          <w:lang w:val="en-GB" w:eastAsia="en-ZA"/>
        </w:rPr>
        <w:tab/>
        <w:t xml:space="preserve"> </w:t>
      </w:r>
      <w:r w:rsidR="006245E2">
        <w:rPr>
          <w:rFonts w:eastAsia="Times New Roman"/>
          <w:color w:val="auto"/>
          <w:lang w:val="en-GB" w:eastAsia="en-ZA"/>
        </w:rPr>
        <w:t>T</w:t>
      </w:r>
      <w:r w:rsidRPr="00707240">
        <w:rPr>
          <w:rFonts w:eastAsia="Times New Roman"/>
          <w:color w:val="auto"/>
          <w:lang w:val="en-GB" w:eastAsia="en-ZA"/>
        </w:rPr>
        <w:t>he arresting officer informed the court that when both suspects were still in their custody, the owner of the bakkie emerged. The plaintiff identified the owner and alerted the</w:t>
      </w:r>
      <w:r w:rsidR="006245E2">
        <w:rPr>
          <w:rFonts w:eastAsia="Times New Roman"/>
          <w:color w:val="auto"/>
          <w:lang w:val="en-GB" w:eastAsia="en-ZA"/>
        </w:rPr>
        <w:t xml:space="preserve"> arresting officer and his colleague</w:t>
      </w:r>
      <w:r w:rsidRPr="00707240">
        <w:rPr>
          <w:rFonts w:eastAsia="Times New Roman"/>
          <w:color w:val="auto"/>
          <w:lang w:val="en-GB" w:eastAsia="en-ZA"/>
        </w:rPr>
        <w:t>.</w:t>
      </w:r>
      <w:r w:rsidR="00342227">
        <w:rPr>
          <w:rFonts w:eastAsia="Times New Roman"/>
          <w:color w:val="auto"/>
          <w:lang w:val="en-GB" w:eastAsia="en-ZA"/>
        </w:rPr>
        <w:t xml:space="preserve"> The arresting officer</w:t>
      </w:r>
      <w:r w:rsidRPr="00707240">
        <w:rPr>
          <w:rFonts w:eastAsia="Times New Roman"/>
          <w:color w:val="auto"/>
          <w:lang w:val="en-GB" w:eastAsia="en-ZA"/>
        </w:rPr>
        <w:t xml:space="preserve"> asked the owner to conduct a proper check of her bakkie. The owner of the bakkie who was later identified as Ms Abegail </w:t>
      </w:r>
      <w:proofErr w:type="spellStart"/>
      <w:r w:rsidRPr="00707240">
        <w:rPr>
          <w:rFonts w:eastAsia="Times New Roman"/>
          <w:color w:val="auto"/>
          <w:lang w:val="en-GB" w:eastAsia="en-ZA"/>
        </w:rPr>
        <w:t>Notununu</w:t>
      </w:r>
      <w:proofErr w:type="spellEnd"/>
      <w:r w:rsidRPr="00707240">
        <w:rPr>
          <w:rFonts w:eastAsia="Times New Roman"/>
          <w:color w:val="auto"/>
          <w:lang w:val="en-GB" w:eastAsia="en-ZA"/>
        </w:rPr>
        <w:t xml:space="preserve"> (the complainant) informed the</w:t>
      </w:r>
      <w:r w:rsidR="006245E2">
        <w:rPr>
          <w:rFonts w:eastAsia="Times New Roman"/>
          <w:color w:val="auto"/>
          <w:lang w:val="en-GB" w:eastAsia="en-ZA"/>
        </w:rPr>
        <w:t xml:space="preserve"> police</w:t>
      </w:r>
      <w:r w:rsidRPr="00707240">
        <w:rPr>
          <w:rFonts w:eastAsia="Times New Roman"/>
          <w:color w:val="auto"/>
          <w:lang w:val="en-GB" w:eastAsia="en-ZA"/>
        </w:rPr>
        <w:t xml:space="preserve"> that her spare wheel was stolen and the driver’s door of her bakkie was damaged. She then identified the tyre that was found in the plaintiff’s possession as hers. </w:t>
      </w:r>
    </w:p>
    <w:p w14:paraId="31770B0C" w14:textId="77777777" w:rsidR="00707240" w:rsidRPr="00707240" w:rsidRDefault="00707240" w:rsidP="00707240">
      <w:pPr>
        <w:spacing w:after="200" w:line="480" w:lineRule="auto"/>
        <w:jc w:val="both"/>
        <w:rPr>
          <w:rFonts w:eastAsia="Times New Roman"/>
          <w:color w:val="auto"/>
          <w:lang w:val="en-GB" w:eastAsia="en-ZA"/>
        </w:rPr>
      </w:pPr>
    </w:p>
    <w:p w14:paraId="3EEF8F05" w14:textId="77777777" w:rsidR="00707240" w:rsidRPr="00707240" w:rsidRDefault="00707240" w:rsidP="00707240">
      <w:pPr>
        <w:spacing w:after="200" w:line="480" w:lineRule="auto"/>
        <w:jc w:val="both"/>
        <w:rPr>
          <w:rFonts w:eastAsia="Times New Roman"/>
          <w:color w:val="auto"/>
          <w:u w:val="single"/>
          <w:lang w:val="en-GB" w:eastAsia="en-ZA"/>
        </w:rPr>
      </w:pPr>
      <w:r w:rsidRPr="00707240">
        <w:rPr>
          <w:rFonts w:eastAsia="Times New Roman"/>
          <w:color w:val="auto"/>
          <w:lang w:val="en-GB" w:eastAsia="en-ZA"/>
        </w:rPr>
        <w:t>[13]</w:t>
      </w:r>
      <w:r w:rsidRPr="00707240">
        <w:rPr>
          <w:rFonts w:eastAsia="Times New Roman"/>
          <w:color w:val="auto"/>
          <w:lang w:val="en-GB" w:eastAsia="en-ZA"/>
        </w:rPr>
        <w:tab/>
        <w:t xml:space="preserve">The arresting officer requested a police van </w:t>
      </w:r>
      <w:proofErr w:type="gramStart"/>
      <w:r w:rsidRPr="00707240">
        <w:rPr>
          <w:rFonts w:eastAsia="Times New Roman"/>
          <w:color w:val="auto"/>
          <w:lang w:val="en-GB" w:eastAsia="en-ZA"/>
        </w:rPr>
        <w:t xml:space="preserve">and  </w:t>
      </w:r>
      <w:r w:rsidR="007C772F">
        <w:rPr>
          <w:rFonts w:eastAsia="Times New Roman"/>
          <w:color w:val="auto"/>
          <w:lang w:val="en-GB" w:eastAsia="en-ZA"/>
        </w:rPr>
        <w:t>both</w:t>
      </w:r>
      <w:proofErr w:type="gramEnd"/>
      <w:r w:rsidR="007C772F">
        <w:rPr>
          <w:rFonts w:eastAsia="Times New Roman"/>
          <w:color w:val="auto"/>
          <w:lang w:val="en-GB" w:eastAsia="en-ZA"/>
        </w:rPr>
        <w:t xml:space="preserve"> suspects were </w:t>
      </w:r>
      <w:r w:rsidRPr="00707240">
        <w:rPr>
          <w:rFonts w:eastAsia="Times New Roman"/>
          <w:color w:val="auto"/>
          <w:lang w:val="en-GB" w:eastAsia="en-ZA"/>
        </w:rPr>
        <w:t>convey</w:t>
      </w:r>
      <w:r w:rsidR="007C772F">
        <w:rPr>
          <w:rFonts w:eastAsia="Times New Roman"/>
          <w:color w:val="auto"/>
          <w:lang w:val="en-GB" w:eastAsia="en-ZA"/>
        </w:rPr>
        <w:t>ed</w:t>
      </w:r>
      <w:r w:rsidRPr="00707240">
        <w:rPr>
          <w:rFonts w:eastAsia="Times New Roman"/>
          <w:color w:val="auto"/>
          <w:lang w:val="en-GB" w:eastAsia="en-ZA"/>
        </w:rPr>
        <w:t xml:space="preserve"> to the Madeira police station where a case was opened.  The tyre was registered under SAP 13 number A6/09/2017, however, the complainant sought permission to leave with her tyre </w:t>
      </w:r>
      <w:r w:rsidR="007C772F">
        <w:rPr>
          <w:rFonts w:eastAsia="Times New Roman"/>
          <w:color w:val="auto"/>
          <w:lang w:val="en-GB" w:eastAsia="en-ZA"/>
        </w:rPr>
        <w:t>as</w:t>
      </w:r>
      <w:r w:rsidRPr="00707240">
        <w:rPr>
          <w:rFonts w:eastAsia="Times New Roman"/>
          <w:color w:val="auto"/>
          <w:lang w:val="en-GB" w:eastAsia="en-ZA"/>
        </w:rPr>
        <w:t xml:space="preserve"> she</w:t>
      </w:r>
      <w:r w:rsidR="007C772F">
        <w:rPr>
          <w:rFonts w:eastAsia="Times New Roman"/>
          <w:color w:val="auto"/>
          <w:lang w:val="en-GB" w:eastAsia="en-ZA"/>
        </w:rPr>
        <w:t xml:space="preserve"> needed</w:t>
      </w:r>
      <w:r w:rsidRPr="00707240">
        <w:rPr>
          <w:rFonts w:eastAsia="Times New Roman"/>
          <w:color w:val="auto"/>
          <w:lang w:val="en-GB" w:eastAsia="en-ZA"/>
        </w:rPr>
        <w:t xml:space="preserve"> to use</w:t>
      </w:r>
      <w:r w:rsidR="007C772F">
        <w:rPr>
          <w:rFonts w:eastAsia="Times New Roman"/>
          <w:color w:val="auto"/>
          <w:lang w:val="en-GB" w:eastAsia="en-ZA"/>
        </w:rPr>
        <w:t xml:space="preserve"> </w:t>
      </w:r>
      <w:proofErr w:type="gramStart"/>
      <w:r w:rsidR="007C772F">
        <w:rPr>
          <w:rFonts w:eastAsia="Times New Roman"/>
          <w:color w:val="auto"/>
          <w:lang w:val="en-GB" w:eastAsia="en-ZA"/>
        </w:rPr>
        <w:t xml:space="preserve">it </w:t>
      </w:r>
      <w:r w:rsidRPr="00707240">
        <w:rPr>
          <w:rFonts w:eastAsia="Times New Roman"/>
          <w:color w:val="auto"/>
          <w:lang w:val="en-GB" w:eastAsia="en-ZA"/>
        </w:rPr>
        <w:t xml:space="preserve"> as</w:t>
      </w:r>
      <w:proofErr w:type="gramEnd"/>
      <w:r w:rsidRPr="00707240">
        <w:rPr>
          <w:rFonts w:eastAsia="Times New Roman"/>
          <w:color w:val="auto"/>
          <w:lang w:val="en-GB" w:eastAsia="en-ZA"/>
        </w:rPr>
        <w:t xml:space="preserve"> a spare wheel. The plaintiff was asked to formally release the tyre to its lawful owner which he did. He was asked to sign a form which was exhibited before the court as proof that he formally released the tyre to the complaint. The plaintiff was later detained at Central police station.</w:t>
      </w:r>
      <w:r w:rsidRPr="00707240">
        <w:rPr>
          <w:rFonts w:eastAsia="Times New Roman"/>
          <w:color w:val="auto"/>
          <w:u w:val="single"/>
          <w:lang w:val="en-GB" w:eastAsia="en-ZA"/>
        </w:rPr>
        <w:t xml:space="preserve"> </w:t>
      </w:r>
    </w:p>
    <w:p w14:paraId="074E8D7C" w14:textId="77777777" w:rsidR="00707240" w:rsidRPr="00707240" w:rsidRDefault="00707240" w:rsidP="00707240">
      <w:pPr>
        <w:spacing w:after="200" w:line="480" w:lineRule="auto"/>
        <w:jc w:val="both"/>
        <w:rPr>
          <w:rFonts w:eastAsia="Times New Roman"/>
          <w:color w:val="auto"/>
          <w:u w:val="single"/>
          <w:lang w:val="en-GB" w:eastAsia="en-ZA"/>
        </w:rPr>
      </w:pPr>
    </w:p>
    <w:p w14:paraId="6B967947" w14:textId="77777777" w:rsidR="00707240" w:rsidRPr="00707240" w:rsidRDefault="00707240" w:rsidP="00707240">
      <w:pPr>
        <w:spacing w:after="200" w:line="480" w:lineRule="auto"/>
        <w:jc w:val="both"/>
        <w:rPr>
          <w:rFonts w:eastAsia="Times New Roman"/>
          <w:color w:val="auto"/>
          <w:lang w:val="en-GB" w:eastAsia="en-ZA"/>
        </w:rPr>
      </w:pPr>
      <w:r w:rsidRPr="00707240">
        <w:rPr>
          <w:rFonts w:eastAsia="Times New Roman"/>
          <w:color w:val="auto"/>
          <w:lang w:val="en-GB" w:eastAsia="en-ZA"/>
        </w:rPr>
        <w:lastRenderedPageBreak/>
        <w:t>[14]</w:t>
      </w:r>
      <w:r w:rsidRPr="00707240">
        <w:rPr>
          <w:rFonts w:eastAsia="Times New Roman"/>
          <w:color w:val="auto"/>
          <w:lang w:val="en-GB" w:eastAsia="en-ZA"/>
        </w:rPr>
        <w:tab/>
        <w:t xml:space="preserve">When asked why the plaintiff was detained, the arresting officer testified that he had broken into a motor vehicle and stole a tyre. </w:t>
      </w:r>
      <w:r w:rsidR="007C772F">
        <w:rPr>
          <w:rFonts w:eastAsia="Times New Roman"/>
          <w:color w:val="auto"/>
          <w:lang w:val="en-GB" w:eastAsia="en-ZA"/>
        </w:rPr>
        <w:t>Furthermore</w:t>
      </w:r>
      <w:r w:rsidRPr="00707240">
        <w:rPr>
          <w:rFonts w:eastAsia="Times New Roman"/>
          <w:color w:val="auto"/>
          <w:lang w:val="en-GB" w:eastAsia="en-ZA"/>
        </w:rPr>
        <w:t xml:space="preserve">, </w:t>
      </w:r>
      <w:r w:rsidR="007C772F">
        <w:rPr>
          <w:rFonts w:eastAsia="Times New Roman"/>
          <w:color w:val="auto"/>
          <w:lang w:val="en-GB" w:eastAsia="en-ZA"/>
        </w:rPr>
        <w:t>he stated that it was after office hours</w:t>
      </w:r>
      <w:r w:rsidR="000F683A">
        <w:rPr>
          <w:rFonts w:eastAsia="Times New Roman"/>
          <w:color w:val="auto"/>
          <w:lang w:val="en-GB" w:eastAsia="en-ZA"/>
        </w:rPr>
        <w:t xml:space="preserve"> </w:t>
      </w:r>
      <w:r w:rsidRPr="00707240">
        <w:rPr>
          <w:rFonts w:eastAsia="Times New Roman"/>
          <w:color w:val="auto"/>
          <w:lang w:val="en-GB" w:eastAsia="en-ZA"/>
        </w:rPr>
        <w:t xml:space="preserve">and the courts </w:t>
      </w:r>
      <w:r w:rsidR="007C772F">
        <w:rPr>
          <w:rFonts w:eastAsia="Times New Roman"/>
          <w:color w:val="auto"/>
          <w:lang w:val="en-GB" w:eastAsia="en-ZA"/>
        </w:rPr>
        <w:t>had already</w:t>
      </w:r>
      <w:r w:rsidRPr="00707240">
        <w:rPr>
          <w:rFonts w:eastAsia="Times New Roman"/>
          <w:color w:val="auto"/>
          <w:lang w:val="en-GB" w:eastAsia="en-ZA"/>
        </w:rPr>
        <w:t xml:space="preserve"> closed. On the following day, the plaintiff appeared before court and the matter was handled by the magistrate until his release. </w:t>
      </w:r>
    </w:p>
    <w:p w14:paraId="06B79195" w14:textId="77777777" w:rsidR="00707240" w:rsidRPr="00707240" w:rsidRDefault="00707240" w:rsidP="00707240">
      <w:pPr>
        <w:spacing w:after="200" w:line="480" w:lineRule="auto"/>
        <w:jc w:val="both"/>
        <w:rPr>
          <w:rFonts w:eastAsia="Times New Roman"/>
          <w:color w:val="auto"/>
          <w:lang w:val="en-GB" w:eastAsia="en-ZA"/>
        </w:rPr>
      </w:pPr>
    </w:p>
    <w:p w14:paraId="4B58AD1D" w14:textId="77777777" w:rsidR="00707240" w:rsidRPr="00707240" w:rsidRDefault="00707240" w:rsidP="00707240">
      <w:pPr>
        <w:spacing w:after="200" w:line="480" w:lineRule="auto"/>
        <w:jc w:val="both"/>
        <w:rPr>
          <w:rFonts w:eastAsia="Times New Roman"/>
          <w:color w:val="auto"/>
          <w:lang w:val="en-GB" w:eastAsia="en-ZA"/>
        </w:rPr>
      </w:pPr>
      <w:r w:rsidRPr="00707240">
        <w:rPr>
          <w:rFonts w:eastAsia="Times New Roman"/>
          <w:color w:val="auto"/>
          <w:lang w:val="en-GB" w:eastAsia="en-ZA"/>
        </w:rPr>
        <w:t>[15]</w:t>
      </w:r>
      <w:r w:rsidRPr="00707240">
        <w:rPr>
          <w:rFonts w:eastAsia="Times New Roman"/>
          <w:color w:val="auto"/>
          <w:lang w:val="en-GB" w:eastAsia="en-ZA"/>
        </w:rPr>
        <w:tab/>
        <w:t>The next witness who testified on behalf of the defendant was W</w:t>
      </w:r>
      <w:r w:rsidR="00AC77C2">
        <w:rPr>
          <w:rFonts w:eastAsia="Times New Roman"/>
          <w:color w:val="auto"/>
          <w:lang w:val="en-GB" w:eastAsia="en-ZA"/>
        </w:rPr>
        <w:t>/O</w:t>
      </w:r>
      <w:r w:rsidRPr="00707240">
        <w:rPr>
          <w:rFonts w:eastAsia="Times New Roman"/>
          <w:color w:val="auto"/>
          <w:lang w:val="en-GB" w:eastAsia="en-ZA"/>
        </w:rPr>
        <w:t xml:space="preserve"> </w:t>
      </w:r>
      <w:proofErr w:type="spellStart"/>
      <w:r w:rsidRPr="00707240">
        <w:rPr>
          <w:rFonts w:eastAsia="Times New Roman"/>
          <w:color w:val="auto"/>
          <w:lang w:val="en-GB" w:eastAsia="en-ZA"/>
        </w:rPr>
        <w:t>Nongoloza</w:t>
      </w:r>
      <w:proofErr w:type="spellEnd"/>
      <w:r w:rsidRPr="00707240">
        <w:rPr>
          <w:rFonts w:eastAsia="Times New Roman"/>
          <w:color w:val="auto"/>
          <w:lang w:val="en-GB" w:eastAsia="en-ZA"/>
        </w:rPr>
        <w:t xml:space="preserve"> who briefly informed the court that he detained the plaintiff due to the fact that he committed an offence in their presence.</w:t>
      </w:r>
      <w:r w:rsidR="00391029">
        <w:rPr>
          <w:rFonts w:eastAsia="Times New Roman"/>
          <w:color w:val="auto"/>
          <w:lang w:val="en-GB" w:eastAsia="en-ZA"/>
        </w:rPr>
        <w:t xml:space="preserve"> Furthermore, he detained the plaintiff so as to appear in court and be released on bail.</w:t>
      </w:r>
      <w:r w:rsidRPr="00707240">
        <w:rPr>
          <w:rFonts w:eastAsia="Times New Roman"/>
          <w:color w:val="auto"/>
          <w:lang w:val="en-GB" w:eastAsia="en-ZA"/>
        </w:rPr>
        <w:t xml:space="preserve"> He took a warning statement and the plaintiff admitted having committed the offence of theft. He informed the court that he also witnessed the plaintiff removing a tyre out of </w:t>
      </w:r>
      <w:proofErr w:type="gramStart"/>
      <w:r w:rsidRPr="00707240">
        <w:rPr>
          <w:rFonts w:eastAsia="Times New Roman"/>
          <w:color w:val="auto"/>
          <w:lang w:val="en-GB" w:eastAsia="en-ZA"/>
        </w:rPr>
        <w:t>the  bakkie</w:t>
      </w:r>
      <w:proofErr w:type="gramEnd"/>
      <w:r w:rsidRPr="00707240">
        <w:rPr>
          <w:rFonts w:eastAsia="Times New Roman"/>
          <w:color w:val="auto"/>
          <w:lang w:val="en-GB" w:eastAsia="en-ZA"/>
        </w:rPr>
        <w:t>.</w:t>
      </w:r>
    </w:p>
    <w:p w14:paraId="23F5FCEA" w14:textId="77777777" w:rsidR="00707240" w:rsidRPr="00707240" w:rsidRDefault="00707240" w:rsidP="00707240">
      <w:pPr>
        <w:spacing w:after="200" w:line="480" w:lineRule="auto"/>
        <w:jc w:val="both"/>
        <w:rPr>
          <w:rFonts w:eastAsia="Times New Roman"/>
          <w:color w:val="auto"/>
          <w:lang w:val="en-GB" w:eastAsia="en-ZA"/>
        </w:rPr>
      </w:pPr>
    </w:p>
    <w:p w14:paraId="2EF46C82" w14:textId="77777777" w:rsidR="00707240" w:rsidRPr="00707240" w:rsidRDefault="00707240" w:rsidP="00707240">
      <w:pPr>
        <w:spacing w:after="200" w:line="480" w:lineRule="auto"/>
        <w:jc w:val="both"/>
        <w:rPr>
          <w:rFonts w:eastAsia="Times New Roman"/>
          <w:color w:val="auto"/>
          <w:lang w:val="en-GB" w:eastAsia="en-ZA"/>
        </w:rPr>
      </w:pPr>
      <w:r w:rsidRPr="00707240">
        <w:rPr>
          <w:rFonts w:eastAsia="Times New Roman"/>
          <w:color w:val="auto"/>
          <w:lang w:val="en-GB" w:eastAsia="en-ZA"/>
        </w:rPr>
        <w:t>[16]</w:t>
      </w:r>
      <w:r w:rsidRPr="00707240">
        <w:rPr>
          <w:rFonts w:eastAsia="Times New Roman"/>
          <w:color w:val="auto"/>
          <w:lang w:val="en-GB" w:eastAsia="en-ZA"/>
        </w:rPr>
        <w:tab/>
        <w:t>During cross-examination, it was alleged to the police officers that they arrested the wrong person and they denied this. When W</w:t>
      </w:r>
      <w:r w:rsidR="00AC77C2">
        <w:rPr>
          <w:rFonts w:eastAsia="Times New Roman"/>
          <w:color w:val="auto"/>
          <w:lang w:val="en-GB" w:eastAsia="en-ZA"/>
        </w:rPr>
        <w:t>/O</w:t>
      </w:r>
      <w:r w:rsidRPr="00707240">
        <w:rPr>
          <w:rFonts w:eastAsia="Times New Roman"/>
          <w:color w:val="auto"/>
          <w:lang w:val="en-GB" w:eastAsia="en-ZA"/>
        </w:rPr>
        <w:t xml:space="preserve"> </w:t>
      </w:r>
      <w:proofErr w:type="spellStart"/>
      <w:r w:rsidRPr="00707240">
        <w:rPr>
          <w:rFonts w:eastAsia="Times New Roman"/>
          <w:color w:val="auto"/>
          <w:lang w:val="en-GB" w:eastAsia="en-ZA"/>
        </w:rPr>
        <w:t>Nongoloza</w:t>
      </w:r>
      <w:proofErr w:type="spellEnd"/>
      <w:r w:rsidRPr="00707240">
        <w:rPr>
          <w:rFonts w:eastAsia="Times New Roman"/>
          <w:color w:val="auto"/>
          <w:lang w:val="en-GB" w:eastAsia="en-ZA"/>
        </w:rPr>
        <w:t xml:space="preserve"> was informed that a warning statement was defective, he conceded that he made a mistake by not giving the plaintiff an opportunity to endorse his signature after the statement was obtained. That concluded the evidence adduced by the defendant.</w:t>
      </w:r>
    </w:p>
    <w:p w14:paraId="71F38659" w14:textId="77777777" w:rsidR="00707240" w:rsidRPr="00707240" w:rsidRDefault="00707240" w:rsidP="00707240">
      <w:pPr>
        <w:spacing w:after="200" w:line="480" w:lineRule="auto"/>
        <w:jc w:val="both"/>
        <w:rPr>
          <w:rFonts w:eastAsia="Times New Roman"/>
          <w:color w:val="auto"/>
          <w:lang w:val="en-GB" w:eastAsia="en-ZA"/>
        </w:rPr>
      </w:pPr>
    </w:p>
    <w:p w14:paraId="2675FD58" w14:textId="77777777" w:rsidR="00707240" w:rsidRPr="00707240" w:rsidRDefault="00707240" w:rsidP="00707240">
      <w:pPr>
        <w:spacing w:after="200" w:line="480" w:lineRule="auto"/>
        <w:jc w:val="both"/>
        <w:rPr>
          <w:rFonts w:eastAsia="Times New Roman"/>
          <w:color w:val="auto"/>
          <w:lang w:val="en-GB" w:eastAsia="en-ZA"/>
        </w:rPr>
      </w:pPr>
      <w:r w:rsidRPr="00707240">
        <w:rPr>
          <w:rFonts w:eastAsia="Times New Roman"/>
          <w:color w:val="auto"/>
          <w:lang w:val="en-GB" w:eastAsia="en-ZA"/>
        </w:rPr>
        <w:t>[17]</w:t>
      </w:r>
      <w:r w:rsidRPr="00707240">
        <w:rPr>
          <w:rFonts w:eastAsia="Times New Roman"/>
          <w:color w:val="auto"/>
          <w:lang w:val="en-GB" w:eastAsia="en-ZA"/>
        </w:rPr>
        <w:tab/>
        <w:t xml:space="preserve">The plaintiff testified that on this day he was walking along Sprigg Street next to </w:t>
      </w:r>
      <w:proofErr w:type="spellStart"/>
      <w:r w:rsidRPr="00707240">
        <w:rPr>
          <w:rFonts w:eastAsia="Times New Roman"/>
          <w:color w:val="auto"/>
          <w:lang w:val="en-GB" w:eastAsia="en-ZA"/>
        </w:rPr>
        <w:t>Chweba</w:t>
      </w:r>
      <w:proofErr w:type="spellEnd"/>
      <w:r w:rsidRPr="00707240">
        <w:rPr>
          <w:rFonts w:eastAsia="Times New Roman"/>
          <w:color w:val="auto"/>
          <w:lang w:val="en-GB" w:eastAsia="en-ZA"/>
        </w:rPr>
        <w:t xml:space="preserve"> tavern. He explained that the day was busy with lots of people roaming around. As he was walking, he observed a certain man ahead of him pushing a tyre. When this man was about to cross over to Victoria Street, he let the tyre slip. </w:t>
      </w:r>
    </w:p>
    <w:p w14:paraId="1784D9EF" w14:textId="77777777" w:rsidR="00707240" w:rsidRPr="00707240" w:rsidRDefault="00707240" w:rsidP="00707240">
      <w:pPr>
        <w:spacing w:after="200" w:line="480" w:lineRule="auto"/>
        <w:jc w:val="both"/>
        <w:rPr>
          <w:rFonts w:eastAsia="Times New Roman"/>
          <w:color w:val="auto"/>
          <w:lang w:val="en-GB" w:eastAsia="en-ZA"/>
        </w:rPr>
      </w:pPr>
    </w:p>
    <w:p w14:paraId="5EA96BCE" w14:textId="77777777" w:rsidR="00707240" w:rsidRPr="00707240" w:rsidRDefault="00707240" w:rsidP="00707240">
      <w:pPr>
        <w:spacing w:after="200" w:line="480" w:lineRule="auto"/>
        <w:jc w:val="both"/>
        <w:rPr>
          <w:rFonts w:eastAsia="Times New Roman"/>
          <w:color w:val="auto"/>
          <w:lang w:val="en-GB" w:eastAsia="en-ZA"/>
        </w:rPr>
      </w:pPr>
      <w:r w:rsidRPr="00707240">
        <w:rPr>
          <w:rFonts w:eastAsia="Times New Roman"/>
          <w:color w:val="auto"/>
          <w:lang w:val="en-GB" w:eastAsia="en-ZA"/>
        </w:rPr>
        <w:t>[18]</w:t>
      </w:r>
      <w:r w:rsidRPr="00707240">
        <w:rPr>
          <w:rFonts w:eastAsia="Times New Roman"/>
          <w:color w:val="auto"/>
          <w:lang w:val="en-GB" w:eastAsia="en-ZA"/>
        </w:rPr>
        <w:tab/>
        <w:t>Since the tyre was rolling away from this man, he blocked it as he could see that it would cause</w:t>
      </w:r>
      <w:r w:rsidR="007C772F">
        <w:rPr>
          <w:rFonts w:eastAsia="Times New Roman"/>
          <w:color w:val="auto"/>
          <w:lang w:val="en-GB" w:eastAsia="en-ZA"/>
        </w:rPr>
        <w:t xml:space="preserve"> </w:t>
      </w:r>
      <w:r w:rsidRPr="00707240">
        <w:rPr>
          <w:rFonts w:eastAsia="Times New Roman"/>
          <w:color w:val="auto"/>
          <w:lang w:val="en-GB" w:eastAsia="en-ZA"/>
        </w:rPr>
        <w:t xml:space="preserve">accidents. He saw the man running away, he let </w:t>
      </w:r>
      <w:proofErr w:type="gramStart"/>
      <w:r w:rsidRPr="00707240">
        <w:rPr>
          <w:rFonts w:eastAsia="Times New Roman"/>
          <w:color w:val="auto"/>
          <w:lang w:val="en-GB" w:eastAsia="en-ZA"/>
        </w:rPr>
        <w:t xml:space="preserve">loose </w:t>
      </w:r>
      <w:r w:rsidR="00580F8F">
        <w:rPr>
          <w:rFonts w:eastAsia="Times New Roman"/>
          <w:color w:val="auto"/>
          <w:lang w:val="en-GB" w:eastAsia="en-ZA"/>
        </w:rPr>
        <w:t xml:space="preserve"> of</w:t>
      </w:r>
      <w:proofErr w:type="gramEnd"/>
      <w:r w:rsidR="00580F8F">
        <w:rPr>
          <w:rFonts w:eastAsia="Times New Roman"/>
          <w:color w:val="auto"/>
          <w:lang w:val="en-GB" w:eastAsia="en-ZA"/>
        </w:rPr>
        <w:t xml:space="preserve"> </w:t>
      </w:r>
      <w:r w:rsidRPr="00707240">
        <w:rPr>
          <w:rFonts w:eastAsia="Times New Roman"/>
          <w:color w:val="auto"/>
          <w:lang w:val="en-GB" w:eastAsia="en-ZA"/>
        </w:rPr>
        <w:t>the tyre. At a distance of about four paces from where the tyre was, he felt something cold, apparently a firearm was put at the back of his neck. He identified the person who put a firearm on his neck as W</w:t>
      </w:r>
      <w:r w:rsidR="00AC77C2">
        <w:rPr>
          <w:rFonts w:eastAsia="Times New Roman"/>
          <w:color w:val="auto"/>
          <w:lang w:val="en-GB" w:eastAsia="en-ZA"/>
        </w:rPr>
        <w:t xml:space="preserve">/O </w:t>
      </w:r>
      <w:proofErr w:type="spellStart"/>
      <w:r w:rsidRPr="00707240">
        <w:rPr>
          <w:rFonts w:eastAsia="Times New Roman"/>
          <w:color w:val="auto"/>
          <w:lang w:val="en-GB" w:eastAsia="en-ZA"/>
        </w:rPr>
        <w:t>Nongoloza</w:t>
      </w:r>
      <w:proofErr w:type="spellEnd"/>
      <w:r w:rsidRPr="00707240">
        <w:rPr>
          <w:rFonts w:eastAsia="Times New Roman"/>
          <w:color w:val="auto"/>
          <w:lang w:val="en-GB" w:eastAsia="en-ZA"/>
        </w:rPr>
        <w:t xml:space="preserve">. </w:t>
      </w:r>
    </w:p>
    <w:p w14:paraId="2499B0B4" w14:textId="77777777" w:rsidR="00707240" w:rsidRPr="00707240" w:rsidRDefault="00707240" w:rsidP="00707240">
      <w:pPr>
        <w:spacing w:after="200" w:line="480" w:lineRule="auto"/>
        <w:jc w:val="both"/>
        <w:rPr>
          <w:rFonts w:eastAsia="Times New Roman"/>
          <w:color w:val="auto"/>
          <w:lang w:val="en-GB" w:eastAsia="en-ZA"/>
        </w:rPr>
      </w:pPr>
    </w:p>
    <w:p w14:paraId="371CAE53" w14:textId="77777777" w:rsidR="00707240" w:rsidRPr="00707240" w:rsidRDefault="00707240" w:rsidP="00707240">
      <w:pPr>
        <w:spacing w:after="200" w:line="480" w:lineRule="auto"/>
        <w:jc w:val="both"/>
        <w:rPr>
          <w:rFonts w:eastAsia="Times New Roman"/>
          <w:color w:val="auto"/>
          <w:lang w:val="en-GB" w:eastAsia="en-ZA"/>
        </w:rPr>
      </w:pPr>
      <w:r w:rsidRPr="00707240">
        <w:rPr>
          <w:rFonts w:eastAsia="Times New Roman"/>
          <w:color w:val="auto"/>
          <w:lang w:val="en-GB" w:eastAsia="en-ZA"/>
        </w:rPr>
        <w:t>[19]</w:t>
      </w:r>
      <w:r w:rsidRPr="00707240">
        <w:rPr>
          <w:rFonts w:eastAsia="Times New Roman"/>
          <w:color w:val="auto"/>
          <w:lang w:val="en-GB" w:eastAsia="en-ZA"/>
        </w:rPr>
        <w:tab/>
        <w:t>According to the plaintiff’s testimony, W</w:t>
      </w:r>
      <w:r w:rsidR="00AC77C2">
        <w:rPr>
          <w:rFonts w:eastAsia="Times New Roman"/>
          <w:color w:val="auto"/>
          <w:lang w:val="en-GB" w:eastAsia="en-ZA"/>
        </w:rPr>
        <w:t xml:space="preserve">/O </w:t>
      </w:r>
      <w:proofErr w:type="spellStart"/>
      <w:proofErr w:type="gramStart"/>
      <w:r w:rsidR="00AC77C2">
        <w:rPr>
          <w:rFonts w:eastAsia="Times New Roman"/>
          <w:color w:val="auto"/>
          <w:lang w:val="en-GB" w:eastAsia="en-ZA"/>
        </w:rPr>
        <w:t>Nongoloza</w:t>
      </w:r>
      <w:proofErr w:type="spellEnd"/>
      <w:r w:rsidR="00AC77C2">
        <w:rPr>
          <w:rFonts w:eastAsia="Times New Roman"/>
          <w:color w:val="auto"/>
          <w:lang w:val="en-GB" w:eastAsia="en-ZA"/>
        </w:rPr>
        <w:t xml:space="preserve"> </w:t>
      </w:r>
      <w:r w:rsidRPr="00707240">
        <w:rPr>
          <w:rFonts w:eastAsia="Times New Roman"/>
          <w:color w:val="auto"/>
          <w:lang w:val="en-GB" w:eastAsia="en-ZA"/>
        </w:rPr>
        <w:t xml:space="preserve"> asked</w:t>
      </w:r>
      <w:proofErr w:type="gramEnd"/>
      <w:r w:rsidRPr="00707240">
        <w:rPr>
          <w:rFonts w:eastAsia="Times New Roman"/>
          <w:color w:val="auto"/>
          <w:lang w:val="en-GB" w:eastAsia="en-ZA"/>
        </w:rPr>
        <w:t xml:space="preserve"> him to disclose the identity of the person who ran away. He had no knowledge of such a person but despite that, he was handcuffed. At that stage, the other police officer came with a second person whom he identified as the plaintiff’s co-perpetrator in the commission of the crime of theft. They were both handcuffed. When he explained that he blocked the tyre so as not to cause accidents, he was advised that he should have let go of the tyre instead of pushing it.</w:t>
      </w:r>
    </w:p>
    <w:p w14:paraId="62588430" w14:textId="77777777" w:rsidR="00707240" w:rsidRPr="00707240" w:rsidRDefault="00707240" w:rsidP="00707240">
      <w:pPr>
        <w:spacing w:after="200" w:line="480" w:lineRule="auto"/>
        <w:jc w:val="both"/>
        <w:rPr>
          <w:rFonts w:eastAsia="Times New Roman"/>
          <w:color w:val="auto"/>
          <w:lang w:val="en-GB" w:eastAsia="en-ZA"/>
        </w:rPr>
      </w:pPr>
    </w:p>
    <w:p w14:paraId="78D3FDB3" w14:textId="77777777" w:rsidR="00707240" w:rsidRPr="00707240" w:rsidRDefault="00707240" w:rsidP="00707240">
      <w:pPr>
        <w:spacing w:after="200" w:line="480" w:lineRule="auto"/>
        <w:jc w:val="both"/>
        <w:rPr>
          <w:rFonts w:eastAsia="Times New Roman"/>
          <w:color w:val="auto"/>
          <w:lang w:val="en-GB" w:eastAsia="en-ZA"/>
        </w:rPr>
      </w:pPr>
      <w:r w:rsidRPr="00707240">
        <w:rPr>
          <w:rFonts w:eastAsia="Times New Roman"/>
          <w:color w:val="auto"/>
          <w:lang w:val="en-GB" w:eastAsia="en-ZA"/>
        </w:rPr>
        <w:t>[20]</w:t>
      </w:r>
      <w:r w:rsidRPr="00707240">
        <w:rPr>
          <w:rFonts w:eastAsia="Times New Roman"/>
          <w:color w:val="auto"/>
          <w:lang w:val="en-GB" w:eastAsia="en-ZA"/>
        </w:rPr>
        <w:tab/>
        <w:t>The plaintiff testified</w:t>
      </w:r>
      <w:r w:rsidR="007C772F">
        <w:rPr>
          <w:rFonts w:eastAsia="Times New Roman"/>
          <w:color w:val="auto"/>
          <w:lang w:val="en-GB" w:eastAsia="en-ZA"/>
        </w:rPr>
        <w:t xml:space="preserve"> further</w:t>
      </w:r>
      <w:r w:rsidRPr="00707240">
        <w:rPr>
          <w:rFonts w:eastAsia="Times New Roman"/>
          <w:color w:val="auto"/>
          <w:lang w:val="en-GB" w:eastAsia="en-ZA"/>
        </w:rPr>
        <w:t xml:space="preserve"> that after his arrest he was detained and only appeared in court on the following day.  After his first appearance in court, he spent seven days in custody and bail was later fixed </w:t>
      </w:r>
      <w:r w:rsidR="007C772F">
        <w:rPr>
          <w:rFonts w:eastAsia="Times New Roman"/>
          <w:color w:val="auto"/>
          <w:lang w:val="en-GB" w:eastAsia="en-ZA"/>
        </w:rPr>
        <w:t>in</w:t>
      </w:r>
      <w:r w:rsidRPr="00707240">
        <w:rPr>
          <w:rFonts w:eastAsia="Times New Roman"/>
          <w:color w:val="auto"/>
          <w:lang w:val="en-GB" w:eastAsia="en-ZA"/>
        </w:rPr>
        <w:t xml:space="preserve"> the amount of R3000 (Three thousand rand). He could not afford to pay bail until it was reduced to R1000 (One thousand rand). He was released in January 2018 after the case was struck off roll due to lack of evidence.</w:t>
      </w:r>
    </w:p>
    <w:p w14:paraId="77B8BB2D" w14:textId="77777777" w:rsidR="00707240" w:rsidRPr="00707240" w:rsidRDefault="00707240" w:rsidP="00707240">
      <w:pPr>
        <w:spacing w:after="200" w:line="480" w:lineRule="auto"/>
        <w:jc w:val="both"/>
        <w:rPr>
          <w:rFonts w:eastAsia="Times New Roman"/>
          <w:color w:val="auto"/>
          <w:lang w:val="en-GB" w:eastAsia="en-ZA"/>
        </w:rPr>
      </w:pPr>
    </w:p>
    <w:p w14:paraId="04F1B6FF" w14:textId="77777777" w:rsidR="00707240" w:rsidRPr="00707240" w:rsidRDefault="00707240" w:rsidP="00707240">
      <w:pPr>
        <w:spacing w:after="200" w:line="480" w:lineRule="auto"/>
        <w:jc w:val="both"/>
        <w:rPr>
          <w:rFonts w:eastAsia="Times New Roman"/>
          <w:color w:val="auto"/>
          <w:u w:val="single"/>
          <w:lang w:val="en-GB" w:eastAsia="en-ZA"/>
        </w:rPr>
      </w:pPr>
      <w:r w:rsidRPr="00707240">
        <w:rPr>
          <w:rFonts w:eastAsia="Times New Roman"/>
          <w:color w:val="auto"/>
          <w:lang w:val="en-GB" w:eastAsia="en-ZA"/>
        </w:rPr>
        <w:lastRenderedPageBreak/>
        <w:t>[21]</w:t>
      </w:r>
      <w:r w:rsidRPr="00707240">
        <w:rPr>
          <w:rFonts w:eastAsia="Times New Roman"/>
          <w:color w:val="auto"/>
          <w:lang w:val="en-GB" w:eastAsia="en-ZA"/>
        </w:rPr>
        <w:tab/>
        <w:t>During cross-examination, the plaintiff denied that he stole the tyre in the complainant’s bakkie. He testified that he was never searched and his rights were not explained. The plaintiff further testified that he knew the person who was rolling the tyre before arrest. He testified that it was his first time to see his erstwhile co-accused and he never addressed him as uncle. With this evidence, the plaintiff closed his case.</w:t>
      </w:r>
    </w:p>
    <w:p w14:paraId="4805FBAD" w14:textId="77777777" w:rsidR="00707240" w:rsidRPr="00707240" w:rsidRDefault="00707240" w:rsidP="00707240">
      <w:pPr>
        <w:spacing w:after="200" w:line="480" w:lineRule="auto"/>
        <w:jc w:val="both"/>
        <w:rPr>
          <w:rFonts w:eastAsia="Times New Roman"/>
          <w:color w:val="auto"/>
          <w:u w:val="single"/>
          <w:lang w:val="en-GB" w:eastAsia="en-ZA"/>
        </w:rPr>
      </w:pPr>
    </w:p>
    <w:p w14:paraId="2894E7AD" w14:textId="77777777" w:rsidR="00707240" w:rsidRPr="00B2378C" w:rsidRDefault="00707240" w:rsidP="00707240">
      <w:pPr>
        <w:spacing w:after="200" w:line="480" w:lineRule="auto"/>
        <w:jc w:val="both"/>
        <w:rPr>
          <w:rFonts w:eastAsia="Times New Roman"/>
          <w:b/>
          <w:color w:val="auto"/>
          <w:u w:val="single"/>
          <w:lang w:val="en-GB" w:eastAsia="en-ZA"/>
        </w:rPr>
      </w:pPr>
      <w:r w:rsidRPr="00707240">
        <w:rPr>
          <w:rFonts w:eastAsia="Times New Roman"/>
          <w:b/>
          <w:color w:val="auto"/>
          <w:u w:val="single"/>
          <w:lang w:val="en-GB" w:eastAsia="en-ZA"/>
        </w:rPr>
        <w:t>Issues</w:t>
      </w:r>
    </w:p>
    <w:p w14:paraId="7388AACA" w14:textId="77777777" w:rsidR="00707240" w:rsidRPr="00707240" w:rsidRDefault="00707240" w:rsidP="00707240">
      <w:pPr>
        <w:spacing w:after="200" w:line="480" w:lineRule="auto"/>
        <w:jc w:val="both"/>
        <w:rPr>
          <w:rFonts w:eastAsia="Times New Roman"/>
          <w:color w:val="auto"/>
          <w:lang w:val="en-GB" w:eastAsia="en-ZA"/>
        </w:rPr>
      </w:pPr>
      <w:r w:rsidRPr="00707240">
        <w:rPr>
          <w:rFonts w:eastAsia="Times New Roman"/>
          <w:color w:val="auto"/>
          <w:lang w:val="en-GB" w:eastAsia="en-ZA"/>
        </w:rPr>
        <w:t>[22]</w:t>
      </w:r>
      <w:r w:rsidRPr="00707240">
        <w:rPr>
          <w:rFonts w:eastAsia="Times New Roman"/>
          <w:color w:val="auto"/>
          <w:lang w:val="en-GB" w:eastAsia="en-ZA"/>
        </w:rPr>
        <w:tab/>
        <w:t xml:space="preserve">The issues up for </w:t>
      </w:r>
      <w:r w:rsidR="007C772F">
        <w:rPr>
          <w:rFonts w:eastAsia="Times New Roman"/>
          <w:color w:val="auto"/>
          <w:lang w:val="en-GB" w:eastAsia="en-ZA"/>
        </w:rPr>
        <w:t xml:space="preserve">determination </w:t>
      </w:r>
      <w:r w:rsidRPr="00707240">
        <w:rPr>
          <w:rFonts w:eastAsia="Times New Roman"/>
          <w:color w:val="auto"/>
          <w:lang w:val="en-GB" w:eastAsia="en-ZA"/>
        </w:rPr>
        <w:t>are:</w:t>
      </w:r>
    </w:p>
    <w:p w14:paraId="5D0D0A82" w14:textId="77777777" w:rsidR="00707240" w:rsidRPr="00707240" w:rsidRDefault="00707240" w:rsidP="00B2378C">
      <w:pPr>
        <w:numPr>
          <w:ilvl w:val="0"/>
          <w:numId w:val="32"/>
        </w:numPr>
        <w:spacing w:after="200" w:line="480" w:lineRule="auto"/>
        <w:jc w:val="both"/>
        <w:rPr>
          <w:rFonts w:eastAsia="Times New Roman"/>
          <w:color w:val="auto"/>
          <w:lang w:val="en-GB" w:eastAsia="en-ZA"/>
        </w:rPr>
      </w:pPr>
      <w:r w:rsidRPr="00707240">
        <w:rPr>
          <w:rFonts w:eastAsia="Times New Roman"/>
          <w:color w:val="auto"/>
          <w:lang w:val="en-GB" w:eastAsia="en-ZA"/>
        </w:rPr>
        <w:t xml:space="preserve">Whether the plaintiff committed an offence of theft in the presence of the police officers. </w:t>
      </w:r>
    </w:p>
    <w:p w14:paraId="5858F245" w14:textId="77777777" w:rsidR="00707240" w:rsidRPr="00707240" w:rsidRDefault="00707240" w:rsidP="00B2378C">
      <w:pPr>
        <w:numPr>
          <w:ilvl w:val="0"/>
          <w:numId w:val="32"/>
        </w:numPr>
        <w:spacing w:after="200" w:line="480" w:lineRule="auto"/>
        <w:jc w:val="both"/>
        <w:rPr>
          <w:rFonts w:eastAsia="Times New Roman"/>
          <w:color w:val="auto"/>
          <w:lang w:val="en-GB" w:eastAsia="en-ZA"/>
        </w:rPr>
      </w:pPr>
      <w:r w:rsidRPr="00707240">
        <w:rPr>
          <w:rFonts w:eastAsia="Times New Roman"/>
          <w:color w:val="auto"/>
          <w:lang w:val="en-GB" w:eastAsia="en-ZA"/>
        </w:rPr>
        <w:t>Whether the police officers satisfactorily identified the person who stole the complainant’s item.</w:t>
      </w:r>
    </w:p>
    <w:p w14:paraId="6753211F" w14:textId="77777777" w:rsidR="00707240" w:rsidRPr="00707240" w:rsidRDefault="00707240" w:rsidP="00B2378C">
      <w:pPr>
        <w:numPr>
          <w:ilvl w:val="0"/>
          <w:numId w:val="32"/>
        </w:numPr>
        <w:spacing w:after="200" w:line="480" w:lineRule="auto"/>
        <w:jc w:val="both"/>
        <w:rPr>
          <w:rFonts w:eastAsia="Times New Roman"/>
          <w:color w:val="auto"/>
          <w:lang w:val="en-GB" w:eastAsia="en-ZA"/>
        </w:rPr>
      </w:pPr>
      <w:r w:rsidRPr="00707240">
        <w:rPr>
          <w:rFonts w:eastAsia="Times New Roman"/>
          <w:color w:val="auto"/>
          <w:lang w:val="en-GB" w:eastAsia="en-ZA"/>
        </w:rPr>
        <w:t xml:space="preserve"> </w:t>
      </w:r>
      <w:r w:rsidR="00374B62">
        <w:rPr>
          <w:rFonts w:eastAsia="Times New Roman"/>
          <w:color w:val="auto"/>
          <w:lang w:val="en-GB" w:eastAsia="en-ZA"/>
        </w:rPr>
        <w:t>W</w:t>
      </w:r>
      <w:r w:rsidRPr="00707240">
        <w:rPr>
          <w:rFonts w:eastAsia="Times New Roman"/>
          <w:color w:val="auto"/>
          <w:lang w:val="en-GB" w:eastAsia="en-ZA"/>
        </w:rPr>
        <w:t>hether the plaintiff’s arrest and his subsequent detention were justified.</w:t>
      </w:r>
    </w:p>
    <w:p w14:paraId="7B2A9D37" w14:textId="77777777" w:rsidR="00707240" w:rsidRPr="00B2378C" w:rsidRDefault="00707240" w:rsidP="00707240">
      <w:pPr>
        <w:spacing w:after="200" w:line="480" w:lineRule="auto"/>
        <w:jc w:val="both"/>
        <w:rPr>
          <w:rFonts w:eastAsia="Times New Roman"/>
          <w:b/>
          <w:color w:val="auto"/>
          <w:u w:val="single"/>
          <w:lang w:val="en-GB" w:eastAsia="en-ZA"/>
        </w:rPr>
      </w:pPr>
      <w:r w:rsidRPr="00707240">
        <w:rPr>
          <w:rFonts w:eastAsia="Times New Roman"/>
          <w:b/>
          <w:color w:val="auto"/>
          <w:u w:val="single"/>
          <w:lang w:val="en-GB" w:eastAsia="en-ZA"/>
        </w:rPr>
        <w:t>The law</w:t>
      </w:r>
    </w:p>
    <w:p w14:paraId="2CDE49F5" w14:textId="77777777" w:rsidR="00707240" w:rsidRPr="00707240" w:rsidRDefault="00707240" w:rsidP="00707240">
      <w:pPr>
        <w:spacing w:after="200" w:line="480" w:lineRule="auto"/>
        <w:jc w:val="both"/>
        <w:rPr>
          <w:rFonts w:eastAsia="Times New Roman"/>
          <w:color w:val="auto"/>
          <w:lang w:val="en-GB" w:eastAsia="en-ZA"/>
        </w:rPr>
      </w:pPr>
      <w:r w:rsidRPr="00707240">
        <w:rPr>
          <w:rFonts w:eastAsia="Times New Roman"/>
          <w:color w:val="auto"/>
          <w:lang w:val="en-GB" w:eastAsia="en-ZA"/>
        </w:rPr>
        <w:t>[23]</w:t>
      </w:r>
      <w:r w:rsidRPr="00707240">
        <w:rPr>
          <w:rFonts w:eastAsia="Times New Roman"/>
          <w:color w:val="auto"/>
          <w:lang w:val="en-GB" w:eastAsia="en-ZA"/>
        </w:rPr>
        <w:tab/>
        <w:t xml:space="preserve">The defendant relies on section 40 (1) (a) of the Criminal </w:t>
      </w:r>
      <w:r>
        <w:rPr>
          <w:rFonts w:eastAsia="Times New Roman"/>
          <w:color w:val="auto"/>
          <w:lang w:val="en-GB" w:eastAsia="en-ZA"/>
        </w:rPr>
        <w:t>P</w:t>
      </w:r>
      <w:r w:rsidRPr="00707240">
        <w:rPr>
          <w:rFonts w:eastAsia="Times New Roman"/>
          <w:color w:val="auto"/>
          <w:lang w:val="en-GB" w:eastAsia="en-ZA"/>
        </w:rPr>
        <w:t>rocedure Act (CPA)</w:t>
      </w:r>
      <w:r w:rsidRPr="00707240">
        <w:rPr>
          <w:rFonts w:eastAsia="Times New Roman"/>
          <w:color w:val="auto"/>
          <w:vertAlign w:val="superscript"/>
          <w:lang w:val="en-GB" w:eastAsia="en-ZA"/>
        </w:rPr>
        <w:footnoteReference w:id="1"/>
      </w:r>
      <w:r w:rsidRPr="00707240">
        <w:rPr>
          <w:rFonts w:eastAsia="Times New Roman"/>
          <w:color w:val="auto"/>
          <w:lang w:val="en-GB" w:eastAsia="en-ZA"/>
        </w:rPr>
        <w:t xml:space="preserve"> to justify the arrest of the plaintiff. This provision allows a peace officer to effect an arrest without a warrant in circumstances where a person commits or attempt</w:t>
      </w:r>
      <w:r>
        <w:rPr>
          <w:rFonts w:eastAsia="Times New Roman"/>
          <w:color w:val="auto"/>
          <w:lang w:val="en-GB" w:eastAsia="en-ZA"/>
        </w:rPr>
        <w:t>s</w:t>
      </w:r>
      <w:r w:rsidRPr="00707240">
        <w:rPr>
          <w:rFonts w:eastAsia="Times New Roman"/>
          <w:color w:val="auto"/>
          <w:lang w:val="en-GB" w:eastAsia="en-ZA"/>
        </w:rPr>
        <w:t xml:space="preserve"> to commit any offence in</w:t>
      </w:r>
      <w:r w:rsidR="000F283F">
        <w:rPr>
          <w:rFonts w:eastAsia="Times New Roman"/>
          <w:color w:val="auto"/>
          <w:lang w:val="en-GB" w:eastAsia="en-ZA"/>
        </w:rPr>
        <w:t xml:space="preserve"> the presence of</w:t>
      </w:r>
      <w:r w:rsidRPr="00707240">
        <w:rPr>
          <w:rFonts w:eastAsia="Times New Roman"/>
          <w:color w:val="auto"/>
          <w:lang w:val="en-GB" w:eastAsia="en-ZA"/>
        </w:rPr>
        <w:t xml:space="preserve"> a police officer. Section 40(1)(a) of the CPA provides:</w:t>
      </w:r>
    </w:p>
    <w:p w14:paraId="66C802F5" w14:textId="77777777" w:rsidR="00707240" w:rsidRPr="00B2378C" w:rsidRDefault="00707240" w:rsidP="00B2378C">
      <w:pPr>
        <w:spacing w:after="200"/>
        <w:ind w:firstLine="720"/>
        <w:jc w:val="both"/>
        <w:rPr>
          <w:rFonts w:eastAsia="Times New Roman"/>
          <w:color w:val="auto"/>
          <w:sz w:val="20"/>
          <w:szCs w:val="20"/>
          <w:lang w:val="en-GB" w:eastAsia="en-ZA"/>
        </w:rPr>
      </w:pPr>
      <w:r w:rsidRPr="00B2378C">
        <w:rPr>
          <w:rFonts w:eastAsia="Times New Roman"/>
          <w:color w:val="auto"/>
          <w:sz w:val="20"/>
          <w:szCs w:val="20"/>
          <w:lang w:val="en-GB" w:eastAsia="en-ZA"/>
        </w:rPr>
        <w:t>“40. Arrest by peace officer without warrant ss39-40</w:t>
      </w:r>
    </w:p>
    <w:p w14:paraId="222671BC" w14:textId="77777777" w:rsidR="00707240" w:rsidRPr="00B2378C" w:rsidRDefault="00707240" w:rsidP="00B2378C">
      <w:pPr>
        <w:numPr>
          <w:ilvl w:val="0"/>
          <w:numId w:val="28"/>
        </w:numPr>
        <w:spacing w:after="200"/>
        <w:jc w:val="both"/>
        <w:rPr>
          <w:rFonts w:eastAsia="Times New Roman"/>
          <w:color w:val="auto"/>
          <w:sz w:val="20"/>
          <w:szCs w:val="20"/>
          <w:lang w:val="en-GB" w:eastAsia="en-ZA"/>
        </w:rPr>
      </w:pPr>
      <w:r w:rsidRPr="00B2378C">
        <w:rPr>
          <w:rFonts w:eastAsia="Times New Roman"/>
          <w:color w:val="auto"/>
          <w:sz w:val="20"/>
          <w:szCs w:val="20"/>
          <w:lang w:val="en-GB" w:eastAsia="en-ZA"/>
        </w:rPr>
        <w:lastRenderedPageBreak/>
        <w:t>A peace officer may without a warrant arrest any person-</w:t>
      </w:r>
    </w:p>
    <w:p w14:paraId="37E5EF05" w14:textId="77777777" w:rsidR="00707240" w:rsidRPr="00B2378C" w:rsidRDefault="00707240" w:rsidP="00B2378C">
      <w:pPr>
        <w:numPr>
          <w:ilvl w:val="0"/>
          <w:numId w:val="29"/>
        </w:numPr>
        <w:spacing w:after="200"/>
        <w:jc w:val="both"/>
        <w:rPr>
          <w:rFonts w:eastAsia="Times New Roman"/>
          <w:color w:val="auto"/>
          <w:sz w:val="20"/>
          <w:szCs w:val="20"/>
          <w:lang w:val="en-GB" w:eastAsia="en-ZA"/>
        </w:rPr>
      </w:pPr>
      <w:r w:rsidRPr="00B2378C">
        <w:rPr>
          <w:rFonts w:eastAsia="Times New Roman"/>
          <w:color w:val="auto"/>
          <w:sz w:val="20"/>
          <w:szCs w:val="20"/>
          <w:lang w:val="en-GB" w:eastAsia="en-ZA"/>
        </w:rPr>
        <w:t>who commits or attempts to commit any offence in his presence”</w:t>
      </w:r>
    </w:p>
    <w:p w14:paraId="0B0F75BA" w14:textId="77777777" w:rsidR="00707240" w:rsidRPr="00707240" w:rsidRDefault="00707240" w:rsidP="00707240">
      <w:pPr>
        <w:spacing w:after="200" w:line="480" w:lineRule="auto"/>
        <w:jc w:val="both"/>
        <w:rPr>
          <w:rFonts w:eastAsia="Times New Roman"/>
          <w:color w:val="auto"/>
          <w:lang w:val="en-GB" w:eastAsia="en-ZA"/>
        </w:rPr>
      </w:pPr>
    </w:p>
    <w:p w14:paraId="6B240B0D" w14:textId="77777777" w:rsidR="00707240" w:rsidRPr="00B2378C" w:rsidRDefault="00707240" w:rsidP="00707240">
      <w:pPr>
        <w:spacing w:after="200" w:line="480" w:lineRule="auto"/>
        <w:jc w:val="both"/>
        <w:rPr>
          <w:rFonts w:eastAsia="Times New Roman"/>
          <w:color w:val="auto"/>
          <w:lang w:val="en-GB" w:eastAsia="en-ZA"/>
        </w:rPr>
      </w:pPr>
      <w:r w:rsidRPr="00707240">
        <w:rPr>
          <w:rFonts w:eastAsia="Times New Roman"/>
          <w:color w:val="auto"/>
          <w:lang w:val="en-GB" w:eastAsia="en-ZA"/>
        </w:rPr>
        <w:t>[24]</w:t>
      </w:r>
      <w:r w:rsidRPr="00707240">
        <w:rPr>
          <w:rFonts w:eastAsia="Times New Roman"/>
          <w:color w:val="auto"/>
          <w:lang w:val="en-GB" w:eastAsia="en-ZA"/>
        </w:rPr>
        <w:tab/>
        <w:t xml:space="preserve">In </w:t>
      </w:r>
      <w:r w:rsidRPr="00707240">
        <w:rPr>
          <w:rFonts w:eastAsia="Times New Roman"/>
          <w:i/>
          <w:color w:val="auto"/>
          <w:lang w:val="en-GB" w:eastAsia="en-ZA"/>
        </w:rPr>
        <w:t>Loubser</w:t>
      </w:r>
      <w:r w:rsidRPr="00707240">
        <w:rPr>
          <w:rFonts w:eastAsia="Times New Roman"/>
          <w:i/>
          <w:color w:val="auto"/>
          <w:vertAlign w:val="superscript"/>
          <w:lang w:val="en-GB" w:eastAsia="en-ZA"/>
        </w:rPr>
        <w:footnoteReference w:id="2"/>
      </w:r>
      <w:r w:rsidRPr="00707240">
        <w:rPr>
          <w:rFonts w:eastAsia="Times New Roman"/>
          <w:i/>
          <w:color w:val="auto"/>
          <w:lang w:val="en-GB" w:eastAsia="en-ZA"/>
        </w:rPr>
        <w:t xml:space="preserve"> , </w:t>
      </w:r>
      <w:r w:rsidRPr="00707240">
        <w:rPr>
          <w:rFonts w:eastAsia="Times New Roman"/>
          <w:color w:val="auto"/>
          <w:lang w:val="en-GB" w:eastAsia="en-ZA"/>
        </w:rPr>
        <w:t xml:space="preserve">the court referred to the case of </w:t>
      </w:r>
      <w:r w:rsidRPr="00707240">
        <w:rPr>
          <w:rFonts w:eastAsia="Times New Roman"/>
          <w:i/>
          <w:color w:val="auto"/>
          <w:lang w:val="en-GB" w:eastAsia="en-ZA"/>
        </w:rPr>
        <w:t xml:space="preserve">Minister of Justice and Others v </w:t>
      </w:r>
      <w:proofErr w:type="spellStart"/>
      <w:r w:rsidRPr="00707240">
        <w:rPr>
          <w:rFonts w:eastAsia="Times New Roman"/>
          <w:i/>
          <w:color w:val="auto"/>
          <w:lang w:val="en-GB" w:eastAsia="en-ZA"/>
        </w:rPr>
        <w:t>Tsose</w:t>
      </w:r>
      <w:proofErr w:type="spellEnd"/>
      <w:r w:rsidRPr="00707240">
        <w:rPr>
          <w:rFonts w:eastAsia="Times New Roman"/>
          <w:i/>
          <w:color w:val="auto"/>
          <w:vertAlign w:val="superscript"/>
          <w:lang w:val="en-GB" w:eastAsia="en-ZA"/>
        </w:rPr>
        <w:footnoteReference w:id="3"/>
      </w:r>
      <w:r w:rsidRPr="00707240">
        <w:rPr>
          <w:rFonts w:eastAsia="Times New Roman"/>
          <w:color w:val="auto"/>
          <w:lang w:val="en-GB" w:eastAsia="en-ZA"/>
        </w:rPr>
        <w:t xml:space="preserve"> where Malan J explained that</w:t>
      </w:r>
      <w:r w:rsidRPr="00707240">
        <w:rPr>
          <w:rFonts w:eastAsia="Times New Roman"/>
          <w:color w:val="auto"/>
          <w:lang w:eastAsia="en-ZA"/>
        </w:rPr>
        <w:t xml:space="preserve"> </w:t>
      </w:r>
      <w:r w:rsidR="00374B62">
        <w:rPr>
          <w:rFonts w:eastAsia="Times New Roman"/>
          <w:color w:val="auto"/>
          <w:lang w:eastAsia="en-ZA"/>
        </w:rPr>
        <w:t>if</w:t>
      </w:r>
      <w:r w:rsidRPr="00707240">
        <w:rPr>
          <w:rFonts w:eastAsia="Times New Roman"/>
          <w:color w:val="auto"/>
          <w:lang w:eastAsia="en-ZA"/>
        </w:rPr>
        <w:t xml:space="preserve"> a peace officer, honestly and reasonably comes to the conclusion that a crime is being committed he may act upon such opinion or belief even though in subsequent proceedings whether civil or criminal it is not proved that a crime was in fact committed. Moreover, in order to justify the apprehension and to determine whether or not a crime is being committed, the arrestor should not be confined to what he perceives at the time of arrest but may import into his decision the antecedent conduct of the arrested person as well as his knowledge of all the relevant surrounding circumstances and thus supplement what is perceived by him.</w:t>
      </w:r>
      <w:r>
        <w:rPr>
          <w:rFonts w:eastAsia="Times New Roman"/>
          <w:color w:val="auto"/>
          <w:lang w:val="en-GB" w:eastAsia="en-ZA"/>
        </w:rPr>
        <w:t xml:space="preserve"> </w:t>
      </w:r>
      <w:r w:rsidRPr="00707240">
        <w:rPr>
          <w:rFonts w:eastAsia="Times New Roman"/>
          <w:color w:val="auto"/>
          <w:lang w:eastAsia="en-ZA"/>
        </w:rPr>
        <w:t>A</w:t>
      </w:r>
      <w:r w:rsidRPr="00B2378C">
        <w:rPr>
          <w:rFonts w:eastAsia="Times New Roman"/>
          <w:color w:val="auto"/>
          <w:lang w:eastAsia="en-ZA"/>
        </w:rPr>
        <w:t>s</w:t>
      </w:r>
      <w:r w:rsidRPr="00707240">
        <w:rPr>
          <w:rFonts w:eastAsia="Times New Roman"/>
          <w:color w:val="auto"/>
          <w:lang w:eastAsia="en-ZA"/>
        </w:rPr>
        <w:t xml:space="preserve"> </w:t>
      </w:r>
      <w:r w:rsidRPr="00707240">
        <w:rPr>
          <w:rFonts w:eastAsia="Times New Roman"/>
          <w:i/>
          <w:color w:val="auto"/>
          <w:lang w:eastAsia="en-ZA"/>
        </w:rPr>
        <w:t>per Malan J</w:t>
      </w:r>
      <w:r w:rsidRPr="00B2378C">
        <w:rPr>
          <w:rStyle w:val="FootnoteReference"/>
          <w:rFonts w:eastAsia="Times New Roman"/>
          <w:i/>
          <w:color w:val="auto"/>
          <w:lang w:eastAsia="en-ZA"/>
        </w:rPr>
        <w:footnoteReference w:id="4"/>
      </w:r>
      <w:r w:rsidRPr="00707240">
        <w:rPr>
          <w:rFonts w:eastAsia="Times New Roman"/>
          <w:i/>
          <w:color w:val="auto"/>
          <w:lang w:eastAsia="en-ZA"/>
        </w:rPr>
        <w:t>:</w:t>
      </w:r>
    </w:p>
    <w:p w14:paraId="60C8F18C" w14:textId="77777777" w:rsidR="00707240" w:rsidRPr="00B2378C" w:rsidRDefault="00707240" w:rsidP="00B2378C">
      <w:pPr>
        <w:spacing w:after="200" w:line="480" w:lineRule="auto"/>
        <w:ind w:left="720"/>
        <w:jc w:val="both"/>
        <w:rPr>
          <w:rFonts w:eastAsia="Times New Roman"/>
          <w:color w:val="auto"/>
          <w:sz w:val="20"/>
          <w:szCs w:val="20"/>
          <w:lang w:eastAsia="en-ZA"/>
        </w:rPr>
      </w:pPr>
      <w:r w:rsidRPr="00B2378C">
        <w:rPr>
          <w:rFonts w:eastAsia="Times New Roman"/>
          <w:color w:val="auto"/>
          <w:sz w:val="20"/>
          <w:szCs w:val="20"/>
          <w:lang w:val="en-GB" w:eastAsia="en-ZA"/>
        </w:rPr>
        <w:t>“</w:t>
      </w:r>
      <w:r w:rsidRPr="00B2378C">
        <w:rPr>
          <w:rFonts w:eastAsia="Times New Roman"/>
          <w:color w:val="auto"/>
          <w:sz w:val="20"/>
          <w:szCs w:val="20"/>
          <w:lang w:eastAsia="en-ZA"/>
        </w:rPr>
        <w:t>He is not obliged to delve into the mental attitude or the mental processes or reservations of the person arrested. It is sufficient, in my opinion, if he acts upon facts capable of ascertainment and conveyed to him through one or more of his senses. If facts are present which are apparent to the arrestor and which, reasonably interpreted, lead to the inference that a crime is in the course of being perpetrated, the arrestor is protected.”</w:t>
      </w:r>
    </w:p>
    <w:p w14:paraId="17E78392" w14:textId="77777777" w:rsidR="00707240" w:rsidRPr="00707240" w:rsidRDefault="00707240" w:rsidP="00707240">
      <w:pPr>
        <w:spacing w:after="200" w:line="480" w:lineRule="auto"/>
        <w:jc w:val="both"/>
        <w:rPr>
          <w:rFonts w:eastAsia="Times New Roman"/>
          <w:color w:val="auto"/>
          <w:lang w:eastAsia="en-ZA"/>
        </w:rPr>
      </w:pPr>
    </w:p>
    <w:p w14:paraId="27AF273F" w14:textId="77777777" w:rsidR="00707240" w:rsidRPr="00707240" w:rsidRDefault="00707240" w:rsidP="00707240">
      <w:pPr>
        <w:spacing w:after="200" w:line="480" w:lineRule="auto"/>
        <w:jc w:val="both"/>
        <w:rPr>
          <w:rFonts w:eastAsia="Times New Roman"/>
          <w:color w:val="auto"/>
          <w:lang w:val="en-GB" w:eastAsia="en-ZA"/>
        </w:rPr>
      </w:pPr>
      <w:r w:rsidRPr="00707240">
        <w:rPr>
          <w:rFonts w:eastAsia="Times New Roman"/>
          <w:color w:val="auto"/>
          <w:lang w:val="en-GB" w:eastAsia="en-ZA"/>
        </w:rPr>
        <w:t>[25]</w:t>
      </w:r>
      <w:r w:rsidRPr="00707240">
        <w:rPr>
          <w:rFonts w:eastAsia="Times New Roman"/>
          <w:color w:val="auto"/>
          <w:lang w:val="en-GB" w:eastAsia="en-ZA"/>
        </w:rPr>
        <w:tab/>
        <w:t>In the case under consideration, the plaintiff allegedly committed an offence of theft in the presence of the police officers. A person commits theft if he unlawfully and intentionally appropriates movable, corporeal property which</w:t>
      </w:r>
    </w:p>
    <w:p w14:paraId="05816000" w14:textId="77777777" w:rsidR="00707240" w:rsidRDefault="00707240" w:rsidP="00707240">
      <w:pPr>
        <w:spacing w:after="200" w:line="480" w:lineRule="auto"/>
        <w:ind w:firstLine="720"/>
        <w:jc w:val="both"/>
        <w:rPr>
          <w:rFonts w:eastAsia="Times New Roman"/>
          <w:color w:val="auto"/>
          <w:lang w:val="en-GB" w:eastAsia="en-ZA"/>
        </w:rPr>
      </w:pPr>
      <w:r w:rsidRPr="00707240">
        <w:rPr>
          <w:rFonts w:eastAsia="Times New Roman"/>
          <w:color w:val="auto"/>
          <w:lang w:val="en-GB" w:eastAsia="en-ZA"/>
        </w:rPr>
        <w:lastRenderedPageBreak/>
        <w:t xml:space="preserve">(a) </w:t>
      </w:r>
      <w:r>
        <w:rPr>
          <w:rFonts w:eastAsia="Times New Roman"/>
          <w:color w:val="auto"/>
          <w:lang w:val="en-GB" w:eastAsia="en-ZA"/>
        </w:rPr>
        <w:tab/>
      </w:r>
      <w:r w:rsidRPr="00707240">
        <w:rPr>
          <w:rFonts w:eastAsia="Times New Roman"/>
          <w:color w:val="auto"/>
          <w:lang w:val="en-GB" w:eastAsia="en-ZA"/>
        </w:rPr>
        <w:t xml:space="preserve">belongs to, and is in possession of, </w:t>
      </w:r>
      <w:proofErr w:type="gramStart"/>
      <w:r w:rsidRPr="00707240">
        <w:rPr>
          <w:rFonts w:eastAsia="Times New Roman"/>
          <w:color w:val="auto"/>
          <w:lang w:val="en-GB" w:eastAsia="en-ZA"/>
        </w:rPr>
        <w:t>another;</w:t>
      </w:r>
      <w:proofErr w:type="gramEnd"/>
      <w:r w:rsidRPr="00707240">
        <w:rPr>
          <w:rFonts w:eastAsia="Times New Roman"/>
          <w:color w:val="auto"/>
          <w:lang w:val="en-GB" w:eastAsia="en-ZA"/>
        </w:rPr>
        <w:t xml:space="preserve"> </w:t>
      </w:r>
    </w:p>
    <w:p w14:paraId="4F4C97BF" w14:textId="77777777" w:rsidR="00707240" w:rsidRDefault="00707240" w:rsidP="00707240">
      <w:pPr>
        <w:spacing w:after="200" w:line="480" w:lineRule="auto"/>
        <w:ind w:firstLine="720"/>
        <w:jc w:val="both"/>
        <w:rPr>
          <w:rFonts w:eastAsia="Times New Roman"/>
          <w:color w:val="auto"/>
          <w:lang w:val="en-GB" w:eastAsia="en-ZA"/>
        </w:rPr>
      </w:pPr>
      <w:r>
        <w:rPr>
          <w:rFonts w:eastAsia="Times New Roman"/>
          <w:color w:val="auto"/>
          <w:lang w:val="en-GB" w:eastAsia="en-ZA"/>
        </w:rPr>
        <w:t>(b)</w:t>
      </w:r>
      <w:r>
        <w:rPr>
          <w:rFonts w:eastAsia="Times New Roman"/>
          <w:color w:val="auto"/>
          <w:lang w:val="en-GB" w:eastAsia="en-ZA"/>
        </w:rPr>
        <w:tab/>
      </w:r>
      <w:r w:rsidRPr="00707240">
        <w:rPr>
          <w:rFonts w:eastAsia="Times New Roman"/>
          <w:color w:val="auto"/>
          <w:lang w:val="en-GB" w:eastAsia="en-ZA"/>
        </w:rPr>
        <w:t>belongs to another but is in the perpetrator’s own possession; or</w:t>
      </w:r>
    </w:p>
    <w:p w14:paraId="4866599F" w14:textId="77777777" w:rsidR="00707240" w:rsidRDefault="00707240" w:rsidP="00707240">
      <w:pPr>
        <w:spacing w:after="200" w:line="480" w:lineRule="auto"/>
        <w:ind w:left="1440" w:hanging="720"/>
        <w:jc w:val="both"/>
        <w:rPr>
          <w:rFonts w:eastAsia="Times New Roman"/>
          <w:color w:val="auto"/>
          <w:lang w:val="en-GB" w:eastAsia="en-ZA"/>
        </w:rPr>
      </w:pPr>
      <w:r>
        <w:rPr>
          <w:rFonts w:eastAsia="Times New Roman"/>
          <w:color w:val="auto"/>
          <w:lang w:val="en-GB" w:eastAsia="en-ZA"/>
        </w:rPr>
        <w:t>(c)</w:t>
      </w:r>
      <w:r>
        <w:rPr>
          <w:rFonts w:eastAsia="Times New Roman"/>
          <w:color w:val="auto"/>
          <w:lang w:val="en-GB" w:eastAsia="en-ZA"/>
        </w:rPr>
        <w:tab/>
      </w:r>
      <w:r w:rsidRPr="00707240">
        <w:rPr>
          <w:rFonts w:eastAsia="Times New Roman"/>
          <w:color w:val="auto"/>
          <w:lang w:val="en-GB" w:eastAsia="en-ZA"/>
        </w:rPr>
        <w:t>belongs to the perpetrator but is in another’s possession and such other person has a right to possess it which legally prevails against the perpetrator’s own right of possession. Provided that the intention to appropriate the property includes an intention permanently to deprive the person entitled to the possession of the property.</w:t>
      </w:r>
      <w:r w:rsidRPr="00707240">
        <w:rPr>
          <w:rFonts w:eastAsia="Times New Roman"/>
          <w:color w:val="auto"/>
          <w:vertAlign w:val="superscript"/>
          <w:lang w:val="en-GB" w:eastAsia="en-ZA"/>
        </w:rPr>
        <w:footnoteReference w:id="5"/>
      </w:r>
    </w:p>
    <w:p w14:paraId="1988FD6F" w14:textId="77777777" w:rsidR="00707240" w:rsidRPr="00707240" w:rsidRDefault="00707240" w:rsidP="00B2378C">
      <w:pPr>
        <w:spacing w:after="200" w:line="480" w:lineRule="auto"/>
        <w:ind w:left="1440" w:hanging="720"/>
        <w:jc w:val="both"/>
        <w:rPr>
          <w:rFonts w:eastAsia="Times New Roman"/>
          <w:color w:val="auto"/>
          <w:lang w:val="en-GB" w:eastAsia="en-ZA"/>
        </w:rPr>
      </w:pPr>
    </w:p>
    <w:p w14:paraId="376F488B" w14:textId="77777777" w:rsidR="00707240" w:rsidRPr="00707240" w:rsidRDefault="00707240" w:rsidP="00707240">
      <w:pPr>
        <w:spacing w:after="200" w:line="480" w:lineRule="auto"/>
        <w:jc w:val="both"/>
        <w:rPr>
          <w:rFonts w:eastAsia="Times New Roman"/>
          <w:color w:val="auto"/>
          <w:lang w:val="en-GB" w:eastAsia="en-ZA"/>
        </w:rPr>
      </w:pPr>
      <w:r w:rsidRPr="00707240">
        <w:rPr>
          <w:rFonts w:eastAsia="Times New Roman"/>
          <w:color w:val="auto"/>
          <w:lang w:val="en-GB" w:eastAsia="en-ZA"/>
        </w:rPr>
        <w:t>[26]</w:t>
      </w:r>
      <w:r w:rsidRPr="00707240">
        <w:rPr>
          <w:rFonts w:eastAsia="Times New Roman"/>
          <w:color w:val="auto"/>
          <w:lang w:val="en-GB" w:eastAsia="en-ZA"/>
        </w:rPr>
        <w:tab/>
        <w:t>There is a wealth of jurisprudence which accentuates that where an arrest is admitted the onus rests on the defendant to present facts which prove justification for the arrest.</w:t>
      </w:r>
      <w:r w:rsidRPr="00707240">
        <w:rPr>
          <w:rFonts w:eastAsia="Times New Roman"/>
          <w:color w:val="auto"/>
          <w:vertAlign w:val="superscript"/>
          <w:lang w:val="en-GB" w:eastAsia="en-ZA"/>
        </w:rPr>
        <w:footnoteReference w:id="6"/>
      </w:r>
      <w:r w:rsidRPr="00707240">
        <w:rPr>
          <w:rFonts w:eastAsia="Times New Roman"/>
          <w:color w:val="auto"/>
          <w:lang w:val="en-GB" w:eastAsia="en-ZA"/>
        </w:rPr>
        <w:t xml:space="preserve"> In </w:t>
      </w:r>
      <w:r w:rsidRPr="00707240">
        <w:rPr>
          <w:rFonts w:eastAsia="Times New Roman"/>
          <w:i/>
          <w:color w:val="auto"/>
          <w:lang w:val="en-GB" w:eastAsia="en-ZA"/>
        </w:rPr>
        <w:t>Zeeland v Minister of Justice and Constitutional Development</w:t>
      </w:r>
      <w:r w:rsidRPr="00707240">
        <w:rPr>
          <w:rFonts w:eastAsia="Times New Roman"/>
          <w:i/>
          <w:color w:val="auto"/>
          <w:vertAlign w:val="superscript"/>
          <w:lang w:val="en-GB" w:eastAsia="en-ZA"/>
        </w:rPr>
        <w:footnoteReference w:id="7"/>
      </w:r>
      <w:r w:rsidRPr="00707240">
        <w:rPr>
          <w:rFonts w:eastAsia="Times New Roman"/>
          <w:i/>
          <w:color w:val="auto"/>
          <w:lang w:val="en-GB" w:eastAsia="en-ZA"/>
        </w:rPr>
        <w:t xml:space="preserve">, </w:t>
      </w:r>
      <w:r w:rsidRPr="00707240">
        <w:rPr>
          <w:rFonts w:eastAsia="Times New Roman"/>
          <w:color w:val="auto"/>
          <w:lang w:val="en-GB" w:eastAsia="en-ZA"/>
        </w:rPr>
        <w:t>the Constitutional Court said</w:t>
      </w:r>
      <w:r>
        <w:rPr>
          <w:rFonts w:eastAsia="Times New Roman"/>
          <w:color w:val="auto"/>
          <w:lang w:val="en-GB" w:eastAsia="en-ZA"/>
        </w:rPr>
        <w:t>:</w:t>
      </w:r>
    </w:p>
    <w:p w14:paraId="433EBF55" w14:textId="77777777" w:rsidR="00707240" w:rsidRPr="00B2378C" w:rsidRDefault="00707240" w:rsidP="00B2378C">
      <w:pPr>
        <w:spacing w:after="200" w:line="480" w:lineRule="auto"/>
        <w:ind w:left="720"/>
        <w:jc w:val="both"/>
        <w:rPr>
          <w:rFonts w:eastAsia="Times New Roman"/>
          <w:color w:val="auto"/>
          <w:sz w:val="20"/>
          <w:szCs w:val="20"/>
          <w:lang w:val="en-GB" w:eastAsia="en-ZA"/>
        </w:rPr>
      </w:pPr>
      <w:r w:rsidRPr="00B2378C">
        <w:rPr>
          <w:rFonts w:eastAsia="Times New Roman"/>
          <w:color w:val="auto"/>
          <w:sz w:val="20"/>
          <w:szCs w:val="20"/>
          <w:lang w:val="en-GB" w:eastAsia="en-ZA"/>
        </w:rPr>
        <w:t>“It has long been established in our common law that every interference with physical liberty is prima facie unlawful. Thus, once the claimant establishes that interference has occurred, the burden falls upon the person causing that interference to establish a ground of justification…..</w:t>
      </w:r>
    </w:p>
    <w:p w14:paraId="593EFA9E" w14:textId="77777777" w:rsidR="00707240" w:rsidRDefault="00707240" w:rsidP="00707240">
      <w:pPr>
        <w:spacing w:after="200" w:line="480" w:lineRule="auto"/>
        <w:ind w:left="720"/>
        <w:jc w:val="both"/>
        <w:rPr>
          <w:rFonts w:eastAsia="Times New Roman"/>
          <w:color w:val="auto"/>
          <w:sz w:val="20"/>
          <w:szCs w:val="20"/>
          <w:lang w:val="en-GB" w:eastAsia="en-ZA"/>
        </w:rPr>
      </w:pPr>
      <w:r w:rsidRPr="00B2378C">
        <w:rPr>
          <w:rFonts w:eastAsia="Times New Roman"/>
          <w:color w:val="auto"/>
          <w:sz w:val="20"/>
          <w:szCs w:val="20"/>
          <w:lang w:val="en-GB" w:eastAsia="en-ZA"/>
        </w:rPr>
        <w:t>There can be no doubt that this reasoning applies with equal, if not greater force under the Constitution.”</w:t>
      </w:r>
    </w:p>
    <w:p w14:paraId="602157F6" w14:textId="77777777" w:rsidR="00707240" w:rsidRPr="00B2378C" w:rsidRDefault="00707240" w:rsidP="00B2378C">
      <w:pPr>
        <w:spacing w:after="200" w:line="480" w:lineRule="auto"/>
        <w:ind w:left="720"/>
        <w:jc w:val="both"/>
        <w:rPr>
          <w:rFonts w:eastAsia="Times New Roman"/>
          <w:color w:val="auto"/>
          <w:sz w:val="20"/>
          <w:szCs w:val="20"/>
          <w:lang w:val="en-GB" w:eastAsia="en-ZA"/>
        </w:rPr>
      </w:pPr>
    </w:p>
    <w:p w14:paraId="7A386D07" w14:textId="77777777" w:rsidR="00707240" w:rsidRPr="00707240" w:rsidRDefault="00707240" w:rsidP="00707240">
      <w:pPr>
        <w:spacing w:after="200" w:line="480" w:lineRule="auto"/>
        <w:jc w:val="both"/>
        <w:rPr>
          <w:rFonts w:eastAsia="Times New Roman"/>
          <w:i/>
          <w:color w:val="auto"/>
          <w:lang w:eastAsia="en-ZA"/>
        </w:rPr>
      </w:pPr>
      <w:r w:rsidRPr="00707240">
        <w:rPr>
          <w:rFonts w:eastAsia="Times New Roman"/>
          <w:color w:val="auto"/>
          <w:lang w:eastAsia="en-ZA"/>
        </w:rPr>
        <w:t>[27]</w:t>
      </w:r>
      <w:r w:rsidRPr="00707240">
        <w:rPr>
          <w:rFonts w:eastAsia="Times New Roman"/>
          <w:color w:val="auto"/>
          <w:lang w:eastAsia="en-ZA"/>
        </w:rPr>
        <w:tab/>
        <w:t>Section 12 of the Constitution of the Republic of South Africa</w:t>
      </w:r>
      <w:r w:rsidRPr="00707240">
        <w:rPr>
          <w:rFonts w:eastAsia="Times New Roman"/>
          <w:color w:val="auto"/>
          <w:vertAlign w:val="superscript"/>
          <w:lang w:eastAsia="en-ZA"/>
        </w:rPr>
        <w:footnoteReference w:id="8"/>
      </w:r>
      <w:r w:rsidRPr="00707240">
        <w:rPr>
          <w:rFonts w:eastAsia="Times New Roman"/>
          <w:color w:val="auto"/>
          <w:lang w:eastAsia="en-ZA"/>
        </w:rPr>
        <w:t xml:space="preserve"> pledges </w:t>
      </w:r>
      <w:r w:rsidRPr="00707240">
        <w:rPr>
          <w:rFonts w:eastAsia="Times New Roman"/>
          <w:i/>
          <w:color w:val="auto"/>
          <w:lang w:eastAsia="en-ZA"/>
        </w:rPr>
        <w:t>inter alia</w:t>
      </w:r>
      <w:r w:rsidRPr="00707240">
        <w:rPr>
          <w:rFonts w:eastAsia="Times New Roman"/>
          <w:color w:val="auto"/>
          <w:lang w:eastAsia="en-ZA"/>
        </w:rPr>
        <w:t xml:space="preserve"> the right not to be deprived of freedom arbitrarily without a just cause.</w:t>
      </w:r>
      <w:r w:rsidR="00374B62">
        <w:rPr>
          <w:rFonts w:eastAsia="Times New Roman"/>
          <w:color w:val="auto"/>
          <w:lang w:eastAsia="en-ZA"/>
        </w:rPr>
        <w:t xml:space="preserve"> It is well settled that </w:t>
      </w:r>
      <w:r w:rsidRPr="00707240">
        <w:rPr>
          <w:rFonts w:eastAsia="Times New Roman"/>
          <w:color w:val="auto"/>
          <w:lang w:eastAsia="en-ZA"/>
        </w:rPr>
        <w:t xml:space="preserve">the approach towards discharging </w:t>
      </w:r>
      <w:r>
        <w:rPr>
          <w:rFonts w:eastAsia="Times New Roman"/>
          <w:color w:val="auto"/>
          <w:lang w:eastAsia="en-ZA"/>
        </w:rPr>
        <w:t xml:space="preserve">of </w:t>
      </w:r>
      <w:r w:rsidRPr="00707240">
        <w:rPr>
          <w:rFonts w:eastAsia="Times New Roman"/>
          <w:color w:val="auto"/>
          <w:lang w:eastAsia="en-ZA"/>
        </w:rPr>
        <w:t xml:space="preserve">onus to prove wrongful detention is like the approach adopted towards proving wrongful arrest. The authority for this proposition is </w:t>
      </w:r>
      <w:r w:rsidRPr="00707240">
        <w:rPr>
          <w:rFonts w:eastAsia="Times New Roman"/>
          <w:i/>
          <w:color w:val="auto"/>
          <w:lang w:eastAsia="en-ZA"/>
        </w:rPr>
        <w:t>De Klerk v Minister of Safety and Security</w:t>
      </w:r>
      <w:r w:rsidRPr="00707240">
        <w:rPr>
          <w:rFonts w:eastAsia="Times New Roman"/>
          <w:i/>
          <w:color w:val="auto"/>
          <w:vertAlign w:val="superscript"/>
          <w:lang w:eastAsia="en-ZA"/>
        </w:rPr>
        <w:footnoteReference w:id="9"/>
      </w:r>
      <w:r w:rsidRPr="00707240">
        <w:rPr>
          <w:rFonts w:eastAsia="Times New Roman"/>
          <w:i/>
          <w:color w:val="auto"/>
          <w:lang w:eastAsia="en-ZA"/>
        </w:rPr>
        <w:t>.</w:t>
      </w:r>
    </w:p>
    <w:p w14:paraId="61BB9EA0" w14:textId="77777777" w:rsidR="00707240" w:rsidRPr="00707240" w:rsidRDefault="00707240" w:rsidP="00707240">
      <w:pPr>
        <w:spacing w:after="200" w:line="480" w:lineRule="auto"/>
        <w:jc w:val="both"/>
        <w:rPr>
          <w:rFonts w:eastAsia="Times New Roman"/>
          <w:color w:val="auto"/>
          <w:lang w:eastAsia="en-ZA"/>
        </w:rPr>
      </w:pPr>
    </w:p>
    <w:p w14:paraId="75C14E57" w14:textId="77777777" w:rsidR="00707240" w:rsidRPr="00707240" w:rsidRDefault="00707240" w:rsidP="00707240">
      <w:pPr>
        <w:spacing w:after="200" w:line="480" w:lineRule="auto"/>
        <w:jc w:val="both"/>
        <w:rPr>
          <w:rFonts w:eastAsia="Times New Roman"/>
          <w:color w:val="auto"/>
          <w:lang w:eastAsia="en-ZA"/>
        </w:rPr>
      </w:pPr>
      <w:r w:rsidRPr="00707240">
        <w:rPr>
          <w:rFonts w:eastAsia="Times New Roman"/>
          <w:color w:val="auto"/>
          <w:lang w:val="en-GB" w:eastAsia="en-ZA"/>
        </w:rPr>
        <w:t>[28]</w:t>
      </w:r>
      <w:r w:rsidRPr="00707240">
        <w:rPr>
          <w:rFonts w:eastAsia="Times New Roman"/>
          <w:color w:val="auto"/>
          <w:lang w:val="en-GB" w:eastAsia="en-ZA"/>
        </w:rPr>
        <w:tab/>
      </w:r>
      <w:r w:rsidRPr="00707240">
        <w:rPr>
          <w:rFonts w:eastAsia="Times New Roman"/>
          <w:color w:val="auto"/>
          <w:lang w:eastAsia="en-ZA"/>
        </w:rPr>
        <w:t>Section 50 of the CPA deals with the procedure to be adopted after a person has been arrested for any other reason or for allegedly committing an offence. In terms of Section 50(1) the procedure below is imperative:</w:t>
      </w:r>
    </w:p>
    <w:p w14:paraId="13E7673B" w14:textId="77777777" w:rsidR="00707240" w:rsidRPr="00707240" w:rsidRDefault="00707240" w:rsidP="00B2378C">
      <w:pPr>
        <w:numPr>
          <w:ilvl w:val="0"/>
          <w:numId w:val="34"/>
        </w:numPr>
        <w:spacing w:after="200" w:line="480" w:lineRule="auto"/>
        <w:jc w:val="both"/>
        <w:rPr>
          <w:rFonts w:eastAsia="Times New Roman"/>
          <w:color w:val="auto"/>
          <w:lang w:eastAsia="en-ZA"/>
        </w:rPr>
      </w:pPr>
      <w:r w:rsidRPr="00707240">
        <w:rPr>
          <w:rFonts w:eastAsia="Times New Roman"/>
          <w:color w:val="auto"/>
          <w:lang w:eastAsia="en-ZA"/>
        </w:rPr>
        <w:t>Any person who is arrested with or without a warrant for allegedly committing an offence, or for any other reason, shall as soon as possible be brought to a police station or, in the case of an arrest by a warrant, to any other place which is expressly mentioned in the warrant.</w:t>
      </w:r>
    </w:p>
    <w:p w14:paraId="2F6FED38" w14:textId="77777777" w:rsidR="00707240" w:rsidRPr="00707240" w:rsidRDefault="00707240" w:rsidP="00B2378C">
      <w:pPr>
        <w:numPr>
          <w:ilvl w:val="0"/>
          <w:numId w:val="34"/>
        </w:numPr>
        <w:spacing w:after="200" w:line="480" w:lineRule="auto"/>
        <w:jc w:val="both"/>
        <w:rPr>
          <w:rFonts w:eastAsia="Times New Roman"/>
          <w:color w:val="auto"/>
          <w:lang w:eastAsia="en-ZA"/>
        </w:rPr>
      </w:pPr>
      <w:r w:rsidRPr="00707240">
        <w:rPr>
          <w:rFonts w:eastAsia="Times New Roman"/>
          <w:color w:val="auto"/>
          <w:lang w:eastAsia="en-ZA"/>
        </w:rPr>
        <w:t>A person who is in detention as contemplated in paragraph (d) shall, as soon as reasonably possible, be informed of his or her right to institute bail proceedings.</w:t>
      </w:r>
    </w:p>
    <w:p w14:paraId="73EC4C51" w14:textId="77777777" w:rsidR="00707240" w:rsidRPr="00707240" w:rsidRDefault="00707240" w:rsidP="00707240">
      <w:pPr>
        <w:numPr>
          <w:ilvl w:val="0"/>
          <w:numId w:val="34"/>
        </w:numPr>
        <w:spacing w:after="200" w:line="480" w:lineRule="auto"/>
        <w:jc w:val="both"/>
        <w:rPr>
          <w:rFonts w:eastAsia="Times New Roman"/>
          <w:color w:val="auto"/>
          <w:lang w:eastAsia="en-ZA"/>
        </w:rPr>
      </w:pPr>
      <w:r w:rsidRPr="00707240">
        <w:rPr>
          <w:rFonts w:eastAsia="Times New Roman"/>
          <w:color w:val="auto"/>
          <w:lang w:eastAsia="en-ZA"/>
        </w:rPr>
        <w:t>Subject to paragraph (d), if such an arrested person is not released by reason that:-</w:t>
      </w:r>
    </w:p>
    <w:p w14:paraId="4B38AA7F" w14:textId="77777777" w:rsidR="00707240" w:rsidRDefault="00707240" w:rsidP="00707240">
      <w:pPr>
        <w:numPr>
          <w:ilvl w:val="0"/>
          <w:numId w:val="35"/>
        </w:numPr>
        <w:spacing w:after="200" w:line="480" w:lineRule="auto"/>
        <w:jc w:val="both"/>
        <w:rPr>
          <w:rFonts w:eastAsia="Times New Roman"/>
          <w:color w:val="auto"/>
          <w:lang w:eastAsia="en-ZA"/>
        </w:rPr>
      </w:pPr>
      <w:r w:rsidRPr="00707240">
        <w:rPr>
          <w:rFonts w:eastAsia="Times New Roman"/>
          <w:color w:val="auto"/>
          <w:lang w:eastAsia="en-ZA"/>
        </w:rPr>
        <w:lastRenderedPageBreak/>
        <w:t>Bail is not granted to him or her in terms of Section 59A, he or she shall be brought before court as soon as reasonably possible, but not later than 48 hours after the arrest.</w:t>
      </w:r>
    </w:p>
    <w:p w14:paraId="57F1B9B4" w14:textId="77777777" w:rsidR="00707240" w:rsidRPr="00707240" w:rsidRDefault="00707240" w:rsidP="00B2378C">
      <w:pPr>
        <w:spacing w:after="200" w:line="480" w:lineRule="auto"/>
        <w:ind w:left="1571"/>
        <w:jc w:val="both"/>
        <w:rPr>
          <w:rFonts w:eastAsia="Times New Roman"/>
          <w:color w:val="auto"/>
          <w:lang w:eastAsia="en-ZA"/>
        </w:rPr>
      </w:pPr>
    </w:p>
    <w:p w14:paraId="6F6E19FC" w14:textId="77777777" w:rsidR="00707240" w:rsidRPr="00B2378C" w:rsidRDefault="00707240" w:rsidP="00707240">
      <w:pPr>
        <w:spacing w:after="200" w:line="480" w:lineRule="auto"/>
        <w:jc w:val="both"/>
        <w:rPr>
          <w:rFonts w:eastAsia="Times New Roman"/>
          <w:b/>
          <w:color w:val="auto"/>
          <w:u w:val="single"/>
          <w:lang w:val="en-GB" w:eastAsia="en-ZA"/>
        </w:rPr>
      </w:pPr>
      <w:r w:rsidRPr="00707240">
        <w:rPr>
          <w:rFonts w:eastAsia="Times New Roman"/>
          <w:b/>
          <w:color w:val="auto"/>
          <w:u w:val="single"/>
          <w:lang w:eastAsia="en-ZA"/>
        </w:rPr>
        <w:t>Evaluation of evidence</w:t>
      </w:r>
    </w:p>
    <w:p w14:paraId="6DE7D274" w14:textId="77777777" w:rsidR="00707240" w:rsidRPr="00707240" w:rsidRDefault="00707240" w:rsidP="00707240">
      <w:pPr>
        <w:spacing w:after="200" w:line="480" w:lineRule="auto"/>
        <w:jc w:val="both"/>
        <w:rPr>
          <w:rFonts w:eastAsia="Times New Roman"/>
          <w:color w:val="auto"/>
          <w:lang w:eastAsia="en-ZA"/>
        </w:rPr>
      </w:pPr>
      <w:r w:rsidRPr="00707240">
        <w:rPr>
          <w:rFonts w:eastAsia="Times New Roman"/>
          <w:color w:val="auto"/>
          <w:lang w:eastAsia="en-ZA"/>
        </w:rPr>
        <w:t>[29]</w:t>
      </w:r>
      <w:r w:rsidRPr="00707240">
        <w:rPr>
          <w:rFonts w:eastAsia="Times New Roman"/>
          <w:color w:val="auto"/>
          <w:lang w:eastAsia="en-ZA"/>
        </w:rPr>
        <w:tab/>
        <w:t>There are conflicti</w:t>
      </w:r>
      <w:r>
        <w:rPr>
          <w:rFonts w:eastAsia="Times New Roman"/>
          <w:color w:val="auto"/>
          <w:lang w:eastAsia="en-ZA"/>
        </w:rPr>
        <w:t>ng</w:t>
      </w:r>
      <w:r w:rsidRPr="00707240">
        <w:rPr>
          <w:rFonts w:eastAsia="Times New Roman"/>
          <w:color w:val="auto"/>
          <w:lang w:eastAsia="en-ZA"/>
        </w:rPr>
        <w:t xml:space="preserve"> versions on whether the plaintiff committed an offence of theft in the presence of the police officers. I am therefore called upon to decide on the credibility of the opposing witnesses who testified in the proceedings. In </w:t>
      </w:r>
      <w:r w:rsidRPr="00707240">
        <w:rPr>
          <w:rFonts w:eastAsia="Times New Roman"/>
          <w:bCs/>
          <w:i/>
          <w:iCs/>
          <w:color w:val="auto"/>
          <w:lang w:eastAsia="en-ZA"/>
        </w:rPr>
        <w:t>Stellenbosch Famer’s Winery Group Ltd and Another v Martell et Cie and Others</w:t>
      </w:r>
      <w:r w:rsidRPr="00707240">
        <w:rPr>
          <w:rFonts w:eastAsia="Times New Roman"/>
          <w:bCs/>
          <w:color w:val="auto"/>
          <w:lang w:eastAsia="en-ZA"/>
        </w:rPr>
        <w:t>,</w:t>
      </w:r>
      <w:r w:rsidRPr="00707240">
        <w:rPr>
          <w:rFonts w:eastAsia="Times New Roman"/>
          <w:color w:val="auto"/>
          <w:vertAlign w:val="superscript"/>
          <w:lang w:eastAsia="en-ZA"/>
        </w:rPr>
        <w:footnoteReference w:id="10"/>
      </w:r>
      <w:r w:rsidRPr="00707240">
        <w:rPr>
          <w:rFonts w:eastAsia="Times New Roman"/>
          <w:color w:val="auto"/>
          <w:lang w:eastAsia="en-ZA"/>
        </w:rPr>
        <w:t xml:space="preserve"> a case that was cited by the parties</w:t>
      </w:r>
      <w:r>
        <w:rPr>
          <w:rFonts w:eastAsia="Times New Roman"/>
          <w:color w:val="auto"/>
          <w:lang w:eastAsia="en-ZA"/>
        </w:rPr>
        <w:t>'</w:t>
      </w:r>
      <w:r w:rsidRPr="00707240">
        <w:rPr>
          <w:rFonts w:eastAsia="Times New Roman"/>
          <w:color w:val="auto"/>
          <w:lang w:eastAsia="en-ZA"/>
        </w:rPr>
        <w:t xml:space="preserve"> legal representatives in their written heads of arguments, the court held:</w:t>
      </w:r>
    </w:p>
    <w:p w14:paraId="71819A5C" w14:textId="77777777" w:rsidR="00707240" w:rsidRDefault="00707240" w:rsidP="00707240">
      <w:pPr>
        <w:spacing w:after="200" w:line="480" w:lineRule="auto"/>
        <w:ind w:left="720"/>
        <w:jc w:val="both"/>
        <w:rPr>
          <w:rFonts w:eastAsia="Times New Roman"/>
          <w:color w:val="auto"/>
          <w:sz w:val="20"/>
          <w:szCs w:val="20"/>
          <w:lang w:eastAsia="en-ZA"/>
        </w:rPr>
      </w:pPr>
      <w:r w:rsidRPr="00B2378C">
        <w:rPr>
          <w:rFonts w:eastAsia="Times New Roman"/>
          <w:color w:val="auto"/>
          <w:sz w:val="20"/>
          <w:szCs w:val="20"/>
          <w:lang w:eastAsia="en-ZA"/>
        </w:rPr>
        <w:t xml:space="preserve">“The technique generally employed by courts in resolving factual disputes where there are two irreconcilable versions before it may be summarised as follows. To come to a conclusion on the disputed issues the court must make findings on </w:t>
      </w:r>
      <w:r w:rsidRPr="00B2378C">
        <w:rPr>
          <w:rFonts w:eastAsia="Times New Roman"/>
          <w:iCs/>
          <w:color w:val="auto"/>
          <w:sz w:val="20"/>
          <w:szCs w:val="20"/>
          <w:lang w:eastAsia="en-ZA"/>
        </w:rPr>
        <w:t>(a)</w:t>
      </w:r>
      <w:r w:rsidRPr="00B2378C">
        <w:rPr>
          <w:rFonts w:eastAsia="Times New Roman"/>
          <w:color w:val="auto"/>
          <w:sz w:val="20"/>
          <w:szCs w:val="20"/>
          <w:lang w:eastAsia="en-ZA"/>
        </w:rPr>
        <w:t xml:space="preserve"> the credibility of the various factual witnesses, </w:t>
      </w:r>
      <w:r w:rsidRPr="00B2378C">
        <w:rPr>
          <w:rFonts w:eastAsia="Times New Roman"/>
          <w:iCs/>
          <w:color w:val="auto"/>
          <w:sz w:val="20"/>
          <w:szCs w:val="20"/>
          <w:lang w:eastAsia="en-ZA"/>
        </w:rPr>
        <w:t>(b)</w:t>
      </w:r>
      <w:r w:rsidRPr="00B2378C">
        <w:rPr>
          <w:rFonts w:eastAsia="Times New Roman"/>
          <w:color w:val="auto"/>
          <w:sz w:val="20"/>
          <w:szCs w:val="20"/>
          <w:lang w:eastAsia="en-ZA"/>
        </w:rPr>
        <w:t xml:space="preserve"> their reliability, and </w:t>
      </w:r>
      <w:r w:rsidRPr="00B2378C">
        <w:rPr>
          <w:rFonts w:eastAsia="Times New Roman"/>
          <w:iCs/>
          <w:color w:val="auto"/>
          <w:sz w:val="20"/>
          <w:szCs w:val="20"/>
          <w:lang w:eastAsia="en-ZA"/>
        </w:rPr>
        <w:t>(c)</w:t>
      </w:r>
      <w:r w:rsidRPr="00B2378C">
        <w:rPr>
          <w:rFonts w:eastAsia="Times New Roman"/>
          <w:color w:val="auto"/>
          <w:sz w:val="20"/>
          <w:szCs w:val="20"/>
          <w:lang w:eastAsia="en-ZA"/>
        </w:rPr>
        <w:t xml:space="preserve"> the probabilities. As to </w:t>
      </w:r>
      <w:r w:rsidRPr="00B2378C">
        <w:rPr>
          <w:rFonts w:eastAsia="Times New Roman"/>
          <w:iCs/>
          <w:color w:val="auto"/>
          <w:sz w:val="20"/>
          <w:szCs w:val="20"/>
          <w:lang w:eastAsia="en-ZA"/>
        </w:rPr>
        <w:t>(a)</w:t>
      </w:r>
      <w:r w:rsidRPr="00B2378C">
        <w:rPr>
          <w:rFonts w:eastAsia="Times New Roman"/>
          <w:color w:val="auto"/>
          <w:sz w:val="20"/>
          <w:szCs w:val="20"/>
          <w:lang w:eastAsia="en-ZA"/>
        </w:rPr>
        <w:t xml:space="preserve">, the court's finding on the credibility of a particular witness will depend on its impression of the veracity of the witness. That in turn will depend on   a variety of subsidiary factors such as (i) the witness' candour and demeanour in </w:t>
      </w:r>
      <w:r>
        <w:rPr>
          <w:rFonts w:eastAsia="Times New Roman"/>
          <w:color w:val="auto"/>
          <w:sz w:val="20"/>
          <w:szCs w:val="20"/>
          <w:lang w:eastAsia="en-ZA"/>
        </w:rPr>
        <w:t xml:space="preserve">the </w:t>
      </w:r>
      <w:r w:rsidRPr="00B2378C">
        <w:rPr>
          <w:rFonts w:eastAsia="Times New Roman"/>
          <w:color w:val="auto"/>
          <w:sz w:val="20"/>
          <w:szCs w:val="20"/>
          <w:lang w:eastAsia="en-ZA"/>
        </w:rPr>
        <w:t xml:space="preserve">witness-box, (ii) his bias, latent and blatant, (iii) internal contradictions in his evidence, (iv) external contradictions with what was pleaded or put on his behalf, or with established fact or with his own extra curial statements or actions, (v) the probability or improbability of particular aspects of his version, and (vi) the calibre and cogency of his performance compared to that of other witnesses testifying about same incident or events. As to </w:t>
      </w:r>
      <w:r w:rsidRPr="00B2378C">
        <w:rPr>
          <w:rFonts w:eastAsia="Times New Roman"/>
          <w:iCs/>
          <w:color w:val="auto"/>
          <w:sz w:val="20"/>
          <w:szCs w:val="20"/>
          <w:lang w:eastAsia="en-ZA"/>
        </w:rPr>
        <w:t>(b)</w:t>
      </w:r>
      <w:r w:rsidRPr="00B2378C">
        <w:rPr>
          <w:rFonts w:eastAsia="Times New Roman"/>
          <w:color w:val="auto"/>
          <w:sz w:val="20"/>
          <w:szCs w:val="20"/>
          <w:lang w:eastAsia="en-ZA"/>
        </w:rPr>
        <w:t xml:space="preserve">, a witness' reliability will depend, apart from the factors mentioned under </w:t>
      </w:r>
      <w:r w:rsidRPr="00B2378C">
        <w:rPr>
          <w:rFonts w:eastAsia="Times New Roman"/>
          <w:iCs/>
          <w:color w:val="auto"/>
          <w:sz w:val="20"/>
          <w:szCs w:val="20"/>
          <w:lang w:eastAsia="en-ZA"/>
        </w:rPr>
        <w:t>(a)</w:t>
      </w:r>
      <w:r w:rsidRPr="00B2378C">
        <w:rPr>
          <w:rFonts w:eastAsia="Times New Roman"/>
          <w:color w:val="auto"/>
          <w:sz w:val="20"/>
          <w:szCs w:val="20"/>
          <w:lang w:eastAsia="en-ZA"/>
        </w:rPr>
        <w:t xml:space="preserve"> (ii), (iv) and (v), on (i) the opportunities he had to experience and observe the event in question and (ii) the quality, </w:t>
      </w:r>
      <w:proofErr w:type="gramStart"/>
      <w:r w:rsidRPr="00B2378C">
        <w:rPr>
          <w:rFonts w:eastAsia="Times New Roman"/>
          <w:color w:val="auto"/>
          <w:sz w:val="20"/>
          <w:szCs w:val="20"/>
          <w:lang w:eastAsia="en-ZA"/>
        </w:rPr>
        <w:t>integrity</w:t>
      </w:r>
      <w:proofErr w:type="gramEnd"/>
      <w:r w:rsidRPr="00B2378C">
        <w:rPr>
          <w:rFonts w:eastAsia="Times New Roman"/>
          <w:color w:val="auto"/>
          <w:sz w:val="20"/>
          <w:szCs w:val="20"/>
          <w:lang w:eastAsia="en-ZA"/>
        </w:rPr>
        <w:t xml:space="preserve"> and independence of his recall thereof. As to </w:t>
      </w:r>
      <w:r w:rsidRPr="00B2378C">
        <w:rPr>
          <w:rFonts w:eastAsia="Times New Roman"/>
          <w:iCs/>
          <w:color w:val="auto"/>
          <w:sz w:val="20"/>
          <w:szCs w:val="20"/>
          <w:lang w:eastAsia="en-ZA"/>
        </w:rPr>
        <w:t>(c)</w:t>
      </w:r>
      <w:r w:rsidRPr="00B2378C">
        <w:rPr>
          <w:rFonts w:eastAsia="Times New Roman"/>
          <w:color w:val="auto"/>
          <w:sz w:val="20"/>
          <w:szCs w:val="20"/>
          <w:lang w:eastAsia="en-ZA"/>
        </w:rPr>
        <w:t xml:space="preserve">, this necessitates an </w:t>
      </w:r>
      <w:r w:rsidRPr="00B2378C">
        <w:rPr>
          <w:rFonts w:eastAsia="Times New Roman"/>
          <w:color w:val="auto"/>
          <w:sz w:val="20"/>
          <w:szCs w:val="20"/>
          <w:lang w:eastAsia="en-ZA"/>
        </w:rPr>
        <w:lastRenderedPageBreak/>
        <w:t xml:space="preserve">analysis and evaluation of the probability or improbability of each party's version on each of the disputed issues. In the light of its assessment of </w:t>
      </w:r>
      <w:r w:rsidRPr="00B2378C">
        <w:rPr>
          <w:rFonts w:eastAsia="Times New Roman"/>
          <w:iCs/>
          <w:color w:val="auto"/>
          <w:sz w:val="20"/>
          <w:szCs w:val="20"/>
          <w:lang w:eastAsia="en-ZA"/>
        </w:rPr>
        <w:t>(a)</w:t>
      </w:r>
      <w:r w:rsidRPr="00B2378C">
        <w:rPr>
          <w:rFonts w:eastAsia="Times New Roman"/>
          <w:color w:val="auto"/>
          <w:sz w:val="20"/>
          <w:szCs w:val="20"/>
          <w:lang w:eastAsia="en-ZA"/>
        </w:rPr>
        <w:t xml:space="preserve">, </w:t>
      </w:r>
      <w:r w:rsidRPr="00B2378C">
        <w:rPr>
          <w:rFonts w:eastAsia="Times New Roman"/>
          <w:iCs/>
          <w:color w:val="auto"/>
          <w:sz w:val="20"/>
          <w:szCs w:val="20"/>
          <w:lang w:eastAsia="en-ZA"/>
        </w:rPr>
        <w:t>(b)</w:t>
      </w:r>
      <w:r w:rsidRPr="00B2378C">
        <w:rPr>
          <w:rFonts w:eastAsia="Times New Roman"/>
          <w:color w:val="auto"/>
          <w:sz w:val="20"/>
          <w:szCs w:val="20"/>
          <w:lang w:eastAsia="en-ZA"/>
        </w:rPr>
        <w:t xml:space="preserve"> and </w:t>
      </w:r>
      <w:r w:rsidRPr="00B2378C">
        <w:rPr>
          <w:rFonts w:eastAsia="Times New Roman"/>
          <w:iCs/>
          <w:color w:val="auto"/>
          <w:sz w:val="20"/>
          <w:szCs w:val="20"/>
          <w:lang w:eastAsia="en-ZA"/>
        </w:rPr>
        <w:t>(c)</w:t>
      </w:r>
      <w:r w:rsidRPr="00B2378C">
        <w:rPr>
          <w:rFonts w:eastAsia="Times New Roman"/>
          <w:color w:val="auto"/>
          <w:sz w:val="20"/>
          <w:szCs w:val="20"/>
          <w:lang w:eastAsia="en-ZA"/>
        </w:rPr>
        <w:t xml:space="preserve"> the court will then, as a final step, determine whether the party burdened with the </w:t>
      </w:r>
      <w:r w:rsidRPr="00B2378C">
        <w:rPr>
          <w:rFonts w:eastAsia="Times New Roman"/>
          <w:iCs/>
          <w:color w:val="auto"/>
          <w:sz w:val="20"/>
          <w:szCs w:val="20"/>
          <w:lang w:eastAsia="en-ZA"/>
        </w:rPr>
        <w:t>onus</w:t>
      </w:r>
      <w:r w:rsidRPr="00B2378C">
        <w:rPr>
          <w:rFonts w:eastAsia="Times New Roman"/>
          <w:color w:val="auto"/>
          <w:sz w:val="20"/>
          <w:szCs w:val="20"/>
          <w:lang w:eastAsia="en-ZA"/>
        </w:rPr>
        <w:t xml:space="preserve"> of proof has succeeded in discharging it. The more convincing the former, the less convincing will be the latter. But when all factors are equipoised probabilities prevail.”</w:t>
      </w:r>
    </w:p>
    <w:p w14:paraId="140B9CC2" w14:textId="77777777" w:rsidR="00707240" w:rsidRPr="00B2378C" w:rsidRDefault="00707240" w:rsidP="00B2378C">
      <w:pPr>
        <w:spacing w:after="200" w:line="480" w:lineRule="auto"/>
        <w:ind w:left="720"/>
        <w:jc w:val="both"/>
        <w:rPr>
          <w:rFonts w:eastAsia="Times New Roman"/>
          <w:color w:val="auto"/>
          <w:sz w:val="20"/>
          <w:szCs w:val="20"/>
          <w:lang w:eastAsia="en-ZA"/>
        </w:rPr>
      </w:pPr>
    </w:p>
    <w:p w14:paraId="1C897028" w14:textId="77777777" w:rsidR="00707240" w:rsidRPr="00707240" w:rsidRDefault="00707240" w:rsidP="00707240">
      <w:pPr>
        <w:spacing w:after="200" w:line="480" w:lineRule="auto"/>
        <w:jc w:val="both"/>
        <w:rPr>
          <w:rFonts w:eastAsia="Times New Roman"/>
          <w:color w:val="auto"/>
          <w:lang w:val="en-GB" w:eastAsia="en-ZA"/>
        </w:rPr>
      </w:pPr>
      <w:r w:rsidRPr="00707240">
        <w:rPr>
          <w:rFonts w:eastAsia="Times New Roman"/>
          <w:color w:val="auto"/>
          <w:lang w:eastAsia="en-ZA"/>
        </w:rPr>
        <w:t>[30]</w:t>
      </w:r>
      <w:r w:rsidRPr="00707240">
        <w:rPr>
          <w:rFonts w:eastAsia="Times New Roman"/>
          <w:color w:val="auto"/>
          <w:lang w:eastAsia="en-ZA"/>
        </w:rPr>
        <w:tab/>
      </w:r>
      <w:r w:rsidRPr="00707240">
        <w:rPr>
          <w:rFonts w:eastAsia="Times New Roman"/>
          <w:color w:val="auto"/>
          <w:lang w:val="en-GB" w:eastAsia="en-ZA"/>
        </w:rPr>
        <w:t>To settle the issues raised, an analysis of evidence as a whole is required.</w:t>
      </w:r>
      <w:r w:rsidRPr="00707240">
        <w:rPr>
          <w:rFonts w:eastAsia="Times New Roman"/>
          <w:color w:val="auto"/>
          <w:vertAlign w:val="superscript"/>
          <w:lang w:val="en-GB" w:eastAsia="en-ZA"/>
        </w:rPr>
        <w:footnoteReference w:id="11"/>
      </w:r>
      <w:r w:rsidRPr="00707240">
        <w:rPr>
          <w:rFonts w:eastAsia="Times New Roman"/>
          <w:color w:val="auto"/>
          <w:lang w:val="en-GB" w:eastAsia="en-ZA"/>
        </w:rPr>
        <w:t xml:space="preserve"> In the present matter, there is corroboration and consistenc</w:t>
      </w:r>
      <w:r>
        <w:rPr>
          <w:rFonts w:eastAsia="Times New Roman"/>
          <w:color w:val="auto"/>
          <w:lang w:val="en-GB" w:eastAsia="en-ZA"/>
        </w:rPr>
        <w:t>y</w:t>
      </w:r>
      <w:r w:rsidRPr="00707240">
        <w:rPr>
          <w:rFonts w:eastAsia="Times New Roman"/>
          <w:color w:val="auto"/>
          <w:lang w:val="en-GB" w:eastAsia="en-ZA"/>
        </w:rPr>
        <w:t xml:space="preserve"> in the essential features of the defendant’s case. The police officers were alerted that there was a high rate of criminal activities that were committed in some streets in Mthatha which included Sprigg Street. As a result, they had to strategize to prevent and curb crime. Amongst others, it was decided that some police officers would perform their duties in civilian clothing and some in police uniform. </w:t>
      </w:r>
    </w:p>
    <w:p w14:paraId="5FA0726A" w14:textId="77777777" w:rsidR="00707240" w:rsidRPr="00707240" w:rsidRDefault="00707240" w:rsidP="00707240">
      <w:pPr>
        <w:spacing w:after="200" w:line="480" w:lineRule="auto"/>
        <w:jc w:val="both"/>
        <w:rPr>
          <w:rFonts w:eastAsia="Times New Roman"/>
          <w:color w:val="auto"/>
          <w:lang w:val="en-GB" w:eastAsia="en-ZA"/>
        </w:rPr>
      </w:pPr>
    </w:p>
    <w:p w14:paraId="29523C14" w14:textId="77777777" w:rsidR="00707240" w:rsidRPr="00707240" w:rsidRDefault="00707240" w:rsidP="00707240">
      <w:pPr>
        <w:spacing w:after="200" w:line="480" w:lineRule="auto"/>
        <w:jc w:val="both"/>
        <w:rPr>
          <w:rFonts w:eastAsia="Times New Roman"/>
          <w:color w:val="auto"/>
          <w:lang w:val="en-GB" w:eastAsia="en-ZA"/>
        </w:rPr>
      </w:pPr>
      <w:r w:rsidRPr="00707240">
        <w:rPr>
          <w:rFonts w:eastAsia="Times New Roman"/>
          <w:color w:val="auto"/>
          <w:lang w:val="en-GB" w:eastAsia="en-ZA"/>
        </w:rPr>
        <w:t>[31]</w:t>
      </w:r>
      <w:r w:rsidRPr="00707240">
        <w:rPr>
          <w:rFonts w:eastAsia="Times New Roman"/>
          <w:color w:val="auto"/>
          <w:lang w:val="en-GB" w:eastAsia="en-ZA"/>
        </w:rPr>
        <w:tab/>
        <w:t>The police officers corroborated each other that they witnessed the plaintiff stealing a tyre in the complainant’s bakkie. The fact that they had to compromise their little break time and pay attention to the complainant’s bakkie demonstrates that something amiss was happening. I accept their version that their view was not obscured since their attention was already drawn to the bakkie in question. The police officers’ version is consistent with the prove</w:t>
      </w:r>
      <w:r>
        <w:rPr>
          <w:rFonts w:eastAsia="Times New Roman"/>
          <w:color w:val="auto"/>
          <w:lang w:val="en-GB" w:eastAsia="en-ZA"/>
        </w:rPr>
        <w:t>n</w:t>
      </w:r>
      <w:r w:rsidRPr="00707240">
        <w:rPr>
          <w:rFonts w:eastAsia="Times New Roman"/>
          <w:color w:val="auto"/>
          <w:lang w:val="en-GB" w:eastAsia="en-ZA"/>
        </w:rPr>
        <w:t xml:space="preserve"> facts, in that the plaintiff admitted having been in the vicinity where the complainant’s bakkie was stationed. He admitted that he was found in possession of the tyre. There is no dispute that the tyre was stolen. The complainant in her statement to the police confirmed this fact. She had to open a case at Central police station. The fact that</w:t>
      </w:r>
      <w:r w:rsidR="000F283F">
        <w:rPr>
          <w:rFonts w:eastAsia="Times New Roman"/>
          <w:color w:val="auto"/>
          <w:lang w:val="en-GB" w:eastAsia="en-ZA"/>
        </w:rPr>
        <w:t xml:space="preserve"> the</w:t>
      </w:r>
      <w:r w:rsidRPr="00707240">
        <w:rPr>
          <w:rFonts w:eastAsia="Times New Roman"/>
          <w:color w:val="auto"/>
          <w:lang w:val="en-GB" w:eastAsia="en-ZA"/>
        </w:rPr>
        <w:t xml:space="preserve"> police officers </w:t>
      </w:r>
      <w:r w:rsidR="000F283F">
        <w:rPr>
          <w:rFonts w:eastAsia="Times New Roman"/>
          <w:color w:val="auto"/>
          <w:lang w:val="en-GB" w:eastAsia="en-ZA"/>
        </w:rPr>
        <w:lastRenderedPageBreak/>
        <w:t>were wearing</w:t>
      </w:r>
      <w:r w:rsidRPr="00707240">
        <w:rPr>
          <w:rFonts w:eastAsia="Times New Roman"/>
          <w:color w:val="auto"/>
          <w:lang w:val="en-GB" w:eastAsia="en-ZA"/>
        </w:rPr>
        <w:t xml:space="preserve"> civilian clothing must have caused </w:t>
      </w:r>
      <w:proofErr w:type="gramStart"/>
      <w:r w:rsidRPr="00707240">
        <w:rPr>
          <w:rFonts w:eastAsia="Times New Roman"/>
          <w:color w:val="auto"/>
          <w:lang w:val="en-GB" w:eastAsia="en-ZA"/>
        </w:rPr>
        <w:t xml:space="preserve">laxity  </w:t>
      </w:r>
      <w:r w:rsidR="000F283F">
        <w:rPr>
          <w:rFonts w:eastAsia="Times New Roman"/>
          <w:color w:val="auto"/>
          <w:lang w:val="en-GB" w:eastAsia="en-ZA"/>
        </w:rPr>
        <w:t>on</w:t>
      </w:r>
      <w:proofErr w:type="gramEnd"/>
      <w:r w:rsidR="000F283F">
        <w:rPr>
          <w:rFonts w:eastAsia="Times New Roman"/>
          <w:color w:val="auto"/>
          <w:lang w:val="en-GB" w:eastAsia="en-ZA"/>
        </w:rPr>
        <w:t xml:space="preserve"> the part of </w:t>
      </w:r>
      <w:r w:rsidRPr="00707240">
        <w:rPr>
          <w:rFonts w:eastAsia="Times New Roman"/>
          <w:color w:val="auto"/>
          <w:lang w:val="en-GB" w:eastAsia="en-ZA"/>
        </w:rPr>
        <w:t>the plaintiff and his erstwhile co-accused to commit an offence of theft in broad daylight without any fear of being apprehended. The probabilities are such that he was caught in the act hence he started to flee. The only reason that he could easily be apprehended is because he tripped and fell.</w:t>
      </w:r>
    </w:p>
    <w:p w14:paraId="52D79080" w14:textId="77777777" w:rsidR="00707240" w:rsidRPr="00707240" w:rsidRDefault="00707240" w:rsidP="00707240">
      <w:pPr>
        <w:spacing w:after="200" w:line="480" w:lineRule="auto"/>
        <w:jc w:val="both"/>
        <w:rPr>
          <w:rFonts w:eastAsia="Times New Roman"/>
          <w:color w:val="auto"/>
          <w:lang w:val="en-GB" w:eastAsia="en-ZA"/>
        </w:rPr>
      </w:pPr>
    </w:p>
    <w:p w14:paraId="32CF520C" w14:textId="77777777" w:rsidR="00707240" w:rsidRPr="00707240" w:rsidRDefault="00707240" w:rsidP="00707240">
      <w:pPr>
        <w:spacing w:after="200" w:line="480" w:lineRule="auto"/>
        <w:jc w:val="both"/>
        <w:rPr>
          <w:rFonts w:eastAsia="Times New Roman"/>
          <w:color w:val="auto"/>
          <w:lang w:val="en-GB" w:eastAsia="en-ZA"/>
        </w:rPr>
      </w:pPr>
      <w:r w:rsidRPr="00707240">
        <w:rPr>
          <w:rFonts w:eastAsia="Times New Roman"/>
          <w:color w:val="auto"/>
          <w:lang w:val="en-GB" w:eastAsia="en-ZA"/>
        </w:rPr>
        <w:t>[32]</w:t>
      </w:r>
      <w:r w:rsidRPr="00707240">
        <w:rPr>
          <w:rFonts w:eastAsia="Times New Roman"/>
          <w:color w:val="auto"/>
          <w:lang w:val="en-GB" w:eastAsia="en-ZA"/>
        </w:rPr>
        <w:tab/>
        <w:t xml:space="preserve">I therefore </w:t>
      </w:r>
      <w:r w:rsidR="000F283F">
        <w:rPr>
          <w:rFonts w:eastAsia="Times New Roman"/>
          <w:color w:val="auto"/>
          <w:lang w:val="en-GB" w:eastAsia="en-ZA"/>
        </w:rPr>
        <w:t>find</w:t>
      </w:r>
      <w:r w:rsidRPr="00707240">
        <w:rPr>
          <w:rFonts w:eastAsia="Times New Roman"/>
          <w:color w:val="auto"/>
          <w:lang w:val="en-GB" w:eastAsia="en-ZA"/>
        </w:rPr>
        <w:t xml:space="preserve"> that the police officers were credible witnesses. The probabilities point to the plaintiff as the person </w:t>
      </w:r>
      <w:proofErr w:type="gramStart"/>
      <w:r w:rsidRPr="00707240">
        <w:rPr>
          <w:rFonts w:eastAsia="Times New Roman"/>
          <w:color w:val="auto"/>
          <w:lang w:val="en-GB" w:eastAsia="en-ZA"/>
        </w:rPr>
        <w:t>who  acted</w:t>
      </w:r>
      <w:proofErr w:type="gramEnd"/>
      <w:r w:rsidRPr="00707240">
        <w:rPr>
          <w:rFonts w:eastAsia="Times New Roman"/>
          <w:color w:val="auto"/>
          <w:lang w:val="en-GB" w:eastAsia="en-ZA"/>
        </w:rPr>
        <w:t xml:space="preserve"> in concert with his erstwhile </w:t>
      </w:r>
      <w:r w:rsidR="000F283F">
        <w:rPr>
          <w:rFonts w:eastAsia="Times New Roman"/>
          <w:color w:val="auto"/>
          <w:lang w:val="en-GB" w:eastAsia="en-ZA"/>
        </w:rPr>
        <w:t>co-</w:t>
      </w:r>
      <w:r w:rsidRPr="00707240">
        <w:rPr>
          <w:rFonts w:eastAsia="Times New Roman"/>
          <w:color w:val="auto"/>
          <w:lang w:val="en-GB" w:eastAsia="en-ZA"/>
        </w:rPr>
        <w:t>accused and committed an offence of theft in their presence. The plaintiff’s version that the culprit who had exercised control over the tyre fled,</w:t>
      </w:r>
      <w:r w:rsidR="007719FE">
        <w:rPr>
          <w:rFonts w:eastAsia="Times New Roman"/>
          <w:color w:val="auto"/>
          <w:lang w:val="en-GB" w:eastAsia="en-ZA"/>
        </w:rPr>
        <w:t xml:space="preserve"> is improbable, in my view.</w:t>
      </w:r>
      <w:r w:rsidRPr="00707240">
        <w:rPr>
          <w:rFonts w:eastAsia="Times New Roman"/>
          <w:color w:val="auto"/>
          <w:lang w:val="en-GB" w:eastAsia="en-ZA"/>
        </w:rPr>
        <w:t xml:space="preserve"> I accept that the plaintiff informed the police officers that he would sell the tyre. In the mind of the police officers</w:t>
      </w:r>
      <w:r>
        <w:rPr>
          <w:rFonts w:eastAsia="Times New Roman"/>
          <w:color w:val="auto"/>
          <w:lang w:val="en-GB" w:eastAsia="en-ZA"/>
        </w:rPr>
        <w:t>,</w:t>
      </w:r>
      <w:r w:rsidRPr="00707240">
        <w:rPr>
          <w:rFonts w:eastAsia="Times New Roman"/>
          <w:color w:val="auto"/>
          <w:lang w:val="en-GB" w:eastAsia="en-ZA"/>
        </w:rPr>
        <w:t xml:space="preserve"> there could never have been any other explanation to account for the stolen item other than what they observed and what they were informed by the plaintiff. Considering the above, the police officers honestly and reasonabl</w:t>
      </w:r>
      <w:r>
        <w:rPr>
          <w:rFonts w:eastAsia="Times New Roman"/>
          <w:color w:val="auto"/>
          <w:lang w:val="en-GB" w:eastAsia="en-ZA"/>
        </w:rPr>
        <w:t>y</w:t>
      </w:r>
      <w:r w:rsidRPr="00707240">
        <w:rPr>
          <w:rFonts w:eastAsia="Times New Roman"/>
          <w:color w:val="auto"/>
          <w:lang w:val="en-GB" w:eastAsia="en-ZA"/>
        </w:rPr>
        <w:t xml:space="preserve"> held a belief that a crime was committed in their presence. Applying </w:t>
      </w:r>
      <w:proofErr w:type="spellStart"/>
      <w:r w:rsidRPr="00707240">
        <w:rPr>
          <w:rFonts w:eastAsia="Times New Roman"/>
          <w:i/>
          <w:color w:val="auto"/>
          <w:lang w:val="en-GB" w:eastAsia="en-ZA"/>
        </w:rPr>
        <w:t>Tsose’s</w:t>
      </w:r>
      <w:proofErr w:type="spellEnd"/>
      <w:r w:rsidRPr="00707240">
        <w:rPr>
          <w:rFonts w:eastAsia="Times New Roman"/>
          <w:i/>
          <w:color w:val="auto"/>
          <w:vertAlign w:val="superscript"/>
          <w:lang w:val="en-GB" w:eastAsia="en-ZA"/>
        </w:rPr>
        <w:footnoteReference w:id="12"/>
      </w:r>
      <w:r w:rsidRPr="00707240">
        <w:rPr>
          <w:rFonts w:eastAsia="Times New Roman"/>
          <w:color w:val="auto"/>
          <w:lang w:val="en-GB" w:eastAsia="en-ZA"/>
        </w:rPr>
        <w:t xml:space="preserve"> principle </w:t>
      </w:r>
      <w:r w:rsidRPr="00707240">
        <w:rPr>
          <w:rFonts w:eastAsia="Times New Roman"/>
          <w:i/>
          <w:color w:val="auto"/>
          <w:lang w:val="en-GB" w:eastAsia="en-ZA"/>
        </w:rPr>
        <w:t>(supra),</w:t>
      </w:r>
      <w:r w:rsidRPr="00707240">
        <w:rPr>
          <w:rFonts w:eastAsia="Times New Roman"/>
          <w:color w:val="auto"/>
          <w:lang w:val="en-GB" w:eastAsia="en-ZA"/>
        </w:rPr>
        <w:t xml:space="preserve"> the fact that the criminal case was later struck off roll has no bearing on the issues at hand.</w:t>
      </w:r>
    </w:p>
    <w:p w14:paraId="568B5E24" w14:textId="77777777" w:rsidR="00707240" w:rsidRPr="00707240" w:rsidRDefault="00707240" w:rsidP="00707240">
      <w:pPr>
        <w:spacing w:after="200" w:line="480" w:lineRule="auto"/>
        <w:jc w:val="both"/>
        <w:rPr>
          <w:rFonts w:eastAsia="Times New Roman"/>
          <w:color w:val="auto"/>
          <w:lang w:val="en-GB" w:eastAsia="en-ZA"/>
        </w:rPr>
      </w:pPr>
    </w:p>
    <w:p w14:paraId="3BA7655E" w14:textId="77777777" w:rsidR="00707240" w:rsidRPr="00707240" w:rsidRDefault="00707240" w:rsidP="00707240">
      <w:pPr>
        <w:spacing w:after="200" w:line="480" w:lineRule="auto"/>
        <w:jc w:val="both"/>
        <w:rPr>
          <w:rFonts w:eastAsia="Times New Roman"/>
          <w:color w:val="auto"/>
          <w:lang w:val="en-GB" w:eastAsia="en-ZA"/>
        </w:rPr>
      </w:pPr>
      <w:r w:rsidRPr="00707240">
        <w:rPr>
          <w:rFonts w:eastAsia="Times New Roman"/>
          <w:color w:val="auto"/>
          <w:lang w:val="en-GB" w:eastAsia="en-ZA"/>
        </w:rPr>
        <w:t>[33]</w:t>
      </w:r>
      <w:r w:rsidRPr="00707240">
        <w:rPr>
          <w:rFonts w:eastAsia="Times New Roman"/>
          <w:color w:val="auto"/>
          <w:lang w:val="en-GB" w:eastAsia="en-ZA"/>
        </w:rPr>
        <w:tab/>
        <w:t>In addition, the provisions of Section 50 of the CPA were adhered to. In view of the fact that on the day of his arrest</w:t>
      </w:r>
      <w:r>
        <w:rPr>
          <w:rFonts w:eastAsia="Times New Roman"/>
          <w:color w:val="auto"/>
          <w:lang w:val="en-GB" w:eastAsia="en-ZA"/>
        </w:rPr>
        <w:t>,</w:t>
      </w:r>
      <w:r w:rsidRPr="00707240">
        <w:rPr>
          <w:rFonts w:eastAsia="Times New Roman"/>
          <w:color w:val="auto"/>
          <w:lang w:val="en-GB" w:eastAsia="en-ZA"/>
        </w:rPr>
        <w:t xml:space="preserve"> the court day had ended, the plaintiff was brought to court on the </w:t>
      </w:r>
      <w:r w:rsidR="003A150A">
        <w:rPr>
          <w:rFonts w:eastAsia="Times New Roman"/>
          <w:color w:val="auto"/>
          <w:lang w:val="en-GB" w:eastAsia="en-ZA"/>
        </w:rPr>
        <w:t xml:space="preserve">next </w:t>
      </w:r>
      <w:proofErr w:type="gramStart"/>
      <w:r w:rsidR="003A150A">
        <w:rPr>
          <w:rFonts w:eastAsia="Times New Roman"/>
          <w:color w:val="auto"/>
          <w:lang w:val="en-GB" w:eastAsia="en-ZA"/>
        </w:rPr>
        <w:t>day.</w:t>
      </w:r>
      <w:r w:rsidRPr="00707240">
        <w:rPr>
          <w:rFonts w:eastAsia="Times New Roman"/>
          <w:color w:val="auto"/>
          <w:lang w:val="en-GB" w:eastAsia="en-ZA"/>
        </w:rPr>
        <w:t>.</w:t>
      </w:r>
      <w:proofErr w:type="gramEnd"/>
      <w:r w:rsidRPr="00707240">
        <w:rPr>
          <w:rFonts w:eastAsia="Times New Roman"/>
          <w:color w:val="auto"/>
          <w:lang w:val="en-GB" w:eastAsia="en-ZA"/>
        </w:rPr>
        <w:t xml:space="preserve"> Following his detention from police custody, the plaintiff appeared in court within a reasonable time. The Magistrate detained him for </w:t>
      </w:r>
      <w:r w:rsidRPr="00707240">
        <w:rPr>
          <w:rFonts w:eastAsia="Times New Roman"/>
          <w:color w:val="auto"/>
          <w:lang w:val="en-GB" w:eastAsia="en-ZA"/>
        </w:rPr>
        <w:lastRenderedPageBreak/>
        <w:t>seven days. Clearly</w:t>
      </w:r>
      <w:r>
        <w:rPr>
          <w:rFonts w:eastAsia="Times New Roman"/>
          <w:color w:val="auto"/>
          <w:lang w:val="en-GB" w:eastAsia="en-ZA"/>
        </w:rPr>
        <w:t>,</w:t>
      </w:r>
      <w:r w:rsidRPr="00707240">
        <w:rPr>
          <w:rFonts w:eastAsia="Times New Roman"/>
          <w:color w:val="auto"/>
          <w:lang w:val="en-GB" w:eastAsia="en-ZA"/>
        </w:rPr>
        <w:t xml:space="preserve"> this detention was a result of the Magistrate’s orders. I find that the purpose of the plaintiff’s detention was to bring him to justice.</w:t>
      </w:r>
    </w:p>
    <w:p w14:paraId="1FE89C45" w14:textId="77777777" w:rsidR="00707240" w:rsidRPr="00707240" w:rsidRDefault="00707240" w:rsidP="00707240">
      <w:pPr>
        <w:spacing w:after="200" w:line="480" w:lineRule="auto"/>
        <w:jc w:val="both"/>
        <w:rPr>
          <w:rFonts w:eastAsia="Times New Roman"/>
          <w:color w:val="auto"/>
          <w:lang w:val="en-GB" w:eastAsia="en-ZA"/>
        </w:rPr>
      </w:pPr>
    </w:p>
    <w:p w14:paraId="39BFC3BB" w14:textId="77777777" w:rsidR="00707240" w:rsidRPr="00707240" w:rsidRDefault="00707240" w:rsidP="00707240">
      <w:pPr>
        <w:spacing w:after="200" w:line="480" w:lineRule="auto"/>
        <w:jc w:val="both"/>
        <w:rPr>
          <w:rFonts w:eastAsia="Times New Roman"/>
          <w:color w:val="auto"/>
          <w:lang w:eastAsia="en-ZA"/>
        </w:rPr>
      </w:pPr>
      <w:r w:rsidRPr="00707240">
        <w:rPr>
          <w:rFonts w:eastAsia="Times New Roman"/>
          <w:color w:val="auto"/>
          <w:lang w:eastAsia="en-ZA"/>
        </w:rPr>
        <w:t>[34]</w:t>
      </w:r>
      <w:r w:rsidRPr="00707240">
        <w:rPr>
          <w:rFonts w:eastAsia="Times New Roman"/>
          <w:color w:val="auto"/>
          <w:lang w:eastAsia="en-ZA"/>
        </w:rPr>
        <w:tab/>
      </w:r>
      <w:r w:rsidR="00DB500D">
        <w:rPr>
          <w:rFonts w:eastAsia="Times New Roman"/>
          <w:color w:val="auto"/>
          <w:lang w:eastAsia="en-ZA"/>
        </w:rPr>
        <w:t>In term</w:t>
      </w:r>
      <w:r w:rsidR="00C5291D">
        <w:rPr>
          <w:rFonts w:eastAsia="Times New Roman"/>
          <w:color w:val="auto"/>
          <w:lang w:eastAsia="en-ZA"/>
        </w:rPr>
        <w:t>s</w:t>
      </w:r>
      <w:r w:rsidR="00DB500D">
        <w:rPr>
          <w:rFonts w:eastAsia="Times New Roman"/>
          <w:color w:val="auto"/>
          <w:lang w:eastAsia="en-ZA"/>
        </w:rPr>
        <w:t xml:space="preserve"> of the law</w:t>
      </w:r>
      <w:r w:rsidR="00A25FB3">
        <w:rPr>
          <w:rFonts w:eastAsia="Times New Roman"/>
          <w:color w:val="auto"/>
          <w:lang w:eastAsia="en-ZA"/>
        </w:rPr>
        <w:t>,</w:t>
      </w:r>
      <w:r w:rsidR="00DB500D">
        <w:rPr>
          <w:rFonts w:eastAsia="Times New Roman"/>
          <w:color w:val="auto"/>
          <w:lang w:eastAsia="en-ZA"/>
        </w:rPr>
        <w:t xml:space="preserve"> once the jurisdictional facts</w:t>
      </w:r>
      <w:r w:rsidR="00C5291D">
        <w:rPr>
          <w:rFonts w:eastAsia="Times New Roman"/>
          <w:color w:val="auto"/>
          <w:lang w:eastAsia="en-ZA"/>
        </w:rPr>
        <w:t xml:space="preserve"> for an arrest</w:t>
      </w:r>
      <w:r w:rsidR="00DB500D">
        <w:rPr>
          <w:rFonts w:eastAsia="Times New Roman"/>
          <w:color w:val="auto"/>
          <w:lang w:eastAsia="en-ZA"/>
        </w:rPr>
        <w:t xml:space="preserve"> are establishe</w:t>
      </w:r>
      <w:r w:rsidR="00C5291D">
        <w:rPr>
          <w:rFonts w:eastAsia="Times New Roman"/>
          <w:color w:val="auto"/>
          <w:lang w:eastAsia="en-ZA"/>
        </w:rPr>
        <w:t>d, the discretion whether or not to arrest arises</w:t>
      </w:r>
      <w:r w:rsidR="00DB500D">
        <w:rPr>
          <w:rFonts w:eastAsia="Times New Roman"/>
          <w:color w:val="auto"/>
          <w:lang w:eastAsia="en-ZA"/>
        </w:rPr>
        <w:t>.</w:t>
      </w:r>
      <w:r w:rsidR="00DB500D">
        <w:rPr>
          <w:rStyle w:val="FootnoteReference"/>
          <w:rFonts w:eastAsia="Times New Roman"/>
          <w:color w:val="auto"/>
          <w:lang w:eastAsia="en-ZA"/>
        </w:rPr>
        <w:footnoteReference w:id="13"/>
      </w:r>
      <w:r w:rsidR="00DB500D">
        <w:rPr>
          <w:rFonts w:eastAsia="Times New Roman"/>
          <w:color w:val="auto"/>
          <w:lang w:eastAsia="en-ZA"/>
        </w:rPr>
        <w:t xml:space="preserve"> </w:t>
      </w:r>
      <w:r w:rsidR="00C5291D">
        <w:rPr>
          <w:rFonts w:eastAsia="Times New Roman"/>
          <w:color w:val="auto"/>
          <w:lang w:eastAsia="en-ZA"/>
        </w:rPr>
        <w:t>In the present matter, this issue</w:t>
      </w:r>
      <w:r w:rsidR="00DB500D">
        <w:rPr>
          <w:rFonts w:eastAsia="Times New Roman"/>
          <w:color w:val="auto"/>
          <w:lang w:eastAsia="en-ZA"/>
        </w:rPr>
        <w:t xml:space="preserve"> was never canvassed in the plaintiff’s pleadings nor during the trial.</w:t>
      </w:r>
      <w:r w:rsidR="004C6231">
        <w:rPr>
          <w:rStyle w:val="FootnoteReference"/>
          <w:rFonts w:eastAsia="Times New Roman"/>
          <w:color w:val="auto"/>
          <w:lang w:eastAsia="en-ZA"/>
        </w:rPr>
        <w:footnoteReference w:id="14"/>
      </w:r>
      <w:r w:rsidR="004C6231">
        <w:rPr>
          <w:rFonts w:eastAsia="Times New Roman"/>
          <w:color w:val="auto"/>
          <w:lang w:eastAsia="en-ZA"/>
        </w:rPr>
        <w:t xml:space="preserve"> </w:t>
      </w:r>
      <w:r w:rsidRPr="00707240">
        <w:rPr>
          <w:rFonts w:eastAsia="Times New Roman"/>
          <w:color w:val="auto"/>
          <w:lang w:eastAsia="en-ZA"/>
        </w:rPr>
        <w:t>I am alive to the fact that the Constitution protects the liberty of an individual concerned</w:t>
      </w:r>
      <w:r w:rsidR="000A6052">
        <w:rPr>
          <w:rFonts w:eastAsia="Times New Roman"/>
          <w:color w:val="auto"/>
          <w:lang w:eastAsia="en-ZA"/>
        </w:rPr>
        <w:t>. In this instance</w:t>
      </w:r>
      <w:r w:rsidRPr="00707240">
        <w:rPr>
          <w:rFonts w:eastAsia="Times New Roman"/>
          <w:color w:val="auto"/>
          <w:lang w:eastAsia="en-ZA"/>
        </w:rPr>
        <w:t xml:space="preserve">, it </w:t>
      </w:r>
      <w:proofErr w:type="gramStart"/>
      <w:r w:rsidRPr="00707240">
        <w:rPr>
          <w:rFonts w:eastAsia="Times New Roman"/>
          <w:color w:val="auto"/>
          <w:lang w:eastAsia="en-ZA"/>
        </w:rPr>
        <w:t>would  be</w:t>
      </w:r>
      <w:proofErr w:type="gramEnd"/>
      <w:r w:rsidRPr="00707240">
        <w:rPr>
          <w:rFonts w:eastAsia="Times New Roman"/>
          <w:color w:val="auto"/>
          <w:lang w:eastAsia="en-ZA"/>
        </w:rPr>
        <w:t xml:space="preserve"> unreasonable to place restraint upon the two police officers in the execution of their duties.</w:t>
      </w:r>
      <w:r>
        <w:rPr>
          <w:rFonts w:eastAsia="Times New Roman"/>
          <w:color w:val="auto"/>
          <w:lang w:eastAsia="en-ZA"/>
        </w:rPr>
        <w:t xml:space="preserve"> </w:t>
      </w:r>
      <w:r w:rsidRPr="00707240">
        <w:rPr>
          <w:rFonts w:eastAsia="Times New Roman"/>
          <w:color w:val="auto"/>
          <w:lang w:val="en-GB" w:eastAsia="en-ZA"/>
        </w:rPr>
        <w:t>In my opinion, the police officers acted responsibly in exercising the authority granted to them by the South African Police Act and the Constitution.</w:t>
      </w:r>
      <w:r w:rsidRPr="00707240">
        <w:rPr>
          <w:rFonts w:eastAsia="Times New Roman"/>
          <w:color w:val="auto"/>
          <w:vertAlign w:val="superscript"/>
          <w:lang w:val="en-GB" w:eastAsia="en-ZA"/>
        </w:rPr>
        <w:footnoteReference w:id="15"/>
      </w:r>
      <w:r w:rsidRPr="00707240">
        <w:rPr>
          <w:rFonts w:eastAsia="Times New Roman"/>
          <w:color w:val="auto"/>
          <w:lang w:val="en-GB" w:eastAsia="en-ZA"/>
        </w:rPr>
        <w:t xml:space="preserve"> </w:t>
      </w:r>
      <w:r w:rsidR="000F683A">
        <w:rPr>
          <w:rFonts w:eastAsia="Times New Roman"/>
          <w:color w:val="auto"/>
          <w:lang w:val="en-GB" w:eastAsia="en-ZA"/>
        </w:rPr>
        <w:t xml:space="preserve">I </w:t>
      </w:r>
      <w:r w:rsidRPr="00707240">
        <w:rPr>
          <w:rFonts w:eastAsia="Times New Roman"/>
          <w:color w:val="auto"/>
          <w:lang w:eastAsia="en-ZA"/>
        </w:rPr>
        <w:t>therefore conclude that the arrest and subsequent detention of the plaintiff were lawful. It then follows that the plaintiff’s claim should fail. The costs should follow the result.</w:t>
      </w:r>
    </w:p>
    <w:p w14:paraId="0CC4AD69" w14:textId="77777777" w:rsidR="00A86E12" w:rsidRDefault="00A86E12" w:rsidP="00B2378C"/>
    <w:p w14:paraId="703D4BC4" w14:textId="77777777" w:rsidR="00A86E12" w:rsidRPr="00BA53D9" w:rsidRDefault="00A86E12" w:rsidP="00707240">
      <w:pPr>
        <w:jc w:val="both"/>
        <w:rPr>
          <w:b/>
          <w:u w:val="single"/>
        </w:rPr>
      </w:pPr>
      <w:r w:rsidRPr="00BA53D9">
        <w:rPr>
          <w:b/>
          <w:u w:val="single"/>
        </w:rPr>
        <w:t>Order</w:t>
      </w:r>
    </w:p>
    <w:p w14:paraId="7A908800" w14:textId="77777777" w:rsidR="00BA53D9" w:rsidRDefault="00BA53D9" w:rsidP="00707240">
      <w:pPr>
        <w:jc w:val="both"/>
        <w:rPr>
          <w:b/>
        </w:rPr>
      </w:pPr>
    </w:p>
    <w:p w14:paraId="15BE5420" w14:textId="77777777" w:rsidR="00BA53D9" w:rsidRDefault="00707240" w:rsidP="00707240">
      <w:pPr>
        <w:jc w:val="both"/>
      </w:pPr>
      <w:r>
        <w:t>[35]</w:t>
      </w:r>
      <w:r>
        <w:tab/>
      </w:r>
      <w:r w:rsidRPr="00FC085D">
        <w:rPr>
          <w:bCs/>
        </w:rPr>
        <w:t>In the result</w:t>
      </w:r>
      <w:r w:rsidR="000F683A">
        <w:rPr>
          <w:bCs/>
        </w:rPr>
        <w:t>,</w:t>
      </w:r>
      <w:r w:rsidRPr="00FC085D">
        <w:rPr>
          <w:bCs/>
        </w:rPr>
        <w:t xml:space="preserve"> the</w:t>
      </w:r>
      <w:r w:rsidR="00BA53D9" w:rsidRPr="00FC085D">
        <w:rPr>
          <w:bCs/>
        </w:rPr>
        <w:t xml:space="preserve"> plaintiff’s claim is dismissed with costs.</w:t>
      </w:r>
    </w:p>
    <w:p w14:paraId="41AE074C" w14:textId="77777777" w:rsidR="00707240" w:rsidRPr="00BA53D9" w:rsidRDefault="00707240" w:rsidP="00B2378C">
      <w:pPr>
        <w:jc w:val="both"/>
      </w:pPr>
    </w:p>
    <w:p w14:paraId="4C5AC6E0" w14:textId="77777777" w:rsidR="00A86E12" w:rsidRDefault="00A86E12" w:rsidP="00707240">
      <w:pPr>
        <w:jc w:val="both"/>
        <w:rPr>
          <w:b/>
        </w:rPr>
      </w:pPr>
    </w:p>
    <w:p w14:paraId="518C582A" w14:textId="77777777" w:rsidR="00707240" w:rsidRDefault="00707240" w:rsidP="00707240">
      <w:pPr>
        <w:jc w:val="both"/>
        <w:rPr>
          <w:b/>
        </w:rPr>
      </w:pPr>
    </w:p>
    <w:p w14:paraId="101F2677" w14:textId="77777777" w:rsidR="00707240" w:rsidRPr="00BA53D9" w:rsidRDefault="00707240" w:rsidP="00707240">
      <w:pPr>
        <w:jc w:val="both"/>
        <w:rPr>
          <w:b/>
        </w:rPr>
      </w:pPr>
    </w:p>
    <w:p w14:paraId="16136997" w14:textId="77777777" w:rsidR="00707240" w:rsidRDefault="00707240" w:rsidP="00707240">
      <w:pPr>
        <w:jc w:val="both"/>
        <w:rPr>
          <w:b/>
        </w:rPr>
      </w:pPr>
    </w:p>
    <w:p w14:paraId="01C68ED7" w14:textId="77777777" w:rsidR="00D25388" w:rsidRDefault="00707240" w:rsidP="00707240">
      <w:pPr>
        <w:jc w:val="both"/>
        <w:rPr>
          <w:b/>
        </w:rPr>
      </w:pPr>
      <w:r>
        <w:rPr>
          <w:b/>
        </w:rPr>
        <w:t>________________________</w:t>
      </w:r>
    </w:p>
    <w:p w14:paraId="39627E6F" w14:textId="77777777" w:rsidR="00D25388" w:rsidRDefault="00D25388" w:rsidP="00707240">
      <w:pPr>
        <w:jc w:val="both"/>
        <w:rPr>
          <w:b/>
        </w:rPr>
      </w:pPr>
      <w:r>
        <w:rPr>
          <w:b/>
        </w:rPr>
        <w:t>N CENGANI-MBAKAZA</w:t>
      </w:r>
    </w:p>
    <w:p w14:paraId="1299483D" w14:textId="77777777" w:rsidR="00D25388" w:rsidRDefault="00D25388" w:rsidP="00707240">
      <w:pPr>
        <w:jc w:val="both"/>
        <w:rPr>
          <w:b/>
        </w:rPr>
      </w:pPr>
      <w:r>
        <w:rPr>
          <w:b/>
        </w:rPr>
        <w:t>ACTING JUDGE OF THE HIGH COURT</w:t>
      </w:r>
    </w:p>
    <w:p w14:paraId="1D750376" w14:textId="77777777" w:rsidR="00707240" w:rsidRDefault="00707240" w:rsidP="00707240">
      <w:pPr>
        <w:jc w:val="both"/>
        <w:rPr>
          <w:b/>
        </w:rPr>
      </w:pPr>
    </w:p>
    <w:p w14:paraId="2D127B4B" w14:textId="77777777" w:rsidR="00707240" w:rsidRDefault="00707240" w:rsidP="00707240">
      <w:pPr>
        <w:jc w:val="both"/>
        <w:rPr>
          <w:b/>
        </w:rPr>
      </w:pPr>
    </w:p>
    <w:p w14:paraId="3910B347" w14:textId="77777777" w:rsidR="00707240" w:rsidRDefault="00707240" w:rsidP="00707240">
      <w:pPr>
        <w:jc w:val="both"/>
        <w:rPr>
          <w:b/>
        </w:rPr>
      </w:pPr>
    </w:p>
    <w:p w14:paraId="50BA8C20" w14:textId="77777777" w:rsidR="00707240" w:rsidRPr="00D25388" w:rsidRDefault="00707240" w:rsidP="00707240">
      <w:pPr>
        <w:jc w:val="both"/>
        <w:rPr>
          <w:b/>
        </w:rPr>
      </w:pPr>
    </w:p>
    <w:p w14:paraId="1F9E7F98" w14:textId="77777777" w:rsidR="00707240" w:rsidRDefault="00707240" w:rsidP="00B2378C"/>
    <w:p w14:paraId="1E91A723" w14:textId="77777777" w:rsidR="00707240" w:rsidRPr="00B2378C" w:rsidRDefault="00D25388" w:rsidP="00B2378C">
      <w:pPr>
        <w:rPr>
          <w:b/>
          <w:bCs/>
        </w:rPr>
      </w:pPr>
      <w:r w:rsidRPr="00B2378C">
        <w:rPr>
          <w:b/>
          <w:bCs/>
        </w:rPr>
        <w:t>APPEARANCES</w:t>
      </w:r>
      <w:r w:rsidR="00A86E12" w:rsidRPr="00B2378C">
        <w:rPr>
          <w:b/>
          <w:bCs/>
        </w:rPr>
        <w:t>:</w:t>
      </w:r>
      <w:r w:rsidR="00BD2A31" w:rsidRPr="00B2378C">
        <w:rPr>
          <w:b/>
          <w:bCs/>
        </w:rPr>
        <w:t xml:space="preserve"> </w:t>
      </w:r>
    </w:p>
    <w:p w14:paraId="54C5B70A" w14:textId="77777777" w:rsidR="00707240" w:rsidRDefault="00707240" w:rsidP="00B2378C">
      <w:pPr>
        <w:jc w:val="both"/>
      </w:pPr>
    </w:p>
    <w:p w14:paraId="400BE5DB" w14:textId="77777777" w:rsidR="00A86E12" w:rsidRDefault="00707240" w:rsidP="00B2378C">
      <w:r>
        <w:t>Counsel for the plaintiff</w:t>
      </w:r>
      <w:r>
        <w:tab/>
      </w:r>
      <w:r>
        <w:tab/>
        <w:t>:</w:t>
      </w:r>
      <w:r>
        <w:tab/>
        <w:t>A</w:t>
      </w:r>
      <w:r w:rsidR="00BA53D9">
        <w:t xml:space="preserve">dv </w:t>
      </w:r>
      <w:r w:rsidR="00374B62">
        <w:t>T</w:t>
      </w:r>
      <w:r w:rsidR="0094698E">
        <w:t xml:space="preserve">. </w:t>
      </w:r>
      <w:r w:rsidR="00374B62">
        <w:t>H</w:t>
      </w:r>
      <w:r w:rsidR="0094698E">
        <w:t>.</w:t>
      </w:r>
      <w:r w:rsidR="00374B62">
        <w:t xml:space="preserve"> </w:t>
      </w:r>
      <w:r w:rsidR="00BA53D9">
        <w:t>Melane</w:t>
      </w:r>
      <w:r w:rsidR="00812345">
        <w:t xml:space="preserve"> </w:t>
      </w:r>
    </w:p>
    <w:p w14:paraId="237DD9A1" w14:textId="77777777" w:rsidR="00812345" w:rsidRDefault="00D25388" w:rsidP="00707240">
      <w:pPr>
        <w:pStyle w:val="ListParagraph"/>
        <w:jc w:val="both"/>
      </w:pPr>
      <w:r>
        <w:t xml:space="preserve">                </w:t>
      </w:r>
      <w:r w:rsidR="00812345">
        <w:t xml:space="preserve">                                </w:t>
      </w:r>
    </w:p>
    <w:p w14:paraId="2E12AB83" w14:textId="77777777" w:rsidR="00812345" w:rsidRDefault="00812345" w:rsidP="00707240">
      <w:pPr>
        <w:pStyle w:val="ListParagraph"/>
        <w:jc w:val="both"/>
      </w:pPr>
    </w:p>
    <w:p w14:paraId="1D4A9902" w14:textId="77777777" w:rsidR="00812345" w:rsidRDefault="00812345" w:rsidP="00B2378C">
      <w:pPr>
        <w:spacing w:line="480" w:lineRule="auto"/>
        <w:jc w:val="both"/>
      </w:pPr>
      <w:r>
        <w:t xml:space="preserve">Instructed by </w:t>
      </w:r>
      <w:r w:rsidR="00D25388">
        <w:t xml:space="preserve"> </w:t>
      </w:r>
      <w:r>
        <w:t xml:space="preserve">                         </w:t>
      </w:r>
      <w:r w:rsidR="00D25388">
        <w:t xml:space="preserve"> </w:t>
      </w:r>
      <w:r>
        <w:t xml:space="preserve"> </w:t>
      </w:r>
      <w:r w:rsidR="00707240">
        <w:tab/>
        <w:t>:</w:t>
      </w:r>
      <w:r w:rsidR="00707240">
        <w:tab/>
      </w:r>
      <w:r w:rsidR="00BA53D9">
        <w:t xml:space="preserve">L.L </w:t>
      </w:r>
      <w:proofErr w:type="spellStart"/>
      <w:r w:rsidR="00BA53D9">
        <w:t>Ketani</w:t>
      </w:r>
      <w:proofErr w:type="spellEnd"/>
      <w:r w:rsidR="00BA53D9">
        <w:t xml:space="preserve"> Attorneys</w:t>
      </w:r>
    </w:p>
    <w:p w14:paraId="51DCA217" w14:textId="77777777" w:rsidR="00812345" w:rsidRDefault="00D25388" w:rsidP="00B2378C">
      <w:pPr>
        <w:pStyle w:val="ListParagraph"/>
        <w:spacing w:line="480" w:lineRule="auto"/>
        <w:jc w:val="both"/>
      </w:pPr>
      <w:r>
        <w:t xml:space="preserve">                       </w:t>
      </w:r>
      <w:r w:rsidR="00812345">
        <w:t xml:space="preserve">                 </w:t>
      </w:r>
      <w:r>
        <w:t xml:space="preserve">         </w:t>
      </w:r>
      <w:r w:rsidR="00707240">
        <w:tab/>
      </w:r>
      <w:r w:rsidR="00BA53D9">
        <w:t>Suite No: 138 &amp; 40</w:t>
      </w:r>
    </w:p>
    <w:p w14:paraId="18432752" w14:textId="77777777" w:rsidR="00812345" w:rsidRDefault="00D25388" w:rsidP="00B2378C">
      <w:pPr>
        <w:pStyle w:val="ListParagraph"/>
        <w:spacing w:line="480" w:lineRule="auto"/>
        <w:jc w:val="both"/>
      </w:pPr>
      <w:r>
        <w:t xml:space="preserve">                                                 </w:t>
      </w:r>
      <w:r w:rsidR="00812345">
        <w:t xml:space="preserve"> </w:t>
      </w:r>
      <w:r w:rsidR="00707240">
        <w:tab/>
      </w:r>
      <w:r w:rsidR="00BA53D9">
        <w:t>EDC Building</w:t>
      </w:r>
      <w:r w:rsidR="00A915D3">
        <w:t xml:space="preserve">, </w:t>
      </w:r>
      <w:proofErr w:type="spellStart"/>
      <w:r w:rsidR="00A915D3">
        <w:t>Cnr</w:t>
      </w:r>
      <w:proofErr w:type="spellEnd"/>
      <w:r w:rsidR="00A915D3">
        <w:t xml:space="preserve"> York Road</w:t>
      </w:r>
      <w:r w:rsidR="00707240">
        <w:t xml:space="preserve"> </w:t>
      </w:r>
      <w:r w:rsidR="00A915D3">
        <w:t>&amp; Elliot</w:t>
      </w:r>
      <w:r w:rsidR="00707240">
        <w:t xml:space="preserve"> </w:t>
      </w:r>
      <w:r w:rsidR="00A915D3">
        <w:t>Street</w:t>
      </w:r>
    </w:p>
    <w:p w14:paraId="63483BE5" w14:textId="77777777" w:rsidR="00707240" w:rsidRDefault="00812345" w:rsidP="00707240">
      <w:pPr>
        <w:pStyle w:val="ListParagraph"/>
        <w:spacing w:line="480" w:lineRule="auto"/>
        <w:jc w:val="both"/>
      </w:pPr>
      <w:r>
        <w:t xml:space="preserve">                              </w:t>
      </w:r>
      <w:r w:rsidR="00D25388">
        <w:t xml:space="preserve">                   </w:t>
      </w:r>
      <w:r>
        <w:t xml:space="preserve">  </w:t>
      </w:r>
      <w:r w:rsidR="00707240">
        <w:tab/>
      </w:r>
      <w:r>
        <w:t>Mthatha</w:t>
      </w:r>
    </w:p>
    <w:p w14:paraId="652EA87D" w14:textId="77777777" w:rsidR="00707240" w:rsidRDefault="00707240" w:rsidP="00B2378C"/>
    <w:p w14:paraId="4A02BD9E" w14:textId="77777777" w:rsidR="00812345" w:rsidRDefault="00812345" w:rsidP="00B2378C">
      <w:r>
        <w:t>Counse</w:t>
      </w:r>
      <w:r w:rsidR="00D46620">
        <w:t>l for the d</w:t>
      </w:r>
      <w:r>
        <w:t>efendant</w:t>
      </w:r>
      <w:r w:rsidR="00707240">
        <w:tab/>
      </w:r>
      <w:r w:rsidR="00707240">
        <w:tab/>
        <w:t>:</w:t>
      </w:r>
      <w:r w:rsidR="00707240">
        <w:tab/>
      </w:r>
      <w:r w:rsidR="00707240" w:rsidRPr="00707240">
        <w:t xml:space="preserve"> Adv </w:t>
      </w:r>
      <w:r w:rsidR="00374B62">
        <w:t>V</w:t>
      </w:r>
      <w:r w:rsidR="0094698E">
        <w:t>.</w:t>
      </w:r>
      <w:r w:rsidR="00374B62">
        <w:t xml:space="preserve"> </w:t>
      </w:r>
      <w:proofErr w:type="spellStart"/>
      <w:r w:rsidR="00707240" w:rsidRPr="00707240">
        <w:t>Calaza</w:t>
      </w:r>
      <w:proofErr w:type="spellEnd"/>
    </w:p>
    <w:p w14:paraId="66313A0D" w14:textId="77777777" w:rsidR="00707240" w:rsidRDefault="00812345" w:rsidP="00707240">
      <w:pPr>
        <w:pStyle w:val="ListParagraph"/>
        <w:jc w:val="both"/>
      </w:pPr>
      <w:r>
        <w:t xml:space="preserve"> </w:t>
      </w:r>
      <w:r w:rsidR="00D25388">
        <w:t xml:space="preserve">                                        </w:t>
      </w:r>
      <w:r w:rsidR="006C33F4">
        <w:t xml:space="preserve">     </w:t>
      </w:r>
      <w:r w:rsidR="00D25388">
        <w:t xml:space="preserve">     </w:t>
      </w:r>
    </w:p>
    <w:p w14:paraId="098CF4E5" w14:textId="77777777" w:rsidR="00812345" w:rsidRDefault="00812345" w:rsidP="00B2378C">
      <w:pPr>
        <w:spacing w:line="480" w:lineRule="auto"/>
        <w:jc w:val="both"/>
      </w:pPr>
      <w:r>
        <w:t>Instructed by</w:t>
      </w:r>
      <w:r w:rsidR="00707240">
        <w:tab/>
      </w:r>
      <w:r w:rsidR="00707240">
        <w:tab/>
      </w:r>
      <w:r w:rsidR="00707240">
        <w:tab/>
      </w:r>
      <w:r w:rsidR="00707240">
        <w:tab/>
      </w:r>
      <w:r>
        <w:t>:</w:t>
      </w:r>
      <w:r w:rsidR="00707240">
        <w:tab/>
      </w:r>
      <w:r>
        <w:t xml:space="preserve"> </w:t>
      </w:r>
      <w:r w:rsidR="00D25388">
        <w:t xml:space="preserve">State Attorney                                    </w:t>
      </w:r>
    </w:p>
    <w:p w14:paraId="7F9BA571" w14:textId="77777777" w:rsidR="00812345" w:rsidRDefault="00D25388" w:rsidP="00B2378C">
      <w:pPr>
        <w:pStyle w:val="ListParagraph"/>
        <w:spacing w:line="480" w:lineRule="auto"/>
      </w:pPr>
      <w:r>
        <w:t xml:space="preserve">                     </w:t>
      </w:r>
      <w:r w:rsidR="006C33F4">
        <w:t xml:space="preserve">                            </w:t>
      </w:r>
      <w:r>
        <w:t xml:space="preserve">  </w:t>
      </w:r>
      <w:r w:rsidR="00707240">
        <w:tab/>
      </w:r>
      <w:r>
        <w:t>D</w:t>
      </w:r>
      <w:r w:rsidR="00812345">
        <w:t>efendant’s Attorney</w:t>
      </w:r>
    </w:p>
    <w:p w14:paraId="1126DF5B" w14:textId="77777777" w:rsidR="00D25388" w:rsidRDefault="00D25388" w:rsidP="00B2378C">
      <w:pPr>
        <w:pStyle w:val="ListParagraph"/>
        <w:spacing w:line="480" w:lineRule="auto"/>
      </w:pPr>
      <w:r>
        <w:t xml:space="preserve">                    </w:t>
      </w:r>
      <w:r w:rsidR="006C33F4">
        <w:t xml:space="preserve">                            </w:t>
      </w:r>
      <w:r>
        <w:t xml:space="preserve">  </w:t>
      </w:r>
      <w:r w:rsidR="00707240">
        <w:tab/>
      </w:r>
      <w:r>
        <w:t>B</w:t>
      </w:r>
      <w:r w:rsidR="00812345">
        <w:t>roadcast House</w:t>
      </w:r>
      <w:r>
        <w:t xml:space="preserve">, 94 </w:t>
      </w:r>
      <w:r w:rsidR="006C33F4">
        <w:t>Sisson Street</w:t>
      </w:r>
      <w:r>
        <w:t xml:space="preserve">,                 </w:t>
      </w:r>
    </w:p>
    <w:p w14:paraId="1B5370EA" w14:textId="77777777" w:rsidR="00812345" w:rsidRDefault="00D25388" w:rsidP="00707240">
      <w:pPr>
        <w:pStyle w:val="ListParagraph"/>
        <w:spacing w:line="480" w:lineRule="auto"/>
      </w:pPr>
      <w:r>
        <w:t xml:space="preserve">                   </w:t>
      </w:r>
      <w:r w:rsidR="006C33F4">
        <w:t xml:space="preserve">                          </w:t>
      </w:r>
      <w:r>
        <w:t xml:space="preserve">      </w:t>
      </w:r>
      <w:r w:rsidR="00707240">
        <w:tab/>
      </w:r>
      <w:r>
        <w:t>MTHATHA</w:t>
      </w:r>
    </w:p>
    <w:p w14:paraId="6B1F8617" w14:textId="77777777" w:rsidR="00707240" w:rsidRDefault="00707240" w:rsidP="00B2378C">
      <w:pPr>
        <w:pStyle w:val="ListParagraph"/>
        <w:spacing w:line="480" w:lineRule="auto"/>
      </w:pPr>
    </w:p>
    <w:p w14:paraId="33680C54" w14:textId="77777777" w:rsidR="00812345" w:rsidRDefault="00812345" w:rsidP="00A86E12">
      <w:pPr>
        <w:pStyle w:val="ListParagraph"/>
        <w:jc w:val="both"/>
      </w:pPr>
      <w:r>
        <w:t xml:space="preserve">                                </w:t>
      </w:r>
    </w:p>
    <w:p w14:paraId="39ADC29D" w14:textId="77777777" w:rsidR="006C33F4" w:rsidRDefault="006C33F4" w:rsidP="006C33F4">
      <w:pPr>
        <w:tabs>
          <w:tab w:val="left" w:pos="851"/>
        </w:tabs>
        <w:jc w:val="both"/>
        <w:rPr>
          <w:b/>
          <w:lang w:val="en-GB"/>
        </w:rPr>
      </w:pPr>
      <w:r>
        <w:rPr>
          <w:b/>
          <w:lang w:val="en-GB"/>
        </w:rPr>
        <w:t>DATE HEARD</w:t>
      </w:r>
      <w:r w:rsidR="00707240">
        <w:rPr>
          <w:b/>
          <w:lang w:val="en-GB"/>
        </w:rPr>
        <w:tab/>
      </w:r>
      <w:r w:rsidR="00707240">
        <w:rPr>
          <w:b/>
          <w:lang w:val="en-GB"/>
        </w:rPr>
        <w:tab/>
      </w:r>
      <w:r w:rsidR="00707240">
        <w:rPr>
          <w:b/>
          <w:lang w:val="en-GB"/>
        </w:rPr>
        <w:tab/>
      </w:r>
      <w:r>
        <w:rPr>
          <w:b/>
          <w:lang w:val="en-GB"/>
        </w:rPr>
        <w:t xml:space="preserve">:         </w:t>
      </w:r>
      <w:r w:rsidR="00C60D60">
        <w:rPr>
          <w:b/>
          <w:lang w:val="en-GB"/>
        </w:rPr>
        <w:t xml:space="preserve">03 </w:t>
      </w:r>
      <w:r w:rsidR="00A915D3">
        <w:rPr>
          <w:b/>
          <w:lang w:val="en-GB"/>
        </w:rPr>
        <w:t>November 2023</w:t>
      </w:r>
    </w:p>
    <w:p w14:paraId="5A0FE18B" w14:textId="77777777" w:rsidR="006C33F4" w:rsidRDefault="006C33F4" w:rsidP="006C33F4">
      <w:pPr>
        <w:tabs>
          <w:tab w:val="left" w:pos="851"/>
        </w:tabs>
        <w:jc w:val="both"/>
        <w:rPr>
          <w:b/>
          <w:lang w:val="en-GB"/>
        </w:rPr>
      </w:pPr>
    </w:p>
    <w:p w14:paraId="2E4C698A" w14:textId="77777777" w:rsidR="006C33F4" w:rsidRPr="00A915D3" w:rsidRDefault="006C33F4" w:rsidP="006C33F4">
      <w:pPr>
        <w:tabs>
          <w:tab w:val="left" w:pos="851"/>
        </w:tabs>
        <w:jc w:val="both"/>
        <w:rPr>
          <w:b/>
          <w:lang w:val="en-GB"/>
        </w:rPr>
      </w:pPr>
      <w:r>
        <w:rPr>
          <w:b/>
          <w:lang w:val="en-GB"/>
        </w:rPr>
        <w:t>DATE DELIVERED</w:t>
      </w:r>
      <w:r w:rsidR="00707240">
        <w:rPr>
          <w:b/>
          <w:lang w:val="en-GB"/>
        </w:rPr>
        <w:tab/>
      </w:r>
      <w:r w:rsidR="00707240">
        <w:rPr>
          <w:b/>
          <w:lang w:val="en-GB"/>
        </w:rPr>
        <w:tab/>
      </w:r>
      <w:r w:rsidR="00707240">
        <w:rPr>
          <w:b/>
          <w:lang w:val="en-GB"/>
        </w:rPr>
        <w:tab/>
      </w:r>
      <w:r>
        <w:rPr>
          <w:b/>
          <w:lang w:val="en-GB"/>
        </w:rPr>
        <w:t>:</w:t>
      </w:r>
      <w:r>
        <w:rPr>
          <w:lang w:val="en-GB"/>
        </w:rPr>
        <w:t xml:space="preserve"> </w:t>
      </w:r>
      <w:r w:rsidR="00707240">
        <w:rPr>
          <w:lang w:val="en-GB"/>
        </w:rPr>
        <w:tab/>
      </w:r>
      <w:r w:rsidR="00A915D3" w:rsidRPr="00A915D3">
        <w:rPr>
          <w:b/>
          <w:lang w:val="en-GB"/>
        </w:rPr>
        <w:t>14 November 2023</w:t>
      </w:r>
    </w:p>
    <w:p w14:paraId="44799705" w14:textId="77777777" w:rsidR="00812345" w:rsidRPr="00A86E12" w:rsidRDefault="00812345" w:rsidP="00A86E12">
      <w:pPr>
        <w:pStyle w:val="ListParagraph"/>
        <w:jc w:val="both"/>
        <w:rPr>
          <w:b/>
        </w:rPr>
      </w:pPr>
    </w:p>
    <w:p w14:paraId="07A36406" w14:textId="77777777" w:rsidR="00D60B4C" w:rsidRDefault="00D60B4C" w:rsidP="00D60B4C">
      <w:pPr>
        <w:pStyle w:val="ListParagraph"/>
      </w:pPr>
    </w:p>
    <w:p w14:paraId="2240FF6A" w14:textId="77777777" w:rsidR="00A52CC7" w:rsidRDefault="00A52CC7" w:rsidP="00D60B4C">
      <w:pPr>
        <w:pStyle w:val="ListParagraph"/>
      </w:pPr>
    </w:p>
    <w:sectPr w:rsidR="00A52CC7" w:rsidSect="004F0FEF">
      <w:headerReference w:type="default" r:id="rId12"/>
      <w:footerReference w:type="default" r:id="rId13"/>
      <w:footerReference w:type="first" r:id="rId14"/>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8514" w14:textId="77777777" w:rsidR="00E2563A" w:rsidRDefault="00E2563A" w:rsidP="00C91BD0">
      <w:pPr>
        <w:spacing w:line="240" w:lineRule="auto"/>
      </w:pPr>
      <w:r>
        <w:separator/>
      </w:r>
    </w:p>
  </w:endnote>
  <w:endnote w:type="continuationSeparator" w:id="0">
    <w:p w14:paraId="26213238" w14:textId="77777777" w:rsidR="00E2563A" w:rsidRDefault="00E2563A" w:rsidP="00C91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9648" w14:textId="77777777" w:rsidR="000F37DB" w:rsidRDefault="000F37DB">
    <w:pPr>
      <w:pStyle w:val="Footer"/>
      <w:pBdr>
        <w:top w:val="single" w:sz="4" w:space="1" w:color="D9D9D9" w:themeColor="background1" w:themeShade="D9"/>
      </w:pBdr>
      <w:rPr>
        <w:b/>
        <w:bCs/>
      </w:rPr>
    </w:pPr>
  </w:p>
  <w:p w14:paraId="36570C7E" w14:textId="77777777" w:rsidR="000F37DB" w:rsidRDefault="000F3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CA79" w14:textId="77777777" w:rsidR="000F37DB" w:rsidRDefault="000F37DB">
    <w:pPr>
      <w:pStyle w:val="Footer"/>
      <w:pBdr>
        <w:top w:val="single" w:sz="4" w:space="1" w:color="D9D9D9" w:themeColor="background1" w:themeShade="D9"/>
      </w:pBdr>
      <w:rPr>
        <w:b/>
        <w:bCs/>
      </w:rPr>
    </w:pPr>
  </w:p>
  <w:p w14:paraId="3F0F3363" w14:textId="77777777" w:rsidR="000F37DB" w:rsidRDefault="000F3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10E8" w14:textId="77777777" w:rsidR="00E2563A" w:rsidRDefault="00E2563A" w:rsidP="00C91BD0">
      <w:pPr>
        <w:spacing w:line="240" w:lineRule="auto"/>
      </w:pPr>
      <w:r>
        <w:separator/>
      </w:r>
    </w:p>
  </w:footnote>
  <w:footnote w:type="continuationSeparator" w:id="0">
    <w:p w14:paraId="4C034ED1" w14:textId="77777777" w:rsidR="00E2563A" w:rsidRDefault="00E2563A" w:rsidP="00C91BD0">
      <w:pPr>
        <w:spacing w:line="240" w:lineRule="auto"/>
      </w:pPr>
      <w:r>
        <w:continuationSeparator/>
      </w:r>
    </w:p>
  </w:footnote>
  <w:footnote w:id="1">
    <w:p w14:paraId="272C1DD2" w14:textId="77777777" w:rsidR="000F37DB" w:rsidRDefault="000F37DB" w:rsidP="00707240">
      <w:pPr>
        <w:pStyle w:val="FootnoteText"/>
      </w:pPr>
      <w:r>
        <w:rPr>
          <w:rStyle w:val="FootnoteReference"/>
        </w:rPr>
        <w:footnoteRef/>
      </w:r>
      <w:r>
        <w:t xml:space="preserve"> Act 51 of 1977.</w:t>
      </w:r>
    </w:p>
  </w:footnote>
  <w:footnote w:id="2">
    <w:p w14:paraId="6280CB64" w14:textId="77777777" w:rsidR="000F37DB" w:rsidRPr="00F51371" w:rsidRDefault="000F37DB" w:rsidP="00707240">
      <w:pPr>
        <w:pStyle w:val="FootnoteText"/>
      </w:pPr>
      <w:r>
        <w:rPr>
          <w:rStyle w:val="FootnoteReference"/>
        </w:rPr>
        <w:footnoteRef/>
      </w:r>
      <w:r w:rsidRPr="00F51371">
        <w:t xml:space="preserve">  </w:t>
      </w:r>
      <w:r w:rsidRPr="00F51371">
        <w:t>S v Loubser 1977(4) SA 546 (T) 549.</w:t>
      </w:r>
    </w:p>
  </w:footnote>
  <w:footnote w:id="3">
    <w:p w14:paraId="0207ADD3" w14:textId="77777777" w:rsidR="000F37DB" w:rsidRPr="005C54F4" w:rsidRDefault="000F37DB" w:rsidP="00707240">
      <w:pPr>
        <w:pStyle w:val="FootnoteText"/>
      </w:pPr>
      <w:r w:rsidRPr="005C54F4">
        <w:rPr>
          <w:rStyle w:val="FootnoteReference"/>
        </w:rPr>
        <w:footnoteRef/>
      </w:r>
      <w:r w:rsidRPr="005C54F4">
        <w:t xml:space="preserve"> </w:t>
      </w:r>
      <w:hyperlink r:id="rId1" w:tgtFrame="main" w:history="1">
        <w:r w:rsidRPr="005C54F4">
          <w:rPr>
            <w:rFonts w:eastAsia="Times New Roman"/>
            <w:lang w:eastAsia="en-ZA"/>
          </w:rPr>
          <w:t>1950 (3) SA 88 (T)</w:t>
        </w:r>
      </w:hyperlink>
      <w:r w:rsidR="0099211E">
        <w:rPr>
          <w:rFonts w:eastAsia="Times New Roman"/>
          <w:lang w:eastAsia="en-ZA"/>
        </w:rPr>
        <w:t>.</w:t>
      </w:r>
    </w:p>
  </w:footnote>
  <w:footnote w:id="4">
    <w:p w14:paraId="7BA419BE" w14:textId="77777777" w:rsidR="000F37DB" w:rsidRPr="00707240" w:rsidRDefault="000F37DB">
      <w:pPr>
        <w:pStyle w:val="FootnoteText"/>
      </w:pPr>
      <w:r>
        <w:rPr>
          <w:rStyle w:val="FootnoteReference"/>
        </w:rPr>
        <w:footnoteRef/>
      </w:r>
      <w:r>
        <w:t xml:space="preserve"> Supra note 3 at 93A</w:t>
      </w:r>
      <w:r w:rsidR="0099211E">
        <w:t>.</w:t>
      </w:r>
    </w:p>
  </w:footnote>
  <w:footnote w:id="5">
    <w:p w14:paraId="617C80AA" w14:textId="77777777" w:rsidR="000F37DB" w:rsidRPr="00707240" w:rsidRDefault="000F37DB" w:rsidP="00F51371">
      <w:pPr>
        <w:pStyle w:val="FootnoteText"/>
        <w:jc w:val="both"/>
      </w:pPr>
      <w:r w:rsidRPr="00707240">
        <w:rPr>
          <w:rStyle w:val="FootnoteReference"/>
        </w:rPr>
        <w:footnoteRef/>
      </w:r>
      <w:r w:rsidRPr="00707240">
        <w:t xml:space="preserve"> </w:t>
      </w:r>
      <w:r w:rsidRPr="00707240">
        <w:t>Snyman Criminal Law 7</w:t>
      </w:r>
      <w:r w:rsidRPr="00707240">
        <w:rPr>
          <w:vertAlign w:val="superscript"/>
        </w:rPr>
        <w:t>th</w:t>
      </w:r>
      <w:r w:rsidRPr="00707240">
        <w:t xml:space="preserve"> edition, Chapter XVII</w:t>
      </w:r>
      <w:r w:rsidR="0099211E">
        <w:t>I</w:t>
      </w:r>
      <w:r w:rsidRPr="00707240">
        <w:t xml:space="preserve"> P</w:t>
      </w:r>
      <w:r w:rsidR="0099211E">
        <w:t xml:space="preserve">age </w:t>
      </w:r>
      <w:r w:rsidRPr="00707240">
        <w:t>421.</w:t>
      </w:r>
    </w:p>
  </w:footnote>
  <w:footnote w:id="6">
    <w:p w14:paraId="0060E73B" w14:textId="77777777" w:rsidR="000F37DB" w:rsidRPr="00707240" w:rsidRDefault="000F37DB" w:rsidP="00F51371">
      <w:pPr>
        <w:pStyle w:val="FootnoteText"/>
        <w:jc w:val="both"/>
      </w:pPr>
      <w:r w:rsidRPr="00707240">
        <w:rPr>
          <w:rStyle w:val="FootnoteReference"/>
        </w:rPr>
        <w:footnoteRef/>
      </w:r>
      <w:r w:rsidRPr="00707240">
        <w:t xml:space="preserve"> </w:t>
      </w:r>
      <w:r w:rsidRPr="00707240">
        <w:t>Minister of Law and Order v Hurley and Another 1986(3) SA 568(A). At page 589, paragraphs E-F, the following was said, ‘an arrest constitutes an interference with the liberty of the individual concerned, and it therefore seems fair and just that the person who arrested or caused the arrest of person should bear the onus of proving that his action was justified in law’; see also Mhaga v Minister of Safety and Security [2001] 3 ALL SA 255(Tk); Scheepers v Minister of Police 2015</w:t>
      </w:r>
      <w:r>
        <w:t xml:space="preserve"> </w:t>
      </w:r>
      <w:r w:rsidRPr="00707240">
        <w:t>(1) SACR 284</w:t>
      </w:r>
      <w:r>
        <w:t xml:space="preserve"> </w:t>
      </w:r>
      <w:r w:rsidRPr="00707240">
        <w:t>(ECG) paragraph [2] at 287C; Minister of Police v Du Plessis [2014]</w:t>
      </w:r>
      <w:r>
        <w:t xml:space="preserve"> </w:t>
      </w:r>
      <w:r w:rsidRPr="00707240">
        <w:t>(1) SACR 217 SCA paragraphs [9] and [10] at 342H to 343 B.</w:t>
      </w:r>
    </w:p>
  </w:footnote>
  <w:footnote w:id="7">
    <w:p w14:paraId="2093845F" w14:textId="77777777" w:rsidR="000F37DB" w:rsidRPr="00707240" w:rsidRDefault="000F37DB" w:rsidP="00F51371">
      <w:pPr>
        <w:pStyle w:val="FootnoteText"/>
        <w:jc w:val="both"/>
      </w:pPr>
      <w:r w:rsidRPr="00707240">
        <w:rPr>
          <w:rStyle w:val="FootnoteReference"/>
        </w:rPr>
        <w:footnoteRef/>
      </w:r>
      <w:r w:rsidRPr="00707240">
        <w:t xml:space="preserve"> </w:t>
      </w:r>
      <w:r w:rsidRPr="00707240">
        <w:t>2008</w:t>
      </w:r>
      <w:r>
        <w:t xml:space="preserve"> </w:t>
      </w:r>
      <w:r w:rsidRPr="00707240">
        <w:t>(2) SACR 1</w:t>
      </w:r>
      <w:r>
        <w:t xml:space="preserve"> (CC) at para 25</w:t>
      </w:r>
      <w:r w:rsidRPr="00707240">
        <w:t>.</w:t>
      </w:r>
    </w:p>
  </w:footnote>
  <w:footnote w:id="8">
    <w:p w14:paraId="564A045B" w14:textId="77777777" w:rsidR="000F37DB" w:rsidRPr="00707240" w:rsidRDefault="000F37DB" w:rsidP="00F51371">
      <w:pPr>
        <w:pStyle w:val="FootnoteText"/>
      </w:pPr>
      <w:r w:rsidRPr="00707240">
        <w:rPr>
          <w:rStyle w:val="FootnoteReference"/>
        </w:rPr>
        <w:footnoteRef/>
      </w:r>
      <w:r w:rsidRPr="00707240">
        <w:t xml:space="preserve"> </w:t>
      </w:r>
      <w:r w:rsidRPr="00707240">
        <w:t>Act 108 of 1996, the Constitution.</w:t>
      </w:r>
    </w:p>
  </w:footnote>
  <w:footnote w:id="9">
    <w:p w14:paraId="70960919" w14:textId="77777777" w:rsidR="000F37DB" w:rsidRPr="00707240" w:rsidRDefault="000F37DB" w:rsidP="00F51371">
      <w:pPr>
        <w:pStyle w:val="FootnoteText"/>
      </w:pPr>
      <w:r w:rsidRPr="00707240">
        <w:rPr>
          <w:rStyle w:val="FootnoteReference"/>
        </w:rPr>
        <w:footnoteRef/>
      </w:r>
      <w:r w:rsidRPr="00707240">
        <w:t xml:space="preserve"> 2021 [4] SA (CC) at para.14; see also Sabisa and Another v Minister of Police (2889/2016[2023] ZAECMHC 30 (20 June 2023).</w:t>
      </w:r>
    </w:p>
  </w:footnote>
  <w:footnote w:id="10">
    <w:p w14:paraId="46E7EF74" w14:textId="77777777" w:rsidR="000F37DB" w:rsidRPr="00A039E8" w:rsidRDefault="000F37DB" w:rsidP="00B2378C">
      <w:pPr>
        <w:jc w:val="both"/>
      </w:pPr>
      <w:r w:rsidRPr="00A039E8">
        <w:rPr>
          <w:rStyle w:val="FootnoteReference"/>
          <w:sz w:val="20"/>
          <w:szCs w:val="20"/>
        </w:rPr>
        <w:footnoteRef/>
      </w:r>
      <w:r w:rsidRPr="00A039E8">
        <w:rPr>
          <w:sz w:val="20"/>
          <w:szCs w:val="20"/>
        </w:rPr>
        <w:t xml:space="preserve"> </w:t>
      </w:r>
      <w:r w:rsidRPr="00B2378C">
        <w:rPr>
          <w:bCs/>
          <w:sz w:val="20"/>
          <w:szCs w:val="20"/>
        </w:rPr>
        <w:t xml:space="preserve">Stellenbosch Famer’s Winery Group Ltd and Another v Martell </w:t>
      </w:r>
      <w:r w:rsidRPr="00B2378C">
        <w:rPr>
          <w:bCs/>
          <w:sz w:val="20"/>
          <w:szCs w:val="20"/>
        </w:rPr>
        <w:t>et Cie and Others</w:t>
      </w:r>
      <w:r w:rsidRPr="00740E32">
        <w:rPr>
          <w:sz w:val="20"/>
          <w:szCs w:val="20"/>
        </w:rPr>
        <w:t xml:space="preserve"> </w:t>
      </w:r>
      <w:r w:rsidRPr="00A039E8">
        <w:rPr>
          <w:rFonts w:eastAsia="Times New Roman"/>
          <w:sz w:val="20"/>
          <w:szCs w:val="20"/>
          <w:lang w:eastAsia="en-ZA"/>
        </w:rPr>
        <w:t>2003 (1) SA 11</w:t>
      </w:r>
      <w:r>
        <w:rPr>
          <w:rFonts w:eastAsia="Times New Roman"/>
          <w:sz w:val="20"/>
          <w:szCs w:val="20"/>
          <w:lang w:eastAsia="en-ZA"/>
        </w:rPr>
        <w:t xml:space="preserve"> (SCA) at para 5.</w:t>
      </w:r>
    </w:p>
  </w:footnote>
  <w:footnote w:id="11">
    <w:p w14:paraId="4ADA1A38" w14:textId="77777777" w:rsidR="000F37DB" w:rsidRPr="00B2378C" w:rsidRDefault="000F37DB" w:rsidP="00707240">
      <w:pPr>
        <w:pStyle w:val="FootnoteText"/>
      </w:pPr>
      <w:r>
        <w:rPr>
          <w:rStyle w:val="FootnoteReference"/>
        </w:rPr>
        <w:footnoteRef/>
      </w:r>
      <w:r w:rsidRPr="00B2378C">
        <w:t xml:space="preserve"> </w:t>
      </w:r>
      <w:r w:rsidRPr="00B2378C">
        <w:t xml:space="preserve">Santam bpk v Biddulph [2004] 2 All SA 23 (SCA) at </w:t>
      </w:r>
      <w:r w:rsidRPr="00B2378C">
        <w:t>para 6.</w:t>
      </w:r>
    </w:p>
  </w:footnote>
  <w:footnote w:id="12">
    <w:p w14:paraId="2C2CB175" w14:textId="77777777" w:rsidR="000F37DB" w:rsidRDefault="000F37DB" w:rsidP="00B2378C">
      <w:pPr>
        <w:pStyle w:val="NoSpacing"/>
        <w:spacing w:line="360" w:lineRule="auto"/>
        <w:jc w:val="both"/>
      </w:pPr>
      <w:r w:rsidRPr="00707240">
        <w:rPr>
          <w:rStyle w:val="FootnoteReference"/>
          <w:sz w:val="20"/>
          <w:szCs w:val="20"/>
        </w:rPr>
        <w:footnoteRef/>
      </w:r>
      <w:r w:rsidRPr="00707240">
        <w:rPr>
          <w:sz w:val="20"/>
          <w:szCs w:val="20"/>
        </w:rPr>
        <w:t xml:space="preserve"> </w:t>
      </w:r>
      <w:r>
        <w:rPr>
          <w:sz w:val="20"/>
          <w:szCs w:val="20"/>
        </w:rPr>
        <w:t xml:space="preserve">Supra note </w:t>
      </w:r>
      <w:r w:rsidRPr="00707240">
        <w:rPr>
          <w:sz w:val="20"/>
          <w:szCs w:val="20"/>
        </w:rPr>
        <w:t>3.</w:t>
      </w:r>
    </w:p>
  </w:footnote>
  <w:footnote w:id="13">
    <w:p w14:paraId="49A0AA8C" w14:textId="77777777" w:rsidR="00DB500D" w:rsidRPr="00C5291D" w:rsidRDefault="00DB500D">
      <w:pPr>
        <w:pStyle w:val="FootnoteText"/>
        <w:rPr>
          <w:lang w:val="en-US"/>
        </w:rPr>
      </w:pPr>
      <w:r>
        <w:rPr>
          <w:rStyle w:val="FootnoteReference"/>
        </w:rPr>
        <w:footnoteRef/>
      </w:r>
      <w:r>
        <w:t xml:space="preserve"> </w:t>
      </w:r>
      <w:r w:rsidR="004C6231">
        <w:t>Duncan v Minister of Law and Order for the Republic of South Africa (38/1985) [1986] ZASCA</w:t>
      </w:r>
      <w:r w:rsidR="00C5291D">
        <w:t>.</w:t>
      </w:r>
      <w:r w:rsidR="004C6231">
        <w:t xml:space="preserve"> 24;Minister of Safety and Security</w:t>
      </w:r>
      <w:r w:rsidR="00C5291D">
        <w:t xml:space="preserve"> v </w:t>
      </w:r>
      <w:r w:rsidR="00C5291D">
        <w:t>Sekhoto (131/10) [2010] ZASCA 141(19 November 2010).</w:t>
      </w:r>
    </w:p>
  </w:footnote>
  <w:footnote w:id="14">
    <w:p w14:paraId="33BB9CEB" w14:textId="77777777" w:rsidR="004C6231" w:rsidRPr="00C5291D" w:rsidRDefault="004C6231">
      <w:pPr>
        <w:pStyle w:val="FootnoteText"/>
        <w:rPr>
          <w:lang w:val="en-US"/>
        </w:rPr>
      </w:pPr>
      <w:r>
        <w:rPr>
          <w:rStyle w:val="FootnoteReference"/>
        </w:rPr>
        <w:footnoteRef/>
      </w:r>
      <w:r>
        <w:t xml:space="preserve"> </w:t>
      </w:r>
      <w:r>
        <w:rPr>
          <w:lang w:val="en-US"/>
        </w:rPr>
        <w:t>Minister of Safety and Security v Slabbert (668/2008</w:t>
      </w:r>
      <w:r>
        <w:rPr>
          <w:lang w:val="en-US"/>
        </w:rPr>
        <w:t>)[2009]ZASCA 163 (30 November 2009)</w:t>
      </w:r>
      <w:r w:rsidR="00C5291D">
        <w:rPr>
          <w:lang w:val="en-US"/>
        </w:rPr>
        <w:t>.</w:t>
      </w:r>
    </w:p>
  </w:footnote>
  <w:footnote w:id="15">
    <w:p w14:paraId="3F7FB7F7" w14:textId="77777777" w:rsidR="000F37DB" w:rsidRPr="00707240" w:rsidRDefault="000F37DB" w:rsidP="00B2378C">
      <w:pPr>
        <w:pStyle w:val="NoSpacing"/>
        <w:spacing w:line="360" w:lineRule="auto"/>
        <w:jc w:val="both"/>
      </w:pPr>
      <w:r w:rsidRPr="00707240">
        <w:rPr>
          <w:rStyle w:val="FootnoteReference"/>
          <w:sz w:val="20"/>
          <w:szCs w:val="20"/>
        </w:rPr>
        <w:footnoteRef/>
      </w:r>
      <w:r w:rsidRPr="00707240">
        <w:rPr>
          <w:sz w:val="20"/>
          <w:szCs w:val="20"/>
        </w:rPr>
        <w:t xml:space="preserve"> Section 205 (3) Constitutions empowers police officers to prevent, combat and investigate crime, to maintain public order and to protect and secure inhabitants of the Republic, and to uphold and enforce the law. The South African Police Act, on the other hand, permits police officers to exercise their authority and to carry out the responsibilities granted to or delegated to them by law, subject to the Constitution and with proper consideration for each person’s fundamental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399237"/>
      <w:docPartObj>
        <w:docPartGallery w:val="Page Numbers (Top of Page)"/>
        <w:docPartUnique/>
      </w:docPartObj>
    </w:sdtPr>
    <w:sdtContent>
      <w:p w14:paraId="69791DC8" w14:textId="77777777" w:rsidR="000F37DB" w:rsidRDefault="000F37DB">
        <w:pPr>
          <w:pStyle w:val="Header"/>
          <w:jc w:val="right"/>
        </w:pPr>
        <w:r>
          <w:fldChar w:fldCharType="begin"/>
        </w:r>
        <w:r>
          <w:instrText>PAGE   \* MERGEFORMAT</w:instrText>
        </w:r>
        <w:r>
          <w:fldChar w:fldCharType="separate"/>
        </w:r>
        <w:r w:rsidRPr="008C3931">
          <w:rPr>
            <w:noProof/>
            <w:lang w:val="en-GB"/>
          </w:rPr>
          <w:t>17</w:t>
        </w:r>
        <w:r>
          <w:fldChar w:fldCharType="end"/>
        </w:r>
        <w:r>
          <w:t xml:space="preserve"> of 16</w:t>
        </w:r>
      </w:p>
    </w:sdtContent>
  </w:sdt>
  <w:p w14:paraId="66786130" w14:textId="77777777" w:rsidR="000F37DB" w:rsidRDefault="000F3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4B4"/>
    <w:multiLevelType w:val="hybridMultilevel"/>
    <w:tmpl w:val="757EEF98"/>
    <w:lvl w:ilvl="0" w:tplc="B4AA4BCE">
      <w:start w:val="4"/>
      <w:numFmt w:val="lowerLetter"/>
      <w:lvlText w:val="(%1)"/>
      <w:lvlJc w:val="left"/>
      <w:pPr>
        <w:ind w:left="2591" w:hanging="360"/>
      </w:pPr>
      <w:rPr>
        <w:rFonts w:hint="default"/>
      </w:rPr>
    </w:lvl>
    <w:lvl w:ilvl="1" w:tplc="1C090019" w:tentative="1">
      <w:start w:val="1"/>
      <w:numFmt w:val="lowerLetter"/>
      <w:lvlText w:val="%2."/>
      <w:lvlJc w:val="left"/>
      <w:pPr>
        <w:ind w:left="3311" w:hanging="360"/>
      </w:pPr>
    </w:lvl>
    <w:lvl w:ilvl="2" w:tplc="1C09001B" w:tentative="1">
      <w:start w:val="1"/>
      <w:numFmt w:val="lowerRoman"/>
      <w:lvlText w:val="%3."/>
      <w:lvlJc w:val="right"/>
      <w:pPr>
        <w:ind w:left="4031" w:hanging="180"/>
      </w:pPr>
    </w:lvl>
    <w:lvl w:ilvl="3" w:tplc="1C09000F" w:tentative="1">
      <w:start w:val="1"/>
      <w:numFmt w:val="decimal"/>
      <w:lvlText w:val="%4."/>
      <w:lvlJc w:val="left"/>
      <w:pPr>
        <w:ind w:left="4751" w:hanging="360"/>
      </w:pPr>
    </w:lvl>
    <w:lvl w:ilvl="4" w:tplc="1C090019" w:tentative="1">
      <w:start w:val="1"/>
      <w:numFmt w:val="lowerLetter"/>
      <w:lvlText w:val="%5."/>
      <w:lvlJc w:val="left"/>
      <w:pPr>
        <w:ind w:left="5471" w:hanging="360"/>
      </w:pPr>
    </w:lvl>
    <w:lvl w:ilvl="5" w:tplc="1C09001B" w:tentative="1">
      <w:start w:val="1"/>
      <w:numFmt w:val="lowerRoman"/>
      <w:lvlText w:val="%6."/>
      <w:lvlJc w:val="right"/>
      <w:pPr>
        <w:ind w:left="6191" w:hanging="180"/>
      </w:pPr>
    </w:lvl>
    <w:lvl w:ilvl="6" w:tplc="1C09000F" w:tentative="1">
      <w:start w:val="1"/>
      <w:numFmt w:val="decimal"/>
      <w:lvlText w:val="%7."/>
      <w:lvlJc w:val="left"/>
      <w:pPr>
        <w:ind w:left="6911" w:hanging="360"/>
      </w:pPr>
    </w:lvl>
    <w:lvl w:ilvl="7" w:tplc="1C090019" w:tentative="1">
      <w:start w:val="1"/>
      <w:numFmt w:val="lowerLetter"/>
      <w:lvlText w:val="%8."/>
      <w:lvlJc w:val="left"/>
      <w:pPr>
        <w:ind w:left="7631" w:hanging="360"/>
      </w:pPr>
    </w:lvl>
    <w:lvl w:ilvl="8" w:tplc="1C09001B" w:tentative="1">
      <w:start w:val="1"/>
      <w:numFmt w:val="lowerRoman"/>
      <w:lvlText w:val="%9."/>
      <w:lvlJc w:val="right"/>
      <w:pPr>
        <w:ind w:left="8351" w:hanging="180"/>
      </w:pPr>
    </w:lvl>
  </w:abstractNum>
  <w:abstractNum w:abstractNumId="1" w15:restartNumberingAfterBreak="0">
    <w:nsid w:val="049738C5"/>
    <w:multiLevelType w:val="hybridMultilevel"/>
    <w:tmpl w:val="9984E4E4"/>
    <w:lvl w:ilvl="0" w:tplc="2FDA1CDC">
      <w:start w:val="9"/>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 w15:restartNumberingAfterBreak="0">
    <w:nsid w:val="0571789A"/>
    <w:multiLevelType w:val="hybridMultilevel"/>
    <w:tmpl w:val="CECE68AE"/>
    <w:lvl w:ilvl="0" w:tplc="DBCCA9AC">
      <w:start w:val="1"/>
      <w:numFmt w:val="lowerLetter"/>
      <w:lvlText w:val="(%1)"/>
      <w:lvlJc w:val="left"/>
      <w:pPr>
        <w:ind w:left="2061" w:hanging="360"/>
      </w:pPr>
      <w:rPr>
        <w:rFonts w:hint="default"/>
      </w:rPr>
    </w:lvl>
    <w:lvl w:ilvl="1" w:tplc="1C090019" w:tentative="1">
      <w:start w:val="1"/>
      <w:numFmt w:val="lowerLetter"/>
      <w:lvlText w:val="%2."/>
      <w:lvlJc w:val="left"/>
      <w:pPr>
        <w:ind w:left="3872" w:hanging="360"/>
      </w:pPr>
    </w:lvl>
    <w:lvl w:ilvl="2" w:tplc="1C09001B" w:tentative="1">
      <w:start w:val="1"/>
      <w:numFmt w:val="lowerRoman"/>
      <w:lvlText w:val="%3."/>
      <w:lvlJc w:val="right"/>
      <w:pPr>
        <w:ind w:left="4592" w:hanging="180"/>
      </w:pPr>
    </w:lvl>
    <w:lvl w:ilvl="3" w:tplc="1C09000F" w:tentative="1">
      <w:start w:val="1"/>
      <w:numFmt w:val="decimal"/>
      <w:lvlText w:val="%4."/>
      <w:lvlJc w:val="left"/>
      <w:pPr>
        <w:ind w:left="5312" w:hanging="360"/>
      </w:pPr>
    </w:lvl>
    <w:lvl w:ilvl="4" w:tplc="1C090019" w:tentative="1">
      <w:start w:val="1"/>
      <w:numFmt w:val="lowerLetter"/>
      <w:lvlText w:val="%5."/>
      <w:lvlJc w:val="left"/>
      <w:pPr>
        <w:ind w:left="6032" w:hanging="360"/>
      </w:pPr>
    </w:lvl>
    <w:lvl w:ilvl="5" w:tplc="1C09001B" w:tentative="1">
      <w:start w:val="1"/>
      <w:numFmt w:val="lowerRoman"/>
      <w:lvlText w:val="%6."/>
      <w:lvlJc w:val="right"/>
      <w:pPr>
        <w:ind w:left="6752" w:hanging="180"/>
      </w:pPr>
    </w:lvl>
    <w:lvl w:ilvl="6" w:tplc="1C09000F" w:tentative="1">
      <w:start w:val="1"/>
      <w:numFmt w:val="decimal"/>
      <w:lvlText w:val="%7."/>
      <w:lvlJc w:val="left"/>
      <w:pPr>
        <w:ind w:left="7472" w:hanging="360"/>
      </w:pPr>
    </w:lvl>
    <w:lvl w:ilvl="7" w:tplc="1C090019" w:tentative="1">
      <w:start w:val="1"/>
      <w:numFmt w:val="lowerLetter"/>
      <w:lvlText w:val="%8."/>
      <w:lvlJc w:val="left"/>
      <w:pPr>
        <w:ind w:left="8192" w:hanging="360"/>
      </w:pPr>
    </w:lvl>
    <w:lvl w:ilvl="8" w:tplc="1C09001B" w:tentative="1">
      <w:start w:val="1"/>
      <w:numFmt w:val="lowerRoman"/>
      <w:lvlText w:val="%9."/>
      <w:lvlJc w:val="right"/>
      <w:pPr>
        <w:ind w:left="8912" w:hanging="180"/>
      </w:pPr>
    </w:lvl>
  </w:abstractNum>
  <w:abstractNum w:abstractNumId="3" w15:restartNumberingAfterBreak="0">
    <w:nsid w:val="09430D40"/>
    <w:multiLevelType w:val="hybridMultilevel"/>
    <w:tmpl w:val="CBFC2AC8"/>
    <w:lvl w:ilvl="0" w:tplc="757486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B95208"/>
    <w:multiLevelType w:val="hybridMultilevel"/>
    <w:tmpl w:val="7670499A"/>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80243CF"/>
    <w:multiLevelType w:val="multilevel"/>
    <w:tmpl w:val="3E2C966C"/>
    <w:lvl w:ilvl="0">
      <w:start w:val="10"/>
      <w:numFmt w:val="decimal"/>
      <w:lvlText w:val="%1"/>
      <w:lvlJc w:val="left"/>
      <w:pPr>
        <w:ind w:left="465" w:hanging="465"/>
      </w:pPr>
      <w:rPr>
        <w:rFonts w:hint="default"/>
      </w:rPr>
    </w:lvl>
    <w:lvl w:ilvl="1">
      <w:start w:val="4"/>
      <w:numFmt w:val="decimal"/>
      <w:lvlText w:val="%1.%2"/>
      <w:lvlJc w:val="left"/>
      <w:pPr>
        <w:ind w:left="2340" w:hanging="465"/>
      </w:pPr>
      <w:rPr>
        <w:rFonts w:hint="default"/>
      </w:rPr>
    </w:lvl>
    <w:lvl w:ilvl="2">
      <w:start w:val="1"/>
      <w:numFmt w:val="decimal"/>
      <w:lvlText w:val="%1.%2.%3"/>
      <w:lvlJc w:val="left"/>
      <w:pPr>
        <w:ind w:left="4470" w:hanging="720"/>
      </w:pPr>
      <w:rPr>
        <w:rFonts w:hint="default"/>
      </w:rPr>
    </w:lvl>
    <w:lvl w:ilvl="3">
      <w:start w:val="1"/>
      <w:numFmt w:val="decimal"/>
      <w:lvlText w:val="%1.%2.%3.%4"/>
      <w:lvlJc w:val="left"/>
      <w:pPr>
        <w:ind w:left="6705" w:hanging="1080"/>
      </w:pPr>
      <w:rPr>
        <w:rFonts w:hint="default"/>
      </w:rPr>
    </w:lvl>
    <w:lvl w:ilvl="4">
      <w:start w:val="1"/>
      <w:numFmt w:val="decimal"/>
      <w:lvlText w:val="%1.%2.%3.%4.%5"/>
      <w:lvlJc w:val="left"/>
      <w:pPr>
        <w:ind w:left="8580" w:hanging="1080"/>
      </w:pPr>
      <w:rPr>
        <w:rFonts w:hint="default"/>
      </w:rPr>
    </w:lvl>
    <w:lvl w:ilvl="5">
      <w:start w:val="1"/>
      <w:numFmt w:val="decimal"/>
      <w:lvlText w:val="%1.%2.%3.%4.%5.%6"/>
      <w:lvlJc w:val="left"/>
      <w:pPr>
        <w:ind w:left="10815" w:hanging="1440"/>
      </w:pPr>
      <w:rPr>
        <w:rFonts w:hint="default"/>
      </w:rPr>
    </w:lvl>
    <w:lvl w:ilvl="6">
      <w:start w:val="1"/>
      <w:numFmt w:val="decimal"/>
      <w:lvlText w:val="%1.%2.%3.%4.%5.%6.%7"/>
      <w:lvlJc w:val="left"/>
      <w:pPr>
        <w:ind w:left="12690" w:hanging="1440"/>
      </w:pPr>
      <w:rPr>
        <w:rFonts w:hint="default"/>
      </w:rPr>
    </w:lvl>
    <w:lvl w:ilvl="7">
      <w:start w:val="1"/>
      <w:numFmt w:val="decimal"/>
      <w:lvlText w:val="%1.%2.%3.%4.%5.%6.%7.%8"/>
      <w:lvlJc w:val="left"/>
      <w:pPr>
        <w:ind w:left="14925" w:hanging="1800"/>
      </w:pPr>
      <w:rPr>
        <w:rFonts w:hint="default"/>
      </w:rPr>
    </w:lvl>
    <w:lvl w:ilvl="8">
      <w:start w:val="1"/>
      <w:numFmt w:val="decimal"/>
      <w:lvlText w:val="%1.%2.%3.%4.%5.%6.%7.%8.%9"/>
      <w:lvlJc w:val="left"/>
      <w:pPr>
        <w:ind w:left="16800" w:hanging="1800"/>
      </w:pPr>
      <w:rPr>
        <w:rFonts w:hint="default"/>
      </w:rPr>
    </w:lvl>
  </w:abstractNum>
  <w:abstractNum w:abstractNumId="6" w15:restartNumberingAfterBreak="0">
    <w:nsid w:val="19F45863"/>
    <w:multiLevelType w:val="multilevel"/>
    <w:tmpl w:val="154EC7A2"/>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791BBD"/>
    <w:multiLevelType w:val="hybridMultilevel"/>
    <w:tmpl w:val="21D2CA20"/>
    <w:lvl w:ilvl="0" w:tplc="5E64BCE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8" w15:restartNumberingAfterBreak="0">
    <w:nsid w:val="2B744350"/>
    <w:multiLevelType w:val="hybridMultilevel"/>
    <w:tmpl w:val="52200EDA"/>
    <w:lvl w:ilvl="0" w:tplc="E01412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53192A"/>
    <w:multiLevelType w:val="hybridMultilevel"/>
    <w:tmpl w:val="1D42F0AA"/>
    <w:lvl w:ilvl="0" w:tplc="EEC6D572">
      <w:start w:val="1"/>
      <w:numFmt w:val="decimal"/>
      <w:lvlText w:val="[%1]"/>
      <w:lvlJc w:val="left"/>
      <w:pPr>
        <w:ind w:left="1125"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1" w15:restartNumberingAfterBreak="0">
    <w:nsid w:val="35610808"/>
    <w:multiLevelType w:val="hybridMultilevel"/>
    <w:tmpl w:val="880C9DE0"/>
    <w:lvl w:ilvl="0" w:tplc="3E000B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BC06B35"/>
    <w:multiLevelType w:val="multilevel"/>
    <w:tmpl w:val="296A4D8A"/>
    <w:lvl w:ilvl="0">
      <w:start w:val="10"/>
      <w:numFmt w:val="decimal"/>
      <w:lvlText w:val="%1"/>
      <w:lvlJc w:val="left"/>
      <w:pPr>
        <w:ind w:left="465" w:hanging="465"/>
      </w:pPr>
      <w:rPr>
        <w:rFonts w:hint="default"/>
      </w:rPr>
    </w:lvl>
    <w:lvl w:ilvl="1">
      <w:start w:val="4"/>
      <w:numFmt w:val="decimal"/>
      <w:lvlText w:val="%1.%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3" w15:restartNumberingAfterBreak="0">
    <w:nsid w:val="3C6B07E8"/>
    <w:multiLevelType w:val="hybridMultilevel"/>
    <w:tmpl w:val="1D4681C0"/>
    <w:lvl w:ilvl="0" w:tplc="1C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D3A2258"/>
    <w:multiLevelType w:val="hybridMultilevel"/>
    <w:tmpl w:val="43F462A2"/>
    <w:lvl w:ilvl="0" w:tplc="4164104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16759FF"/>
    <w:multiLevelType w:val="hybridMultilevel"/>
    <w:tmpl w:val="8E0CEDEE"/>
    <w:lvl w:ilvl="0" w:tplc="2E48E26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59D5F01"/>
    <w:multiLevelType w:val="hybridMultilevel"/>
    <w:tmpl w:val="205014A4"/>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60B662E"/>
    <w:multiLevelType w:val="hybridMultilevel"/>
    <w:tmpl w:val="6D12BDFE"/>
    <w:lvl w:ilvl="0" w:tplc="9C76FF3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51EA43E7"/>
    <w:multiLevelType w:val="hybridMultilevel"/>
    <w:tmpl w:val="77940292"/>
    <w:lvl w:ilvl="0" w:tplc="5E64BCE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5739652F"/>
    <w:multiLevelType w:val="hybridMultilevel"/>
    <w:tmpl w:val="B54E1088"/>
    <w:lvl w:ilvl="0" w:tplc="3796010E">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0" w15:restartNumberingAfterBreak="0">
    <w:nsid w:val="5A3313CB"/>
    <w:multiLevelType w:val="hybridMultilevel"/>
    <w:tmpl w:val="96FA9CEA"/>
    <w:lvl w:ilvl="0" w:tplc="EBCC904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C626E9A"/>
    <w:multiLevelType w:val="hybridMultilevel"/>
    <w:tmpl w:val="9AFE6A8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F324D03"/>
    <w:multiLevelType w:val="hybridMultilevel"/>
    <w:tmpl w:val="5372AFC4"/>
    <w:lvl w:ilvl="0" w:tplc="1576CA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10F516F"/>
    <w:multiLevelType w:val="hybridMultilevel"/>
    <w:tmpl w:val="0D12BBD4"/>
    <w:lvl w:ilvl="0" w:tplc="2E4EBBE0">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4BA0003"/>
    <w:multiLevelType w:val="hybridMultilevel"/>
    <w:tmpl w:val="43C09ECE"/>
    <w:lvl w:ilvl="0" w:tplc="DBCCA9AC">
      <w:start w:val="1"/>
      <w:numFmt w:val="lowerLetter"/>
      <w:lvlText w:val="(%1)"/>
      <w:lvlJc w:val="left"/>
      <w:pPr>
        <w:ind w:left="1069" w:hanging="360"/>
      </w:pPr>
      <w:rPr>
        <w:rFonts w:hint="default"/>
      </w:rPr>
    </w:lvl>
    <w:lvl w:ilvl="1" w:tplc="1C090019" w:tentative="1">
      <w:start w:val="1"/>
      <w:numFmt w:val="lowerLetter"/>
      <w:lvlText w:val="%2."/>
      <w:lvlJc w:val="left"/>
      <w:pPr>
        <w:ind w:left="349" w:hanging="360"/>
      </w:pPr>
    </w:lvl>
    <w:lvl w:ilvl="2" w:tplc="1C09001B" w:tentative="1">
      <w:start w:val="1"/>
      <w:numFmt w:val="lowerRoman"/>
      <w:lvlText w:val="%3."/>
      <w:lvlJc w:val="right"/>
      <w:pPr>
        <w:ind w:left="1069" w:hanging="180"/>
      </w:pPr>
    </w:lvl>
    <w:lvl w:ilvl="3" w:tplc="1C09000F" w:tentative="1">
      <w:start w:val="1"/>
      <w:numFmt w:val="decimal"/>
      <w:lvlText w:val="%4."/>
      <w:lvlJc w:val="left"/>
      <w:pPr>
        <w:ind w:left="1789" w:hanging="360"/>
      </w:pPr>
    </w:lvl>
    <w:lvl w:ilvl="4" w:tplc="1C090019" w:tentative="1">
      <w:start w:val="1"/>
      <w:numFmt w:val="lowerLetter"/>
      <w:lvlText w:val="%5."/>
      <w:lvlJc w:val="left"/>
      <w:pPr>
        <w:ind w:left="2509" w:hanging="360"/>
      </w:pPr>
    </w:lvl>
    <w:lvl w:ilvl="5" w:tplc="1C09001B" w:tentative="1">
      <w:start w:val="1"/>
      <w:numFmt w:val="lowerRoman"/>
      <w:lvlText w:val="%6."/>
      <w:lvlJc w:val="right"/>
      <w:pPr>
        <w:ind w:left="3229" w:hanging="180"/>
      </w:pPr>
    </w:lvl>
    <w:lvl w:ilvl="6" w:tplc="1C09000F" w:tentative="1">
      <w:start w:val="1"/>
      <w:numFmt w:val="decimal"/>
      <w:lvlText w:val="%7."/>
      <w:lvlJc w:val="left"/>
      <w:pPr>
        <w:ind w:left="3949" w:hanging="360"/>
      </w:pPr>
    </w:lvl>
    <w:lvl w:ilvl="7" w:tplc="1C090019" w:tentative="1">
      <w:start w:val="1"/>
      <w:numFmt w:val="lowerLetter"/>
      <w:lvlText w:val="%8."/>
      <w:lvlJc w:val="left"/>
      <w:pPr>
        <w:ind w:left="4669" w:hanging="360"/>
      </w:pPr>
    </w:lvl>
    <w:lvl w:ilvl="8" w:tplc="1C09001B" w:tentative="1">
      <w:start w:val="1"/>
      <w:numFmt w:val="lowerRoman"/>
      <w:lvlText w:val="%9."/>
      <w:lvlJc w:val="right"/>
      <w:pPr>
        <w:ind w:left="5389" w:hanging="180"/>
      </w:pPr>
    </w:lvl>
  </w:abstractNum>
  <w:abstractNum w:abstractNumId="25" w15:restartNumberingAfterBreak="0">
    <w:nsid w:val="65D32B1E"/>
    <w:multiLevelType w:val="hybridMultilevel"/>
    <w:tmpl w:val="1E10A4D4"/>
    <w:lvl w:ilvl="0" w:tplc="71F8A3BE">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66631DD0"/>
    <w:multiLevelType w:val="hybridMultilevel"/>
    <w:tmpl w:val="88C0B962"/>
    <w:lvl w:ilvl="0" w:tplc="1D4C6D1E">
      <w:start w:val="10"/>
      <w:numFmt w:val="decimal"/>
      <w:lvlText w:val="%1."/>
      <w:lvlJc w:val="left"/>
      <w:pPr>
        <w:ind w:left="2204" w:hanging="360"/>
      </w:pPr>
      <w:rPr>
        <w:rFonts w:hint="default"/>
      </w:rPr>
    </w:lvl>
    <w:lvl w:ilvl="1" w:tplc="1C090019" w:tentative="1">
      <w:start w:val="1"/>
      <w:numFmt w:val="lowerLetter"/>
      <w:lvlText w:val="%2."/>
      <w:lvlJc w:val="left"/>
      <w:pPr>
        <w:ind w:left="2924" w:hanging="360"/>
      </w:pPr>
    </w:lvl>
    <w:lvl w:ilvl="2" w:tplc="1C09001B" w:tentative="1">
      <w:start w:val="1"/>
      <w:numFmt w:val="lowerRoman"/>
      <w:lvlText w:val="%3."/>
      <w:lvlJc w:val="right"/>
      <w:pPr>
        <w:ind w:left="3644" w:hanging="180"/>
      </w:pPr>
    </w:lvl>
    <w:lvl w:ilvl="3" w:tplc="1C09000F" w:tentative="1">
      <w:start w:val="1"/>
      <w:numFmt w:val="decimal"/>
      <w:lvlText w:val="%4."/>
      <w:lvlJc w:val="left"/>
      <w:pPr>
        <w:ind w:left="4364" w:hanging="360"/>
      </w:pPr>
    </w:lvl>
    <w:lvl w:ilvl="4" w:tplc="1C090019" w:tentative="1">
      <w:start w:val="1"/>
      <w:numFmt w:val="lowerLetter"/>
      <w:lvlText w:val="%5."/>
      <w:lvlJc w:val="left"/>
      <w:pPr>
        <w:ind w:left="5084" w:hanging="360"/>
      </w:pPr>
    </w:lvl>
    <w:lvl w:ilvl="5" w:tplc="1C09001B" w:tentative="1">
      <w:start w:val="1"/>
      <w:numFmt w:val="lowerRoman"/>
      <w:lvlText w:val="%6."/>
      <w:lvlJc w:val="right"/>
      <w:pPr>
        <w:ind w:left="5804" w:hanging="180"/>
      </w:pPr>
    </w:lvl>
    <w:lvl w:ilvl="6" w:tplc="1C09000F" w:tentative="1">
      <w:start w:val="1"/>
      <w:numFmt w:val="decimal"/>
      <w:lvlText w:val="%7."/>
      <w:lvlJc w:val="left"/>
      <w:pPr>
        <w:ind w:left="6524" w:hanging="360"/>
      </w:pPr>
    </w:lvl>
    <w:lvl w:ilvl="7" w:tplc="1C090019" w:tentative="1">
      <w:start w:val="1"/>
      <w:numFmt w:val="lowerLetter"/>
      <w:lvlText w:val="%8."/>
      <w:lvlJc w:val="left"/>
      <w:pPr>
        <w:ind w:left="7244" w:hanging="360"/>
      </w:pPr>
    </w:lvl>
    <w:lvl w:ilvl="8" w:tplc="1C09001B" w:tentative="1">
      <w:start w:val="1"/>
      <w:numFmt w:val="lowerRoman"/>
      <w:lvlText w:val="%9."/>
      <w:lvlJc w:val="right"/>
      <w:pPr>
        <w:ind w:left="7964" w:hanging="180"/>
      </w:pPr>
    </w:lvl>
  </w:abstractNum>
  <w:abstractNum w:abstractNumId="27" w15:restartNumberingAfterBreak="0">
    <w:nsid w:val="66D952BA"/>
    <w:multiLevelType w:val="hybridMultilevel"/>
    <w:tmpl w:val="6C3CAD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9651B64"/>
    <w:multiLevelType w:val="hybridMultilevel"/>
    <w:tmpl w:val="679AF74A"/>
    <w:lvl w:ilvl="0" w:tplc="D9320C70">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A690C54"/>
    <w:multiLevelType w:val="hybridMultilevel"/>
    <w:tmpl w:val="38F09D74"/>
    <w:lvl w:ilvl="0" w:tplc="8EBC44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EF56D66"/>
    <w:multiLevelType w:val="hybridMultilevel"/>
    <w:tmpl w:val="E01059E8"/>
    <w:lvl w:ilvl="0" w:tplc="65304DFA">
      <w:start w:val="1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8AA5190"/>
    <w:multiLevelType w:val="hybridMultilevel"/>
    <w:tmpl w:val="B4BE8588"/>
    <w:lvl w:ilvl="0" w:tplc="4EE8B44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15:restartNumberingAfterBreak="0">
    <w:nsid w:val="7A294894"/>
    <w:multiLevelType w:val="hybridMultilevel"/>
    <w:tmpl w:val="697A07F8"/>
    <w:lvl w:ilvl="0" w:tplc="1576CA02">
      <w:start w:val="1"/>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3" w15:restartNumberingAfterBreak="0">
    <w:nsid w:val="7A403305"/>
    <w:multiLevelType w:val="hybridMultilevel"/>
    <w:tmpl w:val="237E0A68"/>
    <w:lvl w:ilvl="0" w:tplc="5AA00E5C">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34" w15:restartNumberingAfterBreak="0">
    <w:nsid w:val="7FE26066"/>
    <w:multiLevelType w:val="hybridMultilevel"/>
    <w:tmpl w:val="0C2C624C"/>
    <w:lvl w:ilvl="0" w:tplc="5E64BCE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16cid:durableId="1690596359">
    <w:abstractNumId w:val="9"/>
  </w:num>
  <w:num w:numId="2" w16cid:durableId="2096515852">
    <w:abstractNumId w:val="23"/>
  </w:num>
  <w:num w:numId="3" w16cid:durableId="365450876">
    <w:abstractNumId w:val="7"/>
  </w:num>
  <w:num w:numId="4" w16cid:durableId="1506744937">
    <w:abstractNumId w:val="10"/>
  </w:num>
  <w:num w:numId="5" w16cid:durableId="1483425308">
    <w:abstractNumId w:val="21"/>
  </w:num>
  <w:num w:numId="6" w16cid:durableId="1973749615">
    <w:abstractNumId w:val="12"/>
  </w:num>
  <w:num w:numId="7" w16cid:durableId="325942384">
    <w:abstractNumId w:val="13"/>
  </w:num>
  <w:num w:numId="8" w16cid:durableId="337663524">
    <w:abstractNumId w:val="5"/>
  </w:num>
  <w:num w:numId="9" w16cid:durableId="983434821">
    <w:abstractNumId w:val="6"/>
  </w:num>
  <w:num w:numId="10" w16cid:durableId="275217791">
    <w:abstractNumId w:val="30"/>
  </w:num>
  <w:num w:numId="11" w16cid:durableId="1376469407">
    <w:abstractNumId w:val="17"/>
  </w:num>
  <w:num w:numId="12" w16cid:durableId="68235869">
    <w:abstractNumId w:val="19"/>
  </w:num>
  <w:num w:numId="13" w16cid:durableId="1859389520">
    <w:abstractNumId w:val="0"/>
  </w:num>
  <w:num w:numId="14" w16cid:durableId="2019497946">
    <w:abstractNumId w:val="32"/>
  </w:num>
  <w:num w:numId="15" w16cid:durableId="1767340221">
    <w:abstractNumId w:val="4"/>
  </w:num>
  <w:num w:numId="16" w16cid:durableId="1680502573">
    <w:abstractNumId w:val="16"/>
  </w:num>
  <w:num w:numId="17" w16cid:durableId="1871844502">
    <w:abstractNumId w:val="8"/>
  </w:num>
  <w:num w:numId="18" w16cid:durableId="812676358">
    <w:abstractNumId w:val="27"/>
  </w:num>
  <w:num w:numId="19" w16cid:durableId="472453525">
    <w:abstractNumId w:val="15"/>
  </w:num>
  <w:num w:numId="20" w16cid:durableId="2064594549">
    <w:abstractNumId w:val="14"/>
  </w:num>
  <w:num w:numId="21" w16cid:durableId="1042091559">
    <w:abstractNumId w:val="31"/>
  </w:num>
  <w:num w:numId="22" w16cid:durableId="59983219">
    <w:abstractNumId w:val="3"/>
  </w:num>
  <w:num w:numId="23" w16cid:durableId="1734620848">
    <w:abstractNumId w:val="20"/>
  </w:num>
  <w:num w:numId="24" w16cid:durableId="2122143082">
    <w:abstractNumId w:val="22"/>
  </w:num>
  <w:num w:numId="25" w16cid:durableId="2136555661">
    <w:abstractNumId w:val="11"/>
  </w:num>
  <w:num w:numId="26" w16cid:durableId="1565601088">
    <w:abstractNumId w:val="26"/>
  </w:num>
  <w:num w:numId="27" w16cid:durableId="157576516">
    <w:abstractNumId w:val="25"/>
  </w:num>
  <w:num w:numId="28" w16cid:durableId="505292534">
    <w:abstractNumId w:val="33"/>
  </w:num>
  <w:num w:numId="29" w16cid:durableId="875853757">
    <w:abstractNumId w:val="2"/>
  </w:num>
  <w:num w:numId="30" w16cid:durableId="965432924">
    <w:abstractNumId w:val="28"/>
  </w:num>
  <w:num w:numId="31" w16cid:durableId="551766885">
    <w:abstractNumId w:val="29"/>
  </w:num>
  <w:num w:numId="32" w16cid:durableId="692653687">
    <w:abstractNumId w:val="34"/>
  </w:num>
  <w:num w:numId="33" w16cid:durableId="1438792321">
    <w:abstractNumId w:val="18"/>
  </w:num>
  <w:num w:numId="34" w16cid:durableId="1724406648">
    <w:abstractNumId w:val="24"/>
  </w:num>
  <w:num w:numId="35" w16cid:durableId="1424184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YwNLe0NDMwNTWwMDJT0lEKTi0uzszPAykwrgUAGs1P7CwAAAA="/>
  </w:docVars>
  <w:rsids>
    <w:rsidRoot w:val="00C91BD0"/>
    <w:rsid w:val="00003670"/>
    <w:rsid w:val="000042AC"/>
    <w:rsid w:val="000100C4"/>
    <w:rsid w:val="00013BBE"/>
    <w:rsid w:val="000319CA"/>
    <w:rsid w:val="0003419E"/>
    <w:rsid w:val="000342A6"/>
    <w:rsid w:val="00053390"/>
    <w:rsid w:val="00053AEF"/>
    <w:rsid w:val="00054C2C"/>
    <w:rsid w:val="0006506A"/>
    <w:rsid w:val="000769C7"/>
    <w:rsid w:val="00087986"/>
    <w:rsid w:val="00091DAC"/>
    <w:rsid w:val="000A3D98"/>
    <w:rsid w:val="000A5A6C"/>
    <w:rsid w:val="000A6052"/>
    <w:rsid w:val="000B4B83"/>
    <w:rsid w:val="000D18C7"/>
    <w:rsid w:val="000D3452"/>
    <w:rsid w:val="000E2A80"/>
    <w:rsid w:val="000E711B"/>
    <w:rsid w:val="000F283F"/>
    <w:rsid w:val="000F37DB"/>
    <w:rsid w:val="000F683A"/>
    <w:rsid w:val="000F6EDD"/>
    <w:rsid w:val="00104283"/>
    <w:rsid w:val="0010560D"/>
    <w:rsid w:val="001157FD"/>
    <w:rsid w:val="00122365"/>
    <w:rsid w:val="001318BD"/>
    <w:rsid w:val="0013477B"/>
    <w:rsid w:val="001439F4"/>
    <w:rsid w:val="00144CC7"/>
    <w:rsid w:val="00145D01"/>
    <w:rsid w:val="00151FB8"/>
    <w:rsid w:val="0016139C"/>
    <w:rsid w:val="001677F1"/>
    <w:rsid w:val="0017350E"/>
    <w:rsid w:val="00177C1E"/>
    <w:rsid w:val="00180E45"/>
    <w:rsid w:val="001875E1"/>
    <w:rsid w:val="00192AB3"/>
    <w:rsid w:val="001947E2"/>
    <w:rsid w:val="00196E38"/>
    <w:rsid w:val="001A4C94"/>
    <w:rsid w:val="001A4DF7"/>
    <w:rsid w:val="001B153B"/>
    <w:rsid w:val="001C2606"/>
    <w:rsid w:val="001C619D"/>
    <w:rsid w:val="001D39CA"/>
    <w:rsid w:val="001D3CF2"/>
    <w:rsid w:val="001F0BD8"/>
    <w:rsid w:val="001F2277"/>
    <w:rsid w:val="001F3157"/>
    <w:rsid w:val="00201EC4"/>
    <w:rsid w:val="0021375F"/>
    <w:rsid w:val="00217F23"/>
    <w:rsid w:val="002278D8"/>
    <w:rsid w:val="0022794C"/>
    <w:rsid w:val="00237B86"/>
    <w:rsid w:val="00240188"/>
    <w:rsid w:val="002639E9"/>
    <w:rsid w:val="00267446"/>
    <w:rsid w:val="0027516A"/>
    <w:rsid w:val="0027602A"/>
    <w:rsid w:val="00290FA0"/>
    <w:rsid w:val="002B7D6D"/>
    <w:rsid w:val="002C0B8A"/>
    <w:rsid w:val="002C5CF8"/>
    <w:rsid w:val="002D00D1"/>
    <w:rsid w:val="002D2735"/>
    <w:rsid w:val="002D590A"/>
    <w:rsid w:val="002E774E"/>
    <w:rsid w:val="002F11AA"/>
    <w:rsid w:val="00305205"/>
    <w:rsid w:val="0030749E"/>
    <w:rsid w:val="00310D90"/>
    <w:rsid w:val="003137C1"/>
    <w:rsid w:val="00320437"/>
    <w:rsid w:val="00325834"/>
    <w:rsid w:val="00336A01"/>
    <w:rsid w:val="003406A5"/>
    <w:rsid w:val="00342227"/>
    <w:rsid w:val="00347928"/>
    <w:rsid w:val="003529BE"/>
    <w:rsid w:val="00361015"/>
    <w:rsid w:val="00365509"/>
    <w:rsid w:val="003661B8"/>
    <w:rsid w:val="00371E51"/>
    <w:rsid w:val="0037289E"/>
    <w:rsid w:val="00374B62"/>
    <w:rsid w:val="00391029"/>
    <w:rsid w:val="003968EE"/>
    <w:rsid w:val="003A150A"/>
    <w:rsid w:val="003B0227"/>
    <w:rsid w:val="003C0A46"/>
    <w:rsid w:val="003C1374"/>
    <w:rsid w:val="003C2399"/>
    <w:rsid w:val="003E3019"/>
    <w:rsid w:val="003E3B6A"/>
    <w:rsid w:val="003F4AEA"/>
    <w:rsid w:val="00403C2F"/>
    <w:rsid w:val="00412CCA"/>
    <w:rsid w:val="00413353"/>
    <w:rsid w:val="00415A04"/>
    <w:rsid w:val="00420B36"/>
    <w:rsid w:val="00435F0D"/>
    <w:rsid w:val="00436342"/>
    <w:rsid w:val="00444170"/>
    <w:rsid w:val="004555B9"/>
    <w:rsid w:val="004602DA"/>
    <w:rsid w:val="0046153D"/>
    <w:rsid w:val="00476FA3"/>
    <w:rsid w:val="0049001A"/>
    <w:rsid w:val="0049286B"/>
    <w:rsid w:val="004934BE"/>
    <w:rsid w:val="004A0E53"/>
    <w:rsid w:val="004A3816"/>
    <w:rsid w:val="004B5B30"/>
    <w:rsid w:val="004B6FF7"/>
    <w:rsid w:val="004C0D3D"/>
    <w:rsid w:val="004C6231"/>
    <w:rsid w:val="004E57ED"/>
    <w:rsid w:val="004F0FE2"/>
    <w:rsid w:val="004F0FEF"/>
    <w:rsid w:val="004F1518"/>
    <w:rsid w:val="0050050D"/>
    <w:rsid w:val="00501843"/>
    <w:rsid w:val="00516503"/>
    <w:rsid w:val="005235B6"/>
    <w:rsid w:val="0053085F"/>
    <w:rsid w:val="00533909"/>
    <w:rsid w:val="005350EF"/>
    <w:rsid w:val="00546A14"/>
    <w:rsid w:val="00562491"/>
    <w:rsid w:val="00565045"/>
    <w:rsid w:val="00570CF0"/>
    <w:rsid w:val="00573E71"/>
    <w:rsid w:val="00580F8F"/>
    <w:rsid w:val="005812F3"/>
    <w:rsid w:val="00587FD9"/>
    <w:rsid w:val="005A2BE5"/>
    <w:rsid w:val="005A34AE"/>
    <w:rsid w:val="005A6A7B"/>
    <w:rsid w:val="005B0E2B"/>
    <w:rsid w:val="005B73B9"/>
    <w:rsid w:val="005C3B00"/>
    <w:rsid w:val="005C54F4"/>
    <w:rsid w:val="005D7B2D"/>
    <w:rsid w:val="005E1780"/>
    <w:rsid w:val="005E6CA1"/>
    <w:rsid w:val="005F739F"/>
    <w:rsid w:val="00600779"/>
    <w:rsid w:val="006073AC"/>
    <w:rsid w:val="006145F2"/>
    <w:rsid w:val="00616E96"/>
    <w:rsid w:val="0061719E"/>
    <w:rsid w:val="00617A2B"/>
    <w:rsid w:val="00621D2B"/>
    <w:rsid w:val="006245E2"/>
    <w:rsid w:val="0063269F"/>
    <w:rsid w:val="00634D1E"/>
    <w:rsid w:val="006378F1"/>
    <w:rsid w:val="0064058A"/>
    <w:rsid w:val="00643E53"/>
    <w:rsid w:val="006473CB"/>
    <w:rsid w:val="0065130E"/>
    <w:rsid w:val="00656E28"/>
    <w:rsid w:val="00661DAD"/>
    <w:rsid w:val="00676614"/>
    <w:rsid w:val="006773E9"/>
    <w:rsid w:val="00683C62"/>
    <w:rsid w:val="00692B10"/>
    <w:rsid w:val="00694FFB"/>
    <w:rsid w:val="006A2492"/>
    <w:rsid w:val="006B2B0B"/>
    <w:rsid w:val="006B43D1"/>
    <w:rsid w:val="006B496B"/>
    <w:rsid w:val="006C1411"/>
    <w:rsid w:val="006C1760"/>
    <w:rsid w:val="006C33F4"/>
    <w:rsid w:val="006C4A50"/>
    <w:rsid w:val="006D22C9"/>
    <w:rsid w:val="006D5D2F"/>
    <w:rsid w:val="006E2720"/>
    <w:rsid w:val="00700AE0"/>
    <w:rsid w:val="007033C5"/>
    <w:rsid w:val="007040CA"/>
    <w:rsid w:val="00705D74"/>
    <w:rsid w:val="00707240"/>
    <w:rsid w:val="0071017F"/>
    <w:rsid w:val="00710384"/>
    <w:rsid w:val="00713345"/>
    <w:rsid w:val="007177EA"/>
    <w:rsid w:val="00724392"/>
    <w:rsid w:val="00753B29"/>
    <w:rsid w:val="00762225"/>
    <w:rsid w:val="007636FE"/>
    <w:rsid w:val="007657AF"/>
    <w:rsid w:val="007670B0"/>
    <w:rsid w:val="007719FE"/>
    <w:rsid w:val="00776A2D"/>
    <w:rsid w:val="00782560"/>
    <w:rsid w:val="00793AE1"/>
    <w:rsid w:val="007B6552"/>
    <w:rsid w:val="007C02C2"/>
    <w:rsid w:val="007C1981"/>
    <w:rsid w:val="007C724B"/>
    <w:rsid w:val="007C772F"/>
    <w:rsid w:val="007D3CE4"/>
    <w:rsid w:val="007E34B1"/>
    <w:rsid w:val="007F130C"/>
    <w:rsid w:val="007F319D"/>
    <w:rsid w:val="007F3D49"/>
    <w:rsid w:val="00811AFC"/>
    <w:rsid w:val="00812345"/>
    <w:rsid w:val="008337B1"/>
    <w:rsid w:val="0083561D"/>
    <w:rsid w:val="00862D0C"/>
    <w:rsid w:val="00863068"/>
    <w:rsid w:val="0086500C"/>
    <w:rsid w:val="00865CEE"/>
    <w:rsid w:val="00867942"/>
    <w:rsid w:val="008734DC"/>
    <w:rsid w:val="00884E92"/>
    <w:rsid w:val="00886814"/>
    <w:rsid w:val="008875FB"/>
    <w:rsid w:val="0089323F"/>
    <w:rsid w:val="008A143D"/>
    <w:rsid w:val="008A285F"/>
    <w:rsid w:val="008B0118"/>
    <w:rsid w:val="008C0ADA"/>
    <w:rsid w:val="008C1A12"/>
    <w:rsid w:val="008C2739"/>
    <w:rsid w:val="008C295C"/>
    <w:rsid w:val="008C3931"/>
    <w:rsid w:val="008C762F"/>
    <w:rsid w:val="008E07C4"/>
    <w:rsid w:val="008F2AA8"/>
    <w:rsid w:val="008F4A13"/>
    <w:rsid w:val="008F7A39"/>
    <w:rsid w:val="00905E3A"/>
    <w:rsid w:val="00910D58"/>
    <w:rsid w:val="009112A8"/>
    <w:rsid w:val="00914DFF"/>
    <w:rsid w:val="00920431"/>
    <w:rsid w:val="00925877"/>
    <w:rsid w:val="00935BB9"/>
    <w:rsid w:val="00945A9C"/>
    <w:rsid w:val="00945AEB"/>
    <w:rsid w:val="009467F1"/>
    <w:rsid w:val="0094698E"/>
    <w:rsid w:val="00950F86"/>
    <w:rsid w:val="00952D61"/>
    <w:rsid w:val="00961F14"/>
    <w:rsid w:val="0097647E"/>
    <w:rsid w:val="009866CD"/>
    <w:rsid w:val="009878AC"/>
    <w:rsid w:val="009915E0"/>
    <w:rsid w:val="0099211E"/>
    <w:rsid w:val="009A0100"/>
    <w:rsid w:val="009A0E4F"/>
    <w:rsid w:val="009A3FF9"/>
    <w:rsid w:val="009A47A3"/>
    <w:rsid w:val="009A693B"/>
    <w:rsid w:val="009B4803"/>
    <w:rsid w:val="009D6966"/>
    <w:rsid w:val="009D7D9B"/>
    <w:rsid w:val="00A00D0C"/>
    <w:rsid w:val="00A13CAA"/>
    <w:rsid w:val="00A2473D"/>
    <w:rsid w:val="00A25FB3"/>
    <w:rsid w:val="00A3354A"/>
    <w:rsid w:val="00A33587"/>
    <w:rsid w:val="00A448EA"/>
    <w:rsid w:val="00A469AB"/>
    <w:rsid w:val="00A479E9"/>
    <w:rsid w:val="00A52CC7"/>
    <w:rsid w:val="00A82AD9"/>
    <w:rsid w:val="00A82CBE"/>
    <w:rsid w:val="00A8401C"/>
    <w:rsid w:val="00A86E12"/>
    <w:rsid w:val="00A915D3"/>
    <w:rsid w:val="00AA2305"/>
    <w:rsid w:val="00AB4CEE"/>
    <w:rsid w:val="00AC63B5"/>
    <w:rsid w:val="00AC77C2"/>
    <w:rsid w:val="00AD0475"/>
    <w:rsid w:val="00AD76D9"/>
    <w:rsid w:val="00AE00CA"/>
    <w:rsid w:val="00AF31EA"/>
    <w:rsid w:val="00B04EE2"/>
    <w:rsid w:val="00B072B9"/>
    <w:rsid w:val="00B15985"/>
    <w:rsid w:val="00B16D07"/>
    <w:rsid w:val="00B20109"/>
    <w:rsid w:val="00B2378C"/>
    <w:rsid w:val="00B3775C"/>
    <w:rsid w:val="00B42EBB"/>
    <w:rsid w:val="00B457F3"/>
    <w:rsid w:val="00B45D1C"/>
    <w:rsid w:val="00B50080"/>
    <w:rsid w:val="00B5075D"/>
    <w:rsid w:val="00B5543C"/>
    <w:rsid w:val="00B77184"/>
    <w:rsid w:val="00B85A6C"/>
    <w:rsid w:val="00B917E0"/>
    <w:rsid w:val="00B92ACE"/>
    <w:rsid w:val="00B93A41"/>
    <w:rsid w:val="00B9527D"/>
    <w:rsid w:val="00BA31B2"/>
    <w:rsid w:val="00BA53D9"/>
    <w:rsid w:val="00BB16AE"/>
    <w:rsid w:val="00BD115B"/>
    <w:rsid w:val="00BD2A31"/>
    <w:rsid w:val="00BD661B"/>
    <w:rsid w:val="00BF5E49"/>
    <w:rsid w:val="00C002F3"/>
    <w:rsid w:val="00C059D2"/>
    <w:rsid w:val="00C144A8"/>
    <w:rsid w:val="00C16D91"/>
    <w:rsid w:val="00C20BFC"/>
    <w:rsid w:val="00C22446"/>
    <w:rsid w:val="00C2796C"/>
    <w:rsid w:val="00C34F38"/>
    <w:rsid w:val="00C41457"/>
    <w:rsid w:val="00C4242B"/>
    <w:rsid w:val="00C43E5A"/>
    <w:rsid w:val="00C45C3E"/>
    <w:rsid w:val="00C5059E"/>
    <w:rsid w:val="00C5291D"/>
    <w:rsid w:val="00C5555F"/>
    <w:rsid w:val="00C60D60"/>
    <w:rsid w:val="00C64348"/>
    <w:rsid w:val="00C73001"/>
    <w:rsid w:val="00C7708B"/>
    <w:rsid w:val="00C82786"/>
    <w:rsid w:val="00C82AFD"/>
    <w:rsid w:val="00C91BD0"/>
    <w:rsid w:val="00C9345C"/>
    <w:rsid w:val="00CA4F94"/>
    <w:rsid w:val="00CB442B"/>
    <w:rsid w:val="00CD5D60"/>
    <w:rsid w:val="00CD662E"/>
    <w:rsid w:val="00CE4252"/>
    <w:rsid w:val="00CF0400"/>
    <w:rsid w:val="00CF2122"/>
    <w:rsid w:val="00D01916"/>
    <w:rsid w:val="00D07A29"/>
    <w:rsid w:val="00D110A4"/>
    <w:rsid w:val="00D25388"/>
    <w:rsid w:val="00D27D8C"/>
    <w:rsid w:val="00D34BFD"/>
    <w:rsid w:val="00D35F27"/>
    <w:rsid w:val="00D40BEA"/>
    <w:rsid w:val="00D43AA8"/>
    <w:rsid w:val="00D46620"/>
    <w:rsid w:val="00D46CC6"/>
    <w:rsid w:val="00D46EF3"/>
    <w:rsid w:val="00D52AE1"/>
    <w:rsid w:val="00D562E6"/>
    <w:rsid w:val="00D60B4C"/>
    <w:rsid w:val="00D81E03"/>
    <w:rsid w:val="00D87E0C"/>
    <w:rsid w:val="00D958F7"/>
    <w:rsid w:val="00DB500D"/>
    <w:rsid w:val="00DD5E22"/>
    <w:rsid w:val="00DF54A8"/>
    <w:rsid w:val="00E172F3"/>
    <w:rsid w:val="00E22224"/>
    <w:rsid w:val="00E2563A"/>
    <w:rsid w:val="00E34ADD"/>
    <w:rsid w:val="00E406C9"/>
    <w:rsid w:val="00E407C8"/>
    <w:rsid w:val="00E43F8F"/>
    <w:rsid w:val="00E44C69"/>
    <w:rsid w:val="00E57A5F"/>
    <w:rsid w:val="00E67DF4"/>
    <w:rsid w:val="00E73767"/>
    <w:rsid w:val="00E8251E"/>
    <w:rsid w:val="00E8500B"/>
    <w:rsid w:val="00E943B4"/>
    <w:rsid w:val="00E96C7C"/>
    <w:rsid w:val="00E96D6C"/>
    <w:rsid w:val="00EA0E6B"/>
    <w:rsid w:val="00EA1DB4"/>
    <w:rsid w:val="00EA5FD7"/>
    <w:rsid w:val="00EA6475"/>
    <w:rsid w:val="00EB53A3"/>
    <w:rsid w:val="00EC6687"/>
    <w:rsid w:val="00ED174C"/>
    <w:rsid w:val="00ED528D"/>
    <w:rsid w:val="00F03980"/>
    <w:rsid w:val="00F145A7"/>
    <w:rsid w:val="00F26918"/>
    <w:rsid w:val="00F33C08"/>
    <w:rsid w:val="00F51371"/>
    <w:rsid w:val="00F54984"/>
    <w:rsid w:val="00F57E25"/>
    <w:rsid w:val="00F60E16"/>
    <w:rsid w:val="00F61E9B"/>
    <w:rsid w:val="00F62745"/>
    <w:rsid w:val="00F6281C"/>
    <w:rsid w:val="00F701E0"/>
    <w:rsid w:val="00F93575"/>
    <w:rsid w:val="00F93711"/>
    <w:rsid w:val="00F96298"/>
    <w:rsid w:val="00F97816"/>
    <w:rsid w:val="00FA15F5"/>
    <w:rsid w:val="00FB7214"/>
    <w:rsid w:val="00FC085D"/>
    <w:rsid w:val="00FD2707"/>
    <w:rsid w:val="00FE1D8F"/>
    <w:rsid w:val="00FF11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22F75"/>
  <w15:docId w15:val="{BBE16630-11F9-49F4-90F5-CE30D0C7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D0"/>
    <w:pPr>
      <w:spacing w:after="0" w:line="360" w:lineRule="auto"/>
    </w:pPr>
    <w:rPr>
      <w:rFonts w:ascii="Arial" w:hAnsi="Arial" w:cs="Arial"/>
      <w:color w:val="000000" w:themeColor="text1"/>
      <w:sz w:val="24"/>
      <w:szCs w:val="24"/>
    </w:rPr>
  </w:style>
  <w:style w:type="paragraph" w:styleId="Heading2">
    <w:name w:val="heading 2"/>
    <w:basedOn w:val="Normal"/>
    <w:next w:val="Normal"/>
    <w:link w:val="Heading2Char"/>
    <w:uiPriority w:val="9"/>
    <w:unhideWhenUsed/>
    <w:qFormat/>
    <w:rsid w:val="008F2AA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D0"/>
    <w:pPr>
      <w:ind w:left="720"/>
      <w:contextualSpacing/>
    </w:pPr>
  </w:style>
  <w:style w:type="paragraph" w:styleId="FootnoteText">
    <w:name w:val="footnote text"/>
    <w:basedOn w:val="Normal"/>
    <w:link w:val="FootnoteTextChar"/>
    <w:uiPriority w:val="99"/>
    <w:semiHidden/>
    <w:unhideWhenUsed/>
    <w:rsid w:val="00C91BD0"/>
    <w:rPr>
      <w:sz w:val="20"/>
      <w:szCs w:val="20"/>
    </w:rPr>
  </w:style>
  <w:style w:type="character" w:customStyle="1" w:styleId="FootnoteTextChar">
    <w:name w:val="Footnote Text Char"/>
    <w:basedOn w:val="DefaultParagraphFont"/>
    <w:link w:val="FootnoteText"/>
    <w:uiPriority w:val="99"/>
    <w:semiHidden/>
    <w:rsid w:val="00C91BD0"/>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C91BD0"/>
    <w:rPr>
      <w:vertAlign w:val="superscript"/>
    </w:rPr>
  </w:style>
  <w:style w:type="paragraph" w:styleId="Header">
    <w:name w:val="header"/>
    <w:basedOn w:val="Normal"/>
    <w:link w:val="HeaderChar"/>
    <w:uiPriority w:val="99"/>
    <w:unhideWhenUsed/>
    <w:rsid w:val="004F0FEF"/>
    <w:pPr>
      <w:tabs>
        <w:tab w:val="center" w:pos="4513"/>
        <w:tab w:val="right" w:pos="9026"/>
      </w:tabs>
      <w:spacing w:line="240" w:lineRule="auto"/>
    </w:pPr>
  </w:style>
  <w:style w:type="character" w:customStyle="1" w:styleId="HeaderChar">
    <w:name w:val="Header Char"/>
    <w:basedOn w:val="DefaultParagraphFont"/>
    <w:link w:val="Header"/>
    <w:uiPriority w:val="99"/>
    <w:rsid w:val="004F0FEF"/>
    <w:rPr>
      <w:rFonts w:ascii="Arial" w:hAnsi="Arial" w:cs="Arial"/>
      <w:color w:val="000000" w:themeColor="text1"/>
      <w:sz w:val="24"/>
      <w:szCs w:val="24"/>
    </w:rPr>
  </w:style>
  <w:style w:type="paragraph" w:styleId="Footer">
    <w:name w:val="footer"/>
    <w:basedOn w:val="Normal"/>
    <w:link w:val="FooterChar"/>
    <w:uiPriority w:val="99"/>
    <w:unhideWhenUsed/>
    <w:rsid w:val="004F0FEF"/>
    <w:pPr>
      <w:tabs>
        <w:tab w:val="center" w:pos="4513"/>
        <w:tab w:val="right" w:pos="9026"/>
      </w:tabs>
      <w:spacing w:line="240" w:lineRule="auto"/>
    </w:pPr>
  </w:style>
  <w:style w:type="character" w:customStyle="1" w:styleId="FooterChar">
    <w:name w:val="Footer Char"/>
    <w:basedOn w:val="DefaultParagraphFont"/>
    <w:link w:val="Footer"/>
    <w:uiPriority w:val="99"/>
    <w:rsid w:val="004F0FEF"/>
    <w:rPr>
      <w:rFonts w:ascii="Arial" w:hAnsi="Arial" w:cs="Arial"/>
      <w:color w:val="000000" w:themeColor="text1"/>
      <w:sz w:val="24"/>
      <w:szCs w:val="24"/>
    </w:rPr>
  </w:style>
  <w:style w:type="paragraph" w:styleId="BalloonText">
    <w:name w:val="Balloon Text"/>
    <w:basedOn w:val="Normal"/>
    <w:link w:val="BalloonTextChar"/>
    <w:uiPriority w:val="99"/>
    <w:semiHidden/>
    <w:unhideWhenUsed/>
    <w:rsid w:val="00C27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6C"/>
    <w:rPr>
      <w:rFonts w:ascii="Tahoma" w:hAnsi="Tahoma" w:cs="Tahoma"/>
      <w:color w:val="000000" w:themeColor="text1"/>
      <w:sz w:val="16"/>
      <w:szCs w:val="16"/>
    </w:rPr>
  </w:style>
  <w:style w:type="character" w:styleId="Strong">
    <w:name w:val="Strong"/>
    <w:basedOn w:val="DefaultParagraphFont"/>
    <w:uiPriority w:val="22"/>
    <w:qFormat/>
    <w:rsid w:val="00724392"/>
    <w:rPr>
      <w:b/>
      <w:bCs/>
    </w:rPr>
  </w:style>
  <w:style w:type="character" w:customStyle="1" w:styleId="Heading2Char">
    <w:name w:val="Heading 2 Char"/>
    <w:basedOn w:val="DefaultParagraphFont"/>
    <w:link w:val="Heading2"/>
    <w:uiPriority w:val="9"/>
    <w:rsid w:val="008F2AA8"/>
    <w:rPr>
      <w:rFonts w:asciiTheme="majorHAnsi" w:eastAsiaTheme="majorEastAsia" w:hAnsiTheme="majorHAnsi" w:cstheme="majorBidi"/>
      <w:b/>
      <w:bCs/>
      <w:color w:val="5B9BD5" w:themeColor="accent1"/>
      <w:sz w:val="26"/>
      <w:szCs w:val="26"/>
    </w:rPr>
  </w:style>
  <w:style w:type="paragraph" w:styleId="Revision">
    <w:name w:val="Revision"/>
    <w:hidden/>
    <w:uiPriority w:val="99"/>
    <w:semiHidden/>
    <w:rsid w:val="004B5B30"/>
    <w:pPr>
      <w:spacing w:after="0" w:line="240" w:lineRule="auto"/>
    </w:pPr>
    <w:rPr>
      <w:rFonts w:ascii="Arial" w:hAnsi="Arial" w:cs="Arial"/>
      <w:color w:val="000000" w:themeColor="text1"/>
      <w:sz w:val="24"/>
      <w:szCs w:val="24"/>
    </w:rPr>
  </w:style>
  <w:style w:type="paragraph" w:styleId="NoSpacing">
    <w:name w:val="No Spacing"/>
    <w:uiPriority w:val="1"/>
    <w:qFormat/>
    <w:rsid w:val="00707240"/>
    <w:pPr>
      <w:spacing w:after="0" w:line="240" w:lineRule="auto"/>
    </w:pPr>
    <w:rPr>
      <w:rFonts w:ascii="Arial"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1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50388'%5d&amp;xhitlist_md=target-id=0-0-0-193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610a30062021e402a681e420640fd29d">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c52af6bc91b9798a04ff625b377966b7"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11EF4-8D04-4C0A-875D-77EB97250180}">
  <ds:schemaRefs>
    <ds:schemaRef ds:uri="http://schemas.microsoft.com/sharepoint/v3/contenttype/forms"/>
  </ds:schemaRefs>
</ds:datastoreItem>
</file>

<file path=customXml/itemProps2.xml><?xml version="1.0" encoding="utf-8"?>
<ds:datastoreItem xmlns:ds="http://schemas.openxmlformats.org/officeDocument/2006/customXml" ds:itemID="{22DAE4C2-49A1-41EB-BD83-739EA3DF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B16A6-4F5D-4D98-AF50-4207178710A0}">
  <ds:schemaRefs>
    <ds:schemaRef ds:uri="http://schemas.microsoft.com/office/2006/metadata/properties"/>
    <ds:schemaRef ds:uri="http://schemas.microsoft.com/office/infopath/2007/PartnerControls"/>
    <ds:schemaRef ds:uri="51d8eaa0-293e-4b49-b7e8-af3655085324"/>
  </ds:schemaRefs>
</ds:datastoreItem>
</file>

<file path=customXml/itemProps4.xml><?xml version="1.0" encoding="utf-8"?>
<ds:datastoreItem xmlns:ds="http://schemas.openxmlformats.org/officeDocument/2006/customXml" ds:itemID="{8E9949B7-3B27-4E14-981A-350C3569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3255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NCengani@justice.gov.za</dc:creator>
  <cp:lastModifiedBy>Nomakorinte Ntliziywana</cp:lastModifiedBy>
  <cp:revision>2</cp:revision>
  <cp:lastPrinted>2023-11-07T13:34:00Z</cp:lastPrinted>
  <dcterms:created xsi:type="dcterms:W3CDTF">2023-11-14T15:27:00Z</dcterms:created>
  <dcterms:modified xsi:type="dcterms:W3CDTF">2023-11-14T15:27:00Z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y fmtid="{D5CDD505-2E9C-101B-9397-08002B2CF9AE}" pid="3" name="GrammarlyDocumentId">
    <vt:lpwstr>1573b1d33b9afc3431a225abb679af62988cb4dfae18de6c957f2288cb3a50c8</vt:lpwstr>
  </property>
</Properties>
</file>