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22D8" w14:textId="77777777" w:rsidR="00C91BD0" w:rsidRPr="00F34416" w:rsidRDefault="00C91BD0" w:rsidP="00C91BD0">
      <w:pPr>
        <w:jc w:val="center"/>
        <w:rPr>
          <w:lang w:val="en-GB"/>
        </w:rPr>
      </w:pPr>
      <w:r w:rsidRPr="00F34416">
        <w:rPr>
          <w:noProof/>
          <w:lang w:eastAsia="en-ZA"/>
        </w:rPr>
        <w:drawing>
          <wp:inline distT="0" distB="0" distL="0" distR="0" wp14:anchorId="1F7F854E" wp14:editId="7A29BC73">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28585873" w14:textId="77777777" w:rsidR="00C63538" w:rsidRDefault="00C63538" w:rsidP="006D715B">
      <w:pPr>
        <w:jc w:val="center"/>
        <w:rPr>
          <w:b/>
          <w:bCs/>
          <w:lang w:val="en-GB"/>
        </w:rPr>
      </w:pPr>
    </w:p>
    <w:p w14:paraId="26FE7073" w14:textId="77777777" w:rsidR="00C63538" w:rsidRPr="00C63538" w:rsidRDefault="00C63538" w:rsidP="00EF3E4E">
      <w:pPr>
        <w:keepNext/>
        <w:keepLines/>
        <w:spacing w:before="40"/>
        <w:jc w:val="center"/>
        <w:outlineLvl w:val="1"/>
        <w:rPr>
          <w:rFonts w:eastAsiaTheme="majorEastAsia"/>
          <w:b/>
          <w:color w:val="auto"/>
          <w:lang w:eastAsia="en-ZA"/>
        </w:rPr>
      </w:pPr>
      <w:r w:rsidRPr="00C63538">
        <w:rPr>
          <w:rFonts w:eastAsiaTheme="majorEastAsia"/>
          <w:b/>
          <w:color w:val="auto"/>
          <w:lang w:eastAsia="en-ZA"/>
        </w:rPr>
        <w:t>IN THE HIGH COURT OF SOUTH AFRICA</w:t>
      </w:r>
    </w:p>
    <w:p w14:paraId="0A2CABB2" w14:textId="102AB0B1" w:rsidR="00C63538" w:rsidRPr="00C63538" w:rsidRDefault="00C63538" w:rsidP="00EF3E4E">
      <w:pPr>
        <w:spacing w:after="200"/>
        <w:jc w:val="center"/>
        <w:rPr>
          <w:rFonts w:eastAsia="Times New Roman"/>
          <w:b/>
          <w:color w:val="auto"/>
          <w:lang w:eastAsia="en-ZA"/>
        </w:rPr>
      </w:pPr>
      <w:r w:rsidRPr="00C63538">
        <w:rPr>
          <w:rFonts w:eastAsia="Times New Roman"/>
          <w:b/>
          <w:color w:val="auto"/>
          <w:lang w:eastAsia="en-ZA"/>
        </w:rPr>
        <w:t xml:space="preserve">(EASTERN CAPE DIVISION, </w:t>
      </w:r>
      <w:r w:rsidR="00925F06">
        <w:rPr>
          <w:rFonts w:eastAsia="Times New Roman"/>
          <w:b/>
          <w:color w:val="auto"/>
          <w:lang w:eastAsia="en-ZA"/>
        </w:rPr>
        <w:t>MTHATHA</w:t>
      </w:r>
      <w:r w:rsidRPr="00C63538">
        <w:rPr>
          <w:rFonts w:eastAsia="Times New Roman"/>
          <w:b/>
          <w:color w:val="auto"/>
          <w:lang w:eastAsia="en-ZA"/>
        </w:rPr>
        <w:t>)</w:t>
      </w:r>
    </w:p>
    <w:tbl>
      <w:tblPr>
        <w:tblpPr w:leftFromText="180" w:rightFromText="180" w:vertAnchor="text" w:horzAnchor="margin" w:tblpXSpec="right" w:tblpY="373"/>
        <w:tblW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203"/>
      </w:tblGrid>
      <w:tr w:rsidR="00794C3F" w:rsidRPr="00C63538" w14:paraId="39530182" w14:textId="77777777" w:rsidTr="00EF3E4E">
        <w:trPr>
          <w:trHeight w:val="542"/>
        </w:trPr>
        <w:tc>
          <w:tcPr>
            <w:tcW w:w="1377" w:type="dxa"/>
          </w:tcPr>
          <w:p w14:paraId="12381C6D" w14:textId="77777777" w:rsidR="00794C3F" w:rsidRPr="00C63538" w:rsidRDefault="00794C3F" w:rsidP="00794C3F">
            <w:pPr>
              <w:spacing w:line="240" w:lineRule="auto"/>
              <w:rPr>
                <w:rFonts w:eastAsia="Times New Roman"/>
                <w:b/>
                <w:color w:val="auto"/>
                <w:sz w:val="20"/>
                <w:szCs w:val="20"/>
                <w:lang w:eastAsia="en-ZA"/>
              </w:rPr>
            </w:pPr>
          </w:p>
          <w:p w14:paraId="0DA74E67" w14:textId="77777777" w:rsidR="00794C3F" w:rsidRPr="00C63538" w:rsidRDefault="00794C3F" w:rsidP="00794C3F">
            <w:pPr>
              <w:spacing w:line="240" w:lineRule="auto"/>
              <w:jc w:val="center"/>
              <w:rPr>
                <w:rFonts w:eastAsia="Times New Roman"/>
                <w:b/>
                <w:color w:val="auto"/>
                <w:sz w:val="20"/>
                <w:szCs w:val="20"/>
                <w:lang w:eastAsia="en-ZA"/>
              </w:rPr>
            </w:pPr>
            <w:r w:rsidRPr="00C63538">
              <w:rPr>
                <w:rFonts w:eastAsia="Times New Roman"/>
                <w:b/>
                <w:color w:val="auto"/>
                <w:sz w:val="20"/>
                <w:szCs w:val="20"/>
                <w:lang w:eastAsia="en-ZA"/>
              </w:rPr>
              <w:t>Reportable</w:t>
            </w:r>
          </w:p>
        </w:tc>
        <w:tc>
          <w:tcPr>
            <w:tcW w:w="1203" w:type="dxa"/>
          </w:tcPr>
          <w:p w14:paraId="66777FDC" w14:textId="77777777" w:rsidR="00794C3F" w:rsidRPr="00C63538" w:rsidRDefault="00794C3F" w:rsidP="00794C3F">
            <w:pPr>
              <w:spacing w:line="240" w:lineRule="auto"/>
              <w:rPr>
                <w:rFonts w:eastAsia="Times New Roman"/>
                <w:b/>
                <w:color w:val="auto"/>
                <w:sz w:val="20"/>
                <w:szCs w:val="20"/>
                <w:lang w:eastAsia="en-ZA"/>
              </w:rPr>
            </w:pPr>
          </w:p>
          <w:p w14:paraId="11710ED7" w14:textId="77777777" w:rsidR="00794C3F" w:rsidRPr="00C63538" w:rsidRDefault="00794C3F" w:rsidP="00794C3F">
            <w:pPr>
              <w:spacing w:line="240" w:lineRule="auto"/>
              <w:jc w:val="center"/>
              <w:rPr>
                <w:rFonts w:eastAsia="Times New Roman"/>
                <w:b/>
                <w:color w:val="auto"/>
                <w:sz w:val="20"/>
                <w:szCs w:val="20"/>
                <w:lang w:eastAsia="en-ZA"/>
              </w:rPr>
            </w:pPr>
            <w:r w:rsidRPr="00C63538">
              <w:rPr>
                <w:rFonts w:eastAsia="Times New Roman"/>
                <w:b/>
                <w:color w:val="auto"/>
                <w:sz w:val="20"/>
                <w:szCs w:val="20"/>
                <w:lang w:eastAsia="en-ZA"/>
              </w:rPr>
              <w:t>Yes / No</w:t>
            </w:r>
          </w:p>
        </w:tc>
      </w:tr>
    </w:tbl>
    <w:p w14:paraId="6EC37CD1" w14:textId="141001C6" w:rsidR="00C63538" w:rsidRPr="00C63538" w:rsidRDefault="00C63538" w:rsidP="003339F2">
      <w:pPr>
        <w:spacing w:after="200" w:line="276" w:lineRule="auto"/>
        <w:ind w:left="2880" w:firstLine="720"/>
        <w:jc w:val="right"/>
        <w:rPr>
          <w:rFonts w:eastAsia="Times New Roman"/>
          <w:b/>
          <w:color w:val="auto"/>
          <w:lang w:eastAsia="en-ZA"/>
        </w:rPr>
      </w:pPr>
      <w:r w:rsidRPr="00C63538">
        <w:rPr>
          <w:rFonts w:eastAsia="Times New Roman"/>
          <w:b/>
          <w:color w:val="auto"/>
          <w:lang w:eastAsia="en-ZA"/>
        </w:rPr>
        <w:t>CASE NO</w:t>
      </w:r>
      <w:r w:rsidR="00925F06">
        <w:rPr>
          <w:rFonts w:eastAsia="Times New Roman"/>
          <w:b/>
          <w:color w:val="auto"/>
          <w:lang w:eastAsia="en-ZA"/>
        </w:rPr>
        <w:t xml:space="preserve">: </w:t>
      </w:r>
      <w:r w:rsidR="00C20110">
        <w:rPr>
          <w:rFonts w:eastAsia="Times New Roman"/>
          <w:b/>
          <w:color w:val="auto"/>
          <w:lang w:val="en-GB" w:eastAsia="en-ZA"/>
        </w:rPr>
        <w:t>2388/2017</w:t>
      </w:r>
    </w:p>
    <w:p w14:paraId="31094558" w14:textId="77777777" w:rsidR="00C63538" w:rsidRPr="00C63538" w:rsidRDefault="00C63538" w:rsidP="00C63538">
      <w:pPr>
        <w:spacing w:after="200" w:line="276" w:lineRule="auto"/>
        <w:jc w:val="both"/>
        <w:rPr>
          <w:rFonts w:eastAsia="Times New Roman"/>
          <w:color w:val="auto"/>
          <w:lang w:eastAsia="en-ZA"/>
        </w:rPr>
      </w:pPr>
    </w:p>
    <w:p w14:paraId="4BB609A6" w14:textId="77777777" w:rsidR="00C63538" w:rsidRPr="00C63538" w:rsidRDefault="00C63538" w:rsidP="00C63538">
      <w:pPr>
        <w:spacing w:after="200" w:line="276" w:lineRule="auto"/>
        <w:jc w:val="both"/>
        <w:rPr>
          <w:rFonts w:eastAsia="Times New Roman"/>
          <w:color w:val="auto"/>
          <w:lang w:eastAsia="en-ZA"/>
        </w:rPr>
      </w:pPr>
      <w:r w:rsidRPr="00C63538">
        <w:rPr>
          <w:rFonts w:eastAsia="Times New Roman"/>
          <w:color w:val="auto"/>
          <w:lang w:eastAsia="en-ZA"/>
        </w:rPr>
        <w:t>In the matter between:</w:t>
      </w:r>
    </w:p>
    <w:p w14:paraId="03E54BFF" w14:textId="77777777" w:rsidR="00794C3F" w:rsidRDefault="00794C3F" w:rsidP="00794C3F">
      <w:pPr>
        <w:ind w:right="-52"/>
        <w:rPr>
          <w:rFonts w:eastAsia="Times New Roman"/>
          <w:b/>
          <w:color w:val="auto"/>
          <w:lang w:eastAsia="en-ZA"/>
        </w:rPr>
      </w:pPr>
    </w:p>
    <w:p w14:paraId="3C68FB8E" w14:textId="18F6CCEB" w:rsidR="00925F06" w:rsidRPr="00EF3E4E" w:rsidRDefault="00925F06" w:rsidP="00EF3E4E">
      <w:pPr>
        <w:ind w:right="-52"/>
        <w:rPr>
          <w:lang w:val="en-GB"/>
        </w:rPr>
      </w:pPr>
      <w:r>
        <w:rPr>
          <w:rFonts w:eastAsia="Times New Roman"/>
          <w:b/>
          <w:color w:val="auto"/>
          <w:lang w:eastAsia="en-ZA"/>
        </w:rPr>
        <w:t>PHILASANDE KINASE</w:t>
      </w:r>
      <w:r w:rsidR="00C63538" w:rsidRPr="00C63538">
        <w:rPr>
          <w:rFonts w:eastAsia="Times New Roman"/>
          <w:b/>
          <w:color w:val="auto"/>
          <w:lang w:eastAsia="en-ZA"/>
        </w:rPr>
        <w:tab/>
      </w:r>
      <w:r w:rsidR="00C63538" w:rsidRPr="00C63538">
        <w:rPr>
          <w:rFonts w:eastAsia="Times New Roman"/>
          <w:b/>
          <w:color w:val="auto"/>
          <w:lang w:eastAsia="en-ZA"/>
        </w:rPr>
        <w:tab/>
      </w:r>
      <w:r w:rsidR="00C63538" w:rsidRPr="00C63538">
        <w:rPr>
          <w:rFonts w:eastAsia="Times New Roman"/>
          <w:b/>
          <w:color w:val="auto"/>
          <w:lang w:eastAsia="en-ZA"/>
        </w:rPr>
        <w:tab/>
      </w:r>
      <w:r w:rsidR="00C63538" w:rsidRPr="00C63538">
        <w:rPr>
          <w:rFonts w:eastAsia="Times New Roman"/>
          <w:b/>
          <w:color w:val="auto"/>
          <w:lang w:eastAsia="en-ZA"/>
        </w:rPr>
        <w:tab/>
      </w:r>
      <w:r w:rsidR="00C63538" w:rsidRPr="00C63538">
        <w:rPr>
          <w:rFonts w:eastAsia="Times New Roman"/>
          <w:b/>
          <w:color w:val="auto"/>
          <w:lang w:eastAsia="en-ZA"/>
        </w:rPr>
        <w:tab/>
      </w:r>
      <w:r w:rsidR="00C63538" w:rsidRPr="00C63538">
        <w:rPr>
          <w:rFonts w:eastAsia="Times New Roman"/>
          <w:b/>
          <w:color w:val="auto"/>
          <w:lang w:eastAsia="en-ZA"/>
        </w:rPr>
        <w:tab/>
      </w:r>
      <w:r w:rsidR="00C63538" w:rsidRPr="00C63538">
        <w:rPr>
          <w:rFonts w:eastAsia="Times New Roman"/>
          <w:b/>
          <w:color w:val="auto"/>
          <w:lang w:eastAsia="en-ZA"/>
        </w:rPr>
        <w:tab/>
      </w:r>
      <w:r w:rsidR="00CA0EBD">
        <w:rPr>
          <w:rFonts w:eastAsia="Times New Roman"/>
          <w:b/>
          <w:color w:val="auto"/>
          <w:lang w:eastAsia="en-ZA"/>
        </w:rPr>
        <w:t xml:space="preserve"> </w:t>
      </w:r>
      <w:r w:rsidRPr="00C63538">
        <w:rPr>
          <w:rFonts w:eastAsia="Times New Roman"/>
          <w:b/>
          <w:color w:val="auto"/>
          <w:lang w:eastAsia="en-ZA"/>
        </w:rPr>
        <w:t>PLAINTIFF</w:t>
      </w:r>
      <w:r w:rsidRPr="00581881">
        <w:rPr>
          <w:lang w:val="en-GB"/>
        </w:rPr>
        <w:t xml:space="preserve">                                                                           </w:t>
      </w:r>
    </w:p>
    <w:p w14:paraId="200EB371" w14:textId="22874184" w:rsidR="00C63538" w:rsidRPr="00C63538" w:rsidRDefault="00C63538" w:rsidP="00C63538">
      <w:pPr>
        <w:spacing w:after="200" w:line="276" w:lineRule="auto"/>
        <w:jc w:val="both"/>
        <w:rPr>
          <w:rFonts w:eastAsia="Times New Roman"/>
          <w:b/>
          <w:color w:val="auto"/>
          <w:lang w:eastAsia="en-ZA"/>
        </w:rPr>
      </w:pPr>
    </w:p>
    <w:p w14:paraId="7048D331" w14:textId="740FFD4B" w:rsidR="00C63538" w:rsidRPr="00EF3E4E" w:rsidRDefault="00C63538" w:rsidP="00C63538">
      <w:pPr>
        <w:spacing w:after="200" w:line="276" w:lineRule="auto"/>
        <w:jc w:val="both"/>
        <w:rPr>
          <w:rFonts w:eastAsia="Times New Roman"/>
          <w:bCs/>
          <w:color w:val="auto"/>
          <w:lang w:eastAsia="en-ZA"/>
        </w:rPr>
      </w:pPr>
      <w:r w:rsidRPr="00EF3E4E">
        <w:rPr>
          <w:rFonts w:eastAsia="Times New Roman"/>
          <w:bCs/>
          <w:color w:val="auto"/>
          <w:lang w:eastAsia="en-ZA"/>
        </w:rPr>
        <w:t>and</w:t>
      </w:r>
    </w:p>
    <w:p w14:paraId="34DAF138" w14:textId="77777777" w:rsidR="00C63538" w:rsidRPr="00C63538" w:rsidRDefault="00C63538" w:rsidP="00C63538">
      <w:pPr>
        <w:spacing w:after="200" w:line="276" w:lineRule="auto"/>
        <w:jc w:val="both"/>
        <w:rPr>
          <w:rFonts w:eastAsia="Times New Roman"/>
          <w:b/>
          <w:color w:val="auto"/>
          <w:lang w:eastAsia="en-ZA"/>
        </w:rPr>
      </w:pPr>
    </w:p>
    <w:p w14:paraId="4E64B2E8" w14:textId="501C1725" w:rsidR="00C63538" w:rsidRPr="00C63538" w:rsidRDefault="00925F06" w:rsidP="00EF3E4E">
      <w:pPr>
        <w:spacing w:after="200" w:line="276" w:lineRule="auto"/>
        <w:jc w:val="right"/>
        <w:rPr>
          <w:rFonts w:eastAsia="Times New Roman"/>
          <w:b/>
          <w:color w:val="auto"/>
          <w:lang w:eastAsia="en-ZA"/>
        </w:rPr>
      </w:pPr>
      <w:r>
        <w:rPr>
          <w:rFonts w:eastAsia="Times New Roman"/>
          <w:b/>
          <w:color w:val="auto"/>
          <w:lang w:eastAsia="en-ZA"/>
        </w:rPr>
        <w:t>MINISTER OF POLICE</w:t>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r>
      <w:r w:rsidR="00C63538" w:rsidRPr="00C63538">
        <w:rPr>
          <w:rFonts w:eastAsia="Times New Roman"/>
          <w:b/>
          <w:color w:val="auto"/>
          <w:lang w:eastAsia="en-ZA"/>
        </w:rPr>
        <w:tab/>
      </w:r>
      <w:r>
        <w:rPr>
          <w:rFonts w:eastAsia="Times New Roman"/>
          <w:b/>
          <w:color w:val="auto"/>
          <w:lang w:eastAsia="en-ZA"/>
        </w:rPr>
        <w:t xml:space="preserve"> 1</w:t>
      </w:r>
      <w:r w:rsidRPr="00925F06">
        <w:rPr>
          <w:rFonts w:eastAsia="Times New Roman"/>
          <w:b/>
          <w:color w:val="auto"/>
          <w:vertAlign w:val="superscript"/>
          <w:lang w:eastAsia="en-ZA"/>
        </w:rPr>
        <w:t>ST</w:t>
      </w:r>
      <w:r>
        <w:rPr>
          <w:rFonts w:eastAsia="Times New Roman"/>
          <w:b/>
          <w:color w:val="auto"/>
          <w:lang w:eastAsia="en-ZA"/>
        </w:rPr>
        <w:t xml:space="preserve"> </w:t>
      </w:r>
      <w:r w:rsidRPr="00C63538">
        <w:rPr>
          <w:rFonts w:eastAsia="Times New Roman"/>
          <w:b/>
          <w:color w:val="auto"/>
          <w:lang w:eastAsia="en-ZA"/>
        </w:rPr>
        <w:t>DEFENDANT</w:t>
      </w:r>
    </w:p>
    <w:p w14:paraId="083045A7" w14:textId="5160BECD" w:rsidR="00C63538" w:rsidRPr="00C63538" w:rsidRDefault="00925F06" w:rsidP="00C63538">
      <w:pPr>
        <w:spacing w:after="200" w:line="276" w:lineRule="auto"/>
        <w:jc w:val="both"/>
        <w:rPr>
          <w:rFonts w:eastAsia="Times New Roman"/>
          <w:b/>
          <w:color w:val="auto"/>
          <w:lang w:eastAsia="en-ZA"/>
        </w:rPr>
      </w:pPr>
      <w:r w:rsidRPr="00925F06">
        <w:rPr>
          <w:rFonts w:eastAsia="Times New Roman"/>
          <w:b/>
          <w:color w:val="auto"/>
          <w:lang w:eastAsia="en-ZA"/>
        </w:rPr>
        <w:t>NATIONAL DIRECTOR OF PUBLIC PROSECUTION</w:t>
      </w:r>
      <w:r>
        <w:rPr>
          <w:rFonts w:eastAsia="Times New Roman"/>
          <w:b/>
          <w:color w:val="auto"/>
          <w:lang w:eastAsia="en-ZA"/>
        </w:rPr>
        <w:tab/>
      </w:r>
      <w:r>
        <w:rPr>
          <w:rFonts w:eastAsia="Times New Roman"/>
          <w:b/>
          <w:color w:val="auto"/>
          <w:lang w:eastAsia="en-ZA"/>
        </w:rPr>
        <w:tab/>
      </w:r>
      <w:r>
        <w:rPr>
          <w:rFonts w:eastAsia="Times New Roman"/>
          <w:b/>
          <w:color w:val="auto"/>
          <w:lang w:eastAsia="en-ZA"/>
        </w:rPr>
        <w:tab/>
        <w:t xml:space="preserve"> 2</w:t>
      </w:r>
      <w:r w:rsidRPr="00EF3E4E">
        <w:rPr>
          <w:rFonts w:eastAsia="Times New Roman"/>
          <w:b/>
          <w:color w:val="auto"/>
          <w:vertAlign w:val="superscript"/>
          <w:lang w:eastAsia="en-ZA"/>
        </w:rPr>
        <w:t>ND</w:t>
      </w:r>
      <w:r>
        <w:rPr>
          <w:rFonts w:eastAsia="Times New Roman"/>
          <w:b/>
          <w:color w:val="auto"/>
          <w:lang w:eastAsia="en-ZA"/>
        </w:rPr>
        <w:t xml:space="preserve"> DEFENDANT</w:t>
      </w:r>
      <w:r w:rsidRPr="00925F06">
        <w:rPr>
          <w:rFonts w:eastAsia="Times New Roman"/>
          <w:b/>
          <w:color w:val="auto"/>
          <w:lang w:eastAsia="en-ZA"/>
        </w:rPr>
        <w:t xml:space="preserve">                   </w:t>
      </w:r>
    </w:p>
    <w:p w14:paraId="3EECC334" w14:textId="77777777" w:rsidR="00C63538" w:rsidRPr="00C63538" w:rsidRDefault="00C63538" w:rsidP="00C63538">
      <w:pPr>
        <w:pBdr>
          <w:top w:val="single" w:sz="12" w:space="1" w:color="auto"/>
          <w:bottom w:val="single" w:sz="12" w:space="1" w:color="auto"/>
        </w:pBdr>
        <w:spacing w:after="200" w:line="276" w:lineRule="auto"/>
        <w:jc w:val="center"/>
        <w:rPr>
          <w:rFonts w:eastAsia="Times New Roman"/>
          <w:b/>
          <w:color w:val="auto"/>
          <w:lang w:eastAsia="en-ZA"/>
        </w:rPr>
      </w:pPr>
    </w:p>
    <w:p w14:paraId="1C0969D3" w14:textId="27C22F89" w:rsidR="00C63538" w:rsidRPr="00C63538" w:rsidRDefault="00C63538" w:rsidP="00C63538">
      <w:pPr>
        <w:pBdr>
          <w:top w:val="single" w:sz="12" w:space="1" w:color="auto"/>
          <w:bottom w:val="single" w:sz="12" w:space="1" w:color="auto"/>
        </w:pBdr>
        <w:spacing w:after="200" w:line="276" w:lineRule="auto"/>
        <w:jc w:val="center"/>
        <w:rPr>
          <w:rFonts w:eastAsia="Times New Roman"/>
          <w:b/>
          <w:color w:val="auto"/>
          <w:sz w:val="28"/>
          <w:szCs w:val="28"/>
          <w:lang w:eastAsia="en-ZA"/>
        </w:rPr>
      </w:pPr>
      <w:r w:rsidRPr="00C63538">
        <w:rPr>
          <w:rFonts w:eastAsia="Times New Roman"/>
          <w:b/>
          <w:color w:val="auto"/>
          <w:sz w:val="28"/>
          <w:szCs w:val="28"/>
          <w:lang w:eastAsia="en-ZA"/>
        </w:rPr>
        <w:t>JUDGMENT</w:t>
      </w:r>
    </w:p>
    <w:p w14:paraId="302D8584" w14:textId="77777777" w:rsidR="00C63538" w:rsidRPr="00C63538" w:rsidRDefault="00C63538" w:rsidP="00C63538">
      <w:pPr>
        <w:pBdr>
          <w:top w:val="single" w:sz="12" w:space="1" w:color="auto"/>
          <w:bottom w:val="single" w:sz="12" w:space="1" w:color="auto"/>
        </w:pBdr>
        <w:spacing w:after="200" w:line="276" w:lineRule="auto"/>
        <w:jc w:val="center"/>
        <w:rPr>
          <w:rFonts w:eastAsia="Times New Roman"/>
          <w:b/>
          <w:color w:val="auto"/>
          <w:lang w:eastAsia="en-ZA"/>
        </w:rPr>
      </w:pPr>
    </w:p>
    <w:p w14:paraId="5D67E5D4" w14:textId="6347A554" w:rsidR="00C63538" w:rsidRDefault="00925F06" w:rsidP="00C63538">
      <w:pPr>
        <w:spacing w:after="200" w:line="480" w:lineRule="auto"/>
        <w:jc w:val="both"/>
        <w:rPr>
          <w:rFonts w:eastAsia="Times New Roman"/>
          <w:b/>
          <w:color w:val="auto"/>
          <w:lang w:eastAsia="en-ZA"/>
        </w:rPr>
      </w:pPr>
      <w:r w:rsidRPr="00925F06">
        <w:rPr>
          <w:rFonts w:eastAsia="Times New Roman"/>
          <w:b/>
          <w:color w:val="auto"/>
          <w:lang w:eastAsia="en-ZA"/>
        </w:rPr>
        <w:t>CENGANI</w:t>
      </w:r>
      <w:r w:rsidR="00A67D54">
        <w:rPr>
          <w:rFonts w:eastAsia="Times New Roman"/>
          <w:b/>
          <w:color w:val="auto"/>
          <w:lang w:eastAsia="en-ZA"/>
        </w:rPr>
        <w:t>-</w:t>
      </w:r>
      <w:r w:rsidRPr="00925F06">
        <w:rPr>
          <w:rFonts w:eastAsia="Times New Roman"/>
          <w:b/>
          <w:color w:val="auto"/>
          <w:lang w:eastAsia="en-ZA"/>
        </w:rPr>
        <w:t>MBAKAZA AJ</w:t>
      </w:r>
    </w:p>
    <w:p w14:paraId="428B7FEC" w14:textId="4D11BE70" w:rsidR="00273C4E" w:rsidRPr="00C63538" w:rsidRDefault="00E161F5" w:rsidP="00C63538">
      <w:pPr>
        <w:spacing w:after="200" w:line="480" w:lineRule="auto"/>
        <w:jc w:val="both"/>
        <w:rPr>
          <w:rFonts w:eastAsia="Times New Roman"/>
          <w:b/>
          <w:color w:val="auto"/>
          <w:lang w:eastAsia="en-ZA"/>
        </w:rPr>
      </w:pPr>
      <w:r w:rsidRPr="003339F2">
        <w:rPr>
          <w:rFonts w:eastAsia="Times New Roman"/>
          <w:b/>
          <w:color w:val="auto"/>
          <w:lang w:eastAsia="en-ZA"/>
        </w:rPr>
        <w:t>A.</w:t>
      </w:r>
      <w:r>
        <w:rPr>
          <w:rFonts w:eastAsia="Times New Roman"/>
          <w:color w:val="auto"/>
          <w:lang w:eastAsia="en-ZA"/>
        </w:rPr>
        <w:tab/>
      </w:r>
      <w:r w:rsidR="00273C4E" w:rsidRPr="003339F2">
        <w:rPr>
          <w:rFonts w:eastAsia="Times New Roman"/>
          <w:b/>
          <w:color w:val="auto"/>
          <w:u w:val="single"/>
          <w:lang w:eastAsia="en-ZA"/>
        </w:rPr>
        <w:t>Introduction</w:t>
      </w:r>
      <w:r>
        <w:rPr>
          <w:rFonts w:eastAsia="Times New Roman"/>
          <w:b/>
          <w:color w:val="auto"/>
          <w:lang w:eastAsia="en-ZA"/>
        </w:rPr>
        <w:t>:</w:t>
      </w:r>
    </w:p>
    <w:p w14:paraId="4148AB10" w14:textId="1108167D" w:rsidR="00925F06" w:rsidRDefault="00C63538" w:rsidP="00925F06">
      <w:pPr>
        <w:spacing w:after="200" w:line="480" w:lineRule="auto"/>
        <w:jc w:val="both"/>
        <w:rPr>
          <w:rFonts w:eastAsia="Times New Roman"/>
          <w:color w:val="auto"/>
          <w:lang w:eastAsia="en-ZA"/>
        </w:rPr>
      </w:pPr>
      <w:r w:rsidRPr="00C63538">
        <w:rPr>
          <w:rFonts w:eastAsia="Times New Roman"/>
          <w:color w:val="auto"/>
          <w:lang w:eastAsia="en-ZA"/>
        </w:rPr>
        <w:t>[1]</w:t>
      </w:r>
      <w:r w:rsidRPr="00C63538">
        <w:rPr>
          <w:rFonts w:eastAsia="Times New Roman"/>
          <w:color w:val="auto"/>
          <w:lang w:eastAsia="en-ZA"/>
        </w:rPr>
        <w:tab/>
      </w:r>
      <w:r w:rsidR="00925F06" w:rsidRPr="00925F06">
        <w:rPr>
          <w:rFonts w:eastAsia="Times New Roman"/>
          <w:color w:val="auto"/>
          <w:lang w:eastAsia="en-ZA"/>
        </w:rPr>
        <w:t xml:space="preserve">The plaintiff instituted action for damages in this court against the Minister of Police, (the 1st </w:t>
      </w:r>
      <w:r w:rsidR="001D117E">
        <w:rPr>
          <w:rFonts w:eastAsia="Times New Roman"/>
          <w:color w:val="auto"/>
          <w:lang w:eastAsia="en-ZA"/>
        </w:rPr>
        <w:t>d</w:t>
      </w:r>
      <w:r w:rsidR="00925F06" w:rsidRPr="00925F06">
        <w:rPr>
          <w:rFonts w:eastAsia="Times New Roman"/>
          <w:color w:val="auto"/>
          <w:lang w:eastAsia="en-ZA"/>
        </w:rPr>
        <w:t xml:space="preserve">efendant) and the National Director of Public Prosecutions (NDPP), (the 2nd </w:t>
      </w:r>
      <w:r w:rsidR="00EF3E4E">
        <w:rPr>
          <w:rFonts w:eastAsia="Times New Roman"/>
          <w:color w:val="auto"/>
          <w:lang w:eastAsia="en-ZA"/>
        </w:rPr>
        <w:t>d</w:t>
      </w:r>
      <w:r w:rsidR="00273C4E" w:rsidRPr="00925F06">
        <w:rPr>
          <w:rFonts w:eastAsia="Times New Roman"/>
          <w:color w:val="auto"/>
          <w:lang w:eastAsia="en-ZA"/>
        </w:rPr>
        <w:t>efendant</w:t>
      </w:r>
      <w:r w:rsidR="00925F06" w:rsidRPr="00925F06">
        <w:rPr>
          <w:rFonts w:eastAsia="Times New Roman"/>
          <w:color w:val="auto"/>
          <w:lang w:eastAsia="en-ZA"/>
        </w:rPr>
        <w:t xml:space="preserve">). In respect of the 1st defendant, the claim is premised on unlawful arrest and detention by members of the South African Police Serve (SAPS), through its </w:t>
      </w:r>
      <w:r w:rsidR="00925F06" w:rsidRPr="00925F06">
        <w:rPr>
          <w:rFonts w:eastAsia="Times New Roman"/>
          <w:color w:val="auto"/>
          <w:lang w:eastAsia="en-ZA"/>
        </w:rPr>
        <w:lastRenderedPageBreak/>
        <w:t>employees who acted within the scope of their employment with the 1st defendant. In respect of the 2nd defendant, the</w:t>
      </w:r>
      <w:r w:rsidR="001D117E">
        <w:rPr>
          <w:rFonts w:eastAsia="Times New Roman"/>
          <w:color w:val="auto"/>
          <w:lang w:eastAsia="en-ZA"/>
        </w:rPr>
        <w:t xml:space="preserve"> plaintiff withdrew the claim for</w:t>
      </w:r>
      <w:r w:rsidR="00925F06" w:rsidRPr="00925F06">
        <w:rPr>
          <w:rFonts w:eastAsia="Times New Roman"/>
          <w:color w:val="auto"/>
          <w:lang w:eastAsia="en-ZA"/>
        </w:rPr>
        <w:t xml:space="preserve"> malicious prosecution</w:t>
      </w:r>
      <w:r w:rsidR="001D117E">
        <w:rPr>
          <w:rFonts w:eastAsia="Times New Roman"/>
          <w:color w:val="auto"/>
          <w:lang w:eastAsia="en-ZA"/>
        </w:rPr>
        <w:t>.</w:t>
      </w:r>
      <w:r w:rsidR="00925F06" w:rsidRPr="00925F06">
        <w:rPr>
          <w:rFonts w:eastAsia="Times New Roman"/>
          <w:color w:val="auto"/>
          <w:lang w:eastAsia="en-ZA"/>
        </w:rPr>
        <w:t xml:space="preserve"> This notwithstanding, the plaintiff holds the NDPP jointly liable with the 1st defendant for unlawful detention.</w:t>
      </w:r>
    </w:p>
    <w:p w14:paraId="3817E2E7" w14:textId="77777777" w:rsidR="00794C3F" w:rsidRPr="00EF3E4E" w:rsidRDefault="00794C3F" w:rsidP="00925F06">
      <w:pPr>
        <w:spacing w:after="200" w:line="480" w:lineRule="auto"/>
        <w:jc w:val="both"/>
        <w:rPr>
          <w:rFonts w:eastAsia="Times New Roman"/>
          <w:b/>
          <w:bCs/>
          <w:color w:val="auto"/>
          <w:lang w:eastAsia="en-ZA"/>
        </w:rPr>
      </w:pPr>
    </w:p>
    <w:p w14:paraId="52035317" w14:textId="4E9E61F4" w:rsidR="00C63538" w:rsidRPr="00EF3E4E" w:rsidRDefault="00E161F5" w:rsidP="00EF3E4E">
      <w:pPr>
        <w:spacing w:after="200" w:line="480" w:lineRule="auto"/>
        <w:jc w:val="both"/>
        <w:rPr>
          <w:rFonts w:eastAsia="Times New Roman"/>
          <w:b/>
          <w:bCs/>
          <w:color w:val="auto"/>
          <w:lang w:eastAsia="en-ZA"/>
        </w:rPr>
      </w:pPr>
      <w:r w:rsidRPr="003339F2">
        <w:rPr>
          <w:rFonts w:eastAsia="Times New Roman"/>
          <w:b/>
          <w:bCs/>
          <w:color w:val="auto"/>
          <w:lang w:eastAsia="en-ZA"/>
        </w:rPr>
        <w:t>B.</w:t>
      </w:r>
      <w:r>
        <w:rPr>
          <w:rFonts w:eastAsia="Times New Roman"/>
          <w:bCs/>
          <w:color w:val="auto"/>
          <w:lang w:eastAsia="en-ZA"/>
        </w:rPr>
        <w:tab/>
      </w:r>
      <w:r w:rsidR="00925F06" w:rsidRPr="003339F2">
        <w:rPr>
          <w:rFonts w:eastAsia="Times New Roman"/>
          <w:b/>
          <w:bCs/>
          <w:color w:val="auto"/>
          <w:u w:val="single"/>
          <w:lang w:eastAsia="en-ZA"/>
        </w:rPr>
        <w:t>The Pleadings</w:t>
      </w:r>
      <w:r>
        <w:rPr>
          <w:rFonts w:eastAsia="Times New Roman"/>
          <w:b/>
          <w:bCs/>
          <w:color w:val="auto"/>
          <w:lang w:eastAsia="en-ZA"/>
        </w:rPr>
        <w:t>:</w:t>
      </w:r>
    </w:p>
    <w:p w14:paraId="0B3DAD16" w14:textId="77777777" w:rsidR="00925F06" w:rsidRDefault="00A50D74" w:rsidP="00925F06">
      <w:pPr>
        <w:spacing w:after="200" w:line="480" w:lineRule="auto"/>
        <w:jc w:val="both"/>
        <w:rPr>
          <w:rFonts w:eastAsia="Times New Roman"/>
          <w:color w:val="auto"/>
          <w:lang w:eastAsia="en-ZA"/>
        </w:rPr>
      </w:pPr>
      <w:r w:rsidRPr="00A50D74">
        <w:rPr>
          <w:rFonts w:eastAsia="Times New Roman"/>
          <w:color w:val="auto"/>
          <w:lang w:eastAsia="en-ZA"/>
        </w:rPr>
        <w:t>[</w:t>
      </w:r>
      <w:r w:rsidR="00925F06">
        <w:rPr>
          <w:rFonts w:eastAsia="Times New Roman"/>
          <w:color w:val="auto"/>
          <w:lang w:eastAsia="en-ZA"/>
        </w:rPr>
        <w:t>2</w:t>
      </w:r>
      <w:r w:rsidRPr="00A50D74">
        <w:rPr>
          <w:rFonts w:eastAsia="Times New Roman"/>
          <w:color w:val="auto"/>
          <w:lang w:eastAsia="en-ZA"/>
        </w:rPr>
        <w:t>]</w:t>
      </w:r>
      <w:r w:rsidRPr="00A50D74">
        <w:rPr>
          <w:rFonts w:eastAsia="Times New Roman"/>
          <w:color w:val="auto"/>
          <w:lang w:eastAsia="en-ZA"/>
        </w:rPr>
        <w:tab/>
      </w:r>
      <w:r w:rsidR="00925F06" w:rsidRPr="00925F06">
        <w:rPr>
          <w:rFonts w:eastAsia="Times New Roman"/>
          <w:color w:val="auto"/>
          <w:lang w:eastAsia="en-ZA"/>
        </w:rPr>
        <w:t>On 30 May 2017, the plaintiff issued a combined summons, the particulars of which are summarised as follows:</w:t>
      </w:r>
    </w:p>
    <w:p w14:paraId="2F64FE9C" w14:textId="2842863D" w:rsidR="00350610" w:rsidRPr="00997105" w:rsidRDefault="00997105" w:rsidP="00997105">
      <w:pPr>
        <w:spacing w:after="200" w:line="480" w:lineRule="auto"/>
        <w:ind w:left="720" w:hanging="360"/>
        <w:jc w:val="both"/>
        <w:rPr>
          <w:lang w:val="en-GB"/>
        </w:rPr>
      </w:pPr>
      <w:r>
        <w:rPr>
          <w:lang w:val="en-GB"/>
        </w:rPr>
        <w:t>(a)</w:t>
      </w:r>
      <w:r>
        <w:rPr>
          <w:lang w:val="en-GB"/>
        </w:rPr>
        <w:tab/>
      </w:r>
      <w:r w:rsidR="00925F06" w:rsidRPr="00997105">
        <w:rPr>
          <w:lang w:val="en-GB"/>
        </w:rPr>
        <w:t xml:space="preserve">On 11 November 2015 at </w:t>
      </w:r>
      <w:proofErr w:type="spellStart"/>
      <w:r w:rsidR="00925F06" w:rsidRPr="00997105">
        <w:rPr>
          <w:lang w:val="en-GB"/>
        </w:rPr>
        <w:t>Efata</w:t>
      </w:r>
      <w:proofErr w:type="spellEnd"/>
      <w:r w:rsidR="00925F06" w:rsidRPr="00997105">
        <w:rPr>
          <w:lang w:val="en-GB"/>
        </w:rPr>
        <w:t xml:space="preserve"> School for the Blind, Mthatha, Eastern Cape, the plaintiff was unlawfully arrested without a warrant by the members of </w:t>
      </w:r>
      <w:r w:rsidR="00273C4E" w:rsidRPr="00997105">
        <w:rPr>
          <w:lang w:val="en-GB"/>
        </w:rPr>
        <w:t xml:space="preserve">the </w:t>
      </w:r>
      <w:r w:rsidR="00925F06" w:rsidRPr="00997105">
        <w:rPr>
          <w:lang w:val="en-GB"/>
        </w:rPr>
        <w:t xml:space="preserve">South African Police Service attached to Central Police Station on allegations of murder. On 16 November 2015, he appeared before </w:t>
      </w:r>
      <w:r w:rsidR="00273C4E" w:rsidRPr="00997105">
        <w:rPr>
          <w:lang w:val="en-GB"/>
        </w:rPr>
        <w:t xml:space="preserve">the </w:t>
      </w:r>
      <w:r w:rsidR="00925F06" w:rsidRPr="00997105">
        <w:rPr>
          <w:lang w:val="en-GB"/>
        </w:rPr>
        <w:t xml:space="preserve">Mthatha Magistrate’s Court and </w:t>
      </w:r>
      <w:r w:rsidR="00433A5F" w:rsidRPr="00997105">
        <w:rPr>
          <w:lang w:val="en-GB"/>
        </w:rPr>
        <w:t>was later released on bail on 25</w:t>
      </w:r>
      <w:r w:rsidR="00925F06" w:rsidRPr="00997105">
        <w:rPr>
          <w:lang w:val="en-GB"/>
        </w:rPr>
        <w:t xml:space="preserve"> February 2016 following numerous postponements of the matter.</w:t>
      </w:r>
      <w:r w:rsidR="00350610" w:rsidRPr="00997105">
        <w:rPr>
          <w:lang w:val="en-GB"/>
        </w:rPr>
        <w:t xml:space="preserve"> </w:t>
      </w:r>
    </w:p>
    <w:p w14:paraId="17FC64B2" w14:textId="77777777" w:rsidR="00350610" w:rsidRDefault="00350610" w:rsidP="00EF3E4E">
      <w:pPr>
        <w:pStyle w:val="ListParagraph"/>
        <w:spacing w:after="200" w:line="480" w:lineRule="auto"/>
        <w:jc w:val="both"/>
        <w:rPr>
          <w:lang w:val="en-GB"/>
        </w:rPr>
      </w:pPr>
    </w:p>
    <w:p w14:paraId="104BA97E" w14:textId="1186867B" w:rsidR="00350610" w:rsidRPr="00997105" w:rsidRDefault="00997105" w:rsidP="00997105">
      <w:pPr>
        <w:spacing w:after="200" w:line="480" w:lineRule="auto"/>
        <w:ind w:left="720" w:hanging="360"/>
        <w:jc w:val="both"/>
        <w:rPr>
          <w:lang w:val="en-GB"/>
        </w:rPr>
      </w:pPr>
      <w:r>
        <w:rPr>
          <w:lang w:val="en-GB"/>
        </w:rPr>
        <w:t>(b)</w:t>
      </w:r>
      <w:r>
        <w:rPr>
          <w:lang w:val="en-GB"/>
        </w:rPr>
        <w:tab/>
      </w:r>
      <w:r w:rsidR="00350610" w:rsidRPr="00997105">
        <w:rPr>
          <w:lang w:val="en-GB"/>
        </w:rPr>
        <w:t>In addition, it is alleged that the 1</w:t>
      </w:r>
      <w:r w:rsidR="00350610" w:rsidRPr="00997105">
        <w:rPr>
          <w:vertAlign w:val="superscript"/>
          <w:lang w:val="en-GB"/>
        </w:rPr>
        <w:t>st</w:t>
      </w:r>
      <w:r w:rsidR="00350610" w:rsidRPr="00997105">
        <w:rPr>
          <w:lang w:val="en-GB"/>
        </w:rPr>
        <w:t xml:space="preserve"> defendant failed to bring the plaintiff to court within 48 hours, therefore the period of detention from 11 November 2015 to 25 February 2016 was unlawful and wrongful. </w:t>
      </w:r>
    </w:p>
    <w:p w14:paraId="41B2105A" w14:textId="77777777" w:rsidR="00350610" w:rsidRPr="00350610" w:rsidRDefault="00350610" w:rsidP="00EF3E4E">
      <w:pPr>
        <w:pStyle w:val="ListParagraph"/>
        <w:rPr>
          <w:lang w:val="en-GB"/>
        </w:rPr>
      </w:pPr>
    </w:p>
    <w:p w14:paraId="0DF737AB" w14:textId="08C6CB03" w:rsidR="00350610" w:rsidRPr="00997105" w:rsidRDefault="00997105" w:rsidP="00997105">
      <w:pPr>
        <w:spacing w:after="200" w:line="480" w:lineRule="auto"/>
        <w:ind w:left="720" w:hanging="360"/>
        <w:jc w:val="both"/>
        <w:rPr>
          <w:lang w:val="en-GB"/>
        </w:rPr>
      </w:pPr>
      <w:r>
        <w:rPr>
          <w:lang w:val="en-GB"/>
        </w:rPr>
        <w:t>(c)</w:t>
      </w:r>
      <w:r>
        <w:rPr>
          <w:lang w:val="en-GB"/>
        </w:rPr>
        <w:tab/>
      </w:r>
      <w:r w:rsidR="00350610" w:rsidRPr="00997105">
        <w:rPr>
          <w:lang w:val="en-GB"/>
        </w:rPr>
        <w:t>In consequence of the aforesaid, the plaintiff alleges that he suffered damages as follows:</w:t>
      </w:r>
    </w:p>
    <w:p w14:paraId="601F6586" w14:textId="77777777" w:rsidR="00350610" w:rsidRPr="00350610" w:rsidRDefault="00350610" w:rsidP="00EF3E4E">
      <w:pPr>
        <w:pStyle w:val="ListParagraph"/>
        <w:rPr>
          <w:lang w:val="en-GB"/>
        </w:rPr>
      </w:pPr>
    </w:p>
    <w:p w14:paraId="5228AE92" w14:textId="0F9DC263" w:rsidR="00350610" w:rsidRPr="00997105" w:rsidRDefault="00997105" w:rsidP="00997105">
      <w:pPr>
        <w:spacing w:after="200" w:line="480" w:lineRule="auto"/>
        <w:ind w:left="1440" w:hanging="720"/>
        <w:jc w:val="both"/>
        <w:rPr>
          <w:lang w:val="en-GB"/>
        </w:rPr>
      </w:pPr>
      <w:r w:rsidRPr="00EF3E4E">
        <w:rPr>
          <w:lang w:val="en-GB"/>
        </w:rPr>
        <w:t>(</w:t>
      </w:r>
      <w:proofErr w:type="spellStart"/>
      <w:r w:rsidRPr="00EF3E4E">
        <w:rPr>
          <w:lang w:val="en-GB"/>
        </w:rPr>
        <w:t>i</w:t>
      </w:r>
      <w:proofErr w:type="spellEnd"/>
      <w:r w:rsidRPr="00EF3E4E">
        <w:rPr>
          <w:lang w:val="en-GB"/>
        </w:rPr>
        <w:t>)</w:t>
      </w:r>
      <w:r w:rsidRPr="00EF3E4E">
        <w:rPr>
          <w:lang w:val="en-GB"/>
        </w:rPr>
        <w:tab/>
      </w:r>
      <w:r w:rsidR="00350610" w:rsidRPr="00997105">
        <w:rPr>
          <w:lang w:val="en-GB"/>
        </w:rPr>
        <w:t>R50 000</w:t>
      </w:r>
      <w:r w:rsidR="003A334F" w:rsidRPr="00997105">
        <w:rPr>
          <w:lang w:val="en-GB"/>
        </w:rPr>
        <w:t>(Fifty thousand rand)</w:t>
      </w:r>
      <w:r w:rsidR="00350610" w:rsidRPr="00997105">
        <w:rPr>
          <w:lang w:val="en-GB"/>
        </w:rPr>
        <w:t xml:space="preserve"> for unlawful arrest.</w:t>
      </w:r>
      <w:r w:rsidR="00350610" w:rsidRPr="00350610">
        <w:t xml:space="preserve"> </w:t>
      </w:r>
    </w:p>
    <w:p w14:paraId="0A416367" w14:textId="77777777" w:rsidR="00350610" w:rsidRPr="00EF3E4E" w:rsidRDefault="00350610" w:rsidP="00EF3E4E">
      <w:pPr>
        <w:pStyle w:val="ListParagraph"/>
        <w:spacing w:after="200" w:line="480" w:lineRule="auto"/>
        <w:ind w:left="1440"/>
        <w:jc w:val="both"/>
        <w:rPr>
          <w:lang w:val="en-GB"/>
        </w:rPr>
      </w:pPr>
    </w:p>
    <w:p w14:paraId="78465AEB" w14:textId="0E0FC1F7" w:rsidR="00350610" w:rsidRPr="00997105" w:rsidRDefault="00997105" w:rsidP="00997105">
      <w:pPr>
        <w:spacing w:after="200" w:line="480" w:lineRule="auto"/>
        <w:ind w:left="1440" w:hanging="720"/>
        <w:jc w:val="both"/>
        <w:rPr>
          <w:lang w:val="en-GB"/>
        </w:rPr>
      </w:pPr>
      <w:r>
        <w:rPr>
          <w:lang w:val="en-GB"/>
        </w:rPr>
        <w:t>(ii)</w:t>
      </w:r>
      <w:r>
        <w:rPr>
          <w:lang w:val="en-GB"/>
        </w:rPr>
        <w:tab/>
      </w:r>
      <w:r w:rsidR="00350610" w:rsidRPr="00997105">
        <w:rPr>
          <w:lang w:val="en-GB"/>
        </w:rPr>
        <w:t>R5950.00 (Five million nine hundred and fifty thousand rand) for unlawful detention and or/malicious deprivation of liberty.</w:t>
      </w:r>
    </w:p>
    <w:p w14:paraId="4BBC6201" w14:textId="77777777" w:rsidR="00273C4E" w:rsidRPr="00273C4E" w:rsidRDefault="00273C4E" w:rsidP="00EF3E4E">
      <w:pPr>
        <w:spacing w:after="200" w:line="480" w:lineRule="auto"/>
        <w:jc w:val="both"/>
        <w:rPr>
          <w:lang w:val="en-GB"/>
        </w:rPr>
      </w:pPr>
    </w:p>
    <w:p w14:paraId="28B51C72" w14:textId="1E8F60C9" w:rsidR="00350610" w:rsidRPr="00350610" w:rsidRDefault="00350610" w:rsidP="00EF3E4E">
      <w:pPr>
        <w:spacing w:after="200" w:line="480" w:lineRule="auto"/>
        <w:jc w:val="both"/>
        <w:rPr>
          <w:lang w:val="en-GB"/>
        </w:rPr>
      </w:pPr>
      <w:r>
        <w:rPr>
          <w:lang w:val="en-GB"/>
        </w:rPr>
        <w:t>[3]</w:t>
      </w:r>
      <w:r>
        <w:rPr>
          <w:lang w:val="en-GB"/>
        </w:rPr>
        <w:tab/>
      </w:r>
      <w:r w:rsidRPr="00350610">
        <w:rPr>
          <w:lang w:val="en-GB"/>
        </w:rPr>
        <w:t>In the specificity of the 1st defendant’s amended plea, the 1st defendant denies that the arrest and subsequent detention were unlawful. To substantiate</w:t>
      </w:r>
      <w:r>
        <w:rPr>
          <w:lang w:val="en-GB"/>
        </w:rPr>
        <w:t>:</w:t>
      </w:r>
    </w:p>
    <w:p w14:paraId="65CE6793" w14:textId="7A7DEB74" w:rsidR="00350610" w:rsidRPr="00997105" w:rsidRDefault="00997105" w:rsidP="00997105">
      <w:pPr>
        <w:spacing w:after="200" w:line="480" w:lineRule="auto"/>
        <w:ind w:left="1068" w:hanging="360"/>
        <w:jc w:val="both"/>
        <w:rPr>
          <w:lang w:val="en-GB"/>
        </w:rPr>
      </w:pPr>
      <w:r>
        <w:rPr>
          <w:lang w:val="en-GB"/>
        </w:rPr>
        <w:t>(a)</w:t>
      </w:r>
      <w:r>
        <w:rPr>
          <w:lang w:val="en-GB"/>
        </w:rPr>
        <w:tab/>
      </w:r>
      <w:r w:rsidR="00350610" w:rsidRPr="00997105">
        <w:rPr>
          <w:lang w:val="en-GB"/>
        </w:rPr>
        <w:t>The 1st defendant alleges that the 48-hour period did not fall on a regular court day.  As a result, the plaintiff was brought to court no later than the first court day after the 48-hour period had expired.</w:t>
      </w:r>
    </w:p>
    <w:p w14:paraId="32F4DF14" w14:textId="77777777" w:rsidR="00273C4E" w:rsidRPr="00273C4E" w:rsidRDefault="00273C4E" w:rsidP="00EF3E4E">
      <w:pPr>
        <w:pStyle w:val="ListParagraph"/>
        <w:spacing w:after="200" w:line="480" w:lineRule="auto"/>
        <w:ind w:left="1068"/>
        <w:jc w:val="both"/>
        <w:rPr>
          <w:lang w:val="en-GB"/>
        </w:rPr>
      </w:pPr>
    </w:p>
    <w:p w14:paraId="3CA11A59" w14:textId="37119204" w:rsidR="00350610" w:rsidRPr="00997105" w:rsidRDefault="00997105" w:rsidP="00997105">
      <w:pPr>
        <w:spacing w:after="200" w:line="480" w:lineRule="auto"/>
        <w:ind w:left="1068" w:hanging="360"/>
        <w:jc w:val="both"/>
        <w:rPr>
          <w:lang w:val="en-GB"/>
        </w:rPr>
      </w:pPr>
      <w:r>
        <w:rPr>
          <w:lang w:val="en-GB"/>
        </w:rPr>
        <w:t>(b)</w:t>
      </w:r>
      <w:r>
        <w:rPr>
          <w:lang w:val="en-GB"/>
        </w:rPr>
        <w:tab/>
      </w:r>
      <w:r w:rsidR="00350610" w:rsidRPr="00997105">
        <w:rPr>
          <w:lang w:val="en-GB"/>
        </w:rPr>
        <w:t xml:space="preserve">After his arrest, the plaintiff did not apply for bail instead the matter was postponed </w:t>
      </w:r>
      <w:proofErr w:type="gramStart"/>
      <w:r w:rsidR="00350610" w:rsidRPr="00997105">
        <w:rPr>
          <w:lang w:val="en-GB"/>
        </w:rPr>
        <w:t>in order to</w:t>
      </w:r>
      <w:proofErr w:type="gramEnd"/>
      <w:r w:rsidR="00350610" w:rsidRPr="00997105">
        <w:rPr>
          <w:lang w:val="en-GB"/>
        </w:rPr>
        <w:t xml:space="preserve"> consider his application for legal aid.</w:t>
      </w:r>
    </w:p>
    <w:p w14:paraId="0B7C93F0" w14:textId="77777777" w:rsidR="00350610" w:rsidRPr="00350610" w:rsidRDefault="00350610" w:rsidP="00EF3E4E">
      <w:pPr>
        <w:pStyle w:val="ListParagraph"/>
        <w:rPr>
          <w:lang w:val="en-GB"/>
        </w:rPr>
      </w:pPr>
    </w:p>
    <w:p w14:paraId="035CBE8F" w14:textId="4A01F20E" w:rsidR="00350610" w:rsidRPr="00997105" w:rsidRDefault="00997105" w:rsidP="00997105">
      <w:pPr>
        <w:spacing w:after="200" w:line="480" w:lineRule="auto"/>
        <w:ind w:left="1068" w:hanging="360"/>
        <w:jc w:val="both"/>
        <w:rPr>
          <w:lang w:val="en-GB"/>
        </w:rPr>
      </w:pPr>
      <w:r>
        <w:rPr>
          <w:lang w:val="en-GB"/>
        </w:rPr>
        <w:t>(c)</w:t>
      </w:r>
      <w:r>
        <w:rPr>
          <w:lang w:val="en-GB"/>
        </w:rPr>
        <w:tab/>
      </w:r>
      <w:r w:rsidR="00350610" w:rsidRPr="00997105">
        <w:rPr>
          <w:lang w:val="en-GB"/>
        </w:rPr>
        <w:t>The 2nd defendant denies that the NDPP was jointly liable with the 1st defendant for unlawful detention of the plaintiff.</w:t>
      </w:r>
    </w:p>
    <w:p w14:paraId="4F25A510" w14:textId="77777777" w:rsidR="00273C4E" w:rsidRPr="00273C4E" w:rsidRDefault="00273C4E" w:rsidP="00EF3E4E">
      <w:pPr>
        <w:spacing w:after="200" w:line="480" w:lineRule="auto"/>
        <w:jc w:val="both"/>
        <w:rPr>
          <w:lang w:val="en-GB"/>
        </w:rPr>
      </w:pPr>
    </w:p>
    <w:p w14:paraId="31C4C148" w14:textId="0F69D8E1" w:rsidR="00350610" w:rsidRDefault="00350610">
      <w:pPr>
        <w:spacing w:after="200" w:line="480" w:lineRule="auto"/>
        <w:jc w:val="both"/>
        <w:rPr>
          <w:rFonts w:eastAsia="Times New Roman"/>
          <w:color w:val="auto"/>
          <w:lang w:eastAsia="en-ZA"/>
        </w:rPr>
      </w:pPr>
      <w:r>
        <w:rPr>
          <w:rFonts w:eastAsia="Times New Roman"/>
          <w:color w:val="auto"/>
          <w:lang w:eastAsia="en-ZA"/>
        </w:rPr>
        <w:t>[4]</w:t>
      </w:r>
      <w:r>
        <w:rPr>
          <w:rFonts w:eastAsia="Times New Roman"/>
          <w:color w:val="auto"/>
          <w:lang w:eastAsia="en-ZA"/>
        </w:rPr>
        <w:tab/>
      </w:r>
      <w:r w:rsidRPr="00EF3E4E">
        <w:rPr>
          <w:rFonts w:eastAsia="Times New Roman"/>
          <w:color w:val="auto"/>
          <w:lang w:eastAsia="en-ZA"/>
        </w:rPr>
        <w:t xml:space="preserve">The trial proceeded on the basis that there would be no separation between merits and quantum. </w:t>
      </w:r>
    </w:p>
    <w:p w14:paraId="4618D347" w14:textId="77777777" w:rsidR="00273C4E" w:rsidRPr="00EF3E4E" w:rsidRDefault="00273C4E" w:rsidP="00EF3E4E">
      <w:pPr>
        <w:spacing w:after="200" w:line="480" w:lineRule="auto"/>
        <w:jc w:val="both"/>
        <w:rPr>
          <w:rFonts w:eastAsia="Times New Roman"/>
          <w:color w:val="auto"/>
          <w:lang w:eastAsia="en-ZA"/>
        </w:rPr>
      </w:pPr>
    </w:p>
    <w:p w14:paraId="61700120" w14:textId="7654BFD5" w:rsidR="00273C4E" w:rsidRDefault="00350610" w:rsidP="00350610">
      <w:pPr>
        <w:spacing w:after="200" w:line="480" w:lineRule="auto"/>
        <w:jc w:val="both"/>
        <w:rPr>
          <w:rFonts w:eastAsia="Times New Roman"/>
          <w:color w:val="auto"/>
          <w:lang w:eastAsia="en-ZA"/>
        </w:rPr>
      </w:pPr>
      <w:r>
        <w:rPr>
          <w:rFonts w:eastAsia="Times New Roman"/>
          <w:color w:val="auto"/>
          <w:lang w:eastAsia="en-ZA"/>
        </w:rPr>
        <w:t>[5]</w:t>
      </w:r>
      <w:r>
        <w:rPr>
          <w:rFonts w:eastAsia="Times New Roman"/>
          <w:color w:val="auto"/>
          <w:lang w:eastAsia="en-ZA"/>
        </w:rPr>
        <w:tab/>
      </w:r>
      <w:r w:rsidRPr="00EF3E4E">
        <w:rPr>
          <w:rFonts w:eastAsia="Times New Roman"/>
          <w:color w:val="auto"/>
          <w:lang w:eastAsia="en-ZA"/>
        </w:rPr>
        <w:t xml:space="preserve">Counsel for the 1st defendant admitted that the onus rests on the defendant to justify arrest and subsequent detention. He further admitted that the duty to begin consequently rests with them. </w:t>
      </w:r>
    </w:p>
    <w:p w14:paraId="6528C127" w14:textId="77777777" w:rsidR="00273C4E" w:rsidRDefault="00273C4E" w:rsidP="00350610">
      <w:pPr>
        <w:spacing w:after="200" w:line="480" w:lineRule="auto"/>
        <w:jc w:val="both"/>
        <w:rPr>
          <w:rFonts w:eastAsia="Times New Roman"/>
          <w:color w:val="auto"/>
          <w:lang w:eastAsia="en-ZA"/>
        </w:rPr>
      </w:pPr>
    </w:p>
    <w:p w14:paraId="22A7C2D8" w14:textId="77777777" w:rsidR="00433A5F" w:rsidRPr="00273C4E" w:rsidRDefault="00433A5F" w:rsidP="00350610">
      <w:pPr>
        <w:spacing w:after="200" w:line="480" w:lineRule="auto"/>
        <w:jc w:val="both"/>
        <w:rPr>
          <w:rFonts w:eastAsia="Times New Roman"/>
          <w:color w:val="auto"/>
          <w:lang w:eastAsia="en-ZA"/>
        </w:rPr>
      </w:pPr>
    </w:p>
    <w:p w14:paraId="12311D0C" w14:textId="50964D60" w:rsidR="00350610" w:rsidRPr="003339F2" w:rsidRDefault="00E161F5" w:rsidP="00350610">
      <w:pPr>
        <w:spacing w:after="200" w:line="480" w:lineRule="auto"/>
        <w:jc w:val="both"/>
        <w:rPr>
          <w:rFonts w:eastAsia="Times New Roman"/>
          <w:b/>
          <w:bCs/>
          <w:iCs/>
          <w:color w:val="auto"/>
          <w:lang w:eastAsia="en-ZA"/>
        </w:rPr>
      </w:pPr>
      <w:r w:rsidRPr="003339F2">
        <w:rPr>
          <w:rFonts w:eastAsia="Times New Roman"/>
          <w:b/>
          <w:bCs/>
          <w:iCs/>
          <w:color w:val="auto"/>
          <w:lang w:eastAsia="en-ZA"/>
        </w:rPr>
        <w:t>C.</w:t>
      </w:r>
      <w:r>
        <w:rPr>
          <w:rFonts w:eastAsia="Times New Roman"/>
          <w:bCs/>
          <w:iCs/>
          <w:color w:val="auto"/>
          <w:lang w:eastAsia="en-ZA"/>
        </w:rPr>
        <w:tab/>
      </w:r>
      <w:r w:rsidR="00350610" w:rsidRPr="003339F2">
        <w:rPr>
          <w:rFonts w:eastAsia="Times New Roman"/>
          <w:b/>
          <w:bCs/>
          <w:iCs/>
          <w:color w:val="auto"/>
          <w:u w:val="single"/>
          <w:lang w:eastAsia="en-ZA"/>
        </w:rPr>
        <w:t xml:space="preserve">The </w:t>
      </w:r>
      <w:r w:rsidR="00273C4E" w:rsidRPr="003339F2">
        <w:rPr>
          <w:rFonts w:eastAsia="Times New Roman"/>
          <w:b/>
          <w:bCs/>
          <w:iCs/>
          <w:color w:val="auto"/>
          <w:u w:val="single"/>
          <w:lang w:eastAsia="en-ZA"/>
        </w:rPr>
        <w:t>first</w:t>
      </w:r>
      <w:r w:rsidR="00350610" w:rsidRPr="003339F2">
        <w:rPr>
          <w:rFonts w:eastAsia="Times New Roman"/>
          <w:b/>
          <w:bCs/>
          <w:iCs/>
          <w:color w:val="auto"/>
          <w:u w:val="single"/>
          <w:lang w:eastAsia="en-ZA"/>
        </w:rPr>
        <w:t xml:space="preserve"> defendant’s case</w:t>
      </w:r>
      <w:r>
        <w:rPr>
          <w:rFonts w:eastAsia="Times New Roman"/>
          <w:b/>
          <w:bCs/>
          <w:iCs/>
          <w:color w:val="auto"/>
          <w:lang w:eastAsia="en-ZA"/>
        </w:rPr>
        <w:t>:</w:t>
      </w:r>
    </w:p>
    <w:p w14:paraId="301220F7" w14:textId="75DBDE77" w:rsidR="00350610" w:rsidRPr="00350610" w:rsidRDefault="00350610" w:rsidP="00350610">
      <w:pPr>
        <w:spacing w:after="200" w:line="480" w:lineRule="auto"/>
        <w:jc w:val="both"/>
        <w:rPr>
          <w:rFonts w:eastAsia="Times New Roman"/>
          <w:color w:val="auto"/>
          <w:lang w:eastAsia="en-ZA"/>
        </w:rPr>
      </w:pPr>
      <w:r>
        <w:rPr>
          <w:rFonts w:eastAsia="Times New Roman"/>
          <w:color w:val="auto"/>
          <w:lang w:eastAsia="en-ZA"/>
        </w:rPr>
        <w:t>[6]</w:t>
      </w:r>
      <w:r>
        <w:rPr>
          <w:rFonts w:eastAsia="Times New Roman"/>
          <w:color w:val="auto"/>
          <w:lang w:eastAsia="en-ZA"/>
        </w:rPr>
        <w:tab/>
      </w:r>
      <w:r w:rsidRPr="00350610">
        <w:rPr>
          <w:rFonts w:eastAsia="Times New Roman"/>
          <w:color w:val="auto"/>
          <w:lang w:eastAsia="en-ZA"/>
        </w:rPr>
        <w:t xml:space="preserve">The 1st defendant relied on the evidence of Warrant </w:t>
      </w:r>
      <w:r w:rsidR="00273C4E">
        <w:rPr>
          <w:rFonts w:eastAsia="Times New Roman"/>
          <w:color w:val="auto"/>
          <w:lang w:eastAsia="en-ZA"/>
        </w:rPr>
        <w:t>O</w:t>
      </w:r>
      <w:r w:rsidRPr="00350610">
        <w:rPr>
          <w:rFonts w:eastAsia="Times New Roman"/>
          <w:color w:val="auto"/>
          <w:lang w:eastAsia="en-ZA"/>
        </w:rPr>
        <w:t xml:space="preserve">fficer </w:t>
      </w:r>
      <w:proofErr w:type="spellStart"/>
      <w:r w:rsidRPr="00350610">
        <w:rPr>
          <w:rFonts w:eastAsia="Times New Roman"/>
          <w:color w:val="auto"/>
          <w:lang w:eastAsia="en-ZA"/>
        </w:rPr>
        <w:t>Ndzwaiba</w:t>
      </w:r>
      <w:proofErr w:type="spellEnd"/>
      <w:r w:rsidRPr="00350610">
        <w:rPr>
          <w:rFonts w:eastAsia="Times New Roman"/>
          <w:color w:val="auto"/>
          <w:lang w:eastAsia="en-ZA"/>
        </w:rPr>
        <w:t xml:space="preserve"> (the arresting officer) who testified that he had been working for the SAPS, attached to the detective unit for 27 years. From 28 July 2015</w:t>
      </w:r>
      <w:r w:rsidR="00273C4E">
        <w:rPr>
          <w:rFonts w:eastAsia="Times New Roman"/>
          <w:color w:val="auto"/>
          <w:lang w:eastAsia="en-ZA"/>
        </w:rPr>
        <w:t>,</w:t>
      </w:r>
      <w:r w:rsidRPr="00350610">
        <w:rPr>
          <w:rFonts w:eastAsia="Times New Roman"/>
          <w:color w:val="auto"/>
          <w:lang w:eastAsia="en-ZA"/>
        </w:rPr>
        <w:t xml:space="preserve"> he was stationed at Madeira Police Station carrying out investigations into various crimes.</w:t>
      </w:r>
    </w:p>
    <w:p w14:paraId="72C74A28" w14:textId="77777777" w:rsidR="00350610" w:rsidRDefault="00350610" w:rsidP="00350610">
      <w:pPr>
        <w:spacing w:after="200" w:line="480" w:lineRule="auto"/>
        <w:jc w:val="both"/>
        <w:rPr>
          <w:rFonts w:eastAsia="Times New Roman"/>
          <w:color w:val="auto"/>
          <w:lang w:eastAsia="en-ZA"/>
        </w:rPr>
      </w:pPr>
    </w:p>
    <w:p w14:paraId="2704604E" w14:textId="58A261A7"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[7]</w:t>
      </w:r>
      <w:r>
        <w:rPr>
          <w:rFonts w:eastAsia="Times New Roman"/>
          <w:color w:val="auto"/>
          <w:lang w:eastAsia="en-ZA"/>
        </w:rPr>
        <w:tab/>
      </w:r>
      <w:r w:rsidRPr="00350610">
        <w:rPr>
          <w:rFonts w:eastAsia="Times New Roman"/>
          <w:color w:val="auto"/>
          <w:lang w:eastAsia="en-ZA"/>
        </w:rPr>
        <w:t xml:space="preserve">On 28 July 2015, one of the educators, Ms </w:t>
      </w:r>
      <w:proofErr w:type="spellStart"/>
      <w:r w:rsidRPr="00350610">
        <w:rPr>
          <w:rFonts w:eastAsia="Times New Roman"/>
          <w:color w:val="auto"/>
          <w:lang w:eastAsia="en-ZA"/>
        </w:rPr>
        <w:t>Nodumo</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Mzimane</w:t>
      </w:r>
      <w:proofErr w:type="spellEnd"/>
      <w:r w:rsidRPr="00350610">
        <w:rPr>
          <w:rFonts w:eastAsia="Times New Roman"/>
          <w:color w:val="auto"/>
          <w:lang w:eastAsia="en-ZA"/>
        </w:rPr>
        <w:t xml:space="preserve"> (the deceased) at </w:t>
      </w:r>
      <w:proofErr w:type="spellStart"/>
      <w:r w:rsidRPr="00350610">
        <w:rPr>
          <w:rFonts w:eastAsia="Times New Roman"/>
          <w:color w:val="auto"/>
          <w:lang w:eastAsia="en-ZA"/>
        </w:rPr>
        <w:t>Efata</w:t>
      </w:r>
      <w:proofErr w:type="spellEnd"/>
      <w:r w:rsidRPr="00350610">
        <w:rPr>
          <w:rFonts w:eastAsia="Times New Roman"/>
          <w:color w:val="auto"/>
          <w:lang w:eastAsia="en-ZA"/>
        </w:rPr>
        <w:t xml:space="preserve"> School for </w:t>
      </w:r>
      <w:r w:rsidR="00273C4E">
        <w:rPr>
          <w:rFonts w:eastAsia="Times New Roman"/>
          <w:color w:val="auto"/>
          <w:lang w:eastAsia="en-ZA"/>
        </w:rPr>
        <w:t>the B</w:t>
      </w:r>
      <w:r w:rsidRPr="00350610">
        <w:rPr>
          <w:rFonts w:eastAsia="Times New Roman"/>
          <w:color w:val="auto"/>
          <w:lang w:eastAsia="en-ZA"/>
        </w:rPr>
        <w:t xml:space="preserve">lind and </w:t>
      </w:r>
      <w:r w:rsidR="00273C4E">
        <w:rPr>
          <w:rFonts w:eastAsia="Times New Roman"/>
          <w:color w:val="auto"/>
          <w:lang w:eastAsia="en-ZA"/>
        </w:rPr>
        <w:t>D</w:t>
      </w:r>
      <w:r w:rsidRPr="00350610">
        <w:rPr>
          <w:rFonts w:eastAsia="Times New Roman"/>
          <w:color w:val="auto"/>
          <w:lang w:eastAsia="en-ZA"/>
        </w:rPr>
        <w:t xml:space="preserve">eaf (the school) was tragically stabbed to death. He was </w:t>
      </w:r>
      <w:r w:rsidR="00273C4E">
        <w:rPr>
          <w:rFonts w:eastAsia="Times New Roman"/>
          <w:color w:val="auto"/>
          <w:lang w:eastAsia="en-ZA"/>
        </w:rPr>
        <w:t xml:space="preserve">a </w:t>
      </w:r>
      <w:r w:rsidRPr="00350610">
        <w:rPr>
          <w:rFonts w:eastAsia="Times New Roman"/>
          <w:color w:val="auto"/>
          <w:lang w:eastAsia="en-ZA"/>
        </w:rPr>
        <w:t xml:space="preserve">resident in the school at hostel number 6. On 06 November 2015, the arresting officer arrested Mr Luthando </w:t>
      </w:r>
      <w:proofErr w:type="spellStart"/>
      <w:r w:rsidRPr="00350610">
        <w:rPr>
          <w:rFonts w:eastAsia="Times New Roman"/>
          <w:color w:val="auto"/>
          <w:lang w:eastAsia="en-ZA"/>
        </w:rPr>
        <w:t>Silwana</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Silwana</w:t>
      </w:r>
      <w:proofErr w:type="spellEnd"/>
      <w:r w:rsidRPr="00350610">
        <w:rPr>
          <w:rFonts w:eastAsia="Times New Roman"/>
          <w:color w:val="auto"/>
          <w:lang w:eastAsia="en-ZA"/>
        </w:rPr>
        <w:t xml:space="preserve">), Mr Lunga </w:t>
      </w:r>
      <w:proofErr w:type="spellStart"/>
      <w:r w:rsidRPr="00350610">
        <w:rPr>
          <w:rFonts w:eastAsia="Times New Roman"/>
          <w:color w:val="auto"/>
          <w:lang w:eastAsia="en-ZA"/>
        </w:rPr>
        <w:t>Khimbili</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Khimbili</w:t>
      </w:r>
      <w:proofErr w:type="spellEnd"/>
      <w:r w:rsidRPr="00350610">
        <w:rPr>
          <w:rFonts w:eastAsia="Times New Roman"/>
          <w:color w:val="auto"/>
          <w:lang w:eastAsia="en-ZA"/>
        </w:rPr>
        <w:t xml:space="preserve">) and Mr </w:t>
      </w:r>
      <w:proofErr w:type="spellStart"/>
      <w:r w:rsidRPr="00350610">
        <w:rPr>
          <w:rFonts w:eastAsia="Times New Roman"/>
          <w:color w:val="auto"/>
          <w:lang w:eastAsia="en-ZA"/>
        </w:rPr>
        <w:t>Zukile</w:t>
      </w:r>
      <w:proofErr w:type="spellEnd"/>
      <w:r w:rsidRPr="00350610">
        <w:rPr>
          <w:rFonts w:eastAsia="Times New Roman"/>
          <w:color w:val="auto"/>
          <w:lang w:eastAsia="en-ZA"/>
        </w:rPr>
        <w:t xml:space="preserve"> Danti (Danti) on allegations of murder. All these suspects allegedly made warning statements to one Sergeant </w:t>
      </w:r>
      <w:proofErr w:type="spellStart"/>
      <w:r w:rsidRPr="00350610">
        <w:rPr>
          <w:rFonts w:eastAsia="Times New Roman"/>
          <w:color w:val="auto"/>
          <w:lang w:eastAsia="en-ZA"/>
        </w:rPr>
        <w:t>Ngqokomo</w:t>
      </w:r>
      <w:proofErr w:type="spellEnd"/>
      <w:r w:rsidRPr="00350610">
        <w:rPr>
          <w:rFonts w:eastAsia="Times New Roman"/>
          <w:color w:val="auto"/>
          <w:lang w:eastAsia="en-ZA"/>
        </w:rPr>
        <w:t>.</w:t>
      </w:r>
    </w:p>
    <w:p w14:paraId="74B1B60C" w14:textId="77777777" w:rsidR="00794C3F" w:rsidRDefault="00794C3F" w:rsidP="00350610">
      <w:pPr>
        <w:spacing w:after="200" w:line="480" w:lineRule="auto"/>
        <w:jc w:val="both"/>
        <w:rPr>
          <w:rFonts w:eastAsia="Times New Roman"/>
          <w:color w:val="auto"/>
          <w:lang w:eastAsia="en-ZA"/>
        </w:rPr>
      </w:pPr>
    </w:p>
    <w:p w14:paraId="30121278" w14:textId="5FEB9D14"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[8]</w:t>
      </w:r>
      <w:r>
        <w:rPr>
          <w:rFonts w:eastAsia="Times New Roman"/>
          <w:color w:val="auto"/>
          <w:lang w:eastAsia="en-ZA"/>
        </w:rPr>
        <w:tab/>
      </w:r>
      <w:r w:rsidRPr="00350610">
        <w:rPr>
          <w:rFonts w:eastAsia="Times New Roman"/>
          <w:color w:val="auto"/>
          <w:lang w:eastAsia="en-ZA"/>
        </w:rPr>
        <w:t xml:space="preserve">In his alleged warning statement, </w:t>
      </w:r>
      <w:proofErr w:type="spellStart"/>
      <w:r w:rsidRPr="00350610">
        <w:rPr>
          <w:rFonts w:eastAsia="Times New Roman"/>
          <w:color w:val="auto"/>
          <w:lang w:eastAsia="en-ZA"/>
        </w:rPr>
        <w:t>Khimbili</w:t>
      </w:r>
      <w:proofErr w:type="spellEnd"/>
      <w:r w:rsidRPr="00350610">
        <w:rPr>
          <w:rFonts w:eastAsia="Times New Roman"/>
          <w:color w:val="auto"/>
          <w:lang w:eastAsia="en-ZA"/>
        </w:rPr>
        <w:t xml:space="preserve"> denied the allegations against him and averred that prior to the killing of the deceased</w:t>
      </w:r>
      <w:r w:rsidR="00273C4E">
        <w:rPr>
          <w:rFonts w:eastAsia="Times New Roman"/>
          <w:color w:val="auto"/>
          <w:lang w:eastAsia="en-ZA"/>
        </w:rPr>
        <w:t>,</w:t>
      </w:r>
      <w:r w:rsidRPr="00350610">
        <w:rPr>
          <w:rFonts w:eastAsia="Times New Roman"/>
          <w:color w:val="auto"/>
          <w:lang w:eastAsia="en-ZA"/>
        </w:rPr>
        <w:t xml:space="preserve"> a meeting between him, the plaintiff, </w:t>
      </w:r>
      <w:proofErr w:type="spellStart"/>
      <w:r w:rsidRPr="00350610">
        <w:rPr>
          <w:rFonts w:eastAsia="Times New Roman"/>
          <w:color w:val="auto"/>
          <w:lang w:eastAsia="en-ZA"/>
        </w:rPr>
        <w:t>Silwana</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Siwaphiwe</w:t>
      </w:r>
      <w:proofErr w:type="spellEnd"/>
      <w:r w:rsidRPr="00350610">
        <w:rPr>
          <w:rFonts w:eastAsia="Times New Roman"/>
          <w:color w:val="auto"/>
          <w:lang w:eastAsia="en-ZA"/>
        </w:rPr>
        <w:t xml:space="preserve"> and </w:t>
      </w:r>
      <w:r w:rsidR="00B16488" w:rsidRPr="00350610">
        <w:rPr>
          <w:rFonts w:eastAsia="Times New Roman"/>
          <w:color w:val="auto"/>
          <w:lang w:eastAsia="en-ZA"/>
        </w:rPr>
        <w:t>one of</w:t>
      </w:r>
      <w:r w:rsidRPr="00350610">
        <w:rPr>
          <w:rFonts w:eastAsia="Times New Roman"/>
          <w:color w:val="auto"/>
          <w:lang w:eastAsia="en-ZA"/>
        </w:rPr>
        <w:t xml:space="preserve"> the teachers was held. In that meeting</w:t>
      </w:r>
      <w:r w:rsidR="00273C4E">
        <w:rPr>
          <w:rFonts w:eastAsia="Times New Roman"/>
          <w:color w:val="auto"/>
          <w:lang w:eastAsia="en-ZA"/>
        </w:rPr>
        <w:t>,</w:t>
      </w:r>
      <w:r w:rsidRPr="00350610">
        <w:rPr>
          <w:rFonts w:eastAsia="Times New Roman"/>
          <w:color w:val="auto"/>
          <w:lang w:eastAsia="en-ZA"/>
        </w:rPr>
        <w:t xml:space="preserve"> the teacher hired them to kill the deceased because she felt she was a puppet at school. Although they initially refused to carry out the mandate, they later agreed to the killing the deceased.  On the night of the deceased’s </w:t>
      </w:r>
      <w:r w:rsidR="00794C3F" w:rsidRPr="00350610">
        <w:rPr>
          <w:rFonts w:eastAsia="Times New Roman"/>
          <w:color w:val="auto"/>
          <w:lang w:eastAsia="en-ZA"/>
        </w:rPr>
        <w:t>murder,</w:t>
      </w:r>
      <w:r w:rsidRPr="00350610">
        <w:rPr>
          <w:rFonts w:eastAsia="Times New Roman"/>
          <w:color w:val="auto"/>
          <w:lang w:eastAsia="en-ZA"/>
        </w:rPr>
        <w:t xml:space="preserve"> he was in the school with Danti when he noticed </w:t>
      </w:r>
      <w:proofErr w:type="spellStart"/>
      <w:r w:rsidRPr="00350610">
        <w:rPr>
          <w:rFonts w:eastAsia="Times New Roman"/>
          <w:color w:val="auto"/>
          <w:lang w:eastAsia="en-ZA"/>
        </w:rPr>
        <w:t>Silwana</w:t>
      </w:r>
      <w:proofErr w:type="spellEnd"/>
      <w:r w:rsidRPr="00350610">
        <w:rPr>
          <w:rFonts w:eastAsia="Times New Roman"/>
          <w:color w:val="auto"/>
          <w:lang w:eastAsia="en-ZA"/>
        </w:rPr>
        <w:t xml:space="preserve">, </w:t>
      </w:r>
      <w:proofErr w:type="spellStart"/>
      <w:r w:rsidR="00B16488" w:rsidRPr="00350610">
        <w:rPr>
          <w:rFonts w:eastAsia="Times New Roman"/>
          <w:color w:val="auto"/>
          <w:lang w:eastAsia="en-ZA"/>
        </w:rPr>
        <w:t>Siwaphiwe</w:t>
      </w:r>
      <w:proofErr w:type="spellEnd"/>
      <w:r w:rsidR="00B16488" w:rsidRPr="00350610">
        <w:rPr>
          <w:rFonts w:eastAsia="Times New Roman"/>
          <w:color w:val="auto"/>
          <w:lang w:eastAsia="en-ZA"/>
        </w:rPr>
        <w:t xml:space="preserve"> and</w:t>
      </w:r>
      <w:r w:rsidRPr="00350610">
        <w:rPr>
          <w:rFonts w:eastAsia="Times New Roman"/>
          <w:color w:val="auto"/>
          <w:lang w:eastAsia="en-ZA"/>
        </w:rPr>
        <w:t xml:space="preserve"> the plaintiff getting inside hostel n</w:t>
      </w:r>
      <w:r w:rsidR="001D117E">
        <w:rPr>
          <w:rFonts w:eastAsia="Times New Roman"/>
          <w:color w:val="auto"/>
          <w:lang w:eastAsia="en-ZA"/>
        </w:rPr>
        <w:t>umber</w:t>
      </w:r>
      <w:r w:rsidRPr="00350610">
        <w:rPr>
          <w:rFonts w:eastAsia="Times New Roman"/>
          <w:color w:val="auto"/>
          <w:lang w:eastAsia="en-ZA"/>
        </w:rPr>
        <w:t xml:space="preserve"> 6 using the hole of a door that was no longer in use. </w:t>
      </w:r>
    </w:p>
    <w:p w14:paraId="7E8D2235" w14:textId="77777777" w:rsidR="00794C3F" w:rsidRDefault="00794C3F" w:rsidP="00350610">
      <w:pPr>
        <w:spacing w:after="200" w:line="480" w:lineRule="auto"/>
        <w:jc w:val="both"/>
        <w:rPr>
          <w:rFonts w:eastAsia="Times New Roman"/>
          <w:color w:val="auto"/>
          <w:lang w:eastAsia="en-ZA"/>
        </w:rPr>
      </w:pPr>
    </w:p>
    <w:p w14:paraId="1FEEB138" w14:textId="6EF425EA"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[9]</w:t>
      </w:r>
      <w:r>
        <w:rPr>
          <w:rFonts w:eastAsia="Times New Roman"/>
          <w:color w:val="auto"/>
          <w:lang w:eastAsia="en-ZA"/>
        </w:rPr>
        <w:tab/>
      </w:r>
      <w:proofErr w:type="spellStart"/>
      <w:r w:rsidRPr="00350610">
        <w:rPr>
          <w:rFonts w:eastAsia="Times New Roman"/>
          <w:color w:val="auto"/>
          <w:lang w:eastAsia="en-ZA"/>
        </w:rPr>
        <w:t>Khimbili</w:t>
      </w:r>
      <w:proofErr w:type="spellEnd"/>
      <w:r w:rsidRPr="00350610">
        <w:rPr>
          <w:rFonts w:eastAsia="Times New Roman"/>
          <w:color w:val="auto"/>
          <w:lang w:eastAsia="en-ZA"/>
        </w:rPr>
        <w:t xml:space="preserve"> allegedly stated that when they came out of hostel number 6, the plaintiff and one </w:t>
      </w:r>
      <w:proofErr w:type="spellStart"/>
      <w:r w:rsidRPr="00350610">
        <w:rPr>
          <w:rFonts w:eastAsia="Times New Roman"/>
          <w:color w:val="auto"/>
          <w:lang w:eastAsia="en-ZA"/>
        </w:rPr>
        <w:t>Siwaphiwe</w:t>
      </w:r>
      <w:proofErr w:type="spellEnd"/>
      <w:r w:rsidRPr="00350610">
        <w:rPr>
          <w:rFonts w:eastAsia="Times New Roman"/>
          <w:color w:val="auto"/>
          <w:lang w:eastAsia="en-ZA"/>
        </w:rPr>
        <w:t xml:space="preserve"> went to the river. He further indicated that he never participated in the murder but was later informed by </w:t>
      </w:r>
      <w:proofErr w:type="spellStart"/>
      <w:r w:rsidRPr="00350610">
        <w:rPr>
          <w:rFonts w:eastAsia="Times New Roman"/>
          <w:color w:val="auto"/>
          <w:lang w:eastAsia="en-ZA"/>
        </w:rPr>
        <w:t>Silwana</w:t>
      </w:r>
      <w:proofErr w:type="spellEnd"/>
      <w:r w:rsidRPr="00350610">
        <w:rPr>
          <w:rFonts w:eastAsia="Times New Roman"/>
          <w:color w:val="auto"/>
          <w:lang w:eastAsia="en-ZA"/>
        </w:rPr>
        <w:t xml:space="preserve"> that the person who committed the actual stabbing of the deceased was the plaintiff. </w:t>
      </w:r>
    </w:p>
    <w:p w14:paraId="780358B8" w14:textId="77777777" w:rsidR="00794C3F" w:rsidRPr="00350610" w:rsidRDefault="00794C3F" w:rsidP="00350610">
      <w:pPr>
        <w:spacing w:after="200" w:line="480" w:lineRule="auto"/>
        <w:jc w:val="both"/>
        <w:rPr>
          <w:rFonts w:eastAsia="Times New Roman"/>
          <w:color w:val="auto"/>
          <w:lang w:eastAsia="en-ZA"/>
        </w:rPr>
      </w:pPr>
    </w:p>
    <w:p w14:paraId="2311868A" w14:textId="06561DC0" w:rsidR="00350610" w:rsidRPr="00350610" w:rsidRDefault="00350610" w:rsidP="00350610">
      <w:pPr>
        <w:spacing w:after="200" w:line="480" w:lineRule="auto"/>
        <w:jc w:val="both"/>
        <w:rPr>
          <w:rFonts w:eastAsia="Times New Roman"/>
          <w:color w:val="auto"/>
          <w:lang w:eastAsia="en-ZA"/>
        </w:rPr>
      </w:pPr>
      <w:r>
        <w:rPr>
          <w:rFonts w:eastAsia="Times New Roman"/>
          <w:color w:val="auto"/>
          <w:lang w:eastAsia="en-ZA"/>
        </w:rPr>
        <w:t>[10]</w:t>
      </w:r>
      <w:r>
        <w:rPr>
          <w:rFonts w:eastAsia="Times New Roman"/>
          <w:color w:val="auto"/>
          <w:lang w:eastAsia="en-ZA"/>
        </w:rPr>
        <w:tab/>
      </w:r>
      <w:proofErr w:type="spellStart"/>
      <w:r w:rsidRPr="00350610">
        <w:rPr>
          <w:rFonts w:eastAsia="Times New Roman"/>
          <w:color w:val="auto"/>
          <w:lang w:eastAsia="en-ZA"/>
        </w:rPr>
        <w:t>Silwana</w:t>
      </w:r>
      <w:proofErr w:type="spellEnd"/>
      <w:r w:rsidRPr="00350610">
        <w:rPr>
          <w:rFonts w:eastAsia="Times New Roman"/>
          <w:color w:val="auto"/>
          <w:lang w:eastAsia="en-ZA"/>
        </w:rPr>
        <w:t xml:space="preserve"> allegedly made a warning statement and claimed to have seen the three men whom he initially believed to be thieves entering the hostel where the deceased lived. These men were unknown to him. Danti, in his alleged warning statement</w:t>
      </w:r>
      <w:r w:rsidR="00273C4E">
        <w:rPr>
          <w:rFonts w:eastAsia="Times New Roman"/>
          <w:color w:val="auto"/>
          <w:lang w:eastAsia="en-ZA"/>
        </w:rPr>
        <w:t>,</w:t>
      </w:r>
      <w:r w:rsidRPr="00350610">
        <w:rPr>
          <w:rFonts w:eastAsia="Times New Roman"/>
          <w:color w:val="auto"/>
          <w:lang w:eastAsia="en-ZA"/>
        </w:rPr>
        <w:t xml:space="preserve"> confirmed that he also saw the plaintiff and others using the hole of </w:t>
      </w:r>
      <w:r w:rsidR="00273C4E">
        <w:rPr>
          <w:rFonts w:eastAsia="Times New Roman"/>
          <w:color w:val="auto"/>
          <w:lang w:eastAsia="en-ZA"/>
        </w:rPr>
        <w:t xml:space="preserve">the </w:t>
      </w:r>
      <w:r w:rsidRPr="00350610">
        <w:rPr>
          <w:rFonts w:eastAsia="Times New Roman"/>
          <w:color w:val="auto"/>
          <w:lang w:eastAsia="en-ZA"/>
        </w:rPr>
        <w:t xml:space="preserve">unused door to enter </w:t>
      </w:r>
      <w:r w:rsidR="00273C4E">
        <w:rPr>
          <w:rFonts w:eastAsia="Times New Roman"/>
          <w:color w:val="auto"/>
          <w:lang w:eastAsia="en-ZA"/>
        </w:rPr>
        <w:t>H</w:t>
      </w:r>
      <w:r w:rsidRPr="00350610">
        <w:rPr>
          <w:rFonts w:eastAsia="Times New Roman"/>
          <w:color w:val="auto"/>
          <w:lang w:eastAsia="en-ZA"/>
        </w:rPr>
        <w:t>ostel number 6. He indicated, however, that he saw others getting out of the hostel but never observed what happened to the plaintiff thereafter.</w:t>
      </w:r>
    </w:p>
    <w:p w14:paraId="726323C3" w14:textId="77777777" w:rsidR="00350610" w:rsidRPr="00350610" w:rsidRDefault="00350610" w:rsidP="00350610">
      <w:pPr>
        <w:spacing w:after="200" w:line="480" w:lineRule="auto"/>
        <w:jc w:val="both"/>
        <w:rPr>
          <w:rFonts w:eastAsia="Times New Roman"/>
          <w:color w:val="auto"/>
          <w:lang w:eastAsia="en-ZA"/>
        </w:rPr>
      </w:pPr>
    </w:p>
    <w:p w14:paraId="605FE28E" w14:textId="6348E128"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[11]</w:t>
      </w:r>
      <w:r>
        <w:rPr>
          <w:rFonts w:eastAsia="Times New Roman"/>
          <w:color w:val="auto"/>
          <w:lang w:eastAsia="en-ZA"/>
        </w:rPr>
        <w:tab/>
      </w:r>
      <w:r w:rsidRPr="00350610">
        <w:rPr>
          <w:rFonts w:eastAsia="Times New Roman"/>
          <w:color w:val="auto"/>
          <w:lang w:eastAsia="en-ZA"/>
        </w:rPr>
        <w:t>The arresting officer testified that on 6 November 2015, the three suspects appeared in court and the case was postponed until 18 November 201</w:t>
      </w:r>
      <w:r w:rsidR="001D117E">
        <w:rPr>
          <w:rFonts w:eastAsia="Times New Roman"/>
          <w:color w:val="auto"/>
          <w:lang w:eastAsia="en-ZA"/>
        </w:rPr>
        <w:t>5</w:t>
      </w:r>
      <w:r w:rsidRPr="00350610">
        <w:rPr>
          <w:rFonts w:eastAsia="Times New Roman"/>
          <w:color w:val="auto"/>
          <w:lang w:eastAsia="en-ZA"/>
        </w:rPr>
        <w:t xml:space="preserve">. The Senior Public Prosecutor (SPP), Mr </w:t>
      </w:r>
      <w:proofErr w:type="spellStart"/>
      <w:r w:rsidRPr="00350610">
        <w:rPr>
          <w:rFonts w:eastAsia="Times New Roman"/>
          <w:color w:val="auto"/>
          <w:lang w:eastAsia="en-ZA"/>
        </w:rPr>
        <w:t>Xhayimpi</w:t>
      </w:r>
      <w:proofErr w:type="spellEnd"/>
      <w:r w:rsidRPr="00350610">
        <w:rPr>
          <w:rFonts w:eastAsia="Times New Roman"/>
          <w:color w:val="auto"/>
          <w:lang w:eastAsia="en-ZA"/>
        </w:rPr>
        <w:t xml:space="preserve">, who was in control of the police docket at that stage, instructed him to arrest two other suspects. Upon reading the warning statements, he proceeded to arrest the Deputy Principal of the school and the plaintiff. In the process, he was advised by one member of the school personnel that he would need the services of an interpreter because the plaintiff was deaf and mute. He sought an interpreter Mr </w:t>
      </w:r>
      <w:proofErr w:type="spellStart"/>
      <w:r w:rsidRPr="00350610">
        <w:rPr>
          <w:rFonts w:eastAsia="Times New Roman"/>
          <w:color w:val="auto"/>
          <w:lang w:eastAsia="en-ZA"/>
        </w:rPr>
        <w:t>Mgudwana</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Fumaneka</w:t>
      </w:r>
      <w:proofErr w:type="spellEnd"/>
      <w:r w:rsidRPr="00350610">
        <w:rPr>
          <w:rFonts w:eastAsia="Times New Roman"/>
          <w:color w:val="auto"/>
          <w:lang w:eastAsia="en-ZA"/>
        </w:rPr>
        <w:t xml:space="preserve"> whom he advised to also assist in the court proceedings. </w:t>
      </w:r>
    </w:p>
    <w:p w14:paraId="61768B66" w14:textId="77777777" w:rsidR="00794C3F" w:rsidRPr="00350610" w:rsidRDefault="00794C3F" w:rsidP="00350610">
      <w:pPr>
        <w:spacing w:after="200" w:line="480" w:lineRule="auto"/>
        <w:jc w:val="both"/>
        <w:rPr>
          <w:rFonts w:eastAsia="Times New Roman"/>
          <w:color w:val="auto"/>
          <w:lang w:eastAsia="en-ZA"/>
        </w:rPr>
      </w:pPr>
    </w:p>
    <w:p w14:paraId="1B159010" w14:textId="2A0CF675"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lastRenderedPageBreak/>
        <w:t>[12]</w:t>
      </w:r>
      <w:r>
        <w:rPr>
          <w:rFonts w:eastAsia="Times New Roman"/>
          <w:color w:val="auto"/>
          <w:lang w:eastAsia="en-ZA"/>
        </w:rPr>
        <w:tab/>
      </w:r>
      <w:r w:rsidRPr="00350610">
        <w:rPr>
          <w:rFonts w:eastAsia="Times New Roman"/>
          <w:color w:val="auto"/>
          <w:lang w:eastAsia="en-ZA"/>
        </w:rPr>
        <w:t xml:space="preserve">The interpreter could not make it to court because he was never delegated to do so by his superiors. When the plaintiff appeared in court, the public prosecutor advised the court that the matter fell under Schedule 6 in terms of bail legislation. The plaintiff was further detained at Mthatha police station. </w:t>
      </w:r>
    </w:p>
    <w:p w14:paraId="0EE486BE" w14:textId="77777777" w:rsidR="00794C3F" w:rsidRPr="00350610" w:rsidRDefault="00794C3F" w:rsidP="00350610">
      <w:pPr>
        <w:spacing w:after="200" w:line="480" w:lineRule="auto"/>
        <w:jc w:val="both"/>
        <w:rPr>
          <w:rFonts w:eastAsia="Times New Roman"/>
          <w:color w:val="auto"/>
          <w:lang w:eastAsia="en-ZA"/>
        </w:rPr>
      </w:pPr>
    </w:p>
    <w:p w14:paraId="51509676" w14:textId="7DD33DD1"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[13]</w:t>
      </w:r>
      <w:r>
        <w:rPr>
          <w:rFonts w:eastAsia="Times New Roman"/>
          <w:color w:val="auto"/>
          <w:lang w:eastAsia="en-ZA"/>
        </w:rPr>
        <w:tab/>
      </w:r>
      <w:r w:rsidRPr="00350610">
        <w:rPr>
          <w:rFonts w:eastAsia="Times New Roman"/>
          <w:color w:val="auto"/>
          <w:lang w:eastAsia="en-ZA"/>
        </w:rPr>
        <w:t xml:space="preserve">The arresting officer testified further that the conditions in the cells were good. He ensured that the plaintiff received clean blankets. The plaintiff and his co-accused were incarcerated in different cells because of their physical disabilities. </w:t>
      </w:r>
    </w:p>
    <w:p w14:paraId="230BBAD0" w14:textId="77777777" w:rsidR="00273C4E" w:rsidRPr="00350610" w:rsidRDefault="00273C4E" w:rsidP="00350610">
      <w:pPr>
        <w:spacing w:after="200" w:line="480" w:lineRule="auto"/>
        <w:jc w:val="both"/>
        <w:rPr>
          <w:rFonts w:eastAsia="Times New Roman"/>
          <w:color w:val="auto"/>
          <w:lang w:eastAsia="en-ZA"/>
        </w:rPr>
      </w:pPr>
    </w:p>
    <w:p w14:paraId="3FC0906D" w14:textId="5A4EF4FF" w:rsidR="00350610" w:rsidRPr="00350610" w:rsidRDefault="00350610" w:rsidP="00350610">
      <w:pPr>
        <w:spacing w:after="200" w:line="480" w:lineRule="auto"/>
        <w:jc w:val="both"/>
        <w:rPr>
          <w:rFonts w:eastAsia="Times New Roman"/>
          <w:color w:val="auto"/>
          <w:lang w:eastAsia="en-ZA"/>
        </w:rPr>
      </w:pPr>
      <w:r>
        <w:rPr>
          <w:rFonts w:eastAsia="Times New Roman"/>
          <w:color w:val="auto"/>
          <w:lang w:eastAsia="en-ZA"/>
        </w:rPr>
        <w:t>[14]</w:t>
      </w:r>
      <w:r>
        <w:rPr>
          <w:rFonts w:eastAsia="Times New Roman"/>
          <w:color w:val="auto"/>
          <w:lang w:eastAsia="en-ZA"/>
        </w:rPr>
        <w:tab/>
      </w:r>
      <w:r w:rsidRPr="00350610">
        <w:rPr>
          <w:rFonts w:eastAsia="Times New Roman"/>
          <w:color w:val="auto"/>
          <w:lang w:eastAsia="en-ZA"/>
        </w:rPr>
        <w:t>In cross-examination, he confirmed that the eyewitness Ma-</w:t>
      </w:r>
      <w:proofErr w:type="spellStart"/>
      <w:r w:rsidRPr="00350610">
        <w:rPr>
          <w:rFonts w:eastAsia="Times New Roman"/>
          <w:color w:val="auto"/>
          <w:lang w:eastAsia="en-ZA"/>
        </w:rPr>
        <w:t>Efese</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Ndziwela</w:t>
      </w:r>
      <w:proofErr w:type="spellEnd"/>
      <w:r w:rsidRPr="00350610">
        <w:rPr>
          <w:rFonts w:eastAsia="Times New Roman"/>
          <w:color w:val="auto"/>
          <w:lang w:eastAsia="en-ZA"/>
        </w:rPr>
        <w:t xml:space="preserve"> (</w:t>
      </w:r>
      <w:proofErr w:type="spellStart"/>
      <w:r w:rsidRPr="00350610">
        <w:rPr>
          <w:rFonts w:eastAsia="Times New Roman"/>
          <w:color w:val="auto"/>
          <w:lang w:eastAsia="en-ZA"/>
        </w:rPr>
        <w:t>Ndziwela</w:t>
      </w:r>
      <w:proofErr w:type="spellEnd"/>
      <w:r w:rsidRPr="00350610">
        <w:rPr>
          <w:rFonts w:eastAsia="Times New Roman"/>
          <w:color w:val="auto"/>
          <w:lang w:eastAsia="en-ZA"/>
        </w:rPr>
        <w:t>) did not mention the plaintiff as one of the perpetrators. When asked whether it is a standard procedure to arrest a suspect based on the information received from other suspects, the arresting officer testified that the procedure is adequate. In support of this statement, the arresting officer testified that in that scenario the court is at liberty to decide on the admission of such evidence.</w:t>
      </w:r>
    </w:p>
    <w:p w14:paraId="59716D4E" w14:textId="77777777" w:rsidR="00350610" w:rsidRPr="00350610" w:rsidRDefault="00350610" w:rsidP="00350610">
      <w:pPr>
        <w:spacing w:after="200" w:line="480" w:lineRule="auto"/>
        <w:jc w:val="both"/>
        <w:rPr>
          <w:rFonts w:eastAsia="Times New Roman"/>
          <w:color w:val="auto"/>
          <w:lang w:eastAsia="en-ZA"/>
        </w:rPr>
      </w:pPr>
    </w:p>
    <w:p w14:paraId="61073245" w14:textId="5D1A8568"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[15]</w:t>
      </w:r>
      <w:r>
        <w:rPr>
          <w:rFonts w:eastAsia="Times New Roman"/>
          <w:color w:val="auto"/>
          <w:lang w:eastAsia="en-ZA"/>
        </w:rPr>
        <w:tab/>
      </w:r>
      <w:r w:rsidRPr="00350610">
        <w:rPr>
          <w:rFonts w:eastAsia="Times New Roman"/>
          <w:color w:val="auto"/>
          <w:lang w:eastAsia="en-ZA"/>
        </w:rPr>
        <w:t xml:space="preserve">When asked why he failed to exercise his discretion not to arrest in view of the fact that </w:t>
      </w:r>
      <w:proofErr w:type="spellStart"/>
      <w:r w:rsidRPr="00350610">
        <w:rPr>
          <w:rFonts w:eastAsia="Times New Roman"/>
          <w:color w:val="auto"/>
          <w:lang w:eastAsia="en-ZA"/>
        </w:rPr>
        <w:t>Ndziwela</w:t>
      </w:r>
      <w:proofErr w:type="spellEnd"/>
      <w:r w:rsidRPr="00350610">
        <w:rPr>
          <w:rFonts w:eastAsia="Times New Roman"/>
          <w:color w:val="auto"/>
          <w:lang w:eastAsia="en-ZA"/>
        </w:rPr>
        <w:t xml:space="preserve"> did not implicate the plaintiff as one of the perpetrators, the arresting officer testified that the plaintiff was implicated by other suspects. He denied that the arrest and subsequent detention were unlawful.</w:t>
      </w:r>
    </w:p>
    <w:p w14:paraId="4C807F0E" w14:textId="77777777" w:rsidR="00350610" w:rsidRPr="00EF3E4E" w:rsidRDefault="00350610" w:rsidP="00350610">
      <w:pPr>
        <w:spacing w:after="200" w:line="480" w:lineRule="auto"/>
        <w:jc w:val="both"/>
        <w:rPr>
          <w:rFonts w:eastAsia="Times New Roman"/>
          <w:b/>
          <w:bCs/>
          <w:color w:val="auto"/>
          <w:lang w:eastAsia="en-ZA"/>
        </w:rPr>
      </w:pPr>
    </w:p>
    <w:p w14:paraId="323AB1B6" w14:textId="49C11CEC" w:rsidR="00350610" w:rsidRPr="00EF3E4E" w:rsidRDefault="00E161F5" w:rsidP="00350610">
      <w:pPr>
        <w:spacing w:after="200" w:line="480" w:lineRule="auto"/>
        <w:jc w:val="both"/>
        <w:rPr>
          <w:rFonts w:eastAsia="Times New Roman"/>
          <w:b/>
          <w:bCs/>
          <w:color w:val="auto"/>
          <w:lang w:eastAsia="en-ZA"/>
        </w:rPr>
      </w:pPr>
      <w:r w:rsidRPr="003339F2">
        <w:rPr>
          <w:rFonts w:eastAsia="Times New Roman"/>
          <w:b/>
          <w:bCs/>
          <w:color w:val="auto"/>
          <w:lang w:eastAsia="en-ZA"/>
        </w:rPr>
        <w:t>D.</w:t>
      </w:r>
      <w:r>
        <w:rPr>
          <w:rFonts w:eastAsia="Times New Roman"/>
          <w:bCs/>
          <w:color w:val="auto"/>
          <w:lang w:eastAsia="en-ZA"/>
        </w:rPr>
        <w:tab/>
      </w:r>
      <w:r w:rsidR="00350610" w:rsidRPr="003339F2">
        <w:rPr>
          <w:rFonts w:eastAsia="Times New Roman"/>
          <w:b/>
          <w:bCs/>
          <w:color w:val="auto"/>
          <w:u w:val="single"/>
          <w:lang w:eastAsia="en-ZA"/>
        </w:rPr>
        <w:t>The 2nd defendant’s case</w:t>
      </w:r>
      <w:r>
        <w:rPr>
          <w:rFonts w:eastAsia="Times New Roman"/>
          <w:b/>
          <w:bCs/>
          <w:color w:val="auto"/>
          <w:lang w:eastAsia="en-ZA"/>
        </w:rPr>
        <w:t>:</w:t>
      </w:r>
    </w:p>
    <w:p w14:paraId="2253E311" w14:textId="5D7A235A"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lastRenderedPageBreak/>
        <w:t>[16]</w:t>
      </w:r>
      <w:r>
        <w:rPr>
          <w:rFonts w:eastAsia="Times New Roman"/>
          <w:color w:val="auto"/>
          <w:lang w:eastAsia="en-ZA"/>
        </w:rPr>
        <w:tab/>
      </w:r>
      <w:r w:rsidRPr="00350610">
        <w:rPr>
          <w:rFonts w:eastAsia="Times New Roman"/>
          <w:color w:val="auto"/>
          <w:lang w:eastAsia="en-ZA"/>
        </w:rPr>
        <w:t xml:space="preserve">In November 2015, Ms Siphokazi Maarman, the prosecutor, who is now a State Advocate in the High Court Mthatha, was employed by the National Prosecuting Authority (NPA) at Mthatha Magistrate’s Court. Her duties entailed reading new cases and </w:t>
      </w:r>
      <w:r w:rsidR="00273C4E">
        <w:rPr>
          <w:rFonts w:eastAsia="Times New Roman"/>
          <w:color w:val="auto"/>
          <w:lang w:eastAsia="en-ZA"/>
        </w:rPr>
        <w:t>deciding</w:t>
      </w:r>
      <w:r w:rsidRPr="00350610">
        <w:rPr>
          <w:rFonts w:eastAsia="Times New Roman"/>
          <w:color w:val="auto"/>
          <w:lang w:eastAsia="en-ZA"/>
        </w:rPr>
        <w:t xml:space="preserve"> whether to institute prosecution or not. </w:t>
      </w:r>
    </w:p>
    <w:p w14:paraId="5C11F2E6" w14:textId="77777777" w:rsidR="00794C3F" w:rsidRPr="00350610" w:rsidRDefault="00794C3F" w:rsidP="00350610">
      <w:pPr>
        <w:spacing w:after="200" w:line="480" w:lineRule="auto"/>
        <w:jc w:val="both"/>
        <w:rPr>
          <w:rFonts w:eastAsia="Times New Roman"/>
          <w:color w:val="auto"/>
          <w:lang w:eastAsia="en-ZA"/>
        </w:rPr>
      </w:pPr>
    </w:p>
    <w:p w14:paraId="4CEF655A" w14:textId="4A586B57" w:rsidR="00350610" w:rsidRDefault="00350610" w:rsidP="00350610">
      <w:pPr>
        <w:spacing w:after="200" w:line="480" w:lineRule="auto"/>
        <w:jc w:val="both"/>
        <w:rPr>
          <w:rFonts w:eastAsia="Times New Roman"/>
          <w:color w:val="auto"/>
          <w:lang w:eastAsia="en-ZA"/>
        </w:rPr>
      </w:pPr>
      <w:r>
        <w:rPr>
          <w:rFonts w:eastAsia="Times New Roman"/>
          <w:color w:val="auto"/>
          <w:lang w:eastAsia="en-ZA"/>
        </w:rPr>
        <w:t>[17]</w:t>
      </w:r>
      <w:r>
        <w:rPr>
          <w:rFonts w:eastAsia="Times New Roman"/>
          <w:color w:val="auto"/>
          <w:lang w:eastAsia="en-ZA"/>
        </w:rPr>
        <w:tab/>
      </w:r>
      <w:r w:rsidRPr="00350610">
        <w:rPr>
          <w:rFonts w:eastAsia="Times New Roman"/>
          <w:color w:val="auto"/>
          <w:lang w:eastAsia="en-ZA"/>
        </w:rPr>
        <w:t xml:space="preserve">On 16 November 2015, she received a case docket involving the murder of the deceased. The plaintiff was joined on the charges that were already preferred against the others. She read the statement and considered its contents. On examination, she found that the plaintiff was implicated by two suspects, Danti and </w:t>
      </w:r>
      <w:proofErr w:type="spellStart"/>
      <w:r w:rsidRPr="00350610">
        <w:rPr>
          <w:rFonts w:eastAsia="Times New Roman"/>
          <w:color w:val="auto"/>
          <w:lang w:eastAsia="en-ZA"/>
        </w:rPr>
        <w:t>Khimbili</w:t>
      </w:r>
      <w:proofErr w:type="spellEnd"/>
      <w:r w:rsidRPr="00350610">
        <w:rPr>
          <w:rFonts w:eastAsia="Times New Roman"/>
          <w:color w:val="auto"/>
          <w:lang w:eastAsia="en-ZA"/>
        </w:rPr>
        <w:t xml:space="preserve">.  Although these were warning statements, the two suspects corroborated each other to the effect that the plaintiff was one of the perpetrators of the crime of murder. In addition to the statements, he further considered that the deceased had died and a knife which was mentioned in the warning statements was used. After consideration, she decided that there was a prima facie case of murder, </w:t>
      </w:r>
      <w:r w:rsidR="00273C4E">
        <w:rPr>
          <w:rFonts w:eastAsia="Times New Roman"/>
          <w:color w:val="auto"/>
          <w:lang w:eastAsia="en-ZA"/>
        </w:rPr>
        <w:t xml:space="preserve">and </w:t>
      </w:r>
      <w:r w:rsidRPr="00350610">
        <w:rPr>
          <w:rFonts w:eastAsia="Times New Roman"/>
          <w:color w:val="auto"/>
          <w:lang w:eastAsia="en-ZA"/>
        </w:rPr>
        <w:t>then enrolled the matter.</w:t>
      </w:r>
    </w:p>
    <w:p w14:paraId="630FB93E" w14:textId="77777777" w:rsidR="00794C3F" w:rsidRPr="00350610" w:rsidRDefault="00794C3F" w:rsidP="00350610">
      <w:pPr>
        <w:spacing w:after="200" w:line="480" w:lineRule="auto"/>
        <w:jc w:val="both"/>
        <w:rPr>
          <w:rFonts w:eastAsia="Times New Roman"/>
          <w:color w:val="auto"/>
          <w:lang w:eastAsia="en-ZA"/>
        </w:rPr>
      </w:pPr>
    </w:p>
    <w:p w14:paraId="5E933234" w14:textId="1A85801D" w:rsidR="00350610" w:rsidRPr="00350610" w:rsidRDefault="00B16488" w:rsidP="00350610">
      <w:pPr>
        <w:spacing w:after="200" w:line="480" w:lineRule="auto"/>
        <w:jc w:val="both"/>
        <w:rPr>
          <w:rFonts w:eastAsia="Times New Roman"/>
          <w:color w:val="auto"/>
          <w:lang w:eastAsia="en-ZA"/>
        </w:rPr>
      </w:pPr>
      <w:r>
        <w:rPr>
          <w:rFonts w:eastAsia="Times New Roman"/>
          <w:color w:val="auto"/>
          <w:lang w:eastAsia="en-ZA"/>
        </w:rPr>
        <w:t>[18]</w:t>
      </w:r>
      <w:r>
        <w:rPr>
          <w:rFonts w:eastAsia="Times New Roman"/>
          <w:color w:val="auto"/>
          <w:lang w:eastAsia="en-ZA"/>
        </w:rPr>
        <w:tab/>
      </w:r>
      <w:r w:rsidR="00350610" w:rsidRPr="00350610">
        <w:rPr>
          <w:rFonts w:eastAsia="Times New Roman"/>
          <w:color w:val="auto"/>
          <w:lang w:eastAsia="en-ZA"/>
        </w:rPr>
        <w:t>She explained that according to their book titled ‘</w:t>
      </w:r>
      <w:r w:rsidR="00273C4E">
        <w:rPr>
          <w:rFonts w:eastAsia="Times New Roman"/>
          <w:color w:val="auto"/>
          <w:lang w:eastAsia="en-ZA"/>
        </w:rPr>
        <w:t>H</w:t>
      </w:r>
      <w:r w:rsidR="00350610" w:rsidRPr="00350610">
        <w:rPr>
          <w:rFonts w:eastAsia="Times New Roman"/>
          <w:color w:val="auto"/>
          <w:lang w:eastAsia="en-ZA"/>
        </w:rPr>
        <w:t xml:space="preserve">andy </w:t>
      </w:r>
      <w:r w:rsidR="00273C4E">
        <w:rPr>
          <w:rFonts w:eastAsia="Times New Roman"/>
          <w:color w:val="auto"/>
          <w:lang w:eastAsia="en-ZA"/>
        </w:rPr>
        <w:t>H</w:t>
      </w:r>
      <w:r w:rsidR="00350610" w:rsidRPr="00350610">
        <w:rPr>
          <w:rFonts w:eastAsia="Times New Roman"/>
          <w:color w:val="auto"/>
          <w:lang w:eastAsia="en-ZA"/>
        </w:rPr>
        <w:t xml:space="preserve">ints’ which is extracted from the National Prosecuting Authority Act (NPA </w:t>
      </w:r>
      <w:r w:rsidR="00273C4E">
        <w:rPr>
          <w:rFonts w:eastAsia="Times New Roman"/>
          <w:color w:val="auto"/>
          <w:lang w:eastAsia="en-ZA"/>
        </w:rPr>
        <w:t>A</w:t>
      </w:r>
      <w:r w:rsidR="00350610" w:rsidRPr="00350610">
        <w:rPr>
          <w:rFonts w:eastAsia="Times New Roman"/>
          <w:color w:val="auto"/>
          <w:lang w:eastAsia="en-ZA"/>
        </w:rPr>
        <w:t xml:space="preserve">ct) and NPA policy directives, she was authorised to consider warning statements. In intensification, she testified that warning statements are also a valuable tool to decide whether to prosecute or not. </w:t>
      </w:r>
      <w:r w:rsidR="00EB0DAB">
        <w:rPr>
          <w:rFonts w:eastAsia="Times New Roman"/>
          <w:color w:val="auto"/>
          <w:lang w:eastAsia="en-ZA"/>
        </w:rPr>
        <w:t>Th</w:t>
      </w:r>
      <w:r w:rsidR="00350610" w:rsidRPr="00350610">
        <w:rPr>
          <w:rFonts w:eastAsia="Times New Roman"/>
          <w:color w:val="auto"/>
          <w:lang w:eastAsia="en-ZA"/>
        </w:rPr>
        <w:t>e admissibility or otherwise of a warning statement is something that is ventilated in a trial-within-a</w:t>
      </w:r>
      <w:r w:rsidR="00273C4E">
        <w:rPr>
          <w:rFonts w:eastAsia="Times New Roman"/>
          <w:color w:val="auto"/>
          <w:lang w:eastAsia="en-ZA"/>
        </w:rPr>
        <w:t>-</w:t>
      </w:r>
      <w:r w:rsidR="00350610" w:rsidRPr="00350610">
        <w:rPr>
          <w:rFonts w:eastAsia="Times New Roman"/>
          <w:color w:val="auto"/>
          <w:lang w:eastAsia="en-ZA"/>
        </w:rPr>
        <w:t xml:space="preserve">trial when the court proceedings are in motion, so she testified.   </w:t>
      </w:r>
    </w:p>
    <w:p w14:paraId="14D52E9F" w14:textId="77777777" w:rsidR="00B16488" w:rsidRDefault="00B16488" w:rsidP="00350610">
      <w:pPr>
        <w:spacing w:after="200" w:line="480" w:lineRule="auto"/>
        <w:jc w:val="both"/>
        <w:rPr>
          <w:rFonts w:eastAsia="Times New Roman"/>
          <w:color w:val="auto"/>
          <w:lang w:eastAsia="en-ZA"/>
        </w:rPr>
      </w:pPr>
    </w:p>
    <w:p w14:paraId="425395DE" w14:textId="5267000C" w:rsidR="00350610" w:rsidRDefault="00B16488" w:rsidP="00350610">
      <w:pPr>
        <w:spacing w:after="200" w:line="480" w:lineRule="auto"/>
        <w:jc w:val="both"/>
        <w:rPr>
          <w:rFonts w:eastAsia="Times New Roman"/>
          <w:color w:val="auto"/>
          <w:lang w:eastAsia="en-ZA"/>
        </w:rPr>
      </w:pPr>
      <w:r>
        <w:rPr>
          <w:rFonts w:eastAsia="Times New Roman"/>
          <w:color w:val="auto"/>
          <w:lang w:eastAsia="en-ZA"/>
        </w:rPr>
        <w:t>[19]</w:t>
      </w:r>
      <w:r>
        <w:rPr>
          <w:rFonts w:eastAsia="Times New Roman"/>
          <w:color w:val="auto"/>
          <w:lang w:eastAsia="en-ZA"/>
        </w:rPr>
        <w:tab/>
      </w:r>
      <w:r w:rsidR="00350610" w:rsidRPr="00350610">
        <w:rPr>
          <w:rFonts w:eastAsia="Times New Roman"/>
          <w:color w:val="auto"/>
          <w:lang w:eastAsia="en-ZA"/>
        </w:rPr>
        <w:t xml:space="preserve">The prosecutor testified that when the plaintiff appeared before </w:t>
      </w:r>
      <w:r w:rsidR="00273C4E">
        <w:rPr>
          <w:rFonts w:eastAsia="Times New Roman"/>
          <w:color w:val="auto"/>
          <w:lang w:eastAsia="en-ZA"/>
        </w:rPr>
        <w:t xml:space="preserve">the </w:t>
      </w:r>
      <w:r w:rsidR="00350610" w:rsidRPr="00350610">
        <w:rPr>
          <w:rFonts w:eastAsia="Times New Roman"/>
          <w:color w:val="auto"/>
          <w:lang w:eastAsia="en-ZA"/>
        </w:rPr>
        <w:t xml:space="preserve">court, she informed the magistrate of the charges preferred against him. She asked the court to </w:t>
      </w:r>
      <w:r w:rsidR="00350610" w:rsidRPr="00350610">
        <w:rPr>
          <w:rFonts w:eastAsia="Times New Roman"/>
          <w:color w:val="auto"/>
          <w:lang w:eastAsia="en-ZA"/>
        </w:rPr>
        <w:lastRenderedPageBreak/>
        <w:t xml:space="preserve">explain his rights to legal representation including his rights to apply for bail. She further informed the court that the matter fell under Schedule 6 in terms of bail legislation. Additionally, she advised the court that the murder was planned and was committed by a group in furtherance of </w:t>
      </w:r>
      <w:r w:rsidR="00273C4E">
        <w:rPr>
          <w:rFonts w:eastAsia="Times New Roman"/>
          <w:color w:val="auto"/>
          <w:lang w:eastAsia="en-ZA"/>
        </w:rPr>
        <w:t xml:space="preserve">a </w:t>
      </w:r>
      <w:r w:rsidR="00350610" w:rsidRPr="00350610">
        <w:rPr>
          <w:rFonts w:eastAsia="Times New Roman"/>
          <w:color w:val="auto"/>
          <w:lang w:eastAsia="en-ZA"/>
        </w:rPr>
        <w:t>common purpose. The prosecutor explained that in light of all this information, the onus was placed on the plaintiff to convince the court that there existed exceptional circumstances which in the interest of justice warranted his release on bail.</w:t>
      </w:r>
    </w:p>
    <w:p w14:paraId="28248FFC" w14:textId="77777777" w:rsidR="000C5000" w:rsidRPr="00350610" w:rsidRDefault="000C5000" w:rsidP="00350610">
      <w:pPr>
        <w:spacing w:after="200" w:line="480" w:lineRule="auto"/>
        <w:jc w:val="both"/>
        <w:rPr>
          <w:rFonts w:eastAsia="Times New Roman"/>
          <w:color w:val="auto"/>
          <w:lang w:eastAsia="en-ZA"/>
        </w:rPr>
      </w:pPr>
    </w:p>
    <w:p w14:paraId="452C64A5" w14:textId="3D113D24"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[20]</w:t>
      </w:r>
      <w:r>
        <w:rPr>
          <w:rFonts w:eastAsia="Times New Roman"/>
          <w:color w:val="auto"/>
          <w:lang w:eastAsia="en-ZA"/>
        </w:rPr>
        <w:tab/>
      </w:r>
      <w:r w:rsidR="00350610" w:rsidRPr="00350610">
        <w:rPr>
          <w:rFonts w:eastAsia="Times New Roman"/>
          <w:color w:val="auto"/>
          <w:lang w:eastAsia="en-ZA"/>
        </w:rPr>
        <w:t xml:space="preserve">The court conveyed all this information to the plaintiff, and he elected to apply for </w:t>
      </w:r>
      <w:r w:rsidR="00273C4E">
        <w:rPr>
          <w:rFonts w:eastAsia="Times New Roman"/>
          <w:color w:val="auto"/>
          <w:lang w:eastAsia="en-ZA"/>
        </w:rPr>
        <w:t xml:space="preserve">a </w:t>
      </w:r>
      <w:r w:rsidR="00350610" w:rsidRPr="00350610">
        <w:rPr>
          <w:rFonts w:eastAsia="Times New Roman"/>
          <w:color w:val="auto"/>
          <w:lang w:eastAsia="en-ZA"/>
        </w:rPr>
        <w:t xml:space="preserve">legal aid attorney. The legal aid attorneys were not in court at that stage. The matter was postponed for the processing of an application for </w:t>
      </w:r>
      <w:r w:rsidR="00273C4E">
        <w:rPr>
          <w:rFonts w:eastAsia="Times New Roman"/>
          <w:color w:val="auto"/>
          <w:lang w:eastAsia="en-ZA"/>
        </w:rPr>
        <w:t xml:space="preserve">a </w:t>
      </w:r>
      <w:r w:rsidR="00350610" w:rsidRPr="00350610">
        <w:rPr>
          <w:rFonts w:eastAsia="Times New Roman"/>
          <w:color w:val="auto"/>
          <w:lang w:eastAsia="en-ZA"/>
        </w:rPr>
        <w:t>legal aid attorney. When asked how the court conveyed all this information in the absence of a sign language interpreter, the prosecutor testified that the interpreter who was present in court that day came closer to him and explained the process as directed by the court. She further testified that she never opposed the release of the plaintiff on bail.</w:t>
      </w:r>
    </w:p>
    <w:p w14:paraId="378E27CB" w14:textId="77777777" w:rsidR="000C5000" w:rsidRDefault="000C5000" w:rsidP="00350610">
      <w:pPr>
        <w:spacing w:after="200" w:line="480" w:lineRule="auto"/>
        <w:jc w:val="both"/>
        <w:rPr>
          <w:rFonts w:eastAsia="Times New Roman"/>
          <w:color w:val="auto"/>
          <w:lang w:eastAsia="en-ZA"/>
        </w:rPr>
      </w:pPr>
    </w:p>
    <w:p w14:paraId="3DB650CD" w14:textId="146D2945"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[21]</w:t>
      </w:r>
      <w:r>
        <w:rPr>
          <w:rFonts w:eastAsia="Times New Roman"/>
          <w:color w:val="auto"/>
          <w:lang w:eastAsia="en-ZA"/>
        </w:rPr>
        <w:tab/>
      </w:r>
      <w:r w:rsidR="00350610" w:rsidRPr="00350610">
        <w:rPr>
          <w:rFonts w:eastAsia="Times New Roman"/>
          <w:color w:val="auto"/>
          <w:lang w:eastAsia="en-ZA"/>
        </w:rPr>
        <w:t xml:space="preserve">When asked to explain why the matter was postponed to different dates, she indicated that four postponements were at the instance of the plaintiff. He sought the services of </w:t>
      </w:r>
      <w:r w:rsidR="00273C4E">
        <w:rPr>
          <w:rFonts w:eastAsia="Times New Roman"/>
          <w:color w:val="auto"/>
          <w:lang w:eastAsia="en-ZA"/>
        </w:rPr>
        <w:t>a</w:t>
      </w:r>
      <w:r w:rsidR="00350610" w:rsidRPr="00350610">
        <w:rPr>
          <w:rFonts w:eastAsia="Times New Roman"/>
          <w:color w:val="auto"/>
          <w:lang w:eastAsia="en-ZA"/>
        </w:rPr>
        <w:t xml:space="preserve"> sign language interpreter. The Department of Justice (</w:t>
      </w:r>
      <w:proofErr w:type="spellStart"/>
      <w:r w:rsidR="00350610" w:rsidRPr="00350610">
        <w:rPr>
          <w:rFonts w:eastAsia="Times New Roman"/>
          <w:color w:val="auto"/>
          <w:lang w:eastAsia="en-ZA"/>
        </w:rPr>
        <w:t>DoJ</w:t>
      </w:r>
      <w:proofErr w:type="spellEnd"/>
      <w:r w:rsidR="00350610" w:rsidRPr="00350610">
        <w:rPr>
          <w:rFonts w:eastAsia="Times New Roman"/>
          <w:color w:val="auto"/>
          <w:lang w:eastAsia="en-ZA"/>
        </w:rPr>
        <w:t>) is authorised to offer such services and not the NDPP. On the other dates</w:t>
      </w:r>
      <w:r w:rsidR="00273C4E">
        <w:rPr>
          <w:rFonts w:eastAsia="Times New Roman"/>
          <w:color w:val="auto"/>
          <w:lang w:eastAsia="en-ZA"/>
        </w:rPr>
        <w:t>,</w:t>
      </w:r>
      <w:r w:rsidR="00350610" w:rsidRPr="00350610">
        <w:rPr>
          <w:rFonts w:eastAsia="Times New Roman"/>
          <w:color w:val="auto"/>
          <w:lang w:eastAsia="en-ZA"/>
        </w:rPr>
        <w:t xml:space="preserve"> it was postponed due to </w:t>
      </w:r>
      <w:r w:rsidR="00273C4E">
        <w:rPr>
          <w:rFonts w:eastAsia="Times New Roman"/>
          <w:color w:val="auto"/>
          <w:lang w:eastAsia="en-ZA"/>
        </w:rPr>
        <w:t xml:space="preserve">the </w:t>
      </w:r>
      <w:r w:rsidR="00350610" w:rsidRPr="00350610">
        <w:rPr>
          <w:rFonts w:eastAsia="Times New Roman"/>
          <w:color w:val="auto"/>
          <w:lang w:eastAsia="en-ZA"/>
        </w:rPr>
        <w:t xml:space="preserve">lateness of </w:t>
      </w:r>
      <w:r w:rsidR="00273C4E">
        <w:rPr>
          <w:rFonts w:eastAsia="Times New Roman"/>
          <w:color w:val="auto"/>
          <w:lang w:eastAsia="en-ZA"/>
        </w:rPr>
        <w:t xml:space="preserve">the </w:t>
      </w:r>
      <w:r w:rsidR="00350610" w:rsidRPr="00350610">
        <w:rPr>
          <w:rFonts w:eastAsia="Times New Roman"/>
          <w:color w:val="auto"/>
          <w:lang w:eastAsia="en-ZA"/>
        </w:rPr>
        <w:t>hour</w:t>
      </w:r>
      <w:r w:rsidR="001D117E">
        <w:rPr>
          <w:rFonts w:eastAsia="Times New Roman"/>
          <w:color w:val="auto"/>
          <w:lang w:eastAsia="en-ZA"/>
        </w:rPr>
        <w:t xml:space="preserve"> in bail proceedings. In one instance the delay of the matter was due to the </w:t>
      </w:r>
      <w:proofErr w:type="spellStart"/>
      <w:r w:rsidR="00350610" w:rsidRPr="00350610">
        <w:rPr>
          <w:rFonts w:eastAsia="Times New Roman"/>
          <w:color w:val="auto"/>
          <w:lang w:eastAsia="en-ZA"/>
        </w:rPr>
        <w:t>the</w:t>
      </w:r>
      <w:proofErr w:type="spellEnd"/>
      <w:r w:rsidR="00350610" w:rsidRPr="00350610">
        <w:rPr>
          <w:rFonts w:eastAsia="Times New Roman"/>
          <w:color w:val="auto"/>
          <w:lang w:eastAsia="en-ZA"/>
        </w:rPr>
        <w:t xml:space="preserve"> absence of the presiding officer to conduct the bail proceedings. According to her evidence, the non-availability of the legal aid attorney also contributed to the delays in the ma</w:t>
      </w:r>
      <w:r w:rsidR="00433A5F">
        <w:rPr>
          <w:rFonts w:eastAsia="Times New Roman"/>
          <w:color w:val="auto"/>
          <w:lang w:eastAsia="en-ZA"/>
        </w:rPr>
        <w:t>tter. According to her evidence,</w:t>
      </w:r>
      <w:r w:rsidR="00350610" w:rsidRPr="00350610">
        <w:rPr>
          <w:rFonts w:eastAsia="Times New Roman"/>
          <w:color w:val="auto"/>
          <w:lang w:eastAsia="en-ZA"/>
        </w:rPr>
        <w:t xml:space="preserve"> from the date of the first </w:t>
      </w:r>
      <w:r w:rsidR="00350610" w:rsidRPr="00350610">
        <w:rPr>
          <w:rFonts w:eastAsia="Times New Roman"/>
          <w:color w:val="auto"/>
          <w:lang w:eastAsia="en-ZA"/>
        </w:rPr>
        <w:lastRenderedPageBreak/>
        <w:t>appearance until the plaintiff was granted bail, the NDPP was always ready to deal with the pre-trial issues which included bail proceedings.</w:t>
      </w:r>
    </w:p>
    <w:p w14:paraId="65B4B273" w14:textId="77777777" w:rsidR="000C5000" w:rsidRDefault="000C5000" w:rsidP="00350610">
      <w:pPr>
        <w:spacing w:after="200" w:line="480" w:lineRule="auto"/>
        <w:jc w:val="both"/>
        <w:rPr>
          <w:rFonts w:eastAsia="Times New Roman"/>
          <w:color w:val="auto"/>
          <w:lang w:eastAsia="en-ZA"/>
        </w:rPr>
      </w:pPr>
    </w:p>
    <w:p w14:paraId="08FD72E6" w14:textId="42EB4BFE" w:rsidR="00350610" w:rsidRDefault="000C5000" w:rsidP="00350610">
      <w:pPr>
        <w:spacing w:after="200" w:line="480" w:lineRule="auto"/>
        <w:jc w:val="both"/>
        <w:rPr>
          <w:rFonts w:eastAsia="Times New Roman"/>
          <w:color w:val="auto"/>
          <w:lang w:eastAsia="en-ZA"/>
        </w:rPr>
      </w:pPr>
      <w:r>
        <w:rPr>
          <w:rFonts w:eastAsia="Times New Roman"/>
          <w:color w:val="auto"/>
          <w:lang w:eastAsia="en-ZA"/>
        </w:rPr>
        <w:t>[22]</w:t>
      </w:r>
      <w:r>
        <w:rPr>
          <w:rFonts w:eastAsia="Times New Roman"/>
          <w:color w:val="auto"/>
          <w:lang w:eastAsia="en-ZA"/>
        </w:rPr>
        <w:tab/>
      </w:r>
      <w:r w:rsidR="00350610" w:rsidRPr="00350610">
        <w:rPr>
          <w:rFonts w:eastAsia="Times New Roman"/>
          <w:color w:val="auto"/>
          <w:lang w:eastAsia="en-ZA"/>
        </w:rPr>
        <w:t xml:space="preserve">Under cross-examination, the prosecutor conceded that a warning statement is not taken under oath and therefore carries less evidential weight than a sworn statement. When asked if it was enough to enrol the matter based on the warning statement, she confirmed. She explained the processes that the NDPP </w:t>
      </w:r>
      <w:r w:rsidR="009114C6">
        <w:rPr>
          <w:rFonts w:eastAsia="Times New Roman"/>
          <w:color w:val="auto"/>
          <w:lang w:eastAsia="en-ZA"/>
        </w:rPr>
        <w:t>embark on</w:t>
      </w:r>
      <w:r w:rsidR="00350610" w:rsidRPr="00350610">
        <w:rPr>
          <w:rFonts w:eastAsia="Times New Roman"/>
          <w:color w:val="auto"/>
          <w:lang w:eastAsia="en-ZA"/>
        </w:rPr>
        <w:t xml:space="preserve"> before a matter is tried. She testified that enrolment is a procedure that the NDPP adopts when there is a prima facie case. When the matter is enrolled, </w:t>
      </w:r>
      <w:r w:rsidR="00273C4E">
        <w:rPr>
          <w:rFonts w:eastAsia="Times New Roman"/>
          <w:color w:val="auto"/>
          <w:lang w:eastAsia="en-ZA"/>
        </w:rPr>
        <w:t xml:space="preserve">the </w:t>
      </w:r>
      <w:r w:rsidR="00350610" w:rsidRPr="00350610">
        <w:rPr>
          <w:rFonts w:eastAsia="Times New Roman"/>
          <w:color w:val="auto"/>
          <w:lang w:eastAsia="en-ZA"/>
        </w:rPr>
        <w:t xml:space="preserve">investigation continues. When one decides to prosecute, evidence beyond reasonable doubt must be obtained. She further stated that they had an option to utilise one of the suspects as a witness in terms of Section 204 of the Criminal Procedure Act 51 of </w:t>
      </w:r>
      <w:r w:rsidRPr="00350610">
        <w:rPr>
          <w:rFonts w:eastAsia="Times New Roman"/>
          <w:color w:val="auto"/>
          <w:lang w:eastAsia="en-ZA"/>
        </w:rPr>
        <w:t>1977(the</w:t>
      </w:r>
      <w:r w:rsidR="00350610" w:rsidRPr="00350610">
        <w:rPr>
          <w:rFonts w:eastAsia="Times New Roman"/>
          <w:color w:val="auto"/>
          <w:lang w:eastAsia="en-ZA"/>
        </w:rPr>
        <w:t xml:space="preserve"> CPA).  </w:t>
      </w:r>
      <w:r w:rsidR="00EB0DAB">
        <w:rPr>
          <w:rFonts w:eastAsia="Times New Roman"/>
          <w:color w:val="auto"/>
          <w:lang w:eastAsia="en-ZA"/>
        </w:rPr>
        <w:t>According to her testimony, t</w:t>
      </w:r>
      <w:r w:rsidR="00350610" w:rsidRPr="00350610">
        <w:rPr>
          <w:rFonts w:eastAsia="Times New Roman"/>
          <w:color w:val="auto"/>
          <w:lang w:eastAsia="en-ZA"/>
        </w:rPr>
        <w:t xml:space="preserve">he matter had a public interest and due to the prima facie </w:t>
      </w:r>
      <w:r w:rsidRPr="00350610">
        <w:rPr>
          <w:rFonts w:eastAsia="Times New Roman"/>
          <w:color w:val="auto"/>
          <w:lang w:eastAsia="en-ZA"/>
        </w:rPr>
        <w:t>case,</w:t>
      </w:r>
      <w:r w:rsidR="00350610" w:rsidRPr="00350610">
        <w:rPr>
          <w:rFonts w:eastAsia="Times New Roman"/>
          <w:color w:val="auto"/>
          <w:lang w:eastAsia="en-ZA"/>
        </w:rPr>
        <w:t xml:space="preserve"> that existed in the docket</w:t>
      </w:r>
      <w:r w:rsidR="00273C4E">
        <w:rPr>
          <w:rFonts w:eastAsia="Times New Roman"/>
          <w:color w:val="auto"/>
          <w:lang w:eastAsia="en-ZA"/>
        </w:rPr>
        <w:t>,</w:t>
      </w:r>
      <w:r w:rsidR="00350610" w:rsidRPr="00350610">
        <w:rPr>
          <w:rFonts w:eastAsia="Times New Roman"/>
          <w:color w:val="auto"/>
          <w:lang w:eastAsia="en-ZA"/>
        </w:rPr>
        <w:t xml:space="preserve"> they had to enrol the matter. Certain information would </w:t>
      </w:r>
      <w:r w:rsidR="00273C4E">
        <w:rPr>
          <w:rFonts w:eastAsia="Times New Roman"/>
          <w:color w:val="auto"/>
          <w:lang w:eastAsia="en-ZA"/>
        </w:rPr>
        <w:t>have been</w:t>
      </w:r>
      <w:r w:rsidR="00350610" w:rsidRPr="00350610">
        <w:rPr>
          <w:rFonts w:eastAsia="Times New Roman"/>
          <w:color w:val="auto"/>
          <w:lang w:eastAsia="en-ZA"/>
        </w:rPr>
        <w:t xml:space="preserve"> lost had the matter not be</w:t>
      </w:r>
      <w:r w:rsidR="00273C4E">
        <w:rPr>
          <w:rFonts w:eastAsia="Times New Roman"/>
          <w:color w:val="auto"/>
          <w:lang w:eastAsia="en-ZA"/>
        </w:rPr>
        <w:t>en</w:t>
      </w:r>
      <w:r w:rsidR="00350610" w:rsidRPr="00350610">
        <w:rPr>
          <w:rFonts w:eastAsia="Times New Roman"/>
          <w:color w:val="auto"/>
          <w:lang w:eastAsia="en-ZA"/>
        </w:rPr>
        <w:t xml:space="preserve"> enrolled</w:t>
      </w:r>
      <w:r w:rsidR="00EB0DAB">
        <w:rPr>
          <w:rFonts w:eastAsia="Times New Roman"/>
          <w:color w:val="auto"/>
          <w:lang w:eastAsia="en-ZA"/>
        </w:rPr>
        <w:t>.</w:t>
      </w:r>
    </w:p>
    <w:p w14:paraId="4696E237" w14:textId="77777777" w:rsidR="000C5000" w:rsidRPr="00EF3E4E" w:rsidRDefault="000C5000" w:rsidP="00350610">
      <w:pPr>
        <w:spacing w:after="200" w:line="480" w:lineRule="auto"/>
        <w:jc w:val="both"/>
        <w:rPr>
          <w:rFonts w:eastAsia="Times New Roman"/>
          <w:b/>
          <w:bCs/>
          <w:i/>
          <w:iCs/>
          <w:color w:val="auto"/>
          <w:lang w:eastAsia="en-ZA"/>
        </w:rPr>
      </w:pPr>
    </w:p>
    <w:p w14:paraId="2CB246F8" w14:textId="2D20B0B3" w:rsidR="000C5000" w:rsidRPr="00EF3E4E" w:rsidRDefault="00506302" w:rsidP="00350610">
      <w:pPr>
        <w:spacing w:after="200" w:line="480" w:lineRule="auto"/>
        <w:jc w:val="both"/>
        <w:rPr>
          <w:rFonts w:eastAsia="Times New Roman"/>
          <w:b/>
          <w:bCs/>
          <w:color w:val="auto"/>
          <w:lang w:eastAsia="en-ZA"/>
        </w:rPr>
      </w:pPr>
      <w:r>
        <w:rPr>
          <w:rFonts w:eastAsia="Times New Roman"/>
          <w:b/>
          <w:bCs/>
          <w:color w:val="auto"/>
          <w:lang w:eastAsia="en-ZA"/>
        </w:rPr>
        <w:t>E.</w:t>
      </w:r>
      <w:r>
        <w:rPr>
          <w:rFonts w:eastAsia="Times New Roman"/>
          <w:b/>
          <w:bCs/>
          <w:color w:val="auto"/>
          <w:lang w:eastAsia="en-ZA"/>
        </w:rPr>
        <w:tab/>
      </w:r>
      <w:r w:rsidR="00350610" w:rsidRPr="003339F2">
        <w:rPr>
          <w:rFonts w:eastAsia="Times New Roman"/>
          <w:b/>
          <w:bCs/>
          <w:color w:val="auto"/>
          <w:u w:val="single"/>
          <w:lang w:eastAsia="en-ZA"/>
        </w:rPr>
        <w:t xml:space="preserve">The plaintiff’s </w:t>
      </w:r>
      <w:r w:rsidR="000C5000" w:rsidRPr="003339F2">
        <w:rPr>
          <w:rFonts w:eastAsia="Times New Roman"/>
          <w:b/>
          <w:bCs/>
          <w:color w:val="auto"/>
          <w:u w:val="single"/>
          <w:lang w:eastAsia="en-ZA"/>
        </w:rPr>
        <w:t>case</w:t>
      </w:r>
      <w:r>
        <w:rPr>
          <w:rFonts w:eastAsia="Times New Roman"/>
          <w:b/>
          <w:bCs/>
          <w:color w:val="auto"/>
          <w:lang w:eastAsia="en-ZA"/>
        </w:rPr>
        <w:t>:</w:t>
      </w:r>
    </w:p>
    <w:p w14:paraId="150F8D20" w14:textId="3AA8679D"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[23]</w:t>
      </w:r>
      <w:r>
        <w:rPr>
          <w:rFonts w:eastAsia="Times New Roman"/>
          <w:color w:val="auto"/>
          <w:lang w:eastAsia="en-ZA"/>
        </w:rPr>
        <w:tab/>
      </w:r>
      <w:r w:rsidR="00350610" w:rsidRPr="00350610">
        <w:rPr>
          <w:rFonts w:eastAsia="Times New Roman"/>
          <w:color w:val="auto"/>
          <w:lang w:eastAsia="en-ZA"/>
        </w:rPr>
        <w:t xml:space="preserve">The plaintiff testified that since he had a hearing disability, he had to be enrolled at </w:t>
      </w:r>
      <w:proofErr w:type="spellStart"/>
      <w:r w:rsidR="00350610" w:rsidRPr="00350610">
        <w:rPr>
          <w:rFonts w:eastAsia="Times New Roman"/>
          <w:color w:val="auto"/>
          <w:lang w:eastAsia="en-ZA"/>
        </w:rPr>
        <w:t>Efata</w:t>
      </w:r>
      <w:proofErr w:type="spellEnd"/>
      <w:r w:rsidR="00350610" w:rsidRPr="00350610">
        <w:rPr>
          <w:rFonts w:eastAsia="Times New Roman"/>
          <w:color w:val="auto"/>
          <w:lang w:eastAsia="en-ZA"/>
        </w:rPr>
        <w:t xml:space="preserve"> School for the Blind and Deaf in Mthatha. In 2015, he was doing grade 11. On 12 November 2015, he was at </w:t>
      </w:r>
      <w:r w:rsidR="00273C4E">
        <w:rPr>
          <w:rFonts w:eastAsia="Times New Roman"/>
          <w:color w:val="auto"/>
          <w:lang w:eastAsia="en-ZA"/>
        </w:rPr>
        <w:t xml:space="preserve">the </w:t>
      </w:r>
      <w:r w:rsidR="00350610" w:rsidRPr="00350610">
        <w:rPr>
          <w:rFonts w:eastAsia="Times New Roman"/>
          <w:color w:val="auto"/>
          <w:lang w:eastAsia="en-ZA"/>
        </w:rPr>
        <w:t xml:space="preserve">hostel when two police officers approached him. They asked that he should dress up. They handcuffed and took him to the police car. </w:t>
      </w:r>
    </w:p>
    <w:p w14:paraId="7C8FE444" w14:textId="77777777" w:rsidR="000C5000" w:rsidRDefault="000C5000" w:rsidP="00350610">
      <w:pPr>
        <w:spacing w:after="200" w:line="480" w:lineRule="auto"/>
        <w:jc w:val="both"/>
        <w:rPr>
          <w:rFonts w:eastAsia="Times New Roman"/>
          <w:color w:val="auto"/>
          <w:lang w:eastAsia="en-ZA"/>
        </w:rPr>
      </w:pPr>
    </w:p>
    <w:p w14:paraId="3FFC35F9" w14:textId="58376597"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lastRenderedPageBreak/>
        <w:t>[24]</w:t>
      </w:r>
      <w:r>
        <w:rPr>
          <w:rFonts w:eastAsia="Times New Roman"/>
          <w:color w:val="auto"/>
          <w:lang w:eastAsia="en-ZA"/>
        </w:rPr>
        <w:tab/>
      </w:r>
      <w:r w:rsidR="00350610" w:rsidRPr="00350610">
        <w:rPr>
          <w:rFonts w:eastAsia="Times New Roman"/>
          <w:color w:val="auto"/>
          <w:lang w:eastAsia="en-ZA"/>
        </w:rPr>
        <w:t>He then found three male persons in the car. They were taken to Savoy Correctional Centre where certain questions were posed to them to answer. Upon his arrest</w:t>
      </w:r>
      <w:r w:rsidR="00273C4E">
        <w:rPr>
          <w:rFonts w:eastAsia="Times New Roman"/>
          <w:color w:val="auto"/>
          <w:lang w:eastAsia="en-ZA"/>
        </w:rPr>
        <w:t>,</w:t>
      </w:r>
      <w:r w:rsidR="00350610" w:rsidRPr="00350610">
        <w:rPr>
          <w:rFonts w:eastAsia="Times New Roman"/>
          <w:color w:val="auto"/>
          <w:lang w:eastAsia="en-ZA"/>
        </w:rPr>
        <w:t xml:space="preserve"> it was asserted to him that he had killed a human being, which he denied. He was later taken to Central police station where he was asked to speak, and failure to do so would result in him being denied bail in court. </w:t>
      </w:r>
    </w:p>
    <w:p w14:paraId="773BAA2D" w14:textId="77777777" w:rsidR="000C5000" w:rsidRDefault="000C5000" w:rsidP="00350610">
      <w:pPr>
        <w:spacing w:after="200" w:line="480" w:lineRule="auto"/>
        <w:jc w:val="both"/>
        <w:rPr>
          <w:rFonts w:eastAsia="Times New Roman"/>
          <w:color w:val="auto"/>
          <w:lang w:eastAsia="en-ZA"/>
        </w:rPr>
      </w:pPr>
    </w:p>
    <w:p w14:paraId="67DF895C" w14:textId="17FBAD59" w:rsidR="00350610" w:rsidRDefault="000C5000" w:rsidP="00350610">
      <w:pPr>
        <w:spacing w:after="200" w:line="480" w:lineRule="auto"/>
        <w:jc w:val="both"/>
        <w:rPr>
          <w:rFonts w:eastAsia="Times New Roman"/>
          <w:color w:val="auto"/>
          <w:lang w:eastAsia="en-ZA"/>
        </w:rPr>
      </w:pPr>
      <w:r>
        <w:rPr>
          <w:rFonts w:eastAsia="Times New Roman"/>
          <w:color w:val="auto"/>
          <w:lang w:eastAsia="en-ZA"/>
        </w:rPr>
        <w:t>[25]</w:t>
      </w:r>
      <w:r>
        <w:rPr>
          <w:rFonts w:eastAsia="Times New Roman"/>
          <w:color w:val="auto"/>
          <w:lang w:eastAsia="en-ZA"/>
        </w:rPr>
        <w:tab/>
      </w:r>
      <w:r w:rsidR="00350610" w:rsidRPr="00350610">
        <w:rPr>
          <w:rFonts w:eastAsia="Times New Roman"/>
          <w:color w:val="auto"/>
          <w:lang w:eastAsia="en-ZA"/>
        </w:rPr>
        <w:t>During his interrogation, he screamed because he felt a lot of discomfort due to being handcuf</w:t>
      </w:r>
      <w:r w:rsidR="00273C4E">
        <w:rPr>
          <w:rFonts w:eastAsia="Times New Roman"/>
          <w:color w:val="auto"/>
          <w:lang w:eastAsia="en-ZA"/>
        </w:rPr>
        <w:t>f</w:t>
      </w:r>
      <w:r w:rsidR="00350610" w:rsidRPr="00350610">
        <w:rPr>
          <w:rFonts w:eastAsia="Times New Roman"/>
          <w:color w:val="auto"/>
          <w:lang w:eastAsia="en-ZA"/>
        </w:rPr>
        <w:t xml:space="preserve">ed. The plaintiff explained that he appeared in court on 16 November 2015. After the court appearance, the matter was postponed on numerous occasions until he was granted bail on 26 February 2016. He failed to write his school examination due to incarceration. </w:t>
      </w:r>
      <w:r w:rsidR="00273C4E">
        <w:rPr>
          <w:rFonts w:eastAsia="Times New Roman"/>
          <w:color w:val="auto"/>
          <w:lang w:eastAsia="en-ZA"/>
        </w:rPr>
        <w:t>I</w:t>
      </w:r>
      <w:r w:rsidR="00350610" w:rsidRPr="00350610">
        <w:rPr>
          <w:rFonts w:eastAsia="Times New Roman"/>
          <w:color w:val="auto"/>
          <w:lang w:eastAsia="en-ZA"/>
        </w:rPr>
        <w:t xml:space="preserve">n the following year, he tried to be enrolled at </w:t>
      </w:r>
      <w:r w:rsidRPr="00350610">
        <w:rPr>
          <w:rFonts w:eastAsia="Times New Roman"/>
          <w:color w:val="auto"/>
          <w:lang w:eastAsia="en-ZA"/>
        </w:rPr>
        <w:t>school,</w:t>
      </w:r>
      <w:r w:rsidR="00350610" w:rsidRPr="00350610">
        <w:rPr>
          <w:rFonts w:eastAsia="Times New Roman"/>
          <w:color w:val="auto"/>
          <w:lang w:eastAsia="en-ZA"/>
        </w:rPr>
        <w:t xml:space="preserve"> but his efforts failed. There was a stigma attached to him that he had killed a human being.</w:t>
      </w:r>
    </w:p>
    <w:p w14:paraId="32C1E80F" w14:textId="77777777" w:rsidR="000C5000" w:rsidRPr="00350610" w:rsidRDefault="000C5000" w:rsidP="00350610">
      <w:pPr>
        <w:spacing w:after="200" w:line="480" w:lineRule="auto"/>
        <w:jc w:val="both"/>
        <w:rPr>
          <w:rFonts w:eastAsia="Times New Roman"/>
          <w:color w:val="auto"/>
          <w:lang w:eastAsia="en-ZA"/>
        </w:rPr>
      </w:pPr>
    </w:p>
    <w:p w14:paraId="387AA309" w14:textId="6978B1C7" w:rsidR="00350610" w:rsidRDefault="000C5000" w:rsidP="00350610">
      <w:pPr>
        <w:spacing w:after="200" w:line="480" w:lineRule="auto"/>
        <w:jc w:val="both"/>
        <w:rPr>
          <w:rFonts w:eastAsia="Times New Roman"/>
          <w:color w:val="auto"/>
          <w:lang w:eastAsia="en-ZA"/>
        </w:rPr>
      </w:pPr>
      <w:r>
        <w:rPr>
          <w:rFonts w:eastAsia="Times New Roman"/>
          <w:color w:val="auto"/>
          <w:lang w:eastAsia="en-ZA"/>
        </w:rPr>
        <w:t>[26]</w:t>
      </w:r>
      <w:r>
        <w:rPr>
          <w:rFonts w:eastAsia="Times New Roman"/>
          <w:color w:val="auto"/>
          <w:lang w:eastAsia="en-ZA"/>
        </w:rPr>
        <w:tab/>
      </w:r>
      <w:r w:rsidR="00350610" w:rsidRPr="00350610">
        <w:rPr>
          <w:rFonts w:eastAsia="Times New Roman"/>
          <w:color w:val="auto"/>
          <w:lang w:eastAsia="en-ZA"/>
        </w:rPr>
        <w:t xml:space="preserve">Under cross-examination, the plaintiff testified that he was able to speak, </w:t>
      </w:r>
      <w:r w:rsidR="00273C4E">
        <w:rPr>
          <w:rFonts w:eastAsia="Times New Roman"/>
          <w:color w:val="auto"/>
          <w:lang w:eastAsia="en-ZA"/>
        </w:rPr>
        <w:t xml:space="preserve">and </w:t>
      </w:r>
      <w:r w:rsidR="00350610" w:rsidRPr="00350610">
        <w:rPr>
          <w:rFonts w:eastAsia="Times New Roman"/>
          <w:color w:val="auto"/>
          <w:lang w:eastAsia="en-ZA"/>
        </w:rPr>
        <w:t xml:space="preserve">the sign language interpreter was sought for </w:t>
      </w:r>
      <w:proofErr w:type="spellStart"/>
      <w:r w:rsidR="00350610" w:rsidRPr="00350610">
        <w:rPr>
          <w:rFonts w:eastAsia="Times New Roman"/>
          <w:color w:val="auto"/>
          <w:lang w:eastAsia="en-ZA"/>
        </w:rPr>
        <w:t>Siwaphiwe</w:t>
      </w:r>
      <w:proofErr w:type="spellEnd"/>
      <w:r w:rsidR="00350610" w:rsidRPr="00350610">
        <w:rPr>
          <w:rFonts w:eastAsia="Times New Roman"/>
          <w:color w:val="auto"/>
          <w:lang w:eastAsia="en-ZA"/>
        </w:rPr>
        <w:t xml:space="preserve">. He stated that he communicated well with the arresting officer. He maintained that there was no evidence to justify his arrest because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and Danti lied about him in their warning statements. When asked whether to blame the arresting officer or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and </w:t>
      </w:r>
      <w:proofErr w:type="spellStart"/>
      <w:r w:rsidR="00350610" w:rsidRPr="00350610">
        <w:rPr>
          <w:rFonts w:eastAsia="Times New Roman"/>
          <w:color w:val="auto"/>
          <w:lang w:eastAsia="en-ZA"/>
        </w:rPr>
        <w:t>Dantile</w:t>
      </w:r>
      <w:proofErr w:type="spellEnd"/>
      <w:r w:rsidR="00350610" w:rsidRPr="00350610">
        <w:rPr>
          <w:rFonts w:eastAsia="Times New Roman"/>
          <w:color w:val="auto"/>
          <w:lang w:eastAsia="en-ZA"/>
        </w:rPr>
        <w:t>, he testified that the arresting officer ought to have made a follow</w:t>
      </w:r>
      <w:r w:rsidR="00273C4E">
        <w:rPr>
          <w:rFonts w:eastAsia="Times New Roman"/>
          <w:color w:val="auto"/>
          <w:lang w:eastAsia="en-ZA"/>
        </w:rPr>
        <w:t>-</w:t>
      </w:r>
      <w:r w:rsidR="00350610" w:rsidRPr="00350610">
        <w:rPr>
          <w:rFonts w:eastAsia="Times New Roman"/>
          <w:color w:val="auto"/>
          <w:lang w:eastAsia="en-ZA"/>
        </w:rPr>
        <w:t xml:space="preserve">up and conducted </w:t>
      </w:r>
      <w:r w:rsidR="00273C4E">
        <w:rPr>
          <w:rFonts w:eastAsia="Times New Roman"/>
          <w:color w:val="auto"/>
          <w:lang w:eastAsia="en-ZA"/>
        </w:rPr>
        <w:t xml:space="preserve">a </w:t>
      </w:r>
      <w:r w:rsidR="00350610" w:rsidRPr="00350610">
        <w:rPr>
          <w:rFonts w:eastAsia="Times New Roman"/>
          <w:color w:val="auto"/>
          <w:lang w:eastAsia="en-ZA"/>
        </w:rPr>
        <w:t>proper investigation before arrest.</w:t>
      </w:r>
    </w:p>
    <w:p w14:paraId="51C76BBF" w14:textId="77777777" w:rsidR="00794C3F" w:rsidRPr="00350610" w:rsidRDefault="00794C3F" w:rsidP="00350610">
      <w:pPr>
        <w:spacing w:after="200" w:line="480" w:lineRule="auto"/>
        <w:jc w:val="both"/>
        <w:rPr>
          <w:rFonts w:eastAsia="Times New Roman"/>
          <w:color w:val="auto"/>
          <w:lang w:eastAsia="en-ZA"/>
        </w:rPr>
      </w:pPr>
    </w:p>
    <w:p w14:paraId="0819809E" w14:textId="333E9535"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[27]</w:t>
      </w:r>
      <w:r>
        <w:rPr>
          <w:rFonts w:eastAsia="Times New Roman"/>
          <w:color w:val="auto"/>
          <w:lang w:eastAsia="en-ZA"/>
        </w:rPr>
        <w:tab/>
      </w:r>
      <w:r w:rsidR="00350610" w:rsidRPr="00350610">
        <w:rPr>
          <w:rFonts w:eastAsia="Times New Roman"/>
          <w:color w:val="auto"/>
          <w:lang w:eastAsia="en-ZA"/>
        </w:rPr>
        <w:t xml:space="preserve">When the magistrate’s court record was read to him, the plaintiff conceded that the postponements were not at the instance of the NDPP. In his warning statement the plaintiff made a detailed statement where he narrated that on the day of the incident, he </w:t>
      </w:r>
      <w:r w:rsidR="00350610" w:rsidRPr="00350610">
        <w:rPr>
          <w:rFonts w:eastAsia="Times New Roman"/>
          <w:color w:val="auto"/>
          <w:lang w:eastAsia="en-ZA"/>
        </w:rPr>
        <w:lastRenderedPageBreak/>
        <w:t xml:space="preserve">went to the school and to the soccer fields to practice football. He explained that when the time for dinner arrived, he went straight to the kitchen to get his food. He denied having killed the deceased and suspected that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w:t>
      </w:r>
      <w:proofErr w:type="spellStart"/>
      <w:r w:rsidR="00350610" w:rsidRPr="00350610">
        <w:rPr>
          <w:rFonts w:eastAsia="Times New Roman"/>
          <w:color w:val="auto"/>
          <w:lang w:eastAsia="en-ZA"/>
        </w:rPr>
        <w:t>Silwana</w:t>
      </w:r>
      <w:proofErr w:type="spellEnd"/>
      <w:r w:rsidR="00350610" w:rsidRPr="00350610">
        <w:rPr>
          <w:rFonts w:eastAsia="Times New Roman"/>
          <w:color w:val="auto"/>
          <w:lang w:eastAsia="en-ZA"/>
        </w:rPr>
        <w:t xml:space="preserve"> and Danti might have killed the deceased because they were troublesome boys at school.</w:t>
      </w:r>
    </w:p>
    <w:p w14:paraId="5567E97D" w14:textId="77777777" w:rsidR="00350610" w:rsidRPr="00350610" w:rsidRDefault="00350610" w:rsidP="00350610">
      <w:pPr>
        <w:spacing w:after="200" w:line="480" w:lineRule="auto"/>
        <w:jc w:val="both"/>
        <w:rPr>
          <w:rFonts w:eastAsia="Times New Roman"/>
          <w:color w:val="auto"/>
          <w:lang w:eastAsia="en-ZA"/>
        </w:rPr>
      </w:pPr>
    </w:p>
    <w:p w14:paraId="462B0E2D" w14:textId="359CEF71" w:rsidR="00350610" w:rsidRPr="00EF3E4E" w:rsidRDefault="00506302" w:rsidP="00350610">
      <w:pPr>
        <w:spacing w:after="200" w:line="480" w:lineRule="auto"/>
        <w:jc w:val="both"/>
        <w:rPr>
          <w:rFonts w:eastAsia="Times New Roman"/>
          <w:b/>
          <w:bCs/>
          <w:color w:val="auto"/>
          <w:lang w:eastAsia="en-ZA"/>
        </w:rPr>
      </w:pPr>
      <w:r>
        <w:rPr>
          <w:rFonts w:eastAsia="Times New Roman"/>
          <w:b/>
          <w:bCs/>
          <w:color w:val="auto"/>
          <w:lang w:eastAsia="en-ZA"/>
        </w:rPr>
        <w:t>F.</w:t>
      </w:r>
      <w:r>
        <w:rPr>
          <w:rFonts w:eastAsia="Times New Roman"/>
          <w:b/>
          <w:bCs/>
          <w:color w:val="auto"/>
          <w:lang w:eastAsia="en-ZA"/>
        </w:rPr>
        <w:tab/>
      </w:r>
      <w:r w:rsidR="00350610" w:rsidRPr="003339F2">
        <w:rPr>
          <w:rFonts w:eastAsia="Times New Roman"/>
          <w:b/>
          <w:bCs/>
          <w:color w:val="auto"/>
          <w:u w:val="single"/>
          <w:lang w:eastAsia="en-ZA"/>
        </w:rPr>
        <w:t>Issues</w:t>
      </w:r>
      <w:r>
        <w:rPr>
          <w:rFonts w:eastAsia="Times New Roman"/>
          <w:b/>
          <w:bCs/>
          <w:color w:val="auto"/>
          <w:lang w:eastAsia="en-ZA"/>
        </w:rPr>
        <w:t>:</w:t>
      </w:r>
    </w:p>
    <w:p w14:paraId="2BDDC502" w14:textId="49477D72"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[28]</w:t>
      </w:r>
      <w:r>
        <w:rPr>
          <w:rFonts w:eastAsia="Times New Roman"/>
          <w:color w:val="auto"/>
          <w:lang w:eastAsia="en-ZA"/>
        </w:rPr>
        <w:tab/>
      </w:r>
      <w:r w:rsidR="00350610" w:rsidRPr="00350610">
        <w:rPr>
          <w:rFonts w:eastAsia="Times New Roman"/>
          <w:color w:val="auto"/>
          <w:lang w:eastAsia="en-ZA"/>
        </w:rPr>
        <w:t xml:space="preserve">Although the date of arrest was </w:t>
      </w:r>
      <w:r w:rsidR="00273C4E">
        <w:rPr>
          <w:rFonts w:eastAsia="Times New Roman"/>
          <w:color w:val="auto"/>
          <w:lang w:eastAsia="en-ZA"/>
        </w:rPr>
        <w:t>a</w:t>
      </w:r>
      <w:r w:rsidR="00350610" w:rsidRPr="00350610">
        <w:rPr>
          <w:rFonts w:eastAsia="Times New Roman"/>
          <w:color w:val="auto"/>
          <w:lang w:eastAsia="en-ZA"/>
        </w:rPr>
        <w:t xml:space="preserve"> contentious issue during the trial, in his head</w:t>
      </w:r>
      <w:r w:rsidR="00273C4E">
        <w:rPr>
          <w:rFonts w:eastAsia="Times New Roman"/>
          <w:color w:val="auto"/>
          <w:lang w:eastAsia="en-ZA"/>
        </w:rPr>
        <w:t>s</w:t>
      </w:r>
      <w:r w:rsidR="00350610" w:rsidRPr="00350610">
        <w:rPr>
          <w:rFonts w:eastAsia="Times New Roman"/>
          <w:color w:val="auto"/>
          <w:lang w:eastAsia="en-ZA"/>
        </w:rPr>
        <w:t xml:space="preserve"> of argument counsel for the plaintiff concedes that the plaintiff was arrested on 12 November 2015. It is common cause that the plaintiff was released on 26 February 2016.</w:t>
      </w:r>
    </w:p>
    <w:p w14:paraId="57CE9591" w14:textId="77777777" w:rsidR="000C5000" w:rsidRDefault="000C5000" w:rsidP="00350610">
      <w:pPr>
        <w:spacing w:after="200" w:line="480" w:lineRule="auto"/>
        <w:jc w:val="both"/>
        <w:rPr>
          <w:rFonts w:eastAsia="Times New Roman"/>
          <w:color w:val="auto"/>
          <w:lang w:eastAsia="en-ZA"/>
        </w:rPr>
      </w:pPr>
    </w:p>
    <w:p w14:paraId="08660FA1" w14:textId="6867CCFD"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[29]</w:t>
      </w:r>
      <w:r>
        <w:rPr>
          <w:rFonts w:eastAsia="Times New Roman"/>
          <w:color w:val="auto"/>
          <w:lang w:eastAsia="en-ZA"/>
        </w:rPr>
        <w:tab/>
      </w:r>
      <w:r w:rsidR="00350610" w:rsidRPr="00350610">
        <w:rPr>
          <w:rFonts w:eastAsia="Times New Roman"/>
          <w:color w:val="auto"/>
          <w:lang w:eastAsia="en-ZA"/>
        </w:rPr>
        <w:t>The issues for determination are:</w:t>
      </w:r>
    </w:p>
    <w:p w14:paraId="135CE623" w14:textId="576AD214" w:rsidR="000C5000" w:rsidRDefault="000C5000" w:rsidP="000C5000">
      <w:pPr>
        <w:spacing w:after="200" w:line="480" w:lineRule="auto"/>
        <w:ind w:left="1440" w:hanging="720"/>
        <w:jc w:val="both"/>
        <w:rPr>
          <w:rFonts w:eastAsia="Times New Roman"/>
          <w:color w:val="auto"/>
          <w:lang w:eastAsia="en-ZA"/>
        </w:rPr>
      </w:pPr>
      <w:r>
        <w:rPr>
          <w:rFonts w:eastAsia="Times New Roman"/>
          <w:color w:val="auto"/>
          <w:lang w:eastAsia="en-ZA"/>
        </w:rPr>
        <w:t>29.1</w:t>
      </w:r>
      <w:r>
        <w:rPr>
          <w:rFonts w:eastAsia="Times New Roman"/>
          <w:color w:val="auto"/>
          <w:lang w:eastAsia="en-ZA"/>
        </w:rPr>
        <w:tab/>
      </w:r>
      <w:r w:rsidR="00350610" w:rsidRPr="00350610">
        <w:rPr>
          <w:rFonts w:eastAsia="Times New Roman"/>
          <w:color w:val="auto"/>
          <w:lang w:eastAsia="en-ZA"/>
        </w:rPr>
        <w:t xml:space="preserve">Whether the arrest of the plaintiff and his subsequent detention were </w:t>
      </w:r>
      <w:proofErr w:type="gramStart"/>
      <w:r w:rsidRPr="00350610">
        <w:rPr>
          <w:rFonts w:eastAsia="Times New Roman"/>
          <w:color w:val="auto"/>
          <w:lang w:eastAsia="en-ZA"/>
        </w:rPr>
        <w:t>lawful</w:t>
      </w:r>
      <w:r>
        <w:rPr>
          <w:rFonts w:eastAsia="Times New Roman"/>
          <w:color w:val="auto"/>
          <w:lang w:eastAsia="en-ZA"/>
        </w:rPr>
        <w:t>;</w:t>
      </w:r>
      <w:proofErr w:type="gramEnd"/>
    </w:p>
    <w:p w14:paraId="5EA129F7" w14:textId="77777777" w:rsidR="000C5000" w:rsidRDefault="000C5000" w:rsidP="000C5000">
      <w:pPr>
        <w:spacing w:after="200" w:line="480" w:lineRule="auto"/>
        <w:ind w:left="1440" w:hanging="720"/>
        <w:jc w:val="both"/>
        <w:rPr>
          <w:rFonts w:eastAsia="Times New Roman"/>
          <w:color w:val="auto"/>
          <w:lang w:eastAsia="en-ZA"/>
        </w:rPr>
      </w:pPr>
      <w:r>
        <w:rPr>
          <w:rFonts w:eastAsia="Times New Roman"/>
          <w:color w:val="auto"/>
          <w:lang w:eastAsia="en-ZA"/>
        </w:rPr>
        <w:t>29.2</w:t>
      </w:r>
      <w:r>
        <w:rPr>
          <w:rFonts w:eastAsia="Times New Roman"/>
          <w:color w:val="auto"/>
          <w:lang w:eastAsia="en-ZA"/>
        </w:rPr>
        <w:tab/>
      </w:r>
      <w:r w:rsidR="00350610" w:rsidRPr="00350610">
        <w:rPr>
          <w:rFonts w:eastAsia="Times New Roman"/>
          <w:color w:val="auto"/>
          <w:lang w:eastAsia="en-ZA"/>
        </w:rPr>
        <w:t xml:space="preserve">Whether the 1st defendant is liable for the wrongful arrest and detention of the plaintiff from 12 November 2015 to 15 November 2015 </w:t>
      </w:r>
      <w:proofErr w:type="gramStart"/>
      <w:r w:rsidR="00350610" w:rsidRPr="00350610">
        <w:rPr>
          <w:rFonts w:eastAsia="Times New Roman"/>
          <w:color w:val="auto"/>
          <w:lang w:eastAsia="en-ZA"/>
        </w:rPr>
        <w:t>and;</w:t>
      </w:r>
      <w:proofErr w:type="gramEnd"/>
    </w:p>
    <w:p w14:paraId="65D46A42" w14:textId="05425D9B" w:rsidR="00350610" w:rsidRPr="00350610" w:rsidRDefault="000C5000" w:rsidP="00EF3E4E">
      <w:pPr>
        <w:spacing w:after="200" w:line="480" w:lineRule="auto"/>
        <w:ind w:left="1440" w:hanging="720"/>
        <w:jc w:val="both"/>
        <w:rPr>
          <w:rFonts w:eastAsia="Times New Roman"/>
          <w:color w:val="auto"/>
          <w:lang w:eastAsia="en-ZA"/>
        </w:rPr>
      </w:pPr>
      <w:r>
        <w:rPr>
          <w:rFonts w:eastAsia="Times New Roman"/>
          <w:color w:val="auto"/>
          <w:lang w:eastAsia="en-ZA"/>
        </w:rPr>
        <w:t>29.3</w:t>
      </w:r>
      <w:r>
        <w:rPr>
          <w:rFonts w:eastAsia="Times New Roman"/>
          <w:color w:val="auto"/>
          <w:lang w:eastAsia="en-ZA"/>
        </w:rPr>
        <w:tab/>
      </w:r>
      <w:r w:rsidR="00350610" w:rsidRPr="00350610">
        <w:rPr>
          <w:rFonts w:eastAsia="Times New Roman"/>
          <w:color w:val="auto"/>
          <w:lang w:eastAsia="en-ZA"/>
        </w:rPr>
        <w:t>Whether the 1st and the 2nd defendants are jointly liable for the post</w:t>
      </w:r>
      <w:r w:rsidR="00273C4E">
        <w:rPr>
          <w:rFonts w:eastAsia="Times New Roman"/>
          <w:color w:val="auto"/>
          <w:lang w:eastAsia="en-ZA"/>
        </w:rPr>
        <w:t>-</w:t>
      </w:r>
      <w:r w:rsidR="00350610" w:rsidRPr="00350610">
        <w:rPr>
          <w:rFonts w:eastAsia="Times New Roman"/>
          <w:color w:val="auto"/>
          <w:lang w:eastAsia="en-ZA"/>
        </w:rPr>
        <w:t>court appearance detention of the plaintiff from 16 November 2015 to 26 February 2016.</w:t>
      </w:r>
    </w:p>
    <w:p w14:paraId="20FD4609" w14:textId="77777777" w:rsidR="00350610" w:rsidRPr="00273C4E" w:rsidRDefault="00350610" w:rsidP="00350610">
      <w:pPr>
        <w:spacing w:after="200" w:line="480" w:lineRule="auto"/>
        <w:jc w:val="both"/>
        <w:rPr>
          <w:rFonts w:eastAsia="Times New Roman"/>
          <w:color w:val="auto"/>
          <w:lang w:eastAsia="en-ZA"/>
        </w:rPr>
      </w:pPr>
    </w:p>
    <w:p w14:paraId="337C709A" w14:textId="5A277B72" w:rsidR="00506302" w:rsidRPr="00EF3E4E" w:rsidRDefault="00506302" w:rsidP="00350610">
      <w:pPr>
        <w:spacing w:after="200" w:line="480" w:lineRule="auto"/>
        <w:jc w:val="both"/>
        <w:rPr>
          <w:rFonts w:eastAsia="Times New Roman"/>
          <w:b/>
          <w:bCs/>
          <w:color w:val="auto"/>
          <w:lang w:eastAsia="en-ZA"/>
        </w:rPr>
      </w:pPr>
      <w:r>
        <w:rPr>
          <w:rFonts w:eastAsia="Times New Roman"/>
          <w:b/>
          <w:bCs/>
          <w:color w:val="auto"/>
          <w:lang w:eastAsia="en-ZA"/>
        </w:rPr>
        <w:t>G.</w:t>
      </w:r>
      <w:r>
        <w:rPr>
          <w:rFonts w:eastAsia="Times New Roman"/>
          <w:b/>
          <w:bCs/>
          <w:color w:val="auto"/>
          <w:lang w:eastAsia="en-ZA"/>
        </w:rPr>
        <w:tab/>
      </w:r>
      <w:r w:rsidR="00350610" w:rsidRPr="003339F2">
        <w:rPr>
          <w:rFonts w:eastAsia="Times New Roman"/>
          <w:b/>
          <w:bCs/>
          <w:color w:val="auto"/>
          <w:u w:val="single"/>
          <w:lang w:eastAsia="en-ZA"/>
        </w:rPr>
        <w:t>The law</w:t>
      </w:r>
      <w:r>
        <w:rPr>
          <w:rFonts w:eastAsia="Times New Roman"/>
          <w:b/>
          <w:bCs/>
          <w:color w:val="auto"/>
          <w:lang w:eastAsia="en-ZA"/>
        </w:rPr>
        <w:t>:</w:t>
      </w:r>
    </w:p>
    <w:p w14:paraId="4BFBC383" w14:textId="2CFED9C2"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lastRenderedPageBreak/>
        <w:t>[30]</w:t>
      </w:r>
      <w:r>
        <w:rPr>
          <w:rFonts w:eastAsia="Times New Roman"/>
          <w:color w:val="auto"/>
          <w:lang w:eastAsia="en-ZA"/>
        </w:rPr>
        <w:tab/>
      </w:r>
      <w:r w:rsidR="00350610" w:rsidRPr="00350610">
        <w:rPr>
          <w:rFonts w:eastAsia="Times New Roman"/>
          <w:color w:val="auto"/>
          <w:lang w:eastAsia="en-ZA"/>
        </w:rPr>
        <w:t xml:space="preserve">It is well established that the onus rests on a police officer to justify arrest. In </w:t>
      </w:r>
      <w:r w:rsidR="00350610" w:rsidRPr="00EF3E4E">
        <w:rPr>
          <w:rFonts w:eastAsia="Times New Roman"/>
          <w:i/>
          <w:iCs/>
          <w:color w:val="auto"/>
          <w:lang w:eastAsia="en-ZA"/>
        </w:rPr>
        <w:t xml:space="preserve">Minister of </w:t>
      </w:r>
      <w:r w:rsidRPr="007E195E">
        <w:rPr>
          <w:rFonts w:eastAsia="Times New Roman"/>
          <w:i/>
          <w:iCs/>
          <w:color w:val="auto"/>
          <w:lang w:eastAsia="en-ZA"/>
        </w:rPr>
        <w:t>Law-and-Order</w:t>
      </w:r>
      <w:r w:rsidR="00350610" w:rsidRPr="00EF3E4E">
        <w:rPr>
          <w:rFonts w:eastAsia="Times New Roman"/>
          <w:i/>
          <w:iCs/>
          <w:color w:val="auto"/>
          <w:lang w:eastAsia="en-ZA"/>
        </w:rPr>
        <w:t xml:space="preserve"> v Hurley and </w:t>
      </w:r>
      <w:r w:rsidRPr="00EF3E4E">
        <w:rPr>
          <w:rFonts w:eastAsia="Times New Roman"/>
          <w:i/>
          <w:iCs/>
          <w:color w:val="auto"/>
          <w:lang w:eastAsia="en-ZA"/>
        </w:rPr>
        <w:t>another</w:t>
      </w:r>
      <w:r w:rsidR="007E195E" w:rsidRPr="00EF3E4E">
        <w:rPr>
          <w:rStyle w:val="FootnoteReference"/>
          <w:rFonts w:eastAsia="Times New Roman"/>
          <w:i/>
          <w:iCs/>
          <w:color w:val="auto"/>
          <w:lang w:eastAsia="en-ZA"/>
        </w:rPr>
        <w:footnoteReference w:id="1"/>
      </w:r>
      <w:r w:rsidRPr="007E195E">
        <w:rPr>
          <w:rFonts w:eastAsia="Times New Roman"/>
          <w:color w:val="auto"/>
          <w:lang w:eastAsia="en-ZA"/>
        </w:rPr>
        <w:t>,</w:t>
      </w:r>
      <w:r w:rsidR="00350610" w:rsidRPr="007E195E">
        <w:rPr>
          <w:rFonts w:eastAsia="Times New Roman"/>
          <w:color w:val="auto"/>
          <w:lang w:eastAsia="en-ZA"/>
        </w:rPr>
        <w:t xml:space="preserve"> Rabie</w:t>
      </w:r>
      <w:r w:rsidR="00350610" w:rsidRPr="00350610">
        <w:rPr>
          <w:rFonts w:eastAsia="Times New Roman"/>
          <w:color w:val="auto"/>
          <w:lang w:eastAsia="en-ZA"/>
        </w:rPr>
        <w:t xml:space="preserve"> CJ held</w:t>
      </w:r>
      <w:r w:rsidR="007E195E">
        <w:rPr>
          <w:rFonts w:eastAsia="Times New Roman"/>
          <w:color w:val="auto"/>
          <w:lang w:eastAsia="en-ZA"/>
        </w:rPr>
        <w:t>:</w:t>
      </w:r>
    </w:p>
    <w:p w14:paraId="4CE336BA" w14:textId="421BC7F9" w:rsidR="00350610" w:rsidRPr="00EF3E4E" w:rsidRDefault="000C5000"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w:t>
      </w:r>
      <w:r w:rsidR="00350610" w:rsidRPr="00EF3E4E">
        <w:rPr>
          <w:rFonts w:eastAsia="Times New Roman"/>
          <w:color w:val="auto"/>
          <w:sz w:val="20"/>
          <w:szCs w:val="20"/>
          <w:lang w:eastAsia="en-ZA"/>
        </w:rPr>
        <w:t>An arrest constitutes an interference with the liberty of the individual concerned, and it therefore seems to be fair and just to require that the person who arrested or caused the arrest of another person should bear the onus of proving that his action was justified in law.</w:t>
      </w:r>
      <w:r w:rsidRPr="00EF3E4E">
        <w:rPr>
          <w:rFonts w:eastAsia="Times New Roman"/>
          <w:color w:val="auto"/>
          <w:sz w:val="20"/>
          <w:szCs w:val="20"/>
          <w:lang w:eastAsia="en-ZA"/>
        </w:rPr>
        <w:t>”</w:t>
      </w:r>
    </w:p>
    <w:p w14:paraId="1DEA1D0D" w14:textId="77777777" w:rsidR="000C5000" w:rsidRDefault="000C5000" w:rsidP="00350610">
      <w:pPr>
        <w:spacing w:after="200" w:line="480" w:lineRule="auto"/>
        <w:jc w:val="both"/>
        <w:rPr>
          <w:rFonts w:eastAsia="Times New Roman"/>
          <w:color w:val="auto"/>
          <w:lang w:eastAsia="en-ZA"/>
        </w:rPr>
      </w:pPr>
    </w:p>
    <w:p w14:paraId="6CFCF92A" w14:textId="29949118"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[31]</w:t>
      </w:r>
      <w:r>
        <w:rPr>
          <w:rFonts w:eastAsia="Times New Roman"/>
          <w:color w:val="auto"/>
          <w:lang w:eastAsia="en-ZA"/>
        </w:rPr>
        <w:tab/>
      </w:r>
      <w:r w:rsidR="00350610" w:rsidRPr="00350610">
        <w:rPr>
          <w:rFonts w:eastAsia="Times New Roman"/>
          <w:color w:val="auto"/>
          <w:lang w:eastAsia="en-ZA"/>
        </w:rPr>
        <w:t>Section 40(1) (b) of the Criminal Procedure Act 51 of 1977 (CPA) prescribes arrest without a warrant as is relevant in this case. The Section reads</w:t>
      </w:r>
      <w:r w:rsidR="007E195E">
        <w:rPr>
          <w:rFonts w:eastAsia="Times New Roman"/>
          <w:color w:val="auto"/>
          <w:lang w:eastAsia="en-ZA"/>
        </w:rPr>
        <w:t>:</w:t>
      </w:r>
    </w:p>
    <w:p w14:paraId="6BA8E155" w14:textId="0E5ADD2B" w:rsidR="00350610" w:rsidRPr="00EF3E4E" w:rsidRDefault="000C5000"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w:t>
      </w:r>
      <w:r w:rsidR="00350610" w:rsidRPr="00EF3E4E">
        <w:rPr>
          <w:rFonts w:eastAsia="Times New Roman"/>
          <w:color w:val="auto"/>
          <w:sz w:val="20"/>
          <w:szCs w:val="20"/>
          <w:lang w:eastAsia="en-ZA"/>
        </w:rPr>
        <w:t>A peace officer may, without a warrant, arrest any person whom he reasonably suspects of having committed an offence referred to in Schedule 1, other than the offence of escaping from custody</w:t>
      </w:r>
      <w:r w:rsidRPr="00EF3E4E">
        <w:rPr>
          <w:rFonts w:eastAsia="Times New Roman"/>
          <w:color w:val="auto"/>
          <w:sz w:val="20"/>
          <w:szCs w:val="20"/>
          <w:lang w:eastAsia="en-ZA"/>
        </w:rPr>
        <w:t>.”</w:t>
      </w:r>
    </w:p>
    <w:p w14:paraId="4A3B8327" w14:textId="77777777" w:rsidR="000C5000" w:rsidRDefault="000C5000" w:rsidP="00350610">
      <w:pPr>
        <w:spacing w:after="200" w:line="480" w:lineRule="auto"/>
        <w:jc w:val="both"/>
        <w:rPr>
          <w:rFonts w:eastAsia="Times New Roman"/>
          <w:color w:val="auto"/>
          <w:lang w:eastAsia="en-ZA"/>
        </w:rPr>
      </w:pPr>
    </w:p>
    <w:p w14:paraId="598970D2" w14:textId="63AA543F" w:rsidR="00350610" w:rsidRPr="00350610" w:rsidRDefault="000C5000" w:rsidP="00350610">
      <w:pPr>
        <w:spacing w:after="200" w:line="480" w:lineRule="auto"/>
        <w:jc w:val="both"/>
        <w:rPr>
          <w:rFonts w:eastAsia="Times New Roman"/>
          <w:color w:val="auto"/>
          <w:lang w:eastAsia="en-ZA"/>
        </w:rPr>
      </w:pPr>
      <w:r>
        <w:rPr>
          <w:rFonts w:eastAsia="Times New Roman"/>
          <w:color w:val="auto"/>
          <w:lang w:eastAsia="en-ZA"/>
        </w:rPr>
        <w:t>[32]</w:t>
      </w:r>
      <w:r>
        <w:rPr>
          <w:rFonts w:eastAsia="Times New Roman"/>
          <w:color w:val="auto"/>
          <w:lang w:eastAsia="en-ZA"/>
        </w:rPr>
        <w:tab/>
      </w:r>
      <w:r w:rsidR="00350610" w:rsidRPr="00350610">
        <w:rPr>
          <w:rFonts w:eastAsia="Times New Roman"/>
          <w:color w:val="auto"/>
          <w:lang w:eastAsia="en-ZA"/>
        </w:rPr>
        <w:t xml:space="preserve">The Supreme Court of appeal in </w:t>
      </w:r>
      <w:r w:rsidR="00350610" w:rsidRPr="00EF3E4E">
        <w:rPr>
          <w:rFonts w:eastAsia="Times New Roman"/>
          <w:i/>
          <w:iCs/>
          <w:color w:val="auto"/>
          <w:lang w:eastAsia="en-ZA"/>
        </w:rPr>
        <w:t xml:space="preserve">Minister of Safety and Security v </w:t>
      </w:r>
      <w:proofErr w:type="spellStart"/>
      <w:r w:rsidRPr="00EF3E4E">
        <w:rPr>
          <w:rFonts w:eastAsia="Times New Roman"/>
          <w:i/>
          <w:iCs/>
          <w:color w:val="auto"/>
          <w:lang w:eastAsia="en-ZA"/>
        </w:rPr>
        <w:t>Sekhoto</w:t>
      </w:r>
      <w:proofErr w:type="spellEnd"/>
      <w:r w:rsidR="007E195E">
        <w:rPr>
          <w:rStyle w:val="FootnoteReference"/>
          <w:rFonts w:eastAsia="Times New Roman"/>
          <w:i/>
          <w:iCs/>
          <w:color w:val="auto"/>
          <w:lang w:eastAsia="en-ZA"/>
        </w:rPr>
        <w:footnoteReference w:id="2"/>
      </w:r>
      <w:r w:rsidRPr="00350610">
        <w:rPr>
          <w:rFonts w:eastAsia="Times New Roman"/>
          <w:color w:val="auto"/>
          <w:lang w:eastAsia="en-ZA"/>
        </w:rPr>
        <w:t xml:space="preserve"> reiterated</w:t>
      </w:r>
      <w:r w:rsidR="00350610" w:rsidRPr="00350610">
        <w:rPr>
          <w:rFonts w:eastAsia="Times New Roman"/>
          <w:color w:val="auto"/>
          <w:lang w:eastAsia="en-ZA"/>
        </w:rPr>
        <w:t xml:space="preserve"> the jurisdictional facts as set out in </w:t>
      </w:r>
      <w:r w:rsidR="00350610" w:rsidRPr="00EF3E4E">
        <w:rPr>
          <w:rFonts w:eastAsia="Times New Roman"/>
          <w:i/>
          <w:iCs/>
          <w:color w:val="auto"/>
          <w:lang w:eastAsia="en-ZA"/>
        </w:rPr>
        <w:t xml:space="preserve">Duncan v Minister of Law and </w:t>
      </w:r>
      <w:r w:rsidRPr="00EF3E4E">
        <w:rPr>
          <w:rFonts w:eastAsia="Times New Roman"/>
          <w:i/>
          <w:iCs/>
          <w:color w:val="auto"/>
          <w:lang w:eastAsia="en-ZA"/>
        </w:rPr>
        <w:t>Order</w:t>
      </w:r>
      <w:r w:rsidR="007E195E">
        <w:rPr>
          <w:rStyle w:val="FootnoteReference"/>
          <w:rFonts w:eastAsia="Times New Roman"/>
          <w:i/>
          <w:iCs/>
          <w:color w:val="auto"/>
          <w:lang w:eastAsia="en-ZA"/>
        </w:rPr>
        <w:footnoteReference w:id="3"/>
      </w:r>
      <w:r w:rsidRPr="00350610">
        <w:rPr>
          <w:rFonts w:eastAsia="Times New Roman"/>
          <w:color w:val="auto"/>
          <w:lang w:eastAsia="en-ZA"/>
        </w:rPr>
        <w:t xml:space="preserve"> as</w:t>
      </w:r>
      <w:r w:rsidR="00350610" w:rsidRPr="00350610">
        <w:rPr>
          <w:rFonts w:eastAsia="Times New Roman"/>
          <w:color w:val="auto"/>
          <w:lang w:eastAsia="en-ZA"/>
        </w:rPr>
        <w:t xml:space="preserve"> follows:</w:t>
      </w:r>
    </w:p>
    <w:p w14:paraId="08BA1457" w14:textId="77777777" w:rsidR="00350610" w:rsidRPr="00350610" w:rsidRDefault="00350610" w:rsidP="00EF3E4E">
      <w:pPr>
        <w:spacing w:after="200" w:line="480" w:lineRule="auto"/>
        <w:ind w:firstLine="720"/>
        <w:jc w:val="both"/>
        <w:rPr>
          <w:rFonts w:eastAsia="Times New Roman"/>
          <w:color w:val="auto"/>
          <w:lang w:eastAsia="en-ZA"/>
        </w:rPr>
      </w:pPr>
      <w:r w:rsidRPr="00350610">
        <w:rPr>
          <w:rFonts w:eastAsia="Times New Roman"/>
          <w:color w:val="auto"/>
          <w:lang w:eastAsia="en-ZA"/>
        </w:rPr>
        <w:t>(a)</w:t>
      </w:r>
      <w:r w:rsidRPr="00350610">
        <w:rPr>
          <w:rFonts w:eastAsia="Times New Roman"/>
          <w:color w:val="auto"/>
          <w:lang w:eastAsia="en-ZA"/>
        </w:rPr>
        <w:tab/>
        <w:t xml:space="preserve">the arrestor must be a peace </w:t>
      </w:r>
      <w:proofErr w:type="gramStart"/>
      <w:r w:rsidRPr="00350610">
        <w:rPr>
          <w:rFonts w:eastAsia="Times New Roman"/>
          <w:color w:val="auto"/>
          <w:lang w:eastAsia="en-ZA"/>
        </w:rPr>
        <w:t>officer;</w:t>
      </w:r>
      <w:proofErr w:type="gramEnd"/>
    </w:p>
    <w:p w14:paraId="65AAFE3B" w14:textId="77777777" w:rsidR="00350610" w:rsidRPr="00350610" w:rsidRDefault="00350610" w:rsidP="00EF3E4E">
      <w:pPr>
        <w:spacing w:after="200" w:line="480" w:lineRule="auto"/>
        <w:ind w:firstLine="720"/>
        <w:jc w:val="both"/>
        <w:rPr>
          <w:rFonts w:eastAsia="Times New Roman"/>
          <w:color w:val="auto"/>
          <w:lang w:eastAsia="en-ZA"/>
        </w:rPr>
      </w:pPr>
      <w:r w:rsidRPr="00350610">
        <w:rPr>
          <w:rFonts w:eastAsia="Times New Roman"/>
          <w:color w:val="auto"/>
          <w:lang w:eastAsia="en-ZA"/>
        </w:rPr>
        <w:t>(b)</w:t>
      </w:r>
      <w:r w:rsidRPr="00350610">
        <w:rPr>
          <w:rFonts w:eastAsia="Times New Roman"/>
          <w:color w:val="auto"/>
          <w:lang w:eastAsia="en-ZA"/>
        </w:rPr>
        <w:tab/>
        <w:t xml:space="preserve">he must entertain a </w:t>
      </w:r>
      <w:proofErr w:type="gramStart"/>
      <w:r w:rsidRPr="00350610">
        <w:rPr>
          <w:rFonts w:eastAsia="Times New Roman"/>
          <w:color w:val="auto"/>
          <w:lang w:eastAsia="en-ZA"/>
        </w:rPr>
        <w:t>suspicion;</w:t>
      </w:r>
      <w:proofErr w:type="gramEnd"/>
    </w:p>
    <w:p w14:paraId="6BE81936" w14:textId="77777777" w:rsidR="00350610" w:rsidRPr="00350610" w:rsidRDefault="00350610" w:rsidP="00EF3E4E">
      <w:pPr>
        <w:spacing w:after="200" w:line="480" w:lineRule="auto"/>
        <w:ind w:left="1440" w:hanging="720"/>
        <w:jc w:val="both"/>
        <w:rPr>
          <w:rFonts w:eastAsia="Times New Roman"/>
          <w:color w:val="auto"/>
          <w:lang w:eastAsia="en-ZA"/>
        </w:rPr>
      </w:pPr>
      <w:r w:rsidRPr="00350610">
        <w:rPr>
          <w:rFonts w:eastAsia="Times New Roman"/>
          <w:color w:val="auto"/>
          <w:lang w:eastAsia="en-ZA"/>
        </w:rPr>
        <w:t>(c)</w:t>
      </w:r>
      <w:r w:rsidRPr="00350610">
        <w:rPr>
          <w:rFonts w:eastAsia="Times New Roman"/>
          <w:color w:val="auto"/>
          <w:lang w:eastAsia="en-ZA"/>
        </w:rPr>
        <w:tab/>
        <w:t xml:space="preserve">the suspicion must be that the suspect has committed a Schedule 1 offence of the </w:t>
      </w:r>
      <w:proofErr w:type="gramStart"/>
      <w:r w:rsidRPr="00350610">
        <w:rPr>
          <w:rFonts w:eastAsia="Times New Roman"/>
          <w:color w:val="auto"/>
          <w:lang w:eastAsia="en-ZA"/>
        </w:rPr>
        <w:t>CPA;</w:t>
      </w:r>
      <w:proofErr w:type="gramEnd"/>
    </w:p>
    <w:p w14:paraId="421C2F84" w14:textId="77777777" w:rsidR="00350610" w:rsidRPr="00350610" w:rsidRDefault="00350610" w:rsidP="00EF3E4E">
      <w:pPr>
        <w:spacing w:after="200" w:line="480" w:lineRule="auto"/>
        <w:ind w:firstLine="720"/>
        <w:jc w:val="both"/>
        <w:rPr>
          <w:rFonts w:eastAsia="Times New Roman"/>
          <w:color w:val="auto"/>
          <w:lang w:eastAsia="en-ZA"/>
        </w:rPr>
      </w:pPr>
      <w:r w:rsidRPr="00350610">
        <w:rPr>
          <w:rFonts w:eastAsia="Times New Roman"/>
          <w:color w:val="auto"/>
          <w:lang w:eastAsia="en-ZA"/>
        </w:rPr>
        <w:t>(d)</w:t>
      </w:r>
      <w:r w:rsidRPr="00350610">
        <w:rPr>
          <w:rFonts w:eastAsia="Times New Roman"/>
          <w:color w:val="auto"/>
          <w:lang w:eastAsia="en-ZA"/>
        </w:rPr>
        <w:tab/>
        <w:t>such suspicion must be based on solid grounds</w:t>
      </w:r>
    </w:p>
    <w:p w14:paraId="35BB2EC9" w14:textId="0FE35825" w:rsidR="007E195E" w:rsidRPr="00EF3E4E" w:rsidRDefault="00EF3E4E" w:rsidP="00350610">
      <w:pPr>
        <w:spacing w:after="200" w:line="480" w:lineRule="auto"/>
        <w:jc w:val="both"/>
        <w:rPr>
          <w:rFonts w:eastAsia="Times New Roman"/>
          <w:bCs/>
          <w:color w:val="auto"/>
          <w:lang w:eastAsia="en-ZA"/>
        </w:rPr>
      </w:pPr>
      <w:r>
        <w:rPr>
          <w:rFonts w:eastAsia="Times New Roman"/>
          <w:bCs/>
          <w:color w:val="auto"/>
          <w:lang w:eastAsia="en-ZA"/>
        </w:rPr>
        <w:lastRenderedPageBreak/>
        <w:t>W</w:t>
      </w:r>
      <w:r w:rsidR="00350610" w:rsidRPr="00EF3E4E">
        <w:rPr>
          <w:rFonts w:eastAsia="Times New Roman"/>
          <w:bCs/>
          <w:color w:val="auto"/>
          <w:lang w:eastAsia="en-ZA"/>
        </w:rPr>
        <w:t>hen these facts are complied with, the arrest is deemed lawful.</w:t>
      </w:r>
    </w:p>
    <w:p w14:paraId="7E1A3900" w14:textId="77777777" w:rsidR="00C218E3" w:rsidRDefault="00C218E3" w:rsidP="00350610">
      <w:pPr>
        <w:spacing w:after="200" w:line="480" w:lineRule="auto"/>
        <w:jc w:val="both"/>
        <w:rPr>
          <w:rFonts w:eastAsia="Times New Roman"/>
          <w:color w:val="auto"/>
          <w:lang w:eastAsia="en-ZA"/>
        </w:rPr>
      </w:pPr>
    </w:p>
    <w:p w14:paraId="51D5DCE4" w14:textId="26B16270" w:rsidR="00350610" w:rsidRPr="00350610" w:rsidRDefault="001D117E" w:rsidP="00350610">
      <w:pPr>
        <w:spacing w:after="200" w:line="480" w:lineRule="auto"/>
        <w:jc w:val="both"/>
        <w:rPr>
          <w:rFonts w:eastAsia="Times New Roman"/>
          <w:color w:val="auto"/>
          <w:lang w:eastAsia="en-ZA"/>
        </w:rPr>
      </w:pPr>
      <w:r>
        <w:rPr>
          <w:rFonts w:eastAsia="Times New Roman"/>
          <w:color w:val="auto"/>
          <w:lang w:eastAsia="en-ZA"/>
        </w:rPr>
        <w:t>[</w:t>
      </w:r>
      <w:r w:rsidR="000C5000">
        <w:rPr>
          <w:rFonts w:eastAsia="Times New Roman"/>
          <w:color w:val="auto"/>
          <w:lang w:eastAsia="en-ZA"/>
        </w:rPr>
        <w:t>33]</w:t>
      </w:r>
      <w:r w:rsidR="000C5000">
        <w:rPr>
          <w:rFonts w:eastAsia="Times New Roman"/>
          <w:color w:val="auto"/>
          <w:lang w:eastAsia="en-ZA"/>
        </w:rPr>
        <w:tab/>
      </w:r>
      <w:r w:rsidR="00350610" w:rsidRPr="00350610">
        <w:rPr>
          <w:rFonts w:eastAsia="Times New Roman"/>
          <w:color w:val="auto"/>
          <w:lang w:eastAsia="en-ZA"/>
        </w:rPr>
        <w:t xml:space="preserve">In </w:t>
      </w:r>
      <w:r w:rsidR="00E50B24" w:rsidRPr="00EF3E4E">
        <w:rPr>
          <w:i/>
          <w:iCs/>
          <w:color w:val="111111"/>
        </w:rPr>
        <w:t>Mabona &amp; another v Minister of Law and Order &amp; others</w:t>
      </w:r>
      <w:r w:rsidR="00E50B24">
        <w:rPr>
          <w:rStyle w:val="FootnoteReference"/>
          <w:i/>
          <w:iCs/>
          <w:color w:val="111111"/>
        </w:rPr>
        <w:footnoteReference w:id="4"/>
      </w:r>
      <w:r w:rsidR="007E195E" w:rsidRPr="00EF3E4E">
        <w:rPr>
          <w:rFonts w:eastAsia="Times New Roman"/>
          <w:i/>
          <w:iCs/>
          <w:color w:val="auto"/>
          <w:lang w:eastAsia="en-ZA"/>
        </w:rPr>
        <w:t>,</w:t>
      </w:r>
      <w:r w:rsidR="00350610" w:rsidRPr="00350610">
        <w:rPr>
          <w:rFonts w:eastAsia="Times New Roman"/>
          <w:color w:val="auto"/>
          <w:lang w:eastAsia="en-ZA"/>
        </w:rPr>
        <w:t xml:space="preserve"> Jones J explain</w:t>
      </w:r>
      <w:r>
        <w:rPr>
          <w:rFonts w:eastAsia="Times New Roman"/>
          <w:color w:val="auto"/>
          <w:lang w:eastAsia="en-ZA"/>
        </w:rPr>
        <w:t xml:space="preserve">ed </w:t>
      </w:r>
      <w:r w:rsidR="00350610" w:rsidRPr="00350610">
        <w:rPr>
          <w:rFonts w:eastAsia="Times New Roman"/>
          <w:color w:val="auto"/>
          <w:lang w:eastAsia="en-ZA"/>
        </w:rPr>
        <w:t>how a reasonable suspicion is formed and what it entails. First, he held, the test is an objective one and requires a determination on whether or not a reasonable person in the arrestor’s position and having the same information would have considered that there were ‘good and sufficient grounds’ for suspecting that the arrestee had committed a Schedule 1 offence. Secondly, the arrestor is required to analyse and assess the quality of the information critically and not accept it without checking it where it can be checked. Thirdly, while the section requires ‘suspicion but not certainty’, that suspicion must be based ‘upon solid grounds’ because if it is not, it is ‘flighty or arbitrary, and not a reasonable suspicion’.</w:t>
      </w:r>
    </w:p>
    <w:p w14:paraId="26D70CC7" w14:textId="77777777" w:rsidR="000C5000" w:rsidRDefault="000C5000" w:rsidP="00350610">
      <w:pPr>
        <w:spacing w:after="200" w:line="480" w:lineRule="auto"/>
        <w:jc w:val="both"/>
        <w:rPr>
          <w:rFonts w:eastAsia="Times New Roman"/>
          <w:color w:val="auto"/>
          <w:lang w:eastAsia="en-ZA"/>
        </w:rPr>
      </w:pPr>
    </w:p>
    <w:p w14:paraId="3D695139" w14:textId="10D5F965" w:rsidR="00350610" w:rsidRPr="00273C4E" w:rsidRDefault="000C5000" w:rsidP="00350610">
      <w:pPr>
        <w:spacing w:after="200" w:line="480" w:lineRule="auto"/>
        <w:jc w:val="both"/>
        <w:rPr>
          <w:rFonts w:eastAsia="Times New Roman"/>
          <w:color w:val="auto"/>
          <w:lang w:eastAsia="en-ZA"/>
        </w:rPr>
      </w:pPr>
      <w:r>
        <w:rPr>
          <w:rFonts w:eastAsia="Times New Roman"/>
          <w:color w:val="auto"/>
          <w:lang w:eastAsia="en-ZA"/>
        </w:rPr>
        <w:t>[34]</w:t>
      </w:r>
      <w:r>
        <w:rPr>
          <w:rFonts w:eastAsia="Times New Roman"/>
          <w:color w:val="auto"/>
          <w:lang w:eastAsia="en-ZA"/>
        </w:rPr>
        <w:tab/>
      </w:r>
      <w:r w:rsidR="00350610" w:rsidRPr="00350610">
        <w:rPr>
          <w:rFonts w:eastAsia="Times New Roman"/>
          <w:color w:val="auto"/>
          <w:lang w:eastAsia="en-ZA"/>
        </w:rPr>
        <w:t xml:space="preserve">In </w:t>
      </w:r>
      <w:r w:rsidR="00350610" w:rsidRPr="00EF3E4E">
        <w:rPr>
          <w:rFonts w:eastAsia="Times New Roman"/>
          <w:i/>
          <w:iCs/>
          <w:color w:val="auto"/>
          <w:lang w:eastAsia="en-ZA"/>
        </w:rPr>
        <w:t xml:space="preserve">Biyela v Minister of </w:t>
      </w:r>
      <w:r w:rsidR="00A86984" w:rsidRPr="00EF3E4E">
        <w:rPr>
          <w:rFonts w:eastAsia="Times New Roman"/>
          <w:i/>
          <w:iCs/>
          <w:color w:val="auto"/>
          <w:lang w:eastAsia="en-ZA"/>
        </w:rPr>
        <w:t>Police</w:t>
      </w:r>
      <w:r w:rsidR="00E50B24">
        <w:rPr>
          <w:rStyle w:val="FootnoteReference"/>
          <w:rFonts w:eastAsia="Times New Roman"/>
          <w:i/>
          <w:iCs/>
          <w:color w:val="auto"/>
          <w:lang w:eastAsia="en-ZA"/>
        </w:rPr>
        <w:footnoteReference w:id="5"/>
      </w:r>
      <w:r w:rsidR="00A86984" w:rsidRPr="00350610">
        <w:rPr>
          <w:rFonts w:eastAsia="Times New Roman"/>
          <w:color w:val="auto"/>
          <w:lang w:eastAsia="en-ZA"/>
        </w:rPr>
        <w:t>, the</w:t>
      </w:r>
      <w:r w:rsidR="00350610" w:rsidRPr="00350610">
        <w:rPr>
          <w:rFonts w:eastAsia="Times New Roman"/>
          <w:color w:val="auto"/>
          <w:lang w:eastAsia="en-ZA"/>
        </w:rPr>
        <w:t xml:space="preserve"> court established that the test of whether a suspicion is reasonable is objectively justiciable. Musi AJA said,</w:t>
      </w:r>
    </w:p>
    <w:p w14:paraId="02B62225" w14:textId="117741A2" w:rsidR="00350610" w:rsidRPr="00EF3E4E" w:rsidRDefault="00350610"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“[34] The standard of a reasonable suspicion is very low. The reasonable suspicion must be more than a hunch; it should not be an unparticularised suspicion. It must be based on specific and articulable facts or information. Whether the suspicion was reasonable, under the prevailing circumstances is determined objectively.</w:t>
      </w:r>
    </w:p>
    <w:p w14:paraId="20488E21" w14:textId="2CB07D2C" w:rsidR="00350610" w:rsidRDefault="00350610">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[35] What is required is that the arresting officer must form a reasonable suspicion that a Schedule 1 offence has been committed based on credible and trustworthy information. …..</w:t>
      </w:r>
      <w:r w:rsidR="00E50B24">
        <w:rPr>
          <w:rFonts w:eastAsia="Times New Roman"/>
          <w:color w:val="auto"/>
          <w:sz w:val="20"/>
          <w:szCs w:val="20"/>
          <w:lang w:eastAsia="en-ZA"/>
        </w:rPr>
        <w:t>”</w:t>
      </w:r>
      <w:r w:rsidRPr="00EF3E4E">
        <w:rPr>
          <w:rFonts w:eastAsia="Times New Roman"/>
          <w:color w:val="auto"/>
          <w:sz w:val="20"/>
          <w:szCs w:val="20"/>
          <w:lang w:eastAsia="en-ZA"/>
        </w:rPr>
        <w:t xml:space="preserve"> (my underlining)</w:t>
      </w:r>
    </w:p>
    <w:p w14:paraId="37B0F66B" w14:textId="77777777" w:rsidR="00794C3F" w:rsidRPr="00EF3E4E" w:rsidRDefault="00794C3F" w:rsidP="00EF3E4E">
      <w:pPr>
        <w:spacing w:after="200" w:line="480" w:lineRule="auto"/>
        <w:ind w:left="720"/>
        <w:jc w:val="both"/>
        <w:rPr>
          <w:rFonts w:eastAsia="Times New Roman"/>
          <w:color w:val="auto"/>
          <w:sz w:val="20"/>
          <w:szCs w:val="20"/>
          <w:lang w:eastAsia="en-ZA"/>
        </w:rPr>
      </w:pPr>
    </w:p>
    <w:p w14:paraId="6E73A321" w14:textId="799ADA3C" w:rsidR="00350610"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[35]</w:t>
      </w:r>
      <w:r>
        <w:rPr>
          <w:rFonts w:eastAsia="Times New Roman"/>
          <w:color w:val="auto"/>
          <w:lang w:eastAsia="en-ZA"/>
        </w:rPr>
        <w:tab/>
      </w:r>
      <w:r w:rsidR="00350610" w:rsidRPr="00350610">
        <w:rPr>
          <w:rFonts w:eastAsia="Times New Roman"/>
          <w:color w:val="auto"/>
          <w:lang w:eastAsia="en-ZA"/>
        </w:rPr>
        <w:t xml:space="preserve">It is well settled that once the jurisdictional facts are established, the question of discretion on whether to arrest or not arises. Harms DP in </w:t>
      </w:r>
      <w:proofErr w:type="spellStart"/>
      <w:r w:rsidRPr="00EF3E4E">
        <w:rPr>
          <w:rFonts w:eastAsia="Times New Roman"/>
          <w:i/>
          <w:iCs/>
          <w:color w:val="auto"/>
          <w:lang w:eastAsia="en-ZA"/>
        </w:rPr>
        <w:t>Sekhoto</w:t>
      </w:r>
      <w:proofErr w:type="spellEnd"/>
      <w:r w:rsidR="00E50B24">
        <w:rPr>
          <w:rStyle w:val="FootnoteReference"/>
          <w:rFonts w:eastAsia="Times New Roman"/>
          <w:i/>
          <w:iCs/>
          <w:color w:val="auto"/>
          <w:lang w:eastAsia="en-ZA"/>
        </w:rPr>
        <w:footnoteReference w:id="6"/>
      </w:r>
      <w:r w:rsidRPr="00EF3E4E">
        <w:rPr>
          <w:rFonts w:eastAsia="Times New Roman"/>
          <w:i/>
          <w:iCs/>
          <w:color w:val="auto"/>
          <w:lang w:eastAsia="en-ZA"/>
        </w:rPr>
        <w:t xml:space="preserve"> </w:t>
      </w:r>
      <w:r w:rsidRPr="00350610">
        <w:rPr>
          <w:rFonts w:eastAsia="Times New Roman"/>
          <w:color w:val="auto"/>
          <w:lang w:eastAsia="en-ZA"/>
        </w:rPr>
        <w:t>matter</w:t>
      </w:r>
      <w:r w:rsidR="00350610" w:rsidRPr="00350610">
        <w:rPr>
          <w:rFonts w:eastAsia="Times New Roman"/>
          <w:color w:val="auto"/>
          <w:lang w:eastAsia="en-ZA"/>
        </w:rPr>
        <w:t xml:space="preserve"> set some limits of the reasonable suspicion discretion, he held</w:t>
      </w:r>
      <w:r w:rsidR="00E50B24">
        <w:rPr>
          <w:rFonts w:eastAsia="Times New Roman"/>
          <w:color w:val="auto"/>
          <w:lang w:eastAsia="en-ZA"/>
        </w:rPr>
        <w:t>:</w:t>
      </w:r>
    </w:p>
    <w:p w14:paraId="4FF78AED" w14:textId="4138C1AB" w:rsidR="00350610" w:rsidRPr="00EF3E4E" w:rsidRDefault="00A86984"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w:t>
      </w:r>
      <w:r w:rsidR="00350610" w:rsidRPr="00EF3E4E">
        <w:rPr>
          <w:rFonts w:eastAsia="Times New Roman"/>
          <w:color w:val="auto"/>
          <w:sz w:val="20"/>
          <w:szCs w:val="20"/>
          <w:lang w:eastAsia="en-ZA"/>
        </w:rPr>
        <w:t>Peace officers are entitled to exercise this discretion as they see fit, provided they stayed within the bounds of rationality</w:t>
      </w:r>
      <w:r w:rsidRPr="00EF3E4E">
        <w:rPr>
          <w:rFonts w:eastAsia="Times New Roman"/>
          <w:color w:val="auto"/>
          <w:sz w:val="20"/>
          <w:szCs w:val="20"/>
          <w:lang w:eastAsia="en-ZA"/>
        </w:rPr>
        <w:t>.”</w:t>
      </w:r>
    </w:p>
    <w:p w14:paraId="12DFEB70" w14:textId="77777777" w:rsidR="00A86984" w:rsidRDefault="00A86984" w:rsidP="00350610">
      <w:pPr>
        <w:spacing w:after="200" w:line="480" w:lineRule="auto"/>
        <w:jc w:val="both"/>
        <w:rPr>
          <w:rFonts w:eastAsia="Times New Roman"/>
          <w:color w:val="auto"/>
          <w:lang w:eastAsia="en-ZA"/>
        </w:rPr>
      </w:pPr>
    </w:p>
    <w:p w14:paraId="223388E0" w14:textId="748C6DB1" w:rsidR="00A86984" w:rsidRDefault="00A86984" w:rsidP="00350610">
      <w:pPr>
        <w:spacing w:after="200" w:line="480" w:lineRule="auto"/>
        <w:jc w:val="both"/>
        <w:rPr>
          <w:rFonts w:eastAsia="Times New Roman"/>
          <w:color w:val="auto"/>
          <w:lang w:eastAsia="en-ZA"/>
        </w:rPr>
      </w:pPr>
      <w:r>
        <w:rPr>
          <w:rFonts w:eastAsia="Times New Roman"/>
          <w:color w:val="auto"/>
          <w:lang w:eastAsia="en-ZA"/>
        </w:rPr>
        <w:t>[36]</w:t>
      </w:r>
      <w:r>
        <w:rPr>
          <w:rFonts w:eastAsia="Times New Roman"/>
          <w:color w:val="auto"/>
          <w:lang w:eastAsia="en-ZA"/>
        </w:rPr>
        <w:tab/>
      </w:r>
      <w:r w:rsidR="00350610" w:rsidRPr="00350610">
        <w:rPr>
          <w:rFonts w:eastAsia="Times New Roman"/>
          <w:color w:val="auto"/>
          <w:lang w:eastAsia="en-ZA"/>
        </w:rPr>
        <w:t>The onus rests on the plaintiff to prove that the discretion to arrest was exercised improperly</w:t>
      </w:r>
      <w:r w:rsidR="00E50B24">
        <w:rPr>
          <w:rStyle w:val="FootnoteReference"/>
          <w:rFonts w:eastAsia="Times New Roman"/>
          <w:color w:val="auto"/>
          <w:lang w:eastAsia="en-ZA"/>
        </w:rPr>
        <w:footnoteReference w:id="7"/>
      </w:r>
      <w:r w:rsidR="00350610" w:rsidRPr="00350610">
        <w:rPr>
          <w:rFonts w:eastAsia="Times New Roman"/>
          <w:color w:val="auto"/>
          <w:lang w:eastAsia="en-ZA"/>
        </w:rPr>
        <w:t xml:space="preserve">.  </w:t>
      </w:r>
    </w:p>
    <w:p w14:paraId="6063780A" w14:textId="77777777" w:rsidR="00A86984" w:rsidRDefault="00A86984" w:rsidP="00350610">
      <w:pPr>
        <w:spacing w:after="200" w:line="480" w:lineRule="auto"/>
        <w:jc w:val="both"/>
        <w:rPr>
          <w:rFonts w:eastAsia="Times New Roman"/>
          <w:color w:val="auto"/>
          <w:lang w:eastAsia="en-ZA"/>
        </w:rPr>
      </w:pPr>
    </w:p>
    <w:p w14:paraId="1DC09E53" w14:textId="31D69F5C" w:rsidR="00A86984" w:rsidRDefault="00A86984" w:rsidP="00350610">
      <w:pPr>
        <w:spacing w:after="200" w:line="480" w:lineRule="auto"/>
        <w:jc w:val="both"/>
        <w:rPr>
          <w:rFonts w:eastAsia="Times New Roman"/>
          <w:color w:val="auto"/>
          <w:lang w:eastAsia="en-ZA"/>
        </w:rPr>
      </w:pPr>
      <w:r>
        <w:rPr>
          <w:rFonts w:eastAsia="Times New Roman"/>
          <w:color w:val="auto"/>
          <w:lang w:eastAsia="en-ZA"/>
        </w:rPr>
        <w:t>[37]</w:t>
      </w:r>
      <w:r>
        <w:rPr>
          <w:rFonts w:eastAsia="Times New Roman"/>
          <w:color w:val="auto"/>
          <w:lang w:eastAsia="en-ZA"/>
        </w:rPr>
        <w:tab/>
      </w:r>
      <w:r w:rsidR="00350610" w:rsidRPr="00350610">
        <w:rPr>
          <w:rFonts w:eastAsia="Times New Roman"/>
          <w:color w:val="auto"/>
          <w:lang w:eastAsia="en-ZA"/>
        </w:rPr>
        <w:t xml:space="preserve">Tritely, the detention is, in and by itself, prima facie unlawful. The onus rests on the detaining officer to justify the detention. Section 12(1) (a) of the Constitution of the Republic of South </w:t>
      </w:r>
      <w:r w:rsidRPr="00350610">
        <w:rPr>
          <w:rFonts w:eastAsia="Times New Roman"/>
          <w:color w:val="auto"/>
          <w:lang w:eastAsia="en-ZA"/>
        </w:rPr>
        <w:t>Africa</w:t>
      </w:r>
      <w:r w:rsidR="006A7677">
        <w:rPr>
          <w:rStyle w:val="FootnoteReference"/>
          <w:rFonts w:eastAsia="Times New Roman"/>
          <w:color w:val="auto"/>
          <w:lang w:eastAsia="en-ZA"/>
        </w:rPr>
        <w:footnoteReference w:id="8"/>
      </w:r>
      <w:r w:rsidRPr="00350610">
        <w:rPr>
          <w:rFonts w:eastAsia="Times New Roman"/>
          <w:color w:val="auto"/>
          <w:lang w:eastAsia="en-ZA"/>
        </w:rPr>
        <w:t xml:space="preserve"> (</w:t>
      </w:r>
      <w:r w:rsidR="00350610" w:rsidRPr="00350610">
        <w:rPr>
          <w:rFonts w:eastAsia="Times New Roman"/>
          <w:color w:val="auto"/>
          <w:lang w:eastAsia="en-ZA"/>
        </w:rPr>
        <w:t xml:space="preserve">the Constitution) guarantees the right to be free from unjustified detention. Everyone has the right to personal security and freedom which includes the right to be free from arbitrary and unjustified deprivation of liberty. Section 7(2) of the Constitution provides that the state must respect, protect, </w:t>
      </w:r>
      <w:r w:rsidRPr="00350610">
        <w:rPr>
          <w:rFonts w:eastAsia="Times New Roman"/>
          <w:color w:val="auto"/>
          <w:lang w:eastAsia="en-ZA"/>
        </w:rPr>
        <w:t>promote,</w:t>
      </w:r>
      <w:r w:rsidR="00350610" w:rsidRPr="00350610">
        <w:rPr>
          <w:rFonts w:eastAsia="Times New Roman"/>
          <w:color w:val="auto"/>
          <w:lang w:eastAsia="en-ZA"/>
        </w:rPr>
        <w:t xml:space="preserve"> and fulfil the rights in the Bill of Rights.</w:t>
      </w:r>
    </w:p>
    <w:p w14:paraId="31019E70" w14:textId="77777777" w:rsidR="00A86984" w:rsidRDefault="00A86984" w:rsidP="00350610">
      <w:pPr>
        <w:spacing w:after="200" w:line="480" w:lineRule="auto"/>
        <w:jc w:val="both"/>
        <w:rPr>
          <w:rFonts w:eastAsia="Times New Roman"/>
          <w:color w:val="auto"/>
          <w:lang w:eastAsia="en-ZA"/>
        </w:rPr>
      </w:pPr>
    </w:p>
    <w:p w14:paraId="3F4968D3" w14:textId="77777777" w:rsidR="00661CBD" w:rsidRDefault="00A86984" w:rsidP="00350610">
      <w:pPr>
        <w:spacing w:after="200" w:line="480" w:lineRule="auto"/>
        <w:jc w:val="both"/>
        <w:rPr>
          <w:rFonts w:eastAsia="Times New Roman"/>
          <w:color w:val="auto"/>
          <w:lang w:eastAsia="en-ZA"/>
        </w:rPr>
      </w:pPr>
      <w:r>
        <w:rPr>
          <w:rFonts w:eastAsia="Times New Roman"/>
          <w:color w:val="auto"/>
          <w:lang w:eastAsia="en-ZA"/>
        </w:rPr>
        <w:lastRenderedPageBreak/>
        <w:t>[38]</w:t>
      </w:r>
      <w:r>
        <w:rPr>
          <w:rFonts w:eastAsia="Times New Roman"/>
          <w:color w:val="auto"/>
          <w:lang w:eastAsia="en-ZA"/>
        </w:rPr>
        <w:tab/>
      </w:r>
      <w:r w:rsidR="00350610" w:rsidRPr="00350610">
        <w:rPr>
          <w:rFonts w:eastAsia="Times New Roman"/>
          <w:color w:val="auto"/>
          <w:lang w:eastAsia="en-ZA"/>
        </w:rPr>
        <w:t xml:space="preserve">In McDonald v </w:t>
      </w:r>
      <w:r w:rsidRPr="00350610">
        <w:rPr>
          <w:rFonts w:eastAsia="Times New Roman"/>
          <w:color w:val="auto"/>
          <w:lang w:eastAsia="en-ZA"/>
        </w:rPr>
        <w:t>Kumalo</w:t>
      </w:r>
      <w:r w:rsidR="006A7677">
        <w:rPr>
          <w:rStyle w:val="FootnoteReference"/>
          <w:rFonts w:eastAsia="Times New Roman"/>
          <w:color w:val="auto"/>
          <w:lang w:eastAsia="en-ZA"/>
        </w:rPr>
        <w:footnoteReference w:id="9"/>
      </w:r>
      <w:r w:rsidRPr="00350610">
        <w:rPr>
          <w:rFonts w:eastAsia="Times New Roman"/>
          <w:color w:val="auto"/>
          <w:lang w:eastAsia="en-ZA"/>
        </w:rPr>
        <w:t>,</w:t>
      </w:r>
      <w:r w:rsidR="00350610" w:rsidRPr="00350610">
        <w:rPr>
          <w:rFonts w:eastAsia="Times New Roman"/>
          <w:color w:val="auto"/>
          <w:lang w:eastAsia="en-ZA"/>
        </w:rPr>
        <w:t xml:space="preserve"> Graham JP re-iterated that, the object of the arrest of an accused person is to ensure his attendance to court in answer to a charge, and not to punish him for an offence </w:t>
      </w:r>
      <w:r w:rsidR="00273C4E">
        <w:rPr>
          <w:rFonts w:eastAsia="Times New Roman"/>
          <w:color w:val="auto"/>
          <w:lang w:eastAsia="en-ZA"/>
        </w:rPr>
        <w:t>for</w:t>
      </w:r>
      <w:r w:rsidR="00350610" w:rsidRPr="00350610">
        <w:rPr>
          <w:rFonts w:eastAsia="Times New Roman"/>
          <w:color w:val="auto"/>
          <w:lang w:eastAsia="en-ZA"/>
        </w:rPr>
        <w:t xml:space="preserve"> which he has not been convicted</w:t>
      </w:r>
      <w:r w:rsidR="00661CBD">
        <w:rPr>
          <w:rFonts w:eastAsia="Times New Roman"/>
          <w:color w:val="auto"/>
          <w:lang w:eastAsia="en-ZA"/>
        </w:rPr>
        <w:t>.</w:t>
      </w:r>
    </w:p>
    <w:p w14:paraId="032B21CB" w14:textId="77777777" w:rsidR="00C218E3" w:rsidRDefault="00C218E3" w:rsidP="00350610">
      <w:pPr>
        <w:spacing w:after="200" w:line="480" w:lineRule="auto"/>
        <w:jc w:val="both"/>
        <w:rPr>
          <w:rFonts w:eastAsia="Times New Roman"/>
          <w:color w:val="auto"/>
          <w:lang w:eastAsia="en-ZA"/>
        </w:rPr>
      </w:pPr>
    </w:p>
    <w:p w14:paraId="69153B94" w14:textId="5999FA7B" w:rsidR="00350610"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[39]</w:t>
      </w:r>
      <w:r>
        <w:rPr>
          <w:rFonts w:eastAsia="Times New Roman"/>
          <w:color w:val="auto"/>
          <w:lang w:eastAsia="en-ZA"/>
        </w:rPr>
        <w:tab/>
      </w:r>
      <w:r w:rsidR="00350610" w:rsidRPr="00350610">
        <w:rPr>
          <w:rFonts w:eastAsia="Times New Roman"/>
          <w:color w:val="auto"/>
          <w:lang w:eastAsia="en-ZA"/>
        </w:rPr>
        <w:t>Section 50 of the CPA deals with the procedure to be adopted after a person has been arrested for any other reason or for allegedly committ</w:t>
      </w:r>
      <w:r w:rsidR="00273C4E">
        <w:rPr>
          <w:rFonts w:eastAsia="Times New Roman"/>
          <w:color w:val="auto"/>
          <w:lang w:eastAsia="en-ZA"/>
        </w:rPr>
        <w:t>ing</w:t>
      </w:r>
      <w:r w:rsidR="00350610" w:rsidRPr="00350610">
        <w:rPr>
          <w:rFonts w:eastAsia="Times New Roman"/>
          <w:color w:val="auto"/>
          <w:lang w:eastAsia="en-ZA"/>
        </w:rPr>
        <w:t xml:space="preserve"> an offence. In terms of Section 50(1) the procedure below is imperative:</w:t>
      </w:r>
    </w:p>
    <w:p w14:paraId="6E9B9852" w14:textId="724DAAC1" w:rsidR="00350610" w:rsidRPr="00350610" w:rsidRDefault="00350610" w:rsidP="00EF3E4E">
      <w:pPr>
        <w:spacing w:after="200" w:line="480" w:lineRule="auto"/>
        <w:ind w:left="1440" w:hanging="720"/>
        <w:jc w:val="both"/>
        <w:rPr>
          <w:rFonts w:eastAsia="Times New Roman"/>
          <w:color w:val="auto"/>
          <w:lang w:eastAsia="en-ZA"/>
        </w:rPr>
      </w:pPr>
      <w:r w:rsidRPr="00350610">
        <w:rPr>
          <w:rFonts w:eastAsia="Times New Roman"/>
          <w:color w:val="auto"/>
          <w:lang w:eastAsia="en-ZA"/>
        </w:rPr>
        <w:t>(a)</w:t>
      </w:r>
      <w:r w:rsidRPr="00350610">
        <w:rPr>
          <w:rFonts w:eastAsia="Times New Roman"/>
          <w:color w:val="auto"/>
          <w:lang w:eastAsia="en-ZA"/>
        </w:rPr>
        <w:tab/>
        <w:t xml:space="preserve">Any person who is arrested with or without a warrant for allegedly committing an </w:t>
      </w:r>
      <w:r w:rsidR="00A86984" w:rsidRPr="00350610">
        <w:rPr>
          <w:rFonts w:eastAsia="Times New Roman"/>
          <w:color w:val="auto"/>
          <w:lang w:eastAsia="en-ZA"/>
        </w:rPr>
        <w:t>offence,</w:t>
      </w:r>
      <w:r w:rsidRPr="00350610">
        <w:rPr>
          <w:rFonts w:eastAsia="Times New Roman"/>
          <w:color w:val="auto"/>
          <w:lang w:eastAsia="en-ZA"/>
        </w:rPr>
        <w:t xml:space="preserve"> or for any other reason, shall as soon as possible be brought to a police station or, in the case of an arrest by a warrant, to any other place which is expressly mentioned in the warrant.</w:t>
      </w:r>
    </w:p>
    <w:p w14:paraId="50E03E5F" w14:textId="6A27B1FB" w:rsidR="00350610" w:rsidRPr="00350610" w:rsidRDefault="00350610" w:rsidP="00EF3E4E">
      <w:pPr>
        <w:spacing w:after="200" w:line="480" w:lineRule="auto"/>
        <w:ind w:left="1440" w:hanging="720"/>
        <w:jc w:val="both"/>
        <w:rPr>
          <w:rFonts w:eastAsia="Times New Roman"/>
          <w:color w:val="auto"/>
          <w:lang w:eastAsia="en-ZA"/>
        </w:rPr>
      </w:pPr>
      <w:r w:rsidRPr="00350610">
        <w:rPr>
          <w:rFonts w:eastAsia="Times New Roman"/>
          <w:color w:val="auto"/>
          <w:lang w:eastAsia="en-ZA"/>
        </w:rPr>
        <w:t>(b)</w:t>
      </w:r>
      <w:r w:rsidRPr="00350610">
        <w:rPr>
          <w:rFonts w:eastAsia="Times New Roman"/>
          <w:color w:val="auto"/>
          <w:lang w:eastAsia="en-ZA"/>
        </w:rPr>
        <w:tab/>
        <w:t>A person who is in detention as contemplated in paragraph (d) shall, as soon as reasonably possible, be informed of his or her right to institute bail proceedings.</w:t>
      </w:r>
    </w:p>
    <w:p w14:paraId="4993144A" w14:textId="76A8A852" w:rsidR="00350610" w:rsidRPr="00350610" w:rsidRDefault="00350610" w:rsidP="00EF3E4E">
      <w:pPr>
        <w:spacing w:after="200" w:line="480" w:lineRule="auto"/>
        <w:ind w:left="1440" w:hanging="720"/>
        <w:jc w:val="both"/>
        <w:rPr>
          <w:rFonts w:eastAsia="Times New Roman"/>
          <w:color w:val="auto"/>
          <w:lang w:eastAsia="en-ZA"/>
        </w:rPr>
      </w:pPr>
      <w:r w:rsidRPr="00350610">
        <w:rPr>
          <w:rFonts w:eastAsia="Times New Roman"/>
          <w:color w:val="auto"/>
          <w:lang w:eastAsia="en-ZA"/>
        </w:rPr>
        <w:t>(c)</w:t>
      </w:r>
      <w:r w:rsidRPr="00350610">
        <w:rPr>
          <w:rFonts w:eastAsia="Times New Roman"/>
          <w:color w:val="auto"/>
          <w:lang w:eastAsia="en-ZA"/>
        </w:rPr>
        <w:tab/>
        <w:t>Subject to paragraph (d), if such an arrested person is not released by reason that-</w:t>
      </w:r>
    </w:p>
    <w:p w14:paraId="2A7E3267" w14:textId="77777777" w:rsidR="00350610" w:rsidRPr="00350610" w:rsidRDefault="00350610" w:rsidP="00EF3E4E">
      <w:pPr>
        <w:spacing w:after="200" w:line="480" w:lineRule="auto"/>
        <w:ind w:left="2160" w:hanging="720"/>
        <w:jc w:val="both"/>
        <w:rPr>
          <w:rFonts w:eastAsia="Times New Roman"/>
          <w:color w:val="auto"/>
          <w:lang w:eastAsia="en-ZA"/>
        </w:rPr>
      </w:pPr>
      <w:r w:rsidRPr="00350610">
        <w:rPr>
          <w:rFonts w:eastAsia="Times New Roman"/>
          <w:color w:val="auto"/>
          <w:lang w:eastAsia="en-ZA"/>
        </w:rPr>
        <w:t>(</w:t>
      </w:r>
      <w:proofErr w:type="spellStart"/>
      <w:r w:rsidRPr="00350610">
        <w:rPr>
          <w:rFonts w:eastAsia="Times New Roman"/>
          <w:color w:val="auto"/>
          <w:lang w:eastAsia="en-ZA"/>
        </w:rPr>
        <w:t>i</w:t>
      </w:r>
      <w:proofErr w:type="spellEnd"/>
      <w:r w:rsidRPr="00350610">
        <w:rPr>
          <w:rFonts w:eastAsia="Times New Roman"/>
          <w:color w:val="auto"/>
          <w:lang w:eastAsia="en-ZA"/>
        </w:rPr>
        <w:t>)</w:t>
      </w:r>
      <w:r w:rsidRPr="00350610">
        <w:rPr>
          <w:rFonts w:eastAsia="Times New Roman"/>
          <w:color w:val="auto"/>
          <w:lang w:eastAsia="en-ZA"/>
        </w:rPr>
        <w:tab/>
        <w:t>Bail is not granted to him or her in terms of Section 59A, he or she shall be brought before court as soon as reasonably possible, but not later than 48 hours after the arrest.</w:t>
      </w:r>
    </w:p>
    <w:p w14:paraId="5B885FE2" w14:textId="77777777" w:rsidR="00A86984" w:rsidRDefault="00A86984" w:rsidP="00350610">
      <w:pPr>
        <w:spacing w:after="200" w:line="480" w:lineRule="auto"/>
        <w:jc w:val="both"/>
        <w:rPr>
          <w:rFonts w:eastAsia="Times New Roman"/>
          <w:color w:val="auto"/>
          <w:lang w:eastAsia="en-ZA"/>
        </w:rPr>
      </w:pPr>
    </w:p>
    <w:p w14:paraId="5A10391F" w14:textId="05BFCBCD" w:rsidR="00A86984" w:rsidRDefault="00A86984" w:rsidP="00350610">
      <w:pPr>
        <w:spacing w:after="200" w:line="480" w:lineRule="auto"/>
        <w:jc w:val="both"/>
        <w:rPr>
          <w:rFonts w:eastAsia="Times New Roman"/>
          <w:color w:val="auto"/>
          <w:lang w:eastAsia="en-ZA"/>
        </w:rPr>
      </w:pPr>
      <w:r>
        <w:rPr>
          <w:rFonts w:eastAsia="Times New Roman"/>
          <w:color w:val="auto"/>
          <w:lang w:eastAsia="en-ZA"/>
        </w:rPr>
        <w:lastRenderedPageBreak/>
        <w:t>[40]</w:t>
      </w:r>
      <w:r>
        <w:rPr>
          <w:rFonts w:eastAsia="Times New Roman"/>
          <w:color w:val="auto"/>
          <w:lang w:eastAsia="en-ZA"/>
        </w:rPr>
        <w:tab/>
      </w:r>
      <w:r w:rsidR="00350610" w:rsidRPr="00350610">
        <w:rPr>
          <w:rFonts w:eastAsia="Times New Roman"/>
          <w:color w:val="auto"/>
          <w:lang w:eastAsia="en-ZA"/>
        </w:rPr>
        <w:t xml:space="preserve"> In </w:t>
      </w:r>
      <w:r w:rsidR="00350610" w:rsidRPr="00EF3E4E">
        <w:rPr>
          <w:rFonts w:eastAsia="Times New Roman"/>
          <w:i/>
          <w:iCs/>
          <w:color w:val="auto"/>
          <w:lang w:eastAsia="en-ZA"/>
        </w:rPr>
        <w:t xml:space="preserve">Minister of Safety and Security v </w:t>
      </w:r>
      <w:r w:rsidR="006A7677" w:rsidRPr="00EF3E4E">
        <w:rPr>
          <w:rFonts w:eastAsia="Times New Roman"/>
          <w:i/>
          <w:iCs/>
          <w:color w:val="auto"/>
          <w:lang w:eastAsia="en-ZA"/>
        </w:rPr>
        <w:t>Magagula</w:t>
      </w:r>
      <w:r w:rsidR="006A7677">
        <w:rPr>
          <w:rStyle w:val="FootnoteReference"/>
          <w:rFonts w:eastAsia="Times New Roman"/>
          <w:i/>
          <w:iCs/>
          <w:color w:val="auto"/>
          <w:lang w:eastAsia="en-ZA"/>
        </w:rPr>
        <w:footnoteReference w:id="10"/>
      </w:r>
      <w:r w:rsidR="006A7677" w:rsidRPr="00350610">
        <w:rPr>
          <w:rFonts w:eastAsia="Times New Roman"/>
          <w:color w:val="auto"/>
          <w:lang w:eastAsia="en-ZA"/>
        </w:rPr>
        <w:t>, the</w:t>
      </w:r>
      <w:r w:rsidR="00350610" w:rsidRPr="00350610">
        <w:rPr>
          <w:rFonts w:eastAsia="Times New Roman"/>
          <w:color w:val="auto"/>
          <w:lang w:eastAsia="en-ZA"/>
        </w:rPr>
        <w:t xml:space="preserve"> Supreme Court of Appeal emphasized the need to distinguish between the period of arrest and an accused’s first appearance in court, on the one hand, and the period between first appearance and ultimate release, on the other. The case for unlawful detention in respect of the first period, said Lamont AJA, is dependent upon the failure of the authorities to establish that the arrest was lawful. In respect of the second period, however, the legality of detention depends upon the court’s orders.</w:t>
      </w:r>
    </w:p>
    <w:p w14:paraId="2D97B180" w14:textId="77777777" w:rsidR="00794C3F" w:rsidRDefault="00794C3F" w:rsidP="00350610">
      <w:pPr>
        <w:spacing w:after="200" w:line="480" w:lineRule="auto"/>
        <w:jc w:val="both"/>
        <w:rPr>
          <w:rFonts w:eastAsia="Times New Roman"/>
          <w:color w:val="auto"/>
          <w:lang w:eastAsia="en-ZA"/>
        </w:rPr>
      </w:pPr>
    </w:p>
    <w:p w14:paraId="112F55FF" w14:textId="7A31DAEA" w:rsidR="00A86984" w:rsidRPr="00EF3E4E" w:rsidRDefault="00506302" w:rsidP="00350610">
      <w:pPr>
        <w:spacing w:after="200" w:line="480" w:lineRule="auto"/>
        <w:jc w:val="both"/>
        <w:rPr>
          <w:rFonts w:eastAsia="Times New Roman"/>
          <w:b/>
          <w:bCs/>
          <w:color w:val="auto"/>
          <w:lang w:eastAsia="en-ZA"/>
        </w:rPr>
      </w:pPr>
      <w:r>
        <w:rPr>
          <w:rFonts w:eastAsia="Times New Roman"/>
          <w:b/>
          <w:bCs/>
          <w:color w:val="auto"/>
          <w:lang w:eastAsia="en-ZA"/>
        </w:rPr>
        <w:t>H.</w:t>
      </w:r>
      <w:r>
        <w:rPr>
          <w:rFonts w:eastAsia="Times New Roman"/>
          <w:b/>
          <w:bCs/>
          <w:color w:val="auto"/>
          <w:lang w:eastAsia="en-ZA"/>
        </w:rPr>
        <w:tab/>
      </w:r>
      <w:r w:rsidR="00350610" w:rsidRPr="003339F2">
        <w:rPr>
          <w:rFonts w:eastAsia="Times New Roman"/>
          <w:b/>
          <w:bCs/>
          <w:color w:val="auto"/>
          <w:u w:val="single"/>
          <w:lang w:eastAsia="en-ZA"/>
        </w:rPr>
        <w:t>The parties’ contentions</w:t>
      </w:r>
      <w:r>
        <w:rPr>
          <w:rFonts w:eastAsia="Times New Roman"/>
          <w:b/>
          <w:bCs/>
          <w:color w:val="auto"/>
          <w:lang w:eastAsia="en-ZA"/>
        </w:rPr>
        <w:t>:</w:t>
      </w:r>
    </w:p>
    <w:p w14:paraId="3006BC2A" w14:textId="76DB5DCD" w:rsidR="00A86984" w:rsidRDefault="00A86984" w:rsidP="00350610">
      <w:pPr>
        <w:spacing w:after="200" w:line="480" w:lineRule="auto"/>
        <w:jc w:val="both"/>
        <w:rPr>
          <w:rFonts w:eastAsia="Times New Roman"/>
          <w:color w:val="auto"/>
          <w:lang w:eastAsia="en-ZA"/>
        </w:rPr>
      </w:pPr>
      <w:r>
        <w:rPr>
          <w:rFonts w:eastAsia="Times New Roman"/>
          <w:color w:val="auto"/>
          <w:lang w:eastAsia="en-ZA"/>
        </w:rPr>
        <w:t>[41]</w:t>
      </w:r>
      <w:r>
        <w:rPr>
          <w:rFonts w:eastAsia="Times New Roman"/>
          <w:color w:val="auto"/>
          <w:lang w:eastAsia="en-ZA"/>
        </w:rPr>
        <w:tab/>
      </w:r>
      <w:r w:rsidR="00350610" w:rsidRPr="00350610">
        <w:rPr>
          <w:rFonts w:eastAsia="Times New Roman"/>
          <w:color w:val="auto"/>
          <w:lang w:eastAsia="en-ZA"/>
        </w:rPr>
        <w:t>All the parties submitted written heads of arguments and raised very significant points which assisted the court in arriving at a decision in this matter. Gleaning from th</w:t>
      </w:r>
      <w:r w:rsidR="00661CBD">
        <w:rPr>
          <w:rFonts w:eastAsia="Times New Roman"/>
          <w:color w:val="auto"/>
          <w:lang w:eastAsia="en-ZA"/>
        </w:rPr>
        <w:t>e plaintiff’s heads of arguments</w:t>
      </w:r>
      <w:r w:rsidR="00350610" w:rsidRPr="00350610">
        <w:rPr>
          <w:rFonts w:eastAsia="Times New Roman"/>
          <w:color w:val="auto"/>
          <w:lang w:eastAsia="en-ZA"/>
        </w:rPr>
        <w:t xml:space="preserve"> the most crucial point of criticism revolves around the warning statements which were allegedly obtained from the suspects who implicated the plaintiff </w:t>
      </w:r>
      <w:r w:rsidR="00273C4E">
        <w:rPr>
          <w:rFonts w:eastAsia="Times New Roman"/>
          <w:color w:val="auto"/>
          <w:lang w:eastAsia="en-ZA"/>
        </w:rPr>
        <w:t>in</w:t>
      </w:r>
      <w:r w:rsidR="00350610" w:rsidRPr="00350610">
        <w:rPr>
          <w:rFonts w:eastAsia="Times New Roman"/>
          <w:color w:val="auto"/>
          <w:lang w:eastAsia="en-ZA"/>
        </w:rPr>
        <w:t xml:space="preserve"> the commission of the crime of murder.  Mr </w:t>
      </w:r>
      <w:proofErr w:type="spellStart"/>
      <w:r w:rsidR="00350610" w:rsidRPr="00350610">
        <w:rPr>
          <w:rFonts w:eastAsia="Times New Roman"/>
          <w:color w:val="auto"/>
          <w:lang w:eastAsia="en-ZA"/>
        </w:rPr>
        <w:t>Mdeyide</w:t>
      </w:r>
      <w:proofErr w:type="spellEnd"/>
      <w:r w:rsidR="00350610" w:rsidRPr="00350610">
        <w:rPr>
          <w:rFonts w:eastAsia="Times New Roman"/>
          <w:color w:val="auto"/>
          <w:lang w:eastAsia="en-ZA"/>
        </w:rPr>
        <w:t xml:space="preserve">, counsel for the plaintiff argues that these statements were obtained by Sgt </w:t>
      </w:r>
      <w:proofErr w:type="spellStart"/>
      <w:r w:rsidR="00350610" w:rsidRPr="00350610">
        <w:rPr>
          <w:rFonts w:eastAsia="Times New Roman"/>
          <w:color w:val="auto"/>
          <w:lang w:eastAsia="en-ZA"/>
        </w:rPr>
        <w:t>Ngqokoma</w:t>
      </w:r>
      <w:proofErr w:type="spellEnd"/>
      <w:r w:rsidR="00350610" w:rsidRPr="00350610">
        <w:rPr>
          <w:rFonts w:eastAsia="Times New Roman"/>
          <w:color w:val="auto"/>
          <w:lang w:eastAsia="en-ZA"/>
        </w:rPr>
        <w:t xml:space="preserve"> who presented no evidence to indicate the circumstances under which such warning statements were taken.</w:t>
      </w:r>
    </w:p>
    <w:p w14:paraId="180041D6" w14:textId="77777777" w:rsidR="00A86984" w:rsidRDefault="00A86984" w:rsidP="00350610">
      <w:pPr>
        <w:spacing w:after="200" w:line="480" w:lineRule="auto"/>
        <w:jc w:val="both"/>
        <w:rPr>
          <w:rFonts w:eastAsia="Times New Roman"/>
          <w:color w:val="auto"/>
          <w:lang w:eastAsia="en-ZA"/>
        </w:rPr>
      </w:pPr>
    </w:p>
    <w:p w14:paraId="5428428B" w14:textId="6362FACC" w:rsidR="00350610"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[42]</w:t>
      </w:r>
      <w:r>
        <w:rPr>
          <w:rFonts w:eastAsia="Times New Roman"/>
          <w:color w:val="auto"/>
          <w:lang w:eastAsia="en-ZA"/>
        </w:rPr>
        <w:tab/>
      </w:r>
      <w:r w:rsidR="00350610" w:rsidRPr="00350610">
        <w:rPr>
          <w:rFonts w:eastAsia="Times New Roman"/>
          <w:color w:val="auto"/>
          <w:lang w:eastAsia="en-ZA"/>
        </w:rPr>
        <w:t xml:space="preserve">A reasonable person in the position of </w:t>
      </w:r>
      <w:proofErr w:type="spellStart"/>
      <w:r w:rsidR="00350610" w:rsidRPr="00350610">
        <w:rPr>
          <w:rFonts w:eastAsia="Times New Roman"/>
          <w:color w:val="auto"/>
          <w:lang w:eastAsia="en-ZA"/>
        </w:rPr>
        <w:t>Ndzwaiba</w:t>
      </w:r>
      <w:proofErr w:type="spellEnd"/>
      <w:r w:rsidR="00350610" w:rsidRPr="00350610">
        <w:rPr>
          <w:rFonts w:eastAsia="Times New Roman"/>
          <w:color w:val="auto"/>
          <w:lang w:eastAsia="en-ZA"/>
        </w:rPr>
        <w:t xml:space="preserve"> would have arranged an interpreter and personally interviewed the other accused about the statement before the arrest of the plaintiff, so he argues. In amplification, counsel referred to Section 219A of the CPA which entails,</w:t>
      </w:r>
    </w:p>
    <w:p w14:paraId="278DC1AA" w14:textId="02FB9DE5" w:rsidR="00350610" w:rsidRPr="00EF3E4E" w:rsidRDefault="00A86984"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lastRenderedPageBreak/>
        <w:t>“</w:t>
      </w:r>
      <w:r w:rsidR="00350610" w:rsidRPr="00EF3E4E">
        <w:rPr>
          <w:rFonts w:eastAsia="Times New Roman"/>
          <w:color w:val="auto"/>
          <w:sz w:val="20"/>
          <w:szCs w:val="20"/>
          <w:lang w:eastAsia="en-ZA"/>
        </w:rPr>
        <w:t>Evidence of any admission made extra-judicially by any person in relation to the commission of an offence shall, if such admission does not constitute a confession of that offence and is proved to have been made freely and voluntarily made by that person, be admissible in evidence against him at criminal proceedings relating to that offence.</w:t>
      </w:r>
      <w:r w:rsidRPr="00EF3E4E">
        <w:rPr>
          <w:rFonts w:eastAsia="Times New Roman"/>
          <w:color w:val="auto"/>
          <w:sz w:val="20"/>
          <w:szCs w:val="20"/>
          <w:lang w:eastAsia="en-ZA"/>
        </w:rPr>
        <w:t>”</w:t>
      </w:r>
    </w:p>
    <w:p w14:paraId="0E357172" w14:textId="77777777" w:rsidR="00A86984" w:rsidRDefault="00A86984" w:rsidP="00350610">
      <w:pPr>
        <w:spacing w:after="200" w:line="480" w:lineRule="auto"/>
        <w:jc w:val="both"/>
        <w:rPr>
          <w:rFonts w:eastAsia="Times New Roman"/>
          <w:color w:val="auto"/>
          <w:lang w:eastAsia="en-ZA"/>
        </w:rPr>
      </w:pPr>
    </w:p>
    <w:p w14:paraId="58770571" w14:textId="39066633" w:rsidR="00350610" w:rsidRDefault="00A86984" w:rsidP="00350610">
      <w:pPr>
        <w:spacing w:after="200" w:line="480" w:lineRule="auto"/>
        <w:jc w:val="both"/>
        <w:rPr>
          <w:rFonts w:eastAsia="Times New Roman"/>
          <w:color w:val="auto"/>
          <w:lang w:eastAsia="en-ZA"/>
        </w:rPr>
      </w:pPr>
      <w:r>
        <w:rPr>
          <w:rFonts w:eastAsia="Times New Roman"/>
          <w:color w:val="auto"/>
          <w:lang w:eastAsia="en-ZA"/>
        </w:rPr>
        <w:t>[43]</w:t>
      </w:r>
      <w:r>
        <w:rPr>
          <w:rFonts w:eastAsia="Times New Roman"/>
          <w:color w:val="auto"/>
          <w:lang w:eastAsia="en-ZA"/>
        </w:rPr>
        <w:tab/>
      </w:r>
      <w:r w:rsidR="00350610" w:rsidRPr="00350610">
        <w:rPr>
          <w:rFonts w:eastAsia="Times New Roman"/>
          <w:color w:val="auto"/>
          <w:lang w:eastAsia="en-ZA"/>
        </w:rPr>
        <w:t xml:space="preserve">Referring to the case of </w:t>
      </w:r>
      <w:r w:rsidR="00350610" w:rsidRPr="00EF3E4E">
        <w:rPr>
          <w:rFonts w:eastAsia="Times New Roman"/>
          <w:i/>
          <w:iCs/>
          <w:color w:val="auto"/>
          <w:lang w:eastAsia="en-ZA"/>
        </w:rPr>
        <w:t xml:space="preserve">JE Mahlangu and Another v Minister of </w:t>
      </w:r>
      <w:r w:rsidR="006A7677" w:rsidRPr="00EF3E4E">
        <w:rPr>
          <w:rFonts w:eastAsia="Times New Roman"/>
          <w:i/>
          <w:iCs/>
          <w:color w:val="auto"/>
          <w:lang w:eastAsia="en-ZA"/>
        </w:rPr>
        <w:t>Police</w:t>
      </w:r>
      <w:r w:rsidR="006A7677">
        <w:rPr>
          <w:rStyle w:val="FootnoteReference"/>
          <w:rFonts w:eastAsia="Times New Roman"/>
          <w:i/>
          <w:iCs/>
          <w:color w:val="auto"/>
          <w:lang w:eastAsia="en-ZA"/>
        </w:rPr>
        <w:footnoteReference w:id="11"/>
      </w:r>
      <w:r w:rsidR="006A7677" w:rsidRPr="00350610">
        <w:rPr>
          <w:rFonts w:eastAsia="Times New Roman"/>
          <w:color w:val="auto"/>
          <w:lang w:eastAsia="en-ZA"/>
        </w:rPr>
        <w:t>,</w:t>
      </w:r>
      <w:r w:rsidR="00350610" w:rsidRPr="00350610">
        <w:rPr>
          <w:rFonts w:eastAsia="Times New Roman"/>
          <w:color w:val="auto"/>
          <w:lang w:eastAsia="en-ZA"/>
        </w:rPr>
        <w:t xml:space="preserve"> counsel argues that </w:t>
      </w:r>
      <w:r w:rsidR="00273C4E">
        <w:rPr>
          <w:rFonts w:eastAsia="Times New Roman"/>
          <w:color w:val="auto"/>
          <w:lang w:eastAsia="en-ZA"/>
        </w:rPr>
        <w:t xml:space="preserve">an </w:t>
      </w:r>
      <w:r w:rsidR="00350610" w:rsidRPr="00350610">
        <w:rPr>
          <w:rFonts w:eastAsia="Times New Roman"/>
          <w:color w:val="auto"/>
          <w:lang w:eastAsia="en-ZA"/>
        </w:rPr>
        <w:t xml:space="preserve">extra-curial statement by an accused is inadmissible against a co-accused. </w:t>
      </w:r>
      <w:r w:rsidR="006A7677" w:rsidRPr="00350610">
        <w:rPr>
          <w:rFonts w:eastAsia="Times New Roman"/>
          <w:color w:val="auto"/>
          <w:lang w:eastAsia="en-ZA"/>
        </w:rPr>
        <w:t>Considering</w:t>
      </w:r>
      <w:r w:rsidR="00350610" w:rsidRPr="00350610">
        <w:rPr>
          <w:rFonts w:eastAsia="Times New Roman"/>
          <w:color w:val="auto"/>
          <w:lang w:eastAsia="en-ZA"/>
        </w:rPr>
        <w:t xml:space="preserve"> the aforesaid, counsel contends that the arrest of the plaintiff and his subsequent detention were unlawful.</w:t>
      </w:r>
    </w:p>
    <w:p w14:paraId="38BFA88B" w14:textId="77777777" w:rsidR="006A7677" w:rsidRPr="00350610" w:rsidRDefault="006A7677" w:rsidP="00350610">
      <w:pPr>
        <w:spacing w:after="200" w:line="480" w:lineRule="auto"/>
        <w:jc w:val="both"/>
        <w:rPr>
          <w:rFonts w:eastAsia="Times New Roman"/>
          <w:color w:val="auto"/>
          <w:lang w:eastAsia="en-ZA"/>
        </w:rPr>
      </w:pPr>
    </w:p>
    <w:p w14:paraId="6FD1B1A0" w14:textId="29D77A01" w:rsidR="00350610"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[44]</w:t>
      </w:r>
      <w:r>
        <w:rPr>
          <w:rFonts w:eastAsia="Times New Roman"/>
          <w:color w:val="auto"/>
          <w:lang w:eastAsia="en-ZA"/>
        </w:rPr>
        <w:tab/>
      </w:r>
      <w:r w:rsidR="00350610" w:rsidRPr="00350610">
        <w:rPr>
          <w:rFonts w:eastAsia="Times New Roman"/>
          <w:color w:val="auto"/>
          <w:lang w:eastAsia="en-ZA"/>
        </w:rPr>
        <w:t xml:space="preserve">He further argues that the public prosecutor ought to have informed the magistrate on the first court appearance that there was </w:t>
      </w:r>
      <w:r w:rsidR="006A7677" w:rsidRPr="00350610">
        <w:rPr>
          <w:rFonts w:eastAsia="Times New Roman"/>
          <w:color w:val="auto"/>
          <w:lang w:eastAsia="en-ZA"/>
        </w:rPr>
        <w:t>not</w:t>
      </w:r>
      <w:r w:rsidR="00350610" w:rsidRPr="00350610">
        <w:rPr>
          <w:rFonts w:eastAsia="Times New Roman"/>
          <w:color w:val="auto"/>
          <w:lang w:eastAsia="en-ZA"/>
        </w:rPr>
        <w:t xml:space="preserve"> enough evidence to justify a further detention of the plaintiff. Had the magistrate been informed of the limited information that was obtained in the police docket, the magistrate would have ordered no further detention of the plaintiff, so the argument continues. In a nutshell, counsel holds the NDPP jointly liable with the 1st defendant for post</w:t>
      </w:r>
      <w:r w:rsidR="00273C4E">
        <w:rPr>
          <w:rFonts w:eastAsia="Times New Roman"/>
          <w:color w:val="auto"/>
          <w:lang w:eastAsia="en-ZA"/>
        </w:rPr>
        <w:t>-</w:t>
      </w:r>
      <w:r w:rsidR="00350610" w:rsidRPr="00350610">
        <w:rPr>
          <w:rFonts w:eastAsia="Times New Roman"/>
          <w:color w:val="auto"/>
          <w:lang w:eastAsia="en-ZA"/>
        </w:rPr>
        <w:t>court appearance detention of the plaintiff.</w:t>
      </w:r>
    </w:p>
    <w:p w14:paraId="28629909" w14:textId="77777777" w:rsidR="00A86984" w:rsidRDefault="00A86984" w:rsidP="00350610">
      <w:pPr>
        <w:spacing w:after="200" w:line="480" w:lineRule="auto"/>
        <w:jc w:val="both"/>
        <w:rPr>
          <w:rFonts w:eastAsia="Times New Roman"/>
          <w:color w:val="auto"/>
          <w:lang w:eastAsia="en-ZA"/>
        </w:rPr>
      </w:pPr>
    </w:p>
    <w:p w14:paraId="3B1C5866" w14:textId="79517B5D" w:rsidR="00C07AD9"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[45]</w:t>
      </w:r>
      <w:r>
        <w:rPr>
          <w:rFonts w:eastAsia="Times New Roman"/>
          <w:color w:val="auto"/>
          <w:lang w:eastAsia="en-ZA"/>
        </w:rPr>
        <w:tab/>
      </w:r>
      <w:r w:rsidR="00350610" w:rsidRPr="00350610">
        <w:rPr>
          <w:rFonts w:eastAsia="Times New Roman"/>
          <w:color w:val="auto"/>
          <w:lang w:eastAsia="en-ZA"/>
        </w:rPr>
        <w:t xml:space="preserve">Mr Halam, the 1st defendant’s counsel, on the other hand, argues that the arresting officer had a reasonable suspicion that the plaintiff had committed murder which is a Schedule 1 offence. The police had no obligation to analyse and assess the quality of the information before effecting the arrest. Referring to the case of </w:t>
      </w:r>
      <w:r w:rsidR="00350610" w:rsidRPr="00EF3E4E">
        <w:rPr>
          <w:rFonts w:eastAsia="Times New Roman"/>
          <w:i/>
          <w:iCs/>
          <w:color w:val="auto"/>
          <w:lang w:eastAsia="en-ZA"/>
        </w:rPr>
        <w:t xml:space="preserve">Mawu v </w:t>
      </w:r>
      <w:r w:rsidR="00350610" w:rsidRPr="00EF3E4E">
        <w:rPr>
          <w:rFonts w:eastAsia="Times New Roman"/>
          <w:i/>
          <w:iCs/>
          <w:color w:val="auto"/>
          <w:lang w:eastAsia="en-ZA"/>
        </w:rPr>
        <w:lastRenderedPageBreak/>
        <w:t xml:space="preserve">Minister of </w:t>
      </w:r>
      <w:r w:rsidR="00273C4E">
        <w:rPr>
          <w:rFonts w:eastAsia="Times New Roman"/>
          <w:i/>
          <w:iCs/>
          <w:color w:val="auto"/>
          <w:lang w:eastAsia="en-ZA"/>
        </w:rPr>
        <w:t>P</w:t>
      </w:r>
      <w:r w:rsidRPr="00EF3E4E">
        <w:rPr>
          <w:rFonts w:eastAsia="Times New Roman"/>
          <w:i/>
          <w:iCs/>
          <w:color w:val="auto"/>
          <w:lang w:eastAsia="en-ZA"/>
        </w:rPr>
        <w:t>olice</w:t>
      </w:r>
      <w:r w:rsidR="0054199B">
        <w:rPr>
          <w:rStyle w:val="FootnoteReference"/>
          <w:rFonts w:eastAsia="Times New Roman"/>
          <w:i/>
          <w:iCs/>
          <w:color w:val="auto"/>
          <w:lang w:eastAsia="en-ZA"/>
        </w:rPr>
        <w:footnoteReference w:id="12"/>
      </w:r>
      <w:r w:rsidRPr="00350610">
        <w:rPr>
          <w:rFonts w:eastAsia="Times New Roman"/>
          <w:color w:val="auto"/>
          <w:lang w:eastAsia="en-ZA"/>
        </w:rPr>
        <w:t>,</w:t>
      </w:r>
      <w:r w:rsidR="00350610" w:rsidRPr="00350610">
        <w:rPr>
          <w:rFonts w:eastAsia="Times New Roman"/>
          <w:color w:val="auto"/>
          <w:lang w:eastAsia="en-ZA"/>
        </w:rPr>
        <w:t xml:space="preserve"> he submits that suspicion is nothing more than a state of conjecture where proof is </w:t>
      </w:r>
      <w:r w:rsidRPr="00350610">
        <w:rPr>
          <w:rFonts w:eastAsia="Times New Roman"/>
          <w:color w:val="auto"/>
          <w:lang w:eastAsia="en-ZA"/>
        </w:rPr>
        <w:t>lacking,</w:t>
      </w:r>
      <w:r w:rsidR="00350610" w:rsidRPr="00350610">
        <w:rPr>
          <w:rFonts w:eastAsia="Times New Roman"/>
          <w:color w:val="auto"/>
          <w:lang w:eastAsia="en-ZA"/>
        </w:rPr>
        <w:t xml:space="preserve"> and it arises at or near the starting point of an investigation. Referring to </w:t>
      </w:r>
      <w:r w:rsidRPr="00EF3E4E">
        <w:rPr>
          <w:rFonts w:eastAsia="Times New Roman"/>
          <w:i/>
          <w:iCs/>
          <w:color w:val="auto"/>
          <w:lang w:eastAsia="en-ZA"/>
        </w:rPr>
        <w:t>Biyela</w:t>
      </w:r>
      <w:r w:rsidR="00273C4E">
        <w:rPr>
          <w:rFonts w:eastAsia="Times New Roman"/>
          <w:i/>
          <w:iCs/>
          <w:color w:val="auto"/>
          <w:lang w:eastAsia="en-ZA"/>
        </w:rPr>
        <w:t>'s</w:t>
      </w:r>
      <w:r w:rsidR="0054199B">
        <w:rPr>
          <w:rStyle w:val="FootnoteReference"/>
          <w:rFonts w:eastAsia="Times New Roman"/>
          <w:color w:val="auto"/>
          <w:lang w:eastAsia="en-ZA"/>
        </w:rPr>
        <w:footnoteReference w:id="13"/>
      </w:r>
      <w:r w:rsidRPr="00350610">
        <w:rPr>
          <w:rFonts w:eastAsia="Times New Roman"/>
          <w:color w:val="auto"/>
          <w:lang w:eastAsia="en-ZA"/>
        </w:rPr>
        <w:t xml:space="preserve"> matter</w:t>
      </w:r>
      <w:r w:rsidR="00350610" w:rsidRPr="00350610">
        <w:rPr>
          <w:rFonts w:eastAsia="Times New Roman"/>
          <w:color w:val="auto"/>
          <w:lang w:eastAsia="en-ZA"/>
        </w:rPr>
        <w:t>, he contends that the admissibility of the statements made by other suspects w</w:t>
      </w:r>
      <w:r w:rsidR="00273C4E">
        <w:rPr>
          <w:rFonts w:eastAsia="Times New Roman"/>
          <w:color w:val="auto"/>
          <w:lang w:eastAsia="en-ZA"/>
        </w:rPr>
        <w:t>as</w:t>
      </w:r>
      <w:r w:rsidR="00350610" w:rsidRPr="00350610">
        <w:rPr>
          <w:rFonts w:eastAsia="Times New Roman"/>
          <w:color w:val="auto"/>
          <w:lang w:eastAsia="en-ZA"/>
        </w:rPr>
        <w:t xml:space="preserve"> not a determining factor for purposes of arrest.</w:t>
      </w:r>
    </w:p>
    <w:p w14:paraId="37846601" w14:textId="77777777" w:rsidR="00C218E3" w:rsidRDefault="00C218E3" w:rsidP="00350610">
      <w:pPr>
        <w:spacing w:after="200" w:line="480" w:lineRule="auto"/>
        <w:jc w:val="both"/>
        <w:rPr>
          <w:rFonts w:eastAsia="Times New Roman"/>
          <w:color w:val="auto"/>
          <w:lang w:eastAsia="en-ZA"/>
        </w:rPr>
      </w:pPr>
    </w:p>
    <w:p w14:paraId="6EB79A2C" w14:textId="43F20A5D" w:rsidR="00350610"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[46]</w:t>
      </w:r>
      <w:r>
        <w:rPr>
          <w:rFonts w:eastAsia="Times New Roman"/>
          <w:color w:val="auto"/>
          <w:lang w:eastAsia="en-ZA"/>
        </w:rPr>
        <w:tab/>
      </w:r>
      <w:r w:rsidR="00350610" w:rsidRPr="00350610">
        <w:rPr>
          <w:rFonts w:eastAsia="Times New Roman"/>
          <w:color w:val="auto"/>
          <w:lang w:eastAsia="en-ZA"/>
        </w:rPr>
        <w:t>Counsel’s further contention is that the police had no control over the detention or release of the plaintiff after his first appearance in court. On his first appearance</w:t>
      </w:r>
      <w:r w:rsidR="00273C4E">
        <w:rPr>
          <w:rFonts w:eastAsia="Times New Roman"/>
          <w:color w:val="auto"/>
          <w:lang w:eastAsia="en-ZA"/>
        </w:rPr>
        <w:t>,</w:t>
      </w:r>
      <w:r w:rsidR="00350610" w:rsidRPr="00350610">
        <w:rPr>
          <w:rFonts w:eastAsia="Times New Roman"/>
          <w:color w:val="auto"/>
          <w:lang w:eastAsia="en-ZA"/>
        </w:rPr>
        <w:t xml:space="preserve"> the Magistrate was empowered in terms of bail legislation to make a ruling on whether the plaintiff ought to be released on bail. The plaintiff bore the onus to establish the existence of exceptional circumstances which in the interest of justice permitted his release on bail. To impose liability on the police for the entire period of detention, in the circumstances of this matter, would be exceeding the bounds of reasonableness, fairness and justice. It would be unfair and unjust to impute liability to the police, so he proposes.</w:t>
      </w:r>
    </w:p>
    <w:p w14:paraId="4165D268" w14:textId="77777777" w:rsidR="00A86984" w:rsidRDefault="00A86984" w:rsidP="00350610">
      <w:pPr>
        <w:spacing w:after="200" w:line="480" w:lineRule="auto"/>
        <w:jc w:val="both"/>
        <w:rPr>
          <w:rFonts w:eastAsia="Times New Roman"/>
          <w:color w:val="auto"/>
          <w:lang w:eastAsia="en-ZA"/>
        </w:rPr>
      </w:pPr>
    </w:p>
    <w:p w14:paraId="3B627C30" w14:textId="36F645D3" w:rsidR="00350610" w:rsidRDefault="00A86984" w:rsidP="00350610">
      <w:pPr>
        <w:spacing w:after="200" w:line="480" w:lineRule="auto"/>
        <w:jc w:val="both"/>
        <w:rPr>
          <w:rFonts w:eastAsia="Times New Roman"/>
          <w:color w:val="auto"/>
          <w:lang w:eastAsia="en-ZA"/>
        </w:rPr>
      </w:pPr>
      <w:r>
        <w:rPr>
          <w:rFonts w:eastAsia="Times New Roman"/>
          <w:color w:val="auto"/>
          <w:lang w:eastAsia="en-ZA"/>
        </w:rPr>
        <w:t>[47]</w:t>
      </w:r>
      <w:r>
        <w:rPr>
          <w:rFonts w:eastAsia="Times New Roman"/>
          <w:color w:val="auto"/>
          <w:lang w:eastAsia="en-ZA"/>
        </w:rPr>
        <w:tab/>
      </w:r>
      <w:r w:rsidR="00350610" w:rsidRPr="00350610">
        <w:rPr>
          <w:rFonts w:eastAsia="Times New Roman"/>
          <w:color w:val="auto"/>
          <w:lang w:eastAsia="en-ZA"/>
        </w:rPr>
        <w:t xml:space="preserve">Ms </w:t>
      </w:r>
      <w:proofErr w:type="spellStart"/>
      <w:r w:rsidR="00350610" w:rsidRPr="00350610">
        <w:rPr>
          <w:rFonts w:eastAsia="Times New Roman"/>
          <w:color w:val="auto"/>
          <w:lang w:eastAsia="en-ZA"/>
        </w:rPr>
        <w:t>Nhantsi</w:t>
      </w:r>
      <w:proofErr w:type="spellEnd"/>
      <w:r w:rsidR="00350610" w:rsidRPr="00350610">
        <w:rPr>
          <w:rFonts w:eastAsia="Times New Roman"/>
          <w:color w:val="auto"/>
          <w:lang w:eastAsia="en-ZA"/>
        </w:rPr>
        <w:t xml:space="preserve">, counsel for the </w:t>
      </w:r>
      <w:r w:rsidR="0054199B">
        <w:rPr>
          <w:rFonts w:eastAsia="Times New Roman"/>
          <w:color w:val="auto"/>
          <w:lang w:eastAsia="en-ZA"/>
        </w:rPr>
        <w:t>second</w:t>
      </w:r>
      <w:r w:rsidR="00350610" w:rsidRPr="00350610">
        <w:rPr>
          <w:rFonts w:eastAsia="Times New Roman"/>
          <w:color w:val="auto"/>
          <w:lang w:eastAsia="en-ZA"/>
        </w:rPr>
        <w:t xml:space="preserve"> defendant raises similar submissions to those made by the </w:t>
      </w:r>
      <w:r w:rsidR="0054199B">
        <w:rPr>
          <w:rFonts w:eastAsia="Times New Roman"/>
          <w:color w:val="auto"/>
          <w:lang w:eastAsia="en-ZA"/>
        </w:rPr>
        <w:t>first</w:t>
      </w:r>
      <w:r w:rsidR="00350610" w:rsidRPr="00350610">
        <w:rPr>
          <w:rFonts w:eastAsia="Times New Roman"/>
          <w:color w:val="auto"/>
          <w:lang w:eastAsia="en-ZA"/>
        </w:rPr>
        <w:t xml:space="preserve"> defendant’s counsel. She submits that it was not in the interest of justice to release the plaintiff on bail on his first court appearance because he was faced with a Schedule 6 offence. It should be noted</w:t>
      </w:r>
      <w:r w:rsidR="009114C6">
        <w:rPr>
          <w:rFonts w:eastAsia="Times New Roman"/>
          <w:color w:val="auto"/>
          <w:lang w:eastAsia="en-ZA"/>
        </w:rPr>
        <w:t xml:space="preserve"> that</w:t>
      </w:r>
      <w:r w:rsidR="00350610" w:rsidRPr="00350610">
        <w:rPr>
          <w:rFonts w:eastAsia="Times New Roman"/>
          <w:color w:val="auto"/>
          <w:lang w:eastAsia="en-ZA"/>
        </w:rPr>
        <w:t xml:space="preserve"> the public prosecutor made her submissions to </w:t>
      </w:r>
      <w:r w:rsidR="00273C4E">
        <w:rPr>
          <w:rFonts w:eastAsia="Times New Roman"/>
          <w:color w:val="auto"/>
          <w:lang w:eastAsia="en-ZA"/>
        </w:rPr>
        <w:t xml:space="preserve">the </w:t>
      </w:r>
      <w:r w:rsidR="00350610" w:rsidRPr="00350610">
        <w:rPr>
          <w:rFonts w:eastAsia="Times New Roman"/>
          <w:color w:val="auto"/>
          <w:lang w:eastAsia="en-ZA"/>
        </w:rPr>
        <w:t>court regarding the nature of the charges that were levelled against the plaintiff and his erstwhile co-accused. The plaintiff sought the services of a sign language interpreter, so she argues.</w:t>
      </w:r>
    </w:p>
    <w:p w14:paraId="5B7259F8" w14:textId="77777777" w:rsidR="00A86984" w:rsidRPr="00273C4E" w:rsidRDefault="00A86984" w:rsidP="00350610">
      <w:pPr>
        <w:spacing w:after="200" w:line="480" w:lineRule="auto"/>
        <w:jc w:val="both"/>
        <w:rPr>
          <w:rFonts w:eastAsia="Times New Roman"/>
          <w:color w:val="auto"/>
          <w:lang w:eastAsia="en-ZA"/>
        </w:rPr>
      </w:pPr>
    </w:p>
    <w:p w14:paraId="4C430704" w14:textId="0324ADBF" w:rsidR="00350610" w:rsidRPr="003339F2" w:rsidRDefault="00506302" w:rsidP="00350610">
      <w:pPr>
        <w:spacing w:after="200" w:line="480" w:lineRule="auto"/>
        <w:jc w:val="both"/>
        <w:rPr>
          <w:rFonts w:eastAsia="Times New Roman"/>
          <w:b/>
          <w:bCs/>
          <w:color w:val="auto"/>
          <w:lang w:eastAsia="en-ZA"/>
        </w:rPr>
      </w:pPr>
      <w:r>
        <w:rPr>
          <w:rFonts w:eastAsia="Times New Roman"/>
          <w:b/>
          <w:bCs/>
          <w:color w:val="auto"/>
          <w:lang w:eastAsia="en-ZA"/>
        </w:rPr>
        <w:t>I.</w:t>
      </w:r>
      <w:r>
        <w:rPr>
          <w:rFonts w:eastAsia="Times New Roman"/>
          <w:b/>
          <w:bCs/>
          <w:color w:val="auto"/>
          <w:lang w:eastAsia="en-ZA"/>
        </w:rPr>
        <w:tab/>
      </w:r>
      <w:r w:rsidR="00350610" w:rsidRPr="003339F2">
        <w:rPr>
          <w:rFonts w:eastAsia="Times New Roman"/>
          <w:b/>
          <w:bCs/>
          <w:color w:val="auto"/>
          <w:u w:val="single"/>
          <w:lang w:eastAsia="en-ZA"/>
        </w:rPr>
        <w:t>Evaluation of evidence</w:t>
      </w:r>
      <w:r>
        <w:rPr>
          <w:rFonts w:eastAsia="Times New Roman"/>
          <w:b/>
          <w:bCs/>
          <w:color w:val="auto"/>
          <w:lang w:eastAsia="en-ZA"/>
        </w:rPr>
        <w:t>:</w:t>
      </w:r>
    </w:p>
    <w:p w14:paraId="1ED56F11" w14:textId="45F6A655" w:rsidR="00C07AD9" w:rsidRPr="00350610" w:rsidRDefault="00A86984" w:rsidP="00350610">
      <w:pPr>
        <w:spacing w:after="200" w:line="480" w:lineRule="auto"/>
        <w:jc w:val="both"/>
        <w:rPr>
          <w:rFonts w:eastAsia="Times New Roman"/>
          <w:color w:val="auto"/>
          <w:lang w:eastAsia="en-ZA"/>
        </w:rPr>
      </w:pPr>
      <w:r>
        <w:rPr>
          <w:rFonts w:eastAsia="Times New Roman"/>
          <w:color w:val="auto"/>
          <w:lang w:eastAsia="en-ZA"/>
        </w:rPr>
        <w:t>[48]</w:t>
      </w:r>
      <w:r>
        <w:rPr>
          <w:rFonts w:eastAsia="Times New Roman"/>
          <w:color w:val="auto"/>
          <w:lang w:eastAsia="en-ZA"/>
        </w:rPr>
        <w:tab/>
      </w:r>
      <w:r w:rsidR="00350610" w:rsidRPr="00350610">
        <w:rPr>
          <w:rFonts w:eastAsia="Times New Roman"/>
          <w:color w:val="auto"/>
          <w:lang w:eastAsia="en-ZA"/>
        </w:rPr>
        <w:t xml:space="preserve">I now deal with the arrest and detention of the plaintiff from 12 to 15 November 2015. It is common cause that before effecting arrest, warrant officer </w:t>
      </w:r>
      <w:proofErr w:type="spellStart"/>
      <w:r w:rsidR="00350610" w:rsidRPr="00350610">
        <w:rPr>
          <w:rFonts w:eastAsia="Times New Roman"/>
          <w:color w:val="auto"/>
          <w:lang w:eastAsia="en-ZA"/>
        </w:rPr>
        <w:t>Ndzwaiba</w:t>
      </w:r>
      <w:proofErr w:type="spellEnd"/>
      <w:r w:rsidR="00350610" w:rsidRPr="00350610">
        <w:rPr>
          <w:rFonts w:eastAsia="Times New Roman"/>
          <w:color w:val="auto"/>
          <w:lang w:eastAsia="en-ZA"/>
        </w:rPr>
        <w:t xml:space="preserve"> was a peace officer. It is not in dispute that a teacher was killed </w:t>
      </w:r>
      <w:r w:rsidR="00273C4E">
        <w:rPr>
          <w:rFonts w:eastAsia="Times New Roman"/>
          <w:color w:val="auto"/>
          <w:lang w:eastAsia="en-ZA"/>
        </w:rPr>
        <w:t>o</w:t>
      </w:r>
      <w:r w:rsidR="00350610" w:rsidRPr="00350610">
        <w:rPr>
          <w:rFonts w:eastAsia="Times New Roman"/>
          <w:color w:val="auto"/>
          <w:lang w:eastAsia="en-ZA"/>
        </w:rPr>
        <w:t>n the school premises. In terms of the CPA</w:t>
      </w:r>
      <w:r w:rsidR="00273C4E">
        <w:rPr>
          <w:rFonts w:eastAsia="Times New Roman"/>
          <w:color w:val="auto"/>
          <w:lang w:eastAsia="en-ZA"/>
        </w:rPr>
        <w:t>,</w:t>
      </w:r>
      <w:r w:rsidR="00350610" w:rsidRPr="00350610">
        <w:rPr>
          <w:rFonts w:eastAsia="Times New Roman"/>
          <w:color w:val="auto"/>
          <w:lang w:eastAsia="en-ZA"/>
        </w:rPr>
        <w:t xml:space="preserve"> murder falls under Schedule 1, therefore it is fair to conclude that the peace officer entertained a suspicion that a Schedule 1 offence was committed.</w:t>
      </w:r>
    </w:p>
    <w:p w14:paraId="0FD65CB4" w14:textId="77777777" w:rsidR="00C218E3" w:rsidRDefault="00C218E3" w:rsidP="00350610">
      <w:pPr>
        <w:spacing w:after="200" w:line="480" w:lineRule="auto"/>
        <w:jc w:val="both"/>
        <w:rPr>
          <w:rFonts w:eastAsia="Times New Roman"/>
          <w:color w:val="auto"/>
          <w:lang w:eastAsia="en-ZA"/>
        </w:rPr>
      </w:pPr>
    </w:p>
    <w:p w14:paraId="77815196" w14:textId="690C16DF"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[49]</w:t>
      </w:r>
      <w:r>
        <w:rPr>
          <w:rFonts w:eastAsia="Times New Roman"/>
          <w:color w:val="auto"/>
          <w:lang w:eastAsia="en-ZA"/>
        </w:rPr>
        <w:tab/>
      </w:r>
      <w:r w:rsidR="00350610" w:rsidRPr="00350610">
        <w:rPr>
          <w:rFonts w:eastAsia="Times New Roman"/>
          <w:color w:val="auto"/>
          <w:lang w:eastAsia="en-ZA"/>
        </w:rPr>
        <w:t xml:space="preserve">The identity of the perpetrator(s) who killed the deceased was the mammoth task that the arresting officer was faced with. Seemingly the arresting officer had a suspicion that the plaintiff participated in the killing of the deceased. In this regard, the arresting officer relied on the alleged warning statements made by the other suspects. Considering his evidence, </w:t>
      </w:r>
      <w:proofErr w:type="gramStart"/>
      <w:r w:rsidR="00350610" w:rsidRPr="00350610">
        <w:rPr>
          <w:rFonts w:eastAsia="Times New Roman"/>
          <w:color w:val="auto"/>
          <w:lang w:eastAsia="en-ZA"/>
        </w:rPr>
        <w:t>it would seem that he</w:t>
      </w:r>
      <w:proofErr w:type="gramEnd"/>
      <w:r w:rsidR="00350610" w:rsidRPr="00350610">
        <w:rPr>
          <w:rFonts w:eastAsia="Times New Roman"/>
          <w:color w:val="auto"/>
          <w:lang w:eastAsia="en-ZA"/>
        </w:rPr>
        <w:t xml:space="preserve"> formulated a suspicion based on the alleged warning statements that the plaintiff was involved in the killing of the deceased hence he arrested him. </w:t>
      </w:r>
    </w:p>
    <w:p w14:paraId="7CC1CCBA" w14:textId="77777777" w:rsidR="00C33BE8" w:rsidRDefault="00C33BE8" w:rsidP="00350610">
      <w:pPr>
        <w:spacing w:after="200" w:line="480" w:lineRule="auto"/>
        <w:jc w:val="both"/>
        <w:rPr>
          <w:rFonts w:eastAsia="Times New Roman"/>
          <w:color w:val="auto"/>
          <w:lang w:eastAsia="en-ZA"/>
        </w:rPr>
      </w:pPr>
    </w:p>
    <w:p w14:paraId="3EB62B76" w14:textId="77777777" w:rsidR="00C218E3" w:rsidRDefault="00C33BE8" w:rsidP="00350610">
      <w:pPr>
        <w:spacing w:after="200" w:line="480" w:lineRule="auto"/>
        <w:jc w:val="both"/>
        <w:rPr>
          <w:rFonts w:eastAsia="Times New Roman"/>
          <w:color w:val="auto"/>
          <w:lang w:eastAsia="en-ZA"/>
        </w:rPr>
      </w:pPr>
      <w:r>
        <w:rPr>
          <w:rFonts w:eastAsia="Times New Roman"/>
          <w:color w:val="auto"/>
          <w:lang w:eastAsia="en-ZA"/>
        </w:rPr>
        <w:t>[50]</w:t>
      </w:r>
      <w:r>
        <w:rPr>
          <w:rFonts w:eastAsia="Times New Roman"/>
          <w:color w:val="auto"/>
          <w:lang w:eastAsia="en-ZA"/>
        </w:rPr>
        <w:tab/>
      </w:r>
      <w:r w:rsidR="00350610" w:rsidRPr="00350610">
        <w:rPr>
          <w:rFonts w:eastAsia="Times New Roman"/>
          <w:color w:val="auto"/>
          <w:lang w:eastAsia="en-ZA"/>
        </w:rPr>
        <w:t xml:space="preserve">The evidence presented </w:t>
      </w:r>
      <w:r w:rsidRPr="00350610">
        <w:rPr>
          <w:rFonts w:eastAsia="Times New Roman"/>
          <w:color w:val="auto"/>
          <w:lang w:eastAsia="en-ZA"/>
        </w:rPr>
        <w:t>demonstrates that</w:t>
      </w:r>
      <w:r w:rsidR="00350610" w:rsidRPr="00350610">
        <w:rPr>
          <w:rFonts w:eastAsia="Times New Roman"/>
          <w:color w:val="auto"/>
          <w:lang w:eastAsia="en-ZA"/>
        </w:rPr>
        <w:t xml:space="preserve"> Danti,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and </w:t>
      </w:r>
      <w:proofErr w:type="spellStart"/>
      <w:r w:rsidR="00350610" w:rsidRPr="00350610">
        <w:rPr>
          <w:rFonts w:eastAsia="Times New Roman"/>
          <w:color w:val="auto"/>
          <w:lang w:eastAsia="en-ZA"/>
        </w:rPr>
        <w:t>Silwana</w:t>
      </w:r>
      <w:proofErr w:type="spellEnd"/>
      <w:r w:rsidR="00350610" w:rsidRPr="00350610">
        <w:rPr>
          <w:rFonts w:eastAsia="Times New Roman"/>
          <w:color w:val="auto"/>
          <w:lang w:eastAsia="en-ZA"/>
        </w:rPr>
        <w:t xml:space="preserve"> were deaf and mute. The warning statements of Danti,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and </w:t>
      </w:r>
      <w:proofErr w:type="spellStart"/>
      <w:r w:rsidR="00350610" w:rsidRPr="00350610">
        <w:rPr>
          <w:rFonts w:eastAsia="Times New Roman"/>
          <w:color w:val="auto"/>
          <w:lang w:eastAsia="en-ZA"/>
        </w:rPr>
        <w:t>Silwana</w:t>
      </w:r>
      <w:proofErr w:type="spellEnd"/>
      <w:r w:rsidR="00350610" w:rsidRPr="00350610">
        <w:rPr>
          <w:rFonts w:eastAsia="Times New Roman"/>
          <w:color w:val="auto"/>
          <w:lang w:eastAsia="en-ZA"/>
        </w:rPr>
        <w:t xml:space="preserve"> were obtained by Sergeant </w:t>
      </w:r>
      <w:proofErr w:type="spellStart"/>
      <w:r w:rsidR="00350610" w:rsidRPr="00350610">
        <w:rPr>
          <w:rFonts w:eastAsia="Times New Roman"/>
          <w:color w:val="auto"/>
          <w:lang w:eastAsia="en-ZA"/>
        </w:rPr>
        <w:t>Ngqokoma</w:t>
      </w:r>
      <w:proofErr w:type="spellEnd"/>
      <w:r w:rsidR="00350610" w:rsidRPr="00350610">
        <w:rPr>
          <w:rFonts w:eastAsia="Times New Roman"/>
          <w:color w:val="auto"/>
          <w:lang w:eastAsia="en-ZA"/>
        </w:rPr>
        <w:t xml:space="preserve">. When the warning statements were obtained, it </w:t>
      </w:r>
      <w:r w:rsidR="00273C4E">
        <w:rPr>
          <w:rFonts w:eastAsia="Times New Roman"/>
          <w:color w:val="auto"/>
          <w:lang w:eastAsia="en-ZA"/>
        </w:rPr>
        <w:t>wa</w:t>
      </w:r>
      <w:r w:rsidR="00350610" w:rsidRPr="00350610">
        <w:rPr>
          <w:rFonts w:eastAsia="Times New Roman"/>
          <w:color w:val="auto"/>
          <w:lang w:eastAsia="en-ZA"/>
        </w:rPr>
        <w:t xml:space="preserve">s alleged that the services of a sign language interpreter were utilised. Before the arrest of the plaintiff, no certificate or a statement was obtained from the sign language interpreter to confirm the truth and correctness of the alleged warning statements. </w:t>
      </w:r>
    </w:p>
    <w:p w14:paraId="6AD635DD" w14:textId="77777777" w:rsidR="00C218E3" w:rsidRDefault="00C218E3" w:rsidP="00350610">
      <w:pPr>
        <w:spacing w:after="200" w:line="480" w:lineRule="auto"/>
        <w:jc w:val="both"/>
        <w:rPr>
          <w:rFonts w:eastAsia="Times New Roman"/>
          <w:color w:val="auto"/>
          <w:lang w:eastAsia="en-ZA"/>
        </w:rPr>
      </w:pPr>
    </w:p>
    <w:p w14:paraId="7EAF9064" w14:textId="687BA783"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lastRenderedPageBreak/>
        <w:t>[51]</w:t>
      </w:r>
      <w:r>
        <w:rPr>
          <w:rFonts w:eastAsia="Times New Roman"/>
          <w:color w:val="auto"/>
          <w:lang w:eastAsia="en-ZA"/>
        </w:rPr>
        <w:tab/>
      </w:r>
      <w:r w:rsidR="00350610" w:rsidRPr="00350610">
        <w:rPr>
          <w:rFonts w:eastAsia="Times New Roman"/>
          <w:color w:val="auto"/>
          <w:lang w:eastAsia="en-ZA"/>
        </w:rPr>
        <w:t xml:space="preserve">If a trier of fact were to make </w:t>
      </w:r>
      <w:r w:rsidR="00273C4E">
        <w:rPr>
          <w:rFonts w:eastAsia="Times New Roman"/>
          <w:color w:val="auto"/>
          <w:lang w:eastAsia="en-ZA"/>
        </w:rPr>
        <w:t xml:space="preserve">an </w:t>
      </w:r>
      <w:r w:rsidR="00350610" w:rsidRPr="00350610">
        <w:rPr>
          <w:rFonts w:eastAsia="Times New Roman"/>
          <w:color w:val="auto"/>
          <w:lang w:eastAsia="en-ZA"/>
        </w:rPr>
        <w:t>analysis o</w:t>
      </w:r>
      <w:r w:rsidR="00F90A77">
        <w:rPr>
          <w:rFonts w:eastAsia="Times New Roman"/>
          <w:color w:val="auto"/>
          <w:lang w:eastAsia="en-ZA"/>
        </w:rPr>
        <w:t>n</w:t>
      </w:r>
      <w:r w:rsidR="00350610" w:rsidRPr="00350610">
        <w:rPr>
          <w:rFonts w:eastAsia="Times New Roman"/>
          <w:color w:val="auto"/>
          <w:lang w:eastAsia="en-ZA"/>
        </w:rPr>
        <w:t xml:space="preserve"> the warning statements allegedly made, </w:t>
      </w:r>
      <w:proofErr w:type="spellStart"/>
      <w:r w:rsidR="00350610" w:rsidRPr="00350610">
        <w:rPr>
          <w:rFonts w:eastAsia="Times New Roman"/>
          <w:color w:val="auto"/>
          <w:lang w:eastAsia="en-ZA"/>
        </w:rPr>
        <w:t>Khimbili’s</w:t>
      </w:r>
      <w:proofErr w:type="spellEnd"/>
      <w:r w:rsidR="00350610" w:rsidRPr="00350610">
        <w:rPr>
          <w:rFonts w:eastAsia="Times New Roman"/>
          <w:color w:val="auto"/>
          <w:lang w:eastAsia="en-ZA"/>
        </w:rPr>
        <w:t xml:space="preserve"> statement, although highly incriminating falls short of a confession on a charge of murder because he denied having participated in the killing of the deceased. This having been said, if one were to evaluate the facts on a charge of</w:t>
      </w:r>
      <w:r w:rsidR="00C07AD9">
        <w:rPr>
          <w:rFonts w:eastAsia="Times New Roman"/>
          <w:color w:val="auto"/>
          <w:lang w:eastAsia="en-ZA"/>
        </w:rPr>
        <w:t xml:space="preserve"> </w:t>
      </w:r>
      <w:r w:rsidR="00350610" w:rsidRPr="00350610">
        <w:rPr>
          <w:rFonts w:eastAsia="Times New Roman"/>
          <w:color w:val="auto"/>
          <w:lang w:eastAsia="en-ZA"/>
        </w:rPr>
        <w:t xml:space="preserve">conspiracy to commit murder his statement would amount to an inadmissible confession because of the proviso in terms of Section 219 of the CPA which entails that a confession made by one person is inadmissible against the other. Similarly, the admissions allegedly made by Danti highlight some weaknesses.  </w:t>
      </w:r>
    </w:p>
    <w:p w14:paraId="304345DD" w14:textId="77777777" w:rsidR="00350610" w:rsidRPr="00350610" w:rsidRDefault="00350610" w:rsidP="00350610">
      <w:pPr>
        <w:spacing w:after="200" w:line="480" w:lineRule="auto"/>
        <w:jc w:val="both"/>
        <w:rPr>
          <w:rFonts w:eastAsia="Times New Roman"/>
          <w:color w:val="auto"/>
          <w:lang w:eastAsia="en-ZA"/>
        </w:rPr>
      </w:pPr>
    </w:p>
    <w:p w14:paraId="1FDBFABE" w14:textId="5BA24429"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[52]</w:t>
      </w:r>
      <w:r>
        <w:rPr>
          <w:rFonts w:eastAsia="Times New Roman"/>
          <w:color w:val="auto"/>
          <w:lang w:eastAsia="en-ZA"/>
        </w:rPr>
        <w:tab/>
      </w:r>
      <w:r w:rsidR="00350610" w:rsidRPr="00350610">
        <w:rPr>
          <w:rFonts w:eastAsia="Times New Roman"/>
          <w:color w:val="auto"/>
          <w:lang w:eastAsia="en-ZA"/>
        </w:rPr>
        <w:t xml:space="preserve">I recognize the judicial remarks made in </w:t>
      </w:r>
      <w:r w:rsidR="00273C4E">
        <w:rPr>
          <w:rFonts w:eastAsia="Times New Roman"/>
          <w:color w:val="auto"/>
          <w:lang w:eastAsia="en-ZA"/>
        </w:rPr>
        <w:t xml:space="preserve">the </w:t>
      </w:r>
      <w:r w:rsidR="00350610" w:rsidRPr="00EF3E4E">
        <w:rPr>
          <w:rFonts w:eastAsia="Times New Roman"/>
          <w:i/>
          <w:iCs/>
          <w:color w:val="auto"/>
          <w:lang w:eastAsia="en-ZA"/>
        </w:rPr>
        <w:t>Biyela</w:t>
      </w:r>
      <w:r w:rsidR="00350610" w:rsidRPr="00350610">
        <w:rPr>
          <w:rFonts w:eastAsia="Times New Roman"/>
          <w:color w:val="auto"/>
          <w:lang w:eastAsia="en-ZA"/>
        </w:rPr>
        <w:t xml:space="preserve"> matter that the standard of reasonableness is very low. In addition, I accept the submissions made by counsel for the 1st defendant that the admissibility of evidence is an issue to be decided by a trial </w:t>
      </w:r>
      <w:r w:rsidRPr="00350610">
        <w:rPr>
          <w:rFonts w:eastAsia="Times New Roman"/>
          <w:color w:val="auto"/>
          <w:lang w:eastAsia="en-ZA"/>
        </w:rPr>
        <w:t>court and</w:t>
      </w:r>
      <w:r w:rsidR="00350610" w:rsidRPr="00350610">
        <w:rPr>
          <w:rFonts w:eastAsia="Times New Roman"/>
          <w:color w:val="auto"/>
          <w:lang w:eastAsia="en-ZA"/>
        </w:rPr>
        <w:t xml:space="preserve"> may not be relevant for the determination of whether the arresting officer at the time of arrest harboured a reasonable suspicion that the arrested person committed a Schedule 1 offence. I am also alive to the fact that an arresting officer could not be expected to use the same expertise that a court would when evaluating the evidence before it.</w:t>
      </w:r>
    </w:p>
    <w:p w14:paraId="58DA052B" w14:textId="77777777" w:rsidR="00C33BE8" w:rsidRDefault="00C33BE8" w:rsidP="00350610">
      <w:pPr>
        <w:spacing w:after="200" w:line="480" w:lineRule="auto"/>
        <w:jc w:val="both"/>
        <w:rPr>
          <w:rFonts w:eastAsia="Times New Roman"/>
          <w:color w:val="auto"/>
          <w:lang w:eastAsia="en-ZA"/>
        </w:rPr>
      </w:pPr>
    </w:p>
    <w:p w14:paraId="0664EBFF" w14:textId="138D0C0B"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[53]</w:t>
      </w:r>
      <w:r>
        <w:rPr>
          <w:rFonts w:eastAsia="Times New Roman"/>
          <w:color w:val="auto"/>
          <w:lang w:eastAsia="en-ZA"/>
        </w:rPr>
        <w:tab/>
      </w:r>
      <w:r w:rsidR="00350610" w:rsidRPr="00350610">
        <w:rPr>
          <w:rFonts w:eastAsia="Times New Roman"/>
          <w:color w:val="auto"/>
          <w:lang w:eastAsia="en-ZA"/>
        </w:rPr>
        <w:t xml:space="preserve">This notwithstanding, it must be borne in mind that reasonableness is assessed </w:t>
      </w:r>
      <w:r w:rsidRPr="00350610">
        <w:rPr>
          <w:rFonts w:eastAsia="Times New Roman"/>
          <w:color w:val="auto"/>
          <w:lang w:eastAsia="en-ZA"/>
        </w:rPr>
        <w:t>objectively,</w:t>
      </w:r>
      <w:r w:rsidR="00350610" w:rsidRPr="00350610">
        <w:rPr>
          <w:rFonts w:eastAsia="Times New Roman"/>
          <w:color w:val="auto"/>
          <w:lang w:eastAsia="en-ZA"/>
        </w:rPr>
        <w:t xml:space="preserve"> and each case is </w:t>
      </w:r>
      <w:r w:rsidR="00CA0EBD">
        <w:rPr>
          <w:rFonts w:eastAsia="Times New Roman"/>
          <w:color w:val="auto"/>
          <w:lang w:eastAsia="en-ZA"/>
        </w:rPr>
        <w:t>decided</w:t>
      </w:r>
      <w:r w:rsidR="00350610" w:rsidRPr="00350610">
        <w:rPr>
          <w:rFonts w:eastAsia="Times New Roman"/>
          <w:color w:val="auto"/>
          <w:lang w:eastAsia="en-ZA"/>
        </w:rPr>
        <w:t xml:space="preserve"> on its</w:t>
      </w:r>
      <w:r w:rsidR="00CA0EBD">
        <w:rPr>
          <w:rFonts w:eastAsia="Times New Roman"/>
          <w:color w:val="auto"/>
          <w:lang w:eastAsia="en-ZA"/>
        </w:rPr>
        <w:t xml:space="preserve"> own</w:t>
      </w:r>
      <w:r w:rsidR="00350610" w:rsidRPr="00350610">
        <w:rPr>
          <w:rFonts w:eastAsia="Times New Roman"/>
          <w:color w:val="auto"/>
          <w:lang w:eastAsia="en-ZA"/>
        </w:rPr>
        <w:t xml:space="preserve"> facts. The case under consideration has its distinguishing features. With respect, counsel for the 1st defendant omitted to deliberate that the court in Biyela qualified its remarks. In that matter</w:t>
      </w:r>
      <w:r w:rsidR="00273C4E">
        <w:rPr>
          <w:rFonts w:eastAsia="Times New Roman"/>
          <w:color w:val="auto"/>
          <w:lang w:eastAsia="en-ZA"/>
        </w:rPr>
        <w:t>,</w:t>
      </w:r>
      <w:r w:rsidR="00350610" w:rsidRPr="00350610">
        <w:rPr>
          <w:rFonts w:eastAsia="Times New Roman"/>
          <w:color w:val="auto"/>
          <w:lang w:eastAsia="en-ZA"/>
        </w:rPr>
        <w:t xml:space="preserve"> the court held that in order for a suspicion to be reasonable, </w:t>
      </w:r>
      <w:r w:rsidR="00661CBD">
        <w:rPr>
          <w:rFonts w:eastAsia="Times New Roman"/>
          <w:color w:val="auto"/>
          <w:lang w:eastAsia="en-ZA"/>
        </w:rPr>
        <w:t xml:space="preserve">it must be </w:t>
      </w:r>
      <w:r w:rsidR="00350610" w:rsidRPr="00350610">
        <w:rPr>
          <w:rFonts w:eastAsia="Times New Roman"/>
          <w:color w:val="auto"/>
          <w:lang w:eastAsia="en-ZA"/>
        </w:rPr>
        <w:t xml:space="preserve">based on specific and articulable </w:t>
      </w:r>
      <w:r w:rsidR="00350610" w:rsidRPr="00350610">
        <w:rPr>
          <w:rFonts w:eastAsia="Times New Roman"/>
          <w:color w:val="auto"/>
          <w:lang w:eastAsia="en-ZA"/>
        </w:rPr>
        <w:lastRenderedPageBreak/>
        <w:t xml:space="preserve">facts or information. The court eloquently </w:t>
      </w:r>
      <w:r w:rsidR="00273C4E">
        <w:rPr>
          <w:rFonts w:eastAsia="Times New Roman"/>
          <w:color w:val="auto"/>
          <w:lang w:eastAsia="en-ZA"/>
        </w:rPr>
        <w:t>stated</w:t>
      </w:r>
      <w:r w:rsidR="00350610" w:rsidRPr="00350610">
        <w:rPr>
          <w:rFonts w:eastAsia="Times New Roman"/>
          <w:color w:val="auto"/>
          <w:lang w:eastAsia="en-ZA"/>
        </w:rPr>
        <w:t xml:space="preserve"> that the source of information must be credible and trustworthy.</w:t>
      </w:r>
    </w:p>
    <w:p w14:paraId="68BE424B" w14:textId="77777777" w:rsidR="00350610" w:rsidRPr="00350610" w:rsidRDefault="00350610" w:rsidP="00350610">
      <w:pPr>
        <w:spacing w:after="200" w:line="480" w:lineRule="auto"/>
        <w:jc w:val="both"/>
        <w:rPr>
          <w:rFonts w:eastAsia="Times New Roman"/>
          <w:color w:val="auto"/>
          <w:lang w:eastAsia="en-ZA"/>
        </w:rPr>
      </w:pPr>
    </w:p>
    <w:p w14:paraId="66021AF9" w14:textId="746450C4" w:rsidR="00350610" w:rsidRDefault="00C33BE8" w:rsidP="00350610">
      <w:pPr>
        <w:spacing w:after="200" w:line="480" w:lineRule="auto"/>
        <w:jc w:val="both"/>
        <w:rPr>
          <w:rFonts w:eastAsia="Times New Roman"/>
          <w:color w:val="auto"/>
          <w:lang w:eastAsia="en-ZA"/>
        </w:rPr>
      </w:pPr>
      <w:r>
        <w:rPr>
          <w:rFonts w:eastAsia="Times New Roman"/>
          <w:color w:val="auto"/>
          <w:lang w:eastAsia="en-ZA"/>
        </w:rPr>
        <w:t>[54]</w:t>
      </w:r>
      <w:r>
        <w:rPr>
          <w:rFonts w:eastAsia="Times New Roman"/>
          <w:color w:val="auto"/>
          <w:lang w:eastAsia="en-ZA"/>
        </w:rPr>
        <w:tab/>
      </w:r>
      <w:r w:rsidR="00350610" w:rsidRPr="00350610">
        <w:rPr>
          <w:rFonts w:eastAsia="Times New Roman"/>
          <w:color w:val="auto"/>
          <w:lang w:eastAsia="en-ZA"/>
        </w:rPr>
        <w:t xml:space="preserve">Considering the evidence of the public prosecutor, the tremendous pressure that the members of the SAPS and the NPA found them in when the teacher was killed in the school premises might have led to desperation to arrest the plaintiff come what may. In support of this statement, the information implicating the plaintiff was obtained from the suspects whom the plaintiff described as naughty and troublesome boys in the school. This fact was never placed in dispute by the 1st defendant. Their warning statements are not sworn statements and a concession was made that their statements carry less probative weight than the sworn statements. To further substantiate that SAPS was under tremendous pressure to arrest, the plaintiff was even induced to confess or admit the allegation and failure to do </w:t>
      </w:r>
      <w:r w:rsidR="00273C4E">
        <w:rPr>
          <w:rFonts w:eastAsia="Times New Roman"/>
          <w:color w:val="auto"/>
          <w:lang w:eastAsia="en-ZA"/>
        </w:rPr>
        <w:t xml:space="preserve">so </w:t>
      </w:r>
      <w:r w:rsidR="00350610" w:rsidRPr="00350610">
        <w:rPr>
          <w:rFonts w:eastAsia="Times New Roman"/>
          <w:color w:val="auto"/>
          <w:lang w:eastAsia="en-ZA"/>
        </w:rPr>
        <w:t xml:space="preserve">would lead </w:t>
      </w:r>
      <w:r w:rsidR="00273C4E">
        <w:rPr>
          <w:rFonts w:eastAsia="Times New Roman"/>
          <w:color w:val="auto"/>
          <w:lang w:eastAsia="en-ZA"/>
        </w:rPr>
        <w:t>to</w:t>
      </w:r>
      <w:r w:rsidR="00350610" w:rsidRPr="00350610">
        <w:rPr>
          <w:rFonts w:eastAsia="Times New Roman"/>
          <w:color w:val="auto"/>
          <w:lang w:eastAsia="en-ZA"/>
        </w:rPr>
        <w:t xml:space="preserve"> him being denied bail.</w:t>
      </w:r>
    </w:p>
    <w:p w14:paraId="477B6FB4" w14:textId="77777777" w:rsidR="00C218E3" w:rsidRPr="00350610" w:rsidRDefault="00C218E3" w:rsidP="00350610">
      <w:pPr>
        <w:spacing w:after="200" w:line="480" w:lineRule="auto"/>
        <w:jc w:val="both"/>
        <w:rPr>
          <w:rFonts w:eastAsia="Times New Roman"/>
          <w:color w:val="auto"/>
          <w:lang w:eastAsia="en-ZA"/>
        </w:rPr>
      </w:pPr>
    </w:p>
    <w:p w14:paraId="1AA7885F" w14:textId="14D04D5D" w:rsidR="009114C6" w:rsidRDefault="00C33BE8" w:rsidP="00350610">
      <w:pPr>
        <w:spacing w:after="200" w:line="480" w:lineRule="auto"/>
        <w:jc w:val="both"/>
        <w:rPr>
          <w:rFonts w:eastAsia="Times New Roman"/>
          <w:color w:val="auto"/>
          <w:lang w:eastAsia="en-ZA"/>
        </w:rPr>
      </w:pPr>
      <w:r>
        <w:rPr>
          <w:rFonts w:eastAsia="Times New Roman"/>
          <w:color w:val="auto"/>
          <w:lang w:eastAsia="en-ZA"/>
        </w:rPr>
        <w:t>[55]</w:t>
      </w:r>
      <w:r>
        <w:rPr>
          <w:rFonts w:eastAsia="Times New Roman"/>
          <w:color w:val="auto"/>
          <w:lang w:eastAsia="en-ZA"/>
        </w:rPr>
        <w:tab/>
      </w:r>
      <w:proofErr w:type="spellStart"/>
      <w:r w:rsidR="00350610" w:rsidRPr="00350610">
        <w:rPr>
          <w:rFonts w:eastAsia="Times New Roman"/>
          <w:color w:val="auto"/>
          <w:lang w:eastAsia="en-ZA"/>
        </w:rPr>
        <w:t>Ndziwela</w:t>
      </w:r>
      <w:proofErr w:type="spellEnd"/>
      <w:r w:rsidR="00350610" w:rsidRPr="00350610">
        <w:rPr>
          <w:rFonts w:eastAsia="Times New Roman"/>
          <w:color w:val="auto"/>
          <w:lang w:eastAsia="en-ZA"/>
        </w:rPr>
        <w:t xml:space="preserve"> who gave a detailed sworn statement to the police declared what he observed and never implicated the plaintiff </w:t>
      </w:r>
      <w:r w:rsidR="00273C4E">
        <w:rPr>
          <w:rFonts w:eastAsia="Times New Roman"/>
          <w:color w:val="auto"/>
          <w:lang w:eastAsia="en-ZA"/>
        </w:rPr>
        <w:t>in</w:t>
      </w:r>
      <w:r w:rsidR="00350610" w:rsidRPr="00350610">
        <w:rPr>
          <w:rFonts w:eastAsia="Times New Roman"/>
          <w:color w:val="auto"/>
          <w:lang w:eastAsia="en-ZA"/>
        </w:rPr>
        <w:t xml:space="preserve"> the killing of the deceased. He categorically identified all the suspects by their names. In my consi</w:t>
      </w:r>
      <w:r w:rsidR="00F90A77">
        <w:rPr>
          <w:rFonts w:eastAsia="Times New Roman"/>
          <w:color w:val="auto"/>
          <w:lang w:eastAsia="en-ZA"/>
        </w:rPr>
        <w:t xml:space="preserve">dered opinion, the </w:t>
      </w:r>
      <w:r w:rsidR="00350610" w:rsidRPr="00350610">
        <w:rPr>
          <w:rFonts w:eastAsia="Times New Roman"/>
          <w:color w:val="auto"/>
          <w:lang w:eastAsia="en-ZA"/>
        </w:rPr>
        <w:t>warning statements which were</w:t>
      </w:r>
      <w:r w:rsidR="00661CBD">
        <w:rPr>
          <w:rFonts w:eastAsia="Times New Roman"/>
          <w:color w:val="auto"/>
          <w:lang w:eastAsia="en-ZA"/>
        </w:rPr>
        <w:t xml:space="preserve"> allegedly</w:t>
      </w:r>
      <w:r w:rsidR="00350610" w:rsidRPr="00350610">
        <w:rPr>
          <w:rFonts w:eastAsia="Times New Roman"/>
          <w:color w:val="auto"/>
          <w:lang w:eastAsia="en-ZA"/>
        </w:rPr>
        <w:t xml:space="preserve"> obtained from Danti, and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highlighted a weakness that the suspicion was not a reasonable one. Gleaning from his evidence, the arresting officer was in limbo pertaining to the circumstances under which these warning statements were obtained. </w:t>
      </w:r>
      <w:r w:rsidR="009114C6">
        <w:rPr>
          <w:rFonts w:eastAsia="Times New Roman"/>
          <w:color w:val="auto"/>
          <w:lang w:eastAsia="en-ZA"/>
        </w:rPr>
        <w:t>I therefore conclude that the information where the suspicion was formulated was untrustworthy and unreliable.</w:t>
      </w:r>
    </w:p>
    <w:p w14:paraId="7DC9CEB6" w14:textId="73E286F9" w:rsidR="00350610" w:rsidRPr="00350610" w:rsidRDefault="009114C6" w:rsidP="00350610">
      <w:pPr>
        <w:spacing w:after="200" w:line="480" w:lineRule="auto"/>
        <w:jc w:val="both"/>
        <w:rPr>
          <w:rFonts w:eastAsia="Times New Roman"/>
          <w:color w:val="auto"/>
          <w:lang w:eastAsia="en-ZA"/>
        </w:rPr>
      </w:pPr>
      <w:r>
        <w:rPr>
          <w:rFonts w:eastAsia="Times New Roman"/>
          <w:color w:val="auto"/>
          <w:lang w:eastAsia="en-ZA"/>
        </w:rPr>
        <w:t>[56]</w:t>
      </w:r>
      <w:r w:rsidR="00245D21">
        <w:rPr>
          <w:rFonts w:eastAsia="Times New Roman"/>
          <w:color w:val="auto"/>
          <w:lang w:eastAsia="en-ZA"/>
        </w:rPr>
        <w:tab/>
      </w:r>
      <w:r w:rsidR="00350610" w:rsidRPr="00350610">
        <w:rPr>
          <w:rFonts w:eastAsia="Times New Roman"/>
          <w:color w:val="auto"/>
          <w:lang w:eastAsia="en-ZA"/>
        </w:rPr>
        <w:t xml:space="preserve">It is my view that before effecting arrest, the arresting officer ought to have obtained information from the sign language interpreter that was utilised when the </w:t>
      </w:r>
      <w:r w:rsidR="00350610" w:rsidRPr="00350610">
        <w:rPr>
          <w:rFonts w:eastAsia="Times New Roman"/>
          <w:color w:val="auto"/>
          <w:lang w:eastAsia="en-ZA"/>
        </w:rPr>
        <w:lastRenderedPageBreak/>
        <w:t xml:space="preserve">warning statements were obtained. This would have assisted him in confirming the truth and correctness of the warning statements made by </w:t>
      </w:r>
      <w:proofErr w:type="spellStart"/>
      <w:r w:rsidR="00350610" w:rsidRPr="00350610">
        <w:rPr>
          <w:rFonts w:eastAsia="Times New Roman"/>
          <w:color w:val="auto"/>
          <w:lang w:eastAsia="en-ZA"/>
        </w:rPr>
        <w:t>Khimbili</w:t>
      </w:r>
      <w:proofErr w:type="spellEnd"/>
      <w:r w:rsidR="00350610" w:rsidRPr="00350610">
        <w:rPr>
          <w:rFonts w:eastAsia="Times New Roman"/>
          <w:color w:val="auto"/>
          <w:lang w:eastAsia="en-ZA"/>
        </w:rPr>
        <w:t xml:space="preserve">, and Danti. Alternatively, Sergeant </w:t>
      </w:r>
      <w:proofErr w:type="spellStart"/>
      <w:r w:rsidR="00350610" w:rsidRPr="00350610">
        <w:rPr>
          <w:rFonts w:eastAsia="Times New Roman"/>
          <w:color w:val="auto"/>
          <w:lang w:eastAsia="en-ZA"/>
        </w:rPr>
        <w:t>Ngqokoma</w:t>
      </w:r>
      <w:proofErr w:type="spellEnd"/>
      <w:r w:rsidR="00350610" w:rsidRPr="00350610">
        <w:rPr>
          <w:rFonts w:eastAsia="Times New Roman"/>
          <w:color w:val="auto"/>
          <w:lang w:eastAsia="en-ZA"/>
        </w:rPr>
        <w:t xml:space="preserve"> ought to have been called to testify before this court and clarify all the obscurities. Most importantly, the arresting officer ought to have arranged a sign language interpreter and personally interviewed the suspects that implicated the plaintiff in the commission of the crime of murder.</w:t>
      </w:r>
    </w:p>
    <w:p w14:paraId="4260D971" w14:textId="77777777" w:rsidR="00C33BE8" w:rsidRDefault="00C33BE8" w:rsidP="00350610">
      <w:pPr>
        <w:spacing w:after="200" w:line="480" w:lineRule="auto"/>
        <w:jc w:val="both"/>
        <w:rPr>
          <w:rFonts w:eastAsia="Times New Roman"/>
          <w:color w:val="auto"/>
          <w:lang w:eastAsia="en-ZA"/>
        </w:rPr>
      </w:pPr>
    </w:p>
    <w:p w14:paraId="6596084F" w14:textId="7B007E19"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[5</w:t>
      </w:r>
      <w:r w:rsidR="009114C6">
        <w:rPr>
          <w:rFonts w:eastAsia="Times New Roman"/>
          <w:color w:val="auto"/>
          <w:lang w:eastAsia="en-ZA"/>
        </w:rPr>
        <w:t>7</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In my view, this is the case where the arresting officer ought to have investigated the quality of the information first, verified it where it needs to be verified and exercised his discretion whether to arrest the plaintiff or not. I therefore conclude that the information that the arresting officer had was scant and a high degree of circumspection was required. The suspicion was in my respectful opinion groundless and the discretion to arrest was exercised irrationally.</w:t>
      </w:r>
    </w:p>
    <w:p w14:paraId="47C9B7C8" w14:textId="77777777" w:rsidR="00350610" w:rsidRPr="00350610" w:rsidRDefault="00350610" w:rsidP="00350610">
      <w:pPr>
        <w:spacing w:after="200" w:line="480" w:lineRule="auto"/>
        <w:jc w:val="both"/>
        <w:rPr>
          <w:rFonts w:eastAsia="Times New Roman"/>
          <w:color w:val="auto"/>
          <w:lang w:eastAsia="en-ZA"/>
        </w:rPr>
      </w:pPr>
    </w:p>
    <w:p w14:paraId="62725669" w14:textId="77777777" w:rsidR="00C218E3" w:rsidRDefault="00C33BE8" w:rsidP="00350610">
      <w:pPr>
        <w:spacing w:after="200" w:line="480" w:lineRule="auto"/>
        <w:jc w:val="both"/>
        <w:rPr>
          <w:rFonts w:eastAsia="Times New Roman"/>
          <w:color w:val="auto"/>
          <w:lang w:eastAsia="en-ZA"/>
        </w:rPr>
      </w:pPr>
      <w:r>
        <w:rPr>
          <w:rFonts w:eastAsia="Times New Roman"/>
          <w:color w:val="auto"/>
          <w:lang w:eastAsia="en-ZA"/>
        </w:rPr>
        <w:t>[5</w:t>
      </w:r>
      <w:r w:rsidR="00F80807">
        <w:rPr>
          <w:rFonts w:eastAsia="Times New Roman"/>
          <w:color w:val="auto"/>
          <w:lang w:eastAsia="en-ZA"/>
        </w:rPr>
        <w:t>8</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I am not in agreement with the counsel for the plaintiff’s assertions that the plaintiff was never brought to court within 48 hours from the time of arrest. The 48-hour period fell on a weekend and the plaintiff was brought to court as soon as it was reasonabl</w:t>
      </w:r>
      <w:r w:rsidR="00273C4E">
        <w:rPr>
          <w:rFonts w:eastAsia="Times New Roman"/>
          <w:color w:val="auto"/>
          <w:lang w:eastAsia="en-ZA"/>
        </w:rPr>
        <w:t>y</w:t>
      </w:r>
      <w:r w:rsidR="00350610" w:rsidRPr="00350610">
        <w:rPr>
          <w:rFonts w:eastAsia="Times New Roman"/>
          <w:color w:val="auto"/>
          <w:lang w:eastAsia="en-ZA"/>
        </w:rPr>
        <w:t xml:space="preserve"> possible to do so. Despite all this, I find that the 1st defendant failed to justify the plaintiff’s arrest on a balance of probabilities. It then follows that the detention of the plaintiff from the period 12 to 15 November 2015 was unlawful. </w:t>
      </w:r>
    </w:p>
    <w:p w14:paraId="57778994" w14:textId="77777777" w:rsidR="00C218E3" w:rsidRDefault="00C218E3" w:rsidP="00350610">
      <w:pPr>
        <w:spacing w:after="200" w:line="480" w:lineRule="auto"/>
        <w:jc w:val="both"/>
        <w:rPr>
          <w:rFonts w:eastAsia="Times New Roman"/>
          <w:color w:val="auto"/>
          <w:lang w:eastAsia="en-ZA"/>
        </w:rPr>
      </w:pPr>
    </w:p>
    <w:p w14:paraId="4D55AAD9" w14:textId="5E78BFB2"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[5</w:t>
      </w:r>
      <w:r w:rsidR="00F80807">
        <w:rPr>
          <w:rFonts w:eastAsia="Times New Roman"/>
          <w:color w:val="auto"/>
          <w:lang w:eastAsia="en-ZA"/>
        </w:rPr>
        <w:t>9</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I proce</w:t>
      </w:r>
      <w:r w:rsidR="00273C4E">
        <w:rPr>
          <w:rFonts w:eastAsia="Times New Roman"/>
          <w:color w:val="auto"/>
          <w:lang w:eastAsia="en-ZA"/>
        </w:rPr>
        <w:t>ed</w:t>
      </w:r>
      <w:r w:rsidR="00350610" w:rsidRPr="00350610">
        <w:rPr>
          <w:rFonts w:eastAsia="Times New Roman"/>
          <w:color w:val="auto"/>
          <w:lang w:eastAsia="en-ZA"/>
        </w:rPr>
        <w:t xml:space="preserve"> to deal with the detention of the plaintiff from 16 November 2015 to 26 February 2016. The magistrate’s court record</w:t>
      </w:r>
      <w:r w:rsidR="00661CBD">
        <w:rPr>
          <w:rFonts w:eastAsia="Times New Roman"/>
          <w:color w:val="auto"/>
          <w:lang w:eastAsia="en-ZA"/>
        </w:rPr>
        <w:t xml:space="preserve"> exhibits</w:t>
      </w:r>
      <w:r w:rsidR="00350610" w:rsidRPr="00350610">
        <w:rPr>
          <w:rFonts w:eastAsia="Times New Roman"/>
          <w:color w:val="auto"/>
          <w:lang w:eastAsia="en-ZA"/>
        </w:rPr>
        <w:t xml:space="preserve"> that on his first appearance in court, the plaintiff was advised of his rights to apply for bail and legal representative. He </w:t>
      </w:r>
      <w:r w:rsidR="00350610" w:rsidRPr="00350610">
        <w:rPr>
          <w:rFonts w:eastAsia="Times New Roman"/>
          <w:color w:val="auto"/>
          <w:lang w:eastAsia="en-ZA"/>
        </w:rPr>
        <w:lastRenderedPageBreak/>
        <w:t xml:space="preserve">was formally informed of the charges preferred against him. He elected to apply for legal aid. The matter was postponed </w:t>
      </w:r>
      <w:r w:rsidR="00273C4E">
        <w:rPr>
          <w:rFonts w:eastAsia="Times New Roman"/>
          <w:color w:val="auto"/>
          <w:lang w:eastAsia="en-ZA"/>
        </w:rPr>
        <w:t>on</w:t>
      </w:r>
      <w:r w:rsidR="00350610" w:rsidRPr="00350610">
        <w:rPr>
          <w:rFonts w:eastAsia="Times New Roman"/>
          <w:color w:val="auto"/>
          <w:lang w:eastAsia="en-ZA"/>
        </w:rPr>
        <w:t xml:space="preserve"> numerous occasions until he was released on 26 February 2016. The plaintiff conceded that the delays in the matter were not at the instance of the NDPP. The undisputed evidence is that four postponements were occasioned by the absence of the services of the sign language interpreter which delay, if proved, can only be imputed to the </w:t>
      </w:r>
      <w:proofErr w:type="spellStart"/>
      <w:r w:rsidR="00350610" w:rsidRPr="00350610">
        <w:rPr>
          <w:rFonts w:eastAsia="Times New Roman"/>
          <w:color w:val="auto"/>
          <w:lang w:eastAsia="en-ZA"/>
        </w:rPr>
        <w:t>DoJ</w:t>
      </w:r>
      <w:proofErr w:type="spellEnd"/>
      <w:r w:rsidR="00350610" w:rsidRPr="00350610">
        <w:rPr>
          <w:rFonts w:eastAsia="Times New Roman"/>
          <w:color w:val="auto"/>
          <w:lang w:eastAsia="en-ZA"/>
        </w:rPr>
        <w:t xml:space="preserve">. The absence of the legal aid attorney and the unavailability of the presiding officer to conduct bail proceedings also caused some delays </w:t>
      </w:r>
      <w:r w:rsidR="00273C4E">
        <w:rPr>
          <w:rFonts w:eastAsia="Times New Roman"/>
          <w:color w:val="auto"/>
          <w:lang w:eastAsia="en-ZA"/>
        </w:rPr>
        <w:t>in</w:t>
      </w:r>
      <w:r w:rsidR="00350610" w:rsidRPr="00350610">
        <w:rPr>
          <w:rFonts w:eastAsia="Times New Roman"/>
          <w:color w:val="auto"/>
          <w:lang w:eastAsia="en-ZA"/>
        </w:rPr>
        <w:t xml:space="preserve"> the matter. The public prosecutor was always ready to proceed with the bail hearing.</w:t>
      </w:r>
    </w:p>
    <w:p w14:paraId="6A882E3B" w14:textId="77777777" w:rsidR="00350610" w:rsidRPr="00350610" w:rsidRDefault="00350610" w:rsidP="00350610">
      <w:pPr>
        <w:spacing w:after="200" w:line="480" w:lineRule="auto"/>
        <w:jc w:val="both"/>
        <w:rPr>
          <w:rFonts w:eastAsia="Times New Roman"/>
          <w:color w:val="auto"/>
          <w:lang w:eastAsia="en-ZA"/>
        </w:rPr>
      </w:pPr>
    </w:p>
    <w:p w14:paraId="2EF20E22" w14:textId="39CF2622"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w:t>
      </w:r>
      <w:r w:rsidR="00F80807">
        <w:rPr>
          <w:rFonts w:eastAsia="Times New Roman"/>
          <w:color w:val="auto"/>
          <w:lang w:eastAsia="en-ZA"/>
        </w:rPr>
        <w:t>60</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The magistrate was advised that the offence was allegedly committed by a group of persons acting </w:t>
      </w:r>
      <w:r w:rsidR="00273C4E">
        <w:rPr>
          <w:rFonts w:eastAsia="Times New Roman"/>
          <w:color w:val="auto"/>
          <w:lang w:eastAsia="en-ZA"/>
        </w:rPr>
        <w:t>for</w:t>
      </w:r>
      <w:r w:rsidR="00350610" w:rsidRPr="00350610">
        <w:rPr>
          <w:rFonts w:eastAsia="Times New Roman"/>
          <w:color w:val="auto"/>
          <w:lang w:eastAsia="en-ZA"/>
        </w:rPr>
        <w:t xml:space="preserve"> </w:t>
      </w:r>
      <w:r w:rsidR="00273C4E">
        <w:rPr>
          <w:rFonts w:eastAsia="Times New Roman"/>
          <w:color w:val="auto"/>
          <w:lang w:eastAsia="en-ZA"/>
        </w:rPr>
        <w:t xml:space="preserve">a </w:t>
      </w:r>
      <w:r w:rsidR="00350610" w:rsidRPr="00350610">
        <w:rPr>
          <w:rFonts w:eastAsia="Times New Roman"/>
          <w:color w:val="auto"/>
          <w:lang w:eastAsia="en-ZA"/>
        </w:rPr>
        <w:t xml:space="preserve">common purpose. It is common cause that the magistrate was further informed that the matter was planned or premeditated. In terms of bail </w:t>
      </w:r>
      <w:r w:rsidRPr="00350610">
        <w:rPr>
          <w:rFonts w:eastAsia="Times New Roman"/>
          <w:color w:val="auto"/>
          <w:lang w:eastAsia="en-ZA"/>
        </w:rPr>
        <w:t>legislation,</w:t>
      </w:r>
      <w:r w:rsidR="00350610" w:rsidRPr="00350610">
        <w:rPr>
          <w:rFonts w:eastAsia="Times New Roman"/>
          <w:color w:val="auto"/>
          <w:lang w:eastAsia="en-ZA"/>
        </w:rPr>
        <w:t xml:space="preserve"> the plaintiff was faced with a Schedule 6 offence. Section 60(11) (a) of the CPA reads:</w:t>
      </w:r>
    </w:p>
    <w:p w14:paraId="1714F3AA" w14:textId="66483C12" w:rsidR="00350610" w:rsidRPr="00EF3E4E" w:rsidRDefault="00C33BE8"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w:t>
      </w:r>
      <w:r w:rsidR="00350610" w:rsidRPr="00EF3E4E">
        <w:rPr>
          <w:rFonts w:eastAsia="Times New Roman"/>
          <w:color w:val="auto"/>
          <w:sz w:val="20"/>
          <w:szCs w:val="20"/>
          <w:lang w:eastAsia="en-ZA"/>
        </w:rPr>
        <w:t>Notwithstanding any provision of this Act, where an accused is charged with an offence referred to-(a) 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 of justice permit his or her release</w:t>
      </w:r>
      <w:r w:rsidRPr="00EF3E4E">
        <w:rPr>
          <w:rFonts w:eastAsia="Times New Roman"/>
          <w:color w:val="auto"/>
          <w:sz w:val="20"/>
          <w:szCs w:val="20"/>
          <w:lang w:eastAsia="en-ZA"/>
        </w:rPr>
        <w:t>”</w:t>
      </w:r>
      <w:r w:rsidR="00350610" w:rsidRPr="00EF3E4E">
        <w:rPr>
          <w:rFonts w:eastAsia="Times New Roman"/>
          <w:color w:val="auto"/>
          <w:sz w:val="20"/>
          <w:szCs w:val="20"/>
          <w:lang w:eastAsia="en-ZA"/>
        </w:rPr>
        <w:t xml:space="preserve"> (emphasis added)</w:t>
      </w:r>
    </w:p>
    <w:p w14:paraId="1421FF9E" w14:textId="77777777" w:rsidR="00C33BE8" w:rsidRDefault="00C33BE8" w:rsidP="00350610">
      <w:pPr>
        <w:spacing w:after="200" w:line="480" w:lineRule="auto"/>
        <w:jc w:val="both"/>
        <w:rPr>
          <w:rFonts w:eastAsia="Times New Roman"/>
          <w:color w:val="auto"/>
          <w:lang w:eastAsia="en-ZA"/>
        </w:rPr>
      </w:pPr>
    </w:p>
    <w:p w14:paraId="06BE3394" w14:textId="137A1E38" w:rsidR="00C33BE8"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1</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The word ‘shall’ </w:t>
      </w:r>
      <w:proofErr w:type="gramStart"/>
      <w:r w:rsidRPr="00350610">
        <w:rPr>
          <w:rFonts w:eastAsia="Times New Roman"/>
          <w:color w:val="auto"/>
          <w:lang w:eastAsia="en-ZA"/>
        </w:rPr>
        <w:t>demonstrate</w:t>
      </w:r>
      <w:r w:rsidR="00273C4E">
        <w:rPr>
          <w:rFonts w:eastAsia="Times New Roman"/>
          <w:color w:val="auto"/>
          <w:lang w:eastAsia="en-ZA"/>
        </w:rPr>
        <w:t>s</w:t>
      </w:r>
      <w:proofErr w:type="gramEnd"/>
      <w:r w:rsidR="00350610" w:rsidRPr="00350610">
        <w:rPr>
          <w:rFonts w:eastAsia="Times New Roman"/>
          <w:color w:val="auto"/>
          <w:lang w:eastAsia="en-ZA"/>
        </w:rPr>
        <w:t xml:space="preserve"> that the detention is </w:t>
      </w:r>
      <w:r w:rsidRPr="00350610">
        <w:rPr>
          <w:rFonts w:eastAsia="Times New Roman"/>
          <w:color w:val="auto"/>
          <w:lang w:eastAsia="en-ZA"/>
        </w:rPr>
        <w:t>peremptory,</w:t>
      </w:r>
      <w:r w:rsidR="00350610" w:rsidRPr="00350610">
        <w:rPr>
          <w:rFonts w:eastAsia="Times New Roman"/>
          <w:color w:val="auto"/>
          <w:lang w:eastAsia="en-ZA"/>
        </w:rPr>
        <w:t xml:space="preserve"> and the court can only release the suspect after havin</w:t>
      </w:r>
      <w:r w:rsidR="00086DA2">
        <w:rPr>
          <w:rFonts w:eastAsia="Times New Roman"/>
          <w:color w:val="auto"/>
          <w:lang w:eastAsia="en-ZA"/>
        </w:rPr>
        <w:t>g heard the evidence and exercise</w:t>
      </w:r>
      <w:r w:rsidR="00350610" w:rsidRPr="00350610">
        <w:rPr>
          <w:rFonts w:eastAsia="Times New Roman"/>
          <w:color w:val="auto"/>
          <w:lang w:eastAsia="en-ZA"/>
        </w:rPr>
        <w:t xml:space="preserve"> its discretion based on the circumstances of the case. As soon as it was practically possible to do so, the plaintiff was given an opportunity to adduce evidence in his bail hearing. He met the necessary threshold and was released on bail on 26 February 2016. Subsequent to his </w:t>
      </w:r>
      <w:r w:rsidR="00350610" w:rsidRPr="00350610">
        <w:rPr>
          <w:rFonts w:eastAsia="Times New Roman"/>
          <w:color w:val="auto"/>
          <w:lang w:eastAsia="en-ZA"/>
        </w:rPr>
        <w:lastRenderedPageBreak/>
        <w:t xml:space="preserve">release, he appeared in court when called upon to do so by the magistrate until the matter was ultimately withdrawn by the public prosecutor. </w:t>
      </w:r>
    </w:p>
    <w:p w14:paraId="7874787F" w14:textId="77777777" w:rsidR="00273C4E" w:rsidRDefault="00273C4E" w:rsidP="00350610">
      <w:pPr>
        <w:spacing w:after="200" w:line="480" w:lineRule="auto"/>
        <w:jc w:val="both"/>
        <w:rPr>
          <w:rFonts w:eastAsia="Times New Roman"/>
          <w:color w:val="auto"/>
          <w:lang w:eastAsia="en-ZA"/>
        </w:rPr>
      </w:pPr>
    </w:p>
    <w:p w14:paraId="0D45329A" w14:textId="0555447D"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2</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The question is whether the detention of the plaintiff from 16 November 2015 to 26 February 2016 was solely out of </w:t>
      </w:r>
      <w:r w:rsidR="00273C4E">
        <w:rPr>
          <w:rFonts w:eastAsia="Times New Roman"/>
          <w:color w:val="auto"/>
          <w:lang w:eastAsia="en-ZA"/>
        </w:rPr>
        <w:t xml:space="preserve">the </w:t>
      </w:r>
      <w:r w:rsidR="00350610" w:rsidRPr="00350610">
        <w:rPr>
          <w:rFonts w:eastAsia="Times New Roman"/>
          <w:color w:val="auto"/>
          <w:lang w:eastAsia="en-ZA"/>
        </w:rPr>
        <w:t xml:space="preserve">defendants’ wrongful, malicious, unreasonable, </w:t>
      </w:r>
      <w:r w:rsidR="0054199B" w:rsidRPr="00350610">
        <w:rPr>
          <w:rFonts w:eastAsia="Times New Roman"/>
          <w:color w:val="auto"/>
          <w:lang w:eastAsia="en-ZA"/>
        </w:rPr>
        <w:t>unjustified,</w:t>
      </w:r>
      <w:r w:rsidR="00350610" w:rsidRPr="00350610">
        <w:rPr>
          <w:rFonts w:eastAsia="Times New Roman"/>
          <w:color w:val="auto"/>
          <w:lang w:eastAsia="en-ZA"/>
        </w:rPr>
        <w:t xml:space="preserve"> and unlawful conduct of the defendants’ members. I am not in agreement with the plaintiff’s counsel that there is a nexus between the actions of the defendants’ members and the consequences at issue. </w:t>
      </w:r>
    </w:p>
    <w:p w14:paraId="32B2EA01" w14:textId="77777777" w:rsidR="00350610" w:rsidRPr="00350610" w:rsidRDefault="00350610" w:rsidP="00350610">
      <w:pPr>
        <w:spacing w:after="200" w:line="480" w:lineRule="auto"/>
        <w:jc w:val="both"/>
        <w:rPr>
          <w:rFonts w:eastAsia="Times New Roman"/>
          <w:color w:val="auto"/>
          <w:lang w:eastAsia="en-ZA"/>
        </w:rPr>
      </w:pPr>
    </w:p>
    <w:p w14:paraId="56E9E37E" w14:textId="7D0347EE"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3</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In support of my statement, the following passage which is quoted from the matter </w:t>
      </w:r>
      <w:r w:rsidR="00350610" w:rsidRPr="00EF3E4E">
        <w:rPr>
          <w:rFonts w:eastAsia="Times New Roman"/>
          <w:i/>
          <w:iCs/>
          <w:color w:val="auto"/>
          <w:lang w:eastAsia="en-ZA"/>
        </w:rPr>
        <w:t xml:space="preserve">of De Klerk v Minister of </w:t>
      </w:r>
      <w:r w:rsidRPr="00EF3E4E">
        <w:rPr>
          <w:rFonts w:eastAsia="Times New Roman"/>
          <w:i/>
          <w:iCs/>
          <w:color w:val="auto"/>
          <w:lang w:eastAsia="en-ZA"/>
        </w:rPr>
        <w:t>Police</w:t>
      </w:r>
      <w:r w:rsidR="0054199B">
        <w:rPr>
          <w:rStyle w:val="FootnoteReference"/>
          <w:rFonts w:eastAsia="Times New Roman"/>
          <w:i/>
          <w:iCs/>
          <w:color w:val="auto"/>
          <w:lang w:eastAsia="en-ZA"/>
        </w:rPr>
        <w:footnoteReference w:id="14"/>
      </w:r>
      <w:r w:rsidRPr="00350610">
        <w:rPr>
          <w:rFonts w:eastAsia="Times New Roman"/>
          <w:color w:val="auto"/>
          <w:lang w:eastAsia="en-ZA"/>
        </w:rPr>
        <w:t xml:space="preserve"> finds</w:t>
      </w:r>
      <w:r w:rsidR="00350610" w:rsidRPr="00350610">
        <w:rPr>
          <w:rFonts w:eastAsia="Times New Roman"/>
          <w:color w:val="auto"/>
          <w:lang w:eastAsia="en-ZA"/>
        </w:rPr>
        <w:t xml:space="preserve"> relevance in this matter, the following judicial remarks were made:</w:t>
      </w:r>
    </w:p>
    <w:p w14:paraId="76DA9256" w14:textId="3D361957" w:rsidR="00350610" w:rsidRPr="00EF3E4E" w:rsidRDefault="00350610"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‘[62] The principles emerging from our jurisprudence can then be summarised as follows: The deprivation of liberty, through arrest and detention, is prima facie unlawful. Every deprivation of liberty must not only be effected in a procedurally fair manner but must also be substantively justified by acceptable reasons. Since Zealand, a remand order by a magistrate does not necessarily render subsequent detention lawful. What matters is whether, substantively there was just cause for the later deprivation of liberty. In determining whether the deprivation of liberty pursuant to a remand order is lawful, regard can be had to the manner in which the remand order was made.</w:t>
      </w:r>
    </w:p>
    <w:p w14:paraId="3A2CE641" w14:textId="19200381" w:rsidR="00350610" w:rsidRPr="00EF3E4E" w:rsidRDefault="00350610"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 xml:space="preserve">[63] In cases like this, the liability of the police for detention post- court appearance should be determined on an application of the principles of legal causation, having regard to the applicable tests and policy considerations. This may include a consideration of whether the post appearance detention was lawful. It is these public-policy considerations that will serve as a measure of </w:t>
      </w:r>
      <w:r w:rsidRPr="00EF3E4E">
        <w:rPr>
          <w:rFonts w:eastAsia="Times New Roman"/>
          <w:color w:val="auto"/>
          <w:sz w:val="20"/>
          <w:szCs w:val="20"/>
          <w:lang w:eastAsia="en-ZA"/>
        </w:rPr>
        <w:lastRenderedPageBreak/>
        <w:t>control to ensure that liability is not extended too far. The conduct of the police after an unlawful arrest, especially if the police acted unlawfully after the unlawful arrest of the plaintiff, is to be evaluated and considered in determining legal causation. In addition, every matter must be determined on its own facts- there is no general rule that can be applied dogmatically in order to determ</w:t>
      </w:r>
      <w:r w:rsidR="00AB2D01">
        <w:rPr>
          <w:rFonts w:eastAsia="Times New Roman"/>
          <w:color w:val="auto"/>
          <w:sz w:val="20"/>
          <w:szCs w:val="20"/>
          <w:lang w:eastAsia="en-ZA"/>
        </w:rPr>
        <w:t xml:space="preserve">ine liability’. </w:t>
      </w:r>
      <w:r w:rsidRPr="00EF3E4E">
        <w:rPr>
          <w:rFonts w:eastAsia="Times New Roman"/>
          <w:color w:val="auto"/>
          <w:sz w:val="20"/>
          <w:szCs w:val="20"/>
          <w:lang w:eastAsia="en-ZA"/>
        </w:rPr>
        <w:t xml:space="preserve"> </w:t>
      </w:r>
    </w:p>
    <w:p w14:paraId="678A0C93" w14:textId="77777777" w:rsidR="00350610" w:rsidRPr="00350610" w:rsidRDefault="00350610" w:rsidP="00350610">
      <w:pPr>
        <w:spacing w:after="200" w:line="480" w:lineRule="auto"/>
        <w:jc w:val="both"/>
        <w:rPr>
          <w:rFonts w:eastAsia="Times New Roman"/>
          <w:color w:val="auto"/>
          <w:lang w:eastAsia="en-ZA"/>
        </w:rPr>
      </w:pPr>
    </w:p>
    <w:p w14:paraId="2CEAD25F" w14:textId="7C33275A" w:rsidR="00C218E3"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4</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In the case under consideration, the plaintiff depicted himself as a mute person. Although he denied this in his testimony, his denial of this fact cannot stand because the arresting officer had to ask for a sign language interpreter </w:t>
      </w:r>
      <w:r w:rsidR="00273C4E">
        <w:rPr>
          <w:rFonts w:eastAsia="Times New Roman"/>
          <w:color w:val="auto"/>
          <w:lang w:eastAsia="en-ZA"/>
        </w:rPr>
        <w:t>o</w:t>
      </w:r>
      <w:r w:rsidR="00350610" w:rsidRPr="00350610">
        <w:rPr>
          <w:rFonts w:eastAsia="Times New Roman"/>
          <w:color w:val="auto"/>
          <w:lang w:eastAsia="en-ZA"/>
        </w:rPr>
        <w:t>n the school premises to assist him in driving the process of his arrest. The arresting officer asked the sign language interpreter to assist in the court processes. It was unfortunate that the superiors of the sign language interpreter declined to delegate him to perform this task in court. The public prosecutor brought to the attention of the magistrate that the plaintiff together with his</w:t>
      </w:r>
      <w:r w:rsidR="00AB2D01">
        <w:rPr>
          <w:rFonts w:eastAsia="Times New Roman"/>
          <w:color w:val="auto"/>
          <w:lang w:eastAsia="en-ZA"/>
        </w:rPr>
        <w:t xml:space="preserve"> erstwhile</w:t>
      </w:r>
      <w:r w:rsidR="00350610" w:rsidRPr="00350610">
        <w:rPr>
          <w:rFonts w:eastAsia="Times New Roman"/>
          <w:color w:val="auto"/>
          <w:lang w:eastAsia="en-ZA"/>
        </w:rPr>
        <w:t xml:space="preserve"> co-accused was deaf and mute. Gleaning from the magistrate’s court record, the plaintiff did not request at any point for his bail hearing to be separated from that of his erstwhile co-accused due to his non-mute state. He kept on depicting himself as a mute person thus putting himself </w:t>
      </w:r>
      <w:r w:rsidR="00273C4E">
        <w:rPr>
          <w:rFonts w:eastAsia="Times New Roman"/>
          <w:color w:val="auto"/>
          <w:lang w:eastAsia="en-ZA"/>
        </w:rPr>
        <w:t>in</w:t>
      </w:r>
      <w:r w:rsidR="00350610" w:rsidRPr="00350610">
        <w:rPr>
          <w:rFonts w:eastAsia="Times New Roman"/>
          <w:color w:val="auto"/>
          <w:lang w:eastAsia="en-ZA"/>
        </w:rPr>
        <w:t xml:space="preserve"> a disadvantaged position. The magistrate ordered that the matter be postponed for </w:t>
      </w:r>
      <w:r w:rsidR="00273C4E">
        <w:rPr>
          <w:rFonts w:eastAsia="Times New Roman"/>
          <w:color w:val="auto"/>
          <w:lang w:eastAsia="en-ZA"/>
        </w:rPr>
        <w:t xml:space="preserve">a </w:t>
      </w:r>
      <w:r w:rsidR="00350610" w:rsidRPr="00350610">
        <w:rPr>
          <w:rFonts w:eastAsia="Times New Roman"/>
          <w:color w:val="auto"/>
          <w:lang w:eastAsia="en-ZA"/>
        </w:rPr>
        <w:t>bail profile and a sign language interpreter.</w:t>
      </w:r>
    </w:p>
    <w:p w14:paraId="50C6938C" w14:textId="25F11622"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5</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Notably, most delays in the bail hearing were occasioned by the absence of a sign language interpreter. This includes the absence of </w:t>
      </w:r>
      <w:r w:rsidR="00273C4E">
        <w:rPr>
          <w:rFonts w:eastAsia="Times New Roman"/>
          <w:color w:val="auto"/>
          <w:lang w:eastAsia="en-ZA"/>
        </w:rPr>
        <w:t>a</w:t>
      </w:r>
      <w:r w:rsidR="00350610" w:rsidRPr="00350610">
        <w:rPr>
          <w:rFonts w:eastAsia="Times New Roman"/>
          <w:color w:val="auto"/>
          <w:lang w:eastAsia="en-ZA"/>
        </w:rPr>
        <w:t xml:space="preserve"> legal aid attorney and </w:t>
      </w:r>
      <w:r w:rsidR="00273C4E">
        <w:rPr>
          <w:rFonts w:eastAsia="Times New Roman"/>
          <w:color w:val="auto"/>
          <w:lang w:eastAsia="en-ZA"/>
        </w:rPr>
        <w:t xml:space="preserve">the </w:t>
      </w:r>
      <w:r w:rsidR="00350610" w:rsidRPr="00350610">
        <w:rPr>
          <w:rFonts w:eastAsia="Times New Roman"/>
          <w:color w:val="auto"/>
          <w:lang w:eastAsia="en-ZA"/>
        </w:rPr>
        <w:t>absence of a magistrate to handle bail hearing</w:t>
      </w:r>
      <w:r w:rsidR="00273C4E">
        <w:rPr>
          <w:rFonts w:eastAsia="Times New Roman"/>
          <w:color w:val="auto"/>
          <w:lang w:eastAsia="en-ZA"/>
        </w:rPr>
        <w:t>s</w:t>
      </w:r>
      <w:r w:rsidR="00350610" w:rsidRPr="00350610">
        <w:rPr>
          <w:rFonts w:eastAsia="Times New Roman"/>
          <w:color w:val="auto"/>
          <w:lang w:eastAsia="en-ZA"/>
        </w:rPr>
        <w:t xml:space="preserve"> in one instance. The magistrate </w:t>
      </w:r>
      <w:r w:rsidRPr="00350610">
        <w:rPr>
          <w:rFonts w:eastAsia="Times New Roman"/>
          <w:color w:val="auto"/>
          <w:lang w:eastAsia="en-ZA"/>
        </w:rPr>
        <w:t>oversaw</w:t>
      </w:r>
      <w:r w:rsidR="00350610" w:rsidRPr="00350610">
        <w:rPr>
          <w:rFonts w:eastAsia="Times New Roman"/>
          <w:color w:val="auto"/>
          <w:lang w:eastAsia="en-ZA"/>
        </w:rPr>
        <w:t xml:space="preserve"> the court processes including the plaintiff’s detention. The matter fell under Schedule 6 in terms of bail legislation and the magistrate had an obligation in terms of the law to hear evidence before she could apply her mind on the release of the plaintiff. </w:t>
      </w:r>
      <w:r w:rsidR="00F80807">
        <w:rPr>
          <w:rFonts w:eastAsia="Times New Roman"/>
          <w:color w:val="auto"/>
          <w:lang w:eastAsia="en-ZA"/>
        </w:rPr>
        <w:lastRenderedPageBreak/>
        <w:t>She</w:t>
      </w:r>
      <w:r w:rsidR="00273C4E">
        <w:rPr>
          <w:rFonts w:eastAsia="Times New Roman"/>
          <w:color w:val="auto"/>
          <w:lang w:eastAsia="en-ZA"/>
        </w:rPr>
        <w:t xml:space="preserve"> could</w:t>
      </w:r>
      <w:r w:rsidR="00F80807">
        <w:rPr>
          <w:rFonts w:eastAsia="Times New Roman"/>
          <w:color w:val="auto"/>
          <w:lang w:eastAsia="en-ZA"/>
        </w:rPr>
        <w:t xml:space="preserve"> not</w:t>
      </w:r>
      <w:r w:rsidR="00350610" w:rsidRPr="00350610">
        <w:rPr>
          <w:rFonts w:eastAsia="Times New Roman"/>
          <w:color w:val="auto"/>
          <w:lang w:eastAsia="en-ZA"/>
        </w:rPr>
        <w:t xml:space="preserve"> perform this judicial task without the services of a sign language interpreter. It is further common cause that the public prosecutor was always ready to proceed with the bail hearing of the matter. The plaintiff also conceded that all the postponements that were ordered by the court after his first appearance were not at the instance of the public prosecutor.</w:t>
      </w:r>
    </w:p>
    <w:p w14:paraId="7567AFDF" w14:textId="70E3FBD6" w:rsidR="00C33BE8" w:rsidRDefault="00F80807" w:rsidP="00F80807">
      <w:pPr>
        <w:tabs>
          <w:tab w:val="left" w:pos="5126"/>
        </w:tabs>
        <w:spacing w:after="200" w:line="480" w:lineRule="auto"/>
        <w:rPr>
          <w:rFonts w:eastAsia="Times New Roman"/>
          <w:color w:val="auto"/>
          <w:lang w:eastAsia="en-ZA"/>
        </w:rPr>
      </w:pPr>
      <w:r>
        <w:rPr>
          <w:rFonts w:eastAsia="Times New Roman"/>
          <w:color w:val="auto"/>
          <w:lang w:eastAsia="en-ZA"/>
        </w:rPr>
        <w:tab/>
      </w:r>
    </w:p>
    <w:p w14:paraId="2FFB0C75" w14:textId="5509B7FB"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6</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Therefore, no evidence was established to the effect that the Minister of Police and the NDPP through its employees intruded into the court processes and caused further detention of the plaintiff. Instead, the evidence demonstrates that regarding the post-court detention, the plaintiff was the author of his misfortune. Resultantly, the detention of the plaintiff from 16 November 2015 to 26 February 2016 cannot be imputed to the arresting officer and the public prosecutor.</w:t>
      </w:r>
    </w:p>
    <w:p w14:paraId="4D19BD71" w14:textId="77777777" w:rsidR="00350610" w:rsidRPr="00350610" w:rsidRDefault="00350610" w:rsidP="00350610">
      <w:pPr>
        <w:spacing w:after="200" w:line="480" w:lineRule="auto"/>
        <w:jc w:val="both"/>
        <w:rPr>
          <w:rFonts w:eastAsia="Times New Roman"/>
          <w:color w:val="auto"/>
          <w:lang w:eastAsia="en-ZA"/>
        </w:rPr>
      </w:pPr>
    </w:p>
    <w:p w14:paraId="6ACDF6A5" w14:textId="6FF5AEBD" w:rsidR="00794C3F" w:rsidRPr="003339F2" w:rsidRDefault="00506302" w:rsidP="00350610">
      <w:pPr>
        <w:spacing w:after="200" w:line="480" w:lineRule="auto"/>
        <w:jc w:val="both"/>
        <w:rPr>
          <w:rFonts w:eastAsia="Times New Roman"/>
          <w:b/>
          <w:bCs/>
          <w:iCs/>
          <w:color w:val="auto"/>
          <w:lang w:eastAsia="en-ZA"/>
        </w:rPr>
      </w:pPr>
      <w:r>
        <w:rPr>
          <w:rFonts w:eastAsia="Times New Roman"/>
          <w:b/>
          <w:bCs/>
          <w:iCs/>
          <w:color w:val="auto"/>
          <w:lang w:eastAsia="en-ZA"/>
        </w:rPr>
        <w:t>J.</w:t>
      </w:r>
      <w:r>
        <w:rPr>
          <w:rFonts w:eastAsia="Times New Roman"/>
          <w:b/>
          <w:bCs/>
          <w:iCs/>
          <w:color w:val="auto"/>
          <w:lang w:eastAsia="en-ZA"/>
        </w:rPr>
        <w:tab/>
      </w:r>
      <w:r w:rsidR="00350610" w:rsidRPr="003339F2">
        <w:rPr>
          <w:rFonts w:eastAsia="Times New Roman"/>
          <w:b/>
          <w:bCs/>
          <w:iCs/>
          <w:color w:val="auto"/>
          <w:u w:val="single"/>
          <w:lang w:eastAsia="en-ZA"/>
        </w:rPr>
        <w:t>Conclusion</w:t>
      </w:r>
      <w:r>
        <w:rPr>
          <w:rFonts w:eastAsia="Times New Roman"/>
          <w:b/>
          <w:bCs/>
          <w:iCs/>
          <w:color w:val="auto"/>
          <w:lang w:eastAsia="en-ZA"/>
        </w:rPr>
        <w:t>:</w:t>
      </w:r>
    </w:p>
    <w:p w14:paraId="5566E40F" w14:textId="60FE3156" w:rsidR="00350610"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7</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Deducing from the evidence tendered and assessing the applicable law, it is my finding that the plaintiff’s claim for unlawful arrest and detention against the 1st defendant should succeed. The 1st defendant is held liable to compensate the plaintiff for damages arising out of unlawful arrest and detention from the period 12 November to 15 November 2015. The plaintiff’s claim against the 1st and 2nd defendant</w:t>
      </w:r>
      <w:r w:rsidR="00273C4E">
        <w:rPr>
          <w:rFonts w:eastAsia="Times New Roman"/>
          <w:color w:val="auto"/>
          <w:lang w:eastAsia="en-ZA"/>
        </w:rPr>
        <w:t>s</w:t>
      </w:r>
      <w:r w:rsidR="00350610" w:rsidRPr="00350610">
        <w:rPr>
          <w:rFonts w:eastAsia="Times New Roman"/>
          <w:color w:val="auto"/>
          <w:lang w:eastAsia="en-ZA"/>
        </w:rPr>
        <w:t xml:space="preserve"> arising out of a detention from the period 16 November 2015 to 26 February 2016 must fail. </w:t>
      </w:r>
    </w:p>
    <w:p w14:paraId="252A9D02" w14:textId="77777777" w:rsidR="00273C4E" w:rsidRDefault="00273C4E" w:rsidP="00350610">
      <w:pPr>
        <w:spacing w:after="200" w:line="480" w:lineRule="auto"/>
        <w:jc w:val="both"/>
        <w:rPr>
          <w:rFonts w:eastAsia="Times New Roman"/>
          <w:color w:val="auto"/>
          <w:lang w:eastAsia="en-ZA"/>
        </w:rPr>
      </w:pPr>
    </w:p>
    <w:p w14:paraId="78C30734" w14:textId="77777777" w:rsidR="00C218E3" w:rsidRDefault="00506302" w:rsidP="00350610">
      <w:pPr>
        <w:spacing w:after="200" w:line="480" w:lineRule="auto"/>
        <w:jc w:val="both"/>
        <w:rPr>
          <w:rFonts w:eastAsia="Times New Roman"/>
          <w:b/>
          <w:bCs/>
          <w:iCs/>
          <w:color w:val="auto"/>
          <w:lang w:eastAsia="en-ZA"/>
        </w:rPr>
      </w:pPr>
      <w:r>
        <w:rPr>
          <w:rFonts w:eastAsia="Times New Roman"/>
          <w:b/>
          <w:bCs/>
          <w:iCs/>
          <w:color w:val="auto"/>
          <w:lang w:eastAsia="en-ZA"/>
        </w:rPr>
        <w:t>K.</w:t>
      </w:r>
      <w:r>
        <w:rPr>
          <w:rFonts w:eastAsia="Times New Roman"/>
          <w:b/>
          <w:bCs/>
          <w:iCs/>
          <w:color w:val="auto"/>
          <w:lang w:eastAsia="en-ZA"/>
        </w:rPr>
        <w:tab/>
      </w:r>
      <w:r w:rsidR="00350610" w:rsidRPr="003339F2">
        <w:rPr>
          <w:rFonts w:eastAsia="Times New Roman"/>
          <w:b/>
          <w:bCs/>
          <w:iCs/>
          <w:color w:val="auto"/>
          <w:u w:val="single"/>
          <w:lang w:eastAsia="en-ZA"/>
        </w:rPr>
        <w:t>Quantum</w:t>
      </w:r>
      <w:r>
        <w:rPr>
          <w:rFonts w:eastAsia="Times New Roman"/>
          <w:b/>
          <w:bCs/>
          <w:iCs/>
          <w:color w:val="auto"/>
          <w:lang w:eastAsia="en-ZA"/>
        </w:rPr>
        <w:t>:</w:t>
      </w:r>
    </w:p>
    <w:p w14:paraId="67FAFF1E" w14:textId="26E6A134" w:rsidR="00350610" w:rsidRPr="00C218E3" w:rsidRDefault="00C33BE8" w:rsidP="00350610">
      <w:pPr>
        <w:spacing w:after="200" w:line="480" w:lineRule="auto"/>
        <w:jc w:val="both"/>
        <w:rPr>
          <w:rFonts w:eastAsia="Times New Roman"/>
          <w:b/>
          <w:bCs/>
          <w:iCs/>
          <w:color w:val="auto"/>
          <w:lang w:eastAsia="en-ZA"/>
        </w:rPr>
      </w:pPr>
      <w:r>
        <w:rPr>
          <w:rFonts w:eastAsia="Times New Roman"/>
          <w:color w:val="auto"/>
          <w:lang w:eastAsia="en-ZA"/>
        </w:rPr>
        <w:lastRenderedPageBreak/>
        <w:t>[6</w:t>
      </w:r>
      <w:r w:rsidR="00F80807">
        <w:rPr>
          <w:rFonts w:eastAsia="Times New Roman"/>
          <w:color w:val="auto"/>
          <w:lang w:eastAsia="en-ZA"/>
        </w:rPr>
        <w:t>8</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The assessment of damages is to be determined from the period the plaintiff was arrested and detained to the day he first appeared in court. He pleaded that he was detained in a filthy police cell at Central police station for a period of four days. The blankets and sleeping sponge were dirty with lice, the toilet facility was non-functioning and afford</w:t>
      </w:r>
      <w:r w:rsidR="00273C4E">
        <w:rPr>
          <w:rFonts w:eastAsia="Times New Roman"/>
          <w:color w:val="auto"/>
          <w:lang w:eastAsia="en-ZA"/>
        </w:rPr>
        <w:t>ed</w:t>
      </w:r>
      <w:r w:rsidR="00350610" w:rsidRPr="00350610">
        <w:rPr>
          <w:rFonts w:eastAsia="Times New Roman"/>
          <w:color w:val="auto"/>
          <w:lang w:eastAsia="en-ZA"/>
        </w:rPr>
        <w:t xml:space="preserve"> no privacy. The water was cold, the food was bad, </w:t>
      </w:r>
      <w:proofErr w:type="gramStart"/>
      <w:r w:rsidR="00350610" w:rsidRPr="00350610">
        <w:rPr>
          <w:rFonts w:eastAsia="Times New Roman"/>
          <w:color w:val="auto"/>
          <w:lang w:eastAsia="en-ZA"/>
        </w:rPr>
        <w:t>indigestible</w:t>
      </w:r>
      <w:proofErr w:type="gramEnd"/>
      <w:r w:rsidR="00350610" w:rsidRPr="00350610">
        <w:rPr>
          <w:rFonts w:eastAsia="Times New Roman"/>
          <w:color w:val="auto"/>
          <w:lang w:eastAsia="en-ZA"/>
        </w:rPr>
        <w:t xml:space="preserve"> and served during inordinate times. The other inmates were violent and thus pos</w:t>
      </w:r>
      <w:r w:rsidR="00273C4E">
        <w:rPr>
          <w:rFonts w:eastAsia="Times New Roman"/>
          <w:color w:val="auto"/>
          <w:lang w:eastAsia="en-ZA"/>
        </w:rPr>
        <w:t>ed</w:t>
      </w:r>
      <w:r w:rsidR="00350610" w:rsidRPr="00350610">
        <w:rPr>
          <w:rFonts w:eastAsia="Times New Roman"/>
          <w:color w:val="auto"/>
          <w:lang w:eastAsia="en-ZA"/>
        </w:rPr>
        <w:t xml:space="preserve"> some threat to the plaintiff.</w:t>
      </w:r>
    </w:p>
    <w:p w14:paraId="738B9299" w14:textId="77777777" w:rsidR="00C33BE8" w:rsidRPr="00350610" w:rsidRDefault="00C33BE8" w:rsidP="00350610">
      <w:pPr>
        <w:spacing w:after="200" w:line="480" w:lineRule="auto"/>
        <w:jc w:val="both"/>
        <w:rPr>
          <w:rFonts w:eastAsia="Times New Roman"/>
          <w:color w:val="auto"/>
          <w:lang w:eastAsia="en-ZA"/>
        </w:rPr>
      </w:pPr>
    </w:p>
    <w:p w14:paraId="47DC25EF" w14:textId="716406A2"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[6</w:t>
      </w:r>
      <w:r w:rsidR="00F80807">
        <w:rPr>
          <w:rFonts w:eastAsia="Times New Roman"/>
          <w:color w:val="auto"/>
          <w:lang w:eastAsia="en-ZA"/>
        </w:rPr>
        <w:t>9</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Mr </w:t>
      </w:r>
      <w:proofErr w:type="spellStart"/>
      <w:r w:rsidR="00350610" w:rsidRPr="00350610">
        <w:rPr>
          <w:rFonts w:eastAsia="Times New Roman"/>
          <w:color w:val="auto"/>
          <w:lang w:eastAsia="en-ZA"/>
        </w:rPr>
        <w:t>Mdeyide</w:t>
      </w:r>
      <w:proofErr w:type="spellEnd"/>
      <w:r w:rsidR="00350610" w:rsidRPr="00350610">
        <w:rPr>
          <w:rFonts w:eastAsia="Times New Roman"/>
          <w:color w:val="auto"/>
          <w:lang w:eastAsia="en-ZA"/>
        </w:rPr>
        <w:t xml:space="preserve"> </w:t>
      </w:r>
      <w:r w:rsidR="00DA3F54" w:rsidRPr="00350610">
        <w:rPr>
          <w:rFonts w:eastAsia="Times New Roman"/>
          <w:color w:val="auto"/>
          <w:lang w:eastAsia="en-ZA"/>
        </w:rPr>
        <w:t>refers</w:t>
      </w:r>
      <w:r w:rsidR="00350610" w:rsidRPr="00350610">
        <w:rPr>
          <w:rFonts w:eastAsia="Times New Roman"/>
          <w:color w:val="auto"/>
          <w:lang w:eastAsia="en-ZA"/>
        </w:rPr>
        <w:t xml:space="preserve"> to certain authorities on </w:t>
      </w:r>
      <w:r w:rsidR="00273C4E">
        <w:rPr>
          <w:rFonts w:eastAsia="Times New Roman"/>
          <w:color w:val="auto"/>
          <w:lang w:eastAsia="en-ZA"/>
        </w:rPr>
        <w:t xml:space="preserve">the </w:t>
      </w:r>
      <w:r w:rsidR="00350610" w:rsidRPr="00350610">
        <w:rPr>
          <w:rFonts w:eastAsia="Times New Roman"/>
          <w:color w:val="auto"/>
          <w:lang w:eastAsia="en-ZA"/>
        </w:rPr>
        <w:t>award of damages for unlawful arrest and detention:</w:t>
      </w:r>
    </w:p>
    <w:p w14:paraId="63A820FB" w14:textId="5AB5A4D9" w:rsidR="00350610" w:rsidRPr="00350610" w:rsidRDefault="00350610" w:rsidP="00EF3E4E">
      <w:pPr>
        <w:spacing w:after="200" w:line="480" w:lineRule="auto"/>
        <w:ind w:left="1440" w:hanging="720"/>
        <w:jc w:val="both"/>
        <w:rPr>
          <w:rFonts w:eastAsia="Times New Roman"/>
          <w:color w:val="auto"/>
          <w:lang w:eastAsia="en-ZA"/>
        </w:rPr>
      </w:pPr>
      <w:r w:rsidRPr="00350610">
        <w:rPr>
          <w:rFonts w:eastAsia="Times New Roman"/>
          <w:color w:val="auto"/>
          <w:lang w:eastAsia="en-ZA"/>
        </w:rPr>
        <w:t>6</w:t>
      </w:r>
      <w:r w:rsidR="00F80807">
        <w:rPr>
          <w:rFonts w:eastAsia="Times New Roman"/>
          <w:color w:val="auto"/>
          <w:lang w:eastAsia="en-ZA"/>
        </w:rPr>
        <w:t>9</w:t>
      </w:r>
      <w:r w:rsidRPr="00350610">
        <w:rPr>
          <w:rFonts w:eastAsia="Times New Roman"/>
          <w:color w:val="auto"/>
          <w:lang w:eastAsia="en-ZA"/>
        </w:rPr>
        <w:t>.1</w:t>
      </w:r>
      <w:r w:rsidRPr="00350610">
        <w:rPr>
          <w:rFonts w:eastAsia="Times New Roman"/>
          <w:color w:val="auto"/>
          <w:lang w:eastAsia="en-ZA"/>
        </w:rPr>
        <w:tab/>
        <w:t xml:space="preserve">In </w:t>
      </w:r>
      <w:proofErr w:type="spellStart"/>
      <w:r w:rsidRPr="00EF3E4E">
        <w:rPr>
          <w:rFonts w:eastAsia="Times New Roman"/>
          <w:i/>
          <w:iCs/>
          <w:color w:val="auto"/>
          <w:lang w:eastAsia="en-ZA"/>
        </w:rPr>
        <w:t>Mtola</w:t>
      </w:r>
      <w:proofErr w:type="spellEnd"/>
      <w:r w:rsidRPr="00EF3E4E">
        <w:rPr>
          <w:rFonts w:eastAsia="Times New Roman"/>
          <w:i/>
          <w:iCs/>
          <w:color w:val="auto"/>
          <w:lang w:eastAsia="en-ZA"/>
        </w:rPr>
        <w:t xml:space="preserve"> v Minister of Police</w:t>
      </w:r>
      <w:r w:rsidRPr="00350610">
        <w:rPr>
          <w:rFonts w:eastAsia="Times New Roman"/>
          <w:color w:val="auto"/>
          <w:lang w:eastAsia="en-ZA"/>
        </w:rPr>
        <w:t xml:space="preserve"> case No CA23/2016, the plaintiff spent a period of 5 days in custody and was </w:t>
      </w:r>
      <w:r w:rsidR="00C33BE8" w:rsidRPr="00350610">
        <w:rPr>
          <w:rFonts w:eastAsia="Times New Roman"/>
          <w:color w:val="auto"/>
          <w:lang w:eastAsia="en-ZA"/>
        </w:rPr>
        <w:t>awarded R</w:t>
      </w:r>
      <w:r w:rsidRPr="00350610">
        <w:rPr>
          <w:rFonts w:eastAsia="Times New Roman"/>
          <w:color w:val="auto"/>
          <w:lang w:eastAsia="en-ZA"/>
        </w:rPr>
        <w:t xml:space="preserve">125 000 (One hundred and </w:t>
      </w:r>
      <w:r w:rsidR="00DA3F54" w:rsidRPr="00350610">
        <w:rPr>
          <w:rFonts w:eastAsia="Times New Roman"/>
          <w:color w:val="auto"/>
          <w:lang w:eastAsia="en-ZA"/>
        </w:rPr>
        <w:t>twenty-five</w:t>
      </w:r>
      <w:r w:rsidRPr="00350610">
        <w:rPr>
          <w:rFonts w:eastAsia="Times New Roman"/>
          <w:color w:val="auto"/>
          <w:lang w:eastAsia="en-ZA"/>
        </w:rPr>
        <w:t xml:space="preserve"> thousand rand) for unlawful arrest and detention.</w:t>
      </w:r>
    </w:p>
    <w:p w14:paraId="4406313F" w14:textId="6766C9B6" w:rsidR="00350610" w:rsidRPr="00350610" w:rsidRDefault="00350610" w:rsidP="00EF3E4E">
      <w:pPr>
        <w:spacing w:after="200" w:line="480" w:lineRule="auto"/>
        <w:ind w:left="1440" w:hanging="720"/>
        <w:jc w:val="both"/>
        <w:rPr>
          <w:rFonts w:eastAsia="Times New Roman"/>
          <w:color w:val="auto"/>
          <w:lang w:eastAsia="en-ZA"/>
        </w:rPr>
      </w:pPr>
      <w:r w:rsidRPr="00350610">
        <w:rPr>
          <w:rFonts w:eastAsia="Times New Roman"/>
          <w:color w:val="auto"/>
          <w:lang w:eastAsia="en-ZA"/>
        </w:rPr>
        <w:t>6</w:t>
      </w:r>
      <w:r w:rsidR="00F80807">
        <w:rPr>
          <w:rFonts w:eastAsia="Times New Roman"/>
          <w:color w:val="auto"/>
          <w:lang w:eastAsia="en-ZA"/>
        </w:rPr>
        <w:t>9</w:t>
      </w:r>
      <w:r w:rsidRPr="00350610">
        <w:rPr>
          <w:rFonts w:eastAsia="Times New Roman"/>
          <w:color w:val="auto"/>
          <w:lang w:eastAsia="en-ZA"/>
        </w:rPr>
        <w:t>.2</w:t>
      </w:r>
      <w:r w:rsidRPr="00350610">
        <w:rPr>
          <w:rFonts w:eastAsia="Times New Roman"/>
          <w:color w:val="auto"/>
          <w:lang w:eastAsia="en-ZA"/>
        </w:rPr>
        <w:tab/>
        <w:t xml:space="preserve">In </w:t>
      </w:r>
      <w:r w:rsidRPr="00EF3E4E">
        <w:rPr>
          <w:rFonts w:eastAsia="Times New Roman"/>
          <w:i/>
          <w:iCs/>
          <w:color w:val="auto"/>
          <w:lang w:eastAsia="en-ZA"/>
        </w:rPr>
        <w:t>Feni v Minister of Police (EL462/20) ZAECHC 1(26 May 2022),</w:t>
      </w:r>
      <w:r w:rsidRPr="00350610">
        <w:rPr>
          <w:rFonts w:eastAsia="Times New Roman"/>
          <w:color w:val="auto"/>
          <w:lang w:eastAsia="en-ZA"/>
        </w:rPr>
        <w:t xml:space="preserve"> the plaintiff was unlawfully arrested and detained for a period of 2 days. He was awarded an amount of R180 000.</w:t>
      </w:r>
    </w:p>
    <w:p w14:paraId="148DBF5C" w14:textId="77777777" w:rsidR="00C218E3" w:rsidRDefault="00350610" w:rsidP="00C218E3">
      <w:pPr>
        <w:spacing w:after="200" w:line="480" w:lineRule="auto"/>
        <w:ind w:left="1440" w:hanging="720"/>
        <w:jc w:val="both"/>
        <w:rPr>
          <w:rFonts w:eastAsia="Times New Roman"/>
          <w:color w:val="auto"/>
          <w:lang w:eastAsia="en-ZA"/>
        </w:rPr>
      </w:pPr>
      <w:r w:rsidRPr="00350610">
        <w:rPr>
          <w:rFonts w:eastAsia="Times New Roman"/>
          <w:color w:val="auto"/>
          <w:lang w:eastAsia="en-ZA"/>
        </w:rPr>
        <w:t>6</w:t>
      </w:r>
      <w:r w:rsidR="00F80807">
        <w:rPr>
          <w:rFonts w:eastAsia="Times New Roman"/>
          <w:color w:val="auto"/>
          <w:lang w:eastAsia="en-ZA"/>
        </w:rPr>
        <w:t>9</w:t>
      </w:r>
      <w:r w:rsidRPr="00350610">
        <w:rPr>
          <w:rFonts w:eastAsia="Times New Roman"/>
          <w:color w:val="auto"/>
          <w:lang w:eastAsia="en-ZA"/>
        </w:rPr>
        <w:t>.3</w:t>
      </w:r>
      <w:r w:rsidRPr="00350610">
        <w:rPr>
          <w:rFonts w:eastAsia="Times New Roman"/>
          <w:color w:val="auto"/>
          <w:lang w:eastAsia="en-ZA"/>
        </w:rPr>
        <w:tab/>
        <w:t xml:space="preserve">In </w:t>
      </w:r>
      <w:proofErr w:type="spellStart"/>
      <w:r w:rsidRPr="00EF3E4E">
        <w:rPr>
          <w:rFonts w:eastAsia="Times New Roman"/>
          <w:i/>
          <w:iCs/>
          <w:color w:val="auto"/>
          <w:lang w:eastAsia="en-ZA"/>
        </w:rPr>
        <w:t>Gcamgcam</w:t>
      </w:r>
      <w:proofErr w:type="spellEnd"/>
      <w:r w:rsidRPr="00EF3E4E">
        <w:rPr>
          <w:rFonts w:eastAsia="Times New Roman"/>
          <w:i/>
          <w:iCs/>
          <w:color w:val="auto"/>
          <w:lang w:eastAsia="en-ZA"/>
        </w:rPr>
        <w:t xml:space="preserve"> v Minister of Safety and Security Case No 187/2011</w:t>
      </w:r>
      <w:r w:rsidRPr="00350610">
        <w:rPr>
          <w:rFonts w:eastAsia="Times New Roman"/>
          <w:color w:val="auto"/>
          <w:lang w:eastAsia="en-ZA"/>
        </w:rPr>
        <w:t>, the plaintiff was awarded an amount of R200 000 for a detention of 2 days.</w:t>
      </w:r>
    </w:p>
    <w:p w14:paraId="309005B0" w14:textId="47654ED3" w:rsidR="00350610" w:rsidRPr="00350610" w:rsidRDefault="00C33BE8" w:rsidP="00C218E3">
      <w:pPr>
        <w:spacing w:after="200" w:line="480" w:lineRule="auto"/>
        <w:jc w:val="both"/>
        <w:rPr>
          <w:rFonts w:eastAsia="Times New Roman"/>
          <w:color w:val="auto"/>
          <w:lang w:eastAsia="en-ZA"/>
        </w:rPr>
      </w:pPr>
      <w:r>
        <w:rPr>
          <w:rFonts w:eastAsia="Times New Roman"/>
          <w:color w:val="auto"/>
          <w:lang w:eastAsia="en-ZA"/>
        </w:rPr>
        <w:t>[</w:t>
      </w:r>
      <w:r w:rsidR="00F80807">
        <w:rPr>
          <w:rFonts w:eastAsia="Times New Roman"/>
          <w:color w:val="auto"/>
          <w:lang w:eastAsia="en-ZA"/>
        </w:rPr>
        <w:t>70</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The facts presented by the plaintiff were disputed by </w:t>
      </w:r>
      <w:r w:rsidR="00273C4E">
        <w:rPr>
          <w:rFonts w:eastAsia="Times New Roman"/>
          <w:color w:val="auto"/>
          <w:lang w:eastAsia="en-ZA"/>
        </w:rPr>
        <w:t xml:space="preserve">the </w:t>
      </w:r>
      <w:r w:rsidR="00350610" w:rsidRPr="00350610">
        <w:rPr>
          <w:rFonts w:eastAsia="Times New Roman"/>
          <w:color w:val="auto"/>
          <w:lang w:eastAsia="en-ZA"/>
        </w:rPr>
        <w:t xml:space="preserve">arresting officer. He testified that the blankets were clean, the food catering was outsourced and there were no complaints. Despite this, Mr Halam </w:t>
      </w:r>
      <w:r w:rsidR="00DA3F54" w:rsidRPr="00350610">
        <w:rPr>
          <w:rFonts w:eastAsia="Times New Roman"/>
          <w:color w:val="auto"/>
          <w:lang w:eastAsia="en-ZA"/>
        </w:rPr>
        <w:t>refers</w:t>
      </w:r>
      <w:r w:rsidR="00350610" w:rsidRPr="00350610">
        <w:rPr>
          <w:rFonts w:eastAsia="Times New Roman"/>
          <w:color w:val="auto"/>
          <w:lang w:eastAsia="en-ZA"/>
        </w:rPr>
        <w:t xml:space="preserve"> mostly to cases that were decided between the period 2005 to 2009, where the award for damages fluctuated from R30 000 (Thirty thousand rand) to R80 000 (Eighty thousand rand) for unlawful detention which lasted for a period of 2-3 days. A reference was also made to </w:t>
      </w:r>
      <w:r w:rsidR="00273C4E">
        <w:rPr>
          <w:rFonts w:eastAsia="Times New Roman"/>
          <w:color w:val="auto"/>
          <w:lang w:eastAsia="en-ZA"/>
        </w:rPr>
        <w:t>the</w:t>
      </w:r>
      <w:r w:rsidR="00350610" w:rsidRPr="00350610">
        <w:rPr>
          <w:rFonts w:eastAsia="Times New Roman"/>
          <w:color w:val="auto"/>
          <w:lang w:eastAsia="en-ZA"/>
        </w:rPr>
        <w:t xml:space="preserve"> case of </w:t>
      </w:r>
      <w:r w:rsidR="00350610" w:rsidRPr="00EF3E4E">
        <w:rPr>
          <w:rFonts w:eastAsia="Times New Roman"/>
          <w:i/>
          <w:iCs/>
          <w:color w:val="auto"/>
          <w:lang w:eastAsia="en-ZA"/>
        </w:rPr>
        <w:t xml:space="preserve">Burford v Minister of </w:t>
      </w:r>
      <w:r w:rsidR="00350610" w:rsidRPr="00EF3E4E">
        <w:rPr>
          <w:rFonts w:eastAsia="Times New Roman"/>
          <w:i/>
          <w:iCs/>
          <w:color w:val="auto"/>
          <w:lang w:eastAsia="en-ZA"/>
        </w:rPr>
        <w:lastRenderedPageBreak/>
        <w:t>Police CA/128/2015 (2015) ZAEC 9 HC 126</w:t>
      </w:r>
      <w:r w:rsidR="00350610" w:rsidRPr="00350610">
        <w:rPr>
          <w:rFonts w:eastAsia="Times New Roman"/>
          <w:color w:val="auto"/>
          <w:lang w:eastAsia="en-ZA"/>
        </w:rPr>
        <w:t>, where the plaintiff was awarded an amount of R130 000 (One hundred and thirty thousand rand) for unlawful arrest and detention which lasted for 3 (three) days.</w:t>
      </w:r>
    </w:p>
    <w:p w14:paraId="4B0F6710" w14:textId="77777777" w:rsidR="00C33BE8" w:rsidRDefault="00C33BE8" w:rsidP="00350610">
      <w:pPr>
        <w:spacing w:after="200" w:line="480" w:lineRule="auto"/>
        <w:jc w:val="both"/>
        <w:rPr>
          <w:rFonts w:eastAsia="Times New Roman"/>
          <w:color w:val="auto"/>
          <w:lang w:eastAsia="en-ZA"/>
        </w:rPr>
      </w:pPr>
    </w:p>
    <w:p w14:paraId="77CB26CF" w14:textId="41D451F5" w:rsidR="00350610" w:rsidRPr="00350610" w:rsidRDefault="00C33BE8"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1</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It is trite that the discretion to make an appropriate award is with the court and damages awarded by the court should be proportionate with the injury inflicted</w:t>
      </w:r>
      <w:r w:rsidR="00794C3F">
        <w:rPr>
          <w:rStyle w:val="FootnoteReference"/>
          <w:rFonts w:eastAsia="Times New Roman"/>
          <w:color w:val="auto"/>
          <w:lang w:eastAsia="en-ZA"/>
        </w:rPr>
        <w:footnoteReference w:id="15"/>
      </w:r>
      <w:r w:rsidR="00350610" w:rsidRPr="00350610">
        <w:rPr>
          <w:rFonts w:eastAsia="Times New Roman"/>
          <w:color w:val="auto"/>
          <w:lang w:eastAsia="en-ZA"/>
        </w:rPr>
        <w:t>.  Section 35 (2) of the Constitution provides</w:t>
      </w:r>
      <w:r w:rsidR="00794C3F">
        <w:rPr>
          <w:rFonts w:eastAsia="Times New Roman"/>
          <w:color w:val="auto"/>
          <w:lang w:eastAsia="en-ZA"/>
        </w:rPr>
        <w:t>:</w:t>
      </w:r>
    </w:p>
    <w:p w14:paraId="479CDDE4" w14:textId="7F418EA6" w:rsidR="00350610" w:rsidRPr="00EF3E4E" w:rsidRDefault="00DA3F54" w:rsidP="00EF3E4E">
      <w:pPr>
        <w:spacing w:after="200" w:line="480" w:lineRule="auto"/>
        <w:ind w:left="720"/>
        <w:jc w:val="both"/>
        <w:rPr>
          <w:rFonts w:eastAsia="Times New Roman"/>
          <w:color w:val="auto"/>
          <w:sz w:val="20"/>
          <w:szCs w:val="20"/>
          <w:lang w:eastAsia="en-ZA"/>
        </w:rPr>
      </w:pPr>
      <w:r>
        <w:rPr>
          <w:rFonts w:eastAsia="Times New Roman"/>
          <w:color w:val="auto"/>
          <w:sz w:val="20"/>
          <w:szCs w:val="20"/>
          <w:lang w:eastAsia="en-ZA"/>
        </w:rPr>
        <w:t>“</w:t>
      </w:r>
      <w:r w:rsidR="00350610" w:rsidRPr="00EF3E4E">
        <w:rPr>
          <w:rFonts w:eastAsia="Times New Roman"/>
          <w:color w:val="auto"/>
          <w:sz w:val="20"/>
          <w:szCs w:val="20"/>
          <w:lang w:eastAsia="en-ZA"/>
        </w:rPr>
        <w:t xml:space="preserve">Everyone who is detained, including every sentenced prisoner, has a right- (e) to conditions of detention that are consistent with human dignity, including at least exercise and </w:t>
      </w:r>
      <w:r w:rsidRPr="00EF3E4E">
        <w:rPr>
          <w:rFonts w:eastAsia="Times New Roman"/>
          <w:color w:val="auto"/>
          <w:sz w:val="20"/>
          <w:szCs w:val="20"/>
          <w:lang w:eastAsia="en-ZA"/>
        </w:rPr>
        <w:t>provision,</w:t>
      </w:r>
      <w:r w:rsidR="00350610" w:rsidRPr="00EF3E4E">
        <w:rPr>
          <w:rFonts w:eastAsia="Times New Roman"/>
          <w:color w:val="auto"/>
          <w:sz w:val="20"/>
          <w:szCs w:val="20"/>
          <w:lang w:eastAsia="en-ZA"/>
        </w:rPr>
        <w:t xml:space="preserve"> at state expense, of adequate accommodation, nutrition, reading material and medical treatment</w:t>
      </w:r>
      <w:proofErr w:type="gramStart"/>
      <w:r w:rsidR="00350610" w:rsidRPr="00EF3E4E">
        <w:rPr>
          <w:rFonts w:eastAsia="Times New Roman"/>
          <w:color w:val="auto"/>
          <w:sz w:val="20"/>
          <w:szCs w:val="20"/>
          <w:lang w:eastAsia="en-ZA"/>
        </w:rPr>
        <w:t>…..</w:t>
      </w:r>
      <w:proofErr w:type="gramEnd"/>
      <w:r>
        <w:rPr>
          <w:rFonts w:eastAsia="Times New Roman"/>
          <w:color w:val="auto"/>
          <w:sz w:val="20"/>
          <w:szCs w:val="20"/>
          <w:lang w:eastAsia="en-ZA"/>
        </w:rPr>
        <w:t>”</w:t>
      </w:r>
    </w:p>
    <w:p w14:paraId="67F9560F" w14:textId="77777777" w:rsidR="00350610" w:rsidRPr="00350610" w:rsidRDefault="00350610" w:rsidP="00350610">
      <w:pPr>
        <w:spacing w:after="200" w:line="480" w:lineRule="auto"/>
        <w:jc w:val="both"/>
        <w:rPr>
          <w:rFonts w:eastAsia="Times New Roman"/>
          <w:color w:val="auto"/>
          <w:lang w:eastAsia="en-ZA"/>
        </w:rPr>
      </w:pPr>
    </w:p>
    <w:p w14:paraId="0F4D1AE5" w14:textId="36CCD09B" w:rsidR="00350610" w:rsidRPr="00DA3F54" w:rsidRDefault="00DA3F54"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2</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The SCA implored our courts to exercise discernment in ensuring that the awards they make for such violations accurately represent the value of the individual’s right to personal liberty and the seriousness with which any arbitrary deprivation is viewed in our legal system</w:t>
      </w:r>
      <w:r w:rsidR="00794C3F">
        <w:rPr>
          <w:rStyle w:val="FootnoteReference"/>
          <w:rFonts w:eastAsia="Times New Roman"/>
          <w:color w:val="auto"/>
          <w:lang w:eastAsia="en-ZA"/>
        </w:rPr>
        <w:footnoteReference w:id="16"/>
      </w:r>
      <w:r w:rsidR="00350610" w:rsidRPr="00350610">
        <w:rPr>
          <w:rFonts w:eastAsia="Times New Roman"/>
          <w:color w:val="auto"/>
          <w:lang w:eastAsia="en-ZA"/>
        </w:rPr>
        <w:t xml:space="preserve">.  </w:t>
      </w:r>
      <w:proofErr w:type="spellStart"/>
      <w:r w:rsidR="00350610" w:rsidRPr="00350610">
        <w:rPr>
          <w:rFonts w:eastAsia="Times New Roman"/>
          <w:color w:val="auto"/>
          <w:lang w:eastAsia="en-ZA"/>
        </w:rPr>
        <w:t>Bosielo</w:t>
      </w:r>
      <w:proofErr w:type="spellEnd"/>
      <w:r w:rsidR="00350610" w:rsidRPr="00350610">
        <w:rPr>
          <w:rFonts w:eastAsia="Times New Roman"/>
          <w:color w:val="auto"/>
          <w:lang w:eastAsia="en-ZA"/>
        </w:rPr>
        <w:t xml:space="preserve"> AJA (as he then was) stated: </w:t>
      </w:r>
    </w:p>
    <w:p w14:paraId="1C0D6EA7" w14:textId="22887093" w:rsidR="00350610" w:rsidRPr="00EF3E4E" w:rsidRDefault="00DA3F54" w:rsidP="00EF3E4E">
      <w:pPr>
        <w:spacing w:after="200" w:line="480" w:lineRule="auto"/>
        <w:ind w:left="720"/>
        <w:jc w:val="both"/>
        <w:rPr>
          <w:rFonts w:eastAsia="Times New Roman"/>
          <w:color w:val="auto"/>
          <w:sz w:val="20"/>
          <w:szCs w:val="20"/>
          <w:lang w:eastAsia="en-ZA"/>
        </w:rPr>
      </w:pPr>
      <w:r w:rsidRPr="00EF3E4E">
        <w:rPr>
          <w:rFonts w:eastAsia="Times New Roman"/>
          <w:color w:val="auto"/>
          <w:sz w:val="20"/>
          <w:szCs w:val="20"/>
          <w:lang w:eastAsia="en-ZA"/>
        </w:rPr>
        <w:t>“In</w:t>
      </w:r>
      <w:r w:rsidR="00350610" w:rsidRPr="00EF3E4E">
        <w:rPr>
          <w:rFonts w:eastAsia="Times New Roman"/>
          <w:color w:val="auto"/>
          <w:sz w:val="20"/>
          <w:szCs w:val="20"/>
          <w:lang w:eastAsia="en-ZA"/>
        </w:rPr>
        <w:t xml:space="preserve"> the assessment of damages for unlawful arrest and detention, it is important to bear in mind that the primary purpose is not to enrich the aggrieved party but to offer him or her some much- needed solatium for his or her injured feelings.</w:t>
      </w:r>
      <w:r w:rsidRPr="00EF3E4E">
        <w:rPr>
          <w:rFonts w:eastAsia="Times New Roman"/>
          <w:color w:val="auto"/>
          <w:sz w:val="20"/>
          <w:szCs w:val="20"/>
          <w:lang w:eastAsia="en-ZA"/>
        </w:rPr>
        <w:t>”</w:t>
      </w:r>
    </w:p>
    <w:p w14:paraId="06689140" w14:textId="77777777" w:rsidR="00DA3F54" w:rsidRDefault="00DA3F54" w:rsidP="00350610">
      <w:pPr>
        <w:spacing w:after="200" w:line="480" w:lineRule="auto"/>
        <w:jc w:val="both"/>
        <w:rPr>
          <w:rFonts w:eastAsia="Times New Roman"/>
          <w:color w:val="auto"/>
          <w:lang w:eastAsia="en-ZA"/>
        </w:rPr>
      </w:pPr>
    </w:p>
    <w:p w14:paraId="4FDFE562" w14:textId="1264F3D1" w:rsidR="00C07AD9" w:rsidRPr="00350610" w:rsidRDefault="00DA3F54" w:rsidP="00350610">
      <w:pPr>
        <w:spacing w:after="200" w:line="480" w:lineRule="auto"/>
        <w:jc w:val="both"/>
        <w:rPr>
          <w:rFonts w:eastAsia="Times New Roman"/>
          <w:color w:val="auto"/>
          <w:lang w:eastAsia="en-ZA"/>
        </w:rPr>
      </w:pPr>
      <w:r>
        <w:rPr>
          <w:rFonts w:eastAsia="Times New Roman"/>
          <w:color w:val="auto"/>
          <w:lang w:eastAsia="en-ZA"/>
        </w:rPr>
        <w:lastRenderedPageBreak/>
        <w:t>[7</w:t>
      </w:r>
      <w:r w:rsidR="00F80807">
        <w:rPr>
          <w:rFonts w:eastAsia="Times New Roman"/>
          <w:color w:val="auto"/>
          <w:lang w:eastAsia="en-ZA"/>
        </w:rPr>
        <w:t>3</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The SCA warned our courts not to follow the awards made in previous cases slavishly as this may lead to treacherous results. My task is to have regard to all the facts of this </w:t>
      </w:r>
      <w:r w:rsidRPr="00350610">
        <w:rPr>
          <w:rFonts w:eastAsia="Times New Roman"/>
          <w:color w:val="auto"/>
          <w:lang w:eastAsia="en-ZA"/>
        </w:rPr>
        <w:t>case</w:t>
      </w:r>
      <w:r w:rsidR="00350610" w:rsidRPr="00350610">
        <w:rPr>
          <w:rFonts w:eastAsia="Times New Roman"/>
          <w:color w:val="auto"/>
          <w:lang w:eastAsia="en-ZA"/>
        </w:rPr>
        <w:t xml:space="preserve"> and determine the quantum of damages on the facts presented. </w:t>
      </w:r>
    </w:p>
    <w:p w14:paraId="56D59A57" w14:textId="77777777" w:rsidR="00C218E3" w:rsidRDefault="00C218E3" w:rsidP="00350610">
      <w:pPr>
        <w:spacing w:after="200" w:line="480" w:lineRule="auto"/>
        <w:jc w:val="both"/>
        <w:rPr>
          <w:rFonts w:eastAsia="Times New Roman"/>
          <w:color w:val="auto"/>
          <w:lang w:eastAsia="en-ZA"/>
        </w:rPr>
      </w:pPr>
    </w:p>
    <w:p w14:paraId="5FB6F8D2" w14:textId="6D93B6B8" w:rsidR="00350610" w:rsidRPr="00350610" w:rsidRDefault="00DA3F54"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4</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In </w:t>
      </w:r>
      <w:proofErr w:type="spellStart"/>
      <w:r w:rsidR="00350610" w:rsidRPr="00350610">
        <w:rPr>
          <w:rFonts w:eastAsia="Times New Roman"/>
          <w:color w:val="auto"/>
          <w:lang w:eastAsia="en-ZA"/>
        </w:rPr>
        <w:t>casu</w:t>
      </w:r>
      <w:proofErr w:type="spellEnd"/>
      <w:r w:rsidR="00350610" w:rsidRPr="00350610">
        <w:rPr>
          <w:rFonts w:eastAsia="Times New Roman"/>
          <w:color w:val="auto"/>
          <w:lang w:eastAsia="en-ZA"/>
        </w:rPr>
        <w:t xml:space="preserve">, the arresting officer’s assertions that the police cells were </w:t>
      </w:r>
      <w:r w:rsidRPr="00350610">
        <w:rPr>
          <w:rFonts w:eastAsia="Times New Roman"/>
          <w:color w:val="auto"/>
          <w:lang w:eastAsia="en-ZA"/>
        </w:rPr>
        <w:t>clean,</w:t>
      </w:r>
      <w:r w:rsidR="00350610" w:rsidRPr="00350610">
        <w:rPr>
          <w:rFonts w:eastAsia="Times New Roman"/>
          <w:color w:val="auto"/>
          <w:lang w:eastAsia="en-ZA"/>
        </w:rPr>
        <w:t xml:space="preserve"> and the food was nutritious cannot be probable. His primary task was to arrest and detain the plaintiff and not to monitor the conditions in the police cells. He never investigated the circumstances upon which the plaintiff was subjected. I find the plaintiff’s evidence more </w:t>
      </w:r>
      <w:r w:rsidRPr="00350610">
        <w:rPr>
          <w:rFonts w:eastAsia="Times New Roman"/>
          <w:color w:val="auto"/>
          <w:lang w:eastAsia="en-ZA"/>
        </w:rPr>
        <w:t>probable,</w:t>
      </w:r>
      <w:r w:rsidR="00350610" w:rsidRPr="00350610">
        <w:rPr>
          <w:rFonts w:eastAsia="Times New Roman"/>
          <w:color w:val="auto"/>
          <w:lang w:eastAsia="en-ZA"/>
        </w:rPr>
        <w:t xml:space="preserve"> and I accept the evidence adduced by the plaintiff in this regard.</w:t>
      </w:r>
    </w:p>
    <w:p w14:paraId="515F7097" w14:textId="77777777" w:rsidR="00DA3F54" w:rsidRDefault="00DA3F54" w:rsidP="00350610">
      <w:pPr>
        <w:spacing w:after="200" w:line="480" w:lineRule="auto"/>
        <w:jc w:val="both"/>
        <w:rPr>
          <w:rFonts w:eastAsia="Times New Roman"/>
          <w:color w:val="auto"/>
          <w:lang w:eastAsia="en-ZA"/>
        </w:rPr>
      </w:pPr>
    </w:p>
    <w:p w14:paraId="0862BEC0" w14:textId="729D3D0C" w:rsidR="00DA3F54" w:rsidRDefault="00DA3F54"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5</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It may well be argued that a period of four days spent in detention is relatively a short period, however, this cannot be viewed in isolation. The plaintiff was arrested at school in full view of other students and his career path was interrupted. He was subjected to psychological and physical torture and out of desperation the investigating officer induced him to confess or admit the allegations against him. He is carrying a stigma that he had killed a human being. </w:t>
      </w:r>
    </w:p>
    <w:p w14:paraId="6FA43205" w14:textId="77777777" w:rsidR="00DA3F54" w:rsidRDefault="00DA3F54" w:rsidP="00350610">
      <w:pPr>
        <w:spacing w:after="200" w:line="480" w:lineRule="auto"/>
        <w:jc w:val="both"/>
        <w:rPr>
          <w:rFonts w:eastAsia="Times New Roman"/>
          <w:color w:val="auto"/>
          <w:lang w:eastAsia="en-ZA"/>
        </w:rPr>
      </w:pPr>
    </w:p>
    <w:p w14:paraId="63927F8F" w14:textId="363D3E99" w:rsidR="00DA3F54" w:rsidRDefault="00DA3F54"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6</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 xml:space="preserve">The plaintiff has claimed an amount of R50 000 for unlawful arrest and I find this to be reasonable. Considering the awards which were previously made in this </w:t>
      </w:r>
      <w:r w:rsidRPr="00350610">
        <w:rPr>
          <w:rFonts w:eastAsia="Times New Roman"/>
          <w:color w:val="auto"/>
          <w:lang w:eastAsia="en-ZA"/>
        </w:rPr>
        <w:t>Division</w:t>
      </w:r>
      <w:r w:rsidR="00794C3F">
        <w:rPr>
          <w:rStyle w:val="FootnoteReference"/>
          <w:rFonts w:eastAsia="Times New Roman"/>
          <w:color w:val="auto"/>
          <w:lang w:eastAsia="en-ZA"/>
        </w:rPr>
        <w:footnoteReference w:id="17"/>
      </w:r>
      <w:r w:rsidRPr="00350610">
        <w:rPr>
          <w:rFonts w:eastAsia="Times New Roman"/>
          <w:color w:val="auto"/>
          <w:lang w:eastAsia="en-ZA"/>
        </w:rPr>
        <w:t xml:space="preserve"> </w:t>
      </w:r>
      <w:r w:rsidRPr="00350610">
        <w:rPr>
          <w:rFonts w:eastAsia="Times New Roman"/>
          <w:color w:val="auto"/>
          <w:lang w:eastAsia="en-ZA"/>
        </w:rPr>
        <w:lastRenderedPageBreak/>
        <w:t>including</w:t>
      </w:r>
      <w:r w:rsidR="00350610" w:rsidRPr="00350610">
        <w:rPr>
          <w:rFonts w:eastAsia="Times New Roman"/>
          <w:color w:val="auto"/>
          <w:lang w:eastAsia="en-ZA"/>
        </w:rPr>
        <w:t xml:space="preserve"> the circumstances of this case, I find that his claim for unlawful detention is exorbitant. </w:t>
      </w:r>
    </w:p>
    <w:p w14:paraId="555F0A2E" w14:textId="77777777" w:rsidR="00DA3F54" w:rsidRDefault="00DA3F54" w:rsidP="00350610">
      <w:pPr>
        <w:spacing w:after="200" w:line="480" w:lineRule="auto"/>
        <w:jc w:val="both"/>
        <w:rPr>
          <w:rFonts w:eastAsia="Times New Roman"/>
          <w:color w:val="auto"/>
          <w:lang w:eastAsia="en-ZA"/>
        </w:rPr>
      </w:pPr>
    </w:p>
    <w:p w14:paraId="0A1B3E1F" w14:textId="75E0600E" w:rsidR="00350610" w:rsidRDefault="00DA3F54"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7</w:t>
      </w:r>
      <w:r>
        <w:rPr>
          <w:rFonts w:eastAsia="Times New Roman"/>
          <w:color w:val="auto"/>
          <w:lang w:eastAsia="en-ZA"/>
        </w:rPr>
        <w:t>]</w:t>
      </w:r>
      <w:r>
        <w:rPr>
          <w:rFonts w:eastAsia="Times New Roman"/>
          <w:color w:val="auto"/>
          <w:lang w:eastAsia="en-ZA"/>
        </w:rPr>
        <w:tab/>
      </w:r>
      <w:r w:rsidR="00350610" w:rsidRPr="00350610">
        <w:rPr>
          <w:rFonts w:eastAsia="Times New Roman"/>
          <w:color w:val="auto"/>
          <w:lang w:eastAsia="en-ZA"/>
        </w:rPr>
        <w:t>In the circumstances, I award the plaint</w:t>
      </w:r>
      <w:r w:rsidR="00F90A77">
        <w:rPr>
          <w:rFonts w:eastAsia="Times New Roman"/>
          <w:color w:val="auto"/>
          <w:lang w:eastAsia="en-ZA"/>
        </w:rPr>
        <w:t>iff a circular amount of R175 000 (One hundred and seventy five thousand rand</w:t>
      </w:r>
      <w:r w:rsidR="00350610" w:rsidRPr="00350610">
        <w:rPr>
          <w:rFonts w:eastAsia="Times New Roman"/>
          <w:color w:val="auto"/>
          <w:lang w:eastAsia="en-ZA"/>
        </w:rPr>
        <w:t>) as damages for unlawful arrest and detention f</w:t>
      </w:r>
      <w:r w:rsidR="00273C4E">
        <w:rPr>
          <w:rFonts w:eastAsia="Times New Roman"/>
          <w:color w:val="auto"/>
          <w:lang w:eastAsia="en-ZA"/>
        </w:rPr>
        <w:t>ro</w:t>
      </w:r>
      <w:r w:rsidR="00350610" w:rsidRPr="00350610">
        <w:rPr>
          <w:rFonts w:eastAsia="Times New Roman"/>
          <w:color w:val="auto"/>
          <w:lang w:eastAsia="en-ZA"/>
        </w:rPr>
        <w:t xml:space="preserve">m the period 12 to 15 November 2015, taking into account the conduct of the 1st defendant at the time of arrest, the humiliation that the plaintiff suffered throughout his period of detention until his first appearance in court and the conditions in the police cells. </w:t>
      </w:r>
    </w:p>
    <w:p w14:paraId="3DB140FC" w14:textId="77777777" w:rsidR="00794C3F" w:rsidRPr="00794C3F" w:rsidRDefault="00794C3F" w:rsidP="00350610">
      <w:pPr>
        <w:spacing w:after="200" w:line="480" w:lineRule="auto"/>
        <w:jc w:val="both"/>
        <w:rPr>
          <w:rFonts w:eastAsia="Times New Roman"/>
          <w:color w:val="auto"/>
          <w:lang w:eastAsia="en-ZA"/>
        </w:rPr>
      </w:pPr>
    </w:p>
    <w:p w14:paraId="4236C864" w14:textId="0CF42864" w:rsidR="00794C3F" w:rsidRPr="003339F2" w:rsidRDefault="00506302" w:rsidP="00350610">
      <w:pPr>
        <w:spacing w:after="200" w:line="480" w:lineRule="auto"/>
        <w:jc w:val="both"/>
        <w:rPr>
          <w:rFonts w:eastAsia="Times New Roman"/>
          <w:b/>
          <w:bCs/>
          <w:i/>
          <w:iCs/>
          <w:color w:val="auto"/>
          <w:lang w:eastAsia="en-ZA"/>
        </w:rPr>
      </w:pPr>
      <w:r>
        <w:rPr>
          <w:rFonts w:eastAsia="Times New Roman"/>
          <w:b/>
          <w:bCs/>
          <w:iCs/>
          <w:color w:val="auto"/>
          <w:lang w:eastAsia="en-ZA"/>
        </w:rPr>
        <w:t>L.</w:t>
      </w:r>
      <w:r>
        <w:rPr>
          <w:rFonts w:eastAsia="Times New Roman"/>
          <w:b/>
          <w:bCs/>
          <w:iCs/>
          <w:color w:val="auto"/>
          <w:lang w:eastAsia="en-ZA"/>
        </w:rPr>
        <w:tab/>
      </w:r>
      <w:r w:rsidR="00350610" w:rsidRPr="003339F2">
        <w:rPr>
          <w:rFonts w:eastAsia="Times New Roman"/>
          <w:b/>
          <w:bCs/>
          <w:iCs/>
          <w:color w:val="auto"/>
          <w:u w:val="single"/>
          <w:lang w:eastAsia="en-ZA"/>
        </w:rPr>
        <w:t>Order</w:t>
      </w:r>
      <w:r>
        <w:rPr>
          <w:rFonts w:eastAsia="Times New Roman"/>
          <w:b/>
          <w:bCs/>
          <w:iCs/>
          <w:color w:val="auto"/>
          <w:lang w:eastAsia="en-ZA"/>
        </w:rPr>
        <w:t>:</w:t>
      </w:r>
    </w:p>
    <w:p w14:paraId="529B7FBA" w14:textId="7935C063" w:rsidR="00350610" w:rsidRPr="00350610" w:rsidRDefault="00DA3F54" w:rsidP="00350610">
      <w:pPr>
        <w:spacing w:after="200" w:line="480" w:lineRule="auto"/>
        <w:jc w:val="both"/>
        <w:rPr>
          <w:rFonts w:eastAsia="Times New Roman"/>
          <w:color w:val="auto"/>
          <w:lang w:eastAsia="en-ZA"/>
        </w:rPr>
      </w:pPr>
      <w:r>
        <w:rPr>
          <w:rFonts w:eastAsia="Times New Roman"/>
          <w:color w:val="auto"/>
          <w:lang w:eastAsia="en-ZA"/>
        </w:rPr>
        <w:t>[7</w:t>
      </w:r>
      <w:r w:rsidR="00F80807">
        <w:rPr>
          <w:rFonts w:eastAsia="Times New Roman"/>
          <w:color w:val="auto"/>
          <w:lang w:eastAsia="en-ZA"/>
        </w:rPr>
        <w:t>8</w:t>
      </w:r>
      <w:r>
        <w:rPr>
          <w:rFonts w:eastAsia="Times New Roman"/>
          <w:color w:val="auto"/>
          <w:lang w:eastAsia="en-ZA"/>
        </w:rPr>
        <w:t>]</w:t>
      </w:r>
      <w:r>
        <w:rPr>
          <w:rFonts w:eastAsia="Times New Roman"/>
          <w:color w:val="auto"/>
          <w:lang w:eastAsia="en-ZA"/>
        </w:rPr>
        <w:tab/>
      </w:r>
      <w:r w:rsidRPr="00DA3F54">
        <w:rPr>
          <w:rFonts w:eastAsia="Times New Roman"/>
          <w:color w:val="auto"/>
          <w:lang w:eastAsia="en-ZA"/>
        </w:rPr>
        <w:t>In the resul</w:t>
      </w:r>
      <w:r w:rsidR="00727805">
        <w:rPr>
          <w:rFonts w:eastAsia="Times New Roman"/>
          <w:color w:val="auto"/>
          <w:lang w:eastAsia="en-ZA"/>
        </w:rPr>
        <w:t>t, the following order is made</w:t>
      </w:r>
      <w:r w:rsidRPr="00DA3F54">
        <w:rPr>
          <w:rFonts w:eastAsia="Times New Roman"/>
          <w:color w:val="auto"/>
          <w:lang w:eastAsia="en-ZA"/>
        </w:rPr>
        <w:t>:</w:t>
      </w:r>
    </w:p>
    <w:p w14:paraId="20D31906" w14:textId="01A64184" w:rsidR="00794C3F" w:rsidRPr="00997105" w:rsidRDefault="00997105" w:rsidP="00997105">
      <w:pPr>
        <w:spacing w:after="200" w:line="480" w:lineRule="auto"/>
        <w:ind w:left="1068" w:hanging="360"/>
        <w:jc w:val="both"/>
        <w:rPr>
          <w:rFonts w:eastAsia="Times New Roman"/>
          <w:color w:val="auto"/>
          <w:lang w:eastAsia="en-ZA"/>
        </w:rPr>
      </w:pPr>
      <w:r w:rsidRPr="00EF3E4E">
        <w:rPr>
          <w:rFonts w:eastAsia="Times New Roman"/>
          <w:color w:val="auto"/>
          <w:lang w:eastAsia="en-ZA"/>
        </w:rPr>
        <w:t>1.</w:t>
      </w:r>
      <w:r w:rsidRPr="00EF3E4E">
        <w:rPr>
          <w:rFonts w:eastAsia="Times New Roman"/>
          <w:color w:val="auto"/>
          <w:lang w:eastAsia="en-ZA"/>
        </w:rPr>
        <w:tab/>
      </w:r>
      <w:r w:rsidR="00350610" w:rsidRPr="00997105">
        <w:rPr>
          <w:rFonts w:eastAsia="Times New Roman"/>
          <w:color w:val="auto"/>
          <w:lang w:eastAsia="en-ZA"/>
        </w:rPr>
        <w:t>The plaintiff’s claim for unlawful arrest and detention against the 1st defendant from the period 12 to 15 November 2015 succeeds.</w:t>
      </w:r>
    </w:p>
    <w:p w14:paraId="72FB679C" w14:textId="14E69FB3" w:rsidR="00DA3F54" w:rsidRPr="00997105" w:rsidRDefault="00997105" w:rsidP="00997105">
      <w:pPr>
        <w:spacing w:after="200" w:line="480" w:lineRule="auto"/>
        <w:ind w:left="1068" w:hanging="360"/>
        <w:jc w:val="both"/>
        <w:rPr>
          <w:rFonts w:eastAsia="Times New Roman"/>
          <w:color w:val="auto"/>
          <w:lang w:eastAsia="en-ZA"/>
        </w:rPr>
      </w:pPr>
      <w:r w:rsidRPr="00EF3E4E">
        <w:rPr>
          <w:rFonts w:eastAsia="Times New Roman"/>
          <w:color w:val="auto"/>
          <w:lang w:eastAsia="en-ZA"/>
        </w:rPr>
        <w:t>2.</w:t>
      </w:r>
      <w:r w:rsidRPr="00EF3E4E">
        <w:rPr>
          <w:rFonts w:eastAsia="Times New Roman"/>
          <w:color w:val="auto"/>
          <w:lang w:eastAsia="en-ZA"/>
        </w:rPr>
        <w:tab/>
      </w:r>
      <w:r w:rsidR="00350610" w:rsidRPr="00997105">
        <w:rPr>
          <w:rFonts w:eastAsia="Times New Roman"/>
          <w:color w:val="auto"/>
          <w:lang w:eastAsia="en-ZA"/>
        </w:rPr>
        <w:t>The 1st defendant is liable to comp</w:t>
      </w:r>
      <w:r w:rsidR="00F90A77" w:rsidRPr="00997105">
        <w:rPr>
          <w:rFonts w:eastAsia="Times New Roman"/>
          <w:color w:val="auto"/>
          <w:lang w:eastAsia="en-ZA"/>
        </w:rPr>
        <w:t>ensate the plaintiff a sum of R1</w:t>
      </w:r>
      <w:r w:rsidR="00350610" w:rsidRPr="00997105">
        <w:rPr>
          <w:rFonts w:eastAsia="Times New Roman"/>
          <w:color w:val="auto"/>
          <w:lang w:eastAsia="en-ZA"/>
        </w:rPr>
        <w:t>75</w:t>
      </w:r>
      <w:r w:rsidR="00F90A77" w:rsidRPr="00997105">
        <w:rPr>
          <w:rFonts w:eastAsia="Times New Roman"/>
          <w:color w:val="auto"/>
          <w:lang w:eastAsia="en-ZA"/>
        </w:rPr>
        <w:t> </w:t>
      </w:r>
      <w:r w:rsidR="00350610" w:rsidRPr="00997105">
        <w:rPr>
          <w:rFonts w:eastAsia="Times New Roman"/>
          <w:color w:val="auto"/>
          <w:lang w:eastAsia="en-ZA"/>
        </w:rPr>
        <w:t>000</w:t>
      </w:r>
      <w:r w:rsidR="00F90A77" w:rsidRPr="00997105">
        <w:rPr>
          <w:rFonts w:eastAsia="Times New Roman"/>
          <w:color w:val="auto"/>
          <w:lang w:eastAsia="en-ZA"/>
        </w:rPr>
        <w:t xml:space="preserve"> (One hundred and </w:t>
      </w:r>
      <w:proofErr w:type="gramStart"/>
      <w:r w:rsidR="00F90A77" w:rsidRPr="00997105">
        <w:rPr>
          <w:rFonts w:eastAsia="Times New Roman"/>
          <w:color w:val="auto"/>
          <w:lang w:eastAsia="en-ZA"/>
        </w:rPr>
        <w:t>seventy five</w:t>
      </w:r>
      <w:proofErr w:type="gramEnd"/>
      <w:r w:rsidR="00F90A77" w:rsidRPr="00997105">
        <w:rPr>
          <w:rFonts w:eastAsia="Times New Roman"/>
          <w:color w:val="auto"/>
          <w:lang w:eastAsia="en-ZA"/>
        </w:rPr>
        <w:t xml:space="preserve"> thousand rand)</w:t>
      </w:r>
      <w:r w:rsidR="00350610" w:rsidRPr="00997105">
        <w:rPr>
          <w:rFonts w:eastAsia="Times New Roman"/>
          <w:color w:val="auto"/>
          <w:lang w:eastAsia="en-ZA"/>
        </w:rPr>
        <w:t xml:space="preserve"> for damages arising out of unlawful arrest and detention from the period 12 to 15 November 2015.</w:t>
      </w:r>
    </w:p>
    <w:p w14:paraId="46DC9274" w14:textId="18F6DC11" w:rsidR="00DA3F54" w:rsidRPr="00997105" w:rsidRDefault="00997105" w:rsidP="00997105">
      <w:pPr>
        <w:spacing w:after="200" w:line="480" w:lineRule="auto"/>
        <w:ind w:left="1068" w:hanging="360"/>
        <w:jc w:val="both"/>
        <w:rPr>
          <w:rFonts w:eastAsia="Times New Roman"/>
          <w:color w:val="auto"/>
          <w:lang w:eastAsia="en-ZA"/>
        </w:rPr>
      </w:pPr>
      <w:r w:rsidRPr="00EF3E4E">
        <w:rPr>
          <w:rFonts w:eastAsia="Times New Roman"/>
          <w:color w:val="auto"/>
          <w:lang w:eastAsia="en-ZA"/>
        </w:rPr>
        <w:t>3.</w:t>
      </w:r>
      <w:r w:rsidRPr="00EF3E4E">
        <w:rPr>
          <w:rFonts w:eastAsia="Times New Roman"/>
          <w:color w:val="auto"/>
          <w:lang w:eastAsia="en-ZA"/>
        </w:rPr>
        <w:tab/>
      </w:r>
      <w:r w:rsidR="00350610" w:rsidRPr="00997105">
        <w:rPr>
          <w:rFonts w:eastAsia="Times New Roman"/>
          <w:color w:val="auto"/>
          <w:lang w:eastAsia="en-ZA"/>
        </w:rPr>
        <w:t>The defendant shall pay interest at the legal rate on the said amount from 14 days from the date of judgment to the date of payment.</w:t>
      </w:r>
    </w:p>
    <w:p w14:paraId="76558060" w14:textId="080F62B3" w:rsidR="00DA3F54" w:rsidRPr="00997105" w:rsidRDefault="00997105" w:rsidP="00997105">
      <w:pPr>
        <w:spacing w:after="200" w:line="480" w:lineRule="auto"/>
        <w:ind w:left="1068" w:hanging="360"/>
        <w:jc w:val="both"/>
        <w:rPr>
          <w:rFonts w:eastAsia="Times New Roman"/>
          <w:color w:val="auto"/>
          <w:lang w:eastAsia="en-ZA"/>
        </w:rPr>
      </w:pPr>
      <w:r w:rsidRPr="00EF3E4E">
        <w:rPr>
          <w:rFonts w:eastAsia="Times New Roman"/>
          <w:color w:val="auto"/>
          <w:lang w:eastAsia="en-ZA"/>
        </w:rPr>
        <w:t>4.</w:t>
      </w:r>
      <w:r w:rsidRPr="00EF3E4E">
        <w:rPr>
          <w:rFonts w:eastAsia="Times New Roman"/>
          <w:color w:val="auto"/>
          <w:lang w:eastAsia="en-ZA"/>
        </w:rPr>
        <w:tab/>
      </w:r>
      <w:r w:rsidR="00350610" w:rsidRPr="00997105">
        <w:rPr>
          <w:rFonts w:eastAsia="Times New Roman"/>
          <w:color w:val="auto"/>
          <w:lang w:eastAsia="en-ZA"/>
        </w:rPr>
        <w:t>The plaintiff’s claim against the 1st and the 2nd defendant arising out of a detention from the period 16 November 2015 to 26 February 2016 is dismissed.</w:t>
      </w:r>
    </w:p>
    <w:p w14:paraId="6B8D1108" w14:textId="3448D822" w:rsidR="00350610" w:rsidRPr="00997105" w:rsidRDefault="00997105" w:rsidP="00997105">
      <w:pPr>
        <w:spacing w:after="200" w:line="480" w:lineRule="auto"/>
        <w:ind w:left="1068" w:hanging="360"/>
        <w:jc w:val="both"/>
        <w:rPr>
          <w:rFonts w:eastAsia="Times New Roman"/>
          <w:color w:val="auto"/>
          <w:lang w:eastAsia="en-ZA"/>
        </w:rPr>
      </w:pPr>
      <w:r>
        <w:rPr>
          <w:rFonts w:eastAsia="Times New Roman"/>
          <w:color w:val="auto"/>
          <w:lang w:eastAsia="en-ZA"/>
        </w:rPr>
        <w:lastRenderedPageBreak/>
        <w:t>5.</w:t>
      </w:r>
      <w:r>
        <w:rPr>
          <w:rFonts w:eastAsia="Times New Roman"/>
          <w:color w:val="auto"/>
          <w:lang w:eastAsia="en-ZA"/>
        </w:rPr>
        <w:tab/>
      </w:r>
      <w:r w:rsidR="00350610" w:rsidRPr="00997105">
        <w:rPr>
          <w:rFonts w:eastAsia="Times New Roman"/>
          <w:color w:val="auto"/>
          <w:lang w:eastAsia="en-ZA"/>
        </w:rPr>
        <w:t>The defendant is ordered to pay costs of this action.</w:t>
      </w:r>
    </w:p>
    <w:p w14:paraId="4B8CF9D4" w14:textId="77777777" w:rsidR="00794C3F" w:rsidRDefault="00794C3F" w:rsidP="00EF3E4E">
      <w:pPr>
        <w:pStyle w:val="ListParagraph"/>
        <w:spacing w:after="200" w:line="480" w:lineRule="auto"/>
        <w:ind w:left="1068"/>
        <w:jc w:val="both"/>
        <w:rPr>
          <w:rFonts w:eastAsia="Times New Roman"/>
          <w:color w:val="auto"/>
          <w:lang w:eastAsia="en-ZA"/>
        </w:rPr>
      </w:pPr>
    </w:p>
    <w:p w14:paraId="22FA9454" w14:textId="77777777" w:rsidR="00D25388" w:rsidRPr="00581881" w:rsidRDefault="00D25388" w:rsidP="006D715B">
      <w:pPr>
        <w:jc w:val="both"/>
        <w:rPr>
          <w:b/>
        </w:rPr>
      </w:pPr>
    </w:p>
    <w:p w14:paraId="02192453" w14:textId="3096139E" w:rsidR="00D25388" w:rsidRPr="00581881" w:rsidRDefault="00794C3F" w:rsidP="006D715B">
      <w:pPr>
        <w:jc w:val="both"/>
        <w:rPr>
          <w:b/>
        </w:rPr>
      </w:pPr>
      <w:r>
        <w:rPr>
          <w:b/>
        </w:rPr>
        <w:t>_____________________________</w:t>
      </w:r>
    </w:p>
    <w:p w14:paraId="19933469" w14:textId="77777777" w:rsidR="00D25388" w:rsidRPr="00581881" w:rsidRDefault="00D25388" w:rsidP="006D715B">
      <w:pPr>
        <w:jc w:val="both"/>
        <w:rPr>
          <w:b/>
        </w:rPr>
      </w:pPr>
      <w:r w:rsidRPr="00581881">
        <w:rPr>
          <w:b/>
        </w:rPr>
        <w:t>N CENGANI-MBAKAZA</w:t>
      </w:r>
    </w:p>
    <w:p w14:paraId="1219BBDF" w14:textId="1CF02E5A" w:rsidR="00DA3F54" w:rsidRDefault="00D25388" w:rsidP="00EF3E4E">
      <w:pPr>
        <w:jc w:val="both"/>
      </w:pPr>
      <w:r w:rsidRPr="00581881">
        <w:rPr>
          <w:b/>
        </w:rPr>
        <w:t>ACTING JUDGE OF THE HIGH COURT</w:t>
      </w:r>
    </w:p>
    <w:p w14:paraId="5C827E2E" w14:textId="77777777" w:rsidR="00DA3F54" w:rsidRDefault="00DA3F54" w:rsidP="006D715B">
      <w:pPr>
        <w:pStyle w:val="ListParagraph"/>
        <w:jc w:val="both"/>
      </w:pPr>
    </w:p>
    <w:p w14:paraId="38E3D836" w14:textId="452EFC6D" w:rsidR="00DA3F54" w:rsidRPr="00EF3E4E" w:rsidRDefault="00D25388" w:rsidP="00C218E3">
      <w:pPr>
        <w:spacing w:line="276" w:lineRule="auto"/>
        <w:jc w:val="both"/>
        <w:rPr>
          <w:b/>
          <w:bCs/>
        </w:rPr>
      </w:pPr>
      <w:proofErr w:type="gramStart"/>
      <w:r w:rsidRPr="00EF3E4E">
        <w:rPr>
          <w:b/>
          <w:bCs/>
        </w:rPr>
        <w:t>APPEARANCES</w:t>
      </w:r>
      <w:r w:rsidR="00812345" w:rsidRPr="00EF3E4E">
        <w:rPr>
          <w:b/>
          <w:bCs/>
        </w:rPr>
        <w:t xml:space="preserve"> </w:t>
      </w:r>
      <w:r w:rsidR="00A74291" w:rsidRPr="00EF3E4E">
        <w:rPr>
          <w:b/>
          <w:bCs/>
        </w:rPr>
        <w:t>:</w:t>
      </w:r>
      <w:proofErr w:type="gramEnd"/>
      <w:r w:rsidR="00A74291" w:rsidRPr="00EF3E4E">
        <w:rPr>
          <w:b/>
          <w:bCs/>
        </w:rPr>
        <w:t xml:space="preserve"> </w:t>
      </w:r>
    </w:p>
    <w:p w14:paraId="1629ED4C" w14:textId="77777777" w:rsidR="00DA3F54" w:rsidRDefault="00DA3F54" w:rsidP="00C218E3">
      <w:pPr>
        <w:pStyle w:val="ListParagraph"/>
        <w:spacing w:line="276" w:lineRule="auto"/>
        <w:jc w:val="both"/>
      </w:pPr>
    </w:p>
    <w:p w14:paraId="74B48E13" w14:textId="7DC1F47E" w:rsidR="00DA3F54" w:rsidRPr="00581881" w:rsidRDefault="00A74291" w:rsidP="00C218E3">
      <w:pPr>
        <w:spacing w:line="276" w:lineRule="auto"/>
        <w:jc w:val="both"/>
      </w:pPr>
      <w:r>
        <w:t>A</w:t>
      </w:r>
      <w:r w:rsidR="00DA3F54" w:rsidRPr="00DA3F54">
        <w:t xml:space="preserve"> </w:t>
      </w:r>
      <w:r w:rsidR="00DA3F54">
        <w:t xml:space="preserve">Counsel for the </w:t>
      </w:r>
      <w:r w:rsidR="00542EFB">
        <w:t>Plaintiff</w:t>
      </w:r>
      <w:r w:rsidR="00DA3F54">
        <w:t>:</w:t>
      </w:r>
      <w:r w:rsidR="00DA3F54">
        <w:tab/>
      </w:r>
      <w:r w:rsidR="00DA3F54">
        <w:tab/>
      </w:r>
      <w:r w:rsidR="00DA3F54">
        <w:tab/>
        <w:t xml:space="preserve">Adv. </w:t>
      </w:r>
      <w:proofErr w:type="spellStart"/>
      <w:r w:rsidR="00DA3F54">
        <w:t>Mdeyide</w:t>
      </w:r>
      <w:proofErr w:type="spellEnd"/>
      <w:r w:rsidR="00DA3F54">
        <w:t xml:space="preserve"> with Adv </w:t>
      </w:r>
      <w:proofErr w:type="spellStart"/>
      <w:r w:rsidR="00DA3F54">
        <w:t>Nqabeni</w:t>
      </w:r>
      <w:proofErr w:type="spellEnd"/>
    </w:p>
    <w:p w14:paraId="44026EC8" w14:textId="4DBB5375" w:rsidR="00DA3F54" w:rsidRDefault="00DA3F54" w:rsidP="00C218E3">
      <w:pPr>
        <w:pStyle w:val="ListParagraph"/>
        <w:spacing w:line="276" w:lineRule="auto"/>
        <w:jc w:val="both"/>
      </w:pPr>
    </w:p>
    <w:p w14:paraId="39C6547C" w14:textId="695A8C6B" w:rsidR="00DA3F54" w:rsidRPr="00581881" w:rsidRDefault="00DA3F54" w:rsidP="00C218E3">
      <w:pPr>
        <w:spacing w:line="276" w:lineRule="auto"/>
        <w:jc w:val="both"/>
      </w:pPr>
      <w:r>
        <w:t>Instructed by:</w:t>
      </w:r>
      <w:r>
        <w:tab/>
      </w:r>
      <w:r>
        <w:tab/>
      </w:r>
      <w:r>
        <w:tab/>
      </w:r>
      <w:r>
        <w:tab/>
        <w:t xml:space="preserve">Mr SR </w:t>
      </w:r>
      <w:proofErr w:type="spellStart"/>
      <w:r>
        <w:t>Mhlawuli</w:t>
      </w:r>
      <w:proofErr w:type="spellEnd"/>
    </w:p>
    <w:p w14:paraId="08A3E8D9" w14:textId="097C075C" w:rsidR="00DA3F54" w:rsidRDefault="00DA3F54" w:rsidP="00C218E3">
      <w:pPr>
        <w:pStyle w:val="ListParagraph"/>
        <w:spacing w:line="276" w:lineRule="auto"/>
        <w:jc w:val="both"/>
      </w:pPr>
      <w:r w:rsidRPr="00581881">
        <w:t xml:space="preserve">                                                  </w:t>
      </w:r>
      <w:r w:rsidR="00542EFB">
        <w:tab/>
      </w:r>
      <w:r w:rsidRPr="00581881">
        <w:t>Plaintiff’s Attorney</w:t>
      </w:r>
    </w:p>
    <w:p w14:paraId="13289178" w14:textId="233F9677" w:rsidR="00DA3F54" w:rsidRDefault="00DA3F54" w:rsidP="00C218E3">
      <w:pPr>
        <w:pStyle w:val="ListParagraph"/>
        <w:spacing w:line="276" w:lineRule="auto"/>
        <w:jc w:val="both"/>
      </w:pPr>
      <w:r>
        <w:t xml:space="preserve">                                                  </w:t>
      </w:r>
      <w:r w:rsidR="00542EFB">
        <w:tab/>
      </w:r>
      <w:r>
        <w:t>Suite 318 &amp;325</w:t>
      </w:r>
    </w:p>
    <w:p w14:paraId="16616AC2" w14:textId="785A306A" w:rsidR="00DA3F54" w:rsidRDefault="00DA3F54" w:rsidP="00C218E3">
      <w:pPr>
        <w:pStyle w:val="ListParagraph"/>
        <w:spacing w:line="276" w:lineRule="auto"/>
        <w:jc w:val="both"/>
      </w:pPr>
      <w:r>
        <w:t xml:space="preserve">                                                </w:t>
      </w:r>
      <w:r w:rsidR="00542EFB">
        <w:tab/>
      </w:r>
      <w:r>
        <w:t>ECDC Building, York Road</w:t>
      </w:r>
    </w:p>
    <w:p w14:paraId="27C82897" w14:textId="37004154" w:rsidR="00DA3F54" w:rsidRDefault="00DA3F54" w:rsidP="00C218E3">
      <w:pPr>
        <w:pStyle w:val="ListParagraph"/>
        <w:spacing w:line="276" w:lineRule="auto"/>
        <w:jc w:val="both"/>
      </w:pPr>
      <w:r>
        <w:t xml:space="preserve">                                                  </w:t>
      </w:r>
      <w:r w:rsidR="00542EFB">
        <w:tab/>
      </w:r>
      <w:r>
        <w:t>MTHATHA</w:t>
      </w:r>
    </w:p>
    <w:p w14:paraId="44C9EA45" w14:textId="77777777" w:rsidR="00DA3F54" w:rsidRDefault="00DA3F54" w:rsidP="00C218E3">
      <w:pPr>
        <w:pStyle w:val="ListParagraph"/>
        <w:spacing w:line="276" w:lineRule="auto"/>
        <w:jc w:val="both"/>
      </w:pPr>
    </w:p>
    <w:p w14:paraId="112D2280" w14:textId="458E0B19" w:rsidR="00DA3F54" w:rsidRDefault="00DA3F54" w:rsidP="00C218E3">
      <w:pPr>
        <w:spacing w:line="276" w:lineRule="auto"/>
        <w:jc w:val="both"/>
      </w:pPr>
      <w:r>
        <w:t xml:space="preserve">Counsel for the </w:t>
      </w:r>
      <w:r w:rsidR="00542EFB">
        <w:t>1</w:t>
      </w:r>
      <w:r w:rsidR="00542EFB" w:rsidRPr="00EF3E4E">
        <w:rPr>
          <w:vertAlign w:val="superscript"/>
        </w:rPr>
        <w:t>st</w:t>
      </w:r>
      <w:r w:rsidR="00542EFB">
        <w:t xml:space="preserve"> Defendant</w:t>
      </w:r>
      <w:r>
        <w:t>:</w:t>
      </w:r>
      <w:r>
        <w:tab/>
      </w:r>
      <w:r>
        <w:tab/>
      </w:r>
      <w:r w:rsidR="00542EFB">
        <w:t xml:space="preserve">Adv Halam with Adv </w:t>
      </w:r>
      <w:proofErr w:type="spellStart"/>
      <w:r w:rsidR="00542EFB">
        <w:t>Nomnyangwana</w:t>
      </w:r>
      <w:proofErr w:type="spellEnd"/>
    </w:p>
    <w:p w14:paraId="63136FF5" w14:textId="77777777" w:rsidR="00542EFB" w:rsidRDefault="00542EFB" w:rsidP="00C218E3">
      <w:pPr>
        <w:pStyle w:val="ListParagraph"/>
        <w:spacing w:line="276" w:lineRule="auto"/>
        <w:jc w:val="both"/>
      </w:pPr>
    </w:p>
    <w:p w14:paraId="0B913C47" w14:textId="6D33C61D" w:rsidR="00DA3F54" w:rsidRDefault="00DA3F54" w:rsidP="00C218E3">
      <w:pPr>
        <w:spacing w:line="276" w:lineRule="auto"/>
        <w:jc w:val="both"/>
      </w:pPr>
      <w:r>
        <w:t>Instructed by:</w:t>
      </w:r>
      <w:r>
        <w:tab/>
      </w:r>
      <w:r w:rsidR="00542EFB">
        <w:tab/>
      </w:r>
      <w:r w:rsidR="00542EFB">
        <w:tab/>
      </w:r>
      <w:r w:rsidR="00542EFB">
        <w:tab/>
      </w:r>
      <w:r>
        <w:t>The State Attorneys</w:t>
      </w:r>
      <w:r>
        <w:tab/>
      </w:r>
    </w:p>
    <w:p w14:paraId="56BBCCF1" w14:textId="7E2AEEA8" w:rsidR="00542EFB" w:rsidRDefault="00DA3F54" w:rsidP="00C218E3">
      <w:pPr>
        <w:pStyle w:val="ListParagraph"/>
        <w:spacing w:line="276" w:lineRule="auto"/>
        <w:jc w:val="both"/>
      </w:pPr>
      <w:r>
        <w:tab/>
      </w:r>
      <w:r w:rsidR="00542EFB">
        <w:tab/>
      </w:r>
      <w:r w:rsidR="00542EFB">
        <w:tab/>
      </w:r>
      <w:r w:rsidR="00542EFB">
        <w:tab/>
      </w:r>
      <w:r w:rsidR="00542EFB">
        <w:tab/>
      </w:r>
      <w:bookmarkStart w:id="0" w:name="_Hlk149125355"/>
      <w:r w:rsidR="00542EFB" w:rsidRPr="00581881">
        <w:t xml:space="preserve">Broadcast House, </w:t>
      </w:r>
    </w:p>
    <w:p w14:paraId="3292AAE5" w14:textId="70ADCDC4" w:rsidR="00542EFB" w:rsidRPr="00581881" w:rsidRDefault="00542EFB" w:rsidP="00C218E3">
      <w:pPr>
        <w:spacing w:line="276" w:lineRule="auto"/>
        <w:ind w:left="3600" w:firstLine="720"/>
        <w:jc w:val="both"/>
      </w:pPr>
      <w:r w:rsidRPr="00581881">
        <w:t xml:space="preserve">94 Sisson Street,                 </w:t>
      </w:r>
    </w:p>
    <w:p w14:paraId="3FB2E8E9" w14:textId="5012AA0D" w:rsidR="00542EFB" w:rsidRDefault="00542EFB" w:rsidP="00C218E3">
      <w:pPr>
        <w:pStyle w:val="ListParagraph"/>
        <w:spacing w:line="276" w:lineRule="auto"/>
        <w:jc w:val="both"/>
      </w:pPr>
      <w:r w:rsidRPr="00581881">
        <w:t xml:space="preserve">                                                   </w:t>
      </w:r>
      <w:r>
        <w:tab/>
      </w:r>
      <w:r w:rsidRPr="00581881">
        <w:t>MTHATHA</w:t>
      </w:r>
      <w:bookmarkEnd w:id="0"/>
    </w:p>
    <w:p w14:paraId="793EC2BD" w14:textId="77777777" w:rsidR="00C218E3" w:rsidRDefault="00C218E3" w:rsidP="00C218E3">
      <w:pPr>
        <w:spacing w:line="276" w:lineRule="auto"/>
      </w:pPr>
    </w:p>
    <w:p w14:paraId="2345A254" w14:textId="103C6D6E" w:rsidR="00812345" w:rsidRPr="00581881" w:rsidRDefault="00812345" w:rsidP="00C218E3">
      <w:pPr>
        <w:spacing w:line="276" w:lineRule="auto"/>
      </w:pPr>
      <w:r w:rsidRPr="00581881">
        <w:t xml:space="preserve">Counsel for the </w:t>
      </w:r>
      <w:r w:rsidR="00542EFB">
        <w:t>2</w:t>
      </w:r>
      <w:r w:rsidR="00542EFB" w:rsidRPr="00EF3E4E">
        <w:rPr>
          <w:vertAlign w:val="superscript"/>
        </w:rPr>
        <w:t>nd</w:t>
      </w:r>
      <w:r w:rsidR="00542EFB">
        <w:t xml:space="preserve"> Defendant:</w:t>
      </w:r>
      <w:r w:rsidR="00542EFB" w:rsidRPr="00542EFB">
        <w:t xml:space="preserve"> </w:t>
      </w:r>
      <w:r w:rsidR="00542EFB">
        <w:tab/>
      </w:r>
      <w:r w:rsidR="00542EFB">
        <w:tab/>
        <w:t xml:space="preserve">Advocate </w:t>
      </w:r>
      <w:proofErr w:type="spellStart"/>
      <w:r w:rsidR="00542EFB">
        <w:t>Nhantsi</w:t>
      </w:r>
      <w:proofErr w:type="spellEnd"/>
      <w:r w:rsidR="00542EFB" w:rsidRPr="00581881" w:rsidDel="00542EFB">
        <w:t xml:space="preserve"> </w:t>
      </w:r>
    </w:p>
    <w:p w14:paraId="4171469C" w14:textId="77777777" w:rsidR="00812345" w:rsidRPr="00581881" w:rsidRDefault="00812345" w:rsidP="00C218E3">
      <w:pPr>
        <w:pStyle w:val="ListParagraph"/>
        <w:spacing w:line="276" w:lineRule="auto"/>
        <w:jc w:val="both"/>
      </w:pPr>
    </w:p>
    <w:p w14:paraId="42D5219C" w14:textId="41F47004" w:rsidR="00812345" w:rsidRDefault="00812345" w:rsidP="00C218E3">
      <w:pPr>
        <w:spacing w:line="276" w:lineRule="auto"/>
      </w:pPr>
      <w:r w:rsidRPr="00581881">
        <w:t>Instructed by</w:t>
      </w:r>
      <w:r w:rsidR="00542EFB">
        <w:t>:</w:t>
      </w:r>
      <w:r w:rsidR="00542EFB">
        <w:tab/>
      </w:r>
      <w:r w:rsidR="00542EFB">
        <w:tab/>
      </w:r>
      <w:r w:rsidRPr="00581881">
        <w:t xml:space="preserve"> </w:t>
      </w:r>
      <w:r w:rsidR="00D25388" w:rsidRPr="00581881">
        <w:t xml:space="preserve"> </w:t>
      </w:r>
      <w:r w:rsidRPr="00581881">
        <w:t xml:space="preserve">                    </w:t>
      </w:r>
      <w:r w:rsidR="00BB4E60">
        <w:t>State attorney</w:t>
      </w:r>
    </w:p>
    <w:p w14:paraId="24201A0F" w14:textId="77777777" w:rsidR="00542EFB" w:rsidRPr="00542EFB" w:rsidRDefault="00542EFB" w:rsidP="00C218E3">
      <w:pPr>
        <w:spacing w:line="276" w:lineRule="auto"/>
      </w:pPr>
      <w:r>
        <w:tab/>
      </w:r>
      <w:r>
        <w:tab/>
      </w:r>
      <w:r>
        <w:tab/>
      </w:r>
      <w:r>
        <w:tab/>
      </w:r>
      <w:r>
        <w:tab/>
      </w:r>
      <w:r>
        <w:tab/>
      </w:r>
      <w:r w:rsidRPr="00542EFB">
        <w:t xml:space="preserve">Broadcast House, </w:t>
      </w:r>
    </w:p>
    <w:p w14:paraId="7E9470D6" w14:textId="77777777" w:rsidR="00542EFB" w:rsidRPr="00542EFB" w:rsidRDefault="00542EFB" w:rsidP="00C218E3">
      <w:pPr>
        <w:spacing w:line="276" w:lineRule="auto"/>
        <w:ind w:left="3600" w:firstLine="720"/>
      </w:pPr>
      <w:r w:rsidRPr="00542EFB">
        <w:t xml:space="preserve">94 Sisson Street,                 </w:t>
      </w:r>
    </w:p>
    <w:p w14:paraId="5261C9AC" w14:textId="75755681" w:rsidR="00542EFB" w:rsidRDefault="00542EFB" w:rsidP="00C218E3">
      <w:pPr>
        <w:spacing w:line="276" w:lineRule="auto"/>
      </w:pPr>
      <w:r w:rsidRPr="00542EFB">
        <w:t xml:space="preserve">                                                  </w:t>
      </w:r>
      <w:r>
        <w:tab/>
      </w:r>
      <w:r w:rsidRPr="00542EFB">
        <w:t xml:space="preserve"> </w:t>
      </w:r>
      <w:r w:rsidRPr="00542EFB">
        <w:tab/>
        <w:t>MTHATHA</w:t>
      </w:r>
    </w:p>
    <w:p w14:paraId="0577289B" w14:textId="77777777" w:rsidR="00473A13" w:rsidRPr="00581881" w:rsidRDefault="00473A13" w:rsidP="006D715B">
      <w:pPr>
        <w:pStyle w:val="ListParagraph"/>
        <w:jc w:val="both"/>
      </w:pPr>
    </w:p>
    <w:p w14:paraId="475D67FF" w14:textId="3856F39D" w:rsidR="006C33F4" w:rsidRPr="00581881" w:rsidRDefault="006C33F4" w:rsidP="006D715B">
      <w:pPr>
        <w:tabs>
          <w:tab w:val="left" w:pos="851"/>
        </w:tabs>
        <w:jc w:val="both"/>
        <w:rPr>
          <w:b/>
          <w:lang w:val="en-GB"/>
        </w:rPr>
      </w:pPr>
      <w:r w:rsidRPr="00581881">
        <w:rPr>
          <w:b/>
          <w:lang w:val="en-GB"/>
        </w:rPr>
        <w:t xml:space="preserve">DATE HEARD:         </w:t>
      </w:r>
      <w:r w:rsidR="00C218E3">
        <w:rPr>
          <w:b/>
          <w:lang w:val="en-GB"/>
        </w:rPr>
        <w:tab/>
      </w:r>
      <w:r w:rsidR="00C218E3">
        <w:rPr>
          <w:b/>
          <w:lang w:val="en-GB"/>
        </w:rPr>
        <w:tab/>
      </w:r>
      <w:r w:rsidR="00C218E3">
        <w:rPr>
          <w:b/>
          <w:lang w:val="en-GB"/>
        </w:rPr>
        <w:tab/>
      </w:r>
      <w:r w:rsidR="00581881">
        <w:rPr>
          <w:b/>
          <w:lang w:val="en-GB"/>
        </w:rPr>
        <w:t>16 August</w:t>
      </w:r>
      <w:r w:rsidRPr="00581881">
        <w:rPr>
          <w:b/>
          <w:lang w:val="en-GB"/>
        </w:rPr>
        <w:t xml:space="preserve"> 202</w:t>
      </w:r>
      <w:r w:rsidR="00273C4E">
        <w:rPr>
          <w:b/>
          <w:lang w:val="en-GB"/>
        </w:rPr>
        <w:t>3</w:t>
      </w:r>
    </w:p>
    <w:p w14:paraId="656B897C" w14:textId="77777777" w:rsidR="006C33F4" w:rsidRPr="00581881" w:rsidRDefault="006C33F4" w:rsidP="006D715B">
      <w:pPr>
        <w:tabs>
          <w:tab w:val="left" w:pos="851"/>
        </w:tabs>
        <w:jc w:val="both"/>
        <w:rPr>
          <w:b/>
          <w:lang w:val="en-GB"/>
        </w:rPr>
      </w:pPr>
    </w:p>
    <w:p w14:paraId="0642BD8F" w14:textId="055A42AA" w:rsidR="00C218E3" w:rsidRPr="00C218E3" w:rsidRDefault="006C33F4" w:rsidP="00C218E3">
      <w:pPr>
        <w:tabs>
          <w:tab w:val="left" w:pos="851"/>
        </w:tabs>
        <w:jc w:val="both"/>
        <w:rPr>
          <w:b/>
          <w:lang w:val="en-GB"/>
        </w:rPr>
      </w:pPr>
      <w:r w:rsidRPr="00581881">
        <w:rPr>
          <w:b/>
          <w:lang w:val="en-GB"/>
        </w:rPr>
        <w:t>DATE DELIVERED</w:t>
      </w:r>
      <w:r w:rsidRPr="00086DA2">
        <w:rPr>
          <w:b/>
          <w:lang w:val="en-GB"/>
        </w:rPr>
        <w:t xml:space="preserve">: </w:t>
      </w:r>
      <w:r w:rsidR="00086DA2" w:rsidRPr="00086DA2">
        <w:rPr>
          <w:b/>
          <w:lang w:val="en-GB"/>
        </w:rPr>
        <w:t xml:space="preserve"> </w:t>
      </w:r>
      <w:r w:rsidR="00C218E3">
        <w:rPr>
          <w:b/>
          <w:lang w:val="en-GB"/>
        </w:rPr>
        <w:tab/>
      </w:r>
      <w:r w:rsidR="00C218E3">
        <w:rPr>
          <w:b/>
          <w:lang w:val="en-GB"/>
        </w:rPr>
        <w:tab/>
      </w:r>
      <w:r w:rsidR="00C218E3">
        <w:rPr>
          <w:b/>
          <w:lang w:val="en-GB"/>
        </w:rPr>
        <w:tab/>
        <w:t xml:space="preserve">07 November 2023 </w:t>
      </w:r>
    </w:p>
    <w:sectPr w:rsidR="00C218E3" w:rsidRPr="00C218E3" w:rsidSect="00FA139E">
      <w:headerReference w:type="default" r:id="rId12"/>
      <w:footerReference w:type="default" r:id="rId13"/>
      <w:pgSz w:w="11906" w:h="16838"/>
      <w:pgMar w:top="1135"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FEAF" w14:textId="77777777" w:rsidR="00005D15" w:rsidRDefault="00005D15" w:rsidP="00C91BD0">
      <w:pPr>
        <w:spacing w:line="240" w:lineRule="auto"/>
      </w:pPr>
      <w:r>
        <w:separator/>
      </w:r>
    </w:p>
  </w:endnote>
  <w:endnote w:type="continuationSeparator" w:id="0">
    <w:p w14:paraId="4161BB5C" w14:textId="77777777" w:rsidR="00005D15" w:rsidRDefault="00005D15"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83877"/>
      <w:docPartObj>
        <w:docPartGallery w:val="Page Numbers (Bottom of Page)"/>
        <w:docPartUnique/>
      </w:docPartObj>
    </w:sdtPr>
    <w:sdtContent>
      <w:sdt>
        <w:sdtPr>
          <w:id w:val="-1769616900"/>
          <w:docPartObj>
            <w:docPartGallery w:val="Page Numbers (Top of Page)"/>
            <w:docPartUnique/>
          </w:docPartObj>
        </w:sdtPr>
        <w:sdtContent>
          <w:p w14:paraId="625B8D04" w14:textId="28A03DF3" w:rsidR="00A67D54" w:rsidRDefault="00A67D54">
            <w:pPr>
              <w:pStyle w:val="Footer"/>
              <w:jc w:val="right"/>
            </w:pPr>
            <w:r>
              <w:t xml:space="preserve">Page </w:t>
            </w:r>
            <w:r>
              <w:rPr>
                <w:b/>
                <w:bCs/>
              </w:rPr>
              <w:fldChar w:fldCharType="begin"/>
            </w:r>
            <w:r>
              <w:rPr>
                <w:b/>
                <w:bCs/>
              </w:rPr>
              <w:instrText xml:space="preserve"> PAGE </w:instrText>
            </w:r>
            <w:r>
              <w:rPr>
                <w:b/>
                <w:bCs/>
              </w:rPr>
              <w:fldChar w:fldCharType="separate"/>
            </w:r>
            <w:r w:rsidR="00E6644F">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E6644F">
              <w:rPr>
                <w:b/>
                <w:bCs/>
                <w:noProof/>
              </w:rPr>
              <w:t>31</w:t>
            </w:r>
            <w:r>
              <w:rPr>
                <w:b/>
                <w:bCs/>
              </w:rPr>
              <w:fldChar w:fldCharType="end"/>
            </w:r>
          </w:p>
        </w:sdtContent>
      </w:sdt>
    </w:sdtContent>
  </w:sdt>
  <w:p w14:paraId="03FC8AF7" w14:textId="77777777" w:rsidR="00A67D54" w:rsidRDefault="00A6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9A8B" w14:textId="77777777" w:rsidR="00005D15" w:rsidRDefault="00005D15" w:rsidP="00C91BD0">
      <w:pPr>
        <w:spacing w:line="240" w:lineRule="auto"/>
      </w:pPr>
      <w:r>
        <w:separator/>
      </w:r>
    </w:p>
  </w:footnote>
  <w:footnote w:type="continuationSeparator" w:id="0">
    <w:p w14:paraId="5D75DE39" w14:textId="77777777" w:rsidR="00005D15" w:rsidRDefault="00005D15" w:rsidP="00C91BD0">
      <w:pPr>
        <w:spacing w:line="240" w:lineRule="auto"/>
      </w:pPr>
      <w:r>
        <w:continuationSeparator/>
      </w:r>
    </w:p>
  </w:footnote>
  <w:footnote w:id="1">
    <w:p w14:paraId="253E0618" w14:textId="6C9CF76F" w:rsidR="007E195E" w:rsidRPr="00EF3E4E" w:rsidRDefault="007E195E">
      <w:pPr>
        <w:pStyle w:val="FootnoteText"/>
        <w:rPr>
          <w:lang w:val="pt-BR"/>
        </w:rPr>
      </w:pPr>
      <w:r w:rsidRPr="007E195E">
        <w:rPr>
          <w:rStyle w:val="FootnoteReference"/>
        </w:rPr>
        <w:footnoteRef/>
      </w:r>
      <w:r w:rsidRPr="007E195E">
        <w:t xml:space="preserve"> 1986 (3) 568 (A) at </w:t>
      </w:r>
      <w:r w:rsidRPr="00EF3E4E">
        <w:rPr>
          <w:rFonts w:eastAsia="Times New Roman"/>
          <w:color w:val="auto"/>
          <w:lang w:eastAsia="en-ZA"/>
        </w:rPr>
        <w:t xml:space="preserve">589 </w:t>
      </w:r>
      <w:r w:rsidRPr="007E195E">
        <w:rPr>
          <w:rFonts w:eastAsia="Times New Roman"/>
          <w:color w:val="auto"/>
          <w:lang w:eastAsia="en-ZA"/>
        </w:rPr>
        <w:t>para-E</w:t>
      </w:r>
      <w:r w:rsidRPr="00EF3E4E">
        <w:rPr>
          <w:rFonts w:eastAsia="Times New Roman"/>
          <w:color w:val="auto"/>
          <w:lang w:val="pt-BR" w:eastAsia="en-ZA"/>
        </w:rPr>
        <w:t>-F</w:t>
      </w:r>
      <w:r w:rsidRPr="00EF3E4E">
        <w:rPr>
          <w:lang w:val="pt-BR"/>
        </w:rPr>
        <w:t>.</w:t>
      </w:r>
    </w:p>
  </w:footnote>
  <w:footnote w:id="2">
    <w:p w14:paraId="572356C6" w14:textId="74087880" w:rsidR="007E195E" w:rsidRPr="00EF3E4E" w:rsidRDefault="007E195E">
      <w:pPr>
        <w:pStyle w:val="FootnoteText"/>
        <w:rPr>
          <w:lang w:val="pt-BR"/>
        </w:rPr>
      </w:pPr>
      <w:r w:rsidRPr="007E195E">
        <w:rPr>
          <w:rStyle w:val="FootnoteReference"/>
        </w:rPr>
        <w:footnoteRef/>
      </w:r>
      <w:r w:rsidRPr="00EF3E4E">
        <w:rPr>
          <w:lang w:val="pt-BR"/>
        </w:rPr>
        <w:t xml:space="preserve"> 2011(1) SACR 315 (SCA).</w:t>
      </w:r>
    </w:p>
  </w:footnote>
  <w:footnote w:id="3">
    <w:p w14:paraId="186EF3E5" w14:textId="3DC818C2" w:rsidR="007E195E" w:rsidRPr="00EF3E4E" w:rsidRDefault="007E195E">
      <w:pPr>
        <w:pStyle w:val="FootnoteText"/>
        <w:rPr>
          <w:lang w:val="pt-BR"/>
        </w:rPr>
      </w:pPr>
      <w:r>
        <w:rPr>
          <w:rStyle w:val="FootnoteReference"/>
        </w:rPr>
        <w:footnoteRef/>
      </w:r>
      <w:r w:rsidRPr="00EF3E4E">
        <w:rPr>
          <w:lang w:val="pt-BR"/>
        </w:rPr>
        <w:t xml:space="preserve"> 1986</w:t>
      </w:r>
      <w:r>
        <w:rPr>
          <w:lang w:val="pt-BR"/>
        </w:rPr>
        <w:t xml:space="preserve"> </w:t>
      </w:r>
      <w:r w:rsidRPr="00EF3E4E">
        <w:rPr>
          <w:lang w:val="pt-BR"/>
        </w:rPr>
        <w:t>(2) SA 805</w:t>
      </w:r>
      <w:r>
        <w:rPr>
          <w:lang w:val="pt-BR"/>
        </w:rPr>
        <w:t xml:space="preserve"> </w:t>
      </w:r>
      <w:r w:rsidRPr="00EF3E4E">
        <w:rPr>
          <w:lang w:val="pt-BR"/>
        </w:rPr>
        <w:t>(A) 818 G-H.</w:t>
      </w:r>
    </w:p>
  </w:footnote>
  <w:footnote w:id="4">
    <w:p w14:paraId="62A3D310" w14:textId="41144496" w:rsidR="00E50B24" w:rsidRPr="00EF3E4E" w:rsidRDefault="00E50B24">
      <w:pPr>
        <w:pStyle w:val="FootnoteText"/>
        <w:rPr>
          <w:lang w:val="pt-BR"/>
        </w:rPr>
      </w:pPr>
      <w:r>
        <w:rPr>
          <w:rStyle w:val="FootnoteReference"/>
        </w:rPr>
        <w:footnoteRef/>
      </w:r>
      <w:r w:rsidRPr="00EF3E4E">
        <w:rPr>
          <w:lang w:val="pt-BR"/>
        </w:rPr>
        <w:t xml:space="preserve"> </w:t>
      </w:r>
      <w:r w:rsidRPr="00EF3E4E">
        <w:rPr>
          <w:rStyle w:val="Strong"/>
          <w:b w:val="0"/>
          <w:color w:val="111111"/>
          <w:lang w:val="pt-BR"/>
        </w:rPr>
        <w:t>1988 (2) SA 654 (SE) at 658E-H</w:t>
      </w:r>
    </w:p>
  </w:footnote>
  <w:footnote w:id="5">
    <w:p w14:paraId="2C4D56D8" w14:textId="1BFB93F2" w:rsidR="00E50B24" w:rsidRPr="00EF3E4E" w:rsidRDefault="00E50B24">
      <w:pPr>
        <w:pStyle w:val="FootnoteText"/>
        <w:rPr>
          <w:lang w:val="pt-BR"/>
        </w:rPr>
      </w:pPr>
      <w:r>
        <w:rPr>
          <w:rStyle w:val="FootnoteReference"/>
        </w:rPr>
        <w:footnoteRef/>
      </w:r>
      <w:r w:rsidR="00C20110">
        <w:rPr>
          <w:lang w:val="pt-BR"/>
        </w:rPr>
        <w:t xml:space="preserve"> 2022</w:t>
      </w:r>
      <w:r w:rsidRPr="00EF3E4E">
        <w:rPr>
          <w:lang w:val="pt-BR"/>
        </w:rPr>
        <w:t xml:space="preserve"> (1) SACR 235 (SCA) at para 34 -35.</w:t>
      </w:r>
    </w:p>
  </w:footnote>
  <w:footnote w:id="6">
    <w:p w14:paraId="275FF044" w14:textId="1FA13634" w:rsidR="00E50B24" w:rsidRPr="00EF3E4E" w:rsidRDefault="00E50B24">
      <w:pPr>
        <w:pStyle w:val="FootnoteText"/>
        <w:rPr>
          <w:lang w:val="pt-BR"/>
        </w:rPr>
      </w:pPr>
      <w:r>
        <w:rPr>
          <w:rStyle w:val="FootnoteReference"/>
        </w:rPr>
        <w:footnoteRef/>
      </w:r>
      <w:r w:rsidRPr="00EF3E4E">
        <w:rPr>
          <w:lang w:val="pt-BR"/>
        </w:rPr>
        <w:t xml:space="preserve"> Supra n</w:t>
      </w:r>
      <w:r>
        <w:rPr>
          <w:lang w:val="pt-BR"/>
        </w:rPr>
        <w:t>ote 2 at para 42.</w:t>
      </w:r>
    </w:p>
  </w:footnote>
  <w:footnote w:id="7">
    <w:p w14:paraId="4A591576" w14:textId="4498E3CA" w:rsidR="00E50B24" w:rsidRPr="006A7677" w:rsidRDefault="00E50B24">
      <w:pPr>
        <w:pStyle w:val="FootnoteText"/>
      </w:pPr>
      <w:r>
        <w:rPr>
          <w:rStyle w:val="FootnoteReference"/>
        </w:rPr>
        <w:footnoteRef/>
      </w:r>
      <w:r w:rsidRPr="006A7677">
        <w:t xml:space="preserve"> Supra n</w:t>
      </w:r>
      <w:r w:rsidRPr="00EF3E4E">
        <w:t>ote 2.</w:t>
      </w:r>
    </w:p>
  </w:footnote>
  <w:footnote w:id="8">
    <w:p w14:paraId="11AC5448" w14:textId="23ECE182" w:rsidR="006A7677" w:rsidRDefault="006A7677">
      <w:pPr>
        <w:pStyle w:val="FootnoteText"/>
      </w:pPr>
      <w:r>
        <w:rPr>
          <w:rStyle w:val="FootnoteReference"/>
        </w:rPr>
        <w:footnoteRef/>
      </w:r>
      <w:r>
        <w:t xml:space="preserve"> </w:t>
      </w:r>
      <w:r w:rsidRPr="005812F3">
        <w:t>Act 108 of 1996, the Constitution</w:t>
      </w:r>
    </w:p>
  </w:footnote>
  <w:footnote w:id="9">
    <w:p w14:paraId="471E43DF" w14:textId="2EF3DB84" w:rsidR="006A7677" w:rsidRDefault="006A7677">
      <w:pPr>
        <w:pStyle w:val="FootnoteText"/>
      </w:pPr>
      <w:r>
        <w:rPr>
          <w:rStyle w:val="FootnoteReference"/>
        </w:rPr>
        <w:footnoteRef/>
      </w:r>
      <w:r>
        <w:t xml:space="preserve"> </w:t>
      </w:r>
      <w:r w:rsidRPr="006A7677">
        <w:t>1927 AD 293 at 301</w:t>
      </w:r>
    </w:p>
  </w:footnote>
  <w:footnote w:id="10">
    <w:p w14:paraId="29FA24A8" w14:textId="782EDB38" w:rsidR="006A7677" w:rsidRDefault="006A7677">
      <w:pPr>
        <w:pStyle w:val="FootnoteText"/>
      </w:pPr>
      <w:r>
        <w:rPr>
          <w:rStyle w:val="FootnoteReference"/>
        </w:rPr>
        <w:footnoteRef/>
      </w:r>
      <w:r>
        <w:t xml:space="preserve"> </w:t>
      </w:r>
      <w:r w:rsidRPr="006A7677">
        <w:rPr>
          <w:i/>
          <w:iCs/>
          <w:lang w:val="en-GB"/>
        </w:rPr>
        <w:t>Minister of Safety and Security v Magagula </w:t>
      </w:r>
      <w:r w:rsidRPr="006A7677">
        <w:rPr>
          <w:lang w:val="en-GB"/>
        </w:rPr>
        <w:t>(991/2016) [2017]   ZASCA 103 (6 September 2017</w:t>
      </w:r>
    </w:p>
  </w:footnote>
  <w:footnote w:id="11">
    <w:p w14:paraId="6D59DDBE" w14:textId="730A045A" w:rsidR="006A7677" w:rsidRDefault="006A7677">
      <w:pPr>
        <w:pStyle w:val="FootnoteText"/>
      </w:pPr>
      <w:r>
        <w:rPr>
          <w:rStyle w:val="FootnoteReference"/>
        </w:rPr>
        <w:footnoteRef/>
      </w:r>
      <w:r>
        <w:t xml:space="preserve"> </w:t>
      </w:r>
      <w:r w:rsidRPr="006A7677">
        <w:t>2021 (2) SACR 595 (CC)</w:t>
      </w:r>
    </w:p>
  </w:footnote>
  <w:footnote w:id="12">
    <w:p w14:paraId="3B913A84" w14:textId="3976431D" w:rsidR="0054199B" w:rsidRPr="00EF3E4E" w:rsidRDefault="0054199B">
      <w:pPr>
        <w:pStyle w:val="FootnoteText"/>
        <w:rPr>
          <w:lang w:val="pt-BR"/>
        </w:rPr>
      </w:pPr>
      <w:r>
        <w:rPr>
          <w:rStyle w:val="FootnoteReference"/>
        </w:rPr>
        <w:footnoteRef/>
      </w:r>
      <w:r w:rsidRPr="00EF3E4E">
        <w:rPr>
          <w:lang w:val="pt-BR"/>
        </w:rPr>
        <w:t xml:space="preserve"> 2015 (2) SACR 14 (WCC)</w:t>
      </w:r>
    </w:p>
  </w:footnote>
  <w:footnote w:id="13">
    <w:p w14:paraId="20FE04BC" w14:textId="7937AE46" w:rsidR="0054199B" w:rsidRPr="00EF3E4E" w:rsidRDefault="0054199B">
      <w:pPr>
        <w:pStyle w:val="FootnoteText"/>
        <w:rPr>
          <w:lang w:val="pt-BR"/>
        </w:rPr>
      </w:pPr>
      <w:r>
        <w:rPr>
          <w:rStyle w:val="FootnoteReference"/>
        </w:rPr>
        <w:footnoteRef/>
      </w:r>
      <w:r w:rsidRPr="00EF3E4E">
        <w:rPr>
          <w:lang w:val="pt-BR"/>
        </w:rPr>
        <w:t xml:space="preserve"> Supra note 5.</w:t>
      </w:r>
    </w:p>
  </w:footnote>
  <w:footnote w:id="14">
    <w:p w14:paraId="14D5E68E" w14:textId="6AF1F987" w:rsidR="0054199B" w:rsidRPr="00794C3F" w:rsidRDefault="0054199B">
      <w:pPr>
        <w:pStyle w:val="FootnoteText"/>
      </w:pPr>
      <w:r>
        <w:rPr>
          <w:rStyle w:val="FootnoteReference"/>
        </w:rPr>
        <w:footnoteRef/>
      </w:r>
      <w:r>
        <w:t xml:space="preserve"> </w:t>
      </w:r>
      <w:r w:rsidRPr="0054199B">
        <w:t>2020 (1) SACR 1 (CC</w:t>
      </w:r>
      <w:r>
        <w:t xml:space="preserve"> at para</w:t>
      </w:r>
      <w:r w:rsidR="00273C4E">
        <w:t>s</w:t>
      </w:r>
      <w:r>
        <w:t xml:space="preserve"> 62 -63.</w:t>
      </w:r>
    </w:p>
  </w:footnote>
  <w:footnote w:id="15">
    <w:p w14:paraId="4488E9EB" w14:textId="4E5B5542" w:rsidR="00794C3F" w:rsidRDefault="00794C3F">
      <w:pPr>
        <w:pStyle w:val="FootnoteText"/>
      </w:pPr>
      <w:r>
        <w:rPr>
          <w:rStyle w:val="FootnoteReference"/>
        </w:rPr>
        <w:footnoteRef/>
      </w:r>
      <w:r>
        <w:t xml:space="preserve"> </w:t>
      </w:r>
      <w:r w:rsidRPr="00794C3F">
        <w:t>Minister of Police v Tyulu 2009 (2) SACR 282 (SCA) at para 26</w:t>
      </w:r>
    </w:p>
  </w:footnote>
  <w:footnote w:id="16">
    <w:p w14:paraId="333D3A7A" w14:textId="108E6614" w:rsidR="00794C3F" w:rsidRDefault="00794C3F">
      <w:pPr>
        <w:pStyle w:val="FootnoteText"/>
      </w:pPr>
      <w:r>
        <w:rPr>
          <w:rStyle w:val="FootnoteReference"/>
        </w:rPr>
        <w:footnoteRef/>
      </w:r>
      <w:r>
        <w:t xml:space="preserve"> Supra note 15.</w:t>
      </w:r>
    </w:p>
  </w:footnote>
  <w:footnote w:id="17">
    <w:p w14:paraId="0C8A0119" w14:textId="0B3FB3BB" w:rsidR="00794C3F" w:rsidRDefault="00794C3F" w:rsidP="00EF3E4E">
      <w:pPr>
        <w:pStyle w:val="FootnoteText"/>
        <w:spacing w:line="276" w:lineRule="auto"/>
        <w:jc w:val="both"/>
      </w:pPr>
      <w:r>
        <w:rPr>
          <w:rStyle w:val="FootnoteReference"/>
        </w:rPr>
        <w:footnoteRef/>
      </w:r>
      <w:r>
        <w:t xml:space="preserve"> </w:t>
      </w:r>
      <w:r w:rsidRPr="00794C3F">
        <w:t xml:space="preserve">  Minister of Police v Page, a claimant was detained for one day on a charge of arson. He was</w:t>
      </w:r>
      <w:r>
        <w:t xml:space="preserve"> </w:t>
      </w:r>
      <w:r w:rsidRPr="00794C3F">
        <w:t>awarded R30 000; In [M……] X [….] case number 1329/206, Eastern Cape Division, Mthatha, the plaintiff was awarded a sum of R340 000 as damages for wrongful arrest and detention. He was detained for two days and was subjected to ill treatment while in custody.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A59F" w14:textId="3C99FFD2" w:rsidR="003D7A7E" w:rsidRPr="004F0FEF" w:rsidRDefault="003D7A7E">
    <w:pPr>
      <w:pStyle w:val="Header"/>
      <w:jc w:val="right"/>
      <w:rPr>
        <w:sz w:val="20"/>
        <w:szCs w:val="20"/>
      </w:rPr>
    </w:pPr>
  </w:p>
  <w:p w14:paraId="61899B4D" w14:textId="77777777" w:rsidR="003D7A7E" w:rsidRDefault="003D7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3F2"/>
    <w:multiLevelType w:val="hybridMultilevel"/>
    <w:tmpl w:val="86828B0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D34D9"/>
    <w:multiLevelType w:val="hybridMultilevel"/>
    <w:tmpl w:val="4B52F3D6"/>
    <w:lvl w:ilvl="0" w:tplc="54DA9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5864B4"/>
    <w:multiLevelType w:val="hybridMultilevel"/>
    <w:tmpl w:val="757EEF98"/>
    <w:lvl w:ilvl="0" w:tplc="B4AA4BCE">
      <w:start w:val="4"/>
      <w:numFmt w:val="lowerLetter"/>
      <w:lvlText w:val="(%1)"/>
      <w:lvlJc w:val="left"/>
      <w:pPr>
        <w:ind w:left="2100" w:hanging="360"/>
      </w:pPr>
      <w:rPr>
        <w:rFonts w:hint="default"/>
      </w:rPr>
    </w:lvl>
    <w:lvl w:ilvl="1" w:tplc="1C090019" w:tentative="1">
      <w:start w:val="1"/>
      <w:numFmt w:val="lowerLetter"/>
      <w:lvlText w:val="%2."/>
      <w:lvlJc w:val="left"/>
      <w:pPr>
        <w:ind w:left="2820" w:hanging="360"/>
      </w:pPr>
    </w:lvl>
    <w:lvl w:ilvl="2" w:tplc="1C09001B" w:tentative="1">
      <w:start w:val="1"/>
      <w:numFmt w:val="lowerRoman"/>
      <w:lvlText w:val="%3."/>
      <w:lvlJc w:val="right"/>
      <w:pPr>
        <w:ind w:left="3540" w:hanging="180"/>
      </w:pPr>
    </w:lvl>
    <w:lvl w:ilvl="3" w:tplc="1C09000F" w:tentative="1">
      <w:start w:val="1"/>
      <w:numFmt w:val="decimal"/>
      <w:lvlText w:val="%4."/>
      <w:lvlJc w:val="left"/>
      <w:pPr>
        <w:ind w:left="4260" w:hanging="360"/>
      </w:pPr>
    </w:lvl>
    <w:lvl w:ilvl="4" w:tplc="1C090019" w:tentative="1">
      <w:start w:val="1"/>
      <w:numFmt w:val="lowerLetter"/>
      <w:lvlText w:val="%5."/>
      <w:lvlJc w:val="left"/>
      <w:pPr>
        <w:ind w:left="4980" w:hanging="360"/>
      </w:pPr>
    </w:lvl>
    <w:lvl w:ilvl="5" w:tplc="1C09001B" w:tentative="1">
      <w:start w:val="1"/>
      <w:numFmt w:val="lowerRoman"/>
      <w:lvlText w:val="%6."/>
      <w:lvlJc w:val="right"/>
      <w:pPr>
        <w:ind w:left="5700" w:hanging="180"/>
      </w:pPr>
    </w:lvl>
    <w:lvl w:ilvl="6" w:tplc="1C09000F" w:tentative="1">
      <w:start w:val="1"/>
      <w:numFmt w:val="decimal"/>
      <w:lvlText w:val="%7."/>
      <w:lvlJc w:val="left"/>
      <w:pPr>
        <w:ind w:left="6420" w:hanging="360"/>
      </w:pPr>
    </w:lvl>
    <w:lvl w:ilvl="7" w:tplc="1C090019" w:tentative="1">
      <w:start w:val="1"/>
      <w:numFmt w:val="lowerLetter"/>
      <w:lvlText w:val="%8."/>
      <w:lvlJc w:val="left"/>
      <w:pPr>
        <w:ind w:left="7140" w:hanging="360"/>
      </w:pPr>
    </w:lvl>
    <w:lvl w:ilvl="8" w:tplc="1C09001B" w:tentative="1">
      <w:start w:val="1"/>
      <w:numFmt w:val="lowerRoman"/>
      <w:lvlText w:val="%9."/>
      <w:lvlJc w:val="right"/>
      <w:pPr>
        <w:ind w:left="7860" w:hanging="180"/>
      </w:pPr>
    </w:lvl>
  </w:abstractNum>
  <w:abstractNum w:abstractNumId="3" w15:restartNumberingAfterBreak="0">
    <w:nsid w:val="09430D40"/>
    <w:multiLevelType w:val="hybridMultilevel"/>
    <w:tmpl w:val="CBFC2AC8"/>
    <w:lvl w:ilvl="0" w:tplc="757486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95208"/>
    <w:multiLevelType w:val="hybridMultilevel"/>
    <w:tmpl w:val="7670499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0243CF"/>
    <w:multiLevelType w:val="multilevel"/>
    <w:tmpl w:val="3E2C966C"/>
    <w:lvl w:ilvl="0">
      <w:start w:val="10"/>
      <w:numFmt w:val="decimal"/>
      <w:lvlText w:val="%1"/>
      <w:lvlJc w:val="left"/>
      <w:pPr>
        <w:ind w:left="465" w:hanging="465"/>
      </w:pPr>
      <w:rPr>
        <w:rFonts w:hint="default"/>
      </w:rPr>
    </w:lvl>
    <w:lvl w:ilvl="1">
      <w:start w:val="4"/>
      <w:numFmt w:val="decimal"/>
      <w:lvlText w:val="%1.%2"/>
      <w:lvlJc w:val="left"/>
      <w:pPr>
        <w:ind w:left="2340" w:hanging="465"/>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6" w15:restartNumberingAfterBreak="0">
    <w:nsid w:val="199D5ADA"/>
    <w:multiLevelType w:val="hybridMultilevel"/>
    <w:tmpl w:val="3E2A3B6A"/>
    <w:lvl w:ilvl="0" w:tplc="70D28D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9F45863"/>
    <w:multiLevelType w:val="multilevel"/>
    <w:tmpl w:val="154EC7A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8D6575"/>
    <w:multiLevelType w:val="hybridMultilevel"/>
    <w:tmpl w:val="2B54C0D6"/>
    <w:lvl w:ilvl="0" w:tplc="1C09000F">
      <w:start w:val="1"/>
      <w:numFmt w:val="decimal"/>
      <w:lvlText w:val="%1."/>
      <w:lvlJc w:val="left"/>
      <w:pPr>
        <w:ind w:left="1068" w:hanging="360"/>
      </w:pPr>
      <w:rPr>
        <w:rFonts w:hint="default"/>
        <w:u w:val="none"/>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15:restartNumberingAfterBreak="0">
    <w:nsid w:val="24D52860"/>
    <w:multiLevelType w:val="hybridMultilevel"/>
    <w:tmpl w:val="CBA64298"/>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1" w15:restartNumberingAfterBreak="0">
    <w:nsid w:val="2B744350"/>
    <w:multiLevelType w:val="hybridMultilevel"/>
    <w:tmpl w:val="52200EDA"/>
    <w:lvl w:ilvl="0" w:tplc="E0141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31CF210F"/>
    <w:multiLevelType w:val="hybridMultilevel"/>
    <w:tmpl w:val="20E66018"/>
    <w:lvl w:ilvl="0" w:tplc="00260E68">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327977A9"/>
    <w:multiLevelType w:val="hybridMultilevel"/>
    <w:tmpl w:val="B53099B4"/>
    <w:lvl w:ilvl="0" w:tplc="E84E79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33324572"/>
    <w:multiLevelType w:val="hybridMultilevel"/>
    <w:tmpl w:val="E9D64032"/>
    <w:lvl w:ilvl="0" w:tplc="54DA9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610808"/>
    <w:multiLevelType w:val="hybridMultilevel"/>
    <w:tmpl w:val="880C9DE0"/>
    <w:lvl w:ilvl="0" w:tplc="3E000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8526ECF"/>
    <w:multiLevelType w:val="hybridMultilevel"/>
    <w:tmpl w:val="9E6E50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B70D28"/>
    <w:multiLevelType w:val="hybridMultilevel"/>
    <w:tmpl w:val="EC3EB0BC"/>
    <w:lvl w:ilvl="0" w:tplc="54DA9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BC06B35"/>
    <w:multiLevelType w:val="multilevel"/>
    <w:tmpl w:val="296A4D8A"/>
    <w:lvl w:ilvl="0">
      <w:start w:val="10"/>
      <w:numFmt w:val="decimal"/>
      <w:lvlText w:val="%1"/>
      <w:lvlJc w:val="left"/>
      <w:pPr>
        <w:ind w:left="465" w:hanging="465"/>
      </w:pPr>
      <w:rPr>
        <w:rFonts w:hint="default"/>
      </w:rPr>
    </w:lvl>
    <w:lvl w:ilvl="1">
      <w:start w:val="4"/>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C6B07E8"/>
    <w:multiLevelType w:val="hybridMultilevel"/>
    <w:tmpl w:val="1D4681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3A2258"/>
    <w:multiLevelType w:val="hybridMultilevel"/>
    <w:tmpl w:val="43F462A2"/>
    <w:lvl w:ilvl="0" w:tplc="41641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16759FF"/>
    <w:multiLevelType w:val="hybridMultilevel"/>
    <w:tmpl w:val="8E0CEDEE"/>
    <w:lvl w:ilvl="0" w:tplc="2E48E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59D5F01"/>
    <w:multiLevelType w:val="hybridMultilevel"/>
    <w:tmpl w:val="205014A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0B662E"/>
    <w:multiLevelType w:val="hybridMultilevel"/>
    <w:tmpl w:val="6D12BDFE"/>
    <w:lvl w:ilvl="0" w:tplc="9C76FF3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8994ABD"/>
    <w:multiLevelType w:val="hybridMultilevel"/>
    <w:tmpl w:val="D6F89D2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92E4109"/>
    <w:multiLevelType w:val="multilevel"/>
    <w:tmpl w:val="296A368A"/>
    <w:lvl w:ilvl="0">
      <w:start w:val="5"/>
      <w:numFmt w:val="decimal"/>
      <w:lvlText w:val="%1."/>
      <w:lvlJc w:val="left"/>
      <w:pPr>
        <w:ind w:left="644"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441EB8"/>
    <w:multiLevelType w:val="hybridMultilevel"/>
    <w:tmpl w:val="3D649926"/>
    <w:lvl w:ilvl="0" w:tplc="5760563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1BD7F22"/>
    <w:multiLevelType w:val="hybridMultilevel"/>
    <w:tmpl w:val="3A0ADDA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739652F"/>
    <w:multiLevelType w:val="hybridMultilevel"/>
    <w:tmpl w:val="B54E1088"/>
    <w:lvl w:ilvl="0" w:tplc="3796010E">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1" w15:restartNumberingAfterBreak="0">
    <w:nsid w:val="57B76151"/>
    <w:multiLevelType w:val="hybridMultilevel"/>
    <w:tmpl w:val="074C5D38"/>
    <w:lvl w:ilvl="0" w:tplc="CD20D4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A3313CB"/>
    <w:multiLevelType w:val="hybridMultilevel"/>
    <w:tmpl w:val="96FA9CEA"/>
    <w:lvl w:ilvl="0" w:tplc="EBCC90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626E9A"/>
    <w:multiLevelType w:val="hybridMultilevel"/>
    <w:tmpl w:val="85E89B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324D03"/>
    <w:multiLevelType w:val="hybridMultilevel"/>
    <w:tmpl w:val="5372AFC4"/>
    <w:lvl w:ilvl="0" w:tplc="1576C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520532"/>
    <w:multiLevelType w:val="hybridMultilevel"/>
    <w:tmpl w:val="06CC0582"/>
    <w:lvl w:ilvl="0" w:tplc="E1AC11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631DD0"/>
    <w:multiLevelType w:val="hybridMultilevel"/>
    <w:tmpl w:val="88C0B962"/>
    <w:lvl w:ilvl="0" w:tplc="1D4C6D1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6D952BA"/>
    <w:multiLevelType w:val="hybridMultilevel"/>
    <w:tmpl w:val="6C3CA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7C024B"/>
    <w:multiLevelType w:val="multilevel"/>
    <w:tmpl w:val="296A368A"/>
    <w:lvl w:ilvl="0">
      <w:start w:val="5"/>
      <w:numFmt w:val="decimal"/>
      <w:lvlText w:val="%1."/>
      <w:lvlJc w:val="left"/>
      <w:pPr>
        <w:ind w:left="644"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A1734CA"/>
    <w:multiLevelType w:val="hybridMultilevel"/>
    <w:tmpl w:val="CFD2354E"/>
    <w:lvl w:ilvl="0" w:tplc="EAE4BD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EF56D66"/>
    <w:multiLevelType w:val="hybridMultilevel"/>
    <w:tmpl w:val="E01059E8"/>
    <w:lvl w:ilvl="0" w:tplc="65304DFA">
      <w:start w:val="1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8A230CE"/>
    <w:multiLevelType w:val="multilevel"/>
    <w:tmpl w:val="7EF28730"/>
    <w:lvl w:ilvl="0">
      <w:start w:val="1"/>
      <w:numFmt w:val="decimal"/>
      <w:lvlText w:val="%1."/>
      <w:lvlJc w:val="left"/>
      <w:pPr>
        <w:ind w:left="720" w:hanging="360"/>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8AA5190"/>
    <w:multiLevelType w:val="hybridMultilevel"/>
    <w:tmpl w:val="B4BE8588"/>
    <w:lvl w:ilvl="0" w:tplc="4EE8B4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7A294894"/>
    <w:multiLevelType w:val="hybridMultilevel"/>
    <w:tmpl w:val="697A07F8"/>
    <w:lvl w:ilvl="0" w:tplc="1576CA0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5" w15:restartNumberingAfterBreak="0">
    <w:nsid w:val="7B1809A8"/>
    <w:multiLevelType w:val="hybridMultilevel"/>
    <w:tmpl w:val="206A0F08"/>
    <w:lvl w:ilvl="0" w:tplc="54DA9270">
      <w:start w:val="1"/>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num w:numId="1" w16cid:durableId="1370565054">
    <w:abstractNumId w:val="12"/>
  </w:num>
  <w:num w:numId="2" w16cid:durableId="1862738470">
    <w:abstractNumId w:val="36"/>
  </w:num>
  <w:num w:numId="3" w16cid:durableId="329136469">
    <w:abstractNumId w:val="10"/>
  </w:num>
  <w:num w:numId="4" w16cid:durableId="2146199333">
    <w:abstractNumId w:val="13"/>
  </w:num>
  <w:num w:numId="5" w16cid:durableId="1373924842">
    <w:abstractNumId w:val="33"/>
  </w:num>
  <w:num w:numId="6" w16cid:durableId="572392728">
    <w:abstractNumId w:val="20"/>
  </w:num>
  <w:num w:numId="7" w16cid:durableId="1906605545">
    <w:abstractNumId w:val="21"/>
  </w:num>
  <w:num w:numId="8" w16cid:durableId="108940661">
    <w:abstractNumId w:val="5"/>
  </w:num>
  <w:num w:numId="9" w16cid:durableId="1345550500">
    <w:abstractNumId w:val="7"/>
  </w:num>
  <w:num w:numId="10" w16cid:durableId="367098728">
    <w:abstractNumId w:val="41"/>
  </w:num>
  <w:num w:numId="11" w16cid:durableId="100995304">
    <w:abstractNumId w:val="25"/>
  </w:num>
  <w:num w:numId="12" w16cid:durableId="929776125">
    <w:abstractNumId w:val="30"/>
  </w:num>
  <w:num w:numId="13" w16cid:durableId="1842961862">
    <w:abstractNumId w:val="2"/>
  </w:num>
  <w:num w:numId="14" w16cid:durableId="591745426">
    <w:abstractNumId w:val="44"/>
  </w:num>
  <w:num w:numId="15" w16cid:durableId="1574387870">
    <w:abstractNumId w:val="4"/>
  </w:num>
  <w:num w:numId="16" w16cid:durableId="1142847908">
    <w:abstractNumId w:val="24"/>
  </w:num>
  <w:num w:numId="17" w16cid:durableId="700742938">
    <w:abstractNumId w:val="11"/>
  </w:num>
  <w:num w:numId="18" w16cid:durableId="1331445199">
    <w:abstractNumId w:val="38"/>
  </w:num>
  <w:num w:numId="19" w16cid:durableId="1729458115">
    <w:abstractNumId w:val="23"/>
  </w:num>
  <w:num w:numId="20" w16cid:durableId="287976716">
    <w:abstractNumId w:val="22"/>
  </w:num>
  <w:num w:numId="21" w16cid:durableId="395319955">
    <w:abstractNumId w:val="43"/>
  </w:num>
  <w:num w:numId="22" w16cid:durableId="140663673">
    <w:abstractNumId w:val="3"/>
  </w:num>
  <w:num w:numId="23" w16cid:durableId="934245386">
    <w:abstractNumId w:val="32"/>
  </w:num>
  <w:num w:numId="24" w16cid:durableId="721365609">
    <w:abstractNumId w:val="34"/>
  </w:num>
  <w:num w:numId="25" w16cid:durableId="1579365860">
    <w:abstractNumId w:val="17"/>
  </w:num>
  <w:num w:numId="26" w16cid:durableId="279922136">
    <w:abstractNumId w:val="37"/>
  </w:num>
  <w:num w:numId="27" w16cid:durableId="1397244030">
    <w:abstractNumId w:val="1"/>
  </w:num>
  <w:num w:numId="28" w16cid:durableId="1793744121">
    <w:abstractNumId w:val="35"/>
  </w:num>
  <w:num w:numId="29" w16cid:durableId="1668560562">
    <w:abstractNumId w:val="28"/>
  </w:num>
  <w:num w:numId="30" w16cid:durableId="1956517274">
    <w:abstractNumId w:val="40"/>
  </w:num>
  <w:num w:numId="31" w16cid:durableId="1792506331">
    <w:abstractNumId w:val="26"/>
  </w:num>
  <w:num w:numId="32" w16cid:durableId="548230019">
    <w:abstractNumId w:val="18"/>
  </w:num>
  <w:num w:numId="33" w16cid:durableId="180366373">
    <w:abstractNumId w:val="0"/>
  </w:num>
  <w:num w:numId="34" w16cid:durableId="132255579">
    <w:abstractNumId w:val="29"/>
  </w:num>
  <w:num w:numId="35" w16cid:durableId="249314913">
    <w:abstractNumId w:val="39"/>
  </w:num>
  <w:num w:numId="36" w16cid:durableId="1621111607">
    <w:abstractNumId w:val="31"/>
  </w:num>
  <w:num w:numId="37" w16cid:durableId="422341580">
    <w:abstractNumId w:val="15"/>
  </w:num>
  <w:num w:numId="38" w16cid:durableId="1958103793">
    <w:abstractNumId w:val="14"/>
  </w:num>
  <w:num w:numId="39" w16cid:durableId="855341815">
    <w:abstractNumId w:val="27"/>
  </w:num>
  <w:num w:numId="40" w16cid:durableId="364329849">
    <w:abstractNumId w:val="42"/>
  </w:num>
  <w:num w:numId="41" w16cid:durableId="1613051234">
    <w:abstractNumId w:val="9"/>
  </w:num>
  <w:num w:numId="42" w16cid:durableId="1848251755">
    <w:abstractNumId w:val="19"/>
  </w:num>
  <w:num w:numId="43" w16cid:durableId="1875339415">
    <w:abstractNumId w:val="16"/>
  </w:num>
  <w:num w:numId="44" w16cid:durableId="1671325383">
    <w:abstractNumId w:val="6"/>
  </w:num>
  <w:num w:numId="45" w16cid:durableId="1952081198">
    <w:abstractNumId w:val="45"/>
  </w:num>
  <w:num w:numId="46" w16cid:durableId="16687461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3MDYwMDI2N7awNDNR0lEKTi0uzszPAykwrAUASuTAtywAAAA="/>
  </w:docVars>
  <w:rsids>
    <w:rsidRoot w:val="00C91BD0"/>
    <w:rsid w:val="00003670"/>
    <w:rsid w:val="000042AC"/>
    <w:rsid w:val="00005D15"/>
    <w:rsid w:val="000100C4"/>
    <w:rsid w:val="00013BBE"/>
    <w:rsid w:val="0001504C"/>
    <w:rsid w:val="00022CC6"/>
    <w:rsid w:val="000342A6"/>
    <w:rsid w:val="00051383"/>
    <w:rsid w:val="00053390"/>
    <w:rsid w:val="000752D3"/>
    <w:rsid w:val="00075B8C"/>
    <w:rsid w:val="000769C7"/>
    <w:rsid w:val="00082658"/>
    <w:rsid w:val="00086DA2"/>
    <w:rsid w:val="00087986"/>
    <w:rsid w:val="0009451D"/>
    <w:rsid w:val="000A059F"/>
    <w:rsid w:val="000A2090"/>
    <w:rsid w:val="000A511F"/>
    <w:rsid w:val="000A5A6C"/>
    <w:rsid w:val="000B6487"/>
    <w:rsid w:val="000C162B"/>
    <w:rsid w:val="000C5000"/>
    <w:rsid w:val="000D3452"/>
    <w:rsid w:val="000E10C4"/>
    <w:rsid w:val="000E2A80"/>
    <w:rsid w:val="000E711B"/>
    <w:rsid w:val="000F6EDD"/>
    <w:rsid w:val="000F7DB3"/>
    <w:rsid w:val="001020AB"/>
    <w:rsid w:val="0012298C"/>
    <w:rsid w:val="00124A20"/>
    <w:rsid w:val="001318BD"/>
    <w:rsid w:val="0013477B"/>
    <w:rsid w:val="00135D8B"/>
    <w:rsid w:val="00152147"/>
    <w:rsid w:val="001677F1"/>
    <w:rsid w:val="0017350E"/>
    <w:rsid w:val="00183A86"/>
    <w:rsid w:val="00192AB3"/>
    <w:rsid w:val="001947E2"/>
    <w:rsid w:val="00195892"/>
    <w:rsid w:val="00196E38"/>
    <w:rsid w:val="001A4C94"/>
    <w:rsid w:val="001A4DF7"/>
    <w:rsid w:val="001B23F5"/>
    <w:rsid w:val="001B2956"/>
    <w:rsid w:val="001B5884"/>
    <w:rsid w:val="001C10E0"/>
    <w:rsid w:val="001C2606"/>
    <w:rsid w:val="001C5BE0"/>
    <w:rsid w:val="001C619D"/>
    <w:rsid w:val="001D117E"/>
    <w:rsid w:val="001E4023"/>
    <w:rsid w:val="001E4EA5"/>
    <w:rsid w:val="001F0840"/>
    <w:rsid w:val="001F2277"/>
    <w:rsid w:val="001F3157"/>
    <w:rsid w:val="001F3ABD"/>
    <w:rsid w:val="001F4523"/>
    <w:rsid w:val="001F54A6"/>
    <w:rsid w:val="001F6DA3"/>
    <w:rsid w:val="001F7272"/>
    <w:rsid w:val="00201EC4"/>
    <w:rsid w:val="00217F23"/>
    <w:rsid w:val="002278D8"/>
    <w:rsid w:val="0022794C"/>
    <w:rsid w:val="00237B86"/>
    <w:rsid w:val="00240BDA"/>
    <w:rsid w:val="00245D21"/>
    <w:rsid w:val="00251018"/>
    <w:rsid w:val="002522E7"/>
    <w:rsid w:val="00252792"/>
    <w:rsid w:val="00255D20"/>
    <w:rsid w:val="00255FE9"/>
    <w:rsid w:val="002639E9"/>
    <w:rsid w:val="00271C11"/>
    <w:rsid w:val="00272826"/>
    <w:rsid w:val="00273C4E"/>
    <w:rsid w:val="00274256"/>
    <w:rsid w:val="0027602A"/>
    <w:rsid w:val="00287B2B"/>
    <w:rsid w:val="00290FA0"/>
    <w:rsid w:val="002B5701"/>
    <w:rsid w:val="002C0B8A"/>
    <w:rsid w:val="002D00D1"/>
    <w:rsid w:val="002D2735"/>
    <w:rsid w:val="002E774E"/>
    <w:rsid w:val="002F3A62"/>
    <w:rsid w:val="002F706B"/>
    <w:rsid w:val="002F7F46"/>
    <w:rsid w:val="0030749E"/>
    <w:rsid w:val="00310D90"/>
    <w:rsid w:val="003119D5"/>
    <w:rsid w:val="003137C1"/>
    <w:rsid w:val="00314C83"/>
    <w:rsid w:val="0031762A"/>
    <w:rsid w:val="00320437"/>
    <w:rsid w:val="00325834"/>
    <w:rsid w:val="00325862"/>
    <w:rsid w:val="00325E0A"/>
    <w:rsid w:val="003339F2"/>
    <w:rsid w:val="00347D56"/>
    <w:rsid w:val="00350610"/>
    <w:rsid w:val="00355BEF"/>
    <w:rsid w:val="00360F23"/>
    <w:rsid w:val="00361015"/>
    <w:rsid w:val="003661B8"/>
    <w:rsid w:val="00371E51"/>
    <w:rsid w:val="0037289E"/>
    <w:rsid w:val="00384CA5"/>
    <w:rsid w:val="003900CD"/>
    <w:rsid w:val="0039217C"/>
    <w:rsid w:val="00392732"/>
    <w:rsid w:val="003968EE"/>
    <w:rsid w:val="003A334F"/>
    <w:rsid w:val="003A79CA"/>
    <w:rsid w:val="003B0227"/>
    <w:rsid w:val="003C0A46"/>
    <w:rsid w:val="003C2399"/>
    <w:rsid w:val="003D0075"/>
    <w:rsid w:val="003D6DB7"/>
    <w:rsid w:val="003D7A7E"/>
    <w:rsid w:val="003E0616"/>
    <w:rsid w:val="003E463A"/>
    <w:rsid w:val="003F2ED8"/>
    <w:rsid w:val="003F4AEA"/>
    <w:rsid w:val="003F5025"/>
    <w:rsid w:val="003F6016"/>
    <w:rsid w:val="00403C2F"/>
    <w:rsid w:val="004071F4"/>
    <w:rsid w:val="00413353"/>
    <w:rsid w:val="004146C7"/>
    <w:rsid w:val="0041657B"/>
    <w:rsid w:val="004212EF"/>
    <w:rsid w:val="004329D2"/>
    <w:rsid w:val="00433A5F"/>
    <w:rsid w:val="00436342"/>
    <w:rsid w:val="00444170"/>
    <w:rsid w:val="004555B9"/>
    <w:rsid w:val="004602DA"/>
    <w:rsid w:val="0046153D"/>
    <w:rsid w:val="004736F8"/>
    <w:rsid w:val="00473A13"/>
    <w:rsid w:val="00476317"/>
    <w:rsid w:val="00476FA3"/>
    <w:rsid w:val="0048402F"/>
    <w:rsid w:val="0049001A"/>
    <w:rsid w:val="0049286B"/>
    <w:rsid w:val="004934BE"/>
    <w:rsid w:val="00494391"/>
    <w:rsid w:val="004A3816"/>
    <w:rsid w:val="004B74B7"/>
    <w:rsid w:val="004C0D3D"/>
    <w:rsid w:val="004D1ED5"/>
    <w:rsid w:val="004D69E0"/>
    <w:rsid w:val="004E57ED"/>
    <w:rsid w:val="004F0FEF"/>
    <w:rsid w:val="004F1518"/>
    <w:rsid w:val="0050050D"/>
    <w:rsid w:val="00506302"/>
    <w:rsid w:val="005072FB"/>
    <w:rsid w:val="00510AB5"/>
    <w:rsid w:val="00511AC5"/>
    <w:rsid w:val="00516503"/>
    <w:rsid w:val="00516E32"/>
    <w:rsid w:val="005235B6"/>
    <w:rsid w:val="0053085F"/>
    <w:rsid w:val="005338C1"/>
    <w:rsid w:val="0054199B"/>
    <w:rsid w:val="00542EFB"/>
    <w:rsid w:val="005530E0"/>
    <w:rsid w:val="00560AF0"/>
    <w:rsid w:val="00562491"/>
    <w:rsid w:val="00570CF0"/>
    <w:rsid w:val="005812F3"/>
    <w:rsid w:val="00581881"/>
    <w:rsid w:val="00581B41"/>
    <w:rsid w:val="0059167F"/>
    <w:rsid w:val="00594E30"/>
    <w:rsid w:val="005A2BE5"/>
    <w:rsid w:val="005A34AE"/>
    <w:rsid w:val="005A6A7B"/>
    <w:rsid w:val="005B06BE"/>
    <w:rsid w:val="005B0E2B"/>
    <w:rsid w:val="005B18A4"/>
    <w:rsid w:val="005B4B52"/>
    <w:rsid w:val="005B73B9"/>
    <w:rsid w:val="005C3B00"/>
    <w:rsid w:val="005C5383"/>
    <w:rsid w:val="005D5579"/>
    <w:rsid w:val="005D717D"/>
    <w:rsid w:val="005D7B2D"/>
    <w:rsid w:val="005E1780"/>
    <w:rsid w:val="005E2A7C"/>
    <w:rsid w:val="005E6CA1"/>
    <w:rsid w:val="005F2A85"/>
    <w:rsid w:val="0060490B"/>
    <w:rsid w:val="006145F2"/>
    <w:rsid w:val="00620F56"/>
    <w:rsid w:val="00621D2B"/>
    <w:rsid w:val="0063269F"/>
    <w:rsid w:val="00634D1E"/>
    <w:rsid w:val="006378F1"/>
    <w:rsid w:val="0064058A"/>
    <w:rsid w:val="00643E53"/>
    <w:rsid w:val="0065130E"/>
    <w:rsid w:val="00651D6F"/>
    <w:rsid w:val="00655962"/>
    <w:rsid w:val="00656E28"/>
    <w:rsid w:val="006616BB"/>
    <w:rsid w:val="00661CBD"/>
    <w:rsid w:val="00661DAD"/>
    <w:rsid w:val="00675324"/>
    <w:rsid w:val="006773E9"/>
    <w:rsid w:val="0068717E"/>
    <w:rsid w:val="00692B10"/>
    <w:rsid w:val="00694FFB"/>
    <w:rsid w:val="006A2492"/>
    <w:rsid w:val="006A7677"/>
    <w:rsid w:val="006B2B0B"/>
    <w:rsid w:val="006B43D1"/>
    <w:rsid w:val="006B496B"/>
    <w:rsid w:val="006C1760"/>
    <w:rsid w:val="006C33F4"/>
    <w:rsid w:val="006C4A50"/>
    <w:rsid w:val="006C782C"/>
    <w:rsid w:val="006D0FCA"/>
    <w:rsid w:val="006D22C9"/>
    <w:rsid w:val="006D5A19"/>
    <w:rsid w:val="006D5D2F"/>
    <w:rsid w:val="006D715B"/>
    <w:rsid w:val="006D7CF0"/>
    <w:rsid w:val="006E2720"/>
    <w:rsid w:val="006E7249"/>
    <w:rsid w:val="006F1C73"/>
    <w:rsid w:val="006F1D4F"/>
    <w:rsid w:val="00700AE0"/>
    <w:rsid w:val="007033C5"/>
    <w:rsid w:val="007045DC"/>
    <w:rsid w:val="0071017F"/>
    <w:rsid w:val="00710384"/>
    <w:rsid w:val="00713345"/>
    <w:rsid w:val="00715468"/>
    <w:rsid w:val="00724392"/>
    <w:rsid w:val="007249A1"/>
    <w:rsid w:val="00725D54"/>
    <w:rsid w:val="00727805"/>
    <w:rsid w:val="0073635D"/>
    <w:rsid w:val="00742D82"/>
    <w:rsid w:val="00742F44"/>
    <w:rsid w:val="00753B29"/>
    <w:rsid w:val="00755439"/>
    <w:rsid w:val="00762225"/>
    <w:rsid w:val="007636FE"/>
    <w:rsid w:val="007657AF"/>
    <w:rsid w:val="00770AB8"/>
    <w:rsid w:val="00776A2D"/>
    <w:rsid w:val="00782560"/>
    <w:rsid w:val="00790B6B"/>
    <w:rsid w:val="00793AE1"/>
    <w:rsid w:val="00794C3F"/>
    <w:rsid w:val="007A1A1A"/>
    <w:rsid w:val="007B4143"/>
    <w:rsid w:val="007B617B"/>
    <w:rsid w:val="007C1981"/>
    <w:rsid w:val="007C724B"/>
    <w:rsid w:val="007E195E"/>
    <w:rsid w:val="007E34B1"/>
    <w:rsid w:val="007E68AE"/>
    <w:rsid w:val="007E7764"/>
    <w:rsid w:val="007F3D49"/>
    <w:rsid w:val="00802C77"/>
    <w:rsid w:val="00806192"/>
    <w:rsid w:val="00811AFC"/>
    <w:rsid w:val="00812345"/>
    <w:rsid w:val="008178B9"/>
    <w:rsid w:val="008427DA"/>
    <w:rsid w:val="0084354E"/>
    <w:rsid w:val="00850832"/>
    <w:rsid w:val="008613B1"/>
    <w:rsid w:val="00862D0C"/>
    <w:rsid w:val="00863068"/>
    <w:rsid w:val="00866945"/>
    <w:rsid w:val="008671C8"/>
    <w:rsid w:val="00867942"/>
    <w:rsid w:val="00881E80"/>
    <w:rsid w:val="00886814"/>
    <w:rsid w:val="0089323F"/>
    <w:rsid w:val="008A143D"/>
    <w:rsid w:val="008A2D6E"/>
    <w:rsid w:val="008B0118"/>
    <w:rsid w:val="008B238D"/>
    <w:rsid w:val="008B31DE"/>
    <w:rsid w:val="008B7990"/>
    <w:rsid w:val="008B7A83"/>
    <w:rsid w:val="008C0ADA"/>
    <w:rsid w:val="008C2739"/>
    <w:rsid w:val="008C4164"/>
    <w:rsid w:val="008C6BAE"/>
    <w:rsid w:val="008D090A"/>
    <w:rsid w:val="008D6290"/>
    <w:rsid w:val="008E07C4"/>
    <w:rsid w:val="008E2E61"/>
    <w:rsid w:val="008F33AB"/>
    <w:rsid w:val="008F7A39"/>
    <w:rsid w:val="00905E3A"/>
    <w:rsid w:val="009112A8"/>
    <w:rsid w:val="009114C6"/>
    <w:rsid w:val="00920431"/>
    <w:rsid w:val="00925877"/>
    <w:rsid w:val="00925F06"/>
    <w:rsid w:val="0093138C"/>
    <w:rsid w:val="00937457"/>
    <w:rsid w:val="009404A3"/>
    <w:rsid w:val="00945A9C"/>
    <w:rsid w:val="00945AEB"/>
    <w:rsid w:val="009467F1"/>
    <w:rsid w:val="00963AEC"/>
    <w:rsid w:val="009830B5"/>
    <w:rsid w:val="009859A9"/>
    <w:rsid w:val="009866CD"/>
    <w:rsid w:val="009868F7"/>
    <w:rsid w:val="00997105"/>
    <w:rsid w:val="009A0E4F"/>
    <w:rsid w:val="009A34E4"/>
    <w:rsid w:val="009A3FF9"/>
    <w:rsid w:val="009A47A3"/>
    <w:rsid w:val="009A693B"/>
    <w:rsid w:val="009C1014"/>
    <w:rsid w:val="009C2CD1"/>
    <w:rsid w:val="009D392E"/>
    <w:rsid w:val="009D44FF"/>
    <w:rsid w:val="009D6966"/>
    <w:rsid w:val="009D7D9B"/>
    <w:rsid w:val="00A00D0C"/>
    <w:rsid w:val="00A0659A"/>
    <w:rsid w:val="00A06837"/>
    <w:rsid w:val="00A13CAA"/>
    <w:rsid w:val="00A170DA"/>
    <w:rsid w:val="00A245DC"/>
    <w:rsid w:val="00A3354A"/>
    <w:rsid w:val="00A33587"/>
    <w:rsid w:val="00A448EA"/>
    <w:rsid w:val="00A469AB"/>
    <w:rsid w:val="00A46D42"/>
    <w:rsid w:val="00A479E9"/>
    <w:rsid w:val="00A50D74"/>
    <w:rsid w:val="00A51EED"/>
    <w:rsid w:val="00A62F76"/>
    <w:rsid w:val="00A67D54"/>
    <w:rsid w:val="00A74291"/>
    <w:rsid w:val="00A7470C"/>
    <w:rsid w:val="00A82AD9"/>
    <w:rsid w:val="00A8401C"/>
    <w:rsid w:val="00A8419E"/>
    <w:rsid w:val="00A85295"/>
    <w:rsid w:val="00A85403"/>
    <w:rsid w:val="00A86984"/>
    <w:rsid w:val="00A86E12"/>
    <w:rsid w:val="00A87263"/>
    <w:rsid w:val="00A97754"/>
    <w:rsid w:val="00AA2D5C"/>
    <w:rsid w:val="00AB08EF"/>
    <w:rsid w:val="00AB2D01"/>
    <w:rsid w:val="00AB4CEE"/>
    <w:rsid w:val="00AC31A6"/>
    <w:rsid w:val="00AC63B5"/>
    <w:rsid w:val="00AD0475"/>
    <w:rsid w:val="00AD7473"/>
    <w:rsid w:val="00AE00CA"/>
    <w:rsid w:val="00AE6F9E"/>
    <w:rsid w:val="00AF22F6"/>
    <w:rsid w:val="00B001DD"/>
    <w:rsid w:val="00B04EE2"/>
    <w:rsid w:val="00B072B9"/>
    <w:rsid w:val="00B15985"/>
    <w:rsid w:val="00B16488"/>
    <w:rsid w:val="00B16D07"/>
    <w:rsid w:val="00B26E96"/>
    <w:rsid w:val="00B30499"/>
    <w:rsid w:val="00B31994"/>
    <w:rsid w:val="00B42EBB"/>
    <w:rsid w:val="00B45D1C"/>
    <w:rsid w:val="00B50080"/>
    <w:rsid w:val="00B5075D"/>
    <w:rsid w:val="00B5543C"/>
    <w:rsid w:val="00B564DA"/>
    <w:rsid w:val="00B62963"/>
    <w:rsid w:val="00B6783A"/>
    <w:rsid w:val="00B77184"/>
    <w:rsid w:val="00B82E61"/>
    <w:rsid w:val="00B863ED"/>
    <w:rsid w:val="00B875E5"/>
    <w:rsid w:val="00B917E0"/>
    <w:rsid w:val="00B91D79"/>
    <w:rsid w:val="00B92ACE"/>
    <w:rsid w:val="00B93A41"/>
    <w:rsid w:val="00B9527D"/>
    <w:rsid w:val="00BA0E90"/>
    <w:rsid w:val="00BB16AE"/>
    <w:rsid w:val="00BB4E60"/>
    <w:rsid w:val="00BD661B"/>
    <w:rsid w:val="00BD7B4A"/>
    <w:rsid w:val="00BF5029"/>
    <w:rsid w:val="00BF5E49"/>
    <w:rsid w:val="00C059D2"/>
    <w:rsid w:val="00C07AD9"/>
    <w:rsid w:val="00C16D91"/>
    <w:rsid w:val="00C20110"/>
    <w:rsid w:val="00C218E3"/>
    <w:rsid w:val="00C2796C"/>
    <w:rsid w:val="00C33BE8"/>
    <w:rsid w:val="00C34107"/>
    <w:rsid w:val="00C34F38"/>
    <w:rsid w:val="00C40F63"/>
    <w:rsid w:val="00C41457"/>
    <w:rsid w:val="00C4242B"/>
    <w:rsid w:val="00C43531"/>
    <w:rsid w:val="00C43E5A"/>
    <w:rsid w:val="00C44B6D"/>
    <w:rsid w:val="00C63538"/>
    <w:rsid w:val="00C64348"/>
    <w:rsid w:val="00C73001"/>
    <w:rsid w:val="00C7708B"/>
    <w:rsid w:val="00C83FD2"/>
    <w:rsid w:val="00C91BD0"/>
    <w:rsid w:val="00C92197"/>
    <w:rsid w:val="00CA0EBD"/>
    <w:rsid w:val="00CA4F94"/>
    <w:rsid w:val="00CB18DD"/>
    <w:rsid w:val="00CB442B"/>
    <w:rsid w:val="00CC5AB4"/>
    <w:rsid w:val="00CC719C"/>
    <w:rsid w:val="00CD12BE"/>
    <w:rsid w:val="00CD562E"/>
    <w:rsid w:val="00CD5D60"/>
    <w:rsid w:val="00CD662E"/>
    <w:rsid w:val="00CE4717"/>
    <w:rsid w:val="00CE5C2A"/>
    <w:rsid w:val="00CF0400"/>
    <w:rsid w:val="00CF2122"/>
    <w:rsid w:val="00CF259D"/>
    <w:rsid w:val="00D0063A"/>
    <w:rsid w:val="00D01916"/>
    <w:rsid w:val="00D07A29"/>
    <w:rsid w:val="00D110A4"/>
    <w:rsid w:val="00D1458B"/>
    <w:rsid w:val="00D14CDC"/>
    <w:rsid w:val="00D17EC5"/>
    <w:rsid w:val="00D25388"/>
    <w:rsid w:val="00D27D8C"/>
    <w:rsid w:val="00D33BCF"/>
    <w:rsid w:val="00D34BFD"/>
    <w:rsid w:val="00D35F27"/>
    <w:rsid w:val="00D40BEA"/>
    <w:rsid w:val="00D42043"/>
    <w:rsid w:val="00D43AA8"/>
    <w:rsid w:val="00D46CC6"/>
    <w:rsid w:val="00D46EF3"/>
    <w:rsid w:val="00D52AE1"/>
    <w:rsid w:val="00D562E6"/>
    <w:rsid w:val="00D60B4C"/>
    <w:rsid w:val="00D709BC"/>
    <w:rsid w:val="00D753F3"/>
    <w:rsid w:val="00D80AD4"/>
    <w:rsid w:val="00D82FB3"/>
    <w:rsid w:val="00D87E0C"/>
    <w:rsid w:val="00D958F7"/>
    <w:rsid w:val="00D96447"/>
    <w:rsid w:val="00DA0248"/>
    <w:rsid w:val="00DA3F54"/>
    <w:rsid w:val="00DA74A8"/>
    <w:rsid w:val="00DB1BDF"/>
    <w:rsid w:val="00DC0080"/>
    <w:rsid w:val="00DD2597"/>
    <w:rsid w:val="00DD5E22"/>
    <w:rsid w:val="00DF107C"/>
    <w:rsid w:val="00DF1B50"/>
    <w:rsid w:val="00DF54A8"/>
    <w:rsid w:val="00E109D3"/>
    <w:rsid w:val="00E121DC"/>
    <w:rsid w:val="00E15AAF"/>
    <w:rsid w:val="00E161F5"/>
    <w:rsid w:val="00E172F3"/>
    <w:rsid w:val="00E33B8D"/>
    <w:rsid w:val="00E34ADD"/>
    <w:rsid w:val="00E43F8F"/>
    <w:rsid w:val="00E44C69"/>
    <w:rsid w:val="00E463B4"/>
    <w:rsid w:val="00E50B24"/>
    <w:rsid w:val="00E54171"/>
    <w:rsid w:val="00E57A5F"/>
    <w:rsid w:val="00E57B40"/>
    <w:rsid w:val="00E57F2B"/>
    <w:rsid w:val="00E6644F"/>
    <w:rsid w:val="00E70633"/>
    <w:rsid w:val="00E8500B"/>
    <w:rsid w:val="00E93B7D"/>
    <w:rsid w:val="00E943B4"/>
    <w:rsid w:val="00E96C7C"/>
    <w:rsid w:val="00EA0330"/>
    <w:rsid w:val="00EA0E3C"/>
    <w:rsid w:val="00EA0E6B"/>
    <w:rsid w:val="00EA1DB4"/>
    <w:rsid w:val="00EA238C"/>
    <w:rsid w:val="00EA2A81"/>
    <w:rsid w:val="00EA438C"/>
    <w:rsid w:val="00EA5FD7"/>
    <w:rsid w:val="00EA6475"/>
    <w:rsid w:val="00EB0DAB"/>
    <w:rsid w:val="00EC6687"/>
    <w:rsid w:val="00ED528D"/>
    <w:rsid w:val="00EF1CD7"/>
    <w:rsid w:val="00EF3E4E"/>
    <w:rsid w:val="00F05F8F"/>
    <w:rsid w:val="00F07CDC"/>
    <w:rsid w:val="00F145A7"/>
    <w:rsid w:val="00F146AC"/>
    <w:rsid w:val="00F17823"/>
    <w:rsid w:val="00F32597"/>
    <w:rsid w:val="00F33753"/>
    <w:rsid w:val="00F34A5A"/>
    <w:rsid w:val="00F54984"/>
    <w:rsid w:val="00F60E16"/>
    <w:rsid w:val="00F61E9B"/>
    <w:rsid w:val="00F62745"/>
    <w:rsid w:val="00F6281C"/>
    <w:rsid w:val="00F701E0"/>
    <w:rsid w:val="00F75698"/>
    <w:rsid w:val="00F779BE"/>
    <w:rsid w:val="00F77E51"/>
    <w:rsid w:val="00F80807"/>
    <w:rsid w:val="00F82496"/>
    <w:rsid w:val="00F90A77"/>
    <w:rsid w:val="00F93711"/>
    <w:rsid w:val="00F97816"/>
    <w:rsid w:val="00FA139E"/>
    <w:rsid w:val="00FA15F5"/>
    <w:rsid w:val="00FB5A3B"/>
    <w:rsid w:val="00FB7214"/>
    <w:rsid w:val="00FC00CD"/>
    <w:rsid w:val="00FC5C45"/>
    <w:rsid w:val="00FC5EB5"/>
    <w:rsid w:val="00FD2707"/>
    <w:rsid w:val="00FD2BBE"/>
    <w:rsid w:val="00FF1068"/>
    <w:rsid w:val="00FF45CB"/>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6694"/>
  <w15:docId w15:val="{39EF0C3E-65A7-45A3-8229-191F8025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724392"/>
    <w:rPr>
      <w:b/>
      <w:bCs/>
    </w:rPr>
  </w:style>
  <w:style w:type="paragraph" w:styleId="Revision">
    <w:name w:val="Revision"/>
    <w:hidden/>
    <w:uiPriority w:val="99"/>
    <w:semiHidden/>
    <w:rsid w:val="006D715B"/>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5580">
      <w:bodyDiv w:val="1"/>
      <w:marLeft w:val="0"/>
      <w:marRight w:val="0"/>
      <w:marTop w:val="0"/>
      <w:marBottom w:val="0"/>
      <w:divBdr>
        <w:top w:val="none" w:sz="0" w:space="0" w:color="auto"/>
        <w:left w:val="none" w:sz="0" w:space="0" w:color="auto"/>
        <w:bottom w:val="none" w:sz="0" w:space="0" w:color="auto"/>
        <w:right w:val="none" w:sz="0" w:space="0" w:color="auto"/>
      </w:divBdr>
    </w:div>
    <w:div w:id="638923798">
      <w:bodyDiv w:val="1"/>
      <w:marLeft w:val="0"/>
      <w:marRight w:val="0"/>
      <w:marTop w:val="0"/>
      <w:marBottom w:val="0"/>
      <w:divBdr>
        <w:top w:val="none" w:sz="0" w:space="0" w:color="auto"/>
        <w:left w:val="none" w:sz="0" w:space="0" w:color="auto"/>
        <w:bottom w:val="none" w:sz="0" w:space="0" w:color="auto"/>
        <w:right w:val="none" w:sz="0" w:space="0" w:color="auto"/>
      </w:divBdr>
    </w:div>
    <w:div w:id="979916462">
      <w:bodyDiv w:val="1"/>
      <w:marLeft w:val="0"/>
      <w:marRight w:val="0"/>
      <w:marTop w:val="0"/>
      <w:marBottom w:val="0"/>
      <w:divBdr>
        <w:top w:val="none" w:sz="0" w:space="0" w:color="auto"/>
        <w:left w:val="none" w:sz="0" w:space="0" w:color="auto"/>
        <w:bottom w:val="none" w:sz="0" w:space="0" w:color="auto"/>
        <w:right w:val="none" w:sz="0" w:space="0" w:color="auto"/>
      </w:divBdr>
    </w:div>
    <w:div w:id="1283196265">
      <w:bodyDiv w:val="1"/>
      <w:marLeft w:val="0"/>
      <w:marRight w:val="0"/>
      <w:marTop w:val="0"/>
      <w:marBottom w:val="0"/>
      <w:divBdr>
        <w:top w:val="none" w:sz="0" w:space="0" w:color="auto"/>
        <w:left w:val="none" w:sz="0" w:space="0" w:color="auto"/>
        <w:bottom w:val="none" w:sz="0" w:space="0" w:color="auto"/>
        <w:right w:val="none" w:sz="0" w:space="0" w:color="auto"/>
      </w:divBdr>
    </w:div>
    <w:div w:id="1388988761">
      <w:bodyDiv w:val="1"/>
      <w:marLeft w:val="0"/>
      <w:marRight w:val="0"/>
      <w:marTop w:val="0"/>
      <w:marBottom w:val="0"/>
      <w:divBdr>
        <w:top w:val="none" w:sz="0" w:space="0" w:color="auto"/>
        <w:left w:val="none" w:sz="0" w:space="0" w:color="auto"/>
        <w:bottom w:val="none" w:sz="0" w:space="0" w:color="auto"/>
        <w:right w:val="none" w:sz="0" w:space="0" w:color="auto"/>
      </w:divBdr>
    </w:div>
    <w:div w:id="15866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49D7C-9AB8-48B6-A747-6F0DD06C8E80}">
  <ds:schemaRefs>
    <ds:schemaRef ds:uri="http://schemas.openxmlformats.org/officeDocument/2006/bibliography"/>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4.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6742</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Lilitha Mdleleni</cp:lastModifiedBy>
  <cp:revision>4</cp:revision>
  <cp:lastPrinted>2023-11-13T06:44:00Z</cp:lastPrinted>
  <dcterms:created xsi:type="dcterms:W3CDTF">2023-11-16T08:24:00Z</dcterms:created>
  <dcterms:modified xsi:type="dcterms:W3CDTF">2023-11-22T07:23:00Z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