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CD3B" w14:textId="77777777" w:rsidR="00354A12" w:rsidRPr="003C36E9" w:rsidRDefault="00354A12" w:rsidP="00354A12">
      <w:pPr>
        <w:spacing w:line="360" w:lineRule="auto"/>
        <w:jc w:val="both"/>
        <w:rPr>
          <w:rFonts w:ascii="Times New Roman" w:hAnsi="Times New Roman" w:cs="Times New Roman"/>
          <w:sz w:val="28"/>
          <w:szCs w:val="28"/>
        </w:rPr>
      </w:pPr>
      <w:bookmarkStart w:id="0" w:name="_GoBack"/>
      <w:bookmarkEnd w:id="0"/>
    </w:p>
    <w:p w14:paraId="73344F6F"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1AA8B9B5" wp14:editId="55E91138">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38D85108" w14:textId="77777777" w:rsidR="00EA1AAE" w:rsidRDefault="00EA1AAE" w:rsidP="00EA1AAE">
      <w:pPr>
        <w:spacing w:line="360" w:lineRule="auto"/>
        <w:jc w:val="center"/>
        <w:rPr>
          <w:rFonts w:ascii="Times New Roman" w:hAnsi="Times New Roman" w:cs="Times New Roman"/>
          <w:sz w:val="28"/>
          <w:szCs w:val="28"/>
        </w:rPr>
      </w:pPr>
    </w:p>
    <w:p w14:paraId="5DA9758C"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490F6D4D"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335DFA">
        <w:rPr>
          <w:rFonts w:ascii="Times New Roman" w:hAnsi="Times New Roman" w:cs="Times New Roman"/>
          <w:b/>
          <w:sz w:val="28"/>
          <w:szCs w:val="28"/>
        </w:rPr>
        <w:t>EASTERN CAPE DIVISION, MTHATHA</w:t>
      </w:r>
      <w:r>
        <w:rPr>
          <w:rFonts w:ascii="Times New Roman" w:hAnsi="Times New Roman" w:cs="Times New Roman"/>
          <w:b/>
          <w:sz w:val="28"/>
          <w:szCs w:val="28"/>
        </w:rPr>
        <w:t>)</w:t>
      </w:r>
    </w:p>
    <w:p w14:paraId="6FE0FCF5"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255548FA"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E8621F">
        <w:rPr>
          <w:rFonts w:ascii="Times New Roman" w:hAnsi="Times New Roman" w:cs="Times New Roman"/>
          <w:b/>
          <w:sz w:val="28"/>
          <w:szCs w:val="28"/>
        </w:rPr>
        <w:t>4112/2023</w:t>
      </w:r>
    </w:p>
    <w:p w14:paraId="53DD6FF7" w14:textId="77777777" w:rsidR="00750C2C" w:rsidRDefault="00750C2C" w:rsidP="00EA1AAE">
      <w:pPr>
        <w:spacing w:line="360" w:lineRule="auto"/>
        <w:jc w:val="both"/>
        <w:rPr>
          <w:rFonts w:ascii="Times New Roman" w:hAnsi="Times New Roman" w:cs="Times New Roman"/>
          <w:sz w:val="28"/>
          <w:szCs w:val="28"/>
        </w:rPr>
      </w:pPr>
    </w:p>
    <w:p w14:paraId="711D4C11"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0BFC1340" w14:textId="77777777" w:rsidR="00EA1AAE" w:rsidRDefault="00EA1AAE" w:rsidP="00EA1AAE">
      <w:pPr>
        <w:spacing w:line="360" w:lineRule="auto"/>
        <w:jc w:val="both"/>
        <w:rPr>
          <w:rFonts w:ascii="Times New Roman" w:hAnsi="Times New Roman" w:cs="Times New Roman"/>
          <w:sz w:val="28"/>
          <w:szCs w:val="28"/>
        </w:rPr>
      </w:pPr>
    </w:p>
    <w:p w14:paraId="607B4774" w14:textId="77777777" w:rsidR="00E8621F" w:rsidRPr="00750C2C" w:rsidRDefault="00E8621F" w:rsidP="00EA1AAE">
      <w:pPr>
        <w:spacing w:line="360" w:lineRule="auto"/>
        <w:jc w:val="both"/>
        <w:rPr>
          <w:rFonts w:ascii="Times New Roman" w:hAnsi="Times New Roman" w:cs="Times New Roman"/>
          <w:b/>
          <w:sz w:val="28"/>
          <w:szCs w:val="28"/>
        </w:rPr>
      </w:pPr>
      <w:r w:rsidRPr="00750C2C">
        <w:rPr>
          <w:rFonts w:ascii="Times New Roman" w:hAnsi="Times New Roman" w:cs="Times New Roman"/>
          <w:b/>
          <w:sz w:val="28"/>
          <w:szCs w:val="28"/>
        </w:rPr>
        <w:t xml:space="preserve">THE ROAD ACCIDENT FUND </w:t>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t xml:space="preserve">  </w:t>
      </w:r>
      <w:r w:rsidRPr="00750C2C">
        <w:rPr>
          <w:rFonts w:ascii="Times New Roman" w:hAnsi="Times New Roman" w:cs="Times New Roman"/>
          <w:b/>
          <w:sz w:val="28"/>
          <w:szCs w:val="28"/>
        </w:rPr>
        <w:t>APPLICANT</w:t>
      </w:r>
    </w:p>
    <w:p w14:paraId="747118BC" w14:textId="77777777" w:rsidR="00E8621F" w:rsidRDefault="00E8621F" w:rsidP="00EA1AAE">
      <w:pPr>
        <w:spacing w:line="360" w:lineRule="auto"/>
        <w:jc w:val="both"/>
        <w:rPr>
          <w:rFonts w:ascii="Times New Roman" w:hAnsi="Times New Roman" w:cs="Times New Roman"/>
          <w:sz w:val="28"/>
          <w:szCs w:val="28"/>
        </w:rPr>
      </w:pPr>
    </w:p>
    <w:p w14:paraId="31CEDE35" w14:textId="77777777" w:rsidR="00E8621F" w:rsidRDefault="00750C2C"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E8621F">
        <w:rPr>
          <w:rFonts w:ascii="Times New Roman" w:hAnsi="Times New Roman" w:cs="Times New Roman"/>
          <w:sz w:val="28"/>
          <w:szCs w:val="28"/>
        </w:rPr>
        <w:t>nd</w:t>
      </w:r>
    </w:p>
    <w:p w14:paraId="682F5F1C" w14:textId="77777777" w:rsidR="00E8621F" w:rsidRDefault="00E8621F" w:rsidP="00EA1AAE">
      <w:pPr>
        <w:spacing w:line="360" w:lineRule="auto"/>
        <w:jc w:val="both"/>
        <w:rPr>
          <w:rFonts w:ascii="Times New Roman" w:hAnsi="Times New Roman" w:cs="Times New Roman"/>
          <w:sz w:val="28"/>
          <w:szCs w:val="28"/>
        </w:rPr>
      </w:pPr>
    </w:p>
    <w:p w14:paraId="7C60966D" w14:textId="77777777" w:rsidR="00E8621F" w:rsidRDefault="00E8621F" w:rsidP="00EA1AAE">
      <w:pPr>
        <w:spacing w:line="360" w:lineRule="auto"/>
        <w:jc w:val="both"/>
        <w:rPr>
          <w:rFonts w:ascii="Times New Roman" w:hAnsi="Times New Roman" w:cs="Times New Roman"/>
          <w:b/>
          <w:sz w:val="28"/>
          <w:szCs w:val="28"/>
        </w:rPr>
      </w:pPr>
      <w:r w:rsidRPr="00750C2C">
        <w:rPr>
          <w:rFonts w:ascii="Times New Roman" w:hAnsi="Times New Roman" w:cs="Times New Roman"/>
          <w:b/>
          <w:sz w:val="28"/>
          <w:szCs w:val="28"/>
        </w:rPr>
        <w:t xml:space="preserve">ZILWA ATTORNEYS INCORPORATED </w:t>
      </w:r>
      <w:r w:rsidR="00FE118A">
        <w:rPr>
          <w:rFonts w:ascii="Times New Roman" w:hAnsi="Times New Roman" w:cs="Times New Roman"/>
          <w:b/>
          <w:sz w:val="28"/>
          <w:szCs w:val="28"/>
        </w:rPr>
        <w:tab/>
        <w:t xml:space="preserve">      </w:t>
      </w:r>
      <w:r w:rsidRPr="00750C2C">
        <w:rPr>
          <w:rFonts w:ascii="Times New Roman" w:hAnsi="Times New Roman" w:cs="Times New Roman"/>
          <w:b/>
          <w:sz w:val="28"/>
          <w:szCs w:val="28"/>
        </w:rPr>
        <w:t>FIRST RESPONDENT</w:t>
      </w:r>
    </w:p>
    <w:p w14:paraId="2077CAF6" w14:textId="77777777" w:rsidR="00750C2C" w:rsidRPr="00750C2C" w:rsidRDefault="00750C2C" w:rsidP="00EA1AAE">
      <w:pPr>
        <w:spacing w:line="360" w:lineRule="auto"/>
        <w:jc w:val="both"/>
        <w:rPr>
          <w:rFonts w:ascii="Times New Roman" w:hAnsi="Times New Roman" w:cs="Times New Roman"/>
          <w:b/>
          <w:sz w:val="28"/>
          <w:szCs w:val="28"/>
        </w:rPr>
      </w:pPr>
    </w:p>
    <w:p w14:paraId="2EB2007B" w14:textId="77777777" w:rsidR="00E8621F" w:rsidRDefault="00750C2C" w:rsidP="00EA1AAE">
      <w:pPr>
        <w:spacing w:line="360" w:lineRule="auto"/>
        <w:jc w:val="both"/>
        <w:rPr>
          <w:rFonts w:ascii="Times New Roman" w:hAnsi="Times New Roman" w:cs="Times New Roman"/>
          <w:b/>
          <w:sz w:val="28"/>
          <w:szCs w:val="28"/>
        </w:rPr>
      </w:pPr>
      <w:r w:rsidRPr="00750C2C">
        <w:rPr>
          <w:rFonts w:ascii="Times New Roman" w:hAnsi="Times New Roman" w:cs="Times New Roman"/>
          <w:b/>
          <w:sz w:val="28"/>
          <w:szCs w:val="28"/>
        </w:rPr>
        <w:t xml:space="preserve">HYMIE ZILWA </w:t>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t xml:space="preserve"> </w:t>
      </w:r>
      <w:r w:rsidRPr="00750C2C">
        <w:rPr>
          <w:rFonts w:ascii="Times New Roman" w:hAnsi="Times New Roman" w:cs="Times New Roman"/>
          <w:b/>
          <w:sz w:val="28"/>
          <w:szCs w:val="28"/>
        </w:rPr>
        <w:t>SECOND RESPONDENT</w:t>
      </w:r>
    </w:p>
    <w:p w14:paraId="7DC9429A" w14:textId="77777777" w:rsidR="00750C2C" w:rsidRPr="00750C2C" w:rsidRDefault="00750C2C" w:rsidP="00EA1AAE">
      <w:pPr>
        <w:spacing w:line="360" w:lineRule="auto"/>
        <w:jc w:val="both"/>
        <w:rPr>
          <w:rFonts w:ascii="Times New Roman" w:hAnsi="Times New Roman" w:cs="Times New Roman"/>
          <w:b/>
          <w:sz w:val="28"/>
          <w:szCs w:val="28"/>
        </w:rPr>
      </w:pPr>
    </w:p>
    <w:p w14:paraId="2D0CF892" w14:textId="77777777" w:rsidR="00750C2C" w:rsidRPr="00750C2C" w:rsidRDefault="00750C2C" w:rsidP="00EA1AAE">
      <w:pPr>
        <w:spacing w:line="360" w:lineRule="auto"/>
        <w:jc w:val="both"/>
        <w:rPr>
          <w:rFonts w:ascii="Times New Roman" w:hAnsi="Times New Roman" w:cs="Times New Roman"/>
          <w:b/>
          <w:sz w:val="28"/>
          <w:szCs w:val="28"/>
        </w:rPr>
      </w:pPr>
      <w:r w:rsidRPr="00750C2C">
        <w:rPr>
          <w:rFonts w:ascii="Times New Roman" w:hAnsi="Times New Roman" w:cs="Times New Roman"/>
          <w:b/>
          <w:sz w:val="28"/>
          <w:szCs w:val="28"/>
        </w:rPr>
        <w:t xml:space="preserve">THE SHERIFF: EAST LONDON </w:t>
      </w:r>
      <w:r w:rsidR="00FE118A">
        <w:rPr>
          <w:rFonts w:ascii="Times New Roman" w:hAnsi="Times New Roman" w:cs="Times New Roman"/>
          <w:b/>
          <w:sz w:val="28"/>
          <w:szCs w:val="28"/>
        </w:rPr>
        <w:tab/>
      </w:r>
      <w:r w:rsidR="00FE118A">
        <w:rPr>
          <w:rFonts w:ascii="Times New Roman" w:hAnsi="Times New Roman" w:cs="Times New Roman"/>
          <w:b/>
          <w:sz w:val="28"/>
          <w:szCs w:val="28"/>
        </w:rPr>
        <w:tab/>
      </w:r>
      <w:r w:rsidR="00FE118A">
        <w:rPr>
          <w:rFonts w:ascii="Times New Roman" w:hAnsi="Times New Roman" w:cs="Times New Roman"/>
          <w:b/>
          <w:sz w:val="28"/>
          <w:szCs w:val="28"/>
        </w:rPr>
        <w:tab/>
        <w:t xml:space="preserve">     </w:t>
      </w:r>
      <w:r w:rsidRPr="00750C2C">
        <w:rPr>
          <w:rFonts w:ascii="Times New Roman" w:hAnsi="Times New Roman" w:cs="Times New Roman"/>
          <w:b/>
          <w:sz w:val="28"/>
          <w:szCs w:val="28"/>
        </w:rPr>
        <w:t>THIRD RESPONDENT</w:t>
      </w:r>
    </w:p>
    <w:p w14:paraId="65A8BECC" w14:textId="77777777" w:rsidR="00A572D4" w:rsidRDefault="00A572D4" w:rsidP="00354A12">
      <w:pPr>
        <w:spacing w:line="360" w:lineRule="auto"/>
        <w:jc w:val="both"/>
        <w:rPr>
          <w:rFonts w:ascii="Times New Roman" w:hAnsi="Times New Roman" w:cs="Times New Roman"/>
          <w:sz w:val="28"/>
          <w:szCs w:val="28"/>
        </w:rPr>
      </w:pPr>
    </w:p>
    <w:p w14:paraId="15AC7613" w14:textId="77777777" w:rsidR="00750C2C" w:rsidRPr="003C36E9" w:rsidRDefault="00750C2C" w:rsidP="00354A12">
      <w:pPr>
        <w:spacing w:line="360" w:lineRule="auto"/>
        <w:jc w:val="both"/>
        <w:rPr>
          <w:rFonts w:ascii="Times New Roman" w:hAnsi="Times New Roman" w:cs="Times New Roman"/>
          <w:sz w:val="28"/>
          <w:szCs w:val="28"/>
        </w:rPr>
      </w:pPr>
    </w:p>
    <w:p w14:paraId="143A61D7"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1EC82BA8" w14:textId="77777777" w:rsidR="00354A12" w:rsidRPr="003C36E9" w:rsidRDefault="00354A12" w:rsidP="00354A12">
      <w:pPr>
        <w:spacing w:line="240" w:lineRule="auto"/>
        <w:jc w:val="both"/>
        <w:rPr>
          <w:rFonts w:ascii="Times New Roman" w:hAnsi="Times New Roman" w:cs="Times New Roman"/>
          <w:sz w:val="28"/>
          <w:szCs w:val="28"/>
        </w:rPr>
      </w:pPr>
    </w:p>
    <w:p w14:paraId="003F8881"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20646062"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45D246D3" w14:textId="77777777" w:rsidR="00354A12" w:rsidRPr="003C36E9" w:rsidRDefault="00354A12" w:rsidP="00354A12">
      <w:pPr>
        <w:spacing w:line="240" w:lineRule="auto"/>
        <w:jc w:val="both"/>
        <w:rPr>
          <w:rFonts w:ascii="Times New Roman" w:hAnsi="Times New Roman" w:cs="Times New Roman"/>
          <w:sz w:val="28"/>
          <w:szCs w:val="28"/>
        </w:rPr>
      </w:pPr>
    </w:p>
    <w:p w14:paraId="2EF3EFDC" w14:textId="77777777" w:rsidR="00354A12" w:rsidRPr="003C36E9" w:rsidRDefault="00354A12" w:rsidP="00354A12">
      <w:pPr>
        <w:spacing w:line="360" w:lineRule="auto"/>
        <w:jc w:val="both"/>
        <w:rPr>
          <w:rFonts w:ascii="Times New Roman" w:hAnsi="Times New Roman" w:cs="Times New Roman"/>
          <w:b/>
          <w:sz w:val="28"/>
          <w:szCs w:val="28"/>
        </w:rPr>
      </w:pPr>
    </w:p>
    <w:p w14:paraId="5F459147"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lastRenderedPageBreak/>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0AE34024" w14:textId="77777777" w:rsidR="00354A12" w:rsidRPr="00EA1AAE" w:rsidRDefault="00354A12" w:rsidP="00354A12">
      <w:pPr>
        <w:spacing w:line="360" w:lineRule="auto"/>
        <w:jc w:val="both"/>
        <w:rPr>
          <w:rFonts w:ascii="Times New Roman" w:hAnsi="Times New Roman" w:cs="Times New Roman"/>
          <w:b/>
          <w:sz w:val="28"/>
          <w:szCs w:val="28"/>
        </w:rPr>
      </w:pPr>
    </w:p>
    <w:p w14:paraId="4B205568" w14:textId="10869416" w:rsidR="00DE403B"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DE403B">
        <w:rPr>
          <w:rFonts w:ascii="Times New Roman" w:hAnsi="Times New Roman"/>
          <w:sz w:val="28"/>
          <w:szCs w:val="28"/>
        </w:rPr>
        <w:t>The key issue raised in this matter is whether a belated application for leave to appeal a high court decision may be regarded as lapsed with the consequence that the decision against which leave to appeal is sought is excluded from the operative effect of section 18(1) of the Superior Courts Act</w:t>
      </w:r>
      <w:r w:rsidR="00DE403B">
        <w:rPr>
          <w:rStyle w:val="FootnoteReference"/>
          <w:rFonts w:ascii="Times New Roman" w:hAnsi="Times New Roman"/>
          <w:sz w:val="28"/>
          <w:szCs w:val="28"/>
        </w:rPr>
        <w:footnoteReference w:id="1"/>
      </w:r>
      <w:r w:rsidR="00DE403B">
        <w:rPr>
          <w:rFonts w:ascii="Times New Roman" w:hAnsi="Times New Roman"/>
          <w:sz w:val="28"/>
          <w:szCs w:val="28"/>
        </w:rPr>
        <w:t xml:space="preserve"> (the Act).</w:t>
      </w:r>
    </w:p>
    <w:p w14:paraId="327956B1" w14:textId="29111CB2" w:rsidR="00167313"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CA7492">
        <w:rPr>
          <w:rFonts w:ascii="Times New Roman" w:hAnsi="Times New Roman"/>
          <w:sz w:val="28"/>
          <w:szCs w:val="28"/>
        </w:rPr>
        <w:t xml:space="preserve">The issue arises </w:t>
      </w:r>
      <w:r w:rsidR="00B70CEE">
        <w:rPr>
          <w:rFonts w:ascii="Times New Roman" w:hAnsi="Times New Roman"/>
          <w:sz w:val="28"/>
          <w:szCs w:val="28"/>
        </w:rPr>
        <w:t xml:space="preserve">with regard to </w:t>
      </w:r>
      <w:r w:rsidR="00101C2D">
        <w:rPr>
          <w:rFonts w:ascii="Times New Roman" w:hAnsi="Times New Roman"/>
          <w:sz w:val="28"/>
          <w:szCs w:val="28"/>
        </w:rPr>
        <w:t xml:space="preserve">an order </w:t>
      </w:r>
      <w:r w:rsidR="00F43B0B">
        <w:rPr>
          <w:rFonts w:ascii="Times New Roman" w:hAnsi="Times New Roman"/>
          <w:sz w:val="28"/>
          <w:szCs w:val="28"/>
        </w:rPr>
        <w:t xml:space="preserve">made </w:t>
      </w:r>
      <w:r w:rsidR="003A7810">
        <w:rPr>
          <w:rFonts w:ascii="Times New Roman" w:hAnsi="Times New Roman"/>
          <w:sz w:val="28"/>
          <w:szCs w:val="28"/>
        </w:rPr>
        <w:t xml:space="preserve">against the applicant </w:t>
      </w:r>
      <w:r w:rsidR="00101C2D">
        <w:rPr>
          <w:rFonts w:ascii="Times New Roman" w:hAnsi="Times New Roman"/>
          <w:sz w:val="28"/>
          <w:szCs w:val="28"/>
        </w:rPr>
        <w:t>by Mjali</w:t>
      </w:r>
      <w:r w:rsidR="00F43B0B">
        <w:rPr>
          <w:rFonts w:ascii="Times New Roman" w:hAnsi="Times New Roman"/>
          <w:sz w:val="28"/>
          <w:szCs w:val="28"/>
        </w:rPr>
        <w:t> </w:t>
      </w:r>
      <w:r w:rsidR="00101C2D">
        <w:rPr>
          <w:rFonts w:ascii="Times New Roman" w:hAnsi="Times New Roman"/>
          <w:sz w:val="28"/>
          <w:szCs w:val="28"/>
        </w:rPr>
        <w:t>J on 6 November 2023</w:t>
      </w:r>
      <w:r w:rsidR="0033383F">
        <w:rPr>
          <w:rFonts w:ascii="Times New Roman" w:hAnsi="Times New Roman"/>
          <w:sz w:val="28"/>
          <w:szCs w:val="28"/>
        </w:rPr>
        <w:t xml:space="preserve"> </w:t>
      </w:r>
      <w:r w:rsidR="009D3A66">
        <w:rPr>
          <w:rFonts w:ascii="Times New Roman" w:hAnsi="Times New Roman"/>
          <w:sz w:val="28"/>
          <w:szCs w:val="28"/>
        </w:rPr>
        <w:t xml:space="preserve">(the order). The order is </w:t>
      </w:r>
      <w:r w:rsidR="00101C2D">
        <w:rPr>
          <w:rFonts w:ascii="Times New Roman" w:hAnsi="Times New Roman"/>
          <w:sz w:val="28"/>
          <w:szCs w:val="28"/>
        </w:rPr>
        <w:t xml:space="preserve">the subject of an application for leave to appeal </w:t>
      </w:r>
      <w:r w:rsidR="009D3A66">
        <w:rPr>
          <w:rFonts w:ascii="Times New Roman" w:hAnsi="Times New Roman"/>
          <w:sz w:val="28"/>
          <w:szCs w:val="28"/>
        </w:rPr>
        <w:t xml:space="preserve">which </w:t>
      </w:r>
      <w:r w:rsidR="00160CED">
        <w:rPr>
          <w:rFonts w:ascii="Times New Roman" w:hAnsi="Times New Roman"/>
          <w:sz w:val="28"/>
          <w:szCs w:val="28"/>
        </w:rPr>
        <w:t xml:space="preserve">has been </w:t>
      </w:r>
      <w:r w:rsidR="009D3A66">
        <w:rPr>
          <w:rFonts w:ascii="Times New Roman" w:hAnsi="Times New Roman"/>
          <w:sz w:val="28"/>
          <w:szCs w:val="28"/>
        </w:rPr>
        <w:t xml:space="preserve">postponed </w:t>
      </w:r>
      <w:r w:rsidR="0033383F" w:rsidRPr="00101C2D">
        <w:rPr>
          <w:rFonts w:ascii="Times New Roman" w:hAnsi="Times New Roman"/>
          <w:i/>
          <w:sz w:val="28"/>
          <w:szCs w:val="28"/>
        </w:rPr>
        <w:t>sine die</w:t>
      </w:r>
      <w:r w:rsidR="0033383F">
        <w:rPr>
          <w:rFonts w:ascii="Times New Roman" w:hAnsi="Times New Roman"/>
          <w:sz w:val="28"/>
          <w:szCs w:val="28"/>
        </w:rPr>
        <w:t xml:space="preserve"> by </w:t>
      </w:r>
      <w:r w:rsidR="009D3A66">
        <w:rPr>
          <w:rFonts w:ascii="Times New Roman" w:hAnsi="Times New Roman"/>
          <w:sz w:val="28"/>
          <w:szCs w:val="28"/>
        </w:rPr>
        <w:t>her</w:t>
      </w:r>
      <w:r w:rsidR="0033383F">
        <w:rPr>
          <w:rFonts w:ascii="Times New Roman" w:hAnsi="Times New Roman"/>
          <w:sz w:val="28"/>
          <w:szCs w:val="28"/>
        </w:rPr>
        <w:t xml:space="preserve"> on 22</w:t>
      </w:r>
      <w:r w:rsidR="00F43B0B">
        <w:rPr>
          <w:rFonts w:ascii="Times New Roman" w:hAnsi="Times New Roman"/>
          <w:sz w:val="28"/>
          <w:szCs w:val="28"/>
        </w:rPr>
        <w:t> </w:t>
      </w:r>
      <w:r w:rsidR="0033383F">
        <w:rPr>
          <w:rFonts w:ascii="Times New Roman" w:hAnsi="Times New Roman"/>
          <w:sz w:val="28"/>
          <w:szCs w:val="28"/>
        </w:rPr>
        <w:t>February 2024</w:t>
      </w:r>
      <w:r w:rsidR="00167313">
        <w:rPr>
          <w:rFonts w:ascii="Times New Roman" w:hAnsi="Times New Roman"/>
          <w:sz w:val="28"/>
          <w:szCs w:val="28"/>
        </w:rPr>
        <w:t>.</w:t>
      </w:r>
    </w:p>
    <w:p w14:paraId="73FF8AF5" w14:textId="0F9D8557" w:rsidR="0093607F"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93607F">
        <w:rPr>
          <w:rFonts w:ascii="Times New Roman" w:hAnsi="Times New Roman"/>
          <w:sz w:val="28"/>
          <w:szCs w:val="28"/>
        </w:rPr>
        <w:t>The following narrative of events gives context.</w:t>
      </w:r>
    </w:p>
    <w:p w14:paraId="2D82BDDC" w14:textId="1BEDDF55" w:rsidR="00A11F0C"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675D5">
        <w:rPr>
          <w:rFonts w:ascii="Times New Roman" w:hAnsi="Times New Roman"/>
          <w:sz w:val="28"/>
          <w:szCs w:val="28"/>
        </w:rPr>
        <w:t xml:space="preserve">This </w:t>
      </w:r>
      <w:r w:rsidR="00980B67">
        <w:rPr>
          <w:rFonts w:ascii="Times New Roman" w:hAnsi="Times New Roman"/>
          <w:sz w:val="28"/>
          <w:szCs w:val="28"/>
        </w:rPr>
        <w:t xml:space="preserve">present </w:t>
      </w:r>
      <w:r w:rsidR="002675D5">
        <w:rPr>
          <w:rFonts w:ascii="Times New Roman" w:hAnsi="Times New Roman"/>
          <w:sz w:val="28"/>
          <w:szCs w:val="28"/>
        </w:rPr>
        <w:t xml:space="preserve">is an application brought on urgency by the applicant </w:t>
      </w:r>
      <w:r w:rsidR="00636751">
        <w:rPr>
          <w:rFonts w:ascii="Times New Roman" w:hAnsi="Times New Roman"/>
          <w:sz w:val="28"/>
          <w:szCs w:val="28"/>
        </w:rPr>
        <w:t xml:space="preserve">to </w:t>
      </w:r>
      <w:r w:rsidR="009C122A">
        <w:rPr>
          <w:rFonts w:ascii="Times New Roman" w:hAnsi="Times New Roman"/>
          <w:sz w:val="28"/>
          <w:szCs w:val="28"/>
        </w:rPr>
        <w:t xml:space="preserve">restrain </w:t>
      </w:r>
      <w:r w:rsidR="00636751">
        <w:rPr>
          <w:rFonts w:ascii="Times New Roman" w:hAnsi="Times New Roman"/>
          <w:sz w:val="28"/>
          <w:szCs w:val="28"/>
        </w:rPr>
        <w:t xml:space="preserve">the </w:t>
      </w:r>
      <w:r w:rsidR="00EA2013">
        <w:rPr>
          <w:rFonts w:ascii="Times New Roman" w:hAnsi="Times New Roman"/>
          <w:sz w:val="28"/>
          <w:szCs w:val="28"/>
        </w:rPr>
        <w:t xml:space="preserve">first and second </w:t>
      </w:r>
      <w:r w:rsidR="00636751">
        <w:rPr>
          <w:rFonts w:ascii="Times New Roman" w:hAnsi="Times New Roman"/>
          <w:sz w:val="28"/>
          <w:szCs w:val="28"/>
        </w:rPr>
        <w:t xml:space="preserve">respondents </w:t>
      </w:r>
      <w:r w:rsidR="009C122A">
        <w:rPr>
          <w:rFonts w:ascii="Times New Roman" w:hAnsi="Times New Roman"/>
          <w:sz w:val="28"/>
          <w:szCs w:val="28"/>
        </w:rPr>
        <w:t xml:space="preserve">from pursuing </w:t>
      </w:r>
      <w:r w:rsidR="00F43B0B">
        <w:rPr>
          <w:rFonts w:ascii="Times New Roman" w:hAnsi="Times New Roman"/>
          <w:sz w:val="28"/>
          <w:szCs w:val="28"/>
        </w:rPr>
        <w:t xml:space="preserve">with </w:t>
      </w:r>
      <w:r w:rsidR="009C122A">
        <w:rPr>
          <w:rFonts w:ascii="Times New Roman" w:hAnsi="Times New Roman"/>
          <w:sz w:val="28"/>
          <w:szCs w:val="28"/>
        </w:rPr>
        <w:t xml:space="preserve">execution </w:t>
      </w:r>
      <w:r w:rsidR="00636751">
        <w:rPr>
          <w:rFonts w:ascii="Times New Roman" w:hAnsi="Times New Roman"/>
          <w:sz w:val="28"/>
          <w:szCs w:val="28"/>
        </w:rPr>
        <w:t xml:space="preserve">of </w:t>
      </w:r>
      <w:r w:rsidR="00F0373E">
        <w:rPr>
          <w:rFonts w:ascii="Times New Roman" w:hAnsi="Times New Roman"/>
          <w:sz w:val="28"/>
          <w:szCs w:val="28"/>
        </w:rPr>
        <w:t xml:space="preserve">various writs </w:t>
      </w:r>
      <w:r w:rsidR="00EC00EC">
        <w:rPr>
          <w:rFonts w:ascii="Times New Roman" w:hAnsi="Times New Roman"/>
          <w:sz w:val="28"/>
          <w:szCs w:val="28"/>
        </w:rPr>
        <w:t xml:space="preserve">previously </w:t>
      </w:r>
      <w:r w:rsidR="00F0373E">
        <w:rPr>
          <w:rFonts w:ascii="Times New Roman" w:hAnsi="Times New Roman"/>
          <w:sz w:val="28"/>
          <w:szCs w:val="28"/>
        </w:rPr>
        <w:t xml:space="preserve">obtained by </w:t>
      </w:r>
      <w:r w:rsidR="00BF153F">
        <w:rPr>
          <w:rFonts w:ascii="Times New Roman" w:hAnsi="Times New Roman"/>
          <w:sz w:val="28"/>
          <w:szCs w:val="28"/>
        </w:rPr>
        <w:t xml:space="preserve">several </w:t>
      </w:r>
      <w:r w:rsidR="00F0373E">
        <w:rPr>
          <w:rFonts w:ascii="Times New Roman" w:hAnsi="Times New Roman"/>
          <w:sz w:val="28"/>
          <w:szCs w:val="28"/>
        </w:rPr>
        <w:t>judgment creditors</w:t>
      </w:r>
      <w:r w:rsidR="00177087">
        <w:rPr>
          <w:rFonts w:ascii="Times New Roman" w:hAnsi="Times New Roman"/>
          <w:sz w:val="28"/>
          <w:szCs w:val="28"/>
        </w:rPr>
        <w:t xml:space="preserve"> (being clients of the respondents)</w:t>
      </w:r>
      <w:r w:rsidR="00A9423A">
        <w:rPr>
          <w:rFonts w:ascii="Times New Roman" w:hAnsi="Times New Roman"/>
          <w:sz w:val="28"/>
          <w:szCs w:val="28"/>
        </w:rPr>
        <w:t xml:space="preserve"> pursuant to which the applicant</w:t>
      </w:r>
      <w:r w:rsidR="00683061">
        <w:rPr>
          <w:rFonts w:ascii="Times New Roman" w:hAnsi="Times New Roman"/>
          <w:sz w:val="28"/>
          <w:szCs w:val="28"/>
        </w:rPr>
        <w:t xml:space="preserve"> instituted proceedings for a stay of execution which Mjali</w:t>
      </w:r>
      <w:r w:rsidR="009A794C">
        <w:rPr>
          <w:rFonts w:ascii="Times New Roman" w:hAnsi="Times New Roman"/>
          <w:sz w:val="28"/>
          <w:szCs w:val="28"/>
        </w:rPr>
        <w:t xml:space="preserve"> J dismissed </w:t>
      </w:r>
      <w:r w:rsidR="00EC00EC">
        <w:rPr>
          <w:rFonts w:ascii="Times New Roman" w:hAnsi="Times New Roman"/>
          <w:sz w:val="28"/>
          <w:szCs w:val="28"/>
        </w:rPr>
        <w:t xml:space="preserve">in </w:t>
      </w:r>
      <w:r w:rsidR="003A7810">
        <w:rPr>
          <w:rFonts w:ascii="Times New Roman" w:hAnsi="Times New Roman"/>
          <w:sz w:val="28"/>
          <w:szCs w:val="28"/>
        </w:rPr>
        <w:t xml:space="preserve">the </w:t>
      </w:r>
      <w:r w:rsidR="00F43B0B">
        <w:rPr>
          <w:rFonts w:ascii="Times New Roman" w:hAnsi="Times New Roman"/>
          <w:sz w:val="28"/>
          <w:szCs w:val="28"/>
        </w:rPr>
        <w:t xml:space="preserve">order </w:t>
      </w:r>
      <w:r w:rsidR="00260DCB">
        <w:rPr>
          <w:rFonts w:ascii="Times New Roman" w:hAnsi="Times New Roman"/>
          <w:sz w:val="28"/>
          <w:szCs w:val="28"/>
        </w:rPr>
        <w:t xml:space="preserve">of </w:t>
      </w:r>
      <w:r w:rsidR="00BD5AA9">
        <w:rPr>
          <w:rFonts w:ascii="Times New Roman" w:hAnsi="Times New Roman"/>
          <w:sz w:val="28"/>
          <w:szCs w:val="28"/>
        </w:rPr>
        <w:t xml:space="preserve">6 </w:t>
      </w:r>
      <w:r w:rsidR="009A794C">
        <w:rPr>
          <w:rFonts w:ascii="Times New Roman" w:hAnsi="Times New Roman"/>
          <w:sz w:val="28"/>
          <w:szCs w:val="28"/>
        </w:rPr>
        <w:t>November 2023</w:t>
      </w:r>
      <w:r w:rsidR="003A7810">
        <w:rPr>
          <w:rFonts w:ascii="Times New Roman" w:hAnsi="Times New Roman"/>
          <w:sz w:val="28"/>
          <w:szCs w:val="28"/>
        </w:rPr>
        <w:t xml:space="preserve">. </w:t>
      </w:r>
      <w:r w:rsidR="00CF4869">
        <w:rPr>
          <w:rFonts w:ascii="Times New Roman" w:hAnsi="Times New Roman"/>
          <w:sz w:val="28"/>
          <w:szCs w:val="28"/>
        </w:rPr>
        <w:t xml:space="preserve">Along with </w:t>
      </w:r>
      <w:r w:rsidR="005610B0">
        <w:rPr>
          <w:rFonts w:ascii="Times New Roman" w:hAnsi="Times New Roman"/>
          <w:sz w:val="28"/>
          <w:szCs w:val="28"/>
        </w:rPr>
        <w:t xml:space="preserve">a </w:t>
      </w:r>
      <w:r w:rsidR="00CF4869">
        <w:rPr>
          <w:rFonts w:ascii="Times New Roman" w:hAnsi="Times New Roman"/>
          <w:sz w:val="28"/>
          <w:szCs w:val="28"/>
        </w:rPr>
        <w:t xml:space="preserve">simultaneous </w:t>
      </w:r>
      <w:r w:rsidR="005610B0">
        <w:rPr>
          <w:rFonts w:ascii="Times New Roman" w:hAnsi="Times New Roman"/>
          <w:sz w:val="28"/>
          <w:szCs w:val="28"/>
        </w:rPr>
        <w:t>counter-application by the respondents</w:t>
      </w:r>
      <w:r w:rsidR="00F37AC7">
        <w:rPr>
          <w:rFonts w:ascii="Times New Roman" w:hAnsi="Times New Roman"/>
          <w:sz w:val="28"/>
          <w:szCs w:val="28"/>
        </w:rPr>
        <w:t>,</w:t>
      </w:r>
      <w:r w:rsidR="005610B0">
        <w:rPr>
          <w:rFonts w:ascii="Times New Roman" w:hAnsi="Times New Roman"/>
          <w:sz w:val="28"/>
          <w:szCs w:val="28"/>
        </w:rPr>
        <w:t xml:space="preserve"> the order </w:t>
      </w:r>
      <w:r w:rsidR="00CF1793">
        <w:rPr>
          <w:rFonts w:ascii="Times New Roman" w:hAnsi="Times New Roman"/>
          <w:sz w:val="28"/>
          <w:szCs w:val="28"/>
        </w:rPr>
        <w:t xml:space="preserve">included a declaration that </w:t>
      </w:r>
      <w:r w:rsidR="004D096A">
        <w:rPr>
          <w:rFonts w:ascii="Times New Roman" w:hAnsi="Times New Roman"/>
          <w:sz w:val="28"/>
          <w:szCs w:val="28"/>
        </w:rPr>
        <w:t xml:space="preserve">certain clauses of the </w:t>
      </w:r>
      <w:r w:rsidR="00CF4869">
        <w:rPr>
          <w:rFonts w:ascii="Times New Roman" w:hAnsi="Times New Roman"/>
          <w:sz w:val="28"/>
          <w:szCs w:val="28"/>
        </w:rPr>
        <w:t>applicant’s Board Notice 271 of 2022 published on 6 May 2022 in Government Gazette number 46322</w:t>
      </w:r>
      <w:r w:rsidR="00FA5819">
        <w:rPr>
          <w:rFonts w:ascii="Times New Roman" w:hAnsi="Times New Roman"/>
          <w:sz w:val="28"/>
          <w:szCs w:val="28"/>
        </w:rPr>
        <w:t xml:space="preserve"> are unlawful</w:t>
      </w:r>
      <w:r w:rsidR="00CF4869">
        <w:rPr>
          <w:rFonts w:ascii="Times New Roman" w:hAnsi="Times New Roman"/>
          <w:sz w:val="28"/>
          <w:szCs w:val="28"/>
        </w:rPr>
        <w:t>. The notice sets out the applicant’s terms and conditions upon which claims for com</w:t>
      </w:r>
      <w:r w:rsidR="00335DFA">
        <w:rPr>
          <w:rFonts w:ascii="Times New Roman" w:hAnsi="Times New Roman"/>
          <w:sz w:val="28"/>
          <w:szCs w:val="28"/>
        </w:rPr>
        <w:t>pensation shall be administered</w:t>
      </w:r>
      <w:r w:rsidR="00260DCB">
        <w:rPr>
          <w:rFonts w:ascii="Times New Roman" w:hAnsi="Times New Roman"/>
          <w:sz w:val="28"/>
          <w:szCs w:val="28"/>
        </w:rPr>
        <w:t xml:space="preserve">, </w:t>
      </w:r>
      <w:r w:rsidR="00CF4869">
        <w:rPr>
          <w:rFonts w:ascii="Times New Roman" w:hAnsi="Times New Roman"/>
          <w:sz w:val="28"/>
          <w:szCs w:val="28"/>
        </w:rPr>
        <w:t xml:space="preserve">compliance with which the </w:t>
      </w:r>
      <w:r w:rsidR="00BD5AA9">
        <w:rPr>
          <w:rFonts w:ascii="Times New Roman" w:hAnsi="Times New Roman"/>
          <w:sz w:val="28"/>
          <w:szCs w:val="28"/>
        </w:rPr>
        <w:t>applicant asserts is mandatory.</w:t>
      </w:r>
    </w:p>
    <w:p w14:paraId="0BBA6748" w14:textId="63219F6C" w:rsidR="00156172"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156172" w:rsidRPr="000911FB">
        <w:rPr>
          <w:rFonts w:ascii="Times New Roman" w:hAnsi="Times New Roman"/>
          <w:sz w:val="28"/>
          <w:szCs w:val="28"/>
        </w:rPr>
        <w:t xml:space="preserve">Pertinent to these proceedings is that on 8 December 2023, a period of nine days after the order, the applicant belatedly filed a notice of application for leave </w:t>
      </w:r>
      <w:r w:rsidR="00156172" w:rsidRPr="000911FB">
        <w:rPr>
          <w:rFonts w:ascii="Times New Roman" w:hAnsi="Times New Roman"/>
          <w:sz w:val="28"/>
          <w:szCs w:val="28"/>
        </w:rPr>
        <w:lastRenderedPageBreak/>
        <w:t>to appeal.</w:t>
      </w:r>
      <w:r w:rsidR="00156172">
        <w:rPr>
          <w:rFonts w:ascii="Times New Roman" w:hAnsi="Times New Roman"/>
          <w:sz w:val="28"/>
          <w:szCs w:val="28"/>
        </w:rPr>
        <w:t xml:space="preserve"> </w:t>
      </w:r>
      <w:r w:rsidR="007F5324">
        <w:rPr>
          <w:rFonts w:ascii="Times New Roman" w:hAnsi="Times New Roman"/>
          <w:sz w:val="28"/>
          <w:szCs w:val="28"/>
        </w:rPr>
        <w:t>T</w:t>
      </w:r>
      <w:r w:rsidR="00156172" w:rsidRPr="000911FB">
        <w:rPr>
          <w:rFonts w:ascii="Times New Roman" w:hAnsi="Times New Roman"/>
          <w:sz w:val="28"/>
          <w:szCs w:val="28"/>
        </w:rPr>
        <w:t>he application served before Mjali J on 22 February 202</w:t>
      </w:r>
      <w:r w:rsidR="00156172">
        <w:rPr>
          <w:rFonts w:ascii="Times New Roman" w:hAnsi="Times New Roman"/>
          <w:sz w:val="28"/>
          <w:szCs w:val="28"/>
        </w:rPr>
        <w:t>4</w:t>
      </w:r>
      <w:r w:rsidR="00BD5AA9">
        <w:rPr>
          <w:rFonts w:ascii="Times New Roman" w:hAnsi="Times New Roman"/>
          <w:sz w:val="28"/>
          <w:szCs w:val="28"/>
        </w:rPr>
        <w:t xml:space="preserve">. </w:t>
      </w:r>
      <w:r w:rsidR="007F5324">
        <w:rPr>
          <w:rFonts w:ascii="Times New Roman" w:hAnsi="Times New Roman"/>
          <w:sz w:val="28"/>
          <w:szCs w:val="28"/>
        </w:rPr>
        <w:t xml:space="preserve">I was informed from the bar it </w:t>
      </w:r>
      <w:r w:rsidR="00156172" w:rsidRPr="000911FB">
        <w:rPr>
          <w:rFonts w:ascii="Times New Roman" w:hAnsi="Times New Roman"/>
          <w:sz w:val="28"/>
          <w:szCs w:val="28"/>
        </w:rPr>
        <w:t xml:space="preserve">was postponed </w:t>
      </w:r>
      <w:r w:rsidR="00156172" w:rsidRPr="000911FB">
        <w:rPr>
          <w:rFonts w:ascii="Times New Roman" w:hAnsi="Times New Roman"/>
          <w:i/>
          <w:sz w:val="28"/>
          <w:szCs w:val="28"/>
        </w:rPr>
        <w:t>sine die</w:t>
      </w:r>
      <w:r w:rsidR="007F5324">
        <w:rPr>
          <w:rFonts w:ascii="Times New Roman" w:hAnsi="Times New Roman"/>
          <w:sz w:val="28"/>
          <w:szCs w:val="28"/>
        </w:rPr>
        <w:t xml:space="preserve"> together with an application for condonation.</w:t>
      </w:r>
    </w:p>
    <w:p w14:paraId="0918FE24" w14:textId="275E2E44" w:rsidR="00924C3C"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A66A61">
        <w:rPr>
          <w:rFonts w:ascii="Times New Roman" w:hAnsi="Times New Roman"/>
          <w:sz w:val="28"/>
          <w:szCs w:val="28"/>
        </w:rPr>
        <w:t xml:space="preserve">Prior to that date and </w:t>
      </w:r>
      <w:r w:rsidR="00737634">
        <w:rPr>
          <w:rFonts w:ascii="Times New Roman" w:hAnsi="Times New Roman"/>
          <w:sz w:val="28"/>
          <w:szCs w:val="28"/>
        </w:rPr>
        <w:t>due to the fact that the respondents persisted with execution, the applicant applied for an order prevent</w:t>
      </w:r>
      <w:r w:rsidR="00160CED">
        <w:rPr>
          <w:rFonts w:ascii="Times New Roman" w:hAnsi="Times New Roman"/>
          <w:sz w:val="28"/>
          <w:szCs w:val="28"/>
        </w:rPr>
        <w:t>ing</w:t>
      </w:r>
      <w:r w:rsidR="00737634">
        <w:rPr>
          <w:rFonts w:ascii="Times New Roman" w:hAnsi="Times New Roman"/>
          <w:sz w:val="28"/>
          <w:szCs w:val="28"/>
        </w:rPr>
        <w:t xml:space="preserve"> the</w:t>
      </w:r>
      <w:r w:rsidR="00A66A61">
        <w:rPr>
          <w:rFonts w:ascii="Times New Roman" w:hAnsi="Times New Roman"/>
          <w:sz w:val="28"/>
          <w:szCs w:val="28"/>
        </w:rPr>
        <w:t>m</w:t>
      </w:r>
      <w:r w:rsidR="008609C4">
        <w:rPr>
          <w:rFonts w:ascii="Times New Roman" w:hAnsi="Times New Roman"/>
          <w:sz w:val="28"/>
          <w:szCs w:val="28"/>
        </w:rPr>
        <w:t xml:space="preserve"> from doing so</w:t>
      </w:r>
      <w:r w:rsidR="00B663B2">
        <w:rPr>
          <w:rFonts w:ascii="Times New Roman" w:hAnsi="Times New Roman"/>
          <w:sz w:val="28"/>
          <w:szCs w:val="28"/>
        </w:rPr>
        <w:t xml:space="preserve">. The application, formulated on an essentially similar cause of action as the present, </w:t>
      </w:r>
      <w:r w:rsidR="00A66A61">
        <w:rPr>
          <w:rFonts w:ascii="Times New Roman" w:hAnsi="Times New Roman"/>
          <w:sz w:val="28"/>
          <w:szCs w:val="28"/>
        </w:rPr>
        <w:t xml:space="preserve">was moved </w:t>
      </w:r>
      <w:r w:rsidR="00B14772">
        <w:rPr>
          <w:rFonts w:ascii="Times New Roman" w:hAnsi="Times New Roman"/>
          <w:sz w:val="28"/>
          <w:szCs w:val="28"/>
        </w:rPr>
        <w:t xml:space="preserve">before Ntsepe AJ </w:t>
      </w:r>
      <w:r w:rsidR="00A66A61">
        <w:rPr>
          <w:rFonts w:ascii="Times New Roman" w:hAnsi="Times New Roman"/>
          <w:sz w:val="28"/>
          <w:szCs w:val="28"/>
        </w:rPr>
        <w:t xml:space="preserve">on 6 February 2024 and </w:t>
      </w:r>
      <w:r w:rsidR="00B14772">
        <w:rPr>
          <w:rFonts w:ascii="Times New Roman" w:hAnsi="Times New Roman"/>
          <w:sz w:val="28"/>
          <w:szCs w:val="28"/>
        </w:rPr>
        <w:t xml:space="preserve">was </w:t>
      </w:r>
      <w:r w:rsidR="00B83088">
        <w:rPr>
          <w:rFonts w:ascii="Times New Roman" w:hAnsi="Times New Roman"/>
          <w:sz w:val="28"/>
          <w:szCs w:val="28"/>
        </w:rPr>
        <w:t xml:space="preserve">dismissed by </w:t>
      </w:r>
      <w:r w:rsidR="00B14772">
        <w:rPr>
          <w:rFonts w:ascii="Times New Roman" w:hAnsi="Times New Roman"/>
          <w:sz w:val="28"/>
          <w:szCs w:val="28"/>
        </w:rPr>
        <w:t xml:space="preserve">her </w:t>
      </w:r>
      <w:r w:rsidR="00F66183">
        <w:rPr>
          <w:rFonts w:ascii="Times New Roman" w:hAnsi="Times New Roman"/>
          <w:sz w:val="28"/>
          <w:szCs w:val="28"/>
        </w:rPr>
        <w:t>on 9</w:t>
      </w:r>
      <w:r w:rsidR="005912F1">
        <w:rPr>
          <w:rFonts w:ascii="Times New Roman" w:hAnsi="Times New Roman"/>
          <w:sz w:val="28"/>
          <w:szCs w:val="28"/>
        </w:rPr>
        <w:t> </w:t>
      </w:r>
      <w:r w:rsidR="00F66183">
        <w:rPr>
          <w:rFonts w:ascii="Times New Roman" w:hAnsi="Times New Roman"/>
          <w:sz w:val="28"/>
          <w:szCs w:val="28"/>
        </w:rPr>
        <w:t>February 2024 pursuant to which the applicant delivered a notice of application for leave to appeal on 19 February 2024.</w:t>
      </w:r>
      <w:r w:rsidR="00924C3C" w:rsidRPr="00924C3C">
        <w:rPr>
          <w:rFonts w:ascii="Times New Roman" w:hAnsi="Times New Roman"/>
          <w:sz w:val="28"/>
          <w:szCs w:val="28"/>
        </w:rPr>
        <w:t xml:space="preserve"> </w:t>
      </w:r>
      <w:r w:rsidR="00924C3C">
        <w:rPr>
          <w:rFonts w:ascii="Times New Roman" w:hAnsi="Times New Roman"/>
          <w:sz w:val="28"/>
          <w:szCs w:val="28"/>
        </w:rPr>
        <w:t xml:space="preserve">Given the conclusion reached in this judgment it is considered unnecessary to deal with the </w:t>
      </w:r>
      <w:r w:rsidR="00114834">
        <w:rPr>
          <w:rFonts w:ascii="Times New Roman" w:hAnsi="Times New Roman"/>
          <w:sz w:val="28"/>
          <w:szCs w:val="28"/>
        </w:rPr>
        <w:t xml:space="preserve">first </w:t>
      </w:r>
      <w:r w:rsidR="00924C3C">
        <w:rPr>
          <w:rFonts w:ascii="Times New Roman" w:hAnsi="Times New Roman"/>
          <w:sz w:val="28"/>
          <w:szCs w:val="28"/>
        </w:rPr>
        <w:t xml:space="preserve">respondent’s </w:t>
      </w:r>
      <w:r w:rsidR="00924C3C" w:rsidRPr="00FC241E">
        <w:rPr>
          <w:rFonts w:ascii="Times New Roman" w:hAnsi="Times New Roman"/>
          <w:i/>
          <w:sz w:val="28"/>
          <w:szCs w:val="28"/>
        </w:rPr>
        <w:t>res iudica</w:t>
      </w:r>
      <w:r w:rsidR="00F2131B">
        <w:rPr>
          <w:rFonts w:ascii="Times New Roman" w:hAnsi="Times New Roman"/>
          <w:i/>
          <w:sz w:val="28"/>
          <w:szCs w:val="28"/>
        </w:rPr>
        <w:t>ta</w:t>
      </w:r>
      <w:r w:rsidR="00924C3C">
        <w:rPr>
          <w:rFonts w:ascii="Times New Roman" w:hAnsi="Times New Roman"/>
          <w:sz w:val="28"/>
          <w:szCs w:val="28"/>
        </w:rPr>
        <w:t xml:space="preserve"> argument in respect of the application that served before Ntsepe AJ. In argument it was properly conceded</w:t>
      </w:r>
      <w:r w:rsidR="00114834">
        <w:rPr>
          <w:rFonts w:ascii="Times New Roman" w:hAnsi="Times New Roman"/>
          <w:sz w:val="28"/>
          <w:szCs w:val="28"/>
        </w:rPr>
        <w:t xml:space="preserve"> that </w:t>
      </w:r>
      <w:r w:rsidR="00924C3C">
        <w:rPr>
          <w:rFonts w:ascii="Times New Roman" w:hAnsi="Times New Roman"/>
          <w:sz w:val="28"/>
          <w:szCs w:val="28"/>
        </w:rPr>
        <w:t xml:space="preserve">the point taken would be rendered unsustainable in the event of a finding that there is an existing application for leave to appeal </w:t>
      </w:r>
      <w:r w:rsidR="00B70CEE">
        <w:rPr>
          <w:rFonts w:ascii="Times New Roman" w:hAnsi="Times New Roman"/>
          <w:sz w:val="28"/>
          <w:szCs w:val="28"/>
        </w:rPr>
        <w:t xml:space="preserve">pending before Mjali J </w:t>
      </w:r>
      <w:r w:rsidR="00924C3C">
        <w:rPr>
          <w:rFonts w:ascii="Times New Roman" w:hAnsi="Times New Roman"/>
          <w:sz w:val="28"/>
          <w:szCs w:val="28"/>
        </w:rPr>
        <w:t>which has not lapsed.</w:t>
      </w:r>
    </w:p>
    <w:p w14:paraId="1EDA5B69" w14:textId="4CF67E75" w:rsidR="00BF153F"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BF153F">
        <w:rPr>
          <w:rFonts w:ascii="Times New Roman" w:hAnsi="Times New Roman"/>
          <w:sz w:val="28"/>
          <w:szCs w:val="28"/>
        </w:rPr>
        <w:t xml:space="preserve">Although cited in the papers, </w:t>
      </w:r>
      <w:r w:rsidR="00087748">
        <w:rPr>
          <w:rFonts w:ascii="Times New Roman" w:hAnsi="Times New Roman"/>
          <w:sz w:val="28"/>
          <w:szCs w:val="28"/>
        </w:rPr>
        <w:t xml:space="preserve">neither </w:t>
      </w:r>
      <w:r w:rsidR="00BF153F">
        <w:rPr>
          <w:rFonts w:ascii="Times New Roman" w:hAnsi="Times New Roman"/>
          <w:sz w:val="28"/>
          <w:szCs w:val="28"/>
        </w:rPr>
        <w:t xml:space="preserve">the second respondent </w:t>
      </w:r>
      <w:r w:rsidR="00087748">
        <w:rPr>
          <w:rFonts w:ascii="Times New Roman" w:hAnsi="Times New Roman"/>
          <w:sz w:val="28"/>
          <w:szCs w:val="28"/>
        </w:rPr>
        <w:t xml:space="preserve">nor the third respondent </w:t>
      </w:r>
      <w:r w:rsidR="00BF153F">
        <w:rPr>
          <w:rFonts w:ascii="Times New Roman" w:hAnsi="Times New Roman"/>
          <w:sz w:val="28"/>
          <w:szCs w:val="28"/>
        </w:rPr>
        <w:t>participate</w:t>
      </w:r>
      <w:r w:rsidR="00087748">
        <w:rPr>
          <w:rFonts w:ascii="Times New Roman" w:hAnsi="Times New Roman"/>
          <w:sz w:val="28"/>
          <w:szCs w:val="28"/>
        </w:rPr>
        <w:t>d in these</w:t>
      </w:r>
      <w:r w:rsidR="00BF153F">
        <w:rPr>
          <w:rFonts w:ascii="Times New Roman" w:hAnsi="Times New Roman"/>
          <w:sz w:val="28"/>
          <w:szCs w:val="28"/>
        </w:rPr>
        <w:t xml:space="preserve"> proceedings</w:t>
      </w:r>
      <w:r w:rsidR="00087748">
        <w:rPr>
          <w:rFonts w:ascii="Times New Roman" w:hAnsi="Times New Roman"/>
          <w:sz w:val="28"/>
          <w:szCs w:val="28"/>
        </w:rPr>
        <w:t>.</w:t>
      </w:r>
      <w:r w:rsidR="00BF153F">
        <w:rPr>
          <w:rFonts w:ascii="Times New Roman" w:hAnsi="Times New Roman"/>
          <w:sz w:val="28"/>
          <w:szCs w:val="28"/>
        </w:rPr>
        <w:t xml:space="preserve"> The answering affidavit </w:t>
      </w:r>
      <w:r w:rsidR="009432A7">
        <w:rPr>
          <w:rFonts w:ascii="Times New Roman" w:hAnsi="Times New Roman"/>
          <w:sz w:val="28"/>
          <w:szCs w:val="28"/>
        </w:rPr>
        <w:t xml:space="preserve">on behalf of the first respondent </w:t>
      </w:r>
      <w:r w:rsidR="00BF153F">
        <w:rPr>
          <w:rFonts w:ascii="Times New Roman" w:hAnsi="Times New Roman"/>
          <w:sz w:val="28"/>
          <w:szCs w:val="28"/>
        </w:rPr>
        <w:t xml:space="preserve">has been deposed in the name of an attorney who practices under the auspices of the first respondent. From what follows hereafter the first respondent will </w:t>
      </w:r>
      <w:r w:rsidR="00FE5E98">
        <w:rPr>
          <w:rFonts w:ascii="Times New Roman" w:hAnsi="Times New Roman"/>
          <w:sz w:val="28"/>
          <w:szCs w:val="28"/>
        </w:rPr>
        <w:t xml:space="preserve">simply </w:t>
      </w:r>
      <w:r w:rsidR="00BF153F">
        <w:rPr>
          <w:rFonts w:ascii="Times New Roman" w:hAnsi="Times New Roman"/>
          <w:sz w:val="28"/>
          <w:szCs w:val="28"/>
        </w:rPr>
        <w:t xml:space="preserve">be referred to as </w:t>
      </w:r>
      <w:r w:rsidR="00580DF0">
        <w:rPr>
          <w:rFonts w:ascii="Times New Roman" w:hAnsi="Times New Roman"/>
          <w:sz w:val="28"/>
          <w:szCs w:val="28"/>
        </w:rPr>
        <w:t>‘</w:t>
      </w:r>
      <w:r w:rsidR="00BF153F">
        <w:rPr>
          <w:rFonts w:ascii="Times New Roman" w:hAnsi="Times New Roman"/>
          <w:sz w:val="28"/>
          <w:szCs w:val="28"/>
        </w:rPr>
        <w:t>the respondent</w:t>
      </w:r>
      <w:r w:rsidR="00580DF0">
        <w:rPr>
          <w:rFonts w:ascii="Times New Roman" w:hAnsi="Times New Roman"/>
          <w:sz w:val="28"/>
          <w:szCs w:val="28"/>
        </w:rPr>
        <w:t>’</w:t>
      </w:r>
      <w:r w:rsidR="00BF153F">
        <w:rPr>
          <w:rFonts w:ascii="Times New Roman" w:hAnsi="Times New Roman"/>
          <w:sz w:val="28"/>
          <w:szCs w:val="28"/>
        </w:rPr>
        <w:t>.</w:t>
      </w:r>
      <w:r w:rsidR="00DE395F">
        <w:rPr>
          <w:rFonts w:ascii="Times New Roman" w:hAnsi="Times New Roman"/>
          <w:sz w:val="28"/>
          <w:szCs w:val="28"/>
        </w:rPr>
        <w:t xml:space="preserve"> </w:t>
      </w:r>
    </w:p>
    <w:p w14:paraId="39F184B1" w14:textId="3361E0B6" w:rsidR="00BF153F"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BF153F">
        <w:rPr>
          <w:rFonts w:ascii="Times New Roman" w:hAnsi="Times New Roman"/>
          <w:sz w:val="28"/>
          <w:szCs w:val="28"/>
        </w:rPr>
        <w:t xml:space="preserve">Notwithstanding the pending </w:t>
      </w:r>
      <w:r w:rsidR="00160CED">
        <w:rPr>
          <w:rFonts w:ascii="Times New Roman" w:hAnsi="Times New Roman"/>
          <w:sz w:val="28"/>
          <w:szCs w:val="28"/>
        </w:rPr>
        <w:t xml:space="preserve">leave to appeal </w:t>
      </w:r>
      <w:r w:rsidR="00BF153F">
        <w:rPr>
          <w:rFonts w:ascii="Times New Roman" w:hAnsi="Times New Roman"/>
          <w:sz w:val="28"/>
          <w:szCs w:val="28"/>
        </w:rPr>
        <w:t>application, the respondent persists with execution of the writs in f</w:t>
      </w:r>
      <w:r w:rsidR="00865E56">
        <w:rPr>
          <w:rFonts w:ascii="Times New Roman" w:hAnsi="Times New Roman"/>
          <w:sz w:val="28"/>
          <w:szCs w:val="28"/>
        </w:rPr>
        <w:t>avour of the judgment creditors</w:t>
      </w:r>
      <w:r w:rsidR="00BF153F">
        <w:rPr>
          <w:rFonts w:ascii="Times New Roman" w:hAnsi="Times New Roman"/>
          <w:sz w:val="28"/>
          <w:szCs w:val="28"/>
        </w:rPr>
        <w:t xml:space="preserve"> by seeking the attachment </w:t>
      </w:r>
      <w:r w:rsidR="00BF153F" w:rsidRPr="00517C7A">
        <w:rPr>
          <w:rFonts w:ascii="Times New Roman" w:hAnsi="Times New Roman"/>
          <w:i/>
          <w:sz w:val="28"/>
          <w:szCs w:val="28"/>
        </w:rPr>
        <w:t>inter alia</w:t>
      </w:r>
      <w:r w:rsidR="00BF153F">
        <w:rPr>
          <w:rFonts w:ascii="Times New Roman" w:hAnsi="Times New Roman"/>
          <w:sz w:val="28"/>
          <w:szCs w:val="28"/>
        </w:rPr>
        <w:t xml:space="preserve"> of the applicant’s operational bank account from which public funds are expended.</w:t>
      </w:r>
    </w:p>
    <w:p w14:paraId="017C40F6" w14:textId="7A8DF7A1" w:rsidR="00BF153F"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BF153F">
        <w:rPr>
          <w:rFonts w:ascii="Times New Roman" w:hAnsi="Times New Roman"/>
          <w:sz w:val="28"/>
          <w:szCs w:val="28"/>
        </w:rPr>
        <w:t>Urgency, being self-evident, was properly uncontested at the hearing of the matter</w:t>
      </w:r>
      <w:r w:rsidR="00DE671B">
        <w:rPr>
          <w:rFonts w:ascii="Times New Roman" w:hAnsi="Times New Roman"/>
          <w:sz w:val="28"/>
          <w:szCs w:val="28"/>
        </w:rPr>
        <w:t>.</w:t>
      </w:r>
    </w:p>
    <w:p w14:paraId="16D4DBDC" w14:textId="0A8A6694" w:rsidR="00E463E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lastRenderedPageBreak/>
        <w:t>[10]</w:t>
      </w:r>
      <w:r>
        <w:rPr>
          <w:rFonts w:ascii="Times New Roman" w:hAnsi="Times New Roman"/>
          <w:sz w:val="28"/>
          <w:szCs w:val="28"/>
        </w:rPr>
        <w:tab/>
      </w:r>
      <w:r w:rsidR="00E463E7">
        <w:rPr>
          <w:rFonts w:ascii="Times New Roman" w:hAnsi="Times New Roman"/>
          <w:sz w:val="28"/>
          <w:szCs w:val="28"/>
        </w:rPr>
        <w:t>The present application is made pending the finalisation of an application for leave to appeal (against the order in which the main application was dismissed and the counter application granted) and the appeal process if leave to appeal is granted. The relief sought by the applicant is directed at the order in its entirety. If granted, it would effectively suspend the operation of the order that set aside the applicant’s board notice.</w:t>
      </w:r>
    </w:p>
    <w:p w14:paraId="7F034D21" w14:textId="1616FA3B" w:rsidR="005A082F"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5A082F">
        <w:rPr>
          <w:rFonts w:ascii="Times New Roman" w:hAnsi="Times New Roman"/>
          <w:sz w:val="28"/>
          <w:szCs w:val="28"/>
        </w:rPr>
        <w:t xml:space="preserve">The </w:t>
      </w:r>
      <w:r w:rsidR="00B14772">
        <w:rPr>
          <w:rFonts w:ascii="Times New Roman" w:hAnsi="Times New Roman"/>
          <w:sz w:val="28"/>
          <w:szCs w:val="28"/>
        </w:rPr>
        <w:t xml:space="preserve">determination of the main </w:t>
      </w:r>
      <w:r w:rsidR="005A082F">
        <w:rPr>
          <w:rFonts w:ascii="Times New Roman" w:hAnsi="Times New Roman"/>
          <w:sz w:val="28"/>
          <w:szCs w:val="28"/>
        </w:rPr>
        <w:t xml:space="preserve">issue </w:t>
      </w:r>
      <w:r w:rsidR="008E1F5B">
        <w:rPr>
          <w:rFonts w:ascii="Times New Roman" w:hAnsi="Times New Roman"/>
          <w:sz w:val="28"/>
          <w:szCs w:val="28"/>
        </w:rPr>
        <w:t xml:space="preserve">raised in this matter </w:t>
      </w:r>
      <w:r w:rsidR="00AE0134">
        <w:rPr>
          <w:rFonts w:ascii="Times New Roman" w:hAnsi="Times New Roman"/>
          <w:sz w:val="28"/>
          <w:szCs w:val="28"/>
        </w:rPr>
        <w:t xml:space="preserve">centres </w:t>
      </w:r>
      <w:r w:rsidR="005A082F">
        <w:rPr>
          <w:rFonts w:ascii="Times New Roman" w:hAnsi="Times New Roman"/>
          <w:sz w:val="28"/>
          <w:szCs w:val="28"/>
        </w:rPr>
        <w:t>on whether there is an existing application for leave to appeal that suspends the operation and execution of the order by Mjali J.</w:t>
      </w:r>
    </w:p>
    <w:p w14:paraId="3CB2D7E6" w14:textId="3FA773EC" w:rsidR="00FE5E98"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E2345B" w:rsidRPr="00AE0134">
        <w:rPr>
          <w:rFonts w:ascii="Times New Roman" w:hAnsi="Times New Roman"/>
          <w:sz w:val="28"/>
          <w:szCs w:val="28"/>
        </w:rPr>
        <w:t>The applicant contends</w:t>
      </w:r>
      <w:r w:rsidR="00E463E7">
        <w:rPr>
          <w:rFonts w:ascii="Times New Roman" w:hAnsi="Times New Roman"/>
          <w:sz w:val="28"/>
          <w:szCs w:val="28"/>
        </w:rPr>
        <w:t xml:space="preserve"> that</w:t>
      </w:r>
      <w:r w:rsidR="00E2345B" w:rsidRPr="00AE0134">
        <w:rPr>
          <w:rFonts w:ascii="Times New Roman" w:hAnsi="Times New Roman"/>
          <w:sz w:val="28"/>
          <w:szCs w:val="28"/>
        </w:rPr>
        <w:t xml:space="preserve"> the</w:t>
      </w:r>
      <w:r w:rsidR="00427DD0" w:rsidRPr="00AE0134">
        <w:rPr>
          <w:rFonts w:ascii="Times New Roman" w:hAnsi="Times New Roman"/>
          <w:sz w:val="28"/>
          <w:szCs w:val="28"/>
        </w:rPr>
        <w:t xml:space="preserve"> application </w:t>
      </w:r>
      <w:r w:rsidR="002E66B9">
        <w:rPr>
          <w:rFonts w:ascii="Times New Roman" w:hAnsi="Times New Roman"/>
          <w:sz w:val="28"/>
          <w:szCs w:val="28"/>
        </w:rPr>
        <w:t xml:space="preserve">is extant </w:t>
      </w:r>
      <w:r w:rsidR="00264635" w:rsidRPr="00AE0134">
        <w:rPr>
          <w:rFonts w:ascii="Times New Roman" w:hAnsi="Times New Roman"/>
          <w:sz w:val="28"/>
          <w:szCs w:val="28"/>
        </w:rPr>
        <w:t xml:space="preserve">and </w:t>
      </w:r>
      <w:r w:rsidR="00427DD0" w:rsidRPr="00AE0134">
        <w:rPr>
          <w:rFonts w:ascii="Times New Roman" w:hAnsi="Times New Roman"/>
          <w:sz w:val="28"/>
          <w:szCs w:val="28"/>
        </w:rPr>
        <w:t xml:space="preserve">that </w:t>
      </w:r>
      <w:r w:rsidR="00264635" w:rsidRPr="00AE0134">
        <w:rPr>
          <w:rFonts w:ascii="Times New Roman" w:hAnsi="Times New Roman"/>
          <w:sz w:val="28"/>
          <w:szCs w:val="28"/>
        </w:rPr>
        <w:t>section 18</w:t>
      </w:r>
      <w:r w:rsidR="001E36A5">
        <w:rPr>
          <w:rFonts w:ascii="Times New Roman" w:hAnsi="Times New Roman"/>
          <w:sz w:val="28"/>
          <w:szCs w:val="28"/>
        </w:rPr>
        <w:t>(1)</w:t>
      </w:r>
      <w:r w:rsidR="00264635" w:rsidRPr="00AE0134">
        <w:rPr>
          <w:rFonts w:ascii="Times New Roman" w:hAnsi="Times New Roman"/>
          <w:sz w:val="28"/>
          <w:szCs w:val="28"/>
        </w:rPr>
        <w:t xml:space="preserve"> of the Act applies</w:t>
      </w:r>
      <w:r w:rsidR="00427DD0" w:rsidRPr="00AE0134">
        <w:rPr>
          <w:rFonts w:ascii="Times New Roman" w:hAnsi="Times New Roman"/>
          <w:sz w:val="28"/>
          <w:szCs w:val="28"/>
        </w:rPr>
        <w:t>.</w:t>
      </w:r>
    </w:p>
    <w:p w14:paraId="341159D0" w14:textId="3BC996B5" w:rsidR="00341D57" w:rsidRPr="00AE0134" w:rsidRDefault="004414A7" w:rsidP="004414A7">
      <w:pPr>
        <w:pStyle w:val="LegalList1"/>
        <w:spacing w:line="360" w:lineRule="auto"/>
        <w:rPr>
          <w:rFonts w:ascii="Times New Roman" w:hAnsi="Times New Roman"/>
          <w:sz w:val="28"/>
          <w:szCs w:val="28"/>
        </w:rPr>
      </w:pPr>
      <w:r w:rsidRPr="00AE0134">
        <w:rPr>
          <w:rFonts w:ascii="Times New Roman" w:hAnsi="Times New Roman"/>
          <w:sz w:val="28"/>
          <w:szCs w:val="28"/>
        </w:rPr>
        <w:t>[13]</w:t>
      </w:r>
      <w:r w:rsidRPr="00AE0134">
        <w:rPr>
          <w:rFonts w:ascii="Times New Roman" w:hAnsi="Times New Roman"/>
          <w:sz w:val="28"/>
          <w:szCs w:val="28"/>
        </w:rPr>
        <w:tab/>
      </w:r>
      <w:r w:rsidR="00F12989">
        <w:rPr>
          <w:rFonts w:ascii="Times New Roman" w:hAnsi="Times New Roman"/>
          <w:sz w:val="28"/>
          <w:szCs w:val="28"/>
        </w:rPr>
        <w:t xml:space="preserve">Maintaining that </w:t>
      </w:r>
      <w:r w:rsidR="008340E2">
        <w:rPr>
          <w:rFonts w:ascii="Times New Roman" w:hAnsi="Times New Roman"/>
          <w:sz w:val="28"/>
          <w:szCs w:val="28"/>
        </w:rPr>
        <w:t>the application has not been lodged in accordance with the prescripts of rule 49(1)(</w:t>
      </w:r>
      <w:r w:rsidR="008340E2" w:rsidRPr="006A2376">
        <w:rPr>
          <w:rFonts w:ascii="Times New Roman" w:hAnsi="Times New Roman"/>
          <w:i/>
          <w:sz w:val="28"/>
          <w:szCs w:val="28"/>
        </w:rPr>
        <w:t>b</w:t>
      </w:r>
      <w:r w:rsidR="008340E2">
        <w:rPr>
          <w:rFonts w:ascii="Times New Roman" w:hAnsi="Times New Roman"/>
          <w:sz w:val="28"/>
          <w:szCs w:val="28"/>
        </w:rPr>
        <w:t xml:space="preserve">) </w:t>
      </w:r>
      <w:r w:rsidR="00F12989">
        <w:rPr>
          <w:rFonts w:ascii="Times New Roman" w:hAnsi="Times New Roman"/>
          <w:sz w:val="28"/>
          <w:szCs w:val="28"/>
        </w:rPr>
        <w:t xml:space="preserve">the respondent </w:t>
      </w:r>
      <w:r w:rsidR="005D6906">
        <w:rPr>
          <w:rFonts w:ascii="Times New Roman" w:hAnsi="Times New Roman"/>
          <w:sz w:val="28"/>
          <w:szCs w:val="28"/>
        </w:rPr>
        <w:t xml:space="preserve">argues </w:t>
      </w:r>
      <w:r w:rsidR="00F12989">
        <w:rPr>
          <w:rFonts w:ascii="Times New Roman" w:hAnsi="Times New Roman"/>
          <w:sz w:val="28"/>
          <w:szCs w:val="28"/>
        </w:rPr>
        <w:t xml:space="preserve">that it is </w:t>
      </w:r>
      <w:r w:rsidR="00341D57" w:rsidRPr="00AE0134">
        <w:rPr>
          <w:rFonts w:ascii="Times New Roman" w:hAnsi="Times New Roman"/>
          <w:sz w:val="28"/>
          <w:szCs w:val="28"/>
        </w:rPr>
        <w:t>non-existent in law</w:t>
      </w:r>
      <w:r w:rsidR="005A082F" w:rsidRPr="00AE0134">
        <w:rPr>
          <w:rFonts w:ascii="Times New Roman" w:hAnsi="Times New Roman"/>
          <w:sz w:val="28"/>
          <w:szCs w:val="28"/>
        </w:rPr>
        <w:t xml:space="preserve"> </w:t>
      </w:r>
      <w:r w:rsidR="00833EB5">
        <w:rPr>
          <w:rFonts w:ascii="Times New Roman" w:hAnsi="Times New Roman"/>
          <w:sz w:val="28"/>
          <w:szCs w:val="28"/>
        </w:rPr>
        <w:t xml:space="preserve">and until condoned, </w:t>
      </w:r>
      <w:r w:rsidR="00AE0134" w:rsidRPr="00AE0134">
        <w:rPr>
          <w:rFonts w:ascii="Times New Roman" w:hAnsi="Times New Roman"/>
          <w:sz w:val="28"/>
          <w:szCs w:val="28"/>
        </w:rPr>
        <w:t xml:space="preserve">section </w:t>
      </w:r>
      <w:r w:rsidR="004F40C6">
        <w:rPr>
          <w:rFonts w:ascii="Times New Roman" w:hAnsi="Times New Roman"/>
          <w:sz w:val="28"/>
          <w:szCs w:val="28"/>
        </w:rPr>
        <w:t xml:space="preserve">18(1) is </w:t>
      </w:r>
      <w:r w:rsidR="002A3865" w:rsidRPr="00AE0134">
        <w:rPr>
          <w:rFonts w:ascii="Times New Roman" w:hAnsi="Times New Roman"/>
          <w:sz w:val="28"/>
          <w:szCs w:val="28"/>
        </w:rPr>
        <w:t>inapplicable</w:t>
      </w:r>
      <w:r w:rsidR="005A082F" w:rsidRPr="00AE0134">
        <w:rPr>
          <w:rFonts w:ascii="Times New Roman" w:hAnsi="Times New Roman"/>
          <w:sz w:val="28"/>
          <w:szCs w:val="28"/>
        </w:rPr>
        <w:t xml:space="preserve"> and </w:t>
      </w:r>
      <w:r w:rsidR="00341D57" w:rsidRPr="00AE0134">
        <w:rPr>
          <w:rFonts w:ascii="Times New Roman" w:hAnsi="Times New Roman"/>
          <w:sz w:val="28"/>
          <w:szCs w:val="28"/>
        </w:rPr>
        <w:t xml:space="preserve">the relief sought by the applicant </w:t>
      </w:r>
      <w:r w:rsidR="004F40C6">
        <w:rPr>
          <w:rFonts w:ascii="Times New Roman" w:hAnsi="Times New Roman"/>
          <w:sz w:val="28"/>
          <w:szCs w:val="28"/>
        </w:rPr>
        <w:t>is</w:t>
      </w:r>
      <w:r w:rsidR="00174BDF">
        <w:rPr>
          <w:rFonts w:ascii="Times New Roman" w:hAnsi="Times New Roman"/>
          <w:sz w:val="28"/>
          <w:szCs w:val="28"/>
        </w:rPr>
        <w:t xml:space="preserve"> not competent</w:t>
      </w:r>
      <w:r w:rsidR="00341D57" w:rsidRPr="00AE0134">
        <w:rPr>
          <w:rFonts w:ascii="Times New Roman" w:hAnsi="Times New Roman"/>
          <w:sz w:val="28"/>
          <w:szCs w:val="28"/>
        </w:rPr>
        <w:t>.</w:t>
      </w:r>
    </w:p>
    <w:p w14:paraId="18AF5070" w14:textId="4F52EFE2" w:rsidR="000F6E5B" w:rsidRPr="00EE29D7" w:rsidRDefault="004414A7" w:rsidP="004414A7">
      <w:pPr>
        <w:pStyle w:val="LegalList1"/>
        <w:spacing w:after="0" w:line="360" w:lineRule="auto"/>
        <w:rPr>
          <w:rFonts w:ascii="Times New Roman" w:hAnsi="Times New Roman"/>
          <w:sz w:val="28"/>
          <w:szCs w:val="28"/>
        </w:rPr>
      </w:pPr>
      <w:r w:rsidRPr="00EE29D7">
        <w:rPr>
          <w:rFonts w:ascii="Times New Roman" w:hAnsi="Times New Roman"/>
          <w:sz w:val="28"/>
          <w:szCs w:val="28"/>
        </w:rPr>
        <w:t>[14]</w:t>
      </w:r>
      <w:r w:rsidRPr="00EE29D7">
        <w:rPr>
          <w:rFonts w:ascii="Times New Roman" w:hAnsi="Times New Roman"/>
          <w:sz w:val="28"/>
          <w:szCs w:val="28"/>
        </w:rPr>
        <w:tab/>
      </w:r>
      <w:r w:rsidR="000F6E5B" w:rsidRPr="00EE29D7">
        <w:rPr>
          <w:rFonts w:ascii="Times New Roman" w:hAnsi="Times New Roman"/>
          <w:sz w:val="28"/>
          <w:szCs w:val="28"/>
        </w:rPr>
        <w:t xml:space="preserve">Section 18 </w:t>
      </w:r>
      <w:r w:rsidR="000F6E5B">
        <w:rPr>
          <w:rFonts w:ascii="Times New Roman" w:hAnsi="Times New Roman"/>
          <w:sz w:val="28"/>
          <w:szCs w:val="28"/>
        </w:rPr>
        <w:t xml:space="preserve">of the </w:t>
      </w:r>
      <w:r w:rsidR="000F6E5B" w:rsidRPr="00EE29D7">
        <w:rPr>
          <w:rFonts w:ascii="Times New Roman" w:hAnsi="Times New Roman"/>
          <w:sz w:val="28"/>
          <w:szCs w:val="28"/>
        </w:rPr>
        <w:t>Act</w:t>
      </w:r>
      <w:r w:rsidR="000F6E5B">
        <w:rPr>
          <w:rFonts w:ascii="Times New Roman" w:hAnsi="Times New Roman"/>
          <w:sz w:val="28"/>
          <w:szCs w:val="28"/>
        </w:rPr>
        <w:t xml:space="preserve"> </w:t>
      </w:r>
      <w:r w:rsidR="000F6E5B" w:rsidRPr="00EE29D7">
        <w:rPr>
          <w:rFonts w:ascii="Times New Roman" w:hAnsi="Times New Roman"/>
          <w:sz w:val="28"/>
          <w:szCs w:val="28"/>
        </w:rPr>
        <w:t>deals with the suspension of decisions pending appeal.</w:t>
      </w:r>
      <w:r w:rsidR="000F6E5B">
        <w:rPr>
          <w:rFonts w:ascii="Times New Roman" w:hAnsi="Times New Roman"/>
          <w:sz w:val="28"/>
          <w:szCs w:val="28"/>
        </w:rPr>
        <w:t xml:space="preserve"> </w:t>
      </w:r>
      <w:r w:rsidR="000F6E5B" w:rsidRPr="00EE29D7">
        <w:rPr>
          <w:rFonts w:ascii="Times New Roman" w:hAnsi="Times New Roman"/>
          <w:sz w:val="28"/>
          <w:szCs w:val="28"/>
        </w:rPr>
        <w:t xml:space="preserve">Quoted in relevant part </w:t>
      </w:r>
      <w:r w:rsidR="000F6E5B">
        <w:rPr>
          <w:rFonts w:ascii="Times New Roman" w:hAnsi="Times New Roman"/>
          <w:sz w:val="28"/>
          <w:szCs w:val="28"/>
        </w:rPr>
        <w:t xml:space="preserve">the section </w:t>
      </w:r>
      <w:r w:rsidR="000F6E5B" w:rsidRPr="00EE29D7">
        <w:rPr>
          <w:rFonts w:ascii="Times New Roman" w:hAnsi="Times New Roman"/>
          <w:sz w:val="28"/>
          <w:szCs w:val="28"/>
        </w:rPr>
        <w:t>reads as follows:</w:t>
      </w:r>
    </w:p>
    <w:p w14:paraId="18ADA44B" w14:textId="77777777" w:rsidR="000F6E5B" w:rsidRPr="00FC0B20" w:rsidRDefault="000F6E5B" w:rsidP="000F6E5B">
      <w:pPr>
        <w:pStyle w:val="LegalList1"/>
        <w:spacing w:after="0" w:line="360" w:lineRule="auto"/>
        <w:rPr>
          <w:rFonts w:ascii="Times New Roman" w:hAnsi="Times New Roman"/>
        </w:rPr>
      </w:pPr>
      <w:r w:rsidRPr="00FC0B20">
        <w:rPr>
          <w:rFonts w:ascii="Times New Roman" w:hAnsi="Times New Roman"/>
        </w:rPr>
        <w:t>‘Suspension of decision pending appeal</w:t>
      </w:r>
    </w:p>
    <w:p w14:paraId="58848F49" w14:textId="77777777" w:rsidR="000F6E5B" w:rsidRPr="00FC0B20" w:rsidRDefault="000F6E5B" w:rsidP="000F6E5B">
      <w:pPr>
        <w:pStyle w:val="LegalList1"/>
        <w:spacing w:after="0" w:line="360" w:lineRule="auto"/>
        <w:ind w:left="720" w:hanging="720"/>
        <w:rPr>
          <w:rFonts w:ascii="Times New Roman" w:hAnsi="Times New Roman"/>
        </w:rPr>
      </w:pPr>
      <w:r w:rsidRPr="00FC0B20">
        <w:rPr>
          <w:rFonts w:ascii="Times New Roman" w:hAnsi="Times New Roman"/>
        </w:rPr>
        <w:t>18.</w:t>
      </w:r>
      <w:r w:rsidRPr="00FC0B20">
        <w:rPr>
          <w:rFonts w:ascii="Times New Roman" w:hAnsi="Times New Roman"/>
        </w:rPr>
        <w:tab/>
        <w:t>(1)</w:t>
      </w:r>
      <w:r w:rsidRPr="00FC0B20">
        <w:rPr>
          <w:rFonts w:ascii="Times New Roman" w:hAnsi="Times New Roman"/>
        </w:rPr>
        <w:tab/>
      </w:r>
      <w:r>
        <w:rPr>
          <w:rFonts w:ascii="Times New Roman" w:hAnsi="Times New Roman"/>
        </w:rPr>
        <w:t>Subject to subsections (2) and (3) u</w:t>
      </w:r>
      <w:r w:rsidRPr="00FC0B20">
        <w:rPr>
          <w:rFonts w:ascii="Times New Roman" w:hAnsi="Times New Roman"/>
        </w:rPr>
        <w:t>nless the court under exceptional circumstances orders otherwise, the operation and execution of a decision which is the subject of an application for leave to appeal or of an appeal, is suspended pending the decision of the application or appeal.</w:t>
      </w:r>
    </w:p>
    <w:p w14:paraId="7079CCA4" w14:textId="77777777" w:rsidR="000F6E5B" w:rsidRPr="00FC0B20" w:rsidRDefault="000F6E5B" w:rsidP="000F6E5B">
      <w:pPr>
        <w:pStyle w:val="LegalList1"/>
        <w:spacing w:after="0" w:line="360" w:lineRule="auto"/>
        <w:ind w:firstLine="720"/>
        <w:rPr>
          <w:rFonts w:ascii="Times New Roman" w:hAnsi="Times New Roman"/>
        </w:rPr>
      </w:pPr>
      <w:r w:rsidRPr="00FC0B20">
        <w:rPr>
          <w:rFonts w:ascii="Times New Roman" w:hAnsi="Times New Roman"/>
        </w:rPr>
        <w:t>(2) …</w:t>
      </w:r>
    </w:p>
    <w:p w14:paraId="0BACA9B7" w14:textId="77777777" w:rsidR="000F6E5B" w:rsidRPr="00FC0B20" w:rsidRDefault="000F6E5B" w:rsidP="000F6E5B">
      <w:pPr>
        <w:pStyle w:val="LegalList1"/>
        <w:spacing w:after="0" w:line="360" w:lineRule="auto"/>
        <w:ind w:firstLine="720"/>
        <w:rPr>
          <w:rFonts w:ascii="Times New Roman" w:hAnsi="Times New Roman"/>
        </w:rPr>
      </w:pPr>
      <w:r w:rsidRPr="00FC0B20">
        <w:rPr>
          <w:rFonts w:ascii="Times New Roman" w:hAnsi="Times New Roman"/>
        </w:rPr>
        <w:t>(3) …</w:t>
      </w:r>
    </w:p>
    <w:p w14:paraId="79F787F3" w14:textId="77777777" w:rsidR="000F6E5B" w:rsidRPr="00FC0B20" w:rsidRDefault="000F6E5B" w:rsidP="000F6E5B">
      <w:pPr>
        <w:pStyle w:val="LegalList1"/>
        <w:spacing w:after="0" w:line="360" w:lineRule="auto"/>
        <w:ind w:firstLine="720"/>
        <w:rPr>
          <w:rFonts w:ascii="Times New Roman" w:hAnsi="Times New Roman"/>
        </w:rPr>
      </w:pPr>
      <w:r w:rsidRPr="00FC0B20">
        <w:rPr>
          <w:rFonts w:ascii="Times New Roman" w:hAnsi="Times New Roman"/>
        </w:rPr>
        <w:t>(4) …</w:t>
      </w:r>
    </w:p>
    <w:p w14:paraId="28277781" w14:textId="77777777" w:rsidR="000F6E5B" w:rsidRPr="00FC0B20" w:rsidRDefault="000F6E5B" w:rsidP="000F6E5B">
      <w:pPr>
        <w:pStyle w:val="LegalList1"/>
        <w:spacing w:line="360" w:lineRule="auto"/>
        <w:ind w:left="720"/>
        <w:rPr>
          <w:rFonts w:ascii="Times New Roman" w:hAnsi="Times New Roman"/>
        </w:rPr>
      </w:pPr>
      <w:r w:rsidRPr="00FC0B20">
        <w:rPr>
          <w:rFonts w:ascii="Times New Roman" w:hAnsi="Times New Roman"/>
        </w:rPr>
        <w:lastRenderedPageBreak/>
        <w:t xml:space="preserve">(5) </w:t>
      </w:r>
      <w:r w:rsidRPr="00FC0B20">
        <w:rPr>
          <w:rFonts w:ascii="Times New Roman" w:hAnsi="Times New Roman"/>
        </w:rPr>
        <w:tab/>
        <w:t>For the purposes of subsections (1) and (2), a decision becomes the subject of an application for leave to appeal or of an appeal, as soon as an application for leave to appeal or a notice of appeal is lodged with the registrar in terms of the rules.’</w:t>
      </w:r>
    </w:p>
    <w:p w14:paraId="0D205E04" w14:textId="0259EFD8" w:rsidR="00E463E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9C7CB9">
        <w:rPr>
          <w:rFonts w:ascii="Times New Roman" w:hAnsi="Times New Roman"/>
          <w:sz w:val="28"/>
          <w:szCs w:val="28"/>
        </w:rPr>
        <w:t>Under section 18</w:t>
      </w:r>
      <w:r w:rsidR="009520F1">
        <w:rPr>
          <w:rFonts w:ascii="Times New Roman" w:hAnsi="Times New Roman"/>
          <w:sz w:val="28"/>
          <w:szCs w:val="28"/>
        </w:rPr>
        <w:t>(1)</w:t>
      </w:r>
      <w:r w:rsidR="009C7CB9">
        <w:rPr>
          <w:rFonts w:ascii="Times New Roman" w:hAnsi="Times New Roman"/>
          <w:sz w:val="28"/>
          <w:szCs w:val="28"/>
        </w:rPr>
        <w:t xml:space="preserve"> </w:t>
      </w:r>
      <w:r w:rsidR="00EC2BFB">
        <w:rPr>
          <w:rFonts w:ascii="Times New Roman" w:hAnsi="Times New Roman"/>
          <w:sz w:val="28"/>
          <w:szCs w:val="28"/>
        </w:rPr>
        <w:t xml:space="preserve">it is both </w:t>
      </w:r>
      <w:r w:rsidR="009C7CB9">
        <w:rPr>
          <w:rFonts w:ascii="Times New Roman" w:hAnsi="Times New Roman"/>
          <w:sz w:val="28"/>
          <w:szCs w:val="28"/>
        </w:rPr>
        <w:t xml:space="preserve">the operation and execution of a decision which </w:t>
      </w:r>
      <w:r w:rsidR="00BB42D1">
        <w:rPr>
          <w:rFonts w:ascii="Times New Roman" w:hAnsi="Times New Roman"/>
          <w:sz w:val="28"/>
          <w:szCs w:val="28"/>
        </w:rPr>
        <w:t xml:space="preserve">is </w:t>
      </w:r>
      <w:r w:rsidR="009C7CB9">
        <w:rPr>
          <w:rFonts w:ascii="Times New Roman" w:hAnsi="Times New Roman"/>
          <w:sz w:val="28"/>
          <w:szCs w:val="28"/>
        </w:rPr>
        <w:t xml:space="preserve">subject to an application for leave to appeal or an appeal </w:t>
      </w:r>
      <w:r w:rsidR="00A61C69">
        <w:rPr>
          <w:rFonts w:ascii="Times New Roman" w:hAnsi="Times New Roman"/>
          <w:sz w:val="28"/>
          <w:szCs w:val="28"/>
        </w:rPr>
        <w:t xml:space="preserve">that </w:t>
      </w:r>
      <w:r w:rsidR="009C7CB9">
        <w:rPr>
          <w:rFonts w:ascii="Times New Roman" w:hAnsi="Times New Roman"/>
          <w:sz w:val="28"/>
          <w:szCs w:val="28"/>
        </w:rPr>
        <w:t xml:space="preserve">is automatically suspended pending the </w:t>
      </w:r>
      <w:r w:rsidR="00BB42D1">
        <w:rPr>
          <w:rFonts w:ascii="Times New Roman" w:hAnsi="Times New Roman"/>
          <w:sz w:val="28"/>
          <w:szCs w:val="28"/>
        </w:rPr>
        <w:t>decision of the application or appeal</w:t>
      </w:r>
      <w:r w:rsidR="00BB42D1">
        <w:rPr>
          <w:rStyle w:val="FootnoteReference"/>
          <w:rFonts w:ascii="Times New Roman" w:hAnsi="Times New Roman"/>
          <w:sz w:val="28"/>
          <w:szCs w:val="28"/>
        </w:rPr>
        <w:footnoteReference w:id="2"/>
      </w:r>
      <w:r w:rsidR="009520F1">
        <w:rPr>
          <w:rFonts w:ascii="Times New Roman" w:hAnsi="Times New Roman"/>
          <w:sz w:val="28"/>
          <w:szCs w:val="28"/>
        </w:rPr>
        <w:t xml:space="preserve">. </w:t>
      </w:r>
      <w:r w:rsidR="00ED64BD">
        <w:rPr>
          <w:rFonts w:ascii="Times New Roman" w:hAnsi="Times New Roman"/>
          <w:sz w:val="28"/>
          <w:szCs w:val="28"/>
        </w:rPr>
        <w:t>It is the entirety of the judgment or order which is suspended from operation and execution</w:t>
      </w:r>
      <w:r w:rsidR="00ED64BD">
        <w:rPr>
          <w:rStyle w:val="FootnoteReference"/>
          <w:rFonts w:ascii="Times New Roman" w:hAnsi="Times New Roman"/>
          <w:sz w:val="28"/>
          <w:szCs w:val="28"/>
        </w:rPr>
        <w:footnoteReference w:id="3"/>
      </w:r>
      <w:r w:rsidR="00FB7DF5">
        <w:rPr>
          <w:rFonts w:ascii="Times New Roman" w:hAnsi="Times New Roman"/>
          <w:sz w:val="28"/>
          <w:szCs w:val="28"/>
        </w:rPr>
        <w:t xml:space="preserve">. </w:t>
      </w:r>
      <w:r w:rsidR="00A61C69">
        <w:rPr>
          <w:rFonts w:ascii="Times New Roman" w:hAnsi="Times New Roman"/>
          <w:sz w:val="28"/>
          <w:szCs w:val="28"/>
        </w:rPr>
        <w:t>I</w:t>
      </w:r>
      <w:r w:rsidR="007739B1">
        <w:rPr>
          <w:rFonts w:ascii="Times New Roman" w:hAnsi="Times New Roman"/>
          <w:sz w:val="28"/>
          <w:szCs w:val="28"/>
        </w:rPr>
        <w:t>nferred from t</w:t>
      </w:r>
      <w:r w:rsidR="00303CE9">
        <w:rPr>
          <w:rFonts w:ascii="Times New Roman" w:hAnsi="Times New Roman"/>
          <w:sz w:val="28"/>
          <w:szCs w:val="28"/>
        </w:rPr>
        <w:t xml:space="preserve">he </w:t>
      </w:r>
      <w:r w:rsidR="00FB7DF5">
        <w:rPr>
          <w:rFonts w:ascii="Times New Roman" w:hAnsi="Times New Roman"/>
          <w:sz w:val="28"/>
          <w:szCs w:val="28"/>
        </w:rPr>
        <w:t xml:space="preserve">composition of </w:t>
      </w:r>
      <w:r w:rsidR="009520F1">
        <w:rPr>
          <w:rFonts w:ascii="Times New Roman" w:hAnsi="Times New Roman"/>
          <w:sz w:val="28"/>
          <w:szCs w:val="28"/>
        </w:rPr>
        <w:t>the section</w:t>
      </w:r>
      <w:r w:rsidR="00303CE9">
        <w:rPr>
          <w:rFonts w:ascii="Times New Roman" w:hAnsi="Times New Roman"/>
          <w:sz w:val="28"/>
          <w:szCs w:val="28"/>
        </w:rPr>
        <w:t xml:space="preserve"> </w:t>
      </w:r>
      <w:r w:rsidR="007739B1">
        <w:rPr>
          <w:rFonts w:ascii="Times New Roman" w:hAnsi="Times New Roman"/>
          <w:sz w:val="28"/>
          <w:szCs w:val="28"/>
        </w:rPr>
        <w:t xml:space="preserve">is </w:t>
      </w:r>
      <w:r w:rsidR="00303CE9">
        <w:rPr>
          <w:rFonts w:ascii="Times New Roman" w:hAnsi="Times New Roman"/>
          <w:sz w:val="28"/>
          <w:szCs w:val="28"/>
        </w:rPr>
        <w:t>that in the absence of an application for leave to appeal or an appeal, the judgment and order in question are not suspended and are in fact deemed final. The fact that the noting of an appeal suspends the execution of a judgment appealed against logically means that in the absence of such an appeal</w:t>
      </w:r>
      <w:r w:rsidR="00B521F4">
        <w:rPr>
          <w:rFonts w:ascii="Times New Roman" w:hAnsi="Times New Roman"/>
          <w:sz w:val="28"/>
          <w:szCs w:val="28"/>
        </w:rPr>
        <w:t>, the judgment is not suspended and is in fact deemed executable and thus, final.</w:t>
      </w:r>
    </w:p>
    <w:p w14:paraId="2DC3843D" w14:textId="458B0C0C" w:rsidR="00FF2C03"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0E71F0">
        <w:rPr>
          <w:rFonts w:ascii="Times New Roman" w:hAnsi="Times New Roman"/>
          <w:sz w:val="28"/>
          <w:szCs w:val="28"/>
        </w:rPr>
        <w:t>Rule 49 of the uniform rules</w:t>
      </w:r>
      <w:r w:rsidR="00DD51A3">
        <w:rPr>
          <w:rFonts w:ascii="Times New Roman" w:hAnsi="Times New Roman"/>
          <w:sz w:val="28"/>
          <w:szCs w:val="28"/>
        </w:rPr>
        <w:t xml:space="preserve"> regulates the procedure for appeals from the high court. </w:t>
      </w:r>
      <w:r w:rsidR="006912E7">
        <w:rPr>
          <w:rFonts w:ascii="Times New Roman" w:hAnsi="Times New Roman"/>
          <w:sz w:val="28"/>
          <w:szCs w:val="28"/>
        </w:rPr>
        <w:t>S</w:t>
      </w:r>
      <w:r w:rsidR="00DD51A3">
        <w:rPr>
          <w:rFonts w:ascii="Times New Roman" w:hAnsi="Times New Roman"/>
          <w:sz w:val="28"/>
          <w:szCs w:val="28"/>
        </w:rPr>
        <w:t>ubrule (1)(</w:t>
      </w:r>
      <w:r w:rsidR="00DD51A3" w:rsidRPr="003C25D4">
        <w:rPr>
          <w:rFonts w:ascii="Times New Roman" w:hAnsi="Times New Roman"/>
          <w:i/>
          <w:sz w:val="28"/>
          <w:szCs w:val="28"/>
        </w:rPr>
        <w:t>b</w:t>
      </w:r>
      <w:r w:rsidR="00C825A6">
        <w:rPr>
          <w:rFonts w:ascii="Times New Roman" w:hAnsi="Times New Roman"/>
          <w:sz w:val="28"/>
          <w:szCs w:val="28"/>
        </w:rPr>
        <w:t xml:space="preserve">), </w:t>
      </w:r>
      <w:r w:rsidR="00DD51A3">
        <w:rPr>
          <w:rFonts w:ascii="Times New Roman" w:hAnsi="Times New Roman"/>
          <w:sz w:val="28"/>
          <w:szCs w:val="28"/>
        </w:rPr>
        <w:t xml:space="preserve">in summary, </w:t>
      </w:r>
      <w:r w:rsidR="006912E7">
        <w:rPr>
          <w:rFonts w:ascii="Times New Roman" w:hAnsi="Times New Roman"/>
          <w:sz w:val="28"/>
          <w:szCs w:val="28"/>
        </w:rPr>
        <w:t xml:space="preserve">proffers </w:t>
      </w:r>
      <w:r w:rsidR="00C825A6">
        <w:rPr>
          <w:rFonts w:ascii="Times New Roman" w:hAnsi="Times New Roman"/>
          <w:sz w:val="28"/>
          <w:szCs w:val="28"/>
        </w:rPr>
        <w:t xml:space="preserve">two scenarios in which application for leave to appeal may be made: </w:t>
      </w:r>
      <w:r w:rsidR="00E15997" w:rsidRPr="006B76C5">
        <w:rPr>
          <w:rFonts w:ascii="Times New Roman" w:hAnsi="Times New Roman"/>
          <w:i/>
          <w:sz w:val="28"/>
          <w:szCs w:val="28"/>
        </w:rPr>
        <w:t>(i)</w:t>
      </w:r>
      <w:r w:rsidR="00E15997">
        <w:rPr>
          <w:rFonts w:ascii="Times New Roman" w:hAnsi="Times New Roman"/>
          <w:sz w:val="28"/>
          <w:szCs w:val="28"/>
        </w:rPr>
        <w:t xml:space="preserve"> when leave to appeal is required and has not been </w:t>
      </w:r>
      <w:r w:rsidR="002A60EF">
        <w:rPr>
          <w:rFonts w:ascii="Times New Roman" w:hAnsi="Times New Roman"/>
          <w:sz w:val="28"/>
          <w:szCs w:val="28"/>
        </w:rPr>
        <w:t xml:space="preserve">requested at the time of the judgment or order; and </w:t>
      </w:r>
      <w:r w:rsidR="002A60EF" w:rsidRPr="006B76C5">
        <w:rPr>
          <w:rFonts w:ascii="Times New Roman" w:hAnsi="Times New Roman"/>
          <w:i/>
          <w:sz w:val="28"/>
          <w:szCs w:val="28"/>
        </w:rPr>
        <w:t>(ii)</w:t>
      </w:r>
      <w:r w:rsidR="002A60EF">
        <w:rPr>
          <w:rFonts w:ascii="Times New Roman" w:hAnsi="Times New Roman"/>
          <w:sz w:val="28"/>
          <w:szCs w:val="28"/>
        </w:rPr>
        <w:t xml:space="preserve"> in the event that the reasons for the court’s order are given on a date later than the date of the order</w:t>
      </w:r>
      <w:r w:rsidR="003C25D4">
        <w:rPr>
          <w:rFonts w:ascii="Times New Roman" w:hAnsi="Times New Roman"/>
          <w:sz w:val="28"/>
          <w:szCs w:val="28"/>
        </w:rPr>
        <w:t xml:space="preserve">. In either </w:t>
      </w:r>
      <w:r w:rsidR="009B52C9">
        <w:rPr>
          <w:rFonts w:ascii="Times New Roman" w:hAnsi="Times New Roman"/>
          <w:sz w:val="28"/>
          <w:szCs w:val="28"/>
        </w:rPr>
        <w:t xml:space="preserve">instance </w:t>
      </w:r>
      <w:r w:rsidR="003C25D4">
        <w:rPr>
          <w:rFonts w:ascii="Times New Roman" w:hAnsi="Times New Roman"/>
          <w:sz w:val="28"/>
          <w:szCs w:val="28"/>
        </w:rPr>
        <w:t xml:space="preserve">the </w:t>
      </w:r>
      <w:r w:rsidR="00C825A6">
        <w:rPr>
          <w:rFonts w:ascii="Times New Roman" w:hAnsi="Times New Roman"/>
          <w:sz w:val="28"/>
          <w:szCs w:val="28"/>
        </w:rPr>
        <w:t>subrule lays down a period of fifteen days in which application for leave to appeal may be made</w:t>
      </w:r>
      <w:r w:rsidR="00466350">
        <w:rPr>
          <w:rFonts w:ascii="Times New Roman" w:hAnsi="Times New Roman"/>
          <w:sz w:val="28"/>
          <w:szCs w:val="28"/>
        </w:rPr>
        <w:t xml:space="preserve"> </w:t>
      </w:r>
      <w:r w:rsidR="00492353">
        <w:rPr>
          <w:rFonts w:ascii="Times New Roman" w:hAnsi="Times New Roman"/>
          <w:sz w:val="28"/>
          <w:szCs w:val="28"/>
        </w:rPr>
        <w:t>with a specific proviso that the court may upon good cause shown extend such period.</w:t>
      </w:r>
    </w:p>
    <w:p w14:paraId="40B4E842" w14:textId="3D6ACEC4" w:rsidR="00E463E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2C2059">
        <w:rPr>
          <w:rFonts w:ascii="Times New Roman" w:hAnsi="Times New Roman"/>
          <w:sz w:val="28"/>
          <w:szCs w:val="28"/>
        </w:rPr>
        <w:t xml:space="preserve">The rule deals with civil appeals from a court constituted before a single judge of a division of the high court, sitting as a court of first instance, to a full </w:t>
      </w:r>
      <w:r w:rsidR="002C2059">
        <w:rPr>
          <w:rFonts w:ascii="Times New Roman" w:hAnsi="Times New Roman"/>
          <w:sz w:val="28"/>
          <w:szCs w:val="28"/>
        </w:rPr>
        <w:lastRenderedPageBreak/>
        <w:t>court of that division.</w:t>
      </w:r>
      <w:r w:rsidR="004916E4">
        <w:rPr>
          <w:rStyle w:val="FootnoteReference"/>
          <w:rFonts w:ascii="Times New Roman" w:hAnsi="Times New Roman"/>
          <w:sz w:val="28"/>
          <w:szCs w:val="28"/>
        </w:rPr>
        <w:footnoteReference w:id="4"/>
      </w:r>
      <w:r w:rsidR="00F53F2C">
        <w:rPr>
          <w:rFonts w:ascii="Times New Roman" w:hAnsi="Times New Roman"/>
          <w:sz w:val="28"/>
          <w:szCs w:val="28"/>
        </w:rPr>
        <w:t xml:space="preserve"> I</w:t>
      </w:r>
      <w:r w:rsidR="00F20478">
        <w:rPr>
          <w:rFonts w:ascii="Times New Roman" w:hAnsi="Times New Roman"/>
          <w:sz w:val="28"/>
          <w:szCs w:val="28"/>
        </w:rPr>
        <w:t>t bears noting</w:t>
      </w:r>
      <w:r w:rsidR="00F53F2C">
        <w:rPr>
          <w:rFonts w:ascii="Times New Roman" w:hAnsi="Times New Roman"/>
          <w:sz w:val="28"/>
          <w:szCs w:val="28"/>
        </w:rPr>
        <w:t xml:space="preserve"> that the Act does not regulate the appeal procedure </w:t>
      </w:r>
      <w:r w:rsidR="004916E4">
        <w:rPr>
          <w:rFonts w:ascii="Times New Roman" w:hAnsi="Times New Roman"/>
          <w:sz w:val="28"/>
          <w:szCs w:val="28"/>
        </w:rPr>
        <w:t xml:space="preserve">from a single judge </w:t>
      </w:r>
      <w:r w:rsidR="00F53F2C">
        <w:rPr>
          <w:rFonts w:ascii="Times New Roman" w:hAnsi="Times New Roman"/>
          <w:sz w:val="28"/>
          <w:szCs w:val="28"/>
        </w:rPr>
        <w:t>to a full court</w:t>
      </w:r>
      <w:r w:rsidR="004916E4">
        <w:rPr>
          <w:rFonts w:ascii="Times New Roman" w:hAnsi="Times New Roman"/>
          <w:sz w:val="28"/>
          <w:szCs w:val="28"/>
        </w:rPr>
        <w:t xml:space="preserve"> of a division of the high court.</w:t>
      </w:r>
    </w:p>
    <w:p w14:paraId="773F0C7B" w14:textId="15F6F03B" w:rsidR="00E463E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4916E4">
        <w:rPr>
          <w:rFonts w:ascii="Times New Roman" w:hAnsi="Times New Roman"/>
          <w:sz w:val="28"/>
          <w:szCs w:val="28"/>
        </w:rPr>
        <w:t>The rule does</w:t>
      </w:r>
      <w:r w:rsidR="004B6426">
        <w:rPr>
          <w:rFonts w:ascii="Times New Roman" w:hAnsi="Times New Roman"/>
          <w:sz w:val="28"/>
          <w:szCs w:val="28"/>
        </w:rPr>
        <w:t>.</w:t>
      </w:r>
    </w:p>
    <w:p w14:paraId="48CEC916" w14:textId="5CA3E0E1" w:rsidR="002C2059"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4B6426">
        <w:rPr>
          <w:rFonts w:ascii="Times New Roman" w:hAnsi="Times New Roman"/>
          <w:sz w:val="28"/>
          <w:szCs w:val="28"/>
        </w:rPr>
        <w:t>This is evident from a reading of rule 49(17)</w:t>
      </w:r>
      <w:r w:rsidR="00710C77">
        <w:rPr>
          <w:rFonts w:ascii="Times New Roman" w:hAnsi="Times New Roman"/>
          <w:sz w:val="28"/>
          <w:szCs w:val="28"/>
        </w:rPr>
        <w:t xml:space="preserve"> which is dealt with later in this judgment.</w:t>
      </w:r>
    </w:p>
    <w:p w14:paraId="40053B51" w14:textId="71261295" w:rsidR="00826E79"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5D6906">
        <w:rPr>
          <w:rFonts w:ascii="Times New Roman" w:hAnsi="Times New Roman"/>
          <w:sz w:val="28"/>
          <w:szCs w:val="28"/>
        </w:rPr>
        <w:t>To begin with, the respondent’s argument is advanced</w:t>
      </w:r>
      <w:r w:rsidR="00147264">
        <w:rPr>
          <w:rFonts w:ascii="Times New Roman" w:hAnsi="Times New Roman"/>
          <w:sz w:val="28"/>
          <w:szCs w:val="28"/>
        </w:rPr>
        <w:t xml:space="preserve"> with the proposition that </w:t>
      </w:r>
      <w:r w:rsidR="003F0F84">
        <w:rPr>
          <w:rFonts w:ascii="Times New Roman" w:hAnsi="Times New Roman"/>
          <w:sz w:val="28"/>
          <w:szCs w:val="28"/>
        </w:rPr>
        <w:t xml:space="preserve">a </w:t>
      </w:r>
      <w:r w:rsidR="00147264">
        <w:rPr>
          <w:rFonts w:ascii="Times New Roman" w:hAnsi="Times New Roman"/>
          <w:sz w:val="28"/>
          <w:szCs w:val="28"/>
        </w:rPr>
        <w:t xml:space="preserve">valid application for leave to appeal </w:t>
      </w:r>
      <w:r w:rsidR="003F0F84">
        <w:rPr>
          <w:rFonts w:ascii="Times New Roman" w:hAnsi="Times New Roman"/>
          <w:sz w:val="28"/>
          <w:szCs w:val="28"/>
        </w:rPr>
        <w:t xml:space="preserve">compliant with </w:t>
      </w:r>
      <w:r w:rsidR="00147264">
        <w:rPr>
          <w:rFonts w:ascii="Times New Roman" w:hAnsi="Times New Roman"/>
          <w:sz w:val="28"/>
          <w:szCs w:val="28"/>
        </w:rPr>
        <w:t>rule 49(1)(</w:t>
      </w:r>
      <w:r w:rsidR="00147264" w:rsidRPr="0052780E">
        <w:rPr>
          <w:rFonts w:ascii="Times New Roman" w:hAnsi="Times New Roman"/>
          <w:i/>
          <w:sz w:val="28"/>
          <w:szCs w:val="28"/>
        </w:rPr>
        <w:t>b</w:t>
      </w:r>
      <w:r w:rsidR="00147264">
        <w:rPr>
          <w:rFonts w:ascii="Times New Roman" w:hAnsi="Times New Roman"/>
          <w:sz w:val="28"/>
          <w:szCs w:val="28"/>
        </w:rPr>
        <w:t>)</w:t>
      </w:r>
      <w:r w:rsidR="00FD7577">
        <w:rPr>
          <w:rFonts w:ascii="Times New Roman" w:hAnsi="Times New Roman"/>
          <w:sz w:val="28"/>
          <w:szCs w:val="28"/>
        </w:rPr>
        <w:t xml:space="preserve"> is a</w:t>
      </w:r>
      <w:r w:rsidR="002B6DB1">
        <w:rPr>
          <w:rFonts w:ascii="Times New Roman" w:hAnsi="Times New Roman"/>
          <w:sz w:val="28"/>
          <w:szCs w:val="28"/>
        </w:rPr>
        <w:t xml:space="preserve"> condition precedent for </w:t>
      </w:r>
      <w:r w:rsidR="004B3B0E">
        <w:rPr>
          <w:rFonts w:ascii="Times New Roman" w:hAnsi="Times New Roman"/>
          <w:sz w:val="28"/>
          <w:szCs w:val="28"/>
        </w:rPr>
        <w:t>the operation of section 18</w:t>
      </w:r>
      <w:r w:rsidR="001E36A5">
        <w:rPr>
          <w:rFonts w:ascii="Times New Roman" w:hAnsi="Times New Roman"/>
          <w:sz w:val="28"/>
          <w:szCs w:val="28"/>
        </w:rPr>
        <w:t>(1)</w:t>
      </w:r>
      <w:r w:rsidR="004B3B0E">
        <w:rPr>
          <w:rFonts w:ascii="Times New Roman" w:hAnsi="Times New Roman"/>
          <w:sz w:val="28"/>
          <w:szCs w:val="28"/>
        </w:rPr>
        <w:t xml:space="preserve"> of the Act </w:t>
      </w:r>
      <w:r w:rsidR="001E36A5">
        <w:rPr>
          <w:rFonts w:ascii="Times New Roman" w:hAnsi="Times New Roman"/>
          <w:sz w:val="28"/>
          <w:szCs w:val="28"/>
        </w:rPr>
        <w:t xml:space="preserve">to </w:t>
      </w:r>
      <w:r w:rsidR="002B6DB1">
        <w:rPr>
          <w:rFonts w:ascii="Times New Roman" w:hAnsi="Times New Roman"/>
          <w:sz w:val="28"/>
          <w:szCs w:val="28"/>
        </w:rPr>
        <w:t xml:space="preserve">suspend </w:t>
      </w:r>
      <w:r w:rsidR="00D235B4">
        <w:rPr>
          <w:rFonts w:ascii="Times New Roman" w:hAnsi="Times New Roman"/>
          <w:sz w:val="28"/>
          <w:szCs w:val="28"/>
        </w:rPr>
        <w:t xml:space="preserve">the </w:t>
      </w:r>
      <w:r w:rsidR="0052780E">
        <w:rPr>
          <w:rFonts w:ascii="Times New Roman" w:hAnsi="Times New Roman"/>
          <w:sz w:val="28"/>
          <w:szCs w:val="28"/>
        </w:rPr>
        <w:t>operation and execution of a court order which is the subject of an application for l</w:t>
      </w:r>
      <w:r w:rsidR="00826E79">
        <w:rPr>
          <w:rFonts w:ascii="Times New Roman" w:hAnsi="Times New Roman"/>
          <w:sz w:val="28"/>
          <w:szCs w:val="28"/>
        </w:rPr>
        <w:t>eave to appeal or of an appeal.</w:t>
      </w:r>
    </w:p>
    <w:p w14:paraId="23C1629A" w14:textId="1D6CC74A" w:rsidR="003C25D4" w:rsidRDefault="004414A7" w:rsidP="004414A7">
      <w:pPr>
        <w:pStyle w:val="LegalList1"/>
        <w:spacing w:after="0"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52780E">
        <w:rPr>
          <w:rFonts w:ascii="Times New Roman" w:hAnsi="Times New Roman"/>
          <w:sz w:val="28"/>
          <w:szCs w:val="28"/>
        </w:rPr>
        <w:t>The argument</w:t>
      </w:r>
      <w:r w:rsidR="008C2710">
        <w:rPr>
          <w:rFonts w:ascii="Times New Roman" w:hAnsi="Times New Roman"/>
          <w:sz w:val="28"/>
          <w:szCs w:val="28"/>
        </w:rPr>
        <w:t xml:space="preserve"> stems </w:t>
      </w:r>
      <w:r w:rsidR="008C5894">
        <w:rPr>
          <w:rFonts w:ascii="Times New Roman" w:hAnsi="Times New Roman"/>
          <w:sz w:val="28"/>
          <w:szCs w:val="28"/>
        </w:rPr>
        <w:t xml:space="preserve">from a </w:t>
      </w:r>
      <w:r w:rsidR="008C5894" w:rsidRPr="00A05A39">
        <w:rPr>
          <w:rFonts w:ascii="Times New Roman" w:hAnsi="Times New Roman"/>
          <w:i/>
          <w:sz w:val="28"/>
          <w:szCs w:val="28"/>
        </w:rPr>
        <w:t>dictum</w:t>
      </w:r>
      <w:r w:rsidR="008C5894">
        <w:rPr>
          <w:rFonts w:ascii="Times New Roman" w:hAnsi="Times New Roman"/>
          <w:sz w:val="28"/>
          <w:szCs w:val="28"/>
        </w:rPr>
        <w:t xml:space="preserve"> by Harms JA </w:t>
      </w:r>
      <w:r w:rsidR="002D4283">
        <w:rPr>
          <w:rFonts w:ascii="Times New Roman" w:hAnsi="Times New Roman"/>
          <w:sz w:val="28"/>
          <w:szCs w:val="28"/>
        </w:rPr>
        <w:t xml:space="preserve">of </w:t>
      </w:r>
      <w:r w:rsidR="002C73B6">
        <w:rPr>
          <w:rFonts w:ascii="Times New Roman" w:hAnsi="Times New Roman"/>
          <w:sz w:val="28"/>
          <w:szCs w:val="28"/>
        </w:rPr>
        <w:t xml:space="preserve">the Supreme Court of Appeal </w:t>
      </w:r>
      <w:r w:rsidR="008C5894">
        <w:rPr>
          <w:rFonts w:ascii="Times New Roman" w:hAnsi="Times New Roman"/>
          <w:sz w:val="28"/>
          <w:szCs w:val="28"/>
        </w:rPr>
        <w:t xml:space="preserve">in </w:t>
      </w:r>
      <w:r w:rsidR="00933A33" w:rsidRPr="00BD307F">
        <w:rPr>
          <w:rFonts w:ascii="Times New Roman" w:hAnsi="Times New Roman"/>
          <w:i/>
          <w:sz w:val="28"/>
          <w:szCs w:val="28"/>
        </w:rPr>
        <w:t>Modderfontein Squatters, Greater Benoni City Council v Modderklip Boerdery (Pty) Ltd</w:t>
      </w:r>
      <w:r w:rsidR="00A16A46">
        <w:rPr>
          <w:rStyle w:val="FootnoteReference"/>
          <w:rFonts w:ascii="Times New Roman" w:hAnsi="Times New Roman"/>
          <w:sz w:val="28"/>
          <w:szCs w:val="28"/>
        </w:rPr>
        <w:footnoteReference w:id="5"/>
      </w:r>
      <w:r w:rsidR="001473D4">
        <w:rPr>
          <w:rFonts w:ascii="Times New Roman" w:hAnsi="Times New Roman"/>
          <w:sz w:val="28"/>
          <w:szCs w:val="28"/>
        </w:rPr>
        <w:t>,</w:t>
      </w:r>
      <w:r w:rsidR="0071241D">
        <w:rPr>
          <w:rFonts w:ascii="Times New Roman" w:hAnsi="Times New Roman"/>
          <w:sz w:val="28"/>
          <w:szCs w:val="28"/>
        </w:rPr>
        <w:t xml:space="preserve"> </w:t>
      </w:r>
      <w:r w:rsidR="001473D4">
        <w:rPr>
          <w:rFonts w:ascii="Times New Roman" w:hAnsi="Times New Roman"/>
          <w:sz w:val="28"/>
          <w:szCs w:val="28"/>
        </w:rPr>
        <w:t xml:space="preserve">where, </w:t>
      </w:r>
      <w:r w:rsidR="00B27A8F">
        <w:rPr>
          <w:rFonts w:ascii="Times New Roman" w:hAnsi="Times New Roman"/>
          <w:sz w:val="28"/>
          <w:szCs w:val="28"/>
        </w:rPr>
        <w:t>(</w:t>
      </w:r>
      <w:r w:rsidR="001473D4">
        <w:rPr>
          <w:rFonts w:ascii="Times New Roman" w:hAnsi="Times New Roman"/>
          <w:sz w:val="28"/>
          <w:szCs w:val="28"/>
        </w:rPr>
        <w:t xml:space="preserve">in the context of </w:t>
      </w:r>
      <w:r w:rsidR="00133C7B">
        <w:rPr>
          <w:rFonts w:ascii="Times New Roman" w:hAnsi="Times New Roman"/>
          <w:sz w:val="28"/>
          <w:szCs w:val="28"/>
        </w:rPr>
        <w:t xml:space="preserve">the repealed </w:t>
      </w:r>
      <w:r w:rsidR="001473D4">
        <w:rPr>
          <w:rFonts w:ascii="Times New Roman" w:hAnsi="Times New Roman"/>
          <w:sz w:val="28"/>
          <w:szCs w:val="28"/>
        </w:rPr>
        <w:t>rule 49(11)</w:t>
      </w:r>
      <w:r w:rsidR="00133C7B">
        <w:rPr>
          <w:rStyle w:val="FootnoteReference"/>
          <w:rFonts w:ascii="Times New Roman" w:hAnsi="Times New Roman"/>
          <w:sz w:val="28"/>
          <w:szCs w:val="28"/>
        </w:rPr>
        <w:footnoteReference w:id="6"/>
      </w:r>
      <w:r w:rsidR="00A05A39">
        <w:rPr>
          <w:rFonts w:ascii="Times New Roman" w:hAnsi="Times New Roman"/>
          <w:sz w:val="28"/>
          <w:szCs w:val="28"/>
        </w:rPr>
        <w:t xml:space="preserve"> </w:t>
      </w:r>
      <w:r w:rsidR="00B27A8F">
        <w:rPr>
          <w:rFonts w:ascii="Times New Roman" w:hAnsi="Times New Roman"/>
          <w:sz w:val="28"/>
          <w:szCs w:val="28"/>
        </w:rPr>
        <w:t xml:space="preserve">now regulated by section 18 of the Act) </w:t>
      </w:r>
      <w:r w:rsidR="00A05A39">
        <w:rPr>
          <w:rFonts w:ascii="Times New Roman" w:hAnsi="Times New Roman"/>
          <w:sz w:val="28"/>
          <w:szCs w:val="28"/>
        </w:rPr>
        <w:t>the following is stated:</w:t>
      </w:r>
    </w:p>
    <w:p w14:paraId="4CF06F0F" w14:textId="77777777" w:rsidR="00A05A39" w:rsidRPr="00BD307F" w:rsidRDefault="00A05A39" w:rsidP="00BD307F">
      <w:pPr>
        <w:pStyle w:val="LegalList1"/>
        <w:spacing w:line="360" w:lineRule="auto"/>
        <w:rPr>
          <w:rFonts w:ascii="Times New Roman" w:hAnsi="Times New Roman"/>
        </w:rPr>
      </w:pPr>
      <w:r w:rsidRPr="00BD307F">
        <w:rPr>
          <w:rFonts w:ascii="Times New Roman" w:hAnsi="Times New Roman"/>
        </w:rPr>
        <w:t>‘[T]he ‘Modder East Squatters</w:t>
      </w:r>
      <w:r w:rsidR="0006185C" w:rsidRPr="00BD307F">
        <w:rPr>
          <w:rFonts w:ascii="Times New Roman" w:hAnsi="Times New Roman"/>
        </w:rPr>
        <w:t>’ lodged their application for leave to appeal together with an application for condonation some 18 months after the order had issued. The right to apply for leave to appeal, by then, had lapsed</w:t>
      </w:r>
      <w:r w:rsidR="00F6629F" w:rsidRPr="00BD307F">
        <w:rPr>
          <w:rFonts w:ascii="Times New Roman" w:hAnsi="Times New Roman"/>
        </w:rPr>
        <w:t>. Rule 49(11) presupposes a valid application for leave to appeal to effect the suspension of an order</w:t>
      </w:r>
      <w:r w:rsidR="00410A52" w:rsidRPr="00BD307F">
        <w:rPr>
          <w:rFonts w:ascii="Times New Roman" w:hAnsi="Times New Roman"/>
        </w:rPr>
        <w:t>. In this case there was none.’</w:t>
      </w:r>
    </w:p>
    <w:p w14:paraId="3EE1665F" w14:textId="20C76B51" w:rsidR="000B4B42" w:rsidRPr="000B4B42" w:rsidRDefault="004414A7" w:rsidP="004414A7">
      <w:pPr>
        <w:pStyle w:val="LegalList1"/>
        <w:spacing w:line="360" w:lineRule="auto"/>
        <w:rPr>
          <w:rFonts w:ascii="Times New Roman" w:hAnsi="Times New Roman"/>
          <w:sz w:val="28"/>
          <w:szCs w:val="28"/>
        </w:rPr>
      </w:pPr>
      <w:r w:rsidRPr="000B4B42">
        <w:rPr>
          <w:rFonts w:ascii="Times New Roman" w:hAnsi="Times New Roman"/>
          <w:sz w:val="28"/>
          <w:szCs w:val="28"/>
        </w:rPr>
        <w:t>[22]</w:t>
      </w:r>
      <w:r w:rsidRPr="000B4B42">
        <w:rPr>
          <w:rFonts w:ascii="Times New Roman" w:hAnsi="Times New Roman"/>
          <w:sz w:val="28"/>
          <w:szCs w:val="28"/>
        </w:rPr>
        <w:tab/>
      </w:r>
      <w:r w:rsidR="000B4B42">
        <w:rPr>
          <w:rFonts w:ascii="Times New Roman" w:hAnsi="Times New Roman"/>
          <w:sz w:val="28"/>
          <w:szCs w:val="28"/>
        </w:rPr>
        <w:t xml:space="preserve">There is point of distinction between the present matter and </w:t>
      </w:r>
      <w:r w:rsidR="00865E56" w:rsidRPr="00BD307F">
        <w:rPr>
          <w:rFonts w:ascii="Times New Roman" w:hAnsi="Times New Roman"/>
          <w:i/>
          <w:sz w:val="28"/>
          <w:szCs w:val="28"/>
        </w:rPr>
        <w:t xml:space="preserve">Modderfontein </w:t>
      </w:r>
      <w:r w:rsidR="000B4B42">
        <w:rPr>
          <w:rFonts w:ascii="Times New Roman" w:hAnsi="Times New Roman"/>
          <w:sz w:val="28"/>
          <w:szCs w:val="28"/>
        </w:rPr>
        <w:t xml:space="preserve">to which the applicant </w:t>
      </w:r>
      <w:r w:rsidR="003F56D1">
        <w:rPr>
          <w:rFonts w:ascii="Times New Roman" w:hAnsi="Times New Roman"/>
          <w:sz w:val="28"/>
          <w:szCs w:val="28"/>
        </w:rPr>
        <w:t xml:space="preserve">correctly </w:t>
      </w:r>
      <w:r w:rsidR="000B4B42">
        <w:rPr>
          <w:rFonts w:ascii="Times New Roman" w:hAnsi="Times New Roman"/>
          <w:sz w:val="28"/>
          <w:szCs w:val="28"/>
        </w:rPr>
        <w:t xml:space="preserve">referred in argument. In </w:t>
      </w:r>
      <w:r w:rsidR="00865E56" w:rsidRPr="00BD307F">
        <w:rPr>
          <w:rFonts w:ascii="Times New Roman" w:hAnsi="Times New Roman"/>
          <w:i/>
          <w:sz w:val="28"/>
          <w:szCs w:val="28"/>
        </w:rPr>
        <w:t xml:space="preserve">Modderfontein </w:t>
      </w:r>
      <w:r w:rsidR="007E410F">
        <w:rPr>
          <w:rFonts w:ascii="Times New Roman" w:hAnsi="Times New Roman"/>
          <w:sz w:val="28"/>
          <w:szCs w:val="28"/>
        </w:rPr>
        <w:t>the appellants</w:t>
      </w:r>
      <w:r w:rsidR="003F56D1">
        <w:rPr>
          <w:rFonts w:ascii="Times New Roman" w:hAnsi="Times New Roman"/>
          <w:sz w:val="28"/>
          <w:szCs w:val="28"/>
        </w:rPr>
        <w:t> </w:t>
      </w:r>
      <w:r w:rsidR="007E410F">
        <w:rPr>
          <w:rFonts w:ascii="Times New Roman" w:hAnsi="Times New Roman"/>
          <w:sz w:val="28"/>
          <w:szCs w:val="28"/>
        </w:rPr>
        <w:t xml:space="preserve">did not lodge an application for leave to appeal before execution </w:t>
      </w:r>
      <w:r w:rsidR="007E410F">
        <w:rPr>
          <w:rFonts w:ascii="Times New Roman" w:hAnsi="Times New Roman"/>
          <w:sz w:val="28"/>
          <w:szCs w:val="28"/>
        </w:rPr>
        <w:lastRenderedPageBreak/>
        <w:t xml:space="preserve">commenced – they </w:t>
      </w:r>
      <w:r w:rsidR="00D1023F">
        <w:rPr>
          <w:rFonts w:ascii="Times New Roman" w:hAnsi="Times New Roman"/>
          <w:sz w:val="28"/>
          <w:szCs w:val="28"/>
        </w:rPr>
        <w:t xml:space="preserve">only </w:t>
      </w:r>
      <w:r w:rsidR="007E410F">
        <w:rPr>
          <w:rFonts w:ascii="Times New Roman" w:hAnsi="Times New Roman"/>
          <w:sz w:val="28"/>
          <w:szCs w:val="28"/>
        </w:rPr>
        <w:t xml:space="preserve">did so </w:t>
      </w:r>
      <w:r w:rsidR="002B5B7D">
        <w:rPr>
          <w:rFonts w:ascii="Times New Roman" w:hAnsi="Times New Roman"/>
          <w:sz w:val="28"/>
          <w:szCs w:val="28"/>
        </w:rPr>
        <w:t xml:space="preserve"> eighteen </w:t>
      </w:r>
      <w:r w:rsidR="007E410F">
        <w:rPr>
          <w:rFonts w:ascii="Times New Roman" w:hAnsi="Times New Roman"/>
          <w:sz w:val="28"/>
          <w:szCs w:val="28"/>
        </w:rPr>
        <w:t>months later</w:t>
      </w:r>
      <w:r w:rsidR="00D1023F">
        <w:rPr>
          <w:rFonts w:ascii="Times New Roman" w:hAnsi="Times New Roman"/>
          <w:sz w:val="28"/>
          <w:szCs w:val="28"/>
        </w:rPr>
        <w:t xml:space="preserve"> after execution had already commenced</w:t>
      </w:r>
      <w:r w:rsidR="007E410F">
        <w:rPr>
          <w:rFonts w:ascii="Times New Roman" w:hAnsi="Times New Roman"/>
          <w:sz w:val="28"/>
          <w:szCs w:val="28"/>
        </w:rPr>
        <w:t>.</w:t>
      </w:r>
      <w:r w:rsidR="003F56D1">
        <w:rPr>
          <w:rFonts w:ascii="Times New Roman" w:hAnsi="Times New Roman"/>
          <w:sz w:val="28"/>
          <w:szCs w:val="28"/>
        </w:rPr>
        <w:t xml:space="preserve"> In the present matter</w:t>
      </w:r>
      <w:r w:rsidR="00D1023F">
        <w:rPr>
          <w:rFonts w:ascii="Times New Roman" w:hAnsi="Times New Roman"/>
          <w:sz w:val="28"/>
          <w:szCs w:val="28"/>
        </w:rPr>
        <w:t>,</w:t>
      </w:r>
      <w:r w:rsidR="003F56D1">
        <w:rPr>
          <w:rFonts w:ascii="Times New Roman" w:hAnsi="Times New Roman"/>
          <w:sz w:val="28"/>
          <w:szCs w:val="28"/>
        </w:rPr>
        <w:t xml:space="preserve"> notwithstanding the late</w:t>
      </w:r>
      <w:r w:rsidR="00D1023F">
        <w:rPr>
          <w:rFonts w:ascii="Times New Roman" w:hAnsi="Times New Roman"/>
          <w:sz w:val="28"/>
          <w:szCs w:val="28"/>
        </w:rPr>
        <w:t xml:space="preserve"> lodgement of </w:t>
      </w:r>
      <w:r w:rsidR="003F56D1">
        <w:rPr>
          <w:rFonts w:ascii="Times New Roman" w:hAnsi="Times New Roman"/>
          <w:sz w:val="28"/>
          <w:szCs w:val="28"/>
        </w:rPr>
        <w:t xml:space="preserve">the application for leave to appeal, the respondent </w:t>
      </w:r>
      <w:r w:rsidR="002B5B7D">
        <w:rPr>
          <w:rFonts w:ascii="Times New Roman" w:hAnsi="Times New Roman"/>
          <w:sz w:val="28"/>
          <w:szCs w:val="28"/>
        </w:rPr>
        <w:t xml:space="preserve">clearly </w:t>
      </w:r>
      <w:r w:rsidR="003D07CB">
        <w:rPr>
          <w:rFonts w:ascii="Times New Roman" w:hAnsi="Times New Roman"/>
          <w:sz w:val="28"/>
          <w:szCs w:val="28"/>
        </w:rPr>
        <w:t xml:space="preserve">communicated in writing that it intended </w:t>
      </w:r>
      <w:r w:rsidR="004A147E">
        <w:rPr>
          <w:rFonts w:ascii="Times New Roman" w:hAnsi="Times New Roman"/>
          <w:sz w:val="28"/>
          <w:szCs w:val="28"/>
        </w:rPr>
        <w:t xml:space="preserve">to </w:t>
      </w:r>
      <w:r w:rsidR="003F56D1">
        <w:rPr>
          <w:rFonts w:ascii="Times New Roman" w:hAnsi="Times New Roman"/>
          <w:sz w:val="28"/>
          <w:szCs w:val="28"/>
        </w:rPr>
        <w:t>persist with execution of the order in question.</w:t>
      </w:r>
    </w:p>
    <w:p w14:paraId="68210EC5" w14:textId="78599C20" w:rsidR="00DC3DCC" w:rsidRDefault="004414A7" w:rsidP="004414A7">
      <w:pPr>
        <w:pStyle w:val="LegalList1"/>
        <w:spacing w:after="0"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C3DCC" w:rsidRPr="00662E64">
        <w:rPr>
          <w:rFonts w:ascii="Times New Roman" w:hAnsi="Times New Roman"/>
          <w:i/>
          <w:sz w:val="28"/>
          <w:szCs w:val="28"/>
        </w:rPr>
        <w:t>Modderklip</w:t>
      </w:r>
      <w:r w:rsidR="00DC3DCC">
        <w:rPr>
          <w:rFonts w:ascii="Times New Roman" w:hAnsi="Times New Roman"/>
          <w:sz w:val="28"/>
          <w:szCs w:val="28"/>
        </w:rPr>
        <w:t xml:space="preserve"> resonated persuasively in several other judgments to which the respondent made reference in argument.</w:t>
      </w:r>
      <w:r w:rsidR="00416731">
        <w:rPr>
          <w:rFonts w:ascii="Times New Roman" w:hAnsi="Times New Roman"/>
          <w:sz w:val="28"/>
          <w:szCs w:val="28"/>
        </w:rPr>
        <w:t xml:space="preserve"> Following an exposition on the purpose served by section 18</w:t>
      </w:r>
      <w:r w:rsidR="00662E64">
        <w:rPr>
          <w:rFonts w:ascii="Times New Roman" w:hAnsi="Times New Roman"/>
          <w:sz w:val="28"/>
          <w:szCs w:val="28"/>
        </w:rPr>
        <w:t>,</w:t>
      </w:r>
      <w:r w:rsidR="00416731">
        <w:rPr>
          <w:rFonts w:ascii="Times New Roman" w:hAnsi="Times New Roman"/>
          <w:sz w:val="28"/>
          <w:szCs w:val="28"/>
        </w:rPr>
        <w:t xml:space="preserve"> the full court in </w:t>
      </w:r>
      <w:r w:rsidR="00416731" w:rsidRPr="00E67F53">
        <w:rPr>
          <w:rFonts w:ascii="Times New Roman" w:hAnsi="Times New Roman"/>
          <w:i/>
          <w:sz w:val="28"/>
          <w:szCs w:val="28"/>
        </w:rPr>
        <w:t>Myeni v Organisation</w:t>
      </w:r>
      <w:r w:rsidR="00662E64" w:rsidRPr="00E67F53">
        <w:rPr>
          <w:rFonts w:ascii="Times New Roman" w:hAnsi="Times New Roman"/>
          <w:i/>
          <w:sz w:val="28"/>
          <w:szCs w:val="28"/>
        </w:rPr>
        <w:t xml:space="preserve"> Undoing Tax Abuse and another</w:t>
      </w:r>
      <w:r w:rsidR="00662E64">
        <w:rPr>
          <w:rStyle w:val="FootnoteReference"/>
          <w:rFonts w:ascii="Times New Roman" w:hAnsi="Times New Roman"/>
          <w:sz w:val="28"/>
          <w:szCs w:val="28"/>
        </w:rPr>
        <w:footnoteReference w:id="7"/>
      </w:r>
      <w:r w:rsidR="005C29DB">
        <w:rPr>
          <w:rFonts w:ascii="Times New Roman" w:hAnsi="Times New Roman"/>
          <w:sz w:val="28"/>
          <w:szCs w:val="28"/>
        </w:rPr>
        <w:t xml:space="preserve"> stated:</w:t>
      </w:r>
    </w:p>
    <w:p w14:paraId="5740879D" w14:textId="77777777" w:rsidR="005C29DB" w:rsidRPr="002E0733" w:rsidRDefault="005C29DB" w:rsidP="002E0733">
      <w:pPr>
        <w:pStyle w:val="LegalList1"/>
        <w:spacing w:line="360" w:lineRule="auto"/>
        <w:rPr>
          <w:rFonts w:ascii="Times New Roman" w:hAnsi="Times New Roman"/>
        </w:rPr>
      </w:pPr>
      <w:r w:rsidRPr="002E0733">
        <w:rPr>
          <w:rFonts w:ascii="Times New Roman" w:hAnsi="Times New Roman"/>
        </w:rPr>
        <w:t>‘Given that section 18 exists to regulate the position when an application for leave to appeal or an appeal against a judgment is pending, it stands to reason that where no application for leave to appeal or appeal is pending, the purpose of the section ceases to exist and as such the judgment and order are deemed final and executable for all intents and purposes.</w:t>
      </w:r>
      <w:r w:rsidRPr="002E0733">
        <w:rPr>
          <w:rStyle w:val="FootnoteReference"/>
          <w:rFonts w:ascii="Times New Roman" w:hAnsi="Times New Roman"/>
        </w:rPr>
        <w:footnoteReference w:id="8"/>
      </w:r>
      <w:r w:rsidRPr="002E0733">
        <w:rPr>
          <w:rFonts w:ascii="Times New Roman" w:hAnsi="Times New Roman"/>
        </w:rPr>
        <w:t>’</w:t>
      </w:r>
    </w:p>
    <w:p w14:paraId="619F6906" w14:textId="57B93CAD" w:rsidR="003E163A" w:rsidRDefault="004414A7" w:rsidP="004414A7">
      <w:pPr>
        <w:pStyle w:val="LegalList1"/>
        <w:spacing w:after="0"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2E0733">
        <w:rPr>
          <w:rFonts w:ascii="Times New Roman" w:hAnsi="Times New Roman"/>
          <w:sz w:val="28"/>
          <w:szCs w:val="28"/>
        </w:rPr>
        <w:t xml:space="preserve">Elsewhere in </w:t>
      </w:r>
      <w:r w:rsidR="002E0733" w:rsidRPr="00026DB4">
        <w:rPr>
          <w:rFonts w:ascii="Times New Roman" w:hAnsi="Times New Roman"/>
          <w:i/>
          <w:sz w:val="28"/>
          <w:szCs w:val="28"/>
        </w:rPr>
        <w:t>Myeni</w:t>
      </w:r>
      <w:r w:rsidR="002E0733">
        <w:rPr>
          <w:rFonts w:ascii="Times New Roman" w:hAnsi="Times New Roman"/>
          <w:sz w:val="28"/>
          <w:szCs w:val="28"/>
        </w:rPr>
        <w:t xml:space="preserve"> the court expressed the following view:</w:t>
      </w:r>
    </w:p>
    <w:p w14:paraId="3B8D06F6" w14:textId="77777777" w:rsidR="002E0733" w:rsidRPr="00026DB4" w:rsidRDefault="003E163A" w:rsidP="00026DB4">
      <w:pPr>
        <w:pStyle w:val="LegalList1"/>
        <w:spacing w:line="360" w:lineRule="auto"/>
        <w:rPr>
          <w:rFonts w:ascii="Times New Roman" w:hAnsi="Times New Roman"/>
        </w:rPr>
      </w:pPr>
      <w:r w:rsidRPr="00026DB4">
        <w:rPr>
          <w:rFonts w:ascii="Times New Roman" w:hAnsi="Times New Roman"/>
        </w:rPr>
        <w:t>‘… in light of the belated petition now filed by the appellant, the principal judgment’s order continues to remain operational for the mere fact that the service of an application to condone the late filing of the petition to the SCA does not suspend the operation and execution of any order</w:t>
      </w:r>
      <w:r w:rsidR="00026DB4" w:rsidRPr="00026DB4">
        <w:rPr>
          <w:rFonts w:ascii="Times New Roman" w:hAnsi="Times New Roman"/>
        </w:rPr>
        <w:t>.’</w:t>
      </w:r>
      <w:r w:rsidR="00457253">
        <w:rPr>
          <w:rStyle w:val="FootnoteReference"/>
          <w:rFonts w:ascii="Times New Roman" w:hAnsi="Times New Roman"/>
        </w:rPr>
        <w:footnoteReference w:id="9"/>
      </w:r>
    </w:p>
    <w:p w14:paraId="2C50E7E8" w14:textId="69E3802D" w:rsidR="005101D9"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BD0F22">
        <w:rPr>
          <w:rFonts w:ascii="Times New Roman" w:hAnsi="Times New Roman"/>
          <w:sz w:val="28"/>
          <w:szCs w:val="28"/>
        </w:rPr>
        <w:t xml:space="preserve">I digress briefly to point out that the </w:t>
      </w:r>
      <w:r w:rsidR="00FE5C55">
        <w:rPr>
          <w:rFonts w:ascii="Times New Roman" w:hAnsi="Times New Roman"/>
          <w:sz w:val="28"/>
          <w:szCs w:val="28"/>
        </w:rPr>
        <w:t xml:space="preserve">abovementioned extract from </w:t>
      </w:r>
      <w:r w:rsidR="00BD0F22" w:rsidRPr="00CB4832">
        <w:rPr>
          <w:rFonts w:ascii="Times New Roman" w:hAnsi="Times New Roman"/>
          <w:i/>
          <w:sz w:val="28"/>
          <w:szCs w:val="28"/>
        </w:rPr>
        <w:t>Myeni</w:t>
      </w:r>
      <w:r w:rsidR="00CB5BC7">
        <w:rPr>
          <w:rFonts w:ascii="Times New Roman" w:hAnsi="Times New Roman"/>
          <w:sz w:val="28"/>
          <w:szCs w:val="28"/>
        </w:rPr>
        <w:t xml:space="preserve"> </w:t>
      </w:r>
      <w:r w:rsidR="008E6BB7">
        <w:rPr>
          <w:rFonts w:ascii="Times New Roman" w:hAnsi="Times New Roman"/>
          <w:sz w:val="28"/>
          <w:szCs w:val="28"/>
        </w:rPr>
        <w:t xml:space="preserve">ensued from events </w:t>
      </w:r>
      <w:r w:rsidR="00EA41C1">
        <w:rPr>
          <w:rFonts w:ascii="Times New Roman" w:hAnsi="Times New Roman"/>
          <w:sz w:val="28"/>
          <w:szCs w:val="28"/>
        </w:rPr>
        <w:t xml:space="preserve">involving </w:t>
      </w:r>
      <w:r w:rsidR="00B159F5">
        <w:rPr>
          <w:rFonts w:ascii="Times New Roman" w:hAnsi="Times New Roman"/>
          <w:sz w:val="28"/>
          <w:szCs w:val="28"/>
        </w:rPr>
        <w:t>section 17(2)(</w:t>
      </w:r>
      <w:r w:rsidR="00B159F5" w:rsidRPr="00B159F5">
        <w:rPr>
          <w:rFonts w:ascii="Times New Roman" w:hAnsi="Times New Roman"/>
          <w:i/>
          <w:sz w:val="28"/>
          <w:szCs w:val="28"/>
        </w:rPr>
        <w:t>b</w:t>
      </w:r>
      <w:r w:rsidR="00B159F5">
        <w:rPr>
          <w:rFonts w:ascii="Times New Roman" w:hAnsi="Times New Roman"/>
          <w:sz w:val="28"/>
          <w:szCs w:val="28"/>
        </w:rPr>
        <w:t>) of the Act</w:t>
      </w:r>
      <w:r w:rsidR="00BE7F0D">
        <w:rPr>
          <w:rStyle w:val="FootnoteReference"/>
          <w:rFonts w:ascii="Times New Roman" w:hAnsi="Times New Roman"/>
          <w:sz w:val="28"/>
          <w:szCs w:val="28"/>
        </w:rPr>
        <w:footnoteReference w:id="10"/>
      </w:r>
      <w:r w:rsidR="00E07AA0">
        <w:rPr>
          <w:rFonts w:ascii="Times New Roman" w:hAnsi="Times New Roman"/>
          <w:sz w:val="28"/>
          <w:szCs w:val="28"/>
        </w:rPr>
        <w:t xml:space="preserve"> which deals with the period in which leave to appeal must be sought from the Supreme Court of Appeal</w:t>
      </w:r>
      <w:r w:rsidR="00550DB3">
        <w:rPr>
          <w:rFonts w:ascii="Times New Roman" w:hAnsi="Times New Roman"/>
          <w:sz w:val="28"/>
          <w:szCs w:val="28"/>
        </w:rPr>
        <w:t xml:space="preserve"> if refused by the high court. </w:t>
      </w:r>
      <w:r w:rsidR="00BE7F0D">
        <w:rPr>
          <w:rFonts w:ascii="Times New Roman" w:hAnsi="Times New Roman"/>
          <w:sz w:val="28"/>
          <w:szCs w:val="28"/>
        </w:rPr>
        <w:t>While</w:t>
      </w:r>
      <w:r w:rsidR="002006EB">
        <w:rPr>
          <w:rFonts w:ascii="Times New Roman" w:hAnsi="Times New Roman"/>
          <w:sz w:val="28"/>
          <w:szCs w:val="28"/>
        </w:rPr>
        <w:t xml:space="preserve"> section 17(2)(</w:t>
      </w:r>
      <w:r w:rsidR="002006EB" w:rsidRPr="00BE7F0D">
        <w:rPr>
          <w:rFonts w:ascii="Times New Roman" w:hAnsi="Times New Roman"/>
          <w:i/>
          <w:sz w:val="28"/>
          <w:szCs w:val="28"/>
        </w:rPr>
        <w:t>b</w:t>
      </w:r>
      <w:r w:rsidR="002006EB">
        <w:rPr>
          <w:rFonts w:ascii="Times New Roman" w:hAnsi="Times New Roman"/>
          <w:sz w:val="28"/>
          <w:szCs w:val="28"/>
        </w:rPr>
        <w:t>) allows for a period of one month or such longer period as may on good cause be allowed</w:t>
      </w:r>
      <w:r w:rsidR="00BE7F0D">
        <w:rPr>
          <w:rFonts w:ascii="Times New Roman" w:hAnsi="Times New Roman"/>
          <w:sz w:val="28"/>
          <w:szCs w:val="28"/>
        </w:rPr>
        <w:t>, it stands apart and is distinct from rule 49.</w:t>
      </w:r>
      <w:r w:rsidR="0069499D">
        <w:rPr>
          <w:rFonts w:ascii="Times New Roman" w:hAnsi="Times New Roman"/>
          <w:sz w:val="28"/>
          <w:szCs w:val="28"/>
        </w:rPr>
        <w:t xml:space="preserve"> I will say no more about section 17(2)(</w:t>
      </w:r>
      <w:r w:rsidR="0069499D" w:rsidRPr="00BB6B9B">
        <w:rPr>
          <w:rFonts w:ascii="Times New Roman" w:hAnsi="Times New Roman"/>
          <w:i/>
          <w:sz w:val="28"/>
          <w:szCs w:val="28"/>
        </w:rPr>
        <w:t>b</w:t>
      </w:r>
      <w:r w:rsidR="0069499D">
        <w:rPr>
          <w:rFonts w:ascii="Times New Roman" w:hAnsi="Times New Roman"/>
          <w:sz w:val="28"/>
          <w:szCs w:val="28"/>
        </w:rPr>
        <w:t>)</w:t>
      </w:r>
      <w:r w:rsidR="005101D9">
        <w:rPr>
          <w:rFonts w:ascii="Times New Roman" w:hAnsi="Times New Roman"/>
          <w:sz w:val="28"/>
          <w:szCs w:val="28"/>
        </w:rPr>
        <w:t xml:space="preserve"> for the reason that it is unrelated to the present enquiry</w:t>
      </w:r>
      <w:r w:rsidR="00BB6B9B">
        <w:rPr>
          <w:rFonts w:ascii="Times New Roman" w:hAnsi="Times New Roman"/>
          <w:sz w:val="28"/>
          <w:szCs w:val="28"/>
        </w:rPr>
        <w:t>.</w:t>
      </w:r>
    </w:p>
    <w:p w14:paraId="36DD6F45" w14:textId="32405AAD" w:rsidR="007A1C3E" w:rsidRDefault="004414A7" w:rsidP="004414A7">
      <w:pPr>
        <w:pStyle w:val="LegalList1"/>
        <w:spacing w:after="0" w:line="360" w:lineRule="auto"/>
        <w:rPr>
          <w:rFonts w:ascii="Times New Roman" w:hAnsi="Times New Roman"/>
          <w:sz w:val="28"/>
          <w:szCs w:val="28"/>
        </w:rPr>
      </w:pPr>
      <w:r>
        <w:rPr>
          <w:rFonts w:ascii="Times New Roman" w:hAnsi="Times New Roman"/>
          <w:sz w:val="28"/>
          <w:szCs w:val="28"/>
        </w:rPr>
        <w:lastRenderedPageBreak/>
        <w:t>[26]</w:t>
      </w:r>
      <w:r>
        <w:rPr>
          <w:rFonts w:ascii="Times New Roman" w:hAnsi="Times New Roman"/>
          <w:sz w:val="28"/>
          <w:szCs w:val="28"/>
        </w:rPr>
        <w:tab/>
      </w:r>
      <w:r w:rsidR="00956E0E">
        <w:rPr>
          <w:rFonts w:ascii="Times New Roman" w:hAnsi="Times New Roman"/>
          <w:sz w:val="28"/>
          <w:szCs w:val="28"/>
        </w:rPr>
        <w:t>T</w:t>
      </w:r>
      <w:r w:rsidR="00F9535D">
        <w:rPr>
          <w:rFonts w:ascii="Times New Roman" w:hAnsi="Times New Roman"/>
          <w:sz w:val="28"/>
          <w:szCs w:val="28"/>
        </w:rPr>
        <w:t xml:space="preserve">he </w:t>
      </w:r>
      <w:r w:rsidR="00CA5E20">
        <w:rPr>
          <w:rFonts w:ascii="Times New Roman" w:hAnsi="Times New Roman"/>
          <w:sz w:val="28"/>
          <w:szCs w:val="28"/>
        </w:rPr>
        <w:t xml:space="preserve">respondent </w:t>
      </w:r>
      <w:r w:rsidR="00956E0E">
        <w:rPr>
          <w:rFonts w:ascii="Times New Roman" w:hAnsi="Times New Roman"/>
          <w:sz w:val="28"/>
          <w:szCs w:val="28"/>
        </w:rPr>
        <w:t xml:space="preserve">further </w:t>
      </w:r>
      <w:r w:rsidR="00CA5E20">
        <w:rPr>
          <w:rFonts w:ascii="Times New Roman" w:hAnsi="Times New Roman"/>
          <w:sz w:val="28"/>
          <w:szCs w:val="28"/>
        </w:rPr>
        <w:t xml:space="preserve">relied on </w:t>
      </w:r>
      <w:r w:rsidR="00C22CC8" w:rsidRPr="00BD307F">
        <w:rPr>
          <w:rFonts w:ascii="Times New Roman" w:hAnsi="Times New Roman"/>
          <w:i/>
          <w:sz w:val="28"/>
          <w:szCs w:val="28"/>
        </w:rPr>
        <w:t>Dancing Beauty and Hair (Pty) Ltd v Northern Shareblock</w:t>
      </w:r>
      <w:r w:rsidR="008A5F51" w:rsidRPr="00BD307F">
        <w:rPr>
          <w:rFonts w:ascii="Times New Roman" w:hAnsi="Times New Roman"/>
          <w:i/>
          <w:sz w:val="28"/>
          <w:szCs w:val="28"/>
        </w:rPr>
        <w:t xml:space="preserve"> (Pty) Ltd and Another</w:t>
      </w:r>
      <w:r w:rsidR="00CA5E20">
        <w:rPr>
          <w:rStyle w:val="FootnoteReference"/>
          <w:rFonts w:ascii="Times New Roman" w:hAnsi="Times New Roman"/>
          <w:i/>
          <w:sz w:val="28"/>
          <w:szCs w:val="28"/>
        </w:rPr>
        <w:footnoteReference w:id="11"/>
      </w:r>
      <w:r w:rsidR="006D12ED">
        <w:rPr>
          <w:rFonts w:ascii="Times New Roman" w:hAnsi="Times New Roman"/>
          <w:i/>
          <w:sz w:val="28"/>
          <w:szCs w:val="28"/>
        </w:rPr>
        <w:t xml:space="preserve"> </w:t>
      </w:r>
      <w:r w:rsidR="00956E0E">
        <w:rPr>
          <w:rFonts w:ascii="Times New Roman" w:hAnsi="Times New Roman"/>
          <w:sz w:val="28"/>
          <w:szCs w:val="28"/>
        </w:rPr>
        <w:t xml:space="preserve">in </w:t>
      </w:r>
      <w:r w:rsidR="006D12ED">
        <w:rPr>
          <w:rFonts w:ascii="Times New Roman" w:hAnsi="Times New Roman"/>
          <w:sz w:val="28"/>
          <w:szCs w:val="28"/>
        </w:rPr>
        <w:t xml:space="preserve">which </w:t>
      </w:r>
      <w:r w:rsidR="00956E0E" w:rsidRPr="006D12ED">
        <w:rPr>
          <w:rFonts w:ascii="Times New Roman" w:hAnsi="Times New Roman"/>
          <w:i/>
          <w:sz w:val="28"/>
          <w:szCs w:val="28"/>
        </w:rPr>
        <w:t>Modderklip</w:t>
      </w:r>
      <w:r w:rsidR="00956E0E">
        <w:rPr>
          <w:rFonts w:ascii="Times New Roman" w:hAnsi="Times New Roman"/>
          <w:sz w:val="28"/>
          <w:szCs w:val="28"/>
        </w:rPr>
        <w:t xml:space="preserve"> </w:t>
      </w:r>
      <w:r w:rsidR="00153E94">
        <w:rPr>
          <w:rFonts w:ascii="Times New Roman" w:hAnsi="Times New Roman"/>
          <w:sz w:val="28"/>
          <w:szCs w:val="28"/>
        </w:rPr>
        <w:t>was applied</w:t>
      </w:r>
      <w:r w:rsidR="00D41B80">
        <w:rPr>
          <w:rFonts w:ascii="Times New Roman" w:hAnsi="Times New Roman"/>
          <w:sz w:val="28"/>
          <w:szCs w:val="28"/>
        </w:rPr>
        <w:t>. A</w:t>
      </w:r>
      <w:r w:rsidR="002F5977">
        <w:rPr>
          <w:rFonts w:ascii="Times New Roman" w:hAnsi="Times New Roman"/>
          <w:sz w:val="28"/>
          <w:szCs w:val="28"/>
        </w:rPr>
        <w:t xml:space="preserve">lbeit that </w:t>
      </w:r>
      <w:r w:rsidR="0070241C">
        <w:rPr>
          <w:rFonts w:ascii="Times New Roman" w:hAnsi="Times New Roman"/>
          <w:sz w:val="28"/>
          <w:szCs w:val="28"/>
        </w:rPr>
        <w:t>an application for leave to appeal was</w:t>
      </w:r>
      <w:r w:rsidR="002F5977">
        <w:rPr>
          <w:rFonts w:ascii="Times New Roman" w:hAnsi="Times New Roman"/>
          <w:sz w:val="28"/>
          <w:szCs w:val="28"/>
        </w:rPr>
        <w:t xml:space="preserve"> served within the fifteen day period  provided for in rule 49(1)(</w:t>
      </w:r>
      <w:r w:rsidR="002F5977" w:rsidRPr="00D41B80">
        <w:rPr>
          <w:rFonts w:ascii="Times New Roman" w:hAnsi="Times New Roman"/>
          <w:i/>
          <w:sz w:val="28"/>
          <w:szCs w:val="28"/>
        </w:rPr>
        <w:t>b</w:t>
      </w:r>
      <w:r w:rsidR="002F5977">
        <w:rPr>
          <w:rFonts w:ascii="Times New Roman" w:hAnsi="Times New Roman"/>
          <w:sz w:val="28"/>
          <w:szCs w:val="28"/>
        </w:rPr>
        <w:t xml:space="preserve">) </w:t>
      </w:r>
      <w:r w:rsidR="002E4C0F">
        <w:rPr>
          <w:rFonts w:ascii="Times New Roman" w:hAnsi="Times New Roman"/>
          <w:sz w:val="28"/>
          <w:szCs w:val="28"/>
        </w:rPr>
        <w:t xml:space="preserve">but </w:t>
      </w:r>
      <w:r w:rsidR="002F5977">
        <w:rPr>
          <w:rFonts w:ascii="Times New Roman" w:hAnsi="Times New Roman"/>
          <w:sz w:val="28"/>
          <w:szCs w:val="28"/>
        </w:rPr>
        <w:t>not lodged within</w:t>
      </w:r>
      <w:r w:rsidR="002E4C0F">
        <w:rPr>
          <w:rFonts w:ascii="Times New Roman" w:hAnsi="Times New Roman"/>
          <w:sz w:val="28"/>
          <w:szCs w:val="28"/>
        </w:rPr>
        <w:t xml:space="preserve"> the prescribed period, </w:t>
      </w:r>
      <w:r w:rsidR="00DB64D1">
        <w:rPr>
          <w:rFonts w:ascii="Times New Roman" w:hAnsi="Times New Roman"/>
          <w:sz w:val="28"/>
          <w:szCs w:val="28"/>
        </w:rPr>
        <w:t>the court held:</w:t>
      </w:r>
    </w:p>
    <w:p w14:paraId="6802888D" w14:textId="77777777" w:rsidR="008C2710" w:rsidRPr="007A1C3E" w:rsidRDefault="00BB6891" w:rsidP="007A1C3E">
      <w:pPr>
        <w:pStyle w:val="LegalList1"/>
        <w:spacing w:line="360" w:lineRule="auto"/>
        <w:rPr>
          <w:rFonts w:ascii="Times New Roman" w:hAnsi="Times New Roman"/>
        </w:rPr>
      </w:pPr>
      <w:r w:rsidRPr="007A1C3E">
        <w:rPr>
          <w:rFonts w:ascii="Times New Roman" w:hAnsi="Times New Roman"/>
        </w:rPr>
        <w:t>‘… the right to appeal lapsed when the filing date was missed (Rule 49(1)(</w:t>
      </w:r>
      <w:r w:rsidRPr="007A1C3E">
        <w:rPr>
          <w:rFonts w:ascii="Times New Roman" w:hAnsi="Times New Roman"/>
          <w:i/>
        </w:rPr>
        <w:t>b</w:t>
      </w:r>
      <w:r w:rsidRPr="007A1C3E">
        <w:rPr>
          <w:rFonts w:ascii="Times New Roman" w:hAnsi="Times New Roman"/>
        </w:rPr>
        <w:t xml:space="preserve">) of the Uniform rules of Court, read with section 18(5) of the Superior Courts </w:t>
      </w:r>
      <w:r w:rsidR="007A1C3E">
        <w:rPr>
          <w:rFonts w:ascii="Times New Roman" w:hAnsi="Times New Roman"/>
        </w:rPr>
        <w:t>A</w:t>
      </w:r>
      <w:r w:rsidRPr="007A1C3E">
        <w:rPr>
          <w:rFonts w:ascii="Times New Roman" w:hAnsi="Times New Roman"/>
        </w:rPr>
        <w:t>ct</w:t>
      </w:r>
      <w:r w:rsidR="007A1C3E" w:rsidRPr="007A1C3E">
        <w:rPr>
          <w:rFonts w:ascii="Times New Roman" w:hAnsi="Times New Roman"/>
        </w:rPr>
        <w:t xml:space="preserve"> 10 of 2013</w:t>
      </w:r>
      <w:r w:rsidR="002D6A6C">
        <w:rPr>
          <w:rFonts w:ascii="Times New Roman" w:hAnsi="Times New Roman"/>
        </w:rPr>
        <w:t xml:space="preserve">, </w:t>
      </w:r>
      <w:r w:rsidR="002D6A6C" w:rsidRPr="002D6A6C">
        <w:rPr>
          <w:rFonts w:ascii="Times New Roman" w:hAnsi="Times New Roman"/>
          <w:i/>
        </w:rPr>
        <w:t>Modderfontein Squatters, Greater Benoni City Council</w:t>
      </w:r>
      <w:r w:rsidR="007A1C3E" w:rsidRPr="007A1C3E">
        <w:rPr>
          <w:rFonts w:ascii="Times New Roman" w:hAnsi="Times New Roman"/>
        </w:rPr>
        <w:t xml:space="preserve"> …)’</w:t>
      </w:r>
    </w:p>
    <w:p w14:paraId="443D64EF" w14:textId="7DD6BDE8" w:rsidR="00D41B80" w:rsidRDefault="004414A7" w:rsidP="004414A7">
      <w:pPr>
        <w:pStyle w:val="LegalList1"/>
        <w:spacing w:after="0"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B67B85">
        <w:rPr>
          <w:rFonts w:ascii="Times New Roman" w:hAnsi="Times New Roman"/>
          <w:sz w:val="28"/>
          <w:szCs w:val="28"/>
        </w:rPr>
        <w:t xml:space="preserve">Adopting </w:t>
      </w:r>
      <w:r w:rsidR="001A4C42">
        <w:rPr>
          <w:rFonts w:ascii="Times New Roman" w:hAnsi="Times New Roman"/>
          <w:sz w:val="28"/>
          <w:szCs w:val="28"/>
        </w:rPr>
        <w:t xml:space="preserve">the approach in </w:t>
      </w:r>
      <w:r w:rsidR="00193F50" w:rsidRPr="00D80263">
        <w:rPr>
          <w:rFonts w:ascii="Times New Roman" w:hAnsi="Times New Roman"/>
          <w:i/>
          <w:sz w:val="28"/>
          <w:szCs w:val="28"/>
        </w:rPr>
        <w:t>Myeni</w:t>
      </w:r>
      <w:r w:rsidR="00193F50">
        <w:rPr>
          <w:rFonts w:ascii="Times New Roman" w:hAnsi="Times New Roman"/>
          <w:sz w:val="28"/>
          <w:szCs w:val="28"/>
        </w:rPr>
        <w:t xml:space="preserve">, </w:t>
      </w:r>
      <w:r w:rsidR="001A4C42">
        <w:rPr>
          <w:rFonts w:ascii="Times New Roman" w:hAnsi="Times New Roman"/>
          <w:sz w:val="28"/>
          <w:szCs w:val="28"/>
        </w:rPr>
        <w:t xml:space="preserve">the court </w:t>
      </w:r>
      <w:r w:rsidR="00193F50">
        <w:rPr>
          <w:rFonts w:ascii="Times New Roman" w:hAnsi="Times New Roman"/>
          <w:sz w:val="28"/>
          <w:szCs w:val="28"/>
        </w:rPr>
        <w:t xml:space="preserve">in </w:t>
      </w:r>
      <w:r w:rsidR="00193F50" w:rsidRPr="00D80263">
        <w:rPr>
          <w:rFonts w:ascii="Times New Roman" w:hAnsi="Times New Roman"/>
          <w:i/>
          <w:sz w:val="28"/>
          <w:szCs w:val="28"/>
        </w:rPr>
        <w:t>Waste Partner Investments (Pty) Ltd v Toyota Financial Services</w:t>
      </w:r>
      <w:r w:rsidR="00193F50">
        <w:rPr>
          <w:rFonts w:ascii="Times New Roman" w:hAnsi="Times New Roman"/>
          <w:sz w:val="28"/>
          <w:szCs w:val="28"/>
        </w:rPr>
        <w:t xml:space="preserve"> </w:t>
      </w:r>
      <w:r w:rsidR="00193F50" w:rsidRPr="004E3A6A">
        <w:rPr>
          <w:rFonts w:ascii="Times New Roman" w:hAnsi="Times New Roman"/>
          <w:i/>
          <w:sz w:val="28"/>
          <w:szCs w:val="28"/>
        </w:rPr>
        <w:t>and other</w:t>
      </w:r>
      <w:r w:rsidR="00193F50" w:rsidRPr="00273057">
        <w:rPr>
          <w:rFonts w:ascii="Times New Roman" w:hAnsi="Times New Roman"/>
          <w:i/>
          <w:sz w:val="28"/>
          <w:szCs w:val="28"/>
        </w:rPr>
        <w:t>s</w:t>
      </w:r>
      <w:r w:rsidR="00193F50" w:rsidRPr="00273057">
        <w:rPr>
          <w:rStyle w:val="FootnoteReference"/>
          <w:rFonts w:ascii="Times New Roman" w:hAnsi="Times New Roman"/>
          <w:i/>
          <w:sz w:val="28"/>
          <w:szCs w:val="28"/>
        </w:rPr>
        <w:footnoteReference w:id="12"/>
      </w:r>
      <w:r w:rsidR="00B67B85">
        <w:rPr>
          <w:rFonts w:ascii="Times New Roman" w:hAnsi="Times New Roman"/>
          <w:sz w:val="28"/>
          <w:szCs w:val="28"/>
        </w:rPr>
        <w:t xml:space="preserve"> had this to say:</w:t>
      </w:r>
    </w:p>
    <w:p w14:paraId="02560B41" w14:textId="77777777" w:rsidR="00B67B85" w:rsidRPr="006C641B" w:rsidRDefault="00B67B85" w:rsidP="006C641B">
      <w:pPr>
        <w:pStyle w:val="LegalList1"/>
        <w:spacing w:line="360" w:lineRule="auto"/>
        <w:rPr>
          <w:rFonts w:ascii="Times New Roman" w:hAnsi="Times New Roman"/>
        </w:rPr>
      </w:pPr>
      <w:r w:rsidRPr="006C641B">
        <w:rPr>
          <w:rFonts w:ascii="Times New Roman" w:hAnsi="Times New Roman"/>
        </w:rPr>
        <w:t>‘[T]he late filing of the applicant’s application for leave to appeal</w:t>
      </w:r>
      <w:r w:rsidR="00AE5D66" w:rsidRPr="006C641B">
        <w:rPr>
          <w:rFonts w:ascii="Times New Roman" w:hAnsi="Times New Roman"/>
        </w:rPr>
        <w:t xml:space="preserve"> is fatal, even if the applicant has filed an application to condone the late filing of the application. </w:t>
      </w:r>
      <w:r w:rsidR="00D80263" w:rsidRPr="006C641B">
        <w:rPr>
          <w:rFonts w:ascii="Times New Roman" w:hAnsi="Times New Roman"/>
        </w:rPr>
        <w:t>T</w:t>
      </w:r>
      <w:r w:rsidR="00AE5D66" w:rsidRPr="006C641B">
        <w:rPr>
          <w:rFonts w:ascii="Times New Roman" w:hAnsi="Times New Roman"/>
        </w:rPr>
        <w:t xml:space="preserve">his position was confirmed in </w:t>
      </w:r>
      <w:r w:rsidR="00D80263" w:rsidRPr="006C641B">
        <w:rPr>
          <w:rFonts w:ascii="Times New Roman" w:hAnsi="Times New Roman"/>
        </w:rPr>
        <w:t>[Myeni]’.</w:t>
      </w:r>
    </w:p>
    <w:p w14:paraId="39FA7BB4" w14:textId="1DA92AAC" w:rsidR="00FE1574"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6362C0" w:rsidRPr="00D80263">
        <w:rPr>
          <w:rFonts w:ascii="Times New Roman" w:hAnsi="Times New Roman"/>
          <w:sz w:val="28"/>
          <w:szCs w:val="28"/>
        </w:rPr>
        <w:t>W</w:t>
      </w:r>
      <w:r w:rsidR="00067761" w:rsidRPr="00D80263">
        <w:rPr>
          <w:rFonts w:ascii="Times New Roman" w:hAnsi="Times New Roman"/>
          <w:sz w:val="28"/>
          <w:szCs w:val="28"/>
        </w:rPr>
        <w:t xml:space="preserve">hen </w:t>
      </w:r>
      <w:r w:rsidR="00440266" w:rsidRPr="00D80263">
        <w:rPr>
          <w:rFonts w:ascii="Times New Roman" w:hAnsi="Times New Roman"/>
          <w:sz w:val="28"/>
          <w:szCs w:val="28"/>
        </w:rPr>
        <w:t xml:space="preserve">compared </w:t>
      </w:r>
      <w:r w:rsidR="00773272">
        <w:rPr>
          <w:rFonts w:ascii="Times New Roman" w:hAnsi="Times New Roman"/>
          <w:sz w:val="28"/>
          <w:szCs w:val="28"/>
        </w:rPr>
        <w:t>with the present</w:t>
      </w:r>
      <w:r w:rsidR="00067761" w:rsidRPr="00D80263">
        <w:rPr>
          <w:rFonts w:ascii="Times New Roman" w:hAnsi="Times New Roman"/>
          <w:sz w:val="28"/>
          <w:szCs w:val="28"/>
        </w:rPr>
        <w:t xml:space="preserve"> matter</w:t>
      </w:r>
      <w:r w:rsidR="00EA1A06" w:rsidRPr="00D80263">
        <w:rPr>
          <w:rFonts w:ascii="Times New Roman" w:hAnsi="Times New Roman"/>
          <w:sz w:val="28"/>
          <w:szCs w:val="28"/>
        </w:rPr>
        <w:t xml:space="preserve"> there are obvious differences in the factual matrix of each of these cases</w:t>
      </w:r>
      <w:r w:rsidR="00FE1574">
        <w:rPr>
          <w:rFonts w:ascii="Times New Roman" w:hAnsi="Times New Roman"/>
          <w:sz w:val="28"/>
          <w:szCs w:val="28"/>
        </w:rPr>
        <w:t xml:space="preserve"> and the substantive issues that required resolution</w:t>
      </w:r>
      <w:r w:rsidR="00067761" w:rsidRPr="00D80263">
        <w:rPr>
          <w:rFonts w:ascii="Times New Roman" w:hAnsi="Times New Roman"/>
          <w:sz w:val="28"/>
          <w:szCs w:val="28"/>
        </w:rPr>
        <w:t>.</w:t>
      </w:r>
      <w:r w:rsidR="00FE1574">
        <w:rPr>
          <w:rFonts w:ascii="Times New Roman" w:hAnsi="Times New Roman"/>
          <w:sz w:val="28"/>
          <w:szCs w:val="28"/>
        </w:rPr>
        <w:t xml:space="preserve"> </w:t>
      </w:r>
      <w:r w:rsidR="00943397" w:rsidRPr="00D80263">
        <w:rPr>
          <w:rFonts w:ascii="Times New Roman" w:hAnsi="Times New Roman"/>
          <w:sz w:val="28"/>
          <w:szCs w:val="28"/>
        </w:rPr>
        <w:t xml:space="preserve">The applicant submitted however that </w:t>
      </w:r>
      <w:r w:rsidR="004F063A" w:rsidRPr="00D80263">
        <w:rPr>
          <w:rFonts w:ascii="Times New Roman" w:hAnsi="Times New Roman"/>
          <w:sz w:val="28"/>
          <w:szCs w:val="28"/>
        </w:rPr>
        <w:t>t</w:t>
      </w:r>
      <w:r w:rsidR="00203577" w:rsidRPr="00D80263">
        <w:rPr>
          <w:rFonts w:ascii="Times New Roman" w:hAnsi="Times New Roman"/>
          <w:sz w:val="28"/>
          <w:szCs w:val="28"/>
        </w:rPr>
        <w:t xml:space="preserve">he fundamental point of departure is that rule 49 was never subjected to a self-standing </w:t>
      </w:r>
      <w:r w:rsidR="00CA32D0" w:rsidRPr="00D80263">
        <w:rPr>
          <w:rFonts w:ascii="Times New Roman" w:hAnsi="Times New Roman"/>
          <w:sz w:val="28"/>
          <w:szCs w:val="28"/>
        </w:rPr>
        <w:t xml:space="preserve">interpretative </w:t>
      </w:r>
      <w:r w:rsidR="00203577" w:rsidRPr="00D80263">
        <w:rPr>
          <w:rFonts w:ascii="Times New Roman" w:hAnsi="Times New Roman"/>
          <w:sz w:val="28"/>
          <w:szCs w:val="28"/>
        </w:rPr>
        <w:t>analysis</w:t>
      </w:r>
      <w:r w:rsidR="004F063A" w:rsidRPr="00D80263">
        <w:rPr>
          <w:rFonts w:ascii="Times New Roman" w:hAnsi="Times New Roman"/>
          <w:sz w:val="28"/>
          <w:szCs w:val="28"/>
        </w:rPr>
        <w:t xml:space="preserve"> </w:t>
      </w:r>
      <w:r w:rsidR="00943397" w:rsidRPr="00D80263">
        <w:rPr>
          <w:rFonts w:ascii="Times New Roman" w:hAnsi="Times New Roman"/>
          <w:sz w:val="28"/>
          <w:szCs w:val="28"/>
        </w:rPr>
        <w:t xml:space="preserve">in the </w:t>
      </w:r>
      <w:r w:rsidR="004E3A6A">
        <w:rPr>
          <w:rFonts w:ascii="Times New Roman" w:hAnsi="Times New Roman"/>
          <w:sz w:val="28"/>
          <w:szCs w:val="28"/>
        </w:rPr>
        <w:t xml:space="preserve">material </w:t>
      </w:r>
      <w:r w:rsidR="00FE1574">
        <w:rPr>
          <w:rFonts w:ascii="Times New Roman" w:hAnsi="Times New Roman"/>
          <w:sz w:val="28"/>
          <w:szCs w:val="28"/>
        </w:rPr>
        <w:t>relied on by the respondent.</w:t>
      </w:r>
    </w:p>
    <w:p w14:paraId="59687FFC" w14:textId="42D26CEA" w:rsidR="00A31BD2" w:rsidRPr="00D80263" w:rsidRDefault="004414A7" w:rsidP="004414A7">
      <w:pPr>
        <w:pStyle w:val="LegalList1"/>
        <w:spacing w:line="360" w:lineRule="auto"/>
        <w:rPr>
          <w:rFonts w:ascii="Times New Roman" w:hAnsi="Times New Roman"/>
          <w:sz w:val="28"/>
          <w:szCs w:val="28"/>
        </w:rPr>
      </w:pPr>
      <w:r w:rsidRPr="00D80263">
        <w:rPr>
          <w:rFonts w:ascii="Times New Roman" w:hAnsi="Times New Roman"/>
          <w:sz w:val="28"/>
          <w:szCs w:val="28"/>
        </w:rPr>
        <w:t>[29]</w:t>
      </w:r>
      <w:r w:rsidRPr="00D80263">
        <w:rPr>
          <w:rFonts w:ascii="Times New Roman" w:hAnsi="Times New Roman"/>
          <w:sz w:val="28"/>
          <w:szCs w:val="28"/>
        </w:rPr>
        <w:tab/>
      </w:r>
      <w:r w:rsidR="00943397" w:rsidRPr="00D80263">
        <w:rPr>
          <w:rFonts w:ascii="Times New Roman" w:hAnsi="Times New Roman"/>
          <w:sz w:val="28"/>
          <w:szCs w:val="28"/>
        </w:rPr>
        <w:t xml:space="preserve">It is </w:t>
      </w:r>
      <w:r w:rsidR="006362C0" w:rsidRPr="00D80263">
        <w:rPr>
          <w:rFonts w:ascii="Times New Roman" w:hAnsi="Times New Roman"/>
          <w:sz w:val="28"/>
          <w:szCs w:val="28"/>
        </w:rPr>
        <w:t>to that aspect that I turn to in evaluating the applicant’s argument.</w:t>
      </w:r>
    </w:p>
    <w:p w14:paraId="1902BDFE" w14:textId="06F6BD8D" w:rsidR="00F20B69"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5D19C0">
        <w:rPr>
          <w:rFonts w:ascii="Times New Roman" w:hAnsi="Times New Roman"/>
          <w:sz w:val="28"/>
          <w:szCs w:val="28"/>
        </w:rPr>
        <w:t xml:space="preserve">Beginning with rule </w:t>
      </w:r>
      <w:r w:rsidR="000235C1">
        <w:rPr>
          <w:rFonts w:ascii="Times New Roman" w:hAnsi="Times New Roman"/>
          <w:sz w:val="28"/>
          <w:szCs w:val="28"/>
        </w:rPr>
        <w:t>49(1)(</w:t>
      </w:r>
      <w:r w:rsidR="000235C1" w:rsidRPr="005D19C0">
        <w:rPr>
          <w:rFonts w:ascii="Times New Roman" w:hAnsi="Times New Roman"/>
          <w:i/>
          <w:sz w:val="28"/>
          <w:szCs w:val="28"/>
        </w:rPr>
        <w:t>b</w:t>
      </w:r>
      <w:r w:rsidR="000235C1">
        <w:rPr>
          <w:rFonts w:ascii="Times New Roman" w:hAnsi="Times New Roman"/>
          <w:sz w:val="28"/>
          <w:szCs w:val="28"/>
        </w:rPr>
        <w:t>) and rule 49(6)</w:t>
      </w:r>
      <w:r w:rsidR="005D19C0">
        <w:rPr>
          <w:rFonts w:ascii="Times New Roman" w:hAnsi="Times New Roman"/>
          <w:sz w:val="28"/>
          <w:szCs w:val="28"/>
        </w:rPr>
        <w:t xml:space="preserve">, it is apparent </w:t>
      </w:r>
      <w:r w:rsidR="009B7405">
        <w:rPr>
          <w:rFonts w:ascii="Times New Roman" w:hAnsi="Times New Roman"/>
          <w:sz w:val="28"/>
          <w:szCs w:val="28"/>
        </w:rPr>
        <w:t xml:space="preserve">from their wording </w:t>
      </w:r>
      <w:r w:rsidR="005D19C0">
        <w:rPr>
          <w:rFonts w:ascii="Times New Roman" w:hAnsi="Times New Roman"/>
          <w:sz w:val="28"/>
          <w:szCs w:val="28"/>
        </w:rPr>
        <w:t xml:space="preserve">that </w:t>
      </w:r>
      <w:r w:rsidR="00015294">
        <w:rPr>
          <w:rFonts w:ascii="Times New Roman" w:hAnsi="Times New Roman"/>
          <w:sz w:val="28"/>
          <w:szCs w:val="28"/>
        </w:rPr>
        <w:t xml:space="preserve">each </w:t>
      </w:r>
      <w:r w:rsidR="00C21B95">
        <w:rPr>
          <w:rFonts w:ascii="Times New Roman" w:hAnsi="Times New Roman"/>
          <w:sz w:val="28"/>
          <w:szCs w:val="28"/>
        </w:rPr>
        <w:t xml:space="preserve">exemplifies </w:t>
      </w:r>
      <w:r w:rsidR="00015294">
        <w:rPr>
          <w:rFonts w:ascii="Times New Roman" w:hAnsi="Times New Roman"/>
          <w:sz w:val="28"/>
          <w:szCs w:val="28"/>
        </w:rPr>
        <w:t xml:space="preserve">a </w:t>
      </w:r>
      <w:r w:rsidR="000235C1">
        <w:rPr>
          <w:rFonts w:ascii="Times New Roman" w:hAnsi="Times New Roman"/>
          <w:sz w:val="28"/>
          <w:szCs w:val="28"/>
        </w:rPr>
        <w:t>distinct</w:t>
      </w:r>
      <w:r w:rsidR="00B43C30">
        <w:rPr>
          <w:rFonts w:ascii="Times New Roman" w:hAnsi="Times New Roman"/>
          <w:sz w:val="28"/>
          <w:szCs w:val="28"/>
        </w:rPr>
        <w:t xml:space="preserve"> circumstance.</w:t>
      </w:r>
      <w:r w:rsidR="000235C1">
        <w:rPr>
          <w:rFonts w:ascii="Times New Roman" w:hAnsi="Times New Roman"/>
          <w:sz w:val="28"/>
          <w:szCs w:val="28"/>
        </w:rPr>
        <w:t xml:space="preserve"> The former stipulates a time frame of fifteen days</w:t>
      </w:r>
      <w:r w:rsidR="000901EF">
        <w:rPr>
          <w:rFonts w:ascii="Times New Roman" w:hAnsi="Times New Roman"/>
          <w:sz w:val="28"/>
          <w:szCs w:val="28"/>
        </w:rPr>
        <w:t xml:space="preserve"> in which an application for leave to appeal</w:t>
      </w:r>
      <w:r w:rsidR="009539B5">
        <w:rPr>
          <w:rFonts w:ascii="Times New Roman" w:hAnsi="Times New Roman"/>
          <w:sz w:val="28"/>
          <w:szCs w:val="28"/>
        </w:rPr>
        <w:t> </w:t>
      </w:r>
      <w:r w:rsidR="000901EF">
        <w:rPr>
          <w:rFonts w:ascii="Times New Roman" w:hAnsi="Times New Roman"/>
          <w:sz w:val="28"/>
          <w:szCs w:val="28"/>
        </w:rPr>
        <w:t xml:space="preserve">shall be made </w:t>
      </w:r>
      <w:r w:rsidR="001A581E">
        <w:rPr>
          <w:rFonts w:ascii="Times New Roman" w:hAnsi="Times New Roman"/>
          <w:sz w:val="28"/>
          <w:szCs w:val="28"/>
        </w:rPr>
        <w:t>and provides for extending th</w:t>
      </w:r>
      <w:r w:rsidR="007E2745">
        <w:rPr>
          <w:rFonts w:ascii="Times New Roman" w:hAnsi="Times New Roman"/>
          <w:sz w:val="28"/>
          <w:szCs w:val="28"/>
        </w:rPr>
        <w:t>at</w:t>
      </w:r>
      <w:r w:rsidR="00C21B95">
        <w:rPr>
          <w:rFonts w:ascii="Times New Roman" w:hAnsi="Times New Roman"/>
          <w:sz w:val="28"/>
          <w:szCs w:val="28"/>
        </w:rPr>
        <w:t xml:space="preserve"> period on good cause w</w:t>
      </w:r>
      <w:r w:rsidR="001953B9">
        <w:rPr>
          <w:rFonts w:ascii="Times New Roman" w:hAnsi="Times New Roman"/>
          <w:sz w:val="28"/>
          <w:szCs w:val="28"/>
        </w:rPr>
        <w:t xml:space="preserve">hile </w:t>
      </w:r>
      <w:r w:rsidR="000901EF">
        <w:rPr>
          <w:rFonts w:ascii="Times New Roman" w:hAnsi="Times New Roman"/>
          <w:sz w:val="28"/>
          <w:szCs w:val="28"/>
        </w:rPr>
        <w:t xml:space="preserve">the latter deems an appeal to have lapsed if not </w:t>
      </w:r>
      <w:r w:rsidR="000941DA">
        <w:rPr>
          <w:rFonts w:ascii="Times New Roman" w:hAnsi="Times New Roman"/>
          <w:sz w:val="28"/>
          <w:szCs w:val="28"/>
        </w:rPr>
        <w:t xml:space="preserve">duly </w:t>
      </w:r>
      <w:r w:rsidR="000901EF">
        <w:rPr>
          <w:rFonts w:ascii="Times New Roman" w:hAnsi="Times New Roman"/>
          <w:sz w:val="28"/>
          <w:szCs w:val="28"/>
        </w:rPr>
        <w:t>prosecuted</w:t>
      </w:r>
      <w:r w:rsidR="000941DA">
        <w:rPr>
          <w:rFonts w:ascii="Times New Roman" w:hAnsi="Times New Roman"/>
          <w:sz w:val="28"/>
          <w:szCs w:val="28"/>
        </w:rPr>
        <w:t xml:space="preserve">. </w:t>
      </w:r>
      <w:r w:rsidR="007E2745">
        <w:rPr>
          <w:rFonts w:ascii="Times New Roman" w:hAnsi="Times New Roman"/>
          <w:sz w:val="28"/>
          <w:szCs w:val="28"/>
        </w:rPr>
        <w:t xml:space="preserve">Although rule 49 </w:t>
      </w:r>
      <w:r w:rsidR="004F14E5">
        <w:rPr>
          <w:rFonts w:ascii="Times New Roman" w:hAnsi="Times New Roman"/>
          <w:sz w:val="28"/>
          <w:szCs w:val="28"/>
        </w:rPr>
        <w:t xml:space="preserve">is a standalone rule that </w:t>
      </w:r>
      <w:r w:rsidR="007E2745">
        <w:rPr>
          <w:rFonts w:ascii="Times New Roman" w:hAnsi="Times New Roman"/>
          <w:sz w:val="28"/>
          <w:szCs w:val="28"/>
        </w:rPr>
        <w:t xml:space="preserve">uniformly deals with </w:t>
      </w:r>
      <w:r w:rsidR="004F14E5">
        <w:rPr>
          <w:rFonts w:ascii="Times New Roman" w:hAnsi="Times New Roman"/>
          <w:sz w:val="28"/>
          <w:szCs w:val="28"/>
        </w:rPr>
        <w:t>the procedure for</w:t>
      </w:r>
      <w:r w:rsidR="009539B5">
        <w:rPr>
          <w:rFonts w:ascii="Times New Roman" w:hAnsi="Times New Roman"/>
          <w:sz w:val="28"/>
          <w:szCs w:val="28"/>
        </w:rPr>
        <w:t> </w:t>
      </w:r>
      <w:r w:rsidR="007E2745">
        <w:rPr>
          <w:rFonts w:ascii="Times New Roman" w:hAnsi="Times New Roman"/>
          <w:sz w:val="28"/>
          <w:szCs w:val="28"/>
        </w:rPr>
        <w:t xml:space="preserve">appeals from the high court, the </w:t>
      </w:r>
      <w:r w:rsidR="007E2745">
        <w:rPr>
          <w:rFonts w:ascii="Times New Roman" w:hAnsi="Times New Roman"/>
          <w:sz w:val="28"/>
          <w:szCs w:val="28"/>
        </w:rPr>
        <w:lastRenderedPageBreak/>
        <w:t xml:space="preserve">subrules are </w:t>
      </w:r>
      <w:r w:rsidR="001E06BE">
        <w:rPr>
          <w:rFonts w:ascii="Times New Roman" w:hAnsi="Times New Roman"/>
          <w:sz w:val="28"/>
          <w:szCs w:val="28"/>
        </w:rPr>
        <w:t xml:space="preserve">– as </w:t>
      </w:r>
      <w:r w:rsidR="004F14E5">
        <w:rPr>
          <w:rFonts w:ascii="Times New Roman" w:hAnsi="Times New Roman"/>
          <w:sz w:val="28"/>
          <w:szCs w:val="28"/>
        </w:rPr>
        <w:t xml:space="preserve">between themselves </w:t>
      </w:r>
      <w:r w:rsidR="001E06BE">
        <w:rPr>
          <w:rFonts w:ascii="Times New Roman" w:hAnsi="Times New Roman"/>
          <w:sz w:val="28"/>
          <w:szCs w:val="28"/>
        </w:rPr>
        <w:t xml:space="preserve">– </w:t>
      </w:r>
      <w:r w:rsidR="007E2745">
        <w:rPr>
          <w:rFonts w:ascii="Times New Roman" w:hAnsi="Times New Roman"/>
          <w:sz w:val="28"/>
          <w:szCs w:val="28"/>
        </w:rPr>
        <w:t xml:space="preserve">distinguishable since they deal with </w:t>
      </w:r>
      <w:r w:rsidR="00695205">
        <w:rPr>
          <w:rFonts w:ascii="Times New Roman" w:hAnsi="Times New Roman"/>
          <w:sz w:val="28"/>
          <w:szCs w:val="28"/>
        </w:rPr>
        <w:t>discrete</w:t>
      </w:r>
      <w:r w:rsidR="001E7E0A">
        <w:rPr>
          <w:rFonts w:ascii="Times New Roman" w:hAnsi="Times New Roman"/>
          <w:sz w:val="28"/>
          <w:szCs w:val="28"/>
        </w:rPr>
        <w:t xml:space="preserve"> stages of th</w:t>
      </w:r>
      <w:r w:rsidR="001E06BE">
        <w:rPr>
          <w:rFonts w:ascii="Times New Roman" w:hAnsi="Times New Roman"/>
          <w:sz w:val="28"/>
          <w:szCs w:val="28"/>
        </w:rPr>
        <w:t>e</w:t>
      </w:r>
      <w:r w:rsidR="001E7E0A">
        <w:rPr>
          <w:rFonts w:ascii="Times New Roman" w:hAnsi="Times New Roman"/>
          <w:sz w:val="28"/>
          <w:szCs w:val="28"/>
        </w:rPr>
        <w:t xml:space="preserve"> appeal process.</w:t>
      </w:r>
      <w:r w:rsidR="00A137FA">
        <w:rPr>
          <w:rFonts w:ascii="Times New Roman" w:hAnsi="Times New Roman"/>
          <w:sz w:val="28"/>
          <w:szCs w:val="28"/>
        </w:rPr>
        <w:t xml:space="preserve"> </w:t>
      </w:r>
      <w:r w:rsidR="0011177C">
        <w:rPr>
          <w:rFonts w:ascii="Times New Roman" w:hAnsi="Times New Roman"/>
          <w:sz w:val="28"/>
          <w:szCs w:val="28"/>
        </w:rPr>
        <w:t>O</w:t>
      </w:r>
      <w:r w:rsidR="00A137FA">
        <w:rPr>
          <w:rFonts w:ascii="Times New Roman" w:hAnsi="Times New Roman"/>
          <w:sz w:val="28"/>
          <w:szCs w:val="28"/>
        </w:rPr>
        <w:t xml:space="preserve">n the premise that the </w:t>
      </w:r>
      <w:r w:rsidR="0011177C">
        <w:rPr>
          <w:rFonts w:ascii="Times New Roman" w:hAnsi="Times New Roman"/>
          <w:sz w:val="28"/>
          <w:szCs w:val="28"/>
        </w:rPr>
        <w:t xml:space="preserve">legislature (in this instance, the rules board) chose its words carefully to make its intention clear, the applicant </w:t>
      </w:r>
      <w:r w:rsidR="00C73FCC">
        <w:rPr>
          <w:rFonts w:ascii="Times New Roman" w:hAnsi="Times New Roman"/>
          <w:sz w:val="28"/>
          <w:szCs w:val="28"/>
        </w:rPr>
        <w:t xml:space="preserve">submits </w:t>
      </w:r>
      <w:r w:rsidR="0011177C">
        <w:rPr>
          <w:rFonts w:ascii="Times New Roman" w:hAnsi="Times New Roman"/>
          <w:sz w:val="28"/>
          <w:szCs w:val="28"/>
        </w:rPr>
        <w:t>that</w:t>
      </w:r>
      <w:r w:rsidR="001E06BE">
        <w:rPr>
          <w:rFonts w:ascii="Times New Roman" w:hAnsi="Times New Roman"/>
          <w:sz w:val="28"/>
          <w:szCs w:val="28"/>
        </w:rPr>
        <w:t xml:space="preserve"> it was never intended </w:t>
      </w:r>
      <w:r w:rsidR="00F81887">
        <w:rPr>
          <w:rFonts w:ascii="Times New Roman" w:hAnsi="Times New Roman"/>
          <w:sz w:val="28"/>
          <w:szCs w:val="28"/>
        </w:rPr>
        <w:t xml:space="preserve">that the right of appeal would lapse despite late lodgement of </w:t>
      </w:r>
      <w:r w:rsidR="00DF31ED">
        <w:rPr>
          <w:rFonts w:ascii="Times New Roman" w:hAnsi="Times New Roman"/>
          <w:sz w:val="28"/>
          <w:szCs w:val="28"/>
        </w:rPr>
        <w:t>a</w:t>
      </w:r>
      <w:r w:rsidR="00F81887">
        <w:rPr>
          <w:rFonts w:ascii="Times New Roman" w:hAnsi="Times New Roman"/>
          <w:sz w:val="28"/>
          <w:szCs w:val="28"/>
        </w:rPr>
        <w:t>n</w:t>
      </w:r>
      <w:r w:rsidR="00DF31ED">
        <w:rPr>
          <w:rFonts w:ascii="Times New Roman" w:hAnsi="Times New Roman"/>
          <w:sz w:val="28"/>
          <w:szCs w:val="28"/>
        </w:rPr>
        <w:t xml:space="preserve"> application for leave to appeal particularly where the subrule expressly </w:t>
      </w:r>
      <w:r w:rsidR="001A2464">
        <w:rPr>
          <w:rFonts w:ascii="Times New Roman" w:hAnsi="Times New Roman"/>
          <w:sz w:val="28"/>
          <w:szCs w:val="28"/>
        </w:rPr>
        <w:t xml:space="preserve">endorses an </w:t>
      </w:r>
      <w:r w:rsidR="00DF31ED">
        <w:rPr>
          <w:rFonts w:ascii="Times New Roman" w:hAnsi="Times New Roman"/>
          <w:sz w:val="28"/>
          <w:szCs w:val="28"/>
        </w:rPr>
        <w:t>extension on good cause being shown.</w:t>
      </w:r>
      <w:r w:rsidR="00C73FCC">
        <w:rPr>
          <w:rFonts w:ascii="Times New Roman" w:hAnsi="Times New Roman"/>
          <w:sz w:val="28"/>
          <w:szCs w:val="28"/>
        </w:rPr>
        <w:t xml:space="preserve"> As I understand the submission, the language of the </w:t>
      </w:r>
      <w:r w:rsidR="00237BFD">
        <w:rPr>
          <w:rFonts w:ascii="Times New Roman" w:hAnsi="Times New Roman"/>
          <w:sz w:val="28"/>
          <w:szCs w:val="28"/>
        </w:rPr>
        <w:t>sub</w:t>
      </w:r>
      <w:r w:rsidR="00C73FCC">
        <w:rPr>
          <w:rFonts w:ascii="Times New Roman" w:hAnsi="Times New Roman"/>
          <w:sz w:val="28"/>
          <w:szCs w:val="28"/>
        </w:rPr>
        <w:t>rule should be read in its ordinary sense and where it is clear</w:t>
      </w:r>
      <w:r w:rsidR="00BD4DCC">
        <w:rPr>
          <w:rFonts w:ascii="Times New Roman" w:hAnsi="Times New Roman"/>
          <w:sz w:val="28"/>
          <w:szCs w:val="28"/>
        </w:rPr>
        <w:t>,</w:t>
      </w:r>
      <w:r w:rsidR="00C73FCC">
        <w:rPr>
          <w:rFonts w:ascii="Times New Roman" w:hAnsi="Times New Roman"/>
          <w:sz w:val="28"/>
          <w:szCs w:val="28"/>
        </w:rPr>
        <w:t xml:space="preserve"> a court should not depart from what is contemplated by the natural and ordinary meaning of the words</w:t>
      </w:r>
      <w:r w:rsidR="001C71B7">
        <w:rPr>
          <w:rFonts w:ascii="Times New Roman" w:hAnsi="Times New Roman"/>
          <w:sz w:val="28"/>
          <w:szCs w:val="28"/>
        </w:rPr>
        <w:t>.</w:t>
      </w:r>
      <w:r w:rsidR="001C71B7">
        <w:rPr>
          <w:rStyle w:val="FootnoteReference"/>
          <w:rFonts w:ascii="Times New Roman" w:hAnsi="Times New Roman"/>
          <w:sz w:val="28"/>
          <w:szCs w:val="28"/>
        </w:rPr>
        <w:footnoteReference w:id="13"/>
      </w:r>
    </w:p>
    <w:p w14:paraId="193F6BC7" w14:textId="6F541000" w:rsidR="00C26D21"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3D3723">
        <w:rPr>
          <w:rFonts w:ascii="Times New Roman" w:hAnsi="Times New Roman"/>
          <w:sz w:val="28"/>
          <w:szCs w:val="28"/>
        </w:rPr>
        <w:t xml:space="preserve">Referring </w:t>
      </w:r>
      <w:r w:rsidR="009A4066">
        <w:rPr>
          <w:rFonts w:ascii="Times New Roman" w:hAnsi="Times New Roman"/>
          <w:sz w:val="28"/>
          <w:szCs w:val="28"/>
        </w:rPr>
        <w:t>by comparison</w:t>
      </w:r>
      <w:r w:rsidR="003D3723">
        <w:rPr>
          <w:rFonts w:ascii="Times New Roman" w:hAnsi="Times New Roman"/>
          <w:sz w:val="28"/>
          <w:szCs w:val="28"/>
        </w:rPr>
        <w:t xml:space="preserve"> to rule 8(3) of the rules o</w:t>
      </w:r>
      <w:r w:rsidR="009A4066">
        <w:rPr>
          <w:rFonts w:ascii="Times New Roman" w:hAnsi="Times New Roman"/>
          <w:sz w:val="28"/>
          <w:szCs w:val="28"/>
        </w:rPr>
        <w:t>f the Supreme Court of Appeal, the applicant submitted</w:t>
      </w:r>
      <w:r w:rsidR="003D3723">
        <w:rPr>
          <w:rFonts w:ascii="Times New Roman" w:hAnsi="Times New Roman"/>
          <w:sz w:val="28"/>
          <w:szCs w:val="28"/>
        </w:rPr>
        <w:t xml:space="preserve"> that </w:t>
      </w:r>
      <w:r w:rsidR="007F1126">
        <w:rPr>
          <w:rFonts w:ascii="Times New Roman" w:hAnsi="Times New Roman"/>
          <w:sz w:val="28"/>
          <w:szCs w:val="28"/>
        </w:rPr>
        <w:t xml:space="preserve">its specific wording </w:t>
      </w:r>
      <w:r w:rsidR="001360E5">
        <w:rPr>
          <w:rFonts w:ascii="Times New Roman" w:hAnsi="Times New Roman"/>
          <w:sz w:val="28"/>
          <w:szCs w:val="28"/>
        </w:rPr>
        <w:t xml:space="preserve">indicating that an appeal ‘shall be deemed to have lapsed’ in the event that an appeal record is not lodged ‘within the prescribed </w:t>
      </w:r>
      <w:r w:rsidR="00CC3344">
        <w:rPr>
          <w:rFonts w:ascii="Times New Roman" w:hAnsi="Times New Roman"/>
          <w:sz w:val="28"/>
          <w:szCs w:val="28"/>
        </w:rPr>
        <w:t xml:space="preserve">period </w:t>
      </w:r>
      <w:r w:rsidR="001360E5">
        <w:rPr>
          <w:rFonts w:ascii="Times New Roman" w:hAnsi="Times New Roman"/>
          <w:sz w:val="28"/>
          <w:szCs w:val="28"/>
        </w:rPr>
        <w:t xml:space="preserve">or within the extended period’, was expressly manifest of </w:t>
      </w:r>
      <w:r w:rsidR="00CC3344">
        <w:rPr>
          <w:rFonts w:ascii="Times New Roman" w:hAnsi="Times New Roman"/>
          <w:sz w:val="28"/>
          <w:szCs w:val="28"/>
        </w:rPr>
        <w:t xml:space="preserve">the intended consequence contemplated by the rules board. </w:t>
      </w:r>
    </w:p>
    <w:p w14:paraId="3116751B" w14:textId="1FE35582" w:rsidR="002B5C94" w:rsidRPr="003058B9" w:rsidRDefault="004414A7" w:rsidP="004414A7">
      <w:pPr>
        <w:pStyle w:val="LegalList1"/>
        <w:spacing w:after="0" w:line="360" w:lineRule="auto"/>
        <w:rPr>
          <w:rFonts w:ascii="Times New Roman" w:hAnsi="Times New Roman"/>
          <w:sz w:val="28"/>
          <w:szCs w:val="28"/>
        </w:rPr>
      </w:pPr>
      <w:r w:rsidRPr="003058B9">
        <w:rPr>
          <w:rFonts w:ascii="Times New Roman" w:hAnsi="Times New Roman"/>
          <w:sz w:val="28"/>
          <w:szCs w:val="28"/>
        </w:rPr>
        <w:t>[32]</w:t>
      </w:r>
      <w:r w:rsidRPr="003058B9">
        <w:rPr>
          <w:rFonts w:ascii="Times New Roman" w:hAnsi="Times New Roman"/>
          <w:sz w:val="28"/>
          <w:szCs w:val="28"/>
        </w:rPr>
        <w:tab/>
      </w:r>
      <w:r w:rsidR="00C26D21" w:rsidRPr="003058B9">
        <w:rPr>
          <w:rFonts w:ascii="Times New Roman" w:hAnsi="Times New Roman"/>
          <w:sz w:val="28"/>
          <w:szCs w:val="28"/>
        </w:rPr>
        <w:t>The applicant’s a</w:t>
      </w:r>
      <w:r w:rsidR="00C969F4" w:rsidRPr="003058B9">
        <w:rPr>
          <w:rFonts w:ascii="Times New Roman" w:hAnsi="Times New Roman"/>
          <w:sz w:val="28"/>
          <w:szCs w:val="28"/>
        </w:rPr>
        <w:t>rgument is not without traction</w:t>
      </w:r>
      <w:r w:rsidR="00C26D21" w:rsidRPr="003058B9">
        <w:rPr>
          <w:rFonts w:ascii="Times New Roman" w:hAnsi="Times New Roman"/>
          <w:sz w:val="28"/>
          <w:szCs w:val="28"/>
        </w:rPr>
        <w:t xml:space="preserve"> and </w:t>
      </w:r>
      <w:r w:rsidR="00C969F4" w:rsidRPr="003058B9">
        <w:rPr>
          <w:rFonts w:ascii="Times New Roman" w:hAnsi="Times New Roman"/>
          <w:sz w:val="28"/>
          <w:szCs w:val="28"/>
        </w:rPr>
        <w:t xml:space="preserve">it </w:t>
      </w:r>
      <w:r w:rsidR="00C26D21" w:rsidRPr="003058B9">
        <w:rPr>
          <w:rFonts w:ascii="Times New Roman" w:hAnsi="Times New Roman"/>
          <w:sz w:val="28"/>
          <w:szCs w:val="28"/>
        </w:rPr>
        <w:t>is indeed the feature</w:t>
      </w:r>
      <w:r w:rsidR="00F17045" w:rsidRPr="003058B9">
        <w:rPr>
          <w:rFonts w:ascii="Times New Roman" w:hAnsi="Times New Roman"/>
          <w:sz w:val="28"/>
          <w:szCs w:val="28"/>
        </w:rPr>
        <w:t xml:space="preserve"> that distinguishes the present matter from</w:t>
      </w:r>
      <w:r w:rsidR="008B0242" w:rsidRPr="003058B9">
        <w:rPr>
          <w:rFonts w:ascii="Times New Roman" w:hAnsi="Times New Roman"/>
          <w:sz w:val="28"/>
          <w:szCs w:val="28"/>
        </w:rPr>
        <w:t xml:space="preserve"> the </w:t>
      </w:r>
      <w:r w:rsidR="00237BFD">
        <w:rPr>
          <w:rFonts w:ascii="Times New Roman" w:hAnsi="Times New Roman"/>
          <w:sz w:val="28"/>
          <w:szCs w:val="28"/>
        </w:rPr>
        <w:t xml:space="preserve">material relied </w:t>
      </w:r>
      <w:r w:rsidR="008B0242" w:rsidRPr="003058B9">
        <w:rPr>
          <w:rFonts w:ascii="Times New Roman" w:hAnsi="Times New Roman"/>
          <w:sz w:val="28"/>
          <w:szCs w:val="28"/>
        </w:rPr>
        <w:t>upon by the respondent.</w:t>
      </w:r>
      <w:r w:rsidR="00A974C5" w:rsidRPr="003058B9">
        <w:rPr>
          <w:rFonts w:ascii="Times New Roman" w:hAnsi="Times New Roman"/>
          <w:sz w:val="28"/>
          <w:szCs w:val="28"/>
        </w:rPr>
        <w:t xml:space="preserve"> It is prudent to </w:t>
      </w:r>
      <w:r w:rsidR="00C969F4" w:rsidRPr="003058B9">
        <w:rPr>
          <w:rFonts w:ascii="Times New Roman" w:hAnsi="Times New Roman"/>
          <w:sz w:val="28"/>
          <w:szCs w:val="28"/>
        </w:rPr>
        <w:t>take not</w:t>
      </w:r>
      <w:r w:rsidR="00C044A0" w:rsidRPr="003058B9">
        <w:rPr>
          <w:rFonts w:ascii="Times New Roman" w:hAnsi="Times New Roman"/>
          <w:sz w:val="28"/>
          <w:szCs w:val="28"/>
        </w:rPr>
        <w:t>e</w:t>
      </w:r>
      <w:r w:rsidR="00C969F4" w:rsidRPr="003058B9">
        <w:rPr>
          <w:rFonts w:ascii="Times New Roman" w:hAnsi="Times New Roman"/>
          <w:sz w:val="28"/>
          <w:szCs w:val="28"/>
        </w:rPr>
        <w:t xml:space="preserve"> of </w:t>
      </w:r>
      <w:r w:rsidR="00A974C5" w:rsidRPr="003058B9">
        <w:rPr>
          <w:rFonts w:ascii="Times New Roman" w:hAnsi="Times New Roman"/>
          <w:sz w:val="28"/>
          <w:szCs w:val="28"/>
        </w:rPr>
        <w:t xml:space="preserve">the </w:t>
      </w:r>
      <w:r w:rsidR="00C969F4" w:rsidRPr="003058B9">
        <w:rPr>
          <w:rFonts w:ascii="Times New Roman" w:hAnsi="Times New Roman"/>
          <w:sz w:val="28"/>
          <w:szCs w:val="28"/>
        </w:rPr>
        <w:t xml:space="preserve">regulatory </w:t>
      </w:r>
      <w:r w:rsidR="00A974C5" w:rsidRPr="003058B9">
        <w:rPr>
          <w:rFonts w:ascii="Times New Roman" w:hAnsi="Times New Roman"/>
          <w:sz w:val="28"/>
          <w:szCs w:val="28"/>
        </w:rPr>
        <w:t xml:space="preserve">mechanism </w:t>
      </w:r>
      <w:r w:rsidR="005435C1" w:rsidRPr="003058B9">
        <w:rPr>
          <w:rFonts w:ascii="Times New Roman" w:hAnsi="Times New Roman"/>
          <w:sz w:val="28"/>
          <w:szCs w:val="28"/>
        </w:rPr>
        <w:t>in rule 49(17). It provides that in the case of appeals to the full court in terms of the provisions of a statute in which the procedure to be followed is laid down, rule 49 is applicable in so far as</w:t>
      </w:r>
      <w:r w:rsidR="004F17D2" w:rsidRPr="003058B9">
        <w:rPr>
          <w:rFonts w:ascii="Times New Roman" w:hAnsi="Times New Roman"/>
          <w:sz w:val="28"/>
          <w:szCs w:val="28"/>
        </w:rPr>
        <w:t xml:space="preserve"> provision is made for matters not regulated </w:t>
      </w:r>
      <w:r w:rsidR="00590984">
        <w:rPr>
          <w:rFonts w:ascii="Times New Roman" w:hAnsi="Times New Roman"/>
          <w:sz w:val="28"/>
          <w:szCs w:val="28"/>
        </w:rPr>
        <w:t xml:space="preserve">by </w:t>
      </w:r>
      <w:r w:rsidR="004F17D2" w:rsidRPr="003058B9">
        <w:rPr>
          <w:rFonts w:ascii="Times New Roman" w:hAnsi="Times New Roman"/>
          <w:sz w:val="28"/>
          <w:szCs w:val="28"/>
        </w:rPr>
        <w:t xml:space="preserve">the statute. </w:t>
      </w:r>
      <w:r w:rsidR="00CA3E5F" w:rsidRPr="003058B9">
        <w:rPr>
          <w:rFonts w:ascii="Times New Roman" w:hAnsi="Times New Roman"/>
          <w:sz w:val="28"/>
          <w:szCs w:val="28"/>
        </w:rPr>
        <w:t xml:space="preserve">It has been pointed out earlier that the Act does not regulate the appeal procedure from a single judge to a full court of a division of the high court. </w:t>
      </w:r>
      <w:r w:rsidR="004F17D2" w:rsidRPr="003058B9">
        <w:rPr>
          <w:rFonts w:ascii="Times New Roman" w:hAnsi="Times New Roman"/>
          <w:sz w:val="28"/>
          <w:szCs w:val="28"/>
        </w:rPr>
        <w:t>Rule 49 deals</w:t>
      </w:r>
      <w:r w:rsidR="0093364C">
        <w:rPr>
          <w:rFonts w:ascii="Times New Roman" w:hAnsi="Times New Roman"/>
          <w:sz w:val="28"/>
          <w:szCs w:val="28"/>
        </w:rPr>
        <w:t> </w:t>
      </w:r>
      <w:r w:rsidR="004F17D2" w:rsidRPr="003058B9">
        <w:rPr>
          <w:rFonts w:ascii="Times New Roman" w:hAnsi="Times New Roman"/>
          <w:sz w:val="28"/>
          <w:szCs w:val="28"/>
        </w:rPr>
        <w:t>only</w:t>
      </w:r>
      <w:r w:rsidR="0093364C">
        <w:rPr>
          <w:rFonts w:ascii="Times New Roman" w:hAnsi="Times New Roman"/>
          <w:sz w:val="28"/>
          <w:szCs w:val="28"/>
        </w:rPr>
        <w:t xml:space="preserve"> </w:t>
      </w:r>
      <w:r w:rsidR="004F17D2" w:rsidRPr="003058B9">
        <w:rPr>
          <w:rFonts w:ascii="Times New Roman" w:hAnsi="Times New Roman"/>
          <w:sz w:val="28"/>
          <w:szCs w:val="28"/>
        </w:rPr>
        <w:t xml:space="preserve">with purely procedural aspects of </w:t>
      </w:r>
      <w:r w:rsidR="005815AB" w:rsidRPr="003058B9">
        <w:rPr>
          <w:rFonts w:ascii="Times New Roman" w:hAnsi="Times New Roman"/>
          <w:sz w:val="28"/>
          <w:szCs w:val="28"/>
        </w:rPr>
        <w:t xml:space="preserve">civil appeals from the high court. </w:t>
      </w:r>
      <w:r w:rsidR="00B92932" w:rsidRPr="003058B9">
        <w:rPr>
          <w:rFonts w:ascii="Times New Roman" w:hAnsi="Times New Roman"/>
          <w:sz w:val="28"/>
          <w:szCs w:val="28"/>
        </w:rPr>
        <w:t>T</w:t>
      </w:r>
      <w:r w:rsidR="005815AB" w:rsidRPr="003058B9">
        <w:rPr>
          <w:rFonts w:ascii="Times New Roman" w:hAnsi="Times New Roman"/>
          <w:sz w:val="28"/>
          <w:szCs w:val="28"/>
        </w:rPr>
        <w:t xml:space="preserve">he substantive law </w:t>
      </w:r>
      <w:r w:rsidR="00B92932" w:rsidRPr="003058B9">
        <w:rPr>
          <w:rFonts w:ascii="Times New Roman" w:hAnsi="Times New Roman"/>
          <w:sz w:val="28"/>
          <w:szCs w:val="28"/>
        </w:rPr>
        <w:t>is located in the Act and is in respect of:</w:t>
      </w:r>
    </w:p>
    <w:p w14:paraId="45974F0C" w14:textId="77777777" w:rsidR="00B92932" w:rsidRDefault="00B92932" w:rsidP="009D45C0">
      <w:pPr>
        <w:pStyle w:val="LegalList1"/>
        <w:spacing w:after="0" w:line="360" w:lineRule="auto"/>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t>the system of appeals and appeals generally (section 16);</w:t>
      </w:r>
    </w:p>
    <w:p w14:paraId="58C048B7" w14:textId="77777777" w:rsidR="00B92932" w:rsidRDefault="00B92932" w:rsidP="009D45C0">
      <w:pPr>
        <w:pStyle w:val="LegalList1"/>
        <w:spacing w:after="0" w:line="360" w:lineRule="auto"/>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leave to appeal (section 17); and</w:t>
      </w:r>
    </w:p>
    <w:p w14:paraId="63B267A6" w14:textId="77777777" w:rsidR="009C5DFA" w:rsidRDefault="00B92932" w:rsidP="002B5C94">
      <w:pPr>
        <w:pStyle w:val="LegalList1"/>
        <w:spacing w:line="360" w:lineRule="auto"/>
        <w:ind w:left="720" w:hanging="720"/>
        <w:rPr>
          <w:rFonts w:ascii="Times New Roman" w:hAnsi="Times New Roman"/>
          <w:sz w:val="28"/>
          <w:szCs w:val="28"/>
        </w:rPr>
      </w:pPr>
      <w:r>
        <w:rPr>
          <w:rFonts w:ascii="Times New Roman" w:hAnsi="Times New Roman"/>
          <w:sz w:val="28"/>
          <w:szCs w:val="28"/>
        </w:rPr>
        <w:lastRenderedPageBreak/>
        <w:t>(c)</w:t>
      </w:r>
      <w:r>
        <w:rPr>
          <w:rFonts w:ascii="Times New Roman" w:hAnsi="Times New Roman"/>
          <w:sz w:val="28"/>
          <w:szCs w:val="28"/>
        </w:rPr>
        <w:tab/>
      </w:r>
      <w:r w:rsidR="009C5DFA">
        <w:rPr>
          <w:rFonts w:ascii="Times New Roman" w:hAnsi="Times New Roman"/>
          <w:sz w:val="28"/>
          <w:szCs w:val="28"/>
        </w:rPr>
        <w:t>suspension of a decision pending an application for leave to appeal or of an appeal (section 18)</w:t>
      </w:r>
      <w:r w:rsidR="004E3A6A">
        <w:rPr>
          <w:rFonts w:ascii="Times New Roman" w:hAnsi="Times New Roman"/>
          <w:sz w:val="28"/>
          <w:szCs w:val="28"/>
        </w:rPr>
        <w:t>.</w:t>
      </w:r>
    </w:p>
    <w:p w14:paraId="4E3F3CF8" w14:textId="7AC9843F" w:rsidR="00D01A8B"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C044A0">
        <w:rPr>
          <w:rFonts w:ascii="Times New Roman" w:hAnsi="Times New Roman"/>
          <w:sz w:val="28"/>
          <w:szCs w:val="28"/>
        </w:rPr>
        <w:t>T</w:t>
      </w:r>
      <w:r w:rsidR="005145B1">
        <w:rPr>
          <w:rFonts w:ascii="Times New Roman" w:hAnsi="Times New Roman"/>
          <w:sz w:val="28"/>
          <w:szCs w:val="28"/>
        </w:rPr>
        <w:t xml:space="preserve">he </w:t>
      </w:r>
      <w:r w:rsidR="008B0242">
        <w:rPr>
          <w:rFonts w:ascii="Times New Roman" w:hAnsi="Times New Roman"/>
          <w:sz w:val="28"/>
          <w:szCs w:val="28"/>
        </w:rPr>
        <w:t>upshot</w:t>
      </w:r>
      <w:r w:rsidR="009C38C5">
        <w:rPr>
          <w:rFonts w:ascii="Times New Roman" w:hAnsi="Times New Roman"/>
          <w:sz w:val="28"/>
          <w:szCs w:val="28"/>
        </w:rPr>
        <w:t xml:space="preserve"> of the </w:t>
      </w:r>
      <w:r w:rsidR="005145B1">
        <w:rPr>
          <w:rFonts w:ascii="Times New Roman" w:hAnsi="Times New Roman"/>
          <w:sz w:val="28"/>
          <w:szCs w:val="28"/>
        </w:rPr>
        <w:t xml:space="preserve">applicant’s </w:t>
      </w:r>
      <w:r w:rsidR="009C38C5">
        <w:rPr>
          <w:rFonts w:ascii="Times New Roman" w:hAnsi="Times New Roman"/>
          <w:sz w:val="28"/>
          <w:szCs w:val="28"/>
        </w:rPr>
        <w:t>arg</w:t>
      </w:r>
      <w:r w:rsidR="002B0500">
        <w:rPr>
          <w:rFonts w:ascii="Times New Roman" w:hAnsi="Times New Roman"/>
          <w:sz w:val="28"/>
          <w:szCs w:val="28"/>
        </w:rPr>
        <w:t>u</w:t>
      </w:r>
      <w:r w:rsidR="009C38C5">
        <w:rPr>
          <w:rFonts w:ascii="Times New Roman" w:hAnsi="Times New Roman"/>
          <w:sz w:val="28"/>
          <w:szCs w:val="28"/>
        </w:rPr>
        <w:t>ment,</w:t>
      </w:r>
      <w:r w:rsidR="00DB03B1">
        <w:rPr>
          <w:rFonts w:ascii="Times New Roman" w:hAnsi="Times New Roman"/>
          <w:sz w:val="28"/>
          <w:szCs w:val="28"/>
        </w:rPr>
        <w:t xml:space="preserve"> </w:t>
      </w:r>
      <w:r w:rsidR="00DF63AB">
        <w:rPr>
          <w:rFonts w:ascii="Times New Roman" w:hAnsi="Times New Roman"/>
          <w:sz w:val="28"/>
          <w:szCs w:val="28"/>
        </w:rPr>
        <w:t>plainly</w:t>
      </w:r>
      <w:r w:rsidR="00DB03B1">
        <w:rPr>
          <w:rFonts w:ascii="Times New Roman" w:hAnsi="Times New Roman"/>
          <w:sz w:val="28"/>
          <w:szCs w:val="28"/>
        </w:rPr>
        <w:t>, is that the belated lodging of the application for leave to appeal</w:t>
      </w:r>
      <w:r w:rsidR="00985199">
        <w:rPr>
          <w:rFonts w:ascii="Times New Roman" w:hAnsi="Times New Roman"/>
          <w:sz w:val="28"/>
          <w:szCs w:val="28"/>
        </w:rPr>
        <w:t xml:space="preserve"> did not result in the </w:t>
      </w:r>
      <w:r w:rsidR="008F7D51">
        <w:rPr>
          <w:rFonts w:ascii="Times New Roman" w:hAnsi="Times New Roman"/>
          <w:sz w:val="28"/>
          <w:szCs w:val="28"/>
        </w:rPr>
        <w:t xml:space="preserve">applicant’s </w:t>
      </w:r>
      <w:r w:rsidR="00985199">
        <w:rPr>
          <w:rFonts w:ascii="Times New Roman" w:hAnsi="Times New Roman"/>
          <w:sz w:val="28"/>
          <w:szCs w:val="28"/>
        </w:rPr>
        <w:t xml:space="preserve">right of appeal </w:t>
      </w:r>
      <w:r w:rsidR="00F90AC5">
        <w:rPr>
          <w:rFonts w:ascii="Times New Roman" w:hAnsi="Times New Roman"/>
          <w:sz w:val="28"/>
          <w:szCs w:val="28"/>
        </w:rPr>
        <w:t xml:space="preserve">having lapsed </w:t>
      </w:r>
      <w:r w:rsidR="00985199">
        <w:rPr>
          <w:rFonts w:ascii="Times New Roman" w:hAnsi="Times New Roman"/>
          <w:sz w:val="28"/>
          <w:szCs w:val="28"/>
        </w:rPr>
        <w:t>where rule 49(1)(</w:t>
      </w:r>
      <w:r w:rsidR="00985199" w:rsidRPr="009C38C5">
        <w:rPr>
          <w:rFonts w:ascii="Times New Roman" w:hAnsi="Times New Roman"/>
          <w:i/>
          <w:sz w:val="28"/>
          <w:szCs w:val="28"/>
        </w:rPr>
        <w:t>b</w:t>
      </w:r>
      <w:r w:rsidR="00985199">
        <w:rPr>
          <w:rFonts w:ascii="Times New Roman" w:hAnsi="Times New Roman"/>
          <w:sz w:val="28"/>
          <w:szCs w:val="28"/>
        </w:rPr>
        <w:t>)</w:t>
      </w:r>
      <w:r w:rsidR="008F7D51">
        <w:rPr>
          <w:rFonts w:ascii="Times New Roman" w:hAnsi="Times New Roman"/>
          <w:sz w:val="28"/>
          <w:szCs w:val="28"/>
        </w:rPr>
        <w:t xml:space="preserve"> makes no express reference to that consequence. </w:t>
      </w:r>
      <w:r w:rsidR="001F0F83">
        <w:rPr>
          <w:rFonts w:ascii="Times New Roman" w:hAnsi="Times New Roman"/>
          <w:sz w:val="28"/>
          <w:szCs w:val="28"/>
        </w:rPr>
        <w:t>Nor</w:t>
      </w:r>
      <w:r w:rsidR="006C2FA7">
        <w:rPr>
          <w:rFonts w:ascii="Times New Roman" w:hAnsi="Times New Roman"/>
          <w:sz w:val="28"/>
          <w:szCs w:val="28"/>
        </w:rPr>
        <w:t>, if I might add, does the Act. I</w:t>
      </w:r>
      <w:r w:rsidR="00430DFD">
        <w:rPr>
          <w:rFonts w:ascii="Times New Roman" w:hAnsi="Times New Roman"/>
          <w:sz w:val="28"/>
          <w:szCs w:val="28"/>
        </w:rPr>
        <w:t xml:space="preserve">t </w:t>
      </w:r>
      <w:r w:rsidR="006C2FA7">
        <w:rPr>
          <w:rFonts w:ascii="Times New Roman" w:hAnsi="Times New Roman"/>
          <w:sz w:val="28"/>
          <w:szCs w:val="28"/>
        </w:rPr>
        <w:t xml:space="preserve">is </w:t>
      </w:r>
      <w:r w:rsidR="00430DFD">
        <w:rPr>
          <w:rFonts w:ascii="Times New Roman" w:hAnsi="Times New Roman"/>
          <w:sz w:val="28"/>
          <w:szCs w:val="28"/>
        </w:rPr>
        <w:t>precisely because Mjali J recognised this</w:t>
      </w:r>
      <w:r w:rsidR="006C2FA7">
        <w:rPr>
          <w:rFonts w:ascii="Times New Roman" w:hAnsi="Times New Roman"/>
          <w:sz w:val="28"/>
          <w:szCs w:val="28"/>
        </w:rPr>
        <w:t>, so the applicant submits,</w:t>
      </w:r>
      <w:r w:rsidR="00430DFD">
        <w:rPr>
          <w:rFonts w:ascii="Times New Roman" w:hAnsi="Times New Roman"/>
          <w:sz w:val="28"/>
          <w:szCs w:val="28"/>
        </w:rPr>
        <w:t xml:space="preserve"> </w:t>
      </w:r>
      <w:r w:rsidR="0085513B">
        <w:rPr>
          <w:rFonts w:ascii="Times New Roman" w:hAnsi="Times New Roman"/>
          <w:sz w:val="28"/>
          <w:szCs w:val="28"/>
        </w:rPr>
        <w:t xml:space="preserve">that she </w:t>
      </w:r>
      <w:r w:rsidR="002B0500">
        <w:rPr>
          <w:rFonts w:ascii="Times New Roman" w:hAnsi="Times New Roman"/>
          <w:sz w:val="28"/>
          <w:szCs w:val="28"/>
        </w:rPr>
        <w:t>postponed</w:t>
      </w:r>
      <w:r w:rsidR="00D979FB">
        <w:rPr>
          <w:rFonts w:ascii="Times New Roman" w:hAnsi="Times New Roman"/>
          <w:sz w:val="28"/>
          <w:szCs w:val="28"/>
        </w:rPr>
        <w:t xml:space="preserve"> the application (coupled with the condonation application)</w:t>
      </w:r>
      <w:r w:rsidR="006C2FA7">
        <w:rPr>
          <w:rFonts w:ascii="Times New Roman" w:hAnsi="Times New Roman"/>
          <w:sz w:val="28"/>
          <w:szCs w:val="28"/>
        </w:rPr>
        <w:t>,</w:t>
      </w:r>
      <w:r w:rsidR="00D979FB">
        <w:rPr>
          <w:rFonts w:ascii="Times New Roman" w:hAnsi="Times New Roman"/>
          <w:sz w:val="28"/>
          <w:szCs w:val="28"/>
        </w:rPr>
        <w:t xml:space="preserve"> </w:t>
      </w:r>
      <w:r w:rsidR="00D979FB" w:rsidRPr="00D979FB">
        <w:rPr>
          <w:rFonts w:ascii="Times New Roman" w:hAnsi="Times New Roman"/>
          <w:i/>
          <w:sz w:val="28"/>
          <w:szCs w:val="28"/>
        </w:rPr>
        <w:t>sine die</w:t>
      </w:r>
      <w:r w:rsidR="00D979FB">
        <w:rPr>
          <w:rFonts w:ascii="Times New Roman" w:hAnsi="Times New Roman"/>
          <w:sz w:val="28"/>
          <w:szCs w:val="28"/>
        </w:rPr>
        <w:t>.</w:t>
      </w:r>
    </w:p>
    <w:p w14:paraId="6B12E4FC" w14:textId="7068AD33" w:rsidR="006C2FA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6C7DF1">
        <w:rPr>
          <w:rFonts w:ascii="Times New Roman" w:hAnsi="Times New Roman"/>
          <w:sz w:val="28"/>
          <w:szCs w:val="28"/>
        </w:rPr>
        <w:t xml:space="preserve">I accordingly hold the view that the applicant’s right to appeal did not lapse </w:t>
      </w:r>
      <w:r w:rsidR="00DF63AB">
        <w:rPr>
          <w:rFonts w:ascii="Times New Roman" w:hAnsi="Times New Roman"/>
          <w:sz w:val="28"/>
          <w:szCs w:val="28"/>
        </w:rPr>
        <w:t>due to</w:t>
      </w:r>
      <w:r w:rsidR="006C7DF1">
        <w:rPr>
          <w:rFonts w:ascii="Times New Roman" w:hAnsi="Times New Roman"/>
          <w:sz w:val="28"/>
          <w:szCs w:val="28"/>
        </w:rPr>
        <w:t xml:space="preserve"> </w:t>
      </w:r>
      <w:r w:rsidR="00BD5AA9">
        <w:rPr>
          <w:rFonts w:ascii="Times New Roman" w:hAnsi="Times New Roman"/>
          <w:sz w:val="28"/>
          <w:szCs w:val="28"/>
        </w:rPr>
        <w:t xml:space="preserve">the late </w:t>
      </w:r>
      <w:r w:rsidR="006C7DF1">
        <w:rPr>
          <w:rFonts w:ascii="Times New Roman" w:hAnsi="Times New Roman"/>
          <w:sz w:val="28"/>
          <w:szCs w:val="28"/>
        </w:rPr>
        <w:t xml:space="preserve">lodgement of the </w:t>
      </w:r>
      <w:r w:rsidR="004B5230">
        <w:rPr>
          <w:rFonts w:ascii="Times New Roman" w:hAnsi="Times New Roman"/>
          <w:sz w:val="28"/>
          <w:szCs w:val="28"/>
        </w:rPr>
        <w:t>application for leave to appeal</w:t>
      </w:r>
      <w:r w:rsidR="00DF63AB">
        <w:rPr>
          <w:rFonts w:ascii="Times New Roman" w:hAnsi="Times New Roman"/>
          <w:sz w:val="28"/>
          <w:szCs w:val="28"/>
        </w:rPr>
        <w:t xml:space="preserve"> and for that reason</w:t>
      </w:r>
      <w:r w:rsidR="004B5230" w:rsidRPr="004B5230">
        <w:rPr>
          <w:rFonts w:ascii="Times New Roman" w:hAnsi="Times New Roman"/>
          <w:sz w:val="28"/>
          <w:szCs w:val="28"/>
        </w:rPr>
        <w:t xml:space="preserve"> </w:t>
      </w:r>
      <w:r w:rsidR="004B5230">
        <w:rPr>
          <w:rFonts w:ascii="Times New Roman" w:hAnsi="Times New Roman"/>
          <w:sz w:val="28"/>
          <w:szCs w:val="28"/>
        </w:rPr>
        <w:t xml:space="preserve">the </w:t>
      </w:r>
      <w:r w:rsidR="001E36A5">
        <w:rPr>
          <w:rFonts w:ascii="Times New Roman" w:hAnsi="Times New Roman"/>
          <w:sz w:val="28"/>
          <w:szCs w:val="28"/>
        </w:rPr>
        <w:t>order</w:t>
      </w:r>
      <w:r w:rsidR="006C2FA7">
        <w:rPr>
          <w:rFonts w:ascii="Times New Roman" w:hAnsi="Times New Roman"/>
          <w:sz w:val="28"/>
          <w:szCs w:val="28"/>
        </w:rPr>
        <w:t xml:space="preserve"> against which leave to appeal is sought is </w:t>
      </w:r>
      <w:r w:rsidR="00DF63AB">
        <w:rPr>
          <w:rFonts w:ascii="Times New Roman" w:hAnsi="Times New Roman"/>
          <w:sz w:val="28"/>
          <w:szCs w:val="28"/>
        </w:rPr>
        <w:t xml:space="preserve">not </w:t>
      </w:r>
      <w:r w:rsidR="006C2FA7">
        <w:rPr>
          <w:rFonts w:ascii="Times New Roman" w:hAnsi="Times New Roman"/>
          <w:sz w:val="28"/>
          <w:szCs w:val="28"/>
        </w:rPr>
        <w:t>excluded from the operative effect of secti</w:t>
      </w:r>
      <w:r w:rsidR="00DF63AB">
        <w:rPr>
          <w:rFonts w:ascii="Times New Roman" w:hAnsi="Times New Roman"/>
          <w:sz w:val="28"/>
          <w:szCs w:val="28"/>
        </w:rPr>
        <w:t xml:space="preserve">on 18(1) of the </w:t>
      </w:r>
      <w:r w:rsidR="006C2FA7">
        <w:rPr>
          <w:rFonts w:ascii="Times New Roman" w:hAnsi="Times New Roman"/>
          <w:sz w:val="28"/>
          <w:szCs w:val="28"/>
        </w:rPr>
        <w:t>Act.</w:t>
      </w:r>
    </w:p>
    <w:p w14:paraId="4EE79128" w14:textId="4E3207F9" w:rsidR="003058B9"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2B5C94">
        <w:rPr>
          <w:rFonts w:ascii="Times New Roman" w:hAnsi="Times New Roman"/>
          <w:sz w:val="28"/>
          <w:szCs w:val="28"/>
        </w:rPr>
        <w:t>The applicant submitted that a finding to this effect dispenses with the necessity to consider</w:t>
      </w:r>
      <w:r w:rsidR="00ED6573">
        <w:rPr>
          <w:rFonts w:ascii="Times New Roman" w:hAnsi="Times New Roman"/>
          <w:sz w:val="28"/>
          <w:szCs w:val="28"/>
        </w:rPr>
        <w:t xml:space="preserve"> its further contentions in support of the relief claimed.</w:t>
      </w:r>
    </w:p>
    <w:p w14:paraId="24B87DE1" w14:textId="7A208F9A" w:rsidR="00C151F0"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2F770A">
        <w:rPr>
          <w:rFonts w:ascii="Times New Roman" w:hAnsi="Times New Roman"/>
          <w:sz w:val="28"/>
          <w:szCs w:val="28"/>
        </w:rPr>
        <w:t>I agree</w:t>
      </w:r>
      <w:r w:rsidR="00C151F0">
        <w:rPr>
          <w:rFonts w:ascii="Times New Roman" w:hAnsi="Times New Roman"/>
          <w:sz w:val="28"/>
          <w:szCs w:val="28"/>
        </w:rPr>
        <w:t>.</w:t>
      </w:r>
    </w:p>
    <w:p w14:paraId="54C1EC1D" w14:textId="4AB41899" w:rsidR="00745E83"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836D19">
        <w:rPr>
          <w:rFonts w:ascii="Times New Roman" w:hAnsi="Times New Roman"/>
          <w:sz w:val="28"/>
          <w:szCs w:val="28"/>
        </w:rPr>
        <w:t>O</w:t>
      </w:r>
      <w:r w:rsidR="00C151F0">
        <w:rPr>
          <w:rFonts w:ascii="Times New Roman" w:hAnsi="Times New Roman"/>
          <w:sz w:val="28"/>
          <w:szCs w:val="28"/>
        </w:rPr>
        <w:t>n reflection,</w:t>
      </w:r>
      <w:r w:rsidR="002F770A">
        <w:rPr>
          <w:rFonts w:ascii="Times New Roman" w:hAnsi="Times New Roman"/>
          <w:sz w:val="28"/>
          <w:szCs w:val="28"/>
        </w:rPr>
        <w:t xml:space="preserve"> it is</w:t>
      </w:r>
      <w:r w:rsidR="00BE02BA">
        <w:rPr>
          <w:rFonts w:ascii="Times New Roman" w:hAnsi="Times New Roman"/>
          <w:sz w:val="28"/>
          <w:szCs w:val="28"/>
        </w:rPr>
        <w:t xml:space="preserve"> </w:t>
      </w:r>
      <w:r w:rsidR="002F770A">
        <w:rPr>
          <w:rFonts w:ascii="Times New Roman" w:hAnsi="Times New Roman"/>
          <w:sz w:val="28"/>
          <w:szCs w:val="28"/>
        </w:rPr>
        <w:t xml:space="preserve">perhaps </w:t>
      </w:r>
      <w:r w:rsidR="00865E56">
        <w:rPr>
          <w:rFonts w:ascii="Times New Roman" w:hAnsi="Times New Roman"/>
          <w:sz w:val="28"/>
          <w:szCs w:val="28"/>
        </w:rPr>
        <w:t xml:space="preserve">feasible </w:t>
      </w:r>
      <w:r w:rsidR="00C151F0">
        <w:rPr>
          <w:rFonts w:ascii="Times New Roman" w:hAnsi="Times New Roman"/>
          <w:sz w:val="28"/>
          <w:szCs w:val="28"/>
        </w:rPr>
        <w:t xml:space="preserve">to </w:t>
      </w:r>
      <w:r w:rsidR="00BE744F">
        <w:rPr>
          <w:rFonts w:ascii="Times New Roman" w:hAnsi="Times New Roman"/>
          <w:sz w:val="28"/>
          <w:szCs w:val="28"/>
        </w:rPr>
        <w:t>comment very briefly on the applicant’s reliance on rule 45A</w:t>
      </w:r>
      <w:r w:rsidR="00ED0BFA">
        <w:rPr>
          <w:rFonts w:ascii="Times New Roman" w:hAnsi="Times New Roman"/>
          <w:sz w:val="28"/>
          <w:szCs w:val="28"/>
        </w:rPr>
        <w:t xml:space="preserve"> which essentially provides that the court may suspend the execution of any order for any such period as it may deem fit</w:t>
      </w:r>
      <w:r w:rsidR="004E77F6">
        <w:rPr>
          <w:rFonts w:ascii="Times New Roman" w:hAnsi="Times New Roman"/>
          <w:sz w:val="28"/>
          <w:szCs w:val="28"/>
        </w:rPr>
        <w:t xml:space="preserve">. </w:t>
      </w:r>
      <w:r w:rsidR="00ED18E9">
        <w:rPr>
          <w:rFonts w:ascii="Times New Roman" w:hAnsi="Times New Roman"/>
          <w:sz w:val="28"/>
          <w:szCs w:val="28"/>
        </w:rPr>
        <w:t>There are general principles for the granting of a stay in execution</w:t>
      </w:r>
      <w:r w:rsidR="00ED18E9">
        <w:rPr>
          <w:rStyle w:val="FootnoteReference"/>
          <w:rFonts w:ascii="Times New Roman" w:hAnsi="Times New Roman"/>
          <w:sz w:val="28"/>
          <w:szCs w:val="28"/>
        </w:rPr>
        <w:footnoteReference w:id="14"/>
      </w:r>
      <w:r w:rsidR="00ED18E9">
        <w:rPr>
          <w:rFonts w:ascii="Times New Roman" w:hAnsi="Times New Roman"/>
          <w:sz w:val="28"/>
          <w:szCs w:val="28"/>
        </w:rPr>
        <w:t>, but t</w:t>
      </w:r>
      <w:r w:rsidR="004E77F6">
        <w:rPr>
          <w:rFonts w:ascii="Times New Roman" w:hAnsi="Times New Roman"/>
          <w:sz w:val="28"/>
          <w:szCs w:val="28"/>
        </w:rPr>
        <w:t>he relief under this rule is discretionary</w:t>
      </w:r>
      <w:r w:rsidR="006B76C5">
        <w:rPr>
          <w:rFonts w:ascii="Times New Roman" w:hAnsi="Times New Roman"/>
          <w:sz w:val="28"/>
          <w:szCs w:val="28"/>
        </w:rPr>
        <w:t>.</w:t>
      </w:r>
    </w:p>
    <w:p w14:paraId="2E8C0A66" w14:textId="2EFD690E" w:rsidR="006C7DF1"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6B76C5">
        <w:rPr>
          <w:rFonts w:ascii="Times New Roman" w:hAnsi="Times New Roman"/>
          <w:sz w:val="28"/>
          <w:szCs w:val="28"/>
        </w:rPr>
        <w:t xml:space="preserve">In </w:t>
      </w:r>
      <w:r w:rsidR="004E77F6">
        <w:rPr>
          <w:rFonts w:ascii="Times New Roman" w:hAnsi="Times New Roman"/>
          <w:sz w:val="28"/>
          <w:szCs w:val="28"/>
        </w:rPr>
        <w:t>determining the factors to be taken into account in the exercise of its discretion the court could</w:t>
      </w:r>
      <w:r w:rsidR="006B76C5">
        <w:rPr>
          <w:rFonts w:ascii="Times New Roman" w:hAnsi="Times New Roman"/>
          <w:sz w:val="28"/>
          <w:szCs w:val="28"/>
        </w:rPr>
        <w:t>,</w:t>
      </w:r>
      <w:r w:rsidR="004E77F6">
        <w:rPr>
          <w:rFonts w:ascii="Times New Roman" w:hAnsi="Times New Roman"/>
          <w:sz w:val="28"/>
          <w:szCs w:val="28"/>
        </w:rPr>
        <w:t xml:space="preserve"> </w:t>
      </w:r>
      <w:r w:rsidR="006B76C5">
        <w:rPr>
          <w:rFonts w:ascii="Times New Roman" w:hAnsi="Times New Roman"/>
          <w:sz w:val="28"/>
          <w:szCs w:val="28"/>
        </w:rPr>
        <w:t xml:space="preserve">in addition to the general principles, </w:t>
      </w:r>
      <w:r w:rsidR="004E77F6">
        <w:rPr>
          <w:rFonts w:ascii="Times New Roman" w:hAnsi="Times New Roman"/>
          <w:sz w:val="28"/>
          <w:szCs w:val="28"/>
        </w:rPr>
        <w:t xml:space="preserve">borrow </w:t>
      </w:r>
      <w:r w:rsidR="00344A7C">
        <w:rPr>
          <w:rFonts w:ascii="Times New Roman" w:hAnsi="Times New Roman"/>
          <w:sz w:val="28"/>
          <w:szCs w:val="28"/>
        </w:rPr>
        <w:t xml:space="preserve">from the requirements for the granting of an interlocutory interdict, namely, that the </w:t>
      </w:r>
      <w:r w:rsidR="00344A7C">
        <w:rPr>
          <w:rFonts w:ascii="Times New Roman" w:hAnsi="Times New Roman"/>
          <w:sz w:val="28"/>
          <w:szCs w:val="28"/>
        </w:rPr>
        <w:lastRenderedPageBreak/>
        <w:t xml:space="preserve">applicant is required to show </w:t>
      </w:r>
      <w:r w:rsidR="00344A7C" w:rsidRPr="006B76C5">
        <w:rPr>
          <w:rFonts w:ascii="Times New Roman" w:hAnsi="Times New Roman"/>
          <w:i/>
          <w:sz w:val="28"/>
          <w:szCs w:val="28"/>
        </w:rPr>
        <w:t>(a)</w:t>
      </w:r>
      <w:r w:rsidR="00344A7C">
        <w:rPr>
          <w:rFonts w:ascii="Times New Roman" w:hAnsi="Times New Roman"/>
          <w:sz w:val="28"/>
          <w:szCs w:val="28"/>
        </w:rPr>
        <w:t xml:space="preserve"> that the right which the applicant seeks to protect is either clear or i</w:t>
      </w:r>
      <w:r w:rsidR="007D2451">
        <w:rPr>
          <w:rFonts w:ascii="Times New Roman" w:hAnsi="Times New Roman"/>
          <w:sz w:val="28"/>
          <w:szCs w:val="28"/>
        </w:rPr>
        <w:t xml:space="preserve">s </w:t>
      </w:r>
      <w:r w:rsidR="007D2451" w:rsidRPr="0030791E">
        <w:rPr>
          <w:rFonts w:ascii="Times New Roman" w:hAnsi="Times New Roman"/>
          <w:i/>
          <w:sz w:val="28"/>
          <w:szCs w:val="28"/>
        </w:rPr>
        <w:t>prima facie</w:t>
      </w:r>
      <w:r w:rsidR="007D2451">
        <w:rPr>
          <w:rFonts w:ascii="Times New Roman" w:hAnsi="Times New Roman"/>
          <w:sz w:val="28"/>
          <w:szCs w:val="28"/>
        </w:rPr>
        <w:t xml:space="preserve"> established; </w:t>
      </w:r>
      <w:r w:rsidR="007D2451" w:rsidRPr="006B76C5">
        <w:rPr>
          <w:rFonts w:ascii="Times New Roman" w:hAnsi="Times New Roman"/>
          <w:i/>
          <w:sz w:val="28"/>
          <w:szCs w:val="28"/>
        </w:rPr>
        <w:t>(b)</w:t>
      </w:r>
      <w:r w:rsidR="007D2451">
        <w:rPr>
          <w:rFonts w:ascii="Times New Roman" w:hAnsi="Times New Roman"/>
          <w:sz w:val="28"/>
          <w:szCs w:val="28"/>
        </w:rPr>
        <w:t xml:space="preserve"> if the right is </w:t>
      </w:r>
      <w:r w:rsidR="007D2451" w:rsidRPr="0030791E">
        <w:rPr>
          <w:rFonts w:ascii="Times New Roman" w:hAnsi="Times New Roman"/>
          <w:i/>
          <w:sz w:val="28"/>
          <w:szCs w:val="28"/>
        </w:rPr>
        <w:t xml:space="preserve">prima facie </w:t>
      </w:r>
      <w:r w:rsidR="007D2451">
        <w:rPr>
          <w:rFonts w:ascii="Times New Roman" w:hAnsi="Times New Roman"/>
          <w:sz w:val="28"/>
          <w:szCs w:val="28"/>
        </w:rPr>
        <w:t xml:space="preserve">established, there is a well-grounded apprehension of irreparable harm; </w:t>
      </w:r>
      <w:r w:rsidR="007D2451" w:rsidRPr="006B76C5">
        <w:rPr>
          <w:rFonts w:ascii="Times New Roman" w:hAnsi="Times New Roman"/>
          <w:i/>
          <w:sz w:val="28"/>
          <w:szCs w:val="28"/>
        </w:rPr>
        <w:t>(c)</w:t>
      </w:r>
      <w:r w:rsidR="007D2451">
        <w:rPr>
          <w:rFonts w:ascii="Times New Roman" w:hAnsi="Times New Roman"/>
          <w:sz w:val="28"/>
          <w:szCs w:val="28"/>
        </w:rPr>
        <w:t xml:space="preserve"> the </w:t>
      </w:r>
      <w:r w:rsidR="00745E83">
        <w:rPr>
          <w:rFonts w:ascii="Times New Roman" w:hAnsi="Times New Roman"/>
          <w:sz w:val="28"/>
          <w:szCs w:val="28"/>
        </w:rPr>
        <w:t>balance of convenience favours</w:t>
      </w:r>
      <w:r w:rsidR="007D2451">
        <w:rPr>
          <w:rFonts w:ascii="Times New Roman" w:hAnsi="Times New Roman"/>
          <w:sz w:val="28"/>
          <w:szCs w:val="28"/>
        </w:rPr>
        <w:t xml:space="preserve"> the interim remedy; and </w:t>
      </w:r>
      <w:r w:rsidR="007D2451" w:rsidRPr="006B76C5">
        <w:rPr>
          <w:rFonts w:ascii="Times New Roman" w:hAnsi="Times New Roman"/>
          <w:i/>
          <w:sz w:val="28"/>
          <w:szCs w:val="28"/>
        </w:rPr>
        <w:t>(d)</w:t>
      </w:r>
      <w:r w:rsidR="00AB0BC9">
        <w:rPr>
          <w:rFonts w:ascii="Times New Roman" w:hAnsi="Times New Roman"/>
          <w:sz w:val="28"/>
          <w:szCs w:val="28"/>
        </w:rPr>
        <w:t xml:space="preserve"> that the applicant has no other satisfactory remedy.</w:t>
      </w:r>
      <w:r w:rsidR="00AB0BC9">
        <w:rPr>
          <w:rStyle w:val="FootnoteReference"/>
          <w:rFonts w:ascii="Times New Roman" w:hAnsi="Times New Roman"/>
          <w:sz w:val="28"/>
          <w:szCs w:val="28"/>
        </w:rPr>
        <w:footnoteReference w:id="15"/>
      </w:r>
    </w:p>
    <w:p w14:paraId="4D77BA2E" w14:textId="61BD1C8E" w:rsidR="00745E83"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9B11A7">
        <w:rPr>
          <w:rFonts w:ascii="Times New Roman" w:hAnsi="Times New Roman"/>
          <w:sz w:val="28"/>
          <w:szCs w:val="28"/>
        </w:rPr>
        <w:t xml:space="preserve">My conclusion on the </w:t>
      </w:r>
      <w:r w:rsidR="00A96705">
        <w:rPr>
          <w:rFonts w:ascii="Times New Roman" w:hAnsi="Times New Roman"/>
          <w:sz w:val="28"/>
          <w:szCs w:val="28"/>
        </w:rPr>
        <w:t>main issue renders it unnecessary to proffer a detailed treatment of the facts which inform the applicant’s further submissions on this leg of its approach.</w:t>
      </w:r>
      <w:r w:rsidR="00D413D7">
        <w:rPr>
          <w:rFonts w:ascii="Times New Roman" w:hAnsi="Times New Roman"/>
          <w:sz w:val="28"/>
          <w:szCs w:val="28"/>
        </w:rPr>
        <w:t xml:space="preserve"> </w:t>
      </w:r>
      <w:r w:rsidR="001D7121">
        <w:rPr>
          <w:rFonts w:ascii="Times New Roman" w:hAnsi="Times New Roman"/>
          <w:sz w:val="28"/>
          <w:szCs w:val="28"/>
        </w:rPr>
        <w:t xml:space="preserve">For that reason, </w:t>
      </w:r>
      <w:r w:rsidR="00D413D7">
        <w:rPr>
          <w:rFonts w:ascii="Times New Roman" w:hAnsi="Times New Roman"/>
          <w:sz w:val="28"/>
          <w:szCs w:val="28"/>
        </w:rPr>
        <w:t>it does not necessarily follow that because something has not been mentioned in detail</w:t>
      </w:r>
      <w:r w:rsidR="00D413D7" w:rsidRPr="00D413D7">
        <w:rPr>
          <w:rFonts w:ascii="Times New Roman" w:hAnsi="Times New Roman"/>
          <w:sz w:val="28"/>
          <w:szCs w:val="28"/>
        </w:rPr>
        <w:t xml:space="preserve"> </w:t>
      </w:r>
      <w:r w:rsidR="00D413D7">
        <w:rPr>
          <w:rFonts w:ascii="Times New Roman" w:hAnsi="Times New Roman"/>
          <w:sz w:val="28"/>
          <w:szCs w:val="28"/>
        </w:rPr>
        <w:t>it has not been considered.</w:t>
      </w:r>
      <w:r w:rsidR="00D413D7">
        <w:rPr>
          <w:rStyle w:val="FootnoteReference"/>
          <w:rFonts w:ascii="Times New Roman" w:hAnsi="Times New Roman"/>
          <w:sz w:val="28"/>
          <w:szCs w:val="28"/>
        </w:rPr>
        <w:footnoteReference w:id="16"/>
      </w:r>
      <w:r w:rsidR="00D413D7" w:rsidRPr="00D413D7">
        <w:rPr>
          <w:rFonts w:ascii="Times New Roman" w:hAnsi="Times New Roman"/>
          <w:sz w:val="28"/>
          <w:szCs w:val="28"/>
        </w:rPr>
        <w:t xml:space="preserve"> </w:t>
      </w:r>
      <w:r w:rsidR="00D413D7">
        <w:rPr>
          <w:rFonts w:ascii="Times New Roman" w:hAnsi="Times New Roman"/>
          <w:sz w:val="28"/>
          <w:szCs w:val="28"/>
        </w:rPr>
        <w:t>A compensating factor is that the heads of argument filed on behalf of the</w:t>
      </w:r>
      <w:r w:rsidR="000335D9">
        <w:rPr>
          <w:rFonts w:ascii="Times New Roman" w:hAnsi="Times New Roman"/>
          <w:sz w:val="28"/>
          <w:szCs w:val="28"/>
        </w:rPr>
        <w:t xml:space="preserve"> parties’</w:t>
      </w:r>
      <w:r w:rsidR="00D413D7">
        <w:rPr>
          <w:rFonts w:ascii="Times New Roman" w:hAnsi="Times New Roman"/>
          <w:sz w:val="28"/>
          <w:szCs w:val="28"/>
        </w:rPr>
        <w:t xml:space="preserve"> respective counsel are detailed and well-researched; they provide fair-minded guidance for the parties’ submissions supported by precedent and proffer a dutiful rendition of the material contained in the parties’ affidavits and supporting annexures.</w:t>
      </w:r>
    </w:p>
    <w:p w14:paraId="052E495C" w14:textId="6A478A0F" w:rsidR="00D413D7"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D413D7">
        <w:rPr>
          <w:rFonts w:ascii="Times New Roman" w:hAnsi="Times New Roman"/>
          <w:sz w:val="28"/>
          <w:szCs w:val="28"/>
        </w:rPr>
        <w:t>T</w:t>
      </w:r>
      <w:r w:rsidR="000335D9">
        <w:rPr>
          <w:rFonts w:ascii="Times New Roman" w:hAnsi="Times New Roman"/>
          <w:sz w:val="28"/>
          <w:szCs w:val="28"/>
        </w:rPr>
        <w:t xml:space="preserve">hat said, I am </w:t>
      </w:r>
      <w:r w:rsidR="00120B23">
        <w:rPr>
          <w:rFonts w:ascii="Times New Roman" w:hAnsi="Times New Roman"/>
          <w:sz w:val="28"/>
          <w:szCs w:val="28"/>
        </w:rPr>
        <w:t xml:space="preserve">further </w:t>
      </w:r>
      <w:r w:rsidR="000335D9">
        <w:rPr>
          <w:rFonts w:ascii="Times New Roman" w:hAnsi="Times New Roman"/>
          <w:sz w:val="28"/>
          <w:szCs w:val="28"/>
        </w:rPr>
        <w:t>satisfied</w:t>
      </w:r>
      <w:r w:rsidR="00793814" w:rsidRPr="00793814">
        <w:rPr>
          <w:rFonts w:ascii="Times New Roman" w:hAnsi="Times New Roman"/>
          <w:sz w:val="28"/>
          <w:szCs w:val="28"/>
        </w:rPr>
        <w:t xml:space="preserve"> </w:t>
      </w:r>
      <w:r w:rsidR="0093364C">
        <w:rPr>
          <w:rFonts w:ascii="Times New Roman" w:hAnsi="Times New Roman"/>
          <w:sz w:val="28"/>
          <w:szCs w:val="28"/>
        </w:rPr>
        <w:t xml:space="preserve">that </w:t>
      </w:r>
      <w:r w:rsidR="000335D9" w:rsidRPr="000335D9">
        <w:rPr>
          <w:rFonts w:ascii="Times New Roman" w:hAnsi="Times New Roman"/>
          <w:i/>
          <w:sz w:val="28"/>
          <w:szCs w:val="28"/>
        </w:rPr>
        <w:t>(a)</w:t>
      </w:r>
      <w:r w:rsidR="000335D9">
        <w:rPr>
          <w:rFonts w:ascii="Times New Roman" w:hAnsi="Times New Roman"/>
          <w:sz w:val="28"/>
          <w:szCs w:val="28"/>
        </w:rPr>
        <w:t xml:space="preserve"> I am at liberty to exercise my discretion in favour of the applicant, and </w:t>
      </w:r>
      <w:r w:rsidR="000335D9" w:rsidRPr="001D7121">
        <w:rPr>
          <w:rFonts w:ascii="Times New Roman" w:hAnsi="Times New Roman"/>
          <w:i/>
          <w:sz w:val="28"/>
          <w:szCs w:val="28"/>
        </w:rPr>
        <w:t>(b)</w:t>
      </w:r>
      <w:r w:rsidR="000335D9">
        <w:rPr>
          <w:rFonts w:ascii="Times New Roman" w:hAnsi="Times New Roman"/>
          <w:sz w:val="28"/>
          <w:szCs w:val="28"/>
        </w:rPr>
        <w:t xml:space="preserve"> </w:t>
      </w:r>
      <w:r w:rsidR="00793814">
        <w:rPr>
          <w:rFonts w:ascii="Times New Roman" w:hAnsi="Times New Roman"/>
          <w:sz w:val="28"/>
          <w:szCs w:val="28"/>
        </w:rPr>
        <w:t xml:space="preserve">on the facts, </w:t>
      </w:r>
      <w:r w:rsidR="001D7121">
        <w:rPr>
          <w:rFonts w:ascii="Times New Roman" w:hAnsi="Times New Roman"/>
          <w:sz w:val="28"/>
          <w:szCs w:val="28"/>
        </w:rPr>
        <w:t xml:space="preserve">the requisites for interim relief have been </w:t>
      </w:r>
      <w:r w:rsidR="00793814">
        <w:rPr>
          <w:rFonts w:ascii="Times New Roman" w:hAnsi="Times New Roman"/>
          <w:sz w:val="28"/>
          <w:szCs w:val="28"/>
        </w:rPr>
        <w:t>established</w:t>
      </w:r>
      <w:r w:rsidR="001D7121">
        <w:rPr>
          <w:rFonts w:ascii="Times New Roman" w:hAnsi="Times New Roman"/>
          <w:sz w:val="28"/>
          <w:szCs w:val="28"/>
        </w:rPr>
        <w:t>.</w:t>
      </w:r>
    </w:p>
    <w:p w14:paraId="5BC10F4F" w14:textId="327C6BFD" w:rsidR="00C00B08" w:rsidRDefault="004414A7" w:rsidP="004414A7">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C00B08">
        <w:rPr>
          <w:rFonts w:ascii="Times New Roman" w:hAnsi="Times New Roman"/>
          <w:sz w:val="28"/>
          <w:szCs w:val="28"/>
        </w:rPr>
        <w:t>I</w:t>
      </w:r>
      <w:r w:rsidR="00D979FB">
        <w:rPr>
          <w:rFonts w:ascii="Times New Roman" w:hAnsi="Times New Roman"/>
          <w:sz w:val="28"/>
          <w:szCs w:val="28"/>
        </w:rPr>
        <w:t>n the circumstances the following order issues:</w:t>
      </w:r>
    </w:p>
    <w:p w14:paraId="18752F14" w14:textId="2511AF3D" w:rsidR="00C00B08" w:rsidRDefault="004414A7" w:rsidP="004414A7">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DD14BC">
        <w:rPr>
          <w:rFonts w:ascii="Times New Roman" w:hAnsi="Times New Roman"/>
          <w:sz w:val="28"/>
          <w:szCs w:val="28"/>
        </w:rPr>
        <w:t>The applicant’s non-compliance with the rules of court relating to the service and the periods for the institution and hearing of applications is condoned.</w:t>
      </w:r>
    </w:p>
    <w:p w14:paraId="629BE2E3" w14:textId="016BF138" w:rsidR="00C95FC4" w:rsidRDefault="004414A7" w:rsidP="004414A7">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814E1" w:rsidRPr="00992410">
        <w:rPr>
          <w:rFonts w:ascii="Times New Roman" w:hAnsi="Times New Roman"/>
          <w:sz w:val="28"/>
          <w:szCs w:val="28"/>
        </w:rPr>
        <w:t xml:space="preserve">Pending the finalisation of the application for leave to appeal and subsequent appeal against the order of </w:t>
      </w:r>
      <w:r w:rsidR="004F5D27" w:rsidRPr="00992410">
        <w:rPr>
          <w:rFonts w:ascii="Times New Roman" w:hAnsi="Times New Roman"/>
          <w:sz w:val="28"/>
          <w:szCs w:val="28"/>
        </w:rPr>
        <w:t xml:space="preserve">The Honourable Madam Justice </w:t>
      </w:r>
      <w:r w:rsidR="004F5D27" w:rsidRPr="00992410">
        <w:rPr>
          <w:rFonts w:ascii="Times New Roman" w:hAnsi="Times New Roman"/>
          <w:sz w:val="28"/>
          <w:szCs w:val="28"/>
        </w:rPr>
        <w:lastRenderedPageBreak/>
        <w:t>Mjali given on 06 November 2023, t</w:t>
      </w:r>
      <w:r w:rsidR="00DD14BC" w:rsidRPr="00992410">
        <w:rPr>
          <w:rFonts w:ascii="Times New Roman" w:hAnsi="Times New Roman"/>
          <w:sz w:val="28"/>
          <w:szCs w:val="28"/>
        </w:rPr>
        <w:t>he respondents are interdicted and restrained from executing the court orders granted against the applicant</w:t>
      </w:r>
      <w:r w:rsidR="00C95FC4" w:rsidRPr="00992410">
        <w:rPr>
          <w:rFonts w:ascii="Times New Roman" w:hAnsi="Times New Roman"/>
          <w:sz w:val="28"/>
          <w:szCs w:val="28"/>
        </w:rPr>
        <w:t xml:space="preserve"> in the following case numbers:</w:t>
      </w:r>
      <w:r w:rsidR="009814E1" w:rsidRPr="00992410">
        <w:rPr>
          <w:rFonts w:ascii="Times New Roman" w:hAnsi="Times New Roman"/>
          <w:sz w:val="28"/>
          <w:szCs w:val="28"/>
        </w:rPr>
        <w:t xml:space="preserve"> </w:t>
      </w:r>
      <w:r w:rsidR="00C95FC4" w:rsidRPr="00992410">
        <w:rPr>
          <w:rFonts w:ascii="Times New Roman" w:hAnsi="Times New Roman"/>
          <w:sz w:val="28"/>
          <w:szCs w:val="28"/>
        </w:rPr>
        <w:t>1985/2019; 3790/2020; 4293/2018; 2575/2018; 2186/2021; 3638</w:t>
      </w:r>
      <w:r w:rsidR="009814E1" w:rsidRPr="00992410">
        <w:rPr>
          <w:rFonts w:ascii="Times New Roman" w:hAnsi="Times New Roman"/>
          <w:sz w:val="28"/>
          <w:szCs w:val="28"/>
        </w:rPr>
        <w:t>/2020; 1352/2022; and 2424/2020</w:t>
      </w:r>
      <w:r w:rsidR="00CA3FB3" w:rsidRPr="00992410">
        <w:rPr>
          <w:rFonts w:ascii="Times New Roman" w:hAnsi="Times New Roman"/>
          <w:sz w:val="28"/>
          <w:szCs w:val="28"/>
        </w:rPr>
        <w:t>.</w:t>
      </w:r>
    </w:p>
    <w:p w14:paraId="115C0964" w14:textId="4C30A663" w:rsidR="00CA3FB3" w:rsidRDefault="004414A7" w:rsidP="004414A7">
      <w:pPr>
        <w:pStyle w:val="LegalList1"/>
        <w:spacing w:line="360" w:lineRule="auto"/>
        <w:ind w:left="1080"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CA3FB3" w:rsidRPr="00992410">
        <w:rPr>
          <w:rFonts w:ascii="Times New Roman" w:hAnsi="Times New Roman"/>
          <w:sz w:val="28"/>
          <w:szCs w:val="28"/>
        </w:rPr>
        <w:t>The operation and execution of the orders in each of the abovementioned case numbers is suspended.</w:t>
      </w:r>
    </w:p>
    <w:p w14:paraId="12E0FC86" w14:textId="7F3916E7" w:rsidR="00CA3FB3" w:rsidRPr="00992410" w:rsidRDefault="004414A7" w:rsidP="004414A7">
      <w:pPr>
        <w:pStyle w:val="LegalList1"/>
        <w:spacing w:line="360" w:lineRule="auto"/>
        <w:ind w:left="1080" w:hanging="360"/>
        <w:rPr>
          <w:rFonts w:ascii="Times New Roman" w:hAnsi="Times New Roman"/>
          <w:sz w:val="28"/>
          <w:szCs w:val="28"/>
        </w:rPr>
      </w:pPr>
      <w:r w:rsidRPr="00992410">
        <w:rPr>
          <w:rFonts w:ascii="Times New Roman" w:hAnsi="Times New Roman"/>
          <w:sz w:val="28"/>
          <w:szCs w:val="28"/>
        </w:rPr>
        <w:t>4.</w:t>
      </w:r>
      <w:r w:rsidRPr="00992410">
        <w:rPr>
          <w:rFonts w:ascii="Times New Roman" w:hAnsi="Times New Roman"/>
          <w:sz w:val="28"/>
          <w:szCs w:val="28"/>
        </w:rPr>
        <w:tab/>
      </w:r>
      <w:r w:rsidR="00CA3FB3" w:rsidRPr="00992410">
        <w:rPr>
          <w:rFonts w:ascii="Times New Roman" w:hAnsi="Times New Roman"/>
          <w:sz w:val="28"/>
          <w:szCs w:val="28"/>
        </w:rPr>
        <w:t>The first respondent shall pay the costs of the application.</w:t>
      </w:r>
    </w:p>
    <w:p w14:paraId="5C446730" w14:textId="77777777" w:rsidR="005C2004" w:rsidRDefault="005C2004" w:rsidP="005C2004">
      <w:pPr>
        <w:pStyle w:val="LegalList1"/>
        <w:spacing w:line="360" w:lineRule="auto"/>
        <w:rPr>
          <w:rFonts w:ascii="Times New Roman" w:hAnsi="Times New Roman"/>
          <w:sz w:val="28"/>
          <w:szCs w:val="28"/>
        </w:rPr>
      </w:pPr>
    </w:p>
    <w:p w14:paraId="4737735B" w14:textId="77777777" w:rsidR="002B5C94" w:rsidRDefault="002B5C94" w:rsidP="005C2004">
      <w:pPr>
        <w:pStyle w:val="LegalList1"/>
        <w:spacing w:line="360" w:lineRule="auto"/>
        <w:rPr>
          <w:rFonts w:ascii="Times New Roman" w:hAnsi="Times New Roman"/>
          <w:sz w:val="28"/>
          <w:szCs w:val="28"/>
        </w:rPr>
      </w:pPr>
    </w:p>
    <w:p w14:paraId="35513882" w14:textId="77777777" w:rsidR="00F62408" w:rsidRPr="00CD6C14" w:rsidRDefault="00F62408" w:rsidP="00F62408">
      <w:pPr>
        <w:pStyle w:val="LegalList1"/>
        <w:spacing w:after="0" w:line="360" w:lineRule="auto"/>
        <w:ind w:left="851"/>
        <w:rPr>
          <w:rFonts w:ascii="Times New Roman" w:hAnsi="Times New Roman"/>
          <w:sz w:val="28"/>
          <w:szCs w:val="28"/>
        </w:rPr>
      </w:pPr>
    </w:p>
    <w:p w14:paraId="07F1B3E3" w14:textId="77777777" w:rsidR="00F62408" w:rsidRPr="00CD6C14" w:rsidRDefault="00F62408" w:rsidP="00F62408">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5E8ECB14" w14:textId="77777777" w:rsidR="00F62408" w:rsidRPr="00CD6C14" w:rsidRDefault="00F62408" w:rsidP="00F62408">
      <w:pPr>
        <w:pStyle w:val="LegalList1"/>
        <w:spacing w:after="0" w:line="360" w:lineRule="auto"/>
        <w:rPr>
          <w:rFonts w:ascii="Times New Roman" w:hAnsi="Times New Roman"/>
          <w:b/>
          <w:sz w:val="28"/>
          <w:szCs w:val="28"/>
        </w:rPr>
      </w:pPr>
      <w:r w:rsidRPr="00CD6C14">
        <w:rPr>
          <w:rFonts w:ascii="Times New Roman" w:hAnsi="Times New Roman"/>
          <w:b/>
          <w:sz w:val="28"/>
          <w:szCs w:val="28"/>
        </w:rPr>
        <w:t>M</w:t>
      </w:r>
      <w:r>
        <w:rPr>
          <w:rFonts w:ascii="Times New Roman" w:hAnsi="Times New Roman"/>
          <w:b/>
          <w:sz w:val="28"/>
          <w:szCs w:val="28"/>
        </w:rPr>
        <w:t>.</w:t>
      </w:r>
      <w:r w:rsidRPr="00CD6C14">
        <w:rPr>
          <w:rFonts w:ascii="Times New Roman" w:hAnsi="Times New Roman"/>
          <w:b/>
          <w:sz w:val="28"/>
          <w:szCs w:val="28"/>
        </w:rPr>
        <w:t xml:space="preserve"> S</w:t>
      </w:r>
      <w:r>
        <w:rPr>
          <w:rFonts w:ascii="Times New Roman" w:hAnsi="Times New Roman"/>
          <w:b/>
          <w:sz w:val="28"/>
          <w:szCs w:val="28"/>
        </w:rPr>
        <w:t>.</w:t>
      </w:r>
      <w:r w:rsidRPr="00CD6C14">
        <w:rPr>
          <w:rFonts w:ascii="Times New Roman" w:hAnsi="Times New Roman"/>
          <w:b/>
          <w:sz w:val="28"/>
          <w:szCs w:val="28"/>
        </w:rPr>
        <w:t xml:space="preserve"> RUGUNANAN</w:t>
      </w:r>
    </w:p>
    <w:p w14:paraId="2711A046" w14:textId="77777777" w:rsidR="00F62408" w:rsidRDefault="00F62408" w:rsidP="00F62408">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6A3E6762" w14:textId="77777777" w:rsidR="005C2004" w:rsidRDefault="005C2004" w:rsidP="00745E83">
      <w:pPr>
        <w:rPr>
          <w:rFonts w:ascii="Times New Roman" w:eastAsia="Times New Roman" w:hAnsi="Times New Roman" w:cs="Times New Roman"/>
          <w:sz w:val="28"/>
          <w:szCs w:val="28"/>
          <w:lang w:val="en-GB" w:eastAsia="en-GB"/>
        </w:rPr>
      </w:pPr>
    </w:p>
    <w:p w14:paraId="7710FF27" w14:textId="77777777" w:rsidR="00745E83" w:rsidRDefault="00745E83" w:rsidP="00745E83">
      <w:pPr>
        <w:rPr>
          <w:rFonts w:ascii="Times New Roman" w:eastAsia="Times New Roman" w:hAnsi="Times New Roman" w:cs="Times New Roman"/>
          <w:sz w:val="28"/>
          <w:szCs w:val="28"/>
          <w:lang w:val="en-GB" w:eastAsia="en-GB"/>
        </w:rPr>
      </w:pPr>
    </w:p>
    <w:p w14:paraId="6219723A" w14:textId="77777777" w:rsidR="00745E83" w:rsidRDefault="00745E83" w:rsidP="00745E83">
      <w:pPr>
        <w:rPr>
          <w:rFonts w:ascii="Times New Roman" w:eastAsia="Times New Roman" w:hAnsi="Times New Roman" w:cs="Times New Roman"/>
          <w:sz w:val="28"/>
          <w:szCs w:val="28"/>
          <w:lang w:val="en-GB" w:eastAsia="en-GB"/>
        </w:rPr>
      </w:pPr>
    </w:p>
    <w:p w14:paraId="05400D0A" w14:textId="77777777" w:rsidR="00745E83" w:rsidRDefault="00745E83" w:rsidP="00745E83">
      <w:pPr>
        <w:rPr>
          <w:rFonts w:ascii="Times New Roman" w:eastAsia="Times New Roman" w:hAnsi="Times New Roman" w:cs="Times New Roman"/>
          <w:sz w:val="28"/>
          <w:szCs w:val="28"/>
          <w:lang w:val="en-GB" w:eastAsia="en-GB"/>
        </w:rPr>
      </w:pPr>
    </w:p>
    <w:p w14:paraId="0540F6AD" w14:textId="77777777" w:rsidR="00745E83" w:rsidRDefault="00745E83" w:rsidP="00745E83">
      <w:pPr>
        <w:rPr>
          <w:rFonts w:ascii="Times New Roman" w:eastAsia="Times New Roman" w:hAnsi="Times New Roman" w:cs="Times New Roman"/>
          <w:sz w:val="28"/>
          <w:szCs w:val="28"/>
          <w:lang w:val="en-GB" w:eastAsia="en-GB"/>
        </w:rPr>
      </w:pPr>
    </w:p>
    <w:p w14:paraId="28440D9C" w14:textId="77777777" w:rsidR="00745E83" w:rsidRDefault="00745E83" w:rsidP="00745E83">
      <w:pPr>
        <w:rPr>
          <w:rFonts w:ascii="Times New Roman" w:eastAsia="Times New Roman" w:hAnsi="Times New Roman" w:cs="Times New Roman"/>
          <w:sz w:val="28"/>
          <w:szCs w:val="28"/>
          <w:lang w:val="en-GB" w:eastAsia="en-GB"/>
        </w:rPr>
      </w:pPr>
    </w:p>
    <w:p w14:paraId="55CAED71" w14:textId="77777777" w:rsidR="00745E83" w:rsidRDefault="00745E83" w:rsidP="00745E83">
      <w:pPr>
        <w:rPr>
          <w:rFonts w:ascii="Times New Roman" w:eastAsia="Times New Roman" w:hAnsi="Times New Roman" w:cs="Times New Roman"/>
          <w:sz w:val="28"/>
          <w:szCs w:val="28"/>
          <w:lang w:val="en-GB" w:eastAsia="en-GB"/>
        </w:rPr>
      </w:pPr>
    </w:p>
    <w:p w14:paraId="6503E4BC" w14:textId="77777777" w:rsidR="00745E83" w:rsidRDefault="00745E83" w:rsidP="00745E83">
      <w:pPr>
        <w:rPr>
          <w:rFonts w:ascii="Times New Roman" w:eastAsia="Times New Roman" w:hAnsi="Times New Roman" w:cs="Times New Roman"/>
          <w:sz w:val="28"/>
          <w:szCs w:val="28"/>
          <w:lang w:val="en-GB" w:eastAsia="en-GB"/>
        </w:rPr>
      </w:pPr>
    </w:p>
    <w:p w14:paraId="616AF495" w14:textId="77777777" w:rsidR="00745E83" w:rsidRDefault="00745E83" w:rsidP="00745E83">
      <w:pPr>
        <w:rPr>
          <w:rFonts w:ascii="Times New Roman" w:eastAsia="Times New Roman" w:hAnsi="Times New Roman" w:cs="Times New Roman"/>
          <w:sz w:val="28"/>
          <w:szCs w:val="28"/>
          <w:lang w:val="en-GB" w:eastAsia="en-GB"/>
        </w:rPr>
      </w:pPr>
    </w:p>
    <w:p w14:paraId="5F35F4BC" w14:textId="77777777" w:rsidR="00745E83" w:rsidRDefault="00745E83" w:rsidP="00745E83">
      <w:pPr>
        <w:rPr>
          <w:rFonts w:ascii="Times New Roman" w:eastAsia="Times New Roman" w:hAnsi="Times New Roman" w:cs="Times New Roman"/>
          <w:sz w:val="28"/>
          <w:szCs w:val="28"/>
          <w:lang w:val="en-GB" w:eastAsia="en-GB"/>
        </w:rPr>
      </w:pPr>
    </w:p>
    <w:p w14:paraId="33FAACC2" w14:textId="77777777" w:rsidR="00745E83" w:rsidRDefault="00745E83" w:rsidP="00745E83">
      <w:pPr>
        <w:rPr>
          <w:rFonts w:ascii="Times New Roman" w:eastAsia="Times New Roman" w:hAnsi="Times New Roman" w:cs="Times New Roman"/>
          <w:sz w:val="28"/>
          <w:szCs w:val="28"/>
          <w:lang w:val="en-GB" w:eastAsia="en-GB"/>
        </w:rPr>
      </w:pPr>
    </w:p>
    <w:p w14:paraId="32C26DDD" w14:textId="77777777" w:rsidR="00745E83" w:rsidRDefault="00745E83" w:rsidP="00745E83">
      <w:pPr>
        <w:rPr>
          <w:rFonts w:ascii="Times New Roman" w:eastAsia="Times New Roman" w:hAnsi="Times New Roman" w:cs="Times New Roman"/>
          <w:sz w:val="28"/>
          <w:szCs w:val="28"/>
          <w:lang w:val="en-GB" w:eastAsia="en-GB"/>
        </w:rPr>
      </w:pPr>
    </w:p>
    <w:p w14:paraId="67FD7387" w14:textId="77777777" w:rsidR="00745E83" w:rsidRDefault="00745E83" w:rsidP="00745E83">
      <w:pPr>
        <w:rPr>
          <w:rFonts w:ascii="Times New Roman" w:eastAsia="Times New Roman" w:hAnsi="Times New Roman" w:cs="Times New Roman"/>
          <w:sz w:val="28"/>
          <w:szCs w:val="28"/>
          <w:lang w:val="en-GB" w:eastAsia="en-GB"/>
        </w:rPr>
      </w:pPr>
    </w:p>
    <w:p w14:paraId="0145DD62" w14:textId="77777777" w:rsidR="00745E83" w:rsidRDefault="00745E83" w:rsidP="00745E83">
      <w:pPr>
        <w:rPr>
          <w:rFonts w:ascii="Times New Roman" w:eastAsia="Times New Roman" w:hAnsi="Times New Roman" w:cs="Times New Roman"/>
          <w:sz w:val="28"/>
          <w:szCs w:val="28"/>
          <w:lang w:val="en-GB" w:eastAsia="en-GB"/>
        </w:rPr>
      </w:pPr>
    </w:p>
    <w:p w14:paraId="704ABC2F" w14:textId="77777777" w:rsidR="00745E83" w:rsidRDefault="00745E83" w:rsidP="00745E83">
      <w:pPr>
        <w:rPr>
          <w:rFonts w:ascii="Times New Roman" w:eastAsia="Times New Roman" w:hAnsi="Times New Roman" w:cs="Times New Roman"/>
          <w:sz w:val="28"/>
          <w:szCs w:val="28"/>
          <w:lang w:val="en-GB" w:eastAsia="en-GB"/>
        </w:rPr>
      </w:pPr>
    </w:p>
    <w:p w14:paraId="7E225121" w14:textId="77777777" w:rsidR="00745E83" w:rsidRDefault="00745E83" w:rsidP="00745E83">
      <w:pPr>
        <w:rPr>
          <w:rFonts w:ascii="Times New Roman" w:eastAsia="Times New Roman" w:hAnsi="Times New Roman" w:cs="Times New Roman"/>
          <w:sz w:val="28"/>
          <w:szCs w:val="28"/>
          <w:lang w:val="en-GB" w:eastAsia="en-GB"/>
        </w:rPr>
      </w:pPr>
    </w:p>
    <w:p w14:paraId="058F66B0" w14:textId="77777777" w:rsidR="00745E83" w:rsidRDefault="00745E83" w:rsidP="00745E83">
      <w:pPr>
        <w:rPr>
          <w:rFonts w:ascii="Times New Roman" w:eastAsia="Times New Roman" w:hAnsi="Times New Roman" w:cs="Times New Roman"/>
          <w:sz w:val="28"/>
          <w:szCs w:val="28"/>
          <w:lang w:val="en-GB" w:eastAsia="en-GB"/>
        </w:rPr>
      </w:pPr>
    </w:p>
    <w:p w14:paraId="69631F9D" w14:textId="77777777" w:rsidR="00745E83" w:rsidRDefault="00745E83" w:rsidP="00745E83">
      <w:pPr>
        <w:rPr>
          <w:rFonts w:ascii="Times New Roman" w:eastAsia="Times New Roman" w:hAnsi="Times New Roman" w:cs="Times New Roman"/>
          <w:sz w:val="28"/>
          <w:szCs w:val="28"/>
          <w:lang w:val="en-GB" w:eastAsia="en-GB"/>
        </w:rPr>
      </w:pPr>
    </w:p>
    <w:p w14:paraId="1AC0B449" w14:textId="77777777" w:rsidR="004311F5" w:rsidRDefault="004311F5" w:rsidP="004311F5">
      <w:pPr>
        <w:pStyle w:val="LegalList1"/>
        <w:spacing w:after="0" w:line="360" w:lineRule="auto"/>
        <w:rPr>
          <w:rFonts w:ascii="Times New Roman" w:hAnsi="Times New Roman"/>
          <w:sz w:val="28"/>
          <w:szCs w:val="28"/>
        </w:rPr>
      </w:pPr>
      <w:r w:rsidRPr="00B91145">
        <w:rPr>
          <w:rFonts w:ascii="Times New Roman" w:hAnsi="Times New Roman"/>
          <w:sz w:val="28"/>
          <w:szCs w:val="28"/>
        </w:rPr>
        <w:t>Appearances:</w:t>
      </w:r>
    </w:p>
    <w:p w14:paraId="6DD11DB9" w14:textId="77777777" w:rsidR="004311F5" w:rsidRDefault="004311F5" w:rsidP="00024F0F">
      <w:pPr>
        <w:pStyle w:val="LegalList1"/>
        <w:spacing w:after="0" w:line="360" w:lineRule="auto"/>
        <w:ind w:left="2880" w:hanging="2880"/>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Applicant</w:t>
      </w:r>
      <w:r w:rsidRPr="00B91145">
        <w:rPr>
          <w:rFonts w:ascii="Times New Roman" w:hAnsi="Times New Roman"/>
          <w:sz w:val="28"/>
          <w:szCs w:val="28"/>
        </w:rPr>
        <w:t xml:space="preserve">: </w:t>
      </w:r>
      <w:r w:rsidR="00024F0F">
        <w:rPr>
          <w:rFonts w:ascii="Times New Roman" w:hAnsi="Times New Roman"/>
          <w:sz w:val="28"/>
          <w:szCs w:val="28"/>
        </w:rPr>
        <w:tab/>
      </w:r>
      <w:r w:rsidRPr="0035389A">
        <w:rPr>
          <w:rFonts w:ascii="Times New Roman" w:hAnsi="Times New Roman"/>
          <w:i/>
          <w:sz w:val="28"/>
          <w:szCs w:val="28"/>
        </w:rPr>
        <w:t>V. Notshe SC</w:t>
      </w:r>
      <w:r w:rsidRPr="00B91145">
        <w:rPr>
          <w:rFonts w:ascii="Times New Roman" w:hAnsi="Times New Roman"/>
          <w:sz w:val="28"/>
          <w:szCs w:val="28"/>
        </w:rPr>
        <w:t xml:space="preserve">, Instructed by </w:t>
      </w:r>
      <w:r>
        <w:rPr>
          <w:rFonts w:ascii="Times New Roman" w:hAnsi="Times New Roman"/>
          <w:sz w:val="28"/>
          <w:szCs w:val="28"/>
        </w:rPr>
        <w:t>Mpoyana Ledwaba Inc., Pretoria, c/o</w:t>
      </w:r>
      <w:r w:rsidR="00C91AE5">
        <w:rPr>
          <w:rFonts w:ascii="Times New Roman" w:hAnsi="Times New Roman"/>
          <w:sz w:val="28"/>
          <w:szCs w:val="28"/>
        </w:rPr>
        <w:t xml:space="preserve"> Mjulelwa Inc., Mthatha</w:t>
      </w:r>
      <w:r w:rsidR="00D11C9D">
        <w:rPr>
          <w:rFonts w:ascii="Times New Roman" w:hAnsi="Times New Roman"/>
          <w:sz w:val="28"/>
          <w:szCs w:val="28"/>
        </w:rPr>
        <w:t>.</w:t>
      </w:r>
    </w:p>
    <w:p w14:paraId="0A6E2DCF" w14:textId="77777777" w:rsidR="00C91AE5" w:rsidRDefault="00C91AE5" w:rsidP="004311F5">
      <w:pPr>
        <w:pStyle w:val="LegalList1"/>
        <w:spacing w:after="0" w:line="360" w:lineRule="auto"/>
        <w:rPr>
          <w:rFonts w:ascii="Times New Roman" w:hAnsi="Times New Roman"/>
          <w:sz w:val="28"/>
          <w:szCs w:val="28"/>
        </w:rPr>
      </w:pPr>
      <w:r>
        <w:rPr>
          <w:rFonts w:ascii="Times New Roman" w:hAnsi="Times New Roman"/>
          <w:sz w:val="28"/>
          <w:szCs w:val="28"/>
        </w:rPr>
        <w:t>Email:</w:t>
      </w:r>
      <w:r>
        <w:rPr>
          <w:rFonts w:ascii="Times New Roman" w:hAnsi="Times New Roman"/>
          <w:sz w:val="28"/>
          <w:szCs w:val="28"/>
        </w:rPr>
        <w:tab/>
      </w:r>
      <w:r w:rsidR="00024F0F">
        <w:rPr>
          <w:rFonts w:ascii="Times New Roman" w:hAnsi="Times New Roman"/>
          <w:sz w:val="28"/>
          <w:szCs w:val="28"/>
        </w:rPr>
        <w:tab/>
      </w:r>
      <w:r w:rsidR="00024F0F">
        <w:rPr>
          <w:rFonts w:ascii="Times New Roman" w:hAnsi="Times New Roman"/>
          <w:sz w:val="28"/>
          <w:szCs w:val="28"/>
        </w:rPr>
        <w:tab/>
      </w:r>
      <w:hyperlink r:id="rId9" w:history="1">
        <w:r w:rsidRPr="008F203C">
          <w:rPr>
            <w:rStyle w:val="Hyperlink"/>
            <w:rFonts w:ascii="Times New Roman" w:hAnsi="Times New Roman"/>
            <w:sz w:val="28"/>
            <w:szCs w:val="28"/>
          </w:rPr>
          <w:t>mpoyana@ledwaba.co.za</w:t>
        </w:r>
      </w:hyperlink>
    </w:p>
    <w:p w14:paraId="3FE00B62" w14:textId="77777777" w:rsidR="00C91AE5" w:rsidRDefault="00C91AE5" w:rsidP="004311F5">
      <w:pPr>
        <w:pStyle w:val="LegalList1"/>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24F0F">
        <w:rPr>
          <w:rFonts w:ascii="Times New Roman" w:hAnsi="Times New Roman"/>
          <w:sz w:val="28"/>
          <w:szCs w:val="28"/>
        </w:rPr>
        <w:tab/>
      </w:r>
      <w:r w:rsidR="00024F0F">
        <w:rPr>
          <w:rFonts w:ascii="Times New Roman" w:hAnsi="Times New Roman"/>
          <w:sz w:val="28"/>
          <w:szCs w:val="28"/>
        </w:rPr>
        <w:tab/>
      </w:r>
      <w:hyperlink r:id="rId10" w:history="1">
        <w:r w:rsidR="0035389A" w:rsidRPr="008F203C">
          <w:rPr>
            <w:rStyle w:val="Hyperlink"/>
            <w:rFonts w:ascii="Times New Roman" w:hAnsi="Times New Roman"/>
            <w:sz w:val="28"/>
            <w:szCs w:val="28"/>
          </w:rPr>
          <w:t>reception@ledwaba.co.za</w:t>
        </w:r>
      </w:hyperlink>
    </w:p>
    <w:p w14:paraId="11217663" w14:textId="77777777" w:rsidR="0035389A" w:rsidRDefault="0035389A" w:rsidP="004311F5">
      <w:pPr>
        <w:pStyle w:val="LegalList1"/>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24F0F">
        <w:rPr>
          <w:rFonts w:ascii="Times New Roman" w:hAnsi="Times New Roman"/>
          <w:sz w:val="28"/>
          <w:szCs w:val="28"/>
        </w:rPr>
        <w:tab/>
      </w:r>
      <w:r w:rsidR="00024F0F">
        <w:rPr>
          <w:rFonts w:ascii="Times New Roman" w:hAnsi="Times New Roman"/>
          <w:sz w:val="28"/>
          <w:szCs w:val="28"/>
        </w:rPr>
        <w:tab/>
      </w:r>
      <w:hyperlink r:id="rId11" w:history="1">
        <w:r w:rsidRPr="008F203C">
          <w:rPr>
            <w:rStyle w:val="Hyperlink"/>
            <w:rFonts w:ascii="Times New Roman" w:hAnsi="Times New Roman"/>
            <w:sz w:val="28"/>
            <w:szCs w:val="28"/>
          </w:rPr>
          <w:t>luvuyoj@mjulelwainc.co.za</w:t>
        </w:r>
      </w:hyperlink>
    </w:p>
    <w:p w14:paraId="4BC767E4" w14:textId="77777777" w:rsidR="0035389A" w:rsidRDefault="00B234C1" w:rsidP="004311F5">
      <w:pPr>
        <w:pStyle w:val="LegalList1"/>
        <w:spacing w:after="0" w:line="360" w:lineRule="auto"/>
        <w:rPr>
          <w:rFonts w:ascii="Times New Roman" w:hAnsi="Times New Roman"/>
          <w:sz w:val="28"/>
          <w:szCs w:val="28"/>
        </w:rPr>
      </w:pPr>
      <w:r>
        <w:rPr>
          <w:rFonts w:ascii="Times New Roman" w:hAnsi="Times New Roman"/>
          <w:sz w:val="28"/>
          <w:szCs w:val="28"/>
        </w:rPr>
        <w:t>Tel: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047 406 3646</w:t>
      </w:r>
    </w:p>
    <w:p w14:paraId="3BE96AF2" w14:textId="77777777" w:rsidR="004311F5" w:rsidRDefault="004311F5" w:rsidP="004311F5">
      <w:pPr>
        <w:pStyle w:val="LegalList1"/>
        <w:spacing w:after="0" w:line="360" w:lineRule="auto"/>
        <w:rPr>
          <w:rFonts w:ascii="Times New Roman" w:hAnsi="Times New Roman"/>
          <w:sz w:val="28"/>
          <w:szCs w:val="28"/>
        </w:rPr>
      </w:pPr>
    </w:p>
    <w:p w14:paraId="04B8ACF2" w14:textId="77777777" w:rsidR="00024F0F" w:rsidRDefault="004311F5" w:rsidP="004311F5">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w:t>
      </w:r>
      <w:r w:rsidR="0035389A">
        <w:rPr>
          <w:rFonts w:ascii="Times New Roman" w:hAnsi="Times New Roman"/>
          <w:sz w:val="28"/>
          <w:szCs w:val="28"/>
        </w:rPr>
        <w:t xml:space="preserve">First </w:t>
      </w:r>
      <w:r>
        <w:rPr>
          <w:rFonts w:ascii="Times New Roman" w:hAnsi="Times New Roman"/>
          <w:sz w:val="28"/>
          <w:szCs w:val="28"/>
        </w:rPr>
        <w:t>Respondent</w:t>
      </w:r>
      <w:r w:rsidR="0035389A">
        <w:rPr>
          <w:rFonts w:ascii="Times New Roman" w:hAnsi="Times New Roman"/>
          <w:sz w:val="28"/>
          <w:szCs w:val="28"/>
        </w:rPr>
        <w:t>:</w:t>
      </w:r>
      <w:r w:rsidRPr="00B91145">
        <w:rPr>
          <w:rFonts w:ascii="Times New Roman" w:hAnsi="Times New Roman"/>
          <w:sz w:val="28"/>
          <w:szCs w:val="28"/>
        </w:rPr>
        <w:t xml:space="preserve"> </w:t>
      </w:r>
      <w:r w:rsidR="0035389A" w:rsidRPr="00B234C1">
        <w:rPr>
          <w:rFonts w:ascii="Times New Roman" w:hAnsi="Times New Roman"/>
          <w:i/>
          <w:sz w:val="28"/>
          <w:szCs w:val="28"/>
        </w:rPr>
        <w:t>A. Bodlani SC</w:t>
      </w:r>
      <w:r w:rsidR="0035389A">
        <w:rPr>
          <w:rFonts w:ascii="Times New Roman" w:hAnsi="Times New Roman"/>
          <w:sz w:val="28"/>
          <w:szCs w:val="28"/>
        </w:rPr>
        <w:t xml:space="preserve">, </w:t>
      </w:r>
      <w:r>
        <w:rPr>
          <w:rFonts w:ascii="Times New Roman" w:hAnsi="Times New Roman"/>
          <w:sz w:val="28"/>
          <w:szCs w:val="28"/>
        </w:rPr>
        <w:t xml:space="preserve">Instructed by </w:t>
      </w:r>
      <w:r w:rsidR="00024F0F">
        <w:rPr>
          <w:rFonts w:ascii="Times New Roman" w:hAnsi="Times New Roman"/>
          <w:sz w:val="28"/>
          <w:szCs w:val="28"/>
        </w:rPr>
        <w:t>Zilwa Attorneys, Mthatha.</w:t>
      </w:r>
    </w:p>
    <w:p w14:paraId="3BCF6A06" w14:textId="77777777" w:rsidR="004311F5" w:rsidRDefault="00024F0F" w:rsidP="004311F5">
      <w:pPr>
        <w:pStyle w:val="LegalList1"/>
        <w:spacing w:after="0" w:line="360" w:lineRule="auto"/>
        <w:rPr>
          <w:rFonts w:ascii="Times New Roman" w:hAnsi="Times New Roman"/>
          <w:sz w:val="28"/>
          <w:szCs w:val="28"/>
        </w:rPr>
      </w:pPr>
      <w:r>
        <w:rPr>
          <w:rFonts w:ascii="Times New Roman" w:hAnsi="Times New Roman"/>
          <w:sz w:val="28"/>
          <w:szCs w:val="28"/>
        </w:rPr>
        <w:t xml:space="preserve">Email: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hyperlink r:id="rId12" w:history="1">
        <w:r w:rsidRPr="008F203C">
          <w:rPr>
            <w:rStyle w:val="Hyperlink"/>
            <w:rFonts w:ascii="Times New Roman" w:hAnsi="Times New Roman"/>
            <w:sz w:val="28"/>
            <w:szCs w:val="28"/>
          </w:rPr>
          <w:t>zilwa@zilwaattorneys.co.za</w:t>
        </w:r>
      </w:hyperlink>
    </w:p>
    <w:p w14:paraId="1F23452B" w14:textId="77777777" w:rsidR="00024F0F" w:rsidRDefault="00B234C1" w:rsidP="004311F5">
      <w:pPr>
        <w:pStyle w:val="LegalList1"/>
        <w:spacing w:after="0" w:line="360" w:lineRule="auto"/>
        <w:rPr>
          <w:rFonts w:ascii="Times New Roman" w:hAnsi="Times New Roman"/>
          <w:sz w:val="28"/>
          <w:szCs w:val="28"/>
        </w:rPr>
      </w:pPr>
      <w:r>
        <w:rPr>
          <w:rFonts w:ascii="Times New Roman" w:hAnsi="Times New Roman"/>
          <w:sz w:val="28"/>
          <w:szCs w:val="28"/>
        </w:rPr>
        <w:t>Tel: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047 5311 572</w:t>
      </w:r>
    </w:p>
    <w:p w14:paraId="2721460F" w14:textId="77777777" w:rsidR="004311F5" w:rsidRDefault="004311F5" w:rsidP="004311F5">
      <w:pPr>
        <w:pStyle w:val="LegalList1"/>
        <w:spacing w:after="0" w:line="360" w:lineRule="auto"/>
        <w:rPr>
          <w:rFonts w:ascii="Times New Roman" w:hAnsi="Times New Roman"/>
          <w:sz w:val="28"/>
          <w:szCs w:val="28"/>
        </w:rPr>
      </w:pPr>
    </w:p>
    <w:p w14:paraId="42897335" w14:textId="77777777" w:rsidR="004311F5" w:rsidRDefault="004311F5" w:rsidP="004311F5">
      <w:pPr>
        <w:pStyle w:val="LegalList1"/>
        <w:spacing w:after="0" w:line="360" w:lineRule="auto"/>
        <w:rPr>
          <w:rFonts w:ascii="Times New Roman" w:hAnsi="Times New Roman"/>
          <w:sz w:val="28"/>
          <w:szCs w:val="28"/>
        </w:rPr>
      </w:pPr>
    </w:p>
    <w:p w14:paraId="2E159637" w14:textId="77777777" w:rsidR="004311F5" w:rsidRDefault="004311F5" w:rsidP="004311F5">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sidR="00B234C1">
        <w:rPr>
          <w:rFonts w:ascii="Times New Roman" w:hAnsi="Times New Roman"/>
          <w:sz w:val="28"/>
          <w:szCs w:val="28"/>
        </w:rPr>
        <w:tab/>
      </w:r>
      <w:r w:rsidR="004F4514">
        <w:rPr>
          <w:rFonts w:ascii="Times New Roman" w:hAnsi="Times New Roman"/>
          <w:sz w:val="28"/>
          <w:szCs w:val="28"/>
        </w:rPr>
        <w:t>06 March 2024</w:t>
      </w:r>
      <w:r>
        <w:rPr>
          <w:rFonts w:ascii="Times New Roman" w:hAnsi="Times New Roman"/>
          <w:sz w:val="28"/>
          <w:szCs w:val="28"/>
        </w:rPr>
        <w:t>.</w:t>
      </w:r>
    </w:p>
    <w:p w14:paraId="0D308D48" w14:textId="77777777" w:rsidR="005C2004" w:rsidRPr="0044441A" w:rsidRDefault="004311F5" w:rsidP="003058B9">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sidR="00B234C1">
        <w:rPr>
          <w:rFonts w:ascii="Times New Roman" w:hAnsi="Times New Roman"/>
          <w:sz w:val="28"/>
          <w:szCs w:val="28"/>
        </w:rPr>
        <w:tab/>
      </w:r>
      <w:r w:rsidR="004F4514">
        <w:rPr>
          <w:rFonts w:ascii="Times New Roman" w:hAnsi="Times New Roman"/>
          <w:sz w:val="28"/>
          <w:szCs w:val="28"/>
        </w:rPr>
        <w:t xml:space="preserve">27 </w:t>
      </w:r>
      <w:r w:rsidR="008C6FE0">
        <w:rPr>
          <w:rFonts w:ascii="Times New Roman" w:hAnsi="Times New Roman"/>
          <w:sz w:val="28"/>
          <w:szCs w:val="28"/>
        </w:rPr>
        <w:t xml:space="preserve">March 2024 (electronically </w:t>
      </w:r>
      <w:r w:rsidR="008C6FE0" w:rsidRPr="008C6FE0">
        <w:rPr>
          <w:rFonts w:ascii="Times New Roman" w:hAnsi="Times New Roman"/>
          <w:i/>
          <w:sz w:val="28"/>
          <w:szCs w:val="28"/>
        </w:rPr>
        <w:t>via</w:t>
      </w:r>
      <w:r w:rsidR="008C6FE0">
        <w:rPr>
          <w:rFonts w:ascii="Times New Roman" w:hAnsi="Times New Roman"/>
          <w:sz w:val="28"/>
          <w:szCs w:val="28"/>
        </w:rPr>
        <w:t xml:space="preserve"> email at 09h30)</w:t>
      </w:r>
    </w:p>
    <w:sectPr w:rsidR="005C2004" w:rsidRPr="0044441A" w:rsidSect="00F81D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F78F" w14:textId="77777777" w:rsidR="00B603E2" w:rsidRDefault="00B603E2" w:rsidP="00354A12">
      <w:pPr>
        <w:spacing w:line="240" w:lineRule="auto"/>
      </w:pPr>
      <w:r>
        <w:separator/>
      </w:r>
    </w:p>
  </w:endnote>
  <w:endnote w:type="continuationSeparator" w:id="0">
    <w:p w14:paraId="59AFE19B" w14:textId="77777777" w:rsidR="00B603E2" w:rsidRDefault="00B603E2"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3325" w14:textId="77777777" w:rsidR="007D2451" w:rsidRDefault="007D24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463D" w14:textId="77777777" w:rsidR="007D2451" w:rsidRDefault="007D24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1EF0" w14:textId="77777777" w:rsidR="007D2451" w:rsidRDefault="007D24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CCA6" w14:textId="77777777" w:rsidR="00B603E2" w:rsidRDefault="00B603E2" w:rsidP="00354A12">
      <w:pPr>
        <w:spacing w:line="240" w:lineRule="auto"/>
      </w:pPr>
      <w:r>
        <w:separator/>
      </w:r>
    </w:p>
  </w:footnote>
  <w:footnote w:type="continuationSeparator" w:id="0">
    <w:p w14:paraId="3357AC2F" w14:textId="77777777" w:rsidR="00B603E2" w:rsidRDefault="00B603E2" w:rsidP="00354A12">
      <w:pPr>
        <w:spacing w:line="240" w:lineRule="auto"/>
      </w:pPr>
      <w:r>
        <w:continuationSeparator/>
      </w:r>
    </w:p>
  </w:footnote>
  <w:footnote w:id="1">
    <w:p w14:paraId="7EAD3235" w14:textId="77777777" w:rsidR="007D2451" w:rsidRPr="00D979FB" w:rsidRDefault="007D2451" w:rsidP="00DE403B">
      <w:pPr>
        <w:pStyle w:val="FootnoteText"/>
        <w:jc w:val="both"/>
        <w:rPr>
          <w:rFonts w:ascii="Times New Roman" w:hAnsi="Times New Roman" w:cs="Times New Roman"/>
        </w:rPr>
      </w:pPr>
      <w:r w:rsidRPr="00D979FB">
        <w:rPr>
          <w:rStyle w:val="FootnoteReference"/>
          <w:rFonts w:ascii="Times New Roman" w:hAnsi="Times New Roman" w:cs="Times New Roman"/>
        </w:rPr>
        <w:footnoteRef/>
      </w:r>
      <w:r w:rsidRPr="00D979FB">
        <w:rPr>
          <w:rFonts w:ascii="Times New Roman" w:hAnsi="Times New Roman" w:cs="Times New Roman"/>
        </w:rPr>
        <w:t xml:space="preserve"> Superior Courts Act 10 of 2013.</w:t>
      </w:r>
    </w:p>
  </w:footnote>
  <w:footnote w:id="2">
    <w:p w14:paraId="556C1490" w14:textId="77777777" w:rsidR="007D2451" w:rsidRPr="00F20478" w:rsidRDefault="007D2451">
      <w:pPr>
        <w:pStyle w:val="FootnoteText"/>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w:t>
      </w:r>
      <w:r w:rsidRPr="00C96043">
        <w:rPr>
          <w:rFonts w:ascii="Times New Roman" w:hAnsi="Times New Roman" w:cs="Times New Roman"/>
          <w:i/>
        </w:rPr>
        <w:t>Ntlemeza v Helen Suzman Foundation</w:t>
      </w:r>
      <w:r w:rsidRPr="00F20478">
        <w:rPr>
          <w:rFonts w:ascii="Times New Roman" w:hAnsi="Times New Roman" w:cs="Times New Roman"/>
        </w:rPr>
        <w:t xml:space="preserve"> 2017 (5) SA 402 (SCA) at 413B.</w:t>
      </w:r>
    </w:p>
  </w:footnote>
  <w:footnote w:id="3">
    <w:p w14:paraId="2E5DB526" w14:textId="77777777" w:rsidR="007D2451" w:rsidRPr="00F20478" w:rsidRDefault="007D2451">
      <w:pPr>
        <w:pStyle w:val="FootnoteText"/>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w:t>
      </w:r>
      <w:r w:rsidRPr="00C96043">
        <w:rPr>
          <w:rFonts w:ascii="Times New Roman" w:hAnsi="Times New Roman" w:cs="Times New Roman"/>
          <w:i/>
        </w:rPr>
        <w:t>Standard Bank of South Africa Ltd v Stama (Pty) Ltd</w:t>
      </w:r>
      <w:r w:rsidRPr="00F20478">
        <w:rPr>
          <w:rFonts w:ascii="Times New Roman" w:hAnsi="Times New Roman" w:cs="Times New Roman"/>
        </w:rPr>
        <w:t xml:space="preserve"> 1975 (1) SA 730 (A) at 746A; also </w:t>
      </w:r>
      <w:r w:rsidRPr="00C96043">
        <w:rPr>
          <w:rFonts w:ascii="Times New Roman" w:hAnsi="Times New Roman" w:cs="Times New Roman"/>
          <w:i/>
        </w:rPr>
        <w:t xml:space="preserve">Sirioupoulos v Tzerefos </w:t>
      </w:r>
      <w:r w:rsidRPr="00F20478">
        <w:rPr>
          <w:rFonts w:ascii="Times New Roman" w:hAnsi="Times New Roman" w:cs="Times New Roman"/>
        </w:rPr>
        <w:t>1979 (3) SA 1197 (O) at 1201D-H.</w:t>
      </w:r>
    </w:p>
  </w:footnote>
  <w:footnote w:id="4">
    <w:p w14:paraId="5BFB4EAA" w14:textId="77777777" w:rsidR="007D2451" w:rsidRPr="00F20478" w:rsidRDefault="007D2451">
      <w:pPr>
        <w:pStyle w:val="FootnoteText"/>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Erasmus, </w:t>
      </w:r>
      <w:r w:rsidRPr="00F20478">
        <w:rPr>
          <w:rFonts w:ascii="Times New Roman" w:hAnsi="Times New Roman" w:cs="Times New Roman"/>
          <w:i/>
        </w:rPr>
        <w:t>Superior Court Practice</w:t>
      </w:r>
      <w:r w:rsidRPr="00F20478">
        <w:rPr>
          <w:rFonts w:ascii="Times New Roman" w:hAnsi="Times New Roman" w:cs="Times New Roman"/>
        </w:rPr>
        <w:t>, D1-662 [Service 21, 2023].</w:t>
      </w:r>
    </w:p>
  </w:footnote>
  <w:footnote w:id="5">
    <w:p w14:paraId="5305C41F"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Properly cited as </w:t>
      </w:r>
      <w:r w:rsidRPr="00F20478">
        <w:rPr>
          <w:rFonts w:ascii="Times New Roman" w:hAnsi="Times New Roman" w:cs="Times New Roman"/>
          <w:i/>
        </w:rPr>
        <w:t>Modderfontein Squatters, Greater Benoni City Council v Modderklip Boerdery (Pty) Ltd (Agri SA and Legal Resources Centre, Amici Curiae), President of the Republic of South Africa and Others v Modderklip Boerdery (Pty) Ltd (Agri SA and Legal Resources Centre, Amici Curiae)</w:t>
      </w:r>
      <w:r w:rsidRPr="00F20478">
        <w:rPr>
          <w:rFonts w:ascii="Times New Roman" w:hAnsi="Times New Roman" w:cs="Times New Roman"/>
        </w:rPr>
        <w:t xml:space="preserve"> 2004 (6) SA 40 para 46.</w:t>
      </w:r>
    </w:p>
  </w:footnote>
  <w:footnote w:id="6">
    <w:p w14:paraId="1F41B67A"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By GN R472 of 12 July 2013. In its previous formulation the sub-rule read: ‘Where an appeal has been noted or an application for leave to appeal against or to rescind, correct, review or vary an order of a court has been made, the operation and execution of the order in question shall be suspended, pending the decision of such appeal or application, unless the court which gave such order, on the application of a party, otherwise directs.’</w:t>
      </w:r>
    </w:p>
  </w:footnote>
  <w:footnote w:id="7">
    <w:p w14:paraId="3702184C"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w:t>
      </w:r>
      <w:r w:rsidRPr="00F20478">
        <w:rPr>
          <w:rFonts w:ascii="Times New Roman" w:hAnsi="Times New Roman" w:cs="Times New Roman"/>
          <w:i/>
        </w:rPr>
        <w:t>Duduzile Cynthia Myeni v Organisation Undoing Tax Abuse NPC and another</w:t>
      </w:r>
      <w:r w:rsidRPr="00F20478">
        <w:rPr>
          <w:rFonts w:ascii="Times New Roman" w:hAnsi="Times New Roman" w:cs="Times New Roman"/>
        </w:rPr>
        <w:t xml:space="preserve"> [</w:t>
      </w:r>
      <w:r>
        <w:rPr>
          <w:rFonts w:ascii="Times New Roman" w:hAnsi="Times New Roman" w:cs="Times New Roman"/>
        </w:rPr>
        <w:t>2021] ZAGPPHC 56.</w:t>
      </w:r>
    </w:p>
  </w:footnote>
  <w:footnote w:id="8">
    <w:p w14:paraId="666AFB5E"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w:t>
      </w:r>
      <w:r w:rsidRPr="00F20478">
        <w:rPr>
          <w:rFonts w:ascii="Times New Roman" w:hAnsi="Times New Roman" w:cs="Times New Roman"/>
          <w:i/>
        </w:rPr>
        <w:t>Duduzile Cynthia Myeni v Organisation Undoing Tax Abuse NPC and another</w:t>
      </w:r>
      <w:r w:rsidRPr="00F20478">
        <w:rPr>
          <w:rFonts w:ascii="Times New Roman" w:hAnsi="Times New Roman" w:cs="Times New Roman"/>
        </w:rPr>
        <w:t xml:space="preserve"> </w:t>
      </w:r>
      <w:r w:rsidR="00457913" w:rsidRPr="00C411C6">
        <w:rPr>
          <w:rFonts w:ascii="Times New Roman" w:hAnsi="Times New Roman" w:cs="Times New Roman"/>
        </w:rPr>
        <w:t>id</w:t>
      </w:r>
      <w:r w:rsidR="00457913" w:rsidRPr="00457913">
        <w:rPr>
          <w:rFonts w:ascii="Times New Roman" w:hAnsi="Times New Roman" w:cs="Times New Roman"/>
          <w:i/>
        </w:rPr>
        <w:t xml:space="preserve"> </w:t>
      </w:r>
      <w:r>
        <w:rPr>
          <w:rFonts w:ascii="Times New Roman" w:hAnsi="Times New Roman" w:cs="Times New Roman"/>
        </w:rPr>
        <w:t>para 18.</w:t>
      </w:r>
    </w:p>
  </w:footnote>
  <w:footnote w:id="9">
    <w:p w14:paraId="313A243C" w14:textId="77777777" w:rsidR="007D2451" w:rsidRDefault="007D2451">
      <w:pPr>
        <w:pStyle w:val="FootnoteText"/>
      </w:pPr>
      <w:r w:rsidRPr="00457253">
        <w:rPr>
          <w:rStyle w:val="FootnoteReference"/>
          <w:rFonts w:ascii="Times New Roman" w:hAnsi="Times New Roman" w:cs="Times New Roman"/>
        </w:rPr>
        <w:footnoteRef/>
      </w:r>
      <w:r w:rsidRPr="00457253">
        <w:rPr>
          <w:rFonts w:ascii="Times New Roman" w:hAnsi="Times New Roman" w:cs="Times New Roman"/>
        </w:rPr>
        <w:t xml:space="preserve"> </w:t>
      </w:r>
      <w:r w:rsidRPr="00457253">
        <w:rPr>
          <w:rFonts w:ascii="Times New Roman" w:hAnsi="Times New Roman" w:cs="Times New Roman"/>
          <w:i/>
        </w:rPr>
        <w:t>D</w:t>
      </w:r>
      <w:r w:rsidRPr="00F20478">
        <w:rPr>
          <w:rFonts w:ascii="Times New Roman" w:hAnsi="Times New Roman" w:cs="Times New Roman"/>
          <w:i/>
        </w:rPr>
        <w:t>uduzile Cynthia Myeni v Organisation Undoing Tax Abuse NPC and another</w:t>
      </w:r>
      <w:r w:rsidRPr="00F20478">
        <w:rPr>
          <w:rFonts w:ascii="Times New Roman" w:hAnsi="Times New Roman" w:cs="Times New Roman"/>
        </w:rPr>
        <w:t xml:space="preserve"> </w:t>
      </w:r>
      <w:r w:rsidR="00457913" w:rsidRPr="00C411C6">
        <w:rPr>
          <w:rFonts w:ascii="Times New Roman" w:hAnsi="Times New Roman" w:cs="Times New Roman"/>
        </w:rPr>
        <w:t>id</w:t>
      </w:r>
      <w:r w:rsidR="00457913" w:rsidRPr="00457913">
        <w:rPr>
          <w:rFonts w:ascii="Times New Roman" w:hAnsi="Times New Roman" w:cs="Times New Roman"/>
          <w:i/>
        </w:rPr>
        <w:t xml:space="preserve"> </w:t>
      </w:r>
      <w:r>
        <w:rPr>
          <w:rFonts w:ascii="Times New Roman" w:hAnsi="Times New Roman" w:cs="Times New Roman"/>
        </w:rPr>
        <w:t xml:space="preserve">para </w:t>
      </w:r>
      <w:r w:rsidR="009112D1">
        <w:rPr>
          <w:rFonts w:ascii="Times New Roman" w:hAnsi="Times New Roman" w:cs="Times New Roman"/>
        </w:rPr>
        <w:t>1</w:t>
      </w:r>
      <w:r>
        <w:rPr>
          <w:rFonts w:ascii="Times New Roman" w:hAnsi="Times New Roman" w:cs="Times New Roman"/>
        </w:rPr>
        <w:t>9.</w:t>
      </w:r>
    </w:p>
  </w:footnote>
  <w:footnote w:id="10">
    <w:p w14:paraId="1E8CD888" w14:textId="77777777" w:rsidR="007D2451" w:rsidRPr="00273057" w:rsidRDefault="007D2451">
      <w:pPr>
        <w:pStyle w:val="FootnoteText"/>
        <w:rPr>
          <w:rFonts w:ascii="Times New Roman" w:hAnsi="Times New Roman" w:cs="Times New Roman"/>
        </w:rPr>
      </w:pPr>
      <w:r w:rsidRPr="00273057">
        <w:rPr>
          <w:rStyle w:val="FootnoteReference"/>
          <w:rFonts w:ascii="Times New Roman" w:hAnsi="Times New Roman" w:cs="Times New Roman"/>
        </w:rPr>
        <w:footnoteRef/>
      </w:r>
      <w:r w:rsidRPr="00273057">
        <w:rPr>
          <w:rFonts w:ascii="Times New Roman" w:hAnsi="Times New Roman" w:cs="Times New Roman"/>
        </w:rPr>
        <w:t xml:space="preserve"> See paragraph 6 of the judgment.</w:t>
      </w:r>
    </w:p>
  </w:footnote>
  <w:footnote w:id="11">
    <w:p w14:paraId="1C5B9EDE"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sidRPr="00F20478">
        <w:rPr>
          <w:rFonts w:ascii="Times New Roman" w:hAnsi="Times New Roman" w:cs="Times New Roman"/>
        </w:rPr>
        <w:t xml:space="preserve"> [2022] ZAGPJHC 135 para 4.</w:t>
      </w:r>
    </w:p>
  </w:footnote>
  <w:footnote w:id="12">
    <w:p w14:paraId="01EA6CBD" w14:textId="77777777" w:rsidR="007D2451" w:rsidRPr="00F20478" w:rsidRDefault="007D2451" w:rsidP="00D979FB">
      <w:pPr>
        <w:pStyle w:val="FootnoteText"/>
        <w:jc w:val="both"/>
        <w:rPr>
          <w:rFonts w:ascii="Times New Roman" w:hAnsi="Times New Roman" w:cs="Times New Roman"/>
        </w:rPr>
      </w:pPr>
      <w:r w:rsidRPr="00F20478">
        <w:rPr>
          <w:rStyle w:val="FootnoteReference"/>
          <w:rFonts w:ascii="Times New Roman" w:hAnsi="Times New Roman" w:cs="Times New Roman"/>
        </w:rPr>
        <w:footnoteRef/>
      </w:r>
      <w:r>
        <w:rPr>
          <w:rFonts w:ascii="Times New Roman" w:hAnsi="Times New Roman" w:cs="Times New Roman"/>
        </w:rPr>
        <w:t xml:space="preserve"> [2024] ZAGPJHC 1766 para 12</w:t>
      </w:r>
      <w:r w:rsidRPr="00F20478">
        <w:rPr>
          <w:rFonts w:ascii="Times New Roman" w:hAnsi="Times New Roman" w:cs="Times New Roman"/>
        </w:rPr>
        <w:t>.</w:t>
      </w:r>
    </w:p>
  </w:footnote>
  <w:footnote w:id="13">
    <w:p w14:paraId="195A4A15" w14:textId="77777777" w:rsidR="007D2451" w:rsidRDefault="007D2451" w:rsidP="00D979FB">
      <w:pPr>
        <w:pStyle w:val="FootnoteText"/>
        <w:jc w:val="both"/>
      </w:pPr>
      <w:r w:rsidRPr="00D979FB">
        <w:rPr>
          <w:rStyle w:val="FootnoteReference"/>
          <w:rFonts w:ascii="Times New Roman" w:hAnsi="Times New Roman" w:cs="Times New Roman"/>
        </w:rPr>
        <w:footnoteRef/>
      </w:r>
      <w:r w:rsidRPr="00D979FB">
        <w:rPr>
          <w:rFonts w:ascii="Times New Roman" w:hAnsi="Times New Roman" w:cs="Times New Roman"/>
        </w:rPr>
        <w:t xml:space="preserve"> E A Kellaway, </w:t>
      </w:r>
      <w:r w:rsidRPr="00D979FB">
        <w:rPr>
          <w:rFonts w:ascii="Times New Roman" w:hAnsi="Times New Roman" w:cs="Times New Roman"/>
          <w:i/>
        </w:rPr>
        <w:t>Principles of Legal Interpretation</w:t>
      </w:r>
      <w:r w:rsidRPr="00D979FB">
        <w:rPr>
          <w:rFonts w:ascii="Times New Roman" w:hAnsi="Times New Roman" w:cs="Times New Roman"/>
        </w:rPr>
        <w:t>, at p16.</w:t>
      </w:r>
    </w:p>
  </w:footnote>
  <w:footnote w:id="14">
    <w:p w14:paraId="37D8BCAE" w14:textId="77777777" w:rsidR="00ED18E9" w:rsidRPr="0030791E" w:rsidRDefault="00ED18E9">
      <w:pPr>
        <w:pStyle w:val="FootnoteText"/>
        <w:rPr>
          <w:rFonts w:ascii="Times New Roman" w:hAnsi="Times New Roman" w:cs="Times New Roman"/>
        </w:rPr>
      </w:pPr>
      <w:r w:rsidRPr="0030791E">
        <w:rPr>
          <w:rStyle w:val="FootnoteReference"/>
          <w:rFonts w:ascii="Times New Roman" w:hAnsi="Times New Roman" w:cs="Times New Roman"/>
        </w:rPr>
        <w:footnoteRef/>
      </w:r>
      <w:r w:rsidRPr="0030791E">
        <w:rPr>
          <w:rFonts w:ascii="Times New Roman" w:hAnsi="Times New Roman" w:cs="Times New Roman"/>
        </w:rPr>
        <w:t xml:space="preserve"> Gois t/a Shakespeare’s Pub v Van Zyl 2011 (1) SA 148 (LC) at 155</w:t>
      </w:r>
      <w:r w:rsidR="0030791E">
        <w:rPr>
          <w:rFonts w:ascii="Times New Roman" w:hAnsi="Times New Roman" w:cs="Times New Roman"/>
        </w:rPr>
        <w:t>H</w:t>
      </w:r>
      <w:r w:rsidRPr="0030791E">
        <w:rPr>
          <w:rFonts w:ascii="Times New Roman" w:hAnsi="Times New Roman" w:cs="Times New Roman"/>
        </w:rPr>
        <w:t>-156B.</w:t>
      </w:r>
    </w:p>
  </w:footnote>
  <w:footnote w:id="15">
    <w:p w14:paraId="10CB40C5" w14:textId="77777777" w:rsidR="00AB0BC9" w:rsidRPr="00AB0BC9" w:rsidRDefault="00AB0BC9">
      <w:pPr>
        <w:pStyle w:val="FootnoteText"/>
        <w:rPr>
          <w:rFonts w:ascii="Times New Roman" w:hAnsi="Times New Roman" w:cs="Times New Roman"/>
        </w:rPr>
      </w:pPr>
      <w:r w:rsidRPr="00AB0BC9">
        <w:rPr>
          <w:rStyle w:val="FootnoteReference"/>
          <w:rFonts w:ascii="Times New Roman" w:hAnsi="Times New Roman" w:cs="Times New Roman"/>
        </w:rPr>
        <w:footnoteRef/>
      </w:r>
      <w:r w:rsidRPr="00AB0BC9">
        <w:rPr>
          <w:rFonts w:ascii="Times New Roman" w:hAnsi="Times New Roman" w:cs="Times New Roman"/>
        </w:rPr>
        <w:t xml:space="preserve"> Erasmus, </w:t>
      </w:r>
      <w:r w:rsidRPr="00AB0BC9">
        <w:rPr>
          <w:rFonts w:ascii="Times New Roman" w:hAnsi="Times New Roman" w:cs="Times New Roman"/>
          <w:i/>
        </w:rPr>
        <w:t>Superior Court Practice</w:t>
      </w:r>
      <w:r w:rsidRPr="00AB0BC9">
        <w:rPr>
          <w:rFonts w:ascii="Times New Roman" w:hAnsi="Times New Roman" w:cs="Times New Roman"/>
        </w:rPr>
        <w:t>, D1-6</w:t>
      </w:r>
      <w:r w:rsidR="00EE1300">
        <w:rPr>
          <w:rFonts w:ascii="Times New Roman" w:hAnsi="Times New Roman" w:cs="Times New Roman"/>
        </w:rPr>
        <w:t>04A</w:t>
      </w:r>
      <w:r w:rsidRPr="00AB0BC9">
        <w:rPr>
          <w:rFonts w:ascii="Times New Roman" w:hAnsi="Times New Roman" w:cs="Times New Roman"/>
        </w:rPr>
        <w:t xml:space="preserve"> [Service 21, 2023].</w:t>
      </w:r>
    </w:p>
  </w:footnote>
  <w:footnote w:id="16">
    <w:p w14:paraId="60808C13" w14:textId="77777777" w:rsidR="00D413D7" w:rsidRPr="00F71FCD" w:rsidRDefault="00D413D7" w:rsidP="00D413D7">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sidRPr="00F71FCD">
        <w:rPr>
          <w:rFonts w:ascii="Times New Roman" w:hAnsi="Times New Roman" w:cs="Times New Roman"/>
          <w:i/>
        </w:rPr>
        <w:t>R v Dhlumayo and Another</w:t>
      </w:r>
      <w:r w:rsidRPr="00F71FCD">
        <w:rPr>
          <w:rFonts w:ascii="Times New Roman" w:hAnsi="Times New Roman" w:cs="Times New Roman"/>
        </w:rPr>
        <w:t xml:space="preserve"> </w:t>
      </w:r>
      <w:r w:rsidRPr="00F71FCD">
        <w:rPr>
          <w:rFonts w:ascii="Times New Roman" w:hAnsi="Times New Roman" w:cs="Times New Roman"/>
          <w:lang w:val="en-GB"/>
        </w:rPr>
        <w:t xml:space="preserve">1948 (2) SA 677 (A) at 678; ICM v The State [2022] ZASCA 108 para 40; </w:t>
      </w:r>
      <w:r w:rsidRPr="00863181">
        <w:rPr>
          <w:rFonts w:ascii="Times New Roman" w:hAnsi="Times New Roman" w:cs="Times New Roman"/>
          <w:i/>
          <w:lang w:val="en-GB"/>
        </w:rPr>
        <w:t xml:space="preserve">Van Heerden &amp; Brummer Inc v Bath </w:t>
      </w:r>
      <w:r w:rsidRPr="00F71FCD">
        <w:rPr>
          <w:rFonts w:ascii="Times New Roman" w:hAnsi="Times New Roman" w:cs="Times New Roman"/>
          <w:lang w:val="en-GB"/>
        </w:rPr>
        <w:t>[2021] ZASCA 80 para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64C6" w14:textId="77777777" w:rsidR="007D2451" w:rsidRDefault="007D24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431E23F6" w14:textId="10F3018E" w:rsidR="007D2451" w:rsidRPr="00B564A2" w:rsidRDefault="007D2451">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4414A7">
          <w:rPr>
            <w:rFonts w:ascii="Times New Roman" w:hAnsi="Times New Roman" w:cs="Times New Roman"/>
            <w:noProof/>
            <w:sz w:val="28"/>
            <w:szCs w:val="28"/>
          </w:rPr>
          <w:t>2</w:t>
        </w:r>
        <w:r w:rsidRPr="00B564A2">
          <w:rPr>
            <w:rFonts w:ascii="Times New Roman" w:hAnsi="Times New Roman" w:cs="Times New Roman"/>
            <w:noProof/>
            <w:sz w:val="28"/>
            <w:szCs w:val="28"/>
          </w:rPr>
          <w:fldChar w:fldCharType="end"/>
        </w:r>
      </w:p>
    </w:sdtContent>
  </w:sdt>
  <w:p w14:paraId="7656728D" w14:textId="77777777" w:rsidR="007D2451" w:rsidRDefault="007D24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B495" w14:textId="77777777" w:rsidR="007D2451" w:rsidRDefault="007D24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34200CF"/>
    <w:multiLevelType w:val="hybridMultilevel"/>
    <w:tmpl w:val="7B0E37F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3BB919-A645-4B84-AB44-600A30B53E18}"/>
    <w:docVar w:name="dgnword-eventsink" w:val="494927064"/>
  </w:docVars>
  <w:rsids>
    <w:rsidRoot w:val="00354A12"/>
    <w:rsid w:val="00000BC0"/>
    <w:rsid w:val="00002701"/>
    <w:rsid w:val="00005676"/>
    <w:rsid w:val="000063D9"/>
    <w:rsid w:val="00015294"/>
    <w:rsid w:val="000235C1"/>
    <w:rsid w:val="00024F0F"/>
    <w:rsid w:val="00026DB4"/>
    <w:rsid w:val="000335D9"/>
    <w:rsid w:val="00037A2D"/>
    <w:rsid w:val="00043CC3"/>
    <w:rsid w:val="0006185C"/>
    <w:rsid w:val="00067761"/>
    <w:rsid w:val="00087748"/>
    <w:rsid w:val="000901EF"/>
    <w:rsid w:val="000911FB"/>
    <w:rsid w:val="000941DA"/>
    <w:rsid w:val="000A346A"/>
    <w:rsid w:val="000B4B42"/>
    <w:rsid w:val="000C201F"/>
    <w:rsid w:val="000D1DCE"/>
    <w:rsid w:val="000E0D1F"/>
    <w:rsid w:val="000E17F4"/>
    <w:rsid w:val="000E4183"/>
    <w:rsid w:val="000E4470"/>
    <w:rsid w:val="000E71F0"/>
    <w:rsid w:val="000F0409"/>
    <w:rsid w:val="000F6807"/>
    <w:rsid w:val="000F6E5B"/>
    <w:rsid w:val="00101C2D"/>
    <w:rsid w:val="00104F78"/>
    <w:rsid w:val="0011177C"/>
    <w:rsid w:val="00114834"/>
    <w:rsid w:val="00116C43"/>
    <w:rsid w:val="00120B23"/>
    <w:rsid w:val="001225DC"/>
    <w:rsid w:val="0012321D"/>
    <w:rsid w:val="001315FB"/>
    <w:rsid w:val="00133C7B"/>
    <w:rsid w:val="001341CF"/>
    <w:rsid w:val="001360E5"/>
    <w:rsid w:val="001462E5"/>
    <w:rsid w:val="00147264"/>
    <w:rsid w:val="001473D4"/>
    <w:rsid w:val="00152A2B"/>
    <w:rsid w:val="00153E94"/>
    <w:rsid w:val="00156172"/>
    <w:rsid w:val="00157E3A"/>
    <w:rsid w:val="00160CED"/>
    <w:rsid w:val="00164247"/>
    <w:rsid w:val="00165416"/>
    <w:rsid w:val="00167313"/>
    <w:rsid w:val="00173DDB"/>
    <w:rsid w:val="00174BDF"/>
    <w:rsid w:val="00177087"/>
    <w:rsid w:val="00184FC7"/>
    <w:rsid w:val="00187382"/>
    <w:rsid w:val="001911DF"/>
    <w:rsid w:val="00193F50"/>
    <w:rsid w:val="001953B9"/>
    <w:rsid w:val="001A1120"/>
    <w:rsid w:val="001A2464"/>
    <w:rsid w:val="001A4C42"/>
    <w:rsid w:val="001A581E"/>
    <w:rsid w:val="001A78A8"/>
    <w:rsid w:val="001B2FE7"/>
    <w:rsid w:val="001C71B7"/>
    <w:rsid w:val="001D47AE"/>
    <w:rsid w:val="001D7121"/>
    <w:rsid w:val="001D75B7"/>
    <w:rsid w:val="001E06BE"/>
    <w:rsid w:val="001E36A5"/>
    <w:rsid w:val="001E7E0A"/>
    <w:rsid w:val="001F0F83"/>
    <w:rsid w:val="001F3139"/>
    <w:rsid w:val="002006EB"/>
    <w:rsid w:val="00203577"/>
    <w:rsid w:val="002036E2"/>
    <w:rsid w:val="002062B7"/>
    <w:rsid w:val="00211EB5"/>
    <w:rsid w:val="0021544A"/>
    <w:rsid w:val="00215DE6"/>
    <w:rsid w:val="0022068E"/>
    <w:rsid w:val="002334FF"/>
    <w:rsid w:val="00236A7B"/>
    <w:rsid w:val="00237BFD"/>
    <w:rsid w:val="00243A4B"/>
    <w:rsid w:val="00243C31"/>
    <w:rsid w:val="00250FE0"/>
    <w:rsid w:val="00252F99"/>
    <w:rsid w:val="00260DCB"/>
    <w:rsid w:val="00264635"/>
    <w:rsid w:val="002675D5"/>
    <w:rsid w:val="00273057"/>
    <w:rsid w:val="00281757"/>
    <w:rsid w:val="002A0D9D"/>
    <w:rsid w:val="002A3865"/>
    <w:rsid w:val="002A5E11"/>
    <w:rsid w:val="002A60EF"/>
    <w:rsid w:val="002B0500"/>
    <w:rsid w:val="002B5B7D"/>
    <w:rsid w:val="002B5C94"/>
    <w:rsid w:val="002B6DB1"/>
    <w:rsid w:val="002B7A11"/>
    <w:rsid w:val="002C2059"/>
    <w:rsid w:val="002C73B6"/>
    <w:rsid w:val="002D4283"/>
    <w:rsid w:val="002D6A6C"/>
    <w:rsid w:val="002E0733"/>
    <w:rsid w:val="002E4C0F"/>
    <w:rsid w:val="002E66B9"/>
    <w:rsid w:val="002F5977"/>
    <w:rsid w:val="002F770A"/>
    <w:rsid w:val="003019B4"/>
    <w:rsid w:val="00302B82"/>
    <w:rsid w:val="00303CE9"/>
    <w:rsid w:val="00303F42"/>
    <w:rsid w:val="003058B9"/>
    <w:rsid w:val="003060B2"/>
    <w:rsid w:val="0030791E"/>
    <w:rsid w:val="003219DC"/>
    <w:rsid w:val="00324991"/>
    <w:rsid w:val="0033383F"/>
    <w:rsid w:val="00335DFA"/>
    <w:rsid w:val="00341D57"/>
    <w:rsid w:val="00344A7C"/>
    <w:rsid w:val="003507AB"/>
    <w:rsid w:val="0035389A"/>
    <w:rsid w:val="00354A12"/>
    <w:rsid w:val="003629B3"/>
    <w:rsid w:val="00364A89"/>
    <w:rsid w:val="00365F07"/>
    <w:rsid w:val="00385AA5"/>
    <w:rsid w:val="00386D57"/>
    <w:rsid w:val="003A4690"/>
    <w:rsid w:val="003A576E"/>
    <w:rsid w:val="003A5DC8"/>
    <w:rsid w:val="003A7810"/>
    <w:rsid w:val="003B4041"/>
    <w:rsid w:val="003C25D4"/>
    <w:rsid w:val="003C36E9"/>
    <w:rsid w:val="003D07CB"/>
    <w:rsid w:val="003D3723"/>
    <w:rsid w:val="003E163A"/>
    <w:rsid w:val="003E5F20"/>
    <w:rsid w:val="003F0F84"/>
    <w:rsid w:val="003F1CED"/>
    <w:rsid w:val="003F5202"/>
    <w:rsid w:val="003F56D1"/>
    <w:rsid w:val="0040027B"/>
    <w:rsid w:val="00410A52"/>
    <w:rsid w:val="00411EC9"/>
    <w:rsid w:val="00416731"/>
    <w:rsid w:val="0042411A"/>
    <w:rsid w:val="00427DD0"/>
    <w:rsid w:val="00430DFD"/>
    <w:rsid w:val="004311F5"/>
    <w:rsid w:val="00440266"/>
    <w:rsid w:val="004414A7"/>
    <w:rsid w:val="0044441A"/>
    <w:rsid w:val="00444D09"/>
    <w:rsid w:val="00451E76"/>
    <w:rsid w:val="00457253"/>
    <w:rsid w:val="00457913"/>
    <w:rsid w:val="00466350"/>
    <w:rsid w:val="00470BEE"/>
    <w:rsid w:val="00482EB4"/>
    <w:rsid w:val="004916E4"/>
    <w:rsid w:val="00492353"/>
    <w:rsid w:val="00492ABE"/>
    <w:rsid w:val="00495E86"/>
    <w:rsid w:val="004A147E"/>
    <w:rsid w:val="004A750C"/>
    <w:rsid w:val="004B3B0E"/>
    <w:rsid w:val="004B46CD"/>
    <w:rsid w:val="004B5230"/>
    <w:rsid w:val="004B6426"/>
    <w:rsid w:val="004B6A54"/>
    <w:rsid w:val="004C203A"/>
    <w:rsid w:val="004C4647"/>
    <w:rsid w:val="004D096A"/>
    <w:rsid w:val="004D7953"/>
    <w:rsid w:val="004E14F0"/>
    <w:rsid w:val="004E1F65"/>
    <w:rsid w:val="004E3552"/>
    <w:rsid w:val="004E3A6A"/>
    <w:rsid w:val="004E77F6"/>
    <w:rsid w:val="004F063A"/>
    <w:rsid w:val="004F14E5"/>
    <w:rsid w:val="004F17D2"/>
    <w:rsid w:val="004F40C6"/>
    <w:rsid w:val="004F4514"/>
    <w:rsid w:val="004F5D27"/>
    <w:rsid w:val="004F7EE7"/>
    <w:rsid w:val="005101D9"/>
    <w:rsid w:val="005136AD"/>
    <w:rsid w:val="005145B1"/>
    <w:rsid w:val="00517C7A"/>
    <w:rsid w:val="005250CD"/>
    <w:rsid w:val="0052780E"/>
    <w:rsid w:val="005372E5"/>
    <w:rsid w:val="005435C1"/>
    <w:rsid w:val="00550DB3"/>
    <w:rsid w:val="00555858"/>
    <w:rsid w:val="0055738C"/>
    <w:rsid w:val="005579BE"/>
    <w:rsid w:val="005610B0"/>
    <w:rsid w:val="00562DD5"/>
    <w:rsid w:val="005635D2"/>
    <w:rsid w:val="00580DF0"/>
    <w:rsid w:val="005815AB"/>
    <w:rsid w:val="00590984"/>
    <w:rsid w:val="005912F1"/>
    <w:rsid w:val="005A07D4"/>
    <w:rsid w:val="005A082F"/>
    <w:rsid w:val="005B3166"/>
    <w:rsid w:val="005C2004"/>
    <w:rsid w:val="005C29DB"/>
    <w:rsid w:val="005D19C0"/>
    <w:rsid w:val="005D6906"/>
    <w:rsid w:val="005E6FA6"/>
    <w:rsid w:val="005F58A2"/>
    <w:rsid w:val="005F5C39"/>
    <w:rsid w:val="006033CA"/>
    <w:rsid w:val="00605B75"/>
    <w:rsid w:val="006106ED"/>
    <w:rsid w:val="006148B5"/>
    <w:rsid w:val="00633710"/>
    <w:rsid w:val="006362C0"/>
    <w:rsid w:val="00636751"/>
    <w:rsid w:val="00662E64"/>
    <w:rsid w:val="00664415"/>
    <w:rsid w:val="006706B2"/>
    <w:rsid w:val="00676570"/>
    <w:rsid w:val="0068054F"/>
    <w:rsid w:val="00683061"/>
    <w:rsid w:val="00690F9D"/>
    <w:rsid w:val="006912E7"/>
    <w:rsid w:val="006932E9"/>
    <w:rsid w:val="0069471F"/>
    <w:rsid w:val="0069499D"/>
    <w:rsid w:val="00695205"/>
    <w:rsid w:val="00697698"/>
    <w:rsid w:val="006A1B82"/>
    <w:rsid w:val="006A2376"/>
    <w:rsid w:val="006A3300"/>
    <w:rsid w:val="006B76C5"/>
    <w:rsid w:val="006C2FA7"/>
    <w:rsid w:val="006C641B"/>
    <w:rsid w:val="006C7DF1"/>
    <w:rsid w:val="006D118A"/>
    <w:rsid w:val="006D12ED"/>
    <w:rsid w:val="006E3390"/>
    <w:rsid w:val="006E568D"/>
    <w:rsid w:val="006F3DCE"/>
    <w:rsid w:val="0070241C"/>
    <w:rsid w:val="00710C77"/>
    <w:rsid w:val="0071241D"/>
    <w:rsid w:val="00724366"/>
    <w:rsid w:val="00737634"/>
    <w:rsid w:val="00745E83"/>
    <w:rsid w:val="0074671C"/>
    <w:rsid w:val="00750C2C"/>
    <w:rsid w:val="00773272"/>
    <w:rsid w:val="007739B1"/>
    <w:rsid w:val="00776CE7"/>
    <w:rsid w:val="00793814"/>
    <w:rsid w:val="007A1C3E"/>
    <w:rsid w:val="007A7C4B"/>
    <w:rsid w:val="007C14E1"/>
    <w:rsid w:val="007C37E0"/>
    <w:rsid w:val="007D2451"/>
    <w:rsid w:val="007D4371"/>
    <w:rsid w:val="007E2745"/>
    <w:rsid w:val="007E410F"/>
    <w:rsid w:val="007F1126"/>
    <w:rsid w:val="007F5324"/>
    <w:rsid w:val="007F7ADF"/>
    <w:rsid w:val="00802F98"/>
    <w:rsid w:val="00803F15"/>
    <w:rsid w:val="00816AE2"/>
    <w:rsid w:val="0082050F"/>
    <w:rsid w:val="00826E79"/>
    <w:rsid w:val="00833EA6"/>
    <w:rsid w:val="00833EB5"/>
    <w:rsid w:val="008340E2"/>
    <w:rsid w:val="00834F18"/>
    <w:rsid w:val="00836D19"/>
    <w:rsid w:val="008376BE"/>
    <w:rsid w:val="00851665"/>
    <w:rsid w:val="0085513B"/>
    <w:rsid w:val="008577AC"/>
    <w:rsid w:val="008609C4"/>
    <w:rsid w:val="00865E56"/>
    <w:rsid w:val="008811F2"/>
    <w:rsid w:val="008956B9"/>
    <w:rsid w:val="008A3B0E"/>
    <w:rsid w:val="008A5F51"/>
    <w:rsid w:val="008A7C70"/>
    <w:rsid w:val="008B0242"/>
    <w:rsid w:val="008C2710"/>
    <w:rsid w:val="008C5894"/>
    <w:rsid w:val="008C6FE0"/>
    <w:rsid w:val="008D0C2A"/>
    <w:rsid w:val="008D0C62"/>
    <w:rsid w:val="008D1587"/>
    <w:rsid w:val="008D19BC"/>
    <w:rsid w:val="008E1F5B"/>
    <w:rsid w:val="008E6BB7"/>
    <w:rsid w:val="008F7446"/>
    <w:rsid w:val="008F7D51"/>
    <w:rsid w:val="009048B0"/>
    <w:rsid w:val="00906DD1"/>
    <w:rsid w:val="009112D1"/>
    <w:rsid w:val="0092197D"/>
    <w:rsid w:val="00923B4E"/>
    <w:rsid w:val="00924C3C"/>
    <w:rsid w:val="0093364C"/>
    <w:rsid w:val="00933A33"/>
    <w:rsid w:val="0093607F"/>
    <w:rsid w:val="00941808"/>
    <w:rsid w:val="009432A7"/>
    <w:rsid w:val="00943397"/>
    <w:rsid w:val="009449FF"/>
    <w:rsid w:val="009520F1"/>
    <w:rsid w:val="009539B5"/>
    <w:rsid w:val="009547A7"/>
    <w:rsid w:val="00954F08"/>
    <w:rsid w:val="00956E0E"/>
    <w:rsid w:val="00975C46"/>
    <w:rsid w:val="00980B67"/>
    <w:rsid w:val="009814E1"/>
    <w:rsid w:val="00981F6A"/>
    <w:rsid w:val="009845C5"/>
    <w:rsid w:val="00985199"/>
    <w:rsid w:val="009903D3"/>
    <w:rsid w:val="00992410"/>
    <w:rsid w:val="009A4066"/>
    <w:rsid w:val="009A794C"/>
    <w:rsid w:val="009B11A7"/>
    <w:rsid w:val="009B52C9"/>
    <w:rsid w:val="009B6389"/>
    <w:rsid w:val="009B7030"/>
    <w:rsid w:val="009B7405"/>
    <w:rsid w:val="009C122A"/>
    <w:rsid w:val="009C2570"/>
    <w:rsid w:val="009C38C5"/>
    <w:rsid w:val="009C5DFA"/>
    <w:rsid w:val="009C7CB9"/>
    <w:rsid w:val="009D3A66"/>
    <w:rsid w:val="009D45C0"/>
    <w:rsid w:val="009D5188"/>
    <w:rsid w:val="009E113F"/>
    <w:rsid w:val="009E73D7"/>
    <w:rsid w:val="009F666B"/>
    <w:rsid w:val="00A05A39"/>
    <w:rsid w:val="00A11F0C"/>
    <w:rsid w:val="00A137FA"/>
    <w:rsid w:val="00A16A46"/>
    <w:rsid w:val="00A1777D"/>
    <w:rsid w:val="00A24365"/>
    <w:rsid w:val="00A31BD2"/>
    <w:rsid w:val="00A3426D"/>
    <w:rsid w:val="00A350B8"/>
    <w:rsid w:val="00A572D4"/>
    <w:rsid w:val="00A61C69"/>
    <w:rsid w:val="00A66A61"/>
    <w:rsid w:val="00A76D7F"/>
    <w:rsid w:val="00A76F2F"/>
    <w:rsid w:val="00A807DF"/>
    <w:rsid w:val="00A87BDC"/>
    <w:rsid w:val="00A91089"/>
    <w:rsid w:val="00A9423A"/>
    <w:rsid w:val="00A96705"/>
    <w:rsid w:val="00A974C5"/>
    <w:rsid w:val="00AA1DA4"/>
    <w:rsid w:val="00AA498E"/>
    <w:rsid w:val="00AB0BC9"/>
    <w:rsid w:val="00AB5554"/>
    <w:rsid w:val="00AB6E32"/>
    <w:rsid w:val="00AC2424"/>
    <w:rsid w:val="00AC3EEC"/>
    <w:rsid w:val="00AC4A10"/>
    <w:rsid w:val="00AC7044"/>
    <w:rsid w:val="00AD2A1D"/>
    <w:rsid w:val="00AD59EE"/>
    <w:rsid w:val="00AE0134"/>
    <w:rsid w:val="00AE5D66"/>
    <w:rsid w:val="00AF010F"/>
    <w:rsid w:val="00AF42AC"/>
    <w:rsid w:val="00B017C6"/>
    <w:rsid w:val="00B14772"/>
    <w:rsid w:val="00B14A0E"/>
    <w:rsid w:val="00B159F5"/>
    <w:rsid w:val="00B234C1"/>
    <w:rsid w:val="00B23818"/>
    <w:rsid w:val="00B262F1"/>
    <w:rsid w:val="00B26D0C"/>
    <w:rsid w:val="00B27A8F"/>
    <w:rsid w:val="00B337E0"/>
    <w:rsid w:val="00B43C30"/>
    <w:rsid w:val="00B45770"/>
    <w:rsid w:val="00B521F4"/>
    <w:rsid w:val="00B564A2"/>
    <w:rsid w:val="00B603E2"/>
    <w:rsid w:val="00B663B2"/>
    <w:rsid w:val="00B673D9"/>
    <w:rsid w:val="00B67B85"/>
    <w:rsid w:val="00B70CEE"/>
    <w:rsid w:val="00B757C6"/>
    <w:rsid w:val="00B75FB0"/>
    <w:rsid w:val="00B80214"/>
    <w:rsid w:val="00B83088"/>
    <w:rsid w:val="00B84998"/>
    <w:rsid w:val="00B92932"/>
    <w:rsid w:val="00B94D20"/>
    <w:rsid w:val="00BA2437"/>
    <w:rsid w:val="00BB29D1"/>
    <w:rsid w:val="00BB378A"/>
    <w:rsid w:val="00BB42D1"/>
    <w:rsid w:val="00BB6891"/>
    <w:rsid w:val="00BB6B9B"/>
    <w:rsid w:val="00BC5500"/>
    <w:rsid w:val="00BD0F22"/>
    <w:rsid w:val="00BD307F"/>
    <w:rsid w:val="00BD4439"/>
    <w:rsid w:val="00BD4DCC"/>
    <w:rsid w:val="00BD5AA9"/>
    <w:rsid w:val="00BE02BA"/>
    <w:rsid w:val="00BE27CB"/>
    <w:rsid w:val="00BE42AF"/>
    <w:rsid w:val="00BE744F"/>
    <w:rsid w:val="00BE7F0D"/>
    <w:rsid w:val="00BF153F"/>
    <w:rsid w:val="00C00B08"/>
    <w:rsid w:val="00C044A0"/>
    <w:rsid w:val="00C07DB8"/>
    <w:rsid w:val="00C11F38"/>
    <w:rsid w:val="00C151F0"/>
    <w:rsid w:val="00C16ABA"/>
    <w:rsid w:val="00C21B95"/>
    <w:rsid w:val="00C22CC8"/>
    <w:rsid w:val="00C26D21"/>
    <w:rsid w:val="00C3321C"/>
    <w:rsid w:val="00C33885"/>
    <w:rsid w:val="00C411C6"/>
    <w:rsid w:val="00C42684"/>
    <w:rsid w:val="00C45225"/>
    <w:rsid w:val="00C73FCC"/>
    <w:rsid w:val="00C75045"/>
    <w:rsid w:val="00C8114D"/>
    <w:rsid w:val="00C825A6"/>
    <w:rsid w:val="00C9091F"/>
    <w:rsid w:val="00C91AE5"/>
    <w:rsid w:val="00C95FC4"/>
    <w:rsid w:val="00C96043"/>
    <w:rsid w:val="00C969F4"/>
    <w:rsid w:val="00CA0876"/>
    <w:rsid w:val="00CA0B95"/>
    <w:rsid w:val="00CA17E9"/>
    <w:rsid w:val="00CA32D0"/>
    <w:rsid w:val="00CA3E5F"/>
    <w:rsid w:val="00CA3FB3"/>
    <w:rsid w:val="00CA5E20"/>
    <w:rsid w:val="00CA7492"/>
    <w:rsid w:val="00CA7F15"/>
    <w:rsid w:val="00CB1E01"/>
    <w:rsid w:val="00CB4832"/>
    <w:rsid w:val="00CB5BC7"/>
    <w:rsid w:val="00CB5E58"/>
    <w:rsid w:val="00CC3344"/>
    <w:rsid w:val="00CC72B0"/>
    <w:rsid w:val="00CD403A"/>
    <w:rsid w:val="00CD56F8"/>
    <w:rsid w:val="00CF1793"/>
    <w:rsid w:val="00CF2A21"/>
    <w:rsid w:val="00CF327E"/>
    <w:rsid w:val="00CF4869"/>
    <w:rsid w:val="00CF5E33"/>
    <w:rsid w:val="00D01A8B"/>
    <w:rsid w:val="00D1023F"/>
    <w:rsid w:val="00D11C9D"/>
    <w:rsid w:val="00D12C84"/>
    <w:rsid w:val="00D235B4"/>
    <w:rsid w:val="00D23747"/>
    <w:rsid w:val="00D27062"/>
    <w:rsid w:val="00D3594D"/>
    <w:rsid w:val="00D35D5B"/>
    <w:rsid w:val="00D413D7"/>
    <w:rsid w:val="00D41A83"/>
    <w:rsid w:val="00D41B80"/>
    <w:rsid w:val="00D45647"/>
    <w:rsid w:val="00D47C3E"/>
    <w:rsid w:val="00D52787"/>
    <w:rsid w:val="00D73F6B"/>
    <w:rsid w:val="00D80263"/>
    <w:rsid w:val="00D979FB"/>
    <w:rsid w:val="00DA4EC4"/>
    <w:rsid w:val="00DA5C12"/>
    <w:rsid w:val="00DA63E6"/>
    <w:rsid w:val="00DB03B1"/>
    <w:rsid w:val="00DB64D1"/>
    <w:rsid w:val="00DC3DCC"/>
    <w:rsid w:val="00DD14BC"/>
    <w:rsid w:val="00DD51A3"/>
    <w:rsid w:val="00DE395F"/>
    <w:rsid w:val="00DE3FDB"/>
    <w:rsid w:val="00DE403B"/>
    <w:rsid w:val="00DE671B"/>
    <w:rsid w:val="00DE6724"/>
    <w:rsid w:val="00DE7484"/>
    <w:rsid w:val="00DF31ED"/>
    <w:rsid w:val="00DF63AB"/>
    <w:rsid w:val="00E023C5"/>
    <w:rsid w:val="00E07AA0"/>
    <w:rsid w:val="00E100F7"/>
    <w:rsid w:val="00E15997"/>
    <w:rsid w:val="00E174F5"/>
    <w:rsid w:val="00E22A1D"/>
    <w:rsid w:val="00E2345B"/>
    <w:rsid w:val="00E25844"/>
    <w:rsid w:val="00E342DC"/>
    <w:rsid w:val="00E463E7"/>
    <w:rsid w:val="00E54792"/>
    <w:rsid w:val="00E644C4"/>
    <w:rsid w:val="00E65FE0"/>
    <w:rsid w:val="00E67F53"/>
    <w:rsid w:val="00E75E33"/>
    <w:rsid w:val="00E77B56"/>
    <w:rsid w:val="00E8621F"/>
    <w:rsid w:val="00E86546"/>
    <w:rsid w:val="00E902BF"/>
    <w:rsid w:val="00E95C8A"/>
    <w:rsid w:val="00E96D69"/>
    <w:rsid w:val="00EA1A06"/>
    <w:rsid w:val="00EA1AAE"/>
    <w:rsid w:val="00EA2013"/>
    <w:rsid w:val="00EA27E0"/>
    <w:rsid w:val="00EA41C1"/>
    <w:rsid w:val="00EB037C"/>
    <w:rsid w:val="00EC00EC"/>
    <w:rsid w:val="00EC0DA6"/>
    <w:rsid w:val="00EC2BFB"/>
    <w:rsid w:val="00EC4D3B"/>
    <w:rsid w:val="00ED0BFA"/>
    <w:rsid w:val="00ED18E9"/>
    <w:rsid w:val="00ED1BBE"/>
    <w:rsid w:val="00ED64BD"/>
    <w:rsid w:val="00ED6573"/>
    <w:rsid w:val="00EE1300"/>
    <w:rsid w:val="00EE29D7"/>
    <w:rsid w:val="00EE3FF2"/>
    <w:rsid w:val="00EF7483"/>
    <w:rsid w:val="00F016A0"/>
    <w:rsid w:val="00F0373E"/>
    <w:rsid w:val="00F0374F"/>
    <w:rsid w:val="00F1129A"/>
    <w:rsid w:val="00F12989"/>
    <w:rsid w:val="00F12F0F"/>
    <w:rsid w:val="00F17045"/>
    <w:rsid w:val="00F20478"/>
    <w:rsid w:val="00F20B69"/>
    <w:rsid w:val="00F2131B"/>
    <w:rsid w:val="00F22E0D"/>
    <w:rsid w:val="00F36334"/>
    <w:rsid w:val="00F365A2"/>
    <w:rsid w:val="00F37AC7"/>
    <w:rsid w:val="00F43B0B"/>
    <w:rsid w:val="00F475BC"/>
    <w:rsid w:val="00F53F2C"/>
    <w:rsid w:val="00F5579E"/>
    <w:rsid w:val="00F5729A"/>
    <w:rsid w:val="00F61B56"/>
    <w:rsid w:val="00F62408"/>
    <w:rsid w:val="00F66183"/>
    <w:rsid w:val="00F6629F"/>
    <w:rsid w:val="00F81887"/>
    <w:rsid w:val="00F81D83"/>
    <w:rsid w:val="00F81DEF"/>
    <w:rsid w:val="00F90AC5"/>
    <w:rsid w:val="00F92FE9"/>
    <w:rsid w:val="00F94A6E"/>
    <w:rsid w:val="00F9535D"/>
    <w:rsid w:val="00FA3E73"/>
    <w:rsid w:val="00FA5819"/>
    <w:rsid w:val="00FB2F6E"/>
    <w:rsid w:val="00FB494E"/>
    <w:rsid w:val="00FB68E2"/>
    <w:rsid w:val="00FB7DF5"/>
    <w:rsid w:val="00FC0B20"/>
    <w:rsid w:val="00FC241E"/>
    <w:rsid w:val="00FC6576"/>
    <w:rsid w:val="00FD7577"/>
    <w:rsid w:val="00FE118A"/>
    <w:rsid w:val="00FE1574"/>
    <w:rsid w:val="00FE5C55"/>
    <w:rsid w:val="00FE5E98"/>
    <w:rsid w:val="00FF2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452"/>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FC2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1E"/>
    <w:rPr>
      <w:rFonts w:ascii="Segoe UI" w:hAnsi="Segoe UI" w:cs="Segoe UI"/>
      <w:sz w:val="18"/>
      <w:szCs w:val="18"/>
    </w:rPr>
  </w:style>
  <w:style w:type="character" w:styleId="Hyperlink">
    <w:name w:val="Hyperlink"/>
    <w:basedOn w:val="DefaultParagraphFont"/>
    <w:uiPriority w:val="99"/>
    <w:unhideWhenUsed/>
    <w:rsid w:val="00C9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lwa@zilwaattorneys.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vuyoj@mjulelwainc.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eption@ledwaba.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oyana@ledwaba.co.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146B-7C0A-47E9-BB5F-7E85FDBD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2024-03-26T13:47:00Z</cp:lastPrinted>
  <dcterms:created xsi:type="dcterms:W3CDTF">2024-03-28T08:29:00Z</dcterms:created>
  <dcterms:modified xsi:type="dcterms:W3CDTF">2024-03-28T15:12:00Z</dcterms:modified>
  <cp:contentStatus/>
</cp:coreProperties>
</file>