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D91F0" w14:textId="77777777" w:rsidR="00D450B5" w:rsidRPr="00044B50" w:rsidRDefault="00D450B5" w:rsidP="0094300A">
      <w:pPr>
        <w:autoSpaceDE w:val="0"/>
        <w:autoSpaceDN w:val="0"/>
        <w:adjustRightInd w:val="0"/>
        <w:ind w:right="373"/>
        <w:jc w:val="right"/>
        <w:rPr>
          <w:lang w:val="en-GB"/>
        </w:rPr>
      </w:pPr>
    </w:p>
    <w:p w14:paraId="3BB46367" w14:textId="77777777" w:rsidR="00D450B5" w:rsidRPr="00044B50" w:rsidRDefault="00D450B5" w:rsidP="00772E4B">
      <w:pPr>
        <w:jc w:val="center"/>
        <w:rPr>
          <w:lang w:val="en-GB"/>
        </w:rPr>
      </w:pPr>
      <w:r w:rsidRPr="00044B50">
        <w:rPr>
          <w:noProof/>
          <w:lang w:val="en-GB"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4B886DA9" w:rsidR="00D450B5" w:rsidRPr="00044B50" w:rsidRDefault="00797E4E" w:rsidP="00772E4B">
      <w:pPr>
        <w:jc w:val="center"/>
        <w:rPr>
          <w:b/>
          <w:bCs/>
          <w:lang w:val="en-GB"/>
        </w:rPr>
      </w:pPr>
      <w:r>
        <w:rPr>
          <w:b/>
          <w:bCs/>
          <w:lang w:val="en-GB"/>
        </w:rPr>
        <w:t>(</w:t>
      </w:r>
      <w:r w:rsidR="00D450B5" w:rsidRPr="00044B50">
        <w:rPr>
          <w:b/>
          <w:bCs/>
          <w:lang w:val="en-GB"/>
        </w:rPr>
        <w:t>EASTERN CAPE DIVISION,</w:t>
      </w:r>
      <w:r w:rsidR="00CA22C7">
        <w:rPr>
          <w:b/>
          <w:bCs/>
          <w:lang w:val="en-GB"/>
        </w:rPr>
        <w:t xml:space="preserve"> </w:t>
      </w:r>
      <w:r w:rsidR="00580E5A">
        <w:rPr>
          <w:b/>
          <w:bCs/>
          <w:lang w:val="en-GB"/>
        </w:rPr>
        <w:t>GQEBERHA</w:t>
      </w:r>
      <w:r>
        <w:rPr>
          <w:b/>
          <w:bCs/>
          <w:lang w:val="en-GB"/>
        </w:rPr>
        <w:t>)</w:t>
      </w:r>
    </w:p>
    <w:p w14:paraId="260381A7" w14:textId="77777777" w:rsidR="00D450B5" w:rsidRPr="00044B50" w:rsidRDefault="00D450B5" w:rsidP="00772E4B">
      <w:pPr>
        <w:widowControl w:val="0"/>
        <w:jc w:val="both"/>
        <w:rPr>
          <w:spacing w:val="14"/>
          <w:kern w:val="2"/>
          <w:u w:val="single"/>
          <w:lang w:val="en-GB"/>
        </w:rPr>
      </w:pPr>
    </w:p>
    <w:p w14:paraId="434E4AD9" w14:textId="6665F8C7" w:rsidR="00D450B5" w:rsidRPr="00044B50" w:rsidRDefault="00D450B5" w:rsidP="0094300A">
      <w:pPr>
        <w:tabs>
          <w:tab w:val="left" w:pos="8931"/>
        </w:tabs>
        <w:ind w:right="89"/>
        <w:jc w:val="center"/>
        <w:rPr>
          <w:b/>
          <w:bCs/>
          <w:lang w:val="en-GB"/>
        </w:rPr>
      </w:pPr>
      <w:r w:rsidRPr="00044B50">
        <w:rPr>
          <w:lang w:val="en-GB"/>
        </w:rPr>
        <w:t xml:space="preserve">                                                                                           </w:t>
      </w:r>
      <w:r w:rsidR="0094300A">
        <w:rPr>
          <w:lang w:val="en-GB"/>
        </w:rPr>
        <w:t xml:space="preserve">        </w:t>
      </w:r>
      <w:r w:rsidRPr="00044B50">
        <w:rPr>
          <w:b/>
          <w:bCs/>
          <w:lang w:val="en-GB"/>
        </w:rPr>
        <w:t xml:space="preserve">NOT REPORTABLE                                     </w:t>
      </w:r>
    </w:p>
    <w:p w14:paraId="101AD6EF" w14:textId="77777777" w:rsidR="008A75F3" w:rsidRDefault="00E44987" w:rsidP="008A75F3">
      <w:pPr>
        <w:jc w:val="center"/>
        <w:rPr>
          <w:lang w:val="en-GB"/>
        </w:rPr>
      </w:pPr>
      <w:r w:rsidRPr="00044B50">
        <w:rPr>
          <w:lang w:val="en-GB"/>
        </w:rPr>
        <w:t xml:space="preserve">                                                                                                  </w:t>
      </w:r>
    </w:p>
    <w:p w14:paraId="4934DB4B" w14:textId="37EE347A" w:rsidR="00E44987" w:rsidRPr="00044B50" w:rsidRDefault="0094300A" w:rsidP="0094300A">
      <w:pPr>
        <w:ind w:left="5760" w:right="89" w:firstLine="720"/>
        <w:rPr>
          <w:lang w:val="en-GB"/>
        </w:rPr>
      </w:pPr>
      <w:r>
        <w:rPr>
          <w:lang w:val="en-GB"/>
        </w:rPr>
        <w:t xml:space="preserve">   </w:t>
      </w:r>
      <w:r w:rsidR="00E44987" w:rsidRPr="00044B50">
        <w:rPr>
          <w:lang w:val="en-GB"/>
        </w:rPr>
        <w:t xml:space="preserve">Case no: </w:t>
      </w:r>
      <w:r w:rsidR="00B61B39">
        <w:rPr>
          <w:lang w:val="en-GB"/>
        </w:rPr>
        <w:t>2446/2022</w:t>
      </w:r>
    </w:p>
    <w:p w14:paraId="13EEBE4B" w14:textId="77777777" w:rsidR="00D450B5" w:rsidRPr="00044B50" w:rsidRDefault="00D450B5" w:rsidP="00B61B39">
      <w:pPr>
        <w:widowControl w:val="0"/>
        <w:ind w:right="-336"/>
        <w:jc w:val="right"/>
        <w:rPr>
          <w:spacing w:val="14"/>
          <w:kern w:val="2"/>
          <w:lang w:val="en-GB"/>
        </w:rPr>
      </w:pPr>
    </w:p>
    <w:p w14:paraId="49070A0E" w14:textId="0BCDA14B" w:rsidR="00D450B5" w:rsidRPr="00044B50"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2E198784" w14:textId="2CE4C2C0" w:rsidR="00D450B5" w:rsidRPr="00044B50" w:rsidRDefault="00D450B5" w:rsidP="00772E4B">
      <w:pPr>
        <w:widowControl w:val="0"/>
        <w:tabs>
          <w:tab w:val="right" w:pos="8198"/>
        </w:tabs>
        <w:jc w:val="both"/>
        <w:rPr>
          <w:spacing w:val="14"/>
          <w:kern w:val="2"/>
          <w:lang w:val="en-GB"/>
        </w:rPr>
      </w:pPr>
    </w:p>
    <w:p w14:paraId="0D746988" w14:textId="0095E327" w:rsidR="00D450B5" w:rsidRPr="00797E4E" w:rsidRDefault="00B61B39" w:rsidP="00AE207D">
      <w:pPr>
        <w:tabs>
          <w:tab w:val="left" w:pos="7088"/>
        </w:tabs>
        <w:suppressAutoHyphens/>
        <w:ind w:right="89"/>
        <w:jc w:val="both"/>
        <w:rPr>
          <w:b/>
          <w:bCs/>
          <w:lang w:val="en-GB"/>
        </w:rPr>
      </w:pPr>
      <w:r>
        <w:rPr>
          <w:b/>
          <w:bCs/>
          <w:lang w:val="en-GB"/>
        </w:rPr>
        <w:t>CHRISTOPHER HENRY HARDING</w:t>
      </w:r>
      <w:r w:rsidR="00797E4E">
        <w:rPr>
          <w:b/>
          <w:bCs/>
          <w:lang w:val="en-GB"/>
        </w:rPr>
        <w:tab/>
      </w:r>
      <w:r w:rsidR="00797E4E">
        <w:rPr>
          <w:b/>
          <w:bCs/>
          <w:lang w:val="en-GB"/>
        </w:rPr>
        <w:tab/>
      </w:r>
      <w:r w:rsidR="0094300A">
        <w:rPr>
          <w:b/>
          <w:bCs/>
          <w:lang w:val="en-GB"/>
        </w:rPr>
        <w:t xml:space="preserve">         </w:t>
      </w:r>
      <w:r>
        <w:rPr>
          <w:b/>
          <w:bCs/>
          <w:lang w:val="en-GB"/>
        </w:rPr>
        <w:t xml:space="preserve">   </w:t>
      </w:r>
      <w:r w:rsidR="00422018">
        <w:rPr>
          <w:b/>
          <w:bCs/>
          <w:lang w:val="en-GB"/>
        </w:rPr>
        <w:t>Plaintiff</w:t>
      </w:r>
    </w:p>
    <w:p w14:paraId="50A760EA" w14:textId="77777777" w:rsidR="00F565D0" w:rsidRPr="00044B50" w:rsidRDefault="00F565D0" w:rsidP="00772E4B">
      <w:pPr>
        <w:tabs>
          <w:tab w:val="right" w:pos="9072"/>
        </w:tabs>
        <w:suppressAutoHyphens/>
        <w:jc w:val="both"/>
        <w:rPr>
          <w:lang w:val="en-GB"/>
        </w:rPr>
      </w:pPr>
    </w:p>
    <w:p w14:paraId="460137EF" w14:textId="77777777" w:rsidR="00D450B5" w:rsidRPr="00044B50" w:rsidRDefault="00D450B5" w:rsidP="00772E4B">
      <w:pPr>
        <w:jc w:val="both"/>
        <w:rPr>
          <w:lang w:val="en-GB"/>
        </w:rPr>
      </w:pPr>
      <w:r w:rsidRPr="00044B50">
        <w:rPr>
          <w:lang w:val="en-GB"/>
        </w:rPr>
        <w:t>and</w:t>
      </w:r>
    </w:p>
    <w:p w14:paraId="37CBA823" w14:textId="4B4FCA3C" w:rsidR="00D450B5" w:rsidRPr="00044B50" w:rsidRDefault="00D450B5" w:rsidP="00772E4B">
      <w:pPr>
        <w:jc w:val="both"/>
        <w:rPr>
          <w:lang w:val="en-GB"/>
        </w:rPr>
      </w:pPr>
    </w:p>
    <w:p w14:paraId="4F0E2CE6" w14:textId="022DC2BE" w:rsidR="00C246F2" w:rsidRDefault="00B61B39" w:rsidP="00B61B39">
      <w:pPr>
        <w:tabs>
          <w:tab w:val="left" w:pos="7655"/>
        </w:tabs>
        <w:ind w:right="-52"/>
        <w:jc w:val="both"/>
        <w:rPr>
          <w:b/>
          <w:bCs/>
          <w:lang w:val="en-GB"/>
        </w:rPr>
      </w:pPr>
      <w:r>
        <w:rPr>
          <w:b/>
          <w:bCs/>
          <w:lang w:val="en-GB"/>
        </w:rPr>
        <w:t>NELSON MANDELA BAY METROPOLITAN</w:t>
      </w:r>
      <w:r w:rsidR="00C246F2" w:rsidRPr="00797E4E">
        <w:rPr>
          <w:b/>
          <w:bCs/>
          <w:lang w:val="en-GB"/>
        </w:rPr>
        <w:tab/>
      </w:r>
      <w:r w:rsidR="00AE207D">
        <w:rPr>
          <w:b/>
          <w:bCs/>
          <w:lang w:val="en-GB"/>
        </w:rPr>
        <w:t xml:space="preserve"> </w:t>
      </w:r>
      <w:r w:rsidR="00422018">
        <w:rPr>
          <w:b/>
          <w:bCs/>
          <w:lang w:val="en-GB"/>
        </w:rPr>
        <w:t>Defendant</w:t>
      </w:r>
    </w:p>
    <w:p w14:paraId="71347D89" w14:textId="5C3D8746" w:rsidR="00B61B39" w:rsidRPr="00797E4E" w:rsidRDefault="00B61B39" w:rsidP="00B61B39">
      <w:pPr>
        <w:tabs>
          <w:tab w:val="left" w:pos="7513"/>
        </w:tabs>
        <w:ind w:right="-194"/>
        <w:jc w:val="both"/>
        <w:rPr>
          <w:b/>
          <w:bCs/>
          <w:lang w:val="en-GB"/>
        </w:rPr>
      </w:pPr>
      <w:r>
        <w:rPr>
          <w:b/>
          <w:bCs/>
          <w:lang w:val="en-GB"/>
        </w:rPr>
        <w:t>MUNICIPALITY</w:t>
      </w:r>
    </w:p>
    <w:p w14:paraId="76889E9C" w14:textId="24974D08" w:rsidR="00D450B5" w:rsidRPr="00044B50" w:rsidRDefault="00D450B5" w:rsidP="00772E4B">
      <w:pPr>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40EF50E9" w:rsidR="00D450B5" w:rsidRPr="00044B50" w:rsidRDefault="00D450B5" w:rsidP="00772E4B">
      <w:pPr>
        <w:jc w:val="center"/>
        <w:rPr>
          <w:b/>
          <w:bCs/>
          <w:lang w:val="en-GB"/>
        </w:rPr>
      </w:pPr>
      <w:r w:rsidRPr="00044B50">
        <w:rPr>
          <w:b/>
          <w:bCs/>
          <w:lang w:val="en-GB"/>
        </w:rPr>
        <w:t xml:space="preserve">JUDGMENT </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25864082" w:rsidR="00D450B5" w:rsidRPr="00044B50" w:rsidRDefault="00E57C72" w:rsidP="00772E4B">
      <w:pPr>
        <w:jc w:val="both"/>
        <w:rPr>
          <w:b/>
          <w:bCs/>
          <w:lang w:val="en-GB"/>
        </w:rPr>
      </w:pPr>
      <w:r w:rsidRPr="00044B50">
        <w:rPr>
          <w:b/>
          <w:bCs/>
          <w:lang w:val="en-GB"/>
        </w:rPr>
        <w:t>Govindjee</w:t>
      </w:r>
      <w:r w:rsidR="00D450B5" w:rsidRPr="00044B50">
        <w:rPr>
          <w:b/>
          <w:bCs/>
          <w:lang w:val="en-GB"/>
        </w:rPr>
        <w:t xml:space="preserve"> J</w:t>
      </w:r>
    </w:p>
    <w:p w14:paraId="34F7781B" w14:textId="128ACBA7" w:rsidR="00D468AF" w:rsidRDefault="00D468AF" w:rsidP="00682CE5">
      <w:pPr>
        <w:autoSpaceDE w:val="0"/>
        <w:autoSpaceDN w:val="0"/>
        <w:adjustRightInd w:val="0"/>
        <w:jc w:val="both"/>
        <w:rPr>
          <w:lang w:val="en-GB"/>
        </w:rPr>
      </w:pPr>
    </w:p>
    <w:p w14:paraId="71B38FD8" w14:textId="3A5958AC" w:rsidR="00F92039" w:rsidRPr="00F92039" w:rsidRDefault="00F92039" w:rsidP="00682CE5">
      <w:pPr>
        <w:autoSpaceDE w:val="0"/>
        <w:autoSpaceDN w:val="0"/>
        <w:adjustRightInd w:val="0"/>
        <w:jc w:val="both"/>
        <w:rPr>
          <w:b/>
          <w:bCs/>
          <w:lang w:val="en-GB"/>
        </w:rPr>
      </w:pPr>
      <w:r>
        <w:rPr>
          <w:b/>
          <w:bCs/>
          <w:lang w:val="en-GB"/>
        </w:rPr>
        <w:t>The issues</w:t>
      </w:r>
    </w:p>
    <w:p w14:paraId="29827DF4" w14:textId="387B98D3" w:rsidR="000C67E0" w:rsidRPr="00F113D0" w:rsidRDefault="00F113D0" w:rsidP="00F113D0">
      <w:pPr>
        <w:autoSpaceDE w:val="0"/>
        <w:autoSpaceDN w:val="0"/>
        <w:adjustRightInd w:val="0"/>
        <w:jc w:val="both"/>
        <w:rPr>
          <w:lang w:val="en-GB"/>
        </w:rPr>
      </w:pPr>
      <w:r>
        <w:rPr>
          <w:lang w:val="en-GB"/>
        </w:rPr>
        <w:t>[1]</w:t>
      </w:r>
      <w:r>
        <w:rPr>
          <w:lang w:val="en-GB"/>
        </w:rPr>
        <w:tab/>
      </w:r>
      <w:r w:rsidR="00422018" w:rsidRPr="00F113D0">
        <w:rPr>
          <w:lang w:val="en-GB"/>
        </w:rPr>
        <w:t>T</w:t>
      </w:r>
      <w:r w:rsidR="00CF3D0C" w:rsidRPr="00F113D0">
        <w:rPr>
          <w:lang w:val="en-GB"/>
        </w:rPr>
        <w:t>h</w:t>
      </w:r>
      <w:r w:rsidR="00ED524A" w:rsidRPr="00F113D0">
        <w:rPr>
          <w:lang w:val="en-GB"/>
        </w:rPr>
        <w:t>e plaintiff has instituted</w:t>
      </w:r>
      <w:r w:rsidR="006352F5" w:rsidRPr="00F113D0">
        <w:rPr>
          <w:lang w:val="en-GB"/>
        </w:rPr>
        <w:t xml:space="preserve"> a delictual claim for damages</w:t>
      </w:r>
      <w:r w:rsidR="00A4337E" w:rsidRPr="00F113D0">
        <w:rPr>
          <w:lang w:val="en-GB"/>
        </w:rPr>
        <w:t xml:space="preserve"> against the defendant (‘the municipality’)</w:t>
      </w:r>
      <w:r w:rsidR="006352F5" w:rsidRPr="00F113D0">
        <w:rPr>
          <w:lang w:val="en-GB"/>
        </w:rPr>
        <w:t xml:space="preserve">. </w:t>
      </w:r>
      <w:r w:rsidR="00422D4D" w:rsidRPr="00F113D0">
        <w:rPr>
          <w:lang w:val="en-GB"/>
        </w:rPr>
        <w:t xml:space="preserve">He </w:t>
      </w:r>
      <w:r w:rsidR="00422018" w:rsidRPr="00F113D0">
        <w:rPr>
          <w:lang w:val="en-GB"/>
        </w:rPr>
        <w:t xml:space="preserve">alleges that he fell into an uncovered </w:t>
      </w:r>
      <w:r w:rsidR="00DD2A6F" w:rsidRPr="00F113D0">
        <w:rPr>
          <w:lang w:val="en-GB"/>
        </w:rPr>
        <w:t xml:space="preserve">or open </w:t>
      </w:r>
      <w:r w:rsidR="00422018" w:rsidRPr="00F113D0">
        <w:rPr>
          <w:lang w:val="en-GB"/>
        </w:rPr>
        <w:t xml:space="preserve">stormwater drain </w:t>
      </w:r>
      <w:r w:rsidR="00DD2A6F" w:rsidRPr="00F113D0">
        <w:rPr>
          <w:lang w:val="en-GB"/>
        </w:rPr>
        <w:t xml:space="preserve">(‘the drain’) </w:t>
      </w:r>
      <w:r w:rsidR="00422018" w:rsidRPr="00F113D0">
        <w:rPr>
          <w:lang w:val="en-GB"/>
        </w:rPr>
        <w:t>on 9 March 2021 in Despatch</w:t>
      </w:r>
      <w:r w:rsidR="00087E39" w:rsidRPr="00F113D0">
        <w:rPr>
          <w:lang w:val="en-GB"/>
        </w:rPr>
        <w:t xml:space="preserve">, and that the consequent injuries he suffered were caused due to the </w:t>
      </w:r>
      <w:r w:rsidR="00A4337E" w:rsidRPr="00F113D0">
        <w:rPr>
          <w:lang w:val="en-GB"/>
        </w:rPr>
        <w:t>municipality’s</w:t>
      </w:r>
      <w:r w:rsidR="00087E39" w:rsidRPr="00F113D0">
        <w:rPr>
          <w:lang w:val="en-GB"/>
        </w:rPr>
        <w:t xml:space="preserve"> wrongful and negligent conduct.</w:t>
      </w:r>
      <w:r w:rsidR="00404992" w:rsidRPr="00F113D0">
        <w:rPr>
          <w:lang w:val="en-GB"/>
        </w:rPr>
        <w:t xml:space="preserve"> Merits and </w:t>
      </w:r>
      <w:r w:rsidR="00404992" w:rsidRPr="00F113D0">
        <w:rPr>
          <w:lang w:val="en-GB"/>
        </w:rPr>
        <w:lastRenderedPageBreak/>
        <w:t>quantum having been separated by agreement at the commencement of the proceedings, the following issues require this court’s determination:</w:t>
      </w:r>
    </w:p>
    <w:p w14:paraId="1DF8BCA1" w14:textId="63388D4B" w:rsidR="00404992" w:rsidRPr="00F113D0" w:rsidRDefault="00F113D0" w:rsidP="00F113D0">
      <w:pPr>
        <w:autoSpaceDE w:val="0"/>
        <w:autoSpaceDN w:val="0"/>
        <w:adjustRightInd w:val="0"/>
        <w:ind w:left="720" w:hanging="360"/>
        <w:jc w:val="both"/>
        <w:rPr>
          <w:lang w:val="en-GB"/>
        </w:rPr>
      </w:pPr>
      <w:r>
        <w:rPr>
          <w:lang w:val="en-GB"/>
        </w:rPr>
        <w:t>a)</w:t>
      </w:r>
      <w:r>
        <w:rPr>
          <w:lang w:val="en-GB"/>
        </w:rPr>
        <w:tab/>
      </w:r>
      <w:r w:rsidR="00404992" w:rsidRPr="00F113D0">
        <w:rPr>
          <w:lang w:val="en-GB"/>
        </w:rPr>
        <w:t xml:space="preserve">Whether the plaintiff fell into </w:t>
      </w:r>
      <w:r w:rsidR="00E4416A" w:rsidRPr="00F113D0">
        <w:rPr>
          <w:lang w:val="en-GB"/>
        </w:rPr>
        <w:t>the</w:t>
      </w:r>
      <w:r w:rsidR="00404992" w:rsidRPr="00F113D0">
        <w:rPr>
          <w:lang w:val="en-GB"/>
        </w:rPr>
        <w:t xml:space="preserve"> drain on 9 March 2021;</w:t>
      </w:r>
    </w:p>
    <w:p w14:paraId="741FDE19" w14:textId="1BB8CE18" w:rsidR="00404992" w:rsidRPr="00F113D0" w:rsidRDefault="00F113D0" w:rsidP="00F113D0">
      <w:pPr>
        <w:autoSpaceDE w:val="0"/>
        <w:autoSpaceDN w:val="0"/>
        <w:adjustRightInd w:val="0"/>
        <w:ind w:left="720" w:hanging="360"/>
        <w:jc w:val="both"/>
        <w:rPr>
          <w:lang w:val="en-GB"/>
        </w:rPr>
      </w:pPr>
      <w:r>
        <w:rPr>
          <w:lang w:val="en-GB"/>
        </w:rPr>
        <w:t>b)</w:t>
      </w:r>
      <w:r>
        <w:rPr>
          <w:lang w:val="en-GB"/>
        </w:rPr>
        <w:tab/>
      </w:r>
      <w:r w:rsidR="00404992" w:rsidRPr="00F113D0">
        <w:rPr>
          <w:lang w:val="en-GB"/>
        </w:rPr>
        <w:t xml:space="preserve">Whether the </w:t>
      </w:r>
      <w:r w:rsidR="001977A1" w:rsidRPr="00F113D0">
        <w:rPr>
          <w:lang w:val="en-GB"/>
        </w:rPr>
        <w:t>municipality’s conduct was wrongful;</w:t>
      </w:r>
    </w:p>
    <w:p w14:paraId="5F117B56" w14:textId="11127CAF" w:rsidR="001977A1" w:rsidRPr="00F113D0" w:rsidRDefault="00F113D0" w:rsidP="00F113D0">
      <w:pPr>
        <w:autoSpaceDE w:val="0"/>
        <w:autoSpaceDN w:val="0"/>
        <w:adjustRightInd w:val="0"/>
        <w:ind w:left="720" w:hanging="360"/>
        <w:jc w:val="both"/>
        <w:rPr>
          <w:lang w:val="en-GB"/>
        </w:rPr>
      </w:pPr>
      <w:r>
        <w:rPr>
          <w:lang w:val="en-GB"/>
        </w:rPr>
        <w:t>c)</w:t>
      </w:r>
      <w:r>
        <w:rPr>
          <w:lang w:val="en-GB"/>
        </w:rPr>
        <w:tab/>
      </w:r>
      <w:r w:rsidR="00037FC9" w:rsidRPr="00F113D0">
        <w:rPr>
          <w:lang w:val="en-GB"/>
        </w:rPr>
        <w:t>Whether the incident was caused by the negligence of the municipality and / or its employees</w:t>
      </w:r>
      <w:r w:rsidR="005B1B48" w:rsidRPr="00F113D0">
        <w:rPr>
          <w:lang w:val="en-GB"/>
        </w:rPr>
        <w:t>; and</w:t>
      </w:r>
    </w:p>
    <w:p w14:paraId="5441DF68" w14:textId="4A5878F7" w:rsidR="005B1B48" w:rsidRPr="00F113D0" w:rsidRDefault="00F113D0" w:rsidP="00F113D0">
      <w:pPr>
        <w:autoSpaceDE w:val="0"/>
        <w:autoSpaceDN w:val="0"/>
        <w:adjustRightInd w:val="0"/>
        <w:ind w:left="720" w:hanging="360"/>
        <w:jc w:val="both"/>
        <w:rPr>
          <w:lang w:val="en-GB"/>
        </w:rPr>
      </w:pPr>
      <w:r w:rsidRPr="008E101E">
        <w:rPr>
          <w:lang w:val="en-GB"/>
        </w:rPr>
        <w:t>d)</w:t>
      </w:r>
      <w:r w:rsidRPr="008E101E">
        <w:rPr>
          <w:lang w:val="en-GB"/>
        </w:rPr>
        <w:tab/>
      </w:r>
      <w:r w:rsidR="005B1B48" w:rsidRPr="00F113D0">
        <w:rPr>
          <w:lang w:val="en-GB"/>
        </w:rPr>
        <w:t>If liability is established, whether there was contributory negligence on the part of the plaintiff.</w:t>
      </w:r>
    </w:p>
    <w:p w14:paraId="6EA799EF" w14:textId="77777777" w:rsidR="001977A1" w:rsidRPr="001977A1" w:rsidRDefault="001977A1" w:rsidP="001977A1">
      <w:pPr>
        <w:autoSpaceDE w:val="0"/>
        <w:autoSpaceDN w:val="0"/>
        <w:adjustRightInd w:val="0"/>
        <w:jc w:val="both"/>
        <w:rPr>
          <w:lang w:val="en-GB"/>
        </w:rPr>
      </w:pPr>
    </w:p>
    <w:p w14:paraId="42C0A163" w14:textId="643560E2" w:rsidR="007509AA" w:rsidRPr="00F113D0" w:rsidRDefault="00F113D0" w:rsidP="00F113D0">
      <w:pPr>
        <w:autoSpaceDE w:val="0"/>
        <w:autoSpaceDN w:val="0"/>
        <w:adjustRightInd w:val="0"/>
        <w:jc w:val="both"/>
        <w:rPr>
          <w:lang w:val="en-GB"/>
        </w:rPr>
      </w:pPr>
      <w:r w:rsidRPr="000731A6">
        <w:rPr>
          <w:lang w:val="en-GB"/>
        </w:rPr>
        <w:t>[2]</w:t>
      </w:r>
      <w:r w:rsidRPr="000731A6">
        <w:rPr>
          <w:lang w:val="en-GB"/>
        </w:rPr>
        <w:tab/>
      </w:r>
      <w:r w:rsidR="008E101E" w:rsidRPr="00F113D0">
        <w:rPr>
          <w:lang w:val="en-GB"/>
        </w:rPr>
        <w:t xml:space="preserve">As to </w:t>
      </w:r>
      <w:r w:rsidR="00D47171" w:rsidRPr="00F113D0">
        <w:rPr>
          <w:lang w:val="en-GB"/>
        </w:rPr>
        <w:t xml:space="preserve">the municipality’s </w:t>
      </w:r>
      <w:r w:rsidR="008E101E" w:rsidRPr="00F113D0">
        <w:rPr>
          <w:lang w:val="en-GB"/>
        </w:rPr>
        <w:t xml:space="preserve">negligence, </w:t>
      </w:r>
      <w:r w:rsidR="00E47E83" w:rsidRPr="00F113D0">
        <w:rPr>
          <w:lang w:val="en-GB"/>
        </w:rPr>
        <w:t xml:space="preserve">it </w:t>
      </w:r>
      <w:r w:rsidR="008E101E" w:rsidRPr="00F113D0">
        <w:rPr>
          <w:lang w:val="en-GB"/>
        </w:rPr>
        <w:t xml:space="preserve">is alleged that the municipality failed to cover the drain adequately, or to cordon it off as a hazard, despite the </w:t>
      </w:r>
      <w:r w:rsidR="00BD24AD" w:rsidRPr="00F113D0">
        <w:rPr>
          <w:lang w:val="en-GB"/>
        </w:rPr>
        <w:t>issue</w:t>
      </w:r>
      <w:r w:rsidR="008E101E" w:rsidRPr="00F113D0">
        <w:rPr>
          <w:lang w:val="en-GB"/>
        </w:rPr>
        <w:t xml:space="preserve"> having been reported. The municipality</w:t>
      </w:r>
      <w:r w:rsidR="00E623EC" w:rsidRPr="00F113D0">
        <w:rPr>
          <w:lang w:val="en-GB"/>
        </w:rPr>
        <w:t xml:space="preserve"> pleads that it took reasonable steps upon becoming aware of the missing drain cover.</w:t>
      </w:r>
      <w:r w:rsidR="007509AA" w:rsidRPr="00F113D0">
        <w:rPr>
          <w:lang w:val="en-GB"/>
        </w:rPr>
        <w:t xml:space="preserve"> Further particulars</w:t>
      </w:r>
      <w:r w:rsidR="00926739" w:rsidRPr="00F113D0">
        <w:rPr>
          <w:lang w:val="en-GB"/>
        </w:rPr>
        <w:t xml:space="preserve"> provided by the municipality</w:t>
      </w:r>
      <w:r w:rsidR="007509AA" w:rsidRPr="00F113D0">
        <w:rPr>
          <w:lang w:val="en-GB"/>
        </w:rPr>
        <w:t xml:space="preserve"> explain </w:t>
      </w:r>
      <w:r w:rsidR="00926739" w:rsidRPr="00F113D0">
        <w:rPr>
          <w:lang w:val="en-GB"/>
        </w:rPr>
        <w:t xml:space="preserve">its position as </w:t>
      </w:r>
      <w:r w:rsidR="007509AA" w:rsidRPr="00F113D0">
        <w:rPr>
          <w:lang w:val="en-GB"/>
        </w:rPr>
        <w:t>follow</w:t>
      </w:r>
      <w:r w:rsidR="003C2DA6" w:rsidRPr="00F113D0">
        <w:rPr>
          <w:lang w:val="en-GB"/>
        </w:rPr>
        <w:t>s</w:t>
      </w:r>
      <w:r w:rsidR="007509AA" w:rsidRPr="00F113D0">
        <w:rPr>
          <w:lang w:val="en-GB"/>
        </w:rPr>
        <w:t>:</w:t>
      </w:r>
    </w:p>
    <w:p w14:paraId="5007A43B" w14:textId="7631ACD5" w:rsidR="007509AA" w:rsidRDefault="007509AA" w:rsidP="007509AA">
      <w:pPr>
        <w:pStyle w:val="ListParagraph"/>
        <w:autoSpaceDE w:val="0"/>
        <w:autoSpaceDN w:val="0"/>
        <w:adjustRightInd w:val="0"/>
        <w:ind w:left="0"/>
        <w:jc w:val="both"/>
        <w:rPr>
          <w:sz w:val="22"/>
          <w:szCs w:val="22"/>
          <w:lang w:val="en-GB"/>
        </w:rPr>
      </w:pPr>
      <w:r>
        <w:rPr>
          <w:sz w:val="22"/>
          <w:szCs w:val="22"/>
          <w:lang w:val="en-GB"/>
        </w:rPr>
        <w:t>‘During or about July 2020, a vandalised drain cover lid was reported to the defendant, and soon thereafter a yellow barrier was put up</w:t>
      </w:r>
      <w:r w:rsidR="0059616E">
        <w:rPr>
          <w:sz w:val="22"/>
          <w:szCs w:val="22"/>
          <w:lang w:val="en-GB"/>
        </w:rPr>
        <w:t xml:space="preserve"> … A yellow barrier was put up after it was reported in July 2020, and the drain cover replaced on or before April 2021.</w:t>
      </w:r>
    </w:p>
    <w:p w14:paraId="1598201C" w14:textId="5E79A98B" w:rsidR="0059616E" w:rsidRDefault="0059616E" w:rsidP="007509AA">
      <w:pPr>
        <w:pStyle w:val="ListParagraph"/>
        <w:autoSpaceDE w:val="0"/>
        <w:autoSpaceDN w:val="0"/>
        <w:adjustRightInd w:val="0"/>
        <w:ind w:left="0"/>
        <w:jc w:val="both"/>
        <w:rPr>
          <w:sz w:val="22"/>
          <w:szCs w:val="22"/>
          <w:lang w:val="en-GB"/>
        </w:rPr>
      </w:pPr>
    </w:p>
    <w:p w14:paraId="7C6A1DD2" w14:textId="60283DB4" w:rsidR="008D1370" w:rsidRPr="000731A6" w:rsidRDefault="008D1370" w:rsidP="007509AA">
      <w:pPr>
        <w:pStyle w:val="ListParagraph"/>
        <w:autoSpaceDE w:val="0"/>
        <w:autoSpaceDN w:val="0"/>
        <w:adjustRightInd w:val="0"/>
        <w:ind w:left="0"/>
        <w:jc w:val="both"/>
        <w:rPr>
          <w:b/>
          <w:bCs/>
          <w:lang w:val="en-GB"/>
        </w:rPr>
      </w:pPr>
      <w:r w:rsidRPr="000731A6">
        <w:rPr>
          <w:b/>
          <w:bCs/>
          <w:lang w:val="en-GB"/>
        </w:rPr>
        <w:t>The evidence</w:t>
      </w:r>
    </w:p>
    <w:p w14:paraId="527CF297" w14:textId="06AF0C54" w:rsidR="00E76F97" w:rsidRPr="00F113D0" w:rsidRDefault="00F113D0" w:rsidP="00F113D0">
      <w:pPr>
        <w:autoSpaceDE w:val="0"/>
        <w:autoSpaceDN w:val="0"/>
        <w:adjustRightInd w:val="0"/>
        <w:jc w:val="both"/>
        <w:rPr>
          <w:lang w:val="en-GB"/>
        </w:rPr>
      </w:pPr>
      <w:r>
        <w:rPr>
          <w:lang w:val="en-GB"/>
        </w:rPr>
        <w:t>[3]</w:t>
      </w:r>
      <w:r>
        <w:rPr>
          <w:lang w:val="en-GB"/>
        </w:rPr>
        <w:tab/>
      </w:r>
      <w:r w:rsidR="00741F72" w:rsidRPr="00F113D0">
        <w:rPr>
          <w:lang w:val="en-GB"/>
        </w:rPr>
        <w:t xml:space="preserve">The plaintiff testified that he had stayed </w:t>
      </w:r>
      <w:r w:rsidR="009202BD" w:rsidRPr="00F113D0">
        <w:rPr>
          <w:lang w:val="en-GB"/>
        </w:rPr>
        <w:t xml:space="preserve">at </w:t>
      </w:r>
      <w:r w:rsidR="00741F72" w:rsidRPr="00F113D0">
        <w:rPr>
          <w:lang w:val="en-GB"/>
        </w:rPr>
        <w:t xml:space="preserve">a friend’s smallholding in Despatch </w:t>
      </w:r>
      <w:r w:rsidR="00A27A96" w:rsidRPr="00F113D0">
        <w:rPr>
          <w:lang w:val="en-GB"/>
        </w:rPr>
        <w:t>on the evening in question</w:t>
      </w:r>
      <w:r w:rsidR="00E14296" w:rsidRPr="00F113D0">
        <w:rPr>
          <w:lang w:val="en-GB"/>
        </w:rPr>
        <w:t>. He had borrowed his friend’s vehicle</w:t>
      </w:r>
      <w:r w:rsidR="000E7648" w:rsidRPr="00F113D0">
        <w:rPr>
          <w:lang w:val="en-GB"/>
        </w:rPr>
        <w:t xml:space="preserve">, </w:t>
      </w:r>
      <w:r w:rsidR="00E14296" w:rsidRPr="00F113D0">
        <w:rPr>
          <w:lang w:val="en-GB"/>
        </w:rPr>
        <w:t xml:space="preserve">visited a </w:t>
      </w:r>
      <w:r w:rsidR="000E7648" w:rsidRPr="00F113D0">
        <w:rPr>
          <w:lang w:val="en-GB"/>
        </w:rPr>
        <w:t>pub, and consumed alcohol</w:t>
      </w:r>
      <w:r w:rsidR="007A0C92" w:rsidRPr="00F113D0">
        <w:rPr>
          <w:lang w:val="en-GB"/>
        </w:rPr>
        <w:t>.</w:t>
      </w:r>
      <w:r w:rsidR="00E14296" w:rsidRPr="00F113D0">
        <w:rPr>
          <w:lang w:val="en-GB"/>
        </w:rPr>
        <w:t xml:space="preserve"> </w:t>
      </w:r>
      <w:r w:rsidR="000E7648" w:rsidRPr="00F113D0">
        <w:rPr>
          <w:lang w:val="en-GB"/>
        </w:rPr>
        <w:t>When leaving that establishment, c</w:t>
      </w:r>
      <w:r w:rsidR="00E14296" w:rsidRPr="00F113D0">
        <w:rPr>
          <w:lang w:val="en-GB"/>
        </w:rPr>
        <w:t>ar guards had asked for money and cigarettes</w:t>
      </w:r>
      <w:r w:rsidR="000E7648" w:rsidRPr="00F113D0">
        <w:rPr>
          <w:lang w:val="en-GB"/>
        </w:rPr>
        <w:t xml:space="preserve">. He returned to his friend’s dwelling and </w:t>
      </w:r>
      <w:r w:rsidR="002C3BA4" w:rsidRPr="00F113D0">
        <w:rPr>
          <w:lang w:val="en-GB"/>
        </w:rPr>
        <w:t xml:space="preserve">then </w:t>
      </w:r>
      <w:r w:rsidR="000E7648" w:rsidRPr="00F113D0">
        <w:rPr>
          <w:lang w:val="en-GB"/>
        </w:rPr>
        <w:t>realised that his cell phone was missing. He suspected that it had been taken from the car door at the time he had conversed with the car guards, while climbing into the vehicle.</w:t>
      </w:r>
      <w:r w:rsidR="002C3BA4" w:rsidRPr="00F113D0">
        <w:rPr>
          <w:lang w:val="en-GB"/>
        </w:rPr>
        <w:t xml:space="preserve"> </w:t>
      </w:r>
      <w:r w:rsidR="00620FEF" w:rsidRPr="00F113D0">
        <w:rPr>
          <w:lang w:val="en-GB"/>
        </w:rPr>
        <w:t xml:space="preserve">It was now past midnight. </w:t>
      </w:r>
      <w:r w:rsidR="002C3BA4" w:rsidRPr="00F113D0">
        <w:rPr>
          <w:lang w:val="en-GB"/>
        </w:rPr>
        <w:t xml:space="preserve">He returned on foot </w:t>
      </w:r>
      <w:r w:rsidR="00620FEF" w:rsidRPr="00F113D0">
        <w:rPr>
          <w:lang w:val="en-GB"/>
        </w:rPr>
        <w:t>to an</w:t>
      </w:r>
      <w:r w:rsidR="0090452D" w:rsidRPr="00F113D0">
        <w:rPr>
          <w:lang w:val="en-GB"/>
        </w:rPr>
        <w:t xml:space="preserve"> area close to where he had engaged with the car guards. He </w:t>
      </w:r>
      <w:r w:rsidR="00840795" w:rsidRPr="00F113D0">
        <w:rPr>
          <w:lang w:val="en-GB"/>
        </w:rPr>
        <w:t xml:space="preserve">met the </w:t>
      </w:r>
      <w:r w:rsidR="009E086A" w:rsidRPr="00F113D0">
        <w:rPr>
          <w:lang w:val="en-GB"/>
        </w:rPr>
        <w:t xml:space="preserve">person who had taken his phone, who was with three others, in Amperbo Street, </w:t>
      </w:r>
      <w:r w:rsidR="00840795" w:rsidRPr="00F113D0">
        <w:rPr>
          <w:lang w:val="en-GB"/>
        </w:rPr>
        <w:t>and requested the return of his cell phone</w:t>
      </w:r>
      <w:r w:rsidR="00A776EE" w:rsidRPr="00F113D0">
        <w:rPr>
          <w:lang w:val="en-GB"/>
        </w:rPr>
        <w:t>. Having obtained the phone, an argument ensued</w:t>
      </w:r>
      <w:r w:rsidR="00800C94" w:rsidRPr="00F113D0">
        <w:rPr>
          <w:lang w:val="en-GB"/>
        </w:rPr>
        <w:t xml:space="preserve">. </w:t>
      </w:r>
      <w:r w:rsidR="00D70406" w:rsidRPr="00F113D0">
        <w:rPr>
          <w:lang w:val="en-GB"/>
        </w:rPr>
        <w:t>A man produced a knife</w:t>
      </w:r>
      <w:r w:rsidR="00C9477A" w:rsidRPr="00F113D0">
        <w:rPr>
          <w:lang w:val="en-GB"/>
        </w:rPr>
        <w:t>. T</w:t>
      </w:r>
      <w:r w:rsidR="00D70406" w:rsidRPr="00F113D0">
        <w:rPr>
          <w:lang w:val="en-GB"/>
        </w:rPr>
        <w:t xml:space="preserve">he plaintiff </w:t>
      </w:r>
      <w:r w:rsidR="00C9477A" w:rsidRPr="00F113D0">
        <w:rPr>
          <w:lang w:val="en-GB"/>
        </w:rPr>
        <w:t xml:space="preserve">believed that the men wanted to assault him. He </w:t>
      </w:r>
      <w:r w:rsidR="00D70406" w:rsidRPr="00F113D0">
        <w:rPr>
          <w:lang w:val="en-GB"/>
        </w:rPr>
        <w:t>ran away and was chased</w:t>
      </w:r>
      <w:r w:rsidR="0065085E" w:rsidRPr="00F113D0">
        <w:rPr>
          <w:lang w:val="en-GB"/>
        </w:rPr>
        <w:t xml:space="preserve"> before falling into </w:t>
      </w:r>
      <w:r w:rsidR="008B6A44" w:rsidRPr="00F113D0">
        <w:rPr>
          <w:lang w:val="en-GB"/>
        </w:rPr>
        <w:t>the</w:t>
      </w:r>
      <w:r w:rsidR="0065085E" w:rsidRPr="00F113D0">
        <w:rPr>
          <w:lang w:val="en-GB"/>
        </w:rPr>
        <w:t xml:space="preserve"> drain</w:t>
      </w:r>
      <w:r w:rsidR="000331BA" w:rsidRPr="00F113D0">
        <w:rPr>
          <w:lang w:val="en-GB"/>
        </w:rPr>
        <w:t xml:space="preserve">, landing on his left leg at the bottom of the drain and hearing </w:t>
      </w:r>
      <w:r w:rsidR="008A74A4" w:rsidRPr="00F113D0">
        <w:rPr>
          <w:lang w:val="en-GB"/>
        </w:rPr>
        <w:t>his knee crack</w:t>
      </w:r>
      <w:r w:rsidR="00673A2C" w:rsidRPr="00F113D0">
        <w:rPr>
          <w:lang w:val="en-GB"/>
        </w:rPr>
        <w:t>.</w:t>
      </w:r>
      <w:r w:rsidR="009202BD" w:rsidRPr="00F113D0">
        <w:rPr>
          <w:lang w:val="en-GB"/>
        </w:rPr>
        <w:t xml:space="preserve"> He </w:t>
      </w:r>
      <w:r w:rsidR="00A56220" w:rsidRPr="00F113D0">
        <w:rPr>
          <w:lang w:val="en-GB"/>
        </w:rPr>
        <w:t>phoned</w:t>
      </w:r>
      <w:r w:rsidR="009202BD" w:rsidRPr="00F113D0">
        <w:rPr>
          <w:lang w:val="en-GB"/>
        </w:rPr>
        <w:t xml:space="preserve"> his friend, who assisted him</w:t>
      </w:r>
      <w:r w:rsidR="00A56220" w:rsidRPr="00F113D0">
        <w:rPr>
          <w:lang w:val="en-GB"/>
        </w:rPr>
        <w:t xml:space="preserve"> back to the smallholding. The pain increased </w:t>
      </w:r>
      <w:r w:rsidR="00E81C45" w:rsidRPr="00F113D0">
        <w:rPr>
          <w:lang w:val="en-GB"/>
        </w:rPr>
        <w:t>overnight,</w:t>
      </w:r>
      <w:r w:rsidR="00A56220" w:rsidRPr="00F113D0">
        <w:rPr>
          <w:lang w:val="en-GB"/>
        </w:rPr>
        <w:t xml:space="preserve"> and an ambulance was called </w:t>
      </w:r>
      <w:r w:rsidR="00531B3D" w:rsidRPr="00F113D0">
        <w:rPr>
          <w:lang w:val="en-GB"/>
        </w:rPr>
        <w:t xml:space="preserve">to take him to hospital </w:t>
      </w:r>
      <w:r w:rsidR="00A56220" w:rsidRPr="00F113D0">
        <w:rPr>
          <w:lang w:val="en-GB"/>
        </w:rPr>
        <w:t xml:space="preserve">the following </w:t>
      </w:r>
      <w:r w:rsidR="00531B3D" w:rsidRPr="00F113D0">
        <w:rPr>
          <w:lang w:val="en-GB"/>
        </w:rPr>
        <w:t>morning</w:t>
      </w:r>
    </w:p>
    <w:p w14:paraId="2442B264" w14:textId="77777777" w:rsidR="007766E2" w:rsidRDefault="007766E2" w:rsidP="007766E2">
      <w:pPr>
        <w:pStyle w:val="ListParagraph"/>
        <w:autoSpaceDE w:val="0"/>
        <w:autoSpaceDN w:val="0"/>
        <w:adjustRightInd w:val="0"/>
        <w:ind w:left="0"/>
        <w:jc w:val="both"/>
        <w:rPr>
          <w:lang w:val="en-GB"/>
        </w:rPr>
      </w:pPr>
    </w:p>
    <w:p w14:paraId="559C4579" w14:textId="645F3755" w:rsidR="007766E2" w:rsidRPr="00F113D0" w:rsidRDefault="00F113D0" w:rsidP="00F113D0">
      <w:pPr>
        <w:autoSpaceDE w:val="0"/>
        <w:autoSpaceDN w:val="0"/>
        <w:adjustRightInd w:val="0"/>
        <w:jc w:val="both"/>
        <w:rPr>
          <w:lang w:val="en-GB"/>
        </w:rPr>
      </w:pPr>
      <w:r>
        <w:rPr>
          <w:lang w:val="en-GB"/>
        </w:rPr>
        <w:lastRenderedPageBreak/>
        <w:t>[4]</w:t>
      </w:r>
      <w:r>
        <w:rPr>
          <w:lang w:val="en-GB"/>
        </w:rPr>
        <w:tab/>
      </w:r>
      <w:r w:rsidR="007766E2" w:rsidRPr="00F113D0">
        <w:rPr>
          <w:lang w:val="en-GB"/>
        </w:rPr>
        <w:t>The plaintiff explained that it was dark at the time of the incident. There was no street lighting</w:t>
      </w:r>
      <w:r w:rsidR="00D20B34" w:rsidRPr="00F113D0">
        <w:rPr>
          <w:lang w:val="en-GB"/>
        </w:rPr>
        <w:t xml:space="preserve"> and he had not seen the open drain. </w:t>
      </w:r>
      <w:r w:rsidR="00E81C45" w:rsidRPr="00F113D0">
        <w:rPr>
          <w:lang w:val="en-GB"/>
        </w:rPr>
        <w:t xml:space="preserve">He had subsequently returned to the scene twice, once during the day and once at night, so that he could show his fiancé how dark it was at that spot. </w:t>
      </w:r>
      <w:r w:rsidR="007A511D" w:rsidRPr="00F113D0">
        <w:rPr>
          <w:lang w:val="en-GB"/>
        </w:rPr>
        <w:t xml:space="preserve">His evidence was that he had been unable to see the hole even when not in a </w:t>
      </w:r>
      <w:r w:rsidR="005C0514" w:rsidRPr="00F113D0">
        <w:rPr>
          <w:lang w:val="en-GB"/>
        </w:rPr>
        <w:t>panicked situation</w:t>
      </w:r>
      <w:r w:rsidR="007A511D" w:rsidRPr="00F113D0">
        <w:rPr>
          <w:lang w:val="en-GB"/>
        </w:rPr>
        <w:t xml:space="preserve">. It was not visible even from </w:t>
      </w:r>
      <w:r w:rsidR="00B977A2" w:rsidRPr="00F113D0">
        <w:rPr>
          <w:lang w:val="en-GB"/>
        </w:rPr>
        <w:t>a</w:t>
      </w:r>
      <w:r w:rsidR="00E9709F" w:rsidRPr="00F113D0">
        <w:rPr>
          <w:lang w:val="en-GB"/>
        </w:rPr>
        <w:t xml:space="preserve"> </w:t>
      </w:r>
      <w:r w:rsidR="007A511D" w:rsidRPr="00F113D0">
        <w:rPr>
          <w:lang w:val="en-GB"/>
        </w:rPr>
        <w:t>metre</w:t>
      </w:r>
      <w:r w:rsidR="00102A24" w:rsidRPr="00F113D0">
        <w:rPr>
          <w:lang w:val="en-GB"/>
        </w:rPr>
        <w:t xml:space="preserve"> away</w:t>
      </w:r>
      <w:r w:rsidR="007A511D" w:rsidRPr="00F113D0">
        <w:rPr>
          <w:lang w:val="en-GB"/>
        </w:rPr>
        <w:t>.</w:t>
      </w:r>
    </w:p>
    <w:p w14:paraId="39F4C017" w14:textId="77777777" w:rsidR="00E14296" w:rsidRDefault="00E14296" w:rsidP="00E14296">
      <w:pPr>
        <w:pStyle w:val="ListParagraph"/>
        <w:autoSpaceDE w:val="0"/>
        <w:autoSpaceDN w:val="0"/>
        <w:adjustRightInd w:val="0"/>
        <w:ind w:left="0"/>
        <w:jc w:val="both"/>
        <w:rPr>
          <w:lang w:val="en-GB"/>
        </w:rPr>
      </w:pPr>
    </w:p>
    <w:p w14:paraId="247CD2BA" w14:textId="2B4EC5C4" w:rsidR="00FC42D3" w:rsidRPr="00F113D0" w:rsidRDefault="00F113D0" w:rsidP="00F113D0">
      <w:pPr>
        <w:autoSpaceDE w:val="0"/>
        <w:autoSpaceDN w:val="0"/>
        <w:adjustRightInd w:val="0"/>
        <w:jc w:val="both"/>
        <w:rPr>
          <w:lang w:val="en-GB"/>
        </w:rPr>
      </w:pPr>
      <w:r>
        <w:rPr>
          <w:lang w:val="en-GB"/>
        </w:rPr>
        <w:t>[5]</w:t>
      </w:r>
      <w:r>
        <w:rPr>
          <w:lang w:val="en-GB"/>
        </w:rPr>
        <w:tab/>
      </w:r>
      <w:r w:rsidR="00E33826" w:rsidRPr="00F113D0">
        <w:rPr>
          <w:lang w:val="en-GB"/>
        </w:rPr>
        <w:t>During cross-examination, t</w:t>
      </w:r>
      <w:r w:rsidR="00102A24" w:rsidRPr="00F113D0">
        <w:rPr>
          <w:lang w:val="en-GB"/>
        </w:rPr>
        <w:t>he plaintiff</w:t>
      </w:r>
      <w:r w:rsidR="00E76F97" w:rsidRPr="00F113D0">
        <w:rPr>
          <w:lang w:val="en-GB"/>
        </w:rPr>
        <w:t xml:space="preserve"> accepted that the country was in lockdown </w:t>
      </w:r>
      <w:r w:rsidR="00B977A2" w:rsidRPr="00F113D0">
        <w:rPr>
          <w:lang w:val="en-GB"/>
        </w:rPr>
        <w:t xml:space="preserve">at the time </w:t>
      </w:r>
      <w:r w:rsidR="00E76F97" w:rsidRPr="00F113D0">
        <w:rPr>
          <w:lang w:val="en-GB"/>
        </w:rPr>
        <w:t xml:space="preserve">and that he ought not to have been on the streets at that time. </w:t>
      </w:r>
      <w:r w:rsidR="00C22708" w:rsidRPr="00F113D0">
        <w:rPr>
          <w:lang w:val="en-GB"/>
        </w:rPr>
        <w:t>He had informed his attorney and a doctor that he had been running away from assailants or robbers at the time of the incident</w:t>
      </w:r>
      <w:r w:rsidR="005D6D7D" w:rsidRPr="00F113D0">
        <w:rPr>
          <w:lang w:val="en-GB"/>
        </w:rPr>
        <w:t>, and had deposed to an affidavit</w:t>
      </w:r>
      <w:r w:rsidR="0005642D" w:rsidRPr="00F113D0">
        <w:rPr>
          <w:lang w:val="en-GB"/>
        </w:rPr>
        <w:t xml:space="preserve">, in support of an application for condonation, </w:t>
      </w:r>
      <w:r w:rsidR="005D6D7D" w:rsidRPr="00F113D0">
        <w:rPr>
          <w:lang w:val="en-GB"/>
        </w:rPr>
        <w:t>referring to the men as ‘armed assailants’.</w:t>
      </w:r>
      <w:r w:rsidR="0005642D" w:rsidRPr="00F113D0">
        <w:rPr>
          <w:lang w:val="en-GB"/>
        </w:rPr>
        <w:t xml:space="preserve"> </w:t>
      </w:r>
      <w:r w:rsidR="00C54A65" w:rsidRPr="00F113D0">
        <w:rPr>
          <w:lang w:val="en-GB"/>
        </w:rPr>
        <w:t>He disputed what appeared in the ambulance records, namely that he had been ‘running after thieves’</w:t>
      </w:r>
      <w:r w:rsidR="00C22EB2" w:rsidRPr="00F113D0">
        <w:rPr>
          <w:lang w:val="en-GB"/>
        </w:rPr>
        <w:t xml:space="preserve"> when the incident occurred.</w:t>
      </w:r>
      <w:r w:rsidR="002E5952" w:rsidRPr="00F113D0">
        <w:rPr>
          <w:lang w:val="en-GB"/>
        </w:rPr>
        <w:t xml:space="preserve"> He conceded that he had not visited the police station that was close to Amperbo Street at the time of the incident</w:t>
      </w:r>
      <w:r w:rsidR="001D677B" w:rsidRPr="00F113D0">
        <w:rPr>
          <w:lang w:val="en-GB"/>
        </w:rPr>
        <w:t xml:space="preserve">, and that </w:t>
      </w:r>
      <w:r w:rsidR="00487717" w:rsidRPr="00F113D0">
        <w:rPr>
          <w:lang w:val="en-GB"/>
        </w:rPr>
        <w:t>his own</w:t>
      </w:r>
      <w:r w:rsidR="001D677B" w:rsidRPr="00F113D0">
        <w:rPr>
          <w:lang w:val="en-GB"/>
        </w:rPr>
        <w:t xml:space="preserve"> </w:t>
      </w:r>
      <w:r w:rsidR="00EF6F01" w:rsidRPr="00F113D0">
        <w:rPr>
          <w:lang w:val="en-GB"/>
        </w:rPr>
        <w:t>F</w:t>
      </w:r>
      <w:r w:rsidR="001D677B" w:rsidRPr="00F113D0">
        <w:rPr>
          <w:lang w:val="en-GB"/>
        </w:rPr>
        <w:t>acebook post</w:t>
      </w:r>
      <w:r w:rsidR="00EF6BF6" w:rsidRPr="00F113D0">
        <w:rPr>
          <w:lang w:val="en-GB"/>
        </w:rPr>
        <w:t xml:space="preserve">, seemingly from his time in hospital, </w:t>
      </w:r>
      <w:r w:rsidR="00F115D6" w:rsidRPr="00F113D0">
        <w:rPr>
          <w:lang w:val="en-GB"/>
        </w:rPr>
        <w:t>alluded to</w:t>
      </w:r>
      <w:r w:rsidR="001D677B" w:rsidRPr="00F113D0">
        <w:rPr>
          <w:lang w:val="en-GB"/>
        </w:rPr>
        <w:t xml:space="preserve"> his </w:t>
      </w:r>
      <w:r w:rsidR="00F115D6" w:rsidRPr="00F113D0">
        <w:rPr>
          <w:lang w:val="en-GB"/>
        </w:rPr>
        <w:t xml:space="preserve">alcohol </w:t>
      </w:r>
      <w:r w:rsidR="001D677B" w:rsidRPr="00F113D0">
        <w:rPr>
          <w:lang w:val="en-GB"/>
        </w:rPr>
        <w:t>consumption</w:t>
      </w:r>
      <w:r w:rsidR="00EF6BF6" w:rsidRPr="00F113D0">
        <w:rPr>
          <w:lang w:val="en-GB"/>
        </w:rPr>
        <w:t xml:space="preserve"> on the night in question.</w:t>
      </w:r>
      <w:r w:rsidR="00677D5C" w:rsidRPr="00F113D0">
        <w:rPr>
          <w:lang w:val="en-GB"/>
        </w:rPr>
        <w:t xml:space="preserve"> He also confirmed that he had no sight in his right eye</w:t>
      </w:r>
      <w:r w:rsidR="00FC42D3" w:rsidRPr="00F113D0">
        <w:rPr>
          <w:lang w:val="en-GB"/>
        </w:rPr>
        <w:t>.</w:t>
      </w:r>
    </w:p>
    <w:p w14:paraId="63ACE4E9" w14:textId="77777777" w:rsidR="00FC42D3" w:rsidRPr="00FC42D3" w:rsidRDefault="00FC42D3" w:rsidP="00FC42D3">
      <w:pPr>
        <w:pStyle w:val="ListParagraph"/>
        <w:rPr>
          <w:lang w:val="en-GB"/>
        </w:rPr>
      </w:pPr>
    </w:p>
    <w:p w14:paraId="00FE22A2" w14:textId="222D588F" w:rsidR="00E14296" w:rsidRPr="00F113D0" w:rsidRDefault="00F113D0" w:rsidP="00F113D0">
      <w:pPr>
        <w:autoSpaceDE w:val="0"/>
        <w:autoSpaceDN w:val="0"/>
        <w:adjustRightInd w:val="0"/>
        <w:jc w:val="both"/>
        <w:rPr>
          <w:lang w:val="en-GB"/>
        </w:rPr>
      </w:pPr>
      <w:r>
        <w:rPr>
          <w:lang w:val="en-GB"/>
        </w:rPr>
        <w:t>[6]</w:t>
      </w:r>
      <w:r>
        <w:rPr>
          <w:lang w:val="en-GB"/>
        </w:rPr>
        <w:tab/>
      </w:r>
      <w:r w:rsidR="00FC42D3" w:rsidRPr="00F113D0">
        <w:rPr>
          <w:lang w:val="en-GB"/>
        </w:rPr>
        <w:t xml:space="preserve">The version put to the plaintiff on behalf of the municipality was that a ward committee member (‘Mr Senekal’) had reported </w:t>
      </w:r>
      <w:r w:rsidR="00482A67" w:rsidRPr="00F113D0">
        <w:rPr>
          <w:lang w:val="en-GB"/>
        </w:rPr>
        <w:t>a</w:t>
      </w:r>
      <w:r w:rsidR="00FC42D3" w:rsidRPr="00F113D0">
        <w:rPr>
          <w:lang w:val="en-GB"/>
        </w:rPr>
        <w:t xml:space="preserve"> damaged catchpit during July 2020. A team had been sent to </w:t>
      </w:r>
      <w:r w:rsidR="000156C3" w:rsidRPr="00F113D0">
        <w:rPr>
          <w:lang w:val="en-GB"/>
        </w:rPr>
        <w:t>cover the drain</w:t>
      </w:r>
      <w:r w:rsidR="004460F8" w:rsidRPr="00F113D0">
        <w:rPr>
          <w:lang w:val="en-GB"/>
        </w:rPr>
        <w:t xml:space="preserve"> and a yellow barrier had been erected</w:t>
      </w:r>
      <w:r w:rsidR="005F55B0" w:rsidRPr="00F113D0">
        <w:rPr>
          <w:lang w:val="en-GB"/>
        </w:rPr>
        <w:t xml:space="preserve"> prior to January 2021</w:t>
      </w:r>
      <w:r w:rsidR="004460F8" w:rsidRPr="00F113D0">
        <w:rPr>
          <w:lang w:val="en-GB"/>
        </w:rPr>
        <w:t xml:space="preserve">. </w:t>
      </w:r>
      <w:r w:rsidR="00AF2E3B" w:rsidRPr="00F113D0">
        <w:rPr>
          <w:lang w:val="en-GB"/>
        </w:rPr>
        <w:t>The plaintiff maintained that the drain had been open and the barrier was not there at the time of the incident.</w:t>
      </w:r>
      <w:r w:rsidR="003E473C" w:rsidRPr="00F113D0">
        <w:rPr>
          <w:lang w:val="en-GB"/>
        </w:rPr>
        <w:t xml:space="preserve"> It was, however, visible when he returned to the scene approximately six weeks after the incident.</w:t>
      </w:r>
      <w:r w:rsidR="00677D5C" w:rsidRPr="00F113D0">
        <w:rPr>
          <w:lang w:val="en-GB"/>
        </w:rPr>
        <w:t xml:space="preserve"> </w:t>
      </w:r>
      <w:r w:rsidR="00F9186D" w:rsidRPr="00F113D0">
        <w:rPr>
          <w:lang w:val="en-GB"/>
        </w:rPr>
        <w:t>It may be accepted that he had not reported the incident to the municipality or police until a letter of demand was sent on his behalf.</w:t>
      </w:r>
    </w:p>
    <w:p w14:paraId="2A39A4F6" w14:textId="77777777" w:rsidR="003E473C" w:rsidRPr="003E473C" w:rsidRDefault="003E473C" w:rsidP="003E473C">
      <w:pPr>
        <w:pStyle w:val="ListParagraph"/>
        <w:rPr>
          <w:lang w:val="en-GB"/>
        </w:rPr>
      </w:pPr>
    </w:p>
    <w:p w14:paraId="1913DE08" w14:textId="6FBB01E2" w:rsidR="003E473C" w:rsidRPr="00F113D0" w:rsidRDefault="00F113D0" w:rsidP="00F113D0">
      <w:pPr>
        <w:autoSpaceDE w:val="0"/>
        <w:autoSpaceDN w:val="0"/>
        <w:adjustRightInd w:val="0"/>
        <w:jc w:val="both"/>
        <w:rPr>
          <w:lang w:val="en-GB"/>
        </w:rPr>
      </w:pPr>
      <w:r w:rsidRPr="008E101E">
        <w:rPr>
          <w:lang w:val="en-GB"/>
        </w:rPr>
        <w:t>[7]</w:t>
      </w:r>
      <w:r w:rsidRPr="008E101E">
        <w:rPr>
          <w:lang w:val="en-GB"/>
        </w:rPr>
        <w:tab/>
      </w:r>
      <w:r w:rsidR="003E473C" w:rsidRPr="00F113D0">
        <w:rPr>
          <w:lang w:val="en-GB"/>
        </w:rPr>
        <w:t>Mr Walter, the plaintiff’s attorney of record,</w:t>
      </w:r>
      <w:r w:rsidR="0098176E" w:rsidRPr="00F113D0">
        <w:rPr>
          <w:lang w:val="en-GB"/>
        </w:rPr>
        <w:t xml:space="preserve"> </w:t>
      </w:r>
      <w:r w:rsidR="00497286" w:rsidRPr="00F113D0">
        <w:rPr>
          <w:lang w:val="en-GB"/>
        </w:rPr>
        <w:t xml:space="preserve">visited the </w:t>
      </w:r>
      <w:r w:rsidR="00216AAB" w:rsidRPr="00F113D0">
        <w:rPr>
          <w:lang w:val="en-GB"/>
        </w:rPr>
        <w:t>scene</w:t>
      </w:r>
      <w:r w:rsidR="002B3660" w:rsidRPr="00F113D0">
        <w:rPr>
          <w:lang w:val="en-GB"/>
        </w:rPr>
        <w:t xml:space="preserve"> on 8 April 2021 and </w:t>
      </w:r>
      <w:r w:rsidR="0098176E" w:rsidRPr="00F113D0">
        <w:rPr>
          <w:lang w:val="en-GB"/>
        </w:rPr>
        <w:t>took</w:t>
      </w:r>
      <w:r w:rsidR="002B3660" w:rsidRPr="00F113D0">
        <w:rPr>
          <w:lang w:val="en-GB"/>
        </w:rPr>
        <w:t xml:space="preserve"> pictures and video footage, accepted into evidence, </w:t>
      </w:r>
      <w:r w:rsidR="00216AAB" w:rsidRPr="00F113D0">
        <w:rPr>
          <w:lang w:val="en-GB"/>
        </w:rPr>
        <w:t>of a yellow barrier covering the</w:t>
      </w:r>
      <w:r w:rsidR="00E33954" w:rsidRPr="00F113D0">
        <w:rPr>
          <w:lang w:val="en-GB"/>
        </w:rPr>
        <w:t xml:space="preserve"> </w:t>
      </w:r>
      <w:r w:rsidR="00216AAB" w:rsidRPr="00F113D0">
        <w:rPr>
          <w:lang w:val="en-GB"/>
        </w:rPr>
        <w:t>drain, the opening itself and depth of the hole</w:t>
      </w:r>
      <w:r w:rsidR="00606545" w:rsidRPr="00F113D0">
        <w:rPr>
          <w:lang w:val="en-GB"/>
        </w:rPr>
        <w:t xml:space="preserve">, estimated at between </w:t>
      </w:r>
      <w:r w:rsidR="0070127A" w:rsidRPr="00F113D0">
        <w:rPr>
          <w:lang w:val="en-GB"/>
        </w:rPr>
        <w:t>2,45</w:t>
      </w:r>
      <w:r w:rsidR="00606545" w:rsidRPr="00F113D0">
        <w:rPr>
          <w:lang w:val="en-GB"/>
        </w:rPr>
        <w:t xml:space="preserve"> to </w:t>
      </w:r>
      <w:r w:rsidR="0070127A" w:rsidRPr="00F113D0">
        <w:rPr>
          <w:lang w:val="en-GB"/>
        </w:rPr>
        <w:t>2,75</w:t>
      </w:r>
      <w:r w:rsidR="00606545" w:rsidRPr="00F113D0">
        <w:rPr>
          <w:lang w:val="en-GB"/>
        </w:rPr>
        <w:t xml:space="preserve"> </w:t>
      </w:r>
      <w:r w:rsidR="0070127A" w:rsidRPr="00F113D0">
        <w:rPr>
          <w:lang w:val="en-GB"/>
        </w:rPr>
        <w:t>metres</w:t>
      </w:r>
      <w:r w:rsidR="00606545" w:rsidRPr="00F113D0">
        <w:rPr>
          <w:lang w:val="en-GB"/>
        </w:rPr>
        <w:t>.</w:t>
      </w:r>
      <w:r w:rsidR="0075695C" w:rsidRPr="00F113D0">
        <w:rPr>
          <w:lang w:val="en-GB"/>
        </w:rPr>
        <w:t xml:space="preserve"> The yellow barrier had covered the gap upon his arrival. Mr Walter had moved it to the side to take pictures. His </w:t>
      </w:r>
      <w:r w:rsidR="00FE625D" w:rsidRPr="00F113D0">
        <w:rPr>
          <w:lang w:val="en-GB"/>
        </w:rPr>
        <w:t xml:space="preserve">uncontested </w:t>
      </w:r>
      <w:r w:rsidR="0075695C" w:rsidRPr="00F113D0">
        <w:rPr>
          <w:lang w:val="en-GB"/>
        </w:rPr>
        <w:t xml:space="preserve">evidence was that he could do so with one hand, as it was </w:t>
      </w:r>
      <w:r w:rsidR="00141866" w:rsidRPr="00F113D0">
        <w:rPr>
          <w:lang w:val="en-GB"/>
        </w:rPr>
        <w:t>‘</w:t>
      </w:r>
      <w:r w:rsidR="0075695C" w:rsidRPr="00F113D0">
        <w:rPr>
          <w:lang w:val="en-GB"/>
        </w:rPr>
        <w:t>fairly light</w:t>
      </w:r>
      <w:r w:rsidR="00141866" w:rsidRPr="00F113D0">
        <w:rPr>
          <w:lang w:val="en-GB"/>
        </w:rPr>
        <w:t>’</w:t>
      </w:r>
      <w:r w:rsidR="0075695C" w:rsidRPr="00F113D0">
        <w:rPr>
          <w:lang w:val="en-GB"/>
        </w:rPr>
        <w:t xml:space="preserve"> and easily manoeuvrable. </w:t>
      </w:r>
    </w:p>
    <w:p w14:paraId="2D33BEE4" w14:textId="77777777" w:rsidR="00C8111D" w:rsidRPr="00C8111D" w:rsidRDefault="00C8111D" w:rsidP="00C8111D">
      <w:pPr>
        <w:pStyle w:val="ListParagraph"/>
        <w:autoSpaceDE w:val="0"/>
        <w:autoSpaceDN w:val="0"/>
        <w:adjustRightInd w:val="0"/>
        <w:ind w:left="0"/>
        <w:jc w:val="both"/>
        <w:rPr>
          <w:lang w:val="en-GB"/>
        </w:rPr>
      </w:pPr>
    </w:p>
    <w:p w14:paraId="79AD7F8D" w14:textId="1EC48DBF" w:rsidR="00C8111D" w:rsidRPr="00F113D0" w:rsidRDefault="00F113D0" w:rsidP="00F113D0">
      <w:pPr>
        <w:autoSpaceDE w:val="0"/>
        <w:autoSpaceDN w:val="0"/>
        <w:adjustRightInd w:val="0"/>
        <w:jc w:val="both"/>
        <w:rPr>
          <w:lang w:val="en-GB"/>
        </w:rPr>
      </w:pPr>
      <w:r>
        <w:rPr>
          <w:lang w:val="en-GB"/>
        </w:rPr>
        <w:t>[8]</w:t>
      </w:r>
      <w:r>
        <w:rPr>
          <w:lang w:val="en-GB"/>
        </w:rPr>
        <w:tab/>
      </w:r>
      <w:r w:rsidR="006A7DA6" w:rsidRPr="00F113D0">
        <w:rPr>
          <w:lang w:val="en-GB"/>
        </w:rPr>
        <w:t>The</w:t>
      </w:r>
      <w:r w:rsidR="003C54AA" w:rsidRPr="00F113D0">
        <w:rPr>
          <w:lang w:val="en-GB"/>
        </w:rPr>
        <w:t xml:space="preserve"> </w:t>
      </w:r>
      <w:r w:rsidR="00202655" w:rsidRPr="00F113D0">
        <w:rPr>
          <w:lang w:val="en-GB"/>
        </w:rPr>
        <w:t xml:space="preserve">video depicts </w:t>
      </w:r>
      <w:r w:rsidR="00141866" w:rsidRPr="00F113D0">
        <w:rPr>
          <w:lang w:val="en-GB"/>
        </w:rPr>
        <w:t xml:space="preserve">the barrier seemingly lying on its side. Indentations create a crumpled appearance. </w:t>
      </w:r>
      <w:r w:rsidR="003A1DD2" w:rsidRPr="00F113D0">
        <w:rPr>
          <w:lang w:val="en-GB"/>
        </w:rPr>
        <w:t xml:space="preserve">Mr Walter is observed lifting the barrier with his left hand while filming using a cell phone with his right. </w:t>
      </w:r>
      <w:r w:rsidR="000B243A" w:rsidRPr="00F113D0">
        <w:rPr>
          <w:lang w:val="en-GB"/>
        </w:rPr>
        <w:t>One side of t</w:t>
      </w:r>
      <w:r w:rsidR="00AC3E11" w:rsidRPr="00F113D0">
        <w:rPr>
          <w:lang w:val="en-GB"/>
        </w:rPr>
        <w:t>he barrier is lifted into the air and dropped twice</w:t>
      </w:r>
      <w:r w:rsidR="000B243A" w:rsidRPr="00F113D0">
        <w:rPr>
          <w:lang w:val="en-GB"/>
        </w:rPr>
        <w:t>, seemingly with ease</w:t>
      </w:r>
      <w:r w:rsidR="00AC3E11" w:rsidRPr="00F113D0">
        <w:rPr>
          <w:lang w:val="en-GB"/>
        </w:rPr>
        <w:t>.</w:t>
      </w:r>
      <w:r w:rsidR="00351037" w:rsidRPr="00F113D0">
        <w:rPr>
          <w:lang w:val="en-GB"/>
        </w:rPr>
        <w:t xml:space="preserve"> The barrier </w:t>
      </w:r>
      <w:r w:rsidR="00E044D5" w:rsidRPr="00F113D0">
        <w:rPr>
          <w:lang w:val="en-GB"/>
        </w:rPr>
        <w:t>wobbles</w:t>
      </w:r>
      <w:r w:rsidR="00351037" w:rsidRPr="00F113D0">
        <w:rPr>
          <w:lang w:val="en-GB"/>
        </w:rPr>
        <w:t xml:space="preserve"> slightly when it lands.</w:t>
      </w:r>
      <w:r w:rsidR="00E044D5" w:rsidRPr="00F113D0">
        <w:rPr>
          <w:lang w:val="en-GB"/>
        </w:rPr>
        <w:t xml:space="preserve"> One of the photographs depicts two circular holes</w:t>
      </w:r>
      <w:r w:rsidR="003F4059" w:rsidRPr="00F113D0">
        <w:rPr>
          <w:lang w:val="en-GB"/>
        </w:rPr>
        <w:t xml:space="preserve"> close to the ground, facing the camera.</w:t>
      </w:r>
    </w:p>
    <w:p w14:paraId="040BCFA8" w14:textId="77777777" w:rsidR="00156A39" w:rsidRPr="00156A39" w:rsidRDefault="00156A39" w:rsidP="00156A39">
      <w:pPr>
        <w:pStyle w:val="ListParagraph"/>
        <w:rPr>
          <w:lang w:val="en-GB"/>
        </w:rPr>
      </w:pPr>
    </w:p>
    <w:p w14:paraId="566BF903" w14:textId="3A1F1FA0" w:rsidR="00935AA4" w:rsidRPr="00F113D0" w:rsidRDefault="00F113D0" w:rsidP="00F113D0">
      <w:pPr>
        <w:autoSpaceDE w:val="0"/>
        <w:autoSpaceDN w:val="0"/>
        <w:adjustRightInd w:val="0"/>
        <w:jc w:val="both"/>
        <w:rPr>
          <w:lang w:val="en-GB"/>
        </w:rPr>
      </w:pPr>
      <w:r>
        <w:rPr>
          <w:lang w:val="en-GB"/>
        </w:rPr>
        <w:t>[9]</w:t>
      </w:r>
      <w:r>
        <w:rPr>
          <w:lang w:val="en-GB"/>
        </w:rPr>
        <w:tab/>
      </w:r>
      <w:r w:rsidR="006F5227" w:rsidRPr="00F113D0">
        <w:rPr>
          <w:lang w:val="en-GB"/>
        </w:rPr>
        <w:t>A</w:t>
      </w:r>
      <w:r w:rsidR="00302778" w:rsidRPr="00F113D0">
        <w:rPr>
          <w:lang w:val="en-GB"/>
        </w:rPr>
        <w:t>n application for absolution</w:t>
      </w:r>
      <w:r w:rsidR="005D6086" w:rsidRPr="00F113D0">
        <w:rPr>
          <w:lang w:val="en-GB"/>
        </w:rPr>
        <w:t xml:space="preserve"> from the instance</w:t>
      </w:r>
      <w:r w:rsidR="00A14EFC" w:rsidRPr="00F113D0">
        <w:rPr>
          <w:lang w:val="en-GB"/>
        </w:rPr>
        <w:t xml:space="preserve"> was dismissed</w:t>
      </w:r>
      <w:r w:rsidR="006F5227" w:rsidRPr="00F113D0">
        <w:rPr>
          <w:lang w:val="en-GB"/>
        </w:rPr>
        <w:t xml:space="preserve"> at the close of the plaintiff’s case.</w:t>
      </w:r>
      <w:r w:rsidR="00A14EFC" w:rsidRPr="00F113D0">
        <w:rPr>
          <w:lang w:val="en-GB"/>
        </w:rPr>
        <w:t xml:space="preserve"> </w:t>
      </w:r>
      <w:r w:rsidR="00682104" w:rsidRPr="00F113D0">
        <w:rPr>
          <w:lang w:val="en-GB"/>
        </w:rPr>
        <w:t>The</w:t>
      </w:r>
      <w:r w:rsidR="00A14EFC" w:rsidRPr="00F113D0">
        <w:rPr>
          <w:lang w:val="en-GB"/>
        </w:rPr>
        <w:t xml:space="preserve"> reasons </w:t>
      </w:r>
      <w:r w:rsidR="00682104" w:rsidRPr="00F113D0">
        <w:rPr>
          <w:lang w:val="en-GB"/>
        </w:rPr>
        <w:t>for th</w:t>
      </w:r>
      <w:r w:rsidR="006319A6" w:rsidRPr="00F113D0">
        <w:rPr>
          <w:lang w:val="en-GB"/>
        </w:rPr>
        <w:t>at</w:t>
      </w:r>
      <w:r w:rsidR="00682104" w:rsidRPr="00F113D0">
        <w:rPr>
          <w:lang w:val="en-GB"/>
        </w:rPr>
        <w:t xml:space="preserve"> decision</w:t>
      </w:r>
      <w:r w:rsidR="00A14EFC" w:rsidRPr="00F113D0">
        <w:rPr>
          <w:lang w:val="en-GB"/>
        </w:rPr>
        <w:t xml:space="preserve"> </w:t>
      </w:r>
      <w:r w:rsidR="00682104" w:rsidRPr="00F113D0">
        <w:rPr>
          <w:lang w:val="en-GB"/>
        </w:rPr>
        <w:t>are</w:t>
      </w:r>
      <w:r w:rsidR="00A14EFC" w:rsidRPr="00F113D0">
        <w:rPr>
          <w:lang w:val="en-GB"/>
        </w:rPr>
        <w:t xml:space="preserve"> apparent</w:t>
      </w:r>
      <w:r w:rsidR="00682104" w:rsidRPr="00F113D0">
        <w:rPr>
          <w:lang w:val="en-GB"/>
        </w:rPr>
        <w:t xml:space="preserve"> from the analysis to follow</w:t>
      </w:r>
      <w:r w:rsidR="00A14EFC" w:rsidRPr="00F113D0">
        <w:rPr>
          <w:lang w:val="en-GB"/>
        </w:rPr>
        <w:t>.</w:t>
      </w:r>
      <w:r w:rsidR="0058220C" w:rsidRPr="00F113D0">
        <w:rPr>
          <w:lang w:val="en-GB"/>
        </w:rPr>
        <w:t xml:space="preserve"> </w:t>
      </w:r>
    </w:p>
    <w:p w14:paraId="073CC647" w14:textId="77777777" w:rsidR="00935AA4" w:rsidRPr="00935AA4" w:rsidRDefault="00935AA4" w:rsidP="00935AA4">
      <w:pPr>
        <w:pStyle w:val="ListParagraph"/>
        <w:rPr>
          <w:lang w:val="en-GB"/>
        </w:rPr>
      </w:pPr>
    </w:p>
    <w:p w14:paraId="2841EC1D" w14:textId="3DB269F4" w:rsidR="00156A39" w:rsidRPr="00F113D0" w:rsidRDefault="00F113D0" w:rsidP="00F113D0">
      <w:pPr>
        <w:autoSpaceDE w:val="0"/>
        <w:autoSpaceDN w:val="0"/>
        <w:adjustRightInd w:val="0"/>
        <w:jc w:val="both"/>
        <w:rPr>
          <w:lang w:val="en-GB"/>
        </w:rPr>
      </w:pPr>
      <w:r>
        <w:rPr>
          <w:lang w:val="en-GB"/>
        </w:rPr>
        <w:t>[10]</w:t>
      </w:r>
      <w:r>
        <w:rPr>
          <w:lang w:val="en-GB"/>
        </w:rPr>
        <w:tab/>
      </w:r>
      <w:r w:rsidR="0058220C" w:rsidRPr="00F113D0">
        <w:rPr>
          <w:lang w:val="en-GB"/>
        </w:rPr>
        <w:t>Ms Ntaka, a senior superintendent employed by the municipality in Despatch, testified that she managed the depot responsible for the maintenance of</w:t>
      </w:r>
      <w:r w:rsidR="006243C1" w:rsidRPr="00F113D0">
        <w:rPr>
          <w:lang w:val="en-GB"/>
        </w:rPr>
        <w:t>, inter alia,</w:t>
      </w:r>
      <w:r w:rsidR="0058220C" w:rsidRPr="00F113D0">
        <w:rPr>
          <w:lang w:val="en-GB"/>
        </w:rPr>
        <w:t xml:space="preserve"> stormwater drains and </w:t>
      </w:r>
      <w:r w:rsidR="005B2546" w:rsidRPr="00F113D0">
        <w:rPr>
          <w:lang w:val="en-GB"/>
        </w:rPr>
        <w:t>road</w:t>
      </w:r>
      <w:r w:rsidR="00166A2A" w:rsidRPr="00F113D0">
        <w:rPr>
          <w:lang w:val="en-GB"/>
        </w:rPr>
        <w:t xml:space="preserve"> </w:t>
      </w:r>
      <w:r w:rsidR="0058220C" w:rsidRPr="00F113D0">
        <w:rPr>
          <w:lang w:val="en-GB"/>
        </w:rPr>
        <w:t xml:space="preserve">infrastructure. </w:t>
      </w:r>
      <w:r w:rsidR="00166A2A" w:rsidRPr="00F113D0">
        <w:rPr>
          <w:lang w:val="en-GB"/>
        </w:rPr>
        <w:t xml:space="preserve">Her responsibilities included attending to road defects, sidewalk concrete defects, road signs and markings and drain cleaning. </w:t>
      </w:r>
      <w:r w:rsidR="00D43BCC" w:rsidRPr="00F113D0">
        <w:rPr>
          <w:lang w:val="en-GB"/>
        </w:rPr>
        <w:t xml:space="preserve">There were 20 employees working at the depot in four teams, one of which dealt with repair of sidewalks. </w:t>
      </w:r>
    </w:p>
    <w:p w14:paraId="01B6073B" w14:textId="77777777" w:rsidR="00AF354C" w:rsidRPr="00AF354C" w:rsidRDefault="00AF354C" w:rsidP="00AF354C">
      <w:pPr>
        <w:pStyle w:val="ListParagraph"/>
        <w:rPr>
          <w:lang w:val="en-GB"/>
        </w:rPr>
      </w:pPr>
    </w:p>
    <w:p w14:paraId="71F5E744" w14:textId="1C8D9CE7" w:rsidR="00AF354C" w:rsidRPr="00F113D0" w:rsidRDefault="00F113D0" w:rsidP="00F113D0">
      <w:pPr>
        <w:autoSpaceDE w:val="0"/>
        <w:autoSpaceDN w:val="0"/>
        <w:adjustRightInd w:val="0"/>
        <w:jc w:val="both"/>
        <w:rPr>
          <w:lang w:val="en-GB"/>
        </w:rPr>
      </w:pPr>
      <w:r>
        <w:rPr>
          <w:lang w:val="en-GB"/>
        </w:rPr>
        <w:t>[11]</w:t>
      </w:r>
      <w:r>
        <w:rPr>
          <w:lang w:val="en-GB"/>
        </w:rPr>
        <w:tab/>
      </w:r>
      <w:r w:rsidR="00AF354C" w:rsidRPr="00F113D0">
        <w:rPr>
          <w:lang w:val="en-GB"/>
        </w:rPr>
        <w:t xml:space="preserve">Mr Ntaka explained that community members were able to contact a call centre to report any road or stormwater infrastructure defects. A reference number would be issued. In addition, people walked </w:t>
      </w:r>
      <w:r w:rsidR="00994AE0" w:rsidRPr="00F113D0">
        <w:rPr>
          <w:lang w:val="en-GB"/>
        </w:rPr>
        <w:t>into</w:t>
      </w:r>
      <w:r w:rsidR="00AF354C" w:rsidRPr="00F113D0">
        <w:rPr>
          <w:lang w:val="en-GB"/>
        </w:rPr>
        <w:t xml:space="preserve"> the depot </w:t>
      </w:r>
      <w:r w:rsidR="00994AE0" w:rsidRPr="00F113D0">
        <w:rPr>
          <w:lang w:val="en-GB"/>
        </w:rPr>
        <w:t>to</w:t>
      </w:r>
      <w:r w:rsidR="00AF354C" w:rsidRPr="00F113D0">
        <w:rPr>
          <w:lang w:val="en-GB"/>
        </w:rPr>
        <w:t xml:space="preserve"> report defects, and ward councillors </w:t>
      </w:r>
      <w:r w:rsidR="009D24B3" w:rsidRPr="00F113D0">
        <w:rPr>
          <w:lang w:val="en-GB"/>
        </w:rPr>
        <w:t xml:space="preserve">or committee members </w:t>
      </w:r>
      <w:r w:rsidR="00AF354C" w:rsidRPr="00F113D0">
        <w:rPr>
          <w:lang w:val="en-GB"/>
        </w:rPr>
        <w:t xml:space="preserve">also played a role. </w:t>
      </w:r>
      <w:r w:rsidR="00994AE0" w:rsidRPr="00F113D0">
        <w:rPr>
          <w:lang w:val="en-GB"/>
        </w:rPr>
        <w:t>A complaint had been received from the councillor’s office, either by e</w:t>
      </w:r>
      <w:r w:rsidR="00F53E34" w:rsidRPr="00F113D0">
        <w:rPr>
          <w:lang w:val="en-GB"/>
        </w:rPr>
        <w:t>-</w:t>
      </w:r>
      <w:r w:rsidR="00994AE0" w:rsidRPr="00F113D0">
        <w:rPr>
          <w:lang w:val="en-GB"/>
        </w:rPr>
        <w:t xml:space="preserve">mail or </w:t>
      </w:r>
      <w:r w:rsidR="00A11AA3" w:rsidRPr="00F113D0">
        <w:rPr>
          <w:lang w:val="en-GB"/>
        </w:rPr>
        <w:t xml:space="preserve">WhatsApp, reporting the issue of </w:t>
      </w:r>
      <w:r w:rsidR="00435E4E" w:rsidRPr="00F113D0">
        <w:rPr>
          <w:lang w:val="en-GB"/>
        </w:rPr>
        <w:t>a</w:t>
      </w:r>
      <w:r w:rsidR="00A11AA3" w:rsidRPr="00F113D0">
        <w:rPr>
          <w:lang w:val="en-GB"/>
        </w:rPr>
        <w:t xml:space="preserve"> damaged stormwater drain in Amperbo Street.  </w:t>
      </w:r>
      <w:r w:rsidR="00F64535" w:rsidRPr="00F113D0">
        <w:rPr>
          <w:lang w:val="en-GB"/>
        </w:rPr>
        <w:t>A ‘ward committee activity sheet’, referenced as ‘report for January 2021 Stormwater Drains’ was produced. That document</w:t>
      </w:r>
      <w:r w:rsidR="009B168B" w:rsidRPr="00F113D0">
        <w:rPr>
          <w:lang w:val="en-GB"/>
        </w:rPr>
        <w:t xml:space="preserve"> had been received from Mr Senekal, a councillor or ward committee member, and</w:t>
      </w:r>
      <w:r w:rsidR="00F64535" w:rsidRPr="00F113D0">
        <w:rPr>
          <w:lang w:val="en-GB"/>
        </w:rPr>
        <w:t xml:space="preserve"> reflects some 14 dates and reports, many of which included reference numbers. The relevant entry reads as follows:</w:t>
      </w:r>
    </w:p>
    <w:p w14:paraId="76C3F629" w14:textId="32FACEA7" w:rsidR="00F64535" w:rsidRDefault="00F64535" w:rsidP="00F64535">
      <w:pPr>
        <w:rPr>
          <w:lang w:val="en-GB"/>
        </w:rPr>
      </w:pPr>
    </w:p>
    <w:p w14:paraId="5AD6B96E" w14:textId="27B79151" w:rsidR="00F64535" w:rsidRDefault="0029513E" w:rsidP="00F64535">
      <w:pPr>
        <w:rPr>
          <w:sz w:val="22"/>
          <w:szCs w:val="22"/>
          <w:lang w:val="en-GB"/>
        </w:rPr>
      </w:pPr>
      <w:r>
        <w:rPr>
          <w:sz w:val="22"/>
          <w:szCs w:val="22"/>
          <w:lang w:val="en-GB"/>
        </w:rPr>
        <w:t>‘29/07/2020</w:t>
      </w:r>
      <w:r>
        <w:rPr>
          <w:sz w:val="22"/>
          <w:szCs w:val="22"/>
          <w:lang w:val="en-GB"/>
        </w:rPr>
        <w:tab/>
        <w:t>Reinstatement of Catchpit Corner of Amperbo and Steill</w:t>
      </w:r>
      <w:r w:rsidR="000C24A8">
        <w:rPr>
          <w:sz w:val="22"/>
          <w:szCs w:val="22"/>
          <w:lang w:val="en-GB"/>
        </w:rPr>
        <w:t xml:space="preserve"> </w:t>
      </w:r>
      <w:r>
        <w:rPr>
          <w:sz w:val="22"/>
          <w:szCs w:val="22"/>
          <w:lang w:val="en-GB"/>
        </w:rPr>
        <w:t>Street Heuwelkruin Ref No 1329833</w:t>
      </w:r>
      <w:r w:rsidR="00435E4E">
        <w:rPr>
          <w:sz w:val="22"/>
          <w:szCs w:val="22"/>
          <w:lang w:val="en-GB"/>
        </w:rPr>
        <w:t>.</w:t>
      </w:r>
      <w:r>
        <w:rPr>
          <w:sz w:val="22"/>
          <w:szCs w:val="22"/>
          <w:lang w:val="en-GB"/>
        </w:rPr>
        <w:t>’</w:t>
      </w:r>
    </w:p>
    <w:p w14:paraId="1B4C46D9" w14:textId="77777777" w:rsidR="00716C43" w:rsidRPr="0029513E" w:rsidRDefault="00716C43" w:rsidP="00F64535">
      <w:pPr>
        <w:rPr>
          <w:sz w:val="22"/>
          <w:szCs w:val="22"/>
          <w:lang w:val="en-GB"/>
        </w:rPr>
      </w:pPr>
    </w:p>
    <w:p w14:paraId="41C6E2D2" w14:textId="49E92458" w:rsidR="00E3202F" w:rsidRPr="00F113D0" w:rsidRDefault="00F113D0" w:rsidP="00F113D0">
      <w:pPr>
        <w:autoSpaceDE w:val="0"/>
        <w:autoSpaceDN w:val="0"/>
        <w:adjustRightInd w:val="0"/>
        <w:jc w:val="both"/>
        <w:rPr>
          <w:lang w:val="en-GB"/>
        </w:rPr>
      </w:pPr>
      <w:r>
        <w:rPr>
          <w:lang w:val="en-GB"/>
        </w:rPr>
        <w:t>[12]</w:t>
      </w:r>
      <w:r>
        <w:rPr>
          <w:lang w:val="en-GB"/>
        </w:rPr>
        <w:tab/>
      </w:r>
      <w:r w:rsidR="000C24A8" w:rsidRPr="00F113D0">
        <w:rPr>
          <w:lang w:val="en-GB"/>
        </w:rPr>
        <w:t xml:space="preserve">The witness explained that some councillors were more thorough than others, and, as in the present instance, would send a list of defects in the area that they </w:t>
      </w:r>
      <w:r w:rsidR="000C24A8" w:rsidRPr="00F113D0">
        <w:rPr>
          <w:lang w:val="en-GB"/>
        </w:rPr>
        <w:lastRenderedPageBreak/>
        <w:t xml:space="preserve">expected the municipality to address. </w:t>
      </w:r>
      <w:r w:rsidR="006869F8" w:rsidRPr="00F113D0">
        <w:rPr>
          <w:lang w:val="en-GB"/>
        </w:rPr>
        <w:t xml:space="preserve">Ms Ntaka testified that she had received the report of the damaged catchpit in Amperbo Street on 29 July 2020, as reflected in Mr Senekal’s corresponding entry. Her evidence was that </w:t>
      </w:r>
      <w:r w:rsidR="00116FE8" w:rsidRPr="00F113D0">
        <w:rPr>
          <w:lang w:val="en-GB"/>
        </w:rPr>
        <w:t xml:space="preserve">her team </w:t>
      </w:r>
      <w:r w:rsidR="00C26307" w:rsidRPr="00F113D0">
        <w:rPr>
          <w:lang w:val="en-GB"/>
        </w:rPr>
        <w:t xml:space="preserve">would ‘put’ </w:t>
      </w:r>
      <w:r w:rsidR="006869F8" w:rsidRPr="00F113D0">
        <w:rPr>
          <w:lang w:val="en-GB"/>
        </w:rPr>
        <w:t>a yellow barrier</w:t>
      </w:r>
      <w:r w:rsidR="006011C6" w:rsidRPr="00F113D0">
        <w:rPr>
          <w:lang w:val="en-GB"/>
        </w:rPr>
        <w:t xml:space="preserve"> on top of the affected area</w:t>
      </w:r>
      <w:r w:rsidR="006869F8" w:rsidRPr="00F113D0">
        <w:rPr>
          <w:lang w:val="en-GB"/>
        </w:rPr>
        <w:t xml:space="preserve"> </w:t>
      </w:r>
      <w:r w:rsidR="00C63AA7" w:rsidRPr="00F113D0">
        <w:rPr>
          <w:lang w:val="en-GB"/>
        </w:rPr>
        <w:t xml:space="preserve">as an interim </w:t>
      </w:r>
      <w:r w:rsidR="00F53E34" w:rsidRPr="00F113D0">
        <w:rPr>
          <w:lang w:val="en-GB"/>
        </w:rPr>
        <w:t xml:space="preserve">safety </w:t>
      </w:r>
      <w:r w:rsidR="00C63AA7" w:rsidRPr="00F113D0">
        <w:rPr>
          <w:lang w:val="en-GB"/>
        </w:rPr>
        <w:t xml:space="preserve">measure </w:t>
      </w:r>
      <w:r w:rsidR="003B6A5E" w:rsidRPr="00F113D0">
        <w:rPr>
          <w:lang w:val="en-GB"/>
        </w:rPr>
        <w:t>pending the catchpit being fixed p</w:t>
      </w:r>
      <w:r w:rsidR="00DE06D1" w:rsidRPr="00F113D0">
        <w:rPr>
          <w:lang w:val="en-GB"/>
        </w:rPr>
        <w:t>roperly</w:t>
      </w:r>
      <w:r w:rsidR="00C26307" w:rsidRPr="00F113D0">
        <w:rPr>
          <w:lang w:val="en-GB"/>
        </w:rPr>
        <w:t xml:space="preserve">. </w:t>
      </w:r>
      <w:r w:rsidR="002A2A2A" w:rsidRPr="00F113D0">
        <w:rPr>
          <w:lang w:val="en-GB"/>
        </w:rPr>
        <w:t xml:space="preserve">No </w:t>
      </w:r>
      <w:r w:rsidR="00C464C1" w:rsidRPr="00F113D0">
        <w:rPr>
          <w:lang w:val="en-GB"/>
        </w:rPr>
        <w:t xml:space="preserve">job card or other </w:t>
      </w:r>
      <w:r w:rsidR="002A2A2A" w:rsidRPr="00F113D0">
        <w:rPr>
          <w:lang w:val="en-GB"/>
        </w:rPr>
        <w:t>written records</w:t>
      </w:r>
      <w:r w:rsidR="00C464C1" w:rsidRPr="00F113D0">
        <w:rPr>
          <w:lang w:val="en-GB"/>
        </w:rPr>
        <w:t xml:space="preserve"> of this instruction </w:t>
      </w:r>
      <w:r w:rsidR="002A2A2A" w:rsidRPr="00F113D0">
        <w:rPr>
          <w:lang w:val="en-GB"/>
        </w:rPr>
        <w:t xml:space="preserve">were available. </w:t>
      </w:r>
      <w:r w:rsidR="00C464C1" w:rsidRPr="00F113D0">
        <w:rPr>
          <w:lang w:val="en-GB"/>
        </w:rPr>
        <w:t xml:space="preserve">This was due to Ms Ntaka having moved office. Despite a search the information was unobtainable. </w:t>
      </w:r>
      <w:r w:rsidR="00A9605B" w:rsidRPr="00F113D0">
        <w:rPr>
          <w:lang w:val="en-GB"/>
        </w:rPr>
        <w:t xml:space="preserve">Her evidence was that her team would have been dispatched almost immediately once a complaint had been received. </w:t>
      </w:r>
    </w:p>
    <w:p w14:paraId="23C3DD68" w14:textId="77777777" w:rsidR="00E3202F" w:rsidRDefault="00E3202F" w:rsidP="00E3202F">
      <w:pPr>
        <w:pStyle w:val="ListParagraph"/>
        <w:autoSpaceDE w:val="0"/>
        <w:autoSpaceDN w:val="0"/>
        <w:adjustRightInd w:val="0"/>
        <w:ind w:left="0"/>
        <w:jc w:val="both"/>
        <w:rPr>
          <w:lang w:val="en-GB"/>
        </w:rPr>
      </w:pPr>
    </w:p>
    <w:p w14:paraId="6DD6E366" w14:textId="2D2FBF74" w:rsidR="000C663E" w:rsidRPr="00F113D0" w:rsidRDefault="00F113D0" w:rsidP="00F113D0">
      <w:pPr>
        <w:autoSpaceDE w:val="0"/>
        <w:autoSpaceDN w:val="0"/>
        <w:adjustRightInd w:val="0"/>
        <w:jc w:val="both"/>
        <w:rPr>
          <w:lang w:val="en-GB"/>
        </w:rPr>
      </w:pPr>
      <w:r>
        <w:rPr>
          <w:lang w:val="en-GB"/>
        </w:rPr>
        <w:t>[13]</w:t>
      </w:r>
      <w:r>
        <w:rPr>
          <w:lang w:val="en-GB"/>
        </w:rPr>
        <w:tab/>
      </w:r>
      <w:r w:rsidR="005308C6" w:rsidRPr="00F113D0">
        <w:rPr>
          <w:lang w:val="en-GB"/>
        </w:rPr>
        <w:t>Ms Ntaka testified that a photograph depicting the damaged catchpit had been received from Mr Senekal during October 2020.</w:t>
      </w:r>
      <w:r w:rsidR="00E3202F" w:rsidRPr="00F113D0">
        <w:rPr>
          <w:lang w:val="en-GB"/>
        </w:rPr>
        <w:t xml:space="preserve"> She explained that there was a metro-wide problem of vandalism. Thieves would break the concrete cover </w:t>
      </w:r>
      <w:r w:rsidR="005A23A3" w:rsidRPr="00F113D0">
        <w:rPr>
          <w:lang w:val="en-GB"/>
        </w:rPr>
        <w:t>to</w:t>
      </w:r>
      <w:r w:rsidR="00E3202F" w:rsidRPr="00F113D0">
        <w:rPr>
          <w:lang w:val="en-GB"/>
        </w:rPr>
        <w:t xml:space="preserve"> obtain steel and sell this at scrap yards. </w:t>
      </w:r>
      <w:r w:rsidR="00FA7328" w:rsidRPr="00F113D0">
        <w:rPr>
          <w:lang w:val="en-GB"/>
        </w:rPr>
        <w:t>In cases of old covers, as depicted in the photograph, r</w:t>
      </w:r>
      <w:r w:rsidR="005A23A3" w:rsidRPr="00F113D0">
        <w:rPr>
          <w:lang w:val="en-GB"/>
        </w:rPr>
        <w:t xml:space="preserve">eplacement covers would be made and cast at the depot before being brought to where they were needed. </w:t>
      </w:r>
    </w:p>
    <w:p w14:paraId="67DE9F10" w14:textId="77777777" w:rsidR="000C663E" w:rsidRPr="000C663E" w:rsidRDefault="000C663E" w:rsidP="000C663E">
      <w:pPr>
        <w:pStyle w:val="ListParagraph"/>
        <w:rPr>
          <w:lang w:val="en-GB"/>
        </w:rPr>
      </w:pPr>
    </w:p>
    <w:p w14:paraId="3EDA27FD" w14:textId="3B00BB42" w:rsidR="00012D96" w:rsidRPr="00F113D0" w:rsidRDefault="00F113D0" w:rsidP="00F113D0">
      <w:pPr>
        <w:autoSpaceDE w:val="0"/>
        <w:autoSpaceDN w:val="0"/>
        <w:adjustRightInd w:val="0"/>
        <w:jc w:val="both"/>
        <w:rPr>
          <w:lang w:val="en-GB"/>
        </w:rPr>
      </w:pPr>
      <w:r>
        <w:rPr>
          <w:lang w:val="en-GB"/>
        </w:rPr>
        <w:t>[14]</w:t>
      </w:r>
      <w:r>
        <w:rPr>
          <w:lang w:val="en-GB"/>
        </w:rPr>
        <w:tab/>
      </w:r>
      <w:r w:rsidR="000C663E" w:rsidRPr="00F113D0">
        <w:rPr>
          <w:lang w:val="en-GB"/>
        </w:rPr>
        <w:t xml:space="preserve">Ms Ntaka explained that Mr Senekal was in the habit of taking pictures of completed repair work and </w:t>
      </w:r>
      <w:r w:rsidR="00220C3C" w:rsidRPr="00F113D0">
        <w:rPr>
          <w:lang w:val="en-GB"/>
        </w:rPr>
        <w:t xml:space="preserve">posting these on Facebook. </w:t>
      </w:r>
      <w:r w:rsidR="00A215AF" w:rsidRPr="00F113D0">
        <w:rPr>
          <w:lang w:val="en-GB"/>
        </w:rPr>
        <w:t>A picture dated 26 January 2021 reflected repair work in Amperbo Street. In the distance, the yellow barrier was visible.</w:t>
      </w:r>
      <w:r w:rsidR="00BF4E95" w:rsidRPr="00F113D0">
        <w:rPr>
          <w:lang w:val="en-GB"/>
        </w:rPr>
        <w:t xml:space="preserve"> </w:t>
      </w:r>
      <w:r w:rsidR="00936664" w:rsidRPr="00F113D0">
        <w:rPr>
          <w:lang w:val="en-GB"/>
        </w:rPr>
        <w:t xml:space="preserve">The evidence was that this would have been put up sometime between June 2020 and January 2021. </w:t>
      </w:r>
      <w:r w:rsidR="00BF4E95" w:rsidRPr="00F113D0">
        <w:rPr>
          <w:lang w:val="en-GB"/>
        </w:rPr>
        <w:t>Mr Senekal would also e</w:t>
      </w:r>
      <w:r w:rsidR="00A36B57" w:rsidRPr="00F113D0">
        <w:rPr>
          <w:lang w:val="en-GB"/>
        </w:rPr>
        <w:t>-</w:t>
      </w:r>
      <w:r w:rsidR="00BF4E95" w:rsidRPr="00F113D0">
        <w:rPr>
          <w:lang w:val="en-GB"/>
        </w:rPr>
        <w:t>mail and message M</w:t>
      </w:r>
      <w:r w:rsidR="00A36B57" w:rsidRPr="00F113D0">
        <w:rPr>
          <w:lang w:val="en-GB"/>
        </w:rPr>
        <w:t>s</w:t>
      </w:r>
      <w:r w:rsidR="00BF4E95" w:rsidRPr="00F113D0">
        <w:rPr>
          <w:lang w:val="en-GB"/>
        </w:rPr>
        <w:t xml:space="preserve"> Ntaka </w:t>
      </w:r>
      <w:r w:rsidR="00A36B57" w:rsidRPr="00F113D0">
        <w:rPr>
          <w:lang w:val="en-GB"/>
        </w:rPr>
        <w:t xml:space="preserve">on WhatsApp when </w:t>
      </w:r>
      <w:r w:rsidR="00BF4E95" w:rsidRPr="00F113D0">
        <w:rPr>
          <w:lang w:val="en-GB"/>
        </w:rPr>
        <w:t xml:space="preserve">he came across anything that required her attention. </w:t>
      </w:r>
    </w:p>
    <w:p w14:paraId="77264413" w14:textId="77777777" w:rsidR="00AA7D6F" w:rsidRPr="00AA7D6F" w:rsidRDefault="00AA7D6F" w:rsidP="00AA7D6F">
      <w:pPr>
        <w:pStyle w:val="ListParagraph"/>
        <w:rPr>
          <w:lang w:val="en-GB"/>
        </w:rPr>
      </w:pPr>
    </w:p>
    <w:p w14:paraId="5D46909A" w14:textId="0A449B8F" w:rsidR="00AA7D6F" w:rsidRPr="00F113D0" w:rsidRDefault="00F113D0" w:rsidP="00F113D0">
      <w:pPr>
        <w:autoSpaceDE w:val="0"/>
        <w:autoSpaceDN w:val="0"/>
        <w:adjustRightInd w:val="0"/>
        <w:jc w:val="both"/>
        <w:rPr>
          <w:lang w:val="en-GB"/>
        </w:rPr>
      </w:pPr>
      <w:r>
        <w:rPr>
          <w:lang w:val="en-GB"/>
        </w:rPr>
        <w:t>[15]</w:t>
      </w:r>
      <w:r>
        <w:rPr>
          <w:lang w:val="en-GB"/>
        </w:rPr>
        <w:tab/>
      </w:r>
      <w:r w:rsidR="00AA7D6F" w:rsidRPr="00F113D0">
        <w:rPr>
          <w:lang w:val="en-GB"/>
        </w:rPr>
        <w:t>Ms Ntaka testified that the Covid-19 pandemic had affected operations. Her section had worked at approximately 50 per cent capacity, based on the applicable restrictions, the teams alternating their time on duty.</w:t>
      </w:r>
      <w:r w:rsidR="00F26DFB" w:rsidRPr="00F113D0">
        <w:rPr>
          <w:lang w:val="en-GB"/>
        </w:rPr>
        <w:t xml:space="preserve"> Approximately 20 other drains were being repaired around that time. </w:t>
      </w:r>
      <w:r w:rsidR="00263206" w:rsidRPr="00F113D0">
        <w:rPr>
          <w:lang w:val="en-GB"/>
        </w:rPr>
        <w:t>The drain in question had been repaired by April 2021.</w:t>
      </w:r>
    </w:p>
    <w:p w14:paraId="6DE35F28" w14:textId="77777777" w:rsidR="00336937" w:rsidRPr="00336937" w:rsidRDefault="00336937" w:rsidP="00336937">
      <w:pPr>
        <w:pStyle w:val="ListParagraph"/>
        <w:rPr>
          <w:lang w:val="en-GB"/>
        </w:rPr>
      </w:pPr>
    </w:p>
    <w:p w14:paraId="73B124F2" w14:textId="789DE1A6" w:rsidR="00336937" w:rsidRPr="00F113D0" w:rsidRDefault="00F113D0" w:rsidP="00F113D0">
      <w:pPr>
        <w:autoSpaceDE w:val="0"/>
        <w:autoSpaceDN w:val="0"/>
        <w:adjustRightInd w:val="0"/>
        <w:jc w:val="both"/>
        <w:rPr>
          <w:lang w:val="en-GB"/>
        </w:rPr>
      </w:pPr>
      <w:r>
        <w:rPr>
          <w:lang w:val="en-GB"/>
        </w:rPr>
        <w:t>[16]</w:t>
      </w:r>
      <w:r>
        <w:rPr>
          <w:lang w:val="en-GB"/>
        </w:rPr>
        <w:tab/>
      </w:r>
      <w:r w:rsidR="00336937" w:rsidRPr="00F113D0">
        <w:rPr>
          <w:lang w:val="en-GB"/>
        </w:rPr>
        <w:t xml:space="preserve">As for the yellow barrier, these were two metres in length and one metre in height, </w:t>
      </w:r>
      <w:r w:rsidR="00920A99" w:rsidRPr="00F113D0">
        <w:rPr>
          <w:lang w:val="en-GB"/>
        </w:rPr>
        <w:t>weighing</w:t>
      </w:r>
      <w:r w:rsidR="00336937" w:rsidRPr="00F113D0">
        <w:rPr>
          <w:lang w:val="en-GB"/>
        </w:rPr>
        <w:t xml:space="preserve"> 25 kilograms</w:t>
      </w:r>
      <w:r w:rsidR="000A3C82" w:rsidRPr="00F113D0">
        <w:rPr>
          <w:lang w:val="en-GB"/>
        </w:rPr>
        <w:t xml:space="preserve"> according to </w:t>
      </w:r>
      <w:r w:rsidR="00D729D1" w:rsidRPr="00F113D0">
        <w:rPr>
          <w:lang w:val="en-GB"/>
        </w:rPr>
        <w:t xml:space="preserve">the set </w:t>
      </w:r>
      <w:r w:rsidR="000A3C82" w:rsidRPr="00F113D0">
        <w:rPr>
          <w:lang w:val="en-GB"/>
        </w:rPr>
        <w:t>specification</w:t>
      </w:r>
      <w:r w:rsidR="00336937" w:rsidRPr="00F113D0">
        <w:rPr>
          <w:lang w:val="en-GB"/>
        </w:rPr>
        <w:t xml:space="preserve">. </w:t>
      </w:r>
      <w:r w:rsidR="004A265E" w:rsidRPr="00F113D0">
        <w:rPr>
          <w:lang w:val="en-GB"/>
        </w:rPr>
        <w:t xml:space="preserve">Ms Ntaka agreed, during cross-examination, that the barrier </w:t>
      </w:r>
      <w:r w:rsidR="00D76C56" w:rsidRPr="00F113D0">
        <w:rPr>
          <w:lang w:val="en-GB"/>
        </w:rPr>
        <w:t xml:space="preserve">in question </w:t>
      </w:r>
      <w:r w:rsidR="004A265E" w:rsidRPr="00F113D0">
        <w:rPr>
          <w:lang w:val="en-GB"/>
        </w:rPr>
        <w:t>was damaged. She added that the barriers were old and repeated</w:t>
      </w:r>
      <w:r w:rsidR="000D6F6D" w:rsidRPr="00F113D0">
        <w:rPr>
          <w:lang w:val="en-GB"/>
        </w:rPr>
        <w:t>ly</w:t>
      </w:r>
      <w:r w:rsidR="004A265E" w:rsidRPr="00F113D0">
        <w:rPr>
          <w:lang w:val="en-GB"/>
        </w:rPr>
        <w:t xml:space="preserve"> reuse</w:t>
      </w:r>
      <w:r w:rsidR="000D6F6D" w:rsidRPr="00F113D0">
        <w:rPr>
          <w:lang w:val="en-GB"/>
        </w:rPr>
        <w:t>d, which</w:t>
      </w:r>
      <w:r w:rsidR="00435E4E" w:rsidRPr="00F113D0">
        <w:rPr>
          <w:lang w:val="en-GB"/>
        </w:rPr>
        <w:t>, she indicated,</w:t>
      </w:r>
      <w:r w:rsidR="000D6F6D" w:rsidRPr="00F113D0">
        <w:rPr>
          <w:lang w:val="en-GB"/>
        </w:rPr>
        <w:t xml:space="preserve"> explained the condition of the yellow barrier visible in one of the pictures</w:t>
      </w:r>
      <w:r w:rsidR="004A265E" w:rsidRPr="00F113D0">
        <w:rPr>
          <w:lang w:val="en-GB"/>
        </w:rPr>
        <w:t>.</w:t>
      </w:r>
      <w:r w:rsidR="00D76C56" w:rsidRPr="00F113D0">
        <w:rPr>
          <w:lang w:val="en-GB"/>
        </w:rPr>
        <w:t xml:space="preserve"> </w:t>
      </w:r>
    </w:p>
    <w:p w14:paraId="534939EF" w14:textId="77777777" w:rsidR="00D729D1" w:rsidRPr="00D729D1" w:rsidRDefault="00D729D1" w:rsidP="00D729D1">
      <w:pPr>
        <w:pStyle w:val="ListParagraph"/>
        <w:rPr>
          <w:lang w:val="en-GB"/>
        </w:rPr>
      </w:pPr>
    </w:p>
    <w:p w14:paraId="4CC90F1C" w14:textId="4BDFD314" w:rsidR="008B14B7" w:rsidRPr="00F113D0" w:rsidRDefault="00F113D0" w:rsidP="00F113D0">
      <w:pPr>
        <w:autoSpaceDE w:val="0"/>
        <w:autoSpaceDN w:val="0"/>
        <w:adjustRightInd w:val="0"/>
        <w:jc w:val="both"/>
        <w:rPr>
          <w:lang w:val="en-GB"/>
        </w:rPr>
      </w:pPr>
      <w:r>
        <w:rPr>
          <w:lang w:val="en-GB"/>
        </w:rPr>
        <w:t>[17]</w:t>
      </w:r>
      <w:r>
        <w:rPr>
          <w:lang w:val="en-GB"/>
        </w:rPr>
        <w:tab/>
      </w:r>
      <w:r w:rsidR="00D729D1" w:rsidRPr="00F113D0">
        <w:rPr>
          <w:lang w:val="en-GB"/>
        </w:rPr>
        <w:t xml:space="preserve">Ms Ntaka was unable to articulate precisely when the damaged catchpit had been reported to the call centre or received by her office. </w:t>
      </w:r>
      <w:r w:rsidR="00740C88" w:rsidRPr="00F113D0">
        <w:rPr>
          <w:lang w:val="en-GB"/>
        </w:rPr>
        <w:t>The presence of a reference number was indicative of a report to the call centre, but c</w:t>
      </w:r>
      <w:r w:rsidR="00D729D1" w:rsidRPr="00F113D0">
        <w:rPr>
          <w:lang w:val="en-GB"/>
        </w:rPr>
        <w:t>all centre records</w:t>
      </w:r>
      <w:r w:rsidR="00740C88" w:rsidRPr="00F113D0">
        <w:rPr>
          <w:lang w:val="en-GB"/>
        </w:rPr>
        <w:t xml:space="preserve"> had not been </w:t>
      </w:r>
      <w:r w:rsidR="003F4780" w:rsidRPr="00F113D0">
        <w:rPr>
          <w:lang w:val="en-GB"/>
        </w:rPr>
        <w:t xml:space="preserve">obtained. </w:t>
      </w:r>
      <w:r w:rsidR="00AF3B0E" w:rsidRPr="00F113D0">
        <w:rPr>
          <w:lang w:val="en-GB"/>
        </w:rPr>
        <w:t xml:space="preserve">The job card for the </w:t>
      </w:r>
      <w:r w:rsidR="00EB2282" w:rsidRPr="00F113D0">
        <w:rPr>
          <w:lang w:val="en-GB"/>
        </w:rPr>
        <w:t xml:space="preserve">yellow </w:t>
      </w:r>
      <w:r w:rsidR="00AF3B0E" w:rsidRPr="00F113D0">
        <w:rPr>
          <w:lang w:val="en-GB"/>
        </w:rPr>
        <w:t xml:space="preserve">barrier was also unavailable, </w:t>
      </w:r>
      <w:r w:rsidR="00A54819" w:rsidRPr="00F113D0">
        <w:rPr>
          <w:lang w:val="en-GB"/>
        </w:rPr>
        <w:t xml:space="preserve">because of Ms Ntaka’s office move, </w:t>
      </w:r>
      <w:r w:rsidR="00AF3B0E" w:rsidRPr="00F113D0">
        <w:rPr>
          <w:lang w:val="en-GB"/>
        </w:rPr>
        <w:t>and not stored digitally.</w:t>
      </w:r>
      <w:r w:rsidR="00EB2282" w:rsidRPr="00F113D0">
        <w:rPr>
          <w:lang w:val="en-GB"/>
        </w:rPr>
        <w:t xml:space="preserve"> The delay in replacing the drain cover had been caused by the backlog of other drains requiring repair, totalling between 20 and 30 drains.</w:t>
      </w:r>
      <w:r w:rsidR="00A67CD3" w:rsidRPr="00F113D0">
        <w:rPr>
          <w:lang w:val="en-GB"/>
        </w:rPr>
        <w:t xml:space="preserve"> Given that backlog, Ms Ntaka </w:t>
      </w:r>
      <w:r w:rsidR="00EA1BC8" w:rsidRPr="00F113D0">
        <w:rPr>
          <w:lang w:val="en-GB"/>
        </w:rPr>
        <w:t>reiterated</w:t>
      </w:r>
      <w:r w:rsidR="00A67CD3" w:rsidRPr="00F113D0">
        <w:rPr>
          <w:lang w:val="en-GB"/>
        </w:rPr>
        <w:t xml:space="preserve"> that the yellow barrier was required to safeguard the area.</w:t>
      </w:r>
      <w:r w:rsidR="008B2CDE" w:rsidRPr="00F113D0">
        <w:rPr>
          <w:lang w:val="en-GB"/>
        </w:rPr>
        <w:t xml:space="preserve"> </w:t>
      </w:r>
    </w:p>
    <w:p w14:paraId="58558D19" w14:textId="77777777" w:rsidR="008B14B7" w:rsidRPr="008B14B7" w:rsidRDefault="008B14B7" w:rsidP="008B14B7">
      <w:pPr>
        <w:pStyle w:val="ListParagraph"/>
        <w:rPr>
          <w:lang w:val="en-GB"/>
        </w:rPr>
      </w:pPr>
    </w:p>
    <w:p w14:paraId="5772FEC1" w14:textId="43823EAC" w:rsidR="00525C7E" w:rsidRPr="00F113D0" w:rsidRDefault="00F113D0" w:rsidP="00F113D0">
      <w:pPr>
        <w:autoSpaceDE w:val="0"/>
        <w:autoSpaceDN w:val="0"/>
        <w:adjustRightInd w:val="0"/>
        <w:jc w:val="both"/>
        <w:rPr>
          <w:lang w:val="en-GB"/>
        </w:rPr>
      </w:pPr>
      <w:r>
        <w:rPr>
          <w:lang w:val="en-GB"/>
        </w:rPr>
        <w:t>[18]</w:t>
      </w:r>
      <w:r>
        <w:rPr>
          <w:lang w:val="en-GB"/>
        </w:rPr>
        <w:tab/>
      </w:r>
      <w:r w:rsidR="008B2CDE" w:rsidRPr="00F113D0">
        <w:rPr>
          <w:lang w:val="en-GB"/>
        </w:rPr>
        <w:t xml:space="preserve">In response to questioning by the court, she explained that the two holes that were visible </w:t>
      </w:r>
      <w:r w:rsidR="000C06DF" w:rsidRPr="00F113D0">
        <w:rPr>
          <w:lang w:val="en-GB"/>
        </w:rPr>
        <w:t>could be used to give</w:t>
      </w:r>
      <w:r w:rsidR="008B2CDE" w:rsidRPr="00F113D0">
        <w:rPr>
          <w:lang w:val="en-GB"/>
        </w:rPr>
        <w:t xml:space="preserve"> the barrier weight. Her understanding was that the 25-kilogram specified weight was when the barrier was empty.</w:t>
      </w:r>
      <w:r w:rsidR="00C83CD1" w:rsidRPr="00F113D0">
        <w:rPr>
          <w:lang w:val="en-GB"/>
        </w:rPr>
        <w:t xml:space="preserve"> For catchpits, the practice was to make the barrier lie on its side to cover the entire area.</w:t>
      </w:r>
      <w:r w:rsidR="001179C9" w:rsidRPr="00F113D0">
        <w:rPr>
          <w:lang w:val="en-GB"/>
        </w:rPr>
        <w:t xml:space="preserve"> Being two metres in length, this was adequate to cover the entire hole.</w:t>
      </w:r>
      <w:r w:rsidR="009015D6" w:rsidRPr="00F113D0">
        <w:rPr>
          <w:lang w:val="en-GB"/>
        </w:rPr>
        <w:t xml:space="preserve"> As for the depicted indentations, Ms Ntaka speculated that the barrier may have previously been used on a road and been run over by a motor vehicle, so that it </w:t>
      </w:r>
      <w:r w:rsidR="00A07EB5" w:rsidRPr="00F113D0">
        <w:rPr>
          <w:lang w:val="en-GB"/>
        </w:rPr>
        <w:t xml:space="preserve">appeared as if it </w:t>
      </w:r>
      <w:r w:rsidR="009015D6" w:rsidRPr="00F113D0">
        <w:rPr>
          <w:lang w:val="en-GB"/>
        </w:rPr>
        <w:t>could no longer stand properly</w:t>
      </w:r>
      <w:r w:rsidR="00C87A73" w:rsidRPr="00F113D0">
        <w:rPr>
          <w:lang w:val="en-GB"/>
        </w:rPr>
        <w:t>. Given the number of drains requiring repair, the municipality hoped that the temporary barriers would not be removed by anyone. It was not the practice to fill the barriers with water</w:t>
      </w:r>
      <w:r w:rsidR="00033F64" w:rsidRPr="00F113D0">
        <w:rPr>
          <w:lang w:val="en-GB"/>
        </w:rPr>
        <w:t xml:space="preserve"> </w:t>
      </w:r>
      <w:r w:rsidR="00C87A73" w:rsidRPr="00F113D0">
        <w:rPr>
          <w:lang w:val="en-GB"/>
        </w:rPr>
        <w:t>or sand.</w:t>
      </w:r>
      <w:r w:rsidR="00033F64" w:rsidRPr="00F113D0">
        <w:rPr>
          <w:lang w:val="en-GB"/>
        </w:rPr>
        <w:t xml:space="preserve"> Drought and logistical difficulties were advanced as the reasons for this.</w:t>
      </w:r>
      <w:r w:rsidR="008B14B7" w:rsidRPr="00F113D0">
        <w:rPr>
          <w:lang w:val="en-GB"/>
        </w:rPr>
        <w:t xml:space="preserve"> </w:t>
      </w:r>
    </w:p>
    <w:p w14:paraId="40C11AE7" w14:textId="77777777" w:rsidR="00525C7E" w:rsidRDefault="00525C7E" w:rsidP="00525C7E">
      <w:pPr>
        <w:pStyle w:val="ListParagraph"/>
        <w:autoSpaceDE w:val="0"/>
        <w:autoSpaceDN w:val="0"/>
        <w:adjustRightInd w:val="0"/>
        <w:ind w:left="0"/>
        <w:jc w:val="both"/>
        <w:rPr>
          <w:lang w:val="en-GB"/>
        </w:rPr>
      </w:pPr>
    </w:p>
    <w:p w14:paraId="523CE9E1" w14:textId="569CAF98" w:rsidR="00012D96" w:rsidRPr="00F113D0" w:rsidRDefault="00F113D0" w:rsidP="00F113D0">
      <w:pPr>
        <w:autoSpaceDE w:val="0"/>
        <w:autoSpaceDN w:val="0"/>
        <w:adjustRightInd w:val="0"/>
        <w:jc w:val="both"/>
        <w:rPr>
          <w:lang w:val="en-GB"/>
        </w:rPr>
      </w:pPr>
      <w:r>
        <w:rPr>
          <w:lang w:val="en-GB"/>
        </w:rPr>
        <w:t>[19]</w:t>
      </w:r>
      <w:r>
        <w:rPr>
          <w:lang w:val="en-GB"/>
        </w:rPr>
        <w:tab/>
      </w:r>
      <w:r w:rsidR="00525C7E" w:rsidRPr="00F113D0">
        <w:rPr>
          <w:lang w:val="en-GB"/>
        </w:rPr>
        <w:t xml:space="preserve">Mr Senekal testified that he was a pensioner serving the ward committee and focusing on infrastructure and energy. He took responsibility for various matters, including water leaks, </w:t>
      </w:r>
      <w:r w:rsidR="00116B88" w:rsidRPr="00F113D0">
        <w:rPr>
          <w:lang w:val="en-GB"/>
        </w:rPr>
        <w:t xml:space="preserve">potholes, </w:t>
      </w:r>
      <w:r w:rsidR="00072D18" w:rsidRPr="00F113D0">
        <w:rPr>
          <w:lang w:val="en-GB"/>
        </w:rPr>
        <w:t>sewerage,</w:t>
      </w:r>
      <w:r w:rsidR="00525C7E" w:rsidRPr="00F113D0">
        <w:rPr>
          <w:lang w:val="en-GB"/>
        </w:rPr>
        <w:t xml:space="preserve"> and catchpits, liaising with Ms Ntaka.</w:t>
      </w:r>
      <w:r w:rsidR="00072D18" w:rsidRPr="00F113D0">
        <w:rPr>
          <w:lang w:val="en-GB"/>
        </w:rPr>
        <w:t xml:space="preserve"> When driving around the streets, Mr Senekal would note and report any problems. He would do the same when a member of the community alerted him to an issue, or capture a reference number if that member had already reported it to the call centre. </w:t>
      </w:r>
      <w:r w:rsidR="000359C7" w:rsidRPr="00F113D0">
        <w:rPr>
          <w:lang w:val="en-GB"/>
        </w:rPr>
        <w:t>He ran a running list of outstanding issues, updating same when required</w:t>
      </w:r>
      <w:r w:rsidR="00782423" w:rsidRPr="00F113D0">
        <w:rPr>
          <w:lang w:val="en-GB"/>
        </w:rPr>
        <w:t>, liaising with</w:t>
      </w:r>
      <w:r w:rsidR="00FC35C0" w:rsidRPr="00F113D0">
        <w:rPr>
          <w:lang w:val="en-GB"/>
        </w:rPr>
        <w:t xml:space="preserve"> municipality officials such as Ms Ntaka,</w:t>
      </w:r>
      <w:r w:rsidR="000359C7" w:rsidRPr="00F113D0">
        <w:rPr>
          <w:lang w:val="en-GB"/>
        </w:rPr>
        <w:t xml:space="preserve"> and reporting to the ward committee. </w:t>
      </w:r>
    </w:p>
    <w:p w14:paraId="050538E7" w14:textId="77777777" w:rsidR="000359C7" w:rsidRPr="000359C7" w:rsidRDefault="000359C7" w:rsidP="000359C7">
      <w:pPr>
        <w:pStyle w:val="ListParagraph"/>
        <w:rPr>
          <w:lang w:val="en-GB"/>
        </w:rPr>
      </w:pPr>
    </w:p>
    <w:p w14:paraId="083F7201" w14:textId="38ABFC08" w:rsidR="000359C7" w:rsidRPr="00F113D0" w:rsidRDefault="00F113D0" w:rsidP="00F113D0">
      <w:pPr>
        <w:autoSpaceDE w:val="0"/>
        <w:autoSpaceDN w:val="0"/>
        <w:adjustRightInd w:val="0"/>
        <w:jc w:val="both"/>
        <w:rPr>
          <w:lang w:val="en-GB"/>
        </w:rPr>
      </w:pPr>
      <w:r>
        <w:rPr>
          <w:lang w:val="en-GB"/>
        </w:rPr>
        <w:t>[20]</w:t>
      </w:r>
      <w:r>
        <w:rPr>
          <w:lang w:val="en-GB"/>
        </w:rPr>
        <w:tab/>
      </w:r>
      <w:r w:rsidR="000359C7" w:rsidRPr="00F113D0">
        <w:rPr>
          <w:lang w:val="en-GB"/>
        </w:rPr>
        <w:t xml:space="preserve">Mr Senekal used WhatsApp and Facebook to communicate. For example, a photograph of completed repair work would be posted on </w:t>
      </w:r>
      <w:r w:rsidR="00782423" w:rsidRPr="00F113D0">
        <w:rPr>
          <w:lang w:val="en-GB"/>
        </w:rPr>
        <w:t>F</w:t>
      </w:r>
      <w:r w:rsidR="000359C7" w:rsidRPr="00F113D0">
        <w:rPr>
          <w:lang w:val="en-GB"/>
        </w:rPr>
        <w:t>acebook</w:t>
      </w:r>
      <w:r w:rsidR="00F037BA" w:rsidRPr="00F113D0">
        <w:rPr>
          <w:lang w:val="en-GB"/>
        </w:rPr>
        <w:t xml:space="preserve">. He testified that the reference to ‘29 July 2020’ on his ‘ward committee activity sheet’ for January 2021 </w:t>
      </w:r>
      <w:r w:rsidR="00F037BA" w:rsidRPr="00F113D0">
        <w:rPr>
          <w:lang w:val="en-GB"/>
        </w:rPr>
        <w:lastRenderedPageBreak/>
        <w:t xml:space="preserve">appeared to be erroneous, considering that he had photographed the damaged catchpit in question precisely three months later. Given the date of that picture, he assumed that </w:t>
      </w:r>
      <w:r w:rsidR="00283F5A" w:rsidRPr="00F113D0">
        <w:rPr>
          <w:lang w:val="en-GB"/>
        </w:rPr>
        <w:t>he had only reported the issue to the municipality on that dat</w:t>
      </w:r>
      <w:r w:rsidR="00DA5843" w:rsidRPr="00F113D0">
        <w:rPr>
          <w:lang w:val="en-GB"/>
        </w:rPr>
        <w:t>e in October 2020.</w:t>
      </w:r>
      <w:r w:rsidR="00E20106" w:rsidRPr="00F113D0">
        <w:rPr>
          <w:lang w:val="en-GB"/>
        </w:rPr>
        <w:t xml:space="preserve"> This was on the basis that it was his practice to take a photograph of every issue that he reported.</w:t>
      </w:r>
      <w:r w:rsidR="00C03136" w:rsidRPr="00F113D0">
        <w:rPr>
          <w:lang w:val="en-GB"/>
        </w:rPr>
        <w:t xml:space="preserve"> He had also taken the photograph of </w:t>
      </w:r>
      <w:r w:rsidR="00555E05" w:rsidRPr="00F113D0">
        <w:rPr>
          <w:lang w:val="en-GB"/>
        </w:rPr>
        <w:t>unrelated</w:t>
      </w:r>
      <w:r w:rsidR="00C03136" w:rsidRPr="00F113D0">
        <w:rPr>
          <w:lang w:val="en-GB"/>
        </w:rPr>
        <w:t xml:space="preserve"> repair work to 44 Amperbo Street, which depicted the yellow barrier in the distance, on 26 January 2021</w:t>
      </w:r>
      <w:r w:rsidR="00A94342" w:rsidRPr="00F113D0">
        <w:rPr>
          <w:lang w:val="en-GB"/>
        </w:rPr>
        <w:t xml:space="preserve">, and the photograph when the catchpit </w:t>
      </w:r>
      <w:r w:rsidR="000A5EF9" w:rsidRPr="00F113D0">
        <w:rPr>
          <w:lang w:val="en-GB"/>
        </w:rPr>
        <w:t>was</w:t>
      </w:r>
      <w:r w:rsidR="00A94342" w:rsidRPr="00F113D0">
        <w:rPr>
          <w:lang w:val="en-GB"/>
        </w:rPr>
        <w:t xml:space="preserve"> </w:t>
      </w:r>
      <w:r w:rsidR="000A5EF9" w:rsidRPr="00F113D0">
        <w:rPr>
          <w:lang w:val="en-GB"/>
        </w:rPr>
        <w:t>s</w:t>
      </w:r>
      <w:r w:rsidR="00A94342" w:rsidRPr="00F113D0">
        <w:rPr>
          <w:lang w:val="en-GB"/>
        </w:rPr>
        <w:t>een repaired</w:t>
      </w:r>
      <w:r w:rsidR="000A5EF9" w:rsidRPr="00F113D0">
        <w:rPr>
          <w:lang w:val="en-GB"/>
        </w:rPr>
        <w:t xml:space="preserve"> on 13 April 2021</w:t>
      </w:r>
      <w:r w:rsidR="00A94342" w:rsidRPr="00F113D0">
        <w:rPr>
          <w:lang w:val="en-GB"/>
        </w:rPr>
        <w:t>.</w:t>
      </w:r>
    </w:p>
    <w:p w14:paraId="79E84108" w14:textId="79CA06CB" w:rsidR="00DE0CFB" w:rsidRDefault="00DE0CFB" w:rsidP="00DE0CFB">
      <w:pPr>
        <w:rPr>
          <w:lang w:val="en-GB"/>
        </w:rPr>
      </w:pPr>
    </w:p>
    <w:p w14:paraId="3B580C0D" w14:textId="332BE46C" w:rsidR="00DA0412" w:rsidRDefault="00DE0CFB" w:rsidP="00DE0CFB">
      <w:pPr>
        <w:rPr>
          <w:b/>
          <w:bCs/>
          <w:lang w:val="en-GB"/>
        </w:rPr>
      </w:pPr>
      <w:r>
        <w:rPr>
          <w:b/>
          <w:bCs/>
          <w:lang w:val="en-GB"/>
        </w:rPr>
        <w:t>Analysis</w:t>
      </w:r>
    </w:p>
    <w:p w14:paraId="3090F96C" w14:textId="3561CD6B" w:rsidR="00DA0412" w:rsidRPr="00DA0412" w:rsidRDefault="004D0DA4" w:rsidP="00DE0CFB">
      <w:pPr>
        <w:rPr>
          <w:b/>
          <w:bCs/>
          <w:i/>
          <w:iCs/>
          <w:lang w:val="en-GB"/>
        </w:rPr>
      </w:pPr>
      <w:r>
        <w:rPr>
          <w:b/>
          <w:bCs/>
          <w:i/>
          <w:iCs/>
          <w:lang w:val="en-GB"/>
        </w:rPr>
        <w:t>The proven facts</w:t>
      </w:r>
    </w:p>
    <w:p w14:paraId="11DD829B" w14:textId="47C3F213" w:rsidR="00DE0CFB" w:rsidRPr="00F113D0" w:rsidRDefault="00F113D0" w:rsidP="00F113D0">
      <w:pPr>
        <w:autoSpaceDE w:val="0"/>
        <w:autoSpaceDN w:val="0"/>
        <w:adjustRightInd w:val="0"/>
        <w:jc w:val="both"/>
        <w:rPr>
          <w:lang w:val="en-GB"/>
        </w:rPr>
      </w:pPr>
      <w:r>
        <w:rPr>
          <w:lang w:val="en-GB"/>
        </w:rPr>
        <w:t>[21]</w:t>
      </w:r>
      <w:r>
        <w:rPr>
          <w:lang w:val="en-GB"/>
        </w:rPr>
        <w:tab/>
      </w:r>
      <w:r w:rsidR="0094536B" w:rsidRPr="00F113D0">
        <w:rPr>
          <w:lang w:val="en-GB"/>
        </w:rPr>
        <w:t>Although t</w:t>
      </w:r>
      <w:r w:rsidR="00A45D65" w:rsidRPr="00F113D0">
        <w:rPr>
          <w:lang w:val="en-GB"/>
        </w:rPr>
        <w:t xml:space="preserve">he </w:t>
      </w:r>
      <w:r w:rsidR="0094536B" w:rsidRPr="00F113D0">
        <w:rPr>
          <w:lang w:val="en-GB"/>
        </w:rPr>
        <w:t>plaintiff’s evidence was uncontradicted, its acceptability depends upon its quality.</w:t>
      </w:r>
      <w:r w:rsidR="00401D50" w:rsidRPr="00F113D0">
        <w:rPr>
          <w:lang w:val="en-GB"/>
        </w:rPr>
        <w:t xml:space="preserve"> Evidence which is vague, contradictory, highly improbable or plainly irrational will not pass muster.</w:t>
      </w:r>
      <w:r w:rsidR="00FB5B5E">
        <w:rPr>
          <w:rStyle w:val="FootnoteReference"/>
          <w:lang w:val="en-GB"/>
        </w:rPr>
        <w:footnoteReference w:id="1"/>
      </w:r>
      <w:r w:rsidR="0094536B" w:rsidRPr="00F113D0">
        <w:rPr>
          <w:lang w:val="en-GB"/>
        </w:rPr>
        <w:t xml:space="preserve"> </w:t>
      </w:r>
      <w:r w:rsidR="00421ED7" w:rsidRPr="00F113D0">
        <w:rPr>
          <w:lang w:val="en-GB"/>
        </w:rPr>
        <w:t>The plaintiff’s evidence does not fit into any of these categories. Although some basic details emerged for the first time during cross-examination or by way of the court’s questioning, he provided a consistent, plausible version of events</w:t>
      </w:r>
      <w:r w:rsidR="000D78B1" w:rsidRPr="00F113D0">
        <w:rPr>
          <w:lang w:val="en-GB"/>
        </w:rPr>
        <w:t>. The narrative is certainly not improbable to the extent that it must be rejected outright and t</w:t>
      </w:r>
      <w:r w:rsidR="00706015" w:rsidRPr="00F113D0">
        <w:rPr>
          <w:lang w:val="en-GB"/>
        </w:rPr>
        <w:t>he first issue must be answered in his favour.</w:t>
      </w:r>
      <w:r w:rsidR="00146BF1" w:rsidRPr="00F113D0">
        <w:rPr>
          <w:lang w:val="en-GB"/>
        </w:rPr>
        <w:t xml:space="preserve"> </w:t>
      </w:r>
    </w:p>
    <w:p w14:paraId="6870E672" w14:textId="77777777" w:rsidR="00146BF1" w:rsidRDefault="00146BF1" w:rsidP="00146BF1">
      <w:pPr>
        <w:pStyle w:val="ListParagraph"/>
        <w:autoSpaceDE w:val="0"/>
        <w:autoSpaceDN w:val="0"/>
        <w:adjustRightInd w:val="0"/>
        <w:ind w:left="0"/>
        <w:jc w:val="both"/>
        <w:rPr>
          <w:lang w:val="en-GB"/>
        </w:rPr>
      </w:pPr>
    </w:p>
    <w:p w14:paraId="59D92974" w14:textId="1A0BE52F" w:rsidR="00146BF1" w:rsidRPr="00F113D0" w:rsidRDefault="00F113D0" w:rsidP="00F113D0">
      <w:pPr>
        <w:autoSpaceDE w:val="0"/>
        <w:autoSpaceDN w:val="0"/>
        <w:adjustRightInd w:val="0"/>
        <w:jc w:val="both"/>
        <w:rPr>
          <w:lang w:val="en-GB"/>
        </w:rPr>
      </w:pPr>
      <w:r>
        <w:rPr>
          <w:lang w:val="en-GB"/>
        </w:rPr>
        <w:t>[22]</w:t>
      </w:r>
      <w:r>
        <w:rPr>
          <w:lang w:val="en-GB"/>
        </w:rPr>
        <w:tab/>
      </w:r>
      <w:r w:rsidR="00146BF1" w:rsidRPr="00F113D0">
        <w:rPr>
          <w:lang w:val="en-GB"/>
        </w:rPr>
        <w:t>The implication is that it must be accepted, based on the plaintiff’s version, that Amperbo Street was extremely dark</w:t>
      </w:r>
      <w:r w:rsidR="0021786A" w:rsidRPr="00F113D0">
        <w:rPr>
          <w:lang w:val="en-GB"/>
        </w:rPr>
        <w:t xml:space="preserve"> sometime around midnight on 9 March 2021</w:t>
      </w:r>
      <w:r w:rsidR="00146BF1" w:rsidRPr="00F113D0">
        <w:rPr>
          <w:lang w:val="en-GB"/>
        </w:rPr>
        <w:t xml:space="preserve">, that the plaintiff was running away </w:t>
      </w:r>
      <w:r w:rsidR="001432DF" w:rsidRPr="00F113D0">
        <w:rPr>
          <w:lang w:val="en-GB"/>
        </w:rPr>
        <w:t xml:space="preserve">from and </w:t>
      </w:r>
      <w:r w:rsidR="006A490E" w:rsidRPr="00F113D0">
        <w:rPr>
          <w:lang w:val="en-GB"/>
        </w:rPr>
        <w:t xml:space="preserve">in fear </w:t>
      </w:r>
      <w:r w:rsidR="001432DF" w:rsidRPr="00F113D0">
        <w:rPr>
          <w:lang w:val="en-GB"/>
        </w:rPr>
        <w:t>of</w:t>
      </w:r>
      <w:r w:rsidR="00146BF1" w:rsidRPr="00F113D0">
        <w:rPr>
          <w:lang w:val="en-GB"/>
        </w:rPr>
        <w:t xml:space="preserve"> </w:t>
      </w:r>
      <w:r w:rsidR="0032178D" w:rsidRPr="00F113D0">
        <w:rPr>
          <w:lang w:val="en-GB"/>
        </w:rPr>
        <w:t>other persons</w:t>
      </w:r>
      <w:r w:rsidR="001432DF" w:rsidRPr="00F113D0">
        <w:rPr>
          <w:lang w:val="en-GB"/>
        </w:rPr>
        <w:t>,</w:t>
      </w:r>
      <w:r w:rsidR="00321DE4" w:rsidRPr="00F113D0">
        <w:rPr>
          <w:lang w:val="en-GB"/>
        </w:rPr>
        <w:t xml:space="preserve"> at least one such person being armed,</w:t>
      </w:r>
      <w:r w:rsidR="001432DF" w:rsidRPr="00F113D0">
        <w:rPr>
          <w:lang w:val="en-GB"/>
        </w:rPr>
        <w:t xml:space="preserve"> and that he fell into </w:t>
      </w:r>
      <w:r w:rsidR="0086249A" w:rsidRPr="00F113D0">
        <w:rPr>
          <w:lang w:val="en-GB"/>
        </w:rPr>
        <w:t>the drain</w:t>
      </w:r>
      <w:r w:rsidR="0021786A" w:rsidRPr="00F113D0">
        <w:rPr>
          <w:lang w:val="en-GB"/>
        </w:rPr>
        <w:t xml:space="preserve"> at that point in time</w:t>
      </w:r>
      <w:r w:rsidR="002C7F62" w:rsidRPr="00F113D0">
        <w:rPr>
          <w:lang w:val="en-GB"/>
        </w:rPr>
        <w:t>.</w:t>
      </w:r>
      <w:r w:rsidR="00A94662">
        <w:rPr>
          <w:rStyle w:val="FootnoteReference"/>
          <w:lang w:val="en-GB"/>
        </w:rPr>
        <w:footnoteReference w:id="2"/>
      </w:r>
      <w:r w:rsidR="0004693A" w:rsidRPr="00F113D0">
        <w:rPr>
          <w:lang w:val="en-GB"/>
        </w:rPr>
        <w:t xml:space="preserve"> </w:t>
      </w:r>
    </w:p>
    <w:p w14:paraId="0FEC11A5" w14:textId="77777777" w:rsidR="00BE7467" w:rsidRPr="00BE7467" w:rsidRDefault="00BE7467" w:rsidP="00BE7467">
      <w:pPr>
        <w:pStyle w:val="ListParagraph"/>
        <w:rPr>
          <w:lang w:val="en-GB"/>
        </w:rPr>
      </w:pPr>
    </w:p>
    <w:p w14:paraId="0D6FAA7C" w14:textId="14D47BC7" w:rsidR="00BE7467" w:rsidRPr="00F113D0" w:rsidRDefault="00F113D0" w:rsidP="00F113D0">
      <w:pPr>
        <w:autoSpaceDE w:val="0"/>
        <w:autoSpaceDN w:val="0"/>
        <w:adjustRightInd w:val="0"/>
        <w:jc w:val="both"/>
        <w:rPr>
          <w:lang w:val="en-GB"/>
        </w:rPr>
      </w:pPr>
      <w:r>
        <w:rPr>
          <w:lang w:val="en-GB"/>
        </w:rPr>
        <w:t>[23]</w:t>
      </w:r>
      <w:r>
        <w:rPr>
          <w:lang w:val="en-GB"/>
        </w:rPr>
        <w:tab/>
      </w:r>
      <w:r w:rsidR="00BE7467" w:rsidRPr="00F113D0">
        <w:rPr>
          <w:lang w:val="en-GB"/>
        </w:rPr>
        <w:t xml:space="preserve">Strictly speaking, the pleadings </w:t>
      </w:r>
      <w:r w:rsidR="006E1522" w:rsidRPr="00F113D0">
        <w:rPr>
          <w:lang w:val="en-GB"/>
        </w:rPr>
        <w:t xml:space="preserve">and bulk of evidence </w:t>
      </w:r>
      <w:r w:rsidR="00BE7467" w:rsidRPr="00F113D0">
        <w:rPr>
          <w:lang w:val="en-GB"/>
        </w:rPr>
        <w:t xml:space="preserve">are such that </w:t>
      </w:r>
      <w:r w:rsidR="006E1522" w:rsidRPr="00F113D0">
        <w:rPr>
          <w:lang w:val="en-GB"/>
        </w:rPr>
        <w:t xml:space="preserve">this court is obliged to accept that a vandalised drain cover lid was reported to the municipality </w:t>
      </w:r>
      <w:r w:rsidR="00813C06" w:rsidRPr="00F113D0">
        <w:rPr>
          <w:lang w:val="en-GB"/>
        </w:rPr>
        <w:t>as early as</w:t>
      </w:r>
      <w:r w:rsidR="006E1522" w:rsidRPr="00F113D0">
        <w:rPr>
          <w:lang w:val="en-GB"/>
        </w:rPr>
        <w:t xml:space="preserve"> July 2020.</w:t>
      </w:r>
      <w:r w:rsidR="00CD4217" w:rsidRPr="00F113D0">
        <w:rPr>
          <w:lang w:val="en-GB"/>
        </w:rPr>
        <w:t xml:space="preserve"> </w:t>
      </w:r>
      <w:r w:rsidR="00727AB2" w:rsidRPr="00F113D0">
        <w:rPr>
          <w:lang w:val="en-GB"/>
        </w:rPr>
        <w:t xml:space="preserve">Ms Ntaka testified on this basis, and this was also the version put to the plaintiff. </w:t>
      </w:r>
      <w:r w:rsidR="00CD4217" w:rsidRPr="00F113D0">
        <w:rPr>
          <w:lang w:val="en-GB"/>
        </w:rPr>
        <w:t xml:space="preserve">That evidence </w:t>
      </w:r>
      <w:r w:rsidR="008252D0" w:rsidRPr="00F113D0">
        <w:rPr>
          <w:lang w:val="en-GB"/>
        </w:rPr>
        <w:t xml:space="preserve">was gainsaid by Mr Senekal’s statement that he had inserted an erroneous date in his January 2021 ward committee activity sheet. </w:t>
      </w:r>
      <w:r w:rsidR="00ED7FC2" w:rsidRPr="00F113D0">
        <w:rPr>
          <w:lang w:val="en-GB"/>
        </w:rPr>
        <w:t xml:space="preserve">The municipality had seemingly not </w:t>
      </w:r>
      <w:r w:rsidR="009221D6" w:rsidRPr="00F113D0">
        <w:rPr>
          <w:lang w:val="en-GB"/>
        </w:rPr>
        <w:t xml:space="preserve">discovered the error during their consultations and </w:t>
      </w:r>
      <w:r w:rsidR="009221D6" w:rsidRPr="00F113D0">
        <w:rPr>
          <w:lang w:val="en-GB"/>
        </w:rPr>
        <w:lastRenderedPageBreak/>
        <w:t xml:space="preserve">when responding to the request for further </w:t>
      </w:r>
      <w:r w:rsidR="00727AB2" w:rsidRPr="00F113D0">
        <w:rPr>
          <w:lang w:val="en-GB"/>
        </w:rPr>
        <w:t>particulars and</w:t>
      </w:r>
      <w:r w:rsidR="009221D6" w:rsidRPr="00F113D0">
        <w:rPr>
          <w:lang w:val="en-GB"/>
        </w:rPr>
        <w:t xml:space="preserve"> proceeded on the basis that the July </w:t>
      </w:r>
      <w:r w:rsidR="00727AB2" w:rsidRPr="00F113D0">
        <w:rPr>
          <w:lang w:val="en-GB"/>
        </w:rPr>
        <w:t xml:space="preserve">2020 </w:t>
      </w:r>
      <w:r w:rsidR="009221D6" w:rsidRPr="00F113D0">
        <w:rPr>
          <w:lang w:val="en-GB"/>
        </w:rPr>
        <w:t xml:space="preserve">date </w:t>
      </w:r>
      <w:r w:rsidR="00727AB2" w:rsidRPr="00F113D0">
        <w:rPr>
          <w:lang w:val="en-GB"/>
        </w:rPr>
        <w:t xml:space="preserve">correctly reflected when the issue had been reported by Mr Senekal. </w:t>
      </w:r>
      <w:r w:rsidR="008252D0" w:rsidRPr="00F113D0">
        <w:rPr>
          <w:lang w:val="en-GB"/>
        </w:rPr>
        <w:t>The municipality regrettably failed to produce activity sheets for any other months, or any call centre records</w:t>
      </w:r>
      <w:r w:rsidR="003B3DCC" w:rsidRPr="00F113D0">
        <w:rPr>
          <w:lang w:val="en-GB"/>
        </w:rPr>
        <w:t xml:space="preserve"> whatsoever</w:t>
      </w:r>
      <w:r w:rsidR="008252D0" w:rsidRPr="00F113D0">
        <w:rPr>
          <w:lang w:val="en-GB"/>
        </w:rPr>
        <w:t xml:space="preserve">. </w:t>
      </w:r>
      <w:r w:rsidR="003B3DCC" w:rsidRPr="00F113D0">
        <w:rPr>
          <w:lang w:val="en-GB"/>
        </w:rPr>
        <w:t>That being said, i</w:t>
      </w:r>
      <w:r w:rsidR="00727AB2" w:rsidRPr="00F113D0">
        <w:rPr>
          <w:lang w:val="en-GB"/>
        </w:rPr>
        <w:t xml:space="preserve">n my view little turns on the </w:t>
      </w:r>
      <w:r w:rsidR="001C5945" w:rsidRPr="00F113D0">
        <w:rPr>
          <w:lang w:val="en-GB"/>
        </w:rPr>
        <w:t>discrepancy and, as will be indicated, the outcome remains the same even if the issue was in fact first reported on</w:t>
      </w:r>
      <w:r w:rsidR="00415976" w:rsidRPr="00F113D0">
        <w:rPr>
          <w:lang w:val="en-GB"/>
        </w:rPr>
        <w:t>ly towards the end of</w:t>
      </w:r>
      <w:r w:rsidR="001C5945" w:rsidRPr="00F113D0">
        <w:rPr>
          <w:lang w:val="en-GB"/>
        </w:rPr>
        <w:t xml:space="preserve"> October 2020.</w:t>
      </w:r>
    </w:p>
    <w:p w14:paraId="77A53B74" w14:textId="293E68CE" w:rsidR="0004693A" w:rsidRDefault="0004693A" w:rsidP="00772546">
      <w:pPr>
        <w:rPr>
          <w:lang w:val="en-GB"/>
        </w:rPr>
      </w:pPr>
    </w:p>
    <w:p w14:paraId="32B163F8" w14:textId="112F2620" w:rsidR="00772546" w:rsidRPr="00772546" w:rsidRDefault="00772546" w:rsidP="00772546">
      <w:pPr>
        <w:rPr>
          <w:b/>
          <w:bCs/>
          <w:i/>
          <w:iCs/>
          <w:lang w:val="en-GB"/>
        </w:rPr>
      </w:pPr>
      <w:r>
        <w:rPr>
          <w:b/>
          <w:bCs/>
          <w:i/>
          <w:iCs/>
          <w:lang w:val="en-GB"/>
        </w:rPr>
        <w:t>Was the municipality’s conduct wrongful?</w:t>
      </w:r>
    </w:p>
    <w:p w14:paraId="3194A11D" w14:textId="356D86C0" w:rsidR="00EA2CBF" w:rsidRPr="00F113D0" w:rsidRDefault="00F113D0" w:rsidP="00F113D0">
      <w:pPr>
        <w:autoSpaceDE w:val="0"/>
        <w:autoSpaceDN w:val="0"/>
        <w:adjustRightInd w:val="0"/>
        <w:jc w:val="both"/>
        <w:rPr>
          <w:lang w:val="en-GB"/>
        </w:rPr>
      </w:pPr>
      <w:r>
        <w:rPr>
          <w:lang w:val="en-GB"/>
        </w:rPr>
        <w:t>[24]</w:t>
      </w:r>
      <w:r>
        <w:rPr>
          <w:lang w:val="en-GB"/>
        </w:rPr>
        <w:tab/>
      </w:r>
      <w:r w:rsidR="00EA2CBF" w:rsidRPr="00F113D0">
        <w:rPr>
          <w:lang w:val="en-GB"/>
        </w:rPr>
        <w:t>A negligent omission will not give rise to delictual liability unless it is wrongful.</w:t>
      </w:r>
      <w:r w:rsidR="00EA2CBF">
        <w:rPr>
          <w:rStyle w:val="FootnoteReference"/>
          <w:lang w:val="en-GB"/>
        </w:rPr>
        <w:footnoteReference w:id="3"/>
      </w:r>
      <w:r w:rsidR="00EA2CBF" w:rsidRPr="00F113D0">
        <w:rPr>
          <w:lang w:val="en-GB"/>
        </w:rPr>
        <w:t xml:space="preserve"> </w:t>
      </w:r>
      <w:r w:rsidR="00E61C6F" w:rsidRPr="00F113D0">
        <w:rPr>
          <w:lang w:val="en-GB"/>
        </w:rPr>
        <w:t>The issue may be easily dispensed with in the circumstances</w:t>
      </w:r>
      <w:r w:rsidR="00977973" w:rsidRPr="00F113D0">
        <w:rPr>
          <w:lang w:val="en-GB"/>
        </w:rPr>
        <w:t xml:space="preserve">. It is convenient to consider the </w:t>
      </w:r>
      <w:r w:rsidR="007C5970" w:rsidRPr="00F113D0">
        <w:rPr>
          <w:lang w:val="en-GB"/>
        </w:rPr>
        <w:t>question</w:t>
      </w:r>
      <w:r w:rsidR="00977973" w:rsidRPr="00F113D0">
        <w:rPr>
          <w:lang w:val="en-GB"/>
        </w:rPr>
        <w:t xml:space="preserve"> in the usual manner, by assuming the existence of the other elements of delictual liability.</w:t>
      </w:r>
      <w:r w:rsidR="00977973">
        <w:rPr>
          <w:rStyle w:val="FootnoteReference"/>
          <w:lang w:val="en-GB"/>
        </w:rPr>
        <w:footnoteReference w:id="4"/>
      </w:r>
      <w:r w:rsidR="00977973" w:rsidRPr="00F113D0">
        <w:rPr>
          <w:lang w:val="en-GB"/>
        </w:rPr>
        <w:t xml:space="preserve"> </w:t>
      </w:r>
    </w:p>
    <w:p w14:paraId="43AF3A8F" w14:textId="77777777" w:rsidR="00EA2CBF" w:rsidRDefault="00EA2CBF" w:rsidP="00EA2CBF">
      <w:pPr>
        <w:pStyle w:val="ListParagraph"/>
        <w:autoSpaceDE w:val="0"/>
        <w:autoSpaceDN w:val="0"/>
        <w:adjustRightInd w:val="0"/>
        <w:ind w:left="0"/>
        <w:jc w:val="both"/>
        <w:rPr>
          <w:lang w:val="en-GB"/>
        </w:rPr>
      </w:pPr>
    </w:p>
    <w:p w14:paraId="4AD1D55A" w14:textId="2E3FB16F" w:rsidR="00AA0908" w:rsidRPr="00F113D0" w:rsidRDefault="00F113D0" w:rsidP="00F113D0">
      <w:pPr>
        <w:autoSpaceDE w:val="0"/>
        <w:autoSpaceDN w:val="0"/>
        <w:adjustRightInd w:val="0"/>
        <w:jc w:val="both"/>
        <w:rPr>
          <w:lang w:val="en-GB"/>
        </w:rPr>
      </w:pPr>
      <w:r>
        <w:rPr>
          <w:lang w:val="en-GB"/>
        </w:rPr>
        <w:t>[25]</w:t>
      </w:r>
      <w:r>
        <w:rPr>
          <w:lang w:val="en-GB"/>
        </w:rPr>
        <w:tab/>
      </w:r>
      <w:r w:rsidR="00E61C6F" w:rsidRPr="00F113D0">
        <w:rPr>
          <w:lang w:val="en-GB"/>
        </w:rPr>
        <w:t>There is ample authority that the report made to the municipality, which it acknowledges, gave rise to a duty of care.</w:t>
      </w:r>
      <w:r w:rsidR="00FF5AD0">
        <w:rPr>
          <w:rStyle w:val="FootnoteReference"/>
          <w:lang w:val="en-GB"/>
        </w:rPr>
        <w:footnoteReference w:id="5"/>
      </w:r>
      <w:r w:rsidR="00D04087" w:rsidRPr="00F113D0">
        <w:rPr>
          <w:lang w:val="en-GB"/>
        </w:rPr>
        <w:t xml:space="preserve"> </w:t>
      </w:r>
      <w:r w:rsidR="00AA0908" w:rsidRPr="00F113D0">
        <w:rPr>
          <w:lang w:val="en-GB"/>
        </w:rPr>
        <w:t>The position has been described as follows:</w:t>
      </w:r>
      <w:r w:rsidR="00B92109">
        <w:rPr>
          <w:rStyle w:val="FootnoteReference"/>
          <w:lang w:val="en-GB"/>
        </w:rPr>
        <w:footnoteReference w:id="6"/>
      </w:r>
    </w:p>
    <w:p w14:paraId="001FD12E" w14:textId="6B5C4C8A" w:rsidR="00AA0908" w:rsidRPr="00AA0908" w:rsidRDefault="00AA0908" w:rsidP="00AA0908">
      <w:pPr>
        <w:pStyle w:val="ListParagraph"/>
        <w:autoSpaceDE w:val="0"/>
        <w:autoSpaceDN w:val="0"/>
        <w:adjustRightInd w:val="0"/>
        <w:ind w:left="0"/>
        <w:jc w:val="both"/>
        <w:rPr>
          <w:sz w:val="22"/>
          <w:szCs w:val="22"/>
          <w:lang w:val="en-GB"/>
        </w:rPr>
      </w:pPr>
      <w:r>
        <w:rPr>
          <w:sz w:val="22"/>
          <w:szCs w:val="22"/>
          <w:lang w:val="en-GB"/>
        </w:rPr>
        <w:t>‘The duty to take a positive step by the respondent began from the first day when its employees were advised … of the presence of the hole. When the respondent became aware of the presence of the dangerous hole in the road a duty was created for it to prevent any harm that could be caused by the existence of the hole. The existence of a legal duty upon the respondent to warn of danger and to repair and maintain roads and pavements is not necessarily a general duty but it arises from the particular circumstances of a given case. The members of the community of the area in which there exists a dangerous hole would reasonably expect the respondent to fix and repair the hole or at least warn the road users of the danger created by the existence of the hole.’</w:t>
      </w:r>
    </w:p>
    <w:p w14:paraId="6EF2AB2B" w14:textId="77777777" w:rsidR="00AA0908" w:rsidRPr="00AA0908" w:rsidRDefault="00AA0908" w:rsidP="00AA0908">
      <w:pPr>
        <w:pStyle w:val="ListParagraph"/>
        <w:rPr>
          <w:lang w:val="en-GB"/>
        </w:rPr>
      </w:pPr>
    </w:p>
    <w:p w14:paraId="56746A75" w14:textId="1D87614D" w:rsidR="0099505B" w:rsidRPr="00F113D0" w:rsidRDefault="00F113D0" w:rsidP="00F113D0">
      <w:pPr>
        <w:autoSpaceDE w:val="0"/>
        <w:autoSpaceDN w:val="0"/>
        <w:adjustRightInd w:val="0"/>
        <w:jc w:val="both"/>
        <w:rPr>
          <w:lang w:val="en-GB"/>
        </w:rPr>
      </w:pPr>
      <w:r>
        <w:rPr>
          <w:lang w:val="en-GB"/>
        </w:rPr>
        <w:t>[26]</w:t>
      </w:r>
      <w:r>
        <w:rPr>
          <w:lang w:val="en-GB"/>
        </w:rPr>
        <w:tab/>
      </w:r>
      <w:r w:rsidR="00D04087" w:rsidRPr="00F113D0">
        <w:rPr>
          <w:lang w:val="en-GB"/>
        </w:rPr>
        <w:t>Other than highlighting that the plaintiff had been in the street during curfew hours,</w:t>
      </w:r>
      <w:r w:rsidR="00E61C6F" w:rsidRPr="00F113D0">
        <w:rPr>
          <w:lang w:val="en-GB"/>
        </w:rPr>
        <w:t xml:space="preserve"> </w:t>
      </w:r>
      <w:r w:rsidR="00E002F8" w:rsidRPr="00F113D0">
        <w:rPr>
          <w:lang w:val="en-GB"/>
        </w:rPr>
        <w:t xml:space="preserve">Ms </w:t>
      </w:r>
      <w:r w:rsidR="00E002F8" w:rsidRPr="00F113D0">
        <w:rPr>
          <w:i/>
          <w:iCs/>
          <w:lang w:val="en-GB"/>
        </w:rPr>
        <w:t>Zietsman</w:t>
      </w:r>
      <w:r w:rsidR="00E002F8" w:rsidRPr="00F113D0">
        <w:rPr>
          <w:lang w:val="en-GB"/>
        </w:rPr>
        <w:t xml:space="preserve">, for the municipality, did not suggest otherwise. </w:t>
      </w:r>
      <w:r w:rsidR="00D04087" w:rsidRPr="00F113D0">
        <w:rPr>
          <w:lang w:val="en-GB"/>
        </w:rPr>
        <w:t>That fact, on its own, is insufficient to absolve the municipality of a duty of care that it accepted.</w:t>
      </w:r>
      <w:r w:rsidR="00543CBF" w:rsidRPr="00F113D0">
        <w:rPr>
          <w:lang w:val="en-GB"/>
        </w:rPr>
        <w:t xml:space="preserve"> </w:t>
      </w:r>
      <w:r w:rsidR="00E61C6F" w:rsidRPr="00F113D0">
        <w:rPr>
          <w:lang w:val="en-GB"/>
        </w:rPr>
        <w:t xml:space="preserve">This, in the words of Goosen AJ, was ‘to ensure that the defective catchpit did not occasion </w:t>
      </w:r>
      <w:r w:rsidR="00E61C6F" w:rsidRPr="00F113D0">
        <w:rPr>
          <w:lang w:val="en-GB"/>
        </w:rPr>
        <w:lastRenderedPageBreak/>
        <w:t>harm to residents in the area and members of the public’.</w:t>
      </w:r>
      <w:r w:rsidR="00DF3D2A">
        <w:rPr>
          <w:rStyle w:val="FootnoteReference"/>
          <w:lang w:val="en-GB"/>
        </w:rPr>
        <w:footnoteReference w:id="7"/>
      </w:r>
      <w:r w:rsidR="00DE3A8E" w:rsidRPr="00F113D0">
        <w:rPr>
          <w:lang w:val="en-GB"/>
        </w:rPr>
        <w:t xml:space="preserve"> </w:t>
      </w:r>
      <w:r w:rsidR="00E002F8" w:rsidRPr="00F113D0">
        <w:rPr>
          <w:lang w:val="en-GB"/>
        </w:rPr>
        <w:t>The municipality clearly appreciated that it bore such a duty</w:t>
      </w:r>
      <w:r w:rsidR="00543CBF" w:rsidRPr="00F113D0">
        <w:rPr>
          <w:lang w:val="en-GB"/>
        </w:rPr>
        <w:t xml:space="preserve"> in the present circumstances</w:t>
      </w:r>
      <w:r w:rsidR="004E47CE" w:rsidRPr="00F113D0">
        <w:rPr>
          <w:lang w:val="en-GB"/>
        </w:rPr>
        <w:t>.</w:t>
      </w:r>
      <w:r w:rsidR="00674DC3">
        <w:rPr>
          <w:rStyle w:val="FootnoteReference"/>
          <w:lang w:val="en-GB"/>
        </w:rPr>
        <w:footnoteReference w:id="8"/>
      </w:r>
      <w:r w:rsidR="004E47CE" w:rsidRPr="00F113D0">
        <w:rPr>
          <w:lang w:val="en-GB"/>
        </w:rPr>
        <w:t xml:space="preserve"> On its own version it took steps to prevent </w:t>
      </w:r>
      <w:r w:rsidR="00E0011A" w:rsidRPr="00F113D0">
        <w:rPr>
          <w:lang w:val="en-GB"/>
        </w:rPr>
        <w:t>such harm</w:t>
      </w:r>
      <w:r w:rsidR="00410904" w:rsidRPr="00F113D0">
        <w:rPr>
          <w:lang w:val="en-GB"/>
        </w:rPr>
        <w:t xml:space="preserve"> </w:t>
      </w:r>
      <w:r w:rsidR="00E0011A" w:rsidRPr="00F113D0">
        <w:rPr>
          <w:lang w:val="en-GB"/>
        </w:rPr>
        <w:t>and pleaded that those steps were reasonable.</w:t>
      </w:r>
      <w:r w:rsidR="00410904" w:rsidRPr="00F113D0">
        <w:rPr>
          <w:lang w:val="en-GB"/>
        </w:rPr>
        <w:t xml:space="preserve"> That included the placement of the yellow barrier as an interim measure pending the construction and placement of a substitute cover.</w:t>
      </w:r>
      <w:r w:rsidR="0099505B" w:rsidRPr="00F113D0">
        <w:rPr>
          <w:lang w:val="en-GB"/>
        </w:rPr>
        <w:t xml:space="preserve"> </w:t>
      </w:r>
    </w:p>
    <w:p w14:paraId="4B24E0BF" w14:textId="0AE9BF43" w:rsidR="0099505B" w:rsidRDefault="0099505B" w:rsidP="005B07D2">
      <w:pPr>
        <w:rPr>
          <w:lang w:val="en-GB"/>
        </w:rPr>
      </w:pPr>
    </w:p>
    <w:p w14:paraId="445B1820" w14:textId="192B2B2C" w:rsidR="005B07D2" w:rsidRPr="005B07D2" w:rsidRDefault="005B07D2" w:rsidP="005B07D2">
      <w:pPr>
        <w:rPr>
          <w:b/>
          <w:bCs/>
          <w:i/>
          <w:iCs/>
          <w:lang w:val="en-GB"/>
        </w:rPr>
      </w:pPr>
      <w:r>
        <w:rPr>
          <w:b/>
          <w:bCs/>
          <w:i/>
          <w:iCs/>
          <w:lang w:val="en-GB"/>
        </w:rPr>
        <w:t>Negligence</w:t>
      </w:r>
    </w:p>
    <w:p w14:paraId="4C1C93BC" w14:textId="4F042ECE" w:rsidR="005F389D" w:rsidRPr="00F113D0" w:rsidRDefault="00F113D0" w:rsidP="00F113D0">
      <w:pPr>
        <w:autoSpaceDE w:val="0"/>
        <w:autoSpaceDN w:val="0"/>
        <w:adjustRightInd w:val="0"/>
        <w:jc w:val="both"/>
        <w:rPr>
          <w:lang w:val="en-GB"/>
        </w:rPr>
      </w:pPr>
      <w:r w:rsidRPr="00CA422C">
        <w:rPr>
          <w:lang w:val="en-GB"/>
        </w:rPr>
        <w:t>[27]</w:t>
      </w:r>
      <w:r w:rsidRPr="00CA422C">
        <w:rPr>
          <w:lang w:val="en-GB"/>
        </w:rPr>
        <w:tab/>
      </w:r>
      <w:r w:rsidR="0099505B" w:rsidRPr="00F113D0">
        <w:rPr>
          <w:lang w:val="en-GB"/>
        </w:rPr>
        <w:t xml:space="preserve">The real issue at hand is whether the municipality was at fault in acting as it did. </w:t>
      </w:r>
      <w:r w:rsidR="0077724B" w:rsidRPr="00F113D0">
        <w:rPr>
          <w:lang w:val="en-GB"/>
        </w:rPr>
        <w:t xml:space="preserve">Negligence is established if a reasonable person </w:t>
      </w:r>
      <w:r w:rsidR="00D07F36" w:rsidRPr="00F113D0">
        <w:rPr>
          <w:lang w:val="en-GB"/>
        </w:rPr>
        <w:t xml:space="preserve">in the position of the defendant </w:t>
      </w:r>
      <w:r w:rsidR="0077724B" w:rsidRPr="00F113D0">
        <w:rPr>
          <w:lang w:val="en-GB"/>
        </w:rPr>
        <w:t xml:space="preserve">would foresee the reasonable possibility of their conduct injuring another </w:t>
      </w:r>
      <w:r w:rsidR="00617050" w:rsidRPr="00F113D0">
        <w:rPr>
          <w:lang w:val="en-GB"/>
        </w:rPr>
        <w:t xml:space="preserve">in their person or property </w:t>
      </w:r>
      <w:r w:rsidR="0077724B" w:rsidRPr="00F113D0">
        <w:rPr>
          <w:lang w:val="en-GB"/>
        </w:rPr>
        <w:t>and causing th</w:t>
      </w:r>
      <w:r w:rsidR="00A90989" w:rsidRPr="00F113D0">
        <w:rPr>
          <w:lang w:val="en-GB"/>
        </w:rPr>
        <w:t>em</w:t>
      </w:r>
      <w:r w:rsidR="0077724B" w:rsidRPr="00F113D0">
        <w:rPr>
          <w:lang w:val="en-GB"/>
        </w:rPr>
        <w:t xml:space="preserve"> patrimonial loss, and would take reasonable steps to guard against such occurrence.</w:t>
      </w:r>
      <w:r w:rsidR="00E653B9" w:rsidRPr="00F113D0">
        <w:rPr>
          <w:lang w:val="en-GB"/>
        </w:rPr>
        <w:t xml:space="preserve"> If the defendant failed to take such steps, in those circumstances, negligence would be established.</w:t>
      </w:r>
      <w:r w:rsidR="00C817F7">
        <w:rPr>
          <w:rStyle w:val="FootnoteReference"/>
          <w:lang w:val="en-GB"/>
        </w:rPr>
        <w:footnoteReference w:id="9"/>
      </w:r>
    </w:p>
    <w:p w14:paraId="56049694" w14:textId="77777777" w:rsidR="009A3356" w:rsidRPr="009A3356" w:rsidRDefault="009A3356" w:rsidP="009A3356">
      <w:pPr>
        <w:pStyle w:val="ListParagraph"/>
        <w:rPr>
          <w:lang w:val="en-GB"/>
        </w:rPr>
      </w:pPr>
    </w:p>
    <w:p w14:paraId="7BFB7AE6" w14:textId="7CFB5CC6" w:rsidR="00D60F31" w:rsidRPr="00F113D0" w:rsidRDefault="00F113D0" w:rsidP="00F113D0">
      <w:pPr>
        <w:autoSpaceDE w:val="0"/>
        <w:autoSpaceDN w:val="0"/>
        <w:adjustRightInd w:val="0"/>
        <w:jc w:val="both"/>
        <w:rPr>
          <w:lang w:val="en-GB"/>
        </w:rPr>
      </w:pPr>
      <w:r w:rsidRPr="00522F69">
        <w:rPr>
          <w:lang w:val="en-GB"/>
        </w:rPr>
        <w:t>[28]</w:t>
      </w:r>
      <w:r w:rsidRPr="00522F69">
        <w:rPr>
          <w:lang w:val="en-GB"/>
        </w:rPr>
        <w:tab/>
      </w:r>
      <w:r w:rsidR="00D60F31" w:rsidRPr="00F113D0">
        <w:rPr>
          <w:lang w:val="en-GB"/>
        </w:rPr>
        <w:t xml:space="preserve">In </w:t>
      </w:r>
      <w:r w:rsidR="00D60F31" w:rsidRPr="00F113D0">
        <w:rPr>
          <w:i/>
          <w:iCs/>
          <w:lang w:val="en-GB"/>
        </w:rPr>
        <w:t>Herschel v Mrupe</w:t>
      </w:r>
      <w:r w:rsidR="00D60F31" w:rsidRPr="00F113D0">
        <w:rPr>
          <w:lang w:val="en-GB"/>
        </w:rPr>
        <w:t>,</w:t>
      </w:r>
      <w:r w:rsidR="00D60F31">
        <w:rPr>
          <w:rStyle w:val="FootnoteReference"/>
          <w:lang w:val="en-GB"/>
        </w:rPr>
        <w:footnoteReference w:id="10"/>
      </w:r>
      <w:r w:rsidR="00D60F31" w:rsidRPr="00F113D0">
        <w:rPr>
          <w:i/>
          <w:iCs/>
          <w:lang w:val="en-GB"/>
        </w:rPr>
        <w:t xml:space="preserve"> </w:t>
      </w:r>
      <w:r w:rsidR="00D60F31" w:rsidRPr="00F113D0">
        <w:rPr>
          <w:lang w:val="en-GB"/>
        </w:rPr>
        <w:t>Schreiner JA explained the position as follows:</w:t>
      </w:r>
    </w:p>
    <w:p w14:paraId="0ECA8F40" w14:textId="21D4C423" w:rsidR="0013680E" w:rsidRPr="004922D2" w:rsidRDefault="00D60F31" w:rsidP="004922D2">
      <w:pPr>
        <w:pStyle w:val="ListParagraph"/>
        <w:autoSpaceDE w:val="0"/>
        <w:autoSpaceDN w:val="0"/>
        <w:adjustRightInd w:val="0"/>
        <w:ind w:left="0"/>
        <w:jc w:val="both"/>
        <w:rPr>
          <w:sz w:val="22"/>
          <w:szCs w:val="22"/>
          <w:lang w:val="en-GB"/>
        </w:rPr>
      </w:pPr>
      <w:r w:rsidRPr="00522F69">
        <w:rPr>
          <w:sz w:val="22"/>
          <w:szCs w:val="22"/>
          <w:lang w:val="en-GB"/>
        </w:rPr>
        <w:t>‘“The duty of the Court is to try to decide whether the conduct of the respondent was that of a reasonably prudent person, which involves two questions viz.: (1) what danger</w:t>
      </w:r>
      <w:r>
        <w:rPr>
          <w:sz w:val="22"/>
          <w:szCs w:val="22"/>
          <w:lang w:val="en-GB"/>
        </w:rPr>
        <w:t xml:space="preserve">s of harm would such a person have anticipated in the circumstances in which the respondent found himself; (2) what then would have been the conduct of such a person in these circumstances.” … No doubt there are many cases where once harm is foreseen it must be obvious to the reasonable man that he ought to take appropriate avoiding action. But the circumstances may be such that a reasonable man would foresee the possibility of harm but would nevertheless consider that the slightness of the chance that the risk would turn into actual harm, correlated with the probable lack of seriousness if it did, would require no precautionary action on his part. Apart from the cost or difficulty of taking precautions, which may be a factor to be considered by the reasonable man, there are two variables, the seriousness of the harm and the chances of its happening. If the harm would probably be serious if it happened the reasonable man would guard against it unless the chances of its happening were very slight. If, on the other hand, the harm, if it happened, would probably be trivial the reasonable man might not guard against it even if the chances of its happening were fair or substantial. An extensive gradation from </w:t>
      </w:r>
      <w:r>
        <w:rPr>
          <w:sz w:val="22"/>
          <w:szCs w:val="22"/>
          <w:lang w:val="en-GB"/>
        </w:rPr>
        <w:lastRenderedPageBreak/>
        <w:t>remote possibility to near certainty and from insignificant inconvenience to deadly harm can, by way of illustration, be envisaged in relation to uneven patches and excavations in or near ways used by other persons.’</w:t>
      </w:r>
    </w:p>
    <w:p w14:paraId="0BE63EC7" w14:textId="77777777" w:rsidR="0013680E" w:rsidRPr="0013680E" w:rsidRDefault="0013680E" w:rsidP="0013680E">
      <w:pPr>
        <w:pStyle w:val="ListParagraph"/>
        <w:rPr>
          <w:lang w:val="en-GB"/>
        </w:rPr>
      </w:pPr>
    </w:p>
    <w:p w14:paraId="09A9E6B6" w14:textId="10622687" w:rsidR="009A3356" w:rsidRPr="00F113D0" w:rsidRDefault="00F113D0" w:rsidP="00F113D0">
      <w:pPr>
        <w:autoSpaceDE w:val="0"/>
        <w:autoSpaceDN w:val="0"/>
        <w:adjustRightInd w:val="0"/>
        <w:jc w:val="both"/>
        <w:rPr>
          <w:lang w:val="en-GB"/>
        </w:rPr>
      </w:pPr>
      <w:r>
        <w:rPr>
          <w:lang w:val="en-GB"/>
        </w:rPr>
        <w:t>[29]</w:t>
      </w:r>
      <w:r>
        <w:rPr>
          <w:lang w:val="en-GB"/>
        </w:rPr>
        <w:tab/>
      </w:r>
      <w:r w:rsidR="003B5469" w:rsidRPr="00F113D0">
        <w:rPr>
          <w:lang w:val="en-GB"/>
        </w:rPr>
        <w:t>In other words, c</w:t>
      </w:r>
      <w:r w:rsidR="009A3356" w:rsidRPr="00F113D0">
        <w:rPr>
          <w:lang w:val="en-GB"/>
        </w:rPr>
        <w:t xml:space="preserve">ulpability </w:t>
      </w:r>
      <w:r w:rsidR="004024EC" w:rsidRPr="00F113D0">
        <w:rPr>
          <w:lang w:val="en-GB"/>
        </w:rPr>
        <w:t>based on</w:t>
      </w:r>
      <w:r w:rsidR="009A3356" w:rsidRPr="00F113D0">
        <w:rPr>
          <w:lang w:val="en-GB"/>
        </w:rPr>
        <w:t xml:space="preserve"> a negligent failure to act or to act timeously necessarily involves an assessment of the nature of the precautions that can be taken to guard against </w:t>
      </w:r>
      <w:r w:rsidR="00FD0308" w:rsidRPr="00F113D0">
        <w:rPr>
          <w:lang w:val="en-GB"/>
        </w:rPr>
        <w:t>foreseeable</w:t>
      </w:r>
      <w:r w:rsidR="009A3356" w:rsidRPr="00F113D0">
        <w:rPr>
          <w:lang w:val="en-GB"/>
        </w:rPr>
        <w:t xml:space="preserve"> harm </w:t>
      </w:r>
      <w:r w:rsidR="00FD0308" w:rsidRPr="00F113D0">
        <w:rPr>
          <w:lang w:val="en-GB"/>
        </w:rPr>
        <w:t xml:space="preserve">to the public </w:t>
      </w:r>
      <w:r w:rsidR="009A3356" w:rsidRPr="00F113D0">
        <w:rPr>
          <w:lang w:val="en-GB"/>
        </w:rPr>
        <w:t xml:space="preserve">and whether such precautions are reasonable having regard to the </w:t>
      </w:r>
      <w:r w:rsidR="004024EC" w:rsidRPr="00F113D0">
        <w:rPr>
          <w:lang w:val="en-GB"/>
        </w:rPr>
        <w:t>circumstances</w:t>
      </w:r>
      <w:r w:rsidR="009A3356" w:rsidRPr="00F113D0">
        <w:rPr>
          <w:lang w:val="en-GB"/>
        </w:rPr>
        <w:t xml:space="preserve"> of the case.</w:t>
      </w:r>
      <w:r w:rsidR="008C62A1">
        <w:rPr>
          <w:rStyle w:val="FootnoteReference"/>
          <w:lang w:val="en-GB"/>
        </w:rPr>
        <w:footnoteReference w:id="11"/>
      </w:r>
      <w:r w:rsidR="004024EC" w:rsidRPr="00F113D0">
        <w:rPr>
          <w:lang w:val="en-GB"/>
        </w:rPr>
        <w:t xml:space="preserve"> </w:t>
      </w:r>
      <w:r w:rsidR="00D80390" w:rsidRPr="00F113D0">
        <w:rPr>
          <w:lang w:val="en-GB"/>
        </w:rPr>
        <w:t>Merely because harm which was foreseeable did eventuate does not mean that the steps taken were necessarily unreasonable.</w:t>
      </w:r>
      <w:r w:rsidR="007978FB">
        <w:rPr>
          <w:rStyle w:val="FootnoteReference"/>
          <w:lang w:val="en-GB"/>
        </w:rPr>
        <w:footnoteReference w:id="12"/>
      </w:r>
      <w:r w:rsidR="00D80390" w:rsidRPr="00F113D0">
        <w:rPr>
          <w:lang w:val="en-GB"/>
        </w:rPr>
        <w:t xml:space="preserve"> </w:t>
      </w:r>
      <w:r w:rsidR="004024EC" w:rsidRPr="00F113D0">
        <w:rPr>
          <w:lang w:val="en-GB"/>
        </w:rPr>
        <w:t>Th</w:t>
      </w:r>
      <w:r w:rsidR="00CD563D" w:rsidRPr="00F113D0">
        <w:rPr>
          <w:lang w:val="en-GB"/>
        </w:rPr>
        <w:t>at</w:t>
      </w:r>
      <w:r w:rsidR="007978FB" w:rsidRPr="00F113D0">
        <w:rPr>
          <w:lang w:val="en-GB"/>
        </w:rPr>
        <w:t xml:space="preserve"> issue</w:t>
      </w:r>
      <w:r w:rsidR="004024EC" w:rsidRPr="00F113D0">
        <w:rPr>
          <w:lang w:val="en-GB"/>
        </w:rPr>
        <w:t xml:space="preserve"> involves a value judgment which seeks to balance competing considerations, including </w:t>
      </w:r>
      <w:r w:rsidR="005B7CCE" w:rsidRPr="00F113D0">
        <w:rPr>
          <w:i/>
          <w:iCs/>
          <w:lang w:val="en-GB"/>
        </w:rPr>
        <w:t>(a)</w:t>
      </w:r>
      <w:r w:rsidR="005B7CCE" w:rsidRPr="00F113D0">
        <w:rPr>
          <w:lang w:val="en-GB"/>
        </w:rPr>
        <w:t xml:space="preserve"> </w:t>
      </w:r>
      <w:r w:rsidR="004024EC" w:rsidRPr="00F113D0">
        <w:rPr>
          <w:lang w:val="en-GB"/>
        </w:rPr>
        <w:t xml:space="preserve">the degree or extent of the risk created by the actor’s conduct; </w:t>
      </w:r>
      <w:r w:rsidR="005B7CCE" w:rsidRPr="00F113D0">
        <w:rPr>
          <w:i/>
          <w:iCs/>
          <w:lang w:val="en-GB"/>
        </w:rPr>
        <w:t>(b)</w:t>
      </w:r>
      <w:r w:rsidR="005B7CCE" w:rsidRPr="00F113D0">
        <w:rPr>
          <w:lang w:val="en-GB"/>
        </w:rPr>
        <w:t xml:space="preserve"> </w:t>
      </w:r>
      <w:r w:rsidR="004024EC" w:rsidRPr="00F113D0">
        <w:rPr>
          <w:lang w:val="en-GB"/>
        </w:rPr>
        <w:t xml:space="preserve">the gravity of the possible consequences if the risk of harm materialises; </w:t>
      </w:r>
      <w:r w:rsidR="00BF2520" w:rsidRPr="00F113D0">
        <w:rPr>
          <w:i/>
          <w:iCs/>
          <w:lang w:val="en-GB"/>
        </w:rPr>
        <w:t xml:space="preserve">(c) </w:t>
      </w:r>
      <w:r w:rsidR="004024EC" w:rsidRPr="00F113D0">
        <w:rPr>
          <w:lang w:val="en-GB"/>
        </w:rPr>
        <w:t xml:space="preserve">the utility of the actor’s conduct; and </w:t>
      </w:r>
      <w:r w:rsidR="009F2B50" w:rsidRPr="00F113D0">
        <w:rPr>
          <w:i/>
          <w:iCs/>
          <w:lang w:val="en-GB"/>
        </w:rPr>
        <w:t xml:space="preserve">(d) </w:t>
      </w:r>
      <w:r w:rsidR="004024EC" w:rsidRPr="00F113D0">
        <w:rPr>
          <w:lang w:val="en-GB"/>
        </w:rPr>
        <w:t>the burden of eliminating the risk of harm.</w:t>
      </w:r>
      <w:r w:rsidR="00FF5AD0">
        <w:rPr>
          <w:rStyle w:val="FootnoteReference"/>
          <w:lang w:val="en-GB"/>
        </w:rPr>
        <w:footnoteReference w:id="13"/>
      </w:r>
      <w:r w:rsidR="005B7CCE" w:rsidRPr="00F113D0">
        <w:rPr>
          <w:lang w:val="en-GB"/>
        </w:rPr>
        <w:t xml:space="preserve"> In general, the inquiry </w:t>
      </w:r>
      <w:r w:rsidR="009F2B50" w:rsidRPr="00F113D0">
        <w:rPr>
          <w:lang w:val="en-GB"/>
        </w:rPr>
        <w:t xml:space="preserve">whether the reasonable person would have taken measures to prevent foreseeable harm involves a balancing of considerations </w:t>
      </w:r>
      <w:r w:rsidR="009F2B50" w:rsidRPr="00F113D0">
        <w:rPr>
          <w:i/>
          <w:iCs/>
          <w:lang w:val="en-GB"/>
        </w:rPr>
        <w:t xml:space="preserve">(a) </w:t>
      </w:r>
      <w:r w:rsidR="009F2B50" w:rsidRPr="00F113D0">
        <w:rPr>
          <w:lang w:val="en-GB"/>
        </w:rPr>
        <w:t>and</w:t>
      </w:r>
      <w:r w:rsidR="009F2B50" w:rsidRPr="00F113D0">
        <w:rPr>
          <w:i/>
          <w:iCs/>
          <w:lang w:val="en-GB"/>
        </w:rPr>
        <w:t xml:space="preserve"> (b)</w:t>
      </w:r>
      <w:r w:rsidR="009F2B50" w:rsidRPr="00F113D0">
        <w:rPr>
          <w:lang w:val="en-GB"/>
        </w:rPr>
        <w:t xml:space="preserve"> with </w:t>
      </w:r>
      <w:r w:rsidR="009F2B50" w:rsidRPr="00F113D0">
        <w:rPr>
          <w:i/>
          <w:iCs/>
          <w:lang w:val="en-GB"/>
        </w:rPr>
        <w:t>(c)</w:t>
      </w:r>
      <w:r w:rsidR="009F2B50" w:rsidRPr="00F113D0">
        <w:rPr>
          <w:lang w:val="en-GB"/>
        </w:rPr>
        <w:t xml:space="preserve"> and </w:t>
      </w:r>
      <w:r w:rsidR="009F2B50" w:rsidRPr="00F113D0">
        <w:rPr>
          <w:i/>
          <w:iCs/>
          <w:lang w:val="en-GB"/>
        </w:rPr>
        <w:t>(d)</w:t>
      </w:r>
      <w:r w:rsidR="009F2B50" w:rsidRPr="00F113D0">
        <w:rPr>
          <w:lang w:val="en-GB"/>
        </w:rPr>
        <w:t>.</w:t>
      </w:r>
      <w:r w:rsidR="009F2B50">
        <w:rPr>
          <w:rStyle w:val="FootnoteReference"/>
          <w:lang w:val="en-GB"/>
        </w:rPr>
        <w:footnoteReference w:id="14"/>
      </w:r>
      <w:r w:rsidR="00176E89" w:rsidRPr="00F113D0">
        <w:rPr>
          <w:lang w:val="en-GB"/>
        </w:rPr>
        <w:t xml:space="preserve"> The enquiry was described as follows in </w:t>
      </w:r>
      <w:r w:rsidR="00176E89" w:rsidRPr="00F113D0">
        <w:rPr>
          <w:i/>
          <w:iCs/>
          <w:lang w:val="en-GB"/>
        </w:rPr>
        <w:t>ZA v Smith and Another</w:t>
      </w:r>
      <w:r w:rsidR="00176E89" w:rsidRPr="00F113D0">
        <w:rPr>
          <w:lang w:val="en-GB"/>
        </w:rPr>
        <w:t>:</w:t>
      </w:r>
      <w:r w:rsidR="00176E89">
        <w:rPr>
          <w:rStyle w:val="FootnoteReference"/>
          <w:lang w:val="en-GB"/>
        </w:rPr>
        <w:footnoteReference w:id="15"/>
      </w:r>
    </w:p>
    <w:p w14:paraId="14E626E7" w14:textId="407F36B2" w:rsidR="00176E89" w:rsidRDefault="007C0B14" w:rsidP="00674DC3">
      <w:pPr>
        <w:jc w:val="both"/>
        <w:rPr>
          <w:sz w:val="22"/>
          <w:szCs w:val="22"/>
          <w:lang w:val="en-GB"/>
        </w:rPr>
      </w:pPr>
      <w:r>
        <w:rPr>
          <w:sz w:val="22"/>
          <w:szCs w:val="22"/>
          <w:lang w:val="en-GB"/>
        </w:rPr>
        <w:t>‘…in determining what preventative steps the reasonable person would or would not take, every case must depend on its own facts … it could only be answered with regard to all the facts and circumstances of that case. Including amongst these would be, for instance, the proportionality considerations which would require the weighing</w:t>
      </w:r>
      <w:r w:rsidR="006470D2">
        <w:rPr>
          <w:sz w:val="22"/>
          <w:szCs w:val="22"/>
          <w:lang w:val="en-GB"/>
        </w:rPr>
        <w:t>-</w:t>
      </w:r>
      <w:r>
        <w:rPr>
          <w:sz w:val="22"/>
          <w:szCs w:val="22"/>
          <w:lang w:val="en-GB"/>
        </w:rPr>
        <w:t xml:space="preserve">up of the prospects of the </w:t>
      </w:r>
      <w:r>
        <w:rPr>
          <w:sz w:val="22"/>
          <w:szCs w:val="22"/>
          <w:lang w:val="en-GB"/>
        </w:rPr>
        <w:lastRenderedPageBreak/>
        <w:t>proposed measures being successful; the degree of risk of the harm occurring; the extent of the potential harm; the costs involved in taking the preventative measures proposed; and so forth.’</w:t>
      </w:r>
    </w:p>
    <w:p w14:paraId="02E71F6F" w14:textId="77777777" w:rsidR="002B3906" w:rsidRPr="005B4D78" w:rsidRDefault="002B3906" w:rsidP="005B4D78">
      <w:pPr>
        <w:pStyle w:val="ListParagraph"/>
        <w:autoSpaceDE w:val="0"/>
        <w:autoSpaceDN w:val="0"/>
        <w:adjustRightInd w:val="0"/>
        <w:ind w:left="0"/>
        <w:jc w:val="both"/>
        <w:rPr>
          <w:sz w:val="22"/>
          <w:szCs w:val="22"/>
          <w:lang w:val="en-GB"/>
        </w:rPr>
      </w:pPr>
    </w:p>
    <w:p w14:paraId="23790684" w14:textId="68240801" w:rsidR="00283125" w:rsidRPr="00F113D0" w:rsidRDefault="00F113D0" w:rsidP="00F113D0">
      <w:pPr>
        <w:autoSpaceDE w:val="0"/>
        <w:autoSpaceDN w:val="0"/>
        <w:adjustRightInd w:val="0"/>
        <w:jc w:val="both"/>
        <w:rPr>
          <w:sz w:val="22"/>
          <w:szCs w:val="22"/>
          <w:lang w:val="en-GB"/>
        </w:rPr>
      </w:pPr>
      <w:r w:rsidRPr="00341899">
        <w:rPr>
          <w:sz w:val="22"/>
          <w:szCs w:val="22"/>
          <w:lang w:val="en-GB"/>
        </w:rPr>
        <w:t>[30]</w:t>
      </w:r>
      <w:r w:rsidRPr="00341899">
        <w:rPr>
          <w:sz w:val="22"/>
          <w:szCs w:val="22"/>
          <w:lang w:val="en-GB"/>
        </w:rPr>
        <w:tab/>
      </w:r>
      <w:r w:rsidR="003A6767" w:rsidRPr="00F113D0">
        <w:rPr>
          <w:lang w:val="en-GB"/>
        </w:rPr>
        <w:t>The present case must be decided on its own particular facts and in the light of th</w:t>
      </w:r>
      <w:r w:rsidR="004D0615" w:rsidRPr="00F113D0">
        <w:rPr>
          <w:lang w:val="en-GB"/>
        </w:rPr>
        <w:t>e</w:t>
      </w:r>
      <w:r w:rsidR="003A6767" w:rsidRPr="00F113D0">
        <w:rPr>
          <w:lang w:val="en-GB"/>
        </w:rPr>
        <w:t xml:space="preserve"> evidence that has been presented.</w:t>
      </w:r>
      <w:r w:rsidR="004D0615">
        <w:rPr>
          <w:rStyle w:val="FootnoteReference"/>
          <w:lang w:val="en-GB"/>
        </w:rPr>
        <w:footnoteReference w:id="16"/>
      </w:r>
      <w:r w:rsidR="00547ED2" w:rsidRPr="00F113D0">
        <w:rPr>
          <w:lang w:val="en-GB"/>
        </w:rPr>
        <w:t xml:space="preserve"> </w:t>
      </w:r>
      <w:r w:rsidR="006F1A59" w:rsidRPr="00F113D0">
        <w:rPr>
          <w:lang w:val="en-GB"/>
        </w:rPr>
        <w:t xml:space="preserve">As noted in </w:t>
      </w:r>
      <w:r w:rsidR="006F1A59" w:rsidRPr="00F113D0">
        <w:rPr>
          <w:i/>
          <w:iCs/>
          <w:lang w:val="en-GB"/>
        </w:rPr>
        <w:t>Kruger v Coetzee</w:t>
      </w:r>
      <w:r w:rsidR="006F1A59" w:rsidRPr="00F113D0">
        <w:rPr>
          <w:lang w:val="en-GB"/>
        </w:rPr>
        <w:t xml:space="preserve">, it is generally futile to seek guidance </w:t>
      </w:r>
      <w:r w:rsidR="00184C0D" w:rsidRPr="00F113D0">
        <w:rPr>
          <w:lang w:val="en-GB"/>
        </w:rPr>
        <w:t>from the facts and results of other cases.</w:t>
      </w:r>
      <w:r w:rsidR="00E92FB5">
        <w:rPr>
          <w:rStyle w:val="FootnoteReference"/>
          <w:lang w:val="en-GB"/>
        </w:rPr>
        <w:footnoteReference w:id="17"/>
      </w:r>
      <w:r w:rsidR="00341899" w:rsidRPr="00F113D0">
        <w:rPr>
          <w:lang w:val="en-GB"/>
        </w:rPr>
        <w:t xml:space="preserve"> </w:t>
      </w:r>
      <w:r w:rsidR="00283125" w:rsidRPr="00F113D0">
        <w:rPr>
          <w:lang w:val="en-GB"/>
        </w:rPr>
        <w:t>Notwithstanding the manner of framing of the famed test, Holmes JA has himself made plain that it is inappropriate to resort to a piecemeal process of reasoning so as to split the ‘proof of negligence’ enquiry into two stages. There is in fact a single enquiry: has the plaintiff, having regard to all of the evidence in the case, discharged the onus of proving, on a balance of probabilities, the negligence averred against the defendant.</w:t>
      </w:r>
      <w:r w:rsidR="00283125">
        <w:rPr>
          <w:rStyle w:val="FootnoteReference"/>
          <w:lang w:val="en-GB"/>
        </w:rPr>
        <w:footnoteReference w:id="18"/>
      </w:r>
    </w:p>
    <w:p w14:paraId="57A34E72" w14:textId="77777777" w:rsidR="00341899" w:rsidRPr="00341899" w:rsidRDefault="00341899" w:rsidP="00341899">
      <w:pPr>
        <w:pStyle w:val="ListParagraph"/>
        <w:autoSpaceDE w:val="0"/>
        <w:autoSpaceDN w:val="0"/>
        <w:adjustRightInd w:val="0"/>
        <w:ind w:left="0"/>
        <w:jc w:val="both"/>
        <w:rPr>
          <w:sz w:val="22"/>
          <w:szCs w:val="22"/>
          <w:lang w:val="en-GB"/>
        </w:rPr>
      </w:pPr>
    </w:p>
    <w:p w14:paraId="6B348595" w14:textId="2498B06C" w:rsidR="00F86A2A" w:rsidRPr="00F113D0" w:rsidRDefault="00F113D0" w:rsidP="00F113D0">
      <w:pPr>
        <w:autoSpaceDE w:val="0"/>
        <w:autoSpaceDN w:val="0"/>
        <w:adjustRightInd w:val="0"/>
        <w:jc w:val="both"/>
        <w:rPr>
          <w:lang w:val="en-GB"/>
        </w:rPr>
      </w:pPr>
      <w:r>
        <w:rPr>
          <w:lang w:val="en-GB"/>
        </w:rPr>
        <w:t>[31]</w:t>
      </w:r>
      <w:r>
        <w:rPr>
          <w:lang w:val="en-GB"/>
        </w:rPr>
        <w:tab/>
      </w:r>
      <w:r w:rsidR="00341899" w:rsidRPr="00F113D0">
        <w:rPr>
          <w:lang w:val="en-GB"/>
        </w:rPr>
        <w:t>While the plaintiff is expected to adduce sufficient cogent, credible evidence, where a plaintiff is not in a position to do so on a particular aspect, less evidence may suffice to establish a prima facie case of negligence where the facts are peculiarly within the knowledge of the defendant.</w:t>
      </w:r>
      <w:r w:rsidR="00341899">
        <w:rPr>
          <w:rStyle w:val="FootnoteReference"/>
          <w:lang w:val="en-GB"/>
        </w:rPr>
        <w:footnoteReference w:id="19"/>
      </w:r>
      <w:r w:rsidR="00341899" w:rsidRPr="00F113D0">
        <w:rPr>
          <w:lang w:val="en-GB"/>
        </w:rPr>
        <w:t xml:space="preserve"> It has been held that in such a situation there is an evidentiary burden upon the defendant to neutralise or rebut the prima facie inference that the cause of the harm was as a result of its negligent act  or omission.</w:t>
      </w:r>
      <w:r w:rsidR="00341899">
        <w:rPr>
          <w:rStyle w:val="FootnoteReference"/>
          <w:lang w:val="en-GB"/>
        </w:rPr>
        <w:footnoteReference w:id="20"/>
      </w:r>
      <w:r w:rsidR="00341899" w:rsidRPr="00F113D0">
        <w:rPr>
          <w:lang w:val="en-GB"/>
        </w:rPr>
        <w:t xml:space="preserve"> </w:t>
      </w:r>
      <w:r w:rsidR="00F86A2A" w:rsidRPr="00F113D0">
        <w:rPr>
          <w:lang w:val="en-GB"/>
        </w:rPr>
        <w:t>Any explanation as may be advanced by a defendant forms part of the evidential material to be considered in deciding whether a plaintiff has proved the allegation that the damage was caused by the negligence of the defendant or its employees.</w:t>
      </w:r>
      <w:r w:rsidR="00F86A2A">
        <w:rPr>
          <w:rStyle w:val="FootnoteReference"/>
          <w:lang w:val="en-GB"/>
        </w:rPr>
        <w:footnoteReference w:id="21"/>
      </w:r>
      <w:r w:rsidR="00F86A2A" w:rsidRPr="00F113D0">
        <w:rPr>
          <w:lang w:val="en-GB"/>
        </w:rPr>
        <w:t xml:space="preserve"> </w:t>
      </w:r>
      <w:r w:rsidR="00594135" w:rsidRPr="00F113D0">
        <w:rPr>
          <w:lang w:val="en-GB"/>
        </w:rPr>
        <w:t xml:space="preserve">This includes proof of further steps that a defendant could and should reasonably have taken. </w:t>
      </w:r>
      <w:r w:rsidR="00F86A2A" w:rsidRPr="00F113D0">
        <w:rPr>
          <w:lang w:val="en-GB"/>
        </w:rPr>
        <w:t>The following summary of what is required, drawn from English law, has been cited by the SCA with approval:</w:t>
      </w:r>
      <w:r w:rsidR="00F86A2A">
        <w:rPr>
          <w:rStyle w:val="FootnoteReference"/>
          <w:lang w:val="en-GB"/>
        </w:rPr>
        <w:footnoteReference w:id="22"/>
      </w:r>
    </w:p>
    <w:p w14:paraId="4CA347FF" w14:textId="58F20F64" w:rsidR="00717FE5" w:rsidRPr="006D0F39" w:rsidRDefault="00F86A2A" w:rsidP="006D0F39">
      <w:pPr>
        <w:jc w:val="both"/>
        <w:rPr>
          <w:sz w:val="22"/>
          <w:szCs w:val="22"/>
          <w:lang w:val="en-GB"/>
        </w:rPr>
      </w:pPr>
      <w:r>
        <w:rPr>
          <w:sz w:val="22"/>
          <w:szCs w:val="22"/>
          <w:lang w:val="en-GB"/>
        </w:rPr>
        <w:t xml:space="preserve">‘At the end of the trial, after all the evidence relied upon by either side has been called and tested, the judge has simply to decide whether as a matter of inference or otherwise he </w:t>
      </w:r>
      <w:r>
        <w:rPr>
          <w:sz w:val="22"/>
          <w:szCs w:val="22"/>
          <w:lang w:val="en-GB"/>
        </w:rPr>
        <w:lastRenderedPageBreak/>
        <w:t>concludes on the balance of probabilities that the defendant was negligent and that that negligence caused the plaintiff’s injury. That is the long and short of it.’</w:t>
      </w:r>
    </w:p>
    <w:p w14:paraId="3F6D3E4F" w14:textId="77777777" w:rsidR="00E02767" w:rsidRPr="00E02767" w:rsidRDefault="00E02767" w:rsidP="00E02767">
      <w:pPr>
        <w:pStyle w:val="ListParagraph"/>
        <w:autoSpaceDE w:val="0"/>
        <w:autoSpaceDN w:val="0"/>
        <w:adjustRightInd w:val="0"/>
        <w:ind w:left="0"/>
        <w:jc w:val="both"/>
        <w:rPr>
          <w:sz w:val="22"/>
          <w:szCs w:val="22"/>
          <w:lang w:val="en-GB"/>
        </w:rPr>
      </w:pPr>
    </w:p>
    <w:p w14:paraId="004AA1FB" w14:textId="5F0F6E6C" w:rsidR="00717FE5" w:rsidRPr="00F113D0" w:rsidRDefault="00F113D0" w:rsidP="00F113D0">
      <w:pPr>
        <w:autoSpaceDE w:val="0"/>
        <w:autoSpaceDN w:val="0"/>
        <w:adjustRightInd w:val="0"/>
        <w:jc w:val="both"/>
        <w:rPr>
          <w:sz w:val="22"/>
          <w:szCs w:val="22"/>
          <w:lang w:val="en-GB"/>
        </w:rPr>
      </w:pPr>
      <w:r w:rsidRPr="00010708">
        <w:rPr>
          <w:sz w:val="22"/>
          <w:szCs w:val="22"/>
          <w:lang w:val="en-GB"/>
        </w:rPr>
        <w:t>[32]</w:t>
      </w:r>
      <w:r w:rsidRPr="00010708">
        <w:rPr>
          <w:sz w:val="22"/>
          <w:szCs w:val="22"/>
          <w:lang w:val="en-GB"/>
        </w:rPr>
        <w:tab/>
      </w:r>
      <w:r w:rsidR="00717FE5" w:rsidRPr="00F113D0">
        <w:rPr>
          <w:lang w:val="en-GB"/>
        </w:rPr>
        <w:t>The crux of the matter is whether the injuries sustained to the plaintiff when he fell into the drain were due to the negligence of employees of the municipality, in that they failed to cover the drain adequately, or cordon it off as a hazard. Answering this question requires consideration of the facts viewed as a whole.</w:t>
      </w:r>
      <w:r w:rsidR="00717FE5">
        <w:rPr>
          <w:rStyle w:val="FootnoteReference"/>
          <w:lang w:val="en-GB"/>
        </w:rPr>
        <w:footnoteReference w:id="23"/>
      </w:r>
      <w:r w:rsidR="00717FE5" w:rsidRPr="00F113D0">
        <w:rPr>
          <w:lang w:val="en-GB"/>
        </w:rPr>
        <w:t xml:space="preserve"> </w:t>
      </w:r>
    </w:p>
    <w:p w14:paraId="4B7383F7" w14:textId="77777777" w:rsidR="00010708" w:rsidRDefault="00010708" w:rsidP="00010708">
      <w:pPr>
        <w:pStyle w:val="ListParagraph"/>
        <w:autoSpaceDE w:val="0"/>
        <w:autoSpaceDN w:val="0"/>
        <w:adjustRightInd w:val="0"/>
        <w:ind w:left="0"/>
        <w:jc w:val="both"/>
        <w:rPr>
          <w:sz w:val="22"/>
          <w:szCs w:val="22"/>
          <w:lang w:val="en-GB"/>
        </w:rPr>
      </w:pPr>
    </w:p>
    <w:p w14:paraId="5B43C9D5" w14:textId="2EA4F7F7" w:rsidR="004567D0" w:rsidRPr="00F113D0" w:rsidRDefault="00F113D0" w:rsidP="00F113D0">
      <w:pPr>
        <w:autoSpaceDE w:val="0"/>
        <w:autoSpaceDN w:val="0"/>
        <w:adjustRightInd w:val="0"/>
        <w:jc w:val="both"/>
        <w:rPr>
          <w:lang w:val="en-GB"/>
        </w:rPr>
      </w:pPr>
      <w:r>
        <w:rPr>
          <w:lang w:val="en-GB"/>
        </w:rPr>
        <w:t>[33]</w:t>
      </w:r>
      <w:r>
        <w:rPr>
          <w:lang w:val="en-GB"/>
        </w:rPr>
        <w:tab/>
      </w:r>
      <w:r w:rsidR="00010708" w:rsidRPr="00F113D0">
        <w:rPr>
          <w:lang w:val="en-GB"/>
        </w:rPr>
        <w:t xml:space="preserve">Applying the facts to the test, </w:t>
      </w:r>
      <w:r w:rsidR="00725850" w:rsidRPr="00F113D0">
        <w:rPr>
          <w:lang w:val="en-GB"/>
        </w:rPr>
        <w:t xml:space="preserve">there is little difficulty in concluding that a reasonable person in the position of the municipality would foresee the reasonable possibility of a failure to adequately safeguard </w:t>
      </w:r>
      <w:r w:rsidR="00501675" w:rsidRPr="00F113D0">
        <w:rPr>
          <w:lang w:val="en-GB"/>
        </w:rPr>
        <w:t xml:space="preserve">the </w:t>
      </w:r>
      <w:r w:rsidR="00725850" w:rsidRPr="00F113D0">
        <w:rPr>
          <w:lang w:val="en-GB"/>
        </w:rPr>
        <w:t>drain causing serious harm to unsuspecting members of the public.</w:t>
      </w:r>
      <w:r w:rsidR="00023AA5">
        <w:rPr>
          <w:rStyle w:val="FootnoteReference"/>
          <w:lang w:val="en-GB"/>
        </w:rPr>
        <w:footnoteReference w:id="24"/>
      </w:r>
      <w:r w:rsidR="00725850" w:rsidRPr="00F113D0">
        <w:rPr>
          <w:lang w:val="en-GB"/>
        </w:rPr>
        <w:t xml:space="preserve"> </w:t>
      </w:r>
      <w:r w:rsidR="000B60EE" w:rsidRPr="00F113D0">
        <w:rPr>
          <w:lang w:val="en-GB"/>
        </w:rPr>
        <w:t>H</w:t>
      </w:r>
      <w:r w:rsidR="006E0C36" w:rsidRPr="00F113D0">
        <w:rPr>
          <w:lang w:val="en-GB"/>
        </w:rPr>
        <w:t>eightened danger at night</w:t>
      </w:r>
      <w:r w:rsidR="0066004E" w:rsidRPr="00F113D0">
        <w:rPr>
          <w:lang w:val="en-GB"/>
        </w:rPr>
        <w:t xml:space="preserve">, because of reduced visibility, </w:t>
      </w:r>
      <w:r w:rsidR="000B60EE" w:rsidRPr="00F113D0">
        <w:rPr>
          <w:lang w:val="en-GB"/>
        </w:rPr>
        <w:t>would have been equally foreseeable.</w:t>
      </w:r>
      <w:r w:rsidR="000B60EE">
        <w:rPr>
          <w:rStyle w:val="FootnoteReference"/>
          <w:lang w:val="en-GB"/>
        </w:rPr>
        <w:footnoteReference w:id="25"/>
      </w:r>
      <w:r w:rsidR="000B60EE" w:rsidRPr="00F113D0">
        <w:rPr>
          <w:lang w:val="en-GB"/>
        </w:rPr>
        <w:t xml:space="preserve"> </w:t>
      </w:r>
      <w:r w:rsidR="00C004A7" w:rsidRPr="00F113D0">
        <w:rPr>
          <w:lang w:val="en-GB"/>
        </w:rPr>
        <w:t>Reasonable steps to guard against such occurrence would follow</w:t>
      </w:r>
      <w:r w:rsidR="00B21ABE" w:rsidRPr="00F113D0">
        <w:rPr>
          <w:lang w:val="en-GB"/>
        </w:rPr>
        <w:t xml:space="preserve"> naturally</w:t>
      </w:r>
      <w:r w:rsidR="00C004A7" w:rsidRPr="00F113D0">
        <w:rPr>
          <w:lang w:val="en-GB"/>
        </w:rPr>
        <w:t>.</w:t>
      </w:r>
      <w:r w:rsidR="002261BC">
        <w:rPr>
          <w:rStyle w:val="FootnoteReference"/>
          <w:lang w:val="en-GB"/>
        </w:rPr>
        <w:footnoteReference w:id="26"/>
      </w:r>
      <w:r w:rsidR="005456F9" w:rsidRPr="00F113D0">
        <w:rPr>
          <w:lang w:val="en-GB"/>
        </w:rPr>
        <w:t xml:space="preserve"> </w:t>
      </w:r>
    </w:p>
    <w:p w14:paraId="52A2CDD0" w14:textId="77777777" w:rsidR="004567D0" w:rsidRPr="004567D0" w:rsidRDefault="004567D0" w:rsidP="004567D0">
      <w:pPr>
        <w:pStyle w:val="ListParagraph"/>
        <w:rPr>
          <w:lang w:val="en-GB"/>
        </w:rPr>
      </w:pPr>
    </w:p>
    <w:p w14:paraId="24E9BB6C" w14:textId="5D88D8AE" w:rsidR="00C004A7" w:rsidRPr="00F113D0" w:rsidRDefault="00F113D0" w:rsidP="00F113D0">
      <w:pPr>
        <w:autoSpaceDE w:val="0"/>
        <w:autoSpaceDN w:val="0"/>
        <w:adjustRightInd w:val="0"/>
        <w:jc w:val="both"/>
        <w:rPr>
          <w:lang w:val="en-GB"/>
        </w:rPr>
      </w:pPr>
      <w:r>
        <w:rPr>
          <w:lang w:val="en-GB"/>
        </w:rPr>
        <w:t>[34]</w:t>
      </w:r>
      <w:r>
        <w:rPr>
          <w:lang w:val="en-GB"/>
        </w:rPr>
        <w:tab/>
      </w:r>
      <w:r w:rsidR="004567D0" w:rsidRPr="00F113D0">
        <w:rPr>
          <w:lang w:val="en-GB"/>
        </w:rPr>
        <w:t>It bears emphasis that t</w:t>
      </w:r>
      <w:r w:rsidR="005456F9" w:rsidRPr="00F113D0">
        <w:rPr>
          <w:lang w:val="en-GB"/>
        </w:rPr>
        <w:t xml:space="preserve">he steps taken are not necessarily unreasonable purely because </w:t>
      </w:r>
      <w:r w:rsidR="008E72FA" w:rsidRPr="00F113D0">
        <w:rPr>
          <w:lang w:val="en-GB"/>
        </w:rPr>
        <w:t xml:space="preserve">foreseeable harm eventuated, in the sense that </w:t>
      </w:r>
      <w:r w:rsidR="005456F9" w:rsidRPr="00F113D0">
        <w:rPr>
          <w:lang w:val="en-GB"/>
        </w:rPr>
        <w:t xml:space="preserve">the plaintiff fell into </w:t>
      </w:r>
      <w:r w:rsidR="00501675" w:rsidRPr="00F113D0">
        <w:rPr>
          <w:lang w:val="en-GB"/>
        </w:rPr>
        <w:t xml:space="preserve">the </w:t>
      </w:r>
      <w:r w:rsidR="005456F9" w:rsidRPr="00F113D0">
        <w:rPr>
          <w:lang w:val="en-GB"/>
        </w:rPr>
        <w:t>drain.</w:t>
      </w:r>
      <w:r w:rsidR="00526A28">
        <w:rPr>
          <w:rStyle w:val="FootnoteReference"/>
          <w:sz w:val="22"/>
          <w:szCs w:val="22"/>
          <w:lang w:val="en-GB"/>
        </w:rPr>
        <w:footnoteReference w:id="27"/>
      </w:r>
      <w:r w:rsidR="005456F9" w:rsidRPr="00F113D0">
        <w:rPr>
          <w:lang w:val="en-GB"/>
        </w:rPr>
        <w:t xml:space="preserve"> The </w:t>
      </w:r>
      <w:r w:rsidR="007B2DB0" w:rsidRPr="00F113D0">
        <w:rPr>
          <w:lang w:val="en-GB"/>
        </w:rPr>
        <w:t>question</w:t>
      </w:r>
      <w:r w:rsidR="00AA42E0" w:rsidRPr="00F113D0">
        <w:rPr>
          <w:lang w:val="en-GB"/>
        </w:rPr>
        <w:t xml:space="preserve"> of reasonableness requires the </w:t>
      </w:r>
      <w:r w:rsidR="005456F9" w:rsidRPr="00F113D0">
        <w:rPr>
          <w:lang w:val="en-GB"/>
        </w:rPr>
        <w:t>court to exercise a value judgment</w:t>
      </w:r>
      <w:r w:rsidR="00722B85" w:rsidRPr="00F113D0">
        <w:rPr>
          <w:lang w:val="en-GB"/>
        </w:rPr>
        <w:t xml:space="preserve">, balancing </w:t>
      </w:r>
      <w:r w:rsidR="00FA4F70" w:rsidRPr="00F113D0">
        <w:rPr>
          <w:lang w:val="en-GB"/>
        </w:rPr>
        <w:t xml:space="preserve">the </w:t>
      </w:r>
      <w:r w:rsidR="00022AC8" w:rsidRPr="00F113D0">
        <w:rPr>
          <w:lang w:val="en-GB"/>
        </w:rPr>
        <w:t>relevant</w:t>
      </w:r>
      <w:r w:rsidR="00722B85" w:rsidRPr="00F113D0">
        <w:rPr>
          <w:lang w:val="en-GB"/>
        </w:rPr>
        <w:t xml:space="preserve"> considerations. </w:t>
      </w:r>
      <w:r w:rsidR="00A453C3" w:rsidRPr="00F113D0">
        <w:rPr>
          <w:lang w:val="en-GB"/>
        </w:rPr>
        <w:t xml:space="preserve">In particular, it is readily apparent that the possible consequences if the risk of harm materialised were </w:t>
      </w:r>
      <w:r w:rsidR="00C55946" w:rsidRPr="00F113D0">
        <w:rPr>
          <w:lang w:val="en-GB"/>
        </w:rPr>
        <w:t>grave</w:t>
      </w:r>
      <w:r w:rsidR="005B6292" w:rsidRPr="00F113D0">
        <w:rPr>
          <w:lang w:val="en-GB"/>
        </w:rPr>
        <w:t xml:space="preserve">, and that the degree of risk </w:t>
      </w:r>
      <w:r w:rsidR="007B2929" w:rsidRPr="00F113D0">
        <w:rPr>
          <w:lang w:val="en-GB"/>
        </w:rPr>
        <w:t xml:space="preserve">of the harm occurring </w:t>
      </w:r>
      <w:r w:rsidR="005B6292" w:rsidRPr="00F113D0">
        <w:rPr>
          <w:lang w:val="en-GB"/>
        </w:rPr>
        <w:t xml:space="preserve">was </w:t>
      </w:r>
      <w:r w:rsidR="002368B8" w:rsidRPr="00F113D0">
        <w:rPr>
          <w:lang w:val="en-GB"/>
        </w:rPr>
        <w:t>real</w:t>
      </w:r>
      <w:r w:rsidR="007B2929" w:rsidRPr="00F113D0">
        <w:rPr>
          <w:lang w:val="en-GB"/>
        </w:rPr>
        <w:t>, also</w:t>
      </w:r>
      <w:r w:rsidR="005B6292" w:rsidRPr="00F113D0">
        <w:rPr>
          <w:lang w:val="en-GB"/>
        </w:rPr>
        <w:t xml:space="preserve"> considering the location of the drain</w:t>
      </w:r>
      <w:r w:rsidR="00F23C88" w:rsidRPr="00F113D0">
        <w:rPr>
          <w:lang w:val="en-GB"/>
        </w:rPr>
        <w:t xml:space="preserve"> on the pavement</w:t>
      </w:r>
      <w:r w:rsidR="00B62C3C" w:rsidRPr="00F113D0">
        <w:rPr>
          <w:lang w:val="en-GB"/>
        </w:rPr>
        <w:t xml:space="preserve">. </w:t>
      </w:r>
      <w:r w:rsidR="00FE2BEF" w:rsidRPr="00F113D0">
        <w:rPr>
          <w:lang w:val="en-GB"/>
        </w:rPr>
        <w:t>Put differently, a</w:t>
      </w:r>
      <w:r w:rsidR="003E6579" w:rsidRPr="00F113D0">
        <w:rPr>
          <w:lang w:val="en-GB"/>
        </w:rPr>
        <w:t xml:space="preserve">bsent any barrier, there was a high risk of a person walking on the pavement falling into the drain. </w:t>
      </w:r>
      <w:r w:rsidR="00F11C05" w:rsidRPr="00F113D0">
        <w:rPr>
          <w:lang w:val="en-GB"/>
        </w:rPr>
        <w:t>Given the depth of the opening, there was a high risk that serious bodily injuries would be sustained.</w:t>
      </w:r>
      <w:r w:rsidR="00621FD5">
        <w:rPr>
          <w:rStyle w:val="FootnoteReference"/>
          <w:lang w:val="en-GB"/>
        </w:rPr>
        <w:footnoteReference w:id="28"/>
      </w:r>
      <w:r w:rsidR="00F11C05" w:rsidRPr="00F113D0">
        <w:rPr>
          <w:lang w:val="en-GB"/>
        </w:rPr>
        <w:t xml:space="preserve"> </w:t>
      </w:r>
      <w:r w:rsidR="005B6292" w:rsidRPr="00F113D0">
        <w:rPr>
          <w:lang w:val="en-GB"/>
        </w:rPr>
        <w:t xml:space="preserve">This </w:t>
      </w:r>
      <w:r w:rsidR="00274C6A" w:rsidRPr="00F113D0">
        <w:rPr>
          <w:lang w:val="en-GB"/>
        </w:rPr>
        <w:t>must impact</w:t>
      </w:r>
      <w:r w:rsidR="005B6292" w:rsidRPr="00F113D0">
        <w:rPr>
          <w:lang w:val="en-GB"/>
        </w:rPr>
        <w:t xml:space="preserve"> on the preventative steps </w:t>
      </w:r>
      <w:r w:rsidR="00274C6A" w:rsidRPr="00F113D0">
        <w:rPr>
          <w:lang w:val="en-GB"/>
        </w:rPr>
        <w:t xml:space="preserve">a reasonable person would have taken. </w:t>
      </w:r>
    </w:p>
    <w:p w14:paraId="69038AF4" w14:textId="77777777" w:rsidR="00004989" w:rsidRPr="00004989" w:rsidRDefault="00004989" w:rsidP="00004989">
      <w:pPr>
        <w:pStyle w:val="ListParagraph"/>
        <w:rPr>
          <w:lang w:val="en-GB"/>
        </w:rPr>
      </w:pPr>
    </w:p>
    <w:p w14:paraId="047A75BD" w14:textId="7C8E7843" w:rsidR="00004989" w:rsidRPr="00F113D0" w:rsidRDefault="00F113D0" w:rsidP="00F113D0">
      <w:pPr>
        <w:autoSpaceDE w:val="0"/>
        <w:autoSpaceDN w:val="0"/>
        <w:adjustRightInd w:val="0"/>
        <w:jc w:val="both"/>
        <w:rPr>
          <w:lang w:val="en-GB"/>
        </w:rPr>
      </w:pPr>
      <w:r>
        <w:rPr>
          <w:lang w:val="en-GB"/>
        </w:rPr>
        <w:t>[35]</w:t>
      </w:r>
      <w:r>
        <w:rPr>
          <w:lang w:val="en-GB"/>
        </w:rPr>
        <w:tab/>
      </w:r>
      <w:r w:rsidR="004C0891" w:rsidRPr="00F113D0">
        <w:rPr>
          <w:lang w:val="en-GB"/>
        </w:rPr>
        <w:t xml:space="preserve">In </w:t>
      </w:r>
      <w:r w:rsidR="004C0891" w:rsidRPr="00F113D0">
        <w:rPr>
          <w:i/>
          <w:iCs/>
          <w:lang w:val="en-GB"/>
        </w:rPr>
        <w:t>McIntosch</w:t>
      </w:r>
      <w:r w:rsidR="004C0891" w:rsidRPr="00F113D0">
        <w:rPr>
          <w:lang w:val="en-GB"/>
        </w:rPr>
        <w:t xml:space="preserve">, </w:t>
      </w:r>
      <w:r w:rsidR="007A6DC5" w:rsidRPr="00F113D0">
        <w:rPr>
          <w:lang w:val="en-GB"/>
        </w:rPr>
        <w:t xml:space="preserve">the SCA held that a court determining the reasonableness or otherwise of the conduct of a public authority will, in principle, recognise the autonomy </w:t>
      </w:r>
      <w:r w:rsidR="007A6DC5" w:rsidRPr="00F113D0">
        <w:rPr>
          <w:lang w:val="en-GB"/>
        </w:rPr>
        <w:lastRenderedPageBreak/>
        <w:t xml:space="preserve">of the authority to make decisions with regard to the exercise of its powers. </w:t>
      </w:r>
      <w:r w:rsidR="00D93B3A" w:rsidRPr="00F113D0">
        <w:rPr>
          <w:lang w:val="en-GB"/>
        </w:rPr>
        <w:t>For example, a court will not lightly find a public authority to have failed to act reasonably merely because it elected to prioritise one demand on its possibly limited resources above another.</w:t>
      </w:r>
      <w:r w:rsidR="00A35CD3">
        <w:rPr>
          <w:rStyle w:val="FootnoteReference"/>
          <w:lang w:val="en-GB"/>
        </w:rPr>
        <w:footnoteReference w:id="29"/>
      </w:r>
      <w:r w:rsidR="00D93B3A" w:rsidRPr="00F113D0">
        <w:rPr>
          <w:lang w:val="en-GB"/>
        </w:rPr>
        <w:t xml:space="preserve"> </w:t>
      </w:r>
      <w:r w:rsidR="009F7BFA" w:rsidRPr="00F113D0">
        <w:rPr>
          <w:lang w:val="en-GB"/>
        </w:rPr>
        <w:t xml:space="preserve">That notwithstanding, it is clear that if in the actual implementation of a policy or procedure adopted by the authority, or </w:t>
      </w:r>
      <w:r w:rsidR="00237498" w:rsidRPr="00F113D0">
        <w:rPr>
          <w:lang w:val="en-GB"/>
        </w:rPr>
        <w:t>during</w:t>
      </w:r>
      <w:r w:rsidR="009F7BFA" w:rsidRPr="00F113D0">
        <w:rPr>
          <w:lang w:val="en-GB"/>
        </w:rPr>
        <w:t xml:space="preserve"> the course of its operations,</w:t>
      </w:r>
      <w:r w:rsidR="00237498" w:rsidRPr="00F113D0">
        <w:rPr>
          <w:lang w:val="en-GB"/>
        </w:rPr>
        <w:t xml:space="preserve"> foreseeable harm is suffered by another in consequence of a failure on the part of the authority’s employees to take reasonable steps to guard against its occurrence, a court will not hesitate to hold the authority liable on account of that omission.</w:t>
      </w:r>
      <w:r w:rsidR="006B5E07">
        <w:rPr>
          <w:rStyle w:val="FootnoteReference"/>
          <w:lang w:val="en-GB"/>
        </w:rPr>
        <w:footnoteReference w:id="30"/>
      </w:r>
      <w:r w:rsidR="009F7BFA" w:rsidRPr="00F113D0">
        <w:rPr>
          <w:lang w:val="en-GB"/>
        </w:rPr>
        <w:t xml:space="preserve"> </w:t>
      </w:r>
    </w:p>
    <w:p w14:paraId="6A57B646" w14:textId="77777777" w:rsidR="004D62A0" w:rsidRPr="004D62A0" w:rsidRDefault="004D62A0" w:rsidP="004D62A0">
      <w:pPr>
        <w:pStyle w:val="ListParagraph"/>
        <w:rPr>
          <w:lang w:val="en-GB"/>
        </w:rPr>
      </w:pPr>
    </w:p>
    <w:p w14:paraId="69E27EF4" w14:textId="2E03628E" w:rsidR="000E1752" w:rsidRPr="00F113D0" w:rsidRDefault="00F113D0" w:rsidP="00F113D0">
      <w:pPr>
        <w:autoSpaceDE w:val="0"/>
        <w:autoSpaceDN w:val="0"/>
        <w:adjustRightInd w:val="0"/>
        <w:jc w:val="both"/>
        <w:rPr>
          <w:lang w:val="en-GB"/>
        </w:rPr>
      </w:pPr>
      <w:r>
        <w:rPr>
          <w:lang w:val="en-GB"/>
        </w:rPr>
        <w:t>[36]</w:t>
      </w:r>
      <w:r>
        <w:rPr>
          <w:lang w:val="en-GB"/>
        </w:rPr>
        <w:tab/>
      </w:r>
      <w:r w:rsidR="00884488" w:rsidRPr="00F113D0">
        <w:rPr>
          <w:lang w:val="en-GB"/>
        </w:rPr>
        <w:t>The question w</w:t>
      </w:r>
      <w:r w:rsidR="004D62A0" w:rsidRPr="00F113D0">
        <w:rPr>
          <w:lang w:val="en-GB"/>
        </w:rPr>
        <w:t xml:space="preserve">hether the municipality took reasonable steps or not </w:t>
      </w:r>
      <w:r w:rsidR="00884488" w:rsidRPr="00F113D0">
        <w:rPr>
          <w:lang w:val="en-GB"/>
        </w:rPr>
        <w:t xml:space="preserve">may be addressed based on </w:t>
      </w:r>
      <w:r w:rsidR="004D62A0" w:rsidRPr="00F113D0">
        <w:rPr>
          <w:lang w:val="en-GB"/>
        </w:rPr>
        <w:t xml:space="preserve">a </w:t>
      </w:r>
      <w:r w:rsidR="00884488" w:rsidRPr="00F113D0">
        <w:rPr>
          <w:lang w:val="en-GB"/>
        </w:rPr>
        <w:t>recapitulation</w:t>
      </w:r>
      <w:r w:rsidR="004D62A0" w:rsidRPr="00F113D0">
        <w:rPr>
          <w:lang w:val="en-GB"/>
        </w:rPr>
        <w:t xml:space="preserve"> of the evidence. </w:t>
      </w:r>
      <w:r w:rsidR="00FB462A" w:rsidRPr="00F113D0">
        <w:rPr>
          <w:lang w:val="en-GB"/>
        </w:rPr>
        <w:t xml:space="preserve">On the accepted evidence of the plaintiff, the stormwater drain was uncovered at the time he was injured. The </w:t>
      </w:r>
      <w:r w:rsidR="00CE323E" w:rsidRPr="00F113D0">
        <w:rPr>
          <w:lang w:val="en-GB"/>
        </w:rPr>
        <w:t xml:space="preserve">yellow </w:t>
      </w:r>
      <w:r w:rsidR="00FB462A" w:rsidRPr="00F113D0">
        <w:rPr>
          <w:lang w:val="en-GB"/>
        </w:rPr>
        <w:t xml:space="preserve">barrier was not in place. </w:t>
      </w:r>
      <w:r w:rsidR="00F86D9E" w:rsidRPr="00F113D0">
        <w:rPr>
          <w:lang w:val="en-GB"/>
        </w:rPr>
        <w:t xml:space="preserve">The location was unlit and extremely dark, so that the </w:t>
      </w:r>
      <w:r w:rsidR="00796287" w:rsidRPr="00F113D0">
        <w:rPr>
          <w:lang w:val="en-GB"/>
        </w:rPr>
        <w:t>gap</w:t>
      </w:r>
      <w:r w:rsidR="00B334D6" w:rsidRPr="00F113D0">
        <w:rPr>
          <w:lang w:val="en-GB"/>
        </w:rPr>
        <w:t>, which was approximately 2,5 metres deep,</w:t>
      </w:r>
      <w:r w:rsidR="00F86D9E" w:rsidRPr="00F113D0">
        <w:rPr>
          <w:lang w:val="en-GB"/>
        </w:rPr>
        <w:t xml:space="preserve"> was not visible even from a close distance.</w:t>
      </w:r>
      <w:r w:rsidR="00B334D6" w:rsidRPr="00F113D0">
        <w:rPr>
          <w:lang w:val="en-GB"/>
        </w:rPr>
        <w:t xml:space="preserve"> Based on the uncontested evidence of Mr Walter, the yellow barrier covered the drain on 8 April 2021.</w:t>
      </w:r>
      <w:r w:rsidR="005550B4" w:rsidRPr="00F113D0">
        <w:rPr>
          <w:lang w:val="en-GB"/>
        </w:rPr>
        <w:t xml:space="preserve"> But it was </w:t>
      </w:r>
      <w:r w:rsidR="00D870A2" w:rsidRPr="00F113D0">
        <w:rPr>
          <w:lang w:val="en-GB"/>
        </w:rPr>
        <w:t xml:space="preserve">seemingly light, </w:t>
      </w:r>
      <w:r w:rsidR="005550B4" w:rsidRPr="00F113D0">
        <w:rPr>
          <w:lang w:val="en-GB"/>
        </w:rPr>
        <w:t>eas</w:t>
      </w:r>
      <w:r w:rsidR="007A2C60" w:rsidRPr="00F113D0">
        <w:rPr>
          <w:lang w:val="en-GB"/>
        </w:rPr>
        <w:t>y to displace and move, even with one hand.</w:t>
      </w:r>
      <w:r w:rsidR="000E1752" w:rsidRPr="00F113D0">
        <w:rPr>
          <w:lang w:val="en-GB"/>
        </w:rPr>
        <w:t xml:space="preserve"> </w:t>
      </w:r>
      <w:r w:rsidR="00935AA4" w:rsidRPr="00F113D0">
        <w:rPr>
          <w:lang w:val="en-GB"/>
        </w:rPr>
        <w:t>At the close of the plaintiff’s case, there was sufficient evidence to give rise to an inference of negligence on the part of the employees of the municipality.</w:t>
      </w:r>
      <w:r w:rsidR="004416BC">
        <w:rPr>
          <w:rStyle w:val="FootnoteReference"/>
          <w:lang w:val="en-GB"/>
        </w:rPr>
        <w:footnoteReference w:id="31"/>
      </w:r>
    </w:p>
    <w:p w14:paraId="312D507A" w14:textId="77777777" w:rsidR="000E1752" w:rsidRPr="000E1752" w:rsidRDefault="000E1752" w:rsidP="000E1752">
      <w:pPr>
        <w:pStyle w:val="ListParagraph"/>
        <w:rPr>
          <w:lang w:val="en-GB"/>
        </w:rPr>
      </w:pPr>
    </w:p>
    <w:p w14:paraId="62F06307" w14:textId="07A9D4CA" w:rsidR="00A849F0" w:rsidRPr="00F113D0" w:rsidRDefault="00F113D0" w:rsidP="00F113D0">
      <w:pPr>
        <w:autoSpaceDE w:val="0"/>
        <w:autoSpaceDN w:val="0"/>
        <w:adjustRightInd w:val="0"/>
        <w:jc w:val="both"/>
        <w:rPr>
          <w:lang w:val="en-GB"/>
        </w:rPr>
      </w:pPr>
      <w:r>
        <w:rPr>
          <w:lang w:val="en-GB"/>
        </w:rPr>
        <w:t>[37]</w:t>
      </w:r>
      <w:r>
        <w:rPr>
          <w:lang w:val="en-GB"/>
        </w:rPr>
        <w:tab/>
      </w:r>
      <w:r w:rsidR="000E1752" w:rsidRPr="00F113D0">
        <w:rPr>
          <w:lang w:val="en-GB"/>
        </w:rPr>
        <w:t xml:space="preserve">On the municipality’s own </w:t>
      </w:r>
      <w:r w:rsidR="0024751C" w:rsidRPr="00F113D0">
        <w:rPr>
          <w:lang w:val="en-GB"/>
        </w:rPr>
        <w:t>evidence,</w:t>
      </w:r>
      <w:r w:rsidR="000E1752" w:rsidRPr="00F113D0">
        <w:rPr>
          <w:lang w:val="en-GB"/>
        </w:rPr>
        <w:t xml:space="preserve"> the yellow barrier</w:t>
      </w:r>
      <w:r w:rsidR="0024751C" w:rsidRPr="00F113D0">
        <w:rPr>
          <w:lang w:val="en-GB"/>
        </w:rPr>
        <w:t xml:space="preserve"> was damaged and, seemingly like many others, old and repeatedly reused.</w:t>
      </w:r>
      <w:r w:rsidR="003F2671" w:rsidRPr="00F113D0">
        <w:rPr>
          <w:lang w:val="en-GB"/>
        </w:rPr>
        <w:t xml:space="preserve"> Although the barrier </w:t>
      </w:r>
      <w:r w:rsidR="00A43599" w:rsidRPr="00F113D0">
        <w:rPr>
          <w:lang w:val="en-GB"/>
        </w:rPr>
        <w:t xml:space="preserve">was constructed so that it </w:t>
      </w:r>
      <w:r w:rsidR="003F2671" w:rsidRPr="00F113D0">
        <w:rPr>
          <w:lang w:val="en-GB"/>
        </w:rPr>
        <w:t xml:space="preserve">could have been filled with water or sand to add weight </w:t>
      </w:r>
      <w:r w:rsidR="00BE44B5" w:rsidRPr="00F113D0">
        <w:rPr>
          <w:lang w:val="en-GB"/>
        </w:rPr>
        <w:t xml:space="preserve">and stability </w:t>
      </w:r>
      <w:r w:rsidR="003F2671" w:rsidRPr="00F113D0">
        <w:rPr>
          <w:lang w:val="en-GB"/>
        </w:rPr>
        <w:t xml:space="preserve">to the structure, seemingly no </w:t>
      </w:r>
      <w:r w:rsidR="0008059F" w:rsidRPr="00F113D0">
        <w:rPr>
          <w:lang w:val="en-GB"/>
        </w:rPr>
        <w:t xml:space="preserve">proper </w:t>
      </w:r>
      <w:r w:rsidR="003F2671" w:rsidRPr="00F113D0">
        <w:rPr>
          <w:lang w:val="en-GB"/>
        </w:rPr>
        <w:t xml:space="preserve">thought had been given to this possibility. </w:t>
      </w:r>
      <w:r w:rsidR="008B26F8" w:rsidRPr="00F113D0">
        <w:rPr>
          <w:lang w:val="en-GB"/>
        </w:rPr>
        <w:t xml:space="preserve">The municipality hoped, with misplaced faith, that </w:t>
      </w:r>
      <w:r w:rsidR="00F52120" w:rsidRPr="00F113D0">
        <w:rPr>
          <w:lang w:val="en-GB"/>
        </w:rPr>
        <w:t xml:space="preserve">the </w:t>
      </w:r>
      <w:r w:rsidR="00B64F79" w:rsidRPr="00F113D0">
        <w:rPr>
          <w:lang w:val="en-GB"/>
        </w:rPr>
        <w:t xml:space="preserve">temporary </w:t>
      </w:r>
      <w:r w:rsidR="00F52120" w:rsidRPr="00F113D0">
        <w:rPr>
          <w:lang w:val="en-GB"/>
        </w:rPr>
        <w:t xml:space="preserve">yellow barrier it had chosen to cover the drain </w:t>
      </w:r>
      <w:r w:rsidR="0024109B" w:rsidRPr="00F113D0">
        <w:rPr>
          <w:lang w:val="en-GB"/>
        </w:rPr>
        <w:t>would remain in place month after month without tamper</w:t>
      </w:r>
      <w:r w:rsidR="00AA7D3E" w:rsidRPr="00F113D0">
        <w:rPr>
          <w:lang w:val="en-GB"/>
        </w:rPr>
        <w:t>, and seemingly had no mechanism to monitor this.</w:t>
      </w:r>
      <w:r w:rsidR="005334D5" w:rsidRPr="00F113D0">
        <w:rPr>
          <w:lang w:val="en-GB"/>
        </w:rPr>
        <w:t xml:space="preserve"> </w:t>
      </w:r>
    </w:p>
    <w:p w14:paraId="0F4C3C30" w14:textId="77777777" w:rsidR="00DD28AC" w:rsidRPr="00DD28AC" w:rsidRDefault="00DD28AC" w:rsidP="00DD28AC">
      <w:pPr>
        <w:pStyle w:val="ListParagraph"/>
        <w:autoSpaceDE w:val="0"/>
        <w:autoSpaceDN w:val="0"/>
        <w:adjustRightInd w:val="0"/>
        <w:ind w:left="0"/>
        <w:jc w:val="both"/>
        <w:rPr>
          <w:lang w:val="en-GB"/>
        </w:rPr>
      </w:pPr>
    </w:p>
    <w:p w14:paraId="2E6869C3" w14:textId="7DF581BE" w:rsidR="00A5565A" w:rsidRPr="00F113D0" w:rsidRDefault="00F113D0" w:rsidP="00F113D0">
      <w:pPr>
        <w:autoSpaceDE w:val="0"/>
        <w:autoSpaceDN w:val="0"/>
        <w:adjustRightInd w:val="0"/>
        <w:jc w:val="both"/>
        <w:rPr>
          <w:lang w:val="en-GB"/>
        </w:rPr>
      </w:pPr>
      <w:r>
        <w:rPr>
          <w:lang w:val="en-GB"/>
        </w:rPr>
        <w:t>[38]</w:t>
      </w:r>
      <w:r>
        <w:rPr>
          <w:lang w:val="en-GB"/>
        </w:rPr>
        <w:tab/>
      </w:r>
      <w:r w:rsidR="00FF2EC7" w:rsidRPr="00F113D0">
        <w:rPr>
          <w:lang w:val="en-GB"/>
        </w:rPr>
        <w:t>Little</w:t>
      </w:r>
      <w:r w:rsidR="00040105" w:rsidRPr="00F113D0">
        <w:rPr>
          <w:lang w:val="en-GB"/>
        </w:rPr>
        <w:t xml:space="preserve"> evidence was led by the municipality on the cost or time implications of replacing the cover, as opposed to installing the temporary barrier, or whether other </w:t>
      </w:r>
      <w:r w:rsidR="0001640E" w:rsidRPr="00F113D0">
        <w:rPr>
          <w:lang w:val="en-GB"/>
        </w:rPr>
        <w:lastRenderedPageBreak/>
        <w:t xml:space="preserve">temporary </w:t>
      </w:r>
      <w:r w:rsidR="00040105" w:rsidRPr="00F113D0">
        <w:rPr>
          <w:lang w:val="en-GB"/>
        </w:rPr>
        <w:t>options, such as placement of a concrete barrier, were feasible.</w:t>
      </w:r>
      <w:r w:rsidR="00A8447B">
        <w:rPr>
          <w:rStyle w:val="FootnoteReference"/>
          <w:lang w:val="en-GB"/>
        </w:rPr>
        <w:footnoteReference w:id="32"/>
      </w:r>
      <w:r w:rsidR="00FF2EC7" w:rsidRPr="00F113D0">
        <w:rPr>
          <w:lang w:val="en-GB"/>
        </w:rPr>
        <w:t xml:space="preserve"> Having installed the temporary barrier, however, it may have been expected </w:t>
      </w:r>
      <w:r w:rsidR="00F64380" w:rsidRPr="00F113D0">
        <w:rPr>
          <w:lang w:val="en-GB"/>
        </w:rPr>
        <w:t xml:space="preserve">that periodic inspection and maintenance would have been appropriate. In a different context, it has been held that the </w:t>
      </w:r>
      <w:r w:rsidR="000B7433" w:rsidRPr="00F113D0">
        <w:rPr>
          <w:lang w:val="en-GB"/>
        </w:rPr>
        <w:t xml:space="preserve">necessary </w:t>
      </w:r>
      <w:r w:rsidR="00F64380" w:rsidRPr="00F113D0">
        <w:rPr>
          <w:lang w:val="en-GB"/>
        </w:rPr>
        <w:t xml:space="preserve">frequency of this </w:t>
      </w:r>
      <w:r w:rsidR="000B7433" w:rsidRPr="00F113D0">
        <w:rPr>
          <w:lang w:val="en-GB"/>
        </w:rPr>
        <w:t>would be related to the item’s sturdiness, the period for which it might reasonably be expected to function safely, and ‘the known or reasonably to be expected depredations of vandals’.</w:t>
      </w:r>
      <w:r w:rsidR="00AD463F">
        <w:rPr>
          <w:rStyle w:val="FootnoteReference"/>
          <w:sz w:val="22"/>
          <w:szCs w:val="22"/>
          <w:lang w:val="en-GB"/>
        </w:rPr>
        <w:footnoteReference w:id="33"/>
      </w:r>
      <w:r w:rsidR="00034B1B" w:rsidRPr="00F113D0">
        <w:rPr>
          <w:lang w:val="en-GB"/>
        </w:rPr>
        <w:t xml:space="preserve"> </w:t>
      </w:r>
    </w:p>
    <w:p w14:paraId="76AE1C8D" w14:textId="77777777" w:rsidR="00A5565A" w:rsidRPr="00A5565A" w:rsidRDefault="00A5565A" w:rsidP="00A5565A">
      <w:pPr>
        <w:pStyle w:val="ListParagraph"/>
        <w:rPr>
          <w:lang w:val="en-GB"/>
        </w:rPr>
      </w:pPr>
    </w:p>
    <w:p w14:paraId="6B2326CC" w14:textId="570FA87A" w:rsidR="00FA00C5" w:rsidRPr="00F113D0" w:rsidRDefault="00F113D0" w:rsidP="00F113D0">
      <w:pPr>
        <w:autoSpaceDE w:val="0"/>
        <w:autoSpaceDN w:val="0"/>
        <w:adjustRightInd w:val="0"/>
        <w:jc w:val="both"/>
        <w:rPr>
          <w:lang w:val="en-GB"/>
        </w:rPr>
      </w:pPr>
      <w:r w:rsidRPr="00A5565A">
        <w:rPr>
          <w:lang w:val="en-GB"/>
        </w:rPr>
        <w:t>[39]</w:t>
      </w:r>
      <w:r w:rsidRPr="00A5565A">
        <w:rPr>
          <w:lang w:val="en-GB"/>
        </w:rPr>
        <w:tab/>
      </w:r>
      <w:r w:rsidR="00DD28AC" w:rsidRPr="00F113D0">
        <w:rPr>
          <w:lang w:val="en-GB"/>
        </w:rPr>
        <w:t>Far from displacing the inference of negligence, the evidence adduced by the municipality substantially supports the probabilities that its negligence was the cause of the plaintiff’s injuries.</w:t>
      </w:r>
      <w:r w:rsidR="00DD28AC">
        <w:rPr>
          <w:rStyle w:val="FootnoteReference"/>
          <w:lang w:val="en-GB"/>
        </w:rPr>
        <w:footnoteReference w:id="34"/>
      </w:r>
      <w:r w:rsidR="00DD28AC" w:rsidRPr="00F113D0">
        <w:rPr>
          <w:lang w:val="en-GB"/>
        </w:rPr>
        <w:t xml:space="preserve"> This conclusion is not to suggest that an unreasonable standard of constant vigilance was to be expected</w:t>
      </w:r>
      <w:r w:rsidR="00EB61A2" w:rsidRPr="00F113D0">
        <w:rPr>
          <w:lang w:val="en-GB"/>
        </w:rPr>
        <w:t>,</w:t>
      </w:r>
      <w:r w:rsidR="00FA00C5">
        <w:rPr>
          <w:rStyle w:val="FootnoteReference"/>
          <w:sz w:val="22"/>
          <w:szCs w:val="22"/>
          <w:lang w:val="en-GB"/>
        </w:rPr>
        <w:footnoteReference w:id="35"/>
      </w:r>
      <w:r w:rsidR="00EB61A2" w:rsidRPr="00F113D0">
        <w:rPr>
          <w:lang w:val="en-GB"/>
        </w:rPr>
        <w:t xml:space="preserve"> or that a ‘slippery slope’ of additional obligations for the municipality will eventuate.</w:t>
      </w:r>
      <w:r w:rsidR="00642D60">
        <w:rPr>
          <w:rStyle w:val="FootnoteReference"/>
          <w:sz w:val="22"/>
          <w:szCs w:val="22"/>
          <w:lang w:val="en-GB"/>
        </w:rPr>
        <w:footnoteReference w:id="36"/>
      </w:r>
      <w:r w:rsidR="00A5565A" w:rsidRPr="00F113D0">
        <w:rPr>
          <w:lang w:val="en-GB"/>
        </w:rPr>
        <w:t xml:space="preserve"> </w:t>
      </w:r>
      <w:r w:rsidR="0009212E" w:rsidRPr="00F113D0">
        <w:rPr>
          <w:lang w:val="en-GB"/>
        </w:rPr>
        <w:t>It may be added that</w:t>
      </w:r>
      <w:r w:rsidR="00A5565A" w:rsidRPr="00F113D0">
        <w:rPr>
          <w:lang w:val="en-GB"/>
        </w:rPr>
        <w:t xml:space="preserve"> </w:t>
      </w:r>
      <w:r w:rsidR="0009212E" w:rsidRPr="00F113D0">
        <w:rPr>
          <w:lang w:val="en-GB"/>
        </w:rPr>
        <w:t xml:space="preserve">even </w:t>
      </w:r>
      <w:r w:rsidR="00A5565A" w:rsidRPr="00F113D0">
        <w:rPr>
          <w:lang w:val="en-GB"/>
        </w:rPr>
        <w:t>the lengthy delay in replacing the cover would not necessarily have been negligent had appropriate temporary arrangements been in place.</w:t>
      </w:r>
    </w:p>
    <w:p w14:paraId="45898208" w14:textId="77777777" w:rsidR="0000222B" w:rsidRDefault="0000222B" w:rsidP="00FA00C5">
      <w:pPr>
        <w:jc w:val="both"/>
        <w:rPr>
          <w:sz w:val="22"/>
          <w:szCs w:val="22"/>
          <w:lang w:val="en-GB"/>
        </w:rPr>
      </w:pPr>
    </w:p>
    <w:p w14:paraId="474E4B9E" w14:textId="448ACE57" w:rsidR="0000222B" w:rsidRPr="00F113D0" w:rsidRDefault="00F113D0" w:rsidP="00F113D0">
      <w:pPr>
        <w:autoSpaceDE w:val="0"/>
        <w:autoSpaceDN w:val="0"/>
        <w:adjustRightInd w:val="0"/>
        <w:jc w:val="both"/>
        <w:rPr>
          <w:lang w:val="en-GB"/>
        </w:rPr>
      </w:pPr>
      <w:r w:rsidRPr="00B315B5">
        <w:rPr>
          <w:lang w:val="en-GB"/>
        </w:rPr>
        <w:t>[40]</w:t>
      </w:r>
      <w:r w:rsidRPr="00B315B5">
        <w:rPr>
          <w:lang w:val="en-GB"/>
        </w:rPr>
        <w:tab/>
      </w:r>
      <w:r w:rsidR="00A73155" w:rsidRPr="00F113D0">
        <w:rPr>
          <w:lang w:val="en-GB"/>
        </w:rPr>
        <w:t>A</w:t>
      </w:r>
      <w:r w:rsidR="0000222B" w:rsidRPr="00F113D0">
        <w:rPr>
          <w:lang w:val="en-GB"/>
        </w:rPr>
        <w:t xml:space="preserve"> reasonably prudent person would have realised that the protection afforded to the public by way of a reused, damaged, unfilled plastic barrier placed on its side</w:t>
      </w:r>
      <w:r w:rsidR="00C77F63" w:rsidRPr="00F113D0">
        <w:rPr>
          <w:lang w:val="en-GB"/>
        </w:rPr>
        <w:t xml:space="preserve"> and left unchecked </w:t>
      </w:r>
      <w:r w:rsidR="002B01B6" w:rsidRPr="00F113D0">
        <w:rPr>
          <w:lang w:val="en-GB"/>
        </w:rPr>
        <w:t>week after week</w:t>
      </w:r>
      <w:r w:rsidR="0000222B" w:rsidRPr="00F113D0">
        <w:rPr>
          <w:lang w:val="en-GB"/>
        </w:rPr>
        <w:t xml:space="preserve"> was inadequate.</w:t>
      </w:r>
      <w:r w:rsidR="0000222B">
        <w:rPr>
          <w:rStyle w:val="FootnoteReference"/>
          <w:lang w:val="en-GB"/>
        </w:rPr>
        <w:footnoteReference w:id="37"/>
      </w:r>
      <w:r w:rsidR="0000222B" w:rsidRPr="00F113D0">
        <w:rPr>
          <w:lang w:val="en-GB"/>
        </w:rPr>
        <w:t xml:space="preserve"> As held in that matter, a reasonably prudent person would have realised that some additional safeguards were necessary to reduce the danger to which members of the public were exposed as a result of the use of this type of barrier.</w:t>
      </w:r>
      <w:r w:rsidR="0000222B">
        <w:rPr>
          <w:rStyle w:val="FootnoteReference"/>
          <w:lang w:val="en-GB"/>
        </w:rPr>
        <w:footnoteReference w:id="38"/>
      </w:r>
      <w:r w:rsidR="00853F44" w:rsidRPr="00F113D0">
        <w:rPr>
          <w:lang w:val="en-GB"/>
        </w:rPr>
        <w:t xml:space="preserve"> A reasonable person in the position of the municipality would and could have taken steps to guard against or reduce the danger, and undoubtedly would have done so.</w:t>
      </w:r>
      <w:r w:rsidR="00853F44">
        <w:rPr>
          <w:rStyle w:val="FootnoteReference"/>
          <w:lang w:val="en-GB"/>
        </w:rPr>
        <w:footnoteReference w:id="39"/>
      </w:r>
      <w:r w:rsidR="00853F44" w:rsidRPr="00F113D0">
        <w:rPr>
          <w:lang w:val="en-GB"/>
        </w:rPr>
        <w:t xml:space="preserve"> The municipality failed to take any such preventative action, relying exclusively on an inadequately conceived, defective </w:t>
      </w:r>
      <w:r w:rsidR="00853F44" w:rsidRPr="00F113D0">
        <w:rPr>
          <w:lang w:val="en-GB"/>
        </w:rPr>
        <w:lastRenderedPageBreak/>
        <w:t>temporary measure which it naively expected to withstand the vagaries of the elements and vandalism, absent any additional safeguards</w:t>
      </w:r>
      <w:r w:rsidR="00E20C08" w:rsidRPr="00F113D0">
        <w:rPr>
          <w:lang w:val="en-GB"/>
        </w:rPr>
        <w:t xml:space="preserve"> or supervision</w:t>
      </w:r>
      <w:r w:rsidR="00853F44" w:rsidRPr="00F113D0">
        <w:rPr>
          <w:lang w:val="en-GB"/>
        </w:rPr>
        <w:t>.</w:t>
      </w:r>
      <w:r w:rsidR="00853F44">
        <w:rPr>
          <w:rStyle w:val="FootnoteReference"/>
          <w:lang w:val="en-GB"/>
        </w:rPr>
        <w:footnoteReference w:id="40"/>
      </w:r>
      <w:r w:rsidR="00853F44" w:rsidRPr="00F113D0">
        <w:rPr>
          <w:lang w:val="en-GB"/>
        </w:rPr>
        <w:t xml:space="preserve"> There can be little doubt that, applying its mind properly to the challenge, various </w:t>
      </w:r>
      <w:r w:rsidR="00C4437D" w:rsidRPr="00F113D0">
        <w:rPr>
          <w:lang w:val="en-GB"/>
        </w:rPr>
        <w:t xml:space="preserve">proportional </w:t>
      </w:r>
      <w:r w:rsidR="00853F44" w:rsidRPr="00F113D0">
        <w:rPr>
          <w:lang w:val="en-GB"/>
        </w:rPr>
        <w:t>methods of obviating the danger may have been successfully implemented.</w:t>
      </w:r>
      <w:r w:rsidR="004A0BB8">
        <w:rPr>
          <w:rStyle w:val="FootnoteReference"/>
          <w:sz w:val="22"/>
          <w:szCs w:val="22"/>
          <w:lang w:val="en-GB"/>
        </w:rPr>
        <w:footnoteReference w:id="41"/>
      </w:r>
      <w:r w:rsidR="00A215F7" w:rsidRPr="00F113D0">
        <w:rPr>
          <w:lang w:val="en-GB"/>
        </w:rPr>
        <w:t xml:space="preserve"> Considering the evidence</w:t>
      </w:r>
      <w:r w:rsidR="00DF392A" w:rsidRPr="00F113D0">
        <w:rPr>
          <w:lang w:val="en-GB"/>
        </w:rPr>
        <w:t xml:space="preserve">, the </w:t>
      </w:r>
      <w:r w:rsidR="00A215F7" w:rsidRPr="00F113D0">
        <w:rPr>
          <w:lang w:val="en-GB"/>
        </w:rPr>
        <w:t>inference is inescapable that consideration was not given to these matters, particular in the context of a reused, damaged barrier being chosen to cover the hole, seemingly with the understanding that the backlog in repairs would necessitate the temporary measure being in place for a lengthy period of time.</w:t>
      </w:r>
      <w:r w:rsidR="00B315B5">
        <w:rPr>
          <w:rStyle w:val="FootnoteReference"/>
          <w:lang w:val="en-GB"/>
        </w:rPr>
        <w:footnoteReference w:id="42"/>
      </w:r>
      <w:r w:rsidR="00CD30CC" w:rsidRPr="00F113D0">
        <w:rPr>
          <w:lang w:val="en-GB"/>
        </w:rPr>
        <w:t xml:space="preserve"> </w:t>
      </w:r>
      <w:r w:rsidR="006F737D" w:rsidRPr="00F113D0">
        <w:rPr>
          <w:lang w:val="en-GB"/>
        </w:rPr>
        <w:t>The prospects of success of the yellow barrier, on its own, were poor, the degree of risk of harm occurring high, and the extent of potential harm severe</w:t>
      </w:r>
      <w:r w:rsidR="00053175" w:rsidRPr="00F113D0">
        <w:rPr>
          <w:lang w:val="en-GB"/>
        </w:rPr>
        <w:t xml:space="preserve">, implicating what might have been expected in respect of cost and effort to secure the gap. </w:t>
      </w:r>
      <w:r w:rsidR="00CD30CC" w:rsidRPr="00F113D0">
        <w:rPr>
          <w:lang w:val="en-GB"/>
        </w:rPr>
        <w:t>In my judgment the municipality failed to take the steps that reasonably would have been taken</w:t>
      </w:r>
      <w:r w:rsidR="00FE5D35" w:rsidRPr="00F113D0">
        <w:rPr>
          <w:lang w:val="en-GB"/>
        </w:rPr>
        <w:t xml:space="preserve"> and t</w:t>
      </w:r>
      <w:r w:rsidR="00CD30CC" w:rsidRPr="00F113D0">
        <w:rPr>
          <w:lang w:val="en-GB"/>
        </w:rPr>
        <w:t xml:space="preserve">he plaintiff has proved </w:t>
      </w:r>
      <w:r w:rsidR="0031591F" w:rsidRPr="00F113D0">
        <w:rPr>
          <w:lang w:val="en-GB"/>
        </w:rPr>
        <w:t xml:space="preserve">the negligence averred </w:t>
      </w:r>
      <w:r w:rsidR="00CD30CC" w:rsidRPr="00F113D0">
        <w:rPr>
          <w:lang w:val="en-GB"/>
        </w:rPr>
        <w:t>on a balance of probabilities</w:t>
      </w:r>
      <w:r w:rsidR="00A970A9" w:rsidRPr="00F113D0">
        <w:rPr>
          <w:lang w:val="en-GB"/>
        </w:rPr>
        <w:t>.</w:t>
      </w:r>
    </w:p>
    <w:p w14:paraId="1DEBDBBE" w14:textId="77777777" w:rsidR="002E515C" w:rsidRDefault="002E515C" w:rsidP="002E515C">
      <w:pPr>
        <w:pStyle w:val="ListParagraph"/>
        <w:autoSpaceDE w:val="0"/>
        <w:autoSpaceDN w:val="0"/>
        <w:adjustRightInd w:val="0"/>
        <w:ind w:left="0"/>
        <w:jc w:val="both"/>
        <w:rPr>
          <w:lang w:val="en-GB"/>
        </w:rPr>
      </w:pPr>
    </w:p>
    <w:p w14:paraId="1B498F59" w14:textId="1D63960A" w:rsidR="00F56145" w:rsidRPr="00F113D0" w:rsidRDefault="00F113D0" w:rsidP="00F113D0">
      <w:pPr>
        <w:autoSpaceDE w:val="0"/>
        <w:autoSpaceDN w:val="0"/>
        <w:adjustRightInd w:val="0"/>
        <w:jc w:val="both"/>
        <w:rPr>
          <w:lang w:val="en-GB"/>
        </w:rPr>
      </w:pPr>
      <w:r>
        <w:rPr>
          <w:lang w:val="en-GB"/>
        </w:rPr>
        <w:t>[41]</w:t>
      </w:r>
      <w:r>
        <w:rPr>
          <w:lang w:val="en-GB"/>
        </w:rPr>
        <w:tab/>
      </w:r>
      <w:r w:rsidR="002E515C" w:rsidRPr="00F113D0">
        <w:rPr>
          <w:lang w:val="en-GB"/>
        </w:rPr>
        <w:t xml:space="preserve">This analysis and conclusion resonates closely with the approach and outcome in </w:t>
      </w:r>
      <w:r w:rsidR="002E515C" w:rsidRPr="00F113D0">
        <w:rPr>
          <w:i/>
          <w:iCs/>
          <w:lang w:val="en-GB"/>
        </w:rPr>
        <w:t>Fischbach v Pretoria City Council</w:t>
      </w:r>
      <w:r w:rsidR="00906DD8" w:rsidRPr="00F113D0">
        <w:rPr>
          <w:lang w:val="en-GB"/>
        </w:rPr>
        <w:t>.</w:t>
      </w:r>
      <w:r w:rsidR="002E515C">
        <w:rPr>
          <w:rStyle w:val="FootnoteReference"/>
          <w:lang w:val="en-GB"/>
        </w:rPr>
        <w:footnoteReference w:id="43"/>
      </w:r>
      <w:r w:rsidR="008972E5" w:rsidRPr="00F113D0">
        <w:rPr>
          <w:lang w:val="en-GB"/>
        </w:rPr>
        <w:t xml:space="preserve"> In that matter the plaintiff was cutting grass</w:t>
      </w:r>
      <w:r w:rsidR="00E80DCA" w:rsidRPr="00F113D0">
        <w:rPr>
          <w:lang w:val="en-GB"/>
        </w:rPr>
        <w:t>, and moving backwards,</w:t>
      </w:r>
      <w:r w:rsidR="008972E5" w:rsidRPr="00F113D0">
        <w:rPr>
          <w:lang w:val="en-GB"/>
        </w:rPr>
        <w:t xml:space="preserve"> on the sidewalk of a street when he fell down a stormwater catchpit which formed part of the pavement</w:t>
      </w:r>
      <w:r w:rsidR="002F40C3" w:rsidRPr="00F113D0">
        <w:rPr>
          <w:lang w:val="en-GB"/>
        </w:rPr>
        <w:t xml:space="preserve">, and was injured. </w:t>
      </w:r>
      <w:r w:rsidR="00B109B5" w:rsidRPr="00F113D0">
        <w:rPr>
          <w:lang w:val="en-GB"/>
        </w:rPr>
        <w:t>Trengove J</w:t>
      </w:r>
      <w:r w:rsidR="00906DD8" w:rsidRPr="00F113D0">
        <w:rPr>
          <w:lang w:val="en-GB"/>
        </w:rPr>
        <w:t xml:space="preserve"> approached the matter on the basis that a loose cover over the catchpit had been removed due to tampering</w:t>
      </w:r>
      <w:r w:rsidR="00875D2F" w:rsidRPr="00F113D0">
        <w:rPr>
          <w:lang w:val="en-GB"/>
        </w:rPr>
        <w:t xml:space="preserve"> by an unknown person. </w:t>
      </w:r>
      <w:r w:rsidR="00C4624F" w:rsidRPr="00F113D0">
        <w:rPr>
          <w:lang w:val="en-GB"/>
        </w:rPr>
        <w:t xml:space="preserve">The court held that the defendant owed a legal duty to safeguard members of the public against a potential source of danger. </w:t>
      </w:r>
      <w:r w:rsidR="00D22722" w:rsidRPr="00F113D0">
        <w:rPr>
          <w:lang w:val="en-GB"/>
        </w:rPr>
        <w:t xml:space="preserve">As to negligence, it was reasonably foreseeable that harm might result if the catchpit chamber was not constantly kept covered. </w:t>
      </w:r>
      <w:r w:rsidR="006D75D9" w:rsidRPr="00F113D0">
        <w:rPr>
          <w:lang w:val="en-GB"/>
        </w:rPr>
        <w:t xml:space="preserve">A reasonably prudent person in the position of the defendant would </w:t>
      </w:r>
      <w:r w:rsidR="00A4139F" w:rsidRPr="00F113D0">
        <w:rPr>
          <w:lang w:val="en-GB"/>
        </w:rPr>
        <w:t>‘</w:t>
      </w:r>
      <w:r w:rsidR="006D75D9" w:rsidRPr="00F113D0">
        <w:rPr>
          <w:lang w:val="en-GB"/>
        </w:rPr>
        <w:t>unquestionably</w:t>
      </w:r>
      <w:r w:rsidR="00A4139F" w:rsidRPr="00F113D0">
        <w:rPr>
          <w:lang w:val="en-GB"/>
        </w:rPr>
        <w:t>’</w:t>
      </w:r>
      <w:r w:rsidR="006D75D9" w:rsidRPr="00F113D0">
        <w:rPr>
          <w:lang w:val="en-GB"/>
        </w:rPr>
        <w:t xml:space="preserve"> have realised that tampering might result in displacement of the cover, also foreseeing that an unwary pedestrian would be exposed to the danger of falling into the catchpit chamber. </w:t>
      </w:r>
      <w:r w:rsidR="005818F8" w:rsidRPr="00F113D0">
        <w:rPr>
          <w:lang w:val="en-GB"/>
        </w:rPr>
        <w:t xml:space="preserve">Importantly, it was held that </w:t>
      </w:r>
      <w:r w:rsidR="007B0FE4" w:rsidRPr="00F113D0">
        <w:rPr>
          <w:lang w:val="en-GB"/>
        </w:rPr>
        <w:t xml:space="preserve">the need for additional safeguards </w:t>
      </w:r>
      <w:r w:rsidR="007E5226" w:rsidRPr="00F113D0">
        <w:rPr>
          <w:lang w:val="en-GB"/>
        </w:rPr>
        <w:t>was glaring</w:t>
      </w:r>
      <w:r w:rsidR="007B0FE4" w:rsidRPr="00F113D0">
        <w:rPr>
          <w:lang w:val="en-GB"/>
        </w:rPr>
        <w:t>. This was ‘to reduce the danger to which members of the public were exposed as a result of the use of this type of cover</w:t>
      </w:r>
      <w:r w:rsidR="00060976" w:rsidRPr="00F113D0">
        <w:rPr>
          <w:lang w:val="en-GB"/>
        </w:rPr>
        <w:t xml:space="preserve">’. </w:t>
      </w:r>
      <w:r w:rsidR="00060976" w:rsidRPr="00F113D0">
        <w:rPr>
          <w:lang w:val="en-GB"/>
        </w:rPr>
        <w:lastRenderedPageBreak/>
        <w:t>The defendant, however, took no such preventative action, relying almost entirely on the weight of the cover and its tight fit, in that instance, as a safeguard, omitting to provide any additional safeguards.</w:t>
      </w:r>
      <w:r w:rsidR="007A725B" w:rsidRPr="00F113D0">
        <w:rPr>
          <w:lang w:val="en-GB"/>
        </w:rPr>
        <w:t xml:space="preserve"> Employees of the defendant were not instructed to be on the look-out for such danger, nor was anyone required to carry out a regular inspection. Moreover, such options had never been considered</w:t>
      </w:r>
      <w:r w:rsidR="00F56145" w:rsidRPr="00F113D0">
        <w:rPr>
          <w:lang w:val="en-GB"/>
        </w:rPr>
        <w:t>.</w:t>
      </w:r>
      <w:r w:rsidR="00602048">
        <w:rPr>
          <w:rStyle w:val="FootnoteReference"/>
          <w:lang w:val="en-GB"/>
        </w:rPr>
        <w:footnoteReference w:id="44"/>
      </w:r>
      <w:r w:rsidR="00602048" w:rsidRPr="00F113D0">
        <w:rPr>
          <w:lang w:val="en-GB"/>
        </w:rPr>
        <w:t xml:space="preserve"> </w:t>
      </w:r>
      <w:r w:rsidR="00F56145" w:rsidRPr="00F113D0">
        <w:rPr>
          <w:lang w:val="en-GB"/>
        </w:rPr>
        <w:t xml:space="preserve"> </w:t>
      </w:r>
      <w:r w:rsidR="004B4EB7" w:rsidRPr="00F113D0">
        <w:rPr>
          <w:lang w:val="en-GB"/>
        </w:rPr>
        <w:t>In concluding that the defendant had been negligent, t</w:t>
      </w:r>
      <w:r w:rsidR="00F56145" w:rsidRPr="00F113D0">
        <w:rPr>
          <w:lang w:val="en-GB"/>
        </w:rPr>
        <w:t>he court added the following:</w:t>
      </w:r>
      <w:r w:rsidR="00F56145">
        <w:rPr>
          <w:rStyle w:val="FootnoteReference"/>
          <w:lang w:val="en-GB"/>
        </w:rPr>
        <w:footnoteReference w:id="45"/>
      </w:r>
    </w:p>
    <w:p w14:paraId="06B2B05B" w14:textId="0F8BE059" w:rsidR="00490189" w:rsidRDefault="00490189" w:rsidP="00490189">
      <w:pPr>
        <w:pStyle w:val="ListParagraph"/>
        <w:autoSpaceDE w:val="0"/>
        <w:autoSpaceDN w:val="0"/>
        <w:adjustRightInd w:val="0"/>
        <w:ind w:left="0"/>
        <w:jc w:val="both"/>
        <w:rPr>
          <w:sz w:val="22"/>
          <w:szCs w:val="22"/>
          <w:lang w:val="en-GB"/>
        </w:rPr>
      </w:pPr>
      <w:r>
        <w:rPr>
          <w:sz w:val="22"/>
          <w:szCs w:val="22"/>
          <w:lang w:val="en-GB"/>
        </w:rPr>
        <w:t>‘</w:t>
      </w:r>
      <w:r w:rsidR="00CD6A63">
        <w:rPr>
          <w:sz w:val="22"/>
          <w:szCs w:val="22"/>
          <w:lang w:val="en-GB"/>
        </w:rPr>
        <w:t>However, there appear to be a number of ways in which the danger in question could have been guarded against more satisfactorily … The defendant could also have erected notices warning the public to keep clear of the catchpit area. There may also be other methods of obviating the danger and if the defendant’s engineers had applied their minds to this problem they would, no doubt, have been able to devise some practical and additional safeguards.</w:t>
      </w:r>
      <w:r w:rsidR="009E07D8">
        <w:rPr>
          <w:sz w:val="22"/>
          <w:szCs w:val="22"/>
          <w:lang w:val="en-GB"/>
        </w:rPr>
        <w:t xml:space="preserve"> In </w:t>
      </w:r>
      <w:r w:rsidR="009E07D8">
        <w:rPr>
          <w:i/>
          <w:iCs/>
          <w:sz w:val="22"/>
          <w:szCs w:val="22"/>
          <w:lang w:val="en-GB"/>
        </w:rPr>
        <w:t>Wells v Metropolitan Water Board</w:t>
      </w:r>
      <w:r w:rsidR="009E07D8">
        <w:rPr>
          <w:sz w:val="22"/>
          <w:szCs w:val="22"/>
          <w:lang w:val="en-GB"/>
        </w:rPr>
        <w:t xml:space="preserve"> … Humphreys J, when confronted with a similar situation is reported to have made the following remarks which could also be applied to the defendant, namely:</w:t>
      </w:r>
    </w:p>
    <w:p w14:paraId="042A6458" w14:textId="2B84BD2D" w:rsidR="009E07D8" w:rsidRPr="009E07D8" w:rsidRDefault="009E07D8" w:rsidP="00490189">
      <w:pPr>
        <w:pStyle w:val="ListParagraph"/>
        <w:autoSpaceDE w:val="0"/>
        <w:autoSpaceDN w:val="0"/>
        <w:adjustRightInd w:val="0"/>
        <w:ind w:left="0"/>
        <w:jc w:val="both"/>
        <w:rPr>
          <w:sz w:val="22"/>
          <w:szCs w:val="22"/>
          <w:lang w:val="en-GB"/>
        </w:rPr>
      </w:pPr>
      <w:r>
        <w:rPr>
          <w:sz w:val="22"/>
          <w:szCs w:val="22"/>
          <w:lang w:val="en-GB"/>
        </w:rPr>
        <w:t>“…I cannot believe that it is beyond the wit of those eminent scientific persons and practical engineers who are employed by this great authority, which spends vast sums of public money, and has that money at its disposal to spend, to invent some means whereby these covers which, if lifted up, are at once admittedly a danger and a nuisance, can be made safe …”’</w:t>
      </w:r>
    </w:p>
    <w:p w14:paraId="4912EDD7" w14:textId="763B3641" w:rsidR="007D06EC" w:rsidRDefault="007D06EC" w:rsidP="007D06EC">
      <w:pPr>
        <w:pStyle w:val="ListParagraph"/>
        <w:autoSpaceDE w:val="0"/>
        <w:autoSpaceDN w:val="0"/>
        <w:adjustRightInd w:val="0"/>
        <w:ind w:left="0"/>
        <w:jc w:val="both"/>
        <w:rPr>
          <w:lang w:val="en-GB"/>
        </w:rPr>
      </w:pPr>
    </w:p>
    <w:p w14:paraId="3F31D635" w14:textId="6BCDF45D" w:rsidR="007D06EC" w:rsidRPr="007D06EC" w:rsidRDefault="007D06EC" w:rsidP="007D06EC">
      <w:pPr>
        <w:pStyle w:val="ListParagraph"/>
        <w:autoSpaceDE w:val="0"/>
        <w:autoSpaceDN w:val="0"/>
        <w:adjustRightInd w:val="0"/>
        <w:ind w:left="0"/>
        <w:jc w:val="both"/>
        <w:rPr>
          <w:b/>
          <w:bCs/>
          <w:lang w:val="en-GB"/>
        </w:rPr>
      </w:pPr>
      <w:r>
        <w:rPr>
          <w:b/>
          <w:bCs/>
          <w:lang w:val="en-GB"/>
        </w:rPr>
        <w:t>Contributory negligence</w:t>
      </w:r>
    </w:p>
    <w:p w14:paraId="7AF4A012" w14:textId="4D55EA38" w:rsidR="007D06EC" w:rsidRPr="00F113D0" w:rsidRDefault="00F113D0" w:rsidP="00F113D0">
      <w:pPr>
        <w:autoSpaceDE w:val="0"/>
        <w:autoSpaceDN w:val="0"/>
        <w:adjustRightInd w:val="0"/>
        <w:jc w:val="both"/>
        <w:rPr>
          <w:lang w:val="en-GB"/>
        </w:rPr>
      </w:pPr>
      <w:r>
        <w:rPr>
          <w:lang w:val="en-GB"/>
        </w:rPr>
        <w:t>[42]</w:t>
      </w:r>
      <w:r>
        <w:rPr>
          <w:lang w:val="en-GB"/>
        </w:rPr>
        <w:tab/>
      </w:r>
      <w:r w:rsidR="008F77FE" w:rsidRPr="00F113D0">
        <w:rPr>
          <w:lang w:val="en-GB"/>
        </w:rPr>
        <w:t>The municipality bears the onus of proving that the plaintiff was contributory negligent.</w:t>
      </w:r>
      <w:r w:rsidR="008F77FE">
        <w:rPr>
          <w:rStyle w:val="FootnoteReference"/>
          <w:lang w:val="en-GB"/>
        </w:rPr>
        <w:footnoteReference w:id="46"/>
      </w:r>
      <w:r w:rsidR="008F77FE" w:rsidRPr="00F113D0">
        <w:rPr>
          <w:lang w:val="en-GB"/>
        </w:rPr>
        <w:t xml:space="preserve"> </w:t>
      </w:r>
      <w:r w:rsidR="003F4DEA" w:rsidRPr="00F113D0">
        <w:rPr>
          <w:lang w:val="en-GB"/>
        </w:rPr>
        <w:t xml:space="preserve">The duties of pedestrians walking along a sidewalk were considered in </w:t>
      </w:r>
      <w:r w:rsidR="003F4DEA" w:rsidRPr="00F113D0">
        <w:rPr>
          <w:i/>
          <w:iCs/>
          <w:lang w:val="en-GB"/>
        </w:rPr>
        <w:t>Stewart v City Council of Johannesburg</w:t>
      </w:r>
      <w:r w:rsidR="009B103C" w:rsidRPr="00F113D0">
        <w:rPr>
          <w:lang w:val="en-GB"/>
        </w:rPr>
        <w:t>:</w:t>
      </w:r>
      <w:r w:rsidR="003F4DEA">
        <w:rPr>
          <w:rStyle w:val="FootnoteReference"/>
          <w:lang w:val="en-GB"/>
        </w:rPr>
        <w:footnoteReference w:id="47"/>
      </w:r>
      <w:r w:rsidR="003B6351" w:rsidRPr="00F113D0">
        <w:rPr>
          <w:lang w:val="en-GB"/>
        </w:rPr>
        <w:t xml:space="preserve"> </w:t>
      </w:r>
    </w:p>
    <w:p w14:paraId="4376DF7D" w14:textId="283A4346" w:rsidR="003B6351" w:rsidRPr="009B103C" w:rsidRDefault="009B103C" w:rsidP="003B6351">
      <w:pPr>
        <w:pStyle w:val="ListParagraph"/>
        <w:autoSpaceDE w:val="0"/>
        <w:autoSpaceDN w:val="0"/>
        <w:adjustRightInd w:val="0"/>
        <w:ind w:left="0"/>
        <w:jc w:val="both"/>
        <w:rPr>
          <w:sz w:val="22"/>
          <w:szCs w:val="22"/>
          <w:lang w:val="en-GB"/>
        </w:rPr>
      </w:pPr>
      <w:r>
        <w:rPr>
          <w:sz w:val="22"/>
          <w:szCs w:val="22"/>
          <w:lang w:val="en-GB"/>
        </w:rPr>
        <w:t xml:space="preserve">‘The ordinary pedestrian does not proceed along a sidewalk with his eyes glued to the ground. He does not expect to walk into excavations and obstructions on a paved sidewalk … The purpose of a sidewalk is to enable pedestrians to pass to and fro along the streets of towns and cities in safety shielded from the street traffic. If a local authority in its work on a sidewalk creates a danger, it is clearly the duty of such authority to take adequate steps to guard the public from such danger, by barricading it off from the public or by providing adequate warning </w:t>
      </w:r>
      <w:r>
        <w:rPr>
          <w:sz w:val="22"/>
          <w:szCs w:val="22"/>
          <w:lang w:val="en-GB"/>
        </w:rPr>
        <w:lastRenderedPageBreak/>
        <w:t>signs clearly and plainly visible. Pedestrians are entitled to regard sidewalks as safe and to proceed accordingly unless they are plainly warned to the contrary.</w:t>
      </w:r>
      <w:r w:rsidR="00B601AA">
        <w:rPr>
          <w:sz w:val="22"/>
          <w:szCs w:val="22"/>
          <w:lang w:val="en-GB"/>
        </w:rPr>
        <w:t xml:space="preserve"> It is not without significance that immediately after the accident the defendant’s servants in charge of the work barricaded the excavation. The excavation was, in my opinion, in the nature of a trap.</w:t>
      </w:r>
      <w:r w:rsidR="00714B6C">
        <w:rPr>
          <w:sz w:val="22"/>
          <w:szCs w:val="22"/>
          <w:lang w:val="en-GB"/>
        </w:rPr>
        <w:t>’</w:t>
      </w:r>
    </w:p>
    <w:p w14:paraId="428E7672" w14:textId="77777777" w:rsidR="003B6351" w:rsidRPr="003B6351" w:rsidRDefault="003B6351" w:rsidP="003B6351">
      <w:pPr>
        <w:pStyle w:val="ListParagraph"/>
        <w:autoSpaceDE w:val="0"/>
        <w:autoSpaceDN w:val="0"/>
        <w:adjustRightInd w:val="0"/>
        <w:ind w:left="0"/>
        <w:jc w:val="both"/>
        <w:rPr>
          <w:sz w:val="22"/>
          <w:szCs w:val="22"/>
          <w:lang w:val="en-GB"/>
        </w:rPr>
      </w:pPr>
    </w:p>
    <w:p w14:paraId="7B5015F1" w14:textId="77777777" w:rsidR="00560B77" w:rsidRDefault="00560B77" w:rsidP="00560B77">
      <w:pPr>
        <w:pStyle w:val="ListParagraph"/>
        <w:autoSpaceDE w:val="0"/>
        <w:autoSpaceDN w:val="0"/>
        <w:adjustRightInd w:val="0"/>
        <w:ind w:left="0"/>
        <w:jc w:val="both"/>
        <w:rPr>
          <w:lang w:val="en-GB"/>
        </w:rPr>
      </w:pPr>
    </w:p>
    <w:p w14:paraId="253D757F" w14:textId="0DA3F017" w:rsidR="000B326B" w:rsidRPr="00F113D0" w:rsidRDefault="00F113D0" w:rsidP="00F113D0">
      <w:pPr>
        <w:autoSpaceDE w:val="0"/>
        <w:autoSpaceDN w:val="0"/>
        <w:adjustRightInd w:val="0"/>
        <w:jc w:val="both"/>
        <w:rPr>
          <w:lang w:val="en-GB"/>
        </w:rPr>
      </w:pPr>
      <w:r>
        <w:rPr>
          <w:lang w:val="en-GB"/>
        </w:rPr>
        <w:t>[43]</w:t>
      </w:r>
      <w:r>
        <w:rPr>
          <w:lang w:val="en-GB"/>
        </w:rPr>
        <w:tab/>
      </w:r>
      <w:r w:rsidR="00A47E72" w:rsidRPr="00F113D0">
        <w:rPr>
          <w:lang w:val="en-GB"/>
        </w:rPr>
        <w:t xml:space="preserve">On the plaintiff’s version, already accepted, </w:t>
      </w:r>
      <w:r w:rsidR="002F5C47" w:rsidRPr="00F113D0">
        <w:rPr>
          <w:lang w:val="en-GB"/>
        </w:rPr>
        <w:t>it cannot be said that the plaintiff was negligent in proceeding as he did</w:t>
      </w:r>
      <w:r w:rsidR="00B2309C" w:rsidRPr="00F113D0">
        <w:rPr>
          <w:lang w:val="en-GB"/>
        </w:rPr>
        <w:t>, notwithstanding that it was very dark</w:t>
      </w:r>
      <w:r w:rsidR="00BE51CB" w:rsidRPr="00F113D0">
        <w:rPr>
          <w:lang w:val="en-GB"/>
        </w:rPr>
        <w:t xml:space="preserve"> at the time.</w:t>
      </w:r>
      <w:r w:rsidR="008D4869" w:rsidRPr="00F113D0">
        <w:rPr>
          <w:lang w:val="en-GB"/>
        </w:rPr>
        <w:t xml:space="preserve"> </w:t>
      </w:r>
      <w:r w:rsidR="000B326B" w:rsidRPr="00F113D0">
        <w:rPr>
          <w:lang w:val="en-GB"/>
        </w:rPr>
        <w:t xml:space="preserve">He was entitled to assume that there was no void in the pavement into which he would fall. Absent the barrier being </w:t>
      </w:r>
      <w:r w:rsidR="00246F5C" w:rsidRPr="00F113D0">
        <w:rPr>
          <w:lang w:val="en-GB"/>
        </w:rPr>
        <w:t xml:space="preserve">in </w:t>
      </w:r>
      <w:r w:rsidR="000B326B" w:rsidRPr="00F113D0">
        <w:rPr>
          <w:lang w:val="en-GB"/>
        </w:rPr>
        <w:t xml:space="preserve">place or visible, he would have been caught completely </w:t>
      </w:r>
      <w:r w:rsidR="000E5040" w:rsidRPr="00F113D0">
        <w:rPr>
          <w:lang w:val="en-GB"/>
        </w:rPr>
        <w:t>off-guard</w:t>
      </w:r>
      <w:r w:rsidR="000B326B" w:rsidRPr="00F113D0">
        <w:rPr>
          <w:lang w:val="en-GB"/>
        </w:rPr>
        <w:t xml:space="preserve"> and with no time to react.</w:t>
      </w:r>
      <w:r w:rsidR="000D32C0">
        <w:rPr>
          <w:rStyle w:val="FootnoteReference"/>
          <w:lang w:val="en-GB"/>
        </w:rPr>
        <w:footnoteReference w:id="48"/>
      </w:r>
    </w:p>
    <w:p w14:paraId="41D15DE1" w14:textId="77777777" w:rsidR="000B326B" w:rsidRPr="000B326B" w:rsidRDefault="000B326B" w:rsidP="000B326B">
      <w:pPr>
        <w:pStyle w:val="ListParagraph"/>
        <w:rPr>
          <w:lang w:val="en-GB"/>
        </w:rPr>
      </w:pPr>
    </w:p>
    <w:p w14:paraId="02723ADA" w14:textId="411AAF51" w:rsidR="000B326B" w:rsidRPr="00F113D0" w:rsidRDefault="00F113D0" w:rsidP="00F113D0">
      <w:pPr>
        <w:autoSpaceDE w:val="0"/>
        <w:autoSpaceDN w:val="0"/>
        <w:adjustRightInd w:val="0"/>
        <w:jc w:val="both"/>
        <w:rPr>
          <w:lang w:val="en-GB"/>
        </w:rPr>
      </w:pPr>
      <w:r>
        <w:rPr>
          <w:lang w:val="en-GB"/>
        </w:rPr>
        <w:t>[44]</w:t>
      </w:r>
      <w:r>
        <w:rPr>
          <w:lang w:val="en-GB"/>
        </w:rPr>
        <w:tab/>
      </w:r>
      <w:r w:rsidR="00560B77" w:rsidRPr="00F113D0">
        <w:rPr>
          <w:lang w:val="en-GB"/>
        </w:rPr>
        <w:t xml:space="preserve">As Mr </w:t>
      </w:r>
      <w:r w:rsidR="00560B77" w:rsidRPr="00F113D0">
        <w:rPr>
          <w:i/>
          <w:iCs/>
          <w:lang w:val="en-GB"/>
        </w:rPr>
        <w:t xml:space="preserve">Niekerk </w:t>
      </w:r>
      <w:r w:rsidR="00560B77" w:rsidRPr="00F113D0">
        <w:rPr>
          <w:lang w:val="en-GB"/>
        </w:rPr>
        <w:t>argued, there is no evidence to suggest that his impaired eyesight affected his ability to see ahead of him. The accepted evidence reveals an absent of any street</w:t>
      </w:r>
      <w:r w:rsidR="005C0514" w:rsidRPr="00F113D0">
        <w:rPr>
          <w:lang w:val="en-GB"/>
        </w:rPr>
        <w:t xml:space="preserve"> </w:t>
      </w:r>
      <w:r w:rsidR="00560B77" w:rsidRPr="00F113D0">
        <w:rPr>
          <w:lang w:val="en-GB"/>
        </w:rPr>
        <w:t xml:space="preserve">lighting and a hole that was not visible even from close proximity. </w:t>
      </w:r>
      <w:r w:rsidR="008D4869" w:rsidRPr="00F113D0">
        <w:rPr>
          <w:lang w:val="en-GB"/>
        </w:rPr>
        <w:t xml:space="preserve">As in </w:t>
      </w:r>
      <w:r w:rsidR="008D4869" w:rsidRPr="00F113D0">
        <w:rPr>
          <w:i/>
          <w:iCs/>
          <w:lang w:val="en-GB"/>
        </w:rPr>
        <w:t>Fischbach</w:t>
      </w:r>
      <w:r w:rsidR="008D4869" w:rsidRPr="00F113D0">
        <w:rPr>
          <w:lang w:val="en-GB"/>
        </w:rPr>
        <w:t xml:space="preserve">, the plaintiff had no reason to expect that he might proceed into an open </w:t>
      </w:r>
      <w:r w:rsidR="002A34E3" w:rsidRPr="00F113D0">
        <w:rPr>
          <w:lang w:val="en-GB"/>
        </w:rPr>
        <w:t>drain</w:t>
      </w:r>
      <w:r w:rsidR="008D4869" w:rsidRPr="00F113D0">
        <w:rPr>
          <w:lang w:val="en-GB"/>
        </w:rPr>
        <w:t xml:space="preserve"> forming part of the sidewalk. That he was running, and not walking, in the circumstances, is immaterial</w:t>
      </w:r>
      <w:r w:rsidR="006A33A9" w:rsidRPr="00F113D0">
        <w:rPr>
          <w:lang w:val="en-GB"/>
        </w:rPr>
        <w:t>.</w:t>
      </w:r>
      <w:r w:rsidR="00C83226">
        <w:rPr>
          <w:rStyle w:val="FootnoteReference"/>
          <w:lang w:val="en-GB"/>
        </w:rPr>
        <w:footnoteReference w:id="49"/>
      </w:r>
      <w:r w:rsidR="006A33A9" w:rsidRPr="00F113D0">
        <w:rPr>
          <w:lang w:val="en-GB"/>
        </w:rPr>
        <w:t xml:space="preserve"> T</w:t>
      </w:r>
      <w:r w:rsidR="00A456EF" w:rsidRPr="00F113D0">
        <w:rPr>
          <w:lang w:val="en-GB"/>
        </w:rPr>
        <w:t>he prior consumption of alcohol</w:t>
      </w:r>
      <w:r w:rsidR="006A33A9" w:rsidRPr="00F113D0">
        <w:rPr>
          <w:lang w:val="en-GB"/>
        </w:rPr>
        <w:t xml:space="preserve"> is, on its own, </w:t>
      </w:r>
      <w:r w:rsidR="00467CC4" w:rsidRPr="00F113D0">
        <w:rPr>
          <w:lang w:val="en-GB"/>
        </w:rPr>
        <w:t>also not a basis for an adverse finding</w:t>
      </w:r>
      <w:r w:rsidR="008D4869" w:rsidRPr="00F113D0">
        <w:rPr>
          <w:lang w:val="en-GB"/>
        </w:rPr>
        <w:t xml:space="preserve">. </w:t>
      </w:r>
      <w:r w:rsidR="00D54A85" w:rsidRPr="00F113D0">
        <w:rPr>
          <w:lang w:val="en-GB"/>
        </w:rPr>
        <w:t>While he was contravening lockdown regulations applicable at the time, this is explained by the need to recover his property.</w:t>
      </w:r>
      <w:r w:rsidR="00722600" w:rsidRPr="00F113D0">
        <w:rPr>
          <w:lang w:val="en-GB"/>
        </w:rPr>
        <w:t xml:space="preserve"> </w:t>
      </w:r>
      <w:r w:rsidR="00EC4BA2" w:rsidRPr="00F113D0">
        <w:rPr>
          <w:lang w:val="en-GB"/>
        </w:rPr>
        <w:t>Considering these factors, t</w:t>
      </w:r>
      <w:r w:rsidR="009C07B4" w:rsidRPr="00F113D0">
        <w:rPr>
          <w:lang w:val="en-GB"/>
        </w:rPr>
        <w:t xml:space="preserve">o have approached the nearby police station would not have </w:t>
      </w:r>
      <w:r w:rsidR="00DC004E" w:rsidRPr="00F113D0">
        <w:rPr>
          <w:lang w:val="en-GB"/>
        </w:rPr>
        <w:t>appeared</w:t>
      </w:r>
      <w:r w:rsidR="009C07B4" w:rsidRPr="00F113D0">
        <w:rPr>
          <w:lang w:val="en-GB"/>
        </w:rPr>
        <w:t xml:space="preserve"> </w:t>
      </w:r>
      <w:r w:rsidR="00FA50A2" w:rsidRPr="00F113D0">
        <w:rPr>
          <w:lang w:val="en-GB"/>
        </w:rPr>
        <w:t>efficacious</w:t>
      </w:r>
      <w:r w:rsidR="004F604F" w:rsidRPr="00F113D0">
        <w:rPr>
          <w:lang w:val="en-GB"/>
        </w:rPr>
        <w:t>.</w:t>
      </w:r>
    </w:p>
    <w:p w14:paraId="73485CE3" w14:textId="77777777" w:rsidR="000B326B" w:rsidRPr="000B326B" w:rsidRDefault="000B326B" w:rsidP="000B326B">
      <w:pPr>
        <w:pStyle w:val="ListParagraph"/>
        <w:rPr>
          <w:lang w:val="en-GB"/>
        </w:rPr>
      </w:pPr>
    </w:p>
    <w:p w14:paraId="3B95E737" w14:textId="638231BD" w:rsidR="00A47E72" w:rsidRPr="00F113D0" w:rsidRDefault="00F113D0" w:rsidP="00F113D0">
      <w:pPr>
        <w:autoSpaceDE w:val="0"/>
        <w:autoSpaceDN w:val="0"/>
        <w:adjustRightInd w:val="0"/>
        <w:jc w:val="both"/>
        <w:rPr>
          <w:lang w:val="en-GB"/>
        </w:rPr>
      </w:pPr>
      <w:r>
        <w:rPr>
          <w:lang w:val="en-GB"/>
        </w:rPr>
        <w:t>[45]</w:t>
      </w:r>
      <w:r>
        <w:rPr>
          <w:lang w:val="en-GB"/>
        </w:rPr>
        <w:tab/>
      </w:r>
      <w:r w:rsidR="00907470" w:rsidRPr="00F113D0">
        <w:rPr>
          <w:lang w:val="en-GB"/>
        </w:rPr>
        <w:t>In all the circumstances, contributory negligence has not been proved.</w:t>
      </w:r>
      <w:r w:rsidR="00D54A85" w:rsidRPr="00F113D0">
        <w:rPr>
          <w:lang w:val="en-GB"/>
        </w:rPr>
        <w:t xml:space="preserve"> </w:t>
      </w:r>
      <w:r w:rsidR="008D4869" w:rsidRPr="00F113D0">
        <w:rPr>
          <w:lang w:val="en-GB"/>
        </w:rPr>
        <w:t xml:space="preserve">The </w:t>
      </w:r>
      <w:r w:rsidR="006B17BD" w:rsidRPr="00F113D0">
        <w:rPr>
          <w:lang w:val="en-GB"/>
        </w:rPr>
        <w:t>drain</w:t>
      </w:r>
      <w:r w:rsidR="008D4869" w:rsidRPr="00F113D0">
        <w:rPr>
          <w:lang w:val="en-GB"/>
        </w:rPr>
        <w:t xml:space="preserve"> </w:t>
      </w:r>
      <w:r w:rsidR="00ED0678" w:rsidRPr="00F113D0">
        <w:rPr>
          <w:lang w:val="en-GB"/>
        </w:rPr>
        <w:t>was in the nature of a trap</w:t>
      </w:r>
      <w:r w:rsidR="00535971" w:rsidRPr="00F113D0">
        <w:rPr>
          <w:lang w:val="en-GB"/>
        </w:rPr>
        <w:t xml:space="preserve"> and caught him unawares</w:t>
      </w:r>
      <w:r w:rsidR="00210F48" w:rsidRPr="00F113D0">
        <w:rPr>
          <w:lang w:val="en-GB"/>
        </w:rPr>
        <w:t>, so that there is no finding of negligence on his part.</w:t>
      </w:r>
      <w:r w:rsidR="00063C56" w:rsidRPr="00F113D0">
        <w:rPr>
          <w:lang w:val="en-GB"/>
        </w:rPr>
        <w:t xml:space="preserve"> This conclusion finds support, in analogous circumstances, in the judgment in </w:t>
      </w:r>
      <w:r w:rsidR="00063C56" w:rsidRPr="00F113D0">
        <w:rPr>
          <w:i/>
          <w:iCs/>
          <w:lang w:val="en-GB"/>
        </w:rPr>
        <w:t>Butise</w:t>
      </w:r>
      <w:r w:rsidR="00063C56" w:rsidRPr="00F113D0">
        <w:rPr>
          <w:lang w:val="en-GB"/>
        </w:rPr>
        <w:t>. As in the present instance, counsel for the municipality had contended for a 50:50 apportionment on the basis that the plaintiff did not keep a proper lookout whilst running. The court concluded as follows:</w:t>
      </w:r>
      <w:r w:rsidR="00113F32">
        <w:rPr>
          <w:rStyle w:val="FootnoteReference"/>
          <w:lang w:val="en-GB"/>
        </w:rPr>
        <w:footnoteReference w:id="50"/>
      </w:r>
    </w:p>
    <w:p w14:paraId="0BD36D1A" w14:textId="60065079" w:rsidR="00063C56" w:rsidRDefault="00063C56" w:rsidP="00063C56">
      <w:pPr>
        <w:pStyle w:val="ListParagraph"/>
        <w:autoSpaceDE w:val="0"/>
        <w:autoSpaceDN w:val="0"/>
        <w:adjustRightInd w:val="0"/>
        <w:ind w:left="0"/>
        <w:jc w:val="both"/>
        <w:rPr>
          <w:sz w:val="22"/>
          <w:szCs w:val="22"/>
          <w:lang w:val="en-GB"/>
        </w:rPr>
      </w:pPr>
      <w:r>
        <w:rPr>
          <w:sz w:val="22"/>
          <w:szCs w:val="22"/>
          <w:lang w:val="en-GB"/>
        </w:rPr>
        <w:lastRenderedPageBreak/>
        <w:t>‘In my view it cannot be persuasively argued that there is contributory negligence attributable to the plaintiff. The uncontroverted evidence is that the incident occurred at 22h30, when it was dark, rainy and windy. The uncovered valve chamber was not visible, was not demarcated or barricaded, and did not have reflective signage warning the public of its presence. Consequently, it cannot be reasonably expected that the plaintiff could have foreseen or suspected that there was an uncovered valve chamber on the pavement …’</w:t>
      </w:r>
    </w:p>
    <w:p w14:paraId="6D4A257E" w14:textId="77777777" w:rsidR="00083E97" w:rsidRPr="00063C56" w:rsidRDefault="00083E97" w:rsidP="00063C56">
      <w:pPr>
        <w:pStyle w:val="ListParagraph"/>
        <w:autoSpaceDE w:val="0"/>
        <w:autoSpaceDN w:val="0"/>
        <w:adjustRightInd w:val="0"/>
        <w:ind w:left="0"/>
        <w:jc w:val="both"/>
        <w:rPr>
          <w:sz w:val="22"/>
          <w:szCs w:val="22"/>
          <w:lang w:val="en-GB"/>
        </w:rPr>
      </w:pPr>
    </w:p>
    <w:p w14:paraId="4B64D62E" w14:textId="72D7DBFC" w:rsidR="009E43BF" w:rsidRPr="00F113D0" w:rsidRDefault="00F113D0" w:rsidP="00F113D0">
      <w:pPr>
        <w:autoSpaceDE w:val="0"/>
        <w:autoSpaceDN w:val="0"/>
        <w:adjustRightInd w:val="0"/>
        <w:jc w:val="both"/>
        <w:rPr>
          <w:lang w:val="en-GB"/>
        </w:rPr>
      </w:pPr>
      <w:r>
        <w:rPr>
          <w:lang w:val="en-GB"/>
        </w:rPr>
        <w:t>[46]</w:t>
      </w:r>
      <w:r>
        <w:rPr>
          <w:lang w:val="en-GB"/>
        </w:rPr>
        <w:tab/>
      </w:r>
      <w:r w:rsidR="00F30110" w:rsidRPr="00F113D0">
        <w:rPr>
          <w:lang w:val="en-GB"/>
        </w:rPr>
        <w:t>The plaintiff accordingly succeeds in his claim</w:t>
      </w:r>
      <w:r w:rsidR="00D9596F" w:rsidRPr="00F113D0">
        <w:rPr>
          <w:lang w:val="en-GB"/>
        </w:rPr>
        <w:t xml:space="preserve"> and t</w:t>
      </w:r>
      <w:r w:rsidR="00A60234" w:rsidRPr="00F113D0">
        <w:rPr>
          <w:lang w:val="en-GB"/>
        </w:rPr>
        <w:t>he following order is issued:</w:t>
      </w:r>
    </w:p>
    <w:p w14:paraId="47FBE37A" w14:textId="77777777" w:rsidR="009E43BF" w:rsidRPr="009E43BF" w:rsidRDefault="009E43BF" w:rsidP="009E43BF">
      <w:pPr>
        <w:pStyle w:val="ListParagraph"/>
        <w:autoSpaceDE w:val="0"/>
        <w:autoSpaceDN w:val="0"/>
        <w:adjustRightInd w:val="0"/>
        <w:ind w:left="0"/>
        <w:jc w:val="both"/>
        <w:rPr>
          <w:lang w:val="en-GB"/>
        </w:rPr>
      </w:pPr>
    </w:p>
    <w:p w14:paraId="6C0EF4E2" w14:textId="4C2253A1" w:rsidR="007E04F6" w:rsidRPr="00F113D0" w:rsidRDefault="00F113D0" w:rsidP="00F113D0">
      <w:pPr>
        <w:autoSpaceDE w:val="0"/>
        <w:autoSpaceDN w:val="0"/>
        <w:adjustRightInd w:val="0"/>
        <w:ind w:left="720" w:hanging="360"/>
        <w:jc w:val="both"/>
        <w:rPr>
          <w:lang w:val="en-GB"/>
        </w:rPr>
      </w:pPr>
      <w:r w:rsidRPr="00241769">
        <w:rPr>
          <w:lang w:val="en-GB"/>
        </w:rPr>
        <w:t>1.</w:t>
      </w:r>
      <w:r w:rsidRPr="00241769">
        <w:rPr>
          <w:lang w:val="en-GB"/>
        </w:rPr>
        <w:tab/>
      </w:r>
      <w:r w:rsidR="00FA4E2A" w:rsidRPr="00F113D0">
        <w:rPr>
          <w:lang w:val="en-GB"/>
        </w:rPr>
        <w:t>The defendant is ordered to pay the plaintiff’s proven damages arising from the plaintiff’s fall into an uncovered stormwater drain on 9 March 2021;</w:t>
      </w:r>
    </w:p>
    <w:p w14:paraId="327ACC82" w14:textId="413D33EA" w:rsidR="00FA4E2A" w:rsidRPr="00F113D0" w:rsidRDefault="00F113D0" w:rsidP="00F113D0">
      <w:pPr>
        <w:autoSpaceDE w:val="0"/>
        <w:autoSpaceDN w:val="0"/>
        <w:adjustRightInd w:val="0"/>
        <w:ind w:left="720" w:hanging="360"/>
        <w:jc w:val="both"/>
        <w:rPr>
          <w:lang w:val="en-GB"/>
        </w:rPr>
      </w:pPr>
      <w:r w:rsidRPr="007E04F6">
        <w:rPr>
          <w:lang w:val="en-GB"/>
        </w:rPr>
        <w:t>2.</w:t>
      </w:r>
      <w:r w:rsidRPr="007E04F6">
        <w:rPr>
          <w:lang w:val="en-GB"/>
        </w:rPr>
        <w:tab/>
      </w:r>
      <w:r w:rsidR="00FA4E2A" w:rsidRPr="00F113D0">
        <w:rPr>
          <w:lang w:val="en-GB"/>
        </w:rPr>
        <w:t xml:space="preserve">The defendant is ordered to pay the plaintiff’s </w:t>
      </w:r>
      <w:r w:rsidR="00073BB8" w:rsidRPr="00F113D0">
        <w:rPr>
          <w:lang w:val="en-GB"/>
        </w:rPr>
        <w:t xml:space="preserve">taxed costs of suit </w:t>
      </w:r>
      <w:r w:rsidR="0046379A" w:rsidRPr="00F113D0">
        <w:rPr>
          <w:lang w:val="en-GB"/>
        </w:rPr>
        <w:t xml:space="preserve">on a party and party scale in respect of </w:t>
      </w:r>
      <w:r w:rsidR="000C6920" w:rsidRPr="00F113D0">
        <w:rPr>
          <w:lang w:val="en-GB"/>
        </w:rPr>
        <w:t xml:space="preserve">the separated proceedings on </w:t>
      </w:r>
      <w:r w:rsidR="00090952" w:rsidRPr="00F113D0">
        <w:rPr>
          <w:lang w:val="en-GB"/>
        </w:rPr>
        <w:t>liability.</w:t>
      </w:r>
    </w:p>
    <w:p w14:paraId="4974E93F" w14:textId="77777777" w:rsidR="00C8111D" w:rsidRPr="00083E97" w:rsidRDefault="00C8111D" w:rsidP="00083E97">
      <w:pPr>
        <w:pStyle w:val="ListParagraph"/>
        <w:autoSpaceDE w:val="0"/>
        <w:autoSpaceDN w:val="0"/>
        <w:adjustRightInd w:val="0"/>
        <w:ind w:left="0"/>
        <w:jc w:val="both"/>
        <w:rPr>
          <w:lang w:val="en-GB"/>
        </w:rPr>
      </w:pPr>
    </w:p>
    <w:p w14:paraId="1517B484" w14:textId="77777777" w:rsidR="00C8111D" w:rsidRDefault="00C8111D" w:rsidP="00C8111D">
      <w:pPr>
        <w:pStyle w:val="ListParagraph"/>
        <w:autoSpaceDE w:val="0"/>
        <w:autoSpaceDN w:val="0"/>
        <w:adjustRightInd w:val="0"/>
        <w:ind w:left="0"/>
        <w:jc w:val="both"/>
        <w:rPr>
          <w:lang w:val="en-GB"/>
        </w:rPr>
      </w:pPr>
    </w:p>
    <w:p w14:paraId="491559B3" w14:textId="77777777" w:rsidR="00C8111D" w:rsidRPr="00C8111D" w:rsidRDefault="00C8111D" w:rsidP="00C8111D">
      <w:pPr>
        <w:pStyle w:val="ListParagraph"/>
        <w:rPr>
          <w:lang w:val="en-GB"/>
        </w:rPr>
      </w:pPr>
    </w:p>
    <w:p w14:paraId="4E6343B6" w14:textId="77777777" w:rsidR="007D7A96" w:rsidRDefault="007D7A96" w:rsidP="00075260">
      <w:pPr>
        <w:pStyle w:val="ListParagraph"/>
        <w:autoSpaceDE w:val="0"/>
        <w:autoSpaceDN w:val="0"/>
        <w:adjustRightInd w:val="0"/>
        <w:ind w:left="0"/>
        <w:jc w:val="both"/>
        <w:rPr>
          <w:lang w:val="en-GB"/>
        </w:rPr>
      </w:pPr>
    </w:p>
    <w:p w14:paraId="363DCE68" w14:textId="3C4454A8" w:rsidR="00D450B5" w:rsidRPr="00044B50" w:rsidRDefault="00D450B5" w:rsidP="00CA056D">
      <w:pPr>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01E8CEBE" w:rsidR="00D450B5" w:rsidRPr="00044B50" w:rsidRDefault="00D450B5" w:rsidP="00CA056D">
      <w:pPr>
        <w:jc w:val="both"/>
        <w:rPr>
          <w:b/>
          <w:bCs/>
          <w:lang w:val="en-GB"/>
        </w:rPr>
      </w:pPr>
      <w:r w:rsidRPr="00044B50">
        <w:rPr>
          <w:b/>
          <w:bCs/>
          <w:lang w:val="en-GB"/>
        </w:rPr>
        <w:t xml:space="preserve">A GOVINDJEE                                                                                                                                                       </w:t>
      </w:r>
    </w:p>
    <w:p w14:paraId="14E92973" w14:textId="77777777" w:rsidR="00D450B5" w:rsidRDefault="00D450B5" w:rsidP="00CA056D">
      <w:pPr>
        <w:jc w:val="both"/>
        <w:rPr>
          <w:b/>
          <w:bCs/>
          <w:lang w:val="en-GB"/>
        </w:rPr>
      </w:pPr>
      <w:r w:rsidRPr="00044B50">
        <w:rPr>
          <w:b/>
          <w:bCs/>
          <w:lang w:val="en-GB"/>
        </w:rPr>
        <w:t>JUDGE OF THE HIGH COURT</w:t>
      </w:r>
    </w:p>
    <w:p w14:paraId="66B4BCC4" w14:textId="77777777" w:rsidR="00F01483" w:rsidRDefault="00F01483" w:rsidP="00CA056D">
      <w:pPr>
        <w:jc w:val="both"/>
        <w:rPr>
          <w:b/>
          <w:bCs/>
          <w:lang w:val="en-GB"/>
        </w:rPr>
      </w:pPr>
    </w:p>
    <w:p w14:paraId="6B5C0E06" w14:textId="77777777" w:rsidR="00F01483" w:rsidRDefault="00F01483" w:rsidP="00CA056D">
      <w:pPr>
        <w:jc w:val="both"/>
        <w:rPr>
          <w:b/>
          <w:bCs/>
          <w:lang w:val="en-GB"/>
        </w:rPr>
      </w:pPr>
    </w:p>
    <w:p w14:paraId="4E913372" w14:textId="77777777" w:rsidR="008A75F3" w:rsidRDefault="008A75F3" w:rsidP="008A75F3">
      <w:pPr>
        <w:widowControl w:val="0"/>
        <w:jc w:val="center"/>
        <w:rPr>
          <w:spacing w:val="14"/>
          <w:kern w:val="2"/>
          <w:lang w:val="en-GB"/>
        </w:rPr>
      </w:pPr>
    </w:p>
    <w:p w14:paraId="04EEEF0A" w14:textId="7A8CFBC5" w:rsidR="007A7BBE" w:rsidRPr="00F01483" w:rsidRDefault="007A7BBE" w:rsidP="00CA056D">
      <w:pPr>
        <w:widowControl w:val="0"/>
        <w:ind w:right="656"/>
        <w:rPr>
          <w:spacing w:val="14"/>
          <w:kern w:val="2"/>
          <w:lang w:val="en-GB"/>
        </w:rPr>
      </w:pPr>
      <w:r w:rsidRPr="00F01483">
        <w:rPr>
          <w:b/>
          <w:bCs/>
          <w:spacing w:val="14"/>
          <w:kern w:val="2"/>
          <w:lang w:val="en-GB"/>
        </w:rPr>
        <w:t>Heard:</w:t>
      </w:r>
      <w:r w:rsidR="00F01483">
        <w:rPr>
          <w:b/>
          <w:bCs/>
          <w:spacing w:val="14"/>
          <w:kern w:val="2"/>
          <w:lang w:val="en-GB"/>
        </w:rPr>
        <w:t xml:space="preserve"> </w:t>
      </w:r>
      <w:r w:rsidR="00B61B39" w:rsidRPr="00B61B39">
        <w:rPr>
          <w:spacing w:val="14"/>
          <w:kern w:val="2"/>
          <w:lang w:val="en-GB"/>
        </w:rPr>
        <w:t>23-24 November 2023</w:t>
      </w:r>
    </w:p>
    <w:p w14:paraId="299C01BC" w14:textId="77777777" w:rsidR="00CA056D" w:rsidRDefault="00CA056D" w:rsidP="000D4C7F">
      <w:pPr>
        <w:widowControl w:val="0"/>
        <w:ind w:left="4320" w:right="656" w:firstLine="720"/>
        <w:jc w:val="right"/>
        <w:rPr>
          <w:spacing w:val="14"/>
          <w:kern w:val="2"/>
          <w:lang w:val="en-GB"/>
        </w:rPr>
      </w:pPr>
    </w:p>
    <w:p w14:paraId="5D550954" w14:textId="19C49C16" w:rsidR="007A7BBE" w:rsidRDefault="007A7BBE" w:rsidP="00CA056D">
      <w:pPr>
        <w:widowControl w:val="0"/>
        <w:ind w:right="656"/>
        <w:rPr>
          <w:spacing w:val="14"/>
          <w:kern w:val="2"/>
          <w:lang w:val="en-GB"/>
        </w:rPr>
      </w:pPr>
      <w:r w:rsidRPr="00F01483">
        <w:rPr>
          <w:b/>
          <w:bCs/>
          <w:spacing w:val="14"/>
          <w:kern w:val="2"/>
          <w:lang w:val="en-GB"/>
        </w:rPr>
        <w:t>Delivered:</w:t>
      </w:r>
      <w:r w:rsidR="00F01483">
        <w:rPr>
          <w:b/>
          <w:bCs/>
          <w:spacing w:val="14"/>
          <w:kern w:val="2"/>
          <w:lang w:val="en-GB"/>
        </w:rPr>
        <w:t xml:space="preserve"> </w:t>
      </w:r>
      <w:r w:rsidR="00B61B39" w:rsidRPr="00B61B39">
        <w:rPr>
          <w:spacing w:val="14"/>
          <w:kern w:val="2"/>
          <w:lang w:val="en-GB"/>
        </w:rPr>
        <w:t>05 December 2023</w:t>
      </w:r>
    </w:p>
    <w:p w14:paraId="294A39F0" w14:textId="77777777" w:rsidR="00F01483" w:rsidRDefault="00F01483" w:rsidP="00CA056D">
      <w:pPr>
        <w:widowControl w:val="0"/>
        <w:ind w:right="656"/>
        <w:rPr>
          <w:spacing w:val="14"/>
          <w:kern w:val="2"/>
          <w:lang w:val="en-GB"/>
        </w:rPr>
      </w:pPr>
    </w:p>
    <w:p w14:paraId="7463034E" w14:textId="77777777" w:rsidR="00F01483" w:rsidRDefault="00F01483" w:rsidP="00CA056D">
      <w:pPr>
        <w:widowControl w:val="0"/>
        <w:ind w:right="656"/>
        <w:rPr>
          <w:spacing w:val="14"/>
          <w:kern w:val="2"/>
          <w:lang w:val="en-GB"/>
        </w:rPr>
      </w:pPr>
    </w:p>
    <w:p w14:paraId="53BDDB6F" w14:textId="77777777" w:rsidR="00F01483" w:rsidRDefault="00F01483" w:rsidP="00CA056D">
      <w:pPr>
        <w:widowControl w:val="0"/>
        <w:ind w:right="656"/>
        <w:rPr>
          <w:b/>
          <w:bCs/>
          <w:spacing w:val="14"/>
          <w:kern w:val="2"/>
          <w:lang w:val="en-GB"/>
        </w:rPr>
      </w:pPr>
    </w:p>
    <w:p w14:paraId="174D0104" w14:textId="77777777" w:rsidR="00B61B39" w:rsidRDefault="00B61B39" w:rsidP="00CA056D">
      <w:pPr>
        <w:widowControl w:val="0"/>
        <w:ind w:right="656"/>
        <w:rPr>
          <w:b/>
          <w:bCs/>
          <w:spacing w:val="14"/>
          <w:kern w:val="2"/>
          <w:lang w:val="en-GB"/>
        </w:rPr>
      </w:pPr>
    </w:p>
    <w:p w14:paraId="50319695" w14:textId="77777777" w:rsidR="00B61B39" w:rsidRDefault="00B61B39" w:rsidP="00CA056D">
      <w:pPr>
        <w:widowControl w:val="0"/>
        <w:ind w:right="656"/>
        <w:rPr>
          <w:b/>
          <w:bCs/>
          <w:spacing w:val="14"/>
          <w:kern w:val="2"/>
          <w:lang w:val="en-GB"/>
        </w:rPr>
      </w:pPr>
    </w:p>
    <w:p w14:paraId="300B9E59" w14:textId="77777777" w:rsidR="00B61B39" w:rsidRDefault="00B61B39" w:rsidP="00CA056D">
      <w:pPr>
        <w:widowControl w:val="0"/>
        <w:ind w:right="656"/>
        <w:rPr>
          <w:b/>
          <w:bCs/>
          <w:spacing w:val="14"/>
          <w:kern w:val="2"/>
          <w:lang w:val="en-GB"/>
        </w:rPr>
      </w:pPr>
    </w:p>
    <w:p w14:paraId="017F7592" w14:textId="77777777" w:rsidR="00B61B39" w:rsidRDefault="00B61B39" w:rsidP="00CA056D">
      <w:pPr>
        <w:widowControl w:val="0"/>
        <w:ind w:right="656"/>
        <w:rPr>
          <w:b/>
          <w:bCs/>
          <w:spacing w:val="14"/>
          <w:kern w:val="2"/>
          <w:lang w:val="en-GB"/>
        </w:rPr>
      </w:pPr>
    </w:p>
    <w:p w14:paraId="2AD1527B" w14:textId="77777777" w:rsidR="00B61B39" w:rsidRDefault="00B61B39" w:rsidP="00CA056D">
      <w:pPr>
        <w:widowControl w:val="0"/>
        <w:ind w:right="656"/>
        <w:rPr>
          <w:b/>
          <w:bCs/>
          <w:spacing w:val="14"/>
          <w:kern w:val="2"/>
          <w:lang w:val="en-GB"/>
        </w:rPr>
      </w:pPr>
    </w:p>
    <w:p w14:paraId="0BAE84DD" w14:textId="5DC21D91" w:rsidR="007C247A" w:rsidRDefault="00B61B39" w:rsidP="00772E4B">
      <w:pPr>
        <w:jc w:val="both"/>
        <w:rPr>
          <w:lang w:val="en-GB"/>
        </w:rPr>
      </w:pPr>
      <w:r>
        <w:rPr>
          <w:lang w:val="en-GB"/>
        </w:rPr>
        <w:lastRenderedPageBreak/>
        <w:t>APPEARANCES</w:t>
      </w:r>
      <w:r w:rsidR="007C247A" w:rsidRPr="00044B50">
        <w:rPr>
          <w:lang w:val="en-GB"/>
        </w:rPr>
        <w:t>:</w:t>
      </w:r>
    </w:p>
    <w:p w14:paraId="66837056" w14:textId="5B798FD9" w:rsidR="00C33845" w:rsidRDefault="00C33845" w:rsidP="00772E4B">
      <w:pPr>
        <w:jc w:val="both"/>
        <w:rPr>
          <w:lang w:val="en-GB"/>
        </w:rPr>
      </w:pPr>
    </w:p>
    <w:p w14:paraId="1A96B021" w14:textId="3E2BA026" w:rsidR="00C33845" w:rsidRDefault="00C33845" w:rsidP="00772E4B">
      <w:pPr>
        <w:jc w:val="both"/>
        <w:rPr>
          <w:lang w:val="en-GB"/>
        </w:rPr>
      </w:pPr>
      <w:r>
        <w:rPr>
          <w:lang w:val="en-GB"/>
        </w:rPr>
        <w:t xml:space="preserve">For </w:t>
      </w:r>
      <w:r w:rsidR="00B97608">
        <w:rPr>
          <w:lang w:val="en-GB"/>
        </w:rPr>
        <w:t xml:space="preserve">the </w:t>
      </w:r>
      <w:r w:rsidR="00A35DDA">
        <w:rPr>
          <w:lang w:val="en-GB"/>
        </w:rPr>
        <w:t>Plaintiff</w:t>
      </w:r>
      <w:r>
        <w:rPr>
          <w:lang w:val="en-GB"/>
        </w:rPr>
        <w:t>:</w:t>
      </w:r>
      <w:r>
        <w:rPr>
          <w:lang w:val="en-GB"/>
        </w:rPr>
        <w:tab/>
      </w:r>
      <w:r>
        <w:rPr>
          <w:lang w:val="en-GB"/>
        </w:rPr>
        <w:tab/>
      </w:r>
      <w:r>
        <w:rPr>
          <w:lang w:val="en-GB"/>
        </w:rPr>
        <w:tab/>
      </w:r>
      <w:r>
        <w:rPr>
          <w:lang w:val="en-GB"/>
        </w:rPr>
        <w:tab/>
      </w:r>
      <w:r w:rsidR="000D4BE8">
        <w:rPr>
          <w:lang w:val="en-GB"/>
        </w:rPr>
        <w:t>Adv D Niekerk</w:t>
      </w:r>
    </w:p>
    <w:p w14:paraId="07B38722" w14:textId="0D660CAB" w:rsidR="000D4BE8" w:rsidRDefault="000D4BE8" w:rsidP="00772E4B">
      <w:pPr>
        <w:jc w:val="both"/>
        <w:rPr>
          <w:lang w:val="en-GB"/>
        </w:rPr>
      </w:pPr>
      <w:r>
        <w:rPr>
          <w:lang w:val="en-GB"/>
        </w:rPr>
        <w:tab/>
      </w:r>
      <w:r>
        <w:rPr>
          <w:lang w:val="en-GB"/>
        </w:rPr>
        <w:tab/>
      </w:r>
      <w:r>
        <w:rPr>
          <w:lang w:val="en-GB"/>
        </w:rPr>
        <w:tab/>
      </w:r>
      <w:r>
        <w:rPr>
          <w:lang w:val="en-GB"/>
        </w:rPr>
        <w:tab/>
      </w:r>
      <w:r>
        <w:rPr>
          <w:lang w:val="en-GB"/>
        </w:rPr>
        <w:tab/>
      </w:r>
      <w:r>
        <w:rPr>
          <w:lang w:val="en-GB"/>
        </w:rPr>
        <w:tab/>
        <w:t>Chambers, Gqeberha</w:t>
      </w:r>
    </w:p>
    <w:p w14:paraId="2D8F71ED" w14:textId="64545A3E" w:rsidR="00B97608" w:rsidRDefault="00B97608" w:rsidP="00772E4B">
      <w:pPr>
        <w:jc w:val="both"/>
        <w:rPr>
          <w:lang w:val="en-GB"/>
        </w:rPr>
      </w:pPr>
      <w:r>
        <w:rPr>
          <w:lang w:val="en-GB"/>
        </w:rPr>
        <w:tab/>
      </w:r>
      <w:r>
        <w:rPr>
          <w:lang w:val="en-GB"/>
        </w:rPr>
        <w:tab/>
      </w:r>
      <w:r>
        <w:rPr>
          <w:lang w:val="en-GB"/>
        </w:rPr>
        <w:tab/>
      </w:r>
      <w:r>
        <w:rPr>
          <w:lang w:val="en-GB"/>
        </w:rPr>
        <w:tab/>
      </w:r>
      <w:r>
        <w:rPr>
          <w:lang w:val="en-GB"/>
        </w:rPr>
        <w:tab/>
      </w:r>
      <w:r>
        <w:rPr>
          <w:lang w:val="en-GB"/>
        </w:rPr>
        <w:tab/>
      </w:r>
    </w:p>
    <w:p w14:paraId="384814B5" w14:textId="77777777" w:rsidR="00B97608" w:rsidRDefault="00B97608" w:rsidP="00772E4B">
      <w:pPr>
        <w:jc w:val="both"/>
        <w:rPr>
          <w:lang w:val="en-GB"/>
        </w:rPr>
      </w:pPr>
    </w:p>
    <w:p w14:paraId="3B623D3C" w14:textId="37735947" w:rsidR="00B97608" w:rsidRDefault="00B97608" w:rsidP="00772E4B">
      <w:pPr>
        <w:jc w:val="both"/>
        <w:rPr>
          <w:lang w:val="en-GB"/>
        </w:rPr>
      </w:pPr>
      <w:r>
        <w:rPr>
          <w:lang w:val="en-GB"/>
        </w:rPr>
        <w:t>Instructed by:</w:t>
      </w:r>
      <w:r>
        <w:rPr>
          <w:lang w:val="en-GB"/>
        </w:rPr>
        <w:tab/>
      </w:r>
      <w:r>
        <w:rPr>
          <w:lang w:val="en-GB"/>
        </w:rPr>
        <w:tab/>
      </w:r>
      <w:r>
        <w:rPr>
          <w:lang w:val="en-GB"/>
        </w:rPr>
        <w:tab/>
      </w:r>
      <w:r>
        <w:rPr>
          <w:lang w:val="en-GB"/>
        </w:rPr>
        <w:tab/>
      </w:r>
      <w:r w:rsidR="000D4BE8">
        <w:rPr>
          <w:lang w:val="en-GB"/>
        </w:rPr>
        <w:t>Jock Walter Inc.</w:t>
      </w:r>
    </w:p>
    <w:p w14:paraId="0509417E" w14:textId="2C8F4CA8" w:rsidR="000D4BE8" w:rsidRDefault="000D4BE8" w:rsidP="00772E4B">
      <w:pPr>
        <w:jc w:val="both"/>
        <w:rPr>
          <w:lang w:val="en-GB"/>
        </w:rPr>
      </w:pPr>
      <w:r>
        <w:rPr>
          <w:lang w:val="en-GB"/>
        </w:rPr>
        <w:tab/>
      </w:r>
      <w:r>
        <w:rPr>
          <w:lang w:val="en-GB"/>
        </w:rPr>
        <w:tab/>
      </w:r>
      <w:r>
        <w:rPr>
          <w:lang w:val="en-GB"/>
        </w:rPr>
        <w:tab/>
      </w:r>
      <w:r>
        <w:rPr>
          <w:lang w:val="en-GB"/>
        </w:rPr>
        <w:tab/>
      </w:r>
      <w:r>
        <w:rPr>
          <w:lang w:val="en-GB"/>
        </w:rPr>
        <w:tab/>
      </w:r>
      <w:r>
        <w:rPr>
          <w:lang w:val="en-GB"/>
        </w:rPr>
        <w:tab/>
        <w:t>Plaintiff’s Attorney</w:t>
      </w:r>
    </w:p>
    <w:p w14:paraId="156D7A1F" w14:textId="6F137DD0" w:rsidR="000D4BE8" w:rsidRDefault="000D4BE8" w:rsidP="00772E4B">
      <w:pPr>
        <w:jc w:val="both"/>
        <w:rPr>
          <w:lang w:val="en-GB"/>
        </w:rPr>
      </w:pPr>
      <w:r>
        <w:rPr>
          <w:lang w:val="en-GB"/>
        </w:rPr>
        <w:tab/>
      </w:r>
      <w:r>
        <w:rPr>
          <w:lang w:val="en-GB"/>
        </w:rPr>
        <w:tab/>
      </w:r>
      <w:r>
        <w:rPr>
          <w:lang w:val="en-GB"/>
        </w:rPr>
        <w:tab/>
      </w:r>
      <w:r>
        <w:rPr>
          <w:lang w:val="en-GB"/>
        </w:rPr>
        <w:tab/>
      </w:r>
      <w:r>
        <w:rPr>
          <w:lang w:val="en-GB"/>
        </w:rPr>
        <w:tab/>
      </w:r>
      <w:r>
        <w:rPr>
          <w:lang w:val="en-GB"/>
        </w:rPr>
        <w:tab/>
        <w:t>246 Main Road</w:t>
      </w:r>
    </w:p>
    <w:p w14:paraId="608DAA3B" w14:textId="6A0BB939" w:rsidR="000D4BE8" w:rsidRDefault="000D4BE8" w:rsidP="00772E4B">
      <w:pPr>
        <w:jc w:val="both"/>
        <w:rPr>
          <w:lang w:val="en-GB"/>
        </w:rPr>
      </w:pPr>
      <w:r>
        <w:rPr>
          <w:lang w:val="en-GB"/>
        </w:rPr>
        <w:tab/>
      </w:r>
      <w:r>
        <w:rPr>
          <w:lang w:val="en-GB"/>
        </w:rPr>
        <w:tab/>
      </w:r>
      <w:r>
        <w:rPr>
          <w:lang w:val="en-GB"/>
        </w:rPr>
        <w:tab/>
      </w:r>
      <w:r>
        <w:rPr>
          <w:lang w:val="en-GB"/>
        </w:rPr>
        <w:tab/>
      </w:r>
      <w:r>
        <w:rPr>
          <w:lang w:val="en-GB"/>
        </w:rPr>
        <w:tab/>
      </w:r>
      <w:r>
        <w:rPr>
          <w:lang w:val="en-GB"/>
        </w:rPr>
        <w:tab/>
        <w:t>Walmer</w:t>
      </w:r>
    </w:p>
    <w:p w14:paraId="0409EB9E" w14:textId="33D4EAE3" w:rsidR="000D4BE8" w:rsidRDefault="000D4BE8" w:rsidP="00772E4B">
      <w:pPr>
        <w:jc w:val="both"/>
        <w:rPr>
          <w:lang w:val="en-GB"/>
        </w:rPr>
      </w:pPr>
      <w:r>
        <w:rPr>
          <w:lang w:val="en-GB"/>
        </w:rPr>
        <w:tab/>
      </w:r>
      <w:r>
        <w:rPr>
          <w:lang w:val="en-GB"/>
        </w:rPr>
        <w:tab/>
      </w:r>
      <w:r>
        <w:rPr>
          <w:lang w:val="en-GB"/>
        </w:rPr>
        <w:tab/>
      </w:r>
      <w:r>
        <w:rPr>
          <w:lang w:val="en-GB"/>
        </w:rPr>
        <w:tab/>
      </w:r>
      <w:r>
        <w:rPr>
          <w:lang w:val="en-GB"/>
        </w:rPr>
        <w:tab/>
      </w:r>
      <w:r>
        <w:rPr>
          <w:lang w:val="en-GB"/>
        </w:rPr>
        <w:tab/>
        <w:t>Gqeberha</w:t>
      </w:r>
    </w:p>
    <w:p w14:paraId="6621031D" w14:textId="50A80EAA" w:rsidR="000D4BE8" w:rsidRDefault="000D4BE8" w:rsidP="00772E4B">
      <w:pPr>
        <w:jc w:val="both"/>
        <w:rPr>
          <w:lang w:val="en-GB"/>
        </w:rPr>
      </w:pPr>
      <w:r>
        <w:rPr>
          <w:lang w:val="en-GB"/>
        </w:rPr>
        <w:tab/>
      </w:r>
      <w:r>
        <w:rPr>
          <w:lang w:val="en-GB"/>
        </w:rPr>
        <w:tab/>
      </w:r>
      <w:r>
        <w:rPr>
          <w:lang w:val="en-GB"/>
        </w:rPr>
        <w:tab/>
      </w:r>
      <w:r>
        <w:rPr>
          <w:lang w:val="en-GB"/>
        </w:rPr>
        <w:tab/>
      </w:r>
      <w:r>
        <w:rPr>
          <w:lang w:val="en-GB"/>
        </w:rPr>
        <w:tab/>
      </w:r>
      <w:r>
        <w:rPr>
          <w:lang w:val="en-GB"/>
        </w:rPr>
        <w:tab/>
        <w:t>Email: jock@jockwalterattorneys.co.za</w:t>
      </w:r>
    </w:p>
    <w:p w14:paraId="4876ED7B" w14:textId="2EBA4BEA" w:rsidR="00C8111D" w:rsidRDefault="00B97608" w:rsidP="00C8111D">
      <w:pPr>
        <w:jc w:val="both"/>
        <w:rPr>
          <w:lang w:val="en-GB"/>
        </w:rPr>
      </w:pPr>
      <w:r>
        <w:rPr>
          <w:lang w:val="en-GB"/>
        </w:rPr>
        <w:tab/>
      </w:r>
      <w:r>
        <w:rPr>
          <w:lang w:val="en-GB"/>
        </w:rPr>
        <w:tab/>
      </w:r>
      <w:r>
        <w:rPr>
          <w:lang w:val="en-GB"/>
        </w:rPr>
        <w:tab/>
      </w:r>
      <w:r>
        <w:rPr>
          <w:lang w:val="en-GB"/>
        </w:rPr>
        <w:tab/>
      </w:r>
      <w:r>
        <w:rPr>
          <w:lang w:val="en-GB"/>
        </w:rPr>
        <w:tab/>
      </w:r>
      <w:r>
        <w:rPr>
          <w:lang w:val="en-GB"/>
        </w:rPr>
        <w:tab/>
      </w:r>
    </w:p>
    <w:p w14:paraId="23A2D137" w14:textId="77777777" w:rsidR="00C33845" w:rsidRDefault="00C33845" w:rsidP="00772E4B">
      <w:pPr>
        <w:jc w:val="both"/>
        <w:rPr>
          <w:lang w:val="en-GB"/>
        </w:rPr>
      </w:pPr>
    </w:p>
    <w:p w14:paraId="62DB8C01" w14:textId="0415F255" w:rsidR="00B97608" w:rsidRDefault="00C33845" w:rsidP="00772E4B">
      <w:pPr>
        <w:jc w:val="both"/>
        <w:rPr>
          <w:lang w:val="en-GB"/>
        </w:rPr>
      </w:pPr>
      <w:r>
        <w:rPr>
          <w:lang w:val="en-GB"/>
        </w:rPr>
        <w:t xml:space="preserve">For </w:t>
      </w:r>
      <w:r w:rsidR="00B97608">
        <w:rPr>
          <w:lang w:val="en-GB"/>
        </w:rPr>
        <w:t xml:space="preserve">the </w:t>
      </w:r>
      <w:r w:rsidR="00A35DDA">
        <w:rPr>
          <w:lang w:val="en-GB"/>
        </w:rPr>
        <w:t>Defendant</w:t>
      </w:r>
      <w:r>
        <w:rPr>
          <w:lang w:val="en-GB"/>
        </w:rPr>
        <w:t>:</w:t>
      </w:r>
      <w:r>
        <w:rPr>
          <w:lang w:val="en-GB"/>
        </w:rPr>
        <w:tab/>
      </w:r>
      <w:r>
        <w:rPr>
          <w:lang w:val="en-GB"/>
        </w:rPr>
        <w:tab/>
      </w:r>
      <w:r>
        <w:rPr>
          <w:lang w:val="en-GB"/>
        </w:rPr>
        <w:tab/>
      </w:r>
      <w:r w:rsidR="00E12BFB">
        <w:rPr>
          <w:lang w:val="en-GB"/>
        </w:rPr>
        <w:tab/>
      </w:r>
      <w:r w:rsidR="00933EF7">
        <w:rPr>
          <w:lang w:val="en-GB"/>
        </w:rPr>
        <w:t>Adv T Zietsman</w:t>
      </w:r>
    </w:p>
    <w:p w14:paraId="61B47973" w14:textId="77BC7F47" w:rsidR="00933EF7" w:rsidRDefault="00933EF7" w:rsidP="00772E4B">
      <w:pPr>
        <w:jc w:val="both"/>
        <w:rPr>
          <w:lang w:val="en-GB"/>
        </w:rPr>
      </w:pPr>
      <w:r>
        <w:rPr>
          <w:lang w:val="en-GB"/>
        </w:rPr>
        <w:tab/>
      </w:r>
      <w:r>
        <w:rPr>
          <w:lang w:val="en-GB"/>
        </w:rPr>
        <w:tab/>
      </w:r>
      <w:r>
        <w:rPr>
          <w:lang w:val="en-GB"/>
        </w:rPr>
        <w:tab/>
      </w:r>
      <w:r>
        <w:rPr>
          <w:lang w:val="en-GB"/>
        </w:rPr>
        <w:tab/>
      </w:r>
      <w:r>
        <w:rPr>
          <w:lang w:val="en-GB"/>
        </w:rPr>
        <w:tab/>
      </w:r>
      <w:r>
        <w:rPr>
          <w:lang w:val="en-GB"/>
        </w:rPr>
        <w:tab/>
        <w:t>Oasim Chambers, Gqeberha</w:t>
      </w:r>
    </w:p>
    <w:p w14:paraId="1EE4EA0E" w14:textId="48EC01D2" w:rsidR="00B97608" w:rsidRDefault="00B97608" w:rsidP="00772E4B">
      <w:pPr>
        <w:jc w:val="both"/>
        <w:rPr>
          <w:lang w:val="en-GB"/>
        </w:rPr>
      </w:pPr>
      <w:r>
        <w:rPr>
          <w:lang w:val="en-GB"/>
        </w:rPr>
        <w:tab/>
      </w:r>
      <w:r>
        <w:rPr>
          <w:lang w:val="en-GB"/>
        </w:rPr>
        <w:tab/>
      </w:r>
      <w:r>
        <w:rPr>
          <w:lang w:val="en-GB"/>
        </w:rPr>
        <w:tab/>
      </w:r>
      <w:r>
        <w:rPr>
          <w:lang w:val="en-GB"/>
        </w:rPr>
        <w:tab/>
      </w:r>
      <w:r>
        <w:rPr>
          <w:lang w:val="en-GB"/>
        </w:rPr>
        <w:tab/>
      </w:r>
      <w:r>
        <w:rPr>
          <w:lang w:val="en-GB"/>
        </w:rPr>
        <w:tab/>
      </w:r>
    </w:p>
    <w:p w14:paraId="7CC93F24" w14:textId="77777777" w:rsidR="00B97608" w:rsidRDefault="00B97608" w:rsidP="00772E4B">
      <w:pPr>
        <w:jc w:val="both"/>
        <w:rPr>
          <w:lang w:val="en-GB"/>
        </w:rPr>
      </w:pPr>
    </w:p>
    <w:p w14:paraId="31ADCA0B" w14:textId="77777777" w:rsidR="00933EF7" w:rsidRDefault="00B97608" w:rsidP="00772E4B">
      <w:pPr>
        <w:jc w:val="both"/>
        <w:rPr>
          <w:lang w:val="en-GB"/>
        </w:rPr>
      </w:pPr>
      <w:r>
        <w:rPr>
          <w:lang w:val="en-GB"/>
        </w:rPr>
        <w:t>Instructed by:</w:t>
      </w:r>
      <w:r>
        <w:rPr>
          <w:lang w:val="en-GB"/>
        </w:rPr>
        <w:tab/>
      </w:r>
      <w:r w:rsidR="0088070D">
        <w:rPr>
          <w:lang w:val="en-GB"/>
        </w:rPr>
        <w:tab/>
      </w:r>
      <w:r w:rsidR="0088070D">
        <w:rPr>
          <w:lang w:val="en-GB"/>
        </w:rPr>
        <w:tab/>
      </w:r>
      <w:r w:rsidR="0088070D">
        <w:rPr>
          <w:lang w:val="en-GB"/>
        </w:rPr>
        <w:tab/>
      </w:r>
      <w:r w:rsidR="00933EF7">
        <w:rPr>
          <w:lang w:val="en-GB"/>
        </w:rPr>
        <w:t>BLC Attorneys</w:t>
      </w:r>
    </w:p>
    <w:p w14:paraId="6A71CB4A" w14:textId="77777777" w:rsidR="00933EF7" w:rsidRDefault="00933EF7" w:rsidP="00772E4B">
      <w:pPr>
        <w:jc w:val="both"/>
        <w:rPr>
          <w:lang w:val="en-GB"/>
        </w:rPr>
      </w:pPr>
      <w:r>
        <w:rPr>
          <w:lang w:val="en-GB"/>
        </w:rPr>
        <w:tab/>
      </w:r>
      <w:r>
        <w:rPr>
          <w:lang w:val="en-GB"/>
        </w:rPr>
        <w:tab/>
      </w:r>
      <w:r>
        <w:rPr>
          <w:lang w:val="en-GB"/>
        </w:rPr>
        <w:tab/>
      </w:r>
      <w:r>
        <w:rPr>
          <w:lang w:val="en-GB"/>
        </w:rPr>
        <w:tab/>
      </w:r>
      <w:r>
        <w:rPr>
          <w:lang w:val="en-GB"/>
        </w:rPr>
        <w:tab/>
      </w:r>
      <w:r>
        <w:rPr>
          <w:lang w:val="en-GB"/>
        </w:rPr>
        <w:tab/>
        <w:t>Defendant’s Attorneys</w:t>
      </w:r>
    </w:p>
    <w:p w14:paraId="72D21998" w14:textId="77777777" w:rsidR="00933EF7" w:rsidRDefault="00933EF7" w:rsidP="00772E4B">
      <w:pPr>
        <w:jc w:val="both"/>
        <w:rPr>
          <w:lang w:val="en-GB"/>
        </w:rPr>
      </w:pPr>
      <w:r>
        <w:rPr>
          <w:lang w:val="en-GB"/>
        </w:rPr>
        <w:tab/>
      </w:r>
      <w:r>
        <w:rPr>
          <w:lang w:val="en-GB"/>
        </w:rPr>
        <w:tab/>
      </w:r>
      <w:r>
        <w:rPr>
          <w:lang w:val="en-GB"/>
        </w:rPr>
        <w:tab/>
      </w:r>
      <w:r>
        <w:rPr>
          <w:lang w:val="en-GB"/>
        </w:rPr>
        <w:tab/>
      </w:r>
      <w:r>
        <w:rPr>
          <w:lang w:val="en-GB"/>
        </w:rPr>
        <w:tab/>
      </w:r>
      <w:r>
        <w:rPr>
          <w:lang w:val="en-GB"/>
        </w:rPr>
        <w:tab/>
        <w:t>4 Cape Road</w:t>
      </w:r>
    </w:p>
    <w:p w14:paraId="7BBE70D1" w14:textId="77777777" w:rsidR="00933EF7" w:rsidRDefault="00933EF7" w:rsidP="00772E4B">
      <w:pPr>
        <w:jc w:val="both"/>
        <w:rPr>
          <w:lang w:val="en-GB"/>
        </w:rPr>
      </w:pPr>
      <w:r>
        <w:rPr>
          <w:lang w:val="en-GB"/>
        </w:rPr>
        <w:tab/>
      </w:r>
      <w:r>
        <w:rPr>
          <w:lang w:val="en-GB"/>
        </w:rPr>
        <w:tab/>
      </w:r>
      <w:r>
        <w:rPr>
          <w:lang w:val="en-GB"/>
        </w:rPr>
        <w:tab/>
      </w:r>
      <w:r>
        <w:rPr>
          <w:lang w:val="en-GB"/>
        </w:rPr>
        <w:tab/>
      </w:r>
      <w:r>
        <w:rPr>
          <w:lang w:val="en-GB"/>
        </w:rPr>
        <w:tab/>
      </w:r>
      <w:r>
        <w:rPr>
          <w:lang w:val="en-GB"/>
        </w:rPr>
        <w:tab/>
        <w:t>Gqeberha</w:t>
      </w:r>
    </w:p>
    <w:p w14:paraId="1970E9F9" w14:textId="391160A4" w:rsidR="0088070D" w:rsidRDefault="00933EF7" w:rsidP="00772E4B">
      <w:pPr>
        <w:jc w:val="both"/>
        <w:rPr>
          <w:lang w:val="en-GB"/>
        </w:rPr>
      </w:pPr>
      <w:r>
        <w:rPr>
          <w:lang w:val="en-GB"/>
        </w:rPr>
        <w:tab/>
      </w:r>
      <w:r>
        <w:rPr>
          <w:lang w:val="en-GB"/>
        </w:rPr>
        <w:tab/>
      </w:r>
      <w:r>
        <w:rPr>
          <w:lang w:val="en-GB"/>
        </w:rPr>
        <w:tab/>
      </w:r>
      <w:r>
        <w:rPr>
          <w:lang w:val="en-GB"/>
        </w:rPr>
        <w:tab/>
      </w:r>
      <w:r>
        <w:rPr>
          <w:lang w:val="en-GB"/>
        </w:rPr>
        <w:tab/>
      </w:r>
      <w:r>
        <w:rPr>
          <w:lang w:val="en-GB"/>
        </w:rPr>
        <w:tab/>
        <w:t>Email: MCharsley@blclaw.co.za</w:t>
      </w:r>
      <w:r w:rsidR="00B97608">
        <w:rPr>
          <w:lang w:val="en-GB"/>
        </w:rPr>
        <w:tab/>
      </w:r>
      <w:r w:rsidR="00B97608">
        <w:rPr>
          <w:lang w:val="en-GB"/>
        </w:rPr>
        <w:tab/>
      </w:r>
      <w:r w:rsidR="00B97608">
        <w:rPr>
          <w:lang w:val="en-GB"/>
        </w:rPr>
        <w:tab/>
      </w:r>
    </w:p>
    <w:p w14:paraId="23C9F21C" w14:textId="4DA053CC" w:rsidR="007C247A" w:rsidRPr="00044B50" w:rsidRDefault="00C33845" w:rsidP="0088070D">
      <w:pPr>
        <w:jc w:val="both"/>
        <w:rPr>
          <w:lang w:val="en-GB"/>
        </w:rPr>
      </w:pPr>
      <w:r>
        <w:rPr>
          <w:lang w:val="en-GB"/>
        </w:rPr>
        <w:tab/>
      </w:r>
      <w:r>
        <w:rPr>
          <w:lang w:val="en-GB"/>
        </w:rPr>
        <w:tab/>
      </w:r>
      <w:r>
        <w:rPr>
          <w:lang w:val="en-GB"/>
        </w:rPr>
        <w:tab/>
      </w:r>
      <w:r>
        <w:rPr>
          <w:lang w:val="en-GB"/>
        </w:rPr>
        <w:tab/>
      </w:r>
      <w:r>
        <w:rPr>
          <w:lang w:val="en-GB"/>
        </w:rPr>
        <w:tab/>
      </w:r>
    </w:p>
    <w:sectPr w:rsidR="007C247A" w:rsidRPr="00044B50" w:rsidSect="00146BA3">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71C2D" w14:textId="77777777" w:rsidR="00AF47CC" w:rsidRDefault="00AF47CC" w:rsidP="00005691">
      <w:r>
        <w:separator/>
      </w:r>
    </w:p>
  </w:endnote>
  <w:endnote w:type="continuationSeparator" w:id="0">
    <w:p w14:paraId="269CAE60" w14:textId="77777777" w:rsidR="00AF47CC" w:rsidRDefault="00AF47CC"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2BA4" w14:textId="77777777" w:rsidR="00AF47CC" w:rsidRDefault="00AF47CC" w:rsidP="00005691">
      <w:r>
        <w:separator/>
      </w:r>
    </w:p>
  </w:footnote>
  <w:footnote w:type="continuationSeparator" w:id="0">
    <w:p w14:paraId="70A86E77" w14:textId="77777777" w:rsidR="00AF47CC" w:rsidRDefault="00AF47CC" w:rsidP="00005691">
      <w:r>
        <w:continuationSeparator/>
      </w:r>
    </w:p>
  </w:footnote>
  <w:footnote w:id="1">
    <w:p w14:paraId="4B8B9B50" w14:textId="274560BD" w:rsidR="00FB5B5E" w:rsidRPr="007D12E1" w:rsidRDefault="00FB5B5E" w:rsidP="007E04F6">
      <w:pPr>
        <w:pStyle w:val="FootnoteText"/>
        <w:spacing w:line="240" w:lineRule="auto"/>
        <w:jc w:val="both"/>
        <w:rPr>
          <w:lang w:val="en-US"/>
        </w:rPr>
      </w:pPr>
      <w:r>
        <w:rPr>
          <w:rStyle w:val="FootnoteReference"/>
        </w:rPr>
        <w:footnoteRef/>
      </w:r>
      <w:r>
        <w:t xml:space="preserve"> </w:t>
      </w:r>
      <w:r>
        <w:rPr>
          <w:i/>
          <w:iCs/>
          <w:lang w:val="en-US"/>
        </w:rPr>
        <w:t>Siffman v Kriel</w:t>
      </w:r>
      <w:r>
        <w:rPr>
          <w:lang w:val="en-US"/>
        </w:rPr>
        <w:t xml:space="preserve"> 1909 TS 538; </w:t>
      </w:r>
      <w:r>
        <w:rPr>
          <w:i/>
          <w:iCs/>
          <w:lang w:val="en-US"/>
        </w:rPr>
        <w:t>Katz v Bloomfield and Keith</w:t>
      </w:r>
      <w:r>
        <w:rPr>
          <w:lang w:val="en-US"/>
        </w:rPr>
        <w:t xml:space="preserve"> 1914 TPD 379 at 381</w:t>
      </w:r>
      <w:r w:rsidR="007D12E1">
        <w:rPr>
          <w:lang w:val="en-US"/>
        </w:rPr>
        <w:t xml:space="preserve">; </w:t>
      </w:r>
      <w:r w:rsidR="007D12E1">
        <w:rPr>
          <w:i/>
          <w:iCs/>
          <w:lang w:val="en-US"/>
        </w:rPr>
        <w:t>Nelson v Marich</w:t>
      </w:r>
      <w:r w:rsidR="007D12E1">
        <w:rPr>
          <w:lang w:val="en-US"/>
        </w:rPr>
        <w:t xml:space="preserve"> 1952 (3) SA 140 (A) at 149A–D.</w:t>
      </w:r>
    </w:p>
  </w:footnote>
  <w:footnote w:id="2">
    <w:p w14:paraId="382C096A" w14:textId="0937AB0F" w:rsidR="00A94662" w:rsidRPr="00A94662" w:rsidRDefault="00A94662" w:rsidP="007E04F6">
      <w:pPr>
        <w:pStyle w:val="FootnoteText"/>
        <w:spacing w:line="240" w:lineRule="auto"/>
        <w:jc w:val="both"/>
        <w:rPr>
          <w:lang w:val="en-US"/>
        </w:rPr>
      </w:pPr>
      <w:r>
        <w:rPr>
          <w:rStyle w:val="FootnoteReference"/>
        </w:rPr>
        <w:footnoteRef/>
      </w:r>
      <w:r>
        <w:t xml:space="preserve"> </w:t>
      </w:r>
      <w:r>
        <w:rPr>
          <w:lang w:val="en-US"/>
        </w:rPr>
        <w:t>The order issued in terms of Uniform Rule 33(4) followed an application for separation based upon a pre-trial minute. The order of separation necessitates consideration by this court only of the averments in respect of the incident, wrongfulness and negligence.</w:t>
      </w:r>
    </w:p>
  </w:footnote>
  <w:footnote w:id="3">
    <w:p w14:paraId="157E5A08" w14:textId="06ECB3F5" w:rsidR="00EA2CBF" w:rsidRPr="00EA2CBF" w:rsidRDefault="00EA2CBF" w:rsidP="007E04F6">
      <w:pPr>
        <w:pStyle w:val="FootnoteText"/>
        <w:spacing w:line="240" w:lineRule="auto"/>
        <w:jc w:val="both"/>
        <w:rPr>
          <w:lang w:val="en-US"/>
        </w:rPr>
      </w:pPr>
      <w:r>
        <w:rPr>
          <w:rStyle w:val="FootnoteReference"/>
        </w:rPr>
        <w:footnoteRef/>
      </w:r>
      <w:r>
        <w:t xml:space="preserve"> </w:t>
      </w:r>
      <w:r>
        <w:rPr>
          <w:i/>
          <w:iCs/>
          <w:lang w:val="en-US"/>
        </w:rPr>
        <w:t>McIntosh v Premier, KwaZulu-Natal and Another</w:t>
      </w:r>
      <w:r>
        <w:rPr>
          <w:lang w:val="en-US"/>
        </w:rPr>
        <w:t xml:space="preserve"> 2008 (6) SA 1 (SCA) </w:t>
      </w:r>
      <w:r w:rsidR="004C0891">
        <w:rPr>
          <w:lang w:val="en-US"/>
        </w:rPr>
        <w:t>(‘</w:t>
      </w:r>
      <w:r w:rsidR="004C0891">
        <w:rPr>
          <w:i/>
          <w:iCs/>
          <w:lang w:val="en-US"/>
        </w:rPr>
        <w:t>McIntosh</w:t>
      </w:r>
      <w:r w:rsidR="004C0891">
        <w:rPr>
          <w:lang w:val="en-US"/>
        </w:rPr>
        <w:t>’)</w:t>
      </w:r>
      <w:r w:rsidR="004C0891">
        <w:rPr>
          <w:i/>
          <w:iCs/>
          <w:lang w:val="en-US"/>
        </w:rPr>
        <w:t xml:space="preserve"> </w:t>
      </w:r>
      <w:r>
        <w:rPr>
          <w:lang w:val="en-US"/>
        </w:rPr>
        <w:t>para 11.</w:t>
      </w:r>
    </w:p>
  </w:footnote>
  <w:footnote w:id="4">
    <w:p w14:paraId="1DEE52EA" w14:textId="1A8F2308" w:rsidR="00977973" w:rsidRPr="00977973" w:rsidRDefault="00977973" w:rsidP="007E04F6">
      <w:pPr>
        <w:pStyle w:val="FootnoteText"/>
        <w:spacing w:line="240" w:lineRule="auto"/>
        <w:jc w:val="both"/>
        <w:rPr>
          <w:lang w:val="en-US"/>
        </w:rPr>
      </w:pPr>
      <w:r>
        <w:rPr>
          <w:rStyle w:val="FootnoteReference"/>
        </w:rPr>
        <w:footnoteRef/>
      </w:r>
      <w:r>
        <w:t xml:space="preserve"> </w:t>
      </w:r>
      <w:r>
        <w:rPr>
          <w:i/>
          <w:iCs/>
          <w:lang w:val="en-US"/>
        </w:rPr>
        <w:t xml:space="preserve">Za v Smith and Another </w:t>
      </w:r>
      <w:r>
        <w:rPr>
          <w:lang w:val="en-US"/>
        </w:rPr>
        <w:t xml:space="preserve">[2015] 3 All SA 288 (SCA) </w:t>
      </w:r>
      <w:r w:rsidR="003F21B6">
        <w:rPr>
          <w:lang w:val="en-US"/>
        </w:rPr>
        <w:t>(‘</w:t>
      </w:r>
      <w:r w:rsidR="003F21B6">
        <w:rPr>
          <w:i/>
          <w:iCs/>
          <w:lang w:val="en-US"/>
        </w:rPr>
        <w:t>Smith</w:t>
      </w:r>
      <w:r w:rsidR="003F21B6">
        <w:rPr>
          <w:lang w:val="en-US"/>
        </w:rPr>
        <w:t>’)</w:t>
      </w:r>
      <w:r w:rsidR="003F21B6">
        <w:rPr>
          <w:i/>
          <w:iCs/>
          <w:lang w:val="en-US"/>
        </w:rPr>
        <w:t xml:space="preserve"> </w:t>
      </w:r>
      <w:r>
        <w:rPr>
          <w:lang w:val="en-US"/>
        </w:rPr>
        <w:t xml:space="preserve">para </w:t>
      </w:r>
      <w:r w:rsidR="00244ADC">
        <w:rPr>
          <w:lang w:val="en-US"/>
        </w:rPr>
        <w:t>2</w:t>
      </w:r>
      <w:r w:rsidR="00B86EAA">
        <w:rPr>
          <w:lang w:val="en-US"/>
        </w:rPr>
        <w:t>1.</w:t>
      </w:r>
    </w:p>
  </w:footnote>
  <w:footnote w:id="5">
    <w:p w14:paraId="5B1055A6" w14:textId="0C372A8C" w:rsidR="00FF5AD0" w:rsidRPr="00FF5AD0" w:rsidRDefault="00FF5AD0" w:rsidP="007E04F6">
      <w:pPr>
        <w:pStyle w:val="FootnoteText"/>
        <w:spacing w:line="240" w:lineRule="auto"/>
        <w:jc w:val="both"/>
        <w:rPr>
          <w:lang w:val="en-US"/>
        </w:rPr>
      </w:pPr>
      <w:r>
        <w:rPr>
          <w:rStyle w:val="FootnoteReference"/>
        </w:rPr>
        <w:footnoteRef/>
      </w:r>
      <w:r>
        <w:t xml:space="preserve"> </w:t>
      </w:r>
      <w:r>
        <w:rPr>
          <w:lang w:val="en-US"/>
        </w:rPr>
        <w:t xml:space="preserve">See, by way of example, the analysis </w:t>
      </w:r>
      <w:r w:rsidR="000931B1">
        <w:rPr>
          <w:lang w:val="en-US"/>
        </w:rPr>
        <w:t xml:space="preserve">in </w:t>
      </w:r>
      <w:r>
        <w:rPr>
          <w:i/>
          <w:iCs/>
          <w:lang w:val="en-US"/>
        </w:rPr>
        <w:t xml:space="preserve">Smith </w:t>
      </w:r>
      <w:r w:rsidR="000931B1">
        <w:rPr>
          <w:lang w:val="en-US"/>
        </w:rPr>
        <w:t>above n 4</w:t>
      </w:r>
      <w:r w:rsidR="005C5766">
        <w:rPr>
          <w:lang w:val="en-US"/>
        </w:rPr>
        <w:t xml:space="preserve"> paras 14–21.</w:t>
      </w:r>
    </w:p>
  </w:footnote>
  <w:footnote w:id="6">
    <w:p w14:paraId="578110DA" w14:textId="1171FC18" w:rsidR="00B92109" w:rsidRPr="00B92109" w:rsidRDefault="00B92109" w:rsidP="007E04F6">
      <w:pPr>
        <w:pStyle w:val="FootnoteText"/>
        <w:spacing w:line="240" w:lineRule="auto"/>
        <w:jc w:val="both"/>
        <w:rPr>
          <w:lang w:val="en-US"/>
        </w:rPr>
      </w:pPr>
      <w:r>
        <w:rPr>
          <w:rStyle w:val="FootnoteReference"/>
        </w:rPr>
        <w:footnoteRef/>
      </w:r>
      <w:r>
        <w:t xml:space="preserve"> </w:t>
      </w:r>
      <w:r>
        <w:rPr>
          <w:i/>
          <w:iCs/>
          <w:lang w:val="en-US"/>
        </w:rPr>
        <w:t>Du Plessis v Nelson Mandela Metropolitan Municipality</w:t>
      </w:r>
      <w:r>
        <w:rPr>
          <w:lang w:val="en-US"/>
        </w:rPr>
        <w:t xml:space="preserve"> [2009] ZAECGHC 54 </w:t>
      </w:r>
      <w:r w:rsidR="005C7968">
        <w:rPr>
          <w:lang w:val="en-US"/>
        </w:rPr>
        <w:t>(‘</w:t>
      </w:r>
      <w:r w:rsidR="005C7968">
        <w:rPr>
          <w:i/>
          <w:iCs/>
          <w:lang w:val="en-US"/>
        </w:rPr>
        <w:t>Du Plessis</w:t>
      </w:r>
      <w:r w:rsidR="005C7968">
        <w:rPr>
          <w:lang w:val="en-US"/>
        </w:rPr>
        <w:t>’)</w:t>
      </w:r>
      <w:r w:rsidR="005C7968">
        <w:rPr>
          <w:i/>
          <w:iCs/>
          <w:lang w:val="en-US"/>
        </w:rPr>
        <w:t xml:space="preserve"> </w:t>
      </w:r>
      <w:r>
        <w:rPr>
          <w:lang w:val="en-US"/>
        </w:rPr>
        <w:t xml:space="preserve">para </w:t>
      </w:r>
      <w:r w:rsidR="00D22784">
        <w:rPr>
          <w:lang w:val="en-US"/>
        </w:rPr>
        <w:t>20.</w:t>
      </w:r>
    </w:p>
  </w:footnote>
  <w:footnote w:id="7">
    <w:p w14:paraId="2BF28658" w14:textId="2EB8CD5F" w:rsidR="00DF3D2A" w:rsidRPr="00DF3D2A" w:rsidRDefault="00DF3D2A" w:rsidP="007E04F6">
      <w:pPr>
        <w:pStyle w:val="FootnoteText"/>
        <w:spacing w:line="240" w:lineRule="auto"/>
        <w:jc w:val="both"/>
        <w:rPr>
          <w:lang w:val="en-US"/>
        </w:rPr>
      </w:pPr>
      <w:r>
        <w:rPr>
          <w:rStyle w:val="FootnoteReference"/>
        </w:rPr>
        <w:footnoteRef/>
      </w:r>
      <w:r>
        <w:t xml:space="preserve"> </w:t>
      </w:r>
      <w:r>
        <w:rPr>
          <w:i/>
          <w:iCs/>
          <w:lang w:val="en-US"/>
        </w:rPr>
        <w:t>October v Nelson Mandela Bay Metropolitan Municipality</w:t>
      </w:r>
      <w:r>
        <w:rPr>
          <w:lang w:val="en-US"/>
        </w:rPr>
        <w:t xml:space="preserve"> [2008] ZAECHC 205 para 18.</w:t>
      </w:r>
    </w:p>
  </w:footnote>
  <w:footnote w:id="8">
    <w:p w14:paraId="2C84C27E" w14:textId="0DACE187" w:rsidR="00674DC3" w:rsidRPr="00BC75E6" w:rsidRDefault="00674DC3" w:rsidP="007E04F6">
      <w:pPr>
        <w:pStyle w:val="FootnoteText"/>
        <w:spacing w:line="240" w:lineRule="auto"/>
        <w:jc w:val="both"/>
        <w:rPr>
          <w:lang w:val="en-US"/>
        </w:rPr>
      </w:pPr>
      <w:r>
        <w:rPr>
          <w:rStyle w:val="FootnoteReference"/>
        </w:rPr>
        <w:footnoteRef/>
      </w:r>
      <w:r>
        <w:t xml:space="preserve"> </w:t>
      </w:r>
      <w:r w:rsidR="00B3656C">
        <w:rPr>
          <w:lang w:val="en-US"/>
        </w:rPr>
        <w:t xml:space="preserve">Cf </w:t>
      </w:r>
      <w:r w:rsidR="00B3656C">
        <w:rPr>
          <w:i/>
          <w:iCs/>
          <w:lang w:val="en-US"/>
        </w:rPr>
        <w:t>Cutting v The Nelson Mandela Municipality</w:t>
      </w:r>
      <w:r w:rsidR="00B3656C">
        <w:rPr>
          <w:lang w:val="en-US"/>
        </w:rPr>
        <w:t xml:space="preserve"> [2002] ZAECHC 18 para 9.</w:t>
      </w:r>
      <w:r w:rsidR="00F83534">
        <w:rPr>
          <w:lang w:val="en-US"/>
        </w:rPr>
        <w:t xml:space="preserve"> Also see </w:t>
      </w:r>
      <w:r w:rsidR="00F83534">
        <w:rPr>
          <w:i/>
          <w:iCs/>
          <w:lang w:val="en-US"/>
        </w:rPr>
        <w:t>Fischbac</w:t>
      </w:r>
      <w:r w:rsidR="00336055">
        <w:rPr>
          <w:i/>
          <w:iCs/>
          <w:lang w:val="en-US"/>
        </w:rPr>
        <w:t>h</w:t>
      </w:r>
      <w:r w:rsidR="00F83534">
        <w:rPr>
          <w:i/>
          <w:iCs/>
          <w:lang w:val="en-US"/>
        </w:rPr>
        <w:t xml:space="preserve"> v Pretoria City Council</w:t>
      </w:r>
      <w:r w:rsidR="00F83534">
        <w:rPr>
          <w:lang w:val="en-US"/>
        </w:rPr>
        <w:t xml:space="preserve"> 1969 (2) SA 693 (T) </w:t>
      </w:r>
      <w:r w:rsidR="00826B3E">
        <w:rPr>
          <w:lang w:val="en-US"/>
        </w:rPr>
        <w:t>(‘</w:t>
      </w:r>
      <w:r w:rsidR="00826B3E">
        <w:rPr>
          <w:i/>
          <w:iCs/>
          <w:lang w:val="en-US"/>
        </w:rPr>
        <w:t>Fischbach</w:t>
      </w:r>
      <w:r w:rsidR="00826B3E">
        <w:rPr>
          <w:lang w:val="en-US"/>
        </w:rPr>
        <w:t>’)</w:t>
      </w:r>
      <w:r w:rsidR="00826B3E">
        <w:rPr>
          <w:i/>
          <w:iCs/>
          <w:lang w:val="en-US"/>
        </w:rPr>
        <w:t xml:space="preserve"> </w:t>
      </w:r>
      <w:r w:rsidR="00F83534">
        <w:rPr>
          <w:lang w:val="en-US"/>
        </w:rPr>
        <w:t>at 697C–F</w:t>
      </w:r>
      <w:r w:rsidR="00BC75E6">
        <w:rPr>
          <w:lang w:val="en-US"/>
        </w:rPr>
        <w:t xml:space="preserve">; </w:t>
      </w:r>
      <w:r w:rsidR="00BC75E6">
        <w:rPr>
          <w:i/>
          <w:iCs/>
          <w:lang w:val="en-US"/>
        </w:rPr>
        <w:t>Butise v City of Johannesburg and Others</w:t>
      </w:r>
      <w:r w:rsidR="00BC75E6">
        <w:rPr>
          <w:lang w:val="en-US"/>
        </w:rPr>
        <w:t xml:space="preserve"> 2011 (6) SA 196 (GSJ) </w:t>
      </w:r>
      <w:r w:rsidR="00050612">
        <w:rPr>
          <w:lang w:val="en-US"/>
        </w:rPr>
        <w:t>(‘</w:t>
      </w:r>
      <w:r w:rsidR="00050612">
        <w:rPr>
          <w:i/>
          <w:iCs/>
          <w:lang w:val="en-US"/>
        </w:rPr>
        <w:t>Butise</w:t>
      </w:r>
      <w:r w:rsidR="00050612">
        <w:rPr>
          <w:lang w:val="en-US"/>
        </w:rPr>
        <w:t>’)</w:t>
      </w:r>
      <w:r w:rsidR="00050612">
        <w:rPr>
          <w:i/>
          <w:iCs/>
          <w:lang w:val="en-US"/>
        </w:rPr>
        <w:t xml:space="preserve"> </w:t>
      </w:r>
      <w:r w:rsidR="00BC75E6">
        <w:rPr>
          <w:lang w:val="en-US"/>
        </w:rPr>
        <w:t>para 24.</w:t>
      </w:r>
    </w:p>
  </w:footnote>
  <w:footnote w:id="9">
    <w:p w14:paraId="506B0ED0" w14:textId="7D50BD04" w:rsidR="00C817F7" w:rsidRPr="00C817F7" w:rsidRDefault="00C817F7" w:rsidP="007E04F6">
      <w:pPr>
        <w:pStyle w:val="FootnoteText"/>
        <w:spacing w:line="240" w:lineRule="auto"/>
        <w:jc w:val="both"/>
        <w:rPr>
          <w:lang w:val="en-US"/>
        </w:rPr>
      </w:pPr>
      <w:r>
        <w:rPr>
          <w:rStyle w:val="FootnoteReference"/>
        </w:rPr>
        <w:footnoteRef/>
      </w:r>
      <w:r>
        <w:t xml:space="preserve"> </w:t>
      </w:r>
      <w:r>
        <w:rPr>
          <w:i/>
          <w:iCs/>
          <w:lang w:val="en-US"/>
        </w:rPr>
        <w:t xml:space="preserve">Kruger v Coetzee </w:t>
      </w:r>
      <w:r>
        <w:rPr>
          <w:lang w:val="en-US"/>
        </w:rPr>
        <w:t>1966 (2) SA 428 (A) at 430E.</w:t>
      </w:r>
    </w:p>
  </w:footnote>
  <w:footnote w:id="10">
    <w:p w14:paraId="0BF087BF" w14:textId="77777777" w:rsidR="00D60F31" w:rsidRPr="003B3E6C" w:rsidRDefault="00D60F31" w:rsidP="007E04F6">
      <w:pPr>
        <w:pStyle w:val="FootnoteText"/>
        <w:spacing w:line="240" w:lineRule="auto"/>
        <w:jc w:val="both"/>
        <w:rPr>
          <w:lang w:val="en-US"/>
        </w:rPr>
      </w:pPr>
      <w:r>
        <w:rPr>
          <w:rStyle w:val="FootnoteReference"/>
        </w:rPr>
        <w:footnoteRef/>
      </w:r>
      <w:r>
        <w:t xml:space="preserve"> </w:t>
      </w:r>
      <w:r>
        <w:rPr>
          <w:i/>
          <w:iCs/>
          <w:lang w:val="en-US"/>
        </w:rPr>
        <w:t xml:space="preserve">Herschel v Mrupe </w:t>
      </w:r>
      <w:r>
        <w:rPr>
          <w:lang w:val="en-US"/>
        </w:rPr>
        <w:t>1954 (3) SA 464 (A) at 476G–477D.</w:t>
      </w:r>
    </w:p>
  </w:footnote>
  <w:footnote w:id="11">
    <w:p w14:paraId="6FDB1E96" w14:textId="1460E775" w:rsidR="008C62A1" w:rsidRPr="008C62A1" w:rsidRDefault="008C62A1" w:rsidP="007E04F6">
      <w:pPr>
        <w:pStyle w:val="FootnoteText"/>
        <w:spacing w:line="240" w:lineRule="auto"/>
        <w:jc w:val="both"/>
        <w:rPr>
          <w:lang w:val="en-US"/>
        </w:rPr>
      </w:pPr>
      <w:r>
        <w:rPr>
          <w:rStyle w:val="FootnoteReference"/>
        </w:rPr>
        <w:footnoteRef/>
      </w:r>
      <w:r>
        <w:t xml:space="preserve"> </w:t>
      </w:r>
      <w:r>
        <w:rPr>
          <w:i/>
          <w:iCs/>
          <w:lang w:val="en-US"/>
        </w:rPr>
        <w:t>Cape Metropolitan Council v Graham</w:t>
      </w:r>
      <w:r>
        <w:rPr>
          <w:lang w:val="en-US"/>
        </w:rPr>
        <w:t xml:space="preserve"> 2001 (1) SA 1197 (SCA) para 7</w:t>
      </w:r>
      <w:r w:rsidR="004E2643">
        <w:rPr>
          <w:lang w:val="en-US"/>
        </w:rPr>
        <w:t>.</w:t>
      </w:r>
    </w:p>
  </w:footnote>
  <w:footnote w:id="12">
    <w:p w14:paraId="66B4C3E9" w14:textId="53858497" w:rsidR="007978FB" w:rsidRPr="007978FB" w:rsidRDefault="007978FB" w:rsidP="007E04F6">
      <w:pPr>
        <w:pStyle w:val="FootnoteText"/>
        <w:spacing w:line="240" w:lineRule="auto"/>
        <w:jc w:val="both"/>
        <w:rPr>
          <w:lang w:val="en-US"/>
        </w:rPr>
      </w:pPr>
      <w:r>
        <w:rPr>
          <w:rStyle w:val="FootnoteReference"/>
        </w:rPr>
        <w:footnoteRef/>
      </w:r>
      <w:r>
        <w:t xml:space="preserve"> </w:t>
      </w:r>
      <w:r>
        <w:rPr>
          <w:i/>
          <w:iCs/>
          <w:lang w:val="en-US"/>
        </w:rPr>
        <w:t>Pretoria City Council v De Jager</w:t>
      </w:r>
      <w:r>
        <w:rPr>
          <w:lang w:val="en-US"/>
        </w:rPr>
        <w:t xml:space="preserve"> 1997 (2) SA 46 (A) </w:t>
      </w:r>
      <w:r w:rsidR="00FA00C5">
        <w:rPr>
          <w:lang w:val="en-US"/>
        </w:rPr>
        <w:t>(‘</w:t>
      </w:r>
      <w:r w:rsidR="00FA00C5">
        <w:rPr>
          <w:i/>
          <w:iCs/>
          <w:lang w:val="en-US"/>
        </w:rPr>
        <w:t>De Jager</w:t>
      </w:r>
      <w:r w:rsidR="00FA00C5">
        <w:rPr>
          <w:lang w:val="en-US"/>
        </w:rPr>
        <w:t>’)</w:t>
      </w:r>
      <w:r w:rsidR="00FA00C5">
        <w:rPr>
          <w:i/>
          <w:iCs/>
          <w:lang w:val="en-US"/>
        </w:rPr>
        <w:t xml:space="preserve"> </w:t>
      </w:r>
      <w:r>
        <w:rPr>
          <w:lang w:val="en-US"/>
        </w:rPr>
        <w:t>at 55H–I.</w:t>
      </w:r>
    </w:p>
  </w:footnote>
  <w:footnote w:id="13">
    <w:p w14:paraId="08504EE4" w14:textId="5205DF69" w:rsidR="00FF5AD0" w:rsidRPr="00FF5AD0" w:rsidRDefault="00FF5AD0" w:rsidP="007E04F6">
      <w:pPr>
        <w:pStyle w:val="FootnoteText"/>
        <w:spacing w:line="240" w:lineRule="auto"/>
        <w:jc w:val="both"/>
        <w:rPr>
          <w:lang w:val="en-US"/>
        </w:rPr>
      </w:pPr>
      <w:r>
        <w:rPr>
          <w:rStyle w:val="FootnoteReference"/>
        </w:rPr>
        <w:footnoteRef/>
      </w:r>
      <w:r>
        <w:t xml:space="preserve"> </w:t>
      </w:r>
      <w:r>
        <w:rPr>
          <w:i/>
          <w:iCs/>
          <w:lang w:val="en-US"/>
        </w:rPr>
        <w:t>Ngubane v South African Transport Services</w:t>
      </w:r>
      <w:r>
        <w:rPr>
          <w:lang w:val="en-US"/>
        </w:rPr>
        <w:t xml:space="preserve"> [1990</w:t>
      </w:r>
      <w:r w:rsidR="00F87D51">
        <w:rPr>
          <w:lang w:val="en-US"/>
        </w:rPr>
        <w:t>]</w:t>
      </w:r>
      <w:r>
        <w:rPr>
          <w:lang w:val="en-US"/>
        </w:rPr>
        <w:t xml:space="preserve"> ZASCA 148; 1991 (1) SA 756 (A) at 776H–J; </w:t>
      </w:r>
      <w:r>
        <w:rPr>
          <w:i/>
          <w:iCs/>
          <w:lang w:val="en-US"/>
        </w:rPr>
        <w:t>De Jager</w:t>
      </w:r>
      <w:r>
        <w:rPr>
          <w:lang w:val="en-US"/>
        </w:rPr>
        <w:t xml:space="preserve"> </w:t>
      </w:r>
      <w:r w:rsidR="00FA00C5">
        <w:rPr>
          <w:lang w:val="en-US"/>
        </w:rPr>
        <w:t xml:space="preserve">above n </w:t>
      </w:r>
      <w:r w:rsidR="00CE61C3">
        <w:rPr>
          <w:lang w:val="en-US"/>
        </w:rPr>
        <w:t>12</w:t>
      </w:r>
      <w:r w:rsidR="00FA00C5">
        <w:rPr>
          <w:lang w:val="en-US"/>
        </w:rPr>
        <w:t xml:space="preserve"> </w:t>
      </w:r>
      <w:r>
        <w:rPr>
          <w:lang w:val="en-US"/>
        </w:rPr>
        <w:t>at 55H–56C.</w:t>
      </w:r>
      <w:r w:rsidR="00C76576">
        <w:rPr>
          <w:lang w:val="en-US"/>
        </w:rPr>
        <w:t xml:space="preserve"> In respect of the third consideration, the question is whether ‘the game is worth the candle, with reference to the ‘social value of the interest which the actor is seeking to advance</w:t>
      </w:r>
      <w:r w:rsidR="00A919E0">
        <w:rPr>
          <w:lang w:val="en-US"/>
        </w:rPr>
        <w:t>’.</w:t>
      </w:r>
    </w:p>
  </w:footnote>
  <w:footnote w:id="14">
    <w:p w14:paraId="143A0A86" w14:textId="1762486B" w:rsidR="009F2B50" w:rsidRPr="009F2B50" w:rsidRDefault="009F2B50" w:rsidP="007E04F6">
      <w:pPr>
        <w:pStyle w:val="FootnoteText"/>
        <w:spacing w:line="240" w:lineRule="auto"/>
        <w:jc w:val="both"/>
        <w:rPr>
          <w:lang w:val="en-US"/>
        </w:rPr>
      </w:pPr>
      <w:r>
        <w:rPr>
          <w:rStyle w:val="FootnoteReference"/>
        </w:rPr>
        <w:footnoteRef/>
      </w:r>
      <w:r>
        <w:t xml:space="preserve"> </w:t>
      </w:r>
      <w:r>
        <w:rPr>
          <w:i/>
          <w:iCs/>
          <w:lang w:val="en-US"/>
        </w:rPr>
        <w:t>De Jager</w:t>
      </w:r>
      <w:r>
        <w:rPr>
          <w:lang w:val="en-US"/>
        </w:rPr>
        <w:t xml:space="preserve"> above n </w:t>
      </w:r>
      <w:r w:rsidR="004E3673">
        <w:rPr>
          <w:lang w:val="en-US"/>
        </w:rPr>
        <w:t>12</w:t>
      </w:r>
      <w:r>
        <w:rPr>
          <w:lang w:val="en-US"/>
        </w:rPr>
        <w:t xml:space="preserve"> at 56B–C.</w:t>
      </w:r>
      <w:r w:rsidR="000E6EE8">
        <w:rPr>
          <w:lang w:val="en-US"/>
        </w:rPr>
        <w:t xml:space="preserve"> </w:t>
      </w:r>
    </w:p>
  </w:footnote>
  <w:footnote w:id="15">
    <w:p w14:paraId="3A4C1DC8" w14:textId="6729C157" w:rsidR="00176E89" w:rsidRPr="00176E89" w:rsidRDefault="00176E89" w:rsidP="007E04F6">
      <w:pPr>
        <w:pStyle w:val="FootnoteText"/>
        <w:spacing w:line="240" w:lineRule="auto"/>
        <w:jc w:val="both"/>
        <w:rPr>
          <w:lang w:val="en-US"/>
        </w:rPr>
      </w:pPr>
      <w:r>
        <w:rPr>
          <w:rStyle w:val="FootnoteReference"/>
        </w:rPr>
        <w:footnoteRef/>
      </w:r>
      <w:r>
        <w:t xml:space="preserve"> </w:t>
      </w:r>
      <w:r>
        <w:rPr>
          <w:i/>
          <w:iCs/>
          <w:lang w:val="en-US"/>
        </w:rPr>
        <w:t xml:space="preserve">Smith </w:t>
      </w:r>
      <w:r>
        <w:rPr>
          <w:lang w:val="en-US"/>
        </w:rPr>
        <w:t xml:space="preserve">above n </w:t>
      </w:r>
      <w:r w:rsidR="0098709F">
        <w:rPr>
          <w:lang w:val="en-US"/>
        </w:rPr>
        <w:t>4</w:t>
      </w:r>
      <w:r>
        <w:rPr>
          <w:lang w:val="en-US"/>
        </w:rPr>
        <w:t xml:space="preserve"> para 24.</w:t>
      </w:r>
      <w:r w:rsidR="005A489C">
        <w:rPr>
          <w:lang w:val="en-US"/>
        </w:rPr>
        <w:t xml:space="preserve"> Also see </w:t>
      </w:r>
      <w:r w:rsidR="005A489C">
        <w:rPr>
          <w:i/>
          <w:iCs/>
          <w:lang w:val="en-US"/>
        </w:rPr>
        <w:t xml:space="preserve">Du Plessis </w:t>
      </w:r>
      <w:r w:rsidR="00691832">
        <w:rPr>
          <w:lang w:val="en-US"/>
        </w:rPr>
        <w:t xml:space="preserve">above n 6 </w:t>
      </w:r>
      <w:r w:rsidR="005A489C">
        <w:rPr>
          <w:lang w:val="en-US"/>
        </w:rPr>
        <w:t>para 22. In that matter, the plaintiff had stepped into a hole in the road of between 300 or 400 mms. When she stepped into or next to the hole a layer of tar gave way under her, causing the existing hole to enlarge. The respondent had been warned of the existence of the hole some days prior to the incident, but had taken no steps to fix the hole or warn the public of its existence, and had led no evidence as to budgetary or other constraints which prevented it from fixing holes in the street promptly, or from at least erecting warning signs when such holes in the street had been reported. The court held that it would have been sufficient for the respondent to warn the road users by encircling the area with a barrier, which would have involved minimal expenses. A reasonable municipality in the shoes of the respondent would have sent people to inspect the hole. Had they done so, it would have been apparent that there was an immediate need to repair or fix the road or to at least put visible warning signs to alert the road users about the risk of harm. A collapsed drain was a serious matter calling for urgent investigation and the prevention of serious injury, which could have been achieved at no extra cost. Failing to take such steps constituted negligence: paras 23–24.</w:t>
      </w:r>
    </w:p>
  </w:footnote>
  <w:footnote w:id="16">
    <w:p w14:paraId="0A6DBD08" w14:textId="0F1C6ED8" w:rsidR="004D0615" w:rsidRPr="004D0615" w:rsidRDefault="004D0615" w:rsidP="007E04F6">
      <w:pPr>
        <w:pStyle w:val="FootnoteText"/>
        <w:spacing w:line="240" w:lineRule="auto"/>
        <w:jc w:val="both"/>
        <w:rPr>
          <w:lang w:val="en-US"/>
        </w:rPr>
      </w:pPr>
      <w:r>
        <w:rPr>
          <w:rStyle w:val="FootnoteReference"/>
        </w:rPr>
        <w:footnoteRef/>
      </w:r>
      <w:r>
        <w:t xml:space="preserve"> </w:t>
      </w:r>
      <w:r>
        <w:rPr>
          <w:i/>
          <w:iCs/>
          <w:lang w:val="en-US"/>
        </w:rPr>
        <w:t>Municipality of the City of PE v Meikle</w:t>
      </w:r>
      <w:r>
        <w:rPr>
          <w:lang w:val="en-US"/>
        </w:rPr>
        <w:t xml:space="preserve"> [2002] JOL 9525 (A) </w:t>
      </w:r>
      <w:r w:rsidR="00371222">
        <w:rPr>
          <w:lang w:val="en-US"/>
        </w:rPr>
        <w:t>(‘</w:t>
      </w:r>
      <w:r w:rsidR="00371222">
        <w:rPr>
          <w:i/>
          <w:iCs/>
          <w:lang w:val="en-US"/>
        </w:rPr>
        <w:t>Meikle</w:t>
      </w:r>
      <w:r w:rsidR="00371222">
        <w:rPr>
          <w:lang w:val="en-US"/>
        </w:rPr>
        <w:t>’)</w:t>
      </w:r>
      <w:r w:rsidR="00371222">
        <w:rPr>
          <w:i/>
          <w:iCs/>
          <w:lang w:val="en-US"/>
        </w:rPr>
        <w:t xml:space="preserve"> </w:t>
      </w:r>
      <w:r>
        <w:rPr>
          <w:lang w:val="en-US"/>
        </w:rPr>
        <w:t>para 9.</w:t>
      </w:r>
    </w:p>
  </w:footnote>
  <w:footnote w:id="17">
    <w:p w14:paraId="02D4BF69" w14:textId="207F446E" w:rsidR="00E92FB5" w:rsidRPr="00E92FB5" w:rsidRDefault="00E92FB5" w:rsidP="007E04F6">
      <w:pPr>
        <w:pStyle w:val="FootnoteText"/>
        <w:spacing w:line="240" w:lineRule="auto"/>
        <w:jc w:val="both"/>
        <w:rPr>
          <w:lang w:val="en-US"/>
        </w:rPr>
      </w:pPr>
      <w:r>
        <w:rPr>
          <w:rStyle w:val="FootnoteReference"/>
        </w:rPr>
        <w:footnoteRef/>
      </w:r>
      <w:r>
        <w:t xml:space="preserve"> </w:t>
      </w:r>
      <w:r>
        <w:rPr>
          <w:i/>
          <w:iCs/>
          <w:lang w:val="en-US"/>
        </w:rPr>
        <w:t>Kruger v Coetzee</w:t>
      </w:r>
      <w:r>
        <w:rPr>
          <w:lang w:val="en-US"/>
        </w:rPr>
        <w:t xml:space="preserve"> above n </w:t>
      </w:r>
      <w:r w:rsidR="00691832">
        <w:rPr>
          <w:lang w:val="en-US"/>
        </w:rPr>
        <w:t>9</w:t>
      </w:r>
      <w:r>
        <w:rPr>
          <w:lang w:val="en-US"/>
        </w:rPr>
        <w:t xml:space="preserve"> at 430G.</w:t>
      </w:r>
    </w:p>
  </w:footnote>
  <w:footnote w:id="18">
    <w:p w14:paraId="74FBAEAC" w14:textId="2CA26109" w:rsidR="00283125" w:rsidRPr="001D4858" w:rsidRDefault="00283125" w:rsidP="007E04F6">
      <w:pPr>
        <w:pStyle w:val="FootnoteText"/>
        <w:spacing w:line="240" w:lineRule="auto"/>
        <w:jc w:val="both"/>
        <w:rPr>
          <w:lang w:val="en-US"/>
        </w:rPr>
      </w:pPr>
      <w:r>
        <w:rPr>
          <w:rStyle w:val="FootnoteReference"/>
        </w:rPr>
        <w:footnoteRef/>
      </w:r>
      <w:r>
        <w:t xml:space="preserve"> </w:t>
      </w:r>
      <w:r>
        <w:rPr>
          <w:i/>
          <w:iCs/>
          <w:lang w:val="en-US"/>
        </w:rPr>
        <w:t>Sardi and Others v Standard and General Insurance Co Ltd</w:t>
      </w:r>
      <w:r>
        <w:rPr>
          <w:lang w:val="en-US"/>
        </w:rPr>
        <w:t xml:space="preserve"> 1977 (3) SA 776 (A) at 780C–H, as cited in </w:t>
      </w:r>
      <w:r>
        <w:rPr>
          <w:i/>
          <w:iCs/>
          <w:lang w:val="en-US"/>
        </w:rPr>
        <w:t>Goliath v MEC for Health, Eastern Cape</w:t>
      </w:r>
      <w:r>
        <w:rPr>
          <w:lang w:val="en-US"/>
        </w:rPr>
        <w:t xml:space="preserve"> 2015 (2) SA 97 (SCA) </w:t>
      </w:r>
      <w:r w:rsidR="00691832">
        <w:rPr>
          <w:lang w:val="en-US"/>
        </w:rPr>
        <w:t>(‘</w:t>
      </w:r>
      <w:r w:rsidR="00691832">
        <w:rPr>
          <w:i/>
          <w:iCs/>
          <w:lang w:val="en-US"/>
        </w:rPr>
        <w:t>Goliath</w:t>
      </w:r>
      <w:r w:rsidR="00691832">
        <w:rPr>
          <w:lang w:val="en-US"/>
        </w:rPr>
        <w:t>’)</w:t>
      </w:r>
      <w:r w:rsidR="00691832">
        <w:rPr>
          <w:i/>
          <w:iCs/>
          <w:lang w:val="en-US"/>
        </w:rPr>
        <w:t xml:space="preserve"> </w:t>
      </w:r>
      <w:r>
        <w:rPr>
          <w:lang w:val="en-US"/>
        </w:rPr>
        <w:t>para 11.</w:t>
      </w:r>
    </w:p>
  </w:footnote>
  <w:footnote w:id="19">
    <w:p w14:paraId="0E82BFC1" w14:textId="75A8DB6D" w:rsidR="00341899" w:rsidRPr="00B061CD" w:rsidRDefault="00341899" w:rsidP="007E04F6">
      <w:pPr>
        <w:pStyle w:val="FootnoteText"/>
        <w:spacing w:line="240" w:lineRule="auto"/>
        <w:jc w:val="both"/>
        <w:rPr>
          <w:lang w:val="en-US"/>
        </w:rPr>
      </w:pPr>
      <w:r>
        <w:rPr>
          <w:rStyle w:val="FootnoteReference"/>
        </w:rPr>
        <w:footnoteRef/>
      </w:r>
      <w:r>
        <w:t xml:space="preserve"> </w:t>
      </w:r>
      <w:r>
        <w:rPr>
          <w:i/>
          <w:iCs/>
          <w:lang w:val="en-US"/>
        </w:rPr>
        <w:t>Butise</w:t>
      </w:r>
      <w:r>
        <w:rPr>
          <w:lang w:val="en-US"/>
        </w:rPr>
        <w:t xml:space="preserve"> above n </w:t>
      </w:r>
      <w:r w:rsidR="004414B1">
        <w:rPr>
          <w:lang w:val="en-US"/>
        </w:rPr>
        <w:t>8</w:t>
      </w:r>
      <w:r>
        <w:rPr>
          <w:lang w:val="en-US"/>
        </w:rPr>
        <w:t xml:space="preserve"> para 27.</w:t>
      </w:r>
      <w:r w:rsidR="001861C2">
        <w:rPr>
          <w:lang w:val="en-US"/>
        </w:rPr>
        <w:t xml:space="preserve"> Also see JC Van der Walt and JR Midgley </w:t>
      </w:r>
      <w:r w:rsidR="001861C2">
        <w:rPr>
          <w:i/>
          <w:iCs/>
          <w:lang w:val="en-US"/>
        </w:rPr>
        <w:t>Principles of Delict</w:t>
      </w:r>
      <w:r w:rsidR="001861C2">
        <w:rPr>
          <w:lang w:val="en-US"/>
        </w:rPr>
        <w:t xml:space="preserve"> (4</w:t>
      </w:r>
      <w:r w:rsidR="001861C2" w:rsidRPr="001861C2">
        <w:rPr>
          <w:vertAlign w:val="superscript"/>
          <w:lang w:val="en-US"/>
        </w:rPr>
        <w:t>th</w:t>
      </w:r>
      <w:r w:rsidR="001861C2">
        <w:rPr>
          <w:lang w:val="en-US"/>
        </w:rPr>
        <w:t xml:space="preserve"> Ed) (2016) at 244–245.</w:t>
      </w:r>
      <w:r w:rsidR="00B061CD">
        <w:rPr>
          <w:lang w:val="en-US"/>
        </w:rPr>
        <w:t xml:space="preserve"> Cf </w:t>
      </w:r>
      <w:r w:rsidR="00B061CD">
        <w:rPr>
          <w:i/>
          <w:iCs/>
          <w:lang w:val="en-US"/>
        </w:rPr>
        <w:t>Kruger v Coetzee</w:t>
      </w:r>
      <w:r w:rsidR="00B061CD">
        <w:rPr>
          <w:lang w:val="en-US"/>
        </w:rPr>
        <w:t xml:space="preserve"> above n 9 at 431E–H.</w:t>
      </w:r>
    </w:p>
  </w:footnote>
  <w:footnote w:id="20">
    <w:p w14:paraId="49030C8E" w14:textId="51087E8F" w:rsidR="00341899" w:rsidRPr="00434627" w:rsidRDefault="00341899" w:rsidP="007E04F6">
      <w:pPr>
        <w:pStyle w:val="FootnoteText"/>
        <w:spacing w:line="240" w:lineRule="auto"/>
        <w:jc w:val="both"/>
        <w:rPr>
          <w:lang w:val="en-US"/>
        </w:rPr>
      </w:pPr>
      <w:r>
        <w:rPr>
          <w:rStyle w:val="FootnoteReference"/>
        </w:rPr>
        <w:footnoteRef/>
      </w:r>
      <w:r>
        <w:t xml:space="preserve"> </w:t>
      </w:r>
      <w:r>
        <w:rPr>
          <w:i/>
          <w:iCs/>
          <w:lang w:val="en-US"/>
        </w:rPr>
        <w:t>Butise</w:t>
      </w:r>
      <w:r>
        <w:rPr>
          <w:lang w:val="en-US"/>
        </w:rPr>
        <w:t xml:space="preserve"> above n </w:t>
      </w:r>
      <w:r w:rsidR="004414B1">
        <w:rPr>
          <w:lang w:val="en-US"/>
        </w:rPr>
        <w:t xml:space="preserve">8 </w:t>
      </w:r>
      <w:r>
        <w:rPr>
          <w:lang w:val="en-US"/>
        </w:rPr>
        <w:t>para 27.</w:t>
      </w:r>
    </w:p>
  </w:footnote>
  <w:footnote w:id="21">
    <w:p w14:paraId="11D5B17E" w14:textId="77777777" w:rsidR="00F86A2A" w:rsidRPr="00C143A1" w:rsidRDefault="00F86A2A" w:rsidP="007E04F6">
      <w:pPr>
        <w:pStyle w:val="FootnoteText"/>
        <w:spacing w:line="240" w:lineRule="auto"/>
        <w:jc w:val="both"/>
        <w:rPr>
          <w:lang w:val="en-US"/>
        </w:rPr>
      </w:pPr>
      <w:r>
        <w:rPr>
          <w:rStyle w:val="FootnoteReference"/>
        </w:rPr>
        <w:footnoteRef/>
      </w:r>
      <w:r>
        <w:t xml:space="preserve"> </w:t>
      </w:r>
      <w:r>
        <w:rPr>
          <w:i/>
          <w:iCs/>
          <w:lang w:val="en-US"/>
        </w:rPr>
        <w:t>Osborne Panama SA v Shell &amp; BP South African Petroleum Refineries (Pty) Ltd and Others</w:t>
      </w:r>
      <w:r>
        <w:rPr>
          <w:lang w:val="en-US"/>
        </w:rPr>
        <w:t xml:space="preserve"> 1982 (4) SA 890 (A) at 897G–H.</w:t>
      </w:r>
    </w:p>
  </w:footnote>
  <w:footnote w:id="22">
    <w:p w14:paraId="4E06E09A" w14:textId="35A3C8C2" w:rsidR="00F86A2A" w:rsidRPr="00715E31" w:rsidRDefault="00F86A2A" w:rsidP="007E04F6">
      <w:pPr>
        <w:pStyle w:val="FootnoteText"/>
        <w:spacing w:line="240" w:lineRule="auto"/>
        <w:jc w:val="both"/>
        <w:rPr>
          <w:lang w:val="en-US"/>
        </w:rPr>
      </w:pPr>
      <w:r>
        <w:rPr>
          <w:rStyle w:val="FootnoteReference"/>
        </w:rPr>
        <w:footnoteRef/>
      </w:r>
      <w:r>
        <w:t xml:space="preserve"> </w:t>
      </w:r>
      <w:r>
        <w:rPr>
          <w:i/>
          <w:iCs/>
          <w:lang w:val="en-US"/>
        </w:rPr>
        <w:t xml:space="preserve">Goliath </w:t>
      </w:r>
      <w:r w:rsidR="00304939">
        <w:rPr>
          <w:lang w:val="en-US"/>
        </w:rPr>
        <w:t xml:space="preserve">above n 18 </w:t>
      </w:r>
      <w:r>
        <w:rPr>
          <w:lang w:val="en-US"/>
        </w:rPr>
        <w:t xml:space="preserve">para 18, citing Lord Justice Hobhouse in </w:t>
      </w:r>
      <w:r>
        <w:rPr>
          <w:i/>
          <w:iCs/>
          <w:lang w:val="en-US"/>
        </w:rPr>
        <w:t>Ratcliffe v Plymouth and Torbay Health Authority</w:t>
      </w:r>
      <w:r>
        <w:rPr>
          <w:lang w:val="en-US"/>
        </w:rPr>
        <w:t xml:space="preserve"> [1998] EWCA Civ 2000.</w:t>
      </w:r>
    </w:p>
  </w:footnote>
  <w:footnote w:id="23">
    <w:p w14:paraId="4CDB20C5" w14:textId="77777777" w:rsidR="00717FE5" w:rsidRPr="0059590D" w:rsidRDefault="00717FE5" w:rsidP="007E04F6">
      <w:pPr>
        <w:pStyle w:val="FootnoteText"/>
        <w:spacing w:line="240" w:lineRule="auto"/>
        <w:jc w:val="both"/>
        <w:rPr>
          <w:lang w:val="en-US"/>
        </w:rPr>
      </w:pPr>
      <w:r>
        <w:rPr>
          <w:rStyle w:val="FootnoteReference"/>
        </w:rPr>
        <w:footnoteRef/>
      </w:r>
      <w:r>
        <w:t xml:space="preserve"> </w:t>
      </w:r>
      <w:r>
        <w:rPr>
          <w:i/>
          <w:iCs/>
          <w:lang w:val="en-US"/>
        </w:rPr>
        <w:t>Van Wyk v Lewis</w:t>
      </w:r>
      <w:r>
        <w:rPr>
          <w:lang w:val="en-US"/>
        </w:rPr>
        <w:t xml:space="preserve"> 1924 AD 438 at 453.</w:t>
      </w:r>
    </w:p>
  </w:footnote>
  <w:footnote w:id="24">
    <w:p w14:paraId="4B75AE73" w14:textId="4BC23BE5" w:rsidR="00023AA5" w:rsidRPr="00023AA5" w:rsidRDefault="00023AA5" w:rsidP="007E04F6">
      <w:pPr>
        <w:pStyle w:val="FootnoteText"/>
        <w:spacing w:line="240" w:lineRule="auto"/>
        <w:jc w:val="both"/>
        <w:rPr>
          <w:lang w:val="en-US"/>
        </w:rPr>
      </w:pPr>
      <w:r>
        <w:rPr>
          <w:rStyle w:val="FootnoteReference"/>
        </w:rPr>
        <w:footnoteRef/>
      </w:r>
      <w:r>
        <w:t xml:space="preserve"> </w:t>
      </w:r>
      <w:r w:rsidR="00D07E54">
        <w:rPr>
          <w:i/>
          <w:iCs/>
          <w:lang w:val="en-US"/>
        </w:rPr>
        <w:t>Cape Town Municipality v Butters</w:t>
      </w:r>
      <w:r w:rsidR="00D07E54">
        <w:rPr>
          <w:lang w:val="en-US"/>
        </w:rPr>
        <w:t xml:space="preserve"> 1996 (1) SA 473 (C)</w:t>
      </w:r>
      <w:r w:rsidR="00C525E1">
        <w:rPr>
          <w:lang w:val="en-US"/>
        </w:rPr>
        <w:t xml:space="preserve"> (‘</w:t>
      </w:r>
      <w:r w:rsidR="00C525E1">
        <w:rPr>
          <w:i/>
          <w:iCs/>
          <w:lang w:val="en-US"/>
        </w:rPr>
        <w:t>Butters</w:t>
      </w:r>
      <w:r w:rsidR="00C525E1">
        <w:rPr>
          <w:lang w:val="en-US"/>
        </w:rPr>
        <w:t>’)</w:t>
      </w:r>
      <w:r w:rsidR="00D07E54">
        <w:rPr>
          <w:lang w:val="en-US"/>
        </w:rPr>
        <w:t xml:space="preserve"> at 484C–E. </w:t>
      </w:r>
      <w:r>
        <w:rPr>
          <w:lang w:val="en-US"/>
        </w:rPr>
        <w:t xml:space="preserve">It is sufficient if the general nature of the harm to the injured party was foreseeable; it is not necessary that the precise manner of its occurrence be foreseeable: </w:t>
      </w:r>
      <w:r>
        <w:rPr>
          <w:i/>
          <w:iCs/>
          <w:lang w:val="en-US"/>
        </w:rPr>
        <w:t>McIntosh</w:t>
      </w:r>
      <w:r>
        <w:rPr>
          <w:lang w:val="en-US"/>
        </w:rPr>
        <w:t xml:space="preserve"> above n </w:t>
      </w:r>
      <w:r w:rsidR="0044313F">
        <w:rPr>
          <w:lang w:val="en-US"/>
        </w:rPr>
        <w:t>3</w:t>
      </w:r>
      <w:r>
        <w:rPr>
          <w:lang w:val="en-US"/>
        </w:rPr>
        <w:t xml:space="preserve"> para 12.</w:t>
      </w:r>
    </w:p>
  </w:footnote>
  <w:footnote w:id="25">
    <w:p w14:paraId="52758BD8" w14:textId="5B885E34" w:rsidR="000B60EE" w:rsidRPr="000B60EE" w:rsidRDefault="000B60EE" w:rsidP="007E04F6">
      <w:pPr>
        <w:pStyle w:val="FootnoteText"/>
        <w:spacing w:line="240" w:lineRule="auto"/>
        <w:jc w:val="both"/>
        <w:rPr>
          <w:lang w:val="en-US"/>
        </w:rPr>
      </w:pPr>
      <w:r>
        <w:rPr>
          <w:rStyle w:val="FootnoteReference"/>
        </w:rPr>
        <w:footnoteRef/>
      </w:r>
      <w:r>
        <w:t xml:space="preserve"> </w:t>
      </w:r>
      <w:r>
        <w:rPr>
          <w:lang w:val="en-US"/>
        </w:rPr>
        <w:t xml:space="preserve">See </w:t>
      </w:r>
      <w:r w:rsidR="00D07E54">
        <w:rPr>
          <w:i/>
          <w:lang w:val="en-US"/>
        </w:rPr>
        <w:t xml:space="preserve">Butters </w:t>
      </w:r>
      <w:r w:rsidR="00D07E54">
        <w:rPr>
          <w:iCs/>
          <w:lang w:val="en-US"/>
        </w:rPr>
        <w:t xml:space="preserve">above n </w:t>
      </w:r>
      <w:r w:rsidR="003A44EC">
        <w:rPr>
          <w:iCs/>
          <w:lang w:val="en-US"/>
        </w:rPr>
        <w:t xml:space="preserve">24 </w:t>
      </w:r>
      <w:r>
        <w:rPr>
          <w:lang w:val="en-US"/>
        </w:rPr>
        <w:t>at 478F–H.</w:t>
      </w:r>
    </w:p>
  </w:footnote>
  <w:footnote w:id="26">
    <w:p w14:paraId="422AD3D6" w14:textId="0EFCBB0B" w:rsidR="002261BC" w:rsidRPr="00336055" w:rsidRDefault="002261BC" w:rsidP="007E04F6">
      <w:pPr>
        <w:pStyle w:val="FootnoteText"/>
        <w:spacing w:line="240" w:lineRule="auto"/>
        <w:jc w:val="both"/>
        <w:rPr>
          <w:lang w:val="en-US"/>
        </w:rPr>
      </w:pPr>
      <w:r>
        <w:rPr>
          <w:rStyle w:val="FootnoteReference"/>
        </w:rPr>
        <w:footnoteRef/>
      </w:r>
      <w:r>
        <w:t xml:space="preserve"> </w:t>
      </w:r>
      <w:r>
        <w:rPr>
          <w:i/>
          <w:iCs/>
          <w:lang w:val="en-US"/>
        </w:rPr>
        <w:t xml:space="preserve">Fischbach </w:t>
      </w:r>
      <w:r w:rsidR="00816D42">
        <w:rPr>
          <w:lang w:val="en-US"/>
        </w:rPr>
        <w:t xml:space="preserve">above n 8 </w:t>
      </w:r>
      <w:r>
        <w:rPr>
          <w:lang w:val="en-US"/>
        </w:rPr>
        <w:t>at 697H–698D.</w:t>
      </w:r>
    </w:p>
  </w:footnote>
  <w:footnote w:id="27">
    <w:p w14:paraId="3F28FC58" w14:textId="63131404" w:rsidR="00526A28" w:rsidRPr="007F3D31" w:rsidRDefault="00526A28" w:rsidP="007E04F6">
      <w:pPr>
        <w:pStyle w:val="FootnoteText"/>
        <w:spacing w:line="240" w:lineRule="auto"/>
        <w:jc w:val="both"/>
        <w:rPr>
          <w:lang w:val="en-US"/>
        </w:rPr>
      </w:pPr>
      <w:r>
        <w:rPr>
          <w:rStyle w:val="FootnoteReference"/>
        </w:rPr>
        <w:footnoteRef/>
      </w:r>
      <w:r>
        <w:t xml:space="preserve"> </w:t>
      </w:r>
      <w:r>
        <w:rPr>
          <w:i/>
          <w:iCs/>
          <w:lang w:val="en-US"/>
        </w:rPr>
        <w:t>De Jager</w:t>
      </w:r>
      <w:r>
        <w:rPr>
          <w:lang w:val="en-US"/>
        </w:rPr>
        <w:t xml:space="preserve"> </w:t>
      </w:r>
      <w:r w:rsidR="00DD4693">
        <w:rPr>
          <w:lang w:val="en-US"/>
        </w:rPr>
        <w:t xml:space="preserve">above n </w:t>
      </w:r>
      <w:r w:rsidR="007D056F">
        <w:rPr>
          <w:lang w:val="en-US"/>
        </w:rPr>
        <w:t>12</w:t>
      </w:r>
      <w:r>
        <w:rPr>
          <w:lang w:val="en-US"/>
        </w:rPr>
        <w:t xml:space="preserve"> at 55I.</w:t>
      </w:r>
    </w:p>
  </w:footnote>
  <w:footnote w:id="28">
    <w:p w14:paraId="04A5CA0A" w14:textId="1ED25DE0" w:rsidR="00621FD5" w:rsidRPr="00621FD5" w:rsidRDefault="00621FD5" w:rsidP="007E04F6">
      <w:pPr>
        <w:pStyle w:val="FootnoteText"/>
        <w:spacing w:line="240" w:lineRule="auto"/>
        <w:jc w:val="both"/>
        <w:rPr>
          <w:iCs/>
          <w:lang w:val="en-US"/>
        </w:rPr>
      </w:pPr>
      <w:r>
        <w:rPr>
          <w:rStyle w:val="FootnoteReference"/>
        </w:rPr>
        <w:footnoteRef/>
      </w:r>
      <w:r>
        <w:t xml:space="preserve"> </w:t>
      </w:r>
      <w:r>
        <w:rPr>
          <w:lang w:val="en-US"/>
        </w:rPr>
        <w:t xml:space="preserve">See </w:t>
      </w:r>
      <w:r>
        <w:rPr>
          <w:i/>
          <w:lang w:val="en-US"/>
        </w:rPr>
        <w:t>Grootboom v Graaff-Reinet Municipality</w:t>
      </w:r>
      <w:r>
        <w:rPr>
          <w:iCs/>
          <w:lang w:val="en-US"/>
        </w:rPr>
        <w:t xml:space="preserve"> 2001 (3) SA 373 (E) at 380C–F.</w:t>
      </w:r>
    </w:p>
  </w:footnote>
  <w:footnote w:id="29">
    <w:p w14:paraId="79EA0C52" w14:textId="59724EC9" w:rsidR="00A35CD3" w:rsidRPr="00A35CD3" w:rsidRDefault="00A35CD3" w:rsidP="007E04F6">
      <w:pPr>
        <w:pStyle w:val="FootnoteText"/>
        <w:spacing w:line="240" w:lineRule="auto"/>
        <w:jc w:val="both"/>
        <w:rPr>
          <w:lang w:val="en-US"/>
        </w:rPr>
      </w:pPr>
      <w:r>
        <w:rPr>
          <w:rStyle w:val="FootnoteReference"/>
        </w:rPr>
        <w:footnoteRef/>
      </w:r>
      <w:r>
        <w:t xml:space="preserve"> </w:t>
      </w:r>
      <w:r>
        <w:rPr>
          <w:i/>
          <w:iCs/>
          <w:lang w:val="en-US"/>
        </w:rPr>
        <w:t>McIntosh</w:t>
      </w:r>
      <w:r>
        <w:rPr>
          <w:lang w:val="en-US"/>
        </w:rPr>
        <w:t xml:space="preserve"> above n </w:t>
      </w:r>
      <w:r w:rsidR="00AF184D">
        <w:rPr>
          <w:lang w:val="en-US"/>
        </w:rPr>
        <w:t xml:space="preserve">3 </w:t>
      </w:r>
      <w:r>
        <w:rPr>
          <w:lang w:val="en-US"/>
        </w:rPr>
        <w:t>para 14.</w:t>
      </w:r>
    </w:p>
  </w:footnote>
  <w:footnote w:id="30">
    <w:p w14:paraId="7F3BB4AE" w14:textId="2B8311F8" w:rsidR="006B5E07" w:rsidRPr="006B5E07" w:rsidRDefault="006B5E07" w:rsidP="007E04F6">
      <w:pPr>
        <w:pStyle w:val="FootnoteText"/>
        <w:spacing w:line="240" w:lineRule="auto"/>
        <w:jc w:val="both"/>
        <w:rPr>
          <w:lang w:val="en-US"/>
        </w:rPr>
      </w:pPr>
      <w:r>
        <w:rPr>
          <w:rStyle w:val="FootnoteReference"/>
        </w:rPr>
        <w:footnoteRef/>
      </w:r>
      <w:r>
        <w:t xml:space="preserve"> </w:t>
      </w:r>
      <w:r>
        <w:rPr>
          <w:i/>
          <w:iCs/>
          <w:lang w:val="en-US"/>
        </w:rPr>
        <w:t>McIntosh</w:t>
      </w:r>
      <w:r>
        <w:rPr>
          <w:lang w:val="en-US"/>
        </w:rPr>
        <w:t xml:space="preserve"> above n </w:t>
      </w:r>
      <w:r w:rsidR="00AF184D">
        <w:rPr>
          <w:lang w:val="en-US"/>
        </w:rPr>
        <w:t>3</w:t>
      </w:r>
      <w:r>
        <w:rPr>
          <w:lang w:val="en-US"/>
        </w:rPr>
        <w:t xml:space="preserve"> para 14.</w:t>
      </w:r>
    </w:p>
  </w:footnote>
  <w:footnote w:id="31">
    <w:p w14:paraId="5171C8C4" w14:textId="1034B537" w:rsidR="004416BC" w:rsidRPr="004416BC" w:rsidRDefault="004416BC" w:rsidP="007E04F6">
      <w:pPr>
        <w:pStyle w:val="FootnoteText"/>
        <w:spacing w:line="240" w:lineRule="auto"/>
        <w:jc w:val="both"/>
        <w:rPr>
          <w:lang w:val="en-US"/>
        </w:rPr>
      </w:pPr>
      <w:r>
        <w:rPr>
          <w:rStyle w:val="FootnoteReference"/>
        </w:rPr>
        <w:footnoteRef/>
      </w:r>
      <w:r>
        <w:t xml:space="preserve"> </w:t>
      </w:r>
      <w:r>
        <w:rPr>
          <w:i/>
          <w:iCs/>
          <w:lang w:val="en-US"/>
        </w:rPr>
        <w:t>AA Onderlinge Assuransie-Assosiasie Bpk v De Beer</w:t>
      </w:r>
      <w:r>
        <w:rPr>
          <w:lang w:val="en-US"/>
        </w:rPr>
        <w:t xml:space="preserve"> 1982 (2) SA 603 (A); </w:t>
      </w:r>
      <w:r>
        <w:rPr>
          <w:i/>
          <w:iCs/>
          <w:lang w:val="en-US"/>
        </w:rPr>
        <w:t>Cooper and Another NNO v Merchant Trade Finance Ltd</w:t>
      </w:r>
      <w:r>
        <w:rPr>
          <w:lang w:val="en-US"/>
        </w:rPr>
        <w:t xml:space="preserve"> 2000 (3) SA 1009 (SCA), as cited in </w:t>
      </w:r>
      <w:r>
        <w:rPr>
          <w:i/>
          <w:iCs/>
          <w:lang w:val="en-US"/>
        </w:rPr>
        <w:t>Goliath</w:t>
      </w:r>
      <w:r>
        <w:rPr>
          <w:lang w:val="en-US"/>
        </w:rPr>
        <w:t xml:space="preserve"> above n </w:t>
      </w:r>
      <w:r w:rsidR="00EE0369">
        <w:rPr>
          <w:lang w:val="en-US"/>
        </w:rPr>
        <w:t>18</w:t>
      </w:r>
      <w:r>
        <w:rPr>
          <w:lang w:val="en-US"/>
        </w:rPr>
        <w:t xml:space="preserve"> para 19</w:t>
      </w:r>
      <w:r w:rsidR="008F159F">
        <w:rPr>
          <w:lang w:val="en-US"/>
        </w:rPr>
        <w:t>.</w:t>
      </w:r>
    </w:p>
  </w:footnote>
  <w:footnote w:id="32">
    <w:p w14:paraId="1712615B" w14:textId="591D0655" w:rsidR="00A8447B" w:rsidRPr="00A8447B" w:rsidRDefault="00A8447B" w:rsidP="007E04F6">
      <w:pPr>
        <w:pStyle w:val="FootnoteText"/>
        <w:spacing w:line="240" w:lineRule="auto"/>
        <w:jc w:val="both"/>
        <w:rPr>
          <w:lang w:val="en-US"/>
        </w:rPr>
      </w:pPr>
      <w:r>
        <w:rPr>
          <w:rStyle w:val="FootnoteReference"/>
        </w:rPr>
        <w:footnoteRef/>
      </w:r>
      <w:r>
        <w:t xml:space="preserve"> </w:t>
      </w:r>
      <w:r>
        <w:rPr>
          <w:lang w:val="en-US"/>
        </w:rPr>
        <w:t xml:space="preserve">Cf </w:t>
      </w:r>
      <w:r>
        <w:rPr>
          <w:i/>
          <w:iCs/>
          <w:lang w:val="en-US"/>
        </w:rPr>
        <w:t>Butters</w:t>
      </w:r>
      <w:r>
        <w:rPr>
          <w:lang w:val="en-US"/>
        </w:rPr>
        <w:t xml:space="preserve"> above n </w:t>
      </w:r>
      <w:r w:rsidR="00974B09">
        <w:rPr>
          <w:lang w:val="en-US"/>
        </w:rPr>
        <w:t>24</w:t>
      </w:r>
      <w:r>
        <w:rPr>
          <w:lang w:val="en-US"/>
        </w:rPr>
        <w:t xml:space="preserve"> at 481B–D.</w:t>
      </w:r>
    </w:p>
  </w:footnote>
  <w:footnote w:id="33">
    <w:p w14:paraId="2FC1A64D" w14:textId="1BA21B4E" w:rsidR="00AD463F" w:rsidRPr="008C0759" w:rsidRDefault="00AD463F" w:rsidP="007E04F6">
      <w:pPr>
        <w:pStyle w:val="FootnoteText"/>
        <w:spacing w:line="240" w:lineRule="auto"/>
        <w:jc w:val="both"/>
        <w:rPr>
          <w:lang w:val="en-US"/>
        </w:rPr>
      </w:pPr>
      <w:r>
        <w:rPr>
          <w:rStyle w:val="FootnoteReference"/>
        </w:rPr>
        <w:footnoteRef/>
      </w:r>
      <w:r>
        <w:t xml:space="preserve"> </w:t>
      </w:r>
      <w:r>
        <w:rPr>
          <w:i/>
          <w:iCs/>
          <w:lang w:val="en-US"/>
        </w:rPr>
        <w:t>Cape Town Municipality v April</w:t>
      </w:r>
      <w:r>
        <w:rPr>
          <w:lang w:val="en-US"/>
        </w:rPr>
        <w:t xml:space="preserve"> 1982 (1) SA 259 (C) </w:t>
      </w:r>
      <w:r w:rsidR="0016025A">
        <w:rPr>
          <w:lang w:val="en-US"/>
        </w:rPr>
        <w:t>(‘</w:t>
      </w:r>
      <w:r w:rsidR="0016025A">
        <w:rPr>
          <w:i/>
          <w:iCs/>
          <w:lang w:val="en-US"/>
        </w:rPr>
        <w:t>April</w:t>
      </w:r>
      <w:r w:rsidR="0016025A">
        <w:rPr>
          <w:lang w:val="en-US"/>
        </w:rPr>
        <w:t>’)</w:t>
      </w:r>
      <w:r w:rsidR="0016025A">
        <w:rPr>
          <w:i/>
          <w:iCs/>
          <w:lang w:val="en-US"/>
        </w:rPr>
        <w:t xml:space="preserve"> </w:t>
      </w:r>
      <w:r>
        <w:rPr>
          <w:lang w:val="en-US"/>
        </w:rPr>
        <w:t>at 261E–H, dealing with the upkeep of a merry-go-round installed by a municipality.</w:t>
      </w:r>
      <w:r w:rsidR="005B2C97">
        <w:rPr>
          <w:lang w:val="en-US"/>
        </w:rPr>
        <w:t xml:space="preserve"> The court’s value judgment in that instance considered a fortnightly system of inspections to be reasonable and adequate.</w:t>
      </w:r>
      <w:r w:rsidR="008C0759">
        <w:rPr>
          <w:lang w:val="en-US"/>
        </w:rPr>
        <w:t xml:space="preserve"> It has been held, again in a different context, that state conduct must be reasonable both in conception and implementation: see </w:t>
      </w:r>
      <w:r w:rsidR="008C0759">
        <w:rPr>
          <w:i/>
          <w:iCs/>
          <w:lang w:val="en-US"/>
        </w:rPr>
        <w:t>Government of the Republic of South Africa v Grootboom</w:t>
      </w:r>
      <w:r w:rsidR="008C0759">
        <w:rPr>
          <w:lang w:val="en-US"/>
        </w:rPr>
        <w:t xml:space="preserve"> </w:t>
      </w:r>
      <w:r w:rsidR="008C0759">
        <w:rPr>
          <w:i/>
          <w:iCs/>
          <w:lang w:val="en-US"/>
        </w:rPr>
        <w:t>and Others</w:t>
      </w:r>
      <w:r w:rsidR="008C0759">
        <w:rPr>
          <w:lang w:val="en-US"/>
        </w:rPr>
        <w:t xml:space="preserve"> 2001 (1) SA 46 (CC) para 42</w:t>
      </w:r>
      <w:r w:rsidR="004C28EF">
        <w:rPr>
          <w:lang w:val="en-US"/>
        </w:rPr>
        <w:t>.</w:t>
      </w:r>
    </w:p>
  </w:footnote>
  <w:footnote w:id="34">
    <w:p w14:paraId="485C3C9D" w14:textId="6C0F1F82" w:rsidR="00DD28AC" w:rsidRPr="006E704A" w:rsidRDefault="00DD28AC" w:rsidP="007E04F6">
      <w:pPr>
        <w:pStyle w:val="FootnoteText"/>
        <w:spacing w:line="240" w:lineRule="auto"/>
        <w:jc w:val="both"/>
        <w:rPr>
          <w:lang w:val="en-US"/>
        </w:rPr>
      </w:pPr>
      <w:r>
        <w:rPr>
          <w:rStyle w:val="FootnoteReference"/>
        </w:rPr>
        <w:footnoteRef/>
      </w:r>
      <w:r>
        <w:t xml:space="preserve"> </w:t>
      </w:r>
      <w:r>
        <w:rPr>
          <w:lang w:val="en-US"/>
        </w:rPr>
        <w:t xml:space="preserve">Cf </w:t>
      </w:r>
      <w:r>
        <w:rPr>
          <w:i/>
          <w:iCs/>
          <w:lang w:val="en-US"/>
        </w:rPr>
        <w:t>Butise</w:t>
      </w:r>
      <w:r>
        <w:rPr>
          <w:lang w:val="en-US"/>
        </w:rPr>
        <w:t xml:space="preserve"> above n </w:t>
      </w:r>
      <w:r w:rsidR="00D64C5C">
        <w:rPr>
          <w:lang w:val="en-US"/>
        </w:rPr>
        <w:t>8</w:t>
      </w:r>
      <w:r>
        <w:rPr>
          <w:lang w:val="en-US"/>
        </w:rPr>
        <w:t xml:space="preserve"> para 38.</w:t>
      </w:r>
    </w:p>
  </w:footnote>
  <w:footnote w:id="35">
    <w:p w14:paraId="5D6ACCF1" w14:textId="0B62479F" w:rsidR="00FA00C5" w:rsidRPr="00A21BDF" w:rsidRDefault="00FA00C5" w:rsidP="007E04F6">
      <w:pPr>
        <w:pStyle w:val="FootnoteText"/>
        <w:spacing w:line="240" w:lineRule="auto"/>
        <w:jc w:val="both"/>
        <w:rPr>
          <w:lang w:val="en-US"/>
        </w:rPr>
      </w:pPr>
      <w:r>
        <w:rPr>
          <w:rStyle w:val="FootnoteReference"/>
        </w:rPr>
        <w:footnoteRef/>
      </w:r>
      <w:r>
        <w:t xml:space="preserve"> </w:t>
      </w:r>
      <w:r w:rsidR="00DD4693">
        <w:rPr>
          <w:i/>
          <w:iCs/>
        </w:rPr>
        <w:t xml:space="preserve">De Jager </w:t>
      </w:r>
      <w:r w:rsidR="00DD4693">
        <w:t xml:space="preserve">above n </w:t>
      </w:r>
      <w:r w:rsidR="005C1FA9">
        <w:t>12</w:t>
      </w:r>
      <w:r w:rsidR="00DD4693">
        <w:t xml:space="preserve"> at 56G–I; </w:t>
      </w:r>
      <w:r>
        <w:rPr>
          <w:i/>
          <w:iCs/>
          <w:lang w:val="en-US"/>
        </w:rPr>
        <w:t>April</w:t>
      </w:r>
      <w:r>
        <w:rPr>
          <w:lang w:val="en-US"/>
        </w:rPr>
        <w:t xml:space="preserve"> </w:t>
      </w:r>
      <w:r w:rsidR="00642331">
        <w:rPr>
          <w:lang w:val="en-US"/>
        </w:rPr>
        <w:t xml:space="preserve">above n 33 </w:t>
      </w:r>
      <w:r>
        <w:rPr>
          <w:lang w:val="en-US"/>
        </w:rPr>
        <w:t>at 263A–E.</w:t>
      </w:r>
      <w:r w:rsidR="00A21BDF">
        <w:rPr>
          <w:lang w:val="en-US"/>
        </w:rPr>
        <w:t xml:space="preserve"> In </w:t>
      </w:r>
      <w:r w:rsidR="00A21BDF">
        <w:rPr>
          <w:i/>
          <w:iCs/>
          <w:lang w:val="en-US"/>
        </w:rPr>
        <w:t>De Jager</w:t>
      </w:r>
      <w:r w:rsidR="00A21BDF">
        <w:rPr>
          <w:lang w:val="en-US"/>
        </w:rPr>
        <w:t>, the warning fence was brightly-coloured, including clearly visible red and white tape. Although the fence did not prevent persons from falling into a hole, in the circumstances</w:t>
      </w:r>
      <w:r w:rsidR="00A82B72">
        <w:rPr>
          <w:lang w:val="en-US"/>
        </w:rPr>
        <w:t>, and considering financial limitations,</w:t>
      </w:r>
      <w:r w:rsidR="00A21BDF">
        <w:rPr>
          <w:lang w:val="en-US"/>
        </w:rPr>
        <w:t xml:space="preserve"> this did not result in a finding of negligence.</w:t>
      </w:r>
    </w:p>
  </w:footnote>
  <w:footnote w:id="36">
    <w:p w14:paraId="5DAD3778" w14:textId="0B7173CF" w:rsidR="00642D60" w:rsidRPr="00DA550C" w:rsidRDefault="00642D60" w:rsidP="007E04F6">
      <w:pPr>
        <w:pStyle w:val="FootnoteText"/>
        <w:spacing w:line="240" w:lineRule="auto"/>
        <w:jc w:val="both"/>
        <w:rPr>
          <w:lang w:val="en-US"/>
        </w:rPr>
      </w:pPr>
      <w:r>
        <w:rPr>
          <w:rStyle w:val="FootnoteReference"/>
        </w:rPr>
        <w:footnoteRef/>
      </w:r>
      <w:r>
        <w:t xml:space="preserve"> </w:t>
      </w:r>
      <w:r>
        <w:rPr>
          <w:i/>
          <w:iCs/>
          <w:lang w:val="en-US"/>
        </w:rPr>
        <w:t>Butters</w:t>
      </w:r>
      <w:r>
        <w:rPr>
          <w:lang w:val="en-US"/>
        </w:rPr>
        <w:t xml:space="preserve"> </w:t>
      </w:r>
      <w:r w:rsidR="00E45A9B">
        <w:rPr>
          <w:lang w:val="en-US"/>
        </w:rPr>
        <w:t>above n 24</w:t>
      </w:r>
      <w:r>
        <w:rPr>
          <w:lang w:val="en-US"/>
        </w:rPr>
        <w:t xml:space="preserve"> at 482B–E.</w:t>
      </w:r>
    </w:p>
  </w:footnote>
  <w:footnote w:id="37">
    <w:p w14:paraId="21B7B6A8" w14:textId="0F977498" w:rsidR="0000222B" w:rsidRPr="000072EE" w:rsidRDefault="0000222B" w:rsidP="007E04F6">
      <w:pPr>
        <w:pStyle w:val="FootnoteText"/>
        <w:spacing w:line="240" w:lineRule="auto"/>
        <w:jc w:val="both"/>
        <w:rPr>
          <w:lang w:val="en-US"/>
        </w:rPr>
      </w:pPr>
      <w:r>
        <w:rPr>
          <w:rStyle w:val="FootnoteReference"/>
        </w:rPr>
        <w:footnoteRef/>
      </w:r>
      <w:r>
        <w:t xml:space="preserve"> </w:t>
      </w:r>
      <w:r>
        <w:rPr>
          <w:i/>
          <w:iCs/>
          <w:lang w:val="en-US"/>
        </w:rPr>
        <w:t>Fischbach</w:t>
      </w:r>
      <w:r>
        <w:rPr>
          <w:lang w:val="en-US"/>
        </w:rPr>
        <w:t xml:space="preserve"> above n </w:t>
      </w:r>
      <w:r w:rsidR="008E73E0">
        <w:rPr>
          <w:lang w:val="en-US"/>
        </w:rPr>
        <w:t>8</w:t>
      </w:r>
      <w:r>
        <w:rPr>
          <w:lang w:val="en-US"/>
        </w:rPr>
        <w:t xml:space="preserve"> at 698D–E.</w:t>
      </w:r>
    </w:p>
  </w:footnote>
  <w:footnote w:id="38">
    <w:p w14:paraId="1FE6FEBC" w14:textId="56E8767F" w:rsidR="0000222B" w:rsidRPr="00B2722C" w:rsidRDefault="0000222B" w:rsidP="007E04F6">
      <w:pPr>
        <w:pStyle w:val="FootnoteText"/>
        <w:spacing w:line="240" w:lineRule="auto"/>
        <w:jc w:val="both"/>
        <w:rPr>
          <w:lang w:val="en-US"/>
        </w:rPr>
      </w:pPr>
      <w:r>
        <w:rPr>
          <w:rStyle w:val="FootnoteReference"/>
        </w:rPr>
        <w:footnoteRef/>
      </w:r>
      <w:r>
        <w:t xml:space="preserve"> </w:t>
      </w:r>
      <w:r>
        <w:rPr>
          <w:i/>
          <w:iCs/>
          <w:lang w:val="en-US"/>
        </w:rPr>
        <w:t xml:space="preserve">Fischbach </w:t>
      </w:r>
      <w:r>
        <w:rPr>
          <w:lang w:val="en-US"/>
        </w:rPr>
        <w:t xml:space="preserve">above n </w:t>
      </w:r>
      <w:r w:rsidR="008E73E0">
        <w:rPr>
          <w:lang w:val="en-US"/>
        </w:rPr>
        <w:t>8</w:t>
      </w:r>
      <w:r>
        <w:rPr>
          <w:lang w:val="en-US"/>
        </w:rPr>
        <w:t xml:space="preserve"> at 698E–G.</w:t>
      </w:r>
    </w:p>
  </w:footnote>
  <w:footnote w:id="39">
    <w:p w14:paraId="165C4F8C" w14:textId="19A6EAC6" w:rsidR="00853F44" w:rsidRPr="00090490" w:rsidRDefault="00853F44" w:rsidP="007E04F6">
      <w:pPr>
        <w:pStyle w:val="FootnoteText"/>
        <w:spacing w:line="240" w:lineRule="auto"/>
        <w:jc w:val="both"/>
        <w:rPr>
          <w:lang w:val="en-US"/>
        </w:rPr>
      </w:pPr>
      <w:r>
        <w:rPr>
          <w:rStyle w:val="FootnoteReference"/>
        </w:rPr>
        <w:footnoteRef/>
      </w:r>
      <w:r>
        <w:t xml:space="preserve"> </w:t>
      </w:r>
      <w:r>
        <w:rPr>
          <w:i/>
          <w:iCs/>
          <w:lang w:val="en-US"/>
        </w:rPr>
        <w:t>Fischbach</w:t>
      </w:r>
      <w:r>
        <w:rPr>
          <w:lang w:val="en-US"/>
        </w:rPr>
        <w:t xml:space="preserve"> above n </w:t>
      </w:r>
      <w:r w:rsidR="008E73E0">
        <w:rPr>
          <w:lang w:val="en-US"/>
        </w:rPr>
        <w:t>8</w:t>
      </w:r>
      <w:r>
        <w:rPr>
          <w:lang w:val="en-US"/>
        </w:rPr>
        <w:t xml:space="preserve"> at 698G–I.</w:t>
      </w:r>
    </w:p>
  </w:footnote>
  <w:footnote w:id="40">
    <w:p w14:paraId="6E646468" w14:textId="3D138EC9" w:rsidR="00853F44" w:rsidRPr="00035E93" w:rsidRDefault="00853F44" w:rsidP="007E04F6">
      <w:pPr>
        <w:pStyle w:val="FootnoteText"/>
        <w:spacing w:line="240" w:lineRule="auto"/>
        <w:jc w:val="both"/>
        <w:rPr>
          <w:lang w:val="en-US"/>
        </w:rPr>
      </w:pPr>
      <w:r>
        <w:rPr>
          <w:rStyle w:val="FootnoteReference"/>
        </w:rPr>
        <w:footnoteRef/>
      </w:r>
      <w:r>
        <w:t xml:space="preserve"> </w:t>
      </w:r>
      <w:r>
        <w:rPr>
          <w:i/>
          <w:iCs/>
          <w:lang w:val="en-US"/>
        </w:rPr>
        <w:t xml:space="preserve">Fischbach </w:t>
      </w:r>
      <w:r>
        <w:rPr>
          <w:lang w:val="en-US"/>
        </w:rPr>
        <w:t xml:space="preserve">above n </w:t>
      </w:r>
      <w:r w:rsidR="008E73E0">
        <w:rPr>
          <w:lang w:val="en-US"/>
        </w:rPr>
        <w:t>8</w:t>
      </w:r>
      <w:r>
        <w:rPr>
          <w:lang w:val="en-US"/>
        </w:rPr>
        <w:t xml:space="preserve"> at 698H–699E.</w:t>
      </w:r>
    </w:p>
  </w:footnote>
  <w:footnote w:id="41">
    <w:p w14:paraId="235BE25F" w14:textId="27F8CF36" w:rsidR="004A0BB8" w:rsidRPr="007B6D04" w:rsidRDefault="004A0BB8" w:rsidP="007E04F6">
      <w:pPr>
        <w:pStyle w:val="FootnoteText"/>
        <w:spacing w:line="240" w:lineRule="auto"/>
        <w:jc w:val="both"/>
        <w:rPr>
          <w:lang w:val="en-US"/>
        </w:rPr>
      </w:pPr>
      <w:r>
        <w:rPr>
          <w:rStyle w:val="FootnoteReference"/>
        </w:rPr>
        <w:footnoteRef/>
      </w:r>
      <w:r>
        <w:t xml:space="preserve"> </w:t>
      </w:r>
      <w:r>
        <w:rPr>
          <w:i/>
          <w:iCs/>
          <w:lang w:val="en-US"/>
        </w:rPr>
        <w:t>Ablort-Morgan v Whyte Bank Farms (Pty) Ltd</w:t>
      </w:r>
      <w:r>
        <w:rPr>
          <w:lang w:val="en-US"/>
        </w:rPr>
        <w:t xml:space="preserve"> 1988 (3) SA 531 (E) at 534I–535B, quoting </w:t>
      </w:r>
      <w:r>
        <w:rPr>
          <w:i/>
          <w:iCs/>
          <w:lang w:val="en-US"/>
        </w:rPr>
        <w:t xml:space="preserve">The Wagon Mound (No 2): Overseas Tankship (UK) Ltd v The Miller Steamship Co Pty Ltd and Another </w:t>
      </w:r>
      <w:r>
        <w:rPr>
          <w:lang w:val="en-US"/>
        </w:rPr>
        <w:t>[1966] 2 All ER 709 (PC) at 719D–E.</w:t>
      </w:r>
      <w:r w:rsidR="007B6D04">
        <w:rPr>
          <w:lang w:val="en-US"/>
        </w:rPr>
        <w:t xml:space="preserve"> Also see </w:t>
      </w:r>
      <w:r w:rsidR="007B6D04">
        <w:rPr>
          <w:i/>
          <w:iCs/>
          <w:lang w:val="en-US"/>
        </w:rPr>
        <w:t>Butise</w:t>
      </w:r>
      <w:r w:rsidR="007B6D04">
        <w:rPr>
          <w:lang w:val="en-US"/>
        </w:rPr>
        <w:t xml:space="preserve"> above n </w:t>
      </w:r>
      <w:r w:rsidR="007A263F">
        <w:rPr>
          <w:lang w:val="en-US"/>
        </w:rPr>
        <w:t>8</w:t>
      </w:r>
      <w:r w:rsidR="007B6D04">
        <w:rPr>
          <w:lang w:val="en-US"/>
        </w:rPr>
        <w:t xml:space="preserve"> para 30 and following.</w:t>
      </w:r>
    </w:p>
  </w:footnote>
  <w:footnote w:id="42">
    <w:p w14:paraId="083AB4BF" w14:textId="31534869" w:rsidR="00B315B5" w:rsidRPr="00EC2890" w:rsidRDefault="00B315B5" w:rsidP="007E04F6">
      <w:pPr>
        <w:pStyle w:val="FootnoteText"/>
        <w:spacing w:line="240" w:lineRule="auto"/>
        <w:jc w:val="both"/>
        <w:rPr>
          <w:lang w:val="en-US"/>
        </w:rPr>
      </w:pPr>
      <w:r>
        <w:rPr>
          <w:rStyle w:val="FootnoteReference"/>
        </w:rPr>
        <w:footnoteRef/>
      </w:r>
      <w:r>
        <w:t xml:space="preserve"> </w:t>
      </w:r>
      <w:r>
        <w:rPr>
          <w:lang w:val="en-US"/>
        </w:rPr>
        <w:t xml:space="preserve">See the judgment of Brand JA in </w:t>
      </w:r>
      <w:r>
        <w:rPr>
          <w:i/>
          <w:iCs/>
          <w:lang w:val="en-US"/>
        </w:rPr>
        <w:t>Hawekwa Youth Camp and Another v Byrne</w:t>
      </w:r>
      <w:r>
        <w:rPr>
          <w:lang w:val="en-US"/>
        </w:rPr>
        <w:t xml:space="preserve"> 2010 (6) SA 83 (SCA) para 30</w:t>
      </w:r>
      <w:r w:rsidR="00276238">
        <w:rPr>
          <w:lang w:val="en-US"/>
        </w:rPr>
        <w:t>.</w:t>
      </w:r>
    </w:p>
  </w:footnote>
  <w:footnote w:id="43">
    <w:p w14:paraId="3DD23707" w14:textId="14963C8B" w:rsidR="002E515C" w:rsidRPr="002E515C" w:rsidRDefault="002E515C" w:rsidP="007E04F6">
      <w:pPr>
        <w:pStyle w:val="FootnoteText"/>
        <w:spacing w:line="240" w:lineRule="auto"/>
        <w:jc w:val="both"/>
        <w:rPr>
          <w:lang w:val="en-US"/>
        </w:rPr>
      </w:pPr>
      <w:r>
        <w:rPr>
          <w:rStyle w:val="FootnoteReference"/>
        </w:rPr>
        <w:footnoteRef/>
      </w:r>
      <w:r>
        <w:t xml:space="preserve"> </w:t>
      </w:r>
      <w:r w:rsidR="008206B2">
        <w:rPr>
          <w:i/>
          <w:iCs/>
        </w:rPr>
        <w:t xml:space="preserve">Fischbach </w:t>
      </w:r>
      <w:r w:rsidR="008206B2">
        <w:rPr>
          <w:lang w:val="en-US"/>
        </w:rPr>
        <w:t>a</w:t>
      </w:r>
      <w:r>
        <w:rPr>
          <w:lang w:val="en-US"/>
        </w:rPr>
        <w:t xml:space="preserve">bove n </w:t>
      </w:r>
      <w:r w:rsidR="0059530D">
        <w:rPr>
          <w:lang w:val="en-US"/>
        </w:rPr>
        <w:t>8</w:t>
      </w:r>
      <w:r w:rsidR="00097619">
        <w:rPr>
          <w:lang w:val="en-US"/>
        </w:rPr>
        <w:t>.</w:t>
      </w:r>
    </w:p>
  </w:footnote>
  <w:footnote w:id="44">
    <w:p w14:paraId="194860D9" w14:textId="50E0E040" w:rsidR="00602048" w:rsidRPr="00E64797" w:rsidRDefault="00602048" w:rsidP="007E04F6">
      <w:pPr>
        <w:pStyle w:val="FootnoteText"/>
        <w:spacing w:line="240" w:lineRule="auto"/>
        <w:jc w:val="both"/>
        <w:rPr>
          <w:lang w:val="en-US"/>
        </w:rPr>
      </w:pPr>
      <w:r>
        <w:rPr>
          <w:rStyle w:val="FootnoteReference"/>
        </w:rPr>
        <w:footnoteRef/>
      </w:r>
      <w:r>
        <w:t xml:space="preserve"> </w:t>
      </w:r>
      <w:r>
        <w:rPr>
          <w:i/>
          <w:iCs/>
        </w:rPr>
        <w:t xml:space="preserve">Fischbach </w:t>
      </w:r>
      <w:r>
        <w:t xml:space="preserve">above n </w:t>
      </w:r>
      <w:r w:rsidR="00A84344">
        <w:t>8</w:t>
      </w:r>
      <w:r>
        <w:t xml:space="preserve"> at 698C–E.</w:t>
      </w:r>
    </w:p>
  </w:footnote>
  <w:footnote w:id="45">
    <w:p w14:paraId="3D0F0596" w14:textId="6CF8B082" w:rsidR="00F56145" w:rsidRPr="00F56145" w:rsidRDefault="00F56145" w:rsidP="007E04F6">
      <w:pPr>
        <w:pStyle w:val="FootnoteText"/>
        <w:spacing w:line="240" w:lineRule="auto"/>
        <w:jc w:val="both"/>
        <w:rPr>
          <w:lang w:val="en-US"/>
        </w:rPr>
      </w:pPr>
      <w:r>
        <w:rPr>
          <w:rStyle w:val="FootnoteReference"/>
        </w:rPr>
        <w:footnoteRef/>
      </w:r>
      <w:r>
        <w:t xml:space="preserve"> </w:t>
      </w:r>
      <w:r>
        <w:rPr>
          <w:i/>
          <w:iCs/>
          <w:lang w:val="en-US"/>
        </w:rPr>
        <w:t xml:space="preserve">Fischbach </w:t>
      </w:r>
      <w:r>
        <w:rPr>
          <w:lang w:val="en-US"/>
        </w:rPr>
        <w:t xml:space="preserve">above n </w:t>
      </w:r>
      <w:r w:rsidR="00A84344">
        <w:rPr>
          <w:lang w:val="en-US"/>
        </w:rPr>
        <w:t>8</w:t>
      </w:r>
      <w:r>
        <w:rPr>
          <w:lang w:val="en-US"/>
        </w:rPr>
        <w:t xml:space="preserve"> at 699C–F.</w:t>
      </w:r>
    </w:p>
  </w:footnote>
  <w:footnote w:id="46">
    <w:p w14:paraId="3F4A9E6D" w14:textId="2F3AC5A3" w:rsidR="008F77FE" w:rsidRPr="008F77FE" w:rsidRDefault="008F77FE" w:rsidP="007E04F6">
      <w:pPr>
        <w:pStyle w:val="FootnoteText"/>
        <w:spacing w:line="240" w:lineRule="auto"/>
        <w:jc w:val="both"/>
        <w:rPr>
          <w:lang w:val="en-US"/>
        </w:rPr>
      </w:pPr>
      <w:r>
        <w:rPr>
          <w:rStyle w:val="FootnoteReference"/>
        </w:rPr>
        <w:footnoteRef/>
      </w:r>
      <w:r>
        <w:t xml:space="preserve"> </w:t>
      </w:r>
      <w:r>
        <w:rPr>
          <w:i/>
          <w:iCs/>
          <w:lang w:val="en-US"/>
        </w:rPr>
        <w:t>Mabaso v Felix</w:t>
      </w:r>
      <w:r>
        <w:rPr>
          <w:lang w:val="en-US"/>
        </w:rPr>
        <w:t xml:space="preserve"> 1981 (3) SA 865 (A) at 877.</w:t>
      </w:r>
    </w:p>
  </w:footnote>
  <w:footnote w:id="47">
    <w:p w14:paraId="1C9B63AD" w14:textId="229127F8" w:rsidR="003F4DEA" w:rsidRPr="008D2705" w:rsidRDefault="003F4DEA" w:rsidP="007E04F6">
      <w:pPr>
        <w:pStyle w:val="FootnoteText"/>
        <w:spacing w:line="240" w:lineRule="auto"/>
        <w:jc w:val="both"/>
        <w:rPr>
          <w:lang w:val="en-US"/>
        </w:rPr>
      </w:pPr>
      <w:r>
        <w:rPr>
          <w:rStyle w:val="FootnoteReference"/>
        </w:rPr>
        <w:footnoteRef/>
      </w:r>
      <w:r>
        <w:t xml:space="preserve"> </w:t>
      </w:r>
      <w:r>
        <w:rPr>
          <w:i/>
          <w:iCs/>
          <w:lang w:val="en-US"/>
        </w:rPr>
        <w:t>Stewart v City Council of Johannesburg</w:t>
      </w:r>
      <w:r>
        <w:rPr>
          <w:lang w:val="en-US"/>
        </w:rPr>
        <w:t xml:space="preserve"> 1947 (4) SA 179 (W) at 186</w:t>
      </w:r>
      <w:r w:rsidR="001A3195">
        <w:rPr>
          <w:lang w:val="en-US"/>
        </w:rPr>
        <w:t xml:space="preserve">, cited with approval in </w:t>
      </w:r>
      <w:r w:rsidR="001A3195">
        <w:rPr>
          <w:i/>
          <w:iCs/>
          <w:lang w:val="en-US"/>
        </w:rPr>
        <w:t>Wenborn v Cape Town Municipality</w:t>
      </w:r>
      <w:r w:rsidR="001A3195">
        <w:rPr>
          <w:lang w:val="en-US"/>
        </w:rPr>
        <w:t xml:space="preserve"> 1976 (1) SA 25 (C) at 29</w:t>
      </w:r>
      <w:r w:rsidR="00194E42">
        <w:rPr>
          <w:lang w:val="en-US"/>
        </w:rPr>
        <w:t>E–G</w:t>
      </w:r>
      <w:r w:rsidR="00EE20FB">
        <w:rPr>
          <w:lang w:val="en-US"/>
        </w:rPr>
        <w:t xml:space="preserve">; </w:t>
      </w:r>
      <w:r w:rsidR="00EE20FB">
        <w:rPr>
          <w:i/>
          <w:iCs/>
          <w:lang w:val="en-US"/>
        </w:rPr>
        <w:t xml:space="preserve">Fischbach </w:t>
      </w:r>
      <w:r w:rsidR="00EE20FB">
        <w:rPr>
          <w:lang w:val="en-US"/>
        </w:rPr>
        <w:t xml:space="preserve">above n </w:t>
      </w:r>
      <w:r w:rsidR="00A84344">
        <w:rPr>
          <w:lang w:val="en-US"/>
        </w:rPr>
        <w:t>8</w:t>
      </w:r>
      <w:r w:rsidR="00EE20FB">
        <w:rPr>
          <w:lang w:val="en-US"/>
        </w:rPr>
        <w:t xml:space="preserve"> at 701A–E.</w:t>
      </w:r>
      <w:r w:rsidR="00E9414C">
        <w:rPr>
          <w:lang w:val="en-US"/>
        </w:rPr>
        <w:t xml:space="preserve"> Also see the remarks of Goldstone AJA in </w:t>
      </w:r>
      <w:r w:rsidR="00E9414C">
        <w:rPr>
          <w:i/>
          <w:iCs/>
          <w:lang w:val="en-US"/>
        </w:rPr>
        <w:t>Langley Fox Building Partnership (Pty) Ltd v De Valence</w:t>
      </w:r>
      <w:r w:rsidR="00E9414C">
        <w:rPr>
          <w:lang w:val="en-US"/>
        </w:rPr>
        <w:t xml:space="preserve"> 1991 (1) SA 1 (A) at 15E–F: pedestrians walking on a city sidewalk are entitled to assume that, in the absence of adequate precautions or warning, the way is clear and safe.’</w:t>
      </w:r>
      <w:r w:rsidR="008D2705">
        <w:rPr>
          <w:lang w:val="en-US"/>
        </w:rPr>
        <w:t xml:space="preserve"> Cf </w:t>
      </w:r>
      <w:r w:rsidR="008D2705">
        <w:rPr>
          <w:i/>
          <w:iCs/>
          <w:lang w:val="en-US"/>
        </w:rPr>
        <w:t>Meikle</w:t>
      </w:r>
      <w:r w:rsidR="008D2705">
        <w:rPr>
          <w:lang w:val="en-US"/>
        </w:rPr>
        <w:t xml:space="preserve"> above n </w:t>
      </w:r>
      <w:r w:rsidR="004D512F">
        <w:rPr>
          <w:lang w:val="en-US"/>
        </w:rPr>
        <w:t xml:space="preserve">16 </w:t>
      </w:r>
      <w:r w:rsidR="008D2705">
        <w:rPr>
          <w:lang w:val="en-US"/>
        </w:rPr>
        <w:t>para 11.</w:t>
      </w:r>
    </w:p>
  </w:footnote>
  <w:footnote w:id="48">
    <w:p w14:paraId="6F19950B" w14:textId="37ECA6E3" w:rsidR="000D32C0" w:rsidRPr="007113BD" w:rsidRDefault="000D32C0" w:rsidP="000D32C0">
      <w:pPr>
        <w:pStyle w:val="FootnoteText"/>
        <w:spacing w:line="240" w:lineRule="auto"/>
        <w:jc w:val="both"/>
        <w:rPr>
          <w:lang w:val="en-US"/>
        </w:rPr>
      </w:pPr>
      <w:r>
        <w:rPr>
          <w:rStyle w:val="FootnoteReference"/>
        </w:rPr>
        <w:footnoteRef/>
      </w:r>
      <w:r>
        <w:t xml:space="preserve"> Cf </w:t>
      </w:r>
      <w:r>
        <w:rPr>
          <w:i/>
          <w:iCs/>
          <w:lang w:val="en-US"/>
        </w:rPr>
        <w:t>Harrington NO and Another v Transnet Ltd t/a Metrorail and Others</w:t>
      </w:r>
      <w:r>
        <w:rPr>
          <w:lang w:val="en-US"/>
        </w:rPr>
        <w:t xml:space="preserve"> 2010 (2) SA 479 (SCA) para 64.</w:t>
      </w:r>
    </w:p>
  </w:footnote>
  <w:footnote w:id="49">
    <w:p w14:paraId="2CDFD736" w14:textId="375AE457" w:rsidR="00C83226" w:rsidRPr="00C83226" w:rsidRDefault="00C83226" w:rsidP="007E04F6">
      <w:pPr>
        <w:pStyle w:val="FootnoteText"/>
        <w:spacing w:line="240" w:lineRule="auto"/>
        <w:jc w:val="both"/>
        <w:rPr>
          <w:lang w:val="en-US"/>
        </w:rPr>
      </w:pPr>
      <w:r>
        <w:rPr>
          <w:rStyle w:val="FootnoteReference"/>
        </w:rPr>
        <w:footnoteRef/>
      </w:r>
      <w:r>
        <w:t xml:space="preserve"> </w:t>
      </w:r>
      <w:r>
        <w:rPr>
          <w:lang w:val="en-US"/>
        </w:rPr>
        <w:t xml:space="preserve">Cf </w:t>
      </w:r>
      <w:r>
        <w:rPr>
          <w:i/>
          <w:iCs/>
          <w:lang w:val="en-US"/>
        </w:rPr>
        <w:t>McIntosh</w:t>
      </w:r>
      <w:r>
        <w:rPr>
          <w:lang w:val="en-US"/>
        </w:rPr>
        <w:t xml:space="preserve"> above n </w:t>
      </w:r>
      <w:r w:rsidR="0082231A">
        <w:rPr>
          <w:lang w:val="en-US"/>
        </w:rPr>
        <w:t>3</w:t>
      </w:r>
      <w:r>
        <w:rPr>
          <w:lang w:val="en-US"/>
        </w:rPr>
        <w:t xml:space="preserve"> para 16. In that matter, the plaintiff cyclist was aware of the existence of potholes and, in those circumstances, his speed was held to be excessive, amounting to negligence on his part.</w:t>
      </w:r>
    </w:p>
  </w:footnote>
  <w:footnote w:id="50">
    <w:p w14:paraId="57CC2FCD" w14:textId="75AC5BD2" w:rsidR="00113F32" w:rsidRPr="00113F32" w:rsidRDefault="00113F32" w:rsidP="007E04F6">
      <w:pPr>
        <w:pStyle w:val="FootnoteText"/>
        <w:spacing w:line="240" w:lineRule="auto"/>
        <w:jc w:val="both"/>
        <w:rPr>
          <w:lang w:val="en-US"/>
        </w:rPr>
      </w:pPr>
      <w:r>
        <w:rPr>
          <w:rStyle w:val="FootnoteReference"/>
        </w:rPr>
        <w:footnoteRef/>
      </w:r>
      <w:r>
        <w:t xml:space="preserve"> </w:t>
      </w:r>
      <w:r>
        <w:rPr>
          <w:i/>
          <w:iCs/>
          <w:lang w:val="en-US"/>
        </w:rPr>
        <w:t>Butise</w:t>
      </w:r>
      <w:r>
        <w:rPr>
          <w:lang w:val="en-US"/>
        </w:rPr>
        <w:t xml:space="preserve"> above n </w:t>
      </w:r>
      <w:r w:rsidR="0082231A">
        <w:rPr>
          <w:lang w:val="en-US"/>
        </w:rPr>
        <w:t>8</w:t>
      </w:r>
      <w:r>
        <w:rPr>
          <w:lang w:val="en-US"/>
        </w:rPr>
        <w:t xml:space="preserve"> para 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0537942"/>
      <w:docPartObj>
        <w:docPartGallery w:val="Page Numbers (Top of Page)"/>
        <w:docPartUnique/>
      </w:docPartObj>
    </w:sdtPr>
    <w:sdtContent>
      <w:p w14:paraId="70C87348" w14:textId="4DCB78CB" w:rsidR="00146BA3" w:rsidRDefault="00146B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4796027"/>
      <w:docPartObj>
        <w:docPartGallery w:val="Page Numbers (Top of Page)"/>
        <w:docPartUnique/>
      </w:docPartObj>
    </w:sdtPr>
    <w:sdtContent>
      <w:p w14:paraId="35370323" w14:textId="22866B82" w:rsidR="00146BA3" w:rsidRDefault="00146B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F5079">
          <w:rPr>
            <w:rStyle w:val="PageNumber"/>
            <w:noProof/>
          </w:rPr>
          <w:t>12</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7B5EFE"/>
    <w:multiLevelType w:val="hybridMultilevel"/>
    <w:tmpl w:val="A1F254A6"/>
    <w:lvl w:ilvl="0" w:tplc="EB30129E">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7E161E"/>
    <w:multiLevelType w:val="hybridMultilevel"/>
    <w:tmpl w:val="97D445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5F1397"/>
    <w:multiLevelType w:val="hybridMultilevel"/>
    <w:tmpl w:val="0F70BCAA"/>
    <w:lvl w:ilvl="0" w:tplc="228222EC">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A242B8"/>
    <w:multiLevelType w:val="hybridMultilevel"/>
    <w:tmpl w:val="393C1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261E73"/>
    <w:multiLevelType w:val="multilevel"/>
    <w:tmpl w:val="D17043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C26CBB"/>
    <w:multiLevelType w:val="hybridMultilevel"/>
    <w:tmpl w:val="DB0841E6"/>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A16675"/>
    <w:multiLevelType w:val="hybridMultilevel"/>
    <w:tmpl w:val="80ACA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281230">
    <w:abstractNumId w:val="3"/>
  </w:num>
  <w:num w:numId="2" w16cid:durableId="2043700004">
    <w:abstractNumId w:val="0"/>
  </w:num>
  <w:num w:numId="3" w16cid:durableId="361830689">
    <w:abstractNumId w:val="5"/>
  </w:num>
  <w:num w:numId="4" w16cid:durableId="435252398">
    <w:abstractNumId w:val="4"/>
  </w:num>
  <w:num w:numId="5" w16cid:durableId="1331181466">
    <w:abstractNumId w:val="14"/>
  </w:num>
  <w:num w:numId="6" w16cid:durableId="1958019844">
    <w:abstractNumId w:val="7"/>
  </w:num>
  <w:num w:numId="7" w16cid:durableId="344866597">
    <w:abstractNumId w:val="17"/>
  </w:num>
  <w:num w:numId="8" w16cid:durableId="1123843495">
    <w:abstractNumId w:val="1"/>
  </w:num>
  <w:num w:numId="9" w16cid:durableId="25178522">
    <w:abstractNumId w:val="6"/>
  </w:num>
  <w:num w:numId="10" w16cid:durableId="1351030627">
    <w:abstractNumId w:val="10"/>
  </w:num>
  <w:num w:numId="11" w16cid:durableId="1653293782">
    <w:abstractNumId w:val="16"/>
  </w:num>
  <w:num w:numId="12" w16cid:durableId="401178253">
    <w:abstractNumId w:val="9"/>
  </w:num>
  <w:num w:numId="13" w16cid:durableId="203251812">
    <w:abstractNumId w:val="12"/>
  </w:num>
  <w:num w:numId="14" w16cid:durableId="313686678">
    <w:abstractNumId w:val="11"/>
  </w:num>
  <w:num w:numId="15" w16cid:durableId="1386973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5299271">
    <w:abstractNumId w:val="8"/>
  </w:num>
  <w:num w:numId="17" w16cid:durableId="665592909">
    <w:abstractNumId w:val="15"/>
  </w:num>
  <w:num w:numId="18" w16cid:durableId="587353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1A4"/>
    <w:rsid w:val="00000935"/>
    <w:rsid w:val="0000206B"/>
    <w:rsid w:val="0000217A"/>
    <w:rsid w:val="0000222B"/>
    <w:rsid w:val="00003C0F"/>
    <w:rsid w:val="00004989"/>
    <w:rsid w:val="00004E1E"/>
    <w:rsid w:val="00005691"/>
    <w:rsid w:val="00005ABB"/>
    <w:rsid w:val="00005BC2"/>
    <w:rsid w:val="0000642E"/>
    <w:rsid w:val="00006A5F"/>
    <w:rsid w:val="00006D19"/>
    <w:rsid w:val="00006EF3"/>
    <w:rsid w:val="00007087"/>
    <w:rsid w:val="000072EE"/>
    <w:rsid w:val="00007904"/>
    <w:rsid w:val="00010708"/>
    <w:rsid w:val="000109B4"/>
    <w:rsid w:val="000122A6"/>
    <w:rsid w:val="00012A2F"/>
    <w:rsid w:val="00012D96"/>
    <w:rsid w:val="00013C4F"/>
    <w:rsid w:val="000142EE"/>
    <w:rsid w:val="00014437"/>
    <w:rsid w:val="00014770"/>
    <w:rsid w:val="00014CC7"/>
    <w:rsid w:val="000156C3"/>
    <w:rsid w:val="000161E8"/>
    <w:rsid w:val="0001640E"/>
    <w:rsid w:val="00016FDA"/>
    <w:rsid w:val="000172B5"/>
    <w:rsid w:val="000220C3"/>
    <w:rsid w:val="00022804"/>
    <w:rsid w:val="00022AC8"/>
    <w:rsid w:val="00022C75"/>
    <w:rsid w:val="0002365D"/>
    <w:rsid w:val="00023AA5"/>
    <w:rsid w:val="000243CC"/>
    <w:rsid w:val="00027DA3"/>
    <w:rsid w:val="00030A25"/>
    <w:rsid w:val="00030E04"/>
    <w:rsid w:val="000323B0"/>
    <w:rsid w:val="000331BA"/>
    <w:rsid w:val="00033C59"/>
    <w:rsid w:val="00033F64"/>
    <w:rsid w:val="000341AF"/>
    <w:rsid w:val="00034B1B"/>
    <w:rsid w:val="00034B32"/>
    <w:rsid w:val="0003553E"/>
    <w:rsid w:val="000359C7"/>
    <w:rsid w:val="00035E93"/>
    <w:rsid w:val="00037FC9"/>
    <w:rsid w:val="00040105"/>
    <w:rsid w:val="0004040E"/>
    <w:rsid w:val="00040F79"/>
    <w:rsid w:val="00041538"/>
    <w:rsid w:val="000419CD"/>
    <w:rsid w:val="000422CD"/>
    <w:rsid w:val="0004347D"/>
    <w:rsid w:val="0004373B"/>
    <w:rsid w:val="00044B50"/>
    <w:rsid w:val="0004501B"/>
    <w:rsid w:val="000451D0"/>
    <w:rsid w:val="0004693A"/>
    <w:rsid w:val="00047035"/>
    <w:rsid w:val="0004779D"/>
    <w:rsid w:val="000478E8"/>
    <w:rsid w:val="00050612"/>
    <w:rsid w:val="0005061D"/>
    <w:rsid w:val="00051AF2"/>
    <w:rsid w:val="00051F6C"/>
    <w:rsid w:val="00053175"/>
    <w:rsid w:val="000536DD"/>
    <w:rsid w:val="00053D81"/>
    <w:rsid w:val="00054DEC"/>
    <w:rsid w:val="00055C33"/>
    <w:rsid w:val="00056042"/>
    <w:rsid w:val="0005642D"/>
    <w:rsid w:val="00056FBA"/>
    <w:rsid w:val="000574BF"/>
    <w:rsid w:val="00060976"/>
    <w:rsid w:val="00063188"/>
    <w:rsid w:val="00063C56"/>
    <w:rsid w:val="00063C6E"/>
    <w:rsid w:val="00063D5A"/>
    <w:rsid w:val="0006762A"/>
    <w:rsid w:val="0007050F"/>
    <w:rsid w:val="00070E0E"/>
    <w:rsid w:val="0007234C"/>
    <w:rsid w:val="000723E8"/>
    <w:rsid w:val="00072D18"/>
    <w:rsid w:val="0007304F"/>
    <w:rsid w:val="000731A6"/>
    <w:rsid w:val="0007399B"/>
    <w:rsid w:val="00073BB8"/>
    <w:rsid w:val="00073EFC"/>
    <w:rsid w:val="00075260"/>
    <w:rsid w:val="00075378"/>
    <w:rsid w:val="00076A44"/>
    <w:rsid w:val="000778A4"/>
    <w:rsid w:val="0008059F"/>
    <w:rsid w:val="00080D4E"/>
    <w:rsid w:val="000815F5"/>
    <w:rsid w:val="00081E7D"/>
    <w:rsid w:val="00083322"/>
    <w:rsid w:val="00083386"/>
    <w:rsid w:val="000833DB"/>
    <w:rsid w:val="00083E97"/>
    <w:rsid w:val="00084C6F"/>
    <w:rsid w:val="00085D53"/>
    <w:rsid w:val="00086278"/>
    <w:rsid w:val="00086A06"/>
    <w:rsid w:val="0008715C"/>
    <w:rsid w:val="00087E39"/>
    <w:rsid w:val="0009015D"/>
    <w:rsid w:val="00090490"/>
    <w:rsid w:val="00090952"/>
    <w:rsid w:val="000910CD"/>
    <w:rsid w:val="00091F8C"/>
    <w:rsid w:val="0009212E"/>
    <w:rsid w:val="000931B1"/>
    <w:rsid w:val="00093584"/>
    <w:rsid w:val="0009497C"/>
    <w:rsid w:val="00096BC1"/>
    <w:rsid w:val="00097619"/>
    <w:rsid w:val="000976CA"/>
    <w:rsid w:val="000A170F"/>
    <w:rsid w:val="000A39A5"/>
    <w:rsid w:val="000A3C82"/>
    <w:rsid w:val="000A59DC"/>
    <w:rsid w:val="000A5EF9"/>
    <w:rsid w:val="000B0946"/>
    <w:rsid w:val="000B0DC8"/>
    <w:rsid w:val="000B1B4A"/>
    <w:rsid w:val="000B243A"/>
    <w:rsid w:val="000B26AE"/>
    <w:rsid w:val="000B26CF"/>
    <w:rsid w:val="000B326B"/>
    <w:rsid w:val="000B5790"/>
    <w:rsid w:val="000B5FBC"/>
    <w:rsid w:val="000B60EE"/>
    <w:rsid w:val="000B6309"/>
    <w:rsid w:val="000B643B"/>
    <w:rsid w:val="000B690B"/>
    <w:rsid w:val="000B7433"/>
    <w:rsid w:val="000B78EC"/>
    <w:rsid w:val="000C0413"/>
    <w:rsid w:val="000C06DF"/>
    <w:rsid w:val="000C24A8"/>
    <w:rsid w:val="000C2D21"/>
    <w:rsid w:val="000C3531"/>
    <w:rsid w:val="000C3620"/>
    <w:rsid w:val="000C39A5"/>
    <w:rsid w:val="000C3A6D"/>
    <w:rsid w:val="000C450C"/>
    <w:rsid w:val="000C599B"/>
    <w:rsid w:val="000C663E"/>
    <w:rsid w:val="000C67E0"/>
    <w:rsid w:val="000C6920"/>
    <w:rsid w:val="000C6FB4"/>
    <w:rsid w:val="000C7746"/>
    <w:rsid w:val="000C7A27"/>
    <w:rsid w:val="000D085B"/>
    <w:rsid w:val="000D0D78"/>
    <w:rsid w:val="000D17EF"/>
    <w:rsid w:val="000D22FB"/>
    <w:rsid w:val="000D32C0"/>
    <w:rsid w:val="000D487F"/>
    <w:rsid w:val="000D4BE8"/>
    <w:rsid w:val="000D4BFA"/>
    <w:rsid w:val="000D4C7F"/>
    <w:rsid w:val="000D667A"/>
    <w:rsid w:val="000D6F6D"/>
    <w:rsid w:val="000D7020"/>
    <w:rsid w:val="000D78B1"/>
    <w:rsid w:val="000E1752"/>
    <w:rsid w:val="000E1C45"/>
    <w:rsid w:val="000E2444"/>
    <w:rsid w:val="000E3A93"/>
    <w:rsid w:val="000E3C08"/>
    <w:rsid w:val="000E3E15"/>
    <w:rsid w:val="000E4F0D"/>
    <w:rsid w:val="000E5040"/>
    <w:rsid w:val="000E5100"/>
    <w:rsid w:val="000E6EE8"/>
    <w:rsid w:val="000E7648"/>
    <w:rsid w:val="000E7ECD"/>
    <w:rsid w:val="000F05E0"/>
    <w:rsid w:val="000F16BA"/>
    <w:rsid w:val="000F1A95"/>
    <w:rsid w:val="000F6BFE"/>
    <w:rsid w:val="000F7DF4"/>
    <w:rsid w:val="0010068E"/>
    <w:rsid w:val="00100BA3"/>
    <w:rsid w:val="00100F9A"/>
    <w:rsid w:val="0010218C"/>
    <w:rsid w:val="00102A24"/>
    <w:rsid w:val="00102D5B"/>
    <w:rsid w:val="001044DB"/>
    <w:rsid w:val="00105EB6"/>
    <w:rsid w:val="0010622C"/>
    <w:rsid w:val="001078B5"/>
    <w:rsid w:val="00107A5F"/>
    <w:rsid w:val="0011026A"/>
    <w:rsid w:val="00110EF0"/>
    <w:rsid w:val="001124A5"/>
    <w:rsid w:val="00112548"/>
    <w:rsid w:val="00113F32"/>
    <w:rsid w:val="001148E0"/>
    <w:rsid w:val="00116B88"/>
    <w:rsid w:val="00116EB9"/>
    <w:rsid w:val="00116FE8"/>
    <w:rsid w:val="001179C9"/>
    <w:rsid w:val="00120E93"/>
    <w:rsid w:val="001226DE"/>
    <w:rsid w:val="00122D62"/>
    <w:rsid w:val="00123296"/>
    <w:rsid w:val="0012621C"/>
    <w:rsid w:val="00130228"/>
    <w:rsid w:val="00131984"/>
    <w:rsid w:val="00131A28"/>
    <w:rsid w:val="001337CC"/>
    <w:rsid w:val="00134276"/>
    <w:rsid w:val="00134C11"/>
    <w:rsid w:val="00134DA6"/>
    <w:rsid w:val="00135C81"/>
    <w:rsid w:val="0013680E"/>
    <w:rsid w:val="00137E08"/>
    <w:rsid w:val="00141866"/>
    <w:rsid w:val="00142F79"/>
    <w:rsid w:val="001432DF"/>
    <w:rsid w:val="001435EB"/>
    <w:rsid w:val="00144974"/>
    <w:rsid w:val="00146BA3"/>
    <w:rsid w:val="00146BF1"/>
    <w:rsid w:val="001517E0"/>
    <w:rsid w:val="001527A3"/>
    <w:rsid w:val="00153496"/>
    <w:rsid w:val="0015354B"/>
    <w:rsid w:val="00156A39"/>
    <w:rsid w:val="00157785"/>
    <w:rsid w:val="00157898"/>
    <w:rsid w:val="00157C19"/>
    <w:rsid w:val="0016025A"/>
    <w:rsid w:val="00160EBC"/>
    <w:rsid w:val="00160F58"/>
    <w:rsid w:val="00161527"/>
    <w:rsid w:val="00162F7D"/>
    <w:rsid w:val="00163A58"/>
    <w:rsid w:val="0016477F"/>
    <w:rsid w:val="00164B7B"/>
    <w:rsid w:val="00164FAD"/>
    <w:rsid w:val="00166A2A"/>
    <w:rsid w:val="00172B5C"/>
    <w:rsid w:val="00173547"/>
    <w:rsid w:val="00174B6D"/>
    <w:rsid w:val="0017614D"/>
    <w:rsid w:val="00176E89"/>
    <w:rsid w:val="0018006A"/>
    <w:rsid w:val="00180F4E"/>
    <w:rsid w:val="00180FBF"/>
    <w:rsid w:val="00181923"/>
    <w:rsid w:val="00181B01"/>
    <w:rsid w:val="00181E7E"/>
    <w:rsid w:val="00182175"/>
    <w:rsid w:val="00184625"/>
    <w:rsid w:val="00184C0D"/>
    <w:rsid w:val="001861C2"/>
    <w:rsid w:val="00186769"/>
    <w:rsid w:val="001870AF"/>
    <w:rsid w:val="00191768"/>
    <w:rsid w:val="00192869"/>
    <w:rsid w:val="001943D2"/>
    <w:rsid w:val="00194E42"/>
    <w:rsid w:val="001954F0"/>
    <w:rsid w:val="00195571"/>
    <w:rsid w:val="001955AB"/>
    <w:rsid w:val="00196536"/>
    <w:rsid w:val="00196742"/>
    <w:rsid w:val="001977A1"/>
    <w:rsid w:val="001A3195"/>
    <w:rsid w:val="001A4BE7"/>
    <w:rsid w:val="001A4F33"/>
    <w:rsid w:val="001A5EC6"/>
    <w:rsid w:val="001B0D01"/>
    <w:rsid w:val="001B2578"/>
    <w:rsid w:val="001B2FE4"/>
    <w:rsid w:val="001B505F"/>
    <w:rsid w:val="001B69E3"/>
    <w:rsid w:val="001B7729"/>
    <w:rsid w:val="001C04BC"/>
    <w:rsid w:val="001C1478"/>
    <w:rsid w:val="001C232A"/>
    <w:rsid w:val="001C24AF"/>
    <w:rsid w:val="001C2DD7"/>
    <w:rsid w:val="001C48A5"/>
    <w:rsid w:val="001C5945"/>
    <w:rsid w:val="001C7061"/>
    <w:rsid w:val="001D0962"/>
    <w:rsid w:val="001D214B"/>
    <w:rsid w:val="001D4858"/>
    <w:rsid w:val="001D4C5E"/>
    <w:rsid w:val="001D57CD"/>
    <w:rsid w:val="001D5A9D"/>
    <w:rsid w:val="001D5F83"/>
    <w:rsid w:val="001D61C8"/>
    <w:rsid w:val="001D65C0"/>
    <w:rsid w:val="001D677B"/>
    <w:rsid w:val="001E0F36"/>
    <w:rsid w:val="001E1834"/>
    <w:rsid w:val="001E1B07"/>
    <w:rsid w:val="001E1E07"/>
    <w:rsid w:val="001E24E0"/>
    <w:rsid w:val="001E4824"/>
    <w:rsid w:val="001E55CE"/>
    <w:rsid w:val="001E640A"/>
    <w:rsid w:val="001E6A6E"/>
    <w:rsid w:val="001E701F"/>
    <w:rsid w:val="001E765C"/>
    <w:rsid w:val="001E7844"/>
    <w:rsid w:val="001E78D5"/>
    <w:rsid w:val="001E7C8F"/>
    <w:rsid w:val="001F2276"/>
    <w:rsid w:val="001F335C"/>
    <w:rsid w:val="001F3A41"/>
    <w:rsid w:val="001F5069"/>
    <w:rsid w:val="001F59AB"/>
    <w:rsid w:val="001F7EF5"/>
    <w:rsid w:val="00201D1C"/>
    <w:rsid w:val="00201DC6"/>
    <w:rsid w:val="00201F12"/>
    <w:rsid w:val="00202655"/>
    <w:rsid w:val="00206D6C"/>
    <w:rsid w:val="00207573"/>
    <w:rsid w:val="00210F48"/>
    <w:rsid w:val="002115FE"/>
    <w:rsid w:val="00213565"/>
    <w:rsid w:val="00213D82"/>
    <w:rsid w:val="002140B2"/>
    <w:rsid w:val="0021430F"/>
    <w:rsid w:val="002154D2"/>
    <w:rsid w:val="00215EBC"/>
    <w:rsid w:val="00216AAB"/>
    <w:rsid w:val="0021730A"/>
    <w:rsid w:val="00217399"/>
    <w:rsid w:val="0021786A"/>
    <w:rsid w:val="002203EC"/>
    <w:rsid w:val="00220833"/>
    <w:rsid w:val="00220C3C"/>
    <w:rsid w:val="00221271"/>
    <w:rsid w:val="00222854"/>
    <w:rsid w:val="00224363"/>
    <w:rsid w:val="0022594E"/>
    <w:rsid w:val="002261BC"/>
    <w:rsid w:val="00226444"/>
    <w:rsid w:val="00226ADA"/>
    <w:rsid w:val="00227379"/>
    <w:rsid w:val="00227580"/>
    <w:rsid w:val="00227787"/>
    <w:rsid w:val="00230B10"/>
    <w:rsid w:val="00231325"/>
    <w:rsid w:val="002327AF"/>
    <w:rsid w:val="0023410F"/>
    <w:rsid w:val="00234A6A"/>
    <w:rsid w:val="0023677B"/>
    <w:rsid w:val="002368B8"/>
    <w:rsid w:val="00236B9D"/>
    <w:rsid w:val="00237273"/>
    <w:rsid w:val="00237498"/>
    <w:rsid w:val="0023768E"/>
    <w:rsid w:val="002402F6"/>
    <w:rsid w:val="0024109B"/>
    <w:rsid w:val="00241769"/>
    <w:rsid w:val="00244A86"/>
    <w:rsid w:val="00244ADC"/>
    <w:rsid w:val="00245504"/>
    <w:rsid w:val="00245BEB"/>
    <w:rsid w:val="00246150"/>
    <w:rsid w:val="00246F5C"/>
    <w:rsid w:val="0024751C"/>
    <w:rsid w:val="00247551"/>
    <w:rsid w:val="00250530"/>
    <w:rsid w:val="0025056A"/>
    <w:rsid w:val="00251ACD"/>
    <w:rsid w:val="0025292B"/>
    <w:rsid w:val="00252D9E"/>
    <w:rsid w:val="00252FC1"/>
    <w:rsid w:val="00253273"/>
    <w:rsid w:val="00256208"/>
    <w:rsid w:val="00256FCC"/>
    <w:rsid w:val="00257A15"/>
    <w:rsid w:val="002606D8"/>
    <w:rsid w:val="00260A94"/>
    <w:rsid w:val="00260B67"/>
    <w:rsid w:val="002612A5"/>
    <w:rsid w:val="00261583"/>
    <w:rsid w:val="0026158F"/>
    <w:rsid w:val="002617D8"/>
    <w:rsid w:val="00261BC9"/>
    <w:rsid w:val="00262C99"/>
    <w:rsid w:val="00262D2A"/>
    <w:rsid w:val="00263206"/>
    <w:rsid w:val="002635B7"/>
    <w:rsid w:val="00263B8D"/>
    <w:rsid w:val="0026495C"/>
    <w:rsid w:val="00265010"/>
    <w:rsid w:val="00265180"/>
    <w:rsid w:val="00265AEB"/>
    <w:rsid w:val="00265C6D"/>
    <w:rsid w:val="0026634E"/>
    <w:rsid w:val="0026645C"/>
    <w:rsid w:val="002705E9"/>
    <w:rsid w:val="00273903"/>
    <w:rsid w:val="00274C64"/>
    <w:rsid w:val="00274C6A"/>
    <w:rsid w:val="00275410"/>
    <w:rsid w:val="00276100"/>
    <w:rsid w:val="00276238"/>
    <w:rsid w:val="00277EB6"/>
    <w:rsid w:val="0028182D"/>
    <w:rsid w:val="00283125"/>
    <w:rsid w:val="00283F5A"/>
    <w:rsid w:val="0028413E"/>
    <w:rsid w:val="002852C4"/>
    <w:rsid w:val="00285664"/>
    <w:rsid w:val="00287A18"/>
    <w:rsid w:val="00287A26"/>
    <w:rsid w:val="00287ED5"/>
    <w:rsid w:val="00290DC6"/>
    <w:rsid w:val="00290E92"/>
    <w:rsid w:val="0029395B"/>
    <w:rsid w:val="00294129"/>
    <w:rsid w:val="00294313"/>
    <w:rsid w:val="0029513E"/>
    <w:rsid w:val="002960D0"/>
    <w:rsid w:val="0029797F"/>
    <w:rsid w:val="002A01B5"/>
    <w:rsid w:val="002A025A"/>
    <w:rsid w:val="002A080F"/>
    <w:rsid w:val="002A0EB5"/>
    <w:rsid w:val="002A157A"/>
    <w:rsid w:val="002A1950"/>
    <w:rsid w:val="002A1D97"/>
    <w:rsid w:val="002A1E2F"/>
    <w:rsid w:val="002A21AF"/>
    <w:rsid w:val="002A2A2A"/>
    <w:rsid w:val="002A2AA4"/>
    <w:rsid w:val="002A34E3"/>
    <w:rsid w:val="002A3836"/>
    <w:rsid w:val="002A3C5C"/>
    <w:rsid w:val="002A3C70"/>
    <w:rsid w:val="002A46C2"/>
    <w:rsid w:val="002A5305"/>
    <w:rsid w:val="002A61D9"/>
    <w:rsid w:val="002A6332"/>
    <w:rsid w:val="002A6593"/>
    <w:rsid w:val="002A6B82"/>
    <w:rsid w:val="002A73A7"/>
    <w:rsid w:val="002A7AD6"/>
    <w:rsid w:val="002B01B6"/>
    <w:rsid w:val="002B0DEA"/>
    <w:rsid w:val="002B1390"/>
    <w:rsid w:val="002B2268"/>
    <w:rsid w:val="002B31B7"/>
    <w:rsid w:val="002B3660"/>
    <w:rsid w:val="002B3906"/>
    <w:rsid w:val="002B3FE3"/>
    <w:rsid w:val="002B54B7"/>
    <w:rsid w:val="002B57C1"/>
    <w:rsid w:val="002B584C"/>
    <w:rsid w:val="002B6730"/>
    <w:rsid w:val="002B7155"/>
    <w:rsid w:val="002B75CE"/>
    <w:rsid w:val="002B7874"/>
    <w:rsid w:val="002C1ECF"/>
    <w:rsid w:val="002C1ED3"/>
    <w:rsid w:val="002C3A0D"/>
    <w:rsid w:val="002C3BA4"/>
    <w:rsid w:val="002C45D8"/>
    <w:rsid w:val="002C5462"/>
    <w:rsid w:val="002C7128"/>
    <w:rsid w:val="002C7F62"/>
    <w:rsid w:val="002D20C4"/>
    <w:rsid w:val="002D2D96"/>
    <w:rsid w:val="002D4422"/>
    <w:rsid w:val="002D4CBC"/>
    <w:rsid w:val="002D6D70"/>
    <w:rsid w:val="002D7292"/>
    <w:rsid w:val="002E0CCA"/>
    <w:rsid w:val="002E0F57"/>
    <w:rsid w:val="002E141A"/>
    <w:rsid w:val="002E1B95"/>
    <w:rsid w:val="002E3EC7"/>
    <w:rsid w:val="002E4808"/>
    <w:rsid w:val="002E483E"/>
    <w:rsid w:val="002E515C"/>
    <w:rsid w:val="002E5952"/>
    <w:rsid w:val="002E61FB"/>
    <w:rsid w:val="002E6855"/>
    <w:rsid w:val="002E6D7C"/>
    <w:rsid w:val="002E7045"/>
    <w:rsid w:val="002E7199"/>
    <w:rsid w:val="002F0070"/>
    <w:rsid w:val="002F012F"/>
    <w:rsid w:val="002F0513"/>
    <w:rsid w:val="002F0990"/>
    <w:rsid w:val="002F0C58"/>
    <w:rsid w:val="002F13D1"/>
    <w:rsid w:val="002F3131"/>
    <w:rsid w:val="002F37F8"/>
    <w:rsid w:val="002F40C3"/>
    <w:rsid w:val="002F4EDB"/>
    <w:rsid w:val="002F5A82"/>
    <w:rsid w:val="002F5C47"/>
    <w:rsid w:val="002F60D3"/>
    <w:rsid w:val="002F612B"/>
    <w:rsid w:val="002F7574"/>
    <w:rsid w:val="003007A7"/>
    <w:rsid w:val="003008C6"/>
    <w:rsid w:val="00300A59"/>
    <w:rsid w:val="00300E3D"/>
    <w:rsid w:val="0030214A"/>
    <w:rsid w:val="00302778"/>
    <w:rsid w:val="00302E78"/>
    <w:rsid w:val="003035F7"/>
    <w:rsid w:val="003044B4"/>
    <w:rsid w:val="00304939"/>
    <w:rsid w:val="00306288"/>
    <w:rsid w:val="0031225F"/>
    <w:rsid w:val="003140F9"/>
    <w:rsid w:val="003142B4"/>
    <w:rsid w:val="003148EA"/>
    <w:rsid w:val="003150CA"/>
    <w:rsid w:val="0031591F"/>
    <w:rsid w:val="00315CB8"/>
    <w:rsid w:val="00315D8D"/>
    <w:rsid w:val="003168ED"/>
    <w:rsid w:val="00316E1F"/>
    <w:rsid w:val="003172EB"/>
    <w:rsid w:val="00317AB4"/>
    <w:rsid w:val="00320522"/>
    <w:rsid w:val="00321663"/>
    <w:rsid w:val="0032178D"/>
    <w:rsid w:val="00321DE4"/>
    <w:rsid w:val="00321E11"/>
    <w:rsid w:val="003228A7"/>
    <w:rsid w:val="00324CE8"/>
    <w:rsid w:val="00325BD4"/>
    <w:rsid w:val="00326A33"/>
    <w:rsid w:val="0032785C"/>
    <w:rsid w:val="00327E36"/>
    <w:rsid w:val="00327E53"/>
    <w:rsid w:val="00330795"/>
    <w:rsid w:val="00330E85"/>
    <w:rsid w:val="0033219D"/>
    <w:rsid w:val="00333421"/>
    <w:rsid w:val="00333BEA"/>
    <w:rsid w:val="00333F69"/>
    <w:rsid w:val="00334624"/>
    <w:rsid w:val="00335693"/>
    <w:rsid w:val="00335897"/>
    <w:rsid w:val="00336055"/>
    <w:rsid w:val="0033634C"/>
    <w:rsid w:val="0033669D"/>
    <w:rsid w:val="003367DD"/>
    <w:rsid w:val="00336937"/>
    <w:rsid w:val="00336F34"/>
    <w:rsid w:val="00337DFE"/>
    <w:rsid w:val="00341497"/>
    <w:rsid w:val="00341899"/>
    <w:rsid w:val="0034206E"/>
    <w:rsid w:val="00343E5D"/>
    <w:rsid w:val="00343E84"/>
    <w:rsid w:val="0034439B"/>
    <w:rsid w:val="003455A7"/>
    <w:rsid w:val="003469BB"/>
    <w:rsid w:val="00350743"/>
    <w:rsid w:val="00350A47"/>
    <w:rsid w:val="00350EA0"/>
    <w:rsid w:val="00351037"/>
    <w:rsid w:val="003513CA"/>
    <w:rsid w:val="00351FAC"/>
    <w:rsid w:val="003529AF"/>
    <w:rsid w:val="00353652"/>
    <w:rsid w:val="0035432E"/>
    <w:rsid w:val="003564CA"/>
    <w:rsid w:val="0035756C"/>
    <w:rsid w:val="00357751"/>
    <w:rsid w:val="003601F1"/>
    <w:rsid w:val="00360BFC"/>
    <w:rsid w:val="00362A40"/>
    <w:rsid w:val="00363BF3"/>
    <w:rsid w:val="003647F5"/>
    <w:rsid w:val="003649E8"/>
    <w:rsid w:val="00366631"/>
    <w:rsid w:val="003679D5"/>
    <w:rsid w:val="00367B79"/>
    <w:rsid w:val="003700BB"/>
    <w:rsid w:val="0037015D"/>
    <w:rsid w:val="00371222"/>
    <w:rsid w:val="0037217E"/>
    <w:rsid w:val="003738E5"/>
    <w:rsid w:val="00373BB6"/>
    <w:rsid w:val="00374F02"/>
    <w:rsid w:val="00375614"/>
    <w:rsid w:val="00380E60"/>
    <w:rsid w:val="00381483"/>
    <w:rsid w:val="00381C36"/>
    <w:rsid w:val="00381D62"/>
    <w:rsid w:val="00382ADF"/>
    <w:rsid w:val="00384C87"/>
    <w:rsid w:val="003869D5"/>
    <w:rsid w:val="003905B9"/>
    <w:rsid w:val="003914E2"/>
    <w:rsid w:val="00391FFC"/>
    <w:rsid w:val="0039206E"/>
    <w:rsid w:val="00392A4B"/>
    <w:rsid w:val="00392AA2"/>
    <w:rsid w:val="00393BA3"/>
    <w:rsid w:val="0039527F"/>
    <w:rsid w:val="00395A71"/>
    <w:rsid w:val="0039682A"/>
    <w:rsid w:val="003A1DD2"/>
    <w:rsid w:val="003A37F4"/>
    <w:rsid w:val="003A44EC"/>
    <w:rsid w:val="003A4CD3"/>
    <w:rsid w:val="003A4F1D"/>
    <w:rsid w:val="003A4F95"/>
    <w:rsid w:val="003A5601"/>
    <w:rsid w:val="003A567D"/>
    <w:rsid w:val="003A6767"/>
    <w:rsid w:val="003A6F71"/>
    <w:rsid w:val="003A745C"/>
    <w:rsid w:val="003A7AA6"/>
    <w:rsid w:val="003A7BAA"/>
    <w:rsid w:val="003B01D4"/>
    <w:rsid w:val="003B036C"/>
    <w:rsid w:val="003B10EC"/>
    <w:rsid w:val="003B1570"/>
    <w:rsid w:val="003B15C9"/>
    <w:rsid w:val="003B1DB0"/>
    <w:rsid w:val="003B21BF"/>
    <w:rsid w:val="003B3C31"/>
    <w:rsid w:val="003B3DCC"/>
    <w:rsid w:val="003B3E6C"/>
    <w:rsid w:val="003B43B8"/>
    <w:rsid w:val="003B5469"/>
    <w:rsid w:val="003B5522"/>
    <w:rsid w:val="003B5FEE"/>
    <w:rsid w:val="003B6351"/>
    <w:rsid w:val="003B6A5E"/>
    <w:rsid w:val="003B76D9"/>
    <w:rsid w:val="003C0CEB"/>
    <w:rsid w:val="003C1215"/>
    <w:rsid w:val="003C14CC"/>
    <w:rsid w:val="003C2DA6"/>
    <w:rsid w:val="003C351A"/>
    <w:rsid w:val="003C3B19"/>
    <w:rsid w:val="003C3BC6"/>
    <w:rsid w:val="003C54AA"/>
    <w:rsid w:val="003C5934"/>
    <w:rsid w:val="003C7080"/>
    <w:rsid w:val="003D11D0"/>
    <w:rsid w:val="003D146E"/>
    <w:rsid w:val="003D1525"/>
    <w:rsid w:val="003D239A"/>
    <w:rsid w:val="003D2C74"/>
    <w:rsid w:val="003D3525"/>
    <w:rsid w:val="003D5245"/>
    <w:rsid w:val="003D5507"/>
    <w:rsid w:val="003D5A10"/>
    <w:rsid w:val="003D5E6D"/>
    <w:rsid w:val="003D7CB9"/>
    <w:rsid w:val="003E010A"/>
    <w:rsid w:val="003E0F7C"/>
    <w:rsid w:val="003E1A50"/>
    <w:rsid w:val="003E2B73"/>
    <w:rsid w:val="003E2F03"/>
    <w:rsid w:val="003E3BBF"/>
    <w:rsid w:val="003E424A"/>
    <w:rsid w:val="003E4506"/>
    <w:rsid w:val="003E4702"/>
    <w:rsid w:val="003E473C"/>
    <w:rsid w:val="003E6579"/>
    <w:rsid w:val="003E75F3"/>
    <w:rsid w:val="003F0D9E"/>
    <w:rsid w:val="003F12A3"/>
    <w:rsid w:val="003F1974"/>
    <w:rsid w:val="003F2109"/>
    <w:rsid w:val="003F21B6"/>
    <w:rsid w:val="003F2671"/>
    <w:rsid w:val="003F2790"/>
    <w:rsid w:val="003F3C4F"/>
    <w:rsid w:val="003F4059"/>
    <w:rsid w:val="003F41EF"/>
    <w:rsid w:val="003F4780"/>
    <w:rsid w:val="003F4DEA"/>
    <w:rsid w:val="003F50FF"/>
    <w:rsid w:val="003F51E1"/>
    <w:rsid w:val="003F5900"/>
    <w:rsid w:val="003F6355"/>
    <w:rsid w:val="00400266"/>
    <w:rsid w:val="00401A9A"/>
    <w:rsid w:val="00401D50"/>
    <w:rsid w:val="004024EC"/>
    <w:rsid w:val="00402EEA"/>
    <w:rsid w:val="00404201"/>
    <w:rsid w:val="00404992"/>
    <w:rsid w:val="00405CEF"/>
    <w:rsid w:val="00406282"/>
    <w:rsid w:val="00406337"/>
    <w:rsid w:val="00406A00"/>
    <w:rsid w:val="004074B3"/>
    <w:rsid w:val="004075EA"/>
    <w:rsid w:val="00407DA3"/>
    <w:rsid w:val="00410904"/>
    <w:rsid w:val="00410C82"/>
    <w:rsid w:val="0041108E"/>
    <w:rsid w:val="00412658"/>
    <w:rsid w:val="00412DF2"/>
    <w:rsid w:val="004138F5"/>
    <w:rsid w:val="00413D22"/>
    <w:rsid w:val="00414C90"/>
    <w:rsid w:val="00415976"/>
    <w:rsid w:val="004165B0"/>
    <w:rsid w:val="004165D6"/>
    <w:rsid w:val="00417973"/>
    <w:rsid w:val="0042163E"/>
    <w:rsid w:val="00421ED7"/>
    <w:rsid w:val="00422018"/>
    <w:rsid w:val="00422122"/>
    <w:rsid w:val="00422D4D"/>
    <w:rsid w:val="00423163"/>
    <w:rsid w:val="004244A5"/>
    <w:rsid w:val="00427318"/>
    <w:rsid w:val="004276CD"/>
    <w:rsid w:val="0042778E"/>
    <w:rsid w:val="00427843"/>
    <w:rsid w:val="00427A35"/>
    <w:rsid w:val="004302B6"/>
    <w:rsid w:val="0043230A"/>
    <w:rsid w:val="00434627"/>
    <w:rsid w:val="0043511C"/>
    <w:rsid w:val="00435538"/>
    <w:rsid w:val="00435E4E"/>
    <w:rsid w:val="00437E88"/>
    <w:rsid w:val="00440672"/>
    <w:rsid w:val="00440EDE"/>
    <w:rsid w:val="0044143F"/>
    <w:rsid w:val="004414B1"/>
    <w:rsid w:val="004416BC"/>
    <w:rsid w:val="00441E70"/>
    <w:rsid w:val="0044313F"/>
    <w:rsid w:val="00443779"/>
    <w:rsid w:val="00443CCC"/>
    <w:rsid w:val="004441E4"/>
    <w:rsid w:val="004448E8"/>
    <w:rsid w:val="004460F8"/>
    <w:rsid w:val="004474FB"/>
    <w:rsid w:val="00447553"/>
    <w:rsid w:val="004528CC"/>
    <w:rsid w:val="004529C3"/>
    <w:rsid w:val="00453339"/>
    <w:rsid w:val="00454149"/>
    <w:rsid w:val="00455355"/>
    <w:rsid w:val="0045608B"/>
    <w:rsid w:val="004567D0"/>
    <w:rsid w:val="00461504"/>
    <w:rsid w:val="00461701"/>
    <w:rsid w:val="0046379A"/>
    <w:rsid w:val="004652FD"/>
    <w:rsid w:val="004657F4"/>
    <w:rsid w:val="00466979"/>
    <w:rsid w:val="00466C6E"/>
    <w:rsid w:val="00466D17"/>
    <w:rsid w:val="00467CC4"/>
    <w:rsid w:val="00467E20"/>
    <w:rsid w:val="00472A4C"/>
    <w:rsid w:val="00472B05"/>
    <w:rsid w:val="00472E85"/>
    <w:rsid w:val="00473068"/>
    <w:rsid w:val="004735D5"/>
    <w:rsid w:val="004741DE"/>
    <w:rsid w:val="0047556B"/>
    <w:rsid w:val="00475C2D"/>
    <w:rsid w:val="00477226"/>
    <w:rsid w:val="004813E8"/>
    <w:rsid w:val="004827F3"/>
    <w:rsid w:val="004829F2"/>
    <w:rsid w:val="00482A67"/>
    <w:rsid w:val="00484819"/>
    <w:rsid w:val="00486114"/>
    <w:rsid w:val="004863E4"/>
    <w:rsid w:val="0048670A"/>
    <w:rsid w:val="00487264"/>
    <w:rsid w:val="00487717"/>
    <w:rsid w:val="00490189"/>
    <w:rsid w:val="00490D2A"/>
    <w:rsid w:val="0049105D"/>
    <w:rsid w:val="004918C4"/>
    <w:rsid w:val="004922D2"/>
    <w:rsid w:val="004932A2"/>
    <w:rsid w:val="00496E8C"/>
    <w:rsid w:val="00496EAA"/>
    <w:rsid w:val="00497286"/>
    <w:rsid w:val="004A00B9"/>
    <w:rsid w:val="004A02BC"/>
    <w:rsid w:val="004A08D7"/>
    <w:rsid w:val="004A0BB8"/>
    <w:rsid w:val="004A0E54"/>
    <w:rsid w:val="004A265E"/>
    <w:rsid w:val="004A5151"/>
    <w:rsid w:val="004A5DB1"/>
    <w:rsid w:val="004A6745"/>
    <w:rsid w:val="004A687F"/>
    <w:rsid w:val="004A7359"/>
    <w:rsid w:val="004B124D"/>
    <w:rsid w:val="004B3161"/>
    <w:rsid w:val="004B34FA"/>
    <w:rsid w:val="004B4EB7"/>
    <w:rsid w:val="004B5BAF"/>
    <w:rsid w:val="004B5CB4"/>
    <w:rsid w:val="004B632A"/>
    <w:rsid w:val="004B647C"/>
    <w:rsid w:val="004B7E82"/>
    <w:rsid w:val="004C06AD"/>
    <w:rsid w:val="004C0891"/>
    <w:rsid w:val="004C0946"/>
    <w:rsid w:val="004C0C08"/>
    <w:rsid w:val="004C13CF"/>
    <w:rsid w:val="004C28EF"/>
    <w:rsid w:val="004C3657"/>
    <w:rsid w:val="004C5693"/>
    <w:rsid w:val="004C7C7E"/>
    <w:rsid w:val="004C7EB2"/>
    <w:rsid w:val="004D0163"/>
    <w:rsid w:val="004D0615"/>
    <w:rsid w:val="004D0AC5"/>
    <w:rsid w:val="004D0DA4"/>
    <w:rsid w:val="004D19EB"/>
    <w:rsid w:val="004D1AAF"/>
    <w:rsid w:val="004D3210"/>
    <w:rsid w:val="004D35C6"/>
    <w:rsid w:val="004D480E"/>
    <w:rsid w:val="004D512F"/>
    <w:rsid w:val="004D62A0"/>
    <w:rsid w:val="004D6961"/>
    <w:rsid w:val="004D797C"/>
    <w:rsid w:val="004E06B4"/>
    <w:rsid w:val="004E189A"/>
    <w:rsid w:val="004E1A28"/>
    <w:rsid w:val="004E1E07"/>
    <w:rsid w:val="004E2076"/>
    <w:rsid w:val="004E2643"/>
    <w:rsid w:val="004E2F8E"/>
    <w:rsid w:val="004E318F"/>
    <w:rsid w:val="004E3673"/>
    <w:rsid w:val="004E47CE"/>
    <w:rsid w:val="004E5A0A"/>
    <w:rsid w:val="004E6694"/>
    <w:rsid w:val="004E6764"/>
    <w:rsid w:val="004E76BC"/>
    <w:rsid w:val="004E791F"/>
    <w:rsid w:val="004F021C"/>
    <w:rsid w:val="004F1757"/>
    <w:rsid w:val="004F1D20"/>
    <w:rsid w:val="004F326C"/>
    <w:rsid w:val="004F367F"/>
    <w:rsid w:val="004F38A6"/>
    <w:rsid w:val="004F3F3E"/>
    <w:rsid w:val="004F444A"/>
    <w:rsid w:val="004F5575"/>
    <w:rsid w:val="004F604F"/>
    <w:rsid w:val="004F79D9"/>
    <w:rsid w:val="00500FC1"/>
    <w:rsid w:val="005014BC"/>
    <w:rsid w:val="00501617"/>
    <w:rsid w:val="00501675"/>
    <w:rsid w:val="00502229"/>
    <w:rsid w:val="005030DE"/>
    <w:rsid w:val="0050418F"/>
    <w:rsid w:val="00504BCF"/>
    <w:rsid w:val="005056C1"/>
    <w:rsid w:val="0050634D"/>
    <w:rsid w:val="005078B2"/>
    <w:rsid w:val="005079C1"/>
    <w:rsid w:val="00507BBF"/>
    <w:rsid w:val="00511260"/>
    <w:rsid w:val="00511565"/>
    <w:rsid w:val="0051172C"/>
    <w:rsid w:val="00511D5A"/>
    <w:rsid w:val="0051380C"/>
    <w:rsid w:val="00514878"/>
    <w:rsid w:val="0051706E"/>
    <w:rsid w:val="00517CF3"/>
    <w:rsid w:val="00520E7F"/>
    <w:rsid w:val="00521389"/>
    <w:rsid w:val="00522F69"/>
    <w:rsid w:val="005232C9"/>
    <w:rsid w:val="00523DBC"/>
    <w:rsid w:val="005244E9"/>
    <w:rsid w:val="00525C7E"/>
    <w:rsid w:val="00525DF3"/>
    <w:rsid w:val="00526A28"/>
    <w:rsid w:val="00530003"/>
    <w:rsid w:val="00530509"/>
    <w:rsid w:val="005308C6"/>
    <w:rsid w:val="00531B3D"/>
    <w:rsid w:val="00532080"/>
    <w:rsid w:val="00532409"/>
    <w:rsid w:val="00532B12"/>
    <w:rsid w:val="005334D5"/>
    <w:rsid w:val="00535971"/>
    <w:rsid w:val="005425D7"/>
    <w:rsid w:val="00543CBF"/>
    <w:rsid w:val="00544757"/>
    <w:rsid w:val="00545009"/>
    <w:rsid w:val="00545140"/>
    <w:rsid w:val="00545398"/>
    <w:rsid w:val="00545668"/>
    <w:rsid w:val="005456F9"/>
    <w:rsid w:val="00547ED2"/>
    <w:rsid w:val="0055098F"/>
    <w:rsid w:val="005517B9"/>
    <w:rsid w:val="0055282D"/>
    <w:rsid w:val="00553E7D"/>
    <w:rsid w:val="005542BD"/>
    <w:rsid w:val="005550B4"/>
    <w:rsid w:val="00555E05"/>
    <w:rsid w:val="00556489"/>
    <w:rsid w:val="00556EDA"/>
    <w:rsid w:val="00556FC7"/>
    <w:rsid w:val="005573D6"/>
    <w:rsid w:val="0056029F"/>
    <w:rsid w:val="00560779"/>
    <w:rsid w:val="00560B77"/>
    <w:rsid w:val="00560D5C"/>
    <w:rsid w:val="00563CE1"/>
    <w:rsid w:val="0056509F"/>
    <w:rsid w:val="00565326"/>
    <w:rsid w:val="00567A61"/>
    <w:rsid w:val="005703D6"/>
    <w:rsid w:val="005704AD"/>
    <w:rsid w:val="00570A0D"/>
    <w:rsid w:val="005741BF"/>
    <w:rsid w:val="005754FC"/>
    <w:rsid w:val="00575F9C"/>
    <w:rsid w:val="00576979"/>
    <w:rsid w:val="00577D50"/>
    <w:rsid w:val="00580D85"/>
    <w:rsid w:val="00580E5A"/>
    <w:rsid w:val="005813AC"/>
    <w:rsid w:val="005818F8"/>
    <w:rsid w:val="0058220C"/>
    <w:rsid w:val="00582985"/>
    <w:rsid w:val="0058354A"/>
    <w:rsid w:val="0058491A"/>
    <w:rsid w:val="00584BA7"/>
    <w:rsid w:val="00584E04"/>
    <w:rsid w:val="0058513A"/>
    <w:rsid w:val="0058542B"/>
    <w:rsid w:val="00586CFB"/>
    <w:rsid w:val="005872CA"/>
    <w:rsid w:val="00587D29"/>
    <w:rsid w:val="00591072"/>
    <w:rsid w:val="005934B8"/>
    <w:rsid w:val="00594135"/>
    <w:rsid w:val="00594C9D"/>
    <w:rsid w:val="0059530D"/>
    <w:rsid w:val="0059590D"/>
    <w:rsid w:val="00595C65"/>
    <w:rsid w:val="0059616E"/>
    <w:rsid w:val="005964E5"/>
    <w:rsid w:val="00596992"/>
    <w:rsid w:val="005969E2"/>
    <w:rsid w:val="00597705"/>
    <w:rsid w:val="005A23A3"/>
    <w:rsid w:val="005A2449"/>
    <w:rsid w:val="005A2C73"/>
    <w:rsid w:val="005A3E4D"/>
    <w:rsid w:val="005A489C"/>
    <w:rsid w:val="005A4FC0"/>
    <w:rsid w:val="005A65B7"/>
    <w:rsid w:val="005A71F7"/>
    <w:rsid w:val="005B0623"/>
    <w:rsid w:val="005B07D2"/>
    <w:rsid w:val="005B1333"/>
    <w:rsid w:val="005B14E5"/>
    <w:rsid w:val="005B1872"/>
    <w:rsid w:val="005B1B48"/>
    <w:rsid w:val="005B2546"/>
    <w:rsid w:val="005B2C97"/>
    <w:rsid w:val="005B4D78"/>
    <w:rsid w:val="005B6292"/>
    <w:rsid w:val="005B649F"/>
    <w:rsid w:val="005B7922"/>
    <w:rsid w:val="005B7CCE"/>
    <w:rsid w:val="005B7CEE"/>
    <w:rsid w:val="005C0514"/>
    <w:rsid w:val="005C1439"/>
    <w:rsid w:val="005C15DC"/>
    <w:rsid w:val="005C1DEC"/>
    <w:rsid w:val="005C1FA9"/>
    <w:rsid w:val="005C28AE"/>
    <w:rsid w:val="005C36E4"/>
    <w:rsid w:val="005C4FDA"/>
    <w:rsid w:val="005C5766"/>
    <w:rsid w:val="005C5C47"/>
    <w:rsid w:val="005C6A41"/>
    <w:rsid w:val="005C7968"/>
    <w:rsid w:val="005D0320"/>
    <w:rsid w:val="005D0B78"/>
    <w:rsid w:val="005D25D6"/>
    <w:rsid w:val="005D2E0C"/>
    <w:rsid w:val="005D3407"/>
    <w:rsid w:val="005D3941"/>
    <w:rsid w:val="005D411A"/>
    <w:rsid w:val="005D47C3"/>
    <w:rsid w:val="005D5E9D"/>
    <w:rsid w:val="005D6086"/>
    <w:rsid w:val="005D6BF3"/>
    <w:rsid w:val="005D6D77"/>
    <w:rsid w:val="005D6D7D"/>
    <w:rsid w:val="005E22F9"/>
    <w:rsid w:val="005E2529"/>
    <w:rsid w:val="005E2A9A"/>
    <w:rsid w:val="005E2F30"/>
    <w:rsid w:val="005E3541"/>
    <w:rsid w:val="005E411E"/>
    <w:rsid w:val="005E560B"/>
    <w:rsid w:val="005E601A"/>
    <w:rsid w:val="005F03D5"/>
    <w:rsid w:val="005F04A5"/>
    <w:rsid w:val="005F158C"/>
    <w:rsid w:val="005F236B"/>
    <w:rsid w:val="005F389D"/>
    <w:rsid w:val="005F55B0"/>
    <w:rsid w:val="005F5D90"/>
    <w:rsid w:val="005F6D85"/>
    <w:rsid w:val="005F7116"/>
    <w:rsid w:val="005F77BC"/>
    <w:rsid w:val="00600269"/>
    <w:rsid w:val="0060045E"/>
    <w:rsid w:val="006011C6"/>
    <w:rsid w:val="0060138F"/>
    <w:rsid w:val="00602048"/>
    <w:rsid w:val="0060391E"/>
    <w:rsid w:val="0060443D"/>
    <w:rsid w:val="0060486E"/>
    <w:rsid w:val="006062FB"/>
    <w:rsid w:val="00606545"/>
    <w:rsid w:val="00606867"/>
    <w:rsid w:val="0060709C"/>
    <w:rsid w:val="00607419"/>
    <w:rsid w:val="006101AF"/>
    <w:rsid w:val="00612393"/>
    <w:rsid w:val="00612ACF"/>
    <w:rsid w:val="00613E36"/>
    <w:rsid w:val="00614A7A"/>
    <w:rsid w:val="00616B35"/>
    <w:rsid w:val="00617050"/>
    <w:rsid w:val="00617A30"/>
    <w:rsid w:val="00617F99"/>
    <w:rsid w:val="00620FEF"/>
    <w:rsid w:val="006215E6"/>
    <w:rsid w:val="0062175A"/>
    <w:rsid w:val="00621B4B"/>
    <w:rsid w:val="00621FD5"/>
    <w:rsid w:val="006232F1"/>
    <w:rsid w:val="006233F2"/>
    <w:rsid w:val="00623DDE"/>
    <w:rsid w:val="006243C1"/>
    <w:rsid w:val="00624695"/>
    <w:rsid w:val="006249C3"/>
    <w:rsid w:val="00624C27"/>
    <w:rsid w:val="00625D2D"/>
    <w:rsid w:val="006271A4"/>
    <w:rsid w:val="00630138"/>
    <w:rsid w:val="006313FC"/>
    <w:rsid w:val="006319A6"/>
    <w:rsid w:val="00632122"/>
    <w:rsid w:val="006332F2"/>
    <w:rsid w:val="00634AA2"/>
    <w:rsid w:val="00634B17"/>
    <w:rsid w:val="006352F5"/>
    <w:rsid w:val="00635F99"/>
    <w:rsid w:val="00637A17"/>
    <w:rsid w:val="00641035"/>
    <w:rsid w:val="00641661"/>
    <w:rsid w:val="00641A2E"/>
    <w:rsid w:val="00642331"/>
    <w:rsid w:val="00642D60"/>
    <w:rsid w:val="00644B6F"/>
    <w:rsid w:val="00644FB0"/>
    <w:rsid w:val="006470D2"/>
    <w:rsid w:val="00647487"/>
    <w:rsid w:val="006476E6"/>
    <w:rsid w:val="0065085E"/>
    <w:rsid w:val="00650EE2"/>
    <w:rsid w:val="006511A4"/>
    <w:rsid w:val="006513E2"/>
    <w:rsid w:val="00651916"/>
    <w:rsid w:val="00651DE7"/>
    <w:rsid w:val="006531C9"/>
    <w:rsid w:val="006535E1"/>
    <w:rsid w:val="0065442C"/>
    <w:rsid w:val="00654EFA"/>
    <w:rsid w:val="0065507F"/>
    <w:rsid w:val="0066004E"/>
    <w:rsid w:val="0066025E"/>
    <w:rsid w:val="00661D64"/>
    <w:rsid w:val="00662682"/>
    <w:rsid w:val="00663409"/>
    <w:rsid w:val="006639A0"/>
    <w:rsid w:val="00663D7F"/>
    <w:rsid w:val="00664CD0"/>
    <w:rsid w:val="00665D94"/>
    <w:rsid w:val="006668AE"/>
    <w:rsid w:val="006668FE"/>
    <w:rsid w:val="00667591"/>
    <w:rsid w:val="0066769F"/>
    <w:rsid w:val="006678AE"/>
    <w:rsid w:val="00667F9F"/>
    <w:rsid w:val="006705EE"/>
    <w:rsid w:val="006710E7"/>
    <w:rsid w:val="00671A0B"/>
    <w:rsid w:val="0067210D"/>
    <w:rsid w:val="00673A2C"/>
    <w:rsid w:val="00674DC3"/>
    <w:rsid w:val="0067516C"/>
    <w:rsid w:val="00675C81"/>
    <w:rsid w:val="0067656A"/>
    <w:rsid w:val="00677D5C"/>
    <w:rsid w:val="0068034D"/>
    <w:rsid w:val="00681152"/>
    <w:rsid w:val="00682104"/>
    <w:rsid w:val="00682987"/>
    <w:rsid w:val="00682CE5"/>
    <w:rsid w:val="00683D2C"/>
    <w:rsid w:val="006841DC"/>
    <w:rsid w:val="0068468E"/>
    <w:rsid w:val="00685DAD"/>
    <w:rsid w:val="0068615D"/>
    <w:rsid w:val="0068675A"/>
    <w:rsid w:val="006869F8"/>
    <w:rsid w:val="00690810"/>
    <w:rsid w:val="00690F6F"/>
    <w:rsid w:val="0069106B"/>
    <w:rsid w:val="00691832"/>
    <w:rsid w:val="00691AF2"/>
    <w:rsid w:val="00691CB2"/>
    <w:rsid w:val="00691FE8"/>
    <w:rsid w:val="00692821"/>
    <w:rsid w:val="00693D6C"/>
    <w:rsid w:val="00694527"/>
    <w:rsid w:val="0069550C"/>
    <w:rsid w:val="00696D2F"/>
    <w:rsid w:val="00697465"/>
    <w:rsid w:val="00697EB1"/>
    <w:rsid w:val="006A0237"/>
    <w:rsid w:val="006A2310"/>
    <w:rsid w:val="006A2706"/>
    <w:rsid w:val="006A33A9"/>
    <w:rsid w:val="006A490E"/>
    <w:rsid w:val="006A498B"/>
    <w:rsid w:val="006A7DA6"/>
    <w:rsid w:val="006B0A0E"/>
    <w:rsid w:val="006B150C"/>
    <w:rsid w:val="006B17BD"/>
    <w:rsid w:val="006B1DCE"/>
    <w:rsid w:val="006B2A93"/>
    <w:rsid w:val="006B42B2"/>
    <w:rsid w:val="006B5E07"/>
    <w:rsid w:val="006B6180"/>
    <w:rsid w:val="006B692B"/>
    <w:rsid w:val="006C1045"/>
    <w:rsid w:val="006C1733"/>
    <w:rsid w:val="006C177A"/>
    <w:rsid w:val="006C1B13"/>
    <w:rsid w:val="006C32C4"/>
    <w:rsid w:val="006C418D"/>
    <w:rsid w:val="006D067F"/>
    <w:rsid w:val="006D07FB"/>
    <w:rsid w:val="006D0F39"/>
    <w:rsid w:val="006D5A67"/>
    <w:rsid w:val="006D75D9"/>
    <w:rsid w:val="006D762E"/>
    <w:rsid w:val="006D7DFD"/>
    <w:rsid w:val="006E0983"/>
    <w:rsid w:val="006E0C36"/>
    <w:rsid w:val="006E1522"/>
    <w:rsid w:val="006E16D1"/>
    <w:rsid w:val="006E2B6D"/>
    <w:rsid w:val="006E3C88"/>
    <w:rsid w:val="006E4C1C"/>
    <w:rsid w:val="006E5C79"/>
    <w:rsid w:val="006E704A"/>
    <w:rsid w:val="006E713F"/>
    <w:rsid w:val="006E77A5"/>
    <w:rsid w:val="006F027C"/>
    <w:rsid w:val="006F09D8"/>
    <w:rsid w:val="006F1624"/>
    <w:rsid w:val="006F1A59"/>
    <w:rsid w:val="006F3052"/>
    <w:rsid w:val="006F31BD"/>
    <w:rsid w:val="006F3259"/>
    <w:rsid w:val="006F3C00"/>
    <w:rsid w:val="006F3F69"/>
    <w:rsid w:val="006F42AC"/>
    <w:rsid w:val="006F5227"/>
    <w:rsid w:val="006F5D4A"/>
    <w:rsid w:val="006F737D"/>
    <w:rsid w:val="006F78DB"/>
    <w:rsid w:val="0070127A"/>
    <w:rsid w:val="00702C42"/>
    <w:rsid w:val="00704A2E"/>
    <w:rsid w:val="007057AB"/>
    <w:rsid w:val="00705F57"/>
    <w:rsid w:val="00706015"/>
    <w:rsid w:val="00707343"/>
    <w:rsid w:val="007073FB"/>
    <w:rsid w:val="00710C28"/>
    <w:rsid w:val="007113BD"/>
    <w:rsid w:val="00711778"/>
    <w:rsid w:val="00711C08"/>
    <w:rsid w:val="00711CC1"/>
    <w:rsid w:val="00712ED3"/>
    <w:rsid w:val="00714697"/>
    <w:rsid w:val="00714B6C"/>
    <w:rsid w:val="00714C9E"/>
    <w:rsid w:val="00715651"/>
    <w:rsid w:val="00715A14"/>
    <w:rsid w:val="00715E31"/>
    <w:rsid w:val="00716C43"/>
    <w:rsid w:val="00717903"/>
    <w:rsid w:val="00717B10"/>
    <w:rsid w:val="00717FE5"/>
    <w:rsid w:val="00721ACF"/>
    <w:rsid w:val="00722600"/>
    <w:rsid w:val="00722B85"/>
    <w:rsid w:val="00724B29"/>
    <w:rsid w:val="00725850"/>
    <w:rsid w:val="00727A78"/>
    <w:rsid w:val="00727AB2"/>
    <w:rsid w:val="00730A5A"/>
    <w:rsid w:val="00731207"/>
    <w:rsid w:val="0073191F"/>
    <w:rsid w:val="00733FB8"/>
    <w:rsid w:val="00734430"/>
    <w:rsid w:val="00734C55"/>
    <w:rsid w:val="00734CCA"/>
    <w:rsid w:val="00734DBB"/>
    <w:rsid w:val="00736346"/>
    <w:rsid w:val="0074053C"/>
    <w:rsid w:val="00740C88"/>
    <w:rsid w:val="007413AE"/>
    <w:rsid w:val="00741589"/>
    <w:rsid w:val="00741839"/>
    <w:rsid w:val="00741F72"/>
    <w:rsid w:val="007437A6"/>
    <w:rsid w:val="00743D4D"/>
    <w:rsid w:val="00743EB1"/>
    <w:rsid w:val="007443BD"/>
    <w:rsid w:val="0074485F"/>
    <w:rsid w:val="007451A8"/>
    <w:rsid w:val="0074527C"/>
    <w:rsid w:val="00745BF2"/>
    <w:rsid w:val="00745E2B"/>
    <w:rsid w:val="00746757"/>
    <w:rsid w:val="007509AA"/>
    <w:rsid w:val="00751ADD"/>
    <w:rsid w:val="007520F6"/>
    <w:rsid w:val="007532C0"/>
    <w:rsid w:val="0075434E"/>
    <w:rsid w:val="00754605"/>
    <w:rsid w:val="00756020"/>
    <w:rsid w:val="00756098"/>
    <w:rsid w:val="007560EC"/>
    <w:rsid w:val="0075695C"/>
    <w:rsid w:val="00757046"/>
    <w:rsid w:val="00757F3C"/>
    <w:rsid w:val="00761FC6"/>
    <w:rsid w:val="007631E0"/>
    <w:rsid w:val="00763628"/>
    <w:rsid w:val="00763BF3"/>
    <w:rsid w:val="00764F87"/>
    <w:rsid w:val="00766E11"/>
    <w:rsid w:val="00767A6B"/>
    <w:rsid w:val="00767DDB"/>
    <w:rsid w:val="00771094"/>
    <w:rsid w:val="00771421"/>
    <w:rsid w:val="00772546"/>
    <w:rsid w:val="00772E4B"/>
    <w:rsid w:val="007744D5"/>
    <w:rsid w:val="0077459E"/>
    <w:rsid w:val="00775448"/>
    <w:rsid w:val="00776057"/>
    <w:rsid w:val="007766E2"/>
    <w:rsid w:val="0077676B"/>
    <w:rsid w:val="0077724B"/>
    <w:rsid w:val="00777FD6"/>
    <w:rsid w:val="0078014A"/>
    <w:rsid w:val="00782423"/>
    <w:rsid w:val="00782782"/>
    <w:rsid w:val="007841E0"/>
    <w:rsid w:val="007863FC"/>
    <w:rsid w:val="007866DC"/>
    <w:rsid w:val="00791222"/>
    <w:rsid w:val="00791465"/>
    <w:rsid w:val="0079276A"/>
    <w:rsid w:val="007934C4"/>
    <w:rsid w:val="00794AA8"/>
    <w:rsid w:val="00796287"/>
    <w:rsid w:val="00796986"/>
    <w:rsid w:val="00796F39"/>
    <w:rsid w:val="00796F7A"/>
    <w:rsid w:val="007978FB"/>
    <w:rsid w:val="00797A49"/>
    <w:rsid w:val="00797E4E"/>
    <w:rsid w:val="007A0C92"/>
    <w:rsid w:val="007A1488"/>
    <w:rsid w:val="007A1A81"/>
    <w:rsid w:val="007A263F"/>
    <w:rsid w:val="007A2884"/>
    <w:rsid w:val="007A2C60"/>
    <w:rsid w:val="007A3705"/>
    <w:rsid w:val="007A39B0"/>
    <w:rsid w:val="007A4C61"/>
    <w:rsid w:val="007A511D"/>
    <w:rsid w:val="007A5391"/>
    <w:rsid w:val="007A6DC5"/>
    <w:rsid w:val="007A725B"/>
    <w:rsid w:val="007A769F"/>
    <w:rsid w:val="007A7AD5"/>
    <w:rsid w:val="007A7BBE"/>
    <w:rsid w:val="007B0FE4"/>
    <w:rsid w:val="007B196E"/>
    <w:rsid w:val="007B1F09"/>
    <w:rsid w:val="007B2929"/>
    <w:rsid w:val="007B2DB0"/>
    <w:rsid w:val="007B566C"/>
    <w:rsid w:val="007B686F"/>
    <w:rsid w:val="007B6CEF"/>
    <w:rsid w:val="007B6D04"/>
    <w:rsid w:val="007C0B14"/>
    <w:rsid w:val="007C17AD"/>
    <w:rsid w:val="007C247A"/>
    <w:rsid w:val="007C2540"/>
    <w:rsid w:val="007C271E"/>
    <w:rsid w:val="007C4731"/>
    <w:rsid w:val="007C4A78"/>
    <w:rsid w:val="007C546A"/>
    <w:rsid w:val="007C5970"/>
    <w:rsid w:val="007D056F"/>
    <w:rsid w:val="007D0644"/>
    <w:rsid w:val="007D06EC"/>
    <w:rsid w:val="007D0A2D"/>
    <w:rsid w:val="007D12E1"/>
    <w:rsid w:val="007D3ACE"/>
    <w:rsid w:val="007D64EC"/>
    <w:rsid w:val="007D6D2A"/>
    <w:rsid w:val="007D7A96"/>
    <w:rsid w:val="007E040A"/>
    <w:rsid w:val="007E04F6"/>
    <w:rsid w:val="007E05A2"/>
    <w:rsid w:val="007E1089"/>
    <w:rsid w:val="007E11A7"/>
    <w:rsid w:val="007E1B26"/>
    <w:rsid w:val="007E1F8D"/>
    <w:rsid w:val="007E5226"/>
    <w:rsid w:val="007E58D1"/>
    <w:rsid w:val="007E5E24"/>
    <w:rsid w:val="007E604E"/>
    <w:rsid w:val="007E620C"/>
    <w:rsid w:val="007F0F84"/>
    <w:rsid w:val="007F1E72"/>
    <w:rsid w:val="007F2C37"/>
    <w:rsid w:val="007F3D31"/>
    <w:rsid w:val="007F4798"/>
    <w:rsid w:val="007F597F"/>
    <w:rsid w:val="007F5DE4"/>
    <w:rsid w:val="00800438"/>
    <w:rsid w:val="00800C94"/>
    <w:rsid w:val="008019A5"/>
    <w:rsid w:val="008020C2"/>
    <w:rsid w:val="008020CD"/>
    <w:rsid w:val="00803543"/>
    <w:rsid w:val="00806173"/>
    <w:rsid w:val="00806AFC"/>
    <w:rsid w:val="00810336"/>
    <w:rsid w:val="00811262"/>
    <w:rsid w:val="0081156D"/>
    <w:rsid w:val="00811B30"/>
    <w:rsid w:val="00812D95"/>
    <w:rsid w:val="00813448"/>
    <w:rsid w:val="00813C06"/>
    <w:rsid w:val="00814EDE"/>
    <w:rsid w:val="0081612B"/>
    <w:rsid w:val="00816D42"/>
    <w:rsid w:val="00816ED1"/>
    <w:rsid w:val="008206B2"/>
    <w:rsid w:val="00821D82"/>
    <w:rsid w:val="0082231A"/>
    <w:rsid w:val="008230F2"/>
    <w:rsid w:val="00823442"/>
    <w:rsid w:val="00823CFE"/>
    <w:rsid w:val="008242ED"/>
    <w:rsid w:val="0082444C"/>
    <w:rsid w:val="00824FF2"/>
    <w:rsid w:val="008252D0"/>
    <w:rsid w:val="00826B3E"/>
    <w:rsid w:val="008276BB"/>
    <w:rsid w:val="00830F6A"/>
    <w:rsid w:val="00832AD6"/>
    <w:rsid w:val="00832EA6"/>
    <w:rsid w:val="00832FD6"/>
    <w:rsid w:val="0083336E"/>
    <w:rsid w:val="00834066"/>
    <w:rsid w:val="008343B4"/>
    <w:rsid w:val="00834C72"/>
    <w:rsid w:val="0083522E"/>
    <w:rsid w:val="00837310"/>
    <w:rsid w:val="00837B9A"/>
    <w:rsid w:val="00837E1F"/>
    <w:rsid w:val="008405CE"/>
    <w:rsid w:val="008405CF"/>
    <w:rsid w:val="00840795"/>
    <w:rsid w:val="0084081B"/>
    <w:rsid w:val="00841726"/>
    <w:rsid w:val="008417D1"/>
    <w:rsid w:val="00842167"/>
    <w:rsid w:val="008426AA"/>
    <w:rsid w:val="0084295A"/>
    <w:rsid w:val="0084393F"/>
    <w:rsid w:val="00846269"/>
    <w:rsid w:val="00847D7F"/>
    <w:rsid w:val="00851511"/>
    <w:rsid w:val="0085336D"/>
    <w:rsid w:val="008536CA"/>
    <w:rsid w:val="00853F44"/>
    <w:rsid w:val="008547C2"/>
    <w:rsid w:val="00854A89"/>
    <w:rsid w:val="00854DAC"/>
    <w:rsid w:val="00855355"/>
    <w:rsid w:val="008557C2"/>
    <w:rsid w:val="00855F97"/>
    <w:rsid w:val="008566EC"/>
    <w:rsid w:val="008579B6"/>
    <w:rsid w:val="0086080D"/>
    <w:rsid w:val="00861853"/>
    <w:rsid w:val="0086249A"/>
    <w:rsid w:val="0086273D"/>
    <w:rsid w:val="008634DE"/>
    <w:rsid w:val="008647BD"/>
    <w:rsid w:val="00864943"/>
    <w:rsid w:val="008665C4"/>
    <w:rsid w:val="00866699"/>
    <w:rsid w:val="0086751C"/>
    <w:rsid w:val="008677E3"/>
    <w:rsid w:val="00870B41"/>
    <w:rsid w:val="0087195C"/>
    <w:rsid w:val="00873896"/>
    <w:rsid w:val="00873C6E"/>
    <w:rsid w:val="00873EB9"/>
    <w:rsid w:val="00875D2F"/>
    <w:rsid w:val="00875D5A"/>
    <w:rsid w:val="00875F1E"/>
    <w:rsid w:val="00880351"/>
    <w:rsid w:val="0088070D"/>
    <w:rsid w:val="0088086C"/>
    <w:rsid w:val="0088182F"/>
    <w:rsid w:val="008825BB"/>
    <w:rsid w:val="00882735"/>
    <w:rsid w:val="0088275A"/>
    <w:rsid w:val="00882EFE"/>
    <w:rsid w:val="00884488"/>
    <w:rsid w:val="00884DED"/>
    <w:rsid w:val="00885C05"/>
    <w:rsid w:val="00885F6F"/>
    <w:rsid w:val="00886FED"/>
    <w:rsid w:val="00890F28"/>
    <w:rsid w:val="00891C7D"/>
    <w:rsid w:val="00892541"/>
    <w:rsid w:val="0089372D"/>
    <w:rsid w:val="00893E14"/>
    <w:rsid w:val="00894E7B"/>
    <w:rsid w:val="0089533C"/>
    <w:rsid w:val="00895554"/>
    <w:rsid w:val="008957A8"/>
    <w:rsid w:val="00895A54"/>
    <w:rsid w:val="00896B6A"/>
    <w:rsid w:val="008972E5"/>
    <w:rsid w:val="008A0454"/>
    <w:rsid w:val="008A1381"/>
    <w:rsid w:val="008A1A60"/>
    <w:rsid w:val="008A2AB0"/>
    <w:rsid w:val="008A3B56"/>
    <w:rsid w:val="008A4281"/>
    <w:rsid w:val="008A4AAB"/>
    <w:rsid w:val="008A537D"/>
    <w:rsid w:val="008A6290"/>
    <w:rsid w:val="008A7240"/>
    <w:rsid w:val="008A74A4"/>
    <w:rsid w:val="008A75F3"/>
    <w:rsid w:val="008A7623"/>
    <w:rsid w:val="008A7BFC"/>
    <w:rsid w:val="008A7CF7"/>
    <w:rsid w:val="008A7FAD"/>
    <w:rsid w:val="008B0A53"/>
    <w:rsid w:val="008B0DAC"/>
    <w:rsid w:val="008B100F"/>
    <w:rsid w:val="008B14B7"/>
    <w:rsid w:val="008B1DA6"/>
    <w:rsid w:val="008B1E5B"/>
    <w:rsid w:val="008B26F8"/>
    <w:rsid w:val="008B2CDE"/>
    <w:rsid w:val="008B3660"/>
    <w:rsid w:val="008B5219"/>
    <w:rsid w:val="008B6A44"/>
    <w:rsid w:val="008C0759"/>
    <w:rsid w:val="008C210D"/>
    <w:rsid w:val="008C3E59"/>
    <w:rsid w:val="008C480D"/>
    <w:rsid w:val="008C4C45"/>
    <w:rsid w:val="008C5267"/>
    <w:rsid w:val="008C62A1"/>
    <w:rsid w:val="008C651B"/>
    <w:rsid w:val="008C7138"/>
    <w:rsid w:val="008D136B"/>
    <w:rsid w:val="008D1370"/>
    <w:rsid w:val="008D1F83"/>
    <w:rsid w:val="008D2564"/>
    <w:rsid w:val="008D2705"/>
    <w:rsid w:val="008D3C26"/>
    <w:rsid w:val="008D3CE7"/>
    <w:rsid w:val="008D4869"/>
    <w:rsid w:val="008D55F3"/>
    <w:rsid w:val="008D6E8B"/>
    <w:rsid w:val="008E101E"/>
    <w:rsid w:val="008E1626"/>
    <w:rsid w:val="008E18D0"/>
    <w:rsid w:val="008E270C"/>
    <w:rsid w:val="008E2C29"/>
    <w:rsid w:val="008E51D4"/>
    <w:rsid w:val="008E66F8"/>
    <w:rsid w:val="008E72FA"/>
    <w:rsid w:val="008E73E0"/>
    <w:rsid w:val="008E74EF"/>
    <w:rsid w:val="008E7904"/>
    <w:rsid w:val="008E7EFA"/>
    <w:rsid w:val="008F051D"/>
    <w:rsid w:val="008F071C"/>
    <w:rsid w:val="008F0DD8"/>
    <w:rsid w:val="008F0FC5"/>
    <w:rsid w:val="008F0FD2"/>
    <w:rsid w:val="008F159F"/>
    <w:rsid w:val="008F17A3"/>
    <w:rsid w:val="008F4376"/>
    <w:rsid w:val="008F59AF"/>
    <w:rsid w:val="008F5B07"/>
    <w:rsid w:val="008F5E59"/>
    <w:rsid w:val="008F61FC"/>
    <w:rsid w:val="008F74A5"/>
    <w:rsid w:val="008F77FE"/>
    <w:rsid w:val="00901474"/>
    <w:rsid w:val="009014FD"/>
    <w:rsid w:val="009015D6"/>
    <w:rsid w:val="00902AA7"/>
    <w:rsid w:val="00902C55"/>
    <w:rsid w:val="00903496"/>
    <w:rsid w:val="00903A37"/>
    <w:rsid w:val="00903CF4"/>
    <w:rsid w:val="009041F8"/>
    <w:rsid w:val="0090452D"/>
    <w:rsid w:val="00904D53"/>
    <w:rsid w:val="00905C49"/>
    <w:rsid w:val="009069B3"/>
    <w:rsid w:val="00906C53"/>
    <w:rsid w:val="00906DD8"/>
    <w:rsid w:val="00906F12"/>
    <w:rsid w:val="0090737A"/>
    <w:rsid w:val="00907470"/>
    <w:rsid w:val="00907E2C"/>
    <w:rsid w:val="009118D6"/>
    <w:rsid w:val="00912834"/>
    <w:rsid w:val="0091491D"/>
    <w:rsid w:val="0091517B"/>
    <w:rsid w:val="00917061"/>
    <w:rsid w:val="00917B6D"/>
    <w:rsid w:val="009202BD"/>
    <w:rsid w:val="00920A99"/>
    <w:rsid w:val="00921597"/>
    <w:rsid w:val="00921696"/>
    <w:rsid w:val="009221D6"/>
    <w:rsid w:val="0092463E"/>
    <w:rsid w:val="0092525C"/>
    <w:rsid w:val="009257EE"/>
    <w:rsid w:val="009262E3"/>
    <w:rsid w:val="00926739"/>
    <w:rsid w:val="00927E7F"/>
    <w:rsid w:val="009300E6"/>
    <w:rsid w:val="00931856"/>
    <w:rsid w:val="00931957"/>
    <w:rsid w:val="009319A5"/>
    <w:rsid w:val="00932259"/>
    <w:rsid w:val="00933EF7"/>
    <w:rsid w:val="0093440F"/>
    <w:rsid w:val="00935AA4"/>
    <w:rsid w:val="00936664"/>
    <w:rsid w:val="00937B2D"/>
    <w:rsid w:val="00937F6E"/>
    <w:rsid w:val="00940225"/>
    <w:rsid w:val="00941EB2"/>
    <w:rsid w:val="009429D4"/>
    <w:rsid w:val="0094300A"/>
    <w:rsid w:val="009433F4"/>
    <w:rsid w:val="00943D4D"/>
    <w:rsid w:val="00944464"/>
    <w:rsid w:val="00944E53"/>
    <w:rsid w:val="0094536B"/>
    <w:rsid w:val="00945715"/>
    <w:rsid w:val="00945BC4"/>
    <w:rsid w:val="009503FE"/>
    <w:rsid w:val="009519D7"/>
    <w:rsid w:val="00952753"/>
    <w:rsid w:val="0095291D"/>
    <w:rsid w:val="00954778"/>
    <w:rsid w:val="00955A0A"/>
    <w:rsid w:val="0095687B"/>
    <w:rsid w:val="00957730"/>
    <w:rsid w:val="00960CDB"/>
    <w:rsid w:val="00962E0E"/>
    <w:rsid w:val="00964882"/>
    <w:rsid w:val="009648F1"/>
    <w:rsid w:val="00964C44"/>
    <w:rsid w:val="00964DFA"/>
    <w:rsid w:val="0096634B"/>
    <w:rsid w:val="00966B45"/>
    <w:rsid w:val="0097006D"/>
    <w:rsid w:val="0097136D"/>
    <w:rsid w:val="00971D2F"/>
    <w:rsid w:val="009722AD"/>
    <w:rsid w:val="009737E6"/>
    <w:rsid w:val="00973801"/>
    <w:rsid w:val="0097492C"/>
    <w:rsid w:val="00974B09"/>
    <w:rsid w:val="00974E2D"/>
    <w:rsid w:val="00975DB5"/>
    <w:rsid w:val="00976DCD"/>
    <w:rsid w:val="00976F0D"/>
    <w:rsid w:val="00977870"/>
    <w:rsid w:val="00977973"/>
    <w:rsid w:val="0097797A"/>
    <w:rsid w:val="00977E42"/>
    <w:rsid w:val="0098066C"/>
    <w:rsid w:val="00981292"/>
    <w:rsid w:val="009812F2"/>
    <w:rsid w:val="009814B0"/>
    <w:rsid w:val="0098176E"/>
    <w:rsid w:val="00981871"/>
    <w:rsid w:val="00984181"/>
    <w:rsid w:val="0098571F"/>
    <w:rsid w:val="0098709F"/>
    <w:rsid w:val="0098720D"/>
    <w:rsid w:val="00987780"/>
    <w:rsid w:val="0099005D"/>
    <w:rsid w:val="00992504"/>
    <w:rsid w:val="00992B0D"/>
    <w:rsid w:val="00993425"/>
    <w:rsid w:val="009946AA"/>
    <w:rsid w:val="009949C6"/>
    <w:rsid w:val="00994AE0"/>
    <w:rsid w:val="0099505B"/>
    <w:rsid w:val="009965F7"/>
    <w:rsid w:val="009969E0"/>
    <w:rsid w:val="00996B5C"/>
    <w:rsid w:val="00996F3E"/>
    <w:rsid w:val="009A0545"/>
    <w:rsid w:val="009A0B4E"/>
    <w:rsid w:val="009A1EC2"/>
    <w:rsid w:val="009A2220"/>
    <w:rsid w:val="009A28F7"/>
    <w:rsid w:val="009A3356"/>
    <w:rsid w:val="009A336F"/>
    <w:rsid w:val="009A36AF"/>
    <w:rsid w:val="009A3E97"/>
    <w:rsid w:val="009A591E"/>
    <w:rsid w:val="009A77E7"/>
    <w:rsid w:val="009A7B41"/>
    <w:rsid w:val="009B019D"/>
    <w:rsid w:val="009B103C"/>
    <w:rsid w:val="009B168B"/>
    <w:rsid w:val="009B1B5C"/>
    <w:rsid w:val="009B306D"/>
    <w:rsid w:val="009B5983"/>
    <w:rsid w:val="009B7B65"/>
    <w:rsid w:val="009C052D"/>
    <w:rsid w:val="009C07B4"/>
    <w:rsid w:val="009C09A0"/>
    <w:rsid w:val="009C1778"/>
    <w:rsid w:val="009C2135"/>
    <w:rsid w:val="009C323D"/>
    <w:rsid w:val="009C36F1"/>
    <w:rsid w:val="009C3B51"/>
    <w:rsid w:val="009C3E3C"/>
    <w:rsid w:val="009C4E0E"/>
    <w:rsid w:val="009C4F54"/>
    <w:rsid w:val="009C5271"/>
    <w:rsid w:val="009C63A4"/>
    <w:rsid w:val="009C63D5"/>
    <w:rsid w:val="009C6B5F"/>
    <w:rsid w:val="009C787C"/>
    <w:rsid w:val="009C7FC6"/>
    <w:rsid w:val="009D00D9"/>
    <w:rsid w:val="009D161A"/>
    <w:rsid w:val="009D1693"/>
    <w:rsid w:val="009D1BCC"/>
    <w:rsid w:val="009D24B3"/>
    <w:rsid w:val="009D3D26"/>
    <w:rsid w:val="009D46C5"/>
    <w:rsid w:val="009D4AB7"/>
    <w:rsid w:val="009D5302"/>
    <w:rsid w:val="009D62F3"/>
    <w:rsid w:val="009D7182"/>
    <w:rsid w:val="009D754F"/>
    <w:rsid w:val="009D7597"/>
    <w:rsid w:val="009E0621"/>
    <w:rsid w:val="009E07D8"/>
    <w:rsid w:val="009E086A"/>
    <w:rsid w:val="009E1896"/>
    <w:rsid w:val="009E1980"/>
    <w:rsid w:val="009E1ACC"/>
    <w:rsid w:val="009E20B0"/>
    <w:rsid w:val="009E2833"/>
    <w:rsid w:val="009E2BB3"/>
    <w:rsid w:val="009E325E"/>
    <w:rsid w:val="009E3484"/>
    <w:rsid w:val="009E43BF"/>
    <w:rsid w:val="009E569F"/>
    <w:rsid w:val="009E5FDA"/>
    <w:rsid w:val="009E646F"/>
    <w:rsid w:val="009E776E"/>
    <w:rsid w:val="009F11E8"/>
    <w:rsid w:val="009F1760"/>
    <w:rsid w:val="009F2B50"/>
    <w:rsid w:val="009F4396"/>
    <w:rsid w:val="009F5BAA"/>
    <w:rsid w:val="009F5D93"/>
    <w:rsid w:val="009F6F14"/>
    <w:rsid w:val="009F7433"/>
    <w:rsid w:val="009F7BFA"/>
    <w:rsid w:val="00A00F3C"/>
    <w:rsid w:val="00A0144A"/>
    <w:rsid w:val="00A01C19"/>
    <w:rsid w:val="00A02844"/>
    <w:rsid w:val="00A034F2"/>
    <w:rsid w:val="00A03E67"/>
    <w:rsid w:val="00A042CC"/>
    <w:rsid w:val="00A05071"/>
    <w:rsid w:val="00A06BF5"/>
    <w:rsid w:val="00A07157"/>
    <w:rsid w:val="00A076B8"/>
    <w:rsid w:val="00A07E9C"/>
    <w:rsid w:val="00A07EB5"/>
    <w:rsid w:val="00A11066"/>
    <w:rsid w:val="00A1196D"/>
    <w:rsid w:val="00A11A36"/>
    <w:rsid w:val="00A11AA3"/>
    <w:rsid w:val="00A11B5F"/>
    <w:rsid w:val="00A122F8"/>
    <w:rsid w:val="00A1243E"/>
    <w:rsid w:val="00A12914"/>
    <w:rsid w:val="00A12EEB"/>
    <w:rsid w:val="00A14173"/>
    <w:rsid w:val="00A14EFC"/>
    <w:rsid w:val="00A16697"/>
    <w:rsid w:val="00A167B8"/>
    <w:rsid w:val="00A17060"/>
    <w:rsid w:val="00A17C8B"/>
    <w:rsid w:val="00A17ED7"/>
    <w:rsid w:val="00A20492"/>
    <w:rsid w:val="00A215AF"/>
    <w:rsid w:val="00A215F7"/>
    <w:rsid w:val="00A2185E"/>
    <w:rsid w:val="00A21919"/>
    <w:rsid w:val="00A21BDF"/>
    <w:rsid w:val="00A26381"/>
    <w:rsid w:val="00A2657F"/>
    <w:rsid w:val="00A27A96"/>
    <w:rsid w:val="00A31C08"/>
    <w:rsid w:val="00A32889"/>
    <w:rsid w:val="00A331C2"/>
    <w:rsid w:val="00A34948"/>
    <w:rsid w:val="00A35CD3"/>
    <w:rsid w:val="00A35DDA"/>
    <w:rsid w:val="00A363B2"/>
    <w:rsid w:val="00A36A40"/>
    <w:rsid w:val="00A36B57"/>
    <w:rsid w:val="00A36D42"/>
    <w:rsid w:val="00A4139F"/>
    <w:rsid w:val="00A414A1"/>
    <w:rsid w:val="00A41BC0"/>
    <w:rsid w:val="00A42893"/>
    <w:rsid w:val="00A42906"/>
    <w:rsid w:val="00A4337E"/>
    <w:rsid w:val="00A43599"/>
    <w:rsid w:val="00A43E5D"/>
    <w:rsid w:val="00A453C3"/>
    <w:rsid w:val="00A45490"/>
    <w:rsid w:val="00A456EF"/>
    <w:rsid w:val="00A45D65"/>
    <w:rsid w:val="00A46E6A"/>
    <w:rsid w:val="00A4723D"/>
    <w:rsid w:val="00A47250"/>
    <w:rsid w:val="00A47E72"/>
    <w:rsid w:val="00A5180C"/>
    <w:rsid w:val="00A521EE"/>
    <w:rsid w:val="00A5427C"/>
    <w:rsid w:val="00A54819"/>
    <w:rsid w:val="00A54C35"/>
    <w:rsid w:val="00A5565A"/>
    <w:rsid w:val="00A56220"/>
    <w:rsid w:val="00A57BBF"/>
    <w:rsid w:val="00A60234"/>
    <w:rsid w:val="00A603C3"/>
    <w:rsid w:val="00A61267"/>
    <w:rsid w:val="00A63829"/>
    <w:rsid w:val="00A64250"/>
    <w:rsid w:val="00A648F4"/>
    <w:rsid w:val="00A64CAF"/>
    <w:rsid w:val="00A64FD8"/>
    <w:rsid w:val="00A6550F"/>
    <w:rsid w:val="00A6688F"/>
    <w:rsid w:val="00A67C97"/>
    <w:rsid w:val="00A67CD3"/>
    <w:rsid w:val="00A711F9"/>
    <w:rsid w:val="00A71783"/>
    <w:rsid w:val="00A719FE"/>
    <w:rsid w:val="00A7306F"/>
    <w:rsid w:val="00A73155"/>
    <w:rsid w:val="00A74937"/>
    <w:rsid w:val="00A75B8E"/>
    <w:rsid w:val="00A776EE"/>
    <w:rsid w:val="00A80111"/>
    <w:rsid w:val="00A81DF8"/>
    <w:rsid w:val="00A82B55"/>
    <w:rsid w:val="00A82B72"/>
    <w:rsid w:val="00A82BF6"/>
    <w:rsid w:val="00A83F39"/>
    <w:rsid w:val="00A84210"/>
    <w:rsid w:val="00A84344"/>
    <w:rsid w:val="00A8447B"/>
    <w:rsid w:val="00A849F0"/>
    <w:rsid w:val="00A853CC"/>
    <w:rsid w:val="00A85465"/>
    <w:rsid w:val="00A866AE"/>
    <w:rsid w:val="00A86933"/>
    <w:rsid w:val="00A878A5"/>
    <w:rsid w:val="00A87D38"/>
    <w:rsid w:val="00A90989"/>
    <w:rsid w:val="00A919E0"/>
    <w:rsid w:val="00A92225"/>
    <w:rsid w:val="00A9381F"/>
    <w:rsid w:val="00A94342"/>
    <w:rsid w:val="00A94662"/>
    <w:rsid w:val="00A958D5"/>
    <w:rsid w:val="00A95B9A"/>
    <w:rsid w:val="00A95C76"/>
    <w:rsid w:val="00A95CB4"/>
    <w:rsid w:val="00A95F6D"/>
    <w:rsid w:val="00A9605B"/>
    <w:rsid w:val="00A970A9"/>
    <w:rsid w:val="00A976E6"/>
    <w:rsid w:val="00AA00D8"/>
    <w:rsid w:val="00AA02DF"/>
    <w:rsid w:val="00AA0908"/>
    <w:rsid w:val="00AA20EC"/>
    <w:rsid w:val="00AA32DA"/>
    <w:rsid w:val="00AA3C62"/>
    <w:rsid w:val="00AA42E0"/>
    <w:rsid w:val="00AA4598"/>
    <w:rsid w:val="00AA45A4"/>
    <w:rsid w:val="00AA4712"/>
    <w:rsid w:val="00AA4FAB"/>
    <w:rsid w:val="00AA5DB6"/>
    <w:rsid w:val="00AA65F4"/>
    <w:rsid w:val="00AA7A71"/>
    <w:rsid w:val="00AA7D3E"/>
    <w:rsid w:val="00AA7D6F"/>
    <w:rsid w:val="00AB01B3"/>
    <w:rsid w:val="00AB1B2B"/>
    <w:rsid w:val="00AB43EE"/>
    <w:rsid w:val="00AB47AD"/>
    <w:rsid w:val="00AB4F07"/>
    <w:rsid w:val="00AB5121"/>
    <w:rsid w:val="00AB51EA"/>
    <w:rsid w:val="00AB6822"/>
    <w:rsid w:val="00AB6F0C"/>
    <w:rsid w:val="00AB73F3"/>
    <w:rsid w:val="00AC1EC5"/>
    <w:rsid w:val="00AC2076"/>
    <w:rsid w:val="00AC3E11"/>
    <w:rsid w:val="00AC4658"/>
    <w:rsid w:val="00AC4AC4"/>
    <w:rsid w:val="00AC4B01"/>
    <w:rsid w:val="00AC7F40"/>
    <w:rsid w:val="00AC7FDF"/>
    <w:rsid w:val="00AD0544"/>
    <w:rsid w:val="00AD061A"/>
    <w:rsid w:val="00AD1C15"/>
    <w:rsid w:val="00AD3536"/>
    <w:rsid w:val="00AD35F0"/>
    <w:rsid w:val="00AD463F"/>
    <w:rsid w:val="00AD5D92"/>
    <w:rsid w:val="00AD6B3C"/>
    <w:rsid w:val="00AE099A"/>
    <w:rsid w:val="00AE0D35"/>
    <w:rsid w:val="00AE0E91"/>
    <w:rsid w:val="00AE154F"/>
    <w:rsid w:val="00AE18E1"/>
    <w:rsid w:val="00AE1EE1"/>
    <w:rsid w:val="00AE207D"/>
    <w:rsid w:val="00AE207E"/>
    <w:rsid w:val="00AE2782"/>
    <w:rsid w:val="00AE2C20"/>
    <w:rsid w:val="00AE3DAE"/>
    <w:rsid w:val="00AE412E"/>
    <w:rsid w:val="00AE4248"/>
    <w:rsid w:val="00AE5E46"/>
    <w:rsid w:val="00AF05EC"/>
    <w:rsid w:val="00AF184D"/>
    <w:rsid w:val="00AF252E"/>
    <w:rsid w:val="00AF2AE0"/>
    <w:rsid w:val="00AF2E3B"/>
    <w:rsid w:val="00AF354C"/>
    <w:rsid w:val="00AF399D"/>
    <w:rsid w:val="00AF3B0E"/>
    <w:rsid w:val="00AF3D6B"/>
    <w:rsid w:val="00AF4068"/>
    <w:rsid w:val="00AF47CC"/>
    <w:rsid w:val="00AF4917"/>
    <w:rsid w:val="00AF4DC9"/>
    <w:rsid w:val="00AF6292"/>
    <w:rsid w:val="00AF680F"/>
    <w:rsid w:val="00AF6DF0"/>
    <w:rsid w:val="00B00514"/>
    <w:rsid w:val="00B00575"/>
    <w:rsid w:val="00B00C04"/>
    <w:rsid w:val="00B01C2D"/>
    <w:rsid w:val="00B01FAF"/>
    <w:rsid w:val="00B032BF"/>
    <w:rsid w:val="00B04260"/>
    <w:rsid w:val="00B04A4E"/>
    <w:rsid w:val="00B0511A"/>
    <w:rsid w:val="00B05D39"/>
    <w:rsid w:val="00B061CD"/>
    <w:rsid w:val="00B100BE"/>
    <w:rsid w:val="00B10253"/>
    <w:rsid w:val="00B109B5"/>
    <w:rsid w:val="00B11284"/>
    <w:rsid w:val="00B11F80"/>
    <w:rsid w:val="00B13A6B"/>
    <w:rsid w:val="00B14FF9"/>
    <w:rsid w:val="00B15D9A"/>
    <w:rsid w:val="00B160F4"/>
    <w:rsid w:val="00B1673B"/>
    <w:rsid w:val="00B1684F"/>
    <w:rsid w:val="00B1722F"/>
    <w:rsid w:val="00B17CCB"/>
    <w:rsid w:val="00B207AC"/>
    <w:rsid w:val="00B20D36"/>
    <w:rsid w:val="00B21512"/>
    <w:rsid w:val="00B21ABE"/>
    <w:rsid w:val="00B21FA2"/>
    <w:rsid w:val="00B2309C"/>
    <w:rsid w:val="00B235FF"/>
    <w:rsid w:val="00B24486"/>
    <w:rsid w:val="00B24846"/>
    <w:rsid w:val="00B26963"/>
    <w:rsid w:val="00B26AA4"/>
    <w:rsid w:val="00B2722C"/>
    <w:rsid w:val="00B30BDA"/>
    <w:rsid w:val="00B30C98"/>
    <w:rsid w:val="00B315B5"/>
    <w:rsid w:val="00B32AE8"/>
    <w:rsid w:val="00B3323A"/>
    <w:rsid w:val="00B334D6"/>
    <w:rsid w:val="00B34ECD"/>
    <w:rsid w:val="00B35DC5"/>
    <w:rsid w:val="00B3656C"/>
    <w:rsid w:val="00B36696"/>
    <w:rsid w:val="00B418D6"/>
    <w:rsid w:val="00B446F9"/>
    <w:rsid w:val="00B447F4"/>
    <w:rsid w:val="00B462C4"/>
    <w:rsid w:val="00B46ADF"/>
    <w:rsid w:val="00B500CB"/>
    <w:rsid w:val="00B50382"/>
    <w:rsid w:val="00B512A3"/>
    <w:rsid w:val="00B51F04"/>
    <w:rsid w:val="00B53331"/>
    <w:rsid w:val="00B54958"/>
    <w:rsid w:val="00B559B2"/>
    <w:rsid w:val="00B56321"/>
    <w:rsid w:val="00B565D4"/>
    <w:rsid w:val="00B56BAF"/>
    <w:rsid w:val="00B56D13"/>
    <w:rsid w:val="00B56D2F"/>
    <w:rsid w:val="00B56DA8"/>
    <w:rsid w:val="00B57BF8"/>
    <w:rsid w:val="00B601AA"/>
    <w:rsid w:val="00B60E51"/>
    <w:rsid w:val="00B61677"/>
    <w:rsid w:val="00B61B39"/>
    <w:rsid w:val="00B62C3C"/>
    <w:rsid w:val="00B639A8"/>
    <w:rsid w:val="00B63F7F"/>
    <w:rsid w:val="00B64F79"/>
    <w:rsid w:val="00B6537F"/>
    <w:rsid w:val="00B65433"/>
    <w:rsid w:val="00B65A2F"/>
    <w:rsid w:val="00B65D0C"/>
    <w:rsid w:val="00B65DEE"/>
    <w:rsid w:val="00B66730"/>
    <w:rsid w:val="00B673D7"/>
    <w:rsid w:val="00B70476"/>
    <w:rsid w:val="00B71571"/>
    <w:rsid w:val="00B715B1"/>
    <w:rsid w:val="00B73259"/>
    <w:rsid w:val="00B73420"/>
    <w:rsid w:val="00B75C4F"/>
    <w:rsid w:val="00B7619E"/>
    <w:rsid w:val="00B77677"/>
    <w:rsid w:val="00B77BF3"/>
    <w:rsid w:val="00B81698"/>
    <w:rsid w:val="00B83257"/>
    <w:rsid w:val="00B8381D"/>
    <w:rsid w:val="00B84964"/>
    <w:rsid w:val="00B849F3"/>
    <w:rsid w:val="00B84FEE"/>
    <w:rsid w:val="00B85F87"/>
    <w:rsid w:val="00B86B4C"/>
    <w:rsid w:val="00B86EAA"/>
    <w:rsid w:val="00B9092D"/>
    <w:rsid w:val="00B91527"/>
    <w:rsid w:val="00B92109"/>
    <w:rsid w:val="00B92470"/>
    <w:rsid w:val="00B92584"/>
    <w:rsid w:val="00B929D1"/>
    <w:rsid w:val="00B935F3"/>
    <w:rsid w:val="00B93AC6"/>
    <w:rsid w:val="00B94527"/>
    <w:rsid w:val="00B95349"/>
    <w:rsid w:val="00B955C0"/>
    <w:rsid w:val="00B95B9C"/>
    <w:rsid w:val="00B961E2"/>
    <w:rsid w:val="00B969EA"/>
    <w:rsid w:val="00B96D1A"/>
    <w:rsid w:val="00B97608"/>
    <w:rsid w:val="00B977A2"/>
    <w:rsid w:val="00BA0067"/>
    <w:rsid w:val="00BA0F9A"/>
    <w:rsid w:val="00BA2179"/>
    <w:rsid w:val="00BA3220"/>
    <w:rsid w:val="00BA65AC"/>
    <w:rsid w:val="00BB2985"/>
    <w:rsid w:val="00BB4314"/>
    <w:rsid w:val="00BB79AA"/>
    <w:rsid w:val="00BC0A20"/>
    <w:rsid w:val="00BC21A0"/>
    <w:rsid w:val="00BC37C8"/>
    <w:rsid w:val="00BC4EF3"/>
    <w:rsid w:val="00BC75E6"/>
    <w:rsid w:val="00BC76F8"/>
    <w:rsid w:val="00BC77C0"/>
    <w:rsid w:val="00BD0B25"/>
    <w:rsid w:val="00BD0D0E"/>
    <w:rsid w:val="00BD234D"/>
    <w:rsid w:val="00BD24AD"/>
    <w:rsid w:val="00BD2561"/>
    <w:rsid w:val="00BD29EA"/>
    <w:rsid w:val="00BD5DCD"/>
    <w:rsid w:val="00BD616D"/>
    <w:rsid w:val="00BD6C4D"/>
    <w:rsid w:val="00BE0997"/>
    <w:rsid w:val="00BE1907"/>
    <w:rsid w:val="00BE1A97"/>
    <w:rsid w:val="00BE1D43"/>
    <w:rsid w:val="00BE3AF3"/>
    <w:rsid w:val="00BE44B5"/>
    <w:rsid w:val="00BE485B"/>
    <w:rsid w:val="00BE51CB"/>
    <w:rsid w:val="00BE6A74"/>
    <w:rsid w:val="00BE7467"/>
    <w:rsid w:val="00BE7D08"/>
    <w:rsid w:val="00BF01E2"/>
    <w:rsid w:val="00BF0840"/>
    <w:rsid w:val="00BF0DFF"/>
    <w:rsid w:val="00BF22B8"/>
    <w:rsid w:val="00BF2520"/>
    <w:rsid w:val="00BF2603"/>
    <w:rsid w:val="00BF377F"/>
    <w:rsid w:val="00BF4E95"/>
    <w:rsid w:val="00BF51CE"/>
    <w:rsid w:val="00BF5E37"/>
    <w:rsid w:val="00BF6541"/>
    <w:rsid w:val="00BF736D"/>
    <w:rsid w:val="00C004A7"/>
    <w:rsid w:val="00C01A0D"/>
    <w:rsid w:val="00C028D9"/>
    <w:rsid w:val="00C03136"/>
    <w:rsid w:val="00C036E4"/>
    <w:rsid w:val="00C038B8"/>
    <w:rsid w:val="00C03B35"/>
    <w:rsid w:val="00C04351"/>
    <w:rsid w:val="00C04802"/>
    <w:rsid w:val="00C059F4"/>
    <w:rsid w:val="00C06574"/>
    <w:rsid w:val="00C065DA"/>
    <w:rsid w:val="00C06F31"/>
    <w:rsid w:val="00C11EE9"/>
    <w:rsid w:val="00C12B8C"/>
    <w:rsid w:val="00C130B6"/>
    <w:rsid w:val="00C143A1"/>
    <w:rsid w:val="00C155D9"/>
    <w:rsid w:val="00C155E2"/>
    <w:rsid w:val="00C15958"/>
    <w:rsid w:val="00C2211D"/>
    <w:rsid w:val="00C22708"/>
    <w:rsid w:val="00C22C9E"/>
    <w:rsid w:val="00C22EB2"/>
    <w:rsid w:val="00C2344F"/>
    <w:rsid w:val="00C24185"/>
    <w:rsid w:val="00C245F9"/>
    <w:rsid w:val="00C246F2"/>
    <w:rsid w:val="00C26307"/>
    <w:rsid w:val="00C26707"/>
    <w:rsid w:val="00C27719"/>
    <w:rsid w:val="00C27877"/>
    <w:rsid w:val="00C31BCD"/>
    <w:rsid w:val="00C320EB"/>
    <w:rsid w:val="00C32799"/>
    <w:rsid w:val="00C32F7B"/>
    <w:rsid w:val="00C33845"/>
    <w:rsid w:val="00C34113"/>
    <w:rsid w:val="00C34468"/>
    <w:rsid w:val="00C34E6D"/>
    <w:rsid w:val="00C3513F"/>
    <w:rsid w:val="00C355AA"/>
    <w:rsid w:val="00C36223"/>
    <w:rsid w:val="00C40725"/>
    <w:rsid w:val="00C4207E"/>
    <w:rsid w:val="00C43BE5"/>
    <w:rsid w:val="00C4437D"/>
    <w:rsid w:val="00C451A3"/>
    <w:rsid w:val="00C4577E"/>
    <w:rsid w:val="00C4624F"/>
    <w:rsid w:val="00C464C1"/>
    <w:rsid w:val="00C4674C"/>
    <w:rsid w:val="00C50C8F"/>
    <w:rsid w:val="00C50D41"/>
    <w:rsid w:val="00C51156"/>
    <w:rsid w:val="00C525E1"/>
    <w:rsid w:val="00C53FD7"/>
    <w:rsid w:val="00C54A65"/>
    <w:rsid w:val="00C55946"/>
    <w:rsid w:val="00C55C61"/>
    <w:rsid w:val="00C57047"/>
    <w:rsid w:val="00C63AA7"/>
    <w:rsid w:val="00C64F44"/>
    <w:rsid w:val="00C650ED"/>
    <w:rsid w:val="00C65132"/>
    <w:rsid w:val="00C65F6A"/>
    <w:rsid w:val="00C6770C"/>
    <w:rsid w:val="00C67F3E"/>
    <w:rsid w:val="00C70CD5"/>
    <w:rsid w:val="00C7194E"/>
    <w:rsid w:val="00C7216F"/>
    <w:rsid w:val="00C730E4"/>
    <w:rsid w:val="00C73BB8"/>
    <w:rsid w:val="00C74CC5"/>
    <w:rsid w:val="00C755E9"/>
    <w:rsid w:val="00C76576"/>
    <w:rsid w:val="00C76B48"/>
    <w:rsid w:val="00C76CC4"/>
    <w:rsid w:val="00C77815"/>
    <w:rsid w:val="00C77F63"/>
    <w:rsid w:val="00C81100"/>
    <w:rsid w:val="00C8111D"/>
    <w:rsid w:val="00C817F7"/>
    <w:rsid w:val="00C823C5"/>
    <w:rsid w:val="00C82CD1"/>
    <w:rsid w:val="00C82D42"/>
    <w:rsid w:val="00C83226"/>
    <w:rsid w:val="00C8322A"/>
    <w:rsid w:val="00C83583"/>
    <w:rsid w:val="00C83CD1"/>
    <w:rsid w:val="00C83ECC"/>
    <w:rsid w:val="00C84B12"/>
    <w:rsid w:val="00C85239"/>
    <w:rsid w:val="00C854E6"/>
    <w:rsid w:val="00C85510"/>
    <w:rsid w:val="00C869BC"/>
    <w:rsid w:val="00C8737E"/>
    <w:rsid w:val="00C87A73"/>
    <w:rsid w:val="00C90444"/>
    <w:rsid w:val="00C9243B"/>
    <w:rsid w:val="00C9477A"/>
    <w:rsid w:val="00C95011"/>
    <w:rsid w:val="00C953C0"/>
    <w:rsid w:val="00C96E5A"/>
    <w:rsid w:val="00C97ACC"/>
    <w:rsid w:val="00CA056D"/>
    <w:rsid w:val="00CA181F"/>
    <w:rsid w:val="00CA22C7"/>
    <w:rsid w:val="00CA26CB"/>
    <w:rsid w:val="00CA2A54"/>
    <w:rsid w:val="00CA3219"/>
    <w:rsid w:val="00CA422C"/>
    <w:rsid w:val="00CA519C"/>
    <w:rsid w:val="00CA792D"/>
    <w:rsid w:val="00CB01EB"/>
    <w:rsid w:val="00CB0DFA"/>
    <w:rsid w:val="00CB250C"/>
    <w:rsid w:val="00CB34D5"/>
    <w:rsid w:val="00CB352B"/>
    <w:rsid w:val="00CB4285"/>
    <w:rsid w:val="00CB6CB0"/>
    <w:rsid w:val="00CC06B8"/>
    <w:rsid w:val="00CC1252"/>
    <w:rsid w:val="00CC134C"/>
    <w:rsid w:val="00CC36F9"/>
    <w:rsid w:val="00CC3E8F"/>
    <w:rsid w:val="00CD0BA2"/>
    <w:rsid w:val="00CD18DE"/>
    <w:rsid w:val="00CD27CC"/>
    <w:rsid w:val="00CD2E30"/>
    <w:rsid w:val="00CD30CC"/>
    <w:rsid w:val="00CD3120"/>
    <w:rsid w:val="00CD4217"/>
    <w:rsid w:val="00CD515A"/>
    <w:rsid w:val="00CD55A2"/>
    <w:rsid w:val="00CD563D"/>
    <w:rsid w:val="00CD5B58"/>
    <w:rsid w:val="00CD6256"/>
    <w:rsid w:val="00CD643B"/>
    <w:rsid w:val="00CD6A63"/>
    <w:rsid w:val="00CD7B7F"/>
    <w:rsid w:val="00CD7EA0"/>
    <w:rsid w:val="00CE0D42"/>
    <w:rsid w:val="00CE19D1"/>
    <w:rsid w:val="00CE23EF"/>
    <w:rsid w:val="00CE323E"/>
    <w:rsid w:val="00CE6197"/>
    <w:rsid w:val="00CE61C3"/>
    <w:rsid w:val="00CE6490"/>
    <w:rsid w:val="00CE6BEE"/>
    <w:rsid w:val="00CE702E"/>
    <w:rsid w:val="00CE7723"/>
    <w:rsid w:val="00CF088A"/>
    <w:rsid w:val="00CF1AEC"/>
    <w:rsid w:val="00CF38F2"/>
    <w:rsid w:val="00CF3D0C"/>
    <w:rsid w:val="00CF43ED"/>
    <w:rsid w:val="00CF5CD7"/>
    <w:rsid w:val="00CF79DF"/>
    <w:rsid w:val="00D00702"/>
    <w:rsid w:val="00D01E61"/>
    <w:rsid w:val="00D02296"/>
    <w:rsid w:val="00D02B99"/>
    <w:rsid w:val="00D0306C"/>
    <w:rsid w:val="00D034FA"/>
    <w:rsid w:val="00D04087"/>
    <w:rsid w:val="00D04FFC"/>
    <w:rsid w:val="00D05957"/>
    <w:rsid w:val="00D06027"/>
    <w:rsid w:val="00D0751A"/>
    <w:rsid w:val="00D078F8"/>
    <w:rsid w:val="00D07D25"/>
    <w:rsid w:val="00D07E54"/>
    <w:rsid w:val="00D07F36"/>
    <w:rsid w:val="00D110F0"/>
    <w:rsid w:val="00D116BA"/>
    <w:rsid w:val="00D12852"/>
    <w:rsid w:val="00D13010"/>
    <w:rsid w:val="00D133F0"/>
    <w:rsid w:val="00D13D69"/>
    <w:rsid w:val="00D143ED"/>
    <w:rsid w:val="00D14C65"/>
    <w:rsid w:val="00D16C5A"/>
    <w:rsid w:val="00D16DAA"/>
    <w:rsid w:val="00D17E12"/>
    <w:rsid w:val="00D20B34"/>
    <w:rsid w:val="00D20F59"/>
    <w:rsid w:val="00D21B84"/>
    <w:rsid w:val="00D22722"/>
    <w:rsid w:val="00D22784"/>
    <w:rsid w:val="00D22983"/>
    <w:rsid w:val="00D22BA9"/>
    <w:rsid w:val="00D25359"/>
    <w:rsid w:val="00D25E7D"/>
    <w:rsid w:val="00D261EA"/>
    <w:rsid w:val="00D26D6A"/>
    <w:rsid w:val="00D27732"/>
    <w:rsid w:val="00D277A7"/>
    <w:rsid w:val="00D27842"/>
    <w:rsid w:val="00D30628"/>
    <w:rsid w:val="00D30CEE"/>
    <w:rsid w:val="00D31D6C"/>
    <w:rsid w:val="00D32B3D"/>
    <w:rsid w:val="00D33C8D"/>
    <w:rsid w:val="00D34D49"/>
    <w:rsid w:val="00D3566A"/>
    <w:rsid w:val="00D37148"/>
    <w:rsid w:val="00D37A00"/>
    <w:rsid w:val="00D40860"/>
    <w:rsid w:val="00D4280D"/>
    <w:rsid w:val="00D42B76"/>
    <w:rsid w:val="00D43787"/>
    <w:rsid w:val="00D43BCC"/>
    <w:rsid w:val="00D447D8"/>
    <w:rsid w:val="00D447FF"/>
    <w:rsid w:val="00D45006"/>
    <w:rsid w:val="00D450B5"/>
    <w:rsid w:val="00D45623"/>
    <w:rsid w:val="00D45651"/>
    <w:rsid w:val="00D45942"/>
    <w:rsid w:val="00D45968"/>
    <w:rsid w:val="00D468AF"/>
    <w:rsid w:val="00D470FA"/>
    <w:rsid w:val="00D47171"/>
    <w:rsid w:val="00D47F57"/>
    <w:rsid w:val="00D50983"/>
    <w:rsid w:val="00D52347"/>
    <w:rsid w:val="00D53B35"/>
    <w:rsid w:val="00D54A85"/>
    <w:rsid w:val="00D5648F"/>
    <w:rsid w:val="00D56D45"/>
    <w:rsid w:val="00D56E3B"/>
    <w:rsid w:val="00D57CC2"/>
    <w:rsid w:val="00D60F31"/>
    <w:rsid w:val="00D616EC"/>
    <w:rsid w:val="00D625B8"/>
    <w:rsid w:val="00D648BA"/>
    <w:rsid w:val="00D64C5C"/>
    <w:rsid w:val="00D66709"/>
    <w:rsid w:val="00D66A4D"/>
    <w:rsid w:val="00D70406"/>
    <w:rsid w:val="00D724E1"/>
    <w:rsid w:val="00D729D1"/>
    <w:rsid w:val="00D72E1C"/>
    <w:rsid w:val="00D762E6"/>
    <w:rsid w:val="00D766BA"/>
    <w:rsid w:val="00D76A95"/>
    <w:rsid w:val="00D76C56"/>
    <w:rsid w:val="00D801E1"/>
    <w:rsid w:val="00D80390"/>
    <w:rsid w:val="00D80B56"/>
    <w:rsid w:val="00D82515"/>
    <w:rsid w:val="00D82682"/>
    <w:rsid w:val="00D82E21"/>
    <w:rsid w:val="00D840E2"/>
    <w:rsid w:val="00D846FE"/>
    <w:rsid w:val="00D860CB"/>
    <w:rsid w:val="00D870A2"/>
    <w:rsid w:val="00D87C68"/>
    <w:rsid w:val="00D92783"/>
    <w:rsid w:val="00D92B70"/>
    <w:rsid w:val="00D92D3B"/>
    <w:rsid w:val="00D93B3A"/>
    <w:rsid w:val="00D9456A"/>
    <w:rsid w:val="00D94B4E"/>
    <w:rsid w:val="00D94DBD"/>
    <w:rsid w:val="00D95547"/>
    <w:rsid w:val="00D9596F"/>
    <w:rsid w:val="00DA00BB"/>
    <w:rsid w:val="00DA0412"/>
    <w:rsid w:val="00DA38F9"/>
    <w:rsid w:val="00DA3BAE"/>
    <w:rsid w:val="00DA550C"/>
    <w:rsid w:val="00DA5843"/>
    <w:rsid w:val="00DA776D"/>
    <w:rsid w:val="00DA7AAB"/>
    <w:rsid w:val="00DA7F99"/>
    <w:rsid w:val="00DB0815"/>
    <w:rsid w:val="00DB0C6F"/>
    <w:rsid w:val="00DB1859"/>
    <w:rsid w:val="00DB29D4"/>
    <w:rsid w:val="00DB34DF"/>
    <w:rsid w:val="00DB3ABE"/>
    <w:rsid w:val="00DB6676"/>
    <w:rsid w:val="00DC004E"/>
    <w:rsid w:val="00DC2ABE"/>
    <w:rsid w:val="00DC2FA6"/>
    <w:rsid w:val="00DC4F24"/>
    <w:rsid w:val="00DC59DE"/>
    <w:rsid w:val="00DC7217"/>
    <w:rsid w:val="00DC79BB"/>
    <w:rsid w:val="00DD11EB"/>
    <w:rsid w:val="00DD1B8B"/>
    <w:rsid w:val="00DD1F32"/>
    <w:rsid w:val="00DD23D6"/>
    <w:rsid w:val="00DD28AC"/>
    <w:rsid w:val="00DD2A6F"/>
    <w:rsid w:val="00DD2D5F"/>
    <w:rsid w:val="00DD4693"/>
    <w:rsid w:val="00DD4855"/>
    <w:rsid w:val="00DD5378"/>
    <w:rsid w:val="00DD75C4"/>
    <w:rsid w:val="00DE06D1"/>
    <w:rsid w:val="00DE0CFB"/>
    <w:rsid w:val="00DE10B9"/>
    <w:rsid w:val="00DE1FBA"/>
    <w:rsid w:val="00DE3A8E"/>
    <w:rsid w:val="00DE4550"/>
    <w:rsid w:val="00DE55DE"/>
    <w:rsid w:val="00DE5968"/>
    <w:rsid w:val="00DE5A73"/>
    <w:rsid w:val="00DE6A2A"/>
    <w:rsid w:val="00DF1227"/>
    <w:rsid w:val="00DF131F"/>
    <w:rsid w:val="00DF2C98"/>
    <w:rsid w:val="00DF392A"/>
    <w:rsid w:val="00DF3D2A"/>
    <w:rsid w:val="00DF73A5"/>
    <w:rsid w:val="00DF77FD"/>
    <w:rsid w:val="00DF7AB6"/>
    <w:rsid w:val="00E0011A"/>
    <w:rsid w:val="00E002F8"/>
    <w:rsid w:val="00E00DCA"/>
    <w:rsid w:val="00E01C4F"/>
    <w:rsid w:val="00E02767"/>
    <w:rsid w:val="00E033B7"/>
    <w:rsid w:val="00E038DB"/>
    <w:rsid w:val="00E03BB5"/>
    <w:rsid w:val="00E044D5"/>
    <w:rsid w:val="00E04FFB"/>
    <w:rsid w:val="00E05EEE"/>
    <w:rsid w:val="00E065DD"/>
    <w:rsid w:val="00E075A8"/>
    <w:rsid w:val="00E07D5A"/>
    <w:rsid w:val="00E100FB"/>
    <w:rsid w:val="00E105EE"/>
    <w:rsid w:val="00E10D91"/>
    <w:rsid w:val="00E11FCA"/>
    <w:rsid w:val="00E12BFB"/>
    <w:rsid w:val="00E134FC"/>
    <w:rsid w:val="00E14296"/>
    <w:rsid w:val="00E1436B"/>
    <w:rsid w:val="00E14F22"/>
    <w:rsid w:val="00E151BD"/>
    <w:rsid w:val="00E166F8"/>
    <w:rsid w:val="00E170FA"/>
    <w:rsid w:val="00E171C2"/>
    <w:rsid w:val="00E20106"/>
    <w:rsid w:val="00E2020E"/>
    <w:rsid w:val="00E20C08"/>
    <w:rsid w:val="00E20D15"/>
    <w:rsid w:val="00E25A13"/>
    <w:rsid w:val="00E26F75"/>
    <w:rsid w:val="00E3064C"/>
    <w:rsid w:val="00E3202F"/>
    <w:rsid w:val="00E32CBA"/>
    <w:rsid w:val="00E33007"/>
    <w:rsid w:val="00E330A9"/>
    <w:rsid w:val="00E33826"/>
    <w:rsid w:val="00E33954"/>
    <w:rsid w:val="00E34483"/>
    <w:rsid w:val="00E3456D"/>
    <w:rsid w:val="00E35FB8"/>
    <w:rsid w:val="00E406B2"/>
    <w:rsid w:val="00E4190D"/>
    <w:rsid w:val="00E4416A"/>
    <w:rsid w:val="00E44987"/>
    <w:rsid w:val="00E44EB9"/>
    <w:rsid w:val="00E44F34"/>
    <w:rsid w:val="00E45859"/>
    <w:rsid w:val="00E45A9B"/>
    <w:rsid w:val="00E47666"/>
    <w:rsid w:val="00E47A2E"/>
    <w:rsid w:val="00E47B16"/>
    <w:rsid w:val="00E47C2B"/>
    <w:rsid w:val="00E47E83"/>
    <w:rsid w:val="00E504E9"/>
    <w:rsid w:val="00E507A9"/>
    <w:rsid w:val="00E5253D"/>
    <w:rsid w:val="00E52A30"/>
    <w:rsid w:val="00E53860"/>
    <w:rsid w:val="00E54E23"/>
    <w:rsid w:val="00E554E7"/>
    <w:rsid w:val="00E5688C"/>
    <w:rsid w:val="00E57C72"/>
    <w:rsid w:val="00E60AAF"/>
    <w:rsid w:val="00E60AEE"/>
    <w:rsid w:val="00E61C6F"/>
    <w:rsid w:val="00E623EC"/>
    <w:rsid w:val="00E6329D"/>
    <w:rsid w:val="00E63651"/>
    <w:rsid w:val="00E64797"/>
    <w:rsid w:val="00E653B9"/>
    <w:rsid w:val="00E6547E"/>
    <w:rsid w:val="00E65AAE"/>
    <w:rsid w:val="00E65E36"/>
    <w:rsid w:val="00E669A1"/>
    <w:rsid w:val="00E67625"/>
    <w:rsid w:val="00E700D9"/>
    <w:rsid w:val="00E75FF6"/>
    <w:rsid w:val="00E767BA"/>
    <w:rsid w:val="00E76F97"/>
    <w:rsid w:val="00E77594"/>
    <w:rsid w:val="00E77A6F"/>
    <w:rsid w:val="00E80DCA"/>
    <w:rsid w:val="00E81C45"/>
    <w:rsid w:val="00E8390A"/>
    <w:rsid w:val="00E83A3B"/>
    <w:rsid w:val="00E8425C"/>
    <w:rsid w:val="00E901D7"/>
    <w:rsid w:val="00E914E7"/>
    <w:rsid w:val="00E9172D"/>
    <w:rsid w:val="00E91BD8"/>
    <w:rsid w:val="00E922BE"/>
    <w:rsid w:val="00E9258D"/>
    <w:rsid w:val="00E9268E"/>
    <w:rsid w:val="00E92B00"/>
    <w:rsid w:val="00E92FB5"/>
    <w:rsid w:val="00E9368B"/>
    <w:rsid w:val="00E9414C"/>
    <w:rsid w:val="00E94D9A"/>
    <w:rsid w:val="00E9515A"/>
    <w:rsid w:val="00E951CA"/>
    <w:rsid w:val="00E9538A"/>
    <w:rsid w:val="00E953FA"/>
    <w:rsid w:val="00E9709F"/>
    <w:rsid w:val="00E97913"/>
    <w:rsid w:val="00E97D0F"/>
    <w:rsid w:val="00E97D3E"/>
    <w:rsid w:val="00E97E28"/>
    <w:rsid w:val="00EA1BC8"/>
    <w:rsid w:val="00EA2484"/>
    <w:rsid w:val="00EA2C6B"/>
    <w:rsid w:val="00EA2CBF"/>
    <w:rsid w:val="00EA3469"/>
    <w:rsid w:val="00EA484D"/>
    <w:rsid w:val="00EA4A96"/>
    <w:rsid w:val="00EA62BD"/>
    <w:rsid w:val="00EB1A14"/>
    <w:rsid w:val="00EB1C95"/>
    <w:rsid w:val="00EB2282"/>
    <w:rsid w:val="00EB3B0A"/>
    <w:rsid w:val="00EB3DAC"/>
    <w:rsid w:val="00EB4081"/>
    <w:rsid w:val="00EB4093"/>
    <w:rsid w:val="00EB46F3"/>
    <w:rsid w:val="00EB4958"/>
    <w:rsid w:val="00EB61A2"/>
    <w:rsid w:val="00EB784C"/>
    <w:rsid w:val="00EC1371"/>
    <w:rsid w:val="00EC2445"/>
    <w:rsid w:val="00EC2890"/>
    <w:rsid w:val="00EC33B2"/>
    <w:rsid w:val="00EC3796"/>
    <w:rsid w:val="00EC41A4"/>
    <w:rsid w:val="00EC45E1"/>
    <w:rsid w:val="00EC4BA2"/>
    <w:rsid w:val="00EC55CB"/>
    <w:rsid w:val="00EC5D78"/>
    <w:rsid w:val="00EC6563"/>
    <w:rsid w:val="00EC7294"/>
    <w:rsid w:val="00EC7555"/>
    <w:rsid w:val="00EC7728"/>
    <w:rsid w:val="00ED0109"/>
    <w:rsid w:val="00ED0678"/>
    <w:rsid w:val="00ED0680"/>
    <w:rsid w:val="00ED10A6"/>
    <w:rsid w:val="00ED27B9"/>
    <w:rsid w:val="00ED2905"/>
    <w:rsid w:val="00ED328C"/>
    <w:rsid w:val="00ED3D65"/>
    <w:rsid w:val="00ED4017"/>
    <w:rsid w:val="00ED4283"/>
    <w:rsid w:val="00ED524A"/>
    <w:rsid w:val="00ED7083"/>
    <w:rsid w:val="00ED7E7A"/>
    <w:rsid w:val="00ED7E9F"/>
    <w:rsid w:val="00ED7FC2"/>
    <w:rsid w:val="00EE00D2"/>
    <w:rsid w:val="00EE0369"/>
    <w:rsid w:val="00EE0D8C"/>
    <w:rsid w:val="00EE140A"/>
    <w:rsid w:val="00EE149D"/>
    <w:rsid w:val="00EE172B"/>
    <w:rsid w:val="00EE20FB"/>
    <w:rsid w:val="00EE3EDC"/>
    <w:rsid w:val="00EE3F56"/>
    <w:rsid w:val="00EE4BB2"/>
    <w:rsid w:val="00EE560A"/>
    <w:rsid w:val="00EE6084"/>
    <w:rsid w:val="00EE6B47"/>
    <w:rsid w:val="00EE733B"/>
    <w:rsid w:val="00EE7B6D"/>
    <w:rsid w:val="00EF13A5"/>
    <w:rsid w:val="00EF1724"/>
    <w:rsid w:val="00EF1727"/>
    <w:rsid w:val="00EF1AA9"/>
    <w:rsid w:val="00EF1B4E"/>
    <w:rsid w:val="00EF1CC2"/>
    <w:rsid w:val="00EF3963"/>
    <w:rsid w:val="00EF4D0C"/>
    <w:rsid w:val="00EF5079"/>
    <w:rsid w:val="00EF6BF6"/>
    <w:rsid w:val="00EF6C71"/>
    <w:rsid w:val="00EF6E78"/>
    <w:rsid w:val="00EF6F01"/>
    <w:rsid w:val="00EF7A77"/>
    <w:rsid w:val="00EF7DE3"/>
    <w:rsid w:val="00F006C9"/>
    <w:rsid w:val="00F01483"/>
    <w:rsid w:val="00F02537"/>
    <w:rsid w:val="00F02F54"/>
    <w:rsid w:val="00F03638"/>
    <w:rsid w:val="00F037BA"/>
    <w:rsid w:val="00F039ED"/>
    <w:rsid w:val="00F03F16"/>
    <w:rsid w:val="00F0620D"/>
    <w:rsid w:val="00F07ECC"/>
    <w:rsid w:val="00F10116"/>
    <w:rsid w:val="00F113D0"/>
    <w:rsid w:val="00F115D6"/>
    <w:rsid w:val="00F11B23"/>
    <w:rsid w:val="00F11C05"/>
    <w:rsid w:val="00F123CE"/>
    <w:rsid w:val="00F1344F"/>
    <w:rsid w:val="00F13850"/>
    <w:rsid w:val="00F13A34"/>
    <w:rsid w:val="00F146CB"/>
    <w:rsid w:val="00F149E9"/>
    <w:rsid w:val="00F14B1E"/>
    <w:rsid w:val="00F1574B"/>
    <w:rsid w:val="00F15D92"/>
    <w:rsid w:val="00F20BE6"/>
    <w:rsid w:val="00F220EF"/>
    <w:rsid w:val="00F2298C"/>
    <w:rsid w:val="00F23C88"/>
    <w:rsid w:val="00F24CF2"/>
    <w:rsid w:val="00F25235"/>
    <w:rsid w:val="00F254F6"/>
    <w:rsid w:val="00F26DFB"/>
    <w:rsid w:val="00F30110"/>
    <w:rsid w:val="00F3022D"/>
    <w:rsid w:val="00F30708"/>
    <w:rsid w:val="00F31B3B"/>
    <w:rsid w:val="00F31E35"/>
    <w:rsid w:val="00F3228A"/>
    <w:rsid w:val="00F332B0"/>
    <w:rsid w:val="00F3395E"/>
    <w:rsid w:val="00F33A72"/>
    <w:rsid w:val="00F3415D"/>
    <w:rsid w:val="00F363F1"/>
    <w:rsid w:val="00F37256"/>
    <w:rsid w:val="00F43DFC"/>
    <w:rsid w:val="00F45E5A"/>
    <w:rsid w:val="00F4695D"/>
    <w:rsid w:val="00F50172"/>
    <w:rsid w:val="00F52120"/>
    <w:rsid w:val="00F53E34"/>
    <w:rsid w:val="00F54740"/>
    <w:rsid w:val="00F56145"/>
    <w:rsid w:val="00F565D0"/>
    <w:rsid w:val="00F57A3E"/>
    <w:rsid w:val="00F62899"/>
    <w:rsid w:val="00F637A9"/>
    <w:rsid w:val="00F63A4A"/>
    <w:rsid w:val="00F63E31"/>
    <w:rsid w:val="00F64380"/>
    <w:rsid w:val="00F64535"/>
    <w:rsid w:val="00F645AE"/>
    <w:rsid w:val="00F654A6"/>
    <w:rsid w:val="00F6605F"/>
    <w:rsid w:val="00F67065"/>
    <w:rsid w:val="00F67CBC"/>
    <w:rsid w:val="00F67D00"/>
    <w:rsid w:val="00F67D2C"/>
    <w:rsid w:val="00F70011"/>
    <w:rsid w:val="00F720FA"/>
    <w:rsid w:val="00F733B2"/>
    <w:rsid w:val="00F744F3"/>
    <w:rsid w:val="00F75DF6"/>
    <w:rsid w:val="00F772EA"/>
    <w:rsid w:val="00F77698"/>
    <w:rsid w:val="00F805A6"/>
    <w:rsid w:val="00F83534"/>
    <w:rsid w:val="00F83BC2"/>
    <w:rsid w:val="00F83CBF"/>
    <w:rsid w:val="00F84ED2"/>
    <w:rsid w:val="00F86A2A"/>
    <w:rsid w:val="00F86D9E"/>
    <w:rsid w:val="00F87223"/>
    <w:rsid w:val="00F87AC1"/>
    <w:rsid w:val="00F87D51"/>
    <w:rsid w:val="00F90290"/>
    <w:rsid w:val="00F915B8"/>
    <w:rsid w:val="00F9186D"/>
    <w:rsid w:val="00F91B3B"/>
    <w:rsid w:val="00F92039"/>
    <w:rsid w:val="00F932E2"/>
    <w:rsid w:val="00F94EC0"/>
    <w:rsid w:val="00F95610"/>
    <w:rsid w:val="00F96012"/>
    <w:rsid w:val="00F976C6"/>
    <w:rsid w:val="00FA00C5"/>
    <w:rsid w:val="00FA0C52"/>
    <w:rsid w:val="00FA1CFB"/>
    <w:rsid w:val="00FA215D"/>
    <w:rsid w:val="00FA2451"/>
    <w:rsid w:val="00FA2726"/>
    <w:rsid w:val="00FA3FB9"/>
    <w:rsid w:val="00FA457D"/>
    <w:rsid w:val="00FA4E2A"/>
    <w:rsid w:val="00FA4F70"/>
    <w:rsid w:val="00FA50A2"/>
    <w:rsid w:val="00FA6E33"/>
    <w:rsid w:val="00FA72B1"/>
    <w:rsid w:val="00FA7328"/>
    <w:rsid w:val="00FB462A"/>
    <w:rsid w:val="00FB4DF7"/>
    <w:rsid w:val="00FB5B5E"/>
    <w:rsid w:val="00FC35C0"/>
    <w:rsid w:val="00FC3FD5"/>
    <w:rsid w:val="00FC42D3"/>
    <w:rsid w:val="00FC479C"/>
    <w:rsid w:val="00FC667D"/>
    <w:rsid w:val="00FC6E57"/>
    <w:rsid w:val="00FC7151"/>
    <w:rsid w:val="00FD0308"/>
    <w:rsid w:val="00FD0560"/>
    <w:rsid w:val="00FD08F5"/>
    <w:rsid w:val="00FD0A26"/>
    <w:rsid w:val="00FD0C02"/>
    <w:rsid w:val="00FD1FCF"/>
    <w:rsid w:val="00FD282F"/>
    <w:rsid w:val="00FD2992"/>
    <w:rsid w:val="00FD29BB"/>
    <w:rsid w:val="00FD48F9"/>
    <w:rsid w:val="00FD4CB3"/>
    <w:rsid w:val="00FD6EAA"/>
    <w:rsid w:val="00FD79D2"/>
    <w:rsid w:val="00FE0ABB"/>
    <w:rsid w:val="00FE141F"/>
    <w:rsid w:val="00FE20F0"/>
    <w:rsid w:val="00FE2BEF"/>
    <w:rsid w:val="00FE5D35"/>
    <w:rsid w:val="00FE625D"/>
    <w:rsid w:val="00FE7911"/>
    <w:rsid w:val="00FE7C1C"/>
    <w:rsid w:val="00FF1735"/>
    <w:rsid w:val="00FF2EC7"/>
    <w:rsid w:val="00FF31C9"/>
    <w:rsid w:val="00FF3D51"/>
    <w:rsid w:val="00FF5A48"/>
    <w:rsid w:val="00FF5AD0"/>
    <w:rsid w:val="00FF5DB9"/>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docId w15:val="{EB63F7D5-A960-455F-9C24-05CD639F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paragraph" w:styleId="Footer">
    <w:name w:val="footer"/>
    <w:basedOn w:val="Normal"/>
    <w:link w:val="FooterChar"/>
    <w:uiPriority w:val="99"/>
    <w:unhideWhenUsed/>
    <w:rsid w:val="005F389D"/>
    <w:pPr>
      <w:tabs>
        <w:tab w:val="center" w:pos="4680"/>
        <w:tab w:val="right" w:pos="9360"/>
      </w:tabs>
      <w:spacing w:line="240" w:lineRule="auto"/>
    </w:pPr>
  </w:style>
  <w:style w:type="character" w:customStyle="1" w:styleId="FooterChar">
    <w:name w:val="Footer Char"/>
    <w:basedOn w:val="DefaultParagraphFont"/>
    <w:link w:val="Footer"/>
    <w:uiPriority w:val="99"/>
    <w:rsid w:val="005F389D"/>
  </w:style>
  <w:style w:type="paragraph" w:styleId="NormalWeb">
    <w:name w:val="Normal (Web)"/>
    <w:basedOn w:val="Normal"/>
    <w:uiPriority w:val="99"/>
    <w:semiHidden/>
    <w:unhideWhenUsed/>
    <w:rsid w:val="002E61FB"/>
    <w:pPr>
      <w:spacing w:before="100" w:beforeAutospacing="1" w:after="100" w:afterAutospacing="1" w:line="240" w:lineRule="auto"/>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50390">
      <w:bodyDiv w:val="1"/>
      <w:marLeft w:val="0"/>
      <w:marRight w:val="0"/>
      <w:marTop w:val="0"/>
      <w:marBottom w:val="0"/>
      <w:divBdr>
        <w:top w:val="none" w:sz="0" w:space="0" w:color="auto"/>
        <w:left w:val="none" w:sz="0" w:space="0" w:color="auto"/>
        <w:bottom w:val="none" w:sz="0" w:space="0" w:color="auto"/>
        <w:right w:val="none" w:sz="0" w:space="0" w:color="auto"/>
      </w:divBdr>
    </w:div>
    <w:div w:id="1789008630">
      <w:bodyDiv w:val="1"/>
      <w:marLeft w:val="0"/>
      <w:marRight w:val="0"/>
      <w:marTop w:val="0"/>
      <w:marBottom w:val="0"/>
      <w:divBdr>
        <w:top w:val="none" w:sz="0" w:space="0" w:color="auto"/>
        <w:left w:val="none" w:sz="0" w:space="0" w:color="auto"/>
        <w:bottom w:val="none" w:sz="0" w:space="0" w:color="auto"/>
        <w:right w:val="none" w:sz="0" w:space="0" w:color="auto"/>
      </w:divBdr>
      <w:divsChild>
        <w:div w:id="428621050">
          <w:marLeft w:val="0"/>
          <w:marRight w:val="0"/>
          <w:marTop w:val="0"/>
          <w:marBottom w:val="0"/>
          <w:divBdr>
            <w:top w:val="none" w:sz="0" w:space="0" w:color="auto"/>
            <w:left w:val="none" w:sz="0" w:space="0" w:color="auto"/>
            <w:bottom w:val="none" w:sz="0" w:space="0" w:color="auto"/>
            <w:right w:val="none" w:sz="0" w:space="0" w:color="auto"/>
          </w:divBdr>
          <w:divsChild>
            <w:div w:id="1920211573">
              <w:marLeft w:val="0"/>
              <w:marRight w:val="0"/>
              <w:marTop w:val="0"/>
              <w:marBottom w:val="0"/>
              <w:divBdr>
                <w:top w:val="none" w:sz="0" w:space="0" w:color="auto"/>
                <w:left w:val="none" w:sz="0" w:space="0" w:color="auto"/>
                <w:bottom w:val="none" w:sz="0" w:space="0" w:color="auto"/>
                <w:right w:val="none" w:sz="0" w:space="0" w:color="auto"/>
              </w:divBdr>
              <w:divsChild>
                <w:div w:id="1270315026">
                  <w:marLeft w:val="0"/>
                  <w:marRight w:val="0"/>
                  <w:marTop w:val="0"/>
                  <w:marBottom w:val="0"/>
                  <w:divBdr>
                    <w:top w:val="none" w:sz="0" w:space="0" w:color="auto"/>
                    <w:left w:val="none" w:sz="0" w:space="0" w:color="auto"/>
                    <w:bottom w:val="none" w:sz="0" w:space="0" w:color="auto"/>
                    <w:right w:val="none" w:sz="0" w:space="0" w:color="auto"/>
                  </w:divBdr>
                  <w:divsChild>
                    <w:div w:id="12416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D8946-4A68-4F9D-823D-AEB5C3CCC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5486</Words>
  <Characters>31271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Lilitha Mdleleni</cp:lastModifiedBy>
  <cp:revision>3</cp:revision>
  <dcterms:created xsi:type="dcterms:W3CDTF">2023-12-06T08:38:00Z</dcterms:created>
  <dcterms:modified xsi:type="dcterms:W3CDTF">2023-12-09T14:05:00Z</dcterms:modified>
</cp:coreProperties>
</file>