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A988" w14:textId="732C8F65" w:rsidR="008B46D7" w:rsidRPr="008B46D7" w:rsidRDefault="008B46D7" w:rsidP="008B46D7">
      <w:pPr>
        <w:rPr>
          <w:color w:val="FF0000"/>
          <w:u w:val="single"/>
        </w:rPr>
      </w:pPr>
      <w:r>
        <w:rPr>
          <w:rFonts w:ascii="Arial" w:hAnsi="Arial" w:cs="Arial"/>
          <w:color w:val="FF0000"/>
        </w:rPr>
        <w:t>Editorial note: Certain information has been redacted from this judgment in compliance with the law.</w:t>
      </w:r>
    </w:p>
    <w:p w14:paraId="42D3FAA1" w14:textId="681A085C" w:rsidR="00823031" w:rsidRDefault="00823031" w:rsidP="00823031">
      <w:pPr>
        <w:spacing w:line="48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3595786D" wp14:editId="4239C81C">
            <wp:extent cx="1987550" cy="1652270"/>
            <wp:effectExtent l="0" t="0" r="0" b="5080"/>
            <wp:docPr id="4" name="Picture 4"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54EA3D86" wp14:editId="55955CF8">
                <wp:extent cx="301625" cy="301625"/>
                <wp:effectExtent l="0" t="0" r="0" b="0"/>
                <wp:docPr id="38609560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B83D3C"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Pr>
          <w:noProof/>
          <w:lang w:eastAsia="en-ZA"/>
        </w:rPr>
        <mc:AlternateContent>
          <mc:Choice Requires="wps">
            <w:drawing>
              <wp:inline distT="0" distB="0" distL="0" distR="0" wp14:anchorId="4D8AC1F6" wp14:editId="1E97FE90">
                <wp:extent cx="301625" cy="301625"/>
                <wp:effectExtent l="0" t="0" r="0" b="0"/>
                <wp:docPr id="37085714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769C02"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5942BDA4" w14:textId="77777777" w:rsidR="00823031" w:rsidRPr="002322FF" w:rsidRDefault="00823031" w:rsidP="00823031">
      <w:pPr>
        <w:jc w:val="center"/>
        <w:rPr>
          <w:rFonts w:ascii="Arial" w:hAnsi="Arial" w:cs="Arial"/>
          <w:b/>
          <w:sz w:val="24"/>
          <w:szCs w:val="24"/>
        </w:rPr>
      </w:pPr>
      <w:r w:rsidRPr="002322FF">
        <w:rPr>
          <w:rFonts w:ascii="Arial" w:hAnsi="Arial" w:cs="Arial"/>
          <w:b/>
          <w:sz w:val="24"/>
          <w:szCs w:val="24"/>
        </w:rPr>
        <w:t>IN THE HIGH COURT OF SOUTH AFRICA</w:t>
      </w:r>
    </w:p>
    <w:p w14:paraId="70721D88" w14:textId="77777777" w:rsidR="00823031" w:rsidRPr="002322FF" w:rsidRDefault="00823031" w:rsidP="00823031">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GQEBERHA</w:t>
      </w:r>
      <w:r w:rsidRPr="002322FF">
        <w:rPr>
          <w:rFonts w:ascii="Arial" w:hAnsi="Arial" w:cs="Arial"/>
          <w:b/>
          <w:sz w:val="24"/>
          <w:szCs w:val="24"/>
        </w:rPr>
        <w:t>)</w:t>
      </w:r>
    </w:p>
    <w:p w14:paraId="64E3EC41" w14:textId="025204B3" w:rsidR="00823031" w:rsidRPr="005E0A83" w:rsidRDefault="00823031" w:rsidP="00F97223">
      <w:pPr>
        <w:pStyle w:val="GW11"/>
        <w:tabs>
          <w:tab w:val="clear" w:pos="6048"/>
          <w:tab w:val="left" w:pos="4820"/>
          <w:tab w:val="left" w:pos="8647"/>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Case No. </w:t>
      </w:r>
      <w:r w:rsidR="00F97223">
        <w:rPr>
          <w:rFonts w:ascii="Arial" w:hAnsi="Arial" w:cs="Arial"/>
          <w:szCs w:val="24"/>
        </w:rPr>
        <w:t>986/2019</w:t>
      </w:r>
    </w:p>
    <w:p w14:paraId="16EB7194" w14:textId="77777777" w:rsidR="00823031" w:rsidRPr="005E0A83" w:rsidRDefault="00823031" w:rsidP="00823031">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6170E6D2" w14:textId="77777777" w:rsidR="00823031" w:rsidRPr="005E0A83" w:rsidRDefault="00823031" w:rsidP="00823031">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 xml:space="preserve">In the matter </w:t>
      </w:r>
      <w:proofErr w:type="gramStart"/>
      <w:r w:rsidRPr="005E0A83">
        <w:rPr>
          <w:rFonts w:ascii="Arial" w:hAnsi="Arial" w:cs="Arial"/>
          <w:szCs w:val="24"/>
        </w:rPr>
        <w:t>between:-</w:t>
      </w:r>
      <w:proofErr w:type="gramEnd"/>
    </w:p>
    <w:p w14:paraId="4353FF00" w14:textId="77777777" w:rsidR="00823031" w:rsidRPr="005E0A83" w:rsidRDefault="00823031" w:rsidP="00823031">
      <w:pPr>
        <w:pStyle w:val="GW11"/>
        <w:rPr>
          <w:rFonts w:ascii="Arial" w:hAnsi="Arial" w:cs="Arial"/>
          <w:szCs w:val="24"/>
        </w:rPr>
      </w:pPr>
    </w:p>
    <w:p w14:paraId="086A6E62" w14:textId="5AC0AA48" w:rsidR="00823031" w:rsidRPr="00F97223" w:rsidRDefault="00F97223" w:rsidP="00F97223">
      <w:pPr>
        <w:pStyle w:val="GW12"/>
        <w:tabs>
          <w:tab w:val="clear" w:pos="6048"/>
          <w:tab w:val="clear" w:pos="8640"/>
          <w:tab w:val="left" w:pos="4820"/>
          <w:tab w:val="right" w:pos="9072"/>
        </w:tabs>
        <w:ind w:right="-46"/>
        <w:jc w:val="left"/>
        <w:rPr>
          <w:rFonts w:ascii="Arial" w:hAnsi="Arial" w:cs="Arial"/>
          <w:b/>
          <w:szCs w:val="24"/>
          <w14:ligatures w14:val="none"/>
        </w:rPr>
      </w:pPr>
      <w:r w:rsidRPr="00F97223">
        <w:rPr>
          <w:rFonts w:ascii="Arial" w:hAnsi="Arial" w:cs="Arial"/>
          <w:b/>
          <w:szCs w:val="24"/>
          <w14:ligatures w14:val="none"/>
        </w:rPr>
        <w:t xml:space="preserve">BENITA ANDERSON </w:t>
      </w:r>
      <w:r w:rsidR="00823031" w:rsidRPr="00F97223">
        <w:rPr>
          <w:rFonts w:ascii="Arial" w:hAnsi="Arial" w:cs="Arial"/>
          <w:b/>
          <w:szCs w:val="24"/>
          <w14:ligatures w14:val="none"/>
        </w:rPr>
        <w:t xml:space="preserve">                                                                      </w:t>
      </w:r>
      <w:r>
        <w:rPr>
          <w:rFonts w:ascii="Arial" w:hAnsi="Arial" w:cs="Arial"/>
          <w:b/>
          <w:szCs w:val="24"/>
          <w14:ligatures w14:val="none"/>
        </w:rPr>
        <w:t xml:space="preserve">  </w:t>
      </w:r>
      <w:r w:rsidR="00823031" w:rsidRPr="00F97223">
        <w:rPr>
          <w:rFonts w:ascii="Arial" w:hAnsi="Arial" w:cs="Arial"/>
          <w:b/>
          <w:szCs w:val="24"/>
          <w14:ligatures w14:val="none"/>
        </w:rPr>
        <w:t xml:space="preserve"> </w:t>
      </w:r>
      <w:r>
        <w:rPr>
          <w:rFonts w:ascii="Arial" w:hAnsi="Arial" w:cs="Arial"/>
          <w:b/>
          <w:szCs w:val="24"/>
          <w14:ligatures w14:val="none"/>
        </w:rPr>
        <w:t xml:space="preserve">  </w:t>
      </w:r>
      <w:r w:rsidR="00823031" w:rsidRPr="00F97223">
        <w:rPr>
          <w:rFonts w:ascii="Arial" w:hAnsi="Arial" w:cs="Arial"/>
          <w:b/>
          <w:szCs w:val="24"/>
          <w14:ligatures w14:val="none"/>
        </w:rPr>
        <w:t xml:space="preserve">  </w:t>
      </w:r>
      <w:r w:rsidRPr="00F97223">
        <w:rPr>
          <w:rFonts w:ascii="Arial" w:hAnsi="Arial" w:cs="Arial"/>
          <w:bCs/>
          <w:szCs w:val="24"/>
          <w14:ligatures w14:val="none"/>
        </w:rPr>
        <w:t>First Applicant</w:t>
      </w:r>
    </w:p>
    <w:p w14:paraId="360037E0" w14:textId="07D5973A" w:rsidR="00F97223" w:rsidRPr="00F97223" w:rsidRDefault="00F97223" w:rsidP="00F97223">
      <w:pPr>
        <w:pStyle w:val="GW12"/>
        <w:tabs>
          <w:tab w:val="clear" w:pos="6048"/>
          <w:tab w:val="clear" w:pos="8640"/>
          <w:tab w:val="left" w:pos="4820"/>
          <w:tab w:val="right" w:pos="9072"/>
        </w:tabs>
        <w:ind w:right="-46"/>
        <w:jc w:val="left"/>
        <w:rPr>
          <w:rFonts w:ascii="Arial" w:hAnsi="Arial" w:cs="Arial"/>
          <w:b/>
          <w:szCs w:val="24"/>
          <w14:ligatures w14:val="none"/>
        </w:rPr>
      </w:pPr>
      <w:r w:rsidRPr="00F97223">
        <w:rPr>
          <w:rFonts w:ascii="Arial" w:hAnsi="Arial" w:cs="Arial"/>
          <w:b/>
          <w:szCs w:val="24"/>
          <w14:ligatures w14:val="none"/>
        </w:rPr>
        <w:t>CLAUDE GRAHAM ANDERSON</w:t>
      </w:r>
      <w:r w:rsidRPr="00F97223">
        <w:rPr>
          <w:rFonts w:ascii="Arial" w:hAnsi="Arial" w:cs="Arial"/>
          <w:b/>
          <w:szCs w:val="24"/>
          <w14:ligatures w14:val="none"/>
        </w:rPr>
        <w:tab/>
      </w:r>
      <w:r w:rsidRPr="00F97223">
        <w:rPr>
          <w:rFonts w:ascii="Arial" w:hAnsi="Arial" w:cs="Arial"/>
          <w:b/>
          <w:szCs w:val="24"/>
          <w14:ligatures w14:val="none"/>
        </w:rPr>
        <w:tab/>
      </w:r>
      <w:r w:rsidRPr="00F97223">
        <w:rPr>
          <w:rFonts w:ascii="Arial" w:hAnsi="Arial" w:cs="Arial"/>
          <w:b/>
          <w:szCs w:val="24"/>
          <w14:ligatures w14:val="none"/>
        </w:rPr>
        <w:tab/>
        <w:t xml:space="preserve">   </w:t>
      </w:r>
      <w:r>
        <w:rPr>
          <w:rFonts w:ascii="Arial" w:hAnsi="Arial" w:cs="Arial"/>
          <w:b/>
          <w:szCs w:val="24"/>
          <w14:ligatures w14:val="none"/>
        </w:rPr>
        <w:t xml:space="preserve">  </w:t>
      </w:r>
      <w:r w:rsidRPr="00F97223">
        <w:rPr>
          <w:rFonts w:ascii="Arial" w:hAnsi="Arial" w:cs="Arial"/>
          <w:bCs/>
          <w:szCs w:val="24"/>
          <w14:ligatures w14:val="none"/>
        </w:rPr>
        <w:t>Second Applicant</w:t>
      </w:r>
    </w:p>
    <w:p w14:paraId="76194EBC" w14:textId="77777777" w:rsidR="00823031" w:rsidRDefault="00823031" w:rsidP="00F97223">
      <w:pPr>
        <w:pStyle w:val="GW12"/>
        <w:tabs>
          <w:tab w:val="clear" w:pos="6048"/>
          <w:tab w:val="clear" w:pos="8640"/>
          <w:tab w:val="left" w:pos="4820"/>
          <w:tab w:val="right" w:pos="8931"/>
        </w:tabs>
        <w:ind w:right="-45"/>
        <w:jc w:val="left"/>
        <w:rPr>
          <w:rFonts w:ascii="Arial" w:hAnsi="Arial" w:cs="Arial"/>
          <w:b/>
          <w:szCs w:val="24"/>
        </w:rPr>
      </w:pPr>
    </w:p>
    <w:p w14:paraId="43EE77C9" w14:textId="77777777" w:rsidR="00823031" w:rsidRPr="000E7F54" w:rsidRDefault="00823031" w:rsidP="00F97223">
      <w:pPr>
        <w:pStyle w:val="GW12"/>
        <w:tabs>
          <w:tab w:val="clear" w:pos="6048"/>
          <w:tab w:val="clear" w:pos="8640"/>
          <w:tab w:val="left" w:pos="4820"/>
          <w:tab w:val="right" w:pos="8931"/>
        </w:tabs>
        <w:ind w:right="-45"/>
        <w:jc w:val="left"/>
        <w:rPr>
          <w:rFonts w:ascii="Arial" w:hAnsi="Arial" w:cs="Arial"/>
          <w:bCs/>
          <w:szCs w:val="24"/>
        </w:rPr>
      </w:pPr>
      <w:r w:rsidRPr="000E7F54">
        <w:rPr>
          <w:rFonts w:ascii="Arial" w:hAnsi="Arial" w:cs="Arial"/>
          <w:bCs/>
          <w:szCs w:val="24"/>
        </w:rPr>
        <w:t>and</w:t>
      </w:r>
    </w:p>
    <w:p w14:paraId="2E762CAB" w14:textId="77777777" w:rsidR="00823031" w:rsidRDefault="00823031" w:rsidP="00F97223">
      <w:pPr>
        <w:pStyle w:val="GW12"/>
        <w:tabs>
          <w:tab w:val="clear" w:pos="6048"/>
          <w:tab w:val="clear" w:pos="8640"/>
          <w:tab w:val="left" w:pos="4820"/>
          <w:tab w:val="right" w:pos="8931"/>
        </w:tabs>
        <w:ind w:right="-45"/>
        <w:jc w:val="left"/>
        <w:rPr>
          <w:rFonts w:ascii="Arial" w:hAnsi="Arial" w:cs="Arial"/>
          <w:b/>
          <w:szCs w:val="24"/>
        </w:rPr>
      </w:pPr>
    </w:p>
    <w:p w14:paraId="069C5D03" w14:textId="270AB1BF" w:rsidR="00823031" w:rsidRPr="00F97223" w:rsidRDefault="00F97223" w:rsidP="00F97223">
      <w:pPr>
        <w:pStyle w:val="GW12"/>
        <w:tabs>
          <w:tab w:val="clear" w:pos="6048"/>
          <w:tab w:val="clear" w:pos="8640"/>
          <w:tab w:val="left" w:pos="4820"/>
          <w:tab w:val="right" w:pos="9072"/>
        </w:tabs>
        <w:ind w:right="-46"/>
        <w:jc w:val="left"/>
        <w:rPr>
          <w:rFonts w:ascii="Arial" w:hAnsi="Arial" w:cs="Arial"/>
          <w:b/>
          <w:szCs w:val="24"/>
          <w14:ligatures w14:val="none"/>
        </w:rPr>
      </w:pPr>
      <w:r w:rsidRPr="00F97223">
        <w:rPr>
          <w:rFonts w:ascii="Arial" w:hAnsi="Arial" w:cs="Arial"/>
          <w:b/>
          <w:szCs w:val="24"/>
          <w14:ligatures w14:val="none"/>
        </w:rPr>
        <w:t>THE STANDARD BANK OF SA LIMITED</w:t>
      </w:r>
      <w:r w:rsidR="00823031" w:rsidRPr="00F97223">
        <w:rPr>
          <w:rFonts w:ascii="Arial" w:hAnsi="Arial" w:cs="Arial"/>
          <w:b/>
          <w:szCs w:val="24"/>
          <w14:ligatures w14:val="none"/>
        </w:rPr>
        <w:tab/>
      </w:r>
      <w:r w:rsidRPr="00F97223">
        <w:rPr>
          <w:rFonts w:ascii="Arial" w:hAnsi="Arial" w:cs="Arial"/>
          <w:b/>
          <w:szCs w:val="24"/>
          <w14:ligatures w14:val="none"/>
        </w:rPr>
        <w:t xml:space="preserve">                                 </w:t>
      </w:r>
      <w:r>
        <w:rPr>
          <w:rFonts w:ascii="Arial" w:hAnsi="Arial" w:cs="Arial"/>
          <w:b/>
          <w:szCs w:val="24"/>
          <w14:ligatures w14:val="none"/>
        </w:rPr>
        <w:t xml:space="preserve">  </w:t>
      </w:r>
      <w:r w:rsidRPr="00F97223">
        <w:rPr>
          <w:rFonts w:ascii="Arial" w:hAnsi="Arial" w:cs="Arial"/>
          <w:bCs/>
          <w:szCs w:val="24"/>
          <w14:ligatures w14:val="none"/>
        </w:rPr>
        <w:t xml:space="preserve"> </w:t>
      </w:r>
      <w:r w:rsidR="00823031" w:rsidRPr="00F97223">
        <w:rPr>
          <w:rFonts w:ascii="Arial" w:hAnsi="Arial" w:cs="Arial"/>
          <w:bCs/>
          <w:szCs w:val="24"/>
          <w14:ligatures w14:val="none"/>
        </w:rPr>
        <w:t xml:space="preserve">First </w:t>
      </w:r>
      <w:r w:rsidRPr="00F97223">
        <w:rPr>
          <w:rFonts w:ascii="Arial" w:hAnsi="Arial" w:cs="Arial"/>
          <w:bCs/>
          <w:szCs w:val="24"/>
          <w14:ligatures w14:val="none"/>
        </w:rPr>
        <w:t>Respondent</w:t>
      </w:r>
    </w:p>
    <w:p w14:paraId="49A8DA79" w14:textId="1A556F3D" w:rsidR="00F97223" w:rsidRPr="00F97223" w:rsidRDefault="00F97223" w:rsidP="00F97223">
      <w:pPr>
        <w:pStyle w:val="GW12"/>
        <w:tabs>
          <w:tab w:val="clear" w:pos="6048"/>
          <w:tab w:val="clear" w:pos="8640"/>
          <w:tab w:val="left" w:pos="4820"/>
          <w:tab w:val="right" w:pos="9072"/>
        </w:tabs>
        <w:ind w:right="-46"/>
        <w:jc w:val="left"/>
        <w:rPr>
          <w:rFonts w:ascii="Arial" w:hAnsi="Arial" w:cs="Arial"/>
          <w:b/>
          <w:szCs w:val="24"/>
          <w14:ligatures w14:val="none"/>
        </w:rPr>
      </w:pPr>
      <w:r>
        <w:rPr>
          <w:rFonts w:ascii="Arial" w:hAnsi="Arial" w:cs="Arial"/>
          <w:b/>
          <w:szCs w:val="24"/>
          <w14:ligatures w14:val="none"/>
        </w:rPr>
        <w:t>SOUTHERN SPIRIT PROPERTY 131 (PTY) LIMITED</w:t>
      </w:r>
      <w:r w:rsidRPr="00F97223">
        <w:rPr>
          <w:rFonts w:ascii="Arial" w:hAnsi="Arial" w:cs="Arial"/>
          <w:b/>
          <w:szCs w:val="24"/>
          <w14:ligatures w14:val="none"/>
        </w:rPr>
        <w:t xml:space="preserve">              </w:t>
      </w:r>
      <w:r>
        <w:rPr>
          <w:rFonts w:ascii="Arial" w:hAnsi="Arial" w:cs="Arial"/>
          <w:b/>
          <w:szCs w:val="24"/>
          <w14:ligatures w14:val="none"/>
        </w:rPr>
        <w:t xml:space="preserve">   </w:t>
      </w:r>
      <w:r w:rsidRPr="00F97223">
        <w:rPr>
          <w:rFonts w:ascii="Arial" w:hAnsi="Arial" w:cs="Arial"/>
          <w:bCs/>
          <w:szCs w:val="24"/>
          <w14:ligatures w14:val="none"/>
        </w:rPr>
        <w:t>Second Respondent</w:t>
      </w:r>
    </w:p>
    <w:p w14:paraId="207B415E" w14:textId="6AD85ECC" w:rsidR="00F97223" w:rsidRPr="00F97223" w:rsidRDefault="00F97223" w:rsidP="00F97223">
      <w:pPr>
        <w:pStyle w:val="GW12"/>
        <w:tabs>
          <w:tab w:val="clear" w:pos="6048"/>
          <w:tab w:val="clear" w:pos="8640"/>
          <w:tab w:val="left" w:pos="4820"/>
          <w:tab w:val="right" w:pos="9072"/>
        </w:tabs>
        <w:ind w:right="-46"/>
        <w:jc w:val="left"/>
        <w:rPr>
          <w:rFonts w:ascii="Arial" w:hAnsi="Arial" w:cs="Arial"/>
          <w:b/>
          <w:szCs w:val="24"/>
          <w14:ligatures w14:val="none"/>
        </w:rPr>
      </w:pPr>
      <w:r>
        <w:rPr>
          <w:rFonts w:ascii="Arial" w:hAnsi="Arial" w:cs="Arial"/>
          <w:b/>
          <w:szCs w:val="24"/>
          <w14:ligatures w14:val="none"/>
        </w:rPr>
        <w:t>DON FRASER</w:t>
      </w:r>
      <w:r w:rsidRPr="00F97223">
        <w:rPr>
          <w:rFonts w:ascii="Arial" w:hAnsi="Arial" w:cs="Arial"/>
          <w:b/>
          <w:szCs w:val="24"/>
          <w14:ligatures w14:val="none"/>
        </w:rPr>
        <w:tab/>
        <w:t xml:space="preserve">                                 </w:t>
      </w:r>
      <w:r>
        <w:rPr>
          <w:rFonts w:ascii="Arial" w:hAnsi="Arial" w:cs="Arial"/>
          <w:b/>
          <w:szCs w:val="24"/>
          <w14:ligatures w14:val="none"/>
        </w:rPr>
        <w:t xml:space="preserve">                                  </w:t>
      </w:r>
      <w:r w:rsidRPr="00F97223">
        <w:rPr>
          <w:rFonts w:ascii="Arial" w:hAnsi="Arial" w:cs="Arial"/>
          <w:bCs/>
          <w:szCs w:val="24"/>
          <w14:ligatures w14:val="none"/>
        </w:rPr>
        <w:t xml:space="preserve"> </w:t>
      </w:r>
      <w:r>
        <w:rPr>
          <w:rFonts w:ascii="Arial" w:hAnsi="Arial" w:cs="Arial"/>
          <w:bCs/>
          <w:szCs w:val="24"/>
          <w14:ligatures w14:val="none"/>
        </w:rPr>
        <w:t>Third</w:t>
      </w:r>
      <w:r w:rsidRPr="00F97223">
        <w:rPr>
          <w:rFonts w:ascii="Arial" w:hAnsi="Arial" w:cs="Arial"/>
          <w:bCs/>
          <w:szCs w:val="24"/>
          <w14:ligatures w14:val="none"/>
        </w:rPr>
        <w:t xml:space="preserve"> Respondent</w:t>
      </w:r>
    </w:p>
    <w:p w14:paraId="53705173" w14:textId="4910BAAE" w:rsidR="00F97223" w:rsidRPr="00F97223" w:rsidRDefault="00F97223" w:rsidP="00F97223">
      <w:pPr>
        <w:pStyle w:val="GW12"/>
        <w:tabs>
          <w:tab w:val="clear" w:pos="6048"/>
          <w:tab w:val="clear" w:pos="8640"/>
          <w:tab w:val="left" w:pos="4820"/>
          <w:tab w:val="right" w:pos="9072"/>
        </w:tabs>
        <w:ind w:right="-46"/>
        <w:jc w:val="left"/>
        <w:rPr>
          <w:rFonts w:ascii="Arial" w:hAnsi="Arial" w:cs="Arial"/>
          <w:b/>
          <w:szCs w:val="24"/>
          <w14:ligatures w14:val="none"/>
        </w:rPr>
      </w:pPr>
      <w:r>
        <w:rPr>
          <w:rFonts w:ascii="Arial" w:hAnsi="Arial" w:cs="Arial"/>
          <w:b/>
          <w:szCs w:val="24"/>
          <w14:ligatures w14:val="none"/>
        </w:rPr>
        <w:t>JOHAN NEL</w:t>
      </w:r>
      <w:r w:rsidRPr="00F97223">
        <w:rPr>
          <w:rFonts w:ascii="Arial" w:hAnsi="Arial" w:cs="Arial"/>
          <w:b/>
          <w:szCs w:val="24"/>
          <w14:ligatures w14:val="none"/>
        </w:rPr>
        <w:t xml:space="preserve">              </w:t>
      </w:r>
      <w:r>
        <w:rPr>
          <w:rFonts w:ascii="Arial" w:hAnsi="Arial" w:cs="Arial"/>
          <w:b/>
          <w:szCs w:val="24"/>
          <w14:ligatures w14:val="none"/>
        </w:rPr>
        <w:t xml:space="preserve">                                                                      </w:t>
      </w:r>
      <w:r>
        <w:rPr>
          <w:rFonts w:ascii="Arial" w:hAnsi="Arial" w:cs="Arial"/>
          <w:bCs/>
          <w:szCs w:val="24"/>
          <w14:ligatures w14:val="none"/>
        </w:rPr>
        <w:t>Fourth</w:t>
      </w:r>
      <w:r w:rsidRPr="00F97223">
        <w:rPr>
          <w:rFonts w:ascii="Arial" w:hAnsi="Arial" w:cs="Arial"/>
          <w:bCs/>
          <w:szCs w:val="24"/>
          <w14:ligatures w14:val="none"/>
        </w:rPr>
        <w:t xml:space="preserve"> Respondent</w:t>
      </w:r>
    </w:p>
    <w:p w14:paraId="16F19919" w14:textId="03BD2FAE" w:rsidR="00F97223" w:rsidRPr="00F97223" w:rsidRDefault="00F97223" w:rsidP="00F97223">
      <w:pPr>
        <w:pStyle w:val="GW12"/>
        <w:tabs>
          <w:tab w:val="clear" w:pos="6048"/>
          <w:tab w:val="clear" w:pos="8640"/>
          <w:tab w:val="left" w:pos="4820"/>
          <w:tab w:val="right" w:pos="9072"/>
        </w:tabs>
        <w:ind w:right="-46"/>
        <w:jc w:val="left"/>
        <w:rPr>
          <w:rFonts w:ascii="Arial" w:hAnsi="Arial" w:cs="Arial"/>
          <w:b/>
          <w:szCs w:val="24"/>
          <w14:ligatures w14:val="none"/>
        </w:rPr>
      </w:pPr>
      <w:r>
        <w:rPr>
          <w:rFonts w:ascii="Arial" w:hAnsi="Arial" w:cs="Arial"/>
          <w:b/>
          <w:szCs w:val="24"/>
          <w14:ligatures w14:val="none"/>
        </w:rPr>
        <w:t>TRACEY BERYD NEL</w:t>
      </w:r>
      <w:r w:rsidRPr="00F97223">
        <w:rPr>
          <w:rFonts w:ascii="Arial" w:hAnsi="Arial" w:cs="Arial"/>
          <w:b/>
          <w:szCs w:val="24"/>
          <w14:ligatures w14:val="none"/>
        </w:rPr>
        <w:t xml:space="preserve">              </w:t>
      </w:r>
      <w:r>
        <w:rPr>
          <w:rFonts w:ascii="Arial" w:hAnsi="Arial" w:cs="Arial"/>
          <w:b/>
          <w:szCs w:val="24"/>
          <w14:ligatures w14:val="none"/>
        </w:rPr>
        <w:t xml:space="preserve">                                                          </w:t>
      </w:r>
      <w:r>
        <w:rPr>
          <w:rFonts w:ascii="Arial" w:hAnsi="Arial" w:cs="Arial"/>
          <w:bCs/>
          <w:szCs w:val="24"/>
          <w14:ligatures w14:val="none"/>
        </w:rPr>
        <w:t>Fifth</w:t>
      </w:r>
      <w:r w:rsidRPr="00F97223">
        <w:rPr>
          <w:rFonts w:ascii="Arial" w:hAnsi="Arial" w:cs="Arial"/>
          <w:bCs/>
          <w:szCs w:val="24"/>
          <w14:ligatures w14:val="none"/>
        </w:rPr>
        <w:t xml:space="preserve"> Respondent</w:t>
      </w:r>
    </w:p>
    <w:p w14:paraId="69638274" w14:textId="285AE410" w:rsidR="00F97223" w:rsidRPr="00F97223" w:rsidRDefault="00F97223" w:rsidP="00F97223">
      <w:pPr>
        <w:pStyle w:val="GW12"/>
        <w:tabs>
          <w:tab w:val="clear" w:pos="6048"/>
          <w:tab w:val="clear" w:pos="8640"/>
          <w:tab w:val="left" w:pos="4820"/>
          <w:tab w:val="right" w:pos="9072"/>
        </w:tabs>
        <w:ind w:right="-46"/>
        <w:jc w:val="left"/>
        <w:rPr>
          <w:rFonts w:ascii="Arial" w:hAnsi="Arial" w:cs="Arial"/>
          <w:b/>
          <w:szCs w:val="24"/>
          <w14:ligatures w14:val="none"/>
        </w:rPr>
      </w:pPr>
      <w:r>
        <w:rPr>
          <w:rFonts w:ascii="Arial" w:hAnsi="Arial" w:cs="Arial"/>
          <w:b/>
          <w:szCs w:val="24"/>
          <w14:ligatures w14:val="none"/>
        </w:rPr>
        <w:t xml:space="preserve">REGISTRAR OF DEEDS </w:t>
      </w:r>
      <w:r w:rsidR="00A92A36">
        <w:rPr>
          <w:rFonts w:ascii="Arial" w:hAnsi="Arial" w:cs="Arial"/>
          <w:b/>
          <w:szCs w:val="24"/>
          <w14:ligatures w14:val="none"/>
        </w:rPr>
        <w:t xml:space="preserve">KINGWILLIAM’S TOWN </w:t>
      </w:r>
      <w:r>
        <w:rPr>
          <w:rFonts w:ascii="Arial" w:hAnsi="Arial" w:cs="Arial"/>
          <w:b/>
          <w:szCs w:val="24"/>
          <w14:ligatures w14:val="none"/>
        </w:rPr>
        <w:t xml:space="preserve">                         </w:t>
      </w:r>
      <w:r w:rsidRPr="00F97223">
        <w:rPr>
          <w:rFonts w:ascii="Arial" w:hAnsi="Arial" w:cs="Arial"/>
          <w:bCs/>
          <w:szCs w:val="24"/>
          <w14:ligatures w14:val="none"/>
        </w:rPr>
        <w:t>S</w:t>
      </w:r>
      <w:r>
        <w:rPr>
          <w:rFonts w:ascii="Arial" w:hAnsi="Arial" w:cs="Arial"/>
          <w:bCs/>
          <w:szCs w:val="24"/>
          <w14:ligatures w14:val="none"/>
        </w:rPr>
        <w:t>ixth</w:t>
      </w:r>
      <w:r w:rsidRPr="00F97223">
        <w:rPr>
          <w:rFonts w:ascii="Arial" w:hAnsi="Arial" w:cs="Arial"/>
          <w:bCs/>
          <w:szCs w:val="24"/>
          <w14:ligatures w14:val="none"/>
        </w:rPr>
        <w:t xml:space="preserve"> Respondent</w:t>
      </w:r>
    </w:p>
    <w:p w14:paraId="5904C9E7" w14:textId="77777777" w:rsidR="00823031" w:rsidRPr="005E0A83" w:rsidRDefault="00823031" w:rsidP="00F97223">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27C279D6" w14:textId="77777777" w:rsidR="00823031" w:rsidRPr="005E0A83" w:rsidRDefault="00823031" w:rsidP="00823031">
      <w:pPr>
        <w:pStyle w:val="GW13"/>
        <w:tabs>
          <w:tab w:val="clear" w:pos="8640"/>
        </w:tabs>
        <w:spacing w:line="240" w:lineRule="auto"/>
        <w:ind w:right="-45"/>
        <w:jc w:val="center"/>
        <w:rPr>
          <w:rFonts w:ascii="Arial" w:hAnsi="Arial" w:cs="Arial"/>
          <w:b/>
          <w:szCs w:val="24"/>
        </w:rPr>
      </w:pPr>
    </w:p>
    <w:p w14:paraId="6AC8D531" w14:textId="77777777" w:rsidR="00823031" w:rsidRPr="005E0A83" w:rsidRDefault="00823031" w:rsidP="00823031">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35A79976" w14:textId="77777777" w:rsidR="00823031" w:rsidRPr="005E0A83" w:rsidRDefault="00823031" w:rsidP="00823031">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79B703A1" w14:textId="77777777" w:rsidR="00823031" w:rsidRPr="005E0A83" w:rsidRDefault="00823031" w:rsidP="00823031">
      <w:pPr>
        <w:pStyle w:val="GW13"/>
        <w:tabs>
          <w:tab w:val="clear" w:pos="8640"/>
          <w:tab w:val="right" w:pos="9072"/>
        </w:tabs>
        <w:spacing w:line="480" w:lineRule="auto"/>
        <w:ind w:right="-46"/>
        <w:rPr>
          <w:rFonts w:ascii="Arial" w:hAnsi="Arial" w:cs="Arial"/>
          <w:b/>
          <w:szCs w:val="24"/>
        </w:rPr>
      </w:pPr>
    </w:p>
    <w:p w14:paraId="7D13276E" w14:textId="77777777" w:rsidR="00823031" w:rsidRDefault="00823031" w:rsidP="00823031">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J:</w:t>
      </w:r>
    </w:p>
    <w:p w14:paraId="62DC8F2F" w14:textId="77777777" w:rsidR="00823031" w:rsidRPr="00E33814" w:rsidRDefault="00823031" w:rsidP="00823031">
      <w:pPr>
        <w:spacing w:after="0" w:line="480" w:lineRule="auto"/>
        <w:jc w:val="both"/>
        <w:rPr>
          <w:rFonts w:ascii="Arial" w:hAnsi="Arial" w:cs="Arial"/>
          <w:sz w:val="24"/>
          <w:szCs w:val="24"/>
        </w:rPr>
      </w:pPr>
    </w:p>
    <w:p w14:paraId="0C9C964F" w14:textId="7CBDFCB4" w:rsidR="009E073A"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lastRenderedPageBreak/>
        <w:t>[1]</w:t>
      </w:r>
      <w:r>
        <w:rPr>
          <w:rFonts w:ascii="Arial" w:eastAsia="Times New Roman" w:hAnsi="Arial" w:cs="Arial"/>
          <w:kern w:val="0"/>
          <w:sz w:val="24"/>
          <w:szCs w:val="24"/>
        </w:rPr>
        <w:tab/>
      </w:r>
      <w:r w:rsidR="00772807" w:rsidRPr="00A835EA">
        <w:rPr>
          <w:rFonts w:ascii="Arial" w:hAnsi="Arial" w:cs="Arial"/>
          <w:sz w:val="24"/>
          <w:szCs w:val="24"/>
        </w:rPr>
        <w:t xml:space="preserve">At the centre of this dispute is a fraudulent </w:t>
      </w:r>
      <w:r w:rsidR="00CD3D5E" w:rsidRPr="00A835EA">
        <w:rPr>
          <w:rFonts w:ascii="Arial" w:hAnsi="Arial" w:cs="Arial"/>
          <w:sz w:val="24"/>
          <w:szCs w:val="24"/>
        </w:rPr>
        <w:t xml:space="preserve">reverse-mortgage </w:t>
      </w:r>
      <w:r w:rsidR="00772807" w:rsidRPr="00A835EA">
        <w:rPr>
          <w:rFonts w:ascii="Arial" w:hAnsi="Arial" w:cs="Arial"/>
          <w:sz w:val="24"/>
          <w:szCs w:val="24"/>
        </w:rPr>
        <w:t>scheme devised and implemented by the now deregistered company, Asset Management Specialists (Pty) Ltd (“</w:t>
      </w:r>
      <w:r w:rsidR="00772807" w:rsidRPr="00A835EA">
        <w:rPr>
          <w:rFonts w:ascii="Arial" w:hAnsi="Arial" w:cs="Arial"/>
          <w:i/>
          <w:iCs/>
          <w:sz w:val="24"/>
          <w:szCs w:val="24"/>
        </w:rPr>
        <w:t>AMS</w:t>
      </w:r>
      <w:r w:rsidR="00772807" w:rsidRPr="00A835EA">
        <w:rPr>
          <w:rFonts w:ascii="Arial" w:hAnsi="Arial" w:cs="Arial"/>
          <w:sz w:val="24"/>
          <w:szCs w:val="24"/>
        </w:rPr>
        <w:t>”)</w:t>
      </w:r>
      <w:r w:rsidR="0009661C" w:rsidRPr="00A835EA">
        <w:rPr>
          <w:rFonts w:ascii="Arial" w:hAnsi="Arial" w:cs="Arial"/>
          <w:sz w:val="24"/>
          <w:szCs w:val="24"/>
        </w:rPr>
        <w:t xml:space="preserve">, to which approximately </w:t>
      </w:r>
      <w:r w:rsidR="00772807" w:rsidRPr="00A835EA">
        <w:rPr>
          <w:rFonts w:ascii="Arial" w:hAnsi="Arial" w:cs="Arial"/>
          <w:sz w:val="24"/>
          <w:szCs w:val="24"/>
        </w:rPr>
        <w:t xml:space="preserve">150 </w:t>
      </w:r>
      <w:r w:rsidR="0009661C" w:rsidRPr="00A835EA">
        <w:rPr>
          <w:rFonts w:ascii="Arial" w:hAnsi="Arial" w:cs="Arial"/>
          <w:sz w:val="24"/>
          <w:szCs w:val="24"/>
        </w:rPr>
        <w:t xml:space="preserve">financially distressed </w:t>
      </w:r>
      <w:r w:rsidR="00772807" w:rsidRPr="00A835EA">
        <w:rPr>
          <w:rFonts w:ascii="Arial" w:hAnsi="Arial" w:cs="Arial"/>
          <w:sz w:val="24"/>
          <w:szCs w:val="24"/>
        </w:rPr>
        <w:t xml:space="preserve">individuals </w:t>
      </w:r>
      <w:r w:rsidR="0009661C" w:rsidRPr="00A835EA">
        <w:rPr>
          <w:rFonts w:ascii="Arial" w:hAnsi="Arial" w:cs="Arial"/>
          <w:sz w:val="24"/>
          <w:szCs w:val="24"/>
        </w:rPr>
        <w:t>fell victim</w:t>
      </w:r>
      <w:r w:rsidR="006602AF" w:rsidRPr="00A835EA">
        <w:rPr>
          <w:rFonts w:ascii="Arial" w:hAnsi="Arial" w:cs="Arial"/>
          <w:sz w:val="24"/>
          <w:szCs w:val="24"/>
        </w:rPr>
        <w:t>,</w:t>
      </w:r>
      <w:r w:rsidR="00CD3D5E" w:rsidRPr="00A835EA">
        <w:rPr>
          <w:rFonts w:ascii="Arial" w:hAnsi="Arial" w:cs="Arial"/>
          <w:sz w:val="24"/>
          <w:szCs w:val="24"/>
        </w:rPr>
        <w:t xml:space="preserve"> resulting in the loss of their homes</w:t>
      </w:r>
      <w:r w:rsidR="0009661C" w:rsidRPr="00A835EA">
        <w:rPr>
          <w:rFonts w:ascii="Arial" w:hAnsi="Arial" w:cs="Arial"/>
          <w:sz w:val="24"/>
          <w:szCs w:val="24"/>
        </w:rPr>
        <w:t xml:space="preserve">; the very thing that they sought to </w:t>
      </w:r>
      <w:r w:rsidR="00054E05" w:rsidRPr="00A835EA">
        <w:rPr>
          <w:rFonts w:ascii="Arial" w:hAnsi="Arial" w:cs="Arial"/>
          <w:sz w:val="24"/>
          <w:szCs w:val="24"/>
        </w:rPr>
        <w:t>protect against</w:t>
      </w:r>
      <w:r w:rsidR="0009661C" w:rsidRPr="00A835EA">
        <w:rPr>
          <w:rFonts w:ascii="Arial" w:hAnsi="Arial" w:cs="Arial"/>
          <w:sz w:val="24"/>
          <w:szCs w:val="24"/>
        </w:rPr>
        <w:t xml:space="preserve"> when approaching AMS for </w:t>
      </w:r>
      <w:r w:rsidR="009E073A" w:rsidRPr="00A835EA">
        <w:rPr>
          <w:rFonts w:ascii="Arial" w:hAnsi="Arial" w:cs="Arial"/>
          <w:sz w:val="24"/>
          <w:szCs w:val="24"/>
        </w:rPr>
        <w:t xml:space="preserve">financial </w:t>
      </w:r>
      <w:r w:rsidR="0009661C" w:rsidRPr="00A835EA">
        <w:rPr>
          <w:rFonts w:ascii="Arial" w:hAnsi="Arial" w:cs="Arial"/>
          <w:sz w:val="24"/>
          <w:szCs w:val="24"/>
        </w:rPr>
        <w:t>assistance.</w:t>
      </w:r>
      <w:r w:rsidR="00B40BCD" w:rsidRPr="00A835EA">
        <w:rPr>
          <w:rFonts w:ascii="Arial" w:hAnsi="Arial" w:cs="Arial"/>
          <w:sz w:val="24"/>
          <w:szCs w:val="24"/>
        </w:rPr>
        <w:t xml:space="preserve">  </w:t>
      </w:r>
      <w:r w:rsidR="00054E05" w:rsidRPr="00A835EA">
        <w:rPr>
          <w:rFonts w:ascii="Arial" w:hAnsi="Arial" w:cs="Arial"/>
          <w:sz w:val="24"/>
          <w:szCs w:val="24"/>
        </w:rPr>
        <w:t>Unsurprisingly, t</w:t>
      </w:r>
      <w:r w:rsidR="00B40BCD" w:rsidRPr="00A835EA">
        <w:rPr>
          <w:rFonts w:ascii="Arial" w:hAnsi="Arial" w:cs="Arial"/>
          <w:sz w:val="24"/>
          <w:szCs w:val="24"/>
        </w:rPr>
        <w:t xml:space="preserve">his is not the first time that the AMS scheme has come under fire, having previously received judicial attention in numerous matters, most notably by the then Eastern Cape Division of the High Court, </w:t>
      </w:r>
      <w:proofErr w:type="spellStart"/>
      <w:r w:rsidR="00B40BCD" w:rsidRPr="00A835EA">
        <w:rPr>
          <w:rFonts w:ascii="Arial" w:hAnsi="Arial" w:cs="Arial"/>
          <w:sz w:val="24"/>
          <w:szCs w:val="24"/>
        </w:rPr>
        <w:t>Grahamstown</w:t>
      </w:r>
      <w:proofErr w:type="spellEnd"/>
      <w:r w:rsidR="00B40BCD" w:rsidRPr="00A835EA">
        <w:rPr>
          <w:rFonts w:ascii="Arial" w:hAnsi="Arial" w:cs="Arial"/>
          <w:sz w:val="24"/>
          <w:szCs w:val="24"/>
        </w:rPr>
        <w:t>,</w:t>
      </w:r>
      <w:r w:rsidR="00B40BCD">
        <w:rPr>
          <w:rStyle w:val="FootnoteReference"/>
          <w:rFonts w:ascii="Arial" w:hAnsi="Arial" w:cs="Arial"/>
          <w:sz w:val="24"/>
          <w:szCs w:val="24"/>
        </w:rPr>
        <w:footnoteReference w:id="1"/>
      </w:r>
      <w:r w:rsidR="00B40BCD" w:rsidRPr="00A835EA">
        <w:rPr>
          <w:rFonts w:ascii="Arial" w:hAnsi="Arial" w:cs="Arial"/>
          <w:sz w:val="24"/>
          <w:szCs w:val="24"/>
        </w:rPr>
        <w:t xml:space="preserve"> in </w:t>
      </w:r>
      <w:proofErr w:type="spellStart"/>
      <w:r w:rsidR="00B40BCD" w:rsidRPr="00A835EA">
        <w:rPr>
          <w:rFonts w:ascii="Arial" w:hAnsi="Arial" w:cs="Arial"/>
          <w:i/>
          <w:iCs/>
          <w:sz w:val="24"/>
          <w:szCs w:val="24"/>
        </w:rPr>
        <w:t>Tshatshu</w:t>
      </w:r>
      <w:proofErr w:type="spellEnd"/>
      <w:r w:rsidR="00B40BCD" w:rsidRPr="00A835EA">
        <w:rPr>
          <w:rFonts w:ascii="Arial" w:hAnsi="Arial" w:cs="Arial"/>
          <w:i/>
          <w:iCs/>
          <w:sz w:val="24"/>
          <w:szCs w:val="24"/>
        </w:rPr>
        <w:t xml:space="preserve"> and Another v Standard Bank of SA Limited and Others</w:t>
      </w:r>
      <w:r w:rsidR="00054E05" w:rsidRPr="00A835EA">
        <w:rPr>
          <w:rFonts w:ascii="Arial" w:hAnsi="Arial" w:cs="Arial"/>
          <w:sz w:val="24"/>
          <w:szCs w:val="24"/>
        </w:rPr>
        <w:t>, to which I return.</w:t>
      </w:r>
      <w:r w:rsidR="00B40BCD" w:rsidRPr="00CD3D5E">
        <w:rPr>
          <w:rStyle w:val="FootnoteReference"/>
          <w:rFonts w:ascii="Arial" w:hAnsi="Arial" w:cs="Arial"/>
          <w:sz w:val="24"/>
          <w:szCs w:val="24"/>
        </w:rPr>
        <w:footnoteReference w:id="2"/>
      </w:r>
      <w:r w:rsidR="00B40BCD" w:rsidRPr="00A835EA">
        <w:rPr>
          <w:rFonts w:ascii="Arial" w:hAnsi="Arial" w:cs="Arial"/>
          <w:sz w:val="24"/>
          <w:szCs w:val="24"/>
        </w:rPr>
        <w:t xml:space="preserve"> </w:t>
      </w:r>
      <w:r w:rsidR="009E073A" w:rsidRPr="00A835EA">
        <w:rPr>
          <w:rFonts w:ascii="Arial" w:hAnsi="Arial" w:cs="Arial"/>
          <w:sz w:val="24"/>
          <w:szCs w:val="24"/>
        </w:rPr>
        <w:t xml:space="preserve">  </w:t>
      </w:r>
    </w:p>
    <w:p w14:paraId="05AD5B0E" w14:textId="77777777" w:rsidR="009E073A" w:rsidRDefault="009E073A" w:rsidP="009E073A">
      <w:pPr>
        <w:pStyle w:val="ListParagraph"/>
        <w:spacing w:after="0" w:line="480" w:lineRule="auto"/>
        <w:ind w:left="0"/>
        <w:jc w:val="both"/>
        <w:rPr>
          <w:rFonts w:ascii="Arial" w:hAnsi="Arial" w:cs="Arial"/>
          <w:sz w:val="24"/>
          <w:szCs w:val="24"/>
        </w:rPr>
      </w:pPr>
    </w:p>
    <w:p w14:paraId="017D8D4C" w14:textId="46EC9D36" w:rsidR="001C2448"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[2]</w:t>
      </w:r>
      <w:r>
        <w:rPr>
          <w:rFonts w:ascii="Arial" w:eastAsia="Times New Roman" w:hAnsi="Arial" w:cs="Arial"/>
          <w:kern w:val="0"/>
          <w:sz w:val="24"/>
          <w:szCs w:val="24"/>
        </w:rPr>
        <w:tab/>
      </w:r>
      <w:r w:rsidR="009E073A" w:rsidRPr="00A835EA">
        <w:rPr>
          <w:rFonts w:ascii="Arial" w:hAnsi="Arial" w:cs="Arial"/>
          <w:sz w:val="24"/>
          <w:szCs w:val="24"/>
        </w:rPr>
        <w:t>The applicants</w:t>
      </w:r>
      <w:r w:rsidR="006602AF" w:rsidRPr="00A835EA">
        <w:rPr>
          <w:rFonts w:ascii="Arial" w:hAnsi="Arial" w:cs="Arial"/>
          <w:sz w:val="24"/>
          <w:szCs w:val="24"/>
        </w:rPr>
        <w:t>,</w:t>
      </w:r>
      <w:r w:rsidR="009E073A" w:rsidRPr="00A835EA">
        <w:rPr>
          <w:rFonts w:ascii="Arial" w:hAnsi="Arial" w:cs="Arial"/>
          <w:sz w:val="24"/>
          <w:szCs w:val="24"/>
        </w:rPr>
        <w:t xml:space="preserve"> </w:t>
      </w:r>
      <w:r w:rsidR="004832C1" w:rsidRPr="00A835EA">
        <w:rPr>
          <w:rFonts w:ascii="Arial" w:hAnsi="Arial" w:cs="Arial"/>
          <w:sz w:val="24"/>
          <w:szCs w:val="24"/>
        </w:rPr>
        <w:t xml:space="preserve">who contend </w:t>
      </w:r>
      <w:r w:rsidR="00054E05" w:rsidRPr="00A835EA">
        <w:rPr>
          <w:rFonts w:ascii="Arial" w:hAnsi="Arial" w:cs="Arial"/>
          <w:sz w:val="24"/>
          <w:szCs w:val="24"/>
        </w:rPr>
        <w:t>to have been deceived by AMS</w:t>
      </w:r>
      <w:r w:rsidR="006602AF" w:rsidRPr="00A835EA">
        <w:rPr>
          <w:rFonts w:ascii="Arial" w:hAnsi="Arial" w:cs="Arial"/>
          <w:sz w:val="24"/>
          <w:szCs w:val="24"/>
        </w:rPr>
        <w:t>, seek vindicatory relief,</w:t>
      </w:r>
      <w:r w:rsidR="007E4DF1">
        <w:rPr>
          <w:rStyle w:val="FootnoteReference"/>
          <w:rFonts w:ascii="Arial" w:hAnsi="Arial" w:cs="Arial"/>
          <w:sz w:val="24"/>
          <w:szCs w:val="24"/>
        </w:rPr>
        <w:footnoteReference w:id="3"/>
      </w:r>
      <w:r w:rsidR="006602AF" w:rsidRPr="00A835EA">
        <w:rPr>
          <w:rFonts w:ascii="Arial" w:hAnsi="Arial" w:cs="Arial"/>
          <w:sz w:val="24"/>
          <w:szCs w:val="24"/>
        </w:rPr>
        <w:t xml:space="preserve"> which is evidenced by their request for restitution in respect of erf </w:t>
      </w:r>
      <w:r w:rsidR="00866C40">
        <w:rPr>
          <w:rFonts w:ascii="Arial" w:hAnsi="Arial" w:cs="Arial"/>
          <w:sz w:val="24"/>
          <w:szCs w:val="24"/>
        </w:rPr>
        <w:t>[…]</w:t>
      </w:r>
      <w:r w:rsidR="006602AF" w:rsidRPr="00A835EA">
        <w:rPr>
          <w:rFonts w:ascii="Arial" w:hAnsi="Arial" w:cs="Arial"/>
          <w:sz w:val="24"/>
          <w:szCs w:val="24"/>
        </w:rPr>
        <w:t>, W</w:t>
      </w:r>
      <w:r w:rsidR="00866C40">
        <w:rPr>
          <w:rFonts w:ascii="Arial" w:hAnsi="Arial" w:cs="Arial"/>
          <w:sz w:val="24"/>
          <w:szCs w:val="24"/>
        </w:rPr>
        <w:t>[…]</w:t>
      </w:r>
      <w:r w:rsidR="006602AF" w:rsidRPr="00A835EA">
        <w:rPr>
          <w:rFonts w:ascii="Arial" w:hAnsi="Arial" w:cs="Arial"/>
          <w:sz w:val="24"/>
          <w:szCs w:val="24"/>
        </w:rPr>
        <w:t xml:space="preserve">, </w:t>
      </w:r>
      <w:proofErr w:type="spellStart"/>
      <w:r w:rsidR="006602AF" w:rsidRPr="00A835EA">
        <w:rPr>
          <w:rFonts w:ascii="Arial" w:hAnsi="Arial" w:cs="Arial"/>
          <w:sz w:val="24"/>
          <w:szCs w:val="24"/>
        </w:rPr>
        <w:lastRenderedPageBreak/>
        <w:t>Gqeberha</w:t>
      </w:r>
      <w:proofErr w:type="spellEnd"/>
      <w:r w:rsidR="006602AF" w:rsidRPr="00A835EA">
        <w:rPr>
          <w:rFonts w:ascii="Arial" w:hAnsi="Arial" w:cs="Arial"/>
          <w:sz w:val="24"/>
          <w:szCs w:val="24"/>
        </w:rPr>
        <w:t xml:space="preserve">, more commonly referred to as </w:t>
      </w:r>
      <w:r w:rsidR="00866C40">
        <w:rPr>
          <w:rFonts w:ascii="Arial" w:hAnsi="Arial" w:cs="Arial"/>
          <w:sz w:val="24"/>
          <w:szCs w:val="24"/>
        </w:rPr>
        <w:t>L[…] Close, W[…]</w:t>
      </w:r>
      <w:bookmarkStart w:id="0" w:name="_GoBack"/>
      <w:bookmarkEnd w:id="0"/>
      <w:r w:rsidR="006602AF" w:rsidRPr="00A835EA">
        <w:rPr>
          <w:rFonts w:ascii="Arial" w:hAnsi="Arial" w:cs="Arial"/>
          <w:sz w:val="24"/>
          <w:szCs w:val="24"/>
        </w:rPr>
        <w:t xml:space="preserve">, </w:t>
      </w:r>
      <w:proofErr w:type="spellStart"/>
      <w:r w:rsidR="006602AF" w:rsidRPr="00A835EA">
        <w:rPr>
          <w:rFonts w:ascii="Arial" w:hAnsi="Arial" w:cs="Arial"/>
          <w:sz w:val="24"/>
          <w:szCs w:val="24"/>
        </w:rPr>
        <w:t>Gqeberha</w:t>
      </w:r>
      <w:proofErr w:type="spellEnd"/>
      <w:r w:rsidR="006602AF" w:rsidRPr="00A835EA">
        <w:rPr>
          <w:rFonts w:ascii="Arial" w:hAnsi="Arial" w:cs="Arial"/>
          <w:sz w:val="24"/>
          <w:szCs w:val="24"/>
        </w:rPr>
        <w:t xml:space="preserve"> (“</w:t>
      </w:r>
      <w:r w:rsidR="006602AF" w:rsidRPr="00A835EA">
        <w:rPr>
          <w:rFonts w:ascii="Arial" w:hAnsi="Arial" w:cs="Arial"/>
          <w:i/>
          <w:iCs/>
          <w:sz w:val="24"/>
          <w:szCs w:val="24"/>
        </w:rPr>
        <w:t xml:space="preserve">the </w:t>
      </w:r>
      <w:r w:rsidR="00F50FE8" w:rsidRPr="00A835EA">
        <w:rPr>
          <w:rFonts w:ascii="Arial" w:hAnsi="Arial" w:cs="Arial"/>
          <w:i/>
          <w:iCs/>
          <w:sz w:val="24"/>
          <w:szCs w:val="24"/>
        </w:rPr>
        <w:t xml:space="preserve">immovable </w:t>
      </w:r>
      <w:r w:rsidR="006602AF" w:rsidRPr="00A835EA">
        <w:rPr>
          <w:rFonts w:ascii="Arial" w:hAnsi="Arial" w:cs="Arial"/>
          <w:i/>
          <w:iCs/>
          <w:sz w:val="24"/>
          <w:szCs w:val="24"/>
        </w:rPr>
        <w:t>property</w:t>
      </w:r>
      <w:r w:rsidR="006602AF" w:rsidRPr="00A835EA">
        <w:rPr>
          <w:rFonts w:ascii="Arial" w:hAnsi="Arial" w:cs="Arial"/>
          <w:sz w:val="24"/>
          <w:szCs w:val="24"/>
        </w:rPr>
        <w:t>”)</w:t>
      </w:r>
      <w:r w:rsidR="009E073A" w:rsidRPr="00A835EA">
        <w:rPr>
          <w:rFonts w:ascii="Arial" w:hAnsi="Arial" w:cs="Arial"/>
          <w:sz w:val="24"/>
          <w:szCs w:val="24"/>
        </w:rPr>
        <w:t>.</w:t>
      </w:r>
      <w:r w:rsidR="006602AF" w:rsidRPr="00A835EA">
        <w:rPr>
          <w:rFonts w:ascii="Arial" w:hAnsi="Arial" w:cs="Arial"/>
          <w:sz w:val="24"/>
          <w:szCs w:val="24"/>
        </w:rPr>
        <w:t xml:space="preserve">  </w:t>
      </w:r>
    </w:p>
    <w:p w14:paraId="48A247B1" w14:textId="77777777" w:rsidR="001C2448" w:rsidRPr="001C2448" w:rsidRDefault="001C2448" w:rsidP="001C2448">
      <w:pPr>
        <w:pStyle w:val="ListParagraph"/>
        <w:spacing w:after="0" w:line="480" w:lineRule="auto"/>
        <w:rPr>
          <w:rFonts w:ascii="Arial" w:hAnsi="Arial" w:cs="Arial"/>
          <w:sz w:val="24"/>
          <w:szCs w:val="24"/>
        </w:rPr>
      </w:pPr>
    </w:p>
    <w:p w14:paraId="2501C610" w14:textId="47A85F8F" w:rsidR="0006046D" w:rsidRPr="00A835EA" w:rsidRDefault="00A835EA" w:rsidP="00A835EA">
      <w:pPr>
        <w:spacing w:after="0" w:line="480" w:lineRule="auto"/>
        <w:jc w:val="both"/>
        <w:rPr>
          <w:rFonts w:ascii="Arial" w:hAnsi="Arial" w:cs="Arial"/>
          <w:sz w:val="24"/>
          <w:szCs w:val="24"/>
        </w:rPr>
      </w:pPr>
      <w:r w:rsidRPr="001C2448">
        <w:rPr>
          <w:rFonts w:ascii="Arial" w:eastAsia="Times New Roman" w:hAnsi="Arial" w:cs="Arial"/>
          <w:kern w:val="0"/>
          <w:sz w:val="24"/>
          <w:szCs w:val="24"/>
        </w:rPr>
        <w:t>[3]</w:t>
      </w:r>
      <w:r w:rsidRPr="001C2448">
        <w:rPr>
          <w:rFonts w:ascii="Arial" w:eastAsia="Times New Roman" w:hAnsi="Arial" w:cs="Arial"/>
          <w:kern w:val="0"/>
          <w:sz w:val="24"/>
          <w:szCs w:val="24"/>
        </w:rPr>
        <w:tab/>
      </w:r>
      <w:r w:rsidR="006602AF" w:rsidRPr="00A835EA">
        <w:rPr>
          <w:rFonts w:ascii="Arial" w:hAnsi="Arial" w:cs="Arial"/>
          <w:sz w:val="24"/>
          <w:szCs w:val="24"/>
        </w:rPr>
        <w:t>The application is opposed by the</w:t>
      </w:r>
      <w:r w:rsidR="00FE6D6F" w:rsidRPr="00A835EA">
        <w:rPr>
          <w:rFonts w:ascii="Arial" w:hAnsi="Arial" w:cs="Arial"/>
          <w:sz w:val="24"/>
          <w:szCs w:val="24"/>
        </w:rPr>
        <w:t xml:space="preserve"> </w:t>
      </w:r>
      <w:r w:rsidR="006602AF" w:rsidRPr="00A835EA">
        <w:rPr>
          <w:rFonts w:ascii="Arial" w:hAnsi="Arial" w:cs="Arial"/>
          <w:sz w:val="24"/>
          <w:szCs w:val="24"/>
        </w:rPr>
        <w:t>fourth and fifth respondents (“</w:t>
      </w:r>
      <w:r w:rsidR="006602AF" w:rsidRPr="00A835EA">
        <w:rPr>
          <w:rFonts w:ascii="Arial" w:hAnsi="Arial" w:cs="Arial"/>
          <w:i/>
          <w:iCs/>
          <w:sz w:val="24"/>
          <w:szCs w:val="24"/>
        </w:rPr>
        <w:t>the respondents</w:t>
      </w:r>
      <w:r w:rsidR="006602AF" w:rsidRPr="00A835EA">
        <w:rPr>
          <w:rFonts w:ascii="Arial" w:hAnsi="Arial" w:cs="Arial"/>
          <w:sz w:val="24"/>
          <w:szCs w:val="24"/>
        </w:rPr>
        <w:t>”)</w:t>
      </w:r>
      <w:r w:rsidR="00583684" w:rsidRPr="00A835EA">
        <w:rPr>
          <w:rFonts w:ascii="Arial" w:hAnsi="Arial" w:cs="Arial"/>
          <w:sz w:val="24"/>
          <w:szCs w:val="24"/>
        </w:rPr>
        <w:t xml:space="preserve"> who are the current registered owners of the property</w:t>
      </w:r>
      <w:r w:rsidR="006602AF" w:rsidRPr="00A835EA">
        <w:rPr>
          <w:rFonts w:ascii="Arial" w:hAnsi="Arial" w:cs="Arial"/>
          <w:sz w:val="24"/>
          <w:szCs w:val="24"/>
        </w:rPr>
        <w:t>.</w:t>
      </w:r>
      <w:r w:rsidR="00F50FE8" w:rsidRPr="00A835EA">
        <w:rPr>
          <w:rFonts w:ascii="Arial" w:hAnsi="Arial" w:cs="Arial"/>
          <w:sz w:val="24"/>
          <w:szCs w:val="24"/>
        </w:rPr>
        <w:t xml:space="preserve">  Primarily, the respondents argue that the applicants, at all material times, had the requisite intention to dispose of the immovable property</w:t>
      </w:r>
      <w:r w:rsidR="000E2069" w:rsidRPr="00A835EA">
        <w:rPr>
          <w:rFonts w:ascii="Arial" w:hAnsi="Arial" w:cs="Arial"/>
          <w:sz w:val="24"/>
          <w:szCs w:val="24"/>
        </w:rPr>
        <w:t xml:space="preserve"> and accordingly </w:t>
      </w:r>
      <w:r w:rsidR="00F50FE8" w:rsidRPr="00A835EA">
        <w:rPr>
          <w:rFonts w:ascii="Arial" w:hAnsi="Arial" w:cs="Arial"/>
          <w:sz w:val="24"/>
          <w:szCs w:val="24"/>
        </w:rPr>
        <w:t>they were not defrauded</w:t>
      </w:r>
      <w:r w:rsidR="000E2069" w:rsidRPr="00A835EA">
        <w:rPr>
          <w:rFonts w:ascii="Arial" w:hAnsi="Arial" w:cs="Arial"/>
          <w:sz w:val="24"/>
          <w:szCs w:val="24"/>
        </w:rPr>
        <w:t>.  Alternatively, they contend that in the event of a finding that the applicants were the victims of fraud</w:t>
      </w:r>
      <w:r w:rsidR="00E94529" w:rsidRPr="00A835EA">
        <w:rPr>
          <w:rFonts w:ascii="Arial" w:hAnsi="Arial" w:cs="Arial"/>
          <w:sz w:val="24"/>
          <w:szCs w:val="24"/>
        </w:rPr>
        <w:t>;</w:t>
      </w:r>
      <w:r w:rsidR="000E2069" w:rsidRPr="00A835EA">
        <w:rPr>
          <w:rFonts w:ascii="Arial" w:hAnsi="Arial" w:cs="Arial"/>
          <w:sz w:val="24"/>
          <w:szCs w:val="24"/>
        </w:rPr>
        <w:t xml:space="preserve"> their claim for return of the immovable property has prescribed.</w:t>
      </w:r>
      <w:r w:rsidR="00F50FE8" w:rsidRPr="00A835EA">
        <w:rPr>
          <w:rFonts w:ascii="Arial" w:hAnsi="Arial" w:cs="Arial"/>
          <w:sz w:val="24"/>
          <w:szCs w:val="24"/>
        </w:rPr>
        <w:t xml:space="preserve"> </w:t>
      </w:r>
      <w:r w:rsidR="006602AF" w:rsidRPr="00A835EA">
        <w:rPr>
          <w:rFonts w:ascii="Arial" w:hAnsi="Arial" w:cs="Arial"/>
          <w:sz w:val="24"/>
          <w:szCs w:val="24"/>
        </w:rPr>
        <w:t xml:space="preserve"> Whilst the respondents initially adopted the </w:t>
      </w:r>
      <w:r w:rsidR="00B40BCD" w:rsidRPr="00A835EA">
        <w:rPr>
          <w:rFonts w:ascii="Arial" w:hAnsi="Arial" w:cs="Arial"/>
          <w:sz w:val="24"/>
          <w:szCs w:val="24"/>
        </w:rPr>
        <w:t>attitude</w:t>
      </w:r>
      <w:r w:rsidR="006602AF" w:rsidRPr="00A835EA">
        <w:rPr>
          <w:rFonts w:ascii="Arial" w:hAnsi="Arial" w:cs="Arial"/>
          <w:sz w:val="24"/>
          <w:szCs w:val="24"/>
        </w:rPr>
        <w:t xml:space="preserve"> that </w:t>
      </w:r>
      <w:r w:rsidR="00FE6D6F" w:rsidRPr="00A835EA">
        <w:rPr>
          <w:rFonts w:ascii="Arial" w:hAnsi="Arial" w:cs="Arial"/>
          <w:sz w:val="24"/>
          <w:szCs w:val="24"/>
        </w:rPr>
        <w:t>the application was not vindicatory in nature,</w:t>
      </w:r>
      <w:r w:rsidR="00B93E61">
        <w:rPr>
          <w:rStyle w:val="FootnoteReference"/>
          <w:rFonts w:ascii="Arial" w:hAnsi="Arial" w:cs="Arial"/>
          <w:sz w:val="24"/>
          <w:szCs w:val="24"/>
        </w:rPr>
        <w:footnoteReference w:id="4"/>
      </w:r>
      <w:r w:rsidR="00FE6D6F" w:rsidRPr="00A835EA">
        <w:rPr>
          <w:rFonts w:ascii="Arial" w:hAnsi="Arial" w:cs="Arial"/>
          <w:sz w:val="24"/>
          <w:szCs w:val="24"/>
        </w:rPr>
        <w:t xml:space="preserve"> this </w:t>
      </w:r>
      <w:r w:rsidR="00054D1C" w:rsidRPr="00A835EA">
        <w:rPr>
          <w:rFonts w:ascii="Arial" w:hAnsi="Arial" w:cs="Arial"/>
          <w:sz w:val="24"/>
          <w:szCs w:val="24"/>
        </w:rPr>
        <w:t>contention</w:t>
      </w:r>
      <w:r w:rsidR="00F21E4A" w:rsidRPr="00A835EA">
        <w:rPr>
          <w:rFonts w:ascii="Arial" w:hAnsi="Arial" w:cs="Arial"/>
          <w:sz w:val="24"/>
          <w:szCs w:val="24"/>
        </w:rPr>
        <w:t xml:space="preserve"> was,</w:t>
      </w:r>
      <w:r w:rsidR="00FE6D6F" w:rsidRPr="00A835EA">
        <w:rPr>
          <w:rFonts w:ascii="Arial" w:hAnsi="Arial" w:cs="Arial"/>
          <w:sz w:val="24"/>
          <w:szCs w:val="24"/>
        </w:rPr>
        <w:t xml:space="preserve"> correctly so, not persisted with </w:t>
      </w:r>
      <w:r w:rsidR="00A311C5" w:rsidRPr="00A835EA">
        <w:rPr>
          <w:rFonts w:ascii="Arial" w:hAnsi="Arial" w:cs="Arial"/>
          <w:sz w:val="24"/>
          <w:szCs w:val="24"/>
        </w:rPr>
        <w:t xml:space="preserve">when the matter </w:t>
      </w:r>
      <w:r w:rsidR="00B93E61" w:rsidRPr="00A835EA">
        <w:rPr>
          <w:rFonts w:ascii="Arial" w:hAnsi="Arial" w:cs="Arial"/>
          <w:sz w:val="24"/>
          <w:szCs w:val="24"/>
        </w:rPr>
        <w:t>came before me for argument.</w:t>
      </w:r>
      <w:r w:rsidR="001C2448" w:rsidRPr="00A835EA">
        <w:rPr>
          <w:rFonts w:ascii="Arial" w:hAnsi="Arial" w:cs="Arial"/>
          <w:sz w:val="24"/>
          <w:szCs w:val="24"/>
        </w:rPr>
        <w:t xml:space="preserve">  </w:t>
      </w:r>
      <w:r w:rsidR="0006046D" w:rsidRPr="00A835EA">
        <w:rPr>
          <w:rFonts w:ascii="Arial" w:hAnsi="Arial" w:cs="Arial"/>
          <w:sz w:val="24"/>
          <w:szCs w:val="24"/>
        </w:rPr>
        <w:t>It was accepted by both counsel appearing</w:t>
      </w:r>
      <w:r w:rsidR="00A311C5" w:rsidRPr="00A835EA">
        <w:rPr>
          <w:rFonts w:ascii="Arial" w:hAnsi="Arial" w:cs="Arial"/>
          <w:sz w:val="24"/>
          <w:szCs w:val="24"/>
        </w:rPr>
        <w:t xml:space="preserve"> </w:t>
      </w:r>
      <w:r w:rsidR="00FD5AD2" w:rsidRPr="00A835EA">
        <w:rPr>
          <w:rFonts w:ascii="Arial" w:hAnsi="Arial" w:cs="Arial"/>
          <w:sz w:val="24"/>
          <w:szCs w:val="24"/>
        </w:rPr>
        <w:t>in the matter</w:t>
      </w:r>
      <w:r w:rsidR="0006046D" w:rsidRPr="00A835EA">
        <w:rPr>
          <w:rFonts w:ascii="Arial" w:hAnsi="Arial" w:cs="Arial"/>
          <w:sz w:val="24"/>
          <w:szCs w:val="24"/>
        </w:rPr>
        <w:t xml:space="preserve"> that t</w:t>
      </w:r>
      <w:r w:rsidR="006B1817" w:rsidRPr="00A835EA">
        <w:rPr>
          <w:rFonts w:ascii="Arial" w:hAnsi="Arial" w:cs="Arial"/>
          <w:sz w:val="24"/>
          <w:szCs w:val="24"/>
        </w:rPr>
        <w:t xml:space="preserve">he factual findings relating to the </w:t>
      </w:r>
      <w:r w:rsidR="00991619" w:rsidRPr="00A835EA">
        <w:rPr>
          <w:rFonts w:ascii="Arial" w:hAnsi="Arial" w:cs="Arial"/>
          <w:sz w:val="24"/>
          <w:szCs w:val="24"/>
        </w:rPr>
        <w:t>mechanism</w:t>
      </w:r>
      <w:r w:rsidR="006B1817" w:rsidRPr="00A835EA">
        <w:rPr>
          <w:rFonts w:ascii="Arial" w:hAnsi="Arial" w:cs="Arial"/>
          <w:sz w:val="24"/>
          <w:szCs w:val="24"/>
        </w:rPr>
        <w:t xml:space="preserve"> and nature of the scheme, </w:t>
      </w:r>
      <w:r w:rsidR="0006046D" w:rsidRPr="00A835EA">
        <w:rPr>
          <w:rFonts w:ascii="Arial" w:hAnsi="Arial" w:cs="Arial"/>
          <w:sz w:val="24"/>
          <w:szCs w:val="24"/>
        </w:rPr>
        <w:t xml:space="preserve">as per the judgment of </w:t>
      </w:r>
      <w:proofErr w:type="spellStart"/>
      <w:r w:rsidR="0006046D" w:rsidRPr="00A835EA">
        <w:rPr>
          <w:rFonts w:ascii="Arial" w:hAnsi="Arial" w:cs="Arial"/>
          <w:sz w:val="24"/>
          <w:szCs w:val="24"/>
        </w:rPr>
        <w:t>Revelas</w:t>
      </w:r>
      <w:proofErr w:type="spellEnd"/>
      <w:r w:rsidR="0006046D" w:rsidRPr="00A835EA">
        <w:rPr>
          <w:rFonts w:ascii="Arial" w:hAnsi="Arial" w:cs="Arial"/>
          <w:sz w:val="24"/>
          <w:szCs w:val="24"/>
        </w:rPr>
        <w:t xml:space="preserve"> J in </w:t>
      </w:r>
      <w:proofErr w:type="spellStart"/>
      <w:r w:rsidR="0006046D" w:rsidRPr="00A835EA">
        <w:rPr>
          <w:rFonts w:ascii="Arial" w:hAnsi="Arial" w:cs="Arial"/>
          <w:i/>
          <w:iCs/>
          <w:sz w:val="24"/>
          <w:szCs w:val="24"/>
        </w:rPr>
        <w:t>Tshatshu</w:t>
      </w:r>
      <w:proofErr w:type="spellEnd"/>
      <w:r w:rsidR="0006046D" w:rsidRPr="00A835EA">
        <w:rPr>
          <w:rFonts w:ascii="Arial" w:hAnsi="Arial" w:cs="Arial"/>
          <w:sz w:val="24"/>
          <w:szCs w:val="24"/>
        </w:rPr>
        <w:t>, in the absence of an appeal of that decision and any evidence to the contrary, stand.</w:t>
      </w:r>
    </w:p>
    <w:p w14:paraId="5018130D" w14:textId="77777777" w:rsidR="0006046D" w:rsidRDefault="0006046D" w:rsidP="00991619">
      <w:pPr>
        <w:spacing w:after="0" w:line="480" w:lineRule="auto"/>
        <w:rPr>
          <w:rFonts w:ascii="Arial" w:hAnsi="Arial" w:cs="Arial"/>
          <w:sz w:val="24"/>
          <w:szCs w:val="24"/>
        </w:rPr>
      </w:pPr>
    </w:p>
    <w:p w14:paraId="46883ED6" w14:textId="7BBAF5FE" w:rsidR="00991619" w:rsidRPr="00991619" w:rsidRDefault="00991619" w:rsidP="00991619">
      <w:pPr>
        <w:spacing w:after="0" w:line="480" w:lineRule="auto"/>
        <w:rPr>
          <w:rFonts w:ascii="Arial" w:hAnsi="Arial" w:cs="Arial"/>
          <w:b/>
          <w:bCs/>
          <w:i/>
          <w:iCs/>
          <w:sz w:val="24"/>
          <w:szCs w:val="24"/>
        </w:rPr>
      </w:pPr>
      <w:r w:rsidRPr="00991619">
        <w:rPr>
          <w:rFonts w:ascii="Arial" w:hAnsi="Arial" w:cs="Arial"/>
          <w:b/>
          <w:bCs/>
          <w:i/>
          <w:iCs/>
          <w:sz w:val="24"/>
          <w:szCs w:val="24"/>
        </w:rPr>
        <w:t>The AMS scheme</w:t>
      </w:r>
    </w:p>
    <w:p w14:paraId="0866CAB1" w14:textId="77777777" w:rsidR="00991619" w:rsidRPr="00991619" w:rsidRDefault="00991619" w:rsidP="00991619">
      <w:pPr>
        <w:spacing w:after="0" w:line="480" w:lineRule="auto"/>
        <w:rPr>
          <w:rFonts w:ascii="Arial" w:hAnsi="Arial" w:cs="Arial"/>
          <w:sz w:val="24"/>
          <w:szCs w:val="24"/>
        </w:rPr>
      </w:pPr>
    </w:p>
    <w:p w14:paraId="13220DDB" w14:textId="0A602B81" w:rsidR="00F1045F"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[4]</w:t>
      </w:r>
      <w:r>
        <w:rPr>
          <w:rFonts w:ascii="Arial" w:eastAsia="Times New Roman" w:hAnsi="Arial" w:cs="Arial"/>
          <w:kern w:val="0"/>
          <w:sz w:val="24"/>
          <w:szCs w:val="24"/>
        </w:rPr>
        <w:tab/>
      </w:r>
      <w:r w:rsidR="00B77128" w:rsidRPr="00A835EA">
        <w:rPr>
          <w:rFonts w:ascii="Arial" w:hAnsi="Arial" w:cs="Arial"/>
          <w:sz w:val="24"/>
          <w:szCs w:val="24"/>
        </w:rPr>
        <w:t>In short, AMS</w:t>
      </w:r>
      <w:r w:rsidR="003F79CE" w:rsidRPr="00A835EA">
        <w:rPr>
          <w:rFonts w:ascii="Arial" w:hAnsi="Arial" w:cs="Arial"/>
          <w:sz w:val="24"/>
          <w:szCs w:val="24"/>
        </w:rPr>
        <w:t xml:space="preserve"> approached the general public</w:t>
      </w:r>
      <w:r w:rsidR="00D941A5" w:rsidRPr="00A835EA">
        <w:rPr>
          <w:rFonts w:ascii="Arial" w:hAnsi="Arial" w:cs="Arial"/>
          <w:sz w:val="24"/>
          <w:szCs w:val="24"/>
        </w:rPr>
        <w:t xml:space="preserve"> </w:t>
      </w:r>
      <w:r w:rsidR="003F79CE" w:rsidRPr="00A835EA">
        <w:rPr>
          <w:rFonts w:ascii="Arial" w:hAnsi="Arial" w:cs="Arial"/>
          <w:sz w:val="24"/>
          <w:szCs w:val="24"/>
        </w:rPr>
        <w:t>by way of advertising,</w:t>
      </w:r>
      <w:r w:rsidR="00B77128" w:rsidRPr="00A835EA">
        <w:rPr>
          <w:rFonts w:ascii="Arial" w:hAnsi="Arial" w:cs="Arial"/>
          <w:sz w:val="24"/>
          <w:szCs w:val="24"/>
        </w:rPr>
        <w:t xml:space="preserve"> offer</w:t>
      </w:r>
      <w:r w:rsidR="003F79CE" w:rsidRPr="00A835EA">
        <w:rPr>
          <w:rFonts w:ascii="Arial" w:hAnsi="Arial" w:cs="Arial"/>
          <w:sz w:val="24"/>
          <w:szCs w:val="24"/>
        </w:rPr>
        <w:t>ing</w:t>
      </w:r>
      <w:r w:rsidR="00B77128" w:rsidRPr="00A835EA">
        <w:rPr>
          <w:rFonts w:ascii="Arial" w:hAnsi="Arial" w:cs="Arial"/>
          <w:sz w:val="24"/>
          <w:szCs w:val="24"/>
        </w:rPr>
        <w:t xml:space="preserve"> distressed property owner</w:t>
      </w:r>
      <w:r w:rsidR="00EB339E" w:rsidRPr="00A835EA">
        <w:rPr>
          <w:rFonts w:ascii="Arial" w:hAnsi="Arial" w:cs="Arial"/>
          <w:sz w:val="24"/>
          <w:szCs w:val="24"/>
        </w:rPr>
        <w:t xml:space="preserve">s what they believed to be </w:t>
      </w:r>
      <w:r w:rsidR="00B77128" w:rsidRPr="00A835EA">
        <w:rPr>
          <w:rFonts w:ascii="Arial" w:hAnsi="Arial" w:cs="Arial"/>
          <w:sz w:val="24"/>
          <w:szCs w:val="24"/>
        </w:rPr>
        <w:t xml:space="preserve">a solution </w:t>
      </w:r>
      <w:r w:rsidR="00EB339E" w:rsidRPr="00A835EA">
        <w:rPr>
          <w:rFonts w:ascii="Arial" w:hAnsi="Arial" w:cs="Arial"/>
          <w:sz w:val="24"/>
          <w:szCs w:val="24"/>
        </w:rPr>
        <w:t>to their cash flow problems.</w:t>
      </w:r>
      <w:r w:rsidR="003F79CE" w:rsidRPr="00A835EA">
        <w:rPr>
          <w:rFonts w:ascii="Arial" w:hAnsi="Arial" w:cs="Arial"/>
          <w:sz w:val="24"/>
          <w:szCs w:val="24"/>
        </w:rPr>
        <w:t xml:space="preserve">  This solution took the form of what AMS referred to as their “product”</w:t>
      </w:r>
      <w:r w:rsidR="00771F70" w:rsidRPr="00A835EA">
        <w:rPr>
          <w:rFonts w:ascii="Arial" w:hAnsi="Arial" w:cs="Arial"/>
          <w:sz w:val="24"/>
          <w:szCs w:val="24"/>
        </w:rPr>
        <w:t xml:space="preserve">, which </w:t>
      </w:r>
      <w:r w:rsidR="008F0393" w:rsidRPr="00A835EA">
        <w:rPr>
          <w:rFonts w:ascii="Arial" w:hAnsi="Arial" w:cs="Arial"/>
          <w:sz w:val="24"/>
          <w:szCs w:val="24"/>
        </w:rPr>
        <w:t>provided</w:t>
      </w:r>
      <w:r w:rsidR="00F331E0" w:rsidRPr="00A835EA">
        <w:rPr>
          <w:rFonts w:ascii="Arial" w:hAnsi="Arial" w:cs="Arial"/>
          <w:sz w:val="24"/>
          <w:szCs w:val="24"/>
        </w:rPr>
        <w:t xml:space="preserve"> would</w:t>
      </w:r>
      <w:r w:rsidR="00D34F07" w:rsidRPr="00A835EA">
        <w:rPr>
          <w:rFonts w:ascii="Arial" w:hAnsi="Arial" w:cs="Arial"/>
          <w:sz w:val="24"/>
          <w:szCs w:val="24"/>
        </w:rPr>
        <w:t>-</w:t>
      </w:r>
      <w:r w:rsidR="00F331E0" w:rsidRPr="00A835EA">
        <w:rPr>
          <w:rFonts w:ascii="Arial" w:hAnsi="Arial" w:cs="Arial"/>
          <w:sz w:val="24"/>
          <w:szCs w:val="24"/>
        </w:rPr>
        <w:t>be clients</w:t>
      </w:r>
      <w:r w:rsidR="00880BCB" w:rsidRPr="00A835EA">
        <w:rPr>
          <w:rFonts w:ascii="Arial" w:hAnsi="Arial" w:cs="Arial"/>
          <w:sz w:val="24"/>
          <w:szCs w:val="24"/>
        </w:rPr>
        <w:t xml:space="preserve"> (“</w:t>
      </w:r>
      <w:r w:rsidR="00880BCB" w:rsidRPr="00A835EA">
        <w:rPr>
          <w:rFonts w:ascii="Arial" w:hAnsi="Arial" w:cs="Arial"/>
          <w:i/>
          <w:iCs/>
          <w:sz w:val="24"/>
          <w:szCs w:val="24"/>
        </w:rPr>
        <w:t>the client</w:t>
      </w:r>
      <w:r w:rsidR="00880BCB" w:rsidRPr="00A835EA">
        <w:rPr>
          <w:rFonts w:ascii="Arial" w:hAnsi="Arial" w:cs="Arial"/>
          <w:sz w:val="24"/>
          <w:szCs w:val="24"/>
        </w:rPr>
        <w:t>”)</w:t>
      </w:r>
      <w:r w:rsidR="00D941A5" w:rsidRPr="00A835EA">
        <w:rPr>
          <w:rFonts w:ascii="Arial" w:hAnsi="Arial" w:cs="Arial"/>
          <w:sz w:val="24"/>
          <w:szCs w:val="24"/>
        </w:rPr>
        <w:t xml:space="preserve"> </w:t>
      </w:r>
      <w:r w:rsidR="003F79CE" w:rsidRPr="00A835EA">
        <w:rPr>
          <w:rFonts w:ascii="Arial" w:hAnsi="Arial" w:cs="Arial"/>
          <w:sz w:val="24"/>
          <w:szCs w:val="24"/>
        </w:rPr>
        <w:t xml:space="preserve">seeking to raise </w:t>
      </w:r>
      <w:r w:rsidR="005D7B0E" w:rsidRPr="00A835EA">
        <w:rPr>
          <w:rFonts w:ascii="Arial" w:hAnsi="Arial" w:cs="Arial"/>
          <w:sz w:val="24"/>
          <w:szCs w:val="24"/>
        </w:rPr>
        <w:t>finance</w:t>
      </w:r>
      <w:r w:rsidR="00D941A5" w:rsidRPr="00A835EA">
        <w:rPr>
          <w:rFonts w:ascii="Arial" w:hAnsi="Arial" w:cs="Arial"/>
          <w:sz w:val="24"/>
          <w:szCs w:val="24"/>
        </w:rPr>
        <w:t xml:space="preserve">, but unable to do so </w:t>
      </w:r>
      <w:r w:rsidR="005D7B0E" w:rsidRPr="00A835EA">
        <w:rPr>
          <w:rFonts w:ascii="Arial" w:hAnsi="Arial" w:cs="Arial"/>
          <w:sz w:val="24"/>
          <w:szCs w:val="24"/>
        </w:rPr>
        <w:lastRenderedPageBreak/>
        <w:t xml:space="preserve">due to </w:t>
      </w:r>
      <w:r w:rsidR="00D941A5" w:rsidRPr="00A835EA">
        <w:rPr>
          <w:rFonts w:ascii="Arial" w:hAnsi="Arial" w:cs="Arial"/>
          <w:sz w:val="24"/>
          <w:szCs w:val="24"/>
        </w:rPr>
        <w:t>having been blacklisted</w:t>
      </w:r>
      <w:r w:rsidR="006E319C" w:rsidRPr="00A835EA">
        <w:rPr>
          <w:rFonts w:ascii="Arial" w:hAnsi="Arial" w:cs="Arial"/>
          <w:sz w:val="24"/>
          <w:szCs w:val="24"/>
        </w:rPr>
        <w:t xml:space="preserve"> with</w:t>
      </w:r>
      <w:r w:rsidR="00D941A5" w:rsidRPr="00A835EA">
        <w:rPr>
          <w:rFonts w:ascii="Arial" w:hAnsi="Arial" w:cs="Arial"/>
          <w:sz w:val="24"/>
          <w:szCs w:val="24"/>
        </w:rPr>
        <w:t xml:space="preserve"> the credit bureau</w:t>
      </w:r>
      <w:r w:rsidR="005D7B0E" w:rsidRPr="00A835EA">
        <w:rPr>
          <w:rFonts w:ascii="Arial" w:hAnsi="Arial" w:cs="Arial"/>
          <w:sz w:val="24"/>
          <w:szCs w:val="24"/>
        </w:rPr>
        <w:t>, a</w:t>
      </w:r>
      <w:r w:rsidR="00771F70" w:rsidRPr="00A835EA">
        <w:rPr>
          <w:rFonts w:ascii="Arial" w:hAnsi="Arial" w:cs="Arial"/>
          <w:sz w:val="24"/>
          <w:szCs w:val="24"/>
        </w:rPr>
        <w:t>n</w:t>
      </w:r>
      <w:r w:rsidR="005D7B0E" w:rsidRPr="00A835EA">
        <w:rPr>
          <w:rFonts w:ascii="Arial" w:hAnsi="Arial" w:cs="Arial"/>
          <w:sz w:val="24"/>
          <w:szCs w:val="24"/>
        </w:rPr>
        <w:t xml:space="preserve"> </w:t>
      </w:r>
      <w:r w:rsidR="00771F70" w:rsidRPr="00A835EA">
        <w:rPr>
          <w:rFonts w:ascii="Arial" w:hAnsi="Arial" w:cs="Arial"/>
          <w:sz w:val="24"/>
          <w:szCs w:val="24"/>
        </w:rPr>
        <w:t>answer</w:t>
      </w:r>
      <w:r w:rsidR="005D7B0E" w:rsidRPr="00A835EA">
        <w:rPr>
          <w:rFonts w:ascii="Arial" w:hAnsi="Arial" w:cs="Arial"/>
          <w:sz w:val="24"/>
          <w:szCs w:val="24"/>
        </w:rPr>
        <w:t xml:space="preserve"> to their quandary by</w:t>
      </w:r>
      <w:r w:rsidR="00A9430F" w:rsidRPr="00A835EA">
        <w:rPr>
          <w:rFonts w:ascii="Arial" w:hAnsi="Arial" w:cs="Arial"/>
          <w:sz w:val="24"/>
          <w:szCs w:val="24"/>
        </w:rPr>
        <w:t xml:space="preserve"> obtaining a loan</w:t>
      </w:r>
      <w:r w:rsidR="00D34F07" w:rsidRPr="00A835EA">
        <w:rPr>
          <w:rFonts w:ascii="Arial" w:hAnsi="Arial" w:cs="Arial"/>
          <w:sz w:val="24"/>
          <w:szCs w:val="24"/>
        </w:rPr>
        <w:t xml:space="preserve"> on their behalf</w:t>
      </w:r>
      <w:r w:rsidR="00A9430F" w:rsidRPr="00A835EA">
        <w:rPr>
          <w:rFonts w:ascii="Arial" w:hAnsi="Arial" w:cs="Arial"/>
          <w:sz w:val="24"/>
          <w:szCs w:val="24"/>
        </w:rPr>
        <w:t xml:space="preserve"> at a preferential interest rate,</w:t>
      </w:r>
      <w:r w:rsidR="005D7B0E" w:rsidRPr="00A835EA">
        <w:rPr>
          <w:rFonts w:ascii="Arial" w:hAnsi="Arial" w:cs="Arial"/>
          <w:sz w:val="24"/>
          <w:szCs w:val="24"/>
        </w:rPr>
        <w:t xml:space="preserve"> </w:t>
      </w:r>
      <w:r w:rsidR="00771F70" w:rsidRPr="00A835EA">
        <w:rPr>
          <w:rFonts w:ascii="Arial" w:hAnsi="Arial" w:cs="Arial"/>
          <w:sz w:val="24"/>
          <w:szCs w:val="24"/>
        </w:rPr>
        <w:t>through an AMS shelf company</w:t>
      </w:r>
      <w:r w:rsidR="00A9430F" w:rsidRPr="00A835EA">
        <w:rPr>
          <w:rFonts w:ascii="Arial" w:hAnsi="Arial" w:cs="Arial"/>
          <w:sz w:val="24"/>
          <w:szCs w:val="24"/>
        </w:rPr>
        <w:t>.  A mortgage bond would be registered over the immovable property</w:t>
      </w:r>
      <w:r w:rsidR="008F0393" w:rsidRPr="00A835EA">
        <w:rPr>
          <w:rFonts w:ascii="Arial" w:hAnsi="Arial" w:cs="Arial"/>
          <w:sz w:val="24"/>
          <w:szCs w:val="24"/>
        </w:rPr>
        <w:t xml:space="preserve"> to serve </w:t>
      </w:r>
      <w:r w:rsidR="00A9430F" w:rsidRPr="00A835EA">
        <w:rPr>
          <w:rFonts w:ascii="Arial" w:hAnsi="Arial" w:cs="Arial"/>
          <w:sz w:val="24"/>
          <w:szCs w:val="24"/>
        </w:rPr>
        <w:t>as security for the loan</w:t>
      </w:r>
      <w:r w:rsidR="005D7B0E" w:rsidRPr="00A835EA">
        <w:rPr>
          <w:rFonts w:ascii="Arial" w:hAnsi="Arial" w:cs="Arial"/>
          <w:sz w:val="24"/>
          <w:szCs w:val="24"/>
        </w:rPr>
        <w:t xml:space="preserve">.  </w:t>
      </w:r>
      <w:r w:rsidR="00573E34" w:rsidRPr="00A835EA">
        <w:rPr>
          <w:rFonts w:ascii="Arial" w:hAnsi="Arial" w:cs="Arial"/>
          <w:sz w:val="24"/>
          <w:szCs w:val="24"/>
        </w:rPr>
        <w:t>T</w:t>
      </w:r>
      <w:r w:rsidR="005D7B0E" w:rsidRPr="00A835EA">
        <w:rPr>
          <w:rFonts w:ascii="Arial" w:hAnsi="Arial" w:cs="Arial"/>
          <w:sz w:val="24"/>
          <w:szCs w:val="24"/>
        </w:rPr>
        <w:t>o</w:t>
      </w:r>
      <w:r w:rsidR="00734D45" w:rsidRPr="00A835EA">
        <w:rPr>
          <w:rFonts w:ascii="Arial" w:hAnsi="Arial" w:cs="Arial"/>
          <w:sz w:val="24"/>
          <w:szCs w:val="24"/>
        </w:rPr>
        <w:t xml:space="preserve"> participate in the scheme and</w:t>
      </w:r>
      <w:r w:rsidR="005D7B0E" w:rsidRPr="00A835EA">
        <w:rPr>
          <w:rFonts w:ascii="Arial" w:hAnsi="Arial" w:cs="Arial"/>
          <w:sz w:val="24"/>
          <w:szCs w:val="24"/>
        </w:rPr>
        <w:t xml:space="preserve"> qualify for</w:t>
      </w:r>
      <w:r w:rsidR="002C296B" w:rsidRPr="00A835EA">
        <w:rPr>
          <w:rFonts w:ascii="Arial" w:hAnsi="Arial" w:cs="Arial"/>
          <w:sz w:val="24"/>
          <w:szCs w:val="24"/>
        </w:rPr>
        <w:t xml:space="preserve"> the</w:t>
      </w:r>
      <w:r w:rsidR="005D7B0E" w:rsidRPr="00A835EA">
        <w:rPr>
          <w:rFonts w:ascii="Arial" w:hAnsi="Arial" w:cs="Arial"/>
          <w:sz w:val="24"/>
          <w:szCs w:val="24"/>
        </w:rPr>
        <w:t xml:space="preserve"> AMS’ </w:t>
      </w:r>
      <w:r w:rsidR="00880BCB" w:rsidRPr="00A835EA">
        <w:rPr>
          <w:rFonts w:ascii="Arial" w:hAnsi="Arial" w:cs="Arial"/>
          <w:sz w:val="24"/>
          <w:szCs w:val="24"/>
        </w:rPr>
        <w:t>product</w:t>
      </w:r>
      <w:r w:rsidR="005D7B0E" w:rsidRPr="00A835EA">
        <w:rPr>
          <w:rFonts w:ascii="Arial" w:hAnsi="Arial" w:cs="Arial"/>
          <w:sz w:val="24"/>
          <w:szCs w:val="24"/>
        </w:rPr>
        <w:t xml:space="preserve">, </w:t>
      </w:r>
      <w:r w:rsidR="00771F70" w:rsidRPr="00A835EA">
        <w:rPr>
          <w:rFonts w:ascii="Arial" w:hAnsi="Arial" w:cs="Arial"/>
          <w:sz w:val="24"/>
          <w:szCs w:val="24"/>
        </w:rPr>
        <w:t xml:space="preserve">the </w:t>
      </w:r>
      <w:r w:rsidR="00880BCB" w:rsidRPr="00A835EA">
        <w:rPr>
          <w:rFonts w:ascii="Arial" w:hAnsi="Arial" w:cs="Arial"/>
          <w:sz w:val="24"/>
          <w:szCs w:val="24"/>
        </w:rPr>
        <w:t>client</w:t>
      </w:r>
      <w:r w:rsidR="006C298E" w:rsidRPr="00A835EA">
        <w:rPr>
          <w:rFonts w:ascii="Arial" w:hAnsi="Arial" w:cs="Arial"/>
          <w:sz w:val="24"/>
          <w:szCs w:val="24"/>
        </w:rPr>
        <w:t xml:space="preserve"> </w:t>
      </w:r>
      <w:r w:rsidR="00771F70" w:rsidRPr="00A835EA">
        <w:rPr>
          <w:rFonts w:ascii="Arial" w:hAnsi="Arial" w:cs="Arial"/>
          <w:sz w:val="24"/>
          <w:szCs w:val="24"/>
        </w:rPr>
        <w:t>had to be the owner of immovable property with sufficient equity.</w:t>
      </w:r>
      <w:r w:rsidR="00852033" w:rsidRPr="00A835EA">
        <w:rPr>
          <w:rFonts w:ascii="Arial" w:hAnsi="Arial" w:cs="Arial"/>
          <w:sz w:val="24"/>
          <w:szCs w:val="24"/>
        </w:rPr>
        <w:t xml:space="preserve">  </w:t>
      </w:r>
      <w:r w:rsidR="00F1045F" w:rsidRPr="00A835EA">
        <w:rPr>
          <w:rFonts w:ascii="Arial" w:hAnsi="Arial" w:cs="Arial"/>
          <w:sz w:val="24"/>
          <w:szCs w:val="24"/>
        </w:rPr>
        <w:t xml:space="preserve">  </w:t>
      </w:r>
    </w:p>
    <w:p w14:paraId="2E393F61" w14:textId="519AF3B6" w:rsidR="00F1045F" w:rsidRDefault="00F1045F" w:rsidP="00F1045F">
      <w:pPr>
        <w:pStyle w:val="ListParagraph"/>
        <w:spacing w:after="0" w:line="480" w:lineRule="auto"/>
        <w:ind w:left="0"/>
        <w:jc w:val="both"/>
        <w:rPr>
          <w:rFonts w:ascii="Arial" w:hAnsi="Arial" w:cs="Arial"/>
          <w:sz w:val="24"/>
          <w:szCs w:val="24"/>
        </w:rPr>
      </w:pPr>
    </w:p>
    <w:p w14:paraId="1517CA93" w14:textId="6C46F580" w:rsidR="00E20243"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[5]</w:t>
      </w:r>
      <w:r>
        <w:rPr>
          <w:rFonts w:ascii="Arial" w:eastAsia="Times New Roman" w:hAnsi="Arial" w:cs="Arial"/>
          <w:kern w:val="0"/>
          <w:sz w:val="24"/>
          <w:szCs w:val="24"/>
        </w:rPr>
        <w:tab/>
      </w:r>
      <w:r w:rsidR="00852033" w:rsidRPr="00A835EA">
        <w:rPr>
          <w:rFonts w:ascii="Arial" w:hAnsi="Arial" w:cs="Arial"/>
          <w:sz w:val="24"/>
          <w:szCs w:val="24"/>
        </w:rPr>
        <w:t>The mechanism through which th</w:t>
      </w:r>
      <w:r w:rsidR="00DA7461" w:rsidRPr="00A835EA">
        <w:rPr>
          <w:rFonts w:ascii="Arial" w:hAnsi="Arial" w:cs="Arial"/>
          <w:sz w:val="24"/>
          <w:szCs w:val="24"/>
        </w:rPr>
        <w:t>e scheme operated</w:t>
      </w:r>
      <w:r w:rsidR="00852033" w:rsidRPr="00A835EA">
        <w:rPr>
          <w:rFonts w:ascii="Arial" w:hAnsi="Arial" w:cs="Arial"/>
          <w:sz w:val="24"/>
          <w:szCs w:val="24"/>
        </w:rPr>
        <w:t xml:space="preserve"> is </w:t>
      </w:r>
      <w:r w:rsidR="00653A76" w:rsidRPr="00A835EA">
        <w:rPr>
          <w:rFonts w:ascii="Arial" w:hAnsi="Arial" w:cs="Arial"/>
          <w:sz w:val="24"/>
          <w:szCs w:val="24"/>
        </w:rPr>
        <w:t>described</w:t>
      </w:r>
      <w:r w:rsidR="00852033" w:rsidRPr="00A835EA">
        <w:rPr>
          <w:rFonts w:ascii="Arial" w:hAnsi="Arial" w:cs="Arial"/>
          <w:sz w:val="24"/>
          <w:szCs w:val="24"/>
        </w:rPr>
        <w:t xml:space="preserve"> in detail in </w:t>
      </w:r>
      <w:proofErr w:type="spellStart"/>
      <w:r w:rsidR="00852033" w:rsidRPr="00A835EA">
        <w:rPr>
          <w:rFonts w:ascii="Arial" w:hAnsi="Arial" w:cs="Arial"/>
          <w:i/>
          <w:iCs/>
          <w:sz w:val="24"/>
          <w:szCs w:val="24"/>
        </w:rPr>
        <w:t>Tshatshu</w:t>
      </w:r>
      <w:proofErr w:type="spellEnd"/>
      <w:r w:rsidR="00852033" w:rsidRPr="00A835EA">
        <w:rPr>
          <w:rFonts w:ascii="Arial" w:hAnsi="Arial" w:cs="Arial"/>
          <w:i/>
          <w:iCs/>
          <w:sz w:val="24"/>
          <w:szCs w:val="24"/>
        </w:rPr>
        <w:t>.</w:t>
      </w:r>
      <w:r w:rsidR="00852033" w:rsidRPr="00A835EA">
        <w:rPr>
          <w:rFonts w:ascii="Arial" w:hAnsi="Arial" w:cs="Arial"/>
          <w:sz w:val="24"/>
          <w:szCs w:val="24"/>
        </w:rPr>
        <w:t xml:space="preserve">  For the purposes of this judgment, is suffices to set out as follows.  The client’s immovable property would be sold and transferred to a</w:t>
      </w:r>
      <w:r w:rsidR="00E20243" w:rsidRPr="00A835EA">
        <w:rPr>
          <w:rFonts w:ascii="Arial" w:hAnsi="Arial" w:cs="Arial"/>
          <w:sz w:val="24"/>
          <w:szCs w:val="24"/>
        </w:rPr>
        <w:t>n AMS</w:t>
      </w:r>
      <w:r w:rsidR="00852033" w:rsidRPr="00A835EA">
        <w:rPr>
          <w:rFonts w:ascii="Arial" w:hAnsi="Arial" w:cs="Arial"/>
          <w:sz w:val="24"/>
          <w:szCs w:val="24"/>
        </w:rPr>
        <w:t xml:space="preserve"> shelf company</w:t>
      </w:r>
      <w:r w:rsidR="00F06ECA" w:rsidRPr="00A835EA">
        <w:rPr>
          <w:rFonts w:ascii="Arial" w:hAnsi="Arial" w:cs="Arial"/>
          <w:sz w:val="24"/>
          <w:szCs w:val="24"/>
        </w:rPr>
        <w:t xml:space="preserve"> (in this instance, the second respondent)</w:t>
      </w:r>
      <w:r w:rsidR="00E20243" w:rsidRPr="00A835EA">
        <w:rPr>
          <w:rFonts w:ascii="Arial" w:hAnsi="Arial" w:cs="Arial"/>
          <w:sz w:val="24"/>
          <w:szCs w:val="24"/>
        </w:rPr>
        <w:t>,</w:t>
      </w:r>
      <w:r w:rsidR="00852033" w:rsidRPr="00A835EA">
        <w:rPr>
          <w:rFonts w:ascii="Arial" w:hAnsi="Arial" w:cs="Arial"/>
          <w:sz w:val="24"/>
          <w:szCs w:val="24"/>
        </w:rPr>
        <w:t xml:space="preserve"> specifically incorporated for th</w:t>
      </w:r>
      <w:r w:rsidR="007748CA" w:rsidRPr="00A835EA">
        <w:rPr>
          <w:rFonts w:ascii="Arial" w:hAnsi="Arial" w:cs="Arial"/>
          <w:sz w:val="24"/>
          <w:szCs w:val="24"/>
        </w:rPr>
        <w:t>is purpose.</w:t>
      </w:r>
      <w:r w:rsidR="004D445A" w:rsidRPr="00A835EA">
        <w:rPr>
          <w:rFonts w:ascii="Arial" w:hAnsi="Arial" w:cs="Arial"/>
          <w:sz w:val="24"/>
          <w:szCs w:val="24"/>
        </w:rPr>
        <w:t xml:space="preserve"> </w:t>
      </w:r>
      <w:r w:rsidR="007D3B46" w:rsidRPr="00A835EA">
        <w:rPr>
          <w:rFonts w:ascii="Arial" w:hAnsi="Arial" w:cs="Arial"/>
          <w:sz w:val="24"/>
          <w:szCs w:val="24"/>
        </w:rPr>
        <w:t xml:space="preserve"> </w:t>
      </w:r>
      <w:r w:rsidR="004D445A" w:rsidRPr="00A835EA">
        <w:rPr>
          <w:rFonts w:ascii="Arial" w:hAnsi="Arial" w:cs="Arial"/>
          <w:sz w:val="24"/>
          <w:szCs w:val="24"/>
        </w:rPr>
        <w:t xml:space="preserve"> The client was at all times led to believe that the immovable property would</w:t>
      </w:r>
      <w:r w:rsidR="00E20243" w:rsidRPr="00A835EA">
        <w:rPr>
          <w:rFonts w:ascii="Arial" w:hAnsi="Arial" w:cs="Arial"/>
          <w:sz w:val="24"/>
          <w:szCs w:val="24"/>
        </w:rPr>
        <w:t xml:space="preserve"> simply</w:t>
      </w:r>
      <w:r w:rsidR="004D445A" w:rsidRPr="00A835EA">
        <w:rPr>
          <w:rFonts w:ascii="Arial" w:hAnsi="Arial" w:cs="Arial"/>
          <w:sz w:val="24"/>
          <w:szCs w:val="24"/>
        </w:rPr>
        <w:t xml:space="preserve"> be transferred to the shelf company, in which it would “</w:t>
      </w:r>
      <w:r w:rsidR="004D445A" w:rsidRPr="00A835EA">
        <w:rPr>
          <w:rFonts w:ascii="Arial" w:hAnsi="Arial" w:cs="Arial"/>
          <w:i/>
          <w:iCs/>
          <w:sz w:val="24"/>
          <w:szCs w:val="24"/>
        </w:rPr>
        <w:t>rest</w:t>
      </w:r>
      <w:r w:rsidR="004D445A" w:rsidRPr="00A835EA">
        <w:rPr>
          <w:rFonts w:ascii="Arial" w:hAnsi="Arial" w:cs="Arial"/>
          <w:sz w:val="24"/>
          <w:szCs w:val="24"/>
        </w:rPr>
        <w:t>” (in other words, in which it would be held) on behalf of the client.</w:t>
      </w:r>
      <w:r w:rsidR="00E20243" w:rsidRPr="00A835EA">
        <w:rPr>
          <w:rFonts w:ascii="Arial" w:hAnsi="Arial" w:cs="Arial"/>
          <w:sz w:val="24"/>
          <w:szCs w:val="24"/>
        </w:rPr>
        <w:t xml:space="preserve">  </w:t>
      </w:r>
    </w:p>
    <w:p w14:paraId="4CC32E69" w14:textId="77777777" w:rsidR="00E20243" w:rsidRPr="000F1D53" w:rsidRDefault="00E20243" w:rsidP="000F1D53">
      <w:pPr>
        <w:spacing w:after="0" w:line="480" w:lineRule="auto"/>
        <w:rPr>
          <w:rFonts w:ascii="Arial" w:hAnsi="Arial" w:cs="Arial"/>
          <w:sz w:val="24"/>
          <w:szCs w:val="24"/>
        </w:rPr>
      </w:pPr>
    </w:p>
    <w:p w14:paraId="41E28BC6" w14:textId="41DA5776" w:rsidR="001D076B"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[6]</w:t>
      </w:r>
      <w:r>
        <w:rPr>
          <w:rFonts w:ascii="Arial" w:eastAsia="Times New Roman" w:hAnsi="Arial" w:cs="Arial"/>
          <w:kern w:val="0"/>
          <w:sz w:val="24"/>
          <w:szCs w:val="24"/>
        </w:rPr>
        <w:tab/>
      </w:r>
      <w:r w:rsidR="007E75C5" w:rsidRPr="00A835EA">
        <w:rPr>
          <w:rFonts w:ascii="Arial" w:hAnsi="Arial" w:cs="Arial"/>
          <w:sz w:val="24"/>
          <w:szCs w:val="24"/>
        </w:rPr>
        <w:t>AMS raised the finance by utilising c</w:t>
      </w:r>
      <w:r w:rsidR="00E20243" w:rsidRPr="00A835EA">
        <w:rPr>
          <w:rFonts w:ascii="Arial" w:hAnsi="Arial" w:cs="Arial"/>
          <w:sz w:val="24"/>
          <w:szCs w:val="24"/>
        </w:rPr>
        <w:t>reditworthy individuals,</w:t>
      </w:r>
      <w:r w:rsidR="00A215EB" w:rsidRPr="00A835EA">
        <w:rPr>
          <w:rFonts w:ascii="Arial" w:hAnsi="Arial" w:cs="Arial"/>
          <w:sz w:val="24"/>
          <w:szCs w:val="24"/>
        </w:rPr>
        <w:t xml:space="preserve"> with proven income and clean credit records,</w:t>
      </w:r>
      <w:r w:rsidR="00934113" w:rsidRPr="00A835EA">
        <w:rPr>
          <w:rFonts w:ascii="Arial" w:hAnsi="Arial" w:cs="Arial"/>
          <w:sz w:val="24"/>
          <w:szCs w:val="24"/>
        </w:rPr>
        <w:t xml:space="preserve"> as guarantors</w:t>
      </w:r>
      <w:r w:rsidR="00A215EB" w:rsidRPr="00A835EA">
        <w:rPr>
          <w:rFonts w:ascii="Arial" w:hAnsi="Arial" w:cs="Arial"/>
          <w:sz w:val="24"/>
          <w:szCs w:val="24"/>
        </w:rPr>
        <w:t xml:space="preserve"> </w:t>
      </w:r>
      <w:r w:rsidR="00FF45FB" w:rsidRPr="00A835EA">
        <w:rPr>
          <w:rFonts w:ascii="Arial" w:hAnsi="Arial" w:cs="Arial"/>
          <w:sz w:val="24"/>
          <w:szCs w:val="24"/>
        </w:rPr>
        <w:t xml:space="preserve">to provide security in the form of </w:t>
      </w:r>
      <w:r w:rsidR="00A215EB" w:rsidRPr="00A835EA">
        <w:rPr>
          <w:rFonts w:ascii="Arial" w:hAnsi="Arial" w:cs="Arial"/>
          <w:sz w:val="24"/>
          <w:szCs w:val="24"/>
        </w:rPr>
        <w:t>suretyships</w:t>
      </w:r>
      <w:r w:rsidR="00746CA3" w:rsidRPr="00A835EA">
        <w:rPr>
          <w:rFonts w:ascii="Arial" w:hAnsi="Arial" w:cs="Arial"/>
          <w:sz w:val="24"/>
          <w:szCs w:val="24"/>
        </w:rPr>
        <w:t xml:space="preserve"> in favour of the relevant banking institution (“</w:t>
      </w:r>
      <w:r w:rsidR="00746CA3" w:rsidRPr="00A835EA">
        <w:rPr>
          <w:rFonts w:ascii="Arial" w:hAnsi="Arial" w:cs="Arial"/>
          <w:i/>
          <w:iCs/>
          <w:sz w:val="24"/>
          <w:szCs w:val="24"/>
        </w:rPr>
        <w:t>the creditor</w:t>
      </w:r>
      <w:r w:rsidR="00746CA3" w:rsidRPr="00A835EA">
        <w:rPr>
          <w:rFonts w:ascii="Arial" w:hAnsi="Arial" w:cs="Arial"/>
          <w:sz w:val="24"/>
          <w:szCs w:val="24"/>
        </w:rPr>
        <w:t>”)</w:t>
      </w:r>
      <w:r w:rsidR="00A215EB" w:rsidRPr="00A835EA">
        <w:rPr>
          <w:rFonts w:ascii="Arial" w:hAnsi="Arial" w:cs="Arial"/>
          <w:sz w:val="24"/>
          <w:szCs w:val="24"/>
        </w:rPr>
        <w:t xml:space="preserve"> on behalf of the shelf companies.</w:t>
      </w:r>
      <w:r w:rsidR="007E75C5" w:rsidRPr="00A835EA">
        <w:rPr>
          <w:rFonts w:ascii="Arial" w:hAnsi="Arial" w:cs="Arial"/>
          <w:sz w:val="24"/>
          <w:szCs w:val="24"/>
        </w:rPr>
        <w:t xml:space="preserve">  </w:t>
      </w:r>
      <w:r w:rsidR="000F1D53" w:rsidRPr="00A835EA">
        <w:rPr>
          <w:rFonts w:ascii="Arial" w:hAnsi="Arial" w:cs="Arial"/>
          <w:sz w:val="24"/>
          <w:szCs w:val="24"/>
        </w:rPr>
        <w:t xml:space="preserve">The guarantor, in return for participating in the scheme, would receive a fee equal to 5% of the amount raised by the mortgage bond.  This was but one of many costs </w:t>
      </w:r>
      <w:r w:rsidR="001D076B" w:rsidRPr="00A835EA">
        <w:rPr>
          <w:rFonts w:ascii="Arial" w:hAnsi="Arial" w:cs="Arial"/>
          <w:sz w:val="24"/>
          <w:szCs w:val="24"/>
        </w:rPr>
        <w:t xml:space="preserve">for </w:t>
      </w:r>
      <w:r w:rsidR="000F1D53" w:rsidRPr="00A835EA">
        <w:rPr>
          <w:rFonts w:ascii="Arial" w:hAnsi="Arial" w:cs="Arial"/>
          <w:sz w:val="24"/>
          <w:szCs w:val="24"/>
        </w:rPr>
        <w:t>which the client</w:t>
      </w:r>
      <w:r w:rsidR="001D076B" w:rsidRPr="00A835EA">
        <w:rPr>
          <w:rFonts w:ascii="Arial" w:hAnsi="Arial" w:cs="Arial"/>
          <w:sz w:val="24"/>
          <w:szCs w:val="24"/>
        </w:rPr>
        <w:t xml:space="preserve"> would become </w:t>
      </w:r>
      <w:r w:rsidR="000F1D53" w:rsidRPr="00A835EA">
        <w:rPr>
          <w:rFonts w:ascii="Arial" w:hAnsi="Arial" w:cs="Arial"/>
          <w:sz w:val="24"/>
          <w:szCs w:val="24"/>
        </w:rPr>
        <w:t>liable</w:t>
      </w:r>
      <w:r w:rsidR="00C01366" w:rsidRPr="00A835EA">
        <w:rPr>
          <w:rFonts w:ascii="Arial" w:hAnsi="Arial" w:cs="Arial"/>
          <w:sz w:val="24"/>
          <w:szCs w:val="24"/>
        </w:rPr>
        <w:t>,</w:t>
      </w:r>
      <w:r w:rsidR="005C6161" w:rsidRPr="00A835EA">
        <w:rPr>
          <w:rFonts w:ascii="Arial" w:hAnsi="Arial" w:cs="Arial"/>
          <w:sz w:val="24"/>
          <w:szCs w:val="24"/>
        </w:rPr>
        <w:t xml:space="preserve"> under the scheme</w:t>
      </w:r>
      <w:r w:rsidR="000F1D53" w:rsidRPr="00A835EA">
        <w:rPr>
          <w:rFonts w:ascii="Arial" w:hAnsi="Arial" w:cs="Arial"/>
          <w:sz w:val="24"/>
          <w:szCs w:val="24"/>
        </w:rPr>
        <w:t>.</w:t>
      </w:r>
      <w:r w:rsidR="001D076B" w:rsidRPr="00A835EA">
        <w:rPr>
          <w:rFonts w:ascii="Arial" w:hAnsi="Arial" w:cs="Arial"/>
          <w:sz w:val="24"/>
          <w:szCs w:val="24"/>
        </w:rPr>
        <w:t xml:space="preserve"> </w:t>
      </w:r>
    </w:p>
    <w:p w14:paraId="077FE7F1" w14:textId="77777777" w:rsidR="001D076B" w:rsidRPr="001D076B" w:rsidRDefault="001D076B" w:rsidP="005C6161">
      <w:pPr>
        <w:pStyle w:val="ListParagraph"/>
        <w:spacing w:after="0" w:line="480" w:lineRule="auto"/>
        <w:rPr>
          <w:rFonts w:ascii="Arial" w:hAnsi="Arial" w:cs="Arial"/>
          <w:sz w:val="24"/>
          <w:szCs w:val="24"/>
        </w:rPr>
      </w:pPr>
    </w:p>
    <w:p w14:paraId="178E62D6" w14:textId="6920F5BF" w:rsidR="00A56C1D"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[7]</w:t>
      </w:r>
      <w:r>
        <w:rPr>
          <w:rFonts w:ascii="Arial" w:eastAsia="Times New Roman" w:hAnsi="Arial" w:cs="Arial"/>
          <w:kern w:val="0"/>
          <w:sz w:val="24"/>
          <w:szCs w:val="24"/>
        </w:rPr>
        <w:tab/>
      </w:r>
      <w:r w:rsidR="00C01366" w:rsidRPr="00A835EA">
        <w:rPr>
          <w:rFonts w:ascii="Arial" w:hAnsi="Arial" w:cs="Arial"/>
          <w:sz w:val="24"/>
          <w:szCs w:val="24"/>
        </w:rPr>
        <w:t>An example of the a</w:t>
      </w:r>
      <w:r w:rsidR="005C6161" w:rsidRPr="00A835EA">
        <w:rPr>
          <w:rFonts w:ascii="Arial" w:hAnsi="Arial" w:cs="Arial"/>
          <w:sz w:val="24"/>
          <w:szCs w:val="24"/>
        </w:rPr>
        <w:t>dditional costs</w:t>
      </w:r>
      <w:r w:rsidR="002C4394" w:rsidRPr="00A835EA">
        <w:rPr>
          <w:rFonts w:ascii="Arial" w:hAnsi="Arial" w:cs="Arial"/>
          <w:sz w:val="24"/>
          <w:szCs w:val="24"/>
        </w:rPr>
        <w:t>, all of which are included in the total loan amount (together with the guarantor’s fee),</w:t>
      </w:r>
      <w:r w:rsidR="005C6161" w:rsidRPr="00A835EA">
        <w:rPr>
          <w:rFonts w:ascii="Arial" w:hAnsi="Arial" w:cs="Arial"/>
          <w:sz w:val="24"/>
          <w:szCs w:val="24"/>
        </w:rPr>
        <w:t xml:space="preserve"> appears from the final reconciliation account addressed to the second applicant by AMS, which includes</w:t>
      </w:r>
      <w:r w:rsidR="00CB09E4" w:rsidRPr="00A835EA">
        <w:rPr>
          <w:rFonts w:ascii="Arial" w:hAnsi="Arial" w:cs="Arial"/>
          <w:sz w:val="24"/>
          <w:szCs w:val="24"/>
        </w:rPr>
        <w:t>: (</w:t>
      </w:r>
      <w:proofErr w:type="spellStart"/>
      <w:r w:rsidR="00CB09E4" w:rsidRPr="00A835EA">
        <w:rPr>
          <w:rFonts w:ascii="Arial" w:hAnsi="Arial" w:cs="Arial"/>
          <w:sz w:val="24"/>
          <w:szCs w:val="24"/>
        </w:rPr>
        <w:t>i</w:t>
      </w:r>
      <w:proofErr w:type="spellEnd"/>
      <w:r w:rsidR="00CB09E4" w:rsidRPr="00A835EA">
        <w:rPr>
          <w:rFonts w:ascii="Arial" w:hAnsi="Arial" w:cs="Arial"/>
          <w:sz w:val="24"/>
          <w:szCs w:val="24"/>
        </w:rPr>
        <w:t>) payment of the amount owing to the banking institution</w:t>
      </w:r>
      <w:r w:rsidR="004C1F68" w:rsidRPr="00A835EA">
        <w:rPr>
          <w:rFonts w:ascii="Arial" w:hAnsi="Arial" w:cs="Arial"/>
          <w:sz w:val="24"/>
          <w:szCs w:val="24"/>
        </w:rPr>
        <w:t xml:space="preserve"> </w:t>
      </w:r>
      <w:r w:rsidR="00C01366" w:rsidRPr="00A835EA">
        <w:rPr>
          <w:rFonts w:ascii="Arial" w:hAnsi="Arial" w:cs="Arial"/>
          <w:sz w:val="24"/>
          <w:szCs w:val="24"/>
        </w:rPr>
        <w:t xml:space="preserve">in order to discharge </w:t>
      </w:r>
      <w:r w:rsidR="004C1F68" w:rsidRPr="00A835EA">
        <w:rPr>
          <w:rFonts w:ascii="Arial" w:hAnsi="Arial" w:cs="Arial"/>
          <w:sz w:val="24"/>
          <w:szCs w:val="24"/>
        </w:rPr>
        <w:t xml:space="preserve">the existing home loan; </w:t>
      </w:r>
      <w:r w:rsidR="004C1F68" w:rsidRPr="00A835EA">
        <w:rPr>
          <w:rFonts w:ascii="Arial" w:hAnsi="Arial" w:cs="Arial"/>
          <w:sz w:val="24"/>
          <w:szCs w:val="24"/>
        </w:rPr>
        <w:lastRenderedPageBreak/>
        <w:t xml:space="preserve">(ii) payment to the client of the monies as and for the “loan”; (iii) all transaction costs associated with the transfer and registration of the immovable property from the client to the shelf company; (iv) </w:t>
      </w:r>
      <w:r w:rsidR="00826E6A" w:rsidRPr="00A835EA">
        <w:rPr>
          <w:rFonts w:ascii="Arial" w:hAnsi="Arial" w:cs="Arial"/>
          <w:sz w:val="24"/>
          <w:szCs w:val="24"/>
        </w:rPr>
        <w:t xml:space="preserve">commission to AMS equal to 7.5% of the total finance raised; and </w:t>
      </w:r>
      <w:r w:rsidR="002C4394" w:rsidRPr="00A835EA">
        <w:rPr>
          <w:rFonts w:ascii="Arial" w:hAnsi="Arial" w:cs="Arial"/>
          <w:sz w:val="24"/>
          <w:szCs w:val="24"/>
        </w:rPr>
        <w:t xml:space="preserve"> (v) </w:t>
      </w:r>
      <w:r w:rsidR="00826E6A" w:rsidRPr="00A835EA">
        <w:rPr>
          <w:rFonts w:ascii="Arial" w:hAnsi="Arial" w:cs="Arial"/>
          <w:sz w:val="24"/>
          <w:szCs w:val="24"/>
        </w:rPr>
        <w:t xml:space="preserve">other ancillary </w:t>
      </w:r>
      <w:r w:rsidR="001C57F0" w:rsidRPr="00A835EA">
        <w:rPr>
          <w:rFonts w:ascii="Arial" w:hAnsi="Arial" w:cs="Arial"/>
          <w:sz w:val="24"/>
          <w:szCs w:val="24"/>
        </w:rPr>
        <w:t>costs and fees</w:t>
      </w:r>
      <w:r w:rsidR="00826E6A" w:rsidRPr="00A835EA">
        <w:rPr>
          <w:rFonts w:ascii="Arial" w:hAnsi="Arial" w:cs="Arial"/>
          <w:sz w:val="24"/>
          <w:szCs w:val="24"/>
        </w:rPr>
        <w:t>.</w:t>
      </w:r>
      <w:r w:rsidR="001C57F0" w:rsidRPr="00A835EA">
        <w:rPr>
          <w:rFonts w:ascii="Arial" w:hAnsi="Arial" w:cs="Arial"/>
          <w:sz w:val="24"/>
          <w:szCs w:val="24"/>
        </w:rPr>
        <w:t xml:space="preserve">  </w:t>
      </w:r>
      <w:r w:rsidR="00EB63EA" w:rsidRPr="00A835EA">
        <w:rPr>
          <w:rFonts w:ascii="Arial" w:hAnsi="Arial" w:cs="Arial"/>
          <w:sz w:val="24"/>
          <w:szCs w:val="24"/>
        </w:rPr>
        <w:t>In the present matter, the cumulative cost of the transaction was R785,000.00.</w:t>
      </w:r>
    </w:p>
    <w:p w14:paraId="4C7260A4" w14:textId="77777777" w:rsidR="00A56C1D" w:rsidRDefault="00A56C1D" w:rsidP="00EB63EA">
      <w:pPr>
        <w:pStyle w:val="ListParagraph"/>
        <w:spacing w:after="0" w:line="480" w:lineRule="auto"/>
        <w:rPr>
          <w:rFonts w:ascii="Arial" w:hAnsi="Arial" w:cs="Arial"/>
          <w:sz w:val="24"/>
          <w:szCs w:val="24"/>
        </w:rPr>
      </w:pPr>
    </w:p>
    <w:p w14:paraId="088F73A7" w14:textId="1B467A45" w:rsidR="002C4394"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[8]</w:t>
      </w:r>
      <w:r>
        <w:rPr>
          <w:rFonts w:ascii="Arial" w:eastAsia="Times New Roman" w:hAnsi="Arial" w:cs="Arial"/>
          <w:kern w:val="0"/>
          <w:sz w:val="24"/>
          <w:szCs w:val="24"/>
        </w:rPr>
        <w:tab/>
      </w:r>
      <w:r w:rsidR="002C4394" w:rsidRPr="00A835EA">
        <w:rPr>
          <w:rFonts w:ascii="Arial" w:hAnsi="Arial" w:cs="Arial"/>
          <w:sz w:val="24"/>
          <w:szCs w:val="24"/>
        </w:rPr>
        <w:t>The client would be required to enter into a written agreement of lease with the shelf company in respect of the immovable property.  In terms thereof, the client would be liable for the payment of monthly rental a</w:t>
      </w:r>
      <w:r w:rsidR="002C7360" w:rsidRPr="00A835EA">
        <w:rPr>
          <w:rFonts w:ascii="Arial" w:hAnsi="Arial" w:cs="Arial"/>
          <w:sz w:val="24"/>
          <w:szCs w:val="24"/>
        </w:rPr>
        <w:t>t</w:t>
      </w:r>
      <w:r w:rsidR="002C4394" w:rsidRPr="00A835EA">
        <w:rPr>
          <w:rFonts w:ascii="Arial" w:hAnsi="Arial" w:cs="Arial"/>
          <w:sz w:val="24"/>
          <w:szCs w:val="24"/>
        </w:rPr>
        <w:t xml:space="preserve"> a rate equal to the bond repayments </w:t>
      </w:r>
      <w:r w:rsidR="002C7360" w:rsidRPr="00A835EA">
        <w:rPr>
          <w:rFonts w:ascii="Arial" w:hAnsi="Arial" w:cs="Arial"/>
          <w:sz w:val="24"/>
          <w:szCs w:val="24"/>
        </w:rPr>
        <w:t xml:space="preserve">for which the </w:t>
      </w:r>
      <w:r w:rsidR="002C4394" w:rsidRPr="00A835EA">
        <w:rPr>
          <w:rFonts w:ascii="Arial" w:hAnsi="Arial" w:cs="Arial"/>
          <w:sz w:val="24"/>
          <w:szCs w:val="24"/>
        </w:rPr>
        <w:t xml:space="preserve">shelf company </w:t>
      </w:r>
      <w:r w:rsidR="002C7360" w:rsidRPr="00A835EA">
        <w:rPr>
          <w:rFonts w:ascii="Arial" w:hAnsi="Arial" w:cs="Arial"/>
          <w:sz w:val="24"/>
          <w:szCs w:val="24"/>
        </w:rPr>
        <w:t>was</w:t>
      </w:r>
      <w:r w:rsidR="002C4394" w:rsidRPr="00A835EA">
        <w:rPr>
          <w:rFonts w:ascii="Arial" w:hAnsi="Arial" w:cs="Arial"/>
          <w:sz w:val="24"/>
          <w:szCs w:val="24"/>
        </w:rPr>
        <w:t xml:space="preserve"> liable to the bank, which amount, given the above fees, was invariably much higher than the client’s initial bond repayment prior to becoming embroiled in the scheme.</w:t>
      </w:r>
    </w:p>
    <w:p w14:paraId="4655ACBC" w14:textId="77777777" w:rsidR="002C4394" w:rsidRDefault="002C4394" w:rsidP="002C4394">
      <w:pPr>
        <w:rPr>
          <w:rFonts w:ascii="Arial" w:hAnsi="Arial" w:cs="Arial"/>
          <w:sz w:val="24"/>
          <w:szCs w:val="24"/>
        </w:rPr>
      </w:pPr>
    </w:p>
    <w:p w14:paraId="67F5683B" w14:textId="4FAD1E37" w:rsidR="002C4394"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[9]</w:t>
      </w:r>
      <w:r>
        <w:rPr>
          <w:rFonts w:ascii="Arial" w:eastAsia="Times New Roman" w:hAnsi="Arial" w:cs="Arial"/>
          <w:kern w:val="0"/>
          <w:sz w:val="24"/>
          <w:szCs w:val="24"/>
        </w:rPr>
        <w:tab/>
      </w:r>
      <w:proofErr w:type="spellStart"/>
      <w:r w:rsidR="002C4394" w:rsidRPr="00A835EA">
        <w:rPr>
          <w:rFonts w:ascii="Arial" w:hAnsi="Arial" w:cs="Arial"/>
          <w:sz w:val="24"/>
          <w:szCs w:val="24"/>
        </w:rPr>
        <w:t>Revelas</w:t>
      </w:r>
      <w:proofErr w:type="spellEnd"/>
      <w:r w:rsidR="002C4394" w:rsidRPr="00A835EA">
        <w:rPr>
          <w:rFonts w:ascii="Arial" w:hAnsi="Arial" w:cs="Arial"/>
          <w:sz w:val="24"/>
          <w:szCs w:val="24"/>
        </w:rPr>
        <w:t xml:space="preserve"> J, in </w:t>
      </w:r>
      <w:proofErr w:type="spellStart"/>
      <w:r w:rsidR="002C4394" w:rsidRPr="00A835EA">
        <w:rPr>
          <w:rFonts w:ascii="Arial" w:hAnsi="Arial" w:cs="Arial"/>
          <w:i/>
          <w:iCs/>
          <w:sz w:val="24"/>
          <w:szCs w:val="24"/>
        </w:rPr>
        <w:t>Tshatshu</w:t>
      </w:r>
      <w:proofErr w:type="spellEnd"/>
      <w:r w:rsidR="002C4394" w:rsidRPr="00A835EA">
        <w:rPr>
          <w:rFonts w:ascii="Arial" w:hAnsi="Arial" w:cs="Arial"/>
          <w:sz w:val="24"/>
          <w:szCs w:val="24"/>
        </w:rPr>
        <w:t>, highlighting the fraudulent and pernicious character of the scheme, utilised the following example:</w:t>
      </w:r>
    </w:p>
    <w:p w14:paraId="4CAC9512" w14:textId="77777777" w:rsidR="002C4394" w:rsidRPr="00A56C1D" w:rsidRDefault="002C4394" w:rsidP="005F5181">
      <w:pPr>
        <w:pStyle w:val="ListParagraph"/>
        <w:spacing w:after="0" w:line="480" w:lineRule="auto"/>
        <w:rPr>
          <w:rFonts w:ascii="Arial" w:hAnsi="Arial" w:cs="Arial"/>
          <w:sz w:val="24"/>
          <w:szCs w:val="24"/>
        </w:rPr>
      </w:pPr>
    </w:p>
    <w:p w14:paraId="13DFB420" w14:textId="77777777" w:rsidR="002C4394" w:rsidRPr="00D338BC" w:rsidRDefault="002C4394" w:rsidP="002C4394">
      <w:pPr>
        <w:pStyle w:val="ListParagraph"/>
        <w:spacing w:after="0" w:line="480" w:lineRule="auto"/>
        <w:jc w:val="both"/>
        <w:rPr>
          <w:rFonts w:ascii="Arial" w:hAnsi="Arial" w:cs="Arial"/>
        </w:rPr>
      </w:pPr>
      <w:r w:rsidRPr="00D338BC">
        <w:rPr>
          <w:rFonts w:ascii="Arial" w:hAnsi="Arial" w:cs="Arial"/>
        </w:rPr>
        <w:t>“</w:t>
      </w:r>
      <w:r w:rsidRPr="00D338BC">
        <w:rPr>
          <w:rFonts w:ascii="Arial" w:hAnsi="Arial" w:cs="Arial"/>
          <w:i/>
          <w:iCs/>
        </w:rPr>
        <w:t>An individual who had been servicing a bond of for instance R857,061.00, would, once he or she has signed up with AMS, end up servicing a bond of R3 million in lease payments to a shelf company</w:t>
      </w:r>
      <w:r w:rsidRPr="00D338BC">
        <w:rPr>
          <w:rFonts w:ascii="Arial" w:hAnsi="Arial" w:cs="Arial"/>
        </w:rPr>
        <w:t xml:space="preserve">.” </w:t>
      </w:r>
    </w:p>
    <w:p w14:paraId="080DE846" w14:textId="77777777" w:rsidR="002C4394" w:rsidRPr="00A56C1D" w:rsidRDefault="002C4394" w:rsidP="002C4394">
      <w:pPr>
        <w:pStyle w:val="ListParagraph"/>
        <w:rPr>
          <w:rFonts w:ascii="Arial" w:hAnsi="Arial" w:cs="Arial"/>
          <w:sz w:val="24"/>
          <w:szCs w:val="24"/>
        </w:rPr>
      </w:pPr>
    </w:p>
    <w:p w14:paraId="4205F9A6" w14:textId="77777777" w:rsidR="002C4394" w:rsidRPr="00A56C1D" w:rsidRDefault="002C4394" w:rsidP="00A56C1D">
      <w:pPr>
        <w:pStyle w:val="ListParagraph"/>
        <w:rPr>
          <w:rFonts w:ascii="Arial" w:hAnsi="Arial" w:cs="Arial"/>
          <w:sz w:val="24"/>
          <w:szCs w:val="24"/>
        </w:rPr>
      </w:pPr>
    </w:p>
    <w:p w14:paraId="5DAE18C2" w14:textId="39B885A4" w:rsidR="00EF6CFF"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[10]</w:t>
      </w:r>
      <w:r>
        <w:rPr>
          <w:rFonts w:ascii="Arial" w:eastAsia="Times New Roman" w:hAnsi="Arial" w:cs="Arial"/>
          <w:kern w:val="0"/>
          <w:sz w:val="24"/>
          <w:szCs w:val="24"/>
        </w:rPr>
        <w:tab/>
      </w:r>
      <w:r w:rsidR="00EF6CFF" w:rsidRPr="00A835EA">
        <w:rPr>
          <w:rFonts w:ascii="Arial" w:hAnsi="Arial" w:cs="Arial"/>
          <w:sz w:val="24"/>
          <w:szCs w:val="24"/>
        </w:rPr>
        <w:t xml:space="preserve">How this </w:t>
      </w:r>
      <w:r w:rsidR="00D338BC" w:rsidRPr="00A835EA">
        <w:rPr>
          <w:rFonts w:ascii="Arial" w:hAnsi="Arial" w:cs="Arial"/>
          <w:sz w:val="24"/>
          <w:szCs w:val="24"/>
        </w:rPr>
        <w:t>could be</w:t>
      </w:r>
      <w:r w:rsidR="00392584" w:rsidRPr="00A835EA">
        <w:rPr>
          <w:rFonts w:ascii="Arial" w:hAnsi="Arial" w:cs="Arial"/>
          <w:sz w:val="24"/>
          <w:szCs w:val="24"/>
        </w:rPr>
        <w:t>,</w:t>
      </w:r>
      <w:r w:rsidR="00D338BC" w:rsidRPr="00A835EA">
        <w:rPr>
          <w:rFonts w:ascii="Arial" w:hAnsi="Arial" w:cs="Arial"/>
          <w:sz w:val="24"/>
          <w:szCs w:val="24"/>
        </w:rPr>
        <w:t xml:space="preserve"> is</w:t>
      </w:r>
      <w:r w:rsidR="00EF6CFF" w:rsidRPr="00A835EA">
        <w:rPr>
          <w:rFonts w:ascii="Arial" w:hAnsi="Arial" w:cs="Arial"/>
          <w:sz w:val="24"/>
          <w:szCs w:val="24"/>
        </w:rPr>
        <w:t xml:space="preserve"> </w:t>
      </w:r>
      <w:r w:rsidR="0005508B" w:rsidRPr="00A835EA">
        <w:rPr>
          <w:rFonts w:ascii="Arial" w:hAnsi="Arial" w:cs="Arial"/>
          <w:sz w:val="24"/>
          <w:szCs w:val="24"/>
        </w:rPr>
        <w:t xml:space="preserve">immediately apparent </w:t>
      </w:r>
      <w:r w:rsidR="00EF6CFF" w:rsidRPr="00A835EA">
        <w:rPr>
          <w:rFonts w:ascii="Arial" w:hAnsi="Arial" w:cs="Arial"/>
          <w:i/>
          <w:iCs/>
          <w:sz w:val="24"/>
          <w:szCs w:val="24"/>
        </w:rPr>
        <w:t>ex facie</w:t>
      </w:r>
      <w:r w:rsidR="00EF6CFF" w:rsidRPr="00A835EA">
        <w:rPr>
          <w:rFonts w:ascii="Arial" w:hAnsi="Arial" w:cs="Arial"/>
          <w:sz w:val="24"/>
          <w:szCs w:val="24"/>
        </w:rPr>
        <w:t xml:space="preserve"> the final reconciliation statement addressed to the applicants in </w:t>
      </w:r>
      <w:proofErr w:type="spellStart"/>
      <w:r w:rsidR="00EF6CFF" w:rsidRPr="00A835EA">
        <w:rPr>
          <w:rFonts w:ascii="Arial" w:hAnsi="Arial" w:cs="Arial"/>
          <w:i/>
          <w:iCs/>
          <w:sz w:val="24"/>
          <w:szCs w:val="24"/>
        </w:rPr>
        <w:t>casu</w:t>
      </w:r>
      <w:proofErr w:type="spellEnd"/>
      <w:r w:rsidR="00EF6CFF" w:rsidRPr="00A835EA">
        <w:rPr>
          <w:rFonts w:ascii="Arial" w:hAnsi="Arial" w:cs="Arial"/>
          <w:sz w:val="24"/>
          <w:szCs w:val="24"/>
        </w:rPr>
        <w:t>.  T</w:t>
      </w:r>
      <w:r w:rsidR="001C57F0" w:rsidRPr="00A835EA">
        <w:rPr>
          <w:rFonts w:ascii="Arial" w:hAnsi="Arial" w:cs="Arial"/>
          <w:sz w:val="24"/>
          <w:szCs w:val="24"/>
        </w:rPr>
        <w:t xml:space="preserve">he applicants, prior to </w:t>
      </w:r>
      <w:r w:rsidR="00EF6CFF" w:rsidRPr="00A835EA">
        <w:rPr>
          <w:rFonts w:ascii="Arial" w:hAnsi="Arial" w:cs="Arial"/>
          <w:sz w:val="24"/>
          <w:szCs w:val="24"/>
        </w:rPr>
        <w:t xml:space="preserve">contracting with AMS were </w:t>
      </w:r>
      <w:r w:rsidR="001C57F0" w:rsidRPr="00A835EA">
        <w:rPr>
          <w:rFonts w:ascii="Arial" w:hAnsi="Arial" w:cs="Arial"/>
          <w:sz w:val="24"/>
          <w:szCs w:val="24"/>
        </w:rPr>
        <w:t>liable for R131,548.01 under their existing home loan agreement.</w:t>
      </w:r>
      <w:r w:rsidR="00EF6CFF" w:rsidRPr="00A835EA">
        <w:rPr>
          <w:rFonts w:ascii="Arial" w:hAnsi="Arial" w:cs="Arial"/>
          <w:sz w:val="24"/>
          <w:szCs w:val="24"/>
        </w:rPr>
        <w:t xml:space="preserve">  Following the</w:t>
      </w:r>
      <w:r w:rsidR="007E629F" w:rsidRPr="00A835EA">
        <w:rPr>
          <w:rFonts w:ascii="Arial" w:hAnsi="Arial" w:cs="Arial"/>
          <w:sz w:val="24"/>
          <w:szCs w:val="24"/>
        </w:rPr>
        <w:t>ir</w:t>
      </w:r>
      <w:r w:rsidR="00EF6CFF" w:rsidRPr="00A835EA">
        <w:rPr>
          <w:rFonts w:ascii="Arial" w:hAnsi="Arial" w:cs="Arial"/>
          <w:sz w:val="24"/>
          <w:szCs w:val="24"/>
        </w:rPr>
        <w:t xml:space="preserve"> engagement with AMS, and in order to </w:t>
      </w:r>
      <w:r w:rsidR="001C57F0" w:rsidRPr="00A835EA">
        <w:rPr>
          <w:rFonts w:ascii="Arial" w:hAnsi="Arial" w:cs="Arial"/>
          <w:sz w:val="24"/>
          <w:szCs w:val="24"/>
        </w:rPr>
        <w:t xml:space="preserve">finance </w:t>
      </w:r>
      <w:r w:rsidR="00EF6CFF" w:rsidRPr="00A835EA">
        <w:rPr>
          <w:rFonts w:ascii="Arial" w:hAnsi="Arial" w:cs="Arial"/>
          <w:sz w:val="24"/>
          <w:szCs w:val="24"/>
        </w:rPr>
        <w:t>a</w:t>
      </w:r>
      <w:r w:rsidR="001C57F0" w:rsidRPr="00A835EA">
        <w:rPr>
          <w:rFonts w:ascii="Arial" w:hAnsi="Arial" w:cs="Arial"/>
          <w:sz w:val="24"/>
          <w:szCs w:val="24"/>
        </w:rPr>
        <w:t xml:space="preserve"> loan</w:t>
      </w:r>
      <w:r w:rsidR="00EF6CFF" w:rsidRPr="00A835EA">
        <w:rPr>
          <w:rFonts w:ascii="Arial" w:hAnsi="Arial" w:cs="Arial"/>
          <w:sz w:val="24"/>
          <w:szCs w:val="24"/>
        </w:rPr>
        <w:t xml:space="preserve"> in the</w:t>
      </w:r>
      <w:r w:rsidR="001C57F0" w:rsidRPr="00A835EA">
        <w:rPr>
          <w:rFonts w:ascii="Arial" w:hAnsi="Arial" w:cs="Arial"/>
          <w:sz w:val="24"/>
          <w:szCs w:val="24"/>
        </w:rPr>
        <w:t xml:space="preserve"> amount</w:t>
      </w:r>
      <w:r w:rsidR="00A56C1D" w:rsidRPr="00A835EA">
        <w:rPr>
          <w:rFonts w:ascii="Arial" w:hAnsi="Arial" w:cs="Arial"/>
          <w:sz w:val="24"/>
          <w:szCs w:val="24"/>
        </w:rPr>
        <w:t xml:space="preserve"> </w:t>
      </w:r>
      <w:r w:rsidR="00D90D71" w:rsidRPr="00A835EA">
        <w:rPr>
          <w:rFonts w:ascii="Arial" w:hAnsi="Arial" w:cs="Arial"/>
          <w:sz w:val="24"/>
          <w:szCs w:val="24"/>
        </w:rPr>
        <w:t xml:space="preserve">of </w:t>
      </w:r>
      <w:r w:rsidR="00D90D71" w:rsidRPr="00A835EA">
        <w:rPr>
          <w:rFonts w:ascii="Arial" w:hAnsi="Arial" w:cs="Arial"/>
          <w:sz w:val="24"/>
          <w:szCs w:val="24"/>
        </w:rPr>
        <w:lastRenderedPageBreak/>
        <w:t>R100,000.00,</w:t>
      </w:r>
      <w:r w:rsidR="00D90D71">
        <w:rPr>
          <w:rStyle w:val="FootnoteReference"/>
          <w:rFonts w:ascii="Arial" w:hAnsi="Arial" w:cs="Arial"/>
          <w:sz w:val="24"/>
          <w:szCs w:val="24"/>
        </w:rPr>
        <w:footnoteReference w:id="5"/>
      </w:r>
      <w:r w:rsidR="00A56C1D" w:rsidRPr="00A835EA">
        <w:rPr>
          <w:rFonts w:ascii="Arial" w:hAnsi="Arial" w:cs="Arial"/>
          <w:sz w:val="24"/>
          <w:szCs w:val="24"/>
        </w:rPr>
        <w:t xml:space="preserve"> the</w:t>
      </w:r>
      <w:r w:rsidR="00EF6CFF" w:rsidRPr="00A835EA">
        <w:rPr>
          <w:rFonts w:ascii="Arial" w:hAnsi="Arial" w:cs="Arial"/>
          <w:sz w:val="24"/>
          <w:szCs w:val="24"/>
        </w:rPr>
        <w:t xml:space="preserve"> applicants</w:t>
      </w:r>
      <w:r w:rsidR="00911430" w:rsidRPr="00A835EA">
        <w:rPr>
          <w:rFonts w:ascii="Arial" w:hAnsi="Arial" w:cs="Arial"/>
          <w:sz w:val="24"/>
          <w:szCs w:val="24"/>
        </w:rPr>
        <w:t xml:space="preserve"> had not only alienated their property, valued at R785,000.00, for an effective price of R231,548.01 (R131,548.01 </w:t>
      </w:r>
      <w:r w:rsidR="007E629F" w:rsidRPr="00A835EA">
        <w:rPr>
          <w:rFonts w:ascii="Arial" w:hAnsi="Arial" w:cs="Arial"/>
          <w:sz w:val="24"/>
          <w:szCs w:val="24"/>
        </w:rPr>
        <w:t xml:space="preserve">to settle </w:t>
      </w:r>
      <w:r w:rsidR="00911430" w:rsidRPr="00A835EA">
        <w:rPr>
          <w:rFonts w:ascii="Arial" w:hAnsi="Arial" w:cs="Arial"/>
          <w:sz w:val="24"/>
          <w:szCs w:val="24"/>
        </w:rPr>
        <w:t>the</w:t>
      </w:r>
      <w:r w:rsidR="007E629F" w:rsidRPr="00A835EA">
        <w:rPr>
          <w:rFonts w:ascii="Arial" w:hAnsi="Arial" w:cs="Arial"/>
          <w:sz w:val="24"/>
          <w:szCs w:val="24"/>
        </w:rPr>
        <w:t>ir</w:t>
      </w:r>
      <w:r w:rsidR="00911430" w:rsidRPr="00A835EA">
        <w:rPr>
          <w:rFonts w:ascii="Arial" w:hAnsi="Arial" w:cs="Arial"/>
          <w:sz w:val="24"/>
          <w:szCs w:val="24"/>
        </w:rPr>
        <w:t xml:space="preserve"> </w:t>
      </w:r>
      <w:r w:rsidR="007E629F" w:rsidRPr="00A835EA">
        <w:rPr>
          <w:rFonts w:ascii="Arial" w:hAnsi="Arial" w:cs="Arial"/>
          <w:sz w:val="24"/>
          <w:szCs w:val="24"/>
        </w:rPr>
        <w:t xml:space="preserve">existing </w:t>
      </w:r>
      <w:r w:rsidR="00911430" w:rsidRPr="00A835EA">
        <w:rPr>
          <w:rFonts w:ascii="Arial" w:hAnsi="Arial" w:cs="Arial"/>
          <w:sz w:val="24"/>
          <w:szCs w:val="24"/>
        </w:rPr>
        <w:t xml:space="preserve">home loan and R100,000.00 </w:t>
      </w:r>
      <w:r w:rsidR="007E629F" w:rsidRPr="00A835EA">
        <w:rPr>
          <w:rFonts w:ascii="Arial" w:hAnsi="Arial" w:cs="Arial"/>
          <w:sz w:val="24"/>
          <w:szCs w:val="24"/>
        </w:rPr>
        <w:t xml:space="preserve">being the funds “advanced” to the applicants in </w:t>
      </w:r>
      <w:r w:rsidR="003812A3" w:rsidRPr="00A835EA">
        <w:rPr>
          <w:rFonts w:ascii="Arial" w:hAnsi="Arial" w:cs="Arial"/>
          <w:sz w:val="24"/>
          <w:szCs w:val="24"/>
        </w:rPr>
        <w:t xml:space="preserve">terms of the </w:t>
      </w:r>
      <w:r w:rsidR="007E629F" w:rsidRPr="00A835EA">
        <w:rPr>
          <w:rFonts w:ascii="Arial" w:hAnsi="Arial" w:cs="Arial"/>
          <w:sz w:val="24"/>
          <w:szCs w:val="24"/>
        </w:rPr>
        <w:t>loan with AMS</w:t>
      </w:r>
      <w:r w:rsidR="00911430" w:rsidRPr="00A835EA">
        <w:rPr>
          <w:rFonts w:ascii="Arial" w:hAnsi="Arial" w:cs="Arial"/>
          <w:sz w:val="24"/>
          <w:szCs w:val="24"/>
        </w:rPr>
        <w:t xml:space="preserve">) but became </w:t>
      </w:r>
      <w:r w:rsidR="00EF6CFF" w:rsidRPr="00A835EA">
        <w:rPr>
          <w:rFonts w:ascii="Arial" w:hAnsi="Arial" w:cs="Arial"/>
          <w:sz w:val="24"/>
          <w:szCs w:val="24"/>
        </w:rPr>
        <w:t xml:space="preserve">liable for the payment of monthly rental to reside in the property equal to the repayments </w:t>
      </w:r>
      <w:r w:rsidR="00CA5BEB" w:rsidRPr="00A835EA">
        <w:rPr>
          <w:rFonts w:ascii="Arial" w:hAnsi="Arial" w:cs="Arial"/>
          <w:sz w:val="24"/>
          <w:szCs w:val="24"/>
        </w:rPr>
        <w:t xml:space="preserve">due in terms of </w:t>
      </w:r>
      <w:r w:rsidR="00CE7753" w:rsidRPr="00A835EA">
        <w:rPr>
          <w:rFonts w:ascii="Arial" w:hAnsi="Arial" w:cs="Arial"/>
          <w:sz w:val="24"/>
          <w:szCs w:val="24"/>
        </w:rPr>
        <w:t xml:space="preserve">a significantly higher </w:t>
      </w:r>
      <w:r w:rsidR="00E46876" w:rsidRPr="00A835EA">
        <w:rPr>
          <w:rFonts w:ascii="Arial" w:hAnsi="Arial" w:cs="Arial"/>
          <w:sz w:val="24"/>
          <w:szCs w:val="24"/>
        </w:rPr>
        <w:t>home loan</w:t>
      </w:r>
      <w:r w:rsidR="00CA5BEB" w:rsidRPr="00A835EA">
        <w:rPr>
          <w:rFonts w:ascii="Arial" w:hAnsi="Arial" w:cs="Arial"/>
          <w:sz w:val="24"/>
          <w:szCs w:val="24"/>
        </w:rPr>
        <w:t xml:space="preserve">, in the amount </w:t>
      </w:r>
      <w:r w:rsidR="00E46876" w:rsidRPr="00A835EA">
        <w:rPr>
          <w:rFonts w:ascii="Arial" w:hAnsi="Arial" w:cs="Arial"/>
          <w:sz w:val="24"/>
          <w:szCs w:val="24"/>
        </w:rPr>
        <w:t xml:space="preserve">of </w:t>
      </w:r>
      <w:r w:rsidR="00EF6CFF" w:rsidRPr="00A835EA">
        <w:rPr>
          <w:rFonts w:ascii="Arial" w:hAnsi="Arial" w:cs="Arial"/>
          <w:sz w:val="24"/>
          <w:szCs w:val="24"/>
        </w:rPr>
        <w:t>R785,000.00.</w:t>
      </w:r>
    </w:p>
    <w:p w14:paraId="2336CD42" w14:textId="4B1B8CB4" w:rsidR="00EF6CFF" w:rsidRDefault="00EF6CFF" w:rsidP="00EF6CFF">
      <w:pPr>
        <w:pStyle w:val="ListParagraph"/>
        <w:spacing w:after="0" w:line="480" w:lineRule="auto"/>
        <w:ind w:left="0"/>
        <w:jc w:val="both"/>
        <w:rPr>
          <w:rFonts w:ascii="Arial" w:hAnsi="Arial" w:cs="Arial"/>
          <w:sz w:val="24"/>
          <w:szCs w:val="24"/>
        </w:rPr>
      </w:pPr>
    </w:p>
    <w:p w14:paraId="1C29B7E1" w14:textId="77644EC3" w:rsidR="001D076B"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[11]</w:t>
      </w:r>
      <w:r>
        <w:rPr>
          <w:rFonts w:ascii="Arial" w:eastAsia="Times New Roman" w:hAnsi="Arial" w:cs="Arial"/>
          <w:kern w:val="0"/>
          <w:sz w:val="24"/>
          <w:szCs w:val="24"/>
        </w:rPr>
        <w:tab/>
      </w:r>
      <w:r w:rsidR="00EF6CFF" w:rsidRPr="00A835EA">
        <w:rPr>
          <w:rFonts w:ascii="Arial" w:hAnsi="Arial" w:cs="Arial"/>
          <w:sz w:val="24"/>
          <w:szCs w:val="24"/>
        </w:rPr>
        <w:t xml:space="preserve">Even more disturbing is that the client, </w:t>
      </w:r>
      <w:r w:rsidR="00755AC4" w:rsidRPr="00A835EA">
        <w:rPr>
          <w:rFonts w:ascii="Arial" w:hAnsi="Arial" w:cs="Arial"/>
          <w:sz w:val="24"/>
          <w:szCs w:val="24"/>
        </w:rPr>
        <w:t xml:space="preserve">effectively having financed the above and who is now, in law, no more than the </w:t>
      </w:r>
      <w:r w:rsidR="00EF6CFF" w:rsidRPr="00A835EA">
        <w:rPr>
          <w:rFonts w:ascii="Arial" w:hAnsi="Arial" w:cs="Arial"/>
          <w:sz w:val="24"/>
          <w:szCs w:val="24"/>
        </w:rPr>
        <w:t>lessee of the immovable property sold to the shelf company, enters into an option agreement with the shelf company</w:t>
      </w:r>
      <w:r w:rsidR="00C95A1B" w:rsidRPr="00A835EA">
        <w:rPr>
          <w:rFonts w:ascii="Arial" w:hAnsi="Arial" w:cs="Arial"/>
          <w:sz w:val="24"/>
          <w:szCs w:val="24"/>
        </w:rPr>
        <w:t xml:space="preserve">.  In terms of this latter agreement, the </w:t>
      </w:r>
      <w:r w:rsidR="00EF6CFF" w:rsidRPr="00A835EA">
        <w:rPr>
          <w:rFonts w:ascii="Arial" w:hAnsi="Arial" w:cs="Arial"/>
          <w:sz w:val="24"/>
          <w:szCs w:val="24"/>
        </w:rPr>
        <w:t>client is granted an option to repurchase the immovable property from the shelf company</w:t>
      </w:r>
      <w:r w:rsidR="00755AC4" w:rsidRPr="00A835EA">
        <w:rPr>
          <w:rFonts w:ascii="Arial" w:hAnsi="Arial" w:cs="Arial"/>
          <w:sz w:val="24"/>
          <w:szCs w:val="24"/>
        </w:rPr>
        <w:t>, against payment of the same price</w:t>
      </w:r>
      <w:r w:rsidR="00CC2702" w:rsidRPr="00A835EA">
        <w:rPr>
          <w:rFonts w:ascii="Arial" w:hAnsi="Arial" w:cs="Arial"/>
          <w:sz w:val="24"/>
          <w:szCs w:val="24"/>
        </w:rPr>
        <w:t xml:space="preserve"> that</w:t>
      </w:r>
      <w:r w:rsidR="00755AC4" w:rsidRPr="00A835EA">
        <w:rPr>
          <w:rFonts w:ascii="Arial" w:hAnsi="Arial" w:cs="Arial"/>
          <w:sz w:val="24"/>
          <w:szCs w:val="24"/>
        </w:rPr>
        <w:t xml:space="preserve"> the</w:t>
      </w:r>
      <w:r w:rsidR="00C95A1B" w:rsidRPr="00A835EA">
        <w:rPr>
          <w:rFonts w:ascii="Arial" w:hAnsi="Arial" w:cs="Arial"/>
          <w:sz w:val="24"/>
          <w:szCs w:val="24"/>
        </w:rPr>
        <w:t xml:space="preserve"> applicant sold the </w:t>
      </w:r>
      <w:r w:rsidR="00755AC4" w:rsidRPr="00A835EA">
        <w:rPr>
          <w:rFonts w:ascii="Arial" w:hAnsi="Arial" w:cs="Arial"/>
          <w:sz w:val="24"/>
          <w:szCs w:val="24"/>
        </w:rPr>
        <w:t>immovable property for</w:t>
      </w:r>
      <w:r w:rsidR="00834163" w:rsidRPr="00A835EA">
        <w:rPr>
          <w:rFonts w:ascii="Arial" w:hAnsi="Arial" w:cs="Arial"/>
          <w:sz w:val="24"/>
          <w:szCs w:val="24"/>
        </w:rPr>
        <w:t>,</w:t>
      </w:r>
      <w:r w:rsidR="00755AC4" w:rsidRPr="00A835EA">
        <w:rPr>
          <w:rFonts w:ascii="Arial" w:hAnsi="Arial" w:cs="Arial"/>
          <w:sz w:val="24"/>
          <w:szCs w:val="24"/>
        </w:rPr>
        <w:t xml:space="preserve"> to the shelf company.     </w:t>
      </w:r>
      <w:r w:rsidR="00EF6CFF" w:rsidRPr="00A835EA">
        <w:rPr>
          <w:rFonts w:ascii="Arial" w:hAnsi="Arial" w:cs="Arial"/>
          <w:sz w:val="24"/>
          <w:szCs w:val="24"/>
        </w:rPr>
        <w:t xml:space="preserve">   </w:t>
      </w:r>
      <w:r w:rsidR="00A56C1D" w:rsidRPr="00A835EA">
        <w:rPr>
          <w:rFonts w:ascii="Arial" w:hAnsi="Arial" w:cs="Arial"/>
          <w:sz w:val="24"/>
          <w:szCs w:val="24"/>
        </w:rPr>
        <w:t xml:space="preserve"> </w:t>
      </w:r>
      <w:r w:rsidR="00CB09E4" w:rsidRPr="00A835EA">
        <w:rPr>
          <w:rFonts w:ascii="Arial" w:hAnsi="Arial" w:cs="Arial"/>
          <w:sz w:val="24"/>
          <w:szCs w:val="24"/>
        </w:rPr>
        <w:t xml:space="preserve"> </w:t>
      </w:r>
      <w:r w:rsidR="005C6161" w:rsidRPr="00A835EA">
        <w:rPr>
          <w:rFonts w:ascii="Arial" w:hAnsi="Arial" w:cs="Arial"/>
          <w:sz w:val="24"/>
          <w:szCs w:val="24"/>
        </w:rPr>
        <w:t xml:space="preserve"> </w:t>
      </w:r>
    </w:p>
    <w:p w14:paraId="5E8D46CF" w14:textId="77777777" w:rsidR="00D90D71" w:rsidRDefault="00D90D71" w:rsidP="00823031">
      <w:pPr>
        <w:pStyle w:val="ListParagraph"/>
        <w:spacing w:after="0" w:line="480" w:lineRule="auto"/>
        <w:ind w:left="0"/>
        <w:jc w:val="both"/>
        <w:rPr>
          <w:rFonts w:ascii="Arial" w:hAnsi="Arial" w:cs="Arial"/>
          <w:sz w:val="24"/>
          <w:szCs w:val="24"/>
        </w:rPr>
      </w:pPr>
    </w:p>
    <w:p w14:paraId="56176B98" w14:textId="6D746900" w:rsidR="00834163" w:rsidRPr="00991619" w:rsidRDefault="00834163" w:rsidP="00834163">
      <w:pPr>
        <w:spacing w:after="0" w:line="480" w:lineRule="auto"/>
        <w:rPr>
          <w:rFonts w:ascii="Arial" w:hAnsi="Arial" w:cs="Arial"/>
          <w:b/>
          <w:bCs/>
          <w:i/>
          <w:iCs/>
          <w:sz w:val="24"/>
          <w:szCs w:val="24"/>
        </w:rPr>
      </w:pPr>
      <w:r w:rsidRPr="00991619">
        <w:rPr>
          <w:rFonts w:ascii="Arial" w:hAnsi="Arial" w:cs="Arial"/>
          <w:b/>
          <w:bCs/>
          <w:i/>
          <w:iCs/>
          <w:sz w:val="24"/>
          <w:szCs w:val="24"/>
        </w:rPr>
        <w:t xml:space="preserve">The </w:t>
      </w:r>
      <w:r>
        <w:rPr>
          <w:rFonts w:ascii="Arial" w:hAnsi="Arial" w:cs="Arial"/>
          <w:b/>
          <w:bCs/>
          <w:i/>
          <w:iCs/>
          <w:sz w:val="24"/>
          <w:szCs w:val="24"/>
        </w:rPr>
        <w:t>facts of the present dispute</w:t>
      </w:r>
    </w:p>
    <w:p w14:paraId="48829EEB" w14:textId="77777777" w:rsidR="00834163" w:rsidRDefault="00834163" w:rsidP="00823031">
      <w:pPr>
        <w:pStyle w:val="ListParagraph"/>
        <w:spacing w:after="0" w:line="480" w:lineRule="auto"/>
        <w:ind w:left="0"/>
        <w:jc w:val="both"/>
        <w:rPr>
          <w:rFonts w:ascii="Arial" w:hAnsi="Arial" w:cs="Arial"/>
          <w:sz w:val="24"/>
          <w:szCs w:val="24"/>
        </w:rPr>
      </w:pPr>
    </w:p>
    <w:p w14:paraId="7B1384EA" w14:textId="5DC5E68B" w:rsidR="00C91298"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[12]</w:t>
      </w:r>
      <w:r>
        <w:rPr>
          <w:rFonts w:ascii="Arial" w:eastAsia="Times New Roman" w:hAnsi="Arial" w:cs="Arial"/>
          <w:kern w:val="0"/>
          <w:sz w:val="24"/>
          <w:szCs w:val="24"/>
        </w:rPr>
        <w:tab/>
      </w:r>
      <w:r w:rsidR="00332E97" w:rsidRPr="00A835EA">
        <w:rPr>
          <w:rFonts w:ascii="Arial" w:hAnsi="Arial" w:cs="Arial"/>
          <w:sz w:val="24"/>
          <w:szCs w:val="24"/>
        </w:rPr>
        <w:t>The applicants purchased the immovable property during 1992 for an amount of R138,000.00 and the property was registered in both of their names.</w:t>
      </w:r>
      <w:r w:rsidR="00AB4812" w:rsidRPr="00A835EA">
        <w:rPr>
          <w:rFonts w:ascii="Arial" w:hAnsi="Arial" w:cs="Arial"/>
          <w:sz w:val="24"/>
          <w:szCs w:val="24"/>
        </w:rPr>
        <w:t xml:space="preserve">  A mortgage bond securing their home loan was registered over the immovable property in favour of ABSA bank.</w:t>
      </w:r>
      <w:r w:rsidR="00332E97" w:rsidRPr="00A835EA">
        <w:rPr>
          <w:rFonts w:ascii="Arial" w:hAnsi="Arial" w:cs="Arial"/>
          <w:sz w:val="24"/>
          <w:szCs w:val="24"/>
        </w:rPr>
        <w:t xml:space="preserve">  Some thirteen years later, during May 2005, the second applicant noticed an advert in the local newspaper, the Herald, offering loans to the public.  The applicants sought to effect certain renovations to their home but were unable to </w:t>
      </w:r>
      <w:r w:rsidR="00332E97" w:rsidRPr="00A835EA">
        <w:rPr>
          <w:rFonts w:ascii="Arial" w:hAnsi="Arial" w:cs="Arial"/>
          <w:sz w:val="24"/>
          <w:szCs w:val="24"/>
        </w:rPr>
        <w:lastRenderedPageBreak/>
        <w:t>approach other mainstream financial institutions for finance as they were experiencing financial difficulties.</w:t>
      </w:r>
    </w:p>
    <w:p w14:paraId="4414D632" w14:textId="77777777" w:rsidR="00481B59" w:rsidRDefault="00481B59" w:rsidP="00481B59">
      <w:pPr>
        <w:pStyle w:val="ListParagraph"/>
        <w:spacing w:after="0" w:line="480" w:lineRule="auto"/>
        <w:ind w:left="0"/>
        <w:jc w:val="both"/>
        <w:rPr>
          <w:rFonts w:ascii="Arial" w:hAnsi="Arial" w:cs="Arial"/>
          <w:sz w:val="24"/>
          <w:szCs w:val="24"/>
        </w:rPr>
      </w:pPr>
    </w:p>
    <w:p w14:paraId="1D7D05AF" w14:textId="1B9091F4" w:rsidR="00550168"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[13]</w:t>
      </w:r>
      <w:r>
        <w:rPr>
          <w:rFonts w:ascii="Arial" w:eastAsia="Times New Roman" w:hAnsi="Arial" w:cs="Arial"/>
          <w:kern w:val="0"/>
          <w:sz w:val="24"/>
          <w:szCs w:val="24"/>
        </w:rPr>
        <w:tab/>
      </w:r>
      <w:r w:rsidR="00A4554D" w:rsidRPr="00A835EA">
        <w:rPr>
          <w:rFonts w:ascii="Arial" w:hAnsi="Arial" w:cs="Arial"/>
          <w:sz w:val="24"/>
          <w:szCs w:val="24"/>
        </w:rPr>
        <w:t>This being so, they</w:t>
      </w:r>
      <w:r w:rsidR="00C91298" w:rsidRPr="00A835EA">
        <w:rPr>
          <w:rFonts w:ascii="Arial" w:hAnsi="Arial" w:cs="Arial"/>
          <w:sz w:val="24"/>
          <w:szCs w:val="24"/>
        </w:rPr>
        <w:t xml:space="preserve"> responded to the advert and were invited to meet with AMS agents, Wilma and Ben Breytenbach (“</w:t>
      </w:r>
      <w:r w:rsidR="00C91298" w:rsidRPr="00A835EA">
        <w:rPr>
          <w:rFonts w:ascii="Arial" w:hAnsi="Arial" w:cs="Arial"/>
          <w:i/>
          <w:iCs/>
          <w:sz w:val="24"/>
          <w:szCs w:val="24"/>
        </w:rPr>
        <w:t>the Breytenbach’s</w:t>
      </w:r>
      <w:r w:rsidR="00C91298" w:rsidRPr="00A835EA">
        <w:rPr>
          <w:rFonts w:ascii="Arial" w:hAnsi="Arial" w:cs="Arial"/>
          <w:sz w:val="24"/>
          <w:szCs w:val="24"/>
        </w:rPr>
        <w:t>”)</w:t>
      </w:r>
      <w:r w:rsidR="002E7F53" w:rsidRPr="00A835EA">
        <w:rPr>
          <w:rFonts w:ascii="Arial" w:hAnsi="Arial" w:cs="Arial"/>
          <w:sz w:val="24"/>
          <w:szCs w:val="24"/>
        </w:rPr>
        <w:t xml:space="preserve"> at the offices of AMS in Humewood.  Significantly, the Breytenbach’s were the same AMS agents </w:t>
      </w:r>
      <w:r w:rsidR="00C91298" w:rsidRPr="00A835EA">
        <w:rPr>
          <w:rFonts w:ascii="Arial" w:hAnsi="Arial" w:cs="Arial"/>
          <w:sz w:val="24"/>
          <w:szCs w:val="24"/>
        </w:rPr>
        <w:t xml:space="preserve">who featured in </w:t>
      </w:r>
      <w:proofErr w:type="spellStart"/>
      <w:r w:rsidR="00C91298" w:rsidRPr="00A835EA">
        <w:rPr>
          <w:rFonts w:ascii="Arial" w:hAnsi="Arial" w:cs="Arial"/>
          <w:i/>
          <w:iCs/>
          <w:sz w:val="24"/>
          <w:szCs w:val="24"/>
        </w:rPr>
        <w:t>Tshatshu</w:t>
      </w:r>
      <w:proofErr w:type="spellEnd"/>
      <w:r w:rsidR="00C91298" w:rsidRPr="00A835EA">
        <w:rPr>
          <w:rFonts w:ascii="Arial" w:hAnsi="Arial" w:cs="Arial"/>
          <w:i/>
          <w:iCs/>
          <w:sz w:val="24"/>
          <w:szCs w:val="24"/>
        </w:rPr>
        <w:t>.</w:t>
      </w:r>
      <w:r w:rsidR="00C91298" w:rsidRPr="00A835EA">
        <w:rPr>
          <w:rFonts w:ascii="Arial" w:hAnsi="Arial" w:cs="Arial"/>
          <w:sz w:val="24"/>
          <w:szCs w:val="24"/>
        </w:rPr>
        <w:t xml:space="preserve"> </w:t>
      </w:r>
      <w:r w:rsidR="00550168" w:rsidRPr="00A835EA">
        <w:rPr>
          <w:rFonts w:ascii="Arial" w:hAnsi="Arial" w:cs="Arial"/>
          <w:sz w:val="24"/>
          <w:szCs w:val="24"/>
        </w:rPr>
        <w:t xml:space="preserve"> I pause to mention that the respondents, </w:t>
      </w:r>
      <w:r w:rsidR="002065F9" w:rsidRPr="00A835EA">
        <w:rPr>
          <w:rFonts w:ascii="Arial" w:hAnsi="Arial" w:cs="Arial"/>
          <w:sz w:val="24"/>
          <w:szCs w:val="24"/>
        </w:rPr>
        <w:t>notwithstanding this fact</w:t>
      </w:r>
      <w:r w:rsidR="004D13E9" w:rsidRPr="00A835EA">
        <w:rPr>
          <w:rFonts w:ascii="Arial" w:hAnsi="Arial" w:cs="Arial"/>
          <w:sz w:val="24"/>
          <w:szCs w:val="24"/>
        </w:rPr>
        <w:t xml:space="preserve">, coupled with </w:t>
      </w:r>
      <w:r w:rsidR="00550168" w:rsidRPr="00A835EA">
        <w:rPr>
          <w:rFonts w:ascii="Arial" w:hAnsi="Arial" w:cs="Arial"/>
          <w:sz w:val="24"/>
          <w:szCs w:val="24"/>
        </w:rPr>
        <w:t>the</w:t>
      </w:r>
      <w:r w:rsidR="002065F9" w:rsidRPr="00A835EA">
        <w:rPr>
          <w:rFonts w:ascii="Arial" w:hAnsi="Arial" w:cs="Arial"/>
          <w:sz w:val="24"/>
          <w:szCs w:val="24"/>
        </w:rPr>
        <w:t xml:space="preserve"> further</w:t>
      </w:r>
      <w:r w:rsidR="00550168" w:rsidRPr="00A835EA">
        <w:rPr>
          <w:rFonts w:ascii="Arial" w:hAnsi="Arial" w:cs="Arial"/>
          <w:sz w:val="24"/>
          <w:szCs w:val="24"/>
        </w:rPr>
        <w:t xml:space="preserve"> factual findings to which Reveals J </w:t>
      </w:r>
      <w:r w:rsidR="008A1C2C" w:rsidRPr="00A835EA">
        <w:rPr>
          <w:rFonts w:ascii="Arial" w:hAnsi="Arial" w:cs="Arial"/>
          <w:sz w:val="24"/>
          <w:szCs w:val="24"/>
        </w:rPr>
        <w:t>arrived</w:t>
      </w:r>
      <w:r w:rsidR="00550168" w:rsidRPr="00A835EA">
        <w:rPr>
          <w:rFonts w:ascii="Arial" w:hAnsi="Arial" w:cs="Arial"/>
          <w:sz w:val="24"/>
          <w:szCs w:val="24"/>
        </w:rPr>
        <w:t xml:space="preserve"> </w:t>
      </w:r>
      <w:r w:rsidR="004D13E9" w:rsidRPr="00A835EA">
        <w:rPr>
          <w:rFonts w:ascii="Arial" w:hAnsi="Arial" w:cs="Arial"/>
          <w:sz w:val="24"/>
          <w:szCs w:val="24"/>
        </w:rPr>
        <w:t>regarding</w:t>
      </w:r>
      <w:r w:rsidR="00550168" w:rsidRPr="00A835EA">
        <w:rPr>
          <w:rFonts w:ascii="Arial" w:hAnsi="Arial" w:cs="Arial"/>
          <w:sz w:val="24"/>
          <w:szCs w:val="24"/>
        </w:rPr>
        <w:t xml:space="preserve"> the fraudulent nature of the scheme, advanced no reason why the </w:t>
      </w:r>
      <w:r w:rsidR="00550168" w:rsidRPr="00A835EA">
        <w:rPr>
          <w:rFonts w:ascii="Arial" w:hAnsi="Arial" w:cs="Arial"/>
          <w:i/>
          <w:iCs/>
          <w:sz w:val="24"/>
          <w:szCs w:val="24"/>
        </w:rPr>
        <w:t>modus operandi</w:t>
      </w:r>
      <w:r w:rsidR="00550168" w:rsidRPr="00A835EA">
        <w:rPr>
          <w:rFonts w:ascii="Arial" w:hAnsi="Arial" w:cs="Arial"/>
          <w:sz w:val="24"/>
          <w:szCs w:val="24"/>
        </w:rPr>
        <w:t xml:space="preserve"> of AMS, through their agents, would be any different in respect of their dealings with the applicants. </w:t>
      </w:r>
      <w:r w:rsidR="00223C4B" w:rsidRPr="00A835EA">
        <w:rPr>
          <w:rFonts w:ascii="Arial" w:hAnsi="Arial" w:cs="Arial"/>
          <w:sz w:val="24"/>
          <w:szCs w:val="24"/>
        </w:rPr>
        <w:t xml:space="preserve"> </w:t>
      </w:r>
    </w:p>
    <w:p w14:paraId="604FCE9C" w14:textId="77777777" w:rsidR="00550168" w:rsidRPr="00550168" w:rsidRDefault="00550168" w:rsidP="003F4E2C">
      <w:pPr>
        <w:pStyle w:val="ListParagraph"/>
        <w:spacing w:after="0" w:line="480" w:lineRule="auto"/>
        <w:rPr>
          <w:rFonts w:ascii="Arial" w:hAnsi="Arial" w:cs="Arial"/>
          <w:sz w:val="24"/>
          <w:szCs w:val="24"/>
        </w:rPr>
      </w:pPr>
    </w:p>
    <w:p w14:paraId="0B4043D9" w14:textId="0292A761" w:rsidR="002E7F53" w:rsidRPr="00A835EA" w:rsidRDefault="00A835EA" w:rsidP="00A835EA">
      <w:pPr>
        <w:spacing w:after="0" w:line="480" w:lineRule="auto"/>
        <w:jc w:val="both"/>
        <w:rPr>
          <w:rFonts w:ascii="Arial" w:hAnsi="Arial" w:cs="Arial"/>
          <w:sz w:val="24"/>
          <w:szCs w:val="24"/>
        </w:rPr>
      </w:pPr>
      <w:r w:rsidRPr="00481B59">
        <w:rPr>
          <w:rFonts w:ascii="Arial" w:eastAsia="Times New Roman" w:hAnsi="Arial" w:cs="Arial"/>
          <w:kern w:val="0"/>
          <w:sz w:val="24"/>
          <w:szCs w:val="24"/>
        </w:rPr>
        <w:t>[14]</w:t>
      </w:r>
      <w:r w:rsidRPr="00481B59">
        <w:rPr>
          <w:rFonts w:ascii="Arial" w:eastAsia="Times New Roman" w:hAnsi="Arial" w:cs="Arial"/>
          <w:kern w:val="0"/>
          <w:sz w:val="24"/>
          <w:szCs w:val="24"/>
        </w:rPr>
        <w:tab/>
      </w:r>
      <w:r w:rsidR="00C91298" w:rsidRPr="00A835EA">
        <w:rPr>
          <w:rFonts w:ascii="Arial" w:hAnsi="Arial" w:cs="Arial"/>
          <w:sz w:val="24"/>
          <w:szCs w:val="24"/>
        </w:rPr>
        <w:t>On meeting with the Breytenbach’s, the applicants were advised that: (</w:t>
      </w:r>
      <w:proofErr w:type="spellStart"/>
      <w:r w:rsidR="00C91298" w:rsidRPr="00A835EA">
        <w:rPr>
          <w:rFonts w:ascii="Arial" w:hAnsi="Arial" w:cs="Arial"/>
          <w:sz w:val="24"/>
          <w:szCs w:val="24"/>
        </w:rPr>
        <w:t>i</w:t>
      </w:r>
      <w:proofErr w:type="spellEnd"/>
      <w:r w:rsidR="00C91298" w:rsidRPr="00A835EA">
        <w:rPr>
          <w:rFonts w:ascii="Arial" w:hAnsi="Arial" w:cs="Arial"/>
          <w:sz w:val="24"/>
          <w:szCs w:val="24"/>
        </w:rPr>
        <w:t>) they would qualify for a loan of R100,000.00; the immovable property would be placed in a company for safe-keeping until such time that the applicants’ loan had been repaid; and (iii)</w:t>
      </w:r>
      <w:r w:rsidR="002E7F53" w:rsidRPr="00A835EA">
        <w:rPr>
          <w:rFonts w:ascii="Arial" w:hAnsi="Arial" w:cs="Arial"/>
          <w:sz w:val="24"/>
          <w:szCs w:val="24"/>
        </w:rPr>
        <w:t xml:space="preserve"> the repayment structure would be confirmed during a further meeting.  </w:t>
      </w:r>
    </w:p>
    <w:p w14:paraId="33591450" w14:textId="364B8BD5" w:rsidR="00332E97" w:rsidRPr="00C91298" w:rsidRDefault="002E7F53" w:rsidP="00C91298">
      <w:pPr>
        <w:spacing w:after="0" w:line="480" w:lineRule="auto"/>
        <w:jc w:val="both"/>
        <w:rPr>
          <w:rFonts w:ascii="Arial" w:hAnsi="Arial" w:cs="Arial"/>
          <w:sz w:val="24"/>
          <w:szCs w:val="24"/>
        </w:rPr>
      </w:pPr>
      <w:r>
        <w:rPr>
          <w:rFonts w:ascii="Arial" w:hAnsi="Arial" w:cs="Arial"/>
          <w:sz w:val="24"/>
          <w:szCs w:val="24"/>
        </w:rPr>
        <w:t xml:space="preserve">  </w:t>
      </w:r>
    </w:p>
    <w:p w14:paraId="7A529405" w14:textId="6029CE16" w:rsidR="00C177D5"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[15]</w:t>
      </w:r>
      <w:r>
        <w:rPr>
          <w:rFonts w:ascii="Arial" w:eastAsia="Times New Roman" w:hAnsi="Arial" w:cs="Arial"/>
          <w:kern w:val="0"/>
          <w:sz w:val="24"/>
          <w:szCs w:val="24"/>
        </w:rPr>
        <w:tab/>
      </w:r>
      <w:r w:rsidR="007D3B46" w:rsidRPr="00A835EA">
        <w:rPr>
          <w:rFonts w:ascii="Arial" w:hAnsi="Arial" w:cs="Arial"/>
          <w:sz w:val="24"/>
          <w:szCs w:val="24"/>
        </w:rPr>
        <w:t>During the subsequent meeting, the applicants signed the document</w:t>
      </w:r>
      <w:r w:rsidR="00CB6549" w:rsidRPr="00A835EA">
        <w:rPr>
          <w:rFonts w:ascii="Arial" w:hAnsi="Arial" w:cs="Arial"/>
          <w:sz w:val="24"/>
          <w:szCs w:val="24"/>
        </w:rPr>
        <w:t>ation</w:t>
      </w:r>
      <w:r w:rsidR="007D3B46" w:rsidRPr="00A835EA">
        <w:rPr>
          <w:rFonts w:ascii="Arial" w:hAnsi="Arial" w:cs="Arial"/>
          <w:sz w:val="24"/>
          <w:szCs w:val="24"/>
        </w:rPr>
        <w:t xml:space="preserve"> presented to them, which they understood to serve as confirmation of the loan</w:t>
      </w:r>
      <w:r w:rsidR="00FE524D" w:rsidRPr="00A835EA">
        <w:rPr>
          <w:rFonts w:ascii="Arial" w:hAnsi="Arial" w:cs="Arial"/>
          <w:sz w:val="24"/>
          <w:szCs w:val="24"/>
        </w:rPr>
        <w:t xml:space="preserve"> (for which the immovable property would serve as security) and</w:t>
      </w:r>
      <w:r w:rsidR="00F06ECA" w:rsidRPr="00A835EA">
        <w:rPr>
          <w:rFonts w:ascii="Arial" w:hAnsi="Arial" w:cs="Arial"/>
          <w:sz w:val="24"/>
          <w:szCs w:val="24"/>
        </w:rPr>
        <w:t xml:space="preserve"> for the purposes of placing the immovable property “</w:t>
      </w:r>
      <w:r w:rsidR="00F06ECA" w:rsidRPr="00A835EA">
        <w:rPr>
          <w:rFonts w:ascii="Arial" w:hAnsi="Arial" w:cs="Arial"/>
          <w:i/>
          <w:iCs/>
          <w:sz w:val="24"/>
          <w:szCs w:val="24"/>
        </w:rPr>
        <w:t>into a company for safe-keeping</w:t>
      </w:r>
      <w:r w:rsidR="00F06ECA" w:rsidRPr="00A835EA">
        <w:rPr>
          <w:rFonts w:ascii="Arial" w:hAnsi="Arial" w:cs="Arial"/>
          <w:sz w:val="24"/>
          <w:szCs w:val="24"/>
        </w:rPr>
        <w:t>”</w:t>
      </w:r>
      <w:r w:rsidR="00AD3C95" w:rsidRPr="00A835EA">
        <w:rPr>
          <w:rFonts w:ascii="Arial" w:hAnsi="Arial" w:cs="Arial"/>
          <w:sz w:val="24"/>
          <w:szCs w:val="24"/>
        </w:rPr>
        <w:t>,</w:t>
      </w:r>
      <w:r w:rsidR="00F06ECA" w:rsidRPr="00A835EA">
        <w:rPr>
          <w:rFonts w:ascii="Arial" w:hAnsi="Arial" w:cs="Arial"/>
          <w:sz w:val="24"/>
          <w:szCs w:val="24"/>
        </w:rPr>
        <w:t xml:space="preserve"> but which instead constituted: (</w:t>
      </w:r>
      <w:proofErr w:type="spellStart"/>
      <w:r w:rsidR="00F06ECA" w:rsidRPr="00A835EA">
        <w:rPr>
          <w:rFonts w:ascii="Arial" w:hAnsi="Arial" w:cs="Arial"/>
          <w:sz w:val="24"/>
          <w:szCs w:val="24"/>
        </w:rPr>
        <w:t>i</w:t>
      </w:r>
      <w:proofErr w:type="spellEnd"/>
      <w:r w:rsidR="00F06ECA" w:rsidRPr="00A835EA">
        <w:rPr>
          <w:rFonts w:ascii="Arial" w:hAnsi="Arial" w:cs="Arial"/>
          <w:sz w:val="24"/>
          <w:szCs w:val="24"/>
        </w:rPr>
        <w:t>) a deed of sale entered into between the applicants and the second respondent in respect of the immovable property; (ii) an option to purchase the immovable property; (iii) a notice of cancellation; and (iv) a power of attorney to pass transfer.</w:t>
      </w:r>
      <w:r w:rsidR="00CA3CE3" w:rsidRPr="00A835EA">
        <w:rPr>
          <w:rFonts w:ascii="Arial" w:hAnsi="Arial" w:cs="Arial"/>
          <w:sz w:val="24"/>
          <w:szCs w:val="24"/>
        </w:rPr>
        <w:t xml:space="preserve">  The applicants, much like the applicants in </w:t>
      </w:r>
      <w:proofErr w:type="spellStart"/>
      <w:r w:rsidR="00CA3CE3" w:rsidRPr="00A835EA">
        <w:rPr>
          <w:rFonts w:ascii="Arial" w:hAnsi="Arial" w:cs="Arial"/>
          <w:i/>
          <w:iCs/>
          <w:sz w:val="24"/>
          <w:szCs w:val="24"/>
        </w:rPr>
        <w:t>Tshatshu</w:t>
      </w:r>
      <w:proofErr w:type="spellEnd"/>
      <w:r w:rsidR="00CA3CE3" w:rsidRPr="00A835EA">
        <w:rPr>
          <w:rFonts w:ascii="Arial" w:hAnsi="Arial" w:cs="Arial"/>
          <w:i/>
          <w:iCs/>
          <w:sz w:val="24"/>
          <w:szCs w:val="24"/>
        </w:rPr>
        <w:t xml:space="preserve">, </w:t>
      </w:r>
      <w:r w:rsidR="00CA3CE3" w:rsidRPr="00A835EA">
        <w:rPr>
          <w:rFonts w:ascii="Arial" w:hAnsi="Arial" w:cs="Arial"/>
          <w:sz w:val="24"/>
          <w:szCs w:val="24"/>
        </w:rPr>
        <w:t xml:space="preserve">were emphatic that </w:t>
      </w:r>
      <w:r w:rsidR="00CA3CE3" w:rsidRPr="00A835EA">
        <w:rPr>
          <w:rFonts w:ascii="Arial" w:hAnsi="Arial" w:cs="Arial"/>
          <w:sz w:val="24"/>
          <w:szCs w:val="24"/>
        </w:rPr>
        <w:lastRenderedPageBreak/>
        <w:t>they never realised that by signing the aforesaid documentation, they were selling their house to the second respondent.  This was never their intention.</w:t>
      </w:r>
      <w:r w:rsidR="00AB4812" w:rsidRPr="00A835EA">
        <w:rPr>
          <w:rFonts w:ascii="Arial" w:hAnsi="Arial" w:cs="Arial"/>
          <w:sz w:val="24"/>
          <w:szCs w:val="24"/>
        </w:rPr>
        <w:t xml:space="preserve">  As set out above, by entering into the agreements, the applicants alienated their</w:t>
      </w:r>
      <w:r w:rsidR="00C177D5" w:rsidRPr="00A835EA">
        <w:rPr>
          <w:rFonts w:ascii="Arial" w:hAnsi="Arial" w:cs="Arial"/>
          <w:sz w:val="24"/>
          <w:szCs w:val="24"/>
        </w:rPr>
        <w:t xml:space="preserve"> property to the second respondent for R785,000.00.  From this, the applicants “benefitted” from R231,548.01 as set out in paragraph [10] above.  I use the term benefitted loosely, as the amounts received were not unencumbered</w:t>
      </w:r>
      <w:r w:rsidR="007B2EE3" w:rsidRPr="00A835EA">
        <w:rPr>
          <w:rFonts w:ascii="Arial" w:hAnsi="Arial" w:cs="Arial"/>
          <w:sz w:val="24"/>
          <w:szCs w:val="24"/>
        </w:rPr>
        <w:t xml:space="preserve"> for the reasons set out above</w:t>
      </w:r>
      <w:r w:rsidR="00C177D5" w:rsidRPr="00A835EA">
        <w:rPr>
          <w:rFonts w:ascii="Arial" w:hAnsi="Arial" w:cs="Arial"/>
          <w:sz w:val="24"/>
          <w:szCs w:val="24"/>
        </w:rPr>
        <w:t>.</w:t>
      </w:r>
    </w:p>
    <w:p w14:paraId="4C6DED46" w14:textId="73EDB713" w:rsidR="009449FC" w:rsidRDefault="009449FC" w:rsidP="009449FC">
      <w:pPr>
        <w:pStyle w:val="ListParagraph"/>
        <w:spacing w:after="0" w:line="480" w:lineRule="auto"/>
        <w:ind w:left="0"/>
        <w:jc w:val="both"/>
        <w:rPr>
          <w:rFonts w:ascii="Arial" w:hAnsi="Arial" w:cs="Arial"/>
          <w:sz w:val="24"/>
          <w:szCs w:val="24"/>
        </w:rPr>
      </w:pPr>
    </w:p>
    <w:p w14:paraId="45965177" w14:textId="36F9E86D" w:rsidR="009449FC"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[16]</w:t>
      </w:r>
      <w:r>
        <w:rPr>
          <w:rFonts w:ascii="Arial" w:eastAsia="Times New Roman" w:hAnsi="Arial" w:cs="Arial"/>
          <w:kern w:val="0"/>
          <w:sz w:val="24"/>
          <w:szCs w:val="24"/>
        </w:rPr>
        <w:tab/>
      </w:r>
      <w:r w:rsidR="009449FC" w:rsidRPr="00A835EA">
        <w:rPr>
          <w:rFonts w:ascii="Arial" w:hAnsi="Arial" w:cs="Arial"/>
          <w:sz w:val="24"/>
          <w:szCs w:val="24"/>
        </w:rPr>
        <w:t xml:space="preserve">The R100,000.00 received in respect of the “loan” was utilised </w:t>
      </w:r>
      <w:r w:rsidR="00AD3C95" w:rsidRPr="00A835EA">
        <w:rPr>
          <w:rFonts w:ascii="Arial" w:hAnsi="Arial" w:cs="Arial"/>
          <w:sz w:val="24"/>
          <w:szCs w:val="24"/>
        </w:rPr>
        <w:t xml:space="preserve">by the applicants </w:t>
      </w:r>
      <w:r w:rsidR="009449FC" w:rsidRPr="00A835EA">
        <w:rPr>
          <w:rFonts w:ascii="Arial" w:hAnsi="Arial" w:cs="Arial"/>
          <w:sz w:val="24"/>
          <w:szCs w:val="24"/>
        </w:rPr>
        <w:t>to renovate the immovable property and to pay off household debt.</w:t>
      </w:r>
    </w:p>
    <w:p w14:paraId="19C52272" w14:textId="77777777" w:rsidR="009449FC" w:rsidRPr="009449FC" w:rsidRDefault="009449FC" w:rsidP="00AD3C95">
      <w:pPr>
        <w:pStyle w:val="ListParagraph"/>
        <w:spacing w:after="0" w:line="480" w:lineRule="auto"/>
        <w:rPr>
          <w:rFonts w:ascii="Arial" w:hAnsi="Arial" w:cs="Arial"/>
          <w:sz w:val="24"/>
          <w:szCs w:val="24"/>
        </w:rPr>
      </w:pPr>
    </w:p>
    <w:p w14:paraId="7C3D7D27" w14:textId="60B4E715" w:rsidR="007200FA" w:rsidRPr="00A835EA" w:rsidRDefault="00A835EA" w:rsidP="00A835EA">
      <w:pPr>
        <w:spacing w:after="0" w:line="480" w:lineRule="auto"/>
        <w:jc w:val="both"/>
        <w:rPr>
          <w:rFonts w:ascii="Arial" w:hAnsi="Arial" w:cs="Arial"/>
          <w:sz w:val="24"/>
          <w:szCs w:val="24"/>
        </w:rPr>
      </w:pPr>
      <w:r w:rsidRPr="009449FC">
        <w:rPr>
          <w:rFonts w:ascii="Arial" w:eastAsia="Times New Roman" w:hAnsi="Arial" w:cs="Arial"/>
          <w:kern w:val="0"/>
          <w:sz w:val="24"/>
          <w:szCs w:val="24"/>
        </w:rPr>
        <w:t>[17]</w:t>
      </w:r>
      <w:r w:rsidRPr="009449FC">
        <w:rPr>
          <w:rFonts w:ascii="Arial" w:eastAsia="Times New Roman" w:hAnsi="Arial" w:cs="Arial"/>
          <w:kern w:val="0"/>
          <w:sz w:val="24"/>
          <w:szCs w:val="24"/>
        </w:rPr>
        <w:tab/>
      </w:r>
      <w:r w:rsidR="009449FC" w:rsidRPr="00A835EA">
        <w:rPr>
          <w:rFonts w:ascii="Arial" w:hAnsi="Arial" w:cs="Arial"/>
          <w:sz w:val="24"/>
          <w:szCs w:val="24"/>
        </w:rPr>
        <w:t>Whilst the applicants</w:t>
      </w:r>
      <w:r w:rsidR="00EA00FD" w:rsidRPr="00A835EA">
        <w:rPr>
          <w:rFonts w:ascii="Arial" w:hAnsi="Arial" w:cs="Arial"/>
          <w:sz w:val="24"/>
          <w:szCs w:val="24"/>
        </w:rPr>
        <w:t xml:space="preserve"> </w:t>
      </w:r>
      <w:r w:rsidR="009449FC" w:rsidRPr="00A835EA">
        <w:rPr>
          <w:rFonts w:ascii="Arial" w:hAnsi="Arial" w:cs="Arial"/>
          <w:sz w:val="24"/>
          <w:szCs w:val="24"/>
        </w:rPr>
        <w:t>were initially liable for payment of an amount of R4,750.00 per month,</w:t>
      </w:r>
      <w:r w:rsidR="00EA00FD" w:rsidRPr="00A835EA">
        <w:rPr>
          <w:rFonts w:ascii="Arial" w:hAnsi="Arial" w:cs="Arial"/>
          <w:sz w:val="24"/>
          <w:szCs w:val="24"/>
        </w:rPr>
        <w:t xml:space="preserve"> under the agreement,</w:t>
      </w:r>
      <w:r w:rsidR="009449FC" w:rsidRPr="00A835EA">
        <w:rPr>
          <w:rFonts w:ascii="Arial" w:hAnsi="Arial" w:cs="Arial"/>
          <w:sz w:val="24"/>
          <w:szCs w:val="24"/>
        </w:rPr>
        <w:t xml:space="preserve"> this soon escalated to R7,100.00 per month.  All attempts to contact AMS to obtain reasons for the increase proved to be unsuccessful.</w:t>
      </w:r>
    </w:p>
    <w:p w14:paraId="4A6F65C9" w14:textId="77777777" w:rsidR="00481B59" w:rsidRDefault="00481B59" w:rsidP="00AD3C95">
      <w:pPr>
        <w:pStyle w:val="ListParagraph"/>
        <w:spacing w:after="0" w:line="480" w:lineRule="auto"/>
        <w:ind w:left="0"/>
        <w:jc w:val="both"/>
        <w:rPr>
          <w:rFonts w:ascii="Arial" w:hAnsi="Arial" w:cs="Arial"/>
          <w:sz w:val="24"/>
          <w:szCs w:val="24"/>
        </w:rPr>
      </w:pPr>
    </w:p>
    <w:p w14:paraId="1AECFFE1" w14:textId="69091035" w:rsidR="0057148D"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[18]</w:t>
      </w:r>
      <w:r>
        <w:rPr>
          <w:rFonts w:ascii="Arial" w:eastAsia="Times New Roman" w:hAnsi="Arial" w:cs="Arial"/>
          <w:kern w:val="0"/>
          <w:sz w:val="24"/>
          <w:szCs w:val="24"/>
        </w:rPr>
        <w:tab/>
      </w:r>
      <w:r w:rsidR="0057148D" w:rsidRPr="00A835EA">
        <w:rPr>
          <w:rFonts w:ascii="Arial" w:hAnsi="Arial" w:cs="Arial"/>
          <w:sz w:val="24"/>
          <w:szCs w:val="24"/>
        </w:rPr>
        <w:t>During or about late 2006; alternatively, early 2007, the applicants received a phone call from one Phillip Taljaard (“</w:t>
      </w:r>
      <w:r w:rsidR="0057148D" w:rsidRPr="00A835EA">
        <w:rPr>
          <w:rFonts w:ascii="Arial" w:hAnsi="Arial" w:cs="Arial"/>
          <w:i/>
          <w:iCs/>
          <w:sz w:val="24"/>
          <w:szCs w:val="24"/>
        </w:rPr>
        <w:t>Taljaard</w:t>
      </w:r>
      <w:r w:rsidR="0057148D" w:rsidRPr="00A835EA">
        <w:rPr>
          <w:rFonts w:ascii="Arial" w:hAnsi="Arial" w:cs="Arial"/>
          <w:sz w:val="24"/>
          <w:szCs w:val="24"/>
        </w:rPr>
        <w:t xml:space="preserve">”), who identified himself as AMS’ attorney.  Taljaard advised the applicants that AMS was the subject of investigation and that they should stop making payments to AMS.  </w:t>
      </w:r>
      <w:r w:rsidR="00055221" w:rsidRPr="00A835EA">
        <w:rPr>
          <w:rFonts w:ascii="Arial" w:hAnsi="Arial" w:cs="Arial"/>
          <w:sz w:val="24"/>
          <w:szCs w:val="24"/>
        </w:rPr>
        <w:t>T</w:t>
      </w:r>
      <w:r w:rsidR="0057148D" w:rsidRPr="00A835EA">
        <w:rPr>
          <w:rFonts w:ascii="Arial" w:hAnsi="Arial" w:cs="Arial"/>
          <w:sz w:val="24"/>
          <w:szCs w:val="24"/>
        </w:rPr>
        <w:t xml:space="preserve">he applicants acted in accordance with the advice received.  They attempted to contact the Breytenbach’s in an endeavour to obtain </w:t>
      </w:r>
      <w:r w:rsidR="006E6B9D" w:rsidRPr="00A835EA">
        <w:rPr>
          <w:rFonts w:ascii="Arial" w:hAnsi="Arial" w:cs="Arial"/>
          <w:sz w:val="24"/>
          <w:szCs w:val="24"/>
        </w:rPr>
        <w:t>further</w:t>
      </w:r>
      <w:r w:rsidR="0057148D" w:rsidRPr="00A835EA">
        <w:rPr>
          <w:rFonts w:ascii="Arial" w:hAnsi="Arial" w:cs="Arial"/>
          <w:sz w:val="24"/>
          <w:szCs w:val="24"/>
        </w:rPr>
        <w:t xml:space="preserve"> information, however their telephones had been disconnected.  All attempts to contact the AMS Head Office proved fruitless.  </w:t>
      </w:r>
      <w:r w:rsidR="002A1EE1" w:rsidRPr="00A835EA">
        <w:rPr>
          <w:rFonts w:ascii="Arial" w:hAnsi="Arial" w:cs="Arial"/>
          <w:sz w:val="24"/>
          <w:szCs w:val="24"/>
        </w:rPr>
        <w:t xml:space="preserve">The first applicant eventually traced Wilna Breytenbach via the Facebook social media platform, who advised </w:t>
      </w:r>
      <w:r w:rsidR="006F35BC" w:rsidRPr="00A835EA">
        <w:rPr>
          <w:rFonts w:ascii="Arial" w:hAnsi="Arial" w:cs="Arial"/>
          <w:sz w:val="24"/>
          <w:szCs w:val="24"/>
        </w:rPr>
        <w:t>her</w:t>
      </w:r>
      <w:r w:rsidR="002A1EE1" w:rsidRPr="00A835EA">
        <w:rPr>
          <w:rFonts w:ascii="Arial" w:hAnsi="Arial" w:cs="Arial"/>
          <w:sz w:val="24"/>
          <w:szCs w:val="24"/>
        </w:rPr>
        <w:t xml:space="preserve"> that “</w:t>
      </w:r>
      <w:r w:rsidR="002A1EE1" w:rsidRPr="00A835EA">
        <w:rPr>
          <w:rFonts w:ascii="Arial" w:hAnsi="Arial" w:cs="Arial"/>
          <w:i/>
          <w:iCs/>
          <w:sz w:val="24"/>
          <w:szCs w:val="24"/>
        </w:rPr>
        <w:t>AMS had deleted all data from the computers and had terminated the phone lines</w:t>
      </w:r>
      <w:r w:rsidR="002A1EE1" w:rsidRPr="00A835EA">
        <w:rPr>
          <w:rFonts w:ascii="Arial" w:hAnsi="Arial" w:cs="Arial"/>
          <w:sz w:val="24"/>
          <w:szCs w:val="24"/>
        </w:rPr>
        <w:t>”.</w:t>
      </w:r>
    </w:p>
    <w:p w14:paraId="657B1409" w14:textId="77777777" w:rsidR="002A1EE1" w:rsidRDefault="002A1EE1" w:rsidP="00481B59">
      <w:pPr>
        <w:pStyle w:val="ListParagraph"/>
        <w:spacing w:after="0" w:line="480" w:lineRule="auto"/>
        <w:ind w:left="0"/>
        <w:jc w:val="both"/>
        <w:rPr>
          <w:rFonts w:ascii="Arial" w:hAnsi="Arial" w:cs="Arial"/>
          <w:sz w:val="24"/>
          <w:szCs w:val="24"/>
        </w:rPr>
      </w:pPr>
    </w:p>
    <w:p w14:paraId="5D2A54AD" w14:textId="5209D5A6" w:rsidR="009449FC"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lastRenderedPageBreak/>
        <w:t>[19]</w:t>
      </w:r>
      <w:r>
        <w:rPr>
          <w:rFonts w:ascii="Arial" w:eastAsia="Times New Roman" w:hAnsi="Arial" w:cs="Arial"/>
          <w:kern w:val="0"/>
          <w:sz w:val="24"/>
          <w:szCs w:val="24"/>
        </w:rPr>
        <w:tab/>
      </w:r>
      <w:r w:rsidR="002A1EE1" w:rsidRPr="00A835EA">
        <w:rPr>
          <w:rFonts w:ascii="Arial" w:hAnsi="Arial" w:cs="Arial"/>
          <w:sz w:val="24"/>
          <w:szCs w:val="24"/>
        </w:rPr>
        <w:t>During 2010, the applicants approached attorney, Eugene Raymond (“</w:t>
      </w:r>
      <w:r w:rsidR="002A1EE1" w:rsidRPr="00A835EA">
        <w:rPr>
          <w:rFonts w:ascii="Arial" w:hAnsi="Arial" w:cs="Arial"/>
          <w:i/>
          <w:iCs/>
          <w:sz w:val="24"/>
          <w:szCs w:val="24"/>
        </w:rPr>
        <w:t>Raymond</w:t>
      </w:r>
      <w:r w:rsidR="002A1EE1" w:rsidRPr="00A835EA">
        <w:rPr>
          <w:rFonts w:ascii="Arial" w:hAnsi="Arial" w:cs="Arial"/>
          <w:sz w:val="24"/>
          <w:szCs w:val="24"/>
        </w:rPr>
        <w:t xml:space="preserve">”), to investigate the matter and to establish the position regarding the immovable property.  Whilst Raymond made initial inquiries regarding the loan, he passed away shortly </w:t>
      </w:r>
      <w:r w:rsidR="006F35BC" w:rsidRPr="00A835EA">
        <w:rPr>
          <w:rFonts w:ascii="Arial" w:hAnsi="Arial" w:cs="Arial"/>
          <w:sz w:val="24"/>
          <w:szCs w:val="24"/>
        </w:rPr>
        <w:t>thereafter</w:t>
      </w:r>
      <w:r w:rsidR="002A1EE1" w:rsidRPr="00A835EA">
        <w:rPr>
          <w:rFonts w:ascii="Arial" w:hAnsi="Arial" w:cs="Arial"/>
          <w:sz w:val="24"/>
          <w:szCs w:val="24"/>
        </w:rPr>
        <w:t>.</w:t>
      </w:r>
    </w:p>
    <w:p w14:paraId="7D9638D4" w14:textId="77777777" w:rsidR="006F35BC" w:rsidRDefault="006F35BC" w:rsidP="006F35BC">
      <w:pPr>
        <w:pStyle w:val="ListParagraph"/>
        <w:spacing w:after="0" w:line="480" w:lineRule="auto"/>
        <w:ind w:left="0"/>
        <w:jc w:val="both"/>
        <w:rPr>
          <w:rFonts w:ascii="Arial" w:hAnsi="Arial" w:cs="Arial"/>
          <w:sz w:val="24"/>
          <w:szCs w:val="24"/>
        </w:rPr>
      </w:pPr>
    </w:p>
    <w:p w14:paraId="1EB32D7F" w14:textId="7B077B00" w:rsidR="009F767E"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[20]</w:t>
      </w:r>
      <w:r>
        <w:rPr>
          <w:rFonts w:ascii="Arial" w:eastAsia="Times New Roman" w:hAnsi="Arial" w:cs="Arial"/>
          <w:kern w:val="0"/>
          <w:sz w:val="24"/>
          <w:szCs w:val="24"/>
        </w:rPr>
        <w:tab/>
      </w:r>
      <w:r w:rsidR="002A1EE1" w:rsidRPr="00A835EA">
        <w:rPr>
          <w:rFonts w:ascii="Arial" w:hAnsi="Arial" w:cs="Arial"/>
          <w:sz w:val="24"/>
          <w:szCs w:val="24"/>
        </w:rPr>
        <w:t xml:space="preserve">The applicants, acting on the assumption that they would be contacted by an official from AMS or an attorney acting on its behalf, took no further steps for a period of four years until they were contacted by attorney Claude </w:t>
      </w:r>
      <w:proofErr w:type="spellStart"/>
      <w:r w:rsidR="002A1EE1" w:rsidRPr="00A835EA">
        <w:rPr>
          <w:rFonts w:ascii="Arial" w:hAnsi="Arial" w:cs="Arial"/>
          <w:sz w:val="24"/>
          <w:szCs w:val="24"/>
        </w:rPr>
        <w:t>Knoesen</w:t>
      </w:r>
      <w:proofErr w:type="spellEnd"/>
      <w:r w:rsidR="009F767E" w:rsidRPr="00A835EA">
        <w:rPr>
          <w:rFonts w:ascii="Arial" w:hAnsi="Arial" w:cs="Arial"/>
          <w:sz w:val="24"/>
          <w:szCs w:val="24"/>
        </w:rPr>
        <w:t xml:space="preserve"> (“</w:t>
      </w:r>
      <w:proofErr w:type="spellStart"/>
      <w:r w:rsidR="009F767E" w:rsidRPr="00A835EA">
        <w:rPr>
          <w:rFonts w:ascii="Arial" w:hAnsi="Arial" w:cs="Arial"/>
          <w:i/>
          <w:iCs/>
          <w:sz w:val="24"/>
          <w:szCs w:val="24"/>
        </w:rPr>
        <w:t>Knoesen</w:t>
      </w:r>
      <w:proofErr w:type="spellEnd"/>
      <w:r w:rsidR="009F767E" w:rsidRPr="00A835EA">
        <w:rPr>
          <w:rFonts w:ascii="Arial" w:hAnsi="Arial" w:cs="Arial"/>
          <w:sz w:val="24"/>
          <w:szCs w:val="24"/>
        </w:rPr>
        <w:t>”).</w:t>
      </w:r>
      <w:r w:rsidR="00A57EEA">
        <w:rPr>
          <w:rStyle w:val="FootnoteReference"/>
          <w:rFonts w:ascii="Arial" w:hAnsi="Arial" w:cs="Arial"/>
          <w:sz w:val="24"/>
          <w:szCs w:val="24"/>
        </w:rPr>
        <w:footnoteReference w:id="6"/>
      </w:r>
      <w:r w:rsidR="009F767E" w:rsidRPr="00A835EA">
        <w:rPr>
          <w:rFonts w:ascii="Arial" w:hAnsi="Arial" w:cs="Arial"/>
          <w:sz w:val="24"/>
          <w:szCs w:val="24"/>
        </w:rPr>
        <w:t xml:space="preserve">  According to the applicants, </w:t>
      </w:r>
      <w:proofErr w:type="spellStart"/>
      <w:r w:rsidR="009F767E" w:rsidRPr="00A835EA">
        <w:rPr>
          <w:rFonts w:ascii="Arial" w:hAnsi="Arial" w:cs="Arial"/>
          <w:sz w:val="24"/>
          <w:szCs w:val="24"/>
        </w:rPr>
        <w:t>Knoesen</w:t>
      </w:r>
      <w:proofErr w:type="spellEnd"/>
      <w:r w:rsidR="009F767E" w:rsidRPr="00A835EA">
        <w:rPr>
          <w:rFonts w:ascii="Arial" w:hAnsi="Arial" w:cs="Arial"/>
          <w:sz w:val="24"/>
          <w:szCs w:val="24"/>
        </w:rPr>
        <w:t xml:space="preserve"> advised them that they owed a gentleman by the name of Don Fraser, the third </w:t>
      </w:r>
      <w:r w:rsidR="00FA5DB1" w:rsidRPr="00A835EA">
        <w:rPr>
          <w:rFonts w:ascii="Arial" w:hAnsi="Arial" w:cs="Arial"/>
          <w:sz w:val="24"/>
          <w:szCs w:val="24"/>
        </w:rPr>
        <w:t>respondent</w:t>
      </w:r>
      <w:r w:rsidR="009F767E" w:rsidRPr="00A835EA">
        <w:rPr>
          <w:rFonts w:ascii="Arial" w:hAnsi="Arial" w:cs="Arial"/>
          <w:sz w:val="24"/>
          <w:szCs w:val="24"/>
        </w:rPr>
        <w:t xml:space="preserve"> in these proceedings, money and that they had been living in his home free of charge for a period of seven years.  The applicants </w:t>
      </w:r>
      <w:r w:rsidR="00EA2418" w:rsidRPr="00A835EA">
        <w:rPr>
          <w:rFonts w:ascii="Arial" w:hAnsi="Arial" w:cs="Arial"/>
          <w:sz w:val="24"/>
          <w:szCs w:val="24"/>
        </w:rPr>
        <w:t xml:space="preserve">state that they were </w:t>
      </w:r>
      <w:r w:rsidR="009F767E" w:rsidRPr="00A835EA">
        <w:rPr>
          <w:rFonts w:ascii="Arial" w:hAnsi="Arial" w:cs="Arial"/>
          <w:sz w:val="24"/>
          <w:szCs w:val="24"/>
        </w:rPr>
        <w:t>shocked and dismayed by what was conveyed to them.  They did not know who Don Fraser was.</w:t>
      </w:r>
    </w:p>
    <w:p w14:paraId="5AE517E8" w14:textId="77777777" w:rsidR="009F767E" w:rsidRPr="009F767E" w:rsidRDefault="009F767E" w:rsidP="00481B59">
      <w:pPr>
        <w:pStyle w:val="ListParagraph"/>
        <w:spacing w:after="0" w:line="480" w:lineRule="auto"/>
        <w:rPr>
          <w:rFonts w:ascii="Arial" w:hAnsi="Arial" w:cs="Arial"/>
          <w:sz w:val="24"/>
          <w:szCs w:val="24"/>
        </w:rPr>
      </w:pPr>
    </w:p>
    <w:p w14:paraId="1127C1CE" w14:textId="7E9716B5" w:rsidR="009F767E"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[21]</w:t>
      </w:r>
      <w:r>
        <w:rPr>
          <w:rFonts w:ascii="Arial" w:eastAsia="Times New Roman" w:hAnsi="Arial" w:cs="Arial"/>
          <w:kern w:val="0"/>
          <w:sz w:val="24"/>
          <w:szCs w:val="24"/>
        </w:rPr>
        <w:tab/>
      </w:r>
      <w:r w:rsidR="009F767E" w:rsidRPr="00A835EA">
        <w:rPr>
          <w:rFonts w:ascii="Arial" w:hAnsi="Arial" w:cs="Arial"/>
          <w:sz w:val="24"/>
          <w:szCs w:val="24"/>
        </w:rPr>
        <w:t xml:space="preserve">Ultimately, the applicants contend that </w:t>
      </w:r>
      <w:proofErr w:type="spellStart"/>
      <w:r w:rsidR="009F767E" w:rsidRPr="00A835EA">
        <w:rPr>
          <w:rFonts w:ascii="Arial" w:hAnsi="Arial" w:cs="Arial"/>
          <w:sz w:val="24"/>
          <w:szCs w:val="24"/>
        </w:rPr>
        <w:t>Knoesen</w:t>
      </w:r>
      <w:proofErr w:type="spellEnd"/>
      <w:r w:rsidR="009F767E" w:rsidRPr="00A835EA">
        <w:rPr>
          <w:rFonts w:ascii="Arial" w:hAnsi="Arial" w:cs="Arial"/>
          <w:sz w:val="24"/>
          <w:szCs w:val="24"/>
        </w:rPr>
        <w:t xml:space="preserve"> advised them that they had no choice but to move out of the immovable property as it no longer belonged to them. The applicants, under threat of legal consequences should they refuse to vacate the </w:t>
      </w:r>
      <w:r w:rsidR="009F767E" w:rsidRPr="00A835EA">
        <w:rPr>
          <w:rFonts w:ascii="Arial" w:hAnsi="Arial" w:cs="Arial"/>
          <w:sz w:val="24"/>
          <w:szCs w:val="24"/>
        </w:rPr>
        <w:lastRenderedPageBreak/>
        <w:t>immovable property and believing to be lacking any form of a remedy, reluctantly vacated the immovable property.</w:t>
      </w:r>
    </w:p>
    <w:p w14:paraId="3D42B7DB" w14:textId="77777777" w:rsidR="009F767E" w:rsidRPr="009F767E" w:rsidRDefault="009F767E" w:rsidP="00481B59">
      <w:pPr>
        <w:pStyle w:val="ListParagraph"/>
        <w:spacing w:after="0" w:line="480" w:lineRule="auto"/>
        <w:rPr>
          <w:rFonts w:ascii="Arial" w:hAnsi="Arial" w:cs="Arial"/>
          <w:sz w:val="24"/>
          <w:szCs w:val="24"/>
        </w:rPr>
      </w:pPr>
    </w:p>
    <w:p w14:paraId="2B180FB3" w14:textId="1BF4A6D8" w:rsidR="002A1EE1"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[22]</w:t>
      </w:r>
      <w:r>
        <w:rPr>
          <w:rFonts w:ascii="Arial" w:eastAsia="Times New Roman" w:hAnsi="Arial" w:cs="Arial"/>
          <w:kern w:val="0"/>
          <w:sz w:val="24"/>
          <w:szCs w:val="24"/>
        </w:rPr>
        <w:tab/>
      </w:r>
      <w:r w:rsidR="002A1EE1" w:rsidRPr="00A835EA">
        <w:rPr>
          <w:rFonts w:ascii="Arial" w:hAnsi="Arial" w:cs="Arial"/>
          <w:sz w:val="24"/>
          <w:szCs w:val="24"/>
        </w:rPr>
        <w:t xml:space="preserve"> </w:t>
      </w:r>
      <w:r w:rsidR="009F767E" w:rsidRPr="00A835EA">
        <w:rPr>
          <w:rFonts w:ascii="Arial" w:hAnsi="Arial" w:cs="Arial"/>
          <w:sz w:val="24"/>
          <w:szCs w:val="24"/>
        </w:rPr>
        <w:t>Later during 2016</w:t>
      </w:r>
      <w:r w:rsidR="00481B59" w:rsidRPr="00A835EA">
        <w:rPr>
          <w:rFonts w:ascii="Arial" w:hAnsi="Arial" w:cs="Arial"/>
          <w:sz w:val="24"/>
          <w:szCs w:val="24"/>
        </w:rPr>
        <w:t>,</w:t>
      </w:r>
      <w:r w:rsidR="009F767E" w:rsidRPr="00A835EA">
        <w:rPr>
          <w:rFonts w:ascii="Arial" w:hAnsi="Arial" w:cs="Arial"/>
          <w:sz w:val="24"/>
          <w:szCs w:val="24"/>
        </w:rPr>
        <w:t xml:space="preserve"> the applicants, having read about </w:t>
      </w:r>
      <w:proofErr w:type="spellStart"/>
      <w:r w:rsidR="009F767E" w:rsidRPr="00A835EA">
        <w:rPr>
          <w:rFonts w:ascii="Arial" w:hAnsi="Arial" w:cs="Arial"/>
          <w:i/>
          <w:iCs/>
          <w:sz w:val="24"/>
          <w:szCs w:val="24"/>
        </w:rPr>
        <w:t>Tshatshu</w:t>
      </w:r>
      <w:proofErr w:type="spellEnd"/>
      <w:r w:rsidR="009F767E" w:rsidRPr="00A835EA">
        <w:rPr>
          <w:rFonts w:ascii="Arial" w:hAnsi="Arial" w:cs="Arial"/>
          <w:i/>
          <w:iCs/>
          <w:sz w:val="24"/>
          <w:szCs w:val="24"/>
        </w:rPr>
        <w:t xml:space="preserve"> </w:t>
      </w:r>
      <w:r w:rsidR="009F767E" w:rsidRPr="00A835EA">
        <w:rPr>
          <w:rFonts w:ascii="Arial" w:hAnsi="Arial" w:cs="Arial"/>
          <w:sz w:val="24"/>
          <w:szCs w:val="24"/>
        </w:rPr>
        <w:t>in the local newspaper, approached the Legal Resources Centre for legal assistance, which thereafter culminated in the present appl</w:t>
      </w:r>
      <w:r w:rsidR="00481B59" w:rsidRPr="00A835EA">
        <w:rPr>
          <w:rFonts w:ascii="Arial" w:hAnsi="Arial" w:cs="Arial"/>
          <w:sz w:val="24"/>
          <w:szCs w:val="24"/>
        </w:rPr>
        <w:t>i</w:t>
      </w:r>
      <w:r w:rsidR="009F767E" w:rsidRPr="00A835EA">
        <w:rPr>
          <w:rFonts w:ascii="Arial" w:hAnsi="Arial" w:cs="Arial"/>
          <w:sz w:val="24"/>
          <w:szCs w:val="24"/>
        </w:rPr>
        <w:t>cation</w:t>
      </w:r>
      <w:r w:rsidR="00481B59" w:rsidRPr="00A835EA">
        <w:rPr>
          <w:rFonts w:ascii="Arial" w:hAnsi="Arial" w:cs="Arial"/>
          <w:sz w:val="24"/>
          <w:szCs w:val="24"/>
        </w:rPr>
        <w:t>.  It was only at this juncture that the machinations of the scheme became known to them.</w:t>
      </w:r>
    </w:p>
    <w:p w14:paraId="146DA673" w14:textId="77777777" w:rsidR="00481B59" w:rsidRPr="00481B59" w:rsidRDefault="00481B59" w:rsidP="00816155">
      <w:pPr>
        <w:pStyle w:val="ListParagraph"/>
        <w:spacing w:after="0" w:line="480" w:lineRule="auto"/>
        <w:rPr>
          <w:rFonts w:ascii="Arial" w:hAnsi="Arial" w:cs="Arial"/>
          <w:sz w:val="24"/>
          <w:szCs w:val="24"/>
        </w:rPr>
      </w:pPr>
    </w:p>
    <w:p w14:paraId="539D8629" w14:textId="2672BE32" w:rsidR="00C203F1"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[23]</w:t>
      </w:r>
      <w:r>
        <w:rPr>
          <w:rFonts w:ascii="Arial" w:eastAsia="Times New Roman" w:hAnsi="Arial" w:cs="Arial"/>
          <w:kern w:val="0"/>
          <w:sz w:val="24"/>
          <w:szCs w:val="24"/>
        </w:rPr>
        <w:tab/>
      </w:r>
      <w:r w:rsidR="00481B59" w:rsidRPr="00A835EA">
        <w:rPr>
          <w:rFonts w:ascii="Arial" w:hAnsi="Arial" w:cs="Arial"/>
          <w:sz w:val="24"/>
          <w:szCs w:val="24"/>
        </w:rPr>
        <w:t xml:space="preserve">As foreshadowed above, the respondents argue that the applicants, at all material times, had the requisite intention to dispose of the immovable property.  Whilst </w:t>
      </w:r>
      <w:r w:rsidR="00C203F1" w:rsidRPr="00A835EA">
        <w:rPr>
          <w:rFonts w:ascii="Arial" w:hAnsi="Arial" w:cs="Arial"/>
          <w:sz w:val="24"/>
          <w:szCs w:val="24"/>
        </w:rPr>
        <w:t>the respondents c</w:t>
      </w:r>
      <w:r w:rsidR="00481B59" w:rsidRPr="00A835EA">
        <w:rPr>
          <w:rFonts w:ascii="Arial" w:hAnsi="Arial" w:cs="Arial"/>
          <w:sz w:val="24"/>
          <w:szCs w:val="24"/>
        </w:rPr>
        <w:t>onced</w:t>
      </w:r>
      <w:r w:rsidR="00C203F1" w:rsidRPr="00A835EA">
        <w:rPr>
          <w:rFonts w:ascii="Arial" w:hAnsi="Arial" w:cs="Arial"/>
          <w:sz w:val="24"/>
          <w:szCs w:val="24"/>
        </w:rPr>
        <w:t>e</w:t>
      </w:r>
      <w:r w:rsidR="00481B59" w:rsidRPr="00A835EA">
        <w:rPr>
          <w:rFonts w:ascii="Arial" w:hAnsi="Arial" w:cs="Arial"/>
          <w:sz w:val="24"/>
          <w:szCs w:val="24"/>
        </w:rPr>
        <w:t xml:space="preserve"> that</w:t>
      </w:r>
      <w:r w:rsidR="00F41E72" w:rsidRPr="00A835EA">
        <w:rPr>
          <w:rFonts w:ascii="Arial" w:hAnsi="Arial" w:cs="Arial"/>
          <w:sz w:val="24"/>
          <w:szCs w:val="24"/>
        </w:rPr>
        <w:t xml:space="preserve"> they have no direct knowledge of</w:t>
      </w:r>
      <w:r w:rsidR="00187139" w:rsidRPr="00A835EA">
        <w:rPr>
          <w:rFonts w:ascii="Arial" w:hAnsi="Arial" w:cs="Arial"/>
          <w:sz w:val="24"/>
          <w:szCs w:val="24"/>
        </w:rPr>
        <w:t>: (</w:t>
      </w:r>
      <w:proofErr w:type="spellStart"/>
      <w:r w:rsidR="00187139" w:rsidRPr="00A835EA">
        <w:rPr>
          <w:rFonts w:ascii="Arial" w:hAnsi="Arial" w:cs="Arial"/>
          <w:sz w:val="24"/>
          <w:szCs w:val="24"/>
        </w:rPr>
        <w:t>i</w:t>
      </w:r>
      <w:proofErr w:type="spellEnd"/>
      <w:r w:rsidR="00187139" w:rsidRPr="00A835EA">
        <w:rPr>
          <w:rFonts w:ascii="Arial" w:hAnsi="Arial" w:cs="Arial"/>
          <w:sz w:val="24"/>
          <w:szCs w:val="24"/>
        </w:rPr>
        <w:t>)</w:t>
      </w:r>
      <w:r w:rsidR="00481B59" w:rsidRPr="00A835EA">
        <w:rPr>
          <w:rFonts w:ascii="Arial" w:hAnsi="Arial" w:cs="Arial"/>
          <w:sz w:val="24"/>
          <w:szCs w:val="24"/>
        </w:rPr>
        <w:t xml:space="preserve"> the facts set forth by the applicants, including their engagement with AMS and </w:t>
      </w:r>
      <w:r w:rsidR="00C203F1" w:rsidRPr="00A835EA">
        <w:rPr>
          <w:rFonts w:ascii="Arial" w:hAnsi="Arial" w:cs="Arial"/>
          <w:sz w:val="24"/>
          <w:szCs w:val="24"/>
        </w:rPr>
        <w:t>the Breytenbach’s</w:t>
      </w:r>
      <w:r w:rsidR="00187139" w:rsidRPr="00A835EA">
        <w:rPr>
          <w:rFonts w:ascii="Arial" w:hAnsi="Arial" w:cs="Arial"/>
          <w:sz w:val="24"/>
          <w:szCs w:val="24"/>
        </w:rPr>
        <w:t>; and (ii) the fraudulent nature of the scheme</w:t>
      </w:r>
      <w:r w:rsidR="006F0B0B" w:rsidRPr="00A835EA">
        <w:rPr>
          <w:rFonts w:ascii="Arial" w:hAnsi="Arial" w:cs="Arial"/>
          <w:sz w:val="24"/>
          <w:szCs w:val="24"/>
        </w:rPr>
        <w:t xml:space="preserve"> (which they do not deny)</w:t>
      </w:r>
      <w:r w:rsidR="00187139" w:rsidRPr="00A835EA">
        <w:rPr>
          <w:rFonts w:ascii="Arial" w:hAnsi="Arial" w:cs="Arial"/>
          <w:sz w:val="24"/>
          <w:szCs w:val="24"/>
        </w:rPr>
        <w:t>,</w:t>
      </w:r>
      <w:r w:rsidR="00C203F1" w:rsidRPr="00A835EA">
        <w:rPr>
          <w:rFonts w:ascii="Arial" w:hAnsi="Arial" w:cs="Arial"/>
          <w:sz w:val="24"/>
          <w:szCs w:val="24"/>
        </w:rPr>
        <w:t xml:space="preserve"> they argue that it is inconceivable that a person such as the first applicant, who was employed as a personal assistant to a life insurance broker at Mortgage SA at the time of contracting with AMS, would sign all of the document</w:t>
      </w:r>
      <w:r w:rsidR="008C06CF" w:rsidRPr="00A835EA">
        <w:rPr>
          <w:rFonts w:ascii="Arial" w:hAnsi="Arial" w:cs="Arial"/>
          <w:sz w:val="24"/>
          <w:szCs w:val="24"/>
        </w:rPr>
        <w:t>ation</w:t>
      </w:r>
      <w:r w:rsidR="00C203F1" w:rsidRPr="00A835EA">
        <w:rPr>
          <w:rFonts w:ascii="Arial" w:hAnsi="Arial" w:cs="Arial"/>
          <w:sz w:val="24"/>
          <w:szCs w:val="24"/>
        </w:rPr>
        <w:t xml:space="preserve"> and still be under the impression that the</w:t>
      </w:r>
      <w:r w:rsidR="0055099C" w:rsidRPr="00A835EA">
        <w:rPr>
          <w:rFonts w:ascii="Arial" w:hAnsi="Arial" w:cs="Arial"/>
          <w:sz w:val="24"/>
          <w:szCs w:val="24"/>
        </w:rPr>
        <w:t>y</w:t>
      </w:r>
      <w:r w:rsidR="00C203F1" w:rsidRPr="00A835EA">
        <w:rPr>
          <w:rFonts w:ascii="Arial" w:hAnsi="Arial" w:cs="Arial"/>
          <w:sz w:val="24"/>
          <w:szCs w:val="24"/>
        </w:rPr>
        <w:t xml:space="preserve"> were only applying for a loan and that the immovable property was not being sold to the second respondent.  On this basis, it was contended that a real agreement between the applicants and the second respondent was concluded in order to transfer ownership of the immovable property to the second respondent, who obtained good title to the property.  This is the very same argument that was raised in </w:t>
      </w:r>
      <w:proofErr w:type="spellStart"/>
      <w:r w:rsidR="00C203F1" w:rsidRPr="00A835EA">
        <w:rPr>
          <w:rFonts w:ascii="Arial" w:hAnsi="Arial" w:cs="Arial"/>
          <w:i/>
          <w:iCs/>
          <w:sz w:val="24"/>
          <w:szCs w:val="24"/>
        </w:rPr>
        <w:t>Tshatshu</w:t>
      </w:r>
      <w:proofErr w:type="spellEnd"/>
      <w:r w:rsidR="00C203F1" w:rsidRPr="00A835EA">
        <w:rPr>
          <w:rFonts w:ascii="Arial" w:hAnsi="Arial" w:cs="Arial"/>
          <w:i/>
          <w:iCs/>
          <w:sz w:val="24"/>
          <w:szCs w:val="24"/>
        </w:rPr>
        <w:t>.</w:t>
      </w:r>
    </w:p>
    <w:p w14:paraId="5D30ADEE" w14:textId="77777777" w:rsidR="00C203F1" w:rsidRPr="00C203F1" w:rsidRDefault="00C203F1" w:rsidP="006F0B0B">
      <w:pPr>
        <w:pStyle w:val="ListParagraph"/>
        <w:spacing w:after="0" w:line="480" w:lineRule="auto"/>
        <w:rPr>
          <w:rFonts w:ascii="Arial" w:hAnsi="Arial" w:cs="Arial"/>
          <w:sz w:val="24"/>
          <w:szCs w:val="24"/>
        </w:rPr>
      </w:pPr>
    </w:p>
    <w:p w14:paraId="0D4BA4FE" w14:textId="6103FEF4" w:rsidR="00187139"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[24]</w:t>
      </w:r>
      <w:r>
        <w:rPr>
          <w:rFonts w:ascii="Arial" w:eastAsia="Times New Roman" w:hAnsi="Arial" w:cs="Arial"/>
          <w:kern w:val="0"/>
          <w:sz w:val="24"/>
          <w:szCs w:val="24"/>
        </w:rPr>
        <w:tab/>
      </w:r>
      <w:r w:rsidR="00187139" w:rsidRPr="00A835EA">
        <w:rPr>
          <w:rFonts w:ascii="Arial" w:hAnsi="Arial" w:cs="Arial"/>
          <w:sz w:val="24"/>
          <w:szCs w:val="24"/>
        </w:rPr>
        <w:t>As succinctly set out by Revela</w:t>
      </w:r>
      <w:r w:rsidR="007D322E" w:rsidRPr="00A835EA">
        <w:rPr>
          <w:rFonts w:ascii="Arial" w:hAnsi="Arial" w:cs="Arial"/>
          <w:sz w:val="24"/>
          <w:szCs w:val="24"/>
        </w:rPr>
        <w:t>s</w:t>
      </w:r>
      <w:r w:rsidR="00187139" w:rsidRPr="00A835EA">
        <w:rPr>
          <w:rFonts w:ascii="Arial" w:hAnsi="Arial" w:cs="Arial"/>
          <w:sz w:val="24"/>
          <w:szCs w:val="24"/>
        </w:rPr>
        <w:t xml:space="preserve"> J at paragraph [39] of </w:t>
      </w:r>
      <w:proofErr w:type="spellStart"/>
      <w:r w:rsidR="00187139" w:rsidRPr="00A835EA">
        <w:rPr>
          <w:rFonts w:ascii="Arial" w:hAnsi="Arial" w:cs="Arial"/>
          <w:i/>
          <w:iCs/>
          <w:sz w:val="24"/>
          <w:szCs w:val="24"/>
        </w:rPr>
        <w:t>Tshatshu</w:t>
      </w:r>
      <w:proofErr w:type="spellEnd"/>
      <w:r w:rsidR="00187139" w:rsidRPr="00A835EA">
        <w:rPr>
          <w:rFonts w:ascii="Arial" w:hAnsi="Arial" w:cs="Arial"/>
          <w:sz w:val="24"/>
          <w:szCs w:val="24"/>
        </w:rPr>
        <w:t>, with reference to various other decisions pertaining to reverse mortgage schemes:</w:t>
      </w:r>
    </w:p>
    <w:p w14:paraId="2A055940" w14:textId="77777777" w:rsidR="00187139" w:rsidRDefault="00187139" w:rsidP="00187139">
      <w:pPr>
        <w:rPr>
          <w:rFonts w:ascii="Arial" w:hAnsi="Arial" w:cs="Arial"/>
          <w:sz w:val="24"/>
          <w:szCs w:val="24"/>
        </w:rPr>
      </w:pPr>
    </w:p>
    <w:p w14:paraId="5ADBF23A" w14:textId="426DA14D" w:rsidR="00187139" w:rsidRPr="00187139" w:rsidRDefault="00187139" w:rsidP="00187139">
      <w:pPr>
        <w:spacing w:after="0" w:line="360" w:lineRule="auto"/>
        <w:ind w:left="720"/>
        <w:jc w:val="both"/>
        <w:rPr>
          <w:rFonts w:ascii="Arial" w:hAnsi="Arial" w:cs="Arial"/>
          <w:i/>
          <w:iCs/>
        </w:rPr>
      </w:pPr>
      <w:r>
        <w:rPr>
          <w:rFonts w:ascii="Arial" w:hAnsi="Arial" w:cs="Arial"/>
          <w:i/>
          <w:iCs/>
          <w:color w:val="242121"/>
          <w:shd w:val="clear" w:color="auto" w:fill="FFFFFF"/>
        </w:rPr>
        <w:lastRenderedPageBreak/>
        <w:t>“</w:t>
      </w:r>
      <w:r w:rsidRPr="00187139">
        <w:rPr>
          <w:rFonts w:ascii="Arial" w:hAnsi="Arial" w:cs="Arial"/>
          <w:i/>
          <w:iCs/>
          <w:color w:val="242121"/>
          <w:shd w:val="clear" w:color="auto" w:fill="FFFFFF"/>
        </w:rPr>
        <w:t xml:space="preserve">The courts, when dealing with these type of matters </w:t>
      </w:r>
      <w:proofErr w:type="gramStart"/>
      <w:r w:rsidRPr="00187139">
        <w:rPr>
          <w:rFonts w:ascii="Arial" w:hAnsi="Arial" w:cs="Arial"/>
          <w:i/>
          <w:iCs/>
          <w:color w:val="242121"/>
          <w:shd w:val="clear" w:color="auto" w:fill="FFFFFF"/>
        </w:rPr>
        <w:t>have</w:t>
      </w:r>
      <w:proofErr w:type="gramEnd"/>
      <w:r w:rsidRPr="00187139">
        <w:rPr>
          <w:rFonts w:ascii="Arial" w:hAnsi="Arial" w:cs="Arial"/>
          <w:i/>
          <w:iCs/>
          <w:color w:val="242121"/>
          <w:shd w:val="clear" w:color="auto" w:fill="FFFFFF"/>
        </w:rPr>
        <w:t xml:space="preserve"> generally adopted the approach that individuals who had been fraudulently induced to sell their homes, were entitled to vindicatory relief – the registration of their properties into their names and declaratory orders rendering the documents underpinning the impugned transactions null and void.  The applicants argued that the facts of their case were on all fours with the facts in the ABSA v Moore and </w:t>
      </w:r>
      <w:proofErr w:type="spellStart"/>
      <w:r w:rsidRPr="00187139">
        <w:rPr>
          <w:rFonts w:ascii="Arial" w:hAnsi="Arial" w:cs="Arial"/>
          <w:i/>
          <w:iCs/>
          <w:color w:val="242121"/>
          <w:shd w:val="clear" w:color="auto" w:fill="FFFFFF"/>
        </w:rPr>
        <w:t>Quartermark</w:t>
      </w:r>
      <w:proofErr w:type="spellEnd"/>
      <w:r w:rsidRPr="00187139">
        <w:rPr>
          <w:rFonts w:ascii="Arial" w:hAnsi="Arial" w:cs="Arial"/>
          <w:i/>
          <w:iCs/>
          <w:color w:val="242121"/>
          <w:shd w:val="clear" w:color="auto" w:fill="FFFFFF"/>
        </w:rPr>
        <w:t> cases. The applicants submitted that these two decisions of the Supreme Court of Appeal enjoin me to grant the relief as set out in their notice of motion.</w:t>
      </w:r>
      <w:r>
        <w:rPr>
          <w:rFonts w:ascii="Arial" w:hAnsi="Arial" w:cs="Arial"/>
          <w:i/>
          <w:iCs/>
          <w:color w:val="242121"/>
          <w:shd w:val="clear" w:color="auto" w:fill="FFFFFF"/>
        </w:rPr>
        <w:t>”</w:t>
      </w:r>
    </w:p>
    <w:p w14:paraId="62FFBBE9" w14:textId="05737262" w:rsidR="00187139" w:rsidRDefault="00187139" w:rsidP="00187139">
      <w:pPr>
        <w:pStyle w:val="ListParagraph"/>
        <w:spacing w:after="0" w:line="480" w:lineRule="auto"/>
        <w:ind w:left="0"/>
        <w:jc w:val="both"/>
        <w:rPr>
          <w:rFonts w:ascii="Arial" w:hAnsi="Arial" w:cs="Arial"/>
          <w:sz w:val="24"/>
          <w:szCs w:val="24"/>
        </w:rPr>
      </w:pPr>
    </w:p>
    <w:p w14:paraId="105896DC" w14:textId="76C96450" w:rsidR="0075349A"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[25]</w:t>
      </w:r>
      <w:r>
        <w:rPr>
          <w:rFonts w:ascii="Arial" w:eastAsia="Times New Roman" w:hAnsi="Arial" w:cs="Arial"/>
          <w:kern w:val="0"/>
          <w:sz w:val="24"/>
          <w:szCs w:val="24"/>
        </w:rPr>
        <w:tab/>
      </w:r>
      <w:r w:rsidR="0075349A" w:rsidRPr="00A835EA">
        <w:rPr>
          <w:rFonts w:ascii="Arial" w:hAnsi="Arial" w:cs="Arial"/>
          <w:sz w:val="24"/>
          <w:szCs w:val="24"/>
        </w:rPr>
        <w:t>Lewis JA writing for the Supreme Court of Appeal i</w:t>
      </w:r>
      <w:r w:rsidR="00187139" w:rsidRPr="00A835EA">
        <w:rPr>
          <w:rFonts w:ascii="Arial" w:hAnsi="Arial" w:cs="Arial"/>
          <w:sz w:val="24"/>
          <w:szCs w:val="24"/>
        </w:rPr>
        <w:t xml:space="preserve">n </w:t>
      </w:r>
      <w:r w:rsidR="00187139" w:rsidRPr="00A835EA">
        <w:rPr>
          <w:rFonts w:ascii="Arial" w:hAnsi="Arial" w:cs="Arial"/>
          <w:i/>
          <w:iCs/>
          <w:sz w:val="24"/>
          <w:szCs w:val="24"/>
        </w:rPr>
        <w:t>Absa</w:t>
      </w:r>
      <w:r w:rsidR="0055099C" w:rsidRPr="00A835EA">
        <w:rPr>
          <w:rFonts w:ascii="Arial" w:hAnsi="Arial" w:cs="Arial"/>
          <w:i/>
          <w:iCs/>
          <w:sz w:val="24"/>
          <w:szCs w:val="24"/>
        </w:rPr>
        <w:t xml:space="preserve"> Bank Limited</w:t>
      </w:r>
      <w:r w:rsidR="00187139" w:rsidRPr="00A835EA">
        <w:rPr>
          <w:rFonts w:ascii="Arial" w:hAnsi="Arial" w:cs="Arial"/>
          <w:i/>
          <w:iCs/>
          <w:sz w:val="24"/>
          <w:szCs w:val="24"/>
        </w:rPr>
        <w:t xml:space="preserve"> v Moore</w:t>
      </w:r>
      <w:r w:rsidR="00187139" w:rsidRPr="00A835EA">
        <w:rPr>
          <w:rFonts w:ascii="Arial" w:hAnsi="Arial" w:cs="Arial"/>
          <w:sz w:val="24"/>
          <w:szCs w:val="24"/>
        </w:rPr>
        <w:t>,</w:t>
      </w:r>
      <w:r w:rsidR="00187139">
        <w:rPr>
          <w:rStyle w:val="FootnoteReference"/>
          <w:rFonts w:ascii="Arial" w:hAnsi="Arial" w:cs="Arial"/>
          <w:sz w:val="24"/>
          <w:szCs w:val="24"/>
        </w:rPr>
        <w:footnoteReference w:id="7"/>
      </w:r>
      <w:r w:rsidR="00187139" w:rsidRPr="00A835EA">
        <w:rPr>
          <w:rFonts w:ascii="Arial" w:hAnsi="Arial" w:cs="Arial"/>
          <w:sz w:val="24"/>
          <w:szCs w:val="24"/>
        </w:rPr>
        <w:t xml:space="preserve"> which dealt with a comparable scheme, </w:t>
      </w:r>
      <w:r w:rsidR="00E30E5E" w:rsidRPr="00A835EA">
        <w:rPr>
          <w:rFonts w:ascii="Arial" w:hAnsi="Arial" w:cs="Arial"/>
          <w:sz w:val="24"/>
          <w:szCs w:val="24"/>
        </w:rPr>
        <w:t xml:space="preserve">commonly referred to as </w:t>
      </w:r>
      <w:r w:rsidR="0075349A" w:rsidRPr="00A835EA">
        <w:rPr>
          <w:rFonts w:ascii="Arial" w:hAnsi="Arial" w:cs="Arial"/>
          <w:sz w:val="24"/>
          <w:szCs w:val="24"/>
        </w:rPr>
        <w:t xml:space="preserve">the </w:t>
      </w:r>
      <w:proofErr w:type="spellStart"/>
      <w:r w:rsidR="0075349A" w:rsidRPr="00A835EA">
        <w:rPr>
          <w:rFonts w:ascii="Arial" w:hAnsi="Arial" w:cs="Arial"/>
          <w:sz w:val="24"/>
          <w:szCs w:val="24"/>
        </w:rPr>
        <w:t>Brusson</w:t>
      </w:r>
      <w:proofErr w:type="spellEnd"/>
      <w:r w:rsidR="0075349A" w:rsidRPr="00A835EA">
        <w:rPr>
          <w:rFonts w:ascii="Arial" w:hAnsi="Arial" w:cs="Arial"/>
          <w:sz w:val="24"/>
          <w:szCs w:val="24"/>
        </w:rPr>
        <w:t xml:space="preserve"> Scheme, summed up the unusual features </w:t>
      </w:r>
      <w:r w:rsidR="007968F2" w:rsidRPr="00A835EA">
        <w:rPr>
          <w:rFonts w:ascii="Arial" w:hAnsi="Arial" w:cs="Arial"/>
          <w:sz w:val="24"/>
          <w:szCs w:val="24"/>
        </w:rPr>
        <w:t>there</w:t>
      </w:r>
      <w:r w:rsidR="0075349A" w:rsidRPr="00A835EA">
        <w:rPr>
          <w:rFonts w:ascii="Arial" w:hAnsi="Arial" w:cs="Arial"/>
          <w:sz w:val="24"/>
          <w:szCs w:val="24"/>
        </w:rPr>
        <w:t>of, which features Revelas J found to be equally applicable to the AMS scheme.  The summary at paragraph [24] of the judgment reads as follows:</w:t>
      </w:r>
    </w:p>
    <w:p w14:paraId="6BD37805" w14:textId="77777777" w:rsidR="0075349A" w:rsidRDefault="0075349A" w:rsidP="0075349A">
      <w:pPr>
        <w:pStyle w:val="ListParagraph"/>
        <w:spacing w:after="0" w:line="480" w:lineRule="auto"/>
        <w:ind w:left="0"/>
        <w:jc w:val="both"/>
        <w:rPr>
          <w:rFonts w:ascii="Arial" w:hAnsi="Arial" w:cs="Arial"/>
          <w:sz w:val="24"/>
          <w:szCs w:val="24"/>
        </w:rPr>
      </w:pPr>
    </w:p>
    <w:p w14:paraId="4A3BE8D7" w14:textId="7B037770" w:rsidR="0075349A" w:rsidRPr="0075349A" w:rsidRDefault="0075349A" w:rsidP="0075349A">
      <w:pPr>
        <w:pStyle w:val="ListParagraph"/>
        <w:spacing w:after="0" w:line="360" w:lineRule="auto"/>
        <w:jc w:val="both"/>
        <w:rPr>
          <w:rFonts w:ascii="Arial" w:hAnsi="Arial" w:cs="Arial"/>
          <w:i/>
          <w:iCs/>
        </w:rPr>
      </w:pPr>
      <w:r>
        <w:rPr>
          <w:rFonts w:ascii="Arial" w:hAnsi="Arial" w:cs="Arial"/>
          <w:i/>
          <w:iCs/>
          <w:color w:val="242121"/>
          <w:shd w:val="clear" w:color="auto" w:fill="FFFFFF"/>
        </w:rPr>
        <w:t>“</w:t>
      </w:r>
      <w:r w:rsidRPr="0075349A">
        <w:rPr>
          <w:rFonts w:ascii="Arial" w:hAnsi="Arial" w:cs="Arial"/>
          <w:i/>
          <w:iCs/>
          <w:color w:val="242121"/>
          <w:shd w:val="clear" w:color="auto" w:fill="FFFFFF"/>
        </w:rPr>
        <w:t xml:space="preserve">The unusual features include: the investor does not really intend buying the property and never takes occupation; the client does not really intend selling the property and does not lose occupation; the investor pays nothing, but applies for a bond over the property as he has a good credit rating; the price payable in terms of the instalment sale agreement accrues not to the investor but to </w:t>
      </w:r>
      <w:proofErr w:type="spellStart"/>
      <w:r w:rsidRPr="0075349A">
        <w:rPr>
          <w:rFonts w:ascii="Arial" w:hAnsi="Arial" w:cs="Arial"/>
          <w:i/>
          <w:iCs/>
          <w:color w:val="242121"/>
          <w:shd w:val="clear" w:color="auto" w:fill="FFFFFF"/>
        </w:rPr>
        <w:t>Brusson</w:t>
      </w:r>
      <w:proofErr w:type="spellEnd"/>
      <w:r w:rsidRPr="0075349A">
        <w:rPr>
          <w:rFonts w:ascii="Arial" w:hAnsi="Arial" w:cs="Arial"/>
          <w:i/>
          <w:iCs/>
          <w:color w:val="242121"/>
          <w:shd w:val="clear" w:color="auto" w:fill="FFFFFF"/>
        </w:rPr>
        <w:t xml:space="preserve">; all payments are made to </w:t>
      </w:r>
      <w:proofErr w:type="spellStart"/>
      <w:r w:rsidRPr="0075349A">
        <w:rPr>
          <w:rFonts w:ascii="Arial" w:hAnsi="Arial" w:cs="Arial"/>
          <w:i/>
          <w:iCs/>
          <w:color w:val="242121"/>
          <w:shd w:val="clear" w:color="auto" w:fill="FFFFFF"/>
        </w:rPr>
        <w:t>Brusson</w:t>
      </w:r>
      <w:proofErr w:type="spellEnd"/>
      <w:r w:rsidRPr="0075349A">
        <w:rPr>
          <w:rFonts w:ascii="Arial" w:hAnsi="Arial" w:cs="Arial"/>
          <w:i/>
          <w:iCs/>
          <w:color w:val="242121"/>
          <w:shd w:val="clear" w:color="auto" w:fill="FFFFFF"/>
        </w:rPr>
        <w:t xml:space="preserve">; in the event of default by the clients, </w:t>
      </w:r>
      <w:proofErr w:type="spellStart"/>
      <w:r w:rsidRPr="0075349A">
        <w:rPr>
          <w:rFonts w:ascii="Arial" w:hAnsi="Arial" w:cs="Arial"/>
          <w:i/>
          <w:iCs/>
          <w:color w:val="242121"/>
          <w:shd w:val="clear" w:color="auto" w:fill="FFFFFF"/>
        </w:rPr>
        <w:t>Brusson</w:t>
      </w:r>
      <w:proofErr w:type="spellEnd"/>
      <w:r w:rsidRPr="0075349A">
        <w:rPr>
          <w:rFonts w:ascii="Arial" w:hAnsi="Arial" w:cs="Arial"/>
          <w:i/>
          <w:iCs/>
          <w:color w:val="242121"/>
          <w:shd w:val="clear" w:color="auto" w:fill="FFFFFF"/>
        </w:rPr>
        <w:t xml:space="preserve"> is entitled to take transfer of the property.</w:t>
      </w:r>
      <w:r>
        <w:rPr>
          <w:rFonts w:ascii="Arial" w:hAnsi="Arial" w:cs="Arial"/>
          <w:i/>
          <w:iCs/>
          <w:color w:val="242121"/>
          <w:shd w:val="clear" w:color="auto" w:fill="FFFFFF"/>
        </w:rPr>
        <w:t>”</w:t>
      </w:r>
    </w:p>
    <w:p w14:paraId="4BA371D6" w14:textId="77777777" w:rsidR="0075349A" w:rsidRDefault="0075349A" w:rsidP="0075349A">
      <w:pPr>
        <w:pStyle w:val="ListParagraph"/>
        <w:spacing w:after="0" w:line="480" w:lineRule="auto"/>
        <w:ind w:left="0"/>
        <w:jc w:val="both"/>
        <w:rPr>
          <w:rFonts w:ascii="Arial" w:hAnsi="Arial" w:cs="Arial"/>
          <w:sz w:val="24"/>
          <w:szCs w:val="24"/>
        </w:rPr>
      </w:pPr>
    </w:p>
    <w:p w14:paraId="000EBFF7" w14:textId="1F2555D0" w:rsidR="00DF3A14"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[26]</w:t>
      </w:r>
      <w:r>
        <w:rPr>
          <w:rFonts w:ascii="Arial" w:eastAsia="Times New Roman" w:hAnsi="Arial" w:cs="Arial"/>
          <w:kern w:val="0"/>
          <w:sz w:val="24"/>
          <w:szCs w:val="24"/>
        </w:rPr>
        <w:tab/>
      </w:r>
      <w:r w:rsidR="00DF3A14" w:rsidRPr="00A835EA">
        <w:rPr>
          <w:rFonts w:ascii="Arial" w:hAnsi="Arial" w:cs="Arial"/>
          <w:sz w:val="24"/>
          <w:szCs w:val="24"/>
        </w:rPr>
        <w:t xml:space="preserve">The question which needs to be determined is whether the applicants performed the alleged legal act knowingly, with the aim of bringing about the legal consequences it entails.  In other words, </w:t>
      </w:r>
      <w:r w:rsidR="00347454" w:rsidRPr="00A835EA">
        <w:rPr>
          <w:rFonts w:ascii="Arial" w:hAnsi="Arial" w:cs="Arial"/>
          <w:sz w:val="24"/>
          <w:szCs w:val="24"/>
        </w:rPr>
        <w:t>did</w:t>
      </w:r>
      <w:r w:rsidR="00DF3A14" w:rsidRPr="00A835EA">
        <w:rPr>
          <w:rFonts w:ascii="Arial" w:hAnsi="Arial" w:cs="Arial"/>
          <w:sz w:val="24"/>
          <w:szCs w:val="24"/>
        </w:rPr>
        <w:t xml:space="preserve"> the applicants intended to transfer the immovable property to the second respondent, or </w:t>
      </w:r>
      <w:r w:rsidR="00347454" w:rsidRPr="00A835EA">
        <w:rPr>
          <w:rFonts w:ascii="Arial" w:hAnsi="Arial" w:cs="Arial"/>
          <w:sz w:val="24"/>
          <w:szCs w:val="24"/>
        </w:rPr>
        <w:t>were</w:t>
      </w:r>
      <w:r w:rsidR="00DF3A14" w:rsidRPr="00A835EA">
        <w:rPr>
          <w:rFonts w:ascii="Arial" w:hAnsi="Arial" w:cs="Arial"/>
          <w:sz w:val="24"/>
          <w:szCs w:val="24"/>
        </w:rPr>
        <w:t xml:space="preserve"> they </w:t>
      </w:r>
      <w:r w:rsidR="00347454" w:rsidRPr="00A835EA">
        <w:rPr>
          <w:rFonts w:ascii="Arial" w:hAnsi="Arial" w:cs="Arial"/>
          <w:sz w:val="24"/>
          <w:szCs w:val="24"/>
        </w:rPr>
        <w:t>instead</w:t>
      </w:r>
      <w:r w:rsidR="00DF3A14" w:rsidRPr="00A835EA">
        <w:rPr>
          <w:rFonts w:ascii="Arial" w:hAnsi="Arial" w:cs="Arial"/>
          <w:sz w:val="24"/>
          <w:szCs w:val="24"/>
        </w:rPr>
        <w:t xml:space="preserve"> induced to sign the documentation by way of a fraudulent misrepresentation</w:t>
      </w:r>
      <w:r w:rsidR="00347454" w:rsidRPr="00A835EA">
        <w:rPr>
          <w:rFonts w:ascii="Arial" w:hAnsi="Arial" w:cs="Arial"/>
          <w:sz w:val="24"/>
          <w:szCs w:val="24"/>
        </w:rPr>
        <w:t>, believing that they would retain ownership of the immovable property</w:t>
      </w:r>
      <w:r w:rsidR="00DF3A14" w:rsidRPr="00A835EA">
        <w:rPr>
          <w:rFonts w:ascii="Arial" w:hAnsi="Arial" w:cs="Arial"/>
          <w:sz w:val="24"/>
          <w:szCs w:val="24"/>
        </w:rPr>
        <w:t>.</w:t>
      </w:r>
    </w:p>
    <w:p w14:paraId="50AB7ED1" w14:textId="42560215" w:rsidR="004134FD"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lastRenderedPageBreak/>
        <w:t>[27]</w:t>
      </w:r>
      <w:r>
        <w:rPr>
          <w:rFonts w:ascii="Arial" w:eastAsia="Times New Roman" w:hAnsi="Arial" w:cs="Arial"/>
          <w:kern w:val="0"/>
          <w:sz w:val="24"/>
          <w:szCs w:val="24"/>
        </w:rPr>
        <w:tab/>
      </w:r>
      <w:r w:rsidR="007D322E" w:rsidRPr="00A835EA">
        <w:rPr>
          <w:rFonts w:ascii="Arial" w:hAnsi="Arial" w:cs="Arial"/>
          <w:sz w:val="24"/>
          <w:szCs w:val="24"/>
        </w:rPr>
        <w:t>I cannot agree with the respondents that the applicants knowingly entered into the agreements with the necessary intention of selling the property to the second respondent.</w:t>
      </w:r>
      <w:r w:rsidR="004134FD" w:rsidRPr="00A835EA">
        <w:rPr>
          <w:rFonts w:ascii="Arial" w:hAnsi="Arial" w:cs="Arial"/>
          <w:sz w:val="24"/>
          <w:szCs w:val="24"/>
        </w:rPr>
        <w:t xml:space="preserve">  I am of the view that the respondents’ allegations, regarding the applicants</w:t>
      </w:r>
      <w:r w:rsidR="009A5334" w:rsidRPr="00A835EA">
        <w:rPr>
          <w:rFonts w:ascii="Arial" w:hAnsi="Arial" w:cs="Arial"/>
          <w:sz w:val="24"/>
          <w:szCs w:val="24"/>
        </w:rPr>
        <w:t>’</w:t>
      </w:r>
      <w:r w:rsidR="004134FD" w:rsidRPr="00A835EA">
        <w:rPr>
          <w:rFonts w:ascii="Arial" w:hAnsi="Arial" w:cs="Arial"/>
          <w:sz w:val="24"/>
          <w:szCs w:val="24"/>
        </w:rPr>
        <w:t xml:space="preserve"> alleged knowledge (which at best is speculation), in the face of the applicants</w:t>
      </w:r>
      <w:r w:rsidR="009A5334" w:rsidRPr="00A835EA">
        <w:rPr>
          <w:rFonts w:ascii="Arial" w:hAnsi="Arial" w:cs="Arial"/>
          <w:sz w:val="24"/>
          <w:szCs w:val="24"/>
        </w:rPr>
        <w:t>’</w:t>
      </w:r>
      <w:r w:rsidR="004134FD" w:rsidRPr="00A835EA">
        <w:rPr>
          <w:rFonts w:ascii="Arial" w:hAnsi="Arial" w:cs="Arial"/>
          <w:sz w:val="24"/>
          <w:szCs w:val="24"/>
        </w:rPr>
        <w:t xml:space="preserve"> positive assertions, amounts to no more than a bare denial and are insufficient to raise a genuine dispute of fact.  </w:t>
      </w:r>
    </w:p>
    <w:p w14:paraId="5E2D0791" w14:textId="77777777" w:rsidR="004134FD" w:rsidRDefault="004134FD" w:rsidP="00433D25">
      <w:pPr>
        <w:spacing w:after="0" w:line="480" w:lineRule="auto"/>
        <w:rPr>
          <w:rFonts w:ascii="Arial" w:hAnsi="Arial" w:cs="Arial"/>
          <w:sz w:val="24"/>
          <w:szCs w:val="24"/>
        </w:rPr>
      </w:pPr>
    </w:p>
    <w:p w14:paraId="0B3A8548" w14:textId="6B910DB9" w:rsidR="004134FD"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[28]</w:t>
      </w:r>
      <w:r>
        <w:rPr>
          <w:rFonts w:ascii="Arial" w:eastAsia="Times New Roman" w:hAnsi="Arial" w:cs="Arial"/>
          <w:kern w:val="0"/>
          <w:sz w:val="24"/>
          <w:szCs w:val="24"/>
        </w:rPr>
        <w:tab/>
      </w:r>
      <w:r w:rsidR="004134FD" w:rsidRPr="00A835EA">
        <w:rPr>
          <w:rFonts w:ascii="Arial" w:hAnsi="Arial" w:cs="Arial"/>
          <w:sz w:val="24"/>
          <w:szCs w:val="24"/>
        </w:rPr>
        <w:t xml:space="preserve">As articulated by </w:t>
      </w:r>
      <w:proofErr w:type="spellStart"/>
      <w:r w:rsidR="004134FD" w:rsidRPr="00A835EA">
        <w:rPr>
          <w:rFonts w:ascii="Arial" w:hAnsi="Arial" w:cs="Arial"/>
          <w:sz w:val="24"/>
          <w:szCs w:val="24"/>
        </w:rPr>
        <w:t>Binns</w:t>
      </w:r>
      <w:proofErr w:type="spellEnd"/>
      <w:r w:rsidR="004134FD" w:rsidRPr="00A835EA">
        <w:rPr>
          <w:rFonts w:ascii="Arial" w:hAnsi="Arial" w:cs="Arial"/>
          <w:sz w:val="24"/>
          <w:szCs w:val="24"/>
        </w:rPr>
        <w:t xml:space="preserve">-Ward J in </w:t>
      </w:r>
      <w:r w:rsidR="004134FD" w:rsidRPr="00A835EA">
        <w:rPr>
          <w:rFonts w:ascii="Arial" w:hAnsi="Arial" w:cs="Arial"/>
          <w:i/>
          <w:iCs/>
          <w:sz w:val="24"/>
          <w:szCs w:val="24"/>
        </w:rPr>
        <w:t>Absa Bank Ltd v Erf 1252 Marine Drive (Pty) Ltd and Another</w:t>
      </w:r>
      <w:r w:rsidR="004134FD" w:rsidRPr="00A835EA">
        <w:rPr>
          <w:rFonts w:ascii="Arial" w:hAnsi="Arial" w:cs="Arial"/>
          <w:sz w:val="24"/>
          <w:szCs w:val="24"/>
        </w:rPr>
        <w:t>:</w:t>
      </w:r>
      <w:r w:rsidR="004134FD">
        <w:rPr>
          <w:rStyle w:val="FootnoteReference"/>
          <w:rFonts w:ascii="Arial" w:hAnsi="Arial" w:cs="Arial"/>
          <w:sz w:val="24"/>
          <w:szCs w:val="24"/>
        </w:rPr>
        <w:footnoteReference w:id="8"/>
      </w:r>
      <w:r w:rsidR="004134FD" w:rsidRPr="00A835EA">
        <w:rPr>
          <w:rFonts w:ascii="Arial" w:hAnsi="Arial" w:cs="Arial"/>
          <w:sz w:val="24"/>
          <w:szCs w:val="24"/>
        </w:rPr>
        <w:t xml:space="preserve"> “</w:t>
      </w:r>
      <w:r w:rsidR="004134FD" w:rsidRPr="00A835EA">
        <w:rPr>
          <w:rFonts w:ascii="Arial" w:hAnsi="Arial" w:cs="Arial"/>
          <w:i/>
          <w:iCs/>
          <w:sz w:val="24"/>
          <w:szCs w:val="24"/>
        </w:rPr>
        <w:t>the import of the </w:t>
      </w:r>
      <w:proofErr w:type="spellStart"/>
      <w:r w:rsidR="004134FD" w:rsidRPr="00A835EA">
        <w:rPr>
          <w:rFonts w:ascii="Arial" w:hAnsi="Arial" w:cs="Arial"/>
          <w:i/>
          <w:iCs/>
          <w:sz w:val="24"/>
          <w:szCs w:val="24"/>
        </w:rPr>
        <w:t>Plascon</w:t>
      </w:r>
      <w:proofErr w:type="spellEnd"/>
      <w:r w:rsidR="004134FD" w:rsidRPr="00A835EA">
        <w:rPr>
          <w:rFonts w:ascii="Arial" w:hAnsi="Arial" w:cs="Arial"/>
          <w:i/>
          <w:iCs/>
          <w:sz w:val="24"/>
          <w:szCs w:val="24"/>
        </w:rPr>
        <w:t xml:space="preserve">-Evans rule is so well established that it hardly bears stating: it is to the effect that where there is a dispute of fact on the papers final relief may be granted in an application only if it is justified by the averments in the affidavits of the applicant which are either admitted or not disputed by the respondent, together with the facts alleged by the respondent.  </w:t>
      </w:r>
      <w:r w:rsidR="004134FD" w:rsidRPr="00A835EA">
        <w:rPr>
          <w:rFonts w:ascii="Arial" w:hAnsi="Arial" w:cs="Arial"/>
          <w:i/>
          <w:iCs/>
          <w:sz w:val="24"/>
          <w:szCs w:val="24"/>
          <w:u w:val="single"/>
        </w:rPr>
        <w:t>It is, however, the qualifications and exceptions to that simple principle that are sometimes overlooked</w:t>
      </w:r>
      <w:r w:rsidR="004134FD" w:rsidRPr="00A835EA">
        <w:rPr>
          <w:rFonts w:ascii="Arial" w:hAnsi="Arial" w:cs="Arial"/>
          <w:i/>
          <w:iCs/>
          <w:sz w:val="24"/>
          <w:szCs w:val="24"/>
        </w:rPr>
        <w:t>…</w:t>
      </w:r>
      <w:r w:rsidR="004134FD" w:rsidRPr="00A835EA">
        <w:rPr>
          <w:rFonts w:ascii="Arial" w:hAnsi="Arial" w:cs="Arial"/>
          <w:sz w:val="24"/>
          <w:szCs w:val="24"/>
        </w:rPr>
        <w:t>” [Own emphasis].</w:t>
      </w:r>
    </w:p>
    <w:p w14:paraId="6E8A14EA" w14:textId="77777777" w:rsidR="004134FD" w:rsidRPr="004134FD" w:rsidRDefault="004134FD" w:rsidP="00722370">
      <w:pPr>
        <w:pStyle w:val="ListParagraph"/>
        <w:spacing w:after="0" w:line="480" w:lineRule="auto"/>
        <w:rPr>
          <w:rFonts w:ascii="Arial" w:hAnsi="Arial" w:cs="Arial"/>
          <w:sz w:val="24"/>
          <w:szCs w:val="24"/>
        </w:rPr>
      </w:pPr>
    </w:p>
    <w:p w14:paraId="2FE32893" w14:textId="5696C5EF" w:rsidR="004134FD" w:rsidRPr="00A835EA" w:rsidRDefault="00A835EA" w:rsidP="00A835EA">
      <w:pPr>
        <w:spacing w:after="0" w:line="480" w:lineRule="auto"/>
        <w:jc w:val="both"/>
        <w:rPr>
          <w:rFonts w:ascii="Arial" w:hAnsi="Arial" w:cs="Arial"/>
          <w:sz w:val="24"/>
          <w:szCs w:val="24"/>
        </w:rPr>
      </w:pPr>
      <w:r w:rsidRPr="004134FD">
        <w:rPr>
          <w:rFonts w:ascii="Arial" w:eastAsia="Times New Roman" w:hAnsi="Arial" w:cs="Arial"/>
          <w:kern w:val="0"/>
          <w:sz w:val="24"/>
          <w:szCs w:val="24"/>
        </w:rPr>
        <w:t>[29]</w:t>
      </w:r>
      <w:r w:rsidRPr="004134FD">
        <w:rPr>
          <w:rFonts w:ascii="Arial" w:eastAsia="Times New Roman" w:hAnsi="Arial" w:cs="Arial"/>
          <w:kern w:val="0"/>
          <w:sz w:val="24"/>
          <w:szCs w:val="24"/>
        </w:rPr>
        <w:tab/>
      </w:r>
      <w:r w:rsidR="004134FD" w:rsidRPr="00A835EA">
        <w:rPr>
          <w:rFonts w:ascii="Arial" w:hAnsi="Arial" w:cs="Arial"/>
          <w:sz w:val="24"/>
          <w:szCs w:val="24"/>
        </w:rPr>
        <w:t xml:space="preserve">As pointed out by the learned judge of appeal in </w:t>
      </w:r>
      <w:proofErr w:type="spellStart"/>
      <w:r w:rsidR="004134FD" w:rsidRPr="00A835EA">
        <w:rPr>
          <w:rFonts w:ascii="Arial" w:hAnsi="Arial" w:cs="Arial"/>
          <w:i/>
          <w:iCs/>
          <w:sz w:val="24"/>
          <w:szCs w:val="24"/>
        </w:rPr>
        <w:t>Plascon</w:t>
      </w:r>
      <w:proofErr w:type="spellEnd"/>
      <w:r w:rsidR="004134FD" w:rsidRPr="00A835EA">
        <w:rPr>
          <w:rFonts w:ascii="Arial" w:hAnsi="Arial" w:cs="Arial"/>
          <w:i/>
          <w:iCs/>
          <w:sz w:val="24"/>
          <w:szCs w:val="24"/>
        </w:rPr>
        <w:t xml:space="preserve">-Evans Paints v Van </w:t>
      </w:r>
      <w:proofErr w:type="spellStart"/>
      <w:r w:rsidR="004134FD" w:rsidRPr="00A835EA">
        <w:rPr>
          <w:rFonts w:ascii="Arial" w:hAnsi="Arial" w:cs="Arial"/>
          <w:i/>
          <w:iCs/>
          <w:sz w:val="24"/>
          <w:szCs w:val="24"/>
        </w:rPr>
        <w:t>Riebeeck</w:t>
      </w:r>
      <w:proofErr w:type="spellEnd"/>
      <w:r w:rsidR="004134FD" w:rsidRPr="00A835EA">
        <w:rPr>
          <w:rFonts w:ascii="Arial" w:hAnsi="Arial" w:cs="Arial"/>
          <w:i/>
          <w:iCs/>
          <w:sz w:val="24"/>
          <w:szCs w:val="24"/>
        </w:rPr>
        <w:t xml:space="preserve"> Paints</w:t>
      </w:r>
      <w:r w:rsidR="004134FD" w:rsidRPr="00A835EA">
        <w:rPr>
          <w:rFonts w:ascii="Arial" w:hAnsi="Arial" w:cs="Arial"/>
          <w:sz w:val="24"/>
          <w:szCs w:val="24"/>
        </w:rPr>
        <w:t>:</w:t>
      </w:r>
      <w:r w:rsidR="004134FD">
        <w:rPr>
          <w:rStyle w:val="FootnoteReference"/>
          <w:rFonts w:ascii="Arial" w:hAnsi="Arial" w:cs="Arial"/>
          <w:sz w:val="24"/>
          <w:szCs w:val="24"/>
        </w:rPr>
        <w:footnoteReference w:id="9"/>
      </w:r>
      <w:r w:rsidR="004134FD" w:rsidRPr="00A835EA">
        <w:rPr>
          <w:rFonts w:ascii="Arial" w:hAnsi="Arial" w:cs="Arial"/>
          <w:sz w:val="24"/>
          <w:szCs w:val="24"/>
        </w:rPr>
        <w:t xml:space="preserve"> </w:t>
      </w:r>
    </w:p>
    <w:p w14:paraId="38986B0A" w14:textId="77777777" w:rsidR="004134FD" w:rsidRPr="006304AD" w:rsidRDefault="004134FD" w:rsidP="004134FD">
      <w:pPr>
        <w:pStyle w:val="ListParagraph"/>
        <w:spacing w:after="0" w:line="480" w:lineRule="auto"/>
        <w:ind w:left="851"/>
        <w:jc w:val="both"/>
        <w:rPr>
          <w:rFonts w:ascii="Arial" w:hAnsi="Arial" w:cs="Arial"/>
          <w:sz w:val="24"/>
          <w:szCs w:val="24"/>
        </w:rPr>
      </w:pPr>
    </w:p>
    <w:p w14:paraId="4A4F3E17" w14:textId="77777777" w:rsidR="004134FD" w:rsidRPr="007968F2" w:rsidRDefault="004134FD" w:rsidP="004134FD">
      <w:pPr>
        <w:pStyle w:val="NormalWeb"/>
        <w:shd w:val="clear" w:color="auto" w:fill="FFFFFF"/>
        <w:spacing w:before="0" w:beforeAutospacing="0" w:after="0" w:afterAutospacing="0" w:line="360" w:lineRule="auto"/>
        <w:ind w:left="851"/>
        <w:jc w:val="both"/>
        <w:rPr>
          <w:rFonts w:ascii="Arial" w:hAnsi="Arial" w:cs="Arial"/>
          <w:i/>
          <w:iCs/>
          <w:sz w:val="22"/>
          <w:szCs w:val="22"/>
        </w:rPr>
      </w:pPr>
      <w:r w:rsidRPr="007968F2">
        <w:rPr>
          <w:rFonts w:ascii="Arial" w:hAnsi="Arial" w:cs="Arial"/>
          <w:i/>
          <w:iCs/>
          <w:sz w:val="22"/>
          <w:szCs w:val="22"/>
        </w:rPr>
        <w:t>“In certain instances the denial by respondent of a fact alleged by the applicant may not be such as to raise a real, genuine or bona fide dispute of fact (see in this regard Room Hire Co (Pty) Ltd v Jeppe Street Mansions (Pty) Ltd </w:t>
      </w:r>
      <w:hyperlink r:id="rId9" w:tooltip="View LawCiteRecord" w:history="1">
        <w:r w:rsidRPr="007968F2">
          <w:rPr>
            <w:rStyle w:val="Hyperlink"/>
            <w:rFonts w:ascii="Arial" w:hAnsi="Arial" w:cs="Arial"/>
            <w:i/>
            <w:iCs/>
            <w:color w:val="auto"/>
            <w:sz w:val="22"/>
            <w:szCs w:val="22"/>
          </w:rPr>
          <w:t>1949 (3) SA 1155</w:t>
        </w:r>
      </w:hyperlink>
      <w:r w:rsidRPr="007968F2">
        <w:rPr>
          <w:rFonts w:ascii="Arial" w:hAnsi="Arial" w:cs="Arial"/>
          <w:i/>
          <w:iCs/>
          <w:sz w:val="22"/>
          <w:szCs w:val="22"/>
        </w:rPr>
        <w:t> (T) at 1163 - 5; Da Mata v Otto NO </w:t>
      </w:r>
      <w:hyperlink r:id="rId10" w:tooltip="View LawCiteRecord" w:history="1">
        <w:r w:rsidRPr="007968F2">
          <w:rPr>
            <w:rStyle w:val="Hyperlink"/>
            <w:rFonts w:ascii="Arial" w:hAnsi="Arial" w:cs="Arial"/>
            <w:i/>
            <w:iCs/>
            <w:color w:val="auto"/>
            <w:sz w:val="22"/>
            <w:szCs w:val="22"/>
          </w:rPr>
          <w:t>1972 (3) SA 858</w:t>
        </w:r>
      </w:hyperlink>
      <w:r w:rsidRPr="007968F2">
        <w:rPr>
          <w:rFonts w:ascii="Arial" w:hAnsi="Arial" w:cs="Arial"/>
          <w:i/>
          <w:iCs/>
          <w:sz w:val="22"/>
          <w:szCs w:val="22"/>
        </w:rPr>
        <w:t> (A) at 882D - H). If in such a case the respondent has not availed himself of his right to apply for the deponents concerned to be called for cross-examination under Rule 6(5)(g) of the Uniform Rules of Court (</w:t>
      </w:r>
      <w:proofErr w:type="spellStart"/>
      <w:r w:rsidRPr="007968F2">
        <w:rPr>
          <w:rFonts w:ascii="Arial" w:hAnsi="Arial" w:cs="Arial"/>
          <w:i/>
          <w:iCs/>
          <w:sz w:val="22"/>
          <w:szCs w:val="22"/>
        </w:rPr>
        <w:t>cf</w:t>
      </w:r>
      <w:proofErr w:type="spellEnd"/>
      <w:r w:rsidRPr="007968F2">
        <w:rPr>
          <w:rFonts w:ascii="Arial" w:hAnsi="Arial" w:cs="Arial"/>
          <w:i/>
          <w:iCs/>
          <w:sz w:val="22"/>
          <w:szCs w:val="22"/>
        </w:rPr>
        <w:t xml:space="preserve"> Petersen v Cuthbert &amp; Co Ltd </w:t>
      </w:r>
      <w:hyperlink r:id="rId11" w:tooltip="View LawCiteRecord" w:history="1">
        <w:r w:rsidRPr="007968F2">
          <w:rPr>
            <w:rStyle w:val="Hyperlink"/>
            <w:rFonts w:ascii="Arial" w:hAnsi="Arial" w:cs="Arial"/>
            <w:i/>
            <w:iCs/>
            <w:color w:val="auto"/>
            <w:sz w:val="22"/>
            <w:szCs w:val="22"/>
          </w:rPr>
          <w:t>1945 AD 420</w:t>
        </w:r>
      </w:hyperlink>
      <w:r w:rsidRPr="007968F2">
        <w:rPr>
          <w:rFonts w:ascii="Arial" w:hAnsi="Arial" w:cs="Arial"/>
          <w:i/>
          <w:iCs/>
          <w:sz w:val="22"/>
          <w:szCs w:val="22"/>
        </w:rPr>
        <w:t xml:space="preserve"> at 428; Room </w:t>
      </w:r>
      <w:r w:rsidRPr="007968F2">
        <w:rPr>
          <w:rFonts w:ascii="Arial" w:hAnsi="Arial" w:cs="Arial"/>
          <w:i/>
          <w:iCs/>
          <w:sz w:val="22"/>
          <w:szCs w:val="22"/>
        </w:rPr>
        <w:lastRenderedPageBreak/>
        <w:t xml:space="preserve">Hire case supra at 1164) and the Court is satisfied as to the inherent credibility of the applicant's factual averment, it may proceed on the basis of the correctness thereof and include this fact among those upon which it determines whether the applicant is entitled to the final relief which he seeks (see </w:t>
      </w:r>
      <w:proofErr w:type="spellStart"/>
      <w:r w:rsidRPr="007968F2">
        <w:rPr>
          <w:rFonts w:ascii="Arial" w:hAnsi="Arial" w:cs="Arial"/>
          <w:i/>
          <w:iCs/>
          <w:sz w:val="22"/>
          <w:szCs w:val="22"/>
        </w:rPr>
        <w:t>eg</w:t>
      </w:r>
      <w:proofErr w:type="spellEnd"/>
      <w:r w:rsidRPr="007968F2">
        <w:rPr>
          <w:rFonts w:ascii="Arial" w:hAnsi="Arial" w:cs="Arial"/>
          <w:i/>
          <w:iCs/>
          <w:sz w:val="22"/>
          <w:szCs w:val="22"/>
        </w:rPr>
        <w:t> </w:t>
      </w:r>
      <w:proofErr w:type="spellStart"/>
      <w:r w:rsidRPr="007968F2">
        <w:rPr>
          <w:rFonts w:ascii="Arial" w:hAnsi="Arial" w:cs="Arial"/>
          <w:i/>
          <w:iCs/>
          <w:sz w:val="22"/>
          <w:szCs w:val="22"/>
        </w:rPr>
        <w:t>Rikhoto</w:t>
      </w:r>
      <w:proofErr w:type="spellEnd"/>
      <w:r w:rsidRPr="007968F2">
        <w:rPr>
          <w:rFonts w:ascii="Arial" w:hAnsi="Arial" w:cs="Arial"/>
          <w:i/>
          <w:iCs/>
          <w:sz w:val="22"/>
          <w:szCs w:val="22"/>
        </w:rPr>
        <w:t xml:space="preserve"> v East Rand Administration Board and Another </w:t>
      </w:r>
      <w:hyperlink r:id="rId12" w:tooltip="View LawCiteRecord" w:history="1">
        <w:r w:rsidRPr="007968F2">
          <w:rPr>
            <w:rStyle w:val="Hyperlink"/>
            <w:rFonts w:ascii="Arial" w:hAnsi="Arial" w:cs="Arial"/>
            <w:i/>
            <w:iCs/>
            <w:color w:val="auto"/>
            <w:sz w:val="22"/>
            <w:szCs w:val="22"/>
          </w:rPr>
          <w:t>1983 (4) SA 278</w:t>
        </w:r>
      </w:hyperlink>
      <w:r w:rsidRPr="007968F2">
        <w:rPr>
          <w:rFonts w:ascii="Arial" w:hAnsi="Arial" w:cs="Arial"/>
          <w:i/>
          <w:iCs/>
          <w:sz w:val="22"/>
          <w:szCs w:val="22"/>
        </w:rPr>
        <w:t> (W) at 283E - H). Moreover, there may be exceptions to this general rule, as, for example, where the allegations or denials of the respondent are so far-fetched or clearly untenable that the Court is justified in rejecting them merely on the papers (see the remarks of Botha AJA in the Associated South African Bakeries case, supra at 924A).”</w:t>
      </w:r>
    </w:p>
    <w:p w14:paraId="6D5FB1F2" w14:textId="77777777" w:rsidR="004134FD" w:rsidRPr="007968F2" w:rsidRDefault="004134FD" w:rsidP="004134FD">
      <w:pPr>
        <w:rPr>
          <w:rFonts w:ascii="Arial" w:hAnsi="Arial" w:cs="Arial"/>
          <w:sz w:val="24"/>
          <w:szCs w:val="24"/>
        </w:rPr>
      </w:pPr>
    </w:p>
    <w:p w14:paraId="332CCC04" w14:textId="65100E98" w:rsidR="009B3C11" w:rsidRPr="00A835EA" w:rsidRDefault="00A835EA" w:rsidP="00A835EA">
      <w:pPr>
        <w:spacing w:after="0" w:line="480" w:lineRule="auto"/>
        <w:jc w:val="both"/>
        <w:rPr>
          <w:rFonts w:ascii="Arial" w:hAnsi="Arial" w:cs="Arial"/>
          <w:sz w:val="24"/>
          <w:szCs w:val="24"/>
        </w:rPr>
      </w:pPr>
      <w:r w:rsidRPr="00642260">
        <w:rPr>
          <w:rFonts w:ascii="Arial" w:eastAsia="Times New Roman" w:hAnsi="Arial" w:cs="Arial"/>
          <w:kern w:val="0"/>
          <w:sz w:val="24"/>
          <w:szCs w:val="24"/>
        </w:rPr>
        <w:t>[30]</w:t>
      </w:r>
      <w:r w:rsidRPr="00642260">
        <w:rPr>
          <w:rFonts w:ascii="Arial" w:eastAsia="Times New Roman" w:hAnsi="Arial" w:cs="Arial"/>
          <w:kern w:val="0"/>
          <w:sz w:val="24"/>
          <w:szCs w:val="24"/>
        </w:rPr>
        <w:tab/>
      </w:r>
      <w:r w:rsidR="007D322E" w:rsidRPr="00A835EA">
        <w:rPr>
          <w:rFonts w:ascii="Arial" w:hAnsi="Arial" w:cs="Arial"/>
          <w:sz w:val="24"/>
          <w:szCs w:val="24"/>
        </w:rPr>
        <w:t>It is inconceivable that any homeowner would sell their immovable property worth R785,000.00 for an amount of R231,548.01, the breakdown of which I have dealt with</w:t>
      </w:r>
      <w:r w:rsidR="00E42B17" w:rsidRPr="00A835EA">
        <w:rPr>
          <w:rFonts w:ascii="Arial" w:hAnsi="Arial" w:cs="Arial"/>
          <w:sz w:val="24"/>
          <w:szCs w:val="24"/>
        </w:rPr>
        <w:t>,</w:t>
      </w:r>
      <w:r w:rsidR="00347454" w:rsidRPr="00A835EA">
        <w:rPr>
          <w:rFonts w:ascii="Arial" w:hAnsi="Arial" w:cs="Arial"/>
          <w:sz w:val="24"/>
          <w:szCs w:val="24"/>
        </w:rPr>
        <w:t xml:space="preserve"> and then utilise the monies left over, following the settlement of the existing home loan, to renovate a property which they no longer owned but instead occupied as a tenant</w:t>
      </w:r>
      <w:r w:rsidR="00903DF2" w:rsidRPr="00A835EA">
        <w:rPr>
          <w:rFonts w:ascii="Arial" w:hAnsi="Arial" w:cs="Arial"/>
          <w:sz w:val="24"/>
          <w:szCs w:val="24"/>
        </w:rPr>
        <w:t xml:space="preserve">, </w:t>
      </w:r>
      <w:r w:rsidR="001F4FAD" w:rsidRPr="00A835EA">
        <w:rPr>
          <w:rFonts w:ascii="Arial" w:hAnsi="Arial" w:cs="Arial"/>
          <w:sz w:val="24"/>
          <w:szCs w:val="24"/>
        </w:rPr>
        <w:t xml:space="preserve">all the while </w:t>
      </w:r>
      <w:r w:rsidR="00903DF2" w:rsidRPr="00A835EA">
        <w:rPr>
          <w:rFonts w:ascii="Arial" w:hAnsi="Arial" w:cs="Arial"/>
          <w:sz w:val="24"/>
          <w:szCs w:val="24"/>
        </w:rPr>
        <w:t>paying rental equal to the monthly home loan instalment</w:t>
      </w:r>
      <w:r w:rsidR="00E42B17" w:rsidRPr="00A835EA">
        <w:rPr>
          <w:rFonts w:ascii="Arial" w:hAnsi="Arial" w:cs="Arial"/>
          <w:sz w:val="24"/>
          <w:szCs w:val="24"/>
        </w:rPr>
        <w:t>, which was far in excess of what they were originally paying</w:t>
      </w:r>
      <w:r w:rsidR="00EC61FE" w:rsidRPr="00A835EA">
        <w:rPr>
          <w:rFonts w:ascii="Arial" w:hAnsi="Arial" w:cs="Arial"/>
          <w:sz w:val="24"/>
          <w:szCs w:val="24"/>
        </w:rPr>
        <w:t xml:space="preserve"> (as owner)</w:t>
      </w:r>
      <w:r w:rsidR="00347454" w:rsidRPr="00A835EA">
        <w:rPr>
          <w:rFonts w:ascii="Arial" w:hAnsi="Arial" w:cs="Arial"/>
          <w:sz w:val="24"/>
          <w:szCs w:val="24"/>
        </w:rPr>
        <w:t>.</w:t>
      </w:r>
      <w:r w:rsidR="00903DF2" w:rsidRPr="00A835EA">
        <w:rPr>
          <w:rFonts w:ascii="Arial" w:hAnsi="Arial" w:cs="Arial"/>
          <w:sz w:val="24"/>
          <w:szCs w:val="24"/>
        </w:rPr>
        <w:t xml:space="preserve">  </w:t>
      </w:r>
    </w:p>
    <w:p w14:paraId="589B973C" w14:textId="77777777" w:rsidR="009B3C11" w:rsidRPr="009B3C11" w:rsidRDefault="009B3C11" w:rsidP="00943339">
      <w:pPr>
        <w:pStyle w:val="ListParagraph"/>
        <w:spacing w:after="0" w:line="480" w:lineRule="auto"/>
        <w:rPr>
          <w:rFonts w:ascii="Arial" w:hAnsi="Arial" w:cs="Arial"/>
          <w:sz w:val="24"/>
          <w:szCs w:val="24"/>
        </w:rPr>
      </w:pPr>
    </w:p>
    <w:p w14:paraId="2153F76C" w14:textId="5B1B4830" w:rsidR="009B3C11"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[31]</w:t>
      </w:r>
      <w:r>
        <w:rPr>
          <w:rFonts w:ascii="Arial" w:eastAsia="Times New Roman" w:hAnsi="Arial" w:cs="Arial"/>
          <w:kern w:val="0"/>
          <w:sz w:val="24"/>
          <w:szCs w:val="24"/>
        </w:rPr>
        <w:tab/>
      </w:r>
      <w:r w:rsidR="00903DF2" w:rsidRPr="00A835EA">
        <w:rPr>
          <w:rFonts w:ascii="Arial" w:hAnsi="Arial" w:cs="Arial"/>
          <w:sz w:val="24"/>
          <w:szCs w:val="24"/>
        </w:rPr>
        <w:t>It further defies logic that the applicants</w:t>
      </w:r>
      <w:r w:rsidR="00DD6F20" w:rsidRPr="00A835EA">
        <w:rPr>
          <w:rFonts w:ascii="Arial" w:hAnsi="Arial" w:cs="Arial"/>
          <w:sz w:val="24"/>
          <w:szCs w:val="24"/>
        </w:rPr>
        <w:t xml:space="preserve"> would</w:t>
      </w:r>
      <w:r w:rsidR="00A4369D" w:rsidRPr="00A835EA">
        <w:rPr>
          <w:rFonts w:ascii="Arial" w:hAnsi="Arial" w:cs="Arial"/>
          <w:sz w:val="24"/>
          <w:szCs w:val="24"/>
        </w:rPr>
        <w:t>: (</w:t>
      </w:r>
      <w:proofErr w:type="spellStart"/>
      <w:r w:rsidR="00A4369D" w:rsidRPr="00A835EA">
        <w:rPr>
          <w:rFonts w:ascii="Arial" w:hAnsi="Arial" w:cs="Arial"/>
          <w:sz w:val="24"/>
          <w:szCs w:val="24"/>
        </w:rPr>
        <w:t>i</w:t>
      </w:r>
      <w:proofErr w:type="spellEnd"/>
      <w:r w:rsidR="00A4369D" w:rsidRPr="00A835EA">
        <w:rPr>
          <w:rFonts w:ascii="Arial" w:hAnsi="Arial" w:cs="Arial"/>
          <w:sz w:val="24"/>
          <w:szCs w:val="24"/>
        </w:rPr>
        <w:t>)</w:t>
      </w:r>
      <w:r w:rsidR="00DD6F20" w:rsidRPr="00A835EA">
        <w:rPr>
          <w:rFonts w:ascii="Arial" w:hAnsi="Arial" w:cs="Arial"/>
          <w:sz w:val="24"/>
          <w:szCs w:val="24"/>
        </w:rPr>
        <w:t xml:space="preserve"> </w:t>
      </w:r>
      <w:r w:rsidR="00A0136C" w:rsidRPr="00A835EA">
        <w:rPr>
          <w:rFonts w:ascii="Arial" w:hAnsi="Arial" w:cs="Arial"/>
          <w:sz w:val="24"/>
          <w:szCs w:val="24"/>
        </w:rPr>
        <w:t xml:space="preserve">in </w:t>
      </w:r>
      <w:r w:rsidR="00DD6F20" w:rsidRPr="00A835EA">
        <w:rPr>
          <w:rFonts w:ascii="Arial" w:hAnsi="Arial" w:cs="Arial"/>
          <w:sz w:val="24"/>
          <w:szCs w:val="24"/>
        </w:rPr>
        <w:t>sell</w:t>
      </w:r>
      <w:r w:rsidR="00A0136C" w:rsidRPr="00A835EA">
        <w:rPr>
          <w:rFonts w:ascii="Arial" w:hAnsi="Arial" w:cs="Arial"/>
          <w:sz w:val="24"/>
          <w:szCs w:val="24"/>
        </w:rPr>
        <w:t>ing</w:t>
      </w:r>
      <w:r w:rsidR="00DD6F20" w:rsidRPr="00A835EA">
        <w:rPr>
          <w:rFonts w:ascii="Arial" w:hAnsi="Arial" w:cs="Arial"/>
          <w:sz w:val="24"/>
          <w:szCs w:val="24"/>
        </w:rPr>
        <w:t xml:space="preserve"> their immovable property</w:t>
      </w:r>
      <w:r w:rsidR="00A0136C" w:rsidRPr="00A835EA">
        <w:rPr>
          <w:rFonts w:ascii="Arial" w:hAnsi="Arial" w:cs="Arial"/>
          <w:sz w:val="24"/>
          <w:szCs w:val="24"/>
        </w:rPr>
        <w:t>, cover</w:t>
      </w:r>
      <w:r w:rsidR="00DD6F20" w:rsidRPr="00A835EA">
        <w:rPr>
          <w:rFonts w:ascii="Arial" w:hAnsi="Arial" w:cs="Arial"/>
          <w:sz w:val="24"/>
          <w:szCs w:val="24"/>
        </w:rPr>
        <w:t xml:space="preserve"> the transfer fees (which are usually for the account of the purchaser); </w:t>
      </w:r>
      <w:r w:rsidR="00A4369D" w:rsidRPr="00A835EA">
        <w:rPr>
          <w:rFonts w:ascii="Arial" w:hAnsi="Arial" w:cs="Arial"/>
          <w:sz w:val="24"/>
          <w:szCs w:val="24"/>
        </w:rPr>
        <w:t xml:space="preserve">(ii) </w:t>
      </w:r>
      <w:r w:rsidR="00DD6F20" w:rsidRPr="00A835EA">
        <w:rPr>
          <w:rFonts w:ascii="Arial" w:hAnsi="Arial" w:cs="Arial"/>
          <w:sz w:val="24"/>
          <w:szCs w:val="24"/>
        </w:rPr>
        <w:t>forego the</w:t>
      </w:r>
      <w:r w:rsidR="00855C7C" w:rsidRPr="00A835EA">
        <w:rPr>
          <w:rFonts w:ascii="Arial" w:hAnsi="Arial" w:cs="Arial"/>
          <w:sz w:val="24"/>
          <w:szCs w:val="24"/>
        </w:rPr>
        <w:t xml:space="preserve"> majority of the</w:t>
      </w:r>
      <w:r w:rsidR="00DD6F20" w:rsidRPr="00A835EA">
        <w:rPr>
          <w:rFonts w:ascii="Arial" w:hAnsi="Arial" w:cs="Arial"/>
          <w:sz w:val="24"/>
          <w:szCs w:val="24"/>
        </w:rPr>
        <w:t xml:space="preserve"> financial benefit associated</w:t>
      </w:r>
      <w:r w:rsidR="00AE2A2A" w:rsidRPr="00A835EA">
        <w:rPr>
          <w:rFonts w:ascii="Arial" w:hAnsi="Arial" w:cs="Arial"/>
          <w:sz w:val="24"/>
          <w:szCs w:val="24"/>
        </w:rPr>
        <w:t xml:space="preserve"> with</w:t>
      </w:r>
      <w:r w:rsidR="00DD6F20" w:rsidRPr="00A835EA">
        <w:rPr>
          <w:rFonts w:ascii="Arial" w:hAnsi="Arial" w:cs="Arial"/>
          <w:sz w:val="24"/>
          <w:szCs w:val="24"/>
        </w:rPr>
        <w:t xml:space="preserve"> the sale</w:t>
      </w:r>
      <w:r w:rsidR="004134FD" w:rsidRPr="00A835EA">
        <w:rPr>
          <w:rFonts w:ascii="Arial" w:hAnsi="Arial" w:cs="Arial"/>
          <w:sz w:val="24"/>
          <w:szCs w:val="24"/>
        </w:rPr>
        <w:t xml:space="preserve"> (which </w:t>
      </w:r>
      <w:r w:rsidR="00E42B17" w:rsidRPr="00A835EA">
        <w:rPr>
          <w:rFonts w:ascii="Arial" w:hAnsi="Arial" w:cs="Arial"/>
          <w:sz w:val="24"/>
          <w:szCs w:val="24"/>
        </w:rPr>
        <w:t xml:space="preserve">accrued to </w:t>
      </w:r>
      <w:r w:rsidR="004134FD" w:rsidRPr="00A835EA">
        <w:rPr>
          <w:rFonts w:ascii="Arial" w:hAnsi="Arial" w:cs="Arial"/>
          <w:sz w:val="24"/>
          <w:szCs w:val="24"/>
        </w:rPr>
        <w:t>AMS)</w:t>
      </w:r>
      <w:r w:rsidR="009B3C11" w:rsidRPr="00A835EA">
        <w:rPr>
          <w:rFonts w:ascii="Arial" w:hAnsi="Arial" w:cs="Arial"/>
          <w:sz w:val="24"/>
          <w:szCs w:val="24"/>
        </w:rPr>
        <w:t>;</w:t>
      </w:r>
      <w:r w:rsidR="00A4369D" w:rsidRPr="00A835EA">
        <w:rPr>
          <w:rFonts w:ascii="Arial" w:hAnsi="Arial" w:cs="Arial"/>
          <w:sz w:val="24"/>
          <w:szCs w:val="24"/>
        </w:rPr>
        <w:t xml:space="preserve"> and (i</w:t>
      </w:r>
      <w:r w:rsidR="00A0136C" w:rsidRPr="00A835EA">
        <w:rPr>
          <w:rFonts w:ascii="Arial" w:hAnsi="Arial" w:cs="Arial"/>
          <w:sz w:val="24"/>
          <w:szCs w:val="24"/>
        </w:rPr>
        <w:t>ii</w:t>
      </w:r>
      <w:r w:rsidR="00A4369D" w:rsidRPr="00A835EA">
        <w:rPr>
          <w:rFonts w:ascii="Arial" w:hAnsi="Arial" w:cs="Arial"/>
          <w:sz w:val="24"/>
          <w:szCs w:val="24"/>
        </w:rPr>
        <w:t>)</w:t>
      </w:r>
      <w:r w:rsidR="009B3C11" w:rsidRPr="00A835EA">
        <w:rPr>
          <w:rFonts w:ascii="Arial" w:hAnsi="Arial" w:cs="Arial"/>
          <w:sz w:val="24"/>
          <w:szCs w:val="24"/>
        </w:rPr>
        <w:t xml:space="preserve"> agree to the repurchase</w:t>
      </w:r>
      <w:r w:rsidR="00FA436C" w:rsidRPr="00A835EA">
        <w:rPr>
          <w:rFonts w:ascii="Arial" w:hAnsi="Arial" w:cs="Arial"/>
          <w:sz w:val="24"/>
          <w:szCs w:val="24"/>
        </w:rPr>
        <w:t xml:space="preserve"> of</w:t>
      </w:r>
      <w:r w:rsidR="009B3C11" w:rsidRPr="00A835EA">
        <w:rPr>
          <w:rFonts w:ascii="Arial" w:hAnsi="Arial" w:cs="Arial"/>
          <w:sz w:val="24"/>
          <w:szCs w:val="24"/>
        </w:rPr>
        <w:t xml:space="preserve"> the property from the </w:t>
      </w:r>
      <w:r w:rsidR="00036326" w:rsidRPr="00A835EA">
        <w:rPr>
          <w:rFonts w:ascii="Arial" w:hAnsi="Arial" w:cs="Arial"/>
          <w:sz w:val="24"/>
          <w:szCs w:val="24"/>
        </w:rPr>
        <w:t>purchaser</w:t>
      </w:r>
      <w:r w:rsidR="009B3C11" w:rsidRPr="00A835EA">
        <w:rPr>
          <w:rFonts w:ascii="Arial" w:hAnsi="Arial" w:cs="Arial"/>
          <w:sz w:val="24"/>
          <w:szCs w:val="24"/>
        </w:rPr>
        <w:t xml:space="preserve"> for the</w:t>
      </w:r>
      <w:r w:rsidR="00855C7C" w:rsidRPr="00A835EA">
        <w:rPr>
          <w:rFonts w:ascii="Arial" w:hAnsi="Arial" w:cs="Arial"/>
          <w:sz w:val="24"/>
          <w:szCs w:val="24"/>
        </w:rPr>
        <w:t xml:space="preserve"> full amount</w:t>
      </w:r>
      <w:r w:rsidR="009B3C11" w:rsidRPr="00A835EA">
        <w:rPr>
          <w:rFonts w:ascii="Arial" w:hAnsi="Arial" w:cs="Arial"/>
          <w:sz w:val="24"/>
          <w:szCs w:val="24"/>
        </w:rPr>
        <w:t xml:space="preserve"> of R78</w:t>
      </w:r>
      <w:r w:rsidR="00855C7C" w:rsidRPr="00A835EA">
        <w:rPr>
          <w:rFonts w:ascii="Arial" w:hAnsi="Arial" w:cs="Arial"/>
          <w:sz w:val="24"/>
          <w:szCs w:val="24"/>
        </w:rPr>
        <w:t>5</w:t>
      </w:r>
      <w:r w:rsidR="009B3C11" w:rsidRPr="00A835EA">
        <w:rPr>
          <w:rFonts w:ascii="Arial" w:hAnsi="Arial" w:cs="Arial"/>
          <w:sz w:val="24"/>
          <w:szCs w:val="24"/>
        </w:rPr>
        <w:t>,000.00</w:t>
      </w:r>
      <w:r w:rsidR="00AE2A2A" w:rsidRPr="00A835EA">
        <w:rPr>
          <w:rFonts w:ascii="Arial" w:hAnsi="Arial" w:cs="Arial"/>
          <w:sz w:val="24"/>
          <w:szCs w:val="24"/>
        </w:rPr>
        <w:t>, particularly if regard is had to the computation of such amount</w:t>
      </w:r>
      <w:r w:rsidR="00DD6F20" w:rsidRPr="00A835EA">
        <w:rPr>
          <w:rFonts w:ascii="Arial" w:hAnsi="Arial" w:cs="Arial"/>
          <w:sz w:val="24"/>
          <w:szCs w:val="24"/>
        </w:rPr>
        <w:t>.</w:t>
      </w:r>
    </w:p>
    <w:p w14:paraId="2D479DB6" w14:textId="77777777" w:rsidR="009B3C11" w:rsidRPr="009B3C11" w:rsidRDefault="009B3C11" w:rsidP="00A052FA">
      <w:pPr>
        <w:pStyle w:val="ListParagraph"/>
        <w:spacing w:after="0" w:line="480" w:lineRule="auto"/>
        <w:rPr>
          <w:rFonts w:ascii="Arial" w:hAnsi="Arial" w:cs="Arial"/>
          <w:sz w:val="24"/>
          <w:szCs w:val="24"/>
        </w:rPr>
      </w:pPr>
    </w:p>
    <w:p w14:paraId="723242F8" w14:textId="357202D1" w:rsidR="00855C7C"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[32]</w:t>
      </w:r>
      <w:r>
        <w:rPr>
          <w:rFonts w:ascii="Arial" w:eastAsia="Times New Roman" w:hAnsi="Arial" w:cs="Arial"/>
          <w:kern w:val="0"/>
          <w:sz w:val="24"/>
          <w:szCs w:val="24"/>
        </w:rPr>
        <w:tab/>
      </w:r>
      <w:r w:rsidR="00855C7C" w:rsidRPr="00A835EA">
        <w:rPr>
          <w:rFonts w:ascii="Arial" w:hAnsi="Arial" w:cs="Arial"/>
          <w:sz w:val="24"/>
          <w:szCs w:val="24"/>
        </w:rPr>
        <w:t xml:space="preserve">The respondent’s reliance on the final reconciliation </w:t>
      </w:r>
      <w:r w:rsidR="004134FD" w:rsidRPr="00A835EA">
        <w:rPr>
          <w:rFonts w:ascii="Arial" w:hAnsi="Arial" w:cs="Arial"/>
          <w:sz w:val="24"/>
          <w:szCs w:val="24"/>
        </w:rPr>
        <w:t>to</w:t>
      </w:r>
      <w:r w:rsidR="00400CBB" w:rsidRPr="00A835EA">
        <w:rPr>
          <w:rFonts w:ascii="Arial" w:hAnsi="Arial" w:cs="Arial"/>
          <w:sz w:val="24"/>
          <w:szCs w:val="24"/>
        </w:rPr>
        <w:t xml:space="preserve"> </w:t>
      </w:r>
      <w:r w:rsidR="004134FD" w:rsidRPr="00A835EA">
        <w:rPr>
          <w:rFonts w:ascii="Arial" w:hAnsi="Arial" w:cs="Arial"/>
          <w:sz w:val="24"/>
          <w:szCs w:val="24"/>
        </w:rPr>
        <w:t>support their case,</w:t>
      </w:r>
      <w:r w:rsidR="00855C7C" w:rsidRPr="00A835EA">
        <w:rPr>
          <w:rFonts w:ascii="Arial" w:hAnsi="Arial" w:cs="Arial"/>
          <w:sz w:val="24"/>
          <w:szCs w:val="24"/>
        </w:rPr>
        <w:t xml:space="preserve"> does not assist the respondents.</w:t>
      </w:r>
      <w:r w:rsidR="00642260">
        <w:rPr>
          <w:rStyle w:val="FootnoteReference"/>
          <w:rFonts w:ascii="Arial" w:hAnsi="Arial" w:cs="Arial"/>
          <w:sz w:val="24"/>
          <w:szCs w:val="24"/>
        </w:rPr>
        <w:footnoteReference w:id="10"/>
      </w:r>
      <w:r w:rsidR="004134FD" w:rsidRPr="00A835EA">
        <w:rPr>
          <w:rFonts w:ascii="Arial" w:hAnsi="Arial" w:cs="Arial"/>
          <w:sz w:val="24"/>
          <w:szCs w:val="24"/>
        </w:rPr>
        <w:t xml:space="preserve">  That fees were raised in respect of the transfer and </w:t>
      </w:r>
      <w:r w:rsidR="004134FD" w:rsidRPr="00A835EA">
        <w:rPr>
          <w:rFonts w:ascii="Arial" w:hAnsi="Arial" w:cs="Arial"/>
          <w:sz w:val="24"/>
          <w:szCs w:val="24"/>
        </w:rPr>
        <w:lastRenderedPageBreak/>
        <w:t xml:space="preserve">registration of the immovable property, is not inconsistent with the version of the applicants that they, at all material times, were led to believe that the immovable property would be </w:t>
      </w:r>
      <w:r w:rsidR="00400CBB" w:rsidRPr="00A835EA">
        <w:rPr>
          <w:rFonts w:ascii="Arial" w:hAnsi="Arial" w:cs="Arial"/>
          <w:sz w:val="24"/>
          <w:szCs w:val="24"/>
        </w:rPr>
        <w:t>“placed” in the</w:t>
      </w:r>
      <w:r w:rsidR="004134FD" w:rsidRPr="00A835EA">
        <w:rPr>
          <w:rFonts w:ascii="Arial" w:hAnsi="Arial" w:cs="Arial"/>
          <w:sz w:val="24"/>
          <w:szCs w:val="24"/>
        </w:rPr>
        <w:t xml:space="preserve"> second respondent for safekeeping and that the immovable property would serve as security for the loan.</w:t>
      </w:r>
      <w:r w:rsidR="00855C7C" w:rsidRPr="00A835EA">
        <w:rPr>
          <w:rFonts w:ascii="Arial" w:hAnsi="Arial" w:cs="Arial"/>
          <w:sz w:val="24"/>
          <w:szCs w:val="24"/>
        </w:rPr>
        <w:t xml:space="preserve">  </w:t>
      </w:r>
    </w:p>
    <w:p w14:paraId="0F9B2AF8" w14:textId="77777777" w:rsidR="00653BA7" w:rsidRPr="00653BA7" w:rsidRDefault="00653BA7" w:rsidP="00A052FA">
      <w:pPr>
        <w:pStyle w:val="ListParagraph"/>
        <w:spacing w:after="0" w:line="480" w:lineRule="auto"/>
        <w:rPr>
          <w:rFonts w:ascii="Arial" w:hAnsi="Arial" w:cs="Arial"/>
          <w:sz w:val="24"/>
          <w:szCs w:val="24"/>
        </w:rPr>
      </w:pPr>
    </w:p>
    <w:p w14:paraId="570D76DE" w14:textId="7E396FE9" w:rsidR="00A052FA"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[33]</w:t>
      </w:r>
      <w:r>
        <w:rPr>
          <w:rFonts w:ascii="Arial" w:eastAsia="Times New Roman" w:hAnsi="Arial" w:cs="Arial"/>
          <w:kern w:val="0"/>
          <w:sz w:val="24"/>
          <w:szCs w:val="24"/>
        </w:rPr>
        <w:tab/>
      </w:r>
      <w:r w:rsidR="00A052FA" w:rsidRPr="00A835EA">
        <w:rPr>
          <w:rFonts w:ascii="Arial" w:hAnsi="Arial" w:cs="Arial"/>
          <w:sz w:val="24"/>
          <w:szCs w:val="24"/>
        </w:rPr>
        <w:t xml:space="preserve">Whilst the applicants may have been negligent in signing the documentation; alternatively, naïve, they were clearly misled as to the nature of the transactions, believing them to serve some other purpose entirely, as was the case in </w:t>
      </w:r>
      <w:r w:rsidR="00A052FA" w:rsidRPr="00A835EA">
        <w:rPr>
          <w:rFonts w:ascii="Arial" w:hAnsi="Arial" w:cs="Arial"/>
          <w:i/>
          <w:iCs/>
          <w:sz w:val="24"/>
          <w:szCs w:val="24"/>
        </w:rPr>
        <w:t>Moore</w:t>
      </w:r>
      <w:r w:rsidR="00A052FA" w:rsidRPr="00A835EA">
        <w:rPr>
          <w:rFonts w:ascii="Arial" w:hAnsi="Arial" w:cs="Arial"/>
          <w:sz w:val="24"/>
          <w:szCs w:val="24"/>
        </w:rPr>
        <w:t xml:space="preserve"> and </w:t>
      </w:r>
      <w:proofErr w:type="spellStart"/>
      <w:r w:rsidR="00A052FA" w:rsidRPr="00A835EA">
        <w:rPr>
          <w:rFonts w:ascii="Arial" w:hAnsi="Arial" w:cs="Arial"/>
          <w:i/>
          <w:iCs/>
          <w:sz w:val="24"/>
          <w:szCs w:val="24"/>
        </w:rPr>
        <w:t>Tshatshu</w:t>
      </w:r>
      <w:proofErr w:type="spellEnd"/>
      <w:r w:rsidR="005851D5" w:rsidRPr="00A835EA">
        <w:rPr>
          <w:rFonts w:ascii="Arial" w:hAnsi="Arial" w:cs="Arial"/>
          <w:sz w:val="24"/>
          <w:szCs w:val="24"/>
        </w:rPr>
        <w:t>;</w:t>
      </w:r>
      <w:r w:rsidR="00A052FA" w:rsidRPr="00A835EA">
        <w:rPr>
          <w:rFonts w:ascii="Arial" w:hAnsi="Arial" w:cs="Arial"/>
          <w:sz w:val="24"/>
          <w:szCs w:val="24"/>
        </w:rPr>
        <w:t xml:space="preserve"> the principles enunciated </w:t>
      </w:r>
      <w:r w:rsidR="00FD28C1" w:rsidRPr="00A835EA">
        <w:rPr>
          <w:rFonts w:ascii="Arial" w:hAnsi="Arial" w:cs="Arial"/>
          <w:sz w:val="24"/>
          <w:szCs w:val="24"/>
        </w:rPr>
        <w:t>in such decisions</w:t>
      </w:r>
      <w:r w:rsidR="00A052FA" w:rsidRPr="00A835EA">
        <w:rPr>
          <w:rFonts w:ascii="Arial" w:hAnsi="Arial" w:cs="Arial"/>
          <w:sz w:val="24"/>
          <w:szCs w:val="24"/>
        </w:rPr>
        <w:t>, being equally applicable to the present case.  I am accordingly satisfied that as the applicants had no genuine intention to transfer ownership of the immovable property, the purported transfer under the agreements is ineffectual to convey valid title to the second respondent</w:t>
      </w:r>
      <w:r w:rsidR="00FC19E0" w:rsidRPr="00A835EA">
        <w:rPr>
          <w:rFonts w:ascii="Arial" w:hAnsi="Arial" w:cs="Arial"/>
          <w:sz w:val="24"/>
          <w:szCs w:val="24"/>
        </w:rPr>
        <w:t>, in the absence of which, the second respondent was unable, in law, to transfer ownership in the immovable property to the respondents</w:t>
      </w:r>
      <w:r w:rsidR="00A052FA" w:rsidRPr="00A835EA">
        <w:rPr>
          <w:rFonts w:ascii="Arial" w:hAnsi="Arial" w:cs="Arial"/>
          <w:sz w:val="24"/>
          <w:szCs w:val="24"/>
        </w:rPr>
        <w:t>.</w:t>
      </w:r>
    </w:p>
    <w:p w14:paraId="59DAEAFC" w14:textId="77777777" w:rsidR="00A052FA" w:rsidRPr="00A052FA" w:rsidRDefault="00A052FA" w:rsidP="00650843">
      <w:pPr>
        <w:pStyle w:val="ListParagraph"/>
        <w:spacing w:after="0" w:line="480" w:lineRule="auto"/>
        <w:rPr>
          <w:rFonts w:ascii="Arial" w:hAnsi="Arial" w:cs="Arial"/>
          <w:sz w:val="24"/>
          <w:szCs w:val="24"/>
        </w:rPr>
      </w:pPr>
    </w:p>
    <w:p w14:paraId="1EC638B6" w14:textId="12F331BB" w:rsidR="00A052FA" w:rsidRPr="00A835EA" w:rsidRDefault="00A835EA" w:rsidP="00A835EA">
      <w:pPr>
        <w:spacing w:after="0" w:line="480" w:lineRule="auto"/>
        <w:jc w:val="both"/>
        <w:rPr>
          <w:rFonts w:ascii="Arial" w:hAnsi="Arial" w:cs="Arial"/>
          <w:sz w:val="24"/>
          <w:szCs w:val="24"/>
        </w:rPr>
      </w:pPr>
      <w:r w:rsidRPr="00A052FA">
        <w:rPr>
          <w:rFonts w:ascii="Arial" w:eastAsia="Times New Roman" w:hAnsi="Arial" w:cs="Arial"/>
          <w:kern w:val="0"/>
          <w:sz w:val="24"/>
          <w:szCs w:val="24"/>
        </w:rPr>
        <w:t>[34]</w:t>
      </w:r>
      <w:r w:rsidRPr="00A052FA">
        <w:rPr>
          <w:rFonts w:ascii="Arial" w:eastAsia="Times New Roman" w:hAnsi="Arial" w:cs="Arial"/>
          <w:kern w:val="0"/>
          <w:sz w:val="24"/>
          <w:szCs w:val="24"/>
        </w:rPr>
        <w:tab/>
      </w:r>
      <w:r w:rsidR="00A052FA" w:rsidRPr="00A835EA">
        <w:rPr>
          <w:rFonts w:ascii="Arial" w:hAnsi="Arial" w:cs="Arial"/>
          <w:sz w:val="24"/>
          <w:szCs w:val="24"/>
        </w:rPr>
        <w:t>Applying </w:t>
      </w:r>
      <w:proofErr w:type="spellStart"/>
      <w:r w:rsidR="00A052FA" w:rsidRPr="00A835EA">
        <w:rPr>
          <w:rFonts w:ascii="Arial" w:hAnsi="Arial" w:cs="Arial"/>
          <w:i/>
          <w:iCs/>
          <w:sz w:val="24"/>
          <w:szCs w:val="24"/>
        </w:rPr>
        <w:t>Legator</w:t>
      </w:r>
      <w:proofErr w:type="spellEnd"/>
      <w:r w:rsidR="00A052FA" w:rsidRPr="00A835EA">
        <w:rPr>
          <w:rFonts w:ascii="Arial" w:hAnsi="Arial" w:cs="Arial"/>
          <w:i/>
          <w:iCs/>
          <w:sz w:val="24"/>
          <w:szCs w:val="24"/>
        </w:rPr>
        <w:t xml:space="preserve"> McKenna </w:t>
      </w:r>
      <w:proofErr w:type="spellStart"/>
      <w:r w:rsidR="00A052FA" w:rsidRPr="00A835EA">
        <w:rPr>
          <w:rFonts w:ascii="Arial" w:hAnsi="Arial" w:cs="Arial"/>
          <w:i/>
          <w:iCs/>
          <w:sz w:val="24"/>
          <w:szCs w:val="24"/>
        </w:rPr>
        <w:t>Inc</w:t>
      </w:r>
      <w:proofErr w:type="spellEnd"/>
      <w:r w:rsidR="00A052FA" w:rsidRPr="00A835EA">
        <w:rPr>
          <w:rFonts w:ascii="Arial" w:hAnsi="Arial" w:cs="Arial"/>
          <w:i/>
          <w:iCs/>
          <w:sz w:val="24"/>
          <w:szCs w:val="24"/>
        </w:rPr>
        <w:t xml:space="preserve"> v Shea</w:t>
      </w:r>
      <w:r w:rsidR="00A052FA" w:rsidRPr="00A052FA">
        <w:rPr>
          <w:rStyle w:val="FootnoteReference"/>
          <w:rFonts w:ascii="Arial" w:hAnsi="Arial" w:cs="Arial"/>
          <w:sz w:val="24"/>
          <w:szCs w:val="24"/>
        </w:rPr>
        <w:footnoteReference w:id="11"/>
      </w:r>
      <w:r w:rsidR="00A052FA" w:rsidRPr="00A835EA">
        <w:rPr>
          <w:rFonts w:ascii="Arial" w:hAnsi="Arial" w:cs="Arial"/>
          <w:sz w:val="24"/>
          <w:szCs w:val="24"/>
        </w:rPr>
        <w:t xml:space="preserve"> and </w:t>
      </w:r>
      <w:r w:rsidR="00A052FA" w:rsidRPr="00A835EA">
        <w:rPr>
          <w:rFonts w:ascii="Arial" w:hAnsi="Arial" w:cs="Arial"/>
          <w:i/>
          <w:iCs/>
          <w:sz w:val="24"/>
          <w:szCs w:val="24"/>
        </w:rPr>
        <w:t xml:space="preserve">Nedbank Ltd v </w:t>
      </w:r>
      <w:proofErr w:type="spellStart"/>
      <w:r w:rsidR="00A052FA" w:rsidRPr="00A835EA">
        <w:rPr>
          <w:rFonts w:ascii="Arial" w:hAnsi="Arial" w:cs="Arial"/>
          <w:i/>
          <w:iCs/>
          <w:sz w:val="24"/>
          <w:szCs w:val="24"/>
        </w:rPr>
        <w:t>Mendelow</w:t>
      </w:r>
      <w:proofErr w:type="spellEnd"/>
      <w:r w:rsidR="00A052FA" w:rsidRPr="00A835EA">
        <w:rPr>
          <w:rFonts w:ascii="Arial" w:hAnsi="Arial" w:cs="Arial"/>
          <w:i/>
          <w:iCs/>
          <w:sz w:val="24"/>
          <w:szCs w:val="24"/>
        </w:rPr>
        <w:t xml:space="preserve"> NNO</w:t>
      </w:r>
      <w:r w:rsidR="00A052FA" w:rsidRPr="00A052FA">
        <w:rPr>
          <w:rStyle w:val="FootnoteReference"/>
          <w:rFonts w:ascii="Arial" w:hAnsi="Arial" w:cs="Arial"/>
          <w:sz w:val="24"/>
          <w:szCs w:val="24"/>
        </w:rPr>
        <w:footnoteReference w:id="12"/>
      </w:r>
      <w:r w:rsidR="00A052FA" w:rsidRPr="00A835EA">
        <w:rPr>
          <w:rFonts w:ascii="Arial" w:hAnsi="Arial" w:cs="Arial"/>
          <w:sz w:val="24"/>
          <w:szCs w:val="24"/>
        </w:rPr>
        <w:t> at para 12:</w:t>
      </w:r>
    </w:p>
    <w:p w14:paraId="357A7376" w14:textId="77777777" w:rsidR="00A052FA" w:rsidRPr="00A052FA" w:rsidRDefault="00A052FA" w:rsidP="00A052FA">
      <w:pPr>
        <w:pStyle w:val="NormalWeb"/>
        <w:shd w:val="clear" w:color="auto" w:fill="FFFFFF"/>
        <w:spacing w:before="144" w:beforeAutospacing="0" w:after="288" w:afterAutospacing="0" w:line="480" w:lineRule="atLeast"/>
        <w:ind w:left="706"/>
        <w:jc w:val="both"/>
        <w:rPr>
          <w:rFonts w:ascii="Arial" w:hAnsi="Arial" w:cs="Arial"/>
          <w:i/>
          <w:iCs/>
          <w:color w:val="242121"/>
          <w:sz w:val="22"/>
          <w:szCs w:val="22"/>
        </w:rPr>
      </w:pPr>
      <w:r w:rsidRPr="00A052FA">
        <w:rPr>
          <w:rFonts w:ascii="Arial" w:hAnsi="Arial" w:cs="Arial"/>
          <w:i/>
          <w:iCs/>
          <w:color w:val="242121"/>
          <w:sz w:val="22"/>
          <w:szCs w:val="22"/>
        </w:rPr>
        <w:t>“</w:t>
      </w:r>
      <w:r w:rsidRPr="00A052FA">
        <w:rPr>
          <w:rFonts w:ascii="Arial" w:hAnsi="Arial" w:cs="Arial"/>
          <w:i/>
          <w:iCs/>
          <w:color w:val="242121"/>
          <w:sz w:val="22"/>
          <w:szCs w:val="22"/>
          <w:shd w:val="clear" w:color="auto" w:fill="FFFFFF"/>
        </w:rPr>
        <w:t xml:space="preserve">It is trite that where registration of a transfer of immovable property is effected pursuant to fraud or a forged document, ownership of the property does not pass to the person in whose name the property is registered after the purported transfer.  Our system of deeds registration is negative: it does not guarantee the title that appears in the deeds register. Registration is ‘intended to protect the real rights of those persons in whose names such rights are registered in the Deeds Office’.  And it is a source of information about those rights.  But registration does not guarantee title, and if it is </w:t>
      </w:r>
      <w:r w:rsidRPr="00A052FA">
        <w:rPr>
          <w:rFonts w:ascii="Arial" w:hAnsi="Arial" w:cs="Arial"/>
          <w:i/>
          <w:iCs/>
          <w:color w:val="242121"/>
          <w:sz w:val="22"/>
          <w:szCs w:val="22"/>
          <w:shd w:val="clear" w:color="auto" w:fill="FFFFFF"/>
        </w:rPr>
        <w:lastRenderedPageBreak/>
        <w:t>effected as a result of a forged power of attorney or of fraud, then the right apparently created is no right at all.</w:t>
      </w:r>
      <w:r w:rsidRPr="00A052FA">
        <w:rPr>
          <w:rFonts w:ascii="Arial" w:hAnsi="Arial" w:cs="Arial"/>
          <w:i/>
          <w:iCs/>
          <w:color w:val="242121"/>
          <w:sz w:val="22"/>
          <w:szCs w:val="22"/>
        </w:rPr>
        <w:t>”</w:t>
      </w:r>
    </w:p>
    <w:p w14:paraId="323FEFAF" w14:textId="77777777" w:rsidR="00A052FA" w:rsidRDefault="00A052FA" w:rsidP="00A052FA">
      <w:pPr>
        <w:pStyle w:val="ListParagraph"/>
        <w:spacing w:after="0" w:line="480" w:lineRule="auto"/>
        <w:ind w:left="0"/>
        <w:jc w:val="both"/>
        <w:rPr>
          <w:rFonts w:ascii="Arial" w:hAnsi="Arial" w:cs="Arial"/>
          <w:sz w:val="24"/>
          <w:szCs w:val="24"/>
        </w:rPr>
      </w:pPr>
    </w:p>
    <w:p w14:paraId="159C1164" w14:textId="6445178D" w:rsidR="00A052FA"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[35]</w:t>
      </w:r>
      <w:r>
        <w:rPr>
          <w:rFonts w:ascii="Arial" w:eastAsia="Times New Roman" w:hAnsi="Arial" w:cs="Arial"/>
          <w:kern w:val="0"/>
          <w:sz w:val="24"/>
          <w:szCs w:val="24"/>
        </w:rPr>
        <w:tab/>
      </w:r>
      <w:r w:rsidR="00A052FA" w:rsidRPr="00A835EA">
        <w:rPr>
          <w:rFonts w:ascii="Arial" w:hAnsi="Arial" w:cs="Arial"/>
          <w:sz w:val="24"/>
          <w:szCs w:val="24"/>
        </w:rPr>
        <w:t xml:space="preserve">The respondents’ reliance on </w:t>
      </w:r>
      <w:r w:rsidR="00A052FA" w:rsidRPr="00A835EA">
        <w:rPr>
          <w:rFonts w:ascii="Arial" w:hAnsi="Arial" w:cs="Arial"/>
          <w:i/>
          <w:iCs/>
          <w:sz w:val="24"/>
          <w:szCs w:val="24"/>
        </w:rPr>
        <w:t xml:space="preserve">caveat </w:t>
      </w:r>
      <w:proofErr w:type="spellStart"/>
      <w:r w:rsidR="00A052FA" w:rsidRPr="00A835EA">
        <w:rPr>
          <w:rFonts w:ascii="Arial" w:hAnsi="Arial" w:cs="Arial"/>
          <w:i/>
          <w:iCs/>
          <w:sz w:val="24"/>
          <w:szCs w:val="24"/>
        </w:rPr>
        <w:t>subscriptor</w:t>
      </w:r>
      <w:proofErr w:type="spellEnd"/>
      <w:r w:rsidR="00A052FA" w:rsidRPr="00A835EA">
        <w:rPr>
          <w:rFonts w:ascii="Arial" w:hAnsi="Arial" w:cs="Arial"/>
          <w:sz w:val="24"/>
          <w:szCs w:val="24"/>
        </w:rPr>
        <w:t xml:space="preserve"> is of no application in the face of fraud and accordingly, such argument must fail.</w:t>
      </w:r>
      <w:r w:rsidR="00A052FA">
        <w:rPr>
          <w:rStyle w:val="FootnoteReference"/>
          <w:rFonts w:ascii="Arial" w:hAnsi="Arial" w:cs="Arial"/>
          <w:sz w:val="24"/>
          <w:szCs w:val="24"/>
        </w:rPr>
        <w:footnoteReference w:id="13"/>
      </w:r>
      <w:r w:rsidR="00A052FA" w:rsidRPr="00A835EA">
        <w:rPr>
          <w:rFonts w:ascii="Arial" w:hAnsi="Arial" w:cs="Arial"/>
          <w:sz w:val="24"/>
          <w:szCs w:val="24"/>
        </w:rPr>
        <w:t xml:space="preserve">   </w:t>
      </w:r>
    </w:p>
    <w:p w14:paraId="08E335FF" w14:textId="77777777" w:rsidR="00653BA7" w:rsidRDefault="00653BA7" w:rsidP="00A052FA">
      <w:pPr>
        <w:pStyle w:val="ListParagraph"/>
        <w:spacing w:after="0" w:line="480" w:lineRule="auto"/>
        <w:ind w:left="0"/>
        <w:jc w:val="both"/>
        <w:rPr>
          <w:rFonts w:ascii="Arial" w:hAnsi="Arial" w:cs="Arial"/>
          <w:sz w:val="24"/>
          <w:szCs w:val="24"/>
        </w:rPr>
      </w:pPr>
    </w:p>
    <w:p w14:paraId="4391A9C4" w14:textId="5FB363DA" w:rsidR="00925E44"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[36]</w:t>
      </w:r>
      <w:r>
        <w:rPr>
          <w:rFonts w:ascii="Arial" w:eastAsia="Times New Roman" w:hAnsi="Arial" w:cs="Arial"/>
          <w:kern w:val="0"/>
          <w:sz w:val="24"/>
          <w:szCs w:val="24"/>
        </w:rPr>
        <w:tab/>
      </w:r>
      <w:r w:rsidR="0070327F" w:rsidRPr="00A835EA">
        <w:rPr>
          <w:rFonts w:ascii="Arial" w:hAnsi="Arial" w:cs="Arial"/>
          <w:sz w:val="24"/>
          <w:szCs w:val="24"/>
        </w:rPr>
        <w:t xml:space="preserve">As stated above, the respondents further argue that in the event of a finding that the applicants were the victims of fraud; their claim for return of the immovable property has prescribed.  </w:t>
      </w:r>
    </w:p>
    <w:p w14:paraId="462AA6E2" w14:textId="77777777" w:rsidR="00925E44" w:rsidRPr="00925E44" w:rsidRDefault="00925E44" w:rsidP="00A052FA">
      <w:pPr>
        <w:pStyle w:val="ListParagraph"/>
        <w:spacing w:after="0" w:line="480" w:lineRule="auto"/>
        <w:rPr>
          <w:rFonts w:ascii="Arial" w:hAnsi="Arial" w:cs="Arial"/>
          <w:sz w:val="24"/>
          <w:szCs w:val="24"/>
        </w:rPr>
      </w:pPr>
    </w:p>
    <w:p w14:paraId="579C6CC1" w14:textId="0FCCFF56" w:rsidR="0070327F"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[37]</w:t>
      </w:r>
      <w:r>
        <w:rPr>
          <w:rFonts w:ascii="Arial" w:eastAsia="Times New Roman" w:hAnsi="Arial" w:cs="Arial"/>
          <w:kern w:val="0"/>
          <w:sz w:val="24"/>
          <w:szCs w:val="24"/>
        </w:rPr>
        <w:tab/>
      </w:r>
      <w:r w:rsidR="0070327F" w:rsidRPr="00A835EA">
        <w:rPr>
          <w:rFonts w:ascii="Arial" w:hAnsi="Arial" w:cs="Arial"/>
          <w:sz w:val="24"/>
          <w:szCs w:val="24"/>
        </w:rPr>
        <w:t xml:space="preserve">The respondents’ reliance on </w:t>
      </w:r>
      <w:r w:rsidR="0070327F" w:rsidRPr="00A835EA">
        <w:rPr>
          <w:rFonts w:ascii="Arial" w:hAnsi="Arial" w:cs="Arial"/>
          <w:i/>
          <w:iCs/>
          <w:sz w:val="24"/>
          <w:szCs w:val="24"/>
        </w:rPr>
        <w:t>Rens v Standard Bank of South Africa Limited and Others</w:t>
      </w:r>
      <w:r w:rsidR="0070327F" w:rsidRPr="0070327F">
        <w:rPr>
          <w:rStyle w:val="FootnoteReference"/>
          <w:rFonts w:ascii="Arial" w:hAnsi="Arial" w:cs="Arial"/>
          <w:sz w:val="24"/>
          <w:szCs w:val="24"/>
        </w:rPr>
        <w:footnoteReference w:id="14"/>
      </w:r>
      <w:r w:rsidR="0070327F" w:rsidRPr="00A835EA">
        <w:rPr>
          <w:rFonts w:ascii="Arial" w:hAnsi="Arial" w:cs="Arial"/>
          <w:sz w:val="24"/>
          <w:szCs w:val="24"/>
        </w:rPr>
        <w:t xml:space="preserve"> to support their argument is misplaced, the law having been settled by the Supreme Court of Appeal in </w:t>
      </w:r>
      <w:r w:rsidR="0070327F" w:rsidRPr="00A835EA">
        <w:rPr>
          <w:rFonts w:ascii="Arial" w:hAnsi="Arial" w:cs="Arial"/>
          <w:i/>
          <w:iCs/>
          <w:sz w:val="24"/>
          <w:szCs w:val="24"/>
        </w:rPr>
        <w:t>Absa Bank Ltd v Keet</w:t>
      </w:r>
      <w:r w:rsidR="00925E44" w:rsidRPr="00A835EA">
        <w:rPr>
          <w:rFonts w:ascii="Arial" w:hAnsi="Arial" w:cs="Arial"/>
          <w:sz w:val="24"/>
          <w:szCs w:val="24"/>
        </w:rPr>
        <w:t>, to which I am bound</w:t>
      </w:r>
      <w:r w:rsidR="0070327F" w:rsidRPr="00A835EA">
        <w:rPr>
          <w:rFonts w:ascii="Arial" w:hAnsi="Arial" w:cs="Arial"/>
          <w:i/>
          <w:iCs/>
          <w:sz w:val="24"/>
          <w:szCs w:val="24"/>
        </w:rPr>
        <w:t>.</w:t>
      </w:r>
      <w:r w:rsidR="0070327F">
        <w:rPr>
          <w:rStyle w:val="FootnoteReference"/>
          <w:rFonts w:ascii="Arial" w:hAnsi="Arial" w:cs="Arial"/>
          <w:sz w:val="24"/>
          <w:szCs w:val="24"/>
        </w:rPr>
        <w:footnoteReference w:id="15"/>
      </w:r>
      <w:r w:rsidR="0070327F" w:rsidRPr="00A835EA">
        <w:rPr>
          <w:rFonts w:ascii="Arial" w:hAnsi="Arial" w:cs="Arial"/>
          <w:sz w:val="24"/>
          <w:szCs w:val="24"/>
        </w:rPr>
        <w:t xml:space="preserve">  In this respect, the court state</w:t>
      </w:r>
      <w:r w:rsidR="006F163F" w:rsidRPr="00A835EA">
        <w:rPr>
          <w:rFonts w:ascii="Arial" w:hAnsi="Arial" w:cs="Arial"/>
          <w:sz w:val="24"/>
          <w:szCs w:val="24"/>
        </w:rPr>
        <w:t>d</w:t>
      </w:r>
      <w:r w:rsidR="0070327F" w:rsidRPr="00A835EA">
        <w:rPr>
          <w:rFonts w:ascii="Arial" w:hAnsi="Arial" w:cs="Arial"/>
          <w:sz w:val="24"/>
          <w:szCs w:val="24"/>
        </w:rPr>
        <w:t xml:space="preserve"> as follows at paragraph [25]:</w:t>
      </w:r>
    </w:p>
    <w:p w14:paraId="7F346FBD" w14:textId="77777777" w:rsidR="0070327F" w:rsidRPr="0070327F" w:rsidRDefault="0070327F" w:rsidP="0070327F">
      <w:pPr>
        <w:pStyle w:val="ListParagraph"/>
        <w:rPr>
          <w:rFonts w:ascii="Arial" w:hAnsi="Arial" w:cs="Arial"/>
          <w:sz w:val="24"/>
          <w:szCs w:val="24"/>
        </w:rPr>
      </w:pPr>
    </w:p>
    <w:p w14:paraId="7CFE18AC" w14:textId="77777777" w:rsidR="0070327F" w:rsidRDefault="0070327F" w:rsidP="0070327F">
      <w:pPr>
        <w:spacing w:after="0" w:line="480" w:lineRule="auto"/>
        <w:ind w:left="720"/>
        <w:jc w:val="both"/>
        <w:rPr>
          <w:rFonts w:ascii="Arial" w:hAnsi="Arial" w:cs="Arial"/>
          <w:i/>
          <w:iCs/>
        </w:rPr>
      </w:pPr>
      <w:r>
        <w:rPr>
          <w:rFonts w:ascii="Arial" w:hAnsi="Arial" w:cs="Arial"/>
          <w:i/>
          <w:iCs/>
          <w:shd w:val="clear" w:color="auto" w:fill="FFFFFF"/>
          <w:lang w:val="en-GB"/>
        </w:rPr>
        <w:t>“…</w:t>
      </w:r>
      <w:r w:rsidRPr="0070327F">
        <w:rPr>
          <w:rFonts w:ascii="Arial" w:hAnsi="Arial" w:cs="Arial"/>
          <w:i/>
          <w:iCs/>
          <w:shd w:val="clear" w:color="auto" w:fill="FFFFFF"/>
          <w:lang w:val="en-GB"/>
        </w:rPr>
        <w:t>the view that the vindicatory action is a ‘debt’ as contemplated by the </w:t>
      </w:r>
      <w:hyperlink r:id="rId13" w:history="1">
        <w:r w:rsidRPr="0070327F">
          <w:rPr>
            <w:rStyle w:val="Hyperlink"/>
            <w:rFonts w:ascii="Arial" w:hAnsi="Arial" w:cs="Arial"/>
            <w:i/>
            <w:iCs/>
            <w:color w:val="auto"/>
            <w:u w:val="none"/>
            <w:shd w:val="clear" w:color="auto" w:fill="FFFFFF"/>
            <w:lang w:val="en-GB"/>
          </w:rPr>
          <w:t>Prescription Act which</w:t>
        </w:r>
      </w:hyperlink>
      <w:r w:rsidRPr="0070327F">
        <w:rPr>
          <w:rFonts w:ascii="Arial" w:hAnsi="Arial" w:cs="Arial"/>
          <w:i/>
          <w:iCs/>
          <w:shd w:val="clear" w:color="auto" w:fill="FFFFFF"/>
          <w:lang w:val="en-GB"/>
        </w:rPr>
        <w:t> prescribes after three years is, in my opinion, contrary to the scheme of the Act. It would, if upheld, undermine the significance of the distinction which the </w:t>
      </w:r>
      <w:hyperlink r:id="rId14" w:history="1">
        <w:r w:rsidRPr="0070327F">
          <w:rPr>
            <w:rStyle w:val="Hyperlink"/>
            <w:rFonts w:ascii="Arial" w:hAnsi="Arial" w:cs="Arial"/>
            <w:i/>
            <w:iCs/>
            <w:color w:val="auto"/>
            <w:u w:val="none"/>
            <w:shd w:val="clear" w:color="auto" w:fill="FFFFFF"/>
            <w:lang w:val="en-GB"/>
          </w:rPr>
          <w:t>Prescription Act draws</w:t>
        </w:r>
      </w:hyperlink>
      <w:r w:rsidRPr="0070327F">
        <w:rPr>
          <w:rFonts w:ascii="Arial" w:hAnsi="Arial" w:cs="Arial"/>
          <w:i/>
          <w:iCs/>
          <w:shd w:val="clear" w:color="auto" w:fill="FFFFFF"/>
          <w:lang w:val="en-GB"/>
        </w:rPr>
        <w:t xml:space="preserve"> between extinctive prescription, on the one hand and acquisitive prescription on the other. In the case of acquisitive prescription one has to do with real rights. In the case of extinctive prescription one has to do with the relationship between a creditor and a debtor. The effect of extinctive prescription is that a right of action vested in the creditor, which is a corollary of a ‘debt’, becomes </w:t>
      </w:r>
      <w:r w:rsidRPr="0070327F">
        <w:rPr>
          <w:rFonts w:ascii="Arial" w:hAnsi="Arial" w:cs="Arial"/>
          <w:i/>
          <w:iCs/>
          <w:shd w:val="clear" w:color="auto" w:fill="FFFFFF"/>
          <w:lang w:val="en-GB"/>
        </w:rPr>
        <w:lastRenderedPageBreak/>
        <w:t>extinguished simultaneously with that debt.</w:t>
      </w:r>
      <w:r w:rsidRPr="0070327F">
        <w:rPr>
          <w:rFonts w:ascii="Arial" w:hAnsi="Arial" w:cs="Arial"/>
          <w:i/>
          <w:iCs/>
          <w:shd w:val="clear" w:color="auto" w:fill="FFFFFF"/>
        </w:rPr>
        <w:t> </w:t>
      </w:r>
      <w:r w:rsidRPr="0070327F">
        <w:rPr>
          <w:rFonts w:ascii="Arial" w:hAnsi="Arial" w:cs="Arial"/>
          <w:i/>
          <w:iCs/>
          <w:shd w:val="clear" w:color="auto" w:fill="FFFFFF"/>
          <w:lang w:val="en-GB"/>
        </w:rPr>
        <w:t>In other words, what the creditor loses as a result of operation of extinctive prescription is his right of action against the debtor, which is a personal right. The creditor does not lose a right to a thing. To equate the vindicatory action with a ‘debt’ has an unintended consequence in that by way of extinctive prescription the debtor acquires ownership of a creditor’s property after three years instead of 30 years that is provided for in </w:t>
      </w:r>
      <w:hyperlink r:id="rId15" w:anchor="s1" w:history="1">
        <w:r w:rsidRPr="0070327F">
          <w:rPr>
            <w:rStyle w:val="Hyperlink"/>
            <w:rFonts w:ascii="Arial" w:hAnsi="Arial" w:cs="Arial"/>
            <w:i/>
            <w:iCs/>
            <w:color w:val="auto"/>
            <w:u w:val="none"/>
            <w:shd w:val="clear" w:color="auto" w:fill="FFFFFF"/>
            <w:lang w:val="en-GB"/>
          </w:rPr>
          <w:t>s 1</w:t>
        </w:r>
      </w:hyperlink>
      <w:r w:rsidRPr="0070327F">
        <w:rPr>
          <w:rFonts w:ascii="Arial" w:hAnsi="Arial" w:cs="Arial"/>
          <w:i/>
          <w:iCs/>
          <w:shd w:val="clear" w:color="auto" w:fill="FFFFFF"/>
          <w:lang w:val="en-GB"/>
        </w:rPr>
        <w:t> of the </w:t>
      </w:r>
      <w:hyperlink r:id="rId16" w:history="1">
        <w:r w:rsidRPr="0070327F">
          <w:rPr>
            <w:rStyle w:val="Hyperlink"/>
            <w:rFonts w:ascii="Arial" w:hAnsi="Arial" w:cs="Arial"/>
            <w:i/>
            <w:iCs/>
            <w:color w:val="auto"/>
            <w:u w:val="none"/>
            <w:shd w:val="clear" w:color="auto" w:fill="FFFFFF"/>
            <w:lang w:val="en-GB"/>
          </w:rPr>
          <w:t>Prescription Act. This</w:t>
        </w:r>
      </w:hyperlink>
      <w:r w:rsidRPr="0070327F">
        <w:rPr>
          <w:rFonts w:ascii="Arial" w:hAnsi="Arial" w:cs="Arial"/>
          <w:i/>
          <w:iCs/>
          <w:shd w:val="clear" w:color="auto" w:fill="FFFFFF"/>
          <w:lang w:val="en-GB"/>
        </w:rPr>
        <w:t> is an absurdity and not a sensible interpretation of the </w:t>
      </w:r>
      <w:hyperlink r:id="rId17" w:history="1">
        <w:r w:rsidRPr="0070327F">
          <w:rPr>
            <w:rStyle w:val="Hyperlink"/>
            <w:rFonts w:ascii="Arial" w:hAnsi="Arial" w:cs="Arial"/>
            <w:i/>
            <w:iCs/>
            <w:color w:val="auto"/>
            <w:u w:val="none"/>
            <w:shd w:val="clear" w:color="auto" w:fill="FFFFFF"/>
            <w:lang w:val="en-GB"/>
          </w:rPr>
          <w:t>Prescription Act.</w:t>
        </w:r>
      </w:hyperlink>
      <w:r>
        <w:rPr>
          <w:rFonts w:ascii="Arial" w:hAnsi="Arial" w:cs="Arial"/>
          <w:i/>
          <w:iCs/>
        </w:rPr>
        <w:t>”</w:t>
      </w:r>
    </w:p>
    <w:p w14:paraId="555A2B1A" w14:textId="68681BC4" w:rsidR="0070327F" w:rsidRPr="0070327F" w:rsidRDefault="0070327F" w:rsidP="0070327F">
      <w:pPr>
        <w:spacing w:after="0" w:line="480" w:lineRule="auto"/>
        <w:ind w:left="720"/>
        <w:jc w:val="both"/>
        <w:rPr>
          <w:rFonts w:ascii="Arial" w:hAnsi="Arial" w:cs="Arial"/>
          <w:i/>
          <w:iCs/>
        </w:rPr>
      </w:pPr>
      <w:r w:rsidRPr="0070327F">
        <w:rPr>
          <w:rFonts w:ascii="Arial" w:hAnsi="Arial" w:cs="Arial"/>
          <w:i/>
          <w:iCs/>
          <w:shd w:val="clear" w:color="auto" w:fill="FFFFFF"/>
        </w:rPr>
        <w:t>  </w:t>
      </w:r>
    </w:p>
    <w:p w14:paraId="1C7D538E" w14:textId="2C9254DA" w:rsidR="00613599"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[38]</w:t>
      </w:r>
      <w:r>
        <w:rPr>
          <w:rFonts w:ascii="Arial" w:eastAsia="Times New Roman" w:hAnsi="Arial" w:cs="Arial"/>
          <w:kern w:val="0"/>
          <w:sz w:val="24"/>
          <w:szCs w:val="24"/>
        </w:rPr>
        <w:tab/>
      </w:r>
      <w:r w:rsidR="00925E44" w:rsidRPr="00A835EA">
        <w:rPr>
          <w:rFonts w:ascii="Arial" w:hAnsi="Arial" w:cs="Arial"/>
          <w:sz w:val="24"/>
          <w:szCs w:val="24"/>
        </w:rPr>
        <w:t>In light of the aforesaid and given the vindicatory nature of the relief sought by the applicants, th</w:t>
      </w:r>
      <w:r w:rsidR="006F0849" w:rsidRPr="00A835EA">
        <w:rPr>
          <w:rFonts w:ascii="Arial" w:hAnsi="Arial" w:cs="Arial"/>
          <w:sz w:val="24"/>
          <w:szCs w:val="24"/>
        </w:rPr>
        <w:t>e respondents’</w:t>
      </w:r>
      <w:r w:rsidR="00925E44" w:rsidRPr="00A835EA">
        <w:rPr>
          <w:rFonts w:ascii="Arial" w:hAnsi="Arial" w:cs="Arial"/>
          <w:sz w:val="24"/>
          <w:szCs w:val="24"/>
        </w:rPr>
        <w:t xml:space="preserve"> argument </w:t>
      </w:r>
      <w:r w:rsidR="006F0849" w:rsidRPr="00A835EA">
        <w:rPr>
          <w:rFonts w:ascii="Arial" w:hAnsi="Arial" w:cs="Arial"/>
          <w:sz w:val="24"/>
          <w:szCs w:val="24"/>
        </w:rPr>
        <w:t>in respect of prescription</w:t>
      </w:r>
      <w:r w:rsidR="00925E44" w:rsidRPr="00A835EA">
        <w:rPr>
          <w:rFonts w:ascii="Arial" w:hAnsi="Arial" w:cs="Arial"/>
          <w:sz w:val="24"/>
          <w:szCs w:val="24"/>
        </w:rPr>
        <w:t xml:space="preserve"> must fail.</w:t>
      </w:r>
    </w:p>
    <w:p w14:paraId="24AE6857" w14:textId="6F33A177" w:rsidR="00611C35" w:rsidRDefault="00611C35" w:rsidP="00611C35">
      <w:pPr>
        <w:pStyle w:val="ListParagraph"/>
        <w:spacing w:after="0" w:line="480" w:lineRule="auto"/>
        <w:ind w:left="0"/>
        <w:jc w:val="both"/>
        <w:rPr>
          <w:rFonts w:ascii="Arial" w:hAnsi="Arial" w:cs="Arial"/>
          <w:sz w:val="24"/>
          <w:szCs w:val="24"/>
        </w:rPr>
      </w:pPr>
    </w:p>
    <w:p w14:paraId="03814437" w14:textId="3156FA99" w:rsidR="004E6952"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[39]</w:t>
      </w:r>
      <w:r>
        <w:rPr>
          <w:rFonts w:ascii="Arial" w:eastAsia="Times New Roman" w:hAnsi="Arial" w:cs="Arial"/>
          <w:kern w:val="0"/>
          <w:sz w:val="24"/>
          <w:szCs w:val="24"/>
        </w:rPr>
        <w:tab/>
      </w:r>
      <w:r w:rsidR="002C161A" w:rsidRPr="00A835EA">
        <w:rPr>
          <w:rFonts w:ascii="Arial" w:hAnsi="Arial" w:cs="Arial"/>
          <w:sz w:val="24"/>
          <w:szCs w:val="24"/>
        </w:rPr>
        <w:t>A further legal point raised by the respondents is that of estoppe</w:t>
      </w:r>
      <w:r w:rsidR="005851D5" w:rsidRPr="00A835EA">
        <w:rPr>
          <w:rFonts w:ascii="Arial" w:hAnsi="Arial" w:cs="Arial"/>
          <w:sz w:val="24"/>
          <w:szCs w:val="24"/>
        </w:rPr>
        <w:t>l</w:t>
      </w:r>
      <w:r w:rsidR="002C161A" w:rsidRPr="00A835EA">
        <w:rPr>
          <w:rFonts w:ascii="Arial" w:hAnsi="Arial" w:cs="Arial"/>
          <w:sz w:val="24"/>
          <w:szCs w:val="24"/>
        </w:rPr>
        <w:t>.  In essence, the respondents contend that “</w:t>
      </w:r>
      <w:r w:rsidR="002C161A" w:rsidRPr="00A835EA">
        <w:rPr>
          <w:rFonts w:ascii="Arial" w:hAnsi="Arial" w:cs="Arial"/>
          <w:i/>
          <w:iCs/>
          <w:sz w:val="24"/>
          <w:szCs w:val="24"/>
        </w:rPr>
        <w:t>[t]he applicants knew for many years that the property was registered in someone else’s name.  They failed to take any steps to rectify the position and in doing so allowed the sale of the property to us to occur</w:t>
      </w:r>
      <w:r w:rsidR="002C161A" w:rsidRPr="00A835EA">
        <w:rPr>
          <w:rFonts w:ascii="Arial" w:hAnsi="Arial" w:cs="Arial"/>
          <w:sz w:val="24"/>
          <w:szCs w:val="24"/>
        </w:rPr>
        <w:t xml:space="preserve">.”  </w:t>
      </w:r>
      <w:r w:rsidR="000F1E27" w:rsidRPr="00A835EA">
        <w:rPr>
          <w:rFonts w:ascii="Arial" w:hAnsi="Arial" w:cs="Arial"/>
          <w:sz w:val="24"/>
          <w:szCs w:val="24"/>
        </w:rPr>
        <w:t xml:space="preserve">Without belabouring the point, </w:t>
      </w:r>
      <w:r w:rsidR="002012F2" w:rsidRPr="00A835EA">
        <w:rPr>
          <w:rFonts w:ascii="Arial" w:hAnsi="Arial" w:cs="Arial"/>
          <w:sz w:val="24"/>
          <w:szCs w:val="24"/>
        </w:rPr>
        <w:t xml:space="preserve">not only is this an incorrect synopsis of the facts before me, but </w:t>
      </w:r>
      <w:r w:rsidR="000F1E27" w:rsidRPr="00A835EA">
        <w:rPr>
          <w:rFonts w:ascii="Arial" w:hAnsi="Arial" w:cs="Arial"/>
          <w:sz w:val="24"/>
          <w:szCs w:val="24"/>
        </w:rPr>
        <w:t>a</w:t>
      </w:r>
      <w:r w:rsidR="003A7231" w:rsidRPr="00A835EA">
        <w:rPr>
          <w:rFonts w:ascii="Arial" w:hAnsi="Arial" w:cs="Arial"/>
          <w:sz w:val="24"/>
          <w:szCs w:val="24"/>
        </w:rPr>
        <w:t xml:space="preserve"> party seeking to rely on estoppel must satisfy the requirements </w:t>
      </w:r>
      <w:r w:rsidR="005F3457" w:rsidRPr="00A835EA">
        <w:rPr>
          <w:rFonts w:ascii="Arial" w:hAnsi="Arial" w:cs="Arial"/>
          <w:sz w:val="24"/>
          <w:szCs w:val="24"/>
        </w:rPr>
        <w:t>set out</w:t>
      </w:r>
      <w:r w:rsidR="003A7231" w:rsidRPr="00A835EA">
        <w:rPr>
          <w:rFonts w:ascii="Arial" w:hAnsi="Arial" w:cs="Arial"/>
          <w:sz w:val="24"/>
          <w:szCs w:val="24"/>
        </w:rPr>
        <w:t xml:space="preserve"> by the Supreme Court of Appeal in </w:t>
      </w:r>
      <w:r w:rsidR="003A7231" w:rsidRPr="00A835EA">
        <w:rPr>
          <w:rFonts w:ascii="Arial" w:hAnsi="Arial" w:cs="Arial"/>
          <w:i/>
          <w:iCs/>
          <w:sz w:val="24"/>
          <w:szCs w:val="24"/>
        </w:rPr>
        <w:t>Aris Enterprises (Finance) v Protea Assurance</w:t>
      </w:r>
      <w:r w:rsidR="003A7231">
        <w:rPr>
          <w:rStyle w:val="FootnoteReference"/>
          <w:rFonts w:ascii="Arial" w:hAnsi="Arial" w:cs="Arial"/>
          <w:sz w:val="24"/>
          <w:szCs w:val="24"/>
        </w:rPr>
        <w:footnoteReference w:id="16"/>
      </w:r>
      <w:r w:rsidR="002C161A" w:rsidRPr="00A835EA">
        <w:rPr>
          <w:rFonts w:ascii="Arial" w:hAnsi="Arial" w:cs="Arial"/>
          <w:sz w:val="24"/>
          <w:szCs w:val="24"/>
        </w:rPr>
        <w:t xml:space="preserve"> and </w:t>
      </w:r>
      <w:r w:rsidR="003A7231" w:rsidRPr="00A835EA">
        <w:rPr>
          <w:rFonts w:ascii="Arial" w:hAnsi="Arial" w:cs="Arial"/>
          <w:sz w:val="24"/>
          <w:szCs w:val="24"/>
        </w:rPr>
        <w:t xml:space="preserve">thereafter in </w:t>
      </w:r>
      <w:r w:rsidR="003A7231" w:rsidRPr="00A835EA">
        <w:rPr>
          <w:rFonts w:ascii="Arial" w:hAnsi="Arial" w:cs="Arial"/>
          <w:i/>
          <w:iCs/>
          <w:sz w:val="24"/>
          <w:szCs w:val="24"/>
        </w:rPr>
        <w:t xml:space="preserve">Pangbourne Properties Ltd v </w:t>
      </w:r>
      <w:proofErr w:type="spellStart"/>
      <w:r w:rsidR="003A7231" w:rsidRPr="00A835EA">
        <w:rPr>
          <w:rFonts w:ascii="Arial" w:hAnsi="Arial" w:cs="Arial"/>
          <w:i/>
          <w:iCs/>
          <w:sz w:val="24"/>
          <w:szCs w:val="24"/>
        </w:rPr>
        <w:t>Basinview</w:t>
      </w:r>
      <w:proofErr w:type="spellEnd"/>
      <w:r w:rsidR="003A7231" w:rsidRPr="00A835EA">
        <w:rPr>
          <w:rFonts w:ascii="Arial" w:hAnsi="Arial" w:cs="Arial"/>
          <w:i/>
          <w:iCs/>
          <w:sz w:val="24"/>
          <w:szCs w:val="24"/>
        </w:rPr>
        <w:t xml:space="preserve"> Properties (Pty) Ltd</w:t>
      </w:r>
      <w:r w:rsidR="004E6952" w:rsidRPr="00A835EA">
        <w:rPr>
          <w:rFonts w:ascii="Arial" w:hAnsi="Arial" w:cs="Arial"/>
          <w:i/>
          <w:iCs/>
          <w:sz w:val="24"/>
          <w:szCs w:val="24"/>
        </w:rPr>
        <w:t>,</w:t>
      </w:r>
      <w:r w:rsidR="003A7231">
        <w:rPr>
          <w:rStyle w:val="FootnoteReference"/>
          <w:rFonts w:ascii="Arial" w:hAnsi="Arial" w:cs="Arial"/>
          <w:sz w:val="24"/>
          <w:szCs w:val="24"/>
        </w:rPr>
        <w:footnoteReference w:id="17"/>
      </w:r>
      <w:r w:rsidR="003A7231" w:rsidRPr="00A835EA">
        <w:rPr>
          <w:rFonts w:ascii="Arial" w:hAnsi="Arial" w:cs="Arial"/>
          <w:sz w:val="24"/>
          <w:szCs w:val="24"/>
        </w:rPr>
        <w:t xml:space="preserve"> </w:t>
      </w:r>
      <w:r w:rsidR="004E6952" w:rsidRPr="00A835EA">
        <w:rPr>
          <w:rFonts w:ascii="Arial" w:hAnsi="Arial" w:cs="Arial"/>
          <w:sz w:val="24"/>
          <w:szCs w:val="24"/>
        </w:rPr>
        <w:t>which the respondents</w:t>
      </w:r>
      <w:r w:rsidR="002012F2" w:rsidRPr="00A835EA">
        <w:rPr>
          <w:rFonts w:ascii="Arial" w:hAnsi="Arial" w:cs="Arial"/>
          <w:sz w:val="24"/>
          <w:szCs w:val="24"/>
        </w:rPr>
        <w:t>, on the facts of the present matter,</w:t>
      </w:r>
      <w:r w:rsidR="004E6952" w:rsidRPr="00A835EA">
        <w:rPr>
          <w:rFonts w:ascii="Arial" w:hAnsi="Arial" w:cs="Arial"/>
          <w:sz w:val="24"/>
          <w:szCs w:val="24"/>
        </w:rPr>
        <w:t xml:space="preserve"> have failed to do.</w:t>
      </w:r>
      <w:r w:rsidR="002012F2" w:rsidRPr="00A835EA">
        <w:rPr>
          <w:rFonts w:ascii="Arial" w:hAnsi="Arial" w:cs="Arial"/>
          <w:sz w:val="24"/>
          <w:szCs w:val="24"/>
        </w:rPr>
        <w:t xml:space="preserve">  </w:t>
      </w:r>
    </w:p>
    <w:p w14:paraId="06BE10BD" w14:textId="77777777" w:rsidR="004E6952" w:rsidRDefault="004E6952" w:rsidP="004E6952">
      <w:pPr>
        <w:pStyle w:val="ListParagraph"/>
        <w:spacing w:after="0" w:line="480" w:lineRule="auto"/>
        <w:ind w:left="0"/>
        <w:jc w:val="both"/>
        <w:rPr>
          <w:rFonts w:ascii="Arial" w:hAnsi="Arial" w:cs="Arial"/>
          <w:sz w:val="24"/>
          <w:szCs w:val="24"/>
        </w:rPr>
      </w:pPr>
    </w:p>
    <w:p w14:paraId="28292422" w14:textId="2F29DDBF" w:rsidR="00F91FF9"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[40]</w:t>
      </w:r>
      <w:r>
        <w:rPr>
          <w:rFonts w:ascii="Arial" w:eastAsia="Times New Roman" w:hAnsi="Arial" w:cs="Arial"/>
          <w:kern w:val="0"/>
          <w:sz w:val="24"/>
          <w:szCs w:val="24"/>
        </w:rPr>
        <w:tab/>
      </w:r>
      <w:r w:rsidR="00653BA7" w:rsidRPr="00A835EA">
        <w:rPr>
          <w:rFonts w:ascii="Arial" w:hAnsi="Arial" w:cs="Arial"/>
          <w:sz w:val="24"/>
          <w:szCs w:val="24"/>
        </w:rPr>
        <w:t xml:space="preserve">A further argument raised on behalf of the respondents was that the applicants have benefitted from an unmerited windfall in that prior to their engagement with AMS, they owed the bank an amount of R131,548.01.  Following their engagement, not only </w:t>
      </w:r>
      <w:r w:rsidR="00653BA7" w:rsidRPr="00A835EA">
        <w:rPr>
          <w:rFonts w:ascii="Arial" w:hAnsi="Arial" w:cs="Arial"/>
          <w:sz w:val="24"/>
          <w:szCs w:val="24"/>
        </w:rPr>
        <w:lastRenderedPageBreak/>
        <w:t>did the applicants receive an amount of R100,000.00 in cash as and for the loan, but the bond over the immovable property was extinguished.</w:t>
      </w:r>
      <w:r w:rsidR="00E64489" w:rsidRPr="00A835EA">
        <w:rPr>
          <w:rFonts w:ascii="Arial" w:hAnsi="Arial" w:cs="Arial"/>
          <w:sz w:val="24"/>
          <w:szCs w:val="24"/>
        </w:rPr>
        <w:t xml:space="preserve">  The respondents contend that it will be an unconscionable outcome should the applicants be </w:t>
      </w:r>
      <w:r w:rsidR="00F91FF9" w:rsidRPr="00A835EA">
        <w:rPr>
          <w:rFonts w:ascii="Arial" w:hAnsi="Arial" w:cs="Arial"/>
          <w:sz w:val="24"/>
          <w:szCs w:val="24"/>
        </w:rPr>
        <w:t>allowed to “</w:t>
      </w:r>
      <w:r w:rsidR="00F91FF9" w:rsidRPr="00A835EA">
        <w:rPr>
          <w:rFonts w:ascii="Arial" w:hAnsi="Arial" w:cs="Arial"/>
          <w:i/>
          <w:iCs/>
          <w:sz w:val="24"/>
          <w:szCs w:val="24"/>
        </w:rPr>
        <w:t>walk back into a property (on which they previously owed a substantial sum) bond free</w:t>
      </w:r>
      <w:r w:rsidR="00F91FF9" w:rsidRPr="00A835EA">
        <w:rPr>
          <w:rFonts w:ascii="Arial" w:hAnsi="Arial" w:cs="Arial"/>
          <w:sz w:val="24"/>
          <w:szCs w:val="24"/>
        </w:rPr>
        <w:t>”.</w:t>
      </w:r>
      <w:r w:rsidR="00E64489" w:rsidRPr="00A835EA">
        <w:rPr>
          <w:rFonts w:ascii="Arial" w:hAnsi="Arial" w:cs="Arial"/>
          <w:sz w:val="24"/>
          <w:szCs w:val="24"/>
        </w:rPr>
        <w:t xml:space="preserve">  </w:t>
      </w:r>
      <w:r w:rsidR="00234858" w:rsidRPr="00A835EA">
        <w:rPr>
          <w:rFonts w:ascii="Arial" w:hAnsi="Arial" w:cs="Arial"/>
          <w:sz w:val="24"/>
          <w:szCs w:val="24"/>
        </w:rPr>
        <w:t xml:space="preserve">This argument of course does not take into account the substantial sums of money paid by the applicants to the second respondent as and for </w:t>
      </w:r>
      <w:r w:rsidR="00234858" w:rsidRPr="00A835EA">
        <w:rPr>
          <w:rFonts w:ascii="Arial" w:hAnsi="Arial" w:cs="Arial"/>
          <w:sz w:val="24"/>
          <w:szCs w:val="24"/>
          <w:lang w:val="en-US"/>
        </w:rPr>
        <w:t xml:space="preserve">“rental” to reside in the immovable property.  </w:t>
      </w:r>
      <w:r w:rsidR="00CD4CCF" w:rsidRPr="00A835EA">
        <w:rPr>
          <w:rFonts w:ascii="Arial" w:hAnsi="Arial" w:cs="Arial"/>
          <w:sz w:val="24"/>
          <w:szCs w:val="24"/>
          <w:lang w:val="en-US"/>
        </w:rPr>
        <w:t xml:space="preserve">Leaving this aside, and </w:t>
      </w:r>
      <w:r w:rsidR="001E3664" w:rsidRPr="00A835EA">
        <w:rPr>
          <w:rFonts w:ascii="Arial" w:hAnsi="Arial" w:cs="Arial"/>
          <w:sz w:val="24"/>
          <w:szCs w:val="24"/>
          <w:lang w:val="en-US"/>
        </w:rPr>
        <w:t xml:space="preserve">even if the applicants </w:t>
      </w:r>
      <w:r w:rsidR="00E64489" w:rsidRPr="00A835EA">
        <w:rPr>
          <w:rFonts w:ascii="Arial" w:hAnsi="Arial" w:cs="Arial"/>
          <w:sz w:val="24"/>
          <w:szCs w:val="24"/>
        </w:rPr>
        <w:t xml:space="preserve">will be better off than prior to the fraud, should </w:t>
      </w:r>
      <w:r w:rsidR="00D30C1E" w:rsidRPr="00A835EA">
        <w:rPr>
          <w:rFonts w:ascii="Arial" w:hAnsi="Arial" w:cs="Arial"/>
          <w:sz w:val="24"/>
          <w:szCs w:val="24"/>
        </w:rPr>
        <w:t>I</w:t>
      </w:r>
      <w:r w:rsidR="00E64489" w:rsidRPr="00A835EA">
        <w:rPr>
          <w:rFonts w:ascii="Arial" w:hAnsi="Arial" w:cs="Arial"/>
          <w:sz w:val="24"/>
          <w:szCs w:val="24"/>
        </w:rPr>
        <w:t xml:space="preserve"> come to the applicants’ assistance</w:t>
      </w:r>
      <w:r w:rsidR="001E3664" w:rsidRPr="00A835EA">
        <w:rPr>
          <w:rFonts w:ascii="Arial" w:hAnsi="Arial" w:cs="Arial"/>
          <w:sz w:val="24"/>
          <w:szCs w:val="24"/>
        </w:rPr>
        <w:t xml:space="preserve"> (which is in any event not clear on the facts of this matter)</w:t>
      </w:r>
      <w:r w:rsidR="00E64489" w:rsidRPr="00A835EA">
        <w:rPr>
          <w:rFonts w:ascii="Arial" w:hAnsi="Arial" w:cs="Arial"/>
          <w:sz w:val="24"/>
          <w:szCs w:val="24"/>
        </w:rPr>
        <w:t xml:space="preserve">, the applicants, much like the respondents are innocent parties. </w:t>
      </w:r>
      <w:r w:rsidR="00F91FF9" w:rsidRPr="00A835EA">
        <w:rPr>
          <w:rFonts w:ascii="Arial" w:hAnsi="Arial" w:cs="Arial"/>
          <w:sz w:val="24"/>
          <w:szCs w:val="24"/>
        </w:rPr>
        <w:t xml:space="preserve"> Significantly, the first respondent bank has chosen not to oppose the application.  The Constitutional Court in </w:t>
      </w:r>
      <w:r w:rsidR="00F91FF9" w:rsidRPr="00A835EA">
        <w:rPr>
          <w:rFonts w:ascii="Arial" w:hAnsi="Arial" w:cs="Arial"/>
          <w:i/>
          <w:iCs/>
          <w:sz w:val="24"/>
          <w:szCs w:val="24"/>
        </w:rPr>
        <w:t>Absa Bank Limited v Moore and Another</w:t>
      </w:r>
      <w:r w:rsidR="00F91FF9" w:rsidRPr="00A835EA">
        <w:rPr>
          <w:rFonts w:ascii="Arial" w:hAnsi="Arial" w:cs="Arial"/>
          <w:sz w:val="24"/>
          <w:szCs w:val="24"/>
        </w:rPr>
        <w:t>,</w:t>
      </w:r>
      <w:r w:rsidR="00F91FF9">
        <w:rPr>
          <w:rStyle w:val="FootnoteReference"/>
          <w:rFonts w:ascii="Arial" w:hAnsi="Arial" w:cs="Arial"/>
          <w:sz w:val="24"/>
          <w:szCs w:val="24"/>
        </w:rPr>
        <w:footnoteReference w:id="18"/>
      </w:r>
      <w:r w:rsidR="00F91FF9" w:rsidRPr="00A835EA">
        <w:rPr>
          <w:rFonts w:ascii="Arial" w:hAnsi="Arial" w:cs="Arial"/>
          <w:sz w:val="24"/>
          <w:szCs w:val="24"/>
        </w:rPr>
        <w:t xml:space="preserve"> faced with </w:t>
      </w:r>
      <w:r w:rsidR="00B54AEE" w:rsidRPr="00A835EA">
        <w:rPr>
          <w:rFonts w:ascii="Arial" w:hAnsi="Arial" w:cs="Arial"/>
          <w:sz w:val="24"/>
          <w:szCs w:val="24"/>
        </w:rPr>
        <w:t>a similar a</w:t>
      </w:r>
      <w:r w:rsidR="00F91FF9" w:rsidRPr="00A835EA">
        <w:rPr>
          <w:rFonts w:ascii="Arial" w:hAnsi="Arial" w:cs="Arial"/>
          <w:sz w:val="24"/>
          <w:szCs w:val="24"/>
        </w:rPr>
        <w:t xml:space="preserve">rgument, </w:t>
      </w:r>
      <w:r w:rsidR="00F91FF9" w:rsidRPr="00A835EA">
        <w:rPr>
          <w:rFonts w:ascii="Arial" w:hAnsi="Arial" w:cs="Arial"/>
          <w:i/>
          <w:iCs/>
          <w:sz w:val="24"/>
          <w:szCs w:val="24"/>
        </w:rPr>
        <w:t>albeit</w:t>
      </w:r>
      <w:r w:rsidR="00F91FF9" w:rsidRPr="00A835EA">
        <w:rPr>
          <w:rFonts w:ascii="Arial" w:hAnsi="Arial" w:cs="Arial"/>
          <w:sz w:val="24"/>
          <w:szCs w:val="24"/>
        </w:rPr>
        <w:t xml:space="preserve"> having been raised on behalf of the bank, stated as follow at paragraphs [56] and [57]:</w:t>
      </w:r>
    </w:p>
    <w:p w14:paraId="4D5C0404" w14:textId="77777777" w:rsidR="00F91FF9" w:rsidRDefault="00F91FF9" w:rsidP="00F91FF9">
      <w:pPr>
        <w:pStyle w:val="ListParagraph"/>
        <w:rPr>
          <w:rFonts w:ascii="Arial" w:hAnsi="Arial" w:cs="Arial"/>
          <w:sz w:val="24"/>
          <w:szCs w:val="24"/>
        </w:rPr>
      </w:pPr>
    </w:p>
    <w:p w14:paraId="6CE864A8" w14:textId="06093075" w:rsidR="00F91FF9" w:rsidRPr="00F91FF9" w:rsidRDefault="00F91FF9" w:rsidP="00F91FF9">
      <w:pPr>
        <w:pStyle w:val="NormalWeb"/>
        <w:shd w:val="clear" w:color="auto" w:fill="FFFFFF"/>
        <w:spacing w:before="0" w:beforeAutospacing="0" w:after="0" w:afterAutospacing="0" w:line="480" w:lineRule="auto"/>
        <w:ind w:left="720"/>
        <w:jc w:val="both"/>
        <w:rPr>
          <w:rFonts w:ascii="Arial" w:hAnsi="Arial" w:cs="Arial"/>
          <w:i/>
          <w:iCs/>
          <w:sz w:val="22"/>
          <w:szCs w:val="22"/>
        </w:rPr>
      </w:pPr>
      <w:r w:rsidRPr="00F91FF9">
        <w:rPr>
          <w:rFonts w:ascii="Arial" w:hAnsi="Arial" w:cs="Arial"/>
          <w:i/>
          <w:iCs/>
          <w:sz w:val="22"/>
          <w:szCs w:val="22"/>
        </w:rPr>
        <w:t>“[56]</w:t>
      </w:r>
      <w:r w:rsidRPr="00F91FF9">
        <w:rPr>
          <w:rFonts w:ascii="Arial" w:hAnsi="Arial" w:cs="Arial"/>
          <w:i/>
          <w:iCs/>
          <w:sz w:val="22"/>
          <w:szCs w:val="22"/>
        </w:rPr>
        <w:tab/>
        <w:t xml:space="preserve">Beneath these contentions lies the Bank’s complaint that the </w:t>
      </w:r>
      <w:proofErr w:type="spellStart"/>
      <w:r w:rsidRPr="00F91FF9">
        <w:rPr>
          <w:rFonts w:ascii="Arial" w:hAnsi="Arial" w:cs="Arial"/>
          <w:i/>
          <w:iCs/>
          <w:sz w:val="22"/>
          <w:szCs w:val="22"/>
        </w:rPr>
        <w:t>Moores</w:t>
      </w:r>
      <w:proofErr w:type="spellEnd"/>
      <w:r w:rsidRPr="00F91FF9">
        <w:rPr>
          <w:rFonts w:ascii="Arial" w:hAnsi="Arial" w:cs="Arial"/>
          <w:i/>
          <w:iCs/>
          <w:sz w:val="22"/>
          <w:szCs w:val="22"/>
        </w:rPr>
        <w:t xml:space="preserve"> received an unmerited windfall at its expense.  It is true that the </w:t>
      </w:r>
      <w:proofErr w:type="spellStart"/>
      <w:r w:rsidRPr="00F91FF9">
        <w:rPr>
          <w:rFonts w:ascii="Arial" w:hAnsi="Arial" w:cs="Arial"/>
          <w:i/>
          <w:iCs/>
          <w:sz w:val="22"/>
          <w:szCs w:val="22"/>
        </w:rPr>
        <w:t>Moores</w:t>
      </w:r>
      <w:proofErr w:type="spellEnd"/>
      <w:r w:rsidRPr="00F91FF9">
        <w:rPr>
          <w:rFonts w:ascii="Arial" w:hAnsi="Arial" w:cs="Arial"/>
          <w:i/>
          <w:iCs/>
          <w:sz w:val="22"/>
          <w:szCs w:val="22"/>
        </w:rPr>
        <w:t xml:space="preserve"> are better off now than before the fraud, and that the Bank, having lost its secured loan to the </w:t>
      </w:r>
      <w:proofErr w:type="spellStart"/>
      <w:r w:rsidRPr="00F91FF9">
        <w:rPr>
          <w:rFonts w:ascii="Arial" w:hAnsi="Arial" w:cs="Arial"/>
          <w:i/>
          <w:iCs/>
          <w:sz w:val="22"/>
          <w:szCs w:val="22"/>
        </w:rPr>
        <w:t>Moores</w:t>
      </w:r>
      <w:proofErr w:type="spellEnd"/>
      <w:r w:rsidRPr="00F91FF9">
        <w:rPr>
          <w:rFonts w:ascii="Arial" w:hAnsi="Arial" w:cs="Arial"/>
          <w:i/>
          <w:iCs/>
          <w:sz w:val="22"/>
          <w:szCs w:val="22"/>
        </w:rPr>
        <w:t xml:space="preserve">, now has only an unsecured claim against Mr Kabini, who is probably good for nothing.  But the </w:t>
      </w:r>
      <w:proofErr w:type="spellStart"/>
      <w:r w:rsidRPr="00F91FF9">
        <w:rPr>
          <w:rFonts w:ascii="Arial" w:hAnsi="Arial" w:cs="Arial"/>
          <w:i/>
          <w:iCs/>
          <w:sz w:val="22"/>
          <w:szCs w:val="22"/>
        </w:rPr>
        <w:t>Moores</w:t>
      </w:r>
      <w:proofErr w:type="spellEnd"/>
      <w:r w:rsidRPr="00F91FF9">
        <w:rPr>
          <w:rFonts w:ascii="Arial" w:hAnsi="Arial" w:cs="Arial"/>
          <w:i/>
          <w:iCs/>
          <w:sz w:val="22"/>
          <w:szCs w:val="22"/>
        </w:rPr>
        <w:t xml:space="preserve"> justly defend that this was not their fault.  Their bond debt to the Bank was discharged because the Bank decided to take Mr Kabini, whom it thought now owned the property, as its debtor in their stead.  It was the Bank that decided to grant a loan to Mr Kabini.  We don’t know what background checks it did, or could have done, on him.  We know nothing about the conveyancing attorney whom it employed, and who accepted all the documents at face value.  The discharge of the </w:t>
      </w:r>
      <w:proofErr w:type="spellStart"/>
      <w:r w:rsidRPr="00F91FF9">
        <w:rPr>
          <w:rFonts w:ascii="Arial" w:hAnsi="Arial" w:cs="Arial"/>
          <w:i/>
          <w:iCs/>
          <w:sz w:val="22"/>
          <w:szCs w:val="22"/>
        </w:rPr>
        <w:t>Moores</w:t>
      </w:r>
      <w:proofErr w:type="spellEnd"/>
      <w:r w:rsidRPr="00F91FF9">
        <w:rPr>
          <w:rFonts w:ascii="Arial" w:hAnsi="Arial" w:cs="Arial"/>
          <w:i/>
          <w:iCs/>
          <w:sz w:val="22"/>
          <w:szCs w:val="22"/>
        </w:rPr>
        <w:t xml:space="preserve">’ debt was not </w:t>
      </w:r>
      <w:r w:rsidRPr="00F91FF9">
        <w:rPr>
          <w:rFonts w:ascii="Arial" w:hAnsi="Arial" w:cs="Arial"/>
          <w:i/>
          <w:iCs/>
          <w:sz w:val="22"/>
          <w:szCs w:val="22"/>
        </w:rPr>
        <w:lastRenderedPageBreak/>
        <w:t>subject to a condition that Mr Kabini would prove a worthy debtor.  And, on the facts before us, there is no basis to develop our law so as to impose one.</w:t>
      </w:r>
    </w:p>
    <w:p w14:paraId="45A82419" w14:textId="77777777" w:rsidR="00F91FF9" w:rsidRPr="00F91FF9" w:rsidRDefault="00F91FF9" w:rsidP="00F91FF9">
      <w:pPr>
        <w:pStyle w:val="NormalWeb"/>
        <w:shd w:val="clear" w:color="auto" w:fill="FFFFFF"/>
        <w:spacing w:before="0" w:beforeAutospacing="0" w:after="0" w:afterAutospacing="0" w:line="480" w:lineRule="auto"/>
        <w:ind w:firstLine="720"/>
        <w:jc w:val="both"/>
        <w:rPr>
          <w:rFonts w:ascii="Arial" w:hAnsi="Arial" w:cs="Arial"/>
          <w:i/>
          <w:iCs/>
          <w:sz w:val="22"/>
          <w:szCs w:val="22"/>
        </w:rPr>
      </w:pPr>
    </w:p>
    <w:p w14:paraId="2A6A6583" w14:textId="05308C79" w:rsidR="00F91FF9" w:rsidRPr="00F91FF9" w:rsidRDefault="00F91FF9" w:rsidP="00F91FF9">
      <w:pPr>
        <w:pStyle w:val="NormalWeb"/>
        <w:shd w:val="clear" w:color="auto" w:fill="FFFFFF"/>
        <w:spacing w:before="0" w:beforeAutospacing="0" w:after="0" w:afterAutospacing="0" w:line="480" w:lineRule="auto"/>
        <w:ind w:left="720"/>
        <w:jc w:val="both"/>
        <w:rPr>
          <w:rFonts w:ascii="Arial" w:hAnsi="Arial" w:cs="Arial"/>
          <w:i/>
          <w:iCs/>
          <w:sz w:val="22"/>
          <w:szCs w:val="22"/>
        </w:rPr>
      </w:pPr>
      <w:r w:rsidRPr="00F91FF9">
        <w:rPr>
          <w:rFonts w:ascii="Arial" w:hAnsi="Arial" w:cs="Arial"/>
          <w:i/>
          <w:iCs/>
          <w:sz w:val="22"/>
          <w:szCs w:val="22"/>
        </w:rPr>
        <w:t>[57] </w:t>
      </w:r>
      <w:r w:rsidRPr="00F91FF9">
        <w:rPr>
          <w:rFonts w:ascii="Arial" w:hAnsi="Arial" w:cs="Arial"/>
          <w:i/>
          <w:iCs/>
          <w:sz w:val="22"/>
          <w:szCs w:val="22"/>
        </w:rPr>
        <w:tab/>
        <w:t>In the way things have turned out, on what we have before us, the outcome is not unjust.  The Bank, which enjoyed the institutional resources and power to protect itself against the fraudulent scheme, but didn’t do so, has to suffer the loss its loan to Mr Kabini caused to it.”</w:t>
      </w:r>
    </w:p>
    <w:p w14:paraId="003AC27F" w14:textId="77777777" w:rsidR="00F91FF9" w:rsidRPr="00F91FF9" w:rsidRDefault="00F91FF9" w:rsidP="00F91FF9">
      <w:pPr>
        <w:pStyle w:val="ListParagraph"/>
        <w:spacing w:after="0" w:line="480" w:lineRule="auto"/>
        <w:jc w:val="both"/>
        <w:rPr>
          <w:rFonts w:ascii="Arial" w:hAnsi="Arial" w:cs="Arial"/>
        </w:rPr>
      </w:pPr>
    </w:p>
    <w:p w14:paraId="51444F51" w14:textId="4BDD3DF6" w:rsidR="00B54AEE"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[41]</w:t>
      </w:r>
      <w:r>
        <w:rPr>
          <w:rFonts w:ascii="Arial" w:eastAsia="Times New Roman" w:hAnsi="Arial" w:cs="Arial"/>
          <w:kern w:val="0"/>
          <w:sz w:val="24"/>
          <w:szCs w:val="24"/>
        </w:rPr>
        <w:tab/>
      </w:r>
      <w:r w:rsidR="00F91FF9" w:rsidRPr="00A835EA">
        <w:rPr>
          <w:rFonts w:ascii="Arial" w:hAnsi="Arial" w:cs="Arial"/>
          <w:sz w:val="24"/>
          <w:szCs w:val="24"/>
        </w:rPr>
        <w:t xml:space="preserve">In the event </w:t>
      </w:r>
      <w:r w:rsidR="00313CF4" w:rsidRPr="00A835EA">
        <w:rPr>
          <w:rFonts w:ascii="Arial" w:hAnsi="Arial" w:cs="Arial"/>
          <w:sz w:val="24"/>
          <w:szCs w:val="24"/>
        </w:rPr>
        <w:t>that</w:t>
      </w:r>
      <w:r w:rsidR="00F91FF9" w:rsidRPr="00A835EA">
        <w:rPr>
          <w:rFonts w:ascii="Arial" w:hAnsi="Arial" w:cs="Arial"/>
          <w:sz w:val="24"/>
          <w:szCs w:val="24"/>
        </w:rPr>
        <w:t xml:space="preserve"> the </w:t>
      </w:r>
      <w:r w:rsidR="00B54AEE" w:rsidRPr="00A835EA">
        <w:rPr>
          <w:rFonts w:ascii="Arial" w:hAnsi="Arial" w:cs="Arial"/>
          <w:sz w:val="24"/>
          <w:szCs w:val="24"/>
        </w:rPr>
        <w:t xml:space="preserve">respondents </w:t>
      </w:r>
      <w:r w:rsidR="00313CF4" w:rsidRPr="00A835EA">
        <w:rPr>
          <w:rFonts w:ascii="Arial" w:hAnsi="Arial" w:cs="Arial"/>
          <w:sz w:val="24"/>
          <w:szCs w:val="24"/>
        </w:rPr>
        <w:t xml:space="preserve">are held to the </w:t>
      </w:r>
      <w:r w:rsidR="00B54AEE" w:rsidRPr="00A835EA">
        <w:rPr>
          <w:rFonts w:ascii="Arial" w:hAnsi="Arial" w:cs="Arial"/>
          <w:sz w:val="24"/>
          <w:szCs w:val="24"/>
        </w:rPr>
        <w:t>terms of the</w:t>
      </w:r>
      <w:r w:rsidR="00643557" w:rsidRPr="00A835EA">
        <w:rPr>
          <w:rFonts w:ascii="Arial" w:hAnsi="Arial" w:cs="Arial"/>
          <w:sz w:val="24"/>
          <w:szCs w:val="24"/>
        </w:rPr>
        <w:t>ir</w:t>
      </w:r>
      <w:r w:rsidR="00B54AEE" w:rsidRPr="00A835EA">
        <w:rPr>
          <w:rFonts w:ascii="Arial" w:hAnsi="Arial" w:cs="Arial"/>
          <w:sz w:val="24"/>
          <w:szCs w:val="24"/>
        </w:rPr>
        <w:t xml:space="preserve"> loan agreement</w:t>
      </w:r>
      <w:r w:rsidR="003E726D" w:rsidRPr="00A835EA">
        <w:rPr>
          <w:rFonts w:ascii="Arial" w:hAnsi="Arial" w:cs="Arial"/>
          <w:sz w:val="24"/>
          <w:szCs w:val="24"/>
        </w:rPr>
        <w:t xml:space="preserve"> in respect of the immovable property</w:t>
      </w:r>
      <w:r w:rsidR="00B54AEE" w:rsidRPr="00A835EA">
        <w:rPr>
          <w:rFonts w:ascii="Arial" w:hAnsi="Arial" w:cs="Arial"/>
          <w:sz w:val="24"/>
          <w:szCs w:val="24"/>
        </w:rPr>
        <w:t xml:space="preserve">, for which the bank would ultimately have lost its security, the respondents are free to institute </w:t>
      </w:r>
      <w:r w:rsidR="006C57E1" w:rsidRPr="00A835EA">
        <w:rPr>
          <w:rFonts w:ascii="Arial" w:hAnsi="Arial" w:cs="Arial"/>
          <w:sz w:val="24"/>
          <w:szCs w:val="24"/>
        </w:rPr>
        <w:t>a</w:t>
      </w:r>
      <w:r w:rsidR="00B54AEE" w:rsidRPr="00A835EA">
        <w:rPr>
          <w:rFonts w:ascii="Arial" w:hAnsi="Arial" w:cs="Arial"/>
          <w:sz w:val="24"/>
          <w:szCs w:val="24"/>
        </w:rPr>
        <w:t xml:space="preserve"> claim</w:t>
      </w:r>
      <w:r w:rsidR="006C57E1" w:rsidRPr="00A835EA">
        <w:rPr>
          <w:rFonts w:ascii="Arial" w:hAnsi="Arial" w:cs="Arial"/>
          <w:sz w:val="24"/>
          <w:szCs w:val="24"/>
        </w:rPr>
        <w:t xml:space="preserve"> for damages</w:t>
      </w:r>
      <w:r w:rsidR="00B54AEE" w:rsidRPr="00A835EA">
        <w:rPr>
          <w:rFonts w:ascii="Arial" w:hAnsi="Arial" w:cs="Arial"/>
          <w:sz w:val="24"/>
          <w:szCs w:val="24"/>
        </w:rPr>
        <w:t xml:space="preserve"> against whichever party they deem to be responsible for their loss; alternatively, </w:t>
      </w:r>
      <w:r w:rsidR="001C5594" w:rsidRPr="00A835EA">
        <w:rPr>
          <w:rFonts w:ascii="Arial" w:hAnsi="Arial" w:cs="Arial"/>
          <w:sz w:val="24"/>
          <w:szCs w:val="24"/>
        </w:rPr>
        <w:t xml:space="preserve">to pursue </w:t>
      </w:r>
      <w:r w:rsidR="00B54AEE" w:rsidRPr="00A835EA">
        <w:rPr>
          <w:rFonts w:ascii="Arial" w:hAnsi="Arial" w:cs="Arial"/>
          <w:sz w:val="24"/>
          <w:szCs w:val="24"/>
        </w:rPr>
        <w:t xml:space="preserve">any other legal </w:t>
      </w:r>
      <w:r w:rsidR="00A55919" w:rsidRPr="00A835EA">
        <w:rPr>
          <w:rFonts w:ascii="Arial" w:hAnsi="Arial" w:cs="Arial"/>
          <w:sz w:val="24"/>
          <w:szCs w:val="24"/>
        </w:rPr>
        <w:t>remedy</w:t>
      </w:r>
      <w:r w:rsidR="00B54AEE" w:rsidRPr="00A835EA">
        <w:rPr>
          <w:rFonts w:ascii="Arial" w:hAnsi="Arial" w:cs="Arial"/>
          <w:sz w:val="24"/>
          <w:szCs w:val="24"/>
        </w:rPr>
        <w:t xml:space="preserve"> seeking whatever relief th</w:t>
      </w:r>
      <w:r w:rsidR="00853BFF" w:rsidRPr="00A835EA">
        <w:rPr>
          <w:rFonts w:ascii="Arial" w:hAnsi="Arial" w:cs="Arial"/>
          <w:sz w:val="24"/>
          <w:szCs w:val="24"/>
        </w:rPr>
        <w:t>ey</w:t>
      </w:r>
      <w:r w:rsidR="00B54AEE" w:rsidRPr="00A835EA">
        <w:rPr>
          <w:rFonts w:ascii="Arial" w:hAnsi="Arial" w:cs="Arial"/>
          <w:sz w:val="24"/>
          <w:szCs w:val="24"/>
        </w:rPr>
        <w:t xml:space="preserve"> deem appropriate</w:t>
      </w:r>
      <w:r w:rsidR="009F6C44" w:rsidRPr="00A835EA">
        <w:rPr>
          <w:rFonts w:ascii="Arial" w:hAnsi="Arial" w:cs="Arial"/>
          <w:sz w:val="24"/>
          <w:szCs w:val="24"/>
        </w:rPr>
        <w:t>,</w:t>
      </w:r>
      <w:r w:rsidR="00B54AEE" w:rsidRPr="00A835EA">
        <w:rPr>
          <w:rFonts w:ascii="Arial" w:hAnsi="Arial" w:cs="Arial"/>
          <w:sz w:val="24"/>
          <w:szCs w:val="24"/>
        </w:rPr>
        <w:t xml:space="preserve"> in the circumstances of the matter.  This falls outside the ambit of th</w:t>
      </w:r>
      <w:r w:rsidR="009F6C44" w:rsidRPr="00A835EA">
        <w:rPr>
          <w:rFonts w:ascii="Arial" w:hAnsi="Arial" w:cs="Arial"/>
          <w:sz w:val="24"/>
          <w:szCs w:val="24"/>
        </w:rPr>
        <w:t>is judgment</w:t>
      </w:r>
      <w:r w:rsidR="00B54AEE" w:rsidRPr="00A835EA">
        <w:rPr>
          <w:rFonts w:ascii="Arial" w:hAnsi="Arial" w:cs="Arial"/>
          <w:sz w:val="24"/>
          <w:szCs w:val="24"/>
        </w:rPr>
        <w:t>.</w:t>
      </w:r>
      <w:r w:rsidR="00611C35" w:rsidRPr="00A835EA">
        <w:rPr>
          <w:rFonts w:ascii="Arial" w:hAnsi="Arial" w:cs="Arial"/>
          <w:sz w:val="24"/>
          <w:szCs w:val="24"/>
        </w:rPr>
        <w:t xml:space="preserve">  </w:t>
      </w:r>
    </w:p>
    <w:p w14:paraId="7619C5D2" w14:textId="66CC4F32" w:rsidR="00611C35" w:rsidRDefault="00611C35" w:rsidP="00611C35">
      <w:pPr>
        <w:pStyle w:val="ListParagraph"/>
        <w:spacing w:after="0" w:line="480" w:lineRule="auto"/>
        <w:ind w:left="0"/>
        <w:jc w:val="both"/>
        <w:rPr>
          <w:rFonts w:ascii="Arial" w:hAnsi="Arial" w:cs="Arial"/>
          <w:sz w:val="24"/>
          <w:szCs w:val="24"/>
        </w:rPr>
      </w:pPr>
    </w:p>
    <w:p w14:paraId="1F8F7983" w14:textId="56CB3DA4" w:rsidR="00B83269"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[42]</w:t>
      </w:r>
      <w:r>
        <w:rPr>
          <w:rFonts w:ascii="Arial" w:eastAsia="Times New Roman" w:hAnsi="Arial" w:cs="Arial"/>
          <w:kern w:val="0"/>
          <w:sz w:val="24"/>
          <w:szCs w:val="24"/>
        </w:rPr>
        <w:tab/>
      </w:r>
      <w:r w:rsidR="00611C35" w:rsidRPr="00A835EA">
        <w:rPr>
          <w:rFonts w:ascii="Arial" w:hAnsi="Arial" w:cs="Arial"/>
          <w:sz w:val="24"/>
          <w:szCs w:val="24"/>
        </w:rPr>
        <w:t>The argument on behalf of the respondents that</w:t>
      </w:r>
      <w:r w:rsidR="00B83269" w:rsidRPr="00A835EA">
        <w:rPr>
          <w:rFonts w:ascii="Arial" w:hAnsi="Arial" w:cs="Arial"/>
          <w:sz w:val="24"/>
          <w:szCs w:val="24"/>
        </w:rPr>
        <w:t xml:space="preserve"> as they are innocent purchasers, the applicants have no right of recourse against them for the return of the property, is without merit.  So too is the</w:t>
      </w:r>
      <w:r w:rsidR="00AA1F52" w:rsidRPr="00A835EA">
        <w:rPr>
          <w:rFonts w:ascii="Arial" w:hAnsi="Arial" w:cs="Arial"/>
          <w:sz w:val="24"/>
          <w:szCs w:val="24"/>
        </w:rPr>
        <w:t>ir</w:t>
      </w:r>
      <w:r w:rsidR="00B83269" w:rsidRPr="00A835EA">
        <w:rPr>
          <w:rFonts w:ascii="Arial" w:hAnsi="Arial" w:cs="Arial"/>
          <w:sz w:val="24"/>
          <w:szCs w:val="24"/>
        </w:rPr>
        <w:t xml:space="preserve"> misplaced reliance on the decision of </w:t>
      </w:r>
      <w:r w:rsidR="00B83269" w:rsidRPr="00A835EA">
        <w:rPr>
          <w:rFonts w:ascii="Arial" w:hAnsi="Arial" w:cs="Arial"/>
          <w:i/>
          <w:iCs/>
          <w:sz w:val="24"/>
          <w:szCs w:val="24"/>
        </w:rPr>
        <w:t>Preller &amp; Others v Jordaan.</w:t>
      </w:r>
      <w:r w:rsidR="00B83269">
        <w:rPr>
          <w:rStyle w:val="FootnoteReference"/>
          <w:rFonts w:ascii="Arial" w:hAnsi="Arial" w:cs="Arial"/>
          <w:sz w:val="24"/>
          <w:szCs w:val="24"/>
        </w:rPr>
        <w:footnoteReference w:id="19"/>
      </w:r>
      <w:r w:rsidR="00B83269" w:rsidRPr="00A835EA">
        <w:rPr>
          <w:rFonts w:ascii="Arial" w:hAnsi="Arial" w:cs="Arial"/>
          <w:sz w:val="24"/>
          <w:szCs w:val="24"/>
        </w:rPr>
        <w:t xml:space="preserve">  </w:t>
      </w:r>
      <w:r w:rsidR="00B83269" w:rsidRPr="00A835EA">
        <w:rPr>
          <w:rFonts w:ascii="Arial" w:hAnsi="Arial" w:cs="Arial"/>
          <w:i/>
          <w:iCs/>
          <w:sz w:val="24"/>
          <w:szCs w:val="24"/>
        </w:rPr>
        <w:t>Preller</w:t>
      </w:r>
      <w:r w:rsidR="00B83269" w:rsidRPr="00A835EA">
        <w:rPr>
          <w:rFonts w:ascii="Arial" w:hAnsi="Arial" w:cs="Arial"/>
          <w:sz w:val="24"/>
          <w:szCs w:val="24"/>
        </w:rPr>
        <w:t xml:space="preserve"> is not authority for such proposition.  What the court found was that where a party, despite the fraudulent conduct, intended to transfer</w:t>
      </w:r>
      <w:r w:rsidR="00F57D2C" w:rsidRPr="00A835EA">
        <w:rPr>
          <w:rFonts w:ascii="Arial" w:hAnsi="Arial" w:cs="Arial"/>
          <w:sz w:val="24"/>
          <w:szCs w:val="24"/>
        </w:rPr>
        <w:t xml:space="preserve"> the</w:t>
      </w:r>
      <w:r w:rsidR="00B83269" w:rsidRPr="00A835EA">
        <w:rPr>
          <w:rFonts w:ascii="Arial" w:hAnsi="Arial" w:cs="Arial"/>
          <w:sz w:val="24"/>
          <w:szCs w:val="24"/>
        </w:rPr>
        <w:t xml:space="preserve"> </w:t>
      </w:r>
      <w:r w:rsidR="00FE5951" w:rsidRPr="00A835EA">
        <w:rPr>
          <w:rFonts w:ascii="Arial" w:hAnsi="Arial" w:cs="Arial"/>
          <w:sz w:val="24"/>
          <w:szCs w:val="24"/>
        </w:rPr>
        <w:t>title in the property</w:t>
      </w:r>
      <w:r w:rsidR="00B83269" w:rsidRPr="00A835EA">
        <w:rPr>
          <w:rFonts w:ascii="Arial" w:hAnsi="Arial" w:cs="Arial"/>
          <w:sz w:val="24"/>
          <w:szCs w:val="24"/>
        </w:rPr>
        <w:t>, even though willingness to do so may have been the result of undue influence, it constitutes a valid act</w:t>
      </w:r>
      <w:r w:rsidR="00B00082" w:rsidRPr="00A835EA">
        <w:rPr>
          <w:rFonts w:ascii="Arial" w:hAnsi="Arial" w:cs="Arial"/>
          <w:sz w:val="24"/>
          <w:szCs w:val="24"/>
        </w:rPr>
        <w:t>, which is not void but only voidable.</w:t>
      </w:r>
      <w:r w:rsidR="00B83269" w:rsidRPr="00A835EA">
        <w:rPr>
          <w:rFonts w:ascii="Arial" w:hAnsi="Arial" w:cs="Arial"/>
          <w:sz w:val="24"/>
          <w:szCs w:val="24"/>
        </w:rPr>
        <w:t xml:space="preserve">  In such instance, ownership passes between the relevant parties and the property may not be reclaimed by way of the </w:t>
      </w:r>
      <w:r w:rsidR="00B83269" w:rsidRPr="00A835EA">
        <w:rPr>
          <w:rFonts w:ascii="Arial" w:hAnsi="Arial" w:cs="Arial"/>
          <w:i/>
          <w:iCs/>
          <w:sz w:val="24"/>
          <w:szCs w:val="24"/>
        </w:rPr>
        <w:t xml:space="preserve">rei </w:t>
      </w:r>
      <w:proofErr w:type="spellStart"/>
      <w:r w:rsidR="00B83269" w:rsidRPr="00A835EA">
        <w:rPr>
          <w:rFonts w:ascii="Arial" w:hAnsi="Arial" w:cs="Arial"/>
          <w:i/>
          <w:iCs/>
          <w:sz w:val="24"/>
          <w:szCs w:val="24"/>
        </w:rPr>
        <w:t>vindicatio</w:t>
      </w:r>
      <w:proofErr w:type="spellEnd"/>
      <w:r w:rsidR="00B83269" w:rsidRPr="00A835EA">
        <w:rPr>
          <w:rFonts w:ascii="Arial" w:hAnsi="Arial" w:cs="Arial"/>
          <w:sz w:val="24"/>
          <w:szCs w:val="24"/>
        </w:rPr>
        <w:t xml:space="preserve">.  Where however, as in present matter, a party </w:t>
      </w:r>
      <w:r w:rsidR="00B83269" w:rsidRPr="00A835EA">
        <w:rPr>
          <w:rFonts w:ascii="Arial" w:hAnsi="Arial" w:cs="Arial"/>
          <w:sz w:val="24"/>
          <w:szCs w:val="24"/>
        </w:rPr>
        <w:lastRenderedPageBreak/>
        <w:t xml:space="preserve">signs a deed of sale, thinking it to be something else, </w:t>
      </w:r>
      <w:r w:rsidR="00F57D2C" w:rsidRPr="00A835EA">
        <w:rPr>
          <w:rFonts w:ascii="Arial" w:hAnsi="Arial" w:cs="Arial"/>
          <w:sz w:val="24"/>
          <w:szCs w:val="24"/>
        </w:rPr>
        <w:t xml:space="preserve">and accordingly has no intention to bring about the legal consequences of a sale, </w:t>
      </w:r>
      <w:r w:rsidR="00B83269" w:rsidRPr="00A835EA">
        <w:rPr>
          <w:rFonts w:ascii="Arial" w:hAnsi="Arial" w:cs="Arial"/>
          <w:sz w:val="24"/>
          <w:szCs w:val="24"/>
        </w:rPr>
        <w:t>such act has no legal consequences.</w:t>
      </w:r>
    </w:p>
    <w:p w14:paraId="5E354E43" w14:textId="77777777" w:rsidR="00B83269" w:rsidRDefault="00B83269" w:rsidP="004E6952">
      <w:pPr>
        <w:rPr>
          <w:rFonts w:ascii="Arial" w:hAnsi="Arial" w:cs="Arial"/>
          <w:sz w:val="24"/>
          <w:szCs w:val="24"/>
        </w:rPr>
      </w:pPr>
    </w:p>
    <w:p w14:paraId="47FC0EE6" w14:textId="22AB0761" w:rsidR="004E6952" w:rsidRDefault="004E6952" w:rsidP="004E6952">
      <w:pPr>
        <w:rPr>
          <w:rFonts w:ascii="Arial" w:hAnsi="Arial" w:cs="Arial"/>
          <w:b/>
          <w:bCs/>
          <w:i/>
          <w:iCs/>
          <w:sz w:val="24"/>
          <w:szCs w:val="24"/>
        </w:rPr>
      </w:pPr>
      <w:r>
        <w:rPr>
          <w:rFonts w:ascii="Arial" w:hAnsi="Arial" w:cs="Arial"/>
          <w:b/>
          <w:bCs/>
          <w:i/>
          <w:iCs/>
          <w:sz w:val="24"/>
          <w:szCs w:val="24"/>
        </w:rPr>
        <w:t>Conclusion</w:t>
      </w:r>
    </w:p>
    <w:p w14:paraId="4A3213C9" w14:textId="77777777" w:rsidR="004E6952" w:rsidRPr="004E6952" w:rsidRDefault="004E6952" w:rsidP="004E6952">
      <w:pPr>
        <w:rPr>
          <w:rFonts w:ascii="Arial" w:hAnsi="Arial" w:cs="Arial"/>
          <w:b/>
          <w:bCs/>
          <w:i/>
          <w:iCs/>
          <w:sz w:val="24"/>
          <w:szCs w:val="24"/>
        </w:rPr>
      </w:pPr>
    </w:p>
    <w:p w14:paraId="1A575221" w14:textId="5C3676D8" w:rsidR="00B83269"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[43]</w:t>
      </w:r>
      <w:r>
        <w:rPr>
          <w:rFonts w:ascii="Arial" w:eastAsia="Times New Roman" w:hAnsi="Arial" w:cs="Arial"/>
          <w:kern w:val="0"/>
          <w:sz w:val="24"/>
          <w:szCs w:val="24"/>
        </w:rPr>
        <w:tab/>
      </w:r>
      <w:r w:rsidR="004E6952" w:rsidRPr="00A835EA">
        <w:rPr>
          <w:rFonts w:ascii="Arial" w:hAnsi="Arial" w:cs="Arial"/>
          <w:sz w:val="24"/>
          <w:szCs w:val="24"/>
        </w:rPr>
        <w:t xml:space="preserve">For all </w:t>
      </w:r>
      <w:r w:rsidR="009D5D35" w:rsidRPr="00A835EA">
        <w:rPr>
          <w:rFonts w:ascii="Arial" w:hAnsi="Arial" w:cs="Arial"/>
          <w:sz w:val="24"/>
          <w:szCs w:val="24"/>
        </w:rPr>
        <w:t>of the above</w:t>
      </w:r>
      <w:r w:rsidR="004E6952" w:rsidRPr="00A835EA">
        <w:rPr>
          <w:rFonts w:ascii="Arial" w:hAnsi="Arial" w:cs="Arial"/>
          <w:sz w:val="24"/>
          <w:szCs w:val="24"/>
        </w:rPr>
        <w:t xml:space="preserve"> reasons</w:t>
      </w:r>
      <w:r w:rsidR="009D5D35" w:rsidRPr="00A835EA">
        <w:rPr>
          <w:rFonts w:ascii="Arial" w:hAnsi="Arial" w:cs="Arial"/>
          <w:sz w:val="24"/>
          <w:szCs w:val="24"/>
        </w:rPr>
        <w:t>,</w:t>
      </w:r>
      <w:r w:rsidR="004E6952" w:rsidRPr="00A835EA">
        <w:rPr>
          <w:rFonts w:ascii="Arial" w:hAnsi="Arial" w:cs="Arial"/>
          <w:sz w:val="24"/>
          <w:szCs w:val="24"/>
        </w:rPr>
        <w:t xml:space="preserve"> it follows that the applicants are entitled to the relief sought</w:t>
      </w:r>
      <w:r w:rsidR="00191F82" w:rsidRPr="00A835EA">
        <w:rPr>
          <w:rFonts w:ascii="Arial" w:hAnsi="Arial" w:cs="Arial"/>
          <w:sz w:val="24"/>
          <w:szCs w:val="24"/>
        </w:rPr>
        <w:t>, including the costs of the application, which ought to follow the event</w:t>
      </w:r>
      <w:r w:rsidR="004E6952" w:rsidRPr="00A835EA">
        <w:rPr>
          <w:rFonts w:ascii="Arial" w:hAnsi="Arial" w:cs="Arial"/>
          <w:sz w:val="24"/>
          <w:szCs w:val="24"/>
        </w:rPr>
        <w:t>.</w:t>
      </w:r>
    </w:p>
    <w:p w14:paraId="35985ABB" w14:textId="77777777" w:rsidR="004E6952" w:rsidRDefault="004E6952" w:rsidP="004E6952">
      <w:pPr>
        <w:pStyle w:val="ListParagraph"/>
        <w:spacing w:after="0" w:line="480" w:lineRule="auto"/>
        <w:ind w:left="0"/>
        <w:jc w:val="both"/>
        <w:rPr>
          <w:rFonts w:ascii="Arial" w:hAnsi="Arial" w:cs="Arial"/>
          <w:sz w:val="24"/>
          <w:szCs w:val="24"/>
        </w:rPr>
      </w:pPr>
    </w:p>
    <w:p w14:paraId="64EDC514" w14:textId="09E76AE8" w:rsidR="00B83269" w:rsidRPr="00A835EA" w:rsidRDefault="00A835EA" w:rsidP="00A835EA">
      <w:pPr>
        <w:spacing w:after="0" w:line="480" w:lineRule="auto"/>
        <w:jc w:val="both"/>
        <w:rPr>
          <w:rFonts w:ascii="Arial" w:hAnsi="Arial" w:cs="Arial"/>
          <w:sz w:val="24"/>
          <w:szCs w:val="24"/>
        </w:rPr>
      </w:pPr>
      <w:r>
        <w:rPr>
          <w:rFonts w:ascii="Arial" w:eastAsia="Times New Roman" w:hAnsi="Arial" w:cs="Arial"/>
          <w:kern w:val="0"/>
          <w:sz w:val="24"/>
          <w:szCs w:val="24"/>
        </w:rPr>
        <w:t>[44]</w:t>
      </w:r>
      <w:r>
        <w:rPr>
          <w:rFonts w:ascii="Arial" w:eastAsia="Times New Roman" w:hAnsi="Arial" w:cs="Arial"/>
          <w:kern w:val="0"/>
          <w:sz w:val="24"/>
          <w:szCs w:val="24"/>
        </w:rPr>
        <w:tab/>
      </w:r>
      <w:r w:rsidR="004E6952" w:rsidRPr="00A835EA">
        <w:rPr>
          <w:rFonts w:ascii="Arial" w:hAnsi="Arial" w:cs="Arial"/>
          <w:sz w:val="24"/>
          <w:szCs w:val="24"/>
        </w:rPr>
        <w:t>The following order is issued:</w:t>
      </w:r>
    </w:p>
    <w:p w14:paraId="4B1AC2F7" w14:textId="77777777" w:rsidR="004E6952" w:rsidRPr="004E6952" w:rsidRDefault="004E6952" w:rsidP="004E6952">
      <w:pPr>
        <w:pStyle w:val="ListParagraph"/>
        <w:rPr>
          <w:rFonts w:ascii="Arial" w:hAnsi="Arial" w:cs="Arial"/>
          <w:sz w:val="24"/>
          <w:szCs w:val="24"/>
        </w:rPr>
      </w:pPr>
    </w:p>
    <w:p w14:paraId="468D8435" w14:textId="3FE56E8A" w:rsidR="00CB37BB" w:rsidRPr="00A835EA" w:rsidRDefault="00A835EA" w:rsidP="00A835EA">
      <w:pPr>
        <w:spacing w:after="0" w:line="480" w:lineRule="auto"/>
        <w:ind w:left="1080" w:hanging="360"/>
        <w:jc w:val="both"/>
        <w:rPr>
          <w:rFonts w:ascii="Arial" w:hAnsi="Arial" w:cs="Arial"/>
          <w:sz w:val="24"/>
          <w:szCs w:val="24"/>
        </w:rPr>
      </w:pPr>
      <w:r w:rsidRPr="00A07886">
        <w:rPr>
          <w:rFonts w:ascii="Arial" w:eastAsia="Times New Roman" w:hAnsi="Arial" w:cs="Arial"/>
          <w:kern w:val="0"/>
          <w:sz w:val="24"/>
          <w:szCs w:val="24"/>
        </w:rPr>
        <w:t>1.</w:t>
      </w:r>
      <w:r w:rsidRPr="00A07886">
        <w:rPr>
          <w:rFonts w:ascii="Arial" w:eastAsia="Times New Roman" w:hAnsi="Arial" w:cs="Arial"/>
          <w:kern w:val="0"/>
          <w:sz w:val="24"/>
          <w:szCs w:val="24"/>
        </w:rPr>
        <w:tab/>
      </w:r>
      <w:r w:rsidR="00CB37BB" w:rsidRPr="00A835EA">
        <w:rPr>
          <w:rFonts w:ascii="Arial" w:hAnsi="Arial" w:cs="Arial"/>
          <w:sz w:val="24"/>
          <w:szCs w:val="24"/>
        </w:rPr>
        <w:t>The following documents are declared null and void and of no force and effect and are accordingly set aside:</w:t>
      </w:r>
    </w:p>
    <w:p w14:paraId="3E15CA1C" w14:textId="3FA81C95" w:rsidR="00CB37BB" w:rsidRPr="00A835EA" w:rsidRDefault="00A835EA" w:rsidP="00A835EA">
      <w:pPr>
        <w:spacing w:after="0" w:line="480" w:lineRule="auto"/>
        <w:ind w:left="1985" w:hanging="851"/>
        <w:jc w:val="both"/>
        <w:rPr>
          <w:rFonts w:ascii="Arial" w:hAnsi="Arial" w:cs="Arial"/>
          <w:sz w:val="24"/>
          <w:szCs w:val="24"/>
        </w:rPr>
      </w:pPr>
      <w:r w:rsidRPr="00A07886">
        <w:rPr>
          <w:rFonts w:ascii="Arial" w:eastAsia="Times New Roman" w:hAnsi="Arial" w:cs="Arial"/>
          <w:kern w:val="0"/>
          <w:sz w:val="24"/>
          <w:szCs w:val="24"/>
        </w:rPr>
        <w:t>1.1</w:t>
      </w:r>
      <w:r w:rsidRPr="00A07886">
        <w:rPr>
          <w:rFonts w:ascii="Arial" w:eastAsia="Times New Roman" w:hAnsi="Arial" w:cs="Arial"/>
          <w:kern w:val="0"/>
          <w:sz w:val="24"/>
          <w:szCs w:val="24"/>
        </w:rPr>
        <w:tab/>
      </w:r>
      <w:r w:rsidR="00CB37BB" w:rsidRPr="00A835EA">
        <w:rPr>
          <w:rFonts w:ascii="Arial" w:hAnsi="Arial" w:cs="Arial"/>
          <w:sz w:val="24"/>
          <w:szCs w:val="24"/>
          <w:lang w:val="en-US"/>
        </w:rPr>
        <w:t>Deed of Sale entered into between the Applicants and the Second Respondent, dated the 23 July 2007;</w:t>
      </w:r>
    </w:p>
    <w:p w14:paraId="64F75A61" w14:textId="1AE0D78A" w:rsidR="00CB37BB" w:rsidRPr="00A835EA" w:rsidRDefault="00A835EA" w:rsidP="00A835EA">
      <w:pPr>
        <w:spacing w:after="0" w:line="480" w:lineRule="auto"/>
        <w:ind w:left="1985" w:hanging="851"/>
        <w:jc w:val="both"/>
        <w:rPr>
          <w:rFonts w:ascii="Arial" w:hAnsi="Arial" w:cs="Arial"/>
          <w:sz w:val="24"/>
          <w:szCs w:val="24"/>
          <w:lang w:val="en-US"/>
        </w:rPr>
      </w:pPr>
      <w:r w:rsidRPr="00A07886">
        <w:rPr>
          <w:rFonts w:ascii="Arial" w:eastAsia="Times New Roman" w:hAnsi="Arial" w:cs="Arial"/>
          <w:kern w:val="0"/>
          <w:sz w:val="24"/>
          <w:szCs w:val="24"/>
          <w:lang w:val="en-US"/>
        </w:rPr>
        <w:t>1.2</w:t>
      </w:r>
      <w:r w:rsidRPr="00A07886">
        <w:rPr>
          <w:rFonts w:ascii="Arial" w:eastAsia="Times New Roman" w:hAnsi="Arial" w:cs="Arial"/>
          <w:kern w:val="0"/>
          <w:sz w:val="24"/>
          <w:szCs w:val="24"/>
          <w:lang w:val="en-US"/>
        </w:rPr>
        <w:tab/>
      </w:r>
      <w:r w:rsidR="00CB37BB" w:rsidRPr="00A835EA">
        <w:rPr>
          <w:rFonts w:ascii="Arial" w:hAnsi="Arial" w:cs="Arial"/>
          <w:sz w:val="24"/>
          <w:szCs w:val="24"/>
          <w:lang w:val="en-US"/>
        </w:rPr>
        <w:t>Option to Purchase entered into between the Applicants and the Second Respondent dated the 16 October 2007;</w:t>
      </w:r>
    </w:p>
    <w:p w14:paraId="00531CA6" w14:textId="4A5F3FFF" w:rsidR="00CB37BB" w:rsidRPr="00A835EA" w:rsidRDefault="00A835EA" w:rsidP="00A835EA">
      <w:pPr>
        <w:spacing w:after="0" w:line="480" w:lineRule="auto"/>
        <w:ind w:left="1985" w:hanging="851"/>
        <w:jc w:val="both"/>
        <w:rPr>
          <w:rFonts w:ascii="Arial" w:hAnsi="Arial" w:cs="Arial"/>
          <w:sz w:val="24"/>
          <w:szCs w:val="24"/>
          <w:lang w:val="en-US"/>
        </w:rPr>
      </w:pPr>
      <w:r w:rsidRPr="00A07886">
        <w:rPr>
          <w:rFonts w:ascii="Arial" w:eastAsia="Times New Roman" w:hAnsi="Arial" w:cs="Arial"/>
          <w:kern w:val="0"/>
          <w:sz w:val="24"/>
          <w:szCs w:val="24"/>
          <w:lang w:val="en-US"/>
        </w:rPr>
        <w:t>1.3</w:t>
      </w:r>
      <w:r w:rsidRPr="00A07886">
        <w:rPr>
          <w:rFonts w:ascii="Arial" w:eastAsia="Times New Roman" w:hAnsi="Arial" w:cs="Arial"/>
          <w:kern w:val="0"/>
          <w:sz w:val="24"/>
          <w:szCs w:val="24"/>
          <w:lang w:val="en-US"/>
        </w:rPr>
        <w:tab/>
      </w:r>
      <w:r w:rsidR="00CB37BB" w:rsidRPr="00A835EA">
        <w:rPr>
          <w:rFonts w:ascii="Arial" w:hAnsi="Arial" w:cs="Arial"/>
          <w:sz w:val="24"/>
          <w:szCs w:val="24"/>
          <w:lang w:val="en-US"/>
        </w:rPr>
        <w:t>Notice of Cancellation entered into between the Applicants and the Second Respondent dated 16 October 2007;</w:t>
      </w:r>
    </w:p>
    <w:p w14:paraId="424D161C" w14:textId="08FC52B8" w:rsidR="004E6952" w:rsidRPr="00A835EA" w:rsidRDefault="00A835EA" w:rsidP="008B46D7">
      <w:pPr>
        <w:spacing w:after="0" w:line="480" w:lineRule="auto"/>
        <w:ind w:left="1985" w:hanging="851"/>
        <w:jc w:val="both"/>
        <w:rPr>
          <w:rFonts w:ascii="Arial" w:hAnsi="Arial" w:cs="Arial"/>
          <w:sz w:val="24"/>
          <w:szCs w:val="24"/>
        </w:rPr>
      </w:pPr>
      <w:r w:rsidRPr="00A07886">
        <w:rPr>
          <w:rFonts w:ascii="Arial" w:eastAsia="Times New Roman" w:hAnsi="Arial" w:cs="Arial"/>
          <w:kern w:val="0"/>
          <w:sz w:val="24"/>
          <w:szCs w:val="24"/>
          <w:lang w:val="en-US"/>
        </w:rPr>
        <w:t>1.4</w:t>
      </w:r>
      <w:r w:rsidRPr="00A07886">
        <w:rPr>
          <w:rFonts w:ascii="Arial" w:eastAsia="Times New Roman" w:hAnsi="Arial" w:cs="Arial"/>
          <w:kern w:val="0"/>
          <w:sz w:val="24"/>
          <w:szCs w:val="24"/>
          <w:lang w:val="en-US"/>
        </w:rPr>
        <w:tab/>
      </w:r>
      <w:r w:rsidR="008B46D7">
        <w:rPr>
          <w:rFonts w:ascii="Arial" w:hAnsi="Arial" w:cs="Arial"/>
          <w:sz w:val="24"/>
          <w:szCs w:val="24"/>
          <w:lang w:val="en-US"/>
        </w:rPr>
        <w:t xml:space="preserve"> </w:t>
      </w:r>
    </w:p>
    <w:p w14:paraId="4D73C3B3" w14:textId="4D45B81B" w:rsidR="004E6952" w:rsidRPr="00A835EA" w:rsidRDefault="00A835EA" w:rsidP="00A835EA">
      <w:pPr>
        <w:spacing w:after="0" w:line="480" w:lineRule="auto"/>
        <w:ind w:left="1080" w:hanging="360"/>
        <w:jc w:val="both"/>
        <w:rPr>
          <w:rFonts w:ascii="Arial" w:hAnsi="Arial" w:cs="Arial"/>
          <w:sz w:val="24"/>
          <w:szCs w:val="24"/>
        </w:rPr>
      </w:pPr>
      <w:r w:rsidRPr="00A07886">
        <w:rPr>
          <w:rFonts w:ascii="Arial" w:eastAsia="Times New Roman" w:hAnsi="Arial" w:cs="Arial"/>
          <w:kern w:val="0"/>
          <w:sz w:val="24"/>
          <w:szCs w:val="24"/>
        </w:rPr>
        <w:t>3.</w:t>
      </w:r>
      <w:r w:rsidRPr="00A07886">
        <w:rPr>
          <w:rFonts w:ascii="Arial" w:eastAsia="Times New Roman" w:hAnsi="Arial" w:cs="Arial"/>
          <w:kern w:val="0"/>
          <w:sz w:val="24"/>
          <w:szCs w:val="24"/>
        </w:rPr>
        <w:tab/>
      </w:r>
      <w:r w:rsidR="004E6952" w:rsidRPr="00A835EA">
        <w:rPr>
          <w:rFonts w:ascii="Arial" w:hAnsi="Arial" w:cs="Arial"/>
          <w:sz w:val="24"/>
          <w:szCs w:val="24"/>
        </w:rPr>
        <w:t>The applicants are entitled to restitution in respect of the immovable property.</w:t>
      </w:r>
    </w:p>
    <w:p w14:paraId="7C6077AF" w14:textId="1A7422F5" w:rsidR="00CB37BB" w:rsidRPr="00A835EA" w:rsidRDefault="00A835EA" w:rsidP="00A835EA">
      <w:pPr>
        <w:spacing w:after="0" w:line="480" w:lineRule="auto"/>
        <w:ind w:left="1080" w:hanging="360"/>
        <w:jc w:val="both"/>
        <w:rPr>
          <w:rFonts w:ascii="Arial" w:hAnsi="Arial" w:cs="Arial"/>
          <w:sz w:val="24"/>
          <w:szCs w:val="24"/>
        </w:rPr>
      </w:pPr>
      <w:r w:rsidRPr="00A07886">
        <w:rPr>
          <w:rFonts w:ascii="Arial" w:eastAsia="Times New Roman" w:hAnsi="Arial" w:cs="Arial"/>
          <w:kern w:val="0"/>
          <w:sz w:val="24"/>
          <w:szCs w:val="24"/>
        </w:rPr>
        <w:t>4.</w:t>
      </w:r>
      <w:r w:rsidRPr="00A07886">
        <w:rPr>
          <w:rFonts w:ascii="Arial" w:eastAsia="Times New Roman" w:hAnsi="Arial" w:cs="Arial"/>
          <w:kern w:val="0"/>
          <w:sz w:val="24"/>
          <w:szCs w:val="24"/>
        </w:rPr>
        <w:tab/>
      </w:r>
      <w:r w:rsidR="00CB37BB" w:rsidRPr="00A835EA">
        <w:rPr>
          <w:rFonts w:ascii="Arial" w:hAnsi="Arial" w:cs="Arial"/>
          <w:sz w:val="24"/>
          <w:szCs w:val="24"/>
        </w:rPr>
        <w:t xml:space="preserve">The second and third respondents are ordered to pay the costs of the transfer of the </w:t>
      </w:r>
      <w:r w:rsidR="00E373C1" w:rsidRPr="00A835EA">
        <w:rPr>
          <w:rFonts w:ascii="Arial" w:hAnsi="Arial" w:cs="Arial"/>
          <w:sz w:val="24"/>
          <w:szCs w:val="24"/>
        </w:rPr>
        <w:t xml:space="preserve">immovable </w:t>
      </w:r>
      <w:r w:rsidR="00CB37BB" w:rsidRPr="00A835EA">
        <w:rPr>
          <w:rFonts w:ascii="Arial" w:hAnsi="Arial" w:cs="Arial"/>
          <w:sz w:val="24"/>
          <w:szCs w:val="24"/>
        </w:rPr>
        <w:t>property into the name of the applicants.</w:t>
      </w:r>
    </w:p>
    <w:p w14:paraId="7ED8DC34" w14:textId="13151AF6" w:rsidR="00CB37BB" w:rsidRPr="00A835EA" w:rsidRDefault="00A835EA" w:rsidP="00A835EA">
      <w:pPr>
        <w:spacing w:after="0" w:line="480" w:lineRule="auto"/>
        <w:ind w:left="1080" w:hanging="360"/>
        <w:jc w:val="both"/>
        <w:rPr>
          <w:rFonts w:ascii="Arial" w:hAnsi="Arial" w:cs="Arial"/>
          <w:sz w:val="24"/>
          <w:szCs w:val="24"/>
        </w:rPr>
      </w:pPr>
      <w:r w:rsidRPr="00A07886">
        <w:rPr>
          <w:rFonts w:ascii="Arial" w:eastAsia="Times New Roman" w:hAnsi="Arial" w:cs="Arial"/>
          <w:kern w:val="0"/>
          <w:sz w:val="24"/>
          <w:szCs w:val="24"/>
        </w:rPr>
        <w:t>5.</w:t>
      </w:r>
      <w:r w:rsidRPr="00A07886">
        <w:rPr>
          <w:rFonts w:ascii="Arial" w:eastAsia="Times New Roman" w:hAnsi="Arial" w:cs="Arial"/>
          <w:kern w:val="0"/>
          <w:sz w:val="24"/>
          <w:szCs w:val="24"/>
        </w:rPr>
        <w:tab/>
      </w:r>
      <w:r w:rsidR="00CB37BB" w:rsidRPr="00A835EA">
        <w:rPr>
          <w:rFonts w:ascii="Arial" w:hAnsi="Arial" w:cs="Arial"/>
          <w:sz w:val="24"/>
          <w:szCs w:val="24"/>
        </w:rPr>
        <w:t>The fourth and fifth respondents are ordered to pay the costs of the application.</w:t>
      </w:r>
    </w:p>
    <w:p w14:paraId="79C66096" w14:textId="77777777" w:rsidR="004E6952" w:rsidRPr="00A07886" w:rsidRDefault="004E6952" w:rsidP="004E6952">
      <w:pPr>
        <w:pStyle w:val="FootnoteText"/>
        <w:ind w:left="567" w:hanging="567"/>
        <w:jc w:val="both"/>
        <w:rPr>
          <w:rFonts w:ascii="Arial" w:hAnsi="Arial" w:cs="Arial"/>
          <w:sz w:val="24"/>
          <w:szCs w:val="24"/>
          <w:lang w:val="en-US"/>
        </w:rPr>
      </w:pPr>
    </w:p>
    <w:p w14:paraId="65199C68" w14:textId="77777777" w:rsidR="00CB37BB" w:rsidRDefault="00CB37BB" w:rsidP="00CB37BB">
      <w:pPr>
        <w:tabs>
          <w:tab w:val="left" w:pos="7797"/>
        </w:tabs>
        <w:spacing w:after="0" w:line="480" w:lineRule="auto"/>
        <w:jc w:val="both"/>
        <w:rPr>
          <w:rStyle w:val="Hyperlink"/>
          <w:rFonts w:ascii="Arial" w:hAnsi="Arial" w:cs="Arial"/>
          <w:i/>
          <w:iCs/>
          <w:sz w:val="24"/>
          <w:szCs w:val="24"/>
        </w:rPr>
      </w:pPr>
    </w:p>
    <w:p w14:paraId="39FCFE3C" w14:textId="77777777" w:rsidR="007808AF" w:rsidRPr="000E306E" w:rsidRDefault="007808AF" w:rsidP="00CB37BB">
      <w:pPr>
        <w:tabs>
          <w:tab w:val="left" w:pos="7797"/>
        </w:tabs>
        <w:spacing w:after="0" w:line="480" w:lineRule="auto"/>
        <w:jc w:val="both"/>
        <w:rPr>
          <w:rStyle w:val="Hyperlink"/>
          <w:rFonts w:ascii="Arial" w:hAnsi="Arial" w:cs="Arial"/>
          <w:i/>
          <w:iCs/>
          <w:sz w:val="24"/>
          <w:szCs w:val="24"/>
        </w:rPr>
      </w:pPr>
    </w:p>
    <w:p w14:paraId="229226C9" w14:textId="77777777" w:rsidR="00CB37BB" w:rsidRPr="00CB37BB" w:rsidRDefault="00CB37BB" w:rsidP="00CB37BB">
      <w:pPr>
        <w:spacing w:after="0" w:line="360" w:lineRule="auto"/>
        <w:jc w:val="both"/>
        <w:rPr>
          <w:rStyle w:val="Hyperlink"/>
          <w:rFonts w:ascii="Arial" w:hAnsi="Arial" w:cs="Arial"/>
          <w:i/>
          <w:iCs/>
          <w:color w:val="auto"/>
          <w:sz w:val="24"/>
          <w:szCs w:val="24"/>
        </w:rPr>
      </w:pPr>
      <w:r w:rsidRPr="00CB37BB">
        <w:rPr>
          <w:rStyle w:val="Hyperlink"/>
          <w:rFonts w:ascii="Arial" w:hAnsi="Arial" w:cs="Arial"/>
          <w:i/>
          <w:iCs/>
          <w:color w:val="auto"/>
          <w:sz w:val="24"/>
          <w:szCs w:val="24"/>
        </w:rPr>
        <w:t>________________________________</w:t>
      </w:r>
    </w:p>
    <w:p w14:paraId="5BE6C12A" w14:textId="77777777" w:rsidR="00CB37BB" w:rsidRPr="00752B01" w:rsidRDefault="00CB37BB" w:rsidP="00CB37BB">
      <w:pPr>
        <w:spacing w:after="0" w:line="360" w:lineRule="auto"/>
        <w:jc w:val="both"/>
        <w:rPr>
          <w:rFonts w:ascii="Arial" w:hAnsi="Arial" w:cs="Arial"/>
          <w:b/>
          <w:bCs/>
          <w:sz w:val="24"/>
          <w:szCs w:val="24"/>
        </w:rPr>
      </w:pPr>
      <w:r w:rsidRPr="00752B01">
        <w:rPr>
          <w:rFonts w:ascii="Arial" w:hAnsi="Arial" w:cs="Arial"/>
          <w:b/>
          <w:bCs/>
          <w:sz w:val="24"/>
          <w:szCs w:val="24"/>
        </w:rPr>
        <w:t xml:space="preserve">I BANDS </w:t>
      </w:r>
    </w:p>
    <w:p w14:paraId="3E8D416C" w14:textId="2203EA8F" w:rsidR="00CB37BB" w:rsidRDefault="00CB37BB" w:rsidP="00CB37BB">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4C13ABEB" w14:textId="77777777" w:rsidR="00CB37BB" w:rsidRDefault="00CB37BB" w:rsidP="00CB37BB">
      <w:pPr>
        <w:spacing w:after="0" w:line="480" w:lineRule="auto"/>
        <w:jc w:val="both"/>
        <w:rPr>
          <w:rFonts w:ascii="Arial" w:hAnsi="Arial" w:cs="Arial"/>
          <w:b/>
          <w:bCs/>
          <w:sz w:val="24"/>
          <w:szCs w:val="24"/>
        </w:rPr>
      </w:pPr>
    </w:p>
    <w:p w14:paraId="5669A3F2" w14:textId="77777777" w:rsidR="00CB37BB" w:rsidRDefault="00CB37BB" w:rsidP="00CB37BB">
      <w:pPr>
        <w:pBdr>
          <w:bottom w:val="single" w:sz="4" w:space="1" w:color="auto"/>
        </w:pBdr>
        <w:spacing w:after="0" w:line="360" w:lineRule="auto"/>
        <w:jc w:val="both"/>
        <w:rPr>
          <w:rFonts w:ascii="Arial" w:hAnsi="Arial" w:cs="Arial"/>
          <w:sz w:val="24"/>
          <w:szCs w:val="24"/>
        </w:rPr>
      </w:pPr>
    </w:p>
    <w:p w14:paraId="2DC360E5" w14:textId="77777777" w:rsidR="00CB37BB" w:rsidRDefault="00CB37BB" w:rsidP="00CB37BB">
      <w:pPr>
        <w:spacing w:after="0" w:line="360" w:lineRule="auto"/>
        <w:jc w:val="both"/>
        <w:rPr>
          <w:rFonts w:ascii="Arial" w:hAnsi="Arial" w:cs="Arial"/>
          <w:sz w:val="24"/>
          <w:szCs w:val="24"/>
        </w:rPr>
      </w:pPr>
    </w:p>
    <w:p w14:paraId="3B68ECD6" w14:textId="7B0D5234" w:rsidR="00CB37BB" w:rsidRDefault="00CB37BB" w:rsidP="00CB37BB">
      <w:pPr>
        <w:spacing w:after="0" w:line="360" w:lineRule="auto"/>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t>10 August 2023</w:t>
      </w:r>
    </w:p>
    <w:p w14:paraId="435297B2" w14:textId="4DA512FF" w:rsidR="00CB37BB" w:rsidRDefault="00CB37BB" w:rsidP="00CB37BB">
      <w:pPr>
        <w:spacing w:after="0"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t>13 February 2024</w:t>
      </w:r>
    </w:p>
    <w:p w14:paraId="52926C38" w14:textId="77777777" w:rsidR="00CB37BB" w:rsidRDefault="00CB37BB" w:rsidP="00CB37BB">
      <w:pPr>
        <w:spacing w:after="0" w:line="360" w:lineRule="auto"/>
        <w:jc w:val="both"/>
        <w:rPr>
          <w:rFonts w:ascii="Arial" w:hAnsi="Arial" w:cs="Arial"/>
          <w:sz w:val="24"/>
          <w:szCs w:val="24"/>
        </w:rPr>
      </w:pPr>
    </w:p>
    <w:p w14:paraId="1C549760" w14:textId="77777777" w:rsidR="007808AF" w:rsidRDefault="007808AF" w:rsidP="00CB37BB">
      <w:pPr>
        <w:spacing w:after="0" w:line="360" w:lineRule="auto"/>
        <w:jc w:val="both"/>
        <w:rPr>
          <w:rFonts w:ascii="Arial" w:hAnsi="Arial" w:cs="Arial"/>
          <w:sz w:val="24"/>
          <w:szCs w:val="24"/>
        </w:rPr>
      </w:pPr>
      <w:r>
        <w:rPr>
          <w:rFonts w:ascii="Arial" w:hAnsi="Arial" w:cs="Arial"/>
          <w:sz w:val="24"/>
          <w:szCs w:val="24"/>
        </w:rPr>
        <w:t>For the applicants:</w:t>
      </w:r>
      <w:r>
        <w:rPr>
          <w:rFonts w:ascii="Arial" w:hAnsi="Arial" w:cs="Arial"/>
          <w:sz w:val="24"/>
          <w:szCs w:val="24"/>
        </w:rPr>
        <w:tab/>
      </w:r>
      <w:r>
        <w:rPr>
          <w:rFonts w:ascii="Arial" w:hAnsi="Arial" w:cs="Arial"/>
          <w:sz w:val="24"/>
          <w:szCs w:val="24"/>
        </w:rPr>
        <w:tab/>
        <w:t>Mr Naidu</w:t>
      </w:r>
    </w:p>
    <w:p w14:paraId="14AC5FC3" w14:textId="41639A74" w:rsidR="007808AF" w:rsidRDefault="007808AF" w:rsidP="00CB37BB">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Legal Aid South Africa</w:t>
      </w:r>
    </w:p>
    <w:p w14:paraId="571D50A6" w14:textId="77777777" w:rsidR="007808AF" w:rsidRDefault="007808AF" w:rsidP="00CB37B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Uitenhage Road</w:t>
      </w:r>
    </w:p>
    <w:p w14:paraId="77A4C861" w14:textId="77777777" w:rsidR="007808AF" w:rsidRDefault="007808AF" w:rsidP="00CB37B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End</w:t>
      </w:r>
    </w:p>
    <w:p w14:paraId="58E28037" w14:textId="77777777" w:rsidR="007808AF" w:rsidRDefault="007808AF" w:rsidP="00CB37BB">
      <w:pPr>
        <w:spacing w:after="0" w:line="360" w:lineRule="auto"/>
        <w:jc w:val="both"/>
        <w:rPr>
          <w:rFonts w:ascii="Arial" w:hAnsi="Arial" w:cs="Arial"/>
          <w:sz w:val="24"/>
          <w:szCs w:val="24"/>
        </w:rPr>
      </w:pPr>
    </w:p>
    <w:p w14:paraId="46234C4E" w14:textId="393D17B1" w:rsidR="007808AF" w:rsidRDefault="007808AF" w:rsidP="00CB37BB">
      <w:pPr>
        <w:spacing w:after="0" w:line="360" w:lineRule="auto"/>
        <w:jc w:val="both"/>
        <w:rPr>
          <w:rFonts w:ascii="Arial" w:hAnsi="Arial" w:cs="Arial"/>
          <w:sz w:val="24"/>
          <w:szCs w:val="24"/>
        </w:rPr>
      </w:pPr>
      <w:r>
        <w:rPr>
          <w:rFonts w:ascii="Arial" w:hAnsi="Arial" w:cs="Arial"/>
          <w:sz w:val="24"/>
          <w:szCs w:val="24"/>
        </w:rPr>
        <w:t>For the 4</w:t>
      </w:r>
      <w:r w:rsidRPr="007808AF">
        <w:rPr>
          <w:rFonts w:ascii="Arial" w:hAnsi="Arial" w:cs="Arial"/>
          <w:sz w:val="24"/>
          <w:szCs w:val="24"/>
          <w:vertAlign w:val="superscript"/>
        </w:rPr>
        <w:t>th</w:t>
      </w:r>
      <w:r>
        <w:rPr>
          <w:rFonts w:ascii="Arial" w:hAnsi="Arial" w:cs="Arial"/>
          <w:sz w:val="24"/>
          <w:szCs w:val="24"/>
        </w:rPr>
        <w:t xml:space="preserve"> and 5</w:t>
      </w:r>
      <w:r w:rsidRPr="007808AF">
        <w:rPr>
          <w:rFonts w:ascii="Arial" w:hAnsi="Arial" w:cs="Arial"/>
          <w:sz w:val="24"/>
          <w:szCs w:val="24"/>
          <w:vertAlign w:val="superscript"/>
        </w:rPr>
        <w:t>th</w:t>
      </w:r>
      <w:r>
        <w:rPr>
          <w:rFonts w:ascii="Arial" w:hAnsi="Arial" w:cs="Arial"/>
          <w:sz w:val="24"/>
          <w:szCs w:val="24"/>
        </w:rPr>
        <w:t xml:space="preserve"> respondents:</w:t>
      </w:r>
      <w:r>
        <w:rPr>
          <w:rFonts w:ascii="Arial" w:hAnsi="Arial" w:cs="Arial"/>
          <w:sz w:val="24"/>
          <w:szCs w:val="24"/>
        </w:rPr>
        <w:tab/>
        <w:t>Adv Mullins SC</w:t>
      </w:r>
    </w:p>
    <w:p w14:paraId="46AC3E36" w14:textId="77777777" w:rsidR="007808AF" w:rsidRDefault="007808AF" w:rsidP="00CB37BB">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Howard Collen Attorneys</w:t>
      </w:r>
    </w:p>
    <w:p w14:paraId="7F62CB9D" w14:textId="77777777" w:rsidR="007808AF" w:rsidRDefault="007808AF" w:rsidP="00CB37B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11A Shirley Street </w:t>
      </w:r>
    </w:p>
    <w:p w14:paraId="200C7AB9" w14:textId="77777777" w:rsidR="007808AF" w:rsidRDefault="007808AF" w:rsidP="00CB37B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Newton Park</w:t>
      </w:r>
    </w:p>
    <w:p w14:paraId="1A537E87" w14:textId="76F07EE2" w:rsidR="00CB37BB" w:rsidRDefault="007808AF" w:rsidP="00CB37B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Gqeberha</w:t>
      </w:r>
      <w:proofErr w:type="spellEnd"/>
      <w:r w:rsidR="00CB37BB">
        <w:rPr>
          <w:rFonts w:ascii="Arial" w:hAnsi="Arial" w:cs="Arial"/>
          <w:sz w:val="24"/>
          <w:szCs w:val="24"/>
        </w:rPr>
        <w:tab/>
      </w:r>
      <w:r w:rsidR="00CB37BB">
        <w:rPr>
          <w:rFonts w:ascii="Arial" w:hAnsi="Arial" w:cs="Arial"/>
          <w:sz w:val="24"/>
          <w:szCs w:val="24"/>
        </w:rPr>
        <w:tab/>
      </w:r>
      <w:r w:rsidR="00CB37BB">
        <w:rPr>
          <w:rFonts w:ascii="Arial" w:hAnsi="Arial" w:cs="Arial"/>
          <w:sz w:val="24"/>
          <w:szCs w:val="24"/>
        </w:rPr>
        <w:tab/>
      </w:r>
      <w:r w:rsidR="00CB37BB">
        <w:rPr>
          <w:rFonts w:ascii="Arial" w:hAnsi="Arial" w:cs="Arial"/>
          <w:sz w:val="24"/>
          <w:szCs w:val="24"/>
        </w:rPr>
        <w:tab/>
      </w:r>
      <w:r w:rsidR="00CB37BB">
        <w:rPr>
          <w:rFonts w:ascii="Arial" w:hAnsi="Arial" w:cs="Arial"/>
          <w:sz w:val="24"/>
          <w:szCs w:val="24"/>
        </w:rPr>
        <w:tab/>
      </w:r>
      <w:r w:rsidR="00CB37BB">
        <w:rPr>
          <w:rFonts w:ascii="Arial" w:hAnsi="Arial" w:cs="Arial"/>
          <w:sz w:val="24"/>
          <w:szCs w:val="24"/>
        </w:rPr>
        <w:tab/>
      </w:r>
    </w:p>
    <w:p w14:paraId="05076555" w14:textId="77777777" w:rsidR="00E64489" w:rsidRPr="006E6B9D" w:rsidRDefault="00E64489" w:rsidP="00CB37BB">
      <w:pPr>
        <w:rPr>
          <w:rFonts w:ascii="Arial" w:hAnsi="Arial" w:cs="Arial"/>
          <w:sz w:val="24"/>
          <w:szCs w:val="24"/>
          <w:lang w:val="en-GB"/>
        </w:rPr>
      </w:pPr>
    </w:p>
    <w:sectPr w:rsidR="00E64489" w:rsidRPr="006E6B9D" w:rsidSect="0046058E">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B0AD9" w14:textId="77777777" w:rsidR="001628FB" w:rsidRDefault="001628FB" w:rsidP="00CD3D5E">
      <w:pPr>
        <w:spacing w:after="0" w:line="240" w:lineRule="auto"/>
      </w:pPr>
      <w:r>
        <w:separator/>
      </w:r>
    </w:p>
  </w:endnote>
  <w:endnote w:type="continuationSeparator" w:id="0">
    <w:p w14:paraId="7A811D04" w14:textId="77777777" w:rsidR="001628FB" w:rsidRDefault="001628FB" w:rsidP="00CD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9A11" w14:textId="77777777" w:rsidR="001628FB" w:rsidRDefault="001628FB" w:rsidP="00CD3D5E">
      <w:pPr>
        <w:spacing w:after="0" w:line="240" w:lineRule="auto"/>
      </w:pPr>
      <w:r>
        <w:separator/>
      </w:r>
    </w:p>
  </w:footnote>
  <w:footnote w:type="continuationSeparator" w:id="0">
    <w:p w14:paraId="5D0155BB" w14:textId="77777777" w:rsidR="001628FB" w:rsidRDefault="001628FB" w:rsidP="00CD3D5E">
      <w:pPr>
        <w:spacing w:after="0" w:line="240" w:lineRule="auto"/>
      </w:pPr>
      <w:r>
        <w:continuationSeparator/>
      </w:r>
    </w:p>
  </w:footnote>
  <w:footnote w:id="1">
    <w:p w14:paraId="7EBBD46F" w14:textId="77777777" w:rsidR="00B40BCD" w:rsidRPr="00FA1439" w:rsidRDefault="00B40BCD" w:rsidP="00FA1439">
      <w:pPr>
        <w:pStyle w:val="FootnoteText"/>
        <w:spacing w:line="360" w:lineRule="auto"/>
        <w:rPr>
          <w:rFonts w:ascii="Arial" w:hAnsi="Arial" w:cs="Arial"/>
          <w:sz w:val="22"/>
          <w:szCs w:val="22"/>
          <w:lang w:val="en-US"/>
        </w:rPr>
      </w:pPr>
      <w:r w:rsidRPr="00FA1439">
        <w:rPr>
          <w:rStyle w:val="FootnoteReference"/>
          <w:rFonts w:ascii="Arial" w:hAnsi="Arial" w:cs="Arial"/>
          <w:sz w:val="22"/>
          <w:szCs w:val="22"/>
        </w:rPr>
        <w:footnoteRef/>
      </w:r>
      <w:r w:rsidRPr="00FA1439">
        <w:rPr>
          <w:rFonts w:ascii="Arial" w:hAnsi="Arial" w:cs="Arial"/>
          <w:sz w:val="22"/>
          <w:szCs w:val="22"/>
        </w:rPr>
        <w:t xml:space="preserve"> </w:t>
      </w:r>
      <w:r w:rsidRPr="00FA1439">
        <w:rPr>
          <w:rFonts w:ascii="Arial" w:hAnsi="Arial" w:cs="Arial"/>
          <w:sz w:val="22"/>
          <w:szCs w:val="22"/>
          <w:lang w:val="en-US"/>
        </w:rPr>
        <w:t xml:space="preserve">Now known as the Eastern Cape Division, </w:t>
      </w:r>
      <w:proofErr w:type="spellStart"/>
      <w:r w:rsidRPr="00FA1439">
        <w:rPr>
          <w:rFonts w:ascii="Arial" w:hAnsi="Arial" w:cs="Arial"/>
          <w:sz w:val="22"/>
          <w:szCs w:val="22"/>
          <w:lang w:val="en-US"/>
        </w:rPr>
        <w:t>Makhanda</w:t>
      </w:r>
      <w:proofErr w:type="spellEnd"/>
      <w:r w:rsidRPr="00FA1439">
        <w:rPr>
          <w:rFonts w:ascii="Arial" w:hAnsi="Arial" w:cs="Arial"/>
          <w:sz w:val="22"/>
          <w:szCs w:val="22"/>
          <w:lang w:val="en-US"/>
        </w:rPr>
        <w:t>.</w:t>
      </w:r>
    </w:p>
  </w:footnote>
  <w:footnote w:id="2">
    <w:p w14:paraId="06D1AD46" w14:textId="77777777" w:rsidR="00B40BCD" w:rsidRPr="00FA1439" w:rsidRDefault="00B40BCD" w:rsidP="00FA1439">
      <w:pPr>
        <w:pStyle w:val="FootnoteText"/>
        <w:spacing w:line="360" w:lineRule="auto"/>
        <w:rPr>
          <w:rFonts w:ascii="Arial" w:hAnsi="Arial" w:cs="Arial"/>
          <w:sz w:val="22"/>
          <w:szCs w:val="22"/>
          <w:lang w:val="en-US"/>
        </w:rPr>
      </w:pPr>
      <w:r w:rsidRPr="00FA1439">
        <w:rPr>
          <w:rStyle w:val="FootnoteReference"/>
          <w:rFonts w:ascii="Arial" w:hAnsi="Arial" w:cs="Arial"/>
          <w:sz w:val="22"/>
          <w:szCs w:val="22"/>
        </w:rPr>
        <w:footnoteRef/>
      </w:r>
      <w:r w:rsidRPr="00FA1439">
        <w:rPr>
          <w:rFonts w:ascii="Arial" w:hAnsi="Arial" w:cs="Arial"/>
          <w:sz w:val="22"/>
          <w:szCs w:val="22"/>
        </w:rPr>
        <w:t xml:space="preserve"> (1787/2014) [2016] ZAECGHC 43 (6 May 2016).</w:t>
      </w:r>
    </w:p>
  </w:footnote>
  <w:footnote w:id="3">
    <w:p w14:paraId="1BC0C7B0" w14:textId="195EA6D7" w:rsidR="007E4DF1" w:rsidRPr="00FA1439" w:rsidRDefault="007E4DF1" w:rsidP="00FA1439">
      <w:pPr>
        <w:pStyle w:val="FootnoteText"/>
        <w:spacing w:line="360" w:lineRule="auto"/>
        <w:jc w:val="both"/>
        <w:rPr>
          <w:rFonts w:ascii="Arial" w:hAnsi="Arial" w:cs="Arial"/>
          <w:sz w:val="22"/>
          <w:szCs w:val="22"/>
          <w:lang w:val="en-US"/>
        </w:rPr>
      </w:pPr>
      <w:r w:rsidRPr="00FA1439">
        <w:rPr>
          <w:rStyle w:val="FootnoteReference"/>
          <w:rFonts w:ascii="Arial" w:hAnsi="Arial" w:cs="Arial"/>
          <w:sz w:val="22"/>
          <w:szCs w:val="22"/>
        </w:rPr>
        <w:footnoteRef/>
      </w:r>
      <w:r w:rsidRPr="00FA1439">
        <w:rPr>
          <w:rFonts w:ascii="Arial" w:hAnsi="Arial" w:cs="Arial"/>
          <w:sz w:val="22"/>
          <w:szCs w:val="22"/>
        </w:rPr>
        <w:t xml:space="preserve"> </w:t>
      </w:r>
      <w:r w:rsidRPr="00FA1439">
        <w:rPr>
          <w:rFonts w:ascii="Arial" w:hAnsi="Arial" w:cs="Arial"/>
          <w:sz w:val="22"/>
          <w:szCs w:val="22"/>
          <w:lang w:val="en-US"/>
        </w:rPr>
        <w:t>The full relief sought, as set out in the notice of motion is as follows:</w:t>
      </w:r>
    </w:p>
    <w:p w14:paraId="4D5CC1F8" w14:textId="77777777" w:rsidR="007E4DF1" w:rsidRPr="00823A2D" w:rsidRDefault="007E4DF1" w:rsidP="00823A2D">
      <w:pPr>
        <w:pStyle w:val="FootnoteText"/>
        <w:spacing w:line="360" w:lineRule="auto"/>
        <w:jc w:val="both"/>
        <w:rPr>
          <w:rFonts w:ascii="Arial" w:hAnsi="Arial" w:cs="Arial"/>
          <w:sz w:val="22"/>
          <w:szCs w:val="22"/>
          <w:lang w:val="en-US"/>
        </w:rPr>
      </w:pPr>
    </w:p>
    <w:p w14:paraId="2234EA72" w14:textId="52E3D6EE" w:rsidR="007E4DF1" w:rsidRPr="00823A2D" w:rsidRDefault="007E4DF1" w:rsidP="00C90284">
      <w:pPr>
        <w:pStyle w:val="FootnoteText"/>
        <w:ind w:left="567" w:hanging="567"/>
        <w:jc w:val="both"/>
        <w:rPr>
          <w:rFonts w:ascii="Arial" w:hAnsi="Arial" w:cs="Arial"/>
          <w:i/>
          <w:iCs/>
          <w:sz w:val="22"/>
          <w:szCs w:val="22"/>
          <w:lang w:val="en-US"/>
        </w:rPr>
      </w:pPr>
      <w:r w:rsidRPr="00823A2D">
        <w:rPr>
          <w:rFonts w:ascii="Arial" w:hAnsi="Arial" w:cs="Arial"/>
          <w:sz w:val="22"/>
          <w:szCs w:val="22"/>
          <w:lang w:val="en-US"/>
        </w:rPr>
        <w:t>“</w:t>
      </w:r>
      <w:r w:rsidR="00823A2D" w:rsidRPr="00823A2D">
        <w:rPr>
          <w:rFonts w:ascii="Arial" w:hAnsi="Arial" w:cs="Arial"/>
          <w:i/>
          <w:iCs/>
          <w:sz w:val="22"/>
          <w:szCs w:val="22"/>
          <w:lang w:val="en-US"/>
        </w:rPr>
        <w:t xml:space="preserve">1. </w:t>
      </w:r>
      <w:r w:rsidR="00823A2D" w:rsidRPr="00823A2D">
        <w:rPr>
          <w:rFonts w:ascii="Arial" w:hAnsi="Arial" w:cs="Arial"/>
          <w:i/>
          <w:iCs/>
          <w:sz w:val="22"/>
          <w:szCs w:val="22"/>
          <w:lang w:val="en-US"/>
        </w:rPr>
        <w:tab/>
      </w:r>
      <w:r w:rsidRPr="00823A2D">
        <w:rPr>
          <w:rFonts w:ascii="Arial" w:hAnsi="Arial" w:cs="Arial"/>
          <w:i/>
          <w:iCs/>
          <w:sz w:val="22"/>
          <w:szCs w:val="22"/>
          <w:lang w:val="en-US"/>
        </w:rPr>
        <w:t>That the following agreements purportedly concluded between the Applicants and the Second and Third Respondents are declared to be invalid and unlawful and of no force and effect:</w:t>
      </w:r>
    </w:p>
    <w:p w14:paraId="02E47F22" w14:textId="77777777" w:rsidR="007E4DF1" w:rsidRPr="00823A2D" w:rsidRDefault="007E4DF1" w:rsidP="00C90284">
      <w:pPr>
        <w:pStyle w:val="FootnoteText"/>
        <w:jc w:val="both"/>
        <w:rPr>
          <w:rFonts w:ascii="Arial" w:hAnsi="Arial" w:cs="Arial"/>
          <w:i/>
          <w:iCs/>
          <w:sz w:val="22"/>
          <w:szCs w:val="22"/>
          <w:lang w:val="en-US"/>
        </w:rPr>
      </w:pPr>
    </w:p>
    <w:p w14:paraId="4C9410D4" w14:textId="248021D4" w:rsidR="007E4DF1" w:rsidRPr="00823A2D" w:rsidRDefault="00A835EA" w:rsidP="00A835EA">
      <w:pPr>
        <w:pStyle w:val="FootnoteText"/>
        <w:ind w:left="1134" w:hanging="567"/>
        <w:jc w:val="both"/>
        <w:rPr>
          <w:rFonts w:ascii="Arial" w:hAnsi="Arial" w:cs="Arial"/>
          <w:i/>
          <w:iCs/>
          <w:sz w:val="22"/>
          <w:szCs w:val="22"/>
          <w:lang w:val="en-US"/>
        </w:rPr>
      </w:pPr>
      <w:r w:rsidRPr="00823A2D">
        <w:rPr>
          <w:rFonts w:ascii="Arial" w:hAnsi="Arial" w:cs="Arial"/>
          <w:i/>
          <w:iCs/>
          <w:sz w:val="22"/>
          <w:szCs w:val="22"/>
          <w:lang w:val="en-US"/>
        </w:rPr>
        <w:t>1.1</w:t>
      </w:r>
      <w:r w:rsidRPr="00823A2D">
        <w:rPr>
          <w:rFonts w:ascii="Arial" w:hAnsi="Arial" w:cs="Arial"/>
          <w:i/>
          <w:iCs/>
          <w:sz w:val="22"/>
          <w:szCs w:val="22"/>
          <w:lang w:val="en-US"/>
        </w:rPr>
        <w:tab/>
      </w:r>
      <w:r w:rsidR="007E4DF1" w:rsidRPr="00823A2D">
        <w:rPr>
          <w:rFonts w:ascii="Arial" w:hAnsi="Arial" w:cs="Arial"/>
          <w:i/>
          <w:iCs/>
          <w:sz w:val="22"/>
          <w:szCs w:val="22"/>
          <w:lang w:val="en-US"/>
        </w:rPr>
        <w:t>Deed of Sale entered into between the Applicants and the Second Respondent, dated the 23</w:t>
      </w:r>
      <w:r w:rsidR="007E4DF1" w:rsidRPr="00823A2D">
        <w:rPr>
          <w:rFonts w:ascii="Arial" w:hAnsi="Arial" w:cs="Arial"/>
          <w:i/>
          <w:iCs/>
          <w:sz w:val="22"/>
          <w:szCs w:val="22"/>
          <w:vertAlign w:val="superscript"/>
          <w:lang w:val="en-US"/>
        </w:rPr>
        <w:t>rd</w:t>
      </w:r>
      <w:r w:rsidR="007E4DF1" w:rsidRPr="00823A2D">
        <w:rPr>
          <w:rFonts w:ascii="Arial" w:hAnsi="Arial" w:cs="Arial"/>
          <w:i/>
          <w:iCs/>
          <w:sz w:val="22"/>
          <w:szCs w:val="22"/>
          <w:lang w:val="en-US"/>
        </w:rPr>
        <w:t xml:space="preserve"> July 2007;</w:t>
      </w:r>
    </w:p>
    <w:p w14:paraId="482963D2" w14:textId="39950225" w:rsidR="007E4DF1" w:rsidRPr="00823A2D" w:rsidRDefault="00A835EA" w:rsidP="00A835EA">
      <w:pPr>
        <w:pStyle w:val="FootnoteText"/>
        <w:ind w:left="1134" w:hanging="567"/>
        <w:jc w:val="both"/>
        <w:rPr>
          <w:rFonts w:ascii="Arial" w:hAnsi="Arial" w:cs="Arial"/>
          <w:i/>
          <w:iCs/>
          <w:sz w:val="22"/>
          <w:szCs w:val="22"/>
          <w:lang w:val="en-US"/>
        </w:rPr>
      </w:pPr>
      <w:r w:rsidRPr="00823A2D">
        <w:rPr>
          <w:rFonts w:ascii="Arial" w:hAnsi="Arial" w:cs="Arial"/>
          <w:i/>
          <w:iCs/>
          <w:sz w:val="22"/>
          <w:szCs w:val="22"/>
          <w:lang w:val="en-US"/>
        </w:rPr>
        <w:t>1.2</w:t>
      </w:r>
      <w:r w:rsidRPr="00823A2D">
        <w:rPr>
          <w:rFonts w:ascii="Arial" w:hAnsi="Arial" w:cs="Arial"/>
          <w:i/>
          <w:iCs/>
          <w:sz w:val="22"/>
          <w:szCs w:val="22"/>
          <w:lang w:val="en-US"/>
        </w:rPr>
        <w:tab/>
      </w:r>
      <w:r w:rsidR="007E4DF1" w:rsidRPr="00823A2D">
        <w:rPr>
          <w:rFonts w:ascii="Arial" w:hAnsi="Arial" w:cs="Arial"/>
          <w:i/>
          <w:iCs/>
          <w:sz w:val="22"/>
          <w:szCs w:val="22"/>
          <w:lang w:val="en-US"/>
        </w:rPr>
        <w:t xml:space="preserve">Option </w:t>
      </w:r>
      <w:r w:rsidR="00823A2D" w:rsidRPr="00823A2D">
        <w:rPr>
          <w:rFonts w:ascii="Arial" w:hAnsi="Arial" w:cs="Arial"/>
          <w:i/>
          <w:iCs/>
          <w:sz w:val="22"/>
          <w:szCs w:val="22"/>
          <w:lang w:val="en-US"/>
        </w:rPr>
        <w:t>to</w:t>
      </w:r>
      <w:r w:rsidR="007E4DF1" w:rsidRPr="00823A2D">
        <w:rPr>
          <w:rFonts w:ascii="Arial" w:hAnsi="Arial" w:cs="Arial"/>
          <w:i/>
          <w:iCs/>
          <w:sz w:val="22"/>
          <w:szCs w:val="22"/>
          <w:lang w:val="en-US"/>
        </w:rPr>
        <w:t xml:space="preserve"> Purchase entered into between the Applicants and the Second Respondent </w:t>
      </w:r>
      <w:r w:rsidR="00823A2D" w:rsidRPr="00823A2D">
        <w:rPr>
          <w:rFonts w:ascii="Arial" w:hAnsi="Arial" w:cs="Arial"/>
          <w:i/>
          <w:iCs/>
          <w:sz w:val="22"/>
          <w:szCs w:val="22"/>
          <w:lang w:val="en-US"/>
        </w:rPr>
        <w:t>dated the 16th October 2007;</w:t>
      </w:r>
    </w:p>
    <w:p w14:paraId="688DEAD2" w14:textId="1E157E25" w:rsidR="00823A2D" w:rsidRPr="00823A2D" w:rsidRDefault="00A835EA" w:rsidP="00A835EA">
      <w:pPr>
        <w:pStyle w:val="FootnoteText"/>
        <w:ind w:left="1134" w:hanging="567"/>
        <w:jc w:val="both"/>
        <w:rPr>
          <w:rFonts w:ascii="Arial" w:hAnsi="Arial" w:cs="Arial"/>
          <w:i/>
          <w:iCs/>
          <w:sz w:val="22"/>
          <w:szCs w:val="22"/>
          <w:lang w:val="en-US"/>
        </w:rPr>
      </w:pPr>
      <w:r w:rsidRPr="00823A2D">
        <w:rPr>
          <w:rFonts w:ascii="Arial" w:hAnsi="Arial" w:cs="Arial"/>
          <w:i/>
          <w:iCs/>
          <w:sz w:val="22"/>
          <w:szCs w:val="22"/>
          <w:lang w:val="en-US"/>
        </w:rPr>
        <w:t>1.3</w:t>
      </w:r>
      <w:r w:rsidRPr="00823A2D">
        <w:rPr>
          <w:rFonts w:ascii="Arial" w:hAnsi="Arial" w:cs="Arial"/>
          <w:i/>
          <w:iCs/>
          <w:sz w:val="22"/>
          <w:szCs w:val="22"/>
          <w:lang w:val="en-US"/>
        </w:rPr>
        <w:tab/>
      </w:r>
      <w:r w:rsidR="00823A2D" w:rsidRPr="00823A2D">
        <w:rPr>
          <w:rFonts w:ascii="Arial" w:hAnsi="Arial" w:cs="Arial"/>
          <w:i/>
          <w:iCs/>
          <w:sz w:val="22"/>
          <w:szCs w:val="22"/>
          <w:lang w:val="en-US"/>
        </w:rPr>
        <w:t>Notice of Cancellation entered into between the Applicants and the Second Respondent dated 16th October 2007;</w:t>
      </w:r>
    </w:p>
    <w:p w14:paraId="206180E3" w14:textId="1F9479E8" w:rsidR="00823A2D" w:rsidRPr="00823A2D" w:rsidRDefault="00A835EA" w:rsidP="00A835EA">
      <w:pPr>
        <w:pStyle w:val="FootnoteText"/>
        <w:ind w:left="1134" w:hanging="567"/>
        <w:jc w:val="both"/>
        <w:rPr>
          <w:rFonts w:ascii="Arial" w:hAnsi="Arial" w:cs="Arial"/>
          <w:i/>
          <w:iCs/>
          <w:sz w:val="22"/>
          <w:szCs w:val="22"/>
          <w:lang w:val="en-US"/>
        </w:rPr>
      </w:pPr>
      <w:r w:rsidRPr="00823A2D">
        <w:rPr>
          <w:rFonts w:ascii="Arial" w:hAnsi="Arial" w:cs="Arial"/>
          <w:i/>
          <w:iCs/>
          <w:sz w:val="22"/>
          <w:szCs w:val="22"/>
          <w:lang w:val="en-US"/>
        </w:rPr>
        <w:t>1.4</w:t>
      </w:r>
      <w:r w:rsidRPr="00823A2D">
        <w:rPr>
          <w:rFonts w:ascii="Arial" w:hAnsi="Arial" w:cs="Arial"/>
          <w:i/>
          <w:iCs/>
          <w:sz w:val="22"/>
          <w:szCs w:val="22"/>
          <w:lang w:val="en-US"/>
        </w:rPr>
        <w:tab/>
      </w:r>
      <w:r w:rsidR="00823A2D" w:rsidRPr="00823A2D">
        <w:rPr>
          <w:rFonts w:ascii="Arial" w:hAnsi="Arial" w:cs="Arial"/>
          <w:i/>
          <w:iCs/>
          <w:sz w:val="22"/>
          <w:szCs w:val="22"/>
          <w:lang w:val="en-US"/>
        </w:rPr>
        <w:t>Power of Attorney to Pass Transfer dated 06th September 2005.</w:t>
      </w:r>
    </w:p>
    <w:p w14:paraId="5436DD11" w14:textId="77777777" w:rsidR="00823A2D" w:rsidRDefault="00823A2D" w:rsidP="00C90284">
      <w:pPr>
        <w:pStyle w:val="FootnoteText"/>
        <w:ind w:left="567" w:hanging="567"/>
        <w:jc w:val="both"/>
        <w:rPr>
          <w:rFonts w:ascii="Arial" w:hAnsi="Arial" w:cs="Arial"/>
          <w:sz w:val="22"/>
          <w:szCs w:val="22"/>
          <w:lang w:val="en-US"/>
        </w:rPr>
      </w:pPr>
    </w:p>
    <w:p w14:paraId="20454D7C" w14:textId="54C5663C" w:rsidR="00823A2D" w:rsidRDefault="00823A2D" w:rsidP="00C90284">
      <w:pPr>
        <w:pStyle w:val="FootnoteText"/>
        <w:ind w:left="567" w:hanging="567"/>
        <w:jc w:val="both"/>
        <w:rPr>
          <w:rFonts w:ascii="Arial" w:hAnsi="Arial" w:cs="Arial"/>
          <w:i/>
          <w:iCs/>
          <w:sz w:val="22"/>
          <w:szCs w:val="22"/>
          <w:lang w:val="en-US"/>
        </w:rPr>
      </w:pPr>
      <w:r w:rsidRPr="00823A2D">
        <w:rPr>
          <w:rFonts w:ascii="Arial" w:hAnsi="Arial" w:cs="Arial"/>
          <w:i/>
          <w:iCs/>
          <w:sz w:val="22"/>
          <w:szCs w:val="22"/>
          <w:lang w:val="en-US"/>
        </w:rPr>
        <w:t xml:space="preserve">2. </w:t>
      </w:r>
      <w:r w:rsidRPr="00823A2D">
        <w:rPr>
          <w:rFonts w:ascii="Arial" w:hAnsi="Arial" w:cs="Arial"/>
          <w:i/>
          <w:iCs/>
          <w:sz w:val="22"/>
          <w:szCs w:val="22"/>
          <w:lang w:val="en-US"/>
        </w:rPr>
        <w:tab/>
      </w:r>
      <w:r w:rsidR="002D51C5">
        <w:rPr>
          <w:rFonts w:ascii="Arial" w:hAnsi="Arial" w:cs="Arial"/>
          <w:i/>
          <w:iCs/>
          <w:sz w:val="22"/>
          <w:szCs w:val="22"/>
          <w:lang w:val="en-US"/>
        </w:rPr>
        <w:t>That the agreements listed in paragraph 1 above are set aside</w:t>
      </w:r>
      <w:r w:rsidR="00C90284">
        <w:rPr>
          <w:rFonts w:ascii="Arial" w:hAnsi="Arial" w:cs="Arial"/>
          <w:i/>
          <w:iCs/>
          <w:sz w:val="22"/>
          <w:szCs w:val="22"/>
          <w:lang w:val="en-US"/>
        </w:rPr>
        <w:t>.</w:t>
      </w:r>
    </w:p>
    <w:p w14:paraId="1AAE913E" w14:textId="4EB6CFE6" w:rsidR="002D51C5" w:rsidRDefault="002D51C5" w:rsidP="00C90284">
      <w:pPr>
        <w:pStyle w:val="FootnoteText"/>
        <w:ind w:left="567" w:hanging="567"/>
        <w:jc w:val="both"/>
        <w:rPr>
          <w:rFonts w:ascii="Arial" w:hAnsi="Arial" w:cs="Arial"/>
          <w:i/>
          <w:iCs/>
          <w:sz w:val="22"/>
          <w:szCs w:val="22"/>
          <w:lang w:val="en-US"/>
        </w:rPr>
      </w:pPr>
      <w:r>
        <w:rPr>
          <w:rFonts w:ascii="Arial" w:hAnsi="Arial" w:cs="Arial"/>
          <w:i/>
          <w:iCs/>
          <w:sz w:val="22"/>
          <w:szCs w:val="22"/>
          <w:lang w:val="en-US"/>
        </w:rPr>
        <w:t>3.</w:t>
      </w:r>
      <w:r>
        <w:rPr>
          <w:rFonts w:ascii="Arial" w:hAnsi="Arial" w:cs="Arial"/>
          <w:i/>
          <w:iCs/>
          <w:sz w:val="22"/>
          <w:szCs w:val="22"/>
          <w:lang w:val="en-US"/>
        </w:rPr>
        <w:tab/>
        <w:t xml:space="preserve">It is declared that the Applicants are entitled to restitution of ERF </w:t>
      </w:r>
      <w:r w:rsidR="00866C40">
        <w:rPr>
          <w:rFonts w:ascii="Arial" w:hAnsi="Arial" w:cs="Arial"/>
          <w:i/>
          <w:iCs/>
          <w:sz w:val="22"/>
          <w:szCs w:val="22"/>
          <w:lang w:val="en-US"/>
        </w:rPr>
        <w:t>[…]</w:t>
      </w:r>
      <w:r>
        <w:rPr>
          <w:rFonts w:ascii="Arial" w:hAnsi="Arial" w:cs="Arial"/>
          <w:i/>
          <w:iCs/>
          <w:sz w:val="22"/>
          <w:szCs w:val="22"/>
          <w:lang w:val="en-US"/>
        </w:rPr>
        <w:t xml:space="preserve">, </w:t>
      </w:r>
      <w:proofErr w:type="gramStart"/>
      <w:r>
        <w:rPr>
          <w:rFonts w:ascii="Arial" w:hAnsi="Arial" w:cs="Arial"/>
          <w:i/>
          <w:iCs/>
          <w:sz w:val="22"/>
          <w:szCs w:val="22"/>
          <w:lang w:val="en-US"/>
        </w:rPr>
        <w:t>W</w:t>
      </w:r>
      <w:r w:rsidR="00866C40">
        <w:rPr>
          <w:rFonts w:ascii="Arial" w:hAnsi="Arial" w:cs="Arial"/>
          <w:i/>
          <w:iCs/>
          <w:sz w:val="22"/>
          <w:szCs w:val="22"/>
          <w:lang w:val="en-US"/>
        </w:rPr>
        <w:t>[</w:t>
      </w:r>
      <w:proofErr w:type="gramEnd"/>
      <w:r w:rsidR="00866C40">
        <w:rPr>
          <w:rFonts w:ascii="Arial" w:hAnsi="Arial" w:cs="Arial"/>
          <w:i/>
          <w:iCs/>
          <w:sz w:val="22"/>
          <w:szCs w:val="22"/>
          <w:lang w:val="en-US"/>
        </w:rPr>
        <w:t>…]</w:t>
      </w:r>
      <w:r>
        <w:rPr>
          <w:rFonts w:ascii="Arial" w:hAnsi="Arial" w:cs="Arial"/>
          <w:i/>
          <w:iCs/>
          <w:sz w:val="22"/>
          <w:szCs w:val="22"/>
          <w:lang w:val="en-US"/>
        </w:rPr>
        <w:t xml:space="preserve">, Port Elizabeth, also known as </w:t>
      </w:r>
      <w:r w:rsidR="00866C40">
        <w:rPr>
          <w:rFonts w:ascii="Arial" w:hAnsi="Arial" w:cs="Arial"/>
          <w:i/>
          <w:iCs/>
          <w:sz w:val="22"/>
          <w:szCs w:val="22"/>
          <w:lang w:val="en-US"/>
        </w:rPr>
        <w:t>L[…] Close, W[…]</w:t>
      </w:r>
      <w:r>
        <w:rPr>
          <w:rFonts w:ascii="Arial" w:hAnsi="Arial" w:cs="Arial"/>
          <w:i/>
          <w:iCs/>
          <w:sz w:val="22"/>
          <w:szCs w:val="22"/>
          <w:lang w:val="en-US"/>
        </w:rPr>
        <w:t>, Port Elizabeth.</w:t>
      </w:r>
    </w:p>
    <w:p w14:paraId="1BC7BA41" w14:textId="1F51B188" w:rsidR="002D51C5" w:rsidRDefault="002D51C5" w:rsidP="00C90284">
      <w:pPr>
        <w:pStyle w:val="FootnoteText"/>
        <w:ind w:left="567" w:hanging="567"/>
        <w:jc w:val="both"/>
        <w:rPr>
          <w:rFonts w:ascii="Arial" w:hAnsi="Arial" w:cs="Arial"/>
          <w:i/>
          <w:iCs/>
          <w:sz w:val="22"/>
          <w:szCs w:val="22"/>
          <w:lang w:val="en-US"/>
        </w:rPr>
      </w:pPr>
      <w:r>
        <w:rPr>
          <w:rFonts w:ascii="Arial" w:hAnsi="Arial" w:cs="Arial"/>
          <w:i/>
          <w:iCs/>
          <w:sz w:val="22"/>
          <w:szCs w:val="22"/>
          <w:lang w:val="en-US"/>
        </w:rPr>
        <w:t>4.</w:t>
      </w:r>
      <w:r>
        <w:rPr>
          <w:rFonts w:ascii="Arial" w:hAnsi="Arial" w:cs="Arial"/>
          <w:i/>
          <w:iCs/>
          <w:sz w:val="22"/>
          <w:szCs w:val="22"/>
          <w:lang w:val="en-US"/>
        </w:rPr>
        <w:tab/>
        <w:t>That the Second and Third Respondents be ordered to pay the costs of the transfer of the property into the name of the Applicants</w:t>
      </w:r>
      <w:r w:rsidR="00C90284">
        <w:rPr>
          <w:rFonts w:ascii="Arial" w:hAnsi="Arial" w:cs="Arial"/>
          <w:i/>
          <w:iCs/>
          <w:sz w:val="22"/>
          <w:szCs w:val="22"/>
          <w:lang w:val="en-US"/>
        </w:rPr>
        <w:t>.</w:t>
      </w:r>
    </w:p>
    <w:p w14:paraId="5103DA4A" w14:textId="78FC4F16" w:rsidR="00C90284" w:rsidRDefault="00C90284" w:rsidP="00A14683">
      <w:pPr>
        <w:pStyle w:val="FootnoteText"/>
        <w:spacing w:line="360" w:lineRule="auto"/>
        <w:ind w:left="567" w:hanging="567"/>
        <w:jc w:val="both"/>
        <w:rPr>
          <w:rFonts w:ascii="Arial" w:hAnsi="Arial" w:cs="Arial"/>
          <w:i/>
          <w:iCs/>
          <w:sz w:val="22"/>
          <w:szCs w:val="22"/>
          <w:lang w:val="en-US"/>
        </w:rPr>
      </w:pPr>
      <w:r>
        <w:rPr>
          <w:rFonts w:ascii="Arial" w:hAnsi="Arial" w:cs="Arial"/>
          <w:i/>
          <w:iCs/>
          <w:sz w:val="22"/>
          <w:szCs w:val="22"/>
          <w:lang w:val="en-US"/>
        </w:rPr>
        <w:t>5.</w:t>
      </w:r>
      <w:r>
        <w:rPr>
          <w:rFonts w:ascii="Arial" w:hAnsi="Arial" w:cs="Arial"/>
          <w:i/>
          <w:iCs/>
          <w:sz w:val="22"/>
          <w:szCs w:val="22"/>
          <w:lang w:val="en-US"/>
        </w:rPr>
        <w:tab/>
        <w:t>Granting the Applicants leave to supplement their Founding Affidavit, should the need arise.</w:t>
      </w:r>
    </w:p>
    <w:p w14:paraId="131B2856" w14:textId="043EB2E2" w:rsidR="00C90284" w:rsidRDefault="00C90284" w:rsidP="00A14683">
      <w:pPr>
        <w:pStyle w:val="FootnoteText"/>
        <w:spacing w:line="360" w:lineRule="auto"/>
        <w:ind w:left="567" w:hanging="567"/>
        <w:jc w:val="both"/>
        <w:rPr>
          <w:rFonts w:ascii="Arial" w:hAnsi="Arial" w:cs="Arial"/>
          <w:i/>
          <w:iCs/>
          <w:sz w:val="22"/>
          <w:szCs w:val="22"/>
          <w:lang w:val="en-US"/>
        </w:rPr>
      </w:pPr>
      <w:r>
        <w:rPr>
          <w:rFonts w:ascii="Arial" w:hAnsi="Arial" w:cs="Arial"/>
          <w:i/>
          <w:iCs/>
          <w:sz w:val="22"/>
          <w:szCs w:val="22"/>
          <w:lang w:val="en-US"/>
        </w:rPr>
        <w:t>6.</w:t>
      </w:r>
      <w:r>
        <w:rPr>
          <w:rFonts w:ascii="Arial" w:hAnsi="Arial" w:cs="Arial"/>
          <w:i/>
          <w:iCs/>
          <w:sz w:val="22"/>
          <w:szCs w:val="22"/>
          <w:lang w:val="en-US"/>
        </w:rPr>
        <w:tab/>
        <w:t>That any of the Respondents who oppose this application pays the costs of the Application.</w:t>
      </w:r>
    </w:p>
    <w:p w14:paraId="676126AB" w14:textId="5B264D59" w:rsidR="00C90284" w:rsidRPr="00C90284" w:rsidRDefault="00C90284" w:rsidP="00A14683">
      <w:pPr>
        <w:pStyle w:val="FootnoteText"/>
        <w:spacing w:line="360" w:lineRule="auto"/>
        <w:ind w:left="567" w:hanging="567"/>
        <w:jc w:val="both"/>
        <w:rPr>
          <w:rFonts w:ascii="Arial" w:hAnsi="Arial" w:cs="Arial"/>
          <w:i/>
          <w:iCs/>
          <w:sz w:val="22"/>
          <w:szCs w:val="22"/>
          <w:lang w:val="en-US"/>
        </w:rPr>
      </w:pPr>
      <w:r>
        <w:rPr>
          <w:rFonts w:ascii="Arial" w:hAnsi="Arial" w:cs="Arial"/>
          <w:i/>
          <w:iCs/>
          <w:sz w:val="22"/>
          <w:szCs w:val="22"/>
          <w:lang w:val="en-US"/>
        </w:rPr>
        <w:t>7.</w:t>
      </w:r>
      <w:r>
        <w:rPr>
          <w:rFonts w:ascii="Arial" w:hAnsi="Arial" w:cs="Arial"/>
          <w:i/>
          <w:iCs/>
          <w:sz w:val="22"/>
          <w:szCs w:val="22"/>
          <w:lang w:val="en-US"/>
        </w:rPr>
        <w:tab/>
        <w:t>Further and/or alternative relief.</w:t>
      </w:r>
      <w:r w:rsidRPr="00C90284">
        <w:rPr>
          <w:rFonts w:ascii="Arial" w:hAnsi="Arial" w:cs="Arial"/>
          <w:sz w:val="22"/>
          <w:szCs w:val="22"/>
          <w:lang w:val="en-US"/>
        </w:rPr>
        <w:t>”</w:t>
      </w:r>
    </w:p>
  </w:footnote>
  <w:footnote w:id="4">
    <w:p w14:paraId="30D06E0B" w14:textId="7322F768" w:rsidR="00B93E61" w:rsidRPr="0029060C" w:rsidRDefault="00B93E61">
      <w:pPr>
        <w:pStyle w:val="FootnoteText"/>
        <w:rPr>
          <w:rFonts w:ascii="Arial" w:hAnsi="Arial" w:cs="Arial"/>
          <w:sz w:val="22"/>
          <w:szCs w:val="22"/>
          <w:lang w:val="en-US"/>
        </w:rPr>
      </w:pPr>
      <w:r w:rsidRPr="0029060C">
        <w:rPr>
          <w:rStyle w:val="FootnoteReference"/>
          <w:rFonts w:ascii="Arial" w:hAnsi="Arial" w:cs="Arial"/>
          <w:sz w:val="22"/>
          <w:szCs w:val="22"/>
        </w:rPr>
        <w:footnoteRef/>
      </w:r>
      <w:r w:rsidRPr="0029060C">
        <w:rPr>
          <w:rFonts w:ascii="Arial" w:hAnsi="Arial" w:cs="Arial"/>
          <w:sz w:val="22"/>
          <w:szCs w:val="22"/>
        </w:rPr>
        <w:t xml:space="preserve"> </w:t>
      </w:r>
      <w:r w:rsidRPr="0029060C">
        <w:rPr>
          <w:rFonts w:ascii="Arial" w:hAnsi="Arial" w:cs="Arial"/>
          <w:sz w:val="22"/>
          <w:szCs w:val="22"/>
          <w:lang w:val="en-US"/>
        </w:rPr>
        <w:t xml:space="preserve">Which argument has a bearing on the </w:t>
      </w:r>
      <w:proofErr w:type="spellStart"/>
      <w:r w:rsidRPr="0029060C">
        <w:rPr>
          <w:rFonts w:ascii="Arial" w:hAnsi="Arial" w:cs="Arial"/>
          <w:sz w:val="22"/>
          <w:szCs w:val="22"/>
          <w:lang w:val="en-US"/>
        </w:rPr>
        <w:t>defence</w:t>
      </w:r>
      <w:proofErr w:type="spellEnd"/>
      <w:r w:rsidRPr="0029060C">
        <w:rPr>
          <w:rFonts w:ascii="Arial" w:hAnsi="Arial" w:cs="Arial"/>
          <w:sz w:val="22"/>
          <w:szCs w:val="22"/>
          <w:lang w:val="en-US"/>
        </w:rPr>
        <w:t xml:space="preserve"> based on prescription.</w:t>
      </w:r>
    </w:p>
  </w:footnote>
  <w:footnote w:id="5">
    <w:p w14:paraId="7E0A24B8" w14:textId="49B290E4" w:rsidR="00D90D71" w:rsidRPr="00CD49B9" w:rsidRDefault="00D90D71" w:rsidP="00CD49B9">
      <w:pPr>
        <w:pStyle w:val="FootnoteText"/>
        <w:spacing w:line="360" w:lineRule="auto"/>
        <w:jc w:val="both"/>
        <w:rPr>
          <w:rFonts w:ascii="Arial" w:hAnsi="Arial" w:cs="Arial"/>
          <w:sz w:val="22"/>
          <w:szCs w:val="22"/>
          <w:lang w:val="en-US"/>
        </w:rPr>
      </w:pPr>
      <w:r w:rsidRPr="00CD49B9">
        <w:rPr>
          <w:rStyle w:val="FootnoteReference"/>
          <w:rFonts w:ascii="Arial" w:hAnsi="Arial" w:cs="Arial"/>
          <w:sz w:val="22"/>
          <w:szCs w:val="22"/>
        </w:rPr>
        <w:footnoteRef/>
      </w:r>
      <w:r w:rsidRPr="00CD49B9">
        <w:rPr>
          <w:rFonts w:ascii="Arial" w:hAnsi="Arial" w:cs="Arial"/>
          <w:sz w:val="22"/>
          <w:szCs w:val="22"/>
        </w:rPr>
        <w:t xml:space="preserve"> Whist the applicants cite a total loan amount of R100,000.00, the loan amount payable to the applicants as recorded in the statement is in the cumulative amount of R130,194.52, payable in two separate instalments of R43,000.00 and R87,194.52 respectively.</w:t>
      </w:r>
    </w:p>
  </w:footnote>
  <w:footnote w:id="6">
    <w:p w14:paraId="2B11F3A5" w14:textId="213E495F" w:rsidR="002258A8" w:rsidRDefault="00A57EEA" w:rsidP="00F03CC3">
      <w:pPr>
        <w:pStyle w:val="FootnoteText"/>
        <w:spacing w:line="360" w:lineRule="auto"/>
        <w:jc w:val="both"/>
        <w:rPr>
          <w:rFonts w:ascii="Arial" w:hAnsi="Arial" w:cs="Arial"/>
          <w:sz w:val="22"/>
          <w:szCs w:val="22"/>
          <w:lang w:val="en-US"/>
        </w:rPr>
      </w:pPr>
      <w:r w:rsidRPr="00F03CC3">
        <w:rPr>
          <w:rStyle w:val="FootnoteReference"/>
          <w:rFonts w:ascii="Arial" w:hAnsi="Arial" w:cs="Arial"/>
          <w:sz w:val="22"/>
          <w:szCs w:val="22"/>
        </w:rPr>
        <w:footnoteRef/>
      </w:r>
      <w:r w:rsidRPr="00F03CC3">
        <w:rPr>
          <w:rFonts w:ascii="Arial" w:hAnsi="Arial" w:cs="Arial"/>
          <w:sz w:val="22"/>
          <w:szCs w:val="22"/>
        </w:rPr>
        <w:t xml:space="preserve"> </w:t>
      </w:r>
      <w:r w:rsidRPr="00F03CC3">
        <w:rPr>
          <w:rFonts w:ascii="Arial" w:hAnsi="Arial" w:cs="Arial"/>
          <w:sz w:val="22"/>
          <w:szCs w:val="22"/>
          <w:lang w:val="en-US"/>
        </w:rPr>
        <w:t xml:space="preserve">I am aware of the dispute on the papers pertaining to whom </w:t>
      </w:r>
      <w:proofErr w:type="spellStart"/>
      <w:r w:rsidRPr="00F03CC3">
        <w:rPr>
          <w:rFonts w:ascii="Arial" w:hAnsi="Arial" w:cs="Arial"/>
          <w:sz w:val="22"/>
          <w:szCs w:val="22"/>
          <w:lang w:val="en-US"/>
        </w:rPr>
        <w:t>Knoesen</w:t>
      </w:r>
      <w:proofErr w:type="spellEnd"/>
      <w:r w:rsidRPr="00F03CC3">
        <w:rPr>
          <w:rFonts w:ascii="Arial" w:hAnsi="Arial" w:cs="Arial"/>
          <w:sz w:val="22"/>
          <w:szCs w:val="22"/>
          <w:lang w:val="en-US"/>
        </w:rPr>
        <w:t xml:space="preserve"> was purportedly representing at the time</w:t>
      </w:r>
      <w:r w:rsidR="00605AFA">
        <w:rPr>
          <w:rFonts w:ascii="Arial" w:hAnsi="Arial" w:cs="Arial"/>
          <w:sz w:val="22"/>
          <w:szCs w:val="22"/>
          <w:lang w:val="en-US"/>
        </w:rPr>
        <w:t>.  In this respect, the applicants contend</w:t>
      </w:r>
      <w:r w:rsidR="0055339F">
        <w:rPr>
          <w:rFonts w:ascii="Arial" w:hAnsi="Arial" w:cs="Arial"/>
          <w:sz w:val="22"/>
          <w:szCs w:val="22"/>
          <w:lang w:val="en-US"/>
        </w:rPr>
        <w:t xml:space="preserve">, </w:t>
      </w:r>
      <w:r w:rsidR="00605AFA">
        <w:rPr>
          <w:rFonts w:ascii="Arial" w:hAnsi="Arial" w:cs="Arial"/>
          <w:sz w:val="22"/>
          <w:szCs w:val="22"/>
          <w:lang w:val="en-US"/>
        </w:rPr>
        <w:t xml:space="preserve">from their understanding, </w:t>
      </w:r>
      <w:r w:rsidR="00C335BB">
        <w:rPr>
          <w:rFonts w:ascii="Arial" w:hAnsi="Arial" w:cs="Arial"/>
          <w:sz w:val="22"/>
          <w:szCs w:val="22"/>
          <w:lang w:val="en-US"/>
        </w:rPr>
        <w:t xml:space="preserve">that </w:t>
      </w:r>
      <w:proofErr w:type="spellStart"/>
      <w:r w:rsidR="00605AFA">
        <w:rPr>
          <w:rFonts w:ascii="Arial" w:hAnsi="Arial" w:cs="Arial"/>
          <w:sz w:val="22"/>
          <w:szCs w:val="22"/>
          <w:lang w:val="en-US"/>
        </w:rPr>
        <w:t>Knoesen</w:t>
      </w:r>
      <w:proofErr w:type="spellEnd"/>
      <w:r w:rsidR="00605AFA">
        <w:rPr>
          <w:rFonts w:ascii="Arial" w:hAnsi="Arial" w:cs="Arial"/>
          <w:sz w:val="22"/>
          <w:szCs w:val="22"/>
          <w:lang w:val="en-US"/>
        </w:rPr>
        <w:t xml:space="preserve"> had been acting on the instruction of </w:t>
      </w:r>
      <w:proofErr w:type="spellStart"/>
      <w:r w:rsidR="00605AFA">
        <w:rPr>
          <w:rFonts w:ascii="Arial" w:hAnsi="Arial" w:cs="Arial"/>
          <w:sz w:val="22"/>
          <w:szCs w:val="22"/>
          <w:lang w:val="en-US"/>
        </w:rPr>
        <w:t>Mr</w:t>
      </w:r>
      <w:proofErr w:type="spellEnd"/>
      <w:r w:rsidR="00605AFA">
        <w:rPr>
          <w:rFonts w:ascii="Arial" w:hAnsi="Arial" w:cs="Arial"/>
          <w:sz w:val="22"/>
          <w:szCs w:val="22"/>
          <w:lang w:val="en-US"/>
        </w:rPr>
        <w:t xml:space="preserve"> Fraser’s attorney who was based in East London</w:t>
      </w:r>
      <w:r w:rsidR="001F2107">
        <w:rPr>
          <w:rFonts w:ascii="Arial" w:hAnsi="Arial" w:cs="Arial"/>
          <w:sz w:val="22"/>
          <w:szCs w:val="22"/>
          <w:lang w:val="en-US"/>
        </w:rPr>
        <w:t>,</w:t>
      </w:r>
      <w:r w:rsidR="00605AFA">
        <w:rPr>
          <w:rFonts w:ascii="Arial" w:hAnsi="Arial" w:cs="Arial"/>
          <w:sz w:val="22"/>
          <w:szCs w:val="22"/>
          <w:lang w:val="en-US"/>
        </w:rPr>
        <w:t xml:space="preserve"> whilst the respondents contend that he was acting on the instruction of the applicants</w:t>
      </w:r>
      <w:r w:rsidRPr="00F03CC3">
        <w:rPr>
          <w:rFonts w:ascii="Arial" w:hAnsi="Arial" w:cs="Arial"/>
          <w:sz w:val="22"/>
          <w:szCs w:val="22"/>
          <w:lang w:val="en-US"/>
        </w:rPr>
        <w:t>.</w:t>
      </w:r>
      <w:r w:rsidR="00605AFA">
        <w:rPr>
          <w:rFonts w:ascii="Arial" w:hAnsi="Arial" w:cs="Arial"/>
          <w:sz w:val="22"/>
          <w:szCs w:val="22"/>
          <w:lang w:val="en-US"/>
        </w:rPr>
        <w:t xml:space="preserve">  No confirmatory affidavit was filed on behalf of </w:t>
      </w:r>
      <w:proofErr w:type="spellStart"/>
      <w:r w:rsidR="00605AFA">
        <w:rPr>
          <w:rFonts w:ascii="Arial" w:hAnsi="Arial" w:cs="Arial"/>
          <w:sz w:val="22"/>
          <w:szCs w:val="22"/>
          <w:lang w:val="en-US"/>
        </w:rPr>
        <w:t>Knoesen</w:t>
      </w:r>
      <w:proofErr w:type="spellEnd"/>
      <w:r w:rsidR="00605AFA">
        <w:rPr>
          <w:rFonts w:ascii="Arial" w:hAnsi="Arial" w:cs="Arial"/>
          <w:sz w:val="22"/>
          <w:szCs w:val="22"/>
          <w:lang w:val="en-US"/>
        </w:rPr>
        <w:t xml:space="preserve"> dealing with this aspect.  For the purposes of this judgment, I deem it unnecessary to resolve this dispute, which in no way</w:t>
      </w:r>
      <w:r w:rsidR="001F2107">
        <w:rPr>
          <w:rFonts w:ascii="Arial" w:hAnsi="Arial" w:cs="Arial"/>
          <w:sz w:val="22"/>
          <w:szCs w:val="22"/>
          <w:lang w:val="en-US"/>
        </w:rPr>
        <w:t xml:space="preserve"> has a bearing on </w:t>
      </w:r>
      <w:r w:rsidR="00605AFA">
        <w:rPr>
          <w:rFonts w:ascii="Arial" w:hAnsi="Arial" w:cs="Arial"/>
          <w:sz w:val="22"/>
          <w:szCs w:val="22"/>
          <w:lang w:val="en-US"/>
        </w:rPr>
        <w:t>the final outcome</w:t>
      </w:r>
      <w:r w:rsidR="006320DE">
        <w:rPr>
          <w:rFonts w:ascii="Arial" w:hAnsi="Arial" w:cs="Arial"/>
          <w:sz w:val="22"/>
          <w:szCs w:val="22"/>
          <w:lang w:val="en-US"/>
        </w:rPr>
        <w:t xml:space="preserve"> of the matter</w:t>
      </w:r>
      <w:r w:rsidR="00605AFA">
        <w:rPr>
          <w:rFonts w:ascii="Arial" w:hAnsi="Arial" w:cs="Arial"/>
          <w:sz w:val="22"/>
          <w:szCs w:val="22"/>
          <w:lang w:val="en-US"/>
        </w:rPr>
        <w:t>.</w:t>
      </w:r>
    </w:p>
    <w:p w14:paraId="2455062F" w14:textId="28916FF8" w:rsidR="00A57EEA" w:rsidRPr="00F03CC3" w:rsidRDefault="002258A8" w:rsidP="00F03CC3">
      <w:pPr>
        <w:pStyle w:val="FootnoteText"/>
        <w:spacing w:line="360" w:lineRule="auto"/>
        <w:jc w:val="both"/>
        <w:rPr>
          <w:rFonts w:ascii="Arial" w:hAnsi="Arial" w:cs="Arial"/>
          <w:sz w:val="22"/>
          <w:szCs w:val="22"/>
          <w:lang w:val="en-US"/>
        </w:rPr>
      </w:pPr>
      <w:r>
        <w:rPr>
          <w:rFonts w:ascii="Arial" w:hAnsi="Arial" w:cs="Arial"/>
          <w:sz w:val="22"/>
          <w:szCs w:val="22"/>
          <w:lang w:val="en-US"/>
        </w:rPr>
        <w:t xml:space="preserve">Interestingly however, even on the respondents’ version, </w:t>
      </w:r>
      <w:proofErr w:type="spellStart"/>
      <w:r>
        <w:rPr>
          <w:rFonts w:ascii="Arial" w:hAnsi="Arial" w:cs="Arial"/>
          <w:sz w:val="22"/>
          <w:szCs w:val="22"/>
          <w:lang w:val="en-US"/>
        </w:rPr>
        <w:t>Knoesen</w:t>
      </w:r>
      <w:proofErr w:type="spellEnd"/>
      <w:r>
        <w:rPr>
          <w:rFonts w:ascii="Arial" w:hAnsi="Arial" w:cs="Arial"/>
          <w:sz w:val="22"/>
          <w:szCs w:val="22"/>
          <w:lang w:val="en-US"/>
        </w:rPr>
        <w:t>, at the time of his involvement,</w:t>
      </w:r>
      <w:r w:rsidR="006320DE">
        <w:rPr>
          <w:rFonts w:ascii="Arial" w:hAnsi="Arial" w:cs="Arial"/>
          <w:sz w:val="22"/>
          <w:szCs w:val="22"/>
          <w:lang w:val="en-US"/>
        </w:rPr>
        <w:t xml:space="preserve"> which was shortly </w:t>
      </w:r>
      <w:r>
        <w:rPr>
          <w:rFonts w:ascii="Arial" w:hAnsi="Arial" w:cs="Arial"/>
          <w:sz w:val="22"/>
          <w:szCs w:val="22"/>
          <w:lang w:val="en-US"/>
        </w:rPr>
        <w:t>prior to the applicants</w:t>
      </w:r>
      <w:r w:rsidR="006320DE">
        <w:rPr>
          <w:rFonts w:ascii="Arial" w:hAnsi="Arial" w:cs="Arial"/>
          <w:sz w:val="22"/>
          <w:szCs w:val="22"/>
          <w:lang w:val="en-US"/>
        </w:rPr>
        <w:t xml:space="preserve"> having vacated </w:t>
      </w:r>
      <w:r>
        <w:rPr>
          <w:rFonts w:ascii="Arial" w:hAnsi="Arial" w:cs="Arial"/>
          <w:sz w:val="22"/>
          <w:szCs w:val="22"/>
          <w:lang w:val="en-US"/>
        </w:rPr>
        <w:t xml:space="preserve">the immovable property, stated, in respect </w:t>
      </w:r>
      <w:r w:rsidR="00691EE5">
        <w:rPr>
          <w:rFonts w:ascii="Arial" w:hAnsi="Arial" w:cs="Arial"/>
          <w:sz w:val="22"/>
          <w:szCs w:val="22"/>
          <w:lang w:val="en-US"/>
        </w:rPr>
        <w:t>of such property</w:t>
      </w:r>
      <w:r>
        <w:rPr>
          <w:rFonts w:ascii="Arial" w:hAnsi="Arial" w:cs="Arial"/>
          <w:sz w:val="22"/>
          <w:szCs w:val="22"/>
          <w:lang w:val="en-US"/>
        </w:rPr>
        <w:t>, that the applicants “</w:t>
      </w:r>
      <w:r w:rsidRPr="002258A8">
        <w:rPr>
          <w:rFonts w:ascii="Arial" w:hAnsi="Arial" w:cs="Arial"/>
          <w:i/>
          <w:iCs/>
          <w:sz w:val="22"/>
          <w:szCs w:val="22"/>
          <w:lang w:val="en-US"/>
        </w:rPr>
        <w:t>sort of believe it</w:t>
      </w:r>
      <w:r w:rsidR="00F41E72">
        <w:rPr>
          <w:rFonts w:ascii="Arial" w:hAnsi="Arial" w:cs="Arial"/>
          <w:i/>
          <w:iCs/>
          <w:sz w:val="22"/>
          <w:szCs w:val="22"/>
          <w:lang w:val="en-US"/>
        </w:rPr>
        <w:t>’</w:t>
      </w:r>
      <w:r w:rsidRPr="002258A8">
        <w:rPr>
          <w:rFonts w:ascii="Arial" w:hAnsi="Arial" w:cs="Arial"/>
          <w:i/>
          <w:iCs/>
          <w:sz w:val="22"/>
          <w:szCs w:val="22"/>
          <w:lang w:val="en-US"/>
        </w:rPr>
        <w:t>s their house</w:t>
      </w:r>
      <w:r>
        <w:rPr>
          <w:rFonts w:ascii="Arial" w:hAnsi="Arial" w:cs="Arial"/>
          <w:sz w:val="22"/>
          <w:szCs w:val="22"/>
          <w:lang w:val="en-US"/>
        </w:rPr>
        <w:t>.”</w:t>
      </w:r>
      <w:r w:rsidR="00605AFA">
        <w:rPr>
          <w:rFonts w:ascii="Arial" w:hAnsi="Arial" w:cs="Arial"/>
          <w:sz w:val="22"/>
          <w:szCs w:val="22"/>
          <w:lang w:val="en-US"/>
        </w:rPr>
        <w:t xml:space="preserve"> </w:t>
      </w:r>
      <w:r w:rsidR="00A57EEA" w:rsidRPr="00F03CC3">
        <w:rPr>
          <w:rFonts w:ascii="Arial" w:hAnsi="Arial" w:cs="Arial"/>
          <w:sz w:val="22"/>
          <w:szCs w:val="22"/>
          <w:lang w:val="en-US"/>
        </w:rPr>
        <w:t xml:space="preserve">   </w:t>
      </w:r>
    </w:p>
  </w:footnote>
  <w:footnote w:id="7">
    <w:p w14:paraId="49A695C2" w14:textId="7EF2FC23" w:rsidR="00187139" w:rsidRPr="006F0B0B" w:rsidRDefault="00187139">
      <w:pPr>
        <w:pStyle w:val="FootnoteText"/>
        <w:rPr>
          <w:rFonts w:ascii="Arial" w:hAnsi="Arial" w:cs="Arial"/>
          <w:sz w:val="22"/>
          <w:szCs w:val="22"/>
          <w:lang w:val="en-US"/>
        </w:rPr>
      </w:pPr>
      <w:r w:rsidRPr="006F0B0B">
        <w:rPr>
          <w:rStyle w:val="FootnoteReference"/>
          <w:rFonts w:ascii="Arial" w:hAnsi="Arial" w:cs="Arial"/>
          <w:sz w:val="22"/>
          <w:szCs w:val="22"/>
        </w:rPr>
        <w:footnoteRef/>
      </w:r>
      <w:r w:rsidRPr="006F0B0B">
        <w:rPr>
          <w:rFonts w:ascii="Arial" w:hAnsi="Arial" w:cs="Arial"/>
          <w:sz w:val="22"/>
          <w:szCs w:val="22"/>
        </w:rPr>
        <w:t xml:space="preserve"> 2016 (3) SA 97 (SCA)</w:t>
      </w:r>
      <w:r w:rsidR="006F0B0B">
        <w:rPr>
          <w:rFonts w:ascii="Arial" w:hAnsi="Arial" w:cs="Arial"/>
          <w:sz w:val="22"/>
          <w:szCs w:val="22"/>
        </w:rPr>
        <w:t>.</w:t>
      </w:r>
    </w:p>
  </w:footnote>
  <w:footnote w:id="8">
    <w:p w14:paraId="5D0DE1EE" w14:textId="77777777" w:rsidR="004134FD" w:rsidRPr="009C43DE" w:rsidRDefault="004134FD" w:rsidP="004134FD">
      <w:pPr>
        <w:pStyle w:val="FootnoteText"/>
        <w:spacing w:line="360" w:lineRule="auto"/>
        <w:rPr>
          <w:rFonts w:ascii="Arial" w:hAnsi="Arial" w:cs="Arial"/>
          <w:sz w:val="22"/>
          <w:szCs w:val="22"/>
        </w:rPr>
      </w:pPr>
      <w:r w:rsidRPr="009C43DE">
        <w:rPr>
          <w:rStyle w:val="FootnoteReference"/>
          <w:rFonts w:ascii="Arial" w:hAnsi="Arial" w:cs="Arial"/>
          <w:sz w:val="22"/>
          <w:szCs w:val="22"/>
        </w:rPr>
        <w:footnoteRef/>
      </w:r>
      <w:r w:rsidRPr="009C43DE">
        <w:rPr>
          <w:rFonts w:ascii="Arial" w:hAnsi="Arial" w:cs="Arial"/>
          <w:sz w:val="22"/>
          <w:szCs w:val="22"/>
        </w:rPr>
        <w:t xml:space="preserve"> (23255/2010) [2012] ZAWCHC 43 (15 May 2012).</w:t>
      </w:r>
    </w:p>
  </w:footnote>
  <w:footnote w:id="9">
    <w:p w14:paraId="78A13EAD" w14:textId="7AAFEEF3" w:rsidR="004134FD" w:rsidRPr="009C43DE" w:rsidRDefault="004134FD" w:rsidP="004134FD">
      <w:pPr>
        <w:pStyle w:val="FootnoteText"/>
        <w:spacing w:line="360" w:lineRule="auto"/>
        <w:rPr>
          <w:rFonts w:ascii="Arial" w:hAnsi="Arial" w:cs="Arial"/>
          <w:sz w:val="22"/>
          <w:szCs w:val="22"/>
        </w:rPr>
      </w:pPr>
      <w:r w:rsidRPr="009C43DE">
        <w:rPr>
          <w:rStyle w:val="FootnoteReference"/>
          <w:rFonts w:ascii="Arial" w:hAnsi="Arial" w:cs="Arial"/>
          <w:sz w:val="22"/>
          <w:szCs w:val="22"/>
        </w:rPr>
        <w:footnoteRef/>
      </w:r>
      <w:r w:rsidRPr="009C43DE">
        <w:rPr>
          <w:rFonts w:ascii="Arial" w:hAnsi="Arial" w:cs="Arial"/>
          <w:sz w:val="22"/>
          <w:szCs w:val="22"/>
        </w:rPr>
        <w:t xml:space="preserve"> 1984 (3) 623 (AD) at 634I – 635A-C</w:t>
      </w:r>
      <w:r w:rsidR="009A5334">
        <w:rPr>
          <w:rFonts w:ascii="Arial" w:hAnsi="Arial" w:cs="Arial"/>
          <w:sz w:val="22"/>
          <w:szCs w:val="22"/>
        </w:rPr>
        <w:t>.</w:t>
      </w:r>
    </w:p>
  </w:footnote>
  <w:footnote w:id="10">
    <w:p w14:paraId="70A8B6CC" w14:textId="107B0183" w:rsidR="00642260" w:rsidRPr="00A052FA" w:rsidRDefault="00642260" w:rsidP="00A052FA">
      <w:pPr>
        <w:pStyle w:val="FootnoteText"/>
        <w:spacing w:line="360" w:lineRule="auto"/>
        <w:rPr>
          <w:rFonts w:ascii="Arial" w:hAnsi="Arial" w:cs="Arial"/>
          <w:sz w:val="22"/>
          <w:szCs w:val="22"/>
          <w:lang w:val="en-US"/>
        </w:rPr>
      </w:pPr>
      <w:r w:rsidRPr="00A052FA">
        <w:rPr>
          <w:rStyle w:val="FootnoteReference"/>
          <w:rFonts w:ascii="Arial" w:hAnsi="Arial" w:cs="Arial"/>
          <w:sz w:val="22"/>
          <w:szCs w:val="22"/>
        </w:rPr>
        <w:footnoteRef/>
      </w:r>
      <w:r w:rsidRPr="00A052FA">
        <w:rPr>
          <w:rFonts w:ascii="Arial" w:hAnsi="Arial" w:cs="Arial"/>
          <w:sz w:val="22"/>
          <w:szCs w:val="22"/>
        </w:rPr>
        <w:t xml:space="preserve"> </w:t>
      </w:r>
      <w:r w:rsidRPr="00A052FA">
        <w:rPr>
          <w:rFonts w:ascii="Arial" w:hAnsi="Arial" w:cs="Arial"/>
          <w:sz w:val="22"/>
          <w:szCs w:val="22"/>
          <w:lang w:val="en-US"/>
        </w:rPr>
        <w:t>Nor does the consent to install the pre-paid electricity meter upon which the respondents rely</w:t>
      </w:r>
      <w:r w:rsidR="003F2E78">
        <w:rPr>
          <w:rFonts w:ascii="Arial" w:hAnsi="Arial" w:cs="Arial"/>
          <w:sz w:val="22"/>
          <w:szCs w:val="22"/>
          <w:lang w:val="en-US"/>
        </w:rPr>
        <w:t>, which in any event was after the fact</w:t>
      </w:r>
      <w:r w:rsidRPr="00A052FA">
        <w:rPr>
          <w:rFonts w:ascii="Arial" w:hAnsi="Arial" w:cs="Arial"/>
          <w:sz w:val="22"/>
          <w:szCs w:val="22"/>
          <w:lang w:val="en-US"/>
        </w:rPr>
        <w:t>.</w:t>
      </w:r>
    </w:p>
  </w:footnote>
  <w:footnote w:id="11">
    <w:p w14:paraId="540A44DE" w14:textId="5060F259" w:rsidR="00A052FA" w:rsidRPr="004516D0" w:rsidRDefault="00A052FA" w:rsidP="004516D0">
      <w:pPr>
        <w:pStyle w:val="FootnoteText"/>
        <w:spacing w:line="360" w:lineRule="auto"/>
        <w:rPr>
          <w:rFonts w:ascii="Arial" w:hAnsi="Arial" w:cs="Arial"/>
          <w:sz w:val="22"/>
          <w:szCs w:val="22"/>
          <w:lang w:val="en-US"/>
        </w:rPr>
      </w:pPr>
      <w:r w:rsidRPr="004516D0">
        <w:rPr>
          <w:rStyle w:val="FootnoteReference"/>
          <w:rFonts w:ascii="Arial" w:hAnsi="Arial" w:cs="Arial"/>
          <w:sz w:val="22"/>
          <w:szCs w:val="22"/>
        </w:rPr>
        <w:footnoteRef/>
      </w:r>
      <w:r w:rsidRPr="004516D0">
        <w:rPr>
          <w:rFonts w:ascii="Arial" w:hAnsi="Arial" w:cs="Arial"/>
          <w:sz w:val="22"/>
          <w:szCs w:val="22"/>
        </w:rPr>
        <w:t xml:space="preserve"> </w:t>
      </w:r>
      <w:hyperlink r:id="rId1" w:tooltip="View LawCiteRecord" w:history="1">
        <w:r w:rsidRPr="004516D0">
          <w:rPr>
            <w:rFonts w:ascii="Arial" w:hAnsi="Arial" w:cs="Arial"/>
            <w:sz w:val="22"/>
            <w:szCs w:val="22"/>
          </w:rPr>
          <w:t>2010 (1) SA 35</w:t>
        </w:r>
      </w:hyperlink>
      <w:r w:rsidRPr="004516D0">
        <w:rPr>
          <w:rFonts w:ascii="Arial" w:hAnsi="Arial" w:cs="Arial"/>
          <w:sz w:val="22"/>
          <w:szCs w:val="22"/>
        </w:rPr>
        <w:t> (SCA)</w:t>
      </w:r>
      <w:r w:rsidR="00772F8C">
        <w:rPr>
          <w:rFonts w:ascii="Arial" w:hAnsi="Arial" w:cs="Arial"/>
          <w:sz w:val="22"/>
          <w:szCs w:val="22"/>
        </w:rPr>
        <w:t>.</w:t>
      </w:r>
    </w:p>
  </w:footnote>
  <w:footnote w:id="12">
    <w:p w14:paraId="0FE281D2" w14:textId="323E1F91" w:rsidR="00A052FA" w:rsidRPr="00A052FA" w:rsidRDefault="00A052FA" w:rsidP="00A052FA">
      <w:pPr>
        <w:pStyle w:val="FootnoteText"/>
        <w:spacing w:line="360" w:lineRule="auto"/>
        <w:rPr>
          <w:rFonts w:ascii="Arial" w:hAnsi="Arial" w:cs="Arial"/>
          <w:sz w:val="22"/>
          <w:szCs w:val="22"/>
          <w:lang w:val="en-US"/>
        </w:rPr>
      </w:pPr>
      <w:r w:rsidRPr="00A052FA">
        <w:rPr>
          <w:rStyle w:val="FootnoteReference"/>
          <w:rFonts w:ascii="Arial" w:hAnsi="Arial" w:cs="Arial"/>
          <w:sz w:val="22"/>
          <w:szCs w:val="22"/>
        </w:rPr>
        <w:footnoteRef/>
      </w:r>
      <w:r w:rsidRPr="00A052FA">
        <w:rPr>
          <w:rFonts w:ascii="Arial" w:hAnsi="Arial" w:cs="Arial"/>
          <w:sz w:val="22"/>
          <w:szCs w:val="22"/>
        </w:rPr>
        <w:t xml:space="preserve">  </w:t>
      </w:r>
      <w:hyperlink r:id="rId2" w:tooltip="View LawCiteRecord" w:history="1">
        <w:r w:rsidRPr="00A052FA">
          <w:rPr>
            <w:rFonts w:ascii="Arial" w:hAnsi="Arial" w:cs="Arial"/>
            <w:sz w:val="22"/>
            <w:szCs w:val="22"/>
          </w:rPr>
          <w:t>2013 (6) SA 130</w:t>
        </w:r>
      </w:hyperlink>
      <w:r w:rsidRPr="00A052FA">
        <w:rPr>
          <w:rFonts w:ascii="Arial" w:hAnsi="Arial" w:cs="Arial"/>
          <w:sz w:val="22"/>
          <w:szCs w:val="22"/>
        </w:rPr>
        <w:t> (SCA)</w:t>
      </w:r>
      <w:r w:rsidR="00772F8C">
        <w:rPr>
          <w:rFonts w:ascii="Arial" w:hAnsi="Arial" w:cs="Arial"/>
          <w:sz w:val="22"/>
          <w:szCs w:val="22"/>
        </w:rPr>
        <w:t>.</w:t>
      </w:r>
    </w:p>
  </w:footnote>
  <w:footnote w:id="13">
    <w:p w14:paraId="70CBCB2D" w14:textId="31EEDD6F" w:rsidR="00A052FA" w:rsidRPr="00C408D4" w:rsidRDefault="00A052FA" w:rsidP="00C408D4">
      <w:pPr>
        <w:pStyle w:val="Heading2"/>
        <w:shd w:val="clear" w:color="auto" w:fill="FFFFFF"/>
        <w:spacing w:before="0" w:beforeAutospacing="0" w:after="0" w:afterAutospacing="0" w:line="360" w:lineRule="auto"/>
        <w:rPr>
          <w:rFonts w:ascii="Arial" w:hAnsi="Arial" w:cs="Arial"/>
          <w:b w:val="0"/>
          <w:bCs w:val="0"/>
          <w:sz w:val="22"/>
          <w:szCs w:val="22"/>
        </w:rPr>
      </w:pPr>
      <w:r w:rsidRPr="00C408D4">
        <w:rPr>
          <w:rStyle w:val="FootnoteReference"/>
          <w:rFonts w:ascii="Arial" w:hAnsi="Arial" w:cs="Arial"/>
          <w:sz w:val="22"/>
          <w:szCs w:val="22"/>
        </w:rPr>
        <w:footnoteRef/>
      </w:r>
      <w:r w:rsidRPr="00C408D4">
        <w:rPr>
          <w:rFonts w:ascii="Arial" w:hAnsi="Arial" w:cs="Arial"/>
          <w:sz w:val="22"/>
          <w:szCs w:val="22"/>
        </w:rPr>
        <w:t xml:space="preserve"> </w:t>
      </w:r>
      <w:r w:rsidRPr="00C408D4">
        <w:rPr>
          <w:rFonts w:ascii="Arial" w:hAnsi="Arial" w:cs="Arial"/>
          <w:b w:val="0"/>
          <w:bCs w:val="0"/>
          <w:i/>
          <w:iCs/>
          <w:sz w:val="22"/>
          <w:szCs w:val="22"/>
        </w:rPr>
        <w:t xml:space="preserve">Absa </w:t>
      </w:r>
      <w:r w:rsidR="00F3037D" w:rsidRPr="00C408D4">
        <w:rPr>
          <w:rFonts w:ascii="Arial" w:hAnsi="Arial" w:cs="Arial"/>
          <w:b w:val="0"/>
          <w:bCs w:val="0"/>
          <w:i/>
          <w:iCs/>
          <w:sz w:val="22"/>
          <w:szCs w:val="22"/>
        </w:rPr>
        <w:t xml:space="preserve">Bank Limited </w:t>
      </w:r>
      <w:r w:rsidRPr="00C408D4">
        <w:rPr>
          <w:rFonts w:ascii="Arial" w:hAnsi="Arial" w:cs="Arial"/>
          <w:b w:val="0"/>
          <w:bCs w:val="0"/>
          <w:i/>
          <w:iCs/>
          <w:sz w:val="22"/>
          <w:szCs w:val="22"/>
        </w:rPr>
        <w:t>v Moore</w:t>
      </w:r>
      <w:r w:rsidRPr="00C408D4">
        <w:rPr>
          <w:rFonts w:ascii="Arial" w:hAnsi="Arial" w:cs="Arial"/>
          <w:b w:val="0"/>
          <w:bCs w:val="0"/>
          <w:sz w:val="22"/>
          <w:szCs w:val="22"/>
        </w:rPr>
        <w:t xml:space="preserve"> 2016 (3) SA 97 (SCA) at paragraph [17]</w:t>
      </w:r>
      <w:r w:rsidR="00487371" w:rsidRPr="00C408D4">
        <w:rPr>
          <w:rFonts w:ascii="Arial" w:hAnsi="Arial" w:cs="Arial"/>
          <w:b w:val="0"/>
          <w:bCs w:val="0"/>
          <w:sz w:val="22"/>
          <w:szCs w:val="22"/>
        </w:rPr>
        <w:t>.</w:t>
      </w:r>
    </w:p>
  </w:footnote>
  <w:footnote w:id="14">
    <w:p w14:paraId="661F2ED0" w14:textId="5D45CCBA" w:rsidR="0070327F" w:rsidRPr="00C408D4" w:rsidRDefault="0070327F" w:rsidP="00C408D4">
      <w:pPr>
        <w:pStyle w:val="FootnoteText"/>
        <w:spacing w:line="360" w:lineRule="auto"/>
        <w:rPr>
          <w:rFonts w:ascii="Arial" w:hAnsi="Arial" w:cs="Arial"/>
          <w:sz w:val="22"/>
          <w:szCs w:val="22"/>
          <w:lang w:val="en-US"/>
        </w:rPr>
      </w:pPr>
      <w:r w:rsidRPr="00C408D4">
        <w:rPr>
          <w:rStyle w:val="FootnoteReference"/>
          <w:rFonts w:ascii="Arial" w:hAnsi="Arial" w:cs="Arial"/>
          <w:sz w:val="22"/>
          <w:szCs w:val="22"/>
        </w:rPr>
        <w:footnoteRef/>
      </w:r>
      <w:r w:rsidRPr="00C408D4">
        <w:rPr>
          <w:rFonts w:ascii="Arial" w:hAnsi="Arial" w:cs="Arial"/>
          <w:sz w:val="22"/>
          <w:szCs w:val="22"/>
        </w:rPr>
        <w:t xml:space="preserve"> (371/14) [2015] ZAECPEHC 14</w:t>
      </w:r>
      <w:r w:rsidR="00B00B6C">
        <w:rPr>
          <w:rFonts w:ascii="Arial" w:hAnsi="Arial" w:cs="Arial"/>
          <w:sz w:val="22"/>
          <w:szCs w:val="22"/>
        </w:rPr>
        <w:t>.</w:t>
      </w:r>
    </w:p>
  </w:footnote>
  <w:footnote w:id="15">
    <w:p w14:paraId="6D0738CD" w14:textId="43330549" w:rsidR="0070327F" w:rsidRPr="00C408D4" w:rsidRDefault="0070327F" w:rsidP="00C408D4">
      <w:pPr>
        <w:pStyle w:val="FootnoteText"/>
        <w:spacing w:line="360" w:lineRule="auto"/>
        <w:rPr>
          <w:rFonts w:ascii="Arial" w:hAnsi="Arial" w:cs="Arial"/>
          <w:sz w:val="22"/>
          <w:szCs w:val="22"/>
          <w:lang w:val="en-US"/>
        </w:rPr>
      </w:pPr>
      <w:r w:rsidRPr="00C408D4">
        <w:rPr>
          <w:rStyle w:val="FootnoteReference"/>
          <w:rFonts w:ascii="Arial" w:hAnsi="Arial" w:cs="Arial"/>
          <w:sz w:val="22"/>
          <w:szCs w:val="22"/>
        </w:rPr>
        <w:footnoteRef/>
      </w:r>
      <w:r w:rsidRPr="00C408D4">
        <w:rPr>
          <w:rFonts w:ascii="Arial" w:hAnsi="Arial" w:cs="Arial"/>
          <w:sz w:val="22"/>
          <w:szCs w:val="22"/>
        </w:rPr>
        <w:t xml:space="preserve"> </w:t>
      </w:r>
      <w:r w:rsidRPr="00C408D4">
        <w:rPr>
          <w:rFonts w:ascii="Arial" w:hAnsi="Arial" w:cs="Arial"/>
          <w:sz w:val="22"/>
          <w:szCs w:val="22"/>
          <w:lang w:val="en-US"/>
        </w:rPr>
        <w:t>2015 (4) 474 (SCA) at paragraph [25].</w:t>
      </w:r>
    </w:p>
  </w:footnote>
  <w:footnote w:id="16">
    <w:p w14:paraId="65665081" w14:textId="3EBB8238" w:rsidR="003A7231" w:rsidRPr="00DC0E6A" w:rsidRDefault="003A7231" w:rsidP="00364459">
      <w:pPr>
        <w:pStyle w:val="FootnoteText"/>
        <w:spacing w:line="360" w:lineRule="auto"/>
        <w:rPr>
          <w:rFonts w:ascii="Arial" w:hAnsi="Arial" w:cs="Arial"/>
          <w:sz w:val="22"/>
          <w:szCs w:val="22"/>
          <w:lang w:val="en-US"/>
        </w:rPr>
      </w:pPr>
      <w:r w:rsidRPr="00DC0E6A">
        <w:rPr>
          <w:rStyle w:val="FootnoteReference"/>
          <w:rFonts w:ascii="Arial" w:hAnsi="Arial" w:cs="Arial"/>
          <w:sz w:val="22"/>
          <w:szCs w:val="22"/>
        </w:rPr>
        <w:footnoteRef/>
      </w:r>
      <w:r w:rsidRPr="00DC0E6A">
        <w:rPr>
          <w:rFonts w:ascii="Arial" w:hAnsi="Arial" w:cs="Arial"/>
          <w:sz w:val="22"/>
          <w:szCs w:val="22"/>
        </w:rPr>
        <w:t xml:space="preserve"> </w:t>
      </w:r>
      <w:r w:rsidRPr="00DC0E6A">
        <w:rPr>
          <w:rFonts w:ascii="Arial" w:hAnsi="Arial" w:cs="Arial"/>
          <w:sz w:val="22"/>
          <w:szCs w:val="22"/>
          <w:lang w:val="en-US"/>
        </w:rPr>
        <w:t>1981 (3) SA 274 (AD)</w:t>
      </w:r>
      <w:r w:rsidR="00DC0E6A">
        <w:rPr>
          <w:rFonts w:ascii="Arial" w:hAnsi="Arial" w:cs="Arial"/>
          <w:sz w:val="22"/>
          <w:szCs w:val="22"/>
          <w:lang w:val="en-US"/>
        </w:rPr>
        <w:t>.</w:t>
      </w:r>
    </w:p>
  </w:footnote>
  <w:footnote w:id="17">
    <w:p w14:paraId="0F4F2C76" w14:textId="3A7F738A" w:rsidR="003A7231" w:rsidRPr="00DC0E6A" w:rsidRDefault="003A7231" w:rsidP="00364459">
      <w:pPr>
        <w:pStyle w:val="FootnoteText"/>
        <w:spacing w:line="360" w:lineRule="auto"/>
        <w:rPr>
          <w:rFonts w:ascii="Arial" w:hAnsi="Arial" w:cs="Arial"/>
          <w:sz w:val="22"/>
          <w:szCs w:val="22"/>
          <w:lang w:val="en-US"/>
        </w:rPr>
      </w:pPr>
      <w:r w:rsidRPr="00DC0E6A">
        <w:rPr>
          <w:rStyle w:val="FootnoteReference"/>
          <w:rFonts w:ascii="Arial" w:hAnsi="Arial" w:cs="Arial"/>
          <w:sz w:val="22"/>
          <w:szCs w:val="22"/>
        </w:rPr>
        <w:footnoteRef/>
      </w:r>
      <w:r w:rsidRPr="00DC0E6A">
        <w:rPr>
          <w:rFonts w:ascii="Arial" w:hAnsi="Arial" w:cs="Arial"/>
          <w:sz w:val="22"/>
          <w:szCs w:val="22"/>
        </w:rPr>
        <w:t xml:space="preserve"> </w:t>
      </w:r>
      <w:r w:rsidRPr="00DC0E6A">
        <w:rPr>
          <w:rFonts w:ascii="Arial" w:hAnsi="Arial" w:cs="Arial"/>
          <w:sz w:val="22"/>
          <w:szCs w:val="22"/>
          <w:lang w:val="en-US"/>
        </w:rPr>
        <w:t>(381/10) [2011] ZASCA 20 (17 March 2011)</w:t>
      </w:r>
      <w:r w:rsidR="00DC0E6A">
        <w:rPr>
          <w:rFonts w:ascii="Arial" w:hAnsi="Arial" w:cs="Arial"/>
          <w:sz w:val="22"/>
          <w:szCs w:val="22"/>
          <w:lang w:val="en-US"/>
        </w:rPr>
        <w:t>.</w:t>
      </w:r>
    </w:p>
  </w:footnote>
  <w:footnote w:id="18">
    <w:p w14:paraId="1D0E3F43" w14:textId="46803CC4" w:rsidR="00F91FF9" w:rsidRPr="00DC0E6A" w:rsidRDefault="00F91FF9">
      <w:pPr>
        <w:pStyle w:val="FootnoteText"/>
        <w:rPr>
          <w:rFonts w:ascii="Arial" w:hAnsi="Arial" w:cs="Arial"/>
          <w:sz w:val="22"/>
          <w:szCs w:val="22"/>
          <w:lang w:val="en-US"/>
        </w:rPr>
      </w:pPr>
      <w:r w:rsidRPr="00DC0E6A">
        <w:rPr>
          <w:rStyle w:val="FootnoteReference"/>
          <w:rFonts w:ascii="Arial" w:hAnsi="Arial" w:cs="Arial"/>
          <w:sz w:val="22"/>
          <w:szCs w:val="22"/>
        </w:rPr>
        <w:footnoteRef/>
      </w:r>
      <w:r w:rsidRPr="00DC0E6A">
        <w:rPr>
          <w:rFonts w:ascii="Arial" w:hAnsi="Arial" w:cs="Arial"/>
          <w:sz w:val="22"/>
          <w:szCs w:val="22"/>
        </w:rPr>
        <w:t xml:space="preserve"> 2017 (1) SA 255 (CC)</w:t>
      </w:r>
      <w:r w:rsidR="00DC0E6A">
        <w:rPr>
          <w:rFonts w:ascii="Arial" w:hAnsi="Arial" w:cs="Arial"/>
          <w:sz w:val="22"/>
          <w:szCs w:val="22"/>
        </w:rPr>
        <w:t>.</w:t>
      </w:r>
    </w:p>
  </w:footnote>
  <w:footnote w:id="19">
    <w:p w14:paraId="5D581CCA" w14:textId="6FEDD689" w:rsidR="00B83269" w:rsidRPr="00A07886" w:rsidRDefault="00B83269">
      <w:pPr>
        <w:pStyle w:val="FootnoteText"/>
        <w:rPr>
          <w:rFonts w:ascii="Arial" w:hAnsi="Arial" w:cs="Arial"/>
          <w:sz w:val="22"/>
          <w:szCs w:val="22"/>
          <w:lang w:val="en-US"/>
        </w:rPr>
      </w:pPr>
      <w:r w:rsidRPr="00A07886">
        <w:rPr>
          <w:rStyle w:val="FootnoteReference"/>
          <w:rFonts w:ascii="Arial" w:hAnsi="Arial" w:cs="Arial"/>
          <w:sz w:val="22"/>
          <w:szCs w:val="22"/>
        </w:rPr>
        <w:footnoteRef/>
      </w:r>
      <w:r w:rsidRPr="00A07886">
        <w:rPr>
          <w:rFonts w:ascii="Arial" w:hAnsi="Arial" w:cs="Arial"/>
          <w:sz w:val="22"/>
          <w:szCs w:val="22"/>
        </w:rPr>
        <w:t xml:space="preserve"> </w:t>
      </w:r>
      <w:r w:rsidRPr="00A07886">
        <w:rPr>
          <w:rFonts w:ascii="Arial" w:hAnsi="Arial" w:cs="Arial"/>
          <w:sz w:val="22"/>
          <w:szCs w:val="22"/>
          <w:lang w:val="en-US"/>
        </w:rPr>
        <w:t>1956 (1) SA 483 (AD).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095334"/>
      <w:docPartObj>
        <w:docPartGallery w:val="Page Numbers (Top of Page)"/>
        <w:docPartUnique/>
      </w:docPartObj>
    </w:sdtPr>
    <w:sdtEndPr>
      <w:rPr>
        <w:noProof/>
      </w:rPr>
    </w:sdtEndPr>
    <w:sdtContent>
      <w:p w14:paraId="2758A5B2" w14:textId="0A510F92" w:rsidR="00DC0E6A" w:rsidRDefault="00DC0E6A">
        <w:pPr>
          <w:pStyle w:val="Header"/>
          <w:jc w:val="center"/>
        </w:pPr>
        <w:r>
          <w:fldChar w:fldCharType="begin"/>
        </w:r>
        <w:r>
          <w:instrText xml:space="preserve"> PAGE   \* MERGEFORMAT </w:instrText>
        </w:r>
        <w:r>
          <w:fldChar w:fldCharType="separate"/>
        </w:r>
        <w:r w:rsidR="007E6739">
          <w:rPr>
            <w:noProof/>
          </w:rPr>
          <w:t>19</w:t>
        </w:r>
        <w:r>
          <w:rPr>
            <w:noProof/>
          </w:rPr>
          <w:fldChar w:fldCharType="end"/>
        </w:r>
      </w:p>
    </w:sdtContent>
  </w:sdt>
  <w:p w14:paraId="6E00D8FC" w14:textId="77777777" w:rsidR="00DC0E6A" w:rsidRDefault="00DC0E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18F"/>
    <w:multiLevelType w:val="multilevel"/>
    <w:tmpl w:val="3DAA1F6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8AE66DA"/>
    <w:multiLevelType w:val="hybridMultilevel"/>
    <w:tmpl w:val="A3F20704"/>
    <w:lvl w:ilvl="0" w:tplc="83EA065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C70C93"/>
    <w:multiLevelType w:val="multilevel"/>
    <w:tmpl w:val="4FB07A7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47007F8B"/>
    <w:multiLevelType w:val="multilevel"/>
    <w:tmpl w:val="A6DCD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BE0616"/>
    <w:multiLevelType w:val="multilevel"/>
    <w:tmpl w:val="55C60E6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747C135F"/>
    <w:multiLevelType w:val="hybridMultilevel"/>
    <w:tmpl w:val="E4F8B5F0"/>
    <w:lvl w:ilvl="0" w:tplc="91A032D8">
      <w:start w:val="5"/>
      <w:numFmt w:val="bullet"/>
      <w:lvlText w:val="-"/>
      <w:lvlJc w:val="left"/>
      <w:pPr>
        <w:ind w:left="720" w:hanging="360"/>
      </w:pPr>
      <w:rPr>
        <w:rFonts w:ascii="Aptos" w:eastAsiaTheme="minorHAnsi" w:hAnsi="Apto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DC"/>
    <w:rsid w:val="00036326"/>
    <w:rsid w:val="00054D1C"/>
    <w:rsid w:val="00054E05"/>
    <w:rsid w:val="0005508B"/>
    <w:rsid w:val="00055221"/>
    <w:rsid w:val="00056256"/>
    <w:rsid w:val="0006046D"/>
    <w:rsid w:val="0009661C"/>
    <w:rsid w:val="000E2069"/>
    <w:rsid w:val="000F1D53"/>
    <w:rsid w:val="000F1E27"/>
    <w:rsid w:val="001628FB"/>
    <w:rsid w:val="00187139"/>
    <w:rsid w:val="00191F82"/>
    <w:rsid w:val="001B3DA0"/>
    <w:rsid w:val="001B6755"/>
    <w:rsid w:val="001C2448"/>
    <w:rsid w:val="001C5594"/>
    <w:rsid w:val="001C57F0"/>
    <w:rsid w:val="001D076B"/>
    <w:rsid w:val="001E3664"/>
    <w:rsid w:val="001F2107"/>
    <w:rsid w:val="001F4FAD"/>
    <w:rsid w:val="002012F2"/>
    <w:rsid w:val="002065F9"/>
    <w:rsid w:val="00223C4B"/>
    <w:rsid w:val="00224D0B"/>
    <w:rsid w:val="002258A8"/>
    <w:rsid w:val="00231CD9"/>
    <w:rsid w:val="002325D4"/>
    <w:rsid w:val="00232CD1"/>
    <w:rsid w:val="00234858"/>
    <w:rsid w:val="00246718"/>
    <w:rsid w:val="0026283D"/>
    <w:rsid w:val="0026664B"/>
    <w:rsid w:val="0029060C"/>
    <w:rsid w:val="00295F7E"/>
    <w:rsid w:val="002A1EE1"/>
    <w:rsid w:val="002C161A"/>
    <w:rsid w:val="002C296B"/>
    <w:rsid w:val="002C4394"/>
    <w:rsid w:val="002C7360"/>
    <w:rsid w:val="002D51C5"/>
    <w:rsid w:val="002E7F53"/>
    <w:rsid w:val="002F05C4"/>
    <w:rsid w:val="00313CF4"/>
    <w:rsid w:val="00332E97"/>
    <w:rsid w:val="00347454"/>
    <w:rsid w:val="00364459"/>
    <w:rsid w:val="003812A3"/>
    <w:rsid w:val="00392584"/>
    <w:rsid w:val="00393851"/>
    <w:rsid w:val="003A7231"/>
    <w:rsid w:val="003C30BF"/>
    <w:rsid w:val="003E726D"/>
    <w:rsid w:val="003F2E78"/>
    <w:rsid w:val="003F4E2C"/>
    <w:rsid w:val="003F79CE"/>
    <w:rsid w:val="00400CBB"/>
    <w:rsid w:val="004134FD"/>
    <w:rsid w:val="00433D25"/>
    <w:rsid w:val="004516D0"/>
    <w:rsid w:val="0046058E"/>
    <w:rsid w:val="00481B59"/>
    <w:rsid w:val="004832C1"/>
    <w:rsid w:val="00487371"/>
    <w:rsid w:val="004C14E2"/>
    <w:rsid w:val="004C1F68"/>
    <w:rsid w:val="004D13E9"/>
    <w:rsid w:val="004D445A"/>
    <w:rsid w:val="004D64B1"/>
    <w:rsid w:val="004E6952"/>
    <w:rsid w:val="00550168"/>
    <w:rsid w:val="0055099C"/>
    <w:rsid w:val="0055339F"/>
    <w:rsid w:val="00553D35"/>
    <w:rsid w:val="00567D9F"/>
    <w:rsid w:val="0057148D"/>
    <w:rsid w:val="00573E34"/>
    <w:rsid w:val="0057761B"/>
    <w:rsid w:val="00583684"/>
    <w:rsid w:val="005851D5"/>
    <w:rsid w:val="005923E0"/>
    <w:rsid w:val="005C0894"/>
    <w:rsid w:val="005C6161"/>
    <w:rsid w:val="005D7B0E"/>
    <w:rsid w:val="005F3457"/>
    <w:rsid w:val="005F5181"/>
    <w:rsid w:val="00605AFA"/>
    <w:rsid w:val="00611C35"/>
    <w:rsid w:val="00613599"/>
    <w:rsid w:val="006320DE"/>
    <w:rsid w:val="00637474"/>
    <w:rsid w:val="00642260"/>
    <w:rsid w:val="00643557"/>
    <w:rsid w:val="00650843"/>
    <w:rsid w:val="00653A76"/>
    <w:rsid w:val="00653BA7"/>
    <w:rsid w:val="006602AF"/>
    <w:rsid w:val="00665F54"/>
    <w:rsid w:val="00677EBF"/>
    <w:rsid w:val="00691EE5"/>
    <w:rsid w:val="00693E16"/>
    <w:rsid w:val="006A25DE"/>
    <w:rsid w:val="006B1817"/>
    <w:rsid w:val="006B591F"/>
    <w:rsid w:val="006C298E"/>
    <w:rsid w:val="006C57E1"/>
    <w:rsid w:val="006E319C"/>
    <w:rsid w:val="006E6B9D"/>
    <w:rsid w:val="006F0849"/>
    <w:rsid w:val="006F0B0B"/>
    <w:rsid w:val="006F163F"/>
    <w:rsid w:val="006F35BC"/>
    <w:rsid w:val="0070327F"/>
    <w:rsid w:val="007200FA"/>
    <w:rsid w:val="00722370"/>
    <w:rsid w:val="00734D45"/>
    <w:rsid w:val="00746CA3"/>
    <w:rsid w:val="00750E6A"/>
    <w:rsid w:val="0075349A"/>
    <w:rsid w:val="00755AC4"/>
    <w:rsid w:val="00771F70"/>
    <w:rsid w:val="00772807"/>
    <w:rsid w:val="00772F8C"/>
    <w:rsid w:val="007748CA"/>
    <w:rsid w:val="007774DC"/>
    <w:rsid w:val="007808AF"/>
    <w:rsid w:val="0078354B"/>
    <w:rsid w:val="007968F2"/>
    <w:rsid w:val="007B2EE3"/>
    <w:rsid w:val="007D322E"/>
    <w:rsid w:val="007D3B46"/>
    <w:rsid w:val="007E4DF1"/>
    <w:rsid w:val="007E629F"/>
    <w:rsid w:val="007E6739"/>
    <w:rsid w:val="007E75C5"/>
    <w:rsid w:val="007F772C"/>
    <w:rsid w:val="00816155"/>
    <w:rsid w:val="00823031"/>
    <w:rsid w:val="00823A2D"/>
    <w:rsid w:val="00826E6A"/>
    <w:rsid w:val="00834163"/>
    <w:rsid w:val="00852033"/>
    <w:rsid w:val="00853BFF"/>
    <w:rsid w:val="00855C7C"/>
    <w:rsid w:val="00866C40"/>
    <w:rsid w:val="00880BCB"/>
    <w:rsid w:val="008A1C2C"/>
    <w:rsid w:val="008B46D7"/>
    <w:rsid w:val="008C06CF"/>
    <w:rsid w:val="008E6CB6"/>
    <w:rsid w:val="008F0393"/>
    <w:rsid w:val="00903DF2"/>
    <w:rsid w:val="00911430"/>
    <w:rsid w:val="00920646"/>
    <w:rsid w:val="00925E44"/>
    <w:rsid w:val="00934113"/>
    <w:rsid w:val="00943339"/>
    <w:rsid w:val="009449FC"/>
    <w:rsid w:val="00984FDE"/>
    <w:rsid w:val="00991619"/>
    <w:rsid w:val="009A2C82"/>
    <w:rsid w:val="009A5334"/>
    <w:rsid w:val="009B356F"/>
    <w:rsid w:val="009B3C11"/>
    <w:rsid w:val="009D1CE8"/>
    <w:rsid w:val="009D5D35"/>
    <w:rsid w:val="009D7B75"/>
    <w:rsid w:val="009E073A"/>
    <w:rsid w:val="009F6C44"/>
    <w:rsid w:val="009F767E"/>
    <w:rsid w:val="00A0136C"/>
    <w:rsid w:val="00A052FA"/>
    <w:rsid w:val="00A07886"/>
    <w:rsid w:val="00A14683"/>
    <w:rsid w:val="00A215EB"/>
    <w:rsid w:val="00A251FB"/>
    <w:rsid w:val="00A311C5"/>
    <w:rsid w:val="00A4369D"/>
    <w:rsid w:val="00A4554D"/>
    <w:rsid w:val="00A55919"/>
    <w:rsid w:val="00A56C1D"/>
    <w:rsid w:val="00A57E19"/>
    <w:rsid w:val="00A57EEA"/>
    <w:rsid w:val="00A8188C"/>
    <w:rsid w:val="00A835EA"/>
    <w:rsid w:val="00A92A36"/>
    <w:rsid w:val="00A9430F"/>
    <w:rsid w:val="00AA1F52"/>
    <w:rsid w:val="00AB4812"/>
    <w:rsid w:val="00AD3C95"/>
    <w:rsid w:val="00AE2A2A"/>
    <w:rsid w:val="00B00082"/>
    <w:rsid w:val="00B00B6C"/>
    <w:rsid w:val="00B40BCD"/>
    <w:rsid w:val="00B54AEE"/>
    <w:rsid w:val="00B63AE5"/>
    <w:rsid w:val="00B679CB"/>
    <w:rsid w:val="00B77128"/>
    <w:rsid w:val="00B83269"/>
    <w:rsid w:val="00B93E61"/>
    <w:rsid w:val="00BB6F1D"/>
    <w:rsid w:val="00BF69B2"/>
    <w:rsid w:val="00C010B3"/>
    <w:rsid w:val="00C01366"/>
    <w:rsid w:val="00C177D5"/>
    <w:rsid w:val="00C203F1"/>
    <w:rsid w:val="00C220CA"/>
    <w:rsid w:val="00C335BB"/>
    <w:rsid w:val="00C408D4"/>
    <w:rsid w:val="00C90284"/>
    <w:rsid w:val="00C91298"/>
    <w:rsid w:val="00C95A1B"/>
    <w:rsid w:val="00CA3CE3"/>
    <w:rsid w:val="00CA5BEB"/>
    <w:rsid w:val="00CB09E4"/>
    <w:rsid w:val="00CB37BB"/>
    <w:rsid w:val="00CB6549"/>
    <w:rsid w:val="00CC2702"/>
    <w:rsid w:val="00CD3D5E"/>
    <w:rsid w:val="00CD49B9"/>
    <w:rsid w:val="00CD4CCF"/>
    <w:rsid w:val="00CE17B7"/>
    <w:rsid w:val="00CE7753"/>
    <w:rsid w:val="00D30C1E"/>
    <w:rsid w:val="00D338BC"/>
    <w:rsid w:val="00D34F07"/>
    <w:rsid w:val="00D81507"/>
    <w:rsid w:val="00D90D71"/>
    <w:rsid w:val="00D941A5"/>
    <w:rsid w:val="00D95E0C"/>
    <w:rsid w:val="00DA7461"/>
    <w:rsid w:val="00DC0E6A"/>
    <w:rsid w:val="00DD6F20"/>
    <w:rsid w:val="00DF3A14"/>
    <w:rsid w:val="00E20243"/>
    <w:rsid w:val="00E30E5E"/>
    <w:rsid w:val="00E373C1"/>
    <w:rsid w:val="00E42B17"/>
    <w:rsid w:val="00E46876"/>
    <w:rsid w:val="00E46F40"/>
    <w:rsid w:val="00E54079"/>
    <w:rsid w:val="00E64489"/>
    <w:rsid w:val="00E94529"/>
    <w:rsid w:val="00EA00FD"/>
    <w:rsid w:val="00EA2418"/>
    <w:rsid w:val="00EB339E"/>
    <w:rsid w:val="00EB63EA"/>
    <w:rsid w:val="00EC40DF"/>
    <w:rsid w:val="00EC61FE"/>
    <w:rsid w:val="00EC6E88"/>
    <w:rsid w:val="00EF2A8D"/>
    <w:rsid w:val="00EF6CFF"/>
    <w:rsid w:val="00F03CC3"/>
    <w:rsid w:val="00F06ECA"/>
    <w:rsid w:val="00F1045F"/>
    <w:rsid w:val="00F21E4A"/>
    <w:rsid w:val="00F3037D"/>
    <w:rsid w:val="00F331E0"/>
    <w:rsid w:val="00F37C97"/>
    <w:rsid w:val="00F41E72"/>
    <w:rsid w:val="00F50FE8"/>
    <w:rsid w:val="00F57D2C"/>
    <w:rsid w:val="00F716A2"/>
    <w:rsid w:val="00F91C49"/>
    <w:rsid w:val="00F91FF9"/>
    <w:rsid w:val="00F97223"/>
    <w:rsid w:val="00FA1439"/>
    <w:rsid w:val="00FA436C"/>
    <w:rsid w:val="00FA5DB1"/>
    <w:rsid w:val="00FC19E0"/>
    <w:rsid w:val="00FC7B71"/>
    <w:rsid w:val="00FD28C1"/>
    <w:rsid w:val="00FD5AD2"/>
    <w:rsid w:val="00FE524D"/>
    <w:rsid w:val="00FE5951"/>
    <w:rsid w:val="00FE6D6F"/>
    <w:rsid w:val="00FF1A49"/>
    <w:rsid w:val="00FF45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2EBE"/>
  <w15:docId w15:val="{D09C7928-D88C-4CA4-8794-73695257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3D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3031"/>
    <w:pPr>
      <w:spacing w:after="200" w:line="276" w:lineRule="auto"/>
      <w:ind w:left="720"/>
      <w:contextualSpacing/>
    </w:pPr>
    <w:rPr>
      <w:rFonts w:eastAsia="Times New Roman" w:cs="Times New Roman"/>
      <w:kern w:val="0"/>
    </w:rPr>
  </w:style>
  <w:style w:type="paragraph" w:customStyle="1" w:styleId="GW11">
    <w:name w:val="GW1.1"/>
    <w:basedOn w:val="Normal"/>
    <w:rsid w:val="00823031"/>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kern w:val="0"/>
      <w:sz w:val="24"/>
      <w:szCs w:val="20"/>
      <w:lang w:val="en-US"/>
    </w:rPr>
  </w:style>
  <w:style w:type="paragraph" w:customStyle="1" w:styleId="GW12">
    <w:name w:val="GW1.2"/>
    <w:basedOn w:val="Normal"/>
    <w:rsid w:val="00823031"/>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kern w:val="0"/>
      <w:sz w:val="24"/>
      <w:szCs w:val="20"/>
      <w:lang w:val="en-US"/>
    </w:rPr>
  </w:style>
  <w:style w:type="paragraph" w:customStyle="1" w:styleId="GW13">
    <w:name w:val="GW1.3"/>
    <w:basedOn w:val="Normal"/>
    <w:rsid w:val="00823031"/>
    <w:pPr>
      <w:tabs>
        <w:tab w:val="right" w:pos="8640"/>
      </w:tabs>
      <w:spacing w:after="0" w:line="360" w:lineRule="auto"/>
      <w:ind w:right="1145"/>
      <w:jc w:val="both"/>
    </w:pPr>
    <w:rPr>
      <w:rFonts w:ascii="Courier" w:eastAsia="Times New Roman" w:hAnsi="Courier" w:cs="Times New Roman"/>
      <w:snapToGrid w:val="0"/>
      <w:kern w:val="0"/>
      <w:sz w:val="24"/>
      <w:szCs w:val="20"/>
      <w:lang w:val="en-US"/>
    </w:rPr>
  </w:style>
  <w:style w:type="character" w:customStyle="1" w:styleId="ListParagraphChar">
    <w:name w:val="List Paragraph Char"/>
    <w:link w:val="ListParagraph"/>
    <w:uiPriority w:val="34"/>
    <w:rsid w:val="00823031"/>
    <w:rPr>
      <w:rFonts w:eastAsia="Times New Roman" w:cs="Times New Roman"/>
      <w:kern w:val="0"/>
    </w:rPr>
  </w:style>
  <w:style w:type="character" w:customStyle="1" w:styleId="Heading2Char">
    <w:name w:val="Heading 2 Char"/>
    <w:basedOn w:val="DefaultParagraphFont"/>
    <w:link w:val="Heading2"/>
    <w:uiPriority w:val="9"/>
    <w:rsid w:val="00CD3D5E"/>
    <w:rPr>
      <w:rFonts w:ascii="Times New Roman" w:eastAsia="Times New Roman" w:hAnsi="Times New Roman" w:cs="Times New Roman"/>
      <w:b/>
      <w:bCs/>
      <w:kern w:val="0"/>
      <w:sz w:val="36"/>
      <w:szCs w:val="36"/>
      <w:lang w:eastAsia="en-ZA"/>
      <w14:ligatures w14:val="none"/>
    </w:rPr>
  </w:style>
  <w:style w:type="paragraph" w:styleId="FootnoteText">
    <w:name w:val="footnote text"/>
    <w:basedOn w:val="Normal"/>
    <w:link w:val="FootnoteTextChar"/>
    <w:uiPriority w:val="99"/>
    <w:unhideWhenUsed/>
    <w:rsid w:val="00CD3D5E"/>
    <w:pPr>
      <w:spacing w:after="0" w:line="240" w:lineRule="auto"/>
    </w:pPr>
    <w:rPr>
      <w:sz w:val="20"/>
      <w:szCs w:val="20"/>
    </w:rPr>
  </w:style>
  <w:style w:type="character" w:customStyle="1" w:styleId="FootnoteTextChar">
    <w:name w:val="Footnote Text Char"/>
    <w:basedOn w:val="DefaultParagraphFont"/>
    <w:link w:val="FootnoteText"/>
    <w:uiPriority w:val="99"/>
    <w:rsid w:val="00CD3D5E"/>
    <w:rPr>
      <w:sz w:val="20"/>
      <w:szCs w:val="20"/>
    </w:rPr>
  </w:style>
  <w:style w:type="character" w:styleId="FootnoteReference">
    <w:name w:val="footnote reference"/>
    <w:basedOn w:val="DefaultParagraphFont"/>
    <w:uiPriority w:val="99"/>
    <w:semiHidden/>
    <w:unhideWhenUsed/>
    <w:rsid w:val="00CD3D5E"/>
    <w:rPr>
      <w:vertAlign w:val="superscript"/>
    </w:rPr>
  </w:style>
  <w:style w:type="character" w:styleId="Hyperlink">
    <w:name w:val="Hyperlink"/>
    <w:basedOn w:val="DefaultParagraphFont"/>
    <w:uiPriority w:val="99"/>
    <w:semiHidden/>
    <w:unhideWhenUsed/>
    <w:rsid w:val="00187139"/>
    <w:rPr>
      <w:color w:val="0000FF"/>
      <w:u w:val="single"/>
    </w:rPr>
  </w:style>
  <w:style w:type="paragraph" w:styleId="NormalWeb">
    <w:name w:val="Normal (Web)"/>
    <w:basedOn w:val="Normal"/>
    <w:uiPriority w:val="99"/>
    <w:unhideWhenUsed/>
    <w:rsid w:val="007D322E"/>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Header">
    <w:name w:val="header"/>
    <w:basedOn w:val="Normal"/>
    <w:link w:val="HeaderChar"/>
    <w:uiPriority w:val="99"/>
    <w:unhideWhenUsed/>
    <w:rsid w:val="00DC0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6A"/>
  </w:style>
  <w:style w:type="paragraph" w:styleId="Footer">
    <w:name w:val="footer"/>
    <w:basedOn w:val="Normal"/>
    <w:link w:val="FooterChar"/>
    <w:uiPriority w:val="99"/>
    <w:unhideWhenUsed/>
    <w:rsid w:val="00DC0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6687">
      <w:bodyDiv w:val="1"/>
      <w:marLeft w:val="0"/>
      <w:marRight w:val="0"/>
      <w:marTop w:val="0"/>
      <w:marBottom w:val="0"/>
      <w:divBdr>
        <w:top w:val="none" w:sz="0" w:space="0" w:color="auto"/>
        <w:left w:val="none" w:sz="0" w:space="0" w:color="auto"/>
        <w:bottom w:val="none" w:sz="0" w:space="0" w:color="auto"/>
        <w:right w:val="none" w:sz="0" w:space="0" w:color="auto"/>
      </w:divBdr>
    </w:div>
    <w:div w:id="160511017">
      <w:bodyDiv w:val="1"/>
      <w:marLeft w:val="0"/>
      <w:marRight w:val="0"/>
      <w:marTop w:val="0"/>
      <w:marBottom w:val="0"/>
      <w:divBdr>
        <w:top w:val="none" w:sz="0" w:space="0" w:color="auto"/>
        <w:left w:val="none" w:sz="0" w:space="0" w:color="auto"/>
        <w:bottom w:val="none" w:sz="0" w:space="0" w:color="auto"/>
        <w:right w:val="none" w:sz="0" w:space="0" w:color="auto"/>
      </w:divBdr>
    </w:div>
    <w:div w:id="252474512">
      <w:bodyDiv w:val="1"/>
      <w:marLeft w:val="0"/>
      <w:marRight w:val="0"/>
      <w:marTop w:val="0"/>
      <w:marBottom w:val="0"/>
      <w:divBdr>
        <w:top w:val="none" w:sz="0" w:space="0" w:color="auto"/>
        <w:left w:val="none" w:sz="0" w:space="0" w:color="auto"/>
        <w:bottom w:val="none" w:sz="0" w:space="0" w:color="auto"/>
        <w:right w:val="none" w:sz="0" w:space="0" w:color="auto"/>
      </w:divBdr>
    </w:div>
    <w:div w:id="882325867">
      <w:bodyDiv w:val="1"/>
      <w:marLeft w:val="0"/>
      <w:marRight w:val="0"/>
      <w:marTop w:val="0"/>
      <w:marBottom w:val="0"/>
      <w:divBdr>
        <w:top w:val="none" w:sz="0" w:space="0" w:color="auto"/>
        <w:left w:val="none" w:sz="0" w:space="0" w:color="auto"/>
        <w:bottom w:val="none" w:sz="0" w:space="0" w:color="auto"/>
        <w:right w:val="none" w:sz="0" w:space="0" w:color="auto"/>
      </w:divBdr>
    </w:div>
    <w:div w:id="976036399">
      <w:bodyDiv w:val="1"/>
      <w:marLeft w:val="0"/>
      <w:marRight w:val="0"/>
      <w:marTop w:val="0"/>
      <w:marBottom w:val="0"/>
      <w:divBdr>
        <w:top w:val="none" w:sz="0" w:space="0" w:color="auto"/>
        <w:left w:val="none" w:sz="0" w:space="0" w:color="auto"/>
        <w:bottom w:val="none" w:sz="0" w:space="0" w:color="auto"/>
        <w:right w:val="none" w:sz="0" w:space="0" w:color="auto"/>
      </w:divBdr>
    </w:div>
    <w:div w:id="1113791944">
      <w:bodyDiv w:val="1"/>
      <w:marLeft w:val="0"/>
      <w:marRight w:val="0"/>
      <w:marTop w:val="0"/>
      <w:marBottom w:val="0"/>
      <w:divBdr>
        <w:top w:val="none" w:sz="0" w:space="0" w:color="auto"/>
        <w:left w:val="none" w:sz="0" w:space="0" w:color="auto"/>
        <w:bottom w:val="none" w:sz="0" w:space="0" w:color="auto"/>
        <w:right w:val="none" w:sz="0" w:space="0" w:color="auto"/>
      </w:divBdr>
    </w:div>
    <w:div w:id="1500610032">
      <w:bodyDiv w:val="1"/>
      <w:marLeft w:val="0"/>
      <w:marRight w:val="0"/>
      <w:marTop w:val="0"/>
      <w:marBottom w:val="0"/>
      <w:divBdr>
        <w:top w:val="none" w:sz="0" w:space="0" w:color="auto"/>
        <w:left w:val="none" w:sz="0" w:space="0" w:color="auto"/>
        <w:bottom w:val="none" w:sz="0" w:space="0" w:color="auto"/>
        <w:right w:val="none" w:sz="0" w:space="0" w:color="auto"/>
      </w:divBdr>
    </w:div>
    <w:div w:id="1639021751">
      <w:bodyDiv w:val="1"/>
      <w:marLeft w:val="0"/>
      <w:marRight w:val="0"/>
      <w:marTop w:val="0"/>
      <w:marBottom w:val="0"/>
      <w:divBdr>
        <w:top w:val="none" w:sz="0" w:space="0" w:color="auto"/>
        <w:left w:val="none" w:sz="0" w:space="0" w:color="auto"/>
        <w:bottom w:val="none" w:sz="0" w:space="0" w:color="auto"/>
        <w:right w:val="none" w:sz="0" w:space="0" w:color="auto"/>
      </w:divBdr>
    </w:div>
    <w:div w:id="164812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pa196917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1983%20%284%29%20SA%20278" TargetMode="External"/><Relationship Id="rId17" Type="http://schemas.openxmlformats.org/officeDocument/2006/relationships/hyperlink" Target="http://www.saflii.org/za/legis/consol_act/pa1969171/" TargetMode="External"/><Relationship Id="rId2" Type="http://schemas.openxmlformats.org/officeDocument/2006/relationships/numbering" Target="numbering.xml"/><Relationship Id="rId16" Type="http://schemas.openxmlformats.org/officeDocument/2006/relationships/hyperlink" Target="http://www.saflii.org/za/legis/consol_act/pa19691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45%20AD%20420" TargetMode="External"/><Relationship Id="rId5" Type="http://schemas.openxmlformats.org/officeDocument/2006/relationships/webSettings" Target="webSettings.xml"/><Relationship Id="rId15" Type="http://schemas.openxmlformats.org/officeDocument/2006/relationships/hyperlink" Target="http://www.saflii.org/za/legis/consol_act/pa1969171/index.html" TargetMode="External"/><Relationship Id="rId10" Type="http://schemas.openxmlformats.org/officeDocument/2006/relationships/hyperlink" Target="https://www.saflii.org/cgi-bin/LawCite?cit=1972%20%283%29%20SA%208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lii.org/cgi-bin/LawCite?cit=1949%20%283%29%20SA%201155" TargetMode="External"/><Relationship Id="rId14" Type="http://schemas.openxmlformats.org/officeDocument/2006/relationships/hyperlink" Target="http://www.saflii.org/za/legis/consol_act/pa196917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2013%20%286%29%20SA%20130" TargetMode="External"/><Relationship Id="rId1" Type="http://schemas.openxmlformats.org/officeDocument/2006/relationships/hyperlink" Target="https://www.saflii.org/cgi-bin/LawCite?cit=2010%20%281%29%20SA%2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0F50-DD94-432E-BF10-97ED3317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drew</dc:creator>
  <cp:keywords/>
  <dc:description/>
  <cp:lastModifiedBy>Mary Bruce</cp:lastModifiedBy>
  <cp:revision>6</cp:revision>
  <cp:lastPrinted>2024-02-13T10:14:00Z</cp:lastPrinted>
  <dcterms:created xsi:type="dcterms:W3CDTF">2024-02-14T09:44:00Z</dcterms:created>
  <dcterms:modified xsi:type="dcterms:W3CDTF">2024-02-15T10:07:00Z</dcterms:modified>
</cp:coreProperties>
</file>