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13673C" w14:textId="578B37B4" w:rsidR="00DB2A5E" w:rsidRPr="00211832" w:rsidRDefault="00CE11B3">
      <w:pPr>
        <w:spacing w:after="0" w:line="360" w:lineRule="auto"/>
        <w:jc w:val="center"/>
        <w:rPr>
          <w:rFonts w:ascii="Arial" w:hAnsi="Arial" w:cs="Arial"/>
          <w:b/>
          <w:sz w:val="24"/>
          <w:szCs w:val="24"/>
        </w:rPr>
      </w:pPr>
      <w:r>
        <w:rPr>
          <w:rFonts w:ascii="Arial" w:hAnsi="Arial" w:cs="Arial"/>
          <w:b/>
          <w:sz w:val="24"/>
          <w:szCs w:val="24"/>
        </w:rPr>
        <w:t xml:space="preserve"> </w:t>
      </w:r>
      <w:r w:rsidR="00DB2A5E" w:rsidRPr="00211832">
        <w:rPr>
          <w:rFonts w:ascii="Arial" w:hAnsi="Arial" w:cs="Arial"/>
          <w:noProof/>
          <w:sz w:val="24"/>
          <w:szCs w:val="24"/>
          <w:lang w:eastAsia="en-ZA"/>
        </w:rPr>
        <w:drawing>
          <wp:inline distT="0" distB="0" distL="0" distR="0" wp14:anchorId="098E0B74" wp14:editId="53D806B5">
            <wp:extent cx="1194816" cy="105406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4306" cy="1062436"/>
                    </a:xfrm>
                    <a:prstGeom prst="rect">
                      <a:avLst/>
                    </a:prstGeom>
                    <a:noFill/>
                  </pic:spPr>
                </pic:pic>
              </a:graphicData>
            </a:graphic>
          </wp:inline>
        </w:drawing>
      </w:r>
    </w:p>
    <w:p w14:paraId="2D6C2EC8" w14:textId="77777777" w:rsidR="0095744A" w:rsidRPr="00270C08" w:rsidRDefault="0095744A">
      <w:pPr>
        <w:spacing w:after="0" w:line="360" w:lineRule="auto"/>
        <w:jc w:val="center"/>
        <w:rPr>
          <w:rFonts w:ascii="Arial" w:hAnsi="Arial" w:cs="Arial"/>
          <w:b/>
          <w:sz w:val="24"/>
          <w:szCs w:val="24"/>
        </w:rPr>
      </w:pPr>
      <w:r w:rsidRPr="00270C08">
        <w:rPr>
          <w:rFonts w:ascii="Arial" w:hAnsi="Arial" w:cs="Arial"/>
          <w:b/>
          <w:sz w:val="24"/>
          <w:szCs w:val="24"/>
        </w:rPr>
        <w:t>IN THE HIGH COURT OF SOUTH AFRICA</w:t>
      </w:r>
    </w:p>
    <w:p w14:paraId="2A4B7B29" w14:textId="23EB597F" w:rsidR="0095744A" w:rsidRPr="00270C08" w:rsidRDefault="0095744A">
      <w:pPr>
        <w:spacing w:after="0" w:line="360" w:lineRule="auto"/>
        <w:jc w:val="center"/>
        <w:rPr>
          <w:rFonts w:ascii="Arial" w:hAnsi="Arial" w:cs="Arial"/>
          <w:b/>
          <w:sz w:val="24"/>
          <w:szCs w:val="24"/>
        </w:rPr>
      </w:pPr>
      <w:r w:rsidRPr="00270C08">
        <w:rPr>
          <w:rFonts w:ascii="Arial" w:hAnsi="Arial" w:cs="Arial"/>
          <w:b/>
          <w:sz w:val="24"/>
          <w:szCs w:val="24"/>
        </w:rPr>
        <w:t>(EASTERN CAPE DIVISION, M</w:t>
      </w:r>
      <w:r w:rsidR="004A0823">
        <w:rPr>
          <w:rFonts w:ascii="Arial" w:hAnsi="Arial" w:cs="Arial"/>
          <w:b/>
          <w:sz w:val="24"/>
          <w:szCs w:val="24"/>
        </w:rPr>
        <w:t>AKHANDA</w:t>
      </w:r>
      <w:r w:rsidRPr="00270C08">
        <w:rPr>
          <w:rFonts w:ascii="Arial" w:hAnsi="Arial" w:cs="Arial"/>
          <w:b/>
          <w:sz w:val="24"/>
          <w:szCs w:val="24"/>
        </w:rPr>
        <w:t>)</w:t>
      </w:r>
    </w:p>
    <w:p w14:paraId="73B3DB0C" w14:textId="2B4B9997" w:rsidR="00AA033B" w:rsidRPr="00270C08" w:rsidRDefault="005F54DB" w:rsidP="00DE08B0">
      <w:pPr>
        <w:spacing w:after="0" w:line="360" w:lineRule="auto"/>
        <w:jc w:val="right"/>
        <w:rPr>
          <w:rFonts w:ascii="Arial" w:hAnsi="Arial" w:cs="Arial"/>
          <w:sz w:val="24"/>
          <w:szCs w:val="24"/>
        </w:rPr>
      </w:pPr>
      <w:r w:rsidRPr="00270C08">
        <w:rPr>
          <w:rFonts w:ascii="Arial" w:hAnsi="Arial" w:cs="Arial"/>
          <w:sz w:val="24"/>
          <w:szCs w:val="24"/>
        </w:rPr>
        <w:t xml:space="preserve">      </w:t>
      </w:r>
      <w:r w:rsidR="0059296C">
        <w:rPr>
          <w:rFonts w:ascii="Arial" w:hAnsi="Arial" w:cs="Arial"/>
          <w:sz w:val="24"/>
          <w:szCs w:val="24"/>
        </w:rPr>
        <w:t xml:space="preserve">Not </w:t>
      </w:r>
      <w:r w:rsidR="0095744A" w:rsidRPr="00270C08">
        <w:rPr>
          <w:rFonts w:ascii="Arial" w:hAnsi="Arial" w:cs="Arial"/>
          <w:sz w:val="24"/>
          <w:szCs w:val="24"/>
        </w:rPr>
        <w:t>Reportable</w:t>
      </w:r>
    </w:p>
    <w:p w14:paraId="1F9D34A4" w14:textId="027A39EC" w:rsidR="00E62502" w:rsidRPr="00270C08" w:rsidRDefault="00211832" w:rsidP="00824F76">
      <w:pPr>
        <w:tabs>
          <w:tab w:val="left" w:pos="6096"/>
        </w:tabs>
        <w:spacing w:after="0" w:line="360" w:lineRule="auto"/>
        <w:jc w:val="both"/>
        <w:rPr>
          <w:rFonts w:ascii="Arial" w:hAnsi="Arial" w:cs="Arial"/>
          <w:sz w:val="24"/>
          <w:szCs w:val="24"/>
        </w:rPr>
      </w:pPr>
      <w:r>
        <w:rPr>
          <w:rFonts w:ascii="Arial" w:hAnsi="Arial" w:cs="Arial"/>
          <w:sz w:val="24"/>
          <w:szCs w:val="24"/>
        </w:rPr>
        <w:t xml:space="preserve">                                                                                                    </w:t>
      </w:r>
      <w:r w:rsidR="00D31321" w:rsidRPr="00270C08">
        <w:rPr>
          <w:rFonts w:ascii="Arial" w:hAnsi="Arial" w:cs="Arial"/>
          <w:sz w:val="24"/>
          <w:szCs w:val="24"/>
        </w:rPr>
        <w:t>C</w:t>
      </w:r>
      <w:r w:rsidR="0095744A" w:rsidRPr="00270C08">
        <w:rPr>
          <w:rFonts w:ascii="Arial" w:hAnsi="Arial" w:cs="Arial"/>
          <w:sz w:val="24"/>
          <w:szCs w:val="24"/>
        </w:rPr>
        <w:t>ase</w:t>
      </w:r>
      <w:r w:rsidR="00D31321" w:rsidRPr="00270C08">
        <w:rPr>
          <w:rFonts w:ascii="Arial" w:hAnsi="Arial" w:cs="Arial"/>
          <w:sz w:val="24"/>
          <w:szCs w:val="24"/>
        </w:rPr>
        <w:t xml:space="preserve"> </w:t>
      </w:r>
      <w:r w:rsidR="0095744A" w:rsidRPr="00270C08">
        <w:rPr>
          <w:rFonts w:ascii="Arial" w:hAnsi="Arial" w:cs="Arial"/>
          <w:sz w:val="24"/>
          <w:szCs w:val="24"/>
        </w:rPr>
        <w:t>no</w:t>
      </w:r>
      <w:r w:rsidR="00D31321" w:rsidRPr="00270C08">
        <w:rPr>
          <w:rFonts w:ascii="Arial" w:hAnsi="Arial" w:cs="Arial"/>
          <w:sz w:val="24"/>
          <w:szCs w:val="24"/>
        </w:rPr>
        <w:t>:</w:t>
      </w:r>
      <w:r w:rsidR="00E61F31" w:rsidRPr="00270C08">
        <w:rPr>
          <w:rFonts w:ascii="Arial" w:hAnsi="Arial" w:cs="Arial"/>
          <w:sz w:val="24"/>
          <w:szCs w:val="24"/>
        </w:rPr>
        <w:t xml:space="preserve"> CA155/2023</w:t>
      </w:r>
    </w:p>
    <w:p w14:paraId="2BC3D0FA" w14:textId="21489F55" w:rsidR="00D31321" w:rsidRPr="00270C08" w:rsidRDefault="00824F76" w:rsidP="00270C08">
      <w:pPr>
        <w:tabs>
          <w:tab w:val="left" w:pos="6096"/>
        </w:tabs>
        <w:spacing w:after="0" w:line="360" w:lineRule="auto"/>
        <w:ind w:left="5040" w:firstLine="720"/>
        <w:jc w:val="both"/>
        <w:rPr>
          <w:rFonts w:ascii="Arial" w:hAnsi="Arial" w:cs="Arial"/>
          <w:sz w:val="24"/>
          <w:szCs w:val="24"/>
        </w:rPr>
      </w:pPr>
      <w:r w:rsidRPr="00270C08">
        <w:rPr>
          <w:rFonts w:ascii="Arial" w:hAnsi="Arial" w:cs="Arial"/>
          <w:sz w:val="24"/>
          <w:szCs w:val="24"/>
        </w:rPr>
        <w:tab/>
      </w:r>
      <w:r w:rsidR="00D31321" w:rsidRPr="00270C08">
        <w:rPr>
          <w:rFonts w:ascii="Arial" w:hAnsi="Arial" w:cs="Arial"/>
          <w:sz w:val="24"/>
          <w:szCs w:val="24"/>
        </w:rPr>
        <w:t xml:space="preserve"> </w:t>
      </w:r>
    </w:p>
    <w:p w14:paraId="1234C4F0" w14:textId="77777777" w:rsidR="00D31321" w:rsidRPr="00270C08" w:rsidRDefault="00D31321" w:rsidP="00DE08B0">
      <w:pPr>
        <w:spacing w:after="0" w:line="360" w:lineRule="auto"/>
        <w:jc w:val="both"/>
        <w:rPr>
          <w:rFonts w:ascii="Arial" w:hAnsi="Arial" w:cs="Arial"/>
          <w:sz w:val="24"/>
          <w:szCs w:val="24"/>
        </w:rPr>
      </w:pPr>
      <w:r w:rsidRPr="00270C08">
        <w:rPr>
          <w:rFonts w:ascii="Arial" w:hAnsi="Arial" w:cs="Arial"/>
          <w:sz w:val="24"/>
          <w:szCs w:val="24"/>
        </w:rPr>
        <w:t>In the matter between:</w:t>
      </w:r>
    </w:p>
    <w:p w14:paraId="0D73F4EC" w14:textId="77777777" w:rsidR="00D31321" w:rsidRPr="00270C08" w:rsidRDefault="00D31321" w:rsidP="00DE08B0">
      <w:pPr>
        <w:spacing w:after="0" w:line="360" w:lineRule="auto"/>
        <w:jc w:val="both"/>
        <w:rPr>
          <w:rFonts w:ascii="Arial" w:hAnsi="Arial" w:cs="Arial"/>
          <w:sz w:val="24"/>
          <w:szCs w:val="24"/>
        </w:rPr>
      </w:pPr>
    </w:p>
    <w:p w14:paraId="3487AB05" w14:textId="4EC8A21D" w:rsidR="00D31321" w:rsidRPr="00270C08" w:rsidRDefault="00E61F31" w:rsidP="00DE08B0">
      <w:pPr>
        <w:spacing w:after="0" w:line="360" w:lineRule="auto"/>
        <w:jc w:val="both"/>
        <w:rPr>
          <w:rFonts w:ascii="Arial" w:hAnsi="Arial" w:cs="Arial"/>
          <w:b/>
          <w:sz w:val="24"/>
          <w:szCs w:val="24"/>
        </w:rPr>
      </w:pPr>
      <w:r w:rsidRPr="00270C08">
        <w:rPr>
          <w:rFonts w:ascii="Arial" w:hAnsi="Arial" w:cs="Arial"/>
          <w:b/>
          <w:sz w:val="24"/>
          <w:szCs w:val="24"/>
        </w:rPr>
        <w:t>THE MINISTER OF POLICE</w:t>
      </w:r>
      <w:r w:rsidRPr="00270C08">
        <w:rPr>
          <w:rFonts w:ascii="Arial" w:hAnsi="Arial" w:cs="Arial"/>
          <w:b/>
          <w:sz w:val="24"/>
          <w:szCs w:val="24"/>
        </w:rPr>
        <w:tab/>
      </w:r>
      <w:r w:rsidR="00CC0831" w:rsidRPr="004807CD">
        <w:rPr>
          <w:rFonts w:ascii="Arial" w:hAnsi="Arial" w:cs="Arial"/>
          <w:bCs/>
          <w:sz w:val="24"/>
          <w:szCs w:val="24"/>
        </w:rPr>
        <w:t xml:space="preserve">     </w:t>
      </w:r>
      <w:r w:rsidR="005C11D6" w:rsidRPr="004807CD">
        <w:rPr>
          <w:rFonts w:ascii="Arial" w:hAnsi="Arial" w:cs="Arial"/>
          <w:bCs/>
          <w:sz w:val="24"/>
          <w:szCs w:val="24"/>
        </w:rPr>
        <w:t xml:space="preserve">               </w:t>
      </w:r>
      <w:r w:rsidR="00211832" w:rsidRPr="004807CD">
        <w:rPr>
          <w:rFonts w:ascii="Arial" w:hAnsi="Arial" w:cs="Arial"/>
          <w:bCs/>
          <w:sz w:val="24"/>
          <w:szCs w:val="24"/>
        </w:rPr>
        <w:t xml:space="preserve">                                      </w:t>
      </w:r>
      <w:r w:rsidR="00F635CD">
        <w:rPr>
          <w:rFonts w:ascii="Arial" w:hAnsi="Arial" w:cs="Arial"/>
          <w:bCs/>
          <w:sz w:val="24"/>
          <w:szCs w:val="24"/>
        </w:rPr>
        <w:tab/>
      </w:r>
      <w:r w:rsidR="00211832" w:rsidRPr="004807CD">
        <w:rPr>
          <w:rFonts w:ascii="Arial" w:hAnsi="Arial" w:cs="Arial"/>
          <w:bCs/>
          <w:sz w:val="24"/>
          <w:szCs w:val="24"/>
        </w:rPr>
        <w:t xml:space="preserve"> </w:t>
      </w:r>
      <w:r w:rsidR="00CC0831" w:rsidRPr="004807CD">
        <w:rPr>
          <w:rFonts w:ascii="Arial" w:hAnsi="Arial" w:cs="Arial"/>
          <w:bCs/>
          <w:sz w:val="24"/>
          <w:szCs w:val="24"/>
        </w:rPr>
        <w:t>A</w:t>
      </w:r>
      <w:r w:rsidR="004807CD" w:rsidRPr="004807CD">
        <w:rPr>
          <w:rFonts w:ascii="Arial" w:hAnsi="Arial" w:cs="Arial"/>
          <w:bCs/>
          <w:sz w:val="24"/>
          <w:szCs w:val="24"/>
        </w:rPr>
        <w:t>ppellant</w:t>
      </w:r>
      <w:r w:rsidR="00212D87" w:rsidRPr="00270C08">
        <w:rPr>
          <w:rFonts w:ascii="Arial" w:hAnsi="Arial" w:cs="Arial"/>
          <w:b/>
          <w:sz w:val="24"/>
          <w:szCs w:val="24"/>
        </w:rPr>
        <w:tab/>
      </w:r>
      <w:r w:rsidR="00212D87" w:rsidRPr="00270C08">
        <w:rPr>
          <w:rFonts w:ascii="Arial" w:hAnsi="Arial" w:cs="Arial"/>
          <w:b/>
          <w:sz w:val="24"/>
          <w:szCs w:val="24"/>
        </w:rPr>
        <w:tab/>
      </w:r>
      <w:r w:rsidR="00212D87" w:rsidRPr="00270C08">
        <w:rPr>
          <w:rFonts w:ascii="Arial" w:hAnsi="Arial" w:cs="Arial"/>
          <w:b/>
          <w:sz w:val="24"/>
          <w:szCs w:val="24"/>
        </w:rPr>
        <w:tab/>
      </w:r>
      <w:r w:rsidR="00212D87" w:rsidRPr="00270C08">
        <w:rPr>
          <w:rFonts w:ascii="Arial" w:hAnsi="Arial" w:cs="Arial"/>
          <w:b/>
          <w:sz w:val="24"/>
          <w:szCs w:val="24"/>
        </w:rPr>
        <w:tab/>
      </w:r>
      <w:r w:rsidR="00212D87" w:rsidRPr="00270C08">
        <w:rPr>
          <w:rFonts w:ascii="Arial" w:hAnsi="Arial" w:cs="Arial"/>
          <w:b/>
          <w:sz w:val="24"/>
          <w:szCs w:val="24"/>
        </w:rPr>
        <w:tab/>
      </w:r>
      <w:r w:rsidR="00212D87" w:rsidRPr="00270C08">
        <w:rPr>
          <w:rFonts w:ascii="Arial" w:hAnsi="Arial" w:cs="Arial"/>
          <w:b/>
          <w:sz w:val="24"/>
          <w:szCs w:val="24"/>
        </w:rPr>
        <w:tab/>
      </w:r>
      <w:r w:rsidR="00212D87" w:rsidRPr="00270C08">
        <w:rPr>
          <w:rFonts w:ascii="Arial" w:hAnsi="Arial" w:cs="Arial"/>
          <w:b/>
          <w:sz w:val="24"/>
          <w:szCs w:val="24"/>
        </w:rPr>
        <w:tab/>
      </w:r>
    </w:p>
    <w:p w14:paraId="710C7124" w14:textId="77777777" w:rsidR="00D31321" w:rsidRPr="00270C08" w:rsidRDefault="00D31321" w:rsidP="00DE08B0">
      <w:pPr>
        <w:spacing w:after="0" w:line="360" w:lineRule="auto"/>
        <w:jc w:val="both"/>
        <w:rPr>
          <w:rFonts w:ascii="Arial" w:hAnsi="Arial" w:cs="Arial"/>
          <w:sz w:val="24"/>
          <w:szCs w:val="24"/>
        </w:rPr>
      </w:pPr>
      <w:r w:rsidRPr="00270C08">
        <w:rPr>
          <w:rFonts w:ascii="Arial" w:hAnsi="Arial" w:cs="Arial"/>
          <w:sz w:val="24"/>
          <w:szCs w:val="24"/>
        </w:rPr>
        <w:t>and</w:t>
      </w:r>
    </w:p>
    <w:p w14:paraId="055D5A15" w14:textId="46A575E8" w:rsidR="00D31321" w:rsidRPr="00270C08" w:rsidRDefault="00D31321" w:rsidP="00DE08B0">
      <w:pPr>
        <w:spacing w:after="0" w:line="360" w:lineRule="auto"/>
        <w:jc w:val="both"/>
        <w:rPr>
          <w:rFonts w:ascii="Arial" w:hAnsi="Arial" w:cs="Arial"/>
          <w:sz w:val="24"/>
          <w:szCs w:val="24"/>
        </w:rPr>
      </w:pPr>
    </w:p>
    <w:p w14:paraId="69558F99" w14:textId="710AA23F" w:rsidR="00EA5735" w:rsidRPr="00270C08" w:rsidRDefault="00E61F31" w:rsidP="00F635CD">
      <w:pPr>
        <w:spacing w:after="0" w:line="480" w:lineRule="auto"/>
        <w:jc w:val="both"/>
        <w:rPr>
          <w:rFonts w:ascii="Arial" w:hAnsi="Arial" w:cs="Arial"/>
          <w:b/>
          <w:sz w:val="24"/>
          <w:szCs w:val="24"/>
        </w:rPr>
      </w:pPr>
      <w:r w:rsidRPr="00270C08">
        <w:rPr>
          <w:rFonts w:ascii="Arial" w:hAnsi="Arial" w:cs="Arial"/>
          <w:b/>
          <w:sz w:val="24"/>
          <w:szCs w:val="24"/>
        </w:rPr>
        <w:t>LUVUYO DERRICK XOPO</w:t>
      </w:r>
      <w:r w:rsidRPr="00270C08">
        <w:rPr>
          <w:rFonts w:ascii="Arial" w:hAnsi="Arial" w:cs="Arial"/>
          <w:b/>
          <w:sz w:val="24"/>
          <w:szCs w:val="24"/>
        </w:rPr>
        <w:tab/>
      </w:r>
      <w:r w:rsidR="00CC0831" w:rsidRPr="00270C08">
        <w:rPr>
          <w:rFonts w:ascii="Arial" w:hAnsi="Arial" w:cs="Arial"/>
          <w:b/>
          <w:sz w:val="24"/>
          <w:szCs w:val="24"/>
        </w:rPr>
        <w:t xml:space="preserve"> </w:t>
      </w:r>
      <w:r w:rsidR="005C11D6" w:rsidRPr="00270C08">
        <w:rPr>
          <w:rFonts w:ascii="Arial" w:hAnsi="Arial" w:cs="Arial"/>
          <w:b/>
          <w:sz w:val="24"/>
          <w:szCs w:val="24"/>
        </w:rPr>
        <w:t xml:space="preserve">               </w:t>
      </w:r>
      <w:r w:rsidR="00211832">
        <w:rPr>
          <w:rFonts w:ascii="Arial" w:hAnsi="Arial" w:cs="Arial"/>
          <w:b/>
          <w:sz w:val="24"/>
          <w:szCs w:val="24"/>
        </w:rPr>
        <w:t xml:space="preserve">                     </w:t>
      </w:r>
      <w:r w:rsidR="00F635CD">
        <w:rPr>
          <w:rFonts w:ascii="Arial" w:hAnsi="Arial" w:cs="Arial"/>
          <w:b/>
          <w:sz w:val="24"/>
          <w:szCs w:val="24"/>
        </w:rPr>
        <w:tab/>
      </w:r>
      <w:r w:rsidR="00F635CD">
        <w:rPr>
          <w:rFonts w:ascii="Arial" w:hAnsi="Arial" w:cs="Arial"/>
          <w:b/>
          <w:sz w:val="24"/>
          <w:szCs w:val="24"/>
        </w:rPr>
        <w:tab/>
      </w:r>
      <w:r w:rsidR="00CC0831" w:rsidRPr="004807CD">
        <w:rPr>
          <w:rFonts w:ascii="Arial" w:hAnsi="Arial" w:cs="Arial"/>
          <w:bCs/>
          <w:sz w:val="24"/>
          <w:szCs w:val="24"/>
        </w:rPr>
        <w:t>F</w:t>
      </w:r>
      <w:r w:rsidR="004807CD" w:rsidRPr="004807CD">
        <w:rPr>
          <w:rFonts w:ascii="Arial" w:hAnsi="Arial" w:cs="Arial"/>
          <w:bCs/>
          <w:sz w:val="24"/>
          <w:szCs w:val="24"/>
        </w:rPr>
        <w:t xml:space="preserve">irst </w:t>
      </w:r>
      <w:r w:rsidR="00E02AE5">
        <w:rPr>
          <w:rFonts w:ascii="Arial" w:hAnsi="Arial" w:cs="Arial"/>
          <w:bCs/>
          <w:sz w:val="24"/>
          <w:szCs w:val="24"/>
        </w:rPr>
        <w:t>R</w:t>
      </w:r>
      <w:r w:rsidR="004807CD" w:rsidRPr="004807CD">
        <w:rPr>
          <w:rFonts w:ascii="Arial" w:hAnsi="Arial" w:cs="Arial"/>
          <w:bCs/>
          <w:sz w:val="24"/>
          <w:szCs w:val="24"/>
        </w:rPr>
        <w:t>espondent</w:t>
      </w:r>
    </w:p>
    <w:p w14:paraId="640E09D6" w14:textId="7FBA5FEE" w:rsidR="00E61F31" w:rsidRPr="00270C08" w:rsidRDefault="00CC0831" w:rsidP="00F635CD">
      <w:pPr>
        <w:spacing w:after="0" w:line="480" w:lineRule="auto"/>
        <w:jc w:val="both"/>
        <w:rPr>
          <w:rFonts w:ascii="Arial" w:hAnsi="Arial" w:cs="Arial"/>
          <w:b/>
          <w:sz w:val="24"/>
          <w:szCs w:val="24"/>
        </w:rPr>
      </w:pPr>
      <w:r w:rsidRPr="00270C08">
        <w:rPr>
          <w:rFonts w:ascii="Arial" w:hAnsi="Arial" w:cs="Arial"/>
          <w:b/>
          <w:sz w:val="24"/>
          <w:szCs w:val="24"/>
        </w:rPr>
        <w:t>THOKOZILE NG</w:t>
      </w:r>
      <w:r w:rsidR="00033562" w:rsidRPr="00270C08">
        <w:rPr>
          <w:rFonts w:ascii="Arial" w:hAnsi="Arial" w:cs="Arial"/>
          <w:b/>
          <w:sz w:val="24"/>
          <w:szCs w:val="24"/>
        </w:rPr>
        <w:t>Q</w:t>
      </w:r>
      <w:r w:rsidRPr="00270C08">
        <w:rPr>
          <w:rFonts w:ascii="Arial" w:hAnsi="Arial" w:cs="Arial"/>
          <w:b/>
          <w:sz w:val="24"/>
          <w:szCs w:val="24"/>
        </w:rPr>
        <w:t>EKAZI</w:t>
      </w:r>
      <w:r w:rsidRPr="00270C08">
        <w:rPr>
          <w:rFonts w:ascii="Arial" w:hAnsi="Arial" w:cs="Arial"/>
          <w:b/>
          <w:sz w:val="24"/>
          <w:szCs w:val="24"/>
        </w:rPr>
        <w:tab/>
      </w:r>
      <w:r w:rsidRPr="00270C08">
        <w:rPr>
          <w:rFonts w:ascii="Arial" w:hAnsi="Arial" w:cs="Arial"/>
          <w:b/>
          <w:sz w:val="24"/>
          <w:szCs w:val="24"/>
        </w:rPr>
        <w:tab/>
      </w:r>
      <w:r w:rsidRPr="00270C08">
        <w:rPr>
          <w:rFonts w:ascii="Arial" w:hAnsi="Arial" w:cs="Arial"/>
          <w:b/>
          <w:sz w:val="24"/>
          <w:szCs w:val="24"/>
        </w:rPr>
        <w:tab/>
      </w:r>
      <w:r w:rsidRPr="00270C08">
        <w:rPr>
          <w:rFonts w:ascii="Arial" w:hAnsi="Arial" w:cs="Arial"/>
          <w:b/>
          <w:sz w:val="24"/>
          <w:szCs w:val="24"/>
        </w:rPr>
        <w:tab/>
      </w:r>
      <w:r w:rsidRPr="00270C08">
        <w:rPr>
          <w:rFonts w:ascii="Arial" w:hAnsi="Arial" w:cs="Arial"/>
          <w:b/>
          <w:sz w:val="24"/>
          <w:szCs w:val="24"/>
        </w:rPr>
        <w:tab/>
        <w:t xml:space="preserve"> </w:t>
      </w:r>
      <w:r w:rsidR="00211832">
        <w:rPr>
          <w:rFonts w:ascii="Arial" w:hAnsi="Arial" w:cs="Arial"/>
          <w:b/>
          <w:sz w:val="24"/>
          <w:szCs w:val="24"/>
        </w:rPr>
        <w:t xml:space="preserve">     </w:t>
      </w:r>
      <w:r w:rsidR="00F635CD">
        <w:rPr>
          <w:rFonts w:ascii="Arial" w:hAnsi="Arial" w:cs="Arial"/>
          <w:b/>
          <w:sz w:val="24"/>
          <w:szCs w:val="24"/>
        </w:rPr>
        <w:tab/>
      </w:r>
      <w:r w:rsidR="00211832">
        <w:rPr>
          <w:rFonts w:ascii="Arial" w:hAnsi="Arial" w:cs="Arial"/>
          <w:b/>
          <w:sz w:val="24"/>
          <w:szCs w:val="24"/>
        </w:rPr>
        <w:t xml:space="preserve"> </w:t>
      </w:r>
      <w:r w:rsidR="00F635CD">
        <w:rPr>
          <w:rFonts w:ascii="Arial" w:hAnsi="Arial" w:cs="Arial"/>
          <w:b/>
          <w:sz w:val="24"/>
          <w:szCs w:val="24"/>
        </w:rPr>
        <w:t xml:space="preserve">    </w:t>
      </w:r>
      <w:r w:rsidR="004807CD" w:rsidRPr="004807CD">
        <w:rPr>
          <w:rFonts w:ascii="Arial" w:hAnsi="Arial" w:cs="Arial"/>
          <w:bCs/>
          <w:sz w:val="24"/>
          <w:szCs w:val="24"/>
        </w:rPr>
        <w:t xml:space="preserve">Second </w:t>
      </w:r>
      <w:r w:rsidR="00E02AE5">
        <w:rPr>
          <w:rFonts w:ascii="Arial" w:hAnsi="Arial" w:cs="Arial"/>
          <w:bCs/>
          <w:sz w:val="24"/>
          <w:szCs w:val="24"/>
        </w:rPr>
        <w:t>R</w:t>
      </w:r>
      <w:r w:rsidR="004807CD" w:rsidRPr="004807CD">
        <w:rPr>
          <w:rFonts w:ascii="Arial" w:hAnsi="Arial" w:cs="Arial"/>
          <w:bCs/>
          <w:sz w:val="24"/>
          <w:szCs w:val="24"/>
        </w:rPr>
        <w:t>espondent</w:t>
      </w:r>
    </w:p>
    <w:p w14:paraId="6CCBB6DA" w14:textId="4B9BD129" w:rsidR="005F54DB" w:rsidRPr="00211832" w:rsidRDefault="005F54DB" w:rsidP="00DE08B0">
      <w:pPr>
        <w:spacing w:after="0" w:line="360" w:lineRule="auto"/>
        <w:jc w:val="both"/>
        <w:rPr>
          <w:rFonts w:ascii="Arial" w:hAnsi="Arial" w:cs="Arial"/>
          <w:sz w:val="24"/>
          <w:szCs w:val="24"/>
        </w:rPr>
      </w:pPr>
    </w:p>
    <w:p w14:paraId="1272D4B9" w14:textId="7A88CA74" w:rsidR="00D31321" w:rsidRPr="00211832" w:rsidRDefault="00D31321" w:rsidP="00DE08B0">
      <w:pPr>
        <w:spacing w:after="0" w:line="360" w:lineRule="auto"/>
        <w:jc w:val="both"/>
        <w:rPr>
          <w:rFonts w:ascii="Arial" w:hAnsi="Arial" w:cs="Arial"/>
          <w:sz w:val="24"/>
          <w:szCs w:val="24"/>
        </w:rPr>
      </w:pPr>
      <w:r w:rsidRPr="00211832">
        <w:rPr>
          <w:rFonts w:ascii="Arial" w:hAnsi="Arial" w:cs="Arial"/>
          <w:sz w:val="24"/>
          <w:szCs w:val="24"/>
        </w:rPr>
        <w:t>___________________________________________________________________</w:t>
      </w:r>
    </w:p>
    <w:p w14:paraId="5A578583" w14:textId="77777777" w:rsidR="00675FE1" w:rsidRPr="00211832" w:rsidRDefault="00675FE1" w:rsidP="00DE08B0">
      <w:pPr>
        <w:spacing w:after="0" w:line="360" w:lineRule="auto"/>
        <w:jc w:val="center"/>
        <w:rPr>
          <w:rFonts w:ascii="Arial" w:hAnsi="Arial" w:cs="Arial"/>
          <w:b/>
          <w:sz w:val="24"/>
          <w:szCs w:val="24"/>
        </w:rPr>
      </w:pPr>
    </w:p>
    <w:p w14:paraId="6AA9D74B" w14:textId="77777777" w:rsidR="00D31321" w:rsidRPr="00270C08" w:rsidRDefault="00D31321" w:rsidP="00DE08B0">
      <w:pPr>
        <w:spacing w:after="0" w:line="360" w:lineRule="auto"/>
        <w:jc w:val="center"/>
        <w:rPr>
          <w:rFonts w:ascii="Arial" w:hAnsi="Arial" w:cs="Arial"/>
          <w:b/>
          <w:sz w:val="24"/>
          <w:szCs w:val="24"/>
        </w:rPr>
      </w:pPr>
      <w:r w:rsidRPr="00270C08">
        <w:rPr>
          <w:rFonts w:ascii="Arial" w:hAnsi="Arial" w:cs="Arial"/>
          <w:b/>
          <w:sz w:val="24"/>
          <w:szCs w:val="24"/>
        </w:rPr>
        <w:t>JUDGMENT</w:t>
      </w:r>
    </w:p>
    <w:p w14:paraId="10B536E2" w14:textId="77777777" w:rsidR="00D31321" w:rsidRPr="00211832" w:rsidRDefault="00D31321" w:rsidP="00DE08B0">
      <w:pPr>
        <w:spacing w:after="0" w:line="360" w:lineRule="auto"/>
        <w:jc w:val="both"/>
        <w:rPr>
          <w:rFonts w:ascii="Arial" w:hAnsi="Arial" w:cs="Arial"/>
          <w:sz w:val="24"/>
          <w:szCs w:val="24"/>
        </w:rPr>
      </w:pPr>
      <w:r w:rsidRPr="00211832">
        <w:rPr>
          <w:rFonts w:ascii="Arial" w:hAnsi="Arial" w:cs="Arial"/>
          <w:sz w:val="24"/>
          <w:szCs w:val="24"/>
        </w:rPr>
        <w:t>___________________________________________________________________</w:t>
      </w:r>
    </w:p>
    <w:p w14:paraId="13073F64" w14:textId="77777777" w:rsidR="0039306E" w:rsidRPr="00270C08" w:rsidRDefault="002070EC" w:rsidP="000353AE">
      <w:pPr>
        <w:spacing w:after="240" w:line="360" w:lineRule="auto"/>
        <w:jc w:val="both"/>
        <w:rPr>
          <w:rFonts w:ascii="Arial" w:hAnsi="Arial" w:cs="Arial"/>
          <w:b/>
          <w:sz w:val="24"/>
          <w:szCs w:val="24"/>
        </w:rPr>
      </w:pPr>
      <w:r w:rsidRPr="00270C08">
        <w:rPr>
          <w:rFonts w:ascii="Arial" w:hAnsi="Arial" w:cs="Arial"/>
          <w:b/>
          <w:sz w:val="24"/>
          <w:szCs w:val="24"/>
        </w:rPr>
        <w:t>N</w:t>
      </w:r>
      <w:r w:rsidR="00352894" w:rsidRPr="00270C08">
        <w:rPr>
          <w:rFonts w:ascii="Arial" w:hAnsi="Arial" w:cs="Arial"/>
          <w:b/>
          <w:sz w:val="24"/>
          <w:szCs w:val="24"/>
        </w:rPr>
        <w:t>otyesi</w:t>
      </w:r>
      <w:r w:rsidRPr="00270C08">
        <w:rPr>
          <w:rFonts w:ascii="Arial" w:hAnsi="Arial" w:cs="Arial"/>
          <w:b/>
          <w:sz w:val="24"/>
          <w:szCs w:val="24"/>
        </w:rPr>
        <w:t xml:space="preserve"> AJ</w:t>
      </w:r>
    </w:p>
    <w:p w14:paraId="5C0E7301" w14:textId="0D844543" w:rsidR="0039306E" w:rsidRPr="00270C08" w:rsidRDefault="000353AE" w:rsidP="000353AE">
      <w:pPr>
        <w:spacing w:after="240" w:line="360" w:lineRule="auto"/>
        <w:jc w:val="both"/>
        <w:rPr>
          <w:rFonts w:ascii="Arial" w:hAnsi="Arial" w:cs="Arial"/>
          <w:b/>
          <w:sz w:val="24"/>
          <w:szCs w:val="24"/>
        </w:rPr>
      </w:pPr>
      <w:r w:rsidRPr="00270C08">
        <w:rPr>
          <w:rFonts w:ascii="Arial" w:hAnsi="Arial" w:cs="Arial"/>
          <w:b/>
          <w:sz w:val="24"/>
          <w:szCs w:val="24"/>
        </w:rPr>
        <w:t>I</w:t>
      </w:r>
      <w:r w:rsidR="00AA6BA8" w:rsidRPr="00270C08">
        <w:rPr>
          <w:rFonts w:ascii="Arial" w:hAnsi="Arial" w:cs="Arial"/>
          <w:b/>
          <w:sz w:val="24"/>
          <w:szCs w:val="24"/>
        </w:rPr>
        <w:t>ntroduction</w:t>
      </w:r>
    </w:p>
    <w:p w14:paraId="20683563" w14:textId="4D54277D" w:rsidR="00011625" w:rsidRPr="00270C08" w:rsidRDefault="00CA0C2E" w:rsidP="00CA0C2E">
      <w:pPr>
        <w:spacing w:after="0" w:line="360" w:lineRule="auto"/>
        <w:jc w:val="both"/>
        <w:rPr>
          <w:rFonts w:ascii="Arial" w:hAnsi="Arial" w:cs="Arial"/>
          <w:sz w:val="24"/>
          <w:szCs w:val="24"/>
        </w:rPr>
      </w:pPr>
      <w:r w:rsidRPr="00270C08">
        <w:rPr>
          <w:rFonts w:ascii="Arial" w:hAnsi="Arial" w:cs="Arial"/>
          <w:sz w:val="24"/>
          <w:szCs w:val="24"/>
        </w:rPr>
        <w:t>[1]</w:t>
      </w:r>
      <w:r w:rsidRPr="00270C08">
        <w:rPr>
          <w:rFonts w:ascii="Arial" w:hAnsi="Arial" w:cs="Arial"/>
          <w:sz w:val="24"/>
          <w:szCs w:val="24"/>
        </w:rPr>
        <w:tab/>
      </w:r>
      <w:r w:rsidR="00824F76" w:rsidRPr="00270C08">
        <w:rPr>
          <w:rFonts w:ascii="Arial" w:hAnsi="Arial" w:cs="Arial"/>
          <w:sz w:val="24"/>
          <w:szCs w:val="24"/>
        </w:rPr>
        <w:t>T</w:t>
      </w:r>
      <w:r w:rsidR="00033562" w:rsidRPr="00270C08">
        <w:rPr>
          <w:rFonts w:ascii="Arial" w:hAnsi="Arial" w:cs="Arial"/>
          <w:sz w:val="24"/>
          <w:szCs w:val="24"/>
        </w:rPr>
        <w:t>he respondents</w:t>
      </w:r>
      <w:r w:rsidR="00824F76" w:rsidRPr="00270C08">
        <w:rPr>
          <w:rFonts w:ascii="Arial" w:hAnsi="Arial" w:cs="Arial"/>
          <w:sz w:val="24"/>
          <w:szCs w:val="24"/>
        </w:rPr>
        <w:t xml:space="preserve"> </w:t>
      </w:r>
      <w:r w:rsidR="00033562" w:rsidRPr="00270C08">
        <w:rPr>
          <w:rFonts w:ascii="Arial" w:hAnsi="Arial" w:cs="Arial"/>
          <w:sz w:val="24"/>
          <w:szCs w:val="24"/>
        </w:rPr>
        <w:t xml:space="preserve">sued the appellant for damages arising from their alleged unlawful arrest and detention (the detention having spanned from </w:t>
      </w:r>
      <w:r w:rsidR="00680E49">
        <w:rPr>
          <w:rFonts w:ascii="Arial" w:hAnsi="Arial" w:cs="Arial"/>
          <w:sz w:val="24"/>
          <w:szCs w:val="24"/>
        </w:rPr>
        <w:t>the early hours of 3</w:t>
      </w:r>
      <w:r w:rsidR="00033562" w:rsidRPr="00270C08">
        <w:rPr>
          <w:rFonts w:ascii="Arial" w:hAnsi="Arial" w:cs="Arial"/>
          <w:sz w:val="24"/>
          <w:szCs w:val="24"/>
        </w:rPr>
        <w:t xml:space="preserve"> July 2017 to 4 July 2017</w:t>
      </w:r>
      <w:r w:rsidR="00AA4B3E" w:rsidRPr="00270C08">
        <w:rPr>
          <w:rFonts w:ascii="Arial" w:hAnsi="Arial" w:cs="Arial"/>
          <w:sz w:val="24"/>
          <w:szCs w:val="24"/>
        </w:rPr>
        <w:t>)</w:t>
      </w:r>
      <w:r w:rsidR="00033562" w:rsidRPr="00270C08">
        <w:rPr>
          <w:rFonts w:ascii="Arial" w:hAnsi="Arial" w:cs="Arial"/>
          <w:sz w:val="24"/>
          <w:szCs w:val="24"/>
        </w:rPr>
        <w:t xml:space="preserve"> for the</w:t>
      </w:r>
      <w:r w:rsidR="00E66234" w:rsidRPr="00270C08">
        <w:rPr>
          <w:rFonts w:ascii="Arial" w:hAnsi="Arial" w:cs="Arial"/>
          <w:sz w:val="24"/>
          <w:szCs w:val="24"/>
        </w:rPr>
        <w:t xml:space="preserve"> respective amount</w:t>
      </w:r>
      <w:r w:rsidR="00EB6EB0" w:rsidRPr="00270C08">
        <w:rPr>
          <w:rFonts w:ascii="Arial" w:hAnsi="Arial" w:cs="Arial"/>
          <w:sz w:val="24"/>
          <w:szCs w:val="24"/>
        </w:rPr>
        <w:t>s</w:t>
      </w:r>
      <w:r w:rsidR="002F3751" w:rsidRPr="00270C08">
        <w:rPr>
          <w:rFonts w:ascii="Arial" w:hAnsi="Arial" w:cs="Arial"/>
          <w:sz w:val="24"/>
          <w:szCs w:val="24"/>
        </w:rPr>
        <w:t xml:space="preserve"> </w:t>
      </w:r>
      <w:r w:rsidR="00E66234" w:rsidRPr="00270C08">
        <w:rPr>
          <w:rFonts w:ascii="Arial" w:hAnsi="Arial" w:cs="Arial"/>
          <w:sz w:val="24"/>
          <w:szCs w:val="24"/>
        </w:rPr>
        <w:t>of R100 000 each</w:t>
      </w:r>
      <w:r w:rsidR="0098040C" w:rsidRPr="00270C08">
        <w:rPr>
          <w:rFonts w:ascii="Arial" w:hAnsi="Arial" w:cs="Arial"/>
          <w:sz w:val="24"/>
          <w:szCs w:val="24"/>
        </w:rPr>
        <w:t xml:space="preserve">. </w:t>
      </w:r>
      <w:r w:rsidR="00AA4B3E" w:rsidRPr="00270C08">
        <w:rPr>
          <w:rFonts w:ascii="Arial" w:hAnsi="Arial" w:cs="Arial"/>
          <w:sz w:val="24"/>
          <w:szCs w:val="24"/>
        </w:rPr>
        <w:t>Initially, there were two claims by</w:t>
      </w:r>
      <w:r w:rsidR="0059296C">
        <w:rPr>
          <w:rFonts w:ascii="Arial" w:hAnsi="Arial" w:cs="Arial"/>
          <w:sz w:val="24"/>
          <w:szCs w:val="24"/>
        </w:rPr>
        <w:t xml:space="preserve"> the second</w:t>
      </w:r>
      <w:r w:rsidR="00AA4B3E" w:rsidRPr="00270C08">
        <w:rPr>
          <w:rFonts w:ascii="Arial" w:hAnsi="Arial" w:cs="Arial"/>
          <w:sz w:val="24"/>
          <w:szCs w:val="24"/>
        </w:rPr>
        <w:t xml:space="preserve"> respondent</w:t>
      </w:r>
      <w:r w:rsidR="003D499D">
        <w:rPr>
          <w:rFonts w:ascii="Arial" w:hAnsi="Arial" w:cs="Arial"/>
          <w:sz w:val="24"/>
          <w:szCs w:val="24"/>
        </w:rPr>
        <w:t xml:space="preserve">, </w:t>
      </w:r>
      <w:r w:rsidR="00AA4B3E" w:rsidRPr="00270C08">
        <w:rPr>
          <w:rFonts w:ascii="Arial" w:hAnsi="Arial" w:cs="Arial"/>
          <w:sz w:val="24"/>
          <w:szCs w:val="24"/>
        </w:rPr>
        <w:t>claim</w:t>
      </w:r>
      <w:r w:rsidR="00925B53">
        <w:rPr>
          <w:rFonts w:ascii="Arial" w:hAnsi="Arial" w:cs="Arial"/>
          <w:sz w:val="24"/>
          <w:szCs w:val="24"/>
        </w:rPr>
        <w:t xml:space="preserve"> one</w:t>
      </w:r>
      <w:r w:rsidR="00AA4B3E" w:rsidRPr="00270C08">
        <w:rPr>
          <w:rFonts w:ascii="Arial" w:hAnsi="Arial" w:cs="Arial"/>
          <w:sz w:val="24"/>
          <w:szCs w:val="24"/>
        </w:rPr>
        <w:t xml:space="preserve"> w</w:t>
      </w:r>
      <w:r w:rsidR="00925B53">
        <w:rPr>
          <w:rFonts w:ascii="Arial" w:hAnsi="Arial" w:cs="Arial"/>
          <w:sz w:val="24"/>
          <w:szCs w:val="24"/>
        </w:rPr>
        <w:t>as</w:t>
      </w:r>
      <w:r w:rsidR="00AA4B3E" w:rsidRPr="00270C08">
        <w:rPr>
          <w:rFonts w:ascii="Arial" w:hAnsi="Arial" w:cs="Arial"/>
          <w:sz w:val="24"/>
          <w:szCs w:val="24"/>
        </w:rPr>
        <w:t xml:space="preserve"> for unlawful arrest and detention and </w:t>
      </w:r>
      <w:r w:rsidR="00925B53">
        <w:rPr>
          <w:rFonts w:ascii="Arial" w:hAnsi="Arial" w:cs="Arial"/>
          <w:sz w:val="24"/>
          <w:szCs w:val="24"/>
        </w:rPr>
        <w:t xml:space="preserve">claim two was for </w:t>
      </w:r>
      <w:r w:rsidR="00AA4B3E" w:rsidRPr="00270C08">
        <w:rPr>
          <w:rFonts w:ascii="Arial" w:hAnsi="Arial" w:cs="Arial"/>
          <w:sz w:val="24"/>
          <w:szCs w:val="24"/>
        </w:rPr>
        <w:t xml:space="preserve">wrongful and unlawful assaults. </w:t>
      </w:r>
      <w:r w:rsidR="00EB6EB0" w:rsidRPr="00270C08">
        <w:rPr>
          <w:rFonts w:ascii="Arial" w:hAnsi="Arial" w:cs="Arial"/>
          <w:sz w:val="24"/>
          <w:szCs w:val="24"/>
        </w:rPr>
        <w:t>Th</w:t>
      </w:r>
      <w:r w:rsidR="0059296C">
        <w:rPr>
          <w:rFonts w:ascii="Arial" w:hAnsi="Arial" w:cs="Arial"/>
          <w:sz w:val="24"/>
          <w:szCs w:val="24"/>
        </w:rPr>
        <w:t>e second respondent abandoned claim two at the commencement of the trial.</w:t>
      </w:r>
      <w:r w:rsidR="00EB6EB0" w:rsidRPr="00270C08">
        <w:rPr>
          <w:rFonts w:ascii="Arial" w:hAnsi="Arial" w:cs="Arial"/>
          <w:sz w:val="24"/>
          <w:szCs w:val="24"/>
        </w:rPr>
        <w:t xml:space="preserve"> </w:t>
      </w:r>
    </w:p>
    <w:p w14:paraId="48494C2C" w14:textId="38A5D7CA" w:rsidR="00BE0CF8" w:rsidRPr="00270C08" w:rsidRDefault="00CA0C2E" w:rsidP="00CA0C2E">
      <w:pPr>
        <w:spacing w:after="240" w:line="360" w:lineRule="auto"/>
        <w:jc w:val="both"/>
        <w:rPr>
          <w:rFonts w:ascii="Arial" w:hAnsi="Arial" w:cs="Arial"/>
          <w:sz w:val="24"/>
          <w:szCs w:val="24"/>
        </w:rPr>
      </w:pPr>
      <w:r w:rsidRPr="00270C08">
        <w:rPr>
          <w:rFonts w:ascii="Arial" w:hAnsi="Arial" w:cs="Arial"/>
          <w:sz w:val="24"/>
          <w:szCs w:val="24"/>
        </w:rPr>
        <w:lastRenderedPageBreak/>
        <w:t>[2]</w:t>
      </w:r>
      <w:r w:rsidRPr="00270C08">
        <w:rPr>
          <w:rFonts w:ascii="Arial" w:hAnsi="Arial" w:cs="Arial"/>
          <w:sz w:val="24"/>
          <w:szCs w:val="24"/>
        </w:rPr>
        <w:tab/>
      </w:r>
      <w:r w:rsidR="00FF2926" w:rsidRPr="00270C08">
        <w:rPr>
          <w:rFonts w:ascii="Arial" w:hAnsi="Arial" w:cs="Arial"/>
          <w:sz w:val="24"/>
          <w:szCs w:val="24"/>
        </w:rPr>
        <w:t>At the end of the trial</w:t>
      </w:r>
      <w:r w:rsidR="00680E49">
        <w:rPr>
          <w:rFonts w:ascii="Arial" w:hAnsi="Arial" w:cs="Arial"/>
          <w:sz w:val="24"/>
          <w:szCs w:val="24"/>
        </w:rPr>
        <w:t xml:space="preserve"> before the court </w:t>
      </w:r>
      <w:r w:rsidR="00680E49">
        <w:rPr>
          <w:rFonts w:ascii="Arial" w:hAnsi="Arial" w:cs="Arial"/>
          <w:i/>
          <w:iCs/>
          <w:sz w:val="24"/>
          <w:szCs w:val="24"/>
        </w:rPr>
        <w:t>a quo</w:t>
      </w:r>
      <w:r w:rsidR="00FF2926" w:rsidRPr="00270C08">
        <w:rPr>
          <w:rFonts w:ascii="Arial" w:hAnsi="Arial" w:cs="Arial"/>
          <w:sz w:val="24"/>
          <w:szCs w:val="24"/>
        </w:rPr>
        <w:t>, t</w:t>
      </w:r>
      <w:r w:rsidR="006916B9" w:rsidRPr="00270C08">
        <w:rPr>
          <w:rFonts w:ascii="Arial" w:hAnsi="Arial" w:cs="Arial"/>
          <w:sz w:val="24"/>
          <w:szCs w:val="24"/>
        </w:rPr>
        <w:t xml:space="preserve">he Magistrate found that the arrest and detention of the respondents </w:t>
      </w:r>
      <w:r w:rsidR="00680E49">
        <w:rPr>
          <w:rFonts w:ascii="Arial" w:hAnsi="Arial" w:cs="Arial"/>
          <w:sz w:val="24"/>
          <w:szCs w:val="24"/>
        </w:rPr>
        <w:t>was</w:t>
      </w:r>
      <w:r w:rsidR="006916B9" w:rsidRPr="00270C08">
        <w:rPr>
          <w:rFonts w:ascii="Arial" w:hAnsi="Arial" w:cs="Arial"/>
          <w:sz w:val="24"/>
          <w:szCs w:val="24"/>
        </w:rPr>
        <w:t xml:space="preserve"> unlawful and awarded </w:t>
      </w:r>
      <w:r w:rsidR="006F6564">
        <w:rPr>
          <w:rFonts w:ascii="Arial" w:hAnsi="Arial" w:cs="Arial"/>
          <w:sz w:val="24"/>
          <w:szCs w:val="24"/>
        </w:rPr>
        <w:t xml:space="preserve">them </w:t>
      </w:r>
      <w:r w:rsidR="006916B9" w:rsidRPr="00270C08">
        <w:rPr>
          <w:rFonts w:ascii="Arial" w:hAnsi="Arial" w:cs="Arial"/>
          <w:sz w:val="24"/>
          <w:szCs w:val="24"/>
        </w:rPr>
        <w:t xml:space="preserve">damages in </w:t>
      </w:r>
      <w:r w:rsidR="00FF2926" w:rsidRPr="00270C08">
        <w:rPr>
          <w:rFonts w:ascii="Arial" w:hAnsi="Arial" w:cs="Arial"/>
          <w:sz w:val="24"/>
          <w:szCs w:val="24"/>
        </w:rPr>
        <w:t xml:space="preserve">their </w:t>
      </w:r>
      <w:r w:rsidR="006916B9" w:rsidRPr="00270C08">
        <w:rPr>
          <w:rFonts w:ascii="Arial" w:hAnsi="Arial" w:cs="Arial"/>
          <w:sz w:val="24"/>
          <w:szCs w:val="24"/>
        </w:rPr>
        <w:t xml:space="preserve">favour in the amount of R80 000 </w:t>
      </w:r>
      <w:r w:rsidR="006F6564">
        <w:rPr>
          <w:rFonts w:ascii="Arial" w:hAnsi="Arial" w:cs="Arial"/>
          <w:sz w:val="24"/>
          <w:szCs w:val="24"/>
        </w:rPr>
        <w:t>each</w:t>
      </w:r>
      <w:r w:rsidR="0059296C">
        <w:rPr>
          <w:rFonts w:ascii="Arial" w:hAnsi="Arial" w:cs="Arial"/>
          <w:sz w:val="24"/>
          <w:szCs w:val="24"/>
        </w:rPr>
        <w:t xml:space="preserve">, </w:t>
      </w:r>
      <w:r w:rsidR="004F553D" w:rsidRPr="00270C08">
        <w:rPr>
          <w:rFonts w:ascii="Arial" w:hAnsi="Arial" w:cs="Arial"/>
          <w:sz w:val="24"/>
          <w:szCs w:val="24"/>
        </w:rPr>
        <w:t xml:space="preserve">with interest from the date of judgment to date of payment, plus costs. </w:t>
      </w:r>
      <w:r w:rsidR="00044B8A" w:rsidRPr="00270C08">
        <w:rPr>
          <w:rFonts w:ascii="Arial" w:hAnsi="Arial" w:cs="Arial"/>
          <w:sz w:val="24"/>
          <w:szCs w:val="24"/>
        </w:rPr>
        <w:t>This is an appeal against the Magistrate’s judgment and orders</w:t>
      </w:r>
      <w:r w:rsidR="00680E49">
        <w:rPr>
          <w:rFonts w:ascii="Arial" w:hAnsi="Arial" w:cs="Arial"/>
          <w:sz w:val="24"/>
          <w:szCs w:val="24"/>
        </w:rPr>
        <w:t>.</w:t>
      </w:r>
      <w:r w:rsidR="00044B8A" w:rsidRPr="00270C08">
        <w:rPr>
          <w:rFonts w:ascii="Arial" w:hAnsi="Arial" w:cs="Arial"/>
          <w:sz w:val="24"/>
          <w:szCs w:val="24"/>
        </w:rPr>
        <w:t xml:space="preserve"> </w:t>
      </w:r>
    </w:p>
    <w:p w14:paraId="42BEF668" w14:textId="041F1CF0" w:rsidR="00D14686" w:rsidRPr="00270C08" w:rsidRDefault="00CA0C2E" w:rsidP="00CA0C2E">
      <w:pPr>
        <w:spacing w:after="240" w:line="360" w:lineRule="auto"/>
        <w:jc w:val="both"/>
        <w:rPr>
          <w:rFonts w:ascii="Arial" w:hAnsi="Arial" w:cs="Arial"/>
          <w:sz w:val="24"/>
          <w:szCs w:val="24"/>
        </w:rPr>
      </w:pPr>
      <w:r w:rsidRPr="00270C08">
        <w:rPr>
          <w:rFonts w:ascii="Arial" w:hAnsi="Arial" w:cs="Arial"/>
          <w:sz w:val="24"/>
          <w:szCs w:val="24"/>
        </w:rPr>
        <w:t>[3]</w:t>
      </w:r>
      <w:r w:rsidRPr="00270C08">
        <w:rPr>
          <w:rFonts w:ascii="Arial" w:hAnsi="Arial" w:cs="Arial"/>
          <w:sz w:val="24"/>
          <w:szCs w:val="24"/>
        </w:rPr>
        <w:tab/>
      </w:r>
      <w:r w:rsidR="00D14686" w:rsidRPr="00270C08">
        <w:rPr>
          <w:rFonts w:ascii="Arial" w:hAnsi="Arial" w:cs="Arial"/>
          <w:sz w:val="24"/>
          <w:szCs w:val="24"/>
        </w:rPr>
        <w:t xml:space="preserve">The appeal is predicated mainly on the contention that the Magistrate </w:t>
      </w:r>
      <w:r w:rsidR="00FF2926" w:rsidRPr="00270C08">
        <w:rPr>
          <w:rFonts w:ascii="Arial" w:hAnsi="Arial" w:cs="Arial"/>
          <w:sz w:val="24"/>
          <w:szCs w:val="24"/>
        </w:rPr>
        <w:t xml:space="preserve">had </w:t>
      </w:r>
      <w:r w:rsidR="00D14686" w:rsidRPr="00270C08">
        <w:rPr>
          <w:rFonts w:ascii="Arial" w:hAnsi="Arial" w:cs="Arial"/>
          <w:sz w:val="24"/>
          <w:szCs w:val="24"/>
        </w:rPr>
        <w:t xml:space="preserve">erred in finding that the appellant failed to discharge the onus resting upon the arresting officer in terms of section </w:t>
      </w:r>
      <w:r w:rsidR="00DF2298" w:rsidRPr="00270C08">
        <w:rPr>
          <w:rFonts w:ascii="Arial" w:hAnsi="Arial" w:cs="Arial"/>
          <w:sz w:val="24"/>
          <w:szCs w:val="24"/>
        </w:rPr>
        <w:t>40(1)(b) of the Criminal Procedure Act, 51 of 1977 (the CPA),</w:t>
      </w:r>
      <w:r w:rsidR="00DF2298" w:rsidRPr="00270C08">
        <w:rPr>
          <w:rStyle w:val="FootnoteReference"/>
          <w:rFonts w:ascii="Arial" w:hAnsi="Arial" w:cs="Arial"/>
          <w:sz w:val="24"/>
          <w:szCs w:val="24"/>
        </w:rPr>
        <w:footnoteReference w:id="1"/>
      </w:r>
      <w:r w:rsidR="00DF2298" w:rsidRPr="00270C08">
        <w:rPr>
          <w:rFonts w:ascii="Arial" w:hAnsi="Arial" w:cs="Arial"/>
          <w:sz w:val="24"/>
          <w:szCs w:val="24"/>
        </w:rPr>
        <w:t xml:space="preserve"> to justify the respondents’ arrest and detention. </w:t>
      </w:r>
      <w:r w:rsidR="004A220B" w:rsidRPr="00270C08">
        <w:rPr>
          <w:rFonts w:ascii="Arial" w:hAnsi="Arial" w:cs="Arial"/>
          <w:sz w:val="24"/>
          <w:szCs w:val="24"/>
        </w:rPr>
        <w:t xml:space="preserve">The appellant contends that the Magistrate erred and misdirected himself </w:t>
      </w:r>
      <w:r w:rsidR="00CB217B">
        <w:rPr>
          <w:rFonts w:ascii="Arial" w:hAnsi="Arial" w:cs="Arial"/>
          <w:sz w:val="24"/>
          <w:szCs w:val="24"/>
        </w:rPr>
        <w:t xml:space="preserve">in concluding </w:t>
      </w:r>
      <w:r w:rsidR="004A220B" w:rsidRPr="00270C08">
        <w:rPr>
          <w:rFonts w:ascii="Arial" w:hAnsi="Arial" w:cs="Arial"/>
          <w:sz w:val="24"/>
          <w:szCs w:val="24"/>
        </w:rPr>
        <w:t xml:space="preserve"> that there was no reason for the police to delay </w:t>
      </w:r>
      <w:r w:rsidR="006F6564">
        <w:rPr>
          <w:rFonts w:ascii="Arial" w:hAnsi="Arial" w:cs="Arial"/>
          <w:sz w:val="24"/>
          <w:szCs w:val="24"/>
        </w:rPr>
        <w:t xml:space="preserve">in </w:t>
      </w:r>
      <w:r w:rsidR="004A220B" w:rsidRPr="00270C08">
        <w:rPr>
          <w:rFonts w:ascii="Arial" w:hAnsi="Arial" w:cs="Arial"/>
          <w:sz w:val="24"/>
          <w:szCs w:val="24"/>
        </w:rPr>
        <w:t xml:space="preserve">verification of the names </w:t>
      </w:r>
      <w:r w:rsidR="006F6564">
        <w:rPr>
          <w:rFonts w:ascii="Arial" w:hAnsi="Arial" w:cs="Arial"/>
          <w:sz w:val="24"/>
          <w:szCs w:val="24"/>
        </w:rPr>
        <w:t xml:space="preserve">and addresses </w:t>
      </w:r>
      <w:r w:rsidR="004A220B" w:rsidRPr="00270C08">
        <w:rPr>
          <w:rFonts w:ascii="Arial" w:hAnsi="Arial" w:cs="Arial"/>
          <w:sz w:val="24"/>
          <w:szCs w:val="24"/>
        </w:rPr>
        <w:t>of the su</w:t>
      </w:r>
      <w:r w:rsidR="006F6564">
        <w:rPr>
          <w:rFonts w:ascii="Arial" w:hAnsi="Arial" w:cs="Arial"/>
          <w:sz w:val="24"/>
          <w:szCs w:val="24"/>
        </w:rPr>
        <w:t>spects</w:t>
      </w:r>
      <w:r w:rsidR="004A220B" w:rsidRPr="00270C08">
        <w:rPr>
          <w:rFonts w:ascii="Arial" w:hAnsi="Arial" w:cs="Arial"/>
          <w:sz w:val="24"/>
          <w:szCs w:val="24"/>
        </w:rPr>
        <w:t xml:space="preserve">, having regard to the evidence that the respondents were arrested in the early hours of 3 July 2017 and that the verification of the respondents’ addresses could have been done within a short period of time and not over a period of more than 1 day. </w:t>
      </w:r>
      <w:r w:rsidR="00733B75" w:rsidRPr="00270C08">
        <w:rPr>
          <w:rFonts w:ascii="Arial" w:hAnsi="Arial" w:cs="Arial"/>
          <w:sz w:val="24"/>
          <w:szCs w:val="24"/>
        </w:rPr>
        <w:t xml:space="preserve"> </w:t>
      </w:r>
    </w:p>
    <w:p w14:paraId="16CCC524" w14:textId="1ACEA1BA" w:rsidR="00FF2926" w:rsidRPr="00270C08" w:rsidRDefault="00CA0C2E" w:rsidP="00CA0C2E">
      <w:pPr>
        <w:spacing w:after="240" w:line="360" w:lineRule="auto"/>
        <w:jc w:val="both"/>
        <w:rPr>
          <w:rFonts w:ascii="Arial" w:hAnsi="Arial" w:cs="Arial"/>
          <w:sz w:val="24"/>
          <w:szCs w:val="24"/>
        </w:rPr>
      </w:pPr>
      <w:r w:rsidRPr="00270C08">
        <w:rPr>
          <w:rFonts w:ascii="Arial" w:hAnsi="Arial" w:cs="Arial"/>
          <w:sz w:val="24"/>
          <w:szCs w:val="24"/>
        </w:rPr>
        <w:t>[4]</w:t>
      </w:r>
      <w:r w:rsidRPr="00270C08">
        <w:rPr>
          <w:rFonts w:ascii="Arial" w:hAnsi="Arial" w:cs="Arial"/>
          <w:sz w:val="24"/>
          <w:szCs w:val="24"/>
        </w:rPr>
        <w:tab/>
      </w:r>
      <w:r w:rsidR="000353AE" w:rsidRPr="00270C08">
        <w:rPr>
          <w:rFonts w:ascii="Arial" w:hAnsi="Arial" w:cs="Arial"/>
          <w:sz w:val="24"/>
          <w:szCs w:val="24"/>
        </w:rPr>
        <w:t>T</w:t>
      </w:r>
      <w:r w:rsidR="00733B75" w:rsidRPr="00270C08">
        <w:rPr>
          <w:rFonts w:ascii="Arial" w:hAnsi="Arial" w:cs="Arial"/>
          <w:sz w:val="24"/>
          <w:szCs w:val="24"/>
        </w:rPr>
        <w:t>he appellant had submitted, in the Magistrate’s Court and presently before this Court</w:t>
      </w:r>
      <w:r w:rsidR="006F6564">
        <w:rPr>
          <w:rFonts w:ascii="Arial" w:hAnsi="Arial" w:cs="Arial"/>
          <w:sz w:val="24"/>
          <w:szCs w:val="24"/>
        </w:rPr>
        <w:t xml:space="preserve">, </w:t>
      </w:r>
      <w:r w:rsidR="00733B75" w:rsidRPr="00270C08">
        <w:rPr>
          <w:rFonts w:ascii="Arial" w:hAnsi="Arial" w:cs="Arial"/>
          <w:sz w:val="24"/>
          <w:szCs w:val="24"/>
        </w:rPr>
        <w:t>that the arrest and detention of the respondents was lawful and justified in terms of section</w:t>
      </w:r>
      <w:r w:rsidR="00512267" w:rsidRPr="00270C08">
        <w:rPr>
          <w:rFonts w:ascii="Arial" w:hAnsi="Arial" w:cs="Arial"/>
          <w:sz w:val="24"/>
          <w:szCs w:val="24"/>
        </w:rPr>
        <w:t>(s)</w:t>
      </w:r>
      <w:r w:rsidR="00733B75" w:rsidRPr="00270C08">
        <w:rPr>
          <w:rFonts w:ascii="Arial" w:hAnsi="Arial" w:cs="Arial"/>
          <w:sz w:val="24"/>
          <w:szCs w:val="24"/>
        </w:rPr>
        <w:t xml:space="preserve"> 40(1)(b)</w:t>
      </w:r>
      <w:r w:rsidR="009156B6">
        <w:rPr>
          <w:rFonts w:ascii="Arial" w:hAnsi="Arial" w:cs="Arial"/>
          <w:sz w:val="24"/>
          <w:szCs w:val="24"/>
        </w:rPr>
        <w:t>,</w:t>
      </w:r>
      <w:r w:rsidR="009135F0">
        <w:rPr>
          <w:rFonts w:ascii="Arial" w:hAnsi="Arial" w:cs="Arial"/>
          <w:sz w:val="24"/>
          <w:szCs w:val="24"/>
        </w:rPr>
        <w:t xml:space="preserve"> </w:t>
      </w:r>
      <w:r w:rsidR="006F6564">
        <w:rPr>
          <w:rFonts w:ascii="Arial" w:hAnsi="Arial" w:cs="Arial"/>
          <w:sz w:val="24"/>
          <w:szCs w:val="24"/>
        </w:rPr>
        <w:t>although in their plea he had further relied on section 40(1)(f)</w:t>
      </w:r>
      <w:r w:rsidR="00152235">
        <w:rPr>
          <w:rFonts w:ascii="Arial" w:hAnsi="Arial" w:cs="Arial"/>
          <w:sz w:val="24"/>
          <w:szCs w:val="24"/>
        </w:rPr>
        <w:t>;</w:t>
      </w:r>
      <w:r w:rsidR="006F6564">
        <w:rPr>
          <w:rFonts w:ascii="Arial" w:hAnsi="Arial" w:cs="Arial"/>
          <w:sz w:val="24"/>
          <w:szCs w:val="24"/>
        </w:rPr>
        <w:t xml:space="preserve"> </w:t>
      </w:r>
      <w:r w:rsidR="006F6564" w:rsidRPr="00270C08">
        <w:rPr>
          <w:rFonts w:ascii="Arial" w:hAnsi="Arial" w:cs="Arial"/>
          <w:sz w:val="24"/>
          <w:szCs w:val="24"/>
        </w:rPr>
        <w:t>read with sections 39 and 50 of the CPA</w:t>
      </w:r>
      <w:r w:rsidR="006F6564">
        <w:rPr>
          <w:rFonts w:ascii="Arial" w:hAnsi="Arial" w:cs="Arial"/>
          <w:sz w:val="24"/>
          <w:szCs w:val="24"/>
        </w:rPr>
        <w:t xml:space="preserve"> but this was not pursued in evidence or in argument</w:t>
      </w:r>
      <w:r w:rsidR="00733B75" w:rsidRPr="00270C08">
        <w:rPr>
          <w:rFonts w:ascii="Arial" w:hAnsi="Arial" w:cs="Arial"/>
          <w:sz w:val="24"/>
          <w:szCs w:val="24"/>
        </w:rPr>
        <w:t xml:space="preserve">. </w:t>
      </w:r>
      <w:r w:rsidR="00EE10EC" w:rsidRPr="00270C08">
        <w:rPr>
          <w:rFonts w:ascii="Arial" w:hAnsi="Arial" w:cs="Arial"/>
          <w:sz w:val="24"/>
          <w:szCs w:val="24"/>
        </w:rPr>
        <w:t xml:space="preserve">In this regard, the appellant had submitted that the arresting officer had sufficient information at </w:t>
      </w:r>
      <w:r w:rsidR="00C95ED3">
        <w:rPr>
          <w:rFonts w:ascii="Arial" w:hAnsi="Arial" w:cs="Arial"/>
          <w:sz w:val="24"/>
          <w:szCs w:val="24"/>
        </w:rPr>
        <w:t>his</w:t>
      </w:r>
      <w:r w:rsidR="00EE10EC" w:rsidRPr="00270C08">
        <w:rPr>
          <w:rFonts w:ascii="Arial" w:hAnsi="Arial" w:cs="Arial"/>
          <w:sz w:val="24"/>
          <w:szCs w:val="24"/>
        </w:rPr>
        <w:t xml:space="preserve"> disposal </w:t>
      </w:r>
      <w:r w:rsidR="00136096" w:rsidRPr="00270C08">
        <w:rPr>
          <w:rFonts w:ascii="Arial" w:hAnsi="Arial" w:cs="Arial"/>
          <w:sz w:val="24"/>
          <w:szCs w:val="24"/>
        </w:rPr>
        <w:t>which warranted</w:t>
      </w:r>
      <w:r w:rsidR="005A31CD">
        <w:rPr>
          <w:rFonts w:ascii="Arial" w:hAnsi="Arial" w:cs="Arial"/>
          <w:sz w:val="24"/>
          <w:szCs w:val="24"/>
        </w:rPr>
        <w:t xml:space="preserve"> </w:t>
      </w:r>
      <w:r w:rsidR="00EE10EC" w:rsidRPr="00270C08">
        <w:rPr>
          <w:rFonts w:ascii="Arial" w:hAnsi="Arial" w:cs="Arial"/>
          <w:sz w:val="24"/>
          <w:szCs w:val="24"/>
        </w:rPr>
        <w:t xml:space="preserve">the arrest and detention of the respondents. </w:t>
      </w:r>
    </w:p>
    <w:p w14:paraId="65C5CCEF" w14:textId="1AADDB9C" w:rsidR="00A34752" w:rsidRPr="00270C08" w:rsidRDefault="00CA0C2E" w:rsidP="00CA0C2E">
      <w:pPr>
        <w:spacing w:after="240" w:line="360" w:lineRule="auto"/>
        <w:jc w:val="both"/>
        <w:rPr>
          <w:rFonts w:ascii="Arial" w:hAnsi="Arial" w:cs="Arial"/>
          <w:sz w:val="24"/>
          <w:szCs w:val="24"/>
        </w:rPr>
      </w:pPr>
      <w:r w:rsidRPr="00270C08">
        <w:rPr>
          <w:rFonts w:ascii="Arial" w:hAnsi="Arial" w:cs="Arial"/>
          <w:sz w:val="24"/>
          <w:szCs w:val="24"/>
        </w:rPr>
        <w:t>[5]</w:t>
      </w:r>
      <w:r w:rsidRPr="00270C08">
        <w:rPr>
          <w:rFonts w:ascii="Arial" w:hAnsi="Arial" w:cs="Arial"/>
          <w:sz w:val="24"/>
          <w:szCs w:val="24"/>
        </w:rPr>
        <w:tab/>
      </w:r>
      <w:r w:rsidR="00FF2926" w:rsidRPr="00270C08">
        <w:rPr>
          <w:rFonts w:ascii="Arial" w:hAnsi="Arial" w:cs="Arial"/>
          <w:sz w:val="24"/>
          <w:szCs w:val="24"/>
        </w:rPr>
        <w:t>At the commencement of th</w:t>
      </w:r>
      <w:r w:rsidR="00101C03" w:rsidRPr="00270C08">
        <w:rPr>
          <w:rFonts w:ascii="Arial" w:hAnsi="Arial" w:cs="Arial"/>
          <w:sz w:val="24"/>
          <w:szCs w:val="24"/>
        </w:rPr>
        <w:t xml:space="preserve">e hearing of this </w:t>
      </w:r>
      <w:r w:rsidR="00FF2926" w:rsidRPr="00270C08">
        <w:rPr>
          <w:rFonts w:ascii="Arial" w:hAnsi="Arial" w:cs="Arial"/>
          <w:sz w:val="24"/>
          <w:szCs w:val="24"/>
        </w:rPr>
        <w:t xml:space="preserve">appeal, the appellant had brought </w:t>
      </w:r>
      <w:r w:rsidR="004D2FFD" w:rsidRPr="00270C08">
        <w:rPr>
          <w:rFonts w:ascii="Arial" w:hAnsi="Arial" w:cs="Arial"/>
          <w:sz w:val="24"/>
          <w:szCs w:val="24"/>
        </w:rPr>
        <w:t xml:space="preserve">an application for condonation </w:t>
      </w:r>
      <w:r w:rsidR="00D1782E" w:rsidRPr="00270C08">
        <w:rPr>
          <w:rFonts w:ascii="Arial" w:hAnsi="Arial" w:cs="Arial"/>
          <w:sz w:val="24"/>
          <w:szCs w:val="24"/>
        </w:rPr>
        <w:t>in respect of the</w:t>
      </w:r>
      <w:r w:rsidR="00101C03" w:rsidRPr="00270C08">
        <w:rPr>
          <w:rFonts w:ascii="Arial" w:hAnsi="Arial" w:cs="Arial"/>
          <w:sz w:val="24"/>
          <w:szCs w:val="24"/>
        </w:rPr>
        <w:t>ir</w:t>
      </w:r>
      <w:r w:rsidR="00D1782E" w:rsidRPr="00270C08">
        <w:rPr>
          <w:rFonts w:ascii="Arial" w:hAnsi="Arial" w:cs="Arial"/>
          <w:sz w:val="24"/>
          <w:szCs w:val="24"/>
        </w:rPr>
        <w:t xml:space="preserve"> late filing of the notice to prosecute the appeal. </w:t>
      </w:r>
      <w:r w:rsidR="00E43FB7" w:rsidRPr="00270C08">
        <w:rPr>
          <w:rFonts w:ascii="Arial" w:hAnsi="Arial" w:cs="Arial"/>
          <w:sz w:val="24"/>
          <w:szCs w:val="24"/>
        </w:rPr>
        <w:t>Th</w:t>
      </w:r>
      <w:r w:rsidR="00101C03" w:rsidRPr="00270C08">
        <w:rPr>
          <w:rFonts w:ascii="Arial" w:hAnsi="Arial" w:cs="Arial"/>
          <w:sz w:val="24"/>
          <w:szCs w:val="24"/>
        </w:rPr>
        <w:t>is Court granted the</w:t>
      </w:r>
      <w:r w:rsidR="00E43FB7" w:rsidRPr="00270C08">
        <w:rPr>
          <w:rFonts w:ascii="Arial" w:hAnsi="Arial" w:cs="Arial"/>
          <w:sz w:val="24"/>
          <w:szCs w:val="24"/>
        </w:rPr>
        <w:t xml:space="preserve"> condonation and </w:t>
      </w:r>
      <w:r w:rsidR="00101C03" w:rsidRPr="00270C08">
        <w:rPr>
          <w:rFonts w:ascii="Arial" w:hAnsi="Arial" w:cs="Arial"/>
          <w:sz w:val="24"/>
          <w:szCs w:val="24"/>
        </w:rPr>
        <w:t xml:space="preserve">reinstated </w:t>
      </w:r>
      <w:r w:rsidR="00E43FB7" w:rsidRPr="00270C08">
        <w:rPr>
          <w:rFonts w:ascii="Arial" w:hAnsi="Arial" w:cs="Arial"/>
          <w:sz w:val="24"/>
          <w:szCs w:val="24"/>
        </w:rPr>
        <w:t>the appeal.</w:t>
      </w:r>
      <w:r w:rsidR="00101C03" w:rsidRPr="00270C08">
        <w:rPr>
          <w:rFonts w:ascii="Arial" w:hAnsi="Arial" w:cs="Arial"/>
          <w:sz w:val="24"/>
          <w:szCs w:val="24"/>
        </w:rPr>
        <w:t xml:space="preserve"> The respondents did not oppose the grant of condonation and the reinstatement of the appeal.</w:t>
      </w:r>
    </w:p>
    <w:p w14:paraId="43AC534C" w14:textId="199F9899" w:rsidR="00817360" w:rsidRDefault="00CA0C2E" w:rsidP="00CA0C2E">
      <w:pPr>
        <w:spacing w:after="24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817360">
        <w:rPr>
          <w:rFonts w:ascii="Arial" w:hAnsi="Arial" w:cs="Arial"/>
          <w:sz w:val="24"/>
          <w:szCs w:val="24"/>
        </w:rPr>
        <w:t>T</w:t>
      </w:r>
      <w:r w:rsidR="00A34752" w:rsidRPr="00270C08">
        <w:rPr>
          <w:rFonts w:ascii="Arial" w:hAnsi="Arial" w:cs="Arial"/>
          <w:sz w:val="24"/>
          <w:szCs w:val="24"/>
        </w:rPr>
        <w:t>he issue for determination is</w:t>
      </w:r>
      <w:r w:rsidR="00A34752" w:rsidRPr="00817360">
        <w:rPr>
          <w:rFonts w:ascii="Arial" w:hAnsi="Arial" w:cs="Arial"/>
          <w:sz w:val="24"/>
          <w:szCs w:val="24"/>
        </w:rPr>
        <w:t xml:space="preserve"> whether </w:t>
      </w:r>
      <w:r w:rsidR="00817360">
        <w:rPr>
          <w:rFonts w:ascii="Arial" w:hAnsi="Arial" w:cs="Arial"/>
          <w:sz w:val="24"/>
          <w:szCs w:val="24"/>
        </w:rPr>
        <w:t>or not:</w:t>
      </w:r>
    </w:p>
    <w:p w14:paraId="70B9BCB0" w14:textId="7B89BF4E" w:rsidR="001149E9" w:rsidRDefault="00817360" w:rsidP="00F40848">
      <w:pPr>
        <w:spacing w:after="240" w:line="360" w:lineRule="auto"/>
        <w:jc w:val="both"/>
        <w:rPr>
          <w:rFonts w:ascii="Arial" w:hAnsi="Arial" w:cs="Arial"/>
          <w:sz w:val="24"/>
          <w:szCs w:val="24"/>
        </w:rPr>
      </w:pPr>
      <w:r>
        <w:rPr>
          <w:rFonts w:ascii="Arial" w:hAnsi="Arial" w:cs="Arial"/>
          <w:sz w:val="24"/>
          <w:szCs w:val="24"/>
        </w:rPr>
        <w:t xml:space="preserve">(a) the magistrate correctly found in favour of the respondents </w:t>
      </w:r>
      <w:r w:rsidR="00672333">
        <w:rPr>
          <w:rFonts w:ascii="Arial" w:hAnsi="Arial" w:cs="Arial"/>
          <w:sz w:val="24"/>
          <w:szCs w:val="24"/>
        </w:rPr>
        <w:t xml:space="preserve">that </w:t>
      </w:r>
      <w:r w:rsidR="001149E9">
        <w:rPr>
          <w:rFonts w:ascii="Arial" w:hAnsi="Arial" w:cs="Arial"/>
          <w:sz w:val="24"/>
          <w:szCs w:val="24"/>
        </w:rPr>
        <w:t xml:space="preserve">their </w:t>
      </w:r>
      <w:r w:rsidR="001149E9" w:rsidRPr="00817360">
        <w:rPr>
          <w:rFonts w:ascii="Arial" w:hAnsi="Arial" w:cs="Arial"/>
          <w:sz w:val="24"/>
          <w:szCs w:val="24"/>
        </w:rPr>
        <w:t>arrest</w:t>
      </w:r>
      <w:r w:rsidR="00A13DCE" w:rsidRPr="00817360">
        <w:rPr>
          <w:rFonts w:ascii="Arial" w:hAnsi="Arial" w:cs="Arial"/>
          <w:sz w:val="24"/>
          <w:szCs w:val="24"/>
        </w:rPr>
        <w:t xml:space="preserve"> and </w:t>
      </w:r>
      <w:r w:rsidR="001149E9" w:rsidRPr="00817360">
        <w:rPr>
          <w:rFonts w:ascii="Arial" w:hAnsi="Arial" w:cs="Arial"/>
          <w:sz w:val="24"/>
          <w:szCs w:val="24"/>
        </w:rPr>
        <w:t>detention was</w:t>
      </w:r>
      <w:r w:rsidR="00A13DCE" w:rsidRPr="00817360">
        <w:rPr>
          <w:rFonts w:ascii="Arial" w:hAnsi="Arial" w:cs="Arial"/>
          <w:sz w:val="24"/>
          <w:szCs w:val="24"/>
        </w:rPr>
        <w:t xml:space="preserve"> </w:t>
      </w:r>
      <w:r w:rsidR="00D25812">
        <w:rPr>
          <w:rFonts w:ascii="Arial" w:hAnsi="Arial" w:cs="Arial"/>
          <w:sz w:val="24"/>
          <w:szCs w:val="24"/>
        </w:rPr>
        <w:t>un</w:t>
      </w:r>
      <w:r w:rsidR="00A13DCE" w:rsidRPr="00817360">
        <w:rPr>
          <w:rFonts w:ascii="Arial" w:hAnsi="Arial" w:cs="Arial"/>
          <w:sz w:val="24"/>
          <w:szCs w:val="24"/>
        </w:rPr>
        <w:t xml:space="preserve">lawful and </w:t>
      </w:r>
      <w:r w:rsidR="00D25812">
        <w:rPr>
          <w:rFonts w:ascii="Arial" w:hAnsi="Arial" w:cs="Arial"/>
          <w:sz w:val="24"/>
          <w:szCs w:val="24"/>
        </w:rPr>
        <w:t xml:space="preserve">not </w:t>
      </w:r>
      <w:r w:rsidR="00A13DCE" w:rsidRPr="00817360">
        <w:rPr>
          <w:rFonts w:ascii="Arial" w:hAnsi="Arial" w:cs="Arial"/>
          <w:sz w:val="24"/>
          <w:szCs w:val="24"/>
        </w:rPr>
        <w:t>justified in terms of section 40(1)(b) of the CPA</w:t>
      </w:r>
      <w:r w:rsidR="00672333">
        <w:rPr>
          <w:rFonts w:ascii="Arial" w:hAnsi="Arial" w:cs="Arial"/>
          <w:sz w:val="24"/>
          <w:szCs w:val="24"/>
        </w:rPr>
        <w:t>;</w:t>
      </w:r>
      <w:r w:rsidR="00A86643" w:rsidRPr="00817360">
        <w:rPr>
          <w:rFonts w:ascii="Arial" w:hAnsi="Arial" w:cs="Arial"/>
          <w:sz w:val="24"/>
          <w:szCs w:val="24"/>
        </w:rPr>
        <w:t xml:space="preserve"> and</w:t>
      </w:r>
    </w:p>
    <w:p w14:paraId="0795996A" w14:textId="752D6DED" w:rsidR="00733B75" w:rsidRPr="00817360" w:rsidRDefault="00A406C6" w:rsidP="00E95A55">
      <w:pPr>
        <w:spacing w:after="240" w:line="360" w:lineRule="auto"/>
        <w:jc w:val="both"/>
        <w:rPr>
          <w:rFonts w:ascii="Arial" w:hAnsi="Arial" w:cs="Arial"/>
          <w:sz w:val="24"/>
          <w:szCs w:val="24"/>
        </w:rPr>
      </w:pPr>
      <w:r>
        <w:rPr>
          <w:rFonts w:ascii="Arial" w:hAnsi="Arial" w:cs="Arial"/>
          <w:sz w:val="24"/>
          <w:szCs w:val="24"/>
        </w:rPr>
        <w:lastRenderedPageBreak/>
        <w:t xml:space="preserve"> (b) in the event that the court a quo correctly found in favour of the respondents whether or not the amount awarded was appropriate or excessive </w:t>
      </w:r>
      <w:r w:rsidR="00AC7319">
        <w:rPr>
          <w:rFonts w:ascii="Arial" w:hAnsi="Arial" w:cs="Arial"/>
          <w:sz w:val="24"/>
          <w:szCs w:val="24"/>
        </w:rPr>
        <w:t>based on the evidence of the case</w:t>
      </w:r>
      <w:r w:rsidR="00E26739">
        <w:rPr>
          <w:rFonts w:ascii="Arial" w:hAnsi="Arial" w:cs="Arial"/>
          <w:sz w:val="24"/>
          <w:szCs w:val="24"/>
        </w:rPr>
        <w:t>.</w:t>
      </w:r>
      <w:r w:rsidR="008E52BD" w:rsidRPr="00817360">
        <w:rPr>
          <w:rFonts w:ascii="Arial" w:hAnsi="Arial" w:cs="Arial"/>
          <w:sz w:val="24"/>
          <w:szCs w:val="24"/>
        </w:rPr>
        <w:t xml:space="preserve"> </w:t>
      </w:r>
    </w:p>
    <w:p w14:paraId="111139F3" w14:textId="12226FC6" w:rsidR="004D2FFD" w:rsidRPr="00270C08" w:rsidRDefault="004D2FFD" w:rsidP="000353AE">
      <w:pPr>
        <w:spacing w:after="240" w:line="360" w:lineRule="auto"/>
        <w:jc w:val="both"/>
        <w:rPr>
          <w:rFonts w:ascii="Arial" w:hAnsi="Arial" w:cs="Arial"/>
          <w:b/>
          <w:bCs/>
          <w:sz w:val="24"/>
          <w:szCs w:val="24"/>
        </w:rPr>
      </w:pPr>
      <w:r w:rsidRPr="00270C08">
        <w:rPr>
          <w:rFonts w:ascii="Arial" w:hAnsi="Arial" w:cs="Arial"/>
          <w:b/>
          <w:bCs/>
          <w:sz w:val="24"/>
          <w:szCs w:val="24"/>
        </w:rPr>
        <w:t>Background</w:t>
      </w:r>
    </w:p>
    <w:p w14:paraId="5D49E731" w14:textId="7B6CD7CC" w:rsidR="003907D6" w:rsidRPr="00270C08" w:rsidRDefault="00CA0C2E" w:rsidP="00CA0C2E">
      <w:pPr>
        <w:spacing w:after="240" w:line="360" w:lineRule="auto"/>
        <w:jc w:val="both"/>
        <w:rPr>
          <w:rFonts w:ascii="Arial" w:hAnsi="Arial" w:cs="Arial"/>
          <w:sz w:val="24"/>
          <w:szCs w:val="24"/>
        </w:rPr>
      </w:pPr>
      <w:r w:rsidRPr="00270C08">
        <w:rPr>
          <w:rFonts w:ascii="Arial" w:hAnsi="Arial" w:cs="Arial"/>
          <w:sz w:val="24"/>
          <w:szCs w:val="24"/>
        </w:rPr>
        <w:t>[7]</w:t>
      </w:r>
      <w:r w:rsidRPr="00270C08">
        <w:rPr>
          <w:rFonts w:ascii="Arial" w:hAnsi="Arial" w:cs="Arial"/>
          <w:sz w:val="24"/>
          <w:szCs w:val="24"/>
        </w:rPr>
        <w:tab/>
      </w:r>
      <w:r w:rsidR="001C4CC7" w:rsidRPr="00270C08">
        <w:rPr>
          <w:rFonts w:ascii="Arial" w:hAnsi="Arial" w:cs="Arial"/>
          <w:sz w:val="24"/>
          <w:szCs w:val="24"/>
        </w:rPr>
        <w:t xml:space="preserve">At approximately </w:t>
      </w:r>
      <w:r w:rsidR="00101C03" w:rsidRPr="00270C08">
        <w:rPr>
          <w:rFonts w:ascii="Arial" w:hAnsi="Arial" w:cs="Arial"/>
          <w:sz w:val="24"/>
          <w:szCs w:val="24"/>
        </w:rPr>
        <w:t>03</w:t>
      </w:r>
      <w:r w:rsidR="001C4CC7" w:rsidRPr="00270C08">
        <w:rPr>
          <w:rFonts w:ascii="Arial" w:hAnsi="Arial" w:cs="Arial"/>
          <w:sz w:val="24"/>
          <w:szCs w:val="24"/>
        </w:rPr>
        <w:t xml:space="preserve">h30, on </w:t>
      </w:r>
      <w:r w:rsidR="00101C03" w:rsidRPr="00270C08">
        <w:rPr>
          <w:rFonts w:ascii="Arial" w:hAnsi="Arial" w:cs="Arial"/>
          <w:sz w:val="24"/>
          <w:szCs w:val="24"/>
        </w:rPr>
        <w:t>3</w:t>
      </w:r>
      <w:r w:rsidR="001C4CC7" w:rsidRPr="00270C08">
        <w:rPr>
          <w:rFonts w:ascii="Arial" w:hAnsi="Arial" w:cs="Arial"/>
          <w:sz w:val="24"/>
          <w:szCs w:val="24"/>
        </w:rPr>
        <w:t xml:space="preserve"> July 2017, the respondents were arrested by members of the South African Police Service without a warrant</w:t>
      </w:r>
      <w:r w:rsidR="008158A6" w:rsidRPr="00270C08">
        <w:rPr>
          <w:rFonts w:ascii="Arial" w:hAnsi="Arial" w:cs="Arial"/>
          <w:sz w:val="24"/>
          <w:szCs w:val="24"/>
        </w:rPr>
        <w:t xml:space="preserve"> at or near the M17, Port Elizabeth. </w:t>
      </w:r>
      <w:r w:rsidR="00EE1FE9">
        <w:rPr>
          <w:rFonts w:ascii="Arial" w:hAnsi="Arial" w:cs="Arial"/>
          <w:sz w:val="24"/>
          <w:szCs w:val="24"/>
        </w:rPr>
        <w:t>T</w:t>
      </w:r>
      <w:r w:rsidR="007C0D7F" w:rsidRPr="00270C08">
        <w:rPr>
          <w:rFonts w:ascii="Arial" w:hAnsi="Arial" w:cs="Arial"/>
          <w:sz w:val="24"/>
          <w:szCs w:val="24"/>
        </w:rPr>
        <w:t xml:space="preserve">he arrest was </w:t>
      </w:r>
      <w:r w:rsidR="00F40848" w:rsidRPr="00270C08">
        <w:rPr>
          <w:rFonts w:ascii="Arial" w:hAnsi="Arial" w:cs="Arial"/>
          <w:sz w:val="24"/>
          <w:szCs w:val="24"/>
        </w:rPr>
        <w:t>admitted;</w:t>
      </w:r>
      <w:r w:rsidR="007C0D7F" w:rsidRPr="00270C08">
        <w:rPr>
          <w:rFonts w:ascii="Arial" w:hAnsi="Arial" w:cs="Arial"/>
          <w:sz w:val="24"/>
          <w:szCs w:val="24"/>
        </w:rPr>
        <w:t xml:space="preserve"> </w:t>
      </w:r>
      <w:r w:rsidR="000B307C">
        <w:rPr>
          <w:rFonts w:ascii="Arial" w:hAnsi="Arial" w:cs="Arial"/>
          <w:sz w:val="24"/>
          <w:szCs w:val="24"/>
        </w:rPr>
        <w:t>accordingly,</w:t>
      </w:r>
      <w:r w:rsidR="006D611C">
        <w:rPr>
          <w:rFonts w:ascii="Arial" w:hAnsi="Arial" w:cs="Arial"/>
          <w:sz w:val="24"/>
          <w:szCs w:val="24"/>
        </w:rPr>
        <w:t xml:space="preserve"> </w:t>
      </w:r>
      <w:r w:rsidR="007C0D7F" w:rsidRPr="00270C08">
        <w:rPr>
          <w:rFonts w:ascii="Arial" w:hAnsi="Arial" w:cs="Arial"/>
          <w:sz w:val="24"/>
          <w:szCs w:val="24"/>
        </w:rPr>
        <w:t>the appellant’s witnesses were the first to adduce evidence in the trial.</w:t>
      </w:r>
      <w:r w:rsidR="009422CA" w:rsidRPr="00270C08">
        <w:rPr>
          <w:rFonts w:ascii="Arial" w:hAnsi="Arial" w:cs="Arial"/>
          <w:sz w:val="24"/>
          <w:szCs w:val="24"/>
        </w:rPr>
        <w:t xml:space="preserve"> In this regard, </w:t>
      </w:r>
      <w:r w:rsidR="002E4EE6" w:rsidRPr="00270C08">
        <w:rPr>
          <w:rFonts w:ascii="Arial" w:hAnsi="Arial" w:cs="Arial"/>
          <w:sz w:val="24"/>
          <w:szCs w:val="24"/>
        </w:rPr>
        <w:t>Sgt</w:t>
      </w:r>
      <w:r w:rsidR="00CA1D0C" w:rsidRPr="00270C08">
        <w:rPr>
          <w:rFonts w:ascii="Arial" w:hAnsi="Arial" w:cs="Arial"/>
          <w:sz w:val="24"/>
          <w:szCs w:val="24"/>
        </w:rPr>
        <w:t xml:space="preserve"> Thandisiwe Flatela and </w:t>
      </w:r>
      <w:r w:rsidR="002E4EE6" w:rsidRPr="00270C08">
        <w:rPr>
          <w:rFonts w:ascii="Arial" w:hAnsi="Arial" w:cs="Arial"/>
          <w:sz w:val="24"/>
          <w:szCs w:val="24"/>
        </w:rPr>
        <w:t>Sgt</w:t>
      </w:r>
      <w:r w:rsidR="00CA1D0C" w:rsidRPr="00270C08">
        <w:rPr>
          <w:rFonts w:ascii="Arial" w:hAnsi="Arial" w:cs="Arial"/>
          <w:sz w:val="24"/>
          <w:szCs w:val="24"/>
        </w:rPr>
        <w:t xml:space="preserve"> Mfusi Abel Thala testified</w:t>
      </w:r>
      <w:r w:rsidR="009422CA" w:rsidRPr="00270C08">
        <w:rPr>
          <w:rFonts w:ascii="Arial" w:hAnsi="Arial" w:cs="Arial"/>
          <w:sz w:val="24"/>
          <w:szCs w:val="24"/>
        </w:rPr>
        <w:t xml:space="preserve">. </w:t>
      </w:r>
    </w:p>
    <w:p w14:paraId="5CE3940F" w14:textId="0F604612" w:rsidR="004D2FFD" w:rsidRPr="00270C08" w:rsidRDefault="00CA0C2E" w:rsidP="00CA0C2E">
      <w:pPr>
        <w:spacing w:after="240" w:line="360" w:lineRule="auto"/>
        <w:jc w:val="both"/>
        <w:rPr>
          <w:rFonts w:ascii="Arial" w:hAnsi="Arial" w:cs="Arial"/>
          <w:sz w:val="24"/>
          <w:szCs w:val="24"/>
        </w:rPr>
      </w:pPr>
      <w:r w:rsidRPr="00270C08">
        <w:rPr>
          <w:rFonts w:ascii="Arial" w:hAnsi="Arial" w:cs="Arial"/>
          <w:sz w:val="24"/>
          <w:szCs w:val="24"/>
        </w:rPr>
        <w:t>[8]</w:t>
      </w:r>
      <w:r w:rsidRPr="00270C08">
        <w:rPr>
          <w:rFonts w:ascii="Arial" w:hAnsi="Arial" w:cs="Arial"/>
          <w:sz w:val="24"/>
          <w:szCs w:val="24"/>
        </w:rPr>
        <w:tab/>
      </w:r>
      <w:r w:rsidR="002E4EE6" w:rsidRPr="00270C08">
        <w:rPr>
          <w:rFonts w:ascii="Arial" w:hAnsi="Arial" w:cs="Arial"/>
          <w:sz w:val="24"/>
          <w:szCs w:val="24"/>
        </w:rPr>
        <w:t>Sgt</w:t>
      </w:r>
      <w:r w:rsidR="003907D6" w:rsidRPr="00270C08">
        <w:rPr>
          <w:rFonts w:ascii="Arial" w:hAnsi="Arial" w:cs="Arial"/>
          <w:sz w:val="24"/>
          <w:szCs w:val="24"/>
        </w:rPr>
        <w:t xml:space="preserve"> Flatela testified that he is a member of the SAPS holding a rank of police sergeant. According to him, on 2 July 2017, he was on duty patrolling as part of crime prevention</w:t>
      </w:r>
      <w:r w:rsidR="0043233A" w:rsidRPr="00270C08">
        <w:rPr>
          <w:rFonts w:ascii="Arial" w:hAnsi="Arial" w:cs="Arial"/>
          <w:sz w:val="24"/>
          <w:szCs w:val="24"/>
        </w:rPr>
        <w:t xml:space="preserve">. He was clad in full police uniform. </w:t>
      </w:r>
      <w:r w:rsidR="00B106C8" w:rsidRPr="00270C08">
        <w:rPr>
          <w:rFonts w:ascii="Arial" w:hAnsi="Arial" w:cs="Arial"/>
          <w:sz w:val="24"/>
          <w:szCs w:val="24"/>
        </w:rPr>
        <w:t xml:space="preserve">He testified that at about 12 midnight, he received a complaint through the police radio control. </w:t>
      </w:r>
      <w:r w:rsidR="00BB136B">
        <w:rPr>
          <w:rFonts w:ascii="Arial" w:hAnsi="Arial" w:cs="Arial"/>
          <w:sz w:val="24"/>
          <w:szCs w:val="24"/>
        </w:rPr>
        <w:t>T</w:t>
      </w:r>
      <w:r w:rsidR="00B106C8" w:rsidRPr="00270C08">
        <w:rPr>
          <w:rFonts w:ascii="Arial" w:hAnsi="Arial" w:cs="Arial"/>
          <w:sz w:val="24"/>
          <w:szCs w:val="24"/>
        </w:rPr>
        <w:t xml:space="preserve">he report he received was that there was a shooting incident at Seyisi area of KwaZakhele. </w:t>
      </w:r>
    </w:p>
    <w:p w14:paraId="05726353" w14:textId="2DE04267" w:rsidR="00B106C8" w:rsidRPr="00270C08" w:rsidRDefault="00CA0C2E" w:rsidP="00CA0C2E">
      <w:pPr>
        <w:spacing w:after="240" w:line="360" w:lineRule="auto"/>
        <w:jc w:val="both"/>
        <w:rPr>
          <w:rFonts w:ascii="Arial" w:hAnsi="Arial" w:cs="Arial"/>
          <w:sz w:val="24"/>
          <w:szCs w:val="24"/>
        </w:rPr>
      </w:pPr>
      <w:r w:rsidRPr="00270C08">
        <w:rPr>
          <w:rFonts w:ascii="Arial" w:hAnsi="Arial" w:cs="Arial"/>
          <w:sz w:val="24"/>
          <w:szCs w:val="24"/>
        </w:rPr>
        <w:t>[9]</w:t>
      </w:r>
      <w:r w:rsidRPr="00270C08">
        <w:rPr>
          <w:rFonts w:ascii="Arial" w:hAnsi="Arial" w:cs="Arial"/>
          <w:sz w:val="24"/>
          <w:szCs w:val="24"/>
        </w:rPr>
        <w:tab/>
      </w:r>
      <w:r w:rsidR="00101C03" w:rsidRPr="00270C08">
        <w:rPr>
          <w:rFonts w:ascii="Arial" w:hAnsi="Arial" w:cs="Arial"/>
          <w:sz w:val="24"/>
          <w:szCs w:val="24"/>
        </w:rPr>
        <w:t>Upon receipt of</w:t>
      </w:r>
      <w:r w:rsidR="00FF3AE9" w:rsidRPr="00270C08">
        <w:rPr>
          <w:rFonts w:ascii="Arial" w:hAnsi="Arial" w:cs="Arial"/>
          <w:sz w:val="24"/>
          <w:szCs w:val="24"/>
        </w:rPr>
        <w:t xml:space="preserve"> that report, </w:t>
      </w:r>
      <w:r w:rsidR="002E4EE6" w:rsidRPr="00270C08">
        <w:rPr>
          <w:rFonts w:ascii="Arial" w:hAnsi="Arial" w:cs="Arial"/>
          <w:sz w:val="24"/>
          <w:szCs w:val="24"/>
        </w:rPr>
        <w:t>Sgt</w:t>
      </w:r>
      <w:r w:rsidR="00FF3AE9" w:rsidRPr="00270C08">
        <w:rPr>
          <w:rFonts w:ascii="Arial" w:hAnsi="Arial" w:cs="Arial"/>
          <w:sz w:val="24"/>
          <w:szCs w:val="24"/>
        </w:rPr>
        <w:t xml:space="preserve"> Flatela proceeded to the scene of the shooting. </w:t>
      </w:r>
      <w:r w:rsidR="002E4EE6" w:rsidRPr="00270C08">
        <w:rPr>
          <w:rFonts w:ascii="Arial" w:hAnsi="Arial" w:cs="Arial"/>
          <w:sz w:val="24"/>
          <w:szCs w:val="24"/>
        </w:rPr>
        <w:t>When he arrived</w:t>
      </w:r>
      <w:r w:rsidR="00FF3AE9" w:rsidRPr="00270C08">
        <w:rPr>
          <w:rFonts w:ascii="Arial" w:hAnsi="Arial" w:cs="Arial"/>
          <w:sz w:val="24"/>
          <w:szCs w:val="24"/>
        </w:rPr>
        <w:t xml:space="preserve"> at the scene of the crime, he found a man already dead. </w:t>
      </w:r>
      <w:r w:rsidR="002E4EE6" w:rsidRPr="00270C08">
        <w:rPr>
          <w:rFonts w:ascii="Arial" w:hAnsi="Arial" w:cs="Arial"/>
          <w:sz w:val="24"/>
          <w:szCs w:val="24"/>
        </w:rPr>
        <w:t>Upon his</w:t>
      </w:r>
      <w:r w:rsidR="003916A8" w:rsidRPr="00270C08">
        <w:rPr>
          <w:rFonts w:ascii="Arial" w:hAnsi="Arial" w:cs="Arial"/>
          <w:sz w:val="24"/>
          <w:szCs w:val="24"/>
        </w:rPr>
        <w:t xml:space="preserve"> enquiry about the incident, he received information that the person who had shot the deceased had </w:t>
      </w:r>
      <w:r w:rsidR="00097F00">
        <w:rPr>
          <w:rFonts w:ascii="Arial" w:hAnsi="Arial" w:cs="Arial"/>
          <w:sz w:val="24"/>
          <w:szCs w:val="24"/>
        </w:rPr>
        <w:t>run</w:t>
      </w:r>
      <w:r w:rsidR="00F42D65">
        <w:rPr>
          <w:rFonts w:ascii="Arial" w:hAnsi="Arial" w:cs="Arial"/>
          <w:sz w:val="24"/>
          <w:szCs w:val="24"/>
        </w:rPr>
        <w:t xml:space="preserve"> </w:t>
      </w:r>
      <w:r w:rsidR="003916A8" w:rsidRPr="00270C08">
        <w:rPr>
          <w:rFonts w:ascii="Arial" w:hAnsi="Arial" w:cs="Arial"/>
          <w:sz w:val="24"/>
          <w:szCs w:val="24"/>
        </w:rPr>
        <w:t>into a red Golf vehicle</w:t>
      </w:r>
      <w:r w:rsidR="00F657DC" w:rsidRPr="00270C08">
        <w:rPr>
          <w:rFonts w:ascii="Arial" w:hAnsi="Arial" w:cs="Arial"/>
          <w:sz w:val="24"/>
          <w:szCs w:val="24"/>
        </w:rPr>
        <w:t xml:space="preserve"> and fled the scene. </w:t>
      </w:r>
      <w:r w:rsidR="008B50A0" w:rsidRPr="00270C08">
        <w:rPr>
          <w:rFonts w:ascii="Arial" w:hAnsi="Arial" w:cs="Arial"/>
          <w:sz w:val="24"/>
          <w:szCs w:val="24"/>
        </w:rPr>
        <w:t>Sgt Flatela immediately conveyed the information to his colleagues</w:t>
      </w:r>
      <w:r w:rsidR="002E4EE6" w:rsidRPr="00270C08">
        <w:rPr>
          <w:rFonts w:ascii="Arial" w:hAnsi="Arial" w:cs="Arial"/>
          <w:sz w:val="24"/>
          <w:szCs w:val="24"/>
        </w:rPr>
        <w:t xml:space="preserve"> through a police radio</w:t>
      </w:r>
      <w:r w:rsidR="008B50A0" w:rsidRPr="00270C08">
        <w:rPr>
          <w:rFonts w:ascii="Arial" w:hAnsi="Arial" w:cs="Arial"/>
          <w:sz w:val="24"/>
          <w:szCs w:val="24"/>
        </w:rPr>
        <w:t xml:space="preserve">. </w:t>
      </w:r>
      <w:r w:rsidR="002E4EE6" w:rsidRPr="00270C08">
        <w:rPr>
          <w:rFonts w:ascii="Arial" w:hAnsi="Arial" w:cs="Arial"/>
          <w:sz w:val="24"/>
          <w:szCs w:val="24"/>
        </w:rPr>
        <w:t>H</w:t>
      </w:r>
      <w:r w:rsidR="008B50A0" w:rsidRPr="00270C08">
        <w:rPr>
          <w:rFonts w:ascii="Arial" w:hAnsi="Arial" w:cs="Arial"/>
          <w:sz w:val="24"/>
          <w:szCs w:val="24"/>
        </w:rPr>
        <w:t>is colleagues</w:t>
      </w:r>
      <w:r w:rsidR="002E4EE6" w:rsidRPr="00270C08">
        <w:rPr>
          <w:rFonts w:ascii="Arial" w:hAnsi="Arial" w:cs="Arial"/>
          <w:sz w:val="24"/>
          <w:szCs w:val="24"/>
        </w:rPr>
        <w:t xml:space="preserve">, </w:t>
      </w:r>
      <w:r w:rsidR="008B50A0" w:rsidRPr="00270C08">
        <w:rPr>
          <w:rFonts w:ascii="Arial" w:hAnsi="Arial" w:cs="Arial"/>
          <w:sz w:val="24"/>
          <w:szCs w:val="24"/>
        </w:rPr>
        <w:t xml:space="preserve">within a short space of time, informed him that the red Golf had been </w:t>
      </w:r>
      <w:r w:rsidR="00BB136B">
        <w:rPr>
          <w:rFonts w:ascii="Arial" w:hAnsi="Arial" w:cs="Arial"/>
          <w:sz w:val="24"/>
          <w:szCs w:val="24"/>
        </w:rPr>
        <w:t>spotted and stopped</w:t>
      </w:r>
      <w:r w:rsidR="008B50A0" w:rsidRPr="00270C08">
        <w:rPr>
          <w:rFonts w:ascii="Arial" w:hAnsi="Arial" w:cs="Arial"/>
          <w:sz w:val="24"/>
          <w:szCs w:val="24"/>
        </w:rPr>
        <w:t xml:space="preserve">. </w:t>
      </w:r>
      <w:r w:rsidR="001E10FC" w:rsidRPr="00270C08">
        <w:rPr>
          <w:rFonts w:ascii="Arial" w:hAnsi="Arial" w:cs="Arial"/>
          <w:sz w:val="24"/>
          <w:szCs w:val="24"/>
        </w:rPr>
        <w:t>He immediately left the scene</w:t>
      </w:r>
      <w:r w:rsidR="002E4EE6" w:rsidRPr="00270C08">
        <w:rPr>
          <w:rFonts w:ascii="Arial" w:hAnsi="Arial" w:cs="Arial"/>
          <w:sz w:val="24"/>
          <w:szCs w:val="24"/>
        </w:rPr>
        <w:t xml:space="preserve"> </w:t>
      </w:r>
      <w:r w:rsidR="001E10FC" w:rsidRPr="00270C08">
        <w:rPr>
          <w:rFonts w:ascii="Arial" w:hAnsi="Arial" w:cs="Arial"/>
          <w:sz w:val="24"/>
          <w:szCs w:val="24"/>
        </w:rPr>
        <w:t xml:space="preserve">and </w:t>
      </w:r>
      <w:r w:rsidR="002E4EE6" w:rsidRPr="00270C08">
        <w:rPr>
          <w:rFonts w:ascii="Arial" w:hAnsi="Arial" w:cs="Arial"/>
          <w:sz w:val="24"/>
          <w:szCs w:val="24"/>
        </w:rPr>
        <w:t xml:space="preserve">proceeded to </w:t>
      </w:r>
      <w:r w:rsidR="001E10FC" w:rsidRPr="00270C08">
        <w:rPr>
          <w:rFonts w:ascii="Arial" w:hAnsi="Arial" w:cs="Arial"/>
          <w:sz w:val="24"/>
          <w:szCs w:val="24"/>
        </w:rPr>
        <w:t xml:space="preserve">the place where the red Golf </w:t>
      </w:r>
      <w:r w:rsidR="00C472F9">
        <w:rPr>
          <w:rFonts w:ascii="Arial" w:hAnsi="Arial" w:cs="Arial"/>
          <w:sz w:val="24"/>
          <w:szCs w:val="24"/>
        </w:rPr>
        <w:t>had been</w:t>
      </w:r>
      <w:r w:rsidR="001E10FC" w:rsidRPr="00270C08">
        <w:rPr>
          <w:rFonts w:ascii="Arial" w:hAnsi="Arial" w:cs="Arial"/>
          <w:sz w:val="24"/>
          <w:szCs w:val="24"/>
        </w:rPr>
        <w:t xml:space="preserve"> found. </w:t>
      </w:r>
    </w:p>
    <w:p w14:paraId="1734C3BA" w14:textId="2601CB48" w:rsidR="006475CB" w:rsidRPr="00270C08" w:rsidRDefault="00CA0C2E" w:rsidP="00CA0C2E">
      <w:pPr>
        <w:spacing w:after="240" w:line="360" w:lineRule="auto"/>
        <w:jc w:val="both"/>
        <w:rPr>
          <w:rFonts w:ascii="Arial" w:hAnsi="Arial" w:cs="Arial"/>
          <w:sz w:val="24"/>
          <w:szCs w:val="24"/>
        </w:rPr>
      </w:pPr>
      <w:r w:rsidRPr="00270C08">
        <w:rPr>
          <w:rFonts w:ascii="Arial" w:hAnsi="Arial" w:cs="Arial"/>
          <w:sz w:val="24"/>
          <w:szCs w:val="24"/>
        </w:rPr>
        <w:t>[10]</w:t>
      </w:r>
      <w:r w:rsidRPr="00270C08">
        <w:rPr>
          <w:rFonts w:ascii="Arial" w:hAnsi="Arial" w:cs="Arial"/>
          <w:sz w:val="24"/>
          <w:szCs w:val="24"/>
        </w:rPr>
        <w:tab/>
      </w:r>
      <w:r w:rsidR="00C67E23" w:rsidRPr="00270C08">
        <w:rPr>
          <w:rFonts w:ascii="Arial" w:hAnsi="Arial" w:cs="Arial"/>
          <w:sz w:val="24"/>
          <w:szCs w:val="24"/>
        </w:rPr>
        <w:t xml:space="preserve">Upon </w:t>
      </w:r>
      <w:r w:rsidR="002E4EE6" w:rsidRPr="00270C08">
        <w:rPr>
          <w:rFonts w:ascii="Arial" w:hAnsi="Arial" w:cs="Arial"/>
          <w:sz w:val="24"/>
          <w:szCs w:val="24"/>
        </w:rPr>
        <w:t xml:space="preserve">his arrival at the place where the red Golf </w:t>
      </w:r>
      <w:r w:rsidR="00C67E23" w:rsidRPr="00270C08">
        <w:rPr>
          <w:rFonts w:ascii="Arial" w:hAnsi="Arial" w:cs="Arial"/>
          <w:sz w:val="24"/>
          <w:szCs w:val="24"/>
        </w:rPr>
        <w:t>had been stopped</w:t>
      </w:r>
      <w:r w:rsidR="00146FF5">
        <w:rPr>
          <w:rFonts w:ascii="Arial" w:hAnsi="Arial" w:cs="Arial"/>
          <w:sz w:val="24"/>
          <w:szCs w:val="24"/>
        </w:rPr>
        <w:t xml:space="preserve">, </w:t>
      </w:r>
      <w:r w:rsidR="002E4EE6" w:rsidRPr="00270C08">
        <w:rPr>
          <w:rFonts w:ascii="Arial" w:hAnsi="Arial" w:cs="Arial"/>
          <w:sz w:val="24"/>
          <w:szCs w:val="24"/>
        </w:rPr>
        <w:t xml:space="preserve">he </w:t>
      </w:r>
      <w:r w:rsidR="00146FF5">
        <w:rPr>
          <w:rFonts w:ascii="Arial" w:hAnsi="Arial" w:cs="Arial"/>
          <w:sz w:val="24"/>
          <w:szCs w:val="24"/>
        </w:rPr>
        <w:t>found</w:t>
      </w:r>
      <w:r w:rsidR="002E4EE6" w:rsidRPr="00270C08">
        <w:rPr>
          <w:rFonts w:ascii="Arial" w:hAnsi="Arial" w:cs="Arial"/>
          <w:sz w:val="24"/>
          <w:szCs w:val="24"/>
        </w:rPr>
        <w:t xml:space="preserve"> </w:t>
      </w:r>
      <w:r w:rsidR="006475CB" w:rsidRPr="00270C08">
        <w:rPr>
          <w:rFonts w:ascii="Arial" w:hAnsi="Arial" w:cs="Arial"/>
          <w:sz w:val="24"/>
          <w:szCs w:val="24"/>
        </w:rPr>
        <w:t>his colleagues</w:t>
      </w:r>
      <w:r w:rsidR="00E248D6" w:rsidRPr="00270C08">
        <w:rPr>
          <w:rFonts w:ascii="Arial" w:hAnsi="Arial" w:cs="Arial"/>
          <w:sz w:val="24"/>
          <w:szCs w:val="24"/>
        </w:rPr>
        <w:t xml:space="preserve"> </w:t>
      </w:r>
      <w:r w:rsidR="00C67E23" w:rsidRPr="00270C08">
        <w:rPr>
          <w:rFonts w:ascii="Arial" w:hAnsi="Arial" w:cs="Arial"/>
          <w:sz w:val="24"/>
          <w:szCs w:val="24"/>
        </w:rPr>
        <w:t xml:space="preserve">and the occupants of </w:t>
      </w:r>
      <w:r w:rsidR="002E4EE6" w:rsidRPr="00270C08">
        <w:rPr>
          <w:rFonts w:ascii="Arial" w:hAnsi="Arial" w:cs="Arial"/>
          <w:sz w:val="24"/>
          <w:szCs w:val="24"/>
        </w:rPr>
        <w:t>th</w:t>
      </w:r>
      <w:r w:rsidR="00E248D6" w:rsidRPr="00270C08">
        <w:rPr>
          <w:rFonts w:ascii="Arial" w:hAnsi="Arial" w:cs="Arial"/>
          <w:sz w:val="24"/>
          <w:szCs w:val="24"/>
        </w:rPr>
        <w:t xml:space="preserve">e red Golf. </w:t>
      </w:r>
      <w:r w:rsidR="00C67E23" w:rsidRPr="00270C08">
        <w:rPr>
          <w:rFonts w:ascii="Arial" w:hAnsi="Arial" w:cs="Arial"/>
          <w:sz w:val="24"/>
          <w:szCs w:val="24"/>
        </w:rPr>
        <w:t xml:space="preserve"> </w:t>
      </w:r>
      <w:r w:rsidR="00341128" w:rsidRPr="00270C08">
        <w:rPr>
          <w:rFonts w:ascii="Arial" w:hAnsi="Arial" w:cs="Arial"/>
          <w:sz w:val="24"/>
          <w:szCs w:val="24"/>
        </w:rPr>
        <w:t xml:space="preserve">He introduced himself to the occupants of the red Golf and told them that he was following up on a person suspected of murder. </w:t>
      </w:r>
      <w:r w:rsidR="002A08B5" w:rsidRPr="00270C08">
        <w:rPr>
          <w:rFonts w:ascii="Arial" w:hAnsi="Arial" w:cs="Arial"/>
          <w:sz w:val="24"/>
          <w:szCs w:val="24"/>
        </w:rPr>
        <w:t xml:space="preserve">He informed the occupants that according to his information, </w:t>
      </w:r>
      <w:r w:rsidR="00003BC9" w:rsidRPr="00270C08">
        <w:rPr>
          <w:rFonts w:ascii="Arial" w:hAnsi="Arial" w:cs="Arial"/>
          <w:sz w:val="24"/>
          <w:szCs w:val="24"/>
        </w:rPr>
        <w:t xml:space="preserve">the person who had committed the murder was alleged to have driven away in a red Golf. </w:t>
      </w:r>
      <w:r w:rsidR="001B4A90" w:rsidRPr="00270C08">
        <w:rPr>
          <w:rFonts w:ascii="Arial" w:hAnsi="Arial" w:cs="Arial"/>
          <w:sz w:val="24"/>
          <w:szCs w:val="24"/>
        </w:rPr>
        <w:t xml:space="preserve">Sgt Flatela further testified that he then arrested the occupants in order to conduct further investigations. </w:t>
      </w:r>
      <w:r w:rsidR="00146FF5">
        <w:rPr>
          <w:rFonts w:ascii="Arial" w:hAnsi="Arial" w:cs="Arial"/>
          <w:sz w:val="24"/>
          <w:szCs w:val="24"/>
        </w:rPr>
        <w:t xml:space="preserve">He </w:t>
      </w:r>
      <w:r w:rsidR="00C67E23" w:rsidRPr="00270C08">
        <w:rPr>
          <w:rFonts w:ascii="Arial" w:hAnsi="Arial" w:cs="Arial"/>
          <w:sz w:val="24"/>
          <w:szCs w:val="24"/>
        </w:rPr>
        <w:t>then</w:t>
      </w:r>
      <w:r w:rsidR="00AE0F10" w:rsidRPr="00270C08">
        <w:rPr>
          <w:rFonts w:ascii="Arial" w:hAnsi="Arial" w:cs="Arial"/>
          <w:sz w:val="24"/>
          <w:szCs w:val="24"/>
        </w:rPr>
        <w:t xml:space="preserve"> made arrangements for a prima residue test to be done and buccal samples to be taken on each of the occupants of the red Golf</w:t>
      </w:r>
      <w:r w:rsidR="00C67E23" w:rsidRPr="00270C08">
        <w:rPr>
          <w:rFonts w:ascii="Arial" w:hAnsi="Arial" w:cs="Arial"/>
          <w:sz w:val="24"/>
          <w:szCs w:val="24"/>
        </w:rPr>
        <w:t xml:space="preserve">.  He also </w:t>
      </w:r>
      <w:r w:rsidR="00C67E23" w:rsidRPr="00270C08">
        <w:rPr>
          <w:rFonts w:ascii="Arial" w:hAnsi="Arial" w:cs="Arial"/>
          <w:sz w:val="24"/>
          <w:szCs w:val="24"/>
        </w:rPr>
        <w:lastRenderedPageBreak/>
        <w:t xml:space="preserve">arranged </w:t>
      </w:r>
      <w:r w:rsidR="00AE0F10" w:rsidRPr="00270C08">
        <w:rPr>
          <w:rFonts w:ascii="Arial" w:hAnsi="Arial" w:cs="Arial"/>
          <w:sz w:val="24"/>
          <w:szCs w:val="24"/>
        </w:rPr>
        <w:t xml:space="preserve">for their questioning, in order to trace the person implicated in the crime of murder. </w:t>
      </w:r>
    </w:p>
    <w:p w14:paraId="3B383B59" w14:textId="00C1CDD3" w:rsidR="00D65776" w:rsidRPr="00270C08" w:rsidRDefault="00CA0C2E" w:rsidP="00CA0C2E">
      <w:pPr>
        <w:spacing w:after="240" w:line="360" w:lineRule="auto"/>
        <w:jc w:val="both"/>
        <w:rPr>
          <w:rFonts w:ascii="Arial" w:hAnsi="Arial" w:cs="Arial"/>
          <w:sz w:val="24"/>
          <w:szCs w:val="24"/>
        </w:rPr>
      </w:pPr>
      <w:r w:rsidRPr="00270C08">
        <w:rPr>
          <w:rFonts w:ascii="Arial" w:hAnsi="Arial" w:cs="Arial"/>
          <w:sz w:val="24"/>
          <w:szCs w:val="24"/>
        </w:rPr>
        <w:t>[11]</w:t>
      </w:r>
      <w:r w:rsidRPr="00270C08">
        <w:rPr>
          <w:rFonts w:ascii="Arial" w:hAnsi="Arial" w:cs="Arial"/>
          <w:sz w:val="24"/>
          <w:szCs w:val="24"/>
        </w:rPr>
        <w:tab/>
      </w:r>
      <w:r w:rsidR="00D65776" w:rsidRPr="00270C08">
        <w:rPr>
          <w:rFonts w:ascii="Arial" w:hAnsi="Arial" w:cs="Arial"/>
          <w:sz w:val="24"/>
          <w:szCs w:val="24"/>
        </w:rPr>
        <w:t xml:space="preserve">On his conclusion of the prima residue test and buccal samples, Sgt Flatela detained the respondents for what he termed ‘thorough investigation to be done because of the seriousness of the offence.’ </w:t>
      </w:r>
      <w:r w:rsidR="00AE7FC4" w:rsidRPr="00270C08">
        <w:rPr>
          <w:rFonts w:ascii="Arial" w:hAnsi="Arial" w:cs="Arial"/>
          <w:sz w:val="24"/>
          <w:szCs w:val="24"/>
        </w:rPr>
        <w:t xml:space="preserve">According to </w:t>
      </w:r>
      <w:r w:rsidR="00E3074A" w:rsidRPr="00270C08">
        <w:rPr>
          <w:rFonts w:ascii="Arial" w:hAnsi="Arial" w:cs="Arial"/>
          <w:sz w:val="24"/>
          <w:szCs w:val="24"/>
        </w:rPr>
        <w:t>him</w:t>
      </w:r>
      <w:r w:rsidR="00AE7FC4" w:rsidRPr="00270C08">
        <w:rPr>
          <w:rFonts w:ascii="Arial" w:hAnsi="Arial" w:cs="Arial"/>
          <w:sz w:val="24"/>
          <w:szCs w:val="24"/>
        </w:rPr>
        <w:t>, the investigating officer, at that time, was at the scene of the crime</w:t>
      </w:r>
      <w:r w:rsidR="00E3074A" w:rsidRPr="00270C08">
        <w:rPr>
          <w:rFonts w:ascii="Arial" w:hAnsi="Arial" w:cs="Arial"/>
          <w:sz w:val="24"/>
          <w:szCs w:val="24"/>
        </w:rPr>
        <w:t xml:space="preserve"> at Seyisi Area, KwaZakhele</w:t>
      </w:r>
      <w:r w:rsidR="00AE7FC4" w:rsidRPr="00270C08">
        <w:rPr>
          <w:rFonts w:ascii="Arial" w:hAnsi="Arial" w:cs="Arial"/>
          <w:sz w:val="24"/>
          <w:szCs w:val="24"/>
        </w:rPr>
        <w:t xml:space="preserve">. </w:t>
      </w:r>
    </w:p>
    <w:p w14:paraId="2DE734C8" w14:textId="1C97A5D6" w:rsidR="00356B46" w:rsidRPr="00270C08" w:rsidRDefault="00CA0C2E" w:rsidP="00CA0C2E">
      <w:pPr>
        <w:spacing w:after="240" w:line="360" w:lineRule="auto"/>
        <w:jc w:val="both"/>
        <w:rPr>
          <w:rFonts w:ascii="Arial" w:hAnsi="Arial" w:cs="Arial"/>
          <w:sz w:val="24"/>
          <w:szCs w:val="24"/>
        </w:rPr>
      </w:pPr>
      <w:r w:rsidRPr="00270C08">
        <w:rPr>
          <w:rFonts w:ascii="Arial" w:hAnsi="Arial" w:cs="Arial"/>
          <w:sz w:val="24"/>
          <w:szCs w:val="24"/>
        </w:rPr>
        <w:t>[12]</w:t>
      </w:r>
      <w:r w:rsidRPr="00270C08">
        <w:rPr>
          <w:rFonts w:ascii="Arial" w:hAnsi="Arial" w:cs="Arial"/>
          <w:sz w:val="24"/>
          <w:szCs w:val="24"/>
        </w:rPr>
        <w:tab/>
      </w:r>
      <w:r w:rsidR="00356B46" w:rsidRPr="00270C08">
        <w:rPr>
          <w:rFonts w:ascii="Arial" w:hAnsi="Arial" w:cs="Arial"/>
          <w:sz w:val="24"/>
          <w:szCs w:val="24"/>
        </w:rPr>
        <w:t xml:space="preserve">Sgt Flatela had further testified that the person who provided him with information of the murder suspect was a member of the community. </w:t>
      </w:r>
      <w:r w:rsidR="00614A28" w:rsidRPr="00270C08">
        <w:rPr>
          <w:rFonts w:ascii="Arial" w:hAnsi="Arial" w:cs="Arial"/>
          <w:sz w:val="24"/>
          <w:szCs w:val="24"/>
        </w:rPr>
        <w:t xml:space="preserve">He did not divulge the details of his informant. </w:t>
      </w:r>
    </w:p>
    <w:p w14:paraId="5EA9AE88" w14:textId="2DA48BE5" w:rsidR="006A2061" w:rsidRPr="00270C08" w:rsidRDefault="00CA0C2E" w:rsidP="00CA0C2E">
      <w:pPr>
        <w:spacing w:after="240" w:line="360" w:lineRule="auto"/>
        <w:jc w:val="both"/>
        <w:rPr>
          <w:rFonts w:ascii="Arial" w:hAnsi="Arial" w:cs="Arial"/>
          <w:sz w:val="24"/>
          <w:szCs w:val="24"/>
        </w:rPr>
      </w:pPr>
      <w:r w:rsidRPr="00270C08">
        <w:rPr>
          <w:rFonts w:ascii="Arial" w:hAnsi="Arial" w:cs="Arial"/>
          <w:sz w:val="24"/>
          <w:szCs w:val="24"/>
        </w:rPr>
        <w:t>[13]</w:t>
      </w:r>
      <w:r w:rsidRPr="00270C08">
        <w:rPr>
          <w:rFonts w:ascii="Arial" w:hAnsi="Arial" w:cs="Arial"/>
          <w:sz w:val="24"/>
          <w:szCs w:val="24"/>
        </w:rPr>
        <w:tab/>
      </w:r>
      <w:r w:rsidR="006A2061" w:rsidRPr="00270C08">
        <w:rPr>
          <w:rFonts w:ascii="Arial" w:hAnsi="Arial" w:cs="Arial"/>
          <w:sz w:val="24"/>
          <w:szCs w:val="24"/>
        </w:rPr>
        <w:t xml:space="preserve">Sgt Thala also testified. </w:t>
      </w:r>
      <w:r w:rsidR="00E2046E">
        <w:rPr>
          <w:rFonts w:ascii="Arial" w:hAnsi="Arial" w:cs="Arial"/>
          <w:sz w:val="24"/>
          <w:szCs w:val="24"/>
        </w:rPr>
        <w:t>He</w:t>
      </w:r>
      <w:r w:rsidR="00954703" w:rsidRPr="00270C08">
        <w:rPr>
          <w:rFonts w:ascii="Arial" w:hAnsi="Arial" w:cs="Arial"/>
          <w:sz w:val="24"/>
          <w:szCs w:val="24"/>
        </w:rPr>
        <w:t xml:space="preserve"> confirmed that he was the investigating officer of the </w:t>
      </w:r>
      <w:r w:rsidR="002913F5">
        <w:rPr>
          <w:rFonts w:ascii="Arial" w:hAnsi="Arial" w:cs="Arial"/>
          <w:sz w:val="24"/>
          <w:szCs w:val="24"/>
        </w:rPr>
        <w:t xml:space="preserve">murder </w:t>
      </w:r>
      <w:r w:rsidR="00954703" w:rsidRPr="00270C08">
        <w:rPr>
          <w:rFonts w:ascii="Arial" w:hAnsi="Arial" w:cs="Arial"/>
          <w:sz w:val="24"/>
          <w:szCs w:val="24"/>
        </w:rPr>
        <w:t>case. According to him, he was dispatched by controller 10111 to attend to a murder crime scene at Ndongeni Street, Seyisi, KwaZakhel</w:t>
      </w:r>
      <w:r w:rsidR="00555BF0">
        <w:rPr>
          <w:rFonts w:ascii="Arial" w:hAnsi="Arial" w:cs="Arial"/>
          <w:sz w:val="24"/>
          <w:szCs w:val="24"/>
        </w:rPr>
        <w:t>e</w:t>
      </w:r>
      <w:r w:rsidR="00954703" w:rsidRPr="00270C08">
        <w:rPr>
          <w:rFonts w:ascii="Arial" w:hAnsi="Arial" w:cs="Arial"/>
          <w:sz w:val="24"/>
          <w:szCs w:val="24"/>
        </w:rPr>
        <w:t>. On his arrival at the scene, he found Constable A N Ndingi of New Brighton visible polic</w:t>
      </w:r>
      <w:r w:rsidR="002B5EA2">
        <w:rPr>
          <w:rFonts w:ascii="Arial" w:hAnsi="Arial" w:cs="Arial"/>
          <w:sz w:val="24"/>
          <w:szCs w:val="24"/>
        </w:rPr>
        <w:t>ing</w:t>
      </w:r>
      <w:r w:rsidR="00954703" w:rsidRPr="00270C08">
        <w:rPr>
          <w:rFonts w:ascii="Arial" w:hAnsi="Arial" w:cs="Arial"/>
          <w:sz w:val="24"/>
          <w:szCs w:val="24"/>
        </w:rPr>
        <w:t xml:space="preserve"> unit. Constable Ndingi had informed </w:t>
      </w:r>
      <w:r w:rsidR="002913F5">
        <w:rPr>
          <w:rFonts w:ascii="Arial" w:hAnsi="Arial" w:cs="Arial"/>
          <w:sz w:val="24"/>
          <w:szCs w:val="24"/>
        </w:rPr>
        <w:t>him</w:t>
      </w:r>
      <w:r w:rsidR="00954703" w:rsidRPr="00270C08">
        <w:rPr>
          <w:rFonts w:ascii="Arial" w:hAnsi="Arial" w:cs="Arial"/>
          <w:sz w:val="24"/>
          <w:szCs w:val="24"/>
        </w:rPr>
        <w:t xml:space="preserve"> that he had arrived at the scene at about </w:t>
      </w:r>
      <w:r w:rsidR="0083481D" w:rsidRPr="00270C08">
        <w:rPr>
          <w:rFonts w:ascii="Arial" w:hAnsi="Arial" w:cs="Arial"/>
          <w:sz w:val="24"/>
          <w:szCs w:val="24"/>
        </w:rPr>
        <w:t>23h35 and that on his arrival, he found the body of the deceased</w:t>
      </w:r>
      <w:r w:rsidR="00E3074A" w:rsidRPr="00270C08">
        <w:rPr>
          <w:rFonts w:ascii="Arial" w:hAnsi="Arial" w:cs="Arial"/>
          <w:sz w:val="24"/>
          <w:szCs w:val="24"/>
        </w:rPr>
        <w:t xml:space="preserve"> already</w:t>
      </w:r>
      <w:r w:rsidR="0083481D" w:rsidRPr="00270C08">
        <w:rPr>
          <w:rFonts w:ascii="Arial" w:hAnsi="Arial" w:cs="Arial"/>
          <w:sz w:val="24"/>
          <w:szCs w:val="24"/>
        </w:rPr>
        <w:t xml:space="preserve"> laying on the ground. </w:t>
      </w:r>
    </w:p>
    <w:p w14:paraId="09813D99" w14:textId="6CB66DF0" w:rsidR="00B969F1" w:rsidRPr="00270C08" w:rsidRDefault="00CA0C2E" w:rsidP="00CA0C2E">
      <w:pPr>
        <w:spacing w:after="240" w:line="360" w:lineRule="auto"/>
        <w:jc w:val="both"/>
        <w:rPr>
          <w:rFonts w:ascii="Arial" w:hAnsi="Arial" w:cs="Arial"/>
          <w:sz w:val="24"/>
          <w:szCs w:val="24"/>
        </w:rPr>
      </w:pPr>
      <w:r w:rsidRPr="00270C08">
        <w:rPr>
          <w:rFonts w:ascii="Arial" w:hAnsi="Arial" w:cs="Arial"/>
          <w:sz w:val="24"/>
          <w:szCs w:val="24"/>
        </w:rPr>
        <w:t>[14]</w:t>
      </w:r>
      <w:r w:rsidRPr="00270C08">
        <w:rPr>
          <w:rFonts w:ascii="Arial" w:hAnsi="Arial" w:cs="Arial"/>
          <w:sz w:val="24"/>
          <w:szCs w:val="24"/>
        </w:rPr>
        <w:tab/>
      </w:r>
      <w:r w:rsidR="00B969F1" w:rsidRPr="00270C08">
        <w:rPr>
          <w:rFonts w:ascii="Arial" w:hAnsi="Arial" w:cs="Arial"/>
          <w:sz w:val="24"/>
          <w:szCs w:val="24"/>
        </w:rPr>
        <w:t>According to Sgt Thala, he had attended the scene in the early hours of 3 July 2017</w:t>
      </w:r>
      <w:r w:rsidR="00FF32C6" w:rsidRPr="00270C08">
        <w:rPr>
          <w:rFonts w:ascii="Arial" w:hAnsi="Arial" w:cs="Arial"/>
          <w:sz w:val="24"/>
          <w:szCs w:val="24"/>
        </w:rPr>
        <w:t xml:space="preserve"> and that after completing the crime scene investigation, he went off duty. </w:t>
      </w:r>
      <w:r w:rsidR="002B3BFE" w:rsidRPr="00270C08">
        <w:rPr>
          <w:rFonts w:ascii="Arial" w:hAnsi="Arial" w:cs="Arial"/>
          <w:sz w:val="24"/>
          <w:szCs w:val="24"/>
        </w:rPr>
        <w:t xml:space="preserve">He again reported on duty on the same morning at about 07h30. When he reported for duty at about 07h30, he received the case docket from his superior commanding officer at about 10h30 on the same day. </w:t>
      </w:r>
      <w:r w:rsidR="00063E48" w:rsidRPr="00270C08">
        <w:rPr>
          <w:rFonts w:ascii="Arial" w:hAnsi="Arial" w:cs="Arial"/>
          <w:sz w:val="24"/>
          <w:szCs w:val="24"/>
        </w:rPr>
        <w:t xml:space="preserve">Sgt Thala testified that when he received the docket, he observed that there were suspects that were found in the red Golf and that prima residue tests were done and that buccal samples were also taken. </w:t>
      </w:r>
      <w:r w:rsidR="0092418D" w:rsidRPr="00270C08">
        <w:rPr>
          <w:rFonts w:ascii="Arial" w:hAnsi="Arial" w:cs="Arial"/>
          <w:sz w:val="24"/>
          <w:szCs w:val="24"/>
        </w:rPr>
        <w:t xml:space="preserve">Sgt Thala conducted his own investigations by interviewing 7 suspects that were arrested in the red Golf. </w:t>
      </w:r>
      <w:r w:rsidR="00115099" w:rsidRPr="00270C08">
        <w:rPr>
          <w:rFonts w:ascii="Arial" w:hAnsi="Arial" w:cs="Arial"/>
          <w:sz w:val="24"/>
          <w:szCs w:val="24"/>
        </w:rPr>
        <w:t>The purpose of his investigation was to establish whether any of the suspects w</w:t>
      </w:r>
      <w:r w:rsidR="00300E45">
        <w:rPr>
          <w:rFonts w:ascii="Arial" w:hAnsi="Arial" w:cs="Arial"/>
          <w:sz w:val="24"/>
          <w:szCs w:val="24"/>
        </w:rPr>
        <w:t>ere</w:t>
      </w:r>
      <w:r w:rsidR="00115099" w:rsidRPr="00270C08">
        <w:rPr>
          <w:rFonts w:ascii="Arial" w:hAnsi="Arial" w:cs="Arial"/>
          <w:sz w:val="24"/>
          <w:szCs w:val="24"/>
        </w:rPr>
        <w:t xml:space="preserve"> linked to the offence. </w:t>
      </w:r>
    </w:p>
    <w:p w14:paraId="1A78CDFC" w14:textId="60064CA0" w:rsidR="004B2FE4" w:rsidRPr="00270C08" w:rsidRDefault="00CA0C2E" w:rsidP="00CA0C2E">
      <w:pPr>
        <w:spacing w:after="240" w:line="360" w:lineRule="auto"/>
        <w:jc w:val="both"/>
        <w:rPr>
          <w:rFonts w:ascii="Arial" w:hAnsi="Arial" w:cs="Arial"/>
          <w:sz w:val="24"/>
          <w:szCs w:val="24"/>
        </w:rPr>
      </w:pPr>
      <w:r w:rsidRPr="00270C08">
        <w:rPr>
          <w:rFonts w:ascii="Arial" w:hAnsi="Arial" w:cs="Arial"/>
          <w:sz w:val="24"/>
          <w:szCs w:val="24"/>
        </w:rPr>
        <w:t>[15]</w:t>
      </w:r>
      <w:r w:rsidRPr="00270C08">
        <w:rPr>
          <w:rFonts w:ascii="Arial" w:hAnsi="Arial" w:cs="Arial"/>
          <w:sz w:val="24"/>
          <w:szCs w:val="24"/>
        </w:rPr>
        <w:tab/>
      </w:r>
      <w:r w:rsidR="002913F5">
        <w:rPr>
          <w:rFonts w:ascii="Arial" w:hAnsi="Arial" w:cs="Arial"/>
          <w:sz w:val="24"/>
          <w:szCs w:val="24"/>
        </w:rPr>
        <w:t>He</w:t>
      </w:r>
      <w:r w:rsidR="004B2FE4" w:rsidRPr="00270C08">
        <w:rPr>
          <w:rFonts w:ascii="Arial" w:hAnsi="Arial" w:cs="Arial"/>
          <w:sz w:val="24"/>
          <w:szCs w:val="24"/>
        </w:rPr>
        <w:t xml:space="preserve"> testified that upon completing his investigations, he realised that </w:t>
      </w:r>
      <w:r w:rsidR="00E3074A" w:rsidRPr="00270C08">
        <w:rPr>
          <w:rFonts w:ascii="Arial" w:hAnsi="Arial" w:cs="Arial"/>
          <w:sz w:val="24"/>
          <w:szCs w:val="24"/>
        </w:rPr>
        <w:t xml:space="preserve">there was </w:t>
      </w:r>
      <w:r w:rsidR="004B2FE4" w:rsidRPr="00270C08">
        <w:rPr>
          <w:rFonts w:ascii="Arial" w:hAnsi="Arial" w:cs="Arial"/>
          <w:sz w:val="24"/>
          <w:szCs w:val="24"/>
        </w:rPr>
        <w:t>not enough evidence to place them at the scene and decided to release them. He completed his investigation on 3 July 2017 and released the suspects on 4 July 2017</w:t>
      </w:r>
      <w:r w:rsidR="00E3074A" w:rsidRPr="00270C08">
        <w:rPr>
          <w:rFonts w:ascii="Arial" w:hAnsi="Arial" w:cs="Arial"/>
          <w:sz w:val="24"/>
          <w:szCs w:val="24"/>
        </w:rPr>
        <w:t xml:space="preserve">. The delay </w:t>
      </w:r>
      <w:r w:rsidR="00171DAF">
        <w:rPr>
          <w:rFonts w:ascii="Arial" w:hAnsi="Arial" w:cs="Arial"/>
          <w:sz w:val="24"/>
          <w:szCs w:val="24"/>
        </w:rPr>
        <w:t>i</w:t>
      </w:r>
      <w:r w:rsidR="00E3074A" w:rsidRPr="00270C08">
        <w:rPr>
          <w:rFonts w:ascii="Arial" w:hAnsi="Arial" w:cs="Arial"/>
          <w:sz w:val="24"/>
          <w:szCs w:val="24"/>
        </w:rPr>
        <w:t>n the release of the suspects was because</w:t>
      </w:r>
      <w:r w:rsidR="004B2FE4" w:rsidRPr="00270C08">
        <w:rPr>
          <w:rFonts w:ascii="Arial" w:hAnsi="Arial" w:cs="Arial"/>
          <w:sz w:val="24"/>
          <w:szCs w:val="24"/>
        </w:rPr>
        <w:t xml:space="preserve"> he was </w:t>
      </w:r>
      <w:r w:rsidR="00884E76" w:rsidRPr="00270C08">
        <w:rPr>
          <w:rFonts w:ascii="Arial" w:hAnsi="Arial" w:cs="Arial"/>
          <w:sz w:val="24"/>
          <w:szCs w:val="24"/>
        </w:rPr>
        <w:t>waiting</w:t>
      </w:r>
      <w:r w:rsidR="004B2FE4" w:rsidRPr="00270C08">
        <w:rPr>
          <w:rFonts w:ascii="Arial" w:hAnsi="Arial" w:cs="Arial"/>
          <w:sz w:val="24"/>
          <w:szCs w:val="24"/>
        </w:rPr>
        <w:t xml:space="preserve"> for the commanding officer to sign SAP328 documents before the suspects</w:t>
      </w:r>
      <w:r w:rsidR="00E3074A" w:rsidRPr="00270C08">
        <w:rPr>
          <w:rFonts w:ascii="Arial" w:hAnsi="Arial" w:cs="Arial"/>
          <w:sz w:val="24"/>
          <w:szCs w:val="24"/>
        </w:rPr>
        <w:t xml:space="preserve"> could be released</w:t>
      </w:r>
      <w:r w:rsidR="004B2FE4" w:rsidRPr="00270C08">
        <w:rPr>
          <w:rFonts w:ascii="Arial" w:hAnsi="Arial" w:cs="Arial"/>
          <w:sz w:val="24"/>
          <w:szCs w:val="24"/>
        </w:rPr>
        <w:t xml:space="preserve">. </w:t>
      </w:r>
      <w:r w:rsidR="00AE3198" w:rsidRPr="00270C08">
        <w:rPr>
          <w:rFonts w:ascii="Arial" w:hAnsi="Arial" w:cs="Arial"/>
          <w:sz w:val="24"/>
          <w:szCs w:val="24"/>
        </w:rPr>
        <w:t xml:space="preserve">Sgt Thala also confirmed that on 3 </w:t>
      </w:r>
      <w:r w:rsidR="00D26D37" w:rsidRPr="00270C08">
        <w:rPr>
          <w:rFonts w:ascii="Arial" w:hAnsi="Arial" w:cs="Arial"/>
          <w:sz w:val="24"/>
          <w:szCs w:val="24"/>
        </w:rPr>
        <w:t>July 2017</w:t>
      </w:r>
      <w:r w:rsidR="00AE3198" w:rsidRPr="00270C08">
        <w:rPr>
          <w:rFonts w:ascii="Arial" w:hAnsi="Arial" w:cs="Arial"/>
          <w:sz w:val="24"/>
          <w:szCs w:val="24"/>
        </w:rPr>
        <w:t xml:space="preserve">, he had obtained a statement </w:t>
      </w:r>
      <w:r w:rsidR="00AE3198" w:rsidRPr="00270C08">
        <w:rPr>
          <w:rFonts w:ascii="Arial" w:hAnsi="Arial" w:cs="Arial"/>
          <w:sz w:val="24"/>
          <w:szCs w:val="24"/>
        </w:rPr>
        <w:lastRenderedPageBreak/>
        <w:t xml:space="preserve">from a certain Mr Siyolo. </w:t>
      </w:r>
      <w:r w:rsidR="00E3074A" w:rsidRPr="00270C08">
        <w:rPr>
          <w:rFonts w:ascii="Arial" w:hAnsi="Arial" w:cs="Arial"/>
          <w:sz w:val="24"/>
          <w:szCs w:val="24"/>
        </w:rPr>
        <w:t>He</w:t>
      </w:r>
      <w:r w:rsidR="00D26D37" w:rsidRPr="00270C08">
        <w:rPr>
          <w:rFonts w:ascii="Arial" w:hAnsi="Arial" w:cs="Arial"/>
          <w:sz w:val="24"/>
          <w:szCs w:val="24"/>
        </w:rPr>
        <w:t xml:space="preserve"> further testified that when he arrived at work on 3 July 2017, he saw in the docket that the suspects were </w:t>
      </w:r>
      <w:r w:rsidR="0064486C" w:rsidRPr="00270C08">
        <w:rPr>
          <w:rFonts w:ascii="Arial" w:hAnsi="Arial" w:cs="Arial"/>
          <w:sz w:val="24"/>
          <w:szCs w:val="24"/>
        </w:rPr>
        <w:t>arrested</w:t>
      </w:r>
      <w:r w:rsidR="00D26D37" w:rsidRPr="00270C08">
        <w:rPr>
          <w:rFonts w:ascii="Arial" w:hAnsi="Arial" w:cs="Arial"/>
          <w:sz w:val="24"/>
          <w:szCs w:val="24"/>
        </w:rPr>
        <w:t xml:space="preserve"> in the red Golf at 03h00 on 3 July 2017</w:t>
      </w:r>
      <w:r w:rsidR="0064486C" w:rsidRPr="00270C08">
        <w:rPr>
          <w:rFonts w:ascii="Arial" w:hAnsi="Arial" w:cs="Arial"/>
          <w:sz w:val="24"/>
          <w:szCs w:val="24"/>
        </w:rPr>
        <w:t>. According to him, the time was a</w:t>
      </w:r>
      <w:r w:rsidR="00D26D37" w:rsidRPr="00270C08">
        <w:rPr>
          <w:rFonts w:ascii="Arial" w:hAnsi="Arial" w:cs="Arial"/>
          <w:sz w:val="24"/>
          <w:szCs w:val="24"/>
        </w:rPr>
        <w:t>bout 4 hours after the</w:t>
      </w:r>
      <w:r w:rsidR="0064486C" w:rsidRPr="00270C08">
        <w:rPr>
          <w:rFonts w:ascii="Arial" w:hAnsi="Arial" w:cs="Arial"/>
          <w:sz w:val="24"/>
          <w:szCs w:val="24"/>
        </w:rPr>
        <w:t xml:space="preserve"> commission of the offence.</w:t>
      </w:r>
      <w:r w:rsidR="00D26D37" w:rsidRPr="00270C08">
        <w:rPr>
          <w:rFonts w:ascii="Arial" w:hAnsi="Arial" w:cs="Arial"/>
          <w:sz w:val="24"/>
          <w:szCs w:val="24"/>
        </w:rPr>
        <w:t xml:space="preserve"> Sgt Thala </w:t>
      </w:r>
      <w:r w:rsidR="0064486C" w:rsidRPr="00270C08">
        <w:rPr>
          <w:rFonts w:ascii="Arial" w:hAnsi="Arial" w:cs="Arial"/>
          <w:sz w:val="24"/>
          <w:szCs w:val="24"/>
        </w:rPr>
        <w:t xml:space="preserve">had further </w:t>
      </w:r>
      <w:r w:rsidR="00D26D37" w:rsidRPr="00270C08">
        <w:rPr>
          <w:rFonts w:ascii="Arial" w:hAnsi="Arial" w:cs="Arial"/>
          <w:sz w:val="24"/>
          <w:szCs w:val="24"/>
        </w:rPr>
        <w:t>testified that according to the information he had in the docket, the only person who was mentioned as a suspect</w:t>
      </w:r>
      <w:r w:rsidR="0064486C" w:rsidRPr="00270C08">
        <w:rPr>
          <w:rFonts w:ascii="Arial" w:hAnsi="Arial" w:cs="Arial"/>
          <w:sz w:val="24"/>
          <w:szCs w:val="24"/>
        </w:rPr>
        <w:t xml:space="preserve"> by</w:t>
      </w:r>
      <w:r w:rsidR="003F7890">
        <w:rPr>
          <w:rFonts w:ascii="Arial" w:hAnsi="Arial" w:cs="Arial"/>
          <w:sz w:val="24"/>
          <w:szCs w:val="24"/>
        </w:rPr>
        <w:t xml:space="preserve"> the</w:t>
      </w:r>
      <w:r w:rsidR="0064486C" w:rsidRPr="00270C08">
        <w:rPr>
          <w:rFonts w:ascii="Arial" w:hAnsi="Arial" w:cs="Arial"/>
          <w:sz w:val="24"/>
          <w:szCs w:val="24"/>
        </w:rPr>
        <w:t xml:space="preserve"> witness was </w:t>
      </w:r>
      <w:r w:rsidR="002913F5">
        <w:rPr>
          <w:rFonts w:ascii="Arial" w:hAnsi="Arial" w:cs="Arial"/>
          <w:sz w:val="24"/>
          <w:szCs w:val="24"/>
        </w:rPr>
        <w:t xml:space="preserve">one </w:t>
      </w:r>
      <w:r w:rsidR="0064486C" w:rsidRPr="00270C08">
        <w:rPr>
          <w:rFonts w:ascii="Arial" w:hAnsi="Arial" w:cs="Arial"/>
          <w:sz w:val="24"/>
          <w:szCs w:val="24"/>
        </w:rPr>
        <w:t xml:space="preserve">Athi. </w:t>
      </w:r>
      <w:r w:rsidR="00F22176" w:rsidRPr="00270C08">
        <w:rPr>
          <w:rFonts w:ascii="Arial" w:hAnsi="Arial" w:cs="Arial"/>
          <w:sz w:val="24"/>
          <w:szCs w:val="24"/>
        </w:rPr>
        <w:t>According to him, he could not find a statement mentioning a person amongst the occupants of the red Golf as the person who ha</w:t>
      </w:r>
      <w:r w:rsidR="003F7890">
        <w:rPr>
          <w:rFonts w:ascii="Arial" w:hAnsi="Arial" w:cs="Arial"/>
          <w:sz w:val="24"/>
          <w:szCs w:val="24"/>
        </w:rPr>
        <w:t>d</w:t>
      </w:r>
      <w:r w:rsidR="00F22176" w:rsidRPr="00270C08">
        <w:rPr>
          <w:rFonts w:ascii="Arial" w:hAnsi="Arial" w:cs="Arial"/>
          <w:sz w:val="24"/>
          <w:szCs w:val="24"/>
        </w:rPr>
        <w:t xml:space="preserve"> shot the deceased. </w:t>
      </w:r>
    </w:p>
    <w:p w14:paraId="58D4D647" w14:textId="2BEA8BEA" w:rsidR="00011625" w:rsidRPr="00270C08" w:rsidRDefault="00CA0C2E" w:rsidP="00CA0C2E">
      <w:pPr>
        <w:spacing w:after="240" w:line="360" w:lineRule="auto"/>
        <w:jc w:val="both"/>
        <w:rPr>
          <w:rFonts w:ascii="Arial" w:hAnsi="Arial" w:cs="Arial"/>
          <w:sz w:val="24"/>
          <w:szCs w:val="24"/>
        </w:rPr>
      </w:pPr>
      <w:r w:rsidRPr="00270C08">
        <w:rPr>
          <w:rFonts w:ascii="Arial" w:hAnsi="Arial" w:cs="Arial"/>
          <w:sz w:val="24"/>
          <w:szCs w:val="24"/>
        </w:rPr>
        <w:t>[16]</w:t>
      </w:r>
      <w:r w:rsidRPr="00270C08">
        <w:rPr>
          <w:rFonts w:ascii="Arial" w:hAnsi="Arial" w:cs="Arial"/>
          <w:sz w:val="24"/>
          <w:szCs w:val="24"/>
        </w:rPr>
        <w:tab/>
      </w:r>
      <w:r w:rsidR="00711AC9">
        <w:rPr>
          <w:rFonts w:ascii="Arial" w:hAnsi="Arial" w:cs="Arial"/>
          <w:sz w:val="24"/>
          <w:szCs w:val="24"/>
        </w:rPr>
        <w:t>T</w:t>
      </w:r>
      <w:r w:rsidR="00630BBA" w:rsidRPr="00270C08">
        <w:rPr>
          <w:rFonts w:ascii="Arial" w:hAnsi="Arial" w:cs="Arial"/>
          <w:sz w:val="24"/>
          <w:szCs w:val="24"/>
        </w:rPr>
        <w:t xml:space="preserve">he first respondent testified in support of the respondents’ case. According to the first respondent, </w:t>
      </w:r>
      <w:r w:rsidR="00C50EBC" w:rsidRPr="00270C08">
        <w:rPr>
          <w:rFonts w:ascii="Arial" w:hAnsi="Arial" w:cs="Arial"/>
          <w:sz w:val="24"/>
          <w:szCs w:val="24"/>
        </w:rPr>
        <w:t xml:space="preserve">they were arrested on 2 July 2017 on the freeway to Motherwell. </w:t>
      </w:r>
      <w:r w:rsidR="00914C55" w:rsidRPr="00270C08">
        <w:rPr>
          <w:rFonts w:ascii="Arial" w:hAnsi="Arial" w:cs="Arial"/>
          <w:sz w:val="24"/>
          <w:szCs w:val="24"/>
        </w:rPr>
        <w:t xml:space="preserve">At the time of the arrest, </w:t>
      </w:r>
      <w:r w:rsidR="00746A93">
        <w:rPr>
          <w:rFonts w:ascii="Arial" w:hAnsi="Arial" w:cs="Arial"/>
          <w:sz w:val="24"/>
          <w:szCs w:val="24"/>
        </w:rPr>
        <w:t>he was</w:t>
      </w:r>
      <w:r w:rsidR="00914C55" w:rsidRPr="00270C08">
        <w:rPr>
          <w:rFonts w:ascii="Arial" w:hAnsi="Arial" w:cs="Arial"/>
          <w:sz w:val="24"/>
          <w:szCs w:val="24"/>
        </w:rPr>
        <w:t xml:space="preserve"> travelling in a red Golf with 6 people, including the first respondent. According to him, the second respondent is his girlfriend and mother of their child. </w:t>
      </w:r>
      <w:r w:rsidR="000A4298" w:rsidRPr="00270C08">
        <w:rPr>
          <w:rFonts w:ascii="Arial" w:hAnsi="Arial" w:cs="Arial"/>
          <w:sz w:val="24"/>
          <w:szCs w:val="24"/>
        </w:rPr>
        <w:t>According to the first respondent, when they were arrested by the police, they were forced to lay down and were informed by the police that they were looking for Athi. The police took them into a police vehicle and drove to KwaZakhel</w:t>
      </w:r>
      <w:r w:rsidR="00211832" w:rsidRPr="00270C08">
        <w:rPr>
          <w:rFonts w:ascii="Arial" w:hAnsi="Arial" w:cs="Arial"/>
          <w:sz w:val="24"/>
          <w:szCs w:val="24"/>
        </w:rPr>
        <w:t>e</w:t>
      </w:r>
      <w:r w:rsidR="000A4298" w:rsidRPr="00270C08">
        <w:rPr>
          <w:rFonts w:ascii="Arial" w:hAnsi="Arial" w:cs="Arial"/>
          <w:sz w:val="24"/>
          <w:szCs w:val="24"/>
        </w:rPr>
        <w:t xml:space="preserve"> police station. </w:t>
      </w:r>
      <w:r w:rsidR="00D63AFF" w:rsidRPr="00270C08">
        <w:rPr>
          <w:rFonts w:ascii="Arial" w:hAnsi="Arial" w:cs="Arial"/>
          <w:sz w:val="24"/>
          <w:szCs w:val="24"/>
        </w:rPr>
        <w:t xml:space="preserve">The police further took them to Motherwell police station where samples were taken from their mouths and testing was performed. </w:t>
      </w:r>
      <w:r w:rsidR="00E96407" w:rsidRPr="00270C08">
        <w:rPr>
          <w:rFonts w:ascii="Arial" w:hAnsi="Arial" w:cs="Arial"/>
          <w:sz w:val="24"/>
          <w:szCs w:val="24"/>
        </w:rPr>
        <w:t>After the tests were conducted, the police took them back to KwaZakhel</w:t>
      </w:r>
      <w:r w:rsidR="00211832" w:rsidRPr="00270C08">
        <w:rPr>
          <w:rFonts w:ascii="Arial" w:hAnsi="Arial" w:cs="Arial"/>
          <w:sz w:val="24"/>
          <w:szCs w:val="24"/>
        </w:rPr>
        <w:t>e</w:t>
      </w:r>
      <w:r w:rsidR="00E96407" w:rsidRPr="00270C08">
        <w:rPr>
          <w:rFonts w:ascii="Arial" w:hAnsi="Arial" w:cs="Arial"/>
          <w:sz w:val="24"/>
          <w:szCs w:val="24"/>
        </w:rPr>
        <w:t xml:space="preserve"> police station where they were detained in separate police cells. </w:t>
      </w:r>
      <w:r w:rsidR="00BB2879" w:rsidRPr="00270C08">
        <w:rPr>
          <w:rFonts w:ascii="Arial" w:hAnsi="Arial" w:cs="Arial"/>
          <w:sz w:val="24"/>
          <w:szCs w:val="24"/>
        </w:rPr>
        <w:t>The first respondent</w:t>
      </w:r>
      <w:r w:rsidR="00E3074A" w:rsidRPr="00270C08">
        <w:rPr>
          <w:rFonts w:ascii="Arial" w:hAnsi="Arial" w:cs="Arial"/>
          <w:sz w:val="24"/>
          <w:szCs w:val="24"/>
        </w:rPr>
        <w:t xml:space="preserve"> testified that he </w:t>
      </w:r>
      <w:r w:rsidR="001D2A2F" w:rsidRPr="00270C08">
        <w:rPr>
          <w:rFonts w:ascii="Arial" w:hAnsi="Arial" w:cs="Arial"/>
          <w:sz w:val="24"/>
          <w:szCs w:val="24"/>
        </w:rPr>
        <w:t xml:space="preserve">was detained in a single cell until he was released on 4 July 2017. </w:t>
      </w:r>
    </w:p>
    <w:p w14:paraId="40CF3171" w14:textId="76656BEE" w:rsidR="004D4D74" w:rsidRDefault="00CA0C2E" w:rsidP="00CA0C2E">
      <w:pPr>
        <w:spacing w:after="24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4D4D74" w:rsidRPr="00270C08">
        <w:rPr>
          <w:rFonts w:ascii="Arial" w:hAnsi="Arial" w:cs="Arial"/>
          <w:sz w:val="24"/>
          <w:szCs w:val="24"/>
        </w:rPr>
        <w:t xml:space="preserve">The first respondent further described the conditions of the police cells in which he was detained. </w:t>
      </w:r>
      <w:r w:rsidR="002929A7" w:rsidRPr="00270C08">
        <w:rPr>
          <w:rFonts w:ascii="Arial" w:hAnsi="Arial" w:cs="Arial"/>
          <w:sz w:val="24"/>
          <w:szCs w:val="24"/>
        </w:rPr>
        <w:t xml:space="preserve">According to him, he </w:t>
      </w:r>
      <w:r w:rsidR="00746A93">
        <w:rPr>
          <w:rFonts w:ascii="Arial" w:hAnsi="Arial" w:cs="Arial"/>
          <w:sz w:val="24"/>
          <w:szCs w:val="24"/>
        </w:rPr>
        <w:t>had to sleep</w:t>
      </w:r>
      <w:r w:rsidR="002929A7" w:rsidRPr="00270C08">
        <w:rPr>
          <w:rFonts w:ascii="Arial" w:hAnsi="Arial" w:cs="Arial"/>
          <w:sz w:val="24"/>
          <w:szCs w:val="24"/>
        </w:rPr>
        <w:t xml:space="preserve"> on a very slim cover which was on the floor and he was given one blanket. </w:t>
      </w:r>
      <w:r w:rsidR="00AA18A9" w:rsidRPr="00270C08">
        <w:rPr>
          <w:rFonts w:ascii="Arial" w:hAnsi="Arial" w:cs="Arial"/>
          <w:sz w:val="24"/>
          <w:szCs w:val="24"/>
        </w:rPr>
        <w:t>The police had informed him that the vehicle that they were travelling in was suspected in the commission of a murder.</w:t>
      </w:r>
      <w:r w:rsidR="00930A55" w:rsidRPr="00270C08">
        <w:rPr>
          <w:rFonts w:ascii="Arial" w:hAnsi="Arial" w:cs="Arial"/>
          <w:sz w:val="24"/>
          <w:szCs w:val="24"/>
        </w:rPr>
        <w:t xml:space="preserve"> </w:t>
      </w:r>
    </w:p>
    <w:p w14:paraId="3CC38B9C" w14:textId="28C05ABA" w:rsidR="004D4DC6" w:rsidRPr="00270C08" w:rsidRDefault="00CA0C2E" w:rsidP="00CA0C2E">
      <w:pPr>
        <w:spacing w:after="240" w:line="360" w:lineRule="auto"/>
        <w:jc w:val="both"/>
        <w:rPr>
          <w:rFonts w:ascii="Arial" w:hAnsi="Arial" w:cs="Arial"/>
          <w:sz w:val="24"/>
          <w:szCs w:val="24"/>
        </w:rPr>
      </w:pPr>
      <w:r w:rsidRPr="00270C08">
        <w:rPr>
          <w:rFonts w:ascii="Arial" w:hAnsi="Arial" w:cs="Arial"/>
          <w:sz w:val="24"/>
          <w:szCs w:val="24"/>
        </w:rPr>
        <w:t>[18]</w:t>
      </w:r>
      <w:r w:rsidRPr="00270C08">
        <w:rPr>
          <w:rFonts w:ascii="Arial" w:hAnsi="Arial" w:cs="Arial"/>
          <w:sz w:val="24"/>
          <w:szCs w:val="24"/>
        </w:rPr>
        <w:tab/>
      </w:r>
      <w:r w:rsidR="004D4DC6">
        <w:rPr>
          <w:rFonts w:ascii="Arial" w:hAnsi="Arial" w:cs="Arial"/>
          <w:sz w:val="24"/>
          <w:szCs w:val="24"/>
        </w:rPr>
        <w:t xml:space="preserve">The second respondent did not </w:t>
      </w:r>
      <w:r w:rsidR="00DF1655">
        <w:rPr>
          <w:rFonts w:ascii="Arial" w:hAnsi="Arial" w:cs="Arial"/>
          <w:sz w:val="24"/>
          <w:szCs w:val="24"/>
        </w:rPr>
        <w:t>testify.</w:t>
      </w:r>
    </w:p>
    <w:p w14:paraId="7D3AFDD0" w14:textId="39D12403" w:rsidR="00A522B8" w:rsidRPr="00270C08" w:rsidRDefault="000353AE" w:rsidP="000353AE">
      <w:pPr>
        <w:spacing w:after="240" w:line="360" w:lineRule="auto"/>
        <w:jc w:val="both"/>
        <w:rPr>
          <w:rFonts w:ascii="Arial" w:hAnsi="Arial" w:cs="Arial"/>
          <w:b/>
          <w:bCs/>
          <w:sz w:val="24"/>
          <w:szCs w:val="24"/>
        </w:rPr>
      </w:pPr>
      <w:r w:rsidRPr="00270C08">
        <w:rPr>
          <w:rFonts w:ascii="Arial" w:hAnsi="Arial" w:cs="Arial"/>
          <w:b/>
          <w:bCs/>
          <w:sz w:val="24"/>
          <w:szCs w:val="24"/>
        </w:rPr>
        <w:t>T</w:t>
      </w:r>
      <w:r w:rsidR="00A522B8" w:rsidRPr="00270C08">
        <w:rPr>
          <w:rFonts w:ascii="Arial" w:hAnsi="Arial" w:cs="Arial"/>
          <w:b/>
          <w:bCs/>
          <w:sz w:val="24"/>
          <w:szCs w:val="24"/>
        </w:rPr>
        <w:t>he Legal Principles</w:t>
      </w:r>
    </w:p>
    <w:p w14:paraId="782D4E49" w14:textId="62927C88" w:rsidR="00011625" w:rsidRPr="00270C08" w:rsidRDefault="00CA0C2E" w:rsidP="00CA0C2E">
      <w:pPr>
        <w:spacing w:after="240" w:line="360" w:lineRule="auto"/>
        <w:jc w:val="both"/>
        <w:rPr>
          <w:rFonts w:ascii="Arial" w:hAnsi="Arial" w:cs="Arial"/>
          <w:sz w:val="24"/>
          <w:szCs w:val="24"/>
        </w:rPr>
      </w:pPr>
      <w:r w:rsidRPr="00270C08">
        <w:rPr>
          <w:rFonts w:ascii="Arial" w:hAnsi="Arial" w:cs="Arial"/>
          <w:sz w:val="24"/>
          <w:szCs w:val="24"/>
        </w:rPr>
        <w:t>[19]</w:t>
      </w:r>
      <w:r w:rsidRPr="00270C08">
        <w:rPr>
          <w:rFonts w:ascii="Arial" w:hAnsi="Arial" w:cs="Arial"/>
          <w:sz w:val="24"/>
          <w:szCs w:val="24"/>
        </w:rPr>
        <w:tab/>
      </w:r>
      <w:r w:rsidR="00335BED" w:rsidRPr="00270C08">
        <w:rPr>
          <w:rFonts w:ascii="Arial" w:hAnsi="Arial" w:cs="Arial"/>
          <w:sz w:val="24"/>
          <w:szCs w:val="24"/>
        </w:rPr>
        <w:t>The appellant relied upon the provisions of section</w:t>
      </w:r>
      <w:r w:rsidR="00E3074A" w:rsidRPr="00270C08">
        <w:rPr>
          <w:rFonts w:ascii="Arial" w:hAnsi="Arial" w:cs="Arial"/>
          <w:sz w:val="24"/>
          <w:szCs w:val="24"/>
        </w:rPr>
        <w:t xml:space="preserve"> 4</w:t>
      </w:r>
      <w:r w:rsidR="00335BED" w:rsidRPr="00270C08">
        <w:rPr>
          <w:rFonts w:ascii="Arial" w:hAnsi="Arial" w:cs="Arial"/>
          <w:sz w:val="24"/>
          <w:szCs w:val="24"/>
        </w:rPr>
        <w:t xml:space="preserve">0(1)(b) </w:t>
      </w:r>
      <w:r w:rsidR="00C13899">
        <w:rPr>
          <w:rFonts w:ascii="Arial" w:hAnsi="Arial" w:cs="Arial"/>
          <w:sz w:val="24"/>
          <w:szCs w:val="24"/>
        </w:rPr>
        <w:t xml:space="preserve">of </w:t>
      </w:r>
      <w:r w:rsidR="00335BED" w:rsidRPr="00270C08">
        <w:rPr>
          <w:rFonts w:ascii="Arial" w:hAnsi="Arial" w:cs="Arial"/>
          <w:sz w:val="24"/>
          <w:szCs w:val="24"/>
        </w:rPr>
        <w:t xml:space="preserve">the CPA to justify the respondents’ arrest and detention. </w:t>
      </w:r>
      <w:r w:rsidR="00EF797F" w:rsidRPr="00270C08">
        <w:rPr>
          <w:rFonts w:ascii="Arial" w:hAnsi="Arial" w:cs="Arial"/>
          <w:sz w:val="24"/>
          <w:szCs w:val="24"/>
        </w:rPr>
        <w:t xml:space="preserve">Section 40(1)(b) empowers a peace officer to arrest without a warrant any person ‘whom he reasonably suspects of having committed an offence referred to in schedule 1, other than the offence of escaping from custody’. </w:t>
      </w:r>
      <w:r w:rsidR="00342E15" w:rsidRPr="00270C08">
        <w:rPr>
          <w:rFonts w:ascii="Arial" w:hAnsi="Arial" w:cs="Arial"/>
          <w:sz w:val="24"/>
          <w:szCs w:val="24"/>
        </w:rPr>
        <w:t>In terms of this section, what must be enquired</w:t>
      </w:r>
      <w:r w:rsidR="003B2C84" w:rsidRPr="00270C08">
        <w:rPr>
          <w:rFonts w:ascii="Arial" w:hAnsi="Arial" w:cs="Arial"/>
          <w:sz w:val="24"/>
          <w:szCs w:val="24"/>
        </w:rPr>
        <w:t xml:space="preserve"> </w:t>
      </w:r>
      <w:r w:rsidR="00E3074A" w:rsidRPr="00270C08">
        <w:rPr>
          <w:rFonts w:ascii="Arial" w:hAnsi="Arial" w:cs="Arial"/>
          <w:sz w:val="24"/>
          <w:szCs w:val="24"/>
        </w:rPr>
        <w:t xml:space="preserve">- </w:t>
      </w:r>
      <w:r w:rsidR="00342E15" w:rsidRPr="00270C08">
        <w:rPr>
          <w:rFonts w:ascii="Arial" w:hAnsi="Arial" w:cs="Arial"/>
          <w:sz w:val="24"/>
          <w:szCs w:val="24"/>
        </w:rPr>
        <w:t xml:space="preserve">is whether the arresting officer had reasonable suspicion. </w:t>
      </w:r>
    </w:p>
    <w:p w14:paraId="25362E11" w14:textId="605CC8DC" w:rsidR="002845C0" w:rsidRPr="00270C08" w:rsidRDefault="00CA0C2E" w:rsidP="00CA0C2E">
      <w:pPr>
        <w:spacing w:after="240" w:line="360" w:lineRule="auto"/>
        <w:jc w:val="both"/>
        <w:rPr>
          <w:rFonts w:ascii="Arial" w:hAnsi="Arial" w:cs="Arial"/>
          <w:sz w:val="24"/>
          <w:szCs w:val="24"/>
        </w:rPr>
      </w:pPr>
      <w:r w:rsidRPr="00270C08">
        <w:rPr>
          <w:rFonts w:ascii="Arial" w:hAnsi="Arial" w:cs="Arial"/>
          <w:sz w:val="24"/>
          <w:szCs w:val="24"/>
        </w:rPr>
        <w:lastRenderedPageBreak/>
        <w:t>[20]</w:t>
      </w:r>
      <w:r w:rsidRPr="00270C08">
        <w:rPr>
          <w:rFonts w:ascii="Arial" w:hAnsi="Arial" w:cs="Arial"/>
          <w:sz w:val="24"/>
          <w:szCs w:val="24"/>
        </w:rPr>
        <w:tab/>
      </w:r>
      <w:r w:rsidR="002845C0" w:rsidRPr="00270C08">
        <w:rPr>
          <w:rFonts w:ascii="Arial" w:hAnsi="Arial" w:cs="Arial"/>
          <w:sz w:val="24"/>
          <w:szCs w:val="24"/>
        </w:rPr>
        <w:t xml:space="preserve">In </w:t>
      </w:r>
      <w:bookmarkStart w:id="0" w:name="_Hlk162008898"/>
      <w:r w:rsidR="002845C0" w:rsidRPr="00270C08">
        <w:rPr>
          <w:rFonts w:ascii="Arial" w:hAnsi="Arial" w:cs="Arial"/>
          <w:i/>
          <w:iCs/>
          <w:sz w:val="24"/>
          <w:szCs w:val="24"/>
        </w:rPr>
        <w:t>Minister of Safety and Security v Sekhoto</w:t>
      </w:r>
      <w:bookmarkEnd w:id="0"/>
      <w:r w:rsidR="002845C0" w:rsidRPr="00270C08">
        <w:rPr>
          <w:rStyle w:val="FootnoteReference"/>
          <w:rFonts w:ascii="Arial" w:hAnsi="Arial" w:cs="Arial"/>
          <w:i/>
          <w:iCs/>
          <w:sz w:val="24"/>
          <w:szCs w:val="24"/>
        </w:rPr>
        <w:footnoteReference w:id="2"/>
      </w:r>
      <w:r w:rsidR="002845C0" w:rsidRPr="00270C08">
        <w:rPr>
          <w:rFonts w:ascii="Arial" w:hAnsi="Arial" w:cs="Arial"/>
          <w:i/>
          <w:iCs/>
          <w:sz w:val="24"/>
          <w:szCs w:val="24"/>
        </w:rPr>
        <w:t xml:space="preserve">, </w:t>
      </w:r>
      <w:r w:rsidR="002845C0" w:rsidRPr="00270C08">
        <w:rPr>
          <w:rFonts w:ascii="Arial" w:hAnsi="Arial" w:cs="Arial"/>
          <w:sz w:val="24"/>
          <w:szCs w:val="24"/>
        </w:rPr>
        <w:t>Harms DP stated:</w:t>
      </w:r>
    </w:p>
    <w:p w14:paraId="3F24BB56" w14:textId="0A635C59" w:rsidR="002845C0" w:rsidRPr="00270C08" w:rsidRDefault="003D0321" w:rsidP="00270C08">
      <w:pPr>
        <w:pStyle w:val="ListParagraph"/>
        <w:tabs>
          <w:tab w:val="left" w:pos="1795"/>
        </w:tabs>
        <w:kinsoku w:val="0"/>
        <w:overflowPunct w:val="0"/>
        <w:spacing w:after="240" w:line="360" w:lineRule="auto"/>
        <w:ind w:left="0" w:firstLine="0"/>
        <w:rPr>
          <w:sz w:val="22"/>
          <w:szCs w:val="22"/>
        </w:rPr>
      </w:pPr>
      <w:r>
        <w:rPr>
          <w:sz w:val="22"/>
          <w:szCs w:val="22"/>
        </w:rPr>
        <w:t>“A</w:t>
      </w:r>
      <w:r w:rsidR="002845C0" w:rsidRPr="00270C08">
        <w:rPr>
          <w:sz w:val="22"/>
          <w:szCs w:val="22"/>
        </w:rPr>
        <w:t>s was held in Duncan v Minister of Law and Order</w:t>
      </w:r>
      <w:r w:rsidR="002845C0" w:rsidRPr="00270C08">
        <w:rPr>
          <w:rStyle w:val="FootnoteReference"/>
          <w:sz w:val="22"/>
          <w:szCs w:val="22"/>
        </w:rPr>
        <w:footnoteReference w:id="3"/>
      </w:r>
      <w:r w:rsidR="002845C0" w:rsidRPr="00270C08">
        <w:rPr>
          <w:sz w:val="22"/>
          <w:szCs w:val="22"/>
        </w:rPr>
        <w:t>, the jurisdictional facts for a s 40(1)(b) defence are that (i</w:t>
      </w:r>
      <w:r w:rsidR="000B307C">
        <w:rPr>
          <w:sz w:val="22"/>
          <w:szCs w:val="22"/>
        </w:rPr>
        <w:t>)</w:t>
      </w:r>
      <w:r w:rsidR="002845C0" w:rsidRPr="00270C08">
        <w:rPr>
          <w:sz w:val="22"/>
          <w:szCs w:val="22"/>
        </w:rPr>
        <w:t xml:space="preserve"> the arrestor must be a peace officer; (ii) the arrestor must entertain a suspicion; (iii) the suspicion must be that the suspect (arrestee) committed an offence referred to in Schedule 1; and (iv) the suspicion must rest on reasonable grounds.</w:t>
      </w:r>
      <w:r>
        <w:rPr>
          <w:sz w:val="22"/>
          <w:szCs w:val="22"/>
        </w:rPr>
        <w:t>”</w:t>
      </w:r>
    </w:p>
    <w:p w14:paraId="50D33F0B" w14:textId="17277915" w:rsidR="006D7E27" w:rsidRPr="00CA0C2E" w:rsidRDefault="00CA0C2E" w:rsidP="00CA0C2E">
      <w:pPr>
        <w:tabs>
          <w:tab w:val="left" w:pos="902"/>
        </w:tabs>
        <w:kinsoku w:val="0"/>
        <w:overflowPunct w:val="0"/>
        <w:spacing w:after="240" w:line="360" w:lineRule="auto"/>
        <w:rPr>
          <w:color w:val="000000"/>
        </w:rPr>
      </w:pPr>
      <w:r w:rsidRPr="00270C08">
        <w:rPr>
          <w:rFonts w:ascii="Arial" w:eastAsiaTheme="minorEastAsia" w:hAnsi="Arial" w:cs="Arial"/>
          <w:color w:val="000000"/>
          <w:sz w:val="24"/>
          <w:szCs w:val="24"/>
          <w:lang w:val="en-GB" w:eastAsia="en-GB"/>
        </w:rPr>
        <w:t>[21]</w:t>
      </w:r>
      <w:r w:rsidRPr="00270C08">
        <w:rPr>
          <w:rFonts w:ascii="Arial" w:eastAsiaTheme="minorEastAsia" w:hAnsi="Arial" w:cs="Arial"/>
          <w:color w:val="000000"/>
          <w:sz w:val="24"/>
          <w:szCs w:val="24"/>
          <w:lang w:val="en-GB" w:eastAsia="en-GB"/>
        </w:rPr>
        <w:tab/>
      </w:r>
      <w:r w:rsidR="002845C0" w:rsidRPr="00270C08">
        <w:t>The appellant, in an endeavour to justify the arrest of the respondent</w:t>
      </w:r>
      <w:r w:rsidR="003B2C84" w:rsidRPr="00270C08">
        <w:t>s</w:t>
      </w:r>
      <w:r w:rsidR="002845C0" w:rsidRPr="00270C08">
        <w:t xml:space="preserve"> without a warrant, </w:t>
      </w:r>
      <w:r w:rsidR="006D7E27" w:rsidRPr="00270C08">
        <w:t xml:space="preserve">had </w:t>
      </w:r>
      <w:r w:rsidR="002845C0" w:rsidRPr="00270C08">
        <w:t>adduced evidence of the arresting officer</w:t>
      </w:r>
      <w:r w:rsidR="006D7E27" w:rsidRPr="00270C08">
        <w:t xml:space="preserve"> and the investigating officer</w:t>
      </w:r>
      <w:r w:rsidR="002845C0" w:rsidRPr="00270C08">
        <w:t xml:space="preserve">. The upshot of </w:t>
      </w:r>
      <w:r w:rsidR="006D7E27" w:rsidRPr="00270C08">
        <w:t>their</w:t>
      </w:r>
      <w:r w:rsidR="002845C0" w:rsidRPr="00270C08">
        <w:t xml:space="preserve"> evidence has </w:t>
      </w:r>
      <w:r w:rsidR="003B2C84" w:rsidRPr="00270C08">
        <w:t>b</w:t>
      </w:r>
      <w:r w:rsidR="002845C0" w:rsidRPr="00270C08">
        <w:t xml:space="preserve">een set </w:t>
      </w:r>
      <w:r w:rsidR="003662F5" w:rsidRPr="00270C08">
        <w:t>out in</w:t>
      </w:r>
      <w:r w:rsidR="002845C0" w:rsidRPr="00270C08">
        <w:t xml:space="preserve"> </w:t>
      </w:r>
      <w:r w:rsidR="00F32DD2">
        <w:t xml:space="preserve">the </w:t>
      </w:r>
      <w:r w:rsidR="002845C0" w:rsidRPr="00270C08">
        <w:t>summary</w:t>
      </w:r>
      <w:r w:rsidR="008A4461">
        <w:t xml:space="preserve"> above</w:t>
      </w:r>
      <w:r w:rsidR="006D7E27" w:rsidRPr="00270C08">
        <w:t>.</w:t>
      </w:r>
      <w:r w:rsidR="003B2C84" w:rsidRPr="00270C08">
        <w:t xml:space="preserve"> </w:t>
      </w:r>
    </w:p>
    <w:p w14:paraId="5552D378" w14:textId="061404FE" w:rsidR="002845C0" w:rsidRPr="00CA0C2E" w:rsidRDefault="00CA0C2E" w:rsidP="00CA0C2E">
      <w:pPr>
        <w:tabs>
          <w:tab w:val="left" w:pos="902"/>
        </w:tabs>
        <w:kinsoku w:val="0"/>
        <w:overflowPunct w:val="0"/>
        <w:spacing w:after="240" w:line="360" w:lineRule="auto"/>
        <w:rPr>
          <w:color w:val="000000"/>
        </w:rPr>
      </w:pPr>
      <w:r w:rsidRPr="00270C08">
        <w:rPr>
          <w:rFonts w:ascii="Arial" w:eastAsiaTheme="minorEastAsia" w:hAnsi="Arial" w:cs="Arial"/>
          <w:color w:val="000000"/>
          <w:sz w:val="24"/>
          <w:szCs w:val="24"/>
          <w:lang w:val="en-GB" w:eastAsia="en-GB"/>
        </w:rPr>
        <w:t>[22]</w:t>
      </w:r>
      <w:r w:rsidRPr="00270C08">
        <w:rPr>
          <w:rFonts w:ascii="Arial" w:eastAsiaTheme="minorEastAsia" w:hAnsi="Arial" w:cs="Arial"/>
          <w:color w:val="000000"/>
          <w:sz w:val="24"/>
          <w:szCs w:val="24"/>
          <w:lang w:val="en-GB" w:eastAsia="en-GB"/>
        </w:rPr>
        <w:tab/>
      </w:r>
      <w:r w:rsidR="002845C0" w:rsidRPr="00270C08">
        <w:t xml:space="preserve">The arresting officer need not be satisfied that the evidence proves beyond </w:t>
      </w:r>
      <w:r w:rsidR="008A4461">
        <w:t xml:space="preserve">a </w:t>
      </w:r>
      <w:r w:rsidR="002845C0" w:rsidRPr="00270C08">
        <w:t xml:space="preserve">reasonable doubt that the offence had been committed. In </w:t>
      </w:r>
      <w:r w:rsidR="001C44C3" w:rsidRPr="00CA0C2E">
        <w:rPr>
          <w:i/>
          <w:iCs/>
        </w:rPr>
        <w:t>Shaaban Bin Hussien and Others v Chong Fook  </w:t>
      </w:r>
      <w:r w:rsidR="001C44C3" w:rsidRPr="00CA0C2E">
        <w:t>I </w:t>
      </w:r>
      <w:r w:rsidR="001C44C3" w:rsidRPr="00CA0C2E">
        <w:rPr>
          <w:i/>
          <w:iCs/>
        </w:rPr>
        <w:t>Kam and Another</w:t>
      </w:r>
      <w:r w:rsidR="001C44C3" w:rsidRPr="00CA0C2E">
        <w:t xml:space="preserve"> [1969] 3 All ER 1627 (PC) at 1630 quoted with approval in </w:t>
      </w:r>
      <w:r w:rsidR="002845C0" w:rsidRPr="00CA0C2E">
        <w:rPr>
          <w:i/>
          <w:iCs/>
        </w:rPr>
        <w:t>Duncan</w:t>
      </w:r>
      <w:r w:rsidR="002845C0" w:rsidRPr="00270C08">
        <w:rPr>
          <w:rStyle w:val="FootnoteReference"/>
          <w:i/>
          <w:iCs/>
        </w:rPr>
        <w:footnoteReference w:id="4"/>
      </w:r>
      <w:r w:rsidR="002845C0" w:rsidRPr="00CA0C2E">
        <w:rPr>
          <w:i/>
          <w:iCs/>
        </w:rPr>
        <w:t xml:space="preserve">- </w:t>
      </w:r>
      <w:r w:rsidR="002845C0" w:rsidRPr="00CA0C2E">
        <w:t>suspicion in its ordinary meaning is a state of conjecture or surmise where proof is lacking. I suspect, but cannot prove. Suspicion arises at or near the starting point of an investigation of which the obtaining of prima facie proof is the end.</w:t>
      </w:r>
      <w:r w:rsidR="002845C0" w:rsidRPr="00CA0C2E">
        <w:rPr>
          <w:i/>
          <w:iCs/>
        </w:rPr>
        <w:t xml:space="preserve"> </w:t>
      </w:r>
      <w:r w:rsidR="002845C0" w:rsidRPr="00270C08">
        <w:t>An arresting officer is required to assess the information at his or her disposal and decide whether it is sufficient to ground a reasonable suspicion</w:t>
      </w:r>
      <w:r w:rsidR="001C44C3">
        <w:t>,</w:t>
      </w:r>
      <w:r w:rsidR="002845C0" w:rsidRPr="00270C08">
        <w:t xml:space="preserve"> </w:t>
      </w:r>
      <w:r w:rsidR="002845C0" w:rsidRPr="00CA0C2E">
        <w:rPr>
          <w:i/>
          <w:iCs/>
        </w:rPr>
        <w:t>Mabona and Another v Minister of Law and Order and Others</w:t>
      </w:r>
      <w:r w:rsidR="006D7E27" w:rsidRPr="00270C08">
        <w:rPr>
          <w:rStyle w:val="FootnoteReference"/>
          <w:i/>
          <w:iCs/>
        </w:rPr>
        <w:footnoteReference w:id="5"/>
      </w:r>
      <w:r w:rsidR="002845C0" w:rsidRPr="00270C08">
        <w:t>.</w:t>
      </w:r>
      <w:r w:rsidR="003F16F5" w:rsidRPr="00270C08">
        <w:t xml:space="preserve"> </w:t>
      </w:r>
    </w:p>
    <w:p w14:paraId="2C9597C1" w14:textId="663F6C4A" w:rsidR="008C1C4A" w:rsidRPr="00270C08" w:rsidRDefault="00D46EFC" w:rsidP="00D46EFC">
      <w:pPr>
        <w:spacing w:after="24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EE5E27" w:rsidRPr="00270C08">
        <w:rPr>
          <w:rFonts w:ascii="Arial" w:hAnsi="Arial" w:cs="Arial"/>
          <w:sz w:val="24"/>
          <w:szCs w:val="24"/>
        </w:rPr>
        <w:t>Section 50 of the CPA allows the police to lawfully detain an arrested person for a period not exceeding 48 hrs before bringing him before a Court or releasing him, hence an arrest made under section 40(1)(b) of the Act is not unlawful where the arrestor entertained the required reasonable suspicion, but intends to make further inquiries after the arrest before finally deciding whether to proceed with a prosecution.</w:t>
      </w:r>
    </w:p>
    <w:p w14:paraId="531661DD" w14:textId="3EFF8A04" w:rsidR="00EE5E27" w:rsidRPr="00270C08" w:rsidRDefault="00D46EFC" w:rsidP="00D46EFC">
      <w:pPr>
        <w:spacing w:after="24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EE5E27" w:rsidRPr="00270C08">
        <w:rPr>
          <w:rFonts w:ascii="Arial" w:hAnsi="Arial" w:cs="Arial"/>
          <w:sz w:val="24"/>
          <w:szCs w:val="24"/>
        </w:rPr>
        <w:t xml:space="preserve">In </w:t>
      </w:r>
      <w:r w:rsidR="00EE5E27" w:rsidRPr="00270C08">
        <w:rPr>
          <w:rFonts w:ascii="Arial" w:hAnsi="Arial" w:cs="Arial"/>
          <w:i/>
          <w:iCs/>
          <w:sz w:val="24"/>
          <w:szCs w:val="24"/>
        </w:rPr>
        <w:t>Minister of Safety &amp; Security v Sekhoto</w:t>
      </w:r>
      <w:r w:rsidR="00EE5E27" w:rsidRPr="00270C08">
        <w:rPr>
          <w:rStyle w:val="FootnoteReference"/>
          <w:rFonts w:ascii="Arial" w:hAnsi="Arial" w:cs="Arial"/>
          <w:i/>
          <w:iCs/>
          <w:sz w:val="24"/>
          <w:szCs w:val="24"/>
        </w:rPr>
        <w:footnoteReference w:id="6"/>
      </w:r>
      <w:r w:rsidR="00EE5E27" w:rsidRPr="00270C08">
        <w:rPr>
          <w:rFonts w:ascii="Arial" w:hAnsi="Arial" w:cs="Arial"/>
          <w:i/>
          <w:iCs/>
          <w:sz w:val="24"/>
          <w:szCs w:val="24"/>
        </w:rPr>
        <w:t xml:space="preserve"> </w:t>
      </w:r>
      <w:r w:rsidR="00EE5E27" w:rsidRPr="00270C08">
        <w:rPr>
          <w:rFonts w:ascii="Arial" w:hAnsi="Arial" w:cs="Arial"/>
          <w:sz w:val="24"/>
          <w:szCs w:val="24"/>
        </w:rPr>
        <w:t>it was observed –</w:t>
      </w:r>
    </w:p>
    <w:p w14:paraId="2FD2906D" w14:textId="77777777" w:rsidR="00EB5EFE" w:rsidRDefault="00EE5E27" w:rsidP="00EB5EFE">
      <w:pPr>
        <w:spacing w:after="240" w:line="360" w:lineRule="auto"/>
        <w:ind w:left="142"/>
        <w:jc w:val="both"/>
        <w:rPr>
          <w:rFonts w:ascii="Arial" w:hAnsi="Arial" w:cs="Arial"/>
        </w:rPr>
      </w:pPr>
      <w:r w:rsidRPr="00270C08">
        <w:rPr>
          <w:rFonts w:ascii="Arial" w:hAnsi="Arial" w:cs="Arial"/>
        </w:rPr>
        <w:t>‘if the jurisdictional requirements are satisfied, the peace officer may invoke the power conferred by the subsection, i</w:t>
      </w:r>
      <w:r w:rsidR="001C44C3">
        <w:rPr>
          <w:rFonts w:ascii="Arial" w:hAnsi="Arial" w:cs="Arial"/>
        </w:rPr>
        <w:t>.</w:t>
      </w:r>
      <w:r w:rsidRPr="001C44C3">
        <w:rPr>
          <w:rFonts w:ascii="Arial" w:hAnsi="Arial" w:cs="Arial"/>
        </w:rPr>
        <w:t>e, he may arrest the suspect. In other words, he then has a discretion as to whether or not to exercise that power (cf Hogate-Mohammed v Duke (198411 All ER 1054 (HL) at 1057)</w:t>
      </w:r>
      <w:r w:rsidR="001C44C3">
        <w:rPr>
          <w:rFonts w:ascii="Arial" w:hAnsi="Arial" w:cs="Arial"/>
        </w:rPr>
        <w:t>.</w:t>
      </w:r>
      <w:r w:rsidRPr="001C44C3">
        <w:rPr>
          <w:rFonts w:ascii="Arial" w:hAnsi="Arial" w:cs="Arial"/>
        </w:rPr>
        <w:t xml:space="preserve"> </w:t>
      </w:r>
      <w:r w:rsidR="001C44C3">
        <w:rPr>
          <w:rFonts w:ascii="Arial" w:hAnsi="Arial" w:cs="Arial"/>
        </w:rPr>
        <w:t xml:space="preserve">… </w:t>
      </w:r>
      <w:r w:rsidRPr="001C44C3">
        <w:rPr>
          <w:rFonts w:ascii="Arial" w:hAnsi="Arial" w:cs="Arial"/>
        </w:rPr>
        <w:t xml:space="preserve">But the grounds on which the exercise of such a discretion can </w:t>
      </w:r>
      <w:r w:rsidRPr="001C44C3">
        <w:rPr>
          <w:rFonts w:ascii="Arial" w:hAnsi="Arial" w:cs="Arial"/>
        </w:rPr>
        <w:lastRenderedPageBreak/>
        <w:t>be questioned are narrowly circumscribed. Whether ever</w:t>
      </w:r>
      <w:r w:rsidR="003F0E14" w:rsidRPr="001C44C3">
        <w:rPr>
          <w:rFonts w:ascii="Arial" w:hAnsi="Arial" w:cs="Arial"/>
        </w:rPr>
        <w:t>y</w:t>
      </w:r>
      <w:r w:rsidRPr="001C44C3">
        <w:rPr>
          <w:rFonts w:ascii="Arial" w:hAnsi="Arial" w:cs="Arial"/>
        </w:rPr>
        <w:t xml:space="preserve"> improper application of a discretion conferred by the subsection will render an arrest unlawful, need not be considered because it does not arise in this case.’</w:t>
      </w:r>
    </w:p>
    <w:p w14:paraId="1AC16807" w14:textId="492BA22A" w:rsidR="00EE5E27" w:rsidRPr="00EB5EFE" w:rsidRDefault="00EB5EFE" w:rsidP="00EB5EFE">
      <w:pPr>
        <w:spacing w:after="240" w:line="360" w:lineRule="auto"/>
        <w:jc w:val="both"/>
        <w:rPr>
          <w:rFonts w:ascii="Arial" w:hAnsi="Arial" w:cs="Arial"/>
        </w:rPr>
      </w:pPr>
      <w:r>
        <w:rPr>
          <w:rFonts w:ascii="Arial" w:hAnsi="Arial" w:cs="Arial"/>
        </w:rPr>
        <w:t>[25]</w:t>
      </w:r>
      <w:r>
        <w:rPr>
          <w:rFonts w:ascii="Arial" w:hAnsi="Arial" w:cs="Arial"/>
        </w:rPr>
        <w:tab/>
      </w:r>
      <w:r w:rsidR="003F0E14" w:rsidRPr="00270C08">
        <w:rPr>
          <w:rFonts w:ascii="Arial" w:hAnsi="Arial" w:cs="Arial"/>
          <w:sz w:val="24"/>
          <w:szCs w:val="24"/>
        </w:rPr>
        <w:t>The appellant</w:t>
      </w:r>
      <w:r w:rsidR="00AB11D8" w:rsidRPr="00270C08">
        <w:rPr>
          <w:rFonts w:ascii="Arial" w:hAnsi="Arial" w:cs="Arial"/>
          <w:sz w:val="24"/>
          <w:szCs w:val="24"/>
        </w:rPr>
        <w:t>, in the plea, h</w:t>
      </w:r>
      <w:r w:rsidR="008A4461">
        <w:rPr>
          <w:rFonts w:ascii="Arial" w:hAnsi="Arial" w:cs="Arial"/>
          <w:sz w:val="24"/>
          <w:szCs w:val="24"/>
        </w:rPr>
        <w:t>ad</w:t>
      </w:r>
      <w:r w:rsidR="00AB11D8" w:rsidRPr="00270C08">
        <w:rPr>
          <w:rFonts w:ascii="Arial" w:hAnsi="Arial" w:cs="Arial"/>
          <w:sz w:val="24"/>
          <w:szCs w:val="24"/>
        </w:rPr>
        <w:t xml:space="preserve"> also relied upon the provisions of section 40(1)(f), and that subsection reads –</w:t>
      </w:r>
    </w:p>
    <w:p w14:paraId="3CA6FDE2" w14:textId="1F966DF4" w:rsidR="00AB11D8" w:rsidRPr="00270C08" w:rsidRDefault="00AB11D8" w:rsidP="00270C08">
      <w:pPr>
        <w:spacing w:after="240" w:line="360" w:lineRule="auto"/>
        <w:jc w:val="both"/>
        <w:rPr>
          <w:rFonts w:ascii="Arial" w:hAnsi="Arial" w:cs="Arial"/>
        </w:rPr>
      </w:pPr>
      <w:r w:rsidRPr="00270C08">
        <w:rPr>
          <w:rFonts w:ascii="Arial" w:hAnsi="Arial" w:cs="Arial"/>
        </w:rPr>
        <w:t>‘who is found at any place by night in circumstances which afford reasonable grounds for believing that such person has committed or is about to commit an offence;’</w:t>
      </w:r>
    </w:p>
    <w:p w14:paraId="7D2091C1" w14:textId="199C3983" w:rsidR="008C1C4A" w:rsidRPr="00270C08" w:rsidRDefault="00EC7021" w:rsidP="00EC7021">
      <w:pPr>
        <w:spacing w:after="24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AB11D8" w:rsidRPr="00270C08">
        <w:rPr>
          <w:rFonts w:ascii="Arial" w:hAnsi="Arial" w:cs="Arial"/>
          <w:sz w:val="24"/>
          <w:szCs w:val="24"/>
        </w:rPr>
        <w:t xml:space="preserve">As I understand the appellant’s case before the Magistrate, this Court and the totality of </w:t>
      </w:r>
      <w:r w:rsidR="00357016" w:rsidRPr="00270C08">
        <w:rPr>
          <w:rFonts w:ascii="Arial" w:hAnsi="Arial" w:cs="Arial"/>
          <w:sz w:val="24"/>
          <w:szCs w:val="24"/>
        </w:rPr>
        <w:t xml:space="preserve">the </w:t>
      </w:r>
      <w:r w:rsidR="00AB11D8" w:rsidRPr="00270C08">
        <w:rPr>
          <w:rFonts w:ascii="Arial" w:hAnsi="Arial" w:cs="Arial"/>
          <w:sz w:val="24"/>
          <w:szCs w:val="24"/>
        </w:rPr>
        <w:t xml:space="preserve">evidence </w:t>
      </w:r>
      <w:r w:rsidR="00357016" w:rsidRPr="00270C08">
        <w:rPr>
          <w:rFonts w:ascii="Arial" w:hAnsi="Arial" w:cs="Arial"/>
          <w:sz w:val="24"/>
          <w:szCs w:val="24"/>
        </w:rPr>
        <w:t xml:space="preserve">presented by the appellant, </w:t>
      </w:r>
      <w:r w:rsidR="00AB11D8" w:rsidRPr="00270C08">
        <w:rPr>
          <w:rFonts w:ascii="Arial" w:hAnsi="Arial" w:cs="Arial"/>
          <w:sz w:val="24"/>
          <w:szCs w:val="24"/>
        </w:rPr>
        <w:t xml:space="preserve">the defence based on section 40(1)(f) </w:t>
      </w:r>
      <w:r w:rsidR="00357016" w:rsidRPr="00270C08">
        <w:rPr>
          <w:rFonts w:ascii="Arial" w:hAnsi="Arial" w:cs="Arial"/>
          <w:sz w:val="24"/>
          <w:szCs w:val="24"/>
        </w:rPr>
        <w:t>had not been</w:t>
      </w:r>
      <w:r w:rsidR="00AB11D8" w:rsidRPr="00270C08">
        <w:rPr>
          <w:rFonts w:ascii="Arial" w:hAnsi="Arial" w:cs="Arial"/>
          <w:sz w:val="24"/>
          <w:szCs w:val="24"/>
        </w:rPr>
        <w:t xml:space="preserve"> pursued</w:t>
      </w:r>
      <w:r w:rsidR="00357016" w:rsidRPr="00270C08">
        <w:rPr>
          <w:rFonts w:ascii="Arial" w:hAnsi="Arial" w:cs="Arial"/>
          <w:sz w:val="24"/>
          <w:szCs w:val="24"/>
        </w:rPr>
        <w:t xml:space="preserve">. This appeal turns on whether the appellant’s witnesses had established the defence based on section 40(1)(b). </w:t>
      </w:r>
      <w:r w:rsidR="00543D3F" w:rsidRPr="00270C08">
        <w:rPr>
          <w:rFonts w:ascii="Arial" w:hAnsi="Arial" w:cs="Arial"/>
          <w:sz w:val="24"/>
          <w:szCs w:val="24"/>
        </w:rPr>
        <w:t>I consider evidence in this regard.</w:t>
      </w:r>
    </w:p>
    <w:p w14:paraId="586F2ED8" w14:textId="24E2A143" w:rsidR="008D5095" w:rsidRPr="00270C08" w:rsidRDefault="008D5095" w:rsidP="008D5095">
      <w:pPr>
        <w:spacing w:after="240" w:line="360" w:lineRule="auto"/>
        <w:jc w:val="both"/>
        <w:rPr>
          <w:rFonts w:ascii="Arial" w:hAnsi="Arial" w:cs="Arial"/>
          <w:b/>
          <w:bCs/>
          <w:sz w:val="24"/>
          <w:szCs w:val="24"/>
        </w:rPr>
      </w:pPr>
      <w:r w:rsidRPr="00270C08">
        <w:rPr>
          <w:rFonts w:ascii="Arial" w:hAnsi="Arial" w:cs="Arial"/>
          <w:b/>
          <w:bCs/>
          <w:sz w:val="24"/>
          <w:szCs w:val="24"/>
        </w:rPr>
        <w:t>Discussion</w:t>
      </w:r>
    </w:p>
    <w:p w14:paraId="70B1186E" w14:textId="507D29EE" w:rsidR="008D5095" w:rsidRPr="00270C08" w:rsidRDefault="008D5095" w:rsidP="008D5095">
      <w:pPr>
        <w:spacing w:after="240" w:line="360" w:lineRule="auto"/>
        <w:ind w:left="720" w:hanging="720"/>
        <w:jc w:val="both"/>
        <w:rPr>
          <w:rFonts w:ascii="Arial" w:hAnsi="Arial" w:cs="Arial"/>
          <w:b/>
          <w:bCs/>
          <w:sz w:val="24"/>
          <w:szCs w:val="24"/>
        </w:rPr>
      </w:pPr>
      <w:r w:rsidRPr="00270C08">
        <w:rPr>
          <w:rFonts w:ascii="Arial" w:hAnsi="Arial" w:cs="Arial"/>
          <w:sz w:val="24"/>
          <w:szCs w:val="24"/>
        </w:rPr>
        <w:t>(i)</w:t>
      </w:r>
      <w:r w:rsidRPr="00270C08">
        <w:rPr>
          <w:rFonts w:ascii="Arial" w:hAnsi="Arial" w:cs="Arial"/>
          <w:sz w:val="24"/>
          <w:szCs w:val="24"/>
        </w:rPr>
        <w:tab/>
      </w:r>
      <w:r w:rsidRPr="00270C08">
        <w:rPr>
          <w:rFonts w:ascii="Arial" w:hAnsi="Arial" w:cs="Arial"/>
          <w:b/>
          <w:bCs/>
          <w:sz w:val="24"/>
          <w:szCs w:val="24"/>
        </w:rPr>
        <w:t>The lawfulness of the arrest</w:t>
      </w:r>
    </w:p>
    <w:p w14:paraId="7A0794CC" w14:textId="12945AF9" w:rsidR="006007D8" w:rsidRPr="00270C08" w:rsidRDefault="00EC7021" w:rsidP="00EC7021">
      <w:pPr>
        <w:spacing w:after="24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5A6A62" w:rsidRPr="00270C08">
        <w:rPr>
          <w:rFonts w:ascii="Arial" w:hAnsi="Arial" w:cs="Arial"/>
          <w:sz w:val="24"/>
          <w:szCs w:val="24"/>
        </w:rPr>
        <w:t xml:space="preserve">In his judgment, the Magistrate had found that the appellant’s witnesses, when the evidence is considered as a whole, failed to discharge the onus that rests upon the appellant to justify the arrest and detention of the respondents. </w:t>
      </w:r>
      <w:r w:rsidR="000D1090" w:rsidRPr="00270C08">
        <w:rPr>
          <w:rFonts w:ascii="Arial" w:hAnsi="Arial" w:cs="Arial"/>
          <w:sz w:val="24"/>
          <w:szCs w:val="24"/>
        </w:rPr>
        <w:t xml:space="preserve">In support of </w:t>
      </w:r>
      <w:r w:rsidR="000D0939" w:rsidRPr="00270C08">
        <w:rPr>
          <w:rFonts w:ascii="Arial" w:hAnsi="Arial" w:cs="Arial"/>
          <w:sz w:val="24"/>
          <w:szCs w:val="24"/>
        </w:rPr>
        <w:t>his</w:t>
      </w:r>
      <w:r w:rsidR="000D1090" w:rsidRPr="00270C08">
        <w:rPr>
          <w:rFonts w:ascii="Arial" w:hAnsi="Arial" w:cs="Arial"/>
          <w:sz w:val="24"/>
          <w:szCs w:val="24"/>
        </w:rPr>
        <w:t xml:space="preserve"> conclusion, the Magistrate </w:t>
      </w:r>
      <w:r w:rsidR="000D0939" w:rsidRPr="00270C08">
        <w:rPr>
          <w:rFonts w:ascii="Arial" w:hAnsi="Arial" w:cs="Arial"/>
          <w:sz w:val="24"/>
          <w:szCs w:val="24"/>
        </w:rPr>
        <w:t>reasoned as follows</w:t>
      </w:r>
      <w:r w:rsidR="0056227C">
        <w:rPr>
          <w:rFonts w:ascii="Arial" w:hAnsi="Arial" w:cs="Arial"/>
          <w:sz w:val="24"/>
          <w:szCs w:val="24"/>
        </w:rPr>
        <w:t xml:space="preserve">: </w:t>
      </w:r>
      <w:r w:rsidR="000D1090" w:rsidRPr="00270C08">
        <w:rPr>
          <w:rFonts w:ascii="Arial" w:hAnsi="Arial" w:cs="Arial"/>
          <w:sz w:val="24"/>
          <w:szCs w:val="24"/>
        </w:rPr>
        <w:t>–</w:t>
      </w:r>
    </w:p>
    <w:p w14:paraId="1F11E9EE" w14:textId="3C8B7891" w:rsidR="000D1090" w:rsidRPr="00270C08" w:rsidRDefault="000D1090" w:rsidP="00270C08">
      <w:pPr>
        <w:spacing w:after="240" w:line="360" w:lineRule="auto"/>
        <w:jc w:val="both"/>
        <w:rPr>
          <w:rFonts w:ascii="Arial" w:hAnsi="Arial" w:cs="Arial"/>
          <w:sz w:val="24"/>
          <w:szCs w:val="24"/>
        </w:rPr>
      </w:pPr>
      <w:r w:rsidRPr="00270C08">
        <w:rPr>
          <w:rFonts w:ascii="Arial" w:hAnsi="Arial" w:cs="Arial"/>
          <w:sz w:val="24"/>
          <w:szCs w:val="24"/>
        </w:rPr>
        <w:t>‘According to evidence the perpetrator was known by name and there is no reason the police can take days to verify actual name of suspects, furthermore one Athi was mentioned as the perpetrator of crime not six people. It was very easy for the police to sift and f</w:t>
      </w:r>
      <w:r w:rsidR="0092136A">
        <w:rPr>
          <w:rFonts w:ascii="Arial" w:hAnsi="Arial" w:cs="Arial"/>
          <w:sz w:val="24"/>
          <w:szCs w:val="24"/>
        </w:rPr>
        <w:t>in</w:t>
      </w:r>
      <w:r w:rsidRPr="00270C08">
        <w:rPr>
          <w:rFonts w:ascii="Arial" w:hAnsi="Arial" w:cs="Arial"/>
          <w:sz w:val="24"/>
          <w:szCs w:val="24"/>
        </w:rPr>
        <w:t>d that this Athi is not one of the passengers and that process would not have taken days.</w:t>
      </w:r>
      <w:r w:rsidR="000D0939" w:rsidRPr="00270C08">
        <w:rPr>
          <w:rFonts w:ascii="Arial" w:hAnsi="Arial" w:cs="Arial"/>
          <w:sz w:val="24"/>
          <w:szCs w:val="24"/>
        </w:rPr>
        <w:t xml:space="preserve"> … The Defendant’s evidence falls below the requirements as set out in case of </w:t>
      </w:r>
      <w:r w:rsidR="000D0939" w:rsidRPr="00270C08">
        <w:rPr>
          <w:rFonts w:ascii="Arial" w:hAnsi="Arial" w:cs="Arial"/>
          <w:i/>
          <w:iCs/>
          <w:sz w:val="24"/>
          <w:szCs w:val="24"/>
        </w:rPr>
        <w:t>Mabona &amp; Another v Minister of Law and Order 2 other</w:t>
      </w:r>
      <w:r w:rsidR="000D0939" w:rsidRPr="00270C08">
        <w:rPr>
          <w:rFonts w:ascii="Arial" w:hAnsi="Arial" w:cs="Arial"/>
          <w:sz w:val="24"/>
          <w:szCs w:val="24"/>
        </w:rPr>
        <w:t xml:space="preserve"> 1988</w:t>
      </w:r>
      <w:r w:rsidR="00C135C6">
        <w:rPr>
          <w:rFonts w:ascii="Arial" w:hAnsi="Arial" w:cs="Arial"/>
          <w:sz w:val="24"/>
          <w:szCs w:val="24"/>
        </w:rPr>
        <w:t xml:space="preserve"> </w:t>
      </w:r>
      <w:r w:rsidR="000D0939" w:rsidRPr="00270C08">
        <w:rPr>
          <w:rFonts w:ascii="Arial" w:hAnsi="Arial" w:cs="Arial"/>
          <w:sz w:val="24"/>
          <w:szCs w:val="24"/>
        </w:rPr>
        <w:t>(2) s a 654 (SE) at 658 E at 658 H.’</w:t>
      </w:r>
    </w:p>
    <w:p w14:paraId="7DE88A62" w14:textId="67974380" w:rsidR="00390C3E" w:rsidRPr="00270C08" w:rsidRDefault="00EC7021" w:rsidP="00EC7021">
      <w:pPr>
        <w:spacing w:after="240"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AD516B" w:rsidRPr="00270C08">
        <w:rPr>
          <w:rFonts w:ascii="Arial" w:hAnsi="Arial" w:cs="Arial"/>
          <w:sz w:val="24"/>
          <w:szCs w:val="24"/>
        </w:rPr>
        <w:t xml:space="preserve">Mr </w:t>
      </w:r>
      <w:r w:rsidR="00AD516B" w:rsidRPr="00270C08">
        <w:rPr>
          <w:rFonts w:ascii="Arial" w:hAnsi="Arial" w:cs="Arial"/>
          <w:i/>
          <w:iCs/>
          <w:sz w:val="24"/>
          <w:szCs w:val="24"/>
        </w:rPr>
        <w:t>Mnyani</w:t>
      </w:r>
      <w:r w:rsidR="00AD516B" w:rsidRPr="00270C08">
        <w:rPr>
          <w:rFonts w:ascii="Arial" w:hAnsi="Arial" w:cs="Arial"/>
          <w:sz w:val="24"/>
          <w:szCs w:val="24"/>
        </w:rPr>
        <w:t xml:space="preserve">, counsel for the appellant, had contended </w:t>
      </w:r>
      <w:r w:rsidR="005456AB" w:rsidRPr="00270C08">
        <w:rPr>
          <w:rFonts w:ascii="Arial" w:hAnsi="Arial" w:cs="Arial"/>
          <w:sz w:val="24"/>
          <w:szCs w:val="24"/>
        </w:rPr>
        <w:t xml:space="preserve">before this Court </w:t>
      </w:r>
      <w:r w:rsidR="00AD516B" w:rsidRPr="00270C08">
        <w:rPr>
          <w:rFonts w:ascii="Arial" w:hAnsi="Arial" w:cs="Arial"/>
          <w:sz w:val="24"/>
          <w:szCs w:val="24"/>
        </w:rPr>
        <w:t xml:space="preserve">that the Magistrate, in coming to </w:t>
      </w:r>
      <w:r w:rsidR="000D21DA" w:rsidRPr="00270C08">
        <w:rPr>
          <w:rFonts w:ascii="Arial" w:hAnsi="Arial" w:cs="Arial"/>
          <w:sz w:val="24"/>
          <w:szCs w:val="24"/>
        </w:rPr>
        <w:t>his</w:t>
      </w:r>
      <w:r w:rsidR="00AD516B" w:rsidRPr="00270C08">
        <w:rPr>
          <w:rFonts w:ascii="Arial" w:hAnsi="Arial" w:cs="Arial"/>
          <w:sz w:val="24"/>
          <w:szCs w:val="24"/>
        </w:rPr>
        <w:t xml:space="preserve"> conclusion</w:t>
      </w:r>
      <w:r w:rsidR="000D21DA" w:rsidRPr="00270C08">
        <w:rPr>
          <w:rFonts w:ascii="Arial" w:hAnsi="Arial" w:cs="Arial"/>
          <w:sz w:val="24"/>
          <w:szCs w:val="24"/>
        </w:rPr>
        <w:t xml:space="preserve"> that the appellant’s witnesses failed to justify the arrest and detention of the respondents</w:t>
      </w:r>
      <w:r w:rsidR="00AD516B" w:rsidRPr="00270C08">
        <w:rPr>
          <w:rFonts w:ascii="Arial" w:hAnsi="Arial" w:cs="Arial"/>
          <w:sz w:val="24"/>
          <w:szCs w:val="24"/>
        </w:rPr>
        <w:t xml:space="preserve">, had erred or misdirected himself </w:t>
      </w:r>
      <w:r w:rsidR="005456AB" w:rsidRPr="00270C08">
        <w:rPr>
          <w:rFonts w:ascii="Arial" w:hAnsi="Arial" w:cs="Arial"/>
          <w:sz w:val="24"/>
          <w:szCs w:val="24"/>
        </w:rPr>
        <w:t xml:space="preserve">in many respects, </w:t>
      </w:r>
      <w:r w:rsidR="000D21DA" w:rsidRPr="00270C08">
        <w:rPr>
          <w:rFonts w:ascii="Arial" w:hAnsi="Arial" w:cs="Arial"/>
          <w:sz w:val="24"/>
          <w:szCs w:val="24"/>
        </w:rPr>
        <w:t>and that he</w:t>
      </w:r>
      <w:r w:rsidR="007A70D3">
        <w:rPr>
          <w:rFonts w:ascii="Arial" w:hAnsi="Arial" w:cs="Arial"/>
          <w:sz w:val="24"/>
          <w:szCs w:val="24"/>
        </w:rPr>
        <w:t xml:space="preserve"> had</w:t>
      </w:r>
      <w:r w:rsidR="000D21DA" w:rsidRPr="00270C08">
        <w:rPr>
          <w:rFonts w:ascii="Arial" w:hAnsi="Arial" w:cs="Arial"/>
          <w:sz w:val="24"/>
          <w:szCs w:val="24"/>
        </w:rPr>
        <w:t xml:space="preserve"> ignored the evidence of Sgt Flatela. Mr </w:t>
      </w:r>
      <w:r w:rsidR="000D21DA" w:rsidRPr="00270C08">
        <w:rPr>
          <w:rFonts w:ascii="Arial" w:hAnsi="Arial" w:cs="Arial"/>
          <w:i/>
          <w:iCs/>
          <w:sz w:val="24"/>
          <w:szCs w:val="24"/>
        </w:rPr>
        <w:t xml:space="preserve">Mnyani </w:t>
      </w:r>
      <w:r w:rsidR="000D21DA" w:rsidRPr="00270C08">
        <w:rPr>
          <w:rFonts w:ascii="Arial" w:hAnsi="Arial" w:cs="Arial"/>
          <w:sz w:val="24"/>
          <w:szCs w:val="24"/>
        </w:rPr>
        <w:t xml:space="preserve">submitted </w:t>
      </w:r>
      <w:r w:rsidR="000D21DA" w:rsidRPr="00270C08">
        <w:rPr>
          <w:rFonts w:ascii="Arial" w:hAnsi="Arial" w:cs="Arial"/>
          <w:sz w:val="24"/>
          <w:szCs w:val="24"/>
        </w:rPr>
        <w:lastRenderedPageBreak/>
        <w:t xml:space="preserve">that Sgt Flatela had entertained a reasonable suspicion that the respondents were involved in the commission of the offence of </w:t>
      </w:r>
      <w:r w:rsidR="00E348BD" w:rsidRPr="00270C08">
        <w:rPr>
          <w:rFonts w:ascii="Arial" w:hAnsi="Arial" w:cs="Arial"/>
          <w:sz w:val="24"/>
          <w:szCs w:val="24"/>
        </w:rPr>
        <w:t xml:space="preserve">murder at Seyisi Area, KwaZakhele. </w:t>
      </w:r>
    </w:p>
    <w:p w14:paraId="27689D9E" w14:textId="22E159B0" w:rsidR="00F31F1A" w:rsidRPr="00270C08" w:rsidRDefault="00536D67" w:rsidP="00536D67">
      <w:pPr>
        <w:spacing w:after="240"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E348BD" w:rsidRPr="00270C08">
        <w:rPr>
          <w:rFonts w:ascii="Arial" w:hAnsi="Arial" w:cs="Arial"/>
          <w:sz w:val="24"/>
          <w:szCs w:val="24"/>
        </w:rPr>
        <w:t xml:space="preserve">The contention, in this regard, was that the arresting officer’s belief was based on information of sufficiently high quality and cogency and that it was based on solid grounds. </w:t>
      </w:r>
      <w:r w:rsidR="00B67EAD">
        <w:rPr>
          <w:rFonts w:ascii="Arial" w:hAnsi="Arial" w:cs="Arial"/>
          <w:sz w:val="24"/>
          <w:szCs w:val="24"/>
        </w:rPr>
        <w:t xml:space="preserve">Mr </w:t>
      </w:r>
      <w:r w:rsidR="00B67EAD">
        <w:rPr>
          <w:rFonts w:ascii="Arial" w:hAnsi="Arial" w:cs="Arial"/>
          <w:i/>
          <w:iCs/>
          <w:sz w:val="24"/>
          <w:szCs w:val="24"/>
        </w:rPr>
        <w:t xml:space="preserve">Mnyani </w:t>
      </w:r>
      <w:r w:rsidR="00390C3E" w:rsidRPr="00270C08">
        <w:rPr>
          <w:rFonts w:ascii="Arial" w:hAnsi="Arial" w:cs="Arial"/>
          <w:sz w:val="24"/>
          <w:szCs w:val="24"/>
        </w:rPr>
        <w:t>contended that it was important to consider the fact that Sgt Flatela had attended the crime scene at 12 midnight and that he received information from a member of the community</w:t>
      </w:r>
      <w:r w:rsidR="00740098" w:rsidRPr="00270C08">
        <w:rPr>
          <w:rFonts w:ascii="Arial" w:hAnsi="Arial" w:cs="Arial"/>
          <w:sz w:val="24"/>
          <w:szCs w:val="24"/>
        </w:rPr>
        <w:t>.</w:t>
      </w:r>
      <w:r w:rsidR="00390C3E" w:rsidRPr="00270C08">
        <w:rPr>
          <w:rFonts w:ascii="Arial" w:hAnsi="Arial" w:cs="Arial"/>
          <w:sz w:val="24"/>
          <w:szCs w:val="24"/>
        </w:rPr>
        <w:t xml:space="preserve"> </w:t>
      </w:r>
      <w:r w:rsidR="0003056C">
        <w:rPr>
          <w:rFonts w:ascii="Arial" w:hAnsi="Arial" w:cs="Arial"/>
          <w:sz w:val="24"/>
          <w:szCs w:val="24"/>
        </w:rPr>
        <w:t>He</w:t>
      </w:r>
      <w:r w:rsidR="00390C3E" w:rsidRPr="00270C08">
        <w:rPr>
          <w:rFonts w:ascii="Arial" w:hAnsi="Arial" w:cs="Arial"/>
          <w:sz w:val="24"/>
          <w:szCs w:val="24"/>
        </w:rPr>
        <w:t xml:space="preserve"> further contended that the red Golf was stopped by </w:t>
      </w:r>
      <w:r w:rsidR="00740098" w:rsidRPr="00270C08">
        <w:rPr>
          <w:rFonts w:ascii="Arial" w:hAnsi="Arial" w:cs="Arial"/>
          <w:sz w:val="24"/>
          <w:szCs w:val="24"/>
        </w:rPr>
        <w:t xml:space="preserve">Sgt Flatela’s </w:t>
      </w:r>
      <w:r w:rsidR="00390C3E" w:rsidRPr="00270C08">
        <w:rPr>
          <w:rFonts w:ascii="Arial" w:hAnsi="Arial" w:cs="Arial"/>
          <w:sz w:val="24"/>
          <w:szCs w:val="24"/>
        </w:rPr>
        <w:t xml:space="preserve">colleagues within a short space of time and that the occupants of the red Golf were immediately arrested upon his arrival </w:t>
      </w:r>
      <w:r w:rsidR="0003056C">
        <w:rPr>
          <w:rFonts w:ascii="Arial" w:hAnsi="Arial" w:cs="Arial"/>
          <w:sz w:val="24"/>
          <w:szCs w:val="24"/>
        </w:rPr>
        <w:t xml:space="preserve">thereat. </w:t>
      </w:r>
      <w:r w:rsidR="000A44F7" w:rsidRPr="00270C08">
        <w:rPr>
          <w:rFonts w:ascii="Arial" w:hAnsi="Arial" w:cs="Arial"/>
          <w:sz w:val="24"/>
          <w:szCs w:val="24"/>
        </w:rPr>
        <w:t xml:space="preserve">He emphasized that the person who had shot the deceased had fled </w:t>
      </w:r>
      <w:r w:rsidR="003476EF">
        <w:rPr>
          <w:rFonts w:ascii="Arial" w:hAnsi="Arial" w:cs="Arial"/>
          <w:sz w:val="24"/>
          <w:szCs w:val="24"/>
        </w:rPr>
        <w:t>in</w:t>
      </w:r>
      <w:r w:rsidR="000A44F7" w:rsidRPr="00270C08">
        <w:rPr>
          <w:rFonts w:ascii="Arial" w:hAnsi="Arial" w:cs="Arial"/>
          <w:sz w:val="24"/>
          <w:szCs w:val="24"/>
        </w:rPr>
        <w:t xml:space="preserve"> a red Golf</w:t>
      </w:r>
      <w:r w:rsidR="00737CA8" w:rsidRPr="00270C08">
        <w:rPr>
          <w:rFonts w:ascii="Arial" w:hAnsi="Arial" w:cs="Arial"/>
          <w:sz w:val="24"/>
          <w:szCs w:val="24"/>
        </w:rPr>
        <w:t xml:space="preserve"> and therefore, the police had reasonable suspicion </w:t>
      </w:r>
      <w:r w:rsidR="003476EF">
        <w:rPr>
          <w:rFonts w:ascii="Arial" w:hAnsi="Arial" w:cs="Arial"/>
          <w:sz w:val="24"/>
          <w:szCs w:val="24"/>
        </w:rPr>
        <w:t>for</w:t>
      </w:r>
      <w:r w:rsidR="00737CA8" w:rsidRPr="00270C08">
        <w:rPr>
          <w:rFonts w:ascii="Arial" w:hAnsi="Arial" w:cs="Arial"/>
          <w:sz w:val="24"/>
          <w:szCs w:val="24"/>
        </w:rPr>
        <w:t xml:space="preserve"> arresting the occupants of the red Golf. </w:t>
      </w:r>
    </w:p>
    <w:p w14:paraId="1A863328" w14:textId="1E5D39F6" w:rsidR="002D3C54" w:rsidRPr="00411BF8" w:rsidRDefault="00536D67" w:rsidP="00270C08">
      <w:pPr>
        <w:spacing w:after="240" w:line="360" w:lineRule="auto"/>
        <w:jc w:val="both"/>
        <w:rPr>
          <w:rFonts w:ascii="Arial" w:hAnsi="Arial" w:cs="Arial"/>
          <w:sz w:val="24"/>
          <w:szCs w:val="24"/>
        </w:rPr>
      </w:pPr>
      <w:r>
        <w:rPr>
          <w:rFonts w:ascii="Arial" w:hAnsi="Arial" w:cs="Arial"/>
          <w:sz w:val="24"/>
          <w:szCs w:val="24"/>
        </w:rPr>
        <w:t>[30]</w:t>
      </w:r>
      <w:r w:rsidR="00411BF8">
        <w:rPr>
          <w:rFonts w:ascii="Arial" w:hAnsi="Arial" w:cs="Arial"/>
          <w:sz w:val="24"/>
          <w:szCs w:val="24"/>
        </w:rPr>
        <w:tab/>
      </w:r>
      <w:r w:rsidR="003860F3" w:rsidRPr="00270C08">
        <w:rPr>
          <w:rFonts w:ascii="Arial" w:hAnsi="Arial" w:cs="Arial"/>
          <w:sz w:val="24"/>
          <w:szCs w:val="24"/>
        </w:rPr>
        <w:t xml:space="preserve">In advancing </w:t>
      </w:r>
      <w:r w:rsidR="00F31F1A" w:rsidRPr="00270C08">
        <w:rPr>
          <w:rFonts w:ascii="Arial" w:hAnsi="Arial" w:cs="Arial"/>
          <w:sz w:val="24"/>
          <w:szCs w:val="24"/>
        </w:rPr>
        <w:t>t</w:t>
      </w:r>
      <w:r w:rsidR="003860F3" w:rsidRPr="00270C08">
        <w:rPr>
          <w:rFonts w:ascii="Arial" w:hAnsi="Arial" w:cs="Arial"/>
          <w:sz w:val="24"/>
          <w:szCs w:val="24"/>
        </w:rPr>
        <w:t xml:space="preserve">his contention, </w:t>
      </w:r>
      <w:r w:rsidR="003219F0" w:rsidRPr="00270C08">
        <w:rPr>
          <w:rFonts w:ascii="Arial" w:hAnsi="Arial" w:cs="Arial"/>
          <w:sz w:val="24"/>
          <w:szCs w:val="24"/>
        </w:rPr>
        <w:t xml:space="preserve">Mr </w:t>
      </w:r>
      <w:r w:rsidR="003219F0" w:rsidRPr="00270C08">
        <w:rPr>
          <w:rFonts w:ascii="Arial" w:hAnsi="Arial" w:cs="Arial"/>
          <w:i/>
          <w:iCs/>
          <w:sz w:val="24"/>
          <w:szCs w:val="24"/>
        </w:rPr>
        <w:t>Mnyani</w:t>
      </w:r>
      <w:r w:rsidR="003219F0" w:rsidRPr="00270C08">
        <w:rPr>
          <w:rFonts w:ascii="Arial" w:hAnsi="Arial" w:cs="Arial"/>
          <w:sz w:val="24"/>
          <w:szCs w:val="24"/>
        </w:rPr>
        <w:t xml:space="preserve"> </w:t>
      </w:r>
      <w:r w:rsidR="003860F3" w:rsidRPr="00270C08">
        <w:rPr>
          <w:rFonts w:ascii="Arial" w:hAnsi="Arial" w:cs="Arial"/>
          <w:sz w:val="24"/>
          <w:szCs w:val="24"/>
        </w:rPr>
        <w:t>had</w:t>
      </w:r>
      <w:r w:rsidR="007909A5">
        <w:rPr>
          <w:rFonts w:ascii="Arial" w:hAnsi="Arial" w:cs="Arial"/>
          <w:sz w:val="24"/>
          <w:szCs w:val="24"/>
        </w:rPr>
        <w:t xml:space="preserve"> inter alia</w:t>
      </w:r>
      <w:r w:rsidR="003860F3" w:rsidRPr="00270C08">
        <w:rPr>
          <w:rFonts w:ascii="Arial" w:hAnsi="Arial" w:cs="Arial"/>
          <w:sz w:val="24"/>
          <w:szCs w:val="24"/>
        </w:rPr>
        <w:t xml:space="preserve"> </w:t>
      </w:r>
      <w:r w:rsidR="003219F0" w:rsidRPr="00270C08">
        <w:rPr>
          <w:rFonts w:ascii="Arial" w:hAnsi="Arial" w:cs="Arial"/>
          <w:sz w:val="24"/>
          <w:szCs w:val="24"/>
        </w:rPr>
        <w:t>relied</w:t>
      </w:r>
      <w:r w:rsidR="003860F3" w:rsidRPr="00270C08">
        <w:rPr>
          <w:rFonts w:ascii="Arial" w:hAnsi="Arial" w:cs="Arial"/>
          <w:sz w:val="24"/>
          <w:szCs w:val="24"/>
        </w:rPr>
        <w:t xml:space="preserve"> </w:t>
      </w:r>
      <w:r w:rsidR="003219F0" w:rsidRPr="00270C08">
        <w:rPr>
          <w:rFonts w:ascii="Arial" w:hAnsi="Arial" w:cs="Arial"/>
          <w:sz w:val="24"/>
          <w:szCs w:val="24"/>
        </w:rPr>
        <w:t xml:space="preserve">on the authority of </w:t>
      </w:r>
      <w:r w:rsidR="006A5167" w:rsidRPr="00270C08">
        <w:rPr>
          <w:rFonts w:ascii="Arial" w:hAnsi="Arial" w:cs="Arial"/>
          <w:i/>
          <w:iCs/>
          <w:sz w:val="24"/>
          <w:szCs w:val="24"/>
        </w:rPr>
        <w:t>Minister of Safety &amp; Security v Magagula</w:t>
      </w:r>
      <w:r w:rsidR="006A5167" w:rsidRPr="00270C08">
        <w:rPr>
          <w:rStyle w:val="FootnoteReference"/>
          <w:rFonts w:ascii="Arial" w:hAnsi="Arial" w:cs="Arial"/>
          <w:i/>
          <w:iCs/>
          <w:sz w:val="24"/>
          <w:szCs w:val="24"/>
        </w:rPr>
        <w:footnoteReference w:id="7"/>
      </w:r>
      <w:r w:rsidR="003860F3" w:rsidRPr="00270C08">
        <w:rPr>
          <w:rFonts w:ascii="Arial" w:hAnsi="Arial" w:cs="Arial"/>
          <w:sz w:val="24"/>
          <w:szCs w:val="24"/>
        </w:rPr>
        <w:t xml:space="preserve">. </w:t>
      </w:r>
      <w:r w:rsidR="00390C3E" w:rsidRPr="00270C08">
        <w:rPr>
          <w:rFonts w:ascii="Arial" w:hAnsi="Arial" w:cs="Arial"/>
          <w:sz w:val="24"/>
          <w:szCs w:val="24"/>
        </w:rPr>
        <w:t xml:space="preserve"> I</w:t>
      </w:r>
      <w:r w:rsidR="00C12348">
        <w:rPr>
          <w:rFonts w:ascii="Arial" w:hAnsi="Arial" w:cs="Arial"/>
          <w:sz w:val="24"/>
          <w:szCs w:val="24"/>
        </w:rPr>
        <w:t xml:space="preserve">n that case the police had sufficient </w:t>
      </w:r>
      <w:r w:rsidR="00842EE4">
        <w:rPr>
          <w:rFonts w:ascii="Arial" w:hAnsi="Arial" w:cs="Arial"/>
          <w:sz w:val="24"/>
          <w:szCs w:val="24"/>
        </w:rPr>
        <w:t xml:space="preserve">information at their disposal to arrest based on a confession by a </w:t>
      </w:r>
      <w:r w:rsidR="006F19C3">
        <w:rPr>
          <w:rFonts w:ascii="Arial" w:hAnsi="Arial" w:cs="Arial"/>
          <w:sz w:val="24"/>
          <w:szCs w:val="24"/>
        </w:rPr>
        <w:t xml:space="preserve">co-perpetrator which corroborated information at their disposal and the suspect </w:t>
      </w:r>
      <w:r w:rsidR="00885C85">
        <w:rPr>
          <w:rFonts w:ascii="Arial" w:hAnsi="Arial" w:cs="Arial"/>
          <w:sz w:val="24"/>
          <w:szCs w:val="24"/>
        </w:rPr>
        <w:t>pointed out</w:t>
      </w:r>
      <w:r w:rsidR="00BA3D3C">
        <w:rPr>
          <w:rFonts w:ascii="Arial" w:hAnsi="Arial" w:cs="Arial"/>
          <w:sz w:val="24"/>
          <w:szCs w:val="24"/>
        </w:rPr>
        <w:t xml:space="preserve"> the person</w:t>
      </w:r>
      <w:r w:rsidR="00885C85">
        <w:rPr>
          <w:rFonts w:ascii="Arial" w:hAnsi="Arial" w:cs="Arial"/>
          <w:sz w:val="24"/>
          <w:szCs w:val="24"/>
        </w:rPr>
        <w:t xml:space="preserve"> and the suspect’s</w:t>
      </w:r>
      <w:r w:rsidR="00BA3D3C">
        <w:rPr>
          <w:rFonts w:ascii="Arial" w:hAnsi="Arial" w:cs="Arial"/>
          <w:sz w:val="24"/>
          <w:szCs w:val="24"/>
        </w:rPr>
        <w:t xml:space="preserve"> </w:t>
      </w:r>
      <w:r w:rsidR="00376064">
        <w:rPr>
          <w:rFonts w:ascii="Arial" w:hAnsi="Arial" w:cs="Arial"/>
          <w:sz w:val="24"/>
          <w:szCs w:val="24"/>
        </w:rPr>
        <w:t xml:space="preserve">identity was also confirmed </w:t>
      </w:r>
      <w:r w:rsidR="00F237AC">
        <w:rPr>
          <w:rFonts w:ascii="Arial" w:hAnsi="Arial" w:cs="Arial"/>
          <w:sz w:val="24"/>
          <w:szCs w:val="24"/>
        </w:rPr>
        <w:t>by his co-employee and by himself.</w:t>
      </w:r>
    </w:p>
    <w:p w14:paraId="6489FD05" w14:textId="10B8B0C6" w:rsidR="00D346F5" w:rsidRDefault="00F02C41" w:rsidP="00F02C41">
      <w:pPr>
        <w:spacing w:after="240"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C1693D" w:rsidRPr="00270C08">
        <w:rPr>
          <w:rFonts w:ascii="Arial" w:hAnsi="Arial" w:cs="Arial"/>
          <w:sz w:val="24"/>
          <w:szCs w:val="24"/>
        </w:rPr>
        <w:t xml:space="preserve">In </w:t>
      </w:r>
      <w:r w:rsidR="00390C3E" w:rsidRPr="00270C08">
        <w:rPr>
          <w:rFonts w:ascii="Arial" w:hAnsi="Arial" w:cs="Arial"/>
          <w:sz w:val="24"/>
          <w:szCs w:val="24"/>
        </w:rPr>
        <w:t xml:space="preserve">the </w:t>
      </w:r>
      <w:r w:rsidR="00390C3E" w:rsidRPr="00270C08">
        <w:rPr>
          <w:rFonts w:ascii="Arial" w:hAnsi="Arial" w:cs="Arial"/>
          <w:i/>
          <w:iCs/>
          <w:sz w:val="24"/>
          <w:szCs w:val="24"/>
        </w:rPr>
        <w:t>Magagula</w:t>
      </w:r>
      <w:r w:rsidR="00390C3E" w:rsidRPr="00270C08">
        <w:rPr>
          <w:rFonts w:ascii="Arial" w:hAnsi="Arial" w:cs="Arial"/>
          <w:sz w:val="24"/>
          <w:szCs w:val="24"/>
        </w:rPr>
        <w:t xml:space="preserve"> case</w:t>
      </w:r>
      <w:r w:rsidR="00C1693D" w:rsidRPr="00270C08">
        <w:rPr>
          <w:rFonts w:ascii="Arial" w:hAnsi="Arial" w:cs="Arial"/>
          <w:sz w:val="24"/>
          <w:szCs w:val="24"/>
        </w:rPr>
        <w:t>, it was held that - the facts known to Inspector Nel are sufficient to establish the existence of a suspicion. That suspicion was reasonably held as the facts objectively considered establish reasonable grounds for him to have had the suspicion.</w:t>
      </w:r>
      <w:r w:rsidR="00C1693D" w:rsidRPr="00270C08">
        <w:rPr>
          <w:rStyle w:val="FootnoteReference"/>
          <w:rFonts w:ascii="Arial" w:hAnsi="Arial" w:cs="Arial"/>
          <w:sz w:val="24"/>
          <w:szCs w:val="24"/>
        </w:rPr>
        <w:footnoteReference w:id="8"/>
      </w:r>
      <w:r w:rsidR="00390C3E" w:rsidRPr="00270C08">
        <w:rPr>
          <w:rFonts w:ascii="Arial" w:hAnsi="Arial" w:cs="Arial"/>
          <w:sz w:val="24"/>
          <w:szCs w:val="24"/>
        </w:rPr>
        <w:t xml:space="preserve"> Th</w:t>
      </w:r>
      <w:r w:rsidR="0043142F" w:rsidRPr="00270C08">
        <w:rPr>
          <w:rFonts w:ascii="Arial" w:hAnsi="Arial" w:cs="Arial"/>
          <w:sz w:val="24"/>
          <w:szCs w:val="24"/>
        </w:rPr>
        <w:t xml:space="preserve">e same </w:t>
      </w:r>
      <w:r w:rsidR="00390C3E" w:rsidRPr="00270C08">
        <w:rPr>
          <w:rFonts w:ascii="Arial" w:hAnsi="Arial" w:cs="Arial"/>
          <w:sz w:val="24"/>
          <w:szCs w:val="24"/>
        </w:rPr>
        <w:t xml:space="preserve">cannot be said </w:t>
      </w:r>
      <w:r w:rsidR="0043142F" w:rsidRPr="00270C08">
        <w:rPr>
          <w:rFonts w:ascii="Arial" w:hAnsi="Arial" w:cs="Arial"/>
          <w:sz w:val="24"/>
          <w:szCs w:val="24"/>
        </w:rPr>
        <w:t>on a careful</w:t>
      </w:r>
      <w:r w:rsidR="00390C3E" w:rsidRPr="00270C08">
        <w:rPr>
          <w:rFonts w:ascii="Arial" w:hAnsi="Arial" w:cs="Arial"/>
          <w:sz w:val="24"/>
          <w:szCs w:val="24"/>
        </w:rPr>
        <w:t xml:space="preserve"> </w:t>
      </w:r>
      <w:r w:rsidR="0043142F" w:rsidRPr="00270C08">
        <w:rPr>
          <w:rFonts w:ascii="Arial" w:hAnsi="Arial" w:cs="Arial"/>
          <w:sz w:val="24"/>
          <w:szCs w:val="24"/>
        </w:rPr>
        <w:t xml:space="preserve">consideration of the </w:t>
      </w:r>
      <w:r w:rsidR="00985120">
        <w:rPr>
          <w:rFonts w:ascii="Arial" w:hAnsi="Arial" w:cs="Arial"/>
          <w:sz w:val="24"/>
          <w:szCs w:val="24"/>
        </w:rPr>
        <w:t xml:space="preserve">facts in </w:t>
      </w:r>
      <w:r>
        <w:rPr>
          <w:rFonts w:ascii="Arial" w:hAnsi="Arial" w:cs="Arial"/>
          <w:sz w:val="24"/>
          <w:szCs w:val="24"/>
        </w:rPr>
        <w:t xml:space="preserve">this </w:t>
      </w:r>
      <w:r w:rsidRPr="00270C08">
        <w:rPr>
          <w:rFonts w:ascii="Arial" w:hAnsi="Arial" w:cs="Arial"/>
          <w:sz w:val="24"/>
          <w:szCs w:val="24"/>
        </w:rPr>
        <w:t>case</w:t>
      </w:r>
      <w:r w:rsidR="00390C3E" w:rsidRPr="00270C08">
        <w:rPr>
          <w:rFonts w:ascii="Arial" w:hAnsi="Arial" w:cs="Arial"/>
          <w:sz w:val="24"/>
          <w:szCs w:val="24"/>
        </w:rPr>
        <w:t>.</w:t>
      </w:r>
      <w:r w:rsidR="00FA14A4" w:rsidRPr="00270C08">
        <w:rPr>
          <w:rFonts w:ascii="Arial" w:hAnsi="Arial" w:cs="Arial"/>
          <w:sz w:val="24"/>
          <w:szCs w:val="24"/>
        </w:rPr>
        <w:t xml:space="preserve"> </w:t>
      </w:r>
      <w:r w:rsidR="00683903">
        <w:rPr>
          <w:rFonts w:ascii="Arial" w:hAnsi="Arial" w:cs="Arial"/>
          <w:sz w:val="24"/>
          <w:szCs w:val="24"/>
        </w:rPr>
        <w:t xml:space="preserve">Mr </w:t>
      </w:r>
      <w:r w:rsidR="00683903">
        <w:rPr>
          <w:rFonts w:ascii="Arial" w:hAnsi="Arial" w:cs="Arial"/>
          <w:i/>
          <w:iCs/>
          <w:sz w:val="24"/>
          <w:szCs w:val="24"/>
        </w:rPr>
        <w:t>Mnyani</w:t>
      </w:r>
      <w:r w:rsidR="00683903">
        <w:rPr>
          <w:rFonts w:ascii="Arial" w:hAnsi="Arial" w:cs="Arial"/>
          <w:sz w:val="24"/>
          <w:szCs w:val="24"/>
        </w:rPr>
        <w:t xml:space="preserve"> had also relied on the authority of </w:t>
      </w:r>
      <w:r w:rsidR="00683903" w:rsidRPr="00683903">
        <w:rPr>
          <w:rFonts w:ascii="Arial" w:hAnsi="Arial" w:cs="Arial"/>
          <w:i/>
          <w:iCs/>
          <w:sz w:val="24"/>
          <w:szCs w:val="24"/>
        </w:rPr>
        <w:t>Mi</w:t>
      </w:r>
      <w:r w:rsidR="00683903">
        <w:rPr>
          <w:rFonts w:ascii="Arial" w:hAnsi="Arial" w:cs="Arial"/>
          <w:i/>
          <w:iCs/>
          <w:sz w:val="24"/>
          <w:szCs w:val="24"/>
        </w:rPr>
        <w:t>nister of Police v Bosman &amp; Others</w:t>
      </w:r>
      <w:r w:rsidR="00683903">
        <w:rPr>
          <w:rStyle w:val="FootnoteReference"/>
          <w:rFonts w:ascii="Arial" w:hAnsi="Arial" w:cs="Arial"/>
          <w:i/>
          <w:iCs/>
          <w:sz w:val="24"/>
          <w:szCs w:val="24"/>
        </w:rPr>
        <w:footnoteReference w:id="9"/>
      </w:r>
      <w:r w:rsidR="00683903">
        <w:rPr>
          <w:rFonts w:ascii="Arial" w:hAnsi="Arial" w:cs="Arial"/>
          <w:sz w:val="24"/>
          <w:szCs w:val="24"/>
        </w:rPr>
        <w:t xml:space="preserve">. </w:t>
      </w:r>
      <w:r w:rsidR="00C64452">
        <w:rPr>
          <w:rFonts w:ascii="Arial" w:hAnsi="Arial" w:cs="Arial"/>
          <w:sz w:val="24"/>
          <w:szCs w:val="24"/>
        </w:rPr>
        <w:t>In this case, it was held that –</w:t>
      </w:r>
    </w:p>
    <w:p w14:paraId="731F485A" w14:textId="473163ED" w:rsidR="00C64452" w:rsidRDefault="00C64452" w:rsidP="00F02C41">
      <w:pPr>
        <w:spacing w:after="240" w:line="360" w:lineRule="auto"/>
        <w:jc w:val="both"/>
        <w:rPr>
          <w:rFonts w:ascii="Arial" w:hAnsi="Arial" w:cs="Arial"/>
        </w:rPr>
      </w:pPr>
      <w:r>
        <w:rPr>
          <w:rFonts w:ascii="Arial" w:hAnsi="Arial" w:cs="Arial"/>
        </w:rPr>
        <w:t xml:space="preserve">‘Goeda testified that once he had instructed the occupants to disembark from the bakkie, he stood outside the police vehicle. He could not say with certainty that he heard all of the information in respect of the shooting incident over the radio. It does not appear from Goeda’s testimony that there was mention of any names specifically communicated over the radio. Even if this Court were to accept that Goeda may have heard the names of the suspects involved in the shooting incident (and that not all of the respondents were suspects) over the </w:t>
      </w:r>
      <w:r>
        <w:rPr>
          <w:rFonts w:ascii="Arial" w:hAnsi="Arial" w:cs="Arial"/>
        </w:rPr>
        <w:lastRenderedPageBreak/>
        <w:t xml:space="preserve">radio, a firearm with live ammunition was found to have been thrown out of the fleeing bakkie in which all the respondents were occupants, which gave rise to a reasonable suspicion that they were involved in the shooting incident at Malabar and the possession of the firearm. In such circumstances it was reasonable for Goeda to arrest all the respondents, in order to conduct further investigation in this regard, as it could not be immediately determined which of the respondents may have potentially used the firearm in the shooting incident. This was not unreasonable in the circumstances.’  </w:t>
      </w:r>
    </w:p>
    <w:p w14:paraId="0754B40D" w14:textId="12357731" w:rsidR="00D346F5" w:rsidRPr="005F3AD3" w:rsidRDefault="00F02C41" w:rsidP="00F02C41">
      <w:pPr>
        <w:spacing w:after="240"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390C3E" w:rsidRPr="00270C08">
        <w:rPr>
          <w:rFonts w:ascii="Arial" w:hAnsi="Arial" w:cs="Arial"/>
          <w:sz w:val="24"/>
          <w:szCs w:val="24"/>
        </w:rPr>
        <w:t>I</w:t>
      </w:r>
      <w:r w:rsidR="00C1693D" w:rsidRPr="00270C08">
        <w:rPr>
          <w:rFonts w:ascii="Arial" w:hAnsi="Arial" w:cs="Arial"/>
          <w:sz w:val="24"/>
          <w:szCs w:val="24"/>
        </w:rPr>
        <w:t xml:space="preserve">n this case, Sgt Flatela did not have the details of the person that had shot the deceased at Seyisi Area, KwaZakhele. He had no information about the details of the person who had run into the red Golf. </w:t>
      </w:r>
      <w:r w:rsidR="00D80784" w:rsidRPr="00270C08">
        <w:rPr>
          <w:rFonts w:ascii="Arial" w:hAnsi="Arial" w:cs="Arial"/>
          <w:sz w:val="24"/>
          <w:szCs w:val="24"/>
        </w:rPr>
        <w:t xml:space="preserve">He did not even know whether the person was a male or a female. </w:t>
      </w:r>
      <w:r w:rsidR="001B0E6A">
        <w:rPr>
          <w:rFonts w:ascii="Arial" w:hAnsi="Arial" w:cs="Arial"/>
          <w:sz w:val="24"/>
          <w:szCs w:val="24"/>
        </w:rPr>
        <w:t xml:space="preserve">He did not </w:t>
      </w:r>
      <w:r w:rsidR="000658AA">
        <w:rPr>
          <w:rFonts w:ascii="Arial" w:hAnsi="Arial" w:cs="Arial"/>
          <w:sz w:val="24"/>
          <w:szCs w:val="24"/>
        </w:rPr>
        <w:t xml:space="preserve">ask the </w:t>
      </w:r>
      <w:r w:rsidR="006314FE">
        <w:rPr>
          <w:rFonts w:ascii="Arial" w:hAnsi="Arial" w:cs="Arial"/>
          <w:sz w:val="24"/>
          <w:szCs w:val="24"/>
        </w:rPr>
        <w:t xml:space="preserve">informant / </w:t>
      </w:r>
      <w:r w:rsidR="003E33EB">
        <w:rPr>
          <w:rFonts w:ascii="Arial" w:hAnsi="Arial" w:cs="Arial"/>
          <w:sz w:val="24"/>
          <w:szCs w:val="24"/>
        </w:rPr>
        <w:t>community members</w:t>
      </w:r>
      <w:r w:rsidR="000658AA">
        <w:rPr>
          <w:rFonts w:ascii="Arial" w:hAnsi="Arial" w:cs="Arial"/>
          <w:sz w:val="24"/>
          <w:szCs w:val="24"/>
        </w:rPr>
        <w:t xml:space="preserve"> vital questions pertaining to the identity </w:t>
      </w:r>
      <w:r w:rsidR="00311A5E">
        <w:rPr>
          <w:rFonts w:ascii="Arial" w:hAnsi="Arial" w:cs="Arial"/>
          <w:sz w:val="24"/>
          <w:szCs w:val="24"/>
        </w:rPr>
        <w:t xml:space="preserve">of the person who had shot the deceased or </w:t>
      </w:r>
      <w:r w:rsidR="000F30DC">
        <w:rPr>
          <w:rFonts w:ascii="Arial" w:hAnsi="Arial" w:cs="Arial"/>
          <w:sz w:val="24"/>
          <w:szCs w:val="24"/>
        </w:rPr>
        <w:t xml:space="preserve">who was seen there. He did not ask </w:t>
      </w:r>
      <w:r w:rsidR="00945169">
        <w:rPr>
          <w:rFonts w:ascii="Arial" w:hAnsi="Arial" w:cs="Arial"/>
          <w:sz w:val="24"/>
          <w:szCs w:val="24"/>
        </w:rPr>
        <w:t>whether the person was male or female, how the person was attired</w:t>
      </w:r>
      <w:r w:rsidR="00A36839">
        <w:rPr>
          <w:rFonts w:ascii="Arial" w:hAnsi="Arial" w:cs="Arial"/>
          <w:sz w:val="24"/>
          <w:szCs w:val="24"/>
        </w:rPr>
        <w:t xml:space="preserve">, what race group the person belonged to, what was </w:t>
      </w:r>
      <w:r w:rsidR="00466C9A">
        <w:rPr>
          <w:rFonts w:ascii="Arial" w:hAnsi="Arial" w:cs="Arial"/>
          <w:sz w:val="24"/>
          <w:szCs w:val="24"/>
        </w:rPr>
        <w:t xml:space="preserve">his or her complexion, whether </w:t>
      </w:r>
      <w:r w:rsidR="00FA68F7">
        <w:rPr>
          <w:rFonts w:ascii="Arial" w:hAnsi="Arial" w:cs="Arial"/>
          <w:sz w:val="24"/>
          <w:szCs w:val="24"/>
        </w:rPr>
        <w:t xml:space="preserve">there were any identifying features, </w:t>
      </w:r>
      <w:r w:rsidR="006D2626">
        <w:rPr>
          <w:rFonts w:ascii="Arial" w:hAnsi="Arial" w:cs="Arial"/>
          <w:sz w:val="24"/>
          <w:szCs w:val="24"/>
        </w:rPr>
        <w:t>whether</w:t>
      </w:r>
      <w:r w:rsidR="00FA68F7">
        <w:rPr>
          <w:rFonts w:ascii="Arial" w:hAnsi="Arial" w:cs="Arial"/>
          <w:sz w:val="24"/>
          <w:szCs w:val="24"/>
        </w:rPr>
        <w:t xml:space="preserve"> he saw </w:t>
      </w:r>
      <w:r w:rsidR="005205B3">
        <w:rPr>
          <w:rFonts w:ascii="Arial" w:hAnsi="Arial" w:cs="Arial"/>
          <w:sz w:val="24"/>
          <w:szCs w:val="24"/>
        </w:rPr>
        <w:t>the registration letters and numbers of the red Golf</w:t>
      </w:r>
      <w:r w:rsidR="00BD31DB">
        <w:rPr>
          <w:rFonts w:ascii="Arial" w:hAnsi="Arial" w:cs="Arial"/>
          <w:sz w:val="24"/>
          <w:szCs w:val="24"/>
        </w:rPr>
        <w:t>, w</w:t>
      </w:r>
      <w:r w:rsidR="00510B3A">
        <w:rPr>
          <w:rFonts w:ascii="Arial" w:hAnsi="Arial" w:cs="Arial"/>
          <w:sz w:val="24"/>
          <w:szCs w:val="24"/>
        </w:rPr>
        <w:t xml:space="preserve">hat time he last saw </w:t>
      </w:r>
      <w:r w:rsidR="00D47E3A">
        <w:rPr>
          <w:rFonts w:ascii="Arial" w:hAnsi="Arial" w:cs="Arial"/>
          <w:sz w:val="24"/>
          <w:szCs w:val="24"/>
        </w:rPr>
        <w:t>the person and the vehicle</w:t>
      </w:r>
      <w:r w:rsidR="00510B3A">
        <w:rPr>
          <w:rFonts w:ascii="Arial" w:hAnsi="Arial" w:cs="Arial"/>
          <w:sz w:val="24"/>
          <w:szCs w:val="24"/>
        </w:rPr>
        <w:t xml:space="preserve">. </w:t>
      </w:r>
      <w:r w:rsidR="00D47E3A">
        <w:rPr>
          <w:rFonts w:ascii="Arial" w:hAnsi="Arial" w:cs="Arial"/>
          <w:sz w:val="24"/>
          <w:szCs w:val="24"/>
        </w:rPr>
        <w:t>He did not enquire from the informant or witness</w:t>
      </w:r>
      <w:r w:rsidR="007565EA">
        <w:rPr>
          <w:rFonts w:ascii="Arial" w:hAnsi="Arial" w:cs="Arial"/>
          <w:sz w:val="24"/>
          <w:szCs w:val="24"/>
        </w:rPr>
        <w:t xml:space="preserve"> how</w:t>
      </w:r>
      <w:r w:rsidR="00510B3A">
        <w:rPr>
          <w:rFonts w:ascii="Arial" w:hAnsi="Arial" w:cs="Arial"/>
          <w:sz w:val="24"/>
          <w:szCs w:val="24"/>
        </w:rPr>
        <w:t xml:space="preserve"> many occupants </w:t>
      </w:r>
      <w:r w:rsidR="0087567C">
        <w:rPr>
          <w:rFonts w:ascii="Arial" w:hAnsi="Arial" w:cs="Arial"/>
          <w:sz w:val="24"/>
          <w:szCs w:val="24"/>
        </w:rPr>
        <w:t>were in the Golf that this person boarded</w:t>
      </w:r>
      <w:r w:rsidR="008F786F">
        <w:rPr>
          <w:rFonts w:ascii="Arial" w:hAnsi="Arial" w:cs="Arial"/>
          <w:sz w:val="24"/>
          <w:szCs w:val="24"/>
        </w:rPr>
        <w:t xml:space="preserve"> or inquire </w:t>
      </w:r>
      <w:r w:rsidR="0048181A">
        <w:rPr>
          <w:rFonts w:ascii="Arial" w:hAnsi="Arial" w:cs="Arial"/>
          <w:sz w:val="24"/>
          <w:szCs w:val="24"/>
        </w:rPr>
        <w:t>from him the</w:t>
      </w:r>
      <w:r w:rsidR="00B12928">
        <w:rPr>
          <w:rFonts w:ascii="Arial" w:hAnsi="Arial" w:cs="Arial"/>
          <w:sz w:val="24"/>
          <w:szCs w:val="24"/>
        </w:rPr>
        <w:t xml:space="preserve"> time </w:t>
      </w:r>
      <w:r w:rsidR="0048181A">
        <w:rPr>
          <w:rFonts w:ascii="Arial" w:hAnsi="Arial" w:cs="Arial"/>
          <w:sz w:val="24"/>
          <w:szCs w:val="24"/>
        </w:rPr>
        <w:t>he saw</w:t>
      </w:r>
      <w:r w:rsidR="00B12928">
        <w:rPr>
          <w:rFonts w:ascii="Arial" w:hAnsi="Arial" w:cs="Arial"/>
          <w:sz w:val="24"/>
          <w:szCs w:val="24"/>
        </w:rPr>
        <w:t xml:space="preserve"> the person </w:t>
      </w:r>
      <w:r w:rsidR="00A70222">
        <w:rPr>
          <w:rFonts w:ascii="Arial" w:hAnsi="Arial" w:cs="Arial"/>
          <w:sz w:val="24"/>
          <w:szCs w:val="24"/>
        </w:rPr>
        <w:t xml:space="preserve">boarding this vehicle. The information at his disposal </w:t>
      </w:r>
      <w:r w:rsidR="005E06A5">
        <w:rPr>
          <w:rFonts w:ascii="Arial" w:hAnsi="Arial" w:cs="Arial"/>
          <w:sz w:val="24"/>
          <w:szCs w:val="24"/>
        </w:rPr>
        <w:t xml:space="preserve">was so scant that it could not warrant the arrest of </w:t>
      </w:r>
      <w:r w:rsidR="006F3C49">
        <w:rPr>
          <w:rFonts w:ascii="Arial" w:hAnsi="Arial" w:cs="Arial"/>
          <w:sz w:val="24"/>
          <w:szCs w:val="24"/>
        </w:rPr>
        <w:t xml:space="preserve">seven occupants of a red Golf </w:t>
      </w:r>
      <w:r w:rsidR="009E4603">
        <w:rPr>
          <w:rFonts w:ascii="Arial" w:hAnsi="Arial" w:cs="Arial"/>
          <w:sz w:val="24"/>
          <w:szCs w:val="24"/>
        </w:rPr>
        <w:t>that was found some time after the</w:t>
      </w:r>
      <w:r w:rsidR="007565EA">
        <w:rPr>
          <w:rFonts w:ascii="Arial" w:hAnsi="Arial" w:cs="Arial"/>
          <w:sz w:val="24"/>
          <w:szCs w:val="24"/>
        </w:rPr>
        <w:t xml:space="preserve"> shooting</w:t>
      </w:r>
      <w:r w:rsidR="009E4603">
        <w:rPr>
          <w:rFonts w:ascii="Arial" w:hAnsi="Arial" w:cs="Arial"/>
          <w:sz w:val="24"/>
          <w:szCs w:val="24"/>
        </w:rPr>
        <w:t>.</w:t>
      </w:r>
      <w:r w:rsidR="00970B22">
        <w:rPr>
          <w:rFonts w:ascii="Arial" w:hAnsi="Arial" w:cs="Arial"/>
          <w:sz w:val="24"/>
          <w:szCs w:val="24"/>
        </w:rPr>
        <w:t xml:space="preserve"> </w:t>
      </w:r>
      <w:r w:rsidR="009F4D38" w:rsidRPr="00270C08">
        <w:rPr>
          <w:rFonts w:ascii="Arial" w:hAnsi="Arial" w:cs="Arial"/>
          <w:sz w:val="24"/>
          <w:szCs w:val="24"/>
        </w:rPr>
        <w:t xml:space="preserve">There was paucity of information about the identity of the suspect. </w:t>
      </w:r>
      <w:r w:rsidR="00AD75F0" w:rsidRPr="00270C08">
        <w:rPr>
          <w:rFonts w:ascii="Arial" w:hAnsi="Arial" w:cs="Arial"/>
          <w:sz w:val="24"/>
          <w:szCs w:val="24"/>
        </w:rPr>
        <w:t xml:space="preserve">Whilst the evidence is that only one person had shot the deceased and ran into a Golf, Sgt Flatela arrested 7 persons, 1 of them was a female. </w:t>
      </w:r>
      <w:r w:rsidR="00ED3072" w:rsidRPr="00270C08">
        <w:rPr>
          <w:rFonts w:ascii="Arial" w:hAnsi="Arial" w:cs="Arial"/>
          <w:sz w:val="24"/>
          <w:szCs w:val="24"/>
        </w:rPr>
        <w:t>More significantly, there was no evidence found in the red Golf</w:t>
      </w:r>
      <w:r w:rsidR="00E908C3">
        <w:rPr>
          <w:rFonts w:ascii="Arial" w:hAnsi="Arial" w:cs="Arial"/>
          <w:sz w:val="24"/>
          <w:szCs w:val="24"/>
        </w:rPr>
        <w:t>,</w:t>
      </w:r>
      <w:r w:rsidR="00ED3072" w:rsidRPr="00270C08">
        <w:rPr>
          <w:rFonts w:ascii="Arial" w:hAnsi="Arial" w:cs="Arial"/>
          <w:sz w:val="24"/>
          <w:szCs w:val="24"/>
        </w:rPr>
        <w:t xml:space="preserve"> after it was stopped</w:t>
      </w:r>
      <w:r w:rsidR="00666CA9" w:rsidRPr="00270C08">
        <w:rPr>
          <w:rFonts w:ascii="Arial" w:hAnsi="Arial" w:cs="Arial"/>
          <w:sz w:val="24"/>
          <w:szCs w:val="24"/>
        </w:rPr>
        <w:t xml:space="preserve"> and searched</w:t>
      </w:r>
      <w:r w:rsidR="00E908C3">
        <w:rPr>
          <w:rFonts w:ascii="Arial" w:hAnsi="Arial" w:cs="Arial"/>
          <w:sz w:val="24"/>
          <w:szCs w:val="24"/>
        </w:rPr>
        <w:t>,</w:t>
      </w:r>
      <w:r w:rsidR="00666CA9" w:rsidRPr="00270C08">
        <w:rPr>
          <w:rFonts w:ascii="Arial" w:hAnsi="Arial" w:cs="Arial"/>
          <w:sz w:val="24"/>
          <w:szCs w:val="24"/>
        </w:rPr>
        <w:t xml:space="preserve"> </w:t>
      </w:r>
      <w:r w:rsidR="00390C3E" w:rsidRPr="00270C08">
        <w:rPr>
          <w:rFonts w:ascii="Arial" w:hAnsi="Arial" w:cs="Arial"/>
          <w:sz w:val="24"/>
          <w:szCs w:val="24"/>
        </w:rPr>
        <w:t xml:space="preserve">which </w:t>
      </w:r>
      <w:r w:rsidR="00FA14A4" w:rsidRPr="00270C08">
        <w:rPr>
          <w:rFonts w:ascii="Arial" w:hAnsi="Arial" w:cs="Arial"/>
          <w:sz w:val="24"/>
          <w:szCs w:val="24"/>
        </w:rPr>
        <w:t>linked</w:t>
      </w:r>
      <w:r w:rsidR="00ED3072" w:rsidRPr="00270C08">
        <w:rPr>
          <w:rFonts w:ascii="Arial" w:hAnsi="Arial" w:cs="Arial"/>
          <w:sz w:val="24"/>
          <w:szCs w:val="24"/>
        </w:rPr>
        <w:t xml:space="preserve"> any of the occupants of the red Golf to the offence. </w:t>
      </w:r>
      <w:r w:rsidR="000A5719" w:rsidRPr="00270C08">
        <w:rPr>
          <w:rFonts w:ascii="Arial" w:hAnsi="Arial" w:cs="Arial"/>
          <w:sz w:val="24"/>
          <w:szCs w:val="24"/>
        </w:rPr>
        <w:t xml:space="preserve">Other than what Flatela was told by the undisclosed member of the community, there was simply no link </w:t>
      </w:r>
      <w:r w:rsidR="007D75C5">
        <w:rPr>
          <w:rFonts w:ascii="Arial" w:hAnsi="Arial" w:cs="Arial"/>
          <w:sz w:val="24"/>
          <w:szCs w:val="24"/>
        </w:rPr>
        <w:t>to</w:t>
      </w:r>
      <w:r w:rsidR="000A5719" w:rsidRPr="00270C08">
        <w:rPr>
          <w:rFonts w:ascii="Arial" w:hAnsi="Arial" w:cs="Arial"/>
          <w:sz w:val="24"/>
          <w:szCs w:val="24"/>
        </w:rPr>
        <w:t xml:space="preserve"> the offence</w:t>
      </w:r>
      <w:r w:rsidR="00BC1DBE">
        <w:rPr>
          <w:rFonts w:ascii="Arial" w:hAnsi="Arial" w:cs="Arial"/>
          <w:sz w:val="24"/>
          <w:szCs w:val="24"/>
        </w:rPr>
        <w:t xml:space="preserve"> of</w:t>
      </w:r>
      <w:r w:rsidR="000A5719" w:rsidRPr="00270C08">
        <w:rPr>
          <w:rFonts w:ascii="Arial" w:hAnsi="Arial" w:cs="Arial"/>
          <w:sz w:val="24"/>
          <w:szCs w:val="24"/>
        </w:rPr>
        <w:t xml:space="preserve"> any of the occupants</w:t>
      </w:r>
      <w:r w:rsidR="00F03DAC">
        <w:rPr>
          <w:rFonts w:ascii="Arial" w:hAnsi="Arial" w:cs="Arial"/>
          <w:sz w:val="24"/>
          <w:szCs w:val="24"/>
        </w:rPr>
        <w:t xml:space="preserve"> of the vehicle</w:t>
      </w:r>
      <w:r w:rsidR="000A5719" w:rsidRPr="00270C08">
        <w:rPr>
          <w:rFonts w:ascii="Arial" w:hAnsi="Arial" w:cs="Arial"/>
          <w:sz w:val="24"/>
          <w:szCs w:val="24"/>
        </w:rPr>
        <w:t xml:space="preserve">. </w:t>
      </w:r>
      <w:r w:rsidR="00390C3E" w:rsidRPr="00270C08">
        <w:rPr>
          <w:rFonts w:ascii="Arial" w:hAnsi="Arial" w:cs="Arial"/>
          <w:sz w:val="24"/>
          <w:szCs w:val="24"/>
        </w:rPr>
        <w:t xml:space="preserve">In these circumstances, </w:t>
      </w:r>
      <w:r w:rsidR="001E205F" w:rsidRPr="00270C08">
        <w:rPr>
          <w:rFonts w:ascii="Arial" w:hAnsi="Arial" w:cs="Arial"/>
          <w:sz w:val="24"/>
          <w:szCs w:val="24"/>
        </w:rPr>
        <w:t xml:space="preserve">Sgt Flatela had a duty to assess the information at his disposal and confirm whether there was a link between the commission of the offence and the occupants of the red Golf. He did not do so. </w:t>
      </w:r>
      <w:r w:rsidR="005F3AD3">
        <w:rPr>
          <w:rFonts w:ascii="Arial" w:hAnsi="Arial" w:cs="Arial"/>
          <w:sz w:val="24"/>
          <w:szCs w:val="24"/>
        </w:rPr>
        <w:t xml:space="preserve">These facts are distinguishable from those of the </w:t>
      </w:r>
      <w:r w:rsidR="005F3AD3">
        <w:rPr>
          <w:rFonts w:ascii="Arial" w:hAnsi="Arial" w:cs="Arial"/>
          <w:i/>
          <w:iCs/>
          <w:sz w:val="24"/>
          <w:szCs w:val="24"/>
        </w:rPr>
        <w:t>Bosman</w:t>
      </w:r>
      <w:r w:rsidR="005F3AD3">
        <w:rPr>
          <w:rFonts w:ascii="Arial" w:hAnsi="Arial" w:cs="Arial"/>
          <w:sz w:val="24"/>
          <w:szCs w:val="24"/>
        </w:rPr>
        <w:t xml:space="preserve"> case upon which Mr </w:t>
      </w:r>
      <w:r w:rsidR="005F3AD3">
        <w:rPr>
          <w:rFonts w:ascii="Arial" w:hAnsi="Arial" w:cs="Arial"/>
          <w:i/>
          <w:iCs/>
          <w:sz w:val="24"/>
          <w:szCs w:val="24"/>
        </w:rPr>
        <w:t xml:space="preserve">Mnyani </w:t>
      </w:r>
      <w:r w:rsidR="005F3AD3">
        <w:rPr>
          <w:rFonts w:ascii="Arial" w:hAnsi="Arial" w:cs="Arial"/>
          <w:sz w:val="24"/>
          <w:szCs w:val="24"/>
        </w:rPr>
        <w:t xml:space="preserve">had relied. </w:t>
      </w:r>
    </w:p>
    <w:p w14:paraId="3B35C272" w14:textId="5D20F8AB" w:rsidR="000A5719" w:rsidRPr="00117BCF" w:rsidRDefault="00C30CDD" w:rsidP="00117BCF">
      <w:pPr>
        <w:spacing w:after="240" w:line="360" w:lineRule="auto"/>
        <w:jc w:val="both"/>
        <w:rPr>
          <w:rFonts w:ascii="Arial" w:hAnsi="Arial" w:cs="Arial"/>
          <w:sz w:val="24"/>
          <w:szCs w:val="24"/>
        </w:rPr>
      </w:pPr>
      <w:r>
        <w:rPr>
          <w:rFonts w:ascii="Arial" w:hAnsi="Arial" w:cs="Arial"/>
          <w:sz w:val="24"/>
          <w:szCs w:val="24"/>
        </w:rPr>
        <w:lastRenderedPageBreak/>
        <w:t>[33]</w:t>
      </w:r>
      <w:r>
        <w:rPr>
          <w:rFonts w:ascii="Arial" w:hAnsi="Arial" w:cs="Arial"/>
          <w:sz w:val="24"/>
          <w:szCs w:val="24"/>
        </w:rPr>
        <w:tab/>
      </w:r>
      <w:r w:rsidR="003A6209" w:rsidRPr="00117BCF">
        <w:rPr>
          <w:rFonts w:ascii="Arial" w:hAnsi="Arial" w:cs="Arial"/>
          <w:sz w:val="24"/>
          <w:szCs w:val="24"/>
        </w:rPr>
        <w:t xml:space="preserve">In </w:t>
      </w:r>
      <w:r w:rsidR="003A6209" w:rsidRPr="00117BCF">
        <w:rPr>
          <w:rFonts w:ascii="Arial" w:hAnsi="Arial" w:cs="Arial"/>
          <w:i/>
          <w:iCs/>
          <w:sz w:val="24"/>
          <w:szCs w:val="24"/>
        </w:rPr>
        <w:t>Minister of Police &amp; Another v Muller</w:t>
      </w:r>
      <w:r w:rsidR="003A6209" w:rsidRPr="00117BCF">
        <w:rPr>
          <w:rStyle w:val="FootnoteReference"/>
          <w:rFonts w:ascii="Arial" w:hAnsi="Arial" w:cs="Arial"/>
          <w:i/>
          <w:iCs/>
          <w:sz w:val="24"/>
          <w:szCs w:val="24"/>
        </w:rPr>
        <w:footnoteReference w:id="10"/>
      </w:r>
      <w:r w:rsidR="003A6209" w:rsidRPr="00117BCF">
        <w:rPr>
          <w:rFonts w:ascii="Arial" w:hAnsi="Arial" w:cs="Arial"/>
          <w:sz w:val="24"/>
          <w:szCs w:val="24"/>
        </w:rPr>
        <w:t xml:space="preserve"> </w:t>
      </w:r>
      <w:r w:rsidR="005457A1" w:rsidRPr="00117BCF">
        <w:rPr>
          <w:rFonts w:ascii="Arial" w:hAnsi="Arial" w:cs="Arial"/>
          <w:sz w:val="24"/>
          <w:szCs w:val="24"/>
        </w:rPr>
        <w:t>it was stated –</w:t>
      </w:r>
    </w:p>
    <w:p w14:paraId="1DB029D7" w14:textId="5F547EC6" w:rsidR="005457A1" w:rsidRPr="00270C08" w:rsidRDefault="005457A1" w:rsidP="00270C08">
      <w:pPr>
        <w:spacing w:after="240" w:line="360" w:lineRule="auto"/>
        <w:jc w:val="both"/>
        <w:rPr>
          <w:rFonts w:ascii="Arial" w:hAnsi="Arial" w:cs="Arial"/>
        </w:rPr>
      </w:pPr>
      <w:r w:rsidRPr="00270C08">
        <w:rPr>
          <w:rFonts w:ascii="Arial" w:hAnsi="Arial" w:cs="Arial"/>
        </w:rPr>
        <w:t xml:space="preserve">‘Reverting to the provisions of s 40(1)(b) of the CPA, as recorded earlier, in order to carry out an arrest in terms of these provisions, the arresting officer must harbour a reasonable suspicion that an offence had been committed. In </w:t>
      </w:r>
      <w:r w:rsidRPr="00270C08">
        <w:rPr>
          <w:rFonts w:ascii="Arial" w:hAnsi="Arial" w:cs="Arial"/>
          <w:i/>
          <w:iCs/>
        </w:rPr>
        <w:t>Mabona</w:t>
      </w:r>
      <w:r w:rsidR="00476163" w:rsidRPr="00270C08">
        <w:rPr>
          <w:rStyle w:val="FootnoteReference"/>
          <w:rFonts w:ascii="Arial" w:hAnsi="Arial" w:cs="Arial"/>
          <w:i/>
          <w:iCs/>
        </w:rPr>
        <w:footnoteReference w:id="11"/>
      </w:r>
      <w:r w:rsidRPr="00270C08">
        <w:rPr>
          <w:rFonts w:ascii="Arial" w:hAnsi="Arial" w:cs="Arial"/>
        </w:rPr>
        <w:t xml:space="preserve"> Jones J considered what was required for a suspicion to be reasonable in the context of s 40(1)(b) of the CPA. He recorded:</w:t>
      </w:r>
    </w:p>
    <w:p w14:paraId="64FF9AEB" w14:textId="77777777" w:rsidR="00C30CDD" w:rsidRDefault="005457A1" w:rsidP="00C30CDD">
      <w:pPr>
        <w:spacing w:after="240" w:line="360" w:lineRule="auto"/>
        <w:jc w:val="both"/>
        <w:rPr>
          <w:rFonts w:ascii="Arial" w:hAnsi="Arial" w:cs="Arial"/>
        </w:rPr>
      </w:pPr>
      <w:r w:rsidRPr="00270C08">
        <w:rPr>
          <w:rFonts w:ascii="Arial" w:hAnsi="Arial" w:cs="Arial"/>
        </w:rPr>
        <w:t xml:space="preserve">“… It authorises an arrest on the strength of a suspicion and without the </w:t>
      </w:r>
      <w:r w:rsidR="007F7636" w:rsidRPr="00270C08">
        <w:rPr>
          <w:rFonts w:ascii="Arial" w:hAnsi="Arial" w:cs="Arial"/>
        </w:rPr>
        <w:t>need to swear out a warrant, ie something which otherwise would be an invasion of private rights and personal liberty. The reasonable man will therefore analyse and assess the quality of the information at his disposal critically, and he will not accept it lightly or without checking it where it can be checked. It is only after an examination of this kind that he will allow himself to entertain a suspicion which will justify an arrest. This is not to say that the information at his disposal must be of sufficiently high quality and cogency to engender in him a conviction that the suspect is in fact guilty. The section requires suspicion but not certainty. However, the suspicion must be based on solid grounds. Otherwise, it will be flighty or arbitrary, and not a reasonable suspicion.”’</w:t>
      </w:r>
    </w:p>
    <w:p w14:paraId="25D4CD99" w14:textId="11FF62BD" w:rsidR="005457A1" w:rsidRPr="00C30CDD" w:rsidRDefault="00C30CDD" w:rsidP="00C30CDD">
      <w:pPr>
        <w:spacing w:after="240" w:line="360" w:lineRule="auto"/>
        <w:jc w:val="both"/>
        <w:rPr>
          <w:rFonts w:ascii="Arial" w:hAnsi="Arial" w:cs="Arial"/>
        </w:rPr>
      </w:pPr>
      <w:r w:rsidRPr="004D2B22">
        <w:rPr>
          <w:rFonts w:ascii="Arial" w:hAnsi="Arial" w:cs="Arial"/>
          <w:sz w:val="24"/>
          <w:szCs w:val="24"/>
        </w:rPr>
        <w:t>[34]</w:t>
      </w:r>
      <w:r>
        <w:rPr>
          <w:rFonts w:ascii="Arial" w:hAnsi="Arial" w:cs="Arial"/>
        </w:rPr>
        <w:tab/>
      </w:r>
      <w:r w:rsidR="00DF5350" w:rsidRPr="00270C08">
        <w:rPr>
          <w:rFonts w:ascii="Arial" w:hAnsi="Arial" w:cs="Arial"/>
          <w:sz w:val="24"/>
          <w:szCs w:val="24"/>
        </w:rPr>
        <w:t>In my view, a reasonable police officer would have analysed and assessed the quality of the information at his disposal critically, and he would not have accepted it lightly or without checking</w:t>
      </w:r>
      <w:r w:rsidR="001E205F" w:rsidRPr="00270C08">
        <w:rPr>
          <w:rFonts w:ascii="Arial" w:hAnsi="Arial" w:cs="Arial"/>
          <w:sz w:val="24"/>
          <w:szCs w:val="24"/>
        </w:rPr>
        <w:t>.</w:t>
      </w:r>
      <w:r w:rsidR="00DF5350" w:rsidRPr="00270C08">
        <w:rPr>
          <w:rFonts w:ascii="Arial" w:hAnsi="Arial" w:cs="Arial"/>
          <w:sz w:val="24"/>
          <w:szCs w:val="24"/>
        </w:rPr>
        <w:t xml:space="preserve"> </w:t>
      </w:r>
      <w:r w:rsidR="00BB12A5" w:rsidRPr="00270C08">
        <w:rPr>
          <w:rFonts w:ascii="Arial" w:hAnsi="Arial" w:cs="Arial"/>
          <w:sz w:val="24"/>
          <w:szCs w:val="24"/>
        </w:rPr>
        <w:t>I agree with the</w:t>
      </w:r>
      <w:r w:rsidR="00FA14A4" w:rsidRPr="00270C08">
        <w:rPr>
          <w:rFonts w:ascii="Arial" w:hAnsi="Arial" w:cs="Arial"/>
          <w:sz w:val="24"/>
          <w:szCs w:val="24"/>
        </w:rPr>
        <w:t xml:space="preserve"> reasoning of the</w:t>
      </w:r>
      <w:r w:rsidR="00BB12A5" w:rsidRPr="00270C08">
        <w:rPr>
          <w:rFonts w:ascii="Arial" w:hAnsi="Arial" w:cs="Arial"/>
          <w:sz w:val="24"/>
          <w:szCs w:val="24"/>
        </w:rPr>
        <w:t xml:space="preserve"> Magistrate </w:t>
      </w:r>
      <w:r w:rsidR="001E205F" w:rsidRPr="00270C08">
        <w:rPr>
          <w:rFonts w:ascii="Arial" w:hAnsi="Arial" w:cs="Arial"/>
          <w:sz w:val="24"/>
          <w:szCs w:val="24"/>
        </w:rPr>
        <w:t>and he correctly relied on</w:t>
      </w:r>
      <w:r w:rsidR="00BB12A5" w:rsidRPr="00270C08">
        <w:rPr>
          <w:rFonts w:ascii="Arial" w:hAnsi="Arial" w:cs="Arial"/>
          <w:sz w:val="24"/>
          <w:szCs w:val="24"/>
        </w:rPr>
        <w:t xml:space="preserve"> the </w:t>
      </w:r>
      <w:r w:rsidR="00BB12A5" w:rsidRPr="00270C08">
        <w:rPr>
          <w:rFonts w:ascii="Arial" w:hAnsi="Arial" w:cs="Arial"/>
          <w:i/>
          <w:iCs/>
          <w:sz w:val="24"/>
          <w:szCs w:val="24"/>
        </w:rPr>
        <w:t xml:space="preserve">Mabona </w:t>
      </w:r>
      <w:r w:rsidR="00BB12A5" w:rsidRPr="00270C08">
        <w:rPr>
          <w:rFonts w:ascii="Arial" w:hAnsi="Arial" w:cs="Arial"/>
          <w:sz w:val="24"/>
          <w:szCs w:val="24"/>
        </w:rPr>
        <w:t>judgment</w:t>
      </w:r>
      <w:r w:rsidR="001E205F" w:rsidRPr="00270C08">
        <w:rPr>
          <w:rFonts w:ascii="Arial" w:hAnsi="Arial" w:cs="Arial"/>
          <w:sz w:val="24"/>
          <w:szCs w:val="24"/>
        </w:rPr>
        <w:t>.</w:t>
      </w:r>
      <w:r w:rsidR="00BB12A5" w:rsidRPr="00270C08">
        <w:rPr>
          <w:rFonts w:ascii="Arial" w:hAnsi="Arial" w:cs="Arial"/>
          <w:sz w:val="24"/>
          <w:szCs w:val="24"/>
        </w:rPr>
        <w:t xml:space="preserve"> Sgt Flatela had failed to justify the arrest of the respondents</w:t>
      </w:r>
      <w:r w:rsidR="004057BA" w:rsidRPr="00270C08">
        <w:rPr>
          <w:rFonts w:ascii="Arial" w:hAnsi="Arial" w:cs="Arial"/>
          <w:sz w:val="24"/>
          <w:szCs w:val="24"/>
        </w:rPr>
        <w:t xml:space="preserve"> and therefore the Magistrate correctly found that the arrest was unlawful. </w:t>
      </w:r>
      <w:r w:rsidR="00EE663E" w:rsidRPr="00270C08">
        <w:rPr>
          <w:rFonts w:ascii="Arial" w:hAnsi="Arial" w:cs="Arial"/>
          <w:sz w:val="24"/>
          <w:szCs w:val="24"/>
        </w:rPr>
        <w:t>The information at the disposal of Sgt Flatela was too scanty to ground a reasonable suspicion which is required in terms of section 40(1)(b) of the CPA.</w:t>
      </w:r>
      <w:r w:rsidR="00720100" w:rsidRPr="00270C08">
        <w:rPr>
          <w:rStyle w:val="FootnoteReference"/>
          <w:rFonts w:ascii="Arial" w:hAnsi="Arial" w:cs="Arial"/>
          <w:sz w:val="24"/>
          <w:szCs w:val="24"/>
        </w:rPr>
        <w:footnoteReference w:id="12"/>
      </w:r>
      <w:r w:rsidR="00EE663E" w:rsidRPr="00270C08">
        <w:rPr>
          <w:rFonts w:ascii="Arial" w:hAnsi="Arial" w:cs="Arial"/>
          <w:sz w:val="24"/>
          <w:szCs w:val="24"/>
        </w:rPr>
        <w:t xml:space="preserve"> </w:t>
      </w:r>
    </w:p>
    <w:p w14:paraId="4DC4AC7A" w14:textId="72D85864" w:rsidR="00E267EE" w:rsidRPr="00270C08" w:rsidRDefault="00E267EE" w:rsidP="00E267EE">
      <w:pPr>
        <w:spacing w:after="240" w:line="360" w:lineRule="auto"/>
        <w:jc w:val="both"/>
        <w:rPr>
          <w:rFonts w:ascii="Arial" w:hAnsi="Arial" w:cs="Arial"/>
          <w:b/>
          <w:bCs/>
          <w:sz w:val="24"/>
          <w:szCs w:val="24"/>
        </w:rPr>
      </w:pPr>
      <w:r w:rsidRPr="00270C08">
        <w:rPr>
          <w:rFonts w:ascii="Arial" w:hAnsi="Arial" w:cs="Arial"/>
          <w:b/>
          <w:bCs/>
          <w:sz w:val="24"/>
          <w:szCs w:val="24"/>
        </w:rPr>
        <w:t>The lawfulness of the detention</w:t>
      </w:r>
    </w:p>
    <w:p w14:paraId="3322502F" w14:textId="5B1AA608" w:rsidR="00D346F5" w:rsidRPr="00270C08" w:rsidRDefault="00C30CDD" w:rsidP="00C30CDD">
      <w:pPr>
        <w:spacing w:after="240"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D76F25" w:rsidRPr="00270C08">
        <w:rPr>
          <w:rFonts w:ascii="Arial" w:hAnsi="Arial" w:cs="Arial"/>
          <w:sz w:val="24"/>
          <w:szCs w:val="24"/>
        </w:rPr>
        <w:t>The Magistrate, in his judgment, had found that there were no legitimate bas</w:t>
      </w:r>
      <w:r w:rsidR="00152FA7">
        <w:rPr>
          <w:rFonts w:ascii="Arial" w:hAnsi="Arial" w:cs="Arial"/>
          <w:sz w:val="24"/>
          <w:szCs w:val="24"/>
        </w:rPr>
        <w:t>i</w:t>
      </w:r>
      <w:r w:rsidR="00D76F25" w:rsidRPr="00270C08">
        <w:rPr>
          <w:rFonts w:ascii="Arial" w:hAnsi="Arial" w:cs="Arial"/>
          <w:sz w:val="24"/>
          <w:szCs w:val="24"/>
        </w:rPr>
        <w:t xml:space="preserve">s for the detention of the </w:t>
      </w:r>
      <w:r w:rsidR="00287482" w:rsidRPr="00270C08">
        <w:rPr>
          <w:rFonts w:ascii="Arial" w:hAnsi="Arial" w:cs="Arial"/>
          <w:sz w:val="24"/>
          <w:szCs w:val="24"/>
        </w:rPr>
        <w:t>occupants of the red Golf</w:t>
      </w:r>
      <w:r w:rsidR="00037BEB" w:rsidRPr="00270C08">
        <w:rPr>
          <w:rFonts w:ascii="Arial" w:hAnsi="Arial" w:cs="Arial"/>
          <w:sz w:val="24"/>
          <w:szCs w:val="24"/>
        </w:rPr>
        <w:t xml:space="preserve"> and that consequently, the detention of the respondents was unlawful. </w:t>
      </w:r>
      <w:r w:rsidR="005C5CC9" w:rsidRPr="00270C08">
        <w:rPr>
          <w:rFonts w:ascii="Arial" w:hAnsi="Arial" w:cs="Arial"/>
          <w:sz w:val="24"/>
          <w:szCs w:val="24"/>
        </w:rPr>
        <w:t>In this regard, the Magistrate</w:t>
      </w:r>
      <w:r w:rsidR="00FA14A4" w:rsidRPr="00270C08">
        <w:rPr>
          <w:rFonts w:ascii="Arial" w:hAnsi="Arial" w:cs="Arial"/>
          <w:sz w:val="24"/>
          <w:szCs w:val="24"/>
        </w:rPr>
        <w:t xml:space="preserve"> had</w:t>
      </w:r>
      <w:r w:rsidR="005C5CC9" w:rsidRPr="00270C08">
        <w:rPr>
          <w:rFonts w:ascii="Arial" w:hAnsi="Arial" w:cs="Arial"/>
          <w:sz w:val="24"/>
          <w:szCs w:val="24"/>
        </w:rPr>
        <w:t xml:space="preserve"> reasoned that the police could not have taken days in order to verify the suspect. </w:t>
      </w:r>
      <w:r w:rsidR="00C21206" w:rsidRPr="00270C08">
        <w:rPr>
          <w:rFonts w:ascii="Arial" w:hAnsi="Arial" w:cs="Arial"/>
          <w:sz w:val="24"/>
          <w:szCs w:val="24"/>
        </w:rPr>
        <w:t xml:space="preserve">According to the Magistrate it was easy for the police to </w:t>
      </w:r>
      <w:r w:rsidR="00DD7225" w:rsidRPr="00270C08">
        <w:rPr>
          <w:rFonts w:ascii="Arial" w:hAnsi="Arial" w:cs="Arial"/>
          <w:sz w:val="24"/>
          <w:szCs w:val="24"/>
        </w:rPr>
        <w:t xml:space="preserve">establish whether Athi was among the arrested occupants of the red Golf. </w:t>
      </w:r>
      <w:r w:rsidR="00FA14A4" w:rsidRPr="00270C08">
        <w:rPr>
          <w:rFonts w:ascii="Arial" w:hAnsi="Arial" w:cs="Arial"/>
          <w:sz w:val="24"/>
          <w:szCs w:val="24"/>
        </w:rPr>
        <w:t xml:space="preserve">I agree. </w:t>
      </w:r>
      <w:r w:rsidR="009B2981" w:rsidRPr="00270C08">
        <w:rPr>
          <w:rFonts w:ascii="Arial" w:hAnsi="Arial" w:cs="Arial"/>
          <w:sz w:val="24"/>
          <w:szCs w:val="24"/>
        </w:rPr>
        <w:t xml:space="preserve">Mr </w:t>
      </w:r>
      <w:r w:rsidR="009B2981" w:rsidRPr="00270C08">
        <w:rPr>
          <w:rFonts w:ascii="Arial" w:hAnsi="Arial" w:cs="Arial"/>
          <w:i/>
          <w:iCs/>
          <w:sz w:val="24"/>
          <w:szCs w:val="24"/>
        </w:rPr>
        <w:t>Mnyani</w:t>
      </w:r>
      <w:r w:rsidR="009B2981" w:rsidRPr="00270C08">
        <w:rPr>
          <w:rFonts w:ascii="Arial" w:hAnsi="Arial" w:cs="Arial"/>
          <w:sz w:val="24"/>
          <w:szCs w:val="24"/>
        </w:rPr>
        <w:t xml:space="preserve"> </w:t>
      </w:r>
      <w:r w:rsidR="00873DCB" w:rsidRPr="00270C08">
        <w:rPr>
          <w:rFonts w:ascii="Arial" w:hAnsi="Arial" w:cs="Arial"/>
          <w:sz w:val="24"/>
          <w:szCs w:val="24"/>
        </w:rPr>
        <w:t xml:space="preserve">had </w:t>
      </w:r>
      <w:r w:rsidR="009B2981" w:rsidRPr="00270C08">
        <w:rPr>
          <w:rFonts w:ascii="Arial" w:hAnsi="Arial" w:cs="Arial"/>
          <w:sz w:val="24"/>
          <w:szCs w:val="24"/>
        </w:rPr>
        <w:t xml:space="preserve">criticised the reasoning of the </w:t>
      </w:r>
      <w:r w:rsidR="009B2981" w:rsidRPr="00270C08">
        <w:rPr>
          <w:rFonts w:ascii="Arial" w:hAnsi="Arial" w:cs="Arial"/>
          <w:sz w:val="24"/>
          <w:szCs w:val="24"/>
        </w:rPr>
        <w:lastRenderedPageBreak/>
        <w:t>Magistrate in this regard</w:t>
      </w:r>
      <w:r w:rsidR="007429E5" w:rsidRPr="00270C08">
        <w:rPr>
          <w:rFonts w:ascii="Arial" w:hAnsi="Arial" w:cs="Arial"/>
          <w:sz w:val="24"/>
          <w:szCs w:val="24"/>
        </w:rPr>
        <w:t xml:space="preserve"> and contended that the Magistrate had misdirected himself. Mr </w:t>
      </w:r>
      <w:r w:rsidR="007429E5" w:rsidRPr="00270C08">
        <w:rPr>
          <w:rFonts w:ascii="Arial" w:hAnsi="Arial" w:cs="Arial"/>
          <w:i/>
          <w:iCs/>
          <w:sz w:val="24"/>
          <w:szCs w:val="24"/>
        </w:rPr>
        <w:t>Mnyani</w:t>
      </w:r>
      <w:r w:rsidR="007429E5" w:rsidRPr="00270C08">
        <w:rPr>
          <w:rFonts w:ascii="Arial" w:hAnsi="Arial" w:cs="Arial"/>
          <w:sz w:val="24"/>
          <w:szCs w:val="24"/>
        </w:rPr>
        <w:t xml:space="preserve"> relied, in this regard, on the evidence of Sgt Flatela</w:t>
      </w:r>
      <w:r w:rsidR="00DE7C85">
        <w:rPr>
          <w:rFonts w:ascii="Arial" w:hAnsi="Arial" w:cs="Arial"/>
          <w:sz w:val="24"/>
          <w:szCs w:val="24"/>
        </w:rPr>
        <w:t>,</w:t>
      </w:r>
      <w:r w:rsidR="007429E5" w:rsidRPr="00270C08">
        <w:rPr>
          <w:rFonts w:ascii="Arial" w:hAnsi="Arial" w:cs="Arial"/>
          <w:sz w:val="24"/>
          <w:szCs w:val="24"/>
        </w:rPr>
        <w:t xml:space="preserve"> the upshot </w:t>
      </w:r>
      <w:r w:rsidR="00873DCB" w:rsidRPr="00270C08">
        <w:rPr>
          <w:rFonts w:ascii="Arial" w:hAnsi="Arial" w:cs="Arial"/>
          <w:sz w:val="24"/>
          <w:szCs w:val="24"/>
        </w:rPr>
        <w:t>of which</w:t>
      </w:r>
      <w:r w:rsidR="007429E5" w:rsidRPr="00270C08">
        <w:rPr>
          <w:rFonts w:ascii="Arial" w:hAnsi="Arial" w:cs="Arial"/>
          <w:sz w:val="24"/>
          <w:szCs w:val="24"/>
        </w:rPr>
        <w:t xml:space="preserve"> amounted to th</w:t>
      </w:r>
      <w:r w:rsidR="00873DCB" w:rsidRPr="00270C08">
        <w:rPr>
          <w:rFonts w:ascii="Arial" w:hAnsi="Arial" w:cs="Arial"/>
          <w:sz w:val="24"/>
          <w:szCs w:val="24"/>
        </w:rPr>
        <w:t>is</w:t>
      </w:r>
      <w:r w:rsidR="007429E5" w:rsidRPr="00270C08">
        <w:rPr>
          <w:rFonts w:ascii="Arial" w:hAnsi="Arial" w:cs="Arial"/>
          <w:sz w:val="24"/>
          <w:szCs w:val="24"/>
        </w:rPr>
        <w:t xml:space="preserve"> </w:t>
      </w:r>
      <w:r w:rsidR="00210BEB" w:rsidRPr="00270C08">
        <w:rPr>
          <w:rFonts w:ascii="Arial" w:hAnsi="Arial" w:cs="Arial"/>
          <w:sz w:val="24"/>
          <w:szCs w:val="24"/>
        </w:rPr>
        <w:t xml:space="preserve">summary, </w:t>
      </w:r>
      <w:r w:rsidR="00DE7C85">
        <w:rPr>
          <w:rFonts w:ascii="Arial" w:hAnsi="Arial" w:cs="Arial"/>
          <w:sz w:val="24"/>
          <w:szCs w:val="24"/>
        </w:rPr>
        <w:t>in essence</w:t>
      </w:r>
      <w:r w:rsidR="00B64E67">
        <w:rPr>
          <w:rFonts w:ascii="Arial" w:hAnsi="Arial" w:cs="Arial"/>
          <w:sz w:val="24"/>
          <w:szCs w:val="24"/>
        </w:rPr>
        <w:t>:</w:t>
      </w:r>
    </w:p>
    <w:p w14:paraId="15382710" w14:textId="784F75C1" w:rsidR="007429E5" w:rsidRPr="00270C08" w:rsidRDefault="007429E5" w:rsidP="00270C08">
      <w:pPr>
        <w:spacing w:after="240" w:line="360" w:lineRule="auto"/>
        <w:ind w:left="709" w:hanging="709"/>
        <w:jc w:val="both"/>
        <w:rPr>
          <w:rFonts w:ascii="Arial" w:hAnsi="Arial" w:cs="Arial"/>
        </w:rPr>
      </w:pPr>
      <w:r w:rsidRPr="00270C08">
        <w:rPr>
          <w:rFonts w:ascii="Arial" w:hAnsi="Arial" w:cs="Arial"/>
        </w:rPr>
        <w:t>(a)</w:t>
      </w:r>
      <w:r w:rsidRPr="00270C08">
        <w:rPr>
          <w:rFonts w:ascii="Arial" w:hAnsi="Arial" w:cs="Arial"/>
        </w:rPr>
        <w:tab/>
      </w:r>
      <w:r w:rsidR="00210BEB" w:rsidRPr="00270C08">
        <w:rPr>
          <w:rFonts w:ascii="Arial" w:hAnsi="Arial" w:cs="Arial"/>
        </w:rPr>
        <w:t>the occupants of the red Golf were arrested in the early hours of 3 July 2017; and</w:t>
      </w:r>
    </w:p>
    <w:p w14:paraId="76EB9913" w14:textId="4894190E" w:rsidR="006E47D0" w:rsidRPr="00270C08" w:rsidRDefault="00210BEB" w:rsidP="00C30CDD">
      <w:pPr>
        <w:spacing w:after="240" w:line="360" w:lineRule="auto"/>
        <w:ind w:left="709" w:hanging="709"/>
        <w:jc w:val="both"/>
        <w:rPr>
          <w:rFonts w:ascii="Arial" w:hAnsi="Arial" w:cs="Arial"/>
        </w:rPr>
      </w:pPr>
      <w:r w:rsidRPr="00270C08">
        <w:rPr>
          <w:rFonts w:ascii="Arial" w:hAnsi="Arial" w:cs="Arial"/>
        </w:rPr>
        <w:t>(</w:t>
      </w:r>
      <w:r w:rsidR="00DE7C85">
        <w:rPr>
          <w:rFonts w:ascii="Arial" w:hAnsi="Arial" w:cs="Arial"/>
        </w:rPr>
        <w:t>b</w:t>
      </w:r>
      <w:r w:rsidRPr="00270C08">
        <w:rPr>
          <w:rFonts w:ascii="Arial" w:hAnsi="Arial" w:cs="Arial"/>
        </w:rPr>
        <w:t>)</w:t>
      </w:r>
      <w:r w:rsidRPr="00270C08">
        <w:rPr>
          <w:rFonts w:ascii="Arial" w:hAnsi="Arial" w:cs="Arial"/>
        </w:rPr>
        <w:tab/>
        <w:t>the detention of the occupants of the red Golf was for purposes of conducting further investigations by prima residue testing, buccal samples and questioning of the arrested persons.</w:t>
      </w:r>
    </w:p>
    <w:p w14:paraId="70AF2702" w14:textId="06BAD2F6" w:rsidR="007429E5" w:rsidRPr="00270C08" w:rsidRDefault="00C30CDD" w:rsidP="00C30CDD">
      <w:pPr>
        <w:spacing w:after="240"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BA492D">
        <w:rPr>
          <w:rFonts w:ascii="Arial" w:hAnsi="Arial" w:cs="Arial"/>
          <w:sz w:val="24"/>
          <w:szCs w:val="24"/>
        </w:rPr>
        <w:t xml:space="preserve">Mr Manyani’s criticisms are unfounded if one </w:t>
      </w:r>
      <w:r w:rsidR="005C18B4">
        <w:rPr>
          <w:rFonts w:ascii="Arial" w:hAnsi="Arial" w:cs="Arial"/>
          <w:sz w:val="24"/>
          <w:szCs w:val="24"/>
        </w:rPr>
        <w:t>has regard to the fact</w:t>
      </w:r>
      <w:r w:rsidR="00867379" w:rsidRPr="00270C08">
        <w:rPr>
          <w:rFonts w:ascii="Arial" w:hAnsi="Arial" w:cs="Arial"/>
          <w:sz w:val="24"/>
          <w:szCs w:val="24"/>
        </w:rPr>
        <w:t xml:space="preserve"> there was no evidence linking the respondents and the occupants of the red Golf to the offence of murder. </w:t>
      </w:r>
      <w:r w:rsidR="003B5802" w:rsidRPr="00270C08">
        <w:rPr>
          <w:rFonts w:ascii="Arial" w:hAnsi="Arial" w:cs="Arial"/>
          <w:sz w:val="24"/>
          <w:szCs w:val="24"/>
        </w:rPr>
        <w:t xml:space="preserve">There was an inherent duty upon the police to verify and assess the information </w:t>
      </w:r>
      <w:r w:rsidR="00F25F94">
        <w:rPr>
          <w:rFonts w:ascii="Arial" w:hAnsi="Arial" w:cs="Arial"/>
          <w:sz w:val="24"/>
          <w:szCs w:val="24"/>
        </w:rPr>
        <w:t xml:space="preserve">at their disposal </w:t>
      </w:r>
      <w:r w:rsidR="003B5802" w:rsidRPr="00270C08">
        <w:rPr>
          <w:rFonts w:ascii="Arial" w:hAnsi="Arial" w:cs="Arial"/>
          <w:sz w:val="24"/>
          <w:szCs w:val="24"/>
        </w:rPr>
        <w:t xml:space="preserve">in order to determine whether they had arrested and would ultimately detain the correct persons for the offence. </w:t>
      </w:r>
      <w:r w:rsidR="00D20119">
        <w:rPr>
          <w:rFonts w:ascii="Arial" w:hAnsi="Arial" w:cs="Arial"/>
          <w:sz w:val="24"/>
          <w:szCs w:val="24"/>
        </w:rPr>
        <w:t xml:space="preserve">There </w:t>
      </w:r>
      <w:r w:rsidR="00337087">
        <w:rPr>
          <w:rFonts w:ascii="Arial" w:hAnsi="Arial" w:cs="Arial"/>
          <w:sz w:val="24"/>
          <w:szCs w:val="24"/>
        </w:rPr>
        <w:t xml:space="preserve">was no evidence to indicate how long it would take to get the results </w:t>
      </w:r>
      <w:r w:rsidR="0024028C">
        <w:rPr>
          <w:rFonts w:ascii="Arial" w:hAnsi="Arial" w:cs="Arial"/>
          <w:sz w:val="24"/>
          <w:szCs w:val="24"/>
        </w:rPr>
        <w:t xml:space="preserve">of the prima residue, nor was </w:t>
      </w:r>
      <w:r w:rsidR="0095173E">
        <w:rPr>
          <w:rFonts w:ascii="Arial" w:hAnsi="Arial" w:cs="Arial"/>
          <w:sz w:val="24"/>
          <w:szCs w:val="24"/>
        </w:rPr>
        <w:t xml:space="preserve">there </w:t>
      </w:r>
      <w:r w:rsidR="0024028C">
        <w:rPr>
          <w:rFonts w:ascii="Arial" w:hAnsi="Arial" w:cs="Arial"/>
          <w:sz w:val="24"/>
          <w:szCs w:val="24"/>
        </w:rPr>
        <w:t xml:space="preserve">evidence to suggest </w:t>
      </w:r>
      <w:r w:rsidR="00EE35E1">
        <w:rPr>
          <w:rFonts w:ascii="Arial" w:hAnsi="Arial" w:cs="Arial"/>
          <w:sz w:val="24"/>
          <w:szCs w:val="24"/>
        </w:rPr>
        <w:t xml:space="preserve">that it </w:t>
      </w:r>
      <w:r w:rsidR="0095173E">
        <w:rPr>
          <w:rFonts w:ascii="Arial" w:hAnsi="Arial" w:cs="Arial"/>
          <w:sz w:val="24"/>
          <w:szCs w:val="24"/>
        </w:rPr>
        <w:t xml:space="preserve">was </w:t>
      </w:r>
      <w:r w:rsidR="0059366D">
        <w:rPr>
          <w:rFonts w:ascii="Arial" w:hAnsi="Arial" w:cs="Arial"/>
          <w:sz w:val="24"/>
          <w:szCs w:val="24"/>
        </w:rPr>
        <w:t>necessa</w:t>
      </w:r>
      <w:r w:rsidR="00C90FAB">
        <w:rPr>
          <w:rFonts w:ascii="Arial" w:hAnsi="Arial" w:cs="Arial"/>
          <w:sz w:val="24"/>
          <w:szCs w:val="24"/>
        </w:rPr>
        <w:t xml:space="preserve">ry to detain all the suspects. </w:t>
      </w:r>
      <w:r w:rsidR="00B05365">
        <w:rPr>
          <w:rFonts w:ascii="Arial" w:hAnsi="Arial" w:cs="Arial"/>
          <w:sz w:val="24"/>
          <w:szCs w:val="24"/>
        </w:rPr>
        <w:t xml:space="preserve">The </w:t>
      </w:r>
      <w:r w:rsidR="00245346">
        <w:rPr>
          <w:rFonts w:ascii="Arial" w:hAnsi="Arial" w:cs="Arial"/>
          <w:sz w:val="24"/>
          <w:szCs w:val="24"/>
        </w:rPr>
        <w:t>p</w:t>
      </w:r>
      <w:r w:rsidR="002F1FAE">
        <w:rPr>
          <w:rFonts w:ascii="Arial" w:hAnsi="Arial" w:cs="Arial"/>
          <w:sz w:val="24"/>
          <w:szCs w:val="24"/>
        </w:rPr>
        <w:t>aucity</w:t>
      </w:r>
      <w:r w:rsidR="00B05365">
        <w:rPr>
          <w:rFonts w:ascii="Arial" w:hAnsi="Arial" w:cs="Arial"/>
          <w:sz w:val="24"/>
          <w:szCs w:val="24"/>
        </w:rPr>
        <w:t xml:space="preserve"> of </w:t>
      </w:r>
      <w:r w:rsidR="00384717">
        <w:rPr>
          <w:rFonts w:ascii="Arial" w:hAnsi="Arial" w:cs="Arial"/>
          <w:sz w:val="24"/>
          <w:szCs w:val="24"/>
        </w:rPr>
        <w:t xml:space="preserve">evidence leading to the arrest </w:t>
      </w:r>
      <w:r w:rsidR="002F1FAE">
        <w:rPr>
          <w:rFonts w:ascii="Arial" w:hAnsi="Arial" w:cs="Arial"/>
          <w:sz w:val="24"/>
          <w:szCs w:val="24"/>
        </w:rPr>
        <w:t xml:space="preserve">of the suspects, as illustrated </w:t>
      </w:r>
      <w:r w:rsidR="00582D69">
        <w:rPr>
          <w:rFonts w:ascii="Arial" w:hAnsi="Arial" w:cs="Arial"/>
          <w:sz w:val="24"/>
          <w:szCs w:val="24"/>
        </w:rPr>
        <w:t xml:space="preserve">above </w:t>
      </w:r>
      <w:r w:rsidR="00384717">
        <w:rPr>
          <w:rFonts w:ascii="Arial" w:hAnsi="Arial" w:cs="Arial"/>
          <w:sz w:val="24"/>
          <w:szCs w:val="24"/>
        </w:rPr>
        <w:t xml:space="preserve">was still present during the detention </w:t>
      </w:r>
      <w:r w:rsidR="00582D69">
        <w:rPr>
          <w:rFonts w:ascii="Arial" w:hAnsi="Arial" w:cs="Arial"/>
          <w:sz w:val="24"/>
          <w:szCs w:val="24"/>
        </w:rPr>
        <w:t>of the suspects</w:t>
      </w:r>
      <w:r w:rsidR="00F54F8E">
        <w:rPr>
          <w:rFonts w:ascii="Arial" w:hAnsi="Arial" w:cs="Arial"/>
          <w:sz w:val="24"/>
          <w:szCs w:val="24"/>
        </w:rPr>
        <w:t>,</w:t>
      </w:r>
      <w:r w:rsidR="00582D69">
        <w:rPr>
          <w:rFonts w:ascii="Arial" w:hAnsi="Arial" w:cs="Arial"/>
          <w:sz w:val="24"/>
          <w:szCs w:val="24"/>
        </w:rPr>
        <w:t xml:space="preserve"> </w:t>
      </w:r>
      <w:r w:rsidR="00384717">
        <w:rPr>
          <w:rFonts w:ascii="Arial" w:hAnsi="Arial" w:cs="Arial"/>
          <w:sz w:val="24"/>
          <w:szCs w:val="24"/>
        </w:rPr>
        <w:t xml:space="preserve">as none </w:t>
      </w:r>
      <w:r w:rsidR="00245346">
        <w:rPr>
          <w:rFonts w:ascii="Arial" w:hAnsi="Arial" w:cs="Arial"/>
          <w:sz w:val="24"/>
          <w:szCs w:val="24"/>
        </w:rPr>
        <w:t>of that information had been obtained at the time of detention.</w:t>
      </w:r>
    </w:p>
    <w:p w14:paraId="0C65B32C" w14:textId="772D69FD" w:rsidR="00D346F5" w:rsidRPr="00270C08" w:rsidRDefault="004D2DF5" w:rsidP="004D2DF5">
      <w:pPr>
        <w:spacing w:after="240"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DC26A9" w:rsidRPr="00270C08">
        <w:rPr>
          <w:rFonts w:ascii="Arial" w:hAnsi="Arial" w:cs="Arial"/>
          <w:sz w:val="24"/>
          <w:szCs w:val="24"/>
        </w:rPr>
        <w:t xml:space="preserve">More significantly, </w:t>
      </w:r>
      <w:r w:rsidR="00E92351" w:rsidRPr="00270C08">
        <w:rPr>
          <w:rFonts w:ascii="Arial" w:hAnsi="Arial" w:cs="Arial"/>
          <w:sz w:val="24"/>
          <w:szCs w:val="24"/>
        </w:rPr>
        <w:t xml:space="preserve">Sgt Thala conducted his own investigations at about 10h30 on 3 July 2017 after he had received the docket from his superior. </w:t>
      </w:r>
      <w:r w:rsidR="00B3241C">
        <w:rPr>
          <w:rFonts w:ascii="Arial" w:hAnsi="Arial" w:cs="Arial"/>
          <w:sz w:val="24"/>
          <w:szCs w:val="24"/>
        </w:rPr>
        <w:t>H</w:t>
      </w:r>
      <w:r w:rsidR="00C50AB6" w:rsidRPr="00270C08">
        <w:rPr>
          <w:rFonts w:ascii="Arial" w:hAnsi="Arial" w:cs="Arial"/>
          <w:sz w:val="24"/>
          <w:szCs w:val="24"/>
        </w:rPr>
        <w:t>e</w:t>
      </w:r>
      <w:r w:rsidR="00B3241C">
        <w:rPr>
          <w:rFonts w:ascii="Arial" w:hAnsi="Arial" w:cs="Arial"/>
          <w:sz w:val="24"/>
          <w:szCs w:val="24"/>
        </w:rPr>
        <w:t xml:space="preserve"> had</w:t>
      </w:r>
      <w:r w:rsidR="00C50AB6" w:rsidRPr="00270C08">
        <w:rPr>
          <w:rFonts w:ascii="Arial" w:hAnsi="Arial" w:cs="Arial"/>
          <w:sz w:val="24"/>
          <w:szCs w:val="24"/>
        </w:rPr>
        <w:t xml:space="preserve"> realised that there </w:t>
      </w:r>
      <w:r w:rsidR="00B64E67">
        <w:rPr>
          <w:rFonts w:ascii="Arial" w:hAnsi="Arial" w:cs="Arial"/>
          <w:sz w:val="24"/>
          <w:szCs w:val="24"/>
        </w:rPr>
        <w:t xml:space="preserve">was </w:t>
      </w:r>
      <w:r w:rsidR="00C50AB6" w:rsidRPr="00270C08">
        <w:rPr>
          <w:rFonts w:ascii="Arial" w:hAnsi="Arial" w:cs="Arial"/>
          <w:sz w:val="24"/>
          <w:szCs w:val="24"/>
        </w:rPr>
        <w:t>not enough evidence to link the arrested persons to the offence</w:t>
      </w:r>
      <w:r w:rsidR="005C11D6" w:rsidRPr="00270C08">
        <w:rPr>
          <w:rFonts w:ascii="Arial" w:hAnsi="Arial" w:cs="Arial"/>
          <w:sz w:val="24"/>
          <w:szCs w:val="24"/>
        </w:rPr>
        <w:t>. He concluded</w:t>
      </w:r>
      <w:r w:rsidR="00C50AB6" w:rsidRPr="00270C08">
        <w:rPr>
          <w:rFonts w:ascii="Arial" w:hAnsi="Arial" w:cs="Arial"/>
          <w:sz w:val="24"/>
          <w:szCs w:val="24"/>
        </w:rPr>
        <w:t xml:space="preserve"> that they should be released. </w:t>
      </w:r>
      <w:r w:rsidR="005C11D6" w:rsidRPr="00270C08">
        <w:rPr>
          <w:rFonts w:ascii="Arial" w:hAnsi="Arial" w:cs="Arial"/>
          <w:sz w:val="24"/>
          <w:szCs w:val="24"/>
        </w:rPr>
        <w:t xml:space="preserve">However, he further </w:t>
      </w:r>
      <w:r w:rsidR="00C50AB6" w:rsidRPr="00270C08">
        <w:rPr>
          <w:rFonts w:ascii="Arial" w:hAnsi="Arial" w:cs="Arial"/>
          <w:sz w:val="24"/>
          <w:szCs w:val="24"/>
        </w:rPr>
        <w:t>delayed the release of the arrested persons, waiting for his superior, although he had confirmed that there was no evidence to link them with the offence.</w:t>
      </w:r>
      <w:r w:rsidR="00582D69">
        <w:rPr>
          <w:rFonts w:ascii="Arial" w:hAnsi="Arial" w:cs="Arial"/>
          <w:sz w:val="24"/>
          <w:szCs w:val="24"/>
        </w:rPr>
        <w:t xml:space="preserve"> T</w:t>
      </w:r>
      <w:r w:rsidR="00841184" w:rsidRPr="00270C08">
        <w:rPr>
          <w:rFonts w:ascii="Arial" w:hAnsi="Arial" w:cs="Arial"/>
          <w:sz w:val="24"/>
          <w:szCs w:val="24"/>
        </w:rPr>
        <w:t xml:space="preserve">his further detention of the respondents could not be justified. </w:t>
      </w:r>
      <w:r w:rsidR="00A54FB1">
        <w:rPr>
          <w:rFonts w:ascii="Arial" w:hAnsi="Arial" w:cs="Arial"/>
          <w:sz w:val="24"/>
          <w:szCs w:val="24"/>
        </w:rPr>
        <w:t xml:space="preserve">This </w:t>
      </w:r>
      <w:r w:rsidR="000400D8">
        <w:rPr>
          <w:rFonts w:ascii="Arial" w:hAnsi="Arial" w:cs="Arial"/>
          <w:sz w:val="24"/>
          <w:szCs w:val="24"/>
        </w:rPr>
        <w:t>much was conceded by the app</w:t>
      </w:r>
      <w:r w:rsidR="002E7EFF">
        <w:rPr>
          <w:rFonts w:ascii="Arial" w:hAnsi="Arial" w:cs="Arial"/>
          <w:sz w:val="24"/>
          <w:szCs w:val="24"/>
        </w:rPr>
        <w:t>ellan</w:t>
      </w:r>
      <w:r w:rsidR="000400D8">
        <w:rPr>
          <w:rFonts w:ascii="Arial" w:hAnsi="Arial" w:cs="Arial"/>
          <w:sz w:val="24"/>
          <w:szCs w:val="24"/>
        </w:rPr>
        <w:t xml:space="preserve">t’s counsel, that even if </w:t>
      </w:r>
      <w:r w:rsidR="000712D5">
        <w:rPr>
          <w:rFonts w:ascii="Arial" w:hAnsi="Arial" w:cs="Arial"/>
          <w:sz w:val="24"/>
          <w:szCs w:val="24"/>
        </w:rPr>
        <w:t>this court</w:t>
      </w:r>
      <w:r w:rsidR="008C6A0E">
        <w:rPr>
          <w:rFonts w:ascii="Arial" w:hAnsi="Arial" w:cs="Arial"/>
          <w:sz w:val="24"/>
          <w:szCs w:val="24"/>
        </w:rPr>
        <w:t xml:space="preserve"> had found </w:t>
      </w:r>
      <w:r w:rsidR="00855B01">
        <w:rPr>
          <w:rFonts w:ascii="Arial" w:hAnsi="Arial" w:cs="Arial"/>
          <w:sz w:val="24"/>
          <w:szCs w:val="24"/>
        </w:rPr>
        <w:t xml:space="preserve">the arrest and the initial detention lawful, the detention after 10h30 </w:t>
      </w:r>
      <w:r w:rsidR="00A6700E">
        <w:rPr>
          <w:rFonts w:ascii="Arial" w:hAnsi="Arial" w:cs="Arial"/>
          <w:sz w:val="24"/>
          <w:szCs w:val="24"/>
        </w:rPr>
        <w:t xml:space="preserve">would have been unlawful based on the </w:t>
      </w:r>
      <w:r w:rsidR="00CB0C8F">
        <w:rPr>
          <w:rFonts w:ascii="Arial" w:hAnsi="Arial" w:cs="Arial"/>
          <w:sz w:val="24"/>
          <w:szCs w:val="24"/>
        </w:rPr>
        <w:t>testimony of the investigating officer.</w:t>
      </w:r>
      <w:r w:rsidR="00FF6120">
        <w:rPr>
          <w:rFonts w:ascii="Arial" w:hAnsi="Arial" w:cs="Arial"/>
          <w:sz w:val="24"/>
          <w:szCs w:val="24"/>
        </w:rPr>
        <w:t xml:space="preserve"> </w:t>
      </w:r>
      <w:r w:rsidR="00841184" w:rsidRPr="00270C08">
        <w:rPr>
          <w:rFonts w:ascii="Arial" w:hAnsi="Arial" w:cs="Arial"/>
          <w:sz w:val="24"/>
          <w:szCs w:val="24"/>
        </w:rPr>
        <w:t xml:space="preserve">Accordingly, the detention of the respondents was unlawful. </w:t>
      </w:r>
    </w:p>
    <w:p w14:paraId="2D779F30" w14:textId="40A0CCBE" w:rsidR="00751B69" w:rsidRDefault="00751B69" w:rsidP="004D2DF5">
      <w:pPr>
        <w:spacing w:after="240"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396734" w:rsidRPr="00270C08">
        <w:rPr>
          <w:rFonts w:ascii="Arial" w:hAnsi="Arial" w:cs="Arial"/>
          <w:sz w:val="24"/>
          <w:szCs w:val="24"/>
        </w:rPr>
        <w:t xml:space="preserve">Mr </w:t>
      </w:r>
      <w:r w:rsidR="00396734" w:rsidRPr="00270C08">
        <w:rPr>
          <w:rFonts w:ascii="Arial" w:hAnsi="Arial" w:cs="Arial"/>
          <w:i/>
          <w:iCs/>
          <w:sz w:val="24"/>
          <w:szCs w:val="24"/>
        </w:rPr>
        <w:t>Le Roux</w:t>
      </w:r>
      <w:r w:rsidR="00396734" w:rsidRPr="00270C08">
        <w:rPr>
          <w:rFonts w:ascii="Arial" w:hAnsi="Arial" w:cs="Arial"/>
          <w:sz w:val="24"/>
          <w:szCs w:val="24"/>
        </w:rPr>
        <w:t xml:space="preserve">, counsel for the respondents, had </w:t>
      </w:r>
      <w:r w:rsidR="00160BC2">
        <w:rPr>
          <w:rFonts w:ascii="Arial" w:hAnsi="Arial" w:cs="Arial"/>
          <w:sz w:val="24"/>
          <w:szCs w:val="24"/>
        </w:rPr>
        <w:t>submitted</w:t>
      </w:r>
      <w:r w:rsidR="00396734" w:rsidRPr="00270C08">
        <w:rPr>
          <w:rFonts w:ascii="Arial" w:hAnsi="Arial" w:cs="Arial"/>
          <w:sz w:val="24"/>
          <w:szCs w:val="24"/>
        </w:rPr>
        <w:t xml:space="preserve"> that the respondents ought to have been released at least on two distinct occasions. The first occasion was when their DNA samples and prima residue tests were taken before they were detained. </w:t>
      </w:r>
      <w:r w:rsidR="00864917" w:rsidRPr="00270C08">
        <w:rPr>
          <w:rFonts w:ascii="Arial" w:hAnsi="Arial" w:cs="Arial"/>
          <w:sz w:val="24"/>
          <w:szCs w:val="24"/>
        </w:rPr>
        <w:t xml:space="preserve">In this regard, Mr </w:t>
      </w:r>
      <w:r w:rsidR="00864917" w:rsidRPr="00270C08">
        <w:rPr>
          <w:rFonts w:ascii="Arial" w:hAnsi="Arial" w:cs="Arial"/>
          <w:i/>
          <w:iCs/>
          <w:sz w:val="24"/>
          <w:szCs w:val="24"/>
        </w:rPr>
        <w:t>Le Roux</w:t>
      </w:r>
      <w:r w:rsidR="00864917" w:rsidRPr="00270C08">
        <w:rPr>
          <w:rFonts w:ascii="Arial" w:hAnsi="Arial" w:cs="Arial"/>
          <w:sz w:val="24"/>
          <w:szCs w:val="24"/>
        </w:rPr>
        <w:t xml:space="preserve"> correctly, in my view, argued that there was no </w:t>
      </w:r>
      <w:r w:rsidR="00864917" w:rsidRPr="00270C08">
        <w:rPr>
          <w:rFonts w:ascii="Arial" w:hAnsi="Arial" w:cs="Arial"/>
          <w:sz w:val="24"/>
          <w:szCs w:val="24"/>
        </w:rPr>
        <w:lastRenderedPageBreak/>
        <w:t xml:space="preserve">reason given by the police on why the statements could not have been taken at that stage and the respondents immediately released. The second occasion upon which the respondents ought to have been released, was </w:t>
      </w:r>
      <w:r w:rsidR="00455B3F" w:rsidRPr="00270C08">
        <w:rPr>
          <w:rFonts w:ascii="Arial" w:hAnsi="Arial" w:cs="Arial"/>
          <w:sz w:val="24"/>
          <w:szCs w:val="24"/>
        </w:rPr>
        <w:t>after</w:t>
      </w:r>
      <w:r w:rsidR="00864917" w:rsidRPr="00270C08">
        <w:rPr>
          <w:rFonts w:ascii="Arial" w:hAnsi="Arial" w:cs="Arial"/>
          <w:sz w:val="24"/>
          <w:szCs w:val="24"/>
        </w:rPr>
        <w:t xml:space="preserve"> Sgt Thala had interviewed the</w:t>
      </w:r>
      <w:r w:rsidR="00455B3F" w:rsidRPr="00270C08">
        <w:rPr>
          <w:rFonts w:ascii="Arial" w:hAnsi="Arial" w:cs="Arial"/>
          <w:sz w:val="24"/>
          <w:szCs w:val="24"/>
        </w:rPr>
        <w:t>m</w:t>
      </w:r>
      <w:r w:rsidR="00864917" w:rsidRPr="00270C08">
        <w:rPr>
          <w:rFonts w:ascii="Arial" w:hAnsi="Arial" w:cs="Arial"/>
          <w:sz w:val="24"/>
          <w:szCs w:val="24"/>
        </w:rPr>
        <w:t xml:space="preserve"> on 3 July 2017</w:t>
      </w:r>
      <w:r w:rsidR="00455B3F" w:rsidRPr="00270C08">
        <w:rPr>
          <w:rFonts w:ascii="Arial" w:hAnsi="Arial" w:cs="Arial"/>
          <w:sz w:val="24"/>
          <w:szCs w:val="24"/>
        </w:rPr>
        <w:t xml:space="preserve"> and found that there was no evidence linking them to the offence. </w:t>
      </w:r>
      <w:r w:rsidR="00965AEF" w:rsidRPr="00270C08">
        <w:rPr>
          <w:rFonts w:ascii="Arial" w:hAnsi="Arial" w:cs="Arial"/>
          <w:sz w:val="24"/>
          <w:szCs w:val="24"/>
        </w:rPr>
        <w:t xml:space="preserve">I agree with </w:t>
      </w:r>
      <w:r w:rsidR="005C11D6" w:rsidRPr="00270C08">
        <w:rPr>
          <w:rFonts w:ascii="Arial" w:hAnsi="Arial" w:cs="Arial"/>
          <w:sz w:val="24"/>
          <w:szCs w:val="24"/>
        </w:rPr>
        <w:t>both</w:t>
      </w:r>
      <w:r w:rsidR="00965AEF" w:rsidRPr="00270C08">
        <w:rPr>
          <w:rFonts w:ascii="Arial" w:hAnsi="Arial" w:cs="Arial"/>
          <w:sz w:val="24"/>
          <w:szCs w:val="24"/>
        </w:rPr>
        <w:t xml:space="preserve"> submission</w:t>
      </w:r>
      <w:r w:rsidR="005C11D6" w:rsidRPr="00270C08">
        <w:rPr>
          <w:rFonts w:ascii="Arial" w:hAnsi="Arial" w:cs="Arial"/>
          <w:sz w:val="24"/>
          <w:szCs w:val="24"/>
        </w:rPr>
        <w:t>s</w:t>
      </w:r>
      <w:r w:rsidR="00965AEF" w:rsidRPr="00270C08">
        <w:rPr>
          <w:rFonts w:ascii="Arial" w:hAnsi="Arial" w:cs="Arial"/>
          <w:sz w:val="24"/>
          <w:szCs w:val="24"/>
        </w:rPr>
        <w:t xml:space="preserve"> of Mr </w:t>
      </w:r>
      <w:r w:rsidR="00965AEF" w:rsidRPr="00270C08">
        <w:rPr>
          <w:rFonts w:ascii="Arial" w:hAnsi="Arial" w:cs="Arial"/>
          <w:i/>
          <w:iCs/>
          <w:sz w:val="24"/>
          <w:szCs w:val="24"/>
        </w:rPr>
        <w:t>Le Roux</w:t>
      </w:r>
      <w:r w:rsidR="00965AEF" w:rsidRPr="00270C08">
        <w:rPr>
          <w:rFonts w:ascii="Arial" w:hAnsi="Arial" w:cs="Arial"/>
          <w:sz w:val="24"/>
          <w:szCs w:val="24"/>
        </w:rPr>
        <w:t xml:space="preserve">. </w:t>
      </w:r>
      <w:r w:rsidR="00FE25E8" w:rsidRPr="00270C08">
        <w:rPr>
          <w:rFonts w:ascii="Arial" w:hAnsi="Arial" w:cs="Arial"/>
          <w:sz w:val="24"/>
          <w:szCs w:val="24"/>
        </w:rPr>
        <w:t xml:space="preserve">I therefore conclude, in this regard, that the detention of the respondents from approximately 3h30 am </w:t>
      </w:r>
      <w:r w:rsidR="005C11D6" w:rsidRPr="00270C08">
        <w:rPr>
          <w:rFonts w:ascii="Arial" w:hAnsi="Arial" w:cs="Arial"/>
          <w:sz w:val="24"/>
          <w:szCs w:val="24"/>
        </w:rPr>
        <w:t xml:space="preserve">on 3 July 2017 </w:t>
      </w:r>
      <w:r w:rsidR="00FE25E8" w:rsidRPr="00270C08">
        <w:rPr>
          <w:rFonts w:ascii="Arial" w:hAnsi="Arial" w:cs="Arial"/>
          <w:sz w:val="24"/>
          <w:szCs w:val="24"/>
        </w:rPr>
        <w:t>until their release on 4 July 2017, was unlawful.</w:t>
      </w:r>
    </w:p>
    <w:p w14:paraId="4466E3E3" w14:textId="77777777" w:rsidR="00160BC2" w:rsidRPr="00270C08" w:rsidRDefault="00160BC2" w:rsidP="004D2DF5">
      <w:pPr>
        <w:spacing w:after="240" w:line="360" w:lineRule="auto"/>
        <w:jc w:val="both"/>
        <w:rPr>
          <w:rFonts w:ascii="Arial" w:hAnsi="Arial" w:cs="Arial"/>
          <w:sz w:val="24"/>
          <w:szCs w:val="24"/>
        </w:rPr>
      </w:pPr>
    </w:p>
    <w:p w14:paraId="0FE5A143" w14:textId="12CFDD59" w:rsidR="00DD699E" w:rsidRPr="00270C08" w:rsidRDefault="00DD699E" w:rsidP="00DD699E">
      <w:pPr>
        <w:spacing w:after="240" w:line="360" w:lineRule="auto"/>
        <w:jc w:val="both"/>
        <w:rPr>
          <w:rFonts w:ascii="Arial" w:hAnsi="Arial" w:cs="Arial"/>
          <w:b/>
          <w:bCs/>
          <w:sz w:val="24"/>
          <w:szCs w:val="24"/>
        </w:rPr>
      </w:pPr>
      <w:r w:rsidRPr="00270C08">
        <w:rPr>
          <w:rFonts w:ascii="Arial" w:hAnsi="Arial" w:cs="Arial"/>
          <w:b/>
          <w:bCs/>
          <w:sz w:val="24"/>
          <w:szCs w:val="24"/>
        </w:rPr>
        <w:t xml:space="preserve">Quantum </w:t>
      </w:r>
    </w:p>
    <w:p w14:paraId="2BED0E6C" w14:textId="2D6FB27D" w:rsidR="00D346F5" w:rsidRPr="00270C08" w:rsidRDefault="00751B69" w:rsidP="00751B69">
      <w:pPr>
        <w:spacing w:after="240" w:line="36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DD699E" w:rsidRPr="00270C08">
        <w:rPr>
          <w:rFonts w:ascii="Arial" w:hAnsi="Arial" w:cs="Arial"/>
          <w:sz w:val="24"/>
          <w:szCs w:val="24"/>
        </w:rPr>
        <w:t xml:space="preserve">Mr </w:t>
      </w:r>
      <w:r w:rsidR="00DD699E" w:rsidRPr="00270C08">
        <w:rPr>
          <w:rFonts w:ascii="Arial" w:hAnsi="Arial" w:cs="Arial"/>
          <w:i/>
          <w:iCs/>
          <w:sz w:val="24"/>
          <w:szCs w:val="24"/>
        </w:rPr>
        <w:t>Mnyani</w:t>
      </w:r>
      <w:r w:rsidR="00DD699E" w:rsidRPr="00270C08">
        <w:rPr>
          <w:rFonts w:ascii="Arial" w:hAnsi="Arial" w:cs="Arial"/>
          <w:sz w:val="24"/>
          <w:szCs w:val="24"/>
        </w:rPr>
        <w:t xml:space="preserve"> had contended that the amount awarded for damages as a result of the unlawful arrest and detention of the respondents was excessive</w:t>
      </w:r>
      <w:r w:rsidR="0095783D">
        <w:rPr>
          <w:rFonts w:ascii="Arial" w:hAnsi="Arial" w:cs="Arial"/>
          <w:sz w:val="24"/>
          <w:szCs w:val="24"/>
        </w:rPr>
        <w:t>. He</w:t>
      </w:r>
      <w:r w:rsidR="006A0F1D" w:rsidRPr="00270C08">
        <w:rPr>
          <w:rFonts w:ascii="Arial" w:hAnsi="Arial" w:cs="Arial"/>
          <w:sz w:val="24"/>
          <w:szCs w:val="24"/>
        </w:rPr>
        <w:t xml:space="preserve"> submitted that the Magistrate had not provided reasons for </w:t>
      </w:r>
      <w:r w:rsidR="007C2D84">
        <w:rPr>
          <w:rFonts w:ascii="Arial" w:hAnsi="Arial" w:cs="Arial"/>
          <w:sz w:val="24"/>
          <w:szCs w:val="24"/>
        </w:rPr>
        <w:t xml:space="preserve">awarding </w:t>
      </w:r>
      <w:r w:rsidR="006A0F1D" w:rsidRPr="00270C08">
        <w:rPr>
          <w:rFonts w:ascii="Arial" w:hAnsi="Arial" w:cs="Arial"/>
          <w:sz w:val="24"/>
          <w:szCs w:val="24"/>
        </w:rPr>
        <w:t>the amount of R80</w:t>
      </w:r>
      <w:r w:rsidR="00B82ED6">
        <w:rPr>
          <w:rFonts w:ascii="Arial" w:hAnsi="Arial" w:cs="Arial"/>
          <w:sz w:val="24"/>
          <w:szCs w:val="24"/>
        </w:rPr>
        <w:t> </w:t>
      </w:r>
      <w:r w:rsidR="006A0F1D" w:rsidRPr="00270C08">
        <w:rPr>
          <w:rFonts w:ascii="Arial" w:hAnsi="Arial" w:cs="Arial"/>
          <w:sz w:val="24"/>
          <w:szCs w:val="24"/>
        </w:rPr>
        <w:t>000</w:t>
      </w:r>
      <w:r w:rsidR="00B82ED6">
        <w:rPr>
          <w:rFonts w:ascii="Arial" w:hAnsi="Arial" w:cs="Arial"/>
          <w:sz w:val="24"/>
          <w:szCs w:val="24"/>
        </w:rPr>
        <w:t xml:space="preserve"> in respect of each respondent</w:t>
      </w:r>
      <w:r w:rsidR="006A0F1D" w:rsidRPr="00270C08">
        <w:rPr>
          <w:rFonts w:ascii="Arial" w:hAnsi="Arial" w:cs="Arial"/>
          <w:sz w:val="24"/>
          <w:szCs w:val="24"/>
        </w:rPr>
        <w:t xml:space="preserve">. </w:t>
      </w:r>
      <w:r w:rsidR="004709EF" w:rsidRPr="00270C08">
        <w:rPr>
          <w:rFonts w:ascii="Arial" w:hAnsi="Arial" w:cs="Arial"/>
          <w:sz w:val="24"/>
          <w:szCs w:val="24"/>
        </w:rPr>
        <w:t xml:space="preserve">I agree with the </w:t>
      </w:r>
      <w:r w:rsidR="00B82ED6">
        <w:rPr>
          <w:rFonts w:ascii="Arial" w:hAnsi="Arial" w:cs="Arial"/>
          <w:sz w:val="24"/>
          <w:szCs w:val="24"/>
        </w:rPr>
        <w:t>submissions</w:t>
      </w:r>
      <w:r w:rsidR="004709EF" w:rsidRPr="00270C08">
        <w:rPr>
          <w:rFonts w:ascii="Arial" w:hAnsi="Arial" w:cs="Arial"/>
          <w:sz w:val="24"/>
          <w:szCs w:val="24"/>
        </w:rPr>
        <w:t xml:space="preserve"> of Mr </w:t>
      </w:r>
      <w:r w:rsidR="004709EF" w:rsidRPr="00270C08">
        <w:rPr>
          <w:rFonts w:ascii="Arial" w:hAnsi="Arial" w:cs="Arial"/>
          <w:i/>
          <w:iCs/>
          <w:sz w:val="24"/>
          <w:szCs w:val="24"/>
        </w:rPr>
        <w:t>Mnyani</w:t>
      </w:r>
      <w:r w:rsidR="004709EF" w:rsidRPr="00270C08">
        <w:rPr>
          <w:rFonts w:ascii="Arial" w:hAnsi="Arial" w:cs="Arial"/>
          <w:sz w:val="24"/>
          <w:szCs w:val="24"/>
        </w:rPr>
        <w:t xml:space="preserve"> in this regard. </w:t>
      </w:r>
      <w:r w:rsidR="00643F8F" w:rsidRPr="00270C08">
        <w:rPr>
          <w:rFonts w:ascii="Arial" w:hAnsi="Arial" w:cs="Arial"/>
          <w:sz w:val="24"/>
          <w:szCs w:val="24"/>
        </w:rPr>
        <w:t>The judgment does not provide reasons in support of the amount awarded</w:t>
      </w:r>
      <w:r w:rsidR="00C02D81">
        <w:rPr>
          <w:rFonts w:ascii="Arial" w:hAnsi="Arial" w:cs="Arial"/>
          <w:sz w:val="24"/>
          <w:szCs w:val="24"/>
        </w:rPr>
        <w:t xml:space="preserve">. </w:t>
      </w:r>
      <w:r w:rsidR="00C955E4" w:rsidRPr="00270C08">
        <w:rPr>
          <w:rFonts w:ascii="Arial" w:hAnsi="Arial" w:cs="Arial"/>
          <w:sz w:val="24"/>
          <w:szCs w:val="24"/>
        </w:rPr>
        <w:t xml:space="preserve">The judgment of the Magistrate merely makes reference to the judgment of </w:t>
      </w:r>
      <w:bookmarkStart w:id="1" w:name="_Hlk162012658"/>
      <w:r w:rsidR="00C955E4" w:rsidRPr="00270C08">
        <w:rPr>
          <w:rFonts w:ascii="Arial" w:hAnsi="Arial" w:cs="Arial"/>
          <w:i/>
          <w:iCs/>
          <w:sz w:val="24"/>
          <w:szCs w:val="24"/>
        </w:rPr>
        <w:t>Minister of Safety &amp; Security v Tyulu</w:t>
      </w:r>
      <w:bookmarkEnd w:id="1"/>
      <w:r w:rsidR="00C955E4" w:rsidRPr="00270C08">
        <w:rPr>
          <w:rStyle w:val="FootnoteReference"/>
          <w:rFonts w:ascii="Arial" w:hAnsi="Arial" w:cs="Arial"/>
          <w:i/>
          <w:iCs/>
          <w:sz w:val="24"/>
          <w:szCs w:val="24"/>
        </w:rPr>
        <w:footnoteReference w:id="13"/>
      </w:r>
      <w:r w:rsidR="00C955E4" w:rsidRPr="00270C08">
        <w:rPr>
          <w:rFonts w:ascii="Arial" w:hAnsi="Arial" w:cs="Arial"/>
          <w:i/>
          <w:iCs/>
          <w:sz w:val="24"/>
          <w:szCs w:val="24"/>
        </w:rPr>
        <w:t xml:space="preserve"> </w:t>
      </w:r>
      <w:r w:rsidR="00C955E4" w:rsidRPr="00270C08">
        <w:rPr>
          <w:rFonts w:ascii="Arial" w:hAnsi="Arial" w:cs="Arial"/>
          <w:sz w:val="24"/>
          <w:szCs w:val="24"/>
        </w:rPr>
        <w:t xml:space="preserve">and </w:t>
      </w:r>
      <w:r w:rsidR="00C955E4" w:rsidRPr="00270C08">
        <w:rPr>
          <w:rFonts w:ascii="Arial" w:hAnsi="Arial" w:cs="Arial"/>
          <w:i/>
          <w:iCs/>
          <w:sz w:val="24"/>
          <w:szCs w:val="24"/>
        </w:rPr>
        <w:t>Minister of Police v Clyde Fillis</w:t>
      </w:r>
      <w:r w:rsidR="00C955E4" w:rsidRPr="00270C08">
        <w:rPr>
          <w:rStyle w:val="FootnoteReference"/>
          <w:rFonts w:ascii="Arial" w:hAnsi="Arial" w:cs="Arial"/>
          <w:i/>
          <w:iCs/>
          <w:sz w:val="24"/>
          <w:szCs w:val="24"/>
        </w:rPr>
        <w:footnoteReference w:id="14"/>
      </w:r>
      <w:r w:rsidR="00C955E4" w:rsidRPr="00270C08">
        <w:rPr>
          <w:rFonts w:ascii="Arial" w:hAnsi="Arial" w:cs="Arial"/>
          <w:i/>
          <w:iCs/>
          <w:sz w:val="24"/>
          <w:szCs w:val="24"/>
        </w:rPr>
        <w:t xml:space="preserve">. </w:t>
      </w:r>
      <w:r w:rsidR="00C955E4" w:rsidRPr="00270C08">
        <w:rPr>
          <w:rFonts w:ascii="Arial" w:hAnsi="Arial" w:cs="Arial"/>
          <w:sz w:val="24"/>
          <w:szCs w:val="24"/>
        </w:rPr>
        <w:t xml:space="preserve">It is not apparent </w:t>
      </w:r>
      <w:r w:rsidR="005C11D6" w:rsidRPr="00270C08">
        <w:rPr>
          <w:rFonts w:ascii="Arial" w:hAnsi="Arial" w:cs="Arial"/>
          <w:sz w:val="24"/>
          <w:szCs w:val="24"/>
        </w:rPr>
        <w:t>from</w:t>
      </w:r>
      <w:r w:rsidR="00C955E4" w:rsidRPr="00270C08">
        <w:rPr>
          <w:rFonts w:ascii="Arial" w:hAnsi="Arial" w:cs="Arial"/>
          <w:sz w:val="24"/>
          <w:szCs w:val="24"/>
        </w:rPr>
        <w:t xml:space="preserve"> the Magistrate’s judgment how he applied the guidance set out by the cases he relied upon. In my view that is a misdirection and this Court is entitled to assess the award of damages. </w:t>
      </w:r>
    </w:p>
    <w:p w14:paraId="135451B4" w14:textId="783A2B33" w:rsidR="003D05ED" w:rsidRPr="00270C08" w:rsidRDefault="00751B69" w:rsidP="00751B69">
      <w:pPr>
        <w:spacing w:after="240" w:line="36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3D05ED" w:rsidRPr="00270C08">
        <w:rPr>
          <w:rFonts w:ascii="Arial" w:hAnsi="Arial" w:cs="Arial"/>
          <w:sz w:val="24"/>
          <w:szCs w:val="24"/>
        </w:rPr>
        <w:t xml:space="preserve">In </w:t>
      </w:r>
      <w:r w:rsidR="003D05ED" w:rsidRPr="00270C08">
        <w:rPr>
          <w:rFonts w:ascii="Arial" w:hAnsi="Arial" w:cs="Arial"/>
          <w:i/>
          <w:iCs/>
          <w:sz w:val="24"/>
          <w:szCs w:val="24"/>
        </w:rPr>
        <w:t>Minister of Safety &amp; Security v Tyulu</w:t>
      </w:r>
      <w:r w:rsidR="003D05ED" w:rsidRPr="00270C08">
        <w:rPr>
          <w:rStyle w:val="FootnoteReference"/>
          <w:rFonts w:ascii="Arial" w:hAnsi="Arial" w:cs="Arial"/>
          <w:i/>
          <w:iCs/>
          <w:sz w:val="24"/>
          <w:szCs w:val="24"/>
        </w:rPr>
        <w:footnoteReference w:id="15"/>
      </w:r>
      <w:r w:rsidR="003D05ED" w:rsidRPr="00270C08">
        <w:rPr>
          <w:rFonts w:ascii="Arial" w:hAnsi="Arial" w:cs="Arial"/>
          <w:sz w:val="24"/>
          <w:szCs w:val="24"/>
        </w:rPr>
        <w:t xml:space="preserve"> the SCA held as follows-</w:t>
      </w:r>
    </w:p>
    <w:p w14:paraId="5E13A9CC" w14:textId="51F52382" w:rsidR="003D05ED" w:rsidRPr="00270C08" w:rsidRDefault="003D05ED" w:rsidP="00B645CD">
      <w:pPr>
        <w:spacing w:after="240" w:line="360" w:lineRule="auto"/>
        <w:jc w:val="both"/>
        <w:rPr>
          <w:rFonts w:ascii="Arial" w:hAnsi="Arial" w:cs="Arial"/>
        </w:rPr>
      </w:pPr>
      <w:r w:rsidRPr="00270C08">
        <w:rPr>
          <w:rFonts w:ascii="Arial" w:hAnsi="Arial" w:cs="Arial"/>
        </w:rPr>
        <w:t xml:space="preserve">‘In the assessment of damages for unlawful arrest and detention, it is important to bear in mind that the primary purpose is not to enrich the aggrieved party, but to offer him or her some much-needed solatium for his or her injured feelings. It is therefore crucial that serious attempts be made to ensure that the damages awarded are commensurate with the injury inflicted. However, our courts should be astute to ensure that the awards they make for such infractions reflect the importance of the right to personal liberty and the seriousness with which any arbitrary deprivation of personal liberty is viewed in our law. I readily concede that it is impossible to determine an award of damages for this kind of injuria with any kind of </w:t>
      </w:r>
      <w:r w:rsidRPr="00270C08">
        <w:rPr>
          <w:rFonts w:ascii="Arial" w:hAnsi="Arial" w:cs="Arial"/>
        </w:rPr>
        <w:lastRenderedPageBreak/>
        <w:t xml:space="preserve">mathematical accuracy. Although it is always helpful to have regard to awards made in previous cases to serve as a guide, such an approach if slavishly followed can prove to be treacherous. The correct approach is to have regard to all the facts of the particular case and to determine the </w:t>
      </w:r>
      <w:r w:rsidRPr="00270C08">
        <w:rPr>
          <w:rFonts w:ascii="Arial" w:hAnsi="Arial" w:cs="Arial"/>
          <w:i/>
          <w:iCs/>
        </w:rPr>
        <w:t>quantum</w:t>
      </w:r>
      <w:r w:rsidRPr="00270C08">
        <w:rPr>
          <w:rFonts w:ascii="Arial" w:hAnsi="Arial" w:cs="Arial"/>
        </w:rPr>
        <w:t xml:space="preserve"> of damages on such facts.’</w:t>
      </w:r>
    </w:p>
    <w:p w14:paraId="343A1D0E" w14:textId="5137ADE8" w:rsidR="00D346F5" w:rsidRPr="00270C08" w:rsidRDefault="00C74163" w:rsidP="00C74163">
      <w:pPr>
        <w:spacing w:after="240" w:line="36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3D05ED" w:rsidRPr="00270C08">
        <w:rPr>
          <w:rFonts w:ascii="Arial" w:hAnsi="Arial" w:cs="Arial"/>
          <w:sz w:val="24"/>
          <w:szCs w:val="24"/>
        </w:rPr>
        <w:t xml:space="preserve">In </w:t>
      </w:r>
      <w:r w:rsidR="003D05ED" w:rsidRPr="00270C08">
        <w:rPr>
          <w:rFonts w:ascii="Arial" w:hAnsi="Arial" w:cs="Arial"/>
          <w:i/>
          <w:iCs/>
          <w:sz w:val="24"/>
          <w:szCs w:val="24"/>
        </w:rPr>
        <w:t>Peterson v Minister of Safety and Security</w:t>
      </w:r>
      <w:r w:rsidR="003D05ED" w:rsidRPr="00270C08">
        <w:rPr>
          <w:rStyle w:val="FootnoteReference"/>
          <w:rFonts w:ascii="Arial" w:hAnsi="Arial" w:cs="Arial"/>
          <w:i/>
          <w:iCs/>
          <w:sz w:val="24"/>
          <w:szCs w:val="24"/>
        </w:rPr>
        <w:footnoteReference w:id="16"/>
      </w:r>
      <w:r w:rsidR="003D05ED" w:rsidRPr="00270C08">
        <w:rPr>
          <w:rFonts w:ascii="Arial" w:hAnsi="Arial" w:cs="Arial"/>
          <w:i/>
          <w:iCs/>
          <w:sz w:val="24"/>
          <w:szCs w:val="24"/>
        </w:rPr>
        <w:t xml:space="preserve"> </w:t>
      </w:r>
      <w:r w:rsidR="003D05ED" w:rsidRPr="00270C08">
        <w:rPr>
          <w:rFonts w:ascii="Arial" w:hAnsi="Arial" w:cs="Arial"/>
          <w:sz w:val="24"/>
          <w:szCs w:val="24"/>
        </w:rPr>
        <w:t>Plasket J held-</w:t>
      </w:r>
    </w:p>
    <w:p w14:paraId="51620005" w14:textId="575517B6" w:rsidR="003D05ED" w:rsidRPr="00270C08" w:rsidRDefault="003D05ED" w:rsidP="00270C08">
      <w:pPr>
        <w:spacing w:after="240" w:line="360" w:lineRule="auto"/>
        <w:jc w:val="both"/>
        <w:rPr>
          <w:rFonts w:ascii="Arial" w:hAnsi="Arial" w:cs="Arial"/>
        </w:rPr>
      </w:pPr>
      <w:r w:rsidRPr="00270C08">
        <w:rPr>
          <w:rFonts w:ascii="Arial" w:hAnsi="Arial" w:cs="Arial"/>
        </w:rPr>
        <w:t>‘The satisfaction in damages to which plaintiff is entitled falls to be considered on the basis of the extent and nature of the violation of his personality (corpus, fama and dignitas). As no fixed or sliding scale exists for the computation of such damages, the Court is required to make an estimate ex aequo et bono. The authors of Visser and Potgieter’s Law of Damages 2</w:t>
      </w:r>
      <w:r w:rsidRPr="00270C08">
        <w:rPr>
          <w:rFonts w:ascii="Arial" w:hAnsi="Arial" w:cs="Arial"/>
          <w:vertAlign w:val="superscript"/>
        </w:rPr>
        <w:t>nd</w:t>
      </w:r>
      <w:r w:rsidRPr="00270C08">
        <w:rPr>
          <w:rFonts w:ascii="Arial" w:hAnsi="Arial" w:cs="Arial"/>
        </w:rPr>
        <w:t xml:space="preserve"> ed, 475 have extracted from our case law factors which can play a role in the exercise</w:t>
      </w:r>
      <w:r w:rsidR="003D6EC9" w:rsidRPr="00270C08">
        <w:rPr>
          <w:rFonts w:ascii="Arial" w:hAnsi="Arial" w:cs="Arial"/>
        </w:rPr>
        <w:t>.</w:t>
      </w:r>
    </w:p>
    <w:p w14:paraId="767B74F5" w14:textId="1E6F168A" w:rsidR="003D6EC9" w:rsidRPr="00270C08" w:rsidRDefault="003D6EC9" w:rsidP="00270C08">
      <w:pPr>
        <w:spacing w:after="240" w:line="360" w:lineRule="auto"/>
        <w:jc w:val="both"/>
        <w:rPr>
          <w:rFonts w:ascii="Arial" w:hAnsi="Arial" w:cs="Arial"/>
        </w:rPr>
      </w:pPr>
      <w:r w:rsidRPr="00270C08">
        <w:rPr>
          <w:rFonts w:ascii="Arial" w:hAnsi="Arial" w:cs="Arial"/>
        </w:rPr>
        <w:t xml:space="preserve">The circumstances under which the deprivation of liberty took place, the presence of absence of improper motive or </w:t>
      </w:r>
      <w:r w:rsidRPr="00270C08">
        <w:rPr>
          <w:rFonts w:ascii="Arial" w:hAnsi="Arial" w:cs="Arial"/>
          <w:i/>
          <w:iCs/>
        </w:rPr>
        <w:t>malice</w:t>
      </w:r>
      <w:r w:rsidRPr="00270C08">
        <w:rPr>
          <w:rFonts w:ascii="Arial" w:hAnsi="Arial" w:cs="Arial"/>
        </w:rPr>
        <w:t xml:space="preserve"> on the part of the defendant; the harsh conduct of the defendants; the duration and nature (eg solitary confinement) of the deprivation of liberty; the status, standing, age and health of the plaintiff; the extent of the publicity given to the deprivation of liberty, the presence or absence of an apology or satisfactory explanation of the events by the defendants; awards in previous comparable cases; the fact that in addition to physical freedom, other personality interests such as honour and good name have been infringed, the high valued of the right to physical liberty; the effect of inflation; and the fact that the action injuriarum also has a punitive function.’</w:t>
      </w:r>
    </w:p>
    <w:p w14:paraId="45833866" w14:textId="294AC455" w:rsidR="00B854F3" w:rsidRPr="00270C08" w:rsidRDefault="00C74163" w:rsidP="00C74163">
      <w:pPr>
        <w:spacing w:after="240" w:line="36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3D6EC9" w:rsidRPr="00270C08">
        <w:rPr>
          <w:rFonts w:ascii="Arial" w:hAnsi="Arial" w:cs="Arial"/>
          <w:sz w:val="24"/>
          <w:szCs w:val="24"/>
        </w:rPr>
        <w:t xml:space="preserve">In </w:t>
      </w:r>
      <w:r w:rsidR="003D6EC9" w:rsidRPr="00270C08">
        <w:rPr>
          <w:rFonts w:ascii="Arial" w:hAnsi="Arial" w:cs="Arial"/>
          <w:i/>
          <w:iCs/>
          <w:sz w:val="24"/>
          <w:szCs w:val="24"/>
        </w:rPr>
        <w:t>Phakamisa Madingana v Minister of Police</w:t>
      </w:r>
      <w:r w:rsidR="003D6EC9" w:rsidRPr="00270C08">
        <w:rPr>
          <w:rStyle w:val="FootnoteReference"/>
          <w:rFonts w:ascii="Arial" w:hAnsi="Arial" w:cs="Arial"/>
          <w:i/>
          <w:iCs/>
          <w:sz w:val="24"/>
          <w:szCs w:val="24"/>
        </w:rPr>
        <w:footnoteReference w:id="17"/>
      </w:r>
      <w:r w:rsidR="003D6EC9" w:rsidRPr="00270C08">
        <w:rPr>
          <w:rFonts w:ascii="Arial" w:hAnsi="Arial" w:cs="Arial"/>
          <w:sz w:val="24"/>
          <w:szCs w:val="24"/>
        </w:rPr>
        <w:t xml:space="preserve"> Laing J awarded an amount of R80 000 for damages arising from the arrest of the plaintiff </w:t>
      </w:r>
      <w:r w:rsidR="00C76361" w:rsidRPr="00270C08">
        <w:rPr>
          <w:rFonts w:ascii="Arial" w:hAnsi="Arial" w:cs="Arial"/>
          <w:sz w:val="24"/>
          <w:szCs w:val="24"/>
        </w:rPr>
        <w:t xml:space="preserve">on 18 May 2020 and released </w:t>
      </w:r>
      <w:r w:rsidR="00CE359C" w:rsidRPr="00270C08">
        <w:rPr>
          <w:rFonts w:ascii="Arial" w:hAnsi="Arial" w:cs="Arial"/>
          <w:sz w:val="24"/>
          <w:szCs w:val="24"/>
        </w:rPr>
        <w:t xml:space="preserve">on 19 May 2020. The detention was for one day. </w:t>
      </w:r>
      <w:r w:rsidR="005D0930" w:rsidRPr="00270C08">
        <w:rPr>
          <w:rFonts w:ascii="Arial" w:hAnsi="Arial" w:cs="Arial"/>
          <w:sz w:val="24"/>
          <w:szCs w:val="24"/>
        </w:rPr>
        <w:t xml:space="preserve">The court had considered that the plaintiff had been arrested in front of members of the community. The plaintiff was subjected to an embarrassing experience. He held a position of high political office </w:t>
      </w:r>
      <w:r w:rsidR="009D0446">
        <w:rPr>
          <w:rFonts w:ascii="Arial" w:hAnsi="Arial" w:cs="Arial"/>
          <w:sz w:val="24"/>
          <w:szCs w:val="24"/>
        </w:rPr>
        <w:t xml:space="preserve">and </w:t>
      </w:r>
      <w:r w:rsidR="005D0930" w:rsidRPr="00270C08">
        <w:rPr>
          <w:rFonts w:ascii="Arial" w:hAnsi="Arial" w:cs="Arial"/>
          <w:sz w:val="24"/>
          <w:szCs w:val="24"/>
        </w:rPr>
        <w:t xml:space="preserve">he was a leader in his church and community. </w:t>
      </w:r>
    </w:p>
    <w:p w14:paraId="403FD164" w14:textId="1C7AADDF" w:rsidR="003D6EC9" w:rsidRPr="00270C08" w:rsidRDefault="00C74163" w:rsidP="00C74163">
      <w:pPr>
        <w:spacing w:after="240" w:line="36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B854F3" w:rsidRPr="00270C08">
        <w:rPr>
          <w:rFonts w:ascii="Arial" w:hAnsi="Arial" w:cs="Arial"/>
          <w:sz w:val="24"/>
          <w:szCs w:val="24"/>
        </w:rPr>
        <w:t xml:space="preserve">In </w:t>
      </w:r>
      <w:r w:rsidR="00B854F3" w:rsidRPr="00270C08">
        <w:rPr>
          <w:rFonts w:ascii="Arial" w:hAnsi="Arial" w:cs="Arial"/>
          <w:i/>
          <w:iCs/>
          <w:sz w:val="24"/>
          <w:szCs w:val="24"/>
        </w:rPr>
        <w:t>Alvade Daniel Francis v The Minister of Police and Another</w:t>
      </w:r>
      <w:r w:rsidR="00B854F3" w:rsidRPr="00270C08">
        <w:rPr>
          <w:rStyle w:val="FootnoteReference"/>
          <w:rFonts w:ascii="Arial" w:hAnsi="Arial" w:cs="Arial"/>
          <w:i/>
          <w:iCs/>
          <w:sz w:val="24"/>
          <w:szCs w:val="24"/>
        </w:rPr>
        <w:footnoteReference w:id="18"/>
      </w:r>
      <w:r w:rsidR="005D0930" w:rsidRPr="00270C08">
        <w:rPr>
          <w:rFonts w:ascii="Arial" w:hAnsi="Arial" w:cs="Arial"/>
          <w:sz w:val="24"/>
          <w:szCs w:val="24"/>
        </w:rPr>
        <w:t xml:space="preserve"> </w:t>
      </w:r>
      <w:r w:rsidR="00B854F3" w:rsidRPr="00270C08">
        <w:rPr>
          <w:rFonts w:ascii="Arial" w:hAnsi="Arial" w:cs="Arial"/>
          <w:sz w:val="24"/>
          <w:szCs w:val="24"/>
        </w:rPr>
        <w:t xml:space="preserve">the appellant was detained from 16 September 2019 until 20 September 2019. </w:t>
      </w:r>
      <w:r w:rsidR="008F4861" w:rsidRPr="00270C08">
        <w:rPr>
          <w:rFonts w:ascii="Arial" w:hAnsi="Arial" w:cs="Arial"/>
          <w:sz w:val="24"/>
          <w:szCs w:val="24"/>
        </w:rPr>
        <w:t xml:space="preserve">In this case, the appellant was kept in an overcrowded cell of 40 to 50 persons sharing beds. </w:t>
      </w:r>
      <w:r w:rsidR="00F76EAB" w:rsidRPr="00270C08">
        <w:rPr>
          <w:rFonts w:ascii="Arial" w:hAnsi="Arial" w:cs="Arial"/>
          <w:sz w:val="24"/>
          <w:szCs w:val="24"/>
        </w:rPr>
        <w:t xml:space="preserve">The </w:t>
      </w:r>
      <w:r w:rsidR="00F76EAB" w:rsidRPr="00270C08">
        <w:rPr>
          <w:rFonts w:ascii="Arial" w:hAnsi="Arial" w:cs="Arial"/>
          <w:sz w:val="24"/>
          <w:szCs w:val="24"/>
        </w:rPr>
        <w:lastRenderedPageBreak/>
        <w:t xml:space="preserve">plaintiff was uncomfortable for the reason that they were being robbed and there was gang stuff. Basic food was provided twice a day. </w:t>
      </w:r>
      <w:r w:rsidR="00804CD8" w:rsidRPr="00270C08">
        <w:rPr>
          <w:rFonts w:ascii="Arial" w:hAnsi="Arial" w:cs="Arial"/>
          <w:sz w:val="24"/>
          <w:szCs w:val="24"/>
        </w:rPr>
        <w:t>The court, after assessing the facts of the case, awarded damages in the amount of R100 000.</w:t>
      </w:r>
    </w:p>
    <w:p w14:paraId="5CF6CCC7" w14:textId="20D45F22" w:rsidR="00804CD8" w:rsidRPr="00270C08" w:rsidRDefault="0096016F" w:rsidP="00C74163">
      <w:pPr>
        <w:spacing w:after="240" w:line="36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r>
      <w:r w:rsidR="00804CD8" w:rsidRPr="00270C08">
        <w:rPr>
          <w:rFonts w:ascii="Arial" w:hAnsi="Arial" w:cs="Arial"/>
          <w:sz w:val="24"/>
          <w:szCs w:val="24"/>
        </w:rPr>
        <w:t xml:space="preserve">In </w:t>
      </w:r>
      <w:r w:rsidR="00804CD8" w:rsidRPr="00270C08">
        <w:rPr>
          <w:rFonts w:ascii="Arial" w:hAnsi="Arial" w:cs="Arial"/>
          <w:i/>
          <w:iCs/>
          <w:sz w:val="24"/>
          <w:szCs w:val="24"/>
        </w:rPr>
        <w:t>Minister of Police v Nazmoul Hoque</w:t>
      </w:r>
      <w:r w:rsidR="00804CD8" w:rsidRPr="00270C08">
        <w:rPr>
          <w:rStyle w:val="FootnoteReference"/>
          <w:rFonts w:ascii="Arial" w:hAnsi="Arial" w:cs="Arial"/>
          <w:sz w:val="24"/>
          <w:szCs w:val="24"/>
        </w:rPr>
        <w:footnoteReference w:id="19"/>
      </w:r>
      <w:r w:rsidR="00804CD8" w:rsidRPr="00270C08">
        <w:rPr>
          <w:rFonts w:ascii="Arial" w:hAnsi="Arial" w:cs="Arial"/>
          <w:sz w:val="24"/>
          <w:szCs w:val="24"/>
        </w:rPr>
        <w:t xml:space="preserve"> </w:t>
      </w:r>
      <w:r w:rsidR="00B25911" w:rsidRPr="00270C08">
        <w:rPr>
          <w:rFonts w:ascii="Arial" w:hAnsi="Arial" w:cs="Arial"/>
          <w:sz w:val="24"/>
          <w:szCs w:val="24"/>
        </w:rPr>
        <w:t xml:space="preserve">the court awarded damages in the amount of R60 000 for unlawful arrest and detention. The plaintiff was arrested on 30 September 2019 at approximately 21h30 and released at approximately 08h05 on 1 October 2019. </w:t>
      </w:r>
    </w:p>
    <w:p w14:paraId="5137DC70" w14:textId="1242B236" w:rsidR="00B25911" w:rsidRPr="00270C08" w:rsidRDefault="0096016F" w:rsidP="0096016F">
      <w:pPr>
        <w:spacing w:after="240" w:line="36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r>
      <w:r w:rsidR="00B25911" w:rsidRPr="00270C08">
        <w:rPr>
          <w:rFonts w:ascii="Arial" w:hAnsi="Arial" w:cs="Arial"/>
          <w:sz w:val="24"/>
          <w:szCs w:val="24"/>
        </w:rPr>
        <w:t xml:space="preserve">In </w:t>
      </w:r>
      <w:r w:rsidR="00B25911" w:rsidRPr="00270C08">
        <w:rPr>
          <w:rFonts w:ascii="Arial" w:hAnsi="Arial" w:cs="Arial"/>
          <w:i/>
          <w:iCs/>
          <w:sz w:val="24"/>
          <w:szCs w:val="24"/>
        </w:rPr>
        <w:t>Peterson v Minister of Safety &amp; Security</w:t>
      </w:r>
      <w:r w:rsidR="00B25911" w:rsidRPr="00270C08">
        <w:rPr>
          <w:rStyle w:val="FootnoteReference"/>
          <w:rFonts w:ascii="Arial" w:hAnsi="Arial" w:cs="Arial"/>
          <w:i/>
          <w:iCs/>
          <w:sz w:val="24"/>
          <w:szCs w:val="24"/>
        </w:rPr>
        <w:footnoteReference w:id="20"/>
      </w:r>
      <w:r w:rsidR="00B25911" w:rsidRPr="00270C08">
        <w:rPr>
          <w:rFonts w:ascii="Arial" w:hAnsi="Arial" w:cs="Arial"/>
          <w:sz w:val="24"/>
          <w:szCs w:val="24"/>
        </w:rPr>
        <w:t xml:space="preserve"> the plaintiff was in custody for 8 hours and awarded R60 000 in 2011. </w:t>
      </w:r>
      <w:r w:rsidR="000112FF" w:rsidRPr="00270C08">
        <w:rPr>
          <w:rFonts w:ascii="Arial" w:hAnsi="Arial" w:cs="Arial"/>
          <w:sz w:val="24"/>
          <w:szCs w:val="24"/>
        </w:rPr>
        <w:t xml:space="preserve">She was awarded separate amounts for breach of duty and assault. </w:t>
      </w:r>
    </w:p>
    <w:p w14:paraId="5444C81C" w14:textId="52A8C184" w:rsidR="000D272F" w:rsidRPr="00270C08" w:rsidRDefault="0096016F" w:rsidP="0096016F">
      <w:pPr>
        <w:spacing w:after="240" w:line="36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r>
      <w:r w:rsidR="000D272F" w:rsidRPr="00270C08">
        <w:rPr>
          <w:rFonts w:ascii="Arial" w:hAnsi="Arial" w:cs="Arial"/>
          <w:sz w:val="24"/>
          <w:szCs w:val="24"/>
        </w:rPr>
        <w:t xml:space="preserve">In </w:t>
      </w:r>
      <w:r w:rsidR="000D272F" w:rsidRPr="00270C08">
        <w:rPr>
          <w:rFonts w:ascii="Arial" w:hAnsi="Arial" w:cs="Arial"/>
          <w:i/>
          <w:iCs/>
          <w:sz w:val="24"/>
          <w:szCs w:val="24"/>
        </w:rPr>
        <w:t>Martins v The Minister of Police</w:t>
      </w:r>
      <w:r w:rsidR="000D272F" w:rsidRPr="00270C08">
        <w:rPr>
          <w:rStyle w:val="FootnoteReference"/>
          <w:rFonts w:ascii="Arial" w:hAnsi="Arial" w:cs="Arial"/>
          <w:i/>
          <w:iCs/>
          <w:sz w:val="24"/>
          <w:szCs w:val="24"/>
        </w:rPr>
        <w:footnoteReference w:id="21"/>
      </w:r>
      <w:r w:rsidR="000D272F" w:rsidRPr="00270C08">
        <w:rPr>
          <w:rFonts w:ascii="Arial" w:hAnsi="Arial" w:cs="Arial"/>
          <w:sz w:val="24"/>
          <w:szCs w:val="24"/>
        </w:rPr>
        <w:t xml:space="preserve"> the plaintiff was also assaulted, arrested and detained by the police for a period of over 24 hours. In this matter, Chetty J awarded the plaintiff R40 000 in respect of arrest and detention, and R25 000 in respect of the assault. </w:t>
      </w:r>
    </w:p>
    <w:p w14:paraId="7A5300CC" w14:textId="1D85558A" w:rsidR="000D272F" w:rsidRPr="00270C08" w:rsidRDefault="0096016F" w:rsidP="0096016F">
      <w:pPr>
        <w:spacing w:after="240" w:line="360" w:lineRule="auto"/>
        <w:jc w:val="both"/>
        <w:rPr>
          <w:rFonts w:ascii="Arial" w:hAnsi="Arial" w:cs="Arial"/>
          <w:sz w:val="24"/>
          <w:szCs w:val="24"/>
        </w:rPr>
      </w:pPr>
      <w:r>
        <w:rPr>
          <w:rFonts w:ascii="Arial" w:hAnsi="Arial" w:cs="Arial"/>
          <w:sz w:val="24"/>
          <w:szCs w:val="24"/>
        </w:rPr>
        <w:t>[4</w:t>
      </w:r>
      <w:r w:rsidR="00106522">
        <w:rPr>
          <w:rFonts w:ascii="Arial" w:hAnsi="Arial" w:cs="Arial"/>
          <w:sz w:val="24"/>
          <w:szCs w:val="24"/>
        </w:rPr>
        <w:t>7]</w:t>
      </w:r>
      <w:r w:rsidR="00106522">
        <w:rPr>
          <w:rFonts w:ascii="Arial" w:hAnsi="Arial" w:cs="Arial"/>
          <w:sz w:val="24"/>
          <w:szCs w:val="24"/>
        </w:rPr>
        <w:tab/>
      </w:r>
      <w:r w:rsidR="004221AE" w:rsidRPr="00270C08">
        <w:rPr>
          <w:rFonts w:ascii="Arial" w:hAnsi="Arial" w:cs="Arial"/>
          <w:sz w:val="24"/>
          <w:szCs w:val="24"/>
        </w:rPr>
        <w:t xml:space="preserve">In </w:t>
      </w:r>
      <w:r w:rsidR="004221AE" w:rsidRPr="00270C08">
        <w:rPr>
          <w:rFonts w:ascii="Arial" w:hAnsi="Arial" w:cs="Arial"/>
          <w:i/>
          <w:iCs/>
          <w:sz w:val="24"/>
          <w:szCs w:val="24"/>
        </w:rPr>
        <w:t>Nel v Minister of Police</w:t>
      </w:r>
      <w:r w:rsidR="004221AE" w:rsidRPr="00270C08">
        <w:rPr>
          <w:rStyle w:val="FootnoteReference"/>
          <w:rFonts w:ascii="Arial" w:hAnsi="Arial" w:cs="Arial"/>
          <w:i/>
          <w:iCs/>
          <w:sz w:val="24"/>
          <w:szCs w:val="24"/>
        </w:rPr>
        <w:footnoteReference w:id="22"/>
      </w:r>
      <w:r w:rsidR="004221AE" w:rsidRPr="00270C08">
        <w:rPr>
          <w:rFonts w:ascii="Arial" w:hAnsi="Arial" w:cs="Arial"/>
          <w:sz w:val="24"/>
          <w:szCs w:val="24"/>
        </w:rPr>
        <w:t xml:space="preserve"> Mbenenge JP, after considering awards made in this division, concluded that it is quite a daunting task to draw comparison between cases as they frequently lack information, </w:t>
      </w:r>
      <w:r w:rsidR="004221AE" w:rsidRPr="00270C08">
        <w:rPr>
          <w:rFonts w:ascii="Arial" w:hAnsi="Arial" w:cs="Arial"/>
          <w:i/>
          <w:iCs/>
          <w:sz w:val="24"/>
          <w:szCs w:val="24"/>
        </w:rPr>
        <w:t>inter alia</w:t>
      </w:r>
      <w:r w:rsidR="004221AE" w:rsidRPr="00270C08">
        <w:rPr>
          <w:rFonts w:ascii="Arial" w:hAnsi="Arial" w:cs="Arial"/>
          <w:sz w:val="24"/>
          <w:szCs w:val="24"/>
        </w:rPr>
        <w:t>, relating to the effect of the arrest upon the person.</w:t>
      </w:r>
      <w:r w:rsidR="00FA535B" w:rsidRPr="00270C08">
        <w:rPr>
          <w:rFonts w:ascii="Arial" w:hAnsi="Arial" w:cs="Arial"/>
          <w:sz w:val="24"/>
          <w:szCs w:val="24"/>
        </w:rPr>
        <w:t xml:space="preserve"> </w:t>
      </w:r>
    </w:p>
    <w:p w14:paraId="7C96D930" w14:textId="3AE89EF7" w:rsidR="00FA535B" w:rsidRDefault="00106522" w:rsidP="00106522">
      <w:pPr>
        <w:spacing w:after="240" w:line="36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r>
      <w:r w:rsidR="00FA535B" w:rsidRPr="00270C08">
        <w:rPr>
          <w:rFonts w:ascii="Arial" w:hAnsi="Arial" w:cs="Arial"/>
          <w:sz w:val="24"/>
          <w:szCs w:val="24"/>
        </w:rPr>
        <w:t xml:space="preserve">In </w:t>
      </w:r>
      <w:r w:rsidR="00FA535B" w:rsidRPr="00270C08">
        <w:rPr>
          <w:rFonts w:ascii="Arial" w:hAnsi="Arial" w:cs="Arial"/>
          <w:i/>
          <w:iCs/>
          <w:sz w:val="24"/>
          <w:szCs w:val="24"/>
        </w:rPr>
        <w:t>Minister of Police v Lonwabo Mjali &amp; Others</w:t>
      </w:r>
      <w:r w:rsidR="00FA535B" w:rsidRPr="00270C08">
        <w:rPr>
          <w:rStyle w:val="FootnoteReference"/>
          <w:rFonts w:ascii="Arial" w:hAnsi="Arial" w:cs="Arial"/>
          <w:i/>
          <w:iCs/>
          <w:sz w:val="24"/>
          <w:szCs w:val="24"/>
        </w:rPr>
        <w:footnoteReference w:id="23"/>
      </w:r>
      <w:r w:rsidR="00FA535B" w:rsidRPr="00270C08">
        <w:rPr>
          <w:rFonts w:ascii="Arial" w:hAnsi="Arial" w:cs="Arial"/>
          <w:sz w:val="24"/>
          <w:szCs w:val="24"/>
        </w:rPr>
        <w:t xml:space="preserve"> the Full Bench awarded the plaintiff a sum of R100 000 for unlawful arrest and detention which had spanned from 28 September 2014 until 30 September 2014. The plaintiff had testified that he was arrested in full view of the members of society and that he was embarrassed and humiliated during his arrest. His further evidence was that he was detained in a congested and filthy and dirty cell. </w:t>
      </w:r>
      <w:r w:rsidR="00B973D1">
        <w:rPr>
          <w:rFonts w:ascii="Arial" w:hAnsi="Arial" w:cs="Arial"/>
          <w:sz w:val="24"/>
          <w:szCs w:val="24"/>
        </w:rPr>
        <w:t xml:space="preserve">The </w:t>
      </w:r>
      <w:r w:rsidR="0047746F">
        <w:rPr>
          <w:rFonts w:ascii="Arial" w:hAnsi="Arial" w:cs="Arial"/>
          <w:sz w:val="24"/>
          <w:szCs w:val="24"/>
        </w:rPr>
        <w:t>F</w:t>
      </w:r>
      <w:r w:rsidR="00D8622A">
        <w:rPr>
          <w:rFonts w:ascii="Arial" w:hAnsi="Arial" w:cs="Arial"/>
          <w:sz w:val="24"/>
          <w:szCs w:val="24"/>
        </w:rPr>
        <w:t xml:space="preserve">ull </w:t>
      </w:r>
      <w:r w:rsidR="0047746F">
        <w:rPr>
          <w:rFonts w:ascii="Arial" w:hAnsi="Arial" w:cs="Arial"/>
          <w:sz w:val="24"/>
          <w:szCs w:val="24"/>
        </w:rPr>
        <w:t>C</w:t>
      </w:r>
      <w:r w:rsidR="00B973D1">
        <w:rPr>
          <w:rFonts w:ascii="Arial" w:hAnsi="Arial" w:cs="Arial"/>
          <w:sz w:val="24"/>
          <w:szCs w:val="24"/>
        </w:rPr>
        <w:t xml:space="preserve">ourt </w:t>
      </w:r>
      <w:r w:rsidR="004D3830">
        <w:rPr>
          <w:rFonts w:ascii="Arial" w:hAnsi="Arial" w:cs="Arial"/>
          <w:sz w:val="24"/>
          <w:szCs w:val="24"/>
        </w:rPr>
        <w:t xml:space="preserve">relied upon a number of cases for the factors to be considered in determining </w:t>
      </w:r>
      <w:r w:rsidR="00473C92">
        <w:rPr>
          <w:rFonts w:ascii="Arial" w:hAnsi="Arial" w:cs="Arial"/>
          <w:sz w:val="24"/>
          <w:szCs w:val="24"/>
        </w:rPr>
        <w:t>an appropriate award: -</w:t>
      </w:r>
    </w:p>
    <w:p w14:paraId="0D8CB94A" w14:textId="5DFB6072" w:rsidR="00295953" w:rsidRPr="0080592C" w:rsidRDefault="00ED62AC" w:rsidP="00106522">
      <w:pPr>
        <w:spacing w:after="240" w:line="360" w:lineRule="auto"/>
        <w:jc w:val="both"/>
        <w:rPr>
          <w:rFonts w:ascii="Arial" w:hAnsi="Arial" w:cs="Arial"/>
          <w:color w:val="242121"/>
          <w:shd w:val="clear" w:color="auto" w:fill="FFFFFF"/>
          <w:lang w:val="en-US"/>
        </w:rPr>
      </w:pPr>
      <w:r>
        <w:rPr>
          <w:rFonts w:ascii="Arial" w:hAnsi="Arial" w:cs="Arial"/>
          <w:i/>
          <w:iCs/>
          <w:color w:val="242121"/>
          <w:shd w:val="clear" w:color="auto" w:fill="FFFFFF"/>
          <w:lang w:val="en-US"/>
        </w:rPr>
        <w:lastRenderedPageBreak/>
        <w:t>“</w:t>
      </w:r>
      <w:r w:rsidR="00295953" w:rsidRPr="00B973D1">
        <w:rPr>
          <w:rFonts w:ascii="Arial" w:hAnsi="Arial" w:cs="Arial"/>
          <w:i/>
          <w:iCs/>
          <w:color w:val="242121"/>
          <w:shd w:val="clear" w:color="auto" w:fill="FFFFFF"/>
          <w:lang w:val="en-US"/>
        </w:rPr>
        <w:t>[27]</w:t>
      </w:r>
      <w:r w:rsidR="00295953" w:rsidRPr="00295953">
        <w:rPr>
          <w:rFonts w:ascii="Arial" w:hAnsi="Arial" w:cs="Arial"/>
          <w:color w:val="242121"/>
          <w:shd w:val="clear" w:color="auto" w:fill="FFFFFF"/>
          <w:lang w:val="en-US"/>
        </w:rPr>
        <w:t>   On the score of the purpose of an award of damages, the Constitutional Court, in </w:t>
      </w:r>
      <w:r w:rsidR="00295953" w:rsidRPr="00295953">
        <w:rPr>
          <w:rFonts w:ascii="Arial" w:hAnsi="Arial" w:cs="Arial"/>
          <w:i/>
          <w:iCs/>
          <w:color w:val="242121"/>
          <w:shd w:val="clear" w:color="auto" w:fill="FFFFFF"/>
          <w:lang w:val="en-US"/>
        </w:rPr>
        <w:t>Mahlangu and Another v Minister of Police</w:t>
      </w:r>
      <w:r w:rsidR="00584CC7">
        <w:rPr>
          <w:rStyle w:val="FootnoteReference"/>
          <w:rFonts w:ascii="Arial" w:hAnsi="Arial" w:cs="Arial"/>
          <w:i/>
          <w:iCs/>
          <w:color w:val="242121"/>
          <w:shd w:val="clear" w:color="auto" w:fill="FFFFFF"/>
          <w:lang w:val="en-US"/>
        </w:rPr>
        <w:footnoteReference w:id="24"/>
      </w:r>
      <w:r w:rsidR="00295953" w:rsidRPr="00295953">
        <w:rPr>
          <w:rFonts w:ascii="Arial" w:hAnsi="Arial" w:cs="Arial"/>
          <w:color w:val="242121"/>
          <w:shd w:val="clear" w:color="auto" w:fill="FFFFFF"/>
          <w:lang w:val="en-US"/>
        </w:rPr>
        <w:t>, held that </w:t>
      </w:r>
      <w:r w:rsidR="00295953" w:rsidRPr="00295953">
        <w:rPr>
          <w:rFonts w:ascii="Arial" w:hAnsi="Arial" w:cs="Arial"/>
          <w:color w:val="000000"/>
          <w:shd w:val="clear" w:color="auto" w:fill="FFFFFF"/>
          <w:lang w:val="en-US"/>
        </w:rPr>
        <w:t>damages are awarded to deter and prevent future infringements of fundamental rights by organs of state. They are a gesture of goodwill to the aggrieved and they do not rectify the wrong that took place</w:t>
      </w:r>
      <w:r w:rsidR="001A6A8B">
        <w:rPr>
          <w:rFonts w:ascii="Arial" w:hAnsi="Arial" w:cs="Arial"/>
          <w:color w:val="242121"/>
          <w:shd w:val="clear" w:color="auto" w:fill="FFFFFF"/>
          <w:lang w:val="en-US"/>
        </w:rPr>
        <w:t>.</w:t>
      </w:r>
      <w:r w:rsidR="00295953" w:rsidRPr="00295953">
        <w:rPr>
          <w:rFonts w:ascii="Arial" w:hAnsi="Arial" w:cs="Arial"/>
          <w:color w:val="242121"/>
          <w:shd w:val="clear" w:color="auto" w:fill="FFFFFF"/>
          <w:lang w:val="en-US"/>
        </w:rPr>
        <w:t>  With these principles of law in mind, I turn to deal with the issues raised in the instant appeal.</w:t>
      </w:r>
    </w:p>
    <w:p w14:paraId="68C4D81D" w14:textId="708DE78A" w:rsidR="00295953" w:rsidRDefault="00295953" w:rsidP="00106522">
      <w:pPr>
        <w:spacing w:after="240" w:line="360" w:lineRule="auto"/>
        <w:jc w:val="both"/>
      </w:pPr>
      <w:r w:rsidRPr="00FF7370">
        <w:rPr>
          <w:rFonts w:ascii="Arial" w:hAnsi="Arial" w:cs="Arial"/>
          <w:i/>
          <w:iCs/>
          <w:color w:val="242121"/>
          <w:shd w:val="clear" w:color="auto" w:fill="FFFFFF"/>
          <w:lang w:val="en-US"/>
        </w:rPr>
        <w:t>[29]</w:t>
      </w:r>
      <w:r w:rsidRPr="00295953">
        <w:rPr>
          <w:rFonts w:ascii="Arial" w:hAnsi="Arial" w:cs="Arial"/>
          <w:color w:val="242121"/>
          <w:shd w:val="clear" w:color="auto" w:fill="FFFFFF"/>
          <w:lang w:val="en-US"/>
        </w:rPr>
        <w:t>   In </w:t>
      </w:r>
      <w:r w:rsidRPr="00295953">
        <w:rPr>
          <w:rFonts w:ascii="Arial" w:hAnsi="Arial" w:cs="Arial"/>
          <w:i/>
          <w:iCs/>
          <w:color w:val="242121"/>
          <w:shd w:val="clear" w:color="auto" w:fill="FFFFFF"/>
          <w:lang w:val="en-US"/>
        </w:rPr>
        <w:t>EFF and Others v Manuel</w:t>
      </w:r>
      <w:r w:rsidR="00FF7370">
        <w:rPr>
          <w:rStyle w:val="FootnoteReference"/>
          <w:rFonts w:ascii="Arial" w:hAnsi="Arial" w:cs="Arial"/>
          <w:i/>
          <w:iCs/>
          <w:color w:val="242121"/>
          <w:shd w:val="clear" w:color="auto" w:fill="FFFFFF"/>
          <w:lang w:val="en-US"/>
        </w:rPr>
        <w:footnoteReference w:id="25"/>
      </w:r>
      <w:r w:rsidRPr="00295953">
        <w:rPr>
          <w:rFonts w:ascii="Arial" w:hAnsi="Arial" w:cs="Arial"/>
          <w:i/>
          <w:iCs/>
          <w:color w:val="242121"/>
          <w:shd w:val="clear" w:color="auto" w:fill="FFFFFF"/>
          <w:lang w:val="en-US"/>
        </w:rPr>
        <w:t>, </w:t>
      </w:r>
      <w:r w:rsidRPr="00295953">
        <w:rPr>
          <w:rFonts w:ascii="Arial" w:hAnsi="Arial" w:cs="Arial"/>
          <w:color w:val="242121"/>
          <w:shd w:val="clear" w:color="auto" w:fill="FFFFFF"/>
          <w:lang w:val="en-US"/>
        </w:rPr>
        <w:t>the SCA emphasized that claims for unliquidated damages by their very nature involve a determination by the court of an amount that is just and reasonable in the light of a number of indeterminable and incommensurable factors and that in order to determine an appropriate award relevant evidence has to be presented and fully explored.</w:t>
      </w:r>
      <w:r w:rsidR="006E06BA">
        <w:t xml:space="preserve"> </w:t>
      </w:r>
    </w:p>
    <w:p w14:paraId="4F5FA15A" w14:textId="4014BBD5" w:rsidR="00295953" w:rsidRPr="00A270C5" w:rsidRDefault="00A270C5" w:rsidP="00295953">
      <w:pPr>
        <w:shd w:val="clear" w:color="auto" w:fill="FFFFFF"/>
        <w:spacing w:before="144" w:after="0" w:line="360" w:lineRule="atLeast"/>
        <w:rPr>
          <w:rFonts w:ascii="Verdana" w:eastAsia="Times New Roman" w:hAnsi="Verdana" w:cs="Times New Roman"/>
          <w:color w:val="242121"/>
          <w:lang w:eastAsia="en-ZA"/>
        </w:rPr>
      </w:pPr>
      <w:r w:rsidRPr="00A270C5">
        <w:rPr>
          <w:rFonts w:ascii="Arial" w:eastAsia="Times New Roman" w:hAnsi="Arial" w:cs="Arial"/>
          <w:i/>
          <w:iCs/>
          <w:color w:val="242121"/>
          <w:lang w:val="en-US" w:eastAsia="en-ZA"/>
        </w:rPr>
        <w:t>[</w:t>
      </w:r>
      <w:r w:rsidR="00295953" w:rsidRPr="00A270C5">
        <w:rPr>
          <w:rFonts w:ascii="Arial" w:eastAsia="Times New Roman" w:hAnsi="Arial" w:cs="Arial"/>
          <w:i/>
          <w:iCs/>
          <w:color w:val="242121"/>
          <w:lang w:val="en-US" w:eastAsia="en-ZA"/>
        </w:rPr>
        <w:t>40]</w:t>
      </w:r>
      <w:r w:rsidR="00295953" w:rsidRPr="00295953">
        <w:rPr>
          <w:rFonts w:ascii="Arial" w:eastAsia="Times New Roman" w:hAnsi="Arial" w:cs="Arial"/>
          <w:color w:val="242121"/>
          <w:sz w:val="24"/>
          <w:szCs w:val="24"/>
          <w:lang w:val="en-US" w:eastAsia="en-ZA"/>
        </w:rPr>
        <w:t xml:space="preserve">   </w:t>
      </w:r>
      <w:r w:rsidR="00295953" w:rsidRPr="00A270C5">
        <w:rPr>
          <w:rFonts w:ascii="Arial" w:eastAsia="Times New Roman" w:hAnsi="Arial" w:cs="Arial"/>
          <w:color w:val="242121"/>
          <w:lang w:val="en-US" w:eastAsia="en-ZA"/>
        </w:rPr>
        <w:t>However, I re-iterate that in the quantification of damages for which the appellant was held liable, it was imperative that sufficient evidence be led and fully explored to aid a fair assessment of the damages suffered by each of the respondents. The Court, in </w:t>
      </w:r>
      <w:r w:rsidR="00295953" w:rsidRPr="00A270C5">
        <w:rPr>
          <w:rFonts w:ascii="Arial" w:eastAsia="Times New Roman" w:hAnsi="Arial" w:cs="Arial"/>
          <w:i/>
          <w:iCs/>
          <w:color w:val="242121"/>
          <w:lang w:val="en-US" w:eastAsia="en-ZA"/>
        </w:rPr>
        <w:t>Rahim v The Minister of Home Affairs, </w:t>
      </w:r>
      <w:r w:rsidR="00295953" w:rsidRPr="00A270C5">
        <w:rPr>
          <w:rFonts w:ascii="Arial" w:eastAsia="Times New Roman" w:hAnsi="Arial" w:cs="Arial"/>
          <w:color w:val="242121"/>
          <w:lang w:val="en-US" w:eastAsia="en-ZA"/>
        </w:rPr>
        <w:t>said the following on this issue:</w:t>
      </w:r>
    </w:p>
    <w:p w14:paraId="22BDD88F" w14:textId="77777777" w:rsidR="00295953" w:rsidRPr="00A270C5" w:rsidRDefault="00295953" w:rsidP="00295953">
      <w:pPr>
        <w:shd w:val="clear" w:color="auto" w:fill="FFFFFF"/>
        <w:spacing w:before="144" w:after="0" w:line="360" w:lineRule="atLeast"/>
        <w:rPr>
          <w:rFonts w:ascii="Verdana" w:eastAsia="Times New Roman" w:hAnsi="Verdana" w:cs="Times New Roman"/>
          <w:color w:val="242121"/>
          <w:lang w:eastAsia="en-ZA"/>
        </w:rPr>
      </w:pPr>
    </w:p>
    <w:p w14:paraId="554634B6" w14:textId="1F7FB387" w:rsidR="00EE1C9E" w:rsidRPr="000D6947" w:rsidRDefault="00295953" w:rsidP="00EE1C9E">
      <w:pPr>
        <w:shd w:val="clear" w:color="auto" w:fill="FFFFFF"/>
        <w:spacing w:before="144" w:after="0" w:line="360" w:lineRule="atLeast"/>
        <w:ind w:left="720"/>
        <w:jc w:val="both"/>
        <w:rPr>
          <w:rFonts w:ascii="Verdana" w:eastAsia="Times New Roman" w:hAnsi="Verdana" w:cs="Times New Roman"/>
          <w:color w:val="242121"/>
          <w:lang w:val="en-US" w:eastAsia="en-ZA"/>
        </w:rPr>
      </w:pPr>
      <w:r w:rsidRPr="00BA2104">
        <w:rPr>
          <w:rFonts w:ascii="Arial" w:eastAsia="Times New Roman" w:hAnsi="Arial" w:cs="Arial"/>
          <w:color w:val="242121"/>
          <w:lang w:val="en-US" w:eastAsia="en-ZA"/>
        </w:rPr>
        <w:t>[27] The deprivation of liberty is indeed a serious matter. In cases of non-patrimonial loss where damages are claimed the extent of damages cannot be assessed with mathematical precision. In such cases the exercise of a reasonable discretion by the court and broad general considerations play a decisive role in the process of quantification. </w:t>
      </w:r>
      <w:r w:rsidRPr="00BA2104">
        <w:rPr>
          <w:rFonts w:ascii="Arial" w:eastAsia="Times New Roman" w:hAnsi="Arial" w:cs="Arial"/>
          <w:color w:val="242121"/>
          <w:u w:val="single"/>
          <w:lang w:val="en-US" w:eastAsia="en-ZA"/>
        </w:rPr>
        <w:t>This does not, of course, absolve a plaintiff of adducing evidence which will enable a court to make an appropriate and fair award. In cases involving deprivation of liberty the amount of satisfaction is calculated by the court </w:t>
      </w:r>
      <w:r w:rsidRPr="00BA2104">
        <w:rPr>
          <w:rFonts w:ascii="Arial" w:eastAsia="Times New Roman" w:hAnsi="Arial" w:cs="Arial"/>
          <w:i/>
          <w:iCs/>
          <w:color w:val="242121"/>
          <w:u w:val="single"/>
          <w:lang w:val="en-US" w:eastAsia="en-ZA"/>
        </w:rPr>
        <w:t>ex aequo et bono</w:t>
      </w:r>
      <w:r w:rsidRPr="00BA2104">
        <w:rPr>
          <w:rFonts w:ascii="Arial" w:eastAsia="Times New Roman" w:hAnsi="Arial" w:cs="Arial"/>
          <w:color w:val="242121"/>
          <w:lang w:val="en-US" w:eastAsia="en-ZA"/>
        </w:rPr>
        <w:t>. </w:t>
      </w:r>
      <w:r w:rsidRPr="00BA2104">
        <w:rPr>
          <w:rFonts w:ascii="Arial" w:eastAsia="Times New Roman" w:hAnsi="Arial" w:cs="Arial"/>
          <w:i/>
          <w:iCs/>
          <w:color w:val="242121"/>
          <w:lang w:val="en-US" w:eastAsia="en-ZA"/>
        </w:rPr>
        <w:t>Inter alia</w:t>
      </w:r>
      <w:r w:rsidRPr="00BA2104">
        <w:rPr>
          <w:rFonts w:ascii="Arial" w:eastAsia="Times New Roman" w:hAnsi="Arial" w:cs="Arial"/>
          <w:color w:val="242121"/>
          <w:lang w:val="en-US" w:eastAsia="en-ZA"/>
        </w:rPr>
        <w:t> the following factors are relevant: (i) circumstances under which the deprivation of liberty took place; (ii) the conduct of the defendants; and (iii) the nature and duration of the deprivation. (Emphasis added)</w:t>
      </w:r>
    </w:p>
    <w:p w14:paraId="777C5E55" w14:textId="77777777" w:rsidR="00295953" w:rsidRDefault="00295953" w:rsidP="00B44865">
      <w:pPr>
        <w:shd w:val="clear" w:color="auto" w:fill="FFFFFF"/>
        <w:spacing w:before="144" w:after="0" w:line="360" w:lineRule="atLeast"/>
        <w:jc w:val="both"/>
        <w:rPr>
          <w:rFonts w:ascii="Arial" w:eastAsia="Times New Roman" w:hAnsi="Arial" w:cs="Arial"/>
          <w:color w:val="242121"/>
          <w:sz w:val="24"/>
          <w:szCs w:val="24"/>
          <w:lang w:val="en-US" w:eastAsia="en-ZA"/>
        </w:rPr>
      </w:pPr>
    </w:p>
    <w:p w14:paraId="2298E027" w14:textId="4D53678C" w:rsidR="00295953" w:rsidRPr="00663B03" w:rsidRDefault="00295953" w:rsidP="00295953">
      <w:pPr>
        <w:shd w:val="clear" w:color="auto" w:fill="FFFFFF"/>
        <w:spacing w:before="144" w:after="0" w:line="360" w:lineRule="atLeast"/>
        <w:rPr>
          <w:rFonts w:ascii="Verdana" w:eastAsia="Times New Roman" w:hAnsi="Verdana" w:cs="Times New Roman"/>
          <w:color w:val="242121"/>
          <w:lang w:eastAsia="en-ZA"/>
        </w:rPr>
      </w:pPr>
      <w:r w:rsidRPr="000D6947">
        <w:rPr>
          <w:rFonts w:ascii="Arial" w:eastAsia="Times New Roman" w:hAnsi="Arial" w:cs="Arial"/>
          <w:i/>
          <w:iCs/>
          <w:color w:val="242121"/>
          <w:sz w:val="24"/>
          <w:szCs w:val="24"/>
          <w:lang w:val="en-US" w:eastAsia="en-ZA"/>
        </w:rPr>
        <w:t>[</w:t>
      </w:r>
      <w:r w:rsidRPr="000D6947">
        <w:rPr>
          <w:rFonts w:ascii="Arial" w:eastAsia="Times New Roman" w:hAnsi="Arial" w:cs="Arial"/>
          <w:i/>
          <w:iCs/>
          <w:color w:val="242121"/>
          <w:lang w:val="en-US" w:eastAsia="en-ZA"/>
        </w:rPr>
        <w:t>48]</w:t>
      </w:r>
      <w:r w:rsidRPr="00663B03">
        <w:rPr>
          <w:rFonts w:ascii="Arial" w:eastAsia="Times New Roman" w:hAnsi="Arial" w:cs="Arial"/>
          <w:color w:val="242121"/>
          <w:lang w:val="en-US" w:eastAsia="en-ZA"/>
        </w:rPr>
        <w:t>   That being said, I share the Court’s sentiments in </w:t>
      </w:r>
      <w:r w:rsidRPr="00663B03">
        <w:rPr>
          <w:rFonts w:ascii="Arial" w:eastAsia="Times New Roman" w:hAnsi="Arial" w:cs="Arial"/>
          <w:i/>
          <w:iCs/>
          <w:color w:val="242121"/>
          <w:lang w:val="en-US" w:eastAsia="en-ZA"/>
        </w:rPr>
        <w:t>Diljan v Minister of Police</w:t>
      </w:r>
      <w:r w:rsidR="00506D3C" w:rsidRPr="00663B03">
        <w:rPr>
          <w:rStyle w:val="FootnoteReference"/>
          <w:rFonts w:ascii="Arial" w:eastAsia="Times New Roman" w:hAnsi="Arial" w:cs="Arial"/>
          <w:i/>
          <w:iCs/>
          <w:color w:val="242121"/>
          <w:lang w:val="en-US" w:eastAsia="en-ZA"/>
        </w:rPr>
        <w:footnoteReference w:id="26"/>
      </w:r>
      <w:r w:rsidRPr="00663B03">
        <w:rPr>
          <w:rFonts w:ascii="Arial" w:eastAsia="Times New Roman" w:hAnsi="Arial" w:cs="Arial"/>
          <w:i/>
          <w:iCs/>
          <w:color w:val="242121"/>
          <w:lang w:val="en-US" w:eastAsia="en-ZA"/>
        </w:rPr>
        <w:t>, </w:t>
      </w:r>
      <w:r w:rsidRPr="00663B03">
        <w:rPr>
          <w:rFonts w:ascii="Arial" w:eastAsia="Times New Roman" w:hAnsi="Arial" w:cs="Arial"/>
          <w:color w:val="242121"/>
          <w:lang w:val="en-US" w:eastAsia="en-ZA"/>
        </w:rPr>
        <w:t>with respect, when it held:</w:t>
      </w:r>
    </w:p>
    <w:p w14:paraId="5DDBF156" w14:textId="77777777" w:rsidR="00295953" w:rsidRDefault="00295953" w:rsidP="00663B03">
      <w:pPr>
        <w:shd w:val="clear" w:color="auto" w:fill="FFFFFF"/>
        <w:spacing w:before="144" w:after="0" w:line="360" w:lineRule="atLeast"/>
        <w:ind w:left="720"/>
        <w:jc w:val="both"/>
        <w:rPr>
          <w:rFonts w:ascii="Arial" w:eastAsia="Times New Roman" w:hAnsi="Arial" w:cs="Arial"/>
          <w:color w:val="242121"/>
          <w:lang w:val="en-US" w:eastAsia="en-ZA"/>
        </w:rPr>
      </w:pPr>
      <w:r w:rsidRPr="00663B03">
        <w:rPr>
          <w:rFonts w:ascii="Verdana" w:eastAsia="Times New Roman" w:hAnsi="Verdana" w:cs="Times New Roman"/>
          <w:color w:val="242121"/>
          <w:lang w:eastAsia="en-ZA"/>
        </w:rPr>
        <w:t>‘</w:t>
      </w:r>
      <w:r w:rsidRPr="00663B03">
        <w:rPr>
          <w:rFonts w:ascii="Arial" w:eastAsia="Times New Roman" w:hAnsi="Arial" w:cs="Arial"/>
          <w:color w:val="242121"/>
          <w:lang w:val="en-US" w:eastAsia="en-ZA"/>
        </w:rPr>
        <w:t>[17] Thus, a balance should be struck between the award and the injury inflicted. Much as the aggrieved party needs to get the required </w:t>
      </w:r>
      <w:r w:rsidRPr="00663B03">
        <w:rPr>
          <w:rFonts w:ascii="Arial" w:eastAsia="Times New Roman" w:hAnsi="Arial" w:cs="Arial"/>
          <w:i/>
          <w:iCs/>
          <w:color w:val="242121"/>
          <w:lang w:val="en-US" w:eastAsia="en-ZA"/>
        </w:rPr>
        <w:t>solatium</w:t>
      </w:r>
      <w:r w:rsidRPr="00663B03">
        <w:rPr>
          <w:rFonts w:ascii="Arial" w:eastAsia="Times New Roman" w:hAnsi="Arial" w:cs="Arial"/>
          <w:color w:val="242121"/>
          <w:lang w:val="en-US" w:eastAsia="en-ZA"/>
        </w:rPr>
        <w:t xml:space="preserve">, the defendant (the Minister in this instance) should not be treated as a ‘cash-cow’ with infinite resources. The </w:t>
      </w:r>
      <w:r w:rsidRPr="00663B03">
        <w:rPr>
          <w:rFonts w:ascii="Arial" w:eastAsia="Times New Roman" w:hAnsi="Arial" w:cs="Arial"/>
          <w:color w:val="242121"/>
          <w:lang w:val="en-US" w:eastAsia="en-ZA"/>
        </w:rPr>
        <w:lastRenderedPageBreak/>
        <w:t>compensation must be fair to both parties, and a fine balance must be carefully struck, cognisant of the fact that the purpose is not to enrich the aggrieved party.’</w:t>
      </w:r>
    </w:p>
    <w:p w14:paraId="36A2AD79" w14:textId="77777777" w:rsidR="00295953" w:rsidRPr="00270C08" w:rsidRDefault="00295953" w:rsidP="00295953">
      <w:pPr>
        <w:spacing w:after="240" w:line="360" w:lineRule="auto"/>
        <w:jc w:val="both"/>
        <w:rPr>
          <w:rFonts w:ascii="Arial" w:hAnsi="Arial" w:cs="Arial"/>
          <w:sz w:val="24"/>
          <w:szCs w:val="24"/>
        </w:rPr>
      </w:pPr>
    </w:p>
    <w:p w14:paraId="605EB849" w14:textId="77379719" w:rsidR="00D800C3" w:rsidRDefault="00106522" w:rsidP="00106522">
      <w:pPr>
        <w:spacing w:after="240" w:line="36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r>
      <w:r w:rsidR="00226346" w:rsidRPr="00C71C3A">
        <w:rPr>
          <w:rFonts w:ascii="Arial" w:hAnsi="Arial" w:cs="Arial"/>
          <w:sz w:val="24"/>
          <w:szCs w:val="24"/>
        </w:rPr>
        <w:t xml:space="preserve">I have considered the </w:t>
      </w:r>
      <w:r w:rsidR="003D28DD">
        <w:rPr>
          <w:rFonts w:ascii="Arial" w:hAnsi="Arial" w:cs="Arial"/>
          <w:sz w:val="24"/>
          <w:szCs w:val="24"/>
        </w:rPr>
        <w:t>arguments</w:t>
      </w:r>
      <w:r w:rsidR="00226346" w:rsidRPr="00C71C3A">
        <w:rPr>
          <w:rFonts w:ascii="Arial" w:hAnsi="Arial" w:cs="Arial"/>
          <w:sz w:val="24"/>
          <w:szCs w:val="24"/>
        </w:rPr>
        <w:t xml:space="preserve"> by both Mr </w:t>
      </w:r>
      <w:r w:rsidR="00226346" w:rsidRPr="00C71C3A">
        <w:rPr>
          <w:rFonts w:ascii="Arial" w:hAnsi="Arial" w:cs="Arial"/>
          <w:i/>
          <w:iCs/>
          <w:sz w:val="24"/>
          <w:szCs w:val="24"/>
        </w:rPr>
        <w:t>Mnyani</w:t>
      </w:r>
      <w:r w:rsidR="00226346" w:rsidRPr="00C71C3A">
        <w:rPr>
          <w:rFonts w:ascii="Arial" w:hAnsi="Arial" w:cs="Arial"/>
          <w:sz w:val="24"/>
          <w:szCs w:val="24"/>
        </w:rPr>
        <w:t xml:space="preserve"> and Mr </w:t>
      </w:r>
      <w:r w:rsidR="00226346" w:rsidRPr="00C71C3A">
        <w:rPr>
          <w:rFonts w:ascii="Arial" w:hAnsi="Arial" w:cs="Arial"/>
          <w:i/>
          <w:iCs/>
          <w:sz w:val="24"/>
          <w:szCs w:val="24"/>
        </w:rPr>
        <w:t>Le Roux</w:t>
      </w:r>
      <w:r w:rsidR="00226346" w:rsidRPr="00C71C3A">
        <w:rPr>
          <w:rFonts w:ascii="Arial" w:hAnsi="Arial" w:cs="Arial"/>
          <w:sz w:val="24"/>
          <w:szCs w:val="24"/>
        </w:rPr>
        <w:t xml:space="preserve"> </w:t>
      </w:r>
      <w:r w:rsidR="0044760A">
        <w:rPr>
          <w:rFonts w:ascii="Arial" w:hAnsi="Arial" w:cs="Arial"/>
          <w:sz w:val="24"/>
          <w:szCs w:val="24"/>
        </w:rPr>
        <w:t>and the relevant</w:t>
      </w:r>
      <w:r w:rsidR="00226346" w:rsidRPr="00C71C3A">
        <w:rPr>
          <w:rFonts w:ascii="Arial" w:hAnsi="Arial" w:cs="Arial"/>
          <w:sz w:val="24"/>
          <w:szCs w:val="24"/>
        </w:rPr>
        <w:t xml:space="preserve"> authorities. Regard being had to the fact that the Constitution places a high premium on the right to freedom, which includes the right not to be deprived of freedom without just cause, the right to dignity, the right to privacy and the circumstances under which the respondents were arrested in the early hours of 3 July 2017, the unpleasant cells</w:t>
      </w:r>
      <w:r w:rsidR="00ED744B">
        <w:rPr>
          <w:rFonts w:ascii="Arial" w:hAnsi="Arial" w:cs="Arial"/>
          <w:sz w:val="24"/>
          <w:szCs w:val="24"/>
        </w:rPr>
        <w:t xml:space="preserve"> and</w:t>
      </w:r>
      <w:r w:rsidR="00226346" w:rsidRPr="00C71C3A">
        <w:rPr>
          <w:rFonts w:ascii="Arial" w:hAnsi="Arial" w:cs="Arial"/>
          <w:sz w:val="24"/>
          <w:szCs w:val="24"/>
        </w:rPr>
        <w:t xml:space="preserve"> the conduct of the police, especially that of Sgt Thala who failed to release the respondents, after having satisfied himself that there was no link between the respondents and the commission of the crime</w:t>
      </w:r>
      <w:r w:rsidR="003E1D3D">
        <w:rPr>
          <w:rFonts w:ascii="Arial" w:hAnsi="Arial" w:cs="Arial"/>
          <w:sz w:val="24"/>
          <w:szCs w:val="24"/>
        </w:rPr>
        <w:t xml:space="preserve"> </w:t>
      </w:r>
      <w:r w:rsidR="007C7731">
        <w:rPr>
          <w:rFonts w:ascii="Arial" w:hAnsi="Arial" w:cs="Arial"/>
          <w:sz w:val="24"/>
          <w:szCs w:val="24"/>
        </w:rPr>
        <w:t>at least</w:t>
      </w:r>
      <w:r w:rsidR="003E1D3D">
        <w:rPr>
          <w:rFonts w:ascii="Arial" w:hAnsi="Arial" w:cs="Arial"/>
          <w:sz w:val="24"/>
          <w:szCs w:val="24"/>
        </w:rPr>
        <w:t xml:space="preserve"> at 10h</w:t>
      </w:r>
      <w:r w:rsidR="00B74C08">
        <w:rPr>
          <w:rFonts w:ascii="Arial" w:hAnsi="Arial" w:cs="Arial"/>
          <w:sz w:val="24"/>
          <w:szCs w:val="24"/>
        </w:rPr>
        <w:t xml:space="preserve">30 </w:t>
      </w:r>
      <w:r w:rsidR="00AF09F3">
        <w:rPr>
          <w:rFonts w:ascii="Arial" w:hAnsi="Arial" w:cs="Arial"/>
          <w:sz w:val="24"/>
          <w:szCs w:val="24"/>
        </w:rPr>
        <w:t>on the 3</w:t>
      </w:r>
      <w:r w:rsidR="00AF09F3" w:rsidRPr="00E95A55">
        <w:rPr>
          <w:rFonts w:ascii="Arial" w:hAnsi="Arial" w:cs="Arial"/>
          <w:sz w:val="24"/>
          <w:szCs w:val="24"/>
          <w:vertAlign w:val="superscript"/>
        </w:rPr>
        <w:t>rd</w:t>
      </w:r>
      <w:r w:rsidR="00220D5A">
        <w:rPr>
          <w:rFonts w:ascii="Arial" w:hAnsi="Arial" w:cs="Arial"/>
          <w:sz w:val="24"/>
          <w:szCs w:val="24"/>
        </w:rPr>
        <w:t xml:space="preserve">. </w:t>
      </w:r>
      <w:r w:rsidR="00226346" w:rsidRPr="00C71C3A">
        <w:rPr>
          <w:rFonts w:ascii="Arial" w:hAnsi="Arial" w:cs="Arial"/>
          <w:sz w:val="24"/>
          <w:szCs w:val="24"/>
        </w:rPr>
        <w:t xml:space="preserve"> </w:t>
      </w:r>
    </w:p>
    <w:p w14:paraId="1176FDC4" w14:textId="6CFEA9B9" w:rsidR="0037680E" w:rsidRDefault="00D800C3" w:rsidP="00106522">
      <w:pPr>
        <w:spacing w:after="240" w:line="360" w:lineRule="auto"/>
        <w:jc w:val="both"/>
        <w:rPr>
          <w:rFonts w:ascii="Arial" w:hAnsi="Arial" w:cs="Arial"/>
          <w:sz w:val="24"/>
          <w:szCs w:val="24"/>
        </w:rPr>
      </w:pPr>
      <w:r>
        <w:rPr>
          <w:rFonts w:ascii="Arial" w:hAnsi="Arial" w:cs="Arial"/>
          <w:sz w:val="24"/>
          <w:szCs w:val="24"/>
        </w:rPr>
        <w:t>[50]</w:t>
      </w:r>
      <w:r w:rsidR="00ED744B">
        <w:rPr>
          <w:rFonts w:ascii="Arial" w:hAnsi="Arial" w:cs="Arial"/>
          <w:sz w:val="24"/>
          <w:szCs w:val="24"/>
        </w:rPr>
        <w:tab/>
      </w:r>
      <w:r w:rsidR="00226346" w:rsidRPr="00C71C3A">
        <w:rPr>
          <w:rFonts w:ascii="Arial" w:hAnsi="Arial" w:cs="Arial"/>
          <w:sz w:val="24"/>
          <w:szCs w:val="24"/>
        </w:rPr>
        <w:t>The respondents were not arrested in full view of the public. The arrest occurred in the early hours of the day at approximately 03H30. The respondents were in custody for approximately 36 hours</w:t>
      </w:r>
      <w:r w:rsidR="00BB774D">
        <w:rPr>
          <w:rFonts w:ascii="Arial" w:hAnsi="Arial" w:cs="Arial"/>
          <w:sz w:val="24"/>
          <w:szCs w:val="24"/>
        </w:rPr>
        <w:t xml:space="preserve">. </w:t>
      </w:r>
      <w:r w:rsidR="002550D5" w:rsidRPr="00C71C3A">
        <w:rPr>
          <w:rFonts w:ascii="Arial" w:hAnsi="Arial" w:cs="Arial"/>
          <w:sz w:val="24"/>
          <w:szCs w:val="24"/>
        </w:rPr>
        <w:t>The first respondent was detained in a single cell</w:t>
      </w:r>
      <w:r w:rsidR="00C71C3A" w:rsidRPr="00C71C3A">
        <w:rPr>
          <w:rFonts w:ascii="Arial" w:hAnsi="Arial" w:cs="Arial"/>
          <w:sz w:val="24"/>
          <w:szCs w:val="24"/>
        </w:rPr>
        <w:t xml:space="preserve">. </w:t>
      </w:r>
      <w:r w:rsidR="004A3BA7">
        <w:rPr>
          <w:rFonts w:ascii="Arial" w:hAnsi="Arial" w:cs="Arial"/>
          <w:sz w:val="24"/>
          <w:szCs w:val="24"/>
        </w:rPr>
        <w:t xml:space="preserve">The circumstances under which the second respondent was detained are unknown </w:t>
      </w:r>
      <w:r w:rsidR="00B54DAE">
        <w:rPr>
          <w:rFonts w:ascii="Arial" w:hAnsi="Arial" w:cs="Arial"/>
          <w:sz w:val="24"/>
          <w:szCs w:val="24"/>
        </w:rPr>
        <w:t xml:space="preserve">due to her failure to testify. </w:t>
      </w:r>
      <w:r w:rsidR="00523055">
        <w:rPr>
          <w:rFonts w:ascii="Arial" w:hAnsi="Arial" w:cs="Arial"/>
          <w:sz w:val="24"/>
          <w:szCs w:val="24"/>
        </w:rPr>
        <w:t xml:space="preserve">The right to </w:t>
      </w:r>
      <w:r w:rsidR="00B54DAE">
        <w:rPr>
          <w:rFonts w:ascii="Arial" w:hAnsi="Arial" w:cs="Arial"/>
          <w:sz w:val="24"/>
          <w:szCs w:val="24"/>
        </w:rPr>
        <w:t>liberty i</w:t>
      </w:r>
      <w:r w:rsidR="00B13C09">
        <w:rPr>
          <w:rFonts w:ascii="Arial" w:hAnsi="Arial" w:cs="Arial"/>
          <w:sz w:val="24"/>
          <w:szCs w:val="24"/>
        </w:rPr>
        <w:t xml:space="preserve">s to </w:t>
      </w:r>
      <w:r w:rsidR="00031567">
        <w:rPr>
          <w:rFonts w:ascii="Arial" w:hAnsi="Arial" w:cs="Arial"/>
          <w:sz w:val="24"/>
          <w:szCs w:val="24"/>
        </w:rPr>
        <w:t xml:space="preserve">be </w:t>
      </w:r>
      <w:r w:rsidR="009470F3">
        <w:rPr>
          <w:rFonts w:ascii="Arial" w:hAnsi="Arial" w:cs="Arial"/>
          <w:sz w:val="24"/>
          <w:szCs w:val="24"/>
        </w:rPr>
        <w:t>jealously</w:t>
      </w:r>
      <w:r w:rsidR="00F849C4">
        <w:rPr>
          <w:rFonts w:ascii="Arial" w:hAnsi="Arial" w:cs="Arial"/>
          <w:sz w:val="24"/>
          <w:szCs w:val="24"/>
        </w:rPr>
        <w:t xml:space="preserve"> guarded </w:t>
      </w:r>
      <w:r w:rsidR="009470F3">
        <w:rPr>
          <w:rFonts w:ascii="Arial" w:hAnsi="Arial" w:cs="Arial"/>
          <w:sz w:val="24"/>
          <w:szCs w:val="24"/>
        </w:rPr>
        <w:t>and the infringement thereof appropriately compensated.</w:t>
      </w:r>
      <w:r w:rsidR="00DD2DC7">
        <w:rPr>
          <w:rFonts w:ascii="Arial" w:hAnsi="Arial" w:cs="Arial"/>
          <w:sz w:val="24"/>
          <w:szCs w:val="24"/>
        </w:rPr>
        <w:t xml:space="preserve"> </w:t>
      </w:r>
      <w:r w:rsidR="00031567">
        <w:rPr>
          <w:rFonts w:ascii="Arial" w:hAnsi="Arial" w:cs="Arial"/>
          <w:sz w:val="24"/>
          <w:szCs w:val="24"/>
        </w:rPr>
        <w:t xml:space="preserve">The second respondent on all the available evidence </w:t>
      </w:r>
      <w:r w:rsidR="00496F7D">
        <w:rPr>
          <w:rFonts w:ascii="Arial" w:hAnsi="Arial" w:cs="Arial"/>
          <w:sz w:val="24"/>
          <w:szCs w:val="24"/>
        </w:rPr>
        <w:t>even in the absence of her own testimony</w:t>
      </w:r>
      <w:r w:rsidR="00EA4AA7">
        <w:rPr>
          <w:rFonts w:ascii="Arial" w:hAnsi="Arial" w:cs="Arial"/>
          <w:sz w:val="24"/>
          <w:szCs w:val="24"/>
        </w:rPr>
        <w:t xml:space="preserve"> was unlawfully deprived of inter alia her right </w:t>
      </w:r>
      <w:r w:rsidR="0037680E">
        <w:rPr>
          <w:rFonts w:ascii="Arial" w:hAnsi="Arial" w:cs="Arial"/>
          <w:sz w:val="24"/>
          <w:szCs w:val="24"/>
        </w:rPr>
        <w:t>to liberty.</w:t>
      </w:r>
    </w:p>
    <w:p w14:paraId="6D774DA2" w14:textId="3EB05289" w:rsidR="00EE1C9E" w:rsidRPr="00D800C3" w:rsidRDefault="0037680E" w:rsidP="00106522">
      <w:pPr>
        <w:spacing w:after="240" w:line="36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DD2DC7">
        <w:rPr>
          <w:rFonts w:ascii="Arial" w:hAnsi="Arial" w:cs="Arial"/>
          <w:sz w:val="24"/>
          <w:szCs w:val="24"/>
        </w:rPr>
        <w:t xml:space="preserve">Taking due cognisance of all the relevant factors </w:t>
      </w:r>
      <w:r w:rsidR="001C745F">
        <w:rPr>
          <w:rFonts w:ascii="Arial" w:hAnsi="Arial" w:cs="Arial"/>
          <w:sz w:val="24"/>
          <w:szCs w:val="24"/>
        </w:rPr>
        <w:t>an amount of R50</w:t>
      </w:r>
      <w:r w:rsidR="00DE1C7F">
        <w:rPr>
          <w:rFonts w:ascii="Arial" w:hAnsi="Arial" w:cs="Arial"/>
          <w:sz w:val="24"/>
          <w:szCs w:val="24"/>
        </w:rPr>
        <w:t> </w:t>
      </w:r>
      <w:r w:rsidR="001C745F">
        <w:rPr>
          <w:rFonts w:ascii="Arial" w:hAnsi="Arial" w:cs="Arial"/>
          <w:sz w:val="24"/>
          <w:szCs w:val="24"/>
        </w:rPr>
        <w:t>000</w:t>
      </w:r>
      <w:r w:rsidR="00DE1C7F">
        <w:rPr>
          <w:rFonts w:ascii="Arial" w:hAnsi="Arial" w:cs="Arial"/>
          <w:sz w:val="24"/>
          <w:szCs w:val="24"/>
        </w:rPr>
        <w:t xml:space="preserve"> each</w:t>
      </w:r>
      <w:r w:rsidR="001C745F">
        <w:rPr>
          <w:rFonts w:ascii="Arial" w:hAnsi="Arial" w:cs="Arial"/>
          <w:sz w:val="24"/>
          <w:szCs w:val="24"/>
        </w:rPr>
        <w:t xml:space="preserve"> is considered</w:t>
      </w:r>
      <w:r w:rsidR="00CD0F1E">
        <w:rPr>
          <w:rFonts w:ascii="Arial" w:hAnsi="Arial" w:cs="Arial"/>
          <w:sz w:val="24"/>
          <w:szCs w:val="24"/>
        </w:rPr>
        <w:t xml:space="preserve"> an appropriate amount as much needed solatium </w:t>
      </w:r>
      <w:r w:rsidR="00ED2F4E">
        <w:rPr>
          <w:rFonts w:ascii="Arial" w:hAnsi="Arial" w:cs="Arial"/>
          <w:sz w:val="24"/>
          <w:szCs w:val="24"/>
        </w:rPr>
        <w:t xml:space="preserve">for their injured feelings arising </w:t>
      </w:r>
      <w:r w:rsidR="005C2DCB">
        <w:rPr>
          <w:rFonts w:ascii="Arial" w:hAnsi="Arial" w:cs="Arial"/>
          <w:sz w:val="24"/>
          <w:szCs w:val="24"/>
        </w:rPr>
        <w:t xml:space="preserve">out of their wrongful arrest and wrongful deprivation </w:t>
      </w:r>
      <w:r w:rsidR="006041C5">
        <w:rPr>
          <w:rFonts w:ascii="Arial" w:hAnsi="Arial" w:cs="Arial"/>
          <w:sz w:val="24"/>
          <w:szCs w:val="24"/>
        </w:rPr>
        <w:t>of liberty.</w:t>
      </w:r>
    </w:p>
    <w:p w14:paraId="4C358D88" w14:textId="36FCE28B" w:rsidR="00C42A67" w:rsidRPr="00270C08" w:rsidRDefault="00C42A67" w:rsidP="00C42A67">
      <w:pPr>
        <w:spacing w:after="240" w:line="360" w:lineRule="auto"/>
        <w:jc w:val="both"/>
        <w:rPr>
          <w:rFonts w:ascii="Arial" w:hAnsi="Arial" w:cs="Arial"/>
          <w:b/>
          <w:bCs/>
          <w:sz w:val="24"/>
          <w:szCs w:val="24"/>
        </w:rPr>
      </w:pPr>
      <w:r w:rsidRPr="00270C08">
        <w:rPr>
          <w:rFonts w:ascii="Arial" w:hAnsi="Arial" w:cs="Arial"/>
          <w:b/>
          <w:bCs/>
          <w:sz w:val="24"/>
          <w:szCs w:val="24"/>
        </w:rPr>
        <w:t>Costs</w:t>
      </w:r>
      <w:r w:rsidR="00D5671A" w:rsidRPr="00270C08">
        <w:rPr>
          <w:rFonts w:ascii="Arial" w:hAnsi="Arial" w:cs="Arial"/>
          <w:b/>
          <w:bCs/>
          <w:sz w:val="24"/>
          <w:szCs w:val="24"/>
        </w:rPr>
        <w:t xml:space="preserve"> of appeal</w:t>
      </w:r>
    </w:p>
    <w:p w14:paraId="47E73401" w14:textId="2F4603BA" w:rsidR="00C42A67" w:rsidRPr="00270C08" w:rsidRDefault="00106522" w:rsidP="00106522">
      <w:pPr>
        <w:spacing w:after="240" w:line="360" w:lineRule="auto"/>
        <w:jc w:val="both"/>
        <w:rPr>
          <w:rFonts w:ascii="Arial" w:hAnsi="Arial" w:cs="Arial"/>
          <w:sz w:val="24"/>
          <w:szCs w:val="24"/>
        </w:rPr>
      </w:pPr>
      <w:r>
        <w:rPr>
          <w:rFonts w:ascii="Arial" w:hAnsi="Arial" w:cs="Arial"/>
          <w:sz w:val="24"/>
          <w:szCs w:val="24"/>
        </w:rPr>
        <w:t>[5</w:t>
      </w:r>
      <w:r w:rsidR="00063025">
        <w:rPr>
          <w:rFonts w:ascii="Arial" w:hAnsi="Arial" w:cs="Arial"/>
          <w:sz w:val="24"/>
          <w:szCs w:val="24"/>
        </w:rPr>
        <w:t>2</w:t>
      </w:r>
      <w:r>
        <w:rPr>
          <w:rFonts w:ascii="Arial" w:hAnsi="Arial" w:cs="Arial"/>
          <w:sz w:val="24"/>
          <w:szCs w:val="24"/>
        </w:rPr>
        <w:t>]</w:t>
      </w:r>
      <w:r>
        <w:rPr>
          <w:rFonts w:ascii="Arial" w:hAnsi="Arial" w:cs="Arial"/>
          <w:sz w:val="24"/>
          <w:szCs w:val="24"/>
        </w:rPr>
        <w:tab/>
      </w:r>
      <w:r w:rsidR="0003253A" w:rsidRPr="00270C08">
        <w:rPr>
          <w:rFonts w:ascii="Arial" w:hAnsi="Arial" w:cs="Arial"/>
          <w:sz w:val="24"/>
          <w:szCs w:val="24"/>
        </w:rPr>
        <w:t xml:space="preserve">The appeal was against both the merits and the quantum. The respondents were successful </w:t>
      </w:r>
      <w:r w:rsidR="002F474F" w:rsidRPr="00270C08">
        <w:rPr>
          <w:rFonts w:ascii="Arial" w:hAnsi="Arial" w:cs="Arial"/>
          <w:sz w:val="24"/>
          <w:szCs w:val="24"/>
        </w:rPr>
        <w:t xml:space="preserve">in respect of merits. </w:t>
      </w:r>
      <w:r w:rsidR="00FA582A" w:rsidRPr="00270C08">
        <w:rPr>
          <w:rFonts w:ascii="Arial" w:hAnsi="Arial" w:cs="Arial"/>
          <w:sz w:val="24"/>
          <w:szCs w:val="24"/>
        </w:rPr>
        <w:t xml:space="preserve">Damages have been awarded to the respondents in an amount more than what the appellant’s counsel had proposed as an appropriate award. </w:t>
      </w:r>
      <w:r w:rsidR="00490807" w:rsidRPr="00270C08">
        <w:rPr>
          <w:rFonts w:ascii="Arial" w:hAnsi="Arial" w:cs="Arial"/>
          <w:sz w:val="24"/>
          <w:szCs w:val="24"/>
        </w:rPr>
        <w:t xml:space="preserve">In my view, the respondents have been successful in their action against the appellant. </w:t>
      </w:r>
      <w:r w:rsidR="006B67CA" w:rsidRPr="00270C08">
        <w:rPr>
          <w:rFonts w:ascii="Arial" w:hAnsi="Arial" w:cs="Arial"/>
          <w:sz w:val="24"/>
          <w:szCs w:val="24"/>
        </w:rPr>
        <w:t xml:space="preserve">The appellant was only successful in having the amount reduced, but not to the amount he had considered appropriate. </w:t>
      </w:r>
      <w:r w:rsidR="009212C2" w:rsidRPr="00270C08">
        <w:rPr>
          <w:rFonts w:ascii="Arial" w:hAnsi="Arial" w:cs="Arial"/>
          <w:sz w:val="24"/>
          <w:szCs w:val="24"/>
        </w:rPr>
        <w:t xml:space="preserve">In such circumstances, the respondents </w:t>
      </w:r>
      <w:r w:rsidR="00063025">
        <w:rPr>
          <w:rFonts w:ascii="Arial" w:hAnsi="Arial" w:cs="Arial"/>
          <w:sz w:val="24"/>
          <w:szCs w:val="24"/>
        </w:rPr>
        <w:t xml:space="preserve">were substantially </w:t>
      </w:r>
      <w:r w:rsidR="007F4390">
        <w:rPr>
          <w:rFonts w:ascii="Arial" w:hAnsi="Arial" w:cs="Arial"/>
          <w:sz w:val="24"/>
          <w:szCs w:val="24"/>
        </w:rPr>
        <w:t xml:space="preserve">successful and </w:t>
      </w:r>
      <w:r w:rsidR="009212C2" w:rsidRPr="00270C08">
        <w:rPr>
          <w:rFonts w:ascii="Arial" w:hAnsi="Arial" w:cs="Arial"/>
          <w:sz w:val="24"/>
          <w:szCs w:val="24"/>
        </w:rPr>
        <w:t>are entitled to costs of the appeal</w:t>
      </w:r>
      <w:r w:rsidR="00DE1C7F">
        <w:rPr>
          <w:rFonts w:ascii="Arial" w:hAnsi="Arial" w:cs="Arial"/>
          <w:sz w:val="24"/>
          <w:szCs w:val="24"/>
        </w:rPr>
        <w:t>.</w:t>
      </w:r>
      <w:r w:rsidR="009212C2" w:rsidRPr="00270C08">
        <w:rPr>
          <w:rFonts w:ascii="Arial" w:hAnsi="Arial" w:cs="Arial"/>
          <w:sz w:val="24"/>
          <w:szCs w:val="24"/>
        </w:rPr>
        <w:t xml:space="preserve"> </w:t>
      </w:r>
      <w:r w:rsidR="00651868">
        <w:rPr>
          <w:rFonts w:ascii="Arial" w:hAnsi="Arial" w:cs="Arial"/>
          <w:sz w:val="24"/>
          <w:szCs w:val="24"/>
        </w:rPr>
        <w:t xml:space="preserve">The </w:t>
      </w:r>
      <w:r w:rsidR="00734D22">
        <w:rPr>
          <w:rFonts w:ascii="Arial" w:hAnsi="Arial" w:cs="Arial"/>
          <w:sz w:val="24"/>
          <w:szCs w:val="24"/>
        </w:rPr>
        <w:t xml:space="preserve">costs of the appeal are accordingly awarded </w:t>
      </w:r>
      <w:r w:rsidR="009212C2" w:rsidRPr="00270C08">
        <w:rPr>
          <w:rFonts w:ascii="Arial" w:hAnsi="Arial" w:cs="Arial"/>
          <w:sz w:val="24"/>
          <w:szCs w:val="24"/>
        </w:rPr>
        <w:t xml:space="preserve">in favour of the respondents. </w:t>
      </w:r>
    </w:p>
    <w:p w14:paraId="566D5CF6" w14:textId="38DC49C2" w:rsidR="009212C2" w:rsidRPr="00270C08" w:rsidRDefault="009212C2" w:rsidP="009212C2">
      <w:pPr>
        <w:spacing w:after="240" w:line="360" w:lineRule="auto"/>
        <w:jc w:val="both"/>
        <w:rPr>
          <w:rFonts w:ascii="Arial" w:hAnsi="Arial" w:cs="Arial"/>
          <w:b/>
          <w:bCs/>
          <w:sz w:val="24"/>
          <w:szCs w:val="24"/>
        </w:rPr>
      </w:pPr>
      <w:r w:rsidRPr="00270C08">
        <w:rPr>
          <w:rFonts w:ascii="Arial" w:hAnsi="Arial" w:cs="Arial"/>
          <w:b/>
          <w:bCs/>
          <w:sz w:val="24"/>
          <w:szCs w:val="24"/>
        </w:rPr>
        <w:lastRenderedPageBreak/>
        <w:t>Conclusion</w:t>
      </w:r>
    </w:p>
    <w:p w14:paraId="0C2D590E" w14:textId="1C489D15" w:rsidR="00DB0A5F" w:rsidRDefault="00106522" w:rsidP="00106522">
      <w:pPr>
        <w:spacing w:after="240" w:line="360" w:lineRule="auto"/>
        <w:jc w:val="both"/>
        <w:rPr>
          <w:rFonts w:ascii="Arial" w:hAnsi="Arial" w:cs="Arial"/>
          <w:sz w:val="24"/>
          <w:szCs w:val="24"/>
        </w:rPr>
      </w:pPr>
      <w:r>
        <w:rPr>
          <w:rFonts w:ascii="Arial" w:hAnsi="Arial" w:cs="Arial"/>
          <w:sz w:val="24"/>
          <w:szCs w:val="24"/>
        </w:rPr>
        <w:t>[5</w:t>
      </w:r>
      <w:r w:rsidR="00063025">
        <w:rPr>
          <w:rFonts w:ascii="Arial" w:hAnsi="Arial" w:cs="Arial"/>
          <w:sz w:val="24"/>
          <w:szCs w:val="24"/>
        </w:rPr>
        <w:t>3</w:t>
      </w:r>
      <w:r>
        <w:rPr>
          <w:rFonts w:ascii="Arial" w:hAnsi="Arial" w:cs="Arial"/>
          <w:sz w:val="24"/>
          <w:szCs w:val="24"/>
        </w:rPr>
        <w:t>]</w:t>
      </w:r>
      <w:r>
        <w:rPr>
          <w:rFonts w:ascii="Arial" w:hAnsi="Arial" w:cs="Arial"/>
          <w:sz w:val="24"/>
          <w:szCs w:val="24"/>
        </w:rPr>
        <w:tab/>
      </w:r>
      <w:r w:rsidR="009924E2" w:rsidRPr="00270C08">
        <w:rPr>
          <w:rFonts w:ascii="Arial" w:hAnsi="Arial" w:cs="Arial"/>
          <w:sz w:val="24"/>
          <w:szCs w:val="24"/>
        </w:rPr>
        <w:t xml:space="preserve">The appeal is unsuccessful against the findings of unlawful arrest and detention. </w:t>
      </w:r>
    </w:p>
    <w:p w14:paraId="007B2F8D" w14:textId="40DFC200" w:rsidR="003B2010" w:rsidRPr="003B2010" w:rsidRDefault="007C7731" w:rsidP="00F26107">
      <w:pPr>
        <w:spacing w:after="240" w:line="360" w:lineRule="auto"/>
        <w:jc w:val="both"/>
        <w:rPr>
          <w:rFonts w:ascii="Arial" w:hAnsi="Arial" w:cs="Arial"/>
          <w:sz w:val="24"/>
          <w:szCs w:val="24"/>
        </w:rPr>
      </w:pPr>
      <w:r>
        <w:rPr>
          <w:rFonts w:ascii="Arial" w:hAnsi="Arial" w:cs="Arial"/>
          <w:sz w:val="24"/>
          <w:szCs w:val="24"/>
        </w:rPr>
        <w:t>[5</w:t>
      </w:r>
      <w:r w:rsidR="0071074E">
        <w:rPr>
          <w:rFonts w:ascii="Arial" w:hAnsi="Arial" w:cs="Arial"/>
          <w:sz w:val="24"/>
          <w:szCs w:val="24"/>
        </w:rPr>
        <w:t>4</w:t>
      </w:r>
      <w:r>
        <w:rPr>
          <w:rFonts w:ascii="Arial" w:hAnsi="Arial" w:cs="Arial"/>
          <w:sz w:val="24"/>
          <w:szCs w:val="24"/>
        </w:rPr>
        <w:t>]</w:t>
      </w:r>
      <w:r>
        <w:rPr>
          <w:rFonts w:ascii="Arial" w:hAnsi="Arial" w:cs="Arial"/>
          <w:sz w:val="24"/>
          <w:szCs w:val="24"/>
        </w:rPr>
        <w:tab/>
      </w:r>
      <w:r w:rsidR="009924E2" w:rsidRPr="00270C08">
        <w:rPr>
          <w:rFonts w:ascii="Arial" w:hAnsi="Arial" w:cs="Arial"/>
          <w:sz w:val="24"/>
          <w:szCs w:val="24"/>
        </w:rPr>
        <w:t>The appeal is only successful to the extent that the award of damages for the unlawful arrest and detention would be reduced from the award of R80 000 to an amount of R</w:t>
      </w:r>
      <w:r w:rsidR="00DB0A5F">
        <w:rPr>
          <w:rFonts w:ascii="Arial" w:hAnsi="Arial" w:cs="Arial"/>
          <w:sz w:val="24"/>
          <w:szCs w:val="24"/>
        </w:rPr>
        <w:t>5</w:t>
      </w:r>
      <w:r w:rsidR="009924E2" w:rsidRPr="00270C08">
        <w:rPr>
          <w:rFonts w:ascii="Arial" w:hAnsi="Arial" w:cs="Arial"/>
          <w:sz w:val="24"/>
          <w:szCs w:val="24"/>
        </w:rPr>
        <w:t>0</w:t>
      </w:r>
      <w:r w:rsidR="00DB0A5F">
        <w:rPr>
          <w:rFonts w:ascii="Arial" w:hAnsi="Arial" w:cs="Arial"/>
          <w:sz w:val="24"/>
          <w:szCs w:val="24"/>
        </w:rPr>
        <w:t> </w:t>
      </w:r>
      <w:r w:rsidR="009924E2" w:rsidRPr="00270C08">
        <w:rPr>
          <w:rFonts w:ascii="Arial" w:hAnsi="Arial" w:cs="Arial"/>
          <w:sz w:val="24"/>
          <w:szCs w:val="24"/>
        </w:rPr>
        <w:t xml:space="preserve">000. </w:t>
      </w:r>
      <w:r w:rsidR="008A25B4" w:rsidRPr="00270C08">
        <w:rPr>
          <w:rFonts w:ascii="Arial" w:hAnsi="Arial" w:cs="Arial"/>
          <w:sz w:val="24"/>
          <w:szCs w:val="24"/>
        </w:rPr>
        <w:t xml:space="preserve">For the reason that the appeal is successful </w:t>
      </w:r>
      <w:r w:rsidR="00706916">
        <w:rPr>
          <w:rFonts w:ascii="Arial" w:hAnsi="Arial" w:cs="Arial"/>
          <w:sz w:val="24"/>
          <w:szCs w:val="24"/>
        </w:rPr>
        <w:t xml:space="preserve">only </w:t>
      </w:r>
      <w:r w:rsidR="008A25B4" w:rsidRPr="00270C08">
        <w:rPr>
          <w:rFonts w:ascii="Arial" w:hAnsi="Arial" w:cs="Arial"/>
          <w:sz w:val="24"/>
          <w:szCs w:val="24"/>
        </w:rPr>
        <w:t xml:space="preserve">to a </w:t>
      </w:r>
      <w:r w:rsidR="00706916">
        <w:rPr>
          <w:rFonts w:ascii="Arial" w:hAnsi="Arial" w:cs="Arial"/>
          <w:sz w:val="24"/>
          <w:szCs w:val="24"/>
        </w:rPr>
        <w:t xml:space="preserve">very </w:t>
      </w:r>
      <w:r w:rsidR="008A25B4" w:rsidRPr="00270C08">
        <w:rPr>
          <w:rFonts w:ascii="Arial" w:hAnsi="Arial" w:cs="Arial"/>
          <w:sz w:val="24"/>
          <w:szCs w:val="24"/>
        </w:rPr>
        <w:t xml:space="preserve">limited extent, the costs of the appeal </w:t>
      </w:r>
      <w:r>
        <w:rPr>
          <w:rFonts w:ascii="Arial" w:hAnsi="Arial" w:cs="Arial"/>
          <w:sz w:val="24"/>
          <w:szCs w:val="24"/>
        </w:rPr>
        <w:t xml:space="preserve">is </w:t>
      </w:r>
      <w:r w:rsidRPr="00270C08">
        <w:rPr>
          <w:rFonts w:ascii="Arial" w:hAnsi="Arial" w:cs="Arial"/>
          <w:sz w:val="24"/>
          <w:szCs w:val="24"/>
        </w:rPr>
        <w:t>awarded</w:t>
      </w:r>
      <w:r w:rsidR="008A25B4" w:rsidRPr="00270C08">
        <w:rPr>
          <w:rFonts w:ascii="Arial" w:hAnsi="Arial" w:cs="Arial"/>
          <w:sz w:val="24"/>
          <w:szCs w:val="24"/>
        </w:rPr>
        <w:t xml:space="preserve"> in favour of the respondents. </w:t>
      </w:r>
      <w:r w:rsidR="00ED62AC">
        <w:rPr>
          <w:rFonts w:ascii="Arial" w:hAnsi="Arial" w:cs="Arial"/>
          <w:sz w:val="24"/>
          <w:szCs w:val="24"/>
        </w:rPr>
        <w:t>Whilst the arrest was unlawful</w:t>
      </w:r>
      <w:r w:rsidR="00651868">
        <w:rPr>
          <w:rFonts w:ascii="Arial" w:hAnsi="Arial" w:cs="Arial"/>
          <w:sz w:val="24"/>
          <w:szCs w:val="24"/>
        </w:rPr>
        <w:t xml:space="preserve"> due</w:t>
      </w:r>
      <w:r w:rsidR="00420160">
        <w:rPr>
          <w:rFonts w:ascii="Arial" w:hAnsi="Arial" w:cs="Arial"/>
          <w:sz w:val="24"/>
          <w:szCs w:val="24"/>
        </w:rPr>
        <w:t xml:space="preserve"> </w:t>
      </w:r>
      <w:r w:rsidR="00651868">
        <w:rPr>
          <w:rFonts w:ascii="Arial" w:hAnsi="Arial" w:cs="Arial"/>
          <w:sz w:val="24"/>
          <w:szCs w:val="24"/>
        </w:rPr>
        <w:t xml:space="preserve">to their failure </w:t>
      </w:r>
      <w:r w:rsidR="00420160">
        <w:rPr>
          <w:rFonts w:ascii="Arial" w:hAnsi="Arial" w:cs="Arial"/>
          <w:sz w:val="24"/>
          <w:szCs w:val="24"/>
        </w:rPr>
        <w:t>to properly investigate prior to arresting and detention</w:t>
      </w:r>
      <w:r w:rsidR="00ED62AC">
        <w:rPr>
          <w:rFonts w:ascii="Arial" w:hAnsi="Arial" w:cs="Arial"/>
          <w:sz w:val="24"/>
          <w:szCs w:val="24"/>
        </w:rPr>
        <w:t>, I must point out that the police had acted expeditiously in this particular case. The incident took place at midnight. The police reaction is highly commendable and appreciated</w:t>
      </w:r>
      <w:r w:rsidR="00D524F4">
        <w:rPr>
          <w:rFonts w:ascii="Arial" w:hAnsi="Arial" w:cs="Arial"/>
          <w:sz w:val="24"/>
          <w:szCs w:val="24"/>
        </w:rPr>
        <w:t xml:space="preserve"> as pointed out by the magistrate as well</w:t>
      </w:r>
      <w:r w:rsidR="004453CE">
        <w:rPr>
          <w:rFonts w:ascii="Arial" w:hAnsi="Arial" w:cs="Arial"/>
          <w:sz w:val="24"/>
          <w:szCs w:val="24"/>
        </w:rPr>
        <w:t>.</w:t>
      </w:r>
    </w:p>
    <w:p w14:paraId="181530AA" w14:textId="0D60CC9D" w:rsidR="003B2010" w:rsidRPr="00270C08" w:rsidRDefault="00F26107" w:rsidP="00F26107">
      <w:pPr>
        <w:spacing w:after="240" w:line="360" w:lineRule="auto"/>
        <w:jc w:val="both"/>
        <w:rPr>
          <w:rFonts w:ascii="Arial" w:hAnsi="Arial" w:cs="Arial"/>
          <w:b/>
          <w:bCs/>
          <w:sz w:val="24"/>
          <w:szCs w:val="24"/>
        </w:rPr>
      </w:pPr>
      <w:r w:rsidRPr="00270C08">
        <w:rPr>
          <w:rFonts w:ascii="Arial" w:hAnsi="Arial" w:cs="Arial"/>
          <w:b/>
          <w:bCs/>
          <w:sz w:val="24"/>
          <w:szCs w:val="24"/>
        </w:rPr>
        <w:t>Order</w:t>
      </w:r>
    </w:p>
    <w:p w14:paraId="3AC57029" w14:textId="3CEFA85F" w:rsidR="003D6EC9" w:rsidRPr="00270C08" w:rsidRDefault="007C7731" w:rsidP="007C7731">
      <w:pPr>
        <w:spacing w:after="240" w:line="360" w:lineRule="auto"/>
        <w:jc w:val="both"/>
        <w:rPr>
          <w:rFonts w:ascii="Arial" w:hAnsi="Arial" w:cs="Arial"/>
          <w:sz w:val="24"/>
          <w:szCs w:val="24"/>
        </w:rPr>
      </w:pPr>
      <w:r>
        <w:rPr>
          <w:rFonts w:ascii="Arial" w:hAnsi="Arial" w:cs="Arial"/>
          <w:sz w:val="24"/>
          <w:szCs w:val="24"/>
        </w:rPr>
        <w:t>[5</w:t>
      </w:r>
      <w:r w:rsidR="003035F9">
        <w:rPr>
          <w:rFonts w:ascii="Arial" w:hAnsi="Arial" w:cs="Arial"/>
          <w:sz w:val="24"/>
          <w:szCs w:val="24"/>
        </w:rPr>
        <w:t>5</w:t>
      </w:r>
      <w:r>
        <w:rPr>
          <w:rFonts w:ascii="Arial" w:hAnsi="Arial" w:cs="Arial"/>
          <w:sz w:val="24"/>
          <w:szCs w:val="24"/>
        </w:rPr>
        <w:t>]</w:t>
      </w:r>
      <w:r>
        <w:rPr>
          <w:rFonts w:ascii="Arial" w:hAnsi="Arial" w:cs="Arial"/>
          <w:sz w:val="24"/>
          <w:szCs w:val="24"/>
        </w:rPr>
        <w:tab/>
      </w:r>
      <w:r w:rsidR="00F26107" w:rsidRPr="00270C08">
        <w:rPr>
          <w:rFonts w:ascii="Arial" w:hAnsi="Arial" w:cs="Arial"/>
          <w:sz w:val="24"/>
          <w:szCs w:val="24"/>
        </w:rPr>
        <w:t>In the result</w:t>
      </w:r>
      <w:r w:rsidR="003035F9">
        <w:rPr>
          <w:rFonts w:ascii="Arial" w:hAnsi="Arial" w:cs="Arial"/>
          <w:sz w:val="24"/>
          <w:szCs w:val="24"/>
        </w:rPr>
        <w:t xml:space="preserve"> </w:t>
      </w:r>
      <w:r w:rsidR="00F26107" w:rsidRPr="00270C08">
        <w:rPr>
          <w:rFonts w:ascii="Arial" w:hAnsi="Arial" w:cs="Arial"/>
          <w:sz w:val="24"/>
          <w:szCs w:val="24"/>
        </w:rPr>
        <w:t xml:space="preserve">the following order </w:t>
      </w:r>
      <w:r w:rsidR="003035F9">
        <w:rPr>
          <w:rFonts w:ascii="Arial" w:hAnsi="Arial" w:cs="Arial"/>
          <w:sz w:val="24"/>
          <w:szCs w:val="24"/>
        </w:rPr>
        <w:t xml:space="preserve">is made: </w:t>
      </w:r>
      <w:r w:rsidR="00F26107" w:rsidRPr="00270C08">
        <w:rPr>
          <w:rFonts w:ascii="Arial" w:hAnsi="Arial" w:cs="Arial"/>
          <w:sz w:val="24"/>
          <w:szCs w:val="24"/>
        </w:rPr>
        <w:t>–</w:t>
      </w:r>
    </w:p>
    <w:p w14:paraId="30BEF529" w14:textId="1039CE96" w:rsidR="00805EE6" w:rsidRPr="00805EE6" w:rsidRDefault="00CA0C2E" w:rsidP="00CA0C2E">
      <w:pPr>
        <w:spacing w:after="240" w:line="360" w:lineRule="auto"/>
        <w:ind w:left="1440" w:hanging="720"/>
      </w:pPr>
      <w:r w:rsidRPr="00805EE6">
        <w:rPr>
          <w:rFonts w:ascii="Arial" w:eastAsiaTheme="minorEastAsia" w:hAnsi="Arial" w:cs="Arial"/>
          <w:sz w:val="24"/>
          <w:szCs w:val="24"/>
          <w:lang w:val="en-GB" w:eastAsia="en-GB"/>
        </w:rPr>
        <w:t>(i)</w:t>
      </w:r>
      <w:r w:rsidRPr="00805EE6">
        <w:rPr>
          <w:rFonts w:ascii="Arial" w:eastAsiaTheme="minorEastAsia" w:hAnsi="Arial" w:cs="Arial"/>
          <w:sz w:val="24"/>
          <w:szCs w:val="24"/>
          <w:lang w:val="en-GB" w:eastAsia="en-GB"/>
        </w:rPr>
        <w:tab/>
      </w:r>
      <w:r w:rsidR="00EB1872" w:rsidRPr="00805EE6">
        <w:t xml:space="preserve">The findings of the magistrate that the arrest and detention of </w:t>
      </w:r>
      <w:r w:rsidR="003B1E05" w:rsidRPr="00805EE6">
        <w:t xml:space="preserve">the </w:t>
      </w:r>
      <w:r w:rsidR="00BE6B16">
        <w:t xml:space="preserve">first and second </w:t>
      </w:r>
      <w:r w:rsidR="009C56ED">
        <w:t xml:space="preserve">plaintiff </w:t>
      </w:r>
      <w:r w:rsidR="009C56ED" w:rsidRPr="00805EE6">
        <w:t>were</w:t>
      </w:r>
      <w:r w:rsidR="00BE6B16">
        <w:t xml:space="preserve"> </w:t>
      </w:r>
      <w:r w:rsidR="009C56ED">
        <w:t xml:space="preserve">wrongful and </w:t>
      </w:r>
      <w:r w:rsidR="009C56ED" w:rsidRPr="00805EE6">
        <w:t>unlawful</w:t>
      </w:r>
      <w:r w:rsidR="003B1E05" w:rsidRPr="00805EE6">
        <w:t xml:space="preserve"> is confirmed</w:t>
      </w:r>
      <w:r w:rsidR="00805EE6" w:rsidRPr="00805EE6">
        <w:t>.</w:t>
      </w:r>
    </w:p>
    <w:p w14:paraId="1CA36822" w14:textId="7DDBF267" w:rsidR="00F26107" w:rsidRPr="00805EE6" w:rsidRDefault="00CA0C2E" w:rsidP="00CA0C2E">
      <w:pPr>
        <w:spacing w:after="240" w:line="360" w:lineRule="auto"/>
        <w:ind w:left="1440" w:hanging="720"/>
      </w:pPr>
      <w:r w:rsidRPr="00805EE6">
        <w:rPr>
          <w:rFonts w:ascii="Arial" w:eastAsiaTheme="minorEastAsia" w:hAnsi="Arial" w:cs="Arial"/>
          <w:sz w:val="24"/>
          <w:szCs w:val="24"/>
          <w:lang w:val="en-GB" w:eastAsia="en-GB"/>
        </w:rPr>
        <w:t>(ii)</w:t>
      </w:r>
      <w:r w:rsidRPr="00805EE6">
        <w:rPr>
          <w:rFonts w:ascii="Arial" w:eastAsiaTheme="minorEastAsia" w:hAnsi="Arial" w:cs="Arial"/>
          <w:sz w:val="24"/>
          <w:szCs w:val="24"/>
          <w:lang w:val="en-GB" w:eastAsia="en-GB"/>
        </w:rPr>
        <w:tab/>
      </w:r>
      <w:r w:rsidR="00F26107" w:rsidRPr="00805EE6">
        <w:t>The order of the Magistrate</w:t>
      </w:r>
      <w:r w:rsidR="005F40D0">
        <w:t xml:space="preserve"> in respect of qu</w:t>
      </w:r>
      <w:r w:rsidR="00341B64">
        <w:t>a</w:t>
      </w:r>
      <w:r w:rsidR="005F40D0">
        <w:t>ntum</w:t>
      </w:r>
      <w:r w:rsidR="00F26107" w:rsidRPr="00805EE6">
        <w:t xml:space="preserve"> is set aside and replaced with the following order–</w:t>
      </w:r>
    </w:p>
    <w:p w14:paraId="642B075E" w14:textId="26C962F1" w:rsidR="00F26107" w:rsidRPr="00740D21" w:rsidRDefault="00F26107" w:rsidP="00A470F3">
      <w:pPr>
        <w:spacing w:after="240" w:line="360" w:lineRule="auto"/>
        <w:ind w:left="2160" w:hanging="720"/>
        <w:jc w:val="both"/>
        <w:rPr>
          <w:rFonts w:ascii="Arial" w:hAnsi="Arial" w:cs="Arial"/>
          <w:b/>
          <w:bCs/>
          <w:sz w:val="24"/>
          <w:szCs w:val="24"/>
        </w:rPr>
      </w:pPr>
      <w:r w:rsidRPr="00270C08">
        <w:rPr>
          <w:rFonts w:ascii="Arial" w:hAnsi="Arial" w:cs="Arial"/>
          <w:sz w:val="24"/>
          <w:szCs w:val="24"/>
        </w:rPr>
        <w:t>(</w:t>
      </w:r>
      <w:r w:rsidRPr="00740D21">
        <w:rPr>
          <w:rFonts w:ascii="Arial" w:hAnsi="Arial" w:cs="Arial"/>
          <w:b/>
          <w:bCs/>
          <w:sz w:val="24"/>
          <w:szCs w:val="24"/>
        </w:rPr>
        <w:t>a)</w:t>
      </w:r>
      <w:r w:rsidRPr="00740D21">
        <w:rPr>
          <w:rFonts w:ascii="Arial" w:hAnsi="Arial" w:cs="Arial"/>
          <w:b/>
          <w:bCs/>
          <w:sz w:val="24"/>
          <w:szCs w:val="24"/>
        </w:rPr>
        <w:tab/>
        <w:t xml:space="preserve">The defendant is directed to pay </w:t>
      </w:r>
      <w:r w:rsidR="0086045D" w:rsidRPr="00740D21">
        <w:rPr>
          <w:rFonts w:ascii="Arial" w:hAnsi="Arial" w:cs="Arial"/>
          <w:b/>
          <w:bCs/>
          <w:sz w:val="24"/>
          <w:szCs w:val="24"/>
        </w:rPr>
        <w:t xml:space="preserve">to </w:t>
      </w:r>
      <w:r w:rsidR="002F5424" w:rsidRPr="00740D21">
        <w:rPr>
          <w:rFonts w:ascii="Arial" w:hAnsi="Arial" w:cs="Arial"/>
          <w:b/>
          <w:bCs/>
          <w:sz w:val="24"/>
          <w:szCs w:val="24"/>
        </w:rPr>
        <w:t xml:space="preserve">the first and second </w:t>
      </w:r>
      <w:r w:rsidRPr="00740D21">
        <w:rPr>
          <w:rFonts w:ascii="Arial" w:hAnsi="Arial" w:cs="Arial"/>
          <w:b/>
          <w:bCs/>
          <w:sz w:val="24"/>
          <w:szCs w:val="24"/>
        </w:rPr>
        <w:t>plaintiffs the sum of R</w:t>
      </w:r>
      <w:r w:rsidR="00C53AC3" w:rsidRPr="00740D21">
        <w:rPr>
          <w:rFonts w:ascii="Arial" w:hAnsi="Arial" w:cs="Arial"/>
          <w:b/>
          <w:bCs/>
          <w:sz w:val="24"/>
          <w:szCs w:val="24"/>
        </w:rPr>
        <w:t>5</w:t>
      </w:r>
      <w:r w:rsidRPr="00740D21">
        <w:rPr>
          <w:rFonts w:ascii="Arial" w:hAnsi="Arial" w:cs="Arial"/>
          <w:b/>
          <w:bCs/>
          <w:sz w:val="24"/>
          <w:szCs w:val="24"/>
        </w:rPr>
        <w:t>0</w:t>
      </w:r>
      <w:r w:rsidR="0086045D" w:rsidRPr="00740D21">
        <w:rPr>
          <w:rFonts w:ascii="Arial" w:hAnsi="Arial" w:cs="Arial"/>
          <w:b/>
          <w:bCs/>
          <w:sz w:val="24"/>
          <w:szCs w:val="24"/>
        </w:rPr>
        <w:t> </w:t>
      </w:r>
      <w:r w:rsidRPr="00740D21">
        <w:rPr>
          <w:rFonts w:ascii="Arial" w:hAnsi="Arial" w:cs="Arial"/>
          <w:b/>
          <w:bCs/>
          <w:sz w:val="24"/>
          <w:szCs w:val="24"/>
        </w:rPr>
        <w:t>000</w:t>
      </w:r>
      <w:r w:rsidR="0086045D" w:rsidRPr="00740D21">
        <w:rPr>
          <w:rFonts w:ascii="Arial" w:hAnsi="Arial" w:cs="Arial"/>
          <w:b/>
          <w:bCs/>
          <w:sz w:val="24"/>
          <w:szCs w:val="24"/>
        </w:rPr>
        <w:t xml:space="preserve"> each</w:t>
      </w:r>
      <w:r w:rsidRPr="00740D21">
        <w:rPr>
          <w:rFonts w:ascii="Arial" w:hAnsi="Arial" w:cs="Arial"/>
          <w:b/>
          <w:bCs/>
          <w:sz w:val="24"/>
          <w:szCs w:val="24"/>
        </w:rPr>
        <w:t xml:space="preserve">, arising out of their unlawful arrest and detention </w:t>
      </w:r>
      <w:r w:rsidR="00E749A5" w:rsidRPr="00740D21">
        <w:rPr>
          <w:rFonts w:ascii="Arial" w:hAnsi="Arial" w:cs="Arial"/>
          <w:b/>
          <w:bCs/>
          <w:sz w:val="24"/>
          <w:szCs w:val="24"/>
        </w:rPr>
        <w:t xml:space="preserve">from the early hours </w:t>
      </w:r>
      <w:r w:rsidR="003816BE" w:rsidRPr="00740D21">
        <w:rPr>
          <w:rFonts w:ascii="Arial" w:hAnsi="Arial" w:cs="Arial"/>
          <w:b/>
          <w:bCs/>
          <w:sz w:val="24"/>
          <w:szCs w:val="24"/>
        </w:rPr>
        <w:t xml:space="preserve">of </w:t>
      </w:r>
      <w:r w:rsidR="00EC2F57" w:rsidRPr="00740D21">
        <w:rPr>
          <w:rFonts w:ascii="Arial" w:hAnsi="Arial" w:cs="Arial"/>
          <w:b/>
          <w:bCs/>
          <w:sz w:val="24"/>
          <w:szCs w:val="24"/>
        </w:rPr>
        <w:t>the 3</w:t>
      </w:r>
      <w:r w:rsidRPr="00740D21">
        <w:rPr>
          <w:rFonts w:ascii="Arial" w:hAnsi="Arial" w:cs="Arial"/>
          <w:b/>
          <w:bCs/>
          <w:sz w:val="24"/>
          <w:szCs w:val="24"/>
        </w:rPr>
        <w:t xml:space="preserve"> July 2017 to 4 July 2017</w:t>
      </w:r>
      <w:r w:rsidR="0086045D" w:rsidRPr="00740D21">
        <w:rPr>
          <w:rFonts w:ascii="Arial" w:hAnsi="Arial" w:cs="Arial"/>
          <w:b/>
          <w:bCs/>
          <w:sz w:val="24"/>
          <w:szCs w:val="24"/>
        </w:rPr>
        <w:t>,</w:t>
      </w:r>
      <w:r w:rsidR="00671865" w:rsidRPr="00740D21">
        <w:rPr>
          <w:rFonts w:ascii="Arial" w:hAnsi="Arial" w:cs="Arial"/>
          <w:b/>
          <w:bCs/>
          <w:sz w:val="24"/>
          <w:szCs w:val="24"/>
        </w:rPr>
        <w:t xml:space="preserve"> for a period of approximately 36 hours.</w:t>
      </w:r>
    </w:p>
    <w:p w14:paraId="2883DF09" w14:textId="469A7D61" w:rsidR="00F26107" w:rsidRPr="00740D21" w:rsidRDefault="00F26107" w:rsidP="00A470F3">
      <w:pPr>
        <w:spacing w:after="240" w:line="360" w:lineRule="auto"/>
        <w:ind w:left="2160" w:hanging="720"/>
        <w:jc w:val="both"/>
        <w:rPr>
          <w:rFonts w:ascii="Arial" w:hAnsi="Arial" w:cs="Arial"/>
          <w:b/>
          <w:bCs/>
          <w:sz w:val="24"/>
          <w:szCs w:val="24"/>
        </w:rPr>
      </w:pPr>
      <w:r w:rsidRPr="00740D21">
        <w:rPr>
          <w:rFonts w:ascii="Arial" w:hAnsi="Arial" w:cs="Arial"/>
          <w:b/>
          <w:bCs/>
          <w:sz w:val="24"/>
          <w:szCs w:val="24"/>
        </w:rPr>
        <w:t>(b)</w:t>
      </w:r>
      <w:r w:rsidRPr="00740D21">
        <w:rPr>
          <w:rFonts w:ascii="Arial" w:hAnsi="Arial" w:cs="Arial"/>
          <w:b/>
          <w:bCs/>
          <w:sz w:val="24"/>
          <w:szCs w:val="24"/>
        </w:rPr>
        <w:tab/>
        <w:t xml:space="preserve">The defendant is directed to pay interest on the aforesaid amount at the legal rate from the date of the judgment to date of </w:t>
      </w:r>
      <w:r w:rsidR="00EC2F57" w:rsidRPr="00740D21">
        <w:rPr>
          <w:rFonts w:ascii="Arial" w:hAnsi="Arial" w:cs="Arial"/>
          <w:b/>
          <w:bCs/>
          <w:sz w:val="24"/>
          <w:szCs w:val="24"/>
        </w:rPr>
        <w:t>payment.</w:t>
      </w:r>
    </w:p>
    <w:p w14:paraId="69555751" w14:textId="44BD1346" w:rsidR="00F26107" w:rsidRPr="00740D21" w:rsidRDefault="00F26107" w:rsidP="00A470F3">
      <w:pPr>
        <w:spacing w:after="240" w:line="360" w:lineRule="auto"/>
        <w:ind w:left="2160" w:hanging="720"/>
        <w:jc w:val="both"/>
        <w:rPr>
          <w:rFonts w:ascii="Arial" w:hAnsi="Arial" w:cs="Arial"/>
          <w:b/>
          <w:bCs/>
          <w:sz w:val="24"/>
          <w:szCs w:val="24"/>
        </w:rPr>
      </w:pPr>
      <w:r w:rsidRPr="00740D21">
        <w:rPr>
          <w:rFonts w:ascii="Arial" w:hAnsi="Arial" w:cs="Arial"/>
          <w:b/>
          <w:bCs/>
          <w:sz w:val="24"/>
          <w:szCs w:val="24"/>
        </w:rPr>
        <w:t>(c)</w:t>
      </w:r>
      <w:r w:rsidRPr="00740D21">
        <w:rPr>
          <w:rFonts w:ascii="Arial" w:hAnsi="Arial" w:cs="Arial"/>
          <w:b/>
          <w:bCs/>
          <w:sz w:val="24"/>
          <w:szCs w:val="24"/>
        </w:rPr>
        <w:tab/>
        <w:t xml:space="preserve">The defendant is to pay the plaintiffs’ costs of suit, including counsel’s fees not more than 3 (three) times the tariff of the Magistrate’s </w:t>
      </w:r>
      <w:r w:rsidR="00EC2F57" w:rsidRPr="00740D21">
        <w:rPr>
          <w:rFonts w:ascii="Arial" w:hAnsi="Arial" w:cs="Arial"/>
          <w:b/>
          <w:bCs/>
          <w:sz w:val="24"/>
          <w:szCs w:val="24"/>
        </w:rPr>
        <w:t>Court.</w:t>
      </w:r>
    </w:p>
    <w:p w14:paraId="4377C733" w14:textId="0205403A" w:rsidR="00F26107" w:rsidRPr="00270C08" w:rsidRDefault="00AB1DBD" w:rsidP="00D22ECB">
      <w:pPr>
        <w:spacing w:after="240" w:line="360" w:lineRule="auto"/>
        <w:ind w:firstLine="720"/>
        <w:jc w:val="both"/>
        <w:rPr>
          <w:rFonts w:ascii="Arial" w:hAnsi="Arial" w:cs="Arial"/>
          <w:sz w:val="24"/>
          <w:szCs w:val="24"/>
        </w:rPr>
      </w:pPr>
      <w:r>
        <w:rPr>
          <w:rFonts w:ascii="Arial" w:hAnsi="Arial" w:cs="Arial"/>
          <w:sz w:val="24"/>
          <w:szCs w:val="24"/>
        </w:rPr>
        <w:lastRenderedPageBreak/>
        <w:t>(iii)</w:t>
      </w:r>
      <w:r>
        <w:rPr>
          <w:rFonts w:ascii="Arial" w:hAnsi="Arial" w:cs="Arial"/>
          <w:sz w:val="24"/>
          <w:szCs w:val="24"/>
        </w:rPr>
        <w:tab/>
      </w:r>
      <w:r w:rsidR="00F26107" w:rsidRPr="00270C08">
        <w:rPr>
          <w:rFonts w:ascii="Arial" w:hAnsi="Arial" w:cs="Arial"/>
          <w:sz w:val="24"/>
          <w:szCs w:val="24"/>
        </w:rPr>
        <w:t>The appellant is directed to pay the costs of the appeal.</w:t>
      </w:r>
    </w:p>
    <w:p w14:paraId="00B9F7EC" w14:textId="77777777" w:rsidR="00AA4CCA" w:rsidRPr="00270C08" w:rsidRDefault="00AA4CCA" w:rsidP="00DE08B0">
      <w:pPr>
        <w:spacing w:after="0" w:line="360" w:lineRule="auto"/>
        <w:jc w:val="both"/>
        <w:rPr>
          <w:rFonts w:ascii="Arial" w:hAnsi="Arial" w:cs="Arial"/>
          <w:sz w:val="24"/>
          <w:szCs w:val="24"/>
        </w:rPr>
      </w:pPr>
    </w:p>
    <w:p w14:paraId="7968D832" w14:textId="653DED8F" w:rsidR="00EA5735" w:rsidRPr="00270C08" w:rsidRDefault="00EA5735" w:rsidP="00DE08B0">
      <w:pPr>
        <w:spacing w:after="0" w:line="360" w:lineRule="auto"/>
        <w:jc w:val="both"/>
        <w:rPr>
          <w:rFonts w:ascii="Arial" w:hAnsi="Arial" w:cs="Arial"/>
          <w:sz w:val="24"/>
          <w:szCs w:val="24"/>
        </w:rPr>
      </w:pPr>
      <w:r w:rsidRPr="00270C08">
        <w:rPr>
          <w:rFonts w:ascii="Arial" w:hAnsi="Arial" w:cs="Arial"/>
          <w:sz w:val="24"/>
          <w:szCs w:val="24"/>
        </w:rPr>
        <w:t>_______________________</w:t>
      </w:r>
    </w:p>
    <w:p w14:paraId="463AF099" w14:textId="77777777" w:rsidR="00EA5735" w:rsidRPr="00270C08" w:rsidRDefault="00EA5735">
      <w:pPr>
        <w:spacing w:after="0" w:line="360" w:lineRule="auto"/>
        <w:rPr>
          <w:rFonts w:ascii="Arial" w:hAnsi="Arial" w:cs="Arial"/>
          <w:b/>
          <w:bCs/>
          <w:sz w:val="24"/>
          <w:szCs w:val="24"/>
        </w:rPr>
      </w:pPr>
      <w:r w:rsidRPr="00270C08">
        <w:rPr>
          <w:rFonts w:ascii="Arial" w:hAnsi="Arial" w:cs="Arial"/>
          <w:b/>
          <w:bCs/>
          <w:sz w:val="24"/>
          <w:szCs w:val="24"/>
        </w:rPr>
        <w:t>M NOTYESI</w:t>
      </w:r>
    </w:p>
    <w:p w14:paraId="5E2CFB51" w14:textId="3C463AC2" w:rsidR="006963EC" w:rsidRPr="00270C08" w:rsidRDefault="00EA5735">
      <w:pPr>
        <w:spacing w:after="0" w:line="360" w:lineRule="auto"/>
        <w:rPr>
          <w:rFonts w:ascii="Arial" w:hAnsi="Arial" w:cs="Arial"/>
          <w:b/>
          <w:bCs/>
          <w:sz w:val="24"/>
          <w:szCs w:val="24"/>
        </w:rPr>
      </w:pPr>
      <w:r w:rsidRPr="00270C08">
        <w:rPr>
          <w:rFonts w:ascii="Arial" w:hAnsi="Arial" w:cs="Arial"/>
          <w:b/>
          <w:bCs/>
          <w:sz w:val="24"/>
          <w:szCs w:val="24"/>
        </w:rPr>
        <w:t>ACTING JUDGE OF THE HIGH COURT</w:t>
      </w:r>
    </w:p>
    <w:p w14:paraId="77BD1A1C" w14:textId="77777777" w:rsidR="001B05AB" w:rsidRPr="00270C08" w:rsidRDefault="001B05AB">
      <w:pPr>
        <w:spacing w:after="0" w:line="360" w:lineRule="auto"/>
        <w:rPr>
          <w:rFonts w:ascii="Arial" w:hAnsi="Arial" w:cs="Arial"/>
          <w:sz w:val="24"/>
          <w:szCs w:val="24"/>
        </w:rPr>
      </w:pPr>
    </w:p>
    <w:p w14:paraId="612EAC82" w14:textId="77777777" w:rsidR="00DD1675" w:rsidRPr="00270C08" w:rsidRDefault="00DD1675">
      <w:pPr>
        <w:spacing w:after="0" w:line="360" w:lineRule="auto"/>
        <w:rPr>
          <w:rFonts w:ascii="Arial" w:hAnsi="Arial" w:cs="Arial"/>
          <w:sz w:val="24"/>
          <w:szCs w:val="24"/>
        </w:rPr>
      </w:pPr>
    </w:p>
    <w:p w14:paraId="25FCE04A" w14:textId="1515BDF3" w:rsidR="00F26107" w:rsidRPr="00270C08" w:rsidRDefault="00F26107">
      <w:pPr>
        <w:spacing w:after="0" w:line="360" w:lineRule="auto"/>
        <w:rPr>
          <w:rFonts w:ascii="Arial" w:hAnsi="Arial" w:cs="Arial"/>
          <w:sz w:val="24"/>
          <w:szCs w:val="24"/>
        </w:rPr>
      </w:pPr>
      <w:r w:rsidRPr="00270C08">
        <w:rPr>
          <w:rFonts w:ascii="Arial" w:hAnsi="Arial" w:cs="Arial"/>
          <w:sz w:val="24"/>
          <w:szCs w:val="24"/>
        </w:rPr>
        <w:t xml:space="preserve">I </w:t>
      </w:r>
      <w:r w:rsidR="00EC2F57" w:rsidRPr="00270C08">
        <w:rPr>
          <w:rFonts w:ascii="Arial" w:hAnsi="Arial" w:cs="Arial"/>
          <w:sz w:val="24"/>
          <w:szCs w:val="24"/>
        </w:rPr>
        <w:t>agree.</w:t>
      </w:r>
    </w:p>
    <w:p w14:paraId="252A3D99" w14:textId="77777777" w:rsidR="00F26107" w:rsidRPr="00270C08" w:rsidRDefault="00F26107">
      <w:pPr>
        <w:spacing w:after="0" w:line="360" w:lineRule="auto"/>
        <w:rPr>
          <w:rFonts w:ascii="Arial" w:hAnsi="Arial" w:cs="Arial"/>
          <w:b/>
          <w:bCs/>
          <w:sz w:val="24"/>
          <w:szCs w:val="24"/>
        </w:rPr>
      </w:pPr>
    </w:p>
    <w:p w14:paraId="32D530FE" w14:textId="2ACF7DF3" w:rsidR="00F26107" w:rsidRPr="00270C08" w:rsidRDefault="00F26107" w:rsidP="00F26107">
      <w:pPr>
        <w:spacing w:after="0" w:line="360" w:lineRule="auto"/>
        <w:jc w:val="both"/>
        <w:rPr>
          <w:rFonts w:ascii="Arial" w:hAnsi="Arial" w:cs="Arial"/>
          <w:sz w:val="24"/>
          <w:szCs w:val="24"/>
        </w:rPr>
      </w:pPr>
      <w:r w:rsidRPr="00270C08">
        <w:rPr>
          <w:rFonts w:ascii="Arial" w:hAnsi="Arial" w:cs="Arial"/>
          <w:sz w:val="24"/>
          <w:szCs w:val="24"/>
        </w:rPr>
        <w:t>_______________________</w:t>
      </w:r>
    </w:p>
    <w:p w14:paraId="751F9A62" w14:textId="4922CE53" w:rsidR="00F26107" w:rsidRPr="00270C08" w:rsidRDefault="00F26107" w:rsidP="00F26107">
      <w:pPr>
        <w:spacing w:after="0" w:line="360" w:lineRule="auto"/>
        <w:jc w:val="both"/>
        <w:rPr>
          <w:rFonts w:ascii="Arial" w:hAnsi="Arial" w:cs="Arial"/>
          <w:b/>
          <w:bCs/>
          <w:sz w:val="24"/>
          <w:szCs w:val="24"/>
        </w:rPr>
      </w:pPr>
      <w:r w:rsidRPr="00270C08">
        <w:rPr>
          <w:rFonts w:ascii="Arial" w:hAnsi="Arial" w:cs="Arial"/>
          <w:b/>
          <w:bCs/>
          <w:sz w:val="24"/>
          <w:szCs w:val="24"/>
        </w:rPr>
        <w:t>F B A DAWOOD</w:t>
      </w:r>
    </w:p>
    <w:p w14:paraId="575226F5" w14:textId="38960FA8" w:rsidR="00F26107" w:rsidRPr="00270C08" w:rsidRDefault="00F26107" w:rsidP="00F26107">
      <w:pPr>
        <w:spacing w:after="0" w:line="360" w:lineRule="auto"/>
        <w:jc w:val="both"/>
        <w:rPr>
          <w:rFonts w:ascii="Arial" w:hAnsi="Arial" w:cs="Arial"/>
          <w:b/>
          <w:bCs/>
          <w:sz w:val="24"/>
          <w:szCs w:val="24"/>
        </w:rPr>
      </w:pPr>
      <w:r w:rsidRPr="00270C08">
        <w:rPr>
          <w:rFonts w:ascii="Arial" w:hAnsi="Arial" w:cs="Arial"/>
          <w:b/>
          <w:bCs/>
          <w:sz w:val="24"/>
          <w:szCs w:val="24"/>
        </w:rPr>
        <w:t>JUDGE OF THE HIGH COURT</w:t>
      </w:r>
    </w:p>
    <w:p w14:paraId="5969E89F" w14:textId="77777777" w:rsidR="005F54DB" w:rsidRPr="00270C08" w:rsidRDefault="005F54DB" w:rsidP="00F76583">
      <w:pPr>
        <w:spacing w:after="0" w:line="360" w:lineRule="auto"/>
        <w:rPr>
          <w:rFonts w:ascii="Arial" w:hAnsi="Arial" w:cs="Arial"/>
          <w:sz w:val="24"/>
          <w:szCs w:val="24"/>
        </w:rPr>
      </w:pPr>
    </w:p>
    <w:p w14:paraId="5696EF67" w14:textId="77777777" w:rsidR="003B41EF" w:rsidRPr="00270C08" w:rsidRDefault="003B41EF" w:rsidP="00F76583">
      <w:pPr>
        <w:spacing w:after="0" w:line="360" w:lineRule="auto"/>
        <w:rPr>
          <w:rFonts w:ascii="Arial" w:hAnsi="Arial" w:cs="Arial"/>
          <w:sz w:val="24"/>
          <w:szCs w:val="24"/>
        </w:rPr>
      </w:pPr>
    </w:p>
    <w:p w14:paraId="421ADA9B" w14:textId="3A9FFCBA" w:rsidR="003B41EF" w:rsidRPr="00270C08" w:rsidRDefault="003B41EF" w:rsidP="00F76583">
      <w:pPr>
        <w:spacing w:after="0" w:line="360" w:lineRule="auto"/>
        <w:rPr>
          <w:rFonts w:ascii="Arial" w:hAnsi="Arial" w:cs="Arial"/>
          <w:sz w:val="24"/>
          <w:szCs w:val="24"/>
        </w:rPr>
      </w:pPr>
      <w:r w:rsidRPr="00270C08">
        <w:rPr>
          <w:rFonts w:ascii="Arial" w:hAnsi="Arial" w:cs="Arial"/>
          <w:sz w:val="24"/>
          <w:szCs w:val="24"/>
        </w:rPr>
        <w:t>A</w:t>
      </w:r>
      <w:r w:rsidR="00C27F26">
        <w:rPr>
          <w:rFonts w:ascii="Arial" w:hAnsi="Arial" w:cs="Arial"/>
          <w:sz w:val="24"/>
          <w:szCs w:val="24"/>
        </w:rPr>
        <w:t>ppearances:</w:t>
      </w:r>
    </w:p>
    <w:p w14:paraId="1CA37F31" w14:textId="77777777" w:rsidR="003B41EF" w:rsidRPr="00270C08" w:rsidRDefault="003B41EF" w:rsidP="00F76583">
      <w:pPr>
        <w:spacing w:after="0" w:line="360" w:lineRule="auto"/>
        <w:rPr>
          <w:rFonts w:ascii="Arial" w:hAnsi="Arial" w:cs="Arial"/>
          <w:sz w:val="24"/>
          <w:szCs w:val="24"/>
        </w:rPr>
      </w:pPr>
    </w:p>
    <w:p w14:paraId="77DEBB53" w14:textId="292C1EBA" w:rsidR="00CD078E" w:rsidRPr="00270C08" w:rsidRDefault="00CD078E" w:rsidP="00F76583">
      <w:pPr>
        <w:spacing w:after="0" w:line="360" w:lineRule="auto"/>
        <w:rPr>
          <w:rFonts w:ascii="Arial" w:hAnsi="Arial" w:cs="Arial"/>
          <w:sz w:val="24"/>
          <w:szCs w:val="24"/>
        </w:rPr>
      </w:pPr>
      <w:r w:rsidRPr="00270C08">
        <w:rPr>
          <w:rFonts w:ascii="Arial" w:hAnsi="Arial" w:cs="Arial"/>
          <w:sz w:val="24"/>
          <w:szCs w:val="24"/>
        </w:rPr>
        <w:t>Counsel for</w:t>
      </w:r>
      <w:r w:rsidR="00A6299B" w:rsidRPr="00270C08">
        <w:rPr>
          <w:rFonts w:ascii="Arial" w:hAnsi="Arial" w:cs="Arial"/>
          <w:sz w:val="24"/>
          <w:szCs w:val="24"/>
        </w:rPr>
        <w:t xml:space="preserve"> </w:t>
      </w:r>
      <w:r w:rsidR="00346239" w:rsidRPr="00270C08">
        <w:rPr>
          <w:rFonts w:ascii="Arial" w:hAnsi="Arial" w:cs="Arial"/>
          <w:sz w:val="24"/>
          <w:szCs w:val="24"/>
        </w:rPr>
        <w:t>t</w:t>
      </w:r>
      <w:r w:rsidR="00A6299B" w:rsidRPr="00270C08">
        <w:rPr>
          <w:rFonts w:ascii="Arial" w:hAnsi="Arial" w:cs="Arial"/>
          <w:sz w:val="24"/>
          <w:szCs w:val="24"/>
        </w:rPr>
        <w:t xml:space="preserve">he </w:t>
      </w:r>
      <w:r w:rsidR="00502E84" w:rsidRPr="00270C08">
        <w:rPr>
          <w:rFonts w:ascii="Arial" w:hAnsi="Arial" w:cs="Arial"/>
          <w:sz w:val="24"/>
          <w:szCs w:val="24"/>
        </w:rPr>
        <w:t>Appellant</w:t>
      </w:r>
      <w:r w:rsidRPr="00270C08">
        <w:rPr>
          <w:rFonts w:ascii="Arial" w:hAnsi="Arial" w:cs="Arial"/>
          <w:sz w:val="24"/>
          <w:szCs w:val="24"/>
        </w:rPr>
        <w:tab/>
      </w:r>
      <w:r w:rsidRPr="00270C08">
        <w:rPr>
          <w:rFonts w:ascii="Arial" w:hAnsi="Arial" w:cs="Arial"/>
          <w:sz w:val="24"/>
          <w:szCs w:val="24"/>
        </w:rPr>
        <w:tab/>
        <w:t>:</w:t>
      </w:r>
      <w:r w:rsidRPr="00270C08">
        <w:rPr>
          <w:rFonts w:ascii="Arial" w:hAnsi="Arial" w:cs="Arial"/>
          <w:sz w:val="24"/>
          <w:szCs w:val="24"/>
        </w:rPr>
        <w:tab/>
      </w:r>
      <w:r w:rsidR="00A6299B" w:rsidRPr="00270C08">
        <w:rPr>
          <w:rFonts w:ascii="Arial" w:hAnsi="Arial" w:cs="Arial"/>
          <w:i/>
          <w:sz w:val="24"/>
          <w:szCs w:val="24"/>
        </w:rPr>
        <w:t xml:space="preserve">Adv </w:t>
      </w:r>
      <w:r w:rsidR="00502E84" w:rsidRPr="00270C08">
        <w:rPr>
          <w:rFonts w:ascii="Arial" w:hAnsi="Arial" w:cs="Arial"/>
          <w:i/>
          <w:sz w:val="24"/>
          <w:szCs w:val="24"/>
        </w:rPr>
        <w:t>M Mnyani</w:t>
      </w:r>
    </w:p>
    <w:p w14:paraId="36C560EE" w14:textId="50269886" w:rsidR="00CD078E" w:rsidRPr="00270C08" w:rsidRDefault="00502E84">
      <w:pPr>
        <w:spacing w:after="0" w:line="360" w:lineRule="auto"/>
        <w:jc w:val="both"/>
        <w:rPr>
          <w:rFonts w:ascii="Arial" w:hAnsi="Arial" w:cs="Arial"/>
          <w:sz w:val="24"/>
          <w:szCs w:val="24"/>
        </w:rPr>
      </w:pPr>
      <w:r w:rsidRPr="00270C08">
        <w:rPr>
          <w:rFonts w:ascii="Arial" w:hAnsi="Arial" w:cs="Arial"/>
          <w:sz w:val="24"/>
          <w:szCs w:val="24"/>
        </w:rPr>
        <w:t>Attorneys for the Appellant</w:t>
      </w:r>
      <w:r w:rsidR="00CD078E" w:rsidRPr="00270C08">
        <w:rPr>
          <w:rFonts w:ascii="Arial" w:hAnsi="Arial" w:cs="Arial"/>
          <w:sz w:val="24"/>
          <w:szCs w:val="24"/>
        </w:rPr>
        <w:tab/>
      </w:r>
      <w:r w:rsidR="00CD078E" w:rsidRPr="00270C08">
        <w:rPr>
          <w:rFonts w:ascii="Arial" w:hAnsi="Arial" w:cs="Arial"/>
          <w:sz w:val="24"/>
          <w:szCs w:val="24"/>
        </w:rPr>
        <w:tab/>
        <w:t>:</w:t>
      </w:r>
      <w:r w:rsidR="00346239" w:rsidRPr="00270C08">
        <w:rPr>
          <w:rFonts w:ascii="Arial" w:hAnsi="Arial" w:cs="Arial"/>
          <w:sz w:val="24"/>
          <w:szCs w:val="24"/>
        </w:rPr>
        <w:tab/>
      </w:r>
      <w:r w:rsidRPr="00270C08">
        <w:rPr>
          <w:rFonts w:ascii="Arial" w:hAnsi="Arial" w:cs="Arial"/>
          <w:i/>
          <w:sz w:val="24"/>
          <w:szCs w:val="24"/>
        </w:rPr>
        <w:t>Dold &amp; Stone Inc</w:t>
      </w:r>
    </w:p>
    <w:p w14:paraId="4D245504" w14:textId="7E306B34" w:rsidR="00346239" w:rsidRPr="00270C08" w:rsidRDefault="00346239">
      <w:pPr>
        <w:spacing w:after="0" w:line="360" w:lineRule="auto"/>
        <w:jc w:val="both"/>
        <w:rPr>
          <w:rFonts w:ascii="Arial" w:hAnsi="Arial" w:cs="Arial"/>
          <w:sz w:val="24"/>
          <w:szCs w:val="24"/>
        </w:rPr>
      </w:pPr>
      <w:r w:rsidRPr="00270C08">
        <w:rPr>
          <w:rFonts w:ascii="Arial" w:hAnsi="Arial" w:cs="Arial"/>
          <w:sz w:val="24"/>
          <w:szCs w:val="24"/>
        </w:rPr>
        <w:tab/>
      </w:r>
      <w:r w:rsidRPr="00270C08">
        <w:rPr>
          <w:rFonts w:ascii="Arial" w:hAnsi="Arial" w:cs="Arial"/>
          <w:sz w:val="24"/>
          <w:szCs w:val="24"/>
        </w:rPr>
        <w:tab/>
      </w:r>
      <w:r w:rsidRPr="00270C08">
        <w:rPr>
          <w:rFonts w:ascii="Arial" w:hAnsi="Arial" w:cs="Arial"/>
          <w:sz w:val="24"/>
          <w:szCs w:val="24"/>
        </w:rPr>
        <w:tab/>
      </w:r>
      <w:r w:rsidRPr="00270C08">
        <w:rPr>
          <w:rFonts w:ascii="Arial" w:hAnsi="Arial" w:cs="Arial"/>
          <w:sz w:val="24"/>
          <w:szCs w:val="24"/>
        </w:rPr>
        <w:tab/>
      </w:r>
      <w:r w:rsidRPr="00270C08">
        <w:rPr>
          <w:rFonts w:ascii="Arial" w:hAnsi="Arial" w:cs="Arial"/>
          <w:sz w:val="24"/>
          <w:szCs w:val="24"/>
        </w:rPr>
        <w:tab/>
      </w:r>
      <w:r w:rsidRPr="00270C08">
        <w:rPr>
          <w:rFonts w:ascii="Arial" w:hAnsi="Arial" w:cs="Arial"/>
          <w:sz w:val="24"/>
          <w:szCs w:val="24"/>
        </w:rPr>
        <w:tab/>
        <w:t>M</w:t>
      </w:r>
      <w:r w:rsidR="00502E84" w:rsidRPr="00270C08">
        <w:rPr>
          <w:rFonts w:ascii="Arial" w:hAnsi="Arial" w:cs="Arial"/>
          <w:sz w:val="24"/>
          <w:szCs w:val="24"/>
        </w:rPr>
        <w:t>akhanda</w:t>
      </w:r>
    </w:p>
    <w:p w14:paraId="05DE4A08" w14:textId="77777777" w:rsidR="00CD078E" w:rsidRPr="00270C08" w:rsidRDefault="00346239">
      <w:pPr>
        <w:spacing w:after="0" w:line="360" w:lineRule="auto"/>
        <w:jc w:val="both"/>
        <w:rPr>
          <w:rFonts w:ascii="Arial" w:hAnsi="Arial" w:cs="Arial"/>
          <w:sz w:val="24"/>
          <w:szCs w:val="24"/>
        </w:rPr>
      </w:pPr>
      <w:r w:rsidRPr="00270C08">
        <w:rPr>
          <w:rFonts w:ascii="Arial" w:hAnsi="Arial" w:cs="Arial"/>
          <w:sz w:val="24"/>
          <w:szCs w:val="24"/>
        </w:rPr>
        <w:tab/>
      </w:r>
      <w:r w:rsidRPr="00270C08">
        <w:rPr>
          <w:rFonts w:ascii="Arial" w:hAnsi="Arial" w:cs="Arial"/>
          <w:sz w:val="24"/>
          <w:szCs w:val="24"/>
        </w:rPr>
        <w:tab/>
      </w:r>
      <w:r w:rsidRPr="00270C08">
        <w:rPr>
          <w:rFonts w:ascii="Arial" w:hAnsi="Arial" w:cs="Arial"/>
          <w:sz w:val="24"/>
          <w:szCs w:val="24"/>
        </w:rPr>
        <w:tab/>
      </w:r>
      <w:r w:rsidRPr="00270C08">
        <w:rPr>
          <w:rFonts w:ascii="Arial" w:hAnsi="Arial" w:cs="Arial"/>
          <w:sz w:val="24"/>
          <w:szCs w:val="24"/>
        </w:rPr>
        <w:tab/>
      </w:r>
      <w:r w:rsidRPr="00270C08">
        <w:rPr>
          <w:rFonts w:ascii="Arial" w:hAnsi="Arial" w:cs="Arial"/>
          <w:sz w:val="24"/>
          <w:szCs w:val="24"/>
        </w:rPr>
        <w:tab/>
      </w:r>
      <w:r w:rsidRPr="00270C08">
        <w:rPr>
          <w:rFonts w:ascii="Arial" w:hAnsi="Arial" w:cs="Arial"/>
          <w:sz w:val="24"/>
          <w:szCs w:val="24"/>
        </w:rPr>
        <w:tab/>
      </w:r>
    </w:p>
    <w:p w14:paraId="3BCAC4A3" w14:textId="06DC6CCE" w:rsidR="00CD078E" w:rsidRPr="00270C08" w:rsidRDefault="00CD078E">
      <w:pPr>
        <w:spacing w:after="0" w:line="360" w:lineRule="auto"/>
        <w:jc w:val="both"/>
        <w:rPr>
          <w:rFonts w:ascii="Arial" w:hAnsi="Arial" w:cs="Arial"/>
          <w:sz w:val="24"/>
          <w:szCs w:val="24"/>
        </w:rPr>
      </w:pPr>
      <w:r w:rsidRPr="00270C08">
        <w:rPr>
          <w:rFonts w:ascii="Arial" w:hAnsi="Arial" w:cs="Arial"/>
          <w:sz w:val="24"/>
          <w:szCs w:val="24"/>
        </w:rPr>
        <w:t>Counsel for</w:t>
      </w:r>
      <w:r w:rsidR="00A6299B" w:rsidRPr="00270C08">
        <w:rPr>
          <w:rFonts w:ascii="Arial" w:hAnsi="Arial" w:cs="Arial"/>
          <w:sz w:val="24"/>
          <w:szCs w:val="24"/>
        </w:rPr>
        <w:t xml:space="preserve"> the </w:t>
      </w:r>
      <w:r w:rsidR="00502E84" w:rsidRPr="00270C08">
        <w:rPr>
          <w:rFonts w:ascii="Arial" w:hAnsi="Arial" w:cs="Arial"/>
          <w:sz w:val="24"/>
          <w:szCs w:val="24"/>
        </w:rPr>
        <w:t>Respondents</w:t>
      </w:r>
      <w:r w:rsidR="00445C9D" w:rsidRPr="00270C08">
        <w:rPr>
          <w:rFonts w:ascii="Arial" w:hAnsi="Arial" w:cs="Arial"/>
          <w:sz w:val="24"/>
          <w:szCs w:val="24"/>
        </w:rPr>
        <w:tab/>
      </w:r>
      <w:r w:rsidRPr="00270C08">
        <w:rPr>
          <w:rFonts w:ascii="Arial" w:hAnsi="Arial" w:cs="Arial"/>
          <w:sz w:val="24"/>
          <w:szCs w:val="24"/>
        </w:rPr>
        <w:t>:</w:t>
      </w:r>
      <w:r w:rsidR="00A6299B" w:rsidRPr="00270C08">
        <w:rPr>
          <w:rFonts w:ascii="Arial" w:hAnsi="Arial" w:cs="Arial"/>
          <w:sz w:val="24"/>
          <w:szCs w:val="24"/>
        </w:rPr>
        <w:tab/>
      </w:r>
      <w:r w:rsidR="00A6299B" w:rsidRPr="00270C08">
        <w:rPr>
          <w:rFonts w:ascii="Arial" w:hAnsi="Arial" w:cs="Arial"/>
          <w:i/>
          <w:sz w:val="24"/>
          <w:szCs w:val="24"/>
        </w:rPr>
        <w:t xml:space="preserve">Adv </w:t>
      </w:r>
      <w:r w:rsidR="00502E84" w:rsidRPr="00270C08">
        <w:rPr>
          <w:rFonts w:ascii="Arial" w:hAnsi="Arial" w:cs="Arial"/>
          <w:i/>
          <w:sz w:val="24"/>
          <w:szCs w:val="24"/>
        </w:rPr>
        <w:t>J D Le Roux</w:t>
      </w:r>
    </w:p>
    <w:p w14:paraId="6CE66FBD" w14:textId="4023A447" w:rsidR="00CD078E" w:rsidRPr="00270C08" w:rsidRDefault="00CD078E">
      <w:pPr>
        <w:spacing w:after="0" w:line="360" w:lineRule="auto"/>
        <w:jc w:val="both"/>
        <w:rPr>
          <w:rFonts w:ascii="Arial" w:hAnsi="Arial" w:cs="Arial"/>
          <w:sz w:val="24"/>
          <w:szCs w:val="24"/>
        </w:rPr>
      </w:pPr>
      <w:r w:rsidRPr="00270C08">
        <w:rPr>
          <w:rFonts w:ascii="Arial" w:hAnsi="Arial" w:cs="Arial"/>
          <w:sz w:val="24"/>
          <w:szCs w:val="24"/>
        </w:rPr>
        <w:t>Attorneys for</w:t>
      </w:r>
      <w:r w:rsidRPr="00270C08">
        <w:rPr>
          <w:rFonts w:ascii="Arial" w:hAnsi="Arial" w:cs="Arial"/>
          <w:sz w:val="24"/>
          <w:szCs w:val="24"/>
        </w:rPr>
        <w:tab/>
      </w:r>
      <w:r w:rsidR="00346239" w:rsidRPr="00270C08">
        <w:rPr>
          <w:rFonts w:ascii="Arial" w:hAnsi="Arial" w:cs="Arial"/>
          <w:sz w:val="24"/>
          <w:szCs w:val="24"/>
        </w:rPr>
        <w:t xml:space="preserve">the </w:t>
      </w:r>
      <w:r w:rsidR="00502E84" w:rsidRPr="00270C08">
        <w:rPr>
          <w:rFonts w:ascii="Arial" w:hAnsi="Arial" w:cs="Arial"/>
          <w:sz w:val="24"/>
          <w:szCs w:val="24"/>
        </w:rPr>
        <w:t>Respondents</w:t>
      </w:r>
      <w:r w:rsidRPr="00270C08">
        <w:rPr>
          <w:rFonts w:ascii="Arial" w:hAnsi="Arial" w:cs="Arial"/>
          <w:sz w:val="24"/>
          <w:szCs w:val="24"/>
        </w:rPr>
        <w:tab/>
        <w:t>:</w:t>
      </w:r>
      <w:r w:rsidRPr="00270C08">
        <w:rPr>
          <w:rFonts w:ascii="Arial" w:hAnsi="Arial" w:cs="Arial"/>
          <w:sz w:val="24"/>
          <w:szCs w:val="24"/>
        </w:rPr>
        <w:tab/>
      </w:r>
      <w:r w:rsidR="00502E84" w:rsidRPr="00270C08">
        <w:rPr>
          <w:rFonts w:ascii="Arial" w:hAnsi="Arial" w:cs="Arial"/>
          <w:i/>
          <w:iCs/>
          <w:sz w:val="24"/>
          <w:szCs w:val="24"/>
        </w:rPr>
        <w:t>Neville Borman &amp; Botha</w:t>
      </w:r>
    </w:p>
    <w:p w14:paraId="5F598D49" w14:textId="7EDEB2A5" w:rsidR="00346239" w:rsidRDefault="00346239">
      <w:pPr>
        <w:spacing w:after="0" w:line="360" w:lineRule="auto"/>
        <w:jc w:val="both"/>
        <w:rPr>
          <w:rFonts w:ascii="Arial" w:hAnsi="Arial" w:cs="Arial"/>
          <w:sz w:val="24"/>
          <w:szCs w:val="24"/>
        </w:rPr>
      </w:pPr>
      <w:r w:rsidRPr="00270C08">
        <w:rPr>
          <w:rFonts w:ascii="Arial" w:hAnsi="Arial" w:cs="Arial"/>
          <w:sz w:val="24"/>
          <w:szCs w:val="24"/>
        </w:rPr>
        <w:tab/>
      </w:r>
      <w:r w:rsidRPr="00270C08">
        <w:rPr>
          <w:rFonts w:ascii="Arial" w:hAnsi="Arial" w:cs="Arial"/>
          <w:sz w:val="24"/>
          <w:szCs w:val="24"/>
        </w:rPr>
        <w:tab/>
      </w:r>
      <w:r w:rsidRPr="00270C08">
        <w:rPr>
          <w:rFonts w:ascii="Arial" w:hAnsi="Arial" w:cs="Arial"/>
          <w:sz w:val="24"/>
          <w:szCs w:val="24"/>
        </w:rPr>
        <w:tab/>
      </w:r>
      <w:r w:rsidRPr="00270C08">
        <w:rPr>
          <w:rFonts w:ascii="Arial" w:hAnsi="Arial" w:cs="Arial"/>
          <w:sz w:val="24"/>
          <w:szCs w:val="24"/>
        </w:rPr>
        <w:tab/>
      </w:r>
      <w:r w:rsidRPr="00270C08">
        <w:rPr>
          <w:rFonts w:ascii="Arial" w:hAnsi="Arial" w:cs="Arial"/>
          <w:sz w:val="24"/>
          <w:szCs w:val="24"/>
        </w:rPr>
        <w:tab/>
      </w:r>
      <w:r w:rsidRPr="00270C08">
        <w:rPr>
          <w:rFonts w:ascii="Arial" w:hAnsi="Arial" w:cs="Arial"/>
          <w:sz w:val="24"/>
          <w:szCs w:val="24"/>
        </w:rPr>
        <w:tab/>
        <w:t>M</w:t>
      </w:r>
      <w:r w:rsidR="00502E84" w:rsidRPr="00270C08">
        <w:rPr>
          <w:rFonts w:ascii="Arial" w:hAnsi="Arial" w:cs="Arial"/>
          <w:sz w:val="24"/>
          <w:szCs w:val="24"/>
        </w:rPr>
        <w:t>akhanda</w:t>
      </w:r>
    </w:p>
    <w:p w14:paraId="0D491B61" w14:textId="77777777" w:rsidR="00E3729A" w:rsidRDefault="00E3729A">
      <w:pPr>
        <w:spacing w:after="0" w:line="360" w:lineRule="auto"/>
        <w:jc w:val="both"/>
        <w:rPr>
          <w:rFonts w:ascii="Arial" w:hAnsi="Arial" w:cs="Arial"/>
          <w:sz w:val="24"/>
          <w:szCs w:val="24"/>
        </w:rPr>
      </w:pPr>
    </w:p>
    <w:p w14:paraId="2A84C1EC" w14:textId="65C34598" w:rsidR="00E3729A" w:rsidRPr="00211832" w:rsidRDefault="003E3C85" w:rsidP="00E3729A">
      <w:pPr>
        <w:spacing w:after="0" w:line="360" w:lineRule="auto"/>
        <w:jc w:val="both"/>
        <w:rPr>
          <w:rFonts w:ascii="Arial" w:hAnsi="Arial" w:cs="Arial"/>
          <w:sz w:val="24"/>
          <w:szCs w:val="24"/>
        </w:rPr>
      </w:pPr>
      <w:r>
        <w:rPr>
          <w:rFonts w:ascii="Arial" w:hAnsi="Arial" w:cs="Arial"/>
          <w:sz w:val="24"/>
          <w:szCs w:val="24"/>
        </w:rPr>
        <w:t>Date heard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r>
      <w:r w:rsidR="00E3729A" w:rsidRPr="00211832">
        <w:rPr>
          <w:rFonts w:ascii="Arial" w:hAnsi="Arial" w:cs="Arial"/>
          <w:sz w:val="24"/>
          <w:szCs w:val="24"/>
        </w:rPr>
        <w:t xml:space="preserve">26 February 2024 </w:t>
      </w:r>
    </w:p>
    <w:p w14:paraId="0C6F6FF7" w14:textId="3E0FB024" w:rsidR="00E3729A" w:rsidRPr="00270C08" w:rsidRDefault="003E3C85" w:rsidP="00E3729A">
      <w:pPr>
        <w:spacing w:after="0" w:line="360" w:lineRule="auto"/>
        <w:jc w:val="both"/>
        <w:rPr>
          <w:rFonts w:ascii="Arial" w:hAnsi="Arial" w:cs="Arial"/>
          <w:sz w:val="24"/>
          <w:szCs w:val="24"/>
        </w:rPr>
      </w:pPr>
      <w:r>
        <w:rPr>
          <w:rFonts w:ascii="Arial" w:hAnsi="Arial" w:cs="Arial"/>
          <w:sz w:val="24"/>
          <w:szCs w:val="24"/>
        </w:rPr>
        <w:t>Dat d</w:t>
      </w:r>
      <w:r w:rsidR="00E3729A" w:rsidRPr="00211832">
        <w:rPr>
          <w:rFonts w:ascii="Arial" w:hAnsi="Arial" w:cs="Arial"/>
          <w:sz w:val="24"/>
          <w:szCs w:val="24"/>
        </w:rPr>
        <w:t>elivered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3729A" w:rsidRPr="00211832">
        <w:rPr>
          <w:rFonts w:ascii="Arial" w:hAnsi="Arial" w:cs="Arial"/>
          <w:sz w:val="24"/>
          <w:szCs w:val="24"/>
        </w:rPr>
        <w:t xml:space="preserve">: </w:t>
      </w:r>
      <w:r w:rsidR="00251437">
        <w:rPr>
          <w:rFonts w:ascii="Arial" w:hAnsi="Arial" w:cs="Arial"/>
          <w:sz w:val="24"/>
          <w:szCs w:val="24"/>
        </w:rPr>
        <w:tab/>
      </w:r>
      <w:r w:rsidR="00E3729A">
        <w:rPr>
          <w:rFonts w:ascii="Arial" w:hAnsi="Arial" w:cs="Arial"/>
          <w:sz w:val="24"/>
          <w:szCs w:val="24"/>
        </w:rPr>
        <w:t>09 April</w:t>
      </w:r>
      <w:r w:rsidR="00E3729A" w:rsidRPr="00211832">
        <w:rPr>
          <w:rFonts w:ascii="Arial" w:hAnsi="Arial" w:cs="Arial"/>
          <w:sz w:val="24"/>
          <w:szCs w:val="24"/>
        </w:rPr>
        <w:t xml:space="preserve"> 2024     </w:t>
      </w:r>
    </w:p>
    <w:sectPr w:rsidR="00E3729A" w:rsidRPr="00270C08" w:rsidSect="00E61A53">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D5B2E5" w14:textId="77777777" w:rsidR="00E61A53" w:rsidRDefault="00E61A53" w:rsidP="00D31321">
      <w:pPr>
        <w:spacing w:after="0" w:line="240" w:lineRule="auto"/>
      </w:pPr>
      <w:r>
        <w:separator/>
      </w:r>
    </w:p>
  </w:endnote>
  <w:endnote w:type="continuationSeparator" w:id="0">
    <w:p w14:paraId="2B269EA7" w14:textId="77777777" w:rsidR="00E61A53" w:rsidRDefault="00E61A53" w:rsidP="00D3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0425A4" w14:textId="77777777" w:rsidR="00E61A53" w:rsidRDefault="00E61A53" w:rsidP="00D31321">
      <w:pPr>
        <w:spacing w:after="0" w:line="240" w:lineRule="auto"/>
      </w:pPr>
      <w:r>
        <w:separator/>
      </w:r>
    </w:p>
  </w:footnote>
  <w:footnote w:type="continuationSeparator" w:id="0">
    <w:p w14:paraId="656D8EF8" w14:textId="77777777" w:rsidR="00E61A53" w:rsidRDefault="00E61A53" w:rsidP="00D31321">
      <w:pPr>
        <w:spacing w:after="0" w:line="240" w:lineRule="auto"/>
      </w:pPr>
      <w:r>
        <w:continuationSeparator/>
      </w:r>
    </w:p>
  </w:footnote>
  <w:footnote w:id="1">
    <w:p w14:paraId="6C68D4CC" w14:textId="62422ADA" w:rsidR="00DF2298" w:rsidRPr="00DF2298" w:rsidRDefault="00DF2298">
      <w:pPr>
        <w:pStyle w:val="FootnoteText"/>
        <w:rPr>
          <w:rFonts w:ascii="Arial" w:hAnsi="Arial" w:cs="Arial"/>
          <w:lang w:val="en-GB"/>
        </w:rPr>
      </w:pPr>
      <w:r>
        <w:rPr>
          <w:rStyle w:val="FootnoteReference"/>
        </w:rPr>
        <w:footnoteRef/>
      </w:r>
      <w:r>
        <w:t xml:space="preserve"> </w:t>
      </w:r>
      <w:r>
        <w:rPr>
          <w:rFonts w:ascii="Arial" w:hAnsi="Arial" w:cs="Arial"/>
          <w:lang w:val="en-GB"/>
        </w:rPr>
        <w:t>Criminal Procedure Act, 51 of 1977</w:t>
      </w:r>
    </w:p>
  </w:footnote>
  <w:footnote w:id="2">
    <w:p w14:paraId="65878426" w14:textId="570CCE61" w:rsidR="002845C0" w:rsidRPr="001C44C3" w:rsidRDefault="002845C0" w:rsidP="002845C0">
      <w:pPr>
        <w:pStyle w:val="FootnoteText"/>
        <w:rPr>
          <w:rFonts w:ascii="Arial" w:hAnsi="Arial" w:cs="Arial"/>
        </w:rPr>
      </w:pPr>
      <w:r w:rsidRPr="00270C08">
        <w:rPr>
          <w:rStyle w:val="FootnoteReference"/>
          <w:rFonts w:ascii="Arial" w:hAnsi="Arial" w:cs="Arial"/>
        </w:rPr>
        <w:footnoteRef/>
      </w:r>
      <w:r w:rsidRPr="00270C08">
        <w:rPr>
          <w:rFonts w:ascii="Arial" w:hAnsi="Arial" w:cs="Arial"/>
        </w:rPr>
        <w:t xml:space="preserve"> </w:t>
      </w:r>
      <w:r w:rsidR="001C44C3" w:rsidRPr="00270C08">
        <w:rPr>
          <w:rFonts w:ascii="Arial" w:hAnsi="Arial" w:cs="Arial"/>
          <w:i/>
          <w:iCs/>
        </w:rPr>
        <w:t>Minister of Safety and Security v Sekhoto</w:t>
      </w:r>
      <w:r w:rsidR="001C44C3" w:rsidRPr="00270C08">
        <w:rPr>
          <w:rFonts w:ascii="Arial" w:hAnsi="Arial" w:cs="Arial"/>
        </w:rPr>
        <w:t xml:space="preserve"> </w:t>
      </w:r>
      <w:r w:rsidRPr="001C44C3">
        <w:rPr>
          <w:rFonts w:ascii="Arial" w:hAnsi="Arial" w:cs="Arial"/>
        </w:rPr>
        <w:t>2011 (1) SACR 315 at page 315 at 320.</w:t>
      </w:r>
    </w:p>
  </w:footnote>
  <w:footnote w:id="3">
    <w:p w14:paraId="1AE592AE" w14:textId="560D7D64" w:rsidR="002845C0" w:rsidRPr="001C44C3" w:rsidRDefault="002845C0" w:rsidP="002845C0">
      <w:pPr>
        <w:pStyle w:val="FootnoteText"/>
        <w:rPr>
          <w:rFonts w:ascii="Arial" w:hAnsi="Arial" w:cs="Arial"/>
        </w:rPr>
      </w:pPr>
      <w:r w:rsidRPr="001C44C3">
        <w:rPr>
          <w:rStyle w:val="FootnoteReference"/>
          <w:rFonts w:ascii="Arial" w:hAnsi="Arial" w:cs="Arial"/>
        </w:rPr>
        <w:footnoteRef/>
      </w:r>
      <w:r w:rsidRPr="001C44C3">
        <w:rPr>
          <w:rFonts w:ascii="Arial" w:hAnsi="Arial" w:cs="Arial"/>
        </w:rPr>
        <w:t xml:space="preserve"> </w:t>
      </w:r>
      <w:r w:rsidR="001C44C3" w:rsidRPr="001C44C3">
        <w:rPr>
          <w:rFonts w:ascii="Arial" w:hAnsi="Arial" w:cs="Arial"/>
          <w:i/>
          <w:iCs/>
        </w:rPr>
        <w:t>Shaaban Bin Hussien and Others v Chong Fook  </w:t>
      </w:r>
      <w:r w:rsidR="001C44C3" w:rsidRPr="001C44C3">
        <w:rPr>
          <w:rFonts w:ascii="Arial" w:hAnsi="Arial" w:cs="Arial"/>
        </w:rPr>
        <w:t>I </w:t>
      </w:r>
      <w:r w:rsidR="001C44C3" w:rsidRPr="001C44C3">
        <w:rPr>
          <w:rFonts w:ascii="Arial" w:hAnsi="Arial" w:cs="Arial"/>
          <w:i/>
          <w:iCs/>
        </w:rPr>
        <w:t>Kam and Another</w:t>
      </w:r>
      <w:r w:rsidR="001C44C3" w:rsidRPr="001C44C3">
        <w:rPr>
          <w:rFonts w:ascii="Arial" w:hAnsi="Arial" w:cs="Arial"/>
        </w:rPr>
        <w:t xml:space="preserve"> [1969] 3 All ER 1627 (PC) at 1630; </w:t>
      </w:r>
      <w:r w:rsidRPr="00434B16">
        <w:rPr>
          <w:rFonts w:ascii="Arial" w:hAnsi="Arial" w:cs="Arial"/>
          <w:i/>
          <w:iCs/>
        </w:rPr>
        <w:t>Duncan v Minister of Law and Order</w:t>
      </w:r>
      <w:r w:rsidRPr="001C44C3">
        <w:rPr>
          <w:rFonts w:ascii="Arial" w:hAnsi="Arial" w:cs="Arial"/>
        </w:rPr>
        <w:t xml:space="preserve"> 1986 (2) SA 805 (A).</w:t>
      </w:r>
    </w:p>
  </w:footnote>
  <w:footnote w:id="4">
    <w:p w14:paraId="7438CDC3" w14:textId="77777777" w:rsidR="002845C0" w:rsidRPr="00270C08" w:rsidRDefault="002845C0" w:rsidP="002845C0">
      <w:pPr>
        <w:pStyle w:val="FootnoteText"/>
        <w:rPr>
          <w:rFonts w:ascii="Arial" w:hAnsi="Arial" w:cs="Arial"/>
          <w:i/>
          <w:iCs/>
        </w:rPr>
      </w:pPr>
      <w:r w:rsidRPr="001C44C3">
        <w:rPr>
          <w:rStyle w:val="FootnoteReference"/>
          <w:rFonts w:ascii="Arial" w:hAnsi="Arial" w:cs="Arial"/>
        </w:rPr>
        <w:footnoteRef/>
      </w:r>
      <w:r w:rsidRPr="001C44C3">
        <w:rPr>
          <w:rFonts w:ascii="Arial" w:hAnsi="Arial" w:cs="Arial"/>
        </w:rPr>
        <w:t xml:space="preserve"> </w:t>
      </w:r>
      <w:r w:rsidRPr="00270C08">
        <w:rPr>
          <w:rFonts w:ascii="Arial" w:hAnsi="Arial" w:cs="Arial"/>
          <w:i/>
          <w:iCs/>
        </w:rPr>
        <w:t>Duncan supra</w:t>
      </w:r>
    </w:p>
  </w:footnote>
  <w:footnote w:id="5">
    <w:p w14:paraId="05A71B04" w14:textId="777147A6" w:rsidR="006D7E27" w:rsidRPr="001C44C3" w:rsidRDefault="006D7E27">
      <w:pPr>
        <w:pStyle w:val="FootnoteText"/>
        <w:rPr>
          <w:rFonts w:ascii="Arial" w:hAnsi="Arial" w:cs="Arial"/>
          <w:lang w:val="en-GB"/>
        </w:rPr>
      </w:pPr>
      <w:r w:rsidRPr="00270C08">
        <w:rPr>
          <w:rStyle w:val="FootnoteReference"/>
          <w:rFonts w:ascii="Arial" w:hAnsi="Arial" w:cs="Arial"/>
        </w:rPr>
        <w:footnoteRef/>
      </w:r>
      <w:r w:rsidRPr="00270C08">
        <w:rPr>
          <w:rFonts w:ascii="Arial" w:hAnsi="Arial" w:cs="Arial"/>
        </w:rPr>
        <w:t xml:space="preserve"> </w:t>
      </w:r>
      <w:r w:rsidR="001C44C3" w:rsidRPr="001C44C3">
        <w:rPr>
          <w:rFonts w:ascii="Arial" w:hAnsi="Arial" w:cs="Arial"/>
          <w:i/>
          <w:iCs/>
        </w:rPr>
        <w:t>Mabona and Another v Minister of Law and Order and Others</w:t>
      </w:r>
      <w:r w:rsidR="001C44C3" w:rsidRPr="001C44C3">
        <w:rPr>
          <w:rFonts w:ascii="Arial" w:hAnsi="Arial" w:cs="Arial"/>
          <w:lang w:val="en-GB"/>
        </w:rPr>
        <w:t xml:space="preserve"> </w:t>
      </w:r>
      <w:r w:rsidRPr="001C44C3">
        <w:rPr>
          <w:rFonts w:ascii="Arial" w:hAnsi="Arial" w:cs="Arial"/>
          <w:lang w:val="en-GB"/>
        </w:rPr>
        <w:t>1988 (2) SA 654 (SE) at page 658</w:t>
      </w:r>
      <w:r w:rsidR="003F16F5" w:rsidRPr="001C44C3">
        <w:rPr>
          <w:rFonts w:ascii="Arial" w:hAnsi="Arial" w:cs="Arial"/>
          <w:lang w:val="en-GB"/>
        </w:rPr>
        <w:t xml:space="preserve"> D</w:t>
      </w:r>
    </w:p>
  </w:footnote>
  <w:footnote w:id="6">
    <w:p w14:paraId="6E62B4EA" w14:textId="631F0096" w:rsidR="00EE5E27" w:rsidRPr="00EE5E27" w:rsidRDefault="00EE5E27">
      <w:pPr>
        <w:pStyle w:val="FootnoteText"/>
        <w:rPr>
          <w:rFonts w:ascii="Arial" w:hAnsi="Arial" w:cs="Arial"/>
          <w:lang w:val="en-GB"/>
        </w:rPr>
      </w:pPr>
      <w:r w:rsidRPr="00270C08">
        <w:rPr>
          <w:rStyle w:val="FootnoteReference"/>
          <w:rFonts w:ascii="Arial" w:hAnsi="Arial" w:cs="Arial"/>
        </w:rPr>
        <w:footnoteRef/>
      </w:r>
      <w:r w:rsidRPr="00270C08">
        <w:rPr>
          <w:rFonts w:ascii="Arial" w:hAnsi="Arial" w:cs="Arial"/>
        </w:rPr>
        <w:t xml:space="preserve"> </w:t>
      </w:r>
      <w:r w:rsidR="001C44C3" w:rsidRPr="001C44C3">
        <w:rPr>
          <w:rFonts w:ascii="Arial" w:hAnsi="Arial" w:cs="Arial"/>
          <w:i/>
          <w:iCs/>
        </w:rPr>
        <w:t>Minister of Safety &amp; Security v Sekhoto</w:t>
      </w:r>
      <w:r w:rsidR="001C44C3" w:rsidRPr="001C44C3">
        <w:rPr>
          <w:rFonts w:ascii="Arial" w:hAnsi="Arial" w:cs="Arial"/>
          <w:lang w:val="en-GB"/>
        </w:rPr>
        <w:t xml:space="preserve"> </w:t>
      </w:r>
      <w:r w:rsidRPr="001C44C3">
        <w:rPr>
          <w:rFonts w:ascii="Arial" w:hAnsi="Arial" w:cs="Arial"/>
          <w:lang w:val="en-GB"/>
        </w:rPr>
        <w:t>2011 (1) SACR 315 at page 327, para 29</w:t>
      </w:r>
    </w:p>
  </w:footnote>
  <w:footnote w:id="7">
    <w:p w14:paraId="577A7F9F" w14:textId="1DE09531" w:rsidR="006A5167" w:rsidRPr="00C135C6" w:rsidRDefault="006A5167">
      <w:pPr>
        <w:pStyle w:val="FootnoteText"/>
        <w:rPr>
          <w:rFonts w:ascii="Arial" w:hAnsi="Arial" w:cs="Arial"/>
          <w:lang w:val="en-GB"/>
        </w:rPr>
      </w:pPr>
      <w:r w:rsidRPr="00270C08">
        <w:rPr>
          <w:rStyle w:val="FootnoteReference"/>
          <w:rFonts w:ascii="Arial" w:hAnsi="Arial" w:cs="Arial"/>
        </w:rPr>
        <w:footnoteRef/>
      </w:r>
      <w:r w:rsidRPr="00270C08">
        <w:rPr>
          <w:rFonts w:ascii="Arial" w:hAnsi="Arial" w:cs="Arial"/>
        </w:rPr>
        <w:t xml:space="preserve"> </w:t>
      </w:r>
      <w:r w:rsidR="00C135C6" w:rsidRPr="00270C08">
        <w:rPr>
          <w:rFonts w:ascii="Arial" w:hAnsi="Arial" w:cs="Arial"/>
          <w:i/>
          <w:iCs/>
        </w:rPr>
        <w:t>Minister of Safety &amp; Security v Magagula</w:t>
      </w:r>
      <w:r w:rsidR="00C135C6" w:rsidRPr="00270C08">
        <w:rPr>
          <w:rFonts w:ascii="Arial" w:hAnsi="Arial" w:cs="Arial"/>
          <w:lang w:val="en-GB"/>
        </w:rPr>
        <w:t xml:space="preserve"> </w:t>
      </w:r>
      <w:r w:rsidRPr="00C135C6">
        <w:rPr>
          <w:rFonts w:ascii="Arial" w:hAnsi="Arial" w:cs="Arial"/>
          <w:lang w:val="en-GB"/>
        </w:rPr>
        <w:t>2017 JDR 1486 (SCA); [2017] ZASCA 103 (unreported SCA Case No: 991/2016, 6 September 2017) at para [9]</w:t>
      </w:r>
    </w:p>
  </w:footnote>
  <w:footnote w:id="8">
    <w:p w14:paraId="671586C5" w14:textId="6C18BD17" w:rsidR="00C1693D" w:rsidRPr="009C1396" w:rsidRDefault="00C1693D">
      <w:pPr>
        <w:pStyle w:val="FootnoteText"/>
        <w:rPr>
          <w:rFonts w:ascii="Arial" w:hAnsi="Arial" w:cs="Arial"/>
          <w:lang w:val="en-GB"/>
        </w:rPr>
      </w:pPr>
      <w:r w:rsidRPr="00270C08">
        <w:rPr>
          <w:rStyle w:val="FootnoteReference"/>
          <w:rFonts w:ascii="Arial" w:hAnsi="Arial" w:cs="Arial"/>
        </w:rPr>
        <w:footnoteRef/>
      </w:r>
      <w:r w:rsidRPr="00270C08">
        <w:rPr>
          <w:rFonts w:ascii="Arial" w:hAnsi="Arial" w:cs="Arial"/>
        </w:rPr>
        <w:t xml:space="preserve"> </w:t>
      </w:r>
      <w:r w:rsidR="00476163" w:rsidRPr="00270C08">
        <w:rPr>
          <w:rFonts w:ascii="Arial" w:hAnsi="Arial" w:cs="Arial"/>
        </w:rPr>
        <w:t xml:space="preserve"> </w:t>
      </w:r>
      <w:r w:rsidR="003A6209" w:rsidRPr="009C1396">
        <w:rPr>
          <w:rFonts w:ascii="Arial" w:hAnsi="Arial" w:cs="Arial"/>
          <w:i/>
          <w:iCs/>
        </w:rPr>
        <w:t>The Minister of Safety &amp; Security v Magagula</w:t>
      </w:r>
      <w:r w:rsidR="003A6209" w:rsidRPr="009C1396">
        <w:rPr>
          <w:rFonts w:ascii="Arial" w:hAnsi="Arial" w:cs="Arial"/>
        </w:rPr>
        <w:t>, supra at para 12</w:t>
      </w:r>
    </w:p>
  </w:footnote>
  <w:footnote w:id="9">
    <w:p w14:paraId="386B4D38" w14:textId="42DCFEBD" w:rsidR="00683903" w:rsidRPr="00683903" w:rsidRDefault="00683903">
      <w:pPr>
        <w:pStyle w:val="FootnoteText"/>
        <w:rPr>
          <w:rFonts w:ascii="Arial" w:hAnsi="Arial" w:cs="Arial"/>
          <w:lang w:val="en-GB"/>
        </w:rPr>
      </w:pPr>
      <w:r>
        <w:rPr>
          <w:rStyle w:val="FootnoteReference"/>
        </w:rPr>
        <w:footnoteRef/>
      </w:r>
      <w:r>
        <w:t xml:space="preserve"> </w:t>
      </w:r>
      <w:r>
        <w:rPr>
          <w:rFonts w:ascii="Arial" w:hAnsi="Arial" w:cs="Arial"/>
          <w:i/>
          <w:iCs/>
          <w:lang w:val="en-GB"/>
        </w:rPr>
        <w:t>The Minister of Police v Bosman &amp; Others</w:t>
      </w:r>
      <w:r>
        <w:rPr>
          <w:rFonts w:ascii="Arial" w:hAnsi="Arial" w:cs="Arial"/>
          <w:lang w:val="en-GB"/>
        </w:rPr>
        <w:t xml:space="preserve"> (1163/2020) [2021] ZASCA 172 unreported SCA case delivered on 9 December 2021</w:t>
      </w:r>
    </w:p>
  </w:footnote>
  <w:footnote w:id="10">
    <w:p w14:paraId="547740B4" w14:textId="2F573620" w:rsidR="003A6209" w:rsidRPr="003A6209" w:rsidRDefault="003A6209">
      <w:pPr>
        <w:pStyle w:val="FootnoteText"/>
        <w:rPr>
          <w:rFonts w:ascii="Arial" w:hAnsi="Arial" w:cs="Arial"/>
          <w:lang w:val="en-GB"/>
        </w:rPr>
      </w:pPr>
      <w:r w:rsidRPr="00270C08">
        <w:rPr>
          <w:rStyle w:val="FootnoteReference"/>
          <w:rFonts w:ascii="Arial" w:hAnsi="Arial" w:cs="Arial"/>
        </w:rPr>
        <w:footnoteRef/>
      </w:r>
      <w:r w:rsidRPr="00270C08">
        <w:rPr>
          <w:rFonts w:ascii="Arial" w:hAnsi="Arial" w:cs="Arial"/>
        </w:rPr>
        <w:t xml:space="preserve"> </w:t>
      </w:r>
      <w:r w:rsidR="00476163" w:rsidRPr="00270C08">
        <w:rPr>
          <w:rFonts w:ascii="Arial" w:hAnsi="Arial" w:cs="Arial"/>
        </w:rPr>
        <w:t xml:space="preserve"> </w:t>
      </w:r>
      <w:r w:rsidR="009C1396" w:rsidRPr="00270C08">
        <w:rPr>
          <w:rFonts w:ascii="Arial" w:hAnsi="Arial" w:cs="Arial"/>
          <w:i/>
          <w:iCs/>
        </w:rPr>
        <w:t>Minister of Police &amp; Another v Muller</w:t>
      </w:r>
      <w:r w:rsidR="009C1396" w:rsidRPr="00270C08">
        <w:rPr>
          <w:rFonts w:ascii="Arial" w:hAnsi="Arial" w:cs="Arial"/>
        </w:rPr>
        <w:t xml:space="preserve"> </w:t>
      </w:r>
      <w:r w:rsidRPr="009C1396">
        <w:rPr>
          <w:rFonts w:ascii="Arial" w:hAnsi="Arial" w:cs="Arial"/>
        </w:rPr>
        <w:t>2020 (1) SACR 432 (SCA) para 20</w:t>
      </w:r>
    </w:p>
  </w:footnote>
  <w:footnote w:id="11">
    <w:p w14:paraId="47904B18" w14:textId="454527A9" w:rsidR="00476163" w:rsidRPr="00476163" w:rsidRDefault="00476163">
      <w:pPr>
        <w:pStyle w:val="FootnoteText"/>
        <w:rPr>
          <w:rFonts w:ascii="Arial" w:hAnsi="Arial" w:cs="Arial"/>
          <w:lang w:val="en-GB"/>
        </w:rPr>
      </w:pPr>
      <w:r>
        <w:rPr>
          <w:rStyle w:val="FootnoteReference"/>
        </w:rPr>
        <w:footnoteRef/>
      </w:r>
      <w:r>
        <w:t xml:space="preserve"> </w:t>
      </w:r>
      <w:r w:rsidRPr="00476163">
        <w:rPr>
          <w:rFonts w:ascii="Arial" w:hAnsi="Arial" w:cs="Arial"/>
          <w:i/>
          <w:iCs/>
        </w:rPr>
        <w:t>Mabona v Minister of Law and Order</w:t>
      </w:r>
      <w:r>
        <w:rPr>
          <w:i/>
          <w:iCs/>
        </w:rPr>
        <w:t xml:space="preserve">  </w:t>
      </w:r>
      <w:r>
        <w:rPr>
          <w:rFonts w:ascii="Arial" w:hAnsi="Arial" w:cs="Arial"/>
        </w:rPr>
        <w:t>supra at 658 E-H</w:t>
      </w:r>
    </w:p>
  </w:footnote>
  <w:footnote w:id="12">
    <w:p w14:paraId="2648A820" w14:textId="3A2C745B" w:rsidR="00720100" w:rsidRPr="00720100" w:rsidRDefault="00720100">
      <w:pPr>
        <w:pStyle w:val="FootnoteText"/>
        <w:rPr>
          <w:rFonts w:ascii="Arial" w:hAnsi="Arial" w:cs="Arial"/>
          <w:lang w:val="en-GB"/>
        </w:rPr>
      </w:pPr>
      <w:r>
        <w:rPr>
          <w:rStyle w:val="FootnoteReference"/>
        </w:rPr>
        <w:footnoteRef/>
      </w:r>
      <w:r>
        <w:t xml:space="preserve"> </w:t>
      </w:r>
      <w:r>
        <w:rPr>
          <w:rFonts w:ascii="Arial" w:hAnsi="Arial" w:cs="Arial"/>
          <w:i/>
          <w:iCs/>
          <w:lang w:val="en-GB"/>
        </w:rPr>
        <w:t>Louw and Another v Minister of Safety &amp; Security &amp; Others</w:t>
      </w:r>
      <w:r>
        <w:rPr>
          <w:rFonts w:ascii="Arial" w:hAnsi="Arial" w:cs="Arial"/>
          <w:lang w:val="en-GB"/>
        </w:rPr>
        <w:t xml:space="preserve"> 2006 (2) SACR 178 (T) at 184 B-D </w:t>
      </w:r>
    </w:p>
  </w:footnote>
  <w:footnote w:id="13">
    <w:p w14:paraId="4E3962E9" w14:textId="13AE4FA3" w:rsidR="00C955E4" w:rsidRPr="00B64E67" w:rsidRDefault="00C955E4">
      <w:pPr>
        <w:pStyle w:val="FootnoteText"/>
        <w:rPr>
          <w:rFonts w:ascii="Arial" w:hAnsi="Arial" w:cs="Arial"/>
          <w:lang w:val="en-GB"/>
        </w:rPr>
      </w:pPr>
      <w:r w:rsidRPr="00270C08">
        <w:rPr>
          <w:rStyle w:val="FootnoteReference"/>
          <w:rFonts w:ascii="Arial" w:hAnsi="Arial" w:cs="Arial"/>
        </w:rPr>
        <w:footnoteRef/>
      </w:r>
      <w:r w:rsidRPr="00270C08">
        <w:rPr>
          <w:rFonts w:ascii="Arial" w:hAnsi="Arial" w:cs="Arial"/>
        </w:rPr>
        <w:t xml:space="preserve"> </w:t>
      </w:r>
      <w:r w:rsidR="00B64E67" w:rsidRPr="00270C08">
        <w:rPr>
          <w:rFonts w:ascii="Arial" w:hAnsi="Arial" w:cs="Arial"/>
          <w:i/>
          <w:iCs/>
        </w:rPr>
        <w:t>Minister of Safety &amp; Security v Tyulu</w:t>
      </w:r>
      <w:r w:rsidR="00B64E67" w:rsidRPr="00270C08">
        <w:rPr>
          <w:rFonts w:ascii="Arial" w:hAnsi="Arial" w:cs="Arial"/>
        </w:rPr>
        <w:t xml:space="preserve"> </w:t>
      </w:r>
      <w:r w:rsidRPr="00B64E67">
        <w:rPr>
          <w:rFonts w:ascii="Arial" w:hAnsi="Arial" w:cs="Arial"/>
        </w:rPr>
        <w:t xml:space="preserve">2009 (5) SA </w:t>
      </w:r>
      <w:r w:rsidR="00A45949">
        <w:rPr>
          <w:rFonts w:ascii="Arial" w:hAnsi="Arial" w:cs="Arial"/>
        </w:rPr>
        <w:t xml:space="preserve">(SCA) </w:t>
      </w:r>
      <w:r w:rsidRPr="00B64E67">
        <w:rPr>
          <w:rFonts w:ascii="Arial" w:hAnsi="Arial" w:cs="Arial"/>
        </w:rPr>
        <w:t xml:space="preserve">85 </w:t>
      </w:r>
    </w:p>
  </w:footnote>
  <w:footnote w:id="14">
    <w:p w14:paraId="1D8CB291" w14:textId="60FED027" w:rsidR="00C955E4" w:rsidRPr="00C955E4" w:rsidRDefault="00C955E4">
      <w:pPr>
        <w:pStyle w:val="FootnoteText"/>
        <w:rPr>
          <w:rFonts w:ascii="Arial" w:hAnsi="Arial" w:cs="Arial"/>
          <w:lang w:val="en-GB"/>
        </w:rPr>
      </w:pPr>
      <w:r w:rsidRPr="00270C08">
        <w:rPr>
          <w:rStyle w:val="FootnoteReference"/>
          <w:rFonts w:ascii="Arial" w:hAnsi="Arial" w:cs="Arial"/>
        </w:rPr>
        <w:footnoteRef/>
      </w:r>
      <w:r w:rsidRPr="00270C08">
        <w:rPr>
          <w:rFonts w:ascii="Arial" w:hAnsi="Arial" w:cs="Arial"/>
        </w:rPr>
        <w:t xml:space="preserve"> </w:t>
      </w:r>
      <w:r w:rsidR="00B645CD" w:rsidRPr="00B645CD">
        <w:rPr>
          <w:rFonts w:ascii="Arial" w:hAnsi="Arial" w:cs="Arial"/>
          <w:i/>
          <w:iCs/>
        </w:rPr>
        <w:t>Minister of Police v Clyde Fillis</w:t>
      </w:r>
      <w:r w:rsidR="00B645CD" w:rsidRPr="00B645CD">
        <w:rPr>
          <w:rFonts w:ascii="Arial" w:hAnsi="Arial" w:cs="Arial"/>
        </w:rPr>
        <w:t xml:space="preserve"> </w:t>
      </w:r>
      <w:r w:rsidRPr="00B64E67">
        <w:rPr>
          <w:rFonts w:ascii="Arial" w:hAnsi="Arial" w:cs="Arial"/>
        </w:rPr>
        <w:t>Case No CA234/2014 delivered on 16 October 2018 (Grahamstown High Court)</w:t>
      </w:r>
    </w:p>
  </w:footnote>
  <w:footnote w:id="15">
    <w:p w14:paraId="54846DC4" w14:textId="3FC431B5" w:rsidR="003D05ED" w:rsidRPr="006316A7" w:rsidRDefault="003D05ED">
      <w:pPr>
        <w:pStyle w:val="FootnoteText"/>
        <w:rPr>
          <w:rFonts w:ascii="Arial" w:hAnsi="Arial" w:cs="Arial"/>
          <w:lang w:val="en-GB"/>
        </w:rPr>
      </w:pPr>
      <w:r w:rsidRPr="00270C08">
        <w:rPr>
          <w:rStyle w:val="FootnoteReference"/>
          <w:rFonts w:ascii="Arial" w:hAnsi="Arial" w:cs="Arial"/>
        </w:rPr>
        <w:footnoteRef/>
      </w:r>
      <w:r w:rsidRPr="00270C08">
        <w:rPr>
          <w:rFonts w:ascii="Arial" w:hAnsi="Arial" w:cs="Arial"/>
        </w:rPr>
        <w:t xml:space="preserve"> </w:t>
      </w:r>
      <w:r w:rsidR="006316A7" w:rsidRPr="00270C08">
        <w:rPr>
          <w:rFonts w:ascii="Arial" w:hAnsi="Arial" w:cs="Arial"/>
          <w:i/>
          <w:iCs/>
        </w:rPr>
        <w:t>Tyulu</w:t>
      </w:r>
      <w:r w:rsidR="006316A7" w:rsidRPr="00270C08">
        <w:rPr>
          <w:rFonts w:ascii="Arial" w:hAnsi="Arial" w:cs="Arial"/>
          <w:lang w:val="en-GB"/>
        </w:rPr>
        <w:t xml:space="preserve">  </w:t>
      </w:r>
      <w:r w:rsidR="006316A7" w:rsidRPr="006316A7">
        <w:rPr>
          <w:rFonts w:ascii="Arial" w:hAnsi="Arial" w:cs="Arial"/>
          <w:lang w:val="en-GB"/>
        </w:rPr>
        <w:t>s</w:t>
      </w:r>
      <w:r w:rsidRPr="006316A7">
        <w:rPr>
          <w:rFonts w:ascii="Arial" w:hAnsi="Arial" w:cs="Arial"/>
          <w:lang w:val="en-GB"/>
        </w:rPr>
        <w:t>upra</w:t>
      </w:r>
    </w:p>
  </w:footnote>
  <w:footnote w:id="16">
    <w:p w14:paraId="61B8804D" w14:textId="3303584D" w:rsidR="003D05ED" w:rsidRPr="003D05ED" w:rsidRDefault="003D05ED">
      <w:pPr>
        <w:pStyle w:val="FootnoteText"/>
        <w:rPr>
          <w:rFonts w:ascii="Arial" w:hAnsi="Arial" w:cs="Arial"/>
          <w:lang w:val="en-GB"/>
        </w:rPr>
      </w:pPr>
      <w:r w:rsidRPr="00270C08">
        <w:rPr>
          <w:rStyle w:val="FootnoteReference"/>
          <w:rFonts w:ascii="Arial" w:hAnsi="Arial" w:cs="Arial"/>
        </w:rPr>
        <w:footnoteRef/>
      </w:r>
      <w:r w:rsidRPr="00270C08">
        <w:rPr>
          <w:rFonts w:ascii="Arial" w:hAnsi="Arial" w:cs="Arial"/>
        </w:rPr>
        <w:t xml:space="preserve"> </w:t>
      </w:r>
      <w:r w:rsidR="006316A7" w:rsidRPr="006316A7">
        <w:rPr>
          <w:rFonts w:ascii="Arial" w:hAnsi="Arial" w:cs="Arial"/>
          <w:i/>
          <w:iCs/>
        </w:rPr>
        <w:t>Peterson v Minister of Safety and Security</w:t>
      </w:r>
      <w:r w:rsidR="006316A7" w:rsidRPr="006316A7">
        <w:rPr>
          <w:rFonts w:ascii="Arial" w:hAnsi="Arial" w:cs="Arial"/>
          <w:lang w:val="en-GB"/>
        </w:rPr>
        <w:t xml:space="preserve"> </w:t>
      </w:r>
      <w:r w:rsidRPr="006316A7">
        <w:rPr>
          <w:rFonts w:ascii="Arial" w:hAnsi="Arial" w:cs="Arial"/>
          <w:lang w:val="en-GB"/>
        </w:rPr>
        <w:t>[2009] ZAECGHC 65 at para 15</w:t>
      </w:r>
    </w:p>
  </w:footnote>
  <w:footnote w:id="17">
    <w:p w14:paraId="1ABC6BB6" w14:textId="534B2521" w:rsidR="003D6EC9" w:rsidRPr="00B645CD" w:rsidRDefault="003D6EC9">
      <w:pPr>
        <w:pStyle w:val="FootnoteText"/>
        <w:rPr>
          <w:rFonts w:ascii="Arial" w:hAnsi="Arial" w:cs="Arial"/>
          <w:lang w:val="en-GB"/>
        </w:rPr>
      </w:pPr>
      <w:r w:rsidRPr="00270C08">
        <w:rPr>
          <w:rStyle w:val="FootnoteReference"/>
          <w:rFonts w:ascii="Arial" w:hAnsi="Arial" w:cs="Arial"/>
        </w:rPr>
        <w:footnoteRef/>
      </w:r>
      <w:r w:rsidRPr="00270C08">
        <w:rPr>
          <w:rFonts w:ascii="Arial" w:hAnsi="Arial" w:cs="Arial"/>
        </w:rPr>
        <w:t xml:space="preserve"> </w:t>
      </w:r>
      <w:r w:rsidR="00B645CD" w:rsidRPr="00270C08">
        <w:rPr>
          <w:rFonts w:ascii="Arial" w:hAnsi="Arial" w:cs="Arial"/>
          <w:i/>
          <w:iCs/>
        </w:rPr>
        <w:t>Phakamisa Madingana v Minister of Police</w:t>
      </w:r>
      <w:r w:rsidR="00B645CD" w:rsidRPr="00270C08">
        <w:rPr>
          <w:rFonts w:ascii="Arial" w:hAnsi="Arial" w:cs="Arial"/>
        </w:rPr>
        <w:t xml:space="preserve"> </w:t>
      </w:r>
      <w:r w:rsidRPr="00B645CD">
        <w:rPr>
          <w:rFonts w:ascii="Arial" w:hAnsi="Arial" w:cs="Arial"/>
        </w:rPr>
        <w:t>Case No: 3411/2021, Eastern Cape Division, Makhanda, judgment delivered on 4 April 2022</w:t>
      </w:r>
    </w:p>
  </w:footnote>
  <w:footnote w:id="18">
    <w:p w14:paraId="732D48C1" w14:textId="41BEA77E" w:rsidR="00B854F3" w:rsidRPr="00B645CD" w:rsidRDefault="00B854F3">
      <w:pPr>
        <w:pStyle w:val="FootnoteText"/>
        <w:rPr>
          <w:rFonts w:ascii="Arial" w:hAnsi="Arial" w:cs="Arial"/>
          <w:lang w:val="en-GB"/>
        </w:rPr>
      </w:pPr>
      <w:r w:rsidRPr="00270C08">
        <w:rPr>
          <w:rStyle w:val="FootnoteReference"/>
          <w:rFonts w:ascii="Arial" w:hAnsi="Arial" w:cs="Arial"/>
        </w:rPr>
        <w:footnoteRef/>
      </w:r>
      <w:r w:rsidRPr="00270C08">
        <w:rPr>
          <w:rFonts w:ascii="Arial" w:hAnsi="Arial" w:cs="Arial"/>
        </w:rPr>
        <w:t xml:space="preserve"> </w:t>
      </w:r>
      <w:r w:rsidR="00B645CD" w:rsidRPr="00270C08">
        <w:rPr>
          <w:rFonts w:ascii="Arial" w:hAnsi="Arial" w:cs="Arial"/>
          <w:i/>
          <w:iCs/>
        </w:rPr>
        <w:t>Alvade Daniel Francis v The Minister of Police and Another</w:t>
      </w:r>
      <w:r w:rsidR="00B645CD" w:rsidRPr="00270C08">
        <w:rPr>
          <w:rFonts w:ascii="Arial" w:hAnsi="Arial" w:cs="Arial"/>
          <w:lang w:val="en-GB"/>
        </w:rPr>
        <w:t xml:space="preserve"> </w:t>
      </w:r>
      <w:r w:rsidRPr="00B645CD">
        <w:rPr>
          <w:rFonts w:ascii="Arial" w:hAnsi="Arial" w:cs="Arial"/>
          <w:lang w:val="en-GB"/>
        </w:rPr>
        <w:t>Case No: CA141/2022, Eastern Cape Division, Makhanda, judgment delivered on 7 March 2023</w:t>
      </w:r>
    </w:p>
  </w:footnote>
  <w:footnote w:id="19">
    <w:p w14:paraId="33566200" w14:textId="0BD3325E" w:rsidR="00804CD8" w:rsidRPr="00B645CD" w:rsidRDefault="00804CD8">
      <w:pPr>
        <w:pStyle w:val="FootnoteText"/>
        <w:rPr>
          <w:rFonts w:ascii="Arial" w:hAnsi="Arial" w:cs="Arial"/>
          <w:lang w:val="en-GB"/>
        </w:rPr>
      </w:pPr>
      <w:r w:rsidRPr="00270C08">
        <w:rPr>
          <w:rStyle w:val="FootnoteReference"/>
          <w:rFonts w:ascii="Arial" w:hAnsi="Arial" w:cs="Arial"/>
        </w:rPr>
        <w:footnoteRef/>
      </w:r>
      <w:r w:rsidRPr="00270C08">
        <w:rPr>
          <w:rFonts w:ascii="Arial" w:hAnsi="Arial" w:cs="Arial"/>
        </w:rPr>
        <w:t xml:space="preserve"> </w:t>
      </w:r>
      <w:r w:rsidR="00B645CD" w:rsidRPr="00270C08">
        <w:rPr>
          <w:rFonts w:ascii="Arial" w:hAnsi="Arial" w:cs="Arial"/>
          <w:i/>
          <w:iCs/>
        </w:rPr>
        <w:t>Minister of Police v Nazmoul Hoque</w:t>
      </w:r>
      <w:r w:rsidR="00B645CD" w:rsidRPr="00270C08">
        <w:rPr>
          <w:rFonts w:ascii="Arial" w:hAnsi="Arial" w:cs="Arial"/>
          <w:lang w:val="en-GB"/>
        </w:rPr>
        <w:t xml:space="preserve"> </w:t>
      </w:r>
      <w:r w:rsidRPr="00B645CD">
        <w:rPr>
          <w:rFonts w:ascii="Arial" w:hAnsi="Arial" w:cs="Arial"/>
          <w:lang w:val="en-GB"/>
        </w:rPr>
        <w:t>Case No: CA65/2022, Eastern Cape Division, Makhanda, judgment delivered in May 2023</w:t>
      </w:r>
    </w:p>
  </w:footnote>
  <w:footnote w:id="20">
    <w:p w14:paraId="45BC049F" w14:textId="64B3BC8D" w:rsidR="00B25911" w:rsidRPr="00270C08" w:rsidRDefault="00B25911">
      <w:pPr>
        <w:pStyle w:val="FootnoteText"/>
        <w:rPr>
          <w:rFonts w:ascii="Arial" w:hAnsi="Arial" w:cs="Arial"/>
          <w:i/>
          <w:iCs/>
          <w:lang w:val="en-GB"/>
        </w:rPr>
      </w:pPr>
      <w:r w:rsidRPr="00270C08">
        <w:rPr>
          <w:rStyle w:val="FootnoteReference"/>
          <w:rFonts w:ascii="Arial" w:hAnsi="Arial" w:cs="Arial"/>
        </w:rPr>
        <w:footnoteRef/>
      </w:r>
      <w:r w:rsidRPr="00270C08">
        <w:rPr>
          <w:rFonts w:ascii="Arial" w:hAnsi="Arial" w:cs="Arial"/>
        </w:rPr>
        <w:t xml:space="preserve"> </w:t>
      </w:r>
      <w:r w:rsidR="00B645CD" w:rsidRPr="00270C08">
        <w:rPr>
          <w:rFonts w:ascii="Arial" w:hAnsi="Arial" w:cs="Arial"/>
          <w:i/>
          <w:iCs/>
        </w:rPr>
        <w:t>Peterson v Minister of Safety &amp; Security</w:t>
      </w:r>
      <w:r w:rsidR="00B645CD" w:rsidRPr="00270C08">
        <w:rPr>
          <w:rFonts w:ascii="Arial" w:hAnsi="Arial" w:cs="Arial"/>
          <w:lang w:val="en-GB"/>
        </w:rPr>
        <w:t xml:space="preserve"> </w:t>
      </w:r>
      <w:r w:rsidR="00B645CD" w:rsidRPr="00B645CD">
        <w:rPr>
          <w:rFonts w:ascii="Arial" w:hAnsi="Arial" w:cs="Arial"/>
          <w:i/>
          <w:iCs/>
          <w:lang w:val="en-GB"/>
        </w:rPr>
        <w:t>s</w:t>
      </w:r>
      <w:r w:rsidRPr="00270C08">
        <w:rPr>
          <w:rFonts w:ascii="Arial" w:hAnsi="Arial" w:cs="Arial"/>
          <w:i/>
          <w:iCs/>
          <w:lang w:val="en-GB"/>
        </w:rPr>
        <w:t>upra</w:t>
      </w:r>
    </w:p>
  </w:footnote>
  <w:footnote w:id="21">
    <w:p w14:paraId="2A113F55" w14:textId="495676D9" w:rsidR="000D272F" w:rsidRPr="000D272F" w:rsidRDefault="000D272F">
      <w:pPr>
        <w:pStyle w:val="FootnoteText"/>
        <w:rPr>
          <w:rFonts w:ascii="Arial" w:hAnsi="Arial" w:cs="Arial"/>
          <w:lang w:val="en-GB"/>
        </w:rPr>
      </w:pPr>
      <w:r w:rsidRPr="00270C08">
        <w:rPr>
          <w:rStyle w:val="FootnoteReference"/>
          <w:rFonts w:ascii="Arial" w:hAnsi="Arial" w:cs="Arial"/>
        </w:rPr>
        <w:footnoteRef/>
      </w:r>
      <w:r w:rsidRPr="00270C08">
        <w:rPr>
          <w:rFonts w:ascii="Arial" w:hAnsi="Arial" w:cs="Arial"/>
        </w:rPr>
        <w:t xml:space="preserve"> </w:t>
      </w:r>
      <w:r w:rsidR="00B645CD" w:rsidRPr="00270C08">
        <w:rPr>
          <w:rFonts w:ascii="Arial" w:hAnsi="Arial" w:cs="Arial"/>
          <w:i/>
          <w:iCs/>
        </w:rPr>
        <w:t>Martins v The Minister of Police</w:t>
      </w:r>
      <w:r w:rsidR="00B645CD" w:rsidRPr="00270C08">
        <w:rPr>
          <w:rFonts w:ascii="Arial" w:hAnsi="Arial" w:cs="Arial"/>
          <w:lang w:val="en-GB"/>
        </w:rPr>
        <w:t xml:space="preserve"> </w:t>
      </w:r>
      <w:r w:rsidRPr="00B645CD">
        <w:rPr>
          <w:rFonts w:ascii="Arial" w:hAnsi="Arial" w:cs="Arial"/>
          <w:lang w:val="en-GB"/>
        </w:rPr>
        <w:t>(1400/2011) [2013] ZAECPEHC 27 (4 June 2013)</w:t>
      </w:r>
    </w:p>
  </w:footnote>
  <w:footnote w:id="22">
    <w:p w14:paraId="147649FE" w14:textId="01AB6C9A" w:rsidR="004221AE" w:rsidRPr="00B645CD" w:rsidRDefault="004221AE">
      <w:pPr>
        <w:pStyle w:val="FootnoteText"/>
        <w:rPr>
          <w:rFonts w:ascii="Arial" w:hAnsi="Arial" w:cs="Arial"/>
          <w:lang w:val="en-GB"/>
        </w:rPr>
      </w:pPr>
      <w:r w:rsidRPr="00270C08">
        <w:rPr>
          <w:rStyle w:val="FootnoteReference"/>
          <w:rFonts w:ascii="Arial" w:hAnsi="Arial" w:cs="Arial"/>
        </w:rPr>
        <w:footnoteRef/>
      </w:r>
      <w:r w:rsidRPr="00270C08">
        <w:rPr>
          <w:rFonts w:ascii="Arial" w:hAnsi="Arial" w:cs="Arial"/>
        </w:rPr>
        <w:t xml:space="preserve"> </w:t>
      </w:r>
      <w:r w:rsidRPr="00B645CD">
        <w:rPr>
          <w:rFonts w:ascii="Arial" w:hAnsi="Arial" w:cs="Arial"/>
          <w:lang w:val="en-GB"/>
        </w:rPr>
        <w:t>(CA 62/2017 [2018] ZAECGHC) 23 January 2018</w:t>
      </w:r>
    </w:p>
  </w:footnote>
  <w:footnote w:id="23">
    <w:p w14:paraId="4E95106F" w14:textId="55397BE6" w:rsidR="00FA535B" w:rsidRPr="00B645CD" w:rsidRDefault="00FA535B">
      <w:pPr>
        <w:pStyle w:val="FootnoteText"/>
        <w:rPr>
          <w:rFonts w:ascii="Arial" w:hAnsi="Arial" w:cs="Arial"/>
          <w:lang w:val="en-GB"/>
        </w:rPr>
      </w:pPr>
      <w:r w:rsidRPr="00270C08">
        <w:rPr>
          <w:rStyle w:val="FootnoteReference"/>
          <w:rFonts w:ascii="Arial" w:hAnsi="Arial" w:cs="Arial"/>
        </w:rPr>
        <w:footnoteRef/>
      </w:r>
      <w:r w:rsidRPr="00270C08">
        <w:rPr>
          <w:rFonts w:ascii="Arial" w:hAnsi="Arial" w:cs="Arial"/>
        </w:rPr>
        <w:t xml:space="preserve"> </w:t>
      </w:r>
      <w:r w:rsidR="00B645CD" w:rsidRPr="00270C08">
        <w:rPr>
          <w:rFonts w:ascii="Arial" w:hAnsi="Arial" w:cs="Arial"/>
          <w:i/>
          <w:iCs/>
        </w:rPr>
        <w:t>Minister of Police v Lonwabo Mjali &amp; Others</w:t>
      </w:r>
      <w:r w:rsidR="00B645CD" w:rsidRPr="00270C08">
        <w:rPr>
          <w:rFonts w:ascii="Arial" w:hAnsi="Arial" w:cs="Arial"/>
          <w:lang w:val="en-GB"/>
        </w:rPr>
        <w:t xml:space="preserve"> </w:t>
      </w:r>
      <w:r w:rsidRPr="00B645CD">
        <w:rPr>
          <w:rFonts w:ascii="Arial" w:hAnsi="Arial" w:cs="Arial"/>
          <w:lang w:val="en-GB"/>
        </w:rPr>
        <w:t>Case No: CA 91/2022, Eastern Cape Division, Mthatha</w:t>
      </w:r>
    </w:p>
  </w:footnote>
  <w:footnote w:id="24">
    <w:p w14:paraId="097204E8" w14:textId="419A73B4" w:rsidR="00584CC7" w:rsidRPr="00584CC7" w:rsidRDefault="00584CC7">
      <w:pPr>
        <w:pStyle w:val="FootnoteText"/>
        <w:rPr>
          <w:lang w:val="en-GB"/>
        </w:rPr>
      </w:pPr>
      <w:r>
        <w:rPr>
          <w:rStyle w:val="FootnoteReference"/>
        </w:rPr>
        <w:footnoteRef/>
      </w:r>
      <w:r>
        <w:t xml:space="preserve"> </w:t>
      </w:r>
      <w:r w:rsidR="007E675E" w:rsidRPr="001D599D">
        <w:rPr>
          <w:rFonts w:ascii="Arial" w:hAnsi="Arial" w:cs="Arial"/>
          <w:i/>
          <w:iCs/>
          <w:lang w:val="en-GB"/>
        </w:rPr>
        <w:t>Mahlangu and Another v Minister of Police</w:t>
      </w:r>
      <w:r w:rsidR="007E675E" w:rsidRPr="005F3AD3">
        <w:rPr>
          <w:rFonts w:ascii="Arial" w:hAnsi="Arial" w:cs="Arial"/>
          <w:lang w:val="en-GB"/>
        </w:rPr>
        <w:t xml:space="preserve"> (CCT 88/20) [2021] ZACC</w:t>
      </w:r>
      <w:r w:rsidR="00A96A82" w:rsidRPr="005F3AD3">
        <w:rPr>
          <w:rFonts w:ascii="Arial" w:hAnsi="Arial" w:cs="Arial"/>
          <w:lang w:val="en-GB"/>
        </w:rPr>
        <w:t xml:space="preserve"> 10; 2021 (7) BLCR 698 (CC); 2021 (2) SACR 595 (CC) (14 May 2021)</w:t>
      </w:r>
      <w:r w:rsidR="00A96A82">
        <w:rPr>
          <w:lang w:val="en-GB"/>
        </w:rPr>
        <w:t>.</w:t>
      </w:r>
    </w:p>
  </w:footnote>
  <w:footnote w:id="25">
    <w:p w14:paraId="5473DF64" w14:textId="545699BF" w:rsidR="00FF7370" w:rsidRPr="00FF7370" w:rsidRDefault="00FF7370">
      <w:pPr>
        <w:pStyle w:val="FootnoteText"/>
        <w:rPr>
          <w:lang w:val="en-GB"/>
        </w:rPr>
      </w:pPr>
      <w:r>
        <w:rPr>
          <w:rStyle w:val="FootnoteReference"/>
        </w:rPr>
        <w:footnoteRef/>
      </w:r>
      <w:r>
        <w:t xml:space="preserve"> </w:t>
      </w:r>
      <w:r w:rsidR="002216FC">
        <w:rPr>
          <w:lang w:val="en-GB"/>
        </w:rPr>
        <w:t>EFF and Others v Manuel (711/2019) [2020] ZASCA 172</w:t>
      </w:r>
      <w:r w:rsidR="006E06BA">
        <w:rPr>
          <w:lang w:val="en-GB"/>
        </w:rPr>
        <w:t xml:space="preserve"> (17 December 2020).</w:t>
      </w:r>
    </w:p>
  </w:footnote>
  <w:footnote w:id="26">
    <w:p w14:paraId="4DB8D50C" w14:textId="30892417" w:rsidR="00506D3C" w:rsidRPr="00506D3C" w:rsidRDefault="00506D3C">
      <w:pPr>
        <w:pStyle w:val="FootnoteText"/>
        <w:rPr>
          <w:lang w:val="en-GB"/>
        </w:rPr>
      </w:pPr>
      <w:r w:rsidRPr="00ED62AC">
        <w:rPr>
          <w:rStyle w:val="FootnoteReference"/>
          <w:rFonts w:ascii="Arial" w:hAnsi="Arial" w:cs="Arial"/>
        </w:rPr>
        <w:footnoteRef/>
      </w:r>
      <w:r w:rsidRPr="00ED62AC">
        <w:rPr>
          <w:rFonts w:ascii="Arial" w:hAnsi="Arial" w:cs="Arial"/>
        </w:rPr>
        <w:t xml:space="preserve"> </w:t>
      </w:r>
      <w:r w:rsidRPr="00ED62AC">
        <w:rPr>
          <w:rFonts w:ascii="Arial" w:hAnsi="Arial" w:cs="Arial"/>
          <w:i/>
          <w:iCs/>
          <w:lang w:val="en-GB"/>
        </w:rPr>
        <w:t>Diljan v Minister of Police</w:t>
      </w:r>
      <w:r w:rsidRPr="00ED62AC">
        <w:rPr>
          <w:rFonts w:ascii="Arial" w:hAnsi="Arial" w:cs="Arial"/>
          <w:lang w:val="en-GB"/>
        </w:rPr>
        <w:t xml:space="preserve"> (Case </w:t>
      </w:r>
      <w:r w:rsidR="00663B03" w:rsidRPr="00ED62AC">
        <w:rPr>
          <w:rFonts w:ascii="Arial" w:hAnsi="Arial" w:cs="Arial"/>
          <w:lang w:val="en-GB"/>
        </w:rPr>
        <w:t>No. 764/2021) ZASCA 103 (24 June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4231804"/>
      <w:docPartObj>
        <w:docPartGallery w:val="Page Numbers (Top of Page)"/>
        <w:docPartUnique/>
      </w:docPartObj>
    </w:sdtPr>
    <w:sdtEndPr>
      <w:rPr>
        <w:noProof/>
      </w:rPr>
    </w:sdtEndPr>
    <w:sdtContent>
      <w:p w14:paraId="22453268" w14:textId="77777777" w:rsidR="00273A01" w:rsidRDefault="00273A01">
        <w:pPr>
          <w:pStyle w:val="Header"/>
          <w:jc w:val="right"/>
        </w:pPr>
        <w:r>
          <w:fldChar w:fldCharType="begin"/>
        </w:r>
        <w:r>
          <w:instrText xml:space="preserve"> PAGE   \* MERGEFORMAT </w:instrText>
        </w:r>
        <w:r>
          <w:fldChar w:fldCharType="separate"/>
        </w:r>
        <w:r w:rsidR="0013121A">
          <w:rPr>
            <w:noProof/>
          </w:rPr>
          <w:t>3</w:t>
        </w:r>
        <w:r>
          <w:rPr>
            <w:noProof/>
          </w:rPr>
          <w:fldChar w:fldCharType="end"/>
        </w:r>
      </w:p>
    </w:sdtContent>
  </w:sdt>
  <w:p w14:paraId="53AB7188" w14:textId="77777777" w:rsidR="00273A01" w:rsidRDefault="00273A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00000885"/>
    <w:lvl w:ilvl="0">
      <w:start w:val="1"/>
      <w:numFmt w:val="decimal"/>
      <w:lvlText w:val="%1."/>
      <w:lvlJc w:val="left"/>
      <w:pPr>
        <w:ind w:left="867" w:hanging="727"/>
      </w:pPr>
      <w:rPr>
        <w:rFonts w:cs="Times New Roman"/>
        <w:b w:val="0"/>
        <w:bCs w:val="0"/>
        <w:spacing w:val="-1"/>
        <w:w w:val="103"/>
      </w:rPr>
    </w:lvl>
    <w:lvl w:ilvl="1">
      <w:numFmt w:val="bullet"/>
      <w:lvlText w:val="•"/>
      <w:lvlJc w:val="left"/>
      <w:pPr>
        <w:ind w:left="1618" w:hanging="157"/>
      </w:pPr>
      <w:rPr>
        <w:rFonts w:ascii="Arial" w:hAnsi="Arial"/>
        <w:b w:val="0"/>
        <w:w w:val="113"/>
        <w:sz w:val="22"/>
      </w:rPr>
    </w:lvl>
    <w:lvl w:ilvl="2">
      <w:numFmt w:val="bullet"/>
      <w:lvlText w:val="•"/>
      <w:lvlJc w:val="left"/>
      <w:pPr>
        <w:ind w:left="2480" w:hanging="157"/>
      </w:pPr>
    </w:lvl>
    <w:lvl w:ilvl="3">
      <w:numFmt w:val="bullet"/>
      <w:lvlText w:val="•"/>
      <w:lvlJc w:val="left"/>
      <w:pPr>
        <w:ind w:left="3341" w:hanging="157"/>
      </w:pPr>
    </w:lvl>
    <w:lvl w:ilvl="4">
      <w:numFmt w:val="bullet"/>
      <w:lvlText w:val="•"/>
      <w:lvlJc w:val="left"/>
      <w:pPr>
        <w:ind w:left="4202" w:hanging="157"/>
      </w:pPr>
    </w:lvl>
    <w:lvl w:ilvl="5">
      <w:numFmt w:val="bullet"/>
      <w:lvlText w:val="•"/>
      <w:lvlJc w:val="left"/>
      <w:pPr>
        <w:ind w:left="5063" w:hanging="157"/>
      </w:pPr>
    </w:lvl>
    <w:lvl w:ilvl="6">
      <w:numFmt w:val="bullet"/>
      <w:lvlText w:val="•"/>
      <w:lvlJc w:val="left"/>
      <w:pPr>
        <w:ind w:left="5924" w:hanging="157"/>
      </w:pPr>
    </w:lvl>
    <w:lvl w:ilvl="7">
      <w:numFmt w:val="bullet"/>
      <w:lvlText w:val="•"/>
      <w:lvlJc w:val="left"/>
      <w:pPr>
        <w:ind w:left="6785" w:hanging="157"/>
      </w:pPr>
    </w:lvl>
    <w:lvl w:ilvl="8">
      <w:numFmt w:val="bullet"/>
      <w:lvlText w:val="•"/>
      <w:lvlJc w:val="left"/>
      <w:pPr>
        <w:ind w:left="7646" w:hanging="157"/>
      </w:pPr>
    </w:lvl>
  </w:abstractNum>
  <w:abstractNum w:abstractNumId="1" w15:restartNumberingAfterBreak="0">
    <w:nsid w:val="00000404"/>
    <w:multiLevelType w:val="multilevel"/>
    <w:tmpl w:val="00000887"/>
    <w:lvl w:ilvl="0">
      <w:start w:val="1"/>
      <w:numFmt w:val="lowerLetter"/>
      <w:lvlText w:val="(%1)"/>
      <w:lvlJc w:val="left"/>
      <w:pPr>
        <w:ind w:left="1970" w:hanging="357"/>
      </w:pPr>
      <w:rPr>
        <w:rFonts w:ascii="Arial" w:hAnsi="Arial" w:cs="Arial"/>
        <w:b w:val="0"/>
        <w:bCs w:val="0"/>
        <w:i/>
        <w:iCs/>
        <w:spacing w:val="-1"/>
        <w:w w:val="105"/>
        <w:sz w:val="21"/>
        <w:szCs w:val="21"/>
      </w:rPr>
    </w:lvl>
    <w:lvl w:ilvl="1">
      <w:numFmt w:val="bullet"/>
      <w:lvlText w:val="•"/>
      <w:lvlJc w:val="left"/>
      <w:pPr>
        <w:ind w:left="2718" w:hanging="357"/>
      </w:pPr>
    </w:lvl>
    <w:lvl w:ilvl="2">
      <w:numFmt w:val="bullet"/>
      <w:lvlText w:val="•"/>
      <w:lvlJc w:val="left"/>
      <w:pPr>
        <w:ind w:left="3457" w:hanging="357"/>
      </w:pPr>
    </w:lvl>
    <w:lvl w:ilvl="3">
      <w:numFmt w:val="bullet"/>
      <w:lvlText w:val="•"/>
      <w:lvlJc w:val="left"/>
      <w:pPr>
        <w:ind w:left="4196" w:hanging="357"/>
      </w:pPr>
    </w:lvl>
    <w:lvl w:ilvl="4">
      <w:numFmt w:val="bullet"/>
      <w:lvlText w:val="•"/>
      <w:lvlJc w:val="left"/>
      <w:pPr>
        <w:ind w:left="4935" w:hanging="357"/>
      </w:pPr>
    </w:lvl>
    <w:lvl w:ilvl="5">
      <w:numFmt w:val="bullet"/>
      <w:lvlText w:val="•"/>
      <w:lvlJc w:val="left"/>
      <w:pPr>
        <w:ind w:left="5674" w:hanging="357"/>
      </w:pPr>
    </w:lvl>
    <w:lvl w:ilvl="6">
      <w:numFmt w:val="bullet"/>
      <w:lvlText w:val="•"/>
      <w:lvlJc w:val="left"/>
      <w:pPr>
        <w:ind w:left="6413" w:hanging="357"/>
      </w:pPr>
    </w:lvl>
    <w:lvl w:ilvl="7">
      <w:numFmt w:val="bullet"/>
      <w:lvlText w:val="•"/>
      <w:lvlJc w:val="left"/>
      <w:pPr>
        <w:ind w:left="7152" w:hanging="357"/>
      </w:pPr>
    </w:lvl>
    <w:lvl w:ilvl="8">
      <w:numFmt w:val="bullet"/>
      <w:lvlText w:val="•"/>
      <w:lvlJc w:val="left"/>
      <w:pPr>
        <w:ind w:left="7891" w:hanging="357"/>
      </w:pPr>
    </w:lvl>
  </w:abstractNum>
  <w:abstractNum w:abstractNumId="2" w15:restartNumberingAfterBreak="0">
    <w:nsid w:val="129A4D4F"/>
    <w:multiLevelType w:val="hybridMultilevel"/>
    <w:tmpl w:val="09D47B72"/>
    <w:lvl w:ilvl="0" w:tplc="9BE8BF9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75D4676"/>
    <w:multiLevelType w:val="hybridMultilevel"/>
    <w:tmpl w:val="AD36A4F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8B654A5"/>
    <w:multiLevelType w:val="hybridMultilevel"/>
    <w:tmpl w:val="0B38CF7A"/>
    <w:lvl w:ilvl="0" w:tplc="1C09000F">
      <w:start w:val="1"/>
      <w:numFmt w:val="decimal"/>
      <w:lvlText w:val="%1."/>
      <w:lvlJc w:val="left"/>
      <w:pPr>
        <w:ind w:left="3600" w:hanging="360"/>
      </w:p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5" w15:restartNumberingAfterBreak="0">
    <w:nsid w:val="39C569F3"/>
    <w:multiLevelType w:val="hybridMultilevel"/>
    <w:tmpl w:val="B3E27E2A"/>
    <w:lvl w:ilvl="0" w:tplc="2F08AC52">
      <w:start w:val="1"/>
      <w:numFmt w:val="decimal"/>
      <w:lvlText w:val="[%1]"/>
      <w:lvlJc w:val="left"/>
      <w:pPr>
        <w:ind w:left="6480" w:hanging="360"/>
      </w:pPr>
      <w:rPr>
        <w:rFonts w:hint="default"/>
      </w:rPr>
    </w:lvl>
    <w:lvl w:ilvl="1" w:tplc="1C090019" w:tentative="1">
      <w:start w:val="1"/>
      <w:numFmt w:val="lowerLetter"/>
      <w:lvlText w:val="%2."/>
      <w:lvlJc w:val="left"/>
      <w:pPr>
        <w:ind w:left="7200" w:hanging="360"/>
      </w:pPr>
    </w:lvl>
    <w:lvl w:ilvl="2" w:tplc="1C09001B" w:tentative="1">
      <w:start w:val="1"/>
      <w:numFmt w:val="lowerRoman"/>
      <w:lvlText w:val="%3."/>
      <w:lvlJc w:val="right"/>
      <w:pPr>
        <w:ind w:left="7920" w:hanging="180"/>
      </w:pPr>
    </w:lvl>
    <w:lvl w:ilvl="3" w:tplc="1C09000F" w:tentative="1">
      <w:start w:val="1"/>
      <w:numFmt w:val="decimal"/>
      <w:lvlText w:val="%4."/>
      <w:lvlJc w:val="left"/>
      <w:pPr>
        <w:ind w:left="8640" w:hanging="360"/>
      </w:pPr>
    </w:lvl>
    <w:lvl w:ilvl="4" w:tplc="1C090019" w:tentative="1">
      <w:start w:val="1"/>
      <w:numFmt w:val="lowerLetter"/>
      <w:lvlText w:val="%5."/>
      <w:lvlJc w:val="left"/>
      <w:pPr>
        <w:ind w:left="9360" w:hanging="360"/>
      </w:pPr>
    </w:lvl>
    <w:lvl w:ilvl="5" w:tplc="1C09001B" w:tentative="1">
      <w:start w:val="1"/>
      <w:numFmt w:val="lowerRoman"/>
      <w:lvlText w:val="%6."/>
      <w:lvlJc w:val="right"/>
      <w:pPr>
        <w:ind w:left="10080" w:hanging="180"/>
      </w:pPr>
    </w:lvl>
    <w:lvl w:ilvl="6" w:tplc="1C09000F" w:tentative="1">
      <w:start w:val="1"/>
      <w:numFmt w:val="decimal"/>
      <w:lvlText w:val="%7."/>
      <w:lvlJc w:val="left"/>
      <w:pPr>
        <w:ind w:left="10800" w:hanging="360"/>
      </w:pPr>
    </w:lvl>
    <w:lvl w:ilvl="7" w:tplc="1C090019" w:tentative="1">
      <w:start w:val="1"/>
      <w:numFmt w:val="lowerLetter"/>
      <w:lvlText w:val="%8."/>
      <w:lvlJc w:val="left"/>
      <w:pPr>
        <w:ind w:left="11520" w:hanging="360"/>
      </w:pPr>
    </w:lvl>
    <w:lvl w:ilvl="8" w:tplc="1C09001B" w:tentative="1">
      <w:start w:val="1"/>
      <w:numFmt w:val="lowerRoman"/>
      <w:lvlText w:val="%9."/>
      <w:lvlJc w:val="right"/>
      <w:pPr>
        <w:ind w:left="12240" w:hanging="180"/>
      </w:pPr>
    </w:lvl>
  </w:abstractNum>
  <w:abstractNum w:abstractNumId="6" w15:restartNumberingAfterBreak="0">
    <w:nsid w:val="3D6A5EC0"/>
    <w:multiLevelType w:val="hybridMultilevel"/>
    <w:tmpl w:val="81E48EC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0496D45"/>
    <w:multiLevelType w:val="hybridMultilevel"/>
    <w:tmpl w:val="63B6D980"/>
    <w:lvl w:ilvl="0" w:tplc="1C09000F">
      <w:start w:val="1"/>
      <w:numFmt w:val="decimal"/>
      <w:lvlText w:val="%1."/>
      <w:lvlJc w:val="left"/>
      <w:pPr>
        <w:ind w:left="3600" w:hanging="360"/>
      </w:p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8" w15:restartNumberingAfterBreak="0">
    <w:nsid w:val="49422EC6"/>
    <w:multiLevelType w:val="hybridMultilevel"/>
    <w:tmpl w:val="DD14CD26"/>
    <w:lvl w:ilvl="0" w:tplc="2F08AC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17D07A5"/>
    <w:multiLevelType w:val="hybridMultilevel"/>
    <w:tmpl w:val="F126CA40"/>
    <w:lvl w:ilvl="0" w:tplc="A8543F04">
      <w:start w:val="201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4BE78F7"/>
    <w:multiLevelType w:val="multilevel"/>
    <w:tmpl w:val="7D1CFC3E"/>
    <w:lvl w:ilvl="0">
      <w:start w:val="20"/>
      <w:numFmt w:val="decimal"/>
      <w:lvlText w:val="[%1]"/>
      <w:lvlJc w:val="left"/>
      <w:pPr>
        <w:ind w:left="867" w:hanging="727"/>
      </w:pPr>
      <w:rPr>
        <w:rFonts w:hint="default"/>
        <w:b w:val="0"/>
        <w:bCs w:val="0"/>
        <w:spacing w:val="-1"/>
        <w:w w:val="103"/>
      </w:rPr>
    </w:lvl>
    <w:lvl w:ilvl="1">
      <w:numFmt w:val="bullet"/>
      <w:lvlText w:val="•"/>
      <w:lvlJc w:val="left"/>
      <w:pPr>
        <w:ind w:left="1618" w:hanging="157"/>
      </w:pPr>
      <w:rPr>
        <w:rFonts w:ascii="Arial" w:hAnsi="Arial" w:hint="default"/>
        <w:b w:val="0"/>
        <w:w w:val="113"/>
        <w:sz w:val="22"/>
      </w:rPr>
    </w:lvl>
    <w:lvl w:ilvl="2">
      <w:numFmt w:val="bullet"/>
      <w:lvlText w:val="•"/>
      <w:lvlJc w:val="left"/>
      <w:pPr>
        <w:ind w:left="2480" w:hanging="157"/>
      </w:pPr>
      <w:rPr>
        <w:rFonts w:hint="default"/>
      </w:rPr>
    </w:lvl>
    <w:lvl w:ilvl="3">
      <w:numFmt w:val="bullet"/>
      <w:lvlText w:val="•"/>
      <w:lvlJc w:val="left"/>
      <w:pPr>
        <w:ind w:left="3341" w:hanging="157"/>
      </w:pPr>
      <w:rPr>
        <w:rFonts w:hint="default"/>
      </w:rPr>
    </w:lvl>
    <w:lvl w:ilvl="4">
      <w:numFmt w:val="bullet"/>
      <w:lvlText w:val="•"/>
      <w:lvlJc w:val="left"/>
      <w:pPr>
        <w:ind w:left="4202" w:hanging="157"/>
      </w:pPr>
      <w:rPr>
        <w:rFonts w:hint="default"/>
      </w:rPr>
    </w:lvl>
    <w:lvl w:ilvl="5">
      <w:numFmt w:val="bullet"/>
      <w:lvlText w:val="•"/>
      <w:lvlJc w:val="left"/>
      <w:pPr>
        <w:ind w:left="5063" w:hanging="157"/>
      </w:pPr>
      <w:rPr>
        <w:rFonts w:hint="default"/>
      </w:rPr>
    </w:lvl>
    <w:lvl w:ilvl="6">
      <w:numFmt w:val="bullet"/>
      <w:lvlText w:val="•"/>
      <w:lvlJc w:val="left"/>
      <w:pPr>
        <w:ind w:left="5924" w:hanging="157"/>
      </w:pPr>
      <w:rPr>
        <w:rFonts w:hint="default"/>
      </w:rPr>
    </w:lvl>
    <w:lvl w:ilvl="7">
      <w:numFmt w:val="bullet"/>
      <w:lvlText w:val="•"/>
      <w:lvlJc w:val="left"/>
      <w:pPr>
        <w:ind w:left="6785" w:hanging="157"/>
      </w:pPr>
      <w:rPr>
        <w:rFonts w:hint="default"/>
      </w:rPr>
    </w:lvl>
    <w:lvl w:ilvl="8">
      <w:numFmt w:val="bullet"/>
      <w:lvlText w:val="•"/>
      <w:lvlJc w:val="left"/>
      <w:pPr>
        <w:ind w:left="7646" w:hanging="157"/>
      </w:pPr>
      <w:rPr>
        <w:rFonts w:hint="default"/>
      </w:rPr>
    </w:lvl>
  </w:abstractNum>
  <w:abstractNum w:abstractNumId="11" w15:restartNumberingAfterBreak="0">
    <w:nsid w:val="76DE6E59"/>
    <w:multiLevelType w:val="hybridMultilevel"/>
    <w:tmpl w:val="595CB08E"/>
    <w:lvl w:ilvl="0" w:tplc="2F08AC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BDC69E2"/>
    <w:multiLevelType w:val="hybridMultilevel"/>
    <w:tmpl w:val="21E017AA"/>
    <w:lvl w:ilvl="0" w:tplc="2F08AC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ED90F0D"/>
    <w:multiLevelType w:val="hybridMultilevel"/>
    <w:tmpl w:val="DDFA60A4"/>
    <w:lvl w:ilvl="0" w:tplc="D65C0B28">
      <w:start w:val="1"/>
      <w:numFmt w:val="decimal"/>
      <w:lvlText w:val="[%1]"/>
      <w:lvlJc w:val="left"/>
      <w:pPr>
        <w:ind w:left="36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758206602">
    <w:abstractNumId w:val="11"/>
  </w:num>
  <w:num w:numId="2" w16cid:durableId="529143400">
    <w:abstractNumId w:val="13"/>
  </w:num>
  <w:num w:numId="3" w16cid:durableId="1835218404">
    <w:abstractNumId w:val="7"/>
  </w:num>
  <w:num w:numId="4" w16cid:durableId="1522402013">
    <w:abstractNumId w:val="4"/>
  </w:num>
  <w:num w:numId="5" w16cid:durableId="1157964503">
    <w:abstractNumId w:val="5"/>
  </w:num>
  <w:num w:numId="6" w16cid:durableId="1693603265">
    <w:abstractNumId w:val="8"/>
  </w:num>
  <w:num w:numId="7" w16cid:durableId="1453669069">
    <w:abstractNumId w:val="6"/>
  </w:num>
  <w:num w:numId="8" w16cid:durableId="334505306">
    <w:abstractNumId w:val="12"/>
  </w:num>
  <w:num w:numId="9" w16cid:durableId="1795515855">
    <w:abstractNumId w:val="1"/>
  </w:num>
  <w:num w:numId="10" w16cid:durableId="710765744">
    <w:abstractNumId w:val="0"/>
  </w:num>
  <w:num w:numId="11" w16cid:durableId="935477960">
    <w:abstractNumId w:val="3"/>
  </w:num>
  <w:num w:numId="12" w16cid:durableId="1215583700">
    <w:abstractNumId w:val="10"/>
  </w:num>
  <w:num w:numId="13" w16cid:durableId="1685746293">
    <w:abstractNumId w:val="9"/>
  </w:num>
  <w:num w:numId="14" w16cid:durableId="17421740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047"/>
    <w:rsid w:val="000006A2"/>
    <w:rsid w:val="000012A7"/>
    <w:rsid w:val="00001E17"/>
    <w:rsid w:val="00003BC9"/>
    <w:rsid w:val="00005AA9"/>
    <w:rsid w:val="0000613D"/>
    <w:rsid w:val="000112FF"/>
    <w:rsid w:val="00011625"/>
    <w:rsid w:val="00012C7D"/>
    <w:rsid w:val="0001338F"/>
    <w:rsid w:val="000141A9"/>
    <w:rsid w:val="000144D1"/>
    <w:rsid w:val="00014FB2"/>
    <w:rsid w:val="00015429"/>
    <w:rsid w:val="00015FAB"/>
    <w:rsid w:val="00016156"/>
    <w:rsid w:val="00022C60"/>
    <w:rsid w:val="00023385"/>
    <w:rsid w:val="00025B02"/>
    <w:rsid w:val="00026328"/>
    <w:rsid w:val="00026730"/>
    <w:rsid w:val="0003056C"/>
    <w:rsid w:val="00031567"/>
    <w:rsid w:val="0003253A"/>
    <w:rsid w:val="000328BA"/>
    <w:rsid w:val="00033562"/>
    <w:rsid w:val="00034C89"/>
    <w:rsid w:val="000353AE"/>
    <w:rsid w:val="0003705E"/>
    <w:rsid w:val="00037594"/>
    <w:rsid w:val="00037BEB"/>
    <w:rsid w:val="000400D8"/>
    <w:rsid w:val="0004305B"/>
    <w:rsid w:val="0004422A"/>
    <w:rsid w:val="000448DB"/>
    <w:rsid w:val="00044B8A"/>
    <w:rsid w:val="00050C3E"/>
    <w:rsid w:val="0005503E"/>
    <w:rsid w:val="000572BC"/>
    <w:rsid w:val="00062C61"/>
    <w:rsid w:val="00063025"/>
    <w:rsid w:val="00063E48"/>
    <w:rsid w:val="0006430E"/>
    <w:rsid w:val="00064542"/>
    <w:rsid w:val="0006526A"/>
    <w:rsid w:val="000658AA"/>
    <w:rsid w:val="000668D5"/>
    <w:rsid w:val="000712D5"/>
    <w:rsid w:val="000748E3"/>
    <w:rsid w:val="000808A5"/>
    <w:rsid w:val="00080DD9"/>
    <w:rsid w:val="00083FF6"/>
    <w:rsid w:val="0008450E"/>
    <w:rsid w:val="00086B28"/>
    <w:rsid w:val="000901F7"/>
    <w:rsid w:val="00091006"/>
    <w:rsid w:val="00097462"/>
    <w:rsid w:val="00097DF5"/>
    <w:rsid w:val="00097F00"/>
    <w:rsid w:val="000A0975"/>
    <w:rsid w:val="000A0ED8"/>
    <w:rsid w:val="000A0F89"/>
    <w:rsid w:val="000A4249"/>
    <w:rsid w:val="000A4298"/>
    <w:rsid w:val="000A44F7"/>
    <w:rsid w:val="000A5719"/>
    <w:rsid w:val="000B1601"/>
    <w:rsid w:val="000B307C"/>
    <w:rsid w:val="000B754E"/>
    <w:rsid w:val="000B7C95"/>
    <w:rsid w:val="000C3F0E"/>
    <w:rsid w:val="000C5C97"/>
    <w:rsid w:val="000C678F"/>
    <w:rsid w:val="000C707F"/>
    <w:rsid w:val="000D0939"/>
    <w:rsid w:val="000D1090"/>
    <w:rsid w:val="000D1D52"/>
    <w:rsid w:val="000D20DC"/>
    <w:rsid w:val="000D21DA"/>
    <w:rsid w:val="000D272F"/>
    <w:rsid w:val="000D2894"/>
    <w:rsid w:val="000D2C3C"/>
    <w:rsid w:val="000D64AE"/>
    <w:rsid w:val="000D6947"/>
    <w:rsid w:val="000E0971"/>
    <w:rsid w:val="000E12C3"/>
    <w:rsid w:val="000E3B1A"/>
    <w:rsid w:val="000E50B3"/>
    <w:rsid w:val="000E5326"/>
    <w:rsid w:val="000F0581"/>
    <w:rsid w:val="000F16C2"/>
    <w:rsid w:val="000F1CD2"/>
    <w:rsid w:val="000F20B3"/>
    <w:rsid w:val="000F30DC"/>
    <w:rsid w:val="000F352B"/>
    <w:rsid w:val="000F3666"/>
    <w:rsid w:val="000F4635"/>
    <w:rsid w:val="000F6F73"/>
    <w:rsid w:val="000F7ACB"/>
    <w:rsid w:val="0010015A"/>
    <w:rsid w:val="00101C03"/>
    <w:rsid w:val="00105140"/>
    <w:rsid w:val="00105592"/>
    <w:rsid w:val="00106522"/>
    <w:rsid w:val="0011065A"/>
    <w:rsid w:val="001127B3"/>
    <w:rsid w:val="00114979"/>
    <w:rsid w:val="001149E9"/>
    <w:rsid w:val="00114B4E"/>
    <w:rsid w:val="00115099"/>
    <w:rsid w:val="0011614C"/>
    <w:rsid w:val="00117348"/>
    <w:rsid w:val="001176B2"/>
    <w:rsid w:val="00117BCF"/>
    <w:rsid w:val="001201DA"/>
    <w:rsid w:val="0012041B"/>
    <w:rsid w:val="00120CBC"/>
    <w:rsid w:val="00121245"/>
    <w:rsid w:val="00121C8A"/>
    <w:rsid w:val="00121E0A"/>
    <w:rsid w:val="00123E40"/>
    <w:rsid w:val="00125965"/>
    <w:rsid w:val="00126994"/>
    <w:rsid w:val="00126B49"/>
    <w:rsid w:val="001273C2"/>
    <w:rsid w:val="0013121A"/>
    <w:rsid w:val="00132608"/>
    <w:rsid w:val="00132643"/>
    <w:rsid w:val="001329AB"/>
    <w:rsid w:val="00135255"/>
    <w:rsid w:val="00136096"/>
    <w:rsid w:val="00137EC7"/>
    <w:rsid w:val="00140A5D"/>
    <w:rsid w:val="00141BEF"/>
    <w:rsid w:val="00142CF4"/>
    <w:rsid w:val="001436CD"/>
    <w:rsid w:val="00143EE9"/>
    <w:rsid w:val="00146F9D"/>
    <w:rsid w:val="00146FF5"/>
    <w:rsid w:val="00151517"/>
    <w:rsid w:val="00152138"/>
    <w:rsid w:val="00152235"/>
    <w:rsid w:val="00152855"/>
    <w:rsid w:val="00152FA7"/>
    <w:rsid w:val="00153362"/>
    <w:rsid w:val="00155BCB"/>
    <w:rsid w:val="00157876"/>
    <w:rsid w:val="00160567"/>
    <w:rsid w:val="00160BC2"/>
    <w:rsid w:val="00160C2B"/>
    <w:rsid w:val="00161261"/>
    <w:rsid w:val="00161D7B"/>
    <w:rsid w:val="00165091"/>
    <w:rsid w:val="0017016F"/>
    <w:rsid w:val="00171A39"/>
    <w:rsid w:val="00171DAF"/>
    <w:rsid w:val="00174A61"/>
    <w:rsid w:val="0017763A"/>
    <w:rsid w:val="001802E2"/>
    <w:rsid w:val="001811A6"/>
    <w:rsid w:val="00181332"/>
    <w:rsid w:val="001828BC"/>
    <w:rsid w:val="00184E8B"/>
    <w:rsid w:val="001864F3"/>
    <w:rsid w:val="00194D9D"/>
    <w:rsid w:val="001A00E8"/>
    <w:rsid w:val="001A17A3"/>
    <w:rsid w:val="001A4B01"/>
    <w:rsid w:val="001A522A"/>
    <w:rsid w:val="001A53CA"/>
    <w:rsid w:val="001A57EB"/>
    <w:rsid w:val="001A5C62"/>
    <w:rsid w:val="001A6118"/>
    <w:rsid w:val="001A6A8B"/>
    <w:rsid w:val="001A6C3E"/>
    <w:rsid w:val="001B0488"/>
    <w:rsid w:val="001B05AB"/>
    <w:rsid w:val="001B0B7F"/>
    <w:rsid w:val="001B0E6A"/>
    <w:rsid w:val="001B14F6"/>
    <w:rsid w:val="001B29E9"/>
    <w:rsid w:val="001B4268"/>
    <w:rsid w:val="001B4A90"/>
    <w:rsid w:val="001B52A6"/>
    <w:rsid w:val="001B7820"/>
    <w:rsid w:val="001C075A"/>
    <w:rsid w:val="001C0FF6"/>
    <w:rsid w:val="001C1FA2"/>
    <w:rsid w:val="001C25DE"/>
    <w:rsid w:val="001C310F"/>
    <w:rsid w:val="001C44C3"/>
    <w:rsid w:val="001C4CC7"/>
    <w:rsid w:val="001C53AB"/>
    <w:rsid w:val="001C70CD"/>
    <w:rsid w:val="001C745F"/>
    <w:rsid w:val="001D24E5"/>
    <w:rsid w:val="001D2A2F"/>
    <w:rsid w:val="001D2AC4"/>
    <w:rsid w:val="001D599D"/>
    <w:rsid w:val="001D668F"/>
    <w:rsid w:val="001D7D21"/>
    <w:rsid w:val="001E10FC"/>
    <w:rsid w:val="001E1ED6"/>
    <w:rsid w:val="001E205F"/>
    <w:rsid w:val="001E289F"/>
    <w:rsid w:val="001E2A26"/>
    <w:rsid w:val="001E32FE"/>
    <w:rsid w:val="001F0B53"/>
    <w:rsid w:val="001F0FD9"/>
    <w:rsid w:val="001F2A95"/>
    <w:rsid w:val="001F5CC1"/>
    <w:rsid w:val="002000F0"/>
    <w:rsid w:val="0020144B"/>
    <w:rsid w:val="0020485B"/>
    <w:rsid w:val="0020632D"/>
    <w:rsid w:val="002070EC"/>
    <w:rsid w:val="00210BEB"/>
    <w:rsid w:val="00211832"/>
    <w:rsid w:val="00212D87"/>
    <w:rsid w:val="00214C06"/>
    <w:rsid w:val="002170AD"/>
    <w:rsid w:val="00217291"/>
    <w:rsid w:val="00217BE5"/>
    <w:rsid w:val="00220D5A"/>
    <w:rsid w:val="0022131E"/>
    <w:rsid w:val="0022148A"/>
    <w:rsid w:val="002216FC"/>
    <w:rsid w:val="00222BDA"/>
    <w:rsid w:val="0022546F"/>
    <w:rsid w:val="00225F4B"/>
    <w:rsid w:val="00226346"/>
    <w:rsid w:val="00234358"/>
    <w:rsid w:val="0024028C"/>
    <w:rsid w:val="0024391B"/>
    <w:rsid w:val="00243FFF"/>
    <w:rsid w:val="00245346"/>
    <w:rsid w:val="00250387"/>
    <w:rsid w:val="00251437"/>
    <w:rsid w:val="00251B0D"/>
    <w:rsid w:val="00253532"/>
    <w:rsid w:val="002550D5"/>
    <w:rsid w:val="0026210A"/>
    <w:rsid w:val="0026757F"/>
    <w:rsid w:val="002704E0"/>
    <w:rsid w:val="00270C08"/>
    <w:rsid w:val="002712CE"/>
    <w:rsid w:val="002731D9"/>
    <w:rsid w:val="00273A01"/>
    <w:rsid w:val="00274878"/>
    <w:rsid w:val="0027668C"/>
    <w:rsid w:val="00276A6C"/>
    <w:rsid w:val="002845C0"/>
    <w:rsid w:val="0028469E"/>
    <w:rsid w:val="00287482"/>
    <w:rsid w:val="002913F5"/>
    <w:rsid w:val="002929A7"/>
    <w:rsid w:val="0029564D"/>
    <w:rsid w:val="00295953"/>
    <w:rsid w:val="002A08B5"/>
    <w:rsid w:val="002A0C34"/>
    <w:rsid w:val="002A16FB"/>
    <w:rsid w:val="002A1FAF"/>
    <w:rsid w:val="002A4074"/>
    <w:rsid w:val="002A413D"/>
    <w:rsid w:val="002A62C0"/>
    <w:rsid w:val="002B253F"/>
    <w:rsid w:val="002B3BFE"/>
    <w:rsid w:val="002B5EA2"/>
    <w:rsid w:val="002C0E17"/>
    <w:rsid w:val="002C3600"/>
    <w:rsid w:val="002C3F60"/>
    <w:rsid w:val="002C5A91"/>
    <w:rsid w:val="002C7695"/>
    <w:rsid w:val="002D12DF"/>
    <w:rsid w:val="002D2A29"/>
    <w:rsid w:val="002D3C54"/>
    <w:rsid w:val="002D4F50"/>
    <w:rsid w:val="002D6FD7"/>
    <w:rsid w:val="002E1299"/>
    <w:rsid w:val="002E12CA"/>
    <w:rsid w:val="002E19EB"/>
    <w:rsid w:val="002E27E5"/>
    <w:rsid w:val="002E3339"/>
    <w:rsid w:val="002E3D3A"/>
    <w:rsid w:val="002E4E94"/>
    <w:rsid w:val="002E4EE6"/>
    <w:rsid w:val="002E52AE"/>
    <w:rsid w:val="002E5D04"/>
    <w:rsid w:val="002E7EFF"/>
    <w:rsid w:val="002F1FAE"/>
    <w:rsid w:val="002F3751"/>
    <w:rsid w:val="002F392E"/>
    <w:rsid w:val="002F3EB9"/>
    <w:rsid w:val="002F3F4F"/>
    <w:rsid w:val="002F474F"/>
    <w:rsid w:val="002F5424"/>
    <w:rsid w:val="002F5B71"/>
    <w:rsid w:val="002F5F7B"/>
    <w:rsid w:val="002F622B"/>
    <w:rsid w:val="00300E45"/>
    <w:rsid w:val="00301631"/>
    <w:rsid w:val="0030223D"/>
    <w:rsid w:val="00302C55"/>
    <w:rsid w:val="003035F9"/>
    <w:rsid w:val="0030387A"/>
    <w:rsid w:val="00303CEC"/>
    <w:rsid w:val="0030505B"/>
    <w:rsid w:val="00305833"/>
    <w:rsid w:val="0030788E"/>
    <w:rsid w:val="003079ED"/>
    <w:rsid w:val="00310751"/>
    <w:rsid w:val="00311A5E"/>
    <w:rsid w:val="0031515D"/>
    <w:rsid w:val="00317D1C"/>
    <w:rsid w:val="0032057F"/>
    <w:rsid w:val="003219F0"/>
    <w:rsid w:val="0032621F"/>
    <w:rsid w:val="003315A3"/>
    <w:rsid w:val="003325BC"/>
    <w:rsid w:val="00335BED"/>
    <w:rsid w:val="00337087"/>
    <w:rsid w:val="00340315"/>
    <w:rsid w:val="00341128"/>
    <w:rsid w:val="00341B64"/>
    <w:rsid w:val="00342E15"/>
    <w:rsid w:val="003452C8"/>
    <w:rsid w:val="00346239"/>
    <w:rsid w:val="0034639C"/>
    <w:rsid w:val="003463EE"/>
    <w:rsid w:val="003476EF"/>
    <w:rsid w:val="00347D87"/>
    <w:rsid w:val="0035012A"/>
    <w:rsid w:val="0035082C"/>
    <w:rsid w:val="00351067"/>
    <w:rsid w:val="00351484"/>
    <w:rsid w:val="00352894"/>
    <w:rsid w:val="0035433B"/>
    <w:rsid w:val="003557AA"/>
    <w:rsid w:val="00356B46"/>
    <w:rsid w:val="00357016"/>
    <w:rsid w:val="00357AFF"/>
    <w:rsid w:val="0036070B"/>
    <w:rsid w:val="00360B82"/>
    <w:rsid w:val="00363A12"/>
    <w:rsid w:val="003662F5"/>
    <w:rsid w:val="00370FAC"/>
    <w:rsid w:val="0037382E"/>
    <w:rsid w:val="00374FD4"/>
    <w:rsid w:val="00375C6F"/>
    <w:rsid w:val="00376064"/>
    <w:rsid w:val="0037680E"/>
    <w:rsid w:val="00376863"/>
    <w:rsid w:val="003816BE"/>
    <w:rsid w:val="00384717"/>
    <w:rsid w:val="003855FF"/>
    <w:rsid w:val="003860F3"/>
    <w:rsid w:val="003907D6"/>
    <w:rsid w:val="00390C3E"/>
    <w:rsid w:val="003916A8"/>
    <w:rsid w:val="0039306E"/>
    <w:rsid w:val="003945BC"/>
    <w:rsid w:val="00396734"/>
    <w:rsid w:val="003967DE"/>
    <w:rsid w:val="00396AC0"/>
    <w:rsid w:val="003A3E30"/>
    <w:rsid w:val="003A4E16"/>
    <w:rsid w:val="003A5973"/>
    <w:rsid w:val="003A5980"/>
    <w:rsid w:val="003A6209"/>
    <w:rsid w:val="003B1E05"/>
    <w:rsid w:val="003B2010"/>
    <w:rsid w:val="003B2C84"/>
    <w:rsid w:val="003B37AF"/>
    <w:rsid w:val="003B3B68"/>
    <w:rsid w:val="003B41EF"/>
    <w:rsid w:val="003B4488"/>
    <w:rsid w:val="003B4FFE"/>
    <w:rsid w:val="003B5802"/>
    <w:rsid w:val="003C0CEB"/>
    <w:rsid w:val="003C2328"/>
    <w:rsid w:val="003C7678"/>
    <w:rsid w:val="003D0321"/>
    <w:rsid w:val="003D05ED"/>
    <w:rsid w:val="003D28DD"/>
    <w:rsid w:val="003D3DEB"/>
    <w:rsid w:val="003D499D"/>
    <w:rsid w:val="003D6927"/>
    <w:rsid w:val="003D6EC9"/>
    <w:rsid w:val="003E0B74"/>
    <w:rsid w:val="003E1D3D"/>
    <w:rsid w:val="003E23D9"/>
    <w:rsid w:val="003E33E0"/>
    <w:rsid w:val="003E33EB"/>
    <w:rsid w:val="003E3B62"/>
    <w:rsid w:val="003E3C85"/>
    <w:rsid w:val="003F0E14"/>
    <w:rsid w:val="003F16F5"/>
    <w:rsid w:val="003F394A"/>
    <w:rsid w:val="003F497D"/>
    <w:rsid w:val="003F4BDC"/>
    <w:rsid w:val="003F5767"/>
    <w:rsid w:val="003F6A12"/>
    <w:rsid w:val="003F7890"/>
    <w:rsid w:val="0040083E"/>
    <w:rsid w:val="00401590"/>
    <w:rsid w:val="004024E6"/>
    <w:rsid w:val="00402768"/>
    <w:rsid w:val="004057BA"/>
    <w:rsid w:val="00405AB4"/>
    <w:rsid w:val="0041056D"/>
    <w:rsid w:val="00411BF8"/>
    <w:rsid w:val="00420160"/>
    <w:rsid w:val="004221AE"/>
    <w:rsid w:val="0042275D"/>
    <w:rsid w:val="00423629"/>
    <w:rsid w:val="00424C45"/>
    <w:rsid w:val="00426FFC"/>
    <w:rsid w:val="004309F5"/>
    <w:rsid w:val="0043142F"/>
    <w:rsid w:val="0043233A"/>
    <w:rsid w:val="0043403B"/>
    <w:rsid w:val="00434B16"/>
    <w:rsid w:val="004356F3"/>
    <w:rsid w:val="00440C3F"/>
    <w:rsid w:val="00441420"/>
    <w:rsid w:val="0044294B"/>
    <w:rsid w:val="00444303"/>
    <w:rsid w:val="004453CE"/>
    <w:rsid w:val="00445C9D"/>
    <w:rsid w:val="0044658B"/>
    <w:rsid w:val="00446D21"/>
    <w:rsid w:val="0044760A"/>
    <w:rsid w:val="0045033B"/>
    <w:rsid w:val="00450F6B"/>
    <w:rsid w:val="0045504F"/>
    <w:rsid w:val="0045536D"/>
    <w:rsid w:val="00455B3F"/>
    <w:rsid w:val="00457008"/>
    <w:rsid w:val="00460C89"/>
    <w:rsid w:val="004620E1"/>
    <w:rsid w:val="004641AC"/>
    <w:rsid w:val="00464501"/>
    <w:rsid w:val="004647D7"/>
    <w:rsid w:val="00466060"/>
    <w:rsid w:val="00466C9A"/>
    <w:rsid w:val="004673AB"/>
    <w:rsid w:val="004709EF"/>
    <w:rsid w:val="0047142E"/>
    <w:rsid w:val="00471682"/>
    <w:rsid w:val="0047255B"/>
    <w:rsid w:val="00473C92"/>
    <w:rsid w:val="00474A30"/>
    <w:rsid w:val="00474EEA"/>
    <w:rsid w:val="004758DE"/>
    <w:rsid w:val="00475DE3"/>
    <w:rsid w:val="00476163"/>
    <w:rsid w:val="00476228"/>
    <w:rsid w:val="0047746F"/>
    <w:rsid w:val="004807CD"/>
    <w:rsid w:val="0048181A"/>
    <w:rsid w:val="004821D6"/>
    <w:rsid w:val="00482F7B"/>
    <w:rsid w:val="00484076"/>
    <w:rsid w:val="0048427C"/>
    <w:rsid w:val="00486FF9"/>
    <w:rsid w:val="00487D93"/>
    <w:rsid w:val="00490807"/>
    <w:rsid w:val="00492DB8"/>
    <w:rsid w:val="004934DE"/>
    <w:rsid w:val="00493895"/>
    <w:rsid w:val="00495413"/>
    <w:rsid w:val="00496934"/>
    <w:rsid w:val="00496DE2"/>
    <w:rsid w:val="00496F7D"/>
    <w:rsid w:val="004A0823"/>
    <w:rsid w:val="004A1172"/>
    <w:rsid w:val="004A16CE"/>
    <w:rsid w:val="004A220B"/>
    <w:rsid w:val="004A3848"/>
    <w:rsid w:val="004A3BA7"/>
    <w:rsid w:val="004A7128"/>
    <w:rsid w:val="004B13C4"/>
    <w:rsid w:val="004B2FE4"/>
    <w:rsid w:val="004B3C5C"/>
    <w:rsid w:val="004B4222"/>
    <w:rsid w:val="004B5B50"/>
    <w:rsid w:val="004C0595"/>
    <w:rsid w:val="004C06B7"/>
    <w:rsid w:val="004C2678"/>
    <w:rsid w:val="004C3696"/>
    <w:rsid w:val="004D0B4D"/>
    <w:rsid w:val="004D271B"/>
    <w:rsid w:val="004D27DB"/>
    <w:rsid w:val="004D2B22"/>
    <w:rsid w:val="004D2DF5"/>
    <w:rsid w:val="004D2FFD"/>
    <w:rsid w:val="004D3830"/>
    <w:rsid w:val="004D3F4E"/>
    <w:rsid w:val="004D3F9D"/>
    <w:rsid w:val="004D4D74"/>
    <w:rsid w:val="004D4DC6"/>
    <w:rsid w:val="004D6D70"/>
    <w:rsid w:val="004D74D4"/>
    <w:rsid w:val="004D75C0"/>
    <w:rsid w:val="004E5E25"/>
    <w:rsid w:val="004E6047"/>
    <w:rsid w:val="004E69E9"/>
    <w:rsid w:val="004E6A33"/>
    <w:rsid w:val="004F088D"/>
    <w:rsid w:val="004F0AC1"/>
    <w:rsid w:val="004F2205"/>
    <w:rsid w:val="004F3506"/>
    <w:rsid w:val="004F4043"/>
    <w:rsid w:val="004F4593"/>
    <w:rsid w:val="004F45FA"/>
    <w:rsid w:val="004F553D"/>
    <w:rsid w:val="004F57CD"/>
    <w:rsid w:val="004F7735"/>
    <w:rsid w:val="00500E15"/>
    <w:rsid w:val="0050267D"/>
    <w:rsid w:val="00502E84"/>
    <w:rsid w:val="00502F80"/>
    <w:rsid w:val="00505C67"/>
    <w:rsid w:val="00506D3C"/>
    <w:rsid w:val="00510B3A"/>
    <w:rsid w:val="005115B1"/>
    <w:rsid w:val="00512267"/>
    <w:rsid w:val="00513432"/>
    <w:rsid w:val="00515E22"/>
    <w:rsid w:val="00516155"/>
    <w:rsid w:val="00517E8C"/>
    <w:rsid w:val="005205B3"/>
    <w:rsid w:val="00520BC0"/>
    <w:rsid w:val="00520FD6"/>
    <w:rsid w:val="005212D5"/>
    <w:rsid w:val="00523055"/>
    <w:rsid w:val="00524A63"/>
    <w:rsid w:val="0052517C"/>
    <w:rsid w:val="00525B35"/>
    <w:rsid w:val="00530BC6"/>
    <w:rsid w:val="00531497"/>
    <w:rsid w:val="005317E2"/>
    <w:rsid w:val="005361E4"/>
    <w:rsid w:val="00536D67"/>
    <w:rsid w:val="0054079C"/>
    <w:rsid w:val="00542227"/>
    <w:rsid w:val="00543B96"/>
    <w:rsid w:val="00543D3F"/>
    <w:rsid w:val="005455C2"/>
    <w:rsid w:val="005456AB"/>
    <w:rsid w:val="005457A1"/>
    <w:rsid w:val="005459C4"/>
    <w:rsid w:val="005531DF"/>
    <w:rsid w:val="00555BF0"/>
    <w:rsid w:val="00555C45"/>
    <w:rsid w:val="00557F94"/>
    <w:rsid w:val="00560298"/>
    <w:rsid w:val="00560D89"/>
    <w:rsid w:val="0056227C"/>
    <w:rsid w:val="005629AD"/>
    <w:rsid w:val="005633F5"/>
    <w:rsid w:val="00565453"/>
    <w:rsid w:val="00565FF8"/>
    <w:rsid w:val="00573452"/>
    <w:rsid w:val="00575F08"/>
    <w:rsid w:val="00576871"/>
    <w:rsid w:val="005813BC"/>
    <w:rsid w:val="0058159D"/>
    <w:rsid w:val="005827CA"/>
    <w:rsid w:val="00582D69"/>
    <w:rsid w:val="00584CC7"/>
    <w:rsid w:val="00587004"/>
    <w:rsid w:val="00587EA7"/>
    <w:rsid w:val="00591265"/>
    <w:rsid w:val="0059296C"/>
    <w:rsid w:val="0059366D"/>
    <w:rsid w:val="00594E10"/>
    <w:rsid w:val="005A16F4"/>
    <w:rsid w:val="005A31CD"/>
    <w:rsid w:val="005A6A62"/>
    <w:rsid w:val="005A7AEA"/>
    <w:rsid w:val="005B1235"/>
    <w:rsid w:val="005B29DC"/>
    <w:rsid w:val="005B5165"/>
    <w:rsid w:val="005C01F9"/>
    <w:rsid w:val="005C0D5A"/>
    <w:rsid w:val="005C0EBA"/>
    <w:rsid w:val="005C0FDA"/>
    <w:rsid w:val="005C11D6"/>
    <w:rsid w:val="005C18B4"/>
    <w:rsid w:val="005C2DCB"/>
    <w:rsid w:val="005C4212"/>
    <w:rsid w:val="005C5CC9"/>
    <w:rsid w:val="005C60D4"/>
    <w:rsid w:val="005C713F"/>
    <w:rsid w:val="005C739F"/>
    <w:rsid w:val="005C79E5"/>
    <w:rsid w:val="005D0930"/>
    <w:rsid w:val="005D234F"/>
    <w:rsid w:val="005D35E4"/>
    <w:rsid w:val="005D388A"/>
    <w:rsid w:val="005D3F05"/>
    <w:rsid w:val="005D73B7"/>
    <w:rsid w:val="005D7C86"/>
    <w:rsid w:val="005E06A5"/>
    <w:rsid w:val="005E1020"/>
    <w:rsid w:val="005E140E"/>
    <w:rsid w:val="005E16AD"/>
    <w:rsid w:val="005E1B24"/>
    <w:rsid w:val="005E2D91"/>
    <w:rsid w:val="005E4A7D"/>
    <w:rsid w:val="005E4B4F"/>
    <w:rsid w:val="005E4E9F"/>
    <w:rsid w:val="005E6B57"/>
    <w:rsid w:val="005F15D5"/>
    <w:rsid w:val="005F3AD3"/>
    <w:rsid w:val="005F40D0"/>
    <w:rsid w:val="005F54DB"/>
    <w:rsid w:val="005F7075"/>
    <w:rsid w:val="006007D8"/>
    <w:rsid w:val="00601ECD"/>
    <w:rsid w:val="006041C5"/>
    <w:rsid w:val="006055CC"/>
    <w:rsid w:val="00605687"/>
    <w:rsid w:val="0060585C"/>
    <w:rsid w:val="0060698B"/>
    <w:rsid w:val="00610550"/>
    <w:rsid w:val="006115C8"/>
    <w:rsid w:val="0061336C"/>
    <w:rsid w:val="00614A28"/>
    <w:rsid w:val="00615AB4"/>
    <w:rsid w:val="00616AF6"/>
    <w:rsid w:val="006175BA"/>
    <w:rsid w:val="00620487"/>
    <w:rsid w:val="00624E01"/>
    <w:rsid w:val="006262B0"/>
    <w:rsid w:val="0062643F"/>
    <w:rsid w:val="00626C1B"/>
    <w:rsid w:val="00630BBA"/>
    <w:rsid w:val="0063133D"/>
    <w:rsid w:val="006314FE"/>
    <w:rsid w:val="006316A7"/>
    <w:rsid w:val="00633F42"/>
    <w:rsid w:val="00636DEA"/>
    <w:rsid w:val="00641612"/>
    <w:rsid w:val="006420E0"/>
    <w:rsid w:val="00643F8F"/>
    <w:rsid w:val="0064486C"/>
    <w:rsid w:val="00645EC3"/>
    <w:rsid w:val="00646181"/>
    <w:rsid w:val="006472E2"/>
    <w:rsid w:val="006475CB"/>
    <w:rsid w:val="00651868"/>
    <w:rsid w:val="00652038"/>
    <w:rsid w:val="006532A7"/>
    <w:rsid w:val="006567BC"/>
    <w:rsid w:val="006572A8"/>
    <w:rsid w:val="00657653"/>
    <w:rsid w:val="00657AEA"/>
    <w:rsid w:val="00660CB9"/>
    <w:rsid w:val="00662D7C"/>
    <w:rsid w:val="00663B03"/>
    <w:rsid w:val="00666CA9"/>
    <w:rsid w:val="00666D83"/>
    <w:rsid w:val="00667EA7"/>
    <w:rsid w:val="00671865"/>
    <w:rsid w:val="00672333"/>
    <w:rsid w:val="0067511A"/>
    <w:rsid w:val="00675FE1"/>
    <w:rsid w:val="00676E39"/>
    <w:rsid w:val="00676FAF"/>
    <w:rsid w:val="00680E49"/>
    <w:rsid w:val="006829C2"/>
    <w:rsid w:val="00683903"/>
    <w:rsid w:val="00687E52"/>
    <w:rsid w:val="0069002A"/>
    <w:rsid w:val="006916B9"/>
    <w:rsid w:val="00692434"/>
    <w:rsid w:val="00692BD3"/>
    <w:rsid w:val="00693019"/>
    <w:rsid w:val="006931C5"/>
    <w:rsid w:val="0069574C"/>
    <w:rsid w:val="00695F7A"/>
    <w:rsid w:val="006963EC"/>
    <w:rsid w:val="00696C2C"/>
    <w:rsid w:val="006971C8"/>
    <w:rsid w:val="00697E46"/>
    <w:rsid w:val="006A073B"/>
    <w:rsid w:val="006A0F1D"/>
    <w:rsid w:val="006A2061"/>
    <w:rsid w:val="006A253B"/>
    <w:rsid w:val="006A370E"/>
    <w:rsid w:val="006A5167"/>
    <w:rsid w:val="006A5963"/>
    <w:rsid w:val="006A7681"/>
    <w:rsid w:val="006B2AFE"/>
    <w:rsid w:val="006B413E"/>
    <w:rsid w:val="006B67CA"/>
    <w:rsid w:val="006C2D7D"/>
    <w:rsid w:val="006D0C64"/>
    <w:rsid w:val="006D0C80"/>
    <w:rsid w:val="006D1942"/>
    <w:rsid w:val="006D2626"/>
    <w:rsid w:val="006D611C"/>
    <w:rsid w:val="006D7E27"/>
    <w:rsid w:val="006E06BA"/>
    <w:rsid w:val="006E2131"/>
    <w:rsid w:val="006E47D0"/>
    <w:rsid w:val="006E4AA2"/>
    <w:rsid w:val="006E53AA"/>
    <w:rsid w:val="006F0061"/>
    <w:rsid w:val="006F10CF"/>
    <w:rsid w:val="006F169F"/>
    <w:rsid w:val="006F19C3"/>
    <w:rsid w:val="006F3865"/>
    <w:rsid w:val="006F3C49"/>
    <w:rsid w:val="006F4CDB"/>
    <w:rsid w:val="006F5105"/>
    <w:rsid w:val="006F5ED4"/>
    <w:rsid w:val="006F6564"/>
    <w:rsid w:val="00700C8A"/>
    <w:rsid w:val="00703C14"/>
    <w:rsid w:val="00703F6A"/>
    <w:rsid w:val="00704A20"/>
    <w:rsid w:val="00705239"/>
    <w:rsid w:val="007058A6"/>
    <w:rsid w:val="00706916"/>
    <w:rsid w:val="007070E9"/>
    <w:rsid w:val="0071074E"/>
    <w:rsid w:val="00711AC9"/>
    <w:rsid w:val="00711ADC"/>
    <w:rsid w:val="007136B6"/>
    <w:rsid w:val="00713B53"/>
    <w:rsid w:val="007143D9"/>
    <w:rsid w:val="007167FA"/>
    <w:rsid w:val="00720100"/>
    <w:rsid w:val="007209ED"/>
    <w:rsid w:val="00720BBB"/>
    <w:rsid w:val="00721978"/>
    <w:rsid w:val="0072292B"/>
    <w:rsid w:val="00723FAC"/>
    <w:rsid w:val="00724E65"/>
    <w:rsid w:val="0072519E"/>
    <w:rsid w:val="00727B4D"/>
    <w:rsid w:val="007302D2"/>
    <w:rsid w:val="007307F9"/>
    <w:rsid w:val="00732E44"/>
    <w:rsid w:val="00733B75"/>
    <w:rsid w:val="00734D22"/>
    <w:rsid w:val="00735601"/>
    <w:rsid w:val="00735EFD"/>
    <w:rsid w:val="00737CA8"/>
    <w:rsid w:val="00740098"/>
    <w:rsid w:val="00740358"/>
    <w:rsid w:val="00740D21"/>
    <w:rsid w:val="007429E5"/>
    <w:rsid w:val="007449A3"/>
    <w:rsid w:val="00746A93"/>
    <w:rsid w:val="007515FB"/>
    <w:rsid w:val="007517BE"/>
    <w:rsid w:val="00751B69"/>
    <w:rsid w:val="007530DD"/>
    <w:rsid w:val="007537FA"/>
    <w:rsid w:val="007565EA"/>
    <w:rsid w:val="007567A9"/>
    <w:rsid w:val="0076011D"/>
    <w:rsid w:val="00760875"/>
    <w:rsid w:val="007621D2"/>
    <w:rsid w:val="00762EEB"/>
    <w:rsid w:val="00762F13"/>
    <w:rsid w:val="0076324A"/>
    <w:rsid w:val="00764DD7"/>
    <w:rsid w:val="00765382"/>
    <w:rsid w:val="007655CB"/>
    <w:rsid w:val="00766AA4"/>
    <w:rsid w:val="007676BE"/>
    <w:rsid w:val="007706C2"/>
    <w:rsid w:val="0077387E"/>
    <w:rsid w:val="00773D2E"/>
    <w:rsid w:val="00774BA5"/>
    <w:rsid w:val="00777B33"/>
    <w:rsid w:val="00781453"/>
    <w:rsid w:val="00784D89"/>
    <w:rsid w:val="00785482"/>
    <w:rsid w:val="007869B9"/>
    <w:rsid w:val="00786C49"/>
    <w:rsid w:val="007909A5"/>
    <w:rsid w:val="007923BB"/>
    <w:rsid w:val="00792D44"/>
    <w:rsid w:val="007932F1"/>
    <w:rsid w:val="00794B94"/>
    <w:rsid w:val="00797F2D"/>
    <w:rsid w:val="007A0C84"/>
    <w:rsid w:val="007A17F8"/>
    <w:rsid w:val="007A63C4"/>
    <w:rsid w:val="007A68EE"/>
    <w:rsid w:val="007A70D3"/>
    <w:rsid w:val="007B7AB2"/>
    <w:rsid w:val="007C0D7F"/>
    <w:rsid w:val="007C1C81"/>
    <w:rsid w:val="007C2D84"/>
    <w:rsid w:val="007C31A6"/>
    <w:rsid w:val="007C3F76"/>
    <w:rsid w:val="007C6486"/>
    <w:rsid w:val="007C65E9"/>
    <w:rsid w:val="007C700B"/>
    <w:rsid w:val="007C7731"/>
    <w:rsid w:val="007C7E8F"/>
    <w:rsid w:val="007D1BAF"/>
    <w:rsid w:val="007D3349"/>
    <w:rsid w:val="007D4CF3"/>
    <w:rsid w:val="007D5223"/>
    <w:rsid w:val="007D75C5"/>
    <w:rsid w:val="007E005C"/>
    <w:rsid w:val="007E3F4D"/>
    <w:rsid w:val="007E61AF"/>
    <w:rsid w:val="007E675E"/>
    <w:rsid w:val="007E75EC"/>
    <w:rsid w:val="007F105D"/>
    <w:rsid w:val="007F409C"/>
    <w:rsid w:val="007F4390"/>
    <w:rsid w:val="007F5710"/>
    <w:rsid w:val="007F7636"/>
    <w:rsid w:val="007F788A"/>
    <w:rsid w:val="00800735"/>
    <w:rsid w:val="00801484"/>
    <w:rsid w:val="00801FC3"/>
    <w:rsid w:val="00803283"/>
    <w:rsid w:val="008040BC"/>
    <w:rsid w:val="00804B6A"/>
    <w:rsid w:val="00804CD8"/>
    <w:rsid w:val="0080592C"/>
    <w:rsid w:val="00805EE6"/>
    <w:rsid w:val="00810ADE"/>
    <w:rsid w:val="00811784"/>
    <w:rsid w:val="008158A6"/>
    <w:rsid w:val="00817360"/>
    <w:rsid w:val="00817942"/>
    <w:rsid w:val="008207C5"/>
    <w:rsid w:val="00824F76"/>
    <w:rsid w:val="00827A62"/>
    <w:rsid w:val="008313A8"/>
    <w:rsid w:val="008337D2"/>
    <w:rsid w:val="0083481D"/>
    <w:rsid w:val="008406E1"/>
    <w:rsid w:val="00841184"/>
    <w:rsid w:val="00842EE4"/>
    <w:rsid w:val="00843238"/>
    <w:rsid w:val="008435E8"/>
    <w:rsid w:val="008438C6"/>
    <w:rsid w:val="00844290"/>
    <w:rsid w:val="0084512B"/>
    <w:rsid w:val="008505AD"/>
    <w:rsid w:val="00851930"/>
    <w:rsid w:val="00854032"/>
    <w:rsid w:val="00855B01"/>
    <w:rsid w:val="008562FC"/>
    <w:rsid w:val="0086045D"/>
    <w:rsid w:val="00861B10"/>
    <w:rsid w:val="00861E97"/>
    <w:rsid w:val="0086247E"/>
    <w:rsid w:val="00863F50"/>
    <w:rsid w:val="00864917"/>
    <w:rsid w:val="00867379"/>
    <w:rsid w:val="008673B8"/>
    <w:rsid w:val="008674B6"/>
    <w:rsid w:val="00867A61"/>
    <w:rsid w:val="0087112E"/>
    <w:rsid w:val="00872066"/>
    <w:rsid w:val="00873773"/>
    <w:rsid w:val="00873DCB"/>
    <w:rsid w:val="0087567C"/>
    <w:rsid w:val="008758D3"/>
    <w:rsid w:val="008759FF"/>
    <w:rsid w:val="00884E76"/>
    <w:rsid w:val="00885C85"/>
    <w:rsid w:val="008874A9"/>
    <w:rsid w:val="008878E7"/>
    <w:rsid w:val="00890391"/>
    <w:rsid w:val="0089216C"/>
    <w:rsid w:val="0089609F"/>
    <w:rsid w:val="00896B8C"/>
    <w:rsid w:val="008A25B4"/>
    <w:rsid w:val="008A29C2"/>
    <w:rsid w:val="008A4461"/>
    <w:rsid w:val="008A4CDA"/>
    <w:rsid w:val="008A5320"/>
    <w:rsid w:val="008B07A6"/>
    <w:rsid w:val="008B50A0"/>
    <w:rsid w:val="008B6E83"/>
    <w:rsid w:val="008B7CBE"/>
    <w:rsid w:val="008C1C4A"/>
    <w:rsid w:val="008C2A49"/>
    <w:rsid w:val="008C4C3B"/>
    <w:rsid w:val="008C6A0E"/>
    <w:rsid w:val="008D09DC"/>
    <w:rsid w:val="008D0F42"/>
    <w:rsid w:val="008D1030"/>
    <w:rsid w:val="008D2CEA"/>
    <w:rsid w:val="008D3607"/>
    <w:rsid w:val="008D4926"/>
    <w:rsid w:val="008D5095"/>
    <w:rsid w:val="008E26A2"/>
    <w:rsid w:val="008E3352"/>
    <w:rsid w:val="008E52BD"/>
    <w:rsid w:val="008E6938"/>
    <w:rsid w:val="008E6957"/>
    <w:rsid w:val="008F12EF"/>
    <w:rsid w:val="008F2A14"/>
    <w:rsid w:val="008F2D12"/>
    <w:rsid w:val="008F4861"/>
    <w:rsid w:val="008F786F"/>
    <w:rsid w:val="008F7B68"/>
    <w:rsid w:val="00900DF9"/>
    <w:rsid w:val="00901FD9"/>
    <w:rsid w:val="00902286"/>
    <w:rsid w:val="00902C86"/>
    <w:rsid w:val="009065CD"/>
    <w:rsid w:val="0090695E"/>
    <w:rsid w:val="00910A1D"/>
    <w:rsid w:val="00910CFB"/>
    <w:rsid w:val="009135F0"/>
    <w:rsid w:val="00913BB5"/>
    <w:rsid w:val="00913C2D"/>
    <w:rsid w:val="00913EA6"/>
    <w:rsid w:val="00914C55"/>
    <w:rsid w:val="009156B6"/>
    <w:rsid w:val="009160BA"/>
    <w:rsid w:val="0092099B"/>
    <w:rsid w:val="00920B06"/>
    <w:rsid w:val="009212C2"/>
    <w:rsid w:val="0092136A"/>
    <w:rsid w:val="0092418D"/>
    <w:rsid w:val="0092579A"/>
    <w:rsid w:val="00925B53"/>
    <w:rsid w:val="009279A2"/>
    <w:rsid w:val="0093051F"/>
    <w:rsid w:val="00930A55"/>
    <w:rsid w:val="00931BDF"/>
    <w:rsid w:val="00931D62"/>
    <w:rsid w:val="00935D92"/>
    <w:rsid w:val="00936C09"/>
    <w:rsid w:val="00937901"/>
    <w:rsid w:val="0094098A"/>
    <w:rsid w:val="009415B9"/>
    <w:rsid w:val="009422CA"/>
    <w:rsid w:val="00942797"/>
    <w:rsid w:val="00942FD7"/>
    <w:rsid w:val="0094473C"/>
    <w:rsid w:val="00945169"/>
    <w:rsid w:val="00945C7A"/>
    <w:rsid w:val="00945CE9"/>
    <w:rsid w:val="00946703"/>
    <w:rsid w:val="009470F3"/>
    <w:rsid w:val="00950688"/>
    <w:rsid w:val="0095173E"/>
    <w:rsid w:val="00951F9E"/>
    <w:rsid w:val="0095368B"/>
    <w:rsid w:val="009544C0"/>
    <w:rsid w:val="00954703"/>
    <w:rsid w:val="0095744A"/>
    <w:rsid w:val="0095783D"/>
    <w:rsid w:val="0096016F"/>
    <w:rsid w:val="009657B9"/>
    <w:rsid w:val="00965AEF"/>
    <w:rsid w:val="009676AB"/>
    <w:rsid w:val="00967CD8"/>
    <w:rsid w:val="00970B22"/>
    <w:rsid w:val="00973B0C"/>
    <w:rsid w:val="00973F91"/>
    <w:rsid w:val="00976DBE"/>
    <w:rsid w:val="009802DD"/>
    <w:rsid w:val="0098040C"/>
    <w:rsid w:val="00980C8A"/>
    <w:rsid w:val="00985120"/>
    <w:rsid w:val="00986FF8"/>
    <w:rsid w:val="00987FC9"/>
    <w:rsid w:val="00991C9F"/>
    <w:rsid w:val="009924E2"/>
    <w:rsid w:val="00992CB9"/>
    <w:rsid w:val="00997698"/>
    <w:rsid w:val="009A0810"/>
    <w:rsid w:val="009A0C2D"/>
    <w:rsid w:val="009A2FAB"/>
    <w:rsid w:val="009A5FD7"/>
    <w:rsid w:val="009B034F"/>
    <w:rsid w:val="009B0D47"/>
    <w:rsid w:val="009B2536"/>
    <w:rsid w:val="009B2981"/>
    <w:rsid w:val="009B4618"/>
    <w:rsid w:val="009B4785"/>
    <w:rsid w:val="009B7517"/>
    <w:rsid w:val="009C1396"/>
    <w:rsid w:val="009C22A6"/>
    <w:rsid w:val="009C48C7"/>
    <w:rsid w:val="009C56ED"/>
    <w:rsid w:val="009C7494"/>
    <w:rsid w:val="009C7AC3"/>
    <w:rsid w:val="009D0446"/>
    <w:rsid w:val="009D080F"/>
    <w:rsid w:val="009D0B7C"/>
    <w:rsid w:val="009D2EDF"/>
    <w:rsid w:val="009D5062"/>
    <w:rsid w:val="009D515B"/>
    <w:rsid w:val="009D566B"/>
    <w:rsid w:val="009D7B0B"/>
    <w:rsid w:val="009E0538"/>
    <w:rsid w:val="009E09F1"/>
    <w:rsid w:val="009E4603"/>
    <w:rsid w:val="009F1D13"/>
    <w:rsid w:val="009F32E4"/>
    <w:rsid w:val="009F4D38"/>
    <w:rsid w:val="009F606F"/>
    <w:rsid w:val="009F79D5"/>
    <w:rsid w:val="00A02A5F"/>
    <w:rsid w:val="00A04530"/>
    <w:rsid w:val="00A06954"/>
    <w:rsid w:val="00A07670"/>
    <w:rsid w:val="00A11C91"/>
    <w:rsid w:val="00A11CB6"/>
    <w:rsid w:val="00A12113"/>
    <w:rsid w:val="00A12921"/>
    <w:rsid w:val="00A137DC"/>
    <w:rsid w:val="00A13DCE"/>
    <w:rsid w:val="00A171F2"/>
    <w:rsid w:val="00A226D4"/>
    <w:rsid w:val="00A228D8"/>
    <w:rsid w:val="00A23CA2"/>
    <w:rsid w:val="00A24C2B"/>
    <w:rsid w:val="00A270C5"/>
    <w:rsid w:val="00A32033"/>
    <w:rsid w:val="00A33C86"/>
    <w:rsid w:val="00A34752"/>
    <w:rsid w:val="00A34993"/>
    <w:rsid w:val="00A355C4"/>
    <w:rsid w:val="00A36839"/>
    <w:rsid w:val="00A37979"/>
    <w:rsid w:val="00A40201"/>
    <w:rsid w:val="00A406C6"/>
    <w:rsid w:val="00A41AB4"/>
    <w:rsid w:val="00A421AA"/>
    <w:rsid w:val="00A4271B"/>
    <w:rsid w:val="00A45949"/>
    <w:rsid w:val="00A460A5"/>
    <w:rsid w:val="00A46C68"/>
    <w:rsid w:val="00A470F3"/>
    <w:rsid w:val="00A479AA"/>
    <w:rsid w:val="00A50D13"/>
    <w:rsid w:val="00A522B8"/>
    <w:rsid w:val="00A54FB1"/>
    <w:rsid w:val="00A55933"/>
    <w:rsid w:val="00A562F8"/>
    <w:rsid w:val="00A568D5"/>
    <w:rsid w:val="00A6299B"/>
    <w:rsid w:val="00A64FE4"/>
    <w:rsid w:val="00A65B20"/>
    <w:rsid w:val="00A6700E"/>
    <w:rsid w:val="00A70222"/>
    <w:rsid w:val="00A71004"/>
    <w:rsid w:val="00A710E6"/>
    <w:rsid w:val="00A71B86"/>
    <w:rsid w:val="00A7238F"/>
    <w:rsid w:val="00A7294E"/>
    <w:rsid w:val="00A72F54"/>
    <w:rsid w:val="00A733FF"/>
    <w:rsid w:val="00A8268A"/>
    <w:rsid w:val="00A82F17"/>
    <w:rsid w:val="00A84365"/>
    <w:rsid w:val="00A850DA"/>
    <w:rsid w:val="00A86643"/>
    <w:rsid w:val="00A874A1"/>
    <w:rsid w:val="00A950B1"/>
    <w:rsid w:val="00A96A82"/>
    <w:rsid w:val="00AA033B"/>
    <w:rsid w:val="00AA18A9"/>
    <w:rsid w:val="00AA2DD0"/>
    <w:rsid w:val="00AA3D3C"/>
    <w:rsid w:val="00AA4B3E"/>
    <w:rsid w:val="00AA4CCA"/>
    <w:rsid w:val="00AA6BA8"/>
    <w:rsid w:val="00AA7080"/>
    <w:rsid w:val="00AB11D8"/>
    <w:rsid w:val="00AB1714"/>
    <w:rsid w:val="00AB1DBD"/>
    <w:rsid w:val="00AB5699"/>
    <w:rsid w:val="00AC0C15"/>
    <w:rsid w:val="00AC0CBB"/>
    <w:rsid w:val="00AC185C"/>
    <w:rsid w:val="00AC213F"/>
    <w:rsid w:val="00AC7319"/>
    <w:rsid w:val="00AD00EF"/>
    <w:rsid w:val="00AD11C2"/>
    <w:rsid w:val="00AD1541"/>
    <w:rsid w:val="00AD2764"/>
    <w:rsid w:val="00AD2F61"/>
    <w:rsid w:val="00AD516B"/>
    <w:rsid w:val="00AD606E"/>
    <w:rsid w:val="00AD66E2"/>
    <w:rsid w:val="00AD75F0"/>
    <w:rsid w:val="00AE0F10"/>
    <w:rsid w:val="00AE212D"/>
    <w:rsid w:val="00AE3198"/>
    <w:rsid w:val="00AE3BF7"/>
    <w:rsid w:val="00AE417E"/>
    <w:rsid w:val="00AE56AE"/>
    <w:rsid w:val="00AE7974"/>
    <w:rsid w:val="00AE7FC4"/>
    <w:rsid w:val="00AF09F3"/>
    <w:rsid w:val="00AF1752"/>
    <w:rsid w:val="00AF51CD"/>
    <w:rsid w:val="00AF5333"/>
    <w:rsid w:val="00AF70F9"/>
    <w:rsid w:val="00B0007F"/>
    <w:rsid w:val="00B00BBC"/>
    <w:rsid w:val="00B01CD7"/>
    <w:rsid w:val="00B05365"/>
    <w:rsid w:val="00B06AA2"/>
    <w:rsid w:val="00B06C99"/>
    <w:rsid w:val="00B106C8"/>
    <w:rsid w:val="00B12928"/>
    <w:rsid w:val="00B12C81"/>
    <w:rsid w:val="00B13C09"/>
    <w:rsid w:val="00B155C1"/>
    <w:rsid w:val="00B2037F"/>
    <w:rsid w:val="00B23100"/>
    <w:rsid w:val="00B239E2"/>
    <w:rsid w:val="00B249DB"/>
    <w:rsid w:val="00B25088"/>
    <w:rsid w:val="00B25911"/>
    <w:rsid w:val="00B27389"/>
    <w:rsid w:val="00B309B7"/>
    <w:rsid w:val="00B316A4"/>
    <w:rsid w:val="00B3241C"/>
    <w:rsid w:val="00B32A77"/>
    <w:rsid w:val="00B3503C"/>
    <w:rsid w:val="00B37955"/>
    <w:rsid w:val="00B37D4C"/>
    <w:rsid w:val="00B4154E"/>
    <w:rsid w:val="00B423F5"/>
    <w:rsid w:val="00B4281C"/>
    <w:rsid w:val="00B43934"/>
    <w:rsid w:val="00B4415B"/>
    <w:rsid w:val="00B44865"/>
    <w:rsid w:val="00B45239"/>
    <w:rsid w:val="00B45F2C"/>
    <w:rsid w:val="00B5104F"/>
    <w:rsid w:val="00B545D9"/>
    <w:rsid w:val="00B54DAE"/>
    <w:rsid w:val="00B56C29"/>
    <w:rsid w:val="00B578D3"/>
    <w:rsid w:val="00B579C3"/>
    <w:rsid w:val="00B63B0A"/>
    <w:rsid w:val="00B645CD"/>
    <w:rsid w:val="00B64661"/>
    <w:rsid w:val="00B64E67"/>
    <w:rsid w:val="00B658A1"/>
    <w:rsid w:val="00B67EAD"/>
    <w:rsid w:val="00B708B6"/>
    <w:rsid w:val="00B72808"/>
    <w:rsid w:val="00B74C08"/>
    <w:rsid w:val="00B75432"/>
    <w:rsid w:val="00B75AF6"/>
    <w:rsid w:val="00B76689"/>
    <w:rsid w:val="00B7704D"/>
    <w:rsid w:val="00B82433"/>
    <w:rsid w:val="00B8291D"/>
    <w:rsid w:val="00B82ED6"/>
    <w:rsid w:val="00B8325B"/>
    <w:rsid w:val="00B8397C"/>
    <w:rsid w:val="00B83B33"/>
    <w:rsid w:val="00B841A7"/>
    <w:rsid w:val="00B8461F"/>
    <w:rsid w:val="00B854F3"/>
    <w:rsid w:val="00B8683B"/>
    <w:rsid w:val="00B92A13"/>
    <w:rsid w:val="00B951ED"/>
    <w:rsid w:val="00B954EB"/>
    <w:rsid w:val="00B95885"/>
    <w:rsid w:val="00B95E18"/>
    <w:rsid w:val="00B969F1"/>
    <w:rsid w:val="00B973D1"/>
    <w:rsid w:val="00BA2104"/>
    <w:rsid w:val="00BA347B"/>
    <w:rsid w:val="00BA3D3C"/>
    <w:rsid w:val="00BA492D"/>
    <w:rsid w:val="00BB0403"/>
    <w:rsid w:val="00BB077F"/>
    <w:rsid w:val="00BB12A5"/>
    <w:rsid w:val="00BB136B"/>
    <w:rsid w:val="00BB17EB"/>
    <w:rsid w:val="00BB2879"/>
    <w:rsid w:val="00BB2F86"/>
    <w:rsid w:val="00BB4C43"/>
    <w:rsid w:val="00BB5F92"/>
    <w:rsid w:val="00BB6743"/>
    <w:rsid w:val="00BB774D"/>
    <w:rsid w:val="00BC1DBE"/>
    <w:rsid w:val="00BC2626"/>
    <w:rsid w:val="00BC43CB"/>
    <w:rsid w:val="00BC468B"/>
    <w:rsid w:val="00BC6F26"/>
    <w:rsid w:val="00BC7505"/>
    <w:rsid w:val="00BD31DB"/>
    <w:rsid w:val="00BD49AB"/>
    <w:rsid w:val="00BD7638"/>
    <w:rsid w:val="00BE0CF8"/>
    <w:rsid w:val="00BE174E"/>
    <w:rsid w:val="00BE2A7E"/>
    <w:rsid w:val="00BE67C6"/>
    <w:rsid w:val="00BE6B16"/>
    <w:rsid w:val="00BF0474"/>
    <w:rsid w:val="00BF4803"/>
    <w:rsid w:val="00BF70DE"/>
    <w:rsid w:val="00C00677"/>
    <w:rsid w:val="00C0196A"/>
    <w:rsid w:val="00C02828"/>
    <w:rsid w:val="00C02D81"/>
    <w:rsid w:val="00C02E22"/>
    <w:rsid w:val="00C04E43"/>
    <w:rsid w:val="00C05191"/>
    <w:rsid w:val="00C072A6"/>
    <w:rsid w:val="00C07731"/>
    <w:rsid w:val="00C10A4B"/>
    <w:rsid w:val="00C12348"/>
    <w:rsid w:val="00C12988"/>
    <w:rsid w:val="00C12CDC"/>
    <w:rsid w:val="00C135C6"/>
    <w:rsid w:val="00C13899"/>
    <w:rsid w:val="00C14D36"/>
    <w:rsid w:val="00C1604E"/>
    <w:rsid w:val="00C1693D"/>
    <w:rsid w:val="00C21206"/>
    <w:rsid w:val="00C218EB"/>
    <w:rsid w:val="00C2253A"/>
    <w:rsid w:val="00C243A4"/>
    <w:rsid w:val="00C24D14"/>
    <w:rsid w:val="00C25446"/>
    <w:rsid w:val="00C274EC"/>
    <w:rsid w:val="00C27F26"/>
    <w:rsid w:val="00C30CDD"/>
    <w:rsid w:val="00C31452"/>
    <w:rsid w:val="00C3154F"/>
    <w:rsid w:val="00C31EE6"/>
    <w:rsid w:val="00C33D33"/>
    <w:rsid w:val="00C350A8"/>
    <w:rsid w:val="00C36171"/>
    <w:rsid w:val="00C40542"/>
    <w:rsid w:val="00C418A3"/>
    <w:rsid w:val="00C42A67"/>
    <w:rsid w:val="00C43AEA"/>
    <w:rsid w:val="00C4597C"/>
    <w:rsid w:val="00C472F9"/>
    <w:rsid w:val="00C4757B"/>
    <w:rsid w:val="00C50AB6"/>
    <w:rsid w:val="00C50EBC"/>
    <w:rsid w:val="00C53AC3"/>
    <w:rsid w:val="00C60E81"/>
    <w:rsid w:val="00C62B8F"/>
    <w:rsid w:val="00C62DBB"/>
    <w:rsid w:val="00C62ED9"/>
    <w:rsid w:val="00C6361A"/>
    <w:rsid w:val="00C64452"/>
    <w:rsid w:val="00C6470B"/>
    <w:rsid w:val="00C65F63"/>
    <w:rsid w:val="00C677D5"/>
    <w:rsid w:val="00C67E23"/>
    <w:rsid w:val="00C7109B"/>
    <w:rsid w:val="00C71C3A"/>
    <w:rsid w:val="00C73D05"/>
    <w:rsid w:val="00C74163"/>
    <w:rsid w:val="00C75BE9"/>
    <w:rsid w:val="00C75D34"/>
    <w:rsid w:val="00C75FE5"/>
    <w:rsid w:val="00C76361"/>
    <w:rsid w:val="00C77B55"/>
    <w:rsid w:val="00C80E89"/>
    <w:rsid w:val="00C81EA6"/>
    <w:rsid w:val="00C846AE"/>
    <w:rsid w:val="00C84E3D"/>
    <w:rsid w:val="00C86DCE"/>
    <w:rsid w:val="00C907BC"/>
    <w:rsid w:val="00C90FAB"/>
    <w:rsid w:val="00C930CE"/>
    <w:rsid w:val="00C955E4"/>
    <w:rsid w:val="00C9591B"/>
    <w:rsid w:val="00C95A87"/>
    <w:rsid w:val="00C95DF9"/>
    <w:rsid w:val="00C95ED3"/>
    <w:rsid w:val="00CA02E5"/>
    <w:rsid w:val="00CA0C2E"/>
    <w:rsid w:val="00CA13EB"/>
    <w:rsid w:val="00CA1D0C"/>
    <w:rsid w:val="00CA38A2"/>
    <w:rsid w:val="00CA445A"/>
    <w:rsid w:val="00CB0C8F"/>
    <w:rsid w:val="00CB217B"/>
    <w:rsid w:val="00CB3603"/>
    <w:rsid w:val="00CB3B6E"/>
    <w:rsid w:val="00CB6116"/>
    <w:rsid w:val="00CB794D"/>
    <w:rsid w:val="00CC04FE"/>
    <w:rsid w:val="00CC07D9"/>
    <w:rsid w:val="00CC0831"/>
    <w:rsid w:val="00CC0C7E"/>
    <w:rsid w:val="00CC67D6"/>
    <w:rsid w:val="00CC6B4A"/>
    <w:rsid w:val="00CD078E"/>
    <w:rsid w:val="00CD0F1E"/>
    <w:rsid w:val="00CD0FC1"/>
    <w:rsid w:val="00CD50FD"/>
    <w:rsid w:val="00CD5E58"/>
    <w:rsid w:val="00CD7A06"/>
    <w:rsid w:val="00CE11B3"/>
    <w:rsid w:val="00CE179A"/>
    <w:rsid w:val="00CE359C"/>
    <w:rsid w:val="00CE48E0"/>
    <w:rsid w:val="00CE73FB"/>
    <w:rsid w:val="00CE7CC9"/>
    <w:rsid w:val="00CF0BA7"/>
    <w:rsid w:val="00CF357D"/>
    <w:rsid w:val="00CF47C7"/>
    <w:rsid w:val="00CF490E"/>
    <w:rsid w:val="00CF55D5"/>
    <w:rsid w:val="00D00CCA"/>
    <w:rsid w:val="00D018ED"/>
    <w:rsid w:val="00D0523B"/>
    <w:rsid w:val="00D05B28"/>
    <w:rsid w:val="00D06D66"/>
    <w:rsid w:val="00D07896"/>
    <w:rsid w:val="00D1155C"/>
    <w:rsid w:val="00D125D2"/>
    <w:rsid w:val="00D138E4"/>
    <w:rsid w:val="00D14686"/>
    <w:rsid w:val="00D16199"/>
    <w:rsid w:val="00D16C11"/>
    <w:rsid w:val="00D16E2B"/>
    <w:rsid w:val="00D1782E"/>
    <w:rsid w:val="00D20119"/>
    <w:rsid w:val="00D2240D"/>
    <w:rsid w:val="00D2240E"/>
    <w:rsid w:val="00D22C8B"/>
    <w:rsid w:val="00D22ECB"/>
    <w:rsid w:val="00D23611"/>
    <w:rsid w:val="00D243CD"/>
    <w:rsid w:val="00D24883"/>
    <w:rsid w:val="00D25812"/>
    <w:rsid w:val="00D26D37"/>
    <w:rsid w:val="00D27037"/>
    <w:rsid w:val="00D273A5"/>
    <w:rsid w:val="00D27C93"/>
    <w:rsid w:val="00D30795"/>
    <w:rsid w:val="00D31321"/>
    <w:rsid w:val="00D3249F"/>
    <w:rsid w:val="00D337CB"/>
    <w:rsid w:val="00D346F5"/>
    <w:rsid w:val="00D4181A"/>
    <w:rsid w:val="00D42624"/>
    <w:rsid w:val="00D42997"/>
    <w:rsid w:val="00D44AED"/>
    <w:rsid w:val="00D45119"/>
    <w:rsid w:val="00D451F2"/>
    <w:rsid w:val="00D45EF3"/>
    <w:rsid w:val="00D46BFF"/>
    <w:rsid w:val="00D46EFC"/>
    <w:rsid w:val="00D47E3A"/>
    <w:rsid w:val="00D5060D"/>
    <w:rsid w:val="00D510E4"/>
    <w:rsid w:val="00D51BFC"/>
    <w:rsid w:val="00D524F4"/>
    <w:rsid w:val="00D52D2E"/>
    <w:rsid w:val="00D5314A"/>
    <w:rsid w:val="00D5671A"/>
    <w:rsid w:val="00D573EA"/>
    <w:rsid w:val="00D608DD"/>
    <w:rsid w:val="00D63AFF"/>
    <w:rsid w:val="00D63CF9"/>
    <w:rsid w:val="00D65776"/>
    <w:rsid w:val="00D70632"/>
    <w:rsid w:val="00D72104"/>
    <w:rsid w:val="00D76F25"/>
    <w:rsid w:val="00D770E7"/>
    <w:rsid w:val="00D800C3"/>
    <w:rsid w:val="00D80784"/>
    <w:rsid w:val="00D8622A"/>
    <w:rsid w:val="00D92119"/>
    <w:rsid w:val="00D93FC9"/>
    <w:rsid w:val="00D94D59"/>
    <w:rsid w:val="00DA0EAC"/>
    <w:rsid w:val="00DA159B"/>
    <w:rsid w:val="00DA17CB"/>
    <w:rsid w:val="00DA2829"/>
    <w:rsid w:val="00DA28B2"/>
    <w:rsid w:val="00DA2B09"/>
    <w:rsid w:val="00DA325A"/>
    <w:rsid w:val="00DA4335"/>
    <w:rsid w:val="00DA5387"/>
    <w:rsid w:val="00DA5E6F"/>
    <w:rsid w:val="00DA7B8F"/>
    <w:rsid w:val="00DB0A5F"/>
    <w:rsid w:val="00DB2A5E"/>
    <w:rsid w:val="00DB3100"/>
    <w:rsid w:val="00DB47EC"/>
    <w:rsid w:val="00DB4D4B"/>
    <w:rsid w:val="00DB637A"/>
    <w:rsid w:val="00DC004C"/>
    <w:rsid w:val="00DC1410"/>
    <w:rsid w:val="00DC1856"/>
    <w:rsid w:val="00DC26A9"/>
    <w:rsid w:val="00DC3BE2"/>
    <w:rsid w:val="00DC62A8"/>
    <w:rsid w:val="00DC648B"/>
    <w:rsid w:val="00DC711E"/>
    <w:rsid w:val="00DC72C3"/>
    <w:rsid w:val="00DD0B3E"/>
    <w:rsid w:val="00DD1675"/>
    <w:rsid w:val="00DD2A15"/>
    <w:rsid w:val="00DD2DC7"/>
    <w:rsid w:val="00DD699E"/>
    <w:rsid w:val="00DD7225"/>
    <w:rsid w:val="00DD7429"/>
    <w:rsid w:val="00DE08B0"/>
    <w:rsid w:val="00DE1C7F"/>
    <w:rsid w:val="00DE3BCD"/>
    <w:rsid w:val="00DE7C85"/>
    <w:rsid w:val="00DF03F7"/>
    <w:rsid w:val="00DF1655"/>
    <w:rsid w:val="00DF2298"/>
    <w:rsid w:val="00DF3D08"/>
    <w:rsid w:val="00DF3D4D"/>
    <w:rsid w:val="00DF5188"/>
    <w:rsid w:val="00DF5350"/>
    <w:rsid w:val="00DF73D5"/>
    <w:rsid w:val="00E01438"/>
    <w:rsid w:val="00E015DC"/>
    <w:rsid w:val="00E02481"/>
    <w:rsid w:val="00E02AE5"/>
    <w:rsid w:val="00E034D5"/>
    <w:rsid w:val="00E06336"/>
    <w:rsid w:val="00E06EAC"/>
    <w:rsid w:val="00E12FBA"/>
    <w:rsid w:val="00E1373A"/>
    <w:rsid w:val="00E1539E"/>
    <w:rsid w:val="00E2046E"/>
    <w:rsid w:val="00E2251F"/>
    <w:rsid w:val="00E248D6"/>
    <w:rsid w:val="00E250E5"/>
    <w:rsid w:val="00E26739"/>
    <w:rsid w:val="00E267EE"/>
    <w:rsid w:val="00E3074A"/>
    <w:rsid w:val="00E3082A"/>
    <w:rsid w:val="00E3218B"/>
    <w:rsid w:val="00E330BC"/>
    <w:rsid w:val="00E33F71"/>
    <w:rsid w:val="00E34469"/>
    <w:rsid w:val="00E348BD"/>
    <w:rsid w:val="00E349E5"/>
    <w:rsid w:val="00E36E23"/>
    <w:rsid w:val="00E3729A"/>
    <w:rsid w:val="00E3760B"/>
    <w:rsid w:val="00E37AED"/>
    <w:rsid w:val="00E43352"/>
    <w:rsid w:val="00E43D3A"/>
    <w:rsid w:val="00E43FB7"/>
    <w:rsid w:val="00E449CD"/>
    <w:rsid w:val="00E458F3"/>
    <w:rsid w:val="00E60D48"/>
    <w:rsid w:val="00E61A53"/>
    <w:rsid w:val="00E61F31"/>
    <w:rsid w:val="00E62301"/>
    <w:rsid w:val="00E62502"/>
    <w:rsid w:val="00E6416E"/>
    <w:rsid w:val="00E64781"/>
    <w:rsid w:val="00E6540F"/>
    <w:rsid w:val="00E66234"/>
    <w:rsid w:val="00E715A1"/>
    <w:rsid w:val="00E71863"/>
    <w:rsid w:val="00E749A5"/>
    <w:rsid w:val="00E752BA"/>
    <w:rsid w:val="00E75FFB"/>
    <w:rsid w:val="00E8019B"/>
    <w:rsid w:val="00E8023F"/>
    <w:rsid w:val="00E8098B"/>
    <w:rsid w:val="00E81055"/>
    <w:rsid w:val="00E845FC"/>
    <w:rsid w:val="00E84AD7"/>
    <w:rsid w:val="00E8536E"/>
    <w:rsid w:val="00E86F16"/>
    <w:rsid w:val="00E908C3"/>
    <w:rsid w:val="00E913CF"/>
    <w:rsid w:val="00E91608"/>
    <w:rsid w:val="00E92143"/>
    <w:rsid w:val="00E92351"/>
    <w:rsid w:val="00E9260F"/>
    <w:rsid w:val="00E92C09"/>
    <w:rsid w:val="00E93C25"/>
    <w:rsid w:val="00E93D11"/>
    <w:rsid w:val="00E95A55"/>
    <w:rsid w:val="00E96407"/>
    <w:rsid w:val="00E9703D"/>
    <w:rsid w:val="00E97693"/>
    <w:rsid w:val="00EA18F0"/>
    <w:rsid w:val="00EA4AA7"/>
    <w:rsid w:val="00EA4EEC"/>
    <w:rsid w:val="00EA5735"/>
    <w:rsid w:val="00EA5A46"/>
    <w:rsid w:val="00EA5F44"/>
    <w:rsid w:val="00EB0449"/>
    <w:rsid w:val="00EB1872"/>
    <w:rsid w:val="00EB19A1"/>
    <w:rsid w:val="00EB5EFE"/>
    <w:rsid w:val="00EB6EB0"/>
    <w:rsid w:val="00EC0B4A"/>
    <w:rsid w:val="00EC0EDF"/>
    <w:rsid w:val="00EC2F57"/>
    <w:rsid w:val="00EC7021"/>
    <w:rsid w:val="00ED2C70"/>
    <w:rsid w:val="00ED2F4E"/>
    <w:rsid w:val="00ED3072"/>
    <w:rsid w:val="00ED48C7"/>
    <w:rsid w:val="00ED62AC"/>
    <w:rsid w:val="00ED744B"/>
    <w:rsid w:val="00EE0B1A"/>
    <w:rsid w:val="00EE0E30"/>
    <w:rsid w:val="00EE10EC"/>
    <w:rsid w:val="00EE1C7E"/>
    <w:rsid w:val="00EE1C9E"/>
    <w:rsid w:val="00EE1FE9"/>
    <w:rsid w:val="00EE20D4"/>
    <w:rsid w:val="00EE35E1"/>
    <w:rsid w:val="00EE5E27"/>
    <w:rsid w:val="00EE663E"/>
    <w:rsid w:val="00EE7F1D"/>
    <w:rsid w:val="00EE7FDC"/>
    <w:rsid w:val="00EF06FB"/>
    <w:rsid w:val="00EF0C0F"/>
    <w:rsid w:val="00EF2915"/>
    <w:rsid w:val="00EF3031"/>
    <w:rsid w:val="00EF797F"/>
    <w:rsid w:val="00F002B8"/>
    <w:rsid w:val="00F0045F"/>
    <w:rsid w:val="00F00CB2"/>
    <w:rsid w:val="00F00E7F"/>
    <w:rsid w:val="00F01E6A"/>
    <w:rsid w:val="00F02C41"/>
    <w:rsid w:val="00F03B3B"/>
    <w:rsid w:val="00F03DAC"/>
    <w:rsid w:val="00F06728"/>
    <w:rsid w:val="00F07D9F"/>
    <w:rsid w:val="00F07E2E"/>
    <w:rsid w:val="00F11A21"/>
    <w:rsid w:val="00F1316C"/>
    <w:rsid w:val="00F1363B"/>
    <w:rsid w:val="00F13A2C"/>
    <w:rsid w:val="00F14A1E"/>
    <w:rsid w:val="00F173F1"/>
    <w:rsid w:val="00F22176"/>
    <w:rsid w:val="00F22C6F"/>
    <w:rsid w:val="00F237AC"/>
    <w:rsid w:val="00F254CC"/>
    <w:rsid w:val="00F25F94"/>
    <w:rsid w:val="00F26107"/>
    <w:rsid w:val="00F26518"/>
    <w:rsid w:val="00F274FF"/>
    <w:rsid w:val="00F31AA7"/>
    <w:rsid w:val="00F31EC8"/>
    <w:rsid w:val="00F31F1A"/>
    <w:rsid w:val="00F32DD2"/>
    <w:rsid w:val="00F339D6"/>
    <w:rsid w:val="00F365CB"/>
    <w:rsid w:val="00F37D14"/>
    <w:rsid w:val="00F401DB"/>
    <w:rsid w:val="00F40848"/>
    <w:rsid w:val="00F42D65"/>
    <w:rsid w:val="00F4533B"/>
    <w:rsid w:val="00F459B3"/>
    <w:rsid w:val="00F470AE"/>
    <w:rsid w:val="00F50D5A"/>
    <w:rsid w:val="00F51093"/>
    <w:rsid w:val="00F5182A"/>
    <w:rsid w:val="00F51A0C"/>
    <w:rsid w:val="00F52524"/>
    <w:rsid w:val="00F53180"/>
    <w:rsid w:val="00F53919"/>
    <w:rsid w:val="00F54F8E"/>
    <w:rsid w:val="00F55E0D"/>
    <w:rsid w:val="00F55EDC"/>
    <w:rsid w:val="00F5653A"/>
    <w:rsid w:val="00F56E6B"/>
    <w:rsid w:val="00F61083"/>
    <w:rsid w:val="00F635CD"/>
    <w:rsid w:val="00F64329"/>
    <w:rsid w:val="00F657DC"/>
    <w:rsid w:val="00F7157A"/>
    <w:rsid w:val="00F71A82"/>
    <w:rsid w:val="00F73C47"/>
    <w:rsid w:val="00F74421"/>
    <w:rsid w:val="00F74E45"/>
    <w:rsid w:val="00F76583"/>
    <w:rsid w:val="00F76EAB"/>
    <w:rsid w:val="00F81559"/>
    <w:rsid w:val="00F849C4"/>
    <w:rsid w:val="00F9450D"/>
    <w:rsid w:val="00F94B57"/>
    <w:rsid w:val="00F94F89"/>
    <w:rsid w:val="00F976F5"/>
    <w:rsid w:val="00FA0CDC"/>
    <w:rsid w:val="00FA14A4"/>
    <w:rsid w:val="00FA3208"/>
    <w:rsid w:val="00FA535B"/>
    <w:rsid w:val="00FA582A"/>
    <w:rsid w:val="00FA68F7"/>
    <w:rsid w:val="00FB18B2"/>
    <w:rsid w:val="00FB1DB0"/>
    <w:rsid w:val="00FB44E3"/>
    <w:rsid w:val="00FB4693"/>
    <w:rsid w:val="00FB790D"/>
    <w:rsid w:val="00FC0131"/>
    <w:rsid w:val="00FC0CC0"/>
    <w:rsid w:val="00FC56C1"/>
    <w:rsid w:val="00FD16ED"/>
    <w:rsid w:val="00FD1ADB"/>
    <w:rsid w:val="00FD2FE3"/>
    <w:rsid w:val="00FD3439"/>
    <w:rsid w:val="00FD4FBE"/>
    <w:rsid w:val="00FD6FB9"/>
    <w:rsid w:val="00FE1446"/>
    <w:rsid w:val="00FE179E"/>
    <w:rsid w:val="00FE25E8"/>
    <w:rsid w:val="00FE2C4B"/>
    <w:rsid w:val="00FE3B47"/>
    <w:rsid w:val="00FE3C24"/>
    <w:rsid w:val="00FE4F5F"/>
    <w:rsid w:val="00FE5DB8"/>
    <w:rsid w:val="00FE6B66"/>
    <w:rsid w:val="00FF0BEE"/>
    <w:rsid w:val="00FF2926"/>
    <w:rsid w:val="00FF32C6"/>
    <w:rsid w:val="00FF3AE9"/>
    <w:rsid w:val="00FF6120"/>
    <w:rsid w:val="00FF725A"/>
    <w:rsid w:val="00FF7370"/>
    <w:rsid w:val="00FF7E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F5BEA"/>
  <w15:docId w15:val="{1DC2373F-96FB-46A0-B122-AA3CA6E2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F3D0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321"/>
  </w:style>
  <w:style w:type="paragraph" w:styleId="Footer">
    <w:name w:val="footer"/>
    <w:basedOn w:val="Normal"/>
    <w:link w:val="FooterChar"/>
    <w:uiPriority w:val="99"/>
    <w:unhideWhenUsed/>
    <w:rsid w:val="00D3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321"/>
  </w:style>
  <w:style w:type="paragraph" w:styleId="FootnoteText">
    <w:name w:val="footnote text"/>
    <w:basedOn w:val="Normal"/>
    <w:link w:val="FootnoteTextChar"/>
    <w:uiPriority w:val="99"/>
    <w:semiHidden/>
    <w:unhideWhenUsed/>
    <w:rsid w:val="00E92C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2C09"/>
    <w:rPr>
      <w:sz w:val="20"/>
      <w:szCs w:val="20"/>
    </w:rPr>
  </w:style>
  <w:style w:type="character" w:styleId="FootnoteReference">
    <w:name w:val="footnote reference"/>
    <w:basedOn w:val="DefaultParagraphFont"/>
    <w:uiPriority w:val="99"/>
    <w:semiHidden/>
    <w:unhideWhenUsed/>
    <w:rsid w:val="00E92C09"/>
    <w:rPr>
      <w:vertAlign w:val="superscript"/>
    </w:rPr>
  </w:style>
  <w:style w:type="character" w:styleId="Hyperlink">
    <w:name w:val="Hyperlink"/>
    <w:basedOn w:val="DefaultParagraphFont"/>
    <w:uiPriority w:val="99"/>
    <w:semiHidden/>
    <w:unhideWhenUsed/>
    <w:rsid w:val="00DF3D08"/>
    <w:rPr>
      <w:color w:val="0000FF"/>
      <w:u w:val="single"/>
    </w:rPr>
  </w:style>
  <w:style w:type="character" w:customStyle="1" w:styleId="apple-converted-space">
    <w:name w:val="apple-converted-space"/>
    <w:basedOn w:val="DefaultParagraphFont"/>
    <w:rsid w:val="00DF3D08"/>
  </w:style>
  <w:style w:type="character" w:styleId="FollowedHyperlink">
    <w:name w:val="FollowedHyperlink"/>
    <w:basedOn w:val="DefaultParagraphFont"/>
    <w:uiPriority w:val="99"/>
    <w:semiHidden/>
    <w:unhideWhenUsed/>
    <w:rsid w:val="00DF3D08"/>
    <w:rPr>
      <w:color w:val="954F72" w:themeColor="followedHyperlink"/>
      <w:u w:val="single"/>
    </w:rPr>
  </w:style>
  <w:style w:type="character" w:customStyle="1" w:styleId="Heading2Char">
    <w:name w:val="Heading 2 Char"/>
    <w:basedOn w:val="DefaultParagraphFont"/>
    <w:link w:val="Heading2"/>
    <w:uiPriority w:val="9"/>
    <w:rsid w:val="00DF3D08"/>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DE0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8B0"/>
    <w:rPr>
      <w:rFonts w:ascii="Segoe UI" w:hAnsi="Segoe UI" w:cs="Segoe UI"/>
      <w:sz w:val="18"/>
      <w:szCs w:val="18"/>
    </w:rPr>
  </w:style>
  <w:style w:type="paragraph" w:styleId="BodyText">
    <w:name w:val="Body Text"/>
    <w:basedOn w:val="Normal"/>
    <w:link w:val="BodyTextChar"/>
    <w:uiPriority w:val="1"/>
    <w:qFormat/>
    <w:rsid w:val="002845C0"/>
    <w:pPr>
      <w:widowControl w:val="0"/>
      <w:autoSpaceDE w:val="0"/>
      <w:autoSpaceDN w:val="0"/>
      <w:adjustRightInd w:val="0"/>
      <w:spacing w:after="0" w:line="240" w:lineRule="auto"/>
    </w:pPr>
    <w:rPr>
      <w:rFonts w:ascii="Arial" w:eastAsiaTheme="minorEastAsia" w:hAnsi="Arial" w:cs="Arial"/>
      <w:sz w:val="23"/>
      <w:szCs w:val="23"/>
      <w:lang w:val="en-GB" w:eastAsia="en-GB"/>
    </w:rPr>
  </w:style>
  <w:style w:type="character" w:customStyle="1" w:styleId="BodyTextChar">
    <w:name w:val="Body Text Char"/>
    <w:basedOn w:val="DefaultParagraphFont"/>
    <w:link w:val="BodyText"/>
    <w:uiPriority w:val="1"/>
    <w:rsid w:val="002845C0"/>
    <w:rPr>
      <w:rFonts w:ascii="Arial" w:eastAsiaTheme="minorEastAsia" w:hAnsi="Arial" w:cs="Arial"/>
      <w:sz w:val="23"/>
      <w:szCs w:val="23"/>
      <w:lang w:val="en-GB" w:eastAsia="en-GB"/>
    </w:rPr>
  </w:style>
  <w:style w:type="paragraph" w:styleId="ListParagraph">
    <w:name w:val="List Paragraph"/>
    <w:basedOn w:val="Normal"/>
    <w:uiPriority w:val="1"/>
    <w:qFormat/>
    <w:rsid w:val="002845C0"/>
    <w:pPr>
      <w:widowControl w:val="0"/>
      <w:autoSpaceDE w:val="0"/>
      <w:autoSpaceDN w:val="0"/>
      <w:adjustRightInd w:val="0"/>
      <w:spacing w:after="0" w:line="240" w:lineRule="auto"/>
      <w:ind w:left="884" w:hanging="721"/>
      <w:jc w:val="both"/>
    </w:pPr>
    <w:rPr>
      <w:rFonts w:ascii="Arial" w:eastAsiaTheme="minorEastAsia" w:hAnsi="Arial" w:cs="Arial"/>
      <w:sz w:val="24"/>
      <w:szCs w:val="24"/>
      <w:lang w:val="en-GB" w:eastAsia="en-GB"/>
    </w:rPr>
  </w:style>
  <w:style w:type="paragraph" w:styleId="Revision">
    <w:name w:val="Revision"/>
    <w:hidden/>
    <w:uiPriority w:val="99"/>
    <w:semiHidden/>
    <w:rsid w:val="005F54DB"/>
    <w:pPr>
      <w:spacing w:after="0" w:line="240" w:lineRule="auto"/>
    </w:pPr>
  </w:style>
  <w:style w:type="paragraph" w:styleId="NormalWeb">
    <w:name w:val="Normal (Web)"/>
    <w:basedOn w:val="Normal"/>
    <w:uiPriority w:val="99"/>
    <w:semiHidden/>
    <w:unhideWhenUsed/>
    <w:rsid w:val="00295953"/>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0639895">
      <w:bodyDiv w:val="1"/>
      <w:marLeft w:val="0"/>
      <w:marRight w:val="0"/>
      <w:marTop w:val="0"/>
      <w:marBottom w:val="0"/>
      <w:divBdr>
        <w:top w:val="none" w:sz="0" w:space="0" w:color="auto"/>
        <w:left w:val="none" w:sz="0" w:space="0" w:color="auto"/>
        <w:bottom w:val="none" w:sz="0" w:space="0" w:color="auto"/>
        <w:right w:val="none" w:sz="0" w:space="0" w:color="auto"/>
      </w:divBdr>
    </w:div>
    <w:div w:id="638386689">
      <w:bodyDiv w:val="1"/>
      <w:marLeft w:val="0"/>
      <w:marRight w:val="0"/>
      <w:marTop w:val="0"/>
      <w:marBottom w:val="0"/>
      <w:divBdr>
        <w:top w:val="none" w:sz="0" w:space="0" w:color="auto"/>
        <w:left w:val="none" w:sz="0" w:space="0" w:color="auto"/>
        <w:bottom w:val="none" w:sz="0" w:space="0" w:color="auto"/>
        <w:right w:val="none" w:sz="0" w:space="0" w:color="auto"/>
      </w:divBdr>
    </w:div>
    <w:div w:id="656420642">
      <w:bodyDiv w:val="1"/>
      <w:marLeft w:val="0"/>
      <w:marRight w:val="0"/>
      <w:marTop w:val="0"/>
      <w:marBottom w:val="0"/>
      <w:divBdr>
        <w:top w:val="none" w:sz="0" w:space="0" w:color="auto"/>
        <w:left w:val="none" w:sz="0" w:space="0" w:color="auto"/>
        <w:bottom w:val="none" w:sz="0" w:space="0" w:color="auto"/>
        <w:right w:val="none" w:sz="0" w:space="0" w:color="auto"/>
      </w:divBdr>
    </w:div>
    <w:div w:id="777062646">
      <w:bodyDiv w:val="1"/>
      <w:marLeft w:val="0"/>
      <w:marRight w:val="0"/>
      <w:marTop w:val="0"/>
      <w:marBottom w:val="0"/>
      <w:divBdr>
        <w:top w:val="none" w:sz="0" w:space="0" w:color="auto"/>
        <w:left w:val="none" w:sz="0" w:space="0" w:color="auto"/>
        <w:bottom w:val="none" w:sz="0" w:space="0" w:color="auto"/>
        <w:right w:val="none" w:sz="0" w:space="0" w:color="auto"/>
      </w:divBdr>
    </w:div>
    <w:div w:id="948321445">
      <w:bodyDiv w:val="1"/>
      <w:marLeft w:val="0"/>
      <w:marRight w:val="0"/>
      <w:marTop w:val="0"/>
      <w:marBottom w:val="0"/>
      <w:divBdr>
        <w:top w:val="none" w:sz="0" w:space="0" w:color="auto"/>
        <w:left w:val="none" w:sz="0" w:space="0" w:color="auto"/>
        <w:bottom w:val="none" w:sz="0" w:space="0" w:color="auto"/>
        <w:right w:val="none" w:sz="0" w:space="0" w:color="auto"/>
      </w:divBdr>
    </w:div>
    <w:div w:id="994183146">
      <w:bodyDiv w:val="1"/>
      <w:marLeft w:val="0"/>
      <w:marRight w:val="0"/>
      <w:marTop w:val="0"/>
      <w:marBottom w:val="0"/>
      <w:divBdr>
        <w:top w:val="none" w:sz="0" w:space="0" w:color="auto"/>
        <w:left w:val="none" w:sz="0" w:space="0" w:color="auto"/>
        <w:bottom w:val="none" w:sz="0" w:space="0" w:color="auto"/>
        <w:right w:val="none" w:sz="0" w:space="0" w:color="auto"/>
      </w:divBdr>
    </w:div>
    <w:div w:id="1096050538">
      <w:bodyDiv w:val="1"/>
      <w:marLeft w:val="0"/>
      <w:marRight w:val="0"/>
      <w:marTop w:val="0"/>
      <w:marBottom w:val="0"/>
      <w:divBdr>
        <w:top w:val="none" w:sz="0" w:space="0" w:color="auto"/>
        <w:left w:val="none" w:sz="0" w:space="0" w:color="auto"/>
        <w:bottom w:val="none" w:sz="0" w:space="0" w:color="auto"/>
        <w:right w:val="none" w:sz="0" w:space="0" w:color="auto"/>
      </w:divBdr>
    </w:div>
    <w:div w:id="1167398898">
      <w:bodyDiv w:val="1"/>
      <w:marLeft w:val="0"/>
      <w:marRight w:val="0"/>
      <w:marTop w:val="0"/>
      <w:marBottom w:val="0"/>
      <w:divBdr>
        <w:top w:val="none" w:sz="0" w:space="0" w:color="auto"/>
        <w:left w:val="none" w:sz="0" w:space="0" w:color="auto"/>
        <w:bottom w:val="none" w:sz="0" w:space="0" w:color="auto"/>
        <w:right w:val="none" w:sz="0" w:space="0" w:color="auto"/>
      </w:divBdr>
    </w:div>
    <w:div w:id="1176387308">
      <w:bodyDiv w:val="1"/>
      <w:marLeft w:val="0"/>
      <w:marRight w:val="0"/>
      <w:marTop w:val="0"/>
      <w:marBottom w:val="0"/>
      <w:divBdr>
        <w:top w:val="none" w:sz="0" w:space="0" w:color="auto"/>
        <w:left w:val="none" w:sz="0" w:space="0" w:color="auto"/>
        <w:bottom w:val="none" w:sz="0" w:space="0" w:color="auto"/>
        <w:right w:val="none" w:sz="0" w:space="0" w:color="auto"/>
      </w:divBdr>
    </w:div>
    <w:div w:id="1317102571">
      <w:bodyDiv w:val="1"/>
      <w:marLeft w:val="0"/>
      <w:marRight w:val="0"/>
      <w:marTop w:val="0"/>
      <w:marBottom w:val="0"/>
      <w:divBdr>
        <w:top w:val="none" w:sz="0" w:space="0" w:color="auto"/>
        <w:left w:val="none" w:sz="0" w:space="0" w:color="auto"/>
        <w:bottom w:val="none" w:sz="0" w:space="0" w:color="auto"/>
        <w:right w:val="none" w:sz="0" w:space="0" w:color="auto"/>
      </w:divBdr>
    </w:div>
    <w:div w:id="1695156954">
      <w:bodyDiv w:val="1"/>
      <w:marLeft w:val="0"/>
      <w:marRight w:val="0"/>
      <w:marTop w:val="0"/>
      <w:marBottom w:val="0"/>
      <w:divBdr>
        <w:top w:val="none" w:sz="0" w:space="0" w:color="auto"/>
        <w:left w:val="none" w:sz="0" w:space="0" w:color="auto"/>
        <w:bottom w:val="none" w:sz="0" w:space="0" w:color="auto"/>
        <w:right w:val="none" w:sz="0" w:space="0" w:color="auto"/>
      </w:divBdr>
    </w:div>
    <w:div w:id="1995647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1EB0E-BD33-41B8-ABB4-26DC653A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5594</Words>
  <Characters>31890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Mvuzo Notyesi</dc:creator>
  <cp:keywords/>
  <dc:description/>
  <cp:lastModifiedBy>FUNDISIWE CYNTHIA NTSEBESHA</cp:lastModifiedBy>
  <cp:revision>3</cp:revision>
  <cp:lastPrinted>2024-03-25T12:36:00Z</cp:lastPrinted>
  <dcterms:created xsi:type="dcterms:W3CDTF">2024-04-16T08:45:00Z</dcterms:created>
  <dcterms:modified xsi:type="dcterms:W3CDTF">2024-04-17T17:01:00Z</dcterms:modified>
</cp:coreProperties>
</file>