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Pr="00AE1768" w:rsidRDefault="00A231F0" w:rsidP="000973CA">
      <w:pPr>
        <w:rPr>
          <w:rFonts w:asciiTheme="majorHAnsi" w:hAnsiTheme="majorHAnsi" w:cstheme="majorHAnsi"/>
          <w:sz w:val="20"/>
          <w:szCs w:val="20"/>
          <w:u w:val="single"/>
        </w:rPr>
      </w:pPr>
      <w:bookmarkStart w:id="0" w:name="_GoBack"/>
      <w:bookmarkEnd w:id="0"/>
      <w:r w:rsidRPr="00AE1768">
        <w:rPr>
          <w:rFonts w:asciiTheme="majorHAnsi" w:hAnsiTheme="majorHAnsi" w:cstheme="majorHAnsi"/>
          <w:noProof/>
          <w:sz w:val="20"/>
          <w:szCs w:val="20"/>
          <w:lang w:eastAsia="en-ZA"/>
        </w:rPr>
        <w:drawing>
          <wp:anchor distT="0" distB="0" distL="0" distR="0" simplePos="0" relativeHeight="251660288" behindDoc="0" locked="0" layoutInCell="1" allowOverlap="1">
            <wp:simplePos x="0" y="0"/>
            <wp:positionH relativeFrom="margin">
              <wp:posOffset>2257425</wp:posOffset>
            </wp:positionH>
            <wp:positionV relativeFrom="margin">
              <wp:posOffset>-481965</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anchor>
        </w:drawing>
      </w:r>
    </w:p>
    <w:p w:rsidR="00625B09" w:rsidRPr="00AE1768" w:rsidRDefault="00625B09" w:rsidP="000973CA">
      <w:pPr>
        <w:rPr>
          <w:rFonts w:asciiTheme="majorHAnsi" w:hAnsiTheme="majorHAnsi" w:cstheme="majorHAnsi"/>
          <w:b/>
          <w:sz w:val="20"/>
          <w:szCs w:val="20"/>
        </w:rPr>
      </w:pPr>
      <w:r w:rsidRPr="00AE1768">
        <w:rPr>
          <w:rFonts w:asciiTheme="majorHAnsi" w:hAnsiTheme="majorHAnsi" w:cstheme="majorHAnsi"/>
          <w:b/>
          <w:sz w:val="20"/>
          <w:szCs w:val="20"/>
        </w:rPr>
        <w:t xml:space="preserve"> </w:t>
      </w:r>
    </w:p>
    <w:p w:rsidR="00AE1768" w:rsidRPr="00AE1768" w:rsidRDefault="00AE1768" w:rsidP="00AE1768">
      <w:pPr>
        <w:rPr>
          <w:rFonts w:asciiTheme="majorHAnsi" w:hAnsiTheme="majorHAnsi" w:cstheme="majorHAnsi"/>
          <w:sz w:val="20"/>
          <w:szCs w:val="20"/>
        </w:rPr>
      </w:pPr>
    </w:p>
    <w:p w:rsidR="00AE1768" w:rsidRPr="00AE1768" w:rsidRDefault="00AE1768" w:rsidP="00AE1768">
      <w:pPr>
        <w:rPr>
          <w:rFonts w:asciiTheme="majorHAnsi" w:hAnsiTheme="majorHAnsi" w:cstheme="majorHAnsi"/>
          <w:sz w:val="20"/>
          <w:szCs w:val="20"/>
        </w:rPr>
      </w:pPr>
    </w:p>
    <w:p w:rsidR="00AE1768" w:rsidRDefault="00AE1768" w:rsidP="00AE1768">
      <w:pPr>
        <w:rPr>
          <w:rFonts w:asciiTheme="majorHAnsi" w:hAnsiTheme="majorHAnsi" w:cstheme="majorHAnsi"/>
          <w:sz w:val="20"/>
          <w:szCs w:val="20"/>
        </w:rPr>
      </w:pPr>
    </w:p>
    <w:p w:rsidR="007E0B12" w:rsidRPr="00AE1768" w:rsidRDefault="007E0B12" w:rsidP="00AE1768">
      <w:pPr>
        <w:rPr>
          <w:rFonts w:asciiTheme="majorHAnsi" w:hAnsiTheme="majorHAnsi" w:cstheme="majorHAnsi"/>
          <w:sz w:val="20"/>
          <w:szCs w:val="20"/>
        </w:rPr>
      </w:pPr>
    </w:p>
    <w:p w:rsidR="00AE1768" w:rsidRPr="00625B09" w:rsidRDefault="00AE1768" w:rsidP="000973CA">
      <w:pPr>
        <w:rPr>
          <w:rFonts w:ascii="Arial" w:hAnsi="Arial" w:cs="Arial"/>
          <w:b/>
          <w:sz w:val="20"/>
          <w:szCs w:val="20"/>
        </w:rPr>
      </w:pPr>
    </w:p>
    <w:p w:rsidR="001E4E2C" w:rsidRPr="00A231F0" w:rsidRDefault="00BD05E7" w:rsidP="00E57E73">
      <w:pPr>
        <w:autoSpaceDE w:val="0"/>
        <w:autoSpaceDN w:val="0"/>
        <w:adjustRightInd w:val="0"/>
        <w:spacing w:before="100" w:after="100" w:line="276" w:lineRule="auto"/>
        <w:jc w:val="center"/>
        <w:rPr>
          <w:rFonts w:ascii="Arial" w:hAnsi="Arial" w:cs="Arial"/>
          <w:u w:val="single"/>
        </w:rPr>
      </w:pPr>
      <w:r>
        <w:rPr>
          <w:rFonts w:ascii="Arial" w:hAnsi="Arial" w:cs="Arial"/>
          <w:b/>
          <w:bCs/>
          <w:u w:val="single"/>
        </w:rPr>
        <w:t>I</w:t>
      </w:r>
      <w:r w:rsidR="001E4E2C" w:rsidRPr="00A231F0">
        <w:rPr>
          <w:rFonts w:ascii="Arial" w:hAnsi="Arial" w:cs="Arial"/>
          <w:b/>
          <w:bCs/>
          <w:u w:val="single"/>
        </w:rPr>
        <w:t>N THE HIGH COURT OF SOUTH AFRICA</w:t>
      </w:r>
    </w:p>
    <w:p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1E4E2C" w:rsidRDefault="001E4E2C" w:rsidP="00BE63E4">
      <w:pPr>
        <w:spacing w:line="276" w:lineRule="auto"/>
        <w:jc w:val="center"/>
        <w:rPr>
          <w:rFonts w:ascii="Arial" w:hAnsi="Arial" w:cs="Arial"/>
          <w:sz w:val="26"/>
          <w:szCs w:val="26"/>
        </w:rPr>
      </w:pPr>
    </w:p>
    <w:p w:rsidR="00031136" w:rsidRPr="00A231F0" w:rsidRDefault="00031136" w:rsidP="00BE63E4">
      <w:pPr>
        <w:spacing w:line="276"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3E3E29">
        <w:rPr>
          <w:rFonts w:ascii="Arial" w:hAnsi="Arial" w:cs="Arial"/>
        </w:rPr>
        <w:t>4643/2023</w:t>
      </w:r>
    </w:p>
    <w:p w:rsidR="00031136" w:rsidRPr="00A231F0" w:rsidRDefault="00031136" w:rsidP="00BE63E4">
      <w:pPr>
        <w:spacing w:line="276" w:lineRule="auto"/>
        <w:rPr>
          <w:rFonts w:ascii="Arial" w:hAnsi="Arial" w:cs="Arial"/>
        </w:rPr>
      </w:pPr>
      <w:r w:rsidRPr="00A231F0">
        <w:rPr>
          <w:rFonts w:ascii="Arial" w:hAnsi="Arial" w:cs="Arial"/>
        </w:rPr>
        <w:t>In the matter between:</w:t>
      </w:r>
    </w:p>
    <w:p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p w:rsidR="00A231F0" w:rsidRPr="00A231F0" w:rsidRDefault="003E3E29" w:rsidP="00BE63E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rPr>
          <w:rFonts w:ascii="Arial" w:hAnsi="Arial" w:cs="Arial"/>
        </w:rPr>
      </w:pPr>
      <w:r>
        <w:rPr>
          <w:rFonts w:ascii="Arial" w:hAnsi="Arial" w:cs="Arial"/>
          <w:b/>
        </w:rPr>
        <w:t>MOSTHEDI NATHANE</w:t>
      </w:r>
      <w:r w:rsidR="00D03FB8" w:rsidRPr="00A231F0">
        <w:rPr>
          <w:rFonts w:ascii="Arial" w:hAnsi="Arial" w:cs="Arial"/>
          <w:b/>
        </w:rPr>
        <w:tab/>
      </w:r>
      <w:r w:rsidR="00025645" w:rsidRPr="00A231F0">
        <w:rPr>
          <w:rFonts w:ascii="Arial" w:hAnsi="Arial" w:cs="Arial"/>
          <w:b/>
        </w:rPr>
        <w:tab/>
      </w:r>
      <w:r w:rsidR="00025645" w:rsidRPr="00A231F0">
        <w:rPr>
          <w:rFonts w:ascii="Arial" w:hAnsi="Arial" w:cs="Arial"/>
          <w:b/>
        </w:rPr>
        <w:tab/>
      </w:r>
      <w:r w:rsidR="00597462" w:rsidRPr="00A231F0">
        <w:rPr>
          <w:rFonts w:ascii="Arial" w:hAnsi="Arial" w:cs="Arial"/>
          <w:b/>
        </w:rPr>
        <w:tab/>
      </w:r>
      <w:r w:rsidR="00A231F0">
        <w:rPr>
          <w:rFonts w:ascii="Arial" w:hAnsi="Arial" w:cs="Arial"/>
          <w:b/>
        </w:rPr>
        <w:tab/>
      </w:r>
      <w:r w:rsidR="00A231F0">
        <w:rPr>
          <w:rFonts w:ascii="Arial" w:hAnsi="Arial" w:cs="Arial"/>
          <w:b/>
        </w:rPr>
        <w:tab/>
        <w:t xml:space="preserve">          </w:t>
      </w:r>
      <w:r w:rsidR="00A231F0" w:rsidRPr="00A231F0">
        <w:rPr>
          <w:rFonts w:ascii="Arial" w:hAnsi="Arial" w:cs="Arial"/>
        </w:rPr>
        <w:t>Plaintiff</w:t>
      </w:r>
      <w:r w:rsidR="00A231F0">
        <w:rPr>
          <w:rFonts w:ascii="Arial" w:hAnsi="Arial" w:cs="Arial"/>
        </w:rPr>
        <w:t>/Applicant</w:t>
      </w:r>
    </w:p>
    <w:p w:rsidR="00031136" w:rsidRPr="00A231F0" w:rsidRDefault="00031136"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p>
    <w:p w:rsidR="00031136" w:rsidRPr="00A231F0" w:rsidRDefault="00031136" w:rsidP="00BE63E4">
      <w:pPr>
        <w:spacing w:line="276" w:lineRule="auto"/>
        <w:rPr>
          <w:rFonts w:ascii="Arial" w:hAnsi="Arial" w:cs="Arial"/>
        </w:rPr>
      </w:pPr>
      <w:r w:rsidRPr="00A231F0">
        <w:rPr>
          <w:rFonts w:ascii="Arial" w:hAnsi="Arial" w:cs="Arial"/>
        </w:rPr>
        <w:t>and</w:t>
      </w:r>
    </w:p>
    <w:p w:rsidR="00025645" w:rsidRPr="00A231F0" w:rsidRDefault="00025645" w:rsidP="00BE63E4">
      <w:pPr>
        <w:spacing w:line="276" w:lineRule="auto"/>
        <w:rPr>
          <w:rFonts w:ascii="Arial" w:hAnsi="Arial" w:cs="Arial"/>
        </w:rPr>
      </w:pPr>
    </w:p>
    <w:p w:rsidR="00830BB2" w:rsidRDefault="003E3E29"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r>
        <w:rPr>
          <w:rFonts w:ascii="Arial" w:hAnsi="Arial" w:cs="Arial"/>
          <w:b/>
        </w:rPr>
        <w:t xml:space="preserve">LEBATA KHAOTSO </w:t>
      </w:r>
      <w:r w:rsidR="00597462" w:rsidRPr="00A231F0">
        <w:rPr>
          <w:rFonts w:ascii="Arial" w:hAnsi="Arial" w:cs="Arial"/>
          <w:b/>
        </w:rPr>
        <w:tab/>
      </w:r>
      <w:r w:rsidR="00356313" w:rsidRPr="00A231F0">
        <w:rPr>
          <w:rFonts w:ascii="Arial" w:hAnsi="Arial" w:cs="Arial"/>
          <w:b/>
        </w:rPr>
        <w:tab/>
      </w:r>
      <w:r w:rsidR="00356313" w:rsidRPr="00A231F0">
        <w:rPr>
          <w:rFonts w:ascii="Arial" w:hAnsi="Arial" w:cs="Arial"/>
          <w:b/>
        </w:rPr>
        <w:tab/>
      </w:r>
      <w:r w:rsidR="00356313" w:rsidRPr="00A231F0">
        <w:rPr>
          <w:rFonts w:ascii="Arial" w:hAnsi="Arial" w:cs="Arial"/>
          <w:b/>
        </w:rPr>
        <w:tab/>
      </w:r>
      <w:r w:rsidR="00356313" w:rsidRPr="00A231F0">
        <w:rPr>
          <w:rFonts w:ascii="Arial" w:hAnsi="Arial" w:cs="Arial"/>
          <w:b/>
        </w:rPr>
        <w:tab/>
      </w:r>
      <w:r w:rsidR="00807433" w:rsidRPr="00A231F0">
        <w:rPr>
          <w:rFonts w:ascii="Arial" w:hAnsi="Arial" w:cs="Arial"/>
          <w:b/>
        </w:rPr>
        <w:tab/>
      </w:r>
      <w:r w:rsidR="00A231F0">
        <w:rPr>
          <w:rFonts w:ascii="Arial" w:hAnsi="Arial" w:cs="Arial"/>
          <w:b/>
        </w:rPr>
        <w:tab/>
      </w:r>
      <w:r w:rsidR="00A231F0" w:rsidRPr="00A231F0">
        <w:rPr>
          <w:rFonts w:ascii="Arial" w:hAnsi="Arial" w:cs="Arial"/>
        </w:rPr>
        <w:t>Defendant</w:t>
      </w:r>
      <w:r w:rsidR="00A231F0">
        <w:rPr>
          <w:rFonts w:ascii="Arial" w:hAnsi="Arial" w:cs="Arial"/>
        </w:rPr>
        <w:t>/Respondent</w:t>
      </w:r>
    </w:p>
    <w:p w:rsidR="003E3E29" w:rsidRPr="00A231F0" w:rsidRDefault="003E3E29"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p>
    <w:p w:rsidR="00A231F0" w:rsidRDefault="00490C57"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extent cx="5715000" cy="19050"/>
                <wp:effectExtent l="0" t="127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CC5A00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Default="00597462" w:rsidP="00BE63E4">
      <w:pPr>
        <w:spacing w:before="240" w:line="276" w:lineRule="auto"/>
        <w:jc w:val="both"/>
        <w:rPr>
          <w:rFonts w:ascii="Arial" w:hAnsi="Arial" w:cs="Arial"/>
        </w:rPr>
      </w:pPr>
      <w:r w:rsidRPr="00A231F0">
        <w:rPr>
          <w:rFonts w:ascii="Arial" w:hAnsi="Arial" w:cs="Arial"/>
          <w:b/>
          <w:u w:val="single"/>
        </w:rPr>
        <w:t>CORAM</w:t>
      </w:r>
      <w:r w:rsidR="00031136" w:rsidRPr="00A231F0">
        <w:rPr>
          <w:rFonts w:ascii="Arial" w:hAnsi="Arial" w:cs="Arial"/>
          <w:b/>
          <w:u w:val="single"/>
        </w:rPr>
        <w:t>:</w:t>
      </w:r>
      <w:r w:rsidR="00306913" w:rsidRPr="00A231F0">
        <w:rPr>
          <w:rFonts w:ascii="Arial" w:hAnsi="Arial" w:cs="Arial"/>
        </w:rPr>
        <w:tab/>
      </w:r>
      <w:r w:rsidR="00306913" w:rsidRPr="00A231F0">
        <w:rPr>
          <w:rFonts w:ascii="Arial" w:hAnsi="Arial" w:cs="Arial"/>
        </w:rPr>
        <w:tab/>
      </w:r>
      <w:r w:rsidR="003E3E29">
        <w:rPr>
          <w:rFonts w:ascii="Arial" w:hAnsi="Arial" w:cs="Arial"/>
        </w:rPr>
        <w:t>HEFER AJ</w:t>
      </w:r>
    </w:p>
    <w:p w:rsidR="00A231F0" w:rsidRDefault="00490C57"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extent cx="5715000" cy="19050"/>
                <wp:effectExtent l="0" t="4445"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76889C4"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qo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cO6q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031136" w:rsidRDefault="00031136" w:rsidP="00BE63E4">
      <w:pPr>
        <w:spacing w:before="240" w:line="276" w:lineRule="auto"/>
        <w:jc w:val="both"/>
        <w:rPr>
          <w:rFonts w:ascii="Arial" w:hAnsi="Arial" w:cs="Arial"/>
        </w:rPr>
      </w:pPr>
      <w:r w:rsidRPr="00A231F0">
        <w:rPr>
          <w:rFonts w:ascii="Arial" w:hAnsi="Arial" w:cs="Arial"/>
          <w:b/>
          <w:u w:val="single"/>
        </w:rPr>
        <w:t>HEARD ON:</w:t>
      </w:r>
      <w:r w:rsidR="00597462" w:rsidRPr="00A231F0">
        <w:rPr>
          <w:rFonts w:ascii="Arial" w:hAnsi="Arial" w:cs="Arial"/>
        </w:rPr>
        <w:tab/>
      </w:r>
      <w:r w:rsidR="00597462" w:rsidRPr="00A231F0">
        <w:rPr>
          <w:rFonts w:ascii="Arial" w:hAnsi="Arial" w:cs="Arial"/>
        </w:rPr>
        <w:tab/>
      </w:r>
      <w:r w:rsidR="003E3E29">
        <w:rPr>
          <w:rFonts w:ascii="Arial" w:hAnsi="Arial" w:cs="Arial"/>
        </w:rPr>
        <w:t>8 FEBRUARY 2024</w:t>
      </w:r>
      <w:r w:rsidRPr="00A231F0">
        <w:rPr>
          <w:rFonts w:ascii="Arial" w:hAnsi="Arial" w:cs="Arial"/>
        </w:rPr>
        <w:tab/>
      </w:r>
    </w:p>
    <w:p w:rsidR="00A231F0" w:rsidRDefault="00490C57"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extent cx="5715000" cy="19050"/>
                <wp:effectExtent l="0" t="0" r="0" b="190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8745B3C"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Ak4/m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231388" w:rsidRDefault="00031136" w:rsidP="00BE63E4">
      <w:pPr>
        <w:spacing w:before="240" w:line="276" w:lineRule="auto"/>
        <w:jc w:val="both"/>
        <w:rPr>
          <w:rFonts w:ascii="Arial" w:hAnsi="Arial" w:cs="Arial"/>
        </w:rPr>
      </w:pPr>
      <w:r w:rsidRPr="00A231F0">
        <w:rPr>
          <w:rFonts w:ascii="Arial" w:hAnsi="Arial" w:cs="Arial"/>
          <w:b/>
          <w:u w:val="single"/>
        </w:rPr>
        <w:t>DELIVERED ON:</w:t>
      </w:r>
      <w:r w:rsidR="00E706E4" w:rsidRPr="00A231F0">
        <w:rPr>
          <w:rFonts w:ascii="Arial" w:hAnsi="Arial" w:cs="Arial"/>
          <w:b/>
        </w:rPr>
        <w:tab/>
      </w:r>
      <w:r w:rsidR="003E3E29">
        <w:rPr>
          <w:rFonts w:ascii="Arial" w:hAnsi="Arial" w:cs="Arial"/>
        </w:rPr>
        <w:t>4 APRIL 2024</w:t>
      </w:r>
      <w:r w:rsidR="00231388" w:rsidRPr="00A231F0">
        <w:rPr>
          <w:rFonts w:ascii="Arial" w:hAnsi="Arial" w:cs="Arial"/>
        </w:rPr>
        <w:tab/>
      </w:r>
    </w:p>
    <w:p w:rsidR="00A231F0" w:rsidRDefault="00490C57"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extent cx="5715000" cy="19050"/>
                <wp:effectExtent l="0" t="127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344E8F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231388" w:rsidRPr="00231388" w:rsidRDefault="00231388" w:rsidP="001474E4">
      <w:pPr>
        <w:spacing w:line="360" w:lineRule="auto"/>
        <w:ind w:left="720" w:hanging="720"/>
        <w:jc w:val="both"/>
        <w:rPr>
          <w:rFonts w:ascii="Arial" w:hAnsi="Arial" w:cs="Arial"/>
        </w:rPr>
      </w:pPr>
    </w:p>
    <w:p w:rsidR="00B83499" w:rsidRPr="00E9601D" w:rsidRDefault="00E9601D" w:rsidP="00E9601D">
      <w:pPr>
        <w:spacing w:line="360" w:lineRule="auto"/>
        <w:ind w:left="810" w:hanging="810"/>
        <w:jc w:val="both"/>
        <w:rPr>
          <w:rFonts w:ascii="Arial" w:hAnsi="Arial" w:cs="Arial"/>
        </w:rPr>
      </w:pPr>
      <w:r>
        <w:rPr>
          <w:rFonts w:ascii="Arial" w:hAnsi="Arial" w:cs="Arial"/>
        </w:rPr>
        <w:t>[1]</w:t>
      </w:r>
      <w:r>
        <w:rPr>
          <w:rFonts w:ascii="Arial" w:hAnsi="Arial" w:cs="Arial"/>
        </w:rPr>
        <w:tab/>
      </w:r>
      <w:r w:rsidR="00643759" w:rsidRPr="00E9601D">
        <w:rPr>
          <w:rFonts w:ascii="Arial" w:hAnsi="Arial" w:cs="Arial"/>
        </w:rPr>
        <w:t xml:space="preserve">The maxim </w:t>
      </w:r>
      <w:r w:rsidR="00643759" w:rsidRPr="00E9601D">
        <w:rPr>
          <w:rFonts w:ascii="Arial" w:hAnsi="Arial" w:cs="Arial"/>
          <w:i/>
          <w:iCs/>
        </w:rPr>
        <w:t>e</w:t>
      </w:r>
      <w:r w:rsidR="007E0B12" w:rsidRPr="00E9601D">
        <w:rPr>
          <w:rFonts w:ascii="Arial" w:hAnsi="Arial" w:cs="Arial"/>
          <w:i/>
          <w:iCs/>
        </w:rPr>
        <w:t>x</w:t>
      </w:r>
      <w:r w:rsidR="00643759" w:rsidRPr="00E9601D">
        <w:rPr>
          <w:rFonts w:ascii="Arial" w:hAnsi="Arial" w:cs="Arial"/>
          <w:i/>
          <w:iCs/>
        </w:rPr>
        <w:t xml:space="preserve"> </w:t>
      </w:r>
      <w:proofErr w:type="spellStart"/>
      <w:r w:rsidR="00643759" w:rsidRPr="00E9601D">
        <w:rPr>
          <w:rFonts w:ascii="Arial" w:hAnsi="Arial" w:cs="Arial"/>
          <w:i/>
          <w:iCs/>
        </w:rPr>
        <w:t>turpi</w:t>
      </w:r>
      <w:proofErr w:type="spellEnd"/>
      <w:r w:rsidR="00643759" w:rsidRPr="00E9601D">
        <w:rPr>
          <w:rFonts w:ascii="Arial" w:hAnsi="Arial" w:cs="Arial"/>
          <w:i/>
          <w:iCs/>
        </w:rPr>
        <w:t xml:space="preserve"> causa non </w:t>
      </w:r>
      <w:proofErr w:type="spellStart"/>
      <w:r w:rsidR="00643759" w:rsidRPr="00E9601D">
        <w:rPr>
          <w:rFonts w:ascii="Arial" w:hAnsi="Arial" w:cs="Arial"/>
          <w:i/>
          <w:iCs/>
        </w:rPr>
        <w:t>oritur</w:t>
      </w:r>
      <w:proofErr w:type="spellEnd"/>
      <w:r w:rsidR="00643759" w:rsidRPr="00E9601D">
        <w:rPr>
          <w:rFonts w:ascii="Arial" w:hAnsi="Arial" w:cs="Arial"/>
          <w:i/>
          <w:iCs/>
        </w:rPr>
        <w:t xml:space="preserve"> </w:t>
      </w:r>
      <w:proofErr w:type="spellStart"/>
      <w:r w:rsidR="00643759" w:rsidRPr="00E9601D">
        <w:rPr>
          <w:rFonts w:ascii="Arial" w:hAnsi="Arial" w:cs="Arial"/>
          <w:i/>
          <w:iCs/>
        </w:rPr>
        <w:t>actio</w:t>
      </w:r>
      <w:proofErr w:type="spellEnd"/>
      <w:r w:rsidR="00643759" w:rsidRPr="00E9601D">
        <w:rPr>
          <w:rFonts w:ascii="Arial" w:hAnsi="Arial" w:cs="Arial"/>
          <w:i/>
          <w:iCs/>
        </w:rPr>
        <w:t xml:space="preserve"> </w:t>
      </w:r>
      <w:r w:rsidR="00643759" w:rsidRPr="00E9601D">
        <w:rPr>
          <w:rFonts w:ascii="Arial" w:hAnsi="Arial" w:cs="Arial"/>
        </w:rPr>
        <w:t>prohibits the enforcement of immoral or illegal contracts.</w:t>
      </w:r>
    </w:p>
    <w:p w:rsidR="00643759" w:rsidRDefault="00643759" w:rsidP="00643759">
      <w:pPr>
        <w:spacing w:line="360" w:lineRule="auto"/>
        <w:jc w:val="both"/>
        <w:rPr>
          <w:rFonts w:ascii="Arial" w:hAnsi="Arial" w:cs="Arial"/>
        </w:rPr>
      </w:pPr>
    </w:p>
    <w:p w:rsidR="00643759" w:rsidRDefault="00643759" w:rsidP="00643759">
      <w:pPr>
        <w:spacing w:line="360" w:lineRule="auto"/>
        <w:ind w:left="720" w:hanging="720"/>
        <w:jc w:val="both"/>
        <w:rPr>
          <w:rFonts w:ascii="Arial" w:hAnsi="Arial" w:cs="Arial"/>
        </w:rPr>
      </w:pPr>
      <w:r>
        <w:rPr>
          <w:rFonts w:ascii="Arial" w:hAnsi="Arial" w:cs="Arial"/>
        </w:rPr>
        <w:t>[2]</w:t>
      </w:r>
      <w:r>
        <w:rPr>
          <w:rFonts w:ascii="Arial" w:hAnsi="Arial" w:cs="Arial"/>
        </w:rPr>
        <w:tab/>
        <w:t xml:space="preserve">The </w:t>
      </w:r>
      <w:r w:rsidRPr="00643759">
        <w:rPr>
          <w:rFonts w:ascii="Arial" w:hAnsi="Arial" w:cs="Arial"/>
        </w:rPr>
        <w:t>maxim</w:t>
      </w:r>
      <w:r>
        <w:rPr>
          <w:rFonts w:ascii="Arial" w:hAnsi="Arial" w:cs="Arial"/>
          <w:i/>
          <w:iCs/>
        </w:rPr>
        <w:t xml:space="preserve"> </w:t>
      </w:r>
      <w:r w:rsidR="007E0B12">
        <w:rPr>
          <w:rFonts w:ascii="Arial" w:hAnsi="Arial" w:cs="Arial"/>
          <w:i/>
          <w:iCs/>
        </w:rPr>
        <w:t xml:space="preserve">in </w:t>
      </w:r>
      <w:proofErr w:type="spellStart"/>
      <w:r>
        <w:rPr>
          <w:rFonts w:ascii="Arial" w:hAnsi="Arial" w:cs="Arial"/>
          <w:i/>
          <w:iCs/>
        </w:rPr>
        <w:t>pari</w:t>
      </w:r>
      <w:proofErr w:type="spellEnd"/>
      <w:r>
        <w:rPr>
          <w:rFonts w:ascii="Arial" w:hAnsi="Arial" w:cs="Arial"/>
          <w:i/>
          <w:iCs/>
        </w:rPr>
        <w:t xml:space="preserve"> delicto </w:t>
      </w:r>
      <w:proofErr w:type="spellStart"/>
      <w:r>
        <w:rPr>
          <w:rFonts w:ascii="Arial" w:hAnsi="Arial" w:cs="Arial"/>
          <w:i/>
          <w:iCs/>
        </w:rPr>
        <w:t>potior</w:t>
      </w:r>
      <w:proofErr w:type="spellEnd"/>
      <w:r>
        <w:rPr>
          <w:rFonts w:ascii="Arial" w:hAnsi="Arial" w:cs="Arial"/>
          <w:i/>
          <w:iCs/>
        </w:rPr>
        <w:t xml:space="preserve"> </w:t>
      </w:r>
      <w:proofErr w:type="spellStart"/>
      <w:r>
        <w:rPr>
          <w:rFonts w:ascii="Arial" w:hAnsi="Arial" w:cs="Arial"/>
          <w:i/>
          <w:iCs/>
        </w:rPr>
        <w:t>est</w:t>
      </w:r>
      <w:proofErr w:type="spellEnd"/>
      <w:r>
        <w:rPr>
          <w:rFonts w:ascii="Arial" w:hAnsi="Arial" w:cs="Arial"/>
          <w:i/>
          <w:iCs/>
        </w:rPr>
        <w:t xml:space="preserve"> </w:t>
      </w:r>
      <w:proofErr w:type="spellStart"/>
      <w:r>
        <w:rPr>
          <w:rFonts w:ascii="Arial" w:hAnsi="Arial" w:cs="Arial"/>
          <w:i/>
          <w:iCs/>
        </w:rPr>
        <w:t>condictio</w:t>
      </w:r>
      <w:proofErr w:type="spellEnd"/>
      <w:r>
        <w:rPr>
          <w:rFonts w:ascii="Arial" w:hAnsi="Arial" w:cs="Arial"/>
          <w:i/>
          <w:iCs/>
        </w:rPr>
        <w:t xml:space="preserve"> </w:t>
      </w:r>
      <w:proofErr w:type="spellStart"/>
      <w:r>
        <w:rPr>
          <w:rFonts w:ascii="Arial" w:hAnsi="Arial" w:cs="Arial"/>
          <w:i/>
          <w:iCs/>
        </w:rPr>
        <w:t>defendentis</w:t>
      </w:r>
      <w:proofErr w:type="spellEnd"/>
      <w:r>
        <w:rPr>
          <w:rFonts w:ascii="Arial" w:hAnsi="Arial" w:cs="Arial"/>
        </w:rPr>
        <w:t>, curtails the right of delinquents to avoid the consequences of their performance or past performance of such contracts.</w:t>
      </w:r>
    </w:p>
    <w:p w:rsidR="00643759" w:rsidRDefault="00643759" w:rsidP="00643759">
      <w:pPr>
        <w:spacing w:line="360" w:lineRule="auto"/>
        <w:ind w:left="720" w:hanging="720"/>
        <w:jc w:val="both"/>
        <w:rPr>
          <w:rFonts w:ascii="Arial" w:hAnsi="Arial" w:cs="Arial"/>
        </w:rPr>
      </w:pPr>
    </w:p>
    <w:p w:rsidR="00643759" w:rsidRDefault="00643759" w:rsidP="00643759">
      <w:pPr>
        <w:spacing w:line="360" w:lineRule="auto"/>
        <w:ind w:left="720" w:hanging="720"/>
        <w:jc w:val="both"/>
        <w:rPr>
          <w:rFonts w:ascii="Arial" w:hAnsi="Arial" w:cs="Arial"/>
        </w:rPr>
      </w:pPr>
      <w:r>
        <w:rPr>
          <w:rFonts w:ascii="Arial" w:hAnsi="Arial" w:cs="Arial"/>
        </w:rPr>
        <w:lastRenderedPageBreak/>
        <w:t>[3]</w:t>
      </w:r>
      <w:r>
        <w:rPr>
          <w:rFonts w:ascii="Arial" w:hAnsi="Arial" w:cs="Arial"/>
        </w:rPr>
        <w:tab/>
        <w:t xml:space="preserve">The </w:t>
      </w:r>
      <w:r>
        <w:rPr>
          <w:rFonts w:ascii="Arial" w:hAnsi="Arial" w:cs="Arial"/>
          <w:i/>
          <w:iCs/>
        </w:rPr>
        <w:t xml:space="preserve">par </w:t>
      </w:r>
      <w:proofErr w:type="spellStart"/>
      <w:r>
        <w:rPr>
          <w:rFonts w:ascii="Arial" w:hAnsi="Arial" w:cs="Arial"/>
          <w:i/>
          <w:iCs/>
        </w:rPr>
        <w:t>delictum</w:t>
      </w:r>
      <w:proofErr w:type="spellEnd"/>
      <w:r>
        <w:rPr>
          <w:rFonts w:ascii="Arial" w:hAnsi="Arial" w:cs="Arial"/>
        </w:rPr>
        <w:t xml:space="preserve"> maxim has not in modern systems of law been universally invoked to defeat every claim by one of two delinquents to recover what he has delivered under an illegal contract.</w:t>
      </w:r>
      <w:r w:rsidR="00611C0C">
        <w:rPr>
          <w:rStyle w:val="FootnoteReference"/>
          <w:rFonts w:ascii="Arial" w:hAnsi="Arial" w:cs="Arial"/>
        </w:rPr>
        <w:footnoteReference w:id="1"/>
      </w:r>
    </w:p>
    <w:p w:rsidR="00611C0C" w:rsidRDefault="00611C0C" w:rsidP="00643759">
      <w:pPr>
        <w:spacing w:line="360" w:lineRule="auto"/>
        <w:ind w:left="720" w:hanging="720"/>
        <w:jc w:val="both"/>
        <w:rPr>
          <w:rFonts w:ascii="Arial" w:hAnsi="Arial" w:cs="Arial"/>
        </w:rPr>
      </w:pPr>
    </w:p>
    <w:p w:rsidR="00611C0C" w:rsidRDefault="00611C0C" w:rsidP="00643759">
      <w:pPr>
        <w:spacing w:line="360" w:lineRule="auto"/>
        <w:ind w:left="720" w:hanging="720"/>
        <w:jc w:val="both"/>
        <w:rPr>
          <w:rFonts w:asciiTheme="majorHAnsi" w:hAnsiTheme="majorHAnsi" w:cstheme="majorHAnsi"/>
        </w:rPr>
      </w:pPr>
      <w:r>
        <w:rPr>
          <w:rFonts w:ascii="Arial" w:hAnsi="Arial" w:cs="Arial"/>
        </w:rPr>
        <w:t>[4]</w:t>
      </w:r>
      <w:r>
        <w:rPr>
          <w:rFonts w:ascii="Arial" w:hAnsi="Arial" w:cs="Arial"/>
        </w:rPr>
        <w:tab/>
      </w:r>
      <w:r w:rsidR="00A73832">
        <w:rPr>
          <w:rFonts w:ascii="Arial" w:hAnsi="Arial" w:cs="Arial"/>
        </w:rPr>
        <w:t xml:space="preserve">In the </w:t>
      </w:r>
      <w:proofErr w:type="spellStart"/>
      <w:r w:rsidR="007E0B12">
        <w:rPr>
          <w:rFonts w:asciiTheme="majorHAnsi" w:hAnsiTheme="majorHAnsi" w:cstheme="majorHAnsi"/>
          <w:b/>
          <w:bCs/>
        </w:rPr>
        <w:t>Jajbhay</w:t>
      </w:r>
      <w:proofErr w:type="spellEnd"/>
      <w:r w:rsidR="00A73832" w:rsidRPr="00A73832">
        <w:rPr>
          <w:rFonts w:asciiTheme="majorHAnsi" w:hAnsiTheme="majorHAnsi" w:cstheme="majorHAnsi"/>
          <w:b/>
          <w:bCs/>
        </w:rPr>
        <w:t xml:space="preserve"> v </w:t>
      </w:r>
      <w:proofErr w:type="spellStart"/>
      <w:r w:rsidR="00A73832" w:rsidRPr="00A73832">
        <w:rPr>
          <w:rFonts w:asciiTheme="majorHAnsi" w:hAnsiTheme="majorHAnsi" w:cstheme="majorHAnsi"/>
          <w:b/>
          <w:bCs/>
        </w:rPr>
        <w:t>Cassim</w:t>
      </w:r>
      <w:proofErr w:type="spellEnd"/>
      <w:r w:rsidR="00A73832">
        <w:rPr>
          <w:rFonts w:asciiTheme="majorHAnsi" w:hAnsiTheme="majorHAnsi" w:cstheme="majorHAnsi"/>
        </w:rPr>
        <w:t xml:space="preserve">-matter, Stratford CJ in principle held that the </w:t>
      </w:r>
      <w:r w:rsidR="00A73832">
        <w:rPr>
          <w:rFonts w:asciiTheme="majorHAnsi" w:hAnsiTheme="majorHAnsi" w:cstheme="majorHAnsi"/>
          <w:i/>
          <w:iCs/>
        </w:rPr>
        <w:t>“public policy”</w:t>
      </w:r>
      <w:r w:rsidR="00A73832">
        <w:rPr>
          <w:rFonts w:asciiTheme="majorHAnsi" w:hAnsiTheme="majorHAnsi" w:cstheme="majorHAnsi"/>
        </w:rPr>
        <w:t xml:space="preserve"> factor is to play a role in the enforcement of illegal contracts </w:t>
      </w:r>
      <w:r w:rsidR="007E0B12">
        <w:rPr>
          <w:rFonts w:asciiTheme="majorHAnsi" w:hAnsiTheme="majorHAnsi" w:cstheme="majorHAnsi"/>
        </w:rPr>
        <w:t>in</w:t>
      </w:r>
      <w:r w:rsidR="00A73832">
        <w:rPr>
          <w:rFonts w:asciiTheme="majorHAnsi" w:hAnsiTheme="majorHAnsi" w:cstheme="majorHAnsi"/>
        </w:rPr>
        <w:t xml:space="preserve"> subsequent claims for </w:t>
      </w:r>
      <w:r w:rsidR="007E0B12">
        <w:rPr>
          <w:rFonts w:asciiTheme="majorHAnsi" w:hAnsiTheme="majorHAnsi" w:cstheme="majorHAnsi"/>
        </w:rPr>
        <w:t>recovering</w:t>
      </w:r>
      <w:r w:rsidR="00A73832">
        <w:rPr>
          <w:rFonts w:asciiTheme="majorHAnsi" w:hAnsiTheme="majorHAnsi" w:cstheme="majorHAnsi"/>
        </w:rPr>
        <w:t xml:space="preserve"> of something delivered under such contract (</w:t>
      </w:r>
      <w:r w:rsidR="00A73832">
        <w:rPr>
          <w:rFonts w:asciiTheme="majorHAnsi" w:hAnsiTheme="majorHAnsi" w:cstheme="majorHAnsi"/>
          <w:i/>
          <w:iCs/>
        </w:rPr>
        <w:t xml:space="preserve">a </w:t>
      </w:r>
      <w:proofErr w:type="spellStart"/>
      <w:r w:rsidR="00A73832">
        <w:rPr>
          <w:rFonts w:asciiTheme="majorHAnsi" w:hAnsiTheme="majorHAnsi" w:cstheme="majorHAnsi"/>
          <w:i/>
          <w:iCs/>
        </w:rPr>
        <w:t>restitutio</w:t>
      </w:r>
      <w:proofErr w:type="spellEnd"/>
      <w:r w:rsidR="00A73832">
        <w:rPr>
          <w:rFonts w:asciiTheme="majorHAnsi" w:hAnsiTheme="majorHAnsi" w:cstheme="majorHAnsi"/>
          <w:i/>
          <w:iCs/>
        </w:rPr>
        <w:t xml:space="preserve"> in </w:t>
      </w:r>
      <w:proofErr w:type="spellStart"/>
      <w:r w:rsidR="00A73832">
        <w:rPr>
          <w:rFonts w:asciiTheme="majorHAnsi" w:hAnsiTheme="majorHAnsi" w:cstheme="majorHAnsi"/>
          <w:i/>
          <w:iCs/>
        </w:rPr>
        <w:t>integrum</w:t>
      </w:r>
      <w:proofErr w:type="spellEnd"/>
      <w:r w:rsidR="00A73832">
        <w:rPr>
          <w:rFonts w:asciiTheme="majorHAnsi" w:hAnsiTheme="majorHAnsi" w:cstheme="majorHAnsi"/>
        </w:rPr>
        <w:t xml:space="preserve">). </w:t>
      </w:r>
    </w:p>
    <w:p w:rsidR="00A73832" w:rsidRDefault="00A73832" w:rsidP="00643759">
      <w:pPr>
        <w:spacing w:line="360" w:lineRule="auto"/>
        <w:ind w:left="720" w:hanging="720"/>
        <w:jc w:val="both"/>
        <w:rPr>
          <w:rFonts w:asciiTheme="majorHAnsi" w:hAnsiTheme="majorHAnsi" w:cstheme="majorHAnsi"/>
        </w:rPr>
      </w:pPr>
    </w:p>
    <w:p w:rsidR="00A73832" w:rsidRPr="00A73832" w:rsidRDefault="00A73832" w:rsidP="00643759">
      <w:pPr>
        <w:spacing w:line="360" w:lineRule="auto"/>
        <w:ind w:left="720" w:hanging="720"/>
        <w:jc w:val="both"/>
        <w:rPr>
          <w:rFonts w:asciiTheme="majorHAnsi" w:hAnsiTheme="majorHAnsi" w:cstheme="majorHAnsi"/>
        </w:rPr>
      </w:pPr>
      <w:r>
        <w:rPr>
          <w:rFonts w:asciiTheme="majorHAnsi" w:hAnsiTheme="majorHAnsi" w:cstheme="majorHAnsi"/>
        </w:rPr>
        <w:t>[5]</w:t>
      </w:r>
      <w:r>
        <w:rPr>
          <w:rFonts w:asciiTheme="majorHAnsi" w:hAnsiTheme="majorHAnsi" w:cstheme="majorHAnsi"/>
        </w:rPr>
        <w:tab/>
        <w:t>In this latter regard Stratford CJ, stated as follows:</w:t>
      </w:r>
    </w:p>
    <w:p w:rsidR="00597462" w:rsidRPr="00231388" w:rsidRDefault="00597462" w:rsidP="001474E4">
      <w:pPr>
        <w:pStyle w:val="ListParagraph"/>
        <w:spacing w:line="360" w:lineRule="auto"/>
        <w:ind w:left="810"/>
        <w:jc w:val="both"/>
        <w:rPr>
          <w:rFonts w:ascii="Arial" w:hAnsi="Arial" w:cs="Arial"/>
        </w:rPr>
      </w:pPr>
    </w:p>
    <w:p w:rsidR="006A49B9" w:rsidRDefault="00231388" w:rsidP="001474E4">
      <w:pPr>
        <w:spacing w:line="360" w:lineRule="auto"/>
        <w:ind w:left="1418"/>
        <w:jc w:val="both"/>
        <w:rPr>
          <w:rFonts w:ascii="Arial" w:hAnsi="Arial" w:cs="Arial"/>
          <w:sz w:val="20"/>
          <w:szCs w:val="20"/>
        </w:rPr>
      </w:pPr>
      <w:r w:rsidRPr="00231388">
        <w:rPr>
          <w:rFonts w:ascii="Arial" w:hAnsi="Arial" w:cs="Arial"/>
          <w:sz w:val="20"/>
          <w:szCs w:val="20"/>
        </w:rPr>
        <w:t>“</w:t>
      </w:r>
      <w:r w:rsidR="00A73832">
        <w:rPr>
          <w:rFonts w:ascii="Arial" w:hAnsi="Arial" w:cs="Arial"/>
          <w:sz w:val="20"/>
          <w:szCs w:val="20"/>
        </w:rPr>
        <w:t>..</w:t>
      </w:r>
      <w:r w:rsidR="00BE63E4">
        <w:rPr>
          <w:rFonts w:ascii="Arial" w:hAnsi="Arial" w:cs="Arial"/>
          <w:sz w:val="20"/>
          <w:szCs w:val="20"/>
        </w:rPr>
        <w:t>.</w:t>
      </w:r>
      <w:r w:rsidR="00A73832">
        <w:rPr>
          <w:rFonts w:ascii="Arial" w:hAnsi="Arial" w:cs="Arial"/>
          <w:sz w:val="20"/>
          <w:szCs w:val="20"/>
        </w:rPr>
        <w:t xml:space="preserve"> </w:t>
      </w:r>
      <w:r w:rsidR="007E0B12">
        <w:rPr>
          <w:rFonts w:ascii="Arial" w:hAnsi="Arial" w:cs="Arial"/>
          <w:sz w:val="20"/>
          <w:szCs w:val="20"/>
        </w:rPr>
        <w:t>t</w:t>
      </w:r>
      <w:r w:rsidR="00A73832">
        <w:rPr>
          <w:rFonts w:ascii="Arial" w:hAnsi="Arial" w:cs="Arial"/>
          <w:sz w:val="20"/>
          <w:szCs w:val="20"/>
        </w:rPr>
        <w:t xml:space="preserve">he rule expressed in the maxim in </w:t>
      </w:r>
      <w:proofErr w:type="spellStart"/>
      <w:r w:rsidR="00A73832">
        <w:rPr>
          <w:rFonts w:ascii="Arial" w:hAnsi="Arial" w:cs="Arial"/>
          <w:i/>
          <w:iCs/>
          <w:sz w:val="20"/>
          <w:szCs w:val="20"/>
        </w:rPr>
        <w:t>pari</w:t>
      </w:r>
      <w:proofErr w:type="spellEnd"/>
      <w:r w:rsidR="00A73832">
        <w:rPr>
          <w:rFonts w:ascii="Arial" w:hAnsi="Arial" w:cs="Arial"/>
          <w:i/>
          <w:iCs/>
          <w:sz w:val="20"/>
          <w:szCs w:val="20"/>
        </w:rPr>
        <w:t xml:space="preserve"> </w:t>
      </w:r>
      <w:proofErr w:type="spellStart"/>
      <w:r w:rsidR="00A73832">
        <w:rPr>
          <w:rFonts w:ascii="Arial" w:hAnsi="Arial" w:cs="Arial"/>
          <w:i/>
          <w:iCs/>
          <w:sz w:val="20"/>
          <w:szCs w:val="20"/>
        </w:rPr>
        <w:t>delictio</w:t>
      </w:r>
      <w:proofErr w:type="spellEnd"/>
      <w:r w:rsidR="00A73832">
        <w:rPr>
          <w:rFonts w:ascii="Arial" w:hAnsi="Arial" w:cs="Arial"/>
          <w:i/>
          <w:iCs/>
          <w:sz w:val="20"/>
          <w:szCs w:val="20"/>
        </w:rPr>
        <w:t xml:space="preserve"> </w:t>
      </w:r>
      <w:proofErr w:type="spellStart"/>
      <w:r w:rsidR="00A73832">
        <w:rPr>
          <w:rFonts w:ascii="Arial" w:hAnsi="Arial" w:cs="Arial"/>
          <w:i/>
          <w:iCs/>
          <w:sz w:val="20"/>
          <w:szCs w:val="20"/>
        </w:rPr>
        <w:t>potior</w:t>
      </w:r>
      <w:proofErr w:type="spellEnd"/>
      <w:r w:rsidR="00A73832">
        <w:rPr>
          <w:rFonts w:ascii="Arial" w:hAnsi="Arial" w:cs="Arial"/>
          <w:i/>
          <w:iCs/>
          <w:sz w:val="20"/>
          <w:szCs w:val="20"/>
        </w:rPr>
        <w:t xml:space="preserve"> </w:t>
      </w:r>
      <w:proofErr w:type="spellStart"/>
      <w:r w:rsidR="00A73832">
        <w:rPr>
          <w:rFonts w:ascii="Arial" w:hAnsi="Arial" w:cs="Arial"/>
          <w:i/>
          <w:iCs/>
          <w:sz w:val="20"/>
          <w:szCs w:val="20"/>
        </w:rPr>
        <w:t>condictio</w:t>
      </w:r>
      <w:proofErr w:type="spellEnd"/>
      <w:r w:rsidR="00A73832">
        <w:rPr>
          <w:rFonts w:ascii="Arial" w:hAnsi="Arial" w:cs="Arial"/>
          <w:i/>
          <w:iCs/>
          <w:sz w:val="20"/>
          <w:szCs w:val="20"/>
        </w:rPr>
        <w:t xml:space="preserve"> </w:t>
      </w:r>
      <w:proofErr w:type="spellStart"/>
      <w:r w:rsidR="00A73832">
        <w:rPr>
          <w:rFonts w:ascii="Arial" w:hAnsi="Arial" w:cs="Arial"/>
          <w:i/>
          <w:iCs/>
          <w:sz w:val="20"/>
          <w:szCs w:val="20"/>
        </w:rPr>
        <w:t>defendentis</w:t>
      </w:r>
      <w:proofErr w:type="spellEnd"/>
      <w:r w:rsidR="00A73832">
        <w:rPr>
          <w:rFonts w:ascii="Arial" w:hAnsi="Arial" w:cs="Arial"/>
          <w:sz w:val="20"/>
          <w:szCs w:val="20"/>
        </w:rPr>
        <w:t>, is not one that can or ought to be applied in all cases that is subject t</w:t>
      </w:r>
      <w:r w:rsidR="005B193B">
        <w:rPr>
          <w:rFonts w:ascii="Arial" w:hAnsi="Arial" w:cs="Arial"/>
          <w:sz w:val="20"/>
          <w:szCs w:val="20"/>
        </w:rPr>
        <w:t>o</w:t>
      </w:r>
      <w:r w:rsidR="00A73832">
        <w:rPr>
          <w:rFonts w:ascii="Arial" w:hAnsi="Arial" w:cs="Arial"/>
          <w:sz w:val="20"/>
          <w:szCs w:val="20"/>
        </w:rPr>
        <w:t xml:space="preserve"> exceptions which in each case must be found to exist only in regard to the principle of public policy.</w:t>
      </w:r>
      <w:r w:rsidRPr="00231388">
        <w:rPr>
          <w:rFonts w:ascii="Arial" w:hAnsi="Arial" w:cs="Arial"/>
          <w:sz w:val="20"/>
          <w:szCs w:val="20"/>
        </w:rPr>
        <w:t>”</w:t>
      </w:r>
      <w:r w:rsidR="00A73832">
        <w:rPr>
          <w:rStyle w:val="FootnoteReference"/>
          <w:rFonts w:ascii="Arial" w:hAnsi="Arial" w:cs="Arial"/>
          <w:sz w:val="20"/>
          <w:szCs w:val="20"/>
        </w:rPr>
        <w:footnoteReference w:id="2"/>
      </w:r>
    </w:p>
    <w:p w:rsidR="00A73832" w:rsidRDefault="00A73832" w:rsidP="00A73832">
      <w:pPr>
        <w:spacing w:line="360" w:lineRule="auto"/>
        <w:jc w:val="both"/>
        <w:rPr>
          <w:rFonts w:ascii="Arial" w:hAnsi="Arial" w:cs="Arial"/>
          <w:sz w:val="20"/>
          <w:szCs w:val="20"/>
        </w:rPr>
      </w:pPr>
    </w:p>
    <w:p w:rsidR="00A73832" w:rsidRDefault="00A73832" w:rsidP="00A73832">
      <w:pPr>
        <w:spacing w:line="360" w:lineRule="auto"/>
        <w:jc w:val="both"/>
        <w:rPr>
          <w:rFonts w:ascii="Arial" w:hAnsi="Arial" w:cs="Arial"/>
        </w:rPr>
      </w:pPr>
      <w:r>
        <w:rPr>
          <w:rFonts w:ascii="Arial" w:hAnsi="Arial" w:cs="Arial"/>
        </w:rPr>
        <w:t>[6]</w:t>
      </w:r>
      <w:r>
        <w:rPr>
          <w:rFonts w:ascii="Arial" w:hAnsi="Arial" w:cs="Arial"/>
        </w:rPr>
        <w:tab/>
        <w:t>The Learned Chief Justice further remark that:</w:t>
      </w:r>
    </w:p>
    <w:p w:rsidR="00A73832" w:rsidRDefault="00A73832" w:rsidP="00A73832">
      <w:pPr>
        <w:spacing w:line="360" w:lineRule="auto"/>
        <w:jc w:val="both"/>
        <w:rPr>
          <w:rFonts w:ascii="Arial" w:hAnsi="Arial" w:cs="Arial"/>
        </w:rPr>
      </w:pPr>
    </w:p>
    <w:p w:rsidR="00A73832" w:rsidRDefault="00A73832" w:rsidP="005B193B">
      <w:pPr>
        <w:spacing w:line="360" w:lineRule="auto"/>
        <w:ind w:left="1440"/>
        <w:jc w:val="both"/>
        <w:rPr>
          <w:rFonts w:ascii="Arial" w:hAnsi="Arial" w:cs="Arial"/>
          <w:sz w:val="20"/>
          <w:szCs w:val="20"/>
        </w:rPr>
      </w:pPr>
      <w:r>
        <w:rPr>
          <w:rFonts w:ascii="Arial" w:hAnsi="Arial" w:cs="Arial"/>
        </w:rPr>
        <w:t>“</w:t>
      </w:r>
      <w:r>
        <w:rPr>
          <w:rFonts w:ascii="Arial" w:hAnsi="Arial" w:cs="Arial"/>
          <w:sz w:val="20"/>
          <w:szCs w:val="20"/>
        </w:rPr>
        <w:t>Public policy should properly take into account the doing of simple</w:t>
      </w:r>
      <w:r w:rsidR="005B193B">
        <w:rPr>
          <w:rFonts w:ascii="Arial" w:hAnsi="Arial" w:cs="Arial"/>
          <w:sz w:val="20"/>
          <w:szCs w:val="20"/>
        </w:rPr>
        <w:t xml:space="preserve"> justice between man and man”,</w:t>
      </w:r>
      <w:r w:rsidR="005B193B">
        <w:rPr>
          <w:rStyle w:val="FootnoteReference"/>
          <w:rFonts w:ascii="Arial" w:hAnsi="Arial" w:cs="Arial"/>
          <w:sz w:val="20"/>
          <w:szCs w:val="20"/>
        </w:rPr>
        <w:footnoteReference w:id="3"/>
      </w:r>
    </w:p>
    <w:p w:rsidR="005B193B" w:rsidRDefault="005B193B" w:rsidP="005B193B">
      <w:pPr>
        <w:spacing w:line="360" w:lineRule="auto"/>
        <w:jc w:val="both"/>
        <w:rPr>
          <w:rFonts w:ascii="Arial" w:hAnsi="Arial" w:cs="Arial"/>
          <w:sz w:val="20"/>
          <w:szCs w:val="20"/>
        </w:rPr>
      </w:pPr>
    </w:p>
    <w:p w:rsidR="005B193B" w:rsidRDefault="005B193B" w:rsidP="005B193B">
      <w:pPr>
        <w:spacing w:line="360" w:lineRule="auto"/>
        <w:jc w:val="both"/>
        <w:rPr>
          <w:rFonts w:ascii="Arial" w:hAnsi="Arial" w:cs="Arial"/>
        </w:rPr>
      </w:pPr>
      <w:r>
        <w:rPr>
          <w:rFonts w:ascii="Arial" w:hAnsi="Arial" w:cs="Arial"/>
          <w:sz w:val="20"/>
          <w:szCs w:val="20"/>
        </w:rPr>
        <w:tab/>
      </w:r>
      <w:r>
        <w:rPr>
          <w:rFonts w:ascii="Arial" w:hAnsi="Arial" w:cs="Arial"/>
        </w:rPr>
        <w:t>and further:</w:t>
      </w:r>
    </w:p>
    <w:p w:rsidR="005B193B" w:rsidRDefault="005B193B" w:rsidP="005B193B">
      <w:pPr>
        <w:spacing w:line="360" w:lineRule="auto"/>
        <w:jc w:val="both"/>
        <w:rPr>
          <w:rFonts w:ascii="Arial" w:hAnsi="Arial" w:cs="Arial"/>
        </w:rPr>
      </w:pPr>
    </w:p>
    <w:p w:rsidR="005B193B" w:rsidRPr="005B193B" w:rsidRDefault="005B193B" w:rsidP="005B193B">
      <w:pPr>
        <w:spacing w:line="360" w:lineRule="auto"/>
        <w:ind w:left="1440"/>
        <w:jc w:val="both"/>
        <w:rPr>
          <w:rFonts w:ascii="Arial" w:hAnsi="Arial" w:cs="Arial"/>
          <w:sz w:val="20"/>
          <w:szCs w:val="20"/>
        </w:rPr>
      </w:pPr>
      <w:r>
        <w:rPr>
          <w:rFonts w:ascii="Arial" w:hAnsi="Arial" w:cs="Arial"/>
          <w:sz w:val="20"/>
          <w:szCs w:val="20"/>
        </w:rPr>
        <w:t>“</w:t>
      </w:r>
      <w:r w:rsidR="007E0B12">
        <w:rPr>
          <w:rFonts w:ascii="Arial" w:hAnsi="Arial" w:cs="Arial"/>
          <w:sz w:val="20"/>
          <w:szCs w:val="20"/>
        </w:rPr>
        <w:t>… a</w:t>
      </w:r>
      <w:r>
        <w:rPr>
          <w:rFonts w:ascii="Arial" w:hAnsi="Arial" w:cs="Arial"/>
          <w:sz w:val="20"/>
          <w:szCs w:val="20"/>
        </w:rPr>
        <w:t xml:space="preserve"> court of law might well decide in favour of doing justice between the individuals concerned and so prevent unjust enrichment”.</w:t>
      </w:r>
      <w:r>
        <w:rPr>
          <w:rStyle w:val="FootnoteReference"/>
          <w:rFonts w:ascii="Arial" w:hAnsi="Arial" w:cs="Arial"/>
          <w:sz w:val="20"/>
          <w:szCs w:val="20"/>
        </w:rPr>
        <w:footnoteReference w:id="4"/>
      </w:r>
    </w:p>
    <w:p w:rsidR="00A73832" w:rsidRDefault="00A73832" w:rsidP="00A73832">
      <w:pPr>
        <w:spacing w:line="360" w:lineRule="auto"/>
        <w:jc w:val="both"/>
        <w:rPr>
          <w:rFonts w:ascii="Arial" w:hAnsi="Arial" w:cs="Arial"/>
        </w:rPr>
      </w:pPr>
    </w:p>
    <w:p w:rsidR="00A73832" w:rsidRDefault="00A73832" w:rsidP="005B193B">
      <w:pPr>
        <w:spacing w:line="360" w:lineRule="auto"/>
        <w:ind w:left="720" w:hanging="720"/>
        <w:jc w:val="both"/>
        <w:rPr>
          <w:rFonts w:ascii="Arial" w:hAnsi="Arial" w:cs="Arial"/>
        </w:rPr>
      </w:pPr>
      <w:r>
        <w:rPr>
          <w:rFonts w:ascii="Arial" w:hAnsi="Arial" w:cs="Arial"/>
        </w:rPr>
        <w:t>[7]</w:t>
      </w:r>
      <w:r>
        <w:rPr>
          <w:rFonts w:ascii="Arial" w:hAnsi="Arial" w:cs="Arial"/>
        </w:rPr>
        <w:tab/>
      </w:r>
      <w:r w:rsidR="005B193B">
        <w:rPr>
          <w:rFonts w:ascii="Arial" w:hAnsi="Arial" w:cs="Arial"/>
        </w:rPr>
        <w:t>With the above remarks in mind, I now turn to the facts in the present matter in this opposed application for summary judgment.</w:t>
      </w:r>
    </w:p>
    <w:p w:rsidR="005B193B" w:rsidRDefault="005B193B" w:rsidP="005B193B">
      <w:pPr>
        <w:spacing w:line="360" w:lineRule="auto"/>
        <w:ind w:left="720" w:hanging="720"/>
        <w:jc w:val="both"/>
        <w:rPr>
          <w:rFonts w:ascii="Arial" w:hAnsi="Arial" w:cs="Arial"/>
        </w:rPr>
      </w:pPr>
    </w:p>
    <w:p w:rsidR="005B193B" w:rsidRDefault="005B193B" w:rsidP="005B193B">
      <w:pPr>
        <w:spacing w:line="360" w:lineRule="auto"/>
        <w:ind w:left="720" w:hanging="720"/>
        <w:jc w:val="both"/>
        <w:rPr>
          <w:rFonts w:ascii="Arial" w:hAnsi="Arial" w:cs="Arial"/>
        </w:rPr>
      </w:pPr>
      <w:r>
        <w:rPr>
          <w:rFonts w:ascii="Arial" w:hAnsi="Arial" w:cs="Arial"/>
        </w:rPr>
        <w:t>[8]</w:t>
      </w:r>
      <w:r>
        <w:rPr>
          <w:rFonts w:ascii="Arial" w:hAnsi="Arial" w:cs="Arial"/>
        </w:rPr>
        <w:tab/>
        <w:t>Plaintiff’s claim is based on a written loan agreement in terms of which Plaintiff loaned an amount of R3,000,000.00 to the Defendant, which amount to incur interests in the amount of a further R3,000,000.00.</w:t>
      </w:r>
    </w:p>
    <w:p w:rsidR="005B193B" w:rsidRDefault="005B193B" w:rsidP="005B193B">
      <w:pPr>
        <w:spacing w:line="360" w:lineRule="auto"/>
        <w:ind w:left="720" w:hanging="720"/>
        <w:jc w:val="both"/>
        <w:rPr>
          <w:rFonts w:ascii="Arial" w:hAnsi="Arial" w:cs="Arial"/>
        </w:rPr>
      </w:pPr>
    </w:p>
    <w:p w:rsidR="005B193B" w:rsidRDefault="005B193B" w:rsidP="005B193B">
      <w:pPr>
        <w:spacing w:line="360" w:lineRule="auto"/>
        <w:ind w:left="720" w:hanging="720"/>
        <w:jc w:val="both"/>
        <w:rPr>
          <w:rFonts w:ascii="Arial" w:hAnsi="Arial" w:cs="Arial"/>
        </w:rPr>
      </w:pPr>
      <w:r>
        <w:rPr>
          <w:rFonts w:ascii="Arial" w:hAnsi="Arial" w:cs="Arial"/>
        </w:rPr>
        <w:lastRenderedPageBreak/>
        <w:t>[9]</w:t>
      </w:r>
      <w:r>
        <w:rPr>
          <w:rFonts w:ascii="Arial" w:hAnsi="Arial" w:cs="Arial"/>
        </w:rPr>
        <w:tab/>
        <w:t xml:space="preserve">It is common cause that Defendant made </w:t>
      </w:r>
      <w:r w:rsidR="007E0B12">
        <w:rPr>
          <w:rFonts w:ascii="Arial" w:hAnsi="Arial" w:cs="Arial"/>
        </w:rPr>
        <w:t>re</w:t>
      </w:r>
      <w:r>
        <w:rPr>
          <w:rFonts w:ascii="Arial" w:hAnsi="Arial" w:cs="Arial"/>
        </w:rPr>
        <w:t>payments to Plaintiff in the total amount of R1,400,000.00, the balance of R1,600,000.00 now being claimed by the Plaintiff.</w:t>
      </w:r>
    </w:p>
    <w:p w:rsidR="005B193B" w:rsidRDefault="005B193B" w:rsidP="005B193B">
      <w:pPr>
        <w:spacing w:line="360" w:lineRule="auto"/>
        <w:ind w:left="720" w:hanging="720"/>
        <w:jc w:val="both"/>
        <w:rPr>
          <w:rFonts w:ascii="Arial" w:hAnsi="Arial" w:cs="Arial"/>
        </w:rPr>
      </w:pPr>
    </w:p>
    <w:p w:rsidR="005B193B" w:rsidRDefault="005B193B" w:rsidP="005B193B">
      <w:pPr>
        <w:spacing w:line="360" w:lineRule="auto"/>
        <w:ind w:left="720" w:hanging="720"/>
        <w:jc w:val="both"/>
        <w:rPr>
          <w:rFonts w:ascii="Arial" w:hAnsi="Arial" w:cs="Arial"/>
        </w:rPr>
      </w:pPr>
      <w:r>
        <w:rPr>
          <w:rFonts w:ascii="Arial" w:hAnsi="Arial" w:cs="Arial"/>
        </w:rPr>
        <w:t>[10]</w:t>
      </w:r>
      <w:r>
        <w:rPr>
          <w:rFonts w:ascii="Arial" w:hAnsi="Arial" w:cs="Arial"/>
        </w:rPr>
        <w:tab/>
        <w:t>It is further common cause</w:t>
      </w:r>
      <w:r w:rsidR="007E0B12">
        <w:rPr>
          <w:rFonts w:ascii="Arial" w:hAnsi="Arial" w:cs="Arial"/>
        </w:rPr>
        <w:t>,</w:t>
      </w:r>
      <w:r>
        <w:rPr>
          <w:rFonts w:ascii="Arial" w:hAnsi="Arial" w:cs="Arial"/>
        </w:rPr>
        <w:t xml:space="preserve"> that whereas </w:t>
      </w:r>
      <w:r w:rsidR="007E0B12">
        <w:rPr>
          <w:rFonts w:ascii="Arial" w:hAnsi="Arial" w:cs="Arial"/>
        </w:rPr>
        <w:t xml:space="preserve">the </w:t>
      </w:r>
      <w:r>
        <w:rPr>
          <w:rFonts w:ascii="Arial" w:hAnsi="Arial" w:cs="Arial"/>
        </w:rPr>
        <w:t>agreement between the parties constitute a credit agreement in terms of the National Credit Act 34 of 2005 (</w:t>
      </w:r>
      <w:r>
        <w:rPr>
          <w:rFonts w:ascii="Arial" w:hAnsi="Arial" w:cs="Arial"/>
          <w:b/>
          <w:bCs/>
        </w:rPr>
        <w:t>“the NCA”</w:t>
      </w:r>
      <w:r>
        <w:rPr>
          <w:rFonts w:ascii="Arial" w:hAnsi="Arial" w:cs="Arial"/>
        </w:rPr>
        <w:t>), Plaintiff was required in terms of Section 40(1) and (2) thereof, to be registered as a credit provider to conclude the credit agreement and extend the loan.</w:t>
      </w:r>
      <w:r w:rsidR="00356DFD">
        <w:rPr>
          <w:rFonts w:ascii="Arial" w:hAnsi="Arial" w:cs="Arial"/>
        </w:rPr>
        <w:t xml:space="preserve"> The Plaintiff was not registered as such.</w:t>
      </w:r>
    </w:p>
    <w:p w:rsidR="005B193B" w:rsidRDefault="005B193B" w:rsidP="005B193B">
      <w:pPr>
        <w:spacing w:line="360" w:lineRule="auto"/>
        <w:ind w:left="720" w:hanging="720"/>
        <w:jc w:val="both"/>
        <w:rPr>
          <w:rFonts w:ascii="Arial" w:hAnsi="Arial" w:cs="Arial"/>
        </w:rPr>
      </w:pPr>
    </w:p>
    <w:p w:rsidR="005B193B" w:rsidRDefault="005B193B" w:rsidP="005B193B">
      <w:pPr>
        <w:spacing w:line="360" w:lineRule="auto"/>
        <w:ind w:left="720" w:hanging="720"/>
        <w:jc w:val="both"/>
        <w:rPr>
          <w:rFonts w:ascii="Arial" w:hAnsi="Arial" w:cs="Arial"/>
        </w:rPr>
      </w:pPr>
      <w:r>
        <w:rPr>
          <w:rFonts w:ascii="Arial" w:hAnsi="Arial" w:cs="Arial"/>
        </w:rPr>
        <w:t>[11]</w:t>
      </w:r>
      <w:r>
        <w:rPr>
          <w:rFonts w:ascii="Arial" w:hAnsi="Arial" w:cs="Arial"/>
        </w:rPr>
        <w:tab/>
        <w:t xml:space="preserve">It is not disputed that a credit agreement entered into by a credit provider </w:t>
      </w:r>
      <w:r w:rsidR="00356DFD">
        <w:rPr>
          <w:rFonts w:ascii="Arial" w:hAnsi="Arial" w:cs="Arial"/>
        </w:rPr>
        <w:t>who</w:t>
      </w:r>
      <w:r>
        <w:rPr>
          <w:rFonts w:ascii="Arial" w:hAnsi="Arial" w:cs="Arial"/>
        </w:rPr>
        <w:t xml:space="preserve"> is required to be registered in terms of Section 40(1) of the NCA but who is not so registered, is an unlawful agreement and void to the extent as provided for in Section 89 of the NCA.</w:t>
      </w:r>
    </w:p>
    <w:p w:rsidR="005B193B" w:rsidRDefault="005B193B" w:rsidP="005B193B">
      <w:pPr>
        <w:spacing w:line="360" w:lineRule="auto"/>
        <w:ind w:left="720" w:hanging="720"/>
        <w:jc w:val="both"/>
        <w:rPr>
          <w:rFonts w:ascii="Arial" w:hAnsi="Arial" w:cs="Arial"/>
        </w:rPr>
      </w:pPr>
    </w:p>
    <w:p w:rsidR="005B193B" w:rsidRDefault="005B193B" w:rsidP="005B193B">
      <w:pPr>
        <w:spacing w:line="360" w:lineRule="auto"/>
        <w:ind w:left="720" w:hanging="720"/>
        <w:jc w:val="both"/>
        <w:rPr>
          <w:rFonts w:ascii="Arial" w:hAnsi="Arial" w:cs="Arial"/>
        </w:rPr>
      </w:pPr>
      <w:r>
        <w:rPr>
          <w:rFonts w:ascii="Arial" w:hAnsi="Arial" w:cs="Arial"/>
        </w:rPr>
        <w:t>[12]</w:t>
      </w:r>
      <w:r>
        <w:rPr>
          <w:rFonts w:ascii="Arial" w:hAnsi="Arial" w:cs="Arial"/>
        </w:rPr>
        <w:tab/>
      </w:r>
      <w:r w:rsidR="004852DE">
        <w:rPr>
          <w:rFonts w:ascii="Arial" w:hAnsi="Arial" w:cs="Arial"/>
        </w:rPr>
        <w:t>Defendant’s defence as contained in his plea is firstly that he was and still is not liable to make any payments or further payments in light of the fact that the credit agreement constitutes an unlawful agreement which is void and that the Plaintiff knew that he did not comply with the peremptory requirements in terms of the NCA to provide credit, the latter fact being denied by the Plaintiff.</w:t>
      </w:r>
    </w:p>
    <w:p w:rsidR="004852DE" w:rsidRDefault="004852DE" w:rsidP="005B193B">
      <w:pPr>
        <w:spacing w:line="360" w:lineRule="auto"/>
        <w:ind w:left="720" w:hanging="720"/>
        <w:jc w:val="both"/>
        <w:rPr>
          <w:rFonts w:ascii="Arial" w:hAnsi="Arial" w:cs="Arial"/>
        </w:rPr>
      </w:pPr>
    </w:p>
    <w:p w:rsidR="004852DE" w:rsidRDefault="004852DE" w:rsidP="005B193B">
      <w:pPr>
        <w:spacing w:line="360" w:lineRule="auto"/>
        <w:ind w:left="720" w:hanging="720"/>
        <w:jc w:val="both"/>
        <w:rPr>
          <w:rFonts w:ascii="Arial" w:hAnsi="Arial" w:cs="Arial"/>
        </w:rPr>
      </w:pPr>
      <w:r>
        <w:rPr>
          <w:rFonts w:ascii="Arial" w:hAnsi="Arial" w:cs="Arial"/>
        </w:rPr>
        <w:t>[13]</w:t>
      </w:r>
      <w:r>
        <w:rPr>
          <w:rFonts w:ascii="Arial" w:hAnsi="Arial" w:cs="Arial"/>
        </w:rPr>
        <w:tab/>
        <w:t>Secondly, according to the Defendant’s plea, whereas the Plaintiff’s claim apparently is based on unjust enrichment, the Plaintiff has failed to make the necessary allegations to sustain a cause of action based on unjustified enrichment.</w:t>
      </w:r>
    </w:p>
    <w:p w:rsidR="004852DE" w:rsidRDefault="004852DE" w:rsidP="005B193B">
      <w:pPr>
        <w:spacing w:line="360" w:lineRule="auto"/>
        <w:ind w:left="720" w:hanging="720"/>
        <w:jc w:val="both"/>
        <w:rPr>
          <w:rFonts w:ascii="Arial" w:hAnsi="Arial" w:cs="Arial"/>
        </w:rPr>
      </w:pPr>
    </w:p>
    <w:p w:rsidR="00C65759" w:rsidRDefault="004852DE" w:rsidP="005B193B">
      <w:pPr>
        <w:spacing w:line="360" w:lineRule="auto"/>
        <w:ind w:left="720" w:hanging="720"/>
        <w:jc w:val="both"/>
        <w:rPr>
          <w:rFonts w:ascii="Arial" w:hAnsi="Arial" w:cs="Arial"/>
        </w:rPr>
      </w:pPr>
      <w:r>
        <w:rPr>
          <w:rFonts w:ascii="Arial" w:hAnsi="Arial" w:cs="Arial"/>
        </w:rPr>
        <w:t>[14]</w:t>
      </w:r>
      <w:r>
        <w:rPr>
          <w:rFonts w:ascii="Arial" w:hAnsi="Arial" w:cs="Arial"/>
        </w:rPr>
        <w:tab/>
        <w:t>The Defendant then also denies</w:t>
      </w:r>
      <w:r w:rsidR="00C65759">
        <w:rPr>
          <w:rFonts w:ascii="Arial" w:hAnsi="Arial" w:cs="Arial"/>
        </w:rPr>
        <w:t xml:space="preserve"> that the amount of R1,600,000.00 is payable on any basis </w:t>
      </w:r>
    </w:p>
    <w:p w:rsidR="00C65759" w:rsidRPr="00C65759" w:rsidRDefault="00C65759" w:rsidP="005B193B">
      <w:pPr>
        <w:spacing w:line="360" w:lineRule="auto"/>
        <w:ind w:left="720" w:hanging="720"/>
        <w:jc w:val="both"/>
        <w:rPr>
          <w:rFonts w:ascii="Arial" w:hAnsi="Arial" w:cs="Arial"/>
          <w:sz w:val="16"/>
          <w:szCs w:val="16"/>
        </w:rPr>
      </w:pPr>
    </w:p>
    <w:p w:rsidR="004852DE" w:rsidRPr="00C65759" w:rsidRDefault="00C65759" w:rsidP="00C65759">
      <w:pPr>
        <w:spacing w:line="360" w:lineRule="auto"/>
        <w:ind w:left="1440"/>
        <w:jc w:val="both"/>
        <w:rPr>
          <w:rFonts w:ascii="Arial" w:hAnsi="Arial" w:cs="Arial"/>
          <w:sz w:val="20"/>
          <w:szCs w:val="20"/>
        </w:rPr>
      </w:pPr>
      <w:r>
        <w:rPr>
          <w:rFonts w:ascii="Arial" w:hAnsi="Arial" w:cs="Arial"/>
          <w:sz w:val="20"/>
          <w:szCs w:val="20"/>
        </w:rPr>
        <w:t xml:space="preserve">“… as an acquaintance of the Plaintiff, </w:t>
      </w:r>
      <w:r w:rsidR="007E0B12">
        <w:rPr>
          <w:rFonts w:ascii="Arial" w:hAnsi="Arial" w:cs="Arial"/>
          <w:sz w:val="20"/>
          <w:szCs w:val="20"/>
        </w:rPr>
        <w:t>whom</w:t>
      </w:r>
      <w:r>
        <w:rPr>
          <w:rFonts w:ascii="Arial" w:hAnsi="Arial" w:cs="Arial"/>
          <w:sz w:val="20"/>
          <w:szCs w:val="20"/>
        </w:rPr>
        <w:t xml:space="preserve"> the Plaintiff owns an amount of R7,000,000.00, instructed Plaintiff to deduct the amount of R1,600,000.00 which the Plaintiff alleged to be due to him by the Defendant from the amounts the Plaintiff owes his acquaintance”.</w:t>
      </w:r>
    </w:p>
    <w:p w:rsidR="00C65759" w:rsidRDefault="00C65759" w:rsidP="005B193B">
      <w:pPr>
        <w:spacing w:line="360" w:lineRule="auto"/>
        <w:ind w:left="720" w:hanging="720"/>
        <w:jc w:val="both"/>
        <w:rPr>
          <w:rFonts w:ascii="Arial" w:hAnsi="Arial" w:cs="Arial"/>
        </w:rPr>
      </w:pPr>
    </w:p>
    <w:p w:rsidR="00C65759" w:rsidRDefault="00C65759" w:rsidP="005B193B">
      <w:pPr>
        <w:spacing w:line="360" w:lineRule="auto"/>
        <w:ind w:left="720" w:hanging="720"/>
        <w:jc w:val="both"/>
        <w:rPr>
          <w:rFonts w:ascii="Arial" w:hAnsi="Arial" w:cs="Arial"/>
        </w:rPr>
      </w:pPr>
      <w:r>
        <w:rPr>
          <w:rFonts w:ascii="Arial" w:hAnsi="Arial" w:cs="Arial"/>
        </w:rPr>
        <w:tab/>
        <w:t>The Defendant’s liability towards Plaintiff had</w:t>
      </w:r>
      <w:r w:rsidR="007E0B12">
        <w:rPr>
          <w:rFonts w:ascii="Arial" w:hAnsi="Arial" w:cs="Arial"/>
        </w:rPr>
        <w:t xml:space="preserve"> therefore</w:t>
      </w:r>
      <w:r>
        <w:rPr>
          <w:rFonts w:ascii="Arial" w:hAnsi="Arial" w:cs="Arial"/>
        </w:rPr>
        <w:t xml:space="preserve"> been expunged</w:t>
      </w:r>
      <w:r w:rsidR="007E0B12">
        <w:rPr>
          <w:rFonts w:ascii="Arial" w:hAnsi="Arial" w:cs="Arial"/>
        </w:rPr>
        <w:t>, according to the Defendant</w:t>
      </w:r>
      <w:r>
        <w:rPr>
          <w:rFonts w:ascii="Arial" w:hAnsi="Arial" w:cs="Arial"/>
        </w:rPr>
        <w:t>.</w:t>
      </w:r>
    </w:p>
    <w:p w:rsidR="00C65759" w:rsidRDefault="00C65759" w:rsidP="005B193B">
      <w:pPr>
        <w:spacing w:line="360" w:lineRule="auto"/>
        <w:ind w:left="720" w:hanging="720"/>
        <w:jc w:val="both"/>
        <w:rPr>
          <w:rFonts w:ascii="Arial" w:hAnsi="Arial" w:cs="Arial"/>
        </w:rPr>
      </w:pPr>
    </w:p>
    <w:p w:rsidR="00C65759" w:rsidRDefault="00C65759" w:rsidP="005B193B">
      <w:pPr>
        <w:spacing w:line="360" w:lineRule="auto"/>
        <w:ind w:left="720" w:hanging="720"/>
        <w:jc w:val="both"/>
        <w:rPr>
          <w:rFonts w:ascii="Arial" w:hAnsi="Arial" w:cs="Arial"/>
        </w:rPr>
      </w:pPr>
      <w:r>
        <w:rPr>
          <w:rFonts w:ascii="Arial" w:hAnsi="Arial" w:cs="Arial"/>
        </w:rPr>
        <w:t>[15]</w:t>
      </w:r>
      <w:r>
        <w:rPr>
          <w:rFonts w:ascii="Arial" w:hAnsi="Arial" w:cs="Arial"/>
        </w:rPr>
        <w:tab/>
        <w:t>In opposition to the application for summary judgment, the Defendant contends that the Plaintiff’s claim, with reference to Rule 32(9)(a) clearly falls outside the provisions of Rule 32(1) and that the Defendant does not have an unanswerable case.</w:t>
      </w:r>
    </w:p>
    <w:p w:rsidR="00C65759" w:rsidRDefault="00C65759" w:rsidP="005B193B">
      <w:pPr>
        <w:spacing w:line="360" w:lineRule="auto"/>
        <w:ind w:left="720" w:hanging="720"/>
        <w:jc w:val="both"/>
        <w:rPr>
          <w:rFonts w:ascii="Arial" w:hAnsi="Arial" w:cs="Arial"/>
        </w:rPr>
      </w:pPr>
    </w:p>
    <w:p w:rsidR="00C65759" w:rsidRDefault="00C65759" w:rsidP="005B193B">
      <w:pPr>
        <w:spacing w:line="360" w:lineRule="auto"/>
        <w:ind w:left="720" w:hanging="720"/>
        <w:jc w:val="both"/>
        <w:rPr>
          <w:rFonts w:ascii="Arial" w:hAnsi="Arial" w:cs="Arial"/>
        </w:rPr>
      </w:pPr>
      <w:r>
        <w:rPr>
          <w:rFonts w:ascii="Arial" w:hAnsi="Arial" w:cs="Arial"/>
        </w:rPr>
        <w:t>[16]</w:t>
      </w:r>
      <w:r>
        <w:rPr>
          <w:rFonts w:ascii="Arial" w:hAnsi="Arial" w:cs="Arial"/>
        </w:rPr>
        <w:tab/>
        <w:t>Defendant contends that he has a good defence to Plaintiff’s claim with reference to –</w:t>
      </w:r>
    </w:p>
    <w:p w:rsidR="00C65759" w:rsidRDefault="00C65759" w:rsidP="005B193B">
      <w:pPr>
        <w:spacing w:line="360" w:lineRule="auto"/>
        <w:ind w:left="720" w:hanging="720"/>
        <w:jc w:val="both"/>
        <w:rPr>
          <w:rFonts w:ascii="Arial" w:hAnsi="Arial" w:cs="Arial"/>
        </w:rPr>
      </w:pPr>
    </w:p>
    <w:p w:rsidR="00C65759" w:rsidRPr="00E9601D" w:rsidRDefault="00E9601D" w:rsidP="00E9601D">
      <w:pPr>
        <w:spacing w:line="36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C65759" w:rsidRPr="00E9601D">
        <w:rPr>
          <w:rFonts w:ascii="Arial" w:hAnsi="Arial" w:cs="Arial"/>
        </w:rPr>
        <w:t>In terms of the NCA, the agreement is void to the extent provided for in Section 89(5) and the Court should make a just and equitable order;</w:t>
      </w:r>
    </w:p>
    <w:p w:rsidR="00C65759" w:rsidRDefault="00C65759" w:rsidP="00C65759">
      <w:pPr>
        <w:spacing w:line="360" w:lineRule="auto"/>
        <w:ind w:left="720"/>
        <w:jc w:val="both"/>
        <w:rPr>
          <w:rFonts w:ascii="Arial" w:hAnsi="Arial" w:cs="Arial"/>
        </w:rPr>
      </w:pPr>
    </w:p>
    <w:p w:rsidR="00C65759" w:rsidRPr="00E9601D" w:rsidRDefault="00E9601D" w:rsidP="00E9601D">
      <w:pPr>
        <w:spacing w:line="360" w:lineRule="auto"/>
        <w:ind w:left="1440" w:hanging="720"/>
        <w:jc w:val="both"/>
        <w:rPr>
          <w:rFonts w:ascii="Arial" w:hAnsi="Arial" w:cs="Arial"/>
        </w:rPr>
      </w:pPr>
      <w:r>
        <w:rPr>
          <w:rFonts w:ascii="Arial" w:hAnsi="Arial" w:cs="Arial"/>
        </w:rPr>
        <w:t>(ii)</w:t>
      </w:r>
      <w:r>
        <w:rPr>
          <w:rFonts w:ascii="Arial" w:hAnsi="Arial" w:cs="Arial"/>
        </w:rPr>
        <w:tab/>
      </w:r>
      <w:r w:rsidR="00C65759" w:rsidRPr="00E9601D">
        <w:rPr>
          <w:rFonts w:ascii="Arial" w:hAnsi="Arial" w:cs="Arial"/>
        </w:rPr>
        <w:t>The Plaintiff has not pleaded a cause of action based on unjustified enrichment;</w:t>
      </w:r>
    </w:p>
    <w:p w:rsidR="00C65759" w:rsidRPr="00C65759" w:rsidRDefault="00C65759" w:rsidP="00C65759">
      <w:pPr>
        <w:pStyle w:val="ListParagraph"/>
        <w:rPr>
          <w:rFonts w:ascii="Arial" w:hAnsi="Arial" w:cs="Arial"/>
        </w:rPr>
      </w:pPr>
    </w:p>
    <w:p w:rsidR="00C65759" w:rsidRPr="00E9601D" w:rsidRDefault="00E9601D" w:rsidP="00E9601D">
      <w:pPr>
        <w:spacing w:line="360" w:lineRule="auto"/>
        <w:ind w:left="1440" w:hanging="720"/>
        <w:jc w:val="both"/>
        <w:rPr>
          <w:rFonts w:ascii="Arial" w:hAnsi="Arial" w:cs="Arial"/>
        </w:rPr>
      </w:pPr>
      <w:r>
        <w:rPr>
          <w:rFonts w:ascii="Arial" w:hAnsi="Arial" w:cs="Arial"/>
        </w:rPr>
        <w:t>(iii)</w:t>
      </w:r>
      <w:r>
        <w:rPr>
          <w:rFonts w:ascii="Arial" w:hAnsi="Arial" w:cs="Arial"/>
        </w:rPr>
        <w:tab/>
      </w:r>
      <w:r w:rsidR="00C65759" w:rsidRPr="00E9601D">
        <w:rPr>
          <w:rFonts w:ascii="Arial" w:hAnsi="Arial" w:cs="Arial"/>
        </w:rPr>
        <w:t>The Plaintiff is not entitled to recover anything from the Defendant because Plaintiff knew that he did not comply with the peremptory requirements in terms of the NCA to provide credit; and</w:t>
      </w:r>
    </w:p>
    <w:p w:rsidR="00C65759" w:rsidRPr="00C65759" w:rsidRDefault="00C65759" w:rsidP="00C65759">
      <w:pPr>
        <w:pStyle w:val="ListParagraph"/>
        <w:rPr>
          <w:rFonts w:ascii="Arial" w:hAnsi="Arial" w:cs="Arial"/>
        </w:rPr>
      </w:pPr>
    </w:p>
    <w:p w:rsidR="00C65759" w:rsidRPr="00E9601D" w:rsidRDefault="00E9601D" w:rsidP="00E9601D">
      <w:pPr>
        <w:spacing w:line="360" w:lineRule="auto"/>
        <w:ind w:left="1440" w:hanging="720"/>
        <w:jc w:val="both"/>
        <w:rPr>
          <w:rFonts w:ascii="Arial" w:hAnsi="Arial" w:cs="Arial"/>
        </w:rPr>
      </w:pPr>
      <w:r w:rsidRPr="00C65759">
        <w:rPr>
          <w:rFonts w:ascii="Arial" w:hAnsi="Arial" w:cs="Arial"/>
        </w:rPr>
        <w:t>(iv)</w:t>
      </w:r>
      <w:r w:rsidRPr="00C65759">
        <w:rPr>
          <w:rFonts w:ascii="Arial" w:hAnsi="Arial" w:cs="Arial"/>
        </w:rPr>
        <w:tab/>
      </w:r>
      <w:r w:rsidR="007E0B12" w:rsidRPr="00E9601D">
        <w:rPr>
          <w:rFonts w:ascii="Arial" w:hAnsi="Arial" w:cs="Arial"/>
        </w:rPr>
        <w:t>The</w:t>
      </w:r>
      <w:r w:rsidR="00C65759" w:rsidRPr="00E9601D">
        <w:rPr>
          <w:rFonts w:ascii="Arial" w:hAnsi="Arial" w:cs="Arial"/>
        </w:rPr>
        <w:t xml:space="preserve"> Defendant does not owe the Plaintiff the balance, because of arrangement with </w:t>
      </w:r>
      <w:r w:rsidR="007E0B12" w:rsidRPr="00E9601D">
        <w:rPr>
          <w:rFonts w:ascii="Arial" w:hAnsi="Arial" w:cs="Arial"/>
        </w:rPr>
        <w:t>the</w:t>
      </w:r>
      <w:r w:rsidR="00C65759" w:rsidRPr="00E9601D">
        <w:rPr>
          <w:rFonts w:ascii="Arial" w:hAnsi="Arial" w:cs="Arial"/>
        </w:rPr>
        <w:t xml:space="preserve"> acquaintance, referred to above.</w:t>
      </w:r>
    </w:p>
    <w:p w:rsidR="00C65759" w:rsidRDefault="00C65759" w:rsidP="005B193B">
      <w:pPr>
        <w:spacing w:line="360" w:lineRule="auto"/>
        <w:ind w:left="720" w:hanging="720"/>
        <w:jc w:val="both"/>
        <w:rPr>
          <w:rFonts w:ascii="Arial" w:hAnsi="Arial" w:cs="Arial"/>
        </w:rPr>
      </w:pPr>
    </w:p>
    <w:p w:rsidR="00C65759" w:rsidRDefault="00C65759" w:rsidP="005B193B">
      <w:pPr>
        <w:spacing w:line="360" w:lineRule="auto"/>
        <w:ind w:left="720" w:hanging="720"/>
        <w:jc w:val="both"/>
        <w:rPr>
          <w:rFonts w:ascii="Arial" w:hAnsi="Arial" w:cs="Arial"/>
        </w:rPr>
      </w:pPr>
      <w:r>
        <w:rPr>
          <w:rFonts w:ascii="Arial" w:hAnsi="Arial" w:cs="Arial"/>
        </w:rPr>
        <w:t>[17]</w:t>
      </w:r>
      <w:r>
        <w:rPr>
          <w:rFonts w:ascii="Arial" w:hAnsi="Arial" w:cs="Arial"/>
        </w:rPr>
        <w:tab/>
        <w:t>The Defendant then further contends that with reference again to the provisions of Section 89(5) of the NCA, the Plaintiff is not entitled to any repayment of the loan or repayment of the outstanding balance on several grounds, which include:</w:t>
      </w:r>
    </w:p>
    <w:p w:rsidR="00C65759" w:rsidRDefault="00C65759" w:rsidP="005B193B">
      <w:pPr>
        <w:spacing w:line="360" w:lineRule="auto"/>
        <w:ind w:left="720" w:hanging="720"/>
        <w:jc w:val="both"/>
        <w:rPr>
          <w:rFonts w:ascii="Arial" w:hAnsi="Arial" w:cs="Arial"/>
        </w:rPr>
      </w:pPr>
    </w:p>
    <w:p w:rsidR="00C65759" w:rsidRPr="00E9601D" w:rsidRDefault="00E9601D" w:rsidP="00E9601D">
      <w:pPr>
        <w:spacing w:line="36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C65759" w:rsidRPr="00E9601D">
        <w:rPr>
          <w:rFonts w:ascii="Arial" w:hAnsi="Arial" w:cs="Arial"/>
        </w:rPr>
        <w:t>In addition to the Plaintiff not being registered as a creditor provider, the Plaintiff has failed to make any assessment prior to advancing the credit to the Defendant to determine whether the credit would constitute reckless credit or not which would have rendered the credit agreement unlawful in any event;</w:t>
      </w:r>
    </w:p>
    <w:p w:rsidR="001A2F3A" w:rsidRDefault="001A2F3A" w:rsidP="001A2F3A">
      <w:pPr>
        <w:spacing w:line="360" w:lineRule="auto"/>
        <w:ind w:left="720"/>
        <w:jc w:val="both"/>
        <w:rPr>
          <w:rFonts w:ascii="Arial" w:hAnsi="Arial" w:cs="Arial"/>
        </w:rPr>
      </w:pPr>
    </w:p>
    <w:p w:rsidR="001A2F3A" w:rsidRPr="00E9601D" w:rsidRDefault="00E9601D" w:rsidP="00E9601D">
      <w:pPr>
        <w:spacing w:line="360" w:lineRule="auto"/>
        <w:ind w:left="1440" w:hanging="720"/>
        <w:jc w:val="both"/>
        <w:rPr>
          <w:rFonts w:ascii="Arial" w:hAnsi="Arial" w:cs="Arial"/>
        </w:rPr>
      </w:pPr>
      <w:r>
        <w:rPr>
          <w:rFonts w:ascii="Arial" w:hAnsi="Arial" w:cs="Arial"/>
        </w:rPr>
        <w:t>(ii)</w:t>
      </w:r>
      <w:r>
        <w:rPr>
          <w:rFonts w:ascii="Arial" w:hAnsi="Arial" w:cs="Arial"/>
        </w:rPr>
        <w:tab/>
      </w:r>
      <w:r w:rsidR="001A2F3A" w:rsidRPr="00E9601D">
        <w:rPr>
          <w:rFonts w:ascii="Arial" w:hAnsi="Arial" w:cs="Arial"/>
        </w:rPr>
        <w:t>The interest rate levied on the principal amount, contravened the provisions of Section 105(1) of the NCA;</w:t>
      </w:r>
      <w:r w:rsidR="007E0B12" w:rsidRPr="00E9601D">
        <w:rPr>
          <w:rFonts w:ascii="Arial" w:hAnsi="Arial" w:cs="Arial"/>
        </w:rPr>
        <w:t xml:space="preserve"> and</w:t>
      </w:r>
    </w:p>
    <w:p w:rsidR="001A2F3A" w:rsidRPr="001A2F3A" w:rsidRDefault="001A2F3A" w:rsidP="001A2F3A">
      <w:pPr>
        <w:pStyle w:val="ListParagraph"/>
        <w:rPr>
          <w:rFonts w:ascii="Arial" w:hAnsi="Arial" w:cs="Arial"/>
        </w:rPr>
      </w:pPr>
    </w:p>
    <w:p w:rsidR="001A2F3A" w:rsidRPr="00E9601D" w:rsidRDefault="00E9601D" w:rsidP="00E9601D">
      <w:pPr>
        <w:spacing w:line="360" w:lineRule="auto"/>
        <w:ind w:left="1440" w:hanging="720"/>
        <w:jc w:val="both"/>
        <w:rPr>
          <w:rFonts w:ascii="Arial" w:hAnsi="Arial" w:cs="Arial"/>
        </w:rPr>
      </w:pPr>
      <w:r>
        <w:rPr>
          <w:rFonts w:ascii="Arial" w:hAnsi="Arial" w:cs="Arial"/>
        </w:rPr>
        <w:lastRenderedPageBreak/>
        <w:t>(iii)</w:t>
      </w:r>
      <w:r>
        <w:rPr>
          <w:rFonts w:ascii="Arial" w:hAnsi="Arial" w:cs="Arial"/>
        </w:rPr>
        <w:tab/>
      </w:r>
      <w:r w:rsidR="001A2F3A" w:rsidRPr="00E9601D">
        <w:rPr>
          <w:rFonts w:ascii="Arial" w:hAnsi="Arial" w:cs="Arial"/>
        </w:rPr>
        <w:t>Part of the payments made included interest</w:t>
      </w:r>
      <w:r w:rsidR="007E0B12" w:rsidRPr="00E9601D">
        <w:rPr>
          <w:rFonts w:ascii="Arial" w:hAnsi="Arial" w:cs="Arial"/>
        </w:rPr>
        <w:t>.</w:t>
      </w:r>
      <w:r w:rsidR="001A2F3A" w:rsidRPr="00E9601D">
        <w:rPr>
          <w:rFonts w:ascii="Arial" w:hAnsi="Arial" w:cs="Arial"/>
        </w:rPr>
        <w:t xml:space="preserve"> </w:t>
      </w:r>
    </w:p>
    <w:p w:rsidR="00CC2679" w:rsidRPr="00CC2679" w:rsidRDefault="00CC2679" w:rsidP="00CC2679">
      <w:pPr>
        <w:pStyle w:val="ListParagraph"/>
        <w:rPr>
          <w:rFonts w:ascii="Arial" w:hAnsi="Arial" w:cs="Arial"/>
        </w:rPr>
      </w:pPr>
    </w:p>
    <w:p w:rsidR="001A2F3A" w:rsidRPr="001A2F3A" w:rsidRDefault="001A2F3A" w:rsidP="001A2F3A">
      <w:pPr>
        <w:pStyle w:val="ListParagraph"/>
        <w:rPr>
          <w:rFonts w:ascii="Arial" w:hAnsi="Arial" w:cs="Arial"/>
        </w:rPr>
      </w:pPr>
    </w:p>
    <w:p w:rsidR="001A2F3A" w:rsidRDefault="007E0B12" w:rsidP="001A2F3A">
      <w:pPr>
        <w:pStyle w:val="ListParagraph"/>
        <w:rPr>
          <w:rFonts w:ascii="Arial" w:hAnsi="Arial" w:cs="Arial"/>
        </w:rPr>
      </w:pPr>
      <w:r>
        <w:rPr>
          <w:rFonts w:ascii="Arial" w:hAnsi="Arial" w:cs="Arial"/>
          <w:u w:val="single"/>
        </w:rPr>
        <w:t>Discussion</w:t>
      </w:r>
      <w:r>
        <w:rPr>
          <w:rFonts w:ascii="Arial" w:hAnsi="Arial" w:cs="Arial"/>
        </w:rPr>
        <w:t>:</w:t>
      </w:r>
    </w:p>
    <w:p w:rsidR="007E0B12" w:rsidRPr="007E0B12" w:rsidRDefault="007E0B12" w:rsidP="001A2F3A">
      <w:pPr>
        <w:pStyle w:val="ListParagraph"/>
        <w:rPr>
          <w:rFonts w:ascii="Arial" w:hAnsi="Arial" w:cs="Arial"/>
        </w:rPr>
      </w:pPr>
    </w:p>
    <w:p w:rsidR="001A2F3A" w:rsidRPr="001A2F3A" w:rsidRDefault="007E0B12" w:rsidP="001A2F3A">
      <w:pPr>
        <w:spacing w:line="360" w:lineRule="auto"/>
        <w:jc w:val="both"/>
        <w:rPr>
          <w:rFonts w:ascii="Arial" w:hAnsi="Arial" w:cs="Arial"/>
        </w:rPr>
      </w:pPr>
      <w:r>
        <w:rPr>
          <w:rFonts w:ascii="Arial" w:hAnsi="Arial" w:cs="Arial"/>
          <w:u w:val="single"/>
        </w:rPr>
        <w:t>Unjustified e</w:t>
      </w:r>
      <w:r w:rsidR="002A321C">
        <w:rPr>
          <w:rFonts w:ascii="Arial" w:hAnsi="Arial" w:cs="Arial"/>
          <w:u w:val="single"/>
        </w:rPr>
        <w:t>nrichment</w:t>
      </w:r>
      <w:r w:rsidR="001A2F3A">
        <w:rPr>
          <w:rFonts w:ascii="Arial" w:hAnsi="Arial" w:cs="Arial"/>
        </w:rPr>
        <w:t>:</w:t>
      </w:r>
    </w:p>
    <w:p w:rsidR="00C65759" w:rsidRDefault="00C65759" w:rsidP="005B193B">
      <w:pPr>
        <w:spacing w:line="360" w:lineRule="auto"/>
        <w:ind w:left="720" w:hanging="720"/>
        <w:jc w:val="both"/>
        <w:rPr>
          <w:rFonts w:ascii="Arial" w:hAnsi="Arial" w:cs="Arial"/>
        </w:rPr>
      </w:pPr>
    </w:p>
    <w:p w:rsidR="00C65759" w:rsidRDefault="00C65759" w:rsidP="005B193B">
      <w:pPr>
        <w:spacing w:line="360" w:lineRule="auto"/>
        <w:ind w:left="720" w:hanging="720"/>
        <w:jc w:val="both"/>
        <w:rPr>
          <w:rFonts w:ascii="Arial" w:hAnsi="Arial" w:cs="Arial"/>
        </w:rPr>
      </w:pPr>
      <w:r>
        <w:rPr>
          <w:rFonts w:ascii="Arial" w:hAnsi="Arial" w:cs="Arial"/>
        </w:rPr>
        <w:t>[18]</w:t>
      </w:r>
      <w:r>
        <w:rPr>
          <w:rFonts w:ascii="Arial" w:hAnsi="Arial" w:cs="Arial"/>
        </w:rPr>
        <w:tab/>
      </w:r>
      <w:r w:rsidR="001A2F3A">
        <w:rPr>
          <w:rFonts w:ascii="Arial" w:hAnsi="Arial" w:cs="Arial"/>
        </w:rPr>
        <w:t xml:space="preserve">Mr </w:t>
      </w:r>
      <w:r w:rsidR="001A2F3A">
        <w:rPr>
          <w:rFonts w:ascii="Arial" w:hAnsi="Arial" w:cs="Arial"/>
          <w:i/>
          <w:iCs/>
        </w:rPr>
        <w:t>Naidoo</w:t>
      </w:r>
      <w:r w:rsidR="001A2F3A">
        <w:rPr>
          <w:rFonts w:ascii="Arial" w:hAnsi="Arial" w:cs="Arial"/>
        </w:rPr>
        <w:t xml:space="preserve"> appearing for the Plaintiff, referred me to several authorities in which it was held that a party who wants to claim restitution of money paid in pursuance of an unlawful agreement cannot do so under the agreement </w:t>
      </w:r>
      <w:r w:rsidR="00491ED7">
        <w:rPr>
          <w:rFonts w:ascii="Arial" w:hAnsi="Arial" w:cs="Arial"/>
        </w:rPr>
        <w:t xml:space="preserve">but </w:t>
      </w:r>
      <w:r w:rsidR="001A2F3A">
        <w:rPr>
          <w:rFonts w:ascii="Arial" w:hAnsi="Arial" w:cs="Arial"/>
        </w:rPr>
        <w:t>must make use of an action based on unjustified enrichment.</w:t>
      </w:r>
    </w:p>
    <w:p w:rsidR="001A2F3A" w:rsidRDefault="001A2F3A" w:rsidP="005B193B">
      <w:pPr>
        <w:spacing w:line="360" w:lineRule="auto"/>
        <w:ind w:left="720" w:hanging="720"/>
        <w:jc w:val="both"/>
        <w:rPr>
          <w:rFonts w:ascii="Arial" w:hAnsi="Arial" w:cs="Arial"/>
        </w:rPr>
      </w:pPr>
    </w:p>
    <w:p w:rsidR="001A2F3A" w:rsidRPr="0086146D" w:rsidRDefault="001A2F3A" w:rsidP="005B193B">
      <w:pPr>
        <w:spacing w:line="360" w:lineRule="auto"/>
        <w:ind w:left="720" w:hanging="720"/>
        <w:jc w:val="both"/>
        <w:rPr>
          <w:rFonts w:asciiTheme="majorHAnsi" w:hAnsiTheme="majorHAnsi" w:cstheme="majorHAnsi"/>
        </w:rPr>
      </w:pPr>
      <w:r>
        <w:rPr>
          <w:rFonts w:ascii="Arial" w:hAnsi="Arial" w:cs="Arial"/>
        </w:rPr>
        <w:t>[19]</w:t>
      </w:r>
      <w:r>
        <w:rPr>
          <w:rFonts w:ascii="Arial" w:hAnsi="Arial" w:cs="Arial"/>
        </w:rPr>
        <w:tab/>
        <w:t xml:space="preserve">In </w:t>
      </w:r>
      <w:r>
        <w:rPr>
          <w:rFonts w:ascii="Arial" w:hAnsi="Arial" w:cs="Arial"/>
          <w:b/>
          <w:bCs/>
        </w:rPr>
        <w:t xml:space="preserve">National Credit Regulator v </w:t>
      </w:r>
      <w:proofErr w:type="spellStart"/>
      <w:r>
        <w:rPr>
          <w:rFonts w:ascii="Arial" w:hAnsi="Arial" w:cs="Arial"/>
          <w:b/>
          <w:bCs/>
        </w:rPr>
        <w:t>Opperman</w:t>
      </w:r>
      <w:proofErr w:type="spellEnd"/>
      <w:r>
        <w:rPr>
          <w:rFonts w:ascii="Arial" w:hAnsi="Arial" w:cs="Arial"/>
          <w:b/>
          <w:bCs/>
        </w:rPr>
        <w:t xml:space="preserve"> and Others</w:t>
      </w:r>
      <w:r>
        <w:rPr>
          <w:rStyle w:val="FootnoteReference"/>
          <w:rFonts w:ascii="Arial" w:hAnsi="Arial" w:cs="Arial"/>
          <w:b/>
          <w:bCs/>
        </w:rPr>
        <w:footnoteReference w:id="5"/>
      </w:r>
      <w:r>
        <w:rPr>
          <w:rFonts w:ascii="Arial" w:hAnsi="Arial" w:cs="Arial"/>
        </w:rPr>
        <w:t xml:space="preserve">, the Constitutional Court confirmed that the enrichment action relevant to a matter, as the present, is the </w:t>
      </w:r>
      <w:proofErr w:type="spellStart"/>
      <w:r w:rsidRPr="0086146D">
        <w:rPr>
          <w:rFonts w:ascii="Arial" w:hAnsi="Arial" w:cs="Arial"/>
          <w:i/>
          <w:iCs/>
        </w:rPr>
        <w:t>c</w:t>
      </w:r>
      <w:r w:rsidRPr="0086146D">
        <w:rPr>
          <w:rStyle w:val="Emphasis"/>
          <w:rFonts w:asciiTheme="majorHAnsi" w:eastAsia="Arial" w:hAnsiTheme="majorHAnsi" w:cstheme="majorHAnsi"/>
          <w:shd w:val="clear" w:color="auto" w:fill="FFFFFF"/>
        </w:rPr>
        <w:t>ondictio</w:t>
      </w:r>
      <w:proofErr w:type="spellEnd"/>
      <w:r w:rsidRPr="0086146D">
        <w:rPr>
          <w:rStyle w:val="Emphasis"/>
          <w:rFonts w:asciiTheme="majorHAnsi" w:eastAsia="Arial" w:hAnsiTheme="majorHAnsi" w:cstheme="majorHAnsi"/>
          <w:shd w:val="clear" w:color="auto" w:fill="FFFFFF"/>
        </w:rPr>
        <w:t xml:space="preserve"> </w:t>
      </w:r>
      <w:proofErr w:type="spellStart"/>
      <w:r w:rsidRPr="0086146D">
        <w:rPr>
          <w:rStyle w:val="Emphasis"/>
          <w:rFonts w:asciiTheme="majorHAnsi" w:eastAsia="Arial" w:hAnsiTheme="majorHAnsi" w:cstheme="majorHAnsi"/>
          <w:shd w:val="clear" w:color="auto" w:fill="FFFFFF"/>
        </w:rPr>
        <w:t>ob</w:t>
      </w:r>
      <w:proofErr w:type="spellEnd"/>
      <w:r w:rsidRPr="0086146D">
        <w:rPr>
          <w:rStyle w:val="Emphasis"/>
          <w:rFonts w:asciiTheme="majorHAnsi" w:eastAsia="Arial" w:hAnsiTheme="majorHAnsi" w:cstheme="majorHAnsi"/>
          <w:shd w:val="clear" w:color="auto" w:fill="FFFFFF"/>
        </w:rPr>
        <w:t xml:space="preserve"> </w:t>
      </w:r>
      <w:proofErr w:type="spellStart"/>
      <w:r w:rsidRPr="0086146D">
        <w:rPr>
          <w:rStyle w:val="Emphasis"/>
          <w:rFonts w:asciiTheme="majorHAnsi" w:eastAsia="Arial" w:hAnsiTheme="majorHAnsi" w:cstheme="majorHAnsi"/>
          <w:shd w:val="clear" w:color="auto" w:fill="FFFFFF"/>
        </w:rPr>
        <w:t>turpem</w:t>
      </w:r>
      <w:proofErr w:type="spellEnd"/>
      <w:r w:rsidRPr="0086146D">
        <w:rPr>
          <w:rStyle w:val="Emphasis"/>
          <w:rFonts w:asciiTheme="majorHAnsi" w:eastAsia="Arial" w:hAnsiTheme="majorHAnsi" w:cstheme="majorHAnsi"/>
          <w:shd w:val="clear" w:color="auto" w:fill="FFFFFF"/>
        </w:rPr>
        <w:t xml:space="preserve"> </w:t>
      </w:r>
      <w:proofErr w:type="spellStart"/>
      <w:r w:rsidRPr="0086146D">
        <w:rPr>
          <w:rStyle w:val="Emphasis"/>
          <w:rFonts w:asciiTheme="majorHAnsi" w:eastAsia="Arial" w:hAnsiTheme="majorHAnsi" w:cstheme="majorHAnsi"/>
          <w:shd w:val="clear" w:color="auto" w:fill="FFFFFF"/>
        </w:rPr>
        <w:t>vel</w:t>
      </w:r>
      <w:proofErr w:type="spellEnd"/>
      <w:r w:rsidRPr="0086146D">
        <w:rPr>
          <w:rStyle w:val="Emphasis"/>
          <w:rFonts w:asciiTheme="majorHAnsi" w:eastAsia="Arial" w:hAnsiTheme="majorHAnsi" w:cstheme="majorHAnsi"/>
          <w:shd w:val="clear" w:color="auto" w:fill="FFFFFF"/>
        </w:rPr>
        <w:t xml:space="preserve"> </w:t>
      </w:r>
      <w:proofErr w:type="spellStart"/>
      <w:r w:rsidR="00491ED7">
        <w:rPr>
          <w:rStyle w:val="Emphasis"/>
          <w:rFonts w:asciiTheme="majorHAnsi" w:eastAsia="Arial" w:hAnsiTheme="majorHAnsi" w:cstheme="majorHAnsi"/>
          <w:shd w:val="clear" w:color="auto" w:fill="FFFFFF"/>
        </w:rPr>
        <w:t>i</w:t>
      </w:r>
      <w:r w:rsidRPr="0086146D">
        <w:rPr>
          <w:rStyle w:val="Emphasis"/>
          <w:rFonts w:asciiTheme="majorHAnsi" w:eastAsia="Arial" w:hAnsiTheme="majorHAnsi" w:cstheme="majorHAnsi"/>
          <w:shd w:val="clear" w:color="auto" w:fill="FFFFFF"/>
        </w:rPr>
        <w:t>niustam</w:t>
      </w:r>
      <w:proofErr w:type="spellEnd"/>
      <w:r w:rsidRPr="0086146D">
        <w:rPr>
          <w:rStyle w:val="Emphasis"/>
          <w:rFonts w:asciiTheme="majorHAnsi" w:eastAsia="Arial" w:hAnsiTheme="majorHAnsi" w:cstheme="majorHAnsi"/>
          <w:shd w:val="clear" w:color="auto" w:fill="FFFFFF"/>
        </w:rPr>
        <w:t xml:space="preserve"> </w:t>
      </w:r>
      <w:proofErr w:type="spellStart"/>
      <w:r w:rsidRPr="0086146D">
        <w:rPr>
          <w:rStyle w:val="Emphasis"/>
          <w:rFonts w:asciiTheme="majorHAnsi" w:eastAsia="Arial" w:hAnsiTheme="majorHAnsi" w:cstheme="majorHAnsi"/>
          <w:shd w:val="clear" w:color="auto" w:fill="FFFFFF"/>
        </w:rPr>
        <w:t>causam</w:t>
      </w:r>
      <w:proofErr w:type="spellEnd"/>
      <w:r w:rsidR="0086146D">
        <w:rPr>
          <w:rStyle w:val="Emphasis"/>
          <w:rFonts w:asciiTheme="majorHAnsi" w:eastAsia="Arial" w:hAnsiTheme="majorHAnsi" w:cstheme="majorHAnsi"/>
          <w:i w:val="0"/>
          <w:iCs w:val="0"/>
          <w:shd w:val="clear" w:color="auto" w:fill="FFFFFF"/>
        </w:rPr>
        <w:t xml:space="preserve"> and that the requirements are </w:t>
      </w:r>
      <w:r w:rsidR="0086146D">
        <w:rPr>
          <w:rStyle w:val="Emphasis"/>
          <w:rFonts w:asciiTheme="majorHAnsi" w:eastAsia="Arial" w:hAnsiTheme="majorHAnsi" w:cstheme="majorHAnsi"/>
          <w:shd w:val="clear" w:color="auto" w:fill="FFFFFF"/>
        </w:rPr>
        <w:t>inter alia</w:t>
      </w:r>
      <w:r w:rsidR="0086146D">
        <w:rPr>
          <w:rStyle w:val="Emphasis"/>
          <w:rFonts w:asciiTheme="majorHAnsi" w:eastAsia="Arial" w:hAnsiTheme="majorHAnsi" w:cstheme="majorHAnsi"/>
          <w:i w:val="0"/>
          <w:iCs w:val="0"/>
          <w:shd w:val="clear" w:color="auto" w:fill="FFFFFF"/>
        </w:rPr>
        <w:t xml:space="preserve"> that ownership must have passed with the transfer and such transfer must have taken place in terms of an unlawful agreement.</w:t>
      </w:r>
    </w:p>
    <w:p w:rsidR="001A2F3A" w:rsidRDefault="001A2F3A" w:rsidP="005B193B">
      <w:pPr>
        <w:spacing w:line="360" w:lineRule="auto"/>
        <w:ind w:left="720" w:hanging="720"/>
        <w:jc w:val="both"/>
        <w:rPr>
          <w:rFonts w:ascii="Arial" w:hAnsi="Arial" w:cs="Arial"/>
        </w:rPr>
      </w:pPr>
    </w:p>
    <w:p w:rsidR="001A2F3A" w:rsidRDefault="001A2F3A" w:rsidP="005B193B">
      <w:pPr>
        <w:spacing w:line="360" w:lineRule="auto"/>
        <w:ind w:left="720" w:hanging="720"/>
        <w:jc w:val="both"/>
        <w:rPr>
          <w:rFonts w:ascii="Arial" w:hAnsi="Arial" w:cs="Arial"/>
        </w:rPr>
      </w:pPr>
      <w:r>
        <w:rPr>
          <w:rFonts w:ascii="Arial" w:hAnsi="Arial" w:cs="Arial"/>
        </w:rPr>
        <w:t>[20]</w:t>
      </w:r>
      <w:r>
        <w:rPr>
          <w:rFonts w:ascii="Arial" w:hAnsi="Arial" w:cs="Arial"/>
        </w:rPr>
        <w:tab/>
      </w:r>
      <w:r w:rsidR="0086146D">
        <w:rPr>
          <w:rFonts w:ascii="Arial" w:hAnsi="Arial" w:cs="Arial"/>
        </w:rPr>
        <w:t>In addition to the above, the Plaintiff must allege and prove that the Defendant was unjustly enriched.</w:t>
      </w:r>
      <w:r w:rsidR="0086146D">
        <w:rPr>
          <w:rStyle w:val="FootnoteReference"/>
          <w:rFonts w:ascii="Arial" w:hAnsi="Arial" w:cs="Arial"/>
        </w:rPr>
        <w:footnoteReference w:id="6"/>
      </w:r>
    </w:p>
    <w:p w:rsidR="0086146D" w:rsidRDefault="0086146D" w:rsidP="005B193B">
      <w:pPr>
        <w:spacing w:line="360" w:lineRule="auto"/>
        <w:ind w:left="720" w:hanging="720"/>
        <w:jc w:val="both"/>
        <w:rPr>
          <w:rFonts w:ascii="Arial" w:hAnsi="Arial" w:cs="Arial"/>
        </w:rPr>
      </w:pPr>
    </w:p>
    <w:p w:rsidR="0086146D" w:rsidRDefault="0086146D" w:rsidP="005B193B">
      <w:pPr>
        <w:spacing w:line="360" w:lineRule="auto"/>
        <w:ind w:left="720" w:hanging="720"/>
        <w:jc w:val="both"/>
        <w:rPr>
          <w:rFonts w:ascii="Arial" w:hAnsi="Arial" w:cs="Arial"/>
        </w:rPr>
      </w:pPr>
      <w:r>
        <w:rPr>
          <w:rFonts w:ascii="Arial" w:hAnsi="Arial" w:cs="Arial"/>
        </w:rPr>
        <w:t>[21]</w:t>
      </w:r>
      <w:r>
        <w:rPr>
          <w:rFonts w:ascii="Arial" w:hAnsi="Arial" w:cs="Arial"/>
        </w:rPr>
        <w:tab/>
        <w:t>I am satisfied that the necessary allegations in respect of the claim based on unjustified enrichment had been made in the Particulars of Claim and that any submissions to the contrary do not hold water.</w:t>
      </w:r>
    </w:p>
    <w:p w:rsidR="00491ED7" w:rsidRDefault="00491ED7" w:rsidP="005B193B">
      <w:pPr>
        <w:spacing w:line="360" w:lineRule="auto"/>
        <w:ind w:left="720" w:hanging="720"/>
        <w:jc w:val="both"/>
        <w:rPr>
          <w:rFonts w:ascii="Arial" w:hAnsi="Arial" w:cs="Arial"/>
        </w:rPr>
      </w:pPr>
    </w:p>
    <w:p w:rsidR="00491ED7" w:rsidRPr="00491ED7" w:rsidRDefault="00491ED7" w:rsidP="005B193B">
      <w:pPr>
        <w:spacing w:line="360" w:lineRule="auto"/>
        <w:ind w:left="720" w:hanging="720"/>
        <w:jc w:val="both"/>
        <w:rPr>
          <w:rFonts w:ascii="Arial" w:hAnsi="Arial" w:cs="Arial"/>
        </w:rPr>
      </w:pPr>
      <w:r>
        <w:rPr>
          <w:rFonts w:ascii="Arial" w:hAnsi="Arial" w:cs="Arial"/>
          <w:u w:val="single"/>
        </w:rPr>
        <w:t>Summary judgment in enrichment actions</w:t>
      </w:r>
      <w:r>
        <w:rPr>
          <w:rFonts w:ascii="Arial" w:hAnsi="Arial" w:cs="Arial"/>
        </w:rPr>
        <w:t>:</w:t>
      </w:r>
    </w:p>
    <w:p w:rsidR="0086146D" w:rsidRDefault="0086146D" w:rsidP="005B193B">
      <w:pPr>
        <w:spacing w:line="360" w:lineRule="auto"/>
        <w:ind w:left="720" w:hanging="720"/>
        <w:jc w:val="both"/>
        <w:rPr>
          <w:rFonts w:ascii="Arial" w:hAnsi="Arial" w:cs="Arial"/>
        </w:rPr>
      </w:pPr>
    </w:p>
    <w:p w:rsidR="0086146D" w:rsidRPr="0086146D" w:rsidRDefault="0086146D" w:rsidP="005B193B">
      <w:pPr>
        <w:spacing w:line="360" w:lineRule="auto"/>
        <w:ind w:left="720" w:hanging="720"/>
        <w:jc w:val="both"/>
        <w:rPr>
          <w:rFonts w:ascii="Arial" w:hAnsi="Arial" w:cs="Arial"/>
        </w:rPr>
      </w:pPr>
      <w:r>
        <w:rPr>
          <w:rFonts w:ascii="Arial" w:hAnsi="Arial" w:cs="Arial"/>
        </w:rPr>
        <w:t>[22]</w:t>
      </w:r>
      <w:r>
        <w:rPr>
          <w:rFonts w:ascii="Arial" w:hAnsi="Arial" w:cs="Arial"/>
        </w:rPr>
        <w:tab/>
        <w:t xml:space="preserve">Mr </w:t>
      </w:r>
      <w:proofErr w:type="spellStart"/>
      <w:r>
        <w:rPr>
          <w:rFonts w:ascii="Arial" w:hAnsi="Arial" w:cs="Arial"/>
          <w:i/>
          <w:iCs/>
        </w:rPr>
        <w:t>Snellenburg</w:t>
      </w:r>
      <w:proofErr w:type="spellEnd"/>
      <w:r>
        <w:rPr>
          <w:rFonts w:ascii="Arial" w:hAnsi="Arial" w:cs="Arial"/>
          <w:i/>
          <w:iCs/>
        </w:rPr>
        <w:t xml:space="preserve"> SC</w:t>
      </w:r>
      <w:r>
        <w:rPr>
          <w:rFonts w:ascii="Arial" w:hAnsi="Arial" w:cs="Arial"/>
        </w:rPr>
        <w:t xml:space="preserve"> appearing on behalf of the Defendant, referred me to </w:t>
      </w:r>
      <w:r w:rsidR="00491ED7">
        <w:rPr>
          <w:rFonts w:ascii="Arial" w:hAnsi="Arial" w:cs="Arial"/>
        </w:rPr>
        <w:t xml:space="preserve">the </w:t>
      </w:r>
      <w:r>
        <w:rPr>
          <w:rFonts w:ascii="Arial" w:hAnsi="Arial" w:cs="Arial"/>
        </w:rPr>
        <w:t xml:space="preserve">matter of </w:t>
      </w:r>
      <w:r>
        <w:rPr>
          <w:rFonts w:ascii="Arial" w:hAnsi="Arial" w:cs="Arial"/>
          <w:b/>
          <w:bCs/>
        </w:rPr>
        <w:t>Leech and Others v Absa Bank Ltd</w:t>
      </w:r>
      <w:r>
        <w:rPr>
          <w:rStyle w:val="FootnoteReference"/>
          <w:rFonts w:ascii="Arial" w:hAnsi="Arial" w:cs="Arial"/>
          <w:b/>
          <w:bCs/>
        </w:rPr>
        <w:footnoteReference w:id="7"/>
      </w:r>
      <w:r>
        <w:rPr>
          <w:rFonts w:ascii="Arial" w:hAnsi="Arial" w:cs="Arial"/>
        </w:rPr>
        <w:t xml:space="preserve"> in support of his contention that summary judgment is not </w:t>
      </w:r>
      <w:r w:rsidR="00356DFD">
        <w:rPr>
          <w:rFonts w:ascii="Arial" w:hAnsi="Arial" w:cs="Arial"/>
        </w:rPr>
        <w:t>v</w:t>
      </w:r>
      <w:r>
        <w:rPr>
          <w:rFonts w:ascii="Arial" w:hAnsi="Arial" w:cs="Arial"/>
        </w:rPr>
        <w:t xml:space="preserve">iable in an enrichment action. However, that matter is distinguishable from the present in that in the </w:t>
      </w:r>
      <w:r>
        <w:rPr>
          <w:rFonts w:ascii="Arial" w:hAnsi="Arial" w:cs="Arial"/>
          <w:b/>
          <w:bCs/>
        </w:rPr>
        <w:t>Leech</w:t>
      </w:r>
      <w:r>
        <w:rPr>
          <w:rFonts w:ascii="Arial" w:hAnsi="Arial" w:cs="Arial"/>
        </w:rPr>
        <w:t>-matter, with reference to the relevant enrichment actions, it was open to plead and rely on non-enrichment as a defence</w:t>
      </w:r>
      <w:r w:rsidR="00491ED7">
        <w:rPr>
          <w:rFonts w:ascii="Arial" w:hAnsi="Arial" w:cs="Arial"/>
        </w:rPr>
        <w:t xml:space="preserve"> and which on the facts in that matter needed to be proven at trial</w:t>
      </w:r>
      <w:r>
        <w:rPr>
          <w:rFonts w:ascii="Arial" w:hAnsi="Arial" w:cs="Arial"/>
        </w:rPr>
        <w:t>.</w:t>
      </w:r>
    </w:p>
    <w:p w:rsidR="0086146D" w:rsidRDefault="0086146D" w:rsidP="005B193B">
      <w:pPr>
        <w:spacing w:line="360" w:lineRule="auto"/>
        <w:ind w:left="720" w:hanging="720"/>
        <w:jc w:val="both"/>
        <w:rPr>
          <w:rFonts w:ascii="Arial" w:hAnsi="Arial" w:cs="Arial"/>
        </w:rPr>
      </w:pPr>
    </w:p>
    <w:p w:rsidR="002A321C" w:rsidRDefault="002A321C" w:rsidP="005B193B">
      <w:pPr>
        <w:spacing w:line="360" w:lineRule="auto"/>
        <w:ind w:left="720" w:hanging="720"/>
        <w:jc w:val="both"/>
        <w:rPr>
          <w:rFonts w:ascii="Arial" w:hAnsi="Arial" w:cs="Arial"/>
        </w:rPr>
      </w:pPr>
    </w:p>
    <w:p w:rsidR="0086146D" w:rsidRDefault="0086146D" w:rsidP="005B193B">
      <w:pPr>
        <w:spacing w:line="360" w:lineRule="auto"/>
        <w:ind w:left="720" w:hanging="720"/>
        <w:jc w:val="both"/>
        <w:rPr>
          <w:rFonts w:ascii="Arial" w:hAnsi="Arial" w:cs="Arial"/>
        </w:rPr>
      </w:pPr>
      <w:r>
        <w:rPr>
          <w:rFonts w:ascii="Arial" w:hAnsi="Arial" w:cs="Arial"/>
        </w:rPr>
        <w:t>[23]</w:t>
      </w:r>
      <w:r>
        <w:rPr>
          <w:rFonts w:ascii="Arial" w:hAnsi="Arial" w:cs="Arial"/>
        </w:rPr>
        <w:tab/>
      </w:r>
      <w:r w:rsidR="00CC2679">
        <w:rPr>
          <w:rFonts w:ascii="Arial" w:hAnsi="Arial" w:cs="Arial"/>
        </w:rPr>
        <w:t xml:space="preserve">In the present matter however, </w:t>
      </w:r>
      <w:r w:rsidR="00491ED7">
        <w:rPr>
          <w:rFonts w:ascii="Arial" w:hAnsi="Arial" w:cs="Arial"/>
        </w:rPr>
        <w:t xml:space="preserve">it is common cause </w:t>
      </w:r>
      <w:r w:rsidR="00CC2679">
        <w:rPr>
          <w:rFonts w:ascii="Arial" w:hAnsi="Arial" w:cs="Arial"/>
        </w:rPr>
        <w:t>that the Defendant has received the amount of R3,000,000.00 from the Plaintiff of which only R1,400,000.00 had been repaid by the Defendant to the Plaintiff</w:t>
      </w:r>
      <w:r w:rsidR="00491ED7">
        <w:rPr>
          <w:rFonts w:ascii="Arial" w:hAnsi="Arial" w:cs="Arial"/>
        </w:rPr>
        <w:t>.  For more than a year prior to the institution of the action, the Defendant simply ceased to make any further payments in terms of the agreement</w:t>
      </w:r>
      <w:r w:rsidR="00CC2679">
        <w:rPr>
          <w:rFonts w:ascii="Arial" w:hAnsi="Arial" w:cs="Arial"/>
        </w:rPr>
        <w:t>.</w:t>
      </w:r>
      <w:r w:rsidR="00491ED7">
        <w:rPr>
          <w:rFonts w:ascii="Arial" w:hAnsi="Arial" w:cs="Arial"/>
        </w:rPr>
        <w:t xml:space="preserve"> </w:t>
      </w:r>
    </w:p>
    <w:p w:rsidR="0086146D" w:rsidRDefault="0086146D" w:rsidP="005B193B">
      <w:pPr>
        <w:spacing w:line="360" w:lineRule="auto"/>
        <w:ind w:left="720" w:hanging="720"/>
        <w:jc w:val="both"/>
        <w:rPr>
          <w:rFonts w:ascii="Arial" w:hAnsi="Arial" w:cs="Arial"/>
        </w:rPr>
      </w:pPr>
    </w:p>
    <w:p w:rsidR="0086146D" w:rsidRDefault="0086146D" w:rsidP="005B193B">
      <w:pPr>
        <w:spacing w:line="360" w:lineRule="auto"/>
        <w:ind w:left="720" w:hanging="720"/>
        <w:jc w:val="both"/>
        <w:rPr>
          <w:rFonts w:ascii="Arial" w:hAnsi="Arial" w:cs="Arial"/>
        </w:rPr>
      </w:pPr>
      <w:r>
        <w:rPr>
          <w:rFonts w:ascii="Arial" w:hAnsi="Arial" w:cs="Arial"/>
        </w:rPr>
        <w:t>[24]</w:t>
      </w:r>
      <w:r>
        <w:rPr>
          <w:rFonts w:ascii="Arial" w:hAnsi="Arial" w:cs="Arial"/>
        </w:rPr>
        <w:tab/>
      </w:r>
      <w:r w:rsidR="00CC2679">
        <w:rPr>
          <w:rFonts w:ascii="Arial" w:hAnsi="Arial" w:cs="Arial"/>
        </w:rPr>
        <w:t>As to the remaining R1,600,000.00 it is Defendant’s case that the Defendant’s purported liability to the Plaintiff has been expunged in that:</w:t>
      </w:r>
    </w:p>
    <w:p w:rsidR="00CC2679" w:rsidRDefault="00CC2679" w:rsidP="005B193B">
      <w:pPr>
        <w:spacing w:line="360" w:lineRule="auto"/>
        <w:ind w:left="720" w:hanging="720"/>
        <w:jc w:val="both"/>
        <w:rPr>
          <w:rFonts w:ascii="Arial" w:hAnsi="Arial" w:cs="Arial"/>
        </w:rPr>
      </w:pPr>
    </w:p>
    <w:p w:rsidR="00CC2679" w:rsidRPr="00CC2679" w:rsidRDefault="00CC2679" w:rsidP="00CC2679">
      <w:pPr>
        <w:spacing w:line="360" w:lineRule="auto"/>
        <w:ind w:left="1440"/>
        <w:jc w:val="both"/>
        <w:rPr>
          <w:rFonts w:ascii="Arial" w:hAnsi="Arial" w:cs="Arial"/>
          <w:sz w:val="20"/>
          <w:szCs w:val="20"/>
        </w:rPr>
      </w:pPr>
      <w:r>
        <w:rPr>
          <w:rFonts w:ascii="Arial" w:hAnsi="Arial" w:cs="Arial"/>
          <w:sz w:val="20"/>
          <w:szCs w:val="20"/>
        </w:rPr>
        <w:t>“… the acquaintance of the Plaintiff, whom the Plaintiff owes an amount of R7,000,000.00, instructed the Plaintiff to deduct the amount of R1,600,000.00 allegedly to be due to him from the amount the Plaintiff owes the acquaintance.”</w:t>
      </w:r>
    </w:p>
    <w:p w:rsidR="00CC2679" w:rsidRDefault="00CC2679" w:rsidP="005B193B">
      <w:pPr>
        <w:spacing w:line="360" w:lineRule="auto"/>
        <w:ind w:left="720" w:hanging="720"/>
        <w:jc w:val="both"/>
        <w:rPr>
          <w:rFonts w:ascii="Arial" w:hAnsi="Arial" w:cs="Arial"/>
        </w:rPr>
      </w:pPr>
    </w:p>
    <w:p w:rsidR="00CC2679" w:rsidRPr="00CD0122" w:rsidRDefault="00CC2679" w:rsidP="005B193B">
      <w:pPr>
        <w:spacing w:line="360" w:lineRule="auto"/>
        <w:ind w:left="720" w:hanging="720"/>
        <w:jc w:val="both"/>
        <w:rPr>
          <w:rFonts w:ascii="Arial" w:hAnsi="Arial" w:cs="Arial"/>
        </w:rPr>
      </w:pPr>
      <w:r>
        <w:rPr>
          <w:rFonts w:ascii="Arial" w:hAnsi="Arial" w:cs="Arial"/>
        </w:rPr>
        <w:t>[25]</w:t>
      </w:r>
      <w:r>
        <w:rPr>
          <w:rFonts w:ascii="Arial" w:hAnsi="Arial" w:cs="Arial"/>
        </w:rPr>
        <w:tab/>
        <w:t xml:space="preserve">It must however be considered whether the Defendant has met the peremptory requirements of Rule 32(3)(b) in showing that the Defendant has a </w:t>
      </w:r>
      <w:r>
        <w:rPr>
          <w:rFonts w:ascii="Arial" w:hAnsi="Arial" w:cs="Arial"/>
          <w:i/>
          <w:iCs/>
        </w:rPr>
        <w:t>bona fide</w:t>
      </w:r>
      <w:r>
        <w:rPr>
          <w:rFonts w:ascii="Arial" w:hAnsi="Arial" w:cs="Arial"/>
        </w:rPr>
        <w:t xml:space="preserve"> defence to the action and has, through his </w:t>
      </w:r>
      <w:r w:rsidR="00CD0122">
        <w:rPr>
          <w:rFonts w:ascii="Arial" w:hAnsi="Arial" w:cs="Arial"/>
        </w:rPr>
        <w:t xml:space="preserve">affidavit, disclosed </w:t>
      </w:r>
      <w:r w:rsidR="00CD0122">
        <w:rPr>
          <w:rFonts w:ascii="Arial" w:hAnsi="Arial" w:cs="Arial"/>
          <w:i/>
          <w:iCs/>
        </w:rPr>
        <w:t>“fully the nature and grounds of the defence and the material facts relied upon therefor”</w:t>
      </w:r>
      <w:r w:rsidR="00CD0122">
        <w:rPr>
          <w:rFonts w:ascii="Arial" w:hAnsi="Arial" w:cs="Arial"/>
        </w:rPr>
        <w:t>.</w:t>
      </w:r>
    </w:p>
    <w:p w:rsidR="00CC2679" w:rsidRDefault="00CC2679" w:rsidP="005B193B">
      <w:pPr>
        <w:spacing w:line="360" w:lineRule="auto"/>
        <w:ind w:left="720" w:hanging="720"/>
        <w:jc w:val="both"/>
        <w:rPr>
          <w:rFonts w:ascii="Arial" w:hAnsi="Arial" w:cs="Arial"/>
        </w:rPr>
      </w:pPr>
    </w:p>
    <w:p w:rsidR="00CC2679" w:rsidRDefault="00CC2679" w:rsidP="005B193B">
      <w:pPr>
        <w:spacing w:line="360" w:lineRule="auto"/>
        <w:ind w:left="720" w:hanging="720"/>
        <w:jc w:val="both"/>
        <w:rPr>
          <w:rFonts w:ascii="Arial" w:hAnsi="Arial" w:cs="Arial"/>
        </w:rPr>
      </w:pPr>
      <w:r>
        <w:rPr>
          <w:rFonts w:ascii="Arial" w:hAnsi="Arial" w:cs="Arial"/>
        </w:rPr>
        <w:t>[26]</w:t>
      </w:r>
      <w:r>
        <w:rPr>
          <w:rFonts w:ascii="Arial" w:hAnsi="Arial" w:cs="Arial"/>
        </w:rPr>
        <w:tab/>
      </w:r>
      <w:r w:rsidR="00CD0122">
        <w:rPr>
          <w:rFonts w:ascii="Arial" w:hAnsi="Arial" w:cs="Arial"/>
        </w:rPr>
        <w:t xml:space="preserve">Long before the present amended Rule 32(3) came into operation, </w:t>
      </w:r>
      <w:r w:rsidR="00491ED7">
        <w:rPr>
          <w:rFonts w:ascii="Arial" w:hAnsi="Arial" w:cs="Arial"/>
        </w:rPr>
        <w:t>Mi</w:t>
      </w:r>
      <w:r w:rsidR="00CD0122">
        <w:rPr>
          <w:rFonts w:ascii="Arial" w:hAnsi="Arial" w:cs="Arial"/>
        </w:rPr>
        <w:t xml:space="preserve">lne JP in the matter of </w:t>
      </w:r>
      <w:r w:rsidR="00CD0122">
        <w:rPr>
          <w:rFonts w:ascii="Arial" w:hAnsi="Arial" w:cs="Arial"/>
          <w:b/>
          <w:bCs/>
        </w:rPr>
        <w:t>Caltex Oil SA Ltd v Webb and Another</w:t>
      </w:r>
      <w:r w:rsidR="00CD0122">
        <w:rPr>
          <w:rStyle w:val="FootnoteReference"/>
          <w:rFonts w:ascii="Arial" w:hAnsi="Arial" w:cs="Arial"/>
          <w:b/>
          <w:bCs/>
        </w:rPr>
        <w:footnoteReference w:id="8"/>
      </w:r>
      <w:r w:rsidR="00CD0122">
        <w:rPr>
          <w:rFonts w:ascii="Arial" w:hAnsi="Arial" w:cs="Arial"/>
        </w:rPr>
        <w:t>, said as follows:</w:t>
      </w:r>
    </w:p>
    <w:p w:rsidR="00CD0122" w:rsidRDefault="00CD0122" w:rsidP="005B193B">
      <w:pPr>
        <w:spacing w:line="360" w:lineRule="auto"/>
        <w:ind w:left="720" w:hanging="720"/>
        <w:jc w:val="both"/>
        <w:rPr>
          <w:rFonts w:ascii="Arial" w:hAnsi="Arial" w:cs="Arial"/>
        </w:rPr>
      </w:pPr>
    </w:p>
    <w:p w:rsidR="00CD0122" w:rsidRPr="00513307" w:rsidRDefault="00CD0122" w:rsidP="00513307">
      <w:pPr>
        <w:spacing w:line="360" w:lineRule="auto"/>
        <w:ind w:left="1440"/>
        <w:jc w:val="both"/>
        <w:rPr>
          <w:rFonts w:ascii="Arial" w:hAnsi="Arial" w:cs="Arial"/>
          <w:sz w:val="20"/>
          <w:szCs w:val="20"/>
        </w:rPr>
      </w:pPr>
      <w:r>
        <w:rPr>
          <w:rFonts w:ascii="Arial" w:hAnsi="Arial" w:cs="Arial"/>
          <w:sz w:val="20"/>
          <w:szCs w:val="20"/>
        </w:rPr>
        <w:t>“</w:t>
      </w:r>
      <w:r w:rsidR="00513307">
        <w:rPr>
          <w:rFonts w:ascii="Arial" w:hAnsi="Arial" w:cs="Arial"/>
          <w:sz w:val="20"/>
          <w:szCs w:val="20"/>
        </w:rPr>
        <w:t xml:space="preserve">What is necessary, if the Court is to refuse summary judgment under the </w:t>
      </w:r>
      <w:proofErr w:type="spellStart"/>
      <w:r w:rsidR="00513307">
        <w:rPr>
          <w:rFonts w:ascii="Arial" w:hAnsi="Arial" w:cs="Arial"/>
          <w:sz w:val="20"/>
          <w:szCs w:val="20"/>
        </w:rPr>
        <w:t>subrule</w:t>
      </w:r>
      <w:proofErr w:type="spellEnd"/>
      <w:r w:rsidR="00513307">
        <w:rPr>
          <w:rFonts w:ascii="Arial" w:hAnsi="Arial" w:cs="Arial"/>
          <w:sz w:val="20"/>
          <w:szCs w:val="20"/>
        </w:rPr>
        <w:t xml:space="preserve">, is that it should be satisfied that there has been presented by the defendant, </w:t>
      </w:r>
      <w:r w:rsidR="00491ED7">
        <w:rPr>
          <w:rFonts w:ascii="Arial" w:hAnsi="Arial" w:cs="Arial"/>
          <w:sz w:val="20"/>
          <w:szCs w:val="20"/>
        </w:rPr>
        <w:t>where the</w:t>
      </w:r>
      <w:r w:rsidR="00513307">
        <w:rPr>
          <w:rFonts w:ascii="Arial" w:hAnsi="Arial" w:cs="Arial"/>
          <w:sz w:val="20"/>
          <w:szCs w:val="20"/>
        </w:rPr>
        <w:t xml:space="preserve"> defence is based on facts, </w:t>
      </w:r>
      <w:r w:rsidR="00491ED7">
        <w:rPr>
          <w:rFonts w:ascii="Arial" w:hAnsi="Arial" w:cs="Arial"/>
          <w:sz w:val="20"/>
          <w:szCs w:val="20"/>
        </w:rPr>
        <w:t>all</w:t>
      </w:r>
      <w:r w:rsidR="00513307">
        <w:rPr>
          <w:rFonts w:ascii="Arial" w:hAnsi="Arial" w:cs="Arial"/>
          <w:sz w:val="20"/>
          <w:szCs w:val="20"/>
        </w:rPr>
        <w:t xml:space="preserve"> the material facts upon which his defence is founded and that the</w:t>
      </w:r>
      <w:r w:rsidR="00491ED7">
        <w:rPr>
          <w:rFonts w:ascii="Arial" w:hAnsi="Arial" w:cs="Arial"/>
          <w:sz w:val="20"/>
          <w:szCs w:val="20"/>
        </w:rPr>
        <w:t>y</w:t>
      </w:r>
      <w:r w:rsidR="00513307">
        <w:rPr>
          <w:rFonts w:ascii="Arial" w:hAnsi="Arial" w:cs="Arial"/>
          <w:sz w:val="20"/>
          <w:szCs w:val="20"/>
        </w:rPr>
        <w:t xml:space="preserve"> </w:t>
      </w:r>
      <w:r w:rsidR="00491ED7">
        <w:rPr>
          <w:rFonts w:ascii="Arial" w:hAnsi="Arial" w:cs="Arial"/>
          <w:sz w:val="20"/>
          <w:szCs w:val="20"/>
        </w:rPr>
        <w:t>appear</w:t>
      </w:r>
      <w:r w:rsidR="00513307">
        <w:rPr>
          <w:rFonts w:ascii="Arial" w:hAnsi="Arial" w:cs="Arial"/>
          <w:sz w:val="20"/>
          <w:szCs w:val="20"/>
        </w:rPr>
        <w:t xml:space="preserve"> to disclose a </w:t>
      </w:r>
      <w:r w:rsidR="00513307">
        <w:rPr>
          <w:rFonts w:ascii="Arial" w:hAnsi="Arial" w:cs="Arial"/>
          <w:i/>
          <w:iCs/>
          <w:sz w:val="20"/>
          <w:szCs w:val="20"/>
        </w:rPr>
        <w:t xml:space="preserve">bona fide </w:t>
      </w:r>
      <w:r w:rsidR="00513307">
        <w:rPr>
          <w:rFonts w:ascii="Arial" w:hAnsi="Arial" w:cs="Arial"/>
          <w:sz w:val="20"/>
          <w:szCs w:val="20"/>
        </w:rPr>
        <w:t>defence.”</w:t>
      </w:r>
    </w:p>
    <w:p w:rsidR="00CD0122" w:rsidRDefault="00CD0122" w:rsidP="005B193B">
      <w:pPr>
        <w:spacing w:line="360" w:lineRule="auto"/>
        <w:ind w:left="720" w:hanging="720"/>
        <w:jc w:val="both"/>
        <w:rPr>
          <w:rFonts w:ascii="Arial" w:hAnsi="Arial" w:cs="Arial"/>
        </w:rPr>
      </w:pPr>
    </w:p>
    <w:p w:rsidR="00CD0122" w:rsidRDefault="00CD0122" w:rsidP="005B193B">
      <w:pPr>
        <w:spacing w:line="360" w:lineRule="auto"/>
        <w:ind w:left="720" w:hanging="720"/>
        <w:jc w:val="both"/>
        <w:rPr>
          <w:rFonts w:ascii="Arial" w:hAnsi="Arial" w:cs="Arial"/>
        </w:rPr>
      </w:pPr>
      <w:r>
        <w:rPr>
          <w:rFonts w:ascii="Arial" w:hAnsi="Arial" w:cs="Arial"/>
        </w:rPr>
        <w:t>[27]</w:t>
      </w:r>
      <w:r>
        <w:rPr>
          <w:rFonts w:ascii="Arial" w:hAnsi="Arial" w:cs="Arial"/>
        </w:rPr>
        <w:tab/>
      </w:r>
      <w:proofErr w:type="spellStart"/>
      <w:r w:rsidR="00513307">
        <w:rPr>
          <w:rFonts w:ascii="Arial" w:hAnsi="Arial" w:cs="Arial"/>
        </w:rPr>
        <w:t>B</w:t>
      </w:r>
      <w:r w:rsidR="00990862">
        <w:rPr>
          <w:rFonts w:ascii="Arial" w:hAnsi="Arial" w:cs="Arial"/>
        </w:rPr>
        <w:t>i</w:t>
      </w:r>
      <w:r w:rsidR="00513307">
        <w:rPr>
          <w:rFonts w:ascii="Arial" w:hAnsi="Arial" w:cs="Arial"/>
        </w:rPr>
        <w:t>nns</w:t>
      </w:r>
      <w:proofErr w:type="spellEnd"/>
      <w:r w:rsidR="00513307">
        <w:rPr>
          <w:rFonts w:ascii="Arial" w:hAnsi="Arial" w:cs="Arial"/>
        </w:rPr>
        <w:t xml:space="preserve">-Ward J, has had the opportunity as one of the first Courts after the amendments to Rule 32 came into effect during July 2019, to consider the provisions of the </w:t>
      </w:r>
      <w:r w:rsidR="00513307">
        <w:rPr>
          <w:rFonts w:ascii="Arial" w:hAnsi="Arial" w:cs="Arial"/>
          <w:i/>
          <w:iCs/>
        </w:rPr>
        <w:t>“new”</w:t>
      </w:r>
      <w:r w:rsidR="00513307">
        <w:rPr>
          <w:rFonts w:ascii="Arial" w:hAnsi="Arial" w:cs="Arial"/>
        </w:rPr>
        <w:t xml:space="preserve"> Rule</w:t>
      </w:r>
      <w:r w:rsidR="00491ED7">
        <w:rPr>
          <w:rFonts w:ascii="Arial" w:hAnsi="Arial" w:cs="Arial"/>
        </w:rPr>
        <w:t>,</w:t>
      </w:r>
      <w:r w:rsidR="00513307">
        <w:rPr>
          <w:rFonts w:ascii="Arial" w:hAnsi="Arial" w:cs="Arial"/>
        </w:rPr>
        <w:t xml:space="preserve"> </w:t>
      </w:r>
      <w:r w:rsidR="00491ED7">
        <w:rPr>
          <w:rFonts w:ascii="Arial" w:hAnsi="Arial" w:cs="Arial"/>
        </w:rPr>
        <w:t>i</w:t>
      </w:r>
      <w:r w:rsidR="00513307">
        <w:rPr>
          <w:rFonts w:ascii="Arial" w:hAnsi="Arial" w:cs="Arial"/>
        </w:rPr>
        <w:t xml:space="preserve">n </w:t>
      </w:r>
      <w:proofErr w:type="spellStart"/>
      <w:r w:rsidR="00513307">
        <w:rPr>
          <w:rFonts w:ascii="Arial" w:hAnsi="Arial" w:cs="Arial"/>
          <w:b/>
          <w:bCs/>
        </w:rPr>
        <w:t>Tumileng</w:t>
      </w:r>
      <w:proofErr w:type="spellEnd"/>
      <w:r w:rsidR="00513307">
        <w:rPr>
          <w:rFonts w:ascii="Arial" w:hAnsi="Arial" w:cs="Arial"/>
          <w:b/>
          <w:bCs/>
        </w:rPr>
        <w:t xml:space="preserve"> Trading CC v National Security and Fire (Pty) Ltd</w:t>
      </w:r>
      <w:r w:rsidR="00513307">
        <w:rPr>
          <w:rStyle w:val="FootnoteReference"/>
          <w:rFonts w:ascii="Arial" w:hAnsi="Arial" w:cs="Arial"/>
          <w:b/>
          <w:bCs/>
        </w:rPr>
        <w:footnoteReference w:id="9"/>
      </w:r>
      <w:r w:rsidR="00491ED7">
        <w:rPr>
          <w:rFonts w:ascii="Arial" w:hAnsi="Arial" w:cs="Arial"/>
        </w:rPr>
        <w:t>.</w:t>
      </w:r>
      <w:r w:rsidR="00513307">
        <w:rPr>
          <w:rFonts w:ascii="Arial" w:hAnsi="Arial" w:cs="Arial"/>
        </w:rPr>
        <w:t xml:space="preserve"> </w:t>
      </w:r>
      <w:r w:rsidR="00491ED7">
        <w:rPr>
          <w:rFonts w:ascii="Arial" w:hAnsi="Arial" w:cs="Arial"/>
        </w:rPr>
        <w:t>I</w:t>
      </w:r>
      <w:r w:rsidR="00513307">
        <w:rPr>
          <w:rFonts w:ascii="Arial" w:hAnsi="Arial" w:cs="Arial"/>
        </w:rPr>
        <w:t xml:space="preserve">n respect </w:t>
      </w:r>
      <w:r w:rsidR="00491ED7">
        <w:rPr>
          <w:rFonts w:ascii="Arial" w:hAnsi="Arial" w:cs="Arial"/>
        </w:rPr>
        <w:t xml:space="preserve">of </w:t>
      </w:r>
      <w:r w:rsidR="00513307">
        <w:rPr>
          <w:rFonts w:ascii="Arial" w:hAnsi="Arial" w:cs="Arial"/>
        </w:rPr>
        <w:t xml:space="preserve">what is required for a Defendant to meet the requirements of Rule 32(3), he </w:t>
      </w:r>
      <w:r w:rsidR="00513307">
        <w:rPr>
          <w:rFonts w:ascii="Arial" w:hAnsi="Arial" w:cs="Arial"/>
          <w:i/>
          <w:iCs/>
        </w:rPr>
        <w:t>inter alia</w:t>
      </w:r>
      <w:r w:rsidR="00513307">
        <w:rPr>
          <w:rFonts w:ascii="Arial" w:hAnsi="Arial" w:cs="Arial"/>
        </w:rPr>
        <w:t xml:space="preserve"> said as follows:</w:t>
      </w:r>
    </w:p>
    <w:p w:rsidR="00513307" w:rsidRDefault="00513307" w:rsidP="005B193B">
      <w:pPr>
        <w:spacing w:line="360" w:lineRule="auto"/>
        <w:ind w:left="720" w:hanging="720"/>
        <w:jc w:val="both"/>
        <w:rPr>
          <w:rFonts w:ascii="Arial" w:hAnsi="Arial" w:cs="Arial"/>
        </w:rPr>
      </w:pPr>
    </w:p>
    <w:p w:rsidR="00513307" w:rsidRPr="00990862" w:rsidRDefault="00513307" w:rsidP="00513307">
      <w:pPr>
        <w:spacing w:line="360" w:lineRule="auto"/>
        <w:ind w:left="1440"/>
        <w:jc w:val="both"/>
        <w:rPr>
          <w:rFonts w:ascii="Arial" w:hAnsi="Arial" w:cs="Arial"/>
          <w:sz w:val="20"/>
          <w:szCs w:val="20"/>
        </w:rPr>
      </w:pPr>
      <w:r>
        <w:rPr>
          <w:rFonts w:ascii="Arial" w:hAnsi="Arial" w:cs="Arial"/>
          <w:sz w:val="20"/>
          <w:szCs w:val="20"/>
        </w:rPr>
        <w:lastRenderedPageBreak/>
        <w:t>“However, our procedure, b</w:t>
      </w:r>
      <w:r w:rsidR="00491ED7">
        <w:rPr>
          <w:rFonts w:ascii="Arial" w:hAnsi="Arial" w:cs="Arial"/>
          <w:sz w:val="20"/>
          <w:szCs w:val="20"/>
        </w:rPr>
        <w:t>y</w:t>
      </w:r>
      <w:r>
        <w:rPr>
          <w:rFonts w:ascii="Arial" w:hAnsi="Arial" w:cs="Arial"/>
          <w:sz w:val="20"/>
          <w:szCs w:val="20"/>
        </w:rPr>
        <w:t xml:space="preserve"> contrast, even in its amended form, remains true</w:t>
      </w:r>
      <w:r w:rsidR="00990862">
        <w:rPr>
          <w:rFonts w:ascii="Arial" w:hAnsi="Arial" w:cs="Arial"/>
          <w:sz w:val="20"/>
          <w:szCs w:val="20"/>
        </w:rPr>
        <w:t xml:space="preserve"> to</w:t>
      </w:r>
      <w:r>
        <w:rPr>
          <w:rFonts w:ascii="Arial" w:hAnsi="Arial" w:cs="Arial"/>
          <w:sz w:val="20"/>
          <w:szCs w:val="20"/>
        </w:rPr>
        <w:t xml:space="preserve"> that in which summary judgment was originally introduced in the English civil procedure in the mid-19</w:t>
      </w:r>
      <w:r w:rsidRPr="00513307">
        <w:rPr>
          <w:rFonts w:ascii="Arial" w:hAnsi="Arial" w:cs="Arial"/>
          <w:sz w:val="20"/>
          <w:szCs w:val="20"/>
          <w:vertAlign w:val="superscript"/>
        </w:rPr>
        <w:t>th</w:t>
      </w:r>
      <w:r>
        <w:rPr>
          <w:rFonts w:ascii="Arial" w:hAnsi="Arial" w:cs="Arial"/>
          <w:sz w:val="20"/>
          <w:szCs w:val="20"/>
        </w:rPr>
        <w:t xml:space="preserve"> century. Rule 32(3)</w:t>
      </w:r>
      <w:r w:rsidR="006F6DA8">
        <w:rPr>
          <w:rFonts w:ascii="Arial" w:hAnsi="Arial" w:cs="Arial"/>
          <w:sz w:val="20"/>
          <w:szCs w:val="20"/>
        </w:rPr>
        <w:t>, which regulates what is required from a defendant in its opposing affidavit, has been left substanti</w:t>
      </w:r>
      <w:r w:rsidR="00990862">
        <w:rPr>
          <w:rFonts w:ascii="Arial" w:hAnsi="Arial" w:cs="Arial"/>
          <w:sz w:val="20"/>
          <w:szCs w:val="20"/>
        </w:rPr>
        <w:t>vely</w:t>
      </w:r>
      <w:r w:rsidR="006F6DA8">
        <w:rPr>
          <w:rFonts w:ascii="Arial" w:hAnsi="Arial" w:cs="Arial"/>
          <w:sz w:val="20"/>
          <w:szCs w:val="20"/>
        </w:rPr>
        <w:t xml:space="preserve"> </w:t>
      </w:r>
      <w:proofErr w:type="spellStart"/>
      <w:r w:rsidR="006F6DA8">
        <w:rPr>
          <w:rFonts w:ascii="Arial" w:hAnsi="Arial" w:cs="Arial"/>
          <w:sz w:val="20"/>
          <w:szCs w:val="20"/>
        </w:rPr>
        <w:t>unamended</w:t>
      </w:r>
      <w:proofErr w:type="spellEnd"/>
      <w:r w:rsidR="006F6DA8">
        <w:rPr>
          <w:rFonts w:ascii="Arial" w:hAnsi="Arial" w:cs="Arial"/>
          <w:sz w:val="20"/>
          <w:szCs w:val="20"/>
        </w:rPr>
        <w:t xml:space="preserve"> in the over</w:t>
      </w:r>
      <w:r w:rsidR="00990862">
        <w:rPr>
          <w:rFonts w:ascii="Arial" w:hAnsi="Arial" w:cs="Arial"/>
          <w:sz w:val="20"/>
          <w:szCs w:val="20"/>
        </w:rPr>
        <w:t>hauled</w:t>
      </w:r>
      <w:r w:rsidR="006F6DA8">
        <w:rPr>
          <w:rFonts w:ascii="Arial" w:hAnsi="Arial" w:cs="Arial"/>
          <w:sz w:val="20"/>
          <w:szCs w:val="20"/>
        </w:rPr>
        <w:t xml:space="preserve"> procedure. That means that the test remains what it always was: has the defendant disclosed a </w:t>
      </w:r>
      <w:r w:rsidR="006F6DA8">
        <w:rPr>
          <w:rFonts w:ascii="Arial" w:hAnsi="Arial" w:cs="Arial"/>
          <w:i/>
          <w:iCs/>
          <w:sz w:val="20"/>
          <w:szCs w:val="20"/>
        </w:rPr>
        <w:t>bona fide</w:t>
      </w:r>
      <w:r w:rsidR="006F6DA8">
        <w:rPr>
          <w:rFonts w:ascii="Arial" w:hAnsi="Arial" w:cs="Arial"/>
          <w:sz w:val="20"/>
          <w:szCs w:val="20"/>
        </w:rPr>
        <w:t xml:space="preserve"> (i.e. an apparently</w:t>
      </w:r>
      <w:r w:rsidR="00990862">
        <w:rPr>
          <w:rFonts w:ascii="Arial" w:hAnsi="Arial" w:cs="Arial"/>
          <w:sz w:val="20"/>
          <w:szCs w:val="20"/>
        </w:rPr>
        <w:t xml:space="preserve"> genuinely advanced, as distinct from sham) defence? … A defendant is not required to show that its defence is likely to prevail. If a defendant can show that it has a legally cognisable defence on the fac</w:t>
      </w:r>
      <w:r w:rsidR="00491ED7">
        <w:rPr>
          <w:rFonts w:ascii="Arial" w:hAnsi="Arial" w:cs="Arial"/>
          <w:sz w:val="20"/>
          <w:szCs w:val="20"/>
        </w:rPr>
        <w:t>e</w:t>
      </w:r>
      <w:r w:rsidR="00990862">
        <w:rPr>
          <w:rFonts w:ascii="Arial" w:hAnsi="Arial" w:cs="Arial"/>
          <w:sz w:val="20"/>
          <w:szCs w:val="20"/>
        </w:rPr>
        <w:t xml:space="preserve"> of it, and that the defence genuine or </w:t>
      </w:r>
      <w:r w:rsidR="00990862">
        <w:rPr>
          <w:rFonts w:ascii="Arial" w:hAnsi="Arial" w:cs="Arial"/>
          <w:i/>
          <w:iCs/>
          <w:sz w:val="20"/>
          <w:szCs w:val="20"/>
        </w:rPr>
        <w:t>bona fide</w:t>
      </w:r>
      <w:r w:rsidR="00990862">
        <w:rPr>
          <w:rFonts w:ascii="Arial" w:hAnsi="Arial" w:cs="Arial"/>
          <w:sz w:val="20"/>
          <w:szCs w:val="20"/>
        </w:rPr>
        <w:t>, summary judgment must be refused.”</w:t>
      </w:r>
      <w:r w:rsidR="00990862">
        <w:rPr>
          <w:rStyle w:val="FootnoteReference"/>
          <w:rFonts w:ascii="Arial" w:hAnsi="Arial" w:cs="Arial"/>
          <w:sz w:val="20"/>
          <w:szCs w:val="20"/>
        </w:rPr>
        <w:footnoteReference w:id="10"/>
      </w:r>
    </w:p>
    <w:p w:rsidR="00513307" w:rsidRDefault="00513307" w:rsidP="005B193B">
      <w:pPr>
        <w:spacing w:line="360" w:lineRule="auto"/>
        <w:ind w:left="720" w:hanging="720"/>
        <w:jc w:val="both"/>
        <w:rPr>
          <w:rFonts w:ascii="Arial" w:hAnsi="Arial" w:cs="Arial"/>
        </w:rPr>
      </w:pPr>
    </w:p>
    <w:p w:rsidR="00513307" w:rsidRDefault="00513307" w:rsidP="005B193B">
      <w:pPr>
        <w:spacing w:line="360" w:lineRule="auto"/>
        <w:ind w:left="720" w:hanging="720"/>
        <w:jc w:val="both"/>
        <w:rPr>
          <w:rFonts w:ascii="Arial" w:hAnsi="Arial" w:cs="Arial"/>
        </w:rPr>
      </w:pPr>
      <w:r>
        <w:rPr>
          <w:rFonts w:ascii="Arial" w:hAnsi="Arial" w:cs="Arial"/>
        </w:rPr>
        <w:t>[28]</w:t>
      </w:r>
      <w:r>
        <w:rPr>
          <w:rFonts w:ascii="Arial" w:hAnsi="Arial" w:cs="Arial"/>
        </w:rPr>
        <w:tab/>
      </w:r>
      <w:r w:rsidR="00990862">
        <w:rPr>
          <w:rFonts w:ascii="Arial" w:hAnsi="Arial" w:cs="Arial"/>
        </w:rPr>
        <w:t xml:space="preserve">In respect of the </w:t>
      </w:r>
      <w:r w:rsidR="00990862">
        <w:rPr>
          <w:rFonts w:ascii="Arial" w:hAnsi="Arial" w:cs="Arial"/>
          <w:i/>
          <w:iCs/>
        </w:rPr>
        <w:t>bona fide</w:t>
      </w:r>
      <w:r w:rsidR="00990862">
        <w:rPr>
          <w:rFonts w:ascii="Arial" w:hAnsi="Arial" w:cs="Arial"/>
        </w:rPr>
        <w:t xml:space="preserve"> requirement, </w:t>
      </w:r>
      <w:proofErr w:type="spellStart"/>
      <w:r w:rsidR="00990862">
        <w:rPr>
          <w:rFonts w:ascii="Arial" w:hAnsi="Arial" w:cs="Arial"/>
        </w:rPr>
        <w:t>Binns</w:t>
      </w:r>
      <w:proofErr w:type="spellEnd"/>
      <w:r w:rsidR="00990862">
        <w:rPr>
          <w:rFonts w:ascii="Arial" w:hAnsi="Arial" w:cs="Arial"/>
        </w:rPr>
        <w:t>-Ward J continued as follows:</w:t>
      </w:r>
    </w:p>
    <w:p w:rsidR="00990862" w:rsidRDefault="00990862" w:rsidP="005B193B">
      <w:pPr>
        <w:spacing w:line="360" w:lineRule="auto"/>
        <w:ind w:left="720" w:hanging="720"/>
        <w:jc w:val="both"/>
        <w:rPr>
          <w:rFonts w:ascii="Arial" w:hAnsi="Arial" w:cs="Arial"/>
        </w:rPr>
      </w:pPr>
    </w:p>
    <w:p w:rsidR="00990862" w:rsidRPr="00C11220" w:rsidRDefault="00990862" w:rsidP="00C11220">
      <w:pPr>
        <w:spacing w:line="360" w:lineRule="auto"/>
        <w:ind w:left="1440"/>
        <w:jc w:val="both"/>
        <w:rPr>
          <w:rFonts w:ascii="Arial" w:hAnsi="Arial" w:cs="Arial"/>
          <w:sz w:val="20"/>
          <w:szCs w:val="20"/>
        </w:rPr>
      </w:pPr>
      <w:r>
        <w:rPr>
          <w:rFonts w:ascii="Arial" w:hAnsi="Arial" w:cs="Arial"/>
          <w:sz w:val="20"/>
          <w:szCs w:val="20"/>
        </w:rPr>
        <w:t xml:space="preserve">“The assessment of whether a defence is </w:t>
      </w:r>
      <w:r>
        <w:rPr>
          <w:rFonts w:ascii="Arial" w:hAnsi="Arial" w:cs="Arial"/>
          <w:i/>
          <w:iCs/>
          <w:sz w:val="20"/>
          <w:szCs w:val="20"/>
        </w:rPr>
        <w:t>bona fide</w:t>
      </w:r>
      <w:r>
        <w:rPr>
          <w:rFonts w:ascii="Arial" w:hAnsi="Arial" w:cs="Arial"/>
          <w:sz w:val="20"/>
          <w:szCs w:val="20"/>
        </w:rPr>
        <w:t xml:space="preserve"> is made with regard</w:t>
      </w:r>
      <w:r w:rsidR="00C11220">
        <w:rPr>
          <w:rFonts w:ascii="Arial" w:hAnsi="Arial" w:cs="Arial"/>
          <w:sz w:val="20"/>
          <w:szCs w:val="20"/>
        </w:rPr>
        <w:t xml:space="preserve"> to the manner in which it has been substantiated in the opposing affidavit, </w:t>
      </w:r>
      <w:r w:rsidR="00C11220" w:rsidRPr="00C11220">
        <w:rPr>
          <w:rFonts w:ascii="Arial" w:hAnsi="Arial" w:cs="Arial"/>
          <w:sz w:val="20"/>
          <w:szCs w:val="20"/>
        </w:rPr>
        <w:t>viz</w:t>
      </w:r>
      <w:r w:rsidR="00C11220">
        <w:rPr>
          <w:rFonts w:ascii="Arial" w:hAnsi="Arial" w:cs="Arial"/>
          <w:sz w:val="20"/>
          <w:szCs w:val="20"/>
        </w:rPr>
        <w:t>.</w:t>
      </w:r>
      <w:r w:rsidR="00C11220" w:rsidRPr="00C11220">
        <w:rPr>
          <w:rFonts w:ascii="Arial" w:hAnsi="Arial" w:cs="Arial"/>
          <w:sz w:val="20"/>
          <w:szCs w:val="20"/>
        </w:rPr>
        <w:t xml:space="preserve"> </w:t>
      </w:r>
      <w:r w:rsidR="00C11220">
        <w:rPr>
          <w:rFonts w:ascii="Arial" w:hAnsi="Arial" w:cs="Arial"/>
          <w:sz w:val="20"/>
          <w:szCs w:val="20"/>
        </w:rPr>
        <w:t xml:space="preserve">upon a consideration of </w:t>
      </w:r>
      <w:r w:rsidR="00491ED7">
        <w:rPr>
          <w:rFonts w:ascii="Arial" w:hAnsi="Arial" w:cs="Arial"/>
          <w:sz w:val="20"/>
          <w:szCs w:val="20"/>
        </w:rPr>
        <w:t>the</w:t>
      </w:r>
      <w:r w:rsidR="00C11220">
        <w:rPr>
          <w:rFonts w:ascii="Arial" w:hAnsi="Arial" w:cs="Arial"/>
          <w:sz w:val="20"/>
          <w:szCs w:val="20"/>
        </w:rPr>
        <w:t xml:space="preserve"> extent to which the </w:t>
      </w:r>
      <w:r w:rsidR="00491ED7">
        <w:rPr>
          <w:rFonts w:ascii="Arial" w:hAnsi="Arial" w:cs="Arial"/>
          <w:sz w:val="20"/>
          <w:szCs w:val="20"/>
        </w:rPr>
        <w:t>‘</w:t>
      </w:r>
      <w:r w:rsidR="00C11220">
        <w:rPr>
          <w:rFonts w:ascii="Arial" w:hAnsi="Arial" w:cs="Arial"/>
          <w:sz w:val="20"/>
          <w:szCs w:val="20"/>
        </w:rPr>
        <w:t>nature and grounds of the defence and the material facts relied upon therefor</w:t>
      </w:r>
      <w:r w:rsidR="00491ED7">
        <w:rPr>
          <w:rFonts w:ascii="Arial" w:hAnsi="Arial" w:cs="Arial"/>
          <w:sz w:val="20"/>
          <w:szCs w:val="20"/>
        </w:rPr>
        <w:t>’</w:t>
      </w:r>
      <w:r w:rsidR="00C11220">
        <w:rPr>
          <w:rFonts w:ascii="Arial" w:hAnsi="Arial" w:cs="Arial"/>
          <w:sz w:val="20"/>
          <w:szCs w:val="20"/>
        </w:rPr>
        <w:t xml:space="preserve"> have been canvassed by the deponent. That was the method by which the court traditionally tested, insofar as it was possible on paper, whether the defence described by the defendant was contrived, in other words, not </w:t>
      </w:r>
      <w:r w:rsidR="00C11220">
        <w:rPr>
          <w:rFonts w:ascii="Arial" w:hAnsi="Arial" w:cs="Arial"/>
          <w:i/>
          <w:iCs/>
          <w:sz w:val="20"/>
          <w:szCs w:val="20"/>
        </w:rPr>
        <w:t>bona fide</w:t>
      </w:r>
      <w:r w:rsidR="00C11220">
        <w:rPr>
          <w:rFonts w:ascii="Arial" w:hAnsi="Arial" w:cs="Arial"/>
          <w:sz w:val="20"/>
          <w:szCs w:val="20"/>
        </w:rPr>
        <w:t>.”</w:t>
      </w:r>
      <w:r w:rsidR="00C11220">
        <w:rPr>
          <w:rStyle w:val="FootnoteReference"/>
          <w:rFonts w:ascii="Arial" w:hAnsi="Arial" w:cs="Arial"/>
          <w:sz w:val="20"/>
          <w:szCs w:val="20"/>
        </w:rPr>
        <w:footnoteReference w:id="11"/>
      </w:r>
    </w:p>
    <w:p w:rsidR="00990862" w:rsidRDefault="00990862" w:rsidP="005B193B">
      <w:pPr>
        <w:spacing w:line="360" w:lineRule="auto"/>
        <w:ind w:left="720" w:hanging="720"/>
        <w:jc w:val="both"/>
        <w:rPr>
          <w:rFonts w:ascii="Arial" w:hAnsi="Arial" w:cs="Arial"/>
        </w:rPr>
      </w:pPr>
    </w:p>
    <w:p w:rsidR="00990862" w:rsidRDefault="00990862" w:rsidP="005B193B">
      <w:pPr>
        <w:spacing w:line="360" w:lineRule="auto"/>
        <w:ind w:left="720" w:hanging="720"/>
        <w:jc w:val="both"/>
        <w:rPr>
          <w:rFonts w:ascii="Arial" w:hAnsi="Arial" w:cs="Arial"/>
        </w:rPr>
      </w:pPr>
      <w:r>
        <w:rPr>
          <w:rFonts w:ascii="Arial" w:hAnsi="Arial" w:cs="Arial"/>
        </w:rPr>
        <w:t>[29]</w:t>
      </w:r>
      <w:r>
        <w:rPr>
          <w:rFonts w:ascii="Arial" w:hAnsi="Arial" w:cs="Arial"/>
        </w:rPr>
        <w:tab/>
      </w:r>
      <w:r w:rsidR="00C11220">
        <w:rPr>
          <w:rFonts w:ascii="Arial" w:hAnsi="Arial" w:cs="Arial"/>
        </w:rPr>
        <w:t xml:space="preserve">I can, with respect towards </w:t>
      </w:r>
      <w:proofErr w:type="spellStart"/>
      <w:r w:rsidR="00C11220">
        <w:rPr>
          <w:rFonts w:ascii="Arial" w:hAnsi="Arial" w:cs="Arial"/>
        </w:rPr>
        <w:t>Binns</w:t>
      </w:r>
      <w:proofErr w:type="spellEnd"/>
      <w:r w:rsidR="00C11220">
        <w:rPr>
          <w:rFonts w:ascii="Arial" w:hAnsi="Arial" w:cs="Arial"/>
        </w:rPr>
        <w:t>-Ward J, not think of a better description of these principles under discussion.</w:t>
      </w:r>
    </w:p>
    <w:p w:rsidR="00C11220" w:rsidRDefault="00C11220" w:rsidP="005B193B">
      <w:pPr>
        <w:spacing w:line="360" w:lineRule="auto"/>
        <w:ind w:left="720" w:hanging="720"/>
        <w:jc w:val="both"/>
        <w:rPr>
          <w:rFonts w:ascii="Arial" w:hAnsi="Arial" w:cs="Arial"/>
        </w:rPr>
      </w:pPr>
    </w:p>
    <w:p w:rsidR="00C11220" w:rsidRDefault="00C11220" w:rsidP="005B193B">
      <w:pPr>
        <w:spacing w:line="360" w:lineRule="auto"/>
        <w:ind w:left="720" w:hanging="720"/>
        <w:jc w:val="both"/>
        <w:rPr>
          <w:rFonts w:ascii="Arial" w:hAnsi="Arial" w:cs="Arial"/>
        </w:rPr>
      </w:pPr>
      <w:r>
        <w:rPr>
          <w:rFonts w:ascii="Arial" w:hAnsi="Arial" w:cs="Arial"/>
        </w:rPr>
        <w:t>[30]</w:t>
      </w:r>
      <w:r>
        <w:rPr>
          <w:rFonts w:ascii="Arial" w:hAnsi="Arial" w:cs="Arial"/>
        </w:rPr>
        <w:tab/>
        <w:t xml:space="preserve">In the present matter, the defence raised by the Defendant in respect of the alleged expunction of the debt by the agreement with the alleged acquaintance, do not however </w:t>
      </w:r>
      <w:r w:rsidR="00491ED7">
        <w:rPr>
          <w:rFonts w:ascii="Arial" w:hAnsi="Arial" w:cs="Arial"/>
        </w:rPr>
        <w:t>meet</w:t>
      </w:r>
      <w:r>
        <w:rPr>
          <w:rFonts w:ascii="Arial" w:hAnsi="Arial" w:cs="Arial"/>
        </w:rPr>
        <w:t xml:space="preserve"> such requirements. It is not supported with material facts relating to the identity of the acquaintance nor the date when such agreement had allegedly been concluded. In fact, the same goes for the Defendant’s purported defence that part of the payments made by the Defendant to the Plaintiff, included interests on the main amount. The affidavit lacks particularity in respect of both the defences as raised by the Defendant.</w:t>
      </w:r>
      <w:r w:rsidR="002A321C">
        <w:rPr>
          <w:rFonts w:ascii="Arial" w:hAnsi="Arial" w:cs="Arial"/>
        </w:rPr>
        <w:t xml:space="preserve"> These facts are not even contained in the plea filed by the Defendant.</w:t>
      </w:r>
    </w:p>
    <w:p w:rsidR="00C11220" w:rsidRDefault="00C11220" w:rsidP="005B193B">
      <w:pPr>
        <w:spacing w:line="360" w:lineRule="auto"/>
        <w:ind w:left="720" w:hanging="720"/>
        <w:jc w:val="both"/>
        <w:rPr>
          <w:rFonts w:ascii="Arial" w:hAnsi="Arial" w:cs="Arial"/>
        </w:rPr>
      </w:pPr>
    </w:p>
    <w:p w:rsidR="00C11220" w:rsidRDefault="00C11220" w:rsidP="005B193B">
      <w:pPr>
        <w:spacing w:line="360" w:lineRule="auto"/>
        <w:ind w:left="720" w:hanging="720"/>
        <w:jc w:val="both"/>
        <w:rPr>
          <w:rFonts w:ascii="Arial" w:hAnsi="Arial" w:cs="Arial"/>
        </w:rPr>
      </w:pPr>
      <w:r>
        <w:rPr>
          <w:rFonts w:ascii="Arial" w:hAnsi="Arial" w:cs="Arial"/>
        </w:rPr>
        <w:t>[31]</w:t>
      </w:r>
      <w:r>
        <w:rPr>
          <w:rFonts w:ascii="Arial" w:hAnsi="Arial" w:cs="Arial"/>
        </w:rPr>
        <w:tab/>
      </w:r>
      <w:r w:rsidR="002A321C">
        <w:rPr>
          <w:rFonts w:ascii="Arial" w:hAnsi="Arial" w:cs="Arial"/>
        </w:rPr>
        <w:t xml:space="preserve">In that respect, the present matter is distinguishable from the </w:t>
      </w:r>
      <w:r w:rsidR="002A321C">
        <w:rPr>
          <w:rFonts w:ascii="Arial" w:hAnsi="Arial" w:cs="Arial"/>
          <w:b/>
          <w:bCs/>
        </w:rPr>
        <w:t>Leech</w:t>
      </w:r>
      <w:r w:rsidR="002A321C">
        <w:rPr>
          <w:rFonts w:ascii="Arial" w:hAnsi="Arial" w:cs="Arial"/>
        </w:rPr>
        <w:t xml:space="preserve">-matter in that I am not satisfied that there exists a reasonable likelihood that the </w:t>
      </w:r>
      <w:r w:rsidR="002A321C">
        <w:rPr>
          <w:rFonts w:ascii="Arial" w:hAnsi="Arial" w:cs="Arial"/>
        </w:rPr>
        <w:lastRenderedPageBreak/>
        <w:t>Defendant may be excused from effecting repayment on grounds of non-enrichment.</w:t>
      </w:r>
    </w:p>
    <w:p w:rsidR="002A321C" w:rsidRDefault="002A321C" w:rsidP="005B193B">
      <w:pPr>
        <w:spacing w:line="360" w:lineRule="auto"/>
        <w:ind w:left="720" w:hanging="720"/>
        <w:jc w:val="both"/>
        <w:rPr>
          <w:rFonts w:ascii="Arial" w:hAnsi="Arial" w:cs="Arial"/>
        </w:rPr>
      </w:pPr>
    </w:p>
    <w:p w:rsidR="002A321C" w:rsidRPr="002A321C" w:rsidRDefault="002A321C" w:rsidP="005B193B">
      <w:pPr>
        <w:spacing w:line="360" w:lineRule="auto"/>
        <w:ind w:left="720" w:hanging="720"/>
        <w:jc w:val="both"/>
        <w:rPr>
          <w:rFonts w:ascii="Arial" w:hAnsi="Arial" w:cs="Arial"/>
          <w:b/>
          <w:bCs/>
        </w:rPr>
      </w:pPr>
      <w:r>
        <w:rPr>
          <w:rFonts w:ascii="Arial" w:hAnsi="Arial" w:cs="Arial"/>
          <w:u w:val="single"/>
        </w:rPr>
        <w:t xml:space="preserve">Section 89(5) of the NCA and the </w:t>
      </w:r>
      <w:r>
        <w:rPr>
          <w:rFonts w:ascii="Arial" w:hAnsi="Arial" w:cs="Arial"/>
          <w:i/>
          <w:iCs/>
          <w:u w:val="single"/>
        </w:rPr>
        <w:t xml:space="preserve">Par </w:t>
      </w:r>
      <w:proofErr w:type="spellStart"/>
      <w:r>
        <w:rPr>
          <w:rFonts w:ascii="Arial" w:hAnsi="Arial" w:cs="Arial"/>
          <w:i/>
          <w:iCs/>
          <w:u w:val="single"/>
        </w:rPr>
        <w:t>Delictum</w:t>
      </w:r>
      <w:proofErr w:type="spellEnd"/>
      <w:r>
        <w:rPr>
          <w:rFonts w:ascii="Arial" w:hAnsi="Arial" w:cs="Arial"/>
          <w:u w:val="single"/>
        </w:rPr>
        <w:t xml:space="preserve"> Rule</w:t>
      </w:r>
      <w:r>
        <w:rPr>
          <w:rFonts w:ascii="Arial" w:hAnsi="Arial" w:cs="Arial"/>
          <w:b/>
          <w:bCs/>
        </w:rPr>
        <w:t>:</w:t>
      </w:r>
    </w:p>
    <w:p w:rsidR="002A321C" w:rsidRDefault="002A321C" w:rsidP="005B193B">
      <w:pPr>
        <w:spacing w:line="360" w:lineRule="auto"/>
        <w:ind w:left="720" w:hanging="720"/>
        <w:jc w:val="both"/>
        <w:rPr>
          <w:rFonts w:ascii="Arial" w:hAnsi="Arial" w:cs="Arial"/>
        </w:rPr>
      </w:pPr>
    </w:p>
    <w:p w:rsidR="002A321C" w:rsidRPr="002A321C" w:rsidRDefault="002A321C" w:rsidP="005B193B">
      <w:pPr>
        <w:spacing w:line="360" w:lineRule="auto"/>
        <w:ind w:left="720" w:hanging="720"/>
        <w:jc w:val="both"/>
        <w:rPr>
          <w:rFonts w:ascii="Arial" w:hAnsi="Arial" w:cs="Arial"/>
        </w:rPr>
      </w:pPr>
      <w:r>
        <w:rPr>
          <w:rFonts w:ascii="Arial" w:hAnsi="Arial" w:cs="Arial"/>
        </w:rPr>
        <w:t>[32]</w:t>
      </w:r>
      <w:r>
        <w:rPr>
          <w:rFonts w:ascii="Arial" w:hAnsi="Arial" w:cs="Arial"/>
        </w:rPr>
        <w:tab/>
        <w:t xml:space="preserve">It is common cause that the loan agreement between the parties is not valid due to the non-fulfilment of the provisions of </w:t>
      </w:r>
      <w:r>
        <w:rPr>
          <w:rFonts w:ascii="Arial" w:hAnsi="Arial" w:cs="Arial"/>
          <w:i/>
          <w:iCs/>
        </w:rPr>
        <w:t>inter alia</w:t>
      </w:r>
      <w:r>
        <w:rPr>
          <w:rFonts w:ascii="Arial" w:hAnsi="Arial" w:cs="Arial"/>
        </w:rPr>
        <w:t xml:space="preserve"> Section 40(1) and (2) of the NCA. The provisions of Section 89(5) of the NCA then comes into play in terms of which the Court must make an order which is just and equitable, including but not limited to an order that the agreement is void as from the date the agreement was entered into.</w:t>
      </w:r>
    </w:p>
    <w:p w:rsidR="002A321C" w:rsidRDefault="002A321C" w:rsidP="005B193B">
      <w:pPr>
        <w:spacing w:line="360" w:lineRule="auto"/>
        <w:ind w:left="720" w:hanging="720"/>
        <w:jc w:val="both"/>
        <w:rPr>
          <w:rFonts w:ascii="Arial" w:hAnsi="Arial" w:cs="Arial"/>
        </w:rPr>
      </w:pPr>
    </w:p>
    <w:p w:rsidR="002A321C" w:rsidRPr="00061AEF" w:rsidRDefault="002A321C" w:rsidP="005B193B">
      <w:pPr>
        <w:spacing w:line="360" w:lineRule="auto"/>
        <w:ind w:left="720" w:hanging="720"/>
        <w:jc w:val="both"/>
        <w:rPr>
          <w:rFonts w:ascii="Arial" w:hAnsi="Arial" w:cs="Arial"/>
        </w:rPr>
      </w:pPr>
      <w:r>
        <w:rPr>
          <w:rFonts w:ascii="Arial" w:hAnsi="Arial" w:cs="Arial"/>
        </w:rPr>
        <w:t>[33]</w:t>
      </w:r>
      <w:r>
        <w:rPr>
          <w:rFonts w:ascii="Arial" w:hAnsi="Arial" w:cs="Arial"/>
        </w:rPr>
        <w:tab/>
      </w:r>
      <w:r w:rsidR="00061AEF">
        <w:rPr>
          <w:rFonts w:ascii="Arial" w:hAnsi="Arial" w:cs="Arial"/>
        </w:rPr>
        <w:t xml:space="preserve">I cannot agree with Mr </w:t>
      </w:r>
      <w:proofErr w:type="spellStart"/>
      <w:r w:rsidR="00061AEF">
        <w:rPr>
          <w:rFonts w:ascii="Arial" w:hAnsi="Arial" w:cs="Arial"/>
          <w:i/>
          <w:iCs/>
        </w:rPr>
        <w:t>Snellenburg</w:t>
      </w:r>
      <w:proofErr w:type="spellEnd"/>
      <w:r w:rsidR="00061AEF">
        <w:rPr>
          <w:rFonts w:ascii="Arial" w:hAnsi="Arial" w:cs="Arial"/>
          <w:i/>
          <w:iCs/>
        </w:rPr>
        <w:t xml:space="preserve"> SC</w:t>
      </w:r>
      <w:r w:rsidR="00061AEF">
        <w:rPr>
          <w:rFonts w:ascii="Arial" w:hAnsi="Arial" w:cs="Arial"/>
        </w:rPr>
        <w:t xml:space="preserve">’s submission that a Court can only make such an order after hearing evidence during trial. It is undisputed that the balance </w:t>
      </w:r>
      <w:r w:rsidR="00491ED7">
        <w:rPr>
          <w:rFonts w:ascii="Arial" w:hAnsi="Arial" w:cs="Arial"/>
        </w:rPr>
        <w:t>in</w:t>
      </w:r>
      <w:r w:rsidR="00061AEF">
        <w:rPr>
          <w:rFonts w:ascii="Arial" w:hAnsi="Arial" w:cs="Arial"/>
        </w:rPr>
        <w:t xml:space="preserve"> the amount of R1,600,000.00 had been received by the Defendant from the Plaintiff. The Court is already at this stage in the position to decide which order is just and equitable.</w:t>
      </w:r>
    </w:p>
    <w:p w:rsidR="002A321C" w:rsidRDefault="002A321C" w:rsidP="005B193B">
      <w:pPr>
        <w:spacing w:line="360" w:lineRule="auto"/>
        <w:ind w:left="720" w:hanging="720"/>
        <w:jc w:val="both"/>
        <w:rPr>
          <w:rFonts w:ascii="Arial" w:hAnsi="Arial" w:cs="Arial"/>
        </w:rPr>
      </w:pPr>
    </w:p>
    <w:p w:rsidR="002A321C" w:rsidRPr="00061AEF" w:rsidRDefault="002A321C" w:rsidP="005B193B">
      <w:pPr>
        <w:spacing w:line="360" w:lineRule="auto"/>
        <w:ind w:left="720" w:hanging="720"/>
        <w:jc w:val="both"/>
        <w:rPr>
          <w:rFonts w:ascii="Arial" w:hAnsi="Arial" w:cs="Arial"/>
        </w:rPr>
      </w:pPr>
      <w:r>
        <w:rPr>
          <w:rFonts w:ascii="Arial" w:hAnsi="Arial" w:cs="Arial"/>
        </w:rPr>
        <w:t>[34]</w:t>
      </w:r>
      <w:r>
        <w:rPr>
          <w:rFonts w:ascii="Arial" w:hAnsi="Arial" w:cs="Arial"/>
        </w:rPr>
        <w:tab/>
      </w:r>
      <w:r w:rsidR="00061AEF">
        <w:rPr>
          <w:rFonts w:ascii="Arial" w:hAnsi="Arial" w:cs="Arial"/>
        </w:rPr>
        <w:t xml:space="preserve">Mr </w:t>
      </w:r>
      <w:proofErr w:type="spellStart"/>
      <w:r w:rsidR="00061AEF">
        <w:rPr>
          <w:rFonts w:ascii="Arial" w:hAnsi="Arial" w:cs="Arial"/>
          <w:i/>
          <w:iCs/>
        </w:rPr>
        <w:t>Snellenburg</w:t>
      </w:r>
      <w:proofErr w:type="spellEnd"/>
      <w:r w:rsidR="00061AEF">
        <w:rPr>
          <w:rFonts w:ascii="Arial" w:hAnsi="Arial" w:cs="Arial"/>
          <w:i/>
          <w:iCs/>
        </w:rPr>
        <w:t xml:space="preserve"> SC</w:t>
      </w:r>
      <w:r w:rsidR="00061AEF">
        <w:rPr>
          <w:rFonts w:ascii="Arial" w:hAnsi="Arial" w:cs="Arial"/>
          <w:b/>
          <w:bCs/>
          <w:i/>
          <w:iCs/>
        </w:rPr>
        <w:t xml:space="preserve"> </w:t>
      </w:r>
      <w:r w:rsidR="00061AEF">
        <w:rPr>
          <w:rFonts w:ascii="Arial" w:hAnsi="Arial" w:cs="Arial"/>
        </w:rPr>
        <w:t xml:space="preserve">is however correct in </w:t>
      </w:r>
      <w:r w:rsidR="00491ED7">
        <w:rPr>
          <w:rFonts w:ascii="Arial" w:hAnsi="Arial" w:cs="Arial"/>
        </w:rPr>
        <w:t>his</w:t>
      </w:r>
      <w:r w:rsidR="00061AEF">
        <w:rPr>
          <w:rFonts w:ascii="Arial" w:hAnsi="Arial" w:cs="Arial"/>
        </w:rPr>
        <w:t xml:space="preserve"> submission that the Court has a wide unfettered discretion to make such an order that is just and equitable.</w:t>
      </w:r>
    </w:p>
    <w:p w:rsidR="00061AEF" w:rsidRDefault="00061AEF" w:rsidP="005B193B">
      <w:pPr>
        <w:spacing w:line="360" w:lineRule="auto"/>
        <w:ind w:left="720" w:hanging="720"/>
        <w:jc w:val="both"/>
        <w:rPr>
          <w:rFonts w:ascii="Arial" w:hAnsi="Arial" w:cs="Arial"/>
        </w:rPr>
      </w:pPr>
    </w:p>
    <w:p w:rsidR="00061AEF" w:rsidRPr="00D00356" w:rsidRDefault="00061AEF" w:rsidP="005B193B">
      <w:pPr>
        <w:spacing w:line="360" w:lineRule="auto"/>
        <w:ind w:left="720" w:hanging="720"/>
        <w:jc w:val="both"/>
        <w:rPr>
          <w:rFonts w:ascii="Arial" w:hAnsi="Arial" w:cs="Arial"/>
        </w:rPr>
      </w:pPr>
      <w:r>
        <w:rPr>
          <w:rFonts w:ascii="Arial" w:hAnsi="Arial" w:cs="Arial"/>
        </w:rPr>
        <w:t>[35]</w:t>
      </w:r>
      <w:r>
        <w:rPr>
          <w:rFonts w:ascii="Arial" w:hAnsi="Arial" w:cs="Arial"/>
        </w:rPr>
        <w:tab/>
        <w:t xml:space="preserve">In the matter of </w:t>
      </w:r>
      <w:proofErr w:type="spellStart"/>
      <w:r>
        <w:rPr>
          <w:rFonts w:ascii="Arial" w:hAnsi="Arial" w:cs="Arial"/>
          <w:b/>
          <w:bCs/>
        </w:rPr>
        <w:t>Afrisure</w:t>
      </w:r>
      <w:proofErr w:type="spellEnd"/>
      <w:r>
        <w:rPr>
          <w:rFonts w:ascii="Arial" w:hAnsi="Arial" w:cs="Arial"/>
          <w:b/>
          <w:bCs/>
        </w:rPr>
        <w:t xml:space="preserve"> and Another v Watson and Another</w:t>
      </w:r>
      <w:r>
        <w:rPr>
          <w:rStyle w:val="FootnoteReference"/>
          <w:rFonts w:ascii="Arial" w:hAnsi="Arial" w:cs="Arial"/>
          <w:b/>
          <w:bCs/>
        </w:rPr>
        <w:footnoteReference w:id="12"/>
      </w:r>
      <w:r>
        <w:rPr>
          <w:rFonts w:ascii="Arial" w:hAnsi="Arial" w:cs="Arial"/>
        </w:rPr>
        <w:t xml:space="preserve">, to which Mr </w:t>
      </w:r>
      <w:r>
        <w:rPr>
          <w:rFonts w:ascii="Arial" w:hAnsi="Arial" w:cs="Arial"/>
          <w:i/>
          <w:iCs/>
        </w:rPr>
        <w:t>Naidoo</w:t>
      </w:r>
      <w:r>
        <w:rPr>
          <w:rFonts w:ascii="Arial" w:hAnsi="Arial" w:cs="Arial"/>
        </w:rPr>
        <w:t xml:space="preserve"> </w:t>
      </w:r>
      <w:r>
        <w:rPr>
          <w:rFonts w:ascii="Arial" w:hAnsi="Arial" w:cs="Arial"/>
          <w:i/>
          <w:iCs/>
        </w:rPr>
        <w:t>inter alia</w:t>
      </w:r>
      <w:r>
        <w:rPr>
          <w:rFonts w:ascii="Arial" w:hAnsi="Arial" w:cs="Arial"/>
        </w:rPr>
        <w:t xml:space="preserve"> referred me to, the Supreme Court of Appeal confirmed that the principles enunciated in the </w:t>
      </w:r>
      <w:proofErr w:type="spellStart"/>
      <w:r w:rsidR="007E0B12">
        <w:rPr>
          <w:rFonts w:asciiTheme="majorHAnsi" w:hAnsiTheme="majorHAnsi" w:cstheme="majorHAnsi"/>
          <w:b/>
          <w:bCs/>
        </w:rPr>
        <w:t>Jajbhay</w:t>
      </w:r>
      <w:proofErr w:type="spellEnd"/>
      <w:r w:rsidR="00D00356">
        <w:rPr>
          <w:rFonts w:asciiTheme="majorHAnsi" w:hAnsiTheme="majorHAnsi" w:cstheme="majorHAnsi"/>
        </w:rPr>
        <w:t xml:space="preserve">-matter have been considered and applied in many cases for example, </w:t>
      </w:r>
      <w:proofErr w:type="spellStart"/>
      <w:r w:rsidR="00D00356">
        <w:rPr>
          <w:rFonts w:asciiTheme="majorHAnsi" w:hAnsiTheme="majorHAnsi" w:cstheme="majorHAnsi"/>
          <w:b/>
          <w:bCs/>
        </w:rPr>
        <w:t>Visser</w:t>
      </w:r>
      <w:proofErr w:type="spellEnd"/>
      <w:r w:rsidR="00D00356">
        <w:rPr>
          <w:rFonts w:asciiTheme="majorHAnsi" w:hAnsiTheme="majorHAnsi" w:cstheme="majorHAnsi"/>
          <w:b/>
          <w:bCs/>
        </w:rPr>
        <w:t xml:space="preserve"> and Another v </w:t>
      </w:r>
      <w:proofErr w:type="spellStart"/>
      <w:r w:rsidR="00D00356">
        <w:rPr>
          <w:rFonts w:asciiTheme="majorHAnsi" w:hAnsiTheme="majorHAnsi" w:cstheme="majorHAnsi"/>
          <w:b/>
          <w:bCs/>
        </w:rPr>
        <w:t>Rossouw</w:t>
      </w:r>
      <w:proofErr w:type="spellEnd"/>
      <w:r w:rsidR="00D00356">
        <w:rPr>
          <w:rFonts w:asciiTheme="majorHAnsi" w:hAnsiTheme="majorHAnsi" w:cstheme="majorHAnsi"/>
          <w:b/>
          <w:bCs/>
        </w:rPr>
        <w:t xml:space="preserve"> and Another NNO 1990 (1) SA 139 (A)</w:t>
      </w:r>
      <w:r w:rsidR="00D00356">
        <w:rPr>
          <w:rFonts w:asciiTheme="majorHAnsi" w:hAnsiTheme="majorHAnsi" w:cstheme="majorHAnsi"/>
        </w:rPr>
        <w:t xml:space="preserve"> and </w:t>
      </w:r>
      <w:proofErr w:type="spellStart"/>
      <w:r w:rsidR="00D00356">
        <w:rPr>
          <w:rFonts w:asciiTheme="majorHAnsi" w:hAnsiTheme="majorHAnsi" w:cstheme="majorHAnsi"/>
          <w:b/>
          <w:bCs/>
        </w:rPr>
        <w:t>Klokov</w:t>
      </w:r>
      <w:proofErr w:type="spellEnd"/>
      <w:r w:rsidR="00D00356">
        <w:rPr>
          <w:rFonts w:asciiTheme="majorHAnsi" w:hAnsiTheme="majorHAnsi" w:cstheme="majorHAnsi"/>
          <w:b/>
          <w:bCs/>
        </w:rPr>
        <w:t xml:space="preserve"> v Sullivan 2006 (1) SA 259 (SCA)</w:t>
      </w:r>
      <w:r w:rsidR="00D00356">
        <w:rPr>
          <w:rFonts w:asciiTheme="majorHAnsi" w:hAnsiTheme="majorHAnsi" w:cstheme="majorHAnsi"/>
        </w:rPr>
        <w:t>.</w:t>
      </w:r>
    </w:p>
    <w:p w:rsidR="00061AEF" w:rsidRDefault="00061AEF" w:rsidP="005B193B">
      <w:pPr>
        <w:spacing w:line="360" w:lineRule="auto"/>
        <w:ind w:left="720" w:hanging="720"/>
        <w:jc w:val="both"/>
        <w:rPr>
          <w:rFonts w:ascii="Arial" w:hAnsi="Arial" w:cs="Arial"/>
        </w:rPr>
      </w:pPr>
    </w:p>
    <w:p w:rsidR="00061AEF" w:rsidRDefault="00061AEF" w:rsidP="005B193B">
      <w:pPr>
        <w:spacing w:line="360" w:lineRule="auto"/>
        <w:ind w:left="720" w:hanging="720"/>
        <w:jc w:val="both"/>
        <w:rPr>
          <w:rFonts w:ascii="Arial" w:hAnsi="Arial" w:cs="Arial"/>
        </w:rPr>
      </w:pPr>
      <w:r>
        <w:rPr>
          <w:rFonts w:ascii="Arial" w:hAnsi="Arial" w:cs="Arial"/>
        </w:rPr>
        <w:t>[36]</w:t>
      </w:r>
      <w:r>
        <w:rPr>
          <w:rFonts w:ascii="Arial" w:hAnsi="Arial" w:cs="Arial"/>
        </w:rPr>
        <w:tab/>
      </w:r>
      <w:r w:rsidR="00D00356">
        <w:rPr>
          <w:rFonts w:ascii="Arial" w:hAnsi="Arial" w:cs="Arial"/>
        </w:rPr>
        <w:t xml:space="preserve">In a more recent matter relied upon by Mr </w:t>
      </w:r>
      <w:proofErr w:type="spellStart"/>
      <w:r w:rsidR="00D00356">
        <w:rPr>
          <w:rFonts w:ascii="Arial" w:hAnsi="Arial" w:cs="Arial"/>
          <w:i/>
          <w:iCs/>
        </w:rPr>
        <w:t>Snellenburg</w:t>
      </w:r>
      <w:proofErr w:type="spellEnd"/>
      <w:r w:rsidR="00D00356">
        <w:rPr>
          <w:rFonts w:ascii="Arial" w:hAnsi="Arial" w:cs="Arial"/>
          <w:i/>
          <w:iCs/>
        </w:rPr>
        <w:t xml:space="preserve"> SC</w:t>
      </w:r>
      <w:r w:rsidR="00D00356">
        <w:rPr>
          <w:rFonts w:ascii="Arial" w:hAnsi="Arial" w:cs="Arial"/>
        </w:rPr>
        <w:t xml:space="preserve">, </w:t>
      </w:r>
      <w:proofErr w:type="spellStart"/>
      <w:r w:rsidR="00D00356" w:rsidRPr="00D00356">
        <w:rPr>
          <w:rFonts w:ascii="Arial" w:hAnsi="Arial" w:cs="Arial"/>
          <w:b/>
          <w:bCs/>
        </w:rPr>
        <w:t>Blacher</w:t>
      </w:r>
      <w:proofErr w:type="spellEnd"/>
      <w:r w:rsidR="00D00356" w:rsidRPr="00D00356">
        <w:rPr>
          <w:rFonts w:ascii="Arial" w:hAnsi="Arial" w:cs="Arial"/>
          <w:b/>
          <w:bCs/>
        </w:rPr>
        <w:t xml:space="preserve"> v Josephson</w:t>
      </w:r>
      <w:r w:rsidR="00D00356">
        <w:rPr>
          <w:rStyle w:val="FootnoteReference"/>
          <w:rFonts w:ascii="Arial" w:hAnsi="Arial" w:cs="Arial"/>
          <w:b/>
          <w:bCs/>
        </w:rPr>
        <w:footnoteReference w:id="13"/>
      </w:r>
      <w:r w:rsidR="00D00356">
        <w:rPr>
          <w:rFonts w:ascii="Arial" w:hAnsi="Arial" w:cs="Arial"/>
        </w:rPr>
        <w:t>, the Court also said the following:</w:t>
      </w:r>
    </w:p>
    <w:p w:rsidR="00D00356" w:rsidRDefault="00D00356" w:rsidP="005B193B">
      <w:pPr>
        <w:spacing w:line="360" w:lineRule="auto"/>
        <w:ind w:left="720" w:hanging="720"/>
        <w:jc w:val="both"/>
        <w:rPr>
          <w:rFonts w:ascii="Arial" w:hAnsi="Arial" w:cs="Arial"/>
        </w:rPr>
      </w:pPr>
    </w:p>
    <w:p w:rsidR="00D00356" w:rsidRPr="00D00356" w:rsidRDefault="00D00356" w:rsidP="00D00356">
      <w:pPr>
        <w:spacing w:line="360" w:lineRule="auto"/>
        <w:ind w:left="2160" w:hanging="720"/>
        <w:jc w:val="both"/>
        <w:rPr>
          <w:rFonts w:ascii="Arial" w:hAnsi="Arial" w:cs="Arial"/>
          <w:sz w:val="20"/>
          <w:szCs w:val="20"/>
        </w:rPr>
      </w:pPr>
      <w:r>
        <w:rPr>
          <w:rFonts w:ascii="Arial" w:hAnsi="Arial" w:cs="Arial"/>
          <w:sz w:val="20"/>
          <w:szCs w:val="20"/>
        </w:rPr>
        <w:t>“[35]</w:t>
      </w:r>
      <w:r>
        <w:rPr>
          <w:rFonts w:ascii="Arial" w:hAnsi="Arial" w:cs="Arial"/>
          <w:sz w:val="20"/>
          <w:szCs w:val="20"/>
        </w:rPr>
        <w:tab/>
        <w:t xml:space="preserve">Thus, just as the </w:t>
      </w:r>
      <w:r>
        <w:rPr>
          <w:rFonts w:ascii="Arial" w:hAnsi="Arial" w:cs="Arial"/>
          <w:i/>
          <w:iCs/>
          <w:sz w:val="20"/>
          <w:szCs w:val="20"/>
        </w:rPr>
        <w:t xml:space="preserve">ex </w:t>
      </w:r>
      <w:proofErr w:type="spellStart"/>
      <w:r>
        <w:rPr>
          <w:rFonts w:ascii="Arial" w:hAnsi="Arial" w:cs="Arial"/>
          <w:i/>
          <w:iCs/>
          <w:sz w:val="20"/>
          <w:szCs w:val="20"/>
        </w:rPr>
        <w:t>turpi</w:t>
      </w:r>
      <w:proofErr w:type="spellEnd"/>
      <w:r>
        <w:rPr>
          <w:rFonts w:ascii="Arial" w:hAnsi="Arial" w:cs="Arial"/>
          <w:sz w:val="20"/>
          <w:szCs w:val="20"/>
        </w:rPr>
        <w:t xml:space="preserve"> principle serves to defeat a contractual claim arising from, or in terms of, an unlawful contract, the </w:t>
      </w:r>
      <w:r>
        <w:rPr>
          <w:rFonts w:ascii="Arial" w:hAnsi="Arial" w:cs="Arial"/>
          <w:i/>
          <w:iCs/>
          <w:sz w:val="20"/>
          <w:szCs w:val="20"/>
        </w:rPr>
        <w:t xml:space="preserve">per </w:t>
      </w:r>
      <w:proofErr w:type="spellStart"/>
      <w:r>
        <w:rPr>
          <w:rFonts w:ascii="Arial" w:hAnsi="Arial" w:cs="Arial"/>
          <w:i/>
          <w:iCs/>
          <w:sz w:val="20"/>
          <w:szCs w:val="20"/>
        </w:rPr>
        <w:t>delictum</w:t>
      </w:r>
      <w:proofErr w:type="spellEnd"/>
      <w:r>
        <w:rPr>
          <w:rFonts w:ascii="Arial" w:hAnsi="Arial" w:cs="Arial"/>
          <w:sz w:val="20"/>
          <w:szCs w:val="20"/>
        </w:rPr>
        <w:t xml:space="preserve"> rule may do so in </w:t>
      </w:r>
      <w:r>
        <w:rPr>
          <w:rFonts w:ascii="Arial" w:hAnsi="Arial" w:cs="Arial"/>
          <w:sz w:val="20"/>
          <w:szCs w:val="20"/>
        </w:rPr>
        <w:lastRenderedPageBreak/>
        <w:t xml:space="preserve">respect of an enrichment action which is resorted to in place thereof. But the important qualification to the operation of the </w:t>
      </w:r>
      <w:r>
        <w:rPr>
          <w:rFonts w:ascii="Arial" w:hAnsi="Arial" w:cs="Arial"/>
          <w:i/>
          <w:iCs/>
          <w:sz w:val="20"/>
          <w:szCs w:val="20"/>
        </w:rPr>
        <w:t xml:space="preserve">per </w:t>
      </w:r>
      <w:proofErr w:type="spellStart"/>
      <w:r>
        <w:rPr>
          <w:rFonts w:ascii="Arial" w:hAnsi="Arial" w:cs="Arial"/>
          <w:i/>
          <w:iCs/>
          <w:sz w:val="20"/>
          <w:szCs w:val="20"/>
        </w:rPr>
        <w:t>delictum</w:t>
      </w:r>
      <w:proofErr w:type="spellEnd"/>
      <w:r>
        <w:rPr>
          <w:rFonts w:ascii="Arial" w:hAnsi="Arial" w:cs="Arial"/>
          <w:sz w:val="20"/>
          <w:szCs w:val="20"/>
        </w:rPr>
        <w:t xml:space="preserve"> rule in enrichment actions is that pursuant to the decision in </w:t>
      </w:r>
      <w:proofErr w:type="spellStart"/>
      <w:r>
        <w:rPr>
          <w:rFonts w:ascii="Arial" w:hAnsi="Arial" w:cs="Arial"/>
          <w:i/>
          <w:iCs/>
          <w:sz w:val="20"/>
          <w:szCs w:val="20"/>
        </w:rPr>
        <w:t>Jajbhay</w:t>
      </w:r>
      <w:proofErr w:type="spellEnd"/>
      <w:r>
        <w:rPr>
          <w:rFonts w:ascii="Arial" w:hAnsi="Arial" w:cs="Arial"/>
          <w:sz w:val="20"/>
          <w:szCs w:val="20"/>
        </w:rPr>
        <w:t xml:space="preserve"> (</w:t>
      </w:r>
      <w:proofErr w:type="spellStart"/>
      <w:r w:rsidR="007E0B12">
        <w:rPr>
          <w:rFonts w:asciiTheme="majorHAnsi" w:hAnsiTheme="majorHAnsi" w:cstheme="majorHAnsi"/>
          <w:sz w:val="20"/>
          <w:szCs w:val="20"/>
        </w:rPr>
        <w:t>Jajbhay</w:t>
      </w:r>
      <w:proofErr w:type="spellEnd"/>
      <w:r>
        <w:rPr>
          <w:rFonts w:asciiTheme="majorHAnsi" w:hAnsiTheme="majorHAnsi" w:cstheme="majorHAnsi"/>
          <w:sz w:val="20"/>
          <w:szCs w:val="20"/>
        </w:rPr>
        <w:t xml:space="preserve"> v </w:t>
      </w:r>
      <w:proofErr w:type="spellStart"/>
      <w:r>
        <w:rPr>
          <w:rFonts w:asciiTheme="majorHAnsi" w:hAnsiTheme="majorHAnsi" w:cstheme="majorHAnsi"/>
          <w:sz w:val="20"/>
          <w:szCs w:val="20"/>
        </w:rPr>
        <w:t>Cassim</w:t>
      </w:r>
      <w:proofErr w:type="spellEnd"/>
      <w:r>
        <w:rPr>
          <w:rFonts w:asciiTheme="majorHAnsi" w:hAnsiTheme="majorHAnsi" w:cstheme="majorHAnsi"/>
          <w:sz w:val="20"/>
          <w:szCs w:val="20"/>
        </w:rPr>
        <w:t xml:space="preserve"> 1939 AD 537 at 545, 547-548) it has been attenuated </w:t>
      </w:r>
      <w:r w:rsidR="00EE2299">
        <w:rPr>
          <w:rFonts w:asciiTheme="majorHAnsi" w:hAnsiTheme="majorHAnsi" w:cstheme="majorHAnsi"/>
          <w:sz w:val="20"/>
          <w:szCs w:val="20"/>
        </w:rPr>
        <w:t>by the recognition of an equitable discretionary power of the court, so that it may do ‘simple justice between man and man’.”</w:t>
      </w:r>
    </w:p>
    <w:p w:rsidR="00D00356" w:rsidRDefault="00D00356" w:rsidP="005B193B">
      <w:pPr>
        <w:spacing w:line="360" w:lineRule="auto"/>
        <w:ind w:left="720" w:hanging="720"/>
        <w:jc w:val="both"/>
        <w:rPr>
          <w:rFonts w:ascii="Arial" w:hAnsi="Arial" w:cs="Arial"/>
        </w:rPr>
      </w:pPr>
    </w:p>
    <w:p w:rsidR="00D00356" w:rsidRDefault="00D00356" w:rsidP="005B193B">
      <w:pPr>
        <w:spacing w:line="360" w:lineRule="auto"/>
        <w:ind w:left="720" w:hanging="720"/>
        <w:jc w:val="both"/>
        <w:rPr>
          <w:rFonts w:ascii="Arial" w:hAnsi="Arial" w:cs="Arial"/>
        </w:rPr>
      </w:pPr>
      <w:r>
        <w:rPr>
          <w:rFonts w:ascii="Arial" w:hAnsi="Arial" w:cs="Arial"/>
        </w:rPr>
        <w:t>[37]</w:t>
      </w:r>
      <w:r>
        <w:rPr>
          <w:rFonts w:ascii="Arial" w:hAnsi="Arial" w:cs="Arial"/>
        </w:rPr>
        <w:tab/>
      </w:r>
      <w:r w:rsidR="00EE2299">
        <w:rPr>
          <w:rFonts w:ascii="Arial" w:hAnsi="Arial" w:cs="Arial"/>
        </w:rPr>
        <w:t>Certain grounds have been advanced in argument on behalf of the Defendant why the Plaintiff is not entitled to any repayment of the outstanding balance.</w:t>
      </w:r>
    </w:p>
    <w:p w:rsidR="00EE2299" w:rsidRDefault="00EE2299" w:rsidP="005B193B">
      <w:pPr>
        <w:spacing w:line="360" w:lineRule="auto"/>
        <w:ind w:left="720" w:hanging="720"/>
        <w:jc w:val="both"/>
        <w:rPr>
          <w:rFonts w:ascii="Arial" w:hAnsi="Arial" w:cs="Arial"/>
        </w:rPr>
      </w:pPr>
    </w:p>
    <w:p w:rsidR="00EE2299" w:rsidRDefault="00EE2299" w:rsidP="005B193B">
      <w:pPr>
        <w:spacing w:line="360" w:lineRule="auto"/>
        <w:ind w:left="720" w:hanging="720"/>
        <w:jc w:val="both"/>
        <w:rPr>
          <w:rFonts w:ascii="Arial" w:hAnsi="Arial" w:cs="Arial"/>
        </w:rPr>
      </w:pPr>
      <w:r>
        <w:rPr>
          <w:rFonts w:ascii="Arial" w:hAnsi="Arial" w:cs="Arial"/>
        </w:rPr>
        <w:t>[38]</w:t>
      </w:r>
      <w:r>
        <w:rPr>
          <w:rFonts w:ascii="Arial" w:hAnsi="Arial" w:cs="Arial"/>
        </w:rPr>
        <w:tab/>
        <w:t>The first ground is that the interest rate levied on the principal amount of credit, contravened the provisions of Section 105(1) of the NCA. It was argued that it is the Plaintiff’s conduct that is relevant when the Court makes a determination.</w:t>
      </w:r>
    </w:p>
    <w:p w:rsidR="00EE2299" w:rsidRDefault="00EE2299" w:rsidP="005B193B">
      <w:pPr>
        <w:spacing w:line="360" w:lineRule="auto"/>
        <w:ind w:left="720" w:hanging="720"/>
        <w:jc w:val="both"/>
        <w:rPr>
          <w:rFonts w:ascii="Arial" w:hAnsi="Arial" w:cs="Arial"/>
        </w:rPr>
      </w:pPr>
    </w:p>
    <w:p w:rsidR="00EE2299" w:rsidRDefault="00EE2299" w:rsidP="005B193B">
      <w:pPr>
        <w:spacing w:line="360" w:lineRule="auto"/>
        <w:ind w:left="720" w:hanging="720"/>
        <w:jc w:val="both"/>
        <w:rPr>
          <w:rFonts w:ascii="Arial" w:hAnsi="Arial" w:cs="Arial"/>
        </w:rPr>
      </w:pPr>
      <w:r>
        <w:rPr>
          <w:rFonts w:ascii="Arial" w:hAnsi="Arial" w:cs="Arial"/>
        </w:rPr>
        <w:t>[39]</w:t>
      </w:r>
      <w:r>
        <w:rPr>
          <w:rFonts w:ascii="Arial" w:hAnsi="Arial" w:cs="Arial"/>
        </w:rPr>
        <w:tab/>
        <w:t xml:space="preserve">If the interest rate levied was the only basis </w:t>
      </w:r>
      <w:r w:rsidR="002720E8">
        <w:rPr>
          <w:rFonts w:ascii="Arial" w:hAnsi="Arial" w:cs="Arial"/>
        </w:rPr>
        <w:t>for the agreement to be unlawful and void, it might then be said that it will not be just and equitable to order restitution of the balance in favour of the Plaintiff. But it is not necessar</w:t>
      </w:r>
      <w:r w:rsidR="00491ED7">
        <w:rPr>
          <w:rFonts w:ascii="Arial" w:hAnsi="Arial" w:cs="Arial"/>
        </w:rPr>
        <w:t>ily</w:t>
      </w:r>
      <w:r w:rsidR="002720E8">
        <w:rPr>
          <w:rFonts w:ascii="Arial" w:hAnsi="Arial" w:cs="Arial"/>
        </w:rPr>
        <w:t xml:space="preserve"> so. It might be indicative that the Plaintiff was trying to collect more interest than he was entitled to. But it is also so that the interest which was to be accrued was agreed upon between the Plaintiff and the Defendant. If was to be taken as a determining factor in holding that the Plaintiff is not entitled to restitution, it will effectively mean that the Plaintiff is penalised in not receiving the outstanding balance of the capital loan amount, although interest does not even form part of the present claim.</w:t>
      </w:r>
    </w:p>
    <w:p w:rsidR="00EE2299" w:rsidRDefault="00EE2299" w:rsidP="005B193B">
      <w:pPr>
        <w:spacing w:line="360" w:lineRule="auto"/>
        <w:ind w:left="720" w:hanging="720"/>
        <w:jc w:val="both"/>
        <w:rPr>
          <w:rFonts w:ascii="Arial" w:hAnsi="Arial" w:cs="Arial"/>
        </w:rPr>
      </w:pPr>
    </w:p>
    <w:p w:rsidR="00EE2299" w:rsidRDefault="00EE2299" w:rsidP="005B193B">
      <w:pPr>
        <w:spacing w:line="360" w:lineRule="auto"/>
        <w:ind w:left="720" w:hanging="720"/>
        <w:jc w:val="both"/>
        <w:rPr>
          <w:rFonts w:ascii="Arial" w:hAnsi="Arial" w:cs="Arial"/>
        </w:rPr>
      </w:pPr>
      <w:r>
        <w:rPr>
          <w:rFonts w:ascii="Arial" w:hAnsi="Arial" w:cs="Arial"/>
        </w:rPr>
        <w:t>[40]</w:t>
      </w:r>
      <w:r>
        <w:rPr>
          <w:rFonts w:ascii="Arial" w:hAnsi="Arial" w:cs="Arial"/>
        </w:rPr>
        <w:tab/>
      </w:r>
      <w:r w:rsidR="002720E8">
        <w:rPr>
          <w:rFonts w:ascii="Arial" w:hAnsi="Arial" w:cs="Arial"/>
        </w:rPr>
        <w:t xml:space="preserve">As already stated, the Defendant failed to provide any particularity of which amounts </w:t>
      </w:r>
      <w:r w:rsidR="00491ED7">
        <w:rPr>
          <w:rFonts w:ascii="Arial" w:hAnsi="Arial" w:cs="Arial"/>
        </w:rPr>
        <w:t>of</w:t>
      </w:r>
      <w:r w:rsidR="002720E8">
        <w:rPr>
          <w:rFonts w:ascii="Arial" w:hAnsi="Arial" w:cs="Arial"/>
        </w:rPr>
        <w:t xml:space="preserve"> interests allegedly formed part of the payments made. Not in his plea nor in his affidavit in opposition to the summary judgment application.</w:t>
      </w:r>
    </w:p>
    <w:p w:rsidR="002720E8" w:rsidRDefault="002720E8" w:rsidP="005B193B">
      <w:pPr>
        <w:spacing w:line="360" w:lineRule="auto"/>
        <w:ind w:left="720" w:hanging="720"/>
        <w:jc w:val="both"/>
        <w:rPr>
          <w:rFonts w:ascii="Arial" w:hAnsi="Arial" w:cs="Arial"/>
        </w:rPr>
      </w:pPr>
    </w:p>
    <w:p w:rsidR="002720E8" w:rsidRDefault="002720E8" w:rsidP="005B193B">
      <w:pPr>
        <w:spacing w:line="360" w:lineRule="auto"/>
        <w:ind w:left="720" w:hanging="720"/>
        <w:jc w:val="both"/>
        <w:rPr>
          <w:rFonts w:ascii="Arial" w:hAnsi="Arial" w:cs="Arial"/>
        </w:rPr>
      </w:pPr>
      <w:r>
        <w:rPr>
          <w:rFonts w:ascii="Arial" w:hAnsi="Arial" w:cs="Arial"/>
        </w:rPr>
        <w:t>[41]</w:t>
      </w:r>
      <w:r>
        <w:rPr>
          <w:rFonts w:ascii="Arial" w:hAnsi="Arial" w:cs="Arial"/>
        </w:rPr>
        <w:tab/>
        <w:t xml:space="preserve">The further facts relied upon </w:t>
      </w:r>
      <w:r w:rsidR="008E3504">
        <w:rPr>
          <w:rFonts w:ascii="Arial" w:hAnsi="Arial" w:cs="Arial"/>
        </w:rPr>
        <w:t xml:space="preserve">by the Defendant, namely that the Plaintiff has failed to make any assessment prior to the advancing of the credit, to determine whether the credit would constitute reckless credit, if it is to be accepted to be true, is indeed a factor which the Court should </w:t>
      </w:r>
      <w:r w:rsidR="00491ED7">
        <w:rPr>
          <w:rFonts w:ascii="Arial" w:hAnsi="Arial" w:cs="Arial"/>
        </w:rPr>
        <w:t>frown</w:t>
      </w:r>
      <w:r w:rsidR="008E3504">
        <w:rPr>
          <w:rFonts w:ascii="Arial" w:hAnsi="Arial" w:cs="Arial"/>
        </w:rPr>
        <w:t xml:space="preserve"> upon. But in the same breath the Court should also take into consideration that the Defendant has received a benefit in that he received the loan amount in any event. The fact remains, </w:t>
      </w:r>
      <w:r w:rsidR="00491ED7">
        <w:rPr>
          <w:rFonts w:ascii="Arial" w:hAnsi="Arial" w:cs="Arial"/>
        </w:rPr>
        <w:t>the</w:t>
      </w:r>
      <w:r w:rsidR="00D904CE">
        <w:rPr>
          <w:rFonts w:ascii="Arial" w:hAnsi="Arial" w:cs="Arial"/>
        </w:rPr>
        <w:t xml:space="preserve"> Defendant was enriched at the expense of the Plaintiff.</w:t>
      </w:r>
    </w:p>
    <w:p w:rsidR="002720E8" w:rsidRDefault="002720E8" w:rsidP="005B193B">
      <w:pPr>
        <w:spacing w:line="360" w:lineRule="auto"/>
        <w:ind w:left="720" w:hanging="720"/>
        <w:jc w:val="both"/>
        <w:rPr>
          <w:rFonts w:ascii="Arial" w:hAnsi="Arial" w:cs="Arial"/>
        </w:rPr>
      </w:pPr>
    </w:p>
    <w:p w:rsidR="002720E8" w:rsidRDefault="002720E8" w:rsidP="005B193B">
      <w:pPr>
        <w:spacing w:line="360" w:lineRule="auto"/>
        <w:ind w:left="720" w:hanging="720"/>
        <w:jc w:val="both"/>
        <w:rPr>
          <w:rFonts w:ascii="Arial" w:hAnsi="Arial" w:cs="Arial"/>
        </w:rPr>
      </w:pPr>
      <w:r>
        <w:rPr>
          <w:rFonts w:ascii="Arial" w:hAnsi="Arial" w:cs="Arial"/>
        </w:rPr>
        <w:t>[42]</w:t>
      </w:r>
      <w:r>
        <w:rPr>
          <w:rFonts w:ascii="Arial" w:hAnsi="Arial" w:cs="Arial"/>
        </w:rPr>
        <w:tab/>
      </w:r>
      <w:r w:rsidR="00D904CE">
        <w:rPr>
          <w:rFonts w:ascii="Arial" w:hAnsi="Arial" w:cs="Arial"/>
        </w:rPr>
        <w:t>It can also not be held as contended on behalf of the Defendant, that because the Defendant denies that the Plaintiff was unaware of the provisions of the NCA, the conclusion can be drawn that the Plaintiff intentionally contravened the provisions of the NCA. Of relevance, also in this regard, is the fact that the Defendant has failed in totality to place the material facts before Court in his answering affidavit. The absence of knowledge by the Plaintiff stands as a bare denial.</w:t>
      </w:r>
    </w:p>
    <w:p w:rsidR="00D904CE" w:rsidRDefault="00D904CE" w:rsidP="005B193B">
      <w:pPr>
        <w:spacing w:line="360" w:lineRule="auto"/>
        <w:ind w:left="720" w:hanging="720"/>
        <w:jc w:val="both"/>
        <w:rPr>
          <w:rFonts w:ascii="Arial" w:hAnsi="Arial" w:cs="Arial"/>
        </w:rPr>
      </w:pPr>
    </w:p>
    <w:p w:rsidR="00D904CE" w:rsidRDefault="00D904CE" w:rsidP="005B193B">
      <w:pPr>
        <w:spacing w:line="360" w:lineRule="auto"/>
        <w:ind w:left="720" w:hanging="720"/>
        <w:jc w:val="both"/>
        <w:rPr>
          <w:rFonts w:ascii="Arial" w:hAnsi="Arial" w:cs="Arial"/>
        </w:rPr>
      </w:pPr>
      <w:r>
        <w:rPr>
          <w:rFonts w:ascii="Arial" w:hAnsi="Arial" w:cs="Arial"/>
        </w:rPr>
        <w:t>[43]</w:t>
      </w:r>
      <w:r>
        <w:rPr>
          <w:rFonts w:ascii="Arial" w:hAnsi="Arial" w:cs="Arial"/>
        </w:rPr>
        <w:tab/>
      </w:r>
      <w:r w:rsidR="005832D4">
        <w:rPr>
          <w:rFonts w:ascii="Arial" w:hAnsi="Arial" w:cs="Arial"/>
        </w:rPr>
        <w:t xml:space="preserve">Taking into consideration as referred to in </w:t>
      </w:r>
      <w:proofErr w:type="spellStart"/>
      <w:r w:rsidR="005832D4">
        <w:rPr>
          <w:rFonts w:ascii="Arial" w:hAnsi="Arial" w:cs="Arial"/>
          <w:b/>
          <w:bCs/>
        </w:rPr>
        <w:t>Fourlamel</w:t>
      </w:r>
      <w:proofErr w:type="spellEnd"/>
      <w:r w:rsidR="005832D4">
        <w:rPr>
          <w:rFonts w:ascii="Arial" w:hAnsi="Arial" w:cs="Arial"/>
          <w:b/>
          <w:bCs/>
        </w:rPr>
        <w:t xml:space="preserve"> (Pty) Ltd v Maddison</w:t>
      </w:r>
      <w:r w:rsidR="005832D4">
        <w:rPr>
          <w:rStyle w:val="FootnoteReference"/>
          <w:rFonts w:ascii="Arial" w:hAnsi="Arial" w:cs="Arial"/>
          <w:b/>
          <w:bCs/>
        </w:rPr>
        <w:footnoteReference w:id="14"/>
      </w:r>
      <w:r w:rsidR="005832D4">
        <w:rPr>
          <w:rFonts w:ascii="Arial" w:hAnsi="Arial" w:cs="Arial"/>
        </w:rPr>
        <w:t xml:space="preserve"> as well as </w:t>
      </w:r>
      <w:r w:rsidR="005832D4">
        <w:rPr>
          <w:rFonts w:ascii="Arial" w:hAnsi="Arial" w:cs="Arial"/>
          <w:b/>
          <w:bCs/>
        </w:rPr>
        <w:t xml:space="preserve">Soil Fumigation Services </w:t>
      </w:r>
      <w:proofErr w:type="spellStart"/>
      <w:r w:rsidR="005832D4">
        <w:rPr>
          <w:rFonts w:ascii="Arial" w:hAnsi="Arial" w:cs="Arial"/>
          <w:b/>
          <w:bCs/>
        </w:rPr>
        <w:t>Lowveld</w:t>
      </w:r>
      <w:proofErr w:type="spellEnd"/>
      <w:r w:rsidR="005832D4">
        <w:rPr>
          <w:rFonts w:ascii="Arial" w:hAnsi="Arial" w:cs="Arial"/>
          <w:b/>
          <w:bCs/>
        </w:rPr>
        <w:t xml:space="preserve"> CC v </w:t>
      </w:r>
      <w:proofErr w:type="spellStart"/>
      <w:r w:rsidR="005832D4">
        <w:rPr>
          <w:rFonts w:ascii="Arial" w:hAnsi="Arial" w:cs="Arial"/>
          <w:b/>
          <w:bCs/>
        </w:rPr>
        <w:t>Chemfit</w:t>
      </w:r>
      <w:proofErr w:type="spellEnd"/>
      <w:r w:rsidR="005832D4">
        <w:rPr>
          <w:rFonts w:ascii="Arial" w:hAnsi="Arial" w:cs="Arial"/>
          <w:b/>
          <w:bCs/>
        </w:rPr>
        <w:t xml:space="preserve"> Technical Products (Pty) Ltd</w:t>
      </w:r>
      <w:r w:rsidR="005832D4">
        <w:rPr>
          <w:rStyle w:val="FootnoteReference"/>
          <w:rFonts w:ascii="Arial" w:hAnsi="Arial" w:cs="Arial"/>
          <w:b/>
          <w:bCs/>
        </w:rPr>
        <w:footnoteReference w:id="15"/>
      </w:r>
      <w:r w:rsidR="005832D4">
        <w:rPr>
          <w:rFonts w:ascii="Arial" w:hAnsi="Arial" w:cs="Arial"/>
        </w:rPr>
        <w:t>, I have no doubt that the Plaintiff has an unanswerable case against Defendant based on the Defendant being unjustifiably enriched at the expense of the Plaintiff.</w:t>
      </w:r>
    </w:p>
    <w:p w:rsidR="005832D4" w:rsidRDefault="005832D4" w:rsidP="005B193B">
      <w:pPr>
        <w:spacing w:line="360" w:lineRule="auto"/>
        <w:ind w:left="720" w:hanging="720"/>
        <w:jc w:val="both"/>
        <w:rPr>
          <w:rFonts w:ascii="Arial" w:hAnsi="Arial" w:cs="Arial"/>
        </w:rPr>
      </w:pPr>
    </w:p>
    <w:p w:rsidR="005832D4" w:rsidRDefault="005832D4" w:rsidP="005B193B">
      <w:pPr>
        <w:spacing w:line="360" w:lineRule="auto"/>
        <w:ind w:left="720" w:hanging="720"/>
        <w:jc w:val="both"/>
        <w:rPr>
          <w:rFonts w:asciiTheme="majorHAnsi" w:hAnsiTheme="majorHAnsi" w:cstheme="majorHAnsi"/>
        </w:rPr>
      </w:pPr>
      <w:r>
        <w:rPr>
          <w:rFonts w:ascii="Arial" w:hAnsi="Arial" w:cs="Arial"/>
        </w:rPr>
        <w:t>[44]</w:t>
      </w:r>
      <w:r>
        <w:rPr>
          <w:rFonts w:ascii="Arial" w:hAnsi="Arial" w:cs="Arial"/>
        </w:rPr>
        <w:tab/>
        <w:t xml:space="preserve">Even if it is to be accepted that the Plaintiff was not free from turpitude, in the exercise of my discretion, I find that the relaxation of the </w:t>
      </w:r>
      <w:r>
        <w:rPr>
          <w:rFonts w:ascii="Arial" w:hAnsi="Arial" w:cs="Arial"/>
          <w:i/>
          <w:iCs/>
        </w:rPr>
        <w:t xml:space="preserve">par </w:t>
      </w:r>
      <w:proofErr w:type="spellStart"/>
      <w:r>
        <w:rPr>
          <w:rFonts w:ascii="Arial" w:hAnsi="Arial" w:cs="Arial"/>
          <w:i/>
          <w:iCs/>
        </w:rPr>
        <w:t>delictum</w:t>
      </w:r>
      <w:proofErr w:type="spellEnd"/>
      <w:r>
        <w:rPr>
          <w:rFonts w:ascii="Arial" w:hAnsi="Arial" w:cs="Arial"/>
        </w:rPr>
        <w:t xml:space="preserve"> rule</w:t>
      </w:r>
      <w:r w:rsidR="00491ED7">
        <w:rPr>
          <w:rFonts w:ascii="Arial" w:hAnsi="Arial" w:cs="Arial"/>
        </w:rPr>
        <w:t>,</w:t>
      </w:r>
      <w:r>
        <w:rPr>
          <w:rFonts w:ascii="Arial" w:hAnsi="Arial" w:cs="Arial"/>
        </w:rPr>
        <w:t xml:space="preserve"> as affirmed in the </w:t>
      </w:r>
      <w:proofErr w:type="spellStart"/>
      <w:r w:rsidR="007E0B12">
        <w:rPr>
          <w:rFonts w:asciiTheme="majorHAnsi" w:hAnsiTheme="majorHAnsi" w:cstheme="majorHAnsi"/>
          <w:b/>
          <w:bCs/>
        </w:rPr>
        <w:t>Jajbhay</w:t>
      </w:r>
      <w:proofErr w:type="spellEnd"/>
      <w:r>
        <w:rPr>
          <w:rFonts w:asciiTheme="majorHAnsi" w:hAnsiTheme="majorHAnsi" w:cstheme="majorHAnsi"/>
        </w:rPr>
        <w:t>-matter, is justified in the present matter in bringing about simple justice between man and man.</w:t>
      </w:r>
    </w:p>
    <w:p w:rsidR="005832D4" w:rsidRDefault="005832D4" w:rsidP="005B193B">
      <w:pPr>
        <w:spacing w:line="360" w:lineRule="auto"/>
        <w:ind w:left="720" w:hanging="720"/>
        <w:jc w:val="both"/>
        <w:rPr>
          <w:rFonts w:asciiTheme="majorHAnsi" w:hAnsiTheme="majorHAnsi" w:cstheme="majorHAnsi"/>
        </w:rPr>
      </w:pPr>
    </w:p>
    <w:p w:rsidR="005832D4" w:rsidRDefault="005832D4" w:rsidP="005B193B">
      <w:pPr>
        <w:spacing w:line="360" w:lineRule="auto"/>
        <w:ind w:left="720" w:hanging="720"/>
        <w:jc w:val="both"/>
        <w:rPr>
          <w:rFonts w:asciiTheme="majorHAnsi" w:hAnsiTheme="majorHAnsi" w:cstheme="majorHAnsi"/>
        </w:rPr>
      </w:pPr>
      <w:r>
        <w:rPr>
          <w:rFonts w:asciiTheme="majorHAnsi" w:hAnsiTheme="majorHAnsi" w:cstheme="majorHAnsi"/>
          <w:b/>
          <w:bCs/>
          <w:u w:val="single"/>
        </w:rPr>
        <w:t>Order</w:t>
      </w:r>
    </w:p>
    <w:p w:rsidR="005832D4" w:rsidRDefault="005832D4" w:rsidP="005B193B">
      <w:pPr>
        <w:spacing w:line="360" w:lineRule="auto"/>
        <w:ind w:left="720" w:hanging="720"/>
        <w:jc w:val="both"/>
        <w:rPr>
          <w:rFonts w:asciiTheme="majorHAnsi" w:hAnsiTheme="majorHAnsi" w:cstheme="majorHAnsi"/>
        </w:rPr>
      </w:pPr>
    </w:p>
    <w:p w:rsidR="005832D4" w:rsidRDefault="005832D4" w:rsidP="005B193B">
      <w:pPr>
        <w:spacing w:line="360" w:lineRule="auto"/>
        <w:ind w:left="720" w:hanging="720"/>
        <w:jc w:val="both"/>
        <w:rPr>
          <w:rFonts w:asciiTheme="majorHAnsi" w:hAnsiTheme="majorHAnsi" w:cstheme="majorHAnsi"/>
        </w:rPr>
      </w:pPr>
      <w:r>
        <w:rPr>
          <w:rFonts w:asciiTheme="majorHAnsi" w:hAnsiTheme="majorHAnsi" w:cstheme="majorHAnsi"/>
        </w:rPr>
        <w:t>In the result I grant summary judgment against Defendant for:</w:t>
      </w:r>
    </w:p>
    <w:p w:rsidR="005832D4" w:rsidRDefault="005832D4" w:rsidP="005B193B">
      <w:pPr>
        <w:spacing w:line="360" w:lineRule="auto"/>
        <w:ind w:left="720" w:hanging="720"/>
        <w:jc w:val="both"/>
        <w:rPr>
          <w:rFonts w:asciiTheme="majorHAnsi" w:hAnsiTheme="majorHAnsi" w:cstheme="majorHAnsi"/>
        </w:rPr>
      </w:pPr>
    </w:p>
    <w:p w:rsidR="005832D4" w:rsidRPr="00E9601D" w:rsidRDefault="00E9601D" w:rsidP="00E9601D">
      <w:pPr>
        <w:spacing w:line="360" w:lineRule="auto"/>
        <w:ind w:left="720" w:hanging="360"/>
        <w:jc w:val="both"/>
        <w:rPr>
          <w:rFonts w:ascii="Arial" w:hAnsi="Arial" w:cs="Arial"/>
        </w:rPr>
      </w:pPr>
      <w:r>
        <w:rPr>
          <w:rFonts w:asciiTheme="majorHAnsi" w:hAnsiTheme="majorHAnsi" w:cstheme="majorHAnsi"/>
        </w:rPr>
        <w:t>1.</w:t>
      </w:r>
      <w:r>
        <w:rPr>
          <w:rFonts w:asciiTheme="majorHAnsi" w:hAnsiTheme="majorHAnsi" w:cstheme="majorHAnsi"/>
        </w:rPr>
        <w:tab/>
      </w:r>
      <w:r w:rsidR="005832D4" w:rsidRPr="00E9601D">
        <w:rPr>
          <w:rFonts w:ascii="Arial" w:hAnsi="Arial" w:cs="Arial"/>
        </w:rPr>
        <w:t xml:space="preserve">Payment of the sum of </w:t>
      </w:r>
      <w:r w:rsidR="005832D4" w:rsidRPr="00E9601D">
        <w:rPr>
          <w:rFonts w:ascii="Arial" w:hAnsi="Arial" w:cs="Arial"/>
          <w:b/>
          <w:bCs/>
        </w:rPr>
        <w:t>R1,600,000.00</w:t>
      </w:r>
      <w:r w:rsidR="005832D4" w:rsidRPr="00E9601D">
        <w:rPr>
          <w:rFonts w:ascii="Arial" w:hAnsi="Arial" w:cs="Arial"/>
        </w:rPr>
        <w:t>.</w:t>
      </w:r>
    </w:p>
    <w:p w:rsidR="005832D4" w:rsidRPr="00E9601D" w:rsidRDefault="00E9601D" w:rsidP="00E9601D">
      <w:pPr>
        <w:spacing w:line="360" w:lineRule="auto"/>
        <w:ind w:left="720" w:hanging="360"/>
        <w:jc w:val="both"/>
        <w:rPr>
          <w:rFonts w:ascii="Arial" w:hAnsi="Arial" w:cs="Arial"/>
        </w:rPr>
      </w:pPr>
      <w:r>
        <w:rPr>
          <w:rFonts w:asciiTheme="majorHAnsi" w:hAnsiTheme="majorHAnsi" w:cstheme="majorHAnsi"/>
        </w:rPr>
        <w:t>2.</w:t>
      </w:r>
      <w:r>
        <w:rPr>
          <w:rFonts w:asciiTheme="majorHAnsi" w:hAnsiTheme="majorHAnsi" w:cstheme="majorHAnsi"/>
        </w:rPr>
        <w:tab/>
      </w:r>
      <w:r w:rsidR="005832D4" w:rsidRPr="00E9601D">
        <w:rPr>
          <w:rFonts w:ascii="Arial" w:hAnsi="Arial" w:cs="Arial"/>
        </w:rPr>
        <w:t xml:space="preserve">Interest </w:t>
      </w:r>
      <w:r w:rsidR="005832D4" w:rsidRPr="00E9601D">
        <w:rPr>
          <w:rFonts w:ascii="Arial" w:hAnsi="Arial" w:cs="Arial"/>
          <w:i/>
          <w:iCs/>
        </w:rPr>
        <w:t>a tempore morae</w:t>
      </w:r>
      <w:r w:rsidR="005832D4" w:rsidRPr="00E9601D">
        <w:rPr>
          <w:rFonts w:ascii="Arial" w:hAnsi="Arial" w:cs="Arial"/>
        </w:rPr>
        <w:t xml:space="preserve"> on the above amount.</w:t>
      </w:r>
    </w:p>
    <w:p w:rsidR="005832D4" w:rsidRPr="00E9601D" w:rsidRDefault="00E9601D" w:rsidP="00E9601D">
      <w:pPr>
        <w:spacing w:line="360" w:lineRule="auto"/>
        <w:ind w:left="720" w:hanging="360"/>
        <w:jc w:val="both"/>
        <w:rPr>
          <w:rFonts w:ascii="Arial" w:hAnsi="Arial" w:cs="Arial"/>
        </w:rPr>
      </w:pPr>
      <w:r>
        <w:rPr>
          <w:rFonts w:asciiTheme="majorHAnsi" w:hAnsiTheme="majorHAnsi" w:cstheme="majorHAnsi"/>
        </w:rPr>
        <w:t>3.</w:t>
      </w:r>
      <w:r>
        <w:rPr>
          <w:rFonts w:asciiTheme="majorHAnsi" w:hAnsiTheme="majorHAnsi" w:cstheme="majorHAnsi"/>
        </w:rPr>
        <w:tab/>
      </w:r>
      <w:r w:rsidR="005832D4" w:rsidRPr="00E9601D">
        <w:rPr>
          <w:rFonts w:ascii="Arial" w:hAnsi="Arial" w:cs="Arial"/>
        </w:rPr>
        <w:t>Costs of suit.</w:t>
      </w:r>
    </w:p>
    <w:p w:rsidR="005832D4" w:rsidRDefault="005832D4" w:rsidP="005832D4">
      <w:pPr>
        <w:spacing w:line="360" w:lineRule="auto"/>
        <w:jc w:val="both"/>
        <w:rPr>
          <w:rFonts w:ascii="Arial" w:hAnsi="Arial" w:cs="Arial"/>
        </w:rPr>
      </w:pPr>
    </w:p>
    <w:p w:rsidR="005832D4" w:rsidRDefault="005832D4" w:rsidP="005832D4">
      <w:pPr>
        <w:spacing w:line="360" w:lineRule="auto"/>
        <w:jc w:val="both"/>
        <w:rPr>
          <w:rFonts w:ascii="Arial" w:hAnsi="Arial" w:cs="Arial"/>
        </w:rPr>
      </w:pPr>
    </w:p>
    <w:p w:rsidR="005832D4" w:rsidRDefault="005832D4" w:rsidP="005832D4">
      <w:pPr>
        <w:spacing w:line="360" w:lineRule="auto"/>
        <w:jc w:val="right"/>
        <w:rPr>
          <w:rFonts w:ascii="Arial" w:hAnsi="Arial" w:cs="Arial"/>
        </w:rPr>
      </w:pPr>
      <w:r>
        <w:rPr>
          <w:rFonts w:ascii="Arial" w:hAnsi="Arial" w:cs="Arial"/>
        </w:rPr>
        <w:t>__________________</w:t>
      </w:r>
    </w:p>
    <w:p w:rsidR="005832D4" w:rsidRDefault="005832D4" w:rsidP="005832D4">
      <w:pPr>
        <w:spacing w:line="360" w:lineRule="auto"/>
        <w:jc w:val="right"/>
        <w:rPr>
          <w:rFonts w:ascii="Arial" w:hAnsi="Arial" w:cs="Arial"/>
          <w:b/>
          <w:bCs/>
        </w:rPr>
      </w:pPr>
      <w:r>
        <w:rPr>
          <w:rFonts w:ascii="Arial" w:hAnsi="Arial" w:cs="Arial"/>
          <w:b/>
          <w:bCs/>
        </w:rPr>
        <w:t>HEFER AJ</w:t>
      </w:r>
    </w:p>
    <w:p w:rsidR="00491ED7" w:rsidRDefault="00491ED7" w:rsidP="005832D4">
      <w:pPr>
        <w:spacing w:line="360" w:lineRule="auto"/>
        <w:jc w:val="right"/>
        <w:rPr>
          <w:rFonts w:ascii="Arial" w:hAnsi="Arial" w:cs="Arial"/>
          <w:b/>
          <w:bCs/>
        </w:rPr>
      </w:pPr>
    </w:p>
    <w:p w:rsidR="00491ED7" w:rsidRPr="005832D4" w:rsidRDefault="00491ED7" w:rsidP="005832D4">
      <w:pPr>
        <w:spacing w:line="360" w:lineRule="auto"/>
        <w:jc w:val="right"/>
        <w:rPr>
          <w:rFonts w:ascii="Arial" w:hAnsi="Arial" w:cs="Arial"/>
          <w:b/>
          <w:bCs/>
        </w:rPr>
      </w:pPr>
    </w:p>
    <w:p w:rsidR="00BE63E4" w:rsidRDefault="00BE63E4" w:rsidP="005832D4">
      <w:pPr>
        <w:spacing w:line="360" w:lineRule="auto"/>
        <w:jc w:val="both"/>
        <w:rPr>
          <w:rFonts w:ascii="Arial" w:hAnsi="Arial" w:cs="Arial"/>
          <w:sz w:val="20"/>
          <w:szCs w:val="20"/>
        </w:rPr>
      </w:pPr>
    </w:p>
    <w:p w:rsidR="00491ED7" w:rsidRDefault="00491ED7" w:rsidP="005832D4">
      <w:pPr>
        <w:spacing w:line="360" w:lineRule="auto"/>
        <w:jc w:val="both"/>
        <w:rPr>
          <w:rFonts w:ascii="Arial" w:hAnsi="Arial" w:cs="Arial"/>
        </w:rPr>
      </w:pPr>
    </w:p>
    <w:p w:rsidR="005832D4" w:rsidRDefault="005832D4" w:rsidP="005832D4">
      <w:pPr>
        <w:spacing w:line="360" w:lineRule="auto"/>
        <w:jc w:val="both"/>
        <w:rPr>
          <w:rFonts w:ascii="Arial" w:hAnsi="Arial" w:cs="Arial"/>
        </w:rPr>
      </w:pPr>
      <w:r>
        <w:rPr>
          <w:rFonts w:ascii="Arial" w:hAnsi="Arial" w:cs="Arial"/>
        </w:rPr>
        <w:t>Appearances on behalf of the Plaintiff:</w:t>
      </w:r>
      <w:r>
        <w:rPr>
          <w:rFonts w:ascii="Arial" w:hAnsi="Arial" w:cs="Arial"/>
        </w:rPr>
        <w:tab/>
      </w:r>
      <w:r>
        <w:rPr>
          <w:rFonts w:ascii="Arial" w:hAnsi="Arial" w:cs="Arial"/>
        </w:rPr>
        <w:tab/>
      </w:r>
      <w:proofErr w:type="spellStart"/>
      <w:r>
        <w:rPr>
          <w:rFonts w:ascii="Arial" w:hAnsi="Arial" w:cs="Arial"/>
        </w:rPr>
        <w:t>Adv</w:t>
      </w:r>
      <w:proofErr w:type="spellEnd"/>
      <w:r>
        <w:rPr>
          <w:rFonts w:ascii="Arial" w:hAnsi="Arial" w:cs="Arial"/>
        </w:rPr>
        <w:t xml:space="preserve"> K Naidoo</w:t>
      </w:r>
    </w:p>
    <w:p w:rsidR="005832D4" w:rsidRDefault="005832D4" w:rsidP="005832D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Instructed by:</w:t>
      </w:r>
      <w:r>
        <w:rPr>
          <w:rFonts w:ascii="Arial" w:hAnsi="Arial" w:cs="Arial"/>
        </w:rPr>
        <w:tab/>
      </w:r>
      <w:r>
        <w:rPr>
          <w:rFonts w:ascii="Arial" w:hAnsi="Arial" w:cs="Arial"/>
        </w:rPr>
        <w:tab/>
      </w:r>
      <w:proofErr w:type="spellStart"/>
      <w:r>
        <w:rPr>
          <w:rFonts w:ascii="Arial" w:hAnsi="Arial" w:cs="Arial"/>
        </w:rPr>
        <w:t>Lovius</w:t>
      </w:r>
      <w:proofErr w:type="spellEnd"/>
      <w:r>
        <w:rPr>
          <w:rFonts w:ascii="Arial" w:hAnsi="Arial" w:cs="Arial"/>
        </w:rPr>
        <w:t xml:space="preserve"> Block Attorneys</w:t>
      </w:r>
    </w:p>
    <w:p w:rsidR="005832D4" w:rsidRDefault="005832D4" w:rsidP="005832D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Bloemfontein</w:t>
      </w:r>
    </w:p>
    <w:p w:rsidR="005832D4" w:rsidRDefault="005832D4" w:rsidP="005832D4">
      <w:pPr>
        <w:spacing w:line="360" w:lineRule="auto"/>
        <w:jc w:val="both"/>
        <w:rPr>
          <w:rFonts w:ascii="Arial" w:hAnsi="Arial" w:cs="Arial"/>
        </w:rPr>
      </w:pPr>
    </w:p>
    <w:p w:rsidR="005832D4" w:rsidRDefault="005832D4" w:rsidP="005832D4">
      <w:pPr>
        <w:spacing w:line="360" w:lineRule="auto"/>
        <w:jc w:val="both"/>
        <w:rPr>
          <w:rFonts w:ascii="Arial" w:hAnsi="Arial" w:cs="Arial"/>
        </w:rPr>
      </w:pPr>
      <w:r>
        <w:rPr>
          <w:rFonts w:ascii="Arial" w:hAnsi="Arial" w:cs="Arial"/>
        </w:rPr>
        <w:t>On behalf of Defendant:</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Adv</w:t>
      </w:r>
      <w:proofErr w:type="spellEnd"/>
      <w:r>
        <w:rPr>
          <w:rFonts w:ascii="Arial" w:hAnsi="Arial" w:cs="Arial"/>
        </w:rPr>
        <w:t xml:space="preserve"> N </w:t>
      </w:r>
      <w:proofErr w:type="spellStart"/>
      <w:r>
        <w:rPr>
          <w:rFonts w:ascii="Arial" w:hAnsi="Arial" w:cs="Arial"/>
        </w:rPr>
        <w:t>Snellenburg</w:t>
      </w:r>
      <w:proofErr w:type="spellEnd"/>
      <w:r>
        <w:rPr>
          <w:rFonts w:ascii="Arial" w:hAnsi="Arial" w:cs="Arial"/>
        </w:rPr>
        <w:t xml:space="preserve"> SC</w:t>
      </w:r>
    </w:p>
    <w:p w:rsidR="005832D4" w:rsidRDefault="005832D4" w:rsidP="005832D4">
      <w:pPr>
        <w:spacing w:line="360" w:lineRule="auto"/>
        <w:jc w:val="both"/>
        <w:rPr>
          <w:rFonts w:ascii="Arial" w:hAnsi="Arial" w:cs="Arial"/>
        </w:rPr>
      </w:pPr>
      <w:r>
        <w:rPr>
          <w:rFonts w:ascii="Arial" w:hAnsi="Arial" w:cs="Arial"/>
        </w:rPr>
        <w:tab/>
      </w:r>
      <w:r>
        <w:rPr>
          <w:rFonts w:ascii="Arial" w:hAnsi="Arial" w:cs="Arial"/>
        </w:rPr>
        <w:tab/>
        <w:t>Instructed by:</w:t>
      </w:r>
      <w:r>
        <w:rPr>
          <w:rFonts w:ascii="Arial" w:hAnsi="Arial" w:cs="Arial"/>
        </w:rPr>
        <w:tab/>
      </w:r>
      <w:r>
        <w:rPr>
          <w:rFonts w:ascii="Arial" w:hAnsi="Arial" w:cs="Arial"/>
        </w:rPr>
        <w:tab/>
      </w:r>
      <w:r>
        <w:rPr>
          <w:rFonts w:ascii="Arial" w:hAnsi="Arial" w:cs="Arial"/>
        </w:rPr>
        <w:tab/>
      </w:r>
      <w:proofErr w:type="spellStart"/>
      <w:r>
        <w:rPr>
          <w:rFonts w:ascii="Arial" w:hAnsi="Arial" w:cs="Arial"/>
        </w:rPr>
        <w:t>Podbielski</w:t>
      </w:r>
      <w:proofErr w:type="spellEnd"/>
      <w:r>
        <w:rPr>
          <w:rFonts w:ascii="Arial" w:hAnsi="Arial" w:cs="Arial"/>
        </w:rPr>
        <w:t xml:space="preserve"> Incorporated</w:t>
      </w:r>
    </w:p>
    <w:p w:rsidR="005832D4" w:rsidRDefault="005832D4" w:rsidP="005832D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 Honey Attorneys</w:t>
      </w:r>
    </w:p>
    <w:p w:rsidR="005832D4" w:rsidRPr="005832D4" w:rsidRDefault="005832D4" w:rsidP="005832D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Bloemfontein</w:t>
      </w:r>
    </w:p>
    <w:p w:rsidR="00BE63E4" w:rsidRDefault="00BE63E4" w:rsidP="001474E4">
      <w:pPr>
        <w:spacing w:line="360" w:lineRule="auto"/>
        <w:jc w:val="both"/>
        <w:rPr>
          <w:rFonts w:ascii="Arial" w:hAnsi="Arial" w:cs="Arial"/>
          <w:sz w:val="20"/>
          <w:szCs w:val="20"/>
        </w:rPr>
      </w:pPr>
    </w:p>
    <w:sectPr w:rsidR="00BE63E4" w:rsidSect="007875AB">
      <w:headerReference w:type="default" r:id="rId9"/>
      <w:headerReference w:type="first" r:id="rId10"/>
      <w:pgSz w:w="11907" w:h="16840" w:code="9"/>
      <w:pgMar w:top="1134" w:right="1440" w:bottom="113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2E" w:rsidRDefault="0004452E" w:rsidP="00F404A4">
      <w:r>
        <w:separator/>
      </w:r>
    </w:p>
  </w:endnote>
  <w:endnote w:type="continuationSeparator" w:id="0">
    <w:p w:rsidR="0004452E" w:rsidRDefault="0004452E"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2E" w:rsidRDefault="0004452E" w:rsidP="00F404A4">
      <w:r>
        <w:separator/>
      </w:r>
    </w:p>
  </w:footnote>
  <w:footnote w:type="continuationSeparator" w:id="0">
    <w:p w:rsidR="0004452E" w:rsidRDefault="0004452E" w:rsidP="00F404A4">
      <w:r>
        <w:continuationSeparator/>
      </w:r>
    </w:p>
  </w:footnote>
  <w:footnote w:id="1">
    <w:p w:rsidR="00611C0C" w:rsidRDefault="00611C0C">
      <w:pPr>
        <w:pStyle w:val="FootnoteText"/>
      </w:pPr>
      <w:r>
        <w:rPr>
          <w:rStyle w:val="FootnoteReference"/>
        </w:rPr>
        <w:footnoteRef/>
      </w:r>
      <w:r>
        <w:t xml:space="preserve"> </w:t>
      </w:r>
      <w:proofErr w:type="spellStart"/>
      <w:r w:rsidR="007E0B12">
        <w:t>Jajbhay</w:t>
      </w:r>
      <w:proofErr w:type="spellEnd"/>
      <w:r>
        <w:t xml:space="preserve"> v </w:t>
      </w:r>
      <w:proofErr w:type="spellStart"/>
      <w:r>
        <w:t>Cassim</w:t>
      </w:r>
      <w:proofErr w:type="spellEnd"/>
      <w:r>
        <w:t xml:space="preserve"> 1939 AD 537 at 543.</w:t>
      </w:r>
    </w:p>
  </w:footnote>
  <w:footnote w:id="2">
    <w:p w:rsidR="00A73832" w:rsidRPr="00A73832" w:rsidRDefault="00A73832">
      <w:pPr>
        <w:pStyle w:val="FootnoteText"/>
      </w:pPr>
      <w:r>
        <w:rPr>
          <w:rStyle w:val="FootnoteReference"/>
        </w:rPr>
        <w:footnoteRef/>
      </w:r>
      <w:r>
        <w:t xml:space="preserve"> </w:t>
      </w:r>
      <w:r>
        <w:rPr>
          <w:i/>
          <w:iCs/>
        </w:rPr>
        <w:t>supra</w:t>
      </w:r>
      <w:r>
        <w:t xml:space="preserve"> p. 544.</w:t>
      </w:r>
    </w:p>
  </w:footnote>
  <w:footnote w:id="3">
    <w:p w:rsidR="005B193B" w:rsidRDefault="005B193B">
      <w:pPr>
        <w:pStyle w:val="FootnoteText"/>
      </w:pPr>
      <w:r>
        <w:rPr>
          <w:rStyle w:val="FootnoteReference"/>
        </w:rPr>
        <w:footnoteRef/>
      </w:r>
      <w:r>
        <w:t xml:space="preserve"> p. 544.</w:t>
      </w:r>
    </w:p>
  </w:footnote>
  <w:footnote w:id="4">
    <w:p w:rsidR="005B193B" w:rsidRDefault="005B193B">
      <w:pPr>
        <w:pStyle w:val="FootnoteText"/>
      </w:pPr>
      <w:r>
        <w:rPr>
          <w:rStyle w:val="FootnoteReference"/>
        </w:rPr>
        <w:footnoteRef/>
      </w:r>
      <w:r>
        <w:t xml:space="preserve"> p. 545.</w:t>
      </w:r>
    </w:p>
  </w:footnote>
  <w:footnote w:id="5">
    <w:p w:rsidR="001A2F3A" w:rsidRDefault="001A2F3A">
      <w:pPr>
        <w:pStyle w:val="FootnoteText"/>
      </w:pPr>
      <w:r>
        <w:rPr>
          <w:rStyle w:val="FootnoteReference"/>
        </w:rPr>
        <w:footnoteRef/>
      </w:r>
      <w:r>
        <w:t xml:space="preserve"> 2013 (2) SA 1 (CC)</w:t>
      </w:r>
    </w:p>
  </w:footnote>
  <w:footnote w:id="6">
    <w:p w:rsidR="0086146D" w:rsidRDefault="0086146D">
      <w:pPr>
        <w:pStyle w:val="FootnoteText"/>
      </w:pPr>
      <w:r>
        <w:rPr>
          <w:rStyle w:val="FootnoteReference"/>
        </w:rPr>
        <w:footnoteRef/>
      </w:r>
      <w:r>
        <w:t xml:space="preserve"> </w:t>
      </w:r>
      <w:proofErr w:type="spellStart"/>
      <w:r>
        <w:t>Albertyn</w:t>
      </w:r>
      <w:proofErr w:type="spellEnd"/>
      <w:r>
        <w:t xml:space="preserve"> v </w:t>
      </w:r>
      <w:proofErr w:type="spellStart"/>
      <w:r>
        <w:t>Kumalo</w:t>
      </w:r>
      <w:proofErr w:type="spellEnd"/>
      <w:r>
        <w:t xml:space="preserve"> 1946 (WLD) 529 at 535.</w:t>
      </w:r>
    </w:p>
  </w:footnote>
  <w:footnote w:id="7">
    <w:p w:rsidR="0086146D" w:rsidRDefault="0086146D">
      <w:pPr>
        <w:pStyle w:val="FootnoteText"/>
      </w:pPr>
      <w:r>
        <w:rPr>
          <w:rStyle w:val="FootnoteReference"/>
        </w:rPr>
        <w:footnoteRef/>
      </w:r>
      <w:r>
        <w:t xml:space="preserve"> 1997 (3) All SA 308 (B).</w:t>
      </w:r>
    </w:p>
  </w:footnote>
  <w:footnote w:id="8">
    <w:p w:rsidR="00CD0122" w:rsidRDefault="00CD0122">
      <w:pPr>
        <w:pStyle w:val="FootnoteText"/>
      </w:pPr>
      <w:r>
        <w:rPr>
          <w:rStyle w:val="FootnoteReference"/>
        </w:rPr>
        <w:footnoteRef/>
      </w:r>
      <w:r>
        <w:t xml:space="preserve"> 1965 (2) SA 912 (NPD) at 916</w:t>
      </w:r>
    </w:p>
  </w:footnote>
  <w:footnote w:id="9">
    <w:p w:rsidR="00513307" w:rsidRDefault="00513307">
      <w:pPr>
        <w:pStyle w:val="FootnoteText"/>
      </w:pPr>
      <w:r>
        <w:rPr>
          <w:rStyle w:val="FootnoteReference"/>
        </w:rPr>
        <w:footnoteRef/>
      </w:r>
      <w:r>
        <w:t xml:space="preserve"> 2020 (6) SA 624 (WCC)</w:t>
      </w:r>
    </w:p>
  </w:footnote>
  <w:footnote w:id="10">
    <w:p w:rsidR="00990862" w:rsidRDefault="00990862">
      <w:pPr>
        <w:pStyle w:val="FootnoteText"/>
      </w:pPr>
      <w:r>
        <w:rPr>
          <w:rStyle w:val="FootnoteReference"/>
        </w:rPr>
        <w:footnoteRef/>
      </w:r>
      <w:r>
        <w:t xml:space="preserve"> p. 632, par. [13].</w:t>
      </w:r>
    </w:p>
  </w:footnote>
  <w:footnote w:id="11">
    <w:p w:rsidR="00C11220" w:rsidRDefault="00C11220">
      <w:pPr>
        <w:pStyle w:val="FootnoteText"/>
      </w:pPr>
      <w:r>
        <w:rPr>
          <w:rStyle w:val="FootnoteReference"/>
        </w:rPr>
        <w:footnoteRef/>
      </w:r>
      <w:r>
        <w:t xml:space="preserve"> p. 635, par. [25].</w:t>
      </w:r>
    </w:p>
  </w:footnote>
  <w:footnote w:id="12">
    <w:p w:rsidR="00061AEF" w:rsidRDefault="00061AEF">
      <w:pPr>
        <w:pStyle w:val="FootnoteText"/>
      </w:pPr>
      <w:r>
        <w:rPr>
          <w:rStyle w:val="FootnoteReference"/>
        </w:rPr>
        <w:footnoteRef/>
      </w:r>
      <w:r>
        <w:t xml:space="preserve"> 2009 (1) All SA 1 (SCA)</w:t>
      </w:r>
    </w:p>
  </w:footnote>
  <w:footnote w:id="13">
    <w:p w:rsidR="00D00356" w:rsidRDefault="00D00356">
      <w:pPr>
        <w:pStyle w:val="FootnoteText"/>
      </w:pPr>
      <w:r>
        <w:rPr>
          <w:rStyle w:val="FootnoteReference"/>
        </w:rPr>
        <w:footnoteRef/>
      </w:r>
      <w:r>
        <w:t xml:space="preserve"> 2023 (3) SA 555 (WCC)</w:t>
      </w:r>
    </w:p>
  </w:footnote>
  <w:footnote w:id="14">
    <w:p w:rsidR="005832D4" w:rsidRDefault="005832D4">
      <w:pPr>
        <w:pStyle w:val="FootnoteText"/>
      </w:pPr>
      <w:r>
        <w:rPr>
          <w:rStyle w:val="FootnoteReference"/>
        </w:rPr>
        <w:footnoteRef/>
      </w:r>
      <w:r>
        <w:t xml:space="preserve"> 1977 (1) SA 333 (A)</w:t>
      </w:r>
    </w:p>
  </w:footnote>
  <w:footnote w:id="15">
    <w:p w:rsidR="005832D4" w:rsidRDefault="005832D4">
      <w:pPr>
        <w:pStyle w:val="FootnoteText"/>
      </w:pPr>
      <w:r>
        <w:rPr>
          <w:rStyle w:val="FootnoteReference"/>
        </w:rPr>
        <w:footnoteRef/>
      </w:r>
      <w:r>
        <w:t xml:space="preserve"> 2004 (6) SA 29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8851"/>
      <w:docPartObj>
        <w:docPartGallery w:val="Page Numbers (Top of Page)"/>
        <w:docPartUnique/>
      </w:docPartObj>
    </w:sdtPr>
    <w:sdtEndPr>
      <w:rPr>
        <w:rFonts w:asciiTheme="majorHAnsi" w:hAnsiTheme="majorHAnsi" w:cstheme="majorHAnsi"/>
        <w:noProof/>
        <w:sz w:val="20"/>
        <w:szCs w:val="20"/>
      </w:rPr>
    </w:sdtEndPr>
    <w:sdtContent>
      <w:p w:rsidR="007F74D5" w:rsidRPr="007F74D5" w:rsidRDefault="00B82B14">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007F74D5"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E9601D">
          <w:rPr>
            <w:rFonts w:asciiTheme="majorHAnsi" w:hAnsiTheme="majorHAnsi" w:cstheme="majorHAnsi"/>
            <w:noProof/>
            <w:sz w:val="20"/>
            <w:szCs w:val="20"/>
          </w:rPr>
          <w:t>11</w:t>
        </w:r>
        <w:r w:rsidRPr="007F74D5">
          <w:rPr>
            <w:rFonts w:asciiTheme="majorHAnsi" w:hAnsiTheme="majorHAnsi" w:cstheme="majorHAnsi"/>
            <w:noProof/>
            <w:sz w:val="20"/>
            <w:szCs w:val="20"/>
          </w:rPr>
          <w:fldChar w:fldCharType="end"/>
        </w:r>
      </w:p>
    </w:sdtContent>
  </w:sdt>
  <w:p w:rsidR="00B83499" w:rsidRDefault="00B83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15:restartNumberingAfterBreak="0">
    <w:nsid w:val="13F000F3"/>
    <w:multiLevelType w:val="hybridMultilevel"/>
    <w:tmpl w:val="2646C32E"/>
    <w:lvl w:ilvl="0" w:tplc="C04EFB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3"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C3A2D06"/>
    <w:multiLevelType w:val="hybridMultilevel"/>
    <w:tmpl w:val="BD9CB300"/>
    <w:lvl w:ilvl="0" w:tplc="289088E2">
      <w:start w:val="1"/>
      <w:numFmt w:val="decimal"/>
      <w:lvlText w:val="%1."/>
      <w:lvlJc w:val="left"/>
      <w:pPr>
        <w:ind w:left="720" w:hanging="360"/>
      </w:pPr>
      <w:rPr>
        <w:rFonts w:asciiTheme="majorHAnsi" w:hAnsiTheme="majorHAnsi" w:cstheme="maj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8"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5F50F3E"/>
    <w:multiLevelType w:val="hybridMultilevel"/>
    <w:tmpl w:val="FEDCC1D4"/>
    <w:lvl w:ilvl="0" w:tplc="ADAAEDA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6"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9"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1"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4"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7"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4"/>
  </w:num>
  <w:num w:numId="2">
    <w:abstractNumId w:val="7"/>
  </w:num>
  <w:num w:numId="3">
    <w:abstractNumId w:val="35"/>
  </w:num>
  <w:num w:numId="4">
    <w:abstractNumId w:val="13"/>
  </w:num>
  <w:num w:numId="5">
    <w:abstractNumId w:val="23"/>
  </w:num>
  <w:num w:numId="6">
    <w:abstractNumId w:val="36"/>
  </w:num>
  <w:num w:numId="7">
    <w:abstractNumId w:val="29"/>
  </w:num>
  <w:num w:numId="8">
    <w:abstractNumId w:val="19"/>
  </w:num>
  <w:num w:numId="9">
    <w:abstractNumId w:val="1"/>
  </w:num>
  <w:num w:numId="10">
    <w:abstractNumId w:val="21"/>
  </w:num>
  <w:num w:numId="11">
    <w:abstractNumId w:val="24"/>
  </w:num>
  <w:num w:numId="12">
    <w:abstractNumId w:val="37"/>
  </w:num>
  <w:num w:numId="13">
    <w:abstractNumId w:val="26"/>
  </w:num>
  <w:num w:numId="14">
    <w:abstractNumId w:val="14"/>
  </w:num>
  <w:num w:numId="15">
    <w:abstractNumId w:val="3"/>
  </w:num>
  <w:num w:numId="16">
    <w:abstractNumId w:val="9"/>
  </w:num>
  <w:num w:numId="17">
    <w:abstractNumId w:val="12"/>
  </w:num>
  <w:num w:numId="18">
    <w:abstractNumId w:val="18"/>
  </w:num>
  <w:num w:numId="19">
    <w:abstractNumId w:val="30"/>
  </w:num>
  <w:num w:numId="20">
    <w:abstractNumId w:val="5"/>
  </w:num>
  <w:num w:numId="21">
    <w:abstractNumId w:val="25"/>
  </w:num>
  <w:num w:numId="22">
    <w:abstractNumId w:val="4"/>
  </w:num>
  <w:num w:numId="23">
    <w:abstractNumId w:val="31"/>
  </w:num>
  <w:num w:numId="24">
    <w:abstractNumId w:val="32"/>
  </w:num>
  <w:num w:numId="25">
    <w:abstractNumId w:val="17"/>
  </w:num>
  <w:num w:numId="26">
    <w:abstractNumId w:val="16"/>
  </w:num>
  <w:num w:numId="27">
    <w:abstractNumId w:val="0"/>
  </w:num>
  <w:num w:numId="28">
    <w:abstractNumId w:val="27"/>
  </w:num>
  <w:num w:numId="29">
    <w:abstractNumId w:val="10"/>
  </w:num>
  <w:num w:numId="30">
    <w:abstractNumId w:val="20"/>
  </w:num>
  <w:num w:numId="31">
    <w:abstractNumId w:val="11"/>
  </w:num>
  <w:num w:numId="32">
    <w:abstractNumId w:val="8"/>
  </w:num>
  <w:num w:numId="33">
    <w:abstractNumId w:val="2"/>
  </w:num>
  <w:num w:numId="34">
    <w:abstractNumId w:val="28"/>
  </w:num>
  <w:num w:numId="35">
    <w:abstractNumId w:val="33"/>
  </w:num>
  <w:num w:numId="36">
    <w:abstractNumId w:val="22"/>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6235"/>
    <w:rsid w:val="00017A7A"/>
    <w:rsid w:val="00020179"/>
    <w:rsid w:val="000236F0"/>
    <w:rsid w:val="00023A2D"/>
    <w:rsid w:val="00025645"/>
    <w:rsid w:val="00025A35"/>
    <w:rsid w:val="00025B02"/>
    <w:rsid w:val="000308B2"/>
    <w:rsid w:val="00030CAE"/>
    <w:rsid w:val="00031136"/>
    <w:rsid w:val="00035926"/>
    <w:rsid w:val="00036CCF"/>
    <w:rsid w:val="00040D44"/>
    <w:rsid w:val="00041E66"/>
    <w:rsid w:val="0004452E"/>
    <w:rsid w:val="00046B92"/>
    <w:rsid w:val="00047818"/>
    <w:rsid w:val="00047D25"/>
    <w:rsid w:val="0005094D"/>
    <w:rsid w:val="0005118C"/>
    <w:rsid w:val="00052B4B"/>
    <w:rsid w:val="000542D2"/>
    <w:rsid w:val="000560C5"/>
    <w:rsid w:val="00057FB8"/>
    <w:rsid w:val="00061AEF"/>
    <w:rsid w:val="00061B16"/>
    <w:rsid w:val="00062F6E"/>
    <w:rsid w:val="00064CEB"/>
    <w:rsid w:val="00064EE2"/>
    <w:rsid w:val="00066189"/>
    <w:rsid w:val="00066208"/>
    <w:rsid w:val="00066D9E"/>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7211"/>
    <w:rsid w:val="000C3559"/>
    <w:rsid w:val="000C3ADE"/>
    <w:rsid w:val="000C4AAB"/>
    <w:rsid w:val="000C6B6B"/>
    <w:rsid w:val="000C6CBE"/>
    <w:rsid w:val="000D04A8"/>
    <w:rsid w:val="000D0A3F"/>
    <w:rsid w:val="000D7E35"/>
    <w:rsid w:val="000E1CD6"/>
    <w:rsid w:val="000E27A8"/>
    <w:rsid w:val="000E5700"/>
    <w:rsid w:val="000F02C3"/>
    <w:rsid w:val="000F0D81"/>
    <w:rsid w:val="000F1952"/>
    <w:rsid w:val="000F5F92"/>
    <w:rsid w:val="000F73DC"/>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776B"/>
    <w:rsid w:val="001378E8"/>
    <w:rsid w:val="00137D2D"/>
    <w:rsid w:val="00143DF7"/>
    <w:rsid w:val="00145CB3"/>
    <w:rsid w:val="001474E4"/>
    <w:rsid w:val="00151428"/>
    <w:rsid w:val="001522EA"/>
    <w:rsid w:val="001608B2"/>
    <w:rsid w:val="00161483"/>
    <w:rsid w:val="00161E31"/>
    <w:rsid w:val="00162C9A"/>
    <w:rsid w:val="00165EA1"/>
    <w:rsid w:val="0017008D"/>
    <w:rsid w:val="00170AD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2F3A"/>
    <w:rsid w:val="001A318B"/>
    <w:rsid w:val="001A31B1"/>
    <w:rsid w:val="001A3417"/>
    <w:rsid w:val="001A3DC3"/>
    <w:rsid w:val="001A4397"/>
    <w:rsid w:val="001A5B4A"/>
    <w:rsid w:val="001A63D4"/>
    <w:rsid w:val="001A6412"/>
    <w:rsid w:val="001A70E8"/>
    <w:rsid w:val="001B0C0C"/>
    <w:rsid w:val="001B1108"/>
    <w:rsid w:val="001B323F"/>
    <w:rsid w:val="001B58CC"/>
    <w:rsid w:val="001B6282"/>
    <w:rsid w:val="001B72D4"/>
    <w:rsid w:val="001C0B3C"/>
    <w:rsid w:val="001C2ECD"/>
    <w:rsid w:val="001C421A"/>
    <w:rsid w:val="001C7D27"/>
    <w:rsid w:val="001D05AC"/>
    <w:rsid w:val="001D24A8"/>
    <w:rsid w:val="001D6381"/>
    <w:rsid w:val="001E421C"/>
    <w:rsid w:val="001E4E2C"/>
    <w:rsid w:val="001E53D5"/>
    <w:rsid w:val="001E548E"/>
    <w:rsid w:val="001E615D"/>
    <w:rsid w:val="001F3E80"/>
    <w:rsid w:val="001F5EA0"/>
    <w:rsid w:val="001F62C4"/>
    <w:rsid w:val="001F6F85"/>
    <w:rsid w:val="00204507"/>
    <w:rsid w:val="00204DD8"/>
    <w:rsid w:val="00206695"/>
    <w:rsid w:val="00211B3E"/>
    <w:rsid w:val="00212E9C"/>
    <w:rsid w:val="00213AE3"/>
    <w:rsid w:val="00215DC6"/>
    <w:rsid w:val="0021755D"/>
    <w:rsid w:val="00221B1E"/>
    <w:rsid w:val="00223066"/>
    <w:rsid w:val="002234F9"/>
    <w:rsid w:val="00224456"/>
    <w:rsid w:val="0022731D"/>
    <w:rsid w:val="00231388"/>
    <w:rsid w:val="0023218D"/>
    <w:rsid w:val="00232C26"/>
    <w:rsid w:val="00247337"/>
    <w:rsid w:val="002521AE"/>
    <w:rsid w:val="002541D4"/>
    <w:rsid w:val="00256562"/>
    <w:rsid w:val="0025669D"/>
    <w:rsid w:val="00257826"/>
    <w:rsid w:val="00257E2A"/>
    <w:rsid w:val="0026128E"/>
    <w:rsid w:val="00262034"/>
    <w:rsid w:val="0026527F"/>
    <w:rsid w:val="0026647F"/>
    <w:rsid w:val="00267271"/>
    <w:rsid w:val="0027044A"/>
    <w:rsid w:val="0027076F"/>
    <w:rsid w:val="002720E8"/>
    <w:rsid w:val="002775D4"/>
    <w:rsid w:val="00282D5B"/>
    <w:rsid w:val="00283FC8"/>
    <w:rsid w:val="00285613"/>
    <w:rsid w:val="0029061C"/>
    <w:rsid w:val="002A018D"/>
    <w:rsid w:val="002A0A20"/>
    <w:rsid w:val="002A2120"/>
    <w:rsid w:val="002A321C"/>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D06A4"/>
    <w:rsid w:val="002D273F"/>
    <w:rsid w:val="002D3EF2"/>
    <w:rsid w:val="002D4FC6"/>
    <w:rsid w:val="002D7106"/>
    <w:rsid w:val="002E1854"/>
    <w:rsid w:val="002E22A9"/>
    <w:rsid w:val="002E32CD"/>
    <w:rsid w:val="002F173C"/>
    <w:rsid w:val="002F3BE0"/>
    <w:rsid w:val="002F4423"/>
    <w:rsid w:val="002F4629"/>
    <w:rsid w:val="002F54C5"/>
    <w:rsid w:val="003001FD"/>
    <w:rsid w:val="003004DF"/>
    <w:rsid w:val="0030254F"/>
    <w:rsid w:val="0030683C"/>
    <w:rsid w:val="00306913"/>
    <w:rsid w:val="00307F51"/>
    <w:rsid w:val="003119D2"/>
    <w:rsid w:val="00311E48"/>
    <w:rsid w:val="00317977"/>
    <w:rsid w:val="003179AA"/>
    <w:rsid w:val="0032172A"/>
    <w:rsid w:val="0032217A"/>
    <w:rsid w:val="00322847"/>
    <w:rsid w:val="00323633"/>
    <w:rsid w:val="00324F1A"/>
    <w:rsid w:val="0033032C"/>
    <w:rsid w:val="00333ACC"/>
    <w:rsid w:val="00336A67"/>
    <w:rsid w:val="00340FF0"/>
    <w:rsid w:val="003412FB"/>
    <w:rsid w:val="00345291"/>
    <w:rsid w:val="0035018F"/>
    <w:rsid w:val="0035252B"/>
    <w:rsid w:val="00352767"/>
    <w:rsid w:val="0035280D"/>
    <w:rsid w:val="00352DB2"/>
    <w:rsid w:val="00353DEA"/>
    <w:rsid w:val="0035471C"/>
    <w:rsid w:val="00356313"/>
    <w:rsid w:val="00356BD9"/>
    <w:rsid w:val="00356DFD"/>
    <w:rsid w:val="003611E1"/>
    <w:rsid w:val="00363601"/>
    <w:rsid w:val="00370118"/>
    <w:rsid w:val="0037149E"/>
    <w:rsid w:val="003759D4"/>
    <w:rsid w:val="003767C2"/>
    <w:rsid w:val="0037712C"/>
    <w:rsid w:val="003833EB"/>
    <w:rsid w:val="00386D44"/>
    <w:rsid w:val="00387A55"/>
    <w:rsid w:val="003904D3"/>
    <w:rsid w:val="003932B5"/>
    <w:rsid w:val="0039357D"/>
    <w:rsid w:val="00393F3D"/>
    <w:rsid w:val="00397270"/>
    <w:rsid w:val="003A0F34"/>
    <w:rsid w:val="003A206F"/>
    <w:rsid w:val="003A2BF8"/>
    <w:rsid w:val="003B0DCA"/>
    <w:rsid w:val="003B22BF"/>
    <w:rsid w:val="003C5761"/>
    <w:rsid w:val="003C769F"/>
    <w:rsid w:val="003C7A2E"/>
    <w:rsid w:val="003D12DC"/>
    <w:rsid w:val="003D3B8E"/>
    <w:rsid w:val="003D51B5"/>
    <w:rsid w:val="003D59F3"/>
    <w:rsid w:val="003E261A"/>
    <w:rsid w:val="003E317D"/>
    <w:rsid w:val="003E35B6"/>
    <w:rsid w:val="003E362A"/>
    <w:rsid w:val="003E3E29"/>
    <w:rsid w:val="003E4A24"/>
    <w:rsid w:val="003E5514"/>
    <w:rsid w:val="003E7283"/>
    <w:rsid w:val="003F0838"/>
    <w:rsid w:val="003F0A0F"/>
    <w:rsid w:val="003F1155"/>
    <w:rsid w:val="003F3CEC"/>
    <w:rsid w:val="003F4C87"/>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400D6"/>
    <w:rsid w:val="00442D54"/>
    <w:rsid w:val="0044310B"/>
    <w:rsid w:val="00445961"/>
    <w:rsid w:val="00446E3D"/>
    <w:rsid w:val="00447473"/>
    <w:rsid w:val="00450B62"/>
    <w:rsid w:val="00462D98"/>
    <w:rsid w:val="00464A80"/>
    <w:rsid w:val="00465563"/>
    <w:rsid w:val="004665C3"/>
    <w:rsid w:val="004700BE"/>
    <w:rsid w:val="004700FD"/>
    <w:rsid w:val="004715D5"/>
    <w:rsid w:val="00472553"/>
    <w:rsid w:val="00472FCE"/>
    <w:rsid w:val="0047361E"/>
    <w:rsid w:val="004744C4"/>
    <w:rsid w:val="00475EDC"/>
    <w:rsid w:val="0048080E"/>
    <w:rsid w:val="00480944"/>
    <w:rsid w:val="00481806"/>
    <w:rsid w:val="00483460"/>
    <w:rsid w:val="00483DC9"/>
    <w:rsid w:val="004852DE"/>
    <w:rsid w:val="00487BFD"/>
    <w:rsid w:val="004907CE"/>
    <w:rsid w:val="00490C3D"/>
    <w:rsid w:val="00490C57"/>
    <w:rsid w:val="0049127F"/>
    <w:rsid w:val="00491ED7"/>
    <w:rsid w:val="00494A5A"/>
    <w:rsid w:val="00494EE4"/>
    <w:rsid w:val="00495067"/>
    <w:rsid w:val="004958CE"/>
    <w:rsid w:val="00495D66"/>
    <w:rsid w:val="00496A64"/>
    <w:rsid w:val="004A3213"/>
    <w:rsid w:val="004A3F74"/>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5E03"/>
    <w:rsid w:val="004E7F79"/>
    <w:rsid w:val="004F12CF"/>
    <w:rsid w:val="004F2B3F"/>
    <w:rsid w:val="004F49D2"/>
    <w:rsid w:val="004F53D2"/>
    <w:rsid w:val="004F6697"/>
    <w:rsid w:val="004F78DB"/>
    <w:rsid w:val="005004CD"/>
    <w:rsid w:val="005015A5"/>
    <w:rsid w:val="00502685"/>
    <w:rsid w:val="00502AF6"/>
    <w:rsid w:val="005049FB"/>
    <w:rsid w:val="00506EEE"/>
    <w:rsid w:val="00507018"/>
    <w:rsid w:val="00507177"/>
    <w:rsid w:val="00512C3C"/>
    <w:rsid w:val="00513307"/>
    <w:rsid w:val="005141A9"/>
    <w:rsid w:val="00514D3B"/>
    <w:rsid w:val="00515C1B"/>
    <w:rsid w:val="00515FBB"/>
    <w:rsid w:val="00521DD4"/>
    <w:rsid w:val="00522FCD"/>
    <w:rsid w:val="005243C4"/>
    <w:rsid w:val="00525E4E"/>
    <w:rsid w:val="00526B0C"/>
    <w:rsid w:val="0053022A"/>
    <w:rsid w:val="00531283"/>
    <w:rsid w:val="00531601"/>
    <w:rsid w:val="00531D68"/>
    <w:rsid w:val="00532C14"/>
    <w:rsid w:val="00535B06"/>
    <w:rsid w:val="00535ED7"/>
    <w:rsid w:val="005410A4"/>
    <w:rsid w:val="0054243D"/>
    <w:rsid w:val="00542479"/>
    <w:rsid w:val="00546FBB"/>
    <w:rsid w:val="0054793A"/>
    <w:rsid w:val="0055075C"/>
    <w:rsid w:val="00555F27"/>
    <w:rsid w:val="00555FE0"/>
    <w:rsid w:val="0055720F"/>
    <w:rsid w:val="00560D54"/>
    <w:rsid w:val="00563129"/>
    <w:rsid w:val="005633BB"/>
    <w:rsid w:val="005666F5"/>
    <w:rsid w:val="00566B2E"/>
    <w:rsid w:val="0057016F"/>
    <w:rsid w:val="00573812"/>
    <w:rsid w:val="00573BE8"/>
    <w:rsid w:val="00575AA6"/>
    <w:rsid w:val="005766EA"/>
    <w:rsid w:val="00576D5B"/>
    <w:rsid w:val="00582569"/>
    <w:rsid w:val="005832D4"/>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B00EC"/>
    <w:rsid w:val="005B193B"/>
    <w:rsid w:val="005B3E0D"/>
    <w:rsid w:val="005B4EED"/>
    <w:rsid w:val="005B5A19"/>
    <w:rsid w:val="005C07F6"/>
    <w:rsid w:val="005C1B39"/>
    <w:rsid w:val="005C218E"/>
    <w:rsid w:val="005C234A"/>
    <w:rsid w:val="005C3230"/>
    <w:rsid w:val="005C3305"/>
    <w:rsid w:val="005C49DB"/>
    <w:rsid w:val="005C6C95"/>
    <w:rsid w:val="005C73FB"/>
    <w:rsid w:val="005C755D"/>
    <w:rsid w:val="005D0642"/>
    <w:rsid w:val="005D180E"/>
    <w:rsid w:val="005D21E8"/>
    <w:rsid w:val="005E0298"/>
    <w:rsid w:val="005E1731"/>
    <w:rsid w:val="005E379F"/>
    <w:rsid w:val="005E3892"/>
    <w:rsid w:val="005E4D17"/>
    <w:rsid w:val="005F0574"/>
    <w:rsid w:val="005F254D"/>
    <w:rsid w:val="005F45F3"/>
    <w:rsid w:val="005F6D08"/>
    <w:rsid w:val="005F76A0"/>
    <w:rsid w:val="005F7CF9"/>
    <w:rsid w:val="006037B1"/>
    <w:rsid w:val="00605C02"/>
    <w:rsid w:val="006061AE"/>
    <w:rsid w:val="00606FA5"/>
    <w:rsid w:val="006071F8"/>
    <w:rsid w:val="006079DF"/>
    <w:rsid w:val="0061066A"/>
    <w:rsid w:val="00611C0C"/>
    <w:rsid w:val="00612593"/>
    <w:rsid w:val="00613B3A"/>
    <w:rsid w:val="00616525"/>
    <w:rsid w:val="00616F54"/>
    <w:rsid w:val="00620B45"/>
    <w:rsid w:val="006214C8"/>
    <w:rsid w:val="00624137"/>
    <w:rsid w:val="0062488B"/>
    <w:rsid w:val="00624CF5"/>
    <w:rsid w:val="0062520D"/>
    <w:rsid w:val="00625B09"/>
    <w:rsid w:val="00626ADF"/>
    <w:rsid w:val="00627280"/>
    <w:rsid w:val="00627AD3"/>
    <w:rsid w:val="00627B79"/>
    <w:rsid w:val="0063348B"/>
    <w:rsid w:val="0063441B"/>
    <w:rsid w:val="0063501F"/>
    <w:rsid w:val="00635569"/>
    <w:rsid w:val="00637FE5"/>
    <w:rsid w:val="006434F0"/>
    <w:rsid w:val="00643759"/>
    <w:rsid w:val="00644235"/>
    <w:rsid w:val="00644D68"/>
    <w:rsid w:val="00653DB7"/>
    <w:rsid w:val="00657BE9"/>
    <w:rsid w:val="00662CF2"/>
    <w:rsid w:val="006637DE"/>
    <w:rsid w:val="00665A74"/>
    <w:rsid w:val="00666668"/>
    <w:rsid w:val="006671F0"/>
    <w:rsid w:val="00667B83"/>
    <w:rsid w:val="00671558"/>
    <w:rsid w:val="006746B8"/>
    <w:rsid w:val="0067544A"/>
    <w:rsid w:val="006761F0"/>
    <w:rsid w:val="0068189F"/>
    <w:rsid w:val="00683E19"/>
    <w:rsid w:val="00684A18"/>
    <w:rsid w:val="00684B40"/>
    <w:rsid w:val="006861EF"/>
    <w:rsid w:val="0068666D"/>
    <w:rsid w:val="006906BA"/>
    <w:rsid w:val="0069241C"/>
    <w:rsid w:val="00694023"/>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6EFD"/>
    <w:rsid w:val="006D7318"/>
    <w:rsid w:val="006D7BD1"/>
    <w:rsid w:val="006E204D"/>
    <w:rsid w:val="006E5231"/>
    <w:rsid w:val="006E5867"/>
    <w:rsid w:val="006E70EC"/>
    <w:rsid w:val="006E71E6"/>
    <w:rsid w:val="006E7E25"/>
    <w:rsid w:val="006F1FF0"/>
    <w:rsid w:val="006F2EAB"/>
    <w:rsid w:val="006F52B6"/>
    <w:rsid w:val="006F5811"/>
    <w:rsid w:val="006F5A61"/>
    <w:rsid w:val="006F6DA8"/>
    <w:rsid w:val="006F7E58"/>
    <w:rsid w:val="0070048A"/>
    <w:rsid w:val="0070315B"/>
    <w:rsid w:val="00703C1B"/>
    <w:rsid w:val="0070408F"/>
    <w:rsid w:val="00712290"/>
    <w:rsid w:val="00714ECA"/>
    <w:rsid w:val="007160FC"/>
    <w:rsid w:val="00720ABA"/>
    <w:rsid w:val="00720D92"/>
    <w:rsid w:val="00720DD1"/>
    <w:rsid w:val="0072182A"/>
    <w:rsid w:val="00722A64"/>
    <w:rsid w:val="00724EDB"/>
    <w:rsid w:val="007267FA"/>
    <w:rsid w:val="00726810"/>
    <w:rsid w:val="007277F5"/>
    <w:rsid w:val="00730C7C"/>
    <w:rsid w:val="00737FF9"/>
    <w:rsid w:val="007416C7"/>
    <w:rsid w:val="00741E11"/>
    <w:rsid w:val="00744D86"/>
    <w:rsid w:val="00753530"/>
    <w:rsid w:val="0075364D"/>
    <w:rsid w:val="00754D57"/>
    <w:rsid w:val="00757D8D"/>
    <w:rsid w:val="00760A35"/>
    <w:rsid w:val="00761E0A"/>
    <w:rsid w:val="00764C93"/>
    <w:rsid w:val="007672B6"/>
    <w:rsid w:val="00774725"/>
    <w:rsid w:val="00780568"/>
    <w:rsid w:val="007812C0"/>
    <w:rsid w:val="00781327"/>
    <w:rsid w:val="00781794"/>
    <w:rsid w:val="00784F42"/>
    <w:rsid w:val="007875AB"/>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6B4"/>
    <w:rsid w:val="007D1712"/>
    <w:rsid w:val="007D363E"/>
    <w:rsid w:val="007D7D96"/>
    <w:rsid w:val="007E0B12"/>
    <w:rsid w:val="007E1978"/>
    <w:rsid w:val="007E407E"/>
    <w:rsid w:val="007E611F"/>
    <w:rsid w:val="007F0C1B"/>
    <w:rsid w:val="007F1493"/>
    <w:rsid w:val="007F25BA"/>
    <w:rsid w:val="007F3A08"/>
    <w:rsid w:val="007F70BC"/>
    <w:rsid w:val="007F74D5"/>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3454"/>
    <w:rsid w:val="00820AFE"/>
    <w:rsid w:val="00820BA3"/>
    <w:rsid w:val="00821CB1"/>
    <w:rsid w:val="00822A69"/>
    <w:rsid w:val="00824768"/>
    <w:rsid w:val="00825820"/>
    <w:rsid w:val="00827786"/>
    <w:rsid w:val="00830BB2"/>
    <w:rsid w:val="0083202B"/>
    <w:rsid w:val="00833953"/>
    <w:rsid w:val="00843E5A"/>
    <w:rsid w:val="00845308"/>
    <w:rsid w:val="0084620B"/>
    <w:rsid w:val="00846E2D"/>
    <w:rsid w:val="00847B27"/>
    <w:rsid w:val="00853AAF"/>
    <w:rsid w:val="008555AC"/>
    <w:rsid w:val="00860F1C"/>
    <w:rsid w:val="0086146D"/>
    <w:rsid w:val="008616C7"/>
    <w:rsid w:val="008622F3"/>
    <w:rsid w:val="00862B69"/>
    <w:rsid w:val="008635CE"/>
    <w:rsid w:val="008658B0"/>
    <w:rsid w:val="00866559"/>
    <w:rsid w:val="00867968"/>
    <w:rsid w:val="00870617"/>
    <w:rsid w:val="008719B9"/>
    <w:rsid w:val="00875736"/>
    <w:rsid w:val="00876EE3"/>
    <w:rsid w:val="00877F07"/>
    <w:rsid w:val="008808D4"/>
    <w:rsid w:val="008853B0"/>
    <w:rsid w:val="00885DD4"/>
    <w:rsid w:val="0088641F"/>
    <w:rsid w:val="00892AB9"/>
    <w:rsid w:val="0089446B"/>
    <w:rsid w:val="008A09C2"/>
    <w:rsid w:val="008A3002"/>
    <w:rsid w:val="008A411A"/>
    <w:rsid w:val="008A4A72"/>
    <w:rsid w:val="008A5914"/>
    <w:rsid w:val="008B01D2"/>
    <w:rsid w:val="008B3AB9"/>
    <w:rsid w:val="008B47B2"/>
    <w:rsid w:val="008B64EE"/>
    <w:rsid w:val="008C2293"/>
    <w:rsid w:val="008C3306"/>
    <w:rsid w:val="008D594E"/>
    <w:rsid w:val="008D6198"/>
    <w:rsid w:val="008E02BD"/>
    <w:rsid w:val="008E34D4"/>
    <w:rsid w:val="008E3504"/>
    <w:rsid w:val="008E7104"/>
    <w:rsid w:val="008F1F1F"/>
    <w:rsid w:val="008F342B"/>
    <w:rsid w:val="008F4617"/>
    <w:rsid w:val="008F65FF"/>
    <w:rsid w:val="008F7F70"/>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63C8"/>
    <w:rsid w:val="009268B3"/>
    <w:rsid w:val="00926F9F"/>
    <w:rsid w:val="009274F1"/>
    <w:rsid w:val="00930C74"/>
    <w:rsid w:val="00932517"/>
    <w:rsid w:val="00932777"/>
    <w:rsid w:val="00934472"/>
    <w:rsid w:val="0093457D"/>
    <w:rsid w:val="009438BF"/>
    <w:rsid w:val="00945092"/>
    <w:rsid w:val="0094595D"/>
    <w:rsid w:val="00946630"/>
    <w:rsid w:val="0095192D"/>
    <w:rsid w:val="00951F55"/>
    <w:rsid w:val="00954995"/>
    <w:rsid w:val="009574A8"/>
    <w:rsid w:val="00957718"/>
    <w:rsid w:val="00960745"/>
    <w:rsid w:val="0096086A"/>
    <w:rsid w:val="0096602E"/>
    <w:rsid w:val="00966E51"/>
    <w:rsid w:val="00972EF3"/>
    <w:rsid w:val="00973BA7"/>
    <w:rsid w:val="009747E3"/>
    <w:rsid w:val="00977489"/>
    <w:rsid w:val="0098046B"/>
    <w:rsid w:val="009813AE"/>
    <w:rsid w:val="009824A7"/>
    <w:rsid w:val="00984092"/>
    <w:rsid w:val="00984100"/>
    <w:rsid w:val="00984E6C"/>
    <w:rsid w:val="009861D8"/>
    <w:rsid w:val="00990862"/>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6A72"/>
    <w:rsid w:val="009E7976"/>
    <w:rsid w:val="009F1140"/>
    <w:rsid w:val="009F1B48"/>
    <w:rsid w:val="009F1F15"/>
    <w:rsid w:val="009F4942"/>
    <w:rsid w:val="009F6E29"/>
    <w:rsid w:val="00A00EC0"/>
    <w:rsid w:val="00A02A3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4038F"/>
    <w:rsid w:val="00A41399"/>
    <w:rsid w:val="00A4629C"/>
    <w:rsid w:val="00A506D8"/>
    <w:rsid w:val="00A52569"/>
    <w:rsid w:val="00A54080"/>
    <w:rsid w:val="00A5493F"/>
    <w:rsid w:val="00A56FE6"/>
    <w:rsid w:val="00A62F8C"/>
    <w:rsid w:val="00A6577C"/>
    <w:rsid w:val="00A65BAE"/>
    <w:rsid w:val="00A67452"/>
    <w:rsid w:val="00A73584"/>
    <w:rsid w:val="00A73832"/>
    <w:rsid w:val="00A73D76"/>
    <w:rsid w:val="00A752DF"/>
    <w:rsid w:val="00A76720"/>
    <w:rsid w:val="00A76762"/>
    <w:rsid w:val="00A77C6A"/>
    <w:rsid w:val="00A809FF"/>
    <w:rsid w:val="00A815B9"/>
    <w:rsid w:val="00A843A7"/>
    <w:rsid w:val="00A865B8"/>
    <w:rsid w:val="00A900A5"/>
    <w:rsid w:val="00A92C34"/>
    <w:rsid w:val="00A978DF"/>
    <w:rsid w:val="00AA3937"/>
    <w:rsid w:val="00AA3DBB"/>
    <w:rsid w:val="00AA510D"/>
    <w:rsid w:val="00AA7E16"/>
    <w:rsid w:val="00AB15CE"/>
    <w:rsid w:val="00AB32E6"/>
    <w:rsid w:val="00AB3F28"/>
    <w:rsid w:val="00AB5E83"/>
    <w:rsid w:val="00AC435F"/>
    <w:rsid w:val="00AD1EA5"/>
    <w:rsid w:val="00AD3AA0"/>
    <w:rsid w:val="00AD7C06"/>
    <w:rsid w:val="00AE1768"/>
    <w:rsid w:val="00AE1F1C"/>
    <w:rsid w:val="00AE429C"/>
    <w:rsid w:val="00AE64D3"/>
    <w:rsid w:val="00AF0675"/>
    <w:rsid w:val="00AF24C9"/>
    <w:rsid w:val="00AF54FF"/>
    <w:rsid w:val="00AF6C66"/>
    <w:rsid w:val="00B02DF9"/>
    <w:rsid w:val="00B0322D"/>
    <w:rsid w:val="00B03CB5"/>
    <w:rsid w:val="00B07996"/>
    <w:rsid w:val="00B114F5"/>
    <w:rsid w:val="00B11934"/>
    <w:rsid w:val="00B11D40"/>
    <w:rsid w:val="00B127FC"/>
    <w:rsid w:val="00B12B16"/>
    <w:rsid w:val="00B12F39"/>
    <w:rsid w:val="00B13241"/>
    <w:rsid w:val="00B13C67"/>
    <w:rsid w:val="00B14BFC"/>
    <w:rsid w:val="00B16BC6"/>
    <w:rsid w:val="00B216BC"/>
    <w:rsid w:val="00B2451F"/>
    <w:rsid w:val="00B25036"/>
    <w:rsid w:val="00B32AFE"/>
    <w:rsid w:val="00B3325B"/>
    <w:rsid w:val="00B40CD1"/>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2B14"/>
    <w:rsid w:val="00B8325F"/>
    <w:rsid w:val="00B83499"/>
    <w:rsid w:val="00B83D63"/>
    <w:rsid w:val="00B8465F"/>
    <w:rsid w:val="00B84A42"/>
    <w:rsid w:val="00B858E1"/>
    <w:rsid w:val="00B90EAF"/>
    <w:rsid w:val="00B9358C"/>
    <w:rsid w:val="00B9445F"/>
    <w:rsid w:val="00B96422"/>
    <w:rsid w:val="00B97403"/>
    <w:rsid w:val="00BA27E6"/>
    <w:rsid w:val="00BA2910"/>
    <w:rsid w:val="00BA3ABA"/>
    <w:rsid w:val="00BA4CBD"/>
    <w:rsid w:val="00BA4D64"/>
    <w:rsid w:val="00BA59F0"/>
    <w:rsid w:val="00BA7B58"/>
    <w:rsid w:val="00BB2082"/>
    <w:rsid w:val="00BB2E89"/>
    <w:rsid w:val="00BB606F"/>
    <w:rsid w:val="00BC06A1"/>
    <w:rsid w:val="00BC1633"/>
    <w:rsid w:val="00BC1B68"/>
    <w:rsid w:val="00BC3772"/>
    <w:rsid w:val="00BC60D6"/>
    <w:rsid w:val="00BC6EC8"/>
    <w:rsid w:val="00BD0128"/>
    <w:rsid w:val="00BD05E7"/>
    <w:rsid w:val="00BD1A63"/>
    <w:rsid w:val="00BD5B40"/>
    <w:rsid w:val="00BD77FC"/>
    <w:rsid w:val="00BE0A90"/>
    <w:rsid w:val="00BE0B7B"/>
    <w:rsid w:val="00BE2A7F"/>
    <w:rsid w:val="00BE39A9"/>
    <w:rsid w:val="00BE4585"/>
    <w:rsid w:val="00BE4770"/>
    <w:rsid w:val="00BE4DBB"/>
    <w:rsid w:val="00BE5223"/>
    <w:rsid w:val="00BE63E4"/>
    <w:rsid w:val="00BF49C4"/>
    <w:rsid w:val="00BF4A72"/>
    <w:rsid w:val="00BF5376"/>
    <w:rsid w:val="00BF57CF"/>
    <w:rsid w:val="00BF6655"/>
    <w:rsid w:val="00BF6C46"/>
    <w:rsid w:val="00C00743"/>
    <w:rsid w:val="00C00F35"/>
    <w:rsid w:val="00C0395C"/>
    <w:rsid w:val="00C03DDB"/>
    <w:rsid w:val="00C04279"/>
    <w:rsid w:val="00C04ADF"/>
    <w:rsid w:val="00C07F1D"/>
    <w:rsid w:val="00C1076C"/>
    <w:rsid w:val="00C11220"/>
    <w:rsid w:val="00C12D52"/>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40F08"/>
    <w:rsid w:val="00C436A6"/>
    <w:rsid w:val="00C461DD"/>
    <w:rsid w:val="00C47192"/>
    <w:rsid w:val="00C50D61"/>
    <w:rsid w:val="00C53D8F"/>
    <w:rsid w:val="00C633B5"/>
    <w:rsid w:val="00C63443"/>
    <w:rsid w:val="00C63FF5"/>
    <w:rsid w:val="00C64040"/>
    <w:rsid w:val="00C6502F"/>
    <w:rsid w:val="00C65759"/>
    <w:rsid w:val="00C668CE"/>
    <w:rsid w:val="00C66A1B"/>
    <w:rsid w:val="00C67EEB"/>
    <w:rsid w:val="00C707A7"/>
    <w:rsid w:val="00C7184F"/>
    <w:rsid w:val="00C74985"/>
    <w:rsid w:val="00C759AF"/>
    <w:rsid w:val="00C75ED2"/>
    <w:rsid w:val="00C81C72"/>
    <w:rsid w:val="00C82E14"/>
    <w:rsid w:val="00C83C2E"/>
    <w:rsid w:val="00C85321"/>
    <w:rsid w:val="00C856E0"/>
    <w:rsid w:val="00C90E19"/>
    <w:rsid w:val="00C91858"/>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2679"/>
    <w:rsid w:val="00CC3337"/>
    <w:rsid w:val="00CC5B42"/>
    <w:rsid w:val="00CC7DF1"/>
    <w:rsid w:val="00CD0122"/>
    <w:rsid w:val="00CD124F"/>
    <w:rsid w:val="00CE0AC8"/>
    <w:rsid w:val="00CE566B"/>
    <w:rsid w:val="00CE60B7"/>
    <w:rsid w:val="00CE7471"/>
    <w:rsid w:val="00CE7A0E"/>
    <w:rsid w:val="00CF0018"/>
    <w:rsid w:val="00CF1CEC"/>
    <w:rsid w:val="00CF2E23"/>
    <w:rsid w:val="00CF507B"/>
    <w:rsid w:val="00CF5827"/>
    <w:rsid w:val="00D00356"/>
    <w:rsid w:val="00D0183F"/>
    <w:rsid w:val="00D01E12"/>
    <w:rsid w:val="00D02647"/>
    <w:rsid w:val="00D02BF3"/>
    <w:rsid w:val="00D03B3C"/>
    <w:rsid w:val="00D03FB8"/>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4BD1"/>
    <w:rsid w:val="00D35F9B"/>
    <w:rsid w:val="00D365FE"/>
    <w:rsid w:val="00D42691"/>
    <w:rsid w:val="00D455B4"/>
    <w:rsid w:val="00D45937"/>
    <w:rsid w:val="00D47117"/>
    <w:rsid w:val="00D47D4E"/>
    <w:rsid w:val="00D50C49"/>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5F8B"/>
    <w:rsid w:val="00D85CF6"/>
    <w:rsid w:val="00D8693E"/>
    <w:rsid w:val="00D9038A"/>
    <w:rsid w:val="00D904CE"/>
    <w:rsid w:val="00D934DB"/>
    <w:rsid w:val="00D94BDD"/>
    <w:rsid w:val="00DA159B"/>
    <w:rsid w:val="00DA231E"/>
    <w:rsid w:val="00DB3045"/>
    <w:rsid w:val="00DB4707"/>
    <w:rsid w:val="00DC1C60"/>
    <w:rsid w:val="00DC2385"/>
    <w:rsid w:val="00DC3FCB"/>
    <w:rsid w:val="00DC5DB1"/>
    <w:rsid w:val="00DD4DE1"/>
    <w:rsid w:val="00DD69D6"/>
    <w:rsid w:val="00DD6D1E"/>
    <w:rsid w:val="00DE042E"/>
    <w:rsid w:val="00DE153F"/>
    <w:rsid w:val="00DE1BFB"/>
    <w:rsid w:val="00DE221B"/>
    <w:rsid w:val="00DE60F2"/>
    <w:rsid w:val="00DF2185"/>
    <w:rsid w:val="00DF4C11"/>
    <w:rsid w:val="00DF5D25"/>
    <w:rsid w:val="00DF690E"/>
    <w:rsid w:val="00DF702D"/>
    <w:rsid w:val="00E04A17"/>
    <w:rsid w:val="00E05A53"/>
    <w:rsid w:val="00E07B11"/>
    <w:rsid w:val="00E10756"/>
    <w:rsid w:val="00E1264B"/>
    <w:rsid w:val="00E14A8D"/>
    <w:rsid w:val="00E17BCD"/>
    <w:rsid w:val="00E219BB"/>
    <w:rsid w:val="00E21BC4"/>
    <w:rsid w:val="00E24DF0"/>
    <w:rsid w:val="00E26988"/>
    <w:rsid w:val="00E26D59"/>
    <w:rsid w:val="00E340DB"/>
    <w:rsid w:val="00E34BCA"/>
    <w:rsid w:val="00E377BD"/>
    <w:rsid w:val="00E37C5A"/>
    <w:rsid w:val="00E41870"/>
    <w:rsid w:val="00E42702"/>
    <w:rsid w:val="00E447B6"/>
    <w:rsid w:val="00E45351"/>
    <w:rsid w:val="00E532E4"/>
    <w:rsid w:val="00E54B0B"/>
    <w:rsid w:val="00E57E73"/>
    <w:rsid w:val="00E657FE"/>
    <w:rsid w:val="00E662DE"/>
    <w:rsid w:val="00E668D4"/>
    <w:rsid w:val="00E67F57"/>
    <w:rsid w:val="00E706E4"/>
    <w:rsid w:val="00E708E9"/>
    <w:rsid w:val="00E738CC"/>
    <w:rsid w:val="00E760BD"/>
    <w:rsid w:val="00E81269"/>
    <w:rsid w:val="00E83DE4"/>
    <w:rsid w:val="00E83EB8"/>
    <w:rsid w:val="00E86DAD"/>
    <w:rsid w:val="00E91515"/>
    <w:rsid w:val="00E94210"/>
    <w:rsid w:val="00E9601D"/>
    <w:rsid w:val="00E963A1"/>
    <w:rsid w:val="00E97415"/>
    <w:rsid w:val="00EA051D"/>
    <w:rsid w:val="00EA3D0B"/>
    <w:rsid w:val="00EA5554"/>
    <w:rsid w:val="00EA5B60"/>
    <w:rsid w:val="00EA6FAA"/>
    <w:rsid w:val="00EA7EEA"/>
    <w:rsid w:val="00EB11B1"/>
    <w:rsid w:val="00EB15B3"/>
    <w:rsid w:val="00EB1FC1"/>
    <w:rsid w:val="00EB34C0"/>
    <w:rsid w:val="00EB3A00"/>
    <w:rsid w:val="00EB4EF9"/>
    <w:rsid w:val="00EB5029"/>
    <w:rsid w:val="00EB5C47"/>
    <w:rsid w:val="00EC0527"/>
    <w:rsid w:val="00EC1FB3"/>
    <w:rsid w:val="00EC388D"/>
    <w:rsid w:val="00EC43FD"/>
    <w:rsid w:val="00EC5BEA"/>
    <w:rsid w:val="00EC650E"/>
    <w:rsid w:val="00ED2269"/>
    <w:rsid w:val="00ED329F"/>
    <w:rsid w:val="00ED3836"/>
    <w:rsid w:val="00ED45B9"/>
    <w:rsid w:val="00ED7C20"/>
    <w:rsid w:val="00EE2299"/>
    <w:rsid w:val="00EE254C"/>
    <w:rsid w:val="00EE459C"/>
    <w:rsid w:val="00EE65C7"/>
    <w:rsid w:val="00EE74FB"/>
    <w:rsid w:val="00EE7A15"/>
    <w:rsid w:val="00EF0EDF"/>
    <w:rsid w:val="00EF0F0B"/>
    <w:rsid w:val="00EF102C"/>
    <w:rsid w:val="00EF2413"/>
    <w:rsid w:val="00EF5DD7"/>
    <w:rsid w:val="00EF5FF3"/>
    <w:rsid w:val="00F03A74"/>
    <w:rsid w:val="00F04A44"/>
    <w:rsid w:val="00F0509C"/>
    <w:rsid w:val="00F11734"/>
    <w:rsid w:val="00F11BCA"/>
    <w:rsid w:val="00F15672"/>
    <w:rsid w:val="00F17864"/>
    <w:rsid w:val="00F2541A"/>
    <w:rsid w:val="00F36CB3"/>
    <w:rsid w:val="00F37D80"/>
    <w:rsid w:val="00F404A4"/>
    <w:rsid w:val="00F40CB3"/>
    <w:rsid w:val="00F428A4"/>
    <w:rsid w:val="00F44323"/>
    <w:rsid w:val="00F46AC3"/>
    <w:rsid w:val="00F51AEB"/>
    <w:rsid w:val="00F5288D"/>
    <w:rsid w:val="00F53C01"/>
    <w:rsid w:val="00F57249"/>
    <w:rsid w:val="00F60CFE"/>
    <w:rsid w:val="00F64F8D"/>
    <w:rsid w:val="00F67C0E"/>
    <w:rsid w:val="00F74460"/>
    <w:rsid w:val="00F74ECB"/>
    <w:rsid w:val="00F80BD6"/>
    <w:rsid w:val="00F82486"/>
    <w:rsid w:val="00F83636"/>
    <w:rsid w:val="00F83861"/>
    <w:rsid w:val="00F84AEB"/>
    <w:rsid w:val="00F851C7"/>
    <w:rsid w:val="00F94C51"/>
    <w:rsid w:val="00FA1262"/>
    <w:rsid w:val="00FA4EDF"/>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BBBAA-D158-445E-8385-D2FB21B7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styleId="Emphasis">
    <w:name w:val="Emphasis"/>
    <w:basedOn w:val="DefaultParagraphFont"/>
    <w:uiPriority w:val="20"/>
    <w:qFormat/>
    <w:rsid w:val="001A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75E157-A2F9-4D0F-B959-F1FC33A1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Mary Bruce</cp:lastModifiedBy>
  <cp:revision>5</cp:revision>
  <cp:lastPrinted>2024-04-18T07:48:00Z</cp:lastPrinted>
  <dcterms:created xsi:type="dcterms:W3CDTF">2024-04-18T07:40:00Z</dcterms:created>
  <dcterms:modified xsi:type="dcterms:W3CDTF">2024-04-23T16:08:00Z</dcterms:modified>
</cp:coreProperties>
</file>