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3AC897D1" w:rsidR="006C43D7" w:rsidRPr="007811C6" w:rsidRDefault="00AD3D5D" w:rsidP="006F0330">
      <w:pPr>
        <w:spacing w:after="120" w:line="360" w:lineRule="auto"/>
        <w:jc w:val="center"/>
        <w:rPr>
          <w:rFonts w:cs="Arial"/>
          <w:b/>
          <w:bCs/>
          <w:szCs w:val="22"/>
        </w:rPr>
      </w:pPr>
      <w:r w:rsidRPr="007811C6">
        <w:rPr>
          <w:rFonts w:cs="Arial"/>
          <w:b/>
          <w:bCs/>
          <w:szCs w:val="22"/>
        </w:rPr>
        <w:t xml:space="preserve"> </w:t>
      </w:r>
      <w:r w:rsidR="006C43D7"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84B5ECD" w14:textId="1724FA21" w:rsidR="006C43D7" w:rsidRPr="007811C6" w:rsidRDefault="00F913C7" w:rsidP="00AD1989">
      <w:pPr>
        <w:spacing w:line="360" w:lineRule="auto"/>
        <w:jc w:val="right"/>
        <w:rPr>
          <w:rFonts w:cs="Arial"/>
          <w:szCs w:val="22"/>
        </w:rPr>
      </w:pPr>
      <w:r w:rsidRPr="007811C6">
        <w:rPr>
          <w:rFonts w:cs="Arial"/>
          <w:b/>
          <w:szCs w:val="22"/>
        </w:rPr>
        <w:t xml:space="preserve">CASE NO: </w:t>
      </w:r>
      <w:r w:rsidR="00A774BA">
        <w:rPr>
          <w:noProof/>
          <w:lang w:eastAsia="en-ZA"/>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4B9C91BA" w:rsidR="00893C08" w:rsidRPr="008E2A22" w:rsidRDefault="00401AD1" w:rsidP="00401AD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7B06B6B7" w:rsidR="00893C08" w:rsidRPr="008E2A22" w:rsidRDefault="00401AD1" w:rsidP="00401AD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D1989">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4B9C91BA" w:rsidR="00893C08" w:rsidRPr="008E2A22" w:rsidRDefault="00401AD1" w:rsidP="00401AD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7B06B6B7" w:rsidR="00893C08" w:rsidRPr="008E2A22" w:rsidRDefault="00401AD1" w:rsidP="00401AD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AD1989">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w:t>
      </w:r>
      <w:r w:rsidR="001F6466">
        <w:rPr>
          <w:rFonts w:cs="Arial"/>
          <w:b/>
          <w:szCs w:val="22"/>
        </w:rPr>
        <w:t>24</w:t>
      </w:r>
      <w:r w:rsidR="00515FD8" w:rsidRPr="007811C6">
        <w:rPr>
          <w:rFonts w:cs="Arial"/>
          <w:b/>
          <w:szCs w:val="22"/>
        </w:rPr>
        <w:t xml:space="preserve"> </w:t>
      </w:r>
      <w:r w:rsidR="00F01A9D">
        <w:rPr>
          <w:rFonts w:cs="Arial"/>
          <w:b/>
          <w:szCs w:val="22"/>
        </w:rPr>
        <w:t>–</w:t>
      </w:r>
      <w:r w:rsidR="00515FD8" w:rsidRPr="007811C6">
        <w:rPr>
          <w:rFonts w:cs="Arial"/>
          <w:b/>
          <w:szCs w:val="22"/>
        </w:rPr>
        <w:t xml:space="preserve"> </w:t>
      </w:r>
      <w:r w:rsidR="00AD1989">
        <w:rPr>
          <w:rFonts w:cs="Arial"/>
          <w:b/>
          <w:szCs w:val="22"/>
        </w:rPr>
        <w:t>02</w:t>
      </w:r>
      <w:r w:rsidR="00F01A9D">
        <w:rPr>
          <w:rFonts w:cs="Arial"/>
          <w:b/>
          <w:szCs w:val="22"/>
        </w:rPr>
        <w:t>0761</w:t>
      </w: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5108EB75" w14:textId="77777777" w:rsidR="00AD1989" w:rsidRDefault="00AD1989" w:rsidP="00C74E97">
      <w:pPr>
        <w:spacing w:line="360" w:lineRule="auto"/>
        <w:jc w:val="both"/>
        <w:rPr>
          <w:rFonts w:cs="Arial"/>
          <w:szCs w:val="22"/>
        </w:rPr>
      </w:pPr>
    </w:p>
    <w:p w14:paraId="2804C32A" w14:textId="5DE06E09"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25C8D60A" w:rsidR="006D2C78" w:rsidRPr="007811C6" w:rsidRDefault="00F01A9D" w:rsidP="004D692E">
            <w:pPr>
              <w:tabs>
                <w:tab w:val="right" w:pos="9070"/>
              </w:tabs>
              <w:spacing w:before="120" w:after="120"/>
              <w:rPr>
                <w:rFonts w:cs="Arial"/>
                <w:b/>
                <w:szCs w:val="22"/>
              </w:rPr>
            </w:pPr>
            <w:r>
              <w:rPr>
                <w:rFonts w:cs="Arial"/>
                <w:b/>
                <w:szCs w:val="22"/>
              </w:rPr>
              <w:t>KEATON ENERGY HOLDINGS LTD</w:t>
            </w:r>
          </w:p>
        </w:tc>
        <w:tc>
          <w:tcPr>
            <w:tcW w:w="2318" w:type="dxa"/>
          </w:tcPr>
          <w:p w14:paraId="6D648F64" w14:textId="335B630E" w:rsidR="006D2C78" w:rsidRPr="007811C6" w:rsidRDefault="000D6D91" w:rsidP="004D692E">
            <w:pPr>
              <w:spacing w:before="120" w:after="120"/>
              <w:rPr>
                <w:rFonts w:cs="Arial"/>
                <w:szCs w:val="22"/>
              </w:rPr>
            </w:pPr>
            <w:r>
              <w:rPr>
                <w:rFonts w:cs="Arial"/>
                <w:szCs w:val="22"/>
              </w:rPr>
              <w:t xml:space="preserve">First </w:t>
            </w:r>
            <w:r w:rsidR="00D628B8">
              <w:rPr>
                <w:rFonts w:cs="Arial"/>
                <w:szCs w:val="22"/>
              </w:rPr>
              <w:t>Applicant</w:t>
            </w:r>
          </w:p>
        </w:tc>
      </w:tr>
      <w:tr w:rsidR="000D6D91" w:rsidRPr="007811C6" w14:paraId="51A0C2E6" w14:textId="77777777" w:rsidTr="00430142">
        <w:tc>
          <w:tcPr>
            <w:tcW w:w="6223" w:type="dxa"/>
          </w:tcPr>
          <w:p w14:paraId="0B35E07D" w14:textId="7C3C903B" w:rsidR="000D6D91" w:rsidRDefault="000D6D91" w:rsidP="004D692E">
            <w:pPr>
              <w:tabs>
                <w:tab w:val="right" w:pos="9070"/>
              </w:tabs>
              <w:spacing w:before="120" w:after="120"/>
              <w:rPr>
                <w:rFonts w:cs="Arial"/>
                <w:b/>
                <w:szCs w:val="22"/>
              </w:rPr>
            </w:pPr>
            <w:r>
              <w:rPr>
                <w:rFonts w:cs="Arial"/>
                <w:b/>
                <w:szCs w:val="22"/>
              </w:rPr>
              <w:t>KEATON MINING (PTY) LTD</w:t>
            </w:r>
          </w:p>
        </w:tc>
        <w:tc>
          <w:tcPr>
            <w:tcW w:w="2318" w:type="dxa"/>
          </w:tcPr>
          <w:p w14:paraId="2CF1C1B3" w14:textId="19616723" w:rsidR="000D6D91" w:rsidRDefault="000D6D91" w:rsidP="004D692E">
            <w:pPr>
              <w:spacing w:before="120" w:after="120"/>
              <w:rPr>
                <w:rFonts w:cs="Arial"/>
                <w:szCs w:val="22"/>
              </w:rPr>
            </w:pPr>
            <w:r>
              <w:rPr>
                <w:rFonts w:cs="Arial"/>
                <w:szCs w:val="22"/>
              </w:rPr>
              <w:t>Second Applicant</w:t>
            </w:r>
          </w:p>
        </w:tc>
      </w:tr>
      <w:tr w:rsidR="006D2C78" w:rsidRPr="007811C6" w14:paraId="24559D6E" w14:textId="77777777" w:rsidTr="00430142">
        <w:tc>
          <w:tcPr>
            <w:tcW w:w="6223" w:type="dxa"/>
          </w:tcPr>
          <w:p w14:paraId="72B12A05" w14:textId="57B535C6" w:rsidR="006D2C78" w:rsidRPr="007811C6" w:rsidRDefault="008B0885" w:rsidP="004D692E">
            <w:pPr>
              <w:tabs>
                <w:tab w:val="right" w:pos="9070"/>
              </w:tabs>
              <w:spacing w:before="120" w:after="120"/>
              <w:rPr>
                <w:rFonts w:cs="Arial"/>
                <w:b/>
                <w:szCs w:val="22"/>
              </w:rPr>
            </w:pPr>
            <w:r>
              <w:rPr>
                <w:rFonts w:cs="Arial"/>
                <w:b/>
                <w:szCs w:val="22"/>
              </w:rPr>
              <w:t>A</w:t>
            </w:r>
            <w:r w:rsidR="00DD074A"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1E1F1218" w:rsidR="006D2C78" w:rsidRPr="007811C6" w:rsidRDefault="00F01A9D" w:rsidP="004D692E">
            <w:pPr>
              <w:tabs>
                <w:tab w:val="right" w:pos="9070"/>
              </w:tabs>
              <w:spacing w:before="120" w:after="120"/>
              <w:rPr>
                <w:rFonts w:cs="Arial"/>
                <w:b/>
                <w:szCs w:val="22"/>
              </w:rPr>
            </w:pPr>
            <w:r>
              <w:rPr>
                <w:rFonts w:cs="Arial"/>
                <w:b/>
                <w:szCs w:val="22"/>
              </w:rPr>
              <w:t>DGI TRADING MINING EQUIPMENT (PTY) LTD</w:t>
            </w:r>
          </w:p>
        </w:tc>
        <w:tc>
          <w:tcPr>
            <w:tcW w:w="2318" w:type="dxa"/>
          </w:tcPr>
          <w:p w14:paraId="47D0D149" w14:textId="4CC3CD5A" w:rsidR="001F6466" w:rsidRPr="007811C6" w:rsidRDefault="001F6466" w:rsidP="001F6466">
            <w:pPr>
              <w:spacing w:before="120" w:after="120"/>
              <w:rPr>
                <w:rFonts w:cs="Arial"/>
                <w:szCs w:val="22"/>
              </w:rPr>
            </w:pPr>
            <w:r>
              <w:rPr>
                <w:rFonts w:cs="Arial"/>
                <w:szCs w:val="22"/>
              </w:rPr>
              <w:t xml:space="preserve">First </w:t>
            </w:r>
            <w:r w:rsidR="006D2C78" w:rsidRPr="007811C6">
              <w:rPr>
                <w:rFonts w:cs="Arial"/>
                <w:szCs w:val="22"/>
              </w:rPr>
              <w:t>Respondent</w:t>
            </w:r>
          </w:p>
        </w:tc>
      </w:tr>
      <w:tr w:rsidR="001F6466" w:rsidRPr="007811C6" w14:paraId="4271074D" w14:textId="77777777" w:rsidTr="00430142">
        <w:tc>
          <w:tcPr>
            <w:tcW w:w="6223" w:type="dxa"/>
          </w:tcPr>
          <w:p w14:paraId="3B8087A0" w14:textId="488C4132" w:rsidR="001F6466" w:rsidRDefault="00F01A9D" w:rsidP="004D692E">
            <w:pPr>
              <w:tabs>
                <w:tab w:val="right" w:pos="9070"/>
              </w:tabs>
              <w:spacing w:before="120" w:after="120"/>
              <w:rPr>
                <w:rFonts w:cs="Arial"/>
                <w:b/>
                <w:szCs w:val="22"/>
              </w:rPr>
            </w:pPr>
            <w:r>
              <w:rPr>
                <w:rFonts w:cs="Arial"/>
                <w:b/>
                <w:szCs w:val="22"/>
              </w:rPr>
              <w:t>IPP MINING AND MATERIALS HANDLING (PTY) LTD</w:t>
            </w:r>
          </w:p>
        </w:tc>
        <w:tc>
          <w:tcPr>
            <w:tcW w:w="2318" w:type="dxa"/>
          </w:tcPr>
          <w:p w14:paraId="4CDFD812" w14:textId="41B91D82" w:rsidR="001F6466" w:rsidRPr="007811C6" w:rsidRDefault="001F6466" w:rsidP="001F6466">
            <w:pPr>
              <w:spacing w:before="120" w:after="120"/>
              <w:rPr>
                <w:rFonts w:cs="Arial"/>
                <w:szCs w:val="22"/>
              </w:rPr>
            </w:pPr>
            <w:r>
              <w:rPr>
                <w:rFonts w:cs="Arial"/>
                <w:szCs w:val="22"/>
              </w:rPr>
              <w:t>Second Respondent</w:t>
            </w:r>
          </w:p>
        </w:tc>
      </w:tr>
      <w:tr w:rsidR="00AD1989" w:rsidRPr="007811C6" w14:paraId="31A8CA49" w14:textId="77777777" w:rsidTr="00430142">
        <w:tc>
          <w:tcPr>
            <w:tcW w:w="6223" w:type="dxa"/>
          </w:tcPr>
          <w:p w14:paraId="27A66171" w14:textId="079350E2" w:rsidR="00AD1989" w:rsidRDefault="00F01A9D" w:rsidP="004D692E">
            <w:pPr>
              <w:tabs>
                <w:tab w:val="right" w:pos="9070"/>
              </w:tabs>
              <w:spacing w:before="120" w:after="120"/>
              <w:rPr>
                <w:rFonts w:cs="Arial"/>
                <w:b/>
                <w:szCs w:val="22"/>
              </w:rPr>
            </w:pPr>
            <w:r>
              <w:rPr>
                <w:rFonts w:cs="Arial"/>
                <w:b/>
                <w:szCs w:val="22"/>
              </w:rPr>
              <w:t>SG COAL (PTY) LTD</w:t>
            </w:r>
          </w:p>
        </w:tc>
        <w:tc>
          <w:tcPr>
            <w:tcW w:w="2318" w:type="dxa"/>
          </w:tcPr>
          <w:p w14:paraId="34F4E2AD" w14:textId="58E0FE72" w:rsidR="00AD1989" w:rsidRDefault="00AD1989" w:rsidP="001F6466">
            <w:pPr>
              <w:spacing w:before="120" w:after="120"/>
              <w:rPr>
                <w:rFonts w:cs="Arial"/>
                <w:szCs w:val="22"/>
              </w:rPr>
            </w:pPr>
            <w:r>
              <w:rPr>
                <w:rFonts w:cs="Arial"/>
                <w:szCs w:val="22"/>
              </w:rPr>
              <w:t>Third Respondent</w:t>
            </w:r>
          </w:p>
        </w:tc>
      </w:tr>
      <w:tr w:rsidR="00AD1989" w:rsidRPr="007811C6" w14:paraId="68E63A74" w14:textId="77777777" w:rsidTr="00430142">
        <w:tc>
          <w:tcPr>
            <w:tcW w:w="6223" w:type="dxa"/>
          </w:tcPr>
          <w:p w14:paraId="5B6624CA" w14:textId="5D5D40CC" w:rsidR="00AD1989" w:rsidRDefault="00F01A9D" w:rsidP="004D692E">
            <w:pPr>
              <w:tabs>
                <w:tab w:val="right" w:pos="9070"/>
              </w:tabs>
              <w:spacing w:before="120" w:after="120"/>
              <w:rPr>
                <w:rFonts w:cs="Arial"/>
                <w:b/>
                <w:szCs w:val="22"/>
              </w:rPr>
            </w:pPr>
            <w:r>
              <w:rPr>
                <w:rFonts w:cs="Arial"/>
                <w:b/>
                <w:szCs w:val="22"/>
              </w:rPr>
              <w:t xml:space="preserve">COMPANIES AND INTELLECTUAL PROPERTY </w:t>
            </w:r>
            <w:r w:rsidR="005C3892">
              <w:rPr>
                <w:rFonts w:cs="Arial"/>
                <w:b/>
                <w:szCs w:val="22"/>
              </w:rPr>
              <w:t>COMMISSION</w:t>
            </w:r>
          </w:p>
        </w:tc>
        <w:tc>
          <w:tcPr>
            <w:tcW w:w="2318" w:type="dxa"/>
          </w:tcPr>
          <w:p w14:paraId="789E3864" w14:textId="66745EBA" w:rsidR="00AD1989" w:rsidRDefault="00AD1989" w:rsidP="001F6466">
            <w:pPr>
              <w:spacing w:before="120" w:after="120"/>
              <w:rPr>
                <w:rFonts w:cs="Arial"/>
                <w:szCs w:val="22"/>
              </w:rPr>
            </w:pPr>
            <w:r>
              <w:rPr>
                <w:rFonts w:cs="Arial"/>
                <w:szCs w:val="22"/>
              </w:rPr>
              <w:t>Fourth Respondent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3EF3D73C" w:rsidR="00BE6AB8" w:rsidRPr="007811C6" w:rsidRDefault="006D134C" w:rsidP="00C74E97">
      <w:pPr>
        <w:spacing w:after="480" w:line="360" w:lineRule="auto"/>
        <w:jc w:val="both"/>
        <w:rPr>
          <w:rFonts w:cs="Arial"/>
          <w:b/>
          <w:szCs w:val="22"/>
        </w:rPr>
      </w:pPr>
      <w:r>
        <w:rPr>
          <w:rFonts w:cs="Arial"/>
          <w:b/>
          <w:szCs w:val="22"/>
        </w:rPr>
        <w:t>MOORCROFT</w:t>
      </w:r>
      <w:r w:rsidR="006C43D7" w:rsidRPr="007811C6">
        <w:rPr>
          <w:rFonts w:cs="Arial"/>
          <w:b/>
          <w:szCs w:val="22"/>
        </w:rPr>
        <w:t xml:space="preserve"> AJ:</w:t>
      </w:r>
      <w:r w:rsidR="00AD1989">
        <w:rPr>
          <w:rFonts w:cs="Arial"/>
          <w:b/>
          <w:szCs w:val="22"/>
        </w:rPr>
        <w:tab/>
      </w:r>
    </w:p>
    <w:p w14:paraId="5B9302F1" w14:textId="4DE0F352" w:rsidR="001F361F" w:rsidRDefault="00C460A0" w:rsidP="00C74E97">
      <w:pPr>
        <w:keepNext/>
        <w:spacing w:after="480" w:line="360" w:lineRule="auto"/>
        <w:jc w:val="both"/>
        <w:rPr>
          <w:rFonts w:cs="Arial"/>
          <w:bCs/>
          <w:i/>
          <w:iCs/>
          <w:szCs w:val="22"/>
          <w:u w:val="single"/>
        </w:rPr>
      </w:pPr>
      <w:r w:rsidRPr="007811C6">
        <w:rPr>
          <w:rFonts w:cs="Arial"/>
          <w:bCs/>
          <w:i/>
          <w:iCs/>
          <w:szCs w:val="22"/>
          <w:u w:val="single"/>
        </w:rPr>
        <w:lastRenderedPageBreak/>
        <w:t>Summar</w:t>
      </w:r>
      <w:r w:rsidR="00026A26" w:rsidRPr="007811C6">
        <w:rPr>
          <w:rFonts w:cs="Arial"/>
          <w:bCs/>
          <w:i/>
          <w:iCs/>
          <w:szCs w:val="22"/>
          <w:u w:val="single"/>
        </w:rPr>
        <w:t>y</w:t>
      </w:r>
    </w:p>
    <w:p w14:paraId="00E9EF6D" w14:textId="77777777" w:rsidR="008F280F" w:rsidRDefault="005826AB" w:rsidP="00C74E97">
      <w:pPr>
        <w:keepNext/>
        <w:spacing w:after="480" w:line="360" w:lineRule="auto"/>
        <w:jc w:val="both"/>
        <w:rPr>
          <w:rFonts w:cs="Arial"/>
          <w:bCs/>
          <w:i/>
          <w:iCs/>
          <w:szCs w:val="22"/>
        </w:rPr>
      </w:pPr>
      <w:r>
        <w:rPr>
          <w:rFonts w:cs="Arial"/>
          <w:bCs/>
          <w:i/>
          <w:iCs/>
          <w:szCs w:val="22"/>
        </w:rPr>
        <w:t>Companies Act 81 of 2008 - b</w:t>
      </w:r>
      <w:r w:rsidR="00F01A9D">
        <w:rPr>
          <w:rFonts w:cs="Arial"/>
          <w:bCs/>
          <w:i/>
          <w:iCs/>
          <w:szCs w:val="22"/>
        </w:rPr>
        <w:t>usiness rescue proceedings</w:t>
      </w:r>
      <w:r w:rsidR="002F2C89">
        <w:rPr>
          <w:rFonts w:cs="Arial"/>
          <w:bCs/>
          <w:i/>
          <w:iCs/>
          <w:szCs w:val="22"/>
        </w:rPr>
        <w:t xml:space="preserve"> </w:t>
      </w:r>
      <w:r>
        <w:rPr>
          <w:rFonts w:cs="Arial"/>
          <w:bCs/>
          <w:i/>
          <w:iCs/>
          <w:szCs w:val="22"/>
        </w:rPr>
        <w:t xml:space="preserve">– reasonable prospect of success – less onerous than reasonable probability test in Companies Act 61 of 1973 – </w:t>
      </w:r>
    </w:p>
    <w:p w14:paraId="69DDFB71" w14:textId="01A7525C" w:rsidR="006642A0" w:rsidRDefault="008F280F" w:rsidP="00C74E97">
      <w:pPr>
        <w:keepNext/>
        <w:spacing w:after="480" w:line="360" w:lineRule="auto"/>
        <w:jc w:val="both"/>
        <w:rPr>
          <w:rFonts w:cs="Arial"/>
          <w:bCs/>
          <w:i/>
          <w:iCs/>
          <w:szCs w:val="22"/>
        </w:rPr>
      </w:pPr>
      <w:r>
        <w:rPr>
          <w:rFonts w:cs="Arial"/>
          <w:bCs/>
          <w:i/>
          <w:iCs/>
          <w:szCs w:val="22"/>
        </w:rPr>
        <w:t>A</w:t>
      </w:r>
      <w:r w:rsidR="005826AB">
        <w:rPr>
          <w:rFonts w:cs="Arial"/>
          <w:bCs/>
          <w:i/>
          <w:iCs/>
          <w:szCs w:val="22"/>
        </w:rPr>
        <w:t>pplicant required to place primary facts before court – secondary facts can be inferred from primary facts but in the absence of primary facts the inferences are mere speculation</w:t>
      </w:r>
    </w:p>
    <w:p w14:paraId="656E9829" w14:textId="77777777" w:rsidR="008F280F" w:rsidRDefault="008F280F" w:rsidP="00C74E97">
      <w:pPr>
        <w:keepNext/>
        <w:spacing w:after="480" w:line="360" w:lineRule="auto"/>
        <w:jc w:val="both"/>
        <w:rPr>
          <w:rFonts w:cs="Arial"/>
          <w:bCs/>
          <w:szCs w:val="22"/>
          <w:u w:val="single"/>
        </w:rPr>
      </w:pPr>
    </w:p>
    <w:p w14:paraId="18AFD427" w14:textId="0B0F4FA1"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10D7811C" w14:textId="04D1ADD7" w:rsidR="004D5B5D" w:rsidRDefault="00401AD1" w:rsidP="00401AD1">
      <w:pPr>
        <w:tabs>
          <w:tab w:val="left" w:pos="567"/>
        </w:tabs>
        <w:spacing w:before="240" w:after="240" w:line="360" w:lineRule="auto"/>
        <w:jc w:val="both"/>
        <w:rPr>
          <w:rFonts w:cs="Arial"/>
          <w:i/>
          <w:iCs/>
          <w:szCs w:val="22"/>
        </w:rPr>
      </w:pPr>
      <w:r>
        <w:rPr>
          <w:rFonts w:cs="Arial"/>
          <w:iCs/>
          <w:szCs w:val="22"/>
        </w:rPr>
        <w:t>[1]</w:t>
      </w:r>
      <w:r>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F01A9D">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F01A9D">
        <w:rPr>
          <w:rFonts w:cs="Arial"/>
          <w:bCs/>
          <w:szCs w:val="22"/>
        </w:rPr>
        <w:t>:</w:t>
      </w:r>
      <w:r w:rsidR="00E06F15">
        <w:rPr>
          <w:rFonts w:cs="Arial"/>
          <w:bCs/>
          <w:szCs w:val="22"/>
        </w:rPr>
        <w:t xml:space="preserve"> </w:t>
      </w:r>
    </w:p>
    <w:p w14:paraId="78A1855D" w14:textId="340D7F19" w:rsidR="00F01A9D" w:rsidRPr="00401AD1" w:rsidRDefault="00401AD1" w:rsidP="00401AD1">
      <w:pPr>
        <w:spacing w:before="240" w:after="240" w:line="360" w:lineRule="auto"/>
        <w:ind w:left="360" w:hanging="360"/>
        <w:jc w:val="both"/>
        <w:rPr>
          <w:i/>
          <w:iCs/>
        </w:rPr>
      </w:pPr>
      <w:r>
        <w:rPr>
          <w:i/>
          <w:iCs/>
        </w:rPr>
        <w:t>1.</w:t>
      </w:r>
      <w:r>
        <w:rPr>
          <w:i/>
          <w:iCs/>
        </w:rPr>
        <w:tab/>
      </w:r>
      <w:r w:rsidR="005826AB" w:rsidRPr="00401AD1">
        <w:rPr>
          <w:i/>
          <w:iCs/>
        </w:rPr>
        <w:t>The application is dismissed;</w:t>
      </w:r>
    </w:p>
    <w:p w14:paraId="24585D02" w14:textId="14311649" w:rsidR="00F01A9D" w:rsidRPr="00401AD1" w:rsidRDefault="00401AD1" w:rsidP="00401AD1">
      <w:pPr>
        <w:spacing w:before="240" w:after="240" w:line="360" w:lineRule="auto"/>
        <w:ind w:left="360" w:hanging="360"/>
        <w:jc w:val="both"/>
        <w:rPr>
          <w:i/>
          <w:iCs/>
        </w:rPr>
      </w:pPr>
      <w:r>
        <w:rPr>
          <w:i/>
          <w:iCs/>
        </w:rPr>
        <w:t>2.</w:t>
      </w:r>
      <w:r>
        <w:rPr>
          <w:i/>
          <w:iCs/>
        </w:rPr>
        <w:tab/>
      </w:r>
      <w:r w:rsidR="005826AB" w:rsidRPr="00401AD1">
        <w:rPr>
          <w:i/>
          <w:iCs/>
        </w:rPr>
        <w:t>The first applicant is ordered to pay the costs of the application, including the costs of two counsel where so employed</w:t>
      </w:r>
    </w:p>
    <w:p w14:paraId="05767B8A" w14:textId="77777777" w:rsidR="00D1564F" w:rsidRPr="00D1564F" w:rsidRDefault="00D1564F" w:rsidP="00D1564F">
      <w:pPr>
        <w:spacing w:before="240" w:after="240" w:line="360" w:lineRule="auto"/>
        <w:jc w:val="both"/>
        <w:rPr>
          <w:rFonts w:cs="Arial"/>
          <w:i/>
          <w:iCs/>
          <w:szCs w:val="22"/>
        </w:rPr>
      </w:pPr>
    </w:p>
    <w:p w14:paraId="653F3FAB" w14:textId="45898959" w:rsidR="008707F5" w:rsidRPr="00401AD1" w:rsidRDefault="00401AD1" w:rsidP="00401AD1">
      <w:pPr>
        <w:widowControl w:val="0"/>
        <w:tabs>
          <w:tab w:val="left" w:pos="567"/>
        </w:tabs>
        <w:spacing w:before="240" w:after="240" w:line="360" w:lineRule="auto"/>
        <w:jc w:val="both"/>
        <w:rPr>
          <w:rFonts w:cs="Arial"/>
          <w:bCs/>
          <w:szCs w:val="22"/>
          <w:u w:val="single"/>
        </w:rPr>
      </w:pPr>
      <w:r w:rsidRPr="007A7B06">
        <w:rPr>
          <w:rFonts w:cs="Arial"/>
          <w:bCs/>
          <w:szCs w:val="22"/>
        </w:rPr>
        <w:t>[2]</w:t>
      </w:r>
      <w:r w:rsidRPr="007A7B06">
        <w:rPr>
          <w:rFonts w:cs="Arial"/>
          <w:bCs/>
          <w:szCs w:val="22"/>
        </w:rPr>
        <w:tab/>
      </w:r>
      <w:r w:rsidR="004A5AF5" w:rsidRPr="00401AD1">
        <w:rPr>
          <w:rFonts w:cs="Arial"/>
          <w:bCs/>
          <w:szCs w:val="22"/>
        </w:rPr>
        <w:t xml:space="preserve">The </w:t>
      </w:r>
      <w:r w:rsidR="00573FF9" w:rsidRPr="00401AD1">
        <w:rPr>
          <w:rFonts w:cs="Arial"/>
          <w:bCs/>
          <w:szCs w:val="22"/>
        </w:rPr>
        <w:t xml:space="preserve">reasons for the order </w:t>
      </w:r>
      <w:r w:rsidR="00A63709" w:rsidRPr="00401AD1">
        <w:rPr>
          <w:rFonts w:cs="Arial"/>
          <w:bCs/>
          <w:szCs w:val="22"/>
        </w:rPr>
        <w:t>follow</w:t>
      </w:r>
      <w:r w:rsidR="00573FF9" w:rsidRPr="00401AD1">
        <w:rPr>
          <w:rFonts w:cs="Arial"/>
          <w:bCs/>
          <w:szCs w:val="22"/>
        </w:rPr>
        <w:t xml:space="preserve"> below.</w:t>
      </w:r>
    </w:p>
    <w:p w14:paraId="6D22C0DB" w14:textId="77777777" w:rsidR="00044778" w:rsidRDefault="00044778" w:rsidP="004F41E9">
      <w:pPr>
        <w:keepNext/>
        <w:widowControl w:val="0"/>
        <w:spacing w:before="240" w:after="240" w:line="360" w:lineRule="auto"/>
        <w:jc w:val="both"/>
        <w:rPr>
          <w:rFonts w:cs="Arial"/>
          <w:bCs/>
          <w:szCs w:val="22"/>
          <w:u w:val="single"/>
        </w:rPr>
      </w:pPr>
    </w:p>
    <w:p w14:paraId="43E08786" w14:textId="27651D53" w:rsidR="008707F5" w:rsidRPr="008707F5" w:rsidRDefault="008707F5" w:rsidP="004F41E9">
      <w:pPr>
        <w:keepNext/>
        <w:widowControl w:val="0"/>
        <w:spacing w:before="240" w:after="240" w:line="360" w:lineRule="auto"/>
        <w:jc w:val="both"/>
        <w:rPr>
          <w:rFonts w:cs="Arial"/>
          <w:bCs/>
          <w:szCs w:val="22"/>
          <w:u w:val="single"/>
        </w:rPr>
      </w:pPr>
      <w:r w:rsidRPr="008707F5">
        <w:rPr>
          <w:rFonts w:cs="Arial"/>
          <w:bCs/>
          <w:szCs w:val="22"/>
          <w:u w:val="single"/>
        </w:rPr>
        <w:t>Introduction</w:t>
      </w:r>
    </w:p>
    <w:p w14:paraId="2EA94BA1" w14:textId="04CEC0C3" w:rsidR="00EE7C2D"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[3]</w:t>
      </w:r>
      <w:r>
        <w:rPr>
          <w:rFonts w:cs="Arial"/>
          <w:bCs/>
          <w:szCs w:val="22"/>
        </w:rPr>
        <w:tab/>
      </w:r>
      <w:r w:rsidR="00884FFC" w:rsidRPr="00401AD1">
        <w:rPr>
          <w:rFonts w:cs="Arial"/>
          <w:bCs/>
          <w:szCs w:val="22"/>
        </w:rPr>
        <w:t xml:space="preserve">This </w:t>
      </w:r>
      <w:r w:rsidR="0085195B" w:rsidRPr="00401AD1">
        <w:rPr>
          <w:rFonts w:cs="Arial"/>
          <w:bCs/>
          <w:szCs w:val="22"/>
        </w:rPr>
        <w:t>is an application in the urgent court by the first applicant, the sole shareholder of the second applicant, to place the second applicant in business rescue. The second applicant is currently under provisional liquidation and the provisional liquidators are not cited as co-applicants or as respondents. This is fatal to the</w:t>
      </w:r>
      <w:r w:rsidR="00B66E94" w:rsidRPr="00401AD1">
        <w:rPr>
          <w:rFonts w:cs="Arial"/>
          <w:bCs/>
          <w:szCs w:val="22"/>
        </w:rPr>
        <w:t xml:space="preserve"> standing of the second applicant but nothing turns on this as the first applicant does have standing as an affected person as envisaged by section 128 (1) (a) of the Companies Act 71 of 2008</w:t>
      </w:r>
      <w:r w:rsidR="0085195B" w:rsidRPr="00401AD1">
        <w:rPr>
          <w:rFonts w:cs="Arial"/>
          <w:bCs/>
          <w:szCs w:val="22"/>
        </w:rPr>
        <w:t>.</w:t>
      </w:r>
    </w:p>
    <w:p w14:paraId="6CB22FDB" w14:textId="063C42A4" w:rsidR="00B66E94"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[4]</w:t>
      </w:r>
      <w:r>
        <w:rPr>
          <w:rFonts w:cs="Arial"/>
          <w:bCs/>
          <w:szCs w:val="22"/>
        </w:rPr>
        <w:tab/>
      </w:r>
      <w:r w:rsidR="000D6D91" w:rsidRPr="00401AD1">
        <w:rPr>
          <w:rFonts w:cs="Arial"/>
          <w:bCs/>
          <w:szCs w:val="22"/>
        </w:rPr>
        <w:t>I deal with the question of joinder under a separate heading below.</w:t>
      </w:r>
    </w:p>
    <w:p w14:paraId="7B91106A" w14:textId="1FF47775" w:rsidR="008B0885"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[5]</w:t>
      </w:r>
      <w:r>
        <w:rPr>
          <w:rFonts w:cs="Arial"/>
          <w:bCs/>
          <w:szCs w:val="22"/>
        </w:rPr>
        <w:tab/>
      </w:r>
      <w:r w:rsidR="008B0885" w:rsidRPr="00401AD1">
        <w:rPr>
          <w:rFonts w:cs="Arial"/>
          <w:bCs/>
          <w:szCs w:val="22"/>
        </w:rPr>
        <w:t>The provisional liquidation order referred to above was granted on 27 February 2024 in the High Court in Pretoria under case number 2023 – 101248 by Van der Schyff J. The return day of the order is 10 May 2024.</w:t>
      </w:r>
    </w:p>
    <w:p w14:paraId="72AF3F8D" w14:textId="17617E9A" w:rsidR="00F01A9D" w:rsidRPr="00401AD1" w:rsidRDefault="00401AD1" w:rsidP="00401AD1">
      <w:pPr>
        <w:widowControl w:val="0"/>
        <w:tabs>
          <w:tab w:val="left" w:pos="567"/>
        </w:tabs>
        <w:spacing w:before="240" w:after="240" w:line="360" w:lineRule="auto"/>
        <w:jc w:val="both"/>
        <w:rPr>
          <w:rFonts w:cs="Arial"/>
          <w:bCs/>
          <w:szCs w:val="22"/>
        </w:rPr>
      </w:pPr>
      <w:r>
        <w:rPr>
          <w:rFonts w:cs="Arial"/>
          <w:bCs/>
          <w:szCs w:val="22"/>
        </w:rPr>
        <w:lastRenderedPageBreak/>
        <w:t>[6]</w:t>
      </w:r>
      <w:r>
        <w:rPr>
          <w:rFonts w:cs="Arial"/>
          <w:bCs/>
          <w:szCs w:val="22"/>
        </w:rPr>
        <w:tab/>
      </w:r>
      <w:r w:rsidR="0085195B" w:rsidRPr="00401AD1">
        <w:rPr>
          <w:rFonts w:cs="Arial"/>
          <w:bCs/>
          <w:szCs w:val="22"/>
        </w:rPr>
        <w:t>The second applicant</w:t>
      </w:r>
      <w:r w:rsidR="00CA451F" w:rsidRPr="00401AD1">
        <w:rPr>
          <w:rFonts w:cs="Arial"/>
          <w:bCs/>
          <w:szCs w:val="22"/>
        </w:rPr>
        <w:t>’s confirmatory founding affidavit was signed on 25 February 2024, two days before</w:t>
      </w:r>
      <w:r w:rsidR="008F280F" w:rsidRPr="00401AD1">
        <w:rPr>
          <w:rFonts w:cs="Arial"/>
          <w:bCs/>
          <w:szCs w:val="22"/>
        </w:rPr>
        <w:t xml:space="preserve"> the</w:t>
      </w:r>
      <w:r w:rsidR="00CA451F" w:rsidRPr="00401AD1">
        <w:rPr>
          <w:rFonts w:cs="Arial"/>
          <w:bCs/>
          <w:szCs w:val="22"/>
        </w:rPr>
        <w:t xml:space="preserve"> provisional winding up order was granted and it was placed</w:t>
      </w:r>
      <w:r w:rsidR="0085195B" w:rsidRPr="00401AD1">
        <w:rPr>
          <w:rFonts w:cs="Arial"/>
          <w:bCs/>
          <w:szCs w:val="22"/>
        </w:rPr>
        <w:t xml:space="preserve"> in the hands of the</w:t>
      </w:r>
      <w:r w:rsidR="00EE7C2D" w:rsidRPr="00401AD1">
        <w:rPr>
          <w:rFonts w:cs="Arial"/>
          <w:bCs/>
          <w:szCs w:val="22"/>
        </w:rPr>
        <w:t xml:space="preserve"> Master and </w:t>
      </w:r>
      <w:r w:rsidR="003E7E6E" w:rsidRPr="00401AD1">
        <w:rPr>
          <w:rFonts w:cs="Arial"/>
          <w:bCs/>
          <w:szCs w:val="22"/>
        </w:rPr>
        <w:t xml:space="preserve">then </w:t>
      </w:r>
      <w:r w:rsidR="00EE7C2D" w:rsidRPr="00401AD1">
        <w:rPr>
          <w:rFonts w:cs="Arial"/>
          <w:bCs/>
          <w:szCs w:val="22"/>
        </w:rPr>
        <w:t>the</w:t>
      </w:r>
      <w:r w:rsidR="0085195B" w:rsidRPr="00401AD1">
        <w:rPr>
          <w:rFonts w:cs="Arial"/>
          <w:bCs/>
          <w:szCs w:val="22"/>
        </w:rPr>
        <w:t xml:space="preserve"> provisional liquidators</w:t>
      </w:r>
      <w:r w:rsidR="005826AB" w:rsidRPr="00401AD1">
        <w:rPr>
          <w:rFonts w:cs="Arial"/>
          <w:bCs/>
          <w:szCs w:val="22"/>
        </w:rPr>
        <w:t>.</w:t>
      </w:r>
    </w:p>
    <w:p w14:paraId="5AFD3756" w14:textId="1E14C7CF" w:rsidR="00884FFC" w:rsidRPr="00401AD1" w:rsidRDefault="00401AD1" w:rsidP="00401AD1">
      <w:pPr>
        <w:widowControl w:val="0"/>
        <w:tabs>
          <w:tab w:val="left" w:pos="567"/>
        </w:tabs>
        <w:spacing w:before="240" w:after="240" w:line="360" w:lineRule="auto"/>
        <w:jc w:val="both"/>
        <w:rPr>
          <w:rFonts w:cs="Arial"/>
          <w:bCs/>
          <w:szCs w:val="22"/>
        </w:rPr>
      </w:pPr>
      <w:r w:rsidRPr="0085195B">
        <w:rPr>
          <w:rFonts w:cs="Arial"/>
          <w:bCs/>
          <w:szCs w:val="22"/>
        </w:rPr>
        <w:t>[7]</w:t>
      </w:r>
      <w:r w:rsidRPr="0085195B">
        <w:rPr>
          <w:rFonts w:cs="Arial"/>
          <w:bCs/>
          <w:szCs w:val="22"/>
        </w:rPr>
        <w:tab/>
      </w:r>
      <w:r w:rsidR="00884FFC" w:rsidRPr="00401AD1">
        <w:rPr>
          <w:rFonts w:cs="Arial"/>
          <w:bCs/>
          <w:szCs w:val="22"/>
        </w:rPr>
        <w:t xml:space="preserve">The </w:t>
      </w:r>
      <w:r w:rsidR="003E7E6E" w:rsidRPr="00401AD1">
        <w:rPr>
          <w:rFonts w:cs="Arial"/>
          <w:bCs/>
          <w:szCs w:val="22"/>
        </w:rPr>
        <w:t xml:space="preserve">business rescue </w:t>
      </w:r>
      <w:r w:rsidR="00884FFC" w:rsidRPr="00401AD1">
        <w:rPr>
          <w:rFonts w:cs="Arial"/>
          <w:bCs/>
          <w:szCs w:val="22"/>
        </w:rPr>
        <w:t>application is opposed by the second respondent.</w:t>
      </w:r>
    </w:p>
    <w:p w14:paraId="7106CF12" w14:textId="5E62EC65" w:rsidR="00F01A9D"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[8]</w:t>
      </w:r>
      <w:r>
        <w:rPr>
          <w:rFonts w:cs="Arial"/>
          <w:bCs/>
          <w:szCs w:val="22"/>
        </w:rPr>
        <w:tab/>
      </w:r>
      <w:r w:rsidR="0085195B" w:rsidRPr="00401AD1">
        <w:rPr>
          <w:rFonts w:cs="Arial"/>
          <w:bCs/>
          <w:szCs w:val="22"/>
        </w:rPr>
        <w:t>Section 131 of the Companies Act</w:t>
      </w:r>
      <w:r w:rsidR="002F2C89">
        <w:rPr>
          <w:rStyle w:val="FootnoteReference"/>
          <w:rFonts w:cs="Arial"/>
          <w:bCs/>
          <w:szCs w:val="22"/>
        </w:rPr>
        <w:footnoteReference w:id="1"/>
      </w:r>
      <w:r w:rsidR="0085195B" w:rsidRPr="00401AD1">
        <w:rPr>
          <w:rFonts w:cs="Arial"/>
          <w:bCs/>
          <w:szCs w:val="22"/>
        </w:rPr>
        <w:t xml:space="preserve"> reads as follows:</w:t>
      </w:r>
    </w:p>
    <w:p w14:paraId="3A9B2926" w14:textId="15FADD24" w:rsidR="0085195B" w:rsidRPr="0085195B" w:rsidRDefault="0085195B" w:rsidP="0085195B">
      <w:pPr>
        <w:spacing w:line="360" w:lineRule="auto"/>
        <w:ind w:left="1440"/>
        <w:jc w:val="both"/>
        <w:rPr>
          <w:rFonts w:cs="Arial"/>
          <w:b/>
          <w:bCs/>
          <w:i/>
          <w:iCs/>
          <w:lang w:eastAsia="en-ZA"/>
        </w:rPr>
      </w:pPr>
      <w:r>
        <w:rPr>
          <w:rFonts w:cs="Arial"/>
          <w:b/>
          <w:bCs/>
          <w:i/>
          <w:iCs/>
          <w:lang w:eastAsia="en-ZA"/>
        </w:rPr>
        <w:t>“</w:t>
      </w:r>
      <w:r w:rsidRPr="0085195B">
        <w:rPr>
          <w:rFonts w:cs="Arial"/>
          <w:b/>
          <w:bCs/>
          <w:i/>
          <w:iCs/>
          <w:lang w:eastAsia="en-ZA"/>
        </w:rPr>
        <w:t>131  Court order to begin business rescue proceedings</w:t>
      </w:r>
    </w:p>
    <w:p w14:paraId="6D866208" w14:textId="3296D48B"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(1)</w:t>
      </w:r>
      <w:r w:rsidRPr="002F2C89">
        <w:rPr>
          <w:rFonts w:cs="Arial"/>
          <w:i/>
          <w:iCs/>
          <w:lang w:eastAsia="en-ZA"/>
        </w:rPr>
        <w:tab/>
      </w:r>
      <w:r w:rsidR="0085195B" w:rsidRPr="00401AD1">
        <w:rPr>
          <w:rFonts w:cs="Arial"/>
          <w:i/>
          <w:iCs/>
          <w:lang w:eastAsia="en-ZA"/>
        </w:rPr>
        <w:t>Unless a company has adopted a resolution contemplated in section 129, an affected person may apply to a court at any time for an order placing the company under supervision and commencing business rescue proceedings.</w:t>
      </w:r>
    </w:p>
    <w:p w14:paraId="576BB4D5" w14:textId="098F1EF4"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(2)</w:t>
      </w:r>
      <w:r w:rsidRPr="002F2C89">
        <w:rPr>
          <w:rFonts w:cs="Arial"/>
          <w:i/>
          <w:iCs/>
          <w:lang w:eastAsia="en-ZA"/>
        </w:rPr>
        <w:tab/>
      </w:r>
      <w:r w:rsidR="0085195B" w:rsidRPr="00401AD1">
        <w:rPr>
          <w:rFonts w:cs="Arial"/>
          <w:i/>
          <w:iCs/>
          <w:lang w:eastAsia="en-ZA"/>
        </w:rPr>
        <w:t>An applicant in terms of subsection (1) must-</w:t>
      </w:r>
    </w:p>
    <w:p w14:paraId="5A0526D2" w14:textId="48EB3650"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(a)</w:t>
      </w:r>
      <w:r w:rsidRPr="002F2C89">
        <w:rPr>
          <w:rFonts w:cs="Arial"/>
          <w:i/>
          <w:iCs/>
          <w:lang w:eastAsia="en-ZA"/>
        </w:rPr>
        <w:tab/>
      </w:r>
      <w:r w:rsidR="0085195B" w:rsidRPr="00401AD1">
        <w:rPr>
          <w:rFonts w:cs="Arial"/>
          <w:i/>
          <w:iCs/>
          <w:lang w:eastAsia="en-ZA"/>
        </w:rPr>
        <w:t>serve a copy of the application on the company and the Commission; and</w:t>
      </w:r>
    </w:p>
    <w:p w14:paraId="12AF1F28" w14:textId="5A50B6DD"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(b)</w:t>
      </w:r>
      <w:r w:rsidRPr="002F2C89">
        <w:rPr>
          <w:rFonts w:cs="Arial"/>
          <w:i/>
          <w:iCs/>
          <w:lang w:eastAsia="en-ZA"/>
        </w:rPr>
        <w:tab/>
      </w:r>
      <w:r w:rsidR="0085195B" w:rsidRPr="00401AD1">
        <w:rPr>
          <w:rFonts w:cs="Arial"/>
          <w:i/>
          <w:iCs/>
          <w:lang w:eastAsia="en-ZA"/>
        </w:rPr>
        <w:t>notify each affected person of the application in the prescribed manner.</w:t>
      </w:r>
    </w:p>
    <w:p w14:paraId="634B0557" w14:textId="1E80584C"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(3)</w:t>
      </w:r>
      <w:r w:rsidRPr="002F2C89">
        <w:rPr>
          <w:rFonts w:cs="Arial"/>
          <w:i/>
          <w:iCs/>
          <w:lang w:eastAsia="en-ZA"/>
        </w:rPr>
        <w:tab/>
      </w:r>
      <w:r w:rsidR="0085195B" w:rsidRPr="00401AD1">
        <w:rPr>
          <w:rFonts w:cs="Arial"/>
          <w:i/>
          <w:iCs/>
          <w:lang w:eastAsia="en-ZA"/>
        </w:rPr>
        <w:t>Each affected person has a right to participate in the hearing of an application in terms of this section.</w:t>
      </w:r>
    </w:p>
    <w:p w14:paraId="5018C334" w14:textId="1EFE2552"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(4)</w:t>
      </w:r>
      <w:r w:rsidRPr="002F2C89">
        <w:rPr>
          <w:rFonts w:cs="Arial"/>
          <w:i/>
          <w:iCs/>
          <w:lang w:eastAsia="en-ZA"/>
        </w:rPr>
        <w:tab/>
      </w:r>
      <w:r w:rsidR="0085195B" w:rsidRPr="00401AD1">
        <w:rPr>
          <w:rFonts w:cs="Arial"/>
          <w:i/>
          <w:iCs/>
          <w:lang w:eastAsia="en-ZA"/>
        </w:rPr>
        <w:t>After considering an application in terms of subsection (1), the court may-</w:t>
      </w:r>
    </w:p>
    <w:p w14:paraId="6105919B" w14:textId="61DED429"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(a)</w:t>
      </w:r>
      <w:r w:rsidRPr="002F2C89">
        <w:rPr>
          <w:rFonts w:cs="Arial"/>
          <w:i/>
          <w:iCs/>
          <w:lang w:eastAsia="en-ZA"/>
        </w:rPr>
        <w:tab/>
      </w:r>
      <w:r w:rsidR="0085195B" w:rsidRPr="00401AD1">
        <w:rPr>
          <w:rFonts w:cs="Arial"/>
          <w:i/>
          <w:iCs/>
          <w:lang w:eastAsia="en-ZA"/>
        </w:rPr>
        <w:t>make an order placing the company under supervision and commencing business rescue proceedings, if the court is satisfied that-</w:t>
      </w:r>
    </w:p>
    <w:p w14:paraId="2DAFE0D8" w14:textId="1942400B" w:rsidR="0085195B" w:rsidRPr="00401AD1" w:rsidRDefault="00401AD1" w:rsidP="00401AD1">
      <w:pPr>
        <w:spacing w:line="360" w:lineRule="auto"/>
        <w:ind w:left="2160" w:hanging="720"/>
        <w:jc w:val="both"/>
        <w:rPr>
          <w:rFonts w:cs="Arial"/>
          <w:i/>
          <w:iCs/>
          <w:lang w:eastAsia="en-ZA"/>
        </w:rPr>
      </w:pPr>
      <w:r w:rsidRPr="002F2C89">
        <w:rPr>
          <w:rFonts w:cs="Arial"/>
          <w:i/>
          <w:iCs/>
          <w:lang w:eastAsia="en-ZA"/>
        </w:rPr>
        <w:t>(i)</w:t>
      </w:r>
      <w:r w:rsidRPr="002F2C89">
        <w:rPr>
          <w:rFonts w:cs="Arial"/>
          <w:i/>
          <w:iCs/>
          <w:lang w:eastAsia="en-ZA"/>
        </w:rPr>
        <w:tab/>
      </w:r>
      <w:r w:rsidR="0085195B" w:rsidRPr="00401AD1">
        <w:rPr>
          <w:rFonts w:cs="Arial"/>
          <w:i/>
          <w:iCs/>
          <w:lang w:eastAsia="en-ZA"/>
        </w:rPr>
        <w:t>the company is financially distressed;</w:t>
      </w:r>
    </w:p>
    <w:p w14:paraId="4F5189C5" w14:textId="0913A287" w:rsidR="0085195B" w:rsidRPr="0085195B" w:rsidRDefault="0085195B" w:rsidP="0085195B">
      <w:pPr>
        <w:spacing w:line="360" w:lineRule="auto"/>
        <w:ind w:left="1440"/>
        <w:jc w:val="both"/>
        <w:rPr>
          <w:rFonts w:cs="Arial"/>
          <w:i/>
          <w:iCs/>
          <w:lang w:eastAsia="en-ZA"/>
        </w:rPr>
      </w:pPr>
      <w:r w:rsidRPr="0085195B">
        <w:rPr>
          <w:rFonts w:cs="Arial"/>
          <w:i/>
          <w:iCs/>
          <w:lang w:eastAsia="en-ZA"/>
        </w:rPr>
        <w:t>(ii)   the company has failed to pay over any amount in terms of an obligation under or in terms of a public regulation, or contract, with respect to employment-related matters; or</w:t>
      </w:r>
    </w:p>
    <w:p w14:paraId="061F3977" w14:textId="2A7C9A15" w:rsidR="0085195B" w:rsidRPr="0085195B" w:rsidRDefault="0085195B" w:rsidP="0085195B">
      <w:pPr>
        <w:spacing w:line="360" w:lineRule="auto"/>
        <w:ind w:left="1440"/>
        <w:jc w:val="both"/>
        <w:rPr>
          <w:rFonts w:cs="Arial"/>
          <w:i/>
          <w:iCs/>
          <w:lang w:eastAsia="en-ZA"/>
        </w:rPr>
      </w:pPr>
      <w:r w:rsidRPr="0085195B">
        <w:rPr>
          <w:rFonts w:cs="Arial"/>
          <w:i/>
          <w:iCs/>
          <w:lang w:eastAsia="en-ZA"/>
        </w:rPr>
        <w:t>(iii)   it is otherwise just and equitable to do so for financial reasons,</w:t>
      </w:r>
    </w:p>
    <w:p w14:paraId="76EC371C" w14:textId="77777777" w:rsidR="0085195B" w:rsidRPr="0085195B" w:rsidRDefault="0085195B" w:rsidP="0085195B">
      <w:pPr>
        <w:spacing w:line="360" w:lineRule="auto"/>
        <w:ind w:left="1440"/>
        <w:jc w:val="both"/>
        <w:rPr>
          <w:rFonts w:cs="Arial"/>
          <w:i/>
          <w:iCs/>
          <w:lang w:eastAsia="en-ZA"/>
        </w:rPr>
      </w:pPr>
      <w:r w:rsidRPr="0085195B">
        <w:rPr>
          <w:rFonts w:cs="Arial"/>
          <w:i/>
          <w:iCs/>
          <w:lang w:eastAsia="en-ZA"/>
        </w:rPr>
        <w:t>and there is a reasonable prospect for rescuing the company; or</w:t>
      </w:r>
    </w:p>
    <w:p w14:paraId="5F0B25CE" w14:textId="03DDDA3A"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(b)</w:t>
      </w:r>
      <w:r w:rsidRPr="002F2C89">
        <w:rPr>
          <w:rFonts w:cs="Arial"/>
          <w:i/>
          <w:iCs/>
          <w:lang w:eastAsia="en-ZA"/>
        </w:rPr>
        <w:tab/>
      </w:r>
      <w:r w:rsidR="0085195B" w:rsidRPr="00401AD1">
        <w:rPr>
          <w:rFonts w:cs="Arial"/>
          <w:i/>
          <w:iCs/>
          <w:lang w:eastAsia="en-ZA"/>
        </w:rPr>
        <w:t>dismissing the application, together with any further necessary and appropriate order, including an order placing the company under liquidation.</w:t>
      </w:r>
    </w:p>
    <w:p w14:paraId="49B63AC2" w14:textId="3EC5CEE7"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(5)</w:t>
      </w:r>
      <w:r w:rsidRPr="002F2C89">
        <w:rPr>
          <w:rFonts w:cs="Arial"/>
          <w:i/>
          <w:iCs/>
          <w:lang w:eastAsia="en-ZA"/>
        </w:rPr>
        <w:tab/>
      </w:r>
      <w:r w:rsidR="0085195B" w:rsidRPr="00401AD1">
        <w:rPr>
          <w:rFonts w:cs="Arial"/>
          <w:i/>
          <w:iCs/>
          <w:lang w:eastAsia="en-ZA"/>
        </w:rPr>
        <w:t xml:space="preserve">If the court makes an order in terms of subsection (4) (a), the court may make a further order appointing as interim practitioner a person </w:t>
      </w:r>
      <w:r w:rsidR="0085195B" w:rsidRPr="00401AD1">
        <w:rPr>
          <w:rFonts w:cs="Arial"/>
          <w:i/>
          <w:iCs/>
          <w:lang w:eastAsia="en-ZA"/>
        </w:rPr>
        <w:lastRenderedPageBreak/>
        <w:t>who satisfies the requirements of section 138, and who has been nominated by the affected person who applied in terms of subsection (1), subject to ratification by the holders of a majority of the independent creditors' voting interests at the first meeting of creditors, as contemplated in section 147.</w:t>
      </w:r>
    </w:p>
    <w:p w14:paraId="6EF90608" w14:textId="63C432C1"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(6)</w:t>
      </w:r>
      <w:r w:rsidRPr="002F2C89">
        <w:rPr>
          <w:rFonts w:cs="Arial"/>
          <w:i/>
          <w:iCs/>
          <w:lang w:eastAsia="en-ZA"/>
        </w:rPr>
        <w:tab/>
      </w:r>
      <w:r w:rsidR="0085195B" w:rsidRPr="00401AD1">
        <w:rPr>
          <w:rFonts w:cs="Arial"/>
          <w:i/>
          <w:iCs/>
          <w:lang w:eastAsia="en-ZA"/>
        </w:rPr>
        <w:t>If liquidation proceedings have already been commenced by or against the company at the time an application is made in terms of subsection (1), the application will suspend those liquidation proceedings until-</w:t>
      </w:r>
    </w:p>
    <w:p w14:paraId="62694DC6" w14:textId="6EC01D0B"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(a)</w:t>
      </w:r>
      <w:r w:rsidRPr="002F2C89">
        <w:rPr>
          <w:rFonts w:cs="Arial"/>
          <w:i/>
          <w:iCs/>
          <w:lang w:eastAsia="en-ZA"/>
        </w:rPr>
        <w:tab/>
      </w:r>
      <w:r w:rsidR="0085195B" w:rsidRPr="00401AD1">
        <w:rPr>
          <w:rFonts w:cs="Arial"/>
          <w:i/>
          <w:iCs/>
          <w:lang w:eastAsia="en-ZA"/>
        </w:rPr>
        <w:t>the court has adjudicated upon the application; or</w:t>
      </w:r>
    </w:p>
    <w:p w14:paraId="7CD9A248" w14:textId="3A6FB54C"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(b)</w:t>
      </w:r>
      <w:r w:rsidRPr="002F2C89">
        <w:rPr>
          <w:rFonts w:cs="Arial"/>
          <w:i/>
          <w:iCs/>
          <w:lang w:eastAsia="en-ZA"/>
        </w:rPr>
        <w:tab/>
      </w:r>
      <w:r w:rsidR="0085195B" w:rsidRPr="00401AD1">
        <w:rPr>
          <w:rFonts w:cs="Arial"/>
          <w:i/>
          <w:iCs/>
          <w:lang w:eastAsia="en-ZA"/>
        </w:rPr>
        <w:t>the business rescue proceedings end, if the court makes the order applied for.</w:t>
      </w:r>
    </w:p>
    <w:p w14:paraId="44339FF0" w14:textId="6768C15C"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(7)</w:t>
      </w:r>
      <w:r w:rsidRPr="002F2C89">
        <w:rPr>
          <w:rFonts w:cs="Arial"/>
          <w:i/>
          <w:iCs/>
          <w:lang w:eastAsia="en-ZA"/>
        </w:rPr>
        <w:tab/>
      </w:r>
      <w:r w:rsidR="0085195B" w:rsidRPr="00401AD1">
        <w:rPr>
          <w:rFonts w:cs="Arial"/>
          <w:i/>
          <w:iCs/>
          <w:lang w:eastAsia="en-ZA"/>
        </w:rPr>
        <w:t>In addition to the powers of a court on an application contemplated in this section, a court may make an order contemplated in subsection (4), or (5) if applicable, at any time during the course of any liquidation proceedings or proceedings to enforce any security against the company.</w:t>
      </w:r>
    </w:p>
    <w:p w14:paraId="0B8B96BA" w14:textId="08AC6209" w:rsidR="0085195B" w:rsidRPr="00401AD1" w:rsidRDefault="00401AD1" w:rsidP="00401AD1">
      <w:pPr>
        <w:spacing w:line="360" w:lineRule="auto"/>
        <w:ind w:left="1800" w:hanging="360"/>
        <w:jc w:val="both"/>
        <w:rPr>
          <w:rFonts w:cs="Arial"/>
          <w:i/>
          <w:iCs/>
          <w:lang w:eastAsia="en-ZA"/>
        </w:rPr>
      </w:pPr>
      <w:r w:rsidRPr="002F2C89">
        <w:rPr>
          <w:rFonts w:cs="Arial"/>
          <w:i/>
          <w:iCs/>
          <w:lang w:eastAsia="en-ZA"/>
        </w:rPr>
        <w:t>(8)</w:t>
      </w:r>
      <w:r w:rsidRPr="002F2C89">
        <w:rPr>
          <w:rFonts w:cs="Arial"/>
          <w:i/>
          <w:iCs/>
          <w:lang w:eastAsia="en-ZA"/>
        </w:rPr>
        <w:tab/>
      </w:r>
      <w:r w:rsidR="0085195B" w:rsidRPr="00401AD1">
        <w:rPr>
          <w:rFonts w:cs="Arial"/>
          <w:i/>
          <w:iCs/>
          <w:lang w:eastAsia="en-ZA"/>
        </w:rPr>
        <w:t>A company that has been placed under supervision in terms of this section-</w:t>
      </w:r>
    </w:p>
    <w:p w14:paraId="6049EC5D" w14:textId="1562275D" w:rsidR="002F2C89" w:rsidRPr="00401AD1" w:rsidRDefault="00401AD1" w:rsidP="00401AD1">
      <w:pPr>
        <w:spacing w:line="360" w:lineRule="auto"/>
        <w:ind w:left="2520" w:hanging="360"/>
        <w:jc w:val="both"/>
        <w:rPr>
          <w:rFonts w:cs="Arial"/>
          <w:i/>
          <w:iCs/>
          <w:lang w:eastAsia="en-ZA"/>
        </w:rPr>
      </w:pPr>
      <w:r>
        <w:rPr>
          <w:rFonts w:cs="Arial"/>
          <w:i/>
          <w:iCs/>
          <w:lang w:eastAsia="en-ZA"/>
        </w:rPr>
        <w:t>(a)</w:t>
      </w:r>
      <w:r>
        <w:rPr>
          <w:rFonts w:cs="Arial"/>
          <w:i/>
          <w:iCs/>
          <w:lang w:eastAsia="en-ZA"/>
        </w:rPr>
        <w:tab/>
      </w:r>
      <w:r w:rsidR="0085195B" w:rsidRPr="00401AD1">
        <w:rPr>
          <w:rFonts w:cs="Arial"/>
          <w:i/>
          <w:iCs/>
          <w:lang w:eastAsia="en-ZA"/>
        </w:rPr>
        <w:t>may not adopt a resolution placing itself in liquidation until the business rescue proceedings have ended as determined in accordance with section 132 (2); and</w:t>
      </w:r>
    </w:p>
    <w:p w14:paraId="3AD59F0A" w14:textId="5BA18E11" w:rsidR="0085195B" w:rsidRPr="00401AD1" w:rsidRDefault="00401AD1" w:rsidP="00401AD1">
      <w:pPr>
        <w:spacing w:line="360" w:lineRule="auto"/>
        <w:ind w:left="2520" w:hanging="360"/>
        <w:jc w:val="both"/>
        <w:rPr>
          <w:rFonts w:cs="Arial"/>
          <w:i/>
          <w:iCs/>
          <w:lang w:eastAsia="en-ZA"/>
        </w:rPr>
      </w:pPr>
      <w:r w:rsidRPr="002F2C89">
        <w:rPr>
          <w:rFonts w:cs="Arial"/>
          <w:i/>
          <w:iCs/>
          <w:lang w:eastAsia="en-ZA"/>
        </w:rPr>
        <w:t>(b)</w:t>
      </w:r>
      <w:r w:rsidRPr="002F2C89">
        <w:rPr>
          <w:rFonts w:cs="Arial"/>
          <w:i/>
          <w:iCs/>
          <w:lang w:eastAsia="en-ZA"/>
        </w:rPr>
        <w:tab/>
      </w:r>
      <w:r w:rsidR="0085195B" w:rsidRPr="00401AD1">
        <w:rPr>
          <w:rFonts w:cs="Arial"/>
          <w:i/>
          <w:iCs/>
          <w:lang w:eastAsia="en-ZA"/>
        </w:rPr>
        <w:t> must notify each affected person of the order within five business days after the date of the order.”</w:t>
      </w:r>
    </w:p>
    <w:p w14:paraId="024BB1D9" w14:textId="77777777" w:rsidR="008F280F" w:rsidRDefault="008F280F" w:rsidP="002F2C89">
      <w:pPr>
        <w:widowControl w:val="0"/>
        <w:spacing w:before="240" w:after="240" w:line="360" w:lineRule="auto"/>
        <w:jc w:val="both"/>
        <w:rPr>
          <w:rFonts w:cs="Arial"/>
          <w:bCs/>
          <w:color w:val="000000" w:themeColor="text1"/>
          <w:szCs w:val="22"/>
          <w:u w:val="single"/>
        </w:rPr>
      </w:pPr>
    </w:p>
    <w:p w14:paraId="3FE80A4C" w14:textId="43CF49B6" w:rsidR="002F2C89" w:rsidRPr="002F2C89" w:rsidRDefault="002F2C89" w:rsidP="002F2C89">
      <w:pPr>
        <w:widowControl w:val="0"/>
        <w:spacing w:before="240" w:after="240" w:line="360" w:lineRule="auto"/>
        <w:jc w:val="both"/>
        <w:rPr>
          <w:rFonts w:cs="Arial"/>
          <w:bCs/>
          <w:color w:val="000000" w:themeColor="text1"/>
          <w:szCs w:val="22"/>
          <w:u w:val="single"/>
        </w:rPr>
      </w:pPr>
      <w:r w:rsidRPr="002F2C89">
        <w:rPr>
          <w:rFonts w:cs="Arial"/>
          <w:bCs/>
          <w:color w:val="000000" w:themeColor="text1"/>
          <w:szCs w:val="22"/>
          <w:u w:val="single"/>
        </w:rPr>
        <w:t>Urgency</w:t>
      </w:r>
    </w:p>
    <w:p w14:paraId="7D9F5986" w14:textId="7A77F796" w:rsidR="00CA451F" w:rsidRPr="00401AD1" w:rsidRDefault="00401AD1" w:rsidP="00401AD1">
      <w:pPr>
        <w:widowControl w:val="0"/>
        <w:tabs>
          <w:tab w:val="left" w:pos="567"/>
        </w:tabs>
        <w:spacing w:before="240" w:after="240" w:line="360" w:lineRule="auto"/>
        <w:jc w:val="both"/>
        <w:rPr>
          <w:rFonts w:cs="Arial"/>
          <w:bCs/>
          <w:color w:val="000000" w:themeColor="text1"/>
          <w:szCs w:val="22"/>
        </w:rPr>
      </w:pPr>
      <w:r w:rsidRPr="00CA451F">
        <w:rPr>
          <w:rFonts w:cs="Arial"/>
          <w:bCs/>
          <w:szCs w:val="22"/>
        </w:rPr>
        <w:t>[9]</w:t>
      </w:r>
      <w:r w:rsidRPr="00CA451F">
        <w:rPr>
          <w:rFonts w:cs="Arial"/>
          <w:bCs/>
          <w:szCs w:val="22"/>
        </w:rPr>
        <w:tab/>
      </w:r>
      <w:r w:rsidR="0010233F" w:rsidRPr="00401AD1">
        <w:rPr>
          <w:rFonts w:cs="Arial"/>
          <w:bCs/>
          <w:color w:val="000000" w:themeColor="text1"/>
          <w:szCs w:val="22"/>
        </w:rPr>
        <w:t xml:space="preserve">There is a wealth of authority on the subject of </w:t>
      </w:r>
      <w:r w:rsidR="0085195B" w:rsidRPr="00401AD1">
        <w:rPr>
          <w:rFonts w:cs="Arial"/>
          <w:bCs/>
          <w:color w:val="000000" w:themeColor="text1"/>
          <w:szCs w:val="22"/>
        </w:rPr>
        <w:t xml:space="preserve">urgent </w:t>
      </w:r>
      <w:r w:rsidR="0010233F" w:rsidRPr="00401AD1">
        <w:rPr>
          <w:rFonts w:cs="Arial"/>
          <w:bCs/>
          <w:color w:val="000000" w:themeColor="text1"/>
          <w:szCs w:val="22"/>
        </w:rPr>
        <w:t>applications.</w:t>
      </w:r>
      <w:r w:rsidR="0010233F">
        <w:rPr>
          <w:rStyle w:val="FootnoteReference"/>
          <w:rFonts w:cs="Arial"/>
          <w:bCs/>
          <w:color w:val="000000" w:themeColor="text1"/>
          <w:szCs w:val="22"/>
        </w:rPr>
        <w:footnoteReference w:id="2"/>
      </w:r>
      <w:r w:rsidR="0010233F" w:rsidRPr="00401AD1">
        <w:rPr>
          <w:rFonts w:cs="Arial"/>
          <w:bCs/>
          <w:color w:val="000000" w:themeColor="text1"/>
          <w:szCs w:val="22"/>
        </w:rPr>
        <w:t xml:space="preserve"> </w:t>
      </w:r>
      <w:r w:rsidR="00CA451F" w:rsidRPr="00401AD1">
        <w:rPr>
          <w:rFonts w:cs="Arial"/>
          <w:bCs/>
          <w:iCs/>
          <w:szCs w:val="22"/>
        </w:rPr>
        <w:t xml:space="preserve">An urgent application must be brought as soon as possible and an applicant is expected to </w:t>
      </w:r>
      <w:r w:rsidR="003E7E6E" w:rsidRPr="00401AD1">
        <w:rPr>
          <w:rFonts w:cs="Arial"/>
          <w:bCs/>
          <w:iCs/>
          <w:szCs w:val="22"/>
        </w:rPr>
        <w:t>furnish</w:t>
      </w:r>
      <w:r w:rsidR="00CA451F" w:rsidRPr="00401AD1">
        <w:rPr>
          <w:rFonts w:cs="Arial"/>
          <w:bCs/>
          <w:iCs/>
          <w:szCs w:val="22"/>
        </w:rPr>
        <w:t xml:space="preserve"> </w:t>
      </w:r>
      <w:r w:rsidR="00CA451F" w:rsidRPr="00401AD1">
        <w:rPr>
          <w:rFonts w:cs="Arial"/>
          <w:bCs/>
          <w:iCs/>
          <w:szCs w:val="22"/>
        </w:rPr>
        <w:lastRenderedPageBreak/>
        <w:t>cogent reasons for any delay.</w:t>
      </w:r>
      <w:r w:rsidR="00CA451F">
        <w:rPr>
          <w:rStyle w:val="FootnoteReference"/>
          <w:rFonts w:cs="Arial"/>
          <w:bCs/>
          <w:iCs/>
          <w:szCs w:val="22"/>
        </w:rPr>
        <w:footnoteReference w:id="3"/>
      </w:r>
      <w:r w:rsidR="00CA451F" w:rsidRPr="00401AD1">
        <w:rPr>
          <w:rFonts w:cs="Arial"/>
          <w:bCs/>
          <w:iCs/>
          <w:szCs w:val="22"/>
        </w:rPr>
        <w:t xml:space="preserve"> </w:t>
      </w:r>
    </w:p>
    <w:p w14:paraId="34CE183E" w14:textId="5937AA30" w:rsidR="0010233F" w:rsidRPr="00CA451F" w:rsidRDefault="0010233F" w:rsidP="00CA451F">
      <w:pPr>
        <w:widowControl w:val="0"/>
        <w:spacing w:before="240" w:after="240" w:line="360" w:lineRule="auto"/>
        <w:jc w:val="both"/>
        <w:rPr>
          <w:rFonts w:cs="Arial"/>
          <w:bCs/>
          <w:color w:val="000000" w:themeColor="text1"/>
          <w:szCs w:val="22"/>
        </w:rPr>
      </w:pPr>
      <w:r w:rsidRPr="00CA451F">
        <w:rPr>
          <w:rFonts w:cs="Arial"/>
          <w:bCs/>
          <w:color w:val="000000" w:themeColor="text1"/>
          <w:szCs w:val="22"/>
        </w:rPr>
        <w:t xml:space="preserve">Questions of urgency and degrees of urgency are questions of fact. Business rescue proceedings are usually </w:t>
      </w:r>
      <w:r w:rsidR="008F280F">
        <w:rPr>
          <w:rFonts w:cs="Arial"/>
          <w:bCs/>
          <w:color w:val="000000" w:themeColor="text1"/>
          <w:szCs w:val="22"/>
        </w:rPr>
        <w:t xml:space="preserve">if not always </w:t>
      </w:r>
      <w:r w:rsidRPr="00CA451F">
        <w:rPr>
          <w:rFonts w:cs="Arial"/>
          <w:bCs/>
          <w:color w:val="000000" w:themeColor="text1"/>
          <w:szCs w:val="22"/>
        </w:rPr>
        <w:t xml:space="preserve">by their very nature urgent to some or other degree. If a company can be rescued from doom with an attendant loss of wealth generation, employment opportunities, contribution to the </w:t>
      </w:r>
      <w:r w:rsidRPr="00CA451F">
        <w:rPr>
          <w:rFonts w:cs="Arial"/>
          <w:bCs/>
          <w:i/>
          <w:iCs/>
          <w:color w:val="000000" w:themeColor="text1"/>
          <w:szCs w:val="22"/>
        </w:rPr>
        <w:t>f</w:t>
      </w:r>
      <w:r w:rsidR="003F7A0B" w:rsidRPr="00CA451F">
        <w:rPr>
          <w:rFonts w:cs="Arial"/>
          <w:bCs/>
          <w:i/>
          <w:iCs/>
          <w:color w:val="000000" w:themeColor="text1"/>
          <w:szCs w:val="22"/>
        </w:rPr>
        <w:t>iscus</w:t>
      </w:r>
      <w:r w:rsidRPr="00CA451F">
        <w:rPr>
          <w:rFonts w:cs="Arial"/>
          <w:bCs/>
          <w:color w:val="000000" w:themeColor="text1"/>
          <w:szCs w:val="22"/>
        </w:rPr>
        <w:t xml:space="preserve"> through taxes, and the maintenance of a strong </w:t>
      </w:r>
      <w:r w:rsidR="004B20EE" w:rsidRPr="00CA451F">
        <w:rPr>
          <w:rFonts w:cs="Arial"/>
          <w:bCs/>
          <w:color w:val="000000" w:themeColor="text1"/>
          <w:szCs w:val="22"/>
        </w:rPr>
        <w:t xml:space="preserve">South African </w:t>
      </w:r>
      <w:r w:rsidRPr="00CA451F">
        <w:rPr>
          <w:rFonts w:cs="Arial"/>
          <w:bCs/>
          <w:color w:val="000000" w:themeColor="text1"/>
          <w:szCs w:val="22"/>
        </w:rPr>
        <w:t>economy</w:t>
      </w:r>
      <w:r w:rsidR="00CA451F">
        <w:rPr>
          <w:rFonts w:cs="Arial"/>
          <w:bCs/>
          <w:color w:val="000000" w:themeColor="text1"/>
          <w:szCs w:val="22"/>
        </w:rPr>
        <w:t>,</w:t>
      </w:r>
      <w:r w:rsidRPr="00CA451F">
        <w:rPr>
          <w:rFonts w:cs="Arial"/>
          <w:bCs/>
          <w:color w:val="000000" w:themeColor="text1"/>
          <w:szCs w:val="22"/>
        </w:rPr>
        <w:t xml:space="preserve"> it is in </w:t>
      </w:r>
      <w:r w:rsidR="003F7A0B" w:rsidRPr="00CA451F">
        <w:rPr>
          <w:rFonts w:cs="Arial"/>
          <w:bCs/>
          <w:color w:val="000000" w:themeColor="text1"/>
          <w:szCs w:val="22"/>
        </w:rPr>
        <w:t xml:space="preserve">the interest of all parties and in </w:t>
      </w:r>
      <w:r w:rsidRPr="00CA451F">
        <w:rPr>
          <w:rFonts w:cs="Arial"/>
          <w:bCs/>
          <w:color w:val="000000" w:themeColor="text1"/>
          <w:szCs w:val="22"/>
        </w:rPr>
        <w:t>the public interest that this be done sooner rather than later. Business rescue proceedings -</w:t>
      </w:r>
    </w:p>
    <w:p w14:paraId="20EA2BA7" w14:textId="30C5A506" w:rsidR="0010233F" w:rsidRPr="0010233F" w:rsidRDefault="0010233F" w:rsidP="0010233F">
      <w:pPr>
        <w:widowControl w:val="0"/>
        <w:spacing w:before="240" w:after="240" w:line="360" w:lineRule="auto"/>
        <w:ind w:left="1440"/>
        <w:jc w:val="both"/>
        <w:rPr>
          <w:rFonts w:cs="Arial"/>
          <w:bCs/>
          <w:i/>
          <w:iCs/>
          <w:color w:val="000000" w:themeColor="text1"/>
          <w:szCs w:val="22"/>
        </w:rPr>
      </w:pPr>
      <w:r w:rsidRPr="0010233F">
        <w:rPr>
          <w:rFonts w:cs="Arial"/>
          <w:bCs/>
          <w:i/>
          <w:iCs/>
          <w:color w:val="000000" w:themeColor="text1"/>
          <w:szCs w:val="22"/>
        </w:rPr>
        <w:t>“by their very nature, must be conducted with the maximum possible expedition. In most cases a failure to expeditiously implement rescue measures when a company is in financial distress will lessen or entirely negate the prospect of effective rescue.”</w:t>
      </w:r>
      <w:r w:rsidR="004B65FD">
        <w:rPr>
          <w:rStyle w:val="FootnoteReference"/>
          <w:rFonts w:cs="Arial"/>
          <w:bCs/>
          <w:i/>
          <w:iCs/>
          <w:color w:val="000000" w:themeColor="text1"/>
          <w:szCs w:val="22"/>
        </w:rPr>
        <w:footnoteReference w:id="4"/>
      </w:r>
    </w:p>
    <w:p w14:paraId="12E5C518" w14:textId="41C8E6C2" w:rsidR="0010233F" w:rsidRPr="00401AD1" w:rsidRDefault="00401AD1" w:rsidP="00401AD1">
      <w:pPr>
        <w:widowControl w:val="0"/>
        <w:tabs>
          <w:tab w:val="left" w:pos="567"/>
        </w:tabs>
        <w:spacing w:before="240" w:after="240" w:line="360" w:lineRule="auto"/>
        <w:jc w:val="both"/>
        <w:rPr>
          <w:rFonts w:cs="Arial"/>
          <w:bCs/>
          <w:color w:val="000000" w:themeColor="text1"/>
          <w:szCs w:val="22"/>
        </w:rPr>
      </w:pPr>
      <w:r w:rsidRPr="00E201D9">
        <w:rPr>
          <w:rFonts w:cs="Arial"/>
          <w:bCs/>
          <w:szCs w:val="22"/>
        </w:rPr>
        <w:t>[10]</w:t>
      </w:r>
      <w:r w:rsidRPr="00E201D9">
        <w:rPr>
          <w:rFonts w:cs="Arial"/>
          <w:bCs/>
          <w:szCs w:val="22"/>
        </w:rPr>
        <w:tab/>
      </w:r>
      <w:r w:rsidR="004B20EE" w:rsidRPr="00401AD1">
        <w:rPr>
          <w:rFonts w:cs="Arial"/>
          <w:bCs/>
          <w:color w:val="000000" w:themeColor="text1"/>
          <w:szCs w:val="22"/>
        </w:rPr>
        <w:t>In my view a</w:t>
      </w:r>
      <w:r w:rsidR="0010233F" w:rsidRPr="00401AD1">
        <w:rPr>
          <w:rFonts w:cs="Arial"/>
          <w:bCs/>
          <w:color w:val="000000" w:themeColor="text1"/>
          <w:szCs w:val="22"/>
        </w:rPr>
        <w:t xml:space="preserve"> proper case has been made out </w:t>
      </w:r>
      <w:r w:rsidR="00CA451F" w:rsidRPr="00401AD1">
        <w:rPr>
          <w:rFonts w:cs="Arial"/>
          <w:bCs/>
          <w:color w:val="000000" w:themeColor="text1"/>
          <w:szCs w:val="22"/>
        </w:rPr>
        <w:t xml:space="preserve">to invoke </w:t>
      </w:r>
      <w:r w:rsidR="0010233F" w:rsidRPr="00401AD1">
        <w:rPr>
          <w:rFonts w:cs="Arial"/>
          <w:bCs/>
          <w:color w:val="000000" w:themeColor="text1"/>
          <w:szCs w:val="22"/>
        </w:rPr>
        <w:t xml:space="preserve">rule 6 (12). </w:t>
      </w:r>
    </w:p>
    <w:p w14:paraId="09906F13" w14:textId="77777777" w:rsidR="002F2C89" w:rsidRDefault="002F2C89" w:rsidP="002F2C89">
      <w:pPr>
        <w:widowControl w:val="0"/>
        <w:spacing w:before="240" w:after="240" w:line="360" w:lineRule="auto"/>
        <w:jc w:val="both"/>
        <w:rPr>
          <w:rFonts w:cs="Arial"/>
          <w:bCs/>
          <w:szCs w:val="22"/>
          <w:u w:val="single"/>
        </w:rPr>
      </w:pPr>
    </w:p>
    <w:p w14:paraId="6CAF193B" w14:textId="67C84874" w:rsidR="002F2C89" w:rsidRPr="002F2C89" w:rsidRDefault="002F2C89" w:rsidP="002F2C89">
      <w:pPr>
        <w:widowControl w:val="0"/>
        <w:spacing w:before="240" w:after="240" w:line="360" w:lineRule="auto"/>
        <w:jc w:val="both"/>
        <w:rPr>
          <w:rFonts w:cs="Arial"/>
          <w:bCs/>
          <w:szCs w:val="22"/>
          <w:u w:val="single"/>
        </w:rPr>
      </w:pPr>
      <w:r w:rsidRPr="002F2C89">
        <w:rPr>
          <w:rFonts w:cs="Arial"/>
          <w:bCs/>
          <w:szCs w:val="22"/>
          <w:u w:val="single"/>
        </w:rPr>
        <w:t>Reasonable prospects of success</w:t>
      </w:r>
    </w:p>
    <w:p w14:paraId="3AFECBC3" w14:textId="1EF01108" w:rsidR="008F280F"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[11]</w:t>
      </w:r>
      <w:r>
        <w:rPr>
          <w:rFonts w:cs="Arial"/>
          <w:bCs/>
          <w:szCs w:val="22"/>
        </w:rPr>
        <w:tab/>
      </w:r>
      <w:r w:rsidR="001E506A" w:rsidRPr="00401AD1">
        <w:rPr>
          <w:rFonts w:cs="Arial"/>
          <w:bCs/>
          <w:szCs w:val="22"/>
        </w:rPr>
        <w:t xml:space="preserve">The Companies Act of 2008 has done away with the </w:t>
      </w:r>
      <w:r w:rsidR="001E506A" w:rsidRPr="00401AD1">
        <w:rPr>
          <w:rFonts w:cs="Arial"/>
          <w:bCs/>
          <w:i/>
          <w:iCs/>
          <w:szCs w:val="22"/>
        </w:rPr>
        <w:t>“cumbersome procedure”</w:t>
      </w:r>
      <w:r w:rsidR="001E506A" w:rsidRPr="00401AD1">
        <w:rPr>
          <w:rFonts w:cs="Arial"/>
          <w:bCs/>
          <w:szCs w:val="22"/>
        </w:rPr>
        <w:t xml:space="preserve"> described as judicial management in the previous Companies Act 61 of 1973.</w:t>
      </w:r>
      <w:r w:rsidR="001E506A">
        <w:rPr>
          <w:rStyle w:val="FootnoteReference"/>
          <w:rFonts w:cs="Arial"/>
          <w:bCs/>
          <w:szCs w:val="22"/>
        </w:rPr>
        <w:footnoteReference w:id="5"/>
      </w:r>
      <w:r w:rsidR="001E506A" w:rsidRPr="00401AD1">
        <w:rPr>
          <w:rFonts w:cs="Arial"/>
          <w:bCs/>
          <w:szCs w:val="22"/>
        </w:rPr>
        <w:t xml:space="preserve"> under the 1973 Act a reasonable probability of success was required. The Act of 2008 introduced a </w:t>
      </w:r>
      <w:r w:rsidR="008F280F" w:rsidRPr="00401AD1">
        <w:rPr>
          <w:rFonts w:cs="Arial"/>
          <w:bCs/>
          <w:szCs w:val="22"/>
        </w:rPr>
        <w:t xml:space="preserve">less onerous, </w:t>
      </w:r>
      <w:r w:rsidR="001E506A" w:rsidRPr="00401AD1">
        <w:rPr>
          <w:rFonts w:cs="Arial"/>
          <w:bCs/>
          <w:szCs w:val="22"/>
        </w:rPr>
        <w:t xml:space="preserve">more flexible and practical approach. </w:t>
      </w:r>
      <w:r w:rsidR="003F7A0B" w:rsidRPr="00401AD1">
        <w:rPr>
          <w:rFonts w:cs="Arial"/>
          <w:bCs/>
          <w:szCs w:val="22"/>
        </w:rPr>
        <w:t>The applicant must satisfy</w:t>
      </w:r>
      <w:r w:rsidR="003F7A0B">
        <w:rPr>
          <w:rStyle w:val="FootnoteReference"/>
          <w:rFonts w:cs="Arial"/>
          <w:bCs/>
          <w:szCs w:val="22"/>
        </w:rPr>
        <w:footnoteReference w:id="6"/>
      </w:r>
      <w:r w:rsidR="003F7A0B" w:rsidRPr="00401AD1">
        <w:rPr>
          <w:rFonts w:cs="Arial"/>
          <w:bCs/>
          <w:szCs w:val="22"/>
        </w:rPr>
        <w:t xml:space="preserve"> the court that there is a reasonable prospect</w:t>
      </w:r>
      <w:r w:rsidR="000D6D91">
        <w:rPr>
          <w:rStyle w:val="FootnoteReference"/>
          <w:rFonts w:cs="Arial"/>
          <w:bCs/>
          <w:szCs w:val="22"/>
        </w:rPr>
        <w:footnoteReference w:id="7"/>
      </w:r>
      <w:r w:rsidR="003F7A0B" w:rsidRPr="00401AD1">
        <w:rPr>
          <w:rFonts w:cs="Arial"/>
          <w:bCs/>
          <w:szCs w:val="22"/>
        </w:rPr>
        <w:t xml:space="preserve"> that the company can be rescued by being placed under supervision</w:t>
      </w:r>
      <w:r w:rsidR="00634D5E" w:rsidRPr="00401AD1">
        <w:rPr>
          <w:rFonts w:cs="Arial"/>
          <w:bCs/>
          <w:szCs w:val="22"/>
        </w:rPr>
        <w:t>.</w:t>
      </w:r>
      <w:r w:rsidR="00634D5E">
        <w:rPr>
          <w:rStyle w:val="FootnoteReference"/>
          <w:rFonts w:cs="Arial"/>
          <w:bCs/>
          <w:i/>
          <w:iCs/>
          <w:color w:val="000000" w:themeColor="text1"/>
          <w:szCs w:val="22"/>
        </w:rPr>
        <w:footnoteReference w:id="8"/>
      </w:r>
      <w:r w:rsidR="003F7A0B" w:rsidRPr="00401AD1">
        <w:rPr>
          <w:rFonts w:cs="Arial"/>
          <w:bCs/>
          <w:szCs w:val="22"/>
        </w:rPr>
        <w:t xml:space="preserve"> </w:t>
      </w:r>
    </w:p>
    <w:p w14:paraId="1972841F" w14:textId="6A88D91F" w:rsidR="008F280F" w:rsidRPr="008F280F" w:rsidRDefault="008F280F" w:rsidP="008F280F">
      <w:pPr>
        <w:widowControl w:val="0"/>
        <w:spacing w:before="240" w:after="240" w:line="360" w:lineRule="auto"/>
        <w:jc w:val="both"/>
        <w:rPr>
          <w:rFonts w:cs="Arial"/>
          <w:bCs/>
          <w:szCs w:val="22"/>
        </w:rPr>
      </w:pPr>
      <w:r>
        <w:rPr>
          <w:rFonts w:cs="Arial"/>
          <w:bCs/>
          <w:szCs w:val="22"/>
        </w:rPr>
        <w:t>The court must consider the application on its merits and must also guard against the possible abuse of the procedure.</w:t>
      </w:r>
      <w:r>
        <w:rPr>
          <w:rStyle w:val="FootnoteReference"/>
          <w:rFonts w:cs="Arial"/>
          <w:bCs/>
          <w:szCs w:val="22"/>
        </w:rPr>
        <w:footnoteReference w:id="9"/>
      </w:r>
    </w:p>
    <w:p w14:paraId="21EB6590" w14:textId="61225ABF" w:rsidR="003E7E6E" w:rsidRPr="00401AD1" w:rsidRDefault="00401AD1" w:rsidP="00401AD1">
      <w:pPr>
        <w:widowControl w:val="0"/>
        <w:tabs>
          <w:tab w:val="left" w:pos="567"/>
        </w:tabs>
        <w:spacing w:before="240" w:after="240" w:line="360" w:lineRule="auto"/>
        <w:jc w:val="both"/>
        <w:rPr>
          <w:rFonts w:cs="Arial"/>
          <w:bCs/>
          <w:szCs w:val="22"/>
        </w:rPr>
      </w:pPr>
      <w:r>
        <w:rPr>
          <w:rFonts w:cs="Arial"/>
          <w:bCs/>
          <w:szCs w:val="22"/>
        </w:rPr>
        <w:lastRenderedPageBreak/>
        <w:t>[12]</w:t>
      </w:r>
      <w:r>
        <w:rPr>
          <w:rFonts w:cs="Arial"/>
          <w:bCs/>
          <w:szCs w:val="22"/>
        </w:rPr>
        <w:tab/>
      </w:r>
      <w:r w:rsidR="003F7A0B" w:rsidRPr="00401AD1">
        <w:rPr>
          <w:rFonts w:cs="Arial"/>
          <w:bCs/>
          <w:szCs w:val="22"/>
        </w:rPr>
        <w:t xml:space="preserve">The evidence to be placed before the court will depend on the objectives of the proposed rescue (whether it is intended to achieve the long-term </w:t>
      </w:r>
      <w:r w:rsidR="003E7E6E" w:rsidRPr="00401AD1">
        <w:rPr>
          <w:rFonts w:cs="Arial"/>
          <w:bCs/>
          <w:szCs w:val="22"/>
        </w:rPr>
        <w:t>continuation</w:t>
      </w:r>
      <w:r w:rsidR="003F7A0B" w:rsidRPr="00401AD1">
        <w:rPr>
          <w:rFonts w:cs="Arial"/>
          <w:bCs/>
          <w:szCs w:val="22"/>
        </w:rPr>
        <w:t xml:space="preserve"> of the company or merely to ensure a better return for shareholders upon</w:t>
      </w:r>
      <w:r w:rsidR="003E7E6E" w:rsidRPr="00401AD1">
        <w:rPr>
          <w:rFonts w:cs="Arial"/>
          <w:bCs/>
          <w:szCs w:val="22"/>
        </w:rPr>
        <w:t xml:space="preserve"> inevitable</w:t>
      </w:r>
      <w:r w:rsidR="003F7A0B" w:rsidRPr="00401AD1">
        <w:rPr>
          <w:rFonts w:cs="Arial"/>
          <w:bCs/>
          <w:szCs w:val="22"/>
        </w:rPr>
        <w:t xml:space="preserve"> liquidation) and a cogent case must be presented. There must be sufficient factual detail to enable the court to determine whether there is a viable basis for the business rescue or that there is sufficient evidence before the court to justify an investigation in terms of section 141 (1) of the Companies Act.</w:t>
      </w:r>
      <w:r w:rsidR="00634D5E" w:rsidRPr="00401AD1">
        <w:rPr>
          <w:rFonts w:cs="Arial"/>
          <w:bCs/>
          <w:szCs w:val="22"/>
        </w:rPr>
        <w:t xml:space="preserve"> </w:t>
      </w:r>
    </w:p>
    <w:p w14:paraId="539D925B" w14:textId="0864E680" w:rsidR="00634D5E" w:rsidRPr="003E7E6E" w:rsidRDefault="00634D5E" w:rsidP="003E7E6E">
      <w:pPr>
        <w:widowControl w:val="0"/>
        <w:spacing w:before="240" w:after="240" w:line="360" w:lineRule="auto"/>
        <w:jc w:val="both"/>
        <w:rPr>
          <w:rFonts w:cs="Arial"/>
          <w:bCs/>
          <w:szCs w:val="22"/>
        </w:rPr>
      </w:pPr>
      <w:r w:rsidRPr="003E7E6E">
        <w:rPr>
          <w:rFonts w:cs="Arial"/>
          <w:bCs/>
          <w:szCs w:val="22"/>
        </w:rPr>
        <w:t>Vague and speculative averments will not suffice.</w:t>
      </w:r>
    </w:p>
    <w:p w14:paraId="39B85441" w14:textId="605FCDEA" w:rsidR="000D6D91" w:rsidRPr="00401AD1" w:rsidRDefault="00401AD1" w:rsidP="00401AD1">
      <w:pPr>
        <w:widowControl w:val="0"/>
        <w:tabs>
          <w:tab w:val="left" w:pos="567"/>
        </w:tabs>
        <w:spacing w:before="240" w:after="240" w:line="360" w:lineRule="auto"/>
        <w:jc w:val="both"/>
        <w:rPr>
          <w:rFonts w:cs="Arial"/>
          <w:bCs/>
          <w:szCs w:val="22"/>
        </w:rPr>
      </w:pPr>
      <w:r w:rsidRPr="00634D5E">
        <w:rPr>
          <w:rFonts w:cs="Arial"/>
          <w:bCs/>
          <w:szCs w:val="22"/>
        </w:rPr>
        <w:t>[13]</w:t>
      </w:r>
      <w:r w:rsidRPr="00634D5E">
        <w:rPr>
          <w:rFonts w:cs="Arial"/>
          <w:bCs/>
          <w:szCs w:val="22"/>
        </w:rPr>
        <w:tab/>
      </w:r>
      <w:r w:rsidR="000D6D91" w:rsidRPr="00401AD1">
        <w:rPr>
          <w:rFonts w:cs="Arial"/>
          <w:bCs/>
          <w:szCs w:val="22"/>
        </w:rPr>
        <w:t xml:space="preserve">The starting point in any </w:t>
      </w:r>
      <w:r w:rsidR="008D7ED2" w:rsidRPr="00401AD1">
        <w:rPr>
          <w:rFonts w:cs="Arial"/>
          <w:bCs/>
          <w:szCs w:val="22"/>
        </w:rPr>
        <w:t xml:space="preserve">business rescue </w:t>
      </w:r>
      <w:r w:rsidR="00DC775B" w:rsidRPr="00401AD1">
        <w:rPr>
          <w:rFonts w:cs="Arial"/>
          <w:bCs/>
          <w:szCs w:val="22"/>
        </w:rPr>
        <w:t>application</w:t>
      </w:r>
      <w:r w:rsidR="000D6D91" w:rsidRPr="00401AD1">
        <w:rPr>
          <w:rFonts w:cs="Arial"/>
          <w:bCs/>
          <w:szCs w:val="22"/>
        </w:rPr>
        <w:t xml:space="preserve"> must be that the restoration of a viable though troubled company is </w:t>
      </w:r>
      <w:r w:rsidR="008D7ED2" w:rsidRPr="00401AD1">
        <w:rPr>
          <w:rFonts w:cs="Arial"/>
          <w:bCs/>
          <w:szCs w:val="22"/>
        </w:rPr>
        <w:t>p</w:t>
      </w:r>
      <w:r w:rsidR="000D6D91" w:rsidRPr="00401AD1">
        <w:rPr>
          <w:rFonts w:cs="Arial"/>
          <w:bCs/>
          <w:szCs w:val="22"/>
        </w:rPr>
        <w:t>referred to its demise.</w:t>
      </w:r>
      <w:r w:rsidR="000D6D91">
        <w:rPr>
          <w:rStyle w:val="FootnoteReference"/>
          <w:rFonts w:cs="Arial"/>
          <w:bCs/>
          <w:szCs w:val="22"/>
        </w:rPr>
        <w:footnoteReference w:id="10"/>
      </w:r>
    </w:p>
    <w:p w14:paraId="358A58B2" w14:textId="25310FF8" w:rsidR="002F2C89"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[14]</w:t>
      </w:r>
      <w:r>
        <w:rPr>
          <w:rFonts w:cs="Arial"/>
          <w:bCs/>
          <w:szCs w:val="22"/>
        </w:rPr>
        <w:tab/>
      </w:r>
      <w:r w:rsidR="00AA78B5" w:rsidRPr="00401AD1">
        <w:rPr>
          <w:rFonts w:cs="Arial"/>
          <w:bCs/>
          <w:szCs w:val="22"/>
        </w:rPr>
        <w:t xml:space="preserve">In application proceedings the affidavits serve the purpose of pleadings and evidence. The facts must be set out </w:t>
      </w:r>
      <w:r w:rsidR="00DC775B" w:rsidRPr="00401AD1">
        <w:rPr>
          <w:rFonts w:cs="Arial"/>
          <w:bCs/>
          <w:szCs w:val="22"/>
        </w:rPr>
        <w:t xml:space="preserve">concisely </w:t>
      </w:r>
      <w:r w:rsidR="00AA78B5" w:rsidRPr="00401AD1">
        <w:rPr>
          <w:rFonts w:cs="Arial"/>
          <w:bCs/>
          <w:szCs w:val="22"/>
        </w:rPr>
        <w:t>without argumentative matter and the primary facts from which secondary facts may be inferred must be</w:t>
      </w:r>
      <w:r w:rsidR="00DC775B" w:rsidRPr="00401AD1">
        <w:rPr>
          <w:rFonts w:cs="Arial"/>
          <w:bCs/>
          <w:szCs w:val="22"/>
        </w:rPr>
        <w:t xml:space="preserve"> dealt with</w:t>
      </w:r>
      <w:r w:rsidR="00AA78B5" w:rsidRPr="00401AD1">
        <w:rPr>
          <w:rFonts w:cs="Arial"/>
          <w:bCs/>
          <w:szCs w:val="22"/>
        </w:rPr>
        <w:t>. Without the primary facts the secondary facts are mere speculation.</w:t>
      </w:r>
      <w:r w:rsidR="00AA78B5">
        <w:rPr>
          <w:rStyle w:val="FootnoteReference"/>
          <w:rFonts w:cs="Arial"/>
          <w:bCs/>
          <w:szCs w:val="22"/>
        </w:rPr>
        <w:footnoteReference w:id="11"/>
      </w:r>
    </w:p>
    <w:p w14:paraId="1BEEF137" w14:textId="23A2F09E" w:rsidR="008D7ED2" w:rsidRPr="00401AD1" w:rsidRDefault="00401AD1" w:rsidP="00401AD1">
      <w:pPr>
        <w:widowControl w:val="0"/>
        <w:tabs>
          <w:tab w:val="left" w:pos="567"/>
        </w:tabs>
        <w:spacing w:before="240" w:after="240" w:line="360" w:lineRule="auto"/>
        <w:jc w:val="both"/>
        <w:rPr>
          <w:rFonts w:cs="Arial"/>
          <w:bCs/>
          <w:szCs w:val="22"/>
        </w:rPr>
      </w:pPr>
      <w:r>
        <w:rPr>
          <w:rFonts w:cs="Arial"/>
          <w:bCs/>
          <w:szCs w:val="22"/>
        </w:rPr>
        <w:t>[15]</w:t>
      </w:r>
      <w:r>
        <w:rPr>
          <w:rFonts w:cs="Arial"/>
          <w:bCs/>
          <w:szCs w:val="22"/>
        </w:rPr>
        <w:tab/>
      </w:r>
      <w:r w:rsidR="004B20EE" w:rsidRPr="00401AD1">
        <w:rPr>
          <w:rFonts w:cs="Arial"/>
          <w:bCs/>
          <w:szCs w:val="22"/>
        </w:rPr>
        <w:t>The second applicant is in financial distress.  It  was established in 2006 and it operates in the mining industry</w:t>
      </w:r>
      <w:r w:rsidR="002F2C89" w:rsidRPr="00401AD1">
        <w:rPr>
          <w:rFonts w:cs="Arial"/>
          <w:bCs/>
          <w:szCs w:val="22"/>
        </w:rPr>
        <w:t>.</w:t>
      </w:r>
      <w:r w:rsidR="004B20EE" w:rsidRPr="00401AD1">
        <w:rPr>
          <w:rFonts w:cs="Arial"/>
          <w:bCs/>
          <w:szCs w:val="22"/>
        </w:rPr>
        <w:t xml:space="preserve"> It supplies coal to the domestic and the export market and its largest customer </w:t>
      </w:r>
      <w:r w:rsidR="008D7ED2" w:rsidRPr="00401AD1">
        <w:rPr>
          <w:rFonts w:cs="Arial"/>
          <w:bCs/>
          <w:szCs w:val="22"/>
        </w:rPr>
        <w:t>was</w:t>
      </w:r>
      <w:r w:rsidR="004B20EE" w:rsidRPr="00401AD1">
        <w:rPr>
          <w:rFonts w:cs="Arial"/>
          <w:bCs/>
          <w:szCs w:val="22"/>
        </w:rPr>
        <w:t xml:space="preserve"> the electricity generator Eskom. The second applicant’s agreement with Eskom came to an end on 30 April 2022. </w:t>
      </w:r>
    </w:p>
    <w:p w14:paraId="7B4092A9" w14:textId="759E5586" w:rsidR="00F01A9D" w:rsidRPr="008D7ED2" w:rsidRDefault="004B20EE" w:rsidP="008D7ED2">
      <w:pPr>
        <w:widowControl w:val="0"/>
        <w:spacing w:before="240" w:after="240" w:line="360" w:lineRule="auto"/>
        <w:jc w:val="both"/>
        <w:rPr>
          <w:rFonts w:cs="Arial"/>
          <w:bCs/>
          <w:szCs w:val="22"/>
        </w:rPr>
      </w:pPr>
      <w:r w:rsidRPr="008D7ED2">
        <w:rPr>
          <w:rFonts w:cs="Arial"/>
          <w:bCs/>
          <w:szCs w:val="22"/>
        </w:rPr>
        <w:t>The company employs 36 employees and is a level I BBBEE business boasting 59</w:t>
      </w:r>
      <w:r w:rsidR="008D7ED2">
        <w:rPr>
          <w:rFonts w:cs="Arial"/>
          <w:bCs/>
          <w:szCs w:val="22"/>
        </w:rPr>
        <w:t>.</w:t>
      </w:r>
      <w:r w:rsidRPr="008D7ED2">
        <w:rPr>
          <w:rFonts w:cs="Arial"/>
          <w:bCs/>
          <w:szCs w:val="22"/>
        </w:rPr>
        <w:t>39% black ownership of which 2.7% is black female owned. During 2022 and 2023 the company entered into discussions with Eskom to secure a new contract and these negotiations are said to be at an advanced stage. No details of these negotiations are provided.</w:t>
      </w:r>
    </w:p>
    <w:p w14:paraId="674F32A1" w14:textId="3DBE74D0" w:rsidR="005F0188"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[16]</w:t>
      </w:r>
      <w:r>
        <w:rPr>
          <w:rFonts w:cs="Arial"/>
          <w:bCs/>
          <w:szCs w:val="22"/>
        </w:rPr>
        <w:tab/>
      </w:r>
      <w:r w:rsidR="004B20EE" w:rsidRPr="00401AD1">
        <w:rPr>
          <w:rFonts w:cs="Arial"/>
          <w:bCs/>
          <w:szCs w:val="22"/>
        </w:rPr>
        <w:t xml:space="preserve">The second applicant does not have sufficient working capital and is unable to service its monthly obligations to creditors or to meet orders from clients. It is stated without detailed evidence that the company will be able in the interim to generate revenue from sales to Eskom through </w:t>
      </w:r>
      <w:r w:rsidR="008D7ED2" w:rsidRPr="00401AD1">
        <w:rPr>
          <w:rFonts w:cs="Arial"/>
          <w:bCs/>
          <w:szCs w:val="22"/>
        </w:rPr>
        <w:t>rectification</w:t>
      </w:r>
      <w:r w:rsidR="004B20EE" w:rsidRPr="00401AD1">
        <w:rPr>
          <w:rFonts w:cs="Arial"/>
          <w:bCs/>
          <w:szCs w:val="22"/>
        </w:rPr>
        <w:t xml:space="preserve"> of the Moabsvelden Collery CSA</w:t>
      </w:r>
      <w:r w:rsidR="005F0188" w:rsidRPr="00401AD1">
        <w:rPr>
          <w:rFonts w:cs="Arial"/>
          <w:bCs/>
          <w:szCs w:val="22"/>
        </w:rPr>
        <w:t xml:space="preserve"> which should </w:t>
      </w:r>
      <w:r w:rsidR="005F0188" w:rsidRPr="00401AD1">
        <w:rPr>
          <w:rFonts w:cs="Arial"/>
          <w:bCs/>
          <w:szCs w:val="22"/>
        </w:rPr>
        <w:lastRenderedPageBreak/>
        <w:t>enable the fuel sourcing team of Eskom to finalise new agreements. Eskom has granted an 18</w:t>
      </w:r>
      <w:r w:rsidR="008D7ED2" w:rsidRPr="00401AD1">
        <w:rPr>
          <w:rFonts w:cs="Arial"/>
          <w:bCs/>
          <w:szCs w:val="22"/>
        </w:rPr>
        <w:t>-</w:t>
      </w:r>
      <w:r w:rsidR="005F0188" w:rsidRPr="00401AD1">
        <w:rPr>
          <w:rFonts w:cs="Arial"/>
          <w:bCs/>
          <w:szCs w:val="22"/>
        </w:rPr>
        <w:t xml:space="preserve">month extension to the rectification </w:t>
      </w:r>
      <w:r w:rsidR="008D7ED2" w:rsidRPr="00401AD1">
        <w:rPr>
          <w:rFonts w:cs="Arial"/>
          <w:bCs/>
          <w:szCs w:val="22"/>
        </w:rPr>
        <w:t>but</w:t>
      </w:r>
      <w:r w:rsidR="005F0188" w:rsidRPr="00401AD1">
        <w:rPr>
          <w:rFonts w:cs="Arial"/>
          <w:bCs/>
          <w:szCs w:val="22"/>
        </w:rPr>
        <w:t xml:space="preserve"> it is not clear when the 18</w:t>
      </w:r>
      <w:r w:rsidR="008D7ED2" w:rsidRPr="00401AD1">
        <w:rPr>
          <w:rFonts w:cs="Arial"/>
          <w:bCs/>
          <w:szCs w:val="22"/>
        </w:rPr>
        <w:t>-</w:t>
      </w:r>
      <w:r w:rsidR="005F0188" w:rsidRPr="00401AD1">
        <w:rPr>
          <w:rFonts w:cs="Arial"/>
          <w:bCs/>
          <w:szCs w:val="22"/>
        </w:rPr>
        <w:t>month period commenced</w:t>
      </w:r>
      <w:r w:rsidR="00194CCB" w:rsidRPr="00401AD1">
        <w:rPr>
          <w:rFonts w:cs="Arial"/>
          <w:bCs/>
          <w:szCs w:val="22"/>
        </w:rPr>
        <w:t xml:space="preserve"> and exactly what the effect of the decision is.</w:t>
      </w:r>
    </w:p>
    <w:p w14:paraId="5AA88EA9" w14:textId="30049F36" w:rsidR="004D692E"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[17]</w:t>
      </w:r>
      <w:r>
        <w:rPr>
          <w:rFonts w:cs="Arial"/>
          <w:bCs/>
          <w:szCs w:val="22"/>
        </w:rPr>
        <w:tab/>
      </w:r>
      <w:r w:rsidR="005F0188" w:rsidRPr="00401AD1">
        <w:rPr>
          <w:rFonts w:cs="Arial"/>
          <w:bCs/>
          <w:szCs w:val="22"/>
        </w:rPr>
        <w:t xml:space="preserve"> </w:t>
      </w:r>
      <w:r w:rsidR="008D7ED2" w:rsidRPr="00401AD1">
        <w:rPr>
          <w:rFonts w:cs="Arial"/>
          <w:bCs/>
          <w:szCs w:val="22"/>
        </w:rPr>
        <w:t>The second applicant</w:t>
      </w:r>
      <w:r w:rsidR="005F0188" w:rsidRPr="00401AD1">
        <w:rPr>
          <w:rFonts w:cs="Arial"/>
          <w:bCs/>
          <w:szCs w:val="22"/>
        </w:rPr>
        <w:t xml:space="preserve"> has also engaged </w:t>
      </w:r>
      <w:r w:rsidR="008D7ED2" w:rsidRPr="00401AD1">
        <w:rPr>
          <w:rFonts w:cs="Arial"/>
          <w:bCs/>
          <w:szCs w:val="22"/>
        </w:rPr>
        <w:t>with</w:t>
      </w:r>
      <w:r w:rsidR="005F0188" w:rsidRPr="00401AD1">
        <w:rPr>
          <w:rFonts w:cs="Arial"/>
          <w:bCs/>
          <w:szCs w:val="22"/>
        </w:rPr>
        <w:t xml:space="preserve"> lenders and major stakeholders </w:t>
      </w:r>
      <w:r w:rsidR="008D7ED2" w:rsidRPr="00401AD1">
        <w:rPr>
          <w:rFonts w:cs="Arial"/>
          <w:bCs/>
          <w:szCs w:val="22"/>
        </w:rPr>
        <w:t>to</w:t>
      </w:r>
      <w:r w:rsidR="005F0188" w:rsidRPr="00401AD1">
        <w:rPr>
          <w:rFonts w:cs="Arial"/>
          <w:bCs/>
          <w:szCs w:val="22"/>
        </w:rPr>
        <w:t xml:space="preserve"> allay their fears and it has become apparent that a single mining contractor willing to take on the mining risk would be essential to rescue the company. An immediate cash injection is required to support the mine restart and take over other related services at the mine. Should a single mining contractor be appointed and a new agreement be entered into with Eskom it would be possible to settle all the debts of the company. It would then be a profitable business.</w:t>
      </w:r>
    </w:p>
    <w:p w14:paraId="7C701D92" w14:textId="3DF14F78" w:rsidR="005F0188"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[18]</w:t>
      </w:r>
      <w:r>
        <w:rPr>
          <w:rFonts w:cs="Arial"/>
          <w:bCs/>
          <w:szCs w:val="22"/>
        </w:rPr>
        <w:tab/>
      </w:r>
      <w:r w:rsidR="005F0188" w:rsidRPr="00401AD1">
        <w:rPr>
          <w:rFonts w:cs="Arial"/>
          <w:bCs/>
          <w:szCs w:val="22"/>
        </w:rPr>
        <w:t xml:space="preserve">Discussions have been held with a number of stakeholders and an expression of interest has been received from a consortium of companies to take over as the single mining contractor. It is not clear whether an agreement is on the verge of being </w:t>
      </w:r>
      <w:r w:rsidR="005C3892" w:rsidRPr="00401AD1">
        <w:rPr>
          <w:rFonts w:cs="Arial"/>
          <w:bCs/>
          <w:szCs w:val="22"/>
        </w:rPr>
        <w:t>signed</w:t>
      </w:r>
      <w:r w:rsidR="005F0188" w:rsidRPr="00401AD1">
        <w:rPr>
          <w:rFonts w:cs="Arial"/>
          <w:bCs/>
          <w:szCs w:val="22"/>
        </w:rPr>
        <w:t xml:space="preserve"> </w:t>
      </w:r>
      <w:r w:rsidR="008D7ED2" w:rsidRPr="00401AD1">
        <w:rPr>
          <w:rFonts w:cs="Arial"/>
          <w:bCs/>
          <w:szCs w:val="22"/>
        </w:rPr>
        <w:t xml:space="preserve">and if not, </w:t>
      </w:r>
      <w:r w:rsidR="005F0188" w:rsidRPr="00401AD1">
        <w:rPr>
          <w:rFonts w:cs="Arial"/>
          <w:bCs/>
          <w:szCs w:val="22"/>
        </w:rPr>
        <w:t xml:space="preserve">whether negotiations have </w:t>
      </w:r>
      <w:r w:rsidR="008D7ED2" w:rsidRPr="00401AD1">
        <w:rPr>
          <w:rFonts w:cs="Arial"/>
          <w:bCs/>
          <w:szCs w:val="22"/>
        </w:rPr>
        <w:t>progressed</w:t>
      </w:r>
      <w:r w:rsidR="005F0188" w:rsidRPr="00401AD1">
        <w:rPr>
          <w:rFonts w:cs="Arial"/>
          <w:bCs/>
          <w:szCs w:val="22"/>
        </w:rPr>
        <w:t xml:space="preserve"> beyond an expression of interest.</w:t>
      </w:r>
    </w:p>
    <w:p w14:paraId="438714E7" w14:textId="074EAA21" w:rsidR="008D7ED2"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[19]</w:t>
      </w:r>
      <w:r>
        <w:rPr>
          <w:rFonts w:cs="Arial"/>
          <w:bCs/>
          <w:szCs w:val="22"/>
        </w:rPr>
        <w:tab/>
      </w:r>
      <w:r w:rsidR="005F0188" w:rsidRPr="00401AD1">
        <w:rPr>
          <w:rFonts w:cs="Arial"/>
          <w:bCs/>
          <w:szCs w:val="22"/>
        </w:rPr>
        <w:t xml:space="preserve">The consortium provided an operational and financial proposal in terms of which the consortium will assume control and responsibility for the operations. The proposal is not attached to the founding papers. Based on financial projections of which no detail is provided in the application the mine is expected to ramp up to full production volumes from May 2024 as mining is expected to commence in March 2024. The mine should then be expected to be generate </w:t>
      </w:r>
      <w:r w:rsidR="008D7ED2" w:rsidRPr="00401AD1">
        <w:rPr>
          <w:rFonts w:cs="Arial"/>
          <w:bCs/>
          <w:szCs w:val="22"/>
        </w:rPr>
        <w:t xml:space="preserve">a positive </w:t>
      </w:r>
      <w:r w:rsidR="005F0188" w:rsidRPr="00401AD1">
        <w:rPr>
          <w:rFonts w:cs="Arial"/>
          <w:bCs/>
          <w:szCs w:val="22"/>
        </w:rPr>
        <w:t>cash flow from June 2024.</w:t>
      </w:r>
      <w:r w:rsidR="00750EE4" w:rsidRPr="00401AD1">
        <w:rPr>
          <w:rFonts w:cs="Arial"/>
          <w:bCs/>
          <w:szCs w:val="22"/>
        </w:rPr>
        <w:t xml:space="preserve"> </w:t>
      </w:r>
    </w:p>
    <w:p w14:paraId="087C0680" w14:textId="3B15F0F9" w:rsidR="005F0188" w:rsidRPr="008D7ED2" w:rsidRDefault="00750EE4" w:rsidP="008D7ED2">
      <w:pPr>
        <w:keepNext/>
        <w:widowControl w:val="0"/>
        <w:spacing w:before="240" w:after="240" w:line="360" w:lineRule="auto"/>
        <w:jc w:val="both"/>
        <w:rPr>
          <w:rFonts w:cs="Arial"/>
          <w:bCs/>
          <w:szCs w:val="22"/>
        </w:rPr>
      </w:pPr>
      <w:r w:rsidRPr="008D7ED2">
        <w:rPr>
          <w:rFonts w:cs="Arial"/>
          <w:bCs/>
          <w:szCs w:val="22"/>
        </w:rPr>
        <w:t>The business rescue practitioner to be appointed should be in a position to facilitate the conclusion of a management contract between the second applicant and the consortium, to engage with critical service providers, to en</w:t>
      </w:r>
      <w:r w:rsidR="008D7ED2">
        <w:rPr>
          <w:rFonts w:cs="Arial"/>
          <w:bCs/>
          <w:szCs w:val="22"/>
        </w:rPr>
        <w:t>s</w:t>
      </w:r>
      <w:r w:rsidRPr="008D7ED2">
        <w:rPr>
          <w:rFonts w:cs="Arial"/>
          <w:bCs/>
          <w:szCs w:val="22"/>
        </w:rPr>
        <w:t xml:space="preserve">ure the procurement of equipment, to renegotiate or cancel onerous contracts, and to implement a cost saving programme. </w:t>
      </w:r>
    </w:p>
    <w:p w14:paraId="58F6FF3D" w14:textId="5072BFF7" w:rsidR="00750EE4"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[20]</w:t>
      </w:r>
      <w:r>
        <w:rPr>
          <w:rFonts w:cs="Arial"/>
          <w:bCs/>
          <w:szCs w:val="22"/>
        </w:rPr>
        <w:tab/>
      </w:r>
      <w:r w:rsidR="00750EE4" w:rsidRPr="00401AD1">
        <w:rPr>
          <w:rFonts w:cs="Arial"/>
          <w:bCs/>
          <w:szCs w:val="22"/>
        </w:rPr>
        <w:t xml:space="preserve">The second applicant expects to create a further 320 jobs </w:t>
      </w:r>
      <w:r w:rsidR="008D7ED2" w:rsidRPr="00401AD1">
        <w:rPr>
          <w:rFonts w:cs="Arial"/>
          <w:bCs/>
          <w:szCs w:val="22"/>
        </w:rPr>
        <w:t>on</w:t>
      </w:r>
      <w:r w:rsidR="00750EE4" w:rsidRPr="00401AD1">
        <w:rPr>
          <w:rFonts w:cs="Arial"/>
          <w:bCs/>
          <w:szCs w:val="22"/>
        </w:rPr>
        <w:t xml:space="preserve"> the commencement of mining and employees are sourced from residents living in the environment of the min</w:t>
      </w:r>
      <w:r w:rsidR="008D7ED2" w:rsidRPr="00401AD1">
        <w:rPr>
          <w:rFonts w:cs="Arial"/>
          <w:bCs/>
          <w:szCs w:val="22"/>
        </w:rPr>
        <w:t>e</w:t>
      </w:r>
      <w:r w:rsidR="00750EE4" w:rsidRPr="00401AD1">
        <w:rPr>
          <w:rFonts w:cs="Arial"/>
          <w:bCs/>
          <w:szCs w:val="22"/>
        </w:rPr>
        <w:t>. This will in turn enable the second applicant to continue with its social labour plans.</w:t>
      </w:r>
    </w:p>
    <w:p w14:paraId="4C15D530" w14:textId="56D0DABD" w:rsidR="008D7ED2"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[21]</w:t>
      </w:r>
      <w:r>
        <w:rPr>
          <w:rFonts w:cs="Arial"/>
          <w:bCs/>
          <w:szCs w:val="22"/>
        </w:rPr>
        <w:tab/>
      </w:r>
      <w:r w:rsidR="00750EE4" w:rsidRPr="00401AD1">
        <w:rPr>
          <w:rFonts w:cs="Arial"/>
          <w:bCs/>
          <w:szCs w:val="22"/>
        </w:rPr>
        <w:t>Once the consortium has assumed the management of the mine 70% of the cash flow will be used to repay creditors, 20% will be used for the ongoing rehabilitation of the farm Vangaatfontein where mining is being conducted, and 10% will be used for operational expenses. It is expected that creditors will be repaid in full but will not be paid interest.</w:t>
      </w:r>
      <w:r w:rsidR="00EE7C2D" w:rsidRPr="00401AD1">
        <w:rPr>
          <w:rFonts w:cs="Arial"/>
          <w:bCs/>
          <w:szCs w:val="22"/>
        </w:rPr>
        <w:t xml:space="preserve"> </w:t>
      </w:r>
    </w:p>
    <w:p w14:paraId="1FBCDCA5" w14:textId="0213C915" w:rsidR="00750EE4" w:rsidRDefault="00EE7C2D" w:rsidP="008D7ED2">
      <w:pPr>
        <w:keepNext/>
        <w:widowControl w:val="0"/>
        <w:spacing w:before="240" w:after="240" w:line="360" w:lineRule="auto"/>
        <w:jc w:val="both"/>
        <w:rPr>
          <w:rFonts w:cs="Arial"/>
          <w:bCs/>
          <w:szCs w:val="22"/>
        </w:rPr>
      </w:pPr>
      <w:r w:rsidRPr="008D7ED2">
        <w:rPr>
          <w:rFonts w:cs="Arial"/>
          <w:bCs/>
          <w:szCs w:val="22"/>
        </w:rPr>
        <w:t xml:space="preserve">There is however no details on a proposed contract with Eskom, no signed or even draft </w:t>
      </w:r>
      <w:r w:rsidRPr="008D7ED2">
        <w:rPr>
          <w:rFonts w:cs="Arial"/>
          <w:bCs/>
          <w:szCs w:val="22"/>
        </w:rPr>
        <w:lastRenderedPageBreak/>
        <w:t>management agreement, no details of post commencement financing, no business or turnaround plan, and no production schedule and prices. The potential purchasers of coal other than Eskom have not been identified in any detail.</w:t>
      </w:r>
    </w:p>
    <w:p w14:paraId="5F552A40" w14:textId="2D81B222" w:rsidR="008D7ED2"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[22]</w:t>
      </w:r>
      <w:r>
        <w:rPr>
          <w:rFonts w:cs="Arial"/>
          <w:bCs/>
          <w:szCs w:val="22"/>
        </w:rPr>
        <w:tab/>
      </w:r>
      <w:r w:rsidR="008D7ED2" w:rsidRPr="00401AD1">
        <w:rPr>
          <w:rFonts w:cs="Arial"/>
          <w:bCs/>
          <w:szCs w:val="22"/>
        </w:rPr>
        <w:t>The company was currently accumulating cash reserves (no details are provided) and it will be, according to the deponent, have a positive cash flow in four months. This means that the company will be able to repay creditors should a new management agreement be finalised.</w:t>
      </w:r>
    </w:p>
    <w:p w14:paraId="5E2464E2" w14:textId="3A033994" w:rsidR="00EE7C2D"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[23]</w:t>
      </w:r>
      <w:r>
        <w:rPr>
          <w:rFonts w:cs="Arial"/>
          <w:bCs/>
          <w:szCs w:val="22"/>
        </w:rPr>
        <w:tab/>
      </w:r>
      <w:r w:rsidR="00EE7C2D" w:rsidRPr="00401AD1">
        <w:rPr>
          <w:rFonts w:cs="Arial"/>
          <w:bCs/>
          <w:szCs w:val="22"/>
        </w:rPr>
        <w:t>It is important to note that the agreement with Eskom terminated two years ago. If there was indeed a window of opportunity to salvage the relationship before the winding up of the company it would seem in the absence of evidence that the opportunity was never taken.</w:t>
      </w:r>
    </w:p>
    <w:p w14:paraId="72A6E1CD" w14:textId="7923D833" w:rsidR="00750EE4"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[24]</w:t>
      </w:r>
      <w:r>
        <w:rPr>
          <w:rFonts w:cs="Arial"/>
          <w:bCs/>
          <w:szCs w:val="22"/>
        </w:rPr>
        <w:tab/>
      </w:r>
      <w:r w:rsidR="00750EE4" w:rsidRPr="00401AD1">
        <w:rPr>
          <w:rFonts w:cs="Arial"/>
          <w:bCs/>
          <w:szCs w:val="22"/>
        </w:rPr>
        <w:t xml:space="preserve">The founding affidavit by the sole director of the first applicant contains little more </w:t>
      </w:r>
      <w:r w:rsidR="009763E5" w:rsidRPr="00401AD1">
        <w:rPr>
          <w:rFonts w:cs="Arial"/>
          <w:bCs/>
          <w:szCs w:val="22"/>
        </w:rPr>
        <w:t>than unsubstantiated opinions and a</w:t>
      </w:r>
      <w:r w:rsidR="00750EE4" w:rsidRPr="00401AD1">
        <w:rPr>
          <w:rFonts w:cs="Arial"/>
          <w:bCs/>
          <w:szCs w:val="22"/>
        </w:rPr>
        <w:t xml:space="preserve"> wish list of what the </w:t>
      </w:r>
      <w:r w:rsidR="008D7ED2" w:rsidRPr="00401AD1">
        <w:rPr>
          <w:rFonts w:cs="Arial"/>
          <w:bCs/>
          <w:szCs w:val="22"/>
        </w:rPr>
        <w:t>deponent</w:t>
      </w:r>
      <w:r w:rsidR="00750EE4" w:rsidRPr="00401AD1">
        <w:rPr>
          <w:rFonts w:cs="Arial"/>
          <w:bCs/>
          <w:szCs w:val="22"/>
        </w:rPr>
        <w:t xml:space="preserve"> would like to see happen at the mine. The affidavit is rife with speculation and inferences made from primary facts not contained in the affidavit. There is said to be </w:t>
      </w:r>
      <w:r w:rsidR="005C3892" w:rsidRPr="00401AD1">
        <w:rPr>
          <w:rFonts w:cs="Arial"/>
          <w:bCs/>
          <w:szCs w:val="22"/>
        </w:rPr>
        <w:t>an</w:t>
      </w:r>
      <w:r w:rsidR="00750EE4" w:rsidRPr="00401AD1">
        <w:rPr>
          <w:rFonts w:cs="Arial"/>
          <w:bCs/>
          <w:szCs w:val="22"/>
        </w:rPr>
        <w:t xml:space="preserve"> expression of interest document but the document is not placed before the court nor is there any supporting affidavit by any member of the consortium indicating that the consortium has firm and definite detailed plans capable of implementation that would or may result in the rescue of the second applicant. </w:t>
      </w:r>
    </w:p>
    <w:p w14:paraId="3E2A1B83" w14:textId="70BDDD62" w:rsidR="00750EE4"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[25]</w:t>
      </w:r>
      <w:r>
        <w:rPr>
          <w:rFonts w:cs="Arial"/>
          <w:bCs/>
          <w:szCs w:val="22"/>
        </w:rPr>
        <w:tab/>
      </w:r>
      <w:r w:rsidR="001A4C9B" w:rsidRPr="00401AD1">
        <w:rPr>
          <w:rFonts w:cs="Arial"/>
          <w:bCs/>
          <w:szCs w:val="22"/>
        </w:rPr>
        <w:t>In the replying affidavit it is stated that the rescue plan is the combination of work and resources that have been allocated by the consortium to put together in a financial model annexed to the supplementary founding affidavit. The document annexed to the supplementary founding affidavit as “FA 2” is not legible but what can be seen is that it is comprised of data in various columns. It is not a financial model.</w:t>
      </w:r>
      <w:r w:rsidR="00EE7C2D" w:rsidRPr="00401AD1">
        <w:rPr>
          <w:rFonts w:cs="Arial"/>
          <w:bCs/>
          <w:szCs w:val="22"/>
        </w:rPr>
        <w:t xml:space="preserve"> If any submission were to be made and specific information contained in a financial model one would expect the submissions to be set out in the founding papers clearly and succinctly. It should not be left to the court to study the document without any information in the founding affidavit to see whether or not there might be statements of fact in the document of importance to the case.</w:t>
      </w:r>
    </w:p>
    <w:p w14:paraId="0A52C7D3" w14:textId="4E0EAF46" w:rsidR="001A4C9B"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[26]</w:t>
      </w:r>
      <w:r>
        <w:rPr>
          <w:rFonts w:cs="Arial"/>
          <w:bCs/>
          <w:szCs w:val="22"/>
        </w:rPr>
        <w:tab/>
      </w:r>
      <w:r w:rsidR="009763E5" w:rsidRPr="00401AD1">
        <w:rPr>
          <w:rFonts w:cs="Arial"/>
          <w:bCs/>
          <w:szCs w:val="22"/>
        </w:rPr>
        <w:t>It is</w:t>
      </w:r>
      <w:r w:rsidR="001A4C9B" w:rsidRPr="00401AD1">
        <w:rPr>
          <w:rFonts w:cs="Arial"/>
          <w:bCs/>
          <w:szCs w:val="22"/>
        </w:rPr>
        <w:t xml:space="preserve"> stated in the supplementary founding affidavit that the turnaround proposal and financial model</w:t>
      </w:r>
      <w:r w:rsidR="001A4C9B" w:rsidRPr="00401AD1">
        <w:rPr>
          <w:rFonts w:cs="Arial"/>
          <w:bCs/>
          <w:i/>
          <w:iCs/>
          <w:szCs w:val="22"/>
        </w:rPr>
        <w:t xml:space="preserve"> “will result in a full recovery by creditors of Keaton mining. A copy of the financial model is attached.” </w:t>
      </w:r>
      <w:r w:rsidR="001A4C9B" w:rsidRPr="00401AD1">
        <w:rPr>
          <w:rFonts w:cs="Arial"/>
          <w:bCs/>
          <w:szCs w:val="22"/>
        </w:rPr>
        <w:t xml:space="preserve">No facts whatsoever are alleged in support of the allegation that there will be a full recovery if the turnaround proposal and financial model, neither of </w:t>
      </w:r>
      <w:r w:rsidR="001A4C9B" w:rsidRPr="00401AD1">
        <w:rPr>
          <w:rFonts w:cs="Arial"/>
          <w:bCs/>
          <w:szCs w:val="22"/>
        </w:rPr>
        <w:lastRenderedPageBreak/>
        <w:t xml:space="preserve">which are before the court, </w:t>
      </w:r>
      <w:r w:rsidR="001668D1" w:rsidRPr="00401AD1">
        <w:rPr>
          <w:rFonts w:cs="Arial"/>
          <w:bCs/>
          <w:szCs w:val="22"/>
        </w:rPr>
        <w:t>are</w:t>
      </w:r>
      <w:r w:rsidR="001A4C9B" w:rsidRPr="00401AD1">
        <w:rPr>
          <w:rFonts w:cs="Arial"/>
          <w:bCs/>
          <w:szCs w:val="22"/>
        </w:rPr>
        <w:t xml:space="preserve"> implemented.</w:t>
      </w:r>
      <w:r w:rsidR="008B0885" w:rsidRPr="00401AD1">
        <w:rPr>
          <w:rFonts w:cs="Arial"/>
          <w:bCs/>
          <w:szCs w:val="22"/>
        </w:rPr>
        <w:t xml:space="preserve"> </w:t>
      </w:r>
    </w:p>
    <w:p w14:paraId="48823BD0" w14:textId="4A71A8B3" w:rsidR="005F0188"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[27]</w:t>
      </w:r>
      <w:r>
        <w:rPr>
          <w:rFonts w:cs="Arial"/>
          <w:bCs/>
          <w:szCs w:val="22"/>
        </w:rPr>
        <w:tab/>
      </w:r>
      <w:r w:rsidR="005F0188" w:rsidRPr="00401AD1">
        <w:rPr>
          <w:rFonts w:cs="Arial"/>
          <w:bCs/>
          <w:szCs w:val="22"/>
        </w:rPr>
        <w:t>The first applicant believes that there is a reasonable prospect of rescuing the company and that it would be in the best interest of all creditors, employees, suppliers and customers of the company to do so.</w:t>
      </w:r>
      <w:r w:rsidR="008B0885" w:rsidRPr="00401AD1">
        <w:rPr>
          <w:rFonts w:cs="Arial"/>
          <w:bCs/>
          <w:szCs w:val="22"/>
        </w:rPr>
        <w:t xml:space="preserve"> The </w:t>
      </w:r>
      <w:r w:rsidR="009763E5" w:rsidRPr="00401AD1">
        <w:rPr>
          <w:rFonts w:cs="Arial"/>
          <w:bCs/>
          <w:szCs w:val="22"/>
        </w:rPr>
        <w:t xml:space="preserve">deponent’s averments are </w:t>
      </w:r>
      <w:r w:rsidR="008B0885" w:rsidRPr="00401AD1">
        <w:rPr>
          <w:rFonts w:cs="Arial"/>
          <w:bCs/>
          <w:szCs w:val="22"/>
        </w:rPr>
        <w:t>not supported by evidence and for this reason the application must fail</w:t>
      </w:r>
      <w:r w:rsidR="001668D1" w:rsidRPr="00401AD1">
        <w:rPr>
          <w:rFonts w:cs="Arial"/>
          <w:bCs/>
          <w:szCs w:val="22"/>
        </w:rPr>
        <w:t>.</w:t>
      </w:r>
    </w:p>
    <w:p w14:paraId="664A70FC" w14:textId="77777777" w:rsidR="008B0885" w:rsidRDefault="008B0885" w:rsidP="008B0885">
      <w:pPr>
        <w:keepNext/>
        <w:widowControl w:val="0"/>
        <w:spacing w:before="240" w:after="240" w:line="360" w:lineRule="auto"/>
        <w:jc w:val="both"/>
        <w:rPr>
          <w:rFonts w:cs="Arial"/>
          <w:bCs/>
          <w:szCs w:val="22"/>
          <w:u w:val="single"/>
        </w:rPr>
      </w:pPr>
    </w:p>
    <w:p w14:paraId="1B8D8642" w14:textId="441EA270" w:rsidR="005F0188" w:rsidRPr="008B0885" w:rsidRDefault="008B0885" w:rsidP="008B0885">
      <w:pPr>
        <w:keepNext/>
        <w:widowControl w:val="0"/>
        <w:spacing w:before="240" w:after="240" w:line="360" w:lineRule="auto"/>
        <w:jc w:val="both"/>
        <w:rPr>
          <w:rFonts w:cs="Arial"/>
          <w:bCs/>
          <w:szCs w:val="22"/>
          <w:u w:val="single"/>
        </w:rPr>
      </w:pPr>
      <w:r w:rsidRPr="008B0885">
        <w:rPr>
          <w:rFonts w:cs="Arial"/>
          <w:bCs/>
          <w:szCs w:val="22"/>
          <w:u w:val="single"/>
        </w:rPr>
        <w:t>Joinder</w:t>
      </w:r>
    </w:p>
    <w:p w14:paraId="648727C9" w14:textId="5A6705D3" w:rsidR="005F0188"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[28]</w:t>
      </w:r>
      <w:r>
        <w:rPr>
          <w:rFonts w:cs="Arial"/>
          <w:bCs/>
          <w:szCs w:val="22"/>
        </w:rPr>
        <w:tab/>
      </w:r>
      <w:r w:rsidR="009763E5" w:rsidRPr="00401AD1">
        <w:rPr>
          <w:rFonts w:cs="Arial"/>
          <w:bCs/>
          <w:szCs w:val="22"/>
        </w:rPr>
        <w:t xml:space="preserve">The </w:t>
      </w:r>
      <w:r w:rsidR="008B0885" w:rsidRPr="00401AD1">
        <w:rPr>
          <w:rFonts w:cs="Arial"/>
          <w:bCs/>
          <w:szCs w:val="22"/>
        </w:rPr>
        <w:t xml:space="preserve">first applicant brought a joinder application to join the two provisional liquidators and the Master of the High Court as the sixth, seventh, and eighth respondents. The </w:t>
      </w:r>
      <w:r w:rsidR="009763E5" w:rsidRPr="00401AD1">
        <w:rPr>
          <w:rFonts w:cs="Arial"/>
          <w:bCs/>
          <w:szCs w:val="22"/>
        </w:rPr>
        <w:t xml:space="preserve">present </w:t>
      </w:r>
      <w:r w:rsidR="008B0885" w:rsidRPr="00401AD1">
        <w:rPr>
          <w:rFonts w:cs="Arial"/>
          <w:bCs/>
          <w:szCs w:val="22"/>
        </w:rPr>
        <w:t>status of the joint liquidators was not clear but I understand that they do not oppose the joinder application. However because of the conclusion I came to it is in my view not necessary to further consider the joinder application.</w:t>
      </w:r>
    </w:p>
    <w:p w14:paraId="012AED57" w14:textId="77777777" w:rsidR="009763E5" w:rsidRDefault="009763E5" w:rsidP="009763E5">
      <w:pPr>
        <w:keepNext/>
        <w:widowControl w:val="0"/>
        <w:spacing w:before="240" w:after="240" w:line="360" w:lineRule="auto"/>
        <w:jc w:val="both"/>
        <w:rPr>
          <w:rFonts w:cs="Arial"/>
          <w:bCs/>
          <w:szCs w:val="22"/>
          <w:u w:val="single"/>
        </w:rPr>
      </w:pPr>
    </w:p>
    <w:p w14:paraId="47A0567A" w14:textId="6366FDFE" w:rsidR="009763E5" w:rsidRPr="009763E5" w:rsidRDefault="009763E5" w:rsidP="009763E5">
      <w:pPr>
        <w:keepNext/>
        <w:widowControl w:val="0"/>
        <w:spacing w:before="240" w:after="240" w:line="360" w:lineRule="auto"/>
        <w:jc w:val="both"/>
        <w:rPr>
          <w:rFonts w:cs="Arial"/>
          <w:bCs/>
          <w:szCs w:val="22"/>
          <w:u w:val="single"/>
        </w:rPr>
      </w:pPr>
      <w:r w:rsidRPr="009763E5">
        <w:rPr>
          <w:rFonts w:cs="Arial"/>
          <w:bCs/>
          <w:szCs w:val="22"/>
          <w:u w:val="single"/>
        </w:rPr>
        <w:t>Costs</w:t>
      </w:r>
    </w:p>
    <w:p w14:paraId="59C76277" w14:textId="32060AB3" w:rsidR="009763E5"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[29]</w:t>
      </w:r>
      <w:r>
        <w:rPr>
          <w:rFonts w:cs="Arial"/>
          <w:bCs/>
          <w:szCs w:val="22"/>
        </w:rPr>
        <w:tab/>
      </w:r>
      <w:r w:rsidR="009763E5" w:rsidRPr="00401AD1">
        <w:rPr>
          <w:rFonts w:cs="Arial"/>
          <w:bCs/>
          <w:szCs w:val="22"/>
        </w:rPr>
        <w:t>This is a matter of some complexity and the employment of two counsel on both sides was justified.</w:t>
      </w:r>
    </w:p>
    <w:p w14:paraId="526C3B72" w14:textId="77777777" w:rsidR="009763E5" w:rsidRDefault="009763E5" w:rsidP="009763E5">
      <w:pPr>
        <w:keepNext/>
        <w:widowControl w:val="0"/>
        <w:spacing w:before="240" w:after="240" w:line="360" w:lineRule="auto"/>
        <w:jc w:val="both"/>
        <w:rPr>
          <w:rFonts w:cs="Arial"/>
          <w:bCs/>
          <w:szCs w:val="22"/>
          <w:u w:val="single"/>
        </w:rPr>
      </w:pPr>
    </w:p>
    <w:p w14:paraId="16CD08C9" w14:textId="3AE3DB98" w:rsidR="009763E5" w:rsidRPr="009763E5" w:rsidRDefault="009763E5" w:rsidP="009763E5">
      <w:pPr>
        <w:keepNext/>
        <w:widowControl w:val="0"/>
        <w:spacing w:before="240" w:after="240" w:line="360" w:lineRule="auto"/>
        <w:jc w:val="both"/>
        <w:rPr>
          <w:rFonts w:cs="Arial"/>
          <w:bCs/>
          <w:szCs w:val="22"/>
          <w:u w:val="single"/>
        </w:rPr>
      </w:pPr>
      <w:r w:rsidRPr="009763E5">
        <w:rPr>
          <w:rFonts w:cs="Arial"/>
          <w:bCs/>
          <w:szCs w:val="22"/>
          <w:u w:val="single"/>
        </w:rPr>
        <w:t>Conclusion</w:t>
      </w:r>
    </w:p>
    <w:p w14:paraId="05EC5A47" w14:textId="0D27A58B" w:rsidR="009763E5" w:rsidRPr="00401AD1" w:rsidRDefault="00401AD1" w:rsidP="00401AD1">
      <w:pPr>
        <w:keepNext/>
        <w:widowControl w:val="0"/>
        <w:tabs>
          <w:tab w:val="left" w:pos="567"/>
        </w:tabs>
        <w:spacing w:before="240" w:after="240" w:line="360" w:lineRule="auto"/>
        <w:jc w:val="both"/>
        <w:rPr>
          <w:rFonts w:cs="Arial"/>
          <w:bCs/>
          <w:szCs w:val="22"/>
        </w:rPr>
      </w:pPr>
      <w:r>
        <w:rPr>
          <w:rFonts w:cs="Arial"/>
          <w:bCs/>
          <w:szCs w:val="22"/>
        </w:rPr>
        <w:t>[30]</w:t>
      </w:r>
      <w:r>
        <w:rPr>
          <w:rFonts w:cs="Arial"/>
          <w:bCs/>
          <w:szCs w:val="22"/>
        </w:rPr>
        <w:tab/>
      </w:r>
      <w:r w:rsidR="001668D1" w:rsidRPr="00401AD1">
        <w:rPr>
          <w:rFonts w:cs="Arial"/>
          <w:bCs/>
          <w:szCs w:val="22"/>
        </w:rPr>
        <w:t xml:space="preserve">For </w:t>
      </w:r>
      <w:r w:rsidR="009763E5" w:rsidRPr="00401AD1">
        <w:rPr>
          <w:rFonts w:cs="Arial"/>
          <w:bCs/>
          <w:szCs w:val="22"/>
        </w:rPr>
        <w:t>all the reasons set out herein I make the order in paragraph 1 above. As this is an urgent application it will be furnished to the parties via email over the Easter holidays but the deemed date of publication will be 2 April 2024.</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Pr="007811C6" w:rsidRDefault="00B15D12" w:rsidP="003A1D18">
      <w:pPr>
        <w:widowControl w:val="0"/>
        <w:tabs>
          <w:tab w:val="right" w:pos="0"/>
        </w:tabs>
        <w:spacing w:line="360" w:lineRule="auto"/>
        <w:contextualSpacing/>
        <w:jc w:val="right"/>
        <w:rPr>
          <w:rFonts w:cs="Arial"/>
          <w:b/>
          <w:szCs w:val="22"/>
        </w:rPr>
      </w:pPr>
    </w:p>
    <w:p w14:paraId="53CD27EE" w14:textId="517D8EE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______________</w:t>
      </w:r>
    </w:p>
    <w:p w14:paraId="0CCB9BFE" w14:textId="532F2776" w:rsidR="006C43D7" w:rsidRPr="007811C6" w:rsidRDefault="00E22FB3" w:rsidP="003A1D18">
      <w:pPr>
        <w:widowControl w:val="0"/>
        <w:tabs>
          <w:tab w:val="right" w:pos="0"/>
        </w:tabs>
        <w:spacing w:line="360" w:lineRule="auto"/>
        <w:contextualSpacing/>
        <w:jc w:val="right"/>
        <w:rPr>
          <w:rFonts w:cs="Arial"/>
          <w:b/>
          <w:szCs w:val="22"/>
        </w:rPr>
      </w:pPr>
      <w:r>
        <w:rPr>
          <w:rFonts w:cs="Arial"/>
          <w:b/>
          <w:szCs w:val="22"/>
        </w:rPr>
        <w:t>MOORCROFT AJ</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Electronically submitted</w:t>
      </w:r>
    </w:p>
    <w:p w14:paraId="482DDF6E" w14:textId="4110C024" w:rsidR="006C43D7" w:rsidRPr="007811C6"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lastRenderedPageBreak/>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811C6">
        <w:rPr>
          <w:rFonts w:eastAsia="Arial Unicode MS" w:cs="Arial"/>
          <w:b/>
          <w:szCs w:val="22"/>
        </w:rPr>
        <w:t xml:space="preserve"> </w:t>
      </w:r>
      <w:r w:rsidR="00177C70">
        <w:rPr>
          <w:rFonts w:eastAsia="Arial Unicode MS" w:cs="Arial"/>
          <w:b/>
          <w:szCs w:val="22"/>
        </w:rPr>
        <w:t>2</w:t>
      </w:r>
      <w:r w:rsidR="00044778">
        <w:rPr>
          <w:rFonts w:eastAsia="Arial Unicode MS" w:cs="Arial"/>
          <w:b/>
          <w:szCs w:val="22"/>
        </w:rPr>
        <w:t xml:space="preserve"> </w:t>
      </w:r>
      <w:r w:rsidR="00177C70">
        <w:rPr>
          <w:rFonts w:eastAsia="Arial Unicode MS" w:cs="Arial"/>
          <w:b/>
          <w:szCs w:val="22"/>
        </w:rPr>
        <w:t xml:space="preserve">APRIL </w:t>
      </w:r>
      <w:r w:rsidR="00044778">
        <w:rPr>
          <w:rFonts w:eastAsia="Arial Unicode MS" w:cs="Arial"/>
          <w:b/>
          <w:szCs w:val="22"/>
        </w:rPr>
        <w:t>2024</w:t>
      </w:r>
    </w:p>
    <w:p w14:paraId="74CD3952" w14:textId="05A488E0" w:rsidR="00A84915" w:rsidRPr="007811C6"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2943"/>
      </w:tblGrid>
      <w:tr w:rsidR="009D35B5" w:rsidRPr="007811C6" w14:paraId="493AF0D7" w14:textId="77777777" w:rsidTr="00615F6B">
        <w:tc>
          <w:tcPr>
            <w:tcW w:w="4678" w:type="dxa"/>
          </w:tcPr>
          <w:p w14:paraId="6A05541A" w14:textId="6B82BD25"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8707F5">
              <w:rPr>
                <w:rFonts w:cs="Arial"/>
                <w:szCs w:val="22"/>
              </w:rPr>
              <w:t>APPLICANT</w:t>
            </w:r>
            <w:r w:rsidR="00B66E94">
              <w:rPr>
                <w:rFonts w:cs="Arial"/>
                <w:szCs w:val="22"/>
              </w:rPr>
              <w:t>S</w:t>
            </w:r>
            <w:r w:rsidRPr="007811C6">
              <w:rPr>
                <w:rFonts w:cs="Arial"/>
                <w:szCs w:val="22"/>
              </w:rPr>
              <w:t>:</w:t>
            </w:r>
          </w:p>
        </w:tc>
        <w:tc>
          <w:tcPr>
            <w:tcW w:w="3935" w:type="dxa"/>
            <w:gridSpan w:val="2"/>
          </w:tcPr>
          <w:p w14:paraId="55ED13BD" w14:textId="77777777" w:rsidR="00AD1989" w:rsidRDefault="00B66E94" w:rsidP="00EF0D9E">
            <w:pPr>
              <w:tabs>
                <w:tab w:val="right" w:pos="0"/>
                <w:tab w:val="left" w:pos="567"/>
                <w:tab w:val="right" w:pos="2727"/>
                <w:tab w:val="left" w:pos="4253"/>
              </w:tabs>
              <w:spacing w:before="120" w:after="120"/>
              <w:jc w:val="right"/>
              <w:rPr>
                <w:rFonts w:cs="Arial"/>
                <w:szCs w:val="22"/>
              </w:rPr>
            </w:pPr>
            <w:r>
              <w:rPr>
                <w:rFonts w:cs="Arial"/>
                <w:szCs w:val="22"/>
              </w:rPr>
              <w:t>P NGCONGO</w:t>
            </w:r>
          </w:p>
          <w:p w14:paraId="69785AA9" w14:textId="506EAE88" w:rsidR="00B66E94" w:rsidRPr="007811C6" w:rsidRDefault="00B66E94" w:rsidP="00EF0D9E">
            <w:pPr>
              <w:tabs>
                <w:tab w:val="right" w:pos="0"/>
                <w:tab w:val="left" w:pos="567"/>
                <w:tab w:val="right" w:pos="2727"/>
                <w:tab w:val="left" w:pos="4253"/>
              </w:tabs>
              <w:spacing w:before="120" w:after="120"/>
              <w:jc w:val="right"/>
              <w:rPr>
                <w:rFonts w:cs="Arial"/>
                <w:szCs w:val="22"/>
              </w:rPr>
            </w:pPr>
            <w:r>
              <w:rPr>
                <w:rFonts w:cs="Arial"/>
                <w:szCs w:val="22"/>
              </w:rPr>
              <w:t>L PHALADI</w:t>
            </w:r>
          </w:p>
        </w:tc>
      </w:tr>
      <w:tr w:rsidR="009D35B5" w:rsidRPr="007811C6" w14:paraId="183C176D" w14:textId="77777777" w:rsidTr="00615F6B">
        <w:tc>
          <w:tcPr>
            <w:tcW w:w="4678" w:type="dxa"/>
          </w:tcPr>
          <w:p w14:paraId="75365413" w14:textId="77EFB09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r w:rsidR="008707F5">
              <w:rPr>
                <w:rFonts w:cs="Arial"/>
                <w:szCs w:val="22"/>
              </w:rPr>
              <w:t>:</w:t>
            </w:r>
          </w:p>
        </w:tc>
        <w:tc>
          <w:tcPr>
            <w:tcW w:w="3935" w:type="dxa"/>
            <w:gridSpan w:val="2"/>
          </w:tcPr>
          <w:p w14:paraId="4044534A" w14:textId="3F29B951" w:rsidR="00E10D04" w:rsidRPr="007811C6" w:rsidRDefault="00B66E94" w:rsidP="00A25AB4">
            <w:pPr>
              <w:tabs>
                <w:tab w:val="right" w:pos="0"/>
                <w:tab w:val="left" w:pos="4253"/>
              </w:tabs>
              <w:spacing w:before="120" w:after="120"/>
              <w:jc w:val="right"/>
              <w:rPr>
                <w:rFonts w:cs="Arial"/>
                <w:szCs w:val="22"/>
              </w:rPr>
            </w:pPr>
            <w:r>
              <w:rPr>
                <w:rFonts w:cs="Arial"/>
                <w:szCs w:val="22"/>
              </w:rPr>
              <w:t>EDWARD NATHAN SONNE</w:t>
            </w:r>
            <w:r w:rsidR="00884FFC">
              <w:rPr>
                <w:rFonts w:cs="Arial"/>
                <w:szCs w:val="22"/>
              </w:rPr>
              <w:t>N</w:t>
            </w:r>
            <w:r>
              <w:rPr>
                <w:rFonts w:cs="Arial"/>
                <w:szCs w:val="22"/>
              </w:rPr>
              <w:t>BERGS</w:t>
            </w:r>
          </w:p>
        </w:tc>
      </w:tr>
      <w:tr w:rsidR="009D35B5" w:rsidRPr="007811C6" w14:paraId="6E2BF966" w14:textId="77777777" w:rsidTr="00EF0D9E">
        <w:tc>
          <w:tcPr>
            <w:tcW w:w="5670" w:type="dxa"/>
            <w:gridSpan w:val="2"/>
          </w:tcPr>
          <w:p w14:paraId="545B6665" w14:textId="41E0EBF7"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THE</w:t>
            </w:r>
            <w:r w:rsidR="00884FFC">
              <w:rPr>
                <w:rFonts w:cs="Arial"/>
                <w:szCs w:val="22"/>
              </w:rPr>
              <w:t xml:space="preserve"> SECOND</w:t>
            </w:r>
            <w:r w:rsidR="00EF0D9E">
              <w:rPr>
                <w:rFonts w:cs="Arial"/>
                <w:szCs w:val="22"/>
              </w:rPr>
              <w:t xml:space="preserve"> </w:t>
            </w:r>
            <w:r w:rsidR="00027D19" w:rsidRPr="007811C6">
              <w:rPr>
                <w:rFonts w:cs="Arial"/>
                <w:szCs w:val="22"/>
              </w:rPr>
              <w:t>RESPONDENT</w:t>
            </w:r>
            <w:r w:rsidR="00EF0D9E">
              <w:rPr>
                <w:rFonts w:cs="Arial"/>
                <w:szCs w:val="22"/>
              </w:rPr>
              <w:t>:</w:t>
            </w:r>
          </w:p>
        </w:tc>
        <w:tc>
          <w:tcPr>
            <w:tcW w:w="2943" w:type="dxa"/>
          </w:tcPr>
          <w:p w14:paraId="2BFB8E64" w14:textId="77777777" w:rsidR="00E35391" w:rsidRDefault="00884FFC" w:rsidP="00D65571">
            <w:pPr>
              <w:tabs>
                <w:tab w:val="right" w:pos="0"/>
                <w:tab w:val="left" w:pos="4253"/>
              </w:tabs>
              <w:spacing w:before="120" w:after="120"/>
              <w:jc w:val="right"/>
              <w:rPr>
                <w:rFonts w:cs="Arial"/>
                <w:szCs w:val="22"/>
              </w:rPr>
            </w:pPr>
            <w:r>
              <w:rPr>
                <w:rFonts w:cs="Arial"/>
                <w:szCs w:val="22"/>
              </w:rPr>
              <w:t>NGD MARITZ SC</w:t>
            </w:r>
          </w:p>
          <w:p w14:paraId="51741A90" w14:textId="3372C6D5" w:rsidR="00884FFC" w:rsidRPr="007811C6" w:rsidRDefault="00884FFC" w:rsidP="00D65571">
            <w:pPr>
              <w:tabs>
                <w:tab w:val="right" w:pos="0"/>
                <w:tab w:val="left" w:pos="4253"/>
              </w:tabs>
              <w:spacing w:before="120" w:after="120"/>
              <w:jc w:val="right"/>
              <w:rPr>
                <w:rFonts w:cs="Arial"/>
                <w:szCs w:val="22"/>
              </w:rPr>
            </w:pPr>
            <w:r>
              <w:rPr>
                <w:rFonts w:cs="Arial"/>
                <w:szCs w:val="22"/>
              </w:rPr>
              <w:t>D SWART</w:t>
            </w:r>
          </w:p>
        </w:tc>
      </w:tr>
      <w:tr w:rsidR="009D35B5" w:rsidRPr="007811C6" w14:paraId="1EC4105A" w14:textId="77777777" w:rsidTr="00615F6B">
        <w:tc>
          <w:tcPr>
            <w:tcW w:w="4678" w:type="dxa"/>
          </w:tcPr>
          <w:p w14:paraId="184EC2ED" w14:textId="1E42F28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gridSpan w:val="2"/>
          </w:tcPr>
          <w:p w14:paraId="2098BE2A" w14:textId="285EF3AF" w:rsidR="009D35B5" w:rsidRPr="007811C6" w:rsidRDefault="00884FFC" w:rsidP="00A25AB4">
            <w:pPr>
              <w:tabs>
                <w:tab w:val="right" w:pos="0"/>
                <w:tab w:val="left" w:pos="4253"/>
              </w:tabs>
              <w:spacing w:before="120" w:after="120"/>
              <w:jc w:val="right"/>
              <w:rPr>
                <w:rFonts w:cs="Arial"/>
                <w:szCs w:val="22"/>
              </w:rPr>
            </w:pPr>
            <w:r>
              <w:rPr>
                <w:rFonts w:cs="Arial"/>
                <w:szCs w:val="22"/>
              </w:rPr>
              <w:t>JW BOTES INC</w:t>
            </w:r>
          </w:p>
        </w:tc>
      </w:tr>
      <w:tr w:rsidR="009D35B5" w:rsidRPr="007811C6" w14:paraId="2A3FE2B1" w14:textId="77777777" w:rsidTr="00615F6B">
        <w:tc>
          <w:tcPr>
            <w:tcW w:w="4678" w:type="dxa"/>
          </w:tcPr>
          <w:p w14:paraId="0767D0FE" w14:textId="23F2037D"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gridSpan w:val="2"/>
          </w:tcPr>
          <w:p w14:paraId="34C95147" w14:textId="194DF46C" w:rsidR="009D35B5" w:rsidRPr="007811C6" w:rsidRDefault="00044778" w:rsidP="00A25AB4">
            <w:pPr>
              <w:tabs>
                <w:tab w:val="right" w:pos="0"/>
                <w:tab w:val="left" w:pos="4253"/>
              </w:tabs>
              <w:spacing w:before="120" w:after="120"/>
              <w:jc w:val="right"/>
              <w:rPr>
                <w:rFonts w:cs="Arial"/>
                <w:szCs w:val="22"/>
              </w:rPr>
            </w:pPr>
            <w:r>
              <w:rPr>
                <w:rFonts w:cs="Arial"/>
                <w:szCs w:val="22"/>
              </w:rPr>
              <w:t>2</w:t>
            </w:r>
            <w:r w:rsidR="00F01A9D">
              <w:rPr>
                <w:rFonts w:cs="Arial"/>
                <w:szCs w:val="22"/>
              </w:rPr>
              <w:t>8</w:t>
            </w:r>
            <w:r>
              <w:rPr>
                <w:rFonts w:cs="Arial"/>
                <w:szCs w:val="22"/>
              </w:rPr>
              <w:t xml:space="preserve"> MARCH 2024</w:t>
            </w:r>
          </w:p>
        </w:tc>
      </w:tr>
      <w:tr w:rsidR="00A25AB4" w:rsidRPr="007811C6" w14:paraId="5ECDFF3A" w14:textId="77777777" w:rsidTr="00615F6B">
        <w:tc>
          <w:tcPr>
            <w:tcW w:w="4678" w:type="dxa"/>
          </w:tcPr>
          <w:p w14:paraId="1DF2AE9E" w14:textId="1FC539A4" w:rsidR="00A25AB4" w:rsidRPr="007811C6" w:rsidRDefault="00A25AB4" w:rsidP="00A25AB4">
            <w:pPr>
              <w:tabs>
                <w:tab w:val="right" w:pos="0"/>
                <w:tab w:val="left" w:pos="4253"/>
              </w:tabs>
              <w:spacing w:before="120" w:after="120"/>
              <w:rPr>
                <w:rFonts w:cs="Arial"/>
                <w:szCs w:val="22"/>
              </w:rPr>
            </w:pPr>
            <w:r w:rsidRPr="007811C6">
              <w:rPr>
                <w:rFonts w:cs="Arial"/>
                <w:szCs w:val="22"/>
              </w:rPr>
              <w:t>DATE OF JUDGMENT:</w:t>
            </w:r>
          </w:p>
        </w:tc>
        <w:tc>
          <w:tcPr>
            <w:tcW w:w="3935" w:type="dxa"/>
            <w:gridSpan w:val="2"/>
          </w:tcPr>
          <w:p w14:paraId="02219E99" w14:textId="302BCEEC" w:rsidR="00A25AB4" w:rsidRPr="007811C6" w:rsidRDefault="009763E5" w:rsidP="00A25AB4">
            <w:pPr>
              <w:tabs>
                <w:tab w:val="right" w:pos="0"/>
                <w:tab w:val="left" w:pos="4253"/>
              </w:tabs>
              <w:spacing w:before="120" w:after="120"/>
              <w:jc w:val="right"/>
              <w:rPr>
                <w:rFonts w:cs="Arial"/>
                <w:szCs w:val="22"/>
              </w:rPr>
            </w:pPr>
            <w:r>
              <w:rPr>
                <w:rFonts w:cs="Arial"/>
                <w:szCs w:val="22"/>
              </w:rPr>
              <w:t>29</w:t>
            </w:r>
            <w:r w:rsidR="00044778">
              <w:rPr>
                <w:rFonts w:cs="Arial"/>
                <w:szCs w:val="22"/>
              </w:rPr>
              <w:t xml:space="preserve"> MARCH 2024</w:t>
            </w:r>
          </w:p>
        </w:tc>
      </w:tr>
    </w:tbl>
    <w:p w14:paraId="1BD8F4EB" w14:textId="5CBD0A60" w:rsidR="00A402F6" w:rsidRPr="007811C6" w:rsidRDefault="00A402F6" w:rsidP="008E2A22">
      <w:pPr>
        <w:widowControl w:val="0"/>
        <w:spacing w:before="480" w:after="480" w:line="360" w:lineRule="auto"/>
        <w:jc w:val="both"/>
        <w:rPr>
          <w:rFonts w:cs="Arial"/>
          <w:szCs w:val="22"/>
        </w:rPr>
      </w:pPr>
    </w:p>
    <w:sectPr w:rsidR="00A402F6" w:rsidRPr="007811C6" w:rsidSect="00361E0D">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F3CA1" w14:textId="77777777" w:rsidR="00361E0D" w:rsidRPr="008E2A22" w:rsidRDefault="00361E0D">
      <w:pPr>
        <w:rPr>
          <w:sz w:val="21"/>
          <w:szCs w:val="21"/>
        </w:rPr>
      </w:pPr>
      <w:r w:rsidRPr="008E2A22">
        <w:rPr>
          <w:sz w:val="21"/>
          <w:szCs w:val="21"/>
        </w:rPr>
        <w:separator/>
      </w:r>
    </w:p>
  </w:endnote>
  <w:endnote w:type="continuationSeparator" w:id="0">
    <w:p w14:paraId="4EB11D3A" w14:textId="77777777" w:rsidR="00361E0D" w:rsidRPr="008E2A22" w:rsidRDefault="00361E0D">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1B9C" w14:textId="77777777" w:rsidR="000151E5" w:rsidRDefault="0001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CF760" w14:textId="77777777" w:rsidR="000151E5" w:rsidRDefault="00015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96CF0" w14:textId="77777777" w:rsidR="000151E5" w:rsidRDefault="0001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94B80" w14:textId="77777777" w:rsidR="00361E0D" w:rsidRPr="008E2A22" w:rsidRDefault="00361E0D">
      <w:pPr>
        <w:rPr>
          <w:sz w:val="21"/>
          <w:szCs w:val="21"/>
        </w:rPr>
      </w:pPr>
      <w:r w:rsidRPr="008E2A22">
        <w:rPr>
          <w:sz w:val="21"/>
          <w:szCs w:val="21"/>
        </w:rPr>
        <w:separator/>
      </w:r>
    </w:p>
  </w:footnote>
  <w:footnote w:type="continuationSeparator" w:id="0">
    <w:p w14:paraId="1E514AF4" w14:textId="77777777" w:rsidR="00361E0D" w:rsidRPr="008E2A22" w:rsidRDefault="00361E0D">
      <w:pPr>
        <w:rPr>
          <w:sz w:val="21"/>
          <w:szCs w:val="21"/>
        </w:rPr>
      </w:pPr>
      <w:r w:rsidRPr="008E2A22">
        <w:rPr>
          <w:sz w:val="21"/>
          <w:szCs w:val="21"/>
        </w:rPr>
        <w:continuationSeparator/>
      </w:r>
    </w:p>
  </w:footnote>
  <w:footnote w:id="1">
    <w:p w14:paraId="0C7A6A70" w14:textId="0B236B7A" w:rsidR="002F2C89" w:rsidRPr="005826AB" w:rsidRDefault="002F2C89">
      <w:pPr>
        <w:pStyle w:val="FootnoteText"/>
        <w:rPr>
          <w:lang w:val="en-GB"/>
        </w:rPr>
      </w:pPr>
      <w:r>
        <w:rPr>
          <w:rStyle w:val="FootnoteReference"/>
        </w:rPr>
        <w:footnoteRef/>
      </w:r>
      <w:r>
        <w:t xml:space="preserve"> </w:t>
      </w:r>
      <w:r>
        <w:rPr>
          <w:lang w:val="en-GB"/>
        </w:rPr>
        <w:tab/>
        <w:t xml:space="preserve">See </w:t>
      </w:r>
      <w:r w:rsidR="005826AB">
        <w:rPr>
          <w:lang w:val="en-GB"/>
        </w:rPr>
        <w:t xml:space="preserve">Delport </w:t>
      </w:r>
      <w:r w:rsidR="005826AB" w:rsidRPr="005826AB">
        <w:rPr>
          <w:i/>
          <w:iCs/>
          <w:lang w:val="en-GB"/>
        </w:rPr>
        <w:t>Henochsberg on the Companies Act 71 of 2008</w:t>
      </w:r>
      <w:r w:rsidR="005826AB">
        <w:rPr>
          <w:lang w:val="en-GB"/>
        </w:rPr>
        <w:t xml:space="preserve"> 443 </w:t>
      </w:r>
      <w:r w:rsidR="005826AB" w:rsidRPr="005826AB">
        <w:rPr>
          <w:i/>
          <w:iCs/>
          <w:lang w:val="en-GB"/>
        </w:rPr>
        <w:t>et seq</w:t>
      </w:r>
      <w:r w:rsidR="005826AB">
        <w:rPr>
          <w:i/>
          <w:iCs/>
          <w:lang w:val="en-GB"/>
        </w:rPr>
        <w:t xml:space="preserve"> </w:t>
      </w:r>
      <w:r w:rsidR="005826AB">
        <w:rPr>
          <w:lang w:val="en-GB"/>
        </w:rPr>
        <w:t>and specifically the analysis of section 131 commencing at 481.</w:t>
      </w:r>
    </w:p>
  </w:footnote>
  <w:footnote w:id="2">
    <w:p w14:paraId="13C6F759" w14:textId="7817B98E" w:rsidR="0010233F" w:rsidRPr="00E201D9" w:rsidRDefault="0010233F" w:rsidP="0010233F">
      <w:pPr>
        <w:pStyle w:val="FootnoteText"/>
        <w:rPr>
          <w:lang w:val="en-GB"/>
        </w:rPr>
      </w:pPr>
      <w:r>
        <w:rPr>
          <w:rStyle w:val="FootnoteReference"/>
        </w:rPr>
        <w:footnoteRef/>
      </w:r>
      <w:r>
        <w:t xml:space="preserve"> </w:t>
      </w:r>
      <w:r>
        <w:tab/>
      </w:r>
      <w:r w:rsidR="008F280F">
        <w:t xml:space="preserve">See </w:t>
      </w:r>
      <w:r w:rsidRPr="00005344">
        <w:rPr>
          <w:i/>
          <w:iCs/>
        </w:rPr>
        <w:t>Republikeinse Publikasies (Edms) Bpk v Afrikaanse Pers Publikasies (Edms) Bpk</w:t>
      </w:r>
      <w:r>
        <w:t xml:space="preserve"> </w:t>
      </w:r>
      <w:r w:rsidRPr="00005344">
        <w:t>1972 (1) SA 773 (A)</w:t>
      </w:r>
      <w:r>
        <w:t xml:space="preserve">, </w:t>
      </w:r>
      <w:r w:rsidRPr="00D80925">
        <w:rPr>
          <w:i/>
          <w:iCs/>
        </w:rPr>
        <w:t>Luna Meubelvervaardigers (Edms) Bpk v Makin and Another t/a Makin’s Furniture Manufacturers</w:t>
      </w:r>
      <w:r>
        <w:t xml:space="preserve"> 1977 (4) SA 135 (W) </w:t>
      </w:r>
      <w:r w:rsidRPr="00005344">
        <w:rPr>
          <w:i/>
          <w:iCs/>
        </w:rPr>
        <w:t>East Rock Trading 7 (Pty) Ltd v Eagle Valley Granite (Pty) Ltd</w:t>
      </w:r>
      <w:r>
        <w:t xml:space="preserve"> </w:t>
      </w:r>
      <w:r w:rsidRPr="00005344">
        <w:t>2011 JDR 1832 (GSJ)</w:t>
      </w:r>
      <w:r>
        <w:t xml:space="preserve">, </w:t>
      </w:r>
      <w:r w:rsidRPr="00CC0E4A">
        <w:rPr>
          <w:i/>
          <w:iCs/>
        </w:rPr>
        <w:t>Siyakhula Sonke Empowerment Corporation (Pty) Ltd v Redpath Mining (South Africa) (Pty) Ltd and Others</w:t>
      </w:r>
      <w:r>
        <w:t xml:space="preserve"> </w:t>
      </w:r>
      <w:r w:rsidRPr="0099203D">
        <w:t>2022 JDR 1148 (GJ)</w:t>
      </w:r>
      <w:r>
        <w:t xml:space="preserve"> paras 7 and 8, </w:t>
      </w:r>
      <w:r w:rsidRPr="00C61526">
        <w:rPr>
          <w:i/>
          <w:iCs/>
        </w:rPr>
        <w:t>Allmed Healthcare Professionals (Pty) Ltd v Gauteng Department of Health</w:t>
      </w:r>
      <w:r>
        <w:t xml:space="preserve"> 2023 JDR 3410 (GJ), </w:t>
      </w:r>
      <w:r w:rsidRPr="00005344">
        <w:t xml:space="preserve">Van Loggerenberg Erasmus: </w:t>
      </w:r>
      <w:r w:rsidRPr="00005344">
        <w:rPr>
          <w:i/>
          <w:iCs/>
        </w:rPr>
        <w:t>Superior Court Practice</w:t>
      </w:r>
      <w:r w:rsidRPr="00005344">
        <w:t xml:space="preserve"> 2023</w:t>
      </w:r>
      <w:r>
        <w:t xml:space="preserve"> vol 2 D1 Rule 6-1. See also the </w:t>
      </w:r>
      <w:r w:rsidRPr="008F280F">
        <w:rPr>
          <w:i/>
          <w:iCs/>
        </w:rPr>
        <w:t>"notice to legal practitioners about the urgent motion Court, Johannesburg"</w:t>
      </w:r>
      <w:r>
        <w:t xml:space="preserve"> issued by the Deputy Judge President on 4 October 2021.</w:t>
      </w:r>
    </w:p>
  </w:footnote>
  <w:footnote w:id="3">
    <w:p w14:paraId="48B9EBD7" w14:textId="77777777" w:rsidR="00CA451F" w:rsidRDefault="00CA451F" w:rsidP="00CA451F">
      <w:pPr>
        <w:pStyle w:val="FootnoteText"/>
      </w:pPr>
      <w:r>
        <w:rPr>
          <w:rStyle w:val="FootnoteReference"/>
        </w:rPr>
        <w:footnoteRef/>
      </w:r>
      <w:r>
        <w:t xml:space="preserve"> </w:t>
      </w:r>
      <w:r>
        <w:tab/>
      </w:r>
      <w:r w:rsidRPr="004764EE">
        <w:rPr>
          <w:rFonts w:cs="Arial"/>
          <w:i/>
          <w:iCs/>
          <w:color w:val="000000" w:themeColor="text1"/>
        </w:rPr>
        <w:t>Nelson Mandela Metropolitan Municipality v Greyvenouw CC </w:t>
      </w:r>
      <w:hyperlink r:id="rId1" w:anchor="y2004v2SApg81" w:history="1">
        <w:r w:rsidRPr="004764EE">
          <w:rPr>
            <w:rStyle w:val="Hyperlink"/>
            <w:rFonts w:cs="Arial"/>
            <w:color w:val="000000" w:themeColor="text1"/>
            <w:u w:val="none"/>
          </w:rPr>
          <w:t>2004 (2) SA 81 (SE)</w:t>
        </w:r>
      </w:hyperlink>
      <w:r w:rsidRPr="004764EE">
        <w:rPr>
          <w:rFonts w:cs="Arial"/>
          <w:color w:val="000000" w:themeColor="text1"/>
        </w:rPr>
        <w:t>  94C–D</w:t>
      </w:r>
      <w:r w:rsidRPr="004764EE">
        <w:rPr>
          <w:rFonts w:cs="Arial"/>
          <w:i/>
          <w:iCs/>
          <w:color w:val="000000" w:themeColor="text1"/>
        </w:rPr>
        <w:t>; Stock v Minister of Housing </w:t>
      </w:r>
      <w:hyperlink r:id="rId2" w:anchor="y2007v2SApg9" w:history="1">
        <w:r w:rsidRPr="004764EE">
          <w:rPr>
            <w:rStyle w:val="Hyperlink"/>
            <w:rFonts w:cs="Arial"/>
            <w:color w:val="000000" w:themeColor="text1"/>
            <w:u w:val="none"/>
          </w:rPr>
          <w:t>2007 (2) SA 9 (C)</w:t>
        </w:r>
      </w:hyperlink>
      <w:r w:rsidRPr="004764EE">
        <w:rPr>
          <w:rFonts w:cs="Arial"/>
          <w:color w:val="000000" w:themeColor="text1"/>
        </w:rPr>
        <w:t> 12I–13A</w:t>
      </w:r>
      <w:r w:rsidRPr="004764EE">
        <w:rPr>
          <w:rFonts w:cs="Arial"/>
          <w:i/>
          <w:iCs/>
          <w:color w:val="000000" w:themeColor="text1"/>
        </w:rPr>
        <w:t>; Kumah v Minister of Home Affairs </w:t>
      </w:r>
      <w:hyperlink r:id="rId3" w:anchor="y2018v2SApg510" w:history="1">
        <w:r w:rsidRPr="004764EE">
          <w:rPr>
            <w:rStyle w:val="Hyperlink"/>
            <w:rFonts w:cs="Arial"/>
            <w:color w:val="000000" w:themeColor="text1"/>
            <w:u w:val="none"/>
          </w:rPr>
          <w:t>2018 (2) SA 510 (GJ)</w:t>
        </w:r>
      </w:hyperlink>
      <w:r w:rsidRPr="004764EE">
        <w:rPr>
          <w:rFonts w:cs="Arial"/>
          <w:color w:val="000000" w:themeColor="text1"/>
        </w:rPr>
        <w:t>  511D–E</w:t>
      </w:r>
      <w:r>
        <w:rPr>
          <w:rFonts w:cs="Arial"/>
          <w:color w:val="000000" w:themeColor="text1"/>
        </w:rPr>
        <w:t>.</w:t>
      </w:r>
    </w:p>
  </w:footnote>
  <w:footnote w:id="4">
    <w:p w14:paraId="2958B238" w14:textId="3E8EF645" w:rsidR="004B65FD" w:rsidRPr="004B65FD" w:rsidRDefault="004B65FD">
      <w:pPr>
        <w:pStyle w:val="FootnoteText"/>
        <w:rPr>
          <w:lang w:val="en-GB"/>
        </w:rPr>
      </w:pPr>
      <w:r>
        <w:rPr>
          <w:rStyle w:val="FootnoteReference"/>
        </w:rPr>
        <w:footnoteRef/>
      </w:r>
      <w:r>
        <w:t xml:space="preserve"> </w:t>
      </w:r>
      <w:r>
        <w:rPr>
          <w:lang w:val="en-GB"/>
        </w:rPr>
        <w:tab/>
      </w:r>
      <w:r w:rsidRPr="004B65FD">
        <w:rPr>
          <w:i/>
          <w:iCs/>
        </w:rPr>
        <w:t>Koen and Another v Wedgewood Village Golf &amp; Country Estate (Pty) Ltd and Others</w:t>
      </w:r>
      <w:r w:rsidRPr="004B65FD">
        <w:rPr>
          <w:i/>
          <w:iCs/>
        </w:rPr>
        <w:br/>
      </w:r>
      <w:r w:rsidRPr="00421A1A">
        <w:t>2012 (2) SA 378 (WCC)</w:t>
      </w:r>
      <w:r>
        <w:t xml:space="preserve"> para 10.</w:t>
      </w:r>
    </w:p>
  </w:footnote>
  <w:footnote w:id="5">
    <w:p w14:paraId="53BB30DC" w14:textId="4DA5ACFE" w:rsidR="001E506A" w:rsidRPr="001E506A" w:rsidRDefault="001E506A">
      <w:pPr>
        <w:pStyle w:val="FootnoteText"/>
        <w:rPr>
          <w:lang w:val="en-GB"/>
        </w:rPr>
      </w:pPr>
      <w:r>
        <w:rPr>
          <w:rStyle w:val="FootnoteReference"/>
        </w:rPr>
        <w:footnoteRef/>
      </w:r>
      <w:r>
        <w:t xml:space="preserve"> </w:t>
      </w:r>
      <w:r>
        <w:rPr>
          <w:lang w:val="en-GB"/>
        </w:rPr>
        <w:tab/>
        <w:t xml:space="preserve">See </w:t>
      </w:r>
      <w:r w:rsidRPr="001E506A">
        <w:rPr>
          <w:i/>
          <w:iCs/>
        </w:rPr>
        <w:t>Southern Palace Investments 265 (Pty) Ltd v Midnight Storm Investments 386 Ltd</w:t>
      </w:r>
      <w:r w:rsidRPr="00BA4D34">
        <w:br/>
        <w:t>2012 (2) SA 423 (WCC)</w:t>
      </w:r>
      <w:r>
        <w:t xml:space="preserve"> para 20.</w:t>
      </w:r>
    </w:p>
  </w:footnote>
  <w:footnote w:id="6">
    <w:p w14:paraId="33085794" w14:textId="2FC5F453" w:rsidR="003F7A0B" w:rsidRPr="003F7A0B" w:rsidRDefault="003F7A0B">
      <w:pPr>
        <w:pStyle w:val="FootnoteText"/>
        <w:rPr>
          <w:lang w:val="en-GB"/>
        </w:rPr>
      </w:pPr>
      <w:r>
        <w:rPr>
          <w:rStyle w:val="FootnoteReference"/>
        </w:rPr>
        <w:footnoteRef/>
      </w:r>
      <w:r>
        <w:t xml:space="preserve"> </w:t>
      </w:r>
      <w:r>
        <w:rPr>
          <w:lang w:val="en-GB"/>
        </w:rPr>
        <w:tab/>
        <w:t>Section 131 (4).</w:t>
      </w:r>
    </w:p>
  </w:footnote>
  <w:footnote w:id="7">
    <w:p w14:paraId="6247C1ED" w14:textId="77777777" w:rsidR="000D6D91" w:rsidRDefault="000D6D91" w:rsidP="000D6D91">
      <w:pPr>
        <w:pStyle w:val="FootnoteText"/>
      </w:pPr>
      <w:r>
        <w:rPr>
          <w:rStyle w:val="FootnoteReference"/>
        </w:rPr>
        <w:footnoteRef/>
      </w:r>
      <w:r>
        <w:t xml:space="preserve"> </w:t>
      </w:r>
      <w:r>
        <w:tab/>
        <w:t xml:space="preserve">See </w:t>
      </w:r>
      <w:r w:rsidRPr="004501CE">
        <w:rPr>
          <w:i/>
          <w:iCs/>
        </w:rPr>
        <w:t>Oakdene Square Properties (Pty) Ltd v Farm Bothasfontein (Kyalami) (Pty) Ltd</w:t>
      </w:r>
      <w:r>
        <w:t xml:space="preserve"> [2013] ZASCA 68 para 22.</w:t>
      </w:r>
    </w:p>
  </w:footnote>
  <w:footnote w:id="8">
    <w:p w14:paraId="7F08BB46" w14:textId="4336B96A" w:rsidR="00634D5E" w:rsidRPr="004B65FD" w:rsidRDefault="00634D5E" w:rsidP="00634D5E">
      <w:pPr>
        <w:pStyle w:val="FootnoteText"/>
        <w:rPr>
          <w:lang w:val="en-GB"/>
        </w:rPr>
      </w:pPr>
      <w:r>
        <w:rPr>
          <w:rStyle w:val="FootnoteReference"/>
        </w:rPr>
        <w:footnoteRef/>
      </w:r>
      <w:r>
        <w:t xml:space="preserve"> </w:t>
      </w:r>
      <w:r>
        <w:rPr>
          <w:lang w:val="en-GB"/>
        </w:rPr>
        <w:tab/>
        <w:t xml:space="preserve">See the judgement by Binns-Ward J in </w:t>
      </w:r>
      <w:r w:rsidRPr="004B65FD">
        <w:rPr>
          <w:i/>
          <w:iCs/>
        </w:rPr>
        <w:t>Koen and Another v Wedgewood Village Golf &amp; Country Estate (Pty) Ltd and Others</w:t>
      </w:r>
      <w:r>
        <w:rPr>
          <w:i/>
          <w:iCs/>
        </w:rPr>
        <w:t xml:space="preserve"> </w:t>
      </w:r>
      <w:r w:rsidRPr="00421A1A">
        <w:t>2012 (2) SA 378 (WCC)</w:t>
      </w:r>
      <w:r>
        <w:t xml:space="preserve"> paras 17 to 20.</w:t>
      </w:r>
    </w:p>
  </w:footnote>
  <w:footnote w:id="9">
    <w:p w14:paraId="1EFE742C" w14:textId="26800709" w:rsidR="008F280F" w:rsidRDefault="008F280F">
      <w:pPr>
        <w:pStyle w:val="FootnoteText"/>
      </w:pPr>
      <w:r>
        <w:rPr>
          <w:rStyle w:val="FootnoteReference"/>
        </w:rPr>
        <w:footnoteRef/>
      </w:r>
      <w:r>
        <w:t xml:space="preserve"> </w:t>
      </w:r>
      <w:r>
        <w:tab/>
      </w:r>
      <w:r w:rsidRPr="001E506A">
        <w:rPr>
          <w:i/>
          <w:iCs/>
        </w:rPr>
        <w:t>Southern Palace Investments 265 (Pty) Ltd v Midnight Storm Investments 386 Ltd</w:t>
      </w:r>
      <w:r w:rsidRPr="00BA4D34">
        <w:br/>
        <w:t>2012 (2) SA 423 (WCC)</w:t>
      </w:r>
      <w:r>
        <w:t xml:space="preserve"> para 3</w:t>
      </w:r>
      <w:r w:rsidR="003E7E6E">
        <w:t xml:space="preserve">, </w:t>
      </w:r>
      <w:r w:rsidR="003E7E6E" w:rsidRPr="003E7E6E">
        <w:rPr>
          <w:i/>
          <w:iCs/>
        </w:rPr>
        <w:t>PFC Properties (Pty) Ltd v Commissioner South African Revenue Service and Others</w:t>
      </w:r>
      <w:r w:rsidR="003E7E6E">
        <w:t xml:space="preserve"> 2024 (1) SA 400 (SCA), </w:t>
      </w:r>
      <w:r w:rsidRPr="008F280F">
        <w:rPr>
          <w:i/>
          <w:iCs/>
        </w:rPr>
        <w:t xml:space="preserve"> Blue Star Holdings (Pty) Ltd v West Coast Oyster Growers </w:t>
      </w:r>
      <w:r>
        <w:t>CC 2013 (6) SA 540 (WCC)</w:t>
      </w:r>
      <w:r w:rsidR="003E7E6E">
        <w:t xml:space="preserve"> para 20.</w:t>
      </w:r>
    </w:p>
  </w:footnote>
  <w:footnote w:id="10">
    <w:p w14:paraId="4F2996F6" w14:textId="58938CF3" w:rsidR="000D6D91" w:rsidRDefault="000D6D91">
      <w:pPr>
        <w:pStyle w:val="FootnoteText"/>
      </w:pPr>
      <w:r>
        <w:rPr>
          <w:rStyle w:val="FootnoteReference"/>
        </w:rPr>
        <w:footnoteRef/>
      </w:r>
      <w:r>
        <w:t xml:space="preserve"> </w:t>
      </w:r>
      <w:r>
        <w:tab/>
        <w:t xml:space="preserve">See </w:t>
      </w:r>
      <w:r w:rsidRPr="005129BF">
        <w:rPr>
          <w:i/>
          <w:iCs/>
        </w:rPr>
        <w:t>DH Brothers Industries (Pty) Ltd v Gribnitz NO and Others</w:t>
      </w:r>
      <w:r>
        <w:t xml:space="preserve"> </w:t>
      </w:r>
      <w:r w:rsidRPr="005129BF">
        <w:t>2014 (1) SA 103 (KZP)</w:t>
      </w:r>
      <w:r>
        <w:t>.</w:t>
      </w:r>
    </w:p>
  </w:footnote>
  <w:footnote w:id="11">
    <w:p w14:paraId="772D608A" w14:textId="4BBE6D3F" w:rsidR="00AA78B5" w:rsidRDefault="00AA78B5">
      <w:pPr>
        <w:pStyle w:val="FootnoteText"/>
      </w:pPr>
      <w:r>
        <w:rPr>
          <w:rStyle w:val="FootnoteReference"/>
        </w:rPr>
        <w:footnoteRef/>
      </w:r>
      <w:r>
        <w:t xml:space="preserve"> </w:t>
      </w:r>
      <w:r>
        <w:tab/>
      </w:r>
      <w:r w:rsidRPr="00AA78B5">
        <w:rPr>
          <w:i/>
          <w:iCs/>
        </w:rPr>
        <w:t>Reynolds NO v Mecklenberg (Pty) Ltd</w:t>
      </w:r>
      <w:r w:rsidRPr="00AA78B5">
        <w:t xml:space="preserve"> 1996 (1) SA 75 (W) 78I</w:t>
      </w:r>
      <w:r>
        <w:t xml:space="preserve">, </w:t>
      </w:r>
      <w:r w:rsidRPr="008A0C1B">
        <w:rPr>
          <w:i/>
          <w:iCs/>
        </w:rPr>
        <w:t>Willcox and Others v Commissioner for Inland Revenue</w:t>
      </w:r>
      <w:r w:rsidRPr="00AA78B5">
        <w:t xml:space="preserve"> 1960 (4) SA 599 (A) 602A</w:t>
      </w:r>
      <w:r>
        <w:t xml:space="preserve">, </w:t>
      </w:r>
      <w:r w:rsidRPr="00AA78B5">
        <w:t xml:space="preserve"> </w:t>
      </w:r>
      <w:r w:rsidRPr="008A0C1B">
        <w:rPr>
          <w:i/>
          <w:iCs/>
        </w:rPr>
        <w:t>Radebe and Others v Eastern Transvaal Development Board</w:t>
      </w:r>
      <w:r w:rsidRPr="00AA78B5">
        <w:t xml:space="preserve"> 1988 (2) SA 785 (A) 793D</w:t>
      </w:r>
      <w:r>
        <w:t>,</w:t>
      </w:r>
      <w:r w:rsidRPr="008A0C1B">
        <w:t xml:space="preserve"> </w:t>
      </w:r>
      <w:r w:rsidRPr="008A0C1B">
        <w:rPr>
          <w:i/>
          <w:iCs/>
        </w:rPr>
        <w:t>Swissborough Diamond Mines (Pty) Ltd and Others v Government of the Republic of South Africa and Others</w:t>
      </w:r>
      <w:r>
        <w:t xml:space="preserve"> </w:t>
      </w:r>
      <w:r w:rsidRPr="00E6097F">
        <w:t>1999 (2) SA 279 (T)</w:t>
      </w:r>
      <w:r>
        <w:t xml:space="preserve"> 324D-F.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A923" w14:textId="77777777" w:rsidR="000151E5" w:rsidRDefault="0001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062D5B0A" w:rsidR="00893C08" w:rsidRPr="008E2A22" w:rsidRDefault="00EF0D9E" w:rsidP="004B21D9">
    <w:pPr>
      <w:tabs>
        <w:tab w:val="center" w:pos="4153"/>
        <w:tab w:val="right" w:pos="8306"/>
      </w:tabs>
      <w:spacing w:line="276" w:lineRule="auto"/>
      <w:rPr>
        <w:rFonts w:cs="Arial"/>
        <w:sz w:val="19"/>
        <w:szCs w:val="19"/>
        <w:lang w:val="en-GB"/>
      </w:rPr>
    </w:pPr>
    <w:r>
      <w:rPr>
        <w:rFonts w:cs="Arial"/>
        <w:sz w:val="19"/>
        <w:szCs w:val="19"/>
        <w:lang w:val="en-GB"/>
      </w:rPr>
      <w:t>R</w:t>
    </w:r>
    <w:r w:rsidR="00893C08" w:rsidRPr="008E2A22">
      <w:rPr>
        <w:rFonts w:cs="Arial"/>
        <w:sz w:val="19"/>
        <w:szCs w:val="19"/>
        <w:lang w:val="en-GB"/>
      </w:rPr>
      <w:fldChar w:fldCharType="begin"/>
    </w:r>
    <w:r w:rsidR="00893C08" w:rsidRPr="008E2A22">
      <w:rPr>
        <w:rFonts w:cs="Arial"/>
        <w:sz w:val="19"/>
        <w:szCs w:val="19"/>
        <w:lang w:val="en-GB"/>
      </w:rPr>
      <w:instrText xml:space="preserve"> PAGE </w:instrText>
    </w:r>
    <w:r w:rsidR="00893C08" w:rsidRPr="008E2A22">
      <w:rPr>
        <w:rFonts w:cs="Arial"/>
        <w:sz w:val="19"/>
        <w:szCs w:val="19"/>
        <w:lang w:val="en-GB"/>
      </w:rPr>
      <w:fldChar w:fldCharType="separate"/>
    </w:r>
    <w:r w:rsidR="00AC1137">
      <w:rPr>
        <w:rFonts w:cs="Arial"/>
        <w:noProof/>
        <w:sz w:val="19"/>
        <w:szCs w:val="19"/>
        <w:lang w:val="en-GB"/>
      </w:rPr>
      <w:t>2</w:t>
    </w:r>
    <w:r w:rsidR="00893C08"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9E035" w14:textId="77777777" w:rsidR="000151E5" w:rsidRDefault="0001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3683"/>
    <w:multiLevelType w:val="hybridMultilevel"/>
    <w:tmpl w:val="6D6A15AC"/>
    <w:lvl w:ilvl="0" w:tplc="BC86E032">
      <w:start w:val="9"/>
      <w:numFmt w:val="lowerLetter"/>
      <w:lvlText w:val="(%1)"/>
      <w:lvlJc w:val="left"/>
      <w:pPr>
        <w:ind w:left="690" w:hanging="39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A8D474B"/>
    <w:multiLevelType w:val="hybridMultilevel"/>
    <w:tmpl w:val="AD400850"/>
    <w:lvl w:ilvl="0" w:tplc="E340C12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F1317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F542B"/>
    <w:multiLevelType w:val="hybridMultilevel"/>
    <w:tmpl w:val="087A8AAA"/>
    <w:lvl w:ilvl="0" w:tplc="7E50331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5"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6"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265A"/>
    <w:multiLevelType w:val="hybridMultilevel"/>
    <w:tmpl w:val="F8D6F6FA"/>
    <w:lvl w:ilvl="0" w:tplc="7780FD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E8A1FD5"/>
    <w:multiLevelType w:val="hybridMultilevel"/>
    <w:tmpl w:val="6338E1C2"/>
    <w:lvl w:ilvl="0" w:tplc="5864684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632D0BB1"/>
    <w:multiLevelType w:val="hybridMultilevel"/>
    <w:tmpl w:val="229ADF12"/>
    <w:lvl w:ilvl="0" w:tplc="964EDD5C">
      <w:start w:val="1"/>
      <w:numFmt w:val="decimal"/>
      <w:lvlText w:val="(%1)"/>
      <w:lvlJc w:val="left"/>
      <w:pPr>
        <w:ind w:left="765" w:hanging="405"/>
      </w:pPr>
      <w:rPr>
        <w:rFonts w:hint="default"/>
      </w:rPr>
    </w:lvl>
    <w:lvl w:ilvl="1" w:tplc="5AA4B300">
      <w:start w:val="1"/>
      <w:numFmt w:val="lowerLetter"/>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6DC274A0"/>
    <w:multiLevelType w:val="hybridMultilevel"/>
    <w:tmpl w:val="D084E7FC"/>
    <w:lvl w:ilvl="0" w:tplc="9564B60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2C12811"/>
    <w:multiLevelType w:val="hybridMultilevel"/>
    <w:tmpl w:val="D616C696"/>
    <w:lvl w:ilvl="0" w:tplc="24F8C52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2A6536"/>
    <w:multiLevelType w:val="hybridMultilevel"/>
    <w:tmpl w:val="260C03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54633915">
    <w:abstractNumId w:val="10"/>
  </w:num>
  <w:num w:numId="2" w16cid:durableId="2061397534">
    <w:abstractNumId w:val="3"/>
  </w:num>
  <w:num w:numId="3" w16cid:durableId="795026417">
    <w:abstractNumId w:val="24"/>
  </w:num>
  <w:num w:numId="4" w16cid:durableId="2004821374">
    <w:abstractNumId w:val="13"/>
  </w:num>
  <w:num w:numId="5" w16cid:durableId="1654219679">
    <w:abstractNumId w:val="22"/>
  </w:num>
  <w:num w:numId="6" w16cid:durableId="1774939918">
    <w:abstractNumId w:val="17"/>
  </w:num>
  <w:num w:numId="7" w16cid:durableId="1893468698">
    <w:abstractNumId w:val="1"/>
  </w:num>
  <w:num w:numId="8" w16cid:durableId="138459508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216945">
    <w:abstractNumId w:val="15"/>
  </w:num>
  <w:num w:numId="10" w16cid:durableId="1654797750">
    <w:abstractNumId w:val="4"/>
  </w:num>
  <w:num w:numId="11" w16cid:durableId="969630857">
    <w:abstractNumId w:val="27"/>
  </w:num>
  <w:num w:numId="12" w16cid:durableId="1473869943">
    <w:abstractNumId w:val="7"/>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1778677978">
    <w:abstractNumId w:val="18"/>
  </w:num>
  <w:num w:numId="14" w16cid:durableId="441149891">
    <w:abstractNumId w:val="16"/>
  </w:num>
  <w:num w:numId="15" w16cid:durableId="2126348120">
    <w:abstractNumId w:val="6"/>
  </w:num>
  <w:num w:numId="16" w16cid:durableId="524901604">
    <w:abstractNumId w:val="11"/>
  </w:num>
  <w:num w:numId="17" w16cid:durableId="1285582024">
    <w:abstractNumId w:val="5"/>
  </w:num>
  <w:num w:numId="18" w16cid:durableId="1188565900">
    <w:abstractNumId w:val="2"/>
  </w:num>
  <w:num w:numId="19" w16cid:durableId="125316636">
    <w:abstractNumId w:val="23"/>
  </w:num>
  <w:num w:numId="20" w16cid:durableId="1787120215">
    <w:abstractNumId w:val="9"/>
  </w:num>
  <w:num w:numId="21" w16cid:durableId="2068649537">
    <w:abstractNumId w:val="21"/>
  </w:num>
  <w:num w:numId="22" w16cid:durableId="940263638">
    <w:abstractNumId w:val="0"/>
  </w:num>
  <w:num w:numId="23" w16cid:durableId="320277252">
    <w:abstractNumId w:val="28"/>
  </w:num>
  <w:num w:numId="24" w16cid:durableId="398989846">
    <w:abstractNumId w:val="19"/>
  </w:num>
  <w:num w:numId="25" w16cid:durableId="1195342322">
    <w:abstractNumId w:val="8"/>
  </w:num>
  <w:num w:numId="26" w16cid:durableId="2089419933">
    <w:abstractNumId w:val="26"/>
  </w:num>
  <w:num w:numId="27" w16cid:durableId="152918667">
    <w:abstractNumId w:val="12"/>
  </w:num>
  <w:num w:numId="28" w16cid:durableId="1437557759">
    <w:abstractNumId w:val="25"/>
  </w:num>
  <w:num w:numId="29" w16cid:durableId="2045247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NjewMDc2MjExM7VQ0lEKTi0uzszPAykwrAUA0FlF5CwAAAA="/>
    <w:docVar w:name="dgnword-docGUID" w:val="{63C7FE54-8738-4FF8-98ED-456CE26955B4}"/>
    <w:docVar w:name="dgnword-eventsink" w:val="2323528654672"/>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1E5"/>
    <w:rsid w:val="0001593E"/>
    <w:rsid w:val="00015D74"/>
    <w:rsid w:val="00015F98"/>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B2B"/>
    <w:rsid w:val="00077D11"/>
    <w:rsid w:val="000809A3"/>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02"/>
    <w:rsid w:val="000B21DA"/>
    <w:rsid w:val="000B39D7"/>
    <w:rsid w:val="000C7A3D"/>
    <w:rsid w:val="000C7E41"/>
    <w:rsid w:val="000D01E0"/>
    <w:rsid w:val="000D21E7"/>
    <w:rsid w:val="000D2265"/>
    <w:rsid w:val="000D415C"/>
    <w:rsid w:val="000D4E84"/>
    <w:rsid w:val="000D53F5"/>
    <w:rsid w:val="000D5760"/>
    <w:rsid w:val="000D6D91"/>
    <w:rsid w:val="000D71C5"/>
    <w:rsid w:val="000D7D6A"/>
    <w:rsid w:val="000E1EC8"/>
    <w:rsid w:val="000E2EAC"/>
    <w:rsid w:val="000E3EE8"/>
    <w:rsid w:val="000E4985"/>
    <w:rsid w:val="000E5343"/>
    <w:rsid w:val="000F00EF"/>
    <w:rsid w:val="000F3298"/>
    <w:rsid w:val="000F430D"/>
    <w:rsid w:val="000F59F8"/>
    <w:rsid w:val="000F7813"/>
    <w:rsid w:val="00101890"/>
    <w:rsid w:val="0010233F"/>
    <w:rsid w:val="001025B5"/>
    <w:rsid w:val="00104142"/>
    <w:rsid w:val="001053D6"/>
    <w:rsid w:val="00105F97"/>
    <w:rsid w:val="00107D26"/>
    <w:rsid w:val="00107D90"/>
    <w:rsid w:val="001114D8"/>
    <w:rsid w:val="001142D1"/>
    <w:rsid w:val="00117679"/>
    <w:rsid w:val="00120C79"/>
    <w:rsid w:val="00120FB1"/>
    <w:rsid w:val="00124ED2"/>
    <w:rsid w:val="00130253"/>
    <w:rsid w:val="001305E0"/>
    <w:rsid w:val="00130C4A"/>
    <w:rsid w:val="00133E81"/>
    <w:rsid w:val="001342B3"/>
    <w:rsid w:val="00140454"/>
    <w:rsid w:val="00140CED"/>
    <w:rsid w:val="00141595"/>
    <w:rsid w:val="00141AD1"/>
    <w:rsid w:val="00143E7B"/>
    <w:rsid w:val="0014628D"/>
    <w:rsid w:val="00146AFF"/>
    <w:rsid w:val="00147FF5"/>
    <w:rsid w:val="00151DA9"/>
    <w:rsid w:val="0015238F"/>
    <w:rsid w:val="00152899"/>
    <w:rsid w:val="0015477E"/>
    <w:rsid w:val="00154961"/>
    <w:rsid w:val="00155A21"/>
    <w:rsid w:val="00155DAB"/>
    <w:rsid w:val="00156C9E"/>
    <w:rsid w:val="0015748A"/>
    <w:rsid w:val="00161057"/>
    <w:rsid w:val="00161392"/>
    <w:rsid w:val="00161436"/>
    <w:rsid w:val="0016589D"/>
    <w:rsid w:val="001668D1"/>
    <w:rsid w:val="001671C1"/>
    <w:rsid w:val="0016738D"/>
    <w:rsid w:val="00171182"/>
    <w:rsid w:val="0017124B"/>
    <w:rsid w:val="00171D7F"/>
    <w:rsid w:val="00172763"/>
    <w:rsid w:val="00172DDF"/>
    <w:rsid w:val="00173B8E"/>
    <w:rsid w:val="00175DDD"/>
    <w:rsid w:val="00177C70"/>
    <w:rsid w:val="001802F8"/>
    <w:rsid w:val="00180CB6"/>
    <w:rsid w:val="00182F3E"/>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4CCB"/>
    <w:rsid w:val="00195810"/>
    <w:rsid w:val="001966E8"/>
    <w:rsid w:val="00196E14"/>
    <w:rsid w:val="001A2608"/>
    <w:rsid w:val="001A4C9B"/>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608F"/>
    <w:rsid w:val="001C7048"/>
    <w:rsid w:val="001D3CC2"/>
    <w:rsid w:val="001D46A3"/>
    <w:rsid w:val="001E0529"/>
    <w:rsid w:val="001E2EED"/>
    <w:rsid w:val="001E44D1"/>
    <w:rsid w:val="001E4691"/>
    <w:rsid w:val="001E506A"/>
    <w:rsid w:val="001E518E"/>
    <w:rsid w:val="001F014C"/>
    <w:rsid w:val="001F09D1"/>
    <w:rsid w:val="001F0A29"/>
    <w:rsid w:val="001F0CE5"/>
    <w:rsid w:val="001F361F"/>
    <w:rsid w:val="001F3DBD"/>
    <w:rsid w:val="001F53E8"/>
    <w:rsid w:val="001F6466"/>
    <w:rsid w:val="001F648A"/>
    <w:rsid w:val="001F6F43"/>
    <w:rsid w:val="00200B96"/>
    <w:rsid w:val="00201620"/>
    <w:rsid w:val="00203DA2"/>
    <w:rsid w:val="0020474A"/>
    <w:rsid w:val="00205392"/>
    <w:rsid w:val="00205E72"/>
    <w:rsid w:val="00206919"/>
    <w:rsid w:val="002104BF"/>
    <w:rsid w:val="002108B6"/>
    <w:rsid w:val="00211F49"/>
    <w:rsid w:val="00213738"/>
    <w:rsid w:val="00213F3E"/>
    <w:rsid w:val="00214877"/>
    <w:rsid w:val="00215824"/>
    <w:rsid w:val="00216BC8"/>
    <w:rsid w:val="002175BA"/>
    <w:rsid w:val="002200DC"/>
    <w:rsid w:val="0022218D"/>
    <w:rsid w:val="00226926"/>
    <w:rsid w:val="002302E3"/>
    <w:rsid w:val="00232528"/>
    <w:rsid w:val="0023405C"/>
    <w:rsid w:val="00235D20"/>
    <w:rsid w:val="00236E47"/>
    <w:rsid w:val="0023711D"/>
    <w:rsid w:val="002374DF"/>
    <w:rsid w:val="00237806"/>
    <w:rsid w:val="00237FF9"/>
    <w:rsid w:val="0024012B"/>
    <w:rsid w:val="002424F3"/>
    <w:rsid w:val="00243D2F"/>
    <w:rsid w:val="00244FB9"/>
    <w:rsid w:val="00250164"/>
    <w:rsid w:val="002507AA"/>
    <w:rsid w:val="00251668"/>
    <w:rsid w:val="002535F0"/>
    <w:rsid w:val="00253F38"/>
    <w:rsid w:val="00253F72"/>
    <w:rsid w:val="002549D2"/>
    <w:rsid w:val="00260B0A"/>
    <w:rsid w:val="002625C5"/>
    <w:rsid w:val="00262819"/>
    <w:rsid w:val="00263A96"/>
    <w:rsid w:val="00270557"/>
    <w:rsid w:val="002709AE"/>
    <w:rsid w:val="00271246"/>
    <w:rsid w:val="00272B77"/>
    <w:rsid w:val="0027600C"/>
    <w:rsid w:val="00277491"/>
    <w:rsid w:val="00277B78"/>
    <w:rsid w:val="00285040"/>
    <w:rsid w:val="00285062"/>
    <w:rsid w:val="0029196F"/>
    <w:rsid w:val="00292E3E"/>
    <w:rsid w:val="00293463"/>
    <w:rsid w:val="0029369B"/>
    <w:rsid w:val="00293C02"/>
    <w:rsid w:val="0029605B"/>
    <w:rsid w:val="00296DAF"/>
    <w:rsid w:val="002976B8"/>
    <w:rsid w:val="002A030C"/>
    <w:rsid w:val="002A4B7B"/>
    <w:rsid w:val="002B0355"/>
    <w:rsid w:val="002B05EA"/>
    <w:rsid w:val="002B12D6"/>
    <w:rsid w:val="002B463F"/>
    <w:rsid w:val="002B528D"/>
    <w:rsid w:val="002B782F"/>
    <w:rsid w:val="002C15AC"/>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2C89"/>
    <w:rsid w:val="002F41F8"/>
    <w:rsid w:val="002F4A5D"/>
    <w:rsid w:val="002F508A"/>
    <w:rsid w:val="002F72D3"/>
    <w:rsid w:val="002F774A"/>
    <w:rsid w:val="003014D9"/>
    <w:rsid w:val="00301F05"/>
    <w:rsid w:val="00302290"/>
    <w:rsid w:val="003023F9"/>
    <w:rsid w:val="00302C31"/>
    <w:rsid w:val="003031A1"/>
    <w:rsid w:val="00303919"/>
    <w:rsid w:val="00304705"/>
    <w:rsid w:val="003047C2"/>
    <w:rsid w:val="0030653F"/>
    <w:rsid w:val="00306B41"/>
    <w:rsid w:val="00307200"/>
    <w:rsid w:val="003102C8"/>
    <w:rsid w:val="0031117B"/>
    <w:rsid w:val="00312EBC"/>
    <w:rsid w:val="00313056"/>
    <w:rsid w:val="00315B17"/>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1E0D"/>
    <w:rsid w:val="0036253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5B"/>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1CC9"/>
    <w:rsid w:val="003D2793"/>
    <w:rsid w:val="003D36F9"/>
    <w:rsid w:val="003D77F1"/>
    <w:rsid w:val="003D7970"/>
    <w:rsid w:val="003E0159"/>
    <w:rsid w:val="003E449A"/>
    <w:rsid w:val="003E4A33"/>
    <w:rsid w:val="003E54E1"/>
    <w:rsid w:val="003E724B"/>
    <w:rsid w:val="003E7A60"/>
    <w:rsid w:val="003E7E6E"/>
    <w:rsid w:val="003F1F49"/>
    <w:rsid w:val="003F23F0"/>
    <w:rsid w:val="003F44F4"/>
    <w:rsid w:val="003F4801"/>
    <w:rsid w:val="003F7448"/>
    <w:rsid w:val="003F7A0B"/>
    <w:rsid w:val="0040197A"/>
    <w:rsid w:val="00401AD1"/>
    <w:rsid w:val="00404A52"/>
    <w:rsid w:val="004066F9"/>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055"/>
    <w:rsid w:val="00434796"/>
    <w:rsid w:val="0043683A"/>
    <w:rsid w:val="00437EB1"/>
    <w:rsid w:val="00437EB4"/>
    <w:rsid w:val="00441422"/>
    <w:rsid w:val="00444ED6"/>
    <w:rsid w:val="00445DCB"/>
    <w:rsid w:val="00447235"/>
    <w:rsid w:val="004479C3"/>
    <w:rsid w:val="004501CE"/>
    <w:rsid w:val="0045044C"/>
    <w:rsid w:val="00452B52"/>
    <w:rsid w:val="004602F5"/>
    <w:rsid w:val="00460495"/>
    <w:rsid w:val="00460EEA"/>
    <w:rsid w:val="00462DE3"/>
    <w:rsid w:val="004630B6"/>
    <w:rsid w:val="00463106"/>
    <w:rsid w:val="00466A30"/>
    <w:rsid w:val="00467F5B"/>
    <w:rsid w:val="00472F97"/>
    <w:rsid w:val="00474607"/>
    <w:rsid w:val="00474910"/>
    <w:rsid w:val="0047499C"/>
    <w:rsid w:val="004749AF"/>
    <w:rsid w:val="00474AF6"/>
    <w:rsid w:val="00475410"/>
    <w:rsid w:val="00475E80"/>
    <w:rsid w:val="004774FF"/>
    <w:rsid w:val="0048285C"/>
    <w:rsid w:val="00483F21"/>
    <w:rsid w:val="00484116"/>
    <w:rsid w:val="00484163"/>
    <w:rsid w:val="004841A8"/>
    <w:rsid w:val="0048424E"/>
    <w:rsid w:val="00484629"/>
    <w:rsid w:val="00484F8A"/>
    <w:rsid w:val="00486ACC"/>
    <w:rsid w:val="00486F42"/>
    <w:rsid w:val="00487D14"/>
    <w:rsid w:val="0049165E"/>
    <w:rsid w:val="004923A9"/>
    <w:rsid w:val="00494337"/>
    <w:rsid w:val="00494F1A"/>
    <w:rsid w:val="00495F7C"/>
    <w:rsid w:val="004976D5"/>
    <w:rsid w:val="004A10CD"/>
    <w:rsid w:val="004A11D9"/>
    <w:rsid w:val="004A1E3F"/>
    <w:rsid w:val="004A2C7E"/>
    <w:rsid w:val="004A5056"/>
    <w:rsid w:val="004A5AF5"/>
    <w:rsid w:val="004A6625"/>
    <w:rsid w:val="004A69D6"/>
    <w:rsid w:val="004A6E81"/>
    <w:rsid w:val="004A70AB"/>
    <w:rsid w:val="004A7DFE"/>
    <w:rsid w:val="004B085D"/>
    <w:rsid w:val="004B0DBA"/>
    <w:rsid w:val="004B20EE"/>
    <w:rsid w:val="004B21D9"/>
    <w:rsid w:val="004B255A"/>
    <w:rsid w:val="004B3A47"/>
    <w:rsid w:val="004B3CA9"/>
    <w:rsid w:val="004B6022"/>
    <w:rsid w:val="004B65FD"/>
    <w:rsid w:val="004C0CE3"/>
    <w:rsid w:val="004C1D86"/>
    <w:rsid w:val="004C368B"/>
    <w:rsid w:val="004C6239"/>
    <w:rsid w:val="004D1A31"/>
    <w:rsid w:val="004D1A91"/>
    <w:rsid w:val="004D2123"/>
    <w:rsid w:val="004D262A"/>
    <w:rsid w:val="004D2C6F"/>
    <w:rsid w:val="004D2E01"/>
    <w:rsid w:val="004D3237"/>
    <w:rsid w:val="004D3FD6"/>
    <w:rsid w:val="004D4E89"/>
    <w:rsid w:val="004D5B5D"/>
    <w:rsid w:val="004D635C"/>
    <w:rsid w:val="004D692E"/>
    <w:rsid w:val="004E0F3F"/>
    <w:rsid w:val="004E1191"/>
    <w:rsid w:val="004E1349"/>
    <w:rsid w:val="004E1AF1"/>
    <w:rsid w:val="004E3305"/>
    <w:rsid w:val="004E3D0E"/>
    <w:rsid w:val="004E4AEA"/>
    <w:rsid w:val="004E568C"/>
    <w:rsid w:val="004E5AD8"/>
    <w:rsid w:val="004E61DE"/>
    <w:rsid w:val="004F0806"/>
    <w:rsid w:val="004F12D8"/>
    <w:rsid w:val="004F2189"/>
    <w:rsid w:val="004F22A6"/>
    <w:rsid w:val="004F41E9"/>
    <w:rsid w:val="004F4A37"/>
    <w:rsid w:val="004F5148"/>
    <w:rsid w:val="004F5D23"/>
    <w:rsid w:val="005037B3"/>
    <w:rsid w:val="00504B53"/>
    <w:rsid w:val="00505BD9"/>
    <w:rsid w:val="00505FF7"/>
    <w:rsid w:val="0051015D"/>
    <w:rsid w:val="00511BB6"/>
    <w:rsid w:val="0051251A"/>
    <w:rsid w:val="0051292D"/>
    <w:rsid w:val="00514426"/>
    <w:rsid w:val="0051442D"/>
    <w:rsid w:val="00515FD8"/>
    <w:rsid w:val="0051622D"/>
    <w:rsid w:val="00517A09"/>
    <w:rsid w:val="005207B2"/>
    <w:rsid w:val="005219EB"/>
    <w:rsid w:val="00522CBE"/>
    <w:rsid w:val="005262C2"/>
    <w:rsid w:val="005263F0"/>
    <w:rsid w:val="0052705A"/>
    <w:rsid w:val="005272E3"/>
    <w:rsid w:val="00532E26"/>
    <w:rsid w:val="00533CD6"/>
    <w:rsid w:val="00534C3B"/>
    <w:rsid w:val="00537126"/>
    <w:rsid w:val="00537A72"/>
    <w:rsid w:val="005405F8"/>
    <w:rsid w:val="00542EAE"/>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77B5F"/>
    <w:rsid w:val="005808E5"/>
    <w:rsid w:val="005826AB"/>
    <w:rsid w:val="00584DFE"/>
    <w:rsid w:val="00585E43"/>
    <w:rsid w:val="005875A9"/>
    <w:rsid w:val="00593C34"/>
    <w:rsid w:val="005949BC"/>
    <w:rsid w:val="005971D5"/>
    <w:rsid w:val="005A0847"/>
    <w:rsid w:val="005A20B0"/>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3892"/>
    <w:rsid w:val="005C5F00"/>
    <w:rsid w:val="005C7FC2"/>
    <w:rsid w:val="005D016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0188"/>
    <w:rsid w:val="005F1CDA"/>
    <w:rsid w:val="005F35C5"/>
    <w:rsid w:val="005F37A4"/>
    <w:rsid w:val="005F561B"/>
    <w:rsid w:val="005F7E15"/>
    <w:rsid w:val="00601270"/>
    <w:rsid w:val="00602403"/>
    <w:rsid w:val="00602FA4"/>
    <w:rsid w:val="006041A4"/>
    <w:rsid w:val="0061036C"/>
    <w:rsid w:val="00610873"/>
    <w:rsid w:val="006109EC"/>
    <w:rsid w:val="00610F53"/>
    <w:rsid w:val="00611D8A"/>
    <w:rsid w:val="006122AB"/>
    <w:rsid w:val="0061430D"/>
    <w:rsid w:val="006150CE"/>
    <w:rsid w:val="00615ED4"/>
    <w:rsid w:val="00615F6B"/>
    <w:rsid w:val="006165F4"/>
    <w:rsid w:val="006245EC"/>
    <w:rsid w:val="00626ABB"/>
    <w:rsid w:val="00627F73"/>
    <w:rsid w:val="006309D5"/>
    <w:rsid w:val="00634D5E"/>
    <w:rsid w:val="006376C5"/>
    <w:rsid w:val="006407E9"/>
    <w:rsid w:val="00641F4F"/>
    <w:rsid w:val="00642664"/>
    <w:rsid w:val="00644BBE"/>
    <w:rsid w:val="006466DA"/>
    <w:rsid w:val="00646711"/>
    <w:rsid w:val="00646777"/>
    <w:rsid w:val="006479F9"/>
    <w:rsid w:val="00647DDD"/>
    <w:rsid w:val="00653548"/>
    <w:rsid w:val="00653BA4"/>
    <w:rsid w:val="006545D0"/>
    <w:rsid w:val="00656E2E"/>
    <w:rsid w:val="00657478"/>
    <w:rsid w:val="00657EDA"/>
    <w:rsid w:val="00657F9A"/>
    <w:rsid w:val="006609A2"/>
    <w:rsid w:val="00660C84"/>
    <w:rsid w:val="0066132D"/>
    <w:rsid w:val="0066194B"/>
    <w:rsid w:val="00661FC4"/>
    <w:rsid w:val="006630E1"/>
    <w:rsid w:val="00663229"/>
    <w:rsid w:val="006642A0"/>
    <w:rsid w:val="00666A58"/>
    <w:rsid w:val="00666D4D"/>
    <w:rsid w:val="00672205"/>
    <w:rsid w:val="00672E95"/>
    <w:rsid w:val="0067508C"/>
    <w:rsid w:val="006762B3"/>
    <w:rsid w:val="00676D6C"/>
    <w:rsid w:val="00677059"/>
    <w:rsid w:val="00680072"/>
    <w:rsid w:val="00680421"/>
    <w:rsid w:val="00681B06"/>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C1B"/>
    <w:rsid w:val="006D5E45"/>
    <w:rsid w:val="006D5E57"/>
    <w:rsid w:val="006E0B4D"/>
    <w:rsid w:val="006E2083"/>
    <w:rsid w:val="006E2725"/>
    <w:rsid w:val="006E3064"/>
    <w:rsid w:val="006E361B"/>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4578"/>
    <w:rsid w:val="007351A5"/>
    <w:rsid w:val="0074214D"/>
    <w:rsid w:val="00742764"/>
    <w:rsid w:val="00745456"/>
    <w:rsid w:val="00746E92"/>
    <w:rsid w:val="00750950"/>
    <w:rsid w:val="00750EE4"/>
    <w:rsid w:val="00751452"/>
    <w:rsid w:val="0075156A"/>
    <w:rsid w:val="00751D8C"/>
    <w:rsid w:val="00751F90"/>
    <w:rsid w:val="0075204D"/>
    <w:rsid w:val="00752EF6"/>
    <w:rsid w:val="00753B4D"/>
    <w:rsid w:val="007543AA"/>
    <w:rsid w:val="00754BDD"/>
    <w:rsid w:val="00757143"/>
    <w:rsid w:val="007619C5"/>
    <w:rsid w:val="00761B26"/>
    <w:rsid w:val="00761C35"/>
    <w:rsid w:val="00762178"/>
    <w:rsid w:val="00765F62"/>
    <w:rsid w:val="00766026"/>
    <w:rsid w:val="007671E0"/>
    <w:rsid w:val="00772025"/>
    <w:rsid w:val="007726C0"/>
    <w:rsid w:val="007728F6"/>
    <w:rsid w:val="00773A20"/>
    <w:rsid w:val="007744FD"/>
    <w:rsid w:val="00775AB7"/>
    <w:rsid w:val="00776B34"/>
    <w:rsid w:val="00781088"/>
    <w:rsid w:val="007811C6"/>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A7B06"/>
    <w:rsid w:val="007B165A"/>
    <w:rsid w:val="007B275E"/>
    <w:rsid w:val="007B2DAD"/>
    <w:rsid w:val="007B2DF7"/>
    <w:rsid w:val="007B7246"/>
    <w:rsid w:val="007B78C2"/>
    <w:rsid w:val="007C23FF"/>
    <w:rsid w:val="007C25B0"/>
    <w:rsid w:val="007C416B"/>
    <w:rsid w:val="007C4CB7"/>
    <w:rsid w:val="007C5008"/>
    <w:rsid w:val="007C6046"/>
    <w:rsid w:val="007C647E"/>
    <w:rsid w:val="007C658B"/>
    <w:rsid w:val="007D069D"/>
    <w:rsid w:val="007D1E79"/>
    <w:rsid w:val="007D27CF"/>
    <w:rsid w:val="007D4DAF"/>
    <w:rsid w:val="007E1175"/>
    <w:rsid w:val="007E1BA6"/>
    <w:rsid w:val="007E220A"/>
    <w:rsid w:val="007E468A"/>
    <w:rsid w:val="007E54E5"/>
    <w:rsid w:val="007E58FC"/>
    <w:rsid w:val="007E6643"/>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08C8"/>
    <w:rsid w:val="00822050"/>
    <w:rsid w:val="008304EC"/>
    <w:rsid w:val="00830952"/>
    <w:rsid w:val="00830F84"/>
    <w:rsid w:val="00832217"/>
    <w:rsid w:val="00832522"/>
    <w:rsid w:val="00833453"/>
    <w:rsid w:val="0084184E"/>
    <w:rsid w:val="00841B33"/>
    <w:rsid w:val="00841C01"/>
    <w:rsid w:val="00843EFD"/>
    <w:rsid w:val="008442F2"/>
    <w:rsid w:val="008443A9"/>
    <w:rsid w:val="0084599C"/>
    <w:rsid w:val="008469B3"/>
    <w:rsid w:val="00847539"/>
    <w:rsid w:val="0085195B"/>
    <w:rsid w:val="00851C84"/>
    <w:rsid w:val="008535CA"/>
    <w:rsid w:val="00856FA8"/>
    <w:rsid w:val="00856FF2"/>
    <w:rsid w:val="008578F4"/>
    <w:rsid w:val="00860576"/>
    <w:rsid w:val="00861120"/>
    <w:rsid w:val="008657EE"/>
    <w:rsid w:val="0086688C"/>
    <w:rsid w:val="008674AA"/>
    <w:rsid w:val="008675CC"/>
    <w:rsid w:val="008707F5"/>
    <w:rsid w:val="0087609B"/>
    <w:rsid w:val="00880850"/>
    <w:rsid w:val="0088094C"/>
    <w:rsid w:val="00881004"/>
    <w:rsid w:val="008824C8"/>
    <w:rsid w:val="00882C40"/>
    <w:rsid w:val="00884FFC"/>
    <w:rsid w:val="00885973"/>
    <w:rsid w:val="0089145D"/>
    <w:rsid w:val="008919D3"/>
    <w:rsid w:val="00891DC8"/>
    <w:rsid w:val="00891F55"/>
    <w:rsid w:val="00892908"/>
    <w:rsid w:val="00893C08"/>
    <w:rsid w:val="008942FC"/>
    <w:rsid w:val="0089562F"/>
    <w:rsid w:val="008957BF"/>
    <w:rsid w:val="00895BE0"/>
    <w:rsid w:val="0089629F"/>
    <w:rsid w:val="008A082A"/>
    <w:rsid w:val="008A0CEA"/>
    <w:rsid w:val="008A1413"/>
    <w:rsid w:val="008A32BD"/>
    <w:rsid w:val="008A389B"/>
    <w:rsid w:val="008A4DF4"/>
    <w:rsid w:val="008A60E6"/>
    <w:rsid w:val="008A7448"/>
    <w:rsid w:val="008B0885"/>
    <w:rsid w:val="008B0950"/>
    <w:rsid w:val="008B1DA9"/>
    <w:rsid w:val="008B23D4"/>
    <w:rsid w:val="008B2C7C"/>
    <w:rsid w:val="008B571D"/>
    <w:rsid w:val="008B6162"/>
    <w:rsid w:val="008C3710"/>
    <w:rsid w:val="008C3EBC"/>
    <w:rsid w:val="008C4AE0"/>
    <w:rsid w:val="008C57F6"/>
    <w:rsid w:val="008C68A7"/>
    <w:rsid w:val="008C7019"/>
    <w:rsid w:val="008D2A7F"/>
    <w:rsid w:val="008D33A3"/>
    <w:rsid w:val="008D4715"/>
    <w:rsid w:val="008D5B23"/>
    <w:rsid w:val="008D6F1D"/>
    <w:rsid w:val="008D7ED2"/>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280F"/>
    <w:rsid w:val="008F32FF"/>
    <w:rsid w:val="008F4486"/>
    <w:rsid w:val="008F4FC6"/>
    <w:rsid w:val="008F6436"/>
    <w:rsid w:val="008F72CD"/>
    <w:rsid w:val="009015D3"/>
    <w:rsid w:val="00902179"/>
    <w:rsid w:val="00903877"/>
    <w:rsid w:val="0090677E"/>
    <w:rsid w:val="009111C8"/>
    <w:rsid w:val="00913A4A"/>
    <w:rsid w:val="00914A6E"/>
    <w:rsid w:val="0091544C"/>
    <w:rsid w:val="00917D23"/>
    <w:rsid w:val="00921D03"/>
    <w:rsid w:val="00921DE6"/>
    <w:rsid w:val="00924CB6"/>
    <w:rsid w:val="0092546C"/>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655A"/>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3E5"/>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48A7"/>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1236"/>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6C6E"/>
    <w:rsid w:val="00A17DB2"/>
    <w:rsid w:val="00A2023B"/>
    <w:rsid w:val="00A21DEA"/>
    <w:rsid w:val="00A22A14"/>
    <w:rsid w:val="00A23A49"/>
    <w:rsid w:val="00A248B0"/>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5A3C"/>
    <w:rsid w:val="00A47150"/>
    <w:rsid w:val="00A471EF"/>
    <w:rsid w:val="00A47466"/>
    <w:rsid w:val="00A47815"/>
    <w:rsid w:val="00A47A18"/>
    <w:rsid w:val="00A47A3D"/>
    <w:rsid w:val="00A47CD6"/>
    <w:rsid w:val="00A5183D"/>
    <w:rsid w:val="00A5359C"/>
    <w:rsid w:val="00A539CB"/>
    <w:rsid w:val="00A57DA7"/>
    <w:rsid w:val="00A60542"/>
    <w:rsid w:val="00A60635"/>
    <w:rsid w:val="00A63709"/>
    <w:rsid w:val="00A643AB"/>
    <w:rsid w:val="00A649E6"/>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664"/>
    <w:rsid w:val="00A9029A"/>
    <w:rsid w:val="00A91332"/>
    <w:rsid w:val="00A93351"/>
    <w:rsid w:val="00A94A43"/>
    <w:rsid w:val="00A95538"/>
    <w:rsid w:val="00A97CCE"/>
    <w:rsid w:val="00AA0013"/>
    <w:rsid w:val="00AA26FF"/>
    <w:rsid w:val="00AA43EC"/>
    <w:rsid w:val="00AA4C92"/>
    <w:rsid w:val="00AA4E77"/>
    <w:rsid w:val="00AA6E8C"/>
    <w:rsid w:val="00AA6F19"/>
    <w:rsid w:val="00AA75E6"/>
    <w:rsid w:val="00AA78B5"/>
    <w:rsid w:val="00AA79A8"/>
    <w:rsid w:val="00AA7A76"/>
    <w:rsid w:val="00AA7C2E"/>
    <w:rsid w:val="00AB0286"/>
    <w:rsid w:val="00AB0DD9"/>
    <w:rsid w:val="00AB24D5"/>
    <w:rsid w:val="00AB404E"/>
    <w:rsid w:val="00AB4C6D"/>
    <w:rsid w:val="00AB53F2"/>
    <w:rsid w:val="00AB55F7"/>
    <w:rsid w:val="00AB6E29"/>
    <w:rsid w:val="00AB7162"/>
    <w:rsid w:val="00AC022F"/>
    <w:rsid w:val="00AC1137"/>
    <w:rsid w:val="00AC114D"/>
    <w:rsid w:val="00AC2893"/>
    <w:rsid w:val="00AC2995"/>
    <w:rsid w:val="00AC2F6A"/>
    <w:rsid w:val="00AC38A4"/>
    <w:rsid w:val="00AC40CA"/>
    <w:rsid w:val="00AC4165"/>
    <w:rsid w:val="00AC556A"/>
    <w:rsid w:val="00AC76EA"/>
    <w:rsid w:val="00AC7FB7"/>
    <w:rsid w:val="00AD0007"/>
    <w:rsid w:val="00AD04FB"/>
    <w:rsid w:val="00AD12F6"/>
    <w:rsid w:val="00AD1989"/>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AF7988"/>
    <w:rsid w:val="00B00DA5"/>
    <w:rsid w:val="00B0321E"/>
    <w:rsid w:val="00B0366D"/>
    <w:rsid w:val="00B045B8"/>
    <w:rsid w:val="00B071FF"/>
    <w:rsid w:val="00B110BC"/>
    <w:rsid w:val="00B11505"/>
    <w:rsid w:val="00B1182B"/>
    <w:rsid w:val="00B11DC2"/>
    <w:rsid w:val="00B15142"/>
    <w:rsid w:val="00B15D12"/>
    <w:rsid w:val="00B16EB5"/>
    <w:rsid w:val="00B16F69"/>
    <w:rsid w:val="00B1789D"/>
    <w:rsid w:val="00B207DD"/>
    <w:rsid w:val="00B20DD8"/>
    <w:rsid w:val="00B21CA9"/>
    <w:rsid w:val="00B21ECE"/>
    <w:rsid w:val="00B223FE"/>
    <w:rsid w:val="00B26919"/>
    <w:rsid w:val="00B30FE0"/>
    <w:rsid w:val="00B3161A"/>
    <w:rsid w:val="00B3208F"/>
    <w:rsid w:val="00B3260E"/>
    <w:rsid w:val="00B36DB5"/>
    <w:rsid w:val="00B36F2F"/>
    <w:rsid w:val="00B413BD"/>
    <w:rsid w:val="00B42807"/>
    <w:rsid w:val="00B428A6"/>
    <w:rsid w:val="00B43340"/>
    <w:rsid w:val="00B4461C"/>
    <w:rsid w:val="00B44ADE"/>
    <w:rsid w:val="00B46D68"/>
    <w:rsid w:val="00B5342C"/>
    <w:rsid w:val="00B53913"/>
    <w:rsid w:val="00B554D4"/>
    <w:rsid w:val="00B5572D"/>
    <w:rsid w:val="00B55F3A"/>
    <w:rsid w:val="00B56906"/>
    <w:rsid w:val="00B569F1"/>
    <w:rsid w:val="00B6007E"/>
    <w:rsid w:val="00B61484"/>
    <w:rsid w:val="00B6179E"/>
    <w:rsid w:val="00B62B08"/>
    <w:rsid w:val="00B664E5"/>
    <w:rsid w:val="00B665CB"/>
    <w:rsid w:val="00B66E94"/>
    <w:rsid w:val="00B71CB5"/>
    <w:rsid w:val="00B71F16"/>
    <w:rsid w:val="00B72922"/>
    <w:rsid w:val="00B72A13"/>
    <w:rsid w:val="00B72ADA"/>
    <w:rsid w:val="00B7473A"/>
    <w:rsid w:val="00B74A39"/>
    <w:rsid w:val="00B75819"/>
    <w:rsid w:val="00B75CDA"/>
    <w:rsid w:val="00B76F30"/>
    <w:rsid w:val="00B76FD7"/>
    <w:rsid w:val="00B81526"/>
    <w:rsid w:val="00B819E4"/>
    <w:rsid w:val="00B84042"/>
    <w:rsid w:val="00B84DD5"/>
    <w:rsid w:val="00B903CC"/>
    <w:rsid w:val="00B9165A"/>
    <w:rsid w:val="00B91668"/>
    <w:rsid w:val="00B91F7E"/>
    <w:rsid w:val="00B924B4"/>
    <w:rsid w:val="00B92A68"/>
    <w:rsid w:val="00B93377"/>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6E92"/>
    <w:rsid w:val="00BD75F3"/>
    <w:rsid w:val="00BE0164"/>
    <w:rsid w:val="00BE12BD"/>
    <w:rsid w:val="00BE2ED7"/>
    <w:rsid w:val="00BE3498"/>
    <w:rsid w:val="00BE5A3E"/>
    <w:rsid w:val="00BE6AB8"/>
    <w:rsid w:val="00BF040B"/>
    <w:rsid w:val="00BF086D"/>
    <w:rsid w:val="00BF1C99"/>
    <w:rsid w:val="00BF2167"/>
    <w:rsid w:val="00BF32CE"/>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526"/>
    <w:rsid w:val="00C61B5E"/>
    <w:rsid w:val="00C63C71"/>
    <w:rsid w:val="00C64A7F"/>
    <w:rsid w:val="00C676F3"/>
    <w:rsid w:val="00C711C8"/>
    <w:rsid w:val="00C71AB8"/>
    <w:rsid w:val="00C72641"/>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451F"/>
    <w:rsid w:val="00CA696D"/>
    <w:rsid w:val="00CA6B5A"/>
    <w:rsid w:val="00CB1536"/>
    <w:rsid w:val="00CB3907"/>
    <w:rsid w:val="00CB3AC1"/>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A66"/>
    <w:rsid w:val="00CF4E9E"/>
    <w:rsid w:val="00CF52CE"/>
    <w:rsid w:val="00CF7848"/>
    <w:rsid w:val="00D00B84"/>
    <w:rsid w:val="00D058FC"/>
    <w:rsid w:val="00D05AC1"/>
    <w:rsid w:val="00D06213"/>
    <w:rsid w:val="00D073D1"/>
    <w:rsid w:val="00D10010"/>
    <w:rsid w:val="00D11510"/>
    <w:rsid w:val="00D116EE"/>
    <w:rsid w:val="00D12BB7"/>
    <w:rsid w:val="00D12E8D"/>
    <w:rsid w:val="00D14F68"/>
    <w:rsid w:val="00D1564F"/>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78A"/>
    <w:rsid w:val="00D41830"/>
    <w:rsid w:val="00D42270"/>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12C3"/>
    <w:rsid w:val="00D71B03"/>
    <w:rsid w:val="00D72349"/>
    <w:rsid w:val="00D7327A"/>
    <w:rsid w:val="00D74EC8"/>
    <w:rsid w:val="00D76F23"/>
    <w:rsid w:val="00D80925"/>
    <w:rsid w:val="00D81AC9"/>
    <w:rsid w:val="00D849E3"/>
    <w:rsid w:val="00D858CC"/>
    <w:rsid w:val="00D9086C"/>
    <w:rsid w:val="00D91172"/>
    <w:rsid w:val="00D922E1"/>
    <w:rsid w:val="00D92C84"/>
    <w:rsid w:val="00D93864"/>
    <w:rsid w:val="00D93AAA"/>
    <w:rsid w:val="00D93ECC"/>
    <w:rsid w:val="00D94745"/>
    <w:rsid w:val="00D94921"/>
    <w:rsid w:val="00D95DFF"/>
    <w:rsid w:val="00D963D5"/>
    <w:rsid w:val="00D96C96"/>
    <w:rsid w:val="00DA2201"/>
    <w:rsid w:val="00DA3789"/>
    <w:rsid w:val="00DA41B2"/>
    <w:rsid w:val="00DA5D06"/>
    <w:rsid w:val="00DA62C4"/>
    <w:rsid w:val="00DA7B20"/>
    <w:rsid w:val="00DB049D"/>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75B"/>
    <w:rsid w:val="00DC7A0C"/>
    <w:rsid w:val="00DD074A"/>
    <w:rsid w:val="00DD12FC"/>
    <w:rsid w:val="00DD1ED6"/>
    <w:rsid w:val="00DD2710"/>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06F15"/>
    <w:rsid w:val="00E10D04"/>
    <w:rsid w:val="00E1217F"/>
    <w:rsid w:val="00E16292"/>
    <w:rsid w:val="00E166FD"/>
    <w:rsid w:val="00E17143"/>
    <w:rsid w:val="00E201D9"/>
    <w:rsid w:val="00E20294"/>
    <w:rsid w:val="00E221E9"/>
    <w:rsid w:val="00E22FB3"/>
    <w:rsid w:val="00E25706"/>
    <w:rsid w:val="00E25F47"/>
    <w:rsid w:val="00E264BB"/>
    <w:rsid w:val="00E267F5"/>
    <w:rsid w:val="00E276DF"/>
    <w:rsid w:val="00E27A89"/>
    <w:rsid w:val="00E30011"/>
    <w:rsid w:val="00E30596"/>
    <w:rsid w:val="00E313C0"/>
    <w:rsid w:val="00E31FF9"/>
    <w:rsid w:val="00E33434"/>
    <w:rsid w:val="00E33B23"/>
    <w:rsid w:val="00E35391"/>
    <w:rsid w:val="00E36274"/>
    <w:rsid w:val="00E37B1B"/>
    <w:rsid w:val="00E37B97"/>
    <w:rsid w:val="00E417B9"/>
    <w:rsid w:val="00E41B67"/>
    <w:rsid w:val="00E43C23"/>
    <w:rsid w:val="00E4477A"/>
    <w:rsid w:val="00E45160"/>
    <w:rsid w:val="00E45E6A"/>
    <w:rsid w:val="00E50A42"/>
    <w:rsid w:val="00E50ABF"/>
    <w:rsid w:val="00E52F6E"/>
    <w:rsid w:val="00E53930"/>
    <w:rsid w:val="00E54FA5"/>
    <w:rsid w:val="00E56D64"/>
    <w:rsid w:val="00E57446"/>
    <w:rsid w:val="00E61081"/>
    <w:rsid w:val="00E61788"/>
    <w:rsid w:val="00E65B18"/>
    <w:rsid w:val="00E65B9D"/>
    <w:rsid w:val="00E67F32"/>
    <w:rsid w:val="00E704E0"/>
    <w:rsid w:val="00E71CE6"/>
    <w:rsid w:val="00E71E16"/>
    <w:rsid w:val="00E728C6"/>
    <w:rsid w:val="00E73479"/>
    <w:rsid w:val="00E73E65"/>
    <w:rsid w:val="00E75732"/>
    <w:rsid w:val="00E76641"/>
    <w:rsid w:val="00E77AC7"/>
    <w:rsid w:val="00E77FA2"/>
    <w:rsid w:val="00E83DA2"/>
    <w:rsid w:val="00E84575"/>
    <w:rsid w:val="00E851E8"/>
    <w:rsid w:val="00E856E9"/>
    <w:rsid w:val="00E862E7"/>
    <w:rsid w:val="00E86395"/>
    <w:rsid w:val="00E86A0D"/>
    <w:rsid w:val="00E86DF2"/>
    <w:rsid w:val="00E879EC"/>
    <w:rsid w:val="00E949F8"/>
    <w:rsid w:val="00E94A64"/>
    <w:rsid w:val="00E94ACA"/>
    <w:rsid w:val="00E9538B"/>
    <w:rsid w:val="00E95703"/>
    <w:rsid w:val="00E95707"/>
    <w:rsid w:val="00E95C5F"/>
    <w:rsid w:val="00E95D75"/>
    <w:rsid w:val="00E964C2"/>
    <w:rsid w:val="00EA0297"/>
    <w:rsid w:val="00EA116B"/>
    <w:rsid w:val="00EA2C29"/>
    <w:rsid w:val="00EA2CB8"/>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D602B"/>
    <w:rsid w:val="00EE21A3"/>
    <w:rsid w:val="00EE21F2"/>
    <w:rsid w:val="00EE3460"/>
    <w:rsid w:val="00EE50EE"/>
    <w:rsid w:val="00EE55F9"/>
    <w:rsid w:val="00EE62A5"/>
    <w:rsid w:val="00EE63DE"/>
    <w:rsid w:val="00EE64F9"/>
    <w:rsid w:val="00EE7598"/>
    <w:rsid w:val="00EE7C2D"/>
    <w:rsid w:val="00EF00EA"/>
    <w:rsid w:val="00EF0CBA"/>
    <w:rsid w:val="00EF0D9E"/>
    <w:rsid w:val="00EF10D2"/>
    <w:rsid w:val="00EF34E1"/>
    <w:rsid w:val="00EF3688"/>
    <w:rsid w:val="00EF36A0"/>
    <w:rsid w:val="00EF524C"/>
    <w:rsid w:val="00EF64A7"/>
    <w:rsid w:val="00EF681B"/>
    <w:rsid w:val="00EF6CC3"/>
    <w:rsid w:val="00F00D0F"/>
    <w:rsid w:val="00F0109E"/>
    <w:rsid w:val="00F01A9D"/>
    <w:rsid w:val="00F03A0B"/>
    <w:rsid w:val="00F04AF8"/>
    <w:rsid w:val="00F11454"/>
    <w:rsid w:val="00F12E5A"/>
    <w:rsid w:val="00F2125A"/>
    <w:rsid w:val="00F221FC"/>
    <w:rsid w:val="00F23C89"/>
    <w:rsid w:val="00F24025"/>
    <w:rsid w:val="00F322F5"/>
    <w:rsid w:val="00F35033"/>
    <w:rsid w:val="00F35CAE"/>
    <w:rsid w:val="00F36EE7"/>
    <w:rsid w:val="00F4192F"/>
    <w:rsid w:val="00F41B64"/>
    <w:rsid w:val="00F41D9D"/>
    <w:rsid w:val="00F42D18"/>
    <w:rsid w:val="00F43389"/>
    <w:rsid w:val="00F44250"/>
    <w:rsid w:val="00F4468A"/>
    <w:rsid w:val="00F47653"/>
    <w:rsid w:val="00F47EFB"/>
    <w:rsid w:val="00F505CE"/>
    <w:rsid w:val="00F50BE9"/>
    <w:rsid w:val="00F5169E"/>
    <w:rsid w:val="00F51C0B"/>
    <w:rsid w:val="00F52F4E"/>
    <w:rsid w:val="00F57AFC"/>
    <w:rsid w:val="00F627E4"/>
    <w:rsid w:val="00F6494D"/>
    <w:rsid w:val="00F654D7"/>
    <w:rsid w:val="00F65A5D"/>
    <w:rsid w:val="00F65DBD"/>
    <w:rsid w:val="00F669B9"/>
    <w:rsid w:val="00F67D80"/>
    <w:rsid w:val="00F773E6"/>
    <w:rsid w:val="00F7797F"/>
    <w:rsid w:val="00F77DEE"/>
    <w:rsid w:val="00F80A07"/>
    <w:rsid w:val="00F80C1E"/>
    <w:rsid w:val="00F80CEE"/>
    <w:rsid w:val="00F81639"/>
    <w:rsid w:val="00F81C18"/>
    <w:rsid w:val="00F81F36"/>
    <w:rsid w:val="00F82613"/>
    <w:rsid w:val="00F83E85"/>
    <w:rsid w:val="00F8493C"/>
    <w:rsid w:val="00F85468"/>
    <w:rsid w:val="00F854C0"/>
    <w:rsid w:val="00F86A45"/>
    <w:rsid w:val="00F86BC7"/>
    <w:rsid w:val="00F907D4"/>
    <w:rsid w:val="00F913C7"/>
    <w:rsid w:val="00F9202F"/>
    <w:rsid w:val="00F92AA4"/>
    <w:rsid w:val="00F9624D"/>
    <w:rsid w:val="00F967E1"/>
    <w:rsid w:val="00FA2519"/>
    <w:rsid w:val="00FA456B"/>
    <w:rsid w:val="00FA625E"/>
    <w:rsid w:val="00FA6B1E"/>
    <w:rsid w:val="00FB4165"/>
    <w:rsid w:val="00FB48E1"/>
    <w:rsid w:val="00FB59A0"/>
    <w:rsid w:val="00FB740E"/>
    <w:rsid w:val="00FC1484"/>
    <w:rsid w:val="00FC1792"/>
    <w:rsid w:val="00FC1944"/>
    <w:rsid w:val="00FC42BD"/>
    <w:rsid w:val="00FD2E9B"/>
    <w:rsid w:val="00FD378D"/>
    <w:rsid w:val="00FD41A2"/>
    <w:rsid w:val="00FE065B"/>
    <w:rsid w:val="00FE06D8"/>
    <w:rsid w:val="00FE17D2"/>
    <w:rsid w:val="00FE28DF"/>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searchhit">
    <w:name w:val="searchhit"/>
    <w:basedOn w:val="DefaultParagraphFont"/>
    <w:rsid w:val="005A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8v2SApg510" TargetMode="External"/><Relationship Id="rId2" Type="http://schemas.openxmlformats.org/officeDocument/2006/relationships/hyperlink" Target="https://app.jutastatevolve.co.za/y2007v2SApg9" TargetMode="External"/><Relationship Id="rId1" Type="http://schemas.openxmlformats.org/officeDocument/2006/relationships/hyperlink" Target="https://app.jutastatevolve.co.za/y2004v2SApg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8C7F-CB26-4A7C-B9F5-03B83466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4</TotalTime>
  <Pages>10</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2023-08-22T07:45:00Z</cp:lastPrinted>
  <dcterms:created xsi:type="dcterms:W3CDTF">2024-04-02T13:16:00Z</dcterms:created>
  <dcterms:modified xsi:type="dcterms:W3CDTF">2024-04-03T12:43:00Z</dcterms:modified>
</cp:coreProperties>
</file>