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80C5E" w14:textId="7B9DF021" w:rsidR="00ED7860" w:rsidRDefault="00ED7860" w:rsidP="00ED7860">
      <w:pPr>
        <w:pStyle w:val="Title"/>
        <w:spacing w:after="120"/>
        <w:jc w:val="both"/>
        <w:rPr>
          <w:rFonts w:ascii="Times New Roman" w:hAnsi="Times New Roman" w:cs="Times New Roman"/>
          <w:sz w:val="24"/>
        </w:rPr>
      </w:pPr>
      <w:r>
        <w:rPr>
          <w:rFonts w:ascii="Times New Roman" w:hAnsi="Times New Roman" w:cs="Times New Roman"/>
          <w:noProof/>
          <w:sz w:val="24"/>
        </w:rPr>
        <w:drawing>
          <wp:inline distT="0" distB="0" distL="0" distR="0" wp14:anchorId="591E0DEB" wp14:editId="7108D9F1">
            <wp:extent cx="4286250" cy="466725"/>
            <wp:effectExtent l="0" t="0" r="0" b="9525"/>
            <wp:docPr id="1517280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D7845E8" w14:textId="60ED8B85" w:rsidR="00A60BC7" w:rsidRPr="00C0139B" w:rsidRDefault="00A60BC7" w:rsidP="00CC410A">
      <w:pPr>
        <w:pStyle w:val="Title"/>
        <w:spacing w:after="120"/>
        <w:rPr>
          <w:rFonts w:ascii="Times New Roman" w:hAnsi="Times New Roman" w:cs="Times New Roman"/>
          <w:sz w:val="24"/>
        </w:rPr>
      </w:pPr>
      <w:r w:rsidRPr="00C0139B">
        <w:rPr>
          <w:rFonts w:ascii="Times New Roman" w:hAnsi="Times New Roman" w:cs="Times New Roman"/>
          <w:noProof/>
          <w:sz w:val="24"/>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10FE336A" w:rsidR="00E519F2" w:rsidRPr="00C0139B" w:rsidRDefault="00E519F2" w:rsidP="00CC410A">
      <w:pPr>
        <w:spacing w:line="480" w:lineRule="auto"/>
        <w:jc w:val="center"/>
        <w:rPr>
          <w:rFonts w:ascii="Times New Roman" w:hAnsi="Times New Roman"/>
          <w:b/>
          <w:sz w:val="24"/>
        </w:rPr>
      </w:pPr>
      <w:r w:rsidRPr="00C0139B">
        <w:rPr>
          <w:rFonts w:ascii="Times New Roman" w:hAnsi="Times New Roman"/>
          <w:b/>
          <w:sz w:val="24"/>
        </w:rPr>
        <w:t>IN THE HIGH COURT OF SOUTH AFRICA,</w:t>
      </w:r>
    </w:p>
    <w:p w14:paraId="01EF9AF4" w14:textId="02AAED73" w:rsidR="00E519F2" w:rsidRPr="00C0139B" w:rsidRDefault="00E519F2" w:rsidP="00CC410A">
      <w:pPr>
        <w:spacing w:line="480" w:lineRule="auto"/>
        <w:jc w:val="center"/>
        <w:rPr>
          <w:rFonts w:ascii="Times New Roman" w:hAnsi="Times New Roman"/>
          <w:b/>
          <w:sz w:val="24"/>
        </w:rPr>
      </w:pPr>
      <w:r w:rsidRPr="00C0139B">
        <w:rPr>
          <w:rFonts w:ascii="Times New Roman" w:hAnsi="Times New Roman"/>
          <w:b/>
          <w:sz w:val="24"/>
        </w:rPr>
        <w:t>GAUTENG</w:t>
      </w:r>
      <w:r w:rsidR="00B25A53" w:rsidRPr="00C0139B">
        <w:rPr>
          <w:rFonts w:ascii="Times New Roman" w:hAnsi="Times New Roman"/>
          <w:b/>
          <w:sz w:val="24"/>
        </w:rPr>
        <w:t xml:space="preserve"> </w:t>
      </w:r>
      <w:r w:rsidR="00157078" w:rsidRPr="00C0139B">
        <w:rPr>
          <w:rFonts w:ascii="Times New Roman" w:hAnsi="Times New Roman"/>
          <w:b/>
          <w:sz w:val="24"/>
        </w:rPr>
        <w:t xml:space="preserve">LOCAL </w:t>
      </w:r>
      <w:r w:rsidRPr="00C0139B">
        <w:rPr>
          <w:rFonts w:ascii="Times New Roman" w:hAnsi="Times New Roman"/>
          <w:b/>
          <w:sz w:val="24"/>
        </w:rPr>
        <w:t xml:space="preserve">DIVISION, </w:t>
      </w:r>
      <w:r w:rsidR="00157078" w:rsidRPr="00C0139B">
        <w:rPr>
          <w:rFonts w:ascii="Times New Roman" w:hAnsi="Times New Roman"/>
          <w:b/>
          <w:sz w:val="24"/>
        </w:rPr>
        <w:t>JOHANNESBURG</w:t>
      </w:r>
    </w:p>
    <w:p w14:paraId="4A505D1D" w14:textId="77777777" w:rsidR="00601F7C" w:rsidRPr="00C0139B" w:rsidRDefault="00601F7C" w:rsidP="00C0139B">
      <w:pPr>
        <w:spacing w:line="480" w:lineRule="auto"/>
        <w:rPr>
          <w:rFonts w:ascii="Times New Roman" w:hAnsi="Times New Roman"/>
          <w:b/>
          <w:sz w:val="24"/>
        </w:rPr>
      </w:pPr>
    </w:p>
    <w:p w14:paraId="60182ABA" w14:textId="4617F521" w:rsidR="00E519F2" w:rsidRPr="00C0139B" w:rsidRDefault="00601F7C" w:rsidP="00C0139B">
      <w:pPr>
        <w:spacing w:line="480" w:lineRule="auto"/>
        <w:rPr>
          <w:rFonts w:ascii="Times New Roman" w:hAnsi="Times New Roman"/>
          <w:b/>
          <w:sz w:val="24"/>
        </w:rPr>
      </w:pPr>
      <w:r w:rsidRPr="00C0139B">
        <w:rPr>
          <w:rFonts w:ascii="Times New Roman" w:hAnsi="Times New Roman"/>
          <w:b/>
          <w:sz w:val="24"/>
        </w:rPr>
        <w:tab/>
      </w:r>
      <w:r w:rsidRPr="00C0139B">
        <w:rPr>
          <w:rFonts w:ascii="Times New Roman" w:hAnsi="Times New Roman"/>
          <w:b/>
          <w:sz w:val="24"/>
        </w:rPr>
        <w:tab/>
      </w:r>
      <w:r w:rsidRPr="00C0139B">
        <w:rPr>
          <w:rFonts w:ascii="Times New Roman" w:hAnsi="Times New Roman"/>
          <w:b/>
          <w:sz w:val="24"/>
        </w:rPr>
        <w:tab/>
      </w:r>
      <w:r w:rsidRPr="00C0139B">
        <w:rPr>
          <w:rFonts w:ascii="Times New Roman" w:hAnsi="Times New Roman"/>
          <w:b/>
          <w:sz w:val="24"/>
        </w:rPr>
        <w:tab/>
      </w:r>
      <w:r w:rsidRPr="00C0139B">
        <w:rPr>
          <w:rFonts w:ascii="Times New Roman" w:hAnsi="Times New Roman"/>
          <w:b/>
          <w:sz w:val="24"/>
        </w:rPr>
        <w:tab/>
      </w:r>
      <w:r w:rsidRPr="00C0139B">
        <w:rPr>
          <w:rFonts w:ascii="Times New Roman" w:hAnsi="Times New Roman"/>
          <w:b/>
          <w:sz w:val="24"/>
        </w:rPr>
        <w:tab/>
      </w:r>
    </w:p>
    <w:p w14:paraId="424B6A12" w14:textId="1F122F1E" w:rsidR="00005586" w:rsidRDefault="0066515E" w:rsidP="00CC410A">
      <w:pPr>
        <w:spacing w:line="480" w:lineRule="auto"/>
        <w:jc w:val="right"/>
        <w:rPr>
          <w:rFonts w:ascii="Times New Roman" w:hAnsi="Times New Roman"/>
          <w:b/>
          <w:sz w:val="24"/>
        </w:rPr>
      </w:pPr>
      <w:r>
        <w:rPr>
          <w:rFonts w:ascii="Times New Roman" w:hAnsi="Times New Roman"/>
          <w:b/>
          <w:sz w:val="24"/>
        </w:rPr>
        <w:t xml:space="preserve">Court </w:t>
      </w:r>
      <w:r w:rsidRPr="00957283">
        <w:rPr>
          <w:rFonts w:ascii="Times New Roman" w:hAnsi="Times New Roman"/>
          <w:b/>
          <w:i/>
          <w:iCs/>
          <w:sz w:val="24"/>
        </w:rPr>
        <w:t>a quo</w:t>
      </w:r>
      <w:r>
        <w:rPr>
          <w:rFonts w:ascii="Times New Roman" w:hAnsi="Times New Roman"/>
          <w:b/>
          <w:sz w:val="24"/>
        </w:rPr>
        <w:t xml:space="preserve"> Case No</w:t>
      </w:r>
      <w:r w:rsidR="00005586" w:rsidRPr="00C0139B">
        <w:rPr>
          <w:rFonts w:ascii="Times New Roman" w:hAnsi="Times New Roman"/>
          <w:b/>
          <w:sz w:val="24"/>
        </w:rPr>
        <w:t>:</w:t>
      </w:r>
      <w:r w:rsidR="001C1ACA" w:rsidRPr="00C0139B">
        <w:rPr>
          <w:rFonts w:ascii="Times New Roman" w:hAnsi="Times New Roman"/>
          <w:b/>
          <w:sz w:val="24"/>
        </w:rPr>
        <w:t xml:space="preserve"> </w:t>
      </w:r>
      <w:r w:rsidR="00127655">
        <w:rPr>
          <w:rFonts w:ascii="Times New Roman" w:hAnsi="Times New Roman"/>
          <w:b/>
          <w:sz w:val="24"/>
        </w:rPr>
        <w:t>11038/2021</w:t>
      </w:r>
    </w:p>
    <w:p w14:paraId="630D8B09" w14:textId="7E8DA6F0" w:rsidR="0066515E" w:rsidRPr="00C0139B" w:rsidRDefault="0066515E" w:rsidP="00CC410A">
      <w:pPr>
        <w:spacing w:line="480" w:lineRule="auto"/>
        <w:jc w:val="right"/>
        <w:rPr>
          <w:rFonts w:ascii="Times New Roman" w:hAnsi="Times New Roman"/>
          <w:b/>
          <w:sz w:val="24"/>
        </w:rPr>
      </w:pPr>
      <w:r>
        <w:rPr>
          <w:rFonts w:ascii="Times New Roman" w:hAnsi="Times New Roman"/>
          <w:b/>
          <w:sz w:val="24"/>
        </w:rPr>
        <w:t>Appeal Case No: A5008/2021</w:t>
      </w:r>
    </w:p>
    <w:p w14:paraId="43A98477" w14:textId="77777777" w:rsidR="00A441FD" w:rsidRPr="00AB7752" w:rsidRDefault="00A441FD" w:rsidP="00A441FD">
      <w:pPr>
        <w:rPr>
          <w:rFonts w:ascii="Times New Roman" w:hAnsi="Times New Roman"/>
          <w:sz w:val="24"/>
        </w:rPr>
      </w:pPr>
    </w:p>
    <w:p w14:paraId="594BB128" w14:textId="77777777" w:rsidR="00A441FD" w:rsidRPr="00AB7752" w:rsidRDefault="00A441FD" w:rsidP="00A441FD">
      <w:pPr>
        <w:rPr>
          <w:rFonts w:ascii="Times New Roman" w:hAnsi="Times New Roman"/>
          <w:sz w:val="24"/>
        </w:rPr>
      </w:pPr>
      <w:r w:rsidRPr="00AB7752">
        <w:rPr>
          <w:rFonts w:ascii="Times New Roman" w:hAnsi="Times New Roman"/>
          <w:noProof/>
          <w:sz w:val="24"/>
          <w:lang w:eastAsia="en-ZA"/>
        </w:rPr>
        <mc:AlternateContent>
          <mc:Choice Requires="wps">
            <w:drawing>
              <wp:anchor distT="0" distB="0" distL="114300" distR="114300" simplePos="0" relativeHeight="251659264" behindDoc="0" locked="0" layoutInCell="1" allowOverlap="1" wp14:anchorId="27784715" wp14:editId="4C4BB231">
                <wp:simplePos x="0" y="0"/>
                <wp:positionH relativeFrom="margin">
                  <wp:align>left</wp:align>
                </wp:positionH>
                <wp:positionV relativeFrom="paragraph">
                  <wp:posOffset>115570</wp:posOffset>
                </wp:positionV>
                <wp:extent cx="3314700" cy="1371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7823E307" w14:textId="77777777" w:rsidR="00A441FD" w:rsidRPr="00913F95" w:rsidRDefault="00A441FD" w:rsidP="00A441FD">
                            <w:pPr>
                              <w:jc w:val="center"/>
                              <w:rPr>
                                <w:rFonts w:ascii="Century Gothic" w:hAnsi="Century Gothic"/>
                                <w:b/>
                                <w:sz w:val="20"/>
                                <w:szCs w:val="20"/>
                              </w:rPr>
                            </w:pPr>
                          </w:p>
                          <w:p w14:paraId="13C97A02" w14:textId="78939E75" w:rsidR="00A441FD" w:rsidRDefault="00ED4D93" w:rsidP="00ED4D93">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441FD" w:rsidRPr="00913F95">
                              <w:rPr>
                                <w:rFonts w:ascii="Century Gothic" w:hAnsi="Century Gothic"/>
                                <w:sz w:val="20"/>
                                <w:szCs w:val="20"/>
                              </w:rPr>
                              <w:t xml:space="preserve">REPORTABLE: </w:t>
                            </w:r>
                            <w:r w:rsidR="00A441FD" w:rsidRPr="00684B02">
                              <w:rPr>
                                <w:rFonts w:ascii="Century Gothic" w:hAnsi="Century Gothic"/>
                                <w:dstrike/>
                                <w:sz w:val="20"/>
                                <w:szCs w:val="20"/>
                              </w:rPr>
                              <w:t>YES</w:t>
                            </w:r>
                            <w:r w:rsidR="00A441FD" w:rsidRPr="0025358C">
                              <w:rPr>
                                <w:rFonts w:ascii="Century Gothic" w:hAnsi="Century Gothic"/>
                                <w:sz w:val="20"/>
                                <w:szCs w:val="20"/>
                              </w:rPr>
                              <w:t xml:space="preserve"> /</w:t>
                            </w:r>
                            <w:r w:rsidR="00A441FD">
                              <w:rPr>
                                <w:rFonts w:ascii="Century Gothic" w:hAnsi="Century Gothic"/>
                                <w:sz w:val="20"/>
                                <w:szCs w:val="20"/>
                              </w:rPr>
                              <w:t xml:space="preserve"> NO</w:t>
                            </w:r>
                          </w:p>
                          <w:p w14:paraId="335A58F2" w14:textId="585CBB8B" w:rsidR="00A441FD" w:rsidRPr="00913F95" w:rsidRDefault="00ED4D93" w:rsidP="00ED4D9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A441FD" w:rsidRPr="00913F95">
                              <w:rPr>
                                <w:rFonts w:ascii="Century Gothic" w:hAnsi="Century Gothic"/>
                                <w:sz w:val="20"/>
                                <w:szCs w:val="20"/>
                              </w:rPr>
                              <w:t xml:space="preserve">OF INTEREST TO OTHER JUDGES: </w:t>
                            </w:r>
                            <w:r w:rsidR="00A441FD" w:rsidRPr="00684B02">
                              <w:rPr>
                                <w:rFonts w:ascii="Century Gothic" w:hAnsi="Century Gothic"/>
                                <w:dstrike/>
                                <w:sz w:val="20"/>
                                <w:szCs w:val="20"/>
                              </w:rPr>
                              <w:t>YES</w:t>
                            </w:r>
                            <w:r w:rsidR="00A441FD" w:rsidRPr="0025358C">
                              <w:rPr>
                                <w:rFonts w:ascii="Century Gothic" w:hAnsi="Century Gothic"/>
                                <w:sz w:val="20"/>
                                <w:szCs w:val="20"/>
                              </w:rPr>
                              <w:t>/</w:t>
                            </w:r>
                            <w:r w:rsidR="00A441FD" w:rsidRPr="00913F95">
                              <w:rPr>
                                <w:rFonts w:ascii="Century Gothic" w:hAnsi="Century Gothic"/>
                                <w:sz w:val="20"/>
                                <w:szCs w:val="20"/>
                              </w:rPr>
                              <w:t>NO</w:t>
                            </w:r>
                          </w:p>
                          <w:p w14:paraId="2C131AED" w14:textId="66D01905" w:rsidR="00A441FD" w:rsidRPr="00913F95" w:rsidRDefault="00ED4D93" w:rsidP="00ED4D9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A441FD" w:rsidRPr="00913F95">
                              <w:rPr>
                                <w:rFonts w:ascii="Century Gothic" w:hAnsi="Century Gothic"/>
                                <w:sz w:val="20"/>
                                <w:szCs w:val="20"/>
                              </w:rPr>
                              <w:t>REVISED</w:t>
                            </w:r>
                            <w:r w:rsidR="00A441FD">
                              <w:rPr>
                                <w:rFonts w:ascii="Century Gothic" w:hAnsi="Century Gothic"/>
                                <w:sz w:val="20"/>
                                <w:szCs w:val="20"/>
                              </w:rPr>
                              <w:t>: NO</w:t>
                            </w:r>
                          </w:p>
                          <w:p w14:paraId="73FCB5DC" w14:textId="77777777" w:rsidR="00A441FD" w:rsidRDefault="00A441FD" w:rsidP="00A441FD">
                            <w:pPr>
                              <w:rPr>
                                <w:rFonts w:ascii="Century Gothic" w:hAnsi="Century Gothic"/>
                                <w:b/>
                                <w:sz w:val="18"/>
                                <w:szCs w:val="18"/>
                              </w:rPr>
                            </w:pPr>
                          </w:p>
                          <w:p w14:paraId="40D9A8DD" w14:textId="4E36009C" w:rsidR="00A441FD" w:rsidRPr="00084341" w:rsidRDefault="00A441FD" w:rsidP="00A441FD">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b/>
                                <w:sz w:val="18"/>
                                <w:szCs w:val="18"/>
                              </w:rPr>
                              <w:t xml:space="preserve"> </w:t>
                            </w:r>
                            <w:r w:rsidR="006076FB">
                              <w:rPr>
                                <w:rFonts w:ascii="Century Gothic" w:hAnsi="Century Gothic"/>
                                <w:b/>
                                <w:sz w:val="18"/>
                                <w:szCs w:val="18"/>
                              </w:rPr>
                              <w:t xml:space="preserve">28 </w:t>
                            </w:r>
                            <w:r>
                              <w:rPr>
                                <w:rFonts w:ascii="Century Gothic" w:hAnsi="Century Gothic"/>
                                <w:b/>
                                <w:sz w:val="18"/>
                                <w:szCs w:val="18"/>
                              </w:rPr>
                              <w:t>March 2024</w:t>
                            </w:r>
                            <w:r w:rsidRPr="00084341">
                              <w:rPr>
                                <w:rFonts w:ascii="Century Gothic" w:hAnsi="Century Gothic"/>
                                <w:b/>
                                <w:sz w:val="18"/>
                                <w:szCs w:val="18"/>
                              </w:rPr>
                              <w:tab/>
                            </w:r>
                            <w:r w:rsidRPr="00084341">
                              <w:rPr>
                                <w:rFonts w:ascii="Century Gothic" w:hAnsi="Century Gothic"/>
                                <w:b/>
                                <w:sz w:val="18"/>
                                <w:szCs w:val="18"/>
                              </w:rPr>
                              <w:tab/>
                              <w:t>………………………...</w:t>
                            </w:r>
                          </w:p>
                          <w:p w14:paraId="79300E82" w14:textId="77777777" w:rsidR="00A441FD" w:rsidRPr="00084341" w:rsidRDefault="00A441FD" w:rsidP="00A441F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84715" id="_x0000_t202" coordsize="21600,21600" o:spt="202" path="m,l,21600r21600,l21600,xe">
                <v:stroke joinstyle="miter"/>
                <v:path gradientshapeok="t" o:connecttype="rect"/>
              </v:shapetype>
              <v:shape id="Text Box 1" o:spid="_x0000_s1026" type="#_x0000_t202" style="position:absolute;left:0;text-align:left;margin-left:0;margin-top:9.1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">
                <v:textbox>
                  <w:txbxContent>
                    <w:p w14:paraId="7823E307" w14:textId="77777777" w:rsidR="00A441FD" w:rsidRPr="00913F95" w:rsidRDefault="00A441FD" w:rsidP="00A441FD">
                      <w:pPr>
                        <w:jc w:val="center"/>
                        <w:rPr>
                          <w:rFonts w:ascii="Century Gothic" w:hAnsi="Century Gothic"/>
                          <w:b/>
                          <w:sz w:val="20"/>
                          <w:szCs w:val="20"/>
                        </w:rPr>
                      </w:pPr>
                    </w:p>
                    <w:p w14:paraId="13C97A02" w14:textId="78939E75" w:rsidR="00A441FD" w:rsidRDefault="00ED4D93" w:rsidP="00ED4D93">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441FD" w:rsidRPr="00913F95">
                        <w:rPr>
                          <w:rFonts w:ascii="Century Gothic" w:hAnsi="Century Gothic"/>
                          <w:sz w:val="20"/>
                          <w:szCs w:val="20"/>
                        </w:rPr>
                        <w:t xml:space="preserve">REPORTABLE: </w:t>
                      </w:r>
                      <w:r w:rsidR="00A441FD" w:rsidRPr="00684B02">
                        <w:rPr>
                          <w:rFonts w:ascii="Century Gothic" w:hAnsi="Century Gothic"/>
                          <w:dstrike/>
                          <w:sz w:val="20"/>
                          <w:szCs w:val="20"/>
                        </w:rPr>
                        <w:t>YES</w:t>
                      </w:r>
                      <w:r w:rsidR="00A441FD" w:rsidRPr="0025358C">
                        <w:rPr>
                          <w:rFonts w:ascii="Century Gothic" w:hAnsi="Century Gothic"/>
                          <w:sz w:val="20"/>
                          <w:szCs w:val="20"/>
                        </w:rPr>
                        <w:t xml:space="preserve"> /</w:t>
                      </w:r>
                      <w:r w:rsidR="00A441FD">
                        <w:rPr>
                          <w:rFonts w:ascii="Century Gothic" w:hAnsi="Century Gothic"/>
                          <w:sz w:val="20"/>
                          <w:szCs w:val="20"/>
                        </w:rPr>
                        <w:t xml:space="preserve"> NO</w:t>
                      </w:r>
                    </w:p>
                    <w:p w14:paraId="335A58F2" w14:textId="585CBB8B" w:rsidR="00A441FD" w:rsidRPr="00913F95" w:rsidRDefault="00ED4D93" w:rsidP="00ED4D9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A441FD" w:rsidRPr="00913F95">
                        <w:rPr>
                          <w:rFonts w:ascii="Century Gothic" w:hAnsi="Century Gothic"/>
                          <w:sz w:val="20"/>
                          <w:szCs w:val="20"/>
                        </w:rPr>
                        <w:t xml:space="preserve">OF INTEREST TO OTHER JUDGES: </w:t>
                      </w:r>
                      <w:r w:rsidR="00A441FD" w:rsidRPr="00684B02">
                        <w:rPr>
                          <w:rFonts w:ascii="Century Gothic" w:hAnsi="Century Gothic"/>
                          <w:dstrike/>
                          <w:sz w:val="20"/>
                          <w:szCs w:val="20"/>
                        </w:rPr>
                        <w:t>YES</w:t>
                      </w:r>
                      <w:r w:rsidR="00A441FD" w:rsidRPr="0025358C">
                        <w:rPr>
                          <w:rFonts w:ascii="Century Gothic" w:hAnsi="Century Gothic"/>
                          <w:sz w:val="20"/>
                          <w:szCs w:val="20"/>
                        </w:rPr>
                        <w:t>/</w:t>
                      </w:r>
                      <w:r w:rsidR="00A441FD" w:rsidRPr="00913F95">
                        <w:rPr>
                          <w:rFonts w:ascii="Century Gothic" w:hAnsi="Century Gothic"/>
                          <w:sz w:val="20"/>
                          <w:szCs w:val="20"/>
                        </w:rPr>
                        <w:t>NO</w:t>
                      </w:r>
                    </w:p>
                    <w:p w14:paraId="2C131AED" w14:textId="66D01905" w:rsidR="00A441FD" w:rsidRPr="00913F95" w:rsidRDefault="00ED4D93" w:rsidP="00ED4D9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A441FD" w:rsidRPr="00913F95">
                        <w:rPr>
                          <w:rFonts w:ascii="Century Gothic" w:hAnsi="Century Gothic"/>
                          <w:sz w:val="20"/>
                          <w:szCs w:val="20"/>
                        </w:rPr>
                        <w:t>REVISED</w:t>
                      </w:r>
                      <w:r w:rsidR="00A441FD">
                        <w:rPr>
                          <w:rFonts w:ascii="Century Gothic" w:hAnsi="Century Gothic"/>
                          <w:sz w:val="20"/>
                          <w:szCs w:val="20"/>
                        </w:rPr>
                        <w:t>: NO</w:t>
                      </w:r>
                    </w:p>
                    <w:p w14:paraId="73FCB5DC" w14:textId="77777777" w:rsidR="00A441FD" w:rsidRDefault="00A441FD" w:rsidP="00A441FD">
                      <w:pPr>
                        <w:rPr>
                          <w:rFonts w:ascii="Century Gothic" w:hAnsi="Century Gothic"/>
                          <w:b/>
                          <w:sz w:val="18"/>
                          <w:szCs w:val="18"/>
                        </w:rPr>
                      </w:pPr>
                    </w:p>
                    <w:p w14:paraId="40D9A8DD" w14:textId="4E36009C" w:rsidR="00A441FD" w:rsidRPr="00084341" w:rsidRDefault="00A441FD" w:rsidP="00A441FD">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b/>
                          <w:sz w:val="18"/>
                          <w:szCs w:val="18"/>
                        </w:rPr>
                        <w:t xml:space="preserve"> </w:t>
                      </w:r>
                      <w:r w:rsidR="006076FB">
                        <w:rPr>
                          <w:rFonts w:ascii="Century Gothic" w:hAnsi="Century Gothic"/>
                          <w:b/>
                          <w:sz w:val="18"/>
                          <w:szCs w:val="18"/>
                        </w:rPr>
                        <w:t xml:space="preserve">28 </w:t>
                      </w:r>
                      <w:r>
                        <w:rPr>
                          <w:rFonts w:ascii="Century Gothic" w:hAnsi="Century Gothic"/>
                          <w:b/>
                          <w:sz w:val="18"/>
                          <w:szCs w:val="18"/>
                        </w:rPr>
                        <w:t>March 2024</w:t>
                      </w:r>
                      <w:r w:rsidRPr="00084341">
                        <w:rPr>
                          <w:rFonts w:ascii="Century Gothic" w:hAnsi="Century Gothic"/>
                          <w:b/>
                          <w:sz w:val="18"/>
                          <w:szCs w:val="18"/>
                        </w:rPr>
                        <w:tab/>
                      </w:r>
                      <w:r w:rsidRPr="00084341">
                        <w:rPr>
                          <w:rFonts w:ascii="Century Gothic" w:hAnsi="Century Gothic"/>
                          <w:b/>
                          <w:sz w:val="18"/>
                          <w:szCs w:val="18"/>
                        </w:rPr>
                        <w:tab/>
                        <w:t>………………………...</w:t>
                      </w:r>
                    </w:p>
                    <w:p w14:paraId="79300E82" w14:textId="77777777" w:rsidR="00A441FD" w:rsidRPr="00084341" w:rsidRDefault="00A441FD" w:rsidP="00A441F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47D822E6" w14:textId="77777777" w:rsidR="00A441FD" w:rsidRPr="00AB7752" w:rsidRDefault="00A441FD" w:rsidP="00A441FD">
      <w:pPr>
        <w:spacing w:line="480" w:lineRule="auto"/>
        <w:rPr>
          <w:rFonts w:ascii="Times New Roman" w:hAnsi="Times New Roman"/>
          <w:sz w:val="24"/>
        </w:rPr>
      </w:pPr>
    </w:p>
    <w:p w14:paraId="49BFA373" w14:textId="2E79EDC5" w:rsidR="00A441FD" w:rsidRPr="00AB7752" w:rsidRDefault="00A441FD" w:rsidP="00A441FD">
      <w:pPr>
        <w:spacing w:line="480" w:lineRule="auto"/>
        <w:rPr>
          <w:rFonts w:ascii="Times New Roman" w:hAnsi="Times New Roman"/>
          <w:sz w:val="24"/>
        </w:rPr>
      </w:pPr>
    </w:p>
    <w:p w14:paraId="57EE6112" w14:textId="77777777" w:rsidR="00A441FD" w:rsidRDefault="00A441FD" w:rsidP="00A441FD"/>
    <w:p w14:paraId="6F0ED7C3" w14:textId="77777777" w:rsidR="00A441FD" w:rsidRDefault="00A441FD" w:rsidP="00A441FD"/>
    <w:p w14:paraId="1E4EDFFB" w14:textId="77777777" w:rsidR="00E519F2" w:rsidRPr="00C0139B" w:rsidRDefault="00E519F2" w:rsidP="00C0139B">
      <w:pPr>
        <w:spacing w:line="480" w:lineRule="auto"/>
        <w:rPr>
          <w:rFonts w:ascii="Times New Roman" w:hAnsi="Times New Roman"/>
          <w:sz w:val="24"/>
        </w:rPr>
      </w:pPr>
    </w:p>
    <w:p w14:paraId="4B278874" w14:textId="047270B7" w:rsidR="00E519F2" w:rsidRPr="00C0139B" w:rsidRDefault="00E519F2" w:rsidP="00C0139B">
      <w:pPr>
        <w:tabs>
          <w:tab w:val="left" w:pos="8460"/>
        </w:tabs>
        <w:spacing w:line="480" w:lineRule="auto"/>
        <w:rPr>
          <w:rFonts w:ascii="Times New Roman" w:hAnsi="Times New Roman"/>
          <w:sz w:val="24"/>
        </w:rPr>
      </w:pPr>
      <w:r w:rsidRPr="00C0139B">
        <w:rPr>
          <w:rFonts w:ascii="Times New Roman" w:hAnsi="Times New Roman"/>
          <w:sz w:val="24"/>
        </w:rPr>
        <w:t>In the</w:t>
      </w:r>
      <w:r w:rsidR="005103BA" w:rsidRPr="00C0139B">
        <w:rPr>
          <w:rFonts w:ascii="Times New Roman" w:hAnsi="Times New Roman"/>
          <w:sz w:val="24"/>
        </w:rPr>
        <w:t xml:space="preserve"> </w:t>
      </w:r>
      <w:r w:rsidR="002B1C11" w:rsidRPr="00C0139B">
        <w:rPr>
          <w:rFonts w:ascii="Times New Roman" w:hAnsi="Times New Roman"/>
          <w:sz w:val="24"/>
        </w:rPr>
        <w:t>matter</w:t>
      </w:r>
      <w:r w:rsidRPr="00C0139B">
        <w:rPr>
          <w:rFonts w:ascii="Times New Roman" w:hAnsi="Times New Roman"/>
          <w:sz w:val="24"/>
        </w:rPr>
        <w:t xml:space="preserve"> between:</w:t>
      </w:r>
    </w:p>
    <w:tbl>
      <w:tblPr>
        <w:tblW w:w="0" w:type="auto"/>
        <w:tblLook w:val="0000" w:firstRow="0" w:lastRow="0" w:firstColumn="0" w:lastColumn="0" w:noHBand="0" w:noVBand="0"/>
      </w:tblPr>
      <w:tblGrid>
        <w:gridCol w:w="6183"/>
        <w:gridCol w:w="2368"/>
      </w:tblGrid>
      <w:tr w:rsidR="00647012" w:rsidRPr="00C0139B" w14:paraId="62D6BDD3" w14:textId="77777777" w:rsidTr="00A441FD">
        <w:tc>
          <w:tcPr>
            <w:tcW w:w="6183" w:type="dxa"/>
          </w:tcPr>
          <w:p w14:paraId="1D80ED6A" w14:textId="02FABF8A" w:rsidR="00EA3873" w:rsidRPr="00E949B7" w:rsidRDefault="00CA0AAA" w:rsidP="00127655">
            <w:pPr>
              <w:spacing w:line="240" w:lineRule="auto"/>
              <w:rPr>
                <w:rFonts w:ascii="Times New Roman" w:hAnsi="Times New Roman"/>
                <w:b/>
                <w:bCs/>
                <w:sz w:val="24"/>
              </w:rPr>
            </w:pPr>
            <w:r>
              <w:rPr>
                <w:rFonts w:ascii="Times New Roman" w:hAnsi="Times New Roman"/>
                <w:b/>
                <w:bCs/>
                <w:sz w:val="24"/>
              </w:rPr>
              <w:t>M[...]</w:t>
            </w:r>
            <w:r w:rsidR="0066515E">
              <w:rPr>
                <w:rFonts w:ascii="Times New Roman" w:hAnsi="Times New Roman"/>
                <w:b/>
                <w:bCs/>
                <w:sz w:val="24"/>
              </w:rPr>
              <w:t xml:space="preserve">: </w:t>
            </w:r>
            <w:r>
              <w:rPr>
                <w:rFonts w:ascii="Times New Roman" w:hAnsi="Times New Roman"/>
                <w:b/>
                <w:bCs/>
                <w:sz w:val="24"/>
              </w:rPr>
              <w:t>L[...]</w:t>
            </w:r>
            <w:r w:rsidR="0066515E">
              <w:rPr>
                <w:rFonts w:ascii="Times New Roman" w:hAnsi="Times New Roman"/>
                <w:b/>
                <w:bCs/>
                <w:sz w:val="24"/>
              </w:rPr>
              <w:t xml:space="preserve"> </w:t>
            </w:r>
            <w:r>
              <w:rPr>
                <w:rFonts w:ascii="Times New Roman" w:hAnsi="Times New Roman"/>
                <w:b/>
                <w:bCs/>
                <w:sz w:val="24"/>
              </w:rPr>
              <w:t>B[...]</w:t>
            </w:r>
          </w:p>
        </w:tc>
        <w:tc>
          <w:tcPr>
            <w:tcW w:w="2368" w:type="dxa"/>
          </w:tcPr>
          <w:p w14:paraId="7620C948" w14:textId="436944EF" w:rsidR="00647012" w:rsidRPr="00C0139B" w:rsidRDefault="00127655" w:rsidP="00127655">
            <w:pPr>
              <w:rPr>
                <w:rFonts w:ascii="Times New Roman" w:hAnsi="Times New Roman"/>
                <w:sz w:val="24"/>
              </w:rPr>
            </w:pPr>
            <w:r>
              <w:rPr>
                <w:rFonts w:ascii="Times New Roman" w:hAnsi="Times New Roman"/>
                <w:sz w:val="24"/>
              </w:rPr>
              <w:t xml:space="preserve">                   </w:t>
            </w:r>
            <w:r w:rsidR="00005586" w:rsidRPr="00C0139B">
              <w:rPr>
                <w:rFonts w:ascii="Times New Roman" w:hAnsi="Times New Roman"/>
                <w:sz w:val="24"/>
              </w:rPr>
              <w:t>App</w:t>
            </w:r>
            <w:r w:rsidR="0066515E">
              <w:rPr>
                <w:rFonts w:ascii="Times New Roman" w:hAnsi="Times New Roman"/>
                <w:sz w:val="24"/>
              </w:rPr>
              <w:t>ellant</w:t>
            </w:r>
            <w:r w:rsidR="00F15E41" w:rsidRPr="00C0139B">
              <w:rPr>
                <w:rFonts w:ascii="Times New Roman" w:hAnsi="Times New Roman"/>
                <w:sz w:val="24"/>
              </w:rPr>
              <w:t xml:space="preserve"> </w:t>
            </w:r>
          </w:p>
        </w:tc>
      </w:tr>
      <w:tr w:rsidR="00005586" w:rsidRPr="00C0139B" w14:paraId="333645C3" w14:textId="77777777" w:rsidTr="00A441FD">
        <w:tc>
          <w:tcPr>
            <w:tcW w:w="6183" w:type="dxa"/>
          </w:tcPr>
          <w:p w14:paraId="67BE8838" w14:textId="1C86F86A" w:rsidR="00005586" w:rsidRPr="00C0139B" w:rsidRDefault="00005586" w:rsidP="00127655">
            <w:pPr>
              <w:spacing w:line="240" w:lineRule="auto"/>
              <w:rPr>
                <w:rFonts w:ascii="Times New Roman" w:hAnsi="Times New Roman"/>
                <w:b/>
                <w:bCs/>
                <w:sz w:val="24"/>
              </w:rPr>
            </w:pPr>
          </w:p>
        </w:tc>
        <w:tc>
          <w:tcPr>
            <w:tcW w:w="2368" w:type="dxa"/>
          </w:tcPr>
          <w:p w14:paraId="137CBB9E" w14:textId="77777777" w:rsidR="00005586" w:rsidRPr="00C0139B" w:rsidRDefault="00005586" w:rsidP="00127655">
            <w:pPr>
              <w:rPr>
                <w:rFonts w:ascii="Times New Roman" w:hAnsi="Times New Roman"/>
                <w:sz w:val="24"/>
              </w:rPr>
            </w:pPr>
          </w:p>
        </w:tc>
      </w:tr>
      <w:tr w:rsidR="00005586" w:rsidRPr="00C0139B" w14:paraId="25A1FEE2" w14:textId="77777777" w:rsidTr="00A441FD">
        <w:tc>
          <w:tcPr>
            <w:tcW w:w="6183" w:type="dxa"/>
          </w:tcPr>
          <w:p w14:paraId="5D057F9A" w14:textId="7D5BE21E" w:rsidR="00005586" w:rsidRPr="00C0139B" w:rsidRDefault="00005586" w:rsidP="00127655">
            <w:pPr>
              <w:spacing w:line="240" w:lineRule="auto"/>
              <w:rPr>
                <w:rFonts w:ascii="Times New Roman" w:hAnsi="Times New Roman"/>
                <w:b/>
                <w:sz w:val="24"/>
              </w:rPr>
            </w:pPr>
          </w:p>
        </w:tc>
        <w:tc>
          <w:tcPr>
            <w:tcW w:w="2368" w:type="dxa"/>
          </w:tcPr>
          <w:p w14:paraId="36FD11D6" w14:textId="02BB225A" w:rsidR="00F15E41" w:rsidRPr="00C0139B" w:rsidRDefault="00F15E41" w:rsidP="00127655">
            <w:pPr>
              <w:tabs>
                <w:tab w:val="left" w:pos="2076"/>
              </w:tabs>
              <w:rPr>
                <w:rFonts w:ascii="Times New Roman" w:hAnsi="Times New Roman"/>
                <w:sz w:val="24"/>
              </w:rPr>
            </w:pPr>
          </w:p>
        </w:tc>
      </w:tr>
      <w:tr w:rsidR="00647012" w:rsidRPr="00C0139B" w14:paraId="7DC2C509" w14:textId="77777777" w:rsidTr="00A441FD">
        <w:tc>
          <w:tcPr>
            <w:tcW w:w="6183" w:type="dxa"/>
          </w:tcPr>
          <w:p w14:paraId="05BFF3FB" w14:textId="63D79713" w:rsidR="00F15E41" w:rsidRPr="00C0139B" w:rsidRDefault="00F15E41" w:rsidP="00127655">
            <w:pPr>
              <w:spacing w:line="240" w:lineRule="auto"/>
              <w:rPr>
                <w:rFonts w:ascii="Times New Roman" w:hAnsi="Times New Roman"/>
                <w:b/>
                <w:sz w:val="24"/>
              </w:rPr>
            </w:pPr>
          </w:p>
        </w:tc>
        <w:tc>
          <w:tcPr>
            <w:tcW w:w="2368" w:type="dxa"/>
          </w:tcPr>
          <w:p w14:paraId="2FFFA752" w14:textId="48FE85EB" w:rsidR="00F15E41" w:rsidRPr="00C0139B" w:rsidRDefault="00F15E41" w:rsidP="00127655">
            <w:pPr>
              <w:rPr>
                <w:rFonts w:ascii="Times New Roman" w:hAnsi="Times New Roman"/>
                <w:sz w:val="24"/>
              </w:rPr>
            </w:pPr>
          </w:p>
        </w:tc>
      </w:tr>
      <w:tr w:rsidR="00647012" w:rsidRPr="00C0139B" w14:paraId="12B7EC8E" w14:textId="77777777" w:rsidTr="00A441FD">
        <w:tc>
          <w:tcPr>
            <w:tcW w:w="6183" w:type="dxa"/>
          </w:tcPr>
          <w:p w14:paraId="47849FCA" w14:textId="6FCF5082" w:rsidR="00647012" w:rsidRPr="00C0139B" w:rsidRDefault="00647012" w:rsidP="00127655">
            <w:pPr>
              <w:spacing w:line="240" w:lineRule="auto"/>
              <w:rPr>
                <w:rFonts w:ascii="Times New Roman" w:hAnsi="Times New Roman"/>
                <w:sz w:val="24"/>
              </w:rPr>
            </w:pPr>
            <w:r w:rsidRPr="00C0139B">
              <w:rPr>
                <w:rFonts w:ascii="Times New Roman" w:hAnsi="Times New Roman"/>
                <w:sz w:val="24"/>
              </w:rPr>
              <w:t xml:space="preserve">and  </w:t>
            </w:r>
          </w:p>
        </w:tc>
        <w:tc>
          <w:tcPr>
            <w:tcW w:w="2368" w:type="dxa"/>
          </w:tcPr>
          <w:p w14:paraId="45F2E7EB" w14:textId="77777777" w:rsidR="00647012" w:rsidRPr="00C0139B" w:rsidRDefault="00647012" w:rsidP="00127655">
            <w:pPr>
              <w:rPr>
                <w:rFonts w:ascii="Times New Roman" w:hAnsi="Times New Roman"/>
                <w:sz w:val="24"/>
              </w:rPr>
            </w:pPr>
          </w:p>
        </w:tc>
      </w:tr>
      <w:tr w:rsidR="00647012" w:rsidRPr="00C0139B" w14:paraId="2803DE47" w14:textId="77777777" w:rsidTr="00A441FD">
        <w:tc>
          <w:tcPr>
            <w:tcW w:w="6183" w:type="dxa"/>
          </w:tcPr>
          <w:p w14:paraId="7F508AC0" w14:textId="77777777" w:rsidR="00647012" w:rsidRPr="00C0139B" w:rsidRDefault="00647012" w:rsidP="00127655">
            <w:pPr>
              <w:spacing w:line="240" w:lineRule="auto"/>
              <w:rPr>
                <w:rFonts w:ascii="Times New Roman" w:hAnsi="Times New Roman"/>
                <w:sz w:val="24"/>
              </w:rPr>
            </w:pPr>
          </w:p>
          <w:p w14:paraId="34FAB052" w14:textId="77777777" w:rsidR="00647012" w:rsidRPr="00C0139B" w:rsidRDefault="00647012" w:rsidP="00127655">
            <w:pPr>
              <w:spacing w:line="240" w:lineRule="auto"/>
              <w:rPr>
                <w:rFonts w:ascii="Times New Roman" w:hAnsi="Times New Roman"/>
                <w:sz w:val="24"/>
              </w:rPr>
            </w:pPr>
          </w:p>
        </w:tc>
        <w:tc>
          <w:tcPr>
            <w:tcW w:w="2368" w:type="dxa"/>
          </w:tcPr>
          <w:p w14:paraId="104AFE20" w14:textId="77777777" w:rsidR="00647012" w:rsidRPr="00C0139B" w:rsidRDefault="00647012" w:rsidP="00C0139B">
            <w:pPr>
              <w:spacing w:line="480" w:lineRule="auto"/>
              <w:rPr>
                <w:rFonts w:ascii="Times New Roman" w:hAnsi="Times New Roman"/>
                <w:sz w:val="24"/>
              </w:rPr>
            </w:pPr>
          </w:p>
        </w:tc>
      </w:tr>
      <w:tr w:rsidR="00F15E41" w:rsidRPr="00C0139B" w14:paraId="11BBA1C8" w14:textId="77777777" w:rsidTr="00A441FD">
        <w:tc>
          <w:tcPr>
            <w:tcW w:w="6183" w:type="dxa"/>
          </w:tcPr>
          <w:p w14:paraId="24A25413" w14:textId="77777777" w:rsidR="00AD73F3" w:rsidRDefault="00AD73F3" w:rsidP="00127655">
            <w:pPr>
              <w:spacing w:line="240" w:lineRule="auto"/>
              <w:rPr>
                <w:rFonts w:ascii="Times New Roman" w:hAnsi="Times New Roman"/>
                <w:b/>
                <w:bCs/>
                <w:sz w:val="24"/>
              </w:rPr>
            </w:pPr>
          </w:p>
          <w:p w14:paraId="08291215" w14:textId="77777777" w:rsidR="00AD73F3" w:rsidRDefault="00AD73F3" w:rsidP="00127655">
            <w:pPr>
              <w:spacing w:line="240" w:lineRule="auto"/>
              <w:rPr>
                <w:rFonts w:ascii="Times New Roman" w:hAnsi="Times New Roman"/>
                <w:b/>
                <w:bCs/>
                <w:sz w:val="24"/>
              </w:rPr>
            </w:pPr>
          </w:p>
          <w:p w14:paraId="1D9D3BF0" w14:textId="311B49D1" w:rsidR="00F15E41" w:rsidRPr="00C0139B" w:rsidRDefault="00CA0AAA" w:rsidP="00127655">
            <w:pPr>
              <w:spacing w:line="240" w:lineRule="auto"/>
              <w:rPr>
                <w:rFonts w:ascii="Times New Roman" w:hAnsi="Times New Roman"/>
                <w:b/>
                <w:bCs/>
                <w:sz w:val="24"/>
              </w:rPr>
            </w:pPr>
            <w:r>
              <w:rPr>
                <w:rFonts w:ascii="Times New Roman" w:hAnsi="Times New Roman"/>
                <w:b/>
                <w:bCs/>
                <w:sz w:val="24"/>
              </w:rPr>
              <w:lastRenderedPageBreak/>
              <w:t>M[...]</w:t>
            </w:r>
            <w:r w:rsidR="0066515E">
              <w:rPr>
                <w:rFonts w:ascii="Times New Roman" w:hAnsi="Times New Roman"/>
                <w:b/>
                <w:bCs/>
                <w:sz w:val="24"/>
              </w:rPr>
              <w:t xml:space="preserve">: </w:t>
            </w:r>
            <w:r>
              <w:rPr>
                <w:rFonts w:ascii="Times New Roman" w:hAnsi="Times New Roman"/>
                <w:b/>
                <w:bCs/>
                <w:sz w:val="24"/>
              </w:rPr>
              <w:t>M[...]</w:t>
            </w:r>
            <w:r w:rsidR="0066515E">
              <w:rPr>
                <w:rFonts w:ascii="Times New Roman" w:hAnsi="Times New Roman"/>
                <w:b/>
                <w:bCs/>
                <w:sz w:val="24"/>
              </w:rPr>
              <w:t xml:space="preserve"> </w:t>
            </w:r>
            <w:r>
              <w:rPr>
                <w:rFonts w:ascii="Times New Roman" w:hAnsi="Times New Roman"/>
                <w:b/>
                <w:bCs/>
                <w:sz w:val="24"/>
              </w:rPr>
              <w:t>D[...]</w:t>
            </w:r>
          </w:p>
        </w:tc>
        <w:tc>
          <w:tcPr>
            <w:tcW w:w="2368" w:type="dxa"/>
          </w:tcPr>
          <w:p w14:paraId="74A8936B" w14:textId="77777777" w:rsidR="00AD73F3" w:rsidRDefault="00127655" w:rsidP="00C0139B">
            <w:pPr>
              <w:spacing w:line="480" w:lineRule="auto"/>
              <w:rPr>
                <w:rFonts w:ascii="Times New Roman" w:hAnsi="Times New Roman"/>
                <w:sz w:val="24"/>
              </w:rPr>
            </w:pPr>
            <w:r>
              <w:rPr>
                <w:rFonts w:ascii="Times New Roman" w:hAnsi="Times New Roman"/>
                <w:sz w:val="24"/>
              </w:rPr>
              <w:lastRenderedPageBreak/>
              <w:t xml:space="preserve">       </w:t>
            </w:r>
            <w:r w:rsidR="0066515E">
              <w:rPr>
                <w:rFonts w:ascii="Times New Roman" w:hAnsi="Times New Roman"/>
                <w:sz w:val="24"/>
              </w:rPr>
              <w:t xml:space="preserve">        </w:t>
            </w:r>
          </w:p>
          <w:p w14:paraId="34112B6C" w14:textId="42704F2B" w:rsidR="00F15E41" w:rsidRPr="00C0139B" w:rsidRDefault="0066515E" w:rsidP="00C0139B">
            <w:pPr>
              <w:spacing w:line="480" w:lineRule="auto"/>
              <w:rPr>
                <w:rFonts w:ascii="Times New Roman" w:hAnsi="Times New Roman"/>
                <w:sz w:val="24"/>
              </w:rPr>
            </w:pPr>
            <w:r>
              <w:rPr>
                <w:rFonts w:ascii="Times New Roman" w:hAnsi="Times New Roman"/>
                <w:sz w:val="24"/>
              </w:rPr>
              <w:lastRenderedPageBreak/>
              <w:t xml:space="preserve"> </w:t>
            </w:r>
            <w:r w:rsidR="00AD73F3">
              <w:rPr>
                <w:rFonts w:ascii="Times New Roman" w:hAnsi="Times New Roman"/>
                <w:sz w:val="24"/>
              </w:rPr>
              <w:t xml:space="preserve">              </w:t>
            </w:r>
            <w:r w:rsidR="00F15E41" w:rsidRPr="00C0139B">
              <w:rPr>
                <w:rFonts w:ascii="Times New Roman" w:hAnsi="Times New Roman"/>
                <w:sz w:val="24"/>
              </w:rPr>
              <w:t xml:space="preserve">Respondent </w:t>
            </w:r>
          </w:p>
        </w:tc>
      </w:tr>
      <w:tr w:rsidR="00F15E41" w:rsidRPr="00C0139B" w14:paraId="20C50AF1" w14:textId="77777777" w:rsidTr="00A441FD">
        <w:tc>
          <w:tcPr>
            <w:tcW w:w="6183" w:type="dxa"/>
          </w:tcPr>
          <w:p w14:paraId="663A3D70" w14:textId="431ED9AE" w:rsidR="00127655" w:rsidRPr="00C0139B" w:rsidRDefault="00127655" w:rsidP="00C0139B">
            <w:pPr>
              <w:spacing w:line="480" w:lineRule="auto"/>
              <w:rPr>
                <w:rFonts w:ascii="Times New Roman" w:hAnsi="Times New Roman"/>
                <w:b/>
                <w:bCs/>
                <w:sz w:val="24"/>
              </w:rPr>
            </w:pPr>
          </w:p>
        </w:tc>
        <w:tc>
          <w:tcPr>
            <w:tcW w:w="2368" w:type="dxa"/>
          </w:tcPr>
          <w:p w14:paraId="6353CBF9" w14:textId="1191CB58" w:rsidR="00F15E41" w:rsidRPr="00C0139B" w:rsidRDefault="00127655" w:rsidP="00C0139B">
            <w:pPr>
              <w:spacing w:line="480" w:lineRule="auto"/>
              <w:rPr>
                <w:rFonts w:ascii="Times New Roman" w:hAnsi="Times New Roman"/>
                <w:sz w:val="24"/>
              </w:rPr>
            </w:pPr>
            <w:r>
              <w:rPr>
                <w:rFonts w:ascii="Times New Roman" w:hAnsi="Times New Roman"/>
                <w:sz w:val="24"/>
              </w:rPr>
              <w:t xml:space="preserve"> </w:t>
            </w:r>
          </w:p>
        </w:tc>
      </w:tr>
      <w:tr w:rsidR="00127655" w:rsidRPr="00C0139B" w14:paraId="63B7A88E" w14:textId="77777777" w:rsidTr="00A441FD">
        <w:tc>
          <w:tcPr>
            <w:tcW w:w="6183" w:type="dxa"/>
          </w:tcPr>
          <w:p w14:paraId="43CF23D4" w14:textId="41A40C45" w:rsidR="00127655" w:rsidRDefault="00127655" w:rsidP="00C0139B">
            <w:pPr>
              <w:spacing w:line="480" w:lineRule="auto"/>
              <w:rPr>
                <w:rFonts w:ascii="Times New Roman" w:hAnsi="Times New Roman"/>
                <w:b/>
                <w:bCs/>
                <w:sz w:val="24"/>
              </w:rPr>
            </w:pPr>
          </w:p>
        </w:tc>
        <w:tc>
          <w:tcPr>
            <w:tcW w:w="2368" w:type="dxa"/>
          </w:tcPr>
          <w:p w14:paraId="7C9E65E3" w14:textId="77777777" w:rsidR="00127655" w:rsidRDefault="00127655" w:rsidP="00C0139B">
            <w:pPr>
              <w:spacing w:line="480" w:lineRule="auto"/>
              <w:rPr>
                <w:rFonts w:ascii="Times New Roman" w:hAnsi="Times New Roman"/>
                <w:sz w:val="24"/>
              </w:rPr>
            </w:pPr>
          </w:p>
        </w:tc>
      </w:tr>
    </w:tbl>
    <w:p w14:paraId="14C90506" w14:textId="63A6821D" w:rsidR="00E519F2" w:rsidRPr="00C0139B" w:rsidRDefault="00AB7752" w:rsidP="00C0139B">
      <w:pPr>
        <w:spacing w:line="480" w:lineRule="auto"/>
        <w:rPr>
          <w:rFonts w:ascii="Times New Roman" w:hAnsi="Times New Roman"/>
          <w:sz w:val="24"/>
        </w:rPr>
      </w:pPr>
      <w:r w:rsidRPr="00C0139B">
        <w:rPr>
          <w:rFonts w:ascii="Times New Roman" w:hAnsi="Times New Roman"/>
          <w:sz w:val="24"/>
        </w:rPr>
        <w:t>____________________________________________________________________</w:t>
      </w:r>
      <w:r w:rsidR="00F15E41" w:rsidRPr="00C0139B">
        <w:rPr>
          <w:rFonts w:ascii="Times New Roman" w:hAnsi="Times New Roman"/>
          <w:sz w:val="24"/>
        </w:rPr>
        <w:tab/>
      </w:r>
      <w:r w:rsidR="00F15E41" w:rsidRPr="00C0139B">
        <w:rPr>
          <w:rFonts w:ascii="Times New Roman" w:hAnsi="Times New Roman"/>
          <w:sz w:val="24"/>
        </w:rPr>
        <w:tab/>
      </w:r>
    </w:p>
    <w:p w14:paraId="7ED266E8" w14:textId="77777777" w:rsidR="00E519F2" w:rsidRPr="00C0139B" w:rsidRDefault="00E519F2" w:rsidP="00CC410A">
      <w:pPr>
        <w:pStyle w:val="Heading2"/>
        <w:rPr>
          <w:rFonts w:ascii="Times New Roman" w:hAnsi="Times New Roman" w:cs="Times New Roman"/>
          <w:sz w:val="24"/>
        </w:rPr>
      </w:pPr>
      <w:r w:rsidRPr="00C0139B">
        <w:rPr>
          <w:rFonts w:ascii="Times New Roman" w:hAnsi="Times New Roman" w:cs="Times New Roman"/>
          <w:sz w:val="24"/>
        </w:rPr>
        <w:t>JUDGMENT</w:t>
      </w:r>
    </w:p>
    <w:p w14:paraId="135FA440" w14:textId="7CBA280A" w:rsidR="00E519F2" w:rsidRPr="00C0139B" w:rsidRDefault="00794EA0" w:rsidP="00C0139B">
      <w:pPr>
        <w:spacing w:after="480" w:line="480" w:lineRule="auto"/>
        <w:rPr>
          <w:rFonts w:ascii="Times New Roman" w:hAnsi="Times New Roman"/>
          <w:sz w:val="24"/>
        </w:rPr>
      </w:pPr>
      <w:r w:rsidRPr="00C0139B">
        <w:rPr>
          <w:rFonts w:ascii="Times New Roman" w:hAnsi="Times New Roman"/>
          <w:sz w:val="24"/>
        </w:rPr>
        <w:t>____________________________________________________________________</w:t>
      </w:r>
    </w:p>
    <w:p w14:paraId="7FE8D128" w14:textId="60699F52" w:rsidR="00A441FD" w:rsidRDefault="00A441FD" w:rsidP="00A441FD">
      <w:pPr>
        <w:spacing w:line="480" w:lineRule="auto"/>
        <w:rPr>
          <w:rFonts w:ascii="Times New Roman" w:hAnsi="Times New Roman"/>
          <w:b/>
          <w:sz w:val="24"/>
        </w:rPr>
      </w:pPr>
      <w:r w:rsidRPr="00136217">
        <w:rPr>
          <w:rFonts w:ascii="Times New Roman" w:hAnsi="Times New Roman"/>
          <w:bCs/>
          <w:sz w:val="24"/>
        </w:rPr>
        <w:t>NOKO J</w:t>
      </w:r>
      <w:r w:rsidR="002E7CD2">
        <w:rPr>
          <w:rFonts w:ascii="Times New Roman" w:hAnsi="Times New Roman"/>
          <w:bCs/>
          <w:sz w:val="24"/>
        </w:rPr>
        <w:t xml:space="preserve"> (with Opperman </w:t>
      </w:r>
      <w:r w:rsidR="002E7CD2" w:rsidRPr="00114ACE">
        <w:rPr>
          <w:rFonts w:ascii="Times New Roman" w:hAnsi="Times New Roman"/>
          <w:bCs/>
          <w:i/>
          <w:iCs/>
          <w:sz w:val="24"/>
        </w:rPr>
        <w:t>et</w:t>
      </w:r>
      <w:r w:rsidR="002E7CD2">
        <w:rPr>
          <w:rFonts w:ascii="Times New Roman" w:hAnsi="Times New Roman"/>
          <w:bCs/>
          <w:sz w:val="24"/>
        </w:rPr>
        <w:t xml:space="preserve"> Wilson JJ concurring)</w:t>
      </w:r>
      <w:r>
        <w:rPr>
          <w:rFonts w:ascii="Times New Roman" w:hAnsi="Times New Roman"/>
          <w:b/>
          <w:sz w:val="24"/>
        </w:rPr>
        <w:t xml:space="preserve"> </w:t>
      </w:r>
    </w:p>
    <w:p w14:paraId="52CAD9CC" w14:textId="77777777" w:rsidR="00BE2FD7" w:rsidRPr="00C0139B" w:rsidRDefault="00BE2FD7" w:rsidP="00BE2FD7">
      <w:pPr>
        <w:spacing w:line="480" w:lineRule="auto"/>
        <w:rPr>
          <w:rFonts w:ascii="Times New Roman" w:hAnsi="Times New Roman"/>
          <w:bCs/>
          <w:i/>
          <w:iCs/>
          <w:sz w:val="24"/>
        </w:rPr>
      </w:pPr>
    </w:p>
    <w:p w14:paraId="4B124E83" w14:textId="77777777" w:rsidR="00BE2FD7" w:rsidRPr="00C0139B" w:rsidRDefault="00BE2FD7" w:rsidP="00BE2FD7">
      <w:pPr>
        <w:spacing w:line="480" w:lineRule="auto"/>
        <w:rPr>
          <w:rFonts w:ascii="Times New Roman" w:hAnsi="Times New Roman"/>
          <w:bCs/>
          <w:i/>
          <w:iCs/>
          <w:sz w:val="24"/>
        </w:rPr>
      </w:pPr>
      <w:r w:rsidRPr="00C0139B">
        <w:rPr>
          <w:rFonts w:ascii="Times New Roman" w:hAnsi="Times New Roman"/>
          <w:bCs/>
          <w:i/>
          <w:iCs/>
          <w:sz w:val="24"/>
        </w:rPr>
        <w:t>Introduction</w:t>
      </w:r>
    </w:p>
    <w:p w14:paraId="02DD5437" w14:textId="19DDA358" w:rsidR="00957283" w:rsidRPr="00ED4D93" w:rsidRDefault="00ED4D93" w:rsidP="00ED4D93">
      <w:pPr>
        <w:spacing w:line="480" w:lineRule="auto"/>
        <w:rPr>
          <w:rFonts w:ascii="Times New Roman" w:hAnsi="Times New Roman"/>
          <w:bCs/>
          <w:sz w:val="24"/>
        </w:rPr>
      </w:pPr>
      <w:r>
        <w:rPr>
          <w:rFonts w:ascii="Times New Roman" w:hAnsi="Times New Roman"/>
          <w:bCs/>
          <w:sz w:val="24"/>
        </w:rPr>
        <w:t>[1]</w:t>
      </w:r>
      <w:r>
        <w:rPr>
          <w:rFonts w:ascii="Times New Roman" w:hAnsi="Times New Roman"/>
          <w:bCs/>
          <w:sz w:val="24"/>
        </w:rPr>
        <w:tab/>
      </w:r>
      <w:r w:rsidR="00BE2FD7" w:rsidRPr="00ED4D93">
        <w:rPr>
          <w:rFonts w:ascii="Times New Roman" w:hAnsi="Times New Roman"/>
          <w:bCs/>
          <w:sz w:val="24"/>
        </w:rPr>
        <w:t>The appellant launched an appeal against the whole judgment and order of Maier-Frawley J</w:t>
      </w:r>
      <w:r w:rsidR="00957283" w:rsidRPr="00ED4D93">
        <w:rPr>
          <w:rFonts w:ascii="Times New Roman" w:hAnsi="Times New Roman"/>
          <w:bCs/>
          <w:sz w:val="24"/>
        </w:rPr>
        <w:t xml:space="preserve"> delivered on</w:t>
      </w:r>
      <w:r w:rsidR="009609FF" w:rsidRPr="00ED4D93">
        <w:rPr>
          <w:rFonts w:ascii="Times New Roman" w:hAnsi="Times New Roman"/>
          <w:bCs/>
          <w:sz w:val="24"/>
        </w:rPr>
        <w:t xml:space="preserve"> 10 September 2020</w:t>
      </w:r>
      <w:r w:rsidR="00957283" w:rsidRPr="00ED4D93">
        <w:rPr>
          <w:rFonts w:ascii="Times New Roman" w:hAnsi="Times New Roman"/>
          <w:bCs/>
          <w:sz w:val="24"/>
        </w:rPr>
        <w:t xml:space="preserve">. Maier-Frawley J </w:t>
      </w:r>
      <w:r w:rsidR="00136217" w:rsidRPr="00ED4D93">
        <w:rPr>
          <w:rFonts w:ascii="Times New Roman" w:hAnsi="Times New Roman"/>
          <w:bCs/>
          <w:sz w:val="24"/>
        </w:rPr>
        <w:t>(</w:t>
      </w:r>
      <w:r w:rsidR="00136217" w:rsidRPr="00ED4D93">
        <w:rPr>
          <w:rFonts w:ascii="Times New Roman" w:hAnsi="Times New Roman"/>
          <w:bCs/>
          <w:i/>
          <w:iCs/>
          <w:sz w:val="24"/>
        </w:rPr>
        <w:t>court a quo</w:t>
      </w:r>
      <w:r w:rsidR="00136217" w:rsidRPr="00ED4D93">
        <w:rPr>
          <w:rFonts w:ascii="Times New Roman" w:hAnsi="Times New Roman"/>
          <w:bCs/>
          <w:sz w:val="24"/>
        </w:rPr>
        <w:t xml:space="preserve">) </w:t>
      </w:r>
      <w:r w:rsidR="00957283" w:rsidRPr="00ED4D93">
        <w:rPr>
          <w:rFonts w:ascii="Times New Roman" w:hAnsi="Times New Roman"/>
          <w:bCs/>
          <w:sz w:val="24"/>
        </w:rPr>
        <w:t xml:space="preserve">ordered that the </w:t>
      </w:r>
      <w:r w:rsidR="009609FF" w:rsidRPr="00ED4D93">
        <w:rPr>
          <w:rFonts w:ascii="Times New Roman" w:hAnsi="Times New Roman"/>
          <w:bCs/>
          <w:sz w:val="24"/>
        </w:rPr>
        <w:t xml:space="preserve">amount as determined by </w:t>
      </w:r>
      <w:r w:rsidR="00957283" w:rsidRPr="00ED4D93">
        <w:rPr>
          <w:rFonts w:ascii="Times New Roman" w:hAnsi="Times New Roman"/>
          <w:bCs/>
          <w:sz w:val="24"/>
        </w:rPr>
        <w:t>Senyatsi AJ</w:t>
      </w:r>
      <w:r w:rsidR="009A1462">
        <w:rPr>
          <w:rStyle w:val="FootnoteReference"/>
          <w:rFonts w:ascii="Times New Roman" w:hAnsi="Times New Roman"/>
          <w:bCs/>
          <w:sz w:val="24"/>
        </w:rPr>
        <w:footnoteReference w:id="2"/>
      </w:r>
      <w:r w:rsidR="00957283" w:rsidRPr="00ED4D93">
        <w:rPr>
          <w:rFonts w:ascii="Times New Roman" w:hAnsi="Times New Roman"/>
          <w:bCs/>
          <w:sz w:val="24"/>
        </w:rPr>
        <w:t xml:space="preserve"> (as he then was) </w:t>
      </w:r>
      <w:r w:rsidR="00136217" w:rsidRPr="00ED4D93">
        <w:rPr>
          <w:rFonts w:ascii="Times New Roman" w:hAnsi="Times New Roman"/>
          <w:bCs/>
          <w:sz w:val="24"/>
        </w:rPr>
        <w:t xml:space="preserve">payable </w:t>
      </w:r>
      <w:r w:rsidR="009609FF" w:rsidRPr="00ED4D93">
        <w:rPr>
          <w:rFonts w:ascii="Times New Roman" w:hAnsi="Times New Roman"/>
          <w:bCs/>
          <w:sz w:val="24"/>
        </w:rPr>
        <w:t xml:space="preserve">to be due to the respondent </w:t>
      </w:r>
      <w:r w:rsidR="00136217" w:rsidRPr="00ED4D93">
        <w:rPr>
          <w:rFonts w:ascii="Times New Roman" w:hAnsi="Times New Roman"/>
          <w:bCs/>
          <w:sz w:val="24"/>
        </w:rPr>
        <w:t xml:space="preserve">by the appellant </w:t>
      </w:r>
      <w:r w:rsidR="00957283" w:rsidRPr="00ED4D93">
        <w:rPr>
          <w:rFonts w:ascii="Times New Roman" w:hAnsi="Times New Roman"/>
          <w:bCs/>
          <w:sz w:val="24"/>
        </w:rPr>
        <w:t>be varied</w:t>
      </w:r>
      <w:r w:rsidR="009609FF" w:rsidRPr="00ED4D93">
        <w:rPr>
          <w:rFonts w:ascii="Times New Roman" w:hAnsi="Times New Roman"/>
          <w:bCs/>
          <w:sz w:val="24"/>
        </w:rPr>
        <w:t xml:space="preserve"> </w:t>
      </w:r>
      <w:r w:rsidR="00957283" w:rsidRPr="00ED4D93">
        <w:rPr>
          <w:rFonts w:ascii="Times New Roman" w:hAnsi="Times New Roman"/>
          <w:bCs/>
          <w:sz w:val="24"/>
        </w:rPr>
        <w:t>in terms of rule 42(</w:t>
      </w:r>
      <w:r w:rsidR="00136217" w:rsidRPr="00ED4D93">
        <w:rPr>
          <w:rFonts w:ascii="Times New Roman" w:hAnsi="Times New Roman"/>
          <w:bCs/>
          <w:sz w:val="24"/>
        </w:rPr>
        <w:t>1</w:t>
      </w:r>
      <w:r w:rsidR="00957283" w:rsidRPr="00ED4D93">
        <w:rPr>
          <w:rFonts w:ascii="Times New Roman" w:hAnsi="Times New Roman"/>
          <w:bCs/>
          <w:sz w:val="24"/>
        </w:rPr>
        <w:t>)</w:t>
      </w:r>
      <w:r w:rsidR="009609FF" w:rsidRPr="00ED4D93">
        <w:rPr>
          <w:rFonts w:ascii="Times New Roman" w:hAnsi="Times New Roman"/>
          <w:bCs/>
          <w:sz w:val="24"/>
        </w:rPr>
        <w:t>(b)</w:t>
      </w:r>
      <w:r w:rsidR="00957283" w:rsidRPr="00ED4D93">
        <w:rPr>
          <w:rFonts w:ascii="Times New Roman" w:hAnsi="Times New Roman"/>
          <w:bCs/>
          <w:sz w:val="24"/>
        </w:rPr>
        <w:t xml:space="preserve"> of the Uniform Rules of Court</w:t>
      </w:r>
      <w:r w:rsidR="00AD73F3" w:rsidRPr="00ED4D93">
        <w:rPr>
          <w:rFonts w:ascii="Times New Roman" w:hAnsi="Times New Roman"/>
          <w:bCs/>
          <w:sz w:val="24"/>
        </w:rPr>
        <w:t>, (</w:t>
      </w:r>
      <w:r w:rsidR="00AD73F3" w:rsidRPr="00ED4D93">
        <w:rPr>
          <w:rFonts w:ascii="Times New Roman" w:hAnsi="Times New Roman"/>
          <w:bCs/>
          <w:i/>
          <w:iCs/>
          <w:sz w:val="24"/>
        </w:rPr>
        <w:t>rule 42(1)(b)</w:t>
      </w:r>
      <w:r w:rsidR="00AD73F3" w:rsidRPr="00ED4D93">
        <w:rPr>
          <w:rFonts w:ascii="Times New Roman" w:hAnsi="Times New Roman"/>
          <w:bCs/>
          <w:sz w:val="24"/>
        </w:rPr>
        <w:t>)</w:t>
      </w:r>
      <w:r w:rsidR="00957283" w:rsidRPr="00ED4D93">
        <w:rPr>
          <w:rFonts w:ascii="Times New Roman" w:hAnsi="Times New Roman"/>
          <w:bCs/>
          <w:sz w:val="24"/>
        </w:rPr>
        <w:t>.</w:t>
      </w:r>
    </w:p>
    <w:p w14:paraId="0E20FEAC" w14:textId="77777777" w:rsidR="00136217" w:rsidRDefault="00136217" w:rsidP="00136217">
      <w:pPr>
        <w:pStyle w:val="ListParagraph"/>
        <w:spacing w:line="480" w:lineRule="auto"/>
        <w:ind w:left="0"/>
        <w:contextualSpacing w:val="0"/>
        <w:rPr>
          <w:rFonts w:ascii="Times New Roman" w:hAnsi="Times New Roman"/>
          <w:bCs/>
          <w:sz w:val="24"/>
        </w:rPr>
      </w:pPr>
    </w:p>
    <w:p w14:paraId="236D4843" w14:textId="7658E920" w:rsidR="00136217" w:rsidRPr="00ED4D93" w:rsidRDefault="00ED4D93" w:rsidP="00ED4D93">
      <w:pPr>
        <w:spacing w:line="480" w:lineRule="auto"/>
        <w:rPr>
          <w:rFonts w:ascii="Times New Roman" w:hAnsi="Times New Roman"/>
          <w:bCs/>
          <w:sz w:val="24"/>
        </w:rPr>
      </w:pPr>
      <w:r>
        <w:rPr>
          <w:rFonts w:ascii="Times New Roman" w:hAnsi="Times New Roman"/>
          <w:bCs/>
          <w:sz w:val="24"/>
        </w:rPr>
        <w:t>[2]</w:t>
      </w:r>
      <w:r>
        <w:rPr>
          <w:rFonts w:ascii="Times New Roman" w:hAnsi="Times New Roman"/>
          <w:bCs/>
          <w:sz w:val="24"/>
        </w:rPr>
        <w:tab/>
      </w:r>
      <w:r w:rsidR="00136217" w:rsidRPr="00ED4D93">
        <w:rPr>
          <w:rFonts w:ascii="Times New Roman" w:hAnsi="Times New Roman"/>
          <w:bCs/>
          <w:sz w:val="24"/>
        </w:rPr>
        <w:t xml:space="preserve">Senyatsi AJ ordered that </w:t>
      </w:r>
      <w:r w:rsidR="00136217" w:rsidRPr="00ED4D93">
        <w:rPr>
          <w:rFonts w:ascii="Times New Roman" w:hAnsi="Times New Roman"/>
          <w:bCs/>
          <w:i/>
          <w:iCs/>
          <w:sz w:val="24"/>
        </w:rPr>
        <w:t xml:space="preserve">‘The Defendant is ordered to pay to the Plaintiff the amount of </w:t>
      </w:r>
      <w:r w:rsidR="00136217" w:rsidRPr="00ED4D93">
        <w:rPr>
          <w:rFonts w:ascii="Times New Roman" w:hAnsi="Times New Roman"/>
          <w:bCs/>
          <w:i/>
          <w:iCs/>
          <w:sz w:val="24"/>
          <w:u w:val="single"/>
        </w:rPr>
        <w:t>R3 037 000.00</w:t>
      </w:r>
      <w:r w:rsidR="00136217" w:rsidRPr="00ED4D93">
        <w:rPr>
          <w:rFonts w:ascii="Times New Roman" w:hAnsi="Times New Roman"/>
          <w:bCs/>
          <w:i/>
          <w:iCs/>
          <w:sz w:val="24"/>
        </w:rPr>
        <w:t xml:space="preserve"> in terms of the accrual between the parties respective estates as per the provisions of the Matrimonial Property Act 88 of 1984 with interest at 9% from the date of decree of divorce until date of payment</w:t>
      </w:r>
      <w:r w:rsidR="00BD2BBB" w:rsidRPr="00ED4D93">
        <w:rPr>
          <w:rFonts w:ascii="Times New Roman" w:hAnsi="Times New Roman"/>
          <w:bCs/>
          <w:sz w:val="24"/>
        </w:rPr>
        <w:t>’</w:t>
      </w:r>
      <w:r w:rsidR="00136217" w:rsidRPr="00ED4D93">
        <w:rPr>
          <w:rFonts w:ascii="Times New Roman" w:hAnsi="Times New Roman"/>
          <w:bCs/>
          <w:sz w:val="24"/>
        </w:rPr>
        <w:t xml:space="preserve">. Maier-Frawley J </w:t>
      </w:r>
      <w:r w:rsidR="00BD2BBB" w:rsidRPr="00ED4D93">
        <w:rPr>
          <w:rFonts w:ascii="Times New Roman" w:hAnsi="Times New Roman"/>
          <w:bCs/>
          <w:sz w:val="24"/>
        </w:rPr>
        <w:t xml:space="preserve">ordered that the order be </w:t>
      </w:r>
      <w:r w:rsidR="00136217" w:rsidRPr="00ED4D93">
        <w:rPr>
          <w:rFonts w:ascii="Times New Roman" w:hAnsi="Times New Roman"/>
          <w:bCs/>
          <w:sz w:val="24"/>
        </w:rPr>
        <w:t>varie</w:t>
      </w:r>
      <w:r w:rsidR="00BD2BBB" w:rsidRPr="00ED4D93">
        <w:rPr>
          <w:rFonts w:ascii="Times New Roman" w:hAnsi="Times New Roman"/>
          <w:bCs/>
          <w:sz w:val="24"/>
        </w:rPr>
        <w:t>d</w:t>
      </w:r>
      <w:r w:rsidR="00136217" w:rsidRPr="00ED4D93">
        <w:rPr>
          <w:rFonts w:ascii="Times New Roman" w:hAnsi="Times New Roman"/>
          <w:bCs/>
          <w:sz w:val="24"/>
        </w:rPr>
        <w:t xml:space="preserve"> as follows: ‘</w:t>
      </w:r>
      <w:r w:rsidR="00136217" w:rsidRPr="00ED4D93">
        <w:rPr>
          <w:rFonts w:ascii="Times New Roman" w:hAnsi="Times New Roman"/>
          <w:bCs/>
          <w:i/>
          <w:iCs/>
          <w:sz w:val="24"/>
        </w:rPr>
        <w:t xml:space="preserve">That Defendant is ordered to pay to the Plaintiff the amount of </w:t>
      </w:r>
      <w:r w:rsidR="00136217" w:rsidRPr="00ED4D93">
        <w:rPr>
          <w:rFonts w:ascii="Times New Roman" w:hAnsi="Times New Roman"/>
          <w:bCs/>
          <w:i/>
          <w:iCs/>
          <w:sz w:val="24"/>
          <w:u w:val="single"/>
        </w:rPr>
        <w:t>R5 449 761.00</w:t>
      </w:r>
      <w:r w:rsidR="00136217" w:rsidRPr="00ED4D93">
        <w:rPr>
          <w:rFonts w:ascii="Times New Roman" w:hAnsi="Times New Roman"/>
          <w:bCs/>
          <w:i/>
          <w:iCs/>
          <w:sz w:val="24"/>
        </w:rPr>
        <w:t xml:space="preserve"> in terms of the accrual between the parties respective estates as per the provisions of the Matrimonial Property Act 88 of 1984, with interest at 9% per annum from the date of divorce until date of payment</w:t>
      </w:r>
      <w:r w:rsidR="00136217" w:rsidRPr="00ED4D93">
        <w:rPr>
          <w:rFonts w:ascii="Times New Roman" w:hAnsi="Times New Roman"/>
          <w:bCs/>
          <w:sz w:val="24"/>
        </w:rPr>
        <w:t>’</w:t>
      </w:r>
      <w:r w:rsidR="00BD2BBB" w:rsidRPr="00ED4D93">
        <w:rPr>
          <w:rFonts w:ascii="Times New Roman" w:hAnsi="Times New Roman"/>
          <w:bCs/>
          <w:sz w:val="24"/>
        </w:rPr>
        <w:t xml:space="preserve"> (underlining added).</w:t>
      </w:r>
    </w:p>
    <w:p w14:paraId="33C999E5" w14:textId="77777777" w:rsidR="00BE2FD7" w:rsidRDefault="00BE2FD7" w:rsidP="00BE2FD7">
      <w:pPr>
        <w:pStyle w:val="ListParagraph"/>
        <w:spacing w:line="480" w:lineRule="auto"/>
        <w:ind w:left="0"/>
        <w:contextualSpacing w:val="0"/>
        <w:rPr>
          <w:rFonts w:ascii="Times New Roman" w:hAnsi="Times New Roman"/>
          <w:bCs/>
          <w:sz w:val="24"/>
        </w:rPr>
      </w:pPr>
    </w:p>
    <w:p w14:paraId="5271D5F3" w14:textId="77777777" w:rsidR="00FF01E2" w:rsidRDefault="00FF01E2" w:rsidP="00BE2FD7">
      <w:pPr>
        <w:pStyle w:val="ListParagraph"/>
        <w:spacing w:line="480" w:lineRule="auto"/>
        <w:ind w:left="0"/>
        <w:contextualSpacing w:val="0"/>
        <w:rPr>
          <w:rFonts w:ascii="Times New Roman" w:hAnsi="Times New Roman"/>
          <w:bCs/>
          <w:i/>
          <w:iCs/>
          <w:sz w:val="24"/>
        </w:rPr>
      </w:pPr>
    </w:p>
    <w:p w14:paraId="1EF9854D" w14:textId="5B57CD75" w:rsidR="00BE2FD7" w:rsidRPr="00BE2FD7" w:rsidRDefault="00BE2FD7" w:rsidP="00BE2FD7">
      <w:pPr>
        <w:pStyle w:val="ListParagraph"/>
        <w:spacing w:line="480" w:lineRule="auto"/>
        <w:ind w:left="0"/>
        <w:contextualSpacing w:val="0"/>
        <w:rPr>
          <w:rFonts w:ascii="Times New Roman" w:hAnsi="Times New Roman"/>
          <w:bCs/>
          <w:i/>
          <w:iCs/>
          <w:sz w:val="24"/>
        </w:rPr>
      </w:pPr>
      <w:r w:rsidRPr="00BE2FD7">
        <w:rPr>
          <w:rFonts w:ascii="Times New Roman" w:hAnsi="Times New Roman"/>
          <w:bCs/>
          <w:i/>
          <w:iCs/>
          <w:sz w:val="24"/>
        </w:rPr>
        <w:t xml:space="preserve">Background </w:t>
      </w:r>
    </w:p>
    <w:p w14:paraId="30399C1A" w14:textId="4739843F" w:rsidR="00BE2FD7" w:rsidRPr="00ED4D93" w:rsidRDefault="00ED4D93" w:rsidP="00ED4D93">
      <w:pPr>
        <w:spacing w:line="480" w:lineRule="auto"/>
        <w:rPr>
          <w:rFonts w:ascii="Times New Roman" w:hAnsi="Times New Roman"/>
          <w:bCs/>
          <w:sz w:val="24"/>
        </w:rPr>
      </w:pPr>
      <w:r>
        <w:rPr>
          <w:rFonts w:ascii="Times New Roman" w:hAnsi="Times New Roman"/>
          <w:bCs/>
          <w:sz w:val="24"/>
        </w:rPr>
        <w:t>[3]</w:t>
      </w:r>
      <w:r>
        <w:rPr>
          <w:rFonts w:ascii="Times New Roman" w:hAnsi="Times New Roman"/>
          <w:bCs/>
          <w:sz w:val="24"/>
        </w:rPr>
        <w:tab/>
      </w:r>
      <w:r w:rsidR="009C4294" w:rsidRPr="00ED4D93">
        <w:rPr>
          <w:rFonts w:ascii="Times New Roman" w:hAnsi="Times New Roman"/>
          <w:bCs/>
          <w:sz w:val="24"/>
        </w:rPr>
        <w:t xml:space="preserve">The </w:t>
      </w:r>
      <w:r w:rsidR="005F7A64" w:rsidRPr="00ED4D93">
        <w:rPr>
          <w:rFonts w:ascii="Times New Roman" w:hAnsi="Times New Roman"/>
          <w:bCs/>
          <w:sz w:val="24"/>
        </w:rPr>
        <w:t xml:space="preserve">parties were married out of community of property </w:t>
      </w:r>
      <w:r w:rsidR="00AA22BB" w:rsidRPr="00ED4D93">
        <w:rPr>
          <w:rFonts w:ascii="Times New Roman" w:hAnsi="Times New Roman"/>
          <w:bCs/>
          <w:sz w:val="24"/>
        </w:rPr>
        <w:t xml:space="preserve">subject to the application of </w:t>
      </w:r>
      <w:r w:rsidR="00BB20B2" w:rsidRPr="00ED4D93">
        <w:rPr>
          <w:rFonts w:ascii="Times New Roman" w:hAnsi="Times New Roman"/>
          <w:bCs/>
          <w:sz w:val="24"/>
        </w:rPr>
        <w:t xml:space="preserve">the </w:t>
      </w:r>
      <w:r w:rsidR="005F7A64" w:rsidRPr="00ED4D93">
        <w:rPr>
          <w:rFonts w:ascii="Times New Roman" w:hAnsi="Times New Roman"/>
          <w:bCs/>
          <w:sz w:val="24"/>
        </w:rPr>
        <w:t xml:space="preserve">accrual </w:t>
      </w:r>
      <w:r w:rsidR="00AA22BB" w:rsidRPr="00ED4D93">
        <w:rPr>
          <w:rFonts w:ascii="Times New Roman" w:hAnsi="Times New Roman"/>
          <w:bCs/>
          <w:sz w:val="24"/>
        </w:rPr>
        <w:t>system</w:t>
      </w:r>
      <w:r w:rsidR="009609FF" w:rsidRPr="00ED4D93">
        <w:rPr>
          <w:rFonts w:ascii="Times New Roman" w:hAnsi="Times New Roman"/>
          <w:bCs/>
          <w:sz w:val="24"/>
        </w:rPr>
        <w:t xml:space="preserve"> in terms of the Matrimonial Property Act 88 of 1984</w:t>
      </w:r>
      <w:r w:rsidR="00BD2BBB" w:rsidRPr="00ED4D93">
        <w:rPr>
          <w:rFonts w:ascii="Times New Roman" w:hAnsi="Times New Roman"/>
          <w:bCs/>
          <w:sz w:val="24"/>
        </w:rPr>
        <w:t xml:space="preserve"> (</w:t>
      </w:r>
      <w:r w:rsidR="00BD2BBB" w:rsidRPr="00ED4D93">
        <w:rPr>
          <w:rFonts w:ascii="Times New Roman" w:hAnsi="Times New Roman"/>
          <w:bCs/>
          <w:i/>
          <w:iCs/>
          <w:sz w:val="24"/>
        </w:rPr>
        <w:t>MPA</w:t>
      </w:r>
      <w:r w:rsidR="00BD2BBB" w:rsidRPr="00ED4D93">
        <w:rPr>
          <w:rFonts w:ascii="Times New Roman" w:hAnsi="Times New Roman"/>
          <w:bCs/>
          <w:sz w:val="24"/>
        </w:rPr>
        <w:t>)</w:t>
      </w:r>
      <w:r w:rsidR="009609FF" w:rsidRPr="00ED4D93">
        <w:rPr>
          <w:rFonts w:ascii="Times New Roman" w:hAnsi="Times New Roman"/>
          <w:bCs/>
          <w:sz w:val="24"/>
        </w:rPr>
        <w:t xml:space="preserve">. The marriage </w:t>
      </w:r>
      <w:r w:rsidR="005F7A64" w:rsidRPr="00ED4D93">
        <w:rPr>
          <w:rFonts w:ascii="Times New Roman" w:hAnsi="Times New Roman"/>
          <w:bCs/>
          <w:sz w:val="24"/>
        </w:rPr>
        <w:t xml:space="preserve">was dissolved </w:t>
      </w:r>
      <w:r w:rsidR="00957283" w:rsidRPr="00ED4D93">
        <w:rPr>
          <w:rFonts w:ascii="Times New Roman" w:hAnsi="Times New Roman"/>
          <w:bCs/>
          <w:sz w:val="24"/>
        </w:rPr>
        <w:t xml:space="preserve">by </w:t>
      </w:r>
      <w:r w:rsidR="00BB20B2" w:rsidRPr="00ED4D93">
        <w:rPr>
          <w:rFonts w:ascii="Times New Roman" w:hAnsi="Times New Roman"/>
          <w:bCs/>
          <w:sz w:val="24"/>
        </w:rPr>
        <w:t xml:space="preserve">a </w:t>
      </w:r>
      <w:r w:rsidR="00957283" w:rsidRPr="00ED4D93">
        <w:rPr>
          <w:rFonts w:ascii="Times New Roman" w:hAnsi="Times New Roman"/>
          <w:bCs/>
          <w:sz w:val="24"/>
        </w:rPr>
        <w:t>decree of divorce</w:t>
      </w:r>
      <w:r w:rsidR="00136217" w:rsidRPr="00ED4D93">
        <w:rPr>
          <w:rFonts w:ascii="Times New Roman" w:hAnsi="Times New Roman"/>
          <w:bCs/>
          <w:sz w:val="24"/>
        </w:rPr>
        <w:t xml:space="preserve"> on 10 October 2016,</w:t>
      </w:r>
      <w:r w:rsidR="009609FF" w:rsidRPr="00ED4D93">
        <w:rPr>
          <w:rFonts w:ascii="Times New Roman" w:hAnsi="Times New Roman"/>
          <w:bCs/>
          <w:sz w:val="24"/>
        </w:rPr>
        <w:t xml:space="preserve"> which incorporated </w:t>
      </w:r>
      <w:r w:rsidR="00FC7ED0" w:rsidRPr="00ED4D93">
        <w:rPr>
          <w:rFonts w:ascii="Times New Roman" w:hAnsi="Times New Roman"/>
          <w:bCs/>
          <w:sz w:val="24"/>
        </w:rPr>
        <w:t xml:space="preserve">a </w:t>
      </w:r>
      <w:r w:rsidR="005F7A64" w:rsidRPr="00ED4D93">
        <w:rPr>
          <w:rFonts w:ascii="Times New Roman" w:hAnsi="Times New Roman"/>
          <w:bCs/>
          <w:sz w:val="24"/>
        </w:rPr>
        <w:t>settlement agreement</w:t>
      </w:r>
      <w:r w:rsidR="00FC7ED0" w:rsidRPr="00ED4D93">
        <w:rPr>
          <w:rFonts w:ascii="Times New Roman" w:hAnsi="Times New Roman"/>
          <w:bCs/>
          <w:sz w:val="24"/>
        </w:rPr>
        <w:t>.</w:t>
      </w:r>
    </w:p>
    <w:p w14:paraId="054055D1" w14:textId="77777777" w:rsidR="00FC7ED0" w:rsidRDefault="00FC7ED0" w:rsidP="00FC7ED0">
      <w:pPr>
        <w:pStyle w:val="ListParagraph"/>
        <w:spacing w:line="480" w:lineRule="auto"/>
        <w:ind w:left="0"/>
        <w:contextualSpacing w:val="0"/>
        <w:rPr>
          <w:rFonts w:ascii="Times New Roman" w:hAnsi="Times New Roman"/>
          <w:bCs/>
          <w:sz w:val="24"/>
        </w:rPr>
      </w:pPr>
    </w:p>
    <w:p w14:paraId="54A45446" w14:textId="0E365B13" w:rsidR="00825F0D" w:rsidRPr="00ED4D93" w:rsidRDefault="00ED4D93" w:rsidP="00ED4D93">
      <w:pPr>
        <w:spacing w:line="480" w:lineRule="auto"/>
        <w:rPr>
          <w:rFonts w:ascii="Times New Roman" w:hAnsi="Times New Roman"/>
          <w:bCs/>
          <w:sz w:val="24"/>
        </w:rPr>
      </w:pPr>
      <w:r>
        <w:rPr>
          <w:rFonts w:ascii="Times New Roman" w:hAnsi="Times New Roman"/>
          <w:bCs/>
          <w:sz w:val="24"/>
        </w:rPr>
        <w:t>[4]</w:t>
      </w:r>
      <w:r>
        <w:rPr>
          <w:rFonts w:ascii="Times New Roman" w:hAnsi="Times New Roman"/>
          <w:bCs/>
          <w:sz w:val="24"/>
        </w:rPr>
        <w:tab/>
      </w:r>
      <w:r w:rsidR="00FC7ED0" w:rsidRPr="00ED4D93">
        <w:rPr>
          <w:rFonts w:ascii="Times New Roman" w:hAnsi="Times New Roman"/>
          <w:bCs/>
          <w:sz w:val="24"/>
        </w:rPr>
        <w:t xml:space="preserve">The </w:t>
      </w:r>
      <w:r w:rsidR="009609FF" w:rsidRPr="00ED4D93">
        <w:rPr>
          <w:rFonts w:ascii="Times New Roman" w:hAnsi="Times New Roman"/>
          <w:bCs/>
          <w:sz w:val="24"/>
        </w:rPr>
        <w:t xml:space="preserve">terms of the </w:t>
      </w:r>
      <w:r w:rsidR="00FC7ED0" w:rsidRPr="00ED4D93">
        <w:rPr>
          <w:rFonts w:ascii="Times New Roman" w:hAnsi="Times New Roman"/>
          <w:bCs/>
          <w:sz w:val="24"/>
        </w:rPr>
        <w:t>settlement agreement</w:t>
      </w:r>
      <w:r w:rsidR="009609FF" w:rsidRPr="00ED4D93">
        <w:rPr>
          <w:rFonts w:ascii="Times New Roman" w:hAnsi="Times New Roman"/>
          <w:bCs/>
          <w:sz w:val="24"/>
        </w:rPr>
        <w:t xml:space="preserve"> </w:t>
      </w:r>
      <w:r w:rsidR="00D46B28" w:rsidRPr="00ED4D93">
        <w:rPr>
          <w:rFonts w:ascii="Times New Roman" w:hAnsi="Times New Roman"/>
          <w:bCs/>
          <w:sz w:val="24"/>
        </w:rPr>
        <w:t xml:space="preserve">relevant </w:t>
      </w:r>
      <w:r w:rsidR="009609FF" w:rsidRPr="00ED4D93">
        <w:rPr>
          <w:rFonts w:ascii="Times New Roman" w:hAnsi="Times New Roman"/>
          <w:bCs/>
          <w:sz w:val="24"/>
        </w:rPr>
        <w:t xml:space="preserve">to this </w:t>
      </w:r>
      <w:r w:rsidR="009609FF" w:rsidRPr="00ED4D93">
        <w:rPr>
          <w:rFonts w:ascii="Times New Roman" w:hAnsi="Times New Roman"/>
          <w:bCs/>
          <w:i/>
          <w:iCs/>
          <w:sz w:val="24"/>
        </w:rPr>
        <w:t>lis</w:t>
      </w:r>
      <w:r w:rsidR="009609FF" w:rsidRPr="00ED4D93">
        <w:rPr>
          <w:rFonts w:ascii="Times New Roman" w:hAnsi="Times New Roman"/>
          <w:bCs/>
          <w:sz w:val="24"/>
        </w:rPr>
        <w:t xml:space="preserve"> are, first, that </w:t>
      </w:r>
      <w:r w:rsidR="00FC7ED0" w:rsidRPr="00ED4D93">
        <w:rPr>
          <w:rFonts w:ascii="Times New Roman" w:hAnsi="Times New Roman"/>
          <w:bCs/>
          <w:sz w:val="24"/>
        </w:rPr>
        <w:t xml:space="preserve">an auditor, Manfred Getz </w:t>
      </w:r>
      <w:r w:rsidR="00957283" w:rsidRPr="00ED4D93">
        <w:rPr>
          <w:rFonts w:ascii="Times New Roman" w:hAnsi="Times New Roman"/>
          <w:bCs/>
          <w:sz w:val="24"/>
        </w:rPr>
        <w:t>(</w:t>
      </w:r>
      <w:r w:rsidR="00957283" w:rsidRPr="00ED4D93">
        <w:rPr>
          <w:rFonts w:ascii="Times New Roman" w:hAnsi="Times New Roman"/>
          <w:bCs/>
          <w:i/>
          <w:iCs/>
          <w:sz w:val="24"/>
        </w:rPr>
        <w:t>Mr Getz</w:t>
      </w:r>
      <w:r w:rsidR="00957283" w:rsidRPr="00ED4D93">
        <w:rPr>
          <w:rFonts w:ascii="Times New Roman" w:hAnsi="Times New Roman"/>
          <w:bCs/>
          <w:sz w:val="24"/>
        </w:rPr>
        <w:t xml:space="preserve">) </w:t>
      </w:r>
      <w:r w:rsidR="00FC7ED0" w:rsidRPr="00ED4D93">
        <w:rPr>
          <w:rFonts w:ascii="Times New Roman" w:hAnsi="Times New Roman"/>
          <w:bCs/>
          <w:sz w:val="24"/>
        </w:rPr>
        <w:t xml:space="preserve">of J Hollis &amp; Co </w:t>
      </w:r>
      <w:r w:rsidR="009609FF" w:rsidRPr="00ED4D93">
        <w:rPr>
          <w:rFonts w:ascii="Times New Roman" w:hAnsi="Times New Roman"/>
          <w:bCs/>
          <w:sz w:val="24"/>
        </w:rPr>
        <w:t xml:space="preserve">is appointed </w:t>
      </w:r>
      <w:r w:rsidR="00FC7ED0" w:rsidRPr="00ED4D93">
        <w:rPr>
          <w:rFonts w:ascii="Times New Roman" w:hAnsi="Times New Roman"/>
          <w:bCs/>
          <w:sz w:val="24"/>
        </w:rPr>
        <w:t xml:space="preserve">to determine the </w:t>
      </w:r>
      <w:r w:rsidR="004D214A" w:rsidRPr="00ED4D93">
        <w:rPr>
          <w:rFonts w:ascii="Times New Roman" w:hAnsi="Times New Roman"/>
          <w:bCs/>
          <w:sz w:val="24"/>
        </w:rPr>
        <w:t xml:space="preserve">accrual in the </w:t>
      </w:r>
      <w:r w:rsidR="00957283" w:rsidRPr="00ED4D93">
        <w:rPr>
          <w:rFonts w:ascii="Times New Roman" w:hAnsi="Times New Roman"/>
          <w:bCs/>
          <w:sz w:val="24"/>
        </w:rPr>
        <w:t>parties’</w:t>
      </w:r>
      <w:r w:rsidR="00FC7ED0" w:rsidRPr="00ED4D93">
        <w:rPr>
          <w:rFonts w:ascii="Times New Roman" w:hAnsi="Times New Roman"/>
          <w:bCs/>
          <w:sz w:val="24"/>
        </w:rPr>
        <w:t xml:space="preserve"> respective estates.</w:t>
      </w:r>
      <w:r w:rsidR="005D6BAD" w:rsidRPr="00ED4D93">
        <w:rPr>
          <w:rFonts w:ascii="Times New Roman" w:hAnsi="Times New Roman"/>
          <w:bCs/>
          <w:sz w:val="24"/>
        </w:rPr>
        <w:t xml:space="preserve"> </w:t>
      </w:r>
      <w:r w:rsidR="009609FF" w:rsidRPr="00ED4D93">
        <w:rPr>
          <w:rFonts w:ascii="Times New Roman" w:hAnsi="Times New Roman"/>
          <w:bCs/>
          <w:sz w:val="24"/>
        </w:rPr>
        <w:t>Secondly, that t</w:t>
      </w:r>
      <w:r w:rsidR="005D6BAD" w:rsidRPr="00ED4D93">
        <w:rPr>
          <w:rFonts w:ascii="Times New Roman" w:hAnsi="Times New Roman"/>
          <w:bCs/>
          <w:sz w:val="24"/>
        </w:rPr>
        <w:t xml:space="preserve">he </w:t>
      </w:r>
      <w:r w:rsidR="009609FF" w:rsidRPr="00ED4D93">
        <w:rPr>
          <w:rFonts w:ascii="Times New Roman" w:hAnsi="Times New Roman"/>
          <w:bCs/>
          <w:sz w:val="24"/>
        </w:rPr>
        <w:t xml:space="preserve">costs </w:t>
      </w:r>
      <w:r w:rsidR="005D6BAD" w:rsidRPr="00ED4D93">
        <w:rPr>
          <w:rFonts w:ascii="Times New Roman" w:hAnsi="Times New Roman"/>
          <w:bCs/>
          <w:sz w:val="24"/>
        </w:rPr>
        <w:t xml:space="preserve">for </w:t>
      </w:r>
      <w:r w:rsidR="00957283" w:rsidRPr="00ED4D93">
        <w:rPr>
          <w:rFonts w:ascii="Times New Roman" w:hAnsi="Times New Roman"/>
          <w:bCs/>
          <w:sz w:val="24"/>
        </w:rPr>
        <w:t>Mr Getz</w:t>
      </w:r>
      <w:r w:rsidR="009609FF" w:rsidRPr="00ED4D93">
        <w:rPr>
          <w:rFonts w:ascii="Times New Roman" w:hAnsi="Times New Roman"/>
          <w:bCs/>
          <w:sz w:val="24"/>
        </w:rPr>
        <w:t>’s</w:t>
      </w:r>
      <w:r w:rsidR="00957283" w:rsidRPr="00ED4D93">
        <w:rPr>
          <w:rFonts w:ascii="Times New Roman" w:hAnsi="Times New Roman"/>
          <w:bCs/>
          <w:sz w:val="24"/>
        </w:rPr>
        <w:t xml:space="preserve"> services would </w:t>
      </w:r>
      <w:r w:rsidR="005D6BAD" w:rsidRPr="00ED4D93">
        <w:rPr>
          <w:rFonts w:ascii="Times New Roman" w:hAnsi="Times New Roman"/>
          <w:bCs/>
          <w:sz w:val="24"/>
        </w:rPr>
        <w:t>be shared equally between the parties.</w:t>
      </w:r>
      <w:r w:rsidR="00825F0D" w:rsidRPr="00ED4D93">
        <w:rPr>
          <w:rFonts w:ascii="Times New Roman" w:hAnsi="Times New Roman"/>
          <w:bCs/>
          <w:sz w:val="24"/>
        </w:rPr>
        <w:t xml:space="preserve"> </w:t>
      </w:r>
      <w:r w:rsidR="009609FF" w:rsidRPr="00ED4D93">
        <w:rPr>
          <w:rFonts w:ascii="Times New Roman" w:hAnsi="Times New Roman"/>
          <w:bCs/>
          <w:sz w:val="24"/>
        </w:rPr>
        <w:t xml:space="preserve">Lastly, that </w:t>
      </w:r>
      <w:r w:rsidR="00D46B28" w:rsidRPr="00ED4D93">
        <w:rPr>
          <w:rFonts w:ascii="Times New Roman" w:hAnsi="Times New Roman"/>
          <w:bCs/>
          <w:sz w:val="24"/>
        </w:rPr>
        <w:t>e</w:t>
      </w:r>
      <w:r w:rsidR="004D214A" w:rsidRPr="00ED4D93">
        <w:rPr>
          <w:rFonts w:ascii="Times New Roman" w:hAnsi="Times New Roman"/>
          <w:bCs/>
          <w:sz w:val="24"/>
        </w:rPr>
        <w:t xml:space="preserve">ither of the parties may approach the court </w:t>
      </w:r>
      <w:r w:rsidR="00D46B28" w:rsidRPr="00ED4D93">
        <w:rPr>
          <w:rFonts w:ascii="Times New Roman" w:hAnsi="Times New Roman"/>
          <w:bCs/>
          <w:i/>
          <w:iCs/>
          <w:sz w:val="24"/>
        </w:rPr>
        <w:t xml:space="preserve">‘… regarding their respective claim arising from the </w:t>
      </w:r>
      <w:r w:rsidR="004D214A" w:rsidRPr="00ED4D93">
        <w:rPr>
          <w:rFonts w:ascii="Times New Roman" w:hAnsi="Times New Roman"/>
          <w:bCs/>
          <w:i/>
          <w:iCs/>
          <w:sz w:val="24"/>
        </w:rPr>
        <w:t>application of the accrual system</w:t>
      </w:r>
      <w:r w:rsidR="00D46B28" w:rsidRPr="00ED4D93">
        <w:rPr>
          <w:rFonts w:ascii="Times New Roman" w:hAnsi="Times New Roman"/>
          <w:bCs/>
          <w:i/>
          <w:iCs/>
          <w:sz w:val="24"/>
        </w:rPr>
        <w:t>…’.</w:t>
      </w:r>
      <w:r w:rsidR="00D46B28">
        <w:rPr>
          <w:rStyle w:val="FootnoteReference"/>
          <w:rFonts w:ascii="Times New Roman" w:hAnsi="Times New Roman"/>
          <w:bCs/>
          <w:i/>
          <w:iCs/>
          <w:sz w:val="24"/>
        </w:rPr>
        <w:footnoteReference w:id="3"/>
      </w:r>
    </w:p>
    <w:p w14:paraId="3F41EC21" w14:textId="77777777" w:rsidR="00825F0D" w:rsidRPr="00825F0D" w:rsidRDefault="00825F0D" w:rsidP="00825F0D">
      <w:pPr>
        <w:pStyle w:val="ListParagraph"/>
        <w:rPr>
          <w:rFonts w:ascii="Times New Roman" w:hAnsi="Times New Roman"/>
          <w:bCs/>
          <w:sz w:val="24"/>
        </w:rPr>
      </w:pPr>
    </w:p>
    <w:p w14:paraId="326FC6CC" w14:textId="39D95B23" w:rsidR="005D09DA" w:rsidRPr="00ED4D93" w:rsidRDefault="00ED4D93" w:rsidP="00ED4D93">
      <w:pPr>
        <w:spacing w:line="480" w:lineRule="auto"/>
        <w:rPr>
          <w:rFonts w:ascii="Times New Roman" w:hAnsi="Times New Roman"/>
          <w:bCs/>
          <w:sz w:val="24"/>
        </w:rPr>
      </w:pPr>
      <w:r>
        <w:rPr>
          <w:rFonts w:ascii="Times New Roman" w:hAnsi="Times New Roman"/>
          <w:bCs/>
          <w:sz w:val="24"/>
        </w:rPr>
        <w:t>[5]</w:t>
      </w:r>
      <w:r>
        <w:rPr>
          <w:rFonts w:ascii="Times New Roman" w:hAnsi="Times New Roman"/>
          <w:bCs/>
          <w:sz w:val="24"/>
        </w:rPr>
        <w:tab/>
      </w:r>
      <w:r w:rsidR="00825F0D" w:rsidRPr="00ED4D93">
        <w:rPr>
          <w:rFonts w:ascii="Times New Roman" w:hAnsi="Times New Roman"/>
          <w:bCs/>
          <w:sz w:val="24"/>
        </w:rPr>
        <w:t xml:space="preserve">The respondent </w:t>
      </w:r>
      <w:r w:rsidR="00BD2BBB" w:rsidRPr="00ED4D93">
        <w:rPr>
          <w:rFonts w:ascii="Times New Roman" w:hAnsi="Times New Roman"/>
          <w:bCs/>
          <w:sz w:val="24"/>
        </w:rPr>
        <w:t xml:space="preserve">launched an application for </w:t>
      </w:r>
      <w:r w:rsidR="00825F0D" w:rsidRPr="00ED4D93">
        <w:rPr>
          <w:rFonts w:ascii="Times New Roman" w:hAnsi="Times New Roman"/>
          <w:bCs/>
          <w:sz w:val="24"/>
        </w:rPr>
        <w:t xml:space="preserve">the determination </w:t>
      </w:r>
      <w:r w:rsidR="00CA21EB" w:rsidRPr="00ED4D93">
        <w:rPr>
          <w:rFonts w:ascii="Times New Roman" w:hAnsi="Times New Roman"/>
          <w:bCs/>
          <w:sz w:val="24"/>
        </w:rPr>
        <w:t xml:space="preserve">of the </w:t>
      </w:r>
      <w:r w:rsidR="00825F0D" w:rsidRPr="00ED4D93">
        <w:rPr>
          <w:rFonts w:ascii="Times New Roman" w:hAnsi="Times New Roman"/>
          <w:bCs/>
          <w:sz w:val="24"/>
        </w:rPr>
        <w:t xml:space="preserve">accrual as the appellant </w:t>
      </w:r>
      <w:r w:rsidR="00BD2BBB" w:rsidRPr="00ED4D93">
        <w:rPr>
          <w:rFonts w:ascii="Times New Roman" w:hAnsi="Times New Roman"/>
          <w:bCs/>
          <w:sz w:val="24"/>
        </w:rPr>
        <w:t xml:space="preserve">did not </w:t>
      </w:r>
      <w:r w:rsidR="00825F0D" w:rsidRPr="00ED4D93">
        <w:rPr>
          <w:rFonts w:ascii="Times New Roman" w:hAnsi="Times New Roman"/>
          <w:bCs/>
          <w:sz w:val="24"/>
        </w:rPr>
        <w:t>co</w:t>
      </w:r>
      <w:r w:rsidR="00BD2BBB" w:rsidRPr="00ED4D93">
        <w:rPr>
          <w:rFonts w:ascii="Times New Roman" w:hAnsi="Times New Roman"/>
          <w:bCs/>
          <w:sz w:val="24"/>
        </w:rPr>
        <w:t>-</w:t>
      </w:r>
      <w:r w:rsidR="00825F0D" w:rsidRPr="00ED4D93">
        <w:rPr>
          <w:rFonts w:ascii="Times New Roman" w:hAnsi="Times New Roman"/>
          <w:bCs/>
          <w:sz w:val="24"/>
        </w:rPr>
        <w:t xml:space="preserve">operate </w:t>
      </w:r>
      <w:r w:rsidR="00BD2BBB" w:rsidRPr="00ED4D93">
        <w:rPr>
          <w:rFonts w:ascii="Times New Roman" w:hAnsi="Times New Roman"/>
          <w:bCs/>
          <w:sz w:val="24"/>
        </w:rPr>
        <w:t xml:space="preserve">with </w:t>
      </w:r>
      <w:r w:rsidR="00825F0D" w:rsidRPr="00ED4D93">
        <w:rPr>
          <w:rFonts w:ascii="Times New Roman" w:hAnsi="Times New Roman"/>
          <w:bCs/>
          <w:sz w:val="24"/>
        </w:rPr>
        <w:t xml:space="preserve">Mr Getz </w:t>
      </w:r>
      <w:r w:rsidR="00BD2BBB" w:rsidRPr="00ED4D93">
        <w:rPr>
          <w:rFonts w:ascii="Times New Roman" w:hAnsi="Times New Roman"/>
          <w:bCs/>
          <w:sz w:val="24"/>
        </w:rPr>
        <w:t xml:space="preserve">as he failed to furnish him </w:t>
      </w:r>
      <w:r w:rsidR="006360E1" w:rsidRPr="00ED4D93">
        <w:rPr>
          <w:rFonts w:ascii="Times New Roman" w:hAnsi="Times New Roman"/>
          <w:bCs/>
          <w:sz w:val="24"/>
        </w:rPr>
        <w:t xml:space="preserve">with the </w:t>
      </w:r>
      <w:r w:rsidR="00CA21EB" w:rsidRPr="00ED4D93">
        <w:rPr>
          <w:rFonts w:ascii="Times New Roman" w:hAnsi="Times New Roman"/>
          <w:bCs/>
          <w:sz w:val="24"/>
        </w:rPr>
        <w:t>source documents in respect of the financials prepared in respect of L</w:t>
      </w:r>
      <w:r w:rsidR="005D09DA" w:rsidRPr="00ED4D93">
        <w:rPr>
          <w:rFonts w:ascii="Times New Roman" w:hAnsi="Times New Roman"/>
          <w:bCs/>
          <w:sz w:val="24"/>
        </w:rPr>
        <w:t>BMC Consulting</w:t>
      </w:r>
      <w:r w:rsidR="006360E1" w:rsidRPr="00ED4D93">
        <w:rPr>
          <w:rFonts w:ascii="Times New Roman" w:hAnsi="Times New Roman"/>
          <w:bCs/>
          <w:sz w:val="24"/>
        </w:rPr>
        <w:t xml:space="preserve"> (P</w:t>
      </w:r>
      <w:r w:rsidR="005D09DA" w:rsidRPr="00ED4D93">
        <w:rPr>
          <w:rFonts w:ascii="Times New Roman" w:hAnsi="Times New Roman"/>
          <w:bCs/>
          <w:sz w:val="24"/>
        </w:rPr>
        <w:t>ty) Ltd</w:t>
      </w:r>
      <w:r w:rsidR="00BD2BBB" w:rsidRPr="00ED4D93">
        <w:rPr>
          <w:rFonts w:ascii="Times New Roman" w:hAnsi="Times New Roman"/>
          <w:bCs/>
          <w:sz w:val="24"/>
        </w:rPr>
        <w:t xml:space="preserve"> (</w:t>
      </w:r>
      <w:r w:rsidR="00BD2BBB" w:rsidRPr="00ED4D93">
        <w:rPr>
          <w:rFonts w:ascii="Times New Roman" w:hAnsi="Times New Roman"/>
          <w:bCs/>
          <w:i/>
          <w:iCs/>
          <w:sz w:val="24"/>
        </w:rPr>
        <w:t>LBMC</w:t>
      </w:r>
      <w:r w:rsidR="00BD2BBB" w:rsidRPr="00ED4D93">
        <w:rPr>
          <w:rFonts w:ascii="Times New Roman" w:hAnsi="Times New Roman"/>
          <w:bCs/>
          <w:sz w:val="24"/>
        </w:rPr>
        <w:t>)</w:t>
      </w:r>
      <w:r w:rsidR="005D09DA" w:rsidRPr="00ED4D93">
        <w:rPr>
          <w:rFonts w:ascii="Times New Roman" w:hAnsi="Times New Roman"/>
          <w:bCs/>
          <w:sz w:val="24"/>
        </w:rPr>
        <w:t xml:space="preserve">. The </w:t>
      </w:r>
      <w:r w:rsidR="00664ECE" w:rsidRPr="00ED4D93">
        <w:rPr>
          <w:rFonts w:ascii="Times New Roman" w:hAnsi="Times New Roman"/>
          <w:bCs/>
          <w:sz w:val="24"/>
        </w:rPr>
        <w:t>application</w:t>
      </w:r>
      <w:r w:rsidR="00AB6A56" w:rsidRPr="00ED4D93">
        <w:rPr>
          <w:rFonts w:ascii="Times New Roman" w:hAnsi="Times New Roman"/>
          <w:bCs/>
          <w:sz w:val="24"/>
        </w:rPr>
        <w:t xml:space="preserve"> </w:t>
      </w:r>
      <w:r w:rsidR="005D09DA" w:rsidRPr="00ED4D93">
        <w:rPr>
          <w:rFonts w:ascii="Times New Roman" w:hAnsi="Times New Roman"/>
          <w:bCs/>
          <w:sz w:val="24"/>
        </w:rPr>
        <w:t xml:space="preserve">served before Senyatsi AJ </w:t>
      </w:r>
      <w:r w:rsidR="006360E1" w:rsidRPr="00ED4D93">
        <w:rPr>
          <w:rFonts w:ascii="Times New Roman" w:hAnsi="Times New Roman"/>
          <w:bCs/>
          <w:sz w:val="24"/>
        </w:rPr>
        <w:t xml:space="preserve">who after hearing evidence held that the amount payable to the respondent is R3 300 000,00. Senyatsi AJ </w:t>
      </w:r>
      <w:r w:rsidR="00BD2BBB" w:rsidRPr="00ED4D93">
        <w:rPr>
          <w:rFonts w:ascii="Times New Roman" w:hAnsi="Times New Roman"/>
          <w:bCs/>
          <w:sz w:val="24"/>
        </w:rPr>
        <w:t xml:space="preserve">then </w:t>
      </w:r>
      <w:r w:rsidR="006360E1" w:rsidRPr="00ED4D93">
        <w:rPr>
          <w:rFonts w:ascii="Times New Roman" w:hAnsi="Times New Roman"/>
          <w:bCs/>
          <w:sz w:val="24"/>
        </w:rPr>
        <w:t>deducted the amount of R263 000.00 which</w:t>
      </w:r>
      <w:r w:rsidR="00BD2BBB" w:rsidRPr="00ED4D93">
        <w:rPr>
          <w:rFonts w:ascii="Times New Roman" w:hAnsi="Times New Roman"/>
          <w:bCs/>
          <w:sz w:val="24"/>
        </w:rPr>
        <w:t xml:space="preserve"> was</w:t>
      </w:r>
      <w:r w:rsidR="006360E1" w:rsidRPr="00ED4D93">
        <w:rPr>
          <w:rFonts w:ascii="Times New Roman" w:hAnsi="Times New Roman"/>
          <w:bCs/>
          <w:sz w:val="24"/>
        </w:rPr>
        <w:t xml:space="preserve"> payable to Mr Getz for the service rendered</w:t>
      </w:r>
      <w:r w:rsidR="00BD2BBB" w:rsidRPr="00ED4D93">
        <w:rPr>
          <w:rFonts w:ascii="Times New Roman" w:hAnsi="Times New Roman"/>
          <w:bCs/>
          <w:sz w:val="24"/>
        </w:rPr>
        <w:t xml:space="preserve"> and t</w:t>
      </w:r>
      <w:r w:rsidR="006360E1" w:rsidRPr="00ED4D93">
        <w:rPr>
          <w:rFonts w:ascii="Times New Roman" w:hAnsi="Times New Roman"/>
          <w:bCs/>
          <w:sz w:val="24"/>
        </w:rPr>
        <w:t>he total sum payable was therefore R3 037 000.00</w:t>
      </w:r>
      <w:r w:rsidR="005D09DA" w:rsidRPr="00ED4D93">
        <w:rPr>
          <w:rFonts w:ascii="Times New Roman" w:hAnsi="Times New Roman"/>
          <w:bCs/>
          <w:sz w:val="24"/>
        </w:rPr>
        <w:t>.</w:t>
      </w:r>
    </w:p>
    <w:p w14:paraId="052A4CB1" w14:textId="77777777" w:rsidR="005D09DA" w:rsidRPr="005D09DA" w:rsidRDefault="005D09DA" w:rsidP="005D09DA">
      <w:pPr>
        <w:pStyle w:val="ListParagraph"/>
        <w:rPr>
          <w:rFonts w:ascii="Times New Roman" w:hAnsi="Times New Roman"/>
          <w:bCs/>
          <w:sz w:val="24"/>
        </w:rPr>
      </w:pPr>
    </w:p>
    <w:p w14:paraId="4E656822" w14:textId="039E189F" w:rsidR="00FC7ED0" w:rsidRPr="00ED4D93" w:rsidRDefault="00ED4D93" w:rsidP="00ED4D93">
      <w:pPr>
        <w:spacing w:line="480" w:lineRule="auto"/>
        <w:rPr>
          <w:rFonts w:ascii="Times New Roman" w:hAnsi="Times New Roman"/>
          <w:bCs/>
          <w:sz w:val="24"/>
        </w:rPr>
      </w:pPr>
      <w:r w:rsidRPr="005D09DA">
        <w:rPr>
          <w:rFonts w:ascii="Times New Roman" w:hAnsi="Times New Roman"/>
          <w:bCs/>
          <w:sz w:val="24"/>
        </w:rPr>
        <w:t>[6]</w:t>
      </w:r>
      <w:r w:rsidRPr="005D09DA">
        <w:rPr>
          <w:rFonts w:ascii="Times New Roman" w:hAnsi="Times New Roman"/>
          <w:bCs/>
          <w:sz w:val="24"/>
        </w:rPr>
        <w:tab/>
      </w:r>
      <w:r w:rsidR="005D09DA" w:rsidRPr="00ED4D93">
        <w:rPr>
          <w:rFonts w:ascii="Times New Roman" w:hAnsi="Times New Roman"/>
          <w:bCs/>
          <w:sz w:val="24"/>
        </w:rPr>
        <w:t xml:space="preserve">The respondent </w:t>
      </w:r>
      <w:r w:rsidR="006360E1" w:rsidRPr="00ED4D93">
        <w:rPr>
          <w:rFonts w:ascii="Times New Roman" w:hAnsi="Times New Roman"/>
          <w:bCs/>
          <w:sz w:val="24"/>
        </w:rPr>
        <w:t xml:space="preserve">being aggrieved with the calculations made by Senyatsi AJ </w:t>
      </w:r>
      <w:r w:rsidR="005D09DA" w:rsidRPr="00ED4D93">
        <w:rPr>
          <w:rFonts w:ascii="Times New Roman" w:hAnsi="Times New Roman"/>
          <w:bCs/>
          <w:sz w:val="24"/>
        </w:rPr>
        <w:t>launched an application in terms of Rule 42(</w:t>
      </w:r>
      <w:r w:rsidR="00BD2BBB" w:rsidRPr="00ED4D93">
        <w:rPr>
          <w:rFonts w:ascii="Times New Roman" w:hAnsi="Times New Roman"/>
          <w:bCs/>
          <w:sz w:val="24"/>
        </w:rPr>
        <w:t>1</w:t>
      </w:r>
      <w:r w:rsidR="005D09DA" w:rsidRPr="00ED4D93">
        <w:rPr>
          <w:rFonts w:ascii="Times New Roman" w:hAnsi="Times New Roman"/>
          <w:bCs/>
          <w:sz w:val="24"/>
        </w:rPr>
        <w:t xml:space="preserve">)(b) contending that </w:t>
      </w:r>
      <w:r w:rsidR="008138E4" w:rsidRPr="00ED4D93">
        <w:rPr>
          <w:rFonts w:ascii="Times New Roman" w:hAnsi="Times New Roman"/>
          <w:bCs/>
          <w:sz w:val="24"/>
        </w:rPr>
        <w:t xml:space="preserve">Acting Judge Senyatsi, </w:t>
      </w:r>
      <w:r w:rsidR="005D09DA" w:rsidRPr="00ED4D93">
        <w:rPr>
          <w:rFonts w:ascii="Times New Roman" w:hAnsi="Times New Roman"/>
          <w:bCs/>
          <w:sz w:val="24"/>
        </w:rPr>
        <w:t xml:space="preserve">committed a patent error/ omission by concluding the sum of R3 300 000.00 </w:t>
      </w:r>
      <w:r w:rsidR="008138E4" w:rsidRPr="00ED4D93">
        <w:rPr>
          <w:rFonts w:ascii="Times New Roman" w:hAnsi="Times New Roman"/>
          <w:bCs/>
          <w:sz w:val="24"/>
        </w:rPr>
        <w:t xml:space="preserve">(which was </w:t>
      </w:r>
      <w:r w:rsidR="008138E4" w:rsidRPr="00ED4D93">
        <w:rPr>
          <w:rFonts w:ascii="Times New Roman" w:hAnsi="Times New Roman"/>
          <w:bCs/>
          <w:sz w:val="24"/>
        </w:rPr>
        <w:lastRenderedPageBreak/>
        <w:t xml:space="preserve">in fact the value of the shares of LBMC) </w:t>
      </w:r>
      <w:r w:rsidR="005D09DA" w:rsidRPr="00ED4D93">
        <w:rPr>
          <w:rFonts w:ascii="Times New Roman" w:hAnsi="Times New Roman"/>
          <w:bCs/>
          <w:sz w:val="24"/>
        </w:rPr>
        <w:t xml:space="preserve">is the amount </w:t>
      </w:r>
      <w:r w:rsidR="008138E4" w:rsidRPr="00ED4D93">
        <w:rPr>
          <w:rFonts w:ascii="Times New Roman" w:hAnsi="Times New Roman"/>
          <w:bCs/>
          <w:sz w:val="24"/>
        </w:rPr>
        <w:t xml:space="preserve">payable to </w:t>
      </w:r>
      <w:r w:rsidR="005D09DA" w:rsidRPr="00ED4D93">
        <w:rPr>
          <w:rFonts w:ascii="Times New Roman" w:hAnsi="Times New Roman"/>
          <w:bCs/>
          <w:sz w:val="24"/>
        </w:rPr>
        <w:t xml:space="preserve">the respondent </w:t>
      </w:r>
      <w:r w:rsidR="008138E4" w:rsidRPr="00ED4D93">
        <w:rPr>
          <w:rFonts w:ascii="Times New Roman" w:hAnsi="Times New Roman"/>
          <w:bCs/>
          <w:sz w:val="24"/>
        </w:rPr>
        <w:t>which amount did not include the value of other assets of the appellant which the parties ha</w:t>
      </w:r>
      <w:r w:rsidR="00FF01E2" w:rsidRPr="00ED4D93">
        <w:rPr>
          <w:rFonts w:ascii="Times New Roman" w:hAnsi="Times New Roman"/>
          <w:bCs/>
          <w:sz w:val="24"/>
        </w:rPr>
        <w:t>d</w:t>
      </w:r>
      <w:r w:rsidR="008138E4" w:rsidRPr="00ED4D93">
        <w:rPr>
          <w:rFonts w:ascii="Times New Roman" w:hAnsi="Times New Roman"/>
          <w:bCs/>
          <w:sz w:val="24"/>
        </w:rPr>
        <w:t xml:space="preserve"> agreed upon. F</w:t>
      </w:r>
      <w:r w:rsidR="005D09DA" w:rsidRPr="00ED4D93">
        <w:rPr>
          <w:rFonts w:ascii="Times New Roman" w:hAnsi="Times New Roman"/>
          <w:bCs/>
          <w:sz w:val="24"/>
        </w:rPr>
        <w:t xml:space="preserve">urther </w:t>
      </w:r>
      <w:r w:rsidR="008138E4" w:rsidRPr="00ED4D93">
        <w:rPr>
          <w:rFonts w:ascii="Times New Roman" w:hAnsi="Times New Roman"/>
          <w:bCs/>
          <w:sz w:val="24"/>
        </w:rPr>
        <w:t xml:space="preserve">Senyatsi AJ committed another error by deducting </w:t>
      </w:r>
      <w:r w:rsidR="005D09DA" w:rsidRPr="00ED4D93">
        <w:rPr>
          <w:rFonts w:ascii="Times New Roman" w:hAnsi="Times New Roman"/>
          <w:bCs/>
          <w:sz w:val="24"/>
        </w:rPr>
        <w:t>Mr Getz</w:t>
      </w:r>
      <w:r w:rsidR="00DD65D6" w:rsidRPr="00ED4D93">
        <w:rPr>
          <w:rFonts w:ascii="Times New Roman" w:hAnsi="Times New Roman"/>
          <w:bCs/>
          <w:sz w:val="24"/>
        </w:rPr>
        <w:t>’s</w:t>
      </w:r>
      <w:r w:rsidR="005D09DA" w:rsidRPr="00ED4D93">
        <w:rPr>
          <w:rFonts w:ascii="Times New Roman" w:hAnsi="Times New Roman"/>
          <w:bCs/>
          <w:sz w:val="24"/>
        </w:rPr>
        <w:t xml:space="preserve"> costs </w:t>
      </w:r>
      <w:r w:rsidR="00664ECE" w:rsidRPr="00ED4D93">
        <w:rPr>
          <w:rFonts w:ascii="Times New Roman" w:hAnsi="Times New Roman"/>
          <w:bCs/>
          <w:sz w:val="24"/>
        </w:rPr>
        <w:t xml:space="preserve">from the respondent’s share </w:t>
      </w:r>
      <w:r w:rsidR="008138E4" w:rsidRPr="00ED4D93">
        <w:rPr>
          <w:rFonts w:ascii="Times New Roman" w:hAnsi="Times New Roman"/>
          <w:bCs/>
          <w:sz w:val="24"/>
        </w:rPr>
        <w:t>instead of dividing the said costs equally between the parties.</w:t>
      </w:r>
      <w:r w:rsidR="005D09DA" w:rsidRPr="00ED4D93">
        <w:rPr>
          <w:rFonts w:ascii="Times New Roman" w:hAnsi="Times New Roman"/>
          <w:bCs/>
          <w:sz w:val="24"/>
        </w:rPr>
        <w:t xml:space="preserve"> </w:t>
      </w:r>
    </w:p>
    <w:p w14:paraId="56B1A372" w14:textId="77777777" w:rsidR="00E90D7C" w:rsidRPr="00E90D7C" w:rsidRDefault="00E90D7C" w:rsidP="00E90D7C">
      <w:pPr>
        <w:pStyle w:val="ListParagraph"/>
        <w:rPr>
          <w:rFonts w:ascii="Times New Roman" w:hAnsi="Times New Roman"/>
          <w:bCs/>
          <w:sz w:val="24"/>
        </w:rPr>
      </w:pPr>
    </w:p>
    <w:p w14:paraId="1741E9C3" w14:textId="5E46FCBE" w:rsidR="00E90D7C" w:rsidRPr="00E90D7C" w:rsidRDefault="00DD65D6" w:rsidP="00E90D7C">
      <w:pPr>
        <w:pStyle w:val="ListParagraph"/>
        <w:spacing w:line="480" w:lineRule="auto"/>
        <w:ind w:left="0"/>
        <w:contextualSpacing w:val="0"/>
        <w:rPr>
          <w:rFonts w:ascii="Times New Roman" w:hAnsi="Times New Roman"/>
          <w:bCs/>
          <w:i/>
          <w:iCs/>
          <w:sz w:val="24"/>
        </w:rPr>
      </w:pPr>
      <w:r>
        <w:rPr>
          <w:rFonts w:ascii="Times New Roman" w:hAnsi="Times New Roman"/>
          <w:bCs/>
          <w:i/>
          <w:iCs/>
          <w:sz w:val="24"/>
        </w:rPr>
        <w:t>Before the c</w:t>
      </w:r>
      <w:r w:rsidR="00E90D7C" w:rsidRPr="00E90D7C">
        <w:rPr>
          <w:rFonts w:ascii="Times New Roman" w:hAnsi="Times New Roman"/>
          <w:bCs/>
          <w:i/>
          <w:iCs/>
          <w:sz w:val="24"/>
        </w:rPr>
        <w:t>ourt a quo</w:t>
      </w:r>
    </w:p>
    <w:p w14:paraId="34A3CBFB" w14:textId="77777777" w:rsidR="00BE2FD7" w:rsidRDefault="00BE2FD7" w:rsidP="00BE2FD7">
      <w:pPr>
        <w:pStyle w:val="ListParagraph"/>
        <w:spacing w:line="480" w:lineRule="auto"/>
        <w:ind w:left="0"/>
        <w:contextualSpacing w:val="0"/>
        <w:rPr>
          <w:rFonts w:ascii="Times New Roman" w:hAnsi="Times New Roman"/>
          <w:bCs/>
          <w:sz w:val="24"/>
        </w:rPr>
      </w:pPr>
    </w:p>
    <w:p w14:paraId="09800099" w14:textId="4CD747D3" w:rsidR="0082658F" w:rsidRPr="00ED4D93" w:rsidRDefault="00ED4D93" w:rsidP="00ED4D93">
      <w:pPr>
        <w:spacing w:line="480" w:lineRule="auto"/>
        <w:rPr>
          <w:rFonts w:ascii="Times New Roman" w:hAnsi="Times New Roman"/>
          <w:bCs/>
          <w:sz w:val="24"/>
        </w:rPr>
      </w:pPr>
      <w:r>
        <w:rPr>
          <w:rFonts w:ascii="Times New Roman" w:hAnsi="Times New Roman"/>
          <w:bCs/>
          <w:sz w:val="24"/>
        </w:rPr>
        <w:t>[7]</w:t>
      </w:r>
      <w:r>
        <w:rPr>
          <w:rFonts w:ascii="Times New Roman" w:hAnsi="Times New Roman"/>
          <w:bCs/>
          <w:sz w:val="24"/>
        </w:rPr>
        <w:tab/>
      </w:r>
      <w:r w:rsidR="008116DC" w:rsidRPr="00ED4D93">
        <w:rPr>
          <w:rFonts w:ascii="Times New Roman" w:hAnsi="Times New Roman"/>
          <w:bCs/>
          <w:sz w:val="24"/>
        </w:rPr>
        <w:t xml:space="preserve">The </w:t>
      </w:r>
      <w:r w:rsidR="003C234E" w:rsidRPr="00ED4D93">
        <w:rPr>
          <w:rFonts w:ascii="Times New Roman" w:hAnsi="Times New Roman"/>
          <w:bCs/>
          <w:sz w:val="24"/>
        </w:rPr>
        <w:t xml:space="preserve">respondent contended before </w:t>
      </w:r>
      <w:r w:rsidR="00795EFD" w:rsidRPr="00ED4D93">
        <w:rPr>
          <w:rFonts w:ascii="Times New Roman" w:hAnsi="Times New Roman"/>
          <w:bCs/>
          <w:sz w:val="24"/>
        </w:rPr>
        <w:t xml:space="preserve">Maier-Frawley J that </w:t>
      </w:r>
      <w:r w:rsidR="003C234E" w:rsidRPr="00ED4D93">
        <w:rPr>
          <w:rFonts w:ascii="Times New Roman" w:hAnsi="Times New Roman"/>
          <w:bCs/>
          <w:sz w:val="24"/>
        </w:rPr>
        <w:t xml:space="preserve">the parties </w:t>
      </w:r>
      <w:r w:rsidR="00BB20B2" w:rsidRPr="00ED4D93">
        <w:rPr>
          <w:rFonts w:ascii="Times New Roman" w:hAnsi="Times New Roman"/>
          <w:bCs/>
          <w:sz w:val="24"/>
        </w:rPr>
        <w:t xml:space="preserve">had </w:t>
      </w:r>
      <w:r w:rsidR="00795EFD" w:rsidRPr="00ED4D93">
        <w:rPr>
          <w:rFonts w:ascii="Times New Roman" w:hAnsi="Times New Roman"/>
          <w:bCs/>
          <w:sz w:val="24"/>
        </w:rPr>
        <w:t xml:space="preserve">agreed </w:t>
      </w:r>
      <w:r w:rsidR="00DD65D6" w:rsidRPr="00ED4D93">
        <w:rPr>
          <w:rFonts w:ascii="Times New Roman" w:hAnsi="Times New Roman"/>
          <w:bCs/>
          <w:sz w:val="24"/>
        </w:rPr>
        <w:t>at</w:t>
      </w:r>
      <w:r w:rsidR="003C234E" w:rsidRPr="00ED4D93">
        <w:rPr>
          <w:rFonts w:ascii="Times New Roman" w:hAnsi="Times New Roman"/>
          <w:bCs/>
          <w:sz w:val="24"/>
        </w:rPr>
        <w:t xml:space="preserve"> the </w:t>
      </w:r>
      <w:r w:rsidR="00664ECE" w:rsidRPr="00ED4D93">
        <w:rPr>
          <w:rFonts w:ascii="Times New Roman" w:hAnsi="Times New Roman"/>
          <w:bCs/>
          <w:sz w:val="24"/>
        </w:rPr>
        <w:t xml:space="preserve">commencement of the </w:t>
      </w:r>
      <w:r w:rsidR="003C234E" w:rsidRPr="00ED4D93">
        <w:rPr>
          <w:rFonts w:ascii="Times New Roman" w:hAnsi="Times New Roman"/>
          <w:bCs/>
          <w:sz w:val="24"/>
        </w:rPr>
        <w:t>hearing</w:t>
      </w:r>
      <w:r w:rsidR="00795EFD" w:rsidRPr="00ED4D93">
        <w:rPr>
          <w:rFonts w:ascii="Times New Roman" w:hAnsi="Times New Roman"/>
          <w:bCs/>
          <w:sz w:val="24"/>
        </w:rPr>
        <w:t xml:space="preserve"> before </w:t>
      </w:r>
      <w:r w:rsidR="008138E4" w:rsidRPr="00ED4D93">
        <w:rPr>
          <w:rFonts w:ascii="Times New Roman" w:hAnsi="Times New Roman"/>
          <w:bCs/>
          <w:sz w:val="24"/>
        </w:rPr>
        <w:t xml:space="preserve">Senyatsi AJ </w:t>
      </w:r>
      <w:r w:rsidR="00CD3413" w:rsidRPr="00ED4D93">
        <w:rPr>
          <w:rFonts w:ascii="Times New Roman" w:hAnsi="Times New Roman"/>
          <w:bCs/>
          <w:sz w:val="24"/>
        </w:rPr>
        <w:t xml:space="preserve">that what </w:t>
      </w:r>
      <w:r w:rsidR="00664ECE" w:rsidRPr="00ED4D93">
        <w:rPr>
          <w:rFonts w:ascii="Times New Roman" w:hAnsi="Times New Roman"/>
          <w:bCs/>
          <w:sz w:val="24"/>
        </w:rPr>
        <w:t>wa</w:t>
      </w:r>
      <w:r w:rsidR="00CD3413" w:rsidRPr="00ED4D93">
        <w:rPr>
          <w:rFonts w:ascii="Times New Roman" w:hAnsi="Times New Roman"/>
          <w:bCs/>
          <w:sz w:val="24"/>
        </w:rPr>
        <w:t>s contentio</w:t>
      </w:r>
      <w:r w:rsidR="00664ECE" w:rsidRPr="00ED4D93">
        <w:rPr>
          <w:rFonts w:ascii="Times New Roman" w:hAnsi="Times New Roman"/>
          <w:bCs/>
          <w:sz w:val="24"/>
        </w:rPr>
        <w:t>us</w:t>
      </w:r>
      <w:r w:rsidR="00CD3413" w:rsidRPr="00ED4D93">
        <w:rPr>
          <w:rFonts w:ascii="Times New Roman" w:hAnsi="Times New Roman"/>
          <w:bCs/>
          <w:sz w:val="24"/>
        </w:rPr>
        <w:t xml:space="preserve"> between the parties </w:t>
      </w:r>
      <w:r w:rsidR="00BB20B2" w:rsidRPr="00ED4D93">
        <w:rPr>
          <w:rFonts w:ascii="Times New Roman" w:hAnsi="Times New Roman"/>
          <w:bCs/>
          <w:sz w:val="24"/>
        </w:rPr>
        <w:t xml:space="preserve">was </w:t>
      </w:r>
      <w:r w:rsidR="00CD3413" w:rsidRPr="00ED4D93">
        <w:rPr>
          <w:rFonts w:ascii="Times New Roman" w:hAnsi="Times New Roman"/>
          <w:bCs/>
          <w:sz w:val="24"/>
        </w:rPr>
        <w:t xml:space="preserve">the </w:t>
      </w:r>
      <w:r w:rsidR="008138E4" w:rsidRPr="00ED4D93">
        <w:rPr>
          <w:rFonts w:ascii="Times New Roman" w:hAnsi="Times New Roman"/>
          <w:bCs/>
          <w:sz w:val="24"/>
        </w:rPr>
        <w:t xml:space="preserve">value of the </w:t>
      </w:r>
      <w:r w:rsidR="00CD3413" w:rsidRPr="00ED4D93">
        <w:rPr>
          <w:rFonts w:ascii="Times New Roman" w:hAnsi="Times New Roman"/>
          <w:bCs/>
          <w:sz w:val="24"/>
        </w:rPr>
        <w:t xml:space="preserve">shares in LBMC. Further that </w:t>
      </w:r>
      <w:r w:rsidR="00BB20B2" w:rsidRPr="00ED4D93">
        <w:rPr>
          <w:rFonts w:ascii="Times New Roman" w:hAnsi="Times New Roman"/>
          <w:bCs/>
          <w:sz w:val="24"/>
        </w:rPr>
        <w:t xml:space="preserve">the </w:t>
      </w:r>
      <w:r w:rsidR="008138E4" w:rsidRPr="00ED4D93">
        <w:rPr>
          <w:rFonts w:ascii="Times New Roman" w:hAnsi="Times New Roman"/>
          <w:bCs/>
          <w:sz w:val="24"/>
        </w:rPr>
        <w:t>parties</w:t>
      </w:r>
      <w:r w:rsidR="00CD3413" w:rsidRPr="00ED4D93">
        <w:rPr>
          <w:rFonts w:ascii="Times New Roman" w:hAnsi="Times New Roman"/>
          <w:bCs/>
          <w:sz w:val="24"/>
        </w:rPr>
        <w:t xml:space="preserve"> </w:t>
      </w:r>
      <w:r w:rsidR="00BB20B2" w:rsidRPr="00ED4D93">
        <w:rPr>
          <w:rFonts w:ascii="Times New Roman" w:hAnsi="Times New Roman"/>
          <w:bCs/>
          <w:sz w:val="24"/>
        </w:rPr>
        <w:t xml:space="preserve">had </w:t>
      </w:r>
      <w:r w:rsidR="00CD3413" w:rsidRPr="00ED4D93">
        <w:rPr>
          <w:rFonts w:ascii="Times New Roman" w:hAnsi="Times New Roman"/>
          <w:bCs/>
          <w:sz w:val="24"/>
        </w:rPr>
        <w:t xml:space="preserve">agreed on the value of their </w:t>
      </w:r>
      <w:r w:rsidR="008138E4" w:rsidRPr="00ED4D93">
        <w:rPr>
          <w:rFonts w:ascii="Times New Roman" w:hAnsi="Times New Roman"/>
          <w:bCs/>
          <w:sz w:val="24"/>
        </w:rPr>
        <w:t>other assets</w:t>
      </w:r>
      <w:r w:rsidR="00795EFD" w:rsidRPr="00ED4D93">
        <w:rPr>
          <w:rFonts w:ascii="Times New Roman" w:hAnsi="Times New Roman"/>
          <w:bCs/>
          <w:sz w:val="24"/>
        </w:rPr>
        <w:t xml:space="preserve"> </w:t>
      </w:r>
      <w:r w:rsidR="00664ECE" w:rsidRPr="00ED4D93">
        <w:rPr>
          <w:rFonts w:ascii="Times New Roman" w:hAnsi="Times New Roman"/>
          <w:bCs/>
          <w:sz w:val="24"/>
        </w:rPr>
        <w:t xml:space="preserve">as </w:t>
      </w:r>
      <w:r w:rsidR="00795EFD" w:rsidRPr="00ED4D93">
        <w:rPr>
          <w:rFonts w:ascii="Times New Roman" w:hAnsi="Times New Roman"/>
          <w:bCs/>
          <w:sz w:val="24"/>
        </w:rPr>
        <w:t xml:space="preserve">determined by Mr Getz </w:t>
      </w:r>
      <w:r w:rsidR="008138E4" w:rsidRPr="00ED4D93">
        <w:rPr>
          <w:rFonts w:ascii="Times New Roman" w:hAnsi="Times New Roman"/>
          <w:bCs/>
          <w:sz w:val="24"/>
        </w:rPr>
        <w:t>as set out in annexure F4 to the respondent’s founding affidavit</w:t>
      </w:r>
      <w:r w:rsidR="00795EFD" w:rsidRPr="00ED4D93">
        <w:rPr>
          <w:rFonts w:ascii="Times New Roman" w:hAnsi="Times New Roman"/>
          <w:bCs/>
          <w:sz w:val="24"/>
        </w:rPr>
        <w:t xml:space="preserve">. </w:t>
      </w:r>
      <w:r w:rsidR="00DD65D6" w:rsidRPr="00ED4D93">
        <w:rPr>
          <w:rFonts w:ascii="Times New Roman" w:hAnsi="Times New Roman"/>
          <w:bCs/>
          <w:sz w:val="24"/>
        </w:rPr>
        <w:t xml:space="preserve">As such </w:t>
      </w:r>
      <w:r w:rsidR="00795EFD" w:rsidRPr="00ED4D93">
        <w:rPr>
          <w:rFonts w:ascii="Times New Roman" w:hAnsi="Times New Roman"/>
          <w:bCs/>
          <w:sz w:val="24"/>
        </w:rPr>
        <w:t xml:space="preserve">Senyatsi AJ </w:t>
      </w:r>
      <w:r w:rsidR="00DD65D6" w:rsidRPr="00ED4D93">
        <w:rPr>
          <w:rFonts w:ascii="Times New Roman" w:hAnsi="Times New Roman"/>
          <w:bCs/>
          <w:sz w:val="24"/>
        </w:rPr>
        <w:t xml:space="preserve">was therefore </w:t>
      </w:r>
      <w:r w:rsidR="00664ECE" w:rsidRPr="00ED4D93">
        <w:rPr>
          <w:rFonts w:ascii="Times New Roman" w:hAnsi="Times New Roman"/>
          <w:bCs/>
          <w:sz w:val="24"/>
        </w:rPr>
        <w:t xml:space="preserve">only </w:t>
      </w:r>
      <w:r w:rsidR="00DD65D6" w:rsidRPr="00ED4D93">
        <w:rPr>
          <w:rFonts w:ascii="Times New Roman" w:hAnsi="Times New Roman"/>
          <w:bCs/>
          <w:sz w:val="24"/>
        </w:rPr>
        <w:t>required to determine the value of the shares</w:t>
      </w:r>
      <w:r w:rsidR="00664ECE" w:rsidRPr="00ED4D93">
        <w:rPr>
          <w:rFonts w:ascii="Times New Roman" w:hAnsi="Times New Roman"/>
          <w:bCs/>
          <w:sz w:val="24"/>
        </w:rPr>
        <w:t xml:space="preserve"> and </w:t>
      </w:r>
      <w:r w:rsidR="00FF01E2" w:rsidRPr="00ED4D93">
        <w:rPr>
          <w:rFonts w:ascii="Times New Roman" w:hAnsi="Times New Roman"/>
          <w:bCs/>
          <w:sz w:val="24"/>
        </w:rPr>
        <w:t xml:space="preserve">the </w:t>
      </w:r>
      <w:r w:rsidR="00664ECE" w:rsidRPr="00ED4D93">
        <w:rPr>
          <w:rFonts w:ascii="Times New Roman" w:hAnsi="Times New Roman"/>
          <w:bCs/>
          <w:sz w:val="24"/>
        </w:rPr>
        <w:t>amount payable to the respondent from the accrual, if any</w:t>
      </w:r>
      <w:r w:rsidR="00DD65D6" w:rsidRPr="00ED4D93">
        <w:rPr>
          <w:rFonts w:ascii="Times New Roman" w:hAnsi="Times New Roman"/>
          <w:bCs/>
          <w:sz w:val="24"/>
        </w:rPr>
        <w:t xml:space="preserve">. </w:t>
      </w:r>
    </w:p>
    <w:p w14:paraId="34D1405B" w14:textId="77777777" w:rsidR="0082658F" w:rsidRDefault="0082658F" w:rsidP="0082658F">
      <w:pPr>
        <w:pStyle w:val="ListParagraph"/>
        <w:spacing w:line="480" w:lineRule="auto"/>
        <w:ind w:left="0"/>
        <w:contextualSpacing w:val="0"/>
        <w:rPr>
          <w:rFonts w:ascii="Times New Roman" w:hAnsi="Times New Roman"/>
          <w:bCs/>
          <w:sz w:val="24"/>
        </w:rPr>
      </w:pPr>
    </w:p>
    <w:p w14:paraId="569366B7" w14:textId="7AFDE8FE" w:rsidR="0082658F" w:rsidRPr="00ED4D93" w:rsidRDefault="00ED4D93" w:rsidP="00ED4D93">
      <w:pPr>
        <w:spacing w:line="480" w:lineRule="auto"/>
        <w:rPr>
          <w:rFonts w:ascii="Times New Roman" w:hAnsi="Times New Roman"/>
          <w:bCs/>
          <w:sz w:val="24"/>
        </w:rPr>
      </w:pPr>
      <w:r>
        <w:rPr>
          <w:rFonts w:ascii="Times New Roman" w:hAnsi="Times New Roman"/>
          <w:bCs/>
          <w:sz w:val="24"/>
        </w:rPr>
        <w:t>[8]</w:t>
      </w:r>
      <w:r>
        <w:rPr>
          <w:rFonts w:ascii="Times New Roman" w:hAnsi="Times New Roman"/>
          <w:bCs/>
          <w:sz w:val="24"/>
        </w:rPr>
        <w:tab/>
      </w:r>
      <w:r w:rsidR="0082658F" w:rsidRPr="00ED4D93">
        <w:rPr>
          <w:rFonts w:ascii="Times New Roman" w:hAnsi="Times New Roman"/>
          <w:bCs/>
          <w:sz w:val="24"/>
        </w:rPr>
        <w:t>The respondent submitted that the evidence presented to Senyatsi AJ included that the parties had previously at</w:t>
      </w:r>
      <w:r w:rsidR="00664ECE" w:rsidRPr="00ED4D93">
        <w:rPr>
          <w:rFonts w:ascii="Times New Roman" w:hAnsi="Times New Roman"/>
          <w:bCs/>
          <w:sz w:val="24"/>
        </w:rPr>
        <w:t xml:space="preserve"> a</w:t>
      </w:r>
      <w:r w:rsidR="0082658F" w:rsidRPr="00ED4D93">
        <w:rPr>
          <w:rFonts w:ascii="Times New Roman" w:hAnsi="Times New Roman"/>
          <w:bCs/>
          <w:sz w:val="24"/>
        </w:rPr>
        <w:t xml:space="preserve"> case management meeting had agreed that the value of the shares is R3 300 000.00. Further that the appellant’s attorney stated in </w:t>
      </w:r>
      <w:r w:rsidR="00664ECE" w:rsidRPr="00ED4D93">
        <w:rPr>
          <w:rFonts w:ascii="Times New Roman" w:hAnsi="Times New Roman"/>
          <w:bCs/>
          <w:sz w:val="24"/>
        </w:rPr>
        <w:t>a</w:t>
      </w:r>
      <w:r w:rsidR="0082658F" w:rsidRPr="00ED4D93">
        <w:rPr>
          <w:rFonts w:ascii="Times New Roman" w:hAnsi="Times New Roman"/>
          <w:bCs/>
          <w:sz w:val="24"/>
        </w:rPr>
        <w:t xml:space="preserve"> subsequent meeting that the report by Mr Getz was disputed and </w:t>
      </w:r>
      <w:r w:rsidR="00664ECE" w:rsidRPr="00ED4D93">
        <w:rPr>
          <w:rFonts w:ascii="Times New Roman" w:hAnsi="Times New Roman"/>
          <w:bCs/>
          <w:sz w:val="24"/>
        </w:rPr>
        <w:t xml:space="preserve">the appellant will appoint an </w:t>
      </w:r>
      <w:r w:rsidR="0082658F" w:rsidRPr="00ED4D93">
        <w:rPr>
          <w:rFonts w:ascii="Times New Roman" w:hAnsi="Times New Roman"/>
          <w:bCs/>
          <w:sz w:val="24"/>
        </w:rPr>
        <w:t>expert to provide evidence on the determination of the values.</w:t>
      </w:r>
    </w:p>
    <w:p w14:paraId="6FD86C4B" w14:textId="77777777" w:rsidR="0082658F" w:rsidRPr="0082658F" w:rsidRDefault="0082658F" w:rsidP="0082658F">
      <w:pPr>
        <w:pStyle w:val="ListParagraph"/>
        <w:rPr>
          <w:rFonts w:ascii="Times New Roman" w:hAnsi="Times New Roman"/>
          <w:bCs/>
          <w:sz w:val="24"/>
        </w:rPr>
      </w:pPr>
    </w:p>
    <w:p w14:paraId="159888E7" w14:textId="0D4D7F24" w:rsidR="00962532" w:rsidRPr="00ED4D93" w:rsidRDefault="00ED4D93" w:rsidP="00ED4D93">
      <w:pPr>
        <w:spacing w:line="480" w:lineRule="auto"/>
        <w:rPr>
          <w:rFonts w:ascii="Times New Roman" w:hAnsi="Times New Roman"/>
          <w:bCs/>
          <w:sz w:val="24"/>
        </w:rPr>
      </w:pPr>
      <w:r>
        <w:rPr>
          <w:rFonts w:ascii="Times New Roman" w:hAnsi="Times New Roman"/>
          <w:bCs/>
          <w:sz w:val="24"/>
        </w:rPr>
        <w:t>[9]</w:t>
      </w:r>
      <w:r>
        <w:rPr>
          <w:rFonts w:ascii="Times New Roman" w:hAnsi="Times New Roman"/>
          <w:bCs/>
          <w:sz w:val="24"/>
        </w:rPr>
        <w:tab/>
      </w:r>
      <w:r w:rsidR="0082658F" w:rsidRPr="00ED4D93">
        <w:rPr>
          <w:rFonts w:ascii="Times New Roman" w:hAnsi="Times New Roman"/>
          <w:bCs/>
          <w:sz w:val="24"/>
        </w:rPr>
        <w:t>The respondent submitted f</w:t>
      </w:r>
      <w:r w:rsidR="00962532" w:rsidRPr="00ED4D93">
        <w:rPr>
          <w:rFonts w:ascii="Times New Roman" w:hAnsi="Times New Roman"/>
          <w:bCs/>
          <w:sz w:val="24"/>
        </w:rPr>
        <w:t>urther that Senyatsi AJ ha</w:t>
      </w:r>
      <w:r w:rsidR="00BB20B2" w:rsidRPr="00ED4D93">
        <w:rPr>
          <w:rFonts w:ascii="Times New Roman" w:hAnsi="Times New Roman"/>
          <w:bCs/>
          <w:sz w:val="24"/>
        </w:rPr>
        <w:t>d</w:t>
      </w:r>
      <w:r w:rsidR="00962532" w:rsidRPr="00ED4D93">
        <w:rPr>
          <w:rFonts w:ascii="Times New Roman" w:hAnsi="Times New Roman"/>
          <w:bCs/>
          <w:sz w:val="24"/>
        </w:rPr>
        <w:t xml:space="preserve"> </w:t>
      </w:r>
      <w:r w:rsidR="00795EFD" w:rsidRPr="00ED4D93">
        <w:rPr>
          <w:rFonts w:ascii="Times New Roman" w:hAnsi="Times New Roman"/>
          <w:bCs/>
          <w:sz w:val="24"/>
        </w:rPr>
        <w:t xml:space="preserve">subsequent to </w:t>
      </w:r>
      <w:r w:rsidR="00962532" w:rsidRPr="00ED4D93">
        <w:rPr>
          <w:rFonts w:ascii="Times New Roman" w:hAnsi="Times New Roman"/>
          <w:bCs/>
          <w:sz w:val="24"/>
        </w:rPr>
        <w:t xml:space="preserve">the evaluation of </w:t>
      </w:r>
      <w:r w:rsidR="00795EFD" w:rsidRPr="00ED4D93">
        <w:rPr>
          <w:rFonts w:ascii="Times New Roman" w:hAnsi="Times New Roman"/>
          <w:bCs/>
          <w:sz w:val="24"/>
        </w:rPr>
        <w:t>evidence presented by both parties</w:t>
      </w:r>
      <w:r w:rsidR="00962532">
        <w:rPr>
          <w:rStyle w:val="FootnoteReference"/>
          <w:rFonts w:ascii="Times New Roman" w:hAnsi="Times New Roman"/>
          <w:bCs/>
          <w:sz w:val="24"/>
        </w:rPr>
        <w:footnoteReference w:id="4"/>
      </w:r>
      <w:r w:rsidR="00795EFD" w:rsidRPr="00ED4D93">
        <w:rPr>
          <w:rFonts w:ascii="Times New Roman" w:hAnsi="Times New Roman"/>
          <w:bCs/>
          <w:sz w:val="24"/>
        </w:rPr>
        <w:t xml:space="preserve"> </w:t>
      </w:r>
      <w:r w:rsidR="003D33D3" w:rsidRPr="00ED4D93">
        <w:rPr>
          <w:rFonts w:ascii="Times New Roman" w:hAnsi="Times New Roman"/>
          <w:bCs/>
          <w:sz w:val="24"/>
        </w:rPr>
        <w:t>regardin</w:t>
      </w:r>
      <w:r w:rsidR="00795EFD" w:rsidRPr="00ED4D93">
        <w:rPr>
          <w:rFonts w:ascii="Times New Roman" w:hAnsi="Times New Roman"/>
          <w:bCs/>
          <w:sz w:val="24"/>
        </w:rPr>
        <w:t xml:space="preserve">g the valuation of </w:t>
      </w:r>
      <w:r w:rsidR="00FF01E2" w:rsidRPr="00ED4D93">
        <w:rPr>
          <w:rFonts w:ascii="Times New Roman" w:hAnsi="Times New Roman"/>
          <w:bCs/>
          <w:sz w:val="24"/>
        </w:rPr>
        <w:t xml:space="preserve">the </w:t>
      </w:r>
      <w:r w:rsidR="00795EFD" w:rsidRPr="00ED4D93">
        <w:rPr>
          <w:rFonts w:ascii="Times New Roman" w:hAnsi="Times New Roman"/>
          <w:bCs/>
          <w:sz w:val="24"/>
        </w:rPr>
        <w:t>LB</w:t>
      </w:r>
      <w:r w:rsidR="00962532" w:rsidRPr="00ED4D93">
        <w:rPr>
          <w:rFonts w:ascii="Times New Roman" w:hAnsi="Times New Roman"/>
          <w:bCs/>
          <w:sz w:val="24"/>
        </w:rPr>
        <w:t>M</w:t>
      </w:r>
      <w:r w:rsidR="00795EFD" w:rsidRPr="00ED4D93">
        <w:rPr>
          <w:rFonts w:ascii="Times New Roman" w:hAnsi="Times New Roman"/>
          <w:bCs/>
          <w:sz w:val="24"/>
        </w:rPr>
        <w:t xml:space="preserve">C shares </w:t>
      </w:r>
      <w:r w:rsidR="00962532" w:rsidRPr="00ED4D93">
        <w:rPr>
          <w:rFonts w:ascii="Times New Roman" w:hAnsi="Times New Roman"/>
          <w:bCs/>
          <w:sz w:val="24"/>
        </w:rPr>
        <w:t>decided</w:t>
      </w:r>
      <w:r w:rsidR="00795EFD" w:rsidRPr="00ED4D93">
        <w:rPr>
          <w:rFonts w:ascii="Times New Roman" w:hAnsi="Times New Roman"/>
          <w:bCs/>
          <w:sz w:val="24"/>
        </w:rPr>
        <w:t xml:space="preserve"> that </w:t>
      </w:r>
      <w:r w:rsidR="00962532" w:rsidRPr="00ED4D93">
        <w:rPr>
          <w:rFonts w:ascii="Times New Roman" w:hAnsi="Times New Roman"/>
          <w:bCs/>
          <w:sz w:val="24"/>
        </w:rPr>
        <w:t>evidence provided by the experts w</w:t>
      </w:r>
      <w:r w:rsidR="00FF01E2" w:rsidRPr="00ED4D93">
        <w:rPr>
          <w:rFonts w:ascii="Times New Roman" w:hAnsi="Times New Roman"/>
          <w:bCs/>
          <w:sz w:val="24"/>
        </w:rPr>
        <w:t>as</w:t>
      </w:r>
      <w:r w:rsidR="00962532" w:rsidRPr="00ED4D93">
        <w:rPr>
          <w:rFonts w:ascii="Times New Roman" w:hAnsi="Times New Roman"/>
          <w:bCs/>
          <w:sz w:val="24"/>
        </w:rPr>
        <w:t xml:space="preserve"> of no assistance to </w:t>
      </w:r>
      <w:r w:rsidR="0082658F" w:rsidRPr="00ED4D93">
        <w:rPr>
          <w:rFonts w:ascii="Times New Roman" w:hAnsi="Times New Roman"/>
          <w:bCs/>
          <w:sz w:val="24"/>
        </w:rPr>
        <w:t xml:space="preserve">determine the accrual except the evidence of </w:t>
      </w:r>
      <w:r w:rsidR="003D33D3" w:rsidRPr="00ED4D93">
        <w:rPr>
          <w:rFonts w:ascii="Times New Roman" w:hAnsi="Times New Roman"/>
          <w:bCs/>
          <w:sz w:val="24"/>
        </w:rPr>
        <w:t xml:space="preserve">Mr </w:t>
      </w:r>
      <w:r w:rsidR="0082658F" w:rsidRPr="00ED4D93">
        <w:rPr>
          <w:rFonts w:ascii="Times New Roman" w:hAnsi="Times New Roman"/>
          <w:bCs/>
          <w:sz w:val="24"/>
        </w:rPr>
        <w:t>Cooke regarding the value of the shares of LBMC.</w:t>
      </w:r>
      <w:r w:rsidR="00962532" w:rsidRPr="00ED4D93">
        <w:rPr>
          <w:rFonts w:ascii="Times New Roman" w:hAnsi="Times New Roman"/>
          <w:bCs/>
          <w:sz w:val="24"/>
        </w:rPr>
        <w:t xml:space="preserve"> </w:t>
      </w:r>
      <w:r w:rsidR="00962532" w:rsidRPr="00ED4D93">
        <w:rPr>
          <w:rFonts w:ascii="Times New Roman" w:hAnsi="Times New Roman"/>
          <w:bCs/>
          <w:sz w:val="24"/>
        </w:rPr>
        <w:lastRenderedPageBreak/>
        <w:t xml:space="preserve">Senyatsi AJ </w:t>
      </w:r>
      <w:r w:rsidR="0082658F" w:rsidRPr="00ED4D93">
        <w:rPr>
          <w:rFonts w:ascii="Times New Roman" w:hAnsi="Times New Roman"/>
          <w:bCs/>
          <w:sz w:val="24"/>
        </w:rPr>
        <w:t>held</w:t>
      </w:r>
      <w:r w:rsidR="00962532" w:rsidRPr="00ED4D93">
        <w:rPr>
          <w:rFonts w:ascii="Times New Roman" w:hAnsi="Times New Roman"/>
          <w:bCs/>
          <w:sz w:val="24"/>
        </w:rPr>
        <w:t xml:space="preserve"> that </w:t>
      </w:r>
      <w:r w:rsidR="00795EFD" w:rsidRPr="00ED4D93">
        <w:rPr>
          <w:rFonts w:ascii="Times New Roman" w:hAnsi="Times New Roman"/>
          <w:bCs/>
          <w:sz w:val="24"/>
        </w:rPr>
        <w:t>the value would be R3 300 000.00</w:t>
      </w:r>
      <w:r w:rsidR="0082658F" w:rsidRPr="00ED4D93">
        <w:rPr>
          <w:rFonts w:ascii="Times New Roman" w:hAnsi="Times New Roman"/>
          <w:bCs/>
          <w:sz w:val="24"/>
        </w:rPr>
        <w:t>,</w:t>
      </w:r>
      <w:r w:rsidR="00795EFD" w:rsidRPr="00ED4D93">
        <w:rPr>
          <w:rFonts w:ascii="Times New Roman" w:hAnsi="Times New Roman"/>
          <w:bCs/>
          <w:sz w:val="24"/>
        </w:rPr>
        <w:t xml:space="preserve"> </w:t>
      </w:r>
      <w:r w:rsidR="00962532" w:rsidRPr="00ED4D93">
        <w:rPr>
          <w:rFonts w:ascii="Times New Roman" w:hAnsi="Times New Roman"/>
          <w:bCs/>
          <w:sz w:val="24"/>
        </w:rPr>
        <w:t xml:space="preserve">which was the amount which </w:t>
      </w:r>
      <w:r w:rsidR="00795EFD" w:rsidRPr="00ED4D93">
        <w:rPr>
          <w:rFonts w:ascii="Times New Roman" w:hAnsi="Times New Roman"/>
          <w:bCs/>
          <w:sz w:val="24"/>
        </w:rPr>
        <w:t>was agreed to by both parties during pretrial meetings</w:t>
      </w:r>
      <w:r w:rsidR="0082658F" w:rsidRPr="00ED4D93">
        <w:rPr>
          <w:rFonts w:ascii="Times New Roman" w:hAnsi="Times New Roman"/>
          <w:bCs/>
          <w:sz w:val="24"/>
        </w:rPr>
        <w:t xml:space="preserve"> would be the value of the shares of LBMC. </w:t>
      </w:r>
      <w:r w:rsidR="00962532" w:rsidRPr="00ED4D93">
        <w:rPr>
          <w:rFonts w:ascii="Times New Roman" w:hAnsi="Times New Roman"/>
          <w:bCs/>
          <w:sz w:val="24"/>
        </w:rPr>
        <w:t xml:space="preserve"> </w:t>
      </w:r>
      <w:r w:rsidR="0082658F" w:rsidRPr="00ED4D93">
        <w:rPr>
          <w:rFonts w:ascii="Times New Roman" w:hAnsi="Times New Roman"/>
          <w:bCs/>
          <w:sz w:val="24"/>
        </w:rPr>
        <w:t xml:space="preserve">In the premises </w:t>
      </w:r>
      <w:r w:rsidR="003D33D3" w:rsidRPr="00ED4D93">
        <w:rPr>
          <w:rFonts w:ascii="Times New Roman" w:hAnsi="Times New Roman"/>
          <w:bCs/>
          <w:sz w:val="24"/>
        </w:rPr>
        <w:t xml:space="preserve">Acting </w:t>
      </w:r>
      <w:r w:rsidR="00962532" w:rsidRPr="00ED4D93">
        <w:rPr>
          <w:rFonts w:ascii="Times New Roman" w:hAnsi="Times New Roman"/>
          <w:bCs/>
          <w:sz w:val="24"/>
        </w:rPr>
        <w:t>Judge</w:t>
      </w:r>
      <w:r w:rsidR="00BB20B2" w:rsidRPr="00ED4D93">
        <w:rPr>
          <w:rFonts w:ascii="Times New Roman" w:hAnsi="Times New Roman"/>
          <w:bCs/>
          <w:sz w:val="24"/>
        </w:rPr>
        <w:t xml:space="preserve"> Senyatsi</w:t>
      </w:r>
      <w:r w:rsidR="00962532" w:rsidRPr="00ED4D93">
        <w:rPr>
          <w:rFonts w:ascii="Times New Roman" w:hAnsi="Times New Roman"/>
          <w:bCs/>
          <w:sz w:val="24"/>
        </w:rPr>
        <w:t xml:space="preserve"> dismissed the </w:t>
      </w:r>
      <w:r w:rsidR="00774E92" w:rsidRPr="00ED4D93">
        <w:rPr>
          <w:rFonts w:ascii="Times New Roman" w:hAnsi="Times New Roman"/>
          <w:bCs/>
          <w:sz w:val="24"/>
        </w:rPr>
        <w:t>appe</w:t>
      </w:r>
      <w:r w:rsidR="00962532" w:rsidRPr="00ED4D93">
        <w:rPr>
          <w:rFonts w:ascii="Times New Roman" w:hAnsi="Times New Roman"/>
          <w:bCs/>
          <w:sz w:val="24"/>
        </w:rPr>
        <w:t>llant’s contention that h</w:t>
      </w:r>
      <w:r w:rsidR="00774E92" w:rsidRPr="00ED4D93">
        <w:rPr>
          <w:rFonts w:ascii="Times New Roman" w:hAnsi="Times New Roman"/>
          <w:bCs/>
          <w:sz w:val="24"/>
        </w:rPr>
        <w:t>is attorney</w:t>
      </w:r>
      <w:r w:rsidR="00962532" w:rsidRPr="00ED4D93">
        <w:rPr>
          <w:rFonts w:ascii="Times New Roman" w:hAnsi="Times New Roman"/>
          <w:bCs/>
          <w:sz w:val="24"/>
        </w:rPr>
        <w:t xml:space="preserve"> had subsequently resiled from the agreement that </w:t>
      </w:r>
      <w:r w:rsidR="00FF01E2" w:rsidRPr="00ED4D93">
        <w:rPr>
          <w:rFonts w:ascii="Times New Roman" w:hAnsi="Times New Roman"/>
          <w:bCs/>
          <w:sz w:val="24"/>
        </w:rPr>
        <w:t xml:space="preserve">the </w:t>
      </w:r>
      <w:r w:rsidR="00962532" w:rsidRPr="00ED4D93">
        <w:rPr>
          <w:rFonts w:ascii="Times New Roman" w:hAnsi="Times New Roman"/>
          <w:bCs/>
          <w:sz w:val="24"/>
        </w:rPr>
        <w:t xml:space="preserve">value of the shares </w:t>
      </w:r>
      <w:r w:rsidR="003D33D3" w:rsidRPr="00ED4D93">
        <w:rPr>
          <w:rFonts w:ascii="Times New Roman" w:hAnsi="Times New Roman"/>
          <w:bCs/>
          <w:sz w:val="24"/>
        </w:rPr>
        <w:t>wa</w:t>
      </w:r>
      <w:r w:rsidR="00962532" w:rsidRPr="00ED4D93">
        <w:rPr>
          <w:rFonts w:ascii="Times New Roman" w:hAnsi="Times New Roman"/>
          <w:bCs/>
          <w:sz w:val="24"/>
        </w:rPr>
        <w:t>s R3 300 000.00.</w:t>
      </w:r>
      <w:r w:rsidR="006E2665" w:rsidRPr="00ED4D93">
        <w:rPr>
          <w:rFonts w:ascii="Times New Roman" w:hAnsi="Times New Roman"/>
          <w:bCs/>
          <w:sz w:val="24"/>
        </w:rPr>
        <w:t xml:space="preserve"> </w:t>
      </w:r>
    </w:p>
    <w:p w14:paraId="0EC17839" w14:textId="77777777" w:rsidR="00962532" w:rsidRDefault="00962532" w:rsidP="00962532">
      <w:pPr>
        <w:pStyle w:val="ListParagraph"/>
        <w:spacing w:line="480" w:lineRule="auto"/>
        <w:ind w:left="0"/>
        <w:contextualSpacing w:val="0"/>
        <w:rPr>
          <w:rFonts w:ascii="Times New Roman" w:hAnsi="Times New Roman"/>
          <w:bCs/>
          <w:sz w:val="24"/>
        </w:rPr>
      </w:pPr>
    </w:p>
    <w:p w14:paraId="6CB0ED49" w14:textId="6DC4D015" w:rsidR="006E2665" w:rsidRPr="00ED4D93" w:rsidRDefault="00ED4D93" w:rsidP="00ED4D93">
      <w:pPr>
        <w:spacing w:line="480" w:lineRule="auto"/>
        <w:rPr>
          <w:rFonts w:ascii="Times New Roman" w:hAnsi="Times New Roman"/>
          <w:bCs/>
          <w:sz w:val="24"/>
        </w:rPr>
      </w:pPr>
      <w:r>
        <w:rPr>
          <w:rFonts w:ascii="Times New Roman" w:hAnsi="Times New Roman"/>
          <w:bCs/>
          <w:sz w:val="24"/>
        </w:rPr>
        <w:t>[10]</w:t>
      </w:r>
      <w:r>
        <w:rPr>
          <w:rFonts w:ascii="Times New Roman" w:hAnsi="Times New Roman"/>
          <w:bCs/>
          <w:sz w:val="24"/>
        </w:rPr>
        <w:tab/>
      </w:r>
      <w:r w:rsidR="006E2665" w:rsidRPr="00ED4D93">
        <w:rPr>
          <w:rFonts w:ascii="Times New Roman" w:hAnsi="Times New Roman"/>
          <w:bCs/>
          <w:sz w:val="24"/>
        </w:rPr>
        <w:t xml:space="preserve">Unfortunately, </w:t>
      </w:r>
      <w:r w:rsidR="00962532" w:rsidRPr="00ED4D93">
        <w:rPr>
          <w:rFonts w:ascii="Times New Roman" w:hAnsi="Times New Roman"/>
          <w:bCs/>
          <w:sz w:val="24"/>
        </w:rPr>
        <w:t xml:space="preserve">so the respondent </w:t>
      </w:r>
      <w:r w:rsidR="00CD3413" w:rsidRPr="00ED4D93">
        <w:rPr>
          <w:rFonts w:ascii="Times New Roman" w:hAnsi="Times New Roman"/>
          <w:bCs/>
          <w:sz w:val="24"/>
        </w:rPr>
        <w:t>contended</w:t>
      </w:r>
      <w:r w:rsidR="00962532" w:rsidRPr="00ED4D93">
        <w:rPr>
          <w:rFonts w:ascii="Times New Roman" w:hAnsi="Times New Roman"/>
          <w:bCs/>
          <w:sz w:val="24"/>
        </w:rPr>
        <w:t xml:space="preserve">, </w:t>
      </w:r>
      <w:r w:rsidR="006E2665" w:rsidRPr="00ED4D93">
        <w:rPr>
          <w:rFonts w:ascii="Times New Roman" w:hAnsi="Times New Roman"/>
          <w:bCs/>
          <w:sz w:val="24"/>
        </w:rPr>
        <w:t xml:space="preserve">Senyatsi AJ erroneously took the aforesaid amount </w:t>
      </w:r>
      <w:r w:rsidR="00CD3413" w:rsidRPr="00ED4D93">
        <w:rPr>
          <w:rFonts w:ascii="Times New Roman" w:hAnsi="Times New Roman"/>
          <w:bCs/>
          <w:sz w:val="24"/>
        </w:rPr>
        <w:t xml:space="preserve">of R3 300 000.00 </w:t>
      </w:r>
      <w:r w:rsidR="006E2665" w:rsidRPr="00ED4D93">
        <w:rPr>
          <w:rFonts w:ascii="Times New Roman" w:hAnsi="Times New Roman"/>
          <w:bCs/>
          <w:sz w:val="24"/>
        </w:rPr>
        <w:t xml:space="preserve">without </w:t>
      </w:r>
      <w:r w:rsidR="00CD3413" w:rsidRPr="00ED4D93">
        <w:rPr>
          <w:rFonts w:ascii="Times New Roman" w:hAnsi="Times New Roman"/>
          <w:bCs/>
          <w:sz w:val="24"/>
        </w:rPr>
        <w:t xml:space="preserve">adding </w:t>
      </w:r>
      <w:r w:rsidR="003D33D3" w:rsidRPr="00ED4D93">
        <w:rPr>
          <w:rFonts w:ascii="Times New Roman" w:hAnsi="Times New Roman"/>
          <w:bCs/>
          <w:sz w:val="24"/>
        </w:rPr>
        <w:t>the</w:t>
      </w:r>
      <w:r w:rsidR="00CD3413" w:rsidRPr="00ED4D93">
        <w:rPr>
          <w:rFonts w:ascii="Times New Roman" w:hAnsi="Times New Roman"/>
          <w:bCs/>
          <w:sz w:val="24"/>
        </w:rPr>
        <w:t xml:space="preserve"> value </w:t>
      </w:r>
      <w:r w:rsidR="003D33D3" w:rsidRPr="00ED4D93">
        <w:rPr>
          <w:rFonts w:ascii="Times New Roman" w:hAnsi="Times New Roman"/>
          <w:bCs/>
          <w:sz w:val="24"/>
        </w:rPr>
        <w:t xml:space="preserve">of the parties’ other assets </w:t>
      </w:r>
      <w:r w:rsidR="00CD3413" w:rsidRPr="00ED4D93">
        <w:rPr>
          <w:rFonts w:ascii="Times New Roman" w:hAnsi="Times New Roman"/>
          <w:bCs/>
          <w:sz w:val="24"/>
        </w:rPr>
        <w:t xml:space="preserve">as determined by Mr Getz </w:t>
      </w:r>
      <w:r w:rsidR="003D33D3" w:rsidRPr="00ED4D93">
        <w:rPr>
          <w:rFonts w:ascii="Times New Roman" w:hAnsi="Times New Roman"/>
          <w:bCs/>
          <w:sz w:val="24"/>
        </w:rPr>
        <w:t>as agreed by the parties before the commencement of the hearing and or</w:t>
      </w:r>
      <w:r w:rsidR="00CD3413" w:rsidRPr="00ED4D93">
        <w:rPr>
          <w:rFonts w:ascii="Times New Roman" w:hAnsi="Times New Roman"/>
          <w:bCs/>
          <w:sz w:val="24"/>
        </w:rPr>
        <w:t>dered that same be payable to the respondent</w:t>
      </w:r>
      <w:r w:rsidR="006E2665" w:rsidRPr="00ED4D93">
        <w:rPr>
          <w:rFonts w:ascii="Times New Roman" w:hAnsi="Times New Roman"/>
          <w:bCs/>
          <w:sz w:val="24"/>
        </w:rPr>
        <w:t>.</w:t>
      </w:r>
      <w:r w:rsidR="003D33D3" w:rsidRPr="00ED4D93">
        <w:rPr>
          <w:rFonts w:ascii="Times New Roman" w:hAnsi="Times New Roman"/>
          <w:bCs/>
          <w:sz w:val="24"/>
        </w:rPr>
        <w:t xml:space="preserve"> </w:t>
      </w:r>
      <w:r w:rsidR="00CD3413" w:rsidRPr="00ED4D93">
        <w:rPr>
          <w:rFonts w:ascii="Times New Roman" w:hAnsi="Times New Roman"/>
          <w:bCs/>
          <w:sz w:val="24"/>
        </w:rPr>
        <w:t xml:space="preserve">Senyatsi AJ </w:t>
      </w:r>
      <w:r w:rsidR="006E2665" w:rsidRPr="00ED4D93">
        <w:rPr>
          <w:rFonts w:ascii="Times New Roman" w:hAnsi="Times New Roman"/>
          <w:bCs/>
          <w:sz w:val="24"/>
        </w:rPr>
        <w:t>ha</w:t>
      </w:r>
      <w:r w:rsidR="00BB20B2" w:rsidRPr="00ED4D93">
        <w:rPr>
          <w:rFonts w:ascii="Times New Roman" w:hAnsi="Times New Roman"/>
          <w:bCs/>
          <w:sz w:val="24"/>
        </w:rPr>
        <w:t>d</w:t>
      </w:r>
      <w:r w:rsidR="006E2665" w:rsidRPr="00ED4D93">
        <w:rPr>
          <w:rFonts w:ascii="Times New Roman" w:hAnsi="Times New Roman"/>
          <w:bCs/>
          <w:sz w:val="24"/>
        </w:rPr>
        <w:t xml:space="preserve"> in addition erroneously deducted the </w:t>
      </w:r>
      <w:r w:rsidR="00CD3413" w:rsidRPr="00ED4D93">
        <w:rPr>
          <w:rFonts w:ascii="Times New Roman" w:hAnsi="Times New Roman"/>
          <w:bCs/>
          <w:sz w:val="24"/>
        </w:rPr>
        <w:t xml:space="preserve">total </w:t>
      </w:r>
      <w:r w:rsidR="006E2665" w:rsidRPr="00ED4D93">
        <w:rPr>
          <w:rFonts w:ascii="Times New Roman" w:hAnsi="Times New Roman"/>
          <w:bCs/>
          <w:sz w:val="24"/>
        </w:rPr>
        <w:t>costs for Mr Getz</w:t>
      </w:r>
      <w:r w:rsidR="00FF01E2" w:rsidRPr="00ED4D93">
        <w:rPr>
          <w:rFonts w:ascii="Times New Roman" w:hAnsi="Times New Roman"/>
          <w:bCs/>
          <w:sz w:val="24"/>
        </w:rPr>
        <w:t>’s</w:t>
      </w:r>
      <w:r w:rsidR="00CD3413" w:rsidRPr="00ED4D93">
        <w:rPr>
          <w:rFonts w:ascii="Times New Roman" w:hAnsi="Times New Roman"/>
          <w:bCs/>
          <w:sz w:val="24"/>
        </w:rPr>
        <w:t xml:space="preserve"> services</w:t>
      </w:r>
      <w:r w:rsidR="006E2665" w:rsidRPr="00ED4D93">
        <w:rPr>
          <w:rFonts w:ascii="Times New Roman" w:hAnsi="Times New Roman"/>
          <w:bCs/>
          <w:sz w:val="24"/>
        </w:rPr>
        <w:t xml:space="preserve"> from her </w:t>
      </w:r>
      <w:r w:rsidR="00774E92" w:rsidRPr="00ED4D93">
        <w:rPr>
          <w:rFonts w:ascii="Times New Roman" w:hAnsi="Times New Roman"/>
          <w:bCs/>
          <w:sz w:val="24"/>
        </w:rPr>
        <w:t>share</w:t>
      </w:r>
      <w:r w:rsidR="006E2665" w:rsidRPr="00ED4D93">
        <w:rPr>
          <w:rFonts w:ascii="Times New Roman" w:hAnsi="Times New Roman"/>
          <w:bCs/>
          <w:sz w:val="24"/>
        </w:rPr>
        <w:t xml:space="preserve"> instead of dividing the said costs equally between the parties as was stated in the settlement agreement.</w:t>
      </w:r>
    </w:p>
    <w:p w14:paraId="482FFD9C" w14:textId="77777777" w:rsidR="006E2665" w:rsidRDefault="006E2665" w:rsidP="006E2665">
      <w:pPr>
        <w:pStyle w:val="ListParagraph"/>
        <w:spacing w:line="480" w:lineRule="auto"/>
        <w:ind w:left="0"/>
        <w:contextualSpacing w:val="0"/>
        <w:rPr>
          <w:rFonts w:ascii="Times New Roman" w:hAnsi="Times New Roman"/>
          <w:bCs/>
          <w:sz w:val="24"/>
        </w:rPr>
      </w:pPr>
    </w:p>
    <w:p w14:paraId="0D0C2ACD" w14:textId="4C7FA444" w:rsidR="00476CD7" w:rsidRPr="00ED4D93" w:rsidRDefault="00ED4D93" w:rsidP="00ED4D93">
      <w:pPr>
        <w:spacing w:line="480" w:lineRule="auto"/>
        <w:rPr>
          <w:rFonts w:ascii="Times New Roman" w:hAnsi="Times New Roman"/>
          <w:bCs/>
          <w:sz w:val="24"/>
        </w:rPr>
      </w:pPr>
      <w:r>
        <w:rPr>
          <w:rFonts w:ascii="Times New Roman" w:hAnsi="Times New Roman"/>
          <w:bCs/>
          <w:sz w:val="24"/>
        </w:rPr>
        <w:t>[11]</w:t>
      </w:r>
      <w:r>
        <w:rPr>
          <w:rFonts w:ascii="Times New Roman" w:hAnsi="Times New Roman"/>
          <w:bCs/>
          <w:sz w:val="24"/>
        </w:rPr>
        <w:tab/>
      </w:r>
      <w:r w:rsidR="006E2665" w:rsidRPr="00ED4D93">
        <w:rPr>
          <w:rFonts w:ascii="Times New Roman" w:hAnsi="Times New Roman"/>
          <w:bCs/>
          <w:sz w:val="24"/>
        </w:rPr>
        <w:t>The appellant on the other hand contended</w:t>
      </w:r>
      <w:r w:rsidR="00774E92" w:rsidRPr="00ED4D93">
        <w:rPr>
          <w:rFonts w:ascii="Times New Roman" w:hAnsi="Times New Roman"/>
          <w:bCs/>
          <w:sz w:val="24"/>
        </w:rPr>
        <w:t xml:space="preserve"> first,</w:t>
      </w:r>
      <w:r w:rsidR="006E2665" w:rsidRPr="00ED4D93">
        <w:rPr>
          <w:rFonts w:ascii="Times New Roman" w:hAnsi="Times New Roman"/>
          <w:bCs/>
          <w:sz w:val="24"/>
        </w:rPr>
        <w:t xml:space="preserve"> that</w:t>
      </w:r>
      <w:r w:rsidR="00A92C1A" w:rsidRPr="00ED4D93">
        <w:rPr>
          <w:rFonts w:ascii="Times New Roman" w:hAnsi="Times New Roman"/>
          <w:bCs/>
          <w:sz w:val="24"/>
        </w:rPr>
        <w:t xml:space="preserve"> the correct process should have been to take the matter on appeal rather than to proceed in terms of rule 42(1</w:t>
      </w:r>
      <w:r w:rsidR="003D33D3" w:rsidRPr="00ED4D93">
        <w:rPr>
          <w:rFonts w:ascii="Times New Roman" w:hAnsi="Times New Roman"/>
          <w:bCs/>
          <w:sz w:val="24"/>
        </w:rPr>
        <w:t>)</w:t>
      </w:r>
      <w:r w:rsidR="00A92C1A" w:rsidRPr="00ED4D93">
        <w:rPr>
          <w:rFonts w:ascii="Times New Roman" w:hAnsi="Times New Roman"/>
          <w:bCs/>
          <w:sz w:val="24"/>
        </w:rPr>
        <w:t>(b). Secondly, that the appellant resiled from the agreement that the value of the shares in LBMC is R3 300 000,00</w:t>
      </w:r>
      <w:r w:rsidR="00BB20B2" w:rsidRPr="00ED4D93">
        <w:rPr>
          <w:rFonts w:ascii="Times New Roman" w:hAnsi="Times New Roman"/>
          <w:bCs/>
          <w:sz w:val="24"/>
        </w:rPr>
        <w:t xml:space="preserve">. </w:t>
      </w:r>
      <w:r w:rsidR="00A92C1A" w:rsidRPr="00ED4D93">
        <w:rPr>
          <w:rFonts w:ascii="Times New Roman" w:hAnsi="Times New Roman"/>
          <w:bCs/>
          <w:sz w:val="24"/>
        </w:rPr>
        <w:t>Thirdly, that</w:t>
      </w:r>
      <w:r w:rsidR="006E2665" w:rsidRPr="00ED4D93">
        <w:rPr>
          <w:rFonts w:ascii="Times New Roman" w:hAnsi="Times New Roman"/>
          <w:bCs/>
          <w:sz w:val="24"/>
        </w:rPr>
        <w:t xml:space="preserve"> Senyatsi AJ held that the reports by the experts were of no assistance in coming to the determination of the accrual</w:t>
      </w:r>
      <w:r w:rsidR="004279C4" w:rsidRPr="00ED4D93">
        <w:rPr>
          <w:rFonts w:ascii="Times New Roman" w:hAnsi="Times New Roman"/>
          <w:bCs/>
          <w:sz w:val="24"/>
        </w:rPr>
        <w:t xml:space="preserve"> and as such everything flowing from those reports including the value of other assets would not be considered</w:t>
      </w:r>
      <w:r w:rsidR="006E2665" w:rsidRPr="00ED4D93">
        <w:rPr>
          <w:rFonts w:ascii="Times New Roman" w:hAnsi="Times New Roman"/>
          <w:bCs/>
          <w:sz w:val="24"/>
        </w:rPr>
        <w:t>.</w:t>
      </w:r>
      <w:r w:rsidR="00774E92" w:rsidRPr="00ED4D93">
        <w:rPr>
          <w:rFonts w:ascii="Times New Roman" w:hAnsi="Times New Roman"/>
          <w:bCs/>
          <w:sz w:val="24"/>
        </w:rPr>
        <w:t xml:space="preserve"> </w:t>
      </w:r>
      <w:r w:rsidR="00A92C1A" w:rsidRPr="00ED4D93">
        <w:rPr>
          <w:rFonts w:ascii="Times New Roman" w:hAnsi="Times New Roman"/>
          <w:bCs/>
          <w:sz w:val="24"/>
        </w:rPr>
        <w:t>Fourthly, that</w:t>
      </w:r>
      <w:r w:rsidR="00774E92" w:rsidRPr="00ED4D93">
        <w:rPr>
          <w:rFonts w:ascii="Times New Roman" w:hAnsi="Times New Roman"/>
          <w:bCs/>
          <w:sz w:val="24"/>
        </w:rPr>
        <w:t xml:space="preserve"> </w:t>
      </w:r>
      <w:r w:rsidR="006E2665" w:rsidRPr="00ED4D93">
        <w:rPr>
          <w:rFonts w:ascii="Times New Roman" w:hAnsi="Times New Roman"/>
          <w:bCs/>
          <w:sz w:val="24"/>
        </w:rPr>
        <w:t xml:space="preserve">the parties </w:t>
      </w:r>
      <w:r w:rsidR="00BB20B2" w:rsidRPr="00ED4D93">
        <w:rPr>
          <w:rFonts w:ascii="Times New Roman" w:hAnsi="Times New Roman"/>
          <w:bCs/>
          <w:sz w:val="24"/>
        </w:rPr>
        <w:t xml:space="preserve">had </w:t>
      </w:r>
      <w:r w:rsidR="006E2665" w:rsidRPr="00ED4D93">
        <w:rPr>
          <w:rFonts w:ascii="Times New Roman" w:hAnsi="Times New Roman"/>
          <w:bCs/>
          <w:sz w:val="24"/>
        </w:rPr>
        <w:t xml:space="preserve">not agreed on the value of the other assets </w:t>
      </w:r>
      <w:r w:rsidR="004279C4" w:rsidRPr="00ED4D93">
        <w:rPr>
          <w:rFonts w:ascii="Times New Roman" w:hAnsi="Times New Roman"/>
          <w:bCs/>
          <w:sz w:val="24"/>
        </w:rPr>
        <w:t xml:space="preserve">of </w:t>
      </w:r>
      <w:r w:rsidR="006E2665" w:rsidRPr="00ED4D93">
        <w:rPr>
          <w:rFonts w:ascii="Times New Roman" w:hAnsi="Times New Roman"/>
          <w:bCs/>
          <w:sz w:val="24"/>
        </w:rPr>
        <w:t>the parties</w:t>
      </w:r>
      <w:r w:rsidR="00774E92" w:rsidRPr="00ED4D93">
        <w:rPr>
          <w:rFonts w:ascii="Times New Roman" w:hAnsi="Times New Roman"/>
          <w:bCs/>
          <w:sz w:val="24"/>
        </w:rPr>
        <w:t xml:space="preserve"> as alleged by the respondent</w:t>
      </w:r>
      <w:r w:rsidR="006E2665" w:rsidRPr="00ED4D93">
        <w:rPr>
          <w:rFonts w:ascii="Times New Roman" w:hAnsi="Times New Roman"/>
          <w:bCs/>
          <w:sz w:val="24"/>
        </w:rPr>
        <w:t xml:space="preserve">. To this end there is no </w:t>
      </w:r>
      <w:r w:rsidR="00A92C1A" w:rsidRPr="00ED4D93">
        <w:rPr>
          <w:rFonts w:ascii="Times New Roman" w:hAnsi="Times New Roman"/>
          <w:bCs/>
          <w:sz w:val="24"/>
        </w:rPr>
        <w:t xml:space="preserve">omission or error committed in the judgment of </w:t>
      </w:r>
      <w:r w:rsidR="006E2665" w:rsidRPr="00ED4D93">
        <w:rPr>
          <w:rFonts w:ascii="Times New Roman" w:hAnsi="Times New Roman"/>
          <w:bCs/>
          <w:sz w:val="24"/>
        </w:rPr>
        <w:t>Senyatsi AJ</w:t>
      </w:r>
      <w:r w:rsidR="00A92C1A" w:rsidRPr="00ED4D93">
        <w:rPr>
          <w:rFonts w:ascii="Times New Roman" w:hAnsi="Times New Roman"/>
          <w:bCs/>
          <w:sz w:val="24"/>
        </w:rPr>
        <w:t xml:space="preserve"> and a</w:t>
      </w:r>
      <w:r w:rsidR="00774E92" w:rsidRPr="00ED4D93">
        <w:rPr>
          <w:rFonts w:ascii="Times New Roman" w:hAnsi="Times New Roman"/>
          <w:bCs/>
          <w:sz w:val="24"/>
        </w:rPr>
        <w:t xml:space="preserve">ny variation as </w:t>
      </w:r>
      <w:r w:rsidR="00A92C1A" w:rsidRPr="00ED4D93">
        <w:rPr>
          <w:rFonts w:ascii="Times New Roman" w:hAnsi="Times New Roman"/>
          <w:bCs/>
          <w:sz w:val="24"/>
        </w:rPr>
        <w:t xml:space="preserve">contemplated </w:t>
      </w:r>
      <w:r w:rsidR="00774E92" w:rsidRPr="00ED4D93">
        <w:rPr>
          <w:rFonts w:ascii="Times New Roman" w:hAnsi="Times New Roman"/>
          <w:bCs/>
          <w:sz w:val="24"/>
        </w:rPr>
        <w:t>in terms of rule 42(</w:t>
      </w:r>
      <w:r w:rsidR="00A92C1A" w:rsidRPr="00ED4D93">
        <w:rPr>
          <w:rFonts w:ascii="Times New Roman" w:hAnsi="Times New Roman"/>
          <w:bCs/>
          <w:sz w:val="24"/>
        </w:rPr>
        <w:t>1</w:t>
      </w:r>
      <w:r w:rsidR="00774E92" w:rsidRPr="00ED4D93">
        <w:rPr>
          <w:rFonts w:ascii="Times New Roman" w:hAnsi="Times New Roman"/>
          <w:bCs/>
          <w:sz w:val="24"/>
        </w:rPr>
        <w:t>)(b)</w:t>
      </w:r>
      <w:r w:rsidR="00476CD7" w:rsidRPr="00ED4D93">
        <w:rPr>
          <w:rFonts w:ascii="Times New Roman" w:hAnsi="Times New Roman"/>
          <w:bCs/>
          <w:sz w:val="24"/>
        </w:rPr>
        <w:t xml:space="preserve"> would </w:t>
      </w:r>
      <w:r w:rsidR="00774E92" w:rsidRPr="00ED4D93">
        <w:rPr>
          <w:rFonts w:ascii="Times New Roman" w:hAnsi="Times New Roman"/>
          <w:bCs/>
          <w:sz w:val="24"/>
        </w:rPr>
        <w:t xml:space="preserve">be improper and may change </w:t>
      </w:r>
      <w:r w:rsidR="00476CD7" w:rsidRPr="00ED4D93">
        <w:rPr>
          <w:rFonts w:ascii="Times New Roman" w:hAnsi="Times New Roman"/>
          <w:bCs/>
          <w:sz w:val="24"/>
        </w:rPr>
        <w:t>the substance of the judgment.</w:t>
      </w:r>
    </w:p>
    <w:p w14:paraId="26D2A57C" w14:textId="77777777" w:rsidR="00476CD7" w:rsidRPr="00476CD7" w:rsidRDefault="00476CD7" w:rsidP="00476CD7">
      <w:pPr>
        <w:pStyle w:val="ListParagraph"/>
        <w:rPr>
          <w:rFonts w:ascii="Times New Roman" w:hAnsi="Times New Roman"/>
          <w:bCs/>
          <w:sz w:val="24"/>
        </w:rPr>
      </w:pPr>
    </w:p>
    <w:p w14:paraId="09246143" w14:textId="03271C3B" w:rsidR="00795EFD" w:rsidRPr="00ED4D93" w:rsidRDefault="00ED4D93" w:rsidP="00ED4D93">
      <w:pPr>
        <w:spacing w:line="480" w:lineRule="auto"/>
        <w:rPr>
          <w:rFonts w:ascii="Times New Roman" w:hAnsi="Times New Roman"/>
          <w:bCs/>
          <w:sz w:val="24"/>
        </w:rPr>
      </w:pPr>
      <w:r>
        <w:rPr>
          <w:rFonts w:ascii="Times New Roman" w:hAnsi="Times New Roman"/>
          <w:bCs/>
          <w:sz w:val="24"/>
        </w:rPr>
        <w:lastRenderedPageBreak/>
        <w:t>[12]</w:t>
      </w:r>
      <w:r>
        <w:rPr>
          <w:rFonts w:ascii="Times New Roman" w:hAnsi="Times New Roman"/>
          <w:bCs/>
          <w:sz w:val="24"/>
        </w:rPr>
        <w:tab/>
      </w:r>
      <w:r w:rsidR="00476CD7" w:rsidRPr="00ED4D93">
        <w:rPr>
          <w:rFonts w:ascii="Times New Roman" w:hAnsi="Times New Roman"/>
          <w:bCs/>
          <w:sz w:val="24"/>
        </w:rPr>
        <w:t>Maier-Frawley</w:t>
      </w:r>
      <w:r w:rsidR="002F5AA4" w:rsidRPr="00ED4D93">
        <w:rPr>
          <w:rFonts w:ascii="Times New Roman" w:hAnsi="Times New Roman"/>
          <w:bCs/>
          <w:sz w:val="24"/>
        </w:rPr>
        <w:t xml:space="preserve"> J concluded that the order </w:t>
      </w:r>
      <w:r w:rsidR="00FF01E2" w:rsidRPr="00ED4D93">
        <w:rPr>
          <w:rFonts w:ascii="Times New Roman" w:hAnsi="Times New Roman"/>
          <w:bCs/>
          <w:sz w:val="24"/>
        </w:rPr>
        <w:t>of</w:t>
      </w:r>
      <w:r w:rsidR="002F5AA4" w:rsidRPr="00ED4D93">
        <w:rPr>
          <w:rFonts w:ascii="Times New Roman" w:hAnsi="Times New Roman"/>
          <w:bCs/>
          <w:sz w:val="24"/>
        </w:rPr>
        <w:t xml:space="preserve"> Senyatsi AJ is susceptible to be varied in terms of rule 42(</w:t>
      </w:r>
      <w:r w:rsidR="00CD3413" w:rsidRPr="00ED4D93">
        <w:rPr>
          <w:rFonts w:ascii="Times New Roman" w:hAnsi="Times New Roman"/>
          <w:bCs/>
          <w:sz w:val="24"/>
        </w:rPr>
        <w:t>1</w:t>
      </w:r>
      <w:r w:rsidR="002F5AA4" w:rsidRPr="00ED4D93">
        <w:rPr>
          <w:rFonts w:ascii="Times New Roman" w:hAnsi="Times New Roman"/>
          <w:bCs/>
          <w:sz w:val="24"/>
        </w:rPr>
        <w:t>)</w:t>
      </w:r>
      <w:r w:rsidR="00CD3413" w:rsidRPr="00ED4D93">
        <w:rPr>
          <w:rFonts w:ascii="Times New Roman" w:hAnsi="Times New Roman"/>
          <w:bCs/>
          <w:sz w:val="24"/>
        </w:rPr>
        <w:t>(b)</w:t>
      </w:r>
      <w:r w:rsidR="002F5AA4" w:rsidRPr="00ED4D93">
        <w:rPr>
          <w:rFonts w:ascii="Times New Roman" w:hAnsi="Times New Roman"/>
          <w:bCs/>
          <w:sz w:val="24"/>
        </w:rPr>
        <w:t xml:space="preserve"> after having </w:t>
      </w:r>
      <w:r w:rsidR="004279C4" w:rsidRPr="00ED4D93">
        <w:rPr>
          <w:rFonts w:ascii="Times New Roman" w:hAnsi="Times New Roman"/>
          <w:bCs/>
          <w:sz w:val="24"/>
        </w:rPr>
        <w:t xml:space="preserve">had </w:t>
      </w:r>
      <w:r w:rsidR="002F5AA4" w:rsidRPr="00ED4D93">
        <w:rPr>
          <w:rFonts w:ascii="Times New Roman" w:hAnsi="Times New Roman"/>
          <w:bCs/>
          <w:sz w:val="24"/>
        </w:rPr>
        <w:t>regard first,</w:t>
      </w:r>
      <w:r w:rsidR="00476CD7" w:rsidRPr="00ED4D93">
        <w:rPr>
          <w:rFonts w:ascii="Times New Roman" w:hAnsi="Times New Roman"/>
          <w:bCs/>
          <w:sz w:val="24"/>
        </w:rPr>
        <w:t xml:space="preserve"> to</w:t>
      </w:r>
      <w:r w:rsidR="00BB20B2" w:rsidRPr="00ED4D93">
        <w:rPr>
          <w:rFonts w:ascii="Times New Roman" w:hAnsi="Times New Roman"/>
          <w:bCs/>
          <w:sz w:val="24"/>
        </w:rPr>
        <w:t xml:space="preserve"> the fact that</w:t>
      </w:r>
      <w:r w:rsidR="00476CD7" w:rsidRPr="00ED4D93">
        <w:rPr>
          <w:rFonts w:ascii="Times New Roman" w:hAnsi="Times New Roman"/>
          <w:bCs/>
          <w:sz w:val="24"/>
        </w:rPr>
        <w:t xml:space="preserve"> </w:t>
      </w:r>
      <w:r w:rsidR="00774E92" w:rsidRPr="00ED4D93">
        <w:rPr>
          <w:rFonts w:ascii="Times New Roman" w:hAnsi="Times New Roman"/>
          <w:bCs/>
          <w:sz w:val="24"/>
        </w:rPr>
        <w:t xml:space="preserve">what served before Senyatsi AJ was the determination of </w:t>
      </w:r>
      <w:r w:rsidR="00774E92" w:rsidRPr="00ED4D93">
        <w:rPr>
          <w:rFonts w:ascii="Times New Roman" w:hAnsi="Times New Roman"/>
          <w:bCs/>
          <w:i/>
          <w:iCs/>
          <w:sz w:val="24"/>
        </w:rPr>
        <w:t>‘…the value of the Defendant’s business called LBMC Consulting (Pty) Ltd and the amount of the accrual if any, to be paid to the plaintiff’.</w:t>
      </w:r>
      <w:r w:rsidR="00774E92">
        <w:rPr>
          <w:rStyle w:val="FootnoteReference"/>
          <w:rFonts w:ascii="Times New Roman" w:hAnsi="Times New Roman"/>
          <w:bCs/>
          <w:i/>
          <w:iCs/>
          <w:sz w:val="24"/>
        </w:rPr>
        <w:footnoteReference w:id="5"/>
      </w:r>
      <w:r w:rsidR="00774E92" w:rsidRPr="00ED4D93">
        <w:rPr>
          <w:rFonts w:ascii="Times New Roman" w:hAnsi="Times New Roman"/>
          <w:bCs/>
          <w:sz w:val="24"/>
        </w:rPr>
        <w:t xml:space="preserve"> </w:t>
      </w:r>
      <w:r w:rsidR="002F5AA4" w:rsidRPr="00ED4D93">
        <w:rPr>
          <w:rFonts w:ascii="Times New Roman" w:hAnsi="Times New Roman"/>
          <w:bCs/>
          <w:sz w:val="24"/>
        </w:rPr>
        <w:t xml:space="preserve">Secondly, </w:t>
      </w:r>
      <w:r w:rsidR="00396C22" w:rsidRPr="00ED4D93">
        <w:rPr>
          <w:rFonts w:ascii="Times New Roman" w:hAnsi="Times New Roman"/>
          <w:bCs/>
          <w:sz w:val="24"/>
        </w:rPr>
        <w:t xml:space="preserve">that </w:t>
      </w:r>
      <w:r w:rsidR="00D35E56" w:rsidRPr="00ED4D93">
        <w:rPr>
          <w:rFonts w:ascii="Times New Roman" w:hAnsi="Times New Roman"/>
          <w:bCs/>
          <w:sz w:val="24"/>
        </w:rPr>
        <w:t xml:space="preserve">the </w:t>
      </w:r>
      <w:r w:rsidR="00476CD7" w:rsidRPr="00ED4D93">
        <w:rPr>
          <w:rFonts w:ascii="Times New Roman" w:hAnsi="Times New Roman"/>
          <w:bCs/>
          <w:sz w:val="24"/>
        </w:rPr>
        <w:t xml:space="preserve">record of the hearing before Senyatsi AJ </w:t>
      </w:r>
      <w:r w:rsidR="00396C22" w:rsidRPr="00ED4D93">
        <w:rPr>
          <w:rFonts w:ascii="Times New Roman" w:hAnsi="Times New Roman"/>
          <w:bCs/>
          <w:sz w:val="24"/>
        </w:rPr>
        <w:t xml:space="preserve">showed that </w:t>
      </w:r>
      <w:r w:rsidR="00476CD7" w:rsidRPr="00ED4D93">
        <w:rPr>
          <w:rFonts w:ascii="Times New Roman" w:hAnsi="Times New Roman"/>
          <w:bCs/>
          <w:sz w:val="24"/>
        </w:rPr>
        <w:t>the appellant’s attorney</w:t>
      </w:r>
      <w:r w:rsidR="007A6FC5" w:rsidRPr="00ED4D93">
        <w:rPr>
          <w:rStyle w:val="FootnoteReference"/>
          <w:rFonts w:ascii="Times New Roman" w:hAnsi="Times New Roman"/>
          <w:bCs/>
          <w:sz w:val="24"/>
        </w:rPr>
        <w:t xml:space="preserve"> </w:t>
      </w:r>
      <w:r w:rsidR="00476CD7" w:rsidRPr="00ED4D93">
        <w:rPr>
          <w:rFonts w:ascii="Times New Roman" w:hAnsi="Times New Roman"/>
          <w:bCs/>
          <w:sz w:val="24"/>
        </w:rPr>
        <w:t>stated</w:t>
      </w:r>
      <w:r w:rsidR="00396C22" w:rsidRPr="00ED4D93">
        <w:rPr>
          <w:rFonts w:ascii="Times New Roman" w:hAnsi="Times New Roman"/>
          <w:bCs/>
          <w:sz w:val="24"/>
        </w:rPr>
        <w:t xml:space="preserve"> at the commencement of </w:t>
      </w:r>
      <w:r w:rsidR="00FF01E2" w:rsidRPr="00ED4D93">
        <w:rPr>
          <w:rFonts w:ascii="Times New Roman" w:hAnsi="Times New Roman"/>
          <w:bCs/>
          <w:sz w:val="24"/>
        </w:rPr>
        <w:t xml:space="preserve">the </w:t>
      </w:r>
      <w:r w:rsidR="00396C22" w:rsidRPr="00ED4D93">
        <w:rPr>
          <w:rFonts w:ascii="Times New Roman" w:hAnsi="Times New Roman"/>
          <w:bCs/>
          <w:sz w:val="24"/>
        </w:rPr>
        <w:t xml:space="preserve">trial </w:t>
      </w:r>
      <w:r w:rsidR="00476CD7" w:rsidRPr="00ED4D93">
        <w:rPr>
          <w:rFonts w:ascii="Times New Roman" w:hAnsi="Times New Roman"/>
          <w:bCs/>
          <w:sz w:val="24"/>
        </w:rPr>
        <w:t xml:space="preserve">that what </w:t>
      </w:r>
      <w:r w:rsidR="004279C4" w:rsidRPr="00ED4D93">
        <w:rPr>
          <w:rFonts w:ascii="Times New Roman" w:hAnsi="Times New Roman"/>
          <w:bCs/>
          <w:sz w:val="24"/>
        </w:rPr>
        <w:t>wa</w:t>
      </w:r>
      <w:r w:rsidR="00476CD7" w:rsidRPr="00ED4D93">
        <w:rPr>
          <w:rFonts w:ascii="Times New Roman" w:hAnsi="Times New Roman"/>
          <w:bCs/>
          <w:sz w:val="24"/>
        </w:rPr>
        <w:t>s to be decided was only the valuation of the shares of LB</w:t>
      </w:r>
      <w:r w:rsidR="00CD3413" w:rsidRPr="00ED4D93">
        <w:rPr>
          <w:rFonts w:ascii="Times New Roman" w:hAnsi="Times New Roman"/>
          <w:bCs/>
          <w:sz w:val="24"/>
        </w:rPr>
        <w:t>M</w:t>
      </w:r>
      <w:r w:rsidR="00476CD7" w:rsidRPr="00ED4D93">
        <w:rPr>
          <w:rFonts w:ascii="Times New Roman" w:hAnsi="Times New Roman"/>
          <w:bCs/>
          <w:sz w:val="24"/>
        </w:rPr>
        <w:t>C.</w:t>
      </w:r>
      <w:r w:rsidR="007A6FC5">
        <w:rPr>
          <w:rStyle w:val="FootnoteReference"/>
          <w:rFonts w:ascii="Times New Roman" w:hAnsi="Times New Roman"/>
          <w:bCs/>
          <w:i/>
          <w:iCs/>
          <w:sz w:val="24"/>
        </w:rPr>
        <w:footnoteReference w:id="6"/>
      </w:r>
      <w:r w:rsidR="007A6FC5" w:rsidRPr="00ED4D93">
        <w:rPr>
          <w:rFonts w:ascii="Times New Roman" w:hAnsi="Times New Roman"/>
          <w:bCs/>
          <w:i/>
          <w:iCs/>
          <w:sz w:val="24"/>
        </w:rPr>
        <w:t xml:space="preserve"> </w:t>
      </w:r>
      <w:r w:rsidR="006E2665" w:rsidRPr="00ED4D93">
        <w:rPr>
          <w:rFonts w:ascii="Times New Roman" w:hAnsi="Times New Roman"/>
          <w:bCs/>
          <w:sz w:val="24"/>
        </w:rPr>
        <w:t xml:space="preserve"> </w:t>
      </w:r>
      <w:r w:rsidR="00396C22" w:rsidRPr="00ED4D93">
        <w:rPr>
          <w:rFonts w:ascii="Times New Roman" w:hAnsi="Times New Roman"/>
          <w:bCs/>
          <w:sz w:val="24"/>
        </w:rPr>
        <w:t xml:space="preserve">Thirdly, </w:t>
      </w:r>
      <w:r w:rsidR="00476CD7" w:rsidRPr="00ED4D93">
        <w:rPr>
          <w:rFonts w:ascii="Times New Roman" w:hAnsi="Times New Roman"/>
          <w:bCs/>
          <w:sz w:val="24"/>
        </w:rPr>
        <w:t xml:space="preserve">that indeed there was an </w:t>
      </w:r>
      <w:r w:rsidR="00CD3413" w:rsidRPr="00ED4D93">
        <w:rPr>
          <w:rFonts w:ascii="Times New Roman" w:hAnsi="Times New Roman"/>
          <w:bCs/>
          <w:sz w:val="24"/>
        </w:rPr>
        <w:t>error/</w:t>
      </w:r>
      <w:r w:rsidR="00476CD7" w:rsidRPr="00ED4D93">
        <w:rPr>
          <w:rFonts w:ascii="Times New Roman" w:hAnsi="Times New Roman"/>
          <w:bCs/>
          <w:sz w:val="24"/>
        </w:rPr>
        <w:t xml:space="preserve">omission by </w:t>
      </w:r>
      <w:r w:rsidR="002F5AA4" w:rsidRPr="00ED4D93">
        <w:rPr>
          <w:rFonts w:ascii="Times New Roman" w:hAnsi="Times New Roman"/>
          <w:bCs/>
          <w:sz w:val="24"/>
        </w:rPr>
        <w:t xml:space="preserve">Senyatsi AJ </w:t>
      </w:r>
      <w:r w:rsidR="00CD3413" w:rsidRPr="00ED4D93">
        <w:rPr>
          <w:rFonts w:ascii="Times New Roman" w:hAnsi="Times New Roman"/>
          <w:bCs/>
          <w:sz w:val="24"/>
        </w:rPr>
        <w:t xml:space="preserve">not </w:t>
      </w:r>
      <w:r w:rsidR="00476CD7" w:rsidRPr="00ED4D93">
        <w:rPr>
          <w:rFonts w:ascii="Times New Roman" w:hAnsi="Times New Roman"/>
          <w:bCs/>
          <w:sz w:val="24"/>
        </w:rPr>
        <w:t>to include the value of the other assets as determined by Mr Getz and</w:t>
      </w:r>
      <w:r w:rsidR="00BB20B2" w:rsidRPr="00ED4D93">
        <w:rPr>
          <w:rFonts w:ascii="Times New Roman" w:hAnsi="Times New Roman"/>
          <w:bCs/>
          <w:sz w:val="24"/>
        </w:rPr>
        <w:t>,</w:t>
      </w:r>
      <w:r w:rsidR="00476CD7" w:rsidRPr="00ED4D93">
        <w:rPr>
          <w:rFonts w:ascii="Times New Roman" w:hAnsi="Times New Roman"/>
          <w:bCs/>
          <w:sz w:val="24"/>
        </w:rPr>
        <w:t xml:space="preserve"> </w:t>
      </w:r>
      <w:r w:rsidR="00396C22" w:rsidRPr="00ED4D93">
        <w:rPr>
          <w:rFonts w:ascii="Times New Roman" w:hAnsi="Times New Roman"/>
          <w:bCs/>
          <w:sz w:val="24"/>
        </w:rPr>
        <w:t xml:space="preserve">fourthly, </w:t>
      </w:r>
      <w:r w:rsidR="00476CD7" w:rsidRPr="00ED4D93">
        <w:rPr>
          <w:rFonts w:ascii="Times New Roman" w:hAnsi="Times New Roman"/>
          <w:bCs/>
          <w:sz w:val="24"/>
        </w:rPr>
        <w:t>that the costs of R26</w:t>
      </w:r>
      <w:r w:rsidR="00CD3413" w:rsidRPr="00ED4D93">
        <w:rPr>
          <w:rFonts w:ascii="Times New Roman" w:hAnsi="Times New Roman"/>
          <w:bCs/>
          <w:sz w:val="24"/>
        </w:rPr>
        <w:t>3</w:t>
      </w:r>
      <w:r w:rsidR="00476CD7" w:rsidRPr="00ED4D93">
        <w:rPr>
          <w:rFonts w:ascii="Times New Roman" w:hAnsi="Times New Roman"/>
          <w:bCs/>
          <w:sz w:val="24"/>
        </w:rPr>
        <w:t> </w:t>
      </w:r>
      <w:r w:rsidR="00CD3413" w:rsidRPr="00ED4D93">
        <w:rPr>
          <w:rFonts w:ascii="Times New Roman" w:hAnsi="Times New Roman"/>
          <w:bCs/>
          <w:sz w:val="24"/>
        </w:rPr>
        <w:t>272</w:t>
      </w:r>
      <w:r w:rsidR="00476CD7" w:rsidRPr="00ED4D93">
        <w:rPr>
          <w:rFonts w:ascii="Times New Roman" w:hAnsi="Times New Roman"/>
          <w:bCs/>
          <w:sz w:val="24"/>
        </w:rPr>
        <w:t>.00 for Mr Getz’s services should have been divided equally between the parties.</w:t>
      </w:r>
    </w:p>
    <w:p w14:paraId="3065EE07" w14:textId="77777777" w:rsidR="00476CD7" w:rsidRPr="00476CD7" w:rsidRDefault="00476CD7" w:rsidP="00476CD7">
      <w:pPr>
        <w:pStyle w:val="ListParagraph"/>
        <w:rPr>
          <w:rFonts w:ascii="Times New Roman" w:hAnsi="Times New Roman"/>
          <w:bCs/>
          <w:sz w:val="24"/>
        </w:rPr>
      </w:pPr>
    </w:p>
    <w:p w14:paraId="38A48CE1" w14:textId="1D55A6A5" w:rsidR="00795EFD" w:rsidRPr="00ED4D93" w:rsidRDefault="00ED4D93" w:rsidP="00ED4D93">
      <w:pPr>
        <w:spacing w:line="480" w:lineRule="auto"/>
        <w:rPr>
          <w:rFonts w:ascii="Times New Roman" w:hAnsi="Times New Roman"/>
          <w:bCs/>
          <w:sz w:val="24"/>
        </w:rPr>
      </w:pPr>
      <w:r>
        <w:rPr>
          <w:rFonts w:ascii="Times New Roman" w:hAnsi="Times New Roman"/>
          <w:bCs/>
          <w:sz w:val="24"/>
        </w:rPr>
        <w:t>[13]</w:t>
      </w:r>
      <w:r>
        <w:rPr>
          <w:rFonts w:ascii="Times New Roman" w:hAnsi="Times New Roman"/>
          <w:bCs/>
          <w:sz w:val="24"/>
        </w:rPr>
        <w:tab/>
      </w:r>
      <w:r w:rsidR="00476CD7" w:rsidRPr="00ED4D93">
        <w:rPr>
          <w:rFonts w:ascii="Times New Roman" w:hAnsi="Times New Roman"/>
          <w:bCs/>
          <w:sz w:val="24"/>
        </w:rPr>
        <w:t xml:space="preserve">In the premises </w:t>
      </w:r>
      <w:r w:rsidR="004279C4" w:rsidRPr="00ED4D93">
        <w:rPr>
          <w:rFonts w:ascii="Times New Roman" w:hAnsi="Times New Roman"/>
          <w:bCs/>
          <w:sz w:val="24"/>
        </w:rPr>
        <w:t xml:space="preserve">Maier-Frawley J </w:t>
      </w:r>
      <w:r w:rsidR="003A4DAE" w:rsidRPr="00ED4D93">
        <w:rPr>
          <w:rFonts w:ascii="Times New Roman" w:hAnsi="Times New Roman"/>
          <w:bCs/>
          <w:sz w:val="24"/>
        </w:rPr>
        <w:t xml:space="preserve">held </w:t>
      </w:r>
      <w:r w:rsidR="004279C4" w:rsidRPr="00ED4D93">
        <w:rPr>
          <w:rFonts w:ascii="Times New Roman" w:hAnsi="Times New Roman"/>
          <w:bCs/>
          <w:sz w:val="24"/>
        </w:rPr>
        <w:t xml:space="preserve">that </w:t>
      </w:r>
      <w:r w:rsidR="003A4DAE" w:rsidRPr="00ED4D93">
        <w:rPr>
          <w:rFonts w:ascii="Times New Roman" w:hAnsi="Times New Roman"/>
          <w:bCs/>
          <w:sz w:val="24"/>
        </w:rPr>
        <w:t xml:space="preserve">the correct calculation </w:t>
      </w:r>
      <w:r w:rsidR="007A6FC5" w:rsidRPr="00ED4D93">
        <w:rPr>
          <w:rFonts w:ascii="Times New Roman" w:hAnsi="Times New Roman"/>
          <w:bCs/>
          <w:sz w:val="24"/>
        </w:rPr>
        <w:t xml:space="preserve">of the amount due to the respondent </w:t>
      </w:r>
      <w:r w:rsidR="003A4DAE" w:rsidRPr="00ED4D93">
        <w:rPr>
          <w:rFonts w:ascii="Times New Roman" w:hAnsi="Times New Roman"/>
          <w:bCs/>
          <w:sz w:val="24"/>
        </w:rPr>
        <w:t>in terms of sections 3 and 4 of the M</w:t>
      </w:r>
      <w:r w:rsidR="007A6FC5" w:rsidRPr="00ED4D93">
        <w:rPr>
          <w:rFonts w:ascii="Times New Roman" w:hAnsi="Times New Roman"/>
          <w:bCs/>
          <w:sz w:val="24"/>
        </w:rPr>
        <w:t xml:space="preserve">PA </w:t>
      </w:r>
      <w:r w:rsidR="004279C4" w:rsidRPr="00ED4D93">
        <w:rPr>
          <w:rFonts w:ascii="Times New Roman" w:hAnsi="Times New Roman"/>
          <w:bCs/>
          <w:sz w:val="24"/>
        </w:rPr>
        <w:t>is</w:t>
      </w:r>
      <w:r w:rsidR="007A6FC5" w:rsidRPr="00ED4D93">
        <w:rPr>
          <w:rFonts w:ascii="Times New Roman" w:hAnsi="Times New Roman"/>
          <w:bCs/>
          <w:sz w:val="24"/>
        </w:rPr>
        <w:t xml:space="preserve"> </w:t>
      </w:r>
      <w:r w:rsidR="00FF01E2" w:rsidRPr="00ED4D93">
        <w:rPr>
          <w:rFonts w:ascii="Times New Roman" w:hAnsi="Times New Roman"/>
          <w:bCs/>
          <w:sz w:val="24"/>
        </w:rPr>
        <w:t xml:space="preserve">the </w:t>
      </w:r>
      <w:r w:rsidR="007A6FC5" w:rsidRPr="00ED4D93">
        <w:rPr>
          <w:rFonts w:ascii="Times New Roman" w:hAnsi="Times New Roman"/>
          <w:bCs/>
          <w:sz w:val="24"/>
        </w:rPr>
        <w:t>amount equal to</w:t>
      </w:r>
      <w:r w:rsidR="003A4DAE" w:rsidRPr="00ED4D93">
        <w:rPr>
          <w:rFonts w:ascii="Times New Roman" w:hAnsi="Times New Roman"/>
          <w:bCs/>
          <w:sz w:val="24"/>
        </w:rPr>
        <w:t xml:space="preserve"> half </w:t>
      </w:r>
      <w:r w:rsidR="007A6FC5" w:rsidRPr="00ED4D93">
        <w:rPr>
          <w:rFonts w:ascii="Times New Roman" w:hAnsi="Times New Roman"/>
          <w:bCs/>
          <w:sz w:val="24"/>
        </w:rPr>
        <w:t xml:space="preserve">of </w:t>
      </w:r>
      <w:r w:rsidR="003A4DAE" w:rsidRPr="00ED4D93">
        <w:rPr>
          <w:rFonts w:ascii="Times New Roman" w:hAnsi="Times New Roman"/>
          <w:bCs/>
          <w:sz w:val="24"/>
        </w:rPr>
        <w:t xml:space="preserve">the difference </w:t>
      </w:r>
      <w:r w:rsidR="007A6FC5" w:rsidRPr="00ED4D93">
        <w:rPr>
          <w:rFonts w:ascii="Times New Roman" w:hAnsi="Times New Roman"/>
          <w:bCs/>
          <w:sz w:val="24"/>
        </w:rPr>
        <w:t xml:space="preserve">in the accrual </w:t>
      </w:r>
      <w:r w:rsidR="003A4DAE" w:rsidRPr="00ED4D93">
        <w:rPr>
          <w:rFonts w:ascii="Times New Roman" w:hAnsi="Times New Roman"/>
          <w:bCs/>
          <w:sz w:val="24"/>
        </w:rPr>
        <w:t>of the parties respective estate</w:t>
      </w:r>
      <w:r w:rsidR="00F05AE0" w:rsidRPr="00ED4D93">
        <w:rPr>
          <w:rFonts w:ascii="Times New Roman" w:hAnsi="Times New Roman"/>
          <w:bCs/>
          <w:sz w:val="24"/>
        </w:rPr>
        <w:t xml:space="preserve">, yielding an </w:t>
      </w:r>
      <w:r w:rsidR="006076FB" w:rsidRPr="00ED4D93">
        <w:rPr>
          <w:rFonts w:ascii="Times New Roman" w:hAnsi="Times New Roman"/>
          <w:bCs/>
          <w:sz w:val="24"/>
        </w:rPr>
        <w:t>amount of</w:t>
      </w:r>
      <w:r w:rsidR="00F504F3" w:rsidRPr="00ED4D93">
        <w:rPr>
          <w:rFonts w:ascii="Times New Roman" w:hAnsi="Times New Roman"/>
          <w:bCs/>
          <w:sz w:val="24"/>
        </w:rPr>
        <w:t xml:space="preserve"> </w:t>
      </w:r>
      <w:r w:rsidR="00B20CD5" w:rsidRPr="00ED4D93">
        <w:rPr>
          <w:rFonts w:ascii="Times New Roman" w:hAnsi="Times New Roman"/>
          <w:bCs/>
          <w:sz w:val="24"/>
        </w:rPr>
        <w:t>R 5 581 396.00 due to the respondent. Half of the costs due Mr Getz would be R131 635.99 hence the total payable to the respondent would be R5 449 761.00.</w:t>
      </w:r>
    </w:p>
    <w:p w14:paraId="1EAE1DE3" w14:textId="77777777" w:rsidR="00B37E1B" w:rsidRPr="005F63D3" w:rsidRDefault="00B37E1B" w:rsidP="005F63D3">
      <w:pPr>
        <w:pStyle w:val="ListParagraph"/>
        <w:rPr>
          <w:rFonts w:ascii="Times New Roman" w:hAnsi="Times New Roman"/>
          <w:bCs/>
          <w:sz w:val="24"/>
        </w:rPr>
      </w:pPr>
    </w:p>
    <w:p w14:paraId="23867D67" w14:textId="66497851" w:rsidR="005F63D3" w:rsidRDefault="005F63D3" w:rsidP="005F63D3">
      <w:pPr>
        <w:pStyle w:val="ListParagraph"/>
        <w:spacing w:line="480" w:lineRule="auto"/>
        <w:ind w:left="0"/>
        <w:contextualSpacing w:val="0"/>
        <w:rPr>
          <w:rFonts w:ascii="Times New Roman" w:hAnsi="Times New Roman"/>
          <w:bCs/>
          <w:i/>
          <w:iCs/>
          <w:sz w:val="24"/>
        </w:rPr>
      </w:pPr>
      <w:r w:rsidRPr="005F63D3">
        <w:rPr>
          <w:rFonts w:ascii="Times New Roman" w:hAnsi="Times New Roman"/>
          <w:bCs/>
          <w:i/>
          <w:iCs/>
          <w:sz w:val="24"/>
        </w:rPr>
        <w:t>In this court</w:t>
      </w:r>
    </w:p>
    <w:p w14:paraId="316B1876" w14:textId="77777777" w:rsidR="00B37E1B" w:rsidRDefault="00B37E1B" w:rsidP="005F63D3">
      <w:pPr>
        <w:pStyle w:val="ListParagraph"/>
        <w:spacing w:line="480" w:lineRule="auto"/>
        <w:ind w:left="0"/>
        <w:contextualSpacing w:val="0"/>
        <w:rPr>
          <w:rFonts w:ascii="Times New Roman" w:hAnsi="Times New Roman"/>
          <w:bCs/>
          <w:i/>
          <w:iCs/>
          <w:sz w:val="24"/>
        </w:rPr>
      </w:pPr>
    </w:p>
    <w:p w14:paraId="1E49FECD" w14:textId="580CDE38" w:rsidR="00EB0F98" w:rsidRPr="00ED4D93" w:rsidRDefault="00ED4D93" w:rsidP="00ED4D93">
      <w:pPr>
        <w:spacing w:line="480" w:lineRule="auto"/>
        <w:rPr>
          <w:rFonts w:ascii="Times New Roman" w:hAnsi="Times New Roman"/>
          <w:bCs/>
          <w:sz w:val="24"/>
        </w:rPr>
      </w:pPr>
      <w:r>
        <w:rPr>
          <w:rFonts w:ascii="Times New Roman" w:hAnsi="Times New Roman"/>
          <w:bCs/>
          <w:sz w:val="24"/>
        </w:rPr>
        <w:t>[14]</w:t>
      </w:r>
      <w:r>
        <w:rPr>
          <w:rFonts w:ascii="Times New Roman" w:hAnsi="Times New Roman"/>
          <w:bCs/>
          <w:sz w:val="24"/>
        </w:rPr>
        <w:tab/>
      </w:r>
      <w:r w:rsidR="005F63D3" w:rsidRPr="00ED4D93">
        <w:rPr>
          <w:rFonts w:ascii="Times New Roman" w:hAnsi="Times New Roman"/>
          <w:bCs/>
          <w:sz w:val="24"/>
        </w:rPr>
        <w:t xml:space="preserve">The appellant </w:t>
      </w:r>
      <w:r w:rsidR="00705C74" w:rsidRPr="00ED4D93">
        <w:rPr>
          <w:rFonts w:ascii="Times New Roman" w:hAnsi="Times New Roman"/>
          <w:bCs/>
          <w:sz w:val="24"/>
        </w:rPr>
        <w:t xml:space="preserve">was aggrieved by the judgment and order of Maier-Frawley J </w:t>
      </w:r>
      <w:r w:rsidR="004279C4" w:rsidRPr="00ED4D93">
        <w:rPr>
          <w:rFonts w:ascii="Times New Roman" w:hAnsi="Times New Roman"/>
          <w:bCs/>
          <w:sz w:val="24"/>
        </w:rPr>
        <w:t xml:space="preserve">and then </w:t>
      </w:r>
      <w:r w:rsidR="000E43A4" w:rsidRPr="00ED4D93">
        <w:rPr>
          <w:rFonts w:ascii="Times New Roman" w:hAnsi="Times New Roman"/>
          <w:bCs/>
          <w:sz w:val="24"/>
        </w:rPr>
        <w:t xml:space="preserve">sought leave to appeal which was granted. The notice of appeal listed grounds for the appeal which are summarised as follows: </w:t>
      </w:r>
      <w:r w:rsidR="00705C74" w:rsidRPr="00ED4D93">
        <w:rPr>
          <w:rFonts w:ascii="Times New Roman" w:hAnsi="Times New Roman"/>
          <w:bCs/>
          <w:sz w:val="24"/>
        </w:rPr>
        <w:t xml:space="preserve">first, the correct process should have been to appeal the order and judgment </w:t>
      </w:r>
      <w:r w:rsidR="004279C4" w:rsidRPr="00ED4D93">
        <w:rPr>
          <w:rFonts w:ascii="Times New Roman" w:hAnsi="Times New Roman"/>
          <w:bCs/>
          <w:sz w:val="24"/>
        </w:rPr>
        <w:t xml:space="preserve">and </w:t>
      </w:r>
      <w:r w:rsidR="00705C74" w:rsidRPr="00ED4D93">
        <w:rPr>
          <w:rFonts w:ascii="Times New Roman" w:hAnsi="Times New Roman"/>
          <w:bCs/>
          <w:sz w:val="24"/>
        </w:rPr>
        <w:t xml:space="preserve">not </w:t>
      </w:r>
      <w:r w:rsidR="00F210D0" w:rsidRPr="00ED4D93">
        <w:rPr>
          <w:rFonts w:ascii="Times New Roman" w:hAnsi="Times New Roman"/>
          <w:bCs/>
          <w:sz w:val="24"/>
        </w:rPr>
        <w:t xml:space="preserve">an </w:t>
      </w:r>
      <w:r w:rsidR="00705C74" w:rsidRPr="00ED4D93">
        <w:rPr>
          <w:rFonts w:ascii="Times New Roman" w:hAnsi="Times New Roman"/>
          <w:bCs/>
          <w:sz w:val="24"/>
        </w:rPr>
        <w:t xml:space="preserve">application for variation in terms of rule </w:t>
      </w:r>
      <w:r w:rsidR="00705C74" w:rsidRPr="00ED4D93">
        <w:rPr>
          <w:rFonts w:ascii="Times New Roman" w:hAnsi="Times New Roman"/>
          <w:bCs/>
          <w:sz w:val="24"/>
        </w:rPr>
        <w:lastRenderedPageBreak/>
        <w:t>42</w:t>
      </w:r>
      <w:r w:rsidR="000E43A4" w:rsidRPr="00ED4D93">
        <w:rPr>
          <w:rFonts w:ascii="Times New Roman" w:hAnsi="Times New Roman"/>
          <w:bCs/>
          <w:sz w:val="24"/>
        </w:rPr>
        <w:t>(1)(b)</w:t>
      </w:r>
      <w:r w:rsidR="00705C74" w:rsidRPr="00ED4D93">
        <w:rPr>
          <w:rFonts w:ascii="Times New Roman" w:hAnsi="Times New Roman"/>
          <w:bCs/>
          <w:sz w:val="24"/>
        </w:rPr>
        <w:t xml:space="preserve">. Secondly, that </w:t>
      </w:r>
      <w:r w:rsidR="00F05AE0" w:rsidRPr="00ED4D93">
        <w:rPr>
          <w:rFonts w:ascii="Times New Roman" w:hAnsi="Times New Roman"/>
          <w:bCs/>
          <w:sz w:val="24"/>
        </w:rPr>
        <w:t xml:space="preserve">the </w:t>
      </w:r>
      <w:r w:rsidR="00705C74" w:rsidRPr="00ED4D93">
        <w:rPr>
          <w:rFonts w:ascii="Times New Roman" w:hAnsi="Times New Roman"/>
          <w:bCs/>
          <w:sz w:val="24"/>
        </w:rPr>
        <w:t xml:space="preserve">court </w:t>
      </w:r>
      <w:r w:rsidR="00705C74" w:rsidRPr="00ED4D93">
        <w:rPr>
          <w:rFonts w:ascii="Times New Roman" w:hAnsi="Times New Roman"/>
          <w:bCs/>
          <w:i/>
          <w:iCs/>
          <w:sz w:val="24"/>
        </w:rPr>
        <w:t>a quo</w:t>
      </w:r>
      <w:r w:rsidR="00705C74" w:rsidRPr="00ED4D93">
        <w:rPr>
          <w:rFonts w:ascii="Times New Roman" w:hAnsi="Times New Roman"/>
          <w:bCs/>
          <w:sz w:val="24"/>
        </w:rPr>
        <w:t xml:space="preserve"> erred in not finding that there was a dispute of fact with regard to the value of each party’s estate</w:t>
      </w:r>
      <w:r w:rsidR="005B566E" w:rsidRPr="00ED4D93">
        <w:rPr>
          <w:rFonts w:ascii="Times New Roman" w:hAnsi="Times New Roman"/>
          <w:bCs/>
          <w:sz w:val="24"/>
        </w:rPr>
        <w:t xml:space="preserve"> and also that there was an agreement between the parties thereon </w:t>
      </w:r>
      <w:r w:rsidR="00F05AE0" w:rsidRPr="00ED4D93">
        <w:rPr>
          <w:rFonts w:ascii="Times New Roman" w:hAnsi="Times New Roman"/>
          <w:bCs/>
          <w:sz w:val="24"/>
        </w:rPr>
        <w:t xml:space="preserve">concluded </w:t>
      </w:r>
      <w:r w:rsidR="005B566E" w:rsidRPr="00ED4D93">
        <w:rPr>
          <w:rFonts w:ascii="Times New Roman" w:hAnsi="Times New Roman"/>
          <w:bCs/>
          <w:sz w:val="24"/>
        </w:rPr>
        <w:t xml:space="preserve">on the morning of the trial. Thirdly, that the court </w:t>
      </w:r>
      <w:r w:rsidR="005B566E" w:rsidRPr="00ED4D93">
        <w:rPr>
          <w:rFonts w:ascii="Times New Roman" w:hAnsi="Times New Roman"/>
          <w:bCs/>
          <w:i/>
          <w:iCs/>
          <w:sz w:val="24"/>
        </w:rPr>
        <w:t>a quo</w:t>
      </w:r>
      <w:r w:rsidR="005B566E" w:rsidRPr="00ED4D93">
        <w:rPr>
          <w:rFonts w:ascii="Times New Roman" w:hAnsi="Times New Roman"/>
          <w:bCs/>
          <w:sz w:val="24"/>
        </w:rPr>
        <w:t xml:space="preserve"> just accepted the calculations by Mr Getz which was not in accordance with the provisions of the MPA as it did not take into account the value of the respondent’s assets and in fact </w:t>
      </w:r>
      <w:r w:rsidR="00857790" w:rsidRPr="00ED4D93">
        <w:rPr>
          <w:rFonts w:ascii="Times New Roman" w:hAnsi="Times New Roman"/>
          <w:bCs/>
          <w:sz w:val="24"/>
        </w:rPr>
        <w:t xml:space="preserve">there was no sufficient evidence presented before the court </w:t>
      </w:r>
      <w:r w:rsidR="00857790" w:rsidRPr="00ED4D93">
        <w:rPr>
          <w:rFonts w:ascii="Times New Roman" w:hAnsi="Times New Roman"/>
          <w:bCs/>
          <w:i/>
          <w:iCs/>
          <w:sz w:val="24"/>
        </w:rPr>
        <w:t>a quo</w:t>
      </w:r>
      <w:r w:rsidR="00857790" w:rsidRPr="00ED4D93">
        <w:rPr>
          <w:rFonts w:ascii="Times New Roman" w:hAnsi="Times New Roman"/>
          <w:bCs/>
          <w:sz w:val="24"/>
        </w:rPr>
        <w:t xml:space="preserve"> for the determination of the accrual</w:t>
      </w:r>
      <w:r w:rsidR="005B566E" w:rsidRPr="00ED4D93">
        <w:rPr>
          <w:rFonts w:ascii="Times New Roman" w:hAnsi="Times New Roman"/>
          <w:bCs/>
          <w:sz w:val="24"/>
        </w:rPr>
        <w:t xml:space="preserve">. Fourthly, that </w:t>
      </w:r>
      <w:r w:rsidR="00F05AE0" w:rsidRPr="00ED4D93">
        <w:rPr>
          <w:rFonts w:ascii="Times New Roman" w:hAnsi="Times New Roman"/>
          <w:bCs/>
          <w:sz w:val="24"/>
        </w:rPr>
        <w:t xml:space="preserve">the </w:t>
      </w:r>
      <w:r w:rsidR="005B566E" w:rsidRPr="00ED4D93">
        <w:rPr>
          <w:rFonts w:ascii="Times New Roman" w:hAnsi="Times New Roman"/>
          <w:bCs/>
          <w:sz w:val="24"/>
        </w:rPr>
        <w:t xml:space="preserve">court </w:t>
      </w:r>
      <w:r w:rsidR="005B566E" w:rsidRPr="00ED4D93">
        <w:rPr>
          <w:rFonts w:ascii="Times New Roman" w:hAnsi="Times New Roman"/>
          <w:bCs/>
          <w:i/>
          <w:iCs/>
          <w:sz w:val="24"/>
        </w:rPr>
        <w:t>a quo</w:t>
      </w:r>
      <w:r w:rsidR="005B566E" w:rsidRPr="00ED4D93">
        <w:rPr>
          <w:rFonts w:ascii="Times New Roman" w:hAnsi="Times New Roman"/>
          <w:bCs/>
          <w:sz w:val="24"/>
        </w:rPr>
        <w:t xml:space="preserve"> erred in varying the judgment of Senyatsi AJ </w:t>
      </w:r>
      <w:r w:rsidR="00BB20B2" w:rsidRPr="00ED4D93">
        <w:rPr>
          <w:rFonts w:ascii="Times New Roman" w:hAnsi="Times New Roman"/>
          <w:bCs/>
          <w:sz w:val="24"/>
        </w:rPr>
        <w:t xml:space="preserve">because the variation </w:t>
      </w:r>
      <w:r w:rsidR="005B566E" w:rsidRPr="00ED4D93">
        <w:rPr>
          <w:rFonts w:ascii="Times New Roman" w:hAnsi="Times New Roman"/>
          <w:bCs/>
          <w:sz w:val="24"/>
        </w:rPr>
        <w:t xml:space="preserve">had the effect of altering </w:t>
      </w:r>
      <w:r w:rsidR="00BB20B2" w:rsidRPr="00ED4D93">
        <w:rPr>
          <w:rFonts w:ascii="Times New Roman" w:hAnsi="Times New Roman"/>
          <w:bCs/>
          <w:sz w:val="24"/>
        </w:rPr>
        <w:t>the jud</w:t>
      </w:r>
      <w:r w:rsidR="00F210D0" w:rsidRPr="00ED4D93">
        <w:rPr>
          <w:rFonts w:ascii="Times New Roman" w:hAnsi="Times New Roman"/>
          <w:bCs/>
          <w:sz w:val="24"/>
        </w:rPr>
        <w:t>g</w:t>
      </w:r>
      <w:r w:rsidR="00BB20B2" w:rsidRPr="00ED4D93">
        <w:rPr>
          <w:rFonts w:ascii="Times New Roman" w:hAnsi="Times New Roman"/>
          <w:bCs/>
          <w:sz w:val="24"/>
        </w:rPr>
        <w:t xml:space="preserve">ment’s </w:t>
      </w:r>
      <w:r w:rsidR="005B566E" w:rsidRPr="00ED4D93">
        <w:rPr>
          <w:rFonts w:ascii="Times New Roman" w:hAnsi="Times New Roman"/>
          <w:bCs/>
          <w:sz w:val="24"/>
        </w:rPr>
        <w:t>substance</w:t>
      </w:r>
      <w:r w:rsidR="00857790" w:rsidRPr="00ED4D93">
        <w:rPr>
          <w:rFonts w:ascii="Times New Roman" w:hAnsi="Times New Roman"/>
          <w:bCs/>
          <w:sz w:val="24"/>
        </w:rPr>
        <w:t xml:space="preserve">. Fifthly that the court </w:t>
      </w:r>
      <w:r w:rsidR="00857790" w:rsidRPr="00ED4D93">
        <w:rPr>
          <w:rFonts w:ascii="Times New Roman" w:hAnsi="Times New Roman"/>
          <w:bCs/>
          <w:i/>
          <w:iCs/>
          <w:sz w:val="24"/>
        </w:rPr>
        <w:t>a quo</w:t>
      </w:r>
      <w:r w:rsidR="00857790" w:rsidRPr="00ED4D93">
        <w:rPr>
          <w:rFonts w:ascii="Times New Roman" w:hAnsi="Times New Roman"/>
          <w:bCs/>
          <w:sz w:val="24"/>
        </w:rPr>
        <w:t xml:space="preserve"> failed to correct the calculation </w:t>
      </w:r>
      <w:r w:rsidR="00EB0F98" w:rsidRPr="00ED4D93">
        <w:rPr>
          <w:rFonts w:ascii="Times New Roman" w:hAnsi="Times New Roman"/>
          <w:bCs/>
          <w:sz w:val="24"/>
        </w:rPr>
        <w:t xml:space="preserve">of a </w:t>
      </w:r>
      <w:r w:rsidR="00857790" w:rsidRPr="00ED4D93">
        <w:rPr>
          <w:rFonts w:ascii="Times New Roman" w:hAnsi="Times New Roman"/>
          <w:bCs/>
          <w:sz w:val="24"/>
        </w:rPr>
        <w:t xml:space="preserve">patent error in terms of rule 42 which was common between the parties in Mr Getz’s report and finally that Senyatsi AJ rejected the evidence of all three experts and could not place </w:t>
      </w:r>
      <w:r w:rsidR="00F05AE0" w:rsidRPr="00ED4D93">
        <w:rPr>
          <w:rFonts w:ascii="Times New Roman" w:hAnsi="Times New Roman"/>
          <w:bCs/>
          <w:sz w:val="24"/>
        </w:rPr>
        <w:t xml:space="preserve">a </w:t>
      </w:r>
      <w:r w:rsidR="00857790" w:rsidRPr="00ED4D93">
        <w:rPr>
          <w:rFonts w:ascii="Times New Roman" w:hAnsi="Times New Roman"/>
          <w:bCs/>
          <w:sz w:val="24"/>
        </w:rPr>
        <w:t>value on the remainder of the respective estate</w:t>
      </w:r>
      <w:r w:rsidR="00F05AE0" w:rsidRPr="00ED4D93">
        <w:rPr>
          <w:rFonts w:ascii="Times New Roman" w:hAnsi="Times New Roman"/>
          <w:bCs/>
          <w:sz w:val="24"/>
        </w:rPr>
        <w:t>s</w:t>
      </w:r>
      <w:r w:rsidR="00857790" w:rsidRPr="00ED4D93">
        <w:rPr>
          <w:rFonts w:ascii="Times New Roman" w:hAnsi="Times New Roman"/>
          <w:bCs/>
          <w:sz w:val="24"/>
        </w:rPr>
        <w:t xml:space="preserve"> and made no finding in this regard.</w:t>
      </w:r>
    </w:p>
    <w:p w14:paraId="6F92EC91" w14:textId="77777777" w:rsidR="006166C3" w:rsidRDefault="006166C3" w:rsidP="006166C3">
      <w:pPr>
        <w:pStyle w:val="ListParagraph"/>
        <w:spacing w:line="480" w:lineRule="auto"/>
        <w:ind w:left="0"/>
        <w:contextualSpacing w:val="0"/>
        <w:rPr>
          <w:rFonts w:ascii="Times New Roman" w:hAnsi="Times New Roman"/>
          <w:bCs/>
          <w:sz w:val="24"/>
        </w:rPr>
      </w:pPr>
    </w:p>
    <w:p w14:paraId="728A662B" w14:textId="1B515F08" w:rsidR="006166C3" w:rsidRPr="00ED4D93" w:rsidRDefault="00ED4D93" w:rsidP="00ED4D93">
      <w:pPr>
        <w:spacing w:line="480" w:lineRule="auto"/>
        <w:rPr>
          <w:rFonts w:ascii="Times New Roman" w:hAnsi="Times New Roman"/>
          <w:bCs/>
          <w:sz w:val="24"/>
        </w:rPr>
      </w:pPr>
      <w:r>
        <w:rPr>
          <w:rFonts w:ascii="Times New Roman" w:hAnsi="Times New Roman"/>
          <w:bCs/>
          <w:sz w:val="24"/>
        </w:rPr>
        <w:t>[15]</w:t>
      </w:r>
      <w:r>
        <w:rPr>
          <w:rFonts w:ascii="Times New Roman" w:hAnsi="Times New Roman"/>
          <w:bCs/>
          <w:sz w:val="24"/>
        </w:rPr>
        <w:tab/>
      </w:r>
      <w:r w:rsidR="006166C3" w:rsidRPr="00ED4D93">
        <w:rPr>
          <w:rFonts w:ascii="Times New Roman" w:hAnsi="Times New Roman"/>
          <w:bCs/>
          <w:sz w:val="24"/>
        </w:rPr>
        <w:t xml:space="preserve">These grounds of appeal are considered below </w:t>
      </w:r>
      <w:r w:rsidR="00F504F3" w:rsidRPr="00ED4D93">
        <w:rPr>
          <w:rFonts w:ascii="Times New Roman" w:hAnsi="Times New Roman"/>
          <w:bCs/>
          <w:sz w:val="24"/>
        </w:rPr>
        <w:t xml:space="preserve">and since they overlap </w:t>
      </w:r>
      <w:r w:rsidR="004279C4" w:rsidRPr="00ED4D93">
        <w:rPr>
          <w:rFonts w:ascii="Times New Roman" w:hAnsi="Times New Roman"/>
          <w:bCs/>
          <w:sz w:val="24"/>
        </w:rPr>
        <w:t xml:space="preserve">with </w:t>
      </w:r>
      <w:r w:rsidR="00F504F3" w:rsidRPr="00ED4D93">
        <w:rPr>
          <w:rFonts w:ascii="Times New Roman" w:hAnsi="Times New Roman"/>
          <w:bCs/>
          <w:sz w:val="24"/>
        </w:rPr>
        <w:t xml:space="preserve">each other or are intertwined </w:t>
      </w:r>
      <w:r w:rsidR="001C3545" w:rsidRPr="00ED4D93">
        <w:rPr>
          <w:rFonts w:ascii="Times New Roman" w:hAnsi="Times New Roman"/>
          <w:bCs/>
          <w:sz w:val="24"/>
        </w:rPr>
        <w:t xml:space="preserve">I will not </w:t>
      </w:r>
      <w:r w:rsidR="004279C4" w:rsidRPr="00ED4D93">
        <w:rPr>
          <w:rFonts w:ascii="Times New Roman" w:hAnsi="Times New Roman"/>
          <w:bCs/>
          <w:sz w:val="24"/>
        </w:rPr>
        <w:t xml:space="preserve">necessarily consider </w:t>
      </w:r>
      <w:r w:rsidR="00F504F3" w:rsidRPr="00ED4D93">
        <w:rPr>
          <w:rFonts w:ascii="Times New Roman" w:hAnsi="Times New Roman"/>
          <w:bCs/>
          <w:sz w:val="24"/>
        </w:rPr>
        <w:t>them individually.</w:t>
      </w:r>
    </w:p>
    <w:p w14:paraId="204B9E08" w14:textId="77777777" w:rsidR="00AB6959" w:rsidRPr="006166C3" w:rsidRDefault="00AB6959" w:rsidP="006076FB">
      <w:pPr>
        <w:pStyle w:val="ListParagraph"/>
        <w:spacing w:line="480" w:lineRule="auto"/>
        <w:ind w:left="0"/>
        <w:contextualSpacing w:val="0"/>
        <w:rPr>
          <w:rFonts w:ascii="Times New Roman" w:hAnsi="Times New Roman"/>
          <w:bCs/>
          <w:sz w:val="24"/>
        </w:rPr>
      </w:pPr>
    </w:p>
    <w:p w14:paraId="088BC01E" w14:textId="24F4C307" w:rsidR="00AB6959" w:rsidRPr="00AB6959" w:rsidRDefault="00AB6959" w:rsidP="00F504F3">
      <w:pPr>
        <w:pStyle w:val="ListParagraph"/>
        <w:spacing w:line="480" w:lineRule="auto"/>
        <w:ind w:left="0" w:firstLine="720"/>
        <w:contextualSpacing w:val="0"/>
        <w:rPr>
          <w:rFonts w:ascii="Times New Roman" w:hAnsi="Times New Roman"/>
          <w:bCs/>
          <w:i/>
          <w:iCs/>
          <w:sz w:val="24"/>
        </w:rPr>
      </w:pPr>
      <w:r w:rsidRPr="00AB6959">
        <w:rPr>
          <w:rFonts w:ascii="Times New Roman" w:hAnsi="Times New Roman"/>
          <w:bCs/>
          <w:i/>
          <w:iCs/>
          <w:sz w:val="24"/>
        </w:rPr>
        <w:t>F</w:t>
      </w:r>
      <w:r w:rsidR="00F504F3">
        <w:rPr>
          <w:rFonts w:ascii="Times New Roman" w:hAnsi="Times New Roman"/>
          <w:bCs/>
          <w:i/>
          <w:iCs/>
          <w:sz w:val="24"/>
        </w:rPr>
        <w:t>inality of judgment</w:t>
      </w:r>
    </w:p>
    <w:p w14:paraId="31641E7D" w14:textId="77777777" w:rsidR="00AB6959" w:rsidRPr="00AB6959" w:rsidRDefault="00AB6959" w:rsidP="00AB6959">
      <w:pPr>
        <w:pStyle w:val="ListParagraph"/>
        <w:rPr>
          <w:rFonts w:ascii="Times New Roman" w:hAnsi="Times New Roman"/>
          <w:bCs/>
          <w:sz w:val="24"/>
        </w:rPr>
      </w:pPr>
    </w:p>
    <w:p w14:paraId="0D48EE45" w14:textId="3DB0958F" w:rsidR="00AB6959" w:rsidRPr="00ED4D93" w:rsidRDefault="00ED4D93" w:rsidP="00ED4D93">
      <w:pPr>
        <w:spacing w:line="480" w:lineRule="auto"/>
        <w:rPr>
          <w:rFonts w:ascii="Times New Roman" w:hAnsi="Times New Roman"/>
          <w:bCs/>
          <w:sz w:val="24"/>
        </w:rPr>
      </w:pPr>
      <w:r>
        <w:rPr>
          <w:rFonts w:ascii="Times New Roman" w:hAnsi="Times New Roman"/>
          <w:bCs/>
          <w:sz w:val="24"/>
        </w:rPr>
        <w:t>[16]</w:t>
      </w:r>
      <w:r>
        <w:rPr>
          <w:rFonts w:ascii="Times New Roman" w:hAnsi="Times New Roman"/>
          <w:bCs/>
          <w:sz w:val="24"/>
        </w:rPr>
        <w:tab/>
      </w:r>
      <w:r w:rsidR="00AB6959" w:rsidRPr="00ED4D93">
        <w:rPr>
          <w:rFonts w:ascii="Times New Roman" w:hAnsi="Times New Roman"/>
          <w:bCs/>
          <w:sz w:val="24"/>
        </w:rPr>
        <w:t xml:space="preserve">The appellant contended that the common law decrees that once a judgment has been delivered the presiding judge is </w:t>
      </w:r>
      <w:r w:rsidR="00AB6959" w:rsidRPr="00ED4D93">
        <w:rPr>
          <w:rFonts w:ascii="Times New Roman" w:hAnsi="Times New Roman"/>
          <w:bCs/>
          <w:i/>
          <w:iCs/>
          <w:sz w:val="24"/>
        </w:rPr>
        <w:t>functus officio</w:t>
      </w:r>
      <w:r w:rsidR="00AB6959" w:rsidRPr="00ED4D93">
        <w:rPr>
          <w:rFonts w:ascii="Times New Roman" w:hAnsi="Times New Roman"/>
          <w:bCs/>
          <w:sz w:val="24"/>
        </w:rPr>
        <w:t>.</w:t>
      </w:r>
      <w:r w:rsidR="0045632D" w:rsidRPr="00ED4D93">
        <w:rPr>
          <w:rFonts w:ascii="Times New Roman" w:hAnsi="Times New Roman"/>
          <w:bCs/>
          <w:sz w:val="24"/>
        </w:rPr>
        <w:t xml:space="preserve"> In explaining the rationale for this common law principle, the appellant referred to</w:t>
      </w:r>
      <w:r w:rsidR="00F05AE0" w:rsidRPr="00ED4D93">
        <w:rPr>
          <w:rFonts w:ascii="Times New Roman" w:hAnsi="Times New Roman"/>
          <w:bCs/>
          <w:sz w:val="24"/>
        </w:rPr>
        <w:t xml:space="preserve"> the</w:t>
      </w:r>
      <w:r w:rsidR="0045632D" w:rsidRPr="00ED4D93">
        <w:rPr>
          <w:rFonts w:ascii="Times New Roman" w:hAnsi="Times New Roman"/>
          <w:bCs/>
          <w:sz w:val="24"/>
        </w:rPr>
        <w:t xml:space="preserve"> </w:t>
      </w:r>
      <w:r w:rsidR="0045632D" w:rsidRPr="00ED4D93">
        <w:rPr>
          <w:rFonts w:ascii="Times New Roman" w:hAnsi="Times New Roman"/>
          <w:bCs/>
          <w:i/>
          <w:iCs/>
          <w:sz w:val="24"/>
        </w:rPr>
        <w:t>Zondi judgment</w:t>
      </w:r>
      <w:r w:rsidR="0045632D">
        <w:rPr>
          <w:rStyle w:val="FootnoteReference"/>
          <w:rFonts w:ascii="Times New Roman" w:hAnsi="Times New Roman"/>
          <w:bCs/>
          <w:i/>
          <w:iCs/>
          <w:sz w:val="24"/>
        </w:rPr>
        <w:footnoteReference w:id="7"/>
      </w:r>
      <w:r w:rsidR="0045632D" w:rsidRPr="00ED4D93">
        <w:rPr>
          <w:rFonts w:ascii="Times New Roman" w:hAnsi="Times New Roman"/>
          <w:bCs/>
          <w:sz w:val="24"/>
        </w:rPr>
        <w:t xml:space="preserve"> where the court illustrated that the object is to ensure that once a judge has exercised his</w:t>
      </w:r>
      <w:r w:rsidR="00BB20B2" w:rsidRPr="00ED4D93">
        <w:rPr>
          <w:rFonts w:ascii="Times New Roman" w:hAnsi="Times New Roman"/>
          <w:bCs/>
          <w:sz w:val="24"/>
        </w:rPr>
        <w:t xml:space="preserve"> or her</w:t>
      </w:r>
      <w:r w:rsidR="0045632D" w:rsidRPr="00ED4D93">
        <w:rPr>
          <w:rFonts w:ascii="Times New Roman" w:hAnsi="Times New Roman"/>
          <w:bCs/>
          <w:sz w:val="24"/>
        </w:rPr>
        <w:t xml:space="preserve"> jurisdiction and </w:t>
      </w:r>
      <w:r w:rsidR="00F05AE0" w:rsidRPr="00ED4D93">
        <w:rPr>
          <w:rFonts w:ascii="Times New Roman" w:hAnsi="Times New Roman"/>
          <w:bCs/>
          <w:sz w:val="24"/>
        </w:rPr>
        <w:t>has given</w:t>
      </w:r>
      <w:r w:rsidR="0045632D" w:rsidRPr="00ED4D93">
        <w:rPr>
          <w:rFonts w:ascii="Times New Roman" w:hAnsi="Times New Roman"/>
          <w:bCs/>
          <w:sz w:val="24"/>
        </w:rPr>
        <w:t xml:space="preserve"> a final order</w:t>
      </w:r>
      <w:r w:rsidR="00BB20B2" w:rsidRPr="00ED4D93">
        <w:rPr>
          <w:rFonts w:ascii="Times New Roman" w:hAnsi="Times New Roman"/>
          <w:bCs/>
          <w:sz w:val="24"/>
        </w:rPr>
        <w:t>,</w:t>
      </w:r>
      <w:r w:rsidR="0045632D" w:rsidRPr="00ED4D93">
        <w:rPr>
          <w:rFonts w:ascii="Times New Roman" w:hAnsi="Times New Roman"/>
          <w:bCs/>
          <w:sz w:val="24"/>
        </w:rPr>
        <w:t xml:space="preserve"> his or her authority ceases to exist</w:t>
      </w:r>
      <w:r w:rsidR="001C3545" w:rsidRPr="00ED4D93">
        <w:rPr>
          <w:rFonts w:ascii="Times New Roman" w:hAnsi="Times New Roman"/>
          <w:bCs/>
          <w:sz w:val="24"/>
        </w:rPr>
        <w:t xml:space="preserve">. The other objective is that </w:t>
      </w:r>
      <w:r w:rsidR="0045632D" w:rsidRPr="00ED4D93">
        <w:rPr>
          <w:rFonts w:ascii="Times New Roman" w:hAnsi="Times New Roman"/>
          <w:bCs/>
          <w:sz w:val="24"/>
        </w:rPr>
        <w:t xml:space="preserve">it is in the </w:t>
      </w:r>
      <w:r w:rsidR="006076FB" w:rsidRPr="00ED4D93">
        <w:rPr>
          <w:rFonts w:ascii="Times New Roman" w:hAnsi="Times New Roman"/>
          <w:bCs/>
          <w:sz w:val="24"/>
        </w:rPr>
        <w:t>interest</w:t>
      </w:r>
      <w:r w:rsidR="0045632D" w:rsidRPr="00ED4D93">
        <w:rPr>
          <w:rFonts w:ascii="Times New Roman" w:hAnsi="Times New Roman"/>
          <w:bCs/>
          <w:sz w:val="24"/>
        </w:rPr>
        <w:t xml:space="preserve"> of the public to bring the litigation to finality.</w:t>
      </w:r>
      <w:r w:rsidR="0045632D">
        <w:rPr>
          <w:rStyle w:val="FootnoteReference"/>
          <w:rFonts w:ascii="Times New Roman" w:hAnsi="Times New Roman"/>
          <w:bCs/>
          <w:sz w:val="24"/>
        </w:rPr>
        <w:footnoteReference w:id="8"/>
      </w:r>
      <w:r w:rsidR="0045632D" w:rsidRPr="00ED4D93">
        <w:rPr>
          <w:rFonts w:ascii="Times New Roman" w:hAnsi="Times New Roman"/>
          <w:bCs/>
          <w:sz w:val="24"/>
        </w:rPr>
        <w:t xml:space="preserve"> </w:t>
      </w:r>
      <w:r w:rsidR="00AB6959" w:rsidRPr="00ED4D93">
        <w:rPr>
          <w:rFonts w:ascii="Times New Roman" w:hAnsi="Times New Roman"/>
          <w:bCs/>
          <w:sz w:val="24"/>
        </w:rPr>
        <w:t xml:space="preserve"> Counsel submitted that </w:t>
      </w:r>
      <w:r w:rsidR="00AB6959" w:rsidRPr="00ED4D93">
        <w:rPr>
          <w:rFonts w:ascii="Times New Roman" w:hAnsi="Times New Roman"/>
          <w:bCs/>
          <w:sz w:val="24"/>
        </w:rPr>
        <w:lastRenderedPageBreak/>
        <w:t>there are exceptions to the rule which must be invoked sparingly.</w:t>
      </w:r>
      <w:r w:rsidR="0019439A">
        <w:rPr>
          <w:rStyle w:val="FootnoteReference"/>
          <w:rFonts w:ascii="Times New Roman" w:hAnsi="Times New Roman"/>
          <w:bCs/>
          <w:sz w:val="24"/>
        </w:rPr>
        <w:footnoteReference w:id="9"/>
      </w:r>
      <w:r w:rsidR="00F504F3" w:rsidRPr="00ED4D93">
        <w:rPr>
          <w:rFonts w:ascii="Times New Roman" w:hAnsi="Times New Roman"/>
          <w:bCs/>
          <w:sz w:val="24"/>
        </w:rPr>
        <w:t xml:space="preserve"> The exception is as set out in rule 42(1)(b) and has been dealt with in several cases where it was held that, </w:t>
      </w:r>
      <w:r w:rsidR="00F504F3" w:rsidRPr="00ED4D93">
        <w:rPr>
          <w:rFonts w:ascii="Times New Roman" w:hAnsi="Times New Roman"/>
          <w:bCs/>
          <w:i/>
          <w:iCs/>
          <w:sz w:val="24"/>
        </w:rPr>
        <w:t>inter alia</w:t>
      </w:r>
      <w:r w:rsidR="00F504F3" w:rsidRPr="00ED4D93">
        <w:rPr>
          <w:rFonts w:ascii="Times New Roman" w:hAnsi="Times New Roman"/>
          <w:bCs/>
          <w:sz w:val="24"/>
        </w:rPr>
        <w:t>, where a judgment is clear and unambiguous no extrinsic evidence</w:t>
      </w:r>
      <w:r w:rsidR="00BF0611" w:rsidRPr="00ED4D93">
        <w:rPr>
          <w:rFonts w:ascii="Times New Roman" w:hAnsi="Times New Roman"/>
          <w:bCs/>
          <w:sz w:val="24"/>
        </w:rPr>
        <w:t xml:space="preserve"> should be invoked to assist in the interpretation. Furthermore, </w:t>
      </w:r>
      <w:r w:rsidR="00F05AE0" w:rsidRPr="00ED4D93">
        <w:rPr>
          <w:rFonts w:ascii="Times New Roman" w:hAnsi="Times New Roman"/>
          <w:bCs/>
          <w:sz w:val="24"/>
        </w:rPr>
        <w:t xml:space="preserve">the </w:t>
      </w:r>
      <w:r w:rsidR="00BF0611" w:rsidRPr="00ED4D93">
        <w:rPr>
          <w:rFonts w:ascii="Times New Roman" w:hAnsi="Times New Roman"/>
          <w:bCs/>
          <w:sz w:val="24"/>
        </w:rPr>
        <w:t xml:space="preserve">variation of </w:t>
      </w:r>
      <w:r w:rsidR="00F05AE0" w:rsidRPr="00ED4D93">
        <w:rPr>
          <w:rFonts w:ascii="Times New Roman" w:hAnsi="Times New Roman"/>
          <w:bCs/>
          <w:sz w:val="24"/>
        </w:rPr>
        <w:t xml:space="preserve">a </w:t>
      </w:r>
      <w:r w:rsidR="00BF0611" w:rsidRPr="00ED4D93">
        <w:rPr>
          <w:rFonts w:ascii="Times New Roman" w:hAnsi="Times New Roman"/>
          <w:bCs/>
          <w:sz w:val="24"/>
        </w:rPr>
        <w:t>judgment should not alter the sense and substance of the judgment.</w:t>
      </w:r>
    </w:p>
    <w:p w14:paraId="3B5AD57F" w14:textId="77777777" w:rsidR="00BF0611" w:rsidRPr="001C3545" w:rsidRDefault="00BF0611" w:rsidP="001C3545">
      <w:pPr>
        <w:rPr>
          <w:rFonts w:ascii="Times New Roman" w:hAnsi="Times New Roman"/>
          <w:bCs/>
          <w:sz w:val="24"/>
        </w:rPr>
      </w:pPr>
    </w:p>
    <w:p w14:paraId="26BD47C6" w14:textId="488B9FF8" w:rsidR="00BF0611" w:rsidRPr="00ED4D93" w:rsidRDefault="00ED4D93" w:rsidP="00ED4D93">
      <w:pPr>
        <w:spacing w:line="480" w:lineRule="auto"/>
        <w:rPr>
          <w:rFonts w:ascii="Times New Roman" w:hAnsi="Times New Roman"/>
          <w:bCs/>
          <w:sz w:val="24"/>
        </w:rPr>
      </w:pPr>
      <w:r>
        <w:rPr>
          <w:rFonts w:ascii="Times New Roman" w:hAnsi="Times New Roman"/>
          <w:bCs/>
          <w:sz w:val="24"/>
        </w:rPr>
        <w:t>[17]</w:t>
      </w:r>
      <w:r>
        <w:rPr>
          <w:rFonts w:ascii="Times New Roman" w:hAnsi="Times New Roman"/>
          <w:bCs/>
          <w:sz w:val="24"/>
        </w:rPr>
        <w:tab/>
      </w:r>
      <w:r w:rsidR="00BF0611" w:rsidRPr="00ED4D93">
        <w:rPr>
          <w:rFonts w:ascii="Times New Roman" w:hAnsi="Times New Roman"/>
          <w:bCs/>
          <w:sz w:val="24"/>
        </w:rPr>
        <w:t>The appellant contended that the fact that Senyatsi AJ decided that the amount of the accrual is R3 300 000.00 meant that he had regard to the remainder of the assets</w:t>
      </w:r>
      <w:r w:rsidR="00BF0611">
        <w:rPr>
          <w:rStyle w:val="FootnoteReference"/>
          <w:rFonts w:ascii="Times New Roman" w:hAnsi="Times New Roman"/>
          <w:bCs/>
          <w:sz w:val="24"/>
        </w:rPr>
        <w:footnoteReference w:id="10"/>
      </w:r>
      <w:r w:rsidR="00BF0611" w:rsidRPr="00ED4D93">
        <w:rPr>
          <w:rFonts w:ascii="Times New Roman" w:hAnsi="Times New Roman"/>
          <w:bCs/>
          <w:sz w:val="24"/>
        </w:rPr>
        <w:t xml:space="preserve"> of the parties and held that the figures in the expert’s report add no value in the determination of the accrual. The order of Senyatsi</w:t>
      </w:r>
      <w:r w:rsidR="00F05AE0" w:rsidRPr="00ED4D93">
        <w:rPr>
          <w:rFonts w:ascii="Times New Roman" w:hAnsi="Times New Roman"/>
          <w:bCs/>
          <w:sz w:val="24"/>
        </w:rPr>
        <w:t xml:space="preserve"> AJ</w:t>
      </w:r>
      <w:r w:rsidR="00BF0611" w:rsidRPr="00ED4D93">
        <w:rPr>
          <w:rFonts w:ascii="Times New Roman" w:hAnsi="Times New Roman"/>
          <w:bCs/>
          <w:sz w:val="24"/>
        </w:rPr>
        <w:t xml:space="preserve"> was therefore unambiguous and clear and there was no need to vary same in terms of rule 42(1). In addition, if it was not correct Senyatsi AJ</w:t>
      </w:r>
      <w:r w:rsidR="001C3545" w:rsidRPr="00ED4D93">
        <w:rPr>
          <w:rFonts w:ascii="Times New Roman" w:hAnsi="Times New Roman"/>
          <w:bCs/>
          <w:sz w:val="24"/>
        </w:rPr>
        <w:t xml:space="preserve"> </w:t>
      </w:r>
      <w:r w:rsidR="00BF0611" w:rsidRPr="00ED4D93">
        <w:rPr>
          <w:rFonts w:ascii="Times New Roman" w:hAnsi="Times New Roman"/>
          <w:bCs/>
          <w:sz w:val="24"/>
        </w:rPr>
        <w:t xml:space="preserve">would have decided that the accrual due to the respondent is R1 650 000.00 </w:t>
      </w:r>
      <w:r w:rsidR="001C3545" w:rsidRPr="00ED4D93">
        <w:rPr>
          <w:rFonts w:ascii="Times New Roman" w:hAnsi="Times New Roman"/>
          <w:bCs/>
          <w:sz w:val="24"/>
        </w:rPr>
        <w:t xml:space="preserve">(being half of the R3 300 000.00) </w:t>
      </w:r>
      <w:r w:rsidR="00BF0611" w:rsidRPr="00ED4D93">
        <w:rPr>
          <w:rFonts w:ascii="Times New Roman" w:hAnsi="Times New Roman"/>
          <w:bCs/>
          <w:sz w:val="24"/>
        </w:rPr>
        <w:t>when calculating same in accordance with section 3 and 4 of the MPA.</w:t>
      </w:r>
    </w:p>
    <w:p w14:paraId="513F4876" w14:textId="77777777" w:rsidR="00BF0611" w:rsidRDefault="00BF0611" w:rsidP="00BF0611">
      <w:pPr>
        <w:pStyle w:val="ListParagraph"/>
        <w:spacing w:line="480" w:lineRule="auto"/>
        <w:ind w:left="0"/>
        <w:contextualSpacing w:val="0"/>
        <w:rPr>
          <w:rFonts w:ascii="Times New Roman" w:hAnsi="Times New Roman"/>
          <w:bCs/>
          <w:sz w:val="24"/>
        </w:rPr>
      </w:pPr>
    </w:p>
    <w:p w14:paraId="03CBBC8D" w14:textId="2DB0F10D" w:rsidR="00BF0611" w:rsidRPr="00ED4D93" w:rsidRDefault="00ED4D93" w:rsidP="00ED4D93">
      <w:pPr>
        <w:spacing w:line="480" w:lineRule="auto"/>
        <w:rPr>
          <w:rFonts w:ascii="Times New Roman" w:hAnsi="Times New Roman"/>
          <w:bCs/>
          <w:sz w:val="24"/>
        </w:rPr>
      </w:pPr>
      <w:r w:rsidRPr="00000B7D">
        <w:rPr>
          <w:rFonts w:ascii="Times New Roman" w:hAnsi="Times New Roman"/>
          <w:bCs/>
          <w:sz w:val="24"/>
        </w:rPr>
        <w:t>[18]</w:t>
      </w:r>
      <w:r w:rsidRPr="00000B7D">
        <w:rPr>
          <w:rFonts w:ascii="Times New Roman" w:hAnsi="Times New Roman"/>
          <w:bCs/>
          <w:sz w:val="24"/>
        </w:rPr>
        <w:tab/>
      </w:r>
      <w:r w:rsidR="00BF0611" w:rsidRPr="00ED4D93">
        <w:rPr>
          <w:rFonts w:ascii="Times New Roman" w:hAnsi="Times New Roman"/>
          <w:bCs/>
          <w:sz w:val="24"/>
        </w:rPr>
        <w:t xml:space="preserve">The respondent in retort contended that the </w:t>
      </w:r>
      <w:r w:rsidR="00FB1604" w:rsidRPr="00ED4D93">
        <w:rPr>
          <w:rFonts w:ascii="Times New Roman" w:hAnsi="Times New Roman"/>
          <w:bCs/>
          <w:sz w:val="24"/>
        </w:rPr>
        <w:t xml:space="preserve">error committed by Senyatsi AJ was to mistakenly </w:t>
      </w:r>
      <w:r w:rsidR="00F05AE0" w:rsidRPr="00ED4D93">
        <w:rPr>
          <w:rFonts w:ascii="Times New Roman" w:hAnsi="Times New Roman"/>
          <w:bCs/>
          <w:sz w:val="24"/>
        </w:rPr>
        <w:t xml:space="preserve">have </w:t>
      </w:r>
      <w:r w:rsidR="00FB1604" w:rsidRPr="00ED4D93">
        <w:rPr>
          <w:rFonts w:ascii="Times New Roman" w:hAnsi="Times New Roman"/>
          <w:bCs/>
          <w:sz w:val="24"/>
        </w:rPr>
        <w:t xml:space="preserve">used the incorrect capital amount to determine the amount due to the respondent and further deducting R263 000.00 for Mr Getz’s services from her share. </w:t>
      </w:r>
      <w:r w:rsidR="00000B7D" w:rsidRPr="00ED4D93">
        <w:rPr>
          <w:rFonts w:ascii="Times New Roman" w:hAnsi="Times New Roman"/>
          <w:bCs/>
          <w:sz w:val="24"/>
        </w:rPr>
        <w:t>Th</w:t>
      </w:r>
      <w:r w:rsidR="001C3545" w:rsidRPr="00ED4D93">
        <w:rPr>
          <w:rFonts w:ascii="Times New Roman" w:hAnsi="Times New Roman"/>
          <w:bCs/>
          <w:sz w:val="24"/>
        </w:rPr>
        <w:t xml:space="preserve">is </w:t>
      </w:r>
      <w:r w:rsidR="00000B7D" w:rsidRPr="00ED4D93">
        <w:rPr>
          <w:rFonts w:ascii="Times New Roman" w:hAnsi="Times New Roman"/>
          <w:bCs/>
          <w:sz w:val="24"/>
        </w:rPr>
        <w:t>error</w:t>
      </w:r>
      <w:r w:rsidR="001C3545" w:rsidRPr="00ED4D93">
        <w:rPr>
          <w:rFonts w:ascii="Times New Roman" w:hAnsi="Times New Roman"/>
          <w:bCs/>
          <w:sz w:val="24"/>
        </w:rPr>
        <w:t xml:space="preserve">, so </w:t>
      </w:r>
      <w:r w:rsidR="00F05AE0" w:rsidRPr="00ED4D93">
        <w:rPr>
          <w:rFonts w:ascii="Times New Roman" w:hAnsi="Times New Roman"/>
          <w:bCs/>
          <w:sz w:val="24"/>
        </w:rPr>
        <w:t xml:space="preserve">the </w:t>
      </w:r>
      <w:r w:rsidR="001C3545" w:rsidRPr="00ED4D93">
        <w:rPr>
          <w:rFonts w:ascii="Times New Roman" w:hAnsi="Times New Roman"/>
          <w:bCs/>
          <w:sz w:val="24"/>
        </w:rPr>
        <w:t>argument continued,</w:t>
      </w:r>
      <w:r w:rsidR="00000B7D" w:rsidRPr="00ED4D93">
        <w:rPr>
          <w:rFonts w:ascii="Times New Roman" w:hAnsi="Times New Roman"/>
          <w:bCs/>
          <w:sz w:val="24"/>
        </w:rPr>
        <w:t xml:space="preserve"> was also admitted by the appellants who stated in its written submissions that </w:t>
      </w:r>
      <w:r w:rsidR="00000B7D" w:rsidRPr="00ED4D93">
        <w:rPr>
          <w:rFonts w:ascii="Times New Roman" w:hAnsi="Times New Roman"/>
          <w:bCs/>
          <w:i/>
          <w:iCs/>
          <w:sz w:val="24"/>
        </w:rPr>
        <w:t>“Judge Senyatsi</w:t>
      </w:r>
      <w:r w:rsidR="001C3545" w:rsidRPr="00ED4D93">
        <w:rPr>
          <w:rFonts w:ascii="Times New Roman" w:hAnsi="Times New Roman"/>
          <w:bCs/>
          <w:i/>
          <w:iCs/>
          <w:sz w:val="24"/>
        </w:rPr>
        <w:t xml:space="preserve"> then</w:t>
      </w:r>
      <w:r w:rsidR="00000B7D" w:rsidRPr="00ED4D93">
        <w:rPr>
          <w:rFonts w:ascii="Times New Roman" w:hAnsi="Times New Roman"/>
          <w:bCs/>
          <w:i/>
          <w:iCs/>
          <w:sz w:val="24"/>
        </w:rPr>
        <w:t>, it seems incorrectly, uses the valuation of LBMC, which he finds to be R3 300 000.00 as the accrual due to the applicant…”.</w:t>
      </w:r>
      <w:r w:rsidR="00000B7D">
        <w:rPr>
          <w:rStyle w:val="FootnoteReference"/>
          <w:rFonts w:ascii="Times New Roman" w:hAnsi="Times New Roman"/>
          <w:bCs/>
          <w:i/>
          <w:iCs/>
          <w:sz w:val="24"/>
        </w:rPr>
        <w:footnoteReference w:id="11"/>
      </w:r>
      <w:r w:rsidR="00F83371" w:rsidRPr="00ED4D93">
        <w:rPr>
          <w:rFonts w:ascii="Times New Roman" w:hAnsi="Times New Roman"/>
          <w:bCs/>
          <w:i/>
          <w:iCs/>
          <w:sz w:val="24"/>
        </w:rPr>
        <w:t xml:space="preserve">, </w:t>
      </w:r>
      <w:r w:rsidR="001C3545" w:rsidRPr="00ED4D93">
        <w:rPr>
          <w:rFonts w:ascii="Times New Roman" w:hAnsi="Times New Roman"/>
          <w:bCs/>
          <w:sz w:val="24"/>
        </w:rPr>
        <w:t>(</w:t>
      </w:r>
      <w:r w:rsidR="001C3545" w:rsidRPr="00ED4D93">
        <w:rPr>
          <w:rFonts w:ascii="Times New Roman" w:hAnsi="Times New Roman"/>
          <w:bCs/>
          <w:i/>
          <w:iCs/>
          <w:sz w:val="24"/>
        </w:rPr>
        <w:t>sic</w:t>
      </w:r>
      <w:r w:rsidR="001C3545" w:rsidRPr="00ED4D93">
        <w:rPr>
          <w:rFonts w:ascii="Times New Roman" w:hAnsi="Times New Roman"/>
          <w:bCs/>
          <w:sz w:val="24"/>
        </w:rPr>
        <w:t>)</w:t>
      </w:r>
      <w:r w:rsidR="001C3545" w:rsidRPr="00ED4D93">
        <w:rPr>
          <w:rFonts w:ascii="Times New Roman" w:hAnsi="Times New Roman"/>
          <w:bCs/>
          <w:i/>
          <w:iCs/>
          <w:sz w:val="24"/>
        </w:rPr>
        <w:t xml:space="preserve">. </w:t>
      </w:r>
      <w:r w:rsidR="001C3545" w:rsidRPr="00ED4D93">
        <w:rPr>
          <w:rFonts w:ascii="Times New Roman" w:hAnsi="Times New Roman"/>
          <w:bCs/>
          <w:sz w:val="24"/>
        </w:rPr>
        <w:t>I</w:t>
      </w:r>
      <w:r w:rsidR="00000B7D" w:rsidRPr="00ED4D93">
        <w:rPr>
          <w:rFonts w:ascii="Times New Roman" w:hAnsi="Times New Roman"/>
          <w:bCs/>
          <w:sz w:val="24"/>
        </w:rPr>
        <w:t>n the premises, so the argument continued, r</w:t>
      </w:r>
      <w:r w:rsidR="00FB1604" w:rsidRPr="00ED4D93">
        <w:rPr>
          <w:rFonts w:ascii="Times New Roman" w:hAnsi="Times New Roman"/>
          <w:bCs/>
          <w:sz w:val="24"/>
        </w:rPr>
        <w:t>ectifying this error/omission does not amount to chang</w:t>
      </w:r>
      <w:r w:rsidR="00F05AE0" w:rsidRPr="00ED4D93">
        <w:rPr>
          <w:rFonts w:ascii="Times New Roman" w:hAnsi="Times New Roman"/>
          <w:bCs/>
          <w:sz w:val="24"/>
        </w:rPr>
        <w:t>ing</w:t>
      </w:r>
      <w:r w:rsidR="00FB1604" w:rsidRPr="00ED4D93">
        <w:rPr>
          <w:rFonts w:ascii="Times New Roman" w:hAnsi="Times New Roman"/>
          <w:bCs/>
          <w:sz w:val="24"/>
        </w:rPr>
        <w:t xml:space="preserve"> the essence and substance of the judgment.</w:t>
      </w:r>
      <w:r w:rsidR="00BF0611" w:rsidRPr="00ED4D93">
        <w:rPr>
          <w:rFonts w:ascii="Times New Roman" w:hAnsi="Times New Roman"/>
          <w:bCs/>
          <w:sz w:val="24"/>
        </w:rPr>
        <w:t xml:space="preserve"> </w:t>
      </w:r>
    </w:p>
    <w:p w14:paraId="0D1A9E21" w14:textId="77777777" w:rsidR="00716AC6" w:rsidRPr="00716AC6" w:rsidRDefault="00716AC6" w:rsidP="00716AC6">
      <w:pPr>
        <w:pStyle w:val="ListParagraph"/>
        <w:rPr>
          <w:rFonts w:ascii="Times New Roman" w:hAnsi="Times New Roman"/>
          <w:bCs/>
          <w:sz w:val="24"/>
        </w:rPr>
      </w:pPr>
    </w:p>
    <w:p w14:paraId="748F0503" w14:textId="189DDF43" w:rsidR="00EB0F98" w:rsidRPr="00EB0F98" w:rsidRDefault="00EB0F98" w:rsidP="00BF0611">
      <w:pPr>
        <w:pStyle w:val="ListParagraph"/>
        <w:spacing w:line="480" w:lineRule="auto"/>
        <w:ind w:left="0" w:firstLine="720"/>
        <w:contextualSpacing w:val="0"/>
        <w:rPr>
          <w:rFonts w:ascii="Times New Roman" w:hAnsi="Times New Roman"/>
          <w:bCs/>
          <w:i/>
          <w:iCs/>
          <w:sz w:val="24"/>
        </w:rPr>
      </w:pPr>
      <w:r w:rsidRPr="00EB0F98">
        <w:rPr>
          <w:rFonts w:ascii="Times New Roman" w:hAnsi="Times New Roman"/>
          <w:bCs/>
          <w:i/>
          <w:iCs/>
          <w:sz w:val="24"/>
        </w:rPr>
        <w:lastRenderedPageBreak/>
        <w:t>Agreement on the remainder</w:t>
      </w:r>
      <w:r w:rsidR="006166C3">
        <w:rPr>
          <w:rFonts w:ascii="Times New Roman" w:hAnsi="Times New Roman"/>
          <w:bCs/>
          <w:i/>
          <w:iCs/>
          <w:sz w:val="24"/>
        </w:rPr>
        <w:t xml:space="preserve"> of the parties</w:t>
      </w:r>
      <w:r w:rsidR="00FB1604">
        <w:rPr>
          <w:rFonts w:ascii="Times New Roman" w:hAnsi="Times New Roman"/>
          <w:bCs/>
          <w:i/>
          <w:iCs/>
          <w:sz w:val="24"/>
        </w:rPr>
        <w:t>’</w:t>
      </w:r>
      <w:r w:rsidR="006166C3">
        <w:rPr>
          <w:rFonts w:ascii="Times New Roman" w:hAnsi="Times New Roman"/>
          <w:bCs/>
          <w:i/>
          <w:iCs/>
          <w:sz w:val="24"/>
        </w:rPr>
        <w:t xml:space="preserve"> assets</w:t>
      </w:r>
      <w:r w:rsidRPr="00EB0F98">
        <w:rPr>
          <w:rFonts w:ascii="Times New Roman" w:hAnsi="Times New Roman"/>
          <w:bCs/>
          <w:i/>
          <w:iCs/>
          <w:sz w:val="24"/>
        </w:rPr>
        <w:t>.</w:t>
      </w:r>
    </w:p>
    <w:p w14:paraId="2DC02E90" w14:textId="77777777" w:rsidR="00EB0F98" w:rsidRPr="00EB0F98" w:rsidRDefault="00EB0F98" w:rsidP="00EB0F98">
      <w:pPr>
        <w:pStyle w:val="ListParagraph"/>
        <w:rPr>
          <w:rFonts w:ascii="Times New Roman" w:hAnsi="Times New Roman"/>
          <w:bCs/>
          <w:sz w:val="24"/>
        </w:rPr>
      </w:pPr>
    </w:p>
    <w:p w14:paraId="4322F5A5" w14:textId="06E83C59" w:rsidR="00705C74" w:rsidRPr="00ED4D93" w:rsidRDefault="00ED4D93" w:rsidP="00ED4D93">
      <w:pPr>
        <w:spacing w:line="480" w:lineRule="auto"/>
        <w:rPr>
          <w:rFonts w:ascii="Times New Roman" w:hAnsi="Times New Roman"/>
          <w:bCs/>
          <w:sz w:val="24"/>
        </w:rPr>
      </w:pPr>
      <w:r>
        <w:rPr>
          <w:rFonts w:ascii="Times New Roman" w:hAnsi="Times New Roman"/>
          <w:bCs/>
          <w:sz w:val="24"/>
        </w:rPr>
        <w:t>[19]</w:t>
      </w:r>
      <w:r>
        <w:rPr>
          <w:rFonts w:ascii="Times New Roman" w:hAnsi="Times New Roman"/>
          <w:bCs/>
          <w:sz w:val="24"/>
        </w:rPr>
        <w:tab/>
      </w:r>
      <w:r w:rsidR="00EB0F98" w:rsidRPr="00ED4D93">
        <w:rPr>
          <w:rFonts w:ascii="Times New Roman" w:hAnsi="Times New Roman"/>
          <w:bCs/>
          <w:sz w:val="24"/>
        </w:rPr>
        <w:t xml:space="preserve">The appellant contends that what Senyatsi AJ was seized with </w:t>
      </w:r>
      <w:r w:rsidR="00000B7D" w:rsidRPr="00ED4D93">
        <w:rPr>
          <w:rFonts w:ascii="Times New Roman" w:hAnsi="Times New Roman"/>
          <w:bCs/>
          <w:sz w:val="24"/>
        </w:rPr>
        <w:t xml:space="preserve">was the dispute as </w:t>
      </w:r>
      <w:r w:rsidR="00EB0F98" w:rsidRPr="00ED4D93">
        <w:rPr>
          <w:rFonts w:ascii="Times New Roman" w:hAnsi="Times New Roman"/>
          <w:bCs/>
          <w:sz w:val="24"/>
        </w:rPr>
        <w:t xml:space="preserve">was in the pretrial minutes </w:t>
      </w:r>
      <w:r w:rsidR="001108A6" w:rsidRPr="00ED4D93">
        <w:rPr>
          <w:rFonts w:ascii="Times New Roman" w:hAnsi="Times New Roman"/>
          <w:bCs/>
          <w:sz w:val="24"/>
        </w:rPr>
        <w:t xml:space="preserve">of 19 September 2019 </w:t>
      </w:r>
      <w:r w:rsidR="001C3545" w:rsidRPr="00ED4D93">
        <w:rPr>
          <w:rFonts w:ascii="Times New Roman" w:hAnsi="Times New Roman"/>
          <w:bCs/>
          <w:sz w:val="24"/>
        </w:rPr>
        <w:t xml:space="preserve">in terms of which everything was in dispute </w:t>
      </w:r>
      <w:r w:rsidR="00EB0F98" w:rsidRPr="00ED4D93">
        <w:rPr>
          <w:rFonts w:ascii="Times New Roman" w:hAnsi="Times New Roman"/>
          <w:bCs/>
          <w:sz w:val="24"/>
        </w:rPr>
        <w:t xml:space="preserve">and there was no agreement to limit the issues to the valuation of the shares in LBMC. In addition, </w:t>
      </w:r>
      <w:r w:rsidR="001C3545" w:rsidRPr="00ED4D93">
        <w:rPr>
          <w:rFonts w:ascii="Times New Roman" w:hAnsi="Times New Roman"/>
          <w:bCs/>
          <w:sz w:val="24"/>
        </w:rPr>
        <w:t xml:space="preserve">that </w:t>
      </w:r>
      <w:r w:rsidR="00EB0F98" w:rsidRPr="00ED4D93">
        <w:rPr>
          <w:rFonts w:ascii="Times New Roman" w:hAnsi="Times New Roman"/>
          <w:bCs/>
          <w:sz w:val="24"/>
        </w:rPr>
        <w:t xml:space="preserve">the respondent did not attach the whole </w:t>
      </w:r>
      <w:r w:rsidR="00000B7D" w:rsidRPr="00ED4D93">
        <w:rPr>
          <w:rFonts w:ascii="Times New Roman" w:hAnsi="Times New Roman"/>
          <w:bCs/>
          <w:sz w:val="24"/>
        </w:rPr>
        <w:t xml:space="preserve">transcript of </w:t>
      </w:r>
      <w:r w:rsidR="00EB0F98" w:rsidRPr="00ED4D93">
        <w:rPr>
          <w:rFonts w:ascii="Times New Roman" w:hAnsi="Times New Roman"/>
          <w:bCs/>
          <w:sz w:val="24"/>
        </w:rPr>
        <w:t>record of the hearing before Senyatsi AJ which therefore failed to present the comprehensive context of what transpired.</w:t>
      </w:r>
      <w:r w:rsidR="00000B7D" w:rsidRPr="00ED4D93">
        <w:rPr>
          <w:rFonts w:ascii="Times New Roman" w:hAnsi="Times New Roman"/>
          <w:bCs/>
          <w:sz w:val="24"/>
        </w:rPr>
        <w:t xml:space="preserve"> The appellant </w:t>
      </w:r>
      <w:r w:rsidR="001C3545" w:rsidRPr="00ED4D93">
        <w:rPr>
          <w:rFonts w:ascii="Times New Roman" w:hAnsi="Times New Roman"/>
          <w:bCs/>
          <w:sz w:val="24"/>
        </w:rPr>
        <w:t xml:space="preserve">had </w:t>
      </w:r>
      <w:r w:rsidR="00000B7D" w:rsidRPr="00ED4D93">
        <w:rPr>
          <w:rFonts w:ascii="Times New Roman" w:hAnsi="Times New Roman"/>
          <w:bCs/>
          <w:sz w:val="24"/>
        </w:rPr>
        <w:t>requested the whole transcript to be made available in terms of rule 35 which the respondent failed to heed.</w:t>
      </w:r>
      <w:r w:rsidR="00EB0F98" w:rsidRPr="00ED4D93">
        <w:rPr>
          <w:rFonts w:ascii="Times New Roman" w:hAnsi="Times New Roman"/>
          <w:bCs/>
          <w:sz w:val="24"/>
        </w:rPr>
        <w:t xml:space="preserve"> </w:t>
      </w:r>
      <w:r w:rsidR="00857790" w:rsidRPr="00ED4D93">
        <w:rPr>
          <w:rFonts w:ascii="Times New Roman" w:hAnsi="Times New Roman"/>
          <w:bCs/>
          <w:sz w:val="24"/>
        </w:rPr>
        <w:t xml:space="preserve"> </w:t>
      </w:r>
      <w:r w:rsidR="005B566E" w:rsidRPr="00ED4D93">
        <w:rPr>
          <w:rFonts w:ascii="Times New Roman" w:hAnsi="Times New Roman"/>
          <w:bCs/>
          <w:sz w:val="24"/>
        </w:rPr>
        <w:t xml:space="preserve">  </w:t>
      </w:r>
    </w:p>
    <w:p w14:paraId="0431B7EF" w14:textId="77777777" w:rsidR="00385941" w:rsidRDefault="00385941" w:rsidP="00385941">
      <w:pPr>
        <w:pStyle w:val="ListParagraph"/>
        <w:spacing w:line="480" w:lineRule="auto"/>
        <w:ind w:left="0"/>
        <w:contextualSpacing w:val="0"/>
        <w:rPr>
          <w:rFonts w:ascii="Times New Roman" w:hAnsi="Times New Roman"/>
          <w:bCs/>
          <w:sz w:val="24"/>
        </w:rPr>
      </w:pPr>
    </w:p>
    <w:p w14:paraId="10507C83" w14:textId="5C7CB4D2" w:rsidR="00385941" w:rsidRPr="00ED4D93" w:rsidRDefault="00ED4D93" w:rsidP="00ED4D93">
      <w:pPr>
        <w:spacing w:line="480" w:lineRule="auto"/>
        <w:rPr>
          <w:rFonts w:ascii="Times New Roman" w:hAnsi="Times New Roman"/>
          <w:bCs/>
          <w:sz w:val="24"/>
        </w:rPr>
      </w:pPr>
      <w:r>
        <w:rPr>
          <w:rFonts w:ascii="Times New Roman" w:hAnsi="Times New Roman"/>
          <w:bCs/>
          <w:sz w:val="24"/>
        </w:rPr>
        <w:t>[20]</w:t>
      </w:r>
      <w:r>
        <w:rPr>
          <w:rFonts w:ascii="Times New Roman" w:hAnsi="Times New Roman"/>
          <w:bCs/>
          <w:sz w:val="24"/>
        </w:rPr>
        <w:tab/>
      </w:r>
      <w:r w:rsidR="00385941" w:rsidRPr="00ED4D93">
        <w:rPr>
          <w:rFonts w:ascii="Times New Roman" w:hAnsi="Times New Roman"/>
          <w:bCs/>
          <w:sz w:val="24"/>
        </w:rPr>
        <w:t xml:space="preserve">The appellant averred that </w:t>
      </w:r>
      <w:r w:rsidR="00385941" w:rsidRPr="00ED4D93">
        <w:rPr>
          <w:rFonts w:ascii="Times New Roman" w:hAnsi="Times New Roman"/>
          <w:bCs/>
          <w:i/>
          <w:iCs/>
          <w:sz w:val="24"/>
        </w:rPr>
        <w:t>‘… the court could not place a value on the remainder of the value of the respective estates and made no finding in this regard as it did not accept the expert evidence in this regard’</w:t>
      </w:r>
      <w:r w:rsidR="00385941" w:rsidRPr="00ED4D93">
        <w:rPr>
          <w:rFonts w:ascii="Times New Roman" w:hAnsi="Times New Roman"/>
          <w:bCs/>
          <w:sz w:val="24"/>
        </w:rPr>
        <w:t>.</w:t>
      </w:r>
      <w:r w:rsidR="00385941">
        <w:rPr>
          <w:rStyle w:val="FootnoteReference"/>
          <w:rFonts w:ascii="Times New Roman" w:hAnsi="Times New Roman"/>
          <w:bCs/>
          <w:sz w:val="24"/>
        </w:rPr>
        <w:footnoteReference w:id="12"/>
      </w:r>
      <w:r w:rsidR="00385941" w:rsidRPr="00ED4D93">
        <w:rPr>
          <w:rFonts w:ascii="Times New Roman" w:hAnsi="Times New Roman"/>
          <w:bCs/>
          <w:sz w:val="24"/>
        </w:rPr>
        <w:t xml:space="preserve">  Appellant further stated that this can readily be deduced from the comparison of the </w:t>
      </w:r>
      <w:r w:rsidR="00EB2742" w:rsidRPr="00ED4D93">
        <w:rPr>
          <w:rFonts w:ascii="Times New Roman" w:hAnsi="Times New Roman"/>
          <w:bCs/>
          <w:sz w:val="24"/>
        </w:rPr>
        <w:t xml:space="preserve">spreadsheet of </w:t>
      </w:r>
      <w:r w:rsidR="00000B7D" w:rsidRPr="00ED4D93">
        <w:rPr>
          <w:rFonts w:ascii="Times New Roman" w:hAnsi="Times New Roman"/>
          <w:bCs/>
          <w:sz w:val="24"/>
        </w:rPr>
        <w:t xml:space="preserve">Mr </w:t>
      </w:r>
      <w:r w:rsidR="00EB2742" w:rsidRPr="00ED4D93">
        <w:rPr>
          <w:rFonts w:ascii="Times New Roman" w:hAnsi="Times New Roman"/>
          <w:bCs/>
          <w:sz w:val="24"/>
        </w:rPr>
        <w:t xml:space="preserve">Getz </w:t>
      </w:r>
      <w:r w:rsidR="004F30E1" w:rsidRPr="00ED4D93">
        <w:rPr>
          <w:rFonts w:ascii="Times New Roman" w:hAnsi="Times New Roman"/>
          <w:bCs/>
          <w:sz w:val="24"/>
        </w:rPr>
        <w:t xml:space="preserve">which was at variance with </w:t>
      </w:r>
      <w:r w:rsidR="00EB2742" w:rsidRPr="00ED4D93">
        <w:rPr>
          <w:rFonts w:ascii="Times New Roman" w:hAnsi="Times New Roman"/>
          <w:bCs/>
          <w:sz w:val="24"/>
        </w:rPr>
        <w:t xml:space="preserve">the report by </w:t>
      </w:r>
      <w:r w:rsidR="004F30E1" w:rsidRPr="00ED4D93">
        <w:rPr>
          <w:rFonts w:ascii="Times New Roman" w:hAnsi="Times New Roman"/>
          <w:bCs/>
          <w:sz w:val="24"/>
        </w:rPr>
        <w:t xml:space="preserve">the expert, Mr KB </w:t>
      </w:r>
      <w:r w:rsidR="00EB2742" w:rsidRPr="00ED4D93">
        <w:rPr>
          <w:rFonts w:ascii="Times New Roman" w:hAnsi="Times New Roman"/>
          <w:bCs/>
          <w:sz w:val="24"/>
        </w:rPr>
        <w:t>Vilakazi.</w:t>
      </w:r>
      <w:r w:rsidR="00EB2742">
        <w:rPr>
          <w:rStyle w:val="FootnoteReference"/>
          <w:rFonts w:ascii="Times New Roman" w:hAnsi="Times New Roman"/>
          <w:bCs/>
          <w:sz w:val="24"/>
        </w:rPr>
        <w:footnoteReference w:id="13"/>
      </w:r>
    </w:p>
    <w:p w14:paraId="3488C055" w14:textId="77777777" w:rsidR="00D35067" w:rsidRDefault="00D35067" w:rsidP="00114ACE">
      <w:pPr>
        <w:pStyle w:val="ListParagraph"/>
        <w:rPr>
          <w:rFonts w:ascii="Times New Roman" w:hAnsi="Times New Roman"/>
          <w:bCs/>
          <w:sz w:val="24"/>
        </w:rPr>
      </w:pPr>
    </w:p>
    <w:p w14:paraId="3AA47F28" w14:textId="184A1B3F" w:rsidR="00EB0F98" w:rsidRPr="00ED4D93" w:rsidRDefault="00ED4D93" w:rsidP="00ED4D93">
      <w:pPr>
        <w:spacing w:line="480" w:lineRule="auto"/>
        <w:rPr>
          <w:rFonts w:ascii="Times New Roman" w:hAnsi="Times New Roman"/>
          <w:bCs/>
          <w:sz w:val="24"/>
        </w:rPr>
      </w:pPr>
      <w:r>
        <w:rPr>
          <w:rFonts w:ascii="Times New Roman" w:hAnsi="Times New Roman"/>
          <w:bCs/>
          <w:sz w:val="24"/>
        </w:rPr>
        <w:t>[21]</w:t>
      </w:r>
      <w:r>
        <w:rPr>
          <w:rFonts w:ascii="Times New Roman" w:hAnsi="Times New Roman"/>
          <w:bCs/>
          <w:sz w:val="24"/>
        </w:rPr>
        <w:tab/>
      </w:r>
      <w:r w:rsidR="00EB0F98" w:rsidRPr="00ED4D93">
        <w:rPr>
          <w:rFonts w:ascii="Times New Roman" w:hAnsi="Times New Roman"/>
          <w:bCs/>
          <w:sz w:val="24"/>
        </w:rPr>
        <w:t xml:space="preserve">The respondent in retort persisted with the argument that the court </w:t>
      </w:r>
      <w:r w:rsidR="00EB0F98" w:rsidRPr="00ED4D93">
        <w:rPr>
          <w:rFonts w:ascii="Times New Roman" w:hAnsi="Times New Roman"/>
          <w:bCs/>
          <w:i/>
          <w:iCs/>
          <w:sz w:val="24"/>
        </w:rPr>
        <w:t>a quo</w:t>
      </w:r>
      <w:r w:rsidR="00EB0F98" w:rsidRPr="00ED4D93">
        <w:rPr>
          <w:rFonts w:ascii="Times New Roman" w:hAnsi="Times New Roman"/>
          <w:bCs/>
          <w:sz w:val="24"/>
        </w:rPr>
        <w:t xml:space="preserve"> was correct in its finding and consistent therewith the appellant’s attorney stated categorically </w:t>
      </w:r>
      <w:r w:rsidR="004F30E1" w:rsidRPr="00ED4D93">
        <w:rPr>
          <w:rFonts w:ascii="Times New Roman" w:hAnsi="Times New Roman"/>
          <w:bCs/>
          <w:sz w:val="24"/>
        </w:rPr>
        <w:t xml:space="preserve">at the commencement of the hearing before Senyatsi AJ </w:t>
      </w:r>
      <w:r w:rsidR="00EB0F98" w:rsidRPr="00ED4D93">
        <w:rPr>
          <w:rFonts w:ascii="Times New Roman" w:hAnsi="Times New Roman"/>
          <w:bCs/>
          <w:sz w:val="24"/>
        </w:rPr>
        <w:t xml:space="preserve">that what was outstanding was the determination of the value of the </w:t>
      </w:r>
      <w:r w:rsidR="004C34A2" w:rsidRPr="00ED4D93">
        <w:rPr>
          <w:rFonts w:ascii="Times New Roman" w:hAnsi="Times New Roman"/>
          <w:bCs/>
          <w:sz w:val="24"/>
        </w:rPr>
        <w:t xml:space="preserve">shares of the </w:t>
      </w:r>
      <w:r w:rsidR="00EB0F98" w:rsidRPr="00ED4D93">
        <w:rPr>
          <w:rFonts w:ascii="Times New Roman" w:hAnsi="Times New Roman"/>
          <w:bCs/>
          <w:sz w:val="24"/>
        </w:rPr>
        <w:t>company. The parties having agreed that the valu</w:t>
      </w:r>
      <w:r w:rsidR="004F30E1" w:rsidRPr="00ED4D93">
        <w:rPr>
          <w:rFonts w:ascii="Times New Roman" w:hAnsi="Times New Roman"/>
          <w:bCs/>
          <w:sz w:val="24"/>
        </w:rPr>
        <w:t>es of other assets</w:t>
      </w:r>
      <w:r w:rsidR="00EB0F98" w:rsidRPr="00ED4D93">
        <w:rPr>
          <w:rFonts w:ascii="Times New Roman" w:hAnsi="Times New Roman"/>
          <w:bCs/>
          <w:sz w:val="24"/>
        </w:rPr>
        <w:t xml:space="preserve"> as set out </w:t>
      </w:r>
      <w:r w:rsidR="004F30E1" w:rsidRPr="00ED4D93">
        <w:rPr>
          <w:rFonts w:ascii="Times New Roman" w:hAnsi="Times New Roman"/>
          <w:bCs/>
          <w:sz w:val="24"/>
        </w:rPr>
        <w:t xml:space="preserve">in </w:t>
      </w:r>
      <w:r w:rsidR="00EB0F98" w:rsidRPr="00ED4D93">
        <w:rPr>
          <w:rFonts w:ascii="Times New Roman" w:hAnsi="Times New Roman"/>
          <w:bCs/>
          <w:sz w:val="24"/>
        </w:rPr>
        <w:t>Mr Getz’s report were agreed to except the valuation of the company’s shares.</w:t>
      </w:r>
      <w:r w:rsidR="006166C3" w:rsidRPr="00ED4D93">
        <w:rPr>
          <w:rFonts w:ascii="Times New Roman" w:hAnsi="Times New Roman"/>
          <w:bCs/>
          <w:sz w:val="24"/>
        </w:rPr>
        <w:t xml:space="preserve"> In addition</w:t>
      </w:r>
      <w:r w:rsidR="00716AC6" w:rsidRPr="00ED4D93">
        <w:rPr>
          <w:rFonts w:ascii="Times New Roman" w:hAnsi="Times New Roman"/>
          <w:bCs/>
          <w:sz w:val="24"/>
        </w:rPr>
        <w:t>,</w:t>
      </w:r>
      <w:r w:rsidR="006166C3" w:rsidRPr="00ED4D93">
        <w:rPr>
          <w:rFonts w:ascii="Times New Roman" w:hAnsi="Times New Roman"/>
          <w:bCs/>
          <w:sz w:val="24"/>
        </w:rPr>
        <w:t xml:space="preserve"> the appellant’s attorneys, Mr Ramothwala, </w:t>
      </w:r>
      <w:r w:rsidR="00000B7D" w:rsidRPr="00ED4D93">
        <w:rPr>
          <w:rFonts w:ascii="Times New Roman" w:hAnsi="Times New Roman"/>
          <w:bCs/>
          <w:sz w:val="24"/>
        </w:rPr>
        <w:t>(</w:t>
      </w:r>
      <w:r w:rsidR="006166C3" w:rsidRPr="00ED4D93">
        <w:rPr>
          <w:rFonts w:ascii="Times New Roman" w:hAnsi="Times New Roman"/>
          <w:bCs/>
          <w:sz w:val="24"/>
        </w:rPr>
        <w:t>as he then was</w:t>
      </w:r>
      <w:r w:rsidR="00000B7D" w:rsidRPr="00ED4D93">
        <w:rPr>
          <w:rFonts w:ascii="Times New Roman" w:hAnsi="Times New Roman"/>
          <w:bCs/>
          <w:sz w:val="24"/>
        </w:rPr>
        <w:t>)</w:t>
      </w:r>
      <w:r w:rsidR="006166C3" w:rsidRPr="00ED4D93">
        <w:rPr>
          <w:rFonts w:ascii="Times New Roman" w:hAnsi="Times New Roman"/>
          <w:bCs/>
          <w:sz w:val="24"/>
        </w:rPr>
        <w:t xml:space="preserve"> also confirmed that what is to be decided is the value of the shares and accrual if any, which is payable</w:t>
      </w:r>
      <w:r w:rsidR="004F30E1" w:rsidRPr="00ED4D93">
        <w:rPr>
          <w:rFonts w:ascii="Times New Roman" w:hAnsi="Times New Roman"/>
          <w:bCs/>
          <w:sz w:val="24"/>
        </w:rPr>
        <w:t xml:space="preserve"> to the respondent</w:t>
      </w:r>
      <w:r w:rsidR="006166C3" w:rsidRPr="00ED4D93">
        <w:rPr>
          <w:rFonts w:ascii="Times New Roman" w:hAnsi="Times New Roman"/>
          <w:bCs/>
          <w:sz w:val="24"/>
        </w:rPr>
        <w:t xml:space="preserve">. </w:t>
      </w:r>
      <w:r w:rsidR="00EB0F98" w:rsidRPr="00ED4D93">
        <w:rPr>
          <w:rFonts w:ascii="Times New Roman" w:hAnsi="Times New Roman"/>
          <w:bCs/>
          <w:sz w:val="24"/>
        </w:rPr>
        <w:t xml:space="preserve">  </w:t>
      </w:r>
    </w:p>
    <w:p w14:paraId="7D475165" w14:textId="77777777" w:rsidR="00D35067" w:rsidRDefault="00D35067" w:rsidP="00D35067">
      <w:pPr>
        <w:pStyle w:val="ListParagraph"/>
        <w:rPr>
          <w:rFonts w:ascii="Times New Roman" w:hAnsi="Times New Roman"/>
          <w:bCs/>
          <w:sz w:val="24"/>
        </w:rPr>
      </w:pPr>
    </w:p>
    <w:p w14:paraId="474B4EFA" w14:textId="77777777" w:rsidR="00AB6959" w:rsidRPr="00AB6959" w:rsidRDefault="00AB6959" w:rsidP="00AB6959">
      <w:pPr>
        <w:pStyle w:val="ListParagraph"/>
        <w:rPr>
          <w:rFonts w:ascii="Times New Roman" w:hAnsi="Times New Roman"/>
          <w:bCs/>
          <w:sz w:val="24"/>
        </w:rPr>
      </w:pPr>
    </w:p>
    <w:p w14:paraId="359A76BF" w14:textId="0051E4FF" w:rsidR="00A350CA" w:rsidRPr="00A350CA" w:rsidRDefault="00A350CA" w:rsidP="00000B7D">
      <w:pPr>
        <w:pStyle w:val="ListParagraph"/>
        <w:spacing w:line="480" w:lineRule="auto"/>
        <w:ind w:left="0" w:firstLine="720"/>
        <w:contextualSpacing w:val="0"/>
        <w:rPr>
          <w:rFonts w:ascii="Times New Roman" w:hAnsi="Times New Roman"/>
          <w:bCs/>
          <w:i/>
          <w:iCs/>
          <w:sz w:val="24"/>
        </w:rPr>
      </w:pPr>
      <w:r w:rsidRPr="00A350CA">
        <w:rPr>
          <w:rFonts w:ascii="Times New Roman" w:hAnsi="Times New Roman"/>
          <w:bCs/>
          <w:i/>
          <w:iCs/>
          <w:sz w:val="24"/>
        </w:rPr>
        <w:t>Calculations in Getz’s report</w:t>
      </w:r>
    </w:p>
    <w:p w14:paraId="427D194C" w14:textId="77777777" w:rsidR="00A350CA" w:rsidRPr="00A350CA" w:rsidRDefault="00A350CA" w:rsidP="00A350CA">
      <w:pPr>
        <w:pStyle w:val="ListParagraph"/>
        <w:rPr>
          <w:rFonts w:ascii="Times New Roman" w:hAnsi="Times New Roman"/>
          <w:bCs/>
          <w:sz w:val="24"/>
        </w:rPr>
      </w:pPr>
    </w:p>
    <w:p w14:paraId="5DEC04B2" w14:textId="293C9344" w:rsidR="00A350CA" w:rsidRPr="00ED4D93" w:rsidRDefault="00ED4D93" w:rsidP="00ED4D93">
      <w:pPr>
        <w:spacing w:line="480" w:lineRule="auto"/>
        <w:rPr>
          <w:rFonts w:ascii="Times New Roman" w:hAnsi="Times New Roman"/>
          <w:bCs/>
          <w:sz w:val="24"/>
        </w:rPr>
      </w:pPr>
      <w:r>
        <w:rPr>
          <w:rFonts w:ascii="Times New Roman" w:hAnsi="Times New Roman"/>
          <w:bCs/>
          <w:sz w:val="24"/>
        </w:rPr>
        <w:t>[22]</w:t>
      </w:r>
      <w:r>
        <w:rPr>
          <w:rFonts w:ascii="Times New Roman" w:hAnsi="Times New Roman"/>
          <w:bCs/>
          <w:sz w:val="24"/>
        </w:rPr>
        <w:tab/>
      </w:r>
      <w:r w:rsidR="00A350CA" w:rsidRPr="00ED4D93">
        <w:rPr>
          <w:rFonts w:ascii="Times New Roman" w:hAnsi="Times New Roman"/>
          <w:bCs/>
          <w:sz w:val="24"/>
        </w:rPr>
        <w:t xml:space="preserve">The appellant contended that the calculations in </w:t>
      </w:r>
      <w:r w:rsidR="004C34A2" w:rsidRPr="00ED4D93">
        <w:rPr>
          <w:rFonts w:ascii="Times New Roman" w:hAnsi="Times New Roman"/>
          <w:bCs/>
          <w:sz w:val="24"/>
        </w:rPr>
        <w:t xml:space="preserve">Mr </w:t>
      </w:r>
      <w:r w:rsidR="00A350CA" w:rsidRPr="00ED4D93">
        <w:rPr>
          <w:rFonts w:ascii="Times New Roman" w:hAnsi="Times New Roman"/>
          <w:bCs/>
          <w:sz w:val="24"/>
        </w:rPr>
        <w:t>Getz’s report to</w:t>
      </w:r>
      <w:r w:rsidR="003A03D1" w:rsidRPr="00ED4D93">
        <w:rPr>
          <w:rFonts w:ascii="Times New Roman" w:hAnsi="Times New Roman"/>
          <w:bCs/>
          <w:sz w:val="24"/>
        </w:rPr>
        <w:t>ok</w:t>
      </w:r>
      <w:r w:rsidR="00A350CA" w:rsidRPr="00ED4D93">
        <w:rPr>
          <w:rFonts w:ascii="Times New Roman" w:hAnsi="Times New Roman"/>
          <w:bCs/>
          <w:sz w:val="24"/>
        </w:rPr>
        <w:t xml:space="preserve"> account of the assets of the appellant and excluded those of the respondent and as such it was not in accordance with the provisions of the MPA.</w:t>
      </w:r>
      <w:r w:rsidR="00B575BF" w:rsidRPr="00ED4D93">
        <w:rPr>
          <w:rFonts w:ascii="Times New Roman" w:hAnsi="Times New Roman"/>
          <w:bCs/>
          <w:sz w:val="24"/>
        </w:rPr>
        <w:t xml:space="preserve"> In addition</w:t>
      </w:r>
      <w:r w:rsidR="00385941" w:rsidRPr="00ED4D93">
        <w:rPr>
          <w:rFonts w:ascii="Times New Roman" w:hAnsi="Times New Roman"/>
          <w:bCs/>
          <w:sz w:val="24"/>
        </w:rPr>
        <w:t>,</w:t>
      </w:r>
      <w:r w:rsidR="00B575BF" w:rsidRPr="00ED4D93">
        <w:rPr>
          <w:rFonts w:ascii="Times New Roman" w:hAnsi="Times New Roman"/>
          <w:bCs/>
          <w:sz w:val="24"/>
        </w:rPr>
        <w:t xml:space="preserve"> the appellant contents that the annexure which allegedly refers to the calculation by Mr Getz is a spreadsheet and made no reference to the </w:t>
      </w:r>
      <w:r w:rsidR="00566BC8" w:rsidRPr="00ED4D93">
        <w:rPr>
          <w:rFonts w:ascii="Times New Roman" w:hAnsi="Times New Roman"/>
          <w:bCs/>
          <w:sz w:val="24"/>
        </w:rPr>
        <w:t xml:space="preserve">accrual </w:t>
      </w:r>
      <w:r w:rsidR="00B575BF" w:rsidRPr="00ED4D93">
        <w:rPr>
          <w:rFonts w:ascii="Times New Roman" w:hAnsi="Times New Roman"/>
          <w:bCs/>
          <w:sz w:val="24"/>
        </w:rPr>
        <w:t>amount as alleged by the respondent.</w:t>
      </w:r>
      <w:r w:rsidR="00385941" w:rsidRPr="00ED4D93">
        <w:rPr>
          <w:rFonts w:ascii="Times New Roman" w:hAnsi="Times New Roman"/>
          <w:bCs/>
          <w:sz w:val="24"/>
        </w:rPr>
        <w:t xml:space="preserve"> The said annexure </w:t>
      </w:r>
      <w:r w:rsidR="003A03D1" w:rsidRPr="00ED4D93">
        <w:rPr>
          <w:rFonts w:ascii="Times New Roman" w:hAnsi="Times New Roman"/>
          <w:bCs/>
          <w:sz w:val="24"/>
        </w:rPr>
        <w:t xml:space="preserve">which the respondent identified as </w:t>
      </w:r>
      <w:r w:rsidR="00385941" w:rsidRPr="00ED4D93">
        <w:rPr>
          <w:rFonts w:ascii="Times New Roman" w:hAnsi="Times New Roman"/>
          <w:bCs/>
          <w:sz w:val="24"/>
        </w:rPr>
        <w:t>a report of Mr Getz</w:t>
      </w:r>
      <w:r w:rsidR="004C34A2" w:rsidRPr="00ED4D93">
        <w:rPr>
          <w:rFonts w:ascii="Times New Roman" w:hAnsi="Times New Roman"/>
          <w:bCs/>
          <w:sz w:val="24"/>
        </w:rPr>
        <w:t>,</w:t>
      </w:r>
      <w:r w:rsidR="006076FB" w:rsidRPr="00ED4D93">
        <w:rPr>
          <w:rFonts w:ascii="Times New Roman" w:hAnsi="Times New Roman"/>
          <w:bCs/>
          <w:sz w:val="24"/>
        </w:rPr>
        <w:t xml:space="preserve"> </w:t>
      </w:r>
      <w:r w:rsidR="00385941" w:rsidRPr="00ED4D93">
        <w:rPr>
          <w:rFonts w:ascii="Times New Roman" w:hAnsi="Times New Roman"/>
          <w:bCs/>
          <w:sz w:val="24"/>
        </w:rPr>
        <w:t xml:space="preserve">was </w:t>
      </w:r>
      <w:r w:rsidR="003A03D1" w:rsidRPr="00ED4D93">
        <w:rPr>
          <w:rFonts w:ascii="Times New Roman" w:hAnsi="Times New Roman"/>
          <w:bCs/>
          <w:sz w:val="24"/>
        </w:rPr>
        <w:t xml:space="preserve">in fact </w:t>
      </w:r>
      <w:r w:rsidR="00385941" w:rsidRPr="00ED4D93">
        <w:rPr>
          <w:rFonts w:ascii="Times New Roman" w:hAnsi="Times New Roman"/>
          <w:bCs/>
          <w:sz w:val="24"/>
        </w:rPr>
        <w:t>just a spreadsheet.</w:t>
      </w:r>
    </w:p>
    <w:p w14:paraId="695DCCD2" w14:textId="77777777" w:rsidR="00A350CA" w:rsidRDefault="00A350CA" w:rsidP="00A350CA">
      <w:pPr>
        <w:pStyle w:val="ListParagraph"/>
        <w:spacing w:line="480" w:lineRule="auto"/>
        <w:ind w:left="0"/>
        <w:contextualSpacing w:val="0"/>
        <w:rPr>
          <w:rFonts w:ascii="Times New Roman" w:hAnsi="Times New Roman"/>
          <w:bCs/>
          <w:sz w:val="24"/>
        </w:rPr>
      </w:pPr>
    </w:p>
    <w:p w14:paraId="500FE132" w14:textId="0838BECF" w:rsidR="00A350CA" w:rsidRPr="00ED4D93" w:rsidRDefault="00ED4D93" w:rsidP="00ED4D93">
      <w:pPr>
        <w:spacing w:line="480" w:lineRule="auto"/>
        <w:rPr>
          <w:rFonts w:ascii="Times New Roman" w:hAnsi="Times New Roman"/>
          <w:bCs/>
          <w:sz w:val="24"/>
        </w:rPr>
      </w:pPr>
      <w:r>
        <w:rPr>
          <w:rFonts w:ascii="Times New Roman" w:hAnsi="Times New Roman"/>
          <w:bCs/>
          <w:sz w:val="24"/>
        </w:rPr>
        <w:t>[23]</w:t>
      </w:r>
      <w:r>
        <w:rPr>
          <w:rFonts w:ascii="Times New Roman" w:hAnsi="Times New Roman"/>
          <w:bCs/>
          <w:sz w:val="24"/>
        </w:rPr>
        <w:tab/>
      </w:r>
      <w:r w:rsidR="00A350CA" w:rsidRPr="00ED4D93">
        <w:rPr>
          <w:rFonts w:ascii="Times New Roman" w:hAnsi="Times New Roman"/>
          <w:bCs/>
          <w:sz w:val="24"/>
        </w:rPr>
        <w:t xml:space="preserve">The respondent contended that Mr Getz’s report reflected the value of the respondent’s assets as being R491 948.00 which amount was </w:t>
      </w:r>
      <w:r w:rsidR="00C75783" w:rsidRPr="00ED4D93">
        <w:rPr>
          <w:rFonts w:ascii="Times New Roman" w:hAnsi="Times New Roman"/>
          <w:bCs/>
          <w:sz w:val="24"/>
        </w:rPr>
        <w:t xml:space="preserve">considered in the </w:t>
      </w:r>
      <w:r w:rsidR="003A03D1" w:rsidRPr="00ED4D93">
        <w:rPr>
          <w:rFonts w:ascii="Times New Roman" w:hAnsi="Times New Roman"/>
          <w:bCs/>
          <w:sz w:val="24"/>
        </w:rPr>
        <w:t>determination of the parties’ respective accrual</w:t>
      </w:r>
      <w:r w:rsidR="00C75783" w:rsidRPr="00ED4D93">
        <w:rPr>
          <w:rFonts w:ascii="Times New Roman" w:hAnsi="Times New Roman"/>
          <w:bCs/>
          <w:sz w:val="24"/>
        </w:rPr>
        <w:t>.</w:t>
      </w:r>
      <w:r w:rsidR="00000B7D" w:rsidRPr="00ED4D93">
        <w:rPr>
          <w:rFonts w:ascii="Times New Roman" w:hAnsi="Times New Roman"/>
          <w:bCs/>
          <w:sz w:val="24"/>
        </w:rPr>
        <w:t xml:space="preserve"> To this end the respondent submitted that the contention that the respondent</w:t>
      </w:r>
      <w:r w:rsidR="00D35067" w:rsidRPr="00ED4D93">
        <w:rPr>
          <w:rFonts w:ascii="Times New Roman" w:hAnsi="Times New Roman"/>
          <w:bCs/>
          <w:sz w:val="24"/>
        </w:rPr>
        <w:t>’s</w:t>
      </w:r>
      <w:r w:rsidR="00000B7D" w:rsidRPr="00ED4D93">
        <w:rPr>
          <w:rFonts w:ascii="Times New Roman" w:hAnsi="Times New Roman"/>
          <w:bCs/>
          <w:sz w:val="24"/>
        </w:rPr>
        <w:t xml:space="preserve"> assets were excluded is baseless.</w:t>
      </w:r>
    </w:p>
    <w:p w14:paraId="54EBC79F" w14:textId="77777777" w:rsidR="00AB6959" w:rsidRPr="00AB6959" w:rsidRDefault="00AB6959" w:rsidP="00AB6959">
      <w:pPr>
        <w:pStyle w:val="ListParagraph"/>
        <w:rPr>
          <w:rFonts w:ascii="Times New Roman" w:hAnsi="Times New Roman"/>
          <w:bCs/>
          <w:sz w:val="24"/>
        </w:rPr>
      </w:pPr>
    </w:p>
    <w:p w14:paraId="42F80B65" w14:textId="70032CA9" w:rsidR="00AB6959" w:rsidRPr="00ED4D93" w:rsidRDefault="00ED4D93" w:rsidP="00ED4D93">
      <w:pPr>
        <w:spacing w:line="480" w:lineRule="auto"/>
        <w:rPr>
          <w:rFonts w:ascii="Times New Roman" w:hAnsi="Times New Roman"/>
          <w:bCs/>
          <w:sz w:val="24"/>
        </w:rPr>
      </w:pPr>
      <w:r>
        <w:rPr>
          <w:rFonts w:ascii="Times New Roman" w:hAnsi="Times New Roman"/>
          <w:bCs/>
          <w:sz w:val="24"/>
        </w:rPr>
        <w:t>[24]</w:t>
      </w:r>
      <w:r>
        <w:rPr>
          <w:rFonts w:ascii="Times New Roman" w:hAnsi="Times New Roman"/>
          <w:bCs/>
          <w:sz w:val="24"/>
        </w:rPr>
        <w:tab/>
      </w:r>
      <w:r w:rsidR="00AB6959" w:rsidRPr="00ED4D93">
        <w:rPr>
          <w:rFonts w:ascii="Times New Roman" w:hAnsi="Times New Roman"/>
          <w:bCs/>
          <w:sz w:val="24"/>
        </w:rPr>
        <w:t xml:space="preserve">The respondent </w:t>
      </w:r>
      <w:r w:rsidR="003A03D1" w:rsidRPr="00ED4D93">
        <w:rPr>
          <w:rFonts w:ascii="Times New Roman" w:hAnsi="Times New Roman"/>
          <w:bCs/>
          <w:sz w:val="24"/>
        </w:rPr>
        <w:t xml:space="preserve">submitted </w:t>
      </w:r>
      <w:r w:rsidR="00000B7D" w:rsidRPr="00ED4D93">
        <w:rPr>
          <w:rFonts w:ascii="Times New Roman" w:hAnsi="Times New Roman"/>
          <w:bCs/>
          <w:sz w:val="24"/>
        </w:rPr>
        <w:t xml:space="preserve">further </w:t>
      </w:r>
      <w:r w:rsidR="00AB6959" w:rsidRPr="00ED4D93">
        <w:rPr>
          <w:rFonts w:ascii="Times New Roman" w:hAnsi="Times New Roman"/>
          <w:bCs/>
          <w:sz w:val="24"/>
        </w:rPr>
        <w:t>that the value of the parties’ respective assets were as set out (and agreed to) in the report</w:t>
      </w:r>
      <w:r w:rsidR="001108A6">
        <w:rPr>
          <w:rStyle w:val="FootnoteReference"/>
          <w:rFonts w:ascii="Times New Roman" w:hAnsi="Times New Roman"/>
          <w:bCs/>
          <w:sz w:val="24"/>
        </w:rPr>
        <w:footnoteReference w:id="14"/>
      </w:r>
      <w:r w:rsidR="00AB6959" w:rsidRPr="00ED4D93">
        <w:rPr>
          <w:rFonts w:ascii="Times New Roman" w:hAnsi="Times New Roman"/>
          <w:bCs/>
          <w:sz w:val="24"/>
        </w:rPr>
        <w:t xml:space="preserve"> by </w:t>
      </w:r>
      <w:r w:rsidR="004C34A2" w:rsidRPr="00ED4D93">
        <w:rPr>
          <w:rFonts w:ascii="Times New Roman" w:hAnsi="Times New Roman"/>
          <w:bCs/>
          <w:sz w:val="24"/>
        </w:rPr>
        <w:t xml:space="preserve">Mr </w:t>
      </w:r>
      <w:r w:rsidR="00AB6959" w:rsidRPr="00ED4D93">
        <w:rPr>
          <w:rFonts w:ascii="Times New Roman" w:hAnsi="Times New Roman"/>
          <w:bCs/>
          <w:sz w:val="24"/>
        </w:rPr>
        <w:t>Getz</w:t>
      </w:r>
      <w:r w:rsidR="001108A6" w:rsidRPr="00ED4D93">
        <w:rPr>
          <w:rFonts w:ascii="Times New Roman" w:hAnsi="Times New Roman"/>
          <w:bCs/>
          <w:sz w:val="24"/>
        </w:rPr>
        <w:t xml:space="preserve"> including </w:t>
      </w:r>
      <w:r w:rsidR="00AB6959" w:rsidRPr="00ED4D93">
        <w:rPr>
          <w:rFonts w:ascii="Times New Roman" w:hAnsi="Times New Roman"/>
          <w:bCs/>
          <w:sz w:val="24"/>
        </w:rPr>
        <w:t>the value of the shares of LMBC</w:t>
      </w:r>
      <w:r w:rsidR="001108A6" w:rsidRPr="00ED4D93">
        <w:rPr>
          <w:rFonts w:ascii="Times New Roman" w:hAnsi="Times New Roman"/>
          <w:bCs/>
          <w:sz w:val="24"/>
        </w:rPr>
        <w:t xml:space="preserve"> as R3 300 000.00</w:t>
      </w:r>
      <w:r w:rsidR="001108A6">
        <w:rPr>
          <w:rStyle w:val="FootnoteReference"/>
          <w:rFonts w:ascii="Times New Roman" w:hAnsi="Times New Roman"/>
          <w:bCs/>
          <w:sz w:val="24"/>
        </w:rPr>
        <w:footnoteReference w:id="15"/>
      </w:r>
      <w:r w:rsidR="001108A6" w:rsidRPr="00ED4D93">
        <w:rPr>
          <w:rFonts w:ascii="Times New Roman" w:hAnsi="Times New Roman"/>
          <w:bCs/>
          <w:sz w:val="24"/>
        </w:rPr>
        <w:t xml:space="preserve"> </w:t>
      </w:r>
      <w:r w:rsidR="004C34A2" w:rsidRPr="00ED4D93">
        <w:rPr>
          <w:rFonts w:ascii="Times New Roman" w:hAnsi="Times New Roman"/>
          <w:bCs/>
          <w:sz w:val="24"/>
        </w:rPr>
        <w:t xml:space="preserve">and </w:t>
      </w:r>
      <w:r w:rsidR="001108A6" w:rsidRPr="00ED4D93">
        <w:rPr>
          <w:rFonts w:ascii="Times New Roman" w:hAnsi="Times New Roman"/>
          <w:bCs/>
          <w:sz w:val="24"/>
        </w:rPr>
        <w:t>was R5 581 996.00</w:t>
      </w:r>
      <w:r w:rsidR="00AB6959" w:rsidRPr="00ED4D93">
        <w:rPr>
          <w:rFonts w:ascii="Times New Roman" w:hAnsi="Times New Roman"/>
          <w:bCs/>
          <w:sz w:val="24"/>
        </w:rPr>
        <w:t>.</w:t>
      </w:r>
      <w:r w:rsidR="00AB6959">
        <w:rPr>
          <w:rStyle w:val="FootnoteReference"/>
          <w:rFonts w:ascii="Times New Roman" w:hAnsi="Times New Roman"/>
          <w:bCs/>
          <w:sz w:val="24"/>
        </w:rPr>
        <w:footnoteReference w:id="16"/>
      </w:r>
      <w:r w:rsidR="00AB6959" w:rsidRPr="00ED4D93">
        <w:rPr>
          <w:rFonts w:ascii="Times New Roman" w:hAnsi="Times New Roman"/>
          <w:bCs/>
          <w:sz w:val="24"/>
        </w:rPr>
        <w:t xml:space="preserve"> </w:t>
      </w:r>
      <w:r w:rsidR="00000B7D" w:rsidRPr="00ED4D93">
        <w:rPr>
          <w:rFonts w:ascii="Times New Roman" w:hAnsi="Times New Roman"/>
          <w:bCs/>
          <w:sz w:val="24"/>
        </w:rPr>
        <w:t>Th</w:t>
      </w:r>
      <w:r w:rsidR="001108A6" w:rsidRPr="00ED4D93">
        <w:rPr>
          <w:rFonts w:ascii="Times New Roman" w:hAnsi="Times New Roman"/>
          <w:bCs/>
          <w:sz w:val="24"/>
        </w:rPr>
        <w:t>at</w:t>
      </w:r>
      <w:r w:rsidR="00000B7D" w:rsidRPr="00ED4D93">
        <w:rPr>
          <w:rFonts w:ascii="Times New Roman" w:hAnsi="Times New Roman"/>
          <w:bCs/>
          <w:sz w:val="24"/>
        </w:rPr>
        <w:t xml:space="preserve"> </w:t>
      </w:r>
      <w:r w:rsidR="001108A6" w:rsidRPr="00ED4D93">
        <w:rPr>
          <w:rFonts w:ascii="Times New Roman" w:hAnsi="Times New Roman"/>
          <w:bCs/>
          <w:sz w:val="24"/>
        </w:rPr>
        <w:t>a</w:t>
      </w:r>
      <w:r w:rsidR="00AB6959" w:rsidRPr="00ED4D93">
        <w:rPr>
          <w:rFonts w:ascii="Times New Roman" w:hAnsi="Times New Roman"/>
          <w:bCs/>
          <w:sz w:val="24"/>
        </w:rPr>
        <w:t xml:space="preserve">fter </w:t>
      </w:r>
      <w:r w:rsidR="003A03D1" w:rsidRPr="00ED4D93">
        <w:rPr>
          <w:rFonts w:ascii="Times New Roman" w:hAnsi="Times New Roman"/>
          <w:bCs/>
          <w:sz w:val="24"/>
        </w:rPr>
        <w:t xml:space="preserve">determining the value of the shares being </w:t>
      </w:r>
      <w:r w:rsidR="00AB6959" w:rsidRPr="00ED4D93">
        <w:rPr>
          <w:rFonts w:ascii="Times New Roman" w:hAnsi="Times New Roman"/>
          <w:bCs/>
          <w:sz w:val="24"/>
        </w:rPr>
        <w:t>R3 300 000.00 Senyatsi AJ made an arithmetical error or a patent error by solely using the value of LBMC</w:t>
      </w:r>
      <w:r w:rsidR="003A03D1" w:rsidRPr="00ED4D93">
        <w:rPr>
          <w:rFonts w:ascii="Times New Roman" w:hAnsi="Times New Roman"/>
          <w:bCs/>
          <w:sz w:val="24"/>
        </w:rPr>
        <w:t>’s shares</w:t>
      </w:r>
      <w:r w:rsidR="00AB6959" w:rsidRPr="00ED4D93">
        <w:rPr>
          <w:rFonts w:ascii="Times New Roman" w:hAnsi="Times New Roman"/>
          <w:bCs/>
          <w:sz w:val="24"/>
        </w:rPr>
        <w:t xml:space="preserve"> </w:t>
      </w:r>
      <w:r w:rsidR="001108A6" w:rsidRPr="00ED4D93">
        <w:rPr>
          <w:rFonts w:ascii="Times New Roman" w:hAnsi="Times New Roman"/>
          <w:bCs/>
          <w:sz w:val="24"/>
        </w:rPr>
        <w:t xml:space="preserve">as </w:t>
      </w:r>
      <w:r w:rsidR="004C34A2" w:rsidRPr="00ED4D93">
        <w:rPr>
          <w:rFonts w:ascii="Times New Roman" w:hAnsi="Times New Roman"/>
          <w:bCs/>
          <w:sz w:val="24"/>
        </w:rPr>
        <w:t xml:space="preserve">the </w:t>
      </w:r>
      <w:r w:rsidR="001108A6" w:rsidRPr="00ED4D93">
        <w:rPr>
          <w:rFonts w:ascii="Times New Roman" w:hAnsi="Times New Roman"/>
          <w:bCs/>
          <w:sz w:val="24"/>
        </w:rPr>
        <w:t xml:space="preserve">total capital sum to determine </w:t>
      </w:r>
      <w:r w:rsidR="004C34A2" w:rsidRPr="00ED4D93">
        <w:rPr>
          <w:rFonts w:ascii="Times New Roman" w:hAnsi="Times New Roman"/>
          <w:bCs/>
          <w:sz w:val="24"/>
        </w:rPr>
        <w:t xml:space="preserve">the </w:t>
      </w:r>
      <w:r w:rsidR="001108A6" w:rsidRPr="00ED4D93">
        <w:rPr>
          <w:rFonts w:ascii="Times New Roman" w:hAnsi="Times New Roman"/>
          <w:bCs/>
          <w:sz w:val="24"/>
        </w:rPr>
        <w:t>amount due to the respondent pursuant to the determination of the accrual</w:t>
      </w:r>
      <w:r w:rsidR="003A03D1" w:rsidRPr="00ED4D93">
        <w:rPr>
          <w:rFonts w:ascii="Times New Roman" w:hAnsi="Times New Roman"/>
          <w:bCs/>
          <w:sz w:val="24"/>
        </w:rPr>
        <w:t xml:space="preserve"> instead of adding the value of </w:t>
      </w:r>
      <w:r w:rsidR="004C34A2" w:rsidRPr="00ED4D93">
        <w:rPr>
          <w:rFonts w:ascii="Times New Roman" w:hAnsi="Times New Roman"/>
          <w:bCs/>
          <w:sz w:val="24"/>
        </w:rPr>
        <w:t xml:space="preserve">the </w:t>
      </w:r>
      <w:r w:rsidR="003A03D1" w:rsidRPr="00ED4D93">
        <w:rPr>
          <w:rFonts w:ascii="Times New Roman" w:hAnsi="Times New Roman"/>
          <w:bCs/>
          <w:sz w:val="24"/>
        </w:rPr>
        <w:t xml:space="preserve">parties’ other assets </w:t>
      </w:r>
      <w:r w:rsidR="00FC301F" w:rsidRPr="00ED4D93">
        <w:rPr>
          <w:rFonts w:ascii="Times New Roman" w:hAnsi="Times New Roman"/>
          <w:bCs/>
          <w:sz w:val="24"/>
        </w:rPr>
        <w:t xml:space="preserve">which were </w:t>
      </w:r>
      <w:r w:rsidR="003A03D1" w:rsidRPr="00ED4D93">
        <w:rPr>
          <w:rFonts w:ascii="Times New Roman" w:hAnsi="Times New Roman"/>
          <w:bCs/>
          <w:sz w:val="24"/>
        </w:rPr>
        <w:t>agreed to by the parties.</w:t>
      </w:r>
    </w:p>
    <w:p w14:paraId="4FB57EA2" w14:textId="77777777" w:rsidR="00CF3AED" w:rsidRPr="00CF3AED" w:rsidRDefault="00CF3AED" w:rsidP="00CF3AED">
      <w:pPr>
        <w:pStyle w:val="ListParagraph"/>
        <w:rPr>
          <w:rFonts w:ascii="Times New Roman" w:hAnsi="Times New Roman"/>
          <w:bCs/>
          <w:sz w:val="24"/>
        </w:rPr>
      </w:pPr>
    </w:p>
    <w:p w14:paraId="59954CF0" w14:textId="0D9C70BA" w:rsidR="00CF3AED" w:rsidRPr="00CF3AED" w:rsidRDefault="00CF3AED" w:rsidP="001108A6">
      <w:pPr>
        <w:pStyle w:val="ListParagraph"/>
        <w:spacing w:line="480" w:lineRule="auto"/>
        <w:ind w:left="0" w:firstLine="720"/>
        <w:contextualSpacing w:val="0"/>
        <w:rPr>
          <w:rFonts w:ascii="Times New Roman" w:hAnsi="Times New Roman"/>
          <w:bCs/>
          <w:i/>
          <w:iCs/>
          <w:sz w:val="24"/>
        </w:rPr>
      </w:pPr>
      <w:r w:rsidRPr="00CF3AED">
        <w:rPr>
          <w:rFonts w:ascii="Times New Roman" w:hAnsi="Times New Roman"/>
          <w:bCs/>
          <w:i/>
          <w:iCs/>
          <w:sz w:val="24"/>
        </w:rPr>
        <w:t>Correction</w:t>
      </w:r>
      <w:r w:rsidR="00D35067">
        <w:rPr>
          <w:rFonts w:ascii="Times New Roman" w:hAnsi="Times New Roman"/>
          <w:bCs/>
          <w:i/>
          <w:iCs/>
          <w:sz w:val="24"/>
        </w:rPr>
        <w:t xml:space="preserve"> of</w:t>
      </w:r>
      <w:r w:rsidRPr="00CF3AED">
        <w:rPr>
          <w:rFonts w:ascii="Times New Roman" w:hAnsi="Times New Roman"/>
          <w:bCs/>
          <w:i/>
          <w:iCs/>
          <w:sz w:val="24"/>
        </w:rPr>
        <w:t xml:space="preserve"> the error in the calculations by </w:t>
      </w:r>
      <w:r w:rsidR="004C34A2">
        <w:rPr>
          <w:rFonts w:ascii="Times New Roman" w:hAnsi="Times New Roman"/>
          <w:bCs/>
          <w:i/>
          <w:iCs/>
          <w:sz w:val="24"/>
        </w:rPr>
        <w:t xml:space="preserve">Mr </w:t>
      </w:r>
      <w:r w:rsidRPr="00CF3AED">
        <w:rPr>
          <w:rFonts w:ascii="Times New Roman" w:hAnsi="Times New Roman"/>
          <w:bCs/>
          <w:i/>
          <w:iCs/>
          <w:sz w:val="24"/>
        </w:rPr>
        <w:t>Getz</w:t>
      </w:r>
    </w:p>
    <w:p w14:paraId="3FDEDBA9" w14:textId="77777777" w:rsidR="00CF3AED" w:rsidRPr="00CF3AED" w:rsidRDefault="00CF3AED" w:rsidP="00CF3AED">
      <w:pPr>
        <w:pStyle w:val="ListParagraph"/>
        <w:rPr>
          <w:rFonts w:ascii="Times New Roman" w:hAnsi="Times New Roman"/>
          <w:bCs/>
          <w:sz w:val="24"/>
        </w:rPr>
      </w:pPr>
    </w:p>
    <w:p w14:paraId="44F681D0" w14:textId="65E73059" w:rsidR="00CF3AED" w:rsidRPr="00ED4D93" w:rsidRDefault="00ED4D93" w:rsidP="00ED4D93">
      <w:pPr>
        <w:spacing w:line="480" w:lineRule="auto"/>
        <w:rPr>
          <w:rFonts w:ascii="Times New Roman" w:hAnsi="Times New Roman"/>
          <w:bCs/>
          <w:sz w:val="24"/>
        </w:rPr>
      </w:pPr>
      <w:r>
        <w:rPr>
          <w:rFonts w:ascii="Times New Roman" w:hAnsi="Times New Roman"/>
          <w:bCs/>
          <w:sz w:val="24"/>
        </w:rPr>
        <w:t>[25]</w:t>
      </w:r>
      <w:r>
        <w:rPr>
          <w:rFonts w:ascii="Times New Roman" w:hAnsi="Times New Roman"/>
          <w:bCs/>
          <w:sz w:val="24"/>
        </w:rPr>
        <w:tab/>
      </w:r>
      <w:r w:rsidR="00B451E9" w:rsidRPr="00ED4D93">
        <w:rPr>
          <w:rFonts w:ascii="Times New Roman" w:hAnsi="Times New Roman"/>
          <w:bCs/>
          <w:sz w:val="24"/>
        </w:rPr>
        <w:t xml:space="preserve">The appellant contends </w:t>
      </w:r>
      <w:r w:rsidR="001E7360" w:rsidRPr="00ED4D93">
        <w:rPr>
          <w:rFonts w:ascii="Times New Roman" w:hAnsi="Times New Roman"/>
          <w:bCs/>
          <w:sz w:val="24"/>
        </w:rPr>
        <w:t xml:space="preserve">as a ground for appeal </w:t>
      </w:r>
      <w:r w:rsidR="00B451E9" w:rsidRPr="00ED4D93">
        <w:rPr>
          <w:rFonts w:ascii="Times New Roman" w:hAnsi="Times New Roman"/>
          <w:bCs/>
          <w:sz w:val="24"/>
        </w:rPr>
        <w:t>that there was an error common to both parties but this was not substantiated in both the answering affidavit and the heads of argument. The appellant has not brought a counter application for the said common error to be rectified in terms of rule 42 of the rule</w:t>
      </w:r>
      <w:r w:rsidR="000E2E25" w:rsidRPr="00ED4D93">
        <w:rPr>
          <w:rFonts w:ascii="Times New Roman" w:hAnsi="Times New Roman"/>
          <w:bCs/>
          <w:sz w:val="24"/>
        </w:rPr>
        <w:t>s</w:t>
      </w:r>
      <w:r w:rsidR="00B451E9" w:rsidRPr="00ED4D93">
        <w:rPr>
          <w:rFonts w:ascii="Times New Roman" w:hAnsi="Times New Roman"/>
          <w:bCs/>
          <w:sz w:val="24"/>
        </w:rPr>
        <w:t xml:space="preserve"> of court. </w:t>
      </w:r>
    </w:p>
    <w:p w14:paraId="74DF7F61" w14:textId="10BE8741" w:rsidR="00CF3AED" w:rsidRPr="00CF3AED" w:rsidRDefault="00CF3AED" w:rsidP="00CF3AED">
      <w:pPr>
        <w:pStyle w:val="ListParagraph"/>
        <w:rPr>
          <w:rFonts w:ascii="Times New Roman" w:hAnsi="Times New Roman"/>
          <w:bCs/>
          <w:sz w:val="24"/>
        </w:rPr>
      </w:pPr>
    </w:p>
    <w:p w14:paraId="50660520" w14:textId="4B3501DF" w:rsidR="00CF3AED" w:rsidRPr="00CF3AED" w:rsidRDefault="00CF3AED" w:rsidP="001E7360">
      <w:pPr>
        <w:pStyle w:val="ListParagraph"/>
        <w:spacing w:line="480" w:lineRule="auto"/>
        <w:ind w:left="0" w:firstLine="720"/>
        <w:contextualSpacing w:val="0"/>
        <w:rPr>
          <w:rFonts w:ascii="Times New Roman" w:hAnsi="Times New Roman"/>
          <w:bCs/>
          <w:i/>
          <w:iCs/>
          <w:sz w:val="24"/>
        </w:rPr>
      </w:pPr>
      <w:r w:rsidRPr="00CF3AED">
        <w:rPr>
          <w:rFonts w:ascii="Times New Roman" w:hAnsi="Times New Roman"/>
          <w:bCs/>
          <w:i/>
          <w:iCs/>
          <w:sz w:val="24"/>
        </w:rPr>
        <w:t>Reports rejected.</w:t>
      </w:r>
    </w:p>
    <w:p w14:paraId="1CBD4E54" w14:textId="77777777" w:rsidR="00CF3AED" w:rsidRDefault="00CF3AED" w:rsidP="00CF3AED">
      <w:pPr>
        <w:pStyle w:val="ListParagraph"/>
        <w:spacing w:line="480" w:lineRule="auto"/>
        <w:ind w:left="0"/>
        <w:contextualSpacing w:val="0"/>
        <w:rPr>
          <w:rFonts w:ascii="Times New Roman" w:hAnsi="Times New Roman"/>
          <w:bCs/>
          <w:sz w:val="24"/>
        </w:rPr>
      </w:pPr>
    </w:p>
    <w:p w14:paraId="011F8E55" w14:textId="581E224C" w:rsidR="00147DA8" w:rsidRPr="00ED4D93" w:rsidRDefault="00ED4D93" w:rsidP="00ED4D93">
      <w:pPr>
        <w:spacing w:line="480" w:lineRule="auto"/>
        <w:rPr>
          <w:rFonts w:ascii="Times New Roman" w:hAnsi="Times New Roman"/>
          <w:bCs/>
          <w:sz w:val="24"/>
        </w:rPr>
      </w:pPr>
      <w:r>
        <w:rPr>
          <w:rFonts w:ascii="Times New Roman" w:hAnsi="Times New Roman"/>
          <w:bCs/>
          <w:sz w:val="24"/>
        </w:rPr>
        <w:t>[26]</w:t>
      </w:r>
      <w:r>
        <w:rPr>
          <w:rFonts w:ascii="Times New Roman" w:hAnsi="Times New Roman"/>
          <w:bCs/>
          <w:sz w:val="24"/>
        </w:rPr>
        <w:tab/>
      </w:r>
      <w:r w:rsidR="00147DA8" w:rsidRPr="00ED4D93">
        <w:rPr>
          <w:rFonts w:ascii="Times New Roman" w:hAnsi="Times New Roman"/>
          <w:bCs/>
          <w:sz w:val="24"/>
        </w:rPr>
        <w:t xml:space="preserve">The appellant contended that </w:t>
      </w:r>
      <w:r w:rsidR="00B575BF" w:rsidRPr="00ED4D93">
        <w:rPr>
          <w:rFonts w:ascii="Times New Roman" w:hAnsi="Times New Roman"/>
          <w:bCs/>
          <w:sz w:val="24"/>
        </w:rPr>
        <w:t xml:space="preserve">the decision of the Senyatsi AJ to reject the evidence of the experts is clearly stated in paragraphs 35 where the court stated that after evaluation of the experts </w:t>
      </w:r>
      <w:r w:rsidR="00EC0C86" w:rsidRPr="00ED4D93">
        <w:rPr>
          <w:rFonts w:ascii="Times New Roman" w:hAnsi="Times New Roman"/>
          <w:bCs/>
          <w:sz w:val="24"/>
        </w:rPr>
        <w:t>evidence same</w:t>
      </w:r>
      <w:r w:rsidR="00B575BF" w:rsidRPr="00ED4D93">
        <w:rPr>
          <w:rFonts w:ascii="Times New Roman" w:hAnsi="Times New Roman"/>
          <w:bCs/>
          <w:sz w:val="24"/>
        </w:rPr>
        <w:t xml:space="preserve"> did not assist </w:t>
      </w:r>
      <w:r w:rsidR="00EC0C86" w:rsidRPr="00ED4D93">
        <w:rPr>
          <w:rFonts w:ascii="Times New Roman" w:hAnsi="Times New Roman"/>
          <w:bCs/>
          <w:sz w:val="24"/>
        </w:rPr>
        <w:t>i</w:t>
      </w:r>
      <w:r w:rsidR="00B575BF" w:rsidRPr="00ED4D93">
        <w:rPr>
          <w:rFonts w:ascii="Times New Roman" w:hAnsi="Times New Roman"/>
          <w:bCs/>
          <w:sz w:val="24"/>
        </w:rPr>
        <w:t xml:space="preserve">n </w:t>
      </w:r>
      <w:r w:rsidR="001E7360" w:rsidRPr="00ED4D93">
        <w:rPr>
          <w:rFonts w:ascii="Times New Roman" w:hAnsi="Times New Roman"/>
          <w:bCs/>
          <w:sz w:val="24"/>
        </w:rPr>
        <w:t xml:space="preserve">the determination of </w:t>
      </w:r>
      <w:r w:rsidR="004C34A2" w:rsidRPr="00ED4D93">
        <w:rPr>
          <w:rFonts w:ascii="Times New Roman" w:hAnsi="Times New Roman"/>
          <w:bCs/>
          <w:sz w:val="24"/>
        </w:rPr>
        <w:t xml:space="preserve">the </w:t>
      </w:r>
      <w:r w:rsidR="00B575BF" w:rsidRPr="00ED4D93">
        <w:rPr>
          <w:rFonts w:ascii="Times New Roman" w:hAnsi="Times New Roman"/>
          <w:bCs/>
          <w:sz w:val="24"/>
        </w:rPr>
        <w:t>accrual. In addition, in paragraph 38</w:t>
      </w:r>
      <w:r w:rsidR="00385941" w:rsidRPr="00ED4D93">
        <w:rPr>
          <w:rFonts w:ascii="Times New Roman" w:hAnsi="Times New Roman"/>
          <w:bCs/>
          <w:sz w:val="24"/>
        </w:rPr>
        <w:t xml:space="preserve"> where the court stated that </w:t>
      </w:r>
      <w:r w:rsidR="004C34A2" w:rsidRPr="00ED4D93">
        <w:rPr>
          <w:rFonts w:ascii="Times New Roman" w:hAnsi="Times New Roman"/>
          <w:bCs/>
          <w:sz w:val="24"/>
        </w:rPr>
        <w:t xml:space="preserve">the </w:t>
      </w:r>
      <w:r w:rsidR="00385941" w:rsidRPr="00ED4D93">
        <w:rPr>
          <w:rFonts w:ascii="Times New Roman" w:hAnsi="Times New Roman"/>
          <w:bCs/>
          <w:sz w:val="24"/>
        </w:rPr>
        <w:t>reports by Cooke were also not helpful</w:t>
      </w:r>
      <w:r w:rsidR="001E7360" w:rsidRPr="00ED4D93">
        <w:rPr>
          <w:rFonts w:ascii="Times New Roman" w:hAnsi="Times New Roman"/>
          <w:bCs/>
          <w:sz w:val="24"/>
        </w:rPr>
        <w:t xml:space="preserve"> except the valuation of shares of the company</w:t>
      </w:r>
      <w:r w:rsidR="00385941" w:rsidRPr="00ED4D93">
        <w:rPr>
          <w:rFonts w:ascii="Times New Roman" w:hAnsi="Times New Roman"/>
          <w:bCs/>
          <w:sz w:val="24"/>
        </w:rPr>
        <w:t>. Both were rejected due to lack of source documents.</w:t>
      </w:r>
      <w:r w:rsidR="00385941">
        <w:rPr>
          <w:rStyle w:val="FootnoteReference"/>
          <w:rFonts w:ascii="Times New Roman" w:hAnsi="Times New Roman"/>
          <w:bCs/>
          <w:sz w:val="24"/>
        </w:rPr>
        <w:footnoteReference w:id="17"/>
      </w:r>
    </w:p>
    <w:p w14:paraId="540173F0" w14:textId="77777777" w:rsidR="00716AC6" w:rsidRPr="005D73E1" w:rsidRDefault="00716AC6" w:rsidP="00716AC6">
      <w:pPr>
        <w:pStyle w:val="ListParagraph"/>
        <w:rPr>
          <w:rFonts w:ascii="Times New Roman" w:hAnsi="Times New Roman"/>
          <w:bCs/>
          <w:sz w:val="24"/>
        </w:rPr>
      </w:pPr>
    </w:p>
    <w:p w14:paraId="56C99720" w14:textId="0FEEE3C4" w:rsidR="00716AC6" w:rsidRPr="00ED4D93" w:rsidRDefault="00ED4D93" w:rsidP="00ED4D93">
      <w:pPr>
        <w:spacing w:line="480" w:lineRule="auto"/>
        <w:rPr>
          <w:rFonts w:ascii="Times New Roman" w:hAnsi="Times New Roman"/>
          <w:bCs/>
          <w:sz w:val="24"/>
        </w:rPr>
      </w:pPr>
      <w:r>
        <w:rPr>
          <w:rFonts w:ascii="Times New Roman" w:hAnsi="Times New Roman"/>
          <w:bCs/>
          <w:sz w:val="24"/>
        </w:rPr>
        <w:t>[27]</w:t>
      </w:r>
      <w:r>
        <w:rPr>
          <w:rFonts w:ascii="Times New Roman" w:hAnsi="Times New Roman"/>
          <w:bCs/>
          <w:sz w:val="24"/>
        </w:rPr>
        <w:tab/>
      </w:r>
      <w:r w:rsidR="00716AC6" w:rsidRPr="00ED4D93">
        <w:rPr>
          <w:rFonts w:ascii="Times New Roman" w:hAnsi="Times New Roman"/>
          <w:bCs/>
          <w:sz w:val="24"/>
        </w:rPr>
        <w:t>The appellant contended that the order of Senyatsi</w:t>
      </w:r>
      <w:r w:rsidR="00FC301F" w:rsidRPr="00ED4D93">
        <w:rPr>
          <w:rFonts w:ascii="Times New Roman" w:hAnsi="Times New Roman"/>
          <w:bCs/>
          <w:sz w:val="24"/>
        </w:rPr>
        <w:t xml:space="preserve"> AJ</w:t>
      </w:r>
      <w:r w:rsidR="00716AC6" w:rsidRPr="00ED4D93">
        <w:rPr>
          <w:rFonts w:ascii="Times New Roman" w:hAnsi="Times New Roman"/>
          <w:bCs/>
          <w:sz w:val="24"/>
        </w:rPr>
        <w:t xml:space="preserve"> was clear and unambiguous</w:t>
      </w:r>
      <w:r w:rsidR="00716AC6">
        <w:rPr>
          <w:rStyle w:val="FootnoteReference"/>
          <w:rFonts w:ascii="Times New Roman" w:hAnsi="Times New Roman"/>
          <w:bCs/>
          <w:sz w:val="24"/>
        </w:rPr>
        <w:footnoteReference w:id="18"/>
      </w:r>
      <w:r w:rsidR="00716AC6" w:rsidRPr="00ED4D93">
        <w:rPr>
          <w:rFonts w:ascii="Times New Roman" w:hAnsi="Times New Roman"/>
          <w:bCs/>
          <w:sz w:val="24"/>
        </w:rPr>
        <w:t xml:space="preserve"> as it was stated categorically that the reports of </w:t>
      </w:r>
      <w:r w:rsidR="004C34A2" w:rsidRPr="00ED4D93">
        <w:rPr>
          <w:rFonts w:ascii="Times New Roman" w:hAnsi="Times New Roman"/>
          <w:bCs/>
          <w:sz w:val="24"/>
        </w:rPr>
        <w:t xml:space="preserve">the </w:t>
      </w:r>
      <w:r w:rsidR="00716AC6" w:rsidRPr="00ED4D93">
        <w:rPr>
          <w:rFonts w:ascii="Times New Roman" w:hAnsi="Times New Roman"/>
          <w:bCs/>
          <w:sz w:val="24"/>
        </w:rPr>
        <w:t>experts were of no assistance in determining the accrual. In addition, had the court construed R3 300 000,00 as the value of the respondents assets then the court could have then ordered that the respondent should receive 50%</w:t>
      </w:r>
      <w:r w:rsidR="00716AC6">
        <w:rPr>
          <w:rStyle w:val="FootnoteReference"/>
          <w:rFonts w:ascii="Times New Roman" w:hAnsi="Times New Roman"/>
          <w:bCs/>
          <w:sz w:val="24"/>
        </w:rPr>
        <w:footnoteReference w:id="19"/>
      </w:r>
      <w:r w:rsidR="00716AC6" w:rsidRPr="00ED4D93">
        <w:rPr>
          <w:rFonts w:ascii="Times New Roman" w:hAnsi="Times New Roman"/>
          <w:bCs/>
          <w:sz w:val="24"/>
        </w:rPr>
        <w:t xml:space="preserve"> thereof in accordance with </w:t>
      </w:r>
      <w:r w:rsidR="004C34A2" w:rsidRPr="00ED4D93">
        <w:rPr>
          <w:rFonts w:ascii="Times New Roman" w:hAnsi="Times New Roman"/>
          <w:bCs/>
          <w:sz w:val="24"/>
        </w:rPr>
        <w:t xml:space="preserve">the </w:t>
      </w:r>
      <w:r w:rsidR="00716AC6" w:rsidRPr="00ED4D93">
        <w:rPr>
          <w:rFonts w:ascii="Times New Roman" w:hAnsi="Times New Roman"/>
          <w:bCs/>
          <w:sz w:val="24"/>
        </w:rPr>
        <w:t>calculation as determined in terms of sections 3 and 4 of the MPA.</w:t>
      </w:r>
    </w:p>
    <w:p w14:paraId="13AC9401" w14:textId="77777777" w:rsidR="001E7360" w:rsidRPr="001E7360" w:rsidRDefault="001E7360" w:rsidP="001E7360">
      <w:pPr>
        <w:pStyle w:val="ListParagraph"/>
        <w:rPr>
          <w:rFonts w:ascii="Times New Roman" w:hAnsi="Times New Roman"/>
          <w:bCs/>
          <w:sz w:val="24"/>
        </w:rPr>
      </w:pPr>
    </w:p>
    <w:p w14:paraId="76D2E51D" w14:textId="62BAC622" w:rsidR="001E7360" w:rsidRPr="00ED4D93" w:rsidRDefault="00ED4D93" w:rsidP="00ED4D93">
      <w:pPr>
        <w:spacing w:line="480" w:lineRule="auto"/>
        <w:rPr>
          <w:rFonts w:ascii="Times New Roman" w:hAnsi="Times New Roman"/>
          <w:bCs/>
          <w:sz w:val="24"/>
        </w:rPr>
      </w:pPr>
      <w:r>
        <w:rPr>
          <w:rFonts w:ascii="Times New Roman" w:hAnsi="Times New Roman"/>
          <w:bCs/>
          <w:sz w:val="24"/>
        </w:rPr>
        <w:lastRenderedPageBreak/>
        <w:t>[28]</w:t>
      </w:r>
      <w:r>
        <w:rPr>
          <w:rFonts w:ascii="Times New Roman" w:hAnsi="Times New Roman"/>
          <w:bCs/>
          <w:sz w:val="24"/>
        </w:rPr>
        <w:tab/>
      </w:r>
      <w:r w:rsidR="001E7360" w:rsidRPr="00ED4D93">
        <w:rPr>
          <w:rFonts w:ascii="Times New Roman" w:hAnsi="Times New Roman"/>
          <w:bCs/>
          <w:sz w:val="24"/>
        </w:rPr>
        <w:t>The respondent in retort stated that the appellant conveniently displays lack of understanding of what paragraph 35 of t</w:t>
      </w:r>
      <w:r w:rsidR="00FC301F" w:rsidRPr="00ED4D93">
        <w:rPr>
          <w:rFonts w:ascii="Times New Roman" w:hAnsi="Times New Roman"/>
          <w:bCs/>
          <w:sz w:val="24"/>
        </w:rPr>
        <w:t>h</w:t>
      </w:r>
      <w:r w:rsidR="001E7360" w:rsidRPr="00ED4D93">
        <w:rPr>
          <w:rFonts w:ascii="Times New Roman" w:hAnsi="Times New Roman"/>
          <w:bCs/>
          <w:sz w:val="24"/>
        </w:rPr>
        <w:t>e judgment says regarding the report by Mr Getz. The court</w:t>
      </w:r>
      <w:r w:rsidR="00FC301F" w:rsidRPr="00ED4D93">
        <w:rPr>
          <w:rFonts w:ascii="Times New Roman" w:hAnsi="Times New Roman"/>
          <w:bCs/>
          <w:sz w:val="24"/>
        </w:rPr>
        <w:t>’s</w:t>
      </w:r>
      <w:r w:rsidR="001E7360" w:rsidRPr="00ED4D93">
        <w:rPr>
          <w:rFonts w:ascii="Times New Roman" w:hAnsi="Times New Roman"/>
          <w:bCs/>
          <w:sz w:val="24"/>
        </w:rPr>
        <w:t xml:space="preserve"> reference was in relation to the determination of the accrual to the appellant’s assets as shares</w:t>
      </w:r>
      <w:r w:rsidR="00FC301F" w:rsidRPr="00ED4D93">
        <w:rPr>
          <w:rFonts w:ascii="Times New Roman" w:hAnsi="Times New Roman"/>
          <w:bCs/>
          <w:sz w:val="24"/>
        </w:rPr>
        <w:t xml:space="preserve"> </w:t>
      </w:r>
      <w:r w:rsidR="001E7360" w:rsidRPr="00ED4D93">
        <w:rPr>
          <w:rFonts w:ascii="Times New Roman" w:hAnsi="Times New Roman"/>
          <w:bCs/>
          <w:sz w:val="24"/>
        </w:rPr>
        <w:t xml:space="preserve">in the company. The court did not reject all that was in the report as part of the values in the report </w:t>
      </w:r>
      <w:r w:rsidR="004C34A2" w:rsidRPr="00ED4D93">
        <w:rPr>
          <w:rFonts w:ascii="Times New Roman" w:hAnsi="Times New Roman"/>
          <w:bCs/>
          <w:sz w:val="24"/>
        </w:rPr>
        <w:t xml:space="preserve">which </w:t>
      </w:r>
      <w:r w:rsidR="001E7360" w:rsidRPr="00ED4D93">
        <w:rPr>
          <w:rFonts w:ascii="Times New Roman" w:hAnsi="Times New Roman"/>
          <w:bCs/>
          <w:sz w:val="24"/>
        </w:rPr>
        <w:t xml:space="preserve">was already agreed to between the parties. </w:t>
      </w:r>
      <w:r w:rsidR="00D61F0E" w:rsidRPr="00ED4D93">
        <w:rPr>
          <w:rFonts w:ascii="Times New Roman" w:hAnsi="Times New Roman"/>
          <w:bCs/>
          <w:sz w:val="24"/>
        </w:rPr>
        <w:t>A</w:t>
      </w:r>
      <w:r w:rsidR="001E7360" w:rsidRPr="00ED4D93">
        <w:rPr>
          <w:rFonts w:ascii="Times New Roman" w:hAnsi="Times New Roman"/>
          <w:bCs/>
          <w:sz w:val="24"/>
        </w:rPr>
        <w:t>ny contrary view would have meant that that court was setting aside the parties’ agreement</w:t>
      </w:r>
      <w:r w:rsidR="00D61F0E" w:rsidRPr="00ED4D93">
        <w:rPr>
          <w:rFonts w:ascii="Times New Roman" w:hAnsi="Times New Roman"/>
          <w:bCs/>
          <w:sz w:val="24"/>
        </w:rPr>
        <w:t xml:space="preserve"> reached regarding </w:t>
      </w:r>
      <w:r w:rsidR="004C34A2" w:rsidRPr="00ED4D93">
        <w:rPr>
          <w:rFonts w:ascii="Times New Roman" w:hAnsi="Times New Roman"/>
          <w:bCs/>
          <w:sz w:val="24"/>
        </w:rPr>
        <w:t xml:space="preserve">the </w:t>
      </w:r>
      <w:r w:rsidR="00D61F0E" w:rsidRPr="00ED4D93">
        <w:rPr>
          <w:rFonts w:ascii="Times New Roman" w:hAnsi="Times New Roman"/>
          <w:bCs/>
          <w:sz w:val="24"/>
        </w:rPr>
        <w:t xml:space="preserve">values of </w:t>
      </w:r>
      <w:r w:rsidR="004C34A2" w:rsidRPr="00ED4D93">
        <w:rPr>
          <w:rFonts w:ascii="Times New Roman" w:hAnsi="Times New Roman"/>
          <w:bCs/>
          <w:sz w:val="24"/>
        </w:rPr>
        <w:t xml:space="preserve">the </w:t>
      </w:r>
      <w:r w:rsidR="00D61F0E" w:rsidRPr="00ED4D93">
        <w:rPr>
          <w:rFonts w:ascii="Times New Roman" w:hAnsi="Times New Roman"/>
          <w:bCs/>
          <w:sz w:val="24"/>
        </w:rPr>
        <w:t>parties’ other assets being an issue which Senyatsi AJ was invited to decide on</w:t>
      </w:r>
      <w:r w:rsidR="001E7360" w:rsidRPr="00ED4D93">
        <w:rPr>
          <w:rFonts w:ascii="Times New Roman" w:hAnsi="Times New Roman"/>
          <w:bCs/>
          <w:sz w:val="24"/>
        </w:rPr>
        <w:t>.</w:t>
      </w:r>
    </w:p>
    <w:p w14:paraId="7C2E4162" w14:textId="77777777" w:rsidR="00147DA8" w:rsidRDefault="00147DA8" w:rsidP="00147DA8">
      <w:pPr>
        <w:pStyle w:val="ListParagraph"/>
        <w:spacing w:line="480" w:lineRule="auto"/>
        <w:ind w:left="0"/>
        <w:contextualSpacing w:val="0"/>
        <w:rPr>
          <w:rFonts w:ascii="Times New Roman" w:hAnsi="Times New Roman"/>
          <w:bCs/>
          <w:sz w:val="24"/>
        </w:rPr>
      </w:pPr>
    </w:p>
    <w:p w14:paraId="7897ED5A" w14:textId="1F249E35" w:rsidR="003C3A1E" w:rsidRDefault="003C3A1E" w:rsidP="003C3A1E">
      <w:pPr>
        <w:pStyle w:val="ListParagraph"/>
        <w:spacing w:line="480" w:lineRule="auto"/>
        <w:ind w:left="0"/>
        <w:contextualSpacing w:val="0"/>
        <w:rPr>
          <w:rFonts w:ascii="Times New Roman" w:hAnsi="Times New Roman"/>
          <w:bCs/>
          <w:i/>
          <w:iCs/>
          <w:sz w:val="24"/>
        </w:rPr>
      </w:pPr>
      <w:r w:rsidRPr="003C3A1E">
        <w:rPr>
          <w:rFonts w:ascii="Times New Roman" w:hAnsi="Times New Roman"/>
          <w:bCs/>
          <w:i/>
          <w:iCs/>
          <w:sz w:val="24"/>
        </w:rPr>
        <w:t>Legal principle</w:t>
      </w:r>
      <w:r>
        <w:rPr>
          <w:rFonts w:ascii="Times New Roman" w:hAnsi="Times New Roman"/>
          <w:bCs/>
          <w:i/>
          <w:iCs/>
          <w:sz w:val="24"/>
        </w:rPr>
        <w:t>s</w:t>
      </w:r>
      <w:r w:rsidR="001071F6">
        <w:rPr>
          <w:rFonts w:ascii="Times New Roman" w:hAnsi="Times New Roman"/>
          <w:bCs/>
          <w:i/>
          <w:iCs/>
          <w:sz w:val="24"/>
        </w:rPr>
        <w:t>.</w:t>
      </w:r>
    </w:p>
    <w:p w14:paraId="0647F12D" w14:textId="2826EE7D" w:rsidR="003C3A1E" w:rsidRPr="003C3A1E" w:rsidRDefault="003C3A1E" w:rsidP="003C3A1E">
      <w:pPr>
        <w:pStyle w:val="ListParagraph"/>
        <w:spacing w:line="480" w:lineRule="auto"/>
        <w:ind w:left="0"/>
        <w:contextualSpacing w:val="0"/>
        <w:rPr>
          <w:rFonts w:ascii="Times New Roman" w:hAnsi="Times New Roman"/>
          <w:bCs/>
          <w:i/>
          <w:iCs/>
          <w:sz w:val="24"/>
        </w:rPr>
      </w:pPr>
      <w:r w:rsidRPr="003C3A1E">
        <w:rPr>
          <w:rFonts w:ascii="Times New Roman" w:hAnsi="Times New Roman"/>
          <w:bCs/>
          <w:i/>
          <w:iCs/>
          <w:sz w:val="24"/>
        </w:rPr>
        <w:t xml:space="preserve"> </w:t>
      </w:r>
    </w:p>
    <w:p w14:paraId="48BFF3AC" w14:textId="7FCDCE5D" w:rsidR="0046064C" w:rsidRPr="00ED4D93" w:rsidRDefault="00ED4D93" w:rsidP="00ED4D93">
      <w:pPr>
        <w:spacing w:line="480" w:lineRule="auto"/>
        <w:rPr>
          <w:rFonts w:ascii="Times New Roman" w:hAnsi="Times New Roman"/>
          <w:bCs/>
          <w:sz w:val="24"/>
        </w:rPr>
      </w:pPr>
      <w:r>
        <w:rPr>
          <w:rFonts w:ascii="Times New Roman" w:hAnsi="Times New Roman"/>
          <w:bCs/>
          <w:sz w:val="24"/>
        </w:rPr>
        <w:t>[29]</w:t>
      </w:r>
      <w:r>
        <w:rPr>
          <w:rFonts w:ascii="Times New Roman" w:hAnsi="Times New Roman"/>
          <w:bCs/>
          <w:sz w:val="24"/>
        </w:rPr>
        <w:tab/>
      </w:r>
      <w:r w:rsidR="0046064C" w:rsidRPr="00ED4D93">
        <w:rPr>
          <w:rFonts w:ascii="Times New Roman" w:hAnsi="Times New Roman"/>
          <w:bCs/>
          <w:sz w:val="24"/>
        </w:rPr>
        <w:t xml:space="preserve">Legal principles implicated in this </w:t>
      </w:r>
      <w:r w:rsidR="0046064C" w:rsidRPr="00ED4D93">
        <w:rPr>
          <w:rFonts w:ascii="Times New Roman" w:hAnsi="Times New Roman"/>
          <w:bCs/>
          <w:i/>
          <w:iCs/>
          <w:sz w:val="24"/>
        </w:rPr>
        <w:t>lis</w:t>
      </w:r>
      <w:r w:rsidR="0046064C" w:rsidRPr="00ED4D93">
        <w:rPr>
          <w:rFonts w:ascii="Times New Roman" w:hAnsi="Times New Roman"/>
          <w:bCs/>
          <w:sz w:val="24"/>
        </w:rPr>
        <w:t xml:space="preserve"> relates</w:t>
      </w:r>
      <w:r w:rsidR="004C34A2" w:rsidRPr="00ED4D93">
        <w:rPr>
          <w:rFonts w:ascii="Times New Roman" w:hAnsi="Times New Roman"/>
          <w:bCs/>
          <w:sz w:val="24"/>
        </w:rPr>
        <w:t xml:space="preserve"> to the</w:t>
      </w:r>
      <w:r w:rsidR="00980755" w:rsidRPr="00ED4D93">
        <w:rPr>
          <w:rFonts w:ascii="Times New Roman" w:hAnsi="Times New Roman"/>
          <w:bCs/>
          <w:sz w:val="24"/>
        </w:rPr>
        <w:t xml:space="preserve"> interpretation and application of rule 42, whether this court may interfere </w:t>
      </w:r>
      <w:r w:rsidR="004C34A2" w:rsidRPr="00ED4D93">
        <w:rPr>
          <w:rFonts w:ascii="Times New Roman" w:hAnsi="Times New Roman"/>
          <w:bCs/>
          <w:sz w:val="24"/>
        </w:rPr>
        <w:t xml:space="preserve">with </w:t>
      </w:r>
      <w:r w:rsidR="00EC0C86" w:rsidRPr="00ED4D93">
        <w:rPr>
          <w:rFonts w:ascii="Times New Roman" w:hAnsi="Times New Roman"/>
          <w:bCs/>
          <w:sz w:val="24"/>
        </w:rPr>
        <w:t>the judgment</w:t>
      </w:r>
      <w:r w:rsidR="00980755" w:rsidRPr="00ED4D93">
        <w:rPr>
          <w:rFonts w:ascii="Times New Roman" w:hAnsi="Times New Roman"/>
          <w:bCs/>
          <w:sz w:val="24"/>
        </w:rPr>
        <w:t xml:space="preserve"> of the court </w:t>
      </w:r>
      <w:r w:rsidR="00980755" w:rsidRPr="00ED4D93">
        <w:rPr>
          <w:rFonts w:ascii="Times New Roman" w:hAnsi="Times New Roman"/>
          <w:bCs/>
          <w:i/>
          <w:iCs/>
          <w:sz w:val="24"/>
        </w:rPr>
        <w:t>a quo</w:t>
      </w:r>
      <w:r w:rsidR="00980755" w:rsidRPr="00ED4D93">
        <w:rPr>
          <w:rFonts w:ascii="Times New Roman" w:hAnsi="Times New Roman"/>
          <w:bCs/>
          <w:sz w:val="24"/>
        </w:rPr>
        <w:t>.</w:t>
      </w:r>
    </w:p>
    <w:p w14:paraId="1861FCA0" w14:textId="77777777" w:rsidR="00FC26B4" w:rsidRDefault="00FC26B4" w:rsidP="00FC26B4">
      <w:pPr>
        <w:pStyle w:val="ListParagraph"/>
        <w:spacing w:line="480" w:lineRule="auto"/>
        <w:ind w:left="0"/>
        <w:contextualSpacing w:val="0"/>
        <w:rPr>
          <w:rFonts w:ascii="Times New Roman" w:hAnsi="Times New Roman"/>
          <w:bCs/>
          <w:sz w:val="24"/>
        </w:rPr>
      </w:pPr>
    </w:p>
    <w:p w14:paraId="7CD0E055" w14:textId="173A3D02" w:rsidR="00FC26B4" w:rsidRPr="00FC26B4" w:rsidRDefault="00FC26B4" w:rsidP="001E7360">
      <w:pPr>
        <w:pStyle w:val="ListParagraph"/>
        <w:spacing w:line="480" w:lineRule="auto"/>
        <w:ind w:left="0" w:firstLine="720"/>
        <w:contextualSpacing w:val="0"/>
        <w:rPr>
          <w:rFonts w:ascii="Times New Roman" w:hAnsi="Times New Roman"/>
          <w:bCs/>
          <w:i/>
          <w:iCs/>
          <w:sz w:val="24"/>
        </w:rPr>
      </w:pPr>
      <w:r w:rsidRPr="00FC26B4">
        <w:rPr>
          <w:rFonts w:ascii="Times New Roman" w:hAnsi="Times New Roman"/>
          <w:bCs/>
          <w:i/>
          <w:iCs/>
          <w:sz w:val="24"/>
        </w:rPr>
        <w:t>Test of the appeal court</w:t>
      </w:r>
    </w:p>
    <w:p w14:paraId="4696B5B6" w14:textId="77777777" w:rsidR="00FC26B4" w:rsidRPr="00FC26B4" w:rsidRDefault="00FC26B4" w:rsidP="00FC26B4">
      <w:pPr>
        <w:pStyle w:val="ListParagraph"/>
        <w:rPr>
          <w:rFonts w:ascii="Times New Roman" w:hAnsi="Times New Roman"/>
          <w:bCs/>
          <w:sz w:val="24"/>
        </w:rPr>
      </w:pPr>
    </w:p>
    <w:p w14:paraId="1DB868BC" w14:textId="6FCD216D" w:rsidR="00FC26B4" w:rsidRPr="00ED4D93" w:rsidRDefault="00ED4D93" w:rsidP="00ED4D93">
      <w:pPr>
        <w:spacing w:line="480" w:lineRule="auto"/>
        <w:rPr>
          <w:rFonts w:ascii="Times New Roman" w:hAnsi="Times New Roman"/>
          <w:bCs/>
          <w:sz w:val="24"/>
        </w:rPr>
      </w:pPr>
      <w:r>
        <w:rPr>
          <w:rFonts w:ascii="Times New Roman" w:hAnsi="Times New Roman"/>
          <w:bCs/>
          <w:sz w:val="24"/>
        </w:rPr>
        <w:t>[30]</w:t>
      </w:r>
      <w:r>
        <w:rPr>
          <w:rFonts w:ascii="Times New Roman" w:hAnsi="Times New Roman"/>
          <w:bCs/>
          <w:sz w:val="24"/>
        </w:rPr>
        <w:tab/>
      </w:r>
      <w:r w:rsidR="00FC26B4" w:rsidRPr="00ED4D93">
        <w:rPr>
          <w:rFonts w:ascii="Times New Roman" w:hAnsi="Times New Roman"/>
          <w:bCs/>
          <w:sz w:val="24"/>
        </w:rPr>
        <w:t>It is trite that the appeal court</w:t>
      </w:r>
      <w:r w:rsidR="00B521A7" w:rsidRPr="00ED4D93">
        <w:rPr>
          <w:rFonts w:ascii="Times New Roman" w:hAnsi="Times New Roman"/>
          <w:bCs/>
          <w:sz w:val="24"/>
        </w:rPr>
        <w:t xml:space="preserve">’s power to </w:t>
      </w:r>
      <w:r w:rsidR="00FC26B4" w:rsidRPr="00ED4D93">
        <w:rPr>
          <w:rFonts w:ascii="Times New Roman" w:hAnsi="Times New Roman"/>
          <w:bCs/>
          <w:sz w:val="24"/>
        </w:rPr>
        <w:t xml:space="preserve">interfere with the </w:t>
      </w:r>
      <w:r w:rsidR="00B521A7" w:rsidRPr="00ED4D93">
        <w:rPr>
          <w:rFonts w:ascii="Times New Roman" w:hAnsi="Times New Roman"/>
          <w:bCs/>
          <w:sz w:val="24"/>
        </w:rPr>
        <w:t xml:space="preserve">findings of </w:t>
      </w:r>
      <w:r w:rsidR="004C34A2" w:rsidRPr="00ED4D93">
        <w:rPr>
          <w:rFonts w:ascii="Times New Roman" w:hAnsi="Times New Roman"/>
          <w:bCs/>
          <w:sz w:val="24"/>
        </w:rPr>
        <w:t>a</w:t>
      </w:r>
      <w:r w:rsidR="00B521A7" w:rsidRPr="00ED4D93">
        <w:rPr>
          <w:rFonts w:ascii="Times New Roman" w:hAnsi="Times New Roman"/>
          <w:bCs/>
          <w:sz w:val="24"/>
        </w:rPr>
        <w:t xml:space="preserve"> </w:t>
      </w:r>
      <w:r w:rsidR="00FC26B4" w:rsidRPr="00ED4D93">
        <w:rPr>
          <w:rFonts w:ascii="Times New Roman" w:hAnsi="Times New Roman"/>
          <w:bCs/>
          <w:sz w:val="24"/>
        </w:rPr>
        <w:t>lower</w:t>
      </w:r>
      <w:r w:rsidR="004C34A2" w:rsidRPr="00ED4D93">
        <w:rPr>
          <w:rFonts w:ascii="Times New Roman" w:hAnsi="Times New Roman"/>
          <w:bCs/>
          <w:sz w:val="24"/>
        </w:rPr>
        <w:t xml:space="preserve"> court</w:t>
      </w:r>
      <w:r w:rsidR="00B521A7" w:rsidRPr="00ED4D93">
        <w:rPr>
          <w:rFonts w:ascii="Times New Roman" w:hAnsi="Times New Roman"/>
          <w:bCs/>
          <w:sz w:val="24"/>
        </w:rPr>
        <w:t xml:space="preserve"> are generally limited. A party need</w:t>
      </w:r>
      <w:r w:rsidR="00D35067" w:rsidRPr="00ED4D93">
        <w:rPr>
          <w:rFonts w:ascii="Times New Roman" w:hAnsi="Times New Roman"/>
          <w:bCs/>
          <w:sz w:val="24"/>
        </w:rPr>
        <w:t>s</w:t>
      </w:r>
      <w:r w:rsidR="00B521A7" w:rsidRPr="00ED4D93">
        <w:rPr>
          <w:rFonts w:ascii="Times New Roman" w:hAnsi="Times New Roman"/>
          <w:bCs/>
          <w:sz w:val="24"/>
        </w:rPr>
        <w:t xml:space="preserve"> to demonstrate that there was a clear misdirection on the applicable principles on the matter</w:t>
      </w:r>
      <w:r w:rsidR="00FC26B4" w:rsidRPr="00ED4D93">
        <w:rPr>
          <w:rFonts w:ascii="Times New Roman" w:hAnsi="Times New Roman"/>
          <w:bCs/>
          <w:sz w:val="24"/>
        </w:rPr>
        <w:t>.</w:t>
      </w:r>
      <w:r w:rsidR="00B521A7">
        <w:rPr>
          <w:rStyle w:val="FootnoteReference"/>
          <w:rFonts w:ascii="Times New Roman" w:hAnsi="Times New Roman"/>
          <w:bCs/>
          <w:sz w:val="24"/>
        </w:rPr>
        <w:footnoteReference w:id="20"/>
      </w:r>
      <w:r w:rsidR="000C5043" w:rsidRPr="00ED4D93">
        <w:rPr>
          <w:rFonts w:ascii="Times New Roman" w:hAnsi="Times New Roman"/>
          <w:bCs/>
          <w:sz w:val="24"/>
        </w:rPr>
        <w:t xml:space="preserve"> This principle was considered by Moseneke DCJ </w:t>
      </w:r>
      <w:r w:rsidR="001E7360" w:rsidRPr="00ED4D93">
        <w:rPr>
          <w:rFonts w:ascii="Times New Roman" w:hAnsi="Times New Roman"/>
          <w:bCs/>
          <w:sz w:val="24"/>
        </w:rPr>
        <w:t xml:space="preserve">as asserted </w:t>
      </w:r>
      <w:r w:rsidR="00DE5E96" w:rsidRPr="00ED4D93">
        <w:rPr>
          <w:rFonts w:ascii="Times New Roman" w:hAnsi="Times New Roman"/>
          <w:bCs/>
          <w:sz w:val="24"/>
        </w:rPr>
        <w:t xml:space="preserve">its </w:t>
      </w:r>
      <w:r w:rsidR="00DE5E96" w:rsidRPr="00ED4D93">
        <w:rPr>
          <w:rFonts w:ascii="Times New Roman" w:hAnsi="Times New Roman"/>
          <w:bCs/>
          <w:i/>
          <w:iCs/>
          <w:sz w:val="24"/>
        </w:rPr>
        <w:t>raison d’</w:t>
      </w:r>
      <w:r w:rsidR="00D35067" w:rsidRPr="00ED4D93">
        <w:rPr>
          <w:rFonts w:ascii="Times New Roman" w:hAnsi="Times New Roman"/>
          <w:bCs/>
          <w:i/>
          <w:iCs/>
          <w:sz w:val="24"/>
        </w:rPr>
        <w:t>e</w:t>
      </w:r>
      <w:r w:rsidR="00DE5E96" w:rsidRPr="00ED4D93">
        <w:rPr>
          <w:rFonts w:ascii="Times New Roman" w:hAnsi="Times New Roman"/>
          <w:bCs/>
          <w:i/>
          <w:iCs/>
          <w:sz w:val="24"/>
        </w:rPr>
        <w:t>tre</w:t>
      </w:r>
      <w:r w:rsidR="00DE5E96" w:rsidRPr="00ED4D93">
        <w:rPr>
          <w:rFonts w:ascii="Times New Roman" w:hAnsi="Times New Roman"/>
          <w:bCs/>
          <w:sz w:val="24"/>
        </w:rPr>
        <w:t xml:space="preserve"> is to </w:t>
      </w:r>
      <w:r w:rsidR="000C5043" w:rsidRPr="00ED4D93">
        <w:rPr>
          <w:rFonts w:ascii="Times New Roman" w:hAnsi="Times New Roman"/>
          <w:bCs/>
          <w:sz w:val="24"/>
        </w:rPr>
        <w:t>foster certainty in the application of the law and finality in judicial decision making.</w:t>
      </w:r>
      <w:r w:rsidR="000C5043">
        <w:rPr>
          <w:rStyle w:val="FootnoteReference"/>
          <w:rFonts w:ascii="Times New Roman" w:hAnsi="Times New Roman"/>
          <w:bCs/>
          <w:sz w:val="24"/>
        </w:rPr>
        <w:footnoteReference w:id="21"/>
      </w:r>
    </w:p>
    <w:p w14:paraId="616AD9B5" w14:textId="77777777" w:rsidR="0095510E" w:rsidRDefault="0095510E" w:rsidP="0095510E">
      <w:pPr>
        <w:pStyle w:val="ListParagraph"/>
        <w:spacing w:line="480" w:lineRule="auto"/>
        <w:ind w:left="0"/>
        <w:contextualSpacing w:val="0"/>
        <w:rPr>
          <w:rFonts w:ascii="Times New Roman" w:hAnsi="Times New Roman"/>
          <w:bCs/>
          <w:sz w:val="24"/>
        </w:rPr>
      </w:pPr>
    </w:p>
    <w:p w14:paraId="525FAE63" w14:textId="3BB1E32F" w:rsidR="00FC26B4" w:rsidRDefault="00FC26B4" w:rsidP="00DE5E96">
      <w:pPr>
        <w:pStyle w:val="ListParagraph"/>
        <w:spacing w:line="480" w:lineRule="auto"/>
        <w:ind w:left="0" w:firstLine="720"/>
        <w:contextualSpacing w:val="0"/>
        <w:rPr>
          <w:rFonts w:ascii="Times New Roman" w:hAnsi="Times New Roman"/>
          <w:bCs/>
          <w:i/>
          <w:iCs/>
          <w:sz w:val="24"/>
        </w:rPr>
      </w:pPr>
      <w:r w:rsidRPr="0095510E">
        <w:rPr>
          <w:rFonts w:ascii="Times New Roman" w:hAnsi="Times New Roman"/>
          <w:bCs/>
          <w:i/>
          <w:iCs/>
          <w:sz w:val="24"/>
        </w:rPr>
        <w:t>Variation in terms of Rule 42 of the Uniform Rules of Court</w:t>
      </w:r>
    </w:p>
    <w:p w14:paraId="723C9771" w14:textId="77777777" w:rsidR="00FC26B4" w:rsidRDefault="00FC26B4" w:rsidP="0095510E">
      <w:pPr>
        <w:pStyle w:val="ListParagraph"/>
        <w:spacing w:line="480" w:lineRule="auto"/>
        <w:ind w:left="0"/>
        <w:contextualSpacing w:val="0"/>
        <w:rPr>
          <w:rFonts w:ascii="Times New Roman" w:hAnsi="Times New Roman"/>
          <w:bCs/>
          <w:sz w:val="24"/>
        </w:rPr>
      </w:pPr>
    </w:p>
    <w:p w14:paraId="6A2500FD" w14:textId="29B70DC9" w:rsidR="00FC26B4" w:rsidRPr="00ED4D93" w:rsidRDefault="00ED4D93" w:rsidP="00ED4D93">
      <w:pPr>
        <w:spacing w:line="480" w:lineRule="auto"/>
        <w:rPr>
          <w:rFonts w:ascii="Times New Roman" w:hAnsi="Times New Roman"/>
          <w:bCs/>
          <w:sz w:val="24"/>
        </w:rPr>
      </w:pPr>
      <w:r>
        <w:rPr>
          <w:rFonts w:ascii="Times New Roman" w:hAnsi="Times New Roman"/>
          <w:bCs/>
          <w:sz w:val="24"/>
        </w:rPr>
        <w:t>[31]</w:t>
      </w:r>
      <w:r>
        <w:rPr>
          <w:rFonts w:ascii="Times New Roman" w:hAnsi="Times New Roman"/>
          <w:bCs/>
          <w:sz w:val="24"/>
        </w:rPr>
        <w:tab/>
      </w:r>
      <w:r w:rsidR="00DE5E96" w:rsidRPr="00ED4D93">
        <w:rPr>
          <w:rFonts w:ascii="Times New Roman" w:hAnsi="Times New Roman"/>
          <w:bCs/>
          <w:sz w:val="24"/>
        </w:rPr>
        <w:t xml:space="preserve">The fact that there are exceptions in relation to the principle that once a judgment is made the presiding officer is </w:t>
      </w:r>
      <w:r w:rsidR="00DE5E96" w:rsidRPr="00ED4D93">
        <w:rPr>
          <w:rFonts w:ascii="Times New Roman" w:hAnsi="Times New Roman"/>
          <w:bCs/>
          <w:i/>
          <w:iCs/>
          <w:sz w:val="24"/>
        </w:rPr>
        <w:t xml:space="preserve">functus officio </w:t>
      </w:r>
      <w:r w:rsidR="00DE5E96" w:rsidRPr="00ED4D93">
        <w:rPr>
          <w:rFonts w:ascii="Times New Roman" w:hAnsi="Times New Roman"/>
          <w:bCs/>
          <w:sz w:val="24"/>
        </w:rPr>
        <w:t>was considered and illustrated its application i</w:t>
      </w:r>
      <w:r w:rsidR="00F16F6B" w:rsidRPr="00ED4D93">
        <w:rPr>
          <w:rFonts w:ascii="Times New Roman" w:hAnsi="Times New Roman"/>
          <w:bCs/>
          <w:sz w:val="24"/>
        </w:rPr>
        <w:t>n</w:t>
      </w:r>
      <w:r w:rsidR="00DE5E96" w:rsidRPr="00ED4D93">
        <w:rPr>
          <w:rFonts w:ascii="Times New Roman" w:hAnsi="Times New Roman"/>
          <w:bCs/>
          <w:sz w:val="24"/>
        </w:rPr>
        <w:t xml:space="preserve"> several court judgment</w:t>
      </w:r>
      <w:r w:rsidR="0076525B" w:rsidRPr="00ED4D93">
        <w:rPr>
          <w:rFonts w:ascii="Times New Roman" w:hAnsi="Times New Roman"/>
          <w:bCs/>
          <w:sz w:val="24"/>
        </w:rPr>
        <w:t>s</w:t>
      </w:r>
      <w:r w:rsidR="00DE5E96" w:rsidRPr="00ED4D93">
        <w:rPr>
          <w:rFonts w:ascii="Times New Roman" w:hAnsi="Times New Roman"/>
          <w:bCs/>
          <w:sz w:val="24"/>
        </w:rPr>
        <w:t xml:space="preserve">. Reference was </w:t>
      </w:r>
      <w:r w:rsidR="0076525B" w:rsidRPr="00ED4D93">
        <w:rPr>
          <w:rFonts w:ascii="Times New Roman" w:hAnsi="Times New Roman"/>
          <w:bCs/>
          <w:sz w:val="24"/>
        </w:rPr>
        <w:t xml:space="preserve">made </w:t>
      </w:r>
      <w:r w:rsidR="00FC26B4" w:rsidRPr="00ED4D93">
        <w:rPr>
          <w:rFonts w:ascii="Times New Roman" w:hAnsi="Times New Roman"/>
          <w:bCs/>
          <w:sz w:val="24"/>
        </w:rPr>
        <w:t xml:space="preserve">at para 34 in </w:t>
      </w:r>
      <w:r w:rsidR="00F16F6B" w:rsidRPr="00ED4D93">
        <w:rPr>
          <w:rFonts w:ascii="Times New Roman" w:hAnsi="Times New Roman"/>
          <w:bCs/>
          <w:sz w:val="24"/>
        </w:rPr>
        <w:t xml:space="preserve">the </w:t>
      </w:r>
      <w:r w:rsidR="00FC26B4" w:rsidRPr="00ED4D93">
        <w:rPr>
          <w:rFonts w:ascii="Times New Roman" w:hAnsi="Times New Roman"/>
          <w:bCs/>
          <w:i/>
          <w:iCs/>
          <w:sz w:val="24"/>
        </w:rPr>
        <w:t>Zondi</w:t>
      </w:r>
      <w:r w:rsidR="00FC26B4" w:rsidRPr="00ED4D93">
        <w:rPr>
          <w:rFonts w:ascii="Times New Roman" w:hAnsi="Times New Roman"/>
          <w:bCs/>
          <w:sz w:val="24"/>
        </w:rPr>
        <w:t xml:space="preserve"> </w:t>
      </w:r>
      <w:r w:rsidR="00FC26B4" w:rsidRPr="00ED4D93">
        <w:rPr>
          <w:rFonts w:ascii="Times New Roman" w:hAnsi="Times New Roman"/>
          <w:bCs/>
          <w:i/>
          <w:iCs/>
          <w:sz w:val="24"/>
        </w:rPr>
        <w:t>judgment</w:t>
      </w:r>
      <w:r w:rsidR="00FC26B4">
        <w:rPr>
          <w:rStyle w:val="FootnoteReference"/>
          <w:rFonts w:ascii="Times New Roman" w:hAnsi="Times New Roman"/>
          <w:bCs/>
          <w:sz w:val="24"/>
        </w:rPr>
        <w:footnoteReference w:id="22"/>
      </w:r>
      <w:r w:rsidR="00FC26B4" w:rsidRPr="00ED4D93">
        <w:rPr>
          <w:rFonts w:ascii="Times New Roman" w:hAnsi="Times New Roman"/>
          <w:bCs/>
          <w:i/>
          <w:iCs/>
          <w:sz w:val="24"/>
        </w:rPr>
        <w:t xml:space="preserve"> </w:t>
      </w:r>
      <w:r w:rsidR="00FC26B4" w:rsidRPr="00ED4D93">
        <w:rPr>
          <w:rFonts w:ascii="Times New Roman" w:hAnsi="Times New Roman"/>
          <w:bCs/>
          <w:sz w:val="24"/>
        </w:rPr>
        <w:t xml:space="preserve">of the judgment in </w:t>
      </w:r>
      <w:r w:rsidR="00FC26B4" w:rsidRPr="00ED4D93">
        <w:rPr>
          <w:rFonts w:ascii="Times New Roman" w:hAnsi="Times New Roman"/>
          <w:bCs/>
          <w:i/>
          <w:iCs/>
          <w:sz w:val="24"/>
        </w:rPr>
        <w:t>West Estates case</w:t>
      </w:r>
      <w:r w:rsidR="00FC26B4">
        <w:rPr>
          <w:rStyle w:val="FootnoteReference"/>
          <w:rFonts w:ascii="Times New Roman" w:hAnsi="Times New Roman"/>
          <w:bCs/>
          <w:i/>
          <w:iCs/>
          <w:sz w:val="24"/>
        </w:rPr>
        <w:footnoteReference w:id="23"/>
      </w:r>
      <w:r w:rsidR="00FC26B4" w:rsidRPr="00ED4D93">
        <w:rPr>
          <w:rFonts w:ascii="Times New Roman" w:hAnsi="Times New Roman"/>
          <w:bCs/>
          <w:i/>
          <w:iCs/>
          <w:sz w:val="24"/>
        </w:rPr>
        <w:t xml:space="preserve"> </w:t>
      </w:r>
      <w:r w:rsidR="00FC26B4" w:rsidRPr="00ED4D93">
        <w:rPr>
          <w:rFonts w:ascii="Times New Roman" w:hAnsi="Times New Roman"/>
          <w:bCs/>
          <w:sz w:val="24"/>
        </w:rPr>
        <w:t xml:space="preserve">where the Appellate Division had to </w:t>
      </w:r>
      <w:r w:rsidR="00EC0C86" w:rsidRPr="00ED4D93">
        <w:rPr>
          <w:rFonts w:ascii="Times New Roman" w:hAnsi="Times New Roman"/>
          <w:bCs/>
          <w:sz w:val="24"/>
        </w:rPr>
        <w:t>a</w:t>
      </w:r>
      <w:r w:rsidR="00FC26B4" w:rsidRPr="00ED4D93">
        <w:rPr>
          <w:rFonts w:ascii="Times New Roman" w:hAnsi="Times New Roman"/>
          <w:bCs/>
          <w:sz w:val="24"/>
        </w:rPr>
        <w:t xml:space="preserve">mend an order to include the award of interest which was inadvertently omitted </w:t>
      </w:r>
      <w:r w:rsidR="00EC0C86" w:rsidRPr="00ED4D93">
        <w:rPr>
          <w:rFonts w:ascii="Times New Roman" w:hAnsi="Times New Roman"/>
          <w:bCs/>
          <w:sz w:val="24"/>
        </w:rPr>
        <w:t xml:space="preserve">even though </w:t>
      </w:r>
      <w:r w:rsidR="00FC26B4" w:rsidRPr="00ED4D93">
        <w:rPr>
          <w:rFonts w:ascii="Times New Roman" w:hAnsi="Times New Roman"/>
          <w:bCs/>
          <w:sz w:val="24"/>
        </w:rPr>
        <w:t>it was argued.</w:t>
      </w:r>
      <w:r w:rsidR="00FC26B4">
        <w:rPr>
          <w:rStyle w:val="FootnoteReference"/>
          <w:rFonts w:ascii="Times New Roman" w:hAnsi="Times New Roman"/>
          <w:bCs/>
          <w:sz w:val="24"/>
        </w:rPr>
        <w:footnoteReference w:id="24"/>
      </w:r>
      <w:r w:rsidR="00FC26B4" w:rsidRPr="00ED4D93">
        <w:rPr>
          <w:rFonts w:ascii="Times New Roman" w:hAnsi="Times New Roman"/>
          <w:bCs/>
          <w:sz w:val="24"/>
        </w:rPr>
        <w:t xml:space="preserve"> </w:t>
      </w:r>
    </w:p>
    <w:p w14:paraId="28A3DAE7" w14:textId="77777777" w:rsidR="00FC26B4" w:rsidRPr="008879D0" w:rsidRDefault="00FC26B4" w:rsidP="00FC26B4">
      <w:pPr>
        <w:pStyle w:val="ListParagraph"/>
        <w:rPr>
          <w:rFonts w:ascii="Times New Roman" w:hAnsi="Times New Roman"/>
          <w:bCs/>
          <w:sz w:val="24"/>
        </w:rPr>
      </w:pPr>
    </w:p>
    <w:p w14:paraId="3111A676" w14:textId="5A8F0737" w:rsidR="00FC26B4" w:rsidRPr="00ED4D93" w:rsidRDefault="00ED4D93" w:rsidP="00ED4D93">
      <w:pPr>
        <w:spacing w:line="480" w:lineRule="auto"/>
        <w:rPr>
          <w:rFonts w:ascii="Times New Roman" w:hAnsi="Times New Roman"/>
          <w:bCs/>
          <w:sz w:val="24"/>
        </w:rPr>
      </w:pPr>
      <w:r>
        <w:rPr>
          <w:rFonts w:ascii="Times New Roman" w:hAnsi="Times New Roman"/>
          <w:bCs/>
          <w:sz w:val="24"/>
        </w:rPr>
        <w:t>[32]</w:t>
      </w:r>
      <w:r>
        <w:rPr>
          <w:rFonts w:ascii="Times New Roman" w:hAnsi="Times New Roman"/>
          <w:bCs/>
          <w:sz w:val="24"/>
        </w:rPr>
        <w:tab/>
      </w:r>
      <w:r w:rsidR="00FC26B4" w:rsidRPr="00ED4D93">
        <w:rPr>
          <w:rFonts w:ascii="Times New Roman" w:hAnsi="Times New Roman"/>
          <w:bCs/>
          <w:sz w:val="24"/>
        </w:rPr>
        <w:t xml:space="preserve">The SCA has stated in </w:t>
      </w:r>
      <w:r w:rsidR="00F16F6B" w:rsidRPr="00ED4D93">
        <w:rPr>
          <w:rFonts w:ascii="Times New Roman" w:hAnsi="Times New Roman"/>
          <w:bCs/>
          <w:sz w:val="24"/>
        </w:rPr>
        <w:t xml:space="preserve">the </w:t>
      </w:r>
      <w:r w:rsidR="00FC26B4" w:rsidRPr="00ED4D93">
        <w:rPr>
          <w:rFonts w:ascii="Times New Roman" w:hAnsi="Times New Roman"/>
          <w:bCs/>
          <w:i/>
          <w:iCs/>
          <w:sz w:val="24"/>
        </w:rPr>
        <w:t>Thompson judgment</w:t>
      </w:r>
      <w:r w:rsidR="00FC26B4">
        <w:rPr>
          <w:rStyle w:val="FootnoteReference"/>
          <w:rFonts w:ascii="Times New Roman" w:hAnsi="Times New Roman"/>
          <w:bCs/>
          <w:sz w:val="24"/>
        </w:rPr>
        <w:footnoteReference w:id="25"/>
      </w:r>
      <w:r w:rsidR="00FC26B4" w:rsidRPr="00ED4D93">
        <w:rPr>
          <w:rFonts w:ascii="Times New Roman" w:hAnsi="Times New Roman"/>
          <w:bCs/>
          <w:sz w:val="24"/>
        </w:rPr>
        <w:t xml:space="preserve"> that </w:t>
      </w:r>
      <w:r w:rsidR="00FC26B4" w:rsidRPr="00ED4D93">
        <w:rPr>
          <w:rFonts w:ascii="Times New Roman" w:hAnsi="Times New Roman"/>
          <w:bCs/>
          <w:i/>
          <w:iCs/>
          <w:sz w:val="24"/>
        </w:rPr>
        <w:t xml:space="preserve">‘The enlightened approach, however, permits a judicial officer to change, amend or supplement his pronounced judgment, provided that the sense or substance of his judgment is not affected thereby.’ </w:t>
      </w:r>
    </w:p>
    <w:p w14:paraId="0D2BCED8" w14:textId="77777777" w:rsidR="00FC26B4" w:rsidRPr="00C9786D" w:rsidRDefault="00FC26B4" w:rsidP="00FC26B4">
      <w:pPr>
        <w:pStyle w:val="ListParagraph"/>
        <w:rPr>
          <w:rFonts w:ascii="Times New Roman" w:hAnsi="Times New Roman"/>
          <w:bCs/>
          <w:sz w:val="24"/>
        </w:rPr>
      </w:pPr>
    </w:p>
    <w:p w14:paraId="64AADD01" w14:textId="5D526147" w:rsidR="00FC26B4" w:rsidRPr="00ED4D93" w:rsidRDefault="00ED4D93" w:rsidP="00ED4D93">
      <w:pPr>
        <w:spacing w:line="480" w:lineRule="auto"/>
        <w:rPr>
          <w:rFonts w:ascii="Times New Roman" w:hAnsi="Times New Roman"/>
          <w:bCs/>
          <w:sz w:val="24"/>
        </w:rPr>
      </w:pPr>
      <w:r>
        <w:rPr>
          <w:rFonts w:ascii="Times New Roman" w:hAnsi="Times New Roman"/>
          <w:bCs/>
          <w:sz w:val="24"/>
        </w:rPr>
        <w:t>[33]</w:t>
      </w:r>
      <w:r>
        <w:rPr>
          <w:rFonts w:ascii="Times New Roman" w:hAnsi="Times New Roman"/>
          <w:bCs/>
          <w:sz w:val="24"/>
        </w:rPr>
        <w:tab/>
      </w:r>
      <w:r w:rsidR="00FC26B4" w:rsidRPr="00ED4D93">
        <w:rPr>
          <w:rFonts w:ascii="Times New Roman" w:hAnsi="Times New Roman"/>
          <w:bCs/>
          <w:sz w:val="24"/>
        </w:rPr>
        <w:t>In interpreting the judgment</w:t>
      </w:r>
      <w:r w:rsidR="00F16F6B" w:rsidRPr="00ED4D93">
        <w:rPr>
          <w:rFonts w:ascii="Times New Roman" w:hAnsi="Times New Roman"/>
          <w:bCs/>
          <w:sz w:val="24"/>
        </w:rPr>
        <w:t xml:space="preserve"> the</w:t>
      </w:r>
      <w:r w:rsidR="00FC26B4" w:rsidRPr="00ED4D93">
        <w:rPr>
          <w:rFonts w:ascii="Times New Roman" w:hAnsi="Times New Roman"/>
          <w:bCs/>
          <w:sz w:val="24"/>
        </w:rPr>
        <w:t xml:space="preserve"> surrounding circumstances need to be considered and this was stated by the SCA in </w:t>
      </w:r>
      <w:r w:rsidR="00FC26B4" w:rsidRPr="00ED4D93">
        <w:rPr>
          <w:rFonts w:ascii="Times New Roman" w:hAnsi="Times New Roman"/>
          <w:bCs/>
          <w:i/>
          <w:iCs/>
          <w:sz w:val="24"/>
        </w:rPr>
        <w:t>HLB International</w:t>
      </w:r>
      <w:r w:rsidR="00FC26B4">
        <w:rPr>
          <w:rStyle w:val="FootnoteReference"/>
          <w:rFonts w:ascii="Times New Roman" w:hAnsi="Times New Roman"/>
          <w:bCs/>
          <w:sz w:val="24"/>
        </w:rPr>
        <w:footnoteReference w:id="26"/>
      </w:r>
      <w:r w:rsidR="00FC26B4" w:rsidRPr="00ED4D93">
        <w:rPr>
          <w:rFonts w:ascii="Times New Roman" w:hAnsi="Times New Roman"/>
          <w:bCs/>
          <w:sz w:val="24"/>
        </w:rPr>
        <w:t xml:space="preserve"> where it was held that </w:t>
      </w:r>
      <w:r w:rsidR="00FC26B4" w:rsidRPr="00ED4D93">
        <w:rPr>
          <w:rFonts w:ascii="Times New Roman" w:hAnsi="Times New Roman"/>
          <w:bCs/>
          <w:i/>
          <w:iCs/>
          <w:sz w:val="24"/>
        </w:rPr>
        <w:t>‘The manifest purpose of the judgment is to be determined by also having regard to the relevant background facts which culminated in it being made.</w:t>
      </w:r>
      <w:r w:rsidR="00FC26B4">
        <w:rPr>
          <w:rStyle w:val="FootnoteReference"/>
          <w:rFonts w:ascii="Times New Roman" w:hAnsi="Times New Roman"/>
          <w:bCs/>
          <w:i/>
          <w:iCs/>
          <w:sz w:val="24"/>
        </w:rPr>
        <w:footnoteReference w:id="27"/>
      </w:r>
      <w:r w:rsidR="00FC26B4" w:rsidRPr="00ED4D93">
        <w:rPr>
          <w:rFonts w:ascii="Times New Roman" w:hAnsi="Times New Roman"/>
          <w:bCs/>
          <w:i/>
          <w:iCs/>
          <w:sz w:val="24"/>
        </w:rPr>
        <w:t xml:space="preserve"> </w:t>
      </w:r>
      <w:r w:rsidR="00FC26B4" w:rsidRPr="00ED4D93">
        <w:rPr>
          <w:rFonts w:ascii="Times New Roman" w:hAnsi="Times New Roman"/>
          <w:bCs/>
          <w:sz w:val="24"/>
        </w:rPr>
        <w:t xml:space="preserve">The court contrasted the position before and after </w:t>
      </w:r>
      <w:r w:rsidR="00F16F6B" w:rsidRPr="00ED4D93">
        <w:rPr>
          <w:rFonts w:ascii="Times New Roman" w:hAnsi="Times New Roman"/>
          <w:bCs/>
          <w:sz w:val="24"/>
        </w:rPr>
        <w:t xml:space="preserve">the </w:t>
      </w:r>
      <w:r w:rsidR="00FC26B4" w:rsidRPr="00ED4D93">
        <w:rPr>
          <w:rFonts w:ascii="Times New Roman" w:hAnsi="Times New Roman"/>
          <w:bCs/>
          <w:sz w:val="24"/>
        </w:rPr>
        <w:t>new constitution and held that subsequent to the new dispensation the basis of the correction could be in the interest</w:t>
      </w:r>
      <w:r w:rsidR="00F16F6B" w:rsidRPr="00ED4D93">
        <w:rPr>
          <w:rFonts w:ascii="Times New Roman" w:hAnsi="Times New Roman"/>
          <w:bCs/>
          <w:sz w:val="24"/>
        </w:rPr>
        <w:t>s</w:t>
      </w:r>
      <w:r w:rsidR="00FC26B4" w:rsidRPr="00ED4D93">
        <w:rPr>
          <w:rFonts w:ascii="Times New Roman" w:hAnsi="Times New Roman"/>
          <w:bCs/>
          <w:sz w:val="24"/>
        </w:rPr>
        <w:t xml:space="preserve"> of justice.   </w:t>
      </w:r>
    </w:p>
    <w:p w14:paraId="71461813" w14:textId="77777777" w:rsidR="00DE5E96" w:rsidRDefault="00DE5E96" w:rsidP="00DE5E96">
      <w:pPr>
        <w:pStyle w:val="ListParagraph"/>
        <w:spacing w:line="480" w:lineRule="auto"/>
        <w:ind w:left="0"/>
        <w:contextualSpacing w:val="0"/>
        <w:rPr>
          <w:rFonts w:ascii="Times New Roman" w:hAnsi="Times New Roman"/>
          <w:bCs/>
          <w:i/>
          <w:iCs/>
          <w:sz w:val="24"/>
        </w:rPr>
      </w:pPr>
    </w:p>
    <w:p w14:paraId="5C5AF895" w14:textId="646E29CA" w:rsidR="00DE5E96" w:rsidRPr="00FC26B4" w:rsidRDefault="00DE5E96" w:rsidP="00DE5E96">
      <w:pPr>
        <w:pStyle w:val="ListParagraph"/>
        <w:spacing w:line="480" w:lineRule="auto"/>
        <w:ind w:left="0"/>
        <w:contextualSpacing w:val="0"/>
        <w:rPr>
          <w:rFonts w:ascii="Times New Roman" w:hAnsi="Times New Roman"/>
          <w:bCs/>
          <w:i/>
          <w:iCs/>
          <w:sz w:val="24"/>
        </w:rPr>
      </w:pPr>
      <w:r w:rsidRPr="00FC26B4">
        <w:rPr>
          <w:rFonts w:ascii="Times New Roman" w:hAnsi="Times New Roman"/>
          <w:bCs/>
          <w:i/>
          <w:iCs/>
          <w:sz w:val="24"/>
        </w:rPr>
        <w:lastRenderedPageBreak/>
        <w:t xml:space="preserve">Analysis </w:t>
      </w:r>
    </w:p>
    <w:p w14:paraId="28FF47B1" w14:textId="77777777" w:rsidR="00DE5E96" w:rsidRPr="0092378A" w:rsidRDefault="00DE5E96" w:rsidP="00DE5E96">
      <w:pPr>
        <w:pStyle w:val="ListParagraph"/>
        <w:spacing w:line="480" w:lineRule="auto"/>
        <w:ind w:left="0" w:firstLine="720"/>
        <w:contextualSpacing w:val="0"/>
        <w:rPr>
          <w:rFonts w:ascii="Times New Roman" w:hAnsi="Times New Roman"/>
          <w:bCs/>
          <w:i/>
          <w:iCs/>
          <w:sz w:val="24"/>
        </w:rPr>
      </w:pPr>
      <w:r w:rsidRPr="0092378A">
        <w:rPr>
          <w:rFonts w:ascii="Times New Roman" w:hAnsi="Times New Roman"/>
          <w:bCs/>
          <w:i/>
          <w:iCs/>
          <w:sz w:val="24"/>
        </w:rPr>
        <w:t>Valuation of other assets.</w:t>
      </w:r>
    </w:p>
    <w:p w14:paraId="37BE0CB9" w14:textId="77777777" w:rsidR="00980755" w:rsidRDefault="00980755" w:rsidP="00980755">
      <w:pPr>
        <w:pStyle w:val="ListParagraph"/>
        <w:spacing w:line="480" w:lineRule="auto"/>
        <w:ind w:left="0"/>
        <w:contextualSpacing w:val="0"/>
        <w:rPr>
          <w:rFonts w:ascii="Times New Roman" w:hAnsi="Times New Roman"/>
          <w:bCs/>
          <w:sz w:val="24"/>
        </w:rPr>
      </w:pPr>
    </w:p>
    <w:p w14:paraId="31E8E8C8" w14:textId="4931E7A4" w:rsidR="00980755" w:rsidRPr="00ED4D93" w:rsidRDefault="00ED4D93" w:rsidP="00ED4D93">
      <w:pPr>
        <w:spacing w:line="480" w:lineRule="auto"/>
        <w:rPr>
          <w:rFonts w:ascii="Times New Roman" w:hAnsi="Times New Roman"/>
          <w:bCs/>
          <w:sz w:val="24"/>
        </w:rPr>
      </w:pPr>
      <w:r>
        <w:rPr>
          <w:rFonts w:ascii="Times New Roman" w:hAnsi="Times New Roman"/>
          <w:bCs/>
          <w:sz w:val="24"/>
        </w:rPr>
        <w:t>[34]</w:t>
      </w:r>
      <w:r>
        <w:rPr>
          <w:rFonts w:ascii="Times New Roman" w:hAnsi="Times New Roman"/>
          <w:bCs/>
          <w:sz w:val="24"/>
        </w:rPr>
        <w:tab/>
      </w:r>
      <w:r w:rsidR="00980755" w:rsidRPr="00ED4D93">
        <w:rPr>
          <w:rFonts w:ascii="Times New Roman" w:hAnsi="Times New Roman"/>
          <w:bCs/>
          <w:sz w:val="24"/>
        </w:rPr>
        <w:t xml:space="preserve">The court </w:t>
      </w:r>
      <w:r w:rsidR="00980755" w:rsidRPr="00ED4D93">
        <w:rPr>
          <w:rFonts w:ascii="Times New Roman" w:hAnsi="Times New Roman"/>
          <w:bCs/>
          <w:i/>
          <w:iCs/>
          <w:sz w:val="24"/>
        </w:rPr>
        <w:t>a quo</w:t>
      </w:r>
      <w:r w:rsidR="00980755" w:rsidRPr="00ED4D93">
        <w:rPr>
          <w:rFonts w:ascii="Times New Roman" w:hAnsi="Times New Roman"/>
          <w:bCs/>
          <w:sz w:val="24"/>
        </w:rPr>
        <w:t xml:space="preserve"> was invited to determine whether there was an error or omission in the order of Senyatsi AJ as envisaged in terms of rule 42(1)(b) in relation to the calculation of the amount due to the respondent in terms of section 3 of the MPA. Secondly whether the dispute to be adjudicated upon was only limited to the value of the shares in LBMC and lastly the determination of the amount payable to the respondent</w:t>
      </w:r>
      <w:r w:rsidR="0076525B" w:rsidRPr="00ED4D93">
        <w:rPr>
          <w:rFonts w:ascii="Times New Roman" w:hAnsi="Times New Roman"/>
          <w:bCs/>
          <w:sz w:val="24"/>
        </w:rPr>
        <w:t>,</w:t>
      </w:r>
      <w:r w:rsidR="00980755" w:rsidRPr="00ED4D93">
        <w:rPr>
          <w:rFonts w:ascii="Times New Roman" w:hAnsi="Times New Roman"/>
          <w:bCs/>
          <w:sz w:val="24"/>
        </w:rPr>
        <w:t xml:space="preserve"> if applicable.</w:t>
      </w:r>
    </w:p>
    <w:p w14:paraId="0F78C03D" w14:textId="77777777" w:rsidR="00980755" w:rsidRPr="00980755" w:rsidRDefault="00980755" w:rsidP="00980755">
      <w:pPr>
        <w:pStyle w:val="ListParagraph"/>
        <w:rPr>
          <w:rFonts w:ascii="Times New Roman" w:hAnsi="Times New Roman"/>
          <w:bCs/>
          <w:sz w:val="24"/>
        </w:rPr>
      </w:pPr>
    </w:p>
    <w:p w14:paraId="6847578F" w14:textId="25D7A611" w:rsidR="0092378A" w:rsidRPr="00ED4D93" w:rsidRDefault="00ED4D93" w:rsidP="00ED4D93">
      <w:pPr>
        <w:spacing w:line="480" w:lineRule="auto"/>
        <w:rPr>
          <w:rFonts w:ascii="Times New Roman" w:hAnsi="Times New Roman"/>
          <w:bCs/>
          <w:sz w:val="24"/>
        </w:rPr>
      </w:pPr>
      <w:r>
        <w:rPr>
          <w:rFonts w:ascii="Times New Roman" w:hAnsi="Times New Roman"/>
          <w:bCs/>
          <w:sz w:val="24"/>
        </w:rPr>
        <w:t>[35]</w:t>
      </w:r>
      <w:r>
        <w:rPr>
          <w:rFonts w:ascii="Times New Roman" w:hAnsi="Times New Roman"/>
          <w:bCs/>
          <w:sz w:val="24"/>
        </w:rPr>
        <w:tab/>
      </w:r>
      <w:r w:rsidR="00980755" w:rsidRPr="00ED4D93">
        <w:rPr>
          <w:rFonts w:ascii="Times New Roman" w:hAnsi="Times New Roman"/>
          <w:bCs/>
          <w:sz w:val="24"/>
        </w:rPr>
        <w:t xml:space="preserve">The submission by the respondent that indeed there was agreement about other assets is sustainable. This was confirmed by the attorney of the appellant who unequivocally stated that what is left for determination was the valuation of the shares. The court </w:t>
      </w:r>
      <w:r w:rsidR="00980755" w:rsidRPr="00ED4D93">
        <w:rPr>
          <w:rFonts w:ascii="Times New Roman" w:hAnsi="Times New Roman"/>
          <w:bCs/>
          <w:i/>
          <w:iCs/>
          <w:sz w:val="24"/>
        </w:rPr>
        <w:t xml:space="preserve">a quo </w:t>
      </w:r>
      <w:r w:rsidR="00980755" w:rsidRPr="00ED4D93">
        <w:rPr>
          <w:rFonts w:ascii="Times New Roman" w:hAnsi="Times New Roman"/>
          <w:bCs/>
          <w:sz w:val="24"/>
        </w:rPr>
        <w:t>found correctly that this averment by the appellant’s attorney has not been eschewed by the appellant. Th</w:t>
      </w:r>
      <w:r w:rsidR="00DE5E96" w:rsidRPr="00ED4D93">
        <w:rPr>
          <w:rFonts w:ascii="Times New Roman" w:hAnsi="Times New Roman"/>
          <w:bCs/>
          <w:sz w:val="24"/>
        </w:rPr>
        <w:t>ough the appellant conveyed his intention to launch an appeal such an intention was never put into effect</w:t>
      </w:r>
      <w:r w:rsidR="00980755" w:rsidRPr="00ED4D93">
        <w:rPr>
          <w:rFonts w:ascii="Times New Roman" w:hAnsi="Times New Roman"/>
          <w:bCs/>
          <w:sz w:val="24"/>
        </w:rPr>
        <w:t>.</w:t>
      </w:r>
      <w:r w:rsidR="0092378A" w:rsidRPr="00ED4D93">
        <w:rPr>
          <w:rFonts w:ascii="Times New Roman" w:hAnsi="Times New Roman"/>
          <w:bCs/>
          <w:sz w:val="24"/>
        </w:rPr>
        <w:t xml:space="preserve"> </w:t>
      </w:r>
    </w:p>
    <w:p w14:paraId="322C2988" w14:textId="77777777" w:rsidR="0092378A" w:rsidRDefault="0092378A" w:rsidP="0092378A">
      <w:pPr>
        <w:pStyle w:val="ListParagraph"/>
        <w:spacing w:line="480" w:lineRule="auto"/>
        <w:ind w:left="0"/>
        <w:contextualSpacing w:val="0"/>
        <w:rPr>
          <w:rFonts w:ascii="Times New Roman" w:hAnsi="Times New Roman"/>
          <w:bCs/>
          <w:sz w:val="24"/>
        </w:rPr>
      </w:pPr>
    </w:p>
    <w:p w14:paraId="0CFB2022" w14:textId="121497F7" w:rsidR="0092378A" w:rsidRPr="00ED4D93" w:rsidRDefault="00ED4D93" w:rsidP="00ED4D93">
      <w:pPr>
        <w:spacing w:line="480" w:lineRule="auto"/>
        <w:rPr>
          <w:rFonts w:ascii="Times New Roman" w:hAnsi="Times New Roman"/>
          <w:bCs/>
          <w:sz w:val="24"/>
        </w:rPr>
      </w:pPr>
      <w:r>
        <w:rPr>
          <w:rFonts w:ascii="Times New Roman" w:hAnsi="Times New Roman"/>
          <w:bCs/>
          <w:sz w:val="24"/>
        </w:rPr>
        <w:t>[36]</w:t>
      </w:r>
      <w:r>
        <w:rPr>
          <w:rFonts w:ascii="Times New Roman" w:hAnsi="Times New Roman"/>
          <w:bCs/>
          <w:sz w:val="24"/>
        </w:rPr>
        <w:tab/>
      </w:r>
      <w:r w:rsidR="0092378A" w:rsidRPr="00ED4D93">
        <w:rPr>
          <w:rFonts w:ascii="Times New Roman" w:hAnsi="Times New Roman"/>
          <w:bCs/>
          <w:sz w:val="24"/>
        </w:rPr>
        <w:t xml:space="preserve">Consistent with </w:t>
      </w:r>
      <w:r w:rsidR="00F16F6B" w:rsidRPr="00ED4D93">
        <w:rPr>
          <w:rFonts w:ascii="Times New Roman" w:hAnsi="Times New Roman"/>
          <w:bCs/>
          <w:sz w:val="24"/>
        </w:rPr>
        <w:t xml:space="preserve">the </w:t>
      </w:r>
      <w:r w:rsidR="0092378A" w:rsidRPr="00ED4D93">
        <w:rPr>
          <w:rFonts w:ascii="Times New Roman" w:hAnsi="Times New Roman"/>
          <w:bCs/>
          <w:sz w:val="24"/>
        </w:rPr>
        <w:t xml:space="preserve">above is the statement in the judgment of Senyatsi </w:t>
      </w:r>
      <w:r w:rsidR="00DE5E96" w:rsidRPr="00ED4D93">
        <w:rPr>
          <w:rFonts w:ascii="Times New Roman" w:hAnsi="Times New Roman"/>
          <w:bCs/>
          <w:sz w:val="24"/>
        </w:rPr>
        <w:t>AJ</w:t>
      </w:r>
      <w:r w:rsidR="0076525B" w:rsidRPr="00ED4D93">
        <w:rPr>
          <w:rFonts w:ascii="Times New Roman" w:hAnsi="Times New Roman"/>
          <w:bCs/>
          <w:sz w:val="24"/>
        </w:rPr>
        <w:t xml:space="preserve"> that the issue for determination relates only to the </w:t>
      </w:r>
      <w:r w:rsidR="0092378A" w:rsidRPr="00ED4D93">
        <w:rPr>
          <w:rFonts w:ascii="Times New Roman" w:hAnsi="Times New Roman"/>
          <w:bCs/>
          <w:sz w:val="24"/>
        </w:rPr>
        <w:t xml:space="preserve">value of the shares of LBMC. In addition, the amount of R3 300 000,00 was derived from the case management meeting minutes which was agreed to </w:t>
      </w:r>
      <w:r w:rsidR="00F83371" w:rsidRPr="00ED4D93">
        <w:rPr>
          <w:rFonts w:ascii="Times New Roman" w:hAnsi="Times New Roman"/>
          <w:bCs/>
          <w:sz w:val="24"/>
        </w:rPr>
        <w:t xml:space="preserve">by the parties </w:t>
      </w:r>
      <w:r w:rsidR="0092378A" w:rsidRPr="00ED4D93">
        <w:rPr>
          <w:rFonts w:ascii="Times New Roman" w:hAnsi="Times New Roman"/>
          <w:bCs/>
          <w:sz w:val="24"/>
        </w:rPr>
        <w:t xml:space="preserve">as the value of shares </w:t>
      </w:r>
      <w:r w:rsidR="0076525B" w:rsidRPr="00ED4D93">
        <w:rPr>
          <w:rFonts w:ascii="Times New Roman" w:hAnsi="Times New Roman"/>
          <w:bCs/>
          <w:sz w:val="24"/>
        </w:rPr>
        <w:t>of</w:t>
      </w:r>
      <w:r w:rsidR="0092378A" w:rsidRPr="00ED4D93">
        <w:rPr>
          <w:rFonts w:ascii="Times New Roman" w:hAnsi="Times New Roman"/>
          <w:bCs/>
          <w:sz w:val="24"/>
        </w:rPr>
        <w:t xml:space="preserve"> LBMC. It cannot therefore be strange that the appellant appears surprised as to how the said amount was determined</w:t>
      </w:r>
      <w:r w:rsidR="0041190F" w:rsidRPr="00ED4D93">
        <w:rPr>
          <w:rFonts w:ascii="Times New Roman" w:hAnsi="Times New Roman"/>
          <w:bCs/>
          <w:sz w:val="24"/>
        </w:rPr>
        <w:t xml:space="preserve">, </w:t>
      </w:r>
      <w:r w:rsidR="0076525B" w:rsidRPr="00ED4D93">
        <w:rPr>
          <w:rFonts w:ascii="Times New Roman" w:hAnsi="Times New Roman"/>
          <w:bCs/>
          <w:sz w:val="24"/>
        </w:rPr>
        <w:t>as</w:t>
      </w:r>
      <w:r w:rsidR="0041190F" w:rsidRPr="00ED4D93">
        <w:rPr>
          <w:rFonts w:ascii="Times New Roman" w:hAnsi="Times New Roman"/>
          <w:bCs/>
          <w:sz w:val="24"/>
        </w:rPr>
        <w:t xml:space="preserve"> he </w:t>
      </w:r>
      <w:r w:rsidR="00F83371" w:rsidRPr="00ED4D93">
        <w:rPr>
          <w:rFonts w:ascii="Times New Roman" w:hAnsi="Times New Roman"/>
          <w:bCs/>
          <w:sz w:val="24"/>
        </w:rPr>
        <w:t>also stated that the said amount was agreed to previously and subsequently resiled from the said agreement.</w:t>
      </w:r>
      <w:r w:rsidR="0041190F" w:rsidRPr="00ED4D93">
        <w:rPr>
          <w:rFonts w:ascii="Times New Roman" w:hAnsi="Times New Roman"/>
          <w:bCs/>
          <w:sz w:val="24"/>
        </w:rPr>
        <w:t xml:space="preserve"> </w:t>
      </w:r>
    </w:p>
    <w:p w14:paraId="3E85BCB7" w14:textId="77777777" w:rsidR="0092378A" w:rsidRPr="0092378A" w:rsidRDefault="0092378A" w:rsidP="0092378A">
      <w:pPr>
        <w:pStyle w:val="ListParagraph"/>
        <w:rPr>
          <w:rFonts w:ascii="Times New Roman" w:hAnsi="Times New Roman"/>
          <w:bCs/>
          <w:sz w:val="24"/>
        </w:rPr>
      </w:pPr>
    </w:p>
    <w:p w14:paraId="136FAE7D" w14:textId="43F46F6F" w:rsidR="0092378A" w:rsidRPr="00ED4D93" w:rsidRDefault="00ED4D93" w:rsidP="00ED4D93">
      <w:pPr>
        <w:spacing w:line="480" w:lineRule="auto"/>
        <w:rPr>
          <w:rFonts w:ascii="Times New Roman" w:hAnsi="Times New Roman"/>
          <w:bCs/>
          <w:sz w:val="24"/>
        </w:rPr>
      </w:pPr>
      <w:r>
        <w:rPr>
          <w:rFonts w:ascii="Times New Roman" w:hAnsi="Times New Roman"/>
          <w:bCs/>
          <w:sz w:val="24"/>
        </w:rPr>
        <w:lastRenderedPageBreak/>
        <w:t>[37]</w:t>
      </w:r>
      <w:r>
        <w:rPr>
          <w:rFonts w:ascii="Times New Roman" w:hAnsi="Times New Roman"/>
          <w:bCs/>
          <w:sz w:val="24"/>
        </w:rPr>
        <w:tab/>
      </w:r>
      <w:r w:rsidR="0092378A" w:rsidRPr="00ED4D93">
        <w:rPr>
          <w:rFonts w:ascii="Times New Roman" w:hAnsi="Times New Roman"/>
          <w:bCs/>
          <w:sz w:val="24"/>
        </w:rPr>
        <w:t xml:space="preserve">The contention that the respondent only brought one page of the record of hearing could have been substantiated by the appellant by </w:t>
      </w:r>
      <w:r w:rsidR="00F83371" w:rsidRPr="00ED4D93">
        <w:rPr>
          <w:rFonts w:ascii="Times New Roman" w:hAnsi="Times New Roman"/>
          <w:bCs/>
          <w:sz w:val="24"/>
        </w:rPr>
        <w:t xml:space="preserve">obtaining and availing to </w:t>
      </w:r>
      <w:r w:rsidR="00F16F6B" w:rsidRPr="00ED4D93">
        <w:rPr>
          <w:rFonts w:ascii="Times New Roman" w:hAnsi="Times New Roman"/>
          <w:bCs/>
          <w:sz w:val="24"/>
        </w:rPr>
        <w:t xml:space="preserve">the </w:t>
      </w:r>
      <w:r w:rsidR="00F83371" w:rsidRPr="00ED4D93">
        <w:rPr>
          <w:rFonts w:ascii="Times New Roman" w:hAnsi="Times New Roman"/>
          <w:bCs/>
          <w:sz w:val="24"/>
        </w:rPr>
        <w:t xml:space="preserve">court </w:t>
      </w:r>
      <w:r w:rsidR="0092378A" w:rsidRPr="00ED4D93">
        <w:rPr>
          <w:rFonts w:ascii="Times New Roman" w:hAnsi="Times New Roman"/>
          <w:bCs/>
          <w:sz w:val="24"/>
        </w:rPr>
        <w:t xml:space="preserve">the remainder of the record which </w:t>
      </w:r>
      <w:r w:rsidR="00F16F6B" w:rsidRPr="00ED4D93">
        <w:rPr>
          <w:rFonts w:ascii="Times New Roman" w:hAnsi="Times New Roman"/>
          <w:bCs/>
          <w:sz w:val="24"/>
        </w:rPr>
        <w:t>might have supported</w:t>
      </w:r>
      <w:r w:rsidR="0092378A" w:rsidRPr="00ED4D93">
        <w:rPr>
          <w:rFonts w:ascii="Times New Roman" w:hAnsi="Times New Roman"/>
          <w:bCs/>
          <w:sz w:val="24"/>
        </w:rPr>
        <w:t xml:space="preserve"> the contention that the parties’ assets excluding the valuation of </w:t>
      </w:r>
      <w:r w:rsidR="00F16F6B" w:rsidRPr="00ED4D93">
        <w:rPr>
          <w:rFonts w:ascii="Times New Roman" w:hAnsi="Times New Roman"/>
          <w:bCs/>
          <w:sz w:val="24"/>
        </w:rPr>
        <w:t xml:space="preserve">the </w:t>
      </w:r>
      <w:r w:rsidR="0092378A" w:rsidRPr="00ED4D93">
        <w:rPr>
          <w:rFonts w:ascii="Times New Roman" w:hAnsi="Times New Roman"/>
          <w:bCs/>
          <w:sz w:val="24"/>
        </w:rPr>
        <w:t>shares was the subject of the dispute to be adjudicated upon by Senyatsi AJ.</w:t>
      </w:r>
      <w:r w:rsidR="00DE5E96" w:rsidRPr="00ED4D93">
        <w:rPr>
          <w:rFonts w:ascii="Times New Roman" w:hAnsi="Times New Roman"/>
          <w:bCs/>
          <w:sz w:val="24"/>
        </w:rPr>
        <w:t xml:space="preserve"> As set out above the appellant did not appreciate the importance of following on the rule 35 notice to finality or even obtaining the transcript of the record by himself</w:t>
      </w:r>
      <w:r w:rsidR="00F83371" w:rsidRPr="00ED4D93">
        <w:rPr>
          <w:rFonts w:ascii="Times New Roman" w:hAnsi="Times New Roman"/>
          <w:bCs/>
          <w:sz w:val="24"/>
        </w:rPr>
        <w:t>.</w:t>
      </w:r>
    </w:p>
    <w:p w14:paraId="096BBCDB" w14:textId="77777777" w:rsidR="0092378A" w:rsidRPr="0092378A" w:rsidRDefault="0092378A" w:rsidP="0092378A">
      <w:pPr>
        <w:pStyle w:val="ListParagraph"/>
        <w:rPr>
          <w:rFonts w:ascii="Times New Roman" w:hAnsi="Times New Roman"/>
          <w:bCs/>
          <w:sz w:val="24"/>
        </w:rPr>
      </w:pPr>
    </w:p>
    <w:p w14:paraId="5C7ED985" w14:textId="4DAC1653" w:rsidR="0092378A" w:rsidRPr="00ED4D93" w:rsidRDefault="00ED4D93" w:rsidP="00ED4D93">
      <w:pPr>
        <w:spacing w:line="480" w:lineRule="auto"/>
        <w:rPr>
          <w:rFonts w:ascii="Times New Roman" w:hAnsi="Times New Roman"/>
          <w:bCs/>
          <w:sz w:val="24"/>
        </w:rPr>
      </w:pPr>
      <w:r>
        <w:rPr>
          <w:rFonts w:ascii="Times New Roman" w:hAnsi="Times New Roman"/>
          <w:bCs/>
          <w:sz w:val="24"/>
        </w:rPr>
        <w:t>[38]</w:t>
      </w:r>
      <w:r>
        <w:rPr>
          <w:rFonts w:ascii="Times New Roman" w:hAnsi="Times New Roman"/>
          <w:bCs/>
          <w:sz w:val="24"/>
        </w:rPr>
        <w:tab/>
      </w:r>
      <w:r w:rsidR="0092378A" w:rsidRPr="00ED4D93">
        <w:rPr>
          <w:rFonts w:ascii="Times New Roman" w:hAnsi="Times New Roman"/>
          <w:bCs/>
          <w:sz w:val="24"/>
        </w:rPr>
        <w:t xml:space="preserve">In the premises an allegation that there was a dispute of fact is unsustainable and was correctly dismissed by the court </w:t>
      </w:r>
      <w:r w:rsidR="0092378A" w:rsidRPr="00ED4D93">
        <w:rPr>
          <w:rFonts w:ascii="Times New Roman" w:hAnsi="Times New Roman"/>
          <w:bCs/>
          <w:i/>
          <w:iCs/>
          <w:sz w:val="24"/>
        </w:rPr>
        <w:t>a quo</w:t>
      </w:r>
      <w:r w:rsidR="0092378A" w:rsidRPr="00ED4D93">
        <w:rPr>
          <w:rFonts w:ascii="Times New Roman" w:hAnsi="Times New Roman"/>
          <w:bCs/>
          <w:sz w:val="24"/>
        </w:rPr>
        <w:t>.</w:t>
      </w:r>
      <w:r w:rsidR="00D57F88" w:rsidRPr="00ED4D93">
        <w:rPr>
          <w:rFonts w:ascii="Times New Roman" w:hAnsi="Times New Roman"/>
          <w:bCs/>
          <w:sz w:val="24"/>
        </w:rPr>
        <w:t xml:space="preserve"> As was stated in </w:t>
      </w:r>
      <w:r w:rsidR="00D57F88" w:rsidRPr="00ED4D93">
        <w:rPr>
          <w:rFonts w:ascii="Times New Roman" w:hAnsi="Times New Roman"/>
          <w:bCs/>
          <w:i/>
          <w:iCs/>
          <w:sz w:val="24"/>
        </w:rPr>
        <w:t>Plascon Evans</w:t>
      </w:r>
      <w:r w:rsidR="00913CF4">
        <w:rPr>
          <w:rStyle w:val="FootnoteReference"/>
          <w:rFonts w:ascii="Times New Roman" w:hAnsi="Times New Roman"/>
          <w:bCs/>
          <w:i/>
          <w:iCs/>
          <w:sz w:val="24"/>
        </w:rPr>
        <w:footnoteReference w:id="28"/>
      </w:r>
      <w:r w:rsidR="00D57F88" w:rsidRPr="00ED4D93">
        <w:rPr>
          <w:rFonts w:ascii="Times New Roman" w:hAnsi="Times New Roman"/>
          <w:bCs/>
          <w:sz w:val="24"/>
        </w:rPr>
        <w:t xml:space="preserve"> judgment if it is demonstrated that the dispute is far</w:t>
      </w:r>
      <w:r w:rsidR="00F83371" w:rsidRPr="00ED4D93">
        <w:rPr>
          <w:rFonts w:ascii="Times New Roman" w:hAnsi="Times New Roman"/>
          <w:bCs/>
          <w:sz w:val="24"/>
        </w:rPr>
        <w:t>-</w:t>
      </w:r>
      <w:r w:rsidR="00D57F88" w:rsidRPr="00ED4D93">
        <w:rPr>
          <w:rFonts w:ascii="Times New Roman" w:hAnsi="Times New Roman"/>
          <w:bCs/>
          <w:sz w:val="24"/>
        </w:rPr>
        <w:t>fetched and implausible same must be rejected.</w:t>
      </w:r>
    </w:p>
    <w:p w14:paraId="7771C5E6" w14:textId="77777777" w:rsidR="00BF0611" w:rsidRPr="00FB1604" w:rsidRDefault="00BF0611" w:rsidP="00BF0611">
      <w:pPr>
        <w:pStyle w:val="ListParagraph"/>
        <w:rPr>
          <w:rFonts w:ascii="Times New Roman" w:hAnsi="Times New Roman"/>
          <w:bCs/>
          <w:sz w:val="24"/>
        </w:rPr>
      </w:pPr>
    </w:p>
    <w:p w14:paraId="29C7F795" w14:textId="3E31656D" w:rsidR="00BF0611" w:rsidRPr="00ED4D93" w:rsidRDefault="00ED4D93" w:rsidP="00ED4D93">
      <w:pPr>
        <w:spacing w:line="480" w:lineRule="auto"/>
        <w:rPr>
          <w:rFonts w:ascii="Times New Roman" w:hAnsi="Times New Roman"/>
          <w:bCs/>
          <w:sz w:val="24"/>
        </w:rPr>
      </w:pPr>
      <w:r w:rsidRPr="00FB1604">
        <w:rPr>
          <w:rFonts w:ascii="Times New Roman" w:hAnsi="Times New Roman"/>
          <w:bCs/>
          <w:sz w:val="24"/>
        </w:rPr>
        <w:t>[39]</w:t>
      </w:r>
      <w:r w:rsidRPr="00FB1604">
        <w:rPr>
          <w:rFonts w:ascii="Times New Roman" w:hAnsi="Times New Roman"/>
          <w:bCs/>
          <w:sz w:val="24"/>
        </w:rPr>
        <w:tab/>
      </w:r>
      <w:r w:rsidR="00FB1604" w:rsidRPr="00ED4D93">
        <w:rPr>
          <w:rFonts w:ascii="Times New Roman" w:hAnsi="Times New Roman"/>
          <w:sz w:val="24"/>
          <w:lang w:val="en-US"/>
        </w:rPr>
        <w:t>T</w:t>
      </w:r>
      <w:r w:rsidR="00BF0611" w:rsidRPr="00ED4D93">
        <w:rPr>
          <w:rFonts w:ascii="Times New Roman" w:hAnsi="Times New Roman"/>
          <w:sz w:val="24"/>
          <w:lang w:val="en-US"/>
        </w:rPr>
        <w:t xml:space="preserve">he appellant is approbating and reprobating, in one instance he states that </w:t>
      </w:r>
      <w:r w:rsidR="00BF0611" w:rsidRPr="00ED4D93">
        <w:rPr>
          <w:rFonts w:ascii="Times New Roman" w:hAnsi="Times New Roman"/>
          <w:i/>
          <w:iCs/>
          <w:sz w:val="24"/>
          <w:lang w:val="en-US"/>
        </w:rPr>
        <w:t>“… the court could not place a value on the remainder of the value of the respective assets and no finding was made in this regards…’</w:t>
      </w:r>
      <w:r w:rsidR="00F83371">
        <w:rPr>
          <w:rStyle w:val="FootnoteReference"/>
          <w:rFonts w:ascii="Times New Roman" w:hAnsi="Times New Roman"/>
          <w:i/>
          <w:iCs/>
          <w:sz w:val="24"/>
          <w:lang w:val="en-US"/>
        </w:rPr>
        <w:footnoteReference w:id="29"/>
      </w:r>
      <w:r w:rsidR="00BF0611" w:rsidRPr="00ED4D93">
        <w:rPr>
          <w:rFonts w:ascii="Times New Roman" w:hAnsi="Times New Roman"/>
          <w:sz w:val="24"/>
          <w:lang w:val="en-US"/>
        </w:rPr>
        <w:t xml:space="preserve"> at the same time he contends that </w:t>
      </w:r>
      <w:r w:rsidR="00BF0611" w:rsidRPr="00ED4D93">
        <w:rPr>
          <w:rFonts w:ascii="Times New Roman" w:hAnsi="Times New Roman"/>
          <w:i/>
          <w:iCs/>
          <w:sz w:val="24"/>
          <w:lang w:val="en-US"/>
        </w:rPr>
        <w:t>“… the  calculation appears to include, in addition, a share in the remainder of the assets of the appellant.”</w:t>
      </w:r>
      <w:r w:rsidR="005143D9">
        <w:rPr>
          <w:rStyle w:val="FootnoteReference"/>
          <w:rFonts w:ascii="Times New Roman" w:hAnsi="Times New Roman"/>
          <w:i/>
          <w:iCs/>
          <w:sz w:val="24"/>
          <w:lang w:val="en-US"/>
        </w:rPr>
        <w:footnoteReference w:id="30"/>
      </w:r>
      <w:r w:rsidR="005143D9" w:rsidRPr="00ED4D93">
        <w:rPr>
          <w:rFonts w:ascii="Times New Roman" w:hAnsi="Times New Roman"/>
          <w:sz w:val="24"/>
          <w:lang w:val="en-US"/>
        </w:rPr>
        <w:t xml:space="preserve"> </w:t>
      </w:r>
    </w:p>
    <w:p w14:paraId="2A3A271C" w14:textId="77777777" w:rsidR="0092378A" w:rsidRDefault="0092378A" w:rsidP="0092378A">
      <w:pPr>
        <w:rPr>
          <w:rFonts w:ascii="Times New Roman" w:hAnsi="Times New Roman"/>
          <w:bCs/>
          <w:sz w:val="24"/>
        </w:rPr>
      </w:pPr>
    </w:p>
    <w:p w14:paraId="190C5D25" w14:textId="22D06EBB" w:rsidR="0092378A" w:rsidRPr="0092378A" w:rsidRDefault="0092378A" w:rsidP="0092378A">
      <w:pPr>
        <w:ind w:firstLine="720"/>
        <w:rPr>
          <w:rFonts w:ascii="Times New Roman" w:hAnsi="Times New Roman"/>
          <w:bCs/>
          <w:i/>
          <w:iCs/>
          <w:sz w:val="24"/>
        </w:rPr>
      </w:pPr>
      <w:r w:rsidRPr="0092378A">
        <w:rPr>
          <w:rFonts w:ascii="Times New Roman" w:hAnsi="Times New Roman"/>
          <w:bCs/>
          <w:i/>
          <w:iCs/>
          <w:sz w:val="24"/>
        </w:rPr>
        <w:t xml:space="preserve">Amount of </w:t>
      </w:r>
      <w:r>
        <w:rPr>
          <w:rFonts w:ascii="Times New Roman" w:hAnsi="Times New Roman"/>
          <w:bCs/>
          <w:i/>
          <w:iCs/>
          <w:sz w:val="24"/>
        </w:rPr>
        <w:t>R</w:t>
      </w:r>
      <w:r w:rsidRPr="0092378A">
        <w:rPr>
          <w:rFonts w:ascii="Times New Roman" w:hAnsi="Times New Roman"/>
          <w:bCs/>
          <w:i/>
          <w:iCs/>
          <w:sz w:val="24"/>
        </w:rPr>
        <w:t>3 300 000.00</w:t>
      </w:r>
      <w:r w:rsidR="00913CF4">
        <w:rPr>
          <w:rFonts w:ascii="Times New Roman" w:hAnsi="Times New Roman"/>
          <w:bCs/>
          <w:i/>
          <w:iCs/>
          <w:sz w:val="24"/>
        </w:rPr>
        <w:t xml:space="preserve"> as value of the shares.</w:t>
      </w:r>
    </w:p>
    <w:p w14:paraId="273DEDFB" w14:textId="77777777" w:rsidR="0092378A" w:rsidRPr="0092378A" w:rsidRDefault="0092378A" w:rsidP="0092378A">
      <w:pPr>
        <w:rPr>
          <w:rFonts w:ascii="Times New Roman" w:hAnsi="Times New Roman"/>
          <w:bCs/>
          <w:sz w:val="24"/>
        </w:rPr>
      </w:pPr>
    </w:p>
    <w:p w14:paraId="466D5767" w14:textId="1E0A7441" w:rsidR="00D57F88" w:rsidRPr="00ED4D93" w:rsidRDefault="00ED4D93" w:rsidP="00ED4D93">
      <w:pPr>
        <w:spacing w:line="480" w:lineRule="auto"/>
        <w:rPr>
          <w:rFonts w:ascii="Times New Roman" w:hAnsi="Times New Roman"/>
          <w:bCs/>
          <w:sz w:val="24"/>
        </w:rPr>
      </w:pPr>
      <w:r>
        <w:rPr>
          <w:rFonts w:ascii="Times New Roman" w:hAnsi="Times New Roman"/>
          <w:bCs/>
          <w:sz w:val="24"/>
        </w:rPr>
        <w:t>[40]</w:t>
      </w:r>
      <w:r>
        <w:rPr>
          <w:rFonts w:ascii="Times New Roman" w:hAnsi="Times New Roman"/>
          <w:bCs/>
          <w:sz w:val="24"/>
        </w:rPr>
        <w:tab/>
      </w:r>
      <w:r w:rsidR="0092378A" w:rsidRPr="00ED4D93">
        <w:rPr>
          <w:rFonts w:ascii="Times New Roman" w:hAnsi="Times New Roman"/>
          <w:bCs/>
          <w:sz w:val="24"/>
        </w:rPr>
        <w:t>The attempt by the appellant to disavow the agreement</w:t>
      </w:r>
      <w:r w:rsidR="000E43A4">
        <w:rPr>
          <w:rStyle w:val="FootnoteReference"/>
          <w:rFonts w:ascii="Times New Roman" w:hAnsi="Times New Roman"/>
          <w:bCs/>
          <w:sz w:val="24"/>
        </w:rPr>
        <w:footnoteReference w:id="31"/>
      </w:r>
      <w:r w:rsidR="0092378A" w:rsidRPr="00ED4D93">
        <w:rPr>
          <w:rFonts w:ascii="Times New Roman" w:hAnsi="Times New Roman"/>
          <w:bCs/>
          <w:sz w:val="24"/>
        </w:rPr>
        <w:t xml:space="preserve"> on the value of the shares reached before the hearing was dismissed by Senyatsi AJ. This finding was (and </w:t>
      </w:r>
      <w:r w:rsidR="00F16F6B" w:rsidRPr="00ED4D93">
        <w:rPr>
          <w:rFonts w:ascii="Times New Roman" w:hAnsi="Times New Roman"/>
          <w:bCs/>
          <w:sz w:val="24"/>
        </w:rPr>
        <w:t>has</w:t>
      </w:r>
      <w:r w:rsidR="0092378A" w:rsidRPr="00ED4D93">
        <w:rPr>
          <w:rFonts w:ascii="Times New Roman" w:hAnsi="Times New Roman"/>
          <w:bCs/>
          <w:sz w:val="24"/>
        </w:rPr>
        <w:t xml:space="preserve"> still not been) challenged by the appellant despite having stated that he will </w:t>
      </w:r>
      <w:r w:rsidR="00EC0C86" w:rsidRPr="00ED4D93">
        <w:rPr>
          <w:rFonts w:ascii="Times New Roman" w:hAnsi="Times New Roman"/>
          <w:bCs/>
          <w:sz w:val="24"/>
        </w:rPr>
        <w:t>launch appeal</w:t>
      </w:r>
      <w:r w:rsidR="0092378A" w:rsidRPr="00ED4D93">
        <w:rPr>
          <w:rFonts w:ascii="Times New Roman" w:hAnsi="Times New Roman"/>
          <w:bCs/>
          <w:sz w:val="24"/>
        </w:rPr>
        <w:t xml:space="preserve"> proceedings against the findings of Senyatsi AJ.</w:t>
      </w:r>
      <w:r w:rsidR="00D57F88" w:rsidRPr="00ED4D93">
        <w:rPr>
          <w:rFonts w:ascii="Times New Roman" w:hAnsi="Times New Roman"/>
          <w:bCs/>
          <w:sz w:val="24"/>
        </w:rPr>
        <w:t xml:space="preserve"> The learned Acting Judge erroneously </w:t>
      </w:r>
      <w:r w:rsidR="00D57F88" w:rsidRPr="00ED4D93">
        <w:rPr>
          <w:rFonts w:ascii="Times New Roman" w:hAnsi="Times New Roman"/>
          <w:bCs/>
          <w:sz w:val="24"/>
        </w:rPr>
        <w:lastRenderedPageBreak/>
        <w:t>used the said sum</w:t>
      </w:r>
      <w:r w:rsidR="005143D9" w:rsidRPr="00ED4D93">
        <w:rPr>
          <w:rFonts w:ascii="Times New Roman" w:hAnsi="Times New Roman"/>
          <w:bCs/>
          <w:sz w:val="24"/>
        </w:rPr>
        <w:t xml:space="preserve"> of R3 300 000.00</w:t>
      </w:r>
      <w:r w:rsidR="00D57F88" w:rsidRPr="00ED4D93">
        <w:rPr>
          <w:rFonts w:ascii="Times New Roman" w:hAnsi="Times New Roman"/>
          <w:bCs/>
          <w:sz w:val="24"/>
        </w:rPr>
        <w:t xml:space="preserve"> as </w:t>
      </w:r>
      <w:r w:rsidR="00F16F6B" w:rsidRPr="00ED4D93">
        <w:rPr>
          <w:rFonts w:ascii="Times New Roman" w:hAnsi="Times New Roman"/>
          <w:bCs/>
          <w:sz w:val="24"/>
        </w:rPr>
        <w:t xml:space="preserve">the </w:t>
      </w:r>
      <w:r w:rsidR="00913CF4" w:rsidRPr="00ED4D93">
        <w:rPr>
          <w:rFonts w:ascii="Times New Roman" w:hAnsi="Times New Roman"/>
          <w:bCs/>
          <w:sz w:val="24"/>
        </w:rPr>
        <w:t xml:space="preserve">capital amount </w:t>
      </w:r>
      <w:r w:rsidR="00D57F88" w:rsidRPr="00ED4D93">
        <w:rPr>
          <w:rFonts w:ascii="Times New Roman" w:hAnsi="Times New Roman"/>
          <w:bCs/>
          <w:sz w:val="24"/>
        </w:rPr>
        <w:t xml:space="preserve">instead of </w:t>
      </w:r>
      <w:r w:rsidR="005143D9" w:rsidRPr="00ED4D93">
        <w:rPr>
          <w:rFonts w:ascii="Times New Roman" w:hAnsi="Times New Roman"/>
          <w:bCs/>
          <w:sz w:val="24"/>
        </w:rPr>
        <w:t>including the values of the parties’ other assets</w:t>
      </w:r>
      <w:r w:rsidR="00D57F88" w:rsidRPr="00ED4D93">
        <w:rPr>
          <w:rFonts w:ascii="Times New Roman" w:hAnsi="Times New Roman"/>
          <w:bCs/>
          <w:sz w:val="24"/>
        </w:rPr>
        <w:t>.</w:t>
      </w:r>
    </w:p>
    <w:p w14:paraId="17AEADFA" w14:textId="77777777" w:rsidR="00D57F88" w:rsidRDefault="00D57F88" w:rsidP="00D57F88">
      <w:pPr>
        <w:pStyle w:val="ListParagraph"/>
        <w:spacing w:line="480" w:lineRule="auto"/>
        <w:ind w:left="0"/>
        <w:contextualSpacing w:val="0"/>
        <w:rPr>
          <w:rFonts w:ascii="Times New Roman" w:hAnsi="Times New Roman"/>
          <w:bCs/>
          <w:sz w:val="24"/>
        </w:rPr>
      </w:pPr>
    </w:p>
    <w:p w14:paraId="5D07CE0D" w14:textId="27C3174D" w:rsidR="00980755" w:rsidRPr="00ED4D93" w:rsidRDefault="00ED4D93" w:rsidP="00ED4D93">
      <w:pPr>
        <w:spacing w:line="480" w:lineRule="auto"/>
        <w:rPr>
          <w:rFonts w:ascii="Times New Roman" w:hAnsi="Times New Roman"/>
          <w:bCs/>
          <w:sz w:val="24"/>
        </w:rPr>
      </w:pPr>
      <w:r>
        <w:rPr>
          <w:rFonts w:ascii="Times New Roman" w:hAnsi="Times New Roman"/>
          <w:bCs/>
          <w:sz w:val="24"/>
        </w:rPr>
        <w:t>[41]</w:t>
      </w:r>
      <w:r>
        <w:rPr>
          <w:rFonts w:ascii="Times New Roman" w:hAnsi="Times New Roman"/>
          <w:bCs/>
          <w:sz w:val="24"/>
        </w:rPr>
        <w:tab/>
      </w:r>
      <w:r w:rsidR="00D57F88" w:rsidRPr="00ED4D93">
        <w:rPr>
          <w:rFonts w:ascii="Times New Roman" w:hAnsi="Times New Roman"/>
          <w:bCs/>
          <w:sz w:val="24"/>
        </w:rPr>
        <w:t xml:space="preserve">The appellant was also aware of this error and stated, </w:t>
      </w:r>
      <w:r w:rsidR="005143D9" w:rsidRPr="00ED4D93">
        <w:rPr>
          <w:rFonts w:ascii="Times New Roman" w:hAnsi="Times New Roman"/>
          <w:bCs/>
          <w:sz w:val="24"/>
        </w:rPr>
        <w:t>(</w:t>
      </w:r>
      <w:r w:rsidR="00D57F88" w:rsidRPr="00ED4D93">
        <w:rPr>
          <w:rFonts w:ascii="Times New Roman" w:hAnsi="Times New Roman"/>
          <w:bCs/>
          <w:sz w:val="24"/>
        </w:rPr>
        <w:t>as mentioned by the respondent</w:t>
      </w:r>
      <w:r w:rsidR="005143D9" w:rsidRPr="00ED4D93">
        <w:rPr>
          <w:rFonts w:ascii="Times New Roman" w:hAnsi="Times New Roman"/>
          <w:bCs/>
          <w:sz w:val="24"/>
        </w:rPr>
        <w:t>)</w:t>
      </w:r>
      <w:r w:rsidR="00D57F88" w:rsidRPr="00ED4D93">
        <w:rPr>
          <w:rFonts w:ascii="Times New Roman" w:hAnsi="Times New Roman"/>
          <w:bCs/>
          <w:sz w:val="24"/>
        </w:rPr>
        <w:t>, in his submission</w:t>
      </w:r>
      <w:r w:rsidR="00F16F6B" w:rsidRPr="00ED4D93">
        <w:rPr>
          <w:rFonts w:ascii="Times New Roman" w:hAnsi="Times New Roman"/>
          <w:bCs/>
          <w:sz w:val="24"/>
        </w:rPr>
        <w:t>s</w:t>
      </w:r>
      <w:r w:rsidR="00D57F88" w:rsidRPr="00ED4D93">
        <w:rPr>
          <w:rFonts w:ascii="Times New Roman" w:hAnsi="Times New Roman"/>
          <w:bCs/>
          <w:sz w:val="24"/>
        </w:rPr>
        <w:t xml:space="preserve"> during </w:t>
      </w:r>
      <w:r w:rsidR="00F16F6B" w:rsidRPr="00ED4D93">
        <w:rPr>
          <w:rFonts w:ascii="Times New Roman" w:hAnsi="Times New Roman"/>
          <w:bCs/>
          <w:sz w:val="24"/>
        </w:rPr>
        <w:t xml:space="preserve">the </w:t>
      </w:r>
      <w:r w:rsidR="00D57F88" w:rsidRPr="00ED4D93">
        <w:rPr>
          <w:rFonts w:ascii="Times New Roman" w:hAnsi="Times New Roman"/>
          <w:bCs/>
          <w:sz w:val="24"/>
        </w:rPr>
        <w:t xml:space="preserve">application for leave to appeal </w:t>
      </w:r>
      <w:r w:rsidR="00F16F6B" w:rsidRPr="00ED4D93">
        <w:rPr>
          <w:rFonts w:ascii="Times New Roman" w:hAnsi="Times New Roman"/>
          <w:bCs/>
          <w:sz w:val="24"/>
        </w:rPr>
        <w:t xml:space="preserve">that </w:t>
      </w:r>
      <w:r w:rsidR="00D57F88" w:rsidRPr="00ED4D93">
        <w:rPr>
          <w:rFonts w:ascii="Times New Roman" w:hAnsi="Times New Roman"/>
          <w:bCs/>
          <w:sz w:val="24"/>
        </w:rPr>
        <w:t xml:space="preserve">the appellant stated that </w:t>
      </w:r>
      <w:r w:rsidR="00D57F88" w:rsidRPr="00ED4D93">
        <w:rPr>
          <w:rFonts w:ascii="Times New Roman" w:hAnsi="Times New Roman"/>
          <w:bCs/>
          <w:i/>
          <w:iCs/>
          <w:sz w:val="24"/>
        </w:rPr>
        <w:t xml:space="preserve">‘Judge Senyatsi(sic) then, it seems incorrectly, uses the valuation of LBMC, which he finds to be </w:t>
      </w:r>
      <w:r w:rsidR="0041190F" w:rsidRPr="00ED4D93">
        <w:rPr>
          <w:rFonts w:ascii="Times New Roman" w:hAnsi="Times New Roman"/>
          <w:bCs/>
          <w:i/>
          <w:iCs/>
          <w:sz w:val="24"/>
        </w:rPr>
        <w:t>R</w:t>
      </w:r>
      <w:r w:rsidR="00D57F88" w:rsidRPr="00ED4D93">
        <w:rPr>
          <w:rFonts w:ascii="Times New Roman" w:hAnsi="Times New Roman"/>
          <w:bCs/>
          <w:i/>
          <w:iCs/>
          <w:sz w:val="24"/>
        </w:rPr>
        <w:t>3 300 000,00 as the accrual due to the applicant…’</w:t>
      </w:r>
      <w:r w:rsidR="00D57F88">
        <w:rPr>
          <w:rStyle w:val="FootnoteReference"/>
          <w:rFonts w:ascii="Times New Roman" w:hAnsi="Times New Roman"/>
          <w:bCs/>
          <w:i/>
          <w:iCs/>
          <w:sz w:val="24"/>
        </w:rPr>
        <w:footnoteReference w:id="32"/>
      </w:r>
      <w:r w:rsidR="00EF50D7" w:rsidRPr="00ED4D93">
        <w:rPr>
          <w:rFonts w:ascii="Times New Roman" w:hAnsi="Times New Roman"/>
          <w:bCs/>
          <w:i/>
          <w:iCs/>
          <w:sz w:val="24"/>
        </w:rPr>
        <w:t xml:space="preserve">, (sic). </w:t>
      </w:r>
      <w:r w:rsidR="00EF50D7" w:rsidRPr="00ED4D93">
        <w:rPr>
          <w:rFonts w:ascii="Times New Roman" w:hAnsi="Times New Roman"/>
          <w:bCs/>
          <w:sz w:val="24"/>
        </w:rPr>
        <w:t>The appellant has further conceded that the judgment or order of Senyatsi AJ is ambiguous by stating that ‘</w:t>
      </w:r>
      <w:r w:rsidR="00EF50D7" w:rsidRPr="00ED4D93">
        <w:rPr>
          <w:rFonts w:ascii="Times New Roman" w:hAnsi="Times New Roman"/>
          <w:bCs/>
          <w:i/>
          <w:iCs/>
          <w:sz w:val="24"/>
        </w:rPr>
        <w:t>one could speculate how [Senyatsi] arrived at the amount of R3 037 000.00 seeing that he nowhere makes or refers to calculations…‘.</w:t>
      </w:r>
      <w:r w:rsidR="00EF50D7">
        <w:rPr>
          <w:rStyle w:val="FootnoteReference"/>
          <w:rFonts w:ascii="Times New Roman" w:hAnsi="Times New Roman"/>
          <w:bCs/>
          <w:i/>
          <w:iCs/>
          <w:sz w:val="24"/>
        </w:rPr>
        <w:footnoteReference w:id="33"/>
      </w:r>
      <w:r w:rsidR="00EF50D7" w:rsidRPr="00ED4D93">
        <w:rPr>
          <w:rFonts w:ascii="Times New Roman" w:hAnsi="Times New Roman"/>
          <w:bCs/>
          <w:i/>
          <w:iCs/>
          <w:sz w:val="24"/>
        </w:rPr>
        <w:t xml:space="preserve"> </w:t>
      </w:r>
      <w:r w:rsidR="00EF50D7" w:rsidRPr="00ED4D93">
        <w:rPr>
          <w:rFonts w:ascii="Times New Roman" w:hAnsi="Times New Roman"/>
          <w:bCs/>
          <w:sz w:val="24"/>
        </w:rPr>
        <w:t>The appellant further stated that</w:t>
      </w:r>
      <w:r w:rsidR="00EF50D7" w:rsidRPr="00ED4D93">
        <w:rPr>
          <w:rFonts w:ascii="Times New Roman" w:hAnsi="Times New Roman"/>
          <w:bCs/>
          <w:i/>
          <w:iCs/>
          <w:sz w:val="24"/>
        </w:rPr>
        <w:t xml:space="preserve">… the calculation </w:t>
      </w:r>
      <w:r w:rsidR="00EF50D7" w:rsidRPr="00ED4D93">
        <w:rPr>
          <w:rFonts w:ascii="Times New Roman" w:hAnsi="Times New Roman"/>
          <w:bCs/>
          <w:i/>
          <w:iCs/>
          <w:sz w:val="24"/>
          <w:u w:val="single"/>
        </w:rPr>
        <w:t>appears to</w:t>
      </w:r>
      <w:r w:rsidR="00EF50D7" w:rsidRPr="00ED4D93">
        <w:rPr>
          <w:rFonts w:ascii="Times New Roman" w:hAnsi="Times New Roman"/>
          <w:bCs/>
          <w:i/>
          <w:iCs/>
          <w:sz w:val="24"/>
        </w:rPr>
        <w:t xml:space="preserve"> include, in addition, a share in the remained of the assets of the appellant, </w:t>
      </w:r>
      <w:r w:rsidR="00EF50D7" w:rsidRPr="00ED4D93">
        <w:rPr>
          <w:rFonts w:ascii="Times New Roman" w:hAnsi="Times New Roman"/>
          <w:bCs/>
          <w:i/>
          <w:iCs/>
          <w:sz w:val="24"/>
          <w:u w:val="single"/>
        </w:rPr>
        <w:t>to what extent is not explained by Acting Justice Senyatsi</w:t>
      </w:r>
      <w:r w:rsidR="00EF50D7" w:rsidRPr="00ED4D93">
        <w:rPr>
          <w:rFonts w:ascii="Times New Roman" w:hAnsi="Times New Roman"/>
          <w:bCs/>
          <w:sz w:val="24"/>
        </w:rPr>
        <w:t xml:space="preserve">. (underling added). The appellant however fails to proffer </w:t>
      </w:r>
      <w:r w:rsidR="00F16F6B" w:rsidRPr="00ED4D93">
        <w:rPr>
          <w:rFonts w:ascii="Times New Roman" w:hAnsi="Times New Roman"/>
          <w:bCs/>
          <w:sz w:val="24"/>
        </w:rPr>
        <w:t xml:space="preserve">a </w:t>
      </w:r>
      <w:r w:rsidR="00EF50D7" w:rsidRPr="00ED4D93">
        <w:rPr>
          <w:rFonts w:ascii="Times New Roman" w:hAnsi="Times New Roman"/>
          <w:bCs/>
          <w:sz w:val="24"/>
        </w:rPr>
        <w:t xml:space="preserve">suggestion to explain what was intended by Senyatsi AJ in contrast to the explanation </w:t>
      </w:r>
      <w:r w:rsidR="00F16F6B" w:rsidRPr="00ED4D93">
        <w:rPr>
          <w:rFonts w:ascii="Times New Roman" w:hAnsi="Times New Roman"/>
          <w:bCs/>
          <w:sz w:val="24"/>
        </w:rPr>
        <w:t xml:space="preserve">given </w:t>
      </w:r>
      <w:r w:rsidR="00EF50D7" w:rsidRPr="00ED4D93">
        <w:rPr>
          <w:rFonts w:ascii="Times New Roman" w:hAnsi="Times New Roman"/>
          <w:bCs/>
          <w:sz w:val="24"/>
        </w:rPr>
        <w:t xml:space="preserve">by the respondent. </w:t>
      </w:r>
      <w:r w:rsidR="0092378A" w:rsidRPr="00ED4D93">
        <w:rPr>
          <w:rFonts w:ascii="Times New Roman" w:hAnsi="Times New Roman"/>
          <w:bCs/>
          <w:sz w:val="24"/>
        </w:rPr>
        <w:t xml:space="preserve">   </w:t>
      </w:r>
      <w:r w:rsidR="00980755" w:rsidRPr="00ED4D93">
        <w:rPr>
          <w:rFonts w:ascii="Times New Roman" w:hAnsi="Times New Roman"/>
          <w:bCs/>
          <w:sz w:val="24"/>
        </w:rPr>
        <w:t xml:space="preserve"> </w:t>
      </w:r>
    </w:p>
    <w:p w14:paraId="515131A4" w14:textId="77777777" w:rsidR="0041190F" w:rsidRPr="0041190F" w:rsidRDefault="0041190F" w:rsidP="0041190F">
      <w:pPr>
        <w:pStyle w:val="ListParagraph"/>
        <w:rPr>
          <w:rFonts w:ascii="Times New Roman" w:hAnsi="Times New Roman"/>
          <w:bCs/>
          <w:sz w:val="24"/>
        </w:rPr>
      </w:pPr>
    </w:p>
    <w:p w14:paraId="36FADF31" w14:textId="0C66D791" w:rsidR="0041190F" w:rsidRPr="00ED4D93" w:rsidRDefault="00ED4D93" w:rsidP="00ED4D93">
      <w:pPr>
        <w:spacing w:line="480" w:lineRule="auto"/>
        <w:rPr>
          <w:rFonts w:ascii="Times New Roman" w:hAnsi="Times New Roman"/>
          <w:bCs/>
          <w:sz w:val="24"/>
        </w:rPr>
      </w:pPr>
      <w:r>
        <w:rPr>
          <w:rFonts w:ascii="Times New Roman" w:hAnsi="Times New Roman"/>
          <w:bCs/>
          <w:sz w:val="24"/>
        </w:rPr>
        <w:t>[42]</w:t>
      </w:r>
      <w:r>
        <w:rPr>
          <w:rFonts w:ascii="Times New Roman" w:hAnsi="Times New Roman"/>
          <w:bCs/>
          <w:sz w:val="24"/>
        </w:rPr>
        <w:tab/>
      </w:r>
      <w:r w:rsidR="0041190F" w:rsidRPr="00ED4D93">
        <w:rPr>
          <w:rFonts w:ascii="Times New Roman" w:hAnsi="Times New Roman"/>
          <w:bCs/>
          <w:sz w:val="24"/>
        </w:rPr>
        <w:t xml:space="preserve">The contention by the appellant that Senyatsi AJ’s statement in para 35 that the reports by the experts did not assist in the determination of the accrual simply </w:t>
      </w:r>
      <w:r w:rsidR="005143D9" w:rsidRPr="00ED4D93">
        <w:rPr>
          <w:rFonts w:ascii="Times New Roman" w:hAnsi="Times New Roman"/>
          <w:bCs/>
          <w:sz w:val="24"/>
        </w:rPr>
        <w:t xml:space="preserve">means that </w:t>
      </w:r>
      <w:r w:rsidR="009927D9" w:rsidRPr="00ED4D93">
        <w:rPr>
          <w:rFonts w:ascii="Times New Roman" w:hAnsi="Times New Roman"/>
          <w:bCs/>
          <w:sz w:val="24"/>
        </w:rPr>
        <w:t xml:space="preserve">the </w:t>
      </w:r>
      <w:r w:rsidR="005143D9" w:rsidRPr="00ED4D93">
        <w:rPr>
          <w:rFonts w:ascii="Times New Roman" w:hAnsi="Times New Roman"/>
          <w:bCs/>
          <w:sz w:val="24"/>
        </w:rPr>
        <w:t xml:space="preserve">appellant </w:t>
      </w:r>
      <w:r w:rsidR="0041190F" w:rsidRPr="00ED4D93">
        <w:rPr>
          <w:rFonts w:ascii="Times New Roman" w:hAnsi="Times New Roman"/>
          <w:bCs/>
          <w:sz w:val="24"/>
        </w:rPr>
        <w:t xml:space="preserve">fails to interpret it </w:t>
      </w:r>
      <w:r w:rsidR="005143D9" w:rsidRPr="00ED4D93">
        <w:rPr>
          <w:rFonts w:ascii="Times New Roman" w:hAnsi="Times New Roman"/>
          <w:bCs/>
          <w:sz w:val="24"/>
        </w:rPr>
        <w:t xml:space="preserve">in </w:t>
      </w:r>
      <w:r w:rsidR="0041190F" w:rsidRPr="00ED4D93">
        <w:rPr>
          <w:rFonts w:ascii="Times New Roman" w:hAnsi="Times New Roman"/>
          <w:bCs/>
          <w:sz w:val="24"/>
        </w:rPr>
        <w:t xml:space="preserve">context. The evidence considered by the </w:t>
      </w:r>
      <w:r w:rsidR="00EE38A1" w:rsidRPr="00ED4D93">
        <w:rPr>
          <w:rFonts w:ascii="Times New Roman" w:hAnsi="Times New Roman"/>
          <w:bCs/>
          <w:sz w:val="24"/>
        </w:rPr>
        <w:t>A</w:t>
      </w:r>
      <w:r w:rsidR="0041190F" w:rsidRPr="00ED4D93">
        <w:rPr>
          <w:rFonts w:ascii="Times New Roman" w:hAnsi="Times New Roman"/>
          <w:bCs/>
          <w:sz w:val="24"/>
        </w:rPr>
        <w:t xml:space="preserve">cting </w:t>
      </w:r>
      <w:r w:rsidR="009927D9" w:rsidRPr="00ED4D93">
        <w:rPr>
          <w:rFonts w:ascii="Times New Roman" w:hAnsi="Times New Roman"/>
          <w:bCs/>
          <w:sz w:val="24"/>
        </w:rPr>
        <w:t>J</w:t>
      </w:r>
      <w:r w:rsidR="0041190F" w:rsidRPr="00ED4D93">
        <w:rPr>
          <w:rFonts w:ascii="Times New Roman" w:hAnsi="Times New Roman"/>
          <w:bCs/>
          <w:sz w:val="24"/>
        </w:rPr>
        <w:t xml:space="preserve">udge referred to what he was invited to adjudicate upon, being the valuation of the shares of the company. Once such determination is made such amount would form the accrual to the assets of the appellant. This would be followed by </w:t>
      </w:r>
      <w:r w:rsidR="009927D9" w:rsidRPr="00ED4D93">
        <w:rPr>
          <w:rFonts w:ascii="Times New Roman" w:hAnsi="Times New Roman"/>
          <w:bCs/>
          <w:sz w:val="24"/>
        </w:rPr>
        <w:t xml:space="preserve">the </w:t>
      </w:r>
      <w:r w:rsidR="0041190F" w:rsidRPr="00ED4D93">
        <w:rPr>
          <w:rFonts w:ascii="Times New Roman" w:hAnsi="Times New Roman"/>
          <w:bCs/>
          <w:sz w:val="24"/>
        </w:rPr>
        <w:t>calculation envisaged in section 3 of the MPA.</w:t>
      </w:r>
    </w:p>
    <w:p w14:paraId="0CFED204" w14:textId="77777777" w:rsidR="0041190F" w:rsidRPr="0041190F" w:rsidRDefault="0041190F" w:rsidP="0041190F">
      <w:pPr>
        <w:pStyle w:val="ListParagraph"/>
        <w:rPr>
          <w:rFonts w:ascii="Times New Roman" w:hAnsi="Times New Roman"/>
          <w:bCs/>
          <w:sz w:val="24"/>
        </w:rPr>
      </w:pPr>
    </w:p>
    <w:p w14:paraId="0ACD9CA3" w14:textId="67526ACE" w:rsidR="0041190F" w:rsidRPr="00ED4D93" w:rsidRDefault="00ED4D93" w:rsidP="00ED4D93">
      <w:pPr>
        <w:spacing w:line="480" w:lineRule="auto"/>
        <w:rPr>
          <w:rFonts w:ascii="Times New Roman" w:hAnsi="Times New Roman"/>
          <w:bCs/>
          <w:sz w:val="24"/>
        </w:rPr>
      </w:pPr>
      <w:r>
        <w:rPr>
          <w:rFonts w:ascii="Times New Roman" w:hAnsi="Times New Roman"/>
          <w:bCs/>
          <w:sz w:val="24"/>
        </w:rPr>
        <w:lastRenderedPageBreak/>
        <w:t>[43]</w:t>
      </w:r>
      <w:r>
        <w:rPr>
          <w:rFonts w:ascii="Times New Roman" w:hAnsi="Times New Roman"/>
          <w:bCs/>
          <w:sz w:val="24"/>
        </w:rPr>
        <w:tab/>
      </w:r>
      <w:r w:rsidR="0041190F" w:rsidRPr="00ED4D93">
        <w:rPr>
          <w:rFonts w:ascii="Times New Roman" w:hAnsi="Times New Roman"/>
          <w:bCs/>
          <w:sz w:val="24"/>
        </w:rPr>
        <w:t>In the alternative the sentence by t</w:t>
      </w:r>
      <w:r w:rsidR="0095510E" w:rsidRPr="00ED4D93">
        <w:rPr>
          <w:rFonts w:ascii="Times New Roman" w:hAnsi="Times New Roman"/>
          <w:bCs/>
          <w:sz w:val="24"/>
        </w:rPr>
        <w:t>h</w:t>
      </w:r>
      <w:r w:rsidR="0041190F" w:rsidRPr="00ED4D93">
        <w:rPr>
          <w:rFonts w:ascii="Times New Roman" w:hAnsi="Times New Roman"/>
          <w:bCs/>
          <w:sz w:val="24"/>
        </w:rPr>
        <w:t xml:space="preserve">e </w:t>
      </w:r>
      <w:r w:rsidR="0095510E" w:rsidRPr="00ED4D93">
        <w:rPr>
          <w:rFonts w:ascii="Times New Roman" w:hAnsi="Times New Roman"/>
          <w:bCs/>
          <w:sz w:val="24"/>
        </w:rPr>
        <w:t>A</w:t>
      </w:r>
      <w:r w:rsidR="0041190F" w:rsidRPr="00ED4D93">
        <w:rPr>
          <w:rFonts w:ascii="Times New Roman" w:hAnsi="Times New Roman"/>
          <w:bCs/>
          <w:sz w:val="24"/>
        </w:rPr>
        <w:t xml:space="preserve">cting Judge is therefore not clear and unambiguous and calls for the court to defer to the extrinsic evidence </w:t>
      </w:r>
      <w:r w:rsidR="0095510E" w:rsidRPr="00ED4D93">
        <w:rPr>
          <w:rFonts w:ascii="Times New Roman" w:hAnsi="Times New Roman"/>
          <w:bCs/>
          <w:sz w:val="24"/>
        </w:rPr>
        <w:t>to assist in the correct meaning thereof.</w:t>
      </w:r>
    </w:p>
    <w:p w14:paraId="1E8C4620" w14:textId="77777777" w:rsidR="00EE38A1" w:rsidRDefault="00EE38A1" w:rsidP="00913CF4">
      <w:pPr>
        <w:pStyle w:val="ListParagraph"/>
        <w:spacing w:line="480" w:lineRule="auto"/>
        <w:ind w:left="0" w:firstLine="720"/>
        <w:contextualSpacing w:val="0"/>
        <w:rPr>
          <w:rFonts w:ascii="Times New Roman" w:hAnsi="Times New Roman"/>
          <w:bCs/>
          <w:i/>
          <w:iCs/>
          <w:sz w:val="24"/>
        </w:rPr>
      </w:pPr>
    </w:p>
    <w:p w14:paraId="32A87724" w14:textId="37D26C2A" w:rsidR="003C3A1E" w:rsidRPr="0095510E" w:rsidRDefault="0095510E" w:rsidP="00913CF4">
      <w:pPr>
        <w:pStyle w:val="ListParagraph"/>
        <w:spacing w:line="480" w:lineRule="auto"/>
        <w:ind w:left="0" w:firstLine="720"/>
        <w:contextualSpacing w:val="0"/>
        <w:rPr>
          <w:rFonts w:ascii="Times New Roman" w:hAnsi="Times New Roman"/>
          <w:bCs/>
          <w:i/>
          <w:iCs/>
          <w:sz w:val="24"/>
        </w:rPr>
      </w:pPr>
      <w:r w:rsidRPr="0095510E">
        <w:rPr>
          <w:rFonts w:ascii="Times New Roman" w:hAnsi="Times New Roman"/>
          <w:bCs/>
          <w:i/>
          <w:iCs/>
          <w:sz w:val="24"/>
        </w:rPr>
        <w:t>Determination of accrual</w:t>
      </w:r>
      <w:r>
        <w:rPr>
          <w:rFonts w:ascii="Times New Roman" w:hAnsi="Times New Roman"/>
          <w:bCs/>
          <w:i/>
          <w:iCs/>
          <w:sz w:val="24"/>
        </w:rPr>
        <w:t xml:space="preserve"> in terms of MPA</w:t>
      </w:r>
      <w:r w:rsidRPr="0095510E">
        <w:rPr>
          <w:rFonts w:ascii="Times New Roman" w:hAnsi="Times New Roman"/>
          <w:bCs/>
          <w:i/>
          <w:iCs/>
          <w:sz w:val="24"/>
        </w:rPr>
        <w:t>.</w:t>
      </w:r>
    </w:p>
    <w:p w14:paraId="20610D58" w14:textId="77777777" w:rsidR="0031190A" w:rsidRPr="0031190A" w:rsidRDefault="0031190A" w:rsidP="0031190A">
      <w:pPr>
        <w:pStyle w:val="ListParagraph"/>
        <w:rPr>
          <w:rFonts w:ascii="Times New Roman" w:hAnsi="Times New Roman"/>
          <w:bCs/>
          <w:sz w:val="24"/>
        </w:rPr>
      </w:pPr>
    </w:p>
    <w:p w14:paraId="14231172" w14:textId="1517A76D" w:rsidR="0031190A" w:rsidRPr="00ED4D93" w:rsidRDefault="00ED4D93" w:rsidP="00ED4D93">
      <w:pPr>
        <w:spacing w:line="480" w:lineRule="auto"/>
        <w:rPr>
          <w:rFonts w:ascii="Times New Roman" w:hAnsi="Times New Roman"/>
          <w:bCs/>
          <w:sz w:val="24"/>
        </w:rPr>
      </w:pPr>
      <w:r>
        <w:rPr>
          <w:rFonts w:ascii="Times New Roman" w:hAnsi="Times New Roman"/>
          <w:bCs/>
          <w:sz w:val="24"/>
        </w:rPr>
        <w:t>[44]</w:t>
      </w:r>
      <w:r>
        <w:rPr>
          <w:rFonts w:ascii="Times New Roman" w:hAnsi="Times New Roman"/>
          <w:bCs/>
          <w:sz w:val="24"/>
        </w:rPr>
        <w:tab/>
      </w:r>
      <w:r w:rsidR="0095510E" w:rsidRPr="00ED4D93">
        <w:rPr>
          <w:rFonts w:ascii="Times New Roman" w:hAnsi="Times New Roman"/>
          <w:bCs/>
          <w:sz w:val="24"/>
        </w:rPr>
        <w:t xml:space="preserve">On a proper interpretation of </w:t>
      </w:r>
      <w:r w:rsidR="0031190A" w:rsidRPr="00ED4D93">
        <w:rPr>
          <w:rFonts w:ascii="Times New Roman" w:hAnsi="Times New Roman"/>
          <w:bCs/>
          <w:sz w:val="24"/>
        </w:rPr>
        <w:t>the provisions of section 3 and 4</w:t>
      </w:r>
      <w:r w:rsidR="00BD564E">
        <w:rPr>
          <w:rStyle w:val="FootnoteReference"/>
          <w:rFonts w:ascii="Times New Roman" w:hAnsi="Times New Roman"/>
          <w:bCs/>
          <w:sz w:val="24"/>
        </w:rPr>
        <w:footnoteReference w:id="34"/>
      </w:r>
      <w:r w:rsidR="0031190A" w:rsidRPr="00ED4D93">
        <w:rPr>
          <w:rFonts w:ascii="Times New Roman" w:hAnsi="Times New Roman"/>
          <w:bCs/>
          <w:sz w:val="24"/>
        </w:rPr>
        <w:t xml:space="preserve"> of the M</w:t>
      </w:r>
      <w:r w:rsidR="005143D9" w:rsidRPr="00ED4D93">
        <w:rPr>
          <w:rFonts w:ascii="Times New Roman" w:hAnsi="Times New Roman"/>
          <w:bCs/>
          <w:sz w:val="24"/>
        </w:rPr>
        <w:t>PA</w:t>
      </w:r>
      <w:r w:rsidR="0031190A" w:rsidRPr="00ED4D93">
        <w:rPr>
          <w:rFonts w:ascii="Times New Roman" w:hAnsi="Times New Roman"/>
          <w:bCs/>
          <w:sz w:val="24"/>
        </w:rPr>
        <w:t xml:space="preserve"> </w:t>
      </w:r>
      <w:r w:rsidR="0095510E" w:rsidRPr="00ED4D93">
        <w:rPr>
          <w:rFonts w:ascii="Times New Roman" w:hAnsi="Times New Roman"/>
          <w:bCs/>
          <w:sz w:val="24"/>
        </w:rPr>
        <w:t>o</w:t>
      </w:r>
      <w:r w:rsidR="0031190A" w:rsidRPr="00ED4D93">
        <w:rPr>
          <w:rFonts w:ascii="Times New Roman" w:hAnsi="Times New Roman"/>
          <w:bCs/>
          <w:sz w:val="24"/>
        </w:rPr>
        <w:t xml:space="preserve">ne is required to first determine the </w:t>
      </w:r>
      <w:r w:rsidR="00BD564E" w:rsidRPr="00ED4D93">
        <w:rPr>
          <w:rFonts w:ascii="Times New Roman" w:hAnsi="Times New Roman"/>
          <w:bCs/>
          <w:sz w:val="24"/>
        </w:rPr>
        <w:t xml:space="preserve">growth of the estates of each </w:t>
      </w:r>
      <w:r w:rsidR="0031190A" w:rsidRPr="00ED4D93">
        <w:rPr>
          <w:rFonts w:ascii="Times New Roman" w:hAnsi="Times New Roman"/>
          <w:bCs/>
          <w:sz w:val="24"/>
        </w:rPr>
        <w:t>part</w:t>
      </w:r>
      <w:r w:rsidR="00BD564E" w:rsidRPr="00ED4D93">
        <w:rPr>
          <w:rFonts w:ascii="Times New Roman" w:hAnsi="Times New Roman"/>
          <w:bCs/>
          <w:sz w:val="24"/>
        </w:rPr>
        <w:t>y</w:t>
      </w:r>
      <w:r w:rsidR="0031190A" w:rsidRPr="00ED4D93">
        <w:rPr>
          <w:rFonts w:ascii="Times New Roman" w:hAnsi="Times New Roman"/>
          <w:bCs/>
          <w:sz w:val="24"/>
        </w:rPr>
        <w:t xml:space="preserve"> and </w:t>
      </w:r>
      <w:r w:rsidR="00BD564E" w:rsidRPr="00ED4D93">
        <w:rPr>
          <w:rFonts w:ascii="Times New Roman" w:hAnsi="Times New Roman"/>
          <w:bCs/>
          <w:sz w:val="24"/>
        </w:rPr>
        <w:t>secondly, calculate</w:t>
      </w:r>
      <w:r w:rsidR="0031190A" w:rsidRPr="00ED4D93">
        <w:rPr>
          <w:rFonts w:ascii="Times New Roman" w:hAnsi="Times New Roman"/>
          <w:bCs/>
          <w:sz w:val="24"/>
        </w:rPr>
        <w:t xml:space="preserve"> the difference between the two </w:t>
      </w:r>
      <w:r w:rsidR="00BD564E" w:rsidRPr="00ED4D93">
        <w:rPr>
          <w:rFonts w:ascii="Times New Roman" w:hAnsi="Times New Roman"/>
          <w:bCs/>
          <w:sz w:val="24"/>
        </w:rPr>
        <w:t xml:space="preserve">growth </w:t>
      </w:r>
      <w:r w:rsidR="0031190A" w:rsidRPr="00ED4D93">
        <w:rPr>
          <w:rFonts w:ascii="Times New Roman" w:hAnsi="Times New Roman"/>
          <w:bCs/>
          <w:sz w:val="24"/>
        </w:rPr>
        <w:t xml:space="preserve">values and </w:t>
      </w:r>
      <w:r w:rsidR="00BD564E" w:rsidRPr="00ED4D93">
        <w:rPr>
          <w:rFonts w:ascii="Times New Roman" w:hAnsi="Times New Roman"/>
          <w:bCs/>
          <w:sz w:val="24"/>
        </w:rPr>
        <w:t xml:space="preserve">thirdly </w:t>
      </w:r>
      <w:r w:rsidR="0031190A" w:rsidRPr="00ED4D93">
        <w:rPr>
          <w:rFonts w:ascii="Times New Roman" w:hAnsi="Times New Roman"/>
          <w:bCs/>
          <w:sz w:val="24"/>
        </w:rPr>
        <w:t>divide the difference</w:t>
      </w:r>
      <w:r w:rsidR="00BD564E" w:rsidRPr="00ED4D93">
        <w:rPr>
          <w:rFonts w:ascii="Times New Roman" w:hAnsi="Times New Roman"/>
          <w:bCs/>
          <w:sz w:val="24"/>
        </w:rPr>
        <w:t xml:space="preserve"> by two</w:t>
      </w:r>
      <w:r w:rsidR="009927D9" w:rsidRPr="00ED4D93">
        <w:rPr>
          <w:rFonts w:ascii="Times New Roman" w:hAnsi="Times New Roman"/>
          <w:bCs/>
          <w:sz w:val="24"/>
        </w:rPr>
        <w:t xml:space="preserve"> (assuming there were no commencement values)</w:t>
      </w:r>
      <w:r w:rsidR="00EC0C86" w:rsidRPr="00ED4D93">
        <w:rPr>
          <w:rFonts w:ascii="Times New Roman" w:hAnsi="Times New Roman"/>
          <w:bCs/>
          <w:sz w:val="24"/>
        </w:rPr>
        <w:t xml:space="preserve"> </w:t>
      </w:r>
      <w:r w:rsidR="009927D9" w:rsidRPr="00ED4D93">
        <w:rPr>
          <w:rFonts w:ascii="Times New Roman" w:hAnsi="Times New Roman"/>
          <w:bCs/>
          <w:sz w:val="24"/>
        </w:rPr>
        <w:t>a</w:t>
      </w:r>
      <w:r w:rsidR="00BD564E" w:rsidRPr="00ED4D93">
        <w:rPr>
          <w:rFonts w:ascii="Times New Roman" w:hAnsi="Times New Roman"/>
          <w:bCs/>
          <w:sz w:val="24"/>
        </w:rPr>
        <w:t xml:space="preserve">nd </w:t>
      </w:r>
      <w:r w:rsidR="0031190A" w:rsidRPr="00ED4D93">
        <w:rPr>
          <w:rFonts w:ascii="Times New Roman" w:hAnsi="Times New Roman"/>
          <w:bCs/>
          <w:sz w:val="24"/>
        </w:rPr>
        <w:t xml:space="preserve">the </w:t>
      </w:r>
      <w:r w:rsidR="001F7043" w:rsidRPr="00ED4D93">
        <w:rPr>
          <w:rFonts w:ascii="Times New Roman" w:hAnsi="Times New Roman"/>
          <w:bCs/>
          <w:sz w:val="24"/>
        </w:rPr>
        <w:t xml:space="preserve">quotient </w:t>
      </w:r>
      <w:r w:rsidR="0031190A" w:rsidRPr="00ED4D93">
        <w:rPr>
          <w:rFonts w:ascii="Times New Roman" w:hAnsi="Times New Roman"/>
          <w:bCs/>
          <w:sz w:val="24"/>
        </w:rPr>
        <w:t xml:space="preserve">would be the </w:t>
      </w:r>
      <w:r w:rsidR="001F7043" w:rsidRPr="00ED4D93">
        <w:rPr>
          <w:rFonts w:ascii="Times New Roman" w:hAnsi="Times New Roman"/>
          <w:bCs/>
          <w:sz w:val="24"/>
        </w:rPr>
        <w:t xml:space="preserve">amount </w:t>
      </w:r>
      <w:r w:rsidR="00BD564E" w:rsidRPr="00ED4D93">
        <w:rPr>
          <w:rFonts w:ascii="Times New Roman" w:hAnsi="Times New Roman"/>
          <w:bCs/>
          <w:sz w:val="24"/>
        </w:rPr>
        <w:t xml:space="preserve">payable </w:t>
      </w:r>
      <w:r w:rsidR="0031190A" w:rsidRPr="00ED4D93">
        <w:rPr>
          <w:rFonts w:ascii="Times New Roman" w:hAnsi="Times New Roman"/>
          <w:bCs/>
          <w:sz w:val="24"/>
        </w:rPr>
        <w:t>to the party whose accrual was</w:t>
      </w:r>
      <w:r w:rsidR="00BD564E" w:rsidRPr="00ED4D93">
        <w:rPr>
          <w:rFonts w:ascii="Times New Roman" w:hAnsi="Times New Roman"/>
          <w:bCs/>
          <w:sz w:val="24"/>
        </w:rPr>
        <w:t xml:space="preserve"> nil or</w:t>
      </w:r>
      <w:r w:rsidR="0031190A" w:rsidRPr="00ED4D93">
        <w:rPr>
          <w:rFonts w:ascii="Times New Roman" w:hAnsi="Times New Roman"/>
          <w:bCs/>
          <w:sz w:val="24"/>
        </w:rPr>
        <w:t xml:space="preserve"> </w:t>
      </w:r>
      <w:r w:rsidR="0095510E" w:rsidRPr="00ED4D93">
        <w:rPr>
          <w:rFonts w:ascii="Times New Roman" w:hAnsi="Times New Roman"/>
          <w:bCs/>
          <w:sz w:val="24"/>
        </w:rPr>
        <w:t>smaller</w:t>
      </w:r>
      <w:r w:rsidR="001F7043" w:rsidRPr="00ED4D93">
        <w:rPr>
          <w:rFonts w:ascii="Times New Roman" w:hAnsi="Times New Roman"/>
          <w:bCs/>
          <w:sz w:val="24"/>
        </w:rPr>
        <w:t>.</w:t>
      </w:r>
      <w:r w:rsidR="0031190A" w:rsidRPr="00ED4D93">
        <w:rPr>
          <w:rFonts w:ascii="Times New Roman" w:hAnsi="Times New Roman"/>
          <w:bCs/>
          <w:sz w:val="24"/>
        </w:rPr>
        <w:t xml:space="preserve"> </w:t>
      </w:r>
    </w:p>
    <w:p w14:paraId="6E1E62C6" w14:textId="77777777" w:rsidR="0095510E" w:rsidRDefault="0095510E" w:rsidP="0095510E">
      <w:pPr>
        <w:pStyle w:val="ListParagraph"/>
        <w:spacing w:line="480" w:lineRule="auto"/>
        <w:ind w:left="0"/>
        <w:contextualSpacing w:val="0"/>
        <w:rPr>
          <w:rFonts w:ascii="Times New Roman" w:hAnsi="Times New Roman"/>
          <w:bCs/>
          <w:sz w:val="24"/>
        </w:rPr>
      </w:pPr>
    </w:p>
    <w:p w14:paraId="0759ACAF" w14:textId="029E40A9" w:rsidR="0095510E" w:rsidRPr="00ED4D93" w:rsidRDefault="00ED4D93" w:rsidP="00ED4D93">
      <w:pPr>
        <w:spacing w:line="480" w:lineRule="auto"/>
        <w:rPr>
          <w:rFonts w:ascii="Times New Roman" w:hAnsi="Times New Roman"/>
          <w:bCs/>
          <w:sz w:val="24"/>
        </w:rPr>
      </w:pPr>
      <w:r>
        <w:rPr>
          <w:rFonts w:ascii="Times New Roman" w:hAnsi="Times New Roman"/>
          <w:bCs/>
          <w:sz w:val="24"/>
        </w:rPr>
        <w:t>[45]</w:t>
      </w:r>
      <w:r>
        <w:rPr>
          <w:rFonts w:ascii="Times New Roman" w:hAnsi="Times New Roman"/>
          <w:bCs/>
          <w:sz w:val="24"/>
        </w:rPr>
        <w:tab/>
      </w:r>
      <w:r w:rsidR="00913CF4" w:rsidRPr="00ED4D93">
        <w:rPr>
          <w:rFonts w:ascii="Times New Roman" w:hAnsi="Times New Roman"/>
          <w:bCs/>
          <w:sz w:val="24"/>
        </w:rPr>
        <w:t>Senyatsi</w:t>
      </w:r>
      <w:r w:rsidR="009927D9" w:rsidRPr="00ED4D93">
        <w:rPr>
          <w:rFonts w:ascii="Times New Roman" w:hAnsi="Times New Roman"/>
          <w:bCs/>
          <w:sz w:val="24"/>
        </w:rPr>
        <w:t xml:space="preserve"> AJ</w:t>
      </w:r>
      <w:r w:rsidR="00913CF4" w:rsidRPr="00ED4D93">
        <w:rPr>
          <w:rFonts w:ascii="Times New Roman" w:hAnsi="Times New Roman"/>
          <w:bCs/>
          <w:sz w:val="24"/>
        </w:rPr>
        <w:t xml:space="preserve"> held that the respondent</w:t>
      </w:r>
      <w:r w:rsidR="009927D9" w:rsidRPr="00ED4D93">
        <w:rPr>
          <w:rFonts w:ascii="Times New Roman" w:hAnsi="Times New Roman"/>
          <w:bCs/>
          <w:sz w:val="24"/>
        </w:rPr>
        <w:t xml:space="preserve"> is to</w:t>
      </w:r>
      <w:r w:rsidR="00913CF4" w:rsidRPr="00ED4D93">
        <w:rPr>
          <w:rFonts w:ascii="Times New Roman" w:hAnsi="Times New Roman"/>
          <w:bCs/>
          <w:sz w:val="24"/>
        </w:rPr>
        <w:t xml:space="preserve"> be paid from the incorrect amount </w:t>
      </w:r>
      <w:r w:rsidR="00EC0C86" w:rsidRPr="00ED4D93">
        <w:rPr>
          <w:rFonts w:ascii="Times New Roman" w:hAnsi="Times New Roman"/>
          <w:bCs/>
          <w:sz w:val="24"/>
        </w:rPr>
        <w:t>i.e.</w:t>
      </w:r>
      <w:r w:rsidR="00913CF4" w:rsidRPr="00ED4D93">
        <w:rPr>
          <w:rFonts w:ascii="Times New Roman" w:hAnsi="Times New Roman"/>
          <w:bCs/>
          <w:sz w:val="24"/>
        </w:rPr>
        <w:t xml:space="preserve"> the value of the shares instead of the </w:t>
      </w:r>
      <w:r w:rsidR="002B1058" w:rsidRPr="00ED4D93">
        <w:rPr>
          <w:rFonts w:ascii="Times New Roman" w:hAnsi="Times New Roman"/>
          <w:bCs/>
          <w:sz w:val="24"/>
        </w:rPr>
        <w:t>amount as determined in Mr Getz report, bearing in mind that Mr Getz’s report w</w:t>
      </w:r>
      <w:r w:rsidR="009927D9" w:rsidRPr="00ED4D93">
        <w:rPr>
          <w:rFonts w:ascii="Times New Roman" w:hAnsi="Times New Roman"/>
          <w:bCs/>
          <w:sz w:val="24"/>
        </w:rPr>
        <w:t>as</w:t>
      </w:r>
      <w:r w:rsidR="002B1058" w:rsidRPr="00ED4D93">
        <w:rPr>
          <w:rFonts w:ascii="Times New Roman" w:hAnsi="Times New Roman"/>
          <w:bCs/>
          <w:sz w:val="24"/>
        </w:rPr>
        <w:t xml:space="preserve"> worked out on the basis that the value of the shares was R3 300 000.00 which amount is the same as the amount reached by Senyatsi AJ in his determination </w:t>
      </w:r>
      <w:r w:rsidR="009927D9" w:rsidRPr="00ED4D93">
        <w:rPr>
          <w:rFonts w:ascii="Times New Roman" w:hAnsi="Times New Roman"/>
          <w:bCs/>
          <w:sz w:val="24"/>
        </w:rPr>
        <w:t>of</w:t>
      </w:r>
      <w:r w:rsidR="002B1058" w:rsidRPr="00ED4D93">
        <w:rPr>
          <w:rFonts w:ascii="Times New Roman" w:hAnsi="Times New Roman"/>
          <w:bCs/>
          <w:sz w:val="24"/>
        </w:rPr>
        <w:t xml:space="preserve"> the value of the shares in LBMC.</w:t>
      </w:r>
    </w:p>
    <w:p w14:paraId="23BD8482" w14:textId="77777777" w:rsidR="00AF1704" w:rsidRPr="00AF1704" w:rsidRDefault="00AF1704" w:rsidP="00AF1704">
      <w:pPr>
        <w:pStyle w:val="ListParagraph"/>
        <w:rPr>
          <w:rFonts w:ascii="Times New Roman" w:hAnsi="Times New Roman"/>
          <w:bCs/>
          <w:sz w:val="24"/>
        </w:rPr>
      </w:pPr>
    </w:p>
    <w:p w14:paraId="48FF0079" w14:textId="03CB3ADA" w:rsidR="002D7CC2" w:rsidRPr="00ED4D93" w:rsidRDefault="00ED4D93" w:rsidP="00ED4D93">
      <w:pPr>
        <w:spacing w:line="480" w:lineRule="auto"/>
        <w:rPr>
          <w:rFonts w:ascii="Times New Roman" w:hAnsi="Times New Roman"/>
          <w:bCs/>
          <w:sz w:val="24"/>
        </w:rPr>
      </w:pPr>
      <w:r>
        <w:rPr>
          <w:rFonts w:ascii="Times New Roman" w:hAnsi="Times New Roman"/>
          <w:bCs/>
          <w:sz w:val="24"/>
        </w:rPr>
        <w:t>[46]</w:t>
      </w:r>
      <w:r>
        <w:rPr>
          <w:rFonts w:ascii="Times New Roman" w:hAnsi="Times New Roman"/>
          <w:bCs/>
          <w:sz w:val="24"/>
        </w:rPr>
        <w:tab/>
      </w:r>
      <w:r w:rsidR="00AF1704" w:rsidRPr="00ED4D93">
        <w:rPr>
          <w:rFonts w:ascii="Times New Roman" w:hAnsi="Times New Roman"/>
          <w:bCs/>
          <w:sz w:val="24"/>
        </w:rPr>
        <w:t>The appellant sought to contend that there was a dispute of fact with regard to the value of the parties</w:t>
      </w:r>
      <w:r w:rsidR="009927D9" w:rsidRPr="00ED4D93">
        <w:rPr>
          <w:rFonts w:ascii="Times New Roman" w:hAnsi="Times New Roman"/>
          <w:bCs/>
          <w:sz w:val="24"/>
        </w:rPr>
        <w:t>’</w:t>
      </w:r>
      <w:r w:rsidR="00AF1704" w:rsidRPr="00ED4D93">
        <w:rPr>
          <w:rFonts w:ascii="Times New Roman" w:hAnsi="Times New Roman"/>
          <w:bCs/>
          <w:sz w:val="24"/>
        </w:rPr>
        <w:t xml:space="preserve"> other assets excluding the value of the shares in LBMC. Further that Maier-Frawley J made her conclusion on annexure F4 without proper reflection thereof. The order of the court </w:t>
      </w:r>
      <w:r w:rsidR="00AF1704" w:rsidRPr="00ED4D93">
        <w:rPr>
          <w:rFonts w:ascii="Times New Roman" w:hAnsi="Times New Roman"/>
          <w:bCs/>
          <w:i/>
          <w:iCs/>
          <w:sz w:val="24"/>
        </w:rPr>
        <w:t xml:space="preserve">a quo </w:t>
      </w:r>
      <w:r w:rsidR="00AF1704" w:rsidRPr="00ED4D93">
        <w:rPr>
          <w:rFonts w:ascii="Times New Roman" w:hAnsi="Times New Roman"/>
          <w:bCs/>
          <w:sz w:val="24"/>
        </w:rPr>
        <w:t xml:space="preserve">correctly concluded on </w:t>
      </w:r>
      <w:r w:rsidR="009927D9" w:rsidRPr="00ED4D93">
        <w:rPr>
          <w:rFonts w:ascii="Times New Roman" w:hAnsi="Times New Roman"/>
          <w:bCs/>
          <w:sz w:val="24"/>
        </w:rPr>
        <w:t xml:space="preserve">the </w:t>
      </w:r>
      <w:r w:rsidR="00AF1704" w:rsidRPr="00ED4D93">
        <w:rPr>
          <w:rFonts w:ascii="Times New Roman" w:hAnsi="Times New Roman"/>
          <w:bCs/>
          <w:sz w:val="24"/>
        </w:rPr>
        <w:t xml:space="preserve">evidence presented before it that </w:t>
      </w:r>
      <w:r w:rsidR="00AF1704" w:rsidRPr="00ED4D93">
        <w:rPr>
          <w:rFonts w:ascii="Times New Roman" w:hAnsi="Times New Roman"/>
          <w:bCs/>
          <w:sz w:val="24"/>
        </w:rPr>
        <w:lastRenderedPageBreak/>
        <w:t xml:space="preserve">the parties’ legal representatives </w:t>
      </w:r>
      <w:r w:rsidR="00913CF4" w:rsidRPr="00ED4D93">
        <w:rPr>
          <w:rFonts w:ascii="Times New Roman" w:hAnsi="Times New Roman"/>
          <w:bCs/>
          <w:sz w:val="24"/>
        </w:rPr>
        <w:t xml:space="preserve">unequivocally </w:t>
      </w:r>
      <w:r w:rsidR="002B1058" w:rsidRPr="00ED4D93">
        <w:rPr>
          <w:rFonts w:ascii="Times New Roman" w:hAnsi="Times New Roman"/>
          <w:bCs/>
          <w:sz w:val="24"/>
        </w:rPr>
        <w:t xml:space="preserve">stated </w:t>
      </w:r>
      <w:r w:rsidR="00AF1704" w:rsidRPr="00ED4D93">
        <w:rPr>
          <w:rFonts w:ascii="Times New Roman" w:hAnsi="Times New Roman"/>
          <w:bCs/>
          <w:sz w:val="24"/>
        </w:rPr>
        <w:t xml:space="preserve">that the only issue for determination was to decide on the value of the shares </w:t>
      </w:r>
      <w:r w:rsidR="002B1058" w:rsidRPr="00ED4D93">
        <w:rPr>
          <w:rFonts w:ascii="Times New Roman" w:hAnsi="Times New Roman"/>
          <w:bCs/>
          <w:sz w:val="24"/>
        </w:rPr>
        <w:t>in</w:t>
      </w:r>
      <w:r w:rsidR="00AF1704" w:rsidRPr="00ED4D93">
        <w:rPr>
          <w:rFonts w:ascii="Times New Roman" w:hAnsi="Times New Roman"/>
          <w:bCs/>
          <w:sz w:val="24"/>
        </w:rPr>
        <w:t xml:space="preserve"> LBMC. Noting that Mr Getz was appointed by agreement between the parties and further that the appellant appointed its own expert to gainsay the evidence by Mr Getz</w:t>
      </w:r>
      <w:r w:rsidR="009927D9" w:rsidRPr="00ED4D93">
        <w:rPr>
          <w:rFonts w:ascii="Times New Roman" w:hAnsi="Times New Roman"/>
          <w:bCs/>
          <w:sz w:val="24"/>
        </w:rPr>
        <w:t>,</w:t>
      </w:r>
      <w:r w:rsidR="00AF1704" w:rsidRPr="00ED4D93">
        <w:rPr>
          <w:rFonts w:ascii="Times New Roman" w:hAnsi="Times New Roman"/>
          <w:bCs/>
          <w:sz w:val="24"/>
        </w:rPr>
        <w:t xml:space="preserve"> the agreement by the parties that the remaining dispute relates to the determination of </w:t>
      </w:r>
      <w:r w:rsidR="009927D9" w:rsidRPr="00ED4D93">
        <w:rPr>
          <w:rFonts w:ascii="Times New Roman" w:hAnsi="Times New Roman"/>
          <w:bCs/>
          <w:sz w:val="24"/>
        </w:rPr>
        <w:t xml:space="preserve">the </w:t>
      </w:r>
      <w:r w:rsidR="00AF1704" w:rsidRPr="00ED4D93">
        <w:rPr>
          <w:rFonts w:ascii="Times New Roman" w:hAnsi="Times New Roman"/>
          <w:bCs/>
          <w:sz w:val="24"/>
        </w:rPr>
        <w:t xml:space="preserve">value of the shares </w:t>
      </w:r>
      <w:r w:rsidR="009927D9" w:rsidRPr="00ED4D93">
        <w:rPr>
          <w:rFonts w:ascii="Times New Roman" w:hAnsi="Times New Roman"/>
          <w:bCs/>
          <w:sz w:val="24"/>
        </w:rPr>
        <w:t xml:space="preserve">it </w:t>
      </w:r>
      <w:r w:rsidR="00AF1704" w:rsidRPr="00ED4D93">
        <w:rPr>
          <w:rFonts w:ascii="Times New Roman" w:hAnsi="Times New Roman"/>
          <w:bCs/>
          <w:sz w:val="24"/>
        </w:rPr>
        <w:t>would have followed that the calculation by Mr Getz</w:t>
      </w:r>
      <w:r w:rsidR="009927D9" w:rsidRPr="00ED4D93">
        <w:rPr>
          <w:rFonts w:ascii="Times New Roman" w:hAnsi="Times New Roman"/>
          <w:bCs/>
          <w:sz w:val="24"/>
        </w:rPr>
        <w:t>,</w:t>
      </w:r>
      <w:r w:rsidR="00AF1704" w:rsidRPr="00ED4D93">
        <w:rPr>
          <w:rFonts w:ascii="Times New Roman" w:hAnsi="Times New Roman"/>
          <w:bCs/>
          <w:sz w:val="24"/>
        </w:rPr>
        <w:t xml:space="preserve"> with regard to </w:t>
      </w:r>
      <w:r w:rsidR="002B1058" w:rsidRPr="00ED4D93">
        <w:rPr>
          <w:rFonts w:ascii="Times New Roman" w:hAnsi="Times New Roman"/>
          <w:bCs/>
          <w:sz w:val="24"/>
        </w:rPr>
        <w:t xml:space="preserve">the other </w:t>
      </w:r>
      <w:r w:rsidR="00AF1704" w:rsidRPr="00ED4D93">
        <w:rPr>
          <w:rFonts w:ascii="Times New Roman" w:hAnsi="Times New Roman"/>
          <w:bCs/>
          <w:sz w:val="24"/>
        </w:rPr>
        <w:t>assets of the parties except the share valuation</w:t>
      </w:r>
      <w:r w:rsidR="009927D9" w:rsidRPr="00ED4D93">
        <w:rPr>
          <w:rFonts w:ascii="Times New Roman" w:hAnsi="Times New Roman"/>
          <w:bCs/>
          <w:sz w:val="24"/>
        </w:rPr>
        <w:t>,</w:t>
      </w:r>
      <w:r w:rsidR="00AF1704" w:rsidRPr="00ED4D93">
        <w:rPr>
          <w:rFonts w:ascii="Times New Roman" w:hAnsi="Times New Roman"/>
          <w:bCs/>
          <w:sz w:val="24"/>
        </w:rPr>
        <w:t xml:space="preserve"> was accepted. To this end the court </w:t>
      </w:r>
      <w:r w:rsidR="00AF1704" w:rsidRPr="00ED4D93">
        <w:rPr>
          <w:rFonts w:ascii="Times New Roman" w:hAnsi="Times New Roman"/>
          <w:bCs/>
          <w:i/>
          <w:iCs/>
          <w:sz w:val="24"/>
        </w:rPr>
        <w:t>a quo</w:t>
      </w:r>
      <w:r w:rsidR="00913CF4" w:rsidRPr="00ED4D93">
        <w:rPr>
          <w:rFonts w:ascii="Times New Roman" w:hAnsi="Times New Roman"/>
          <w:bCs/>
          <w:sz w:val="24"/>
        </w:rPr>
        <w:t>’</w:t>
      </w:r>
      <w:r w:rsidR="00AF1704" w:rsidRPr="00ED4D93">
        <w:rPr>
          <w:rFonts w:ascii="Times New Roman" w:hAnsi="Times New Roman"/>
          <w:bCs/>
          <w:sz w:val="24"/>
        </w:rPr>
        <w:t xml:space="preserve">s conclusion is unassailable and the contention by the appellant that the version of the appellant should be accepted in terms of </w:t>
      </w:r>
      <w:r w:rsidR="009927D9" w:rsidRPr="00ED4D93">
        <w:rPr>
          <w:rFonts w:ascii="Times New Roman" w:hAnsi="Times New Roman"/>
          <w:bCs/>
          <w:sz w:val="24"/>
        </w:rPr>
        <w:t xml:space="preserve">the </w:t>
      </w:r>
      <w:r w:rsidR="00AF1704" w:rsidRPr="00ED4D93">
        <w:rPr>
          <w:rFonts w:ascii="Times New Roman" w:hAnsi="Times New Roman"/>
          <w:bCs/>
          <w:i/>
          <w:iCs/>
          <w:sz w:val="24"/>
        </w:rPr>
        <w:t>Plascon-Evans judgment</w:t>
      </w:r>
      <w:r w:rsidR="00AF1704">
        <w:rPr>
          <w:rStyle w:val="FootnoteReference"/>
          <w:rFonts w:ascii="Times New Roman" w:hAnsi="Times New Roman"/>
          <w:bCs/>
          <w:i/>
          <w:iCs/>
          <w:sz w:val="24"/>
        </w:rPr>
        <w:footnoteReference w:id="35"/>
      </w:r>
      <w:r w:rsidR="00AF1704" w:rsidRPr="00ED4D93">
        <w:rPr>
          <w:rFonts w:ascii="Times New Roman" w:hAnsi="Times New Roman"/>
          <w:bCs/>
          <w:sz w:val="24"/>
        </w:rPr>
        <w:t xml:space="preserve"> is unsustainable as such an alleged dispute is far</w:t>
      </w:r>
      <w:r w:rsidR="00F36861" w:rsidRPr="00ED4D93">
        <w:rPr>
          <w:rFonts w:ascii="Times New Roman" w:hAnsi="Times New Roman"/>
          <w:bCs/>
          <w:sz w:val="24"/>
        </w:rPr>
        <w:t>-</w:t>
      </w:r>
      <w:r w:rsidR="00AF1704" w:rsidRPr="00ED4D93">
        <w:rPr>
          <w:rFonts w:ascii="Times New Roman" w:hAnsi="Times New Roman"/>
          <w:bCs/>
          <w:sz w:val="24"/>
        </w:rPr>
        <w:t>fetched and implausible</w:t>
      </w:r>
      <w:r w:rsidR="002D7CC2" w:rsidRPr="00ED4D93">
        <w:rPr>
          <w:rFonts w:ascii="Times New Roman" w:hAnsi="Times New Roman"/>
          <w:bCs/>
          <w:sz w:val="24"/>
        </w:rPr>
        <w:t xml:space="preserve"> and untenable that </w:t>
      </w:r>
      <w:r w:rsidR="009927D9" w:rsidRPr="00ED4D93">
        <w:rPr>
          <w:rFonts w:ascii="Times New Roman" w:hAnsi="Times New Roman"/>
          <w:bCs/>
          <w:sz w:val="24"/>
        </w:rPr>
        <w:t>it</w:t>
      </w:r>
      <w:r w:rsidR="002D7CC2" w:rsidRPr="00ED4D93">
        <w:rPr>
          <w:rFonts w:ascii="Times New Roman" w:hAnsi="Times New Roman"/>
          <w:bCs/>
          <w:sz w:val="24"/>
        </w:rPr>
        <w:t xml:space="preserve"> should be rejected without further reference to oral evidence</w:t>
      </w:r>
      <w:r w:rsidR="00F36861" w:rsidRPr="00ED4D93">
        <w:rPr>
          <w:rFonts w:ascii="Times New Roman" w:hAnsi="Times New Roman"/>
          <w:bCs/>
          <w:sz w:val="24"/>
        </w:rPr>
        <w:t>.</w:t>
      </w:r>
    </w:p>
    <w:p w14:paraId="3612484D" w14:textId="77777777" w:rsidR="002D7CC2" w:rsidRDefault="002D7CC2" w:rsidP="002D7CC2">
      <w:pPr>
        <w:pStyle w:val="ListParagraph"/>
        <w:spacing w:line="480" w:lineRule="auto"/>
        <w:ind w:left="0"/>
        <w:contextualSpacing w:val="0"/>
        <w:rPr>
          <w:rFonts w:ascii="Times New Roman" w:hAnsi="Times New Roman"/>
          <w:bCs/>
          <w:sz w:val="24"/>
        </w:rPr>
      </w:pPr>
    </w:p>
    <w:p w14:paraId="646CFA5F" w14:textId="0305D9AF" w:rsidR="00DF55B8" w:rsidRPr="00ED4D93" w:rsidRDefault="00ED4D93" w:rsidP="00ED4D93">
      <w:pPr>
        <w:spacing w:line="480" w:lineRule="auto"/>
        <w:rPr>
          <w:rFonts w:ascii="Times New Roman" w:hAnsi="Times New Roman"/>
          <w:bCs/>
          <w:sz w:val="24"/>
        </w:rPr>
      </w:pPr>
      <w:r>
        <w:rPr>
          <w:rFonts w:ascii="Times New Roman" w:hAnsi="Times New Roman"/>
          <w:bCs/>
          <w:sz w:val="24"/>
        </w:rPr>
        <w:t>[47]</w:t>
      </w:r>
      <w:r>
        <w:rPr>
          <w:rFonts w:ascii="Times New Roman" w:hAnsi="Times New Roman"/>
          <w:bCs/>
          <w:sz w:val="24"/>
        </w:rPr>
        <w:tab/>
      </w:r>
      <w:r w:rsidR="00716AC6" w:rsidRPr="00ED4D93">
        <w:rPr>
          <w:rFonts w:ascii="Times New Roman" w:hAnsi="Times New Roman"/>
          <w:bCs/>
          <w:sz w:val="24"/>
        </w:rPr>
        <w:t xml:space="preserve">In brief the object of the application by the respondent was to determine the value of the shares in LBMC and then to determine its impact on the </w:t>
      </w:r>
      <w:r w:rsidR="00EC0C86" w:rsidRPr="00ED4D93">
        <w:rPr>
          <w:rFonts w:ascii="Times New Roman" w:hAnsi="Times New Roman"/>
          <w:bCs/>
          <w:sz w:val="24"/>
        </w:rPr>
        <w:t>value of</w:t>
      </w:r>
      <w:r w:rsidR="009927D9" w:rsidRPr="00ED4D93">
        <w:rPr>
          <w:rFonts w:ascii="Times New Roman" w:hAnsi="Times New Roman"/>
          <w:bCs/>
          <w:sz w:val="24"/>
        </w:rPr>
        <w:t xml:space="preserve"> </w:t>
      </w:r>
      <w:r w:rsidR="00EC0C86" w:rsidRPr="00ED4D93">
        <w:rPr>
          <w:rFonts w:ascii="Times New Roman" w:hAnsi="Times New Roman"/>
          <w:bCs/>
          <w:sz w:val="24"/>
        </w:rPr>
        <w:t>the appellants</w:t>
      </w:r>
      <w:r w:rsidR="00716AC6" w:rsidRPr="00ED4D93">
        <w:rPr>
          <w:rFonts w:ascii="Times New Roman" w:hAnsi="Times New Roman"/>
          <w:bCs/>
          <w:sz w:val="24"/>
        </w:rPr>
        <w:t xml:space="preserve"> assets and </w:t>
      </w:r>
      <w:r w:rsidR="009927D9" w:rsidRPr="00ED4D93">
        <w:rPr>
          <w:rFonts w:ascii="Times New Roman" w:hAnsi="Times New Roman"/>
          <w:bCs/>
          <w:sz w:val="24"/>
        </w:rPr>
        <w:t xml:space="preserve">to </w:t>
      </w:r>
      <w:r w:rsidR="00716AC6" w:rsidRPr="00ED4D93">
        <w:rPr>
          <w:rFonts w:ascii="Times New Roman" w:hAnsi="Times New Roman"/>
          <w:bCs/>
          <w:sz w:val="24"/>
        </w:rPr>
        <w:t xml:space="preserve">thereafter determine the value of the claim due to the respondent. </w:t>
      </w:r>
      <w:r w:rsidR="00187058" w:rsidRPr="00ED4D93">
        <w:rPr>
          <w:rFonts w:ascii="Times New Roman" w:hAnsi="Times New Roman"/>
          <w:bCs/>
          <w:sz w:val="24"/>
        </w:rPr>
        <w:t>T</w:t>
      </w:r>
      <w:r w:rsidR="00716AC6" w:rsidRPr="00ED4D93">
        <w:rPr>
          <w:rFonts w:ascii="Times New Roman" w:hAnsi="Times New Roman"/>
          <w:bCs/>
          <w:sz w:val="24"/>
        </w:rPr>
        <w:t xml:space="preserve">he accrual due to the respondent was already partly determined and agreed </w:t>
      </w:r>
      <w:r w:rsidR="00187058" w:rsidRPr="00ED4D93">
        <w:rPr>
          <w:rFonts w:ascii="Times New Roman" w:hAnsi="Times New Roman"/>
          <w:bCs/>
          <w:sz w:val="24"/>
        </w:rPr>
        <w:t xml:space="preserve">to </w:t>
      </w:r>
      <w:r w:rsidR="00716AC6" w:rsidRPr="00ED4D93">
        <w:rPr>
          <w:rFonts w:ascii="Times New Roman" w:hAnsi="Times New Roman"/>
          <w:bCs/>
          <w:sz w:val="24"/>
        </w:rPr>
        <w:t xml:space="preserve">before the hearing </w:t>
      </w:r>
      <w:r w:rsidR="00187058" w:rsidRPr="00ED4D93">
        <w:rPr>
          <w:rFonts w:ascii="Times New Roman" w:hAnsi="Times New Roman"/>
          <w:bCs/>
          <w:sz w:val="24"/>
        </w:rPr>
        <w:t>but</w:t>
      </w:r>
      <w:r w:rsidR="00716AC6" w:rsidRPr="00ED4D93">
        <w:rPr>
          <w:rFonts w:ascii="Times New Roman" w:hAnsi="Times New Roman"/>
          <w:bCs/>
          <w:sz w:val="24"/>
        </w:rPr>
        <w:t xml:space="preserve"> finally determined by Senyatsi AJ who decided that the </w:t>
      </w:r>
      <w:r w:rsidR="00DF55B8" w:rsidRPr="00ED4D93">
        <w:rPr>
          <w:rFonts w:ascii="Times New Roman" w:hAnsi="Times New Roman"/>
          <w:bCs/>
          <w:sz w:val="24"/>
        </w:rPr>
        <w:t>accrual to the respondent</w:t>
      </w:r>
      <w:r w:rsidR="00187058" w:rsidRPr="00ED4D93">
        <w:rPr>
          <w:rFonts w:ascii="Times New Roman" w:hAnsi="Times New Roman"/>
          <w:bCs/>
          <w:sz w:val="24"/>
        </w:rPr>
        <w:t>’s</w:t>
      </w:r>
      <w:r w:rsidR="00DF55B8" w:rsidRPr="00ED4D93">
        <w:rPr>
          <w:rFonts w:ascii="Times New Roman" w:hAnsi="Times New Roman"/>
          <w:bCs/>
          <w:sz w:val="24"/>
        </w:rPr>
        <w:t xml:space="preserve"> assets was R3 300 000.00</w:t>
      </w:r>
      <w:r w:rsidR="00187058" w:rsidRPr="00ED4D93">
        <w:rPr>
          <w:rFonts w:ascii="Times New Roman" w:hAnsi="Times New Roman"/>
          <w:bCs/>
          <w:sz w:val="24"/>
        </w:rPr>
        <w:t>.</w:t>
      </w:r>
      <w:r w:rsidR="00DF55B8" w:rsidRPr="00ED4D93">
        <w:rPr>
          <w:rFonts w:ascii="Times New Roman" w:hAnsi="Times New Roman"/>
          <w:bCs/>
          <w:sz w:val="24"/>
        </w:rPr>
        <w:t xml:space="preserve"> </w:t>
      </w:r>
      <w:r w:rsidR="00187058" w:rsidRPr="00ED4D93">
        <w:rPr>
          <w:rFonts w:ascii="Times New Roman" w:hAnsi="Times New Roman"/>
          <w:bCs/>
          <w:sz w:val="24"/>
        </w:rPr>
        <w:t xml:space="preserve">All that </w:t>
      </w:r>
      <w:r w:rsidR="00DF55B8" w:rsidRPr="00ED4D93">
        <w:rPr>
          <w:rFonts w:ascii="Times New Roman" w:hAnsi="Times New Roman"/>
          <w:bCs/>
          <w:sz w:val="24"/>
        </w:rPr>
        <w:t xml:space="preserve">what was outstanding was to </w:t>
      </w:r>
      <w:r w:rsidR="00EC0C86" w:rsidRPr="00ED4D93">
        <w:rPr>
          <w:rFonts w:ascii="Times New Roman" w:hAnsi="Times New Roman"/>
          <w:bCs/>
          <w:sz w:val="24"/>
        </w:rPr>
        <w:t>apply section</w:t>
      </w:r>
      <w:r w:rsidR="00DF55B8" w:rsidRPr="00ED4D93">
        <w:rPr>
          <w:rFonts w:ascii="Times New Roman" w:hAnsi="Times New Roman"/>
          <w:bCs/>
          <w:sz w:val="24"/>
        </w:rPr>
        <w:t xml:space="preserve"> 3</w:t>
      </w:r>
      <w:r w:rsidR="00EC0C86" w:rsidRPr="00ED4D93">
        <w:rPr>
          <w:rFonts w:ascii="Times New Roman" w:hAnsi="Times New Roman"/>
          <w:bCs/>
          <w:sz w:val="24"/>
        </w:rPr>
        <w:t xml:space="preserve"> of</w:t>
      </w:r>
      <w:r w:rsidR="00DF55B8" w:rsidRPr="00ED4D93">
        <w:rPr>
          <w:rFonts w:ascii="Times New Roman" w:hAnsi="Times New Roman"/>
          <w:bCs/>
          <w:sz w:val="24"/>
        </w:rPr>
        <w:t xml:space="preserve"> </w:t>
      </w:r>
      <w:r w:rsidR="00187058" w:rsidRPr="00ED4D93">
        <w:rPr>
          <w:rFonts w:ascii="Times New Roman" w:hAnsi="Times New Roman"/>
          <w:bCs/>
          <w:sz w:val="24"/>
        </w:rPr>
        <w:t>the</w:t>
      </w:r>
      <w:r w:rsidR="00DF55B8" w:rsidRPr="00ED4D93">
        <w:rPr>
          <w:rFonts w:ascii="Times New Roman" w:hAnsi="Times New Roman"/>
          <w:bCs/>
          <w:sz w:val="24"/>
        </w:rPr>
        <w:t xml:space="preserve"> MPA. </w:t>
      </w:r>
      <w:r w:rsidR="002B1058" w:rsidRPr="00ED4D93">
        <w:rPr>
          <w:rFonts w:ascii="Times New Roman" w:hAnsi="Times New Roman"/>
          <w:bCs/>
          <w:sz w:val="24"/>
        </w:rPr>
        <w:t xml:space="preserve">As set out above the calculation by Mr Getz had taken into account that the value of the shares is R3 300 000.00 in his calculation of the accrual and amount due to the respondent and as such there was no need for the court a quo to embark on </w:t>
      </w:r>
      <w:r w:rsidR="00187058" w:rsidRPr="00ED4D93">
        <w:rPr>
          <w:rFonts w:ascii="Times New Roman" w:hAnsi="Times New Roman"/>
          <w:bCs/>
          <w:sz w:val="24"/>
        </w:rPr>
        <w:t xml:space="preserve">a </w:t>
      </w:r>
      <w:r w:rsidR="002B1058" w:rsidRPr="00ED4D93">
        <w:rPr>
          <w:rFonts w:ascii="Times New Roman" w:hAnsi="Times New Roman"/>
          <w:bCs/>
          <w:sz w:val="24"/>
        </w:rPr>
        <w:t>further calculation</w:t>
      </w:r>
      <w:r w:rsidR="00DF55B8" w:rsidRPr="00ED4D93">
        <w:rPr>
          <w:rFonts w:ascii="Times New Roman" w:hAnsi="Times New Roman"/>
          <w:bCs/>
          <w:sz w:val="24"/>
        </w:rPr>
        <w:t xml:space="preserve">. </w:t>
      </w:r>
    </w:p>
    <w:p w14:paraId="43CDF64A" w14:textId="77777777" w:rsidR="00DF55B8" w:rsidRPr="00DF55B8" w:rsidRDefault="00DF55B8" w:rsidP="00DF55B8">
      <w:pPr>
        <w:pStyle w:val="ListParagraph"/>
        <w:rPr>
          <w:rFonts w:ascii="Times New Roman" w:hAnsi="Times New Roman"/>
          <w:bCs/>
          <w:sz w:val="24"/>
        </w:rPr>
      </w:pPr>
    </w:p>
    <w:p w14:paraId="6D25A894" w14:textId="387C9B27" w:rsidR="00913CF4" w:rsidRPr="00ED4D93" w:rsidRDefault="00ED4D93" w:rsidP="00ED4D93">
      <w:pPr>
        <w:spacing w:line="480" w:lineRule="auto"/>
        <w:rPr>
          <w:rFonts w:ascii="Times New Roman" w:hAnsi="Times New Roman"/>
          <w:bCs/>
          <w:sz w:val="24"/>
        </w:rPr>
      </w:pPr>
      <w:r>
        <w:rPr>
          <w:rFonts w:ascii="Times New Roman" w:hAnsi="Times New Roman"/>
          <w:bCs/>
          <w:sz w:val="24"/>
        </w:rPr>
        <w:t>[48]</w:t>
      </w:r>
      <w:r>
        <w:rPr>
          <w:rFonts w:ascii="Times New Roman" w:hAnsi="Times New Roman"/>
          <w:bCs/>
          <w:sz w:val="24"/>
        </w:rPr>
        <w:tab/>
      </w:r>
      <w:r w:rsidR="00DF55B8" w:rsidRPr="00ED4D93">
        <w:rPr>
          <w:rFonts w:ascii="Times New Roman" w:hAnsi="Times New Roman"/>
          <w:bCs/>
          <w:sz w:val="24"/>
        </w:rPr>
        <w:t xml:space="preserve">This rectification does not take away the substance of the judgment as the amounts are derived </w:t>
      </w:r>
      <w:r w:rsidR="002B1058" w:rsidRPr="00ED4D93">
        <w:rPr>
          <w:rFonts w:ascii="Times New Roman" w:hAnsi="Times New Roman"/>
          <w:bCs/>
          <w:sz w:val="24"/>
        </w:rPr>
        <w:t xml:space="preserve">from the evidence and </w:t>
      </w:r>
      <w:r w:rsidR="00187058" w:rsidRPr="00ED4D93">
        <w:rPr>
          <w:rFonts w:ascii="Times New Roman" w:hAnsi="Times New Roman"/>
          <w:bCs/>
          <w:sz w:val="24"/>
        </w:rPr>
        <w:t xml:space="preserve">the </w:t>
      </w:r>
      <w:r w:rsidR="002B1058" w:rsidRPr="00ED4D93">
        <w:rPr>
          <w:rFonts w:ascii="Times New Roman" w:hAnsi="Times New Roman"/>
          <w:bCs/>
          <w:sz w:val="24"/>
        </w:rPr>
        <w:t>record before the court,</w:t>
      </w:r>
      <w:r w:rsidR="00DF55B8" w:rsidRPr="00ED4D93">
        <w:rPr>
          <w:rFonts w:ascii="Times New Roman" w:hAnsi="Times New Roman"/>
          <w:bCs/>
          <w:sz w:val="24"/>
        </w:rPr>
        <w:t xml:space="preserve"> bearing in mind as stated </w:t>
      </w:r>
      <w:r w:rsidR="00DF55B8" w:rsidRPr="00ED4D93">
        <w:rPr>
          <w:rFonts w:ascii="Times New Roman" w:hAnsi="Times New Roman"/>
          <w:bCs/>
          <w:sz w:val="24"/>
        </w:rPr>
        <w:lastRenderedPageBreak/>
        <w:t xml:space="preserve">in </w:t>
      </w:r>
      <w:r w:rsidR="00DF55B8" w:rsidRPr="00ED4D93">
        <w:rPr>
          <w:rFonts w:ascii="Times New Roman" w:hAnsi="Times New Roman"/>
          <w:bCs/>
          <w:i/>
          <w:iCs/>
          <w:sz w:val="24"/>
        </w:rPr>
        <w:t>W</w:t>
      </w:r>
      <w:r w:rsidR="002432EB" w:rsidRPr="00ED4D93">
        <w:rPr>
          <w:rFonts w:ascii="Times New Roman" w:hAnsi="Times New Roman"/>
          <w:bCs/>
          <w:i/>
          <w:iCs/>
          <w:sz w:val="24"/>
        </w:rPr>
        <w:t xml:space="preserve">est Rand </w:t>
      </w:r>
      <w:r w:rsidR="00DF55B8" w:rsidRPr="00ED4D93">
        <w:rPr>
          <w:rFonts w:ascii="Times New Roman" w:hAnsi="Times New Roman"/>
          <w:bCs/>
          <w:i/>
          <w:iCs/>
          <w:sz w:val="24"/>
        </w:rPr>
        <w:t>Estate case</w:t>
      </w:r>
      <w:r w:rsidR="00DF55B8">
        <w:rPr>
          <w:rStyle w:val="FootnoteReference"/>
          <w:rFonts w:ascii="Times New Roman" w:hAnsi="Times New Roman"/>
          <w:bCs/>
          <w:i/>
          <w:iCs/>
          <w:sz w:val="24"/>
        </w:rPr>
        <w:footnoteReference w:id="36"/>
      </w:r>
      <w:r w:rsidR="00DF55B8" w:rsidRPr="00ED4D93">
        <w:rPr>
          <w:rFonts w:ascii="Times New Roman" w:hAnsi="Times New Roman"/>
          <w:bCs/>
          <w:sz w:val="24"/>
        </w:rPr>
        <w:t xml:space="preserve"> </w:t>
      </w:r>
      <w:r w:rsidR="00187058" w:rsidRPr="00ED4D93">
        <w:rPr>
          <w:rFonts w:ascii="Times New Roman" w:hAnsi="Times New Roman"/>
          <w:bCs/>
          <w:sz w:val="24"/>
        </w:rPr>
        <w:t xml:space="preserve">that the </w:t>
      </w:r>
      <w:r w:rsidR="00DF55B8" w:rsidRPr="00ED4D93">
        <w:rPr>
          <w:rFonts w:ascii="Times New Roman" w:hAnsi="Times New Roman"/>
          <w:bCs/>
          <w:sz w:val="24"/>
        </w:rPr>
        <w:t xml:space="preserve">addition of interest </w:t>
      </w:r>
      <w:r w:rsidR="00187058" w:rsidRPr="00ED4D93">
        <w:rPr>
          <w:rFonts w:ascii="Times New Roman" w:hAnsi="Times New Roman"/>
          <w:bCs/>
          <w:sz w:val="24"/>
        </w:rPr>
        <w:t xml:space="preserve">erroneously omitted could be added </w:t>
      </w:r>
      <w:r w:rsidR="00DF55B8" w:rsidRPr="00ED4D93">
        <w:rPr>
          <w:rFonts w:ascii="Times New Roman" w:hAnsi="Times New Roman"/>
          <w:bCs/>
          <w:sz w:val="24"/>
        </w:rPr>
        <w:t xml:space="preserve">d in terms of rule 42(1). </w:t>
      </w:r>
      <w:r w:rsidR="002432EB" w:rsidRPr="00ED4D93">
        <w:rPr>
          <w:rFonts w:ascii="Times New Roman" w:hAnsi="Times New Roman"/>
          <w:bCs/>
          <w:sz w:val="24"/>
        </w:rPr>
        <w:t xml:space="preserve">As such in this case the value of the remainder of the parties’ assets as captured in Mr Getz’s report was left out. </w:t>
      </w:r>
      <w:r w:rsidR="00DF55B8" w:rsidRPr="00ED4D93">
        <w:rPr>
          <w:rFonts w:ascii="Times New Roman" w:hAnsi="Times New Roman"/>
          <w:bCs/>
          <w:sz w:val="24"/>
        </w:rPr>
        <w:t xml:space="preserve">This was </w:t>
      </w:r>
      <w:r w:rsidR="00913CF4" w:rsidRPr="00ED4D93">
        <w:rPr>
          <w:rFonts w:ascii="Times New Roman" w:hAnsi="Times New Roman"/>
          <w:bCs/>
          <w:sz w:val="24"/>
        </w:rPr>
        <w:t xml:space="preserve">not </w:t>
      </w:r>
      <w:r w:rsidR="00DF55B8" w:rsidRPr="00ED4D93">
        <w:rPr>
          <w:rFonts w:ascii="Times New Roman" w:hAnsi="Times New Roman"/>
          <w:bCs/>
          <w:sz w:val="24"/>
        </w:rPr>
        <w:t>adding extrinsic evidence to contradict, vary</w:t>
      </w:r>
      <w:r w:rsidR="00187058" w:rsidRPr="00ED4D93">
        <w:rPr>
          <w:rFonts w:ascii="Times New Roman" w:hAnsi="Times New Roman"/>
          <w:bCs/>
          <w:sz w:val="24"/>
        </w:rPr>
        <w:t xml:space="preserve"> or</w:t>
      </w:r>
      <w:r w:rsidR="00DF55B8" w:rsidRPr="00ED4D93">
        <w:rPr>
          <w:rFonts w:ascii="Times New Roman" w:hAnsi="Times New Roman"/>
          <w:bCs/>
          <w:sz w:val="24"/>
        </w:rPr>
        <w:t xml:space="preserve"> qualify the judgment. If it was extrinsic evidence the appellant referred to </w:t>
      </w:r>
      <w:r w:rsidR="00DF55B8" w:rsidRPr="00ED4D93">
        <w:rPr>
          <w:rFonts w:ascii="Times New Roman" w:hAnsi="Times New Roman"/>
          <w:bCs/>
          <w:i/>
          <w:iCs/>
          <w:sz w:val="24"/>
        </w:rPr>
        <w:t>MEC v Nquthu Municipality</w:t>
      </w:r>
      <w:r w:rsidR="00913CF4">
        <w:rPr>
          <w:rStyle w:val="FootnoteReference"/>
          <w:rFonts w:ascii="Times New Roman" w:hAnsi="Times New Roman"/>
          <w:bCs/>
          <w:i/>
          <w:iCs/>
          <w:sz w:val="24"/>
        </w:rPr>
        <w:footnoteReference w:id="37"/>
      </w:r>
      <w:r w:rsidR="00DF55B8" w:rsidRPr="00ED4D93">
        <w:rPr>
          <w:rFonts w:ascii="Times New Roman" w:hAnsi="Times New Roman"/>
          <w:bCs/>
          <w:sz w:val="24"/>
        </w:rPr>
        <w:t xml:space="preserve"> where it was held that if there is any uncertainty then extrinsic circumstances leading up to the court’s granting an order may be investigat</w:t>
      </w:r>
      <w:r w:rsidR="00187058" w:rsidRPr="00ED4D93">
        <w:rPr>
          <w:rFonts w:ascii="Times New Roman" w:hAnsi="Times New Roman"/>
          <w:bCs/>
          <w:sz w:val="24"/>
        </w:rPr>
        <w:t>ed</w:t>
      </w:r>
      <w:r w:rsidR="00DF55B8" w:rsidRPr="00ED4D93">
        <w:rPr>
          <w:rFonts w:ascii="Times New Roman" w:hAnsi="Times New Roman"/>
          <w:bCs/>
          <w:sz w:val="24"/>
        </w:rPr>
        <w:t xml:space="preserve"> and regarded in order to clarify it.</w:t>
      </w:r>
      <w:r w:rsidR="00DF55B8">
        <w:rPr>
          <w:rStyle w:val="FootnoteReference"/>
          <w:rFonts w:ascii="Times New Roman" w:hAnsi="Times New Roman"/>
          <w:bCs/>
          <w:sz w:val="24"/>
        </w:rPr>
        <w:footnoteReference w:id="38"/>
      </w:r>
      <w:r w:rsidR="0071167F" w:rsidRPr="00ED4D93">
        <w:rPr>
          <w:rFonts w:ascii="Times New Roman" w:hAnsi="Times New Roman"/>
          <w:bCs/>
          <w:sz w:val="24"/>
        </w:rPr>
        <w:t xml:space="preserve"> </w:t>
      </w:r>
    </w:p>
    <w:p w14:paraId="58C12B07" w14:textId="77777777" w:rsidR="00913CF4" w:rsidRPr="00913CF4" w:rsidRDefault="00913CF4" w:rsidP="00913CF4">
      <w:pPr>
        <w:pStyle w:val="ListParagraph"/>
        <w:rPr>
          <w:rFonts w:ascii="Times New Roman" w:hAnsi="Times New Roman"/>
          <w:bCs/>
          <w:sz w:val="24"/>
        </w:rPr>
      </w:pPr>
    </w:p>
    <w:p w14:paraId="3B2FFCE4" w14:textId="1A332F6F" w:rsidR="00DF55B8" w:rsidRPr="00ED4D93" w:rsidRDefault="00ED4D93" w:rsidP="00ED4D93">
      <w:pPr>
        <w:spacing w:line="480" w:lineRule="auto"/>
        <w:rPr>
          <w:rFonts w:ascii="Times New Roman" w:hAnsi="Times New Roman"/>
          <w:bCs/>
          <w:sz w:val="24"/>
        </w:rPr>
      </w:pPr>
      <w:r w:rsidRPr="0004202F">
        <w:rPr>
          <w:rFonts w:ascii="Times New Roman" w:hAnsi="Times New Roman"/>
          <w:bCs/>
          <w:sz w:val="24"/>
        </w:rPr>
        <w:t>[49]</w:t>
      </w:r>
      <w:r w:rsidRPr="0004202F">
        <w:rPr>
          <w:rFonts w:ascii="Times New Roman" w:hAnsi="Times New Roman"/>
          <w:bCs/>
          <w:sz w:val="24"/>
        </w:rPr>
        <w:tab/>
      </w:r>
      <w:r w:rsidR="0071167F" w:rsidRPr="00ED4D93">
        <w:rPr>
          <w:rFonts w:ascii="Times New Roman" w:hAnsi="Times New Roman"/>
          <w:bCs/>
          <w:sz w:val="24"/>
        </w:rPr>
        <w:t xml:space="preserve">The variation could also be considered as the court </w:t>
      </w:r>
      <w:r w:rsidR="0071167F" w:rsidRPr="00ED4D93">
        <w:rPr>
          <w:rFonts w:ascii="Times New Roman" w:hAnsi="Times New Roman"/>
          <w:bCs/>
          <w:i/>
          <w:iCs/>
          <w:sz w:val="24"/>
        </w:rPr>
        <w:t>‘… merely doing justice between the same parties</w:t>
      </w:r>
      <w:r w:rsidR="0071167F" w:rsidRPr="00ED4D93">
        <w:rPr>
          <w:rFonts w:ascii="Times New Roman" w:hAnsi="Times New Roman"/>
          <w:bCs/>
          <w:sz w:val="24"/>
        </w:rPr>
        <w:t>’.</w:t>
      </w:r>
      <w:r w:rsidR="0071167F">
        <w:rPr>
          <w:rStyle w:val="FootnoteReference"/>
          <w:rFonts w:ascii="Times New Roman" w:hAnsi="Times New Roman"/>
          <w:bCs/>
          <w:sz w:val="24"/>
        </w:rPr>
        <w:footnoteReference w:id="39"/>
      </w:r>
      <w:r w:rsidR="0071167F" w:rsidRPr="00ED4D93">
        <w:rPr>
          <w:rFonts w:ascii="Times New Roman" w:hAnsi="Times New Roman"/>
          <w:bCs/>
          <w:sz w:val="24"/>
        </w:rPr>
        <w:t xml:space="preserve"> alternatively that it was in the interest</w:t>
      </w:r>
      <w:r w:rsidR="00187058" w:rsidRPr="00ED4D93">
        <w:rPr>
          <w:rFonts w:ascii="Times New Roman" w:hAnsi="Times New Roman"/>
          <w:bCs/>
          <w:sz w:val="24"/>
        </w:rPr>
        <w:t>s</w:t>
      </w:r>
      <w:r w:rsidR="0071167F" w:rsidRPr="00ED4D93">
        <w:rPr>
          <w:rFonts w:ascii="Times New Roman" w:hAnsi="Times New Roman"/>
          <w:bCs/>
          <w:sz w:val="24"/>
        </w:rPr>
        <w:t xml:space="preserve"> of justice</w:t>
      </w:r>
      <w:r w:rsidR="0004202F" w:rsidRPr="00ED4D93">
        <w:rPr>
          <w:rFonts w:ascii="Times New Roman" w:hAnsi="Times New Roman"/>
          <w:bCs/>
          <w:sz w:val="24"/>
        </w:rPr>
        <w:t>.</w:t>
      </w:r>
      <w:r w:rsidR="0004202F">
        <w:rPr>
          <w:rStyle w:val="FootnoteReference"/>
          <w:rFonts w:ascii="Times New Roman" w:hAnsi="Times New Roman"/>
          <w:bCs/>
          <w:sz w:val="24"/>
        </w:rPr>
        <w:footnoteReference w:id="40"/>
      </w:r>
      <w:r w:rsidR="0071167F" w:rsidRPr="00ED4D93">
        <w:rPr>
          <w:rFonts w:ascii="Times New Roman" w:hAnsi="Times New Roman"/>
          <w:bCs/>
          <w:sz w:val="24"/>
        </w:rPr>
        <w:t xml:space="preserve"> </w:t>
      </w:r>
      <w:r w:rsidR="00DF55B8" w:rsidRPr="00ED4D93">
        <w:rPr>
          <w:rFonts w:ascii="Times New Roman" w:hAnsi="Times New Roman"/>
          <w:bCs/>
          <w:sz w:val="24"/>
        </w:rPr>
        <w:t xml:space="preserve">  </w:t>
      </w:r>
      <w:r w:rsidR="00AF1704" w:rsidRPr="00ED4D93">
        <w:rPr>
          <w:rFonts w:ascii="Times New Roman" w:hAnsi="Times New Roman"/>
          <w:bCs/>
          <w:sz w:val="24"/>
        </w:rPr>
        <w:t xml:space="preserve">  </w:t>
      </w:r>
    </w:p>
    <w:p w14:paraId="7FAC45A4" w14:textId="7E8DF5D7" w:rsidR="00BF4EE9" w:rsidRDefault="00BF4EE9" w:rsidP="002F1DD7">
      <w:pPr>
        <w:pStyle w:val="ListParagraph"/>
        <w:spacing w:line="480" w:lineRule="auto"/>
        <w:ind w:left="0"/>
        <w:contextualSpacing w:val="0"/>
        <w:rPr>
          <w:rFonts w:ascii="Times New Roman" w:hAnsi="Times New Roman"/>
          <w:bCs/>
          <w:sz w:val="24"/>
        </w:rPr>
      </w:pPr>
    </w:p>
    <w:p w14:paraId="5A65884D" w14:textId="4A05A17B" w:rsidR="00F167FE" w:rsidRPr="00ED4D93" w:rsidRDefault="00ED4D93" w:rsidP="00ED4D93">
      <w:pPr>
        <w:spacing w:line="480" w:lineRule="auto"/>
        <w:rPr>
          <w:rFonts w:ascii="Times New Roman" w:hAnsi="Times New Roman"/>
          <w:bCs/>
          <w:sz w:val="24"/>
        </w:rPr>
      </w:pPr>
      <w:r>
        <w:rPr>
          <w:rFonts w:ascii="Times New Roman" w:hAnsi="Times New Roman"/>
          <w:bCs/>
          <w:sz w:val="24"/>
        </w:rPr>
        <w:t>[50]</w:t>
      </w:r>
      <w:r>
        <w:rPr>
          <w:rFonts w:ascii="Times New Roman" w:hAnsi="Times New Roman"/>
          <w:bCs/>
          <w:sz w:val="24"/>
        </w:rPr>
        <w:tab/>
      </w:r>
      <w:r w:rsidR="003B0591" w:rsidRPr="00ED4D93">
        <w:rPr>
          <w:rFonts w:ascii="Times New Roman" w:hAnsi="Times New Roman"/>
          <w:bCs/>
          <w:sz w:val="24"/>
        </w:rPr>
        <w:t xml:space="preserve">Based on the aforegoing it follows that the court </w:t>
      </w:r>
      <w:r w:rsidR="003B0591" w:rsidRPr="00ED4D93">
        <w:rPr>
          <w:rFonts w:ascii="Times New Roman" w:hAnsi="Times New Roman"/>
          <w:bCs/>
          <w:i/>
          <w:iCs/>
          <w:sz w:val="24"/>
        </w:rPr>
        <w:t>a quo</w:t>
      </w:r>
      <w:r w:rsidR="003B0591" w:rsidRPr="00ED4D93">
        <w:rPr>
          <w:rFonts w:ascii="Times New Roman" w:hAnsi="Times New Roman"/>
          <w:bCs/>
          <w:sz w:val="24"/>
        </w:rPr>
        <w:t xml:space="preserve"> did not err in its adjudication of the application in terms of rule 42(</w:t>
      </w:r>
      <w:r w:rsidR="00B1599B" w:rsidRPr="00ED4D93">
        <w:rPr>
          <w:rFonts w:ascii="Times New Roman" w:hAnsi="Times New Roman"/>
          <w:bCs/>
          <w:sz w:val="24"/>
        </w:rPr>
        <w:t>1</w:t>
      </w:r>
      <w:r w:rsidR="003B0591" w:rsidRPr="00ED4D93">
        <w:rPr>
          <w:rFonts w:ascii="Times New Roman" w:hAnsi="Times New Roman"/>
          <w:bCs/>
          <w:sz w:val="24"/>
        </w:rPr>
        <w:t>)(</w:t>
      </w:r>
      <w:r w:rsidR="00B1599B" w:rsidRPr="00ED4D93">
        <w:rPr>
          <w:rFonts w:ascii="Times New Roman" w:hAnsi="Times New Roman"/>
          <w:bCs/>
          <w:sz w:val="24"/>
        </w:rPr>
        <w:t>b</w:t>
      </w:r>
      <w:r w:rsidR="003B0591" w:rsidRPr="00ED4D93">
        <w:rPr>
          <w:rFonts w:ascii="Times New Roman" w:hAnsi="Times New Roman"/>
          <w:bCs/>
          <w:sz w:val="24"/>
        </w:rPr>
        <w:t xml:space="preserve">). It is trite that the appeal court may interfere with the judgment of the court a quo where it has been demonstrated that the court </w:t>
      </w:r>
      <w:r w:rsidR="003B0591" w:rsidRPr="00ED4D93">
        <w:rPr>
          <w:rFonts w:ascii="Times New Roman" w:hAnsi="Times New Roman"/>
          <w:bCs/>
          <w:i/>
          <w:iCs/>
          <w:sz w:val="24"/>
        </w:rPr>
        <w:t xml:space="preserve">a quo </w:t>
      </w:r>
      <w:r w:rsidR="003B0591" w:rsidRPr="00ED4D93">
        <w:rPr>
          <w:rFonts w:ascii="Times New Roman" w:hAnsi="Times New Roman"/>
          <w:bCs/>
          <w:sz w:val="24"/>
        </w:rPr>
        <w:t xml:space="preserve">has misdirected itself in coming to a conclusion as it did. In the premises I am not persuaded that the court </w:t>
      </w:r>
      <w:r w:rsidR="003B0591" w:rsidRPr="00ED4D93">
        <w:rPr>
          <w:rFonts w:ascii="Times New Roman" w:hAnsi="Times New Roman"/>
          <w:bCs/>
          <w:i/>
          <w:iCs/>
          <w:sz w:val="24"/>
        </w:rPr>
        <w:t>a quo</w:t>
      </w:r>
      <w:r w:rsidR="003B0591" w:rsidRPr="00ED4D93">
        <w:rPr>
          <w:rFonts w:ascii="Times New Roman" w:hAnsi="Times New Roman"/>
          <w:bCs/>
          <w:sz w:val="24"/>
        </w:rPr>
        <w:t xml:space="preserve"> misdirected itself and therefore fi</w:t>
      </w:r>
      <w:r w:rsidR="00A33F2D" w:rsidRPr="00ED4D93">
        <w:rPr>
          <w:rFonts w:ascii="Times New Roman" w:hAnsi="Times New Roman"/>
          <w:bCs/>
          <w:sz w:val="24"/>
        </w:rPr>
        <w:t>n</w:t>
      </w:r>
      <w:r w:rsidR="003B0591" w:rsidRPr="00ED4D93">
        <w:rPr>
          <w:rFonts w:ascii="Times New Roman" w:hAnsi="Times New Roman"/>
          <w:bCs/>
          <w:sz w:val="24"/>
        </w:rPr>
        <w:t>d the appeal to be meritless.</w:t>
      </w:r>
    </w:p>
    <w:p w14:paraId="2A3D75E7" w14:textId="77777777" w:rsidR="003B0591" w:rsidRPr="00A33F2D" w:rsidRDefault="003B0591" w:rsidP="00A33F2D">
      <w:pPr>
        <w:rPr>
          <w:rFonts w:ascii="Times New Roman" w:hAnsi="Times New Roman"/>
          <w:bCs/>
          <w:sz w:val="24"/>
        </w:rPr>
      </w:pPr>
    </w:p>
    <w:p w14:paraId="4C63C305" w14:textId="63AE2C0A" w:rsidR="003B0591" w:rsidRPr="00ED4D93" w:rsidRDefault="00ED4D93" w:rsidP="00ED4D93">
      <w:pPr>
        <w:spacing w:after="200" w:line="480" w:lineRule="auto"/>
        <w:rPr>
          <w:rFonts w:ascii="Times New Roman" w:hAnsi="Times New Roman"/>
          <w:bCs/>
          <w:sz w:val="24"/>
        </w:rPr>
      </w:pPr>
      <w:r>
        <w:rPr>
          <w:rFonts w:ascii="Times New Roman" w:hAnsi="Times New Roman"/>
          <w:bCs/>
          <w:sz w:val="24"/>
        </w:rPr>
        <w:t>[51]</w:t>
      </w:r>
      <w:r>
        <w:rPr>
          <w:rFonts w:ascii="Times New Roman" w:hAnsi="Times New Roman"/>
          <w:bCs/>
          <w:sz w:val="24"/>
        </w:rPr>
        <w:tab/>
      </w:r>
      <w:r w:rsidR="003B0591" w:rsidRPr="00ED4D93">
        <w:rPr>
          <w:rFonts w:ascii="Times New Roman" w:hAnsi="Times New Roman"/>
          <w:bCs/>
          <w:sz w:val="24"/>
        </w:rPr>
        <w:t>In the premises I make the following order</w:t>
      </w:r>
    </w:p>
    <w:p w14:paraId="568E1DE0" w14:textId="6FBA9D08" w:rsidR="003B0591" w:rsidRPr="002151A9" w:rsidRDefault="003B0591" w:rsidP="002151A9">
      <w:pPr>
        <w:pStyle w:val="ListParagraph"/>
        <w:ind w:left="0" w:firstLine="720"/>
        <w:contextualSpacing w:val="0"/>
        <w:rPr>
          <w:rFonts w:ascii="Times New Roman" w:hAnsi="Times New Roman"/>
          <w:bCs/>
          <w:i/>
          <w:iCs/>
          <w:sz w:val="24"/>
        </w:rPr>
      </w:pPr>
      <w:r w:rsidRPr="003B0591">
        <w:rPr>
          <w:rFonts w:ascii="Times New Roman" w:hAnsi="Times New Roman"/>
          <w:bCs/>
          <w:i/>
          <w:iCs/>
          <w:sz w:val="24"/>
        </w:rPr>
        <w:t>The appeal is dismissed with costs</w:t>
      </w:r>
      <w:r w:rsidR="007C44D4" w:rsidRPr="002151A9">
        <w:rPr>
          <w:rFonts w:ascii="Times New Roman" w:hAnsi="Times New Roman"/>
          <w:bCs/>
          <w:i/>
          <w:iCs/>
          <w:sz w:val="24"/>
        </w:rPr>
        <w:t>.</w:t>
      </w:r>
    </w:p>
    <w:p w14:paraId="4321F0F2" w14:textId="071B6280" w:rsidR="00336B84" w:rsidRPr="00D77FB1" w:rsidRDefault="00336B84" w:rsidP="00336B84">
      <w:pPr>
        <w:pStyle w:val="ListParagraph"/>
        <w:spacing w:after="480" w:line="480" w:lineRule="auto"/>
        <w:ind w:left="1080"/>
        <w:contextualSpacing w:val="0"/>
        <w:rPr>
          <w:rFonts w:ascii="Times New Roman" w:hAnsi="Times New Roman"/>
          <w:bCs/>
          <w:i/>
          <w:iCs/>
          <w:sz w:val="24"/>
        </w:rPr>
      </w:pPr>
    </w:p>
    <w:p w14:paraId="082558D9" w14:textId="77777777" w:rsidR="00336B84" w:rsidRPr="004409A1" w:rsidRDefault="00336B84" w:rsidP="00336B84">
      <w:pPr>
        <w:pStyle w:val="ListParagraph"/>
        <w:keepNext/>
        <w:tabs>
          <w:tab w:val="right" w:pos="0"/>
        </w:tabs>
        <w:ind w:left="0"/>
        <w:jc w:val="right"/>
        <w:rPr>
          <w:rFonts w:ascii="Times New Roman" w:hAnsi="Times New Roman"/>
          <w:sz w:val="24"/>
        </w:rPr>
      </w:pPr>
      <w:r w:rsidRPr="004409A1">
        <w:rPr>
          <w:rFonts w:ascii="Times New Roman" w:hAnsi="Times New Roman"/>
          <w:sz w:val="24"/>
        </w:rPr>
        <w:t>_____________</w:t>
      </w:r>
    </w:p>
    <w:p w14:paraId="1BCE23A6" w14:textId="2F41DEFE" w:rsidR="00336B84" w:rsidRPr="005E7535" w:rsidRDefault="002E7CD2" w:rsidP="00336B84">
      <w:pPr>
        <w:pStyle w:val="ListParagraph"/>
        <w:tabs>
          <w:tab w:val="right" w:pos="0"/>
        </w:tabs>
        <w:ind w:left="0"/>
        <w:jc w:val="right"/>
        <w:rPr>
          <w:rFonts w:ascii="Times New Roman" w:hAnsi="Times New Roman"/>
          <w:bCs/>
          <w:sz w:val="24"/>
        </w:rPr>
      </w:pPr>
      <w:r>
        <w:rPr>
          <w:rFonts w:ascii="Times New Roman" w:hAnsi="Times New Roman"/>
          <w:bCs/>
          <w:sz w:val="24"/>
        </w:rPr>
        <w:t xml:space="preserve">Mokate Victor </w:t>
      </w:r>
      <w:r w:rsidR="00336B84" w:rsidRPr="005E7535">
        <w:rPr>
          <w:rFonts w:ascii="Times New Roman" w:hAnsi="Times New Roman"/>
          <w:bCs/>
          <w:sz w:val="24"/>
        </w:rPr>
        <w:t xml:space="preserve">Noko </w:t>
      </w:r>
    </w:p>
    <w:p w14:paraId="4E3A4E3A" w14:textId="77777777" w:rsidR="00336B84" w:rsidRPr="005E7535" w:rsidRDefault="00336B84" w:rsidP="00336B84">
      <w:pPr>
        <w:pStyle w:val="ListParagraph"/>
        <w:tabs>
          <w:tab w:val="right" w:pos="0"/>
        </w:tabs>
        <w:ind w:left="0"/>
        <w:jc w:val="right"/>
        <w:rPr>
          <w:rFonts w:ascii="Times New Roman" w:hAnsi="Times New Roman"/>
          <w:bCs/>
          <w:sz w:val="24"/>
        </w:rPr>
      </w:pPr>
      <w:r w:rsidRPr="005E7535">
        <w:rPr>
          <w:rFonts w:ascii="Times New Roman" w:hAnsi="Times New Roman"/>
          <w:bCs/>
          <w:sz w:val="24"/>
        </w:rPr>
        <w:t xml:space="preserve">Judge </w:t>
      </w:r>
      <w:r>
        <w:rPr>
          <w:rFonts w:ascii="Times New Roman" w:hAnsi="Times New Roman"/>
          <w:bCs/>
          <w:sz w:val="24"/>
        </w:rPr>
        <w:t>o</w:t>
      </w:r>
      <w:r w:rsidRPr="005E7535">
        <w:rPr>
          <w:rFonts w:ascii="Times New Roman" w:hAnsi="Times New Roman"/>
          <w:bCs/>
          <w:sz w:val="24"/>
        </w:rPr>
        <w:t xml:space="preserve">f </w:t>
      </w:r>
      <w:r>
        <w:rPr>
          <w:rFonts w:ascii="Times New Roman" w:hAnsi="Times New Roman"/>
          <w:bCs/>
          <w:sz w:val="24"/>
        </w:rPr>
        <w:t>t</w:t>
      </w:r>
      <w:r w:rsidRPr="005E7535">
        <w:rPr>
          <w:rFonts w:ascii="Times New Roman" w:hAnsi="Times New Roman"/>
          <w:bCs/>
          <w:sz w:val="24"/>
        </w:rPr>
        <w:t xml:space="preserve">he High Court </w:t>
      </w:r>
    </w:p>
    <w:p w14:paraId="2DD7E661" w14:textId="77777777" w:rsidR="00336B84" w:rsidRDefault="00336B84" w:rsidP="00336B84">
      <w:pPr>
        <w:pStyle w:val="ListParagraph"/>
        <w:tabs>
          <w:tab w:val="right" w:pos="0"/>
          <w:tab w:val="left" w:pos="4253"/>
        </w:tabs>
        <w:ind w:left="0"/>
        <w:jc w:val="center"/>
        <w:rPr>
          <w:rFonts w:ascii="Times New Roman" w:hAnsi="Times New Roman"/>
          <w:b/>
          <w:sz w:val="24"/>
        </w:rPr>
      </w:pPr>
    </w:p>
    <w:p w14:paraId="4EADF2E0" w14:textId="7A1F5E1B" w:rsidR="00336B84" w:rsidRPr="004409A1" w:rsidRDefault="00336B84" w:rsidP="00336B84">
      <w:pPr>
        <w:pStyle w:val="ListParagraph"/>
        <w:spacing w:after="200"/>
        <w:ind w:left="0"/>
        <w:rPr>
          <w:rFonts w:ascii="Times New Roman" w:eastAsia="Arial Unicode MS" w:hAnsi="Times New Roman"/>
          <w:bCs/>
          <w:sz w:val="24"/>
        </w:rPr>
      </w:pPr>
      <w:r w:rsidRPr="004409A1">
        <w:rPr>
          <w:rFonts w:ascii="Times New Roman" w:eastAsia="Arial Unicode MS" w:hAnsi="Times New Roman"/>
          <w:bCs/>
          <w:sz w:val="24"/>
        </w:rPr>
        <w:t xml:space="preserve">This judgement was prepared and authored by </w:t>
      </w:r>
      <w:r>
        <w:rPr>
          <w:rFonts w:ascii="Times New Roman" w:eastAsia="Arial Unicode MS" w:hAnsi="Times New Roman"/>
          <w:bCs/>
          <w:sz w:val="24"/>
        </w:rPr>
        <w:t>Noko J</w:t>
      </w:r>
      <w:r w:rsidRPr="004409A1">
        <w:rPr>
          <w:rFonts w:ascii="Times New Roman" w:eastAsia="Arial Unicode MS" w:hAnsi="Times New Roman"/>
          <w:bCs/>
          <w:sz w:val="24"/>
        </w:rPr>
        <w:t xml:space="preserve"> and is handed down electronically by circulation to the Parties / their legal representatives by email and by uploading it to the electronic file of this matter on CaseLines. The date of the judgment is deemed to be</w:t>
      </w:r>
      <w:r>
        <w:rPr>
          <w:rFonts w:ascii="Times New Roman" w:eastAsia="Arial Unicode MS" w:hAnsi="Times New Roman"/>
          <w:bCs/>
          <w:sz w:val="24"/>
        </w:rPr>
        <w:t xml:space="preserve"> </w:t>
      </w:r>
      <w:r w:rsidR="00114ACE">
        <w:rPr>
          <w:rFonts w:ascii="Times New Roman" w:eastAsia="Arial Unicode MS" w:hAnsi="Times New Roman"/>
          <w:bCs/>
          <w:sz w:val="24"/>
        </w:rPr>
        <w:t>28 March 2024</w:t>
      </w:r>
      <w:r w:rsidRPr="004409A1">
        <w:rPr>
          <w:rFonts w:ascii="Times New Roman" w:eastAsia="Arial Unicode MS" w:hAnsi="Times New Roman"/>
          <w:b/>
          <w:sz w:val="24"/>
        </w:rPr>
        <w:t>.</w:t>
      </w:r>
    </w:p>
    <w:p w14:paraId="16A0142C" w14:textId="77777777" w:rsidR="00336B84" w:rsidRDefault="00336B84" w:rsidP="00336B84">
      <w:pPr>
        <w:pStyle w:val="ListParagraph"/>
        <w:tabs>
          <w:tab w:val="right" w:pos="8647"/>
        </w:tabs>
        <w:ind w:left="0"/>
        <w:rPr>
          <w:rFonts w:ascii="Times New Roman" w:hAnsi="Times New Roman"/>
          <w:sz w:val="24"/>
        </w:rPr>
      </w:pPr>
    </w:p>
    <w:p w14:paraId="2BA0A704" w14:textId="22DF8E80" w:rsidR="00336B84" w:rsidRDefault="00336B84" w:rsidP="00336B84">
      <w:pPr>
        <w:pStyle w:val="ListParagraph"/>
        <w:tabs>
          <w:tab w:val="right" w:pos="8647"/>
        </w:tabs>
        <w:ind w:left="0"/>
        <w:rPr>
          <w:rFonts w:ascii="Times New Roman" w:hAnsi="Times New Roman"/>
          <w:sz w:val="24"/>
        </w:rPr>
      </w:pPr>
      <w:r>
        <w:rPr>
          <w:rFonts w:ascii="Times New Roman" w:hAnsi="Times New Roman"/>
          <w:sz w:val="24"/>
        </w:rPr>
        <w:t>Date of hearing:</w:t>
      </w:r>
      <w:r>
        <w:rPr>
          <w:rFonts w:ascii="Times New Roman" w:hAnsi="Times New Roman"/>
          <w:sz w:val="24"/>
        </w:rPr>
        <w:tab/>
      </w:r>
      <w:r w:rsidR="007C44D4">
        <w:rPr>
          <w:rFonts w:ascii="Times New Roman" w:hAnsi="Times New Roman"/>
          <w:sz w:val="24"/>
        </w:rPr>
        <w:t xml:space="preserve">1 November </w:t>
      </w:r>
      <w:r>
        <w:rPr>
          <w:rFonts w:ascii="Times New Roman" w:hAnsi="Times New Roman"/>
          <w:sz w:val="24"/>
        </w:rPr>
        <w:t>2023</w:t>
      </w:r>
    </w:p>
    <w:p w14:paraId="4D342170" w14:textId="258BF957" w:rsidR="00336B84" w:rsidRDefault="00336B84" w:rsidP="00336B84">
      <w:pPr>
        <w:pStyle w:val="ListParagraph"/>
        <w:tabs>
          <w:tab w:val="right" w:pos="8647"/>
        </w:tabs>
        <w:ind w:left="0"/>
        <w:rPr>
          <w:rFonts w:ascii="Times New Roman" w:hAnsi="Times New Roman"/>
          <w:sz w:val="24"/>
        </w:rPr>
      </w:pPr>
      <w:r>
        <w:rPr>
          <w:rFonts w:ascii="Times New Roman" w:hAnsi="Times New Roman"/>
          <w:sz w:val="24"/>
        </w:rPr>
        <w:t>Date of judgment:</w:t>
      </w:r>
      <w:r>
        <w:rPr>
          <w:rFonts w:ascii="Times New Roman" w:hAnsi="Times New Roman"/>
          <w:sz w:val="24"/>
        </w:rPr>
        <w:tab/>
      </w:r>
      <w:r w:rsidR="000E2E25">
        <w:rPr>
          <w:rFonts w:ascii="Times New Roman" w:hAnsi="Times New Roman"/>
          <w:sz w:val="24"/>
        </w:rPr>
        <w:t xml:space="preserve">28 March </w:t>
      </w:r>
      <w:r>
        <w:rPr>
          <w:rFonts w:ascii="Times New Roman" w:hAnsi="Times New Roman"/>
          <w:sz w:val="24"/>
        </w:rPr>
        <w:t>2024</w:t>
      </w:r>
    </w:p>
    <w:p w14:paraId="6787EA1D" w14:textId="6182026E" w:rsidR="002E7CD2" w:rsidRDefault="002E7CD2" w:rsidP="00AE1953">
      <w:pPr>
        <w:pStyle w:val="ListParagraph"/>
        <w:tabs>
          <w:tab w:val="right" w:pos="0"/>
          <w:tab w:val="left" w:pos="4253"/>
        </w:tabs>
        <w:ind w:left="0"/>
        <w:rPr>
          <w:rFonts w:ascii="Times New Roman" w:hAnsi="Times New Roman"/>
          <w:i/>
          <w:iCs/>
          <w:sz w:val="24"/>
        </w:rPr>
      </w:pPr>
    </w:p>
    <w:p w14:paraId="1C45CFC5" w14:textId="0D1486E6" w:rsidR="00AE1953" w:rsidRPr="00F43A90" w:rsidRDefault="00AE1953" w:rsidP="00AE1953">
      <w:pPr>
        <w:pStyle w:val="ListParagraph"/>
        <w:tabs>
          <w:tab w:val="right" w:pos="0"/>
          <w:tab w:val="left" w:pos="4253"/>
        </w:tabs>
        <w:ind w:left="0"/>
        <w:rPr>
          <w:rFonts w:ascii="Times New Roman" w:hAnsi="Times New Roman"/>
          <w:i/>
          <w:iCs/>
          <w:sz w:val="24"/>
        </w:rPr>
      </w:pPr>
      <w:r w:rsidRPr="00F43A90">
        <w:rPr>
          <w:rFonts w:ascii="Times New Roman" w:hAnsi="Times New Roman"/>
          <w:i/>
          <w:iCs/>
          <w:sz w:val="24"/>
        </w:rPr>
        <w:t xml:space="preserve">Appearances </w:t>
      </w:r>
    </w:p>
    <w:p w14:paraId="79F61122" w14:textId="58677BDA" w:rsidR="00A441FD" w:rsidRDefault="00A441FD" w:rsidP="00AE1953">
      <w:pPr>
        <w:pStyle w:val="ListParagraph"/>
        <w:tabs>
          <w:tab w:val="right" w:pos="8647"/>
        </w:tabs>
        <w:ind w:left="0"/>
        <w:rPr>
          <w:rFonts w:ascii="Times New Roman" w:hAnsi="Times New Roman"/>
          <w:sz w:val="24"/>
        </w:rPr>
      </w:pPr>
    </w:p>
    <w:p w14:paraId="3D406E84" w14:textId="2CE4E03F" w:rsidR="00AE1953" w:rsidRDefault="00AE1953" w:rsidP="00AE1953">
      <w:pPr>
        <w:pStyle w:val="ListParagraph"/>
        <w:tabs>
          <w:tab w:val="right" w:pos="8647"/>
        </w:tabs>
        <w:ind w:left="0"/>
        <w:rPr>
          <w:rFonts w:ascii="Times New Roman" w:hAnsi="Times New Roman"/>
          <w:sz w:val="24"/>
        </w:rPr>
      </w:pPr>
      <w:r w:rsidRPr="00AB7752">
        <w:rPr>
          <w:rFonts w:ascii="Times New Roman" w:hAnsi="Times New Roman"/>
          <w:sz w:val="24"/>
        </w:rPr>
        <w:t>C</w:t>
      </w:r>
      <w:r>
        <w:rPr>
          <w:rFonts w:ascii="Times New Roman" w:hAnsi="Times New Roman"/>
          <w:sz w:val="24"/>
        </w:rPr>
        <w:t>ounsel for the App</w:t>
      </w:r>
      <w:r w:rsidR="003B0591">
        <w:rPr>
          <w:rFonts w:ascii="Times New Roman" w:hAnsi="Times New Roman"/>
          <w:sz w:val="24"/>
        </w:rPr>
        <w:t>ellant</w:t>
      </w:r>
      <w:r w:rsidRPr="00AB7752">
        <w:rPr>
          <w:rFonts w:ascii="Times New Roman" w:hAnsi="Times New Roman"/>
          <w:sz w:val="24"/>
        </w:rPr>
        <w:t xml:space="preserve">: </w:t>
      </w:r>
      <w:r w:rsidRPr="00AB7752">
        <w:rPr>
          <w:rFonts w:ascii="Times New Roman" w:hAnsi="Times New Roman"/>
          <w:sz w:val="24"/>
        </w:rPr>
        <w:tab/>
      </w:r>
      <w:r>
        <w:rPr>
          <w:rFonts w:ascii="Times New Roman" w:hAnsi="Times New Roman"/>
          <w:sz w:val="24"/>
        </w:rPr>
        <w:t>Adv</w:t>
      </w:r>
      <w:r w:rsidR="003B0591">
        <w:rPr>
          <w:rFonts w:ascii="Times New Roman" w:hAnsi="Times New Roman"/>
          <w:sz w:val="24"/>
        </w:rPr>
        <w:t xml:space="preserve"> O Morapedi</w:t>
      </w:r>
      <w:r>
        <w:rPr>
          <w:rFonts w:ascii="Times New Roman" w:hAnsi="Times New Roman"/>
          <w:sz w:val="24"/>
        </w:rPr>
        <w:t xml:space="preserve">. </w:t>
      </w:r>
    </w:p>
    <w:p w14:paraId="6BDC8F66" w14:textId="7E74CF4F" w:rsidR="00AE1953" w:rsidRDefault="00AE1953" w:rsidP="00AE1953">
      <w:pPr>
        <w:pStyle w:val="ListParagraph"/>
        <w:tabs>
          <w:tab w:val="right" w:pos="8551"/>
        </w:tabs>
        <w:ind w:left="0"/>
        <w:rPr>
          <w:rFonts w:ascii="Times New Roman" w:hAnsi="Times New Roman"/>
          <w:sz w:val="24"/>
        </w:rPr>
      </w:pPr>
      <w:r>
        <w:rPr>
          <w:rFonts w:ascii="Times New Roman" w:hAnsi="Times New Roman"/>
          <w:sz w:val="24"/>
        </w:rPr>
        <w:t>Attorneys for the App</w:t>
      </w:r>
      <w:r w:rsidR="003B0591">
        <w:rPr>
          <w:rFonts w:ascii="Times New Roman" w:hAnsi="Times New Roman"/>
          <w:sz w:val="24"/>
        </w:rPr>
        <w:t>ellant</w:t>
      </w:r>
      <w:r>
        <w:rPr>
          <w:rFonts w:ascii="Times New Roman" w:hAnsi="Times New Roman"/>
          <w:sz w:val="24"/>
        </w:rPr>
        <w:t xml:space="preserve">: </w:t>
      </w:r>
      <w:r>
        <w:rPr>
          <w:rFonts w:ascii="Times New Roman" w:hAnsi="Times New Roman"/>
          <w:sz w:val="24"/>
        </w:rPr>
        <w:tab/>
      </w:r>
      <w:r w:rsidR="00227485">
        <w:rPr>
          <w:rFonts w:ascii="Times New Roman" w:hAnsi="Times New Roman"/>
          <w:sz w:val="24"/>
        </w:rPr>
        <w:t>Roets &amp; Du Plessis Attorneys</w:t>
      </w:r>
    </w:p>
    <w:p w14:paraId="1B771523" w14:textId="1A8ECA61" w:rsidR="00227485" w:rsidRDefault="00227485" w:rsidP="00227485">
      <w:pPr>
        <w:pStyle w:val="ListParagraph"/>
        <w:tabs>
          <w:tab w:val="right" w:pos="8551"/>
        </w:tabs>
        <w:ind w:left="0"/>
        <w:jc w:val="right"/>
        <w:rPr>
          <w:rFonts w:ascii="Times New Roman" w:hAnsi="Times New Roman"/>
          <w:sz w:val="24"/>
        </w:rPr>
      </w:pPr>
      <w:r>
        <w:rPr>
          <w:rFonts w:ascii="Times New Roman" w:hAnsi="Times New Roman"/>
          <w:sz w:val="24"/>
        </w:rPr>
        <w:t>c/o Swanepoel Attorneys.</w:t>
      </w:r>
    </w:p>
    <w:p w14:paraId="077626E8" w14:textId="77777777" w:rsidR="00AE1953" w:rsidRDefault="00AE1953" w:rsidP="00AE1953">
      <w:pPr>
        <w:pStyle w:val="ListParagraph"/>
        <w:tabs>
          <w:tab w:val="right" w:pos="0"/>
          <w:tab w:val="right" w:pos="8647"/>
        </w:tabs>
        <w:ind w:left="0"/>
        <w:rPr>
          <w:rFonts w:ascii="Times New Roman" w:hAnsi="Times New Roman"/>
          <w:sz w:val="24"/>
        </w:rPr>
      </w:pPr>
    </w:p>
    <w:p w14:paraId="5ABF46A8" w14:textId="2EBC205A" w:rsidR="00AE1953" w:rsidRDefault="00AE1953" w:rsidP="00AE1953">
      <w:pPr>
        <w:pStyle w:val="ListParagraph"/>
        <w:tabs>
          <w:tab w:val="right" w:pos="0"/>
          <w:tab w:val="right" w:pos="8647"/>
        </w:tabs>
        <w:ind w:left="0"/>
        <w:rPr>
          <w:rFonts w:ascii="Times New Roman" w:hAnsi="Times New Roman"/>
          <w:sz w:val="24"/>
        </w:rPr>
      </w:pPr>
      <w:r>
        <w:rPr>
          <w:rFonts w:ascii="Times New Roman" w:hAnsi="Times New Roman"/>
          <w:sz w:val="24"/>
        </w:rPr>
        <w:t>Counsel for the Respondent:</w:t>
      </w:r>
      <w:r>
        <w:rPr>
          <w:rFonts w:ascii="Times New Roman" w:hAnsi="Times New Roman"/>
          <w:sz w:val="24"/>
        </w:rPr>
        <w:tab/>
        <w:t xml:space="preserve">Adv </w:t>
      </w:r>
      <w:r w:rsidR="007C44D4">
        <w:rPr>
          <w:rFonts w:ascii="Times New Roman" w:hAnsi="Times New Roman"/>
          <w:sz w:val="24"/>
        </w:rPr>
        <w:t>CE Thompson</w:t>
      </w:r>
    </w:p>
    <w:p w14:paraId="77067398" w14:textId="04F878FC" w:rsidR="00AE1953" w:rsidRPr="00AB7752" w:rsidRDefault="00AE1953" w:rsidP="00AE1953">
      <w:pPr>
        <w:pStyle w:val="ListParagraph"/>
        <w:tabs>
          <w:tab w:val="right" w:pos="0"/>
          <w:tab w:val="right" w:pos="8647"/>
        </w:tabs>
        <w:ind w:left="0"/>
        <w:rPr>
          <w:rFonts w:ascii="Times New Roman" w:hAnsi="Times New Roman"/>
          <w:sz w:val="24"/>
        </w:rPr>
      </w:pPr>
      <w:r>
        <w:rPr>
          <w:rFonts w:ascii="Times New Roman" w:hAnsi="Times New Roman"/>
          <w:sz w:val="24"/>
        </w:rPr>
        <w:t>Attorneys for the Respondent</w:t>
      </w:r>
      <w:r>
        <w:rPr>
          <w:rFonts w:ascii="Times New Roman" w:hAnsi="Times New Roman"/>
          <w:sz w:val="24"/>
        </w:rPr>
        <w:tab/>
        <w:t>Ma</w:t>
      </w:r>
      <w:r w:rsidR="003B0591">
        <w:rPr>
          <w:rFonts w:ascii="Times New Roman" w:hAnsi="Times New Roman"/>
          <w:sz w:val="24"/>
        </w:rPr>
        <w:t>rtin Vermaak Attorneys.</w:t>
      </w:r>
    </w:p>
    <w:p w14:paraId="4D8D82E2" w14:textId="77777777" w:rsidR="00AE1953" w:rsidRDefault="00AE1953" w:rsidP="00AE1953">
      <w:pPr>
        <w:pStyle w:val="ListParagraph"/>
        <w:tabs>
          <w:tab w:val="right" w:pos="8647"/>
        </w:tabs>
        <w:ind w:left="0"/>
        <w:rPr>
          <w:rFonts w:ascii="Times New Roman" w:hAnsi="Times New Roman"/>
          <w:sz w:val="24"/>
        </w:rPr>
      </w:pPr>
    </w:p>
    <w:sectPr w:rsidR="00AE1953" w:rsidSect="008C6E3F">
      <w:headerReference w:type="default" r:id="rId10"/>
      <w:pgSz w:w="11906" w:h="16838"/>
      <w:pgMar w:top="1440" w:right="1558"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94CD5" w14:textId="77777777" w:rsidR="008C6E3F" w:rsidRDefault="008C6E3F">
      <w:r>
        <w:separator/>
      </w:r>
    </w:p>
  </w:endnote>
  <w:endnote w:type="continuationSeparator" w:id="0">
    <w:p w14:paraId="12C13F2D" w14:textId="77777777" w:rsidR="008C6E3F" w:rsidRDefault="008C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1FFBA" w14:textId="77777777" w:rsidR="008C6E3F" w:rsidRDefault="008C6E3F" w:rsidP="00927532">
      <w:pPr>
        <w:spacing w:line="240" w:lineRule="auto"/>
      </w:pPr>
      <w:r>
        <w:separator/>
      </w:r>
    </w:p>
  </w:footnote>
  <w:footnote w:type="continuationSeparator" w:id="0">
    <w:p w14:paraId="38717D70" w14:textId="77777777" w:rsidR="008C6E3F" w:rsidRDefault="008C6E3F" w:rsidP="00927532">
      <w:pPr>
        <w:spacing w:line="240" w:lineRule="auto"/>
      </w:pPr>
      <w:r>
        <w:continuationSeparator/>
      </w:r>
    </w:p>
  </w:footnote>
  <w:footnote w:type="continuationNotice" w:id="1">
    <w:p w14:paraId="384F4BF9" w14:textId="77777777" w:rsidR="008C6E3F" w:rsidRDefault="008C6E3F" w:rsidP="00927532">
      <w:pPr>
        <w:spacing w:line="240" w:lineRule="auto"/>
      </w:pPr>
    </w:p>
  </w:footnote>
  <w:footnote w:id="2">
    <w:p w14:paraId="2C562B17" w14:textId="6CDDD677" w:rsidR="009A1462" w:rsidRPr="009A1462" w:rsidRDefault="009A1462" w:rsidP="006076FB">
      <w:pPr>
        <w:pStyle w:val="FootnoteText"/>
        <w:rPr>
          <w:lang w:val="en-US"/>
        </w:rPr>
      </w:pPr>
      <w:r>
        <w:rPr>
          <w:rStyle w:val="FootnoteReference"/>
        </w:rPr>
        <w:footnoteRef/>
      </w:r>
      <w:r>
        <w:t xml:space="preserve"> </w:t>
      </w:r>
      <w:r>
        <w:rPr>
          <w:lang w:val="en-US"/>
        </w:rPr>
        <w:t xml:space="preserve">Senyatsi J is now appointed as </w:t>
      </w:r>
      <w:r w:rsidR="00FF01E2">
        <w:rPr>
          <w:lang w:val="en-US"/>
        </w:rPr>
        <w:t>a</w:t>
      </w:r>
      <w:r>
        <w:rPr>
          <w:lang w:val="en-US"/>
        </w:rPr>
        <w:t xml:space="preserve"> permanent Judge of </w:t>
      </w:r>
      <w:r w:rsidR="00BD2BBB">
        <w:rPr>
          <w:lang w:val="en-US"/>
        </w:rPr>
        <w:t xml:space="preserve">the </w:t>
      </w:r>
      <w:r>
        <w:rPr>
          <w:lang w:val="en-US"/>
        </w:rPr>
        <w:t>Gauteng Division.</w:t>
      </w:r>
    </w:p>
  </w:footnote>
  <w:footnote w:id="3">
    <w:p w14:paraId="4446D515" w14:textId="77DF72EE" w:rsidR="00D46B28" w:rsidRPr="00D46B28" w:rsidRDefault="00D46B28" w:rsidP="006076FB">
      <w:pPr>
        <w:pStyle w:val="FootnoteText"/>
        <w:rPr>
          <w:lang w:val="en-US"/>
        </w:rPr>
      </w:pPr>
      <w:r>
        <w:rPr>
          <w:rStyle w:val="FootnoteReference"/>
        </w:rPr>
        <w:footnoteRef/>
      </w:r>
      <w:r>
        <w:t xml:space="preserve"> </w:t>
      </w:r>
      <w:r w:rsidRPr="00D46B28">
        <w:rPr>
          <w:lang w:val="en-US"/>
        </w:rPr>
        <w:t>See clause 5.1.4.5 of the settlement agreement at 0003-44.</w:t>
      </w:r>
    </w:p>
  </w:footnote>
  <w:footnote w:id="4">
    <w:p w14:paraId="02808187" w14:textId="621BBC97" w:rsidR="00962532" w:rsidRPr="00962532" w:rsidRDefault="00962532" w:rsidP="006076FB">
      <w:pPr>
        <w:pStyle w:val="FootnoteText"/>
        <w:rPr>
          <w:lang w:val="en-US"/>
        </w:rPr>
      </w:pPr>
      <w:r w:rsidRPr="00962532">
        <w:rPr>
          <w:rStyle w:val="FootnoteReference"/>
          <w:i/>
          <w:iCs/>
        </w:rPr>
        <w:footnoteRef/>
      </w:r>
      <w:r w:rsidRPr="00962532">
        <w:t xml:space="preserve"> </w:t>
      </w:r>
      <w:r w:rsidRPr="00962532">
        <w:rPr>
          <w:lang w:val="en-US"/>
        </w:rPr>
        <w:t xml:space="preserve">Including Mr. </w:t>
      </w:r>
      <w:r w:rsidR="00CD3413" w:rsidRPr="00962532">
        <w:rPr>
          <w:lang w:val="en-US"/>
        </w:rPr>
        <w:t>Getz,</w:t>
      </w:r>
      <w:r w:rsidR="00CD3413">
        <w:rPr>
          <w:lang w:val="en-US"/>
        </w:rPr>
        <w:t xml:space="preserve"> (</w:t>
      </w:r>
      <w:r w:rsidR="0082658F">
        <w:rPr>
          <w:lang w:val="en-US"/>
        </w:rPr>
        <w:t xml:space="preserve">appointed by both parties) </w:t>
      </w:r>
      <w:r w:rsidRPr="00962532">
        <w:rPr>
          <w:lang w:val="en-US"/>
        </w:rPr>
        <w:t xml:space="preserve">Mr. Steve Harcourt Cooke, on behalf of the respondent and Mr. </w:t>
      </w:r>
      <w:r>
        <w:rPr>
          <w:lang w:val="en-US"/>
        </w:rPr>
        <w:t xml:space="preserve">KB </w:t>
      </w:r>
      <w:r w:rsidRPr="00962532">
        <w:rPr>
          <w:lang w:val="en-US"/>
        </w:rPr>
        <w:t>V</w:t>
      </w:r>
      <w:r>
        <w:rPr>
          <w:lang w:val="en-US"/>
        </w:rPr>
        <w:t>i</w:t>
      </w:r>
      <w:r w:rsidRPr="00962532">
        <w:rPr>
          <w:lang w:val="en-US"/>
        </w:rPr>
        <w:t>lakazi (Chartered accountant) on behalf of the appellant</w:t>
      </w:r>
      <w:r w:rsidR="009A1462">
        <w:rPr>
          <w:lang w:val="en-US"/>
        </w:rPr>
        <w:t>, all referred to herein as experts.</w:t>
      </w:r>
    </w:p>
  </w:footnote>
  <w:footnote w:id="5">
    <w:p w14:paraId="1C36A56E" w14:textId="02E986F8" w:rsidR="00774E92" w:rsidRPr="00774E92" w:rsidRDefault="00774E92" w:rsidP="006076FB">
      <w:pPr>
        <w:pStyle w:val="FootnoteText"/>
        <w:rPr>
          <w:lang w:val="en-US"/>
        </w:rPr>
      </w:pPr>
      <w:r>
        <w:rPr>
          <w:rStyle w:val="FootnoteReference"/>
        </w:rPr>
        <w:footnoteRef/>
      </w:r>
      <w:r>
        <w:t xml:space="preserve"> </w:t>
      </w:r>
      <w:r>
        <w:rPr>
          <w:lang w:val="en-US"/>
        </w:rPr>
        <w:t xml:space="preserve">See para </w:t>
      </w:r>
      <w:r w:rsidR="002F5AA4">
        <w:rPr>
          <w:lang w:val="en-US"/>
        </w:rPr>
        <w:t>15 of the judgment of Maier-Fra</w:t>
      </w:r>
      <w:r w:rsidR="00D35E56">
        <w:rPr>
          <w:lang w:val="en-US"/>
        </w:rPr>
        <w:t>w</w:t>
      </w:r>
      <w:r w:rsidR="002F5AA4">
        <w:rPr>
          <w:lang w:val="en-US"/>
        </w:rPr>
        <w:t>ley and para 5 the judgment of Senyatsi AJ.</w:t>
      </w:r>
    </w:p>
  </w:footnote>
  <w:footnote w:id="6">
    <w:p w14:paraId="595FF95F" w14:textId="661BFC10" w:rsidR="007A6FC5" w:rsidRPr="00AF1704" w:rsidRDefault="007A6FC5" w:rsidP="006076FB">
      <w:pPr>
        <w:pStyle w:val="FootnoteText"/>
        <w:rPr>
          <w:lang w:val="en-US"/>
        </w:rPr>
      </w:pPr>
      <w:r>
        <w:rPr>
          <w:rStyle w:val="FootnoteReference"/>
        </w:rPr>
        <w:footnoteRef/>
      </w:r>
      <w:r>
        <w:t xml:space="preserve"> </w:t>
      </w:r>
      <w:r w:rsidR="002151A9">
        <w:t xml:space="preserve">Ibid, </w:t>
      </w:r>
      <w:r>
        <w:t xml:space="preserve">para 37 </w:t>
      </w:r>
      <w:r w:rsidR="002151A9">
        <w:t>at</w:t>
      </w:r>
      <w:r>
        <w:t xml:space="preserve"> 0000-16 where she stated that </w:t>
      </w:r>
      <w:r w:rsidRPr="00431D0B">
        <w:rPr>
          <w:i/>
          <w:iCs/>
        </w:rPr>
        <w:t>“</w:t>
      </w:r>
      <w:r w:rsidRPr="00431D0B">
        <w:rPr>
          <w:i/>
          <w:iCs/>
          <w:lang w:val="en-US"/>
        </w:rPr>
        <w:t>Mr. Ramothwala on behalf of appellant who stated that the beginning of the trial that ‘… the contentious issue here is going to be just the figure, how much of any of this experts (sic) at some different times conducted the valuation of the 100 percent shares of the business called LMBCC Consulting (Pty) Ltd</w:t>
      </w:r>
      <w:r>
        <w:rPr>
          <w:lang w:val="en-US"/>
        </w:rPr>
        <w:t xml:space="preserve"> (sic)</w:t>
      </w:r>
      <w:r w:rsidRPr="00D35E56">
        <w:rPr>
          <w:lang w:val="en-US"/>
        </w:rPr>
        <w:t>’… This is confirmed in paragraph 4.9 of the answering affidavit</w:t>
      </w:r>
      <w:r>
        <w:rPr>
          <w:lang w:val="en-US"/>
        </w:rPr>
        <w:t xml:space="preserve">”. </w:t>
      </w:r>
    </w:p>
  </w:footnote>
  <w:footnote w:id="7">
    <w:p w14:paraId="094F1730" w14:textId="309BF660" w:rsidR="0045632D" w:rsidRPr="0045632D" w:rsidRDefault="0045632D" w:rsidP="006076FB">
      <w:pPr>
        <w:pStyle w:val="FootnoteText"/>
        <w:rPr>
          <w:lang w:val="en-US"/>
        </w:rPr>
      </w:pPr>
      <w:r>
        <w:rPr>
          <w:rStyle w:val="FootnoteReference"/>
        </w:rPr>
        <w:footnoteRef/>
      </w:r>
      <w:r>
        <w:t xml:space="preserve"> </w:t>
      </w:r>
      <w:r w:rsidR="00B757AC" w:rsidRPr="00104519">
        <w:rPr>
          <w:i/>
          <w:iCs/>
        </w:rPr>
        <w:t>Zondi v MEC Traditional and Local Government Affairs</w:t>
      </w:r>
      <w:r w:rsidR="00B757AC">
        <w:t xml:space="preserve"> 2006 (3) SA 1 </w:t>
      </w:r>
      <w:r w:rsidR="00F504F3">
        <w:t>(</w:t>
      </w:r>
      <w:r w:rsidR="00B757AC">
        <w:t>CC</w:t>
      </w:r>
      <w:r w:rsidR="00F504F3">
        <w:t>)</w:t>
      </w:r>
      <w:r w:rsidR="00B757AC">
        <w:t>.</w:t>
      </w:r>
    </w:p>
  </w:footnote>
  <w:footnote w:id="8">
    <w:p w14:paraId="34322768" w14:textId="3BF648DC" w:rsidR="0045632D" w:rsidRPr="0045632D" w:rsidRDefault="0045632D" w:rsidP="006076FB">
      <w:pPr>
        <w:pStyle w:val="FootnoteText"/>
        <w:rPr>
          <w:lang w:val="en-US"/>
        </w:rPr>
      </w:pPr>
      <w:r>
        <w:rPr>
          <w:rStyle w:val="FootnoteReference"/>
        </w:rPr>
        <w:footnoteRef/>
      </w:r>
      <w:r>
        <w:t xml:space="preserve"> Ibid a</w:t>
      </w:r>
      <w:r>
        <w:rPr>
          <w:lang w:val="en-US"/>
        </w:rPr>
        <w:t>t para 28</w:t>
      </w:r>
    </w:p>
  </w:footnote>
  <w:footnote w:id="9">
    <w:p w14:paraId="000197F9" w14:textId="7F160F7F" w:rsidR="001C3545" w:rsidRPr="0019439A" w:rsidRDefault="0019439A" w:rsidP="006076FB">
      <w:pPr>
        <w:pStyle w:val="FootnoteText"/>
        <w:rPr>
          <w:lang w:val="en-US"/>
        </w:rPr>
      </w:pPr>
      <w:r>
        <w:rPr>
          <w:rStyle w:val="FootnoteReference"/>
        </w:rPr>
        <w:footnoteRef/>
      </w:r>
      <w:r>
        <w:t xml:space="preserve"> </w:t>
      </w:r>
      <w:r>
        <w:rPr>
          <w:lang w:val="en-US"/>
        </w:rPr>
        <w:t xml:space="preserve">See para 16 of the Appellant’s Heads of Argument at 0008-25. </w:t>
      </w:r>
    </w:p>
    <w:p w14:paraId="57995646" w14:textId="6F69AAAA" w:rsidR="0019439A" w:rsidRPr="0019439A" w:rsidRDefault="0019439A" w:rsidP="006076FB">
      <w:pPr>
        <w:pStyle w:val="FootnoteText"/>
        <w:rPr>
          <w:lang w:val="en-US"/>
        </w:rPr>
      </w:pPr>
    </w:p>
  </w:footnote>
  <w:footnote w:id="10">
    <w:p w14:paraId="47EAB992" w14:textId="63BE7858" w:rsidR="00BF0611" w:rsidRPr="00BF0611" w:rsidRDefault="00BF0611" w:rsidP="006076FB">
      <w:pPr>
        <w:pStyle w:val="FootnoteText"/>
        <w:rPr>
          <w:lang w:val="en-US"/>
        </w:rPr>
      </w:pPr>
      <w:r>
        <w:rPr>
          <w:rStyle w:val="FootnoteReference"/>
        </w:rPr>
        <w:footnoteRef/>
      </w:r>
      <w:r>
        <w:t xml:space="preserve"> </w:t>
      </w:r>
      <w:r>
        <w:rPr>
          <w:lang w:val="en-US"/>
        </w:rPr>
        <w:t>See para 26.1 of the Appellant’s Heads of Argument at 0008-32.</w:t>
      </w:r>
    </w:p>
  </w:footnote>
  <w:footnote w:id="11">
    <w:p w14:paraId="15B91C50" w14:textId="40CF9543" w:rsidR="00000B7D" w:rsidRPr="002F1DD7" w:rsidRDefault="00000B7D" w:rsidP="006076FB">
      <w:pPr>
        <w:pStyle w:val="FootnoteText"/>
        <w:rPr>
          <w:i/>
          <w:iCs/>
          <w:lang w:val="en-US"/>
        </w:rPr>
      </w:pPr>
      <w:r>
        <w:rPr>
          <w:rStyle w:val="FootnoteReference"/>
        </w:rPr>
        <w:footnoteRef/>
      </w:r>
      <w:r>
        <w:t xml:space="preserve"> </w:t>
      </w:r>
      <w:r>
        <w:rPr>
          <w:lang w:val="en-US"/>
        </w:rPr>
        <w:t xml:space="preserve">See para 16 of the Respondent’s Heads of Arguments at </w:t>
      </w:r>
      <w:r w:rsidR="000E2E25">
        <w:rPr>
          <w:lang w:val="en-US"/>
        </w:rPr>
        <w:t>0008-9.</w:t>
      </w:r>
    </w:p>
  </w:footnote>
  <w:footnote w:id="12">
    <w:p w14:paraId="5249939A" w14:textId="28B5292D" w:rsidR="00385941" w:rsidRPr="00385941" w:rsidRDefault="00385941" w:rsidP="006076FB">
      <w:pPr>
        <w:pStyle w:val="FootnoteText"/>
        <w:rPr>
          <w:lang w:val="en-US"/>
        </w:rPr>
      </w:pPr>
      <w:r>
        <w:rPr>
          <w:rStyle w:val="FootnoteReference"/>
        </w:rPr>
        <w:footnoteRef/>
      </w:r>
      <w:r>
        <w:t xml:space="preserve"> </w:t>
      </w:r>
      <w:r>
        <w:rPr>
          <w:lang w:val="en-US"/>
        </w:rPr>
        <w:t>Para 30 of the Appellant’s Heads of Argument at 0008-34.</w:t>
      </w:r>
    </w:p>
  </w:footnote>
  <w:footnote w:id="13">
    <w:p w14:paraId="67DC7BC2" w14:textId="78C17E6E" w:rsidR="00EB2742" w:rsidRPr="00EB2742" w:rsidRDefault="00EB2742" w:rsidP="006076FB">
      <w:pPr>
        <w:pStyle w:val="FootnoteText"/>
        <w:rPr>
          <w:lang w:val="en-US"/>
        </w:rPr>
      </w:pPr>
      <w:r>
        <w:rPr>
          <w:rStyle w:val="FootnoteReference"/>
        </w:rPr>
        <w:footnoteRef/>
      </w:r>
      <w:r>
        <w:t xml:space="preserve"> </w:t>
      </w:r>
      <w:r w:rsidR="004F30E1">
        <w:rPr>
          <w:lang w:val="en-US"/>
        </w:rPr>
        <w:t>A chartered Accountant who prepared a report at the instance of the appellant</w:t>
      </w:r>
      <w:r>
        <w:rPr>
          <w:lang w:val="en-US"/>
        </w:rPr>
        <w:t>.</w:t>
      </w:r>
    </w:p>
  </w:footnote>
  <w:footnote w:id="14">
    <w:p w14:paraId="0CD341A3" w14:textId="7AEF9A73" w:rsidR="001108A6" w:rsidRPr="001108A6" w:rsidRDefault="001108A6" w:rsidP="006076FB">
      <w:pPr>
        <w:pStyle w:val="FootnoteText"/>
        <w:rPr>
          <w:lang w:val="en-US"/>
        </w:rPr>
      </w:pPr>
      <w:r>
        <w:rPr>
          <w:rStyle w:val="FootnoteReference"/>
        </w:rPr>
        <w:footnoteRef/>
      </w:r>
      <w:r>
        <w:t xml:space="preserve"> </w:t>
      </w:r>
      <w:r>
        <w:rPr>
          <w:lang w:val="en-US"/>
        </w:rPr>
        <w:t>It is noted that the appellant contended that annexure F4 is not a report but a spreadsheet. It is the document reflecting the calculation of the val</w:t>
      </w:r>
      <w:r w:rsidR="003A03D1">
        <w:rPr>
          <w:lang w:val="en-US"/>
        </w:rPr>
        <w:t>u</w:t>
      </w:r>
      <w:r>
        <w:rPr>
          <w:lang w:val="en-US"/>
        </w:rPr>
        <w:t>es of the parties</w:t>
      </w:r>
      <w:r w:rsidR="003A03D1">
        <w:rPr>
          <w:lang w:val="en-US"/>
        </w:rPr>
        <w:t>’ respective assets</w:t>
      </w:r>
      <w:r>
        <w:rPr>
          <w:lang w:val="en-US"/>
        </w:rPr>
        <w:t>.</w:t>
      </w:r>
    </w:p>
  </w:footnote>
  <w:footnote w:id="15">
    <w:p w14:paraId="7601AA86" w14:textId="769E0FAA" w:rsidR="001108A6" w:rsidRPr="001108A6" w:rsidRDefault="001108A6" w:rsidP="006076FB">
      <w:pPr>
        <w:pStyle w:val="FootnoteText"/>
        <w:rPr>
          <w:lang w:val="en-US"/>
        </w:rPr>
      </w:pPr>
      <w:r>
        <w:rPr>
          <w:rStyle w:val="FootnoteReference"/>
        </w:rPr>
        <w:footnoteRef/>
      </w:r>
      <w:r>
        <w:t xml:space="preserve"> </w:t>
      </w:r>
      <w:r>
        <w:rPr>
          <w:lang w:val="en-US"/>
        </w:rPr>
        <w:t>This is the amount which was included by Mr. Getz when working out the accrual</w:t>
      </w:r>
      <w:r w:rsidR="004C34A2">
        <w:rPr>
          <w:lang w:val="en-US"/>
        </w:rPr>
        <w:t xml:space="preserve"> which</w:t>
      </w:r>
      <w:r>
        <w:rPr>
          <w:lang w:val="en-US"/>
        </w:rPr>
        <w:t xml:space="preserve"> </w:t>
      </w:r>
      <w:r w:rsidR="003A03D1">
        <w:rPr>
          <w:lang w:val="en-US"/>
        </w:rPr>
        <w:t>was</w:t>
      </w:r>
      <w:r>
        <w:rPr>
          <w:lang w:val="en-US"/>
        </w:rPr>
        <w:t xml:space="preserve"> the same amount reached by Senyatsi AJ after evaluating evidence before him.</w:t>
      </w:r>
    </w:p>
  </w:footnote>
  <w:footnote w:id="16">
    <w:p w14:paraId="40DA080B" w14:textId="51CCE0C3" w:rsidR="00AB6959" w:rsidRPr="005D5194" w:rsidRDefault="00AB6959" w:rsidP="006076FB">
      <w:pPr>
        <w:pStyle w:val="FootnoteText"/>
        <w:rPr>
          <w:lang w:val="en-US"/>
        </w:rPr>
      </w:pPr>
      <w:r w:rsidRPr="00AF1704">
        <w:rPr>
          <w:rStyle w:val="FootnoteReference"/>
        </w:rPr>
        <w:footnoteRef/>
      </w:r>
      <w:r w:rsidRPr="00AF1704">
        <w:t xml:space="preserve"> </w:t>
      </w:r>
      <w:r w:rsidR="00566BC8">
        <w:t>See p</w:t>
      </w:r>
      <w:r w:rsidRPr="00AF1704">
        <w:rPr>
          <w:lang w:val="en-US"/>
        </w:rPr>
        <w:t>ara 3</w:t>
      </w:r>
      <w:r w:rsidR="001E7360">
        <w:rPr>
          <w:lang w:val="en-US"/>
        </w:rPr>
        <w:t xml:space="preserve"> of the </w:t>
      </w:r>
      <w:r w:rsidR="00427119">
        <w:rPr>
          <w:lang w:val="en-US"/>
        </w:rPr>
        <w:t>R</w:t>
      </w:r>
      <w:r w:rsidR="001E7360">
        <w:rPr>
          <w:lang w:val="en-US"/>
        </w:rPr>
        <w:t xml:space="preserve">espondent’s </w:t>
      </w:r>
      <w:r w:rsidR="00427119">
        <w:rPr>
          <w:lang w:val="en-US"/>
        </w:rPr>
        <w:t>H</w:t>
      </w:r>
      <w:r w:rsidR="001E7360">
        <w:rPr>
          <w:lang w:val="en-US"/>
        </w:rPr>
        <w:t>eads of Argument</w:t>
      </w:r>
      <w:r w:rsidR="00566BC8">
        <w:rPr>
          <w:lang w:val="en-US"/>
        </w:rPr>
        <w:t>.</w:t>
      </w:r>
    </w:p>
  </w:footnote>
  <w:footnote w:id="17">
    <w:p w14:paraId="2E35C0D7" w14:textId="6CD70A3A" w:rsidR="00385941" w:rsidRPr="00385941" w:rsidRDefault="00385941" w:rsidP="006076FB">
      <w:pPr>
        <w:pStyle w:val="FootnoteText"/>
        <w:rPr>
          <w:lang w:val="en-US"/>
        </w:rPr>
      </w:pPr>
      <w:r>
        <w:rPr>
          <w:rStyle w:val="FootnoteReference"/>
        </w:rPr>
        <w:footnoteRef/>
      </w:r>
      <w:r>
        <w:t xml:space="preserve"> </w:t>
      </w:r>
      <w:r>
        <w:rPr>
          <w:lang w:val="en-US"/>
        </w:rPr>
        <w:t>See para 26.3 and 26.4 of the Appellant’s Heads of Arguments at 0008-33.</w:t>
      </w:r>
    </w:p>
  </w:footnote>
  <w:footnote w:id="18">
    <w:p w14:paraId="0EB797C5" w14:textId="77777777" w:rsidR="00716AC6" w:rsidRPr="00AF1704" w:rsidRDefault="00716AC6" w:rsidP="006076FB">
      <w:pPr>
        <w:pStyle w:val="FootnoteText"/>
        <w:rPr>
          <w:i/>
          <w:iCs/>
          <w:lang w:val="en-US"/>
        </w:rPr>
      </w:pPr>
      <w:r w:rsidRPr="00AF1704">
        <w:rPr>
          <w:rStyle w:val="FootnoteReference"/>
        </w:rPr>
        <w:footnoteRef/>
      </w:r>
      <w:r w:rsidRPr="00AF1704">
        <w:t xml:space="preserve"> </w:t>
      </w:r>
      <w:r w:rsidRPr="00AF1704">
        <w:rPr>
          <w:lang w:val="en-US"/>
        </w:rPr>
        <w:t xml:space="preserve">The appellant having referred, at para 22.3 of the Appellant’s Heads of Argument, to </w:t>
      </w:r>
      <w:r w:rsidRPr="0076525B">
        <w:rPr>
          <w:i/>
          <w:iCs/>
          <w:lang w:val="en-US"/>
        </w:rPr>
        <w:t>MEC for Co-operative Government and Traditional Affairs, KZN v Nquthu Municipality</w:t>
      </w:r>
      <w:r w:rsidRPr="00AF1704">
        <w:rPr>
          <w:lang w:val="en-US"/>
        </w:rPr>
        <w:t xml:space="preserve"> 2021 (1) SA 432 KZP where the court held that where judgment or order is clear and unambiguous, no extrinsic fact or evidence is admissible to contradict, vary, qualify or supplement it.</w:t>
      </w:r>
    </w:p>
  </w:footnote>
  <w:footnote w:id="19">
    <w:p w14:paraId="34461EAF" w14:textId="77777777" w:rsidR="00716AC6" w:rsidRPr="00AF1704" w:rsidRDefault="00716AC6" w:rsidP="006076FB">
      <w:pPr>
        <w:pStyle w:val="FootnoteText"/>
        <w:rPr>
          <w:i/>
          <w:iCs/>
          <w:lang w:val="en-US"/>
        </w:rPr>
      </w:pPr>
      <w:r w:rsidRPr="00AF1704">
        <w:rPr>
          <w:rStyle w:val="FootnoteReference"/>
        </w:rPr>
        <w:footnoteRef/>
      </w:r>
      <w:r w:rsidRPr="00AF1704">
        <w:t xml:space="preserve"> </w:t>
      </w:r>
      <w:r w:rsidRPr="00AF1704">
        <w:rPr>
          <w:lang w:val="en-US"/>
        </w:rPr>
        <w:t>See para 26.1 of the Appellant’s Heads of Argument at para 26.1.</w:t>
      </w:r>
    </w:p>
  </w:footnote>
  <w:footnote w:id="20">
    <w:p w14:paraId="7F196676" w14:textId="338D7CD6" w:rsidR="00B521A7" w:rsidRPr="00B521A7" w:rsidRDefault="00B521A7" w:rsidP="006076FB">
      <w:pPr>
        <w:pStyle w:val="FootnoteText"/>
        <w:rPr>
          <w:lang w:val="en-US"/>
        </w:rPr>
      </w:pPr>
      <w:r>
        <w:rPr>
          <w:rStyle w:val="FootnoteReference"/>
        </w:rPr>
        <w:footnoteRef/>
      </w:r>
      <w:r>
        <w:t xml:space="preserve"> </w:t>
      </w:r>
      <w:r w:rsidRPr="000E2E25">
        <w:rPr>
          <w:i/>
          <w:iCs/>
          <w:lang w:val="en-US"/>
        </w:rPr>
        <w:t>Trencon Construction (Pty) Ltd v Industrial De</w:t>
      </w:r>
      <w:r w:rsidR="000C5043" w:rsidRPr="000E2E25">
        <w:rPr>
          <w:i/>
          <w:iCs/>
          <w:lang w:val="en-US"/>
        </w:rPr>
        <w:t>v</w:t>
      </w:r>
      <w:r w:rsidRPr="000E2E25">
        <w:rPr>
          <w:i/>
          <w:iCs/>
          <w:lang w:val="en-US"/>
        </w:rPr>
        <w:t>elopment Corporation of South Africa Limited</w:t>
      </w:r>
      <w:r w:rsidRPr="000C5043">
        <w:rPr>
          <w:lang w:val="en-US"/>
        </w:rPr>
        <w:t xml:space="preserve"> </w:t>
      </w:r>
      <w:r>
        <w:rPr>
          <w:lang w:val="en-US"/>
        </w:rPr>
        <w:t xml:space="preserve">[2015] ZACC 22; 2015(5) SA 245 (CC), 2015 (10) BCLR 1199 (CC) at para 88 and </w:t>
      </w:r>
      <w:r w:rsidRPr="000E2E25">
        <w:rPr>
          <w:i/>
          <w:iCs/>
          <w:lang w:val="en-US"/>
        </w:rPr>
        <w:t>National Coalition of Gay and Lesbian Equality v Minister of Home Affairs</w:t>
      </w:r>
      <w:r w:rsidR="000C5043">
        <w:rPr>
          <w:lang w:val="en-US"/>
        </w:rPr>
        <w:t xml:space="preserve"> </w:t>
      </w:r>
      <w:r>
        <w:rPr>
          <w:lang w:val="en-US"/>
        </w:rPr>
        <w:t>[1999]</w:t>
      </w:r>
      <w:r w:rsidR="000C5043">
        <w:rPr>
          <w:lang w:val="en-US"/>
        </w:rPr>
        <w:t xml:space="preserve"> </w:t>
      </w:r>
      <w:r>
        <w:rPr>
          <w:lang w:val="en-US"/>
        </w:rPr>
        <w:t>ZACC 17; 2000 (2) SA 1</w:t>
      </w:r>
      <w:r w:rsidR="000C5043">
        <w:rPr>
          <w:lang w:val="en-US"/>
        </w:rPr>
        <w:t>; 2000</w:t>
      </w:r>
      <w:r w:rsidR="000E2E25">
        <w:rPr>
          <w:lang w:val="en-US"/>
        </w:rPr>
        <w:t xml:space="preserve"> </w:t>
      </w:r>
      <w:r w:rsidR="000C5043">
        <w:rPr>
          <w:lang w:val="en-US"/>
        </w:rPr>
        <w:t>(1) BCLR 39 (CC) at para 11.</w:t>
      </w:r>
    </w:p>
  </w:footnote>
  <w:footnote w:id="21">
    <w:p w14:paraId="6CE0F120" w14:textId="1410AAB9" w:rsidR="000C5043" w:rsidRPr="000C5043" w:rsidRDefault="000C5043" w:rsidP="006076FB">
      <w:pPr>
        <w:pStyle w:val="FootnoteText"/>
        <w:rPr>
          <w:lang w:val="en-US"/>
        </w:rPr>
      </w:pPr>
      <w:r>
        <w:rPr>
          <w:rStyle w:val="FootnoteReference"/>
        </w:rPr>
        <w:footnoteRef/>
      </w:r>
      <w:r>
        <w:t xml:space="preserve"> </w:t>
      </w:r>
      <w:r>
        <w:rPr>
          <w:lang w:val="en-US"/>
        </w:rPr>
        <w:t xml:space="preserve">See </w:t>
      </w:r>
      <w:r w:rsidRPr="0076525B">
        <w:rPr>
          <w:i/>
          <w:iCs/>
          <w:lang w:val="en-US"/>
        </w:rPr>
        <w:t>Florence v Government of the Republic of South Africa</w:t>
      </w:r>
      <w:r>
        <w:rPr>
          <w:lang w:val="en-US"/>
        </w:rPr>
        <w:t xml:space="preserve"> [2014] ZACC 22; 2014 (6) SA 456 (CC); 2014 (10) BCLR 1137 (CC).</w:t>
      </w:r>
    </w:p>
  </w:footnote>
  <w:footnote w:id="22">
    <w:p w14:paraId="70A7EFD8" w14:textId="6E3DE4C0" w:rsidR="00FC26B4" w:rsidRPr="006073EB" w:rsidRDefault="00FC26B4" w:rsidP="006076FB">
      <w:pPr>
        <w:pStyle w:val="FootnoteText"/>
        <w:rPr>
          <w:lang w:val="en-US"/>
        </w:rPr>
      </w:pPr>
      <w:r>
        <w:rPr>
          <w:rStyle w:val="FootnoteReference"/>
        </w:rPr>
        <w:footnoteRef/>
      </w:r>
      <w:r>
        <w:t xml:space="preserve"> </w:t>
      </w:r>
      <w:r w:rsidR="00431D0B" w:rsidRPr="00431D0B">
        <w:t>Supra at note 6</w:t>
      </w:r>
      <w:r>
        <w:t>.</w:t>
      </w:r>
    </w:p>
  </w:footnote>
  <w:footnote w:id="23">
    <w:p w14:paraId="75A915B8" w14:textId="77777777" w:rsidR="00FC26B4" w:rsidRDefault="00FC26B4" w:rsidP="006076FB">
      <w:pPr>
        <w:pStyle w:val="FootnoteText"/>
      </w:pPr>
      <w:r>
        <w:rPr>
          <w:rStyle w:val="FootnoteReference"/>
        </w:rPr>
        <w:footnoteRef/>
      </w:r>
      <w:r>
        <w:t xml:space="preserve"> Ibid </w:t>
      </w:r>
      <w:r w:rsidRPr="008879D0">
        <w:t>at para 34, the court stated that:</w:t>
      </w:r>
    </w:p>
    <w:p w14:paraId="72B3358B" w14:textId="77777777" w:rsidR="00FC26B4" w:rsidRPr="008879D0" w:rsidRDefault="00FC26B4" w:rsidP="006076FB">
      <w:pPr>
        <w:pStyle w:val="FootnoteText"/>
        <w:rPr>
          <w:lang w:val="en-US"/>
        </w:rPr>
      </w:pPr>
      <w:r>
        <w:tab/>
      </w:r>
      <w:r w:rsidRPr="00431D0B">
        <w:rPr>
          <w:i/>
          <w:iCs/>
        </w:rPr>
        <w:t>“It is within the province of this Court to regulate its own procedure in matters of adjective law. And, now that the point has come before it for decision, to lay down a definite rule of practice. I am of opinion that the proper rule should be that which I have just stated. The Court, by acting in this way, does not in substance and effect alter or undo its previously pronounced sentence, within the meaning of the Roman and Roman-Dutch law. The sanctity of the doctrine of res judicata remains unimpaired and of full force, for the Court is merely doing justice between the same parties, on the same pleadings in the same suit, on a claim which it has inadvertently overlooked.</w:t>
      </w:r>
      <w:r w:rsidRPr="008879D0">
        <w:t>”</w:t>
      </w:r>
    </w:p>
  </w:footnote>
  <w:footnote w:id="24">
    <w:p w14:paraId="6019FF85" w14:textId="77777777" w:rsidR="00FC26B4" w:rsidRPr="006073EB" w:rsidRDefault="00FC26B4" w:rsidP="006076FB">
      <w:pPr>
        <w:pStyle w:val="FootnoteText"/>
        <w:rPr>
          <w:lang w:val="en-US"/>
        </w:rPr>
      </w:pPr>
      <w:r>
        <w:rPr>
          <w:rStyle w:val="FootnoteReference"/>
        </w:rPr>
        <w:footnoteRef/>
      </w:r>
      <w:r>
        <w:t xml:space="preserve">  </w:t>
      </w:r>
      <w:r w:rsidRPr="001071F6">
        <w:t>The court stated that it was merely doing justice between the same parties.</w:t>
      </w:r>
    </w:p>
  </w:footnote>
  <w:footnote w:id="25">
    <w:p w14:paraId="606C6C0E" w14:textId="458E55D1" w:rsidR="00FC26B4" w:rsidRPr="00503D6E" w:rsidRDefault="00FC26B4" w:rsidP="006076FB">
      <w:pPr>
        <w:pStyle w:val="FootnoteText"/>
        <w:rPr>
          <w:lang w:val="en-US"/>
        </w:rPr>
      </w:pPr>
      <w:r>
        <w:rPr>
          <w:rStyle w:val="FootnoteReference"/>
        </w:rPr>
        <w:footnoteRef/>
      </w:r>
      <w:r>
        <w:t xml:space="preserve">  </w:t>
      </w:r>
      <w:r w:rsidRPr="00FC26B4">
        <w:rPr>
          <w:i/>
          <w:iCs/>
        </w:rPr>
        <w:t>Thompson v South African Broadcasting Corporation</w:t>
      </w:r>
      <w:r w:rsidRPr="00503D6E">
        <w:t xml:space="preserve"> </w:t>
      </w:r>
      <w:r w:rsidRPr="001071F6">
        <w:t>[2001] 1 SA 329 (A), 2001 (3) SA 746 (SCA) at 749 B-D.</w:t>
      </w:r>
    </w:p>
  </w:footnote>
  <w:footnote w:id="26">
    <w:p w14:paraId="3A7A2DA7" w14:textId="55FAE1A0" w:rsidR="00FC26B4" w:rsidRPr="00C9786D" w:rsidRDefault="00FC26B4" w:rsidP="006076FB">
      <w:pPr>
        <w:pStyle w:val="FootnoteText"/>
        <w:rPr>
          <w:lang w:val="en-US"/>
        </w:rPr>
      </w:pPr>
      <w:r>
        <w:rPr>
          <w:rStyle w:val="FootnoteReference"/>
        </w:rPr>
        <w:footnoteRef/>
      </w:r>
      <w:r>
        <w:t xml:space="preserve"> </w:t>
      </w:r>
      <w:r w:rsidRPr="000E2E25">
        <w:rPr>
          <w:i/>
          <w:iCs/>
        </w:rPr>
        <w:t>HLB International (South Africa) Pty Ltd v MWRK Accountants and Consultants (Pty) Ltd</w:t>
      </w:r>
      <w:r w:rsidRPr="00C9786D">
        <w:t xml:space="preserve"> (113/2021) [2022] ZASCA 52 (12 April 2022)</w:t>
      </w:r>
      <w:r w:rsidR="000E2E25">
        <w:t>.</w:t>
      </w:r>
    </w:p>
  </w:footnote>
  <w:footnote w:id="27">
    <w:p w14:paraId="7C362DF7" w14:textId="77777777" w:rsidR="00FC26B4" w:rsidRPr="00AF1704" w:rsidRDefault="00FC26B4" w:rsidP="006076FB">
      <w:pPr>
        <w:pStyle w:val="FootnoteText"/>
        <w:rPr>
          <w:i/>
          <w:iCs/>
          <w:lang w:val="en-US"/>
        </w:rPr>
      </w:pPr>
      <w:r w:rsidRPr="00AF1704">
        <w:rPr>
          <w:rStyle w:val="FootnoteReference"/>
        </w:rPr>
        <w:footnoteRef/>
      </w:r>
      <w:r w:rsidRPr="00AF1704">
        <w:t xml:space="preserve"> At para 27.</w:t>
      </w:r>
    </w:p>
  </w:footnote>
  <w:footnote w:id="28">
    <w:p w14:paraId="3B648832" w14:textId="39E78726" w:rsidR="00913CF4" w:rsidRPr="00913CF4" w:rsidRDefault="00913CF4" w:rsidP="006076FB">
      <w:pPr>
        <w:pStyle w:val="FootnoteText"/>
        <w:rPr>
          <w:lang w:val="en-US"/>
        </w:rPr>
      </w:pPr>
      <w:r>
        <w:rPr>
          <w:rStyle w:val="FootnoteReference"/>
        </w:rPr>
        <w:footnoteRef/>
      </w:r>
      <w:r>
        <w:t xml:space="preserve"> </w:t>
      </w:r>
      <w:r w:rsidR="005143D9" w:rsidRPr="000E2E25">
        <w:rPr>
          <w:i/>
          <w:iCs/>
        </w:rPr>
        <w:t>Plascon-Evans Paints Pty Ltd v Van Riebeck Paints (Pty) Ltd</w:t>
      </w:r>
      <w:r w:rsidR="005143D9">
        <w:t xml:space="preserve"> 1984 (3) SA 623 (A).</w:t>
      </w:r>
    </w:p>
  </w:footnote>
  <w:footnote w:id="29">
    <w:p w14:paraId="4292AD64" w14:textId="0F8BEDD0" w:rsidR="00F83371" w:rsidRPr="00F83371" w:rsidRDefault="00F83371" w:rsidP="006076FB">
      <w:pPr>
        <w:pStyle w:val="FootnoteText"/>
        <w:rPr>
          <w:lang w:val="en-US"/>
        </w:rPr>
      </w:pPr>
      <w:r>
        <w:rPr>
          <w:rStyle w:val="FootnoteReference"/>
        </w:rPr>
        <w:footnoteRef/>
      </w:r>
      <w:r>
        <w:t xml:space="preserve"> </w:t>
      </w:r>
      <w:r w:rsidRPr="00F83371">
        <w:rPr>
          <w:lang w:val="en-US"/>
        </w:rPr>
        <w:t xml:space="preserve">para 30 of the </w:t>
      </w:r>
      <w:r w:rsidR="005143D9">
        <w:rPr>
          <w:lang w:val="en-US"/>
        </w:rPr>
        <w:t>Appellant’s H</w:t>
      </w:r>
      <w:r w:rsidRPr="00F83371">
        <w:rPr>
          <w:lang w:val="en-US"/>
        </w:rPr>
        <w:t>eads</w:t>
      </w:r>
      <w:r w:rsidR="005143D9">
        <w:rPr>
          <w:lang w:val="en-US"/>
        </w:rPr>
        <w:t xml:space="preserve"> of Argument</w:t>
      </w:r>
      <w:r>
        <w:rPr>
          <w:lang w:val="en-US"/>
        </w:rPr>
        <w:t>.</w:t>
      </w:r>
    </w:p>
  </w:footnote>
  <w:footnote w:id="30">
    <w:p w14:paraId="1A0F7A0F" w14:textId="015B6DD1" w:rsidR="005143D9" w:rsidRPr="005143D9" w:rsidRDefault="005143D9" w:rsidP="006076FB">
      <w:pPr>
        <w:pStyle w:val="FootnoteText"/>
        <w:rPr>
          <w:lang w:val="en-US"/>
        </w:rPr>
      </w:pPr>
      <w:r>
        <w:rPr>
          <w:rStyle w:val="FootnoteReference"/>
        </w:rPr>
        <w:footnoteRef/>
      </w:r>
      <w:r>
        <w:t xml:space="preserve"> Ibid at </w:t>
      </w:r>
      <w:r w:rsidRPr="005143D9">
        <w:rPr>
          <w:lang w:val="en-US"/>
        </w:rPr>
        <w:t>para 26.2.</w:t>
      </w:r>
    </w:p>
  </w:footnote>
  <w:footnote w:id="31">
    <w:p w14:paraId="559C3A9C" w14:textId="7B212046" w:rsidR="000E43A4" w:rsidRPr="000E43A4" w:rsidRDefault="000E43A4" w:rsidP="006076FB">
      <w:pPr>
        <w:pStyle w:val="FootnoteText"/>
        <w:rPr>
          <w:lang w:val="en-US"/>
        </w:rPr>
      </w:pPr>
      <w:r>
        <w:rPr>
          <w:rStyle w:val="FootnoteReference"/>
        </w:rPr>
        <w:footnoteRef/>
      </w:r>
      <w:r>
        <w:t xml:space="preserve"> </w:t>
      </w:r>
      <w:r>
        <w:rPr>
          <w:lang w:val="en-US"/>
        </w:rPr>
        <w:t xml:space="preserve">The appellant having stated in the Heads of Argument submitted in the court </w:t>
      </w:r>
      <w:r w:rsidRPr="000E43A4">
        <w:rPr>
          <w:lang w:val="en-US"/>
        </w:rPr>
        <w:t>a quo</w:t>
      </w:r>
      <w:r>
        <w:rPr>
          <w:lang w:val="en-US"/>
        </w:rPr>
        <w:t xml:space="preserve"> </w:t>
      </w:r>
      <w:r w:rsidR="0045632D">
        <w:rPr>
          <w:lang w:val="en-US"/>
        </w:rPr>
        <w:t xml:space="preserve">in para 11.2 at 0014-39 </w:t>
      </w:r>
      <w:r>
        <w:rPr>
          <w:lang w:val="en-US"/>
        </w:rPr>
        <w:t xml:space="preserve">that </w:t>
      </w:r>
      <w:r w:rsidRPr="000E2E25">
        <w:rPr>
          <w:i/>
          <w:iCs/>
          <w:lang w:val="en-US"/>
        </w:rPr>
        <w:t xml:space="preserve">‘…subsequent to this case management meeting there was further case management meetings where the respondent reneged on his agreement and specifically disputed the value of R3.3 million.’ </w:t>
      </w:r>
    </w:p>
  </w:footnote>
  <w:footnote w:id="32">
    <w:p w14:paraId="783377E7" w14:textId="28DEF2EC" w:rsidR="00D57F88" w:rsidRPr="00D57F88" w:rsidRDefault="00D57F88" w:rsidP="006076FB">
      <w:pPr>
        <w:pStyle w:val="FootnoteText"/>
        <w:rPr>
          <w:lang w:val="en-US"/>
        </w:rPr>
      </w:pPr>
      <w:r>
        <w:rPr>
          <w:rStyle w:val="FootnoteReference"/>
        </w:rPr>
        <w:footnoteRef/>
      </w:r>
      <w:r>
        <w:t xml:space="preserve"> </w:t>
      </w:r>
      <w:r w:rsidR="005143D9">
        <w:t>See para 16 of the Respondent’s Heads of Argument at 0008-32.</w:t>
      </w:r>
    </w:p>
  </w:footnote>
  <w:footnote w:id="33">
    <w:p w14:paraId="77B96FFA" w14:textId="17568B4D" w:rsidR="00EF50D7" w:rsidRPr="00EF50D7" w:rsidRDefault="00EF50D7" w:rsidP="006076FB">
      <w:pPr>
        <w:pStyle w:val="FootnoteText"/>
        <w:rPr>
          <w:lang w:val="en-US"/>
        </w:rPr>
      </w:pPr>
      <w:r>
        <w:rPr>
          <w:rStyle w:val="FootnoteReference"/>
        </w:rPr>
        <w:footnoteRef/>
      </w:r>
      <w:r>
        <w:t xml:space="preserve"> </w:t>
      </w:r>
      <w:r w:rsidR="002B1058">
        <w:t xml:space="preserve">Ibid, at </w:t>
      </w:r>
      <w:r>
        <w:rPr>
          <w:lang w:val="en-US"/>
        </w:rPr>
        <w:t>para 18</w:t>
      </w:r>
      <w:r w:rsidR="002B1058">
        <w:rPr>
          <w:lang w:val="en-US"/>
        </w:rPr>
        <w:t>.</w:t>
      </w:r>
    </w:p>
  </w:footnote>
  <w:footnote w:id="34">
    <w:p w14:paraId="6D8B6ECD" w14:textId="77777777" w:rsidR="00BD564E" w:rsidRDefault="00BD564E" w:rsidP="006076FB">
      <w:pPr>
        <w:pStyle w:val="FootnoteText"/>
      </w:pPr>
      <w:r>
        <w:rPr>
          <w:rStyle w:val="FootnoteReference"/>
        </w:rPr>
        <w:footnoteRef/>
      </w:r>
      <w:r>
        <w:t xml:space="preserve"> ‘Section 3. Accrual system — </w:t>
      </w:r>
    </w:p>
    <w:p w14:paraId="1926B067" w14:textId="77777777" w:rsidR="00BD564E" w:rsidRPr="00431D0B" w:rsidRDefault="00BD564E" w:rsidP="006076FB">
      <w:pPr>
        <w:pStyle w:val="FootnoteText"/>
        <w:rPr>
          <w:i/>
          <w:iCs/>
        </w:rPr>
      </w:pPr>
      <w:r>
        <w:tab/>
      </w:r>
      <w:r>
        <w:tab/>
      </w:r>
      <w:r w:rsidRPr="00431D0B">
        <w:rPr>
          <w:i/>
          <w:iCs/>
        </w:rPr>
        <w:t xml:space="preserve">(1) At the dissolution of a marriage subject to the accrual system, by divorce or by the death of one or both of the spouses, the spouse whose estate shows no accrual or a smaller accrual than the estate of the other spouse, or his estate if he is deceased, acquires a claim against the other spouse or his estate for an amount equal to half of the difference between the accrual of the respective estates of the spouses. </w:t>
      </w:r>
    </w:p>
    <w:p w14:paraId="7C4A11B1" w14:textId="77777777" w:rsidR="00BD564E" w:rsidRPr="00431D0B" w:rsidRDefault="00BD564E" w:rsidP="006076FB">
      <w:pPr>
        <w:pStyle w:val="FootnoteText"/>
        <w:rPr>
          <w:i/>
          <w:iCs/>
        </w:rPr>
      </w:pPr>
      <w:r w:rsidRPr="00431D0B">
        <w:rPr>
          <w:i/>
          <w:iCs/>
        </w:rPr>
        <w:tab/>
      </w:r>
      <w:r w:rsidRPr="00431D0B">
        <w:rPr>
          <w:i/>
          <w:iCs/>
        </w:rPr>
        <w:tab/>
        <w:t xml:space="preserve">(2) … </w:t>
      </w:r>
    </w:p>
    <w:p w14:paraId="4095AEEF" w14:textId="77777777" w:rsidR="00BD564E" w:rsidRPr="00431D0B" w:rsidRDefault="00BD564E" w:rsidP="006076FB">
      <w:pPr>
        <w:pStyle w:val="FootnoteText"/>
        <w:rPr>
          <w:i/>
          <w:iCs/>
        </w:rPr>
      </w:pPr>
      <w:r w:rsidRPr="00431D0B">
        <w:rPr>
          <w:i/>
          <w:iCs/>
        </w:rPr>
        <w:t xml:space="preserve"> Section 4.  Accrual of estate —</w:t>
      </w:r>
    </w:p>
    <w:p w14:paraId="4964D593" w14:textId="77777777" w:rsidR="00BD564E" w:rsidRPr="00BD564E" w:rsidRDefault="00BD564E" w:rsidP="006076FB">
      <w:pPr>
        <w:pStyle w:val="FootnoteText"/>
      </w:pPr>
      <w:r w:rsidRPr="00431D0B">
        <w:rPr>
          <w:i/>
          <w:iCs/>
        </w:rPr>
        <w:tab/>
      </w:r>
      <w:r w:rsidRPr="00431D0B">
        <w:rPr>
          <w:i/>
          <w:iCs/>
        </w:rPr>
        <w:tab/>
        <w:t>(1) (a) The accrual of the estate of a spouse is the amount by which the net value of his estate at the dissolution of his marriage exceeds the net value of his estate at the commencement of that marriage.</w:t>
      </w:r>
    </w:p>
  </w:footnote>
  <w:footnote w:id="35">
    <w:p w14:paraId="3FD4070F" w14:textId="7033EEBB" w:rsidR="00AF1704" w:rsidRPr="00AF1704" w:rsidRDefault="00AF1704" w:rsidP="006076FB">
      <w:pPr>
        <w:pStyle w:val="FootnoteText"/>
        <w:rPr>
          <w:lang w:val="en-US"/>
        </w:rPr>
      </w:pPr>
      <w:r w:rsidRPr="00AF1704">
        <w:rPr>
          <w:rStyle w:val="FootnoteReference"/>
        </w:rPr>
        <w:footnoteRef/>
      </w:r>
      <w:r w:rsidRPr="00AF1704">
        <w:t xml:space="preserve"> </w:t>
      </w:r>
      <w:r w:rsidR="00431D0B">
        <w:t>Supra at note 27.</w:t>
      </w:r>
    </w:p>
  </w:footnote>
  <w:footnote w:id="36">
    <w:p w14:paraId="1EAF112C" w14:textId="1F2D463B" w:rsidR="00DF55B8" w:rsidRPr="00DF55B8" w:rsidRDefault="00DF55B8" w:rsidP="006076FB">
      <w:pPr>
        <w:pStyle w:val="FootnoteText"/>
        <w:rPr>
          <w:lang w:val="en-US"/>
        </w:rPr>
      </w:pPr>
      <w:r>
        <w:rPr>
          <w:rStyle w:val="FootnoteReference"/>
        </w:rPr>
        <w:footnoteRef/>
      </w:r>
      <w:r>
        <w:t xml:space="preserve"> </w:t>
      </w:r>
      <w:r>
        <w:rPr>
          <w:lang w:val="en-US"/>
        </w:rPr>
        <w:t>See supra n</w:t>
      </w:r>
      <w:r w:rsidR="00431D0B">
        <w:rPr>
          <w:lang w:val="en-US"/>
        </w:rPr>
        <w:t xml:space="preserve">ote </w:t>
      </w:r>
      <w:r w:rsidR="002432EB">
        <w:rPr>
          <w:lang w:val="en-US"/>
        </w:rPr>
        <w:t>43.</w:t>
      </w:r>
    </w:p>
  </w:footnote>
  <w:footnote w:id="37">
    <w:p w14:paraId="5058E97B" w14:textId="053A5815" w:rsidR="00913CF4" w:rsidRPr="00913CF4" w:rsidRDefault="00913CF4" w:rsidP="006076FB">
      <w:pPr>
        <w:pStyle w:val="FootnoteText"/>
        <w:rPr>
          <w:lang w:val="en-US"/>
        </w:rPr>
      </w:pPr>
      <w:r>
        <w:rPr>
          <w:rStyle w:val="FootnoteReference"/>
        </w:rPr>
        <w:footnoteRef/>
      </w:r>
      <w:r w:rsidRPr="000E2E25">
        <w:rPr>
          <w:i/>
          <w:iCs/>
        </w:rPr>
        <w:t xml:space="preserve"> </w:t>
      </w:r>
      <w:r w:rsidR="00431D0B" w:rsidRPr="00431D0B">
        <w:t>Supra at note 17</w:t>
      </w:r>
      <w:r w:rsidR="002B1058">
        <w:t>.</w:t>
      </w:r>
    </w:p>
  </w:footnote>
  <w:footnote w:id="38">
    <w:p w14:paraId="3D51FF46" w14:textId="4CC83F11" w:rsidR="00DF55B8" w:rsidRPr="00DF55B8" w:rsidRDefault="00DF55B8" w:rsidP="006076FB">
      <w:pPr>
        <w:pStyle w:val="FootnoteText"/>
        <w:rPr>
          <w:lang w:val="en-US"/>
        </w:rPr>
      </w:pPr>
      <w:r>
        <w:rPr>
          <w:rStyle w:val="FootnoteReference"/>
        </w:rPr>
        <w:footnoteRef/>
      </w:r>
      <w:r>
        <w:t xml:space="preserve"> </w:t>
      </w:r>
      <w:r>
        <w:rPr>
          <w:lang w:val="en-US"/>
        </w:rPr>
        <w:t xml:space="preserve">See also SCA in </w:t>
      </w:r>
      <w:r w:rsidRPr="00DF55B8">
        <w:rPr>
          <w:i/>
          <w:iCs/>
          <w:lang w:val="en-US"/>
        </w:rPr>
        <w:t>Thompson judgment</w:t>
      </w:r>
      <w:r>
        <w:rPr>
          <w:lang w:val="en-US"/>
        </w:rPr>
        <w:t xml:space="preserve"> above n</w:t>
      </w:r>
      <w:r w:rsidR="00431D0B">
        <w:rPr>
          <w:lang w:val="en-US"/>
        </w:rPr>
        <w:t>ote</w:t>
      </w:r>
      <w:r w:rsidR="002432EB">
        <w:rPr>
          <w:lang w:val="en-US"/>
        </w:rPr>
        <w:t xml:space="preserve"> 24.</w:t>
      </w:r>
    </w:p>
  </w:footnote>
  <w:footnote w:id="39">
    <w:p w14:paraId="0FE0B9F1" w14:textId="2F16414A" w:rsidR="0071167F" w:rsidRPr="0004202F" w:rsidRDefault="0071167F" w:rsidP="006076FB">
      <w:pPr>
        <w:pStyle w:val="FootnoteText"/>
        <w:rPr>
          <w:lang w:val="en-US"/>
        </w:rPr>
      </w:pPr>
      <w:r>
        <w:rPr>
          <w:rStyle w:val="FootnoteReference"/>
        </w:rPr>
        <w:footnoteRef/>
      </w:r>
      <w:r>
        <w:t xml:space="preserve"> </w:t>
      </w:r>
      <w:r>
        <w:rPr>
          <w:lang w:val="en-US"/>
        </w:rPr>
        <w:t xml:space="preserve">See </w:t>
      </w:r>
      <w:r w:rsidRPr="000E2E25">
        <w:rPr>
          <w:i/>
          <w:iCs/>
          <w:lang w:val="en-US"/>
        </w:rPr>
        <w:t xml:space="preserve">West Rand Estate Ltd v New Zealand Insurance Co Ltd </w:t>
      </w:r>
      <w:r w:rsidRPr="0071167F">
        <w:rPr>
          <w:lang w:val="en-US"/>
        </w:rPr>
        <w:t>1926 AD 173</w:t>
      </w:r>
      <w:r>
        <w:rPr>
          <w:lang w:val="en-US"/>
        </w:rPr>
        <w:t xml:space="preserve"> quoted by the Constitutional Court in </w:t>
      </w:r>
      <w:r w:rsidRPr="0071167F">
        <w:rPr>
          <w:lang w:val="en-US"/>
        </w:rPr>
        <w:t>Zondi judgment.</w:t>
      </w:r>
      <w:r w:rsidR="0004202F">
        <w:rPr>
          <w:lang w:val="en-US"/>
        </w:rPr>
        <w:t xml:space="preserve"> It was</w:t>
      </w:r>
      <w:r w:rsidR="002432EB">
        <w:rPr>
          <w:lang w:val="en-US"/>
        </w:rPr>
        <w:t xml:space="preserve"> held</w:t>
      </w:r>
      <w:r w:rsidR="0004202F">
        <w:rPr>
          <w:lang w:val="en-US"/>
        </w:rPr>
        <w:t xml:space="preserve"> in </w:t>
      </w:r>
      <w:r w:rsidR="0004202F" w:rsidRPr="002432EB">
        <w:rPr>
          <w:lang w:val="en-US"/>
        </w:rPr>
        <w:t>West Rand Estate</w:t>
      </w:r>
      <w:r w:rsidR="0004202F">
        <w:rPr>
          <w:lang w:val="en-US"/>
        </w:rPr>
        <w:t xml:space="preserve"> </w:t>
      </w:r>
      <w:r w:rsidR="002432EB">
        <w:rPr>
          <w:lang w:val="en-US"/>
        </w:rPr>
        <w:t xml:space="preserve">case </w:t>
      </w:r>
      <w:r w:rsidR="0004202F">
        <w:rPr>
          <w:lang w:val="en-US"/>
        </w:rPr>
        <w:t xml:space="preserve">that </w:t>
      </w:r>
      <w:r w:rsidR="0004202F" w:rsidRPr="000E2E25">
        <w:rPr>
          <w:i/>
          <w:iCs/>
          <w:lang w:val="en-US"/>
        </w:rPr>
        <w:t>“The sanctity of the doctrine of res judicata remains unimpaired and of full force, for the Court is merely doing justice between the same parties, on the same pleadings in the same suit, on a claim which it has inadvertently overlooked.’</w:t>
      </w:r>
    </w:p>
  </w:footnote>
  <w:footnote w:id="40">
    <w:p w14:paraId="4CF69D38" w14:textId="771B77D4" w:rsidR="0004202F" w:rsidRPr="0004202F" w:rsidRDefault="0004202F" w:rsidP="006076FB">
      <w:pPr>
        <w:pStyle w:val="FootnoteText"/>
        <w:rPr>
          <w:lang w:val="en-US"/>
        </w:rPr>
      </w:pPr>
      <w:r>
        <w:rPr>
          <w:rStyle w:val="FootnoteReference"/>
        </w:rPr>
        <w:footnoteRef/>
      </w:r>
      <w:r>
        <w:t xml:space="preserve"> </w:t>
      </w:r>
      <w:r>
        <w:rPr>
          <w:lang w:val="en-US"/>
        </w:rPr>
        <w:t>See HLB International which contrasted the position pre and post constitutional era and stated that</w:t>
      </w:r>
      <w:r w:rsidRPr="00431D0B">
        <w:rPr>
          <w:i/>
          <w:iCs/>
          <w:lang w:val="en-US"/>
        </w:rPr>
        <w:t xml:space="preserve"> ‘…the general rule that an order once made is unalterable was departed from where it was in the interest of justice to do so…’</w:t>
      </w:r>
      <w:r>
        <w:rPr>
          <w:lang w:val="en-US"/>
        </w:rPr>
        <w:t>. See para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D9EA7" w14:textId="37740806"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7C12C4">
      <w:rPr>
        <w:rStyle w:val="PageNumber"/>
        <w:rFonts w:cs="Arial"/>
        <w:noProof/>
        <w:sz w:val="20"/>
        <w:szCs w:val="20"/>
      </w:rPr>
      <w:t>2</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 w15:restartNumberingAfterBreak="0">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 w15:restartNumberingAfterBreak="0">
    <w:nsid w:val="09E70F57"/>
    <w:multiLevelType w:val="hybridMultilevel"/>
    <w:tmpl w:val="7DD24FEC"/>
    <w:lvl w:ilvl="0" w:tplc="9A785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4" w15:restartNumberingAfterBreak="0">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FF7F92"/>
    <w:multiLevelType w:val="hybridMultilevel"/>
    <w:tmpl w:val="0E5EA304"/>
    <w:lvl w:ilvl="0" w:tplc="74A8E4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0"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283C53"/>
    <w:multiLevelType w:val="hybridMultilevel"/>
    <w:tmpl w:val="5442E84E"/>
    <w:lvl w:ilvl="0" w:tplc="5C8489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6335971"/>
    <w:multiLevelType w:val="hybridMultilevel"/>
    <w:tmpl w:val="0D6A08BE"/>
    <w:lvl w:ilvl="0" w:tplc="276012CA">
      <w:start w:val="1"/>
      <w:numFmt w:val="decimal"/>
      <w:lvlText w:val="%1&gt;"/>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1" w15:restartNumberingAfterBreak="0">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5314182">
    <w:abstractNumId w:val="18"/>
  </w:num>
  <w:num w:numId="2" w16cid:durableId="1929464274">
    <w:abstractNumId w:val="6"/>
  </w:num>
  <w:num w:numId="3" w16cid:durableId="2055762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2206094">
    <w:abstractNumId w:val="7"/>
  </w:num>
  <w:num w:numId="5" w16cid:durableId="1016660069">
    <w:abstractNumId w:val="21"/>
  </w:num>
  <w:num w:numId="6" w16cid:durableId="21825490">
    <w:abstractNumId w:val="12"/>
  </w:num>
  <w:num w:numId="7" w16cid:durableId="809829037">
    <w:abstractNumId w:val="19"/>
  </w:num>
  <w:num w:numId="8" w16cid:durableId="864290385">
    <w:abstractNumId w:val="2"/>
  </w:num>
  <w:num w:numId="9" w16cid:durableId="1439787844">
    <w:abstractNumId w:val="1"/>
  </w:num>
  <w:num w:numId="10" w16cid:durableId="1775518614">
    <w:abstractNumId w:val="40"/>
  </w:num>
  <w:num w:numId="11" w16cid:durableId="1647005680">
    <w:abstractNumId w:val="29"/>
  </w:num>
  <w:num w:numId="12" w16cid:durableId="1293751195">
    <w:abstractNumId w:val="16"/>
  </w:num>
  <w:num w:numId="13" w16cid:durableId="1831097649">
    <w:abstractNumId w:val="22"/>
  </w:num>
  <w:num w:numId="14" w16cid:durableId="625966089">
    <w:abstractNumId w:val="33"/>
  </w:num>
  <w:num w:numId="15" w16cid:durableId="1976832982">
    <w:abstractNumId w:val="37"/>
  </w:num>
  <w:num w:numId="16" w16cid:durableId="1861042023">
    <w:abstractNumId w:val="30"/>
  </w:num>
  <w:num w:numId="17" w16cid:durableId="1607999050">
    <w:abstractNumId w:val="9"/>
  </w:num>
  <w:num w:numId="18" w16cid:durableId="1032464756">
    <w:abstractNumId w:val="15"/>
  </w:num>
  <w:num w:numId="19" w16cid:durableId="1570724078">
    <w:abstractNumId w:val="25"/>
  </w:num>
  <w:num w:numId="20" w16cid:durableId="382023105">
    <w:abstractNumId w:val="24"/>
  </w:num>
  <w:num w:numId="21" w16cid:durableId="569267832">
    <w:abstractNumId w:val="4"/>
  </w:num>
  <w:num w:numId="22" w16cid:durableId="7344709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99287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8625792">
    <w:abstractNumId w:val="8"/>
  </w:num>
  <w:num w:numId="25" w16cid:durableId="1815368722">
    <w:abstractNumId w:val="34"/>
  </w:num>
  <w:num w:numId="26" w16cid:durableId="944120888">
    <w:abstractNumId w:val="27"/>
  </w:num>
  <w:num w:numId="27" w16cid:durableId="1574970557">
    <w:abstractNumId w:val="39"/>
  </w:num>
  <w:num w:numId="28" w16cid:durableId="646131137">
    <w:abstractNumId w:val="41"/>
  </w:num>
  <w:num w:numId="29" w16cid:durableId="1818493977">
    <w:abstractNumId w:val="10"/>
  </w:num>
  <w:num w:numId="30" w16cid:durableId="1259749731">
    <w:abstractNumId w:val="3"/>
  </w:num>
  <w:num w:numId="31" w16cid:durableId="1395087360">
    <w:abstractNumId w:val="13"/>
  </w:num>
  <w:num w:numId="32" w16cid:durableId="1863351542">
    <w:abstractNumId w:val="35"/>
  </w:num>
  <w:num w:numId="33" w16cid:durableId="1340542118">
    <w:abstractNumId w:val="20"/>
  </w:num>
  <w:num w:numId="34" w16cid:durableId="361134773">
    <w:abstractNumId w:val="14"/>
  </w:num>
  <w:num w:numId="35" w16cid:durableId="420756936">
    <w:abstractNumId w:val="36"/>
  </w:num>
  <w:num w:numId="36" w16cid:durableId="1216695984">
    <w:abstractNumId w:val="0"/>
  </w:num>
  <w:num w:numId="37" w16cid:durableId="1469395682">
    <w:abstractNumId w:val="26"/>
  </w:num>
  <w:num w:numId="38" w16cid:durableId="634868721">
    <w:abstractNumId w:val="32"/>
  </w:num>
  <w:num w:numId="39" w16cid:durableId="2079161129">
    <w:abstractNumId w:val="23"/>
  </w:num>
  <w:num w:numId="40" w16cid:durableId="380136485">
    <w:abstractNumId w:val="11"/>
  </w:num>
  <w:num w:numId="41" w16cid:durableId="480118852">
    <w:abstractNumId w:val="5"/>
  </w:num>
  <w:num w:numId="42" w16cid:durableId="1143700001">
    <w:abstractNumId w:val="38"/>
  </w:num>
  <w:num w:numId="43" w16cid:durableId="220677218">
    <w:abstractNumId w:val="28"/>
  </w:num>
  <w:num w:numId="44" w16cid:durableId="4852488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1NjMzsTQwNzAwNrZU0lEKTi0uzszPAykwrAUA4fO51iwAAAA="/>
  </w:docVars>
  <w:rsids>
    <w:rsidRoot w:val="000E462D"/>
    <w:rsid w:val="00000464"/>
    <w:rsid w:val="000008C8"/>
    <w:rsid w:val="00000A42"/>
    <w:rsid w:val="00000B7D"/>
    <w:rsid w:val="00000EF8"/>
    <w:rsid w:val="00001488"/>
    <w:rsid w:val="000014AB"/>
    <w:rsid w:val="00001C2B"/>
    <w:rsid w:val="00001D87"/>
    <w:rsid w:val="00001ED1"/>
    <w:rsid w:val="00001F37"/>
    <w:rsid w:val="00001F4A"/>
    <w:rsid w:val="00002A5A"/>
    <w:rsid w:val="00002BBD"/>
    <w:rsid w:val="00003B22"/>
    <w:rsid w:val="00003EC3"/>
    <w:rsid w:val="00004DCC"/>
    <w:rsid w:val="00004ECD"/>
    <w:rsid w:val="00005098"/>
    <w:rsid w:val="000054B3"/>
    <w:rsid w:val="00005559"/>
    <w:rsid w:val="00005586"/>
    <w:rsid w:val="00005FB2"/>
    <w:rsid w:val="00006217"/>
    <w:rsid w:val="000067E8"/>
    <w:rsid w:val="00006EF4"/>
    <w:rsid w:val="000075E6"/>
    <w:rsid w:val="00007649"/>
    <w:rsid w:val="00007A49"/>
    <w:rsid w:val="00007F4C"/>
    <w:rsid w:val="00010555"/>
    <w:rsid w:val="0001097C"/>
    <w:rsid w:val="00011B90"/>
    <w:rsid w:val="00011F84"/>
    <w:rsid w:val="00012122"/>
    <w:rsid w:val="00012338"/>
    <w:rsid w:val="00013098"/>
    <w:rsid w:val="000132C8"/>
    <w:rsid w:val="000138E7"/>
    <w:rsid w:val="00013C41"/>
    <w:rsid w:val="000152CC"/>
    <w:rsid w:val="00015564"/>
    <w:rsid w:val="000159D0"/>
    <w:rsid w:val="000159E3"/>
    <w:rsid w:val="00015AF1"/>
    <w:rsid w:val="00015DF2"/>
    <w:rsid w:val="000167A0"/>
    <w:rsid w:val="00016800"/>
    <w:rsid w:val="00016CAE"/>
    <w:rsid w:val="00017ADC"/>
    <w:rsid w:val="00017F38"/>
    <w:rsid w:val="00017FBE"/>
    <w:rsid w:val="000201F3"/>
    <w:rsid w:val="0002183E"/>
    <w:rsid w:val="000218D9"/>
    <w:rsid w:val="00022137"/>
    <w:rsid w:val="00022553"/>
    <w:rsid w:val="00022755"/>
    <w:rsid w:val="00022DBD"/>
    <w:rsid w:val="0002339D"/>
    <w:rsid w:val="00023C19"/>
    <w:rsid w:val="00023E81"/>
    <w:rsid w:val="00024CFC"/>
    <w:rsid w:val="00024D9F"/>
    <w:rsid w:val="00024EEC"/>
    <w:rsid w:val="00025143"/>
    <w:rsid w:val="00025230"/>
    <w:rsid w:val="000257BF"/>
    <w:rsid w:val="00025954"/>
    <w:rsid w:val="00025AC8"/>
    <w:rsid w:val="00025F74"/>
    <w:rsid w:val="0002779C"/>
    <w:rsid w:val="00027B76"/>
    <w:rsid w:val="00027F96"/>
    <w:rsid w:val="0003016A"/>
    <w:rsid w:val="00030771"/>
    <w:rsid w:val="00031320"/>
    <w:rsid w:val="0003134A"/>
    <w:rsid w:val="00031BEB"/>
    <w:rsid w:val="00032B62"/>
    <w:rsid w:val="000332EB"/>
    <w:rsid w:val="00033905"/>
    <w:rsid w:val="00033951"/>
    <w:rsid w:val="00033B8B"/>
    <w:rsid w:val="00033BB2"/>
    <w:rsid w:val="00033D80"/>
    <w:rsid w:val="00033E4B"/>
    <w:rsid w:val="00034750"/>
    <w:rsid w:val="00034CA4"/>
    <w:rsid w:val="00035F39"/>
    <w:rsid w:val="000368F0"/>
    <w:rsid w:val="00036C6F"/>
    <w:rsid w:val="0003747A"/>
    <w:rsid w:val="00037BEE"/>
    <w:rsid w:val="00041412"/>
    <w:rsid w:val="000417FB"/>
    <w:rsid w:val="0004202F"/>
    <w:rsid w:val="00042147"/>
    <w:rsid w:val="000424CF"/>
    <w:rsid w:val="00042F90"/>
    <w:rsid w:val="0004381B"/>
    <w:rsid w:val="00043BD9"/>
    <w:rsid w:val="00043FBC"/>
    <w:rsid w:val="00044931"/>
    <w:rsid w:val="00044CDC"/>
    <w:rsid w:val="00045632"/>
    <w:rsid w:val="00045833"/>
    <w:rsid w:val="00045E98"/>
    <w:rsid w:val="00045F4F"/>
    <w:rsid w:val="000465C5"/>
    <w:rsid w:val="00046D4B"/>
    <w:rsid w:val="00046DA1"/>
    <w:rsid w:val="00047514"/>
    <w:rsid w:val="00047CD9"/>
    <w:rsid w:val="00047D01"/>
    <w:rsid w:val="000504D1"/>
    <w:rsid w:val="00051CEC"/>
    <w:rsid w:val="00051CFD"/>
    <w:rsid w:val="00051E18"/>
    <w:rsid w:val="00052FA6"/>
    <w:rsid w:val="0005304A"/>
    <w:rsid w:val="0005401F"/>
    <w:rsid w:val="000542E5"/>
    <w:rsid w:val="0005441F"/>
    <w:rsid w:val="000544E5"/>
    <w:rsid w:val="000548AD"/>
    <w:rsid w:val="000552D2"/>
    <w:rsid w:val="00055739"/>
    <w:rsid w:val="000557C4"/>
    <w:rsid w:val="00055DEE"/>
    <w:rsid w:val="00056201"/>
    <w:rsid w:val="00056B24"/>
    <w:rsid w:val="00057567"/>
    <w:rsid w:val="00057638"/>
    <w:rsid w:val="00057700"/>
    <w:rsid w:val="0006074C"/>
    <w:rsid w:val="000610F7"/>
    <w:rsid w:val="00061E96"/>
    <w:rsid w:val="00063810"/>
    <w:rsid w:val="00063A5A"/>
    <w:rsid w:val="00063EDD"/>
    <w:rsid w:val="0006492B"/>
    <w:rsid w:val="00064C10"/>
    <w:rsid w:val="000656B7"/>
    <w:rsid w:val="000656D7"/>
    <w:rsid w:val="000656EA"/>
    <w:rsid w:val="000659AD"/>
    <w:rsid w:val="00065BC7"/>
    <w:rsid w:val="00066475"/>
    <w:rsid w:val="000664E2"/>
    <w:rsid w:val="00066521"/>
    <w:rsid w:val="000665A1"/>
    <w:rsid w:val="00066C39"/>
    <w:rsid w:val="00066D38"/>
    <w:rsid w:val="00067676"/>
    <w:rsid w:val="0006773F"/>
    <w:rsid w:val="000677A9"/>
    <w:rsid w:val="000678A4"/>
    <w:rsid w:val="00067B41"/>
    <w:rsid w:val="000701D2"/>
    <w:rsid w:val="000705F3"/>
    <w:rsid w:val="0007071E"/>
    <w:rsid w:val="00070B87"/>
    <w:rsid w:val="000711E0"/>
    <w:rsid w:val="00071C87"/>
    <w:rsid w:val="00071CED"/>
    <w:rsid w:val="00072209"/>
    <w:rsid w:val="00072880"/>
    <w:rsid w:val="00072E6A"/>
    <w:rsid w:val="00073083"/>
    <w:rsid w:val="00073173"/>
    <w:rsid w:val="000736CC"/>
    <w:rsid w:val="00073A15"/>
    <w:rsid w:val="00073B67"/>
    <w:rsid w:val="00074EFC"/>
    <w:rsid w:val="0007555F"/>
    <w:rsid w:val="00075846"/>
    <w:rsid w:val="00075EF8"/>
    <w:rsid w:val="00076993"/>
    <w:rsid w:val="00076B87"/>
    <w:rsid w:val="00076E7D"/>
    <w:rsid w:val="00076FDD"/>
    <w:rsid w:val="000774B9"/>
    <w:rsid w:val="00077825"/>
    <w:rsid w:val="00077BE9"/>
    <w:rsid w:val="00080137"/>
    <w:rsid w:val="00080236"/>
    <w:rsid w:val="00080D72"/>
    <w:rsid w:val="000815CC"/>
    <w:rsid w:val="000818E4"/>
    <w:rsid w:val="00082591"/>
    <w:rsid w:val="000846A3"/>
    <w:rsid w:val="00084DB1"/>
    <w:rsid w:val="000859AD"/>
    <w:rsid w:val="000859E7"/>
    <w:rsid w:val="00085B09"/>
    <w:rsid w:val="00085F9F"/>
    <w:rsid w:val="00085FC0"/>
    <w:rsid w:val="00086D96"/>
    <w:rsid w:val="00090BBA"/>
    <w:rsid w:val="00091291"/>
    <w:rsid w:val="000920BA"/>
    <w:rsid w:val="00092490"/>
    <w:rsid w:val="00092D66"/>
    <w:rsid w:val="000930E4"/>
    <w:rsid w:val="00093730"/>
    <w:rsid w:val="000938F4"/>
    <w:rsid w:val="00093F4D"/>
    <w:rsid w:val="00093FBF"/>
    <w:rsid w:val="000942F8"/>
    <w:rsid w:val="0009496E"/>
    <w:rsid w:val="00094BC0"/>
    <w:rsid w:val="000958D3"/>
    <w:rsid w:val="00096174"/>
    <w:rsid w:val="000966A1"/>
    <w:rsid w:val="00096978"/>
    <w:rsid w:val="00096B38"/>
    <w:rsid w:val="00096DD1"/>
    <w:rsid w:val="00096E35"/>
    <w:rsid w:val="000971D5"/>
    <w:rsid w:val="00097375"/>
    <w:rsid w:val="0009746F"/>
    <w:rsid w:val="000974D9"/>
    <w:rsid w:val="00097B28"/>
    <w:rsid w:val="00097D61"/>
    <w:rsid w:val="000A0173"/>
    <w:rsid w:val="000A01D1"/>
    <w:rsid w:val="000A0765"/>
    <w:rsid w:val="000A14BA"/>
    <w:rsid w:val="000A1AA7"/>
    <w:rsid w:val="000A304C"/>
    <w:rsid w:val="000A326D"/>
    <w:rsid w:val="000A3705"/>
    <w:rsid w:val="000A3911"/>
    <w:rsid w:val="000A3992"/>
    <w:rsid w:val="000A3BE6"/>
    <w:rsid w:val="000A43C8"/>
    <w:rsid w:val="000A4BCE"/>
    <w:rsid w:val="000A5083"/>
    <w:rsid w:val="000A5310"/>
    <w:rsid w:val="000A54AB"/>
    <w:rsid w:val="000A5691"/>
    <w:rsid w:val="000A5902"/>
    <w:rsid w:val="000A5CFF"/>
    <w:rsid w:val="000A5F6C"/>
    <w:rsid w:val="000A674D"/>
    <w:rsid w:val="000A75E3"/>
    <w:rsid w:val="000A7B46"/>
    <w:rsid w:val="000A7DB6"/>
    <w:rsid w:val="000B03DF"/>
    <w:rsid w:val="000B077F"/>
    <w:rsid w:val="000B1D38"/>
    <w:rsid w:val="000B20BE"/>
    <w:rsid w:val="000B3AD7"/>
    <w:rsid w:val="000B4664"/>
    <w:rsid w:val="000B5120"/>
    <w:rsid w:val="000B57F7"/>
    <w:rsid w:val="000B60D0"/>
    <w:rsid w:val="000B62E1"/>
    <w:rsid w:val="000B66C8"/>
    <w:rsid w:val="000B6AB6"/>
    <w:rsid w:val="000B73E6"/>
    <w:rsid w:val="000B7560"/>
    <w:rsid w:val="000B7740"/>
    <w:rsid w:val="000B7F2F"/>
    <w:rsid w:val="000C073E"/>
    <w:rsid w:val="000C0E4C"/>
    <w:rsid w:val="000C11A2"/>
    <w:rsid w:val="000C23CE"/>
    <w:rsid w:val="000C2F7E"/>
    <w:rsid w:val="000C340C"/>
    <w:rsid w:val="000C37A9"/>
    <w:rsid w:val="000C37B9"/>
    <w:rsid w:val="000C3E6D"/>
    <w:rsid w:val="000C5043"/>
    <w:rsid w:val="000C54B8"/>
    <w:rsid w:val="000C589E"/>
    <w:rsid w:val="000C6187"/>
    <w:rsid w:val="000C6459"/>
    <w:rsid w:val="000C671C"/>
    <w:rsid w:val="000C6929"/>
    <w:rsid w:val="000C708B"/>
    <w:rsid w:val="000C737C"/>
    <w:rsid w:val="000C7459"/>
    <w:rsid w:val="000C7699"/>
    <w:rsid w:val="000C79C6"/>
    <w:rsid w:val="000C7D50"/>
    <w:rsid w:val="000C7F43"/>
    <w:rsid w:val="000D102B"/>
    <w:rsid w:val="000D132A"/>
    <w:rsid w:val="000D1ECD"/>
    <w:rsid w:val="000D213A"/>
    <w:rsid w:val="000D2CEB"/>
    <w:rsid w:val="000D2F06"/>
    <w:rsid w:val="000D3A78"/>
    <w:rsid w:val="000D40E2"/>
    <w:rsid w:val="000D43C9"/>
    <w:rsid w:val="000D480F"/>
    <w:rsid w:val="000D4BC5"/>
    <w:rsid w:val="000D4D04"/>
    <w:rsid w:val="000D4EBD"/>
    <w:rsid w:val="000D50F2"/>
    <w:rsid w:val="000D512A"/>
    <w:rsid w:val="000D53B8"/>
    <w:rsid w:val="000D5462"/>
    <w:rsid w:val="000D60CB"/>
    <w:rsid w:val="000D65C9"/>
    <w:rsid w:val="000D67EE"/>
    <w:rsid w:val="000D6CED"/>
    <w:rsid w:val="000D7AD3"/>
    <w:rsid w:val="000E0869"/>
    <w:rsid w:val="000E0B6E"/>
    <w:rsid w:val="000E0CCE"/>
    <w:rsid w:val="000E0F0F"/>
    <w:rsid w:val="000E110F"/>
    <w:rsid w:val="000E117E"/>
    <w:rsid w:val="000E1B5D"/>
    <w:rsid w:val="000E1B61"/>
    <w:rsid w:val="000E21A8"/>
    <w:rsid w:val="000E22D9"/>
    <w:rsid w:val="000E2396"/>
    <w:rsid w:val="000E28D4"/>
    <w:rsid w:val="000E2A7A"/>
    <w:rsid w:val="000E2E25"/>
    <w:rsid w:val="000E3933"/>
    <w:rsid w:val="000E3BD8"/>
    <w:rsid w:val="000E43A4"/>
    <w:rsid w:val="000E462D"/>
    <w:rsid w:val="000E481A"/>
    <w:rsid w:val="000E4A0E"/>
    <w:rsid w:val="000E4BD3"/>
    <w:rsid w:val="000E4ECC"/>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0C6"/>
    <w:rsid w:val="000F11B0"/>
    <w:rsid w:val="000F194B"/>
    <w:rsid w:val="000F195C"/>
    <w:rsid w:val="000F1A27"/>
    <w:rsid w:val="000F1C11"/>
    <w:rsid w:val="000F2666"/>
    <w:rsid w:val="000F279F"/>
    <w:rsid w:val="000F29F1"/>
    <w:rsid w:val="000F2AF9"/>
    <w:rsid w:val="000F2BA3"/>
    <w:rsid w:val="000F2EEA"/>
    <w:rsid w:val="000F2FE0"/>
    <w:rsid w:val="000F3157"/>
    <w:rsid w:val="000F3A4C"/>
    <w:rsid w:val="000F3E2A"/>
    <w:rsid w:val="000F4586"/>
    <w:rsid w:val="000F4B56"/>
    <w:rsid w:val="000F50ED"/>
    <w:rsid w:val="000F57D6"/>
    <w:rsid w:val="000F5D8D"/>
    <w:rsid w:val="000F66CF"/>
    <w:rsid w:val="000F686D"/>
    <w:rsid w:val="000F6ED1"/>
    <w:rsid w:val="000F75ED"/>
    <w:rsid w:val="0010088E"/>
    <w:rsid w:val="001017AA"/>
    <w:rsid w:val="00101811"/>
    <w:rsid w:val="0010191A"/>
    <w:rsid w:val="001026AC"/>
    <w:rsid w:val="00102832"/>
    <w:rsid w:val="00102A45"/>
    <w:rsid w:val="00102A78"/>
    <w:rsid w:val="00104519"/>
    <w:rsid w:val="0010452B"/>
    <w:rsid w:val="00104818"/>
    <w:rsid w:val="00105D5A"/>
    <w:rsid w:val="001061C2"/>
    <w:rsid w:val="001071F6"/>
    <w:rsid w:val="001074A3"/>
    <w:rsid w:val="00110198"/>
    <w:rsid w:val="001108A6"/>
    <w:rsid w:val="00110911"/>
    <w:rsid w:val="00110B59"/>
    <w:rsid w:val="00110C9C"/>
    <w:rsid w:val="001115BF"/>
    <w:rsid w:val="001119A7"/>
    <w:rsid w:val="0011232E"/>
    <w:rsid w:val="00112648"/>
    <w:rsid w:val="00112796"/>
    <w:rsid w:val="00112E3E"/>
    <w:rsid w:val="00112FA3"/>
    <w:rsid w:val="00113782"/>
    <w:rsid w:val="00113984"/>
    <w:rsid w:val="00114ACE"/>
    <w:rsid w:val="00115CEB"/>
    <w:rsid w:val="001164AF"/>
    <w:rsid w:val="00117303"/>
    <w:rsid w:val="00117F01"/>
    <w:rsid w:val="00120A5D"/>
    <w:rsid w:val="00120B19"/>
    <w:rsid w:val="001211F9"/>
    <w:rsid w:val="0012138A"/>
    <w:rsid w:val="00122AF9"/>
    <w:rsid w:val="001236DB"/>
    <w:rsid w:val="00124028"/>
    <w:rsid w:val="00124235"/>
    <w:rsid w:val="001246AF"/>
    <w:rsid w:val="001249F8"/>
    <w:rsid w:val="00124A80"/>
    <w:rsid w:val="00125983"/>
    <w:rsid w:val="00125C2C"/>
    <w:rsid w:val="00125C9C"/>
    <w:rsid w:val="00127655"/>
    <w:rsid w:val="001277E1"/>
    <w:rsid w:val="00127AB9"/>
    <w:rsid w:val="00127B21"/>
    <w:rsid w:val="001301CC"/>
    <w:rsid w:val="00130561"/>
    <w:rsid w:val="00130946"/>
    <w:rsid w:val="0013102F"/>
    <w:rsid w:val="00131080"/>
    <w:rsid w:val="00131AB6"/>
    <w:rsid w:val="00131D0D"/>
    <w:rsid w:val="0013226D"/>
    <w:rsid w:val="0013320B"/>
    <w:rsid w:val="00133940"/>
    <w:rsid w:val="001339AB"/>
    <w:rsid w:val="00133C40"/>
    <w:rsid w:val="00134210"/>
    <w:rsid w:val="00135CEF"/>
    <w:rsid w:val="00136217"/>
    <w:rsid w:val="00136787"/>
    <w:rsid w:val="00137139"/>
    <w:rsid w:val="00137B1B"/>
    <w:rsid w:val="00140568"/>
    <w:rsid w:val="00140FCD"/>
    <w:rsid w:val="001418F6"/>
    <w:rsid w:val="00141934"/>
    <w:rsid w:val="0014293C"/>
    <w:rsid w:val="00143208"/>
    <w:rsid w:val="00143B5B"/>
    <w:rsid w:val="00143C72"/>
    <w:rsid w:val="0014511D"/>
    <w:rsid w:val="00145C4D"/>
    <w:rsid w:val="00145F25"/>
    <w:rsid w:val="0014646E"/>
    <w:rsid w:val="0014686F"/>
    <w:rsid w:val="00146A5D"/>
    <w:rsid w:val="00146FE2"/>
    <w:rsid w:val="00147534"/>
    <w:rsid w:val="001475BE"/>
    <w:rsid w:val="00147DA8"/>
    <w:rsid w:val="00147DD5"/>
    <w:rsid w:val="00147F0A"/>
    <w:rsid w:val="0015043C"/>
    <w:rsid w:val="0015158E"/>
    <w:rsid w:val="001515C2"/>
    <w:rsid w:val="00151A5C"/>
    <w:rsid w:val="001521BF"/>
    <w:rsid w:val="001522F0"/>
    <w:rsid w:val="00152374"/>
    <w:rsid w:val="0015346F"/>
    <w:rsid w:val="0015383F"/>
    <w:rsid w:val="001539DC"/>
    <w:rsid w:val="00154DFB"/>
    <w:rsid w:val="00155D72"/>
    <w:rsid w:val="001561ED"/>
    <w:rsid w:val="00156BE8"/>
    <w:rsid w:val="00156EFA"/>
    <w:rsid w:val="00157078"/>
    <w:rsid w:val="0015711A"/>
    <w:rsid w:val="00160C3A"/>
    <w:rsid w:val="00160CB0"/>
    <w:rsid w:val="00161306"/>
    <w:rsid w:val="00161774"/>
    <w:rsid w:val="001624DA"/>
    <w:rsid w:val="0016357E"/>
    <w:rsid w:val="00163946"/>
    <w:rsid w:val="001639B4"/>
    <w:rsid w:val="00165B65"/>
    <w:rsid w:val="001661BD"/>
    <w:rsid w:val="001663F8"/>
    <w:rsid w:val="00166C64"/>
    <w:rsid w:val="001670E1"/>
    <w:rsid w:val="001677D4"/>
    <w:rsid w:val="00167C60"/>
    <w:rsid w:val="001705DD"/>
    <w:rsid w:val="001708A2"/>
    <w:rsid w:val="00170A01"/>
    <w:rsid w:val="00170EF1"/>
    <w:rsid w:val="00170FFC"/>
    <w:rsid w:val="00171E72"/>
    <w:rsid w:val="00171EEF"/>
    <w:rsid w:val="0017249D"/>
    <w:rsid w:val="001725DC"/>
    <w:rsid w:val="0017293F"/>
    <w:rsid w:val="001735DD"/>
    <w:rsid w:val="00174292"/>
    <w:rsid w:val="0017471E"/>
    <w:rsid w:val="001754F1"/>
    <w:rsid w:val="001755D7"/>
    <w:rsid w:val="0017613A"/>
    <w:rsid w:val="00176392"/>
    <w:rsid w:val="00176D66"/>
    <w:rsid w:val="00176E33"/>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B94"/>
    <w:rsid w:val="00184F8B"/>
    <w:rsid w:val="0018589B"/>
    <w:rsid w:val="00185948"/>
    <w:rsid w:val="00185EB4"/>
    <w:rsid w:val="001860A4"/>
    <w:rsid w:val="00186B90"/>
    <w:rsid w:val="00186E6A"/>
    <w:rsid w:val="00187058"/>
    <w:rsid w:val="00187065"/>
    <w:rsid w:val="0018712C"/>
    <w:rsid w:val="0018731B"/>
    <w:rsid w:val="00187A23"/>
    <w:rsid w:val="00187F7D"/>
    <w:rsid w:val="001900C0"/>
    <w:rsid w:val="0019118A"/>
    <w:rsid w:val="001920EA"/>
    <w:rsid w:val="00192438"/>
    <w:rsid w:val="001928D0"/>
    <w:rsid w:val="00192CEE"/>
    <w:rsid w:val="00192D3B"/>
    <w:rsid w:val="00192FB3"/>
    <w:rsid w:val="0019333D"/>
    <w:rsid w:val="001936C6"/>
    <w:rsid w:val="00193F44"/>
    <w:rsid w:val="0019439A"/>
    <w:rsid w:val="0019591C"/>
    <w:rsid w:val="00195CC3"/>
    <w:rsid w:val="00195E8F"/>
    <w:rsid w:val="00196531"/>
    <w:rsid w:val="00196862"/>
    <w:rsid w:val="00196D92"/>
    <w:rsid w:val="001978CD"/>
    <w:rsid w:val="00197E9D"/>
    <w:rsid w:val="001A0D6D"/>
    <w:rsid w:val="001A181F"/>
    <w:rsid w:val="001A185D"/>
    <w:rsid w:val="001A1F5C"/>
    <w:rsid w:val="001A211A"/>
    <w:rsid w:val="001A288B"/>
    <w:rsid w:val="001A29BA"/>
    <w:rsid w:val="001A3F92"/>
    <w:rsid w:val="001A4019"/>
    <w:rsid w:val="001A4353"/>
    <w:rsid w:val="001A4417"/>
    <w:rsid w:val="001A4535"/>
    <w:rsid w:val="001A5D83"/>
    <w:rsid w:val="001A677B"/>
    <w:rsid w:val="001A6CA8"/>
    <w:rsid w:val="001A7257"/>
    <w:rsid w:val="001B05B4"/>
    <w:rsid w:val="001B0826"/>
    <w:rsid w:val="001B087A"/>
    <w:rsid w:val="001B0D57"/>
    <w:rsid w:val="001B0DF5"/>
    <w:rsid w:val="001B0E6E"/>
    <w:rsid w:val="001B0EB9"/>
    <w:rsid w:val="001B0ED8"/>
    <w:rsid w:val="001B118F"/>
    <w:rsid w:val="001B11A3"/>
    <w:rsid w:val="001B1D83"/>
    <w:rsid w:val="001B1EF2"/>
    <w:rsid w:val="001B2103"/>
    <w:rsid w:val="001B30EE"/>
    <w:rsid w:val="001B3D65"/>
    <w:rsid w:val="001B3E1D"/>
    <w:rsid w:val="001B5B9B"/>
    <w:rsid w:val="001B6735"/>
    <w:rsid w:val="001B6D01"/>
    <w:rsid w:val="001B7144"/>
    <w:rsid w:val="001B78E5"/>
    <w:rsid w:val="001B7B42"/>
    <w:rsid w:val="001C0207"/>
    <w:rsid w:val="001C0390"/>
    <w:rsid w:val="001C0640"/>
    <w:rsid w:val="001C066F"/>
    <w:rsid w:val="001C06E4"/>
    <w:rsid w:val="001C0DA5"/>
    <w:rsid w:val="001C139D"/>
    <w:rsid w:val="001C1ACA"/>
    <w:rsid w:val="001C1FBB"/>
    <w:rsid w:val="001C20ED"/>
    <w:rsid w:val="001C2207"/>
    <w:rsid w:val="001C26FA"/>
    <w:rsid w:val="001C2908"/>
    <w:rsid w:val="001C3545"/>
    <w:rsid w:val="001C38AB"/>
    <w:rsid w:val="001C40D9"/>
    <w:rsid w:val="001C4D7F"/>
    <w:rsid w:val="001C508B"/>
    <w:rsid w:val="001C53A3"/>
    <w:rsid w:val="001C54CF"/>
    <w:rsid w:val="001C5776"/>
    <w:rsid w:val="001C57B1"/>
    <w:rsid w:val="001C6472"/>
    <w:rsid w:val="001C6C89"/>
    <w:rsid w:val="001C6F86"/>
    <w:rsid w:val="001C749A"/>
    <w:rsid w:val="001D0863"/>
    <w:rsid w:val="001D0A15"/>
    <w:rsid w:val="001D0DC9"/>
    <w:rsid w:val="001D0F50"/>
    <w:rsid w:val="001D18EE"/>
    <w:rsid w:val="001D29C7"/>
    <w:rsid w:val="001D3140"/>
    <w:rsid w:val="001D3F24"/>
    <w:rsid w:val="001D4425"/>
    <w:rsid w:val="001D470B"/>
    <w:rsid w:val="001D47C8"/>
    <w:rsid w:val="001D4E67"/>
    <w:rsid w:val="001D546C"/>
    <w:rsid w:val="001D5C71"/>
    <w:rsid w:val="001D5D3E"/>
    <w:rsid w:val="001D6026"/>
    <w:rsid w:val="001D6341"/>
    <w:rsid w:val="001D67A8"/>
    <w:rsid w:val="001D6B02"/>
    <w:rsid w:val="001D7B87"/>
    <w:rsid w:val="001E021E"/>
    <w:rsid w:val="001E03C3"/>
    <w:rsid w:val="001E0FAC"/>
    <w:rsid w:val="001E143C"/>
    <w:rsid w:val="001E156C"/>
    <w:rsid w:val="001E221F"/>
    <w:rsid w:val="001E22A1"/>
    <w:rsid w:val="001E2530"/>
    <w:rsid w:val="001E26EF"/>
    <w:rsid w:val="001E2BD6"/>
    <w:rsid w:val="001E316D"/>
    <w:rsid w:val="001E31CF"/>
    <w:rsid w:val="001E394B"/>
    <w:rsid w:val="001E3AF6"/>
    <w:rsid w:val="001E3C31"/>
    <w:rsid w:val="001E3E1F"/>
    <w:rsid w:val="001E4134"/>
    <w:rsid w:val="001E4B2F"/>
    <w:rsid w:val="001E4DB4"/>
    <w:rsid w:val="001E4E87"/>
    <w:rsid w:val="001E5B65"/>
    <w:rsid w:val="001E5D28"/>
    <w:rsid w:val="001E5DF1"/>
    <w:rsid w:val="001E5E97"/>
    <w:rsid w:val="001E694F"/>
    <w:rsid w:val="001E714A"/>
    <w:rsid w:val="001E72A3"/>
    <w:rsid w:val="001E72B0"/>
    <w:rsid w:val="001E7360"/>
    <w:rsid w:val="001E791E"/>
    <w:rsid w:val="001F044D"/>
    <w:rsid w:val="001F0548"/>
    <w:rsid w:val="001F07C9"/>
    <w:rsid w:val="001F0C9D"/>
    <w:rsid w:val="001F1401"/>
    <w:rsid w:val="001F1FAB"/>
    <w:rsid w:val="001F2002"/>
    <w:rsid w:val="001F25DE"/>
    <w:rsid w:val="001F29CC"/>
    <w:rsid w:val="001F2B93"/>
    <w:rsid w:val="001F326A"/>
    <w:rsid w:val="001F3C27"/>
    <w:rsid w:val="001F41B9"/>
    <w:rsid w:val="001F43F3"/>
    <w:rsid w:val="001F45A3"/>
    <w:rsid w:val="001F4D08"/>
    <w:rsid w:val="001F577B"/>
    <w:rsid w:val="001F5A15"/>
    <w:rsid w:val="001F5CEA"/>
    <w:rsid w:val="001F5D1C"/>
    <w:rsid w:val="001F6491"/>
    <w:rsid w:val="001F659E"/>
    <w:rsid w:val="001F6807"/>
    <w:rsid w:val="001F7043"/>
    <w:rsid w:val="002000B5"/>
    <w:rsid w:val="00201B08"/>
    <w:rsid w:val="00202075"/>
    <w:rsid w:val="002024CE"/>
    <w:rsid w:val="00203474"/>
    <w:rsid w:val="0020349D"/>
    <w:rsid w:val="00203AE3"/>
    <w:rsid w:val="00204D01"/>
    <w:rsid w:val="0020513E"/>
    <w:rsid w:val="00205577"/>
    <w:rsid w:val="00205D02"/>
    <w:rsid w:val="00205DE8"/>
    <w:rsid w:val="00205FA5"/>
    <w:rsid w:val="00206393"/>
    <w:rsid w:val="00206E70"/>
    <w:rsid w:val="002070EB"/>
    <w:rsid w:val="00207BAD"/>
    <w:rsid w:val="00210399"/>
    <w:rsid w:val="00210ACE"/>
    <w:rsid w:val="002113CA"/>
    <w:rsid w:val="002129DA"/>
    <w:rsid w:val="0021309A"/>
    <w:rsid w:val="002130A3"/>
    <w:rsid w:val="002130F8"/>
    <w:rsid w:val="00214435"/>
    <w:rsid w:val="0021467E"/>
    <w:rsid w:val="00214942"/>
    <w:rsid w:val="00214A36"/>
    <w:rsid w:val="002151A9"/>
    <w:rsid w:val="0021536D"/>
    <w:rsid w:val="00215625"/>
    <w:rsid w:val="00215A62"/>
    <w:rsid w:val="0021667B"/>
    <w:rsid w:val="002167B2"/>
    <w:rsid w:val="00216CB7"/>
    <w:rsid w:val="002171B3"/>
    <w:rsid w:val="00220401"/>
    <w:rsid w:val="0022062B"/>
    <w:rsid w:val="00220798"/>
    <w:rsid w:val="0022087F"/>
    <w:rsid w:val="0022168A"/>
    <w:rsid w:val="002217AB"/>
    <w:rsid w:val="00221B2D"/>
    <w:rsid w:val="00221E73"/>
    <w:rsid w:val="0022220F"/>
    <w:rsid w:val="00222D82"/>
    <w:rsid w:val="002233C3"/>
    <w:rsid w:val="002233ED"/>
    <w:rsid w:val="00223AA7"/>
    <w:rsid w:val="00224AA8"/>
    <w:rsid w:val="00225102"/>
    <w:rsid w:val="00225437"/>
    <w:rsid w:val="0022643C"/>
    <w:rsid w:val="002266F7"/>
    <w:rsid w:val="00226A78"/>
    <w:rsid w:val="00226EA7"/>
    <w:rsid w:val="0022707A"/>
    <w:rsid w:val="00227485"/>
    <w:rsid w:val="002275E5"/>
    <w:rsid w:val="00227EEF"/>
    <w:rsid w:val="00230A6E"/>
    <w:rsid w:val="00231AC4"/>
    <w:rsid w:val="00231E85"/>
    <w:rsid w:val="002321CB"/>
    <w:rsid w:val="00232827"/>
    <w:rsid w:val="00232E66"/>
    <w:rsid w:val="00233523"/>
    <w:rsid w:val="002338BC"/>
    <w:rsid w:val="00233934"/>
    <w:rsid w:val="00233A86"/>
    <w:rsid w:val="00233E2F"/>
    <w:rsid w:val="00234F5C"/>
    <w:rsid w:val="00235167"/>
    <w:rsid w:val="0023604E"/>
    <w:rsid w:val="00237261"/>
    <w:rsid w:val="002378A6"/>
    <w:rsid w:val="0024022C"/>
    <w:rsid w:val="002409CB"/>
    <w:rsid w:val="00240C58"/>
    <w:rsid w:val="00241548"/>
    <w:rsid w:val="002432EB"/>
    <w:rsid w:val="002437F4"/>
    <w:rsid w:val="00243C3C"/>
    <w:rsid w:val="00243F62"/>
    <w:rsid w:val="00244131"/>
    <w:rsid w:val="002444AB"/>
    <w:rsid w:val="00244CBB"/>
    <w:rsid w:val="00244FE6"/>
    <w:rsid w:val="002458F9"/>
    <w:rsid w:val="00246594"/>
    <w:rsid w:val="00246840"/>
    <w:rsid w:val="00246E13"/>
    <w:rsid w:val="002476ED"/>
    <w:rsid w:val="00247AA1"/>
    <w:rsid w:val="00247B9E"/>
    <w:rsid w:val="00250378"/>
    <w:rsid w:val="00250648"/>
    <w:rsid w:val="00250BD9"/>
    <w:rsid w:val="00250C99"/>
    <w:rsid w:val="0025141C"/>
    <w:rsid w:val="002520C1"/>
    <w:rsid w:val="00252B17"/>
    <w:rsid w:val="00252B87"/>
    <w:rsid w:val="00252ECC"/>
    <w:rsid w:val="0025308B"/>
    <w:rsid w:val="0025358C"/>
    <w:rsid w:val="00253BD4"/>
    <w:rsid w:val="00253DB2"/>
    <w:rsid w:val="00255177"/>
    <w:rsid w:val="0025551F"/>
    <w:rsid w:val="0025691A"/>
    <w:rsid w:val="002600FF"/>
    <w:rsid w:val="002606AE"/>
    <w:rsid w:val="0026080F"/>
    <w:rsid w:val="00261AC4"/>
    <w:rsid w:val="00261C0E"/>
    <w:rsid w:val="0026232A"/>
    <w:rsid w:val="00262D1B"/>
    <w:rsid w:val="002634E8"/>
    <w:rsid w:val="00264485"/>
    <w:rsid w:val="0026512D"/>
    <w:rsid w:val="00265BBC"/>
    <w:rsid w:val="00265BE4"/>
    <w:rsid w:val="00265D7D"/>
    <w:rsid w:val="00265DEC"/>
    <w:rsid w:val="00266956"/>
    <w:rsid w:val="0026732D"/>
    <w:rsid w:val="002673B6"/>
    <w:rsid w:val="002675F7"/>
    <w:rsid w:val="00270C3D"/>
    <w:rsid w:val="002713AC"/>
    <w:rsid w:val="002723E4"/>
    <w:rsid w:val="002725D0"/>
    <w:rsid w:val="00272BBF"/>
    <w:rsid w:val="00272E54"/>
    <w:rsid w:val="002730FD"/>
    <w:rsid w:val="00273767"/>
    <w:rsid w:val="002740B9"/>
    <w:rsid w:val="0027430B"/>
    <w:rsid w:val="00274713"/>
    <w:rsid w:val="0027530E"/>
    <w:rsid w:val="00275F1E"/>
    <w:rsid w:val="00277BCD"/>
    <w:rsid w:val="00277C59"/>
    <w:rsid w:val="0028107E"/>
    <w:rsid w:val="00281E81"/>
    <w:rsid w:val="00282FDA"/>
    <w:rsid w:val="00283115"/>
    <w:rsid w:val="002844A5"/>
    <w:rsid w:val="002844B8"/>
    <w:rsid w:val="0028451D"/>
    <w:rsid w:val="00284B17"/>
    <w:rsid w:val="00284D69"/>
    <w:rsid w:val="00284DC8"/>
    <w:rsid w:val="00284EAD"/>
    <w:rsid w:val="00285406"/>
    <w:rsid w:val="00285831"/>
    <w:rsid w:val="00285913"/>
    <w:rsid w:val="00285E50"/>
    <w:rsid w:val="002868F6"/>
    <w:rsid w:val="002869C6"/>
    <w:rsid w:val="002870D3"/>
    <w:rsid w:val="00290804"/>
    <w:rsid w:val="00290C84"/>
    <w:rsid w:val="00291B61"/>
    <w:rsid w:val="00292EEE"/>
    <w:rsid w:val="002934FF"/>
    <w:rsid w:val="0029380C"/>
    <w:rsid w:val="00293BC0"/>
    <w:rsid w:val="0029444C"/>
    <w:rsid w:val="002946B2"/>
    <w:rsid w:val="00295461"/>
    <w:rsid w:val="00295B9B"/>
    <w:rsid w:val="00295FBE"/>
    <w:rsid w:val="00296014"/>
    <w:rsid w:val="0029632B"/>
    <w:rsid w:val="002977A4"/>
    <w:rsid w:val="00297AD4"/>
    <w:rsid w:val="00297F53"/>
    <w:rsid w:val="002A03BD"/>
    <w:rsid w:val="002A0C31"/>
    <w:rsid w:val="002A0D1A"/>
    <w:rsid w:val="002A1F85"/>
    <w:rsid w:val="002A2D2C"/>
    <w:rsid w:val="002A2EFA"/>
    <w:rsid w:val="002A3037"/>
    <w:rsid w:val="002A3124"/>
    <w:rsid w:val="002A3288"/>
    <w:rsid w:val="002A3952"/>
    <w:rsid w:val="002A3D79"/>
    <w:rsid w:val="002A511C"/>
    <w:rsid w:val="002A66C9"/>
    <w:rsid w:val="002A72AB"/>
    <w:rsid w:val="002A7FCE"/>
    <w:rsid w:val="002B083B"/>
    <w:rsid w:val="002B0A52"/>
    <w:rsid w:val="002B0E5E"/>
    <w:rsid w:val="002B1058"/>
    <w:rsid w:val="002B115C"/>
    <w:rsid w:val="002B1444"/>
    <w:rsid w:val="002B17EF"/>
    <w:rsid w:val="002B1B08"/>
    <w:rsid w:val="002B1C11"/>
    <w:rsid w:val="002B1F93"/>
    <w:rsid w:val="002B23C7"/>
    <w:rsid w:val="002B255C"/>
    <w:rsid w:val="002B33D1"/>
    <w:rsid w:val="002B3A89"/>
    <w:rsid w:val="002B3BF0"/>
    <w:rsid w:val="002B415D"/>
    <w:rsid w:val="002B46B1"/>
    <w:rsid w:val="002B4EA7"/>
    <w:rsid w:val="002B5527"/>
    <w:rsid w:val="002B5804"/>
    <w:rsid w:val="002B588F"/>
    <w:rsid w:val="002B6279"/>
    <w:rsid w:val="002B66F3"/>
    <w:rsid w:val="002B6AEB"/>
    <w:rsid w:val="002B7B1D"/>
    <w:rsid w:val="002C0527"/>
    <w:rsid w:val="002C065B"/>
    <w:rsid w:val="002C079B"/>
    <w:rsid w:val="002C1012"/>
    <w:rsid w:val="002C1E67"/>
    <w:rsid w:val="002C2C33"/>
    <w:rsid w:val="002C385F"/>
    <w:rsid w:val="002C3CFF"/>
    <w:rsid w:val="002C4732"/>
    <w:rsid w:val="002C4AC7"/>
    <w:rsid w:val="002C4CDA"/>
    <w:rsid w:val="002C5318"/>
    <w:rsid w:val="002D28CA"/>
    <w:rsid w:val="002D2DFD"/>
    <w:rsid w:val="002D4B08"/>
    <w:rsid w:val="002D5225"/>
    <w:rsid w:val="002D5A1F"/>
    <w:rsid w:val="002D5AB4"/>
    <w:rsid w:val="002D5E3E"/>
    <w:rsid w:val="002D5FBF"/>
    <w:rsid w:val="002D6185"/>
    <w:rsid w:val="002D682D"/>
    <w:rsid w:val="002D689D"/>
    <w:rsid w:val="002D6B99"/>
    <w:rsid w:val="002D7CC2"/>
    <w:rsid w:val="002D7FF7"/>
    <w:rsid w:val="002E0ECC"/>
    <w:rsid w:val="002E1CF5"/>
    <w:rsid w:val="002E20F8"/>
    <w:rsid w:val="002E2D65"/>
    <w:rsid w:val="002E378F"/>
    <w:rsid w:val="002E3B48"/>
    <w:rsid w:val="002E4005"/>
    <w:rsid w:val="002E42CE"/>
    <w:rsid w:val="002E59C4"/>
    <w:rsid w:val="002E5C4B"/>
    <w:rsid w:val="002E5EE7"/>
    <w:rsid w:val="002E6155"/>
    <w:rsid w:val="002E63D5"/>
    <w:rsid w:val="002E6473"/>
    <w:rsid w:val="002E6A1F"/>
    <w:rsid w:val="002E791D"/>
    <w:rsid w:val="002E7CD2"/>
    <w:rsid w:val="002E7EF0"/>
    <w:rsid w:val="002F07FB"/>
    <w:rsid w:val="002F0B28"/>
    <w:rsid w:val="002F0C6B"/>
    <w:rsid w:val="002F0CD2"/>
    <w:rsid w:val="002F0DE8"/>
    <w:rsid w:val="002F12A0"/>
    <w:rsid w:val="002F1778"/>
    <w:rsid w:val="002F1DD7"/>
    <w:rsid w:val="002F2397"/>
    <w:rsid w:val="002F26C0"/>
    <w:rsid w:val="002F321E"/>
    <w:rsid w:val="002F36CF"/>
    <w:rsid w:val="002F39A0"/>
    <w:rsid w:val="002F4D90"/>
    <w:rsid w:val="002F5663"/>
    <w:rsid w:val="002F5AA4"/>
    <w:rsid w:val="002F5B33"/>
    <w:rsid w:val="002F5F15"/>
    <w:rsid w:val="002F6E4F"/>
    <w:rsid w:val="002F6FAE"/>
    <w:rsid w:val="002F71CA"/>
    <w:rsid w:val="002F7CD9"/>
    <w:rsid w:val="00300BF6"/>
    <w:rsid w:val="00300DB0"/>
    <w:rsid w:val="00302692"/>
    <w:rsid w:val="00302D6C"/>
    <w:rsid w:val="00302F7A"/>
    <w:rsid w:val="0030314B"/>
    <w:rsid w:val="00303A19"/>
    <w:rsid w:val="00304381"/>
    <w:rsid w:val="003043D5"/>
    <w:rsid w:val="003043DC"/>
    <w:rsid w:val="00304C08"/>
    <w:rsid w:val="00304DE0"/>
    <w:rsid w:val="00305047"/>
    <w:rsid w:val="00305E04"/>
    <w:rsid w:val="00305F2C"/>
    <w:rsid w:val="003062F8"/>
    <w:rsid w:val="00306B3E"/>
    <w:rsid w:val="003072D7"/>
    <w:rsid w:val="003072FB"/>
    <w:rsid w:val="00307686"/>
    <w:rsid w:val="00307DB8"/>
    <w:rsid w:val="00307EBB"/>
    <w:rsid w:val="00307F09"/>
    <w:rsid w:val="003103AD"/>
    <w:rsid w:val="003105AD"/>
    <w:rsid w:val="0031080C"/>
    <w:rsid w:val="003108ED"/>
    <w:rsid w:val="00310A4F"/>
    <w:rsid w:val="0031190A"/>
    <w:rsid w:val="003126A3"/>
    <w:rsid w:val="00313096"/>
    <w:rsid w:val="003140C1"/>
    <w:rsid w:val="0031415A"/>
    <w:rsid w:val="003142DD"/>
    <w:rsid w:val="00314507"/>
    <w:rsid w:val="00314AFE"/>
    <w:rsid w:val="00314B23"/>
    <w:rsid w:val="00314BC2"/>
    <w:rsid w:val="00314F33"/>
    <w:rsid w:val="00315357"/>
    <w:rsid w:val="00316206"/>
    <w:rsid w:val="00316E45"/>
    <w:rsid w:val="00317125"/>
    <w:rsid w:val="00317F6B"/>
    <w:rsid w:val="003208E1"/>
    <w:rsid w:val="00321329"/>
    <w:rsid w:val="00321CC5"/>
    <w:rsid w:val="00322F66"/>
    <w:rsid w:val="00323AD5"/>
    <w:rsid w:val="00323B4E"/>
    <w:rsid w:val="00324159"/>
    <w:rsid w:val="0032458F"/>
    <w:rsid w:val="00324CFA"/>
    <w:rsid w:val="00324FE9"/>
    <w:rsid w:val="003251D3"/>
    <w:rsid w:val="00325769"/>
    <w:rsid w:val="00325E88"/>
    <w:rsid w:val="00326226"/>
    <w:rsid w:val="00326EEB"/>
    <w:rsid w:val="003301BC"/>
    <w:rsid w:val="00331104"/>
    <w:rsid w:val="00332046"/>
    <w:rsid w:val="003321C0"/>
    <w:rsid w:val="00332DC2"/>
    <w:rsid w:val="00333640"/>
    <w:rsid w:val="0033385A"/>
    <w:rsid w:val="00333DBF"/>
    <w:rsid w:val="0033445E"/>
    <w:rsid w:val="00334FDF"/>
    <w:rsid w:val="0033509B"/>
    <w:rsid w:val="003354C2"/>
    <w:rsid w:val="0033556F"/>
    <w:rsid w:val="00335863"/>
    <w:rsid w:val="00335999"/>
    <w:rsid w:val="00335B24"/>
    <w:rsid w:val="00336322"/>
    <w:rsid w:val="003366C6"/>
    <w:rsid w:val="00336A9E"/>
    <w:rsid w:val="00336B84"/>
    <w:rsid w:val="00336E4C"/>
    <w:rsid w:val="00336F02"/>
    <w:rsid w:val="0033779B"/>
    <w:rsid w:val="003408EF"/>
    <w:rsid w:val="00340901"/>
    <w:rsid w:val="00340D05"/>
    <w:rsid w:val="003413B0"/>
    <w:rsid w:val="003416EC"/>
    <w:rsid w:val="003426E4"/>
    <w:rsid w:val="0034400D"/>
    <w:rsid w:val="003444DE"/>
    <w:rsid w:val="00344E28"/>
    <w:rsid w:val="00345324"/>
    <w:rsid w:val="003455C8"/>
    <w:rsid w:val="00346BCB"/>
    <w:rsid w:val="00346E7C"/>
    <w:rsid w:val="00346FDD"/>
    <w:rsid w:val="00347ECB"/>
    <w:rsid w:val="003500F3"/>
    <w:rsid w:val="0035089D"/>
    <w:rsid w:val="00350AEA"/>
    <w:rsid w:val="00350EFE"/>
    <w:rsid w:val="00351419"/>
    <w:rsid w:val="00351572"/>
    <w:rsid w:val="00352B6C"/>
    <w:rsid w:val="003534A4"/>
    <w:rsid w:val="003536E2"/>
    <w:rsid w:val="00353B0F"/>
    <w:rsid w:val="00353C7D"/>
    <w:rsid w:val="00354025"/>
    <w:rsid w:val="003542D4"/>
    <w:rsid w:val="0035432F"/>
    <w:rsid w:val="003546FF"/>
    <w:rsid w:val="00354877"/>
    <w:rsid w:val="00354EA6"/>
    <w:rsid w:val="00355474"/>
    <w:rsid w:val="0035569E"/>
    <w:rsid w:val="00355C9B"/>
    <w:rsid w:val="00356378"/>
    <w:rsid w:val="0035648A"/>
    <w:rsid w:val="00360557"/>
    <w:rsid w:val="00360AF9"/>
    <w:rsid w:val="003613D5"/>
    <w:rsid w:val="003618EB"/>
    <w:rsid w:val="00361DFE"/>
    <w:rsid w:val="00362EE3"/>
    <w:rsid w:val="00363174"/>
    <w:rsid w:val="003638CA"/>
    <w:rsid w:val="0036399C"/>
    <w:rsid w:val="00364B3C"/>
    <w:rsid w:val="0036500E"/>
    <w:rsid w:val="003651ED"/>
    <w:rsid w:val="0036549E"/>
    <w:rsid w:val="0036591C"/>
    <w:rsid w:val="00365DF7"/>
    <w:rsid w:val="00365F7B"/>
    <w:rsid w:val="0036620A"/>
    <w:rsid w:val="003667AA"/>
    <w:rsid w:val="00366873"/>
    <w:rsid w:val="00366A57"/>
    <w:rsid w:val="00367CAF"/>
    <w:rsid w:val="0037095D"/>
    <w:rsid w:val="00370B43"/>
    <w:rsid w:val="003710E5"/>
    <w:rsid w:val="003717F2"/>
    <w:rsid w:val="00371CB9"/>
    <w:rsid w:val="003720CF"/>
    <w:rsid w:val="00372A0B"/>
    <w:rsid w:val="00372C57"/>
    <w:rsid w:val="00373066"/>
    <w:rsid w:val="003732A8"/>
    <w:rsid w:val="0037346D"/>
    <w:rsid w:val="00373B02"/>
    <w:rsid w:val="00373D06"/>
    <w:rsid w:val="00373F2E"/>
    <w:rsid w:val="003740D4"/>
    <w:rsid w:val="0037412E"/>
    <w:rsid w:val="00374240"/>
    <w:rsid w:val="003744D4"/>
    <w:rsid w:val="00374FA8"/>
    <w:rsid w:val="00375AF8"/>
    <w:rsid w:val="00375CBF"/>
    <w:rsid w:val="00375E5B"/>
    <w:rsid w:val="003763AE"/>
    <w:rsid w:val="00376DCC"/>
    <w:rsid w:val="00376E0F"/>
    <w:rsid w:val="00380006"/>
    <w:rsid w:val="00380268"/>
    <w:rsid w:val="00380D14"/>
    <w:rsid w:val="00381068"/>
    <w:rsid w:val="00381359"/>
    <w:rsid w:val="003819A0"/>
    <w:rsid w:val="00381CE0"/>
    <w:rsid w:val="0038213A"/>
    <w:rsid w:val="0038225F"/>
    <w:rsid w:val="00382AE3"/>
    <w:rsid w:val="0038301C"/>
    <w:rsid w:val="00383E02"/>
    <w:rsid w:val="0038461A"/>
    <w:rsid w:val="00384662"/>
    <w:rsid w:val="0038487F"/>
    <w:rsid w:val="00384BD7"/>
    <w:rsid w:val="0038543F"/>
    <w:rsid w:val="00385926"/>
    <w:rsid w:val="00385941"/>
    <w:rsid w:val="00385DFD"/>
    <w:rsid w:val="00386103"/>
    <w:rsid w:val="003871EF"/>
    <w:rsid w:val="003876D9"/>
    <w:rsid w:val="00390673"/>
    <w:rsid w:val="00391131"/>
    <w:rsid w:val="00391419"/>
    <w:rsid w:val="00391B4A"/>
    <w:rsid w:val="00391D1F"/>
    <w:rsid w:val="00391F69"/>
    <w:rsid w:val="00392014"/>
    <w:rsid w:val="00392398"/>
    <w:rsid w:val="00392A26"/>
    <w:rsid w:val="0039373A"/>
    <w:rsid w:val="00394070"/>
    <w:rsid w:val="00394223"/>
    <w:rsid w:val="003945CB"/>
    <w:rsid w:val="003951DB"/>
    <w:rsid w:val="00395828"/>
    <w:rsid w:val="00395EC4"/>
    <w:rsid w:val="0039683F"/>
    <w:rsid w:val="003969B1"/>
    <w:rsid w:val="00396C22"/>
    <w:rsid w:val="00397D15"/>
    <w:rsid w:val="00397D48"/>
    <w:rsid w:val="00397EF3"/>
    <w:rsid w:val="003A03D1"/>
    <w:rsid w:val="003A147C"/>
    <w:rsid w:val="003A1710"/>
    <w:rsid w:val="003A1A6A"/>
    <w:rsid w:val="003A1D8B"/>
    <w:rsid w:val="003A2926"/>
    <w:rsid w:val="003A3094"/>
    <w:rsid w:val="003A3466"/>
    <w:rsid w:val="003A3911"/>
    <w:rsid w:val="003A4135"/>
    <w:rsid w:val="003A42B6"/>
    <w:rsid w:val="003A4D53"/>
    <w:rsid w:val="003A4DAE"/>
    <w:rsid w:val="003A4F05"/>
    <w:rsid w:val="003A566F"/>
    <w:rsid w:val="003A5A5E"/>
    <w:rsid w:val="003A6328"/>
    <w:rsid w:val="003A71B6"/>
    <w:rsid w:val="003A7885"/>
    <w:rsid w:val="003B0591"/>
    <w:rsid w:val="003B0642"/>
    <w:rsid w:val="003B0788"/>
    <w:rsid w:val="003B13E2"/>
    <w:rsid w:val="003B1D7E"/>
    <w:rsid w:val="003B2DF6"/>
    <w:rsid w:val="003B3243"/>
    <w:rsid w:val="003B3610"/>
    <w:rsid w:val="003B4214"/>
    <w:rsid w:val="003B4B09"/>
    <w:rsid w:val="003B4C4F"/>
    <w:rsid w:val="003B4E34"/>
    <w:rsid w:val="003B512F"/>
    <w:rsid w:val="003B58E4"/>
    <w:rsid w:val="003B5942"/>
    <w:rsid w:val="003B5D58"/>
    <w:rsid w:val="003B6B32"/>
    <w:rsid w:val="003B70E5"/>
    <w:rsid w:val="003B7324"/>
    <w:rsid w:val="003B7D91"/>
    <w:rsid w:val="003C066B"/>
    <w:rsid w:val="003C0AB4"/>
    <w:rsid w:val="003C0B06"/>
    <w:rsid w:val="003C234E"/>
    <w:rsid w:val="003C2FDD"/>
    <w:rsid w:val="003C3A1E"/>
    <w:rsid w:val="003C4AD8"/>
    <w:rsid w:val="003C5AF6"/>
    <w:rsid w:val="003C5D34"/>
    <w:rsid w:val="003C6994"/>
    <w:rsid w:val="003C704E"/>
    <w:rsid w:val="003D0180"/>
    <w:rsid w:val="003D0457"/>
    <w:rsid w:val="003D04E2"/>
    <w:rsid w:val="003D0E11"/>
    <w:rsid w:val="003D1442"/>
    <w:rsid w:val="003D1711"/>
    <w:rsid w:val="003D19FB"/>
    <w:rsid w:val="003D218D"/>
    <w:rsid w:val="003D33D3"/>
    <w:rsid w:val="003D3E7E"/>
    <w:rsid w:val="003D4526"/>
    <w:rsid w:val="003D471C"/>
    <w:rsid w:val="003D4AF3"/>
    <w:rsid w:val="003D4BCE"/>
    <w:rsid w:val="003D4F69"/>
    <w:rsid w:val="003D51FD"/>
    <w:rsid w:val="003D61E5"/>
    <w:rsid w:val="003D69C9"/>
    <w:rsid w:val="003D69CD"/>
    <w:rsid w:val="003D6A97"/>
    <w:rsid w:val="003D6FC7"/>
    <w:rsid w:val="003D7915"/>
    <w:rsid w:val="003D7DAD"/>
    <w:rsid w:val="003E003A"/>
    <w:rsid w:val="003E0759"/>
    <w:rsid w:val="003E078B"/>
    <w:rsid w:val="003E0B7B"/>
    <w:rsid w:val="003E0D27"/>
    <w:rsid w:val="003E0F95"/>
    <w:rsid w:val="003E1298"/>
    <w:rsid w:val="003E19BA"/>
    <w:rsid w:val="003E1A0A"/>
    <w:rsid w:val="003E1C55"/>
    <w:rsid w:val="003E2311"/>
    <w:rsid w:val="003E27E6"/>
    <w:rsid w:val="003E282C"/>
    <w:rsid w:val="003E2C3F"/>
    <w:rsid w:val="003E2D60"/>
    <w:rsid w:val="003E324A"/>
    <w:rsid w:val="003E3817"/>
    <w:rsid w:val="003E38C7"/>
    <w:rsid w:val="003E3B1C"/>
    <w:rsid w:val="003E3BEF"/>
    <w:rsid w:val="003E3CAE"/>
    <w:rsid w:val="003E3E0E"/>
    <w:rsid w:val="003E43F0"/>
    <w:rsid w:val="003E52C0"/>
    <w:rsid w:val="003E552E"/>
    <w:rsid w:val="003E5E70"/>
    <w:rsid w:val="003E65FE"/>
    <w:rsid w:val="003E7D6D"/>
    <w:rsid w:val="003F04A8"/>
    <w:rsid w:val="003F1F55"/>
    <w:rsid w:val="003F2554"/>
    <w:rsid w:val="003F259D"/>
    <w:rsid w:val="003F279B"/>
    <w:rsid w:val="003F2C71"/>
    <w:rsid w:val="003F33B2"/>
    <w:rsid w:val="003F3767"/>
    <w:rsid w:val="003F3B09"/>
    <w:rsid w:val="003F3CEF"/>
    <w:rsid w:val="003F4B9C"/>
    <w:rsid w:val="003F4FD8"/>
    <w:rsid w:val="003F50D5"/>
    <w:rsid w:val="003F5154"/>
    <w:rsid w:val="003F51B2"/>
    <w:rsid w:val="003F587A"/>
    <w:rsid w:val="003F5AE4"/>
    <w:rsid w:val="003F61EB"/>
    <w:rsid w:val="003F648F"/>
    <w:rsid w:val="003F6D53"/>
    <w:rsid w:val="00400401"/>
    <w:rsid w:val="004008A7"/>
    <w:rsid w:val="00400B7E"/>
    <w:rsid w:val="004019DC"/>
    <w:rsid w:val="00401DC1"/>
    <w:rsid w:val="00401DF0"/>
    <w:rsid w:val="00402010"/>
    <w:rsid w:val="00402B21"/>
    <w:rsid w:val="00403727"/>
    <w:rsid w:val="00403A20"/>
    <w:rsid w:val="00404C85"/>
    <w:rsid w:val="00405FEE"/>
    <w:rsid w:val="004061B6"/>
    <w:rsid w:val="00406C91"/>
    <w:rsid w:val="00406E8D"/>
    <w:rsid w:val="00407855"/>
    <w:rsid w:val="00407E35"/>
    <w:rsid w:val="00410019"/>
    <w:rsid w:val="00410400"/>
    <w:rsid w:val="004115E0"/>
    <w:rsid w:val="0041190F"/>
    <w:rsid w:val="004120FB"/>
    <w:rsid w:val="00412100"/>
    <w:rsid w:val="00412BE3"/>
    <w:rsid w:val="00413AF3"/>
    <w:rsid w:val="00413E5B"/>
    <w:rsid w:val="00414941"/>
    <w:rsid w:val="00414976"/>
    <w:rsid w:val="004149C5"/>
    <w:rsid w:val="0041519E"/>
    <w:rsid w:val="004151DA"/>
    <w:rsid w:val="0041534A"/>
    <w:rsid w:val="00415B4E"/>
    <w:rsid w:val="0041603C"/>
    <w:rsid w:val="00416319"/>
    <w:rsid w:val="0041686E"/>
    <w:rsid w:val="00416D6F"/>
    <w:rsid w:val="00416DFD"/>
    <w:rsid w:val="00416F68"/>
    <w:rsid w:val="00417060"/>
    <w:rsid w:val="0041771D"/>
    <w:rsid w:val="00417C2A"/>
    <w:rsid w:val="00417FD9"/>
    <w:rsid w:val="00420962"/>
    <w:rsid w:val="004211A6"/>
    <w:rsid w:val="0042181B"/>
    <w:rsid w:val="004228BE"/>
    <w:rsid w:val="00422A45"/>
    <w:rsid w:val="004235CA"/>
    <w:rsid w:val="0042437B"/>
    <w:rsid w:val="004243BD"/>
    <w:rsid w:val="00424437"/>
    <w:rsid w:val="004245D2"/>
    <w:rsid w:val="00425370"/>
    <w:rsid w:val="004258D8"/>
    <w:rsid w:val="004262D5"/>
    <w:rsid w:val="00426919"/>
    <w:rsid w:val="0042698B"/>
    <w:rsid w:val="004269B5"/>
    <w:rsid w:val="00426BE4"/>
    <w:rsid w:val="00426E39"/>
    <w:rsid w:val="00427119"/>
    <w:rsid w:val="004279C4"/>
    <w:rsid w:val="00427C64"/>
    <w:rsid w:val="00430FCF"/>
    <w:rsid w:val="00431235"/>
    <w:rsid w:val="004314B2"/>
    <w:rsid w:val="00431D0B"/>
    <w:rsid w:val="004321F4"/>
    <w:rsid w:val="00432668"/>
    <w:rsid w:val="00432AE8"/>
    <w:rsid w:val="004331BE"/>
    <w:rsid w:val="004333F4"/>
    <w:rsid w:val="00434641"/>
    <w:rsid w:val="00434F13"/>
    <w:rsid w:val="00434F4D"/>
    <w:rsid w:val="00435324"/>
    <w:rsid w:val="00435A4F"/>
    <w:rsid w:val="00435A8C"/>
    <w:rsid w:val="00435AAF"/>
    <w:rsid w:val="00437828"/>
    <w:rsid w:val="0043796F"/>
    <w:rsid w:val="00440318"/>
    <w:rsid w:val="004406E0"/>
    <w:rsid w:val="00440A40"/>
    <w:rsid w:val="00440EAF"/>
    <w:rsid w:val="00441BBC"/>
    <w:rsid w:val="004420CD"/>
    <w:rsid w:val="004427AA"/>
    <w:rsid w:val="00442BF2"/>
    <w:rsid w:val="004431C7"/>
    <w:rsid w:val="00443880"/>
    <w:rsid w:val="00443A05"/>
    <w:rsid w:val="00444923"/>
    <w:rsid w:val="00444B32"/>
    <w:rsid w:val="004452DF"/>
    <w:rsid w:val="00445816"/>
    <w:rsid w:val="0044792B"/>
    <w:rsid w:val="004479AE"/>
    <w:rsid w:val="0045082F"/>
    <w:rsid w:val="004511FE"/>
    <w:rsid w:val="0045158E"/>
    <w:rsid w:val="004515C4"/>
    <w:rsid w:val="0045190F"/>
    <w:rsid w:val="00451BEA"/>
    <w:rsid w:val="00452064"/>
    <w:rsid w:val="004520E6"/>
    <w:rsid w:val="00452814"/>
    <w:rsid w:val="00453B72"/>
    <w:rsid w:val="00454041"/>
    <w:rsid w:val="004545F2"/>
    <w:rsid w:val="00454D23"/>
    <w:rsid w:val="004552B6"/>
    <w:rsid w:val="00455D86"/>
    <w:rsid w:val="004561D0"/>
    <w:rsid w:val="00456252"/>
    <w:rsid w:val="00456273"/>
    <w:rsid w:val="0045632D"/>
    <w:rsid w:val="00456993"/>
    <w:rsid w:val="00456CE3"/>
    <w:rsid w:val="004574A2"/>
    <w:rsid w:val="00457E51"/>
    <w:rsid w:val="00460172"/>
    <w:rsid w:val="0046064C"/>
    <w:rsid w:val="0046071D"/>
    <w:rsid w:val="0046085C"/>
    <w:rsid w:val="00460D14"/>
    <w:rsid w:val="004623B9"/>
    <w:rsid w:val="004624C9"/>
    <w:rsid w:val="00462FF8"/>
    <w:rsid w:val="00463135"/>
    <w:rsid w:val="00463734"/>
    <w:rsid w:val="004638A7"/>
    <w:rsid w:val="00463966"/>
    <w:rsid w:val="00463E05"/>
    <w:rsid w:val="004645E9"/>
    <w:rsid w:val="00464BBD"/>
    <w:rsid w:val="00464F4F"/>
    <w:rsid w:val="00466100"/>
    <w:rsid w:val="0046713A"/>
    <w:rsid w:val="00467C97"/>
    <w:rsid w:val="00470226"/>
    <w:rsid w:val="004709CA"/>
    <w:rsid w:val="004711BC"/>
    <w:rsid w:val="00471429"/>
    <w:rsid w:val="00471E18"/>
    <w:rsid w:val="00472669"/>
    <w:rsid w:val="00472D4A"/>
    <w:rsid w:val="00473442"/>
    <w:rsid w:val="0047361A"/>
    <w:rsid w:val="00473896"/>
    <w:rsid w:val="00473A15"/>
    <w:rsid w:val="00473A33"/>
    <w:rsid w:val="00473E91"/>
    <w:rsid w:val="00474AEB"/>
    <w:rsid w:val="00475341"/>
    <w:rsid w:val="00475FB1"/>
    <w:rsid w:val="004760AA"/>
    <w:rsid w:val="004761C4"/>
    <w:rsid w:val="004762BD"/>
    <w:rsid w:val="004764E5"/>
    <w:rsid w:val="0047673B"/>
    <w:rsid w:val="004769E5"/>
    <w:rsid w:val="00476CD7"/>
    <w:rsid w:val="004771CA"/>
    <w:rsid w:val="00477A6D"/>
    <w:rsid w:val="00477A97"/>
    <w:rsid w:val="0048003B"/>
    <w:rsid w:val="004803AA"/>
    <w:rsid w:val="004806DA"/>
    <w:rsid w:val="00480B78"/>
    <w:rsid w:val="00480EDC"/>
    <w:rsid w:val="00481489"/>
    <w:rsid w:val="00481EDE"/>
    <w:rsid w:val="004820C0"/>
    <w:rsid w:val="00482595"/>
    <w:rsid w:val="0048381F"/>
    <w:rsid w:val="0048453D"/>
    <w:rsid w:val="00484A7E"/>
    <w:rsid w:val="00484C1C"/>
    <w:rsid w:val="00484F1E"/>
    <w:rsid w:val="00485157"/>
    <w:rsid w:val="004854AB"/>
    <w:rsid w:val="004855F7"/>
    <w:rsid w:val="004857D5"/>
    <w:rsid w:val="0048596A"/>
    <w:rsid w:val="00485FCD"/>
    <w:rsid w:val="00486104"/>
    <w:rsid w:val="00486A26"/>
    <w:rsid w:val="00486FDE"/>
    <w:rsid w:val="00491039"/>
    <w:rsid w:val="00491F6F"/>
    <w:rsid w:val="00492346"/>
    <w:rsid w:val="0049250F"/>
    <w:rsid w:val="004926F8"/>
    <w:rsid w:val="00492D8D"/>
    <w:rsid w:val="004939D7"/>
    <w:rsid w:val="004949A5"/>
    <w:rsid w:val="00495268"/>
    <w:rsid w:val="00495619"/>
    <w:rsid w:val="004959A3"/>
    <w:rsid w:val="00495C25"/>
    <w:rsid w:val="00496A0B"/>
    <w:rsid w:val="00497A69"/>
    <w:rsid w:val="00497CA1"/>
    <w:rsid w:val="00497CEE"/>
    <w:rsid w:val="00497E73"/>
    <w:rsid w:val="00497EB3"/>
    <w:rsid w:val="00497FE1"/>
    <w:rsid w:val="004A00A8"/>
    <w:rsid w:val="004A07AA"/>
    <w:rsid w:val="004A0BB5"/>
    <w:rsid w:val="004A0CB0"/>
    <w:rsid w:val="004A1024"/>
    <w:rsid w:val="004A1286"/>
    <w:rsid w:val="004A2453"/>
    <w:rsid w:val="004A2D4F"/>
    <w:rsid w:val="004A358C"/>
    <w:rsid w:val="004A3C00"/>
    <w:rsid w:val="004A564A"/>
    <w:rsid w:val="004A65DB"/>
    <w:rsid w:val="004A6C05"/>
    <w:rsid w:val="004A705E"/>
    <w:rsid w:val="004A79E3"/>
    <w:rsid w:val="004B05BB"/>
    <w:rsid w:val="004B0892"/>
    <w:rsid w:val="004B0D02"/>
    <w:rsid w:val="004B135D"/>
    <w:rsid w:val="004B2274"/>
    <w:rsid w:val="004B2BF2"/>
    <w:rsid w:val="004B2D66"/>
    <w:rsid w:val="004B452C"/>
    <w:rsid w:val="004B4714"/>
    <w:rsid w:val="004B4CD3"/>
    <w:rsid w:val="004B50A7"/>
    <w:rsid w:val="004B5FD9"/>
    <w:rsid w:val="004B65EB"/>
    <w:rsid w:val="004B6DED"/>
    <w:rsid w:val="004B758C"/>
    <w:rsid w:val="004C024E"/>
    <w:rsid w:val="004C0265"/>
    <w:rsid w:val="004C0562"/>
    <w:rsid w:val="004C110C"/>
    <w:rsid w:val="004C1AEC"/>
    <w:rsid w:val="004C1F79"/>
    <w:rsid w:val="004C202C"/>
    <w:rsid w:val="004C2D33"/>
    <w:rsid w:val="004C3283"/>
    <w:rsid w:val="004C33DA"/>
    <w:rsid w:val="004C34A2"/>
    <w:rsid w:val="004C400E"/>
    <w:rsid w:val="004C45B9"/>
    <w:rsid w:val="004C5498"/>
    <w:rsid w:val="004C58C3"/>
    <w:rsid w:val="004C59AF"/>
    <w:rsid w:val="004C5C29"/>
    <w:rsid w:val="004C5DCA"/>
    <w:rsid w:val="004C5E56"/>
    <w:rsid w:val="004C6007"/>
    <w:rsid w:val="004C61F5"/>
    <w:rsid w:val="004C66FC"/>
    <w:rsid w:val="004C67C0"/>
    <w:rsid w:val="004C6B83"/>
    <w:rsid w:val="004C6C18"/>
    <w:rsid w:val="004C6C65"/>
    <w:rsid w:val="004C6ED8"/>
    <w:rsid w:val="004C7BCF"/>
    <w:rsid w:val="004C7E3B"/>
    <w:rsid w:val="004C7FE8"/>
    <w:rsid w:val="004D0531"/>
    <w:rsid w:val="004D0D6D"/>
    <w:rsid w:val="004D214A"/>
    <w:rsid w:val="004D21B2"/>
    <w:rsid w:val="004D29DB"/>
    <w:rsid w:val="004D2B43"/>
    <w:rsid w:val="004D390A"/>
    <w:rsid w:val="004D40F1"/>
    <w:rsid w:val="004D4141"/>
    <w:rsid w:val="004D459A"/>
    <w:rsid w:val="004D5E79"/>
    <w:rsid w:val="004D62F3"/>
    <w:rsid w:val="004D6A2C"/>
    <w:rsid w:val="004D6BB6"/>
    <w:rsid w:val="004D6EBA"/>
    <w:rsid w:val="004D6F93"/>
    <w:rsid w:val="004D7445"/>
    <w:rsid w:val="004D77E9"/>
    <w:rsid w:val="004D7A2C"/>
    <w:rsid w:val="004E00CE"/>
    <w:rsid w:val="004E06FF"/>
    <w:rsid w:val="004E2C88"/>
    <w:rsid w:val="004E33DC"/>
    <w:rsid w:val="004E33E4"/>
    <w:rsid w:val="004E39E0"/>
    <w:rsid w:val="004E4443"/>
    <w:rsid w:val="004E4520"/>
    <w:rsid w:val="004E4715"/>
    <w:rsid w:val="004E4733"/>
    <w:rsid w:val="004E4EA6"/>
    <w:rsid w:val="004E57D8"/>
    <w:rsid w:val="004E737F"/>
    <w:rsid w:val="004E7D8D"/>
    <w:rsid w:val="004E7E6B"/>
    <w:rsid w:val="004F0C8E"/>
    <w:rsid w:val="004F1301"/>
    <w:rsid w:val="004F1DA4"/>
    <w:rsid w:val="004F254E"/>
    <w:rsid w:val="004F30E1"/>
    <w:rsid w:val="004F3121"/>
    <w:rsid w:val="004F344A"/>
    <w:rsid w:val="004F3588"/>
    <w:rsid w:val="004F3706"/>
    <w:rsid w:val="004F3A4F"/>
    <w:rsid w:val="004F3C4D"/>
    <w:rsid w:val="004F476A"/>
    <w:rsid w:val="004F4DE1"/>
    <w:rsid w:val="004F4E46"/>
    <w:rsid w:val="004F50C0"/>
    <w:rsid w:val="004F5FE6"/>
    <w:rsid w:val="004F6469"/>
    <w:rsid w:val="004F6B91"/>
    <w:rsid w:val="004F765E"/>
    <w:rsid w:val="00501285"/>
    <w:rsid w:val="005014FF"/>
    <w:rsid w:val="005015D2"/>
    <w:rsid w:val="0050199D"/>
    <w:rsid w:val="0050230D"/>
    <w:rsid w:val="00502C75"/>
    <w:rsid w:val="00503C0B"/>
    <w:rsid w:val="00503D6E"/>
    <w:rsid w:val="005043D6"/>
    <w:rsid w:val="00504A8A"/>
    <w:rsid w:val="00504D69"/>
    <w:rsid w:val="00505394"/>
    <w:rsid w:val="00505EB9"/>
    <w:rsid w:val="00505EC0"/>
    <w:rsid w:val="00506525"/>
    <w:rsid w:val="00506865"/>
    <w:rsid w:val="00506D78"/>
    <w:rsid w:val="005072CB"/>
    <w:rsid w:val="005073D2"/>
    <w:rsid w:val="00507B7C"/>
    <w:rsid w:val="00510305"/>
    <w:rsid w:val="005103BA"/>
    <w:rsid w:val="0051119B"/>
    <w:rsid w:val="00511588"/>
    <w:rsid w:val="00511E12"/>
    <w:rsid w:val="005125A4"/>
    <w:rsid w:val="005131BD"/>
    <w:rsid w:val="00513A59"/>
    <w:rsid w:val="00513DCF"/>
    <w:rsid w:val="0051434A"/>
    <w:rsid w:val="005143D9"/>
    <w:rsid w:val="00514644"/>
    <w:rsid w:val="0051490E"/>
    <w:rsid w:val="00515EC9"/>
    <w:rsid w:val="00516412"/>
    <w:rsid w:val="005164D5"/>
    <w:rsid w:val="005166B3"/>
    <w:rsid w:val="005166E9"/>
    <w:rsid w:val="00516CFC"/>
    <w:rsid w:val="00517A9B"/>
    <w:rsid w:val="00517B08"/>
    <w:rsid w:val="00517FCB"/>
    <w:rsid w:val="005202DB"/>
    <w:rsid w:val="005204A2"/>
    <w:rsid w:val="00520524"/>
    <w:rsid w:val="005206F6"/>
    <w:rsid w:val="0052096B"/>
    <w:rsid w:val="0052123B"/>
    <w:rsid w:val="0052130F"/>
    <w:rsid w:val="00521484"/>
    <w:rsid w:val="005214C7"/>
    <w:rsid w:val="00521719"/>
    <w:rsid w:val="00522FA1"/>
    <w:rsid w:val="0052362C"/>
    <w:rsid w:val="0052392E"/>
    <w:rsid w:val="00523BD3"/>
    <w:rsid w:val="00524FF8"/>
    <w:rsid w:val="005252E5"/>
    <w:rsid w:val="0052725D"/>
    <w:rsid w:val="00527B04"/>
    <w:rsid w:val="00527B81"/>
    <w:rsid w:val="00527C01"/>
    <w:rsid w:val="0053041F"/>
    <w:rsid w:val="005305A0"/>
    <w:rsid w:val="005311CF"/>
    <w:rsid w:val="00531530"/>
    <w:rsid w:val="0053162F"/>
    <w:rsid w:val="00531F08"/>
    <w:rsid w:val="00531F0A"/>
    <w:rsid w:val="005325B5"/>
    <w:rsid w:val="0053350F"/>
    <w:rsid w:val="00533F0C"/>
    <w:rsid w:val="00534FAB"/>
    <w:rsid w:val="00535FC0"/>
    <w:rsid w:val="00535FFD"/>
    <w:rsid w:val="005361ED"/>
    <w:rsid w:val="005369E7"/>
    <w:rsid w:val="00540028"/>
    <w:rsid w:val="00540C48"/>
    <w:rsid w:val="00541359"/>
    <w:rsid w:val="0054195B"/>
    <w:rsid w:val="005419E2"/>
    <w:rsid w:val="00541B63"/>
    <w:rsid w:val="005427DF"/>
    <w:rsid w:val="00542D39"/>
    <w:rsid w:val="005432E8"/>
    <w:rsid w:val="00544364"/>
    <w:rsid w:val="00544367"/>
    <w:rsid w:val="0054457E"/>
    <w:rsid w:val="005446EF"/>
    <w:rsid w:val="00544A0E"/>
    <w:rsid w:val="00544A6A"/>
    <w:rsid w:val="00544C9A"/>
    <w:rsid w:val="005455C2"/>
    <w:rsid w:val="00546A80"/>
    <w:rsid w:val="00546BA9"/>
    <w:rsid w:val="00547557"/>
    <w:rsid w:val="005476AF"/>
    <w:rsid w:val="005476E4"/>
    <w:rsid w:val="00550362"/>
    <w:rsid w:val="005505A7"/>
    <w:rsid w:val="005513E4"/>
    <w:rsid w:val="00551477"/>
    <w:rsid w:val="00551DC9"/>
    <w:rsid w:val="005529C9"/>
    <w:rsid w:val="00553C68"/>
    <w:rsid w:val="005541F7"/>
    <w:rsid w:val="00554424"/>
    <w:rsid w:val="005549E1"/>
    <w:rsid w:val="00554A2A"/>
    <w:rsid w:val="0055588D"/>
    <w:rsid w:val="0055664E"/>
    <w:rsid w:val="00556A2D"/>
    <w:rsid w:val="00556CE8"/>
    <w:rsid w:val="00556EE0"/>
    <w:rsid w:val="00557DBB"/>
    <w:rsid w:val="00560390"/>
    <w:rsid w:val="0056096D"/>
    <w:rsid w:val="00560BDD"/>
    <w:rsid w:val="00560C1E"/>
    <w:rsid w:val="0056135B"/>
    <w:rsid w:val="00561703"/>
    <w:rsid w:val="005617EB"/>
    <w:rsid w:val="0056185A"/>
    <w:rsid w:val="0056199E"/>
    <w:rsid w:val="00561ECA"/>
    <w:rsid w:val="00562443"/>
    <w:rsid w:val="00562E2A"/>
    <w:rsid w:val="00563DE4"/>
    <w:rsid w:val="00563F98"/>
    <w:rsid w:val="00566B8F"/>
    <w:rsid w:val="00566BC8"/>
    <w:rsid w:val="005673AA"/>
    <w:rsid w:val="00567644"/>
    <w:rsid w:val="00567AD5"/>
    <w:rsid w:val="00567C47"/>
    <w:rsid w:val="005705F4"/>
    <w:rsid w:val="00572E49"/>
    <w:rsid w:val="005736FF"/>
    <w:rsid w:val="00573E64"/>
    <w:rsid w:val="005747FA"/>
    <w:rsid w:val="00574DB3"/>
    <w:rsid w:val="005751AF"/>
    <w:rsid w:val="00575311"/>
    <w:rsid w:val="005754F4"/>
    <w:rsid w:val="00575B59"/>
    <w:rsid w:val="005774AD"/>
    <w:rsid w:val="0057750D"/>
    <w:rsid w:val="00577604"/>
    <w:rsid w:val="00577C90"/>
    <w:rsid w:val="00577D10"/>
    <w:rsid w:val="0058066D"/>
    <w:rsid w:val="005808CC"/>
    <w:rsid w:val="00580AD5"/>
    <w:rsid w:val="00580B32"/>
    <w:rsid w:val="00581408"/>
    <w:rsid w:val="00581CE4"/>
    <w:rsid w:val="00582D23"/>
    <w:rsid w:val="00582D83"/>
    <w:rsid w:val="00584315"/>
    <w:rsid w:val="00584445"/>
    <w:rsid w:val="00584582"/>
    <w:rsid w:val="00584F5B"/>
    <w:rsid w:val="00585BCC"/>
    <w:rsid w:val="00585DA0"/>
    <w:rsid w:val="0058695A"/>
    <w:rsid w:val="00586BE3"/>
    <w:rsid w:val="0058778D"/>
    <w:rsid w:val="00587E14"/>
    <w:rsid w:val="00591155"/>
    <w:rsid w:val="00591948"/>
    <w:rsid w:val="00591DA5"/>
    <w:rsid w:val="005927EF"/>
    <w:rsid w:val="00592E3C"/>
    <w:rsid w:val="005930E4"/>
    <w:rsid w:val="00593605"/>
    <w:rsid w:val="00594466"/>
    <w:rsid w:val="00594646"/>
    <w:rsid w:val="005948E2"/>
    <w:rsid w:val="00594BCE"/>
    <w:rsid w:val="00594E81"/>
    <w:rsid w:val="00596E16"/>
    <w:rsid w:val="005975F3"/>
    <w:rsid w:val="00597791"/>
    <w:rsid w:val="005A0754"/>
    <w:rsid w:val="005A1024"/>
    <w:rsid w:val="005A1239"/>
    <w:rsid w:val="005A1C4C"/>
    <w:rsid w:val="005A1E2E"/>
    <w:rsid w:val="005A240B"/>
    <w:rsid w:val="005A254E"/>
    <w:rsid w:val="005A30EF"/>
    <w:rsid w:val="005A3244"/>
    <w:rsid w:val="005A34F9"/>
    <w:rsid w:val="005A559F"/>
    <w:rsid w:val="005A5BF8"/>
    <w:rsid w:val="005A6550"/>
    <w:rsid w:val="005A67CC"/>
    <w:rsid w:val="005A7246"/>
    <w:rsid w:val="005A7BA0"/>
    <w:rsid w:val="005B0C29"/>
    <w:rsid w:val="005B0E4A"/>
    <w:rsid w:val="005B21F5"/>
    <w:rsid w:val="005B2319"/>
    <w:rsid w:val="005B2495"/>
    <w:rsid w:val="005B2624"/>
    <w:rsid w:val="005B3318"/>
    <w:rsid w:val="005B3A7B"/>
    <w:rsid w:val="005B40CD"/>
    <w:rsid w:val="005B4267"/>
    <w:rsid w:val="005B44AF"/>
    <w:rsid w:val="005B465B"/>
    <w:rsid w:val="005B48F9"/>
    <w:rsid w:val="005B5047"/>
    <w:rsid w:val="005B5217"/>
    <w:rsid w:val="005B566E"/>
    <w:rsid w:val="005B5D7E"/>
    <w:rsid w:val="005B5DED"/>
    <w:rsid w:val="005B64DF"/>
    <w:rsid w:val="005B66F0"/>
    <w:rsid w:val="005B6DD1"/>
    <w:rsid w:val="005B6FAC"/>
    <w:rsid w:val="005B74E4"/>
    <w:rsid w:val="005B798F"/>
    <w:rsid w:val="005B79AF"/>
    <w:rsid w:val="005B7A3F"/>
    <w:rsid w:val="005B7C1F"/>
    <w:rsid w:val="005B7E35"/>
    <w:rsid w:val="005C0ACE"/>
    <w:rsid w:val="005C163B"/>
    <w:rsid w:val="005C1B88"/>
    <w:rsid w:val="005C1B97"/>
    <w:rsid w:val="005C1EBE"/>
    <w:rsid w:val="005C32B9"/>
    <w:rsid w:val="005C32EB"/>
    <w:rsid w:val="005C39BD"/>
    <w:rsid w:val="005C3F84"/>
    <w:rsid w:val="005C51D9"/>
    <w:rsid w:val="005C5A21"/>
    <w:rsid w:val="005C60A1"/>
    <w:rsid w:val="005C7B66"/>
    <w:rsid w:val="005D09DA"/>
    <w:rsid w:val="005D0B10"/>
    <w:rsid w:val="005D0B26"/>
    <w:rsid w:val="005D1C6E"/>
    <w:rsid w:val="005D22A0"/>
    <w:rsid w:val="005D243B"/>
    <w:rsid w:val="005D2511"/>
    <w:rsid w:val="005D2811"/>
    <w:rsid w:val="005D31B1"/>
    <w:rsid w:val="005D3280"/>
    <w:rsid w:val="005D3378"/>
    <w:rsid w:val="005D3E0E"/>
    <w:rsid w:val="005D4540"/>
    <w:rsid w:val="005D4EA6"/>
    <w:rsid w:val="005D5194"/>
    <w:rsid w:val="005D542E"/>
    <w:rsid w:val="005D55B1"/>
    <w:rsid w:val="005D607F"/>
    <w:rsid w:val="005D655F"/>
    <w:rsid w:val="005D6ADC"/>
    <w:rsid w:val="005D6BAD"/>
    <w:rsid w:val="005D73E1"/>
    <w:rsid w:val="005D742B"/>
    <w:rsid w:val="005D7979"/>
    <w:rsid w:val="005D7F06"/>
    <w:rsid w:val="005E0153"/>
    <w:rsid w:val="005E0406"/>
    <w:rsid w:val="005E0443"/>
    <w:rsid w:val="005E0578"/>
    <w:rsid w:val="005E08AC"/>
    <w:rsid w:val="005E2A1B"/>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5277"/>
    <w:rsid w:val="005E5570"/>
    <w:rsid w:val="005E55FF"/>
    <w:rsid w:val="005E5A9F"/>
    <w:rsid w:val="005E5AF5"/>
    <w:rsid w:val="005E71D1"/>
    <w:rsid w:val="005E7763"/>
    <w:rsid w:val="005F0208"/>
    <w:rsid w:val="005F0555"/>
    <w:rsid w:val="005F0823"/>
    <w:rsid w:val="005F0890"/>
    <w:rsid w:val="005F117F"/>
    <w:rsid w:val="005F1BB5"/>
    <w:rsid w:val="005F2C38"/>
    <w:rsid w:val="005F3B98"/>
    <w:rsid w:val="005F47B3"/>
    <w:rsid w:val="005F4D31"/>
    <w:rsid w:val="005F5F00"/>
    <w:rsid w:val="005F63D3"/>
    <w:rsid w:val="005F6A25"/>
    <w:rsid w:val="005F6F57"/>
    <w:rsid w:val="005F7142"/>
    <w:rsid w:val="005F7A64"/>
    <w:rsid w:val="005F7C1C"/>
    <w:rsid w:val="005F7CF6"/>
    <w:rsid w:val="00600DC7"/>
    <w:rsid w:val="006013FC"/>
    <w:rsid w:val="006016C9"/>
    <w:rsid w:val="00601F7C"/>
    <w:rsid w:val="00602826"/>
    <w:rsid w:val="00602A5D"/>
    <w:rsid w:val="006032B4"/>
    <w:rsid w:val="00603C51"/>
    <w:rsid w:val="00603F1F"/>
    <w:rsid w:val="00604666"/>
    <w:rsid w:val="00604993"/>
    <w:rsid w:val="00604997"/>
    <w:rsid w:val="00605E31"/>
    <w:rsid w:val="00606428"/>
    <w:rsid w:val="006066F8"/>
    <w:rsid w:val="0060703A"/>
    <w:rsid w:val="0060734E"/>
    <w:rsid w:val="006073EB"/>
    <w:rsid w:val="006076FB"/>
    <w:rsid w:val="0061001F"/>
    <w:rsid w:val="00610473"/>
    <w:rsid w:val="0061179F"/>
    <w:rsid w:val="006117D4"/>
    <w:rsid w:val="00611BDB"/>
    <w:rsid w:val="00611C3F"/>
    <w:rsid w:val="00611CF4"/>
    <w:rsid w:val="0061256F"/>
    <w:rsid w:val="00612A88"/>
    <w:rsid w:val="00613B06"/>
    <w:rsid w:val="00613F44"/>
    <w:rsid w:val="006140BA"/>
    <w:rsid w:val="006145AB"/>
    <w:rsid w:val="0061468E"/>
    <w:rsid w:val="00614A51"/>
    <w:rsid w:val="00614A7C"/>
    <w:rsid w:val="00614D6B"/>
    <w:rsid w:val="00614F76"/>
    <w:rsid w:val="006156D1"/>
    <w:rsid w:val="00616430"/>
    <w:rsid w:val="006166C3"/>
    <w:rsid w:val="00616C76"/>
    <w:rsid w:val="006173F0"/>
    <w:rsid w:val="006175AA"/>
    <w:rsid w:val="00617A23"/>
    <w:rsid w:val="006206AB"/>
    <w:rsid w:val="006210AE"/>
    <w:rsid w:val="0062139F"/>
    <w:rsid w:val="00621F03"/>
    <w:rsid w:val="00622AFD"/>
    <w:rsid w:val="00622CED"/>
    <w:rsid w:val="00622E03"/>
    <w:rsid w:val="00624287"/>
    <w:rsid w:val="00624409"/>
    <w:rsid w:val="0062559D"/>
    <w:rsid w:val="0062575C"/>
    <w:rsid w:val="00625D0B"/>
    <w:rsid w:val="00626C77"/>
    <w:rsid w:val="00627BF1"/>
    <w:rsid w:val="00627FB2"/>
    <w:rsid w:val="006308C0"/>
    <w:rsid w:val="006319DA"/>
    <w:rsid w:val="006323F3"/>
    <w:rsid w:val="006325EA"/>
    <w:rsid w:val="00632834"/>
    <w:rsid w:val="00632B7D"/>
    <w:rsid w:val="00632CC0"/>
    <w:rsid w:val="006333D3"/>
    <w:rsid w:val="00633FA9"/>
    <w:rsid w:val="0063401C"/>
    <w:rsid w:val="006345AA"/>
    <w:rsid w:val="00634D8F"/>
    <w:rsid w:val="00634E7C"/>
    <w:rsid w:val="00635148"/>
    <w:rsid w:val="006351F3"/>
    <w:rsid w:val="00635488"/>
    <w:rsid w:val="00635754"/>
    <w:rsid w:val="00635DF9"/>
    <w:rsid w:val="006360E1"/>
    <w:rsid w:val="006369CA"/>
    <w:rsid w:val="00637023"/>
    <w:rsid w:val="00637293"/>
    <w:rsid w:val="0064131B"/>
    <w:rsid w:val="00641CAF"/>
    <w:rsid w:val="00642504"/>
    <w:rsid w:val="00642569"/>
    <w:rsid w:val="00642896"/>
    <w:rsid w:val="00644114"/>
    <w:rsid w:val="006448CC"/>
    <w:rsid w:val="00644CD5"/>
    <w:rsid w:val="00645BB7"/>
    <w:rsid w:val="00645C5B"/>
    <w:rsid w:val="00647012"/>
    <w:rsid w:val="00647117"/>
    <w:rsid w:val="0064771B"/>
    <w:rsid w:val="00647840"/>
    <w:rsid w:val="006511B2"/>
    <w:rsid w:val="00651769"/>
    <w:rsid w:val="00651D66"/>
    <w:rsid w:val="00652F45"/>
    <w:rsid w:val="00654AEC"/>
    <w:rsid w:val="00654F20"/>
    <w:rsid w:val="006551D9"/>
    <w:rsid w:val="006552EE"/>
    <w:rsid w:val="006552F0"/>
    <w:rsid w:val="0065545D"/>
    <w:rsid w:val="006555F4"/>
    <w:rsid w:val="00655D97"/>
    <w:rsid w:val="00655F5C"/>
    <w:rsid w:val="006563EC"/>
    <w:rsid w:val="006566EA"/>
    <w:rsid w:val="00657233"/>
    <w:rsid w:val="006574EA"/>
    <w:rsid w:val="006576DA"/>
    <w:rsid w:val="006608CF"/>
    <w:rsid w:val="00661489"/>
    <w:rsid w:val="0066171F"/>
    <w:rsid w:val="0066244A"/>
    <w:rsid w:val="00662C7C"/>
    <w:rsid w:val="00662FA8"/>
    <w:rsid w:val="00663157"/>
    <w:rsid w:val="00663BDF"/>
    <w:rsid w:val="00663CBD"/>
    <w:rsid w:val="00664130"/>
    <w:rsid w:val="00664DD2"/>
    <w:rsid w:val="00664EB6"/>
    <w:rsid w:val="00664ECE"/>
    <w:rsid w:val="00664F5B"/>
    <w:rsid w:val="0066515E"/>
    <w:rsid w:val="00665AE4"/>
    <w:rsid w:val="00665AE5"/>
    <w:rsid w:val="00665B0D"/>
    <w:rsid w:val="00665B5C"/>
    <w:rsid w:val="00665F2C"/>
    <w:rsid w:val="00666DD1"/>
    <w:rsid w:val="00666EE9"/>
    <w:rsid w:val="00670458"/>
    <w:rsid w:val="006715CD"/>
    <w:rsid w:val="006719A8"/>
    <w:rsid w:val="00671C60"/>
    <w:rsid w:val="006720E5"/>
    <w:rsid w:val="00672A1D"/>
    <w:rsid w:val="00673223"/>
    <w:rsid w:val="0067371B"/>
    <w:rsid w:val="00674197"/>
    <w:rsid w:val="006742EC"/>
    <w:rsid w:val="00674503"/>
    <w:rsid w:val="00674B3E"/>
    <w:rsid w:val="00674BA4"/>
    <w:rsid w:val="00674FD1"/>
    <w:rsid w:val="0067517E"/>
    <w:rsid w:val="00675D9B"/>
    <w:rsid w:val="00676144"/>
    <w:rsid w:val="0067618A"/>
    <w:rsid w:val="00676916"/>
    <w:rsid w:val="00676A26"/>
    <w:rsid w:val="00676B2B"/>
    <w:rsid w:val="0067788C"/>
    <w:rsid w:val="006807B1"/>
    <w:rsid w:val="00680814"/>
    <w:rsid w:val="0068096B"/>
    <w:rsid w:val="00680FE7"/>
    <w:rsid w:val="00682AA6"/>
    <w:rsid w:val="00682B32"/>
    <w:rsid w:val="00682D11"/>
    <w:rsid w:val="00683E3C"/>
    <w:rsid w:val="0068445B"/>
    <w:rsid w:val="00684930"/>
    <w:rsid w:val="00684934"/>
    <w:rsid w:val="00684B02"/>
    <w:rsid w:val="0068500B"/>
    <w:rsid w:val="0068515E"/>
    <w:rsid w:val="00685563"/>
    <w:rsid w:val="006858C8"/>
    <w:rsid w:val="006858C9"/>
    <w:rsid w:val="006862B7"/>
    <w:rsid w:val="0068649B"/>
    <w:rsid w:val="006869B5"/>
    <w:rsid w:val="00686D54"/>
    <w:rsid w:val="00686F44"/>
    <w:rsid w:val="00686F4B"/>
    <w:rsid w:val="00687275"/>
    <w:rsid w:val="0068795E"/>
    <w:rsid w:val="00690134"/>
    <w:rsid w:val="00690556"/>
    <w:rsid w:val="006906BA"/>
    <w:rsid w:val="0069071E"/>
    <w:rsid w:val="00691448"/>
    <w:rsid w:val="00691EEC"/>
    <w:rsid w:val="00691FCB"/>
    <w:rsid w:val="006927A4"/>
    <w:rsid w:val="006935EB"/>
    <w:rsid w:val="006954F3"/>
    <w:rsid w:val="00697643"/>
    <w:rsid w:val="006A123D"/>
    <w:rsid w:val="006A1AAD"/>
    <w:rsid w:val="006A1BF5"/>
    <w:rsid w:val="006A1FF0"/>
    <w:rsid w:val="006A2FCE"/>
    <w:rsid w:val="006A2FEE"/>
    <w:rsid w:val="006A3237"/>
    <w:rsid w:val="006A40E1"/>
    <w:rsid w:val="006A426F"/>
    <w:rsid w:val="006A4644"/>
    <w:rsid w:val="006A4F88"/>
    <w:rsid w:val="006A5B43"/>
    <w:rsid w:val="006A5CED"/>
    <w:rsid w:val="006A671E"/>
    <w:rsid w:val="006A6F5A"/>
    <w:rsid w:val="006A70BC"/>
    <w:rsid w:val="006A7F83"/>
    <w:rsid w:val="006B08FB"/>
    <w:rsid w:val="006B0B3A"/>
    <w:rsid w:val="006B152E"/>
    <w:rsid w:val="006B17D3"/>
    <w:rsid w:val="006B1C53"/>
    <w:rsid w:val="006B1C88"/>
    <w:rsid w:val="006B212B"/>
    <w:rsid w:val="006B3982"/>
    <w:rsid w:val="006B3E5A"/>
    <w:rsid w:val="006B3FC7"/>
    <w:rsid w:val="006B6321"/>
    <w:rsid w:val="006B637C"/>
    <w:rsid w:val="006B6829"/>
    <w:rsid w:val="006B7030"/>
    <w:rsid w:val="006B76A7"/>
    <w:rsid w:val="006C0454"/>
    <w:rsid w:val="006C05EE"/>
    <w:rsid w:val="006C0938"/>
    <w:rsid w:val="006C0ADA"/>
    <w:rsid w:val="006C0DE6"/>
    <w:rsid w:val="006C0FED"/>
    <w:rsid w:val="006C1F02"/>
    <w:rsid w:val="006C2326"/>
    <w:rsid w:val="006C25DD"/>
    <w:rsid w:val="006C26D3"/>
    <w:rsid w:val="006C3672"/>
    <w:rsid w:val="006C367F"/>
    <w:rsid w:val="006C473C"/>
    <w:rsid w:val="006C4A7D"/>
    <w:rsid w:val="006C4BD0"/>
    <w:rsid w:val="006C4D91"/>
    <w:rsid w:val="006C5691"/>
    <w:rsid w:val="006C57A1"/>
    <w:rsid w:val="006C589B"/>
    <w:rsid w:val="006C5C35"/>
    <w:rsid w:val="006C5EBB"/>
    <w:rsid w:val="006C6B22"/>
    <w:rsid w:val="006C6F01"/>
    <w:rsid w:val="006C6FB8"/>
    <w:rsid w:val="006C7219"/>
    <w:rsid w:val="006C7927"/>
    <w:rsid w:val="006D090E"/>
    <w:rsid w:val="006D2252"/>
    <w:rsid w:val="006D26E0"/>
    <w:rsid w:val="006D2764"/>
    <w:rsid w:val="006D2D41"/>
    <w:rsid w:val="006D3B46"/>
    <w:rsid w:val="006D3F41"/>
    <w:rsid w:val="006D4A01"/>
    <w:rsid w:val="006D4B57"/>
    <w:rsid w:val="006D4D0E"/>
    <w:rsid w:val="006D5A9F"/>
    <w:rsid w:val="006D681E"/>
    <w:rsid w:val="006D6D8C"/>
    <w:rsid w:val="006D6FB2"/>
    <w:rsid w:val="006D7590"/>
    <w:rsid w:val="006E0492"/>
    <w:rsid w:val="006E0A42"/>
    <w:rsid w:val="006E0E2D"/>
    <w:rsid w:val="006E1B89"/>
    <w:rsid w:val="006E1C9E"/>
    <w:rsid w:val="006E2035"/>
    <w:rsid w:val="006E256A"/>
    <w:rsid w:val="006E2665"/>
    <w:rsid w:val="006E2AFD"/>
    <w:rsid w:val="006E37C2"/>
    <w:rsid w:val="006E3F9E"/>
    <w:rsid w:val="006E45FA"/>
    <w:rsid w:val="006E46CB"/>
    <w:rsid w:val="006E4CAE"/>
    <w:rsid w:val="006E540C"/>
    <w:rsid w:val="006E5AB6"/>
    <w:rsid w:val="006E5E40"/>
    <w:rsid w:val="006E6163"/>
    <w:rsid w:val="006E65CF"/>
    <w:rsid w:val="006E6A20"/>
    <w:rsid w:val="006E6D95"/>
    <w:rsid w:val="006E770E"/>
    <w:rsid w:val="006E7C04"/>
    <w:rsid w:val="006F018F"/>
    <w:rsid w:val="006F0487"/>
    <w:rsid w:val="006F06E2"/>
    <w:rsid w:val="006F0AFF"/>
    <w:rsid w:val="006F0C49"/>
    <w:rsid w:val="006F13B8"/>
    <w:rsid w:val="006F1EB0"/>
    <w:rsid w:val="006F1FE0"/>
    <w:rsid w:val="006F2836"/>
    <w:rsid w:val="006F2910"/>
    <w:rsid w:val="006F2A62"/>
    <w:rsid w:val="006F2CF2"/>
    <w:rsid w:val="006F3B15"/>
    <w:rsid w:val="006F3EE3"/>
    <w:rsid w:val="006F4607"/>
    <w:rsid w:val="006F4A4B"/>
    <w:rsid w:val="006F553A"/>
    <w:rsid w:val="006F5E3F"/>
    <w:rsid w:val="006F6615"/>
    <w:rsid w:val="006F686E"/>
    <w:rsid w:val="006F7323"/>
    <w:rsid w:val="00700061"/>
    <w:rsid w:val="0070019B"/>
    <w:rsid w:val="007007A3"/>
    <w:rsid w:val="00700A43"/>
    <w:rsid w:val="00700D77"/>
    <w:rsid w:val="00701472"/>
    <w:rsid w:val="00701CF6"/>
    <w:rsid w:val="0070227A"/>
    <w:rsid w:val="007029E4"/>
    <w:rsid w:val="007033B8"/>
    <w:rsid w:val="00703509"/>
    <w:rsid w:val="0070391C"/>
    <w:rsid w:val="0070549A"/>
    <w:rsid w:val="00705C74"/>
    <w:rsid w:val="0070640A"/>
    <w:rsid w:val="00706E70"/>
    <w:rsid w:val="00706F9A"/>
    <w:rsid w:val="0070706B"/>
    <w:rsid w:val="007075C2"/>
    <w:rsid w:val="007078DF"/>
    <w:rsid w:val="00707DAB"/>
    <w:rsid w:val="00707FBF"/>
    <w:rsid w:val="0071086A"/>
    <w:rsid w:val="0071088A"/>
    <w:rsid w:val="00710E06"/>
    <w:rsid w:val="00711595"/>
    <w:rsid w:val="0071167F"/>
    <w:rsid w:val="00711BD0"/>
    <w:rsid w:val="00711DE6"/>
    <w:rsid w:val="0071240C"/>
    <w:rsid w:val="00712B19"/>
    <w:rsid w:val="00713564"/>
    <w:rsid w:val="00714598"/>
    <w:rsid w:val="00714B07"/>
    <w:rsid w:val="00714DB8"/>
    <w:rsid w:val="0071512E"/>
    <w:rsid w:val="007152A9"/>
    <w:rsid w:val="00715D1C"/>
    <w:rsid w:val="00716AC6"/>
    <w:rsid w:val="00716B4F"/>
    <w:rsid w:val="00716DE8"/>
    <w:rsid w:val="007176DC"/>
    <w:rsid w:val="00717920"/>
    <w:rsid w:val="00717AC1"/>
    <w:rsid w:val="00720440"/>
    <w:rsid w:val="00720445"/>
    <w:rsid w:val="007206EB"/>
    <w:rsid w:val="0072076B"/>
    <w:rsid w:val="00720E75"/>
    <w:rsid w:val="00722186"/>
    <w:rsid w:val="007226A1"/>
    <w:rsid w:val="00722F63"/>
    <w:rsid w:val="00725345"/>
    <w:rsid w:val="0072551B"/>
    <w:rsid w:val="007256A8"/>
    <w:rsid w:val="00726373"/>
    <w:rsid w:val="00726A05"/>
    <w:rsid w:val="007273C3"/>
    <w:rsid w:val="00727B8B"/>
    <w:rsid w:val="007302D1"/>
    <w:rsid w:val="0073055E"/>
    <w:rsid w:val="00730596"/>
    <w:rsid w:val="00730847"/>
    <w:rsid w:val="007317DA"/>
    <w:rsid w:val="00731A9A"/>
    <w:rsid w:val="00732342"/>
    <w:rsid w:val="00732690"/>
    <w:rsid w:val="00735311"/>
    <w:rsid w:val="0073555E"/>
    <w:rsid w:val="00736331"/>
    <w:rsid w:val="007372BC"/>
    <w:rsid w:val="007376BE"/>
    <w:rsid w:val="00740477"/>
    <w:rsid w:val="007404E2"/>
    <w:rsid w:val="00740AA5"/>
    <w:rsid w:val="00740B95"/>
    <w:rsid w:val="00740D48"/>
    <w:rsid w:val="00740FB0"/>
    <w:rsid w:val="007412A3"/>
    <w:rsid w:val="00741440"/>
    <w:rsid w:val="00741BAD"/>
    <w:rsid w:val="00742386"/>
    <w:rsid w:val="00742A62"/>
    <w:rsid w:val="00743394"/>
    <w:rsid w:val="00743D6C"/>
    <w:rsid w:val="00743F47"/>
    <w:rsid w:val="00744289"/>
    <w:rsid w:val="007442A2"/>
    <w:rsid w:val="00744406"/>
    <w:rsid w:val="00744446"/>
    <w:rsid w:val="00744633"/>
    <w:rsid w:val="00744F6E"/>
    <w:rsid w:val="00745082"/>
    <w:rsid w:val="007458BB"/>
    <w:rsid w:val="00745ABE"/>
    <w:rsid w:val="0074628E"/>
    <w:rsid w:val="00746CFF"/>
    <w:rsid w:val="00747E27"/>
    <w:rsid w:val="0075005E"/>
    <w:rsid w:val="00750341"/>
    <w:rsid w:val="00750633"/>
    <w:rsid w:val="0075093E"/>
    <w:rsid w:val="00750C9E"/>
    <w:rsid w:val="00750E5B"/>
    <w:rsid w:val="007513C0"/>
    <w:rsid w:val="00751941"/>
    <w:rsid w:val="00751C40"/>
    <w:rsid w:val="007547AC"/>
    <w:rsid w:val="00754B6C"/>
    <w:rsid w:val="00754C47"/>
    <w:rsid w:val="00754E8A"/>
    <w:rsid w:val="007552DD"/>
    <w:rsid w:val="00755498"/>
    <w:rsid w:val="007556E2"/>
    <w:rsid w:val="00755996"/>
    <w:rsid w:val="0075627D"/>
    <w:rsid w:val="0075643D"/>
    <w:rsid w:val="00760A4F"/>
    <w:rsid w:val="00761C4F"/>
    <w:rsid w:val="00761D82"/>
    <w:rsid w:val="00761FF5"/>
    <w:rsid w:val="00762E16"/>
    <w:rsid w:val="00764942"/>
    <w:rsid w:val="0076525B"/>
    <w:rsid w:val="00765DD9"/>
    <w:rsid w:val="007664D7"/>
    <w:rsid w:val="00766A8D"/>
    <w:rsid w:val="007670F2"/>
    <w:rsid w:val="00767496"/>
    <w:rsid w:val="007679B2"/>
    <w:rsid w:val="00770026"/>
    <w:rsid w:val="00770A50"/>
    <w:rsid w:val="007710D8"/>
    <w:rsid w:val="007720D4"/>
    <w:rsid w:val="007721BE"/>
    <w:rsid w:val="0077283C"/>
    <w:rsid w:val="00772AA3"/>
    <w:rsid w:val="00772B3B"/>
    <w:rsid w:val="007731E1"/>
    <w:rsid w:val="007735B9"/>
    <w:rsid w:val="007737B2"/>
    <w:rsid w:val="00774290"/>
    <w:rsid w:val="00774E92"/>
    <w:rsid w:val="007774AB"/>
    <w:rsid w:val="007777D3"/>
    <w:rsid w:val="00777820"/>
    <w:rsid w:val="0077782E"/>
    <w:rsid w:val="00777EF7"/>
    <w:rsid w:val="00777F7E"/>
    <w:rsid w:val="0078006E"/>
    <w:rsid w:val="00780379"/>
    <w:rsid w:val="00780729"/>
    <w:rsid w:val="00780B8E"/>
    <w:rsid w:val="00780BE2"/>
    <w:rsid w:val="00781B47"/>
    <w:rsid w:val="00781C01"/>
    <w:rsid w:val="00783051"/>
    <w:rsid w:val="00783A34"/>
    <w:rsid w:val="0078451D"/>
    <w:rsid w:val="00784D8D"/>
    <w:rsid w:val="00785333"/>
    <w:rsid w:val="00785756"/>
    <w:rsid w:val="00785ABF"/>
    <w:rsid w:val="00786417"/>
    <w:rsid w:val="00786865"/>
    <w:rsid w:val="0078691B"/>
    <w:rsid w:val="00786A7C"/>
    <w:rsid w:val="00786EC4"/>
    <w:rsid w:val="00787391"/>
    <w:rsid w:val="00787745"/>
    <w:rsid w:val="00787DAE"/>
    <w:rsid w:val="00790209"/>
    <w:rsid w:val="00790223"/>
    <w:rsid w:val="007905FF"/>
    <w:rsid w:val="007906B2"/>
    <w:rsid w:val="00790C8A"/>
    <w:rsid w:val="00791DC5"/>
    <w:rsid w:val="00792721"/>
    <w:rsid w:val="00792993"/>
    <w:rsid w:val="00793230"/>
    <w:rsid w:val="00793D5B"/>
    <w:rsid w:val="00793EE3"/>
    <w:rsid w:val="00794540"/>
    <w:rsid w:val="007948B6"/>
    <w:rsid w:val="00794D15"/>
    <w:rsid w:val="00794EA0"/>
    <w:rsid w:val="00795155"/>
    <w:rsid w:val="00795327"/>
    <w:rsid w:val="00795CE8"/>
    <w:rsid w:val="00795EFD"/>
    <w:rsid w:val="00796072"/>
    <w:rsid w:val="007961FF"/>
    <w:rsid w:val="007976E4"/>
    <w:rsid w:val="00797E2C"/>
    <w:rsid w:val="00797F89"/>
    <w:rsid w:val="007A033E"/>
    <w:rsid w:val="007A04D4"/>
    <w:rsid w:val="007A08E5"/>
    <w:rsid w:val="007A0B54"/>
    <w:rsid w:val="007A11DB"/>
    <w:rsid w:val="007A18DF"/>
    <w:rsid w:val="007A18E5"/>
    <w:rsid w:val="007A2133"/>
    <w:rsid w:val="007A21F1"/>
    <w:rsid w:val="007A27A6"/>
    <w:rsid w:val="007A2BA4"/>
    <w:rsid w:val="007A3256"/>
    <w:rsid w:val="007A3404"/>
    <w:rsid w:val="007A376F"/>
    <w:rsid w:val="007A3F5E"/>
    <w:rsid w:val="007A415F"/>
    <w:rsid w:val="007A44DA"/>
    <w:rsid w:val="007A4557"/>
    <w:rsid w:val="007A497F"/>
    <w:rsid w:val="007A5096"/>
    <w:rsid w:val="007A52C0"/>
    <w:rsid w:val="007A5821"/>
    <w:rsid w:val="007A6D9A"/>
    <w:rsid w:val="007A6FC5"/>
    <w:rsid w:val="007A717A"/>
    <w:rsid w:val="007B0904"/>
    <w:rsid w:val="007B163E"/>
    <w:rsid w:val="007B175B"/>
    <w:rsid w:val="007B2286"/>
    <w:rsid w:val="007B247F"/>
    <w:rsid w:val="007B2A88"/>
    <w:rsid w:val="007B2B18"/>
    <w:rsid w:val="007B3021"/>
    <w:rsid w:val="007B34FE"/>
    <w:rsid w:val="007B4414"/>
    <w:rsid w:val="007B5084"/>
    <w:rsid w:val="007B522C"/>
    <w:rsid w:val="007B5EE1"/>
    <w:rsid w:val="007B5F5D"/>
    <w:rsid w:val="007B66E4"/>
    <w:rsid w:val="007B6D61"/>
    <w:rsid w:val="007B708D"/>
    <w:rsid w:val="007B70CB"/>
    <w:rsid w:val="007C0F00"/>
    <w:rsid w:val="007C12C4"/>
    <w:rsid w:val="007C2716"/>
    <w:rsid w:val="007C293B"/>
    <w:rsid w:val="007C2DE8"/>
    <w:rsid w:val="007C44D4"/>
    <w:rsid w:val="007C4F2D"/>
    <w:rsid w:val="007C5D85"/>
    <w:rsid w:val="007C69F3"/>
    <w:rsid w:val="007C6BD3"/>
    <w:rsid w:val="007C6F3F"/>
    <w:rsid w:val="007C6FC9"/>
    <w:rsid w:val="007C72FD"/>
    <w:rsid w:val="007C784A"/>
    <w:rsid w:val="007C7CF1"/>
    <w:rsid w:val="007D0C67"/>
    <w:rsid w:val="007D1BBC"/>
    <w:rsid w:val="007D2764"/>
    <w:rsid w:val="007D3374"/>
    <w:rsid w:val="007D3A15"/>
    <w:rsid w:val="007D456C"/>
    <w:rsid w:val="007D4959"/>
    <w:rsid w:val="007D4C42"/>
    <w:rsid w:val="007D5377"/>
    <w:rsid w:val="007D55F8"/>
    <w:rsid w:val="007D5EA8"/>
    <w:rsid w:val="007D6C9E"/>
    <w:rsid w:val="007D6E52"/>
    <w:rsid w:val="007D6EB2"/>
    <w:rsid w:val="007D7089"/>
    <w:rsid w:val="007D76BA"/>
    <w:rsid w:val="007D793E"/>
    <w:rsid w:val="007D797F"/>
    <w:rsid w:val="007D7D39"/>
    <w:rsid w:val="007E0111"/>
    <w:rsid w:val="007E01CD"/>
    <w:rsid w:val="007E055E"/>
    <w:rsid w:val="007E1056"/>
    <w:rsid w:val="007E139E"/>
    <w:rsid w:val="007E1FEC"/>
    <w:rsid w:val="007E2747"/>
    <w:rsid w:val="007E2A32"/>
    <w:rsid w:val="007E2FE1"/>
    <w:rsid w:val="007E3126"/>
    <w:rsid w:val="007E3127"/>
    <w:rsid w:val="007E3A4D"/>
    <w:rsid w:val="007E3E5A"/>
    <w:rsid w:val="007E40AE"/>
    <w:rsid w:val="007E42D3"/>
    <w:rsid w:val="007E43C5"/>
    <w:rsid w:val="007E4B3C"/>
    <w:rsid w:val="007E53BF"/>
    <w:rsid w:val="007E54DF"/>
    <w:rsid w:val="007E5AFD"/>
    <w:rsid w:val="007E6403"/>
    <w:rsid w:val="007E649B"/>
    <w:rsid w:val="007E6A88"/>
    <w:rsid w:val="007E6BC9"/>
    <w:rsid w:val="007E7669"/>
    <w:rsid w:val="007E77D3"/>
    <w:rsid w:val="007E7AA5"/>
    <w:rsid w:val="007E7ACF"/>
    <w:rsid w:val="007E7D4E"/>
    <w:rsid w:val="007F2000"/>
    <w:rsid w:val="007F266E"/>
    <w:rsid w:val="007F2681"/>
    <w:rsid w:val="007F30E4"/>
    <w:rsid w:val="007F3E5E"/>
    <w:rsid w:val="007F4BF5"/>
    <w:rsid w:val="007F50E4"/>
    <w:rsid w:val="007F59FB"/>
    <w:rsid w:val="007F5B0B"/>
    <w:rsid w:val="007F60F7"/>
    <w:rsid w:val="007F6224"/>
    <w:rsid w:val="007F62D8"/>
    <w:rsid w:val="007F65EE"/>
    <w:rsid w:val="007F6997"/>
    <w:rsid w:val="007F6D72"/>
    <w:rsid w:val="007F6E3F"/>
    <w:rsid w:val="007F6E5E"/>
    <w:rsid w:val="007F746F"/>
    <w:rsid w:val="007F7E67"/>
    <w:rsid w:val="008003F7"/>
    <w:rsid w:val="008005D2"/>
    <w:rsid w:val="00800E26"/>
    <w:rsid w:val="00800F8E"/>
    <w:rsid w:val="00801588"/>
    <w:rsid w:val="00801A41"/>
    <w:rsid w:val="00801A8A"/>
    <w:rsid w:val="008021CB"/>
    <w:rsid w:val="00802297"/>
    <w:rsid w:val="00803A46"/>
    <w:rsid w:val="00804AF3"/>
    <w:rsid w:val="00805396"/>
    <w:rsid w:val="008054E7"/>
    <w:rsid w:val="008068A0"/>
    <w:rsid w:val="00806F24"/>
    <w:rsid w:val="008078F5"/>
    <w:rsid w:val="0081016B"/>
    <w:rsid w:val="0081056B"/>
    <w:rsid w:val="00810A77"/>
    <w:rsid w:val="00810DB0"/>
    <w:rsid w:val="008116DC"/>
    <w:rsid w:val="00811CE1"/>
    <w:rsid w:val="0081251D"/>
    <w:rsid w:val="00812E90"/>
    <w:rsid w:val="00812EB8"/>
    <w:rsid w:val="00812F16"/>
    <w:rsid w:val="0081315F"/>
    <w:rsid w:val="0081378C"/>
    <w:rsid w:val="008138E4"/>
    <w:rsid w:val="00813E3C"/>
    <w:rsid w:val="0081430C"/>
    <w:rsid w:val="00814523"/>
    <w:rsid w:val="00814ED3"/>
    <w:rsid w:val="008163C2"/>
    <w:rsid w:val="00817381"/>
    <w:rsid w:val="008178AD"/>
    <w:rsid w:val="008178C5"/>
    <w:rsid w:val="0082064C"/>
    <w:rsid w:val="008209AF"/>
    <w:rsid w:val="008212D6"/>
    <w:rsid w:val="008213CB"/>
    <w:rsid w:val="008223B5"/>
    <w:rsid w:val="008227F6"/>
    <w:rsid w:val="00822936"/>
    <w:rsid w:val="00822E9F"/>
    <w:rsid w:val="00823E76"/>
    <w:rsid w:val="00824224"/>
    <w:rsid w:val="00824228"/>
    <w:rsid w:val="008252E0"/>
    <w:rsid w:val="00825490"/>
    <w:rsid w:val="00825DB0"/>
    <w:rsid w:val="00825F0D"/>
    <w:rsid w:val="0082658F"/>
    <w:rsid w:val="00827343"/>
    <w:rsid w:val="0082756D"/>
    <w:rsid w:val="008302A5"/>
    <w:rsid w:val="00831586"/>
    <w:rsid w:val="00831927"/>
    <w:rsid w:val="00832677"/>
    <w:rsid w:val="008339F2"/>
    <w:rsid w:val="00834083"/>
    <w:rsid w:val="00834ACB"/>
    <w:rsid w:val="00834FDE"/>
    <w:rsid w:val="00836150"/>
    <w:rsid w:val="008366FA"/>
    <w:rsid w:val="00836C38"/>
    <w:rsid w:val="00836F84"/>
    <w:rsid w:val="00837366"/>
    <w:rsid w:val="00837EE6"/>
    <w:rsid w:val="00837F23"/>
    <w:rsid w:val="00840B30"/>
    <w:rsid w:val="00840F49"/>
    <w:rsid w:val="008428C1"/>
    <w:rsid w:val="00842A65"/>
    <w:rsid w:val="00842CA9"/>
    <w:rsid w:val="0084350E"/>
    <w:rsid w:val="0084359E"/>
    <w:rsid w:val="008436D6"/>
    <w:rsid w:val="008442B3"/>
    <w:rsid w:val="00844318"/>
    <w:rsid w:val="00844E09"/>
    <w:rsid w:val="00845933"/>
    <w:rsid w:val="00845A88"/>
    <w:rsid w:val="00846220"/>
    <w:rsid w:val="008464DC"/>
    <w:rsid w:val="00846A0F"/>
    <w:rsid w:val="00846CAD"/>
    <w:rsid w:val="00847E3A"/>
    <w:rsid w:val="00850485"/>
    <w:rsid w:val="00850A4C"/>
    <w:rsid w:val="00851242"/>
    <w:rsid w:val="00851593"/>
    <w:rsid w:val="008518EA"/>
    <w:rsid w:val="00851B3D"/>
    <w:rsid w:val="00851B42"/>
    <w:rsid w:val="00851DB4"/>
    <w:rsid w:val="00851F06"/>
    <w:rsid w:val="0085295A"/>
    <w:rsid w:val="00853A99"/>
    <w:rsid w:val="008549B7"/>
    <w:rsid w:val="00855223"/>
    <w:rsid w:val="008565A3"/>
    <w:rsid w:val="008567C4"/>
    <w:rsid w:val="00856AC4"/>
    <w:rsid w:val="00856F27"/>
    <w:rsid w:val="00857790"/>
    <w:rsid w:val="008600DD"/>
    <w:rsid w:val="008601F3"/>
    <w:rsid w:val="00860AAC"/>
    <w:rsid w:val="00861367"/>
    <w:rsid w:val="00861DF4"/>
    <w:rsid w:val="008629E3"/>
    <w:rsid w:val="00864290"/>
    <w:rsid w:val="008642C0"/>
    <w:rsid w:val="00864675"/>
    <w:rsid w:val="0086539A"/>
    <w:rsid w:val="008654A5"/>
    <w:rsid w:val="0086565A"/>
    <w:rsid w:val="00865EAF"/>
    <w:rsid w:val="008667F9"/>
    <w:rsid w:val="00867B69"/>
    <w:rsid w:val="00870435"/>
    <w:rsid w:val="00870482"/>
    <w:rsid w:val="008709B2"/>
    <w:rsid w:val="00870FB2"/>
    <w:rsid w:val="0087148E"/>
    <w:rsid w:val="0087181A"/>
    <w:rsid w:val="00871C70"/>
    <w:rsid w:val="00872A2E"/>
    <w:rsid w:val="00872DAF"/>
    <w:rsid w:val="00872EB0"/>
    <w:rsid w:val="0087340C"/>
    <w:rsid w:val="0087482B"/>
    <w:rsid w:val="00874A20"/>
    <w:rsid w:val="00874F62"/>
    <w:rsid w:val="008750ED"/>
    <w:rsid w:val="0087581D"/>
    <w:rsid w:val="0087720A"/>
    <w:rsid w:val="00877FF3"/>
    <w:rsid w:val="0088112A"/>
    <w:rsid w:val="008820B5"/>
    <w:rsid w:val="00882227"/>
    <w:rsid w:val="00882BAD"/>
    <w:rsid w:val="00883872"/>
    <w:rsid w:val="0088395A"/>
    <w:rsid w:val="00883A4A"/>
    <w:rsid w:val="00883DD5"/>
    <w:rsid w:val="00883F43"/>
    <w:rsid w:val="00884147"/>
    <w:rsid w:val="00884584"/>
    <w:rsid w:val="00884698"/>
    <w:rsid w:val="008849FA"/>
    <w:rsid w:val="00885738"/>
    <w:rsid w:val="00885B2E"/>
    <w:rsid w:val="00886048"/>
    <w:rsid w:val="008865AF"/>
    <w:rsid w:val="008865D4"/>
    <w:rsid w:val="008868BD"/>
    <w:rsid w:val="00886956"/>
    <w:rsid w:val="008872FF"/>
    <w:rsid w:val="0088733C"/>
    <w:rsid w:val="008879D0"/>
    <w:rsid w:val="00887D5E"/>
    <w:rsid w:val="00890288"/>
    <w:rsid w:val="00890385"/>
    <w:rsid w:val="00890ACF"/>
    <w:rsid w:val="00890C03"/>
    <w:rsid w:val="00890C8B"/>
    <w:rsid w:val="00891077"/>
    <w:rsid w:val="00891603"/>
    <w:rsid w:val="00891ABA"/>
    <w:rsid w:val="00891E32"/>
    <w:rsid w:val="008932C3"/>
    <w:rsid w:val="00894283"/>
    <w:rsid w:val="00894FCB"/>
    <w:rsid w:val="00895551"/>
    <w:rsid w:val="008956F1"/>
    <w:rsid w:val="00895CE9"/>
    <w:rsid w:val="008966E9"/>
    <w:rsid w:val="008968EE"/>
    <w:rsid w:val="008972FD"/>
    <w:rsid w:val="0089777D"/>
    <w:rsid w:val="008A037D"/>
    <w:rsid w:val="008A07BF"/>
    <w:rsid w:val="008A151C"/>
    <w:rsid w:val="008A1E73"/>
    <w:rsid w:val="008A2D05"/>
    <w:rsid w:val="008A33A5"/>
    <w:rsid w:val="008A39B1"/>
    <w:rsid w:val="008A3B5E"/>
    <w:rsid w:val="008A4759"/>
    <w:rsid w:val="008A4DCB"/>
    <w:rsid w:val="008A555A"/>
    <w:rsid w:val="008A5AC5"/>
    <w:rsid w:val="008A603F"/>
    <w:rsid w:val="008A6302"/>
    <w:rsid w:val="008A6519"/>
    <w:rsid w:val="008A6952"/>
    <w:rsid w:val="008A6A8B"/>
    <w:rsid w:val="008A793B"/>
    <w:rsid w:val="008A7F53"/>
    <w:rsid w:val="008B0399"/>
    <w:rsid w:val="008B084E"/>
    <w:rsid w:val="008B128D"/>
    <w:rsid w:val="008B150F"/>
    <w:rsid w:val="008B1706"/>
    <w:rsid w:val="008B2E64"/>
    <w:rsid w:val="008B37B5"/>
    <w:rsid w:val="008B39F1"/>
    <w:rsid w:val="008B471D"/>
    <w:rsid w:val="008B4885"/>
    <w:rsid w:val="008B48E1"/>
    <w:rsid w:val="008B4B00"/>
    <w:rsid w:val="008B5F26"/>
    <w:rsid w:val="008B5FB8"/>
    <w:rsid w:val="008B6AD0"/>
    <w:rsid w:val="008B6F5D"/>
    <w:rsid w:val="008B78EC"/>
    <w:rsid w:val="008C01EC"/>
    <w:rsid w:val="008C0407"/>
    <w:rsid w:val="008C0435"/>
    <w:rsid w:val="008C07D4"/>
    <w:rsid w:val="008C1ACE"/>
    <w:rsid w:val="008C21C8"/>
    <w:rsid w:val="008C2431"/>
    <w:rsid w:val="008C26F6"/>
    <w:rsid w:val="008C2AD3"/>
    <w:rsid w:val="008C2C2D"/>
    <w:rsid w:val="008C2CC8"/>
    <w:rsid w:val="008C2F29"/>
    <w:rsid w:val="008C35D6"/>
    <w:rsid w:val="008C36D2"/>
    <w:rsid w:val="008C39B9"/>
    <w:rsid w:val="008C3D00"/>
    <w:rsid w:val="008C3D7B"/>
    <w:rsid w:val="008C417C"/>
    <w:rsid w:val="008C44B4"/>
    <w:rsid w:val="008C5264"/>
    <w:rsid w:val="008C54BA"/>
    <w:rsid w:val="008C6233"/>
    <w:rsid w:val="008C6243"/>
    <w:rsid w:val="008C64E5"/>
    <w:rsid w:val="008C6E21"/>
    <w:rsid w:val="008C6E3F"/>
    <w:rsid w:val="008C6F20"/>
    <w:rsid w:val="008C6F9E"/>
    <w:rsid w:val="008C737E"/>
    <w:rsid w:val="008C7452"/>
    <w:rsid w:val="008D0320"/>
    <w:rsid w:val="008D064B"/>
    <w:rsid w:val="008D143D"/>
    <w:rsid w:val="008D145D"/>
    <w:rsid w:val="008D17D7"/>
    <w:rsid w:val="008D3955"/>
    <w:rsid w:val="008D3D19"/>
    <w:rsid w:val="008D3D31"/>
    <w:rsid w:val="008D5861"/>
    <w:rsid w:val="008D5ED6"/>
    <w:rsid w:val="008D6328"/>
    <w:rsid w:val="008D69DA"/>
    <w:rsid w:val="008D6B72"/>
    <w:rsid w:val="008D6D85"/>
    <w:rsid w:val="008D6FF3"/>
    <w:rsid w:val="008D73A0"/>
    <w:rsid w:val="008D792A"/>
    <w:rsid w:val="008E021C"/>
    <w:rsid w:val="008E143A"/>
    <w:rsid w:val="008E14D4"/>
    <w:rsid w:val="008E1EFC"/>
    <w:rsid w:val="008E2408"/>
    <w:rsid w:val="008E2B6C"/>
    <w:rsid w:val="008E3C1B"/>
    <w:rsid w:val="008E41EB"/>
    <w:rsid w:val="008E44C5"/>
    <w:rsid w:val="008E5275"/>
    <w:rsid w:val="008E57E1"/>
    <w:rsid w:val="008E58E9"/>
    <w:rsid w:val="008E6310"/>
    <w:rsid w:val="008E6AF7"/>
    <w:rsid w:val="008E751A"/>
    <w:rsid w:val="008E78EC"/>
    <w:rsid w:val="008E7F63"/>
    <w:rsid w:val="008F00C3"/>
    <w:rsid w:val="008F01F6"/>
    <w:rsid w:val="008F128E"/>
    <w:rsid w:val="008F13B8"/>
    <w:rsid w:val="008F1626"/>
    <w:rsid w:val="008F1A35"/>
    <w:rsid w:val="008F21F4"/>
    <w:rsid w:val="008F23AB"/>
    <w:rsid w:val="008F25DB"/>
    <w:rsid w:val="008F2DF3"/>
    <w:rsid w:val="008F3FB1"/>
    <w:rsid w:val="008F4044"/>
    <w:rsid w:val="008F46B0"/>
    <w:rsid w:val="008F48B3"/>
    <w:rsid w:val="008F5454"/>
    <w:rsid w:val="008F6506"/>
    <w:rsid w:val="009003D1"/>
    <w:rsid w:val="0090047A"/>
    <w:rsid w:val="009005BA"/>
    <w:rsid w:val="009005BE"/>
    <w:rsid w:val="00900804"/>
    <w:rsid w:val="00901F13"/>
    <w:rsid w:val="00902220"/>
    <w:rsid w:val="0090255B"/>
    <w:rsid w:val="00902C59"/>
    <w:rsid w:val="00903A9A"/>
    <w:rsid w:val="009046D2"/>
    <w:rsid w:val="00904A11"/>
    <w:rsid w:val="009051B5"/>
    <w:rsid w:val="0090539E"/>
    <w:rsid w:val="009055D2"/>
    <w:rsid w:val="0090564E"/>
    <w:rsid w:val="00905A7D"/>
    <w:rsid w:val="00905B00"/>
    <w:rsid w:val="00907A42"/>
    <w:rsid w:val="00907BCA"/>
    <w:rsid w:val="00907C5E"/>
    <w:rsid w:val="009101AA"/>
    <w:rsid w:val="0091175B"/>
    <w:rsid w:val="009119C1"/>
    <w:rsid w:val="00911AC0"/>
    <w:rsid w:val="009120C5"/>
    <w:rsid w:val="009126FC"/>
    <w:rsid w:val="009133B0"/>
    <w:rsid w:val="009137AE"/>
    <w:rsid w:val="009139CA"/>
    <w:rsid w:val="00913CF4"/>
    <w:rsid w:val="00914359"/>
    <w:rsid w:val="009156AA"/>
    <w:rsid w:val="00915EC1"/>
    <w:rsid w:val="009164CD"/>
    <w:rsid w:val="0091679F"/>
    <w:rsid w:val="00916FED"/>
    <w:rsid w:val="00917BB3"/>
    <w:rsid w:val="00920E25"/>
    <w:rsid w:val="00921377"/>
    <w:rsid w:val="00921F2A"/>
    <w:rsid w:val="009221B9"/>
    <w:rsid w:val="00922290"/>
    <w:rsid w:val="009225FD"/>
    <w:rsid w:val="0092260C"/>
    <w:rsid w:val="00922A97"/>
    <w:rsid w:val="00922DAC"/>
    <w:rsid w:val="009231EF"/>
    <w:rsid w:val="0092334F"/>
    <w:rsid w:val="0092378A"/>
    <w:rsid w:val="009238F5"/>
    <w:rsid w:val="00924992"/>
    <w:rsid w:val="0092547B"/>
    <w:rsid w:val="00925726"/>
    <w:rsid w:val="00925AD0"/>
    <w:rsid w:val="00925F86"/>
    <w:rsid w:val="00927532"/>
    <w:rsid w:val="00927CBC"/>
    <w:rsid w:val="009310A7"/>
    <w:rsid w:val="009323AA"/>
    <w:rsid w:val="00932618"/>
    <w:rsid w:val="0093261A"/>
    <w:rsid w:val="00933173"/>
    <w:rsid w:val="00933320"/>
    <w:rsid w:val="0093361C"/>
    <w:rsid w:val="00933695"/>
    <w:rsid w:val="00933CC4"/>
    <w:rsid w:val="00934298"/>
    <w:rsid w:val="00934649"/>
    <w:rsid w:val="00935AFB"/>
    <w:rsid w:val="0093610E"/>
    <w:rsid w:val="00936618"/>
    <w:rsid w:val="009371A8"/>
    <w:rsid w:val="009371C2"/>
    <w:rsid w:val="00937FEE"/>
    <w:rsid w:val="009402AD"/>
    <w:rsid w:val="009404D6"/>
    <w:rsid w:val="00940DB6"/>
    <w:rsid w:val="00940FC9"/>
    <w:rsid w:val="009410D3"/>
    <w:rsid w:val="00941D59"/>
    <w:rsid w:val="0094250F"/>
    <w:rsid w:val="00942AE1"/>
    <w:rsid w:val="00942E24"/>
    <w:rsid w:val="00942F9D"/>
    <w:rsid w:val="009448BD"/>
    <w:rsid w:val="00944B08"/>
    <w:rsid w:val="00944CD8"/>
    <w:rsid w:val="00944F65"/>
    <w:rsid w:val="009458C8"/>
    <w:rsid w:val="009463BB"/>
    <w:rsid w:val="00946958"/>
    <w:rsid w:val="009475F6"/>
    <w:rsid w:val="00947A6D"/>
    <w:rsid w:val="00950898"/>
    <w:rsid w:val="00951068"/>
    <w:rsid w:val="0095128E"/>
    <w:rsid w:val="00951C93"/>
    <w:rsid w:val="00953315"/>
    <w:rsid w:val="009534AF"/>
    <w:rsid w:val="00954A4F"/>
    <w:rsid w:val="00954B6A"/>
    <w:rsid w:val="0095510E"/>
    <w:rsid w:val="009552E1"/>
    <w:rsid w:val="00956AFB"/>
    <w:rsid w:val="00956B1D"/>
    <w:rsid w:val="00957283"/>
    <w:rsid w:val="00957C19"/>
    <w:rsid w:val="009609FF"/>
    <w:rsid w:val="00960C10"/>
    <w:rsid w:val="00960C59"/>
    <w:rsid w:val="00960E98"/>
    <w:rsid w:val="00961B65"/>
    <w:rsid w:val="00961EE7"/>
    <w:rsid w:val="00962532"/>
    <w:rsid w:val="00963B35"/>
    <w:rsid w:val="0096404E"/>
    <w:rsid w:val="009647C4"/>
    <w:rsid w:val="00964802"/>
    <w:rsid w:val="009651EC"/>
    <w:rsid w:val="0096562C"/>
    <w:rsid w:val="0096753F"/>
    <w:rsid w:val="00967793"/>
    <w:rsid w:val="00967C74"/>
    <w:rsid w:val="00967CF2"/>
    <w:rsid w:val="00967DC6"/>
    <w:rsid w:val="00970450"/>
    <w:rsid w:val="00970E9F"/>
    <w:rsid w:val="0097135B"/>
    <w:rsid w:val="00971A05"/>
    <w:rsid w:val="00971EDF"/>
    <w:rsid w:val="00972A14"/>
    <w:rsid w:val="00973354"/>
    <w:rsid w:val="009738E8"/>
    <w:rsid w:val="00974287"/>
    <w:rsid w:val="00975AB0"/>
    <w:rsid w:val="00976684"/>
    <w:rsid w:val="009768EB"/>
    <w:rsid w:val="00976DCA"/>
    <w:rsid w:val="00977044"/>
    <w:rsid w:val="00977993"/>
    <w:rsid w:val="009806D7"/>
    <w:rsid w:val="00980755"/>
    <w:rsid w:val="00980773"/>
    <w:rsid w:val="00981041"/>
    <w:rsid w:val="00982AE1"/>
    <w:rsid w:val="00982D20"/>
    <w:rsid w:val="0098339B"/>
    <w:rsid w:val="0098377A"/>
    <w:rsid w:val="00983CDF"/>
    <w:rsid w:val="00983EDB"/>
    <w:rsid w:val="00983F0C"/>
    <w:rsid w:val="009853E4"/>
    <w:rsid w:val="0098601D"/>
    <w:rsid w:val="009869FD"/>
    <w:rsid w:val="009872DF"/>
    <w:rsid w:val="009875BF"/>
    <w:rsid w:val="00987681"/>
    <w:rsid w:val="009878BE"/>
    <w:rsid w:val="009878C2"/>
    <w:rsid w:val="00987E8B"/>
    <w:rsid w:val="00987FB9"/>
    <w:rsid w:val="00990241"/>
    <w:rsid w:val="00990423"/>
    <w:rsid w:val="00990453"/>
    <w:rsid w:val="009905D4"/>
    <w:rsid w:val="009907AB"/>
    <w:rsid w:val="00990F2A"/>
    <w:rsid w:val="00991020"/>
    <w:rsid w:val="00991CFC"/>
    <w:rsid w:val="009927D9"/>
    <w:rsid w:val="00992A26"/>
    <w:rsid w:val="00992AEC"/>
    <w:rsid w:val="00993397"/>
    <w:rsid w:val="009933AF"/>
    <w:rsid w:val="00993B34"/>
    <w:rsid w:val="00993B8D"/>
    <w:rsid w:val="00993F80"/>
    <w:rsid w:val="0099413A"/>
    <w:rsid w:val="0099526A"/>
    <w:rsid w:val="009959E4"/>
    <w:rsid w:val="00996384"/>
    <w:rsid w:val="00996A34"/>
    <w:rsid w:val="00996D24"/>
    <w:rsid w:val="009970FC"/>
    <w:rsid w:val="009976AB"/>
    <w:rsid w:val="00997727"/>
    <w:rsid w:val="009A0F3F"/>
    <w:rsid w:val="009A1462"/>
    <w:rsid w:val="009A1518"/>
    <w:rsid w:val="009A15DC"/>
    <w:rsid w:val="009A17F3"/>
    <w:rsid w:val="009A1FED"/>
    <w:rsid w:val="009A213F"/>
    <w:rsid w:val="009A2272"/>
    <w:rsid w:val="009A23E8"/>
    <w:rsid w:val="009A283F"/>
    <w:rsid w:val="009A2BCE"/>
    <w:rsid w:val="009A2CD7"/>
    <w:rsid w:val="009A2F92"/>
    <w:rsid w:val="009A3015"/>
    <w:rsid w:val="009A32FD"/>
    <w:rsid w:val="009A389B"/>
    <w:rsid w:val="009A4FD8"/>
    <w:rsid w:val="009A60B2"/>
    <w:rsid w:val="009A66C7"/>
    <w:rsid w:val="009A6861"/>
    <w:rsid w:val="009B0643"/>
    <w:rsid w:val="009B0664"/>
    <w:rsid w:val="009B0704"/>
    <w:rsid w:val="009B0E43"/>
    <w:rsid w:val="009B11FE"/>
    <w:rsid w:val="009B1670"/>
    <w:rsid w:val="009B1B35"/>
    <w:rsid w:val="009B1CC2"/>
    <w:rsid w:val="009B1D57"/>
    <w:rsid w:val="009B21C2"/>
    <w:rsid w:val="009B2684"/>
    <w:rsid w:val="009B2BC9"/>
    <w:rsid w:val="009B2E8A"/>
    <w:rsid w:val="009B37CD"/>
    <w:rsid w:val="009B3A7E"/>
    <w:rsid w:val="009B3F12"/>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BFA"/>
    <w:rsid w:val="009C1DF4"/>
    <w:rsid w:val="009C1F4C"/>
    <w:rsid w:val="009C209B"/>
    <w:rsid w:val="009C2542"/>
    <w:rsid w:val="009C4294"/>
    <w:rsid w:val="009C4B39"/>
    <w:rsid w:val="009C5E92"/>
    <w:rsid w:val="009C5F4F"/>
    <w:rsid w:val="009C614A"/>
    <w:rsid w:val="009C693C"/>
    <w:rsid w:val="009C6CB9"/>
    <w:rsid w:val="009C7281"/>
    <w:rsid w:val="009C7310"/>
    <w:rsid w:val="009C76DD"/>
    <w:rsid w:val="009C7C4C"/>
    <w:rsid w:val="009D0044"/>
    <w:rsid w:val="009D08AC"/>
    <w:rsid w:val="009D12CF"/>
    <w:rsid w:val="009D152A"/>
    <w:rsid w:val="009D1B52"/>
    <w:rsid w:val="009D222D"/>
    <w:rsid w:val="009D291B"/>
    <w:rsid w:val="009D302C"/>
    <w:rsid w:val="009D3722"/>
    <w:rsid w:val="009D3745"/>
    <w:rsid w:val="009D3762"/>
    <w:rsid w:val="009D3C45"/>
    <w:rsid w:val="009D3FA1"/>
    <w:rsid w:val="009D506E"/>
    <w:rsid w:val="009D5A35"/>
    <w:rsid w:val="009D604B"/>
    <w:rsid w:val="009D6230"/>
    <w:rsid w:val="009D6331"/>
    <w:rsid w:val="009D6EAA"/>
    <w:rsid w:val="009D701B"/>
    <w:rsid w:val="009D7C05"/>
    <w:rsid w:val="009E000C"/>
    <w:rsid w:val="009E01B0"/>
    <w:rsid w:val="009E0462"/>
    <w:rsid w:val="009E069B"/>
    <w:rsid w:val="009E0A7B"/>
    <w:rsid w:val="009E0C18"/>
    <w:rsid w:val="009E1141"/>
    <w:rsid w:val="009E17D5"/>
    <w:rsid w:val="009E1B17"/>
    <w:rsid w:val="009E20F0"/>
    <w:rsid w:val="009E237C"/>
    <w:rsid w:val="009E2B59"/>
    <w:rsid w:val="009E2BCC"/>
    <w:rsid w:val="009E3AA1"/>
    <w:rsid w:val="009E3B35"/>
    <w:rsid w:val="009E3E41"/>
    <w:rsid w:val="009E3F73"/>
    <w:rsid w:val="009E3FFD"/>
    <w:rsid w:val="009E4B24"/>
    <w:rsid w:val="009E4BDE"/>
    <w:rsid w:val="009E4EDA"/>
    <w:rsid w:val="009E5878"/>
    <w:rsid w:val="009E63BE"/>
    <w:rsid w:val="009E72BE"/>
    <w:rsid w:val="009E7961"/>
    <w:rsid w:val="009F108F"/>
    <w:rsid w:val="009F14D6"/>
    <w:rsid w:val="009F17A5"/>
    <w:rsid w:val="009F1B47"/>
    <w:rsid w:val="009F1BCD"/>
    <w:rsid w:val="009F2796"/>
    <w:rsid w:val="009F3275"/>
    <w:rsid w:val="009F32A4"/>
    <w:rsid w:val="009F3A41"/>
    <w:rsid w:val="009F3FE6"/>
    <w:rsid w:val="009F46AF"/>
    <w:rsid w:val="009F4C50"/>
    <w:rsid w:val="009F523A"/>
    <w:rsid w:val="009F54FB"/>
    <w:rsid w:val="009F5B47"/>
    <w:rsid w:val="009F5C11"/>
    <w:rsid w:val="009F6059"/>
    <w:rsid w:val="009F675E"/>
    <w:rsid w:val="009F6AAC"/>
    <w:rsid w:val="009F6AD3"/>
    <w:rsid w:val="009F6AD7"/>
    <w:rsid w:val="009F6DA9"/>
    <w:rsid w:val="009F731D"/>
    <w:rsid w:val="00A006E9"/>
    <w:rsid w:val="00A01BCB"/>
    <w:rsid w:val="00A0214D"/>
    <w:rsid w:val="00A0253A"/>
    <w:rsid w:val="00A02FD6"/>
    <w:rsid w:val="00A03610"/>
    <w:rsid w:val="00A03C78"/>
    <w:rsid w:val="00A04198"/>
    <w:rsid w:val="00A043F8"/>
    <w:rsid w:val="00A04690"/>
    <w:rsid w:val="00A05440"/>
    <w:rsid w:val="00A0595D"/>
    <w:rsid w:val="00A07155"/>
    <w:rsid w:val="00A07D53"/>
    <w:rsid w:val="00A07F9A"/>
    <w:rsid w:val="00A11227"/>
    <w:rsid w:val="00A11579"/>
    <w:rsid w:val="00A11BEA"/>
    <w:rsid w:val="00A11D5A"/>
    <w:rsid w:val="00A129D6"/>
    <w:rsid w:val="00A131B0"/>
    <w:rsid w:val="00A13472"/>
    <w:rsid w:val="00A13943"/>
    <w:rsid w:val="00A149D5"/>
    <w:rsid w:val="00A14D22"/>
    <w:rsid w:val="00A15B14"/>
    <w:rsid w:val="00A15B83"/>
    <w:rsid w:val="00A16A9A"/>
    <w:rsid w:val="00A16ED2"/>
    <w:rsid w:val="00A1744B"/>
    <w:rsid w:val="00A17864"/>
    <w:rsid w:val="00A17C99"/>
    <w:rsid w:val="00A17F45"/>
    <w:rsid w:val="00A20E58"/>
    <w:rsid w:val="00A21BF1"/>
    <w:rsid w:val="00A222FF"/>
    <w:rsid w:val="00A2281D"/>
    <w:rsid w:val="00A23078"/>
    <w:rsid w:val="00A2319B"/>
    <w:rsid w:val="00A238E3"/>
    <w:rsid w:val="00A243DD"/>
    <w:rsid w:val="00A2531C"/>
    <w:rsid w:val="00A25960"/>
    <w:rsid w:val="00A25D6B"/>
    <w:rsid w:val="00A261D0"/>
    <w:rsid w:val="00A2624A"/>
    <w:rsid w:val="00A2635E"/>
    <w:rsid w:val="00A263E1"/>
    <w:rsid w:val="00A271CD"/>
    <w:rsid w:val="00A2776F"/>
    <w:rsid w:val="00A27E5E"/>
    <w:rsid w:val="00A301D0"/>
    <w:rsid w:val="00A3187C"/>
    <w:rsid w:val="00A3191A"/>
    <w:rsid w:val="00A32886"/>
    <w:rsid w:val="00A32F19"/>
    <w:rsid w:val="00A335E0"/>
    <w:rsid w:val="00A33D0D"/>
    <w:rsid w:val="00A33F2D"/>
    <w:rsid w:val="00A350CA"/>
    <w:rsid w:val="00A353FF"/>
    <w:rsid w:val="00A35972"/>
    <w:rsid w:val="00A3631A"/>
    <w:rsid w:val="00A366ED"/>
    <w:rsid w:val="00A3692C"/>
    <w:rsid w:val="00A36E9A"/>
    <w:rsid w:val="00A3766D"/>
    <w:rsid w:val="00A3767C"/>
    <w:rsid w:val="00A37C61"/>
    <w:rsid w:val="00A403ED"/>
    <w:rsid w:val="00A4054E"/>
    <w:rsid w:val="00A413AD"/>
    <w:rsid w:val="00A41641"/>
    <w:rsid w:val="00A41701"/>
    <w:rsid w:val="00A418E1"/>
    <w:rsid w:val="00A421C4"/>
    <w:rsid w:val="00A42958"/>
    <w:rsid w:val="00A42D78"/>
    <w:rsid w:val="00A43C04"/>
    <w:rsid w:val="00A441FD"/>
    <w:rsid w:val="00A443D3"/>
    <w:rsid w:val="00A44619"/>
    <w:rsid w:val="00A44D8D"/>
    <w:rsid w:val="00A44DB3"/>
    <w:rsid w:val="00A4572A"/>
    <w:rsid w:val="00A45A0F"/>
    <w:rsid w:val="00A45FE0"/>
    <w:rsid w:val="00A4642A"/>
    <w:rsid w:val="00A469FA"/>
    <w:rsid w:val="00A476A6"/>
    <w:rsid w:val="00A47874"/>
    <w:rsid w:val="00A47F6A"/>
    <w:rsid w:val="00A5049B"/>
    <w:rsid w:val="00A505E6"/>
    <w:rsid w:val="00A509F8"/>
    <w:rsid w:val="00A50E9F"/>
    <w:rsid w:val="00A511BB"/>
    <w:rsid w:val="00A512A4"/>
    <w:rsid w:val="00A52314"/>
    <w:rsid w:val="00A528A6"/>
    <w:rsid w:val="00A52FD2"/>
    <w:rsid w:val="00A5360F"/>
    <w:rsid w:val="00A53A72"/>
    <w:rsid w:val="00A53BE5"/>
    <w:rsid w:val="00A54938"/>
    <w:rsid w:val="00A54B34"/>
    <w:rsid w:val="00A54BD3"/>
    <w:rsid w:val="00A553A7"/>
    <w:rsid w:val="00A5543E"/>
    <w:rsid w:val="00A556FA"/>
    <w:rsid w:val="00A56329"/>
    <w:rsid w:val="00A56BDA"/>
    <w:rsid w:val="00A57EF5"/>
    <w:rsid w:val="00A60B0B"/>
    <w:rsid w:val="00A60BC7"/>
    <w:rsid w:val="00A616F0"/>
    <w:rsid w:val="00A62612"/>
    <w:rsid w:val="00A628AE"/>
    <w:rsid w:val="00A62A36"/>
    <w:rsid w:val="00A62AF3"/>
    <w:rsid w:val="00A62BC4"/>
    <w:rsid w:val="00A62E63"/>
    <w:rsid w:val="00A62FAE"/>
    <w:rsid w:val="00A6358C"/>
    <w:rsid w:val="00A6367E"/>
    <w:rsid w:val="00A63BF3"/>
    <w:rsid w:val="00A63E29"/>
    <w:rsid w:val="00A64635"/>
    <w:rsid w:val="00A64D41"/>
    <w:rsid w:val="00A64EA8"/>
    <w:rsid w:val="00A65596"/>
    <w:rsid w:val="00A656B3"/>
    <w:rsid w:val="00A65A8E"/>
    <w:rsid w:val="00A65AD4"/>
    <w:rsid w:val="00A66B07"/>
    <w:rsid w:val="00A66E99"/>
    <w:rsid w:val="00A67559"/>
    <w:rsid w:val="00A67590"/>
    <w:rsid w:val="00A67B55"/>
    <w:rsid w:val="00A701BD"/>
    <w:rsid w:val="00A70307"/>
    <w:rsid w:val="00A70762"/>
    <w:rsid w:val="00A70F36"/>
    <w:rsid w:val="00A713BB"/>
    <w:rsid w:val="00A71574"/>
    <w:rsid w:val="00A71797"/>
    <w:rsid w:val="00A7197E"/>
    <w:rsid w:val="00A71BCE"/>
    <w:rsid w:val="00A71D9A"/>
    <w:rsid w:val="00A722CD"/>
    <w:rsid w:val="00A729B7"/>
    <w:rsid w:val="00A731DC"/>
    <w:rsid w:val="00A735AE"/>
    <w:rsid w:val="00A7497A"/>
    <w:rsid w:val="00A74C63"/>
    <w:rsid w:val="00A753D1"/>
    <w:rsid w:val="00A75759"/>
    <w:rsid w:val="00A76C04"/>
    <w:rsid w:val="00A77E53"/>
    <w:rsid w:val="00A8012C"/>
    <w:rsid w:val="00A806AE"/>
    <w:rsid w:val="00A80795"/>
    <w:rsid w:val="00A80AFE"/>
    <w:rsid w:val="00A8144F"/>
    <w:rsid w:val="00A8155B"/>
    <w:rsid w:val="00A8175A"/>
    <w:rsid w:val="00A8196F"/>
    <w:rsid w:val="00A82069"/>
    <w:rsid w:val="00A82138"/>
    <w:rsid w:val="00A82486"/>
    <w:rsid w:val="00A82A3E"/>
    <w:rsid w:val="00A8325F"/>
    <w:rsid w:val="00A834F7"/>
    <w:rsid w:val="00A83503"/>
    <w:rsid w:val="00A83550"/>
    <w:rsid w:val="00A83765"/>
    <w:rsid w:val="00A838EA"/>
    <w:rsid w:val="00A83CEF"/>
    <w:rsid w:val="00A840C1"/>
    <w:rsid w:val="00A8450D"/>
    <w:rsid w:val="00A846BB"/>
    <w:rsid w:val="00A84FB2"/>
    <w:rsid w:val="00A8561D"/>
    <w:rsid w:val="00A8609D"/>
    <w:rsid w:val="00A86547"/>
    <w:rsid w:val="00A86638"/>
    <w:rsid w:val="00A86DDE"/>
    <w:rsid w:val="00A87E23"/>
    <w:rsid w:val="00A91A3C"/>
    <w:rsid w:val="00A91B82"/>
    <w:rsid w:val="00A926E4"/>
    <w:rsid w:val="00A92C1A"/>
    <w:rsid w:val="00A92EC3"/>
    <w:rsid w:val="00A93BBE"/>
    <w:rsid w:val="00A946B0"/>
    <w:rsid w:val="00A94AA6"/>
    <w:rsid w:val="00A94F7B"/>
    <w:rsid w:val="00A9568F"/>
    <w:rsid w:val="00A95888"/>
    <w:rsid w:val="00A96648"/>
    <w:rsid w:val="00A96AE5"/>
    <w:rsid w:val="00AA0454"/>
    <w:rsid w:val="00AA22AB"/>
    <w:rsid w:val="00AA22BB"/>
    <w:rsid w:val="00AA282C"/>
    <w:rsid w:val="00AA311B"/>
    <w:rsid w:val="00AA3361"/>
    <w:rsid w:val="00AA3D06"/>
    <w:rsid w:val="00AA45E1"/>
    <w:rsid w:val="00AA5386"/>
    <w:rsid w:val="00AA6DB3"/>
    <w:rsid w:val="00AA76DD"/>
    <w:rsid w:val="00AA7BF2"/>
    <w:rsid w:val="00AA7C2B"/>
    <w:rsid w:val="00AA7F57"/>
    <w:rsid w:val="00AB0120"/>
    <w:rsid w:val="00AB0840"/>
    <w:rsid w:val="00AB0BA2"/>
    <w:rsid w:val="00AB0C4C"/>
    <w:rsid w:val="00AB10F6"/>
    <w:rsid w:val="00AB1776"/>
    <w:rsid w:val="00AB1936"/>
    <w:rsid w:val="00AB1E4C"/>
    <w:rsid w:val="00AB1ED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59A"/>
    <w:rsid w:val="00AB660E"/>
    <w:rsid w:val="00AB6658"/>
    <w:rsid w:val="00AB6959"/>
    <w:rsid w:val="00AB6A56"/>
    <w:rsid w:val="00AB6D0F"/>
    <w:rsid w:val="00AB737D"/>
    <w:rsid w:val="00AB7752"/>
    <w:rsid w:val="00AB78CC"/>
    <w:rsid w:val="00AB7E98"/>
    <w:rsid w:val="00AC03F0"/>
    <w:rsid w:val="00AC062F"/>
    <w:rsid w:val="00AC1250"/>
    <w:rsid w:val="00AC1ACE"/>
    <w:rsid w:val="00AC2570"/>
    <w:rsid w:val="00AC2664"/>
    <w:rsid w:val="00AC28FD"/>
    <w:rsid w:val="00AC2DF9"/>
    <w:rsid w:val="00AC3858"/>
    <w:rsid w:val="00AC39C8"/>
    <w:rsid w:val="00AC4A19"/>
    <w:rsid w:val="00AC4C09"/>
    <w:rsid w:val="00AC4C44"/>
    <w:rsid w:val="00AC5378"/>
    <w:rsid w:val="00AC5588"/>
    <w:rsid w:val="00AC5A2B"/>
    <w:rsid w:val="00AC5A80"/>
    <w:rsid w:val="00AC5B98"/>
    <w:rsid w:val="00AC6E6A"/>
    <w:rsid w:val="00AC6EA9"/>
    <w:rsid w:val="00AC6F0C"/>
    <w:rsid w:val="00AC7CFF"/>
    <w:rsid w:val="00AD0B94"/>
    <w:rsid w:val="00AD12EC"/>
    <w:rsid w:val="00AD2CA8"/>
    <w:rsid w:val="00AD317C"/>
    <w:rsid w:val="00AD3354"/>
    <w:rsid w:val="00AD45CE"/>
    <w:rsid w:val="00AD4FB2"/>
    <w:rsid w:val="00AD66BF"/>
    <w:rsid w:val="00AD68B0"/>
    <w:rsid w:val="00AD6B02"/>
    <w:rsid w:val="00AD72FC"/>
    <w:rsid w:val="00AD73F3"/>
    <w:rsid w:val="00AE10E9"/>
    <w:rsid w:val="00AE1107"/>
    <w:rsid w:val="00AE1217"/>
    <w:rsid w:val="00AE191D"/>
    <w:rsid w:val="00AE1953"/>
    <w:rsid w:val="00AE1F15"/>
    <w:rsid w:val="00AE3B3E"/>
    <w:rsid w:val="00AE3E0B"/>
    <w:rsid w:val="00AE4A43"/>
    <w:rsid w:val="00AE4C77"/>
    <w:rsid w:val="00AE4FD6"/>
    <w:rsid w:val="00AE576C"/>
    <w:rsid w:val="00AE5CEF"/>
    <w:rsid w:val="00AE7C28"/>
    <w:rsid w:val="00AF056D"/>
    <w:rsid w:val="00AF059E"/>
    <w:rsid w:val="00AF0CDE"/>
    <w:rsid w:val="00AF1704"/>
    <w:rsid w:val="00AF2142"/>
    <w:rsid w:val="00AF2A80"/>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905"/>
    <w:rsid w:val="00AF7E93"/>
    <w:rsid w:val="00B001A9"/>
    <w:rsid w:val="00B01621"/>
    <w:rsid w:val="00B0230F"/>
    <w:rsid w:val="00B02A0E"/>
    <w:rsid w:val="00B02EC7"/>
    <w:rsid w:val="00B040A3"/>
    <w:rsid w:val="00B041BF"/>
    <w:rsid w:val="00B0475D"/>
    <w:rsid w:val="00B04873"/>
    <w:rsid w:val="00B04AEC"/>
    <w:rsid w:val="00B04AF7"/>
    <w:rsid w:val="00B0529D"/>
    <w:rsid w:val="00B052BE"/>
    <w:rsid w:val="00B06935"/>
    <w:rsid w:val="00B10147"/>
    <w:rsid w:val="00B1116B"/>
    <w:rsid w:val="00B1156A"/>
    <w:rsid w:val="00B12A34"/>
    <w:rsid w:val="00B13D1E"/>
    <w:rsid w:val="00B15286"/>
    <w:rsid w:val="00B153AB"/>
    <w:rsid w:val="00B1599B"/>
    <w:rsid w:val="00B16465"/>
    <w:rsid w:val="00B1702B"/>
    <w:rsid w:val="00B174F7"/>
    <w:rsid w:val="00B17611"/>
    <w:rsid w:val="00B178E0"/>
    <w:rsid w:val="00B20568"/>
    <w:rsid w:val="00B20803"/>
    <w:rsid w:val="00B20CD5"/>
    <w:rsid w:val="00B20D46"/>
    <w:rsid w:val="00B213E9"/>
    <w:rsid w:val="00B215E7"/>
    <w:rsid w:val="00B21CD6"/>
    <w:rsid w:val="00B221FC"/>
    <w:rsid w:val="00B22704"/>
    <w:rsid w:val="00B22951"/>
    <w:rsid w:val="00B229FC"/>
    <w:rsid w:val="00B22F72"/>
    <w:rsid w:val="00B23486"/>
    <w:rsid w:val="00B234C9"/>
    <w:rsid w:val="00B24AC1"/>
    <w:rsid w:val="00B24C45"/>
    <w:rsid w:val="00B24E12"/>
    <w:rsid w:val="00B24F43"/>
    <w:rsid w:val="00B25559"/>
    <w:rsid w:val="00B25939"/>
    <w:rsid w:val="00B25A53"/>
    <w:rsid w:val="00B25CBA"/>
    <w:rsid w:val="00B25CC6"/>
    <w:rsid w:val="00B268C3"/>
    <w:rsid w:val="00B272A1"/>
    <w:rsid w:val="00B30443"/>
    <w:rsid w:val="00B30887"/>
    <w:rsid w:val="00B30E5C"/>
    <w:rsid w:val="00B30EB8"/>
    <w:rsid w:val="00B311B8"/>
    <w:rsid w:val="00B31512"/>
    <w:rsid w:val="00B31558"/>
    <w:rsid w:val="00B316E1"/>
    <w:rsid w:val="00B31BBA"/>
    <w:rsid w:val="00B3255A"/>
    <w:rsid w:val="00B337D1"/>
    <w:rsid w:val="00B343CA"/>
    <w:rsid w:val="00B34F97"/>
    <w:rsid w:val="00B350E3"/>
    <w:rsid w:val="00B3539E"/>
    <w:rsid w:val="00B353FE"/>
    <w:rsid w:val="00B3542E"/>
    <w:rsid w:val="00B359BF"/>
    <w:rsid w:val="00B35ACC"/>
    <w:rsid w:val="00B365D8"/>
    <w:rsid w:val="00B36B1D"/>
    <w:rsid w:val="00B36D0E"/>
    <w:rsid w:val="00B3755C"/>
    <w:rsid w:val="00B3763F"/>
    <w:rsid w:val="00B3780B"/>
    <w:rsid w:val="00B37E1B"/>
    <w:rsid w:val="00B37F3C"/>
    <w:rsid w:val="00B4040D"/>
    <w:rsid w:val="00B404AA"/>
    <w:rsid w:val="00B40746"/>
    <w:rsid w:val="00B40B7C"/>
    <w:rsid w:val="00B40F0D"/>
    <w:rsid w:val="00B41247"/>
    <w:rsid w:val="00B42381"/>
    <w:rsid w:val="00B42754"/>
    <w:rsid w:val="00B427DD"/>
    <w:rsid w:val="00B42E48"/>
    <w:rsid w:val="00B42E9E"/>
    <w:rsid w:val="00B4399A"/>
    <w:rsid w:val="00B43BB5"/>
    <w:rsid w:val="00B440E7"/>
    <w:rsid w:val="00B451E9"/>
    <w:rsid w:val="00B4523A"/>
    <w:rsid w:val="00B45B27"/>
    <w:rsid w:val="00B469F4"/>
    <w:rsid w:val="00B46A63"/>
    <w:rsid w:val="00B46BA3"/>
    <w:rsid w:val="00B46C65"/>
    <w:rsid w:val="00B4716E"/>
    <w:rsid w:val="00B47282"/>
    <w:rsid w:val="00B50110"/>
    <w:rsid w:val="00B521A7"/>
    <w:rsid w:val="00B52F94"/>
    <w:rsid w:val="00B53E18"/>
    <w:rsid w:val="00B54008"/>
    <w:rsid w:val="00B55154"/>
    <w:rsid w:val="00B55F16"/>
    <w:rsid w:val="00B56100"/>
    <w:rsid w:val="00B56A4E"/>
    <w:rsid w:val="00B571A9"/>
    <w:rsid w:val="00B5734A"/>
    <w:rsid w:val="00B5753B"/>
    <w:rsid w:val="00B575BF"/>
    <w:rsid w:val="00B60218"/>
    <w:rsid w:val="00B629FA"/>
    <w:rsid w:val="00B62DD2"/>
    <w:rsid w:val="00B62E19"/>
    <w:rsid w:val="00B63143"/>
    <w:rsid w:val="00B63D03"/>
    <w:rsid w:val="00B64281"/>
    <w:rsid w:val="00B64787"/>
    <w:rsid w:val="00B65268"/>
    <w:rsid w:val="00B652BF"/>
    <w:rsid w:val="00B65AFE"/>
    <w:rsid w:val="00B662D4"/>
    <w:rsid w:val="00B671BE"/>
    <w:rsid w:val="00B671EB"/>
    <w:rsid w:val="00B67612"/>
    <w:rsid w:val="00B67724"/>
    <w:rsid w:val="00B67D8D"/>
    <w:rsid w:val="00B70224"/>
    <w:rsid w:val="00B7050D"/>
    <w:rsid w:val="00B70996"/>
    <w:rsid w:val="00B70A4D"/>
    <w:rsid w:val="00B71243"/>
    <w:rsid w:val="00B715A3"/>
    <w:rsid w:val="00B71BA9"/>
    <w:rsid w:val="00B71C0A"/>
    <w:rsid w:val="00B7250F"/>
    <w:rsid w:val="00B728B3"/>
    <w:rsid w:val="00B73389"/>
    <w:rsid w:val="00B7364F"/>
    <w:rsid w:val="00B73B5C"/>
    <w:rsid w:val="00B745EF"/>
    <w:rsid w:val="00B74BED"/>
    <w:rsid w:val="00B7534B"/>
    <w:rsid w:val="00B757AC"/>
    <w:rsid w:val="00B76558"/>
    <w:rsid w:val="00B77B10"/>
    <w:rsid w:val="00B8051B"/>
    <w:rsid w:val="00B81DD9"/>
    <w:rsid w:val="00B82AA2"/>
    <w:rsid w:val="00B842EF"/>
    <w:rsid w:val="00B85842"/>
    <w:rsid w:val="00B85F3F"/>
    <w:rsid w:val="00B861C7"/>
    <w:rsid w:val="00B87315"/>
    <w:rsid w:val="00B873D4"/>
    <w:rsid w:val="00B87414"/>
    <w:rsid w:val="00B87DA5"/>
    <w:rsid w:val="00B87E5B"/>
    <w:rsid w:val="00B90115"/>
    <w:rsid w:val="00B903BF"/>
    <w:rsid w:val="00B90A1B"/>
    <w:rsid w:val="00B91AF9"/>
    <w:rsid w:val="00B91C73"/>
    <w:rsid w:val="00B92321"/>
    <w:rsid w:val="00B92643"/>
    <w:rsid w:val="00B92B1C"/>
    <w:rsid w:val="00B95E60"/>
    <w:rsid w:val="00B961C5"/>
    <w:rsid w:val="00B96421"/>
    <w:rsid w:val="00B96921"/>
    <w:rsid w:val="00B97193"/>
    <w:rsid w:val="00B9762F"/>
    <w:rsid w:val="00B978BC"/>
    <w:rsid w:val="00B97C45"/>
    <w:rsid w:val="00BA049C"/>
    <w:rsid w:val="00BA0DEA"/>
    <w:rsid w:val="00BA1064"/>
    <w:rsid w:val="00BA1623"/>
    <w:rsid w:val="00BA173F"/>
    <w:rsid w:val="00BA2965"/>
    <w:rsid w:val="00BA29E0"/>
    <w:rsid w:val="00BA2C5D"/>
    <w:rsid w:val="00BA3264"/>
    <w:rsid w:val="00BA3996"/>
    <w:rsid w:val="00BA3F1B"/>
    <w:rsid w:val="00BA40BF"/>
    <w:rsid w:val="00BA467C"/>
    <w:rsid w:val="00BA4844"/>
    <w:rsid w:val="00BA5051"/>
    <w:rsid w:val="00BA6454"/>
    <w:rsid w:val="00BA6F16"/>
    <w:rsid w:val="00BA76C6"/>
    <w:rsid w:val="00BB00FC"/>
    <w:rsid w:val="00BB086B"/>
    <w:rsid w:val="00BB15F8"/>
    <w:rsid w:val="00BB1775"/>
    <w:rsid w:val="00BB18D4"/>
    <w:rsid w:val="00BB20B2"/>
    <w:rsid w:val="00BB2274"/>
    <w:rsid w:val="00BB3595"/>
    <w:rsid w:val="00BB3A24"/>
    <w:rsid w:val="00BB3B60"/>
    <w:rsid w:val="00BB3E23"/>
    <w:rsid w:val="00BB48D1"/>
    <w:rsid w:val="00BB49D7"/>
    <w:rsid w:val="00BB4F5C"/>
    <w:rsid w:val="00BB5A2B"/>
    <w:rsid w:val="00BB5E9C"/>
    <w:rsid w:val="00BB6833"/>
    <w:rsid w:val="00BB6E73"/>
    <w:rsid w:val="00BB746E"/>
    <w:rsid w:val="00BB797A"/>
    <w:rsid w:val="00BC05AA"/>
    <w:rsid w:val="00BC07C7"/>
    <w:rsid w:val="00BC0A59"/>
    <w:rsid w:val="00BC0B92"/>
    <w:rsid w:val="00BC0BC8"/>
    <w:rsid w:val="00BC11A4"/>
    <w:rsid w:val="00BC151E"/>
    <w:rsid w:val="00BC1657"/>
    <w:rsid w:val="00BC1784"/>
    <w:rsid w:val="00BC1CD5"/>
    <w:rsid w:val="00BC2B6C"/>
    <w:rsid w:val="00BC3107"/>
    <w:rsid w:val="00BC35E2"/>
    <w:rsid w:val="00BC3CEC"/>
    <w:rsid w:val="00BC4BBA"/>
    <w:rsid w:val="00BC4EE9"/>
    <w:rsid w:val="00BC5A3B"/>
    <w:rsid w:val="00BC5B71"/>
    <w:rsid w:val="00BC66FA"/>
    <w:rsid w:val="00BC69DB"/>
    <w:rsid w:val="00BC7674"/>
    <w:rsid w:val="00BC7C5D"/>
    <w:rsid w:val="00BD03F4"/>
    <w:rsid w:val="00BD07EE"/>
    <w:rsid w:val="00BD0FAC"/>
    <w:rsid w:val="00BD1050"/>
    <w:rsid w:val="00BD2BBB"/>
    <w:rsid w:val="00BD2CF9"/>
    <w:rsid w:val="00BD2E18"/>
    <w:rsid w:val="00BD317F"/>
    <w:rsid w:val="00BD31AA"/>
    <w:rsid w:val="00BD3B8A"/>
    <w:rsid w:val="00BD422C"/>
    <w:rsid w:val="00BD4C64"/>
    <w:rsid w:val="00BD5319"/>
    <w:rsid w:val="00BD564E"/>
    <w:rsid w:val="00BD582C"/>
    <w:rsid w:val="00BD5A58"/>
    <w:rsid w:val="00BD6074"/>
    <w:rsid w:val="00BD64BD"/>
    <w:rsid w:val="00BD6568"/>
    <w:rsid w:val="00BD6709"/>
    <w:rsid w:val="00BD677D"/>
    <w:rsid w:val="00BD6D20"/>
    <w:rsid w:val="00BD6E66"/>
    <w:rsid w:val="00BD74C8"/>
    <w:rsid w:val="00BD7678"/>
    <w:rsid w:val="00BD7DC8"/>
    <w:rsid w:val="00BD7E7F"/>
    <w:rsid w:val="00BE0334"/>
    <w:rsid w:val="00BE040A"/>
    <w:rsid w:val="00BE043A"/>
    <w:rsid w:val="00BE05C8"/>
    <w:rsid w:val="00BE08B3"/>
    <w:rsid w:val="00BE0F32"/>
    <w:rsid w:val="00BE15E4"/>
    <w:rsid w:val="00BE2053"/>
    <w:rsid w:val="00BE254D"/>
    <w:rsid w:val="00BE257C"/>
    <w:rsid w:val="00BE26AC"/>
    <w:rsid w:val="00BE2EE2"/>
    <w:rsid w:val="00BE2F2B"/>
    <w:rsid w:val="00BE2FD7"/>
    <w:rsid w:val="00BE4B51"/>
    <w:rsid w:val="00BE50FE"/>
    <w:rsid w:val="00BE5491"/>
    <w:rsid w:val="00BE57A1"/>
    <w:rsid w:val="00BE5BB9"/>
    <w:rsid w:val="00BE5C1D"/>
    <w:rsid w:val="00BE5C9E"/>
    <w:rsid w:val="00BE6195"/>
    <w:rsid w:val="00BE62FF"/>
    <w:rsid w:val="00BE6FCE"/>
    <w:rsid w:val="00BE7D04"/>
    <w:rsid w:val="00BE7E56"/>
    <w:rsid w:val="00BF0611"/>
    <w:rsid w:val="00BF0D2C"/>
    <w:rsid w:val="00BF1370"/>
    <w:rsid w:val="00BF1A2F"/>
    <w:rsid w:val="00BF1B96"/>
    <w:rsid w:val="00BF1DF0"/>
    <w:rsid w:val="00BF2115"/>
    <w:rsid w:val="00BF2229"/>
    <w:rsid w:val="00BF24AA"/>
    <w:rsid w:val="00BF2556"/>
    <w:rsid w:val="00BF2CA5"/>
    <w:rsid w:val="00BF3023"/>
    <w:rsid w:val="00BF362E"/>
    <w:rsid w:val="00BF4489"/>
    <w:rsid w:val="00BF4EE9"/>
    <w:rsid w:val="00BF5393"/>
    <w:rsid w:val="00BF5B89"/>
    <w:rsid w:val="00BF5E3D"/>
    <w:rsid w:val="00BF5EE6"/>
    <w:rsid w:val="00BF622A"/>
    <w:rsid w:val="00BF6693"/>
    <w:rsid w:val="00BF6A20"/>
    <w:rsid w:val="00BF6ED4"/>
    <w:rsid w:val="00C0139B"/>
    <w:rsid w:val="00C0144C"/>
    <w:rsid w:val="00C01970"/>
    <w:rsid w:val="00C01A9B"/>
    <w:rsid w:val="00C01AAB"/>
    <w:rsid w:val="00C02369"/>
    <w:rsid w:val="00C0240D"/>
    <w:rsid w:val="00C02640"/>
    <w:rsid w:val="00C026E4"/>
    <w:rsid w:val="00C02A5E"/>
    <w:rsid w:val="00C02D8E"/>
    <w:rsid w:val="00C02D92"/>
    <w:rsid w:val="00C031F7"/>
    <w:rsid w:val="00C03412"/>
    <w:rsid w:val="00C03530"/>
    <w:rsid w:val="00C03B95"/>
    <w:rsid w:val="00C03CC3"/>
    <w:rsid w:val="00C0459C"/>
    <w:rsid w:val="00C046B3"/>
    <w:rsid w:val="00C04838"/>
    <w:rsid w:val="00C048DA"/>
    <w:rsid w:val="00C048E1"/>
    <w:rsid w:val="00C067FD"/>
    <w:rsid w:val="00C06BB4"/>
    <w:rsid w:val="00C06BB9"/>
    <w:rsid w:val="00C0730A"/>
    <w:rsid w:val="00C104D9"/>
    <w:rsid w:val="00C10706"/>
    <w:rsid w:val="00C10F3F"/>
    <w:rsid w:val="00C10F59"/>
    <w:rsid w:val="00C11DA8"/>
    <w:rsid w:val="00C120E4"/>
    <w:rsid w:val="00C12A8A"/>
    <w:rsid w:val="00C136B3"/>
    <w:rsid w:val="00C13AB1"/>
    <w:rsid w:val="00C1415C"/>
    <w:rsid w:val="00C14580"/>
    <w:rsid w:val="00C14587"/>
    <w:rsid w:val="00C14966"/>
    <w:rsid w:val="00C14B89"/>
    <w:rsid w:val="00C14EA9"/>
    <w:rsid w:val="00C157A9"/>
    <w:rsid w:val="00C1700D"/>
    <w:rsid w:val="00C17086"/>
    <w:rsid w:val="00C177D0"/>
    <w:rsid w:val="00C17B2E"/>
    <w:rsid w:val="00C17E84"/>
    <w:rsid w:val="00C207C0"/>
    <w:rsid w:val="00C20F8D"/>
    <w:rsid w:val="00C2131A"/>
    <w:rsid w:val="00C220A2"/>
    <w:rsid w:val="00C226AE"/>
    <w:rsid w:val="00C22BD1"/>
    <w:rsid w:val="00C23382"/>
    <w:rsid w:val="00C23811"/>
    <w:rsid w:val="00C24023"/>
    <w:rsid w:val="00C24A56"/>
    <w:rsid w:val="00C25064"/>
    <w:rsid w:val="00C266D8"/>
    <w:rsid w:val="00C2727E"/>
    <w:rsid w:val="00C2775B"/>
    <w:rsid w:val="00C27BC0"/>
    <w:rsid w:val="00C3009D"/>
    <w:rsid w:val="00C30149"/>
    <w:rsid w:val="00C309C9"/>
    <w:rsid w:val="00C30C56"/>
    <w:rsid w:val="00C313F2"/>
    <w:rsid w:val="00C31896"/>
    <w:rsid w:val="00C31AE3"/>
    <w:rsid w:val="00C33DBA"/>
    <w:rsid w:val="00C3511A"/>
    <w:rsid w:val="00C3525D"/>
    <w:rsid w:val="00C35632"/>
    <w:rsid w:val="00C359E9"/>
    <w:rsid w:val="00C35DC7"/>
    <w:rsid w:val="00C35F15"/>
    <w:rsid w:val="00C3650D"/>
    <w:rsid w:val="00C36831"/>
    <w:rsid w:val="00C369C0"/>
    <w:rsid w:val="00C40328"/>
    <w:rsid w:val="00C40B61"/>
    <w:rsid w:val="00C40F76"/>
    <w:rsid w:val="00C412D7"/>
    <w:rsid w:val="00C4157D"/>
    <w:rsid w:val="00C4204E"/>
    <w:rsid w:val="00C425F1"/>
    <w:rsid w:val="00C428BE"/>
    <w:rsid w:val="00C433B4"/>
    <w:rsid w:val="00C43814"/>
    <w:rsid w:val="00C43A2F"/>
    <w:rsid w:val="00C44348"/>
    <w:rsid w:val="00C45934"/>
    <w:rsid w:val="00C45A54"/>
    <w:rsid w:val="00C45AC6"/>
    <w:rsid w:val="00C45B86"/>
    <w:rsid w:val="00C45FDE"/>
    <w:rsid w:val="00C45FF0"/>
    <w:rsid w:val="00C4606D"/>
    <w:rsid w:val="00C462B2"/>
    <w:rsid w:val="00C46867"/>
    <w:rsid w:val="00C47827"/>
    <w:rsid w:val="00C478B5"/>
    <w:rsid w:val="00C504DD"/>
    <w:rsid w:val="00C5074F"/>
    <w:rsid w:val="00C50C05"/>
    <w:rsid w:val="00C50CFD"/>
    <w:rsid w:val="00C50E5F"/>
    <w:rsid w:val="00C511A3"/>
    <w:rsid w:val="00C51AC3"/>
    <w:rsid w:val="00C51B43"/>
    <w:rsid w:val="00C52175"/>
    <w:rsid w:val="00C5224C"/>
    <w:rsid w:val="00C522B4"/>
    <w:rsid w:val="00C5291A"/>
    <w:rsid w:val="00C52B11"/>
    <w:rsid w:val="00C52CF4"/>
    <w:rsid w:val="00C5302F"/>
    <w:rsid w:val="00C53E36"/>
    <w:rsid w:val="00C54B37"/>
    <w:rsid w:val="00C556CC"/>
    <w:rsid w:val="00C560B5"/>
    <w:rsid w:val="00C566BC"/>
    <w:rsid w:val="00C56776"/>
    <w:rsid w:val="00C56E17"/>
    <w:rsid w:val="00C575B8"/>
    <w:rsid w:val="00C57757"/>
    <w:rsid w:val="00C57A08"/>
    <w:rsid w:val="00C60A60"/>
    <w:rsid w:val="00C60BA2"/>
    <w:rsid w:val="00C60EF2"/>
    <w:rsid w:val="00C6122C"/>
    <w:rsid w:val="00C614D0"/>
    <w:rsid w:val="00C61916"/>
    <w:rsid w:val="00C61A90"/>
    <w:rsid w:val="00C61D34"/>
    <w:rsid w:val="00C62081"/>
    <w:rsid w:val="00C62EAE"/>
    <w:rsid w:val="00C630E3"/>
    <w:rsid w:val="00C63B40"/>
    <w:rsid w:val="00C64452"/>
    <w:rsid w:val="00C647B9"/>
    <w:rsid w:val="00C65281"/>
    <w:rsid w:val="00C652AC"/>
    <w:rsid w:val="00C656FE"/>
    <w:rsid w:val="00C6635C"/>
    <w:rsid w:val="00C66459"/>
    <w:rsid w:val="00C66AE2"/>
    <w:rsid w:val="00C66C85"/>
    <w:rsid w:val="00C66F96"/>
    <w:rsid w:val="00C67467"/>
    <w:rsid w:val="00C676A1"/>
    <w:rsid w:val="00C67CE0"/>
    <w:rsid w:val="00C70BB7"/>
    <w:rsid w:val="00C710C8"/>
    <w:rsid w:val="00C718D9"/>
    <w:rsid w:val="00C7234E"/>
    <w:rsid w:val="00C7256F"/>
    <w:rsid w:val="00C72BEC"/>
    <w:rsid w:val="00C72D45"/>
    <w:rsid w:val="00C72FE3"/>
    <w:rsid w:val="00C737C1"/>
    <w:rsid w:val="00C73B50"/>
    <w:rsid w:val="00C741B3"/>
    <w:rsid w:val="00C74A3B"/>
    <w:rsid w:val="00C74AF7"/>
    <w:rsid w:val="00C74B47"/>
    <w:rsid w:val="00C74BFE"/>
    <w:rsid w:val="00C755D8"/>
    <w:rsid w:val="00C75783"/>
    <w:rsid w:val="00C759A8"/>
    <w:rsid w:val="00C75C1D"/>
    <w:rsid w:val="00C75D19"/>
    <w:rsid w:val="00C7600C"/>
    <w:rsid w:val="00C761B8"/>
    <w:rsid w:val="00C76991"/>
    <w:rsid w:val="00C76AC9"/>
    <w:rsid w:val="00C76FA6"/>
    <w:rsid w:val="00C7727A"/>
    <w:rsid w:val="00C77D64"/>
    <w:rsid w:val="00C8014A"/>
    <w:rsid w:val="00C80696"/>
    <w:rsid w:val="00C80C1E"/>
    <w:rsid w:val="00C80C2A"/>
    <w:rsid w:val="00C80E65"/>
    <w:rsid w:val="00C80F15"/>
    <w:rsid w:val="00C81B97"/>
    <w:rsid w:val="00C81C9F"/>
    <w:rsid w:val="00C8222B"/>
    <w:rsid w:val="00C825CF"/>
    <w:rsid w:val="00C82F39"/>
    <w:rsid w:val="00C83EFB"/>
    <w:rsid w:val="00C83F76"/>
    <w:rsid w:val="00C843A6"/>
    <w:rsid w:val="00C851C3"/>
    <w:rsid w:val="00C85A46"/>
    <w:rsid w:val="00C85D3E"/>
    <w:rsid w:val="00C871B2"/>
    <w:rsid w:val="00C903CE"/>
    <w:rsid w:val="00C90557"/>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1EF"/>
    <w:rsid w:val="00C95286"/>
    <w:rsid w:val="00C95290"/>
    <w:rsid w:val="00C95541"/>
    <w:rsid w:val="00C95C29"/>
    <w:rsid w:val="00C975B1"/>
    <w:rsid w:val="00C9786D"/>
    <w:rsid w:val="00CA04A6"/>
    <w:rsid w:val="00CA0AAA"/>
    <w:rsid w:val="00CA1A88"/>
    <w:rsid w:val="00CA1D4E"/>
    <w:rsid w:val="00CA21EB"/>
    <w:rsid w:val="00CA2DAF"/>
    <w:rsid w:val="00CA2F0C"/>
    <w:rsid w:val="00CA39C2"/>
    <w:rsid w:val="00CA3D68"/>
    <w:rsid w:val="00CA4382"/>
    <w:rsid w:val="00CA4482"/>
    <w:rsid w:val="00CA48B9"/>
    <w:rsid w:val="00CA4AF9"/>
    <w:rsid w:val="00CA4BC5"/>
    <w:rsid w:val="00CA4DAF"/>
    <w:rsid w:val="00CA5C27"/>
    <w:rsid w:val="00CA60AF"/>
    <w:rsid w:val="00CA7BAA"/>
    <w:rsid w:val="00CB0162"/>
    <w:rsid w:val="00CB0DEC"/>
    <w:rsid w:val="00CB1A5F"/>
    <w:rsid w:val="00CB1B31"/>
    <w:rsid w:val="00CB203D"/>
    <w:rsid w:val="00CB24E6"/>
    <w:rsid w:val="00CB2BB3"/>
    <w:rsid w:val="00CB3197"/>
    <w:rsid w:val="00CB37BB"/>
    <w:rsid w:val="00CB3F82"/>
    <w:rsid w:val="00CB4613"/>
    <w:rsid w:val="00CB4C02"/>
    <w:rsid w:val="00CB5515"/>
    <w:rsid w:val="00CB5854"/>
    <w:rsid w:val="00CB5932"/>
    <w:rsid w:val="00CB65E4"/>
    <w:rsid w:val="00CB7280"/>
    <w:rsid w:val="00CB7643"/>
    <w:rsid w:val="00CB78BF"/>
    <w:rsid w:val="00CB7D12"/>
    <w:rsid w:val="00CC2CD7"/>
    <w:rsid w:val="00CC2F07"/>
    <w:rsid w:val="00CC2FD1"/>
    <w:rsid w:val="00CC3749"/>
    <w:rsid w:val="00CC410A"/>
    <w:rsid w:val="00CC42A5"/>
    <w:rsid w:val="00CC653A"/>
    <w:rsid w:val="00CC6870"/>
    <w:rsid w:val="00CC6911"/>
    <w:rsid w:val="00CC6DF6"/>
    <w:rsid w:val="00CC7326"/>
    <w:rsid w:val="00CC7852"/>
    <w:rsid w:val="00CC7CD6"/>
    <w:rsid w:val="00CD009C"/>
    <w:rsid w:val="00CD01BD"/>
    <w:rsid w:val="00CD02E9"/>
    <w:rsid w:val="00CD0548"/>
    <w:rsid w:val="00CD07A4"/>
    <w:rsid w:val="00CD0D01"/>
    <w:rsid w:val="00CD0E59"/>
    <w:rsid w:val="00CD1437"/>
    <w:rsid w:val="00CD1489"/>
    <w:rsid w:val="00CD224E"/>
    <w:rsid w:val="00CD22B6"/>
    <w:rsid w:val="00CD2634"/>
    <w:rsid w:val="00CD27D4"/>
    <w:rsid w:val="00CD2A9D"/>
    <w:rsid w:val="00CD2C69"/>
    <w:rsid w:val="00CD3413"/>
    <w:rsid w:val="00CD3CDA"/>
    <w:rsid w:val="00CD4D8D"/>
    <w:rsid w:val="00CD5B02"/>
    <w:rsid w:val="00CD61E6"/>
    <w:rsid w:val="00CD62F1"/>
    <w:rsid w:val="00CD63EC"/>
    <w:rsid w:val="00CD6DEC"/>
    <w:rsid w:val="00CD751E"/>
    <w:rsid w:val="00CD7E57"/>
    <w:rsid w:val="00CE073F"/>
    <w:rsid w:val="00CE09A6"/>
    <w:rsid w:val="00CE0FC1"/>
    <w:rsid w:val="00CE1907"/>
    <w:rsid w:val="00CE1C54"/>
    <w:rsid w:val="00CE1FB2"/>
    <w:rsid w:val="00CE2766"/>
    <w:rsid w:val="00CE291C"/>
    <w:rsid w:val="00CE3364"/>
    <w:rsid w:val="00CE3E32"/>
    <w:rsid w:val="00CE4EC1"/>
    <w:rsid w:val="00CE5366"/>
    <w:rsid w:val="00CE571B"/>
    <w:rsid w:val="00CE6AF3"/>
    <w:rsid w:val="00CE727B"/>
    <w:rsid w:val="00CE73DB"/>
    <w:rsid w:val="00CE7E82"/>
    <w:rsid w:val="00CF00F2"/>
    <w:rsid w:val="00CF05C1"/>
    <w:rsid w:val="00CF0BE6"/>
    <w:rsid w:val="00CF1D3A"/>
    <w:rsid w:val="00CF1D83"/>
    <w:rsid w:val="00CF1F1B"/>
    <w:rsid w:val="00CF275E"/>
    <w:rsid w:val="00CF2AEF"/>
    <w:rsid w:val="00CF30DC"/>
    <w:rsid w:val="00CF35CA"/>
    <w:rsid w:val="00CF3997"/>
    <w:rsid w:val="00CF3AED"/>
    <w:rsid w:val="00CF46B7"/>
    <w:rsid w:val="00CF4FD0"/>
    <w:rsid w:val="00CF59A9"/>
    <w:rsid w:val="00CF5D58"/>
    <w:rsid w:val="00CF6C0F"/>
    <w:rsid w:val="00CF74E1"/>
    <w:rsid w:val="00CF7A63"/>
    <w:rsid w:val="00CF7C11"/>
    <w:rsid w:val="00CF7D0D"/>
    <w:rsid w:val="00D00A6D"/>
    <w:rsid w:val="00D01131"/>
    <w:rsid w:val="00D019C1"/>
    <w:rsid w:val="00D01A51"/>
    <w:rsid w:val="00D01AA6"/>
    <w:rsid w:val="00D01E80"/>
    <w:rsid w:val="00D01F45"/>
    <w:rsid w:val="00D02725"/>
    <w:rsid w:val="00D02AEC"/>
    <w:rsid w:val="00D02D99"/>
    <w:rsid w:val="00D036E0"/>
    <w:rsid w:val="00D03865"/>
    <w:rsid w:val="00D0413C"/>
    <w:rsid w:val="00D047FA"/>
    <w:rsid w:val="00D04E0A"/>
    <w:rsid w:val="00D04EBA"/>
    <w:rsid w:val="00D06288"/>
    <w:rsid w:val="00D066EC"/>
    <w:rsid w:val="00D06CD3"/>
    <w:rsid w:val="00D072EF"/>
    <w:rsid w:val="00D07864"/>
    <w:rsid w:val="00D07D21"/>
    <w:rsid w:val="00D103E7"/>
    <w:rsid w:val="00D10B6F"/>
    <w:rsid w:val="00D10FC3"/>
    <w:rsid w:val="00D11230"/>
    <w:rsid w:val="00D121C9"/>
    <w:rsid w:val="00D1228B"/>
    <w:rsid w:val="00D126C0"/>
    <w:rsid w:val="00D128CE"/>
    <w:rsid w:val="00D134D7"/>
    <w:rsid w:val="00D13FFC"/>
    <w:rsid w:val="00D144EC"/>
    <w:rsid w:val="00D1466C"/>
    <w:rsid w:val="00D15788"/>
    <w:rsid w:val="00D1617C"/>
    <w:rsid w:val="00D162DE"/>
    <w:rsid w:val="00D163EF"/>
    <w:rsid w:val="00D1690A"/>
    <w:rsid w:val="00D16CC8"/>
    <w:rsid w:val="00D1781C"/>
    <w:rsid w:val="00D206FA"/>
    <w:rsid w:val="00D20AF4"/>
    <w:rsid w:val="00D21DFB"/>
    <w:rsid w:val="00D2244F"/>
    <w:rsid w:val="00D22919"/>
    <w:rsid w:val="00D22C9A"/>
    <w:rsid w:val="00D24B95"/>
    <w:rsid w:val="00D24BF7"/>
    <w:rsid w:val="00D2539A"/>
    <w:rsid w:val="00D2547E"/>
    <w:rsid w:val="00D26011"/>
    <w:rsid w:val="00D26BE4"/>
    <w:rsid w:val="00D26C69"/>
    <w:rsid w:val="00D26F0F"/>
    <w:rsid w:val="00D27103"/>
    <w:rsid w:val="00D3053A"/>
    <w:rsid w:val="00D3149E"/>
    <w:rsid w:val="00D314B1"/>
    <w:rsid w:val="00D318BF"/>
    <w:rsid w:val="00D31DAD"/>
    <w:rsid w:val="00D320C9"/>
    <w:rsid w:val="00D3295B"/>
    <w:rsid w:val="00D333E5"/>
    <w:rsid w:val="00D339EB"/>
    <w:rsid w:val="00D33D34"/>
    <w:rsid w:val="00D33DF7"/>
    <w:rsid w:val="00D349FF"/>
    <w:rsid w:val="00D34A70"/>
    <w:rsid w:val="00D34E3F"/>
    <w:rsid w:val="00D35067"/>
    <w:rsid w:val="00D35159"/>
    <w:rsid w:val="00D35867"/>
    <w:rsid w:val="00D35D37"/>
    <w:rsid w:val="00D35E24"/>
    <w:rsid w:val="00D35E56"/>
    <w:rsid w:val="00D3629C"/>
    <w:rsid w:val="00D363C6"/>
    <w:rsid w:val="00D365E0"/>
    <w:rsid w:val="00D36638"/>
    <w:rsid w:val="00D36F2D"/>
    <w:rsid w:val="00D37449"/>
    <w:rsid w:val="00D404BF"/>
    <w:rsid w:val="00D409DD"/>
    <w:rsid w:val="00D40DA1"/>
    <w:rsid w:val="00D41054"/>
    <w:rsid w:val="00D411BC"/>
    <w:rsid w:val="00D4142C"/>
    <w:rsid w:val="00D41B43"/>
    <w:rsid w:val="00D424BE"/>
    <w:rsid w:val="00D429E5"/>
    <w:rsid w:val="00D42D2E"/>
    <w:rsid w:val="00D4655A"/>
    <w:rsid w:val="00D46B28"/>
    <w:rsid w:val="00D46DD2"/>
    <w:rsid w:val="00D4717C"/>
    <w:rsid w:val="00D47C6A"/>
    <w:rsid w:val="00D50A57"/>
    <w:rsid w:val="00D50B30"/>
    <w:rsid w:val="00D5131F"/>
    <w:rsid w:val="00D51531"/>
    <w:rsid w:val="00D5190B"/>
    <w:rsid w:val="00D51FDA"/>
    <w:rsid w:val="00D53E64"/>
    <w:rsid w:val="00D548D9"/>
    <w:rsid w:val="00D54DC1"/>
    <w:rsid w:val="00D54E5A"/>
    <w:rsid w:val="00D55821"/>
    <w:rsid w:val="00D55E7F"/>
    <w:rsid w:val="00D56228"/>
    <w:rsid w:val="00D562E5"/>
    <w:rsid w:val="00D57F88"/>
    <w:rsid w:val="00D6051A"/>
    <w:rsid w:val="00D6078D"/>
    <w:rsid w:val="00D61128"/>
    <w:rsid w:val="00D613B3"/>
    <w:rsid w:val="00D61F0E"/>
    <w:rsid w:val="00D620EC"/>
    <w:rsid w:val="00D62561"/>
    <w:rsid w:val="00D62A1A"/>
    <w:rsid w:val="00D63319"/>
    <w:rsid w:val="00D63AC5"/>
    <w:rsid w:val="00D63EA2"/>
    <w:rsid w:val="00D640D2"/>
    <w:rsid w:val="00D65422"/>
    <w:rsid w:val="00D6580F"/>
    <w:rsid w:val="00D660E6"/>
    <w:rsid w:val="00D66549"/>
    <w:rsid w:val="00D6674B"/>
    <w:rsid w:val="00D66B95"/>
    <w:rsid w:val="00D67E74"/>
    <w:rsid w:val="00D7007B"/>
    <w:rsid w:val="00D702FF"/>
    <w:rsid w:val="00D705C4"/>
    <w:rsid w:val="00D70B1C"/>
    <w:rsid w:val="00D70B3E"/>
    <w:rsid w:val="00D70DF2"/>
    <w:rsid w:val="00D719B9"/>
    <w:rsid w:val="00D71D03"/>
    <w:rsid w:val="00D71D4E"/>
    <w:rsid w:val="00D72629"/>
    <w:rsid w:val="00D72C28"/>
    <w:rsid w:val="00D7423B"/>
    <w:rsid w:val="00D744E1"/>
    <w:rsid w:val="00D74D4F"/>
    <w:rsid w:val="00D7516C"/>
    <w:rsid w:val="00D75E6D"/>
    <w:rsid w:val="00D75FA5"/>
    <w:rsid w:val="00D76C53"/>
    <w:rsid w:val="00D82FA5"/>
    <w:rsid w:val="00D840C6"/>
    <w:rsid w:val="00D85064"/>
    <w:rsid w:val="00D8537E"/>
    <w:rsid w:val="00D85BCA"/>
    <w:rsid w:val="00D85BDF"/>
    <w:rsid w:val="00D85FD6"/>
    <w:rsid w:val="00D85FE8"/>
    <w:rsid w:val="00D86074"/>
    <w:rsid w:val="00D863AB"/>
    <w:rsid w:val="00D8676B"/>
    <w:rsid w:val="00D87E77"/>
    <w:rsid w:val="00D87E8C"/>
    <w:rsid w:val="00D87EF2"/>
    <w:rsid w:val="00D9070F"/>
    <w:rsid w:val="00D90B3F"/>
    <w:rsid w:val="00D916C7"/>
    <w:rsid w:val="00D91ECD"/>
    <w:rsid w:val="00D929B3"/>
    <w:rsid w:val="00D92EEB"/>
    <w:rsid w:val="00D94025"/>
    <w:rsid w:val="00D948D1"/>
    <w:rsid w:val="00D94D03"/>
    <w:rsid w:val="00D9567B"/>
    <w:rsid w:val="00D95EF2"/>
    <w:rsid w:val="00D95FF4"/>
    <w:rsid w:val="00D968BD"/>
    <w:rsid w:val="00D9734A"/>
    <w:rsid w:val="00DA0836"/>
    <w:rsid w:val="00DA08B9"/>
    <w:rsid w:val="00DA0A1D"/>
    <w:rsid w:val="00DA1376"/>
    <w:rsid w:val="00DA1966"/>
    <w:rsid w:val="00DA1E96"/>
    <w:rsid w:val="00DA2F6F"/>
    <w:rsid w:val="00DA3388"/>
    <w:rsid w:val="00DA351D"/>
    <w:rsid w:val="00DA3706"/>
    <w:rsid w:val="00DA442B"/>
    <w:rsid w:val="00DA5063"/>
    <w:rsid w:val="00DA5437"/>
    <w:rsid w:val="00DA5A7B"/>
    <w:rsid w:val="00DA6359"/>
    <w:rsid w:val="00DA7533"/>
    <w:rsid w:val="00DA767D"/>
    <w:rsid w:val="00DA792E"/>
    <w:rsid w:val="00DB0546"/>
    <w:rsid w:val="00DB0CB1"/>
    <w:rsid w:val="00DB162A"/>
    <w:rsid w:val="00DB173D"/>
    <w:rsid w:val="00DB2AE9"/>
    <w:rsid w:val="00DB30F0"/>
    <w:rsid w:val="00DB35BF"/>
    <w:rsid w:val="00DB3B32"/>
    <w:rsid w:val="00DB3EC4"/>
    <w:rsid w:val="00DB4622"/>
    <w:rsid w:val="00DB47A3"/>
    <w:rsid w:val="00DB47D2"/>
    <w:rsid w:val="00DB58CC"/>
    <w:rsid w:val="00DB7DE2"/>
    <w:rsid w:val="00DC05A6"/>
    <w:rsid w:val="00DC099E"/>
    <w:rsid w:val="00DC0A39"/>
    <w:rsid w:val="00DC18E1"/>
    <w:rsid w:val="00DC259E"/>
    <w:rsid w:val="00DC26D6"/>
    <w:rsid w:val="00DC2E59"/>
    <w:rsid w:val="00DC2EB5"/>
    <w:rsid w:val="00DC3935"/>
    <w:rsid w:val="00DC4745"/>
    <w:rsid w:val="00DC492A"/>
    <w:rsid w:val="00DC4C43"/>
    <w:rsid w:val="00DC5808"/>
    <w:rsid w:val="00DC5E1D"/>
    <w:rsid w:val="00DC5EA2"/>
    <w:rsid w:val="00DC6717"/>
    <w:rsid w:val="00DC6798"/>
    <w:rsid w:val="00DC6D3F"/>
    <w:rsid w:val="00DC6E33"/>
    <w:rsid w:val="00DD000F"/>
    <w:rsid w:val="00DD1124"/>
    <w:rsid w:val="00DD1948"/>
    <w:rsid w:val="00DD244F"/>
    <w:rsid w:val="00DD2BD4"/>
    <w:rsid w:val="00DD3EC3"/>
    <w:rsid w:val="00DD480B"/>
    <w:rsid w:val="00DD4980"/>
    <w:rsid w:val="00DD49E0"/>
    <w:rsid w:val="00DD65D6"/>
    <w:rsid w:val="00DD66DB"/>
    <w:rsid w:val="00DD673C"/>
    <w:rsid w:val="00DD67C0"/>
    <w:rsid w:val="00DD67F1"/>
    <w:rsid w:val="00DD7146"/>
    <w:rsid w:val="00DD7BB6"/>
    <w:rsid w:val="00DE0391"/>
    <w:rsid w:val="00DE0996"/>
    <w:rsid w:val="00DE16EF"/>
    <w:rsid w:val="00DE1B5E"/>
    <w:rsid w:val="00DE2056"/>
    <w:rsid w:val="00DE21F3"/>
    <w:rsid w:val="00DE23FA"/>
    <w:rsid w:val="00DE2C8A"/>
    <w:rsid w:val="00DE35A2"/>
    <w:rsid w:val="00DE3B49"/>
    <w:rsid w:val="00DE3D4F"/>
    <w:rsid w:val="00DE425A"/>
    <w:rsid w:val="00DE4DAF"/>
    <w:rsid w:val="00DE584A"/>
    <w:rsid w:val="00DE5E96"/>
    <w:rsid w:val="00DE5FEA"/>
    <w:rsid w:val="00DE6361"/>
    <w:rsid w:val="00DE6C28"/>
    <w:rsid w:val="00DE6DC2"/>
    <w:rsid w:val="00DF0230"/>
    <w:rsid w:val="00DF05D0"/>
    <w:rsid w:val="00DF0738"/>
    <w:rsid w:val="00DF07A8"/>
    <w:rsid w:val="00DF0929"/>
    <w:rsid w:val="00DF0950"/>
    <w:rsid w:val="00DF0C53"/>
    <w:rsid w:val="00DF11BE"/>
    <w:rsid w:val="00DF15C8"/>
    <w:rsid w:val="00DF1FBC"/>
    <w:rsid w:val="00DF3DD2"/>
    <w:rsid w:val="00DF4013"/>
    <w:rsid w:val="00DF435F"/>
    <w:rsid w:val="00DF45A8"/>
    <w:rsid w:val="00DF48A0"/>
    <w:rsid w:val="00DF4C4D"/>
    <w:rsid w:val="00DF4CDA"/>
    <w:rsid w:val="00DF4E64"/>
    <w:rsid w:val="00DF5531"/>
    <w:rsid w:val="00DF55B8"/>
    <w:rsid w:val="00DF5688"/>
    <w:rsid w:val="00DF5994"/>
    <w:rsid w:val="00DF5F19"/>
    <w:rsid w:val="00DF674F"/>
    <w:rsid w:val="00DF6E35"/>
    <w:rsid w:val="00DF7464"/>
    <w:rsid w:val="00DF765E"/>
    <w:rsid w:val="00DF7853"/>
    <w:rsid w:val="00DF7B10"/>
    <w:rsid w:val="00DF7E20"/>
    <w:rsid w:val="00E005D0"/>
    <w:rsid w:val="00E00B40"/>
    <w:rsid w:val="00E017FA"/>
    <w:rsid w:val="00E01CD3"/>
    <w:rsid w:val="00E01D8D"/>
    <w:rsid w:val="00E021A7"/>
    <w:rsid w:val="00E03EB5"/>
    <w:rsid w:val="00E0434D"/>
    <w:rsid w:val="00E04408"/>
    <w:rsid w:val="00E0456B"/>
    <w:rsid w:val="00E045AB"/>
    <w:rsid w:val="00E04741"/>
    <w:rsid w:val="00E05427"/>
    <w:rsid w:val="00E054B6"/>
    <w:rsid w:val="00E07D2C"/>
    <w:rsid w:val="00E10D86"/>
    <w:rsid w:val="00E112DD"/>
    <w:rsid w:val="00E11478"/>
    <w:rsid w:val="00E1163E"/>
    <w:rsid w:val="00E11721"/>
    <w:rsid w:val="00E11BD1"/>
    <w:rsid w:val="00E11C5D"/>
    <w:rsid w:val="00E11D9D"/>
    <w:rsid w:val="00E13381"/>
    <w:rsid w:val="00E13DBD"/>
    <w:rsid w:val="00E144F3"/>
    <w:rsid w:val="00E149C4"/>
    <w:rsid w:val="00E14BEA"/>
    <w:rsid w:val="00E15158"/>
    <w:rsid w:val="00E1542D"/>
    <w:rsid w:val="00E1566E"/>
    <w:rsid w:val="00E16923"/>
    <w:rsid w:val="00E16BF5"/>
    <w:rsid w:val="00E1768E"/>
    <w:rsid w:val="00E2029A"/>
    <w:rsid w:val="00E21250"/>
    <w:rsid w:val="00E212B1"/>
    <w:rsid w:val="00E21419"/>
    <w:rsid w:val="00E214DC"/>
    <w:rsid w:val="00E2168E"/>
    <w:rsid w:val="00E2191C"/>
    <w:rsid w:val="00E2194E"/>
    <w:rsid w:val="00E21D4C"/>
    <w:rsid w:val="00E21F31"/>
    <w:rsid w:val="00E222E8"/>
    <w:rsid w:val="00E22B60"/>
    <w:rsid w:val="00E23630"/>
    <w:rsid w:val="00E237CB"/>
    <w:rsid w:val="00E24085"/>
    <w:rsid w:val="00E2486F"/>
    <w:rsid w:val="00E24D75"/>
    <w:rsid w:val="00E25490"/>
    <w:rsid w:val="00E255AE"/>
    <w:rsid w:val="00E261D8"/>
    <w:rsid w:val="00E2624C"/>
    <w:rsid w:val="00E26C5C"/>
    <w:rsid w:val="00E27304"/>
    <w:rsid w:val="00E27B88"/>
    <w:rsid w:val="00E27C60"/>
    <w:rsid w:val="00E302F4"/>
    <w:rsid w:val="00E30AFC"/>
    <w:rsid w:val="00E30CB5"/>
    <w:rsid w:val="00E30D6E"/>
    <w:rsid w:val="00E30DA2"/>
    <w:rsid w:val="00E30F4B"/>
    <w:rsid w:val="00E31FD9"/>
    <w:rsid w:val="00E330A7"/>
    <w:rsid w:val="00E331AC"/>
    <w:rsid w:val="00E33AC0"/>
    <w:rsid w:val="00E33CED"/>
    <w:rsid w:val="00E34792"/>
    <w:rsid w:val="00E34A2B"/>
    <w:rsid w:val="00E34DBF"/>
    <w:rsid w:val="00E36191"/>
    <w:rsid w:val="00E36554"/>
    <w:rsid w:val="00E369BC"/>
    <w:rsid w:val="00E36B92"/>
    <w:rsid w:val="00E36E33"/>
    <w:rsid w:val="00E36EC4"/>
    <w:rsid w:val="00E37333"/>
    <w:rsid w:val="00E374B8"/>
    <w:rsid w:val="00E374D5"/>
    <w:rsid w:val="00E40428"/>
    <w:rsid w:val="00E40F97"/>
    <w:rsid w:val="00E4115D"/>
    <w:rsid w:val="00E41DBD"/>
    <w:rsid w:val="00E42326"/>
    <w:rsid w:val="00E43133"/>
    <w:rsid w:val="00E43481"/>
    <w:rsid w:val="00E436D3"/>
    <w:rsid w:val="00E45181"/>
    <w:rsid w:val="00E460C4"/>
    <w:rsid w:val="00E466C8"/>
    <w:rsid w:val="00E4674B"/>
    <w:rsid w:val="00E46A55"/>
    <w:rsid w:val="00E46DFC"/>
    <w:rsid w:val="00E46EF5"/>
    <w:rsid w:val="00E4758A"/>
    <w:rsid w:val="00E47CAC"/>
    <w:rsid w:val="00E50788"/>
    <w:rsid w:val="00E5142F"/>
    <w:rsid w:val="00E51657"/>
    <w:rsid w:val="00E5178D"/>
    <w:rsid w:val="00E517F2"/>
    <w:rsid w:val="00E519F2"/>
    <w:rsid w:val="00E5312B"/>
    <w:rsid w:val="00E533FA"/>
    <w:rsid w:val="00E543BD"/>
    <w:rsid w:val="00E5476C"/>
    <w:rsid w:val="00E54B9F"/>
    <w:rsid w:val="00E554D2"/>
    <w:rsid w:val="00E5575D"/>
    <w:rsid w:val="00E557EE"/>
    <w:rsid w:val="00E55821"/>
    <w:rsid w:val="00E55F4F"/>
    <w:rsid w:val="00E563F7"/>
    <w:rsid w:val="00E57832"/>
    <w:rsid w:val="00E57907"/>
    <w:rsid w:val="00E579F2"/>
    <w:rsid w:val="00E57A93"/>
    <w:rsid w:val="00E57FB2"/>
    <w:rsid w:val="00E600D4"/>
    <w:rsid w:val="00E60423"/>
    <w:rsid w:val="00E60CA8"/>
    <w:rsid w:val="00E610AC"/>
    <w:rsid w:val="00E617D5"/>
    <w:rsid w:val="00E61D34"/>
    <w:rsid w:val="00E61E3D"/>
    <w:rsid w:val="00E63245"/>
    <w:rsid w:val="00E6330E"/>
    <w:rsid w:val="00E64772"/>
    <w:rsid w:val="00E64FAC"/>
    <w:rsid w:val="00E650F6"/>
    <w:rsid w:val="00E65979"/>
    <w:rsid w:val="00E65A11"/>
    <w:rsid w:val="00E6660D"/>
    <w:rsid w:val="00E66663"/>
    <w:rsid w:val="00E6686C"/>
    <w:rsid w:val="00E675FD"/>
    <w:rsid w:val="00E67844"/>
    <w:rsid w:val="00E67A82"/>
    <w:rsid w:val="00E67D92"/>
    <w:rsid w:val="00E70877"/>
    <w:rsid w:val="00E70906"/>
    <w:rsid w:val="00E70B62"/>
    <w:rsid w:val="00E70B64"/>
    <w:rsid w:val="00E71028"/>
    <w:rsid w:val="00E71DF0"/>
    <w:rsid w:val="00E71E8A"/>
    <w:rsid w:val="00E721AB"/>
    <w:rsid w:val="00E73164"/>
    <w:rsid w:val="00E735E6"/>
    <w:rsid w:val="00E73E4F"/>
    <w:rsid w:val="00E74026"/>
    <w:rsid w:val="00E74062"/>
    <w:rsid w:val="00E74844"/>
    <w:rsid w:val="00E74AC2"/>
    <w:rsid w:val="00E750A7"/>
    <w:rsid w:val="00E752A0"/>
    <w:rsid w:val="00E758A8"/>
    <w:rsid w:val="00E7615D"/>
    <w:rsid w:val="00E763A8"/>
    <w:rsid w:val="00E766B5"/>
    <w:rsid w:val="00E769CF"/>
    <w:rsid w:val="00E77176"/>
    <w:rsid w:val="00E77367"/>
    <w:rsid w:val="00E80472"/>
    <w:rsid w:val="00E809E6"/>
    <w:rsid w:val="00E80E86"/>
    <w:rsid w:val="00E81253"/>
    <w:rsid w:val="00E81AE3"/>
    <w:rsid w:val="00E81C17"/>
    <w:rsid w:val="00E83059"/>
    <w:rsid w:val="00E83241"/>
    <w:rsid w:val="00E8355A"/>
    <w:rsid w:val="00E8361D"/>
    <w:rsid w:val="00E844EE"/>
    <w:rsid w:val="00E8451E"/>
    <w:rsid w:val="00E853D5"/>
    <w:rsid w:val="00E85568"/>
    <w:rsid w:val="00E858C4"/>
    <w:rsid w:val="00E862BB"/>
    <w:rsid w:val="00E8650C"/>
    <w:rsid w:val="00E86ACF"/>
    <w:rsid w:val="00E86BF7"/>
    <w:rsid w:val="00E8702D"/>
    <w:rsid w:val="00E90583"/>
    <w:rsid w:val="00E905CD"/>
    <w:rsid w:val="00E9099D"/>
    <w:rsid w:val="00E90A0A"/>
    <w:rsid w:val="00E90B21"/>
    <w:rsid w:val="00E90D5E"/>
    <w:rsid w:val="00E90D7C"/>
    <w:rsid w:val="00E91030"/>
    <w:rsid w:val="00E9121B"/>
    <w:rsid w:val="00E91E18"/>
    <w:rsid w:val="00E926CD"/>
    <w:rsid w:val="00E92C52"/>
    <w:rsid w:val="00E92DF8"/>
    <w:rsid w:val="00E93A0C"/>
    <w:rsid w:val="00E93A23"/>
    <w:rsid w:val="00E9452F"/>
    <w:rsid w:val="00E949B7"/>
    <w:rsid w:val="00E95582"/>
    <w:rsid w:val="00E9597D"/>
    <w:rsid w:val="00E95C31"/>
    <w:rsid w:val="00E96C8E"/>
    <w:rsid w:val="00E96F2F"/>
    <w:rsid w:val="00E97196"/>
    <w:rsid w:val="00EA02B6"/>
    <w:rsid w:val="00EA0438"/>
    <w:rsid w:val="00EA0C72"/>
    <w:rsid w:val="00EA15FA"/>
    <w:rsid w:val="00EA1746"/>
    <w:rsid w:val="00EA198F"/>
    <w:rsid w:val="00EA1AC1"/>
    <w:rsid w:val="00EA1F51"/>
    <w:rsid w:val="00EA1FE2"/>
    <w:rsid w:val="00EA20B2"/>
    <w:rsid w:val="00EA22ED"/>
    <w:rsid w:val="00EA2423"/>
    <w:rsid w:val="00EA2F19"/>
    <w:rsid w:val="00EA3267"/>
    <w:rsid w:val="00EA32E7"/>
    <w:rsid w:val="00EA3750"/>
    <w:rsid w:val="00EA3873"/>
    <w:rsid w:val="00EA3A8C"/>
    <w:rsid w:val="00EA3B3A"/>
    <w:rsid w:val="00EA4590"/>
    <w:rsid w:val="00EA487D"/>
    <w:rsid w:val="00EA4E65"/>
    <w:rsid w:val="00EA5B14"/>
    <w:rsid w:val="00EA5D04"/>
    <w:rsid w:val="00EA631F"/>
    <w:rsid w:val="00EA67B0"/>
    <w:rsid w:val="00EA6ADD"/>
    <w:rsid w:val="00EA6E19"/>
    <w:rsid w:val="00EA7F02"/>
    <w:rsid w:val="00EA7F72"/>
    <w:rsid w:val="00EB0E8B"/>
    <w:rsid w:val="00EB0F98"/>
    <w:rsid w:val="00EB1221"/>
    <w:rsid w:val="00EB12F6"/>
    <w:rsid w:val="00EB2742"/>
    <w:rsid w:val="00EB2BDB"/>
    <w:rsid w:val="00EB2BEC"/>
    <w:rsid w:val="00EB3A59"/>
    <w:rsid w:val="00EB3B6B"/>
    <w:rsid w:val="00EB4121"/>
    <w:rsid w:val="00EB42D0"/>
    <w:rsid w:val="00EB4551"/>
    <w:rsid w:val="00EB48CA"/>
    <w:rsid w:val="00EB518F"/>
    <w:rsid w:val="00EB5B60"/>
    <w:rsid w:val="00EB6235"/>
    <w:rsid w:val="00EB6240"/>
    <w:rsid w:val="00EB67B9"/>
    <w:rsid w:val="00EC0359"/>
    <w:rsid w:val="00EC0B23"/>
    <w:rsid w:val="00EC0C86"/>
    <w:rsid w:val="00EC0E0C"/>
    <w:rsid w:val="00EC1578"/>
    <w:rsid w:val="00EC15B5"/>
    <w:rsid w:val="00EC1DE3"/>
    <w:rsid w:val="00EC1FD7"/>
    <w:rsid w:val="00EC2C36"/>
    <w:rsid w:val="00EC313B"/>
    <w:rsid w:val="00EC31DD"/>
    <w:rsid w:val="00EC3A75"/>
    <w:rsid w:val="00EC3AB5"/>
    <w:rsid w:val="00EC5686"/>
    <w:rsid w:val="00EC622A"/>
    <w:rsid w:val="00EC68EF"/>
    <w:rsid w:val="00EC6D8C"/>
    <w:rsid w:val="00EC70C4"/>
    <w:rsid w:val="00EC724B"/>
    <w:rsid w:val="00EC7673"/>
    <w:rsid w:val="00EC7D1A"/>
    <w:rsid w:val="00ED04E0"/>
    <w:rsid w:val="00ED04E9"/>
    <w:rsid w:val="00ED08D9"/>
    <w:rsid w:val="00ED091A"/>
    <w:rsid w:val="00ED2A07"/>
    <w:rsid w:val="00ED2F42"/>
    <w:rsid w:val="00ED3640"/>
    <w:rsid w:val="00ED3CF3"/>
    <w:rsid w:val="00ED3D0C"/>
    <w:rsid w:val="00ED4B29"/>
    <w:rsid w:val="00ED4D93"/>
    <w:rsid w:val="00ED5065"/>
    <w:rsid w:val="00ED5489"/>
    <w:rsid w:val="00ED570E"/>
    <w:rsid w:val="00ED58D4"/>
    <w:rsid w:val="00ED58D9"/>
    <w:rsid w:val="00ED73EC"/>
    <w:rsid w:val="00ED74F5"/>
    <w:rsid w:val="00ED7860"/>
    <w:rsid w:val="00ED7A90"/>
    <w:rsid w:val="00EE081F"/>
    <w:rsid w:val="00EE0C47"/>
    <w:rsid w:val="00EE199E"/>
    <w:rsid w:val="00EE1B00"/>
    <w:rsid w:val="00EE1D7C"/>
    <w:rsid w:val="00EE1EC9"/>
    <w:rsid w:val="00EE296D"/>
    <w:rsid w:val="00EE2D28"/>
    <w:rsid w:val="00EE2DD2"/>
    <w:rsid w:val="00EE3132"/>
    <w:rsid w:val="00EE32D5"/>
    <w:rsid w:val="00EE38A1"/>
    <w:rsid w:val="00EE3931"/>
    <w:rsid w:val="00EE3DE1"/>
    <w:rsid w:val="00EE49A7"/>
    <w:rsid w:val="00EE4AAD"/>
    <w:rsid w:val="00EE50EE"/>
    <w:rsid w:val="00EE5360"/>
    <w:rsid w:val="00EE5A8A"/>
    <w:rsid w:val="00EE5DB3"/>
    <w:rsid w:val="00EE6050"/>
    <w:rsid w:val="00EE62D3"/>
    <w:rsid w:val="00EE69B9"/>
    <w:rsid w:val="00EE6DC7"/>
    <w:rsid w:val="00EE6E0F"/>
    <w:rsid w:val="00EF00A8"/>
    <w:rsid w:val="00EF07D8"/>
    <w:rsid w:val="00EF119D"/>
    <w:rsid w:val="00EF1933"/>
    <w:rsid w:val="00EF1BE7"/>
    <w:rsid w:val="00EF1F1B"/>
    <w:rsid w:val="00EF20D2"/>
    <w:rsid w:val="00EF27FF"/>
    <w:rsid w:val="00EF307B"/>
    <w:rsid w:val="00EF328F"/>
    <w:rsid w:val="00EF36AE"/>
    <w:rsid w:val="00EF37DF"/>
    <w:rsid w:val="00EF3B18"/>
    <w:rsid w:val="00EF5092"/>
    <w:rsid w:val="00EF50D7"/>
    <w:rsid w:val="00EF524B"/>
    <w:rsid w:val="00EF54A6"/>
    <w:rsid w:val="00EF5755"/>
    <w:rsid w:val="00EF5879"/>
    <w:rsid w:val="00EF63FA"/>
    <w:rsid w:val="00EF7132"/>
    <w:rsid w:val="00EF7315"/>
    <w:rsid w:val="00EF7D70"/>
    <w:rsid w:val="00F0085F"/>
    <w:rsid w:val="00F0090F"/>
    <w:rsid w:val="00F0093D"/>
    <w:rsid w:val="00F00C88"/>
    <w:rsid w:val="00F00E06"/>
    <w:rsid w:val="00F01053"/>
    <w:rsid w:val="00F017AD"/>
    <w:rsid w:val="00F01A26"/>
    <w:rsid w:val="00F01B08"/>
    <w:rsid w:val="00F01EEE"/>
    <w:rsid w:val="00F0223E"/>
    <w:rsid w:val="00F03441"/>
    <w:rsid w:val="00F03DF9"/>
    <w:rsid w:val="00F04A62"/>
    <w:rsid w:val="00F04BCD"/>
    <w:rsid w:val="00F05426"/>
    <w:rsid w:val="00F0570D"/>
    <w:rsid w:val="00F05AE0"/>
    <w:rsid w:val="00F05C6B"/>
    <w:rsid w:val="00F06274"/>
    <w:rsid w:val="00F10275"/>
    <w:rsid w:val="00F10417"/>
    <w:rsid w:val="00F1105C"/>
    <w:rsid w:val="00F119C9"/>
    <w:rsid w:val="00F11DEB"/>
    <w:rsid w:val="00F12A45"/>
    <w:rsid w:val="00F132A7"/>
    <w:rsid w:val="00F146D5"/>
    <w:rsid w:val="00F14708"/>
    <w:rsid w:val="00F14A55"/>
    <w:rsid w:val="00F14D28"/>
    <w:rsid w:val="00F14F2A"/>
    <w:rsid w:val="00F15B29"/>
    <w:rsid w:val="00F15E41"/>
    <w:rsid w:val="00F16251"/>
    <w:rsid w:val="00F1635C"/>
    <w:rsid w:val="00F167FE"/>
    <w:rsid w:val="00F16F6B"/>
    <w:rsid w:val="00F17371"/>
    <w:rsid w:val="00F174DA"/>
    <w:rsid w:val="00F177EE"/>
    <w:rsid w:val="00F17C54"/>
    <w:rsid w:val="00F17FCC"/>
    <w:rsid w:val="00F204B3"/>
    <w:rsid w:val="00F20700"/>
    <w:rsid w:val="00F209DE"/>
    <w:rsid w:val="00F20D6E"/>
    <w:rsid w:val="00F210D0"/>
    <w:rsid w:val="00F213B6"/>
    <w:rsid w:val="00F218E7"/>
    <w:rsid w:val="00F222F9"/>
    <w:rsid w:val="00F226F1"/>
    <w:rsid w:val="00F227BD"/>
    <w:rsid w:val="00F23069"/>
    <w:rsid w:val="00F2389A"/>
    <w:rsid w:val="00F23A8A"/>
    <w:rsid w:val="00F252F9"/>
    <w:rsid w:val="00F25362"/>
    <w:rsid w:val="00F259BE"/>
    <w:rsid w:val="00F266EE"/>
    <w:rsid w:val="00F277B7"/>
    <w:rsid w:val="00F27AD7"/>
    <w:rsid w:val="00F30006"/>
    <w:rsid w:val="00F31894"/>
    <w:rsid w:val="00F31AFF"/>
    <w:rsid w:val="00F31CE1"/>
    <w:rsid w:val="00F31E55"/>
    <w:rsid w:val="00F31F47"/>
    <w:rsid w:val="00F32095"/>
    <w:rsid w:val="00F32536"/>
    <w:rsid w:val="00F32E6B"/>
    <w:rsid w:val="00F331DC"/>
    <w:rsid w:val="00F334C1"/>
    <w:rsid w:val="00F335CE"/>
    <w:rsid w:val="00F337D9"/>
    <w:rsid w:val="00F33886"/>
    <w:rsid w:val="00F33DD7"/>
    <w:rsid w:val="00F3412B"/>
    <w:rsid w:val="00F34D40"/>
    <w:rsid w:val="00F34D83"/>
    <w:rsid w:val="00F34F1F"/>
    <w:rsid w:val="00F3528F"/>
    <w:rsid w:val="00F35321"/>
    <w:rsid w:val="00F35A59"/>
    <w:rsid w:val="00F35A66"/>
    <w:rsid w:val="00F35DE2"/>
    <w:rsid w:val="00F36861"/>
    <w:rsid w:val="00F36912"/>
    <w:rsid w:val="00F36E9C"/>
    <w:rsid w:val="00F36FFF"/>
    <w:rsid w:val="00F37110"/>
    <w:rsid w:val="00F372D4"/>
    <w:rsid w:val="00F37750"/>
    <w:rsid w:val="00F37881"/>
    <w:rsid w:val="00F40536"/>
    <w:rsid w:val="00F40B5D"/>
    <w:rsid w:val="00F417DC"/>
    <w:rsid w:val="00F41901"/>
    <w:rsid w:val="00F41B9F"/>
    <w:rsid w:val="00F41F29"/>
    <w:rsid w:val="00F420DA"/>
    <w:rsid w:val="00F42151"/>
    <w:rsid w:val="00F424B7"/>
    <w:rsid w:val="00F4324F"/>
    <w:rsid w:val="00F437E3"/>
    <w:rsid w:val="00F440A0"/>
    <w:rsid w:val="00F4418E"/>
    <w:rsid w:val="00F449B7"/>
    <w:rsid w:val="00F457C2"/>
    <w:rsid w:val="00F46136"/>
    <w:rsid w:val="00F469B3"/>
    <w:rsid w:val="00F474E9"/>
    <w:rsid w:val="00F479B7"/>
    <w:rsid w:val="00F47A1B"/>
    <w:rsid w:val="00F47D07"/>
    <w:rsid w:val="00F504F3"/>
    <w:rsid w:val="00F50945"/>
    <w:rsid w:val="00F51013"/>
    <w:rsid w:val="00F51242"/>
    <w:rsid w:val="00F516F7"/>
    <w:rsid w:val="00F521A7"/>
    <w:rsid w:val="00F52F24"/>
    <w:rsid w:val="00F52F94"/>
    <w:rsid w:val="00F5346E"/>
    <w:rsid w:val="00F53761"/>
    <w:rsid w:val="00F5408C"/>
    <w:rsid w:val="00F553D8"/>
    <w:rsid w:val="00F55681"/>
    <w:rsid w:val="00F56027"/>
    <w:rsid w:val="00F603A7"/>
    <w:rsid w:val="00F60AE3"/>
    <w:rsid w:val="00F6196F"/>
    <w:rsid w:val="00F61EF0"/>
    <w:rsid w:val="00F622F7"/>
    <w:rsid w:val="00F62B9B"/>
    <w:rsid w:val="00F62F2C"/>
    <w:rsid w:val="00F63404"/>
    <w:rsid w:val="00F635DA"/>
    <w:rsid w:val="00F637C6"/>
    <w:rsid w:val="00F64E6D"/>
    <w:rsid w:val="00F6540D"/>
    <w:rsid w:val="00F65730"/>
    <w:rsid w:val="00F65BBA"/>
    <w:rsid w:val="00F66124"/>
    <w:rsid w:val="00F662A6"/>
    <w:rsid w:val="00F66580"/>
    <w:rsid w:val="00F66825"/>
    <w:rsid w:val="00F669A9"/>
    <w:rsid w:val="00F669FA"/>
    <w:rsid w:val="00F67260"/>
    <w:rsid w:val="00F67CA4"/>
    <w:rsid w:val="00F704AC"/>
    <w:rsid w:val="00F70787"/>
    <w:rsid w:val="00F712D7"/>
    <w:rsid w:val="00F716F3"/>
    <w:rsid w:val="00F7170C"/>
    <w:rsid w:val="00F717FF"/>
    <w:rsid w:val="00F72023"/>
    <w:rsid w:val="00F72376"/>
    <w:rsid w:val="00F723DF"/>
    <w:rsid w:val="00F72FFD"/>
    <w:rsid w:val="00F73413"/>
    <w:rsid w:val="00F7369B"/>
    <w:rsid w:val="00F73AED"/>
    <w:rsid w:val="00F73C37"/>
    <w:rsid w:val="00F74950"/>
    <w:rsid w:val="00F749D2"/>
    <w:rsid w:val="00F74AF1"/>
    <w:rsid w:val="00F7507B"/>
    <w:rsid w:val="00F7563C"/>
    <w:rsid w:val="00F773F5"/>
    <w:rsid w:val="00F77701"/>
    <w:rsid w:val="00F77721"/>
    <w:rsid w:val="00F7772C"/>
    <w:rsid w:val="00F806AA"/>
    <w:rsid w:val="00F808FA"/>
    <w:rsid w:val="00F80AC5"/>
    <w:rsid w:val="00F80DE1"/>
    <w:rsid w:val="00F81113"/>
    <w:rsid w:val="00F81708"/>
    <w:rsid w:val="00F81F3A"/>
    <w:rsid w:val="00F8226D"/>
    <w:rsid w:val="00F824CA"/>
    <w:rsid w:val="00F82BBC"/>
    <w:rsid w:val="00F83371"/>
    <w:rsid w:val="00F843B9"/>
    <w:rsid w:val="00F8479D"/>
    <w:rsid w:val="00F84808"/>
    <w:rsid w:val="00F85282"/>
    <w:rsid w:val="00F852FD"/>
    <w:rsid w:val="00F85398"/>
    <w:rsid w:val="00F85714"/>
    <w:rsid w:val="00F85B99"/>
    <w:rsid w:val="00F85BBF"/>
    <w:rsid w:val="00F85EA0"/>
    <w:rsid w:val="00F85EAF"/>
    <w:rsid w:val="00F86291"/>
    <w:rsid w:val="00F8745C"/>
    <w:rsid w:val="00F874CE"/>
    <w:rsid w:val="00F87A50"/>
    <w:rsid w:val="00F9003D"/>
    <w:rsid w:val="00F9028F"/>
    <w:rsid w:val="00F9047A"/>
    <w:rsid w:val="00F90A9F"/>
    <w:rsid w:val="00F90E27"/>
    <w:rsid w:val="00F91031"/>
    <w:rsid w:val="00F91198"/>
    <w:rsid w:val="00F9123D"/>
    <w:rsid w:val="00F921A1"/>
    <w:rsid w:val="00F93FD1"/>
    <w:rsid w:val="00F94A70"/>
    <w:rsid w:val="00F94B8A"/>
    <w:rsid w:val="00F94CBF"/>
    <w:rsid w:val="00F950B6"/>
    <w:rsid w:val="00F95286"/>
    <w:rsid w:val="00F955FA"/>
    <w:rsid w:val="00F95888"/>
    <w:rsid w:val="00F96E0B"/>
    <w:rsid w:val="00F96E1C"/>
    <w:rsid w:val="00F96E47"/>
    <w:rsid w:val="00FA03B3"/>
    <w:rsid w:val="00FA03FE"/>
    <w:rsid w:val="00FA10CF"/>
    <w:rsid w:val="00FA16A5"/>
    <w:rsid w:val="00FA2980"/>
    <w:rsid w:val="00FA2F82"/>
    <w:rsid w:val="00FA3305"/>
    <w:rsid w:val="00FA37A4"/>
    <w:rsid w:val="00FA3CB2"/>
    <w:rsid w:val="00FA4F11"/>
    <w:rsid w:val="00FA4F5D"/>
    <w:rsid w:val="00FA60A6"/>
    <w:rsid w:val="00FA6A88"/>
    <w:rsid w:val="00FA6AF2"/>
    <w:rsid w:val="00FA727B"/>
    <w:rsid w:val="00FB04DE"/>
    <w:rsid w:val="00FB0A2B"/>
    <w:rsid w:val="00FB0DE0"/>
    <w:rsid w:val="00FB1604"/>
    <w:rsid w:val="00FB1B22"/>
    <w:rsid w:val="00FB228C"/>
    <w:rsid w:val="00FB295A"/>
    <w:rsid w:val="00FB2AB0"/>
    <w:rsid w:val="00FB2E78"/>
    <w:rsid w:val="00FB31DA"/>
    <w:rsid w:val="00FB3225"/>
    <w:rsid w:val="00FB410A"/>
    <w:rsid w:val="00FB42CD"/>
    <w:rsid w:val="00FB4E6E"/>
    <w:rsid w:val="00FB4E87"/>
    <w:rsid w:val="00FB5461"/>
    <w:rsid w:val="00FB5686"/>
    <w:rsid w:val="00FB59BC"/>
    <w:rsid w:val="00FB5D5D"/>
    <w:rsid w:val="00FB5E7F"/>
    <w:rsid w:val="00FB676F"/>
    <w:rsid w:val="00FB6891"/>
    <w:rsid w:val="00FB6C89"/>
    <w:rsid w:val="00FB71A2"/>
    <w:rsid w:val="00FB7604"/>
    <w:rsid w:val="00FB79AC"/>
    <w:rsid w:val="00FB7D61"/>
    <w:rsid w:val="00FC18B6"/>
    <w:rsid w:val="00FC21AA"/>
    <w:rsid w:val="00FC26B4"/>
    <w:rsid w:val="00FC301F"/>
    <w:rsid w:val="00FC3CF8"/>
    <w:rsid w:val="00FC4651"/>
    <w:rsid w:val="00FC477D"/>
    <w:rsid w:val="00FC4EB6"/>
    <w:rsid w:val="00FC5933"/>
    <w:rsid w:val="00FC66AE"/>
    <w:rsid w:val="00FC6FD7"/>
    <w:rsid w:val="00FC7ED0"/>
    <w:rsid w:val="00FD1234"/>
    <w:rsid w:val="00FD170E"/>
    <w:rsid w:val="00FD377F"/>
    <w:rsid w:val="00FD3C2B"/>
    <w:rsid w:val="00FD4447"/>
    <w:rsid w:val="00FD45FA"/>
    <w:rsid w:val="00FD460D"/>
    <w:rsid w:val="00FD4A71"/>
    <w:rsid w:val="00FD4B25"/>
    <w:rsid w:val="00FD4F5C"/>
    <w:rsid w:val="00FD5422"/>
    <w:rsid w:val="00FD5B77"/>
    <w:rsid w:val="00FD5E00"/>
    <w:rsid w:val="00FD6022"/>
    <w:rsid w:val="00FD60EC"/>
    <w:rsid w:val="00FD7035"/>
    <w:rsid w:val="00FD709A"/>
    <w:rsid w:val="00FD71BA"/>
    <w:rsid w:val="00FD7B49"/>
    <w:rsid w:val="00FE126A"/>
    <w:rsid w:val="00FE17CF"/>
    <w:rsid w:val="00FE18BF"/>
    <w:rsid w:val="00FE1905"/>
    <w:rsid w:val="00FE1D0F"/>
    <w:rsid w:val="00FE1FE4"/>
    <w:rsid w:val="00FE20A4"/>
    <w:rsid w:val="00FE2661"/>
    <w:rsid w:val="00FE2D28"/>
    <w:rsid w:val="00FE346C"/>
    <w:rsid w:val="00FE367D"/>
    <w:rsid w:val="00FE3DD9"/>
    <w:rsid w:val="00FE45DE"/>
    <w:rsid w:val="00FE5605"/>
    <w:rsid w:val="00FE59D6"/>
    <w:rsid w:val="00FE6713"/>
    <w:rsid w:val="00FE6DC6"/>
    <w:rsid w:val="00FE6E3C"/>
    <w:rsid w:val="00FE7951"/>
    <w:rsid w:val="00FE7C85"/>
    <w:rsid w:val="00FE7D22"/>
    <w:rsid w:val="00FF00CD"/>
    <w:rsid w:val="00FF01E2"/>
    <w:rsid w:val="00FF0654"/>
    <w:rsid w:val="00FF0DEF"/>
    <w:rsid w:val="00FF1158"/>
    <w:rsid w:val="00FF1A77"/>
    <w:rsid w:val="00FF22B5"/>
    <w:rsid w:val="00FF2724"/>
    <w:rsid w:val="00FF27AE"/>
    <w:rsid w:val="00FF3103"/>
    <w:rsid w:val="00FF317A"/>
    <w:rsid w:val="00FF350A"/>
    <w:rsid w:val="00FF4267"/>
    <w:rsid w:val="00FF5751"/>
    <w:rsid w:val="00FF5FE8"/>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B54E3C99-D7E8-458C-AB5D-7F7424D3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6076FB"/>
    <w:pPr>
      <w:tabs>
        <w:tab w:val="left" w:pos="709"/>
      </w:tabs>
      <w:spacing w:line="240" w:lineRule="auto"/>
      <w:ind w:left="142" w:hanging="142"/>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6076FB"/>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 w:type="paragraph" w:styleId="NormalWeb">
    <w:name w:val="Normal (Web)"/>
    <w:basedOn w:val="Normal"/>
    <w:uiPriority w:val="99"/>
    <w:unhideWhenUsed/>
    <w:rsid w:val="003E0D27"/>
    <w:pPr>
      <w:spacing w:before="100" w:beforeAutospacing="1" w:after="100" w:afterAutospacing="1" w:line="240" w:lineRule="auto"/>
      <w:jc w:val="left"/>
    </w:pPr>
    <w:rPr>
      <w:rFonts w:ascii="Times New Roman" w:hAnsi="Times New Roman"/>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095781187">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6821-3E51-4AA3-ABEE-2D0E3EB7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Gauteng.dotx</Template>
  <TotalTime>6</TotalTime>
  <Pages>20</Pages>
  <Words>4279</Words>
  <Characters>24395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sathish sarshan  mohan</cp:lastModifiedBy>
  <cp:revision>5</cp:revision>
  <cp:lastPrinted>2024-03-28T11:52:00Z</cp:lastPrinted>
  <dcterms:created xsi:type="dcterms:W3CDTF">2024-04-02T13:08:00Z</dcterms:created>
  <dcterms:modified xsi:type="dcterms:W3CDTF">2024-04-03T13:31:00Z</dcterms:modified>
</cp:coreProperties>
</file>