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07E6E" w14:textId="5132A1A1" w:rsidR="00D4536C" w:rsidRPr="007133BA" w:rsidRDefault="00021A19" w:rsidP="007133BA">
      <w:pPr>
        <w:pStyle w:val="Heading6"/>
        <w:spacing w:after="0" w:line="360" w:lineRule="auto"/>
        <w:rPr>
          <w:b/>
        </w:rPr>
      </w:pPr>
      <w:r>
        <w:rPr>
          <w:b/>
          <w:noProof/>
        </w:rPr>
        <w:drawing>
          <wp:inline distT="0" distB="0" distL="0" distR="0" wp14:anchorId="04D8E8E5" wp14:editId="106B3CC9">
            <wp:extent cx="4286250" cy="466725"/>
            <wp:effectExtent l="0" t="0" r="0" b="9525"/>
            <wp:docPr id="2133425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53043813" w14:textId="36103BA4" w:rsidR="00332356" w:rsidRPr="00005DA6" w:rsidRDefault="00332356" w:rsidP="00332356">
      <w:pPr>
        <w:pStyle w:val="Heading6"/>
        <w:spacing w:after="0" w:line="360" w:lineRule="auto"/>
        <w:jc w:val="center"/>
        <w:rPr>
          <w:b/>
        </w:rPr>
      </w:pPr>
      <w:r w:rsidRPr="00005DA6">
        <w:rPr>
          <w:b/>
        </w:rPr>
        <w:t xml:space="preserve">IN THE </w:t>
      </w:r>
      <w:r>
        <w:rPr>
          <w:b/>
        </w:rPr>
        <w:t>HIGH COURT OF SOUTH AFRICA</w:t>
      </w:r>
    </w:p>
    <w:p w14:paraId="63E80E90" w14:textId="77777777" w:rsidR="00332356" w:rsidRPr="00B00377" w:rsidRDefault="00332356" w:rsidP="00332356">
      <w:pPr>
        <w:spacing w:after="120" w:line="360" w:lineRule="auto"/>
        <w:jc w:val="center"/>
        <w:rPr>
          <w:b/>
        </w:rPr>
      </w:pPr>
      <w:r w:rsidRPr="00B00377">
        <w:rPr>
          <w:b/>
        </w:rPr>
        <w:t>(</w:t>
      </w:r>
      <w:r>
        <w:rPr>
          <w:b/>
        </w:rPr>
        <w:t>GAUTENG LOCAL DIVISION, JOHANNESBURG</w:t>
      </w:r>
      <w:r w:rsidRPr="00B00377">
        <w:rPr>
          <w:b/>
        </w:rPr>
        <w:t>)</w:t>
      </w:r>
    </w:p>
    <w:p w14:paraId="58838619" w14:textId="125E3D30" w:rsidR="00332356" w:rsidRDefault="00332356" w:rsidP="00332356">
      <w:pPr>
        <w:pStyle w:val="Heading9"/>
        <w:spacing w:after="0" w:line="360" w:lineRule="auto"/>
        <w:rPr>
          <w:b/>
          <w:u w:val="none"/>
          <w:lang w:val="en-GB"/>
        </w:rPr>
      </w:pPr>
      <w:r w:rsidRPr="00B00377">
        <w:rPr>
          <w:u w:val="none"/>
          <w:lang w:val="en-GB"/>
        </w:rPr>
        <w:t xml:space="preserve">CASE </w:t>
      </w:r>
      <w:proofErr w:type="gramStart"/>
      <w:r w:rsidRPr="00B00377">
        <w:rPr>
          <w:u w:val="none"/>
          <w:lang w:val="en-GB"/>
        </w:rPr>
        <w:t>NO :</w:t>
      </w:r>
      <w:proofErr w:type="gramEnd"/>
      <w:r w:rsidRPr="00B00377">
        <w:rPr>
          <w:b/>
          <w:u w:val="none"/>
          <w:lang w:val="en-GB"/>
        </w:rPr>
        <w:t xml:space="preserve"> </w:t>
      </w:r>
      <w:r w:rsidR="00D12265">
        <w:rPr>
          <w:b/>
          <w:u w:val="none"/>
          <w:lang w:val="en-GB"/>
        </w:rPr>
        <w:t>2003</w:t>
      </w:r>
      <w:r w:rsidRPr="006277D0">
        <w:rPr>
          <w:b/>
          <w:u w:val="none"/>
          <w:lang w:val="en-GB"/>
        </w:rPr>
        <w:t>/</w:t>
      </w:r>
      <w:r w:rsidR="00D12265">
        <w:rPr>
          <w:b/>
          <w:u w:val="none"/>
          <w:lang w:val="en-GB"/>
        </w:rPr>
        <w:t>2220</w:t>
      </w:r>
      <w:r w:rsidR="00FB02AA" w:rsidRPr="006277D0">
        <w:rPr>
          <w:b/>
          <w:u w:val="none"/>
          <w:lang w:val="en-GB"/>
        </w:rPr>
        <w:t>2</w:t>
      </w:r>
    </w:p>
    <w:p w14:paraId="48BC5A7A" w14:textId="77777777" w:rsidR="00332356" w:rsidRDefault="00332356" w:rsidP="00332356">
      <w:r>
        <w:rPr>
          <w:noProof/>
          <w:lang w:val="en-ZA" w:eastAsia="en-ZA"/>
        </w:rPr>
        <mc:AlternateContent>
          <mc:Choice Requires="wps">
            <w:drawing>
              <wp:anchor distT="0" distB="0" distL="114300" distR="114300" simplePos="0" relativeHeight="251659264" behindDoc="0" locked="0" layoutInCell="1" allowOverlap="1" wp14:anchorId="53606855" wp14:editId="348F61CA">
                <wp:simplePos x="0" y="0"/>
                <wp:positionH relativeFrom="column">
                  <wp:posOffset>0</wp:posOffset>
                </wp:positionH>
                <wp:positionV relativeFrom="paragraph">
                  <wp:posOffset>-635</wp:posOffset>
                </wp:positionV>
                <wp:extent cx="3100647" cy="1785446"/>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100647" cy="1785446"/>
                        </a:xfrm>
                        <a:prstGeom prst="rect">
                          <a:avLst/>
                        </a:prstGeom>
                        <a:solidFill>
                          <a:schemeClr val="lt1"/>
                        </a:solidFill>
                        <a:ln w="6350">
                          <a:noFill/>
                        </a:ln>
                      </wps:spPr>
                      <wps:txbx>
                        <w:txbxContent>
                          <w:p w14:paraId="21886169" w14:textId="77777777"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r>
                              <w:t xml:space="preserve">Reportable: </w:t>
                            </w:r>
                            <w:r w:rsidRPr="000C1248">
                              <w:rPr>
                                <w:strike/>
                              </w:rPr>
                              <w:t>Yes</w:t>
                            </w:r>
                            <w:r>
                              <w:t xml:space="preserve"> / No</w:t>
                            </w:r>
                          </w:p>
                          <w:p w14:paraId="080DCA38" w14:textId="77777777"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r>
                              <w:t xml:space="preserve">Of interest to other judges: </w:t>
                            </w:r>
                            <w:r w:rsidRPr="000C1248">
                              <w:rPr>
                                <w:strike/>
                              </w:rPr>
                              <w:t>Yes</w:t>
                            </w:r>
                            <w:r>
                              <w:t xml:space="preserve"> / No</w:t>
                            </w:r>
                          </w:p>
                          <w:p w14:paraId="14138E5A" w14:textId="77777777"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r>
                              <w:t>Revised: No</w:t>
                            </w:r>
                          </w:p>
                          <w:p w14:paraId="4D48DB86" w14:textId="77777777"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p>
                          <w:p w14:paraId="7F1A92CB" w14:textId="77777777"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r>
                              <w:tab/>
                            </w:r>
                            <w:r>
                              <w:tab/>
                            </w:r>
                            <w:r>
                              <w:tab/>
                              <w:t>____________</w:t>
                            </w:r>
                          </w:p>
                          <w:p w14:paraId="397E8443" w14:textId="06BDF396"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r>
                              <w:t xml:space="preserve">Date: </w:t>
                            </w:r>
                            <w:r w:rsidR="00A257B9">
                              <w:t>2 April</w:t>
                            </w:r>
                            <w:r>
                              <w:t xml:space="preserve"> 202</w:t>
                            </w:r>
                            <w:r w:rsidR="00D12265">
                              <w:t>4</w:t>
                            </w:r>
                            <w:r>
                              <w:tab/>
                              <w:t>A B Bishop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06855" id="_x0000_t202" coordsize="21600,21600" o:spt="202" path="m,l,21600r21600,l21600,xe">
                <v:stroke joinstyle="miter"/>
                <v:path gradientshapeok="t" o:connecttype="rect"/>
              </v:shapetype>
              <v:shape id="Text Box 2" o:spid="_x0000_s1026" type="#_x0000_t202" style="position:absolute;left:0;text-align:left;margin-left:0;margin-top:-.05pt;width:244.15pt;height:1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" fillcolor="white [3201]" stroked="f" strokeweight=".5pt">
                <v:textbox>
                  <w:txbxContent>
                    <w:p w14:paraId="21886169" w14:textId="77777777"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r>
                        <w:t xml:space="preserve">Reportable: </w:t>
                      </w:r>
                      <w:r w:rsidRPr="000C1248">
                        <w:rPr>
                          <w:strike/>
                        </w:rPr>
                        <w:t>Yes</w:t>
                      </w:r>
                      <w:r>
                        <w:t xml:space="preserve"> / No</w:t>
                      </w:r>
                    </w:p>
                    <w:p w14:paraId="080DCA38" w14:textId="77777777"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r>
                        <w:t xml:space="preserve">Of interest to other judges: </w:t>
                      </w:r>
                      <w:r w:rsidRPr="000C1248">
                        <w:rPr>
                          <w:strike/>
                        </w:rPr>
                        <w:t>Yes</w:t>
                      </w:r>
                      <w:r>
                        <w:t xml:space="preserve"> / No</w:t>
                      </w:r>
                    </w:p>
                    <w:p w14:paraId="14138E5A" w14:textId="77777777"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r>
                        <w:t>Revised: No</w:t>
                      </w:r>
                    </w:p>
                    <w:p w14:paraId="4D48DB86" w14:textId="77777777"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p>
                    <w:p w14:paraId="7F1A92CB" w14:textId="77777777"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r>
                        <w:tab/>
                      </w:r>
                      <w:r>
                        <w:tab/>
                      </w:r>
                      <w:r>
                        <w:tab/>
                        <w:t>____________</w:t>
                      </w:r>
                    </w:p>
                    <w:p w14:paraId="397E8443" w14:textId="06BDF396" w:rsidR="00332356" w:rsidRDefault="00332356" w:rsidP="00332356">
                      <w:pPr>
                        <w:pBdr>
                          <w:top w:val="single" w:sz="4" w:space="1" w:color="auto"/>
                          <w:left w:val="single" w:sz="4" w:space="4" w:color="auto"/>
                          <w:bottom w:val="single" w:sz="4" w:space="1" w:color="auto"/>
                          <w:right w:val="single" w:sz="4" w:space="4" w:color="auto"/>
                        </w:pBdr>
                        <w:spacing w:before="120" w:after="0" w:line="240" w:lineRule="auto"/>
                      </w:pPr>
                      <w:r>
                        <w:t xml:space="preserve">Date: </w:t>
                      </w:r>
                      <w:r w:rsidR="00A257B9">
                        <w:t>2 April</w:t>
                      </w:r>
                      <w:r>
                        <w:t xml:space="preserve"> 202</w:t>
                      </w:r>
                      <w:r w:rsidR="00D12265">
                        <w:t>4</w:t>
                      </w:r>
                      <w:r>
                        <w:tab/>
                        <w:t>A B Bishop</w:t>
                      </w:r>
                    </w:p>
                  </w:txbxContent>
                </v:textbox>
              </v:shape>
            </w:pict>
          </mc:Fallback>
        </mc:AlternateContent>
      </w:r>
    </w:p>
    <w:p w14:paraId="7CE7DBA6" w14:textId="77777777" w:rsidR="00332356" w:rsidRDefault="00332356" w:rsidP="00332356"/>
    <w:p w14:paraId="65E26DA2" w14:textId="77777777" w:rsidR="00332356" w:rsidRPr="00374AA9" w:rsidRDefault="00332356" w:rsidP="00332356"/>
    <w:p w14:paraId="3A94C322" w14:textId="77777777" w:rsidR="00332356" w:rsidRPr="004C1FC6" w:rsidRDefault="00332356" w:rsidP="00332356">
      <w:pPr>
        <w:spacing w:after="0" w:line="360" w:lineRule="auto"/>
        <w:jc w:val="left"/>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573"/>
      </w:tblGrid>
      <w:tr w:rsidR="00332356" w:rsidRPr="004C1FC6" w14:paraId="24999DAF" w14:textId="77777777" w:rsidTr="003F376C">
        <w:tc>
          <w:tcPr>
            <w:tcW w:w="6237" w:type="dxa"/>
            <w:tcBorders>
              <w:top w:val="nil"/>
              <w:left w:val="nil"/>
              <w:bottom w:val="nil"/>
              <w:right w:val="nil"/>
            </w:tcBorders>
          </w:tcPr>
          <w:p w14:paraId="780EBCAD" w14:textId="77777777" w:rsidR="00332356" w:rsidRPr="00B20130" w:rsidRDefault="00332356" w:rsidP="00620BAF">
            <w:pPr>
              <w:spacing w:after="0"/>
              <w:jc w:val="left"/>
              <w:rPr>
                <w:bCs/>
              </w:rPr>
            </w:pPr>
            <w:r>
              <w:rPr>
                <w:bCs/>
              </w:rPr>
              <w:t>In the matter between:</w:t>
            </w:r>
          </w:p>
        </w:tc>
        <w:tc>
          <w:tcPr>
            <w:tcW w:w="2573" w:type="dxa"/>
            <w:tcBorders>
              <w:top w:val="nil"/>
              <w:left w:val="nil"/>
              <w:bottom w:val="nil"/>
              <w:right w:val="nil"/>
            </w:tcBorders>
          </w:tcPr>
          <w:p w14:paraId="68692411" w14:textId="77777777" w:rsidR="00332356" w:rsidRPr="004C1FC6" w:rsidRDefault="00332356" w:rsidP="00620BAF">
            <w:pPr>
              <w:spacing w:after="0"/>
              <w:jc w:val="right"/>
            </w:pPr>
          </w:p>
        </w:tc>
      </w:tr>
      <w:tr w:rsidR="00332356" w:rsidRPr="004C1FC6" w14:paraId="57B0DE32" w14:textId="77777777" w:rsidTr="003F376C">
        <w:tc>
          <w:tcPr>
            <w:tcW w:w="6237" w:type="dxa"/>
            <w:tcBorders>
              <w:top w:val="nil"/>
              <w:left w:val="nil"/>
              <w:bottom w:val="nil"/>
              <w:right w:val="nil"/>
            </w:tcBorders>
          </w:tcPr>
          <w:p w14:paraId="3442FF91" w14:textId="6E32CE45" w:rsidR="00332356" w:rsidRPr="00B00377" w:rsidRDefault="008A23F9" w:rsidP="00620BAF">
            <w:pPr>
              <w:spacing w:after="0"/>
              <w:jc w:val="left"/>
              <w:rPr>
                <w:b/>
              </w:rPr>
            </w:pPr>
            <w:r>
              <w:rPr>
                <w:b/>
              </w:rPr>
              <w:t>M[...]</w:t>
            </w:r>
            <w:r w:rsidR="003F376C">
              <w:rPr>
                <w:b/>
              </w:rPr>
              <w:t xml:space="preserve"> </w:t>
            </w:r>
            <w:r>
              <w:rPr>
                <w:b/>
              </w:rPr>
              <w:t>F[...]</w:t>
            </w:r>
          </w:p>
        </w:tc>
        <w:tc>
          <w:tcPr>
            <w:tcW w:w="2573" w:type="dxa"/>
            <w:tcBorders>
              <w:top w:val="nil"/>
              <w:left w:val="nil"/>
              <w:bottom w:val="nil"/>
              <w:right w:val="nil"/>
            </w:tcBorders>
          </w:tcPr>
          <w:p w14:paraId="095331F9" w14:textId="77777777" w:rsidR="00332356" w:rsidRPr="004C1FC6" w:rsidRDefault="00332356" w:rsidP="00620BAF">
            <w:pPr>
              <w:spacing w:after="0"/>
              <w:jc w:val="right"/>
            </w:pPr>
            <w:r>
              <w:t>Applicant</w:t>
            </w:r>
          </w:p>
        </w:tc>
      </w:tr>
      <w:tr w:rsidR="00332356" w:rsidRPr="004C1FC6" w14:paraId="609C7C28" w14:textId="77777777" w:rsidTr="003F376C">
        <w:tc>
          <w:tcPr>
            <w:tcW w:w="6237" w:type="dxa"/>
            <w:tcBorders>
              <w:top w:val="nil"/>
              <w:left w:val="nil"/>
              <w:bottom w:val="nil"/>
              <w:right w:val="nil"/>
            </w:tcBorders>
          </w:tcPr>
          <w:p w14:paraId="3748FB9B" w14:textId="77777777" w:rsidR="00332356" w:rsidRPr="004C1FC6" w:rsidRDefault="00332356" w:rsidP="00620BAF">
            <w:pPr>
              <w:spacing w:after="0"/>
              <w:jc w:val="left"/>
            </w:pPr>
            <w:r w:rsidRPr="004C1FC6">
              <w:t>and</w:t>
            </w:r>
          </w:p>
        </w:tc>
        <w:tc>
          <w:tcPr>
            <w:tcW w:w="2573" w:type="dxa"/>
            <w:tcBorders>
              <w:top w:val="nil"/>
              <w:left w:val="nil"/>
              <w:bottom w:val="nil"/>
              <w:right w:val="nil"/>
            </w:tcBorders>
          </w:tcPr>
          <w:p w14:paraId="05E9422D" w14:textId="77777777" w:rsidR="00332356" w:rsidRPr="004C1FC6" w:rsidRDefault="00332356" w:rsidP="00620BAF">
            <w:pPr>
              <w:spacing w:after="0"/>
              <w:jc w:val="right"/>
            </w:pPr>
          </w:p>
        </w:tc>
      </w:tr>
      <w:tr w:rsidR="00332356" w:rsidRPr="004C1FC6" w14:paraId="7F5D7AFF" w14:textId="77777777" w:rsidTr="003F376C">
        <w:tc>
          <w:tcPr>
            <w:tcW w:w="6237" w:type="dxa"/>
            <w:tcBorders>
              <w:top w:val="nil"/>
              <w:left w:val="nil"/>
              <w:bottom w:val="nil"/>
              <w:right w:val="nil"/>
            </w:tcBorders>
          </w:tcPr>
          <w:p w14:paraId="6E53F321" w14:textId="04A44FCA" w:rsidR="00332356" w:rsidRPr="00B00377" w:rsidRDefault="008A23F9" w:rsidP="00620BAF">
            <w:pPr>
              <w:spacing w:after="0"/>
              <w:jc w:val="left"/>
              <w:rPr>
                <w:b/>
              </w:rPr>
            </w:pPr>
            <w:r>
              <w:rPr>
                <w:b/>
              </w:rPr>
              <w:t>V[...]</w:t>
            </w:r>
            <w:r w:rsidR="00D12265">
              <w:rPr>
                <w:b/>
              </w:rPr>
              <w:t xml:space="preserve"> </w:t>
            </w:r>
            <w:r>
              <w:rPr>
                <w:b/>
              </w:rPr>
              <w:t>F[...]</w:t>
            </w:r>
          </w:p>
        </w:tc>
        <w:tc>
          <w:tcPr>
            <w:tcW w:w="2573" w:type="dxa"/>
            <w:tcBorders>
              <w:top w:val="nil"/>
              <w:left w:val="nil"/>
              <w:bottom w:val="nil"/>
              <w:right w:val="nil"/>
            </w:tcBorders>
          </w:tcPr>
          <w:p w14:paraId="25A328B5" w14:textId="45CCBE1A" w:rsidR="00332356" w:rsidRPr="004C1FC6" w:rsidRDefault="003F376C" w:rsidP="00620BAF">
            <w:pPr>
              <w:spacing w:after="0"/>
              <w:jc w:val="right"/>
            </w:pPr>
            <w:r>
              <w:t xml:space="preserve">First </w:t>
            </w:r>
            <w:r w:rsidR="00332356">
              <w:t>Respondent</w:t>
            </w:r>
          </w:p>
        </w:tc>
      </w:tr>
      <w:tr w:rsidR="003F376C" w:rsidRPr="004C1FC6" w14:paraId="5815BE0C" w14:textId="77777777" w:rsidTr="003F376C">
        <w:tc>
          <w:tcPr>
            <w:tcW w:w="6237" w:type="dxa"/>
            <w:tcBorders>
              <w:top w:val="nil"/>
              <w:left w:val="nil"/>
              <w:bottom w:val="nil"/>
              <w:right w:val="nil"/>
            </w:tcBorders>
          </w:tcPr>
          <w:p w14:paraId="5FC64914" w14:textId="5C38724B" w:rsidR="003F376C" w:rsidRDefault="008A23F9" w:rsidP="00620BAF">
            <w:pPr>
              <w:spacing w:after="0"/>
              <w:jc w:val="left"/>
              <w:rPr>
                <w:b/>
              </w:rPr>
            </w:pPr>
            <w:r>
              <w:rPr>
                <w:b/>
              </w:rPr>
              <w:t>F[...]</w:t>
            </w:r>
            <w:r w:rsidR="00D12265">
              <w:rPr>
                <w:b/>
              </w:rPr>
              <w:t xml:space="preserve"> </w:t>
            </w:r>
            <w:r>
              <w:rPr>
                <w:b/>
              </w:rPr>
              <w:t>G[...]</w:t>
            </w:r>
            <w:r w:rsidR="00D12265">
              <w:rPr>
                <w:b/>
              </w:rPr>
              <w:t xml:space="preserve"> </w:t>
            </w:r>
            <w:r>
              <w:rPr>
                <w:b/>
              </w:rPr>
              <w:t>G[...]</w:t>
            </w:r>
            <w:r w:rsidR="003F376C">
              <w:rPr>
                <w:b/>
              </w:rPr>
              <w:t xml:space="preserve"> N.O.</w:t>
            </w:r>
          </w:p>
        </w:tc>
        <w:tc>
          <w:tcPr>
            <w:tcW w:w="2573" w:type="dxa"/>
            <w:tcBorders>
              <w:top w:val="nil"/>
              <w:left w:val="nil"/>
              <w:bottom w:val="nil"/>
              <w:right w:val="nil"/>
            </w:tcBorders>
          </w:tcPr>
          <w:p w14:paraId="54EE6140" w14:textId="34AD00ED" w:rsidR="003F376C" w:rsidRDefault="003F376C" w:rsidP="00620BAF">
            <w:pPr>
              <w:spacing w:after="0"/>
              <w:jc w:val="right"/>
            </w:pPr>
            <w:r>
              <w:t>Second Respondent</w:t>
            </w:r>
          </w:p>
        </w:tc>
      </w:tr>
      <w:tr w:rsidR="003F376C" w:rsidRPr="004C1FC6" w14:paraId="428886BF" w14:textId="77777777" w:rsidTr="003F376C">
        <w:tc>
          <w:tcPr>
            <w:tcW w:w="6237" w:type="dxa"/>
            <w:tcBorders>
              <w:top w:val="nil"/>
              <w:left w:val="nil"/>
              <w:bottom w:val="nil"/>
              <w:right w:val="nil"/>
            </w:tcBorders>
          </w:tcPr>
          <w:p w14:paraId="3B6635EB" w14:textId="73C9A242" w:rsidR="003F376C" w:rsidRDefault="008A23F9" w:rsidP="00620BAF">
            <w:pPr>
              <w:spacing w:after="0"/>
              <w:jc w:val="left"/>
              <w:rPr>
                <w:b/>
              </w:rPr>
            </w:pPr>
            <w:r>
              <w:rPr>
                <w:b/>
              </w:rPr>
              <w:t>V[...]</w:t>
            </w:r>
            <w:r w:rsidR="00D12265">
              <w:rPr>
                <w:b/>
              </w:rPr>
              <w:t xml:space="preserve"> </w:t>
            </w:r>
            <w:r>
              <w:rPr>
                <w:b/>
              </w:rPr>
              <w:t>F[...]</w:t>
            </w:r>
            <w:r w:rsidR="006C5D99">
              <w:rPr>
                <w:b/>
              </w:rPr>
              <w:t xml:space="preserve"> (born </w:t>
            </w:r>
            <w:r>
              <w:rPr>
                <w:b/>
              </w:rPr>
              <w:t>G[...]</w:t>
            </w:r>
            <w:r w:rsidR="006C5D99">
              <w:rPr>
                <w:b/>
              </w:rPr>
              <w:t>)</w:t>
            </w:r>
            <w:r w:rsidR="003F376C">
              <w:rPr>
                <w:b/>
              </w:rPr>
              <w:t xml:space="preserve"> N.O.</w:t>
            </w:r>
          </w:p>
        </w:tc>
        <w:tc>
          <w:tcPr>
            <w:tcW w:w="2573" w:type="dxa"/>
            <w:tcBorders>
              <w:top w:val="nil"/>
              <w:left w:val="nil"/>
              <w:bottom w:val="nil"/>
              <w:right w:val="nil"/>
            </w:tcBorders>
          </w:tcPr>
          <w:p w14:paraId="5B2F597A" w14:textId="36E82347" w:rsidR="003F376C" w:rsidRDefault="003F376C" w:rsidP="003F376C">
            <w:pPr>
              <w:spacing w:after="0"/>
              <w:jc w:val="right"/>
            </w:pPr>
            <w:r>
              <w:t>Third Respondent</w:t>
            </w:r>
          </w:p>
        </w:tc>
      </w:tr>
      <w:tr w:rsidR="003F376C" w:rsidRPr="004C1FC6" w14:paraId="0AA09365" w14:textId="77777777" w:rsidTr="003F376C">
        <w:tc>
          <w:tcPr>
            <w:tcW w:w="6237" w:type="dxa"/>
            <w:tcBorders>
              <w:top w:val="nil"/>
              <w:left w:val="nil"/>
              <w:bottom w:val="nil"/>
              <w:right w:val="nil"/>
            </w:tcBorders>
          </w:tcPr>
          <w:p w14:paraId="53577512" w14:textId="2D450629" w:rsidR="003F376C" w:rsidRDefault="008A23F9" w:rsidP="00620BAF">
            <w:pPr>
              <w:spacing w:after="0"/>
              <w:jc w:val="left"/>
              <w:rPr>
                <w:b/>
              </w:rPr>
            </w:pPr>
            <w:r>
              <w:rPr>
                <w:b/>
              </w:rPr>
              <w:t>M[...]</w:t>
            </w:r>
            <w:r w:rsidR="00D12265">
              <w:rPr>
                <w:b/>
              </w:rPr>
              <w:t xml:space="preserve"> </w:t>
            </w:r>
            <w:r>
              <w:rPr>
                <w:b/>
              </w:rPr>
              <w:t>P[...]</w:t>
            </w:r>
            <w:r w:rsidR="00D12265">
              <w:rPr>
                <w:b/>
              </w:rPr>
              <w:t xml:space="preserve"> </w:t>
            </w:r>
            <w:r>
              <w:rPr>
                <w:b/>
              </w:rPr>
              <w:t>F[...]</w:t>
            </w:r>
            <w:r w:rsidR="00D12265">
              <w:rPr>
                <w:b/>
              </w:rPr>
              <w:t xml:space="preserve"> N.O.</w:t>
            </w:r>
          </w:p>
        </w:tc>
        <w:tc>
          <w:tcPr>
            <w:tcW w:w="2573" w:type="dxa"/>
            <w:tcBorders>
              <w:top w:val="nil"/>
              <w:left w:val="nil"/>
              <w:bottom w:val="nil"/>
              <w:right w:val="nil"/>
            </w:tcBorders>
          </w:tcPr>
          <w:p w14:paraId="5D330DAD" w14:textId="5E141B27" w:rsidR="003F376C" w:rsidRDefault="003F376C" w:rsidP="003F376C">
            <w:pPr>
              <w:spacing w:after="0"/>
              <w:jc w:val="right"/>
            </w:pPr>
            <w:r>
              <w:t>Fourth Respondent</w:t>
            </w:r>
          </w:p>
        </w:tc>
      </w:tr>
      <w:tr w:rsidR="00D12265" w:rsidRPr="004C1FC6" w14:paraId="7E810AE3" w14:textId="77777777" w:rsidTr="00D12265">
        <w:tc>
          <w:tcPr>
            <w:tcW w:w="6237" w:type="dxa"/>
            <w:tcBorders>
              <w:top w:val="nil"/>
              <w:left w:val="nil"/>
              <w:bottom w:val="nil"/>
              <w:right w:val="nil"/>
            </w:tcBorders>
          </w:tcPr>
          <w:p w14:paraId="6AB71BE0" w14:textId="3D8C389B" w:rsidR="00D12265" w:rsidRDefault="00D12265" w:rsidP="00D12265">
            <w:pPr>
              <w:spacing w:after="0" w:line="240" w:lineRule="auto"/>
              <w:jc w:val="left"/>
              <w:rPr>
                <w:b/>
              </w:rPr>
            </w:pPr>
            <w:r>
              <w:rPr>
                <w:b/>
              </w:rPr>
              <w:t>THE TRUSTEES FOR THE TIME BEING OF THE BEKKER TRUST (IT6078/95)</w:t>
            </w:r>
          </w:p>
        </w:tc>
        <w:tc>
          <w:tcPr>
            <w:tcW w:w="2573" w:type="dxa"/>
            <w:tcBorders>
              <w:top w:val="nil"/>
              <w:left w:val="nil"/>
              <w:bottom w:val="nil"/>
              <w:right w:val="nil"/>
            </w:tcBorders>
          </w:tcPr>
          <w:p w14:paraId="0DB54768" w14:textId="77777777" w:rsidR="00D12265" w:rsidRDefault="00D12265" w:rsidP="007C6FE9">
            <w:pPr>
              <w:spacing w:after="0"/>
              <w:jc w:val="right"/>
            </w:pPr>
            <w:r>
              <w:t>Fourth Respondent</w:t>
            </w:r>
          </w:p>
        </w:tc>
      </w:tr>
    </w:tbl>
    <w:p w14:paraId="07B5D327" w14:textId="77777777" w:rsidR="00332356" w:rsidRPr="004C1FC6" w:rsidRDefault="00332356" w:rsidP="00332356">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1"/>
      </w:tblGrid>
      <w:tr w:rsidR="00332356" w:rsidRPr="004C1FC6" w14:paraId="6AE80046" w14:textId="77777777" w:rsidTr="00620BAF">
        <w:tc>
          <w:tcPr>
            <w:tcW w:w="8811" w:type="dxa"/>
            <w:tcBorders>
              <w:top w:val="single" w:sz="4" w:space="0" w:color="auto"/>
              <w:left w:val="nil"/>
              <w:bottom w:val="single" w:sz="4" w:space="0" w:color="auto"/>
              <w:right w:val="nil"/>
            </w:tcBorders>
          </w:tcPr>
          <w:p w14:paraId="65723F01" w14:textId="77777777" w:rsidR="00332356" w:rsidRPr="00B00377" w:rsidRDefault="00332356" w:rsidP="00620BAF">
            <w:pPr>
              <w:spacing w:before="360" w:after="360" w:line="240" w:lineRule="auto"/>
              <w:jc w:val="center"/>
              <w:rPr>
                <w:b/>
              </w:rPr>
            </w:pPr>
            <w:r>
              <w:rPr>
                <w:b/>
              </w:rPr>
              <w:t>JUDGMENT</w:t>
            </w:r>
          </w:p>
        </w:tc>
      </w:tr>
    </w:tbl>
    <w:p w14:paraId="615F6162" w14:textId="77777777" w:rsidR="00332356" w:rsidRDefault="00332356" w:rsidP="00332356">
      <w:pPr>
        <w:spacing w:line="240" w:lineRule="auto"/>
        <w:jc w:val="left"/>
      </w:pPr>
    </w:p>
    <w:p w14:paraId="2327D248" w14:textId="77777777" w:rsidR="00332356" w:rsidRDefault="00332356" w:rsidP="00332356">
      <w:r w:rsidRPr="00783C74">
        <w:rPr>
          <w:u w:val="single"/>
        </w:rPr>
        <w:lastRenderedPageBreak/>
        <w:t xml:space="preserve">BISHOP </w:t>
      </w:r>
      <w:proofErr w:type="gramStart"/>
      <w:r w:rsidRPr="00783C74">
        <w:rPr>
          <w:u w:val="single"/>
        </w:rPr>
        <w:t>AJ</w:t>
      </w:r>
      <w:r>
        <w:t xml:space="preserve"> :</w:t>
      </w:r>
      <w:proofErr w:type="gramEnd"/>
    </w:p>
    <w:p w14:paraId="49BADA4A" w14:textId="318E2666" w:rsidR="00332356" w:rsidRDefault="00330F60" w:rsidP="00330F60">
      <w:pPr>
        <w:pStyle w:val="Indent"/>
        <w:numPr>
          <w:ilvl w:val="0"/>
          <w:numId w:val="0"/>
        </w:numPr>
        <w:ind w:left="851" w:hanging="851"/>
      </w:pPr>
      <w:r>
        <w:rPr>
          <w:szCs w:val="25"/>
        </w:rPr>
        <w:t>[1]</w:t>
      </w:r>
      <w:r>
        <w:rPr>
          <w:szCs w:val="25"/>
        </w:rPr>
        <w:tab/>
      </w:r>
      <w:r w:rsidR="00D12265">
        <w:t xml:space="preserve">The applicant, Mr </w:t>
      </w:r>
      <w:r w:rsidR="008A23F9">
        <w:t>M[...]</w:t>
      </w:r>
      <w:r w:rsidR="00D12265">
        <w:t xml:space="preserve"> </w:t>
      </w:r>
      <w:r w:rsidR="008A23F9">
        <w:t>F[...]</w:t>
      </w:r>
      <w:r w:rsidR="00D12265">
        <w:t xml:space="preserve">, sought orders holding Mrs </w:t>
      </w:r>
      <w:r w:rsidR="008A23F9">
        <w:t>V[...]</w:t>
      </w:r>
      <w:r w:rsidR="00D12265">
        <w:t xml:space="preserve"> </w:t>
      </w:r>
      <w:r w:rsidR="008A23F9">
        <w:t>F[...]</w:t>
      </w:r>
      <w:r w:rsidR="00D12265">
        <w:t xml:space="preserve"> in contempt of court, both in her personal capacity, as the first respondent, and in her capacity as a trustee for the time being of the Bekker Trust, as the third respondent.  This relates to an order of 15 July 2005.  </w:t>
      </w:r>
      <w:r w:rsidR="00D12265">
        <w:rPr>
          <w:rStyle w:val="FootnoteReference"/>
        </w:rPr>
        <w:footnoteReference w:id="1"/>
      </w:r>
      <w:r w:rsidR="00D12265">
        <w:t xml:space="preserve">  Mr </w:t>
      </w:r>
      <w:r w:rsidR="008A23F9">
        <w:t>F[...]</w:t>
      </w:r>
      <w:r w:rsidR="00D12265">
        <w:t xml:space="preserve"> sought Mrs </w:t>
      </w:r>
      <w:r w:rsidR="008A23F9">
        <w:t>F[...]</w:t>
      </w:r>
      <w:r w:rsidR="00D12265">
        <w:t>’s committal, both in her personal and her nominal capacities, for 30 days, or such period as I might deem just and equitable,  </w:t>
      </w:r>
      <w:r w:rsidR="00D12265">
        <w:rPr>
          <w:rStyle w:val="FootnoteReference"/>
        </w:rPr>
        <w:footnoteReference w:id="2"/>
      </w:r>
      <w:r w:rsidR="00D12265">
        <w:t>  alternatively, a one-year suspension of a 30-day committal period on the condition that Mrs </w:t>
      </w:r>
      <w:r w:rsidR="008A23F9">
        <w:t>F[...]</w:t>
      </w:r>
      <w:r w:rsidR="00D12265">
        <w:t xml:space="preserve"> complies with the aforesaid order within fourteen days of the committal order.  </w:t>
      </w:r>
      <w:r w:rsidR="00D12265">
        <w:rPr>
          <w:rStyle w:val="FootnoteReference"/>
        </w:rPr>
        <w:footnoteReference w:id="3"/>
      </w:r>
      <w:r w:rsidR="00D12265">
        <w:t xml:space="preserve">  In addition to seeking leave to approach this court </w:t>
      </w:r>
      <w:r w:rsidR="00653850">
        <w:t>o</w:t>
      </w:r>
      <w:r w:rsidR="00D12265">
        <w:t xml:space="preserve">n these papers duly supplemented, should Mrs </w:t>
      </w:r>
      <w:r w:rsidR="008A23F9">
        <w:t>F[...]</w:t>
      </w:r>
      <w:r w:rsidR="00D12265">
        <w:t xml:space="preserve"> not comply with the suspended committal order sought,  </w:t>
      </w:r>
      <w:r w:rsidR="00D12265">
        <w:rPr>
          <w:rStyle w:val="FootnoteReference"/>
        </w:rPr>
        <w:footnoteReference w:id="4"/>
      </w:r>
      <w:r w:rsidR="00D12265">
        <w:t xml:space="preserve">  costs were sought against Mrs </w:t>
      </w:r>
      <w:r w:rsidR="008A23F9">
        <w:t>F[...]</w:t>
      </w:r>
      <w:r w:rsidR="00D12265">
        <w:t xml:space="preserve"> on an attorney and client scale, but only in her personal capacity.  </w:t>
      </w:r>
      <w:r w:rsidR="00D12265">
        <w:rPr>
          <w:rStyle w:val="FootnoteReference"/>
        </w:rPr>
        <w:footnoteReference w:id="5"/>
      </w:r>
      <w:r w:rsidR="00D12265">
        <w:t xml:space="preserve">  Mrs </w:t>
      </w:r>
      <w:r w:rsidR="008A23F9">
        <w:t>F[...]</w:t>
      </w:r>
      <w:r w:rsidR="00D12265">
        <w:t xml:space="preserve"> has resisted </w:t>
      </w:r>
      <w:proofErr w:type="gramStart"/>
      <w:r w:rsidR="00D12265">
        <w:t>all of</w:t>
      </w:r>
      <w:proofErr w:type="gramEnd"/>
      <w:r w:rsidR="00D12265">
        <w:t xml:space="preserve"> the relief sought.</w:t>
      </w:r>
    </w:p>
    <w:p w14:paraId="68950955" w14:textId="3BFE9B07" w:rsidR="00D12265" w:rsidRDefault="00330F60" w:rsidP="00330F60">
      <w:pPr>
        <w:pStyle w:val="Indent"/>
        <w:numPr>
          <w:ilvl w:val="0"/>
          <w:numId w:val="0"/>
        </w:numPr>
        <w:ind w:left="851" w:hanging="851"/>
      </w:pPr>
      <w:r>
        <w:rPr>
          <w:szCs w:val="25"/>
        </w:rPr>
        <w:t>[2]</w:t>
      </w:r>
      <w:r>
        <w:rPr>
          <w:szCs w:val="25"/>
        </w:rPr>
        <w:tab/>
      </w:r>
      <w:r w:rsidR="00D12265">
        <w:t xml:space="preserve">Mr and Mrs </w:t>
      </w:r>
      <w:r w:rsidR="008A23F9">
        <w:t>F[...]</w:t>
      </w:r>
      <w:r w:rsidR="00D12265">
        <w:t xml:space="preserve"> were married to one another, until 15 July 2005, when their marriage was dissolved by court order.  </w:t>
      </w:r>
      <w:r w:rsidR="00D12265">
        <w:rPr>
          <w:rStyle w:val="FootnoteReference"/>
        </w:rPr>
        <w:footnoteReference w:id="6"/>
      </w:r>
      <w:r w:rsidR="00D12265">
        <w:t xml:space="preserve">  It is this very order that </w:t>
      </w:r>
      <w:r w:rsidR="00D12265">
        <w:lastRenderedPageBreak/>
        <w:t xml:space="preserve">is at the heart of this application.  The order itself incorporated the terms of </w:t>
      </w:r>
      <w:r w:rsidR="00653850">
        <w:t xml:space="preserve">a </w:t>
      </w:r>
      <w:r w:rsidR="00D12265">
        <w:t xml:space="preserve">settlement agreement reached between Mr </w:t>
      </w:r>
      <w:r w:rsidR="008A23F9">
        <w:t>F[...]</w:t>
      </w:r>
      <w:r w:rsidR="00D12265">
        <w:t xml:space="preserve">, who was the defendant in the divorce action, and Mrs </w:t>
      </w:r>
      <w:r w:rsidR="008A23F9">
        <w:t>F[...]</w:t>
      </w:r>
      <w:r w:rsidR="00D12265">
        <w:t>, who was the plaintiff therein.  </w:t>
      </w:r>
      <w:r w:rsidR="00D12265">
        <w:rPr>
          <w:rStyle w:val="FootnoteReference"/>
        </w:rPr>
        <w:footnoteReference w:id="7"/>
      </w:r>
    </w:p>
    <w:p w14:paraId="0B2BC2AA" w14:textId="166BADFE" w:rsidR="000F0170" w:rsidRDefault="00330F60" w:rsidP="00330F60">
      <w:pPr>
        <w:pStyle w:val="Indent"/>
        <w:numPr>
          <w:ilvl w:val="0"/>
          <w:numId w:val="0"/>
        </w:numPr>
        <w:spacing w:after="240"/>
        <w:ind w:left="851" w:hanging="851"/>
      </w:pPr>
      <w:r>
        <w:rPr>
          <w:szCs w:val="25"/>
        </w:rPr>
        <w:t>[3]</w:t>
      </w:r>
      <w:r>
        <w:rPr>
          <w:szCs w:val="25"/>
        </w:rPr>
        <w:tab/>
      </w:r>
      <w:r w:rsidR="00D12265">
        <w:t xml:space="preserve">In his founding papers, Mr </w:t>
      </w:r>
      <w:r w:rsidR="008A23F9">
        <w:t>F[...]</w:t>
      </w:r>
      <w:r w:rsidR="00D12265">
        <w:t xml:space="preserve"> made special reference to the provisions of clause 8.3 of the settlement agreement, emphasising sub-clauses 8.3.1, 8.3.2, 8.3.3, 8.3.8 and 8.3.9</w:t>
      </w:r>
      <w:r w:rsidR="001D050E">
        <w:t xml:space="preserve"> thereof</w:t>
      </w:r>
      <w:r w:rsidR="00D12265">
        <w:t>.  </w:t>
      </w:r>
      <w:r w:rsidR="00D12265">
        <w:rPr>
          <w:rStyle w:val="FootnoteReference"/>
        </w:rPr>
        <w:footnoteReference w:id="8"/>
      </w:r>
      <w:r w:rsidR="00D12265">
        <w:t xml:space="preserve">  The operation of clause 8.3</w:t>
      </w:r>
      <w:r w:rsidR="001D050E">
        <w:t>, which forms part of that portion of the settlement agreement concerning ‘VERDELING VAN BATES’,  </w:t>
      </w:r>
      <w:r w:rsidR="001D050E">
        <w:rPr>
          <w:rStyle w:val="FootnoteReference"/>
        </w:rPr>
        <w:footnoteReference w:id="9"/>
      </w:r>
      <w:r w:rsidR="001D050E">
        <w:t> </w:t>
      </w:r>
      <w:r w:rsidR="00D12265">
        <w:t xml:space="preserve"> and the interrelationship between its sub-clauses is central to the determination of this application and these portions of the settlement agreement bear quoting:  </w:t>
      </w:r>
      <w:r w:rsidR="00D12265">
        <w:rPr>
          <w:rStyle w:val="FootnoteReference"/>
        </w:rPr>
        <w:footnoteReference w:id="10"/>
      </w:r>
    </w:p>
    <w:p w14:paraId="3533DC89" w14:textId="18006BAB" w:rsidR="00D12265" w:rsidRPr="00D12265" w:rsidRDefault="00D12265" w:rsidP="00D12265">
      <w:pPr>
        <w:pStyle w:val="Indent"/>
        <w:numPr>
          <w:ilvl w:val="0"/>
          <w:numId w:val="0"/>
        </w:numPr>
        <w:spacing w:before="240" w:after="240" w:line="240" w:lineRule="auto"/>
        <w:ind w:left="1440"/>
        <w:rPr>
          <w:sz w:val="23"/>
          <w:szCs w:val="23"/>
        </w:rPr>
      </w:pPr>
      <w:r w:rsidRPr="00D12265">
        <w:rPr>
          <w:sz w:val="23"/>
          <w:szCs w:val="23"/>
        </w:rPr>
        <w:t>8.3</w:t>
      </w:r>
      <w:r w:rsidRPr="00D12265">
        <w:rPr>
          <w:sz w:val="23"/>
          <w:szCs w:val="23"/>
        </w:rPr>
        <w:tab/>
      </w:r>
      <w:r w:rsidRPr="00D12265">
        <w:rPr>
          <w:b/>
          <w:bCs/>
          <w:sz w:val="23"/>
          <w:szCs w:val="23"/>
          <w:u w:val="single"/>
        </w:rPr>
        <w:t xml:space="preserve">Onroerende </w:t>
      </w:r>
      <w:proofErr w:type="gramStart"/>
      <w:r w:rsidRPr="00D12265">
        <w:rPr>
          <w:b/>
          <w:bCs/>
          <w:sz w:val="23"/>
          <w:szCs w:val="23"/>
          <w:u w:val="single"/>
        </w:rPr>
        <w:t>bates</w:t>
      </w:r>
      <w:proofErr w:type="gramEnd"/>
    </w:p>
    <w:p w14:paraId="27D4054E" w14:textId="766813E7" w:rsidR="00D12265" w:rsidRPr="00D12265" w:rsidRDefault="00D12265" w:rsidP="001D050E">
      <w:pPr>
        <w:pStyle w:val="Indent"/>
        <w:numPr>
          <w:ilvl w:val="0"/>
          <w:numId w:val="0"/>
        </w:numPr>
        <w:spacing w:before="240" w:after="240" w:line="240" w:lineRule="auto"/>
        <w:ind w:left="3119" w:hanging="851"/>
        <w:rPr>
          <w:sz w:val="23"/>
          <w:szCs w:val="23"/>
        </w:rPr>
      </w:pPr>
      <w:r w:rsidRPr="00D12265">
        <w:rPr>
          <w:sz w:val="23"/>
          <w:szCs w:val="23"/>
        </w:rPr>
        <w:t>8.3.1</w:t>
      </w:r>
      <w:r>
        <w:rPr>
          <w:sz w:val="23"/>
          <w:szCs w:val="23"/>
        </w:rPr>
        <w:tab/>
      </w:r>
      <w:r w:rsidRPr="00D12265">
        <w:rPr>
          <w:sz w:val="23"/>
          <w:szCs w:val="23"/>
        </w:rPr>
        <w:t xml:space="preserve">Die betrokke onroerende eiendom </w:t>
      </w:r>
      <w:proofErr w:type="gramStart"/>
      <w:r w:rsidRPr="00D12265">
        <w:rPr>
          <w:sz w:val="23"/>
          <w:szCs w:val="23"/>
        </w:rPr>
        <w:t>is :</w:t>
      </w:r>
      <w:proofErr w:type="gramEnd"/>
      <w:r w:rsidRPr="00D12265">
        <w:rPr>
          <w:sz w:val="23"/>
          <w:szCs w:val="23"/>
        </w:rPr>
        <w:t>-</w:t>
      </w:r>
    </w:p>
    <w:p w14:paraId="45D000C8" w14:textId="06A64D5E" w:rsidR="00D12265" w:rsidRPr="00D12265" w:rsidRDefault="001D050E" w:rsidP="001D050E">
      <w:pPr>
        <w:pStyle w:val="Indent"/>
        <w:numPr>
          <w:ilvl w:val="0"/>
          <w:numId w:val="0"/>
        </w:numPr>
        <w:spacing w:before="240" w:after="240" w:line="240" w:lineRule="auto"/>
        <w:ind w:left="3119" w:hanging="851"/>
        <w:rPr>
          <w:sz w:val="23"/>
          <w:szCs w:val="23"/>
        </w:rPr>
      </w:pPr>
      <w:r>
        <w:rPr>
          <w:sz w:val="23"/>
          <w:szCs w:val="23"/>
        </w:rPr>
        <w:tab/>
      </w:r>
      <w:r w:rsidR="00D12265" w:rsidRPr="00D12265">
        <w:rPr>
          <w:sz w:val="23"/>
          <w:szCs w:val="23"/>
        </w:rPr>
        <w:t xml:space="preserve">Erf </w:t>
      </w:r>
      <w:r w:rsidR="00724DB4">
        <w:rPr>
          <w:sz w:val="23"/>
          <w:szCs w:val="23"/>
        </w:rPr>
        <w:t>[…]</w:t>
      </w:r>
      <w:r w:rsidR="00D12265" w:rsidRPr="00D12265">
        <w:rPr>
          <w:sz w:val="23"/>
          <w:szCs w:val="23"/>
        </w:rPr>
        <w:t xml:space="preserve"> </w:t>
      </w:r>
      <w:proofErr w:type="gramStart"/>
      <w:r w:rsidR="00D12265" w:rsidRPr="00D12265">
        <w:rPr>
          <w:sz w:val="23"/>
          <w:szCs w:val="23"/>
        </w:rPr>
        <w:t>R</w:t>
      </w:r>
      <w:r w:rsidR="00724DB4">
        <w:rPr>
          <w:sz w:val="23"/>
          <w:szCs w:val="23"/>
        </w:rPr>
        <w:t>[</w:t>
      </w:r>
      <w:proofErr w:type="gramEnd"/>
      <w:r w:rsidR="00724DB4">
        <w:rPr>
          <w:sz w:val="23"/>
          <w:szCs w:val="23"/>
        </w:rPr>
        <w:t>…]</w:t>
      </w:r>
      <w:r w:rsidR="00D12265" w:rsidRPr="00D12265">
        <w:rPr>
          <w:sz w:val="23"/>
          <w:szCs w:val="23"/>
        </w:rPr>
        <w:t xml:space="preserve"> </w:t>
      </w:r>
      <w:proofErr w:type="spellStart"/>
      <w:r w:rsidR="00D12265" w:rsidRPr="00D12265">
        <w:rPr>
          <w:sz w:val="23"/>
          <w:szCs w:val="23"/>
        </w:rPr>
        <w:t>Uitbreiding</w:t>
      </w:r>
      <w:proofErr w:type="spellEnd"/>
      <w:r w:rsidR="00D12265" w:rsidRPr="00D12265">
        <w:rPr>
          <w:sz w:val="23"/>
          <w:szCs w:val="23"/>
        </w:rPr>
        <w:t xml:space="preserve"> 4 (</w:t>
      </w:r>
      <w:proofErr w:type="spellStart"/>
      <w:r w:rsidR="00D12265" w:rsidRPr="00D12265">
        <w:rPr>
          <w:sz w:val="23"/>
          <w:szCs w:val="23"/>
        </w:rPr>
        <w:t>geleë</w:t>
      </w:r>
      <w:proofErr w:type="spellEnd"/>
      <w:r w:rsidR="00D12265" w:rsidRPr="00D12265">
        <w:rPr>
          <w:sz w:val="23"/>
          <w:szCs w:val="23"/>
        </w:rPr>
        <w:t xml:space="preserve"> </w:t>
      </w:r>
      <w:proofErr w:type="spellStart"/>
      <w:r w:rsidR="00D12265" w:rsidRPr="00D12265">
        <w:rPr>
          <w:sz w:val="23"/>
          <w:szCs w:val="23"/>
        </w:rPr>
        <w:t>te</w:t>
      </w:r>
      <w:proofErr w:type="spellEnd"/>
      <w:r w:rsidR="00D12265" w:rsidRPr="00D12265">
        <w:rPr>
          <w:sz w:val="23"/>
          <w:szCs w:val="23"/>
        </w:rPr>
        <w:t xml:space="preserve"> Simon Bekkerstraat 30) gereistreer in die naam van die Bekker Trust (IT6078/95) kragtens A</w:t>
      </w:r>
      <w:r>
        <w:rPr>
          <w:sz w:val="23"/>
          <w:szCs w:val="23"/>
        </w:rPr>
        <w:t>k</w:t>
      </w:r>
      <w:r w:rsidR="00D12265" w:rsidRPr="00D12265">
        <w:rPr>
          <w:sz w:val="23"/>
          <w:szCs w:val="23"/>
        </w:rPr>
        <w:t>te van Transport no. T36025/96</w:t>
      </w:r>
    </w:p>
    <w:p w14:paraId="34DE6856" w14:textId="6549E08D" w:rsidR="00D12265" w:rsidRPr="00D12265" w:rsidRDefault="00D12265" w:rsidP="001D050E">
      <w:pPr>
        <w:pStyle w:val="Indent"/>
        <w:numPr>
          <w:ilvl w:val="0"/>
          <w:numId w:val="0"/>
        </w:numPr>
        <w:spacing w:before="240" w:after="240" w:line="240" w:lineRule="auto"/>
        <w:ind w:left="3119" w:hanging="851"/>
        <w:rPr>
          <w:sz w:val="23"/>
          <w:szCs w:val="23"/>
        </w:rPr>
      </w:pPr>
      <w:r w:rsidRPr="00D12265">
        <w:rPr>
          <w:sz w:val="23"/>
          <w:szCs w:val="23"/>
        </w:rPr>
        <w:t>8.3.2</w:t>
      </w:r>
      <w:r w:rsidRPr="00D12265">
        <w:rPr>
          <w:sz w:val="23"/>
          <w:szCs w:val="23"/>
        </w:rPr>
        <w:tab/>
        <w:t>Die eiendom word besit en geokkupeer deur die Eiser en die minderjarige kinders totdat die eerste van die volgende gebeurtenisse plaasvind:-</w:t>
      </w:r>
    </w:p>
    <w:p w14:paraId="2DBAC4E9" w14:textId="0621D2A4" w:rsidR="00D12265" w:rsidRPr="00D12265" w:rsidRDefault="00D12265" w:rsidP="001D050E">
      <w:pPr>
        <w:pStyle w:val="Indent"/>
        <w:numPr>
          <w:ilvl w:val="0"/>
          <w:numId w:val="0"/>
        </w:numPr>
        <w:spacing w:before="240" w:after="240" w:line="240" w:lineRule="auto"/>
        <w:ind w:left="3969" w:hanging="850"/>
        <w:rPr>
          <w:sz w:val="23"/>
          <w:szCs w:val="23"/>
        </w:rPr>
      </w:pPr>
      <w:r w:rsidRPr="00D12265">
        <w:rPr>
          <w:sz w:val="23"/>
          <w:szCs w:val="23"/>
        </w:rPr>
        <w:lastRenderedPageBreak/>
        <w:t>8.3.2.1</w:t>
      </w:r>
      <w:r w:rsidRPr="00D12265">
        <w:rPr>
          <w:sz w:val="23"/>
          <w:szCs w:val="23"/>
        </w:rPr>
        <w:tab/>
        <w:t>Die Eiser te sterwe kom of hetrou</w:t>
      </w:r>
    </w:p>
    <w:p w14:paraId="776AEFDE" w14:textId="18094F88" w:rsidR="00D12265" w:rsidRPr="00D12265" w:rsidRDefault="00D12265" w:rsidP="001D050E">
      <w:pPr>
        <w:pStyle w:val="Indent"/>
        <w:numPr>
          <w:ilvl w:val="0"/>
          <w:numId w:val="0"/>
        </w:numPr>
        <w:spacing w:before="240" w:after="240" w:line="240" w:lineRule="auto"/>
        <w:ind w:left="3969" w:hanging="850"/>
        <w:rPr>
          <w:sz w:val="23"/>
          <w:szCs w:val="23"/>
        </w:rPr>
      </w:pPr>
      <w:r w:rsidRPr="00D12265">
        <w:rPr>
          <w:sz w:val="23"/>
          <w:szCs w:val="23"/>
        </w:rPr>
        <w:t>8.3.2.2</w:t>
      </w:r>
      <w:r w:rsidRPr="00D12265">
        <w:rPr>
          <w:sz w:val="23"/>
          <w:szCs w:val="23"/>
        </w:rPr>
        <w:tab/>
        <w:t>Aan die einde van die kalender jaar waarin die jongste kind een en twintig jaar oud word.</w:t>
      </w:r>
    </w:p>
    <w:p w14:paraId="10FD818F" w14:textId="3C2524C0" w:rsidR="00D12265" w:rsidRPr="00D12265" w:rsidRDefault="00D12265" w:rsidP="001D050E">
      <w:pPr>
        <w:pStyle w:val="Indent"/>
        <w:numPr>
          <w:ilvl w:val="0"/>
          <w:numId w:val="0"/>
        </w:numPr>
        <w:spacing w:before="240" w:after="240" w:line="240" w:lineRule="auto"/>
        <w:ind w:left="3119" w:hanging="851"/>
        <w:rPr>
          <w:sz w:val="23"/>
          <w:szCs w:val="23"/>
        </w:rPr>
      </w:pPr>
      <w:r w:rsidRPr="00D12265">
        <w:rPr>
          <w:sz w:val="23"/>
          <w:szCs w:val="23"/>
        </w:rPr>
        <w:t>8.3.3</w:t>
      </w:r>
      <w:r w:rsidRPr="00D12265">
        <w:rPr>
          <w:sz w:val="23"/>
          <w:szCs w:val="23"/>
        </w:rPr>
        <w:tab/>
        <w:t>Sodra die eerste van bostande gebeurtenisse plaasvind word die vaste eiendom op die ope mark geplaas vir die verkoop daarvan en is die Eiser verplig om die eiendom te ontruim vir die betrokke koper.</w:t>
      </w:r>
    </w:p>
    <w:p w14:paraId="25017767" w14:textId="0B2ADB9A" w:rsidR="00D12265" w:rsidRPr="00D12265" w:rsidRDefault="00D12265" w:rsidP="001D050E">
      <w:pPr>
        <w:pStyle w:val="Indent"/>
        <w:numPr>
          <w:ilvl w:val="0"/>
          <w:numId w:val="0"/>
        </w:numPr>
        <w:spacing w:before="240" w:after="240" w:line="240" w:lineRule="auto"/>
        <w:ind w:left="3969" w:hanging="850"/>
        <w:rPr>
          <w:sz w:val="23"/>
          <w:szCs w:val="23"/>
        </w:rPr>
      </w:pPr>
      <w:r w:rsidRPr="00D12265">
        <w:rPr>
          <w:sz w:val="23"/>
          <w:szCs w:val="23"/>
        </w:rPr>
        <w:t>8.3.3.1</w:t>
      </w:r>
      <w:r w:rsidRPr="00D12265">
        <w:rPr>
          <w:sz w:val="23"/>
          <w:szCs w:val="23"/>
        </w:rPr>
        <w:tab/>
        <w:t>Die Eiser is aanspreeklik vir die koste verbonde aan die instandhouding van die vaste eindom.</w:t>
      </w:r>
    </w:p>
    <w:p w14:paraId="7D6BBC3B" w14:textId="2348C809" w:rsidR="00D12265" w:rsidRPr="00D12265" w:rsidRDefault="00D12265" w:rsidP="001D050E">
      <w:pPr>
        <w:pStyle w:val="Indent"/>
        <w:numPr>
          <w:ilvl w:val="0"/>
          <w:numId w:val="0"/>
        </w:numPr>
        <w:spacing w:before="240" w:after="240" w:line="240" w:lineRule="auto"/>
        <w:ind w:left="3119" w:hanging="851"/>
        <w:rPr>
          <w:sz w:val="23"/>
          <w:szCs w:val="23"/>
        </w:rPr>
      </w:pPr>
      <w:r w:rsidRPr="00D12265">
        <w:rPr>
          <w:sz w:val="23"/>
          <w:szCs w:val="23"/>
        </w:rPr>
        <w:t>8.3.4</w:t>
      </w:r>
      <w:r w:rsidRPr="00D12265">
        <w:rPr>
          <w:sz w:val="23"/>
          <w:szCs w:val="23"/>
        </w:rPr>
        <w:tab/>
        <w:t>…</w:t>
      </w:r>
    </w:p>
    <w:p w14:paraId="2E5FCEF9" w14:textId="6F41FB55" w:rsidR="00D12265" w:rsidRPr="00D12265" w:rsidRDefault="00D12265" w:rsidP="001D050E">
      <w:pPr>
        <w:pStyle w:val="Indent"/>
        <w:numPr>
          <w:ilvl w:val="0"/>
          <w:numId w:val="0"/>
        </w:numPr>
        <w:spacing w:before="240" w:after="240" w:line="240" w:lineRule="auto"/>
        <w:ind w:left="3119" w:hanging="851"/>
        <w:rPr>
          <w:sz w:val="23"/>
          <w:szCs w:val="23"/>
        </w:rPr>
      </w:pPr>
      <w:r w:rsidRPr="00D12265">
        <w:rPr>
          <w:sz w:val="23"/>
          <w:szCs w:val="23"/>
        </w:rPr>
        <w:t>8.3.5</w:t>
      </w:r>
      <w:r w:rsidR="00DD1684">
        <w:rPr>
          <w:sz w:val="23"/>
          <w:szCs w:val="23"/>
        </w:rPr>
        <w:tab/>
      </w:r>
      <w:r w:rsidRPr="00D12265">
        <w:rPr>
          <w:sz w:val="23"/>
          <w:szCs w:val="23"/>
        </w:rPr>
        <w:t>…</w:t>
      </w:r>
    </w:p>
    <w:p w14:paraId="4219D17C" w14:textId="71E1FCF5" w:rsidR="00D12265" w:rsidRPr="00D12265" w:rsidRDefault="00D12265" w:rsidP="001D050E">
      <w:pPr>
        <w:pStyle w:val="Indent"/>
        <w:numPr>
          <w:ilvl w:val="0"/>
          <w:numId w:val="0"/>
        </w:numPr>
        <w:spacing w:before="240" w:after="240" w:line="240" w:lineRule="auto"/>
        <w:ind w:left="3119" w:hanging="851"/>
        <w:rPr>
          <w:sz w:val="23"/>
          <w:szCs w:val="23"/>
        </w:rPr>
      </w:pPr>
      <w:r w:rsidRPr="00D12265">
        <w:rPr>
          <w:sz w:val="23"/>
          <w:szCs w:val="23"/>
        </w:rPr>
        <w:t>8.3.6</w:t>
      </w:r>
      <w:r w:rsidRPr="00D12265">
        <w:rPr>
          <w:sz w:val="23"/>
          <w:szCs w:val="23"/>
        </w:rPr>
        <w:tab/>
        <w:t>…</w:t>
      </w:r>
    </w:p>
    <w:p w14:paraId="222DE0FD" w14:textId="2767BE27" w:rsidR="00D12265" w:rsidRPr="00D12265" w:rsidRDefault="00D12265" w:rsidP="001D050E">
      <w:pPr>
        <w:pStyle w:val="Indent"/>
        <w:numPr>
          <w:ilvl w:val="0"/>
          <w:numId w:val="0"/>
        </w:numPr>
        <w:spacing w:before="240" w:after="240" w:line="240" w:lineRule="auto"/>
        <w:ind w:left="3119" w:hanging="851"/>
        <w:rPr>
          <w:sz w:val="23"/>
          <w:szCs w:val="23"/>
        </w:rPr>
      </w:pPr>
      <w:r w:rsidRPr="00D12265">
        <w:rPr>
          <w:sz w:val="23"/>
          <w:szCs w:val="23"/>
        </w:rPr>
        <w:t>8.3.7</w:t>
      </w:r>
      <w:r w:rsidRPr="00D12265">
        <w:rPr>
          <w:sz w:val="23"/>
          <w:szCs w:val="23"/>
        </w:rPr>
        <w:tab/>
        <w:t>…</w:t>
      </w:r>
    </w:p>
    <w:p w14:paraId="000C8144" w14:textId="499F55B4" w:rsidR="00D12265" w:rsidRPr="00D12265" w:rsidRDefault="00D12265" w:rsidP="001D050E">
      <w:pPr>
        <w:pStyle w:val="Indent"/>
        <w:numPr>
          <w:ilvl w:val="0"/>
          <w:numId w:val="0"/>
        </w:numPr>
        <w:spacing w:before="240" w:after="240" w:line="240" w:lineRule="auto"/>
        <w:ind w:left="3119" w:hanging="851"/>
        <w:rPr>
          <w:sz w:val="23"/>
          <w:szCs w:val="23"/>
        </w:rPr>
      </w:pPr>
      <w:r w:rsidRPr="00D12265">
        <w:rPr>
          <w:sz w:val="23"/>
          <w:szCs w:val="23"/>
        </w:rPr>
        <w:t>8.3.8</w:t>
      </w:r>
      <w:r w:rsidRPr="00D12265">
        <w:rPr>
          <w:sz w:val="23"/>
          <w:szCs w:val="23"/>
        </w:rPr>
        <w:tab/>
        <w:t>Die netto opbrengs word dan in gelyke dele tussen die partye verdeel.</w:t>
      </w:r>
    </w:p>
    <w:p w14:paraId="3D04C9BE" w14:textId="08BD13AE" w:rsidR="00D12265" w:rsidRDefault="00D12265" w:rsidP="001D050E">
      <w:pPr>
        <w:pStyle w:val="Indent"/>
        <w:numPr>
          <w:ilvl w:val="0"/>
          <w:numId w:val="0"/>
        </w:numPr>
        <w:spacing w:before="240" w:line="240" w:lineRule="auto"/>
        <w:ind w:left="3119" w:hanging="851"/>
      </w:pPr>
      <w:r w:rsidRPr="00D12265">
        <w:rPr>
          <w:sz w:val="23"/>
          <w:szCs w:val="23"/>
        </w:rPr>
        <w:t>8.3.9</w:t>
      </w:r>
      <w:r w:rsidRPr="00D12265">
        <w:rPr>
          <w:sz w:val="23"/>
          <w:szCs w:val="23"/>
        </w:rPr>
        <w:tab/>
        <w:t xml:space="preserve">Uithoofde van die feit dat die Bekker Trust die geregistreerde eienaar van die vaste eiendom is word hierdie skikkingsakte mede onderteken deur, benewens die Eiser en die Verweerder, ook deur die trustees van die trust </w:t>
      </w:r>
      <w:proofErr w:type="spellStart"/>
      <w:r w:rsidRPr="00D12265">
        <w:rPr>
          <w:sz w:val="23"/>
          <w:szCs w:val="23"/>
        </w:rPr>
        <w:t>naamlik</w:t>
      </w:r>
      <w:proofErr w:type="spellEnd"/>
      <w:r w:rsidRPr="00D12265">
        <w:rPr>
          <w:sz w:val="23"/>
          <w:szCs w:val="23"/>
        </w:rPr>
        <w:t xml:space="preserve"> </w:t>
      </w:r>
      <w:r w:rsidR="008A23F9">
        <w:rPr>
          <w:sz w:val="23"/>
          <w:szCs w:val="23"/>
        </w:rPr>
        <w:t>F[...]</w:t>
      </w:r>
      <w:r w:rsidRPr="00D12265">
        <w:rPr>
          <w:sz w:val="23"/>
          <w:szCs w:val="23"/>
        </w:rPr>
        <w:t xml:space="preserve"> </w:t>
      </w:r>
      <w:r w:rsidR="008A23F9">
        <w:rPr>
          <w:sz w:val="23"/>
          <w:szCs w:val="23"/>
        </w:rPr>
        <w:t>G[...]</w:t>
      </w:r>
      <w:r w:rsidRPr="00D12265">
        <w:rPr>
          <w:sz w:val="23"/>
          <w:szCs w:val="23"/>
        </w:rPr>
        <w:t xml:space="preserve"> </w:t>
      </w:r>
      <w:r w:rsidR="008A23F9">
        <w:rPr>
          <w:sz w:val="23"/>
          <w:szCs w:val="23"/>
        </w:rPr>
        <w:t>G[...]</w:t>
      </w:r>
      <w:r w:rsidRPr="00D12265">
        <w:rPr>
          <w:sz w:val="23"/>
          <w:szCs w:val="23"/>
        </w:rPr>
        <w:t xml:space="preserve">, en die Eiser en die Verweerde wat ook mede- trustees is wat hierdie skikkingsakte in hul persoonlike hoedanigheid en in hul verteenwoordigende hoedanigheid as trustees van die Bekker Trust is ten einde te bekragtig, te onderneem en te waarborg dat die trust ooreenkomstig die bepalings van hierdie skikkingsakte sal optree.  Vir </w:t>
      </w:r>
      <w:proofErr w:type="spellStart"/>
      <w:r w:rsidRPr="00D12265">
        <w:rPr>
          <w:sz w:val="23"/>
          <w:szCs w:val="23"/>
        </w:rPr>
        <w:t>sover</w:t>
      </w:r>
      <w:proofErr w:type="spellEnd"/>
      <w:r w:rsidRPr="00D12265">
        <w:rPr>
          <w:sz w:val="23"/>
          <w:szCs w:val="23"/>
        </w:rPr>
        <w:t xml:space="preserve"> </w:t>
      </w:r>
      <w:proofErr w:type="spellStart"/>
      <w:r w:rsidRPr="00D12265">
        <w:rPr>
          <w:sz w:val="23"/>
          <w:szCs w:val="23"/>
        </w:rPr>
        <w:t>en</w:t>
      </w:r>
      <w:proofErr w:type="spellEnd"/>
      <w:r w:rsidRPr="00D12265">
        <w:rPr>
          <w:sz w:val="23"/>
          <w:szCs w:val="23"/>
        </w:rPr>
        <w:t xml:space="preserve"> </w:t>
      </w:r>
      <w:proofErr w:type="spellStart"/>
      <w:r w:rsidRPr="00D12265">
        <w:rPr>
          <w:sz w:val="23"/>
          <w:szCs w:val="23"/>
        </w:rPr>
        <w:t>tot</w:t>
      </w:r>
      <w:proofErr w:type="spellEnd"/>
      <w:r w:rsidRPr="00D12265">
        <w:rPr>
          <w:sz w:val="23"/>
          <w:szCs w:val="23"/>
        </w:rPr>
        <w:t xml:space="preserve"> die mate as wat dit nodig mag wees of word onderneem die trustees, gesamelik en afsonderlik, om die trustakte te wysig ten einde uitvoering aan die skikkingsakte to gee.</w:t>
      </w:r>
    </w:p>
    <w:p w14:paraId="514E0E83" w14:textId="0662C6A7" w:rsidR="00D12265" w:rsidRDefault="00330F60" w:rsidP="00330F60">
      <w:pPr>
        <w:pStyle w:val="Indent"/>
        <w:numPr>
          <w:ilvl w:val="0"/>
          <w:numId w:val="0"/>
        </w:numPr>
        <w:ind w:left="850" w:hanging="850"/>
      </w:pPr>
      <w:r>
        <w:rPr>
          <w:szCs w:val="25"/>
        </w:rPr>
        <w:t>[4]</w:t>
      </w:r>
      <w:r>
        <w:rPr>
          <w:szCs w:val="25"/>
        </w:rPr>
        <w:tab/>
      </w:r>
      <w:r w:rsidR="001D050E">
        <w:t xml:space="preserve">Mr </w:t>
      </w:r>
      <w:r w:rsidR="008A23F9">
        <w:t>F[...]</w:t>
      </w:r>
      <w:r w:rsidR="001D050E">
        <w:t xml:space="preserve">’s first point is that Mrs </w:t>
      </w:r>
      <w:r w:rsidR="008A23F9">
        <w:t>F[...]</w:t>
      </w:r>
      <w:r w:rsidR="001D050E">
        <w:t xml:space="preserve"> is alive,  </w:t>
      </w:r>
      <w:r w:rsidR="001D050E">
        <w:rPr>
          <w:rStyle w:val="FootnoteReference"/>
        </w:rPr>
        <w:footnoteReference w:id="11"/>
      </w:r>
      <w:r w:rsidR="001D050E">
        <w:t xml:space="preserve">  hence the trigger of her death, mentioned in clause 8.3.2.1 of the settlement agreement is of no moment.  However, he contends, with reference to clause 8.3.2.2, </w:t>
      </w:r>
      <w:r w:rsidR="001D050E">
        <w:lastRenderedPageBreak/>
        <w:t>their youngest child turned 21 on 26 September 2017 and thus the end of the relevant calendar year was that of 2017.  </w:t>
      </w:r>
      <w:r w:rsidR="001D050E">
        <w:rPr>
          <w:rStyle w:val="FootnoteReference"/>
        </w:rPr>
        <w:footnoteReference w:id="12"/>
      </w:r>
      <w:r w:rsidR="001D050E">
        <w:t>  This is not in dispute.  </w:t>
      </w:r>
      <w:r w:rsidR="001D050E">
        <w:rPr>
          <w:rStyle w:val="FootnoteReference"/>
        </w:rPr>
        <w:footnoteReference w:id="13"/>
      </w:r>
    </w:p>
    <w:p w14:paraId="6F12B68C" w14:textId="553C53AC" w:rsidR="001D050E" w:rsidRDefault="00330F60" w:rsidP="00330F60">
      <w:pPr>
        <w:pStyle w:val="Indent"/>
        <w:numPr>
          <w:ilvl w:val="0"/>
          <w:numId w:val="0"/>
        </w:numPr>
        <w:spacing w:after="240"/>
        <w:ind w:left="851" w:hanging="851"/>
      </w:pPr>
      <w:r>
        <w:rPr>
          <w:szCs w:val="25"/>
        </w:rPr>
        <w:t>[5]</w:t>
      </w:r>
      <w:r>
        <w:rPr>
          <w:szCs w:val="25"/>
        </w:rPr>
        <w:tab/>
      </w:r>
      <w:r w:rsidR="001D050E">
        <w:t xml:space="preserve">At this point in the founding papers, Mr </w:t>
      </w:r>
      <w:r w:rsidR="008A23F9">
        <w:t>F[...]</w:t>
      </w:r>
      <w:r w:rsidR="001D050E">
        <w:t>’s case is the following:  </w:t>
      </w:r>
      <w:r w:rsidR="001D050E">
        <w:rPr>
          <w:rStyle w:val="FootnoteReference"/>
        </w:rPr>
        <w:footnoteReference w:id="14"/>
      </w:r>
    </w:p>
    <w:p w14:paraId="00016DA3" w14:textId="31C6E138" w:rsidR="001D050E" w:rsidRPr="001D050E" w:rsidRDefault="001D050E" w:rsidP="001D050E">
      <w:pPr>
        <w:pStyle w:val="Indent"/>
        <w:numPr>
          <w:ilvl w:val="0"/>
          <w:numId w:val="0"/>
        </w:numPr>
        <w:spacing w:before="240" w:after="240" w:line="240" w:lineRule="auto"/>
        <w:ind w:left="2160" w:hanging="720"/>
        <w:rPr>
          <w:sz w:val="23"/>
          <w:szCs w:val="23"/>
        </w:rPr>
      </w:pPr>
      <w:r w:rsidRPr="001D050E">
        <w:rPr>
          <w:sz w:val="23"/>
          <w:szCs w:val="23"/>
        </w:rPr>
        <w:t>5.3</w:t>
      </w:r>
      <w:r w:rsidRPr="001D050E">
        <w:rPr>
          <w:sz w:val="23"/>
          <w:szCs w:val="23"/>
        </w:rPr>
        <w:tab/>
        <w:t xml:space="preserve">However, despite various attempts to give effect to the settlement agreement and sell the property in accordance with the provisions of the settlement agreement, the first respondent simply refuses to do so, refuses to give effect to the settlement agreement and refuses estate agents access to the property </w:t>
      </w:r>
      <w:proofErr w:type="gramStart"/>
      <w:r w:rsidRPr="001D050E">
        <w:rPr>
          <w:sz w:val="23"/>
          <w:szCs w:val="23"/>
        </w:rPr>
        <w:t>in order for</w:t>
      </w:r>
      <w:proofErr w:type="gramEnd"/>
      <w:r w:rsidRPr="001D050E">
        <w:rPr>
          <w:sz w:val="23"/>
          <w:szCs w:val="23"/>
        </w:rPr>
        <w:t xml:space="preserve"> the property to be marketed and sold.</w:t>
      </w:r>
    </w:p>
    <w:p w14:paraId="5D15BBDB" w14:textId="14CD7895" w:rsidR="001D050E" w:rsidRPr="001D050E" w:rsidRDefault="001D050E" w:rsidP="001D050E">
      <w:pPr>
        <w:pStyle w:val="Indent"/>
        <w:numPr>
          <w:ilvl w:val="0"/>
          <w:numId w:val="0"/>
        </w:numPr>
        <w:spacing w:before="240" w:after="240" w:line="240" w:lineRule="auto"/>
        <w:ind w:left="2160" w:hanging="720"/>
        <w:rPr>
          <w:sz w:val="23"/>
          <w:szCs w:val="23"/>
        </w:rPr>
      </w:pPr>
      <w:r w:rsidRPr="001D050E">
        <w:rPr>
          <w:sz w:val="23"/>
          <w:szCs w:val="23"/>
        </w:rPr>
        <w:t>5.4</w:t>
      </w:r>
      <w:r w:rsidRPr="001D050E">
        <w:rPr>
          <w:sz w:val="23"/>
          <w:szCs w:val="23"/>
        </w:rPr>
        <w:tab/>
        <w:t>The first respondent and/or the fifth respondent are refuting the ends of justice and the first respondent is in contempt of the court order beyond any reasonable doubt.</w:t>
      </w:r>
    </w:p>
    <w:p w14:paraId="3C4B0705" w14:textId="4DF58FA0" w:rsidR="001D050E" w:rsidRDefault="001D050E" w:rsidP="001D050E">
      <w:pPr>
        <w:pStyle w:val="Indent"/>
        <w:numPr>
          <w:ilvl w:val="0"/>
          <w:numId w:val="0"/>
        </w:numPr>
        <w:spacing w:before="240" w:line="240" w:lineRule="auto"/>
        <w:ind w:left="2160" w:hanging="720"/>
      </w:pPr>
      <w:r w:rsidRPr="001D050E">
        <w:rPr>
          <w:sz w:val="23"/>
          <w:szCs w:val="23"/>
        </w:rPr>
        <w:t>5.5</w:t>
      </w:r>
      <w:r w:rsidRPr="001D050E">
        <w:rPr>
          <w:sz w:val="23"/>
          <w:szCs w:val="23"/>
        </w:rPr>
        <w:tab/>
        <w:t xml:space="preserve">The contempt the first respondent and/or fifth respondent are guilty of is of such a prolonged nature that this honourable Court should be, while acting within the course and scope of what is juridically acceptable if it does not lean to assisting the first respondent and/or the fifth respondent in any manner whatsoever and the honourable Court should not even afford the first respondent a hearing.  The conduct of the first respondent and/or the fifth respondent is completely </w:t>
      </w:r>
      <w:r w:rsidRPr="001D050E">
        <w:rPr>
          <w:i/>
          <w:iCs/>
          <w:sz w:val="23"/>
          <w:szCs w:val="23"/>
        </w:rPr>
        <w:t>mala fide</w:t>
      </w:r>
      <w:r w:rsidRPr="001D050E">
        <w:rPr>
          <w:sz w:val="23"/>
          <w:szCs w:val="23"/>
        </w:rPr>
        <w:t>.</w:t>
      </w:r>
    </w:p>
    <w:p w14:paraId="7F726E39" w14:textId="0B339734" w:rsidR="001D050E" w:rsidRDefault="00330F60" w:rsidP="00330F60">
      <w:pPr>
        <w:pStyle w:val="Indent"/>
        <w:numPr>
          <w:ilvl w:val="0"/>
          <w:numId w:val="0"/>
        </w:numPr>
        <w:spacing w:after="240"/>
        <w:ind w:left="851" w:hanging="851"/>
      </w:pPr>
      <w:r>
        <w:rPr>
          <w:szCs w:val="25"/>
        </w:rPr>
        <w:t>[6]</w:t>
      </w:r>
      <w:r>
        <w:rPr>
          <w:szCs w:val="25"/>
        </w:rPr>
        <w:tab/>
      </w:r>
      <w:r w:rsidR="001D050E">
        <w:t xml:space="preserve">This position had </w:t>
      </w:r>
      <w:r w:rsidR="00D0148E">
        <w:t>earlier</w:t>
      </w:r>
      <w:r w:rsidR="001D050E">
        <w:t xml:space="preserve"> been expressed by Mr </w:t>
      </w:r>
      <w:r w:rsidR="008A23F9">
        <w:t>F[...]</w:t>
      </w:r>
      <w:r w:rsidR="001D050E">
        <w:t>, as follows:  </w:t>
      </w:r>
      <w:r w:rsidR="001D050E">
        <w:rPr>
          <w:rStyle w:val="FootnoteReference"/>
        </w:rPr>
        <w:footnoteReference w:id="15"/>
      </w:r>
    </w:p>
    <w:p w14:paraId="12140CA3" w14:textId="057E8A89" w:rsidR="001D050E" w:rsidRPr="001D050E" w:rsidRDefault="001D050E" w:rsidP="001D050E">
      <w:pPr>
        <w:pStyle w:val="Indent"/>
        <w:numPr>
          <w:ilvl w:val="0"/>
          <w:numId w:val="0"/>
        </w:numPr>
        <w:spacing w:before="240" w:after="240" w:line="240" w:lineRule="auto"/>
        <w:ind w:left="2160" w:hanging="720"/>
        <w:rPr>
          <w:sz w:val="23"/>
          <w:szCs w:val="23"/>
        </w:rPr>
      </w:pPr>
      <w:r w:rsidRPr="001D050E">
        <w:rPr>
          <w:sz w:val="23"/>
          <w:szCs w:val="23"/>
        </w:rPr>
        <w:t>3.4</w:t>
      </w:r>
      <w:r w:rsidRPr="001D050E">
        <w:rPr>
          <w:sz w:val="23"/>
          <w:szCs w:val="23"/>
        </w:rPr>
        <w:tab/>
        <w:t xml:space="preserve">Currently the first respondent is in contempt of the aforementioned court </w:t>
      </w:r>
      <w:proofErr w:type="gramStart"/>
      <w:r w:rsidRPr="001D050E">
        <w:rPr>
          <w:sz w:val="23"/>
          <w:szCs w:val="23"/>
        </w:rPr>
        <w:t>order</w:t>
      </w:r>
      <w:proofErr w:type="gramEnd"/>
      <w:r w:rsidRPr="001D050E">
        <w:rPr>
          <w:sz w:val="23"/>
          <w:szCs w:val="23"/>
        </w:rPr>
        <w:t xml:space="preserve"> and she has deliberately and intentionally refused (and/or failed) to comply with the aforementioned court order in the respects set out herein below.</w:t>
      </w:r>
    </w:p>
    <w:p w14:paraId="156C5F7A" w14:textId="528AE65C" w:rsidR="001D050E" w:rsidRDefault="001D050E" w:rsidP="001D050E">
      <w:pPr>
        <w:pStyle w:val="Indent"/>
        <w:numPr>
          <w:ilvl w:val="0"/>
          <w:numId w:val="0"/>
        </w:numPr>
        <w:spacing w:before="240" w:line="240" w:lineRule="auto"/>
        <w:ind w:left="2160" w:hanging="720"/>
      </w:pPr>
      <w:r w:rsidRPr="001D050E">
        <w:rPr>
          <w:sz w:val="23"/>
          <w:szCs w:val="23"/>
        </w:rPr>
        <w:t>3.5</w:t>
      </w:r>
      <w:r w:rsidRPr="001D050E">
        <w:rPr>
          <w:sz w:val="23"/>
          <w:szCs w:val="23"/>
        </w:rPr>
        <w:tab/>
        <w:t xml:space="preserve">The first respondent’s conduct is </w:t>
      </w:r>
      <w:r w:rsidRPr="001D050E">
        <w:rPr>
          <w:i/>
          <w:iCs/>
          <w:sz w:val="23"/>
          <w:szCs w:val="23"/>
        </w:rPr>
        <w:t>mala fide</w:t>
      </w:r>
      <w:r w:rsidRPr="001D050E">
        <w:rPr>
          <w:sz w:val="23"/>
          <w:szCs w:val="23"/>
        </w:rPr>
        <w:t xml:space="preserve"> and inexcusable.  I have instructed my legal representatives to address various correspondences to the first respondent’s legal representatives in order to persuade her to comply with the provisions of the </w:t>
      </w:r>
      <w:r w:rsidRPr="001D050E">
        <w:rPr>
          <w:sz w:val="23"/>
          <w:szCs w:val="23"/>
        </w:rPr>
        <w:lastRenderedPageBreak/>
        <w:t>aforementioned court order but this was done in vein.</w:t>
      </w:r>
    </w:p>
    <w:p w14:paraId="5D34649D" w14:textId="6DA5C2EB" w:rsidR="001D050E" w:rsidRDefault="00330F60" w:rsidP="00330F60">
      <w:pPr>
        <w:pStyle w:val="Indent"/>
        <w:numPr>
          <w:ilvl w:val="0"/>
          <w:numId w:val="0"/>
        </w:numPr>
        <w:ind w:left="850" w:hanging="850"/>
      </w:pPr>
      <w:r>
        <w:rPr>
          <w:szCs w:val="25"/>
        </w:rPr>
        <w:t>[7]</w:t>
      </w:r>
      <w:r>
        <w:rPr>
          <w:szCs w:val="25"/>
        </w:rPr>
        <w:tab/>
      </w:r>
      <w:r w:rsidR="001D050E">
        <w:t xml:space="preserve">Mr </w:t>
      </w:r>
      <w:r w:rsidR="008A23F9">
        <w:t>F[...]</w:t>
      </w:r>
      <w:r w:rsidR="001D050E">
        <w:t>’s frustration is pulpable, but a party’s level of frustration is not the test for holding a person in contempt of a court order.  In this</w:t>
      </w:r>
      <w:r w:rsidR="001F60C4">
        <w:t xml:space="preserve"> regard</w:t>
      </w:r>
      <w:r w:rsidR="001D050E">
        <w:t xml:space="preserve">, </w:t>
      </w:r>
      <w:r w:rsidR="001D050E" w:rsidRPr="00DC48B9">
        <w:rPr>
          <w:b/>
          <w:bCs/>
          <w:i/>
          <w:iCs/>
        </w:rPr>
        <w:t>Fakie</w:t>
      </w:r>
      <w:r w:rsidR="001F60C4">
        <w:t>  </w:t>
      </w:r>
      <w:r w:rsidR="00DC48B9">
        <w:rPr>
          <w:rStyle w:val="FootnoteReference"/>
        </w:rPr>
        <w:footnoteReference w:id="16"/>
      </w:r>
      <w:r w:rsidR="001F60C4">
        <w:t xml:space="preserve">  </w:t>
      </w:r>
      <w:r w:rsidR="001D050E">
        <w:t>is clear.</w:t>
      </w:r>
      <w:r w:rsidR="001F60C4">
        <w:t xml:space="preserve">  An applicant in contempt proceedings may seek two forms of relief.  Firstly, ‘[a]</w:t>
      </w:r>
      <w:r w:rsidR="001F60C4" w:rsidRPr="001F60C4">
        <w:t xml:space="preserve"> declarator and other appropriate remedies remain available to a civil applicant on proof on a balance of probabilities.</w:t>
      </w:r>
      <w:r w:rsidR="001F60C4">
        <w:t>’  </w:t>
      </w:r>
      <w:r w:rsidR="001F60C4">
        <w:rPr>
          <w:rStyle w:val="FootnoteReference"/>
        </w:rPr>
        <w:footnoteReference w:id="17"/>
      </w:r>
      <w:r w:rsidR="001F60C4">
        <w:t>  Or, secondly, ‘</w:t>
      </w:r>
      <w:r w:rsidR="001F60C4" w:rsidRPr="001F60C4">
        <w:t xml:space="preserve">the applicant must prove the requisites of contempt (the order; service or notice; non-compliance; and wilfulness and </w:t>
      </w:r>
      <w:r w:rsidR="001F60C4" w:rsidRPr="001F60C4">
        <w:rPr>
          <w:i/>
          <w:iCs/>
        </w:rPr>
        <w:t>mala fides</w:t>
      </w:r>
      <w:r w:rsidR="001F60C4" w:rsidRPr="001F60C4">
        <w:t>) beyond reasonable doubt.</w:t>
      </w:r>
      <w:r w:rsidR="001F60C4">
        <w:t>  </w:t>
      </w:r>
      <w:r w:rsidR="001F60C4">
        <w:rPr>
          <w:rStyle w:val="FootnoteReference"/>
        </w:rPr>
        <w:footnoteReference w:id="18"/>
      </w:r>
      <w:r w:rsidR="001F60C4">
        <w:t xml:space="preserve">  ‘But, once the applicant has proved the order, service or notice, and non-compliance, the respondent bears an evidential burden in relation to wilfulness and </w:t>
      </w:r>
      <w:r w:rsidR="001F60C4" w:rsidRPr="00653850">
        <w:rPr>
          <w:i/>
          <w:iCs/>
        </w:rPr>
        <w:t>mala fides</w:t>
      </w:r>
      <w:r w:rsidR="001F60C4">
        <w:t xml:space="preserve">: Should the respondent fail to advance evidence that establishes a reasonable doubt as to whether non-compliance was wilful and </w:t>
      </w:r>
      <w:r w:rsidR="001F60C4" w:rsidRPr="001F60C4">
        <w:rPr>
          <w:i/>
          <w:iCs/>
        </w:rPr>
        <w:t>mala fide</w:t>
      </w:r>
      <w:r w:rsidR="001F60C4">
        <w:t>, contempt will have been established beyond reasonable doubt.’  </w:t>
      </w:r>
      <w:r w:rsidR="001F60C4">
        <w:rPr>
          <w:rStyle w:val="FootnoteReference"/>
        </w:rPr>
        <w:footnoteReference w:id="19"/>
      </w:r>
    </w:p>
    <w:p w14:paraId="0A0C2CEA" w14:textId="57337F41" w:rsidR="001D050E" w:rsidRDefault="00330F60" w:rsidP="00330F60">
      <w:pPr>
        <w:pStyle w:val="Indent"/>
        <w:numPr>
          <w:ilvl w:val="0"/>
          <w:numId w:val="0"/>
        </w:numPr>
        <w:ind w:left="850" w:hanging="850"/>
      </w:pPr>
      <w:r>
        <w:rPr>
          <w:szCs w:val="25"/>
        </w:rPr>
        <w:t>[8]</w:t>
      </w:r>
      <w:r>
        <w:rPr>
          <w:szCs w:val="25"/>
        </w:rPr>
        <w:tab/>
      </w:r>
      <w:r w:rsidR="001F60C4">
        <w:t xml:space="preserve">Returning momentarily to the relief sought by Mr </w:t>
      </w:r>
      <w:r w:rsidR="008A23F9">
        <w:t>F[...]</w:t>
      </w:r>
      <w:r w:rsidR="001F60C4">
        <w:t>, he has sought both forms of relief.  Prayer 1  </w:t>
      </w:r>
      <w:r w:rsidR="001F60C4">
        <w:rPr>
          <w:rStyle w:val="FootnoteReference"/>
        </w:rPr>
        <w:footnoteReference w:id="20"/>
      </w:r>
      <w:r w:rsidR="001F60C4">
        <w:t xml:space="preserve">  appears to be aimed at declaratory relief, holding Mrs </w:t>
      </w:r>
      <w:r w:rsidR="008A23F9">
        <w:t>F[...]</w:t>
      </w:r>
      <w:r w:rsidR="001F60C4">
        <w:t xml:space="preserve"> in contempt on a balance of probabilities, while </w:t>
      </w:r>
      <w:r w:rsidR="001F60C4">
        <w:lastRenderedPageBreak/>
        <w:t>prayers 2 and 3  </w:t>
      </w:r>
      <w:r w:rsidR="001F60C4">
        <w:rPr>
          <w:rStyle w:val="FootnoteReference"/>
        </w:rPr>
        <w:footnoteReference w:id="21"/>
      </w:r>
      <w:r w:rsidR="001F60C4">
        <w:t>  appear to be couched in the form of the second category of relief, which may only be granted if proven beyond a reasonable doubt.</w:t>
      </w:r>
    </w:p>
    <w:p w14:paraId="6EC54B00" w14:textId="2C51BFB0" w:rsidR="001F60C4" w:rsidRDefault="00330F60" w:rsidP="00330F60">
      <w:pPr>
        <w:pStyle w:val="Indent"/>
        <w:numPr>
          <w:ilvl w:val="0"/>
          <w:numId w:val="0"/>
        </w:numPr>
        <w:ind w:left="850" w:hanging="850"/>
        <w:rPr>
          <w:szCs w:val="25"/>
        </w:rPr>
      </w:pPr>
      <w:r>
        <w:rPr>
          <w:szCs w:val="25"/>
        </w:rPr>
        <w:t>[9]</w:t>
      </w:r>
      <w:r>
        <w:rPr>
          <w:szCs w:val="25"/>
        </w:rPr>
        <w:tab/>
      </w:r>
      <w:r w:rsidR="001F60C4">
        <w:t>I address the second category of relief first.  It is common cause that there is an order  </w:t>
      </w:r>
      <w:r w:rsidR="001F60C4">
        <w:rPr>
          <w:rStyle w:val="FootnoteReference"/>
        </w:rPr>
        <w:footnoteReference w:id="22"/>
      </w:r>
      <w:r w:rsidR="001F60C4">
        <w:t>  and that she is aware of the order.  </w:t>
      </w:r>
      <w:r w:rsidR="001F60C4">
        <w:rPr>
          <w:rStyle w:val="FootnoteReference"/>
        </w:rPr>
        <w:footnoteReference w:id="23"/>
      </w:r>
      <w:r w:rsidR="001F60C4">
        <w:t xml:space="preserve">  So much for the first two requirements.  The third, however, is that Mr </w:t>
      </w:r>
      <w:r w:rsidR="008A23F9">
        <w:t>F[...]</w:t>
      </w:r>
      <w:r w:rsidR="001F60C4">
        <w:t xml:space="preserve"> must show beyond a reasonable doubt that Mrs </w:t>
      </w:r>
      <w:r w:rsidR="008A23F9">
        <w:t>F[...]</w:t>
      </w:r>
      <w:r w:rsidR="001F60C4">
        <w:t xml:space="preserve"> has breached the order.  The trigger for action was when </w:t>
      </w:r>
      <w:r w:rsidR="00741BA8">
        <w:t xml:space="preserve">Mr </w:t>
      </w:r>
      <w:r w:rsidR="008A23F9">
        <w:t>F[...]</w:t>
      </w:r>
      <w:r w:rsidR="00741BA8">
        <w:t xml:space="preserve">’s and Mrs </w:t>
      </w:r>
      <w:r w:rsidR="008A23F9">
        <w:t>F[...]</w:t>
      </w:r>
      <w:r w:rsidR="00741BA8">
        <w:t>’s</w:t>
      </w:r>
      <w:r w:rsidR="001F60C4">
        <w:t xml:space="preserve"> youngest child reached 21 years of age, since the settlement agreement stipulated that, at the end of the calendar year in which that occurred, </w:t>
      </w:r>
      <w:r w:rsidR="001F60C4">
        <w:rPr>
          <w:szCs w:val="25"/>
        </w:rPr>
        <w:t>‘</w:t>
      </w:r>
      <w:r w:rsidR="001F60C4" w:rsidRPr="001F60C4">
        <w:rPr>
          <w:szCs w:val="25"/>
        </w:rPr>
        <w:t>word die vaste eiendom op die ope mark geplaas vir die verkoop daarvan en is die Eiser verplig om die eiendom te ontruim vir die betrokke koper</w:t>
      </w:r>
      <w:r w:rsidR="001F60C4">
        <w:rPr>
          <w:szCs w:val="25"/>
        </w:rPr>
        <w:t xml:space="preserve">’.  </w:t>
      </w:r>
    </w:p>
    <w:p w14:paraId="5AB2596D" w14:textId="3A6413A0" w:rsidR="00A4102A" w:rsidRDefault="00330F60" w:rsidP="00330F60">
      <w:pPr>
        <w:pStyle w:val="Indent"/>
        <w:numPr>
          <w:ilvl w:val="0"/>
          <w:numId w:val="0"/>
        </w:numPr>
        <w:ind w:left="850" w:hanging="850"/>
        <w:rPr>
          <w:szCs w:val="25"/>
        </w:rPr>
      </w:pPr>
      <w:r>
        <w:rPr>
          <w:szCs w:val="25"/>
        </w:rPr>
        <w:t>[10]</w:t>
      </w:r>
      <w:r>
        <w:rPr>
          <w:szCs w:val="25"/>
        </w:rPr>
        <w:tab/>
      </w:r>
      <w:r w:rsidR="001F60C4">
        <w:rPr>
          <w:szCs w:val="25"/>
        </w:rPr>
        <w:t xml:space="preserve">This clause in my view placed two obligations on two different persons.  Firstly, the trust as the owner of the immovable property was required to place the property on the open market for sale.  That obligation would have fallen to all of trustees at the time, who would have been required </w:t>
      </w:r>
      <w:r w:rsidR="001F60C4">
        <w:rPr>
          <w:szCs w:val="25"/>
        </w:rPr>
        <w:lastRenderedPageBreak/>
        <w:t>to act jointly in doing so.  </w:t>
      </w:r>
      <w:r w:rsidR="001F60C4">
        <w:rPr>
          <w:rStyle w:val="FootnoteReference"/>
          <w:szCs w:val="25"/>
        </w:rPr>
        <w:footnoteReference w:id="24"/>
      </w:r>
      <w:r w:rsidR="00DB6602">
        <w:rPr>
          <w:szCs w:val="25"/>
        </w:rPr>
        <w:t>  Secondly, the first respondent would be obliged to vacate the property for the purchaser.  The latter requirement cannot arise, in my view, before the former has been complied with and a buyer has indeed been found.</w:t>
      </w:r>
    </w:p>
    <w:p w14:paraId="48EAE359" w14:textId="6033B2ED" w:rsidR="001F60C4" w:rsidRDefault="00330F60" w:rsidP="00330F60">
      <w:pPr>
        <w:pStyle w:val="Indent"/>
        <w:numPr>
          <w:ilvl w:val="0"/>
          <w:numId w:val="0"/>
        </w:numPr>
        <w:ind w:left="850" w:hanging="850"/>
        <w:rPr>
          <w:szCs w:val="25"/>
        </w:rPr>
      </w:pPr>
      <w:r>
        <w:rPr>
          <w:szCs w:val="25"/>
        </w:rPr>
        <w:t>[11]</w:t>
      </w:r>
      <w:r>
        <w:rPr>
          <w:szCs w:val="25"/>
        </w:rPr>
        <w:tab/>
      </w:r>
      <w:r w:rsidR="00036876">
        <w:rPr>
          <w:szCs w:val="25"/>
        </w:rPr>
        <w:t xml:space="preserve">I shall return to this aspect shortly, but before doing so, I address the grounds of opposition put up by Mrs </w:t>
      </w:r>
      <w:r w:rsidR="008A23F9">
        <w:rPr>
          <w:szCs w:val="25"/>
        </w:rPr>
        <w:t>F[...]</w:t>
      </w:r>
      <w:r w:rsidR="00036876">
        <w:rPr>
          <w:szCs w:val="25"/>
        </w:rPr>
        <w:t xml:space="preserve">, both in her personal capacity and that as a trustee of the Bekker Trust.  The first point </w:t>
      </w:r>
      <w:r w:rsidR="00741BA8">
        <w:rPr>
          <w:szCs w:val="25"/>
        </w:rPr>
        <w:t xml:space="preserve">was </w:t>
      </w:r>
      <w:r w:rsidR="00036876">
        <w:rPr>
          <w:szCs w:val="25"/>
        </w:rPr>
        <w:t xml:space="preserve">raised </w:t>
      </w:r>
      <w:r w:rsidR="00036876">
        <w:rPr>
          <w:i/>
          <w:iCs/>
          <w:szCs w:val="25"/>
        </w:rPr>
        <w:t xml:space="preserve">in </w:t>
      </w:r>
      <w:r w:rsidR="00036876" w:rsidRPr="00036876">
        <w:rPr>
          <w:i/>
          <w:iCs/>
          <w:szCs w:val="25"/>
        </w:rPr>
        <w:t>limine</w:t>
      </w:r>
      <w:r w:rsidR="00036876">
        <w:rPr>
          <w:szCs w:val="25"/>
        </w:rPr>
        <w:t>, namely,</w:t>
      </w:r>
      <w:r w:rsidR="00036876">
        <w:rPr>
          <w:i/>
          <w:iCs/>
          <w:szCs w:val="25"/>
        </w:rPr>
        <w:t xml:space="preserve"> </w:t>
      </w:r>
      <w:r w:rsidR="00036876" w:rsidRPr="00036876">
        <w:rPr>
          <w:szCs w:val="25"/>
        </w:rPr>
        <w:t>that</w:t>
      </w:r>
      <w:r w:rsidR="00036876">
        <w:rPr>
          <w:szCs w:val="25"/>
        </w:rPr>
        <w:t xml:space="preserve"> the master had not been joined, when relief against </w:t>
      </w:r>
      <w:r w:rsidR="00741BA8">
        <w:rPr>
          <w:szCs w:val="25"/>
        </w:rPr>
        <w:t xml:space="preserve">Mrs </w:t>
      </w:r>
      <w:r w:rsidR="008A23F9">
        <w:rPr>
          <w:szCs w:val="25"/>
        </w:rPr>
        <w:t>F[...]</w:t>
      </w:r>
      <w:r w:rsidR="00036876">
        <w:rPr>
          <w:szCs w:val="25"/>
        </w:rPr>
        <w:t xml:space="preserve"> in her nominal capacity had been sought.  </w:t>
      </w:r>
      <w:r w:rsidR="00036876">
        <w:rPr>
          <w:rStyle w:val="FootnoteReference"/>
          <w:szCs w:val="25"/>
        </w:rPr>
        <w:footnoteReference w:id="25"/>
      </w:r>
      <w:r w:rsidR="00DB6602">
        <w:rPr>
          <w:szCs w:val="25"/>
        </w:rPr>
        <w:t xml:space="preserve"> </w:t>
      </w:r>
      <w:r w:rsidR="00036876">
        <w:rPr>
          <w:szCs w:val="25"/>
        </w:rPr>
        <w:t xml:space="preserve"> Besides alleging that she had received such advice, the aspect was </w:t>
      </w:r>
      <w:r w:rsidR="00036876" w:rsidRPr="00741BA8">
        <w:rPr>
          <w:szCs w:val="25"/>
        </w:rPr>
        <w:t>not developed beyond this in her answering papers</w:t>
      </w:r>
      <w:r w:rsidR="00741BA8">
        <w:rPr>
          <w:szCs w:val="25"/>
        </w:rPr>
        <w:t>, nor did it feature in the argument presented on her behalf</w:t>
      </w:r>
      <w:r w:rsidR="00036876">
        <w:rPr>
          <w:szCs w:val="25"/>
        </w:rPr>
        <w:t xml:space="preserve">.  It was a point badly taken in the form it was raised and I reject it </w:t>
      </w:r>
      <w:r w:rsidR="00741BA8">
        <w:rPr>
          <w:szCs w:val="25"/>
        </w:rPr>
        <w:t>for</w:t>
      </w:r>
      <w:r w:rsidR="00036876">
        <w:rPr>
          <w:szCs w:val="25"/>
        </w:rPr>
        <w:t xml:space="preserve"> having </w:t>
      </w:r>
      <w:r w:rsidR="00741BA8">
        <w:rPr>
          <w:szCs w:val="25"/>
        </w:rPr>
        <w:t>no</w:t>
      </w:r>
      <w:r w:rsidR="00036876">
        <w:rPr>
          <w:szCs w:val="25"/>
        </w:rPr>
        <w:t xml:space="preserve"> merit.</w:t>
      </w:r>
    </w:p>
    <w:p w14:paraId="17AC0464" w14:textId="0C562770" w:rsidR="00036876" w:rsidRDefault="00330F60" w:rsidP="00330F60">
      <w:pPr>
        <w:pStyle w:val="Indent"/>
        <w:numPr>
          <w:ilvl w:val="0"/>
          <w:numId w:val="0"/>
        </w:numPr>
        <w:ind w:left="850" w:hanging="850"/>
        <w:rPr>
          <w:szCs w:val="25"/>
        </w:rPr>
      </w:pPr>
      <w:r>
        <w:rPr>
          <w:szCs w:val="25"/>
        </w:rPr>
        <w:t>[12]</w:t>
      </w:r>
      <w:r>
        <w:rPr>
          <w:szCs w:val="25"/>
        </w:rPr>
        <w:tab/>
      </w:r>
      <w:r w:rsidR="00036876">
        <w:rPr>
          <w:szCs w:val="25"/>
        </w:rPr>
        <w:t xml:space="preserve">The second point was also raised </w:t>
      </w:r>
      <w:r w:rsidR="00036876" w:rsidRPr="00036876">
        <w:rPr>
          <w:i/>
          <w:iCs/>
          <w:szCs w:val="25"/>
        </w:rPr>
        <w:t>in limine</w:t>
      </w:r>
      <w:r w:rsidR="00036876">
        <w:rPr>
          <w:szCs w:val="25"/>
        </w:rPr>
        <w:t>.  It was that, while Mr </w:t>
      </w:r>
      <w:r w:rsidR="008A23F9">
        <w:rPr>
          <w:szCs w:val="25"/>
        </w:rPr>
        <w:t>F[...]</w:t>
      </w:r>
      <w:r w:rsidR="00036876">
        <w:rPr>
          <w:szCs w:val="25"/>
        </w:rPr>
        <w:t xml:space="preserve"> wished to have her held in contempt in her nominal capacity as a </w:t>
      </w:r>
      <w:r w:rsidR="00036876">
        <w:rPr>
          <w:szCs w:val="25"/>
        </w:rPr>
        <w:lastRenderedPageBreak/>
        <w:t>trustee, he had not attached a copy to the papers of any resolution of the trustees, which shows that the trust intended to sell its immovable property concerned, in respect of which it could be said that she had failed to provide her cooperation to sell the immovable property.  </w:t>
      </w:r>
      <w:r w:rsidR="00036876">
        <w:rPr>
          <w:rStyle w:val="FootnoteReference"/>
          <w:szCs w:val="25"/>
        </w:rPr>
        <w:footnoteReference w:id="26"/>
      </w:r>
      <w:r w:rsidR="00741BA8">
        <w:rPr>
          <w:szCs w:val="25"/>
        </w:rPr>
        <w:t xml:space="preserve">  This was not a point </w:t>
      </w:r>
      <w:r w:rsidR="00741BA8">
        <w:rPr>
          <w:i/>
          <w:iCs/>
          <w:szCs w:val="25"/>
        </w:rPr>
        <w:t>in limine</w:t>
      </w:r>
      <w:r w:rsidR="00741BA8">
        <w:rPr>
          <w:szCs w:val="25"/>
        </w:rPr>
        <w:t xml:space="preserve">, properly so named, and cannot be adjudicated on the basis that it was.  It is argument going to the absence of evidentiary material and cannot be separated from the merits of the matter.  It fails as a point </w:t>
      </w:r>
      <w:r w:rsidR="00741BA8">
        <w:rPr>
          <w:i/>
          <w:iCs/>
          <w:szCs w:val="25"/>
        </w:rPr>
        <w:t>in limine</w:t>
      </w:r>
      <w:r w:rsidR="00741BA8">
        <w:rPr>
          <w:szCs w:val="25"/>
        </w:rPr>
        <w:t>.</w:t>
      </w:r>
    </w:p>
    <w:p w14:paraId="721898D2" w14:textId="374FD2C9" w:rsidR="00036876" w:rsidRDefault="00330F60" w:rsidP="00330F60">
      <w:pPr>
        <w:pStyle w:val="Indent"/>
        <w:numPr>
          <w:ilvl w:val="0"/>
          <w:numId w:val="0"/>
        </w:numPr>
        <w:ind w:left="850" w:hanging="850"/>
        <w:rPr>
          <w:szCs w:val="25"/>
        </w:rPr>
      </w:pPr>
      <w:r>
        <w:rPr>
          <w:szCs w:val="25"/>
        </w:rPr>
        <w:t>[13]</w:t>
      </w:r>
      <w:r>
        <w:rPr>
          <w:szCs w:val="25"/>
        </w:rPr>
        <w:tab/>
      </w:r>
      <w:r w:rsidR="00036876">
        <w:rPr>
          <w:szCs w:val="25"/>
        </w:rPr>
        <w:t>A</w:t>
      </w:r>
      <w:r w:rsidR="00741BA8">
        <w:rPr>
          <w:szCs w:val="25"/>
        </w:rPr>
        <w:t xml:space="preserve"> further aspect raised by Mrs Bekker was that, a</w:t>
      </w:r>
      <w:r w:rsidR="00036876">
        <w:rPr>
          <w:szCs w:val="25"/>
        </w:rPr>
        <w:t xml:space="preserve">lthough a trustee of the Bekker Trust, </w:t>
      </w:r>
      <w:r w:rsidR="00741BA8">
        <w:rPr>
          <w:szCs w:val="25"/>
        </w:rPr>
        <w:t xml:space="preserve">she did not have a copy of the trust deed.  </w:t>
      </w:r>
      <w:r w:rsidR="00036876">
        <w:rPr>
          <w:szCs w:val="25"/>
        </w:rPr>
        <w:t>Mrs</w:t>
      </w:r>
      <w:r w:rsidR="00741BA8">
        <w:rPr>
          <w:szCs w:val="25"/>
        </w:rPr>
        <w:t> </w:t>
      </w:r>
      <w:r w:rsidR="008A23F9">
        <w:rPr>
          <w:szCs w:val="25"/>
        </w:rPr>
        <w:t>F[...]</w:t>
      </w:r>
      <w:r w:rsidR="00036876">
        <w:rPr>
          <w:szCs w:val="25"/>
        </w:rPr>
        <w:t xml:space="preserve"> set out in some detail how she has sought a copy of the trust deed since February 2018, albeit to no avail.  </w:t>
      </w:r>
      <w:r w:rsidR="00036876">
        <w:rPr>
          <w:rStyle w:val="FootnoteReference"/>
          <w:szCs w:val="25"/>
        </w:rPr>
        <w:footnoteReference w:id="27"/>
      </w:r>
      <w:r w:rsidR="00036876">
        <w:rPr>
          <w:szCs w:val="25"/>
        </w:rPr>
        <w:t xml:space="preserve">  Her implication being that she has never had a copy thereof.  </w:t>
      </w:r>
      <w:r w:rsidR="00741BA8">
        <w:rPr>
          <w:szCs w:val="25"/>
        </w:rPr>
        <w:t>The fourth aspect of her</w:t>
      </w:r>
      <w:r w:rsidR="00036876">
        <w:rPr>
          <w:szCs w:val="25"/>
        </w:rPr>
        <w:t xml:space="preserve"> opposition is that Mr </w:t>
      </w:r>
      <w:r w:rsidR="008A23F9">
        <w:rPr>
          <w:szCs w:val="25"/>
        </w:rPr>
        <w:t>F[...]</w:t>
      </w:r>
      <w:r w:rsidR="00036876">
        <w:rPr>
          <w:szCs w:val="25"/>
        </w:rPr>
        <w:t xml:space="preserve"> </w:t>
      </w:r>
      <w:r w:rsidR="008A23F9">
        <w:rPr>
          <w:szCs w:val="25"/>
        </w:rPr>
        <w:t>G[...]</w:t>
      </w:r>
      <w:r w:rsidR="00036876">
        <w:rPr>
          <w:szCs w:val="25"/>
        </w:rPr>
        <w:t xml:space="preserve">, the second respondent, who was joined in his nominal capacity as a trustee of the Bekker Trust, had passed away on 28 May 2018, that is, shortly before this application was launched.  This, Mrs </w:t>
      </w:r>
      <w:r w:rsidR="008A23F9">
        <w:rPr>
          <w:szCs w:val="25"/>
        </w:rPr>
        <w:t>F[...]</w:t>
      </w:r>
      <w:r w:rsidR="00036876">
        <w:rPr>
          <w:szCs w:val="25"/>
        </w:rPr>
        <w:t xml:space="preserve"> contends may affect the ability of the trust to take a binding decision, depending on the provisions of the trust deed.  </w:t>
      </w:r>
      <w:r w:rsidR="00036876">
        <w:rPr>
          <w:rStyle w:val="FootnoteReference"/>
          <w:szCs w:val="25"/>
        </w:rPr>
        <w:footnoteReference w:id="28"/>
      </w:r>
    </w:p>
    <w:p w14:paraId="4B11C30D" w14:textId="529849B0" w:rsidR="00036876" w:rsidRDefault="00330F60" w:rsidP="00330F60">
      <w:pPr>
        <w:pStyle w:val="Indent"/>
        <w:numPr>
          <w:ilvl w:val="0"/>
          <w:numId w:val="0"/>
        </w:numPr>
        <w:ind w:left="850" w:hanging="850"/>
        <w:rPr>
          <w:szCs w:val="25"/>
        </w:rPr>
      </w:pPr>
      <w:r>
        <w:rPr>
          <w:szCs w:val="25"/>
        </w:rPr>
        <w:lastRenderedPageBreak/>
        <w:t>[14]</w:t>
      </w:r>
      <w:r>
        <w:rPr>
          <w:szCs w:val="25"/>
        </w:rPr>
        <w:tab/>
      </w:r>
      <w:r w:rsidR="00036876">
        <w:rPr>
          <w:szCs w:val="25"/>
        </w:rPr>
        <w:t xml:space="preserve">For the greatest part of her defence on the merits of this application, Mrs </w:t>
      </w:r>
      <w:r w:rsidR="008A23F9">
        <w:rPr>
          <w:szCs w:val="25"/>
        </w:rPr>
        <w:t>F[...]</w:t>
      </w:r>
      <w:r w:rsidR="00036876">
        <w:rPr>
          <w:szCs w:val="25"/>
        </w:rPr>
        <w:t xml:space="preserve"> contended that she cannot be blamed for anything she has failed to do in her capacity as a trustee, until such time as she has a copy of the trust deed.  </w:t>
      </w:r>
      <w:r w:rsidR="00036876">
        <w:rPr>
          <w:rStyle w:val="FootnoteReference"/>
          <w:szCs w:val="25"/>
        </w:rPr>
        <w:footnoteReference w:id="29"/>
      </w:r>
      <w:r w:rsidR="00163E10">
        <w:rPr>
          <w:szCs w:val="25"/>
        </w:rPr>
        <w:t xml:space="preserve">  </w:t>
      </w:r>
      <w:r w:rsidR="006C5D99">
        <w:rPr>
          <w:szCs w:val="25"/>
        </w:rPr>
        <w:t>This opposition does not impress me.  I shall return to this in respect of the issue of costs below.</w:t>
      </w:r>
    </w:p>
    <w:p w14:paraId="770D3733" w14:textId="56533EAD" w:rsidR="006C5D99" w:rsidRDefault="00330F60" w:rsidP="00330F60">
      <w:pPr>
        <w:pStyle w:val="Indent"/>
        <w:numPr>
          <w:ilvl w:val="0"/>
          <w:numId w:val="0"/>
        </w:numPr>
        <w:spacing w:after="240"/>
        <w:ind w:left="851" w:hanging="851"/>
        <w:rPr>
          <w:szCs w:val="25"/>
        </w:rPr>
      </w:pPr>
      <w:r>
        <w:rPr>
          <w:szCs w:val="25"/>
        </w:rPr>
        <w:t>[15]</w:t>
      </w:r>
      <w:r>
        <w:rPr>
          <w:szCs w:val="25"/>
        </w:rPr>
        <w:tab/>
      </w:r>
      <w:r w:rsidR="006C5D99">
        <w:rPr>
          <w:szCs w:val="25"/>
        </w:rPr>
        <w:t>I said above  </w:t>
      </w:r>
      <w:r w:rsidR="006C5D99">
        <w:rPr>
          <w:rStyle w:val="FootnoteReference"/>
          <w:szCs w:val="25"/>
        </w:rPr>
        <w:footnoteReference w:id="30"/>
      </w:r>
      <w:r w:rsidR="006C5D99">
        <w:rPr>
          <w:szCs w:val="25"/>
        </w:rPr>
        <w:t>  that I would return to the third requirement for a contempt order, namely, non-compliance with the order,  </w:t>
      </w:r>
      <w:r w:rsidR="006C5D99">
        <w:rPr>
          <w:rStyle w:val="FootnoteReference"/>
          <w:szCs w:val="25"/>
        </w:rPr>
        <w:footnoteReference w:id="31"/>
      </w:r>
      <w:r w:rsidR="006C5D99">
        <w:rPr>
          <w:szCs w:val="25"/>
        </w:rPr>
        <w:t>  which Mr </w:t>
      </w:r>
      <w:r w:rsidR="008A23F9">
        <w:rPr>
          <w:szCs w:val="25"/>
        </w:rPr>
        <w:t>F[...]</w:t>
      </w:r>
      <w:r w:rsidR="006C5D99">
        <w:rPr>
          <w:szCs w:val="25"/>
        </w:rPr>
        <w:t xml:space="preserve"> must prove beyond a reasonable doubt, if any credence is to be given to his prayers for Mrs </w:t>
      </w:r>
      <w:r w:rsidR="008A23F9">
        <w:rPr>
          <w:szCs w:val="25"/>
        </w:rPr>
        <w:t>F[...]</w:t>
      </w:r>
      <w:r w:rsidR="006C5D99">
        <w:rPr>
          <w:szCs w:val="25"/>
        </w:rPr>
        <w:t xml:space="preserve">’s committal, or on a balance of probabilities, if there is to be a declaratory order that she is in contempt.  On this aspect, Mrs </w:t>
      </w:r>
      <w:r w:rsidR="008A23F9">
        <w:rPr>
          <w:szCs w:val="25"/>
        </w:rPr>
        <w:t>F[...]</w:t>
      </w:r>
      <w:r w:rsidR="006C5D99">
        <w:rPr>
          <w:szCs w:val="25"/>
        </w:rPr>
        <w:t xml:space="preserve"> has addressed the issue head-on, as follows:  </w:t>
      </w:r>
      <w:r w:rsidR="006C5D99">
        <w:rPr>
          <w:rStyle w:val="FootnoteReference"/>
          <w:szCs w:val="25"/>
        </w:rPr>
        <w:footnoteReference w:id="32"/>
      </w:r>
    </w:p>
    <w:p w14:paraId="2F64C3CD" w14:textId="4D4A0C87" w:rsidR="006C5D99" w:rsidRPr="006C5D99" w:rsidRDefault="006C5D99" w:rsidP="006C5D99">
      <w:pPr>
        <w:pStyle w:val="Indent"/>
        <w:numPr>
          <w:ilvl w:val="0"/>
          <w:numId w:val="0"/>
        </w:numPr>
        <w:spacing w:before="240" w:line="240" w:lineRule="auto"/>
        <w:ind w:left="1440"/>
        <w:rPr>
          <w:sz w:val="23"/>
          <w:szCs w:val="23"/>
        </w:rPr>
      </w:pPr>
      <w:proofErr w:type="gramStart"/>
      <w:r w:rsidRPr="006C5D99">
        <w:rPr>
          <w:sz w:val="23"/>
          <w:szCs w:val="23"/>
        </w:rPr>
        <w:t>Furthermore</w:t>
      </w:r>
      <w:proofErr w:type="gramEnd"/>
      <w:r w:rsidRPr="006C5D99">
        <w:rPr>
          <w:sz w:val="23"/>
          <w:szCs w:val="23"/>
        </w:rPr>
        <w:t xml:space="preserve"> and most importantly I wish to refer to paragraph 4.7 which clearly states that my only obligation is to vacate the property for the prospective purchaser.  I do not have any other obligation in terms of the Deed of Settlement and it is clear that I cannot be held in contempt of Court as I have never refused to vacate the property for the purchaser thereof.</w:t>
      </w:r>
    </w:p>
    <w:p w14:paraId="2FC82F47" w14:textId="7BCF2F37" w:rsidR="006C5D99" w:rsidRDefault="00330F60" w:rsidP="00330F60">
      <w:pPr>
        <w:pStyle w:val="Indent"/>
        <w:numPr>
          <w:ilvl w:val="0"/>
          <w:numId w:val="0"/>
        </w:numPr>
        <w:ind w:left="850" w:hanging="850"/>
        <w:rPr>
          <w:szCs w:val="25"/>
        </w:rPr>
      </w:pPr>
      <w:r>
        <w:rPr>
          <w:szCs w:val="25"/>
        </w:rPr>
        <w:t>[16]</w:t>
      </w:r>
      <w:r>
        <w:rPr>
          <w:szCs w:val="25"/>
        </w:rPr>
        <w:tab/>
      </w:r>
      <w:r w:rsidR="006C5D99">
        <w:rPr>
          <w:szCs w:val="25"/>
        </w:rPr>
        <w:t xml:space="preserve">Although couched more as argument than as a factual assertion, the effect of this paragraph is factually to place in dispute that Mrs </w:t>
      </w:r>
      <w:r w:rsidR="008A23F9">
        <w:rPr>
          <w:szCs w:val="25"/>
        </w:rPr>
        <w:t>F[...]</w:t>
      </w:r>
      <w:r w:rsidR="006C5D99">
        <w:rPr>
          <w:szCs w:val="25"/>
        </w:rPr>
        <w:t xml:space="preserve"> has not complied with the order.  There is no basis for me to reject this </w:t>
      </w:r>
      <w:r w:rsidR="006C5D99">
        <w:rPr>
          <w:szCs w:val="25"/>
        </w:rPr>
        <w:lastRenderedPageBreak/>
        <w:t>factual version,  </w:t>
      </w:r>
      <w:r w:rsidR="006C5D99">
        <w:rPr>
          <w:rStyle w:val="FootnoteReference"/>
          <w:szCs w:val="25"/>
        </w:rPr>
        <w:footnoteReference w:id="33"/>
      </w:r>
      <w:r w:rsidR="006C5D99">
        <w:rPr>
          <w:szCs w:val="25"/>
        </w:rPr>
        <w:t xml:space="preserve">  which in effect has been given as an answer to no evidence on this aspect by Mr </w:t>
      </w:r>
      <w:r w:rsidR="008A23F9">
        <w:rPr>
          <w:szCs w:val="25"/>
        </w:rPr>
        <w:t>F[...]</w:t>
      </w:r>
      <w:r w:rsidR="006C5D99">
        <w:rPr>
          <w:szCs w:val="25"/>
        </w:rPr>
        <w:t>.  In this regard, I agree with Mrs</w:t>
      </w:r>
      <w:r w:rsidR="00741BA8">
        <w:rPr>
          <w:szCs w:val="25"/>
        </w:rPr>
        <w:t> </w:t>
      </w:r>
      <w:r w:rsidR="008A23F9">
        <w:rPr>
          <w:szCs w:val="25"/>
        </w:rPr>
        <w:t>F[...]</w:t>
      </w:r>
      <w:r w:rsidR="006C5D99">
        <w:rPr>
          <w:szCs w:val="25"/>
        </w:rPr>
        <w:t>.  When regard is had to the provisions of clause 8.3.3 of the settlement agreement,  </w:t>
      </w:r>
      <w:r w:rsidR="006C5D99">
        <w:rPr>
          <w:rStyle w:val="FootnoteReference"/>
          <w:szCs w:val="25"/>
        </w:rPr>
        <w:footnoteReference w:id="34"/>
      </w:r>
      <w:r w:rsidR="006C5D99">
        <w:rPr>
          <w:szCs w:val="25"/>
        </w:rPr>
        <w:t>  which have been referred to in paragraph 4.7 of Mr </w:t>
      </w:r>
      <w:r w:rsidR="008A23F9">
        <w:rPr>
          <w:szCs w:val="25"/>
        </w:rPr>
        <w:t>F[...]</w:t>
      </w:r>
      <w:r w:rsidR="006C5D99">
        <w:rPr>
          <w:szCs w:val="25"/>
        </w:rPr>
        <w:t>’s founding affidavit,  </w:t>
      </w:r>
      <w:r w:rsidR="006C5D99">
        <w:rPr>
          <w:rStyle w:val="FootnoteReference"/>
          <w:szCs w:val="25"/>
        </w:rPr>
        <w:footnoteReference w:id="35"/>
      </w:r>
      <w:r w:rsidR="006C5D99">
        <w:rPr>
          <w:szCs w:val="25"/>
        </w:rPr>
        <w:t xml:space="preserve">   there is no factual material in the founding papers to make out any case, not even on a balance of probabilities, that the immovable property has been sold and that Mrs </w:t>
      </w:r>
      <w:r w:rsidR="008A23F9">
        <w:rPr>
          <w:szCs w:val="25"/>
        </w:rPr>
        <w:t>F[...]</w:t>
      </w:r>
      <w:r w:rsidR="006C5D99">
        <w:rPr>
          <w:szCs w:val="25"/>
        </w:rPr>
        <w:t xml:space="preserve"> is, therefore, obliged to move out of the property</w:t>
      </w:r>
      <w:r w:rsidR="00741BA8">
        <w:rPr>
          <w:szCs w:val="25"/>
        </w:rPr>
        <w:t xml:space="preserve"> but has not done so, thereby establishing her non-compliance with the order</w:t>
      </w:r>
      <w:r w:rsidR="006C5D99">
        <w:rPr>
          <w:szCs w:val="25"/>
        </w:rPr>
        <w:t>.  She cannot, therefore, in her personal capacity, be found to be in contempt of the court order.  The third requirement for contempt is absent, even on a balance of probabilities.</w:t>
      </w:r>
    </w:p>
    <w:p w14:paraId="0553CD60" w14:textId="66559201" w:rsidR="006C5D99" w:rsidRDefault="00330F60" w:rsidP="00330F60">
      <w:pPr>
        <w:pStyle w:val="Indent"/>
        <w:numPr>
          <w:ilvl w:val="0"/>
          <w:numId w:val="0"/>
        </w:numPr>
        <w:ind w:left="850" w:hanging="850"/>
        <w:rPr>
          <w:szCs w:val="25"/>
        </w:rPr>
      </w:pPr>
      <w:r>
        <w:rPr>
          <w:szCs w:val="25"/>
        </w:rPr>
        <w:t>[17]</w:t>
      </w:r>
      <w:r>
        <w:rPr>
          <w:szCs w:val="25"/>
        </w:rPr>
        <w:tab/>
      </w:r>
      <w:r w:rsidR="006C5D99">
        <w:rPr>
          <w:szCs w:val="25"/>
        </w:rPr>
        <w:t xml:space="preserve">That there are no allegations that the property has been sold is no doubt owing to what the trustees of the Bekker Trust have not done.  Both Mr </w:t>
      </w:r>
      <w:r w:rsidR="008A23F9">
        <w:rPr>
          <w:szCs w:val="25"/>
        </w:rPr>
        <w:t>F[...]</w:t>
      </w:r>
      <w:r w:rsidR="006C5D99">
        <w:rPr>
          <w:szCs w:val="25"/>
        </w:rPr>
        <w:t xml:space="preserve"> and Mrs </w:t>
      </w:r>
      <w:r w:rsidR="008A23F9">
        <w:rPr>
          <w:szCs w:val="25"/>
        </w:rPr>
        <w:t>F[...]</w:t>
      </w:r>
      <w:r w:rsidR="006C5D99">
        <w:rPr>
          <w:szCs w:val="25"/>
        </w:rPr>
        <w:t xml:space="preserve"> are trustees of this trust, yet neither has uttered a word of what steps the trust has taken to place the immovable property for sale on the open market.</w:t>
      </w:r>
      <w:r w:rsidR="00741BA8">
        <w:rPr>
          <w:szCs w:val="25"/>
        </w:rPr>
        <w:t>  </w:t>
      </w:r>
      <w:r w:rsidR="00741BA8">
        <w:rPr>
          <w:rStyle w:val="FootnoteReference"/>
          <w:szCs w:val="25"/>
        </w:rPr>
        <w:footnoteReference w:id="36"/>
      </w:r>
      <w:r w:rsidR="006C5D99">
        <w:rPr>
          <w:szCs w:val="25"/>
        </w:rPr>
        <w:t xml:space="preserve">  Mrs </w:t>
      </w:r>
      <w:r w:rsidR="008A23F9">
        <w:rPr>
          <w:szCs w:val="25"/>
        </w:rPr>
        <w:t>F[...]</w:t>
      </w:r>
      <w:r w:rsidR="006C5D99">
        <w:rPr>
          <w:szCs w:val="25"/>
        </w:rPr>
        <w:t xml:space="preserve"> says that ‘[a]s a </w:t>
      </w:r>
      <w:r w:rsidR="006C5D99">
        <w:rPr>
          <w:szCs w:val="25"/>
        </w:rPr>
        <w:lastRenderedPageBreak/>
        <w:t>trustee [she has] not been invited to attend any meeting in this regard’.  </w:t>
      </w:r>
      <w:r w:rsidR="006C5D99">
        <w:rPr>
          <w:rStyle w:val="FootnoteReference"/>
          <w:szCs w:val="25"/>
        </w:rPr>
        <w:footnoteReference w:id="37"/>
      </w:r>
      <w:r w:rsidR="006C5D99">
        <w:rPr>
          <w:szCs w:val="25"/>
        </w:rPr>
        <w:t xml:space="preserve">  This exculpatory version is not good enough.  She has not said that she communicated with Mr </w:t>
      </w:r>
      <w:r w:rsidR="008A23F9">
        <w:rPr>
          <w:szCs w:val="25"/>
        </w:rPr>
        <w:t>G[...]</w:t>
      </w:r>
      <w:r w:rsidR="006C5D99">
        <w:rPr>
          <w:szCs w:val="25"/>
        </w:rPr>
        <w:t xml:space="preserve"> before he passed away, nor that she has communicated with Mr </w:t>
      </w:r>
      <w:r w:rsidR="008A23F9">
        <w:rPr>
          <w:szCs w:val="25"/>
        </w:rPr>
        <w:t>F[...]</w:t>
      </w:r>
      <w:r w:rsidR="006C5D99">
        <w:rPr>
          <w:szCs w:val="25"/>
        </w:rPr>
        <w:t>, to address that the property must be placed for sale on the open market by the trust.  Instead, she has been content to sit on her hands and stay in the immovable property.  </w:t>
      </w:r>
      <w:r w:rsidR="006C5D99">
        <w:rPr>
          <w:rStyle w:val="FootnoteReference"/>
          <w:szCs w:val="25"/>
        </w:rPr>
        <w:footnoteReference w:id="38"/>
      </w:r>
      <w:r w:rsidR="006C5D99">
        <w:rPr>
          <w:szCs w:val="25"/>
        </w:rPr>
        <w:t>  I have said that I do not think much of her refrain that she has no copy of the trust deed in her possession.  </w:t>
      </w:r>
      <w:r w:rsidR="006C5D99">
        <w:rPr>
          <w:rStyle w:val="FootnoteReference"/>
          <w:szCs w:val="25"/>
        </w:rPr>
        <w:footnoteReference w:id="39"/>
      </w:r>
      <w:r w:rsidR="006C5D99">
        <w:rPr>
          <w:szCs w:val="25"/>
        </w:rPr>
        <w:t xml:space="preserve">  If Mr </w:t>
      </w:r>
      <w:r w:rsidR="008A23F9">
        <w:rPr>
          <w:szCs w:val="25"/>
        </w:rPr>
        <w:t>F[...]</w:t>
      </w:r>
      <w:r w:rsidR="006C5D99">
        <w:rPr>
          <w:szCs w:val="25"/>
        </w:rPr>
        <w:t xml:space="preserve"> was uncooperative in this regard, an application compelling him to produce a copy thereof could have been brought by her and she could have sought similar relief against the master.</w:t>
      </w:r>
      <w:r w:rsidR="00741BA8">
        <w:rPr>
          <w:szCs w:val="25"/>
        </w:rPr>
        <w:t>  </w:t>
      </w:r>
      <w:r w:rsidR="00741BA8">
        <w:rPr>
          <w:rStyle w:val="FootnoteReference"/>
          <w:szCs w:val="25"/>
        </w:rPr>
        <w:footnoteReference w:id="40"/>
      </w:r>
      <w:r w:rsidR="006C5D99">
        <w:rPr>
          <w:szCs w:val="25"/>
        </w:rPr>
        <w:t xml:space="preserve">  I find her position on this point utterly unpersuasive.</w:t>
      </w:r>
    </w:p>
    <w:p w14:paraId="15CB0EED" w14:textId="7F1F142A" w:rsidR="006C5D99" w:rsidRDefault="00330F60" w:rsidP="00330F60">
      <w:pPr>
        <w:pStyle w:val="Indent"/>
        <w:numPr>
          <w:ilvl w:val="0"/>
          <w:numId w:val="0"/>
        </w:numPr>
        <w:ind w:left="850" w:hanging="850"/>
        <w:rPr>
          <w:szCs w:val="25"/>
        </w:rPr>
      </w:pPr>
      <w:r>
        <w:rPr>
          <w:szCs w:val="25"/>
        </w:rPr>
        <w:t>[18]</w:t>
      </w:r>
      <w:r>
        <w:rPr>
          <w:szCs w:val="25"/>
        </w:rPr>
        <w:tab/>
      </w:r>
      <w:r w:rsidR="006C5D99">
        <w:rPr>
          <w:szCs w:val="25"/>
        </w:rPr>
        <w:t xml:space="preserve">Unfortunately for Mr </w:t>
      </w:r>
      <w:r w:rsidR="008A23F9">
        <w:rPr>
          <w:szCs w:val="25"/>
        </w:rPr>
        <w:t>F[...]</w:t>
      </w:r>
      <w:r w:rsidR="006C5D99">
        <w:rPr>
          <w:szCs w:val="25"/>
        </w:rPr>
        <w:t xml:space="preserve">, he has misconstrued his legal position and remedies in this application.  </w:t>
      </w:r>
      <w:r w:rsidR="00711675">
        <w:rPr>
          <w:szCs w:val="25"/>
        </w:rPr>
        <w:t>He cannot seek to hold just Mrs </w:t>
      </w:r>
      <w:r w:rsidR="008A23F9">
        <w:rPr>
          <w:szCs w:val="25"/>
        </w:rPr>
        <w:t>F[...]</w:t>
      </w:r>
      <w:r w:rsidR="00711675">
        <w:rPr>
          <w:szCs w:val="25"/>
        </w:rPr>
        <w:t xml:space="preserve"> in contempt as one of the trustees of the Bekker Trust.  Either </w:t>
      </w:r>
      <w:proofErr w:type="gramStart"/>
      <w:r w:rsidR="00711675">
        <w:rPr>
          <w:szCs w:val="25"/>
        </w:rPr>
        <w:t>all of</w:t>
      </w:r>
      <w:proofErr w:type="gramEnd"/>
      <w:r w:rsidR="00711675">
        <w:rPr>
          <w:szCs w:val="25"/>
        </w:rPr>
        <w:t xml:space="preserve"> the trustees, which includes Mr </w:t>
      </w:r>
      <w:r w:rsidR="008A23F9">
        <w:rPr>
          <w:szCs w:val="25"/>
        </w:rPr>
        <w:t>F[...]</w:t>
      </w:r>
      <w:r w:rsidR="00711675">
        <w:rPr>
          <w:szCs w:val="25"/>
        </w:rPr>
        <w:t>, are in contempt of the order or none of them are.  Since there is no indication that Mr </w:t>
      </w:r>
      <w:r w:rsidR="008A23F9">
        <w:rPr>
          <w:szCs w:val="25"/>
        </w:rPr>
        <w:t>F[...]</w:t>
      </w:r>
      <w:r w:rsidR="00711675">
        <w:rPr>
          <w:szCs w:val="25"/>
        </w:rPr>
        <w:t xml:space="preserve">, as trustee, has attempted to call a meeting of the other trustees </w:t>
      </w:r>
      <w:proofErr w:type="gramStart"/>
      <w:r w:rsidR="00741BA8">
        <w:rPr>
          <w:szCs w:val="25"/>
        </w:rPr>
        <w:t>in order for</w:t>
      </w:r>
      <w:proofErr w:type="gramEnd"/>
      <w:r w:rsidR="00741BA8">
        <w:rPr>
          <w:szCs w:val="25"/>
        </w:rPr>
        <w:t xml:space="preserve"> them to </w:t>
      </w:r>
      <w:r w:rsidR="00741BA8">
        <w:rPr>
          <w:szCs w:val="25"/>
        </w:rPr>
        <w:lastRenderedPageBreak/>
        <w:t>resolve</w:t>
      </w:r>
      <w:r w:rsidR="00711675">
        <w:rPr>
          <w:szCs w:val="25"/>
        </w:rPr>
        <w:t xml:space="preserve"> to take steps to place the immovable property on the open market for sale, he is every bit as much to blame for the predicament he finds himself in</w:t>
      </w:r>
      <w:r w:rsidR="00741BA8">
        <w:rPr>
          <w:szCs w:val="25"/>
        </w:rPr>
        <w:t xml:space="preserve">, as Mrs </w:t>
      </w:r>
      <w:r w:rsidR="008A23F9">
        <w:rPr>
          <w:szCs w:val="25"/>
        </w:rPr>
        <w:t>F[...]</w:t>
      </w:r>
      <w:r w:rsidR="00741BA8">
        <w:rPr>
          <w:szCs w:val="25"/>
        </w:rPr>
        <w:t xml:space="preserve"> is</w:t>
      </w:r>
      <w:r w:rsidR="00711675">
        <w:rPr>
          <w:szCs w:val="25"/>
        </w:rPr>
        <w:t>.</w:t>
      </w:r>
      <w:r w:rsidR="007263F2">
        <w:rPr>
          <w:szCs w:val="25"/>
        </w:rPr>
        <w:t>  </w:t>
      </w:r>
      <w:r w:rsidR="007263F2">
        <w:rPr>
          <w:rStyle w:val="FootnoteReference"/>
          <w:szCs w:val="25"/>
        </w:rPr>
        <w:footnoteReference w:id="41"/>
      </w:r>
    </w:p>
    <w:p w14:paraId="0AF2447C" w14:textId="260DEBE2" w:rsidR="00D0148E" w:rsidRDefault="00330F60" w:rsidP="00330F60">
      <w:pPr>
        <w:pStyle w:val="Indent"/>
        <w:numPr>
          <w:ilvl w:val="0"/>
          <w:numId w:val="0"/>
        </w:numPr>
        <w:ind w:left="850" w:hanging="850"/>
        <w:rPr>
          <w:szCs w:val="25"/>
        </w:rPr>
      </w:pPr>
      <w:r>
        <w:rPr>
          <w:szCs w:val="25"/>
        </w:rPr>
        <w:t>[19]</w:t>
      </w:r>
      <w:r>
        <w:rPr>
          <w:szCs w:val="25"/>
        </w:rPr>
        <w:tab/>
      </w:r>
      <w:r w:rsidR="00D0148E">
        <w:rPr>
          <w:szCs w:val="25"/>
        </w:rPr>
        <w:t xml:space="preserve">It is apparent that both Mr </w:t>
      </w:r>
      <w:r w:rsidR="008A23F9">
        <w:rPr>
          <w:szCs w:val="25"/>
        </w:rPr>
        <w:t>F[...]</w:t>
      </w:r>
      <w:r w:rsidR="00D0148E">
        <w:rPr>
          <w:szCs w:val="25"/>
        </w:rPr>
        <w:t xml:space="preserve"> and Mrs </w:t>
      </w:r>
      <w:r w:rsidR="008A23F9">
        <w:rPr>
          <w:szCs w:val="25"/>
        </w:rPr>
        <w:t>F[...]</w:t>
      </w:r>
      <w:r w:rsidR="00D0148E">
        <w:rPr>
          <w:szCs w:val="25"/>
        </w:rPr>
        <w:t xml:space="preserve"> have attempted to obtain a copy of the trust deed from the Master.  </w:t>
      </w:r>
      <w:r w:rsidR="00D0148E">
        <w:rPr>
          <w:rStyle w:val="FootnoteReference"/>
          <w:szCs w:val="25"/>
        </w:rPr>
        <w:footnoteReference w:id="42"/>
      </w:r>
      <w:r w:rsidR="00D0148E">
        <w:rPr>
          <w:szCs w:val="25"/>
        </w:rPr>
        <w:t xml:space="preserve">  These attempts, on these papers, do not appear to have produced the desired approach.  Clearly the time has come to compel the master to produce the trust deed, which neither Mr </w:t>
      </w:r>
      <w:r w:rsidR="008A23F9">
        <w:rPr>
          <w:szCs w:val="25"/>
        </w:rPr>
        <w:t>F[...]</w:t>
      </w:r>
      <w:r w:rsidR="00D0148E">
        <w:rPr>
          <w:szCs w:val="25"/>
        </w:rPr>
        <w:t xml:space="preserve"> nor Mrs </w:t>
      </w:r>
      <w:r w:rsidR="008A23F9">
        <w:rPr>
          <w:szCs w:val="25"/>
        </w:rPr>
        <w:t>F[...]</w:t>
      </w:r>
      <w:r w:rsidR="00D0148E">
        <w:rPr>
          <w:szCs w:val="25"/>
        </w:rPr>
        <w:t xml:space="preserve"> appear to have in their possession.  </w:t>
      </w:r>
      <w:r w:rsidR="00D0148E">
        <w:rPr>
          <w:rStyle w:val="FootnoteReference"/>
          <w:szCs w:val="25"/>
        </w:rPr>
        <w:footnoteReference w:id="43"/>
      </w:r>
      <w:r w:rsidR="00D0148E">
        <w:rPr>
          <w:szCs w:val="25"/>
        </w:rPr>
        <w:t xml:space="preserve">  Some effort was expended in both the answering </w:t>
      </w:r>
      <w:r w:rsidR="00D0148E">
        <w:rPr>
          <w:szCs w:val="25"/>
        </w:rPr>
        <w:lastRenderedPageBreak/>
        <w:t>papers  </w:t>
      </w:r>
      <w:r w:rsidR="00D0148E">
        <w:rPr>
          <w:rStyle w:val="FootnoteReference"/>
          <w:szCs w:val="25"/>
        </w:rPr>
        <w:footnoteReference w:id="44"/>
      </w:r>
      <w:r w:rsidR="00D0148E">
        <w:rPr>
          <w:szCs w:val="25"/>
        </w:rPr>
        <w:t>  and the replying papers  </w:t>
      </w:r>
      <w:r w:rsidR="00D0148E">
        <w:rPr>
          <w:rStyle w:val="FootnoteReference"/>
          <w:szCs w:val="25"/>
        </w:rPr>
        <w:footnoteReference w:id="45"/>
      </w:r>
      <w:r w:rsidR="00D0148E">
        <w:rPr>
          <w:szCs w:val="25"/>
        </w:rPr>
        <w:t xml:space="preserve">  to reason on a balance of probabilities who the income and capital beneficiaries of the trust might be and </w:t>
      </w:r>
      <w:proofErr w:type="gramStart"/>
      <w:r w:rsidR="00D0148E">
        <w:rPr>
          <w:szCs w:val="25"/>
        </w:rPr>
        <w:t>whether or not</w:t>
      </w:r>
      <w:proofErr w:type="gramEnd"/>
      <w:r w:rsidR="00D0148E">
        <w:rPr>
          <w:szCs w:val="25"/>
        </w:rPr>
        <w:t xml:space="preserve"> they might have accepted the benefits conferred upon them.  This in truth is nothing more than speculation, which must be resolved upon the production of the trust deed, which will, no doubt, set out who the trust income and capital beneficiaries are.</w:t>
      </w:r>
    </w:p>
    <w:p w14:paraId="4A9260F1" w14:textId="451086BD" w:rsidR="00D0148E" w:rsidRDefault="00330F60" w:rsidP="00330F60">
      <w:pPr>
        <w:pStyle w:val="Indent"/>
        <w:numPr>
          <w:ilvl w:val="0"/>
          <w:numId w:val="0"/>
        </w:numPr>
        <w:ind w:left="850" w:hanging="850"/>
        <w:rPr>
          <w:szCs w:val="25"/>
        </w:rPr>
      </w:pPr>
      <w:r>
        <w:rPr>
          <w:szCs w:val="25"/>
        </w:rPr>
        <w:t>[20]</w:t>
      </w:r>
      <w:r>
        <w:rPr>
          <w:szCs w:val="25"/>
        </w:rPr>
        <w:tab/>
      </w:r>
      <w:r w:rsidR="00D0148E">
        <w:rPr>
          <w:szCs w:val="25"/>
        </w:rPr>
        <w:t>The production of the trust deed is, in my view, important to both Mr </w:t>
      </w:r>
      <w:r w:rsidR="008A23F9">
        <w:rPr>
          <w:szCs w:val="25"/>
        </w:rPr>
        <w:t>F[...]</w:t>
      </w:r>
      <w:r w:rsidR="00D0148E">
        <w:rPr>
          <w:szCs w:val="25"/>
        </w:rPr>
        <w:t xml:space="preserve"> and Mrs </w:t>
      </w:r>
      <w:r w:rsidR="008A23F9">
        <w:rPr>
          <w:szCs w:val="25"/>
        </w:rPr>
        <w:t>F[...]</w:t>
      </w:r>
      <w:r w:rsidR="00D0148E">
        <w:rPr>
          <w:szCs w:val="25"/>
        </w:rPr>
        <w:t>, who are both still trustees.  As such, they will likely have obligations in terms of the trust deed, which obligations they need to be aware of, in addition to their obligations in terms of the Trust Property Control Act,  </w:t>
      </w:r>
      <w:r w:rsidR="00D0148E">
        <w:rPr>
          <w:rStyle w:val="FootnoteReference"/>
          <w:szCs w:val="25"/>
        </w:rPr>
        <w:footnoteReference w:id="46"/>
      </w:r>
      <w:r w:rsidR="00D0148E">
        <w:rPr>
          <w:szCs w:val="25"/>
        </w:rPr>
        <w:t xml:space="preserve">  such as those prescribed in s 9 thereof.  If it appears to either Mr </w:t>
      </w:r>
      <w:r w:rsidR="008A23F9">
        <w:rPr>
          <w:szCs w:val="25"/>
        </w:rPr>
        <w:t>F[...]</w:t>
      </w:r>
      <w:r w:rsidR="00D0148E">
        <w:rPr>
          <w:szCs w:val="25"/>
        </w:rPr>
        <w:t xml:space="preserve"> or Mrs </w:t>
      </w:r>
      <w:r w:rsidR="008A23F9">
        <w:rPr>
          <w:szCs w:val="25"/>
        </w:rPr>
        <w:t>F[...]</w:t>
      </w:r>
      <w:r w:rsidR="00D0148E">
        <w:rPr>
          <w:szCs w:val="25"/>
        </w:rPr>
        <w:t xml:space="preserve"> that the other is not discharging their duties as a trustee, for example, by refusing to take steps to sell the immovable property owned by the Bekker Trust, then he or she may be entitled to approach the court in terms of s 19(1) for an order directing the delinquent trustee to discharge his or her duty, or he or she may be entitled to apply to the master in terms of s 20(2)(e) for the delinquent trustee’s removal, or he or she may be entitled to apply to court in terms of s 20(1) for the such removal.</w:t>
      </w:r>
    </w:p>
    <w:p w14:paraId="004E6082" w14:textId="40CAF472" w:rsidR="00D0148E" w:rsidRDefault="00330F60" w:rsidP="00330F60">
      <w:pPr>
        <w:pStyle w:val="Indent"/>
        <w:numPr>
          <w:ilvl w:val="0"/>
          <w:numId w:val="0"/>
        </w:numPr>
        <w:ind w:left="850" w:hanging="850"/>
        <w:rPr>
          <w:szCs w:val="25"/>
        </w:rPr>
      </w:pPr>
      <w:r>
        <w:rPr>
          <w:szCs w:val="25"/>
        </w:rPr>
        <w:lastRenderedPageBreak/>
        <w:t>[21]</w:t>
      </w:r>
      <w:r>
        <w:rPr>
          <w:szCs w:val="25"/>
        </w:rPr>
        <w:tab/>
      </w:r>
      <w:r w:rsidR="00D0148E">
        <w:rPr>
          <w:szCs w:val="25"/>
        </w:rPr>
        <w:t>A contempt application in the present circumstances</w:t>
      </w:r>
      <w:r w:rsidR="00817336">
        <w:rPr>
          <w:szCs w:val="25"/>
        </w:rPr>
        <w:t>, however,</w:t>
      </w:r>
      <w:r w:rsidR="00D0148E">
        <w:rPr>
          <w:szCs w:val="25"/>
        </w:rPr>
        <w:t xml:space="preserve"> cannot succeed.  There is simply no case on these papers to hold Mrs </w:t>
      </w:r>
      <w:r w:rsidR="008A23F9">
        <w:rPr>
          <w:szCs w:val="25"/>
        </w:rPr>
        <w:t>F[...]</w:t>
      </w:r>
      <w:r w:rsidR="00D0148E">
        <w:rPr>
          <w:szCs w:val="25"/>
        </w:rPr>
        <w:t xml:space="preserve"> in contempt, either on a balance of probabilities for purposes of granting a declaratory order, or beyond a reasonable doubt for purposes of a committal order.</w:t>
      </w:r>
    </w:p>
    <w:p w14:paraId="5DE6606D" w14:textId="67A1AF32" w:rsidR="007D0514" w:rsidRDefault="00330F60" w:rsidP="00330F60">
      <w:pPr>
        <w:pStyle w:val="Indent"/>
        <w:numPr>
          <w:ilvl w:val="0"/>
          <w:numId w:val="0"/>
        </w:numPr>
        <w:ind w:left="850" w:hanging="850"/>
        <w:rPr>
          <w:szCs w:val="25"/>
        </w:rPr>
      </w:pPr>
      <w:r>
        <w:rPr>
          <w:szCs w:val="25"/>
        </w:rPr>
        <w:t>[22]</w:t>
      </w:r>
      <w:r>
        <w:rPr>
          <w:szCs w:val="25"/>
        </w:rPr>
        <w:tab/>
      </w:r>
      <w:r w:rsidR="00D0148E">
        <w:rPr>
          <w:szCs w:val="25"/>
        </w:rPr>
        <w:t>While I am obliged to adjudicate the disputes on the papers as the parties have formulated them,  </w:t>
      </w:r>
      <w:r w:rsidR="00D0148E">
        <w:rPr>
          <w:rStyle w:val="FootnoteReference"/>
          <w:szCs w:val="25"/>
        </w:rPr>
        <w:footnoteReference w:id="47"/>
      </w:r>
      <w:r w:rsidR="00D0148E">
        <w:rPr>
          <w:szCs w:val="25"/>
        </w:rPr>
        <w:t xml:space="preserve">  I am not constrained </w:t>
      </w:r>
      <w:r w:rsidR="007D0514">
        <w:rPr>
          <w:szCs w:val="25"/>
        </w:rPr>
        <w:t>when</w:t>
      </w:r>
      <w:r w:rsidR="00D0148E">
        <w:rPr>
          <w:szCs w:val="25"/>
        </w:rPr>
        <w:t xml:space="preserve"> passing comment on what is clearly at play between Mr </w:t>
      </w:r>
      <w:r w:rsidR="008A23F9">
        <w:rPr>
          <w:szCs w:val="25"/>
        </w:rPr>
        <w:t>F[...]</w:t>
      </w:r>
      <w:r w:rsidR="00D0148E">
        <w:rPr>
          <w:szCs w:val="25"/>
        </w:rPr>
        <w:t xml:space="preserve"> and Mrs </w:t>
      </w:r>
      <w:r w:rsidR="008A23F9">
        <w:rPr>
          <w:szCs w:val="25"/>
        </w:rPr>
        <w:t>F[...]</w:t>
      </w:r>
      <w:r w:rsidR="00D0148E">
        <w:rPr>
          <w:szCs w:val="25"/>
        </w:rPr>
        <w:t xml:space="preserve">, since this affects, along with other considerations, the exercise of my discretion on costs.  It clearly suits Mrs </w:t>
      </w:r>
      <w:r w:rsidR="008A23F9">
        <w:rPr>
          <w:szCs w:val="25"/>
        </w:rPr>
        <w:t>F[...]</w:t>
      </w:r>
      <w:r w:rsidR="00D0148E">
        <w:rPr>
          <w:szCs w:val="25"/>
        </w:rPr>
        <w:t xml:space="preserve"> for the </w:t>
      </w:r>
      <w:r w:rsidR="00D0148E" w:rsidRPr="00D0148E">
        <w:rPr>
          <w:i/>
          <w:iCs/>
          <w:szCs w:val="25"/>
        </w:rPr>
        <w:t>status quo</w:t>
      </w:r>
      <w:r w:rsidR="00D0148E">
        <w:rPr>
          <w:szCs w:val="25"/>
        </w:rPr>
        <w:t xml:space="preserve"> to remain as long as possible,</w:t>
      </w:r>
      <w:r w:rsidR="007D0514">
        <w:rPr>
          <w:szCs w:val="25"/>
        </w:rPr>
        <w:t>  </w:t>
      </w:r>
      <w:r w:rsidR="007D0514">
        <w:rPr>
          <w:rStyle w:val="FootnoteReference"/>
          <w:szCs w:val="25"/>
        </w:rPr>
        <w:footnoteReference w:id="48"/>
      </w:r>
      <w:r w:rsidR="007D0514">
        <w:rPr>
          <w:szCs w:val="25"/>
        </w:rPr>
        <w:t> </w:t>
      </w:r>
      <w:r w:rsidR="00D0148E">
        <w:rPr>
          <w:szCs w:val="25"/>
        </w:rPr>
        <w:t xml:space="preserve"> since she has the use of the immovable property and only upon its sale will the nett proceeds need to be split between her and Mr </w:t>
      </w:r>
      <w:r w:rsidR="008A23F9">
        <w:rPr>
          <w:szCs w:val="25"/>
        </w:rPr>
        <w:t>F[...]</w:t>
      </w:r>
      <w:r w:rsidR="00D0148E">
        <w:rPr>
          <w:szCs w:val="25"/>
        </w:rPr>
        <w:t>,</w:t>
      </w:r>
      <w:r w:rsidR="007D0514">
        <w:rPr>
          <w:szCs w:val="25"/>
        </w:rPr>
        <w:t>  </w:t>
      </w:r>
      <w:r w:rsidR="007D0514">
        <w:rPr>
          <w:rStyle w:val="FootnoteReference"/>
          <w:szCs w:val="25"/>
        </w:rPr>
        <w:footnoteReference w:id="49"/>
      </w:r>
      <w:r w:rsidR="007D0514">
        <w:rPr>
          <w:szCs w:val="25"/>
        </w:rPr>
        <w:t> </w:t>
      </w:r>
      <w:r w:rsidR="00D0148E">
        <w:rPr>
          <w:szCs w:val="25"/>
        </w:rPr>
        <w:t xml:space="preserve"> who says he is unemployed.</w:t>
      </w:r>
      <w:r w:rsidR="007D0514">
        <w:rPr>
          <w:szCs w:val="25"/>
        </w:rPr>
        <w:t>  </w:t>
      </w:r>
      <w:r w:rsidR="007D0514">
        <w:rPr>
          <w:rStyle w:val="FootnoteReference"/>
          <w:szCs w:val="25"/>
        </w:rPr>
        <w:footnoteReference w:id="50"/>
      </w:r>
      <w:r w:rsidR="00D0148E">
        <w:rPr>
          <w:szCs w:val="25"/>
        </w:rPr>
        <w:t xml:space="preserve">   </w:t>
      </w:r>
    </w:p>
    <w:p w14:paraId="3132FC7E" w14:textId="70F0F987" w:rsidR="00D0148E" w:rsidRDefault="00330F60" w:rsidP="00330F60">
      <w:pPr>
        <w:pStyle w:val="Indent"/>
        <w:numPr>
          <w:ilvl w:val="0"/>
          <w:numId w:val="0"/>
        </w:numPr>
        <w:ind w:left="850" w:hanging="850"/>
        <w:rPr>
          <w:szCs w:val="25"/>
        </w:rPr>
      </w:pPr>
      <w:r>
        <w:rPr>
          <w:szCs w:val="25"/>
        </w:rPr>
        <w:t>[23]</w:t>
      </w:r>
      <w:r>
        <w:rPr>
          <w:szCs w:val="25"/>
        </w:rPr>
        <w:tab/>
      </w:r>
      <w:r w:rsidR="007D0514">
        <w:rPr>
          <w:szCs w:val="25"/>
        </w:rPr>
        <w:t xml:space="preserve">Mrs </w:t>
      </w:r>
      <w:r w:rsidR="008A23F9">
        <w:rPr>
          <w:szCs w:val="25"/>
        </w:rPr>
        <w:t>F[...]</w:t>
      </w:r>
      <w:r w:rsidR="007D0514">
        <w:rPr>
          <w:szCs w:val="25"/>
        </w:rPr>
        <w:t xml:space="preserve"> is entitled to meet only the case that is put up, which she has done, but the intention behind the settlement agreement is clear.  The </w:t>
      </w:r>
      <w:r w:rsidR="007D0514">
        <w:rPr>
          <w:szCs w:val="25"/>
        </w:rPr>
        <w:lastRenderedPageBreak/>
        <w:t xml:space="preserve">immovable property was to serve as the home for Mr </w:t>
      </w:r>
      <w:r w:rsidR="008A23F9">
        <w:rPr>
          <w:szCs w:val="25"/>
        </w:rPr>
        <w:t>F[...]</w:t>
      </w:r>
      <w:r w:rsidR="007D0514">
        <w:rPr>
          <w:szCs w:val="25"/>
        </w:rPr>
        <w:t xml:space="preserve">’s and Mrs </w:t>
      </w:r>
      <w:r w:rsidR="008A23F9">
        <w:rPr>
          <w:szCs w:val="25"/>
        </w:rPr>
        <w:t>F[...]</w:t>
      </w:r>
      <w:r w:rsidR="007D0514">
        <w:rPr>
          <w:szCs w:val="25"/>
        </w:rPr>
        <w:t xml:space="preserve">’s children until they had grown up.  This has happened.  Mr </w:t>
      </w:r>
      <w:r w:rsidR="008A23F9">
        <w:rPr>
          <w:szCs w:val="25"/>
        </w:rPr>
        <w:t>F[...]</w:t>
      </w:r>
      <w:r w:rsidR="007D0514">
        <w:rPr>
          <w:szCs w:val="25"/>
        </w:rPr>
        <w:t xml:space="preserve"> delayed receipt of his half-share of the nett proceeds of the sale of the property, until his children had grown up.  It is time for the trustees of the Bekker Trust, who at present appear to be only Mr </w:t>
      </w:r>
      <w:r w:rsidR="008A23F9">
        <w:rPr>
          <w:szCs w:val="25"/>
        </w:rPr>
        <w:t>F[...]</w:t>
      </w:r>
      <w:r w:rsidR="007D0514">
        <w:rPr>
          <w:szCs w:val="25"/>
        </w:rPr>
        <w:t xml:space="preserve"> and Mrs </w:t>
      </w:r>
      <w:r w:rsidR="008A23F9">
        <w:rPr>
          <w:szCs w:val="25"/>
        </w:rPr>
        <w:t>F[...]</w:t>
      </w:r>
      <w:r w:rsidR="007D0514">
        <w:rPr>
          <w:szCs w:val="25"/>
        </w:rPr>
        <w:t xml:space="preserve">, to sell the immovable property and divide the nett proceeds.  Hopefully, without further court intervention.  If this does not happen, Mrs </w:t>
      </w:r>
      <w:r w:rsidR="008A23F9">
        <w:rPr>
          <w:szCs w:val="25"/>
        </w:rPr>
        <w:t>F[...]</w:t>
      </w:r>
      <w:r w:rsidR="007D0514">
        <w:rPr>
          <w:szCs w:val="25"/>
        </w:rPr>
        <w:t xml:space="preserve"> potentially stands to lose a significant portion of her half-share </w:t>
      </w:r>
      <w:r w:rsidR="00817336">
        <w:rPr>
          <w:szCs w:val="25"/>
        </w:rPr>
        <w:t>of</w:t>
      </w:r>
      <w:r w:rsidR="007D0514">
        <w:rPr>
          <w:szCs w:val="25"/>
        </w:rPr>
        <w:t xml:space="preserve"> the nett </w:t>
      </w:r>
      <w:proofErr w:type="gramStart"/>
      <w:r w:rsidR="007D0514">
        <w:rPr>
          <w:szCs w:val="25"/>
        </w:rPr>
        <w:t>proceeds, if</w:t>
      </w:r>
      <w:proofErr w:type="gramEnd"/>
      <w:r w:rsidR="007D0514">
        <w:rPr>
          <w:szCs w:val="25"/>
        </w:rPr>
        <w:t xml:space="preserve"> a costs order is granted against her in Mr </w:t>
      </w:r>
      <w:r w:rsidR="008A23F9">
        <w:rPr>
          <w:szCs w:val="25"/>
        </w:rPr>
        <w:t>F[...]</w:t>
      </w:r>
      <w:r w:rsidR="007D0514">
        <w:rPr>
          <w:szCs w:val="25"/>
        </w:rPr>
        <w:t>’s favour in future litigation.  This would be unfortunate, given their respective ages, if the identity numbers in the papers are correct, since both are close to retirement age and the proceeds of the sale would doubtlessly serve to sustain them in the future.</w:t>
      </w:r>
    </w:p>
    <w:p w14:paraId="3827A934" w14:textId="68BE8B40" w:rsidR="007D0514" w:rsidRDefault="00330F60" w:rsidP="00330F60">
      <w:pPr>
        <w:pStyle w:val="Indent"/>
        <w:numPr>
          <w:ilvl w:val="0"/>
          <w:numId w:val="0"/>
        </w:numPr>
        <w:ind w:left="850" w:hanging="850"/>
        <w:rPr>
          <w:szCs w:val="25"/>
        </w:rPr>
      </w:pPr>
      <w:r>
        <w:rPr>
          <w:szCs w:val="25"/>
        </w:rPr>
        <w:t>[24]</w:t>
      </w:r>
      <w:r>
        <w:rPr>
          <w:szCs w:val="25"/>
        </w:rPr>
        <w:tab/>
      </w:r>
      <w:r w:rsidR="007D0514">
        <w:rPr>
          <w:szCs w:val="25"/>
        </w:rPr>
        <w:t xml:space="preserve">Although Mr </w:t>
      </w:r>
      <w:r w:rsidR="008A23F9">
        <w:rPr>
          <w:szCs w:val="25"/>
        </w:rPr>
        <w:t>F[...]</w:t>
      </w:r>
      <w:r w:rsidR="007D0514">
        <w:rPr>
          <w:szCs w:val="25"/>
        </w:rPr>
        <w:t xml:space="preserve"> has sought some very loosely formulate</w:t>
      </w:r>
      <w:r w:rsidR="00817336">
        <w:rPr>
          <w:szCs w:val="25"/>
        </w:rPr>
        <w:t>d</w:t>
      </w:r>
      <w:r w:rsidR="007D0514">
        <w:rPr>
          <w:szCs w:val="25"/>
        </w:rPr>
        <w:t xml:space="preserve"> relief, such as ‘further and alternative conditions as the honourable Court may direct’  </w:t>
      </w:r>
      <w:r w:rsidR="007D0514">
        <w:rPr>
          <w:rStyle w:val="FootnoteReference"/>
          <w:szCs w:val="25"/>
        </w:rPr>
        <w:footnoteReference w:id="51"/>
      </w:r>
      <w:r w:rsidR="007D0514">
        <w:rPr>
          <w:szCs w:val="25"/>
        </w:rPr>
        <w:t>  and ‘further and/or alternative relief’,  </w:t>
      </w:r>
      <w:r w:rsidR="007D0514">
        <w:rPr>
          <w:rStyle w:val="FootnoteReference"/>
          <w:szCs w:val="25"/>
        </w:rPr>
        <w:footnoteReference w:id="52"/>
      </w:r>
      <w:r w:rsidR="007D0514">
        <w:rPr>
          <w:szCs w:val="25"/>
        </w:rPr>
        <w:t>  these formulations are too vague to sustain the granting of any specific relief.</w:t>
      </w:r>
    </w:p>
    <w:p w14:paraId="7C153F37" w14:textId="00FF99DE" w:rsidR="007D0514" w:rsidRPr="001F60C4" w:rsidRDefault="00330F60" w:rsidP="00330F60">
      <w:pPr>
        <w:pStyle w:val="Indent"/>
        <w:numPr>
          <w:ilvl w:val="0"/>
          <w:numId w:val="0"/>
        </w:numPr>
        <w:ind w:left="850" w:hanging="850"/>
        <w:rPr>
          <w:szCs w:val="25"/>
        </w:rPr>
      </w:pPr>
      <w:r w:rsidRPr="001F60C4">
        <w:rPr>
          <w:szCs w:val="25"/>
        </w:rPr>
        <w:t>[25]</w:t>
      </w:r>
      <w:r w:rsidRPr="001F60C4">
        <w:rPr>
          <w:szCs w:val="25"/>
        </w:rPr>
        <w:tab/>
      </w:r>
      <w:r w:rsidR="007D0514">
        <w:rPr>
          <w:szCs w:val="25"/>
        </w:rPr>
        <w:t xml:space="preserve">Mr </w:t>
      </w:r>
      <w:r w:rsidR="008A23F9">
        <w:rPr>
          <w:szCs w:val="25"/>
        </w:rPr>
        <w:t>F[...]</w:t>
      </w:r>
      <w:r w:rsidR="007D0514">
        <w:rPr>
          <w:szCs w:val="25"/>
        </w:rPr>
        <w:t xml:space="preserve"> has failed to establish the third requirement for contempt, that of Mrs </w:t>
      </w:r>
      <w:r w:rsidR="008A23F9">
        <w:rPr>
          <w:szCs w:val="25"/>
        </w:rPr>
        <w:t>F[...]</w:t>
      </w:r>
      <w:r w:rsidR="007D0514">
        <w:rPr>
          <w:szCs w:val="25"/>
        </w:rPr>
        <w:t xml:space="preserve">’s non-compliance with the order.  The application must fail.  </w:t>
      </w:r>
      <w:r w:rsidR="007D0514">
        <w:rPr>
          <w:szCs w:val="25"/>
        </w:rPr>
        <w:lastRenderedPageBreak/>
        <w:t xml:space="preserve">Mrs </w:t>
      </w:r>
      <w:r w:rsidR="008A23F9">
        <w:rPr>
          <w:szCs w:val="25"/>
        </w:rPr>
        <w:t>F[...]</w:t>
      </w:r>
      <w:r w:rsidR="007D0514">
        <w:rPr>
          <w:szCs w:val="25"/>
        </w:rPr>
        <w:t xml:space="preserve"> has been substantially successful in her opposition and that would ordinarily entitle her to her costs.  </w:t>
      </w:r>
      <w:proofErr w:type="gramStart"/>
      <w:r w:rsidR="007D0514">
        <w:rPr>
          <w:szCs w:val="25"/>
        </w:rPr>
        <w:t>But,</w:t>
      </w:r>
      <w:proofErr w:type="gramEnd"/>
      <w:r w:rsidR="007D0514">
        <w:rPr>
          <w:szCs w:val="25"/>
        </w:rPr>
        <w:t xml:space="preserve"> I have decided not to award them to her.  Apart from her uncooperative behaviour, as a trustee</w:t>
      </w:r>
      <w:r w:rsidR="00817336">
        <w:rPr>
          <w:szCs w:val="25"/>
        </w:rPr>
        <w:t>,</w:t>
      </w:r>
      <w:r w:rsidR="007D0514">
        <w:rPr>
          <w:szCs w:val="25"/>
        </w:rPr>
        <w:t xml:space="preserve"> in </w:t>
      </w:r>
      <w:r w:rsidR="00817336">
        <w:rPr>
          <w:szCs w:val="25"/>
        </w:rPr>
        <w:t xml:space="preserve">failing to </w:t>
      </w:r>
      <w:r w:rsidR="007D0514">
        <w:rPr>
          <w:szCs w:val="25"/>
        </w:rPr>
        <w:t>arrang</w:t>
      </w:r>
      <w:r w:rsidR="00817336">
        <w:rPr>
          <w:szCs w:val="25"/>
        </w:rPr>
        <w:t>e</w:t>
      </w:r>
      <w:r w:rsidR="007D0514">
        <w:rPr>
          <w:szCs w:val="25"/>
        </w:rPr>
        <w:t xml:space="preserve"> with the other trustee, Mr</w:t>
      </w:r>
      <w:r w:rsidR="009D39C3">
        <w:rPr>
          <w:szCs w:val="25"/>
        </w:rPr>
        <w:t> </w:t>
      </w:r>
      <w:r w:rsidR="008A23F9">
        <w:rPr>
          <w:szCs w:val="25"/>
        </w:rPr>
        <w:t>F[...]</w:t>
      </w:r>
      <w:r w:rsidR="007D0514">
        <w:rPr>
          <w:szCs w:val="25"/>
        </w:rPr>
        <w:t xml:space="preserve">, for the immovable property to be placed on the open market so that it can be sold, Mrs </w:t>
      </w:r>
      <w:r w:rsidR="008A23F9">
        <w:rPr>
          <w:szCs w:val="25"/>
        </w:rPr>
        <w:t>F[...]</w:t>
      </w:r>
      <w:r w:rsidR="007D0514">
        <w:rPr>
          <w:szCs w:val="25"/>
        </w:rPr>
        <w:t xml:space="preserve"> raised two unsuccessful points </w:t>
      </w:r>
      <w:r w:rsidR="007D0514" w:rsidRPr="007D0514">
        <w:rPr>
          <w:i/>
          <w:iCs/>
          <w:szCs w:val="25"/>
        </w:rPr>
        <w:t xml:space="preserve">in </w:t>
      </w:r>
      <w:proofErr w:type="spellStart"/>
      <w:r w:rsidR="007D0514" w:rsidRPr="007D0514">
        <w:rPr>
          <w:i/>
          <w:iCs/>
          <w:szCs w:val="25"/>
        </w:rPr>
        <w:t>limine</w:t>
      </w:r>
      <w:proofErr w:type="spellEnd"/>
      <w:r w:rsidR="007D0514">
        <w:rPr>
          <w:szCs w:val="25"/>
        </w:rPr>
        <w:t xml:space="preserve">, that Mr </w:t>
      </w:r>
      <w:r w:rsidR="008A23F9">
        <w:rPr>
          <w:szCs w:val="25"/>
        </w:rPr>
        <w:t>G[...]</w:t>
      </w:r>
      <w:r w:rsidR="007D0514">
        <w:rPr>
          <w:szCs w:val="25"/>
        </w:rPr>
        <w:t xml:space="preserve"> had passed away, which seems irrelevant to what is actually in dispute, and that she requires a copy of the trust deed but has done nothing beyond writing to the master to obtain one.  She squarely raised her defence in a single paragraph.  </w:t>
      </w:r>
      <w:r w:rsidR="007D0514">
        <w:rPr>
          <w:rStyle w:val="FootnoteReference"/>
          <w:szCs w:val="25"/>
        </w:rPr>
        <w:footnoteReference w:id="53"/>
      </w:r>
      <w:r w:rsidR="007D0514">
        <w:rPr>
          <w:szCs w:val="25"/>
        </w:rPr>
        <w:t xml:space="preserve">  For no explicable reason, she duplicated the attachments to the founding affidavit by attaching them to her answering affidavit,  </w:t>
      </w:r>
      <w:r w:rsidR="007D0514">
        <w:rPr>
          <w:rStyle w:val="FootnoteReference"/>
          <w:szCs w:val="25"/>
        </w:rPr>
        <w:footnoteReference w:id="54"/>
      </w:r>
      <w:r w:rsidR="007D0514">
        <w:rPr>
          <w:szCs w:val="25"/>
        </w:rPr>
        <w:t>  which only served to run up the costs</w:t>
      </w:r>
      <w:r w:rsidR="00817336">
        <w:rPr>
          <w:szCs w:val="25"/>
        </w:rPr>
        <w:t xml:space="preserve"> unnecessarily</w:t>
      </w:r>
      <w:r w:rsidR="007D0514">
        <w:rPr>
          <w:szCs w:val="25"/>
        </w:rPr>
        <w:t xml:space="preserve">.  These are grounds, sufficient in my view, to exercise my discretion against awarding Mrs </w:t>
      </w:r>
      <w:r w:rsidR="008A23F9">
        <w:rPr>
          <w:szCs w:val="25"/>
        </w:rPr>
        <w:t>F[...]</w:t>
      </w:r>
      <w:r w:rsidR="007D0514">
        <w:rPr>
          <w:szCs w:val="25"/>
        </w:rPr>
        <w:t xml:space="preserve"> her costs in this application and to direct, instead, that there shall be no order as to costs, thereby obliging each party to bear their own costs.</w:t>
      </w:r>
    </w:p>
    <w:p w14:paraId="1F70E91F" w14:textId="62200228" w:rsidR="00332356" w:rsidRDefault="00330F60" w:rsidP="00330F60">
      <w:pPr>
        <w:pStyle w:val="Indent"/>
        <w:numPr>
          <w:ilvl w:val="0"/>
          <w:numId w:val="0"/>
        </w:numPr>
        <w:ind w:left="850" w:hanging="850"/>
      </w:pPr>
      <w:r>
        <w:rPr>
          <w:szCs w:val="25"/>
        </w:rPr>
        <w:t>[26]</w:t>
      </w:r>
      <w:r>
        <w:rPr>
          <w:szCs w:val="25"/>
        </w:rPr>
        <w:tab/>
      </w:r>
      <w:r w:rsidR="00332356">
        <w:t>In my view, all factors considered, it is in the interests of justice to make the following order:</w:t>
      </w:r>
    </w:p>
    <w:p w14:paraId="53A8090A" w14:textId="7692359F" w:rsidR="00C527FC" w:rsidRDefault="00330F60" w:rsidP="00330F60">
      <w:pPr>
        <w:pStyle w:val="Indent"/>
        <w:numPr>
          <w:ilvl w:val="0"/>
          <w:numId w:val="0"/>
        </w:numPr>
        <w:ind w:left="1430" w:hanging="580"/>
      </w:pPr>
      <w:r>
        <w:lastRenderedPageBreak/>
        <w:t>1.</w:t>
      </w:r>
      <w:r>
        <w:tab/>
      </w:r>
      <w:r w:rsidR="007D0514">
        <w:t xml:space="preserve">the application is </w:t>
      </w:r>
      <w:proofErr w:type="gramStart"/>
      <w:r w:rsidR="007D0514">
        <w:t>dismissed</w:t>
      </w:r>
      <w:r w:rsidR="00C527FC">
        <w:t xml:space="preserve">; </w:t>
      </w:r>
      <w:r w:rsidR="007D0514">
        <w:t xml:space="preserve"> and</w:t>
      </w:r>
      <w:proofErr w:type="gramEnd"/>
    </w:p>
    <w:p w14:paraId="6E7063B8" w14:textId="0C42B7CF" w:rsidR="00332356" w:rsidRPr="00C55A3A" w:rsidRDefault="00330F60" w:rsidP="00330F60">
      <w:pPr>
        <w:pStyle w:val="Indent"/>
        <w:numPr>
          <w:ilvl w:val="0"/>
          <w:numId w:val="0"/>
        </w:numPr>
        <w:ind w:left="1430" w:hanging="580"/>
      </w:pPr>
      <w:r w:rsidRPr="00C55A3A">
        <w:t>2.</w:t>
      </w:r>
      <w:r w:rsidRPr="00C55A3A">
        <w:tab/>
      </w:r>
      <w:r w:rsidR="007D0514">
        <w:t>there shall be no order as to costs.</w:t>
      </w:r>
    </w:p>
    <w:p w14:paraId="68AE7643" w14:textId="77777777" w:rsidR="00332356" w:rsidRDefault="00332356" w:rsidP="00332356">
      <w:pPr>
        <w:pStyle w:val="Indent"/>
        <w:numPr>
          <w:ilvl w:val="0"/>
          <w:numId w:val="0"/>
        </w:numPr>
        <w:spacing w:after="0" w:line="240" w:lineRule="auto"/>
        <w:ind w:left="850" w:hanging="850"/>
        <w:jc w:val="right"/>
        <w:rPr>
          <w:b/>
        </w:rPr>
      </w:pPr>
    </w:p>
    <w:p w14:paraId="07FBE240" w14:textId="77777777" w:rsidR="00332356" w:rsidRDefault="00332356" w:rsidP="00332356">
      <w:pPr>
        <w:pStyle w:val="Indent"/>
        <w:numPr>
          <w:ilvl w:val="0"/>
          <w:numId w:val="0"/>
        </w:numPr>
        <w:spacing w:after="0" w:line="240" w:lineRule="auto"/>
        <w:ind w:left="850" w:hanging="850"/>
        <w:jc w:val="right"/>
        <w:rPr>
          <w:b/>
        </w:rPr>
      </w:pPr>
      <w:r>
        <w:rPr>
          <w:b/>
        </w:rPr>
        <w:t>ANTHONY BISHOP</w:t>
      </w:r>
    </w:p>
    <w:p w14:paraId="65237908" w14:textId="77777777" w:rsidR="00332356" w:rsidRPr="00A50B11" w:rsidRDefault="00332356" w:rsidP="00332356">
      <w:pPr>
        <w:pStyle w:val="Indent"/>
        <w:numPr>
          <w:ilvl w:val="0"/>
          <w:numId w:val="0"/>
        </w:numPr>
        <w:spacing w:after="0" w:line="240" w:lineRule="auto"/>
        <w:ind w:left="850" w:hanging="850"/>
        <w:jc w:val="right"/>
      </w:pPr>
      <w:r w:rsidRPr="00A50B11">
        <w:t>Acting Judge of the High Court</w:t>
      </w:r>
    </w:p>
    <w:p w14:paraId="1CE70233" w14:textId="77777777" w:rsidR="00332356" w:rsidRPr="00A50B11" w:rsidRDefault="00332356" w:rsidP="00332356">
      <w:pPr>
        <w:pStyle w:val="Indent"/>
        <w:numPr>
          <w:ilvl w:val="0"/>
          <w:numId w:val="0"/>
        </w:numPr>
        <w:spacing w:after="0" w:line="240" w:lineRule="auto"/>
        <w:ind w:left="850" w:hanging="850"/>
        <w:jc w:val="right"/>
      </w:pPr>
      <w:r w:rsidRPr="00A50B11">
        <w:t>Johannesburg</w:t>
      </w:r>
    </w:p>
    <w:p w14:paraId="654C0D48" w14:textId="48CEC05E" w:rsidR="00332356" w:rsidRDefault="00332356" w:rsidP="00332356">
      <w:pPr>
        <w:pStyle w:val="Indent"/>
        <w:numPr>
          <w:ilvl w:val="0"/>
          <w:numId w:val="0"/>
        </w:numPr>
        <w:rPr>
          <w:b/>
          <w:highlight w:val="yellow"/>
        </w:rPr>
      </w:pPr>
    </w:p>
    <w:p w14:paraId="335B8D09" w14:textId="77777777" w:rsidR="00817336" w:rsidRDefault="00817336" w:rsidP="00332356">
      <w:pPr>
        <w:pStyle w:val="Indent"/>
        <w:numPr>
          <w:ilvl w:val="0"/>
          <w:numId w:val="0"/>
        </w:numPr>
        <w:rPr>
          <w:b/>
          <w:highlight w:val="yellow"/>
        </w:rPr>
      </w:pPr>
    </w:p>
    <w:p w14:paraId="0D8834EA" w14:textId="77777777" w:rsidR="00817336" w:rsidRDefault="00817336" w:rsidP="00332356">
      <w:pPr>
        <w:pStyle w:val="Indent"/>
        <w:numPr>
          <w:ilvl w:val="0"/>
          <w:numId w:val="0"/>
        </w:numPr>
        <w:rPr>
          <w:b/>
          <w:highlight w:val="yellow"/>
        </w:rPr>
      </w:pPr>
    </w:p>
    <w:p w14:paraId="1AF1E2F6" w14:textId="77777777" w:rsidR="00456C12" w:rsidRDefault="00456C12" w:rsidP="00332356">
      <w:pPr>
        <w:pStyle w:val="Indent"/>
        <w:numPr>
          <w:ilvl w:val="0"/>
          <w:numId w:val="0"/>
        </w:numPr>
        <w:rPr>
          <w:b/>
          <w:highlight w:val="yellow"/>
        </w:rPr>
      </w:pPr>
    </w:p>
    <w:p w14:paraId="334FBB40" w14:textId="77777777" w:rsidR="00456C12" w:rsidRDefault="00456C12" w:rsidP="00332356">
      <w:pPr>
        <w:pStyle w:val="Indent"/>
        <w:numPr>
          <w:ilvl w:val="0"/>
          <w:numId w:val="0"/>
        </w:numPr>
        <w:rPr>
          <w:b/>
          <w:highlight w:val="yellow"/>
        </w:rPr>
      </w:pPr>
    </w:p>
    <w:p w14:paraId="7280C5B5" w14:textId="77777777" w:rsidR="00456C12" w:rsidRDefault="00456C12" w:rsidP="00332356">
      <w:pPr>
        <w:pStyle w:val="Indent"/>
        <w:numPr>
          <w:ilvl w:val="0"/>
          <w:numId w:val="0"/>
        </w:numPr>
        <w:rPr>
          <w:b/>
          <w:highlight w:val="yellow"/>
        </w:rPr>
      </w:pPr>
    </w:p>
    <w:p w14:paraId="4662A601" w14:textId="77777777" w:rsidR="00817336" w:rsidRDefault="00817336" w:rsidP="00332356">
      <w:pPr>
        <w:pStyle w:val="Indent"/>
        <w:numPr>
          <w:ilvl w:val="0"/>
          <w:numId w:val="0"/>
        </w:numPr>
        <w:spacing w:after="120" w:line="240" w:lineRule="auto"/>
        <w:ind w:left="850" w:hanging="850"/>
        <w:rPr>
          <w:b/>
        </w:rPr>
      </w:pPr>
    </w:p>
    <w:p w14:paraId="4E293A10" w14:textId="77777777" w:rsidR="00817336" w:rsidRDefault="00817336" w:rsidP="00332356">
      <w:pPr>
        <w:pStyle w:val="Indent"/>
        <w:numPr>
          <w:ilvl w:val="0"/>
          <w:numId w:val="0"/>
        </w:numPr>
        <w:spacing w:after="120" w:line="240" w:lineRule="auto"/>
        <w:ind w:left="850" w:hanging="850"/>
        <w:rPr>
          <w:b/>
        </w:rPr>
      </w:pPr>
    </w:p>
    <w:p w14:paraId="0E9C5CB3" w14:textId="77777777" w:rsidR="00817336" w:rsidRDefault="00817336" w:rsidP="00332356">
      <w:pPr>
        <w:pStyle w:val="Indent"/>
        <w:numPr>
          <w:ilvl w:val="0"/>
          <w:numId w:val="0"/>
        </w:numPr>
        <w:spacing w:after="120" w:line="240" w:lineRule="auto"/>
        <w:ind w:left="850" w:hanging="850"/>
        <w:rPr>
          <w:b/>
        </w:rPr>
      </w:pPr>
    </w:p>
    <w:p w14:paraId="31A66A2F" w14:textId="367A585B" w:rsidR="00332356" w:rsidRDefault="00332356" w:rsidP="00332356">
      <w:pPr>
        <w:pStyle w:val="Indent"/>
        <w:numPr>
          <w:ilvl w:val="0"/>
          <w:numId w:val="0"/>
        </w:numPr>
        <w:spacing w:after="120" w:line="240" w:lineRule="auto"/>
        <w:ind w:left="850" w:hanging="850"/>
      </w:pPr>
      <w:proofErr w:type="gramStart"/>
      <w:r w:rsidRPr="00C527FC">
        <w:t>Heard :</w:t>
      </w:r>
      <w:proofErr w:type="gramEnd"/>
      <w:r w:rsidRPr="00C527FC">
        <w:tab/>
      </w:r>
      <w:r w:rsidRPr="00C527FC">
        <w:tab/>
      </w:r>
      <w:r w:rsidRPr="00C527FC">
        <w:tab/>
      </w:r>
      <w:r w:rsidRPr="00C527FC">
        <w:tab/>
      </w:r>
      <w:r w:rsidRPr="00C527FC">
        <w:tab/>
      </w:r>
      <w:r w:rsidRPr="00C527FC">
        <w:tab/>
      </w:r>
      <w:r w:rsidR="00A257B9">
        <w:t>2 November 2022</w:t>
      </w:r>
    </w:p>
    <w:p w14:paraId="1998D2EB" w14:textId="77777777" w:rsidR="007D0514" w:rsidRPr="00C527FC" w:rsidRDefault="007D0514" w:rsidP="00332356">
      <w:pPr>
        <w:pStyle w:val="Indent"/>
        <w:numPr>
          <w:ilvl w:val="0"/>
          <w:numId w:val="0"/>
        </w:numPr>
        <w:spacing w:after="120" w:line="240" w:lineRule="auto"/>
        <w:ind w:left="850" w:hanging="850"/>
      </w:pPr>
    </w:p>
    <w:p w14:paraId="58445D8C" w14:textId="7125D8A1" w:rsidR="00332356" w:rsidRDefault="00332356" w:rsidP="007D0514">
      <w:pPr>
        <w:pStyle w:val="Indent"/>
        <w:numPr>
          <w:ilvl w:val="0"/>
          <w:numId w:val="0"/>
        </w:numPr>
        <w:spacing w:after="120" w:line="240" w:lineRule="auto"/>
        <w:ind w:left="4320" w:hanging="4320"/>
      </w:pPr>
      <w:r w:rsidRPr="00C527FC">
        <w:t xml:space="preserve">Attorneys for the </w:t>
      </w:r>
      <w:proofErr w:type="gramStart"/>
      <w:r w:rsidRPr="00C527FC">
        <w:t>applicant :</w:t>
      </w:r>
      <w:proofErr w:type="gramEnd"/>
      <w:r w:rsidRPr="00C527FC">
        <w:tab/>
      </w:r>
      <w:proofErr w:type="spellStart"/>
      <w:r w:rsidR="007D0514">
        <w:t>Waldick</w:t>
      </w:r>
      <w:proofErr w:type="spellEnd"/>
      <w:r w:rsidR="007D0514">
        <w:t xml:space="preserve"> Inc (formerly in these proceedings </w:t>
      </w:r>
      <w:proofErr w:type="spellStart"/>
      <w:r w:rsidR="007D0514">
        <w:t>Waldick</w:t>
      </w:r>
      <w:proofErr w:type="spellEnd"/>
      <w:r w:rsidR="007D0514">
        <w:t xml:space="preserve"> Jansen van Rensburg Inc)</w:t>
      </w:r>
    </w:p>
    <w:p w14:paraId="0DA0DDF2" w14:textId="77777777" w:rsidR="007D0514" w:rsidRPr="00C527FC" w:rsidRDefault="007D0514" w:rsidP="00332356">
      <w:pPr>
        <w:pStyle w:val="Indent"/>
        <w:numPr>
          <w:ilvl w:val="0"/>
          <w:numId w:val="0"/>
        </w:numPr>
        <w:spacing w:after="120" w:line="240" w:lineRule="auto"/>
        <w:ind w:left="850" w:hanging="850"/>
      </w:pPr>
    </w:p>
    <w:p w14:paraId="51C5A0D8" w14:textId="5287A412" w:rsidR="00332356" w:rsidRPr="00C527FC" w:rsidRDefault="00332356" w:rsidP="007D0514">
      <w:pPr>
        <w:pStyle w:val="Indent"/>
        <w:numPr>
          <w:ilvl w:val="0"/>
          <w:numId w:val="0"/>
        </w:numPr>
        <w:spacing w:after="120" w:line="240" w:lineRule="auto"/>
        <w:ind w:left="4320" w:hanging="4320"/>
      </w:pPr>
      <w:r w:rsidRPr="00C527FC">
        <w:t xml:space="preserve">Counsel for the </w:t>
      </w:r>
      <w:proofErr w:type="gramStart"/>
      <w:r w:rsidRPr="00C527FC">
        <w:t>applicant :</w:t>
      </w:r>
      <w:proofErr w:type="gramEnd"/>
      <w:r w:rsidRPr="00C527FC">
        <w:tab/>
      </w:r>
      <w:r w:rsidR="007D0514">
        <w:t xml:space="preserve">Mr J Sullivan (heads of argument </w:t>
      </w:r>
      <w:r w:rsidR="007D0514">
        <w:lastRenderedPageBreak/>
        <w:t>having been prepared by Mr M Bester)</w:t>
      </w:r>
      <w:r w:rsidRPr="00C527FC">
        <w:tab/>
      </w:r>
      <w:r w:rsidR="00430C7B">
        <w:tab/>
      </w:r>
    </w:p>
    <w:p w14:paraId="46AAA361" w14:textId="77777777" w:rsidR="007D0514" w:rsidRDefault="00332356" w:rsidP="00332356">
      <w:pPr>
        <w:pStyle w:val="Indent"/>
        <w:numPr>
          <w:ilvl w:val="0"/>
          <w:numId w:val="0"/>
        </w:numPr>
        <w:spacing w:after="120" w:line="240" w:lineRule="auto"/>
        <w:ind w:left="4320" w:hanging="4320"/>
      </w:pPr>
      <w:r w:rsidRPr="00C527FC">
        <w:t xml:space="preserve">Attorneys for the </w:t>
      </w:r>
      <w:r w:rsidR="00430C7B">
        <w:t xml:space="preserve">first </w:t>
      </w:r>
      <w:r w:rsidR="007D0514">
        <w:t>and</w:t>
      </w:r>
      <w:r w:rsidR="00430C7B">
        <w:t xml:space="preserve"> third </w:t>
      </w:r>
    </w:p>
    <w:p w14:paraId="25B86845" w14:textId="3F135945" w:rsidR="00332356" w:rsidRPr="00C527FC" w:rsidRDefault="00332356" w:rsidP="00332356">
      <w:pPr>
        <w:pStyle w:val="Indent"/>
        <w:numPr>
          <w:ilvl w:val="0"/>
          <w:numId w:val="0"/>
        </w:numPr>
        <w:spacing w:after="120" w:line="240" w:lineRule="auto"/>
        <w:ind w:left="4320" w:hanging="4320"/>
      </w:pPr>
      <w:proofErr w:type="gramStart"/>
      <w:r w:rsidRPr="00C527FC">
        <w:t>respondent</w:t>
      </w:r>
      <w:r w:rsidR="00430C7B">
        <w:t>s</w:t>
      </w:r>
      <w:r w:rsidRPr="00C527FC">
        <w:t xml:space="preserve"> :</w:t>
      </w:r>
      <w:proofErr w:type="gramEnd"/>
      <w:r w:rsidR="007D0514">
        <w:tab/>
        <w:t>Blake Bester, De Wet &amp; Jordaan Inc</w:t>
      </w:r>
      <w:r w:rsidRPr="00C527FC">
        <w:tab/>
      </w:r>
    </w:p>
    <w:p w14:paraId="2E84E4D3" w14:textId="6948E66A" w:rsidR="00332356" w:rsidRDefault="00332356" w:rsidP="00332356">
      <w:pPr>
        <w:pStyle w:val="Indent"/>
        <w:numPr>
          <w:ilvl w:val="0"/>
          <w:numId w:val="0"/>
        </w:numPr>
        <w:spacing w:after="120" w:line="240" w:lineRule="auto"/>
        <w:ind w:left="850" w:hanging="850"/>
      </w:pPr>
      <w:r w:rsidRPr="00C527FC">
        <w:t xml:space="preserve">Counsel for the first </w:t>
      </w:r>
      <w:proofErr w:type="gramStart"/>
      <w:r w:rsidRPr="00C527FC">
        <w:t>defendant :</w:t>
      </w:r>
      <w:proofErr w:type="gramEnd"/>
      <w:r w:rsidRPr="00C527FC">
        <w:tab/>
      </w:r>
      <w:r w:rsidRPr="00C527FC">
        <w:tab/>
      </w:r>
      <w:r w:rsidR="007D0514">
        <w:t>Mr W de Beer</w:t>
      </w:r>
      <w:r w:rsidR="00430C7B">
        <w:tab/>
      </w:r>
    </w:p>
    <w:p w14:paraId="3B4B509D" w14:textId="77777777" w:rsidR="00332356" w:rsidRDefault="00332356" w:rsidP="00332356"/>
    <w:p w14:paraId="76B9E36C" w14:textId="77777777" w:rsidR="0010583E" w:rsidRDefault="0010583E"/>
    <w:sectPr w:rsidR="0010583E" w:rsidSect="00B6572A">
      <w:headerReference w:type="default" r:id="rId9"/>
      <w:headerReference w:type="first" r:id="rId10"/>
      <w:pgSz w:w="11906" w:h="16838" w:code="9"/>
      <w:pgMar w:top="1429" w:right="1729" w:bottom="1429" w:left="1582" w:header="0" w:footer="720" w:gutter="0"/>
      <w:cols w:space="720"/>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25C9A" w14:textId="77777777" w:rsidR="00B6572A" w:rsidRDefault="00B6572A" w:rsidP="00332356">
      <w:pPr>
        <w:spacing w:after="0" w:line="240" w:lineRule="auto"/>
      </w:pPr>
      <w:r>
        <w:separator/>
      </w:r>
    </w:p>
  </w:endnote>
  <w:endnote w:type="continuationSeparator" w:id="0">
    <w:p w14:paraId="260A903E" w14:textId="77777777" w:rsidR="00B6572A" w:rsidRDefault="00B6572A" w:rsidP="0033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4B07F" w14:textId="77777777" w:rsidR="00B6572A" w:rsidRDefault="00B6572A" w:rsidP="00332356">
      <w:pPr>
        <w:spacing w:after="0" w:line="240" w:lineRule="auto"/>
      </w:pPr>
      <w:r>
        <w:separator/>
      </w:r>
    </w:p>
  </w:footnote>
  <w:footnote w:type="continuationSeparator" w:id="0">
    <w:p w14:paraId="77C68F9D" w14:textId="77777777" w:rsidR="00B6572A" w:rsidRDefault="00B6572A" w:rsidP="00332356">
      <w:pPr>
        <w:spacing w:after="0" w:line="240" w:lineRule="auto"/>
      </w:pPr>
      <w:r>
        <w:continuationSeparator/>
      </w:r>
    </w:p>
  </w:footnote>
  <w:footnote w:id="1">
    <w:p w14:paraId="62BE9FA0" w14:textId="77777777" w:rsidR="00D12265" w:rsidRPr="00456C12" w:rsidRDefault="00D12265"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001-2, par 1 (NoM)</w:t>
      </w:r>
    </w:p>
  </w:footnote>
  <w:footnote w:id="2">
    <w:p w14:paraId="5274AA36" w14:textId="7B77C5C0" w:rsidR="00D12265" w:rsidRPr="00456C12" w:rsidRDefault="00D12265"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001-2, par 2 (NoM)</w:t>
      </w:r>
    </w:p>
  </w:footnote>
  <w:footnote w:id="3">
    <w:p w14:paraId="47898F32" w14:textId="0F3B9C1C" w:rsidR="00D12265" w:rsidRPr="00456C12" w:rsidRDefault="00D12265"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001-2, par 3 (NoM)</w:t>
      </w:r>
    </w:p>
  </w:footnote>
  <w:footnote w:id="4">
    <w:p w14:paraId="4FEE5EB8" w14:textId="63A3A762" w:rsidR="00D12265" w:rsidRPr="00456C12" w:rsidRDefault="00D12265"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001-3, par 5 (NoM)</w:t>
      </w:r>
    </w:p>
  </w:footnote>
  <w:footnote w:id="5">
    <w:p w14:paraId="61235869" w14:textId="2A853388" w:rsidR="00D12265" w:rsidRPr="00456C12" w:rsidRDefault="00D12265"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001-3, par 6 (NoM)</w:t>
      </w:r>
    </w:p>
  </w:footnote>
  <w:footnote w:id="6">
    <w:p w14:paraId="7A8E93D2" w14:textId="006DC4AC" w:rsidR="00D12265" w:rsidRPr="00456C12" w:rsidRDefault="00D12265"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CaseLines 001-7, par 2.1 (FA); 001-14 (annexure </w:t>
      </w:r>
      <w:r w:rsidRPr="00456C12">
        <w:rPr>
          <w:b/>
          <w:bCs/>
          <w:sz w:val="22"/>
          <w:szCs w:val="22"/>
          <w:lang w:val="en-US"/>
        </w:rPr>
        <w:t>FA1</w:t>
      </w:r>
      <w:r w:rsidRPr="00456C12">
        <w:rPr>
          <w:sz w:val="22"/>
          <w:szCs w:val="22"/>
          <w:lang w:val="en-US"/>
        </w:rPr>
        <w:t xml:space="preserve"> to the FA)</w:t>
      </w:r>
    </w:p>
  </w:footnote>
  <w:footnote w:id="7">
    <w:p w14:paraId="4D755B0A" w14:textId="67E2913B" w:rsidR="00D12265" w:rsidRPr="00456C12" w:rsidRDefault="00D12265"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CaseLines 001-9, par 3.3 (FA); 001-14, par 2 (annexure </w:t>
      </w:r>
      <w:r w:rsidRPr="00456C12">
        <w:rPr>
          <w:b/>
          <w:bCs/>
          <w:sz w:val="22"/>
          <w:szCs w:val="22"/>
          <w:lang w:val="en-US"/>
        </w:rPr>
        <w:t>FA1</w:t>
      </w:r>
      <w:r w:rsidRPr="00456C12">
        <w:rPr>
          <w:sz w:val="22"/>
          <w:szCs w:val="22"/>
          <w:lang w:val="en-US"/>
        </w:rPr>
        <w:t xml:space="preserve"> to the FA); see also CaseLines 001-10, par 4.3 (FA), as read with CaseLines 003.10, par 29.2 (AA)</w:t>
      </w:r>
    </w:p>
  </w:footnote>
  <w:footnote w:id="8">
    <w:p w14:paraId="3E419EC7" w14:textId="5C84D7CF" w:rsidR="00D12265" w:rsidRPr="00456C12" w:rsidRDefault="00D12265"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001-10, par 4.4 to 001-11, par 4.10</w:t>
      </w:r>
      <w:r w:rsidR="001D050E" w:rsidRPr="00456C12">
        <w:rPr>
          <w:sz w:val="22"/>
          <w:szCs w:val="22"/>
          <w:lang w:val="en-US"/>
        </w:rPr>
        <w:t xml:space="preserve"> (FA)</w:t>
      </w:r>
    </w:p>
  </w:footnote>
  <w:footnote w:id="9">
    <w:p w14:paraId="0C8FD9A4" w14:textId="7E57B948" w:rsidR="001D050E" w:rsidRPr="00456C12" w:rsidRDefault="001D050E"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CaseLines 001-19, par 8 (annexure </w:t>
      </w:r>
      <w:r w:rsidRPr="00456C12">
        <w:rPr>
          <w:b/>
          <w:bCs/>
          <w:sz w:val="22"/>
          <w:szCs w:val="22"/>
          <w:lang w:val="en-US"/>
        </w:rPr>
        <w:t>FA2</w:t>
      </w:r>
      <w:r w:rsidRPr="00456C12">
        <w:rPr>
          <w:sz w:val="22"/>
          <w:szCs w:val="22"/>
          <w:lang w:val="en-US"/>
        </w:rPr>
        <w:t xml:space="preserve"> to the FA)</w:t>
      </w:r>
    </w:p>
  </w:footnote>
  <w:footnote w:id="10">
    <w:p w14:paraId="219E3ED5" w14:textId="0FB57B92" w:rsidR="00D12265" w:rsidRPr="00456C12" w:rsidRDefault="00D12265"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CaseLines 001-20 to 001-23, par 8.3 (annexure </w:t>
      </w:r>
      <w:r w:rsidRPr="00456C12">
        <w:rPr>
          <w:b/>
          <w:bCs/>
          <w:sz w:val="22"/>
          <w:szCs w:val="22"/>
          <w:lang w:val="en-US"/>
        </w:rPr>
        <w:t>FA2</w:t>
      </w:r>
      <w:r w:rsidRPr="00456C12">
        <w:rPr>
          <w:sz w:val="22"/>
          <w:szCs w:val="22"/>
          <w:lang w:val="en-US"/>
        </w:rPr>
        <w:t xml:space="preserve"> to the FA)</w:t>
      </w:r>
    </w:p>
  </w:footnote>
  <w:footnote w:id="11">
    <w:p w14:paraId="0599C05A" w14:textId="00E2B4A5" w:rsidR="001D050E" w:rsidRPr="00456C12" w:rsidRDefault="001D050E"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001-11, par 5.1 (FA)</w:t>
      </w:r>
    </w:p>
  </w:footnote>
  <w:footnote w:id="12">
    <w:p w14:paraId="26432301" w14:textId="4F7EF16C" w:rsidR="001D050E" w:rsidRPr="00456C12" w:rsidRDefault="001D050E"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001-11 to 001-12, par 5.2 (FA)</w:t>
      </w:r>
    </w:p>
  </w:footnote>
  <w:footnote w:id="13">
    <w:p w14:paraId="6BBA5CCC" w14:textId="474EC44E" w:rsidR="001D050E" w:rsidRPr="00456C12" w:rsidRDefault="001D050E"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003-10, par 32 (AA)</w:t>
      </w:r>
    </w:p>
  </w:footnote>
  <w:footnote w:id="14">
    <w:p w14:paraId="42B73C1A" w14:textId="10E99263" w:rsidR="001D050E" w:rsidRPr="00456C12" w:rsidRDefault="001D050E"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001-12, par 5.3 to 5.5 (FA)</w:t>
      </w:r>
    </w:p>
  </w:footnote>
  <w:footnote w:id="15">
    <w:p w14:paraId="7931E570" w14:textId="6D6D7258" w:rsidR="001D050E" w:rsidRPr="00456C12" w:rsidRDefault="001D050E"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001-9, par 3.4 to 3.5 (FA)</w:t>
      </w:r>
    </w:p>
  </w:footnote>
  <w:footnote w:id="16">
    <w:p w14:paraId="49B0E710" w14:textId="38C557B2" w:rsidR="00DC48B9" w:rsidRPr="00456C12" w:rsidRDefault="00DC48B9"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r>
      <w:r w:rsidRPr="00456C12">
        <w:rPr>
          <w:b/>
          <w:bCs/>
          <w:i/>
          <w:iCs/>
          <w:sz w:val="22"/>
          <w:szCs w:val="22"/>
          <w:lang w:val="en-US"/>
        </w:rPr>
        <w:t>Fakie N.O. v CCII Systems (Pty) Ltd</w:t>
      </w:r>
      <w:r w:rsidRPr="00456C12">
        <w:rPr>
          <w:sz w:val="22"/>
          <w:szCs w:val="22"/>
          <w:lang w:val="en-US"/>
        </w:rPr>
        <w:t xml:space="preserve"> 2006 (4) SA 326 (SCA)</w:t>
      </w:r>
    </w:p>
  </w:footnote>
  <w:footnote w:id="17">
    <w:p w14:paraId="046990B5" w14:textId="3E0CBA26" w:rsidR="001F60C4" w:rsidRPr="00456C12" w:rsidRDefault="001F60C4"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r>
      <w:r w:rsidRPr="00456C12">
        <w:rPr>
          <w:b/>
          <w:bCs/>
          <w:i/>
          <w:iCs/>
          <w:sz w:val="22"/>
          <w:szCs w:val="22"/>
          <w:lang w:val="en-US"/>
        </w:rPr>
        <w:t>Fakie</w:t>
      </w:r>
      <w:r w:rsidRPr="00456C12">
        <w:rPr>
          <w:sz w:val="22"/>
          <w:szCs w:val="22"/>
          <w:lang w:val="en-US"/>
        </w:rPr>
        <w:t>, par 42(e)</w:t>
      </w:r>
    </w:p>
  </w:footnote>
  <w:footnote w:id="18">
    <w:p w14:paraId="63CBE6F3" w14:textId="30BEFC19" w:rsidR="001F60C4" w:rsidRPr="00456C12" w:rsidRDefault="001F60C4"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r>
      <w:r w:rsidRPr="00456C12">
        <w:rPr>
          <w:b/>
          <w:bCs/>
          <w:i/>
          <w:iCs/>
          <w:sz w:val="22"/>
          <w:szCs w:val="22"/>
          <w:lang w:val="en-US"/>
        </w:rPr>
        <w:t>Fakie</w:t>
      </w:r>
      <w:r w:rsidRPr="00456C12">
        <w:rPr>
          <w:sz w:val="22"/>
          <w:szCs w:val="22"/>
          <w:lang w:val="en-US"/>
        </w:rPr>
        <w:t>, par 42(c)</w:t>
      </w:r>
    </w:p>
  </w:footnote>
  <w:footnote w:id="19">
    <w:p w14:paraId="4559D339" w14:textId="629FE087" w:rsidR="001F60C4" w:rsidRPr="00456C12" w:rsidRDefault="001F60C4"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r>
      <w:r w:rsidRPr="00456C12">
        <w:rPr>
          <w:b/>
          <w:bCs/>
          <w:i/>
          <w:iCs/>
          <w:sz w:val="22"/>
          <w:szCs w:val="22"/>
          <w:lang w:val="en-US"/>
        </w:rPr>
        <w:t>Fakie</w:t>
      </w:r>
      <w:r w:rsidRPr="00456C12">
        <w:rPr>
          <w:sz w:val="22"/>
          <w:szCs w:val="22"/>
          <w:lang w:val="en-US"/>
        </w:rPr>
        <w:t>, par 42(d)</w:t>
      </w:r>
    </w:p>
  </w:footnote>
  <w:footnote w:id="20">
    <w:p w14:paraId="11A9C95C" w14:textId="6332D32B" w:rsidR="001F60C4" w:rsidRPr="00456C12" w:rsidRDefault="001F60C4"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001-2, par 1 (NoM)</w:t>
      </w:r>
    </w:p>
  </w:footnote>
  <w:footnote w:id="21">
    <w:p w14:paraId="59560093" w14:textId="4E5BE3D9" w:rsidR="001F60C4" w:rsidRPr="00456C12" w:rsidRDefault="001F60C4"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001-2, par 2 and 3 (NoM)</w:t>
      </w:r>
    </w:p>
  </w:footnote>
  <w:footnote w:id="22">
    <w:p w14:paraId="2D6F2885" w14:textId="0C538019" w:rsidR="001F60C4" w:rsidRPr="00456C12" w:rsidRDefault="001F60C4"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001-7, par 2.1, read with 001-9, par 3.2 (FA); CaseLines 003-9, par 25, read with 003-9, par 26 (AA)</w:t>
      </w:r>
    </w:p>
  </w:footnote>
  <w:footnote w:id="23">
    <w:p w14:paraId="09EF604A" w14:textId="6F85874D" w:rsidR="001F60C4" w:rsidRPr="00456C12" w:rsidRDefault="001F60C4"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001-9 to 001-10, par 4.1 to 4.2 (FA); CaseLines 003-9 to 003-10, par 40 and 003-10, par 29.1 to 29.2 (AA)</w:t>
      </w:r>
    </w:p>
  </w:footnote>
  <w:footnote w:id="24">
    <w:p w14:paraId="6ED3CDAA" w14:textId="2464E9B9" w:rsidR="001F60C4" w:rsidRPr="00456C12" w:rsidRDefault="001F60C4"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See </w:t>
      </w:r>
      <w:r w:rsidRPr="00456C12">
        <w:rPr>
          <w:b/>
          <w:bCs/>
          <w:i/>
          <w:iCs/>
          <w:sz w:val="22"/>
          <w:szCs w:val="22"/>
          <w:lang w:val="en-US"/>
        </w:rPr>
        <w:t>Land and Agricultural Bank of South Africa v Parker and Others</w:t>
      </w:r>
      <w:r w:rsidRPr="00456C12">
        <w:rPr>
          <w:sz w:val="22"/>
          <w:szCs w:val="22"/>
          <w:lang w:val="en-US"/>
        </w:rPr>
        <w:t xml:space="preserve"> 2005 (2) SA 77 (SCA), par 15, where it was held:</w:t>
      </w:r>
    </w:p>
    <w:p w14:paraId="7DE78E8E" w14:textId="2487F3C3" w:rsidR="001F60C4" w:rsidRPr="00456C12" w:rsidRDefault="001F60C4" w:rsidP="00456C12">
      <w:pPr>
        <w:pStyle w:val="FootnoteText"/>
        <w:spacing w:before="120" w:after="120"/>
        <w:ind w:left="1701" w:hanging="1701"/>
        <w:rPr>
          <w:lang w:val="en-US"/>
        </w:rPr>
      </w:pPr>
      <w:r w:rsidRPr="00456C12">
        <w:rPr>
          <w:sz w:val="22"/>
          <w:szCs w:val="22"/>
          <w:lang w:val="en-US"/>
        </w:rPr>
        <w:tab/>
      </w:r>
      <w:r w:rsidRPr="00456C12">
        <w:rPr>
          <w:sz w:val="22"/>
          <w:szCs w:val="22"/>
          <w:lang w:val="en-US"/>
        </w:rPr>
        <w:tab/>
      </w:r>
      <w:r w:rsidRPr="00456C12">
        <w:rPr>
          <w:lang w:val="en-US"/>
        </w:rPr>
        <w:t xml:space="preserve">It is a fundamental rule of trust law, which this Court recently restated in </w:t>
      </w:r>
      <w:r w:rsidRPr="00456C12">
        <w:rPr>
          <w:b/>
          <w:bCs/>
          <w:i/>
          <w:iCs/>
          <w:lang w:val="en-US"/>
        </w:rPr>
        <w:t>Nieuwoudt and Another NNO v Vrystaat Mielies (Edms) Bpk</w:t>
      </w:r>
      <w:r w:rsidRPr="00456C12">
        <w:rPr>
          <w:lang w:val="en-US"/>
        </w:rPr>
        <w:t xml:space="preserve"> [2004 (3) SA 486 (SCA), par 16] that in the absence of contrary provision in the trust deed the trustees must act jointly if the trust estate is to be bound by their acts. The rule derives from the nature of the trustees' joint ownership of the trust property. Since co-owners must act jointly, trustees must also act jointly.  Professor Tony Honoré's authoritative historical exposition has shown that the joint action requirement was already being enforced as early as 1848.  It has thus formed the basis of trust law in this country for well over a century and half.</w:t>
      </w:r>
    </w:p>
  </w:footnote>
  <w:footnote w:id="25">
    <w:p w14:paraId="5B0E523C" w14:textId="1DCD0128" w:rsidR="00036876" w:rsidRPr="00456C12" w:rsidRDefault="00036876"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003-5, par 5 to 6 (AA)</w:t>
      </w:r>
      <w:r w:rsidR="00D0148E" w:rsidRPr="00456C12">
        <w:rPr>
          <w:sz w:val="22"/>
          <w:szCs w:val="22"/>
          <w:lang w:val="en-US"/>
        </w:rPr>
        <w:t>; compare CaseLines 004-5, par 6.2 (RA)</w:t>
      </w:r>
    </w:p>
  </w:footnote>
  <w:footnote w:id="26">
    <w:p w14:paraId="23329AE3" w14:textId="320B588F" w:rsidR="00036876" w:rsidRPr="00456C12" w:rsidRDefault="00036876"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003-5, par 7 to 003-6, par 9 (AA)</w:t>
      </w:r>
      <w:r w:rsidR="00D0148E" w:rsidRPr="00456C12">
        <w:rPr>
          <w:sz w:val="22"/>
          <w:szCs w:val="22"/>
          <w:lang w:val="en-US"/>
        </w:rPr>
        <w:t>; compare CaseLines 004-6, par</w:t>
      </w:r>
      <w:r w:rsidR="00456C12">
        <w:rPr>
          <w:sz w:val="22"/>
          <w:szCs w:val="22"/>
          <w:lang w:val="en-US"/>
        </w:rPr>
        <w:t> </w:t>
      </w:r>
      <w:r w:rsidR="00D0148E" w:rsidRPr="00456C12">
        <w:rPr>
          <w:sz w:val="22"/>
          <w:szCs w:val="22"/>
          <w:lang w:val="en-US"/>
        </w:rPr>
        <w:t>7</w:t>
      </w:r>
      <w:r w:rsidR="00456C12">
        <w:rPr>
          <w:sz w:val="22"/>
          <w:szCs w:val="22"/>
          <w:lang w:val="en-US"/>
        </w:rPr>
        <w:t> </w:t>
      </w:r>
      <w:r w:rsidR="00D0148E" w:rsidRPr="00456C12">
        <w:rPr>
          <w:sz w:val="22"/>
          <w:szCs w:val="22"/>
          <w:lang w:val="en-US"/>
        </w:rPr>
        <w:t>(RA)</w:t>
      </w:r>
    </w:p>
  </w:footnote>
  <w:footnote w:id="27">
    <w:p w14:paraId="35892208" w14:textId="25A950D4" w:rsidR="00036876" w:rsidRPr="00456C12" w:rsidRDefault="00036876"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003-7, par 14 to 003-8, par 19 and 003-8, par 21 (AA)</w:t>
      </w:r>
    </w:p>
  </w:footnote>
  <w:footnote w:id="28">
    <w:p w14:paraId="61FB3A1A" w14:textId="77A2A455" w:rsidR="00036876" w:rsidRPr="00456C12" w:rsidRDefault="00036876"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003-8, par 22</w:t>
      </w:r>
      <w:r w:rsidR="00163E10" w:rsidRPr="00456C12">
        <w:rPr>
          <w:sz w:val="22"/>
          <w:szCs w:val="22"/>
          <w:lang w:val="en-US"/>
        </w:rPr>
        <w:t>; see also 003-10 to 003-11, par 33</w:t>
      </w:r>
      <w:r w:rsidRPr="00456C12">
        <w:rPr>
          <w:sz w:val="22"/>
          <w:szCs w:val="22"/>
          <w:lang w:val="en-US"/>
        </w:rPr>
        <w:t xml:space="preserve"> (AA)</w:t>
      </w:r>
    </w:p>
  </w:footnote>
  <w:footnote w:id="29">
    <w:p w14:paraId="4E03D107" w14:textId="5C20C390" w:rsidR="00036876" w:rsidRPr="00456C12" w:rsidRDefault="00036876"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003-9 to 003-11, par 27 to 29, 30, 29.2, 32 and 34 (AA)</w:t>
      </w:r>
    </w:p>
  </w:footnote>
  <w:footnote w:id="30">
    <w:p w14:paraId="3DBF54DA" w14:textId="0FEB24BD" w:rsidR="006C5D99" w:rsidRPr="00456C12" w:rsidRDefault="006C5D99"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See </w:t>
      </w:r>
      <w:r w:rsidRPr="00DD1684">
        <w:rPr>
          <w:sz w:val="22"/>
          <w:szCs w:val="22"/>
          <w:lang w:val="en-US"/>
        </w:rPr>
        <w:t>paragraph 11 above</w:t>
      </w:r>
      <w:r w:rsidRPr="00456C12">
        <w:rPr>
          <w:sz w:val="22"/>
          <w:szCs w:val="22"/>
          <w:lang w:val="en-US"/>
        </w:rPr>
        <w:t>.</w:t>
      </w:r>
    </w:p>
  </w:footnote>
  <w:footnote w:id="31">
    <w:p w14:paraId="34AC7A96" w14:textId="509BFCBD" w:rsidR="006C5D99" w:rsidRPr="00456C12" w:rsidRDefault="006C5D99"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See </w:t>
      </w:r>
      <w:r w:rsidRPr="00DD1684">
        <w:rPr>
          <w:sz w:val="22"/>
          <w:szCs w:val="22"/>
          <w:lang w:val="en-US"/>
        </w:rPr>
        <w:t>paragraph 7 above</w:t>
      </w:r>
      <w:r w:rsidRPr="00456C12">
        <w:rPr>
          <w:sz w:val="22"/>
          <w:szCs w:val="22"/>
          <w:lang w:val="en-US"/>
        </w:rPr>
        <w:t>.</w:t>
      </w:r>
    </w:p>
  </w:footnote>
  <w:footnote w:id="32">
    <w:p w14:paraId="352B2740" w14:textId="104580B8" w:rsidR="006C5D99" w:rsidRPr="00456C12" w:rsidRDefault="006C5D99"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003-10, par 29.3 (AA)</w:t>
      </w:r>
    </w:p>
  </w:footnote>
  <w:footnote w:id="33">
    <w:p w14:paraId="26538B5D" w14:textId="4CDC86B8" w:rsidR="006C5D99" w:rsidRPr="00456C12" w:rsidRDefault="006C5D99"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See </w:t>
      </w:r>
      <w:r w:rsidRPr="00456C12">
        <w:rPr>
          <w:b/>
          <w:bCs/>
          <w:i/>
          <w:iCs/>
          <w:sz w:val="22"/>
          <w:szCs w:val="22"/>
          <w:lang w:val="en-US"/>
        </w:rPr>
        <w:t>Plascon-Evans Paints Ltd v van Riebeeck Paints (Pty) Ltd</w:t>
      </w:r>
      <w:r w:rsidRPr="00456C12">
        <w:rPr>
          <w:sz w:val="22"/>
          <w:szCs w:val="22"/>
          <w:lang w:val="en-US"/>
        </w:rPr>
        <w:t xml:space="preserve"> 1984 (3) SA 623 (A), 635C, which is authority for a court to reject a respondent’s version, where it is </w:t>
      </w:r>
      <w:r w:rsidR="002B312D">
        <w:rPr>
          <w:sz w:val="22"/>
          <w:szCs w:val="22"/>
          <w:lang w:val="en-US"/>
        </w:rPr>
        <w:t>‘</w:t>
      </w:r>
      <w:r w:rsidRPr="00456C12">
        <w:rPr>
          <w:sz w:val="22"/>
          <w:szCs w:val="22"/>
          <w:lang w:val="en-US"/>
        </w:rPr>
        <w:t xml:space="preserve">so far-fetched or clearly untenable’.  See also </w:t>
      </w:r>
      <w:r w:rsidRPr="00456C12">
        <w:rPr>
          <w:b/>
          <w:bCs/>
          <w:i/>
          <w:iCs/>
          <w:sz w:val="22"/>
          <w:szCs w:val="22"/>
          <w:lang w:val="en-US"/>
        </w:rPr>
        <w:t>National Director of Public Prosecutions v Zuma</w:t>
      </w:r>
      <w:r w:rsidRPr="00456C12">
        <w:rPr>
          <w:sz w:val="22"/>
          <w:szCs w:val="22"/>
          <w:lang w:val="en-US"/>
        </w:rPr>
        <w:t xml:space="preserve"> 2009 (2) SA 277 (SCA), par 26, which is authority, in addition to the grounds mention in </w:t>
      </w:r>
      <w:r w:rsidRPr="00456C12">
        <w:rPr>
          <w:b/>
          <w:bCs/>
          <w:i/>
          <w:iCs/>
          <w:sz w:val="22"/>
          <w:szCs w:val="22"/>
          <w:lang w:val="en-US"/>
        </w:rPr>
        <w:t>Plascon-Evans</w:t>
      </w:r>
      <w:r w:rsidRPr="00456C12">
        <w:rPr>
          <w:sz w:val="22"/>
          <w:szCs w:val="22"/>
          <w:lang w:val="en-US"/>
        </w:rPr>
        <w:t>, for a court to reject a respondent’s version for being ‘palpably implausible’.</w:t>
      </w:r>
    </w:p>
  </w:footnote>
  <w:footnote w:id="34">
    <w:p w14:paraId="5BD63E22" w14:textId="4CD72927" w:rsidR="006C5D99" w:rsidRPr="00456C12" w:rsidRDefault="006C5D99"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See </w:t>
      </w:r>
      <w:r w:rsidRPr="00DD1684">
        <w:rPr>
          <w:sz w:val="22"/>
          <w:szCs w:val="22"/>
          <w:lang w:val="en-US"/>
        </w:rPr>
        <w:t>paragraph 3 above</w:t>
      </w:r>
      <w:r w:rsidRPr="00456C12">
        <w:rPr>
          <w:sz w:val="22"/>
          <w:szCs w:val="22"/>
          <w:lang w:val="en-US"/>
        </w:rPr>
        <w:t>.</w:t>
      </w:r>
    </w:p>
  </w:footnote>
  <w:footnote w:id="35">
    <w:p w14:paraId="13B9644F" w14:textId="62C090C7" w:rsidR="006C5D99" w:rsidRPr="00456C12" w:rsidRDefault="006C5D99"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001-10, par 4.7 (AA)</w:t>
      </w:r>
    </w:p>
  </w:footnote>
  <w:footnote w:id="36">
    <w:p w14:paraId="4771063F" w14:textId="44D96C8A" w:rsidR="00741BA8" w:rsidRPr="00456C12" w:rsidRDefault="00741BA8"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Mr </w:t>
      </w:r>
      <w:r w:rsidR="0039050C">
        <w:rPr>
          <w:sz w:val="22"/>
          <w:szCs w:val="22"/>
          <w:lang w:val="en-US"/>
        </w:rPr>
        <w:t>F[...]</w:t>
      </w:r>
      <w:r w:rsidRPr="00456C12">
        <w:rPr>
          <w:sz w:val="22"/>
          <w:szCs w:val="22"/>
          <w:lang w:val="en-US"/>
        </w:rPr>
        <w:t xml:space="preserve"> sending an estate agent to the immovable property is not the action of the Bekker Trust but his personally.</w:t>
      </w:r>
    </w:p>
  </w:footnote>
  <w:footnote w:id="37">
    <w:p w14:paraId="39C7E060" w14:textId="15701963" w:rsidR="006C5D99" w:rsidRPr="00456C12" w:rsidRDefault="006C5D99"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003-10, par 33 (AA)</w:t>
      </w:r>
    </w:p>
  </w:footnote>
  <w:footnote w:id="38">
    <w:p w14:paraId="00D7D1FC" w14:textId="50DE25A8" w:rsidR="006C5D99" w:rsidRPr="00456C12" w:rsidRDefault="006C5D99"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003-5, par 1 (AA)</w:t>
      </w:r>
    </w:p>
  </w:footnote>
  <w:footnote w:id="39">
    <w:p w14:paraId="7759A972" w14:textId="7DDDA2D5" w:rsidR="006C5D99" w:rsidRPr="00456C12" w:rsidRDefault="006C5D99"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See </w:t>
      </w:r>
      <w:r w:rsidRPr="002B312D">
        <w:rPr>
          <w:sz w:val="22"/>
          <w:szCs w:val="22"/>
          <w:lang w:val="en-US"/>
        </w:rPr>
        <w:t>paragraph 14 above</w:t>
      </w:r>
      <w:r w:rsidRPr="00456C12">
        <w:rPr>
          <w:sz w:val="22"/>
          <w:szCs w:val="22"/>
          <w:lang w:val="en-US"/>
        </w:rPr>
        <w:t>.</w:t>
      </w:r>
    </w:p>
  </w:footnote>
  <w:footnote w:id="40">
    <w:p w14:paraId="02630E70" w14:textId="55CDC978" w:rsidR="00741BA8" w:rsidRPr="00456C12" w:rsidRDefault="00741BA8"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See </w:t>
      </w:r>
      <w:r w:rsidRPr="002B312D">
        <w:rPr>
          <w:sz w:val="22"/>
          <w:szCs w:val="22"/>
          <w:lang w:val="en-US"/>
        </w:rPr>
        <w:t>paragraph 19 below</w:t>
      </w:r>
      <w:r w:rsidR="002B312D">
        <w:rPr>
          <w:sz w:val="22"/>
          <w:szCs w:val="22"/>
          <w:lang w:val="en-US"/>
        </w:rPr>
        <w:t xml:space="preserve"> and, particularly, footnote 43 thereto</w:t>
      </w:r>
      <w:r w:rsidRPr="00456C12">
        <w:rPr>
          <w:sz w:val="22"/>
          <w:szCs w:val="22"/>
          <w:lang w:val="en-US"/>
        </w:rPr>
        <w:t>.</w:t>
      </w:r>
    </w:p>
  </w:footnote>
  <w:footnote w:id="41">
    <w:p w14:paraId="3CE6D0DE" w14:textId="0216E36C" w:rsidR="007263F2" w:rsidRPr="00456C12" w:rsidRDefault="007263F2"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The letters written to Mrs </w:t>
      </w:r>
      <w:r w:rsidR="0039050C">
        <w:rPr>
          <w:sz w:val="22"/>
          <w:szCs w:val="22"/>
          <w:lang w:val="en-US"/>
        </w:rPr>
        <w:t>F[...]</w:t>
      </w:r>
      <w:r w:rsidRPr="00456C12">
        <w:rPr>
          <w:sz w:val="22"/>
          <w:szCs w:val="22"/>
          <w:lang w:val="en-US"/>
        </w:rPr>
        <w:t xml:space="preserve">’s attorneys in the divorce action (see for example, CaseLines 001-37 – 001-38 (annexure </w:t>
      </w:r>
      <w:r w:rsidRPr="00456C12">
        <w:rPr>
          <w:b/>
          <w:bCs/>
          <w:sz w:val="22"/>
          <w:szCs w:val="22"/>
          <w:lang w:val="en-US"/>
        </w:rPr>
        <w:t>FA3</w:t>
      </w:r>
      <w:r w:rsidRPr="00456C12">
        <w:rPr>
          <w:sz w:val="22"/>
          <w:szCs w:val="22"/>
          <w:lang w:val="en-US"/>
        </w:rPr>
        <w:t xml:space="preserve"> to the FA)), Mrs </w:t>
      </w:r>
      <w:r w:rsidR="0039050C">
        <w:rPr>
          <w:sz w:val="22"/>
          <w:szCs w:val="22"/>
          <w:lang w:val="en-US"/>
        </w:rPr>
        <w:t>F[...]</w:t>
      </w:r>
      <w:r w:rsidRPr="00456C12">
        <w:rPr>
          <w:sz w:val="22"/>
          <w:szCs w:val="22"/>
          <w:lang w:val="en-US"/>
        </w:rPr>
        <w:t xml:space="preserve"> (see for example, CaseLines 001-40 to 001-41 (annexure </w:t>
      </w:r>
      <w:r w:rsidRPr="00456C12">
        <w:rPr>
          <w:b/>
          <w:bCs/>
          <w:sz w:val="22"/>
          <w:szCs w:val="22"/>
          <w:lang w:val="en-US"/>
        </w:rPr>
        <w:t>FA4</w:t>
      </w:r>
      <w:r w:rsidRPr="00456C12">
        <w:rPr>
          <w:sz w:val="22"/>
          <w:szCs w:val="22"/>
          <w:lang w:val="en-US"/>
        </w:rPr>
        <w:t xml:space="preserve"> to the FA) and Mrs </w:t>
      </w:r>
      <w:r w:rsidR="0039050C">
        <w:rPr>
          <w:sz w:val="22"/>
          <w:szCs w:val="22"/>
          <w:lang w:val="en-US"/>
        </w:rPr>
        <w:t>F[...]</w:t>
      </w:r>
      <w:r w:rsidRPr="00456C12">
        <w:rPr>
          <w:sz w:val="22"/>
          <w:szCs w:val="22"/>
          <w:lang w:val="en-US"/>
        </w:rPr>
        <w:t xml:space="preserve">’s litigation attorneys (see for example, CaseLines 001-44 to 001-46 (annexure </w:t>
      </w:r>
      <w:r w:rsidRPr="00456C12">
        <w:rPr>
          <w:b/>
          <w:bCs/>
          <w:sz w:val="22"/>
          <w:szCs w:val="22"/>
          <w:lang w:val="en-US"/>
        </w:rPr>
        <w:t>FA3</w:t>
      </w:r>
      <w:r w:rsidRPr="00456C12">
        <w:rPr>
          <w:sz w:val="22"/>
          <w:szCs w:val="22"/>
          <w:lang w:val="en-US"/>
        </w:rPr>
        <w:t xml:space="preserve"> to the FA); CaseLines 001-47 to 001-48 (annexure </w:t>
      </w:r>
      <w:r w:rsidRPr="00456C12">
        <w:rPr>
          <w:b/>
          <w:bCs/>
          <w:sz w:val="22"/>
          <w:szCs w:val="22"/>
          <w:lang w:val="en-US"/>
        </w:rPr>
        <w:t>FA3</w:t>
      </w:r>
      <w:r w:rsidRPr="00456C12">
        <w:rPr>
          <w:sz w:val="22"/>
          <w:szCs w:val="22"/>
          <w:lang w:val="en-US"/>
        </w:rPr>
        <w:t xml:space="preserve"> to the FA); CaseLines 001-49 to 001-50 (annexure </w:t>
      </w:r>
      <w:r w:rsidRPr="00456C12">
        <w:rPr>
          <w:b/>
          <w:bCs/>
          <w:sz w:val="22"/>
          <w:szCs w:val="22"/>
          <w:lang w:val="en-US"/>
        </w:rPr>
        <w:t>FA3</w:t>
      </w:r>
      <w:r w:rsidRPr="00456C12">
        <w:rPr>
          <w:sz w:val="22"/>
          <w:szCs w:val="22"/>
          <w:lang w:val="en-US"/>
        </w:rPr>
        <w:t xml:space="preserve"> to the FA); CaseLines 001-53 to 001-54 (annexure </w:t>
      </w:r>
      <w:r w:rsidRPr="00456C12">
        <w:rPr>
          <w:b/>
          <w:bCs/>
          <w:sz w:val="22"/>
          <w:szCs w:val="22"/>
          <w:lang w:val="en-US"/>
        </w:rPr>
        <w:t>FA3</w:t>
      </w:r>
      <w:r w:rsidRPr="00456C12">
        <w:rPr>
          <w:sz w:val="22"/>
          <w:szCs w:val="22"/>
          <w:lang w:val="en-US"/>
        </w:rPr>
        <w:t xml:space="preserve"> to the FA)) do not constitute requests to the other trustees to sell the property.</w:t>
      </w:r>
    </w:p>
    <w:p w14:paraId="0F2AF083" w14:textId="512D995A" w:rsidR="007263F2" w:rsidRPr="00456C12" w:rsidRDefault="007263F2" w:rsidP="00456C12">
      <w:pPr>
        <w:pStyle w:val="FootnoteText"/>
        <w:spacing w:before="120" w:after="120"/>
        <w:ind w:left="851" w:hanging="851"/>
        <w:rPr>
          <w:sz w:val="22"/>
          <w:szCs w:val="22"/>
          <w:lang w:val="en-US"/>
        </w:rPr>
      </w:pPr>
      <w:r w:rsidRPr="00456C12">
        <w:rPr>
          <w:sz w:val="22"/>
          <w:szCs w:val="22"/>
          <w:lang w:val="en-US"/>
        </w:rPr>
        <w:tab/>
        <w:t xml:space="preserve">In passing, I point out that it is not sufficient for a litigant to employ phrases such as ‘[a]ll annexures to this founding affidavit is incorporated herein by way of reference’ (see CaseLines 001-7, par 1.4 (FA)), nor is it sufficient for a litigant to attach a series of letters exchanged between parties without directing the opposing party’s attention to which portion of which of the letters it relies upon (see CaseLines 001-9, par 3.6(FA)).  In this regard, see </w:t>
      </w:r>
      <w:r w:rsidRPr="00456C12">
        <w:rPr>
          <w:b/>
          <w:bCs/>
          <w:i/>
          <w:iCs/>
          <w:sz w:val="22"/>
          <w:szCs w:val="22"/>
          <w:lang w:val="en-US"/>
        </w:rPr>
        <w:t>Swissborough Diamond Mines (Pty) Ltd and Others v Government of the Republic of South Africa and Others</w:t>
      </w:r>
      <w:r w:rsidRPr="00456C12">
        <w:rPr>
          <w:sz w:val="22"/>
          <w:szCs w:val="22"/>
          <w:lang w:val="en-US"/>
        </w:rPr>
        <w:t xml:space="preserve"> 1999 (2) SA 279 (T), 324G-H.  It is not for the opposing party, or a court, to scratch through such annexures in the hope that the aspect being relied upon might be guessed by the opposing party or the court.  A party is under an obligation to make out its case clearly in its papers.  See </w:t>
      </w:r>
      <w:r w:rsidRPr="00456C12">
        <w:rPr>
          <w:b/>
          <w:bCs/>
          <w:i/>
          <w:iCs/>
          <w:sz w:val="22"/>
          <w:szCs w:val="22"/>
          <w:lang w:val="en-US"/>
        </w:rPr>
        <w:t>Swissborough</w:t>
      </w:r>
      <w:r w:rsidRPr="00456C12">
        <w:rPr>
          <w:sz w:val="22"/>
          <w:szCs w:val="22"/>
          <w:lang w:val="en-US"/>
        </w:rPr>
        <w:t>, 323G-I.</w:t>
      </w:r>
      <w:r w:rsidR="00811D83" w:rsidRPr="00456C12">
        <w:rPr>
          <w:sz w:val="22"/>
          <w:szCs w:val="22"/>
          <w:lang w:val="en-US"/>
        </w:rPr>
        <w:t xml:space="preserve">  This applies to both an applicant and a respondent.  See </w:t>
      </w:r>
      <w:r w:rsidR="00811D83" w:rsidRPr="00456C12">
        <w:rPr>
          <w:b/>
          <w:bCs/>
          <w:i/>
          <w:iCs/>
          <w:sz w:val="22"/>
          <w:szCs w:val="22"/>
          <w:lang w:val="en-US"/>
        </w:rPr>
        <w:t>Swissborough</w:t>
      </w:r>
      <w:r w:rsidR="00811D83" w:rsidRPr="00456C12">
        <w:rPr>
          <w:sz w:val="22"/>
          <w:szCs w:val="22"/>
          <w:lang w:val="en-US"/>
        </w:rPr>
        <w:t>, 323J-324D.</w:t>
      </w:r>
    </w:p>
  </w:footnote>
  <w:footnote w:id="42">
    <w:p w14:paraId="2B7F0CAC" w14:textId="74153BFE" w:rsidR="00D0148E" w:rsidRPr="00456C12" w:rsidRDefault="00D0148E"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CaseLines 003-15 to 003-18 (annexure </w:t>
      </w:r>
      <w:r w:rsidRPr="00456C12">
        <w:rPr>
          <w:b/>
          <w:bCs/>
          <w:sz w:val="22"/>
          <w:szCs w:val="22"/>
          <w:lang w:val="en-US"/>
        </w:rPr>
        <w:t>VF2</w:t>
      </w:r>
      <w:r w:rsidRPr="00456C12">
        <w:rPr>
          <w:sz w:val="22"/>
          <w:szCs w:val="22"/>
          <w:lang w:val="en-US"/>
        </w:rPr>
        <w:t xml:space="preserve"> to the AA)</w:t>
      </w:r>
    </w:p>
  </w:footnote>
  <w:footnote w:id="43">
    <w:p w14:paraId="225605E4" w14:textId="2746586E" w:rsidR="00D0148E" w:rsidRPr="00456C12" w:rsidRDefault="00D0148E"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See in this regard, the provisions of s 18 of the Trust Property Control Act 57 of 1988.</w:t>
      </w:r>
    </w:p>
  </w:footnote>
  <w:footnote w:id="44">
    <w:p w14:paraId="675086CD" w14:textId="37CB3C19" w:rsidR="00D0148E" w:rsidRPr="00456C12" w:rsidRDefault="00D0148E"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003-7 to 003-8, par 19 (AA)</w:t>
      </w:r>
    </w:p>
  </w:footnote>
  <w:footnote w:id="45">
    <w:p w14:paraId="3809DE0A" w14:textId="25F420D2" w:rsidR="00D0148E" w:rsidRPr="00456C12" w:rsidRDefault="00D0148E"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004-9, par 15.2 (RA)</w:t>
      </w:r>
    </w:p>
  </w:footnote>
  <w:footnote w:id="46">
    <w:p w14:paraId="316F2EFC" w14:textId="54B24010" w:rsidR="00D0148E" w:rsidRPr="00456C12" w:rsidRDefault="00D0148E"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Act 57 of 1988</w:t>
      </w:r>
    </w:p>
  </w:footnote>
  <w:footnote w:id="47">
    <w:p w14:paraId="465BEE1F" w14:textId="1E570162" w:rsidR="00D0148E" w:rsidRPr="00456C12" w:rsidRDefault="00D0148E"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r>
      <w:r w:rsidRPr="00456C12">
        <w:rPr>
          <w:b/>
          <w:bCs/>
          <w:i/>
          <w:iCs/>
          <w:sz w:val="22"/>
          <w:szCs w:val="22"/>
          <w:lang w:val="en-US"/>
        </w:rPr>
        <w:t>Swissborough</w:t>
      </w:r>
      <w:r w:rsidRPr="00456C12">
        <w:rPr>
          <w:sz w:val="22"/>
          <w:szCs w:val="22"/>
          <w:lang w:val="en-US"/>
        </w:rPr>
        <w:t xml:space="preserve">, 323G.  See also </w:t>
      </w:r>
      <w:bookmarkStart w:id="0" w:name="_Hlk153871313"/>
      <w:r w:rsidRPr="00456C12">
        <w:rPr>
          <w:b/>
          <w:i/>
          <w:sz w:val="22"/>
          <w:szCs w:val="22"/>
        </w:rPr>
        <w:t>MEC for Education</w:t>
      </w:r>
      <w:bookmarkEnd w:id="0"/>
      <w:r w:rsidRPr="00456C12">
        <w:rPr>
          <w:b/>
          <w:i/>
          <w:sz w:val="22"/>
          <w:szCs w:val="22"/>
        </w:rPr>
        <w:t xml:space="preserve">, Gauteng Province and Others v Governing Body, Rivonia Primary School and Others </w:t>
      </w:r>
      <w:r w:rsidRPr="00456C12">
        <w:rPr>
          <w:sz w:val="22"/>
          <w:szCs w:val="22"/>
        </w:rPr>
        <w:t>2013 (6) SA 582 CC, par 100</w:t>
      </w:r>
    </w:p>
  </w:footnote>
  <w:footnote w:id="48">
    <w:p w14:paraId="2657CB71" w14:textId="37D0157E" w:rsidR="007D0514" w:rsidRPr="00456C12" w:rsidRDefault="007D0514"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It has not escaped my attention that, albeit that the requests were incorrectly directed at Mrs </w:t>
      </w:r>
      <w:r w:rsidR="0039050C">
        <w:rPr>
          <w:sz w:val="22"/>
          <w:szCs w:val="22"/>
          <w:lang w:val="en-US"/>
        </w:rPr>
        <w:t>F[...]</w:t>
      </w:r>
      <w:r w:rsidRPr="00456C12">
        <w:rPr>
          <w:sz w:val="22"/>
          <w:szCs w:val="22"/>
          <w:lang w:val="en-US"/>
        </w:rPr>
        <w:t xml:space="preserve"> and her divorce and litigation attorneys, Mr </w:t>
      </w:r>
      <w:r w:rsidR="0039050C">
        <w:rPr>
          <w:sz w:val="22"/>
          <w:szCs w:val="22"/>
          <w:lang w:val="en-US"/>
        </w:rPr>
        <w:t>F[...]</w:t>
      </w:r>
      <w:r w:rsidRPr="00456C12">
        <w:rPr>
          <w:sz w:val="22"/>
          <w:szCs w:val="22"/>
          <w:lang w:val="en-US"/>
        </w:rPr>
        <w:t xml:space="preserve">, through his attorneys, on numerous occasions asked Mrs </w:t>
      </w:r>
      <w:r w:rsidR="0039050C">
        <w:rPr>
          <w:sz w:val="22"/>
          <w:szCs w:val="22"/>
          <w:lang w:val="en-US"/>
        </w:rPr>
        <w:t>F[...]</w:t>
      </w:r>
      <w:r w:rsidRPr="00456C12">
        <w:rPr>
          <w:sz w:val="22"/>
          <w:szCs w:val="22"/>
          <w:lang w:val="en-US"/>
        </w:rPr>
        <w:t xml:space="preserve"> to give the estate agent access to the immovable property so that it could be sold.  This was a practical approach, although not the correct legal approach.</w:t>
      </w:r>
    </w:p>
  </w:footnote>
  <w:footnote w:id="49">
    <w:p w14:paraId="2FD785AC" w14:textId="6D4BC0DF" w:rsidR="007D0514" w:rsidRPr="00456C12" w:rsidRDefault="007D0514" w:rsidP="00456C12">
      <w:pPr>
        <w:pStyle w:val="FootnoteText"/>
        <w:spacing w:before="120" w:after="120"/>
        <w:ind w:left="851" w:hanging="851"/>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 xml:space="preserve">See clause 8.3.8 of the settlement agreement (CaseLines 001-22, cl 8.3.8 (annexure </w:t>
      </w:r>
      <w:r w:rsidRPr="00456C12">
        <w:rPr>
          <w:b/>
          <w:bCs/>
          <w:sz w:val="22"/>
          <w:szCs w:val="22"/>
          <w:lang w:val="en-US"/>
        </w:rPr>
        <w:t>FA2</w:t>
      </w:r>
      <w:r w:rsidRPr="00456C12">
        <w:rPr>
          <w:sz w:val="22"/>
          <w:szCs w:val="22"/>
          <w:lang w:val="en-US"/>
        </w:rPr>
        <w:t xml:space="preserve"> to the FA)</w:t>
      </w:r>
    </w:p>
  </w:footnote>
  <w:footnote w:id="50">
    <w:p w14:paraId="27AE1C76" w14:textId="717E3D35" w:rsidR="007D0514" w:rsidRPr="00456C12" w:rsidRDefault="007D0514"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004-3, par 1.1 (AA)</w:t>
      </w:r>
    </w:p>
  </w:footnote>
  <w:footnote w:id="51">
    <w:p w14:paraId="5B1381C4" w14:textId="6ED61595" w:rsidR="007D0514" w:rsidRPr="00456C12" w:rsidRDefault="007D0514"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001-2, par 4 (NoM)</w:t>
      </w:r>
    </w:p>
  </w:footnote>
  <w:footnote w:id="52">
    <w:p w14:paraId="55E9773D" w14:textId="4B30199C" w:rsidR="007D0514" w:rsidRPr="00456C12" w:rsidRDefault="007D0514"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CaseLines 001-3, par 7 (NoM)</w:t>
      </w:r>
    </w:p>
  </w:footnote>
  <w:footnote w:id="53">
    <w:p w14:paraId="6CDD242F" w14:textId="1E0D0EE4" w:rsidR="007D0514" w:rsidRPr="00456C12" w:rsidRDefault="007D0514" w:rsidP="00456C12">
      <w:pPr>
        <w:pStyle w:val="FootnoteText"/>
        <w:spacing w:before="120" w:after="120"/>
        <w:rPr>
          <w:sz w:val="22"/>
          <w:szCs w:val="22"/>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See CaseLines 003-10, par 29.3 (AA)</w:t>
      </w:r>
    </w:p>
  </w:footnote>
  <w:footnote w:id="54">
    <w:p w14:paraId="0203563B" w14:textId="0ACAD847" w:rsidR="007D0514" w:rsidRPr="007D0514" w:rsidRDefault="007D0514" w:rsidP="00456C12">
      <w:pPr>
        <w:pStyle w:val="FootnoteText"/>
        <w:spacing w:before="120" w:after="120"/>
        <w:ind w:left="851" w:hanging="851"/>
        <w:rPr>
          <w:lang w:val="en-US"/>
        </w:rPr>
      </w:pPr>
      <w:r w:rsidRPr="00456C12">
        <w:rPr>
          <w:rStyle w:val="FootnoteReference"/>
          <w:sz w:val="22"/>
          <w:szCs w:val="22"/>
        </w:rPr>
        <w:footnoteRef/>
      </w:r>
      <w:r w:rsidRPr="00456C12">
        <w:rPr>
          <w:sz w:val="22"/>
          <w:szCs w:val="22"/>
        </w:rPr>
        <w:t xml:space="preserve"> </w:t>
      </w:r>
      <w:r w:rsidRPr="00456C12">
        <w:rPr>
          <w:sz w:val="22"/>
          <w:szCs w:val="22"/>
          <w:lang w:val="en-US"/>
        </w:rPr>
        <w:tab/>
        <w:t>Compare CaseLines 001-40 to 001-41 with CaseLines 003-13 to 003-14; CaseLines 001</w:t>
      </w:r>
      <w:r w:rsidRPr="00456C12">
        <w:rPr>
          <w:sz w:val="22"/>
          <w:szCs w:val="22"/>
          <w:lang w:val="en-US"/>
        </w:rPr>
        <w:noBreakHyphen/>
        <w:t>42 to 001-43 with CaseLines 003-15 to 16; CaseLines 001-44 to 001-46 with CaseLines 003-22 to 003-24; CaseLines 001-49 to 001-50 with CaseLines 003-25 to 003-26; CaseLines 001-51 to 001-52 with CaseLines 003-27 to 003-28.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A4249" w14:textId="77777777" w:rsidR="004F3B4C" w:rsidRDefault="005C3F84" w:rsidP="00CC0D16">
    <w:pPr>
      <w:pStyle w:val="Header"/>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752DE40D" w14:textId="77777777" w:rsidR="004F3B4C" w:rsidRPr="00AA6E19" w:rsidRDefault="004F3B4C" w:rsidP="00CC0D16">
    <w:pPr>
      <w:pStyle w:val="Header"/>
      <w:spacing w:after="240"/>
      <w:ind w:left="-567"/>
      <w:rPr>
        <w:sz w:val="20"/>
        <w:szCs w:val="20"/>
      </w:rPr>
    </w:pPr>
  </w:p>
  <w:p w14:paraId="7C92B863" w14:textId="713BDAD0" w:rsidR="004F3B4C" w:rsidRDefault="005C3F84" w:rsidP="00CC0D16">
    <w:pPr>
      <w:pStyle w:val="Header"/>
      <w:spacing w:after="720" w:line="480" w:lineRule="auto"/>
      <w:jc w:val="center"/>
      <w:rPr>
        <w:snapToGrid w:val="0"/>
        <w:sz w:val="24"/>
      </w:rPr>
    </w:pPr>
    <w:r>
      <w:rPr>
        <w:snapToGrid w:val="0"/>
        <w:sz w:val="24"/>
      </w:rPr>
      <w:t xml:space="preserve">- </w:t>
    </w:r>
    <w:r>
      <w:rPr>
        <w:snapToGrid w:val="0"/>
        <w:sz w:val="24"/>
      </w:rPr>
      <w:fldChar w:fldCharType="begin"/>
    </w:r>
    <w:r>
      <w:rPr>
        <w:snapToGrid w:val="0"/>
        <w:sz w:val="24"/>
      </w:rPr>
      <w:instrText xml:space="preserve"> PAGE </w:instrText>
    </w:r>
    <w:r>
      <w:rPr>
        <w:snapToGrid w:val="0"/>
        <w:sz w:val="24"/>
      </w:rPr>
      <w:fldChar w:fldCharType="separate"/>
    </w:r>
    <w:r w:rsidR="00E02814">
      <w:rPr>
        <w:noProof/>
        <w:snapToGrid w:val="0"/>
        <w:sz w:val="24"/>
      </w:rPr>
      <w:t>2</w:t>
    </w:r>
    <w:r>
      <w:rPr>
        <w:snapToGrid w:val="0"/>
        <w:sz w:val="24"/>
      </w:rPr>
      <w:fldChar w:fldCharType="end"/>
    </w:r>
    <w:r>
      <w:rPr>
        <w:snapToGrid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9571C" w14:textId="77777777" w:rsidR="004F3B4C" w:rsidRPr="00C8686E" w:rsidRDefault="004F3B4C" w:rsidP="00CC0D16">
    <w:pPr>
      <w:pStyle w:val="Header"/>
      <w:rPr>
        <w:sz w:val="16"/>
        <w:szCs w:val="16"/>
      </w:rPr>
    </w:pPr>
  </w:p>
  <w:p w14:paraId="703FC8A7" w14:textId="77777777" w:rsidR="004F3B4C" w:rsidRDefault="004F3B4C" w:rsidP="00CC0D16">
    <w:pPr>
      <w:pStyle w:val="Header"/>
      <w:rPr>
        <w:snapToGrid w:val="0"/>
        <w:sz w:val="16"/>
      </w:rPr>
    </w:pPr>
  </w:p>
  <w:p w14:paraId="5A0195B1" w14:textId="77777777" w:rsidR="004F3B4C" w:rsidRDefault="005C3F84" w:rsidP="00CC0D16">
    <w:pPr>
      <w:pStyle w:val="Header"/>
      <w:jc w:val="center"/>
      <w:rPr>
        <w:snapToGrid w:val="0"/>
        <w:sz w:val="16"/>
      </w:rPr>
    </w:pPr>
    <w:r w:rsidRPr="00374AA9">
      <w:rPr>
        <w:rFonts w:ascii="Times New Roman" w:hAnsi="Times New Roman" w:cs="Times New Roman"/>
        <w:noProof/>
        <w:sz w:val="24"/>
        <w:szCs w:val="24"/>
        <w:lang w:val="en-ZA" w:eastAsia="en-ZA"/>
      </w:rPr>
      <w:drawing>
        <wp:inline distT="0" distB="0" distL="0" distR="0" wp14:anchorId="563A6192" wp14:editId="18BE03B8">
          <wp:extent cx="1581100" cy="1463040"/>
          <wp:effectExtent l="0" t="0" r="0" b="0"/>
          <wp:docPr id="1" name="Picture 1"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029" cy="14694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975B2"/>
    <w:multiLevelType w:val="hybridMultilevel"/>
    <w:tmpl w:val="811233E6"/>
    <w:lvl w:ilvl="0" w:tplc="ECF2BA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8DA19BB"/>
    <w:multiLevelType w:val="hybridMultilevel"/>
    <w:tmpl w:val="DBEA612E"/>
    <w:lvl w:ilvl="0" w:tplc="53A0B636">
      <w:start w:val="1"/>
      <w:numFmt w:val="decimal"/>
      <w:lvlText w:val="%1."/>
      <w:lvlJc w:val="left"/>
      <w:pPr>
        <w:ind w:left="1430" w:hanging="580"/>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 w15:restartNumberingAfterBreak="0">
    <w:nsid w:val="5C1E2935"/>
    <w:multiLevelType w:val="multilevel"/>
    <w:tmpl w:val="0B34426C"/>
    <w:lvl w:ilvl="0">
      <w:start w:val="3"/>
      <w:numFmt w:val="decimal"/>
      <w:lvlText w:val="%1"/>
      <w:lvlJc w:val="left"/>
      <w:pPr>
        <w:ind w:left="360" w:hanging="360"/>
      </w:pPr>
      <w:rPr>
        <w:rFonts w:hint="default"/>
      </w:rPr>
    </w:lvl>
    <w:lvl w:ilvl="1">
      <w:start w:val="1"/>
      <w:numFmt w:val="decimal"/>
      <w:lvlText w:val="%1.%2"/>
      <w:lvlJc w:val="left"/>
      <w:pPr>
        <w:ind w:left="193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3" w15:restartNumberingAfterBreak="0">
    <w:nsid w:val="5F36541C"/>
    <w:multiLevelType w:val="multilevel"/>
    <w:tmpl w:val="D1ECC7B0"/>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num w:numId="1" w16cid:durableId="1108966620">
    <w:abstractNumId w:val="3"/>
  </w:num>
  <w:num w:numId="2" w16cid:durableId="484513750">
    <w:abstractNumId w:val="0"/>
  </w:num>
  <w:num w:numId="3" w16cid:durableId="29114675">
    <w:abstractNumId w:val="1"/>
  </w:num>
  <w:num w:numId="4" w16cid:durableId="1551766616">
    <w:abstractNumId w:val="2"/>
  </w:num>
  <w:num w:numId="5" w16cid:durableId="2125465824">
    <w:abstractNumId w:val="3"/>
  </w:num>
  <w:num w:numId="6" w16cid:durableId="534462279">
    <w:abstractNumId w:val="3"/>
  </w:num>
  <w:num w:numId="7" w16cid:durableId="1515998927">
    <w:abstractNumId w:val="3"/>
  </w:num>
  <w:num w:numId="8" w16cid:durableId="1094940109">
    <w:abstractNumId w:val="3"/>
  </w:num>
  <w:num w:numId="9" w16cid:durableId="1713919782">
    <w:abstractNumId w:val="3"/>
  </w:num>
  <w:num w:numId="10" w16cid:durableId="221907665">
    <w:abstractNumId w:val="3"/>
  </w:num>
  <w:num w:numId="11" w16cid:durableId="510148191">
    <w:abstractNumId w:val="3"/>
  </w:num>
  <w:num w:numId="12" w16cid:durableId="353191452">
    <w:abstractNumId w:val="3"/>
  </w:num>
  <w:num w:numId="13" w16cid:durableId="1442453347">
    <w:abstractNumId w:val="3"/>
  </w:num>
  <w:num w:numId="14" w16cid:durableId="615217525">
    <w:abstractNumId w:val="3"/>
  </w:num>
  <w:num w:numId="15" w16cid:durableId="1971351685">
    <w:abstractNumId w:val="3"/>
  </w:num>
  <w:num w:numId="16" w16cid:durableId="2057849521">
    <w:abstractNumId w:val="3"/>
  </w:num>
  <w:num w:numId="17" w16cid:durableId="607085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tjC3NDc1NzY1sTRQ0lEKTi0uzszPAykwrAUANSrErSwAAAA="/>
  </w:docVars>
  <w:rsids>
    <w:rsidRoot w:val="00332356"/>
    <w:rsid w:val="00021A19"/>
    <w:rsid w:val="0002774B"/>
    <w:rsid w:val="00036876"/>
    <w:rsid w:val="0003756F"/>
    <w:rsid w:val="00044035"/>
    <w:rsid w:val="000A4C20"/>
    <w:rsid w:val="000F0170"/>
    <w:rsid w:val="00103D07"/>
    <w:rsid w:val="0010583E"/>
    <w:rsid w:val="00116196"/>
    <w:rsid w:val="00136FBB"/>
    <w:rsid w:val="00150A1B"/>
    <w:rsid w:val="00163E10"/>
    <w:rsid w:val="0018666E"/>
    <w:rsid w:val="00193F19"/>
    <w:rsid w:val="001C591A"/>
    <w:rsid w:val="001D050E"/>
    <w:rsid w:val="001F60C4"/>
    <w:rsid w:val="00220664"/>
    <w:rsid w:val="00222780"/>
    <w:rsid w:val="00292333"/>
    <w:rsid w:val="002A3B8C"/>
    <w:rsid w:val="002B312D"/>
    <w:rsid w:val="00302091"/>
    <w:rsid w:val="0030320C"/>
    <w:rsid w:val="003161F3"/>
    <w:rsid w:val="003244F9"/>
    <w:rsid w:val="00330F60"/>
    <w:rsid w:val="00332356"/>
    <w:rsid w:val="0039050C"/>
    <w:rsid w:val="003C2D8D"/>
    <w:rsid w:val="003F376C"/>
    <w:rsid w:val="00430C7B"/>
    <w:rsid w:val="00456C12"/>
    <w:rsid w:val="004C7AEF"/>
    <w:rsid w:val="004F3B4C"/>
    <w:rsid w:val="00515355"/>
    <w:rsid w:val="00523A3D"/>
    <w:rsid w:val="0055537E"/>
    <w:rsid w:val="005C3F84"/>
    <w:rsid w:val="005F1970"/>
    <w:rsid w:val="006026B9"/>
    <w:rsid w:val="006277D0"/>
    <w:rsid w:val="006473A9"/>
    <w:rsid w:val="00653850"/>
    <w:rsid w:val="00696DDF"/>
    <w:rsid w:val="006B3CC0"/>
    <w:rsid w:val="006C5D99"/>
    <w:rsid w:val="006D0FE1"/>
    <w:rsid w:val="006D1BDF"/>
    <w:rsid w:val="00711675"/>
    <w:rsid w:val="007133BA"/>
    <w:rsid w:val="00724DB4"/>
    <w:rsid w:val="007263F2"/>
    <w:rsid w:val="00741BA8"/>
    <w:rsid w:val="00746883"/>
    <w:rsid w:val="007511E8"/>
    <w:rsid w:val="007525E2"/>
    <w:rsid w:val="007B6F76"/>
    <w:rsid w:val="007D0514"/>
    <w:rsid w:val="00811D83"/>
    <w:rsid w:val="00817336"/>
    <w:rsid w:val="00862718"/>
    <w:rsid w:val="00882AF9"/>
    <w:rsid w:val="008909FA"/>
    <w:rsid w:val="008A23F9"/>
    <w:rsid w:val="008C2705"/>
    <w:rsid w:val="008F7385"/>
    <w:rsid w:val="009016DA"/>
    <w:rsid w:val="009062B6"/>
    <w:rsid w:val="00990CF4"/>
    <w:rsid w:val="009927DA"/>
    <w:rsid w:val="009B19CC"/>
    <w:rsid w:val="009D39C3"/>
    <w:rsid w:val="009D667D"/>
    <w:rsid w:val="00A257B9"/>
    <w:rsid w:val="00A3026D"/>
    <w:rsid w:val="00A33D3C"/>
    <w:rsid w:val="00A4102A"/>
    <w:rsid w:val="00A53EA3"/>
    <w:rsid w:val="00A932A3"/>
    <w:rsid w:val="00AA6B70"/>
    <w:rsid w:val="00AB2F7A"/>
    <w:rsid w:val="00AB7D03"/>
    <w:rsid w:val="00B24C63"/>
    <w:rsid w:val="00B6572A"/>
    <w:rsid w:val="00BC637F"/>
    <w:rsid w:val="00BE178B"/>
    <w:rsid w:val="00C47D8B"/>
    <w:rsid w:val="00C527FC"/>
    <w:rsid w:val="00C52993"/>
    <w:rsid w:val="00C74C6F"/>
    <w:rsid w:val="00CB2608"/>
    <w:rsid w:val="00CB3107"/>
    <w:rsid w:val="00CF6F3D"/>
    <w:rsid w:val="00D013EE"/>
    <w:rsid w:val="00D0148E"/>
    <w:rsid w:val="00D12265"/>
    <w:rsid w:val="00D26731"/>
    <w:rsid w:val="00D437B6"/>
    <w:rsid w:val="00D4536C"/>
    <w:rsid w:val="00D47B73"/>
    <w:rsid w:val="00D57FA2"/>
    <w:rsid w:val="00D9461A"/>
    <w:rsid w:val="00D96061"/>
    <w:rsid w:val="00DA0A08"/>
    <w:rsid w:val="00DA591C"/>
    <w:rsid w:val="00DB4EBD"/>
    <w:rsid w:val="00DB6602"/>
    <w:rsid w:val="00DC48B9"/>
    <w:rsid w:val="00DD1684"/>
    <w:rsid w:val="00DD77D4"/>
    <w:rsid w:val="00DE635F"/>
    <w:rsid w:val="00E02814"/>
    <w:rsid w:val="00E36909"/>
    <w:rsid w:val="00E55630"/>
    <w:rsid w:val="00EB0E55"/>
    <w:rsid w:val="00EC5954"/>
    <w:rsid w:val="00F460DB"/>
    <w:rsid w:val="00FA3E40"/>
    <w:rsid w:val="00FB02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FC13"/>
  <w15:chartTrackingRefBased/>
  <w15:docId w15:val="{874E0667-3BDE-D64A-9A38-B6BD37EB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56"/>
    <w:pPr>
      <w:widowControl w:val="0"/>
      <w:tabs>
        <w:tab w:val="left" w:pos="851"/>
        <w:tab w:val="left" w:pos="1701"/>
        <w:tab w:val="left" w:pos="2835"/>
        <w:tab w:val="left" w:pos="3969"/>
        <w:tab w:val="left" w:pos="4706"/>
      </w:tabs>
      <w:spacing w:after="480" w:line="480" w:lineRule="auto"/>
      <w:jc w:val="both"/>
    </w:pPr>
    <w:rPr>
      <w:rFonts w:ascii="Arial" w:eastAsia="Times New Roman" w:hAnsi="Arial" w:cs="Times New Roman"/>
      <w:kern w:val="25"/>
      <w:sz w:val="25"/>
      <w:szCs w:val="20"/>
      <w:lang w:val="en-GB" w:eastAsia="en-GB"/>
      <w14:ligatures w14:val="none"/>
    </w:rPr>
  </w:style>
  <w:style w:type="paragraph" w:styleId="Heading6">
    <w:name w:val="heading 6"/>
    <w:basedOn w:val="Normal"/>
    <w:next w:val="Normal"/>
    <w:link w:val="Heading6Char"/>
    <w:qFormat/>
    <w:rsid w:val="00332356"/>
    <w:pPr>
      <w:keepNext/>
      <w:outlineLvl w:val="5"/>
    </w:pPr>
    <w:rPr>
      <w:u w:val="single"/>
    </w:rPr>
  </w:style>
  <w:style w:type="paragraph" w:styleId="Heading9">
    <w:name w:val="heading 9"/>
    <w:basedOn w:val="Normal"/>
    <w:next w:val="Normal"/>
    <w:link w:val="Heading9Char"/>
    <w:qFormat/>
    <w:rsid w:val="00332356"/>
    <w:pPr>
      <w:keepNext/>
      <w:jc w:val="right"/>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2356"/>
    <w:rPr>
      <w:rFonts w:ascii="Arial" w:eastAsia="Times New Roman" w:hAnsi="Arial" w:cs="Times New Roman"/>
      <w:kern w:val="25"/>
      <w:sz w:val="25"/>
      <w:szCs w:val="20"/>
      <w:u w:val="single"/>
      <w:lang w:val="en-GB" w:eastAsia="en-GB"/>
      <w14:ligatures w14:val="none"/>
    </w:rPr>
  </w:style>
  <w:style w:type="character" w:customStyle="1" w:styleId="Heading9Char">
    <w:name w:val="Heading 9 Char"/>
    <w:basedOn w:val="DefaultParagraphFont"/>
    <w:link w:val="Heading9"/>
    <w:rsid w:val="00332356"/>
    <w:rPr>
      <w:rFonts w:ascii="Arial" w:eastAsia="Times New Roman" w:hAnsi="Arial" w:cs="Times New Roman"/>
      <w:kern w:val="25"/>
      <w:sz w:val="25"/>
      <w:szCs w:val="20"/>
      <w:u w:val="single"/>
      <w:lang w:val="en-US" w:eastAsia="en-GB"/>
      <w14:ligatures w14:val="none"/>
    </w:rPr>
  </w:style>
  <w:style w:type="paragraph" w:styleId="Header">
    <w:name w:val="header"/>
    <w:basedOn w:val="Normal"/>
    <w:link w:val="HeaderChar"/>
    <w:rsid w:val="00332356"/>
    <w:pPr>
      <w:widowControl/>
      <w:tabs>
        <w:tab w:val="clear" w:pos="851"/>
        <w:tab w:val="center" w:pos="4320"/>
        <w:tab w:val="right" w:pos="8640"/>
      </w:tabs>
      <w:spacing w:after="0" w:line="240" w:lineRule="auto"/>
      <w:jc w:val="left"/>
    </w:pPr>
    <w:rPr>
      <w:rFonts w:cs="Arial"/>
      <w:color w:val="000000"/>
      <w:kern w:val="0"/>
      <w:sz w:val="18"/>
      <w:szCs w:val="18"/>
      <w:lang w:eastAsia="en-US"/>
    </w:rPr>
  </w:style>
  <w:style w:type="character" w:customStyle="1" w:styleId="HeaderChar">
    <w:name w:val="Header Char"/>
    <w:basedOn w:val="DefaultParagraphFont"/>
    <w:link w:val="Header"/>
    <w:rsid w:val="00332356"/>
    <w:rPr>
      <w:rFonts w:ascii="Arial" w:eastAsia="Times New Roman" w:hAnsi="Arial" w:cs="Arial"/>
      <w:color w:val="000000"/>
      <w:kern w:val="0"/>
      <w:sz w:val="18"/>
      <w:szCs w:val="18"/>
      <w:lang w:val="en-GB"/>
      <w14:ligatures w14:val="none"/>
    </w:rPr>
  </w:style>
  <w:style w:type="paragraph" w:customStyle="1" w:styleId="Indent">
    <w:name w:val="Indent"/>
    <w:basedOn w:val="Normal"/>
    <w:rsid w:val="00332356"/>
    <w:pPr>
      <w:numPr>
        <w:numId w:val="1"/>
      </w:numPr>
      <w:tabs>
        <w:tab w:val="clear" w:pos="850"/>
        <w:tab w:val="clear" w:pos="1701"/>
        <w:tab w:val="clear" w:pos="2835"/>
        <w:tab w:val="clear" w:pos="3969"/>
        <w:tab w:val="clear" w:pos="4706"/>
      </w:tabs>
    </w:pPr>
  </w:style>
  <w:style w:type="paragraph" w:styleId="FootnoteText">
    <w:name w:val="footnote text"/>
    <w:basedOn w:val="Normal"/>
    <w:link w:val="FootnoteTextChar"/>
    <w:uiPriority w:val="99"/>
    <w:semiHidden/>
    <w:unhideWhenUsed/>
    <w:rsid w:val="00332356"/>
    <w:pPr>
      <w:spacing w:after="0" w:line="240" w:lineRule="auto"/>
    </w:pPr>
    <w:rPr>
      <w:sz w:val="20"/>
    </w:rPr>
  </w:style>
  <w:style w:type="character" w:customStyle="1" w:styleId="FootnoteTextChar">
    <w:name w:val="Footnote Text Char"/>
    <w:basedOn w:val="DefaultParagraphFont"/>
    <w:link w:val="FootnoteText"/>
    <w:uiPriority w:val="99"/>
    <w:semiHidden/>
    <w:rsid w:val="00332356"/>
    <w:rPr>
      <w:rFonts w:ascii="Arial" w:eastAsia="Times New Roman" w:hAnsi="Arial" w:cs="Times New Roman"/>
      <w:kern w:val="25"/>
      <w:sz w:val="20"/>
      <w:szCs w:val="20"/>
      <w:lang w:val="en-GB" w:eastAsia="en-GB"/>
      <w14:ligatures w14:val="none"/>
    </w:rPr>
  </w:style>
  <w:style w:type="character" w:styleId="FootnoteReference">
    <w:name w:val="footnote reference"/>
    <w:basedOn w:val="DefaultParagraphFont"/>
    <w:uiPriority w:val="99"/>
    <w:semiHidden/>
    <w:unhideWhenUsed/>
    <w:rsid w:val="00332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A4D4-09AA-432E-B87C-DE558A0F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19</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Bishop</dc:creator>
  <cp:keywords/>
  <dc:description/>
  <cp:lastModifiedBy>sathish sarshan  mohan</cp:lastModifiedBy>
  <cp:revision>8</cp:revision>
  <cp:lastPrinted>2024-04-01T10:54:00Z</cp:lastPrinted>
  <dcterms:created xsi:type="dcterms:W3CDTF">2024-04-02T13:43:00Z</dcterms:created>
  <dcterms:modified xsi:type="dcterms:W3CDTF">2024-04-04T13:47:00Z</dcterms:modified>
</cp:coreProperties>
</file>