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48BEC" w14:textId="77777777" w:rsidR="007B7F59" w:rsidRPr="00AE6097" w:rsidRDefault="007B7F59" w:rsidP="007B7F59">
      <w:pPr>
        <w:tabs>
          <w:tab w:val="left" w:pos="2342"/>
          <w:tab w:val="center" w:pos="4513"/>
        </w:tabs>
        <w:spacing w:after="0" w:line="240" w:lineRule="auto"/>
        <w:ind w:left="0"/>
        <w:jc w:val="center"/>
        <w:outlineLvl w:val="0"/>
        <w:rPr>
          <w:rFonts w:eastAsia="Times New Roman" w:cs="Arial"/>
          <w:b/>
          <w:szCs w:val="24"/>
          <w:lang w:val="en-ZA" w:eastAsia="en-ZA"/>
        </w:rPr>
      </w:pPr>
      <w:r w:rsidRPr="00AE6097">
        <w:rPr>
          <w:rFonts w:eastAsia="Times New Roman" w:cs="Arial"/>
          <w:b/>
          <w:szCs w:val="24"/>
          <w:lang w:val="en-ZA" w:eastAsia="en-ZA"/>
        </w:rPr>
        <w:t>REPUBLIC OF SOUTH AFRICA</w:t>
      </w:r>
    </w:p>
    <w:p w14:paraId="7388A21D" w14:textId="77777777" w:rsidR="007B7F59" w:rsidRPr="00AE6097" w:rsidRDefault="007B7F59" w:rsidP="007B7F59">
      <w:pPr>
        <w:tabs>
          <w:tab w:val="left" w:pos="2342"/>
          <w:tab w:val="center" w:pos="4513"/>
        </w:tabs>
        <w:spacing w:after="0" w:line="240" w:lineRule="auto"/>
        <w:ind w:left="0"/>
        <w:jc w:val="center"/>
        <w:outlineLvl w:val="0"/>
        <w:rPr>
          <w:rFonts w:eastAsia="Times New Roman" w:cs="Arial"/>
          <w:b/>
          <w:szCs w:val="24"/>
          <w:lang w:val="en-ZA" w:eastAsia="en-ZA"/>
        </w:rPr>
      </w:pPr>
    </w:p>
    <w:p w14:paraId="5BC03A61" w14:textId="77777777" w:rsidR="007B7F59" w:rsidRPr="00AE6097"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AE6097">
        <w:rPr>
          <w:rFonts w:eastAsia="Times New Roman" w:cs="Arial"/>
          <w:noProof/>
          <w:szCs w:val="24"/>
          <w:lang w:val="en-ZA" w:eastAsia="en-ZA"/>
        </w:rPr>
        <w:drawing>
          <wp:inline distT="0" distB="0" distL="0" distR="0" wp14:anchorId="6E0AA271" wp14:editId="2906B853">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88C8136" w14:textId="77777777" w:rsidR="007B7F59" w:rsidRPr="00AE6097" w:rsidRDefault="007B7F59" w:rsidP="007B7F59">
      <w:pPr>
        <w:spacing w:after="0" w:line="240" w:lineRule="auto"/>
        <w:ind w:left="0"/>
        <w:jc w:val="center"/>
        <w:outlineLvl w:val="0"/>
        <w:rPr>
          <w:rFonts w:eastAsia="Times New Roman" w:cs="Arial"/>
          <w:b/>
          <w:szCs w:val="24"/>
          <w:lang w:val="en-ZA"/>
        </w:rPr>
      </w:pPr>
    </w:p>
    <w:p w14:paraId="4145FCFD" w14:textId="77777777" w:rsidR="007B7F59" w:rsidRPr="00AE6097" w:rsidRDefault="007B7F59" w:rsidP="007B7F59">
      <w:pPr>
        <w:spacing w:after="0" w:line="240" w:lineRule="auto"/>
        <w:ind w:left="0"/>
        <w:jc w:val="center"/>
        <w:outlineLvl w:val="0"/>
        <w:rPr>
          <w:rFonts w:eastAsia="Times New Roman" w:cs="Arial"/>
          <w:b/>
          <w:szCs w:val="24"/>
          <w:lang w:val="en-ZA"/>
        </w:rPr>
      </w:pPr>
      <w:r w:rsidRPr="00AE6097">
        <w:rPr>
          <w:rFonts w:eastAsia="Times New Roman" w:cs="Arial"/>
          <w:b/>
          <w:szCs w:val="24"/>
          <w:lang w:val="en-ZA"/>
        </w:rPr>
        <w:t>IN THE HIGH COURT OF SOUTH AFRICA</w:t>
      </w:r>
    </w:p>
    <w:p w14:paraId="35073FDE" w14:textId="77777777" w:rsidR="007B7F59" w:rsidRPr="00AE6097" w:rsidRDefault="007B7F59" w:rsidP="007B7F59">
      <w:pPr>
        <w:spacing w:after="0" w:line="240" w:lineRule="auto"/>
        <w:ind w:left="0"/>
        <w:jc w:val="center"/>
        <w:outlineLvl w:val="0"/>
        <w:rPr>
          <w:rFonts w:eastAsia="Times New Roman" w:cs="Arial"/>
          <w:b/>
          <w:szCs w:val="24"/>
          <w:lang w:val="en-ZA"/>
        </w:rPr>
      </w:pPr>
      <w:r w:rsidRPr="00AE6097">
        <w:rPr>
          <w:rFonts w:eastAsia="Times New Roman" w:cs="Arial"/>
          <w:b/>
          <w:szCs w:val="24"/>
          <w:lang w:val="en-ZA"/>
        </w:rPr>
        <w:t>GAUTENG LOCAL DIVISION, JOHANNESBURG</w:t>
      </w:r>
    </w:p>
    <w:p w14:paraId="7229E5D6" w14:textId="77777777" w:rsidR="007B7F59" w:rsidRPr="00AE6097" w:rsidRDefault="007B7F59" w:rsidP="007B7F59">
      <w:pPr>
        <w:spacing w:after="0" w:line="240" w:lineRule="auto"/>
        <w:ind w:left="0"/>
        <w:rPr>
          <w:rFonts w:eastAsia="Times New Roman" w:cs="Arial"/>
          <w:szCs w:val="24"/>
          <w:lang w:val="en-ZA"/>
        </w:rPr>
      </w:pPr>
    </w:p>
    <w:p w14:paraId="68BF9016" w14:textId="29D20910" w:rsidR="00466FF6" w:rsidRPr="00AE6097" w:rsidRDefault="00511A83" w:rsidP="00466FF6">
      <w:pPr>
        <w:spacing w:after="0" w:line="480" w:lineRule="auto"/>
        <w:ind w:left="0"/>
        <w:jc w:val="right"/>
        <w:outlineLvl w:val="0"/>
        <w:rPr>
          <w:rFonts w:eastAsia="Times New Roman" w:cs="Arial"/>
          <w:b/>
          <w:color w:val="000000"/>
          <w:sz w:val="25"/>
          <w:szCs w:val="20"/>
          <w:lang w:val="en-ZA"/>
        </w:rPr>
      </w:pPr>
      <w:r>
        <w:rPr>
          <w:rFonts w:eastAsia="Times New Roman" w:cs="Arial"/>
          <w:b/>
          <w:noProof/>
          <w:color w:val="000000"/>
          <w:sz w:val="25"/>
          <w:szCs w:val="20"/>
          <w:lang w:val="en-ZA" w:eastAsia="en-ZA"/>
        </w:rPr>
        <mc:AlternateContent>
          <mc:Choice Requires="wpi">
            <w:drawing>
              <wp:anchor distT="0" distB="0" distL="114300" distR="114300" simplePos="0" relativeHeight="251658241" behindDoc="0" locked="0" layoutInCell="1" allowOverlap="1" wp14:anchorId="79B28579" wp14:editId="160176FD">
                <wp:simplePos x="0" y="0"/>
                <wp:positionH relativeFrom="column">
                  <wp:posOffset>-1242360</wp:posOffset>
                </wp:positionH>
                <wp:positionV relativeFrom="paragraph">
                  <wp:posOffset>643950</wp:posOffset>
                </wp:positionV>
                <wp:extent cx="360" cy="360"/>
                <wp:effectExtent l="114300" t="114300" r="95250" b="152400"/>
                <wp:wrapNone/>
                <wp:docPr id="481954619"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36AACE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02.75pt;margin-top:45.75pt;width:9.95pt;height:9.9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">
                <v:imagedata r:id="rId11" o:title=""/>
              </v:shape>
            </w:pict>
          </mc:Fallback>
        </mc:AlternateContent>
      </w:r>
      <w:r w:rsidR="00466FF6" w:rsidRPr="00AE6097">
        <w:rPr>
          <w:rFonts w:eastAsia="Times New Roman" w:cs="Arial"/>
          <w:b/>
          <w:color w:val="000000"/>
          <w:sz w:val="25"/>
          <w:szCs w:val="20"/>
          <w:lang w:val="en-ZA"/>
        </w:rPr>
        <w:t xml:space="preserve">CASE NUMBER: </w:t>
      </w:r>
      <w:r w:rsidR="00EE66E2" w:rsidRPr="00AE6097">
        <w:rPr>
          <w:rFonts w:eastAsia="Times New Roman" w:cs="Arial"/>
          <w:b/>
          <w:color w:val="000000"/>
          <w:sz w:val="25"/>
          <w:szCs w:val="20"/>
          <w:lang w:val="en-ZA"/>
        </w:rPr>
        <w:t>20</w:t>
      </w:r>
      <w:r w:rsidR="00466FF6" w:rsidRPr="00AE6097">
        <w:rPr>
          <w:rFonts w:eastAsia="Times New Roman" w:cs="Arial"/>
          <w:b/>
          <w:color w:val="000000"/>
          <w:sz w:val="25"/>
          <w:szCs w:val="20"/>
          <w:lang w:val="en-ZA"/>
        </w:rPr>
        <w:t>21/50</w:t>
      </w:r>
      <w:r w:rsidR="00EE66E2" w:rsidRPr="00AE6097">
        <w:rPr>
          <w:rFonts w:eastAsia="Times New Roman" w:cs="Arial"/>
          <w:b/>
          <w:color w:val="000000"/>
          <w:sz w:val="25"/>
          <w:szCs w:val="20"/>
          <w:lang w:val="en-ZA"/>
        </w:rPr>
        <w:t>751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82"/>
      </w:tblGrid>
      <w:tr w:rsidR="00466FF6" w:rsidRPr="00AE6097" w14:paraId="03F9FEED" w14:textId="77777777" w:rsidTr="009F6DF4">
        <w:trPr>
          <w:gridAfter w:val="1"/>
          <w:wAfter w:w="4582" w:type="dxa"/>
        </w:trPr>
        <w:tc>
          <w:tcPr>
            <w:tcW w:w="4428" w:type="dxa"/>
          </w:tcPr>
          <w:p w14:paraId="746DB973" w14:textId="77777777" w:rsidR="00466FF6" w:rsidRPr="00AE6097" w:rsidRDefault="00466FF6" w:rsidP="00466FF6">
            <w:pPr>
              <w:spacing w:after="0" w:line="480" w:lineRule="auto"/>
              <w:ind w:left="0"/>
              <w:rPr>
                <w:rFonts w:eastAsia="Times New Roman" w:cs="Arial"/>
                <w:b/>
                <w:sz w:val="18"/>
                <w:szCs w:val="20"/>
                <w:lang w:val="en-ZA"/>
              </w:rPr>
            </w:pPr>
            <w:r w:rsidRPr="00AE6097">
              <w:rPr>
                <w:rFonts w:eastAsia="Times New Roman" w:cs="Arial"/>
                <w:b/>
                <w:sz w:val="18"/>
                <w:szCs w:val="20"/>
                <w:lang w:val="en-ZA"/>
              </w:rPr>
              <w:t>DELETE WHICHEVER IS NOT APPLICABLE</w:t>
            </w:r>
          </w:p>
          <w:p w14:paraId="3070612C" w14:textId="20B57DA3" w:rsidR="00466FF6" w:rsidRPr="00AE6097" w:rsidRDefault="00466FF6" w:rsidP="00466FF6">
            <w:pPr>
              <w:spacing w:after="0" w:line="240" w:lineRule="auto"/>
              <w:ind w:left="0"/>
              <w:rPr>
                <w:rFonts w:eastAsia="Times New Roman" w:cs="Arial"/>
                <w:b/>
                <w:sz w:val="18"/>
                <w:szCs w:val="20"/>
                <w:lang w:val="en-ZA"/>
              </w:rPr>
            </w:pPr>
            <w:r w:rsidRPr="00AE6097">
              <w:rPr>
                <w:rFonts w:eastAsia="Times New Roman" w:cs="Arial"/>
                <w:b/>
                <w:sz w:val="18"/>
                <w:szCs w:val="20"/>
                <w:lang w:val="en-ZA"/>
              </w:rPr>
              <w:t>(1) REPORTABLE:  NO</w:t>
            </w:r>
          </w:p>
          <w:p w14:paraId="624C9A24" w14:textId="56EFEFE8" w:rsidR="00466FF6" w:rsidRPr="00AE6097" w:rsidRDefault="00466FF6" w:rsidP="00466FF6">
            <w:pPr>
              <w:spacing w:after="0" w:line="240" w:lineRule="auto"/>
              <w:ind w:left="0"/>
              <w:rPr>
                <w:rFonts w:eastAsia="Times New Roman" w:cs="Arial"/>
                <w:b/>
                <w:sz w:val="18"/>
                <w:szCs w:val="20"/>
                <w:lang w:val="en-ZA"/>
              </w:rPr>
            </w:pPr>
            <w:r w:rsidRPr="00AE6097">
              <w:rPr>
                <w:rFonts w:eastAsia="Times New Roman" w:cs="Arial"/>
                <w:b/>
                <w:sz w:val="18"/>
                <w:szCs w:val="20"/>
                <w:lang w:val="en-ZA"/>
              </w:rPr>
              <w:t>(2) OF INTEREST TO OTHER JUDGES:  NO</w:t>
            </w:r>
          </w:p>
          <w:p w14:paraId="2FC24A05" w14:textId="77777777" w:rsidR="00466FF6" w:rsidRPr="00AE6097" w:rsidRDefault="00466FF6" w:rsidP="00466FF6">
            <w:pPr>
              <w:spacing w:after="0" w:line="240" w:lineRule="auto"/>
              <w:ind w:left="0"/>
              <w:rPr>
                <w:rFonts w:eastAsia="Times New Roman" w:cs="Arial"/>
                <w:b/>
                <w:sz w:val="18"/>
                <w:szCs w:val="20"/>
                <w:lang w:val="en-ZA"/>
              </w:rPr>
            </w:pPr>
            <w:r w:rsidRPr="00AE6097">
              <w:rPr>
                <w:rFonts w:eastAsia="Times New Roman" w:cs="Arial"/>
                <w:b/>
                <w:sz w:val="18"/>
                <w:szCs w:val="20"/>
                <w:lang w:val="en-ZA"/>
              </w:rPr>
              <w:t>(3) REVISED: NO</w:t>
            </w:r>
          </w:p>
          <w:p w14:paraId="4B9E6DB8" w14:textId="77777777" w:rsidR="00466FF6" w:rsidRPr="00AE6097" w:rsidRDefault="00466FF6" w:rsidP="00466FF6">
            <w:pPr>
              <w:spacing w:after="0" w:line="240" w:lineRule="auto"/>
              <w:ind w:left="0"/>
              <w:rPr>
                <w:rFonts w:eastAsia="Times New Roman" w:cs="Arial"/>
                <w:b/>
                <w:sz w:val="18"/>
                <w:szCs w:val="20"/>
                <w:lang w:val="en-ZA"/>
              </w:rPr>
            </w:pPr>
          </w:p>
          <w:p w14:paraId="17E405C3" w14:textId="77777777" w:rsidR="00466FF6" w:rsidRPr="00AE6097" w:rsidRDefault="00466FF6" w:rsidP="00466FF6">
            <w:pPr>
              <w:spacing w:after="0" w:line="240" w:lineRule="auto"/>
              <w:ind w:left="0"/>
              <w:rPr>
                <w:rFonts w:eastAsia="Times New Roman" w:cs="Arial"/>
                <w:b/>
                <w:sz w:val="18"/>
                <w:szCs w:val="20"/>
                <w:lang w:val="en-ZA"/>
              </w:rPr>
            </w:pPr>
          </w:p>
          <w:p w14:paraId="21BDBC1E" w14:textId="77777777" w:rsidR="00466FF6" w:rsidRPr="00AE6097" w:rsidRDefault="00466FF6" w:rsidP="00466FF6">
            <w:pPr>
              <w:spacing w:after="0" w:line="240" w:lineRule="auto"/>
              <w:ind w:left="0"/>
              <w:rPr>
                <w:rFonts w:eastAsia="Times New Roman" w:cs="Arial"/>
                <w:b/>
                <w:sz w:val="18"/>
                <w:szCs w:val="20"/>
                <w:lang w:val="en-ZA"/>
              </w:rPr>
            </w:pPr>
          </w:p>
          <w:p w14:paraId="06E6A02C" w14:textId="77777777" w:rsidR="00466FF6" w:rsidRPr="00AE6097" w:rsidRDefault="00466FF6" w:rsidP="00466FF6">
            <w:pPr>
              <w:spacing w:after="0" w:line="240" w:lineRule="auto"/>
              <w:ind w:left="0"/>
              <w:rPr>
                <w:rFonts w:eastAsia="Times New Roman" w:cs="Arial"/>
                <w:b/>
                <w:sz w:val="18"/>
                <w:szCs w:val="20"/>
                <w:lang w:val="en-ZA"/>
              </w:rPr>
            </w:pPr>
          </w:p>
          <w:p w14:paraId="589B6038" w14:textId="77777777" w:rsidR="00466FF6" w:rsidRPr="00AE6097" w:rsidRDefault="00466FF6" w:rsidP="00466FF6">
            <w:pPr>
              <w:spacing w:after="0" w:line="240" w:lineRule="auto"/>
              <w:ind w:left="0"/>
              <w:rPr>
                <w:rFonts w:eastAsia="Times New Roman" w:cs="Arial"/>
                <w:b/>
                <w:sz w:val="18"/>
                <w:szCs w:val="20"/>
                <w:lang w:val="en-ZA"/>
              </w:rPr>
            </w:pPr>
          </w:p>
          <w:p w14:paraId="5BC732F0" w14:textId="2348CC00" w:rsidR="00466FF6" w:rsidRPr="00AE6097" w:rsidRDefault="00466FF6" w:rsidP="00466FF6">
            <w:pPr>
              <w:spacing w:after="0" w:line="240" w:lineRule="auto"/>
              <w:ind w:left="0"/>
              <w:rPr>
                <w:rFonts w:eastAsia="Times New Roman" w:cs="Arial"/>
                <w:b/>
                <w:sz w:val="18"/>
                <w:szCs w:val="20"/>
                <w:u w:val="single"/>
                <w:lang w:val="en-ZA"/>
              </w:rPr>
            </w:pPr>
            <w:r w:rsidRPr="00AE6097">
              <w:rPr>
                <w:rFonts w:eastAsia="Times New Roman" w:cs="Arial"/>
                <w:b/>
                <w:sz w:val="18"/>
                <w:szCs w:val="20"/>
                <w:u w:val="single"/>
                <w:lang w:val="en-ZA"/>
              </w:rPr>
              <w:t>DATE</w:t>
            </w:r>
            <w:r w:rsidRPr="00AE6097">
              <w:rPr>
                <w:rFonts w:eastAsia="Times New Roman" w:cs="Arial"/>
                <w:b/>
                <w:sz w:val="18"/>
                <w:szCs w:val="20"/>
                <w:lang w:val="en-ZA"/>
              </w:rPr>
              <w:t xml:space="preserve"> </w:t>
            </w:r>
            <w:r w:rsidR="00370316">
              <w:rPr>
                <w:rFonts w:eastAsia="Times New Roman" w:cs="Arial"/>
                <w:b/>
                <w:sz w:val="18"/>
                <w:szCs w:val="20"/>
                <w:lang w:val="en-ZA"/>
              </w:rPr>
              <w:t>4</w:t>
            </w:r>
            <w:r w:rsidR="00406E5A">
              <w:rPr>
                <w:rFonts w:eastAsia="Times New Roman" w:cs="Arial"/>
                <w:b/>
                <w:sz w:val="18"/>
                <w:szCs w:val="20"/>
                <w:lang w:val="en-ZA"/>
              </w:rPr>
              <w:t xml:space="preserve"> April 2024</w:t>
            </w:r>
            <w:r w:rsidRPr="00AE6097">
              <w:rPr>
                <w:rFonts w:eastAsia="Times New Roman" w:cs="Arial"/>
                <w:b/>
                <w:sz w:val="18"/>
                <w:szCs w:val="20"/>
                <w:lang w:val="en-ZA"/>
              </w:rPr>
              <w:t xml:space="preserve">      </w:t>
            </w:r>
            <w:r w:rsidRPr="00AE6097">
              <w:rPr>
                <w:rFonts w:eastAsia="Times New Roman" w:cs="Arial"/>
                <w:b/>
                <w:sz w:val="18"/>
                <w:szCs w:val="20"/>
                <w:u w:val="single"/>
                <w:lang w:val="en-ZA"/>
              </w:rPr>
              <w:t xml:space="preserve">SIGNATURE </w:t>
            </w:r>
          </w:p>
        </w:tc>
      </w:tr>
      <w:tr w:rsidR="00466FF6" w:rsidRPr="00AE6097" w14:paraId="5875CF99" w14:textId="77777777" w:rsidTr="009F6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010" w:type="dxa"/>
            <w:gridSpan w:val="2"/>
            <w:shd w:val="clear" w:color="auto" w:fill="auto"/>
          </w:tcPr>
          <w:tbl>
            <w:tblPr>
              <w:tblW w:w="8794" w:type="dxa"/>
              <w:tblLook w:val="04A0" w:firstRow="1" w:lastRow="0" w:firstColumn="1" w:lastColumn="0" w:noHBand="0" w:noVBand="1"/>
            </w:tblPr>
            <w:tblGrid>
              <w:gridCol w:w="8794"/>
            </w:tblGrid>
            <w:tr w:rsidR="00466FF6" w:rsidRPr="00AE6097" w14:paraId="56F552AF" w14:textId="77777777" w:rsidTr="009F6DF4">
              <w:tc>
                <w:tcPr>
                  <w:tcW w:w="8794" w:type="dxa"/>
                  <w:shd w:val="clear" w:color="auto" w:fill="auto"/>
                </w:tcPr>
                <w:p w14:paraId="28B5867E" w14:textId="77777777" w:rsidR="00466FF6" w:rsidRPr="00AE6097" w:rsidRDefault="00466FF6" w:rsidP="00466FF6">
                  <w:pPr>
                    <w:spacing w:after="0" w:line="240" w:lineRule="auto"/>
                    <w:ind w:left="0"/>
                    <w:jc w:val="right"/>
                    <w:rPr>
                      <w:rFonts w:eastAsia="Times New Roman" w:cs="Arial"/>
                      <w:b/>
                      <w:color w:val="000000"/>
                      <w:szCs w:val="20"/>
                      <w:lang w:val="en-ZA"/>
                    </w:rPr>
                  </w:pPr>
                </w:p>
              </w:tc>
            </w:tr>
          </w:tbl>
          <w:p w14:paraId="1C71E549" w14:textId="77777777" w:rsidR="00466FF6" w:rsidRPr="00AE6097" w:rsidRDefault="00466FF6" w:rsidP="00466FF6">
            <w:pPr>
              <w:spacing w:after="0" w:line="480" w:lineRule="auto"/>
              <w:ind w:left="0"/>
              <w:rPr>
                <w:rFonts w:eastAsia="Times New Roman" w:cs="Arial"/>
                <w:b/>
                <w:color w:val="000000"/>
                <w:sz w:val="25"/>
                <w:szCs w:val="20"/>
                <w:lang w:val="en-ZA"/>
              </w:rPr>
            </w:pPr>
          </w:p>
        </w:tc>
      </w:tr>
      <w:tr w:rsidR="00466FF6" w:rsidRPr="00AE6097" w14:paraId="2A0C43F6" w14:textId="77777777" w:rsidTr="009F6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010" w:type="dxa"/>
            <w:gridSpan w:val="2"/>
            <w:shd w:val="clear" w:color="auto" w:fill="auto"/>
          </w:tcPr>
          <w:p w14:paraId="3AAA159F" w14:textId="77777777" w:rsidR="00466FF6" w:rsidRPr="00AE6097" w:rsidRDefault="00466FF6" w:rsidP="00466FF6">
            <w:pPr>
              <w:tabs>
                <w:tab w:val="left" w:pos="2260"/>
              </w:tabs>
              <w:spacing w:after="0" w:line="240" w:lineRule="auto"/>
              <w:ind w:left="-110"/>
              <w:jc w:val="left"/>
              <w:rPr>
                <w:rFonts w:eastAsia="Times New Roman" w:cs="Arial"/>
                <w:b/>
                <w:color w:val="000000"/>
                <w:sz w:val="25"/>
                <w:szCs w:val="25"/>
                <w:lang w:val="en-ZA"/>
              </w:rPr>
            </w:pPr>
            <w:r w:rsidRPr="00AE6097">
              <w:rPr>
                <w:rFonts w:eastAsia="Times New Roman" w:cs="Arial"/>
                <w:b/>
                <w:color w:val="000000"/>
                <w:sz w:val="25"/>
                <w:szCs w:val="25"/>
                <w:lang w:val="en-ZA"/>
              </w:rPr>
              <w:tab/>
            </w:r>
          </w:p>
        </w:tc>
      </w:tr>
    </w:tbl>
    <w:p w14:paraId="33980DFC" w14:textId="77777777" w:rsidR="00466FF6" w:rsidRPr="00AE6097" w:rsidRDefault="00466FF6" w:rsidP="00466FF6">
      <w:pPr>
        <w:spacing w:after="0" w:line="480" w:lineRule="auto"/>
        <w:ind w:left="0"/>
        <w:rPr>
          <w:rFonts w:eastAsia="Times New Roman" w:cs="Arial"/>
          <w:b/>
          <w:color w:val="000000"/>
          <w:sz w:val="25"/>
          <w:szCs w:val="25"/>
          <w:lang w:val="en-ZA"/>
        </w:rPr>
      </w:pPr>
      <w:r w:rsidRPr="00AE6097">
        <w:rPr>
          <w:rFonts w:eastAsia="Times New Roman" w:cs="Arial"/>
          <w:b/>
          <w:color w:val="000000"/>
          <w:sz w:val="25"/>
          <w:szCs w:val="25"/>
          <w:lang w:val="en-ZA"/>
        </w:rPr>
        <w:t>In the matter between:</w:t>
      </w:r>
    </w:p>
    <w:p w14:paraId="6B5D3950" w14:textId="45A058A3" w:rsidR="00466FF6" w:rsidRPr="00AE6097" w:rsidRDefault="007E3707" w:rsidP="00466FF6">
      <w:pPr>
        <w:tabs>
          <w:tab w:val="right" w:pos="9027"/>
        </w:tabs>
        <w:spacing w:after="0" w:line="480" w:lineRule="auto"/>
        <w:ind w:left="0"/>
        <w:rPr>
          <w:rFonts w:eastAsia="Times New Roman" w:cs="Arial"/>
          <w:bCs/>
          <w:color w:val="000000"/>
          <w:sz w:val="25"/>
          <w:szCs w:val="25"/>
          <w:lang w:val="en-ZA"/>
        </w:rPr>
      </w:pPr>
      <w:r w:rsidRPr="00AE6097">
        <w:rPr>
          <w:rFonts w:eastAsia="Times New Roman" w:cs="Arial"/>
          <w:b/>
          <w:color w:val="000000"/>
          <w:sz w:val="25"/>
          <w:szCs w:val="25"/>
          <w:lang w:val="en-ZA"/>
        </w:rPr>
        <w:t>CHOVELA, HONGA BETHUEL</w:t>
      </w:r>
      <w:r w:rsidR="00466FF6" w:rsidRPr="00AE6097">
        <w:rPr>
          <w:rFonts w:eastAsia="Times New Roman" w:cs="Arial"/>
          <w:b/>
          <w:color w:val="000000"/>
          <w:sz w:val="25"/>
          <w:szCs w:val="25"/>
          <w:lang w:val="en-ZA"/>
        </w:rPr>
        <w:tab/>
      </w:r>
      <w:r w:rsidR="00393E85" w:rsidRPr="00AE6097">
        <w:rPr>
          <w:rFonts w:eastAsia="Times New Roman" w:cs="Arial"/>
          <w:b/>
          <w:color w:val="000000"/>
          <w:sz w:val="25"/>
          <w:szCs w:val="25"/>
          <w:lang w:val="en-ZA"/>
        </w:rPr>
        <w:t>Applicant</w:t>
      </w:r>
    </w:p>
    <w:p w14:paraId="726C97D0" w14:textId="77777777" w:rsidR="00466FF6" w:rsidRPr="00AE6097" w:rsidRDefault="00466FF6" w:rsidP="00466FF6">
      <w:pPr>
        <w:spacing w:after="0" w:line="480" w:lineRule="auto"/>
        <w:ind w:left="0"/>
        <w:rPr>
          <w:rFonts w:eastAsia="Times New Roman" w:cs="Arial"/>
          <w:bCs/>
          <w:color w:val="000000"/>
          <w:sz w:val="25"/>
          <w:szCs w:val="25"/>
          <w:lang w:val="en-ZA"/>
        </w:rPr>
      </w:pPr>
      <w:r w:rsidRPr="00AE6097">
        <w:rPr>
          <w:rFonts w:eastAsia="Times New Roman" w:cs="Arial"/>
          <w:bCs/>
          <w:color w:val="000000"/>
          <w:sz w:val="25"/>
          <w:szCs w:val="25"/>
          <w:lang w:val="en-ZA"/>
        </w:rPr>
        <w:t>and</w:t>
      </w:r>
    </w:p>
    <w:p w14:paraId="1A4C6FA5" w14:textId="77777777" w:rsidR="00E57EB5" w:rsidRPr="00AE6097" w:rsidRDefault="00D022E0" w:rsidP="008B040C">
      <w:pPr>
        <w:tabs>
          <w:tab w:val="right" w:pos="9027"/>
        </w:tabs>
        <w:spacing w:after="0" w:line="240" w:lineRule="auto"/>
        <w:ind w:left="0"/>
        <w:contextualSpacing/>
        <w:rPr>
          <w:rFonts w:eastAsia="Times New Roman" w:cs="Arial"/>
          <w:b/>
          <w:bCs/>
          <w:sz w:val="25"/>
          <w:szCs w:val="25"/>
          <w:lang w:val="en-ZA"/>
        </w:rPr>
      </w:pPr>
      <w:r w:rsidRPr="00AE6097">
        <w:rPr>
          <w:rFonts w:eastAsia="Times New Roman" w:cs="Arial"/>
          <w:b/>
          <w:bCs/>
          <w:sz w:val="25"/>
          <w:szCs w:val="25"/>
          <w:lang w:val="en-ZA"/>
        </w:rPr>
        <w:t>POTPALE INVESTMENTS (RF) (P</w:t>
      </w:r>
      <w:r w:rsidR="00E57EB5" w:rsidRPr="00AE6097">
        <w:rPr>
          <w:rFonts w:eastAsia="Times New Roman" w:cs="Arial"/>
          <w:b/>
          <w:bCs/>
          <w:sz w:val="25"/>
          <w:szCs w:val="25"/>
          <w:lang w:val="en-ZA"/>
        </w:rPr>
        <w:t>ROPRIETARY</w:t>
      </w:r>
      <w:r w:rsidRPr="00AE6097">
        <w:rPr>
          <w:rFonts w:eastAsia="Times New Roman" w:cs="Arial"/>
          <w:b/>
          <w:bCs/>
          <w:sz w:val="25"/>
          <w:szCs w:val="25"/>
          <w:lang w:val="en-ZA"/>
        </w:rPr>
        <w:t xml:space="preserve">) </w:t>
      </w:r>
    </w:p>
    <w:p w14:paraId="50618E5D" w14:textId="327A3840" w:rsidR="003F7D19" w:rsidRPr="00AE6097" w:rsidRDefault="00D022E0" w:rsidP="005D6DDF">
      <w:pPr>
        <w:tabs>
          <w:tab w:val="right" w:pos="9027"/>
        </w:tabs>
        <w:spacing w:after="0" w:line="240" w:lineRule="auto"/>
        <w:ind w:left="0"/>
        <w:contextualSpacing/>
        <w:rPr>
          <w:rFonts w:eastAsia="Times New Roman" w:cs="Arial"/>
          <w:b/>
          <w:bCs/>
          <w:sz w:val="25"/>
          <w:szCs w:val="25"/>
          <w:lang w:val="en-ZA"/>
        </w:rPr>
      </w:pPr>
      <w:r w:rsidRPr="00AE6097">
        <w:rPr>
          <w:rFonts w:eastAsia="Times New Roman" w:cs="Arial"/>
          <w:b/>
          <w:bCs/>
          <w:sz w:val="25"/>
          <w:szCs w:val="25"/>
          <w:lang w:val="en-ZA"/>
        </w:rPr>
        <w:t>L</w:t>
      </w:r>
      <w:r w:rsidR="00E57EB5" w:rsidRPr="00AE6097">
        <w:rPr>
          <w:rFonts w:eastAsia="Times New Roman" w:cs="Arial"/>
          <w:b/>
          <w:bCs/>
          <w:sz w:val="25"/>
          <w:szCs w:val="25"/>
          <w:lang w:val="en-ZA"/>
        </w:rPr>
        <w:t>IMITED</w:t>
      </w:r>
      <w:r w:rsidR="00466FF6" w:rsidRPr="00AE6097">
        <w:rPr>
          <w:rFonts w:eastAsia="Times New Roman" w:cs="Arial"/>
          <w:b/>
          <w:bCs/>
          <w:sz w:val="25"/>
          <w:szCs w:val="25"/>
          <w:lang w:val="en-ZA"/>
        </w:rPr>
        <w:tab/>
      </w:r>
      <w:r w:rsidR="006847EB" w:rsidRPr="00AE6097">
        <w:rPr>
          <w:rFonts w:eastAsia="Times New Roman" w:cs="Arial"/>
          <w:b/>
          <w:bCs/>
          <w:sz w:val="25"/>
          <w:szCs w:val="25"/>
          <w:lang w:val="en-ZA"/>
        </w:rPr>
        <w:t>F</w:t>
      </w:r>
      <w:r w:rsidR="00E341C3" w:rsidRPr="00AE6097">
        <w:rPr>
          <w:rFonts w:eastAsia="Times New Roman" w:cs="Arial"/>
          <w:b/>
          <w:bCs/>
          <w:sz w:val="25"/>
          <w:szCs w:val="25"/>
          <w:lang w:val="en-ZA"/>
        </w:rPr>
        <w:t>irst</w:t>
      </w:r>
      <w:r w:rsidR="006847EB" w:rsidRPr="00AE6097">
        <w:rPr>
          <w:rFonts w:eastAsia="Times New Roman" w:cs="Arial"/>
          <w:b/>
          <w:bCs/>
          <w:sz w:val="25"/>
          <w:szCs w:val="25"/>
          <w:lang w:val="en-ZA"/>
        </w:rPr>
        <w:t xml:space="preserve"> </w:t>
      </w:r>
      <w:r w:rsidR="00393E85" w:rsidRPr="00AE6097">
        <w:rPr>
          <w:rFonts w:eastAsia="Times New Roman" w:cs="Arial"/>
          <w:b/>
          <w:bCs/>
          <w:sz w:val="25"/>
          <w:szCs w:val="25"/>
          <w:lang w:val="en-ZA"/>
        </w:rPr>
        <w:t>Respondent</w:t>
      </w:r>
    </w:p>
    <w:p w14:paraId="7C53B43F" w14:textId="77777777" w:rsidR="005D6DDF" w:rsidRPr="00AE6097" w:rsidRDefault="005D6DDF" w:rsidP="005D6DDF">
      <w:pPr>
        <w:tabs>
          <w:tab w:val="right" w:pos="9027"/>
        </w:tabs>
        <w:spacing w:after="0" w:line="240" w:lineRule="auto"/>
        <w:ind w:left="0"/>
        <w:contextualSpacing/>
        <w:rPr>
          <w:rFonts w:eastAsia="Times New Roman" w:cs="Arial"/>
          <w:b/>
          <w:bCs/>
          <w:sz w:val="25"/>
          <w:szCs w:val="25"/>
          <w:lang w:val="en-ZA"/>
        </w:rPr>
      </w:pPr>
    </w:p>
    <w:p w14:paraId="7223937A" w14:textId="09B4E8CD" w:rsidR="00E4127F" w:rsidRPr="00AE6097" w:rsidRDefault="00DD6315" w:rsidP="005D6DDF">
      <w:pPr>
        <w:tabs>
          <w:tab w:val="right" w:pos="9027"/>
        </w:tabs>
        <w:spacing w:after="0" w:line="240" w:lineRule="auto"/>
        <w:ind w:left="0"/>
        <w:contextualSpacing/>
        <w:rPr>
          <w:rFonts w:eastAsia="Times New Roman" w:cs="Arial"/>
          <w:b/>
          <w:bCs/>
          <w:sz w:val="25"/>
          <w:szCs w:val="25"/>
          <w:lang w:val="en-ZA"/>
        </w:rPr>
      </w:pPr>
      <w:r w:rsidRPr="00AE6097">
        <w:rPr>
          <w:rFonts w:eastAsia="Times New Roman" w:cs="Arial"/>
          <w:b/>
          <w:bCs/>
          <w:sz w:val="25"/>
          <w:szCs w:val="25"/>
          <w:lang w:val="en-ZA"/>
        </w:rPr>
        <w:t>SHERIFF, HIGH COURT, VENTERSDORP N.O.</w:t>
      </w:r>
      <w:r w:rsidR="006847EB" w:rsidRPr="00AE6097">
        <w:rPr>
          <w:rFonts w:eastAsia="Times New Roman" w:cs="Arial"/>
          <w:b/>
          <w:bCs/>
          <w:sz w:val="25"/>
          <w:szCs w:val="25"/>
          <w:lang w:val="en-ZA"/>
        </w:rPr>
        <w:tab/>
      </w:r>
      <w:r w:rsidR="00E341C3" w:rsidRPr="00AE6097">
        <w:rPr>
          <w:rFonts w:eastAsia="Times New Roman" w:cs="Arial"/>
          <w:b/>
          <w:bCs/>
          <w:sz w:val="25"/>
          <w:szCs w:val="25"/>
          <w:lang w:val="en-ZA"/>
        </w:rPr>
        <w:t>Second</w:t>
      </w:r>
      <w:r w:rsidR="006847EB" w:rsidRPr="00AE6097">
        <w:rPr>
          <w:rFonts w:eastAsia="Times New Roman" w:cs="Arial"/>
          <w:b/>
          <w:bCs/>
          <w:sz w:val="25"/>
          <w:szCs w:val="25"/>
          <w:lang w:val="en-ZA"/>
        </w:rPr>
        <w:t xml:space="preserve"> Respondent</w:t>
      </w:r>
    </w:p>
    <w:p w14:paraId="5E5F914E" w14:textId="77777777" w:rsidR="00517846" w:rsidRPr="00AE6097" w:rsidRDefault="00517846" w:rsidP="00517846">
      <w:pPr>
        <w:pStyle w:val="JudgmentNumbered0"/>
        <w:numPr>
          <w:ilvl w:val="0"/>
          <w:numId w:val="0"/>
        </w:numPr>
        <w:spacing w:line="240" w:lineRule="auto"/>
        <w:ind w:left="567" w:hanging="567"/>
        <w:rPr>
          <w:i/>
          <w:iCs/>
          <w:lang w:val="en-ZA"/>
        </w:rPr>
      </w:pPr>
    </w:p>
    <w:p w14:paraId="04B3B151" w14:textId="6CD9109F" w:rsidR="003F7D19" w:rsidRPr="00AE6097" w:rsidRDefault="003F7D19" w:rsidP="00517846">
      <w:pPr>
        <w:pStyle w:val="JudgmentNumbered0"/>
        <w:numPr>
          <w:ilvl w:val="0"/>
          <w:numId w:val="0"/>
        </w:numPr>
        <w:spacing w:line="240" w:lineRule="auto"/>
        <w:ind w:left="567" w:hanging="567"/>
        <w:rPr>
          <w:lang w:val="en-ZA"/>
        </w:rPr>
      </w:pPr>
      <w:r w:rsidRPr="00AE6097">
        <w:rPr>
          <w:i/>
          <w:iCs/>
          <w:lang w:val="en-ZA"/>
        </w:rPr>
        <w:t>IN RE</w:t>
      </w:r>
      <w:r w:rsidR="00D91A2C" w:rsidRPr="00AE6097">
        <w:rPr>
          <w:i/>
          <w:iCs/>
          <w:lang w:val="en-ZA"/>
        </w:rPr>
        <w:t>:</w:t>
      </w:r>
    </w:p>
    <w:p w14:paraId="006E14D2" w14:textId="77777777" w:rsidR="00D91A2C" w:rsidRPr="00AE6097" w:rsidRDefault="00D91A2C" w:rsidP="00517846">
      <w:pPr>
        <w:tabs>
          <w:tab w:val="right" w:pos="9027"/>
        </w:tabs>
        <w:spacing w:after="0" w:line="240" w:lineRule="auto"/>
        <w:ind w:left="0"/>
        <w:contextualSpacing/>
        <w:rPr>
          <w:rFonts w:eastAsia="Times New Roman" w:cs="Arial"/>
          <w:b/>
          <w:bCs/>
          <w:sz w:val="25"/>
          <w:szCs w:val="25"/>
          <w:lang w:val="en-ZA"/>
        </w:rPr>
      </w:pPr>
      <w:r w:rsidRPr="00AE6097">
        <w:rPr>
          <w:rFonts w:eastAsia="Times New Roman" w:cs="Arial"/>
          <w:b/>
          <w:bCs/>
          <w:sz w:val="25"/>
          <w:szCs w:val="25"/>
          <w:lang w:val="en-ZA"/>
        </w:rPr>
        <w:t xml:space="preserve">POTPALE INVESTMENTS (RF) (PROPRIETARY) </w:t>
      </w:r>
    </w:p>
    <w:p w14:paraId="6CE42C17" w14:textId="2563CDC5" w:rsidR="00D91A2C" w:rsidRPr="00AE6097" w:rsidRDefault="00D91A2C" w:rsidP="00517846">
      <w:pPr>
        <w:tabs>
          <w:tab w:val="right" w:pos="9027"/>
        </w:tabs>
        <w:spacing w:after="0" w:line="240" w:lineRule="auto"/>
        <w:ind w:left="0"/>
        <w:contextualSpacing/>
        <w:rPr>
          <w:rFonts w:eastAsia="Times New Roman" w:cs="Arial"/>
          <w:b/>
          <w:bCs/>
          <w:sz w:val="25"/>
          <w:szCs w:val="25"/>
          <w:lang w:val="en-ZA"/>
        </w:rPr>
      </w:pPr>
      <w:r w:rsidRPr="00AE6097">
        <w:rPr>
          <w:rFonts w:eastAsia="Times New Roman" w:cs="Arial"/>
          <w:b/>
          <w:bCs/>
          <w:sz w:val="25"/>
          <w:szCs w:val="25"/>
          <w:lang w:val="en-ZA"/>
        </w:rPr>
        <w:t>LIMITED</w:t>
      </w:r>
      <w:r w:rsidRPr="00AE6097">
        <w:rPr>
          <w:rFonts w:eastAsia="Times New Roman" w:cs="Arial"/>
          <w:b/>
          <w:bCs/>
          <w:sz w:val="25"/>
          <w:szCs w:val="25"/>
          <w:lang w:val="en-ZA"/>
        </w:rPr>
        <w:tab/>
      </w:r>
      <w:r w:rsidR="00EA73D6" w:rsidRPr="00AE6097">
        <w:rPr>
          <w:rFonts w:eastAsia="Times New Roman" w:cs="Arial"/>
          <w:b/>
          <w:bCs/>
          <w:sz w:val="25"/>
          <w:szCs w:val="25"/>
          <w:lang w:val="en-ZA"/>
        </w:rPr>
        <w:t>Plaintiff</w:t>
      </w:r>
    </w:p>
    <w:p w14:paraId="67868111" w14:textId="77777777" w:rsidR="00EA73D6" w:rsidRPr="00AE6097" w:rsidRDefault="00EA73D6" w:rsidP="00517846">
      <w:pPr>
        <w:pStyle w:val="JudgmentNumbered0"/>
        <w:numPr>
          <w:ilvl w:val="0"/>
          <w:numId w:val="0"/>
        </w:numPr>
        <w:spacing w:line="240" w:lineRule="auto"/>
        <w:ind w:left="567" w:hanging="567"/>
        <w:contextualSpacing/>
        <w:rPr>
          <w:lang w:val="en-ZA"/>
        </w:rPr>
      </w:pPr>
    </w:p>
    <w:p w14:paraId="407916D7" w14:textId="20DE0A71" w:rsidR="00D91A2C" w:rsidRPr="00AE6097" w:rsidRDefault="00763734" w:rsidP="00517846">
      <w:pPr>
        <w:pStyle w:val="JudgmentNumbered0"/>
        <w:numPr>
          <w:ilvl w:val="0"/>
          <w:numId w:val="0"/>
        </w:numPr>
        <w:spacing w:line="240" w:lineRule="auto"/>
        <w:ind w:left="567" w:hanging="567"/>
        <w:contextualSpacing/>
        <w:rPr>
          <w:lang w:val="en-ZA"/>
        </w:rPr>
      </w:pPr>
      <w:r w:rsidRPr="00AE6097">
        <w:rPr>
          <w:lang w:val="en-ZA"/>
        </w:rPr>
        <w:t>a</w:t>
      </w:r>
      <w:r w:rsidR="00D91A2C" w:rsidRPr="00AE6097">
        <w:rPr>
          <w:lang w:val="en-ZA"/>
        </w:rPr>
        <w:t>nd</w:t>
      </w:r>
    </w:p>
    <w:p w14:paraId="2C12E707" w14:textId="75CAA2CB" w:rsidR="00763734" w:rsidRPr="00AE6097" w:rsidRDefault="00763734" w:rsidP="00517846">
      <w:pPr>
        <w:tabs>
          <w:tab w:val="right" w:pos="9027"/>
        </w:tabs>
        <w:spacing w:after="0" w:line="240" w:lineRule="auto"/>
        <w:ind w:left="0"/>
        <w:contextualSpacing/>
        <w:rPr>
          <w:rFonts w:eastAsia="Times New Roman" w:cs="Arial"/>
          <w:bCs/>
          <w:color w:val="000000"/>
          <w:sz w:val="25"/>
          <w:szCs w:val="25"/>
          <w:lang w:val="en-ZA"/>
        </w:rPr>
      </w:pPr>
      <w:r w:rsidRPr="00AE6097">
        <w:rPr>
          <w:rFonts w:eastAsia="Times New Roman" w:cs="Arial"/>
          <w:b/>
          <w:color w:val="000000"/>
          <w:sz w:val="25"/>
          <w:szCs w:val="25"/>
          <w:lang w:val="en-ZA"/>
        </w:rPr>
        <w:t>CHOVELA, HONGA BETHUEL</w:t>
      </w:r>
      <w:r w:rsidRPr="00AE6097">
        <w:rPr>
          <w:rFonts w:eastAsia="Times New Roman" w:cs="Arial"/>
          <w:b/>
          <w:color w:val="000000"/>
          <w:sz w:val="25"/>
          <w:szCs w:val="25"/>
          <w:lang w:val="en-ZA"/>
        </w:rPr>
        <w:tab/>
        <w:t>Defendant</w:t>
      </w:r>
    </w:p>
    <w:p w14:paraId="359E6B10" w14:textId="77777777" w:rsidR="007B7F59" w:rsidRPr="00AE6097" w:rsidRDefault="007B7F59" w:rsidP="007B7F59">
      <w:pPr>
        <w:pBdr>
          <w:bottom w:val="single" w:sz="12" w:space="1" w:color="auto"/>
        </w:pBdr>
        <w:spacing w:after="0" w:line="240" w:lineRule="auto"/>
        <w:ind w:left="0"/>
        <w:jc w:val="left"/>
        <w:rPr>
          <w:rFonts w:cs="Arial"/>
          <w:b/>
          <w:szCs w:val="24"/>
          <w:lang w:val="en-ZA"/>
        </w:rPr>
      </w:pPr>
    </w:p>
    <w:p w14:paraId="197E20AD" w14:textId="77777777" w:rsidR="007B7F59" w:rsidRPr="00AE6097" w:rsidRDefault="007B7F59" w:rsidP="007B7F59">
      <w:pPr>
        <w:spacing w:after="0" w:line="240" w:lineRule="auto"/>
        <w:ind w:left="1440" w:hanging="1440"/>
        <w:jc w:val="left"/>
        <w:rPr>
          <w:rFonts w:cs="Arial"/>
          <w:b/>
          <w:szCs w:val="24"/>
          <w:lang w:val="en-ZA"/>
        </w:rPr>
      </w:pPr>
    </w:p>
    <w:p w14:paraId="16B85ADA" w14:textId="77777777" w:rsidR="007B7F59" w:rsidRPr="00AE6097" w:rsidRDefault="007B7F59" w:rsidP="007B7F59">
      <w:pPr>
        <w:pBdr>
          <w:bottom w:val="single" w:sz="12" w:space="1" w:color="auto"/>
        </w:pBdr>
        <w:spacing w:line="480" w:lineRule="auto"/>
        <w:ind w:left="0"/>
        <w:jc w:val="center"/>
        <w:rPr>
          <w:rFonts w:cs="Arial"/>
          <w:b/>
          <w:szCs w:val="24"/>
          <w:lang w:val="en-ZA"/>
        </w:rPr>
      </w:pPr>
      <w:r w:rsidRPr="00AE6097">
        <w:rPr>
          <w:rFonts w:cs="Arial"/>
          <w:b/>
          <w:szCs w:val="24"/>
          <w:lang w:val="en-ZA"/>
        </w:rPr>
        <w:t>JUDGMENT</w:t>
      </w:r>
    </w:p>
    <w:p w14:paraId="5EACC889" w14:textId="77777777" w:rsidR="00C50A48" w:rsidRPr="00AE6097" w:rsidRDefault="00C50A48" w:rsidP="00C50A48">
      <w:pPr>
        <w:spacing w:after="0" w:line="240" w:lineRule="auto"/>
        <w:ind w:left="0"/>
        <w:jc w:val="left"/>
        <w:rPr>
          <w:rFonts w:cs="Arial"/>
          <w:b/>
          <w:bCs/>
          <w:szCs w:val="24"/>
          <w:lang w:val="en-ZA"/>
        </w:rPr>
      </w:pPr>
      <w:r w:rsidRPr="00AE6097">
        <w:rPr>
          <w:rFonts w:cs="Arial"/>
          <w:b/>
          <w:bCs/>
          <w:szCs w:val="24"/>
          <w:lang w:val="en-ZA"/>
        </w:rPr>
        <w:lastRenderedPageBreak/>
        <w:t>KORF, AJ</w:t>
      </w:r>
    </w:p>
    <w:p w14:paraId="2596137D" w14:textId="77777777" w:rsidR="00C50A48" w:rsidRPr="00AE6097" w:rsidRDefault="00C50A48" w:rsidP="00C50A48">
      <w:pPr>
        <w:spacing w:after="0" w:line="240" w:lineRule="auto"/>
        <w:ind w:left="0"/>
        <w:jc w:val="left"/>
        <w:rPr>
          <w:rFonts w:cs="Arial"/>
          <w:szCs w:val="24"/>
          <w:lang w:val="en-ZA"/>
        </w:rPr>
      </w:pPr>
    </w:p>
    <w:p w14:paraId="09765C55" w14:textId="77777777" w:rsidR="00C50A48" w:rsidRPr="00AE6097" w:rsidRDefault="00C50A48" w:rsidP="00C50A48">
      <w:pPr>
        <w:spacing w:after="0" w:line="240" w:lineRule="auto"/>
        <w:ind w:left="0"/>
        <w:jc w:val="left"/>
        <w:rPr>
          <w:rFonts w:cs="Arial"/>
          <w:szCs w:val="24"/>
          <w:lang w:val="en-ZA"/>
        </w:rPr>
      </w:pPr>
    </w:p>
    <w:p w14:paraId="1CC0EC04" w14:textId="6EF18FE4" w:rsidR="00C50A48" w:rsidRPr="00AE6097" w:rsidRDefault="00C50A48" w:rsidP="00C50A48">
      <w:pPr>
        <w:pStyle w:val="JudgmentHeading"/>
        <w:rPr>
          <w:lang w:val="en-ZA"/>
        </w:rPr>
      </w:pPr>
      <w:r w:rsidRPr="00AE6097">
        <w:rPr>
          <w:lang w:val="en-ZA"/>
        </w:rPr>
        <w:t>Introduction</w:t>
      </w:r>
    </w:p>
    <w:p w14:paraId="5D32A8D0" w14:textId="15145D9C" w:rsidR="00A9018F" w:rsidRPr="00AE6097" w:rsidRDefault="002D5398" w:rsidP="002D5398">
      <w:pPr>
        <w:pStyle w:val="JUDGMENTNUMBERED"/>
        <w:numPr>
          <w:ilvl w:val="0"/>
          <w:numId w:val="0"/>
        </w:numPr>
        <w:ind w:left="709" w:hanging="709"/>
        <w:rPr>
          <w:lang w:val="en-ZA"/>
        </w:rPr>
      </w:pPr>
      <w:r w:rsidRPr="00AE6097">
        <w:rPr>
          <w:rFonts w:cs="Arial"/>
          <w:color w:val="000000"/>
          <w:lang w:val="en-ZA"/>
        </w:rPr>
        <w:t>[1]</w:t>
      </w:r>
      <w:r w:rsidRPr="00AE6097">
        <w:rPr>
          <w:rFonts w:cs="Arial"/>
          <w:color w:val="000000"/>
          <w:lang w:val="en-ZA"/>
        </w:rPr>
        <w:tab/>
      </w:r>
      <w:r w:rsidR="008618FC" w:rsidRPr="00AE6097">
        <w:rPr>
          <w:lang w:val="en-ZA"/>
        </w:rPr>
        <w:t xml:space="preserve">This is </w:t>
      </w:r>
      <w:r w:rsidR="00E255CA" w:rsidRPr="00AE6097">
        <w:rPr>
          <w:lang w:val="en-ZA"/>
        </w:rPr>
        <w:t xml:space="preserve">an </w:t>
      </w:r>
      <w:r w:rsidR="008618FC" w:rsidRPr="00AE6097">
        <w:rPr>
          <w:lang w:val="en-ZA"/>
        </w:rPr>
        <w:t>application in which the applicant</w:t>
      </w:r>
      <w:r w:rsidR="00B815BB" w:rsidRPr="00AE6097">
        <w:rPr>
          <w:lang w:val="en-ZA"/>
        </w:rPr>
        <w:t xml:space="preserve"> (the</w:t>
      </w:r>
      <w:r w:rsidR="00756114" w:rsidRPr="00AE6097">
        <w:rPr>
          <w:lang w:val="en-ZA"/>
        </w:rPr>
        <w:t xml:space="preserve"> Defendant)</w:t>
      </w:r>
      <w:r w:rsidR="008618FC" w:rsidRPr="00AE6097">
        <w:rPr>
          <w:lang w:val="en-ZA"/>
        </w:rPr>
        <w:t xml:space="preserve"> seeks an order</w:t>
      </w:r>
      <w:r w:rsidR="005D336C" w:rsidRPr="00AE6097">
        <w:rPr>
          <w:lang w:val="en-ZA"/>
        </w:rPr>
        <w:t>, in terms of prayer 1 of the Notice of Motion</w:t>
      </w:r>
      <w:r w:rsidR="00EB3A9E" w:rsidRPr="00AE6097">
        <w:rPr>
          <w:lang w:val="en-ZA"/>
        </w:rPr>
        <w:t>, that</w:t>
      </w:r>
      <w:r w:rsidR="008618FC" w:rsidRPr="00AE6097">
        <w:rPr>
          <w:lang w:val="en-ZA"/>
        </w:rPr>
        <w:t xml:space="preserve"> the </w:t>
      </w:r>
      <w:r w:rsidR="0008268C" w:rsidRPr="00AE6097">
        <w:rPr>
          <w:lang w:val="en-ZA"/>
        </w:rPr>
        <w:t>“…</w:t>
      </w:r>
      <w:r w:rsidR="003711C0" w:rsidRPr="00AE6097">
        <w:rPr>
          <w:i/>
          <w:lang w:val="en-ZA"/>
        </w:rPr>
        <w:t xml:space="preserve"> </w:t>
      </w:r>
      <w:r w:rsidR="00D4509F" w:rsidRPr="00AE6097">
        <w:rPr>
          <w:i/>
          <w:lang w:val="en-ZA"/>
        </w:rPr>
        <w:t>[d]</w:t>
      </w:r>
      <w:proofErr w:type="spellStart"/>
      <w:r w:rsidR="003711C0" w:rsidRPr="00AE6097">
        <w:rPr>
          <w:i/>
          <w:lang w:val="en-ZA"/>
        </w:rPr>
        <w:t>efault</w:t>
      </w:r>
      <w:proofErr w:type="spellEnd"/>
      <w:r w:rsidR="003711C0" w:rsidRPr="00AE6097">
        <w:rPr>
          <w:i/>
          <w:lang w:val="en-ZA"/>
        </w:rPr>
        <w:t xml:space="preserve"> Judgement granted against the Applicant on an unopposed basis on 9 December 2021 by the Registrar</w:t>
      </w:r>
      <w:r w:rsidR="00D51C85" w:rsidRPr="00AE6097">
        <w:rPr>
          <w:i/>
          <w:lang w:val="en-ZA"/>
        </w:rPr>
        <w:t xml:space="preserve"> of the above Honourable Court be rescinded as envisaged under Uniform Rule</w:t>
      </w:r>
      <w:r w:rsidR="00CE3C01" w:rsidRPr="00AE6097">
        <w:rPr>
          <w:i/>
          <w:iCs/>
          <w:lang w:val="en-ZA"/>
        </w:rPr>
        <w:t xml:space="preserve"> 42(1)(</w:t>
      </w:r>
      <w:proofErr w:type="gramStart"/>
      <w:r w:rsidR="00CE3C01" w:rsidRPr="00AE6097">
        <w:rPr>
          <w:i/>
          <w:iCs/>
          <w:lang w:val="en-ZA"/>
        </w:rPr>
        <w:t>a)</w:t>
      </w:r>
      <w:r w:rsidR="00613392" w:rsidRPr="00AE6097">
        <w:rPr>
          <w:lang w:val="en-ZA"/>
        </w:rPr>
        <w:t>…</w:t>
      </w:r>
      <w:proofErr w:type="gramEnd"/>
      <w:r w:rsidR="00613392" w:rsidRPr="00AE6097">
        <w:rPr>
          <w:lang w:val="en-ZA"/>
        </w:rPr>
        <w:t>”</w:t>
      </w:r>
      <w:r w:rsidR="008618FC" w:rsidRPr="00AE6097">
        <w:rPr>
          <w:lang w:val="en-ZA"/>
        </w:rPr>
        <w:t>.</w:t>
      </w:r>
    </w:p>
    <w:p w14:paraId="4362C4C3" w14:textId="77777777" w:rsidR="004E3203" w:rsidRPr="00AE6097" w:rsidRDefault="004E3203" w:rsidP="004E3203">
      <w:pPr>
        <w:pStyle w:val="JUDGMENTNUMBERED"/>
        <w:numPr>
          <w:ilvl w:val="0"/>
          <w:numId w:val="0"/>
        </w:numPr>
        <w:ind w:left="709"/>
        <w:rPr>
          <w:lang w:val="en-ZA"/>
        </w:rPr>
      </w:pPr>
    </w:p>
    <w:p w14:paraId="188D3EC2" w14:textId="5827A94F" w:rsidR="004E3203" w:rsidRPr="00AE6097" w:rsidRDefault="004E3203" w:rsidP="004E3203">
      <w:pPr>
        <w:pStyle w:val="JudgmentHeading"/>
        <w:rPr>
          <w:lang w:val="en-ZA"/>
        </w:rPr>
      </w:pPr>
      <w:r w:rsidRPr="00AE6097">
        <w:rPr>
          <w:lang w:val="en-ZA"/>
        </w:rPr>
        <w:t>Litigation history</w:t>
      </w:r>
    </w:p>
    <w:p w14:paraId="6C716C79" w14:textId="41632F24" w:rsidR="00A5335D" w:rsidRPr="00AE6097" w:rsidRDefault="002D5398" w:rsidP="002D5398">
      <w:pPr>
        <w:pStyle w:val="JUDGMENTNUMBERED"/>
        <w:numPr>
          <w:ilvl w:val="0"/>
          <w:numId w:val="0"/>
        </w:numPr>
        <w:ind w:left="709" w:hanging="709"/>
        <w:rPr>
          <w:lang w:val="en-ZA"/>
        </w:rPr>
      </w:pPr>
      <w:r w:rsidRPr="00AE6097">
        <w:rPr>
          <w:rFonts w:cs="Arial"/>
          <w:color w:val="000000"/>
          <w:lang w:val="en-ZA"/>
        </w:rPr>
        <w:t>[2]</w:t>
      </w:r>
      <w:r w:rsidRPr="00AE6097">
        <w:rPr>
          <w:rFonts w:cs="Arial"/>
          <w:color w:val="000000"/>
          <w:lang w:val="en-ZA"/>
        </w:rPr>
        <w:tab/>
      </w:r>
      <w:r w:rsidR="003E61A4" w:rsidRPr="00AE6097">
        <w:rPr>
          <w:lang w:val="en-ZA"/>
        </w:rPr>
        <w:t xml:space="preserve">The </w:t>
      </w:r>
      <w:r w:rsidR="00196CCC" w:rsidRPr="00AE6097">
        <w:rPr>
          <w:lang w:val="en-ZA"/>
        </w:rPr>
        <w:t>respondent</w:t>
      </w:r>
      <w:r w:rsidR="006E2D4D" w:rsidRPr="00AE6097">
        <w:rPr>
          <w:lang w:val="en-ZA"/>
        </w:rPr>
        <w:t>’s</w:t>
      </w:r>
      <w:r w:rsidR="00196CCC" w:rsidRPr="00AE6097">
        <w:rPr>
          <w:lang w:val="en-ZA"/>
        </w:rPr>
        <w:t xml:space="preserve"> claim </w:t>
      </w:r>
      <w:r w:rsidR="003E61A4" w:rsidRPr="00AE6097">
        <w:rPr>
          <w:lang w:val="en-ZA"/>
        </w:rPr>
        <w:t>against the applicant is founded on a credit agreement</w:t>
      </w:r>
      <w:r w:rsidR="00D02AE8" w:rsidRPr="00AE6097">
        <w:rPr>
          <w:lang w:val="en-ZA"/>
        </w:rPr>
        <w:t>, concluded on 23 December 2020</w:t>
      </w:r>
      <w:r w:rsidR="00DC26EE" w:rsidRPr="00AE6097">
        <w:rPr>
          <w:lang w:val="en-ZA"/>
        </w:rPr>
        <w:t xml:space="preserve"> at Midrand,</w:t>
      </w:r>
      <w:r w:rsidR="003E61A4" w:rsidRPr="00AE6097">
        <w:rPr>
          <w:lang w:val="en-ZA"/>
        </w:rPr>
        <w:t xml:space="preserve"> </w:t>
      </w:r>
      <w:r w:rsidR="00010E25" w:rsidRPr="00AE6097">
        <w:rPr>
          <w:lang w:val="en-ZA"/>
        </w:rPr>
        <w:t xml:space="preserve">under which the applicant financed the purchase of a Toyota Quantum vehicle. </w:t>
      </w:r>
      <w:r w:rsidR="008C6F76" w:rsidRPr="00AE6097">
        <w:rPr>
          <w:lang w:val="en-ZA"/>
        </w:rPr>
        <w:t>On 4 November 2021, t</w:t>
      </w:r>
      <w:r w:rsidR="006D1A56" w:rsidRPr="00AE6097">
        <w:rPr>
          <w:lang w:val="en-ZA"/>
        </w:rPr>
        <w:t xml:space="preserve">he respondent’s summons was served </w:t>
      </w:r>
      <w:r w:rsidR="008C6F76" w:rsidRPr="00AE6097">
        <w:rPr>
          <w:lang w:val="en-ZA"/>
        </w:rPr>
        <w:t>on the applicant personally.</w:t>
      </w:r>
    </w:p>
    <w:p w14:paraId="6C852A9B" w14:textId="6B309223" w:rsidR="00FC0056" w:rsidRPr="00AE6097" w:rsidRDefault="002D5398" w:rsidP="002D5398">
      <w:pPr>
        <w:pStyle w:val="JUDGMENTNUMBERED"/>
        <w:numPr>
          <w:ilvl w:val="0"/>
          <w:numId w:val="0"/>
        </w:numPr>
        <w:ind w:left="709" w:hanging="709"/>
        <w:rPr>
          <w:lang w:val="en-ZA"/>
        </w:rPr>
      </w:pPr>
      <w:r w:rsidRPr="00AE6097">
        <w:rPr>
          <w:rFonts w:cs="Arial"/>
          <w:color w:val="000000"/>
          <w:lang w:val="en-ZA"/>
        </w:rPr>
        <w:t>[3]</w:t>
      </w:r>
      <w:r w:rsidRPr="00AE6097">
        <w:rPr>
          <w:rFonts w:cs="Arial"/>
          <w:color w:val="000000"/>
          <w:lang w:val="en-ZA"/>
        </w:rPr>
        <w:tab/>
      </w:r>
      <w:r w:rsidR="00010E25" w:rsidRPr="00AE6097">
        <w:rPr>
          <w:lang w:val="en-ZA"/>
        </w:rPr>
        <w:t xml:space="preserve">In the </w:t>
      </w:r>
      <w:r w:rsidR="00671ED0" w:rsidRPr="00AE6097">
        <w:rPr>
          <w:lang w:val="en-ZA"/>
        </w:rPr>
        <w:t>P</w:t>
      </w:r>
      <w:r w:rsidR="00010E25" w:rsidRPr="00AE6097">
        <w:rPr>
          <w:lang w:val="en-ZA"/>
        </w:rPr>
        <w:t xml:space="preserve">articulars of </w:t>
      </w:r>
      <w:r w:rsidR="00671ED0" w:rsidRPr="00AE6097">
        <w:rPr>
          <w:lang w:val="en-ZA"/>
        </w:rPr>
        <w:t>C</w:t>
      </w:r>
      <w:r w:rsidR="00010E25" w:rsidRPr="00AE6097">
        <w:rPr>
          <w:lang w:val="en-ZA"/>
        </w:rPr>
        <w:t>laim, the respondent alleged that the applicant failed to make payment under</w:t>
      </w:r>
      <w:r w:rsidR="00896E7F" w:rsidRPr="00AE6097">
        <w:rPr>
          <w:lang w:val="en-ZA"/>
        </w:rPr>
        <w:t xml:space="preserve"> the credit agreement and</w:t>
      </w:r>
      <w:r w:rsidR="00A8352A" w:rsidRPr="00AE6097">
        <w:rPr>
          <w:lang w:val="en-ZA"/>
        </w:rPr>
        <w:t>,</w:t>
      </w:r>
      <w:r w:rsidR="00896E7F" w:rsidRPr="00AE6097">
        <w:rPr>
          <w:lang w:val="en-ZA"/>
        </w:rPr>
        <w:t xml:space="preserve"> consequently</w:t>
      </w:r>
      <w:r w:rsidR="00A8352A" w:rsidRPr="00AE6097">
        <w:rPr>
          <w:lang w:val="en-ZA"/>
        </w:rPr>
        <w:t>,</w:t>
      </w:r>
      <w:r w:rsidR="00EB16F1" w:rsidRPr="00AE6097">
        <w:rPr>
          <w:lang w:val="en-ZA"/>
        </w:rPr>
        <w:t xml:space="preserve"> exercised its contractual remedies</w:t>
      </w:r>
      <w:r w:rsidR="00353CC2" w:rsidRPr="00AE6097">
        <w:rPr>
          <w:lang w:val="en-ZA"/>
        </w:rPr>
        <w:t>, including terminating the agreement</w:t>
      </w:r>
      <w:r w:rsidR="000D11EF" w:rsidRPr="00AE6097">
        <w:rPr>
          <w:lang w:val="en-ZA"/>
        </w:rPr>
        <w:t xml:space="preserve"> through the summons</w:t>
      </w:r>
      <w:r w:rsidR="00353CC2" w:rsidRPr="00AE6097">
        <w:rPr>
          <w:lang w:val="en-ZA"/>
        </w:rPr>
        <w:t xml:space="preserve"> and claiming </w:t>
      </w:r>
      <w:r w:rsidR="000D11EF" w:rsidRPr="00AE6097">
        <w:rPr>
          <w:lang w:val="en-ZA"/>
        </w:rPr>
        <w:t>the return of the vehicle</w:t>
      </w:r>
      <w:r w:rsidR="00EB16F1" w:rsidRPr="00AE6097">
        <w:rPr>
          <w:lang w:val="en-ZA"/>
        </w:rPr>
        <w:t>.</w:t>
      </w:r>
    </w:p>
    <w:p w14:paraId="39A27A6F" w14:textId="6D22CD72" w:rsidR="00DA6F9F" w:rsidRPr="00AE6097" w:rsidRDefault="002D5398" w:rsidP="002D5398">
      <w:pPr>
        <w:pStyle w:val="JUDGMENTNUMBERED"/>
        <w:numPr>
          <w:ilvl w:val="0"/>
          <w:numId w:val="0"/>
        </w:numPr>
        <w:ind w:left="709" w:hanging="709"/>
        <w:rPr>
          <w:lang w:val="en-ZA"/>
        </w:rPr>
      </w:pPr>
      <w:r w:rsidRPr="00AE6097">
        <w:rPr>
          <w:rFonts w:cs="Arial"/>
          <w:color w:val="000000"/>
          <w:lang w:val="en-ZA"/>
        </w:rPr>
        <w:t>[4]</w:t>
      </w:r>
      <w:r w:rsidRPr="00AE6097">
        <w:rPr>
          <w:rFonts w:cs="Arial"/>
          <w:color w:val="000000"/>
          <w:lang w:val="en-ZA"/>
        </w:rPr>
        <w:tab/>
      </w:r>
      <w:r w:rsidR="00F73D4A" w:rsidRPr="00AE6097">
        <w:rPr>
          <w:lang w:val="en-ZA"/>
        </w:rPr>
        <w:t>After the</w:t>
      </w:r>
      <w:r w:rsidR="00D60D58" w:rsidRPr="00AE6097">
        <w:rPr>
          <w:lang w:val="en-ZA"/>
        </w:rPr>
        <w:t xml:space="preserve"> applicant failed to enter </w:t>
      </w:r>
      <w:r w:rsidR="00115995" w:rsidRPr="00AE6097">
        <w:rPr>
          <w:lang w:val="en-ZA"/>
        </w:rPr>
        <w:t xml:space="preserve">an </w:t>
      </w:r>
      <w:r w:rsidR="00D60D58" w:rsidRPr="00AE6097">
        <w:rPr>
          <w:lang w:val="en-ZA"/>
        </w:rPr>
        <w:t>appearance to defend, the respondent applied</w:t>
      </w:r>
      <w:r w:rsidR="00115995" w:rsidRPr="00AE6097">
        <w:rPr>
          <w:lang w:val="en-ZA"/>
        </w:rPr>
        <w:t xml:space="preserve"> with the Registrar for default </w:t>
      </w:r>
      <w:r w:rsidR="009A0FF2" w:rsidRPr="00AE6097">
        <w:rPr>
          <w:lang w:val="en-ZA"/>
        </w:rPr>
        <w:t>judgment</w:t>
      </w:r>
      <w:r w:rsidR="00115995" w:rsidRPr="00AE6097">
        <w:rPr>
          <w:lang w:val="en-ZA"/>
        </w:rPr>
        <w:t xml:space="preserve">, </w:t>
      </w:r>
      <w:r w:rsidR="00115995" w:rsidRPr="00AE6097">
        <w:rPr>
          <w:i/>
          <w:iCs/>
          <w:lang w:val="en-ZA"/>
        </w:rPr>
        <w:t>inter alia</w:t>
      </w:r>
      <w:r w:rsidR="00115995" w:rsidRPr="00AE6097">
        <w:rPr>
          <w:lang w:val="en-ZA"/>
        </w:rPr>
        <w:t xml:space="preserve">, for confirmation of termination of the agreement, </w:t>
      </w:r>
      <w:r w:rsidR="009A0FF2" w:rsidRPr="00AE6097">
        <w:rPr>
          <w:lang w:val="en-ZA"/>
        </w:rPr>
        <w:t xml:space="preserve">return of the vehicle, costs in terms of Rule </w:t>
      </w:r>
      <w:r w:rsidR="00892F29" w:rsidRPr="00AE6097">
        <w:rPr>
          <w:lang w:val="en-ZA"/>
        </w:rPr>
        <w:t>31(5)(e) and the sheriff’s fees</w:t>
      </w:r>
      <w:r w:rsidR="0000558D" w:rsidRPr="00AE6097">
        <w:rPr>
          <w:lang w:val="en-ZA"/>
        </w:rPr>
        <w:t>, which default judgement was granted on 9 December 2021</w:t>
      </w:r>
      <w:r w:rsidR="00D52298" w:rsidRPr="00AE6097">
        <w:rPr>
          <w:lang w:val="en-ZA"/>
        </w:rPr>
        <w:t>,</w:t>
      </w:r>
      <w:r w:rsidR="00F46B16" w:rsidRPr="00AE6097">
        <w:rPr>
          <w:lang w:val="en-ZA"/>
        </w:rPr>
        <w:t xml:space="preserve"> as </w:t>
      </w:r>
      <w:r w:rsidR="00DA366B" w:rsidRPr="00AE6097">
        <w:rPr>
          <w:lang w:val="en-ZA"/>
        </w:rPr>
        <w:t>appears above</w:t>
      </w:r>
      <w:r w:rsidR="0000558D" w:rsidRPr="00AE6097">
        <w:rPr>
          <w:lang w:val="en-ZA"/>
        </w:rPr>
        <w:t>.</w:t>
      </w:r>
      <w:r w:rsidR="00892F29" w:rsidRPr="00AE6097">
        <w:rPr>
          <w:lang w:val="en-ZA"/>
        </w:rPr>
        <w:t xml:space="preserve"> </w:t>
      </w:r>
    </w:p>
    <w:p w14:paraId="7F12161E" w14:textId="77777777" w:rsidR="00A8433B" w:rsidRPr="00AE6097" w:rsidRDefault="00A8433B" w:rsidP="00A8433B">
      <w:pPr>
        <w:pStyle w:val="JUDGMENTCONTINUED"/>
        <w:rPr>
          <w:lang w:val="en-ZA"/>
        </w:rPr>
      </w:pPr>
    </w:p>
    <w:p w14:paraId="38C94862" w14:textId="75580048" w:rsidR="006D3131" w:rsidRPr="00AE6097" w:rsidRDefault="006D3131" w:rsidP="006D3131">
      <w:pPr>
        <w:pStyle w:val="JudgmentHeading"/>
        <w:rPr>
          <w:lang w:val="en-ZA"/>
        </w:rPr>
      </w:pPr>
      <w:r w:rsidRPr="00AE6097">
        <w:rPr>
          <w:lang w:val="en-ZA"/>
        </w:rPr>
        <w:t>Basis of the application</w:t>
      </w:r>
    </w:p>
    <w:p w14:paraId="73171A51" w14:textId="1FFAA1ED" w:rsidR="00F041D1" w:rsidRPr="00AE6097" w:rsidRDefault="002D5398" w:rsidP="002D5398">
      <w:pPr>
        <w:pStyle w:val="JUDGMENTNUMBERED"/>
        <w:numPr>
          <w:ilvl w:val="0"/>
          <w:numId w:val="0"/>
        </w:numPr>
        <w:ind w:left="709" w:hanging="709"/>
        <w:rPr>
          <w:lang w:val="en-ZA"/>
        </w:rPr>
      </w:pPr>
      <w:r w:rsidRPr="00AE6097">
        <w:rPr>
          <w:rFonts w:cs="Arial"/>
          <w:color w:val="000000"/>
          <w:lang w:val="en-ZA"/>
        </w:rPr>
        <w:t>[5]</w:t>
      </w:r>
      <w:r w:rsidRPr="00AE6097">
        <w:rPr>
          <w:rFonts w:cs="Arial"/>
          <w:color w:val="000000"/>
          <w:lang w:val="en-ZA"/>
        </w:rPr>
        <w:tab/>
      </w:r>
      <w:r w:rsidR="004913D3" w:rsidRPr="00AE6097">
        <w:rPr>
          <w:lang w:val="en-ZA"/>
        </w:rPr>
        <w:t xml:space="preserve">The Notice of Motion indicates that </w:t>
      </w:r>
      <w:r w:rsidR="00825B73" w:rsidRPr="00AE6097">
        <w:rPr>
          <w:lang w:val="en-ZA"/>
        </w:rPr>
        <w:t>the application was intended to be brought under Rule 42(1)(a).</w:t>
      </w:r>
    </w:p>
    <w:p w14:paraId="6A7ACCE4" w14:textId="39FFA8C7" w:rsidR="002C1054" w:rsidRPr="00AE6097" w:rsidRDefault="002D5398" w:rsidP="002D5398">
      <w:pPr>
        <w:pStyle w:val="JUDGMENTNUMBERED"/>
        <w:numPr>
          <w:ilvl w:val="0"/>
          <w:numId w:val="0"/>
        </w:numPr>
        <w:ind w:left="709" w:hanging="709"/>
        <w:rPr>
          <w:lang w:val="en-ZA"/>
        </w:rPr>
      </w:pPr>
      <w:r w:rsidRPr="00AE6097">
        <w:rPr>
          <w:rFonts w:cs="Arial"/>
          <w:color w:val="000000"/>
          <w:lang w:val="en-ZA"/>
        </w:rPr>
        <w:t>[6]</w:t>
      </w:r>
      <w:r w:rsidRPr="00AE6097">
        <w:rPr>
          <w:rFonts w:cs="Arial"/>
          <w:color w:val="000000"/>
          <w:lang w:val="en-ZA"/>
        </w:rPr>
        <w:tab/>
      </w:r>
      <w:r w:rsidR="00175582" w:rsidRPr="00AE6097">
        <w:rPr>
          <w:lang w:val="en-ZA"/>
        </w:rPr>
        <w:t>However, a</w:t>
      </w:r>
      <w:r w:rsidR="002C1054" w:rsidRPr="00AE6097">
        <w:rPr>
          <w:lang w:val="en-ZA"/>
        </w:rPr>
        <w:t xml:space="preserve">s </w:t>
      </w:r>
      <w:r w:rsidR="00786A8A" w:rsidRPr="00AE6097">
        <w:rPr>
          <w:lang w:val="en-ZA"/>
        </w:rPr>
        <w:t>the discussion below shows</w:t>
      </w:r>
      <w:r w:rsidR="002C1054" w:rsidRPr="00AE6097">
        <w:rPr>
          <w:lang w:val="en-ZA"/>
        </w:rPr>
        <w:t xml:space="preserve">, the Founding Affidavit does not contain any allegations of fact or contentions suggesting that the application is </w:t>
      </w:r>
      <w:r w:rsidR="002C1054" w:rsidRPr="00AE6097">
        <w:rPr>
          <w:lang w:val="en-ZA"/>
        </w:rPr>
        <w:lastRenderedPageBreak/>
        <w:t>brought under Rule 42(1)(a)</w:t>
      </w:r>
      <w:r w:rsidR="004D3341" w:rsidRPr="00AE6097">
        <w:rPr>
          <w:lang w:val="en-ZA"/>
        </w:rPr>
        <w:t xml:space="preserve">, or if </w:t>
      </w:r>
      <w:r w:rsidR="00097BF0" w:rsidRPr="00AE6097">
        <w:rPr>
          <w:lang w:val="en-ZA"/>
        </w:rPr>
        <w:t xml:space="preserve">such </w:t>
      </w:r>
      <w:r w:rsidR="003F0F14">
        <w:rPr>
          <w:lang w:val="en-ZA"/>
        </w:rPr>
        <w:t>allegations or contentions</w:t>
      </w:r>
      <w:r w:rsidR="00097BF0" w:rsidRPr="00AE6097">
        <w:rPr>
          <w:lang w:val="en-ZA"/>
        </w:rPr>
        <w:t xml:space="preserve"> exist</w:t>
      </w:r>
      <w:r w:rsidR="00DC16CE" w:rsidRPr="00AE6097">
        <w:rPr>
          <w:lang w:val="en-ZA"/>
        </w:rPr>
        <w:t xml:space="preserve">, they are not </w:t>
      </w:r>
      <w:r w:rsidR="00945FEE">
        <w:rPr>
          <w:lang w:val="en-ZA"/>
        </w:rPr>
        <w:t>clearly stated regarding</w:t>
      </w:r>
      <w:r w:rsidR="00CD2DAC" w:rsidRPr="00AE6097">
        <w:rPr>
          <w:lang w:val="en-ZA"/>
        </w:rPr>
        <w:t xml:space="preserve"> the said rule</w:t>
      </w:r>
      <w:r w:rsidR="002C1054" w:rsidRPr="00AE6097">
        <w:rPr>
          <w:lang w:val="en-ZA"/>
        </w:rPr>
        <w:t>.</w:t>
      </w:r>
    </w:p>
    <w:p w14:paraId="04132F0F" w14:textId="04011E9A" w:rsidR="002C1054" w:rsidRPr="00AE6097" w:rsidRDefault="002D5398" w:rsidP="002D5398">
      <w:pPr>
        <w:pStyle w:val="JUDGMENTNUMBERED"/>
        <w:numPr>
          <w:ilvl w:val="0"/>
          <w:numId w:val="0"/>
        </w:numPr>
        <w:ind w:left="709" w:hanging="709"/>
        <w:rPr>
          <w:lang w:val="en-ZA"/>
        </w:rPr>
      </w:pPr>
      <w:r w:rsidRPr="00AE6097">
        <w:rPr>
          <w:rFonts w:cs="Arial"/>
          <w:color w:val="000000"/>
          <w:lang w:val="en-ZA"/>
        </w:rPr>
        <w:t>[7]</w:t>
      </w:r>
      <w:r w:rsidRPr="00AE6097">
        <w:rPr>
          <w:rFonts w:cs="Arial"/>
          <w:color w:val="000000"/>
          <w:lang w:val="en-ZA"/>
        </w:rPr>
        <w:tab/>
      </w:r>
      <w:r w:rsidR="002C1054" w:rsidRPr="00AE6097">
        <w:rPr>
          <w:lang w:val="en-ZA"/>
        </w:rPr>
        <w:t xml:space="preserve">In paragraph 6 of the Founding Affidavit, the applicant states that, </w:t>
      </w:r>
      <w:r w:rsidR="00945FEE">
        <w:rPr>
          <w:lang w:val="en-ZA"/>
        </w:rPr>
        <w:t>for</w:t>
      </w:r>
      <w:r w:rsidR="002C1054" w:rsidRPr="00AE6097">
        <w:rPr>
          <w:lang w:val="en-ZA"/>
        </w:rPr>
        <w:t xml:space="preserve"> the default judgement to be set aside, he “…</w:t>
      </w:r>
      <w:r w:rsidR="002C1054" w:rsidRPr="00AE6097">
        <w:rPr>
          <w:i/>
          <w:lang w:val="en-ZA"/>
        </w:rPr>
        <w:t xml:space="preserve">must </w:t>
      </w:r>
      <w:r w:rsidR="002C1054" w:rsidRPr="00AE6097">
        <w:rPr>
          <w:i/>
          <w:iCs/>
          <w:lang w:val="en-ZA"/>
        </w:rPr>
        <w:t>prove…the reasons why the notice to defend was not filed timeously</w:t>
      </w:r>
      <w:proofErr w:type="gramStart"/>
      <w:r w:rsidR="002C1054" w:rsidRPr="00AE6097">
        <w:rPr>
          <w:i/>
          <w:iCs/>
          <w:lang w:val="en-ZA"/>
        </w:rPr>
        <w:t>…[</w:t>
      </w:r>
      <w:proofErr w:type="gramEnd"/>
      <w:r w:rsidR="002C1054" w:rsidRPr="00AE6097">
        <w:rPr>
          <w:i/>
          <w:iCs/>
          <w:lang w:val="en-ZA"/>
        </w:rPr>
        <w:t xml:space="preserve">and that] I possess over defences fit for a trial </w:t>
      </w:r>
      <w:r w:rsidR="002C1054" w:rsidRPr="00AE6097">
        <w:rPr>
          <w:lang w:val="en-ZA"/>
        </w:rPr>
        <w:t xml:space="preserve">(sic)…”. </w:t>
      </w:r>
    </w:p>
    <w:p w14:paraId="538849C2" w14:textId="1A56838B" w:rsidR="00811216" w:rsidRPr="00AE6097" w:rsidRDefault="002D5398" w:rsidP="002D5398">
      <w:pPr>
        <w:pStyle w:val="JUDGMENTNUMBERED"/>
        <w:numPr>
          <w:ilvl w:val="0"/>
          <w:numId w:val="0"/>
        </w:numPr>
        <w:ind w:left="709" w:hanging="709"/>
        <w:rPr>
          <w:lang w:val="en-ZA"/>
        </w:rPr>
      </w:pPr>
      <w:r w:rsidRPr="00AE6097">
        <w:rPr>
          <w:rFonts w:cs="Arial"/>
          <w:color w:val="000000"/>
          <w:lang w:val="en-ZA"/>
        </w:rPr>
        <w:t>[8]</w:t>
      </w:r>
      <w:r w:rsidRPr="00AE6097">
        <w:rPr>
          <w:rFonts w:cs="Arial"/>
          <w:color w:val="000000"/>
          <w:lang w:val="en-ZA"/>
        </w:rPr>
        <w:tab/>
      </w:r>
      <w:r w:rsidR="00811216" w:rsidRPr="00AE6097">
        <w:rPr>
          <w:lang w:val="en-ZA"/>
        </w:rPr>
        <w:t xml:space="preserve">It is trite that if a case is made out that satisfies the jurisdictional requirements for rescission under Rule 42(1)(a), </w:t>
      </w:r>
      <w:r w:rsidR="003C382E" w:rsidRPr="00AE6097">
        <w:rPr>
          <w:lang w:val="en-ZA"/>
        </w:rPr>
        <w:t>an applicant need not show good cause</w:t>
      </w:r>
      <w:r w:rsidR="00D95AD1" w:rsidRPr="00AE6097">
        <w:rPr>
          <w:lang w:val="en-ZA"/>
        </w:rPr>
        <w:t xml:space="preserve"> for the judgment to be rescinded.</w:t>
      </w:r>
      <w:r w:rsidR="00811216" w:rsidRPr="00AE6097">
        <w:rPr>
          <w:lang w:val="en-ZA"/>
        </w:rPr>
        <w:t xml:space="preserve"> </w:t>
      </w:r>
    </w:p>
    <w:p w14:paraId="6F00F8F6" w14:textId="615BD064" w:rsidR="002C1054" w:rsidRPr="00AE6097" w:rsidRDefault="002D5398" w:rsidP="002D5398">
      <w:pPr>
        <w:pStyle w:val="JUDGMENTNUMBERED"/>
        <w:numPr>
          <w:ilvl w:val="0"/>
          <w:numId w:val="0"/>
        </w:numPr>
        <w:ind w:left="709" w:hanging="709"/>
        <w:rPr>
          <w:lang w:val="en-ZA"/>
        </w:rPr>
      </w:pPr>
      <w:r w:rsidRPr="00AE6097">
        <w:rPr>
          <w:rFonts w:cs="Arial"/>
          <w:color w:val="000000"/>
          <w:lang w:val="en-ZA"/>
        </w:rPr>
        <w:t>[9]</w:t>
      </w:r>
      <w:r w:rsidRPr="00AE6097">
        <w:rPr>
          <w:rFonts w:cs="Arial"/>
          <w:color w:val="000000"/>
          <w:lang w:val="en-ZA"/>
        </w:rPr>
        <w:tab/>
      </w:r>
      <w:r w:rsidR="002C1054" w:rsidRPr="00AE6097">
        <w:rPr>
          <w:lang w:val="en-ZA"/>
        </w:rPr>
        <w:t>Therefore, despite the reference in the Notice of Motion to Uniform Rule 42(1)(a), the contents of the Founding Affidavit suggest that the application was intended to be brought either under Rule 31(2)(b) or the common law.</w:t>
      </w:r>
    </w:p>
    <w:p w14:paraId="0E919951" w14:textId="77777777" w:rsidR="006D3131" w:rsidRPr="00AE6097" w:rsidRDefault="006D3131" w:rsidP="006D3131">
      <w:pPr>
        <w:pStyle w:val="JUDGMENTCONTINUED"/>
        <w:rPr>
          <w:lang w:val="en-ZA"/>
        </w:rPr>
      </w:pPr>
    </w:p>
    <w:p w14:paraId="6649F31F" w14:textId="43234DB2" w:rsidR="006D3131" w:rsidRPr="00AE6097" w:rsidRDefault="006D3131" w:rsidP="006D3131">
      <w:pPr>
        <w:pStyle w:val="JudgmentHeading"/>
        <w:rPr>
          <w:lang w:val="en-ZA"/>
        </w:rPr>
      </w:pPr>
      <w:r w:rsidRPr="00AE6097">
        <w:rPr>
          <w:lang w:val="en-ZA"/>
        </w:rPr>
        <w:t>The applicant’s case</w:t>
      </w:r>
    </w:p>
    <w:p w14:paraId="58BDAB38" w14:textId="2E6B31A2" w:rsidR="0024614F" w:rsidRPr="00AE6097" w:rsidRDefault="002D5398" w:rsidP="002D5398">
      <w:pPr>
        <w:pStyle w:val="JUDGMENTNUMBERED"/>
        <w:numPr>
          <w:ilvl w:val="0"/>
          <w:numId w:val="0"/>
        </w:numPr>
        <w:ind w:left="709" w:hanging="709"/>
        <w:rPr>
          <w:lang w:val="en-ZA"/>
        </w:rPr>
      </w:pPr>
      <w:r w:rsidRPr="00AE6097">
        <w:rPr>
          <w:rFonts w:cs="Arial"/>
          <w:color w:val="000000"/>
          <w:lang w:val="en-ZA"/>
        </w:rPr>
        <w:t>[10]</w:t>
      </w:r>
      <w:r w:rsidRPr="00AE6097">
        <w:rPr>
          <w:rFonts w:cs="Arial"/>
          <w:color w:val="000000"/>
          <w:lang w:val="en-ZA"/>
        </w:rPr>
        <w:tab/>
      </w:r>
      <w:r w:rsidR="005500E5" w:rsidRPr="00AE6097">
        <w:rPr>
          <w:lang w:val="en-ZA"/>
        </w:rPr>
        <w:t>On 4 November 2021, the</w:t>
      </w:r>
      <w:r w:rsidR="000D1996" w:rsidRPr="00AE6097">
        <w:rPr>
          <w:lang w:val="en-ZA"/>
        </w:rPr>
        <w:t xml:space="preserve"> summons</w:t>
      </w:r>
      <w:r w:rsidR="005500E5" w:rsidRPr="00AE6097">
        <w:rPr>
          <w:lang w:val="en-ZA"/>
        </w:rPr>
        <w:t xml:space="preserve"> was served on the applicant. </w:t>
      </w:r>
      <w:r w:rsidR="007B1BE2" w:rsidRPr="00AE6097">
        <w:rPr>
          <w:lang w:val="en-ZA"/>
        </w:rPr>
        <w:t>The applicant</w:t>
      </w:r>
      <w:r w:rsidR="00252B2B" w:rsidRPr="00AE6097">
        <w:rPr>
          <w:lang w:val="en-ZA"/>
        </w:rPr>
        <w:t>, who did not understand the</w:t>
      </w:r>
      <w:r w:rsidR="00831CC8" w:rsidRPr="00AE6097">
        <w:rPr>
          <w:lang w:val="en-ZA"/>
        </w:rPr>
        <w:t xml:space="preserve"> consequences </w:t>
      </w:r>
      <w:r w:rsidR="00A16F94" w:rsidRPr="00AE6097">
        <w:rPr>
          <w:lang w:val="en-ZA"/>
        </w:rPr>
        <w:t xml:space="preserve">of receiving </w:t>
      </w:r>
      <w:r w:rsidR="00831CC8" w:rsidRPr="00AE6097">
        <w:rPr>
          <w:lang w:val="en-ZA"/>
        </w:rPr>
        <w:t>a summons</w:t>
      </w:r>
      <w:r w:rsidR="00BF402D" w:rsidRPr="00AE6097">
        <w:rPr>
          <w:lang w:val="en-ZA"/>
        </w:rPr>
        <w:t xml:space="preserve">, </w:t>
      </w:r>
      <w:r w:rsidR="00E75403" w:rsidRPr="00AE6097">
        <w:rPr>
          <w:lang w:val="en-ZA"/>
        </w:rPr>
        <w:t>initially instructed</w:t>
      </w:r>
      <w:r w:rsidR="00766EAF" w:rsidRPr="00AE6097">
        <w:rPr>
          <w:lang w:val="en-ZA"/>
        </w:rPr>
        <w:t xml:space="preserve"> attorneys in </w:t>
      </w:r>
      <w:proofErr w:type="spellStart"/>
      <w:r w:rsidR="00766EAF" w:rsidRPr="00AE6097">
        <w:rPr>
          <w:lang w:val="en-ZA"/>
        </w:rPr>
        <w:t>Tshing</w:t>
      </w:r>
      <w:proofErr w:type="spellEnd"/>
      <w:r w:rsidR="00054CA4" w:rsidRPr="00AE6097">
        <w:rPr>
          <w:lang w:val="en-ZA"/>
        </w:rPr>
        <w:t>,</w:t>
      </w:r>
      <w:r w:rsidR="00766EAF" w:rsidRPr="00AE6097">
        <w:rPr>
          <w:lang w:val="en-ZA"/>
        </w:rPr>
        <w:t xml:space="preserve"> </w:t>
      </w:r>
      <w:proofErr w:type="spellStart"/>
      <w:r w:rsidR="00766EAF" w:rsidRPr="00AE6097">
        <w:rPr>
          <w:lang w:val="en-ZA"/>
        </w:rPr>
        <w:t>Ventersdorp</w:t>
      </w:r>
      <w:proofErr w:type="spellEnd"/>
      <w:r w:rsidR="00054CA4" w:rsidRPr="00AE6097">
        <w:rPr>
          <w:lang w:val="en-ZA"/>
        </w:rPr>
        <w:t>.</w:t>
      </w:r>
      <w:r w:rsidR="00F0087E" w:rsidRPr="00AE6097">
        <w:rPr>
          <w:lang w:val="en-ZA"/>
        </w:rPr>
        <w:t xml:space="preserve"> The applicant enquired</w:t>
      </w:r>
      <w:r w:rsidR="007228D8" w:rsidRPr="00AE6097">
        <w:rPr>
          <w:lang w:val="en-ZA"/>
        </w:rPr>
        <w:t xml:space="preserve"> fortnightly</w:t>
      </w:r>
      <w:r w:rsidR="00F0087E" w:rsidRPr="00AE6097">
        <w:rPr>
          <w:lang w:val="en-ZA"/>
        </w:rPr>
        <w:t xml:space="preserve"> with his attorney regarding </w:t>
      </w:r>
      <w:r w:rsidR="00DC70E8" w:rsidRPr="00AE6097">
        <w:rPr>
          <w:lang w:val="en-ZA"/>
        </w:rPr>
        <w:t>the matter</w:t>
      </w:r>
      <w:r w:rsidR="00904B19" w:rsidRPr="00AE6097">
        <w:rPr>
          <w:lang w:val="en-ZA"/>
        </w:rPr>
        <w:t xml:space="preserve">. </w:t>
      </w:r>
      <w:r w:rsidR="00945FEE">
        <w:rPr>
          <w:lang w:val="en-ZA"/>
        </w:rPr>
        <w:t>Occasionally</w:t>
      </w:r>
      <w:r w:rsidR="000A1028" w:rsidRPr="00AE6097">
        <w:rPr>
          <w:lang w:val="en-ZA"/>
        </w:rPr>
        <w:t>, he was informed that his attorney negotiated with the respondent’s attorney.</w:t>
      </w:r>
      <w:r w:rsidR="00516DDC" w:rsidRPr="00AE6097">
        <w:rPr>
          <w:lang w:val="en-ZA"/>
        </w:rPr>
        <w:t xml:space="preserve">  When the applicant visited</w:t>
      </w:r>
      <w:r w:rsidR="008B14CD" w:rsidRPr="00AE6097">
        <w:rPr>
          <w:lang w:val="en-ZA"/>
        </w:rPr>
        <w:t xml:space="preserve"> </w:t>
      </w:r>
      <w:r w:rsidR="00516DDC" w:rsidRPr="00AE6097">
        <w:rPr>
          <w:lang w:val="en-ZA"/>
        </w:rPr>
        <w:t xml:space="preserve">the attorney </w:t>
      </w:r>
      <w:r w:rsidR="008B14CD" w:rsidRPr="00AE6097">
        <w:rPr>
          <w:lang w:val="en-ZA"/>
        </w:rPr>
        <w:t>in</w:t>
      </w:r>
      <w:r w:rsidR="00516DDC" w:rsidRPr="00AE6097">
        <w:rPr>
          <w:lang w:val="en-ZA"/>
        </w:rPr>
        <w:t xml:space="preserve"> December 2021</w:t>
      </w:r>
      <w:r w:rsidR="008B14CD" w:rsidRPr="00AE6097">
        <w:rPr>
          <w:lang w:val="en-ZA"/>
        </w:rPr>
        <w:t xml:space="preserve">, he found the offices closed. </w:t>
      </w:r>
      <w:r w:rsidR="000145B8" w:rsidRPr="00AE6097">
        <w:rPr>
          <w:lang w:val="en-ZA"/>
        </w:rPr>
        <w:t xml:space="preserve"> </w:t>
      </w:r>
      <w:r w:rsidR="002B3416" w:rsidRPr="00AE6097">
        <w:rPr>
          <w:lang w:val="en-ZA"/>
        </w:rPr>
        <w:t>In</w:t>
      </w:r>
      <w:r w:rsidR="000145B8" w:rsidRPr="00AE6097">
        <w:rPr>
          <w:lang w:val="en-ZA"/>
        </w:rPr>
        <w:t xml:space="preserve"> January 2022</w:t>
      </w:r>
      <w:r w:rsidR="00D73A16" w:rsidRPr="00AE6097">
        <w:rPr>
          <w:lang w:val="en-ZA"/>
        </w:rPr>
        <w:t xml:space="preserve">, </w:t>
      </w:r>
      <w:r w:rsidR="00B36F95" w:rsidRPr="00AE6097">
        <w:rPr>
          <w:lang w:val="en-ZA"/>
        </w:rPr>
        <w:t>the applicant</w:t>
      </w:r>
      <w:r w:rsidR="00C965CF" w:rsidRPr="00AE6097">
        <w:rPr>
          <w:lang w:val="en-ZA"/>
        </w:rPr>
        <w:t xml:space="preserve"> </w:t>
      </w:r>
      <w:r w:rsidR="002112B4" w:rsidRPr="00AE6097">
        <w:rPr>
          <w:lang w:val="en-ZA"/>
        </w:rPr>
        <w:t>obtained</w:t>
      </w:r>
      <w:r w:rsidR="002B3416" w:rsidRPr="00AE6097">
        <w:rPr>
          <w:lang w:val="en-ZA"/>
        </w:rPr>
        <w:t xml:space="preserve"> </w:t>
      </w:r>
      <w:r w:rsidR="00412608" w:rsidRPr="00AE6097">
        <w:rPr>
          <w:lang w:val="en-ZA"/>
        </w:rPr>
        <w:t>advice from a different attorney and ultimately instructed the firm of attorneys</w:t>
      </w:r>
      <w:r w:rsidR="00B36F95" w:rsidRPr="00AE6097">
        <w:rPr>
          <w:lang w:val="en-ZA"/>
        </w:rPr>
        <w:t xml:space="preserve"> to</w:t>
      </w:r>
      <w:r w:rsidR="00412608" w:rsidRPr="00AE6097">
        <w:rPr>
          <w:lang w:val="en-ZA"/>
        </w:rPr>
        <w:t xml:space="preserve"> represent him</w:t>
      </w:r>
      <w:r w:rsidR="003F3F71" w:rsidRPr="00AE6097">
        <w:rPr>
          <w:lang w:val="en-ZA"/>
        </w:rPr>
        <w:t xml:space="preserve"> </w:t>
      </w:r>
      <w:r w:rsidR="007117E6" w:rsidRPr="00AE6097">
        <w:rPr>
          <w:lang w:val="en-ZA"/>
        </w:rPr>
        <w:t>in</w:t>
      </w:r>
      <w:r w:rsidR="003F3F71" w:rsidRPr="00AE6097">
        <w:rPr>
          <w:lang w:val="en-ZA"/>
        </w:rPr>
        <w:t xml:space="preserve"> the re</w:t>
      </w:r>
      <w:r w:rsidR="007117E6" w:rsidRPr="00AE6097">
        <w:rPr>
          <w:lang w:val="en-ZA"/>
        </w:rPr>
        <w:t>sci</w:t>
      </w:r>
      <w:r w:rsidR="003F3F71" w:rsidRPr="00AE6097">
        <w:rPr>
          <w:lang w:val="en-ZA"/>
        </w:rPr>
        <w:t>ssion application.</w:t>
      </w:r>
      <w:r w:rsidR="00D73A16" w:rsidRPr="00AE6097">
        <w:rPr>
          <w:lang w:val="en-ZA"/>
        </w:rPr>
        <w:t xml:space="preserve"> </w:t>
      </w:r>
    </w:p>
    <w:p w14:paraId="31B915B9" w14:textId="394BDD07" w:rsidR="001D4C4B" w:rsidRPr="00AE6097" w:rsidRDefault="002D5398" w:rsidP="002D5398">
      <w:pPr>
        <w:pStyle w:val="JUDGMENTNUMBERED"/>
        <w:numPr>
          <w:ilvl w:val="0"/>
          <w:numId w:val="0"/>
        </w:numPr>
        <w:ind w:left="709" w:hanging="709"/>
        <w:rPr>
          <w:lang w:val="en-ZA"/>
        </w:rPr>
      </w:pPr>
      <w:r w:rsidRPr="00AE6097">
        <w:rPr>
          <w:rFonts w:cs="Arial"/>
          <w:color w:val="000000"/>
          <w:lang w:val="en-ZA"/>
        </w:rPr>
        <w:t>[11]</w:t>
      </w:r>
      <w:r w:rsidRPr="00AE6097">
        <w:rPr>
          <w:rFonts w:cs="Arial"/>
          <w:color w:val="000000"/>
          <w:lang w:val="en-ZA"/>
        </w:rPr>
        <w:tab/>
      </w:r>
      <w:r w:rsidR="003F4536">
        <w:rPr>
          <w:lang w:val="en-ZA"/>
        </w:rPr>
        <w:t>The</w:t>
      </w:r>
      <w:r w:rsidR="001D4C4B" w:rsidRPr="00AE6097">
        <w:rPr>
          <w:lang w:val="en-ZA"/>
        </w:rPr>
        <w:t xml:space="preserve"> applicant d</w:t>
      </w:r>
      <w:r w:rsidR="00FE660A" w:rsidRPr="00AE6097">
        <w:rPr>
          <w:lang w:val="en-ZA"/>
        </w:rPr>
        <w:t>id</w:t>
      </w:r>
      <w:r w:rsidR="001D4C4B" w:rsidRPr="00AE6097">
        <w:rPr>
          <w:lang w:val="en-ZA"/>
        </w:rPr>
        <w:t xml:space="preserve"> not deny</w:t>
      </w:r>
      <w:r w:rsidR="002F00B2" w:rsidRPr="00AE6097">
        <w:rPr>
          <w:lang w:val="en-ZA"/>
        </w:rPr>
        <w:t xml:space="preserve"> breaching his contractual obligations</w:t>
      </w:r>
      <w:r w:rsidR="003867D2" w:rsidRPr="00AE6097">
        <w:rPr>
          <w:lang w:val="en-ZA"/>
        </w:rPr>
        <w:t xml:space="preserve"> or</w:t>
      </w:r>
      <w:r w:rsidR="001D4C4B" w:rsidRPr="00AE6097">
        <w:rPr>
          <w:lang w:val="en-ZA"/>
        </w:rPr>
        <w:t xml:space="preserve"> being in arrears with</w:t>
      </w:r>
      <w:r w:rsidR="003C6411" w:rsidRPr="00AE6097">
        <w:rPr>
          <w:lang w:val="en-ZA"/>
        </w:rPr>
        <w:t xml:space="preserve"> </w:t>
      </w:r>
      <w:r w:rsidR="002F00B2" w:rsidRPr="00AE6097">
        <w:rPr>
          <w:lang w:val="en-ZA"/>
        </w:rPr>
        <w:t>monthly instalments as per the credit agreement</w:t>
      </w:r>
      <w:r w:rsidR="001D4C4B" w:rsidRPr="00AE6097">
        <w:rPr>
          <w:lang w:val="en-ZA"/>
        </w:rPr>
        <w:t>.</w:t>
      </w:r>
    </w:p>
    <w:p w14:paraId="760FE42C" w14:textId="4D044EB2" w:rsidR="008E6009" w:rsidRPr="00AE6097" w:rsidRDefault="002D5398" w:rsidP="002D5398">
      <w:pPr>
        <w:pStyle w:val="JUDGMENTNUMBERED"/>
        <w:numPr>
          <w:ilvl w:val="0"/>
          <w:numId w:val="0"/>
        </w:numPr>
        <w:ind w:left="709" w:hanging="709"/>
        <w:rPr>
          <w:lang w:val="en-ZA"/>
        </w:rPr>
      </w:pPr>
      <w:r w:rsidRPr="00AE6097">
        <w:rPr>
          <w:rFonts w:cs="Arial"/>
          <w:color w:val="000000"/>
          <w:lang w:val="en-ZA"/>
        </w:rPr>
        <w:t>[12]</w:t>
      </w:r>
      <w:r w:rsidRPr="00AE6097">
        <w:rPr>
          <w:rFonts w:cs="Arial"/>
          <w:color w:val="000000"/>
          <w:lang w:val="en-ZA"/>
        </w:rPr>
        <w:tab/>
      </w:r>
      <w:r w:rsidR="00900CFE" w:rsidRPr="00AE6097">
        <w:rPr>
          <w:lang w:val="en-ZA"/>
        </w:rPr>
        <w:t xml:space="preserve">The applicant’s first ground of </w:t>
      </w:r>
      <w:r w:rsidR="00310750" w:rsidRPr="00AE6097">
        <w:rPr>
          <w:lang w:val="en-ZA"/>
        </w:rPr>
        <w:t>rescission</w:t>
      </w:r>
      <w:r w:rsidR="00900CFE" w:rsidRPr="00AE6097">
        <w:rPr>
          <w:lang w:val="en-ZA"/>
        </w:rPr>
        <w:t xml:space="preserve"> is that this court does not have jurisdiction. </w:t>
      </w:r>
      <w:r w:rsidR="00B608BF" w:rsidRPr="00AE6097">
        <w:rPr>
          <w:lang w:val="en-ZA"/>
        </w:rPr>
        <w:t>The crux of this ground of precision</w:t>
      </w:r>
      <w:r w:rsidR="00031CA6" w:rsidRPr="00AE6097">
        <w:rPr>
          <w:lang w:val="en-ZA"/>
        </w:rPr>
        <w:t xml:space="preserve"> reads as follows:</w:t>
      </w:r>
    </w:p>
    <w:p w14:paraId="4580D2F9" w14:textId="77777777" w:rsidR="00031CA6" w:rsidRPr="00AE6097" w:rsidRDefault="00031CA6" w:rsidP="00CF5C47">
      <w:pPr>
        <w:pStyle w:val="JUDGMENTCONTINUED"/>
        <w:spacing w:line="276" w:lineRule="auto"/>
        <w:rPr>
          <w:lang w:val="en-ZA"/>
        </w:rPr>
      </w:pPr>
    </w:p>
    <w:p w14:paraId="603D47B7" w14:textId="59B4573E" w:rsidR="00031CA6" w:rsidRPr="00AE6097" w:rsidRDefault="00031CA6" w:rsidP="00CF5C47">
      <w:pPr>
        <w:pStyle w:val="JUDGMENTNUMBERED"/>
        <w:numPr>
          <w:ilvl w:val="0"/>
          <w:numId w:val="0"/>
        </w:numPr>
        <w:spacing w:line="276" w:lineRule="auto"/>
        <w:ind w:left="2160" w:hanging="720"/>
        <w:rPr>
          <w:i/>
          <w:iCs/>
          <w:lang w:val="en-ZA"/>
        </w:rPr>
      </w:pPr>
      <w:r w:rsidRPr="00AE6097">
        <w:rPr>
          <w:lang w:val="en-ZA"/>
        </w:rPr>
        <w:t>“</w:t>
      </w:r>
      <w:r w:rsidR="004A5D4A" w:rsidRPr="00AE6097">
        <w:rPr>
          <w:i/>
          <w:iCs/>
          <w:lang w:val="en-ZA"/>
        </w:rPr>
        <w:t>46.</w:t>
      </w:r>
      <w:r w:rsidR="004A5D4A" w:rsidRPr="00AE6097">
        <w:rPr>
          <w:i/>
          <w:iCs/>
          <w:lang w:val="en-ZA"/>
        </w:rPr>
        <w:tab/>
      </w:r>
      <w:r w:rsidR="008D6B6F" w:rsidRPr="00AE6097">
        <w:rPr>
          <w:i/>
          <w:iCs/>
          <w:lang w:val="en-ZA"/>
        </w:rPr>
        <w:t xml:space="preserve">I therefore only could have taken notice of the acceptance of the quotation / offer by the First Respondent at my chosen address which is in </w:t>
      </w:r>
      <w:proofErr w:type="spellStart"/>
      <w:r w:rsidR="008D6B6F" w:rsidRPr="00AE6097">
        <w:rPr>
          <w:i/>
          <w:iCs/>
          <w:lang w:val="en-ZA"/>
        </w:rPr>
        <w:t>Ventersdorp</w:t>
      </w:r>
      <w:proofErr w:type="spellEnd"/>
      <w:r w:rsidR="008D6B6F" w:rsidRPr="00AE6097">
        <w:rPr>
          <w:i/>
          <w:iCs/>
          <w:lang w:val="en-ZA"/>
        </w:rPr>
        <w:t xml:space="preserve"> within the jurisdiction of the High Court of Mahikeng</w:t>
      </w:r>
      <w:r w:rsidR="008637A2" w:rsidRPr="00AE6097">
        <w:rPr>
          <w:i/>
          <w:iCs/>
          <w:lang w:val="en-ZA"/>
        </w:rPr>
        <w:t>.</w:t>
      </w:r>
    </w:p>
    <w:p w14:paraId="678017BA" w14:textId="3162FBDE" w:rsidR="00031CA6" w:rsidRPr="00AE6097" w:rsidRDefault="008637A2" w:rsidP="00A9052F">
      <w:pPr>
        <w:pStyle w:val="JUDGMENTCONTINUED"/>
        <w:spacing w:line="276" w:lineRule="auto"/>
        <w:ind w:left="2160" w:hanging="720"/>
        <w:rPr>
          <w:lang w:val="en-ZA"/>
        </w:rPr>
      </w:pPr>
      <w:r w:rsidRPr="00AE6097">
        <w:rPr>
          <w:i/>
          <w:iCs/>
          <w:lang w:val="en-ZA"/>
        </w:rPr>
        <w:lastRenderedPageBreak/>
        <w:t>47.</w:t>
      </w:r>
      <w:r w:rsidRPr="00AE6097">
        <w:rPr>
          <w:i/>
          <w:iCs/>
          <w:lang w:val="en-ZA"/>
        </w:rPr>
        <w:tab/>
      </w:r>
      <w:r w:rsidR="003C689A" w:rsidRPr="00AE6097">
        <w:rPr>
          <w:i/>
          <w:iCs/>
          <w:lang w:val="en-ZA"/>
        </w:rPr>
        <w:t xml:space="preserve">The contract could only become a contract from a quotation where I obtained knowledge of it and therefore </w:t>
      </w:r>
      <w:proofErr w:type="spellStart"/>
      <w:r w:rsidR="003C689A" w:rsidRPr="00AE6097">
        <w:rPr>
          <w:i/>
          <w:iCs/>
          <w:lang w:val="en-ZA"/>
        </w:rPr>
        <w:t>Ventersdorp</w:t>
      </w:r>
      <w:proofErr w:type="spellEnd"/>
      <w:r w:rsidR="003C689A" w:rsidRPr="00AE6097">
        <w:rPr>
          <w:i/>
          <w:iCs/>
          <w:lang w:val="en-ZA"/>
        </w:rPr>
        <w:t>.</w:t>
      </w:r>
      <w:r w:rsidR="003C689A" w:rsidRPr="00AE6097">
        <w:rPr>
          <w:lang w:val="en-ZA"/>
        </w:rPr>
        <w:t>”</w:t>
      </w:r>
      <w:r w:rsidR="00A9052F" w:rsidRPr="00AE6097">
        <w:rPr>
          <w:lang w:val="en-ZA"/>
        </w:rPr>
        <w:t>\</w:t>
      </w:r>
    </w:p>
    <w:p w14:paraId="7294037E" w14:textId="77777777" w:rsidR="00A9052F" w:rsidRPr="00AE6097" w:rsidRDefault="00A9052F" w:rsidP="00A9052F">
      <w:pPr>
        <w:pStyle w:val="JUDGMENTNUMBERED"/>
        <w:numPr>
          <w:ilvl w:val="0"/>
          <w:numId w:val="0"/>
        </w:numPr>
        <w:ind w:left="709"/>
        <w:rPr>
          <w:lang w:val="en-ZA"/>
        </w:rPr>
      </w:pPr>
    </w:p>
    <w:p w14:paraId="68F5622F" w14:textId="163010E1" w:rsidR="007647C1" w:rsidRPr="00AE6097" w:rsidRDefault="002D5398" w:rsidP="002D5398">
      <w:pPr>
        <w:pStyle w:val="JUDGMENTNUMBERED"/>
        <w:numPr>
          <w:ilvl w:val="0"/>
          <w:numId w:val="0"/>
        </w:numPr>
        <w:ind w:left="709" w:hanging="709"/>
        <w:rPr>
          <w:lang w:val="en-ZA"/>
        </w:rPr>
      </w:pPr>
      <w:r w:rsidRPr="00AE6097">
        <w:rPr>
          <w:rFonts w:cs="Arial"/>
          <w:color w:val="000000"/>
          <w:lang w:val="en-ZA"/>
        </w:rPr>
        <w:t>[13]</w:t>
      </w:r>
      <w:r w:rsidRPr="00AE6097">
        <w:rPr>
          <w:rFonts w:cs="Arial"/>
          <w:color w:val="000000"/>
          <w:lang w:val="en-ZA"/>
        </w:rPr>
        <w:tab/>
      </w:r>
      <w:r w:rsidR="00BB1EF2" w:rsidRPr="00AE6097">
        <w:rPr>
          <w:lang w:val="en-ZA"/>
        </w:rPr>
        <w:t>The applicant’s second ground for rescission is that</w:t>
      </w:r>
      <w:r w:rsidR="00DB7568" w:rsidRPr="00AE6097">
        <w:rPr>
          <w:lang w:val="en-ZA"/>
        </w:rPr>
        <w:t xml:space="preserve"> the terms of the contract were explained to him in</w:t>
      </w:r>
      <w:r w:rsidR="008B259B" w:rsidRPr="00AE6097">
        <w:rPr>
          <w:lang w:val="en-ZA"/>
        </w:rPr>
        <w:t xml:space="preserve"> </w:t>
      </w:r>
      <w:r w:rsidR="00802F78" w:rsidRPr="00AE6097">
        <w:rPr>
          <w:lang w:val="en-ZA"/>
        </w:rPr>
        <w:t xml:space="preserve">English, </w:t>
      </w:r>
      <w:r w:rsidR="00B51C72" w:rsidRPr="00AE6097">
        <w:rPr>
          <w:lang w:val="en-ZA"/>
        </w:rPr>
        <w:t>not his mother tongue or</w:t>
      </w:r>
      <w:r w:rsidR="00802F78" w:rsidRPr="00AE6097">
        <w:rPr>
          <w:lang w:val="en-ZA"/>
        </w:rPr>
        <w:t xml:space="preserve"> Afrikaans</w:t>
      </w:r>
      <w:r w:rsidR="00244CBA" w:rsidRPr="00AE6097">
        <w:rPr>
          <w:lang w:val="en-ZA"/>
        </w:rPr>
        <w:t>.</w:t>
      </w:r>
      <w:r w:rsidR="00A96EA5" w:rsidRPr="00AE6097">
        <w:rPr>
          <w:lang w:val="en-ZA"/>
        </w:rPr>
        <w:t xml:space="preserve"> He did not understand the </w:t>
      </w:r>
      <w:r w:rsidR="004E58DF">
        <w:rPr>
          <w:lang w:val="en-ZA"/>
        </w:rPr>
        <w:t>entire</w:t>
      </w:r>
      <w:r w:rsidR="00A96EA5" w:rsidRPr="00AE6097">
        <w:rPr>
          <w:lang w:val="en-ZA"/>
        </w:rPr>
        <w:t xml:space="preserve"> contents of the </w:t>
      </w:r>
      <w:r w:rsidR="00F931D8" w:rsidRPr="00AE6097">
        <w:rPr>
          <w:lang w:val="en-ZA"/>
        </w:rPr>
        <w:t>documents presented to him for signing.</w:t>
      </w:r>
      <w:r w:rsidR="006635E8" w:rsidRPr="00AE6097">
        <w:rPr>
          <w:lang w:val="en-ZA"/>
        </w:rPr>
        <w:t xml:space="preserve"> Consequently, there was no</w:t>
      </w:r>
      <w:r w:rsidR="005F73F9" w:rsidRPr="00AE6097">
        <w:rPr>
          <w:lang w:val="en-ZA"/>
        </w:rPr>
        <w:t xml:space="preserve"> mutual understanding.</w:t>
      </w:r>
    </w:p>
    <w:p w14:paraId="12B02016" w14:textId="3893B914" w:rsidR="000041A2" w:rsidRPr="00AE6097" w:rsidRDefault="002D5398" w:rsidP="002D5398">
      <w:pPr>
        <w:pStyle w:val="JUDGMENTNUMBERED"/>
        <w:numPr>
          <w:ilvl w:val="0"/>
          <w:numId w:val="0"/>
        </w:numPr>
        <w:ind w:left="709" w:hanging="709"/>
        <w:rPr>
          <w:lang w:val="en-ZA"/>
        </w:rPr>
      </w:pPr>
      <w:r w:rsidRPr="00AE6097">
        <w:rPr>
          <w:rFonts w:cs="Arial"/>
          <w:color w:val="000000"/>
          <w:lang w:val="en-ZA"/>
        </w:rPr>
        <w:t>[14]</w:t>
      </w:r>
      <w:r w:rsidRPr="00AE6097">
        <w:rPr>
          <w:rFonts w:cs="Arial"/>
          <w:color w:val="000000"/>
          <w:lang w:val="en-ZA"/>
        </w:rPr>
        <w:tab/>
      </w:r>
      <w:r w:rsidR="00575A94" w:rsidRPr="00AE6097">
        <w:rPr>
          <w:lang w:val="en-ZA"/>
        </w:rPr>
        <w:t>Thirdly</w:t>
      </w:r>
      <w:r w:rsidR="00865356" w:rsidRPr="00AE6097">
        <w:rPr>
          <w:lang w:val="en-ZA"/>
        </w:rPr>
        <w:t>, the applicant</w:t>
      </w:r>
      <w:r w:rsidR="00AA3FBC" w:rsidRPr="00AE6097">
        <w:rPr>
          <w:lang w:val="en-ZA"/>
        </w:rPr>
        <w:t xml:space="preserve"> contends that</w:t>
      </w:r>
      <w:r w:rsidR="00C744C7" w:rsidRPr="00AE6097">
        <w:rPr>
          <w:lang w:val="en-ZA"/>
        </w:rPr>
        <w:t xml:space="preserve"> the credit provider failed to conduct a</w:t>
      </w:r>
      <w:r w:rsidR="00A4552C" w:rsidRPr="00AE6097">
        <w:rPr>
          <w:lang w:val="en-ZA"/>
        </w:rPr>
        <w:t xml:space="preserve"> credit</w:t>
      </w:r>
      <w:r w:rsidR="00C744C7" w:rsidRPr="00AE6097">
        <w:rPr>
          <w:lang w:val="en-ZA"/>
        </w:rPr>
        <w:t xml:space="preserve"> </w:t>
      </w:r>
      <w:proofErr w:type="gramStart"/>
      <w:r w:rsidR="00C744C7" w:rsidRPr="00AE6097">
        <w:rPr>
          <w:lang w:val="en-ZA"/>
        </w:rPr>
        <w:t>assessment</w:t>
      </w:r>
      <w:proofErr w:type="gramEnd"/>
      <w:r w:rsidR="005718A3" w:rsidRPr="00AE6097">
        <w:rPr>
          <w:lang w:val="en-ZA"/>
        </w:rPr>
        <w:t xml:space="preserve"> </w:t>
      </w:r>
      <w:r w:rsidR="00A4552C" w:rsidRPr="00AE6097">
        <w:rPr>
          <w:lang w:val="en-ZA"/>
        </w:rPr>
        <w:t>an</w:t>
      </w:r>
      <w:r w:rsidR="00251B67" w:rsidRPr="00AE6097">
        <w:rPr>
          <w:lang w:val="en-ZA"/>
        </w:rPr>
        <w:t>d,</w:t>
      </w:r>
      <w:r w:rsidR="00A4552C" w:rsidRPr="00AE6097">
        <w:rPr>
          <w:lang w:val="en-ZA"/>
        </w:rPr>
        <w:t xml:space="preserve"> in any event, </w:t>
      </w:r>
      <w:r w:rsidR="00251B67" w:rsidRPr="00AE6097">
        <w:rPr>
          <w:lang w:val="en-ZA"/>
        </w:rPr>
        <w:t xml:space="preserve">the credit provider ought to have known that the applicant did not appreciate the </w:t>
      </w:r>
      <w:r w:rsidR="008C1A39" w:rsidRPr="00AE6097">
        <w:rPr>
          <w:lang w:val="en-ZA"/>
        </w:rPr>
        <w:t>risks, costs or obligations or that the agreement</w:t>
      </w:r>
      <w:r w:rsidR="00100514" w:rsidRPr="00AE6097">
        <w:rPr>
          <w:lang w:val="en-ZA"/>
        </w:rPr>
        <w:t xml:space="preserve"> would make</w:t>
      </w:r>
      <w:r w:rsidR="001658B8" w:rsidRPr="00AE6097">
        <w:rPr>
          <w:lang w:val="en-ZA"/>
        </w:rPr>
        <w:t xml:space="preserve"> him</w:t>
      </w:r>
      <w:r w:rsidR="002F28A4" w:rsidRPr="00AE6097">
        <w:rPr>
          <w:lang w:val="en-ZA"/>
        </w:rPr>
        <w:t xml:space="preserve"> </w:t>
      </w:r>
      <w:r w:rsidR="00123AD4" w:rsidRPr="00AE6097">
        <w:rPr>
          <w:lang w:val="en-ZA"/>
        </w:rPr>
        <w:t>over-indebted</w:t>
      </w:r>
      <w:r w:rsidR="002F28A4" w:rsidRPr="00AE6097">
        <w:rPr>
          <w:lang w:val="en-ZA"/>
        </w:rPr>
        <w:t xml:space="preserve">. </w:t>
      </w:r>
    </w:p>
    <w:p w14:paraId="01F8B142" w14:textId="3A53B6AC" w:rsidR="00054E05" w:rsidRPr="00AE6097" w:rsidRDefault="002D5398" w:rsidP="002D5398">
      <w:pPr>
        <w:pStyle w:val="JUDGMENTNUMBERED"/>
        <w:numPr>
          <w:ilvl w:val="0"/>
          <w:numId w:val="0"/>
        </w:numPr>
        <w:ind w:left="709" w:hanging="709"/>
        <w:rPr>
          <w:lang w:val="en-ZA"/>
        </w:rPr>
      </w:pPr>
      <w:r w:rsidRPr="00AE6097">
        <w:rPr>
          <w:rFonts w:cs="Arial"/>
          <w:color w:val="000000"/>
          <w:lang w:val="en-ZA"/>
        </w:rPr>
        <w:t>[15]</w:t>
      </w:r>
      <w:r w:rsidRPr="00AE6097">
        <w:rPr>
          <w:rFonts w:cs="Arial"/>
          <w:color w:val="000000"/>
          <w:lang w:val="en-ZA"/>
        </w:rPr>
        <w:tab/>
      </w:r>
      <w:r w:rsidR="00A9052F" w:rsidRPr="00AE6097">
        <w:rPr>
          <w:lang w:val="en-ZA"/>
        </w:rPr>
        <w:t>Lastly, in</w:t>
      </w:r>
      <w:r w:rsidR="008D1414" w:rsidRPr="00AE6097">
        <w:rPr>
          <w:lang w:val="en-ZA"/>
        </w:rPr>
        <w:t xml:space="preserve"> the Founding Affidavit</w:t>
      </w:r>
      <w:r w:rsidR="005053F4" w:rsidRPr="00AE6097">
        <w:rPr>
          <w:lang w:val="en-ZA"/>
        </w:rPr>
        <w:t>, the applicant prays</w:t>
      </w:r>
      <w:r w:rsidR="00E04E98" w:rsidRPr="00AE6097">
        <w:rPr>
          <w:lang w:val="en-ZA"/>
        </w:rPr>
        <w:t xml:space="preserve"> that he be allowed to keep the vehicle and </w:t>
      </w:r>
      <w:r w:rsidR="004E58DF">
        <w:rPr>
          <w:lang w:val="en-ZA"/>
        </w:rPr>
        <w:t>pay a reasonable and affordable instalment</w:t>
      </w:r>
      <w:r w:rsidR="00E04E98" w:rsidRPr="00AE6097">
        <w:rPr>
          <w:lang w:val="en-ZA"/>
        </w:rPr>
        <w:t>.</w:t>
      </w:r>
    </w:p>
    <w:p w14:paraId="085AB1D6" w14:textId="79E3FC51" w:rsidR="00BA7AD9" w:rsidRPr="00AE6097" w:rsidRDefault="002D5398" w:rsidP="002D5398">
      <w:pPr>
        <w:pStyle w:val="JUDGMENTNUMBERED"/>
        <w:numPr>
          <w:ilvl w:val="0"/>
          <w:numId w:val="0"/>
        </w:numPr>
        <w:ind w:left="709" w:hanging="709"/>
        <w:rPr>
          <w:lang w:val="en-ZA"/>
        </w:rPr>
      </w:pPr>
      <w:r w:rsidRPr="00AE6097">
        <w:rPr>
          <w:rFonts w:cs="Arial"/>
          <w:color w:val="000000"/>
          <w:lang w:val="en-ZA"/>
        </w:rPr>
        <w:t>[16]</w:t>
      </w:r>
      <w:r w:rsidRPr="00AE6097">
        <w:rPr>
          <w:rFonts w:cs="Arial"/>
          <w:color w:val="000000"/>
          <w:lang w:val="en-ZA"/>
        </w:rPr>
        <w:tab/>
      </w:r>
      <w:r w:rsidR="005333A6" w:rsidRPr="00AE6097">
        <w:rPr>
          <w:lang w:val="en-ZA"/>
        </w:rPr>
        <w:t>The second</w:t>
      </w:r>
      <w:r w:rsidR="00860727" w:rsidRPr="00AE6097">
        <w:rPr>
          <w:lang w:val="en-ZA"/>
        </w:rPr>
        <w:t>, third and fourth grounds for rescission are interrelated in that, in essence, the alleged lack of mutual understanding</w:t>
      </w:r>
      <w:r w:rsidR="00823504" w:rsidRPr="00AE6097">
        <w:rPr>
          <w:lang w:val="en-ZA"/>
        </w:rPr>
        <w:t xml:space="preserve"> constitutes the basis for contending that the </w:t>
      </w:r>
      <w:r w:rsidR="00B13BCB" w:rsidRPr="00AE6097">
        <w:rPr>
          <w:lang w:val="en-ZA"/>
        </w:rPr>
        <w:t>respondent failed to satisfy the requirements concerning a credit assessment</w:t>
      </w:r>
      <w:r w:rsidR="005756BF" w:rsidRPr="00AE6097">
        <w:rPr>
          <w:lang w:val="en-ZA"/>
        </w:rPr>
        <w:t xml:space="preserve">. Due to this </w:t>
      </w:r>
      <w:r w:rsidR="00B73708" w:rsidRPr="00AE6097">
        <w:rPr>
          <w:lang w:val="en-ZA"/>
        </w:rPr>
        <w:t>alleged non-compliance, read in conjunction with the applicant’s personal circumstances, provides the basis for the “relief” sought under the fourth ground of defence</w:t>
      </w:r>
      <w:r w:rsidR="002F7286" w:rsidRPr="00AE6097">
        <w:rPr>
          <w:lang w:val="en-ZA"/>
        </w:rPr>
        <w:t>.</w:t>
      </w:r>
      <w:r w:rsidR="005756BF" w:rsidRPr="00AE6097">
        <w:rPr>
          <w:lang w:val="en-ZA"/>
        </w:rPr>
        <w:t xml:space="preserve"> </w:t>
      </w:r>
    </w:p>
    <w:p w14:paraId="0353C051" w14:textId="6ADB4B48" w:rsidR="00054E05" w:rsidRPr="00AE6097" w:rsidRDefault="002D5398" w:rsidP="002D5398">
      <w:pPr>
        <w:pStyle w:val="JUDGMENTNUMBERED"/>
        <w:numPr>
          <w:ilvl w:val="0"/>
          <w:numId w:val="0"/>
        </w:numPr>
        <w:ind w:left="709" w:hanging="709"/>
        <w:rPr>
          <w:lang w:val="en-ZA"/>
        </w:rPr>
      </w:pPr>
      <w:r w:rsidRPr="00AE6097">
        <w:rPr>
          <w:rFonts w:cs="Arial"/>
          <w:color w:val="000000"/>
          <w:lang w:val="en-ZA"/>
        </w:rPr>
        <w:t>[17]</w:t>
      </w:r>
      <w:r w:rsidRPr="00AE6097">
        <w:rPr>
          <w:rFonts w:cs="Arial"/>
          <w:color w:val="000000"/>
          <w:lang w:val="en-ZA"/>
        </w:rPr>
        <w:tab/>
      </w:r>
      <w:r w:rsidR="004959B9" w:rsidRPr="00AE6097">
        <w:rPr>
          <w:lang w:val="en-ZA"/>
        </w:rPr>
        <w:t>The applicant did not deliver a reply to the respondent’s answering affidavit.</w:t>
      </w:r>
    </w:p>
    <w:p w14:paraId="02E63357" w14:textId="77777777" w:rsidR="00A9052F" w:rsidRPr="00AE6097" w:rsidRDefault="00A9052F" w:rsidP="00A9052F">
      <w:pPr>
        <w:pStyle w:val="JUDGMENTCONTINUED"/>
        <w:rPr>
          <w:lang w:val="en-ZA"/>
        </w:rPr>
      </w:pPr>
    </w:p>
    <w:p w14:paraId="7889ECC8" w14:textId="4CF9BDED" w:rsidR="00C50A48" w:rsidRPr="00AE6097" w:rsidRDefault="00C164B6" w:rsidP="00C50A48">
      <w:pPr>
        <w:pStyle w:val="JudgmentHeading"/>
        <w:rPr>
          <w:lang w:val="en-ZA"/>
        </w:rPr>
      </w:pPr>
      <w:r w:rsidRPr="00AE6097">
        <w:rPr>
          <w:lang w:val="en-ZA"/>
        </w:rPr>
        <w:t>The respondent’s case</w:t>
      </w:r>
    </w:p>
    <w:p w14:paraId="5E4D9A2F" w14:textId="560DCF6C" w:rsidR="00C50A48" w:rsidRPr="00AE6097" w:rsidRDefault="002D5398" w:rsidP="002D5398">
      <w:pPr>
        <w:pStyle w:val="JUDGMENTNUMBERED"/>
        <w:numPr>
          <w:ilvl w:val="0"/>
          <w:numId w:val="0"/>
        </w:numPr>
        <w:ind w:left="709" w:hanging="709"/>
        <w:rPr>
          <w:lang w:val="en-ZA"/>
        </w:rPr>
      </w:pPr>
      <w:r w:rsidRPr="00AE6097">
        <w:rPr>
          <w:rFonts w:cs="Arial"/>
          <w:color w:val="000000"/>
          <w:lang w:val="en-ZA"/>
        </w:rPr>
        <w:t>[18]</w:t>
      </w:r>
      <w:r w:rsidRPr="00AE6097">
        <w:rPr>
          <w:rFonts w:cs="Arial"/>
          <w:color w:val="000000"/>
          <w:lang w:val="en-ZA"/>
        </w:rPr>
        <w:tab/>
      </w:r>
      <w:r w:rsidR="00690EAA" w:rsidRPr="00AE6097">
        <w:rPr>
          <w:lang w:val="en-ZA"/>
        </w:rPr>
        <w:t xml:space="preserve">In short, the respondent contends that the applicant failed to present facts upon which the default </w:t>
      </w:r>
      <w:r w:rsidR="008A4854" w:rsidRPr="00AE6097">
        <w:rPr>
          <w:lang w:val="en-ZA"/>
        </w:rPr>
        <w:t>judgment ought to be rescinded</w:t>
      </w:r>
      <w:r w:rsidR="00BB07CA" w:rsidRPr="00AE6097">
        <w:rPr>
          <w:lang w:val="en-ZA"/>
        </w:rPr>
        <w:t>, that the applicant’s explanation for his failure</w:t>
      </w:r>
      <w:r w:rsidR="00DD6E7D" w:rsidRPr="00AE6097">
        <w:rPr>
          <w:lang w:val="en-ZA"/>
        </w:rPr>
        <w:t xml:space="preserve"> to deliver a notice of intention to defend timely</w:t>
      </w:r>
      <w:r w:rsidR="00BC3189" w:rsidRPr="00AE6097">
        <w:rPr>
          <w:lang w:val="en-ZA"/>
        </w:rPr>
        <w:t xml:space="preserve"> was inadequate</w:t>
      </w:r>
      <w:r w:rsidR="002C6D1C" w:rsidRPr="00AE6097">
        <w:rPr>
          <w:lang w:val="en-ZA"/>
        </w:rPr>
        <w:t>, and that the applicant was in wilful default</w:t>
      </w:r>
      <w:r w:rsidR="00BC3189" w:rsidRPr="00AE6097">
        <w:rPr>
          <w:lang w:val="en-ZA"/>
        </w:rPr>
        <w:t>.</w:t>
      </w:r>
    </w:p>
    <w:p w14:paraId="3A41E74D" w14:textId="4DFF4BDA" w:rsidR="00DF2B64" w:rsidRPr="00AE6097" w:rsidRDefault="002D5398" w:rsidP="002D5398">
      <w:pPr>
        <w:pStyle w:val="JUDGMENTNUMBERED"/>
        <w:numPr>
          <w:ilvl w:val="0"/>
          <w:numId w:val="0"/>
        </w:numPr>
        <w:ind w:left="709" w:hanging="709"/>
        <w:rPr>
          <w:lang w:val="en-ZA"/>
        </w:rPr>
      </w:pPr>
      <w:r w:rsidRPr="00AE6097">
        <w:rPr>
          <w:rFonts w:cs="Arial"/>
          <w:color w:val="000000"/>
          <w:lang w:val="en-ZA"/>
        </w:rPr>
        <w:t>[19]</w:t>
      </w:r>
      <w:r w:rsidRPr="00AE6097">
        <w:rPr>
          <w:rFonts w:cs="Arial"/>
          <w:color w:val="000000"/>
          <w:lang w:val="en-ZA"/>
        </w:rPr>
        <w:tab/>
      </w:r>
      <w:r w:rsidR="00C01AE0" w:rsidRPr="00AE6097">
        <w:rPr>
          <w:lang w:val="en-ZA"/>
        </w:rPr>
        <w:t>The</w:t>
      </w:r>
      <w:r w:rsidR="00CC582C" w:rsidRPr="00AE6097">
        <w:rPr>
          <w:lang w:val="en-ZA"/>
        </w:rPr>
        <w:t xml:space="preserve"> respondent states that the applicant chose to </w:t>
      </w:r>
      <w:r w:rsidR="00E77B77" w:rsidRPr="00AE6097">
        <w:rPr>
          <w:lang w:val="en-ZA"/>
        </w:rPr>
        <w:t>buy</w:t>
      </w:r>
      <w:r w:rsidR="00CC582C" w:rsidRPr="00AE6097">
        <w:rPr>
          <w:lang w:val="en-ZA"/>
        </w:rPr>
        <w:t xml:space="preserve"> the motor vehicle at a dealership</w:t>
      </w:r>
      <w:r w:rsidR="001F6DA5" w:rsidRPr="00AE6097">
        <w:rPr>
          <w:lang w:val="en-ZA"/>
        </w:rPr>
        <w:t xml:space="preserve"> in Fourways, that he completed</w:t>
      </w:r>
      <w:r w:rsidR="004927E6" w:rsidRPr="00AE6097">
        <w:rPr>
          <w:lang w:val="en-ZA"/>
        </w:rPr>
        <w:t xml:space="preserve"> the respondent’s credit application forms</w:t>
      </w:r>
      <w:r w:rsidR="00500634" w:rsidRPr="00AE6097">
        <w:rPr>
          <w:lang w:val="en-ZA"/>
        </w:rPr>
        <w:t>,</w:t>
      </w:r>
      <w:r w:rsidR="004A2A24" w:rsidRPr="00AE6097">
        <w:rPr>
          <w:lang w:val="en-ZA"/>
        </w:rPr>
        <w:t xml:space="preserve"> and</w:t>
      </w:r>
      <w:r w:rsidR="00500634" w:rsidRPr="00AE6097">
        <w:rPr>
          <w:lang w:val="en-ZA"/>
        </w:rPr>
        <w:t xml:space="preserve"> he</w:t>
      </w:r>
      <w:r w:rsidR="005C2A62" w:rsidRPr="00AE6097">
        <w:rPr>
          <w:lang w:val="en-ZA"/>
        </w:rPr>
        <w:t xml:space="preserve"> signed the agreement</w:t>
      </w:r>
      <w:r w:rsidR="00A834D8" w:rsidRPr="00AE6097">
        <w:rPr>
          <w:lang w:val="en-ZA"/>
        </w:rPr>
        <w:t xml:space="preserve"> at the respondent’s offices in Midrand on 23 December 2020</w:t>
      </w:r>
      <w:r w:rsidR="00CF124A" w:rsidRPr="00AE6097">
        <w:rPr>
          <w:lang w:val="en-ZA"/>
        </w:rPr>
        <w:t>, which the respondent accepted on the same day, also at Midrand</w:t>
      </w:r>
      <w:r w:rsidR="00DF0650" w:rsidRPr="00AE6097">
        <w:rPr>
          <w:lang w:val="en-ZA"/>
        </w:rPr>
        <w:t>. Accordingly</w:t>
      </w:r>
      <w:r w:rsidR="00AC437D" w:rsidRPr="00AE6097">
        <w:rPr>
          <w:lang w:val="en-ZA"/>
        </w:rPr>
        <w:t>,</w:t>
      </w:r>
      <w:r w:rsidR="00DF0650" w:rsidRPr="00AE6097">
        <w:rPr>
          <w:lang w:val="en-ZA"/>
        </w:rPr>
        <w:t xml:space="preserve"> the credit agreement was concluded in Midrand</w:t>
      </w:r>
      <w:r w:rsidR="00463A52" w:rsidRPr="00AE6097">
        <w:rPr>
          <w:lang w:val="en-ZA"/>
        </w:rPr>
        <w:t>,</w:t>
      </w:r>
      <w:r w:rsidR="00DF0650" w:rsidRPr="00AE6097">
        <w:rPr>
          <w:lang w:val="en-ZA"/>
        </w:rPr>
        <w:t xml:space="preserve"> </w:t>
      </w:r>
      <w:r w:rsidR="00AC437D" w:rsidRPr="00AE6097">
        <w:rPr>
          <w:lang w:val="en-ZA"/>
        </w:rPr>
        <w:t xml:space="preserve">within </w:t>
      </w:r>
      <w:r w:rsidR="00AC437D" w:rsidRPr="00AE6097">
        <w:rPr>
          <w:lang w:val="en-ZA"/>
        </w:rPr>
        <w:lastRenderedPageBreak/>
        <w:t>the jurisdictional area of this court</w:t>
      </w:r>
      <w:r w:rsidR="00087327">
        <w:rPr>
          <w:lang w:val="en-ZA"/>
        </w:rPr>
        <w:t>. As</w:t>
      </w:r>
      <w:r w:rsidR="00463A52" w:rsidRPr="00AE6097">
        <w:rPr>
          <w:lang w:val="en-ZA"/>
        </w:rPr>
        <w:t xml:space="preserve"> such, the court has jurisdiction in that the cause of action arose</w:t>
      </w:r>
      <w:r w:rsidR="00C93042" w:rsidRPr="00AE6097">
        <w:rPr>
          <w:lang w:val="en-ZA"/>
        </w:rPr>
        <w:t xml:space="preserve"> within the court’s jurisdictional area.</w:t>
      </w:r>
    </w:p>
    <w:p w14:paraId="2ADDE5AB" w14:textId="15D95785" w:rsidR="00C93042" w:rsidRPr="00AE6097" w:rsidRDefault="002D5398" w:rsidP="002D5398">
      <w:pPr>
        <w:pStyle w:val="JUDGMENTNUMBERED"/>
        <w:numPr>
          <w:ilvl w:val="0"/>
          <w:numId w:val="0"/>
        </w:numPr>
        <w:ind w:left="709" w:hanging="709"/>
        <w:rPr>
          <w:lang w:val="en-ZA"/>
        </w:rPr>
      </w:pPr>
      <w:r w:rsidRPr="00AE6097">
        <w:rPr>
          <w:rFonts w:cs="Arial"/>
          <w:color w:val="000000"/>
          <w:lang w:val="en-ZA"/>
        </w:rPr>
        <w:t>[20]</w:t>
      </w:r>
      <w:r w:rsidRPr="00AE6097">
        <w:rPr>
          <w:rFonts w:cs="Arial"/>
          <w:color w:val="000000"/>
          <w:lang w:val="en-ZA"/>
        </w:rPr>
        <w:tab/>
      </w:r>
      <w:r w:rsidR="000764C4" w:rsidRPr="00AE6097">
        <w:rPr>
          <w:lang w:val="en-ZA"/>
        </w:rPr>
        <w:t>The respondent contends that the applicant</w:t>
      </w:r>
      <w:r w:rsidR="000D1601" w:rsidRPr="00AE6097">
        <w:rPr>
          <w:lang w:val="en-ZA"/>
        </w:rPr>
        <w:t xml:space="preserve"> failed to provide evidence concerning his alleged lack of understanding</w:t>
      </w:r>
      <w:r w:rsidR="00C756A6" w:rsidRPr="00AE6097">
        <w:rPr>
          <w:lang w:val="en-ZA"/>
        </w:rPr>
        <w:t xml:space="preserve"> of the </w:t>
      </w:r>
      <w:r w:rsidR="00222B8A" w:rsidRPr="00AE6097">
        <w:rPr>
          <w:lang w:val="en-ZA"/>
        </w:rPr>
        <w:t>agreement's provisions or which parts of the agreement he allegedly did not understand.</w:t>
      </w:r>
      <w:r w:rsidR="001E06FF" w:rsidRPr="00AE6097">
        <w:rPr>
          <w:lang w:val="en-ZA"/>
        </w:rPr>
        <w:t xml:space="preserve"> The applicant furthermore signed a “Warranty on Veracity of Credit Application Details” in which, </w:t>
      </w:r>
      <w:r w:rsidR="001E06FF" w:rsidRPr="00AE6097">
        <w:rPr>
          <w:i/>
          <w:iCs/>
          <w:lang w:val="en-ZA"/>
        </w:rPr>
        <w:t>inter alia</w:t>
      </w:r>
      <w:r w:rsidR="001E06FF" w:rsidRPr="00AE6097">
        <w:rPr>
          <w:lang w:val="en-ZA"/>
        </w:rPr>
        <w:t>, the applicant warranted that “…</w:t>
      </w:r>
      <w:r w:rsidR="001E06FF" w:rsidRPr="00AE6097">
        <w:rPr>
          <w:i/>
          <w:iCs/>
          <w:lang w:val="en-ZA"/>
        </w:rPr>
        <w:t>I have signed and understood all the following documents, and I confirm that I have been offered copies of the documents in either Sotho or Zulu…</w:t>
      </w:r>
      <w:r w:rsidR="001E06FF" w:rsidRPr="00AE6097">
        <w:rPr>
          <w:lang w:val="en-ZA"/>
        </w:rPr>
        <w:t>”, which statement is followed is followed by a list of documents, including the Summary of the Credit Agreement, the Application Form, the Credit Agreement.</w:t>
      </w:r>
      <w:r w:rsidR="00222B8A" w:rsidRPr="00AE6097">
        <w:rPr>
          <w:lang w:val="en-ZA"/>
        </w:rPr>
        <w:t xml:space="preserve"> </w:t>
      </w:r>
      <w:r w:rsidR="001E06FF" w:rsidRPr="00AE6097">
        <w:rPr>
          <w:lang w:val="en-ZA"/>
        </w:rPr>
        <w:t xml:space="preserve">The respondent emphasises that the applicant seeks to retain the vehicle despite this alleged lack of understanding. Whilst relying on the alleged lack of mutual assent, the applicant chooses not to resile from the contract but, to the contrary, seeks to retain the vehicle. </w:t>
      </w:r>
    </w:p>
    <w:p w14:paraId="34D33745" w14:textId="2F0960F5" w:rsidR="009214C3" w:rsidRPr="00AE6097" w:rsidRDefault="002D5398" w:rsidP="002D5398">
      <w:pPr>
        <w:pStyle w:val="JUDGMENTNUMBERED"/>
        <w:numPr>
          <w:ilvl w:val="0"/>
          <w:numId w:val="0"/>
        </w:numPr>
        <w:ind w:left="709" w:hanging="709"/>
        <w:rPr>
          <w:lang w:val="en-ZA"/>
        </w:rPr>
      </w:pPr>
      <w:r w:rsidRPr="00AE6097">
        <w:rPr>
          <w:rFonts w:cs="Arial"/>
          <w:color w:val="000000"/>
          <w:lang w:val="en-ZA"/>
        </w:rPr>
        <w:t>[21]</w:t>
      </w:r>
      <w:r w:rsidRPr="00AE6097">
        <w:rPr>
          <w:rFonts w:cs="Arial"/>
          <w:color w:val="000000"/>
          <w:lang w:val="en-ZA"/>
        </w:rPr>
        <w:tab/>
      </w:r>
      <w:r w:rsidR="002E5E81" w:rsidRPr="00AE6097">
        <w:rPr>
          <w:lang w:val="en-ZA"/>
        </w:rPr>
        <w:t>The respondent provides a detailed version</w:t>
      </w:r>
      <w:r w:rsidR="00E6457A" w:rsidRPr="00AE6097">
        <w:rPr>
          <w:lang w:val="en-ZA"/>
        </w:rPr>
        <w:t xml:space="preserve"> </w:t>
      </w:r>
      <w:r w:rsidR="00B37AD2" w:rsidRPr="00AE6097">
        <w:rPr>
          <w:lang w:val="en-ZA"/>
        </w:rPr>
        <w:t>of the credit assessment</w:t>
      </w:r>
      <w:r w:rsidR="007757AA" w:rsidRPr="00AE6097">
        <w:rPr>
          <w:lang w:val="en-ZA"/>
        </w:rPr>
        <w:t xml:space="preserve"> process that was followed </w:t>
      </w:r>
      <w:r w:rsidR="00F95917" w:rsidRPr="00AE6097">
        <w:rPr>
          <w:lang w:val="en-ZA"/>
        </w:rPr>
        <w:t>for</w:t>
      </w:r>
      <w:r w:rsidR="007757AA" w:rsidRPr="00AE6097">
        <w:rPr>
          <w:lang w:val="en-ZA"/>
        </w:rPr>
        <w:t xml:space="preserve"> the applicant</w:t>
      </w:r>
      <w:r w:rsidR="00923DDF" w:rsidRPr="00AE6097">
        <w:rPr>
          <w:lang w:val="en-ZA"/>
        </w:rPr>
        <w:t xml:space="preserve"> before the credit agreement was</w:t>
      </w:r>
      <w:r w:rsidR="00B37AD2" w:rsidRPr="00AE6097">
        <w:rPr>
          <w:lang w:val="en-ZA"/>
        </w:rPr>
        <w:t xml:space="preserve"> concluded.</w:t>
      </w:r>
      <w:r w:rsidR="006208A8" w:rsidRPr="00AE6097">
        <w:rPr>
          <w:lang w:val="en-ZA"/>
        </w:rPr>
        <w:t xml:space="preserve"> The respondent </w:t>
      </w:r>
      <w:r w:rsidR="00342FFD" w:rsidRPr="00AE6097">
        <w:rPr>
          <w:lang w:val="en-ZA"/>
        </w:rPr>
        <w:t>obtained a consumer profile from a credit bureau</w:t>
      </w:r>
      <w:r w:rsidR="003B0AB9">
        <w:rPr>
          <w:lang w:val="en-ZA"/>
        </w:rPr>
        <w:t>, for</w:t>
      </w:r>
      <w:r w:rsidR="00202B81" w:rsidRPr="00AE6097">
        <w:rPr>
          <w:lang w:val="en-ZA"/>
        </w:rPr>
        <w:t xml:space="preserve"> which the </w:t>
      </w:r>
      <w:r w:rsidR="008A2B48" w:rsidRPr="00AE6097">
        <w:rPr>
          <w:lang w:val="en-ZA"/>
        </w:rPr>
        <w:t>applicant's</w:t>
      </w:r>
      <w:r w:rsidR="00C803C6" w:rsidRPr="00AE6097">
        <w:rPr>
          <w:lang w:val="en-ZA"/>
        </w:rPr>
        <w:t xml:space="preserve"> credit risk score</w:t>
      </w:r>
      <w:r w:rsidR="00202B81" w:rsidRPr="00AE6097">
        <w:rPr>
          <w:lang w:val="en-ZA"/>
        </w:rPr>
        <w:t xml:space="preserve"> was rated</w:t>
      </w:r>
      <w:r w:rsidR="00C803C6" w:rsidRPr="00AE6097">
        <w:rPr>
          <w:lang w:val="en-ZA"/>
        </w:rPr>
        <w:t xml:space="preserve"> </w:t>
      </w:r>
      <w:r w:rsidR="008A2B48" w:rsidRPr="00AE6097">
        <w:rPr>
          <w:lang w:val="en-ZA"/>
        </w:rPr>
        <w:t>as</w:t>
      </w:r>
      <w:r w:rsidR="00C803C6" w:rsidRPr="00AE6097">
        <w:rPr>
          <w:lang w:val="en-ZA"/>
        </w:rPr>
        <w:t xml:space="preserve"> average.</w:t>
      </w:r>
      <w:r w:rsidR="00D45FAF" w:rsidRPr="00AE6097">
        <w:rPr>
          <w:lang w:val="en-ZA"/>
        </w:rPr>
        <w:t xml:space="preserve"> Based on</w:t>
      </w:r>
      <w:r w:rsidR="00E608EE" w:rsidRPr="00AE6097">
        <w:rPr>
          <w:lang w:val="en-ZA"/>
        </w:rPr>
        <w:t xml:space="preserve"> various documents provided by the applicant (</w:t>
      </w:r>
      <w:r w:rsidR="0069576D" w:rsidRPr="00AE6097">
        <w:rPr>
          <w:lang w:val="en-ZA"/>
        </w:rPr>
        <w:t>the correctness of which has been warranted under the “Warranty on Veracity of Credit Application Details”</w:t>
      </w:r>
      <w:r w:rsidR="00AB5F83" w:rsidRPr="00AE6097">
        <w:rPr>
          <w:lang w:val="en-ZA"/>
        </w:rPr>
        <w:t>)</w:t>
      </w:r>
      <w:r w:rsidR="00D726ED" w:rsidRPr="00AE6097">
        <w:rPr>
          <w:lang w:val="en-ZA"/>
        </w:rPr>
        <w:t>,</w:t>
      </w:r>
      <w:r w:rsidR="00E111E7" w:rsidRPr="00AE6097">
        <w:rPr>
          <w:lang w:val="en-ZA"/>
        </w:rPr>
        <w:t xml:space="preserve"> including</w:t>
      </w:r>
      <w:r w:rsidR="00D726ED" w:rsidRPr="00AE6097">
        <w:rPr>
          <w:lang w:val="en-ZA"/>
        </w:rPr>
        <w:t xml:space="preserve"> a letter of recommendation from the </w:t>
      </w:r>
      <w:r w:rsidR="00553569" w:rsidRPr="00AE6097">
        <w:rPr>
          <w:lang w:val="en-ZA"/>
        </w:rPr>
        <w:t xml:space="preserve">Taxi Association of which the applicant was a member, his operating </w:t>
      </w:r>
      <w:r w:rsidR="008F1C7A" w:rsidRPr="00AE6097">
        <w:rPr>
          <w:lang w:val="en-ZA"/>
        </w:rPr>
        <w:t xml:space="preserve">license, </w:t>
      </w:r>
      <w:r w:rsidR="00E61B7E" w:rsidRPr="00AE6097">
        <w:rPr>
          <w:lang w:val="en-ZA"/>
        </w:rPr>
        <w:t xml:space="preserve">the route on which the vehicle was intended to be used (between </w:t>
      </w:r>
      <w:proofErr w:type="spellStart"/>
      <w:r w:rsidR="00E61B7E" w:rsidRPr="00AE6097">
        <w:rPr>
          <w:lang w:val="en-ZA"/>
        </w:rPr>
        <w:t>Ventersdorp</w:t>
      </w:r>
      <w:proofErr w:type="spellEnd"/>
      <w:r w:rsidR="00E61B7E" w:rsidRPr="00AE6097">
        <w:rPr>
          <w:lang w:val="en-ZA"/>
        </w:rPr>
        <w:t xml:space="preserve"> and Rustenburg)</w:t>
      </w:r>
      <w:r w:rsidR="00BA567A" w:rsidRPr="00AE6097">
        <w:rPr>
          <w:lang w:val="en-ZA"/>
        </w:rPr>
        <w:t>, the respondent prepared a detailed</w:t>
      </w:r>
      <w:r w:rsidR="00D71815" w:rsidRPr="00AE6097">
        <w:rPr>
          <w:lang w:val="en-ZA"/>
        </w:rPr>
        <w:t xml:space="preserve"> calculation of the net income</w:t>
      </w:r>
      <w:r w:rsidR="001818E0" w:rsidRPr="00AE6097">
        <w:rPr>
          <w:lang w:val="en-ZA"/>
        </w:rPr>
        <w:t>, just short of R55</w:t>
      </w:r>
      <w:r w:rsidR="005400E4" w:rsidRPr="00AE6097">
        <w:rPr>
          <w:lang w:val="en-ZA"/>
        </w:rPr>
        <w:t>,000.00 per month,</w:t>
      </w:r>
      <w:r w:rsidR="00546C50" w:rsidRPr="00AE6097">
        <w:rPr>
          <w:lang w:val="en-ZA"/>
        </w:rPr>
        <w:t xml:space="preserve"> that the applicant was expected to earn through the vehicle</w:t>
      </w:r>
      <w:r w:rsidR="005B7174" w:rsidRPr="00AE6097">
        <w:rPr>
          <w:lang w:val="en-ZA"/>
        </w:rPr>
        <w:t>.</w:t>
      </w:r>
      <w:r w:rsidR="005400E4" w:rsidRPr="00AE6097">
        <w:rPr>
          <w:lang w:val="en-ZA"/>
        </w:rPr>
        <w:t xml:space="preserve"> This net </w:t>
      </w:r>
      <w:r w:rsidR="00571B0D" w:rsidRPr="00AE6097">
        <w:rPr>
          <w:lang w:val="en-ZA"/>
        </w:rPr>
        <w:t>calculation comprised the expected gross income</w:t>
      </w:r>
      <w:r w:rsidR="003E0727" w:rsidRPr="00AE6097">
        <w:rPr>
          <w:lang w:val="en-ZA"/>
        </w:rPr>
        <w:t xml:space="preserve"> of some R107,000.00</w:t>
      </w:r>
      <w:r w:rsidR="00244643" w:rsidRPr="00AE6097">
        <w:rPr>
          <w:lang w:val="en-ZA"/>
        </w:rPr>
        <w:t>, less</w:t>
      </w:r>
      <w:r w:rsidR="00BC5B75" w:rsidRPr="00AE6097">
        <w:rPr>
          <w:lang w:val="en-ZA"/>
        </w:rPr>
        <w:t xml:space="preserve"> </w:t>
      </w:r>
      <w:r w:rsidR="003B0AB9">
        <w:rPr>
          <w:lang w:val="en-ZA"/>
        </w:rPr>
        <w:t>petrol costs</w:t>
      </w:r>
      <w:r w:rsidR="00BC5B75" w:rsidRPr="00AE6097">
        <w:rPr>
          <w:lang w:val="en-ZA"/>
        </w:rPr>
        <w:t>, driver wages, the vehicle instalment, short-term insurance</w:t>
      </w:r>
      <w:r w:rsidR="00C83CC9" w:rsidRPr="00AE6097">
        <w:rPr>
          <w:lang w:val="en-ZA"/>
        </w:rPr>
        <w:t xml:space="preserve">, credit life insurance, a tracking </w:t>
      </w:r>
      <w:proofErr w:type="gramStart"/>
      <w:r w:rsidR="00C83CC9" w:rsidRPr="00AE6097">
        <w:rPr>
          <w:lang w:val="en-ZA"/>
        </w:rPr>
        <w:t>system</w:t>
      </w:r>
      <w:proofErr w:type="gramEnd"/>
      <w:r w:rsidR="00C83CC9" w:rsidRPr="00AE6097">
        <w:rPr>
          <w:lang w:val="en-ZA"/>
        </w:rPr>
        <w:t xml:space="preserve"> and a monthly service fee.</w:t>
      </w:r>
      <w:r w:rsidR="003B2F8B" w:rsidRPr="00AE6097">
        <w:rPr>
          <w:lang w:val="en-ZA"/>
        </w:rPr>
        <w:t xml:space="preserve"> Based on this assessment, the respondent concluded that there was no risk, let alone an appreciable risk, that the applicant would become over-indebted</w:t>
      </w:r>
      <w:r w:rsidR="003731A9" w:rsidRPr="00AE6097">
        <w:rPr>
          <w:lang w:val="en-ZA"/>
        </w:rPr>
        <w:t xml:space="preserve"> by entering into the credit agreement.</w:t>
      </w:r>
    </w:p>
    <w:p w14:paraId="3464E0AD" w14:textId="77777777" w:rsidR="00096C0F" w:rsidRPr="00AE6097" w:rsidRDefault="00096C0F" w:rsidP="00096C0F">
      <w:pPr>
        <w:pStyle w:val="JUDGMENTCONTINUED"/>
        <w:rPr>
          <w:lang w:val="en-ZA"/>
        </w:rPr>
      </w:pPr>
    </w:p>
    <w:p w14:paraId="2FB8F6F8" w14:textId="784BF7D2" w:rsidR="008A6C39" w:rsidRPr="00AE6097" w:rsidRDefault="00535FD8" w:rsidP="00AE4012">
      <w:pPr>
        <w:pStyle w:val="JudgmentHeading"/>
        <w:rPr>
          <w:lang w:val="en-ZA"/>
        </w:rPr>
      </w:pPr>
      <w:r w:rsidRPr="00AE6097">
        <w:rPr>
          <w:lang w:val="en-ZA"/>
        </w:rPr>
        <w:t xml:space="preserve">Time for </w:t>
      </w:r>
      <w:r w:rsidR="009326AA" w:rsidRPr="00AE6097">
        <w:rPr>
          <w:lang w:val="en-ZA"/>
        </w:rPr>
        <w:t>the institution of a rescission application</w:t>
      </w:r>
    </w:p>
    <w:p w14:paraId="7B355A08" w14:textId="282BAFF0" w:rsidR="00AE4012" w:rsidRPr="00AE6097" w:rsidRDefault="002D5398" w:rsidP="002D5398">
      <w:pPr>
        <w:pStyle w:val="JUDGMENTNUMBERED"/>
        <w:numPr>
          <w:ilvl w:val="0"/>
          <w:numId w:val="0"/>
        </w:numPr>
        <w:ind w:left="709" w:hanging="709"/>
        <w:rPr>
          <w:lang w:val="en-ZA"/>
        </w:rPr>
      </w:pPr>
      <w:r w:rsidRPr="00AE6097">
        <w:rPr>
          <w:rFonts w:cs="Arial"/>
          <w:color w:val="000000"/>
          <w:lang w:val="en-ZA"/>
        </w:rPr>
        <w:t>[22]</w:t>
      </w:r>
      <w:r w:rsidRPr="00AE6097">
        <w:rPr>
          <w:rFonts w:cs="Arial"/>
          <w:color w:val="000000"/>
          <w:lang w:val="en-ZA"/>
        </w:rPr>
        <w:tab/>
      </w:r>
      <w:r w:rsidR="00AE4012" w:rsidRPr="00AE6097">
        <w:rPr>
          <w:lang w:val="en-ZA"/>
        </w:rPr>
        <w:t>Application</w:t>
      </w:r>
      <w:r w:rsidR="00AF7F2A" w:rsidRPr="00AE6097">
        <w:rPr>
          <w:lang w:val="en-ZA"/>
        </w:rPr>
        <w:t>s</w:t>
      </w:r>
      <w:r w:rsidR="00AE4012" w:rsidRPr="00AE6097">
        <w:rPr>
          <w:lang w:val="en-ZA"/>
        </w:rPr>
        <w:t xml:space="preserve"> for rescission </w:t>
      </w:r>
      <w:r w:rsidR="008517FC" w:rsidRPr="00AE6097">
        <w:rPr>
          <w:lang w:val="en-ZA"/>
        </w:rPr>
        <w:t>under Uniform Rule 42</w:t>
      </w:r>
      <w:r w:rsidR="00F462E4" w:rsidRPr="00AE6097">
        <w:rPr>
          <w:rStyle w:val="FootnoteReference"/>
          <w:lang w:val="en-ZA"/>
        </w:rPr>
        <w:footnoteReference w:id="2"/>
      </w:r>
      <w:r w:rsidR="0049235A" w:rsidRPr="00AE6097">
        <w:rPr>
          <w:lang w:val="en-ZA"/>
        </w:rPr>
        <w:t xml:space="preserve"> and those on common-law grounds</w:t>
      </w:r>
      <w:r w:rsidR="008517FC" w:rsidRPr="00AE6097">
        <w:rPr>
          <w:lang w:val="en-ZA"/>
        </w:rPr>
        <w:t xml:space="preserve"> must be made within a reasonable </w:t>
      </w:r>
      <w:proofErr w:type="gramStart"/>
      <w:r w:rsidR="008517FC" w:rsidRPr="00AE6097">
        <w:rPr>
          <w:lang w:val="en-ZA"/>
        </w:rPr>
        <w:t>period of time</w:t>
      </w:r>
      <w:proofErr w:type="gramEnd"/>
      <w:r w:rsidR="00471B09" w:rsidRPr="00AE6097">
        <w:rPr>
          <w:rStyle w:val="FootnoteReference"/>
          <w:lang w:val="en-ZA"/>
        </w:rPr>
        <w:footnoteReference w:id="3"/>
      </w:r>
      <w:r w:rsidR="001E5506" w:rsidRPr="00AE6097">
        <w:rPr>
          <w:lang w:val="en-ZA"/>
        </w:rPr>
        <w:t>.</w:t>
      </w:r>
      <w:r w:rsidR="008517FC" w:rsidRPr="00AE6097">
        <w:rPr>
          <w:lang w:val="en-ZA"/>
        </w:rPr>
        <w:t xml:space="preserve"> Applications for rescission of default judgment under Rule 31(2)(b)</w:t>
      </w:r>
      <w:r w:rsidR="006E0E6F" w:rsidRPr="00AE6097">
        <w:rPr>
          <w:rStyle w:val="FootnoteReference"/>
          <w:lang w:val="en-ZA"/>
        </w:rPr>
        <w:footnoteReference w:id="4"/>
      </w:r>
      <w:r w:rsidR="008517FC" w:rsidRPr="00AE6097">
        <w:rPr>
          <w:lang w:val="en-ZA"/>
        </w:rPr>
        <w:t xml:space="preserve"> must be made within 20 days of</w:t>
      </w:r>
      <w:r w:rsidR="000512BB" w:rsidRPr="00AE6097">
        <w:rPr>
          <w:lang w:val="en-ZA"/>
        </w:rPr>
        <w:t xml:space="preserve"> acquiring knowledge of such </w:t>
      </w:r>
      <w:r w:rsidR="00506859" w:rsidRPr="00AE6097">
        <w:rPr>
          <w:lang w:val="en-ZA"/>
        </w:rPr>
        <w:t>judgment</w:t>
      </w:r>
      <w:r w:rsidR="00F16CD9" w:rsidRPr="00AE6097">
        <w:rPr>
          <w:lang w:val="en-ZA"/>
        </w:rPr>
        <w:t>.</w:t>
      </w:r>
    </w:p>
    <w:p w14:paraId="02A9942E" w14:textId="4B737A67" w:rsidR="00C862FE" w:rsidRPr="00AE6097" w:rsidRDefault="002D5398" w:rsidP="002D5398">
      <w:pPr>
        <w:pStyle w:val="JUDGMENTNUMBERED"/>
        <w:numPr>
          <w:ilvl w:val="0"/>
          <w:numId w:val="0"/>
        </w:numPr>
        <w:ind w:left="709" w:hanging="709"/>
        <w:rPr>
          <w:lang w:val="en-ZA"/>
        </w:rPr>
      </w:pPr>
      <w:r w:rsidRPr="00AE6097">
        <w:rPr>
          <w:rFonts w:cs="Arial"/>
          <w:color w:val="000000"/>
          <w:lang w:val="en-ZA"/>
        </w:rPr>
        <w:t>[23]</w:t>
      </w:r>
      <w:r w:rsidRPr="00AE6097">
        <w:rPr>
          <w:rFonts w:cs="Arial"/>
          <w:color w:val="000000"/>
          <w:lang w:val="en-ZA"/>
        </w:rPr>
        <w:tab/>
      </w:r>
      <w:r w:rsidR="007C1A4C" w:rsidRPr="00AE6097">
        <w:rPr>
          <w:lang w:val="en-ZA"/>
        </w:rPr>
        <w:t xml:space="preserve">It is trite that the </w:t>
      </w:r>
      <w:r w:rsidR="00975FE6" w:rsidRPr="00AE6097">
        <w:rPr>
          <w:lang w:val="en-ZA"/>
        </w:rPr>
        <w:t>court may consider the following factors in exercising its discretion to grant condonation:</w:t>
      </w:r>
      <w:r w:rsidR="008E2EAE" w:rsidRPr="00AE6097">
        <w:rPr>
          <w:lang w:val="en-ZA"/>
        </w:rPr>
        <w:t xml:space="preserve"> the degree of lateness, explanation for the delay, prospects of success, degree of non-compliance with the rules, </w:t>
      </w:r>
      <w:r w:rsidR="00E423B6" w:rsidRPr="00AE6097">
        <w:rPr>
          <w:lang w:val="en-ZA"/>
        </w:rPr>
        <w:t xml:space="preserve">the </w:t>
      </w:r>
      <w:r w:rsidR="008E2EAE" w:rsidRPr="00AE6097">
        <w:rPr>
          <w:lang w:val="en-ZA"/>
        </w:rPr>
        <w:t xml:space="preserve">importance of the case, </w:t>
      </w:r>
      <w:r w:rsidR="00FA6555" w:rsidRPr="00AE6097">
        <w:rPr>
          <w:lang w:val="en-ZA"/>
        </w:rPr>
        <w:t>the plaintiff</w:t>
      </w:r>
      <w:r w:rsidR="008E2EAE" w:rsidRPr="00AE6097">
        <w:rPr>
          <w:lang w:val="en-ZA"/>
        </w:rPr>
        <w:t xml:space="preserve">’s interest in </w:t>
      </w:r>
      <w:r w:rsidR="00FA6555" w:rsidRPr="00AE6097">
        <w:rPr>
          <w:lang w:val="en-ZA"/>
        </w:rPr>
        <w:t xml:space="preserve">the </w:t>
      </w:r>
      <w:r w:rsidR="008E2EAE" w:rsidRPr="00AE6097">
        <w:rPr>
          <w:lang w:val="en-ZA"/>
        </w:rPr>
        <w:t xml:space="preserve">finality of the judgment, </w:t>
      </w:r>
      <w:r w:rsidR="007848C8">
        <w:rPr>
          <w:lang w:val="en-ZA"/>
        </w:rPr>
        <w:t xml:space="preserve">the convenience of the court, and the </w:t>
      </w:r>
      <w:r w:rsidR="007C1A4C" w:rsidRPr="00AE6097">
        <w:rPr>
          <w:lang w:val="en-ZA"/>
        </w:rPr>
        <w:t>avoidance of unnecessary delay in the administration of justice.</w:t>
      </w:r>
      <w:r w:rsidR="00C27BA7" w:rsidRPr="00AE6097">
        <w:rPr>
          <w:rStyle w:val="FootnoteReference"/>
          <w:lang w:val="en-ZA"/>
        </w:rPr>
        <w:footnoteReference w:id="5"/>
      </w:r>
    </w:p>
    <w:p w14:paraId="11A9ED17" w14:textId="784D6047" w:rsidR="004A2E79" w:rsidRPr="00AE6097" w:rsidRDefault="002D5398" w:rsidP="002D5398">
      <w:pPr>
        <w:pStyle w:val="JUDGMENTNUMBERED"/>
        <w:numPr>
          <w:ilvl w:val="0"/>
          <w:numId w:val="0"/>
        </w:numPr>
        <w:ind w:left="709" w:hanging="709"/>
        <w:rPr>
          <w:lang w:val="en-ZA"/>
        </w:rPr>
      </w:pPr>
      <w:r w:rsidRPr="00AE6097">
        <w:rPr>
          <w:rFonts w:cs="Arial"/>
          <w:color w:val="000000"/>
          <w:lang w:val="en-ZA"/>
        </w:rPr>
        <w:t>[24]</w:t>
      </w:r>
      <w:r w:rsidRPr="00AE6097">
        <w:rPr>
          <w:rFonts w:cs="Arial"/>
          <w:color w:val="000000"/>
          <w:lang w:val="en-ZA"/>
        </w:rPr>
        <w:tab/>
      </w:r>
      <w:r w:rsidR="00861368" w:rsidRPr="00AE6097">
        <w:rPr>
          <w:lang w:val="en-ZA"/>
        </w:rPr>
        <w:t>On 22 January 2022, the</w:t>
      </w:r>
      <w:r w:rsidR="00070BF2" w:rsidRPr="00AE6097">
        <w:rPr>
          <w:lang w:val="en-ZA"/>
        </w:rPr>
        <w:t xml:space="preserve"> applicant learnt that default judgment had been granted</w:t>
      </w:r>
      <w:r w:rsidR="00861368" w:rsidRPr="00AE6097">
        <w:rPr>
          <w:lang w:val="en-ZA"/>
        </w:rPr>
        <w:t xml:space="preserve">. This fact is uncontested. </w:t>
      </w:r>
      <w:r w:rsidR="00D70FEA" w:rsidRPr="00AE6097">
        <w:rPr>
          <w:lang w:val="en-ZA"/>
        </w:rPr>
        <w:t xml:space="preserve">The rescission application was delivered on 31 January 2022. </w:t>
      </w:r>
    </w:p>
    <w:p w14:paraId="36642EE1" w14:textId="23045569" w:rsidR="00070BF2" w:rsidRPr="00AE6097" w:rsidRDefault="002D5398" w:rsidP="002D5398">
      <w:pPr>
        <w:pStyle w:val="JUDGMENTNUMBERED"/>
        <w:numPr>
          <w:ilvl w:val="0"/>
          <w:numId w:val="0"/>
        </w:numPr>
        <w:ind w:left="709" w:hanging="709"/>
        <w:rPr>
          <w:lang w:val="en-ZA"/>
        </w:rPr>
      </w:pPr>
      <w:r w:rsidRPr="00AE6097">
        <w:rPr>
          <w:rFonts w:cs="Arial"/>
          <w:color w:val="000000"/>
          <w:lang w:val="en-ZA"/>
        </w:rPr>
        <w:t>[25]</w:t>
      </w:r>
      <w:r w:rsidRPr="00AE6097">
        <w:rPr>
          <w:rFonts w:cs="Arial"/>
          <w:color w:val="000000"/>
          <w:lang w:val="en-ZA"/>
        </w:rPr>
        <w:tab/>
      </w:r>
      <w:r w:rsidR="00B1781A" w:rsidRPr="00AE6097">
        <w:rPr>
          <w:lang w:val="en-ZA"/>
        </w:rPr>
        <w:t>The application was accordingly instituted within 20 day</w:t>
      </w:r>
      <w:r w:rsidR="00357315" w:rsidRPr="00AE6097">
        <w:rPr>
          <w:lang w:val="en-ZA"/>
        </w:rPr>
        <w:t>s</w:t>
      </w:r>
      <w:r w:rsidR="0043742C" w:rsidRPr="00AE6097">
        <w:rPr>
          <w:lang w:val="en-ZA"/>
        </w:rPr>
        <w:t xml:space="preserve"> </w:t>
      </w:r>
      <w:r w:rsidR="00974F97" w:rsidRPr="00AE6097">
        <w:rPr>
          <w:lang w:val="en-ZA"/>
        </w:rPr>
        <w:t>of</w:t>
      </w:r>
      <w:r w:rsidR="0043742C" w:rsidRPr="00AE6097">
        <w:rPr>
          <w:lang w:val="en-ZA"/>
        </w:rPr>
        <w:t xml:space="preserve"> the applicant gaining knowledge</w:t>
      </w:r>
      <w:r w:rsidR="00974F97" w:rsidRPr="00AE6097">
        <w:rPr>
          <w:lang w:val="en-ZA"/>
        </w:rPr>
        <w:t xml:space="preserve"> of the judgment</w:t>
      </w:r>
      <w:r w:rsidR="00A13B49" w:rsidRPr="00AE6097">
        <w:rPr>
          <w:lang w:val="en-ZA"/>
        </w:rPr>
        <w:t xml:space="preserve"> (</w:t>
      </w:r>
      <w:proofErr w:type="gramStart"/>
      <w:r w:rsidR="00A13B49" w:rsidRPr="00AE6097">
        <w:rPr>
          <w:lang w:val="en-ZA"/>
        </w:rPr>
        <w:t>inasmuch as</w:t>
      </w:r>
      <w:proofErr w:type="gramEnd"/>
      <w:r w:rsidR="00A13B49" w:rsidRPr="00AE6097">
        <w:rPr>
          <w:lang w:val="en-ZA"/>
        </w:rPr>
        <w:t xml:space="preserve"> it is brought under Rule 31(2)(b)</w:t>
      </w:r>
      <w:r w:rsidR="00A32446" w:rsidRPr="00AE6097">
        <w:rPr>
          <w:lang w:val="en-ZA"/>
        </w:rPr>
        <w:t xml:space="preserve">) or </w:t>
      </w:r>
      <w:r w:rsidR="00A13B49" w:rsidRPr="00AE6097">
        <w:rPr>
          <w:lang w:val="en-ZA"/>
        </w:rPr>
        <w:t>within a reasonable period of time</w:t>
      </w:r>
      <w:r w:rsidR="004B665C" w:rsidRPr="00AE6097">
        <w:rPr>
          <w:lang w:val="en-ZA"/>
        </w:rPr>
        <w:t xml:space="preserve"> (inasmuch as it is brought under</w:t>
      </w:r>
      <w:r w:rsidR="00591EC3" w:rsidRPr="00AE6097">
        <w:rPr>
          <w:lang w:val="en-ZA"/>
        </w:rPr>
        <w:t xml:space="preserve"> Rule 42(1)(</w:t>
      </w:r>
      <w:r w:rsidR="00A84807" w:rsidRPr="00AE6097">
        <w:rPr>
          <w:lang w:val="en-ZA"/>
        </w:rPr>
        <w:t>a)</w:t>
      </w:r>
      <w:r w:rsidR="004B665C" w:rsidRPr="00AE6097">
        <w:rPr>
          <w:lang w:val="en-ZA"/>
        </w:rPr>
        <w:t xml:space="preserve"> or the common law</w:t>
      </w:r>
      <w:r w:rsidR="004A2E79" w:rsidRPr="00AE6097">
        <w:rPr>
          <w:lang w:val="en-ZA"/>
        </w:rPr>
        <w:t>.</w:t>
      </w:r>
    </w:p>
    <w:p w14:paraId="63205CA9" w14:textId="77777777" w:rsidR="009326AA" w:rsidRDefault="009326AA" w:rsidP="00370777">
      <w:pPr>
        <w:pStyle w:val="JUDGMENTNUMBERED"/>
        <w:numPr>
          <w:ilvl w:val="0"/>
          <w:numId w:val="0"/>
        </w:numPr>
        <w:ind w:left="709"/>
        <w:rPr>
          <w:lang w:val="en-ZA"/>
        </w:rPr>
      </w:pPr>
    </w:p>
    <w:p w14:paraId="57449E8D" w14:textId="77777777" w:rsidR="00A677C7" w:rsidRDefault="00A677C7" w:rsidP="00A677C7">
      <w:pPr>
        <w:pStyle w:val="JUDGMENTCONTINUED"/>
        <w:rPr>
          <w:lang w:val="en-ZA"/>
        </w:rPr>
      </w:pPr>
    </w:p>
    <w:p w14:paraId="108B9BDC" w14:textId="77777777" w:rsidR="00A677C7" w:rsidRPr="00A677C7" w:rsidRDefault="00A677C7" w:rsidP="00A677C7">
      <w:pPr>
        <w:pStyle w:val="JUDGMENTNUMBERED"/>
        <w:numPr>
          <w:ilvl w:val="0"/>
          <w:numId w:val="0"/>
        </w:numPr>
        <w:ind w:left="709"/>
        <w:rPr>
          <w:lang w:val="en-ZA"/>
        </w:rPr>
      </w:pPr>
    </w:p>
    <w:p w14:paraId="0201616D" w14:textId="7B069F2B" w:rsidR="009326AA" w:rsidRPr="00AE6097" w:rsidRDefault="00370777" w:rsidP="00370777">
      <w:pPr>
        <w:pStyle w:val="JudgmentHeading"/>
        <w:rPr>
          <w:lang w:val="en-ZA"/>
        </w:rPr>
      </w:pPr>
      <w:r w:rsidRPr="00AE6097">
        <w:rPr>
          <w:lang w:val="en-ZA"/>
        </w:rPr>
        <w:lastRenderedPageBreak/>
        <w:t>Uniform Rule 42(1)(a)</w:t>
      </w:r>
    </w:p>
    <w:p w14:paraId="2D5F2B84" w14:textId="110FB7A1" w:rsidR="00D726A4" w:rsidRPr="00AE6097" w:rsidRDefault="002D5398" w:rsidP="002D5398">
      <w:pPr>
        <w:pStyle w:val="JUDGMENTNUMBERED"/>
        <w:numPr>
          <w:ilvl w:val="0"/>
          <w:numId w:val="0"/>
        </w:numPr>
        <w:ind w:left="709" w:hanging="709"/>
        <w:rPr>
          <w:lang w:val="en-ZA"/>
        </w:rPr>
      </w:pPr>
      <w:r w:rsidRPr="00AE6097">
        <w:rPr>
          <w:rFonts w:cs="Arial"/>
          <w:color w:val="000000"/>
          <w:lang w:val="en-ZA"/>
        </w:rPr>
        <w:t>[26]</w:t>
      </w:r>
      <w:r w:rsidRPr="00AE6097">
        <w:rPr>
          <w:rFonts w:cs="Arial"/>
          <w:color w:val="000000"/>
          <w:lang w:val="en-ZA"/>
        </w:rPr>
        <w:tab/>
      </w:r>
      <w:r w:rsidR="00310067" w:rsidRPr="00AE6097">
        <w:rPr>
          <w:lang w:val="en-ZA"/>
        </w:rPr>
        <w:t xml:space="preserve">Under </w:t>
      </w:r>
      <w:r w:rsidR="0059420E" w:rsidRPr="00AE6097">
        <w:rPr>
          <w:lang w:val="en-ZA"/>
        </w:rPr>
        <w:t>Rule 42(1)(a)</w:t>
      </w:r>
      <w:r w:rsidR="00DB7EFA" w:rsidRPr="00AE6097">
        <w:rPr>
          <w:lang w:val="en-ZA"/>
        </w:rPr>
        <w:t>, an applicant must show that the judgment</w:t>
      </w:r>
      <w:r w:rsidR="00612B4C" w:rsidRPr="00AE6097">
        <w:rPr>
          <w:lang w:val="en-ZA"/>
        </w:rPr>
        <w:t xml:space="preserve"> sought to be set aside was</w:t>
      </w:r>
      <w:r w:rsidR="00DB7EFA" w:rsidRPr="00AE6097">
        <w:rPr>
          <w:lang w:val="en-ZA"/>
        </w:rPr>
        <w:t xml:space="preserve"> erroneously sought or erroneously granted</w:t>
      </w:r>
      <w:r w:rsidR="00612B4C" w:rsidRPr="00AE6097">
        <w:rPr>
          <w:lang w:val="en-ZA"/>
        </w:rPr>
        <w:t>.</w:t>
      </w:r>
      <w:r w:rsidR="00D900F4" w:rsidRPr="00AE6097">
        <w:rPr>
          <w:lang w:val="en-ZA"/>
        </w:rPr>
        <w:t xml:space="preserve"> </w:t>
      </w:r>
      <w:r w:rsidR="0047789C" w:rsidRPr="00AE6097">
        <w:rPr>
          <w:lang w:val="en-ZA"/>
        </w:rPr>
        <w:t>The prin</w:t>
      </w:r>
      <w:r w:rsidR="00AD1731" w:rsidRPr="00AE6097">
        <w:rPr>
          <w:lang w:val="en-ZA"/>
        </w:rPr>
        <w:t>ciples governing rescissions under this subrule include:</w:t>
      </w:r>
      <w:r w:rsidR="00F01184" w:rsidRPr="00AE6097">
        <w:rPr>
          <w:rStyle w:val="FootnoteReference"/>
          <w:lang w:val="en-ZA"/>
        </w:rPr>
        <w:footnoteReference w:id="6"/>
      </w:r>
    </w:p>
    <w:p w14:paraId="44221E44" w14:textId="4BD04C66" w:rsidR="00955D83" w:rsidRPr="00AE6097" w:rsidRDefault="002D5398" w:rsidP="002D5398">
      <w:pPr>
        <w:pStyle w:val="JUDGMENTNUMBERED"/>
        <w:numPr>
          <w:ilvl w:val="0"/>
          <w:numId w:val="0"/>
        </w:numPr>
        <w:ind w:left="1440" w:hanging="360"/>
        <w:rPr>
          <w:lang w:val="en-ZA"/>
        </w:rPr>
      </w:pPr>
      <w:r w:rsidRPr="00AE6097">
        <w:rPr>
          <w:rFonts w:cs="Times New Roman"/>
          <w:lang w:val="en-ZA"/>
        </w:rPr>
        <w:t>1.</w:t>
      </w:r>
      <w:r w:rsidRPr="00AE6097">
        <w:rPr>
          <w:rFonts w:cs="Times New Roman"/>
          <w:lang w:val="en-ZA"/>
        </w:rPr>
        <w:tab/>
      </w:r>
      <w:r w:rsidR="00D265E4" w:rsidRPr="00AE6097">
        <w:rPr>
          <w:lang w:val="en-ZA"/>
        </w:rPr>
        <w:t xml:space="preserve">the rule caters for a mistake in the </w:t>
      </w:r>
      <w:proofErr w:type="gramStart"/>
      <w:r w:rsidR="00D265E4" w:rsidRPr="00AE6097">
        <w:rPr>
          <w:lang w:val="en-ZA"/>
        </w:rPr>
        <w:t>proceedings;</w:t>
      </w:r>
      <w:proofErr w:type="gramEnd"/>
    </w:p>
    <w:p w14:paraId="5326F5CB" w14:textId="1798610F" w:rsidR="00D265E4" w:rsidRPr="00AE6097" w:rsidRDefault="002D5398" w:rsidP="002D5398">
      <w:pPr>
        <w:pStyle w:val="JUDGMENTNUMBERED"/>
        <w:numPr>
          <w:ilvl w:val="0"/>
          <w:numId w:val="0"/>
        </w:numPr>
        <w:ind w:left="1440" w:hanging="360"/>
        <w:rPr>
          <w:lang w:val="en-ZA"/>
        </w:rPr>
      </w:pPr>
      <w:r w:rsidRPr="00AE6097">
        <w:rPr>
          <w:rFonts w:cs="Times New Roman"/>
          <w:lang w:val="en-ZA"/>
        </w:rPr>
        <w:t>2.</w:t>
      </w:r>
      <w:r w:rsidRPr="00AE6097">
        <w:rPr>
          <w:rFonts w:cs="Times New Roman"/>
          <w:lang w:val="en-ZA"/>
        </w:rPr>
        <w:tab/>
      </w:r>
      <w:r w:rsidR="003A6DA2" w:rsidRPr="00AE6097">
        <w:rPr>
          <w:lang w:val="en-ZA"/>
        </w:rPr>
        <w:t xml:space="preserve">the mistake may either be one which appears on the record of proceedings or one which subsequently becomes apparent from the information made available in an application for rescission of </w:t>
      </w:r>
      <w:proofErr w:type="gramStart"/>
      <w:r w:rsidR="003A6DA2" w:rsidRPr="00AE6097">
        <w:rPr>
          <w:lang w:val="en-ZA"/>
        </w:rPr>
        <w:t>judgment;</w:t>
      </w:r>
      <w:proofErr w:type="gramEnd"/>
    </w:p>
    <w:p w14:paraId="0909878A" w14:textId="7CB71B1F" w:rsidR="003A6DA2" w:rsidRPr="00AE6097" w:rsidRDefault="002D5398" w:rsidP="002D5398">
      <w:pPr>
        <w:pStyle w:val="JUDGMENTNUMBERED"/>
        <w:numPr>
          <w:ilvl w:val="0"/>
          <w:numId w:val="0"/>
        </w:numPr>
        <w:ind w:left="1440" w:hanging="360"/>
        <w:rPr>
          <w:lang w:val="en-ZA"/>
        </w:rPr>
      </w:pPr>
      <w:r w:rsidRPr="00AE6097">
        <w:rPr>
          <w:rFonts w:cs="Times New Roman"/>
          <w:lang w:val="en-ZA"/>
        </w:rPr>
        <w:t>3.</w:t>
      </w:r>
      <w:r w:rsidRPr="00AE6097">
        <w:rPr>
          <w:rFonts w:cs="Times New Roman"/>
          <w:lang w:val="en-ZA"/>
        </w:rPr>
        <w:tab/>
      </w:r>
      <w:r w:rsidR="00D65D97" w:rsidRPr="00AE6097">
        <w:rPr>
          <w:lang w:val="en-ZA"/>
        </w:rPr>
        <w:t xml:space="preserve">a judgment cannot be said to have been granted erroneously in the light of a subsequently disclosed defence which was not known or raised at the time of default </w:t>
      </w:r>
      <w:proofErr w:type="gramStart"/>
      <w:r w:rsidR="00D65D97" w:rsidRPr="00AE6097">
        <w:rPr>
          <w:lang w:val="en-ZA"/>
        </w:rPr>
        <w:t>judgment;</w:t>
      </w:r>
      <w:proofErr w:type="gramEnd"/>
    </w:p>
    <w:p w14:paraId="0A0EE742" w14:textId="63E253D6" w:rsidR="00382414" w:rsidRPr="00AE6097" w:rsidRDefault="002D5398" w:rsidP="002D5398">
      <w:pPr>
        <w:pStyle w:val="JUDGMENTNUMBERED"/>
        <w:numPr>
          <w:ilvl w:val="0"/>
          <w:numId w:val="0"/>
        </w:numPr>
        <w:ind w:left="1440" w:hanging="360"/>
        <w:rPr>
          <w:lang w:val="en-ZA"/>
        </w:rPr>
      </w:pPr>
      <w:r w:rsidRPr="00AE6097">
        <w:rPr>
          <w:rFonts w:cs="Times New Roman"/>
          <w:lang w:val="en-ZA"/>
        </w:rPr>
        <w:t>4.</w:t>
      </w:r>
      <w:r w:rsidRPr="00AE6097">
        <w:rPr>
          <w:rFonts w:cs="Times New Roman"/>
          <w:lang w:val="en-ZA"/>
        </w:rPr>
        <w:tab/>
      </w:r>
      <w:r w:rsidR="00382414" w:rsidRPr="00AE6097">
        <w:rPr>
          <w:lang w:val="en-ZA"/>
        </w:rPr>
        <w:t>the error may arise either in the process of seeking the judgment on the part of the applicant for default judgment or in the process of granting default judgment on the part of the court;</w:t>
      </w:r>
      <w:r w:rsidR="00035846" w:rsidRPr="00AE6097">
        <w:rPr>
          <w:lang w:val="en-ZA"/>
        </w:rPr>
        <w:t xml:space="preserve"> and,</w:t>
      </w:r>
    </w:p>
    <w:p w14:paraId="6B58E27F" w14:textId="0646C438" w:rsidR="00AD1731" w:rsidRPr="00AE6097" w:rsidRDefault="002D5398" w:rsidP="002D5398">
      <w:pPr>
        <w:pStyle w:val="JUDGMENTNUMBERED"/>
        <w:numPr>
          <w:ilvl w:val="0"/>
          <w:numId w:val="0"/>
        </w:numPr>
        <w:ind w:left="1440" w:hanging="360"/>
        <w:rPr>
          <w:lang w:val="en-ZA"/>
        </w:rPr>
      </w:pPr>
      <w:r w:rsidRPr="00AE6097">
        <w:rPr>
          <w:rFonts w:cs="Times New Roman"/>
          <w:lang w:val="en-ZA"/>
        </w:rPr>
        <w:t>5.</w:t>
      </w:r>
      <w:r w:rsidRPr="00AE6097">
        <w:rPr>
          <w:rFonts w:cs="Times New Roman"/>
          <w:lang w:val="en-ZA"/>
        </w:rPr>
        <w:tab/>
      </w:r>
      <w:r w:rsidR="00035846" w:rsidRPr="00AE6097">
        <w:rPr>
          <w:lang w:val="en-ZA"/>
        </w:rPr>
        <w:t>the applicant for rescission is not required to show, over and above the error, that there is good cause for the rescission as contemplated in rule 31(2)(b).</w:t>
      </w:r>
    </w:p>
    <w:p w14:paraId="41E05135" w14:textId="67857783" w:rsidR="00AE4012" w:rsidRPr="00AE6097" w:rsidRDefault="002D5398" w:rsidP="002D5398">
      <w:pPr>
        <w:pStyle w:val="JUDGMENTNUMBERED"/>
        <w:numPr>
          <w:ilvl w:val="0"/>
          <w:numId w:val="0"/>
        </w:numPr>
        <w:ind w:left="709" w:hanging="709"/>
        <w:rPr>
          <w:lang w:val="en-ZA"/>
        </w:rPr>
      </w:pPr>
      <w:r w:rsidRPr="00AE6097">
        <w:rPr>
          <w:rFonts w:cs="Arial"/>
          <w:color w:val="000000"/>
          <w:lang w:val="en-ZA"/>
        </w:rPr>
        <w:t>[27]</w:t>
      </w:r>
      <w:r w:rsidRPr="00AE6097">
        <w:rPr>
          <w:rFonts w:cs="Arial"/>
          <w:color w:val="000000"/>
          <w:lang w:val="en-ZA"/>
        </w:rPr>
        <w:tab/>
      </w:r>
      <w:r w:rsidR="00D900F4" w:rsidRPr="00AE6097">
        <w:rPr>
          <w:lang w:val="en-ZA"/>
        </w:rPr>
        <w:t>Once an applicant has met the requirements</w:t>
      </w:r>
      <w:r w:rsidR="00D726A4" w:rsidRPr="00AE6097">
        <w:rPr>
          <w:lang w:val="en-ZA"/>
        </w:rPr>
        <w:t xml:space="preserve"> of Rule 42(1)(a)</w:t>
      </w:r>
      <w:r w:rsidR="00D900F4" w:rsidRPr="00AE6097">
        <w:rPr>
          <w:lang w:val="en-ZA"/>
        </w:rPr>
        <w:t xml:space="preserve"> for rescission, a court is merely endowed with </w:t>
      </w:r>
      <w:r w:rsidR="005E2668" w:rsidRPr="00AE6097">
        <w:rPr>
          <w:lang w:val="en-ZA"/>
        </w:rPr>
        <w:t>the</w:t>
      </w:r>
      <w:r w:rsidR="00D900F4" w:rsidRPr="00AE6097">
        <w:rPr>
          <w:lang w:val="en-ZA"/>
        </w:rPr>
        <w:t xml:space="preserve"> discretion to rescind its order.</w:t>
      </w:r>
      <w:r w:rsidR="008D1A84">
        <w:rPr>
          <w:lang w:val="en-ZA"/>
        </w:rPr>
        <w:t xml:space="preserve"> After all, the precise wording of Rule 42 postulates that a court “may”, not “must”, rescind or vary its order—</w:t>
      </w:r>
      <w:r w:rsidR="00D900F4" w:rsidRPr="00AE6097">
        <w:rPr>
          <w:lang w:val="en-ZA"/>
        </w:rPr>
        <w:t>the rule is merely an “</w:t>
      </w:r>
      <w:r w:rsidR="00D900F4" w:rsidRPr="00AE6097">
        <w:rPr>
          <w:i/>
          <w:iCs/>
          <w:lang w:val="en-ZA"/>
        </w:rPr>
        <w:t>empowering section and does not compel the court</w:t>
      </w:r>
      <w:r w:rsidR="00D900F4" w:rsidRPr="00AE6097">
        <w:rPr>
          <w:lang w:val="en-ZA"/>
        </w:rPr>
        <w:t>” to set aside or rescind anything. This discretion must be exercised judicially.</w:t>
      </w:r>
      <w:r w:rsidR="00561934" w:rsidRPr="00AE6097">
        <w:rPr>
          <w:rStyle w:val="FootnoteReference"/>
          <w:lang w:val="en-ZA"/>
        </w:rPr>
        <w:footnoteReference w:id="7"/>
      </w:r>
      <w:r w:rsidR="004E5DFB" w:rsidRPr="00AE6097">
        <w:rPr>
          <w:lang w:val="en-ZA"/>
        </w:rPr>
        <w:t xml:space="preserve"> However, the court does not have the discretion to set aside a </w:t>
      </w:r>
      <w:r w:rsidR="004E5DFB" w:rsidRPr="00AE6097">
        <w:rPr>
          <w:lang w:val="en-ZA"/>
        </w:rPr>
        <w:lastRenderedPageBreak/>
        <w:t>judgment where</w:t>
      </w:r>
      <w:r w:rsidR="001F3B56" w:rsidRPr="00AE6097">
        <w:rPr>
          <w:lang w:val="en-ZA"/>
        </w:rPr>
        <w:t xml:space="preserve"> </w:t>
      </w:r>
      <w:r w:rsidR="000145D4" w:rsidRPr="00AE6097">
        <w:rPr>
          <w:lang w:val="en-ZA"/>
        </w:rPr>
        <w:t>none</w:t>
      </w:r>
      <w:r w:rsidR="004E5DFB" w:rsidRPr="00AE6097">
        <w:rPr>
          <w:lang w:val="en-ZA"/>
        </w:rPr>
        <w:t xml:space="preserve"> of the jurisdictional requirements contained in paragraphs (a) to (c) of the subrule exist.</w:t>
      </w:r>
      <w:r w:rsidR="004E5DFB" w:rsidRPr="00AE6097">
        <w:rPr>
          <w:rStyle w:val="FootnoteReference"/>
          <w:lang w:val="en-ZA"/>
        </w:rPr>
        <w:footnoteReference w:id="8"/>
      </w:r>
    </w:p>
    <w:p w14:paraId="468878EA" w14:textId="66B92320" w:rsidR="00DE43DF" w:rsidRPr="00AE6097" w:rsidRDefault="002D5398" w:rsidP="002D5398">
      <w:pPr>
        <w:pStyle w:val="JUDGMENTNUMBERED"/>
        <w:numPr>
          <w:ilvl w:val="0"/>
          <w:numId w:val="0"/>
        </w:numPr>
        <w:ind w:left="709" w:hanging="709"/>
        <w:rPr>
          <w:lang w:val="en-ZA"/>
        </w:rPr>
      </w:pPr>
      <w:r w:rsidRPr="00AE6097">
        <w:rPr>
          <w:rFonts w:cs="Arial"/>
          <w:color w:val="000000"/>
          <w:lang w:val="en-ZA"/>
        </w:rPr>
        <w:t>[28]</w:t>
      </w:r>
      <w:r w:rsidRPr="00AE6097">
        <w:rPr>
          <w:rFonts w:cs="Arial"/>
          <w:color w:val="000000"/>
          <w:lang w:val="en-ZA"/>
        </w:rPr>
        <w:tab/>
      </w:r>
      <w:r w:rsidR="0033241D" w:rsidRPr="00AE6097">
        <w:rPr>
          <w:lang w:val="en-ZA"/>
        </w:rPr>
        <w:t xml:space="preserve">To succeed with his application for rescission of judgment under this subrule, the </w:t>
      </w:r>
      <w:r w:rsidR="008605C6" w:rsidRPr="00AE6097">
        <w:rPr>
          <w:i/>
          <w:iCs/>
          <w:lang w:val="en-ZA"/>
        </w:rPr>
        <w:t>onus</w:t>
      </w:r>
      <w:r w:rsidR="008605C6" w:rsidRPr="00AE6097">
        <w:rPr>
          <w:lang w:val="en-ZA"/>
        </w:rPr>
        <w:t xml:space="preserve"> is on the applicant to show that</w:t>
      </w:r>
      <w:r w:rsidR="00B57241" w:rsidRPr="00AE6097">
        <w:rPr>
          <w:lang w:val="en-ZA"/>
        </w:rPr>
        <w:t xml:space="preserve"> there was a</w:t>
      </w:r>
      <w:r w:rsidR="008605C6" w:rsidRPr="00AE6097">
        <w:rPr>
          <w:lang w:val="en-ZA"/>
        </w:rPr>
        <w:t xml:space="preserve"> </w:t>
      </w:r>
      <w:r w:rsidR="00B57241" w:rsidRPr="00AE6097">
        <w:rPr>
          <w:lang w:val="en-ZA"/>
        </w:rPr>
        <w:t>mistake</w:t>
      </w:r>
      <w:r w:rsidR="00BE642A" w:rsidRPr="00AE6097">
        <w:rPr>
          <w:lang w:val="en-ZA"/>
        </w:rPr>
        <w:t xml:space="preserve"> that </w:t>
      </w:r>
      <w:r w:rsidR="00B57241" w:rsidRPr="00AE6097">
        <w:rPr>
          <w:lang w:val="en-ZA"/>
        </w:rPr>
        <w:t xml:space="preserve">appears </w:t>
      </w:r>
      <w:r w:rsidR="00886886" w:rsidRPr="00AE6097">
        <w:rPr>
          <w:lang w:val="en-ZA"/>
        </w:rPr>
        <w:t xml:space="preserve">from </w:t>
      </w:r>
      <w:r w:rsidR="00B57241" w:rsidRPr="00AE6097">
        <w:rPr>
          <w:lang w:val="en-ZA"/>
        </w:rPr>
        <w:t xml:space="preserve">the record of proceedings or </w:t>
      </w:r>
      <w:r w:rsidR="00886886" w:rsidRPr="00AE6097">
        <w:rPr>
          <w:lang w:val="en-ZA"/>
        </w:rPr>
        <w:t>to advance grounds</w:t>
      </w:r>
      <w:r w:rsidR="00C22A3A" w:rsidRPr="00AE6097">
        <w:rPr>
          <w:lang w:val="en-ZA"/>
        </w:rPr>
        <w:t xml:space="preserve"> from which the mistake </w:t>
      </w:r>
      <w:r w:rsidR="00B57241" w:rsidRPr="00AE6097">
        <w:rPr>
          <w:lang w:val="en-ZA"/>
        </w:rPr>
        <w:t>becomes apparent</w:t>
      </w:r>
      <w:r w:rsidR="00C22A3A" w:rsidRPr="00AE6097">
        <w:rPr>
          <w:lang w:val="en-ZA"/>
        </w:rPr>
        <w:t>.</w:t>
      </w:r>
    </w:p>
    <w:p w14:paraId="5EAFFEFF" w14:textId="4A4F7E9D" w:rsidR="00B73528" w:rsidRPr="00AE6097" w:rsidRDefault="002D5398" w:rsidP="002D5398">
      <w:pPr>
        <w:pStyle w:val="JUDGMENTNUMBERED"/>
        <w:numPr>
          <w:ilvl w:val="0"/>
          <w:numId w:val="0"/>
        </w:numPr>
        <w:ind w:left="709" w:hanging="709"/>
        <w:rPr>
          <w:lang w:val="en-ZA"/>
        </w:rPr>
      </w:pPr>
      <w:r w:rsidRPr="00AE6097">
        <w:rPr>
          <w:rFonts w:cs="Arial"/>
          <w:color w:val="000000"/>
          <w:lang w:val="en-ZA"/>
        </w:rPr>
        <w:t>[29]</w:t>
      </w:r>
      <w:r w:rsidRPr="00AE6097">
        <w:rPr>
          <w:rFonts w:cs="Arial"/>
          <w:color w:val="000000"/>
          <w:lang w:val="en-ZA"/>
        </w:rPr>
        <w:tab/>
      </w:r>
      <w:r w:rsidR="00B73528" w:rsidRPr="00AE6097">
        <w:rPr>
          <w:lang w:val="en-ZA"/>
        </w:rPr>
        <w:t xml:space="preserve">As stated, the applicant failed to </w:t>
      </w:r>
      <w:r w:rsidR="007A34BA">
        <w:rPr>
          <w:lang w:val="en-ZA"/>
        </w:rPr>
        <w:t>argue</w:t>
      </w:r>
      <w:r w:rsidR="000A664D">
        <w:rPr>
          <w:lang w:val="en-ZA"/>
        </w:rPr>
        <w:t xml:space="preserve"> that the default judgment had been granted because of a mistake in the proceedings' record</w:t>
      </w:r>
      <w:r w:rsidR="00B73528" w:rsidRPr="00AE6097">
        <w:rPr>
          <w:lang w:val="en-ZA"/>
        </w:rPr>
        <w:t>.</w:t>
      </w:r>
    </w:p>
    <w:p w14:paraId="193D7062" w14:textId="61B72691" w:rsidR="000C30CA" w:rsidRPr="00AE6097" w:rsidRDefault="002D5398" w:rsidP="002D5398">
      <w:pPr>
        <w:pStyle w:val="JUDGMENTNUMBERED"/>
        <w:numPr>
          <w:ilvl w:val="0"/>
          <w:numId w:val="0"/>
        </w:numPr>
        <w:ind w:left="709" w:hanging="709"/>
        <w:rPr>
          <w:lang w:val="en-ZA"/>
        </w:rPr>
      </w:pPr>
      <w:r w:rsidRPr="00AE6097">
        <w:rPr>
          <w:rFonts w:cs="Arial"/>
          <w:color w:val="000000"/>
          <w:lang w:val="en-ZA"/>
        </w:rPr>
        <w:t>[30]</w:t>
      </w:r>
      <w:r w:rsidRPr="00AE6097">
        <w:rPr>
          <w:rFonts w:cs="Arial"/>
          <w:color w:val="000000"/>
          <w:lang w:val="en-ZA"/>
        </w:rPr>
        <w:tab/>
      </w:r>
      <w:r w:rsidR="00B73528" w:rsidRPr="00AE6097">
        <w:rPr>
          <w:lang w:val="en-ZA"/>
        </w:rPr>
        <w:t>None of the</w:t>
      </w:r>
      <w:r w:rsidR="000C30CA" w:rsidRPr="00AE6097">
        <w:rPr>
          <w:lang w:val="en-ZA"/>
        </w:rPr>
        <w:t xml:space="preserve"> four grounds </w:t>
      </w:r>
      <w:r w:rsidR="003E46FE">
        <w:rPr>
          <w:lang w:val="en-ZA"/>
        </w:rPr>
        <w:t>the applicant relies on</w:t>
      </w:r>
      <w:r w:rsidR="000C30CA" w:rsidRPr="00AE6097">
        <w:rPr>
          <w:lang w:val="en-ZA"/>
        </w:rPr>
        <w:t xml:space="preserve"> in his founding affidavit (lack of </w:t>
      </w:r>
      <w:r w:rsidR="004B128F" w:rsidRPr="00AE6097">
        <w:rPr>
          <w:lang w:val="en-ZA"/>
        </w:rPr>
        <w:t xml:space="preserve">jurisdiction, lack of understanding </w:t>
      </w:r>
      <w:r w:rsidR="00E411FF">
        <w:rPr>
          <w:lang w:val="en-ZA"/>
        </w:rPr>
        <w:t xml:space="preserve">and </w:t>
      </w:r>
      <w:r w:rsidR="00B5090A">
        <w:rPr>
          <w:lang w:val="en-ZA"/>
        </w:rPr>
        <w:t>no mutual assent</w:t>
      </w:r>
      <w:r w:rsidR="004B128F" w:rsidRPr="00AE6097">
        <w:rPr>
          <w:lang w:val="en-ZA"/>
        </w:rPr>
        <w:t>, failure to conduct a credit assessment</w:t>
      </w:r>
      <w:r w:rsidR="00E66A9F" w:rsidRPr="00AE6097">
        <w:rPr>
          <w:lang w:val="en-ZA"/>
        </w:rPr>
        <w:t xml:space="preserve"> or </w:t>
      </w:r>
      <w:r w:rsidR="00022E84" w:rsidRPr="00AE6097">
        <w:rPr>
          <w:lang w:val="en-ZA"/>
        </w:rPr>
        <w:t>determine a reasonable instalment) demonstrates that the default judgment was</w:t>
      </w:r>
      <w:r w:rsidR="00CA0F34" w:rsidRPr="00AE6097">
        <w:rPr>
          <w:lang w:val="en-ZA"/>
        </w:rPr>
        <w:t xml:space="preserve"> </w:t>
      </w:r>
      <w:r w:rsidR="00022E84" w:rsidRPr="00AE6097">
        <w:rPr>
          <w:lang w:val="en-ZA"/>
        </w:rPr>
        <w:t>granted mistakenly.</w:t>
      </w:r>
    </w:p>
    <w:p w14:paraId="46E8AF59" w14:textId="5DFD83D3" w:rsidR="000D1240" w:rsidRPr="00AE6097" w:rsidRDefault="002D5398" w:rsidP="002D5398">
      <w:pPr>
        <w:pStyle w:val="JUDGMENTNUMBERED"/>
        <w:numPr>
          <w:ilvl w:val="0"/>
          <w:numId w:val="0"/>
        </w:numPr>
        <w:ind w:left="709" w:hanging="709"/>
        <w:rPr>
          <w:lang w:val="en-ZA"/>
        </w:rPr>
      </w:pPr>
      <w:r w:rsidRPr="00AE6097">
        <w:rPr>
          <w:rFonts w:cs="Arial"/>
          <w:color w:val="000000"/>
          <w:lang w:val="en-ZA"/>
        </w:rPr>
        <w:t>[31]</w:t>
      </w:r>
      <w:r w:rsidRPr="00AE6097">
        <w:rPr>
          <w:rFonts w:cs="Arial"/>
          <w:color w:val="000000"/>
          <w:lang w:val="en-ZA"/>
        </w:rPr>
        <w:tab/>
      </w:r>
      <w:r w:rsidR="00022E84" w:rsidRPr="00AE6097">
        <w:rPr>
          <w:lang w:val="en-ZA"/>
        </w:rPr>
        <w:t>For these reasons, the court finds that the application for re</w:t>
      </w:r>
      <w:r w:rsidR="00ED24BE" w:rsidRPr="00AE6097">
        <w:rPr>
          <w:lang w:val="en-ZA"/>
        </w:rPr>
        <w:t>scission of judgment</w:t>
      </w:r>
      <w:r w:rsidR="000D1240" w:rsidRPr="00AE6097">
        <w:rPr>
          <w:lang w:val="en-ZA"/>
        </w:rPr>
        <w:t xml:space="preserve"> should not succeed, </w:t>
      </w:r>
      <w:proofErr w:type="gramStart"/>
      <w:r w:rsidR="000D1240" w:rsidRPr="00AE6097">
        <w:rPr>
          <w:lang w:val="en-ZA"/>
        </w:rPr>
        <w:t>inasmuc</w:t>
      </w:r>
      <w:r w:rsidR="00F16FA7">
        <w:rPr>
          <w:lang w:val="en-ZA"/>
        </w:rPr>
        <w:t>h</w:t>
      </w:r>
      <w:r w:rsidR="000D1240" w:rsidRPr="00AE6097">
        <w:rPr>
          <w:lang w:val="en-ZA"/>
        </w:rPr>
        <w:t xml:space="preserve"> </w:t>
      </w:r>
      <w:r w:rsidR="00B5090A">
        <w:rPr>
          <w:lang w:val="en-ZA"/>
        </w:rPr>
        <w:t>as</w:t>
      </w:r>
      <w:proofErr w:type="gramEnd"/>
      <w:r w:rsidR="00B5090A">
        <w:rPr>
          <w:lang w:val="en-ZA"/>
        </w:rPr>
        <w:t xml:space="preserve"> </w:t>
      </w:r>
      <w:r w:rsidR="000D1240" w:rsidRPr="00AE6097">
        <w:rPr>
          <w:lang w:val="en-ZA"/>
        </w:rPr>
        <w:t>i</w:t>
      </w:r>
      <w:r w:rsidR="00E411FF">
        <w:rPr>
          <w:lang w:val="en-ZA"/>
        </w:rPr>
        <w:t>t</w:t>
      </w:r>
      <w:r w:rsidR="000D1240" w:rsidRPr="00AE6097">
        <w:rPr>
          <w:lang w:val="en-ZA"/>
        </w:rPr>
        <w:t xml:space="preserve"> is based on the provisions of Uniform Rule 42(1)(a)</w:t>
      </w:r>
      <w:r w:rsidR="00D66401" w:rsidRPr="00AE6097">
        <w:rPr>
          <w:lang w:val="en-ZA"/>
        </w:rPr>
        <w:t>.</w:t>
      </w:r>
    </w:p>
    <w:p w14:paraId="1306255F" w14:textId="77777777" w:rsidR="00983CB1" w:rsidRPr="00AE6097" w:rsidRDefault="00983CB1" w:rsidP="00983CB1">
      <w:pPr>
        <w:pStyle w:val="JUDGMENTCONTINUED"/>
        <w:rPr>
          <w:lang w:val="en-ZA"/>
        </w:rPr>
      </w:pPr>
    </w:p>
    <w:p w14:paraId="14AEE76E" w14:textId="6B245D2B" w:rsidR="00C862FE" w:rsidRPr="00AE6097" w:rsidRDefault="00312F58" w:rsidP="008B3951">
      <w:pPr>
        <w:pStyle w:val="JudgmentHeading"/>
        <w:rPr>
          <w:lang w:val="en-ZA"/>
        </w:rPr>
      </w:pPr>
      <w:r w:rsidRPr="00AE6097">
        <w:rPr>
          <w:lang w:val="en-ZA"/>
        </w:rPr>
        <w:t>Rescission Under Rule 31(2)(b) or the Common Law</w:t>
      </w:r>
    </w:p>
    <w:p w14:paraId="17D262BF" w14:textId="6E8ACD93" w:rsidR="00E356EA" w:rsidRPr="00AE6097" w:rsidRDefault="002D5398" w:rsidP="002D5398">
      <w:pPr>
        <w:pStyle w:val="JUDGMENTNUMBERED"/>
        <w:numPr>
          <w:ilvl w:val="0"/>
          <w:numId w:val="0"/>
        </w:numPr>
        <w:ind w:left="709" w:hanging="709"/>
        <w:rPr>
          <w:lang w:val="en-ZA"/>
        </w:rPr>
      </w:pPr>
      <w:r w:rsidRPr="00AE6097">
        <w:rPr>
          <w:rFonts w:cs="Arial"/>
          <w:color w:val="000000"/>
          <w:lang w:val="en-ZA"/>
        </w:rPr>
        <w:t>[32]</w:t>
      </w:r>
      <w:r w:rsidRPr="00AE6097">
        <w:rPr>
          <w:rFonts w:cs="Arial"/>
          <w:color w:val="000000"/>
          <w:lang w:val="en-ZA"/>
        </w:rPr>
        <w:tab/>
      </w:r>
      <w:r w:rsidR="00970549" w:rsidRPr="00AE6097">
        <w:rPr>
          <w:lang w:val="en-ZA"/>
        </w:rPr>
        <w:t>I</w:t>
      </w:r>
      <w:r w:rsidR="0051598D" w:rsidRPr="00AE6097">
        <w:rPr>
          <w:lang w:val="en-ZA"/>
        </w:rPr>
        <w:t xml:space="preserve">t is trite law that </w:t>
      </w:r>
      <w:r w:rsidR="00305422" w:rsidRPr="00AE6097">
        <w:rPr>
          <w:lang w:val="en-ZA"/>
        </w:rPr>
        <w:t>applications for rescission of judgment under Rule 31(2)(b) and the Common Law</w:t>
      </w:r>
      <w:r w:rsidR="00E31F34">
        <w:rPr>
          <w:lang w:val="en-ZA"/>
        </w:rPr>
        <w:t xml:space="preserve"> require </w:t>
      </w:r>
      <w:r w:rsidR="00305422" w:rsidRPr="00AE6097">
        <w:rPr>
          <w:lang w:val="en-ZA"/>
        </w:rPr>
        <w:t xml:space="preserve">an applicant to show </w:t>
      </w:r>
      <w:r w:rsidR="00004F6F" w:rsidRPr="00AE6097">
        <w:rPr>
          <w:lang w:val="en-ZA"/>
        </w:rPr>
        <w:t>‘</w:t>
      </w:r>
      <w:r w:rsidR="00305422" w:rsidRPr="00AE6097">
        <w:rPr>
          <w:lang w:val="en-ZA"/>
        </w:rPr>
        <w:t>good cause</w:t>
      </w:r>
      <w:r w:rsidR="00970549" w:rsidRPr="00AE6097">
        <w:rPr>
          <w:lang w:val="en-ZA"/>
        </w:rPr>
        <w:t>’</w:t>
      </w:r>
      <w:r w:rsidR="00305422" w:rsidRPr="00AE6097">
        <w:rPr>
          <w:lang w:val="en-ZA"/>
        </w:rPr>
        <w:t>.</w:t>
      </w:r>
    </w:p>
    <w:p w14:paraId="43944FA6" w14:textId="03F87AC7" w:rsidR="007B630B" w:rsidRPr="00AE6097" w:rsidRDefault="002D5398" w:rsidP="002D5398">
      <w:pPr>
        <w:pStyle w:val="JUDGMENTNUMBERED"/>
        <w:numPr>
          <w:ilvl w:val="0"/>
          <w:numId w:val="0"/>
        </w:numPr>
        <w:ind w:left="709" w:hanging="709"/>
        <w:rPr>
          <w:rFonts w:ascii="Verdana" w:hAnsi="Verdana"/>
          <w:color w:val="242121"/>
          <w:sz w:val="27"/>
          <w:szCs w:val="27"/>
          <w:lang w:val="en-ZA"/>
        </w:rPr>
      </w:pPr>
      <w:r w:rsidRPr="00AE6097">
        <w:rPr>
          <w:rFonts w:cs="Arial"/>
          <w:color w:val="000000"/>
          <w:sz w:val="27"/>
          <w:szCs w:val="27"/>
          <w:lang w:val="en-ZA"/>
        </w:rPr>
        <w:t>[33]</w:t>
      </w:r>
      <w:r w:rsidRPr="00AE6097">
        <w:rPr>
          <w:rFonts w:cs="Arial"/>
          <w:color w:val="000000"/>
          <w:sz w:val="27"/>
          <w:szCs w:val="27"/>
          <w:lang w:val="en-ZA"/>
        </w:rPr>
        <w:tab/>
      </w:r>
      <w:r w:rsidR="00D4328F" w:rsidRPr="00AE6097">
        <w:rPr>
          <w:lang w:val="en-ZA"/>
        </w:rPr>
        <w:t>In </w:t>
      </w:r>
      <w:r w:rsidR="00D4328F" w:rsidRPr="00AE6097">
        <w:rPr>
          <w:i/>
          <w:iCs/>
          <w:lang w:val="en-ZA"/>
        </w:rPr>
        <w:t>Colyn v Tiger Food Industries Ltd t/a Meadow Feed Mills (Cape)</w:t>
      </w:r>
      <w:r w:rsidR="00970549" w:rsidRPr="00AE6097">
        <w:rPr>
          <w:rStyle w:val="FootnoteReference"/>
          <w:i/>
          <w:iCs/>
          <w:lang w:val="en-ZA"/>
        </w:rPr>
        <w:footnoteReference w:id="9"/>
      </w:r>
      <w:r w:rsidR="00D4328F" w:rsidRPr="00AE6097">
        <w:rPr>
          <w:lang w:val="en-ZA"/>
        </w:rPr>
        <w:t>, the court explained the approach as follows:</w:t>
      </w:r>
    </w:p>
    <w:p w14:paraId="255B00C4" w14:textId="06038B46" w:rsidR="00D4328F" w:rsidRPr="00AE6097" w:rsidRDefault="007B630B" w:rsidP="007B630B">
      <w:pPr>
        <w:pStyle w:val="JUDGMENTNUMBERED"/>
        <w:numPr>
          <w:ilvl w:val="0"/>
          <w:numId w:val="0"/>
        </w:numPr>
        <w:spacing w:line="276" w:lineRule="auto"/>
        <w:ind w:left="1440"/>
        <w:rPr>
          <w:rFonts w:ascii="Verdana" w:hAnsi="Verdana"/>
          <w:i/>
          <w:iCs/>
          <w:color w:val="242121"/>
          <w:sz w:val="27"/>
          <w:szCs w:val="27"/>
          <w:lang w:val="en-ZA"/>
        </w:rPr>
      </w:pPr>
      <w:r w:rsidRPr="00AE6097">
        <w:rPr>
          <w:lang w:val="en-ZA"/>
        </w:rPr>
        <w:t>“</w:t>
      </w:r>
      <w:r w:rsidR="00D4328F" w:rsidRPr="00AE6097">
        <w:rPr>
          <w:i/>
          <w:iCs/>
          <w:lang w:val="en-ZA"/>
        </w:rPr>
        <w:t>In order to succeed</w:t>
      </w:r>
      <w:r w:rsidR="00E31F34">
        <w:rPr>
          <w:i/>
          <w:iCs/>
          <w:lang w:val="en-ZA"/>
        </w:rPr>
        <w:t>,</w:t>
      </w:r>
      <w:r w:rsidR="00D4328F" w:rsidRPr="00AE6097">
        <w:rPr>
          <w:i/>
          <w:iCs/>
          <w:lang w:val="en-ZA"/>
        </w:rPr>
        <w:t xml:space="preserve"> an applicant for rescission of a judgment taken against him by default must show good cause.  The authorities emphasise that it is unwise to give a precise meaning to term “good cause”. As Smalberger J put it in HDS Construction (Pty) Ltd v Wait: when dealing with words such as ‘good cause’ and “sufficient cause” in other Rules and enactments the Appellate Division has refrained from attempting an exhaustive definition of their meaning in order not to abridge or fetter in any way the wide discretion implied by these </w:t>
      </w:r>
      <w:r w:rsidR="00D4328F" w:rsidRPr="00AE6097">
        <w:rPr>
          <w:i/>
          <w:iCs/>
          <w:lang w:val="en-ZA"/>
        </w:rPr>
        <w:lastRenderedPageBreak/>
        <w:t>words.  The court’s discretion must be exercised after a proper consideration of all the relevant circumstances.”</w:t>
      </w:r>
    </w:p>
    <w:p w14:paraId="2F39233D" w14:textId="77777777" w:rsidR="00D4328F" w:rsidRPr="00AE6097" w:rsidRDefault="00D4328F" w:rsidP="007B630B">
      <w:pPr>
        <w:spacing w:line="276" w:lineRule="auto"/>
        <w:ind w:left="1440"/>
        <w:rPr>
          <w:rFonts w:ascii="Verdana" w:hAnsi="Verdana"/>
          <w:sz w:val="27"/>
          <w:szCs w:val="27"/>
          <w:lang w:val="en-ZA"/>
        </w:rPr>
      </w:pPr>
      <w:r w:rsidRPr="00AE6097">
        <w:rPr>
          <w:i/>
          <w:iCs/>
          <w:lang w:val="en-ZA"/>
        </w:rPr>
        <w:t>With that as the underlying approach the courts generally expect an applicant to show good cause (a) by giving a reasonable explanation of his default; (b) by showing that his application is made bona fide; (c) by showing that he has a bona fide defence to the plaintiff’s claim which prima facie has some prospects, of success.</w:t>
      </w:r>
      <w:r w:rsidRPr="00AE6097">
        <w:rPr>
          <w:lang w:val="en-ZA"/>
        </w:rPr>
        <w:t>”</w:t>
      </w:r>
    </w:p>
    <w:p w14:paraId="08F28C11" w14:textId="0D11EE87" w:rsidR="00983CB1" w:rsidRPr="00AE6097" w:rsidRDefault="002D5398" w:rsidP="002D5398">
      <w:pPr>
        <w:pStyle w:val="JUDGMENTNUMBERED"/>
        <w:numPr>
          <w:ilvl w:val="0"/>
          <w:numId w:val="0"/>
        </w:numPr>
        <w:ind w:left="709" w:hanging="709"/>
        <w:rPr>
          <w:lang w:val="en-ZA"/>
        </w:rPr>
      </w:pPr>
      <w:r w:rsidRPr="00AE6097">
        <w:rPr>
          <w:rFonts w:cs="Arial"/>
          <w:color w:val="000000"/>
          <w:lang w:val="en-ZA"/>
        </w:rPr>
        <w:t>[34]</w:t>
      </w:r>
      <w:r w:rsidRPr="00AE6097">
        <w:rPr>
          <w:rFonts w:cs="Arial"/>
          <w:color w:val="000000"/>
          <w:lang w:val="en-ZA"/>
        </w:rPr>
        <w:tab/>
      </w:r>
      <w:r w:rsidR="003639A1" w:rsidRPr="00AE6097">
        <w:rPr>
          <w:lang w:val="en-ZA"/>
        </w:rPr>
        <w:t>Applied to the instant application, the inquiry engages the issues of wil</w:t>
      </w:r>
      <w:r w:rsidR="00AE6097" w:rsidRPr="00AE6097">
        <w:rPr>
          <w:lang w:val="en-ZA"/>
        </w:rPr>
        <w:t>ful default and the alleged grounds for rescission raised by the applicant.</w:t>
      </w:r>
    </w:p>
    <w:p w14:paraId="7CE52F8A" w14:textId="77777777" w:rsidR="003639A1" w:rsidRPr="00AE6097" w:rsidRDefault="003639A1" w:rsidP="003639A1">
      <w:pPr>
        <w:pStyle w:val="JUDGMENTCONTINUED"/>
        <w:rPr>
          <w:lang w:val="en-ZA"/>
        </w:rPr>
      </w:pPr>
    </w:p>
    <w:p w14:paraId="1AB4D2D1" w14:textId="37363AFE" w:rsidR="00022E84" w:rsidRPr="00AE6097" w:rsidRDefault="003F5300" w:rsidP="000D1240">
      <w:pPr>
        <w:pStyle w:val="JudgmentHeading"/>
        <w:rPr>
          <w:lang w:val="en-ZA"/>
        </w:rPr>
      </w:pPr>
      <w:r w:rsidRPr="00AE6097">
        <w:rPr>
          <w:lang w:val="en-ZA"/>
        </w:rPr>
        <w:t>Wilful default</w:t>
      </w:r>
      <w:r w:rsidR="00ED24BE" w:rsidRPr="00AE6097">
        <w:rPr>
          <w:lang w:val="en-ZA"/>
        </w:rPr>
        <w:t xml:space="preserve"> </w:t>
      </w:r>
    </w:p>
    <w:p w14:paraId="28C5C941" w14:textId="310AF97D" w:rsidR="00366814" w:rsidRPr="00AE6097" w:rsidRDefault="002D5398" w:rsidP="002D5398">
      <w:pPr>
        <w:pStyle w:val="JUDGMENTNUMBERED"/>
        <w:numPr>
          <w:ilvl w:val="0"/>
          <w:numId w:val="0"/>
        </w:numPr>
        <w:ind w:left="709" w:hanging="709"/>
        <w:rPr>
          <w:lang w:val="en-ZA"/>
        </w:rPr>
      </w:pPr>
      <w:r w:rsidRPr="00AE6097">
        <w:rPr>
          <w:rFonts w:cs="Arial"/>
          <w:color w:val="000000"/>
          <w:lang w:val="en-ZA"/>
        </w:rPr>
        <w:t>[35]</w:t>
      </w:r>
      <w:r w:rsidRPr="00AE6097">
        <w:rPr>
          <w:rFonts w:cs="Arial"/>
          <w:color w:val="000000"/>
          <w:lang w:val="en-ZA"/>
        </w:rPr>
        <w:tab/>
      </w:r>
      <w:r w:rsidR="00366814" w:rsidRPr="00AE6097">
        <w:rPr>
          <w:lang w:val="en-ZA"/>
        </w:rPr>
        <w:t xml:space="preserve">Considering the explanation </w:t>
      </w:r>
      <w:r w:rsidR="001E415F" w:rsidRPr="00AE6097">
        <w:rPr>
          <w:lang w:val="en-ZA"/>
        </w:rPr>
        <w:t xml:space="preserve">the applicant advanced for his failure to enter an appearance to defend, more fully referred to above, the court cannot find that the applicant was in </w:t>
      </w:r>
      <w:r w:rsidR="0086234E" w:rsidRPr="00AE6097">
        <w:rPr>
          <w:lang w:val="en-ZA"/>
        </w:rPr>
        <w:t>wilful</w:t>
      </w:r>
      <w:r w:rsidR="001E415F" w:rsidRPr="00AE6097">
        <w:rPr>
          <w:lang w:val="en-ZA"/>
        </w:rPr>
        <w:t xml:space="preserve"> default and</w:t>
      </w:r>
      <w:r w:rsidR="00882CBD" w:rsidRPr="00AE6097">
        <w:rPr>
          <w:lang w:val="en-ZA"/>
        </w:rPr>
        <w:t>, consequently</w:t>
      </w:r>
      <w:r w:rsidR="00A24C93" w:rsidRPr="00AE6097">
        <w:rPr>
          <w:lang w:val="en-ZA"/>
        </w:rPr>
        <w:t>,</w:t>
      </w:r>
      <w:r w:rsidR="001E415F" w:rsidRPr="00AE6097">
        <w:rPr>
          <w:lang w:val="en-ZA"/>
        </w:rPr>
        <w:t xml:space="preserve"> that the application should fail on this ground</w:t>
      </w:r>
      <w:r w:rsidR="00366814" w:rsidRPr="00AE6097">
        <w:rPr>
          <w:lang w:val="en-ZA"/>
        </w:rPr>
        <w:t>.</w:t>
      </w:r>
    </w:p>
    <w:p w14:paraId="28A8A038" w14:textId="77777777" w:rsidR="00792942" w:rsidRPr="00AE6097" w:rsidRDefault="00792942" w:rsidP="00792942">
      <w:pPr>
        <w:pStyle w:val="JudgmentHeading"/>
        <w:rPr>
          <w:lang w:val="en-ZA"/>
        </w:rPr>
      </w:pPr>
    </w:p>
    <w:p w14:paraId="23595B47" w14:textId="666FF7B1" w:rsidR="00792942" w:rsidRPr="00AE6097" w:rsidRDefault="00792942" w:rsidP="00792942">
      <w:pPr>
        <w:pStyle w:val="JudgmentHeading"/>
        <w:rPr>
          <w:lang w:val="en-ZA"/>
        </w:rPr>
      </w:pPr>
      <w:r w:rsidRPr="00AE6097">
        <w:rPr>
          <w:lang w:val="en-ZA"/>
        </w:rPr>
        <w:t>Jurisdiction</w:t>
      </w:r>
    </w:p>
    <w:p w14:paraId="0642EEF1" w14:textId="36A9F439" w:rsidR="00792942" w:rsidRPr="00AE6097" w:rsidRDefault="002D5398" w:rsidP="002D5398">
      <w:pPr>
        <w:pStyle w:val="JUDGMENTNUMBERED"/>
        <w:numPr>
          <w:ilvl w:val="0"/>
          <w:numId w:val="0"/>
        </w:numPr>
        <w:ind w:left="709" w:hanging="709"/>
        <w:rPr>
          <w:lang w:val="en-ZA"/>
        </w:rPr>
      </w:pPr>
      <w:r w:rsidRPr="00AE6097">
        <w:rPr>
          <w:rFonts w:cs="Arial"/>
          <w:color w:val="000000"/>
          <w:lang w:val="en-ZA"/>
        </w:rPr>
        <w:t>[36]</w:t>
      </w:r>
      <w:r w:rsidRPr="00AE6097">
        <w:rPr>
          <w:rFonts w:cs="Arial"/>
          <w:color w:val="000000"/>
          <w:lang w:val="en-ZA"/>
        </w:rPr>
        <w:tab/>
      </w:r>
      <w:r w:rsidR="00357D59" w:rsidRPr="00AE6097">
        <w:rPr>
          <w:lang w:val="en-ZA"/>
        </w:rPr>
        <w:t>The Applicant</w:t>
      </w:r>
      <w:r w:rsidR="00792942" w:rsidRPr="00AE6097">
        <w:rPr>
          <w:lang w:val="en-ZA"/>
        </w:rPr>
        <w:t xml:space="preserve"> avers that he resided in </w:t>
      </w:r>
      <w:proofErr w:type="spellStart"/>
      <w:r w:rsidR="00792942" w:rsidRPr="00AE6097">
        <w:rPr>
          <w:lang w:val="en-ZA"/>
        </w:rPr>
        <w:t>Ventersdorp</w:t>
      </w:r>
      <w:proofErr w:type="spellEnd"/>
      <w:r w:rsidR="00792942" w:rsidRPr="00AE6097">
        <w:rPr>
          <w:lang w:val="en-ZA"/>
        </w:rPr>
        <w:t>, which is outside the jurisdictional area of this court. He refers to clause 3.1 of the credit agreement, which provides that: “</w:t>
      </w:r>
      <w:r w:rsidR="00792942" w:rsidRPr="00AE6097">
        <w:rPr>
          <w:i/>
          <w:iCs/>
          <w:lang w:val="en-ZA"/>
        </w:rPr>
        <w:t xml:space="preserve">…[i]f you decide that you would like to enter into this Agreement on the terms and conditions set out in the quotation…your signature on the Quotation will constitute an </w:t>
      </w:r>
      <w:r w:rsidR="00792942" w:rsidRPr="00AE6097">
        <w:rPr>
          <w:b/>
          <w:bCs/>
          <w:i/>
          <w:iCs/>
          <w:lang w:val="en-ZA"/>
        </w:rPr>
        <w:t>offer</w:t>
      </w:r>
      <w:r w:rsidR="00792942" w:rsidRPr="00AE6097">
        <w:rPr>
          <w:i/>
          <w:iCs/>
          <w:lang w:val="en-ZA"/>
        </w:rPr>
        <w:t xml:space="preserve"> which may be accepted or declined by the credit provider.</w:t>
      </w:r>
      <w:r w:rsidR="00792942" w:rsidRPr="00AE6097">
        <w:rPr>
          <w:lang w:val="en-ZA"/>
        </w:rPr>
        <w:t xml:space="preserve">” </w:t>
      </w:r>
    </w:p>
    <w:p w14:paraId="50D53AE3" w14:textId="603043E8" w:rsidR="0027686E" w:rsidRPr="00AE6097" w:rsidRDefault="002D5398" w:rsidP="002D5398">
      <w:pPr>
        <w:pStyle w:val="JUDGMENTNUMBERED"/>
        <w:numPr>
          <w:ilvl w:val="0"/>
          <w:numId w:val="0"/>
        </w:numPr>
        <w:ind w:left="709" w:hanging="709"/>
        <w:rPr>
          <w:lang w:val="en-ZA"/>
        </w:rPr>
      </w:pPr>
      <w:r w:rsidRPr="00AE6097">
        <w:rPr>
          <w:rFonts w:cs="Arial"/>
          <w:color w:val="000000"/>
          <w:lang w:val="en-ZA"/>
        </w:rPr>
        <w:t>[37]</w:t>
      </w:r>
      <w:r w:rsidRPr="00AE6097">
        <w:rPr>
          <w:rFonts w:cs="Arial"/>
          <w:color w:val="000000"/>
          <w:lang w:val="en-ZA"/>
        </w:rPr>
        <w:tab/>
      </w:r>
      <w:r w:rsidR="00792942" w:rsidRPr="00AE6097">
        <w:rPr>
          <w:lang w:val="en-ZA"/>
        </w:rPr>
        <w:t xml:space="preserve">The applicant further refers to clause 3.2, which, according to the applicant, provides that “… </w:t>
      </w:r>
      <w:r w:rsidR="00792942" w:rsidRPr="00AE6097">
        <w:rPr>
          <w:i/>
          <w:iCs/>
          <w:lang w:val="en-ZA"/>
        </w:rPr>
        <w:t>If you are accepted, the credit provider will give you a copy of the signed quotation.</w:t>
      </w:r>
      <w:r w:rsidR="00792942" w:rsidRPr="00AE6097">
        <w:rPr>
          <w:lang w:val="en-ZA"/>
        </w:rPr>
        <w:t xml:space="preserve">” The applicant then highlights that his </w:t>
      </w:r>
      <w:r w:rsidR="00792942" w:rsidRPr="00AE6097">
        <w:rPr>
          <w:i/>
          <w:iCs/>
          <w:lang w:val="en-ZA"/>
        </w:rPr>
        <w:t>domicilium citandi et executandi</w:t>
      </w:r>
      <w:r w:rsidR="00792942" w:rsidRPr="00AE6097">
        <w:rPr>
          <w:lang w:val="en-ZA"/>
        </w:rPr>
        <w:t xml:space="preserve"> was his residential address in </w:t>
      </w:r>
      <w:proofErr w:type="spellStart"/>
      <w:r w:rsidR="00792942" w:rsidRPr="00AE6097">
        <w:rPr>
          <w:lang w:val="en-ZA"/>
        </w:rPr>
        <w:t>Ventersdorp</w:t>
      </w:r>
      <w:proofErr w:type="spellEnd"/>
      <w:r w:rsidR="00792942" w:rsidRPr="00AE6097">
        <w:rPr>
          <w:lang w:val="en-ZA"/>
        </w:rPr>
        <w:t xml:space="preserve">, and he made payment at </w:t>
      </w:r>
      <w:proofErr w:type="spellStart"/>
      <w:r w:rsidR="00792942" w:rsidRPr="00AE6097">
        <w:rPr>
          <w:lang w:val="en-ZA"/>
        </w:rPr>
        <w:t>Ventersdorp</w:t>
      </w:r>
      <w:proofErr w:type="spellEnd"/>
      <w:r w:rsidR="00792942" w:rsidRPr="00AE6097">
        <w:rPr>
          <w:lang w:val="en-ZA"/>
        </w:rPr>
        <w:t>.</w:t>
      </w:r>
      <w:r w:rsidR="00824503" w:rsidRPr="00AE6097">
        <w:rPr>
          <w:lang w:val="en-ZA"/>
        </w:rPr>
        <w:t xml:space="preserve"> The applicant contends that he could only have taken notice of the acceptance of the offer</w:t>
      </w:r>
      <w:r w:rsidR="007E3963" w:rsidRPr="00AE6097">
        <w:rPr>
          <w:lang w:val="en-ZA"/>
        </w:rPr>
        <w:t>, and the credit agreement</w:t>
      </w:r>
      <w:r w:rsidR="00CC0E9C" w:rsidRPr="00AE6097">
        <w:rPr>
          <w:lang w:val="en-ZA"/>
        </w:rPr>
        <w:t xml:space="preserve"> could</w:t>
      </w:r>
      <w:r w:rsidR="007E3963" w:rsidRPr="00AE6097">
        <w:rPr>
          <w:lang w:val="en-ZA"/>
        </w:rPr>
        <w:t xml:space="preserve"> only</w:t>
      </w:r>
      <w:r w:rsidR="00EB5C42" w:rsidRPr="00AE6097">
        <w:rPr>
          <w:lang w:val="en-ZA"/>
        </w:rPr>
        <w:t xml:space="preserve"> have</w:t>
      </w:r>
      <w:r w:rsidR="007E3963" w:rsidRPr="00AE6097">
        <w:rPr>
          <w:lang w:val="en-ZA"/>
        </w:rPr>
        <w:t xml:space="preserve"> bec</w:t>
      </w:r>
      <w:r w:rsidR="00423F71" w:rsidRPr="00AE6097">
        <w:rPr>
          <w:lang w:val="en-ZA"/>
        </w:rPr>
        <w:t>o</w:t>
      </w:r>
      <w:r w:rsidR="007E3963" w:rsidRPr="00AE6097">
        <w:rPr>
          <w:lang w:val="en-ZA"/>
        </w:rPr>
        <w:t>me “</w:t>
      </w:r>
      <w:r w:rsidR="007E3963" w:rsidRPr="00AE6097">
        <w:rPr>
          <w:i/>
          <w:iCs/>
          <w:lang w:val="en-ZA"/>
        </w:rPr>
        <w:t>a contract</w:t>
      </w:r>
      <w:r w:rsidR="007E3963" w:rsidRPr="00AE6097">
        <w:rPr>
          <w:lang w:val="en-ZA"/>
        </w:rPr>
        <w:t xml:space="preserve">” </w:t>
      </w:r>
      <w:r w:rsidR="00423F71" w:rsidRPr="00AE6097">
        <w:rPr>
          <w:lang w:val="en-ZA"/>
        </w:rPr>
        <w:t>upon</w:t>
      </w:r>
      <w:r w:rsidR="00EB5C42" w:rsidRPr="00AE6097">
        <w:rPr>
          <w:lang w:val="en-ZA"/>
        </w:rPr>
        <w:t xml:space="preserve"> him</w:t>
      </w:r>
      <w:r w:rsidR="00423F71" w:rsidRPr="00AE6097">
        <w:rPr>
          <w:lang w:val="en-ZA"/>
        </w:rPr>
        <w:t xml:space="preserve"> acquiring knowledge of acceptance </w:t>
      </w:r>
      <w:r w:rsidR="0027686E" w:rsidRPr="00AE6097">
        <w:rPr>
          <w:lang w:val="en-ZA"/>
        </w:rPr>
        <w:t xml:space="preserve">at </w:t>
      </w:r>
      <w:proofErr w:type="spellStart"/>
      <w:r w:rsidR="0027686E" w:rsidRPr="00AE6097">
        <w:rPr>
          <w:lang w:val="en-ZA"/>
        </w:rPr>
        <w:t>Ventersdorp</w:t>
      </w:r>
      <w:proofErr w:type="spellEnd"/>
      <w:r w:rsidR="0027686E" w:rsidRPr="00AE6097">
        <w:rPr>
          <w:lang w:val="en-ZA"/>
        </w:rPr>
        <w:t>.</w:t>
      </w:r>
    </w:p>
    <w:p w14:paraId="5E70F571" w14:textId="4C4A79D2" w:rsidR="004C2774" w:rsidRPr="00AE6097" w:rsidRDefault="002D5398" w:rsidP="002D5398">
      <w:pPr>
        <w:pStyle w:val="JUDGMENTNUMBERED"/>
        <w:numPr>
          <w:ilvl w:val="0"/>
          <w:numId w:val="0"/>
        </w:numPr>
        <w:ind w:left="709" w:hanging="709"/>
        <w:rPr>
          <w:lang w:val="en-ZA"/>
        </w:rPr>
      </w:pPr>
      <w:r w:rsidRPr="00AE6097">
        <w:rPr>
          <w:rFonts w:cs="Arial"/>
          <w:color w:val="000000"/>
          <w:lang w:val="en-ZA"/>
        </w:rPr>
        <w:lastRenderedPageBreak/>
        <w:t>[38]</w:t>
      </w:r>
      <w:r w:rsidRPr="00AE6097">
        <w:rPr>
          <w:rFonts w:cs="Arial"/>
          <w:color w:val="000000"/>
          <w:lang w:val="en-ZA"/>
        </w:rPr>
        <w:tab/>
      </w:r>
      <w:r w:rsidR="004C2774" w:rsidRPr="00AE6097">
        <w:rPr>
          <w:lang w:val="en-ZA"/>
        </w:rPr>
        <w:t xml:space="preserve">The pertinent question is when the credit agreement became </w:t>
      </w:r>
      <w:r w:rsidR="00881D7D" w:rsidRPr="00AE6097">
        <w:rPr>
          <w:lang w:val="en-ZA"/>
        </w:rPr>
        <w:t>legally effective.</w:t>
      </w:r>
      <w:r w:rsidR="0091088E" w:rsidRPr="00AE6097">
        <w:rPr>
          <w:lang w:val="en-ZA"/>
        </w:rPr>
        <w:t xml:space="preserve"> More particularly, whether</w:t>
      </w:r>
      <w:r w:rsidR="0000325A" w:rsidRPr="00AE6097">
        <w:rPr>
          <w:lang w:val="en-ZA"/>
        </w:rPr>
        <w:t xml:space="preserve">, on the terms of the document, the </w:t>
      </w:r>
      <w:r w:rsidR="00F4581C" w:rsidRPr="00AE6097">
        <w:rPr>
          <w:lang w:val="en-ZA"/>
        </w:rPr>
        <w:t xml:space="preserve">credit agreement was concluded only </w:t>
      </w:r>
      <w:r w:rsidR="00C86DD7" w:rsidRPr="00AE6097">
        <w:rPr>
          <w:lang w:val="en-ZA"/>
        </w:rPr>
        <w:t>when</w:t>
      </w:r>
      <w:r w:rsidR="00A75C29" w:rsidRPr="00AE6097">
        <w:rPr>
          <w:lang w:val="en-ZA"/>
        </w:rPr>
        <w:t xml:space="preserve"> and where</w:t>
      </w:r>
      <w:r w:rsidR="00C86DD7" w:rsidRPr="00AE6097">
        <w:rPr>
          <w:lang w:val="en-ZA"/>
        </w:rPr>
        <w:t xml:space="preserve"> </w:t>
      </w:r>
      <w:r w:rsidR="00867864" w:rsidRPr="00AE6097">
        <w:rPr>
          <w:lang w:val="en-ZA"/>
        </w:rPr>
        <w:t>t</w:t>
      </w:r>
      <w:r w:rsidR="00C86DD7" w:rsidRPr="00AE6097">
        <w:rPr>
          <w:lang w:val="en-ZA"/>
        </w:rPr>
        <w:t>he</w:t>
      </w:r>
      <w:r w:rsidR="00867864" w:rsidRPr="00AE6097">
        <w:rPr>
          <w:lang w:val="en-ZA"/>
        </w:rPr>
        <w:t xml:space="preserve"> applicant</w:t>
      </w:r>
      <w:r w:rsidR="00C86DD7" w:rsidRPr="00AE6097">
        <w:rPr>
          <w:lang w:val="en-ZA"/>
        </w:rPr>
        <w:t xml:space="preserve"> was given </w:t>
      </w:r>
      <w:r w:rsidR="00C05ED8" w:rsidRPr="00AE6097">
        <w:rPr>
          <w:lang w:val="en-ZA"/>
        </w:rPr>
        <w:t>a copy of the signed quotation</w:t>
      </w:r>
      <w:r w:rsidR="00A75C29" w:rsidRPr="00AE6097">
        <w:rPr>
          <w:lang w:val="en-ZA"/>
        </w:rPr>
        <w:t xml:space="preserve"> or when </w:t>
      </w:r>
      <w:r w:rsidR="003B187A" w:rsidRPr="00AE6097">
        <w:rPr>
          <w:lang w:val="en-ZA"/>
        </w:rPr>
        <w:t xml:space="preserve">and where he was informed of the credit provider’s </w:t>
      </w:r>
      <w:r w:rsidR="00867864" w:rsidRPr="00AE6097">
        <w:rPr>
          <w:lang w:val="en-ZA"/>
        </w:rPr>
        <w:t>acceptance of the offer.</w:t>
      </w:r>
    </w:p>
    <w:p w14:paraId="0DD911C8" w14:textId="6080E7D3" w:rsidR="00884188" w:rsidRPr="00AE6097" w:rsidRDefault="002D5398" w:rsidP="002D5398">
      <w:pPr>
        <w:pStyle w:val="JUDGMENTNUMBERED"/>
        <w:numPr>
          <w:ilvl w:val="0"/>
          <w:numId w:val="0"/>
        </w:numPr>
        <w:ind w:left="709" w:hanging="709"/>
        <w:rPr>
          <w:lang w:val="en-ZA"/>
        </w:rPr>
      </w:pPr>
      <w:r w:rsidRPr="00AE6097">
        <w:rPr>
          <w:rFonts w:cs="Arial"/>
          <w:color w:val="000000"/>
          <w:lang w:val="en-ZA"/>
        </w:rPr>
        <w:t>[39]</w:t>
      </w:r>
      <w:r w:rsidRPr="00AE6097">
        <w:rPr>
          <w:rFonts w:cs="Arial"/>
          <w:color w:val="000000"/>
          <w:lang w:val="en-ZA"/>
        </w:rPr>
        <w:tab/>
      </w:r>
      <w:r w:rsidR="000C394A" w:rsidRPr="00AE6097">
        <w:rPr>
          <w:lang w:val="en-ZA"/>
        </w:rPr>
        <w:t>The applicant</w:t>
      </w:r>
      <w:r w:rsidR="001B6FFD" w:rsidRPr="00AE6097">
        <w:rPr>
          <w:lang w:val="en-ZA"/>
        </w:rPr>
        <w:t xml:space="preserve">’s </w:t>
      </w:r>
      <w:r w:rsidR="00DB511D">
        <w:rPr>
          <w:lang w:val="en-ZA"/>
        </w:rPr>
        <w:t>quotation mentioned above</w:t>
      </w:r>
      <w:r w:rsidR="00922497" w:rsidRPr="00AE6097">
        <w:rPr>
          <w:lang w:val="en-ZA"/>
        </w:rPr>
        <w:t xml:space="preserve"> from clause 3.2 is incorrect</w:t>
      </w:r>
      <w:r w:rsidR="00884188" w:rsidRPr="00AE6097">
        <w:rPr>
          <w:lang w:val="en-ZA"/>
        </w:rPr>
        <w:t xml:space="preserve">. This clause reads as follows: </w:t>
      </w:r>
    </w:p>
    <w:p w14:paraId="1FBF158F" w14:textId="5AF08482" w:rsidR="003C773F" w:rsidRPr="00AE6097" w:rsidRDefault="00884188" w:rsidP="00CE70A3">
      <w:pPr>
        <w:pStyle w:val="JUDGMENTNUMBERED"/>
        <w:numPr>
          <w:ilvl w:val="0"/>
          <w:numId w:val="0"/>
        </w:numPr>
        <w:spacing w:line="276" w:lineRule="auto"/>
        <w:ind w:left="1429" w:firstLine="11"/>
        <w:rPr>
          <w:lang w:val="en-ZA"/>
        </w:rPr>
      </w:pPr>
      <w:r w:rsidRPr="00AE6097">
        <w:rPr>
          <w:lang w:val="en-ZA"/>
        </w:rPr>
        <w:t>“</w:t>
      </w:r>
      <w:r w:rsidRPr="00AE6097">
        <w:rPr>
          <w:i/>
          <w:iCs/>
          <w:lang w:val="en-ZA"/>
        </w:rPr>
        <w:t>3.2</w:t>
      </w:r>
      <w:r w:rsidRPr="00AE6097">
        <w:rPr>
          <w:i/>
          <w:iCs/>
          <w:lang w:val="en-ZA"/>
        </w:rPr>
        <w:tab/>
        <w:t>If the credit provider accepts your offer</w:t>
      </w:r>
      <w:r w:rsidR="00680204" w:rsidRPr="00AE6097">
        <w:rPr>
          <w:i/>
          <w:iCs/>
          <w:lang w:val="en-ZA"/>
        </w:rPr>
        <w:t xml:space="preserve">, the credit provider will give you a copy of the signed Quotation </w:t>
      </w:r>
      <w:r w:rsidR="00680204" w:rsidRPr="00AE6097">
        <w:rPr>
          <w:i/>
          <w:iCs/>
          <w:u w:val="single"/>
          <w:lang w:val="en-ZA"/>
        </w:rPr>
        <w:t>to keep</w:t>
      </w:r>
      <w:r w:rsidR="00680204" w:rsidRPr="00AE6097">
        <w:rPr>
          <w:i/>
          <w:iCs/>
          <w:lang w:val="en-ZA"/>
        </w:rPr>
        <w:t>.</w:t>
      </w:r>
      <w:r w:rsidR="00AC19AF" w:rsidRPr="00AE6097">
        <w:rPr>
          <w:lang w:val="en-ZA"/>
        </w:rPr>
        <w:t xml:space="preserve"> [</w:t>
      </w:r>
      <w:r w:rsidR="00AC19AF" w:rsidRPr="00AE6097">
        <w:rPr>
          <w:i/>
          <w:iCs/>
          <w:u w:val="single"/>
          <w:lang w:val="en-ZA"/>
        </w:rPr>
        <w:t>Emphasis added</w:t>
      </w:r>
      <w:r w:rsidR="0091088E" w:rsidRPr="00AE6097">
        <w:rPr>
          <w:lang w:val="en-ZA"/>
        </w:rPr>
        <w:t>]</w:t>
      </w:r>
    </w:p>
    <w:p w14:paraId="524F55E3" w14:textId="78C9159D" w:rsidR="00792942" w:rsidRPr="00AE6097" w:rsidRDefault="00792942" w:rsidP="00792942">
      <w:pPr>
        <w:pStyle w:val="JUDGMENTCONTINUED"/>
        <w:spacing w:line="276" w:lineRule="auto"/>
        <w:ind w:left="2160" w:hanging="720"/>
        <w:rPr>
          <w:lang w:val="en-ZA"/>
        </w:rPr>
      </w:pPr>
    </w:p>
    <w:p w14:paraId="489ED2A3" w14:textId="0E4DFA1D" w:rsidR="00792942" w:rsidRPr="00AE6097" w:rsidRDefault="002D5398" w:rsidP="002D5398">
      <w:pPr>
        <w:pStyle w:val="JUDGMENTNUMBERED"/>
        <w:numPr>
          <w:ilvl w:val="0"/>
          <w:numId w:val="0"/>
        </w:numPr>
        <w:ind w:left="709" w:hanging="709"/>
        <w:rPr>
          <w:lang w:val="en-ZA"/>
        </w:rPr>
      </w:pPr>
      <w:r w:rsidRPr="00AE6097">
        <w:rPr>
          <w:rFonts w:cs="Arial"/>
          <w:color w:val="000000"/>
          <w:lang w:val="en-ZA"/>
        </w:rPr>
        <w:t>[40]</w:t>
      </w:r>
      <w:r w:rsidRPr="00AE6097">
        <w:rPr>
          <w:rFonts w:cs="Arial"/>
          <w:color w:val="000000"/>
          <w:lang w:val="en-ZA"/>
        </w:rPr>
        <w:tab/>
      </w:r>
      <w:r w:rsidR="00A03A9A" w:rsidRPr="00AE6097">
        <w:rPr>
          <w:lang w:val="en-ZA"/>
        </w:rPr>
        <w:t xml:space="preserve">Significantly, the purpose of the </w:t>
      </w:r>
      <w:r w:rsidR="00CE1067" w:rsidRPr="00AE6097">
        <w:rPr>
          <w:lang w:val="en-ZA"/>
        </w:rPr>
        <w:t>respondent providing a copy of the signed Quotation to the applicant is for hi</w:t>
      </w:r>
      <w:r w:rsidR="00AE44C1" w:rsidRPr="00AE6097">
        <w:rPr>
          <w:lang w:val="en-ZA"/>
        </w:rPr>
        <w:t>s record-keeping.</w:t>
      </w:r>
      <w:r w:rsidR="00A03A9A" w:rsidRPr="00AE6097">
        <w:rPr>
          <w:lang w:val="en-ZA"/>
        </w:rPr>
        <w:t xml:space="preserve"> </w:t>
      </w:r>
      <w:r w:rsidR="00BC646E" w:rsidRPr="00AE6097">
        <w:rPr>
          <w:lang w:val="en-ZA"/>
        </w:rPr>
        <w:t>C</w:t>
      </w:r>
      <w:r w:rsidR="00B81481" w:rsidRPr="00AE6097">
        <w:rPr>
          <w:lang w:val="en-ZA"/>
        </w:rPr>
        <w:t>lause 3.2 does not mean t</w:t>
      </w:r>
      <w:r w:rsidR="00BC646E" w:rsidRPr="00AE6097">
        <w:rPr>
          <w:lang w:val="en-ZA"/>
        </w:rPr>
        <w:t xml:space="preserve">hat the purpose of </w:t>
      </w:r>
      <w:r w:rsidR="0087039C">
        <w:rPr>
          <w:lang w:val="en-ZA"/>
        </w:rPr>
        <w:t xml:space="preserve">furnishing </w:t>
      </w:r>
      <w:r w:rsidR="00BC646E" w:rsidRPr="00AE6097">
        <w:rPr>
          <w:lang w:val="en-ZA"/>
        </w:rPr>
        <w:t xml:space="preserve">a copy of the signed </w:t>
      </w:r>
      <w:r w:rsidR="00285851" w:rsidRPr="00AE6097">
        <w:rPr>
          <w:lang w:val="en-ZA"/>
        </w:rPr>
        <w:t xml:space="preserve">Quotation to the applicant is to </w:t>
      </w:r>
      <w:r w:rsidR="0082211B" w:rsidRPr="00AE6097">
        <w:rPr>
          <w:lang w:val="en-ZA"/>
        </w:rPr>
        <w:t>constitute the</w:t>
      </w:r>
      <w:r w:rsidR="001D076F" w:rsidRPr="00AE6097">
        <w:rPr>
          <w:lang w:val="en-ZA"/>
        </w:rPr>
        <w:t xml:space="preserve"> time and place of the</w:t>
      </w:r>
      <w:r w:rsidR="0082211B" w:rsidRPr="00AE6097">
        <w:rPr>
          <w:lang w:val="en-ZA"/>
        </w:rPr>
        <w:t xml:space="preserve"> conclusion of the credit agreement</w:t>
      </w:r>
      <w:r w:rsidR="001D076F" w:rsidRPr="00AE6097">
        <w:rPr>
          <w:lang w:val="en-ZA"/>
        </w:rPr>
        <w:t>.</w:t>
      </w:r>
    </w:p>
    <w:p w14:paraId="13021AE7" w14:textId="39265314" w:rsidR="00033202" w:rsidRPr="00AE6097" w:rsidRDefault="002D5398" w:rsidP="002D5398">
      <w:pPr>
        <w:pStyle w:val="JUDGMENTNUMBERED"/>
        <w:numPr>
          <w:ilvl w:val="0"/>
          <w:numId w:val="0"/>
        </w:numPr>
        <w:ind w:left="709" w:hanging="709"/>
        <w:rPr>
          <w:lang w:val="en-ZA"/>
        </w:rPr>
      </w:pPr>
      <w:r w:rsidRPr="00AE6097">
        <w:rPr>
          <w:rFonts w:cs="Arial"/>
          <w:color w:val="000000"/>
          <w:lang w:val="en-ZA"/>
        </w:rPr>
        <w:t>[41]</w:t>
      </w:r>
      <w:r w:rsidRPr="00AE6097">
        <w:rPr>
          <w:rFonts w:cs="Arial"/>
          <w:color w:val="000000"/>
          <w:lang w:val="en-ZA"/>
        </w:rPr>
        <w:tab/>
      </w:r>
      <w:r w:rsidR="00B80F94" w:rsidRPr="00AE6097">
        <w:rPr>
          <w:lang w:val="en-ZA"/>
        </w:rPr>
        <w:t>Contrary to</w:t>
      </w:r>
      <w:r w:rsidR="00921DB7" w:rsidRPr="00AE6097">
        <w:rPr>
          <w:lang w:val="en-ZA"/>
        </w:rPr>
        <w:t xml:space="preserve"> the applicant’s contention</w:t>
      </w:r>
      <w:r w:rsidR="009B579E" w:rsidRPr="00AE6097">
        <w:rPr>
          <w:lang w:val="en-ZA"/>
        </w:rPr>
        <w:t xml:space="preserve"> [that the credit agreement could only </w:t>
      </w:r>
      <w:r w:rsidR="00AB65A9" w:rsidRPr="00AE6097">
        <w:rPr>
          <w:lang w:val="en-ZA"/>
        </w:rPr>
        <w:t xml:space="preserve">have </w:t>
      </w:r>
      <w:r w:rsidR="009B579E" w:rsidRPr="00AE6097">
        <w:rPr>
          <w:lang w:val="en-ZA"/>
        </w:rPr>
        <w:t>bec</w:t>
      </w:r>
      <w:r w:rsidR="00AB65A9" w:rsidRPr="00AE6097">
        <w:rPr>
          <w:lang w:val="en-ZA"/>
        </w:rPr>
        <w:t>o</w:t>
      </w:r>
      <w:r w:rsidR="009B579E" w:rsidRPr="00AE6097">
        <w:rPr>
          <w:lang w:val="en-ZA"/>
        </w:rPr>
        <w:t>me of force and effect</w:t>
      </w:r>
      <w:r w:rsidR="00AB65A9" w:rsidRPr="00AE6097">
        <w:rPr>
          <w:lang w:val="en-ZA"/>
        </w:rPr>
        <w:t xml:space="preserve"> when he gained knowledge </w:t>
      </w:r>
      <w:r w:rsidR="00AC03CF" w:rsidRPr="00AE6097">
        <w:rPr>
          <w:lang w:val="en-ZA"/>
        </w:rPr>
        <w:t xml:space="preserve">of the acceptance of his offer], </w:t>
      </w:r>
      <w:r w:rsidR="00424399" w:rsidRPr="00AE6097">
        <w:rPr>
          <w:lang w:val="en-ZA"/>
        </w:rPr>
        <w:t>the express wording of the credit agreement shows that the parties intended for the contract to have legal effect upon them signing the documents comprising the contract.</w:t>
      </w:r>
      <w:r w:rsidR="00246278" w:rsidRPr="00AE6097">
        <w:rPr>
          <w:lang w:val="en-ZA"/>
        </w:rPr>
        <w:t xml:space="preserve"> By way of example, clause 19.4 provides that:</w:t>
      </w:r>
    </w:p>
    <w:p w14:paraId="3924DF05" w14:textId="2E0290EF" w:rsidR="001D076F" w:rsidRDefault="00246278" w:rsidP="00CE70A3">
      <w:pPr>
        <w:pStyle w:val="JUDGMENTCONTINUED"/>
        <w:spacing w:line="276" w:lineRule="auto"/>
        <w:ind w:left="1440"/>
        <w:rPr>
          <w:lang w:val="en-ZA"/>
        </w:rPr>
      </w:pPr>
      <w:r w:rsidRPr="00AE6097">
        <w:rPr>
          <w:lang w:val="en-ZA"/>
        </w:rPr>
        <w:t>“</w:t>
      </w:r>
      <w:r w:rsidRPr="00AE6097">
        <w:rPr>
          <w:i/>
          <w:iCs/>
          <w:u w:val="single"/>
          <w:lang w:val="en-ZA"/>
        </w:rPr>
        <w:t>The signature of this Agreement</w:t>
      </w:r>
      <w:r w:rsidR="007A7BCB" w:rsidRPr="00AE6097">
        <w:rPr>
          <w:i/>
          <w:iCs/>
          <w:u w:val="single"/>
          <w:lang w:val="en-ZA"/>
        </w:rPr>
        <w:t xml:space="preserve"> by the credit provider and you will mean that</w:t>
      </w:r>
      <w:r w:rsidR="007A7BCB" w:rsidRPr="00AE6097">
        <w:rPr>
          <w:i/>
          <w:iCs/>
          <w:lang w:val="en-ZA"/>
        </w:rPr>
        <w:t xml:space="preserve"> any prior Agreement(s) between the credit provider and you …is cancelled and </w:t>
      </w:r>
      <w:r w:rsidR="007A7BCB" w:rsidRPr="00AE6097">
        <w:rPr>
          <w:i/>
          <w:iCs/>
          <w:u w:val="single"/>
          <w:lang w:val="en-ZA"/>
        </w:rPr>
        <w:t>the terms of this Agreement shall determine the contract</w:t>
      </w:r>
      <w:r w:rsidR="00320858" w:rsidRPr="00AE6097">
        <w:rPr>
          <w:i/>
          <w:iCs/>
          <w:u w:val="single"/>
          <w:lang w:val="en-ZA"/>
        </w:rPr>
        <w:t>ual relationship between the credit provider and you</w:t>
      </w:r>
      <w:r w:rsidR="00320858" w:rsidRPr="00AE6097">
        <w:rPr>
          <w:i/>
          <w:iCs/>
          <w:lang w:val="en-ZA"/>
        </w:rPr>
        <w:t>…</w:t>
      </w:r>
      <w:r w:rsidR="00320858" w:rsidRPr="00AE6097">
        <w:rPr>
          <w:lang w:val="en-ZA"/>
        </w:rPr>
        <w:t>”.</w:t>
      </w:r>
      <w:r w:rsidR="00ED7E3C" w:rsidRPr="00AE6097">
        <w:rPr>
          <w:lang w:val="en-ZA"/>
        </w:rPr>
        <w:t xml:space="preserve">  [</w:t>
      </w:r>
      <w:r w:rsidR="00ED7E3C" w:rsidRPr="00AE6097">
        <w:rPr>
          <w:i/>
          <w:iCs/>
          <w:u w:val="single"/>
          <w:lang w:val="en-ZA"/>
        </w:rPr>
        <w:t>Emphas</w:t>
      </w:r>
      <w:r w:rsidR="009D66CA" w:rsidRPr="00AE6097">
        <w:rPr>
          <w:i/>
          <w:iCs/>
          <w:u w:val="single"/>
          <w:lang w:val="en-ZA"/>
        </w:rPr>
        <w:t>e</w:t>
      </w:r>
      <w:r w:rsidR="00ED7E3C" w:rsidRPr="00AE6097">
        <w:rPr>
          <w:i/>
          <w:iCs/>
          <w:u w:val="single"/>
          <w:lang w:val="en-ZA"/>
        </w:rPr>
        <w:t>s added</w:t>
      </w:r>
      <w:r w:rsidR="00ED7E3C" w:rsidRPr="00AE6097">
        <w:rPr>
          <w:lang w:val="en-ZA"/>
        </w:rPr>
        <w:t>]</w:t>
      </w:r>
    </w:p>
    <w:p w14:paraId="5CD036D7" w14:textId="77777777" w:rsidR="00CE70A3" w:rsidRPr="00CE70A3" w:rsidRDefault="00CE70A3" w:rsidP="00CE70A3">
      <w:pPr>
        <w:pStyle w:val="JUDGMENTNUMBERED"/>
        <w:numPr>
          <w:ilvl w:val="0"/>
          <w:numId w:val="0"/>
        </w:numPr>
        <w:ind w:left="709"/>
        <w:rPr>
          <w:lang w:val="en-ZA"/>
        </w:rPr>
      </w:pPr>
    </w:p>
    <w:p w14:paraId="4A0ACC89" w14:textId="7A3E0A84" w:rsidR="003F5300" w:rsidRPr="00AE6097" w:rsidRDefault="002D5398" w:rsidP="002D5398">
      <w:pPr>
        <w:pStyle w:val="JUDGMENTNUMBERED"/>
        <w:numPr>
          <w:ilvl w:val="0"/>
          <w:numId w:val="0"/>
        </w:numPr>
        <w:ind w:left="709" w:hanging="709"/>
        <w:rPr>
          <w:lang w:val="en-ZA"/>
        </w:rPr>
      </w:pPr>
      <w:r w:rsidRPr="00AE6097">
        <w:rPr>
          <w:rFonts w:cs="Arial"/>
          <w:color w:val="000000"/>
          <w:lang w:val="en-ZA"/>
        </w:rPr>
        <w:t>[42]</w:t>
      </w:r>
      <w:r w:rsidRPr="00AE6097">
        <w:rPr>
          <w:rFonts w:cs="Arial"/>
          <w:color w:val="000000"/>
          <w:lang w:val="en-ZA"/>
        </w:rPr>
        <w:tab/>
      </w:r>
      <w:r w:rsidR="000A21E3" w:rsidRPr="00AE6097">
        <w:rPr>
          <w:lang w:val="en-ZA"/>
        </w:rPr>
        <w:t>It follows that the express provisions of the credit agreement</w:t>
      </w:r>
      <w:r w:rsidR="005E326C" w:rsidRPr="00AE6097">
        <w:rPr>
          <w:lang w:val="en-ZA"/>
        </w:rPr>
        <w:t xml:space="preserve"> </w:t>
      </w:r>
      <w:proofErr w:type="gramStart"/>
      <w:r w:rsidR="005E326C" w:rsidRPr="00AE6097">
        <w:rPr>
          <w:lang w:val="en-ZA"/>
        </w:rPr>
        <w:t>provided that</w:t>
      </w:r>
      <w:proofErr w:type="gramEnd"/>
      <w:r w:rsidR="000A21E3" w:rsidRPr="00AE6097">
        <w:rPr>
          <w:lang w:val="en-ZA"/>
        </w:rPr>
        <w:t xml:space="preserve"> it </w:t>
      </w:r>
      <w:r w:rsidR="00104AA0" w:rsidRPr="00AE6097">
        <w:rPr>
          <w:lang w:val="en-ZA"/>
        </w:rPr>
        <w:t xml:space="preserve">would become </w:t>
      </w:r>
      <w:r w:rsidR="000A21E3" w:rsidRPr="00AE6097">
        <w:rPr>
          <w:lang w:val="en-ZA"/>
        </w:rPr>
        <w:t xml:space="preserve">legally effective </w:t>
      </w:r>
      <w:r w:rsidR="001761C2" w:rsidRPr="00AE6097">
        <w:rPr>
          <w:lang w:val="en-ZA"/>
        </w:rPr>
        <w:t xml:space="preserve">upon </w:t>
      </w:r>
      <w:r w:rsidR="00D043F0">
        <w:rPr>
          <w:lang w:val="en-ZA"/>
        </w:rPr>
        <w:t xml:space="preserve">signing </w:t>
      </w:r>
      <w:r w:rsidR="005A3066" w:rsidRPr="00AE6097">
        <w:rPr>
          <w:lang w:val="en-ZA"/>
        </w:rPr>
        <w:t xml:space="preserve">the relevant documents by or on behalf of the applicant </w:t>
      </w:r>
      <w:r w:rsidR="005E326C" w:rsidRPr="00AE6097">
        <w:rPr>
          <w:lang w:val="en-ZA"/>
        </w:rPr>
        <w:t>and the respondent.</w:t>
      </w:r>
    </w:p>
    <w:p w14:paraId="76B37F88" w14:textId="6E6D82C1" w:rsidR="001E415F" w:rsidRDefault="002D5398" w:rsidP="002D5398">
      <w:pPr>
        <w:pStyle w:val="JUDGMENTNUMBERED"/>
        <w:numPr>
          <w:ilvl w:val="0"/>
          <w:numId w:val="0"/>
        </w:numPr>
        <w:ind w:left="709" w:hanging="709"/>
        <w:rPr>
          <w:lang w:val="en-ZA"/>
        </w:rPr>
      </w:pPr>
      <w:r>
        <w:rPr>
          <w:rFonts w:cs="Arial"/>
          <w:color w:val="000000"/>
          <w:lang w:val="en-ZA"/>
        </w:rPr>
        <w:t>[43]</w:t>
      </w:r>
      <w:r>
        <w:rPr>
          <w:rFonts w:cs="Arial"/>
          <w:color w:val="000000"/>
          <w:lang w:val="en-ZA"/>
        </w:rPr>
        <w:tab/>
      </w:r>
      <w:r w:rsidR="00104AA0" w:rsidRPr="00AE6097">
        <w:rPr>
          <w:lang w:val="en-ZA"/>
        </w:rPr>
        <w:t xml:space="preserve">As such, the first ground for the rescission of </w:t>
      </w:r>
      <w:r w:rsidR="000A6CCB" w:rsidRPr="00AE6097">
        <w:rPr>
          <w:lang w:val="en-ZA"/>
        </w:rPr>
        <w:t>judgment, i.e. that the court does not have jurisdiction, must fail.</w:t>
      </w:r>
    </w:p>
    <w:p w14:paraId="70257217" w14:textId="77777777" w:rsidR="00442D66" w:rsidRDefault="00442D66" w:rsidP="00442D66">
      <w:pPr>
        <w:pStyle w:val="JUDGMENTCONTINUED"/>
        <w:rPr>
          <w:lang w:val="en-ZA"/>
        </w:rPr>
      </w:pPr>
    </w:p>
    <w:p w14:paraId="1E11944F" w14:textId="77777777" w:rsidR="00442D66" w:rsidRPr="00442D66" w:rsidRDefault="00442D66" w:rsidP="00442D66">
      <w:pPr>
        <w:pStyle w:val="JUDGMENTNUMBERED"/>
        <w:numPr>
          <w:ilvl w:val="0"/>
          <w:numId w:val="0"/>
        </w:numPr>
        <w:ind w:left="709"/>
        <w:rPr>
          <w:lang w:val="en-ZA"/>
        </w:rPr>
      </w:pPr>
    </w:p>
    <w:p w14:paraId="55181346" w14:textId="77777777" w:rsidR="000A6CCB" w:rsidRPr="00AE6097" w:rsidRDefault="000A6CCB" w:rsidP="000A6CCB">
      <w:pPr>
        <w:pStyle w:val="JUDGMENTCONTINUED"/>
        <w:rPr>
          <w:lang w:val="en-ZA"/>
        </w:rPr>
      </w:pPr>
    </w:p>
    <w:p w14:paraId="2EAB74BF" w14:textId="5E67D7DF" w:rsidR="000A6CCB" w:rsidRPr="00AE6097" w:rsidRDefault="00E25B11" w:rsidP="00217755">
      <w:pPr>
        <w:pStyle w:val="JudgmentHeading"/>
        <w:rPr>
          <w:lang w:val="en-ZA"/>
        </w:rPr>
      </w:pPr>
      <w:r>
        <w:rPr>
          <w:lang w:val="en-ZA"/>
        </w:rPr>
        <w:lastRenderedPageBreak/>
        <w:t>Mutual Understanding</w:t>
      </w:r>
    </w:p>
    <w:p w14:paraId="6A827C53" w14:textId="67F2F352" w:rsidR="003F5300" w:rsidRPr="00AE6097" w:rsidRDefault="002D5398" w:rsidP="002D5398">
      <w:pPr>
        <w:pStyle w:val="JUDGMENTNUMBERED"/>
        <w:numPr>
          <w:ilvl w:val="0"/>
          <w:numId w:val="0"/>
        </w:numPr>
        <w:ind w:left="709" w:hanging="709"/>
        <w:rPr>
          <w:lang w:val="en-ZA"/>
        </w:rPr>
      </w:pPr>
      <w:r w:rsidRPr="00AE6097">
        <w:rPr>
          <w:rFonts w:cs="Arial"/>
          <w:color w:val="000000"/>
          <w:lang w:val="en-ZA"/>
        </w:rPr>
        <w:t>[44]</w:t>
      </w:r>
      <w:r w:rsidRPr="00AE6097">
        <w:rPr>
          <w:rFonts w:cs="Arial"/>
          <w:color w:val="000000"/>
          <w:lang w:val="en-ZA"/>
        </w:rPr>
        <w:tab/>
      </w:r>
      <w:r w:rsidR="00802F78" w:rsidRPr="00AE6097">
        <w:rPr>
          <w:lang w:val="en-ZA"/>
        </w:rPr>
        <w:t xml:space="preserve">The applicant states that the contract was </w:t>
      </w:r>
      <w:r w:rsidR="00E70520" w:rsidRPr="00AE6097">
        <w:rPr>
          <w:lang w:val="en-ZA"/>
        </w:rPr>
        <w:t>explained to him in English</w:t>
      </w:r>
      <w:r w:rsidR="000D1B2E" w:rsidRPr="00AE6097">
        <w:rPr>
          <w:lang w:val="en-ZA"/>
        </w:rPr>
        <w:t>, not</w:t>
      </w:r>
      <w:r w:rsidR="005833C0" w:rsidRPr="00AE6097">
        <w:rPr>
          <w:lang w:val="en-ZA"/>
        </w:rPr>
        <w:t xml:space="preserve"> </w:t>
      </w:r>
      <w:r w:rsidR="00E70520" w:rsidRPr="00AE6097">
        <w:rPr>
          <w:lang w:val="en-ZA"/>
        </w:rPr>
        <w:t>his mother tongue or the Afrikaans language,</w:t>
      </w:r>
      <w:r w:rsidR="00802F78" w:rsidRPr="00AE6097">
        <w:rPr>
          <w:lang w:val="en-ZA"/>
        </w:rPr>
        <w:t xml:space="preserve"> which he understands well. “</w:t>
      </w:r>
      <w:r w:rsidR="00A3720F" w:rsidRPr="00AE6097">
        <w:rPr>
          <w:i/>
          <w:iCs/>
          <w:lang w:val="en-ZA"/>
        </w:rPr>
        <w:t xml:space="preserve">All was </w:t>
      </w:r>
      <w:r w:rsidR="00FD0811" w:rsidRPr="00AE6097">
        <w:rPr>
          <w:i/>
          <w:iCs/>
          <w:lang w:val="en-ZA"/>
        </w:rPr>
        <w:t>done in English which I am not fluent in</w:t>
      </w:r>
      <w:r w:rsidR="000C5D8E" w:rsidRPr="00AE6097">
        <w:rPr>
          <w:i/>
          <w:iCs/>
          <w:lang w:val="en-ZA"/>
        </w:rPr>
        <w:t>. The person present explain[ed]</w:t>
      </w:r>
      <w:r w:rsidR="003C073C" w:rsidRPr="00AE6097">
        <w:rPr>
          <w:i/>
          <w:iCs/>
          <w:lang w:val="en-ZA"/>
        </w:rPr>
        <w:t xml:space="preserve"> to me as good as possible</w:t>
      </w:r>
      <w:r w:rsidR="00802F78" w:rsidRPr="00AE6097">
        <w:rPr>
          <w:lang w:val="en-ZA"/>
        </w:rPr>
        <w:t>…</w:t>
      </w:r>
      <w:r w:rsidR="00802F78" w:rsidRPr="00AE6097">
        <w:rPr>
          <w:i/>
          <w:iCs/>
          <w:lang w:val="en-ZA"/>
        </w:rPr>
        <w:t>I</w:t>
      </w:r>
      <w:r w:rsidR="008F41B2" w:rsidRPr="00AE6097">
        <w:rPr>
          <w:i/>
          <w:iCs/>
          <w:lang w:val="en-ZA"/>
        </w:rPr>
        <w:t xml:space="preserve">, therefore, nevertheless, did not completely understand </w:t>
      </w:r>
      <w:proofErr w:type="gramStart"/>
      <w:r w:rsidR="008F41B2" w:rsidRPr="00AE6097">
        <w:rPr>
          <w:i/>
          <w:iCs/>
          <w:lang w:val="en-ZA"/>
        </w:rPr>
        <w:t>all of</w:t>
      </w:r>
      <w:proofErr w:type="gramEnd"/>
      <w:r w:rsidR="008F41B2" w:rsidRPr="00AE6097">
        <w:rPr>
          <w:i/>
          <w:iCs/>
          <w:lang w:val="en-ZA"/>
        </w:rPr>
        <w:t xml:space="preserve"> the quotation</w:t>
      </w:r>
      <w:r w:rsidR="00802F78" w:rsidRPr="00AE6097">
        <w:rPr>
          <w:i/>
          <w:iCs/>
          <w:lang w:val="en-ZA"/>
        </w:rPr>
        <w:t xml:space="preserve"> that day and especially not all about the credit assessment… There</w:t>
      </w:r>
      <w:r w:rsidR="004B464A" w:rsidRPr="00AE6097">
        <w:rPr>
          <w:i/>
          <w:iCs/>
          <w:lang w:val="en-ZA"/>
        </w:rPr>
        <w:t>, therefore,</w:t>
      </w:r>
      <w:r w:rsidR="00802F78" w:rsidRPr="00AE6097">
        <w:rPr>
          <w:i/>
          <w:iCs/>
          <w:lang w:val="en-ZA"/>
        </w:rPr>
        <w:t xml:space="preserve"> was no mutual understanding.</w:t>
      </w:r>
      <w:r w:rsidR="00802F78" w:rsidRPr="00AE6097">
        <w:rPr>
          <w:lang w:val="en-ZA"/>
        </w:rPr>
        <w:t>”</w:t>
      </w:r>
    </w:p>
    <w:p w14:paraId="27F081F9" w14:textId="35ED340F" w:rsidR="000D17A6" w:rsidRPr="00AE6097" w:rsidRDefault="002D5398" w:rsidP="002D5398">
      <w:pPr>
        <w:pStyle w:val="JUDGMENTNUMBERED"/>
        <w:numPr>
          <w:ilvl w:val="0"/>
          <w:numId w:val="0"/>
        </w:numPr>
        <w:ind w:left="709" w:hanging="709"/>
        <w:rPr>
          <w:lang w:val="en-ZA"/>
        </w:rPr>
      </w:pPr>
      <w:r w:rsidRPr="00AE6097">
        <w:rPr>
          <w:rFonts w:cs="Arial"/>
          <w:color w:val="000000"/>
          <w:lang w:val="en-ZA"/>
        </w:rPr>
        <w:t>[45]</w:t>
      </w:r>
      <w:r w:rsidRPr="00AE6097">
        <w:rPr>
          <w:rFonts w:cs="Arial"/>
          <w:color w:val="000000"/>
          <w:lang w:val="en-ZA"/>
        </w:rPr>
        <w:tab/>
      </w:r>
      <w:r w:rsidR="000D17A6" w:rsidRPr="00AE6097">
        <w:rPr>
          <w:lang w:val="en-ZA"/>
        </w:rPr>
        <w:t xml:space="preserve">The question is whether these allegations </w:t>
      </w:r>
      <w:r w:rsidR="00617740">
        <w:rPr>
          <w:lang w:val="en-ZA"/>
        </w:rPr>
        <w:t>adequately</w:t>
      </w:r>
      <w:r w:rsidR="000D17A6" w:rsidRPr="00AE6097">
        <w:rPr>
          <w:lang w:val="en-ZA"/>
        </w:rPr>
        <w:t xml:space="preserve"> establish</w:t>
      </w:r>
      <w:r w:rsidR="001E6E6A" w:rsidRPr="00AE6097">
        <w:rPr>
          <w:lang w:val="en-ZA"/>
        </w:rPr>
        <w:t xml:space="preserve"> a</w:t>
      </w:r>
      <w:r w:rsidR="000D17A6" w:rsidRPr="00AE6097">
        <w:rPr>
          <w:lang w:val="en-ZA"/>
        </w:rPr>
        <w:t xml:space="preserve"> </w:t>
      </w:r>
      <w:r w:rsidR="001E6E6A" w:rsidRPr="00AE6097">
        <w:rPr>
          <w:i/>
          <w:iCs/>
          <w:lang w:val="en-ZA"/>
        </w:rPr>
        <w:t>bona fide</w:t>
      </w:r>
      <w:r w:rsidR="001E6E6A" w:rsidRPr="00AE6097">
        <w:rPr>
          <w:lang w:val="en-ZA"/>
        </w:rPr>
        <w:t xml:space="preserve"> defence</w:t>
      </w:r>
      <w:r w:rsidR="007E064D" w:rsidRPr="00AE6097">
        <w:rPr>
          <w:lang w:val="en-ZA"/>
        </w:rPr>
        <w:t>.</w:t>
      </w:r>
    </w:p>
    <w:p w14:paraId="2A870823" w14:textId="0DE21931" w:rsidR="00D92B21" w:rsidRDefault="002D5398" w:rsidP="002D5398">
      <w:pPr>
        <w:pStyle w:val="JUDGMENTNUMBERED"/>
        <w:numPr>
          <w:ilvl w:val="0"/>
          <w:numId w:val="0"/>
        </w:numPr>
        <w:ind w:left="709" w:hanging="709"/>
        <w:rPr>
          <w:lang w:val="en-ZA"/>
        </w:rPr>
      </w:pPr>
      <w:r>
        <w:rPr>
          <w:rFonts w:cs="Arial"/>
          <w:color w:val="000000"/>
          <w:lang w:val="en-ZA"/>
        </w:rPr>
        <w:t>[46]</w:t>
      </w:r>
      <w:r>
        <w:rPr>
          <w:rFonts w:cs="Arial"/>
          <w:color w:val="000000"/>
          <w:lang w:val="en-ZA"/>
        </w:rPr>
        <w:tab/>
      </w:r>
      <w:r w:rsidR="000A28E0" w:rsidRPr="00AE6097">
        <w:rPr>
          <w:lang w:val="en-ZA"/>
        </w:rPr>
        <w:t xml:space="preserve">In </w:t>
      </w:r>
      <w:r w:rsidR="0009790C" w:rsidRPr="005C7067">
        <w:rPr>
          <w:i/>
          <w:iCs/>
          <w:lang w:val="en-ZA"/>
        </w:rPr>
        <w:t>Gap Merchant Recycling CC v Goal Reach Trading CC</w:t>
      </w:r>
      <w:r w:rsidR="00AC54EF" w:rsidRPr="00AE6097">
        <w:rPr>
          <w:rStyle w:val="FootnoteReference"/>
          <w:lang w:val="en-ZA"/>
        </w:rPr>
        <w:footnoteReference w:id="10"/>
      </w:r>
      <w:r w:rsidR="000A28E0" w:rsidRPr="00AE6097">
        <w:rPr>
          <w:lang w:val="en-ZA"/>
        </w:rPr>
        <w:t>,</w:t>
      </w:r>
      <w:r w:rsidR="0009790C" w:rsidRPr="00AE6097">
        <w:rPr>
          <w:lang w:val="en-ZA"/>
        </w:rPr>
        <w:t xml:space="preserve"> Rogers J</w:t>
      </w:r>
      <w:r w:rsidR="00B00B31" w:rsidRPr="00AE6097">
        <w:rPr>
          <w:lang w:val="en-ZA"/>
        </w:rPr>
        <w:t>, relying</w:t>
      </w:r>
      <w:r w:rsidR="000A28E0" w:rsidRPr="00AE6097">
        <w:rPr>
          <w:lang w:val="en-ZA"/>
        </w:rPr>
        <w:t xml:space="preserve"> on the judgment of Marais J</w:t>
      </w:r>
      <w:r w:rsidR="00BB21A0" w:rsidRPr="00AE6097">
        <w:rPr>
          <w:rStyle w:val="FootnoteReference"/>
          <w:lang w:val="en-ZA"/>
        </w:rPr>
        <w:footnoteReference w:id="11"/>
      </w:r>
      <w:r w:rsidR="00B00B31" w:rsidRPr="00AE6097">
        <w:rPr>
          <w:lang w:val="en-ZA"/>
        </w:rPr>
        <w:t>, stated the following</w:t>
      </w:r>
      <w:r w:rsidR="0076745E" w:rsidRPr="00AE6097">
        <w:rPr>
          <w:lang w:val="en-ZA"/>
        </w:rPr>
        <w:t>:</w:t>
      </w:r>
    </w:p>
    <w:p w14:paraId="3FCBEADB" w14:textId="77777777" w:rsidR="00CE70A3" w:rsidRPr="00CE70A3" w:rsidRDefault="00CE70A3" w:rsidP="00CE70A3">
      <w:pPr>
        <w:pStyle w:val="JUDGMENTCONTINUED"/>
        <w:rPr>
          <w:lang w:val="en-ZA"/>
        </w:rPr>
      </w:pPr>
    </w:p>
    <w:p w14:paraId="72D63939" w14:textId="16F91EDF" w:rsidR="003B6B99" w:rsidRDefault="0076745E" w:rsidP="00CE70A3">
      <w:pPr>
        <w:pStyle w:val="JUDGMENTCONTINUED"/>
        <w:spacing w:line="276" w:lineRule="auto"/>
        <w:ind w:left="1440" w:hanging="11"/>
        <w:rPr>
          <w:lang w:val="en-ZA"/>
        </w:rPr>
      </w:pPr>
      <w:r w:rsidRPr="00AE6097">
        <w:rPr>
          <w:lang w:val="en-ZA"/>
        </w:rPr>
        <w:t>“</w:t>
      </w:r>
      <w:r w:rsidR="000F4A2D" w:rsidRPr="00AE6097">
        <w:rPr>
          <w:i/>
          <w:iCs/>
          <w:lang w:val="en-ZA"/>
        </w:rPr>
        <w:t>[25] Marais J said that this explanation regarding the requirement of bona fides applied with equal force to the requirement in rescission proceedings that the defendant demonstrate a bona fide defence, emphasising in particular that bona fides cannot be demonstrated by making bald averments lacking in any detail (at 785H – I).</w:t>
      </w:r>
      <w:r w:rsidRPr="00AE6097">
        <w:rPr>
          <w:lang w:val="en-ZA"/>
        </w:rPr>
        <w:t>”</w:t>
      </w:r>
    </w:p>
    <w:p w14:paraId="7B3130E1" w14:textId="77777777" w:rsidR="00CE70A3" w:rsidRPr="00CE70A3" w:rsidRDefault="00CE70A3" w:rsidP="00CE70A3">
      <w:pPr>
        <w:pStyle w:val="JUDGMENTNUMBERED"/>
        <w:numPr>
          <w:ilvl w:val="0"/>
          <w:numId w:val="0"/>
        </w:numPr>
        <w:ind w:left="709"/>
        <w:rPr>
          <w:lang w:val="en-ZA"/>
        </w:rPr>
      </w:pPr>
    </w:p>
    <w:p w14:paraId="325F5319" w14:textId="7CC34B63" w:rsidR="003F5300" w:rsidRDefault="002D5398" w:rsidP="002D5398">
      <w:pPr>
        <w:pStyle w:val="JUDGMENTNUMBERED"/>
        <w:numPr>
          <w:ilvl w:val="0"/>
          <w:numId w:val="0"/>
        </w:numPr>
        <w:ind w:left="709" w:hanging="709"/>
        <w:rPr>
          <w:lang w:val="en-ZA"/>
        </w:rPr>
      </w:pPr>
      <w:r>
        <w:rPr>
          <w:rFonts w:cs="Arial"/>
          <w:color w:val="000000"/>
          <w:lang w:val="en-ZA"/>
        </w:rPr>
        <w:t>[47]</w:t>
      </w:r>
      <w:r>
        <w:rPr>
          <w:rFonts w:cs="Arial"/>
          <w:color w:val="000000"/>
          <w:lang w:val="en-ZA"/>
        </w:rPr>
        <w:tab/>
      </w:r>
      <w:r w:rsidR="00FF753F" w:rsidRPr="00AE6097">
        <w:rPr>
          <w:lang w:val="en-ZA"/>
        </w:rPr>
        <w:t xml:space="preserve">In </w:t>
      </w:r>
      <w:r w:rsidR="00FF753F" w:rsidRPr="00AE6206">
        <w:rPr>
          <w:i/>
          <w:iCs/>
          <w:lang w:val="en-ZA"/>
        </w:rPr>
        <w:t>Standard Bank of SA Limited v El-Naddaf and Another</w:t>
      </w:r>
      <w:r w:rsidR="008B2D92" w:rsidRPr="00AE6097">
        <w:rPr>
          <w:lang w:val="en-ZA"/>
        </w:rPr>
        <w:t xml:space="preserve">, </w:t>
      </w:r>
      <w:r w:rsidR="00934116" w:rsidRPr="00AE6097">
        <w:rPr>
          <w:lang w:val="en-ZA"/>
        </w:rPr>
        <w:t>M</w:t>
      </w:r>
      <w:r w:rsidR="00BE0728" w:rsidRPr="00AE6097">
        <w:rPr>
          <w:lang w:val="en-ZA"/>
        </w:rPr>
        <w:t>arais J</w:t>
      </w:r>
      <w:r w:rsidR="00416891" w:rsidRPr="00AE6097">
        <w:rPr>
          <w:lang w:val="en-ZA"/>
        </w:rPr>
        <w:t xml:space="preserve"> referred to </w:t>
      </w:r>
      <w:r w:rsidR="002F3032" w:rsidRPr="00AE6097">
        <w:rPr>
          <w:lang w:val="en-ZA"/>
        </w:rPr>
        <w:t>the judgm</w:t>
      </w:r>
      <w:r w:rsidR="00D35BAC" w:rsidRPr="00AE6097">
        <w:rPr>
          <w:lang w:val="en-ZA"/>
        </w:rPr>
        <w:t xml:space="preserve">ent of Colman J in </w:t>
      </w:r>
      <w:r w:rsidR="00FF753F" w:rsidRPr="00AE6206">
        <w:rPr>
          <w:i/>
          <w:iCs/>
          <w:lang w:val="en-ZA"/>
        </w:rPr>
        <w:t>Breitenbach v Fiat SA (Edms) Bpk</w:t>
      </w:r>
      <w:r w:rsidR="00FF753F" w:rsidRPr="00AE6097">
        <w:rPr>
          <w:lang w:val="en-ZA"/>
        </w:rPr>
        <w:t xml:space="preserve"> 1976 (2) SA 226 (T)</w:t>
      </w:r>
      <w:r w:rsidR="008B2D92" w:rsidRPr="00AE6097">
        <w:rPr>
          <w:lang w:val="en-ZA"/>
        </w:rPr>
        <w:t xml:space="preserve"> </w:t>
      </w:r>
      <w:r w:rsidR="0012671B" w:rsidRPr="00AE6097">
        <w:rPr>
          <w:lang w:val="en-ZA"/>
        </w:rPr>
        <w:t>and stated as follows</w:t>
      </w:r>
      <w:r w:rsidR="008B37F1" w:rsidRPr="00AE6097">
        <w:rPr>
          <w:lang w:val="en-ZA"/>
        </w:rPr>
        <w:t xml:space="preserve"> </w:t>
      </w:r>
      <w:r w:rsidR="00B519F8" w:rsidRPr="00AE6097">
        <w:rPr>
          <w:lang w:val="en-ZA"/>
        </w:rPr>
        <w:t>(</w:t>
      </w:r>
      <w:r w:rsidR="008B37F1" w:rsidRPr="00AE6097">
        <w:rPr>
          <w:lang w:val="en-ZA"/>
        </w:rPr>
        <w:t xml:space="preserve">at </w:t>
      </w:r>
      <w:r w:rsidR="00B519F8" w:rsidRPr="00AE6097">
        <w:rPr>
          <w:lang w:val="en-ZA"/>
        </w:rPr>
        <w:t>785</w:t>
      </w:r>
      <w:r w:rsidR="002D1219" w:rsidRPr="00AE6097">
        <w:rPr>
          <w:lang w:val="en-ZA"/>
        </w:rPr>
        <w:t>D</w:t>
      </w:r>
      <w:r w:rsidR="00B519F8" w:rsidRPr="00AE6097">
        <w:rPr>
          <w:lang w:val="en-ZA"/>
        </w:rPr>
        <w:t>-786B)</w:t>
      </w:r>
      <w:r w:rsidR="0012671B" w:rsidRPr="00AE6097">
        <w:rPr>
          <w:lang w:val="en-ZA"/>
        </w:rPr>
        <w:t>:</w:t>
      </w:r>
    </w:p>
    <w:p w14:paraId="2F7EC640" w14:textId="77777777" w:rsidR="00CE70A3" w:rsidRPr="00CE70A3" w:rsidRDefault="00CE70A3" w:rsidP="00CE70A3">
      <w:pPr>
        <w:pStyle w:val="JUDGMENTCONTINUED"/>
        <w:rPr>
          <w:lang w:val="en-ZA"/>
        </w:rPr>
      </w:pPr>
    </w:p>
    <w:p w14:paraId="57B0F346" w14:textId="77777777" w:rsidR="002D1219" w:rsidRPr="00AE6097" w:rsidRDefault="008B2D92" w:rsidP="00CE70A3">
      <w:pPr>
        <w:pStyle w:val="JUDGMENTCONTINUED"/>
        <w:spacing w:line="276" w:lineRule="auto"/>
        <w:ind w:left="1440"/>
        <w:rPr>
          <w:i/>
          <w:iCs/>
          <w:lang w:val="en-ZA"/>
        </w:rPr>
      </w:pPr>
      <w:r w:rsidRPr="00AE6097">
        <w:rPr>
          <w:lang w:val="en-ZA"/>
        </w:rPr>
        <w:t>“</w:t>
      </w:r>
      <w:r w:rsidRPr="00AE6097">
        <w:rPr>
          <w:i/>
          <w:iCs/>
          <w:lang w:val="en-ZA"/>
        </w:rPr>
        <w:t>…</w:t>
      </w:r>
      <w:r w:rsidR="00B87D27" w:rsidRPr="00AE6097">
        <w:rPr>
          <w:i/>
          <w:iCs/>
          <w:lang w:val="en-ZA"/>
        </w:rPr>
        <w:t xml:space="preserve">Colman J separates the requirement to show bona fides and the requirement to 'disclose fully the nature and grounds of the defence and the material facts relied upon therefor'. </w:t>
      </w:r>
    </w:p>
    <w:p w14:paraId="662060D4" w14:textId="77777777" w:rsidR="00A6522C" w:rsidRPr="00AE6097" w:rsidRDefault="00A6522C" w:rsidP="00CE70A3">
      <w:pPr>
        <w:pStyle w:val="JUDGMENTCONTINUED"/>
        <w:spacing w:line="276" w:lineRule="auto"/>
        <w:ind w:left="1440"/>
        <w:rPr>
          <w:i/>
          <w:iCs/>
          <w:lang w:val="en-ZA"/>
        </w:rPr>
      </w:pPr>
    </w:p>
    <w:p w14:paraId="345B8888" w14:textId="2C0F6848" w:rsidR="002D1219" w:rsidRPr="00AE6097" w:rsidRDefault="00B87D27" w:rsidP="00CE70A3">
      <w:pPr>
        <w:pStyle w:val="JUDGMENTCONTINUED"/>
        <w:spacing w:line="276" w:lineRule="auto"/>
        <w:ind w:left="1440"/>
        <w:rPr>
          <w:i/>
          <w:iCs/>
          <w:lang w:val="en-ZA"/>
        </w:rPr>
      </w:pPr>
      <w:r w:rsidRPr="00AE6097">
        <w:rPr>
          <w:i/>
          <w:iCs/>
          <w:lang w:val="en-ZA"/>
        </w:rPr>
        <w:t xml:space="preserve">I stress the distinction drawn by Colman J because, since he does not rely upon the other arguments of the Rule when he lays down what is required to demonstrate bona fides, I am satisfied that his remarks regarding what is required to demonstrate that a defence is bona fide are of equal application to applications for rescission where the applicant is also required to demonstrate that he has a defence which is bona fide. </w:t>
      </w:r>
    </w:p>
    <w:p w14:paraId="2AD37D8E" w14:textId="77777777" w:rsidR="004548EE" w:rsidRPr="00AE6097" w:rsidRDefault="004548EE" w:rsidP="00CE70A3">
      <w:pPr>
        <w:pStyle w:val="JUDGMENTCONTINUED"/>
        <w:spacing w:line="276" w:lineRule="auto"/>
        <w:ind w:left="1440"/>
        <w:rPr>
          <w:i/>
          <w:iCs/>
          <w:lang w:val="en-ZA"/>
        </w:rPr>
      </w:pPr>
    </w:p>
    <w:p w14:paraId="5DAA7ED3" w14:textId="191486EA" w:rsidR="008B2D92" w:rsidRPr="00AE6097" w:rsidRDefault="00B87D27" w:rsidP="00CE70A3">
      <w:pPr>
        <w:pStyle w:val="JUDGMENTCONTINUED"/>
        <w:spacing w:line="276" w:lineRule="auto"/>
        <w:ind w:left="1440"/>
        <w:rPr>
          <w:lang w:val="en-ZA"/>
        </w:rPr>
      </w:pPr>
      <w:r w:rsidRPr="00AE6097">
        <w:rPr>
          <w:i/>
          <w:iCs/>
          <w:lang w:val="en-ZA"/>
        </w:rPr>
        <w:t>In my view the concluding sentence in the passage that I have quoted is of full application to applications for rescission. In my view, where it is required that bona fides be demonstrated, this cannot be done by making a bald averment lacking in any detail</w:t>
      </w:r>
      <w:r w:rsidR="004548EE" w:rsidRPr="00AE6097">
        <w:rPr>
          <w:i/>
          <w:iCs/>
          <w:lang w:val="en-ZA"/>
        </w:rPr>
        <w:t>….</w:t>
      </w:r>
      <w:r w:rsidR="004548EE" w:rsidRPr="00AE6097">
        <w:rPr>
          <w:lang w:val="en-ZA"/>
        </w:rPr>
        <w:t>”</w:t>
      </w:r>
    </w:p>
    <w:p w14:paraId="3AC85C7D" w14:textId="77777777" w:rsidR="006626F0" w:rsidRPr="00AE6097" w:rsidRDefault="006626F0" w:rsidP="006626F0">
      <w:pPr>
        <w:pStyle w:val="JUDGMENTNUMBERED"/>
        <w:numPr>
          <w:ilvl w:val="0"/>
          <w:numId w:val="0"/>
        </w:numPr>
        <w:ind w:left="709" w:hanging="709"/>
        <w:rPr>
          <w:lang w:val="en-ZA"/>
        </w:rPr>
      </w:pPr>
    </w:p>
    <w:p w14:paraId="655A882E" w14:textId="2DB4663F" w:rsidR="004548EE" w:rsidRPr="00AE6097" w:rsidRDefault="002D5398" w:rsidP="002D5398">
      <w:pPr>
        <w:pStyle w:val="JUDGMENTNUMBERED"/>
        <w:numPr>
          <w:ilvl w:val="0"/>
          <w:numId w:val="0"/>
        </w:numPr>
        <w:ind w:left="709" w:hanging="709"/>
        <w:rPr>
          <w:lang w:val="en-ZA"/>
        </w:rPr>
      </w:pPr>
      <w:r w:rsidRPr="00AE6097">
        <w:rPr>
          <w:rFonts w:cs="Arial"/>
          <w:color w:val="000000"/>
          <w:lang w:val="en-ZA"/>
        </w:rPr>
        <w:t>[48]</w:t>
      </w:r>
      <w:r w:rsidRPr="00AE6097">
        <w:rPr>
          <w:rFonts w:cs="Arial"/>
          <w:color w:val="000000"/>
          <w:lang w:val="en-ZA"/>
        </w:rPr>
        <w:tab/>
      </w:r>
      <w:r w:rsidR="006626F0" w:rsidRPr="00AE6097">
        <w:rPr>
          <w:lang w:val="en-ZA"/>
        </w:rPr>
        <w:t xml:space="preserve">The applicant states that the terms and conditions of the credit agreement were explained to him in English, </w:t>
      </w:r>
      <w:r w:rsidR="009F5D1C" w:rsidRPr="00AE6097">
        <w:rPr>
          <w:lang w:val="en-ZA"/>
        </w:rPr>
        <w:t xml:space="preserve">which </w:t>
      </w:r>
      <w:r w:rsidR="006626F0" w:rsidRPr="00AE6097">
        <w:rPr>
          <w:lang w:val="en-ZA"/>
        </w:rPr>
        <w:t>he is not fluent in</w:t>
      </w:r>
      <w:r w:rsidR="009F5D1C" w:rsidRPr="00AE6097">
        <w:rPr>
          <w:lang w:val="en-ZA"/>
        </w:rPr>
        <w:t xml:space="preserve">, and not in his home language or Afrikaans, </w:t>
      </w:r>
      <w:r w:rsidR="00A77274" w:rsidRPr="00AE6097">
        <w:rPr>
          <w:lang w:val="en-ZA"/>
        </w:rPr>
        <w:t>which he understands well.</w:t>
      </w:r>
      <w:r w:rsidR="006C5877" w:rsidRPr="00AE6097">
        <w:rPr>
          <w:lang w:val="en-ZA"/>
        </w:rPr>
        <w:t xml:space="preserve"> </w:t>
      </w:r>
      <w:r w:rsidR="00F31DED" w:rsidRPr="00AE6097">
        <w:rPr>
          <w:lang w:val="en-ZA"/>
        </w:rPr>
        <w:t xml:space="preserve">Neither of these allegations </w:t>
      </w:r>
      <w:r w:rsidR="00484548" w:rsidRPr="00AE6097">
        <w:rPr>
          <w:lang w:val="en-ZA"/>
        </w:rPr>
        <w:t xml:space="preserve">is adequate to conclude that the applicant did not understand the terms and conditions of </w:t>
      </w:r>
      <w:r w:rsidR="003D594F" w:rsidRPr="00AE6097">
        <w:rPr>
          <w:lang w:val="en-ZA"/>
        </w:rPr>
        <w:t>the credit agreement.</w:t>
      </w:r>
    </w:p>
    <w:p w14:paraId="753F88D8" w14:textId="23A9371F" w:rsidR="00D20696" w:rsidRPr="00AE6097" w:rsidRDefault="002D5398" w:rsidP="002D5398">
      <w:pPr>
        <w:pStyle w:val="JUDGMENTNUMBERED"/>
        <w:numPr>
          <w:ilvl w:val="0"/>
          <w:numId w:val="0"/>
        </w:numPr>
        <w:ind w:left="709" w:hanging="709"/>
        <w:rPr>
          <w:lang w:val="en-ZA"/>
        </w:rPr>
      </w:pPr>
      <w:r w:rsidRPr="00AE6097">
        <w:rPr>
          <w:rFonts w:cs="Arial"/>
          <w:color w:val="000000"/>
          <w:lang w:val="en-ZA"/>
        </w:rPr>
        <w:t>[49]</w:t>
      </w:r>
      <w:r w:rsidRPr="00AE6097">
        <w:rPr>
          <w:rFonts w:cs="Arial"/>
          <w:color w:val="000000"/>
          <w:lang w:val="en-ZA"/>
        </w:rPr>
        <w:tab/>
      </w:r>
      <w:r w:rsidR="00566EEF" w:rsidRPr="00AE6097">
        <w:rPr>
          <w:lang w:val="en-ZA"/>
        </w:rPr>
        <w:t>The applicant fails to disclose which parts of the documents</w:t>
      </w:r>
      <w:r w:rsidR="004037BF">
        <w:rPr>
          <w:lang w:val="en-ZA"/>
        </w:rPr>
        <w:t xml:space="preserve"> he signed and </w:t>
      </w:r>
      <w:r w:rsidR="00BF05B1">
        <w:rPr>
          <w:lang w:val="en-ZA"/>
        </w:rPr>
        <w:t>does not explain</w:t>
      </w:r>
      <w:r w:rsidR="004037BF">
        <w:rPr>
          <w:lang w:val="en-ZA"/>
        </w:rPr>
        <w:t xml:space="preserve"> why he did not fully understand them</w:t>
      </w:r>
      <w:r w:rsidR="00FC176D" w:rsidRPr="00AE6097">
        <w:rPr>
          <w:lang w:val="en-ZA"/>
        </w:rPr>
        <w:t>.</w:t>
      </w:r>
      <w:r w:rsidR="009A3A2D" w:rsidRPr="00AE6097">
        <w:rPr>
          <w:lang w:val="en-ZA"/>
        </w:rPr>
        <w:t xml:space="preserve"> Crucially, he does not state that he did not </w:t>
      </w:r>
      <w:r w:rsidR="00EB193A" w:rsidRPr="00AE6097">
        <w:rPr>
          <w:lang w:val="en-ZA"/>
        </w:rPr>
        <w:t xml:space="preserve">understand the portion </w:t>
      </w:r>
      <w:r w:rsidR="00E43A76" w:rsidRPr="00AE6097">
        <w:rPr>
          <w:lang w:val="en-ZA"/>
        </w:rPr>
        <w:t>of the “Warranty on Veracity of Credit Application Details”</w:t>
      </w:r>
      <w:r w:rsidR="00117E33" w:rsidRPr="00AE6097">
        <w:rPr>
          <w:lang w:val="en-ZA"/>
        </w:rPr>
        <w:t>,</w:t>
      </w:r>
      <w:r w:rsidR="009A3319" w:rsidRPr="00AE6097">
        <w:rPr>
          <w:lang w:val="en-ZA"/>
        </w:rPr>
        <w:t xml:space="preserve"> stating</w:t>
      </w:r>
      <w:r w:rsidR="00E43A76" w:rsidRPr="00AE6097">
        <w:rPr>
          <w:lang w:val="en-ZA"/>
        </w:rPr>
        <w:t xml:space="preserve">, </w:t>
      </w:r>
      <w:r w:rsidR="00E43A76" w:rsidRPr="00AE6097">
        <w:rPr>
          <w:i/>
          <w:iCs/>
          <w:lang w:val="en-ZA"/>
        </w:rPr>
        <w:t>inter alia</w:t>
      </w:r>
      <w:r w:rsidR="00E43A76" w:rsidRPr="00AE6097">
        <w:rPr>
          <w:lang w:val="en-ZA"/>
        </w:rPr>
        <w:t>, that “…</w:t>
      </w:r>
      <w:r w:rsidR="00E43A76" w:rsidRPr="00AE6097">
        <w:rPr>
          <w:i/>
          <w:iCs/>
          <w:lang w:val="en-ZA"/>
        </w:rPr>
        <w:t>I have signed and understood all the following documents, and I confirm that I have been offered copies of the documents in either Sotho or Zulu…</w:t>
      </w:r>
      <w:r w:rsidR="00E43A76" w:rsidRPr="00AE6097">
        <w:rPr>
          <w:lang w:val="en-ZA"/>
        </w:rPr>
        <w:t>”</w:t>
      </w:r>
      <w:r w:rsidR="009A3319" w:rsidRPr="00AE6097">
        <w:rPr>
          <w:lang w:val="en-ZA"/>
        </w:rPr>
        <w:t>, and why he did not make use of this invitation.</w:t>
      </w:r>
    </w:p>
    <w:p w14:paraId="70978C1C" w14:textId="20E59C48" w:rsidR="001F3BC4" w:rsidRPr="00AE6097" w:rsidRDefault="002D5398" w:rsidP="002D5398">
      <w:pPr>
        <w:pStyle w:val="JUDGMENTNUMBERED"/>
        <w:numPr>
          <w:ilvl w:val="0"/>
          <w:numId w:val="0"/>
        </w:numPr>
        <w:ind w:left="709" w:hanging="709"/>
        <w:rPr>
          <w:lang w:val="en-ZA"/>
        </w:rPr>
      </w:pPr>
      <w:r w:rsidRPr="00AE6097">
        <w:rPr>
          <w:rFonts w:cs="Arial"/>
          <w:color w:val="000000"/>
          <w:lang w:val="en-ZA"/>
        </w:rPr>
        <w:t>[50]</w:t>
      </w:r>
      <w:r w:rsidRPr="00AE6097">
        <w:rPr>
          <w:rFonts w:cs="Arial"/>
          <w:color w:val="000000"/>
          <w:lang w:val="en-ZA"/>
        </w:rPr>
        <w:tab/>
      </w:r>
      <w:r w:rsidR="0011141D" w:rsidRPr="00AE6097">
        <w:rPr>
          <w:lang w:val="en-ZA"/>
        </w:rPr>
        <w:t xml:space="preserve">Notably, the applicant </w:t>
      </w:r>
      <w:r w:rsidR="0040164F" w:rsidRPr="00AE6097">
        <w:rPr>
          <w:lang w:val="en-ZA"/>
        </w:rPr>
        <w:t>must be assumed</w:t>
      </w:r>
      <w:r w:rsidR="00324727" w:rsidRPr="00AE6097">
        <w:rPr>
          <w:lang w:val="en-ZA"/>
        </w:rPr>
        <w:t xml:space="preserve"> not to have had any</w:t>
      </w:r>
      <w:r w:rsidR="0011141D" w:rsidRPr="00AE6097">
        <w:rPr>
          <w:lang w:val="en-ZA"/>
        </w:rPr>
        <w:t xml:space="preserve"> difficulty deposing to a </w:t>
      </w:r>
      <w:r w:rsidR="007E1524">
        <w:rPr>
          <w:lang w:val="en-ZA"/>
        </w:rPr>
        <w:t>reasonably</w:t>
      </w:r>
      <w:r w:rsidR="0011141D" w:rsidRPr="00AE6097">
        <w:rPr>
          <w:lang w:val="en-ZA"/>
        </w:rPr>
        <w:t xml:space="preserve"> lengthy affidavi</w:t>
      </w:r>
      <w:r w:rsidR="00324727" w:rsidRPr="00AE6097">
        <w:rPr>
          <w:lang w:val="en-ZA"/>
        </w:rPr>
        <w:t>t</w:t>
      </w:r>
      <w:r w:rsidR="0011141D" w:rsidRPr="00AE6097">
        <w:rPr>
          <w:lang w:val="en-ZA"/>
        </w:rPr>
        <w:t xml:space="preserve"> prepared in English, </w:t>
      </w:r>
      <w:r w:rsidR="007148FC" w:rsidRPr="00AE6097">
        <w:rPr>
          <w:lang w:val="en-ZA"/>
        </w:rPr>
        <w:t xml:space="preserve">the </w:t>
      </w:r>
      <w:r w:rsidR="00185CEA" w:rsidRPr="00AE6097">
        <w:rPr>
          <w:lang w:val="en-ZA"/>
        </w:rPr>
        <w:t>contents</w:t>
      </w:r>
      <w:r w:rsidR="007148FC" w:rsidRPr="00AE6097">
        <w:rPr>
          <w:lang w:val="en-ZA"/>
        </w:rPr>
        <w:t xml:space="preserve"> of which</w:t>
      </w:r>
      <w:r w:rsidR="00D0253C" w:rsidRPr="00AE6097">
        <w:rPr>
          <w:lang w:val="en-ZA"/>
        </w:rPr>
        <w:t>, according to</w:t>
      </w:r>
      <w:r w:rsidR="0011141D" w:rsidRPr="00AE6097">
        <w:rPr>
          <w:lang w:val="en-ZA"/>
        </w:rPr>
        <w:t xml:space="preserve"> the</w:t>
      </w:r>
      <w:r w:rsidR="00D0253C" w:rsidRPr="00AE6097">
        <w:rPr>
          <w:lang w:val="en-ZA"/>
        </w:rPr>
        <w:t xml:space="preserve"> certificate of the</w:t>
      </w:r>
      <w:r w:rsidR="0011141D" w:rsidRPr="00AE6097">
        <w:rPr>
          <w:lang w:val="en-ZA"/>
        </w:rPr>
        <w:t xml:space="preserve"> Commissioner of Oaths</w:t>
      </w:r>
      <w:r w:rsidR="00185CEA" w:rsidRPr="00AE6097">
        <w:rPr>
          <w:lang w:val="en-ZA"/>
        </w:rPr>
        <w:t>, the applicant</w:t>
      </w:r>
      <w:r w:rsidR="003A595B" w:rsidRPr="00AE6097">
        <w:rPr>
          <w:lang w:val="en-ZA"/>
        </w:rPr>
        <w:t xml:space="preserve"> understood</w:t>
      </w:r>
      <w:r w:rsidR="00185CEA" w:rsidRPr="00AE6097">
        <w:rPr>
          <w:lang w:val="en-ZA"/>
        </w:rPr>
        <w:t>.</w:t>
      </w:r>
    </w:p>
    <w:p w14:paraId="65835251" w14:textId="7BEBD209" w:rsidR="000041A2" w:rsidRPr="00AE6097" w:rsidRDefault="002D5398" w:rsidP="002D5398">
      <w:pPr>
        <w:pStyle w:val="JUDGMENTNUMBERED"/>
        <w:numPr>
          <w:ilvl w:val="0"/>
          <w:numId w:val="0"/>
        </w:numPr>
        <w:ind w:left="709" w:hanging="709"/>
        <w:rPr>
          <w:lang w:val="en-ZA"/>
        </w:rPr>
      </w:pPr>
      <w:r w:rsidRPr="00AE6097">
        <w:rPr>
          <w:rFonts w:cs="Arial"/>
          <w:color w:val="000000"/>
          <w:lang w:val="en-ZA"/>
        </w:rPr>
        <w:t>[51]</w:t>
      </w:r>
      <w:r w:rsidRPr="00AE6097">
        <w:rPr>
          <w:rFonts w:cs="Arial"/>
          <w:color w:val="000000"/>
          <w:lang w:val="en-ZA"/>
        </w:rPr>
        <w:tab/>
      </w:r>
      <w:r w:rsidR="007E1524">
        <w:rPr>
          <w:lang w:val="en-ZA"/>
        </w:rPr>
        <w:t>Accordingly, I believe</w:t>
      </w:r>
      <w:r w:rsidR="00BB097B" w:rsidRPr="00AE6097">
        <w:rPr>
          <w:lang w:val="en-ZA"/>
        </w:rPr>
        <w:t xml:space="preserve"> the applicant did not acquit himself of the </w:t>
      </w:r>
      <w:r w:rsidR="00767273" w:rsidRPr="00AE6097">
        <w:rPr>
          <w:i/>
          <w:iCs/>
          <w:lang w:val="en-ZA"/>
        </w:rPr>
        <w:t>onus</w:t>
      </w:r>
      <w:r w:rsidR="00891CC0" w:rsidRPr="00AE6097">
        <w:rPr>
          <w:lang w:val="en-ZA"/>
        </w:rPr>
        <w:t xml:space="preserve"> of showing a </w:t>
      </w:r>
      <w:r w:rsidR="00891CC0" w:rsidRPr="00AE6097">
        <w:rPr>
          <w:i/>
          <w:iCs/>
          <w:lang w:val="en-ZA"/>
        </w:rPr>
        <w:t>bona fide</w:t>
      </w:r>
      <w:r w:rsidR="00891CC0" w:rsidRPr="00AE6097">
        <w:rPr>
          <w:lang w:val="en-ZA"/>
        </w:rPr>
        <w:t xml:space="preserve"> defence regarding his alleged lack of understanding of the credit agreement</w:t>
      </w:r>
      <w:r w:rsidR="00BC0121" w:rsidRPr="00AE6097">
        <w:rPr>
          <w:lang w:val="en-ZA"/>
        </w:rPr>
        <w:t>.</w:t>
      </w:r>
    </w:p>
    <w:p w14:paraId="20B81C47" w14:textId="77777777" w:rsidR="00190031" w:rsidRPr="00AE6097" w:rsidRDefault="00190031" w:rsidP="00190031">
      <w:pPr>
        <w:pStyle w:val="JudgmentHeading"/>
        <w:rPr>
          <w:lang w:val="en-ZA"/>
        </w:rPr>
      </w:pPr>
    </w:p>
    <w:p w14:paraId="2928C9CF" w14:textId="70C828F0" w:rsidR="00190031" w:rsidRPr="00AE6097" w:rsidRDefault="00190031" w:rsidP="00190031">
      <w:pPr>
        <w:pStyle w:val="JudgmentHeading"/>
        <w:rPr>
          <w:lang w:val="en-ZA"/>
        </w:rPr>
      </w:pPr>
      <w:r w:rsidRPr="00AE6097">
        <w:rPr>
          <w:lang w:val="en-ZA"/>
        </w:rPr>
        <w:t>Credit Assessment</w:t>
      </w:r>
    </w:p>
    <w:p w14:paraId="52CA751D" w14:textId="289BCBF2" w:rsidR="00CA482B" w:rsidRPr="00AE6097" w:rsidRDefault="002D5398" w:rsidP="002D5398">
      <w:pPr>
        <w:pStyle w:val="JUDGMENTNUMBERED"/>
        <w:numPr>
          <w:ilvl w:val="0"/>
          <w:numId w:val="0"/>
        </w:numPr>
        <w:ind w:left="709" w:hanging="709"/>
        <w:rPr>
          <w:lang w:val="en-ZA"/>
        </w:rPr>
      </w:pPr>
      <w:r w:rsidRPr="00AE6097">
        <w:rPr>
          <w:rFonts w:cs="Arial"/>
          <w:color w:val="000000"/>
          <w:lang w:val="en-ZA"/>
        </w:rPr>
        <w:t>[52]</w:t>
      </w:r>
      <w:r w:rsidRPr="00AE6097">
        <w:rPr>
          <w:rFonts w:cs="Arial"/>
          <w:color w:val="000000"/>
          <w:lang w:val="en-ZA"/>
        </w:rPr>
        <w:tab/>
      </w:r>
      <w:r w:rsidR="00CA482B" w:rsidRPr="00AE6097">
        <w:rPr>
          <w:lang w:val="en-ZA"/>
        </w:rPr>
        <w:t>Thirdly, the applicant contends that the credit provider failed to conduct an assessment or</w:t>
      </w:r>
      <w:r w:rsidR="001D3FB6" w:rsidRPr="00AE6097">
        <w:rPr>
          <w:lang w:val="en-ZA"/>
        </w:rPr>
        <w:t>,</w:t>
      </w:r>
      <w:r w:rsidR="00CA482B" w:rsidRPr="00AE6097">
        <w:rPr>
          <w:lang w:val="en-ZA"/>
        </w:rPr>
        <w:t xml:space="preserve"> </w:t>
      </w:r>
      <w:r w:rsidR="003A5F06" w:rsidRPr="00AE6097">
        <w:rPr>
          <w:lang w:val="en-ZA"/>
        </w:rPr>
        <w:t xml:space="preserve">if it did, </w:t>
      </w:r>
      <w:r w:rsidR="00CA482B" w:rsidRPr="00AE6097">
        <w:rPr>
          <w:lang w:val="en-ZA"/>
        </w:rPr>
        <w:t xml:space="preserve">that the preponderance of information available to the credit provider indicated that </w:t>
      </w:r>
      <w:r w:rsidR="001D3FB6" w:rsidRPr="00AE6097">
        <w:rPr>
          <w:lang w:val="en-ZA"/>
        </w:rPr>
        <w:t>he</w:t>
      </w:r>
      <w:r w:rsidR="00CA482B" w:rsidRPr="00AE6097">
        <w:rPr>
          <w:lang w:val="en-ZA"/>
        </w:rPr>
        <w:t xml:space="preserve"> didn’t generally understand or appreciate the </w:t>
      </w:r>
      <w:r w:rsidR="00CE4AC2" w:rsidRPr="00AE6097">
        <w:rPr>
          <w:lang w:val="en-ZA"/>
        </w:rPr>
        <w:t xml:space="preserve">transaction's risks, </w:t>
      </w:r>
      <w:proofErr w:type="gramStart"/>
      <w:r w:rsidR="00CE4AC2" w:rsidRPr="00AE6097">
        <w:rPr>
          <w:lang w:val="en-ZA"/>
        </w:rPr>
        <w:t>costs</w:t>
      </w:r>
      <w:proofErr w:type="gramEnd"/>
      <w:r w:rsidR="00CE4AC2" w:rsidRPr="00AE6097">
        <w:rPr>
          <w:lang w:val="en-ZA"/>
        </w:rPr>
        <w:t xml:space="preserve"> or obligations </w:t>
      </w:r>
      <w:r w:rsidR="00CA482B" w:rsidRPr="00AE6097">
        <w:rPr>
          <w:lang w:val="en-ZA"/>
        </w:rPr>
        <w:t xml:space="preserve">or that </w:t>
      </w:r>
      <w:r w:rsidR="008214E1" w:rsidRPr="00AE6097">
        <w:rPr>
          <w:lang w:val="en-ZA"/>
        </w:rPr>
        <w:t>he</w:t>
      </w:r>
      <w:r w:rsidR="00CA482B" w:rsidRPr="00AE6097">
        <w:rPr>
          <w:lang w:val="en-ZA"/>
        </w:rPr>
        <w:t xml:space="preserve"> would be over-indebted.</w:t>
      </w:r>
      <w:r w:rsidR="00CE4AC2" w:rsidRPr="00AE6097">
        <w:rPr>
          <w:lang w:val="en-ZA"/>
        </w:rPr>
        <w:t xml:space="preserve"> </w:t>
      </w:r>
      <w:r w:rsidR="00CA482B" w:rsidRPr="00AE6097">
        <w:rPr>
          <w:lang w:val="en-ZA"/>
        </w:rPr>
        <w:lastRenderedPageBreak/>
        <w:t>“…</w:t>
      </w:r>
      <w:r w:rsidR="00CA482B" w:rsidRPr="00AE6097">
        <w:rPr>
          <w:i/>
          <w:iCs/>
          <w:lang w:val="en-ZA"/>
        </w:rPr>
        <w:t>Even if a credit assessment was done, I wouldn’t have understood the concept of a credit assessment</w:t>
      </w:r>
      <w:r w:rsidR="00CA482B" w:rsidRPr="00AE6097">
        <w:rPr>
          <w:lang w:val="en-ZA"/>
        </w:rPr>
        <w:t>.”</w:t>
      </w:r>
    </w:p>
    <w:p w14:paraId="0EA48D4E" w14:textId="3FF8031A" w:rsidR="00345801" w:rsidRPr="00AE6097" w:rsidRDefault="002D5398" w:rsidP="002D5398">
      <w:pPr>
        <w:pStyle w:val="JUDGMENTNUMBERED"/>
        <w:numPr>
          <w:ilvl w:val="0"/>
          <w:numId w:val="0"/>
        </w:numPr>
        <w:ind w:left="709" w:hanging="709"/>
        <w:rPr>
          <w:lang w:val="en-ZA"/>
        </w:rPr>
      </w:pPr>
      <w:r w:rsidRPr="00AE6097">
        <w:rPr>
          <w:rFonts w:cs="Arial"/>
          <w:color w:val="000000"/>
          <w:lang w:val="en-ZA"/>
        </w:rPr>
        <w:t>[53]</w:t>
      </w:r>
      <w:r w:rsidRPr="00AE6097">
        <w:rPr>
          <w:rFonts w:cs="Arial"/>
          <w:color w:val="000000"/>
          <w:lang w:val="en-ZA"/>
        </w:rPr>
        <w:tab/>
      </w:r>
      <w:r w:rsidR="008449BA" w:rsidRPr="00AE6097">
        <w:rPr>
          <w:lang w:val="en-ZA"/>
        </w:rPr>
        <w:t>The respondent</w:t>
      </w:r>
      <w:r w:rsidR="00345801" w:rsidRPr="00AE6097">
        <w:rPr>
          <w:lang w:val="en-ZA"/>
        </w:rPr>
        <w:t xml:space="preserve"> provided a detailed version</w:t>
      </w:r>
      <w:r w:rsidR="005255F7" w:rsidRPr="00AE6097">
        <w:rPr>
          <w:lang w:val="en-ZA"/>
        </w:rPr>
        <w:t>, supported by documents, that contradicted the applicant's version</w:t>
      </w:r>
      <w:r w:rsidR="00345801" w:rsidRPr="00AE6097">
        <w:rPr>
          <w:lang w:val="en-ZA"/>
        </w:rPr>
        <w:t>.</w:t>
      </w:r>
      <w:r w:rsidR="00385F1F" w:rsidRPr="00AE6097">
        <w:rPr>
          <w:lang w:val="en-ZA"/>
        </w:rPr>
        <w:t xml:space="preserve"> </w:t>
      </w:r>
      <w:r w:rsidR="009B1D25" w:rsidRPr="00AE6097">
        <w:rPr>
          <w:lang w:val="en-ZA"/>
        </w:rPr>
        <w:t>As stated, the applicant failed to reply to the respondent’s answering affidavit.</w:t>
      </w:r>
    </w:p>
    <w:p w14:paraId="570EBD08" w14:textId="58D0090C" w:rsidR="00C400D5" w:rsidRPr="00AE6097" w:rsidRDefault="002D5398" w:rsidP="002D5398">
      <w:pPr>
        <w:pStyle w:val="JUDGMENTNUMBERED"/>
        <w:numPr>
          <w:ilvl w:val="0"/>
          <w:numId w:val="0"/>
        </w:numPr>
        <w:ind w:left="709" w:hanging="709"/>
        <w:rPr>
          <w:lang w:val="en-ZA"/>
        </w:rPr>
      </w:pPr>
      <w:r w:rsidRPr="00AE6097">
        <w:rPr>
          <w:rFonts w:cs="Arial"/>
          <w:color w:val="000000"/>
          <w:lang w:val="en-ZA"/>
        </w:rPr>
        <w:t>[54]</w:t>
      </w:r>
      <w:r w:rsidRPr="00AE6097">
        <w:rPr>
          <w:rFonts w:cs="Arial"/>
          <w:color w:val="000000"/>
          <w:lang w:val="en-ZA"/>
        </w:rPr>
        <w:tab/>
      </w:r>
      <w:r w:rsidR="00C400D5" w:rsidRPr="00AE6097">
        <w:rPr>
          <w:lang w:val="en-ZA"/>
        </w:rPr>
        <w:t>The applicant failed to provide any grounds to show that the incom</w:t>
      </w:r>
      <w:r w:rsidR="009E28C8" w:rsidRPr="00AE6097">
        <w:rPr>
          <w:lang w:val="en-ZA"/>
        </w:rPr>
        <w:t>e projection and calculated anticipated profits were ill-founded</w:t>
      </w:r>
      <w:r w:rsidR="0069723D" w:rsidRPr="00AE6097">
        <w:rPr>
          <w:lang w:val="en-ZA"/>
        </w:rPr>
        <w:t xml:space="preserve">, </w:t>
      </w:r>
      <w:proofErr w:type="gramStart"/>
      <w:r w:rsidR="0069723D" w:rsidRPr="00AE6097">
        <w:rPr>
          <w:lang w:val="en-ZA"/>
        </w:rPr>
        <w:t>unrealistic</w:t>
      </w:r>
      <w:proofErr w:type="gramEnd"/>
      <w:r w:rsidR="009E28C8" w:rsidRPr="00AE6097">
        <w:rPr>
          <w:lang w:val="en-ZA"/>
        </w:rPr>
        <w:t xml:space="preserve"> or irrational.</w:t>
      </w:r>
    </w:p>
    <w:p w14:paraId="5E707666" w14:textId="1240BE45" w:rsidR="00002F6E" w:rsidRPr="00AE6097" w:rsidRDefault="002D5398" w:rsidP="002D5398">
      <w:pPr>
        <w:pStyle w:val="JUDGMENTNUMBERED"/>
        <w:numPr>
          <w:ilvl w:val="0"/>
          <w:numId w:val="0"/>
        </w:numPr>
        <w:ind w:left="709" w:hanging="709"/>
        <w:rPr>
          <w:lang w:val="en-ZA"/>
        </w:rPr>
      </w:pPr>
      <w:r w:rsidRPr="00AE6097">
        <w:rPr>
          <w:rFonts w:cs="Arial"/>
          <w:color w:val="000000"/>
          <w:lang w:val="en-ZA"/>
        </w:rPr>
        <w:t>[55]</w:t>
      </w:r>
      <w:r w:rsidRPr="00AE6097">
        <w:rPr>
          <w:rFonts w:cs="Arial"/>
          <w:color w:val="000000"/>
          <w:lang w:val="en-ZA"/>
        </w:rPr>
        <w:tab/>
      </w:r>
      <w:r w:rsidR="00B50AD1" w:rsidRPr="00AE6097">
        <w:rPr>
          <w:lang w:val="en-ZA"/>
        </w:rPr>
        <w:t xml:space="preserve">This ground concerns the applicant’s alleged lack of understanding of the documents in question, but </w:t>
      </w:r>
      <w:r w:rsidR="00002F6E" w:rsidRPr="00AE6097">
        <w:rPr>
          <w:lang w:val="en-ZA"/>
        </w:rPr>
        <w:t xml:space="preserve">the applicant’s contention cannot be sustained for the reasons set out above </w:t>
      </w:r>
      <w:r w:rsidR="008B40C4">
        <w:rPr>
          <w:lang w:val="en-ZA"/>
        </w:rPr>
        <w:t>regarding</w:t>
      </w:r>
      <w:r w:rsidR="00002F6E" w:rsidRPr="00AE6097">
        <w:rPr>
          <w:lang w:val="en-ZA"/>
        </w:rPr>
        <w:t xml:space="preserve"> the second ground</w:t>
      </w:r>
      <w:r w:rsidR="00344106" w:rsidRPr="00AE6097">
        <w:rPr>
          <w:lang w:val="en-ZA"/>
        </w:rPr>
        <w:t xml:space="preserve"> for rescission</w:t>
      </w:r>
      <w:r w:rsidR="00002F6E" w:rsidRPr="00AE6097">
        <w:rPr>
          <w:lang w:val="en-ZA"/>
        </w:rPr>
        <w:t>.</w:t>
      </w:r>
    </w:p>
    <w:p w14:paraId="18B380FB" w14:textId="71CE4BD9" w:rsidR="005901E2" w:rsidRPr="00AE6097" w:rsidRDefault="002D5398" w:rsidP="002D5398">
      <w:pPr>
        <w:pStyle w:val="JUDGMENTNUMBERED"/>
        <w:numPr>
          <w:ilvl w:val="0"/>
          <w:numId w:val="0"/>
        </w:numPr>
        <w:ind w:left="709" w:hanging="709"/>
        <w:rPr>
          <w:lang w:val="en-ZA"/>
        </w:rPr>
      </w:pPr>
      <w:r w:rsidRPr="00AE6097">
        <w:rPr>
          <w:rFonts w:cs="Arial"/>
          <w:color w:val="000000"/>
          <w:lang w:val="en-ZA"/>
        </w:rPr>
        <w:t>[56]</w:t>
      </w:r>
      <w:r w:rsidRPr="00AE6097">
        <w:rPr>
          <w:rFonts w:cs="Arial"/>
          <w:color w:val="000000"/>
          <w:lang w:val="en-ZA"/>
        </w:rPr>
        <w:tab/>
      </w:r>
      <w:r w:rsidR="00186737">
        <w:rPr>
          <w:lang w:val="en-ZA"/>
        </w:rPr>
        <w:t>Given</w:t>
      </w:r>
      <w:r w:rsidR="005901E2" w:rsidRPr="00AE6097">
        <w:rPr>
          <w:lang w:val="en-ZA"/>
        </w:rPr>
        <w:t xml:space="preserve"> these findings</w:t>
      </w:r>
      <w:r w:rsidR="001A68B9" w:rsidRPr="00AE6097">
        <w:rPr>
          <w:lang w:val="en-ZA"/>
        </w:rPr>
        <w:t xml:space="preserve"> on the third ground for rescis</w:t>
      </w:r>
      <w:r w:rsidR="00190031" w:rsidRPr="00AE6097">
        <w:rPr>
          <w:lang w:val="en-ZA"/>
        </w:rPr>
        <w:t>s</w:t>
      </w:r>
      <w:r w:rsidR="001A68B9" w:rsidRPr="00AE6097">
        <w:rPr>
          <w:lang w:val="en-ZA"/>
        </w:rPr>
        <w:t>ion</w:t>
      </w:r>
      <w:r w:rsidR="005901E2" w:rsidRPr="00AE6097">
        <w:rPr>
          <w:lang w:val="en-ZA"/>
        </w:rPr>
        <w:t xml:space="preserve">, I cannot find that </w:t>
      </w:r>
      <w:r w:rsidR="00C74FC7" w:rsidRPr="00AE6097">
        <w:rPr>
          <w:lang w:val="en-ZA"/>
        </w:rPr>
        <w:t>the</w:t>
      </w:r>
      <w:r w:rsidR="005901E2" w:rsidRPr="00AE6097">
        <w:rPr>
          <w:lang w:val="en-ZA"/>
        </w:rPr>
        <w:t xml:space="preserve"> applicant demonstrated a </w:t>
      </w:r>
      <w:r w:rsidR="005901E2" w:rsidRPr="00AE6097">
        <w:rPr>
          <w:i/>
          <w:iCs/>
          <w:lang w:val="en-ZA"/>
        </w:rPr>
        <w:t>bona fide</w:t>
      </w:r>
      <w:r w:rsidR="005901E2" w:rsidRPr="00AE6097">
        <w:rPr>
          <w:lang w:val="en-ZA"/>
        </w:rPr>
        <w:t xml:space="preserve"> defence</w:t>
      </w:r>
      <w:r w:rsidR="001A68B9" w:rsidRPr="00AE6097">
        <w:rPr>
          <w:lang w:val="en-ZA"/>
        </w:rPr>
        <w:t>.</w:t>
      </w:r>
    </w:p>
    <w:p w14:paraId="0605863C" w14:textId="77777777" w:rsidR="00443742" w:rsidRPr="00AE6097" w:rsidRDefault="00443742" w:rsidP="00443742">
      <w:pPr>
        <w:pStyle w:val="JudgmentHeading"/>
        <w:rPr>
          <w:lang w:val="en-ZA"/>
        </w:rPr>
      </w:pPr>
    </w:p>
    <w:p w14:paraId="472FB6B1" w14:textId="6295196A" w:rsidR="00D21F5C" w:rsidRPr="00AE6097" w:rsidRDefault="00D21F5C" w:rsidP="00D21F5C">
      <w:pPr>
        <w:pStyle w:val="JudgmentHeading"/>
        <w:rPr>
          <w:lang w:val="en-ZA"/>
        </w:rPr>
      </w:pPr>
      <w:r w:rsidRPr="00AE6097">
        <w:rPr>
          <w:lang w:val="en-ZA"/>
        </w:rPr>
        <w:t>Reasonable Monthly Instalment</w:t>
      </w:r>
    </w:p>
    <w:p w14:paraId="17263419" w14:textId="196FD1BF" w:rsidR="000041A2" w:rsidRPr="00AE6097" w:rsidRDefault="002D5398" w:rsidP="002D5398">
      <w:pPr>
        <w:pStyle w:val="JUDGMENTNUMBERED"/>
        <w:numPr>
          <w:ilvl w:val="0"/>
          <w:numId w:val="0"/>
        </w:numPr>
        <w:ind w:left="709" w:hanging="709"/>
        <w:rPr>
          <w:lang w:val="en-ZA"/>
        </w:rPr>
      </w:pPr>
      <w:r w:rsidRPr="00AE6097">
        <w:rPr>
          <w:rFonts w:cs="Arial"/>
          <w:color w:val="000000"/>
          <w:lang w:val="en-ZA"/>
        </w:rPr>
        <w:t>[57]</w:t>
      </w:r>
      <w:r w:rsidRPr="00AE6097">
        <w:rPr>
          <w:rFonts w:cs="Arial"/>
          <w:color w:val="000000"/>
          <w:lang w:val="en-ZA"/>
        </w:rPr>
        <w:tab/>
      </w:r>
      <w:r w:rsidR="00EA3FEE" w:rsidRPr="00AE6097">
        <w:rPr>
          <w:lang w:val="en-ZA"/>
        </w:rPr>
        <w:t>The applicant cuts across the first to third grounds for rescission and</w:t>
      </w:r>
      <w:r w:rsidR="00731D7B" w:rsidRPr="00AE6097">
        <w:rPr>
          <w:lang w:val="en-ZA"/>
        </w:rPr>
        <w:t xml:space="preserve"> requests this court, in exercising its discretion, to determine a reasonable mont</w:t>
      </w:r>
      <w:r w:rsidR="00771FD5" w:rsidRPr="00AE6097">
        <w:rPr>
          <w:lang w:val="en-ZA"/>
        </w:rPr>
        <w:t>hly</w:t>
      </w:r>
      <w:r w:rsidR="00731D7B" w:rsidRPr="00AE6097">
        <w:rPr>
          <w:lang w:val="en-ZA"/>
        </w:rPr>
        <w:t xml:space="preserve"> instalment </w:t>
      </w:r>
      <w:r w:rsidR="00771FD5" w:rsidRPr="00AE6097">
        <w:rPr>
          <w:lang w:val="en-ZA"/>
        </w:rPr>
        <w:t>that the applicant is to pay to the respondent.</w:t>
      </w:r>
      <w:r w:rsidR="00A31A09" w:rsidRPr="00AE6097">
        <w:rPr>
          <w:lang w:val="en-ZA"/>
        </w:rPr>
        <w:t xml:space="preserve"> By necessary implication, despite the applicant’s default, he seeks to </w:t>
      </w:r>
      <w:r w:rsidR="00D476D5" w:rsidRPr="00AE6097">
        <w:rPr>
          <w:lang w:val="en-ZA"/>
        </w:rPr>
        <w:t xml:space="preserve">retain the vehicle under </w:t>
      </w:r>
      <w:r w:rsidR="00D57FA9" w:rsidRPr="00AE6097">
        <w:rPr>
          <w:lang w:val="en-ZA"/>
        </w:rPr>
        <w:t>this court's sanction</w:t>
      </w:r>
      <w:r w:rsidR="00D476D5" w:rsidRPr="00AE6097">
        <w:rPr>
          <w:lang w:val="en-ZA"/>
        </w:rPr>
        <w:t>.</w:t>
      </w:r>
      <w:r w:rsidR="007F0EEB">
        <w:rPr>
          <w:lang w:val="en-ZA"/>
        </w:rPr>
        <w:t xml:space="preserve"> The applicant seeks this “relief” on the purported basis of </w:t>
      </w:r>
      <w:r w:rsidR="00C07AD1">
        <w:rPr>
          <w:lang w:val="en-ZA"/>
        </w:rPr>
        <w:t xml:space="preserve">certain allegations in the founding affidavit without any </w:t>
      </w:r>
      <w:proofErr w:type="gramStart"/>
      <w:r w:rsidR="003F37DD">
        <w:rPr>
          <w:lang w:val="en-ZA"/>
        </w:rPr>
        <w:t>counter-application</w:t>
      </w:r>
      <w:proofErr w:type="gramEnd"/>
      <w:r w:rsidR="00961898">
        <w:rPr>
          <w:lang w:val="en-ZA"/>
        </w:rPr>
        <w:t xml:space="preserve"> for a variation of the default judgment.</w:t>
      </w:r>
      <w:r w:rsidR="007F0EEB">
        <w:rPr>
          <w:lang w:val="en-ZA"/>
        </w:rPr>
        <w:t xml:space="preserve"> </w:t>
      </w:r>
      <w:r w:rsidR="001D2ED7">
        <w:rPr>
          <w:lang w:val="en-ZA"/>
        </w:rPr>
        <w:t xml:space="preserve"> </w:t>
      </w:r>
      <w:r w:rsidR="00961898">
        <w:rPr>
          <w:lang w:val="en-ZA"/>
        </w:rPr>
        <w:t>The applicant’s endeavour</w:t>
      </w:r>
      <w:r w:rsidR="00137023">
        <w:rPr>
          <w:lang w:val="en-ZA"/>
        </w:rPr>
        <w:t xml:space="preserve"> </w:t>
      </w:r>
      <w:r w:rsidR="003F37DD">
        <w:rPr>
          <w:lang w:val="en-ZA"/>
        </w:rPr>
        <w:t>to grant</w:t>
      </w:r>
      <w:r w:rsidR="00137023">
        <w:rPr>
          <w:lang w:val="en-ZA"/>
        </w:rPr>
        <w:t xml:space="preserve"> such</w:t>
      </w:r>
      <w:r w:rsidR="004F0F8A">
        <w:rPr>
          <w:lang w:val="en-ZA"/>
        </w:rPr>
        <w:t xml:space="preserve"> </w:t>
      </w:r>
      <w:r w:rsidR="00093C19">
        <w:rPr>
          <w:lang w:val="en-ZA"/>
        </w:rPr>
        <w:t>“</w:t>
      </w:r>
      <w:r w:rsidR="004F0F8A">
        <w:rPr>
          <w:lang w:val="en-ZA"/>
        </w:rPr>
        <w:t>relief</w:t>
      </w:r>
      <w:r w:rsidR="00093C19">
        <w:rPr>
          <w:lang w:val="en-ZA"/>
        </w:rPr>
        <w:t>”</w:t>
      </w:r>
      <w:r w:rsidR="004F0F8A">
        <w:rPr>
          <w:lang w:val="en-ZA"/>
        </w:rPr>
        <w:t xml:space="preserve"> is </w:t>
      </w:r>
      <w:r w:rsidR="00093C19">
        <w:rPr>
          <w:lang w:val="en-ZA"/>
        </w:rPr>
        <w:t>incompetent</w:t>
      </w:r>
      <w:r w:rsidR="00137023">
        <w:rPr>
          <w:lang w:val="en-ZA"/>
        </w:rPr>
        <w:t xml:space="preserve"> and cannot be entertained</w:t>
      </w:r>
      <w:r w:rsidR="00093C19">
        <w:rPr>
          <w:lang w:val="en-ZA"/>
        </w:rPr>
        <w:t>.</w:t>
      </w:r>
    </w:p>
    <w:p w14:paraId="2952EB3D" w14:textId="1ED2D631" w:rsidR="00D57FA9" w:rsidRPr="00AE6097" w:rsidRDefault="002D5398" w:rsidP="002D5398">
      <w:pPr>
        <w:pStyle w:val="JUDGMENTNUMBERED"/>
        <w:numPr>
          <w:ilvl w:val="0"/>
          <w:numId w:val="0"/>
        </w:numPr>
        <w:ind w:left="709" w:hanging="709"/>
        <w:rPr>
          <w:lang w:val="en-ZA"/>
        </w:rPr>
      </w:pPr>
      <w:r w:rsidRPr="00AE6097">
        <w:rPr>
          <w:rFonts w:cs="Arial"/>
          <w:color w:val="000000"/>
          <w:lang w:val="en-ZA"/>
        </w:rPr>
        <w:t>[58]</w:t>
      </w:r>
      <w:r w:rsidRPr="00AE6097">
        <w:rPr>
          <w:rFonts w:cs="Arial"/>
          <w:color w:val="000000"/>
          <w:lang w:val="en-ZA"/>
        </w:rPr>
        <w:tab/>
      </w:r>
      <w:r w:rsidR="00407856">
        <w:rPr>
          <w:lang w:val="en-ZA"/>
        </w:rPr>
        <w:t>In any event, t</w:t>
      </w:r>
      <w:r w:rsidR="00C613A0" w:rsidRPr="00AE6097">
        <w:rPr>
          <w:lang w:val="en-ZA"/>
        </w:rPr>
        <w:t xml:space="preserve">he applicant has failed to demonstrate a </w:t>
      </w:r>
      <w:r w:rsidR="00DB3232" w:rsidRPr="00AE6097">
        <w:rPr>
          <w:i/>
          <w:iCs/>
          <w:lang w:val="en-ZA"/>
        </w:rPr>
        <w:t>bona fide</w:t>
      </w:r>
      <w:r w:rsidR="00DB3232" w:rsidRPr="00AE6097">
        <w:rPr>
          <w:lang w:val="en-ZA"/>
        </w:rPr>
        <w:t xml:space="preserve"> defence</w:t>
      </w:r>
      <w:r w:rsidR="00D038CD">
        <w:rPr>
          <w:lang w:val="en-ZA"/>
        </w:rPr>
        <w:t xml:space="preserve"> </w:t>
      </w:r>
      <w:r w:rsidR="003F37DD">
        <w:rPr>
          <w:lang w:val="en-ZA"/>
        </w:rPr>
        <w:t>regarding</w:t>
      </w:r>
      <w:r w:rsidR="00D038CD">
        <w:rPr>
          <w:lang w:val="en-ZA"/>
        </w:rPr>
        <w:t xml:space="preserve"> the second and thir</w:t>
      </w:r>
      <w:r w:rsidR="00D66C6E">
        <w:rPr>
          <w:lang w:val="en-ZA"/>
        </w:rPr>
        <w:t>d grounds for rescission and</w:t>
      </w:r>
      <w:r w:rsidR="00DB3232" w:rsidRPr="00AE6097">
        <w:rPr>
          <w:lang w:val="en-ZA"/>
        </w:rPr>
        <w:t xml:space="preserve"> to contradict the respondent’s enti</w:t>
      </w:r>
      <w:r w:rsidR="00A2414C" w:rsidRPr="00AE6097">
        <w:rPr>
          <w:lang w:val="en-ZA"/>
        </w:rPr>
        <w:t xml:space="preserve">tlement to the relief </w:t>
      </w:r>
      <w:r w:rsidR="00523E6D">
        <w:rPr>
          <w:lang w:val="en-ZA"/>
        </w:rPr>
        <w:t>granted in terms of the default judgment</w:t>
      </w:r>
      <w:r w:rsidR="00A2414C" w:rsidRPr="00AE6097">
        <w:rPr>
          <w:lang w:val="en-ZA"/>
        </w:rPr>
        <w:t>.</w:t>
      </w:r>
      <w:r w:rsidR="00FD092E">
        <w:rPr>
          <w:lang w:val="en-ZA"/>
        </w:rPr>
        <w:t xml:space="preserve"> Because the fourth ground for </w:t>
      </w:r>
      <w:r w:rsidR="00487D0A">
        <w:rPr>
          <w:lang w:val="en-ZA"/>
        </w:rPr>
        <w:t xml:space="preserve">rescission </w:t>
      </w:r>
      <w:proofErr w:type="gramStart"/>
      <w:r w:rsidR="00487D0A">
        <w:rPr>
          <w:lang w:val="en-ZA"/>
        </w:rPr>
        <w:t>piggy-backs</w:t>
      </w:r>
      <w:proofErr w:type="gramEnd"/>
      <w:r w:rsidR="00487D0A">
        <w:rPr>
          <w:lang w:val="en-ZA"/>
        </w:rPr>
        <w:t xml:space="preserve"> on the third</w:t>
      </w:r>
      <w:r w:rsidR="001C3485">
        <w:rPr>
          <w:lang w:val="en-ZA"/>
        </w:rPr>
        <w:t xml:space="preserve"> ground and, in turn, the second ground</w:t>
      </w:r>
      <w:r w:rsidR="005E542A">
        <w:rPr>
          <w:lang w:val="en-ZA"/>
        </w:rPr>
        <w:t xml:space="preserve">, the fourth ground cannot succeed </w:t>
      </w:r>
      <w:r w:rsidR="00EE3447">
        <w:rPr>
          <w:lang w:val="en-ZA"/>
        </w:rPr>
        <w:t>given</w:t>
      </w:r>
      <w:r w:rsidR="005E542A">
        <w:rPr>
          <w:lang w:val="en-ZA"/>
        </w:rPr>
        <w:t xml:space="preserve"> the findings on the second and third grounds.</w:t>
      </w:r>
      <w:r w:rsidR="001C3485">
        <w:rPr>
          <w:lang w:val="en-ZA"/>
        </w:rPr>
        <w:t xml:space="preserve"> </w:t>
      </w:r>
    </w:p>
    <w:p w14:paraId="59669D69" w14:textId="2AEB456B" w:rsidR="00771FD5" w:rsidRPr="00AE6097" w:rsidRDefault="002D5398" w:rsidP="002D5398">
      <w:pPr>
        <w:pStyle w:val="JUDGMENTNUMBERED"/>
        <w:numPr>
          <w:ilvl w:val="0"/>
          <w:numId w:val="0"/>
        </w:numPr>
        <w:ind w:left="709" w:hanging="709"/>
        <w:rPr>
          <w:lang w:val="en-ZA"/>
        </w:rPr>
      </w:pPr>
      <w:r w:rsidRPr="00AE6097">
        <w:rPr>
          <w:rFonts w:cs="Arial"/>
          <w:color w:val="000000"/>
          <w:lang w:val="en-ZA"/>
        </w:rPr>
        <w:t>[59]</w:t>
      </w:r>
      <w:r w:rsidRPr="00AE6097">
        <w:rPr>
          <w:rFonts w:cs="Arial"/>
          <w:color w:val="000000"/>
          <w:lang w:val="en-ZA"/>
        </w:rPr>
        <w:tab/>
      </w:r>
      <w:r w:rsidR="00771FD5" w:rsidRPr="00AE6097">
        <w:rPr>
          <w:lang w:val="en-ZA"/>
        </w:rPr>
        <w:t xml:space="preserve">This purported </w:t>
      </w:r>
      <w:r w:rsidR="00EA3FEE" w:rsidRPr="00AE6097">
        <w:rPr>
          <w:lang w:val="en-ZA"/>
        </w:rPr>
        <w:t xml:space="preserve">ground for rescission </w:t>
      </w:r>
      <w:r w:rsidR="008B0CE6" w:rsidRPr="00AE6097">
        <w:rPr>
          <w:lang w:val="en-ZA"/>
        </w:rPr>
        <w:t>is wholly unfounded and cannot be entertained.</w:t>
      </w:r>
    </w:p>
    <w:p w14:paraId="3CCFDAD9" w14:textId="77777777" w:rsidR="00096C0F" w:rsidRPr="00AE6097" w:rsidRDefault="00096C0F" w:rsidP="00096C0F">
      <w:pPr>
        <w:pStyle w:val="JUDGMENTCONTINUED"/>
        <w:rPr>
          <w:lang w:val="en-ZA"/>
        </w:rPr>
      </w:pPr>
    </w:p>
    <w:p w14:paraId="7E9AD0A5" w14:textId="77777777" w:rsidR="00C50A48" w:rsidRPr="00AE6097" w:rsidRDefault="00C50A48" w:rsidP="00C50A48">
      <w:pPr>
        <w:pStyle w:val="JudgmentHeading"/>
        <w:rPr>
          <w:lang w:val="en-ZA"/>
        </w:rPr>
      </w:pPr>
      <w:r w:rsidRPr="00AE6097">
        <w:rPr>
          <w:lang w:val="en-ZA"/>
        </w:rPr>
        <w:t>Conclusion</w:t>
      </w:r>
    </w:p>
    <w:p w14:paraId="1443535D" w14:textId="72F48DA7" w:rsidR="00C50A48" w:rsidRPr="00AE6097" w:rsidRDefault="002D5398" w:rsidP="002D5398">
      <w:pPr>
        <w:pStyle w:val="JUDGMENTNUMBERED"/>
        <w:numPr>
          <w:ilvl w:val="0"/>
          <w:numId w:val="0"/>
        </w:numPr>
        <w:ind w:left="709" w:hanging="709"/>
        <w:rPr>
          <w:lang w:val="en-ZA"/>
        </w:rPr>
      </w:pPr>
      <w:r w:rsidRPr="00AE6097">
        <w:rPr>
          <w:rFonts w:cs="Arial"/>
          <w:color w:val="000000"/>
          <w:lang w:val="en-ZA"/>
        </w:rPr>
        <w:t>[60]</w:t>
      </w:r>
      <w:r w:rsidRPr="00AE6097">
        <w:rPr>
          <w:rFonts w:cs="Arial"/>
          <w:color w:val="000000"/>
          <w:lang w:val="en-ZA"/>
        </w:rPr>
        <w:tab/>
      </w:r>
      <w:r w:rsidR="00523E6D">
        <w:rPr>
          <w:lang w:val="en-ZA"/>
        </w:rPr>
        <w:t>For the reasons above, the</w:t>
      </w:r>
      <w:r w:rsidR="007B4EEE">
        <w:rPr>
          <w:lang w:val="en-ZA"/>
        </w:rPr>
        <w:t xml:space="preserve"> applicant’s</w:t>
      </w:r>
      <w:r w:rsidR="00523E6D">
        <w:rPr>
          <w:lang w:val="en-ZA"/>
        </w:rPr>
        <w:t xml:space="preserve"> application for rescission of default judgment </w:t>
      </w:r>
      <w:r w:rsidR="007B4EEE">
        <w:rPr>
          <w:lang w:val="en-ZA"/>
        </w:rPr>
        <w:t>must fail.</w:t>
      </w:r>
    </w:p>
    <w:p w14:paraId="5C88B56B" w14:textId="77777777" w:rsidR="00523E6D" w:rsidRDefault="00523E6D" w:rsidP="00C50A48">
      <w:pPr>
        <w:pStyle w:val="JudgmentHeading"/>
        <w:rPr>
          <w:lang w:val="en-ZA"/>
        </w:rPr>
      </w:pPr>
    </w:p>
    <w:p w14:paraId="75E1CF5A" w14:textId="22F999A9" w:rsidR="00C50A48" w:rsidRPr="00AE6097" w:rsidRDefault="00C50A48" w:rsidP="00C50A48">
      <w:pPr>
        <w:pStyle w:val="JudgmentHeading"/>
        <w:rPr>
          <w:lang w:val="en-ZA"/>
        </w:rPr>
      </w:pPr>
      <w:r w:rsidRPr="00AE6097">
        <w:rPr>
          <w:lang w:val="en-ZA"/>
        </w:rPr>
        <w:t>Costs</w:t>
      </w:r>
    </w:p>
    <w:p w14:paraId="72DCB537" w14:textId="747CCDEA" w:rsidR="00C50A48" w:rsidRPr="00AE6097" w:rsidRDefault="002D5398" w:rsidP="002D5398">
      <w:pPr>
        <w:pStyle w:val="JUDGMENTNUMBERED"/>
        <w:numPr>
          <w:ilvl w:val="0"/>
          <w:numId w:val="0"/>
        </w:numPr>
        <w:ind w:left="709" w:hanging="709"/>
        <w:rPr>
          <w:lang w:val="en-ZA"/>
        </w:rPr>
      </w:pPr>
      <w:r w:rsidRPr="00AE6097">
        <w:rPr>
          <w:rFonts w:cs="Arial"/>
          <w:color w:val="000000"/>
          <w:lang w:val="en-ZA"/>
        </w:rPr>
        <w:t>[61]</w:t>
      </w:r>
      <w:r w:rsidRPr="00AE6097">
        <w:rPr>
          <w:rFonts w:cs="Arial"/>
          <w:color w:val="000000"/>
          <w:lang w:val="en-ZA"/>
        </w:rPr>
        <w:tab/>
      </w:r>
      <w:r w:rsidR="00CC4C16">
        <w:rPr>
          <w:lang w:val="en-ZA"/>
        </w:rPr>
        <w:t>There</w:t>
      </w:r>
      <w:r w:rsidR="00EE3447">
        <w:rPr>
          <w:lang w:val="en-ZA"/>
        </w:rPr>
        <w:t xml:space="preserve"> is </w:t>
      </w:r>
      <w:r w:rsidR="007B4EEE">
        <w:rPr>
          <w:lang w:val="en-ZA"/>
        </w:rPr>
        <w:t>no reason why costs should not follow the outcome of the application.</w:t>
      </w:r>
    </w:p>
    <w:p w14:paraId="7E6524D4" w14:textId="77777777" w:rsidR="00267FAC" w:rsidRPr="00AE6097" w:rsidRDefault="00267FAC" w:rsidP="00267FAC">
      <w:pPr>
        <w:pStyle w:val="JUDGMENTCONTINUED"/>
        <w:rPr>
          <w:lang w:val="en-ZA"/>
        </w:rPr>
      </w:pPr>
    </w:p>
    <w:p w14:paraId="431E9483" w14:textId="3C82AF2D" w:rsidR="00C50A48" w:rsidRPr="00AE6097" w:rsidRDefault="00C50A48" w:rsidP="00C50A48">
      <w:pPr>
        <w:pStyle w:val="JudgmentHeading"/>
        <w:rPr>
          <w:lang w:val="en-ZA"/>
        </w:rPr>
      </w:pPr>
      <w:r w:rsidRPr="00AE6097">
        <w:rPr>
          <w:lang w:val="en-ZA"/>
        </w:rPr>
        <w:t>Order</w:t>
      </w:r>
    </w:p>
    <w:p w14:paraId="22CFE8C0" w14:textId="09D2BBD7" w:rsidR="002A3308" w:rsidRPr="00AE6097" w:rsidRDefault="002D5398" w:rsidP="002D5398">
      <w:pPr>
        <w:pStyle w:val="JudgmentNumbered0"/>
        <w:numPr>
          <w:ilvl w:val="0"/>
          <w:numId w:val="0"/>
        </w:numPr>
        <w:ind w:left="567" w:hanging="567"/>
        <w:rPr>
          <w:lang w:val="en-ZA"/>
        </w:rPr>
      </w:pPr>
      <w:r w:rsidRPr="00AE6097">
        <w:rPr>
          <w:lang w:val="en-ZA"/>
        </w:rPr>
        <w:t>[1]</w:t>
      </w:r>
      <w:r w:rsidRPr="00AE6097">
        <w:rPr>
          <w:lang w:val="en-ZA"/>
        </w:rPr>
        <w:tab/>
      </w:r>
      <w:r w:rsidR="007B4EEE">
        <w:rPr>
          <w:lang w:val="en-ZA"/>
        </w:rPr>
        <w:t>The applicant’s application for rescission of judgment is dismissed with costs.</w:t>
      </w:r>
    </w:p>
    <w:p w14:paraId="0F0E83D0" w14:textId="77CCE9AA" w:rsidR="002A3308" w:rsidRPr="00AE6097" w:rsidRDefault="002A3308" w:rsidP="002A3308">
      <w:pPr>
        <w:pStyle w:val="JudgmentNumbered0"/>
        <w:numPr>
          <w:ilvl w:val="0"/>
          <w:numId w:val="0"/>
        </w:numPr>
        <w:rPr>
          <w:lang w:val="en-ZA"/>
        </w:rPr>
      </w:pPr>
    </w:p>
    <w:p w14:paraId="41F7FD88" w14:textId="10A3276B" w:rsidR="002A3308" w:rsidRPr="00AE6097" w:rsidRDefault="002A3308" w:rsidP="002A3308">
      <w:pPr>
        <w:pStyle w:val="JudgmentNumbered0"/>
        <w:numPr>
          <w:ilvl w:val="0"/>
          <w:numId w:val="0"/>
        </w:numPr>
        <w:rPr>
          <w:lang w:val="en-ZA"/>
        </w:rPr>
      </w:pPr>
    </w:p>
    <w:p w14:paraId="16F7BDDC" w14:textId="5C116A9F" w:rsidR="00C50A48" w:rsidRPr="00AE6097" w:rsidRDefault="00C50A48" w:rsidP="00C50A48">
      <w:pPr>
        <w:pStyle w:val="JudgmentNumbered0"/>
        <w:numPr>
          <w:ilvl w:val="0"/>
          <w:numId w:val="0"/>
        </w:numPr>
        <w:spacing w:after="0"/>
        <w:ind w:left="567" w:hanging="567"/>
        <w:jc w:val="right"/>
        <w:rPr>
          <w:b/>
          <w:bCs/>
          <w:lang w:val="en-ZA"/>
        </w:rPr>
      </w:pPr>
      <w:r w:rsidRPr="00AE6097">
        <w:rPr>
          <w:b/>
          <w:bCs/>
          <w:lang w:val="en-ZA"/>
        </w:rPr>
        <w:t>___________________________</w:t>
      </w:r>
    </w:p>
    <w:p w14:paraId="393B4E08" w14:textId="216C02C1" w:rsidR="00C50A48" w:rsidRPr="00AE6097" w:rsidRDefault="002A3308" w:rsidP="00C50A48">
      <w:pPr>
        <w:pStyle w:val="JudgmentNumbered0"/>
        <w:numPr>
          <w:ilvl w:val="0"/>
          <w:numId w:val="0"/>
        </w:numPr>
        <w:spacing w:after="0"/>
        <w:ind w:left="567" w:hanging="567"/>
        <w:jc w:val="right"/>
        <w:rPr>
          <w:b/>
          <w:lang w:val="en-ZA"/>
        </w:rPr>
      </w:pPr>
      <w:r w:rsidRPr="00AE6097">
        <w:rPr>
          <w:b/>
          <w:lang w:val="en-ZA"/>
        </w:rPr>
        <w:t xml:space="preserve">C. A. C. </w:t>
      </w:r>
      <w:r w:rsidR="00C50A48" w:rsidRPr="00AE6097">
        <w:rPr>
          <w:b/>
          <w:lang w:val="en-ZA"/>
        </w:rPr>
        <w:t>KOR</w:t>
      </w:r>
      <w:r w:rsidRPr="00AE6097">
        <w:rPr>
          <w:b/>
          <w:lang w:val="en-ZA"/>
        </w:rPr>
        <w:t>F</w:t>
      </w:r>
    </w:p>
    <w:p w14:paraId="332D49B8" w14:textId="2F1D3CE7" w:rsidR="00C50A48" w:rsidRPr="00AE6097" w:rsidRDefault="00643BF7" w:rsidP="00C50A48">
      <w:pPr>
        <w:pStyle w:val="JudgmentNumbered0"/>
        <w:numPr>
          <w:ilvl w:val="0"/>
          <w:numId w:val="0"/>
        </w:numPr>
        <w:spacing w:after="0"/>
        <w:ind w:left="567" w:hanging="567"/>
        <w:jc w:val="right"/>
        <w:rPr>
          <w:b/>
          <w:lang w:val="en-ZA"/>
        </w:rPr>
      </w:pPr>
      <w:r>
        <w:rPr>
          <w:b/>
          <w:lang w:val="en-ZA"/>
        </w:rPr>
        <w:t xml:space="preserve">ACTING </w:t>
      </w:r>
      <w:r w:rsidR="00C50A48" w:rsidRPr="00AE6097">
        <w:rPr>
          <w:b/>
          <w:lang w:val="en-ZA"/>
        </w:rPr>
        <w:t>JUDGE OF THE HIGH COURT</w:t>
      </w:r>
    </w:p>
    <w:p w14:paraId="6B71F640" w14:textId="2A220D32" w:rsidR="00C50A48" w:rsidRPr="00AE6097" w:rsidRDefault="00C50A48" w:rsidP="00C50A48">
      <w:pPr>
        <w:pStyle w:val="JudgmentNumbered0"/>
        <w:numPr>
          <w:ilvl w:val="0"/>
          <w:numId w:val="0"/>
        </w:numPr>
        <w:spacing w:after="0"/>
        <w:ind w:left="567" w:hanging="567"/>
        <w:jc w:val="right"/>
        <w:rPr>
          <w:b/>
          <w:lang w:val="en-ZA"/>
        </w:rPr>
        <w:sectPr w:rsidR="00C50A48" w:rsidRPr="00AE6097" w:rsidSect="004C22B6">
          <w:footerReference w:type="default" r:id="rId12"/>
          <w:type w:val="continuous"/>
          <w:pgSz w:w="11906" w:h="16838"/>
          <w:pgMar w:top="1440" w:right="1440" w:bottom="1440" w:left="1440" w:header="708" w:footer="708" w:gutter="0"/>
          <w:cols w:space="708"/>
          <w:titlePg/>
          <w:docGrid w:linePitch="360"/>
        </w:sectPr>
      </w:pPr>
      <w:r w:rsidRPr="00AE6097">
        <w:rPr>
          <w:b/>
          <w:lang w:val="en-ZA"/>
        </w:rPr>
        <w:t>JOHANNESBUR</w:t>
      </w:r>
      <w:r w:rsidR="00535F7C">
        <w:rPr>
          <w:b/>
          <w:lang w:val="en-ZA"/>
        </w:rPr>
        <w:t>G</w:t>
      </w:r>
    </w:p>
    <w:p w14:paraId="1875381F" w14:textId="428829C7" w:rsidR="0098252E" w:rsidRPr="00AE6097" w:rsidRDefault="00535F7C" w:rsidP="0098252E">
      <w:pPr>
        <w:spacing w:after="0" w:line="240" w:lineRule="auto"/>
        <w:ind w:left="0"/>
        <w:rPr>
          <w:rFonts w:eastAsia="Times New Roman" w:cs="Arial"/>
          <w:szCs w:val="24"/>
          <w:lang w:val="en-ZA"/>
        </w:rPr>
      </w:pPr>
      <w:r>
        <w:rPr>
          <w:rFonts w:eastAsia="Times New Roman" w:cs="Arial"/>
          <w:szCs w:val="24"/>
          <w:lang w:val="en-ZA"/>
        </w:rPr>
        <w:lastRenderedPageBreak/>
        <w:t>F</w:t>
      </w:r>
      <w:r w:rsidR="0098252E" w:rsidRPr="00AE6097">
        <w:rPr>
          <w:rFonts w:eastAsia="Times New Roman" w:cs="Arial"/>
          <w:szCs w:val="24"/>
          <w:lang w:val="en-ZA"/>
        </w:rPr>
        <w:t>or the Applicant:</w:t>
      </w:r>
    </w:p>
    <w:p w14:paraId="63F6CB8F" w14:textId="77777777" w:rsidR="0098252E" w:rsidRPr="00AE6097" w:rsidRDefault="0098252E" w:rsidP="0098252E">
      <w:pPr>
        <w:spacing w:after="0" w:line="240" w:lineRule="auto"/>
        <w:ind w:left="0"/>
        <w:rPr>
          <w:rFonts w:eastAsia="Times New Roman" w:cs="Arial"/>
          <w:szCs w:val="24"/>
          <w:lang w:val="en-ZA"/>
        </w:rPr>
      </w:pPr>
    </w:p>
    <w:p w14:paraId="0DEC2609" w14:textId="77777777" w:rsidR="0098252E" w:rsidRPr="00AE6097" w:rsidRDefault="0098252E" w:rsidP="0098252E">
      <w:pPr>
        <w:spacing w:after="0" w:line="240" w:lineRule="auto"/>
        <w:ind w:left="0"/>
        <w:rPr>
          <w:rFonts w:eastAsia="Times New Roman" w:cs="Arial"/>
          <w:szCs w:val="24"/>
          <w:lang w:val="en-ZA"/>
        </w:rPr>
      </w:pPr>
    </w:p>
    <w:p w14:paraId="377BEF20" w14:textId="77777777" w:rsidR="0098252E" w:rsidRDefault="0098252E" w:rsidP="0098252E">
      <w:pPr>
        <w:spacing w:after="0" w:line="240" w:lineRule="auto"/>
        <w:ind w:left="0"/>
        <w:rPr>
          <w:rFonts w:eastAsia="Times New Roman" w:cs="Arial"/>
          <w:szCs w:val="24"/>
          <w:lang w:val="en-ZA"/>
        </w:rPr>
      </w:pPr>
      <w:r w:rsidRPr="00AE6097">
        <w:rPr>
          <w:rFonts w:eastAsia="Times New Roman" w:cs="Arial"/>
          <w:szCs w:val="24"/>
          <w:lang w:val="en-ZA"/>
        </w:rPr>
        <w:t>For the Respondent:</w:t>
      </w:r>
    </w:p>
    <w:p w14:paraId="38E0A84F" w14:textId="77777777" w:rsidR="007B2048" w:rsidRDefault="007B2048" w:rsidP="00A078CA">
      <w:pPr>
        <w:pStyle w:val="JudgmentNumbered0"/>
        <w:numPr>
          <w:ilvl w:val="0"/>
          <w:numId w:val="0"/>
        </w:numPr>
        <w:spacing w:line="240" w:lineRule="auto"/>
        <w:ind w:left="567" w:hanging="567"/>
        <w:contextualSpacing/>
        <w:rPr>
          <w:lang w:val="en-ZA"/>
        </w:rPr>
      </w:pPr>
    </w:p>
    <w:p w14:paraId="7A54AFEA" w14:textId="77777777" w:rsidR="007B2048" w:rsidRDefault="007B2048" w:rsidP="00A078CA">
      <w:pPr>
        <w:pStyle w:val="JudgmentNumbered0"/>
        <w:numPr>
          <w:ilvl w:val="0"/>
          <w:numId w:val="0"/>
        </w:numPr>
        <w:spacing w:line="240" w:lineRule="auto"/>
        <w:ind w:left="567" w:hanging="567"/>
        <w:contextualSpacing/>
        <w:rPr>
          <w:lang w:val="en-ZA"/>
        </w:rPr>
      </w:pPr>
    </w:p>
    <w:p w14:paraId="2AC88634" w14:textId="77777777" w:rsidR="00980D59" w:rsidRDefault="00980D59" w:rsidP="00A078CA">
      <w:pPr>
        <w:pStyle w:val="JudgmentNumbered0"/>
        <w:numPr>
          <w:ilvl w:val="0"/>
          <w:numId w:val="0"/>
        </w:numPr>
        <w:spacing w:line="240" w:lineRule="auto"/>
        <w:ind w:left="567" w:hanging="567"/>
        <w:contextualSpacing/>
        <w:rPr>
          <w:lang w:val="en-ZA"/>
        </w:rPr>
      </w:pPr>
    </w:p>
    <w:p w14:paraId="3D82C2D1" w14:textId="6BB44DEF" w:rsidR="007B2048" w:rsidRDefault="007B2048" w:rsidP="00A078CA">
      <w:pPr>
        <w:pStyle w:val="JudgmentNumbered0"/>
        <w:numPr>
          <w:ilvl w:val="0"/>
          <w:numId w:val="0"/>
        </w:numPr>
        <w:spacing w:line="240" w:lineRule="auto"/>
        <w:ind w:left="567" w:hanging="567"/>
        <w:contextualSpacing/>
        <w:rPr>
          <w:lang w:val="en-ZA"/>
        </w:rPr>
      </w:pPr>
      <w:r>
        <w:rPr>
          <w:lang w:val="en-ZA"/>
        </w:rPr>
        <w:t>Heard on</w:t>
      </w:r>
      <w:r w:rsidR="00EA7543">
        <w:rPr>
          <w:lang w:val="en-ZA"/>
        </w:rPr>
        <w:t>:</w:t>
      </w:r>
    </w:p>
    <w:p w14:paraId="69F28376" w14:textId="77777777" w:rsidR="008A4253" w:rsidRDefault="008A4253" w:rsidP="00A078CA">
      <w:pPr>
        <w:pStyle w:val="JudgmentNumbered0"/>
        <w:numPr>
          <w:ilvl w:val="0"/>
          <w:numId w:val="0"/>
        </w:numPr>
        <w:spacing w:line="240" w:lineRule="auto"/>
        <w:ind w:left="567" w:hanging="567"/>
        <w:contextualSpacing/>
        <w:rPr>
          <w:lang w:val="en-ZA"/>
        </w:rPr>
      </w:pPr>
    </w:p>
    <w:p w14:paraId="753BACAA" w14:textId="77777777" w:rsidR="008A4253" w:rsidRDefault="008A4253" w:rsidP="00A078CA">
      <w:pPr>
        <w:pStyle w:val="JudgmentNumbered0"/>
        <w:numPr>
          <w:ilvl w:val="0"/>
          <w:numId w:val="0"/>
        </w:numPr>
        <w:spacing w:line="240" w:lineRule="auto"/>
        <w:ind w:left="567" w:hanging="567"/>
        <w:contextualSpacing/>
        <w:rPr>
          <w:lang w:val="en-ZA"/>
        </w:rPr>
      </w:pPr>
    </w:p>
    <w:p w14:paraId="5AC085B8" w14:textId="17AA2434" w:rsidR="00EA7543" w:rsidRPr="007B2048" w:rsidRDefault="00EA7543" w:rsidP="00A078CA">
      <w:pPr>
        <w:pStyle w:val="JudgmentNumbered0"/>
        <w:numPr>
          <w:ilvl w:val="0"/>
          <w:numId w:val="0"/>
        </w:numPr>
        <w:spacing w:line="240" w:lineRule="auto"/>
        <w:ind w:left="567" w:hanging="567"/>
        <w:contextualSpacing/>
        <w:rPr>
          <w:lang w:val="en-ZA"/>
        </w:rPr>
      </w:pPr>
      <w:r>
        <w:rPr>
          <w:lang w:val="en-ZA"/>
        </w:rPr>
        <w:t>Judgment handed down:</w:t>
      </w:r>
    </w:p>
    <w:p w14:paraId="28917FE2" w14:textId="29196C52" w:rsidR="0098252E" w:rsidRPr="00AE6097" w:rsidRDefault="0098252E" w:rsidP="0098252E">
      <w:pPr>
        <w:spacing w:after="0" w:line="240" w:lineRule="auto"/>
        <w:ind w:left="0"/>
        <w:rPr>
          <w:rFonts w:eastAsia="Times New Roman" w:cs="Arial"/>
          <w:szCs w:val="24"/>
          <w:lang w:val="en-ZA"/>
        </w:rPr>
      </w:pPr>
      <w:r w:rsidRPr="00AE6097">
        <w:rPr>
          <w:rFonts w:eastAsia="Times New Roman" w:cs="Arial"/>
          <w:szCs w:val="24"/>
          <w:lang w:val="en-ZA"/>
        </w:rPr>
        <w:br w:type="column"/>
      </w:r>
      <w:r w:rsidR="00051AA8">
        <w:rPr>
          <w:rFonts w:eastAsia="Times New Roman" w:cs="Arial"/>
          <w:szCs w:val="24"/>
          <w:lang w:val="en-ZA"/>
        </w:rPr>
        <w:t>In person</w:t>
      </w:r>
    </w:p>
    <w:p w14:paraId="70E3D219" w14:textId="77777777" w:rsidR="0098252E" w:rsidRPr="00AE6097" w:rsidRDefault="0098252E" w:rsidP="0098252E">
      <w:pPr>
        <w:spacing w:after="0" w:line="240" w:lineRule="auto"/>
        <w:ind w:left="0"/>
        <w:rPr>
          <w:rFonts w:eastAsia="Times New Roman" w:cs="Arial"/>
          <w:szCs w:val="24"/>
          <w:lang w:val="en-ZA"/>
        </w:rPr>
      </w:pPr>
    </w:p>
    <w:p w14:paraId="6EFFF07B" w14:textId="77777777" w:rsidR="0098252E" w:rsidRPr="00AE6097" w:rsidRDefault="0098252E" w:rsidP="0098252E">
      <w:pPr>
        <w:spacing w:after="0" w:line="240" w:lineRule="auto"/>
        <w:ind w:left="0"/>
        <w:rPr>
          <w:rFonts w:eastAsia="Times New Roman" w:cs="Arial"/>
          <w:szCs w:val="24"/>
          <w:highlight w:val="yellow"/>
          <w:lang w:val="en-ZA"/>
        </w:rPr>
      </w:pPr>
    </w:p>
    <w:p w14:paraId="6BB991FF" w14:textId="25E19E63" w:rsidR="0098252E" w:rsidRPr="00AE6097" w:rsidRDefault="00051AA8" w:rsidP="0098252E">
      <w:pPr>
        <w:spacing w:after="0" w:line="240" w:lineRule="auto"/>
        <w:ind w:left="0"/>
        <w:rPr>
          <w:rFonts w:cs="Arial"/>
          <w:b/>
          <w:szCs w:val="24"/>
          <w:lang w:val="en-ZA"/>
        </w:rPr>
      </w:pPr>
      <w:r>
        <w:rPr>
          <w:rFonts w:eastAsia="Times New Roman" w:cs="Arial"/>
          <w:szCs w:val="24"/>
          <w:lang w:val="en-ZA"/>
        </w:rPr>
        <w:t>R Stevenson</w:t>
      </w:r>
      <w:r w:rsidR="00C34AE3">
        <w:rPr>
          <w:rFonts w:eastAsia="Times New Roman" w:cs="Arial"/>
          <w:szCs w:val="24"/>
          <w:lang w:val="en-ZA"/>
        </w:rPr>
        <w:t xml:space="preserve">, </w:t>
      </w:r>
      <w:r w:rsidR="0098252E" w:rsidRPr="00AE6097">
        <w:rPr>
          <w:rFonts w:eastAsia="Times New Roman" w:cs="Arial"/>
          <w:szCs w:val="24"/>
          <w:lang w:val="en-ZA"/>
        </w:rPr>
        <w:t xml:space="preserve">instructed by </w:t>
      </w:r>
      <w:r w:rsidR="00CE70A3">
        <w:rPr>
          <w:rFonts w:eastAsia="Times New Roman" w:cs="Arial"/>
          <w:szCs w:val="24"/>
          <w:lang w:val="en-ZA"/>
        </w:rPr>
        <w:t>Marie-Lou Bester Inc.</w:t>
      </w:r>
    </w:p>
    <w:p w14:paraId="32EA3423" w14:textId="77777777" w:rsidR="00E96BCF" w:rsidRDefault="00E96BCF" w:rsidP="008A4253">
      <w:pPr>
        <w:spacing w:line="240" w:lineRule="auto"/>
        <w:ind w:left="0"/>
        <w:contextualSpacing/>
        <w:rPr>
          <w:rFonts w:cs="Arial"/>
          <w:szCs w:val="24"/>
          <w:lang w:val="en-ZA"/>
        </w:rPr>
      </w:pPr>
    </w:p>
    <w:p w14:paraId="2D0C112D" w14:textId="2D5DD2EB" w:rsidR="00000617" w:rsidRDefault="00980D59" w:rsidP="008A4253">
      <w:pPr>
        <w:pStyle w:val="JudgmentNumbered0"/>
        <w:numPr>
          <w:ilvl w:val="0"/>
          <w:numId w:val="0"/>
        </w:numPr>
        <w:spacing w:line="240" w:lineRule="auto"/>
        <w:ind w:left="567" w:hanging="567"/>
        <w:contextualSpacing/>
        <w:rPr>
          <w:lang w:val="en-ZA"/>
        </w:rPr>
      </w:pPr>
      <w:r>
        <w:rPr>
          <w:lang w:val="en-ZA"/>
        </w:rPr>
        <w:t>12 April 2023</w:t>
      </w:r>
    </w:p>
    <w:p w14:paraId="364AABDC" w14:textId="77777777" w:rsidR="00000617" w:rsidRPr="00000617" w:rsidRDefault="00000617" w:rsidP="008A4253">
      <w:pPr>
        <w:pStyle w:val="JudgmentNumbered0"/>
        <w:numPr>
          <w:ilvl w:val="0"/>
          <w:numId w:val="0"/>
        </w:numPr>
        <w:spacing w:line="240" w:lineRule="auto"/>
        <w:ind w:left="567" w:hanging="567"/>
        <w:contextualSpacing/>
        <w:rPr>
          <w:lang w:val="en-ZA"/>
        </w:rPr>
      </w:pPr>
    </w:p>
    <w:p w14:paraId="5D132981" w14:textId="77777777" w:rsidR="00643BF7" w:rsidRDefault="00643BF7" w:rsidP="008A4253">
      <w:pPr>
        <w:pStyle w:val="JudgmentNumbered0"/>
        <w:numPr>
          <w:ilvl w:val="0"/>
          <w:numId w:val="0"/>
        </w:numPr>
        <w:spacing w:line="240" w:lineRule="auto"/>
        <w:contextualSpacing/>
        <w:rPr>
          <w:lang w:val="en-ZA"/>
        </w:rPr>
      </w:pPr>
    </w:p>
    <w:p w14:paraId="478FB6FA" w14:textId="5D2B4D91" w:rsidR="00EA7543" w:rsidRPr="00643BF7" w:rsidRDefault="00B772BB" w:rsidP="008A4253">
      <w:pPr>
        <w:pStyle w:val="JudgmentNumbered0"/>
        <w:numPr>
          <w:ilvl w:val="0"/>
          <w:numId w:val="0"/>
        </w:numPr>
        <w:spacing w:line="240" w:lineRule="auto"/>
        <w:rPr>
          <w:lang w:val="en-ZA"/>
        </w:rPr>
      </w:pPr>
      <w:r>
        <w:rPr>
          <w:lang w:val="en-ZA"/>
        </w:rPr>
        <w:t>4 April 2024</w:t>
      </w:r>
    </w:p>
    <w:sectPr w:rsidR="00EA7543" w:rsidRPr="00643BF7" w:rsidSect="004C22B6">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97B67" w14:textId="77777777" w:rsidR="004C22B6" w:rsidRDefault="004C22B6" w:rsidP="00834C1D">
      <w:pPr>
        <w:spacing w:after="0" w:line="240" w:lineRule="auto"/>
      </w:pPr>
      <w:r>
        <w:separator/>
      </w:r>
    </w:p>
  </w:endnote>
  <w:endnote w:type="continuationSeparator" w:id="0">
    <w:p w14:paraId="372D7252" w14:textId="77777777" w:rsidR="004C22B6" w:rsidRDefault="004C22B6" w:rsidP="00834C1D">
      <w:pPr>
        <w:spacing w:after="0" w:line="240" w:lineRule="auto"/>
      </w:pPr>
      <w:r>
        <w:continuationSeparator/>
      </w:r>
    </w:p>
  </w:endnote>
  <w:endnote w:type="continuationNotice" w:id="1">
    <w:p w14:paraId="1C7F2918" w14:textId="77777777" w:rsidR="004C22B6" w:rsidRDefault="004C2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34A33" w14:textId="77777777" w:rsidR="005053F4" w:rsidRDefault="005053F4">
    <w:pPr>
      <w:pStyle w:val="Footer"/>
      <w:jc w:val="right"/>
      <w:rPr>
        <w:b/>
        <w:bCs/>
      </w:rPr>
    </w:pPr>
  </w:p>
  <w:p w14:paraId="29B62B50" w14:textId="77777777" w:rsidR="005053F4" w:rsidRDefault="005053F4">
    <w:pPr>
      <w:pStyle w:val="Footer"/>
      <w:jc w:val="right"/>
      <w:rPr>
        <w:b/>
        <w:bCs/>
      </w:rPr>
    </w:pPr>
  </w:p>
  <w:p w14:paraId="3BC59429" w14:textId="77777777" w:rsidR="005053F4" w:rsidRDefault="005053F4">
    <w:pPr>
      <w:pStyle w:val="Footer"/>
      <w:jc w:val="right"/>
      <w:rPr>
        <w:b/>
        <w:bCs/>
      </w:rPr>
    </w:pPr>
  </w:p>
  <w:sdt>
    <w:sdtPr>
      <w:rPr>
        <w:b/>
        <w:bCs/>
      </w:rPr>
      <w:id w:val="-339924951"/>
      <w:docPartObj>
        <w:docPartGallery w:val="Page Numbers (Bottom of Page)"/>
        <w:docPartUnique/>
      </w:docPartObj>
    </w:sdtPr>
    <w:sdtEndPr>
      <w:rPr>
        <w:noProof/>
      </w:rPr>
    </w:sdtEndPr>
    <w:sdtContent>
      <w:p w14:paraId="170A9CAB" w14:textId="27CD3424" w:rsidR="00205B18" w:rsidRPr="005053F4" w:rsidRDefault="00205B18">
        <w:pPr>
          <w:pStyle w:val="Footer"/>
          <w:jc w:val="right"/>
          <w:rPr>
            <w:b/>
            <w:bCs/>
          </w:rPr>
        </w:pPr>
        <w:r w:rsidRPr="005053F4">
          <w:rPr>
            <w:b/>
            <w:bCs/>
          </w:rPr>
          <w:fldChar w:fldCharType="begin"/>
        </w:r>
        <w:r w:rsidRPr="005053F4">
          <w:rPr>
            <w:b/>
            <w:bCs/>
          </w:rPr>
          <w:instrText xml:space="preserve"> PAGE   \* MERGEFORMAT </w:instrText>
        </w:r>
        <w:r w:rsidRPr="005053F4">
          <w:rPr>
            <w:b/>
            <w:bCs/>
          </w:rPr>
          <w:fldChar w:fldCharType="separate"/>
        </w:r>
        <w:r w:rsidR="000F5BB0">
          <w:rPr>
            <w:b/>
            <w:bCs/>
            <w:noProof/>
          </w:rPr>
          <w:t>2</w:t>
        </w:r>
        <w:r w:rsidRPr="005053F4">
          <w:rPr>
            <w:b/>
            <w:bCs/>
            <w:noProof/>
          </w:rPr>
          <w:fldChar w:fldCharType="end"/>
        </w:r>
      </w:p>
    </w:sdtContent>
  </w:sdt>
  <w:p w14:paraId="23F11A5B" w14:textId="77777777" w:rsidR="00205B18" w:rsidRDefault="00205B18">
    <w:pPr>
      <w:pStyle w:val="Footer"/>
    </w:pPr>
  </w:p>
  <w:p w14:paraId="3DEA3770" w14:textId="77777777" w:rsidR="005053F4" w:rsidRDefault="00505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C8BFA" w14:textId="77777777" w:rsidR="004C22B6" w:rsidRDefault="004C22B6" w:rsidP="00834C1D">
      <w:pPr>
        <w:spacing w:after="0" w:line="240" w:lineRule="auto"/>
      </w:pPr>
      <w:r>
        <w:separator/>
      </w:r>
    </w:p>
  </w:footnote>
  <w:footnote w:type="continuationSeparator" w:id="0">
    <w:p w14:paraId="1B235600" w14:textId="77777777" w:rsidR="004C22B6" w:rsidRDefault="004C22B6" w:rsidP="00834C1D">
      <w:pPr>
        <w:spacing w:after="0" w:line="240" w:lineRule="auto"/>
      </w:pPr>
      <w:r>
        <w:continuationSeparator/>
      </w:r>
    </w:p>
  </w:footnote>
  <w:footnote w:type="continuationNotice" w:id="1">
    <w:p w14:paraId="62176C25" w14:textId="77777777" w:rsidR="004C22B6" w:rsidRDefault="004C22B6">
      <w:pPr>
        <w:spacing w:after="0" w:line="240" w:lineRule="auto"/>
      </w:pPr>
    </w:p>
  </w:footnote>
  <w:footnote w:id="2">
    <w:p w14:paraId="6A45AAC4" w14:textId="77777777" w:rsidR="00F462E4" w:rsidRPr="00633B54" w:rsidRDefault="00F462E4" w:rsidP="00F462E4">
      <w:pPr>
        <w:pStyle w:val="FootnoteText"/>
        <w:ind w:left="0" w:firstLine="567"/>
        <w:rPr>
          <w:i/>
          <w:iCs/>
          <w:lang w:val="en-ZA"/>
        </w:rPr>
      </w:pPr>
      <w:r>
        <w:rPr>
          <w:rStyle w:val="FootnoteReference"/>
        </w:rPr>
        <w:footnoteRef/>
      </w:r>
      <w:r>
        <w:t xml:space="preserve"> “</w:t>
      </w:r>
      <w:r w:rsidRPr="00633B54">
        <w:rPr>
          <w:b/>
          <w:bCs/>
          <w:i/>
          <w:iCs/>
          <w:lang w:val="en-ZA"/>
        </w:rPr>
        <w:t xml:space="preserve">42. Variation and rescission of orders </w:t>
      </w:r>
    </w:p>
    <w:p w14:paraId="0DB502D7" w14:textId="77777777" w:rsidR="00F462E4" w:rsidRPr="00834C1D" w:rsidRDefault="00F462E4" w:rsidP="00F462E4">
      <w:pPr>
        <w:pStyle w:val="FootnoteText"/>
        <w:ind w:left="720" w:hanging="153"/>
        <w:rPr>
          <w:i/>
          <w:iCs/>
          <w:lang w:val="en-ZA"/>
        </w:rPr>
      </w:pPr>
      <w:r w:rsidRPr="00834C1D">
        <w:rPr>
          <w:i/>
          <w:iCs/>
          <w:lang w:val="en-ZA"/>
        </w:rPr>
        <w:t xml:space="preserve">(1) The court may, in addition to any other powers it may have, </w:t>
      </w:r>
      <w:r w:rsidRPr="00BD06DB">
        <w:rPr>
          <w:lang w:val="en-ZA"/>
        </w:rPr>
        <w:t>mero motu</w:t>
      </w:r>
      <w:r w:rsidRPr="00834C1D">
        <w:rPr>
          <w:i/>
          <w:iCs/>
          <w:lang w:val="en-ZA"/>
        </w:rPr>
        <w:t xml:space="preserve"> or upon the application of any party affected, rescind or vary— </w:t>
      </w:r>
    </w:p>
    <w:p w14:paraId="743A9937" w14:textId="77777777" w:rsidR="00F462E4" w:rsidRPr="00633B54" w:rsidRDefault="00F462E4" w:rsidP="00F462E4">
      <w:pPr>
        <w:pStyle w:val="FootnoteText"/>
        <w:ind w:left="1440"/>
        <w:rPr>
          <w:lang w:val="en-ZA"/>
        </w:rPr>
      </w:pPr>
      <w:r w:rsidRPr="00633B54">
        <w:rPr>
          <w:i/>
          <w:iCs/>
          <w:lang w:val="en-ZA"/>
        </w:rPr>
        <w:t xml:space="preserve">(a) an order or </w:t>
      </w:r>
      <w:bookmarkStart w:id="0" w:name="_Hlk161758676"/>
      <w:r w:rsidRPr="00633B54">
        <w:rPr>
          <w:i/>
          <w:iCs/>
          <w:lang w:val="en-ZA"/>
        </w:rPr>
        <w:t>judgment erroneously sought or erroneously granted</w:t>
      </w:r>
      <w:bookmarkEnd w:id="0"/>
      <w:r w:rsidRPr="00633B54">
        <w:rPr>
          <w:i/>
          <w:iCs/>
          <w:lang w:val="en-ZA"/>
        </w:rPr>
        <w:t xml:space="preserve"> in the absence of any party affected thereby;</w:t>
      </w:r>
      <w:r>
        <w:rPr>
          <w:lang w:val="en-ZA"/>
        </w:rPr>
        <w:t>”</w:t>
      </w:r>
    </w:p>
  </w:footnote>
  <w:footnote w:id="3">
    <w:p w14:paraId="124EAA4B" w14:textId="0C68CB06" w:rsidR="00471B09" w:rsidRPr="00471B09" w:rsidRDefault="00471B09">
      <w:pPr>
        <w:pStyle w:val="FootnoteText"/>
        <w:rPr>
          <w:lang w:val="en-ZA"/>
        </w:rPr>
      </w:pPr>
      <w:r>
        <w:rPr>
          <w:rStyle w:val="FootnoteReference"/>
        </w:rPr>
        <w:footnoteRef/>
      </w:r>
      <w:r>
        <w:t xml:space="preserve"> </w:t>
      </w:r>
      <w:r w:rsidRPr="00471B09">
        <w:rPr>
          <w:i/>
          <w:iCs/>
        </w:rPr>
        <w:t>Money Box Investments 268 (Pty) Ltd v Easy Greens Farming and Farm Produce CC</w:t>
      </w:r>
      <w:r w:rsidRPr="00471B09">
        <w:t xml:space="preserve"> (A221/2019) [2021] ZAGPPHC 599 (16 September 2021)</w:t>
      </w:r>
      <w:r>
        <w:t xml:space="preserve"> at paragraph 7</w:t>
      </w:r>
      <w:r w:rsidR="002A13F7">
        <w:t>.</w:t>
      </w:r>
    </w:p>
  </w:footnote>
  <w:footnote w:id="4">
    <w:p w14:paraId="51C988FC" w14:textId="627D0AA5" w:rsidR="006E0E6F" w:rsidRPr="006E0E6F" w:rsidRDefault="006E0E6F">
      <w:pPr>
        <w:pStyle w:val="FootnoteText"/>
        <w:rPr>
          <w:lang w:val="en-ZA"/>
        </w:rPr>
      </w:pPr>
      <w:r>
        <w:rPr>
          <w:rStyle w:val="FootnoteReference"/>
        </w:rPr>
        <w:footnoteRef/>
      </w:r>
      <w:r>
        <w:t xml:space="preserve"> </w:t>
      </w:r>
      <w:r w:rsidR="00346C20">
        <w:rPr>
          <w:lang w:val="en-ZA"/>
        </w:rPr>
        <w:t>Rule 31(2)(b) provides that: “</w:t>
      </w:r>
      <w:r w:rsidR="006577F4">
        <w:rPr>
          <w:i/>
          <w:iCs/>
          <w:lang w:val="en-ZA"/>
        </w:rPr>
        <w:t>…</w:t>
      </w:r>
      <w:r w:rsidR="00346C20" w:rsidRPr="006577F4">
        <w:rPr>
          <w:i/>
          <w:iCs/>
          <w:lang w:val="en-ZA"/>
        </w:rPr>
        <w:t>A defendant may within 20 days after acquiring knowledge of such judgment apply to court upon notice to the plaintiff to set aside such judgment and the court may, upon good cause shown, set aside the default judgment on such terms as it deems fit.</w:t>
      </w:r>
      <w:r w:rsidR="006577F4">
        <w:rPr>
          <w:lang w:val="en-ZA"/>
        </w:rPr>
        <w:t>”</w:t>
      </w:r>
    </w:p>
  </w:footnote>
  <w:footnote w:id="5">
    <w:p w14:paraId="599E877E" w14:textId="52FFC553" w:rsidR="00C27BA7" w:rsidRPr="00C27BA7" w:rsidRDefault="00C27BA7">
      <w:pPr>
        <w:pStyle w:val="FootnoteText"/>
        <w:rPr>
          <w:lang w:val="en-ZA"/>
        </w:rPr>
      </w:pPr>
      <w:r>
        <w:rPr>
          <w:rStyle w:val="FootnoteReference"/>
        </w:rPr>
        <w:footnoteRef/>
      </w:r>
      <w:r>
        <w:t xml:space="preserve"> </w:t>
      </w:r>
      <w:r w:rsidRPr="00DA0DB7">
        <w:rPr>
          <w:i/>
          <w:iCs/>
        </w:rPr>
        <w:t>Dengetenge Holdings (Pty) Ltd v Southern Sphere Mining and Development Company Ltd and Others</w:t>
      </w:r>
      <w:r>
        <w:t xml:space="preserve"> [2013] 2 All 251 (SCA) at paragraph 11.</w:t>
      </w:r>
    </w:p>
  </w:footnote>
  <w:footnote w:id="6">
    <w:p w14:paraId="36CCAE8B" w14:textId="520B09CC" w:rsidR="00F01184" w:rsidRPr="00F01184" w:rsidRDefault="00F01184">
      <w:pPr>
        <w:pStyle w:val="FootnoteText"/>
        <w:rPr>
          <w:lang w:val="en-ZA"/>
        </w:rPr>
      </w:pPr>
      <w:r>
        <w:rPr>
          <w:rStyle w:val="FootnoteReference"/>
        </w:rPr>
        <w:footnoteRef/>
      </w:r>
      <w:r>
        <w:t xml:space="preserve"> </w:t>
      </w:r>
      <w:r w:rsidR="00954A86" w:rsidRPr="002877B9">
        <w:rPr>
          <w:i/>
          <w:iCs/>
        </w:rPr>
        <w:t>Kgomo and Another v Standard Bank of South Africa and Others</w:t>
      </w:r>
      <w:r w:rsidR="00954A86" w:rsidRPr="00954A86">
        <w:t xml:space="preserve"> (47272/12) [2015] ZAGPPHC 1126; 2016 (2) SA 184 (GP)</w:t>
      </w:r>
      <w:r w:rsidR="002877B9">
        <w:t xml:space="preserve"> at paragraph [11].</w:t>
      </w:r>
      <w:r>
        <w:rPr>
          <w:lang w:val="en-ZA"/>
        </w:rPr>
        <w:t xml:space="preserve"> See also: </w:t>
      </w:r>
      <w:r w:rsidR="0072571C" w:rsidRPr="002877B9">
        <w:rPr>
          <w:i/>
          <w:iCs/>
          <w:lang w:val="en-ZA"/>
        </w:rPr>
        <w:t>Colyn v Tiger Food Industries Ltd t/a Meadow Feed Mills Cape</w:t>
      </w:r>
      <w:r w:rsidR="0072571C" w:rsidRPr="0072571C">
        <w:rPr>
          <w:lang w:val="en-ZA"/>
        </w:rPr>
        <w:t xml:space="preserve"> (127/2002) [2003] ZASCA 36; [2003] 2 All SA 113 (SCA) (31 March 2003)</w:t>
      </w:r>
      <w:r w:rsidR="00D47754">
        <w:rPr>
          <w:lang w:val="en-ZA"/>
        </w:rPr>
        <w:t xml:space="preserve"> at paragraph [4], and </w:t>
      </w:r>
      <w:r w:rsidR="00E237D7" w:rsidRPr="002877B9">
        <w:rPr>
          <w:i/>
          <w:iCs/>
          <w:lang w:val="en-ZA"/>
        </w:rPr>
        <w:t xml:space="preserve">Lodhi 2 Properties Investments CC v </w:t>
      </w:r>
      <w:r w:rsidR="00E237D7" w:rsidRPr="002877B9">
        <w:rPr>
          <w:i/>
          <w:iCs/>
          <w:lang w:val="en-ZA"/>
        </w:rPr>
        <w:t>Bondev Developments (Pty) Ltd</w:t>
      </w:r>
      <w:r w:rsidR="00E237D7" w:rsidRPr="00E237D7">
        <w:rPr>
          <w:lang w:val="en-ZA"/>
        </w:rPr>
        <w:t xml:space="preserve"> (128/06) [2007] ZASCA 85; [2007] SCA 85 (RSA) ; 2007 (6) SA 87 (SCA)</w:t>
      </w:r>
      <w:r w:rsidR="00CD4B03">
        <w:rPr>
          <w:lang w:val="en-ZA"/>
        </w:rPr>
        <w:t xml:space="preserve"> at paragraphs </w:t>
      </w:r>
      <w:r w:rsidR="006B4DEC">
        <w:rPr>
          <w:lang w:val="en-ZA"/>
        </w:rPr>
        <w:t>[17] to [19]</w:t>
      </w:r>
      <w:r w:rsidR="000C56A8">
        <w:rPr>
          <w:lang w:val="en-ZA"/>
        </w:rPr>
        <w:t>.</w:t>
      </w:r>
    </w:p>
  </w:footnote>
  <w:footnote w:id="7">
    <w:p w14:paraId="06B1DDD1" w14:textId="1E0FD86C" w:rsidR="00561934" w:rsidRPr="00561934" w:rsidRDefault="00561934" w:rsidP="00531AAC">
      <w:pPr>
        <w:pStyle w:val="FootnoteText"/>
        <w:rPr>
          <w:lang w:val="en-ZA"/>
        </w:rPr>
      </w:pPr>
      <w:r>
        <w:rPr>
          <w:rStyle w:val="FootnoteReference"/>
        </w:rPr>
        <w:footnoteRef/>
      </w:r>
      <w:r>
        <w:t xml:space="preserve"> </w:t>
      </w:r>
      <w:r w:rsidR="0073459E" w:rsidRPr="0073459E">
        <w:rPr>
          <w:i/>
          <w:iCs/>
          <w:lang w:val="en-ZA"/>
        </w:rPr>
        <w:t>Zuma v Secretary of the Judicial Commission of Inquiry into Allegations of State Capture, Corruption and Fraud in the Public Sector Including Organs of State and Others</w:t>
      </w:r>
      <w:r w:rsidR="0073459E" w:rsidRPr="0073459E">
        <w:rPr>
          <w:lang w:val="en-ZA"/>
        </w:rPr>
        <w:t xml:space="preserve"> (CCT 52/21) [2021] ZACC 28; 2021 (11) BCLR 1263 (CC) (17 September 2021</w:t>
      </w:r>
      <w:r w:rsidR="0073459E">
        <w:rPr>
          <w:lang w:val="en-ZA"/>
        </w:rPr>
        <w:t>, paragraph 53.</w:t>
      </w:r>
    </w:p>
  </w:footnote>
  <w:footnote w:id="8">
    <w:p w14:paraId="2712CB54" w14:textId="0822CD99" w:rsidR="004E5DFB" w:rsidRPr="004E5DFB" w:rsidRDefault="004E5DFB">
      <w:pPr>
        <w:pStyle w:val="FootnoteText"/>
        <w:rPr>
          <w:lang w:val="en-ZA"/>
        </w:rPr>
      </w:pPr>
      <w:r>
        <w:rPr>
          <w:rStyle w:val="FootnoteReference"/>
        </w:rPr>
        <w:footnoteRef/>
      </w:r>
      <w:r>
        <w:t xml:space="preserve"> </w:t>
      </w:r>
      <w:r w:rsidR="00531AAC" w:rsidRPr="007E7364">
        <w:rPr>
          <w:i/>
          <w:iCs/>
        </w:rPr>
        <w:t>Van der Merwe v Bonaero Park (Edms) Bpk</w:t>
      </w:r>
      <w:r w:rsidR="00531AAC">
        <w:t xml:space="preserve"> 1998(</w:t>
      </w:r>
      <w:r w:rsidR="007E7364">
        <w:t>1) SA 697 at 702H.</w:t>
      </w:r>
    </w:p>
  </w:footnote>
  <w:footnote w:id="9">
    <w:p w14:paraId="5453B327" w14:textId="0CFCE301" w:rsidR="00970549" w:rsidRPr="00970549" w:rsidRDefault="00970549">
      <w:pPr>
        <w:pStyle w:val="FootnoteText"/>
        <w:rPr>
          <w:lang w:val="en-ZA"/>
        </w:rPr>
      </w:pPr>
      <w:r>
        <w:rPr>
          <w:rStyle w:val="FootnoteReference"/>
        </w:rPr>
        <w:footnoteRef/>
      </w:r>
      <w:r>
        <w:t xml:space="preserve"> </w:t>
      </w:r>
      <w:r w:rsidRPr="00C60943">
        <w:rPr>
          <w:i/>
          <w:iCs/>
        </w:rPr>
        <w:t>Colyn v Tiger Food Industries Ltd t/a Meadow Feed Mills (Cape)</w:t>
      </w:r>
      <w:r w:rsidRPr="00970549">
        <w:t>, 2003 (6) SA 1 SCA</w:t>
      </w:r>
      <w:r w:rsidR="00A256CE">
        <w:t xml:space="preserve"> at paragraph </w:t>
      </w:r>
      <w:r w:rsidR="00156C2A">
        <w:t>[11]</w:t>
      </w:r>
      <w:r w:rsidR="00054F15">
        <w:t>.</w:t>
      </w:r>
      <w:r w:rsidR="00156C2A">
        <w:t xml:space="preserve"> See also: </w:t>
      </w:r>
      <w:r w:rsidR="00332D18" w:rsidRPr="00C60943">
        <w:rPr>
          <w:i/>
          <w:iCs/>
        </w:rPr>
        <w:t>Grant v Plumbers (Pty) Ltd</w:t>
      </w:r>
      <w:r w:rsidR="003D4971">
        <w:t xml:space="preserve"> </w:t>
      </w:r>
      <w:r w:rsidR="003D4971" w:rsidRPr="003D4971">
        <w:t>1949 (2) SA 470 (O) 476</w:t>
      </w:r>
      <w:r w:rsidR="00332D18" w:rsidRPr="00C60943">
        <w:rPr>
          <w:i/>
          <w:iCs/>
        </w:rPr>
        <w:t>, HDS Construction (Pty) Ltd v Wait</w:t>
      </w:r>
      <w:r w:rsidR="00332D18" w:rsidRPr="00332D18">
        <w:t xml:space="preserve"> </w:t>
      </w:r>
      <w:r w:rsidR="0085125B" w:rsidRPr="0085125B">
        <w:t>1979 (2) SA 298 (E) at 300 in fine – 301</w:t>
      </w:r>
      <w:r w:rsidR="00840695">
        <w:t>C</w:t>
      </w:r>
      <w:r w:rsidR="0085125B" w:rsidRPr="00C60943">
        <w:rPr>
          <w:i/>
          <w:iCs/>
        </w:rPr>
        <w:t>.</w:t>
      </w:r>
      <w:r w:rsidR="00332D18" w:rsidRPr="00C60943">
        <w:rPr>
          <w:i/>
          <w:iCs/>
        </w:rPr>
        <w:t xml:space="preserve"> Chetty v Law Society, Transvaal</w:t>
      </w:r>
      <w:r w:rsidR="00840695">
        <w:t xml:space="preserve"> </w:t>
      </w:r>
      <w:r w:rsidR="00ED6331" w:rsidRPr="00ED6331">
        <w:t>1985 (2) SA 756 (A) at 764 I – 765 F</w:t>
      </w:r>
      <w:r w:rsidR="00332D18" w:rsidRPr="00332D18">
        <w:t>.</w:t>
      </w:r>
    </w:p>
  </w:footnote>
  <w:footnote w:id="10">
    <w:p w14:paraId="78CC520A" w14:textId="45D0161A" w:rsidR="00AC54EF" w:rsidRPr="00AC54EF" w:rsidRDefault="00AC54EF">
      <w:pPr>
        <w:pStyle w:val="FootnoteText"/>
        <w:rPr>
          <w:lang w:val="en-ZA"/>
        </w:rPr>
      </w:pPr>
      <w:r>
        <w:rPr>
          <w:rStyle w:val="FootnoteReference"/>
        </w:rPr>
        <w:footnoteRef/>
      </w:r>
      <w:r>
        <w:t xml:space="preserve"> </w:t>
      </w:r>
      <w:r w:rsidRPr="00AE6206">
        <w:rPr>
          <w:i/>
          <w:iCs/>
        </w:rPr>
        <w:t>Gap Merchant Recycling CC v Goal Reach Trading CC</w:t>
      </w:r>
      <w:r w:rsidRPr="00AC54EF">
        <w:t xml:space="preserve"> 2016 (1) SA 261 (WCC)</w:t>
      </w:r>
      <w:r>
        <w:t>.</w:t>
      </w:r>
    </w:p>
  </w:footnote>
  <w:footnote w:id="11">
    <w:p w14:paraId="202424FD" w14:textId="189F43BE" w:rsidR="00BB21A0" w:rsidRPr="00386D55" w:rsidRDefault="00BB21A0" w:rsidP="00386D55">
      <w:pPr>
        <w:pStyle w:val="FootnoteText"/>
      </w:pPr>
      <w:r>
        <w:rPr>
          <w:rStyle w:val="FootnoteReference"/>
        </w:rPr>
        <w:footnoteRef/>
      </w:r>
      <w:r>
        <w:t xml:space="preserve"> </w:t>
      </w:r>
      <w:r w:rsidR="00386D55" w:rsidRPr="00AE6206">
        <w:rPr>
          <w:i/>
          <w:iCs/>
        </w:rPr>
        <w:t>Standard Bank of SA Limited v El-Naddaf and Another</w:t>
      </w:r>
      <w:r w:rsidR="00386D55">
        <w:t xml:space="preserve"> 1999 (4) SA 779 (W).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A7A26"/>
    <w:multiLevelType w:val="hybridMultilevel"/>
    <w:tmpl w:val="7F7E9AB8"/>
    <w:lvl w:ilvl="0" w:tplc="FF260332">
      <w:start w:val="1"/>
      <w:numFmt w:val="decimal"/>
      <w:pStyle w:val="JUDGMENTNUMBERED"/>
      <w:lvlText w:val="[%1]"/>
      <w:lvlJc w:val="left"/>
      <w:pPr>
        <w:ind w:left="360" w:hanging="36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1" w:tplc="1C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5191459"/>
    <w:multiLevelType w:val="hybridMultilevel"/>
    <w:tmpl w:val="934EB8CA"/>
    <w:lvl w:ilvl="0" w:tplc="CAFA5BA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F45473B"/>
    <w:multiLevelType w:val="multilevel"/>
    <w:tmpl w:val="191A5ECE"/>
    <w:lvl w:ilvl="0">
      <w:start w:val="1"/>
      <w:numFmt w:val="decimal"/>
      <w:pStyle w:val="JudgmentNumbered0"/>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77335623">
    <w:abstractNumId w:val="3"/>
  </w:num>
  <w:num w:numId="2" w16cid:durableId="1871842108">
    <w:abstractNumId w:val="4"/>
  </w:num>
  <w:num w:numId="3" w16cid:durableId="1315716725">
    <w:abstractNumId w:val="1"/>
  </w:num>
  <w:num w:numId="4" w16cid:durableId="1076170452">
    <w:abstractNumId w:val="3"/>
  </w:num>
  <w:num w:numId="5" w16cid:durableId="4868996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6358349">
    <w:abstractNumId w:val="0"/>
  </w:num>
  <w:num w:numId="7" w16cid:durableId="197855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AwNzE1sjA1NjYwNjdS0lEKTi0uzszPAykwrgUA4vJLOCwAAAA="/>
  </w:docVars>
  <w:rsids>
    <w:rsidRoot w:val="00B963C0"/>
    <w:rsid w:val="00000617"/>
    <w:rsid w:val="00002F6E"/>
    <w:rsid w:val="0000325A"/>
    <w:rsid w:val="000041A2"/>
    <w:rsid w:val="00004F6F"/>
    <w:rsid w:val="0000558D"/>
    <w:rsid w:val="00010E25"/>
    <w:rsid w:val="00011418"/>
    <w:rsid w:val="000145B8"/>
    <w:rsid w:val="000145D4"/>
    <w:rsid w:val="000155D9"/>
    <w:rsid w:val="00022E84"/>
    <w:rsid w:val="00030C9E"/>
    <w:rsid w:val="00031CA6"/>
    <w:rsid w:val="00033202"/>
    <w:rsid w:val="00033FB8"/>
    <w:rsid w:val="00035846"/>
    <w:rsid w:val="00041EA9"/>
    <w:rsid w:val="000512BB"/>
    <w:rsid w:val="00051AA8"/>
    <w:rsid w:val="00052740"/>
    <w:rsid w:val="00054CA4"/>
    <w:rsid w:val="00054E05"/>
    <w:rsid w:val="00054F15"/>
    <w:rsid w:val="000566D6"/>
    <w:rsid w:val="0006118A"/>
    <w:rsid w:val="00064CC0"/>
    <w:rsid w:val="00067E26"/>
    <w:rsid w:val="00070BF2"/>
    <w:rsid w:val="00075F80"/>
    <w:rsid w:val="000764C4"/>
    <w:rsid w:val="000805FE"/>
    <w:rsid w:val="0008268C"/>
    <w:rsid w:val="00087327"/>
    <w:rsid w:val="00093C19"/>
    <w:rsid w:val="00096C0F"/>
    <w:rsid w:val="0009790C"/>
    <w:rsid w:val="00097BF0"/>
    <w:rsid w:val="000A1028"/>
    <w:rsid w:val="000A21E3"/>
    <w:rsid w:val="000A28E0"/>
    <w:rsid w:val="000A664D"/>
    <w:rsid w:val="000A6CCB"/>
    <w:rsid w:val="000A7897"/>
    <w:rsid w:val="000B4B7C"/>
    <w:rsid w:val="000B75F9"/>
    <w:rsid w:val="000C30CA"/>
    <w:rsid w:val="000C394A"/>
    <w:rsid w:val="000C3CEC"/>
    <w:rsid w:val="000C56A8"/>
    <w:rsid w:val="000C5D8E"/>
    <w:rsid w:val="000D11EF"/>
    <w:rsid w:val="000D1240"/>
    <w:rsid w:val="000D1601"/>
    <w:rsid w:val="000D17A6"/>
    <w:rsid w:val="000D1996"/>
    <w:rsid w:val="000D1B2E"/>
    <w:rsid w:val="000F0868"/>
    <w:rsid w:val="000F4A2D"/>
    <w:rsid w:val="000F5BB0"/>
    <w:rsid w:val="000F6044"/>
    <w:rsid w:val="00100514"/>
    <w:rsid w:val="00103BE8"/>
    <w:rsid w:val="00104AA0"/>
    <w:rsid w:val="0011141D"/>
    <w:rsid w:val="00115995"/>
    <w:rsid w:val="00115C00"/>
    <w:rsid w:val="00117E33"/>
    <w:rsid w:val="00123AD4"/>
    <w:rsid w:val="0012671B"/>
    <w:rsid w:val="00137023"/>
    <w:rsid w:val="00144804"/>
    <w:rsid w:val="00145EA0"/>
    <w:rsid w:val="00156C2A"/>
    <w:rsid w:val="00163B75"/>
    <w:rsid w:val="001658B8"/>
    <w:rsid w:val="00166C60"/>
    <w:rsid w:val="001673F5"/>
    <w:rsid w:val="00175582"/>
    <w:rsid w:val="001761C2"/>
    <w:rsid w:val="001818E0"/>
    <w:rsid w:val="0018244F"/>
    <w:rsid w:val="00185677"/>
    <w:rsid w:val="00185CEA"/>
    <w:rsid w:val="0018645E"/>
    <w:rsid w:val="00186737"/>
    <w:rsid w:val="00190031"/>
    <w:rsid w:val="0019058C"/>
    <w:rsid w:val="001929B4"/>
    <w:rsid w:val="00193BB0"/>
    <w:rsid w:val="001953EB"/>
    <w:rsid w:val="00196CCC"/>
    <w:rsid w:val="001A68B9"/>
    <w:rsid w:val="001B1B34"/>
    <w:rsid w:val="001B6FFD"/>
    <w:rsid w:val="001C3485"/>
    <w:rsid w:val="001C3576"/>
    <w:rsid w:val="001C5042"/>
    <w:rsid w:val="001D03CA"/>
    <w:rsid w:val="001D076F"/>
    <w:rsid w:val="001D2B68"/>
    <w:rsid w:val="001D2ED7"/>
    <w:rsid w:val="001D3FB6"/>
    <w:rsid w:val="001D4C4B"/>
    <w:rsid w:val="001E06FF"/>
    <w:rsid w:val="001E1D6E"/>
    <w:rsid w:val="001E415F"/>
    <w:rsid w:val="001E5506"/>
    <w:rsid w:val="001E6E6A"/>
    <w:rsid w:val="001F396B"/>
    <w:rsid w:val="001F3B56"/>
    <w:rsid w:val="001F3BC4"/>
    <w:rsid w:val="001F5CAC"/>
    <w:rsid w:val="001F6DA5"/>
    <w:rsid w:val="00201E3A"/>
    <w:rsid w:val="00202B81"/>
    <w:rsid w:val="00205B18"/>
    <w:rsid w:val="002112B4"/>
    <w:rsid w:val="0021481E"/>
    <w:rsid w:val="00217755"/>
    <w:rsid w:val="00220C04"/>
    <w:rsid w:val="00222B8A"/>
    <w:rsid w:val="0022763A"/>
    <w:rsid w:val="00242A9A"/>
    <w:rsid w:val="00244643"/>
    <w:rsid w:val="00244CBA"/>
    <w:rsid w:val="00244DD2"/>
    <w:rsid w:val="0024614F"/>
    <w:rsid w:val="00246278"/>
    <w:rsid w:val="00251B67"/>
    <w:rsid w:val="00252B2B"/>
    <w:rsid w:val="00254CF7"/>
    <w:rsid w:val="002573B0"/>
    <w:rsid w:val="00267FAC"/>
    <w:rsid w:val="0027686E"/>
    <w:rsid w:val="00285851"/>
    <w:rsid w:val="002877B9"/>
    <w:rsid w:val="0029161A"/>
    <w:rsid w:val="002A080C"/>
    <w:rsid w:val="002A13F7"/>
    <w:rsid w:val="002A3308"/>
    <w:rsid w:val="002A381E"/>
    <w:rsid w:val="002A6872"/>
    <w:rsid w:val="002B021A"/>
    <w:rsid w:val="002B33ED"/>
    <w:rsid w:val="002B3416"/>
    <w:rsid w:val="002B3960"/>
    <w:rsid w:val="002B3D50"/>
    <w:rsid w:val="002B448C"/>
    <w:rsid w:val="002C1054"/>
    <w:rsid w:val="002C6D1C"/>
    <w:rsid w:val="002D1219"/>
    <w:rsid w:val="002D2C51"/>
    <w:rsid w:val="002D5398"/>
    <w:rsid w:val="002E5E81"/>
    <w:rsid w:val="002F00B2"/>
    <w:rsid w:val="002F0DC3"/>
    <w:rsid w:val="002F28A4"/>
    <w:rsid w:val="002F3032"/>
    <w:rsid w:val="002F5760"/>
    <w:rsid w:val="002F7286"/>
    <w:rsid w:val="00303A64"/>
    <w:rsid w:val="00305422"/>
    <w:rsid w:val="00310067"/>
    <w:rsid w:val="00310750"/>
    <w:rsid w:val="00312F58"/>
    <w:rsid w:val="00320858"/>
    <w:rsid w:val="00320D6D"/>
    <w:rsid w:val="00324727"/>
    <w:rsid w:val="0033241D"/>
    <w:rsid w:val="00332C24"/>
    <w:rsid w:val="00332D18"/>
    <w:rsid w:val="00342FFD"/>
    <w:rsid w:val="00343BBB"/>
    <w:rsid w:val="00344106"/>
    <w:rsid w:val="00345801"/>
    <w:rsid w:val="00346C20"/>
    <w:rsid w:val="00351EC9"/>
    <w:rsid w:val="0035321D"/>
    <w:rsid w:val="00353CC2"/>
    <w:rsid w:val="00357315"/>
    <w:rsid w:val="00357D59"/>
    <w:rsid w:val="003639A1"/>
    <w:rsid w:val="00366814"/>
    <w:rsid w:val="003673B7"/>
    <w:rsid w:val="00370316"/>
    <w:rsid w:val="00370777"/>
    <w:rsid w:val="003711C0"/>
    <w:rsid w:val="003731A9"/>
    <w:rsid w:val="00373EAF"/>
    <w:rsid w:val="00382414"/>
    <w:rsid w:val="00382849"/>
    <w:rsid w:val="00385F1F"/>
    <w:rsid w:val="003867D2"/>
    <w:rsid w:val="00386D55"/>
    <w:rsid w:val="00393E85"/>
    <w:rsid w:val="003A595B"/>
    <w:rsid w:val="003A5F06"/>
    <w:rsid w:val="003A6DA2"/>
    <w:rsid w:val="003B0AB9"/>
    <w:rsid w:val="003B0BEA"/>
    <w:rsid w:val="003B187A"/>
    <w:rsid w:val="003B2F8B"/>
    <w:rsid w:val="003B6B99"/>
    <w:rsid w:val="003C073C"/>
    <w:rsid w:val="003C382E"/>
    <w:rsid w:val="003C5A4D"/>
    <w:rsid w:val="003C6411"/>
    <w:rsid w:val="003C689A"/>
    <w:rsid w:val="003C773F"/>
    <w:rsid w:val="003D0889"/>
    <w:rsid w:val="003D08A7"/>
    <w:rsid w:val="003D4971"/>
    <w:rsid w:val="003D594F"/>
    <w:rsid w:val="003E0727"/>
    <w:rsid w:val="003E0B7D"/>
    <w:rsid w:val="003E210A"/>
    <w:rsid w:val="003E46FE"/>
    <w:rsid w:val="003E61A4"/>
    <w:rsid w:val="003E678F"/>
    <w:rsid w:val="003E7833"/>
    <w:rsid w:val="003F0F14"/>
    <w:rsid w:val="003F37DD"/>
    <w:rsid w:val="003F3F71"/>
    <w:rsid w:val="003F4536"/>
    <w:rsid w:val="003F5300"/>
    <w:rsid w:val="003F7D19"/>
    <w:rsid w:val="0040164F"/>
    <w:rsid w:val="004037BF"/>
    <w:rsid w:val="00406E5A"/>
    <w:rsid w:val="00407856"/>
    <w:rsid w:val="00412608"/>
    <w:rsid w:val="00415A03"/>
    <w:rsid w:val="00416891"/>
    <w:rsid w:val="00421B25"/>
    <w:rsid w:val="00423F71"/>
    <w:rsid w:val="00424399"/>
    <w:rsid w:val="004255C2"/>
    <w:rsid w:val="00426CE2"/>
    <w:rsid w:val="00427CE5"/>
    <w:rsid w:val="0043742C"/>
    <w:rsid w:val="00442D66"/>
    <w:rsid w:val="00443742"/>
    <w:rsid w:val="004548EE"/>
    <w:rsid w:val="00463A52"/>
    <w:rsid w:val="00464DC0"/>
    <w:rsid w:val="00464E6B"/>
    <w:rsid w:val="00466FF6"/>
    <w:rsid w:val="00471B09"/>
    <w:rsid w:val="0047789C"/>
    <w:rsid w:val="0048311A"/>
    <w:rsid w:val="00484548"/>
    <w:rsid w:val="004864CB"/>
    <w:rsid w:val="00487812"/>
    <w:rsid w:val="00487D0A"/>
    <w:rsid w:val="004913D3"/>
    <w:rsid w:val="0049235A"/>
    <w:rsid w:val="004927E6"/>
    <w:rsid w:val="004959B9"/>
    <w:rsid w:val="004A2A24"/>
    <w:rsid w:val="004A2E79"/>
    <w:rsid w:val="004A3DF5"/>
    <w:rsid w:val="004A5D4A"/>
    <w:rsid w:val="004B128F"/>
    <w:rsid w:val="004B1ECB"/>
    <w:rsid w:val="004B464A"/>
    <w:rsid w:val="004B665C"/>
    <w:rsid w:val="004C22B6"/>
    <w:rsid w:val="004C2774"/>
    <w:rsid w:val="004C27E7"/>
    <w:rsid w:val="004C3CFD"/>
    <w:rsid w:val="004C3DD4"/>
    <w:rsid w:val="004D1D0A"/>
    <w:rsid w:val="004D3341"/>
    <w:rsid w:val="004D563C"/>
    <w:rsid w:val="004E3203"/>
    <w:rsid w:val="004E58DF"/>
    <w:rsid w:val="004E5DFB"/>
    <w:rsid w:val="004F0F8A"/>
    <w:rsid w:val="004F364E"/>
    <w:rsid w:val="00500634"/>
    <w:rsid w:val="00500BD9"/>
    <w:rsid w:val="00501300"/>
    <w:rsid w:val="005053F4"/>
    <w:rsid w:val="00506859"/>
    <w:rsid w:val="00511A83"/>
    <w:rsid w:val="0051598D"/>
    <w:rsid w:val="00516227"/>
    <w:rsid w:val="00516DDC"/>
    <w:rsid w:val="00517846"/>
    <w:rsid w:val="005200AA"/>
    <w:rsid w:val="00523E6D"/>
    <w:rsid w:val="005255F7"/>
    <w:rsid w:val="00531AAC"/>
    <w:rsid w:val="005333A6"/>
    <w:rsid w:val="00535F7C"/>
    <w:rsid w:val="00535FD8"/>
    <w:rsid w:val="005400E4"/>
    <w:rsid w:val="0054151E"/>
    <w:rsid w:val="00544AE5"/>
    <w:rsid w:val="00544C4F"/>
    <w:rsid w:val="00546C50"/>
    <w:rsid w:val="005474FD"/>
    <w:rsid w:val="005500E5"/>
    <w:rsid w:val="00553569"/>
    <w:rsid w:val="00560E41"/>
    <w:rsid w:val="00561934"/>
    <w:rsid w:val="005622C2"/>
    <w:rsid w:val="00566EEF"/>
    <w:rsid w:val="005718A3"/>
    <w:rsid w:val="00571B0D"/>
    <w:rsid w:val="00572630"/>
    <w:rsid w:val="005756BF"/>
    <w:rsid w:val="00575A94"/>
    <w:rsid w:val="00582A1C"/>
    <w:rsid w:val="005833C0"/>
    <w:rsid w:val="005901E2"/>
    <w:rsid w:val="00591EC3"/>
    <w:rsid w:val="005921F5"/>
    <w:rsid w:val="0059420E"/>
    <w:rsid w:val="005A1D81"/>
    <w:rsid w:val="005A3066"/>
    <w:rsid w:val="005A61AC"/>
    <w:rsid w:val="005B1E56"/>
    <w:rsid w:val="005B3AE6"/>
    <w:rsid w:val="005B3C43"/>
    <w:rsid w:val="005B7174"/>
    <w:rsid w:val="005C2A62"/>
    <w:rsid w:val="005C6B1B"/>
    <w:rsid w:val="005C7067"/>
    <w:rsid w:val="005D0401"/>
    <w:rsid w:val="005D336C"/>
    <w:rsid w:val="005D502B"/>
    <w:rsid w:val="005D6DDF"/>
    <w:rsid w:val="005E2668"/>
    <w:rsid w:val="005E326C"/>
    <w:rsid w:val="005E42FF"/>
    <w:rsid w:val="005E542A"/>
    <w:rsid w:val="005F73F9"/>
    <w:rsid w:val="00612B4C"/>
    <w:rsid w:val="00613392"/>
    <w:rsid w:val="00617740"/>
    <w:rsid w:val="006206D1"/>
    <w:rsid w:val="006208A8"/>
    <w:rsid w:val="006321F4"/>
    <w:rsid w:val="00633B54"/>
    <w:rsid w:val="00636D9B"/>
    <w:rsid w:val="00643BF7"/>
    <w:rsid w:val="006442AD"/>
    <w:rsid w:val="00644CA8"/>
    <w:rsid w:val="00650BB3"/>
    <w:rsid w:val="00652C6E"/>
    <w:rsid w:val="00653399"/>
    <w:rsid w:val="006577F4"/>
    <w:rsid w:val="006626F0"/>
    <w:rsid w:val="006635E8"/>
    <w:rsid w:val="00663847"/>
    <w:rsid w:val="00666034"/>
    <w:rsid w:val="006704FA"/>
    <w:rsid w:val="00671E5C"/>
    <w:rsid w:val="00671ED0"/>
    <w:rsid w:val="00680204"/>
    <w:rsid w:val="00680EC0"/>
    <w:rsid w:val="00684150"/>
    <w:rsid w:val="006847EB"/>
    <w:rsid w:val="00690EAA"/>
    <w:rsid w:val="00691CA9"/>
    <w:rsid w:val="00694964"/>
    <w:rsid w:val="00695608"/>
    <w:rsid w:val="0069576D"/>
    <w:rsid w:val="0069723D"/>
    <w:rsid w:val="006B0BDE"/>
    <w:rsid w:val="006B4DEC"/>
    <w:rsid w:val="006B4EA5"/>
    <w:rsid w:val="006B5F8B"/>
    <w:rsid w:val="006C5877"/>
    <w:rsid w:val="006D1A56"/>
    <w:rsid w:val="006D3131"/>
    <w:rsid w:val="006D5B39"/>
    <w:rsid w:val="006D69B3"/>
    <w:rsid w:val="006E0E6F"/>
    <w:rsid w:val="006E2D4D"/>
    <w:rsid w:val="006E5F2B"/>
    <w:rsid w:val="006F20A5"/>
    <w:rsid w:val="006F3C73"/>
    <w:rsid w:val="0070090A"/>
    <w:rsid w:val="007117E6"/>
    <w:rsid w:val="00713F9D"/>
    <w:rsid w:val="007148FC"/>
    <w:rsid w:val="007167CD"/>
    <w:rsid w:val="00722189"/>
    <w:rsid w:val="007228D8"/>
    <w:rsid w:val="0072571C"/>
    <w:rsid w:val="00731D7B"/>
    <w:rsid w:val="00732A6C"/>
    <w:rsid w:val="0073459E"/>
    <w:rsid w:val="007412B9"/>
    <w:rsid w:val="00756114"/>
    <w:rsid w:val="00763734"/>
    <w:rsid w:val="007647C1"/>
    <w:rsid w:val="0076631C"/>
    <w:rsid w:val="00766EAF"/>
    <w:rsid w:val="00767273"/>
    <w:rsid w:val="0076745E"/>
    <w:rsid w:val="00771FD5"/>
    <w:rsid w:val="007757AA"/>
    <w:rsid w:val="00775F5C"/>
    <w:rsid w:val="007848C8"/>
    <w:rsid w:val="00786A8A"/>
    <w:rsid w:val="00792942"/>
    <w:rsid w:val="00794DCB"/>
    <w:rsid w:val="007964EA"/>
    <w:rsid w:val="007A34BA"/>
    <w:rsid w:val="007A78D6"/>
    <w:rsid w:val="007A7BCB"/>
    <w:rsid w:val="007B1BE2"/>
    <w:rsid w:val="007B2048"/>
    <w:rsid w:val="007B26ED"/>
    <w:rsid w:val="007B2F62"/>
    <w:rsid w:val="007B4EDF"/>
    <w:rsid w:val="007B4EEE"/>
    <w:rsid w:val="007B630B"/>
    <w:rsid w:val="007B6BF6"/>
    <w:rsid w:val="007B7F59"/>
    <w:rsid w:val="007C1A4C"/>
    <w:rsid w:val="007C7781"/>
    <w:rsid w:val="007D5B8D"/>
    <w:rsid w:val="007E064D"/>
    <w:rsid w:val="007E1524"/>
    <w:rsid w:val="007E3707"/>
    <w:rsid w:val="007E3963"/>
    <w:rsid w:val="007E7364"/>
    <w:rsid w:val="007F0EEB"/>
    <w:rsid w:val="00802F78"/>
    <w:rsid w:val="00810D5F"/>
    <w:rsid w:val="00811216"/>
    <w:rsid w:val="00817B0B"/>
    <w:rsid w:val="0082029F"/>
    <w:rsid w:val="008214E1"/>
    <w:rsid w:val="0082211B"/>
    <w:rsid w:val="00823504"/>
    <w:rsid w:val="00824503"/>
    <w:rsid w:val="00825B73"/>
    <w:rsid w:val="00831CC8"/>
    <w:rsid w:val="00832791"/>
    <w:rsid w:val="00833210"/>
    <w:rsid w:val="00834C1D"/>
    <w:rsid w:val="00840695"/>
    <w:rsid w:val="008449BA"/>
    <w:rsid w:val="0085116E"/>
    <w:rsid w:val="0085125B"/>
    <w:rsid w:val="008517FC"/>
    <w:rsid w:val="008605C6"/>
    <w:rsid w:val="00860727"/>
    <w:rsid w:val="00860C1E"/>
    <w:rsid w:val="00861368"/>
    <w:rsid w:val="008618FC"/>
    <w:rsid w:val="0086234E"/>
    <w:rsid w:val="008637A2"/>
    <w:rsid w:val="00865356"/>
    <w:rsid w:val="00867102"/>
    <w:rsid w:val="00867864"/>
    <w:rsid w:val="0087039C"/>
    <w:rsid w:val="00880AD7"/>
    <w:rsid w:val="00881D7D"/>
    <w:rsid w:val="00882CBD"/>
    <w:rsid w:val="00884188"/>
    <w:rsid w:val="00886886"/>
    <w:rsid w:val="00891CC0"/>
    <w:rsid w:val="00892F29"/>
    <w:rsid w:val="008938D3"/>
    <w:rsid w:val="00896E7F"/>
    <w:rsid w:val="008A2B48"/>
    <w:rsid w:val="008A4253"/>
    <w:rsid w:val="008A4854"/>
    <w:rsid w:val="008A6C39"/>
    <w:rsid w:val="008B040C"/>
    <w:rsid w:val="008B0880"/>
    <w:rsid w:val="008B0CE6"/>
    <w:rsid w:val="008B0E77"/>
    <w:rsid w:val="008B14CD"/>
    <w:rsid w:val="008B259B"/>
    <w:rsid w:val="008B2D92"/>
    <w:rsid w:val="008B37F1"/>
    <w:rsid w:val="008B3951"/>
    <w:rsid w:val="008B40C4"/>
    <w:rsid w:val="008B45E8"/>
    <w:rsid w:val="008C1A39"/>
    <w:rsid w:val="008C6F76"/>
    <w:rsid w:val="008D1414"/>
    <w:rsid w:val="008D1A84"/>
    <w:rsid w:val="008D6B6F"/>
    <w:rsid w:val="008E1326"/>
    <w:rsid w:val="008E2EAE"/>
    <w:rsid w:val="008E6009"/>
    <w:rsid w:val="008F1C7A"/>
    <w:rsid w:val="008F41B2"/>
    <w:rsid w:val="008F5457"/>
    <w:rsid w:val="008F5AC6"/>
    <w:rsid w:val="00900CFE"/>
    <w:rsid w:val="00904B19"/>
    <w:rsid w:val="0090603D"/>
    <w:rsid w:val="0091088E"/>
    <w:rsid w:val="009144FA"/>
    <w:rsid w:val="00920AC5"/>
    <w:rsid w:val="009214C3"/>
    <w:rsid w:val="00921DB7"/>
    <w:rsid w:val="00922497"/>
    <w:rsid w:val="00923DDF"/>
    <w:rsid w:val="00925814"/>
    <w:rsid w:val="009326AA"/>
    <w:rsid w:val="00934116"/>
    <w:rsid w:val="00942D64"/>
    <w:rsid w:val="00945FEE"/>
    <w:rsid w:val="009466E0"/>
    <w:rsid w:val="00950B7A"/>
    <w:rsid w:val="00951B04"/>
    <w:rsid w:val="00953C04"/>
    <w:rsid w:val="00953DF6"/>
    <w:rsid w:val="00954A86"/>
    <w:rsid w:val="00955D83"/>
    <w:rsid w:val="00960C24"/>
    <w:rsid w:val="00961898"/>
    <w:rsid w:val="00963244"/>
    <w:rsid w:val="00970549"/>
    <w:rsid w:val="00974F97"/>
    <w:rsid w:val="00974FC6"/>
    <w:rsid w:val="00975FE6"/>
    <w:rsid w:val="00980D59"/>
    <w:rsid w:val="0098252E"/>
    <w:rsid w:val="00983CB1"/>
    <w:rsid w:val="00993EE9"/>
    <w:rsid w:val="00994E23"/>
    <w:rsid w:val="009A0FF2"/>
    <w:rsid w:val="009A2221"/>
    <w:rsid w:val="009A3319"/>
    <w:rsid w:val="009A3A2D"/>
    <w:rsid w:val="009A4DAC"/>
    <w:rsid w:val="009B0BB7"/>
    <w:rsid w:val="009B1D25"/>
    <w:rsid w:val="009B579E"/>
    <w:rsid w:val="009B6927"/>
    <w:rsid w:val="009C08C0"/>
    <w:rsid w:val="009C5F02"/>
    <w:rsid w:val="009D66CA"/>
    <w:rsid w:val="009E28C8"/>
    <w:rsid w:val="009E78B6"/>
    <w:rsid w:val="009F28C9"/>
    <w:rsid w:val="009F5D1C"/>
    <w:rsid w:val="00A03812"/>
    <w:rsid w:val="00A03A9A"/>
    <w:rsid w:val="00A04A13"/>
    <w:rsid w:val="00A078CA"/>
    <w:rsid w:val="00A13B49"/>
    <w:rsid w:val="00A16F94"/>
    <w:rsid w:val="00A2414C"/>
    <w:rsid w:val="00A24C93"/>
    <w:rsid w:val="00A256CE"/>
    <w:rsid w:val="00A31A09"/>
    <w:rsid w:val="00A32446"/>
    <w:rsid w:val="00A3720F"/>
    <w:rsid w:val="00A44660"/>
    <w:rsid w:val="00A4552C"/>
    <w:rsid w:val="00A5335D"/>
    <w:rsid w:val="00A61F2D"/>
    <w:rsid w:val="00A62D24"/>
    <w:rsid w:val="00A6522C"/>
    <w:rsid w:val="00A677C7"/>
    <w:rsid w:val="00A71B8B"/>
    <w:rsid w:val="00A72DEA"/>
    <w:rsid w:val="00A75C29"/>
    <w:rsid w:val="00A77274"/>
    <w:rsid w:val="00A8086E"/>
    <w:rsid w:val="00A834D8"/>
    <w:rsid w:val="00A8352A"/>
    <w:rsid w:val="00A83A79"/>
    <w:rsid w:val="00A8433B"/>
    <w:rsid w:val="00A84807"/>
    <w:rsid w:val="00A87ACB"/>
    <w:rsid w:val="00A9018F"/>
    <w:rsid w:val="00A9052F"/>
    <w:rsid w:val="00A91E1D"/>
    <w:rsid w:val="00A96EA5"/>
    <w:rsid w:val="00AA04C1"/>
    <w:rsid w:val="00AA29E5"/>
    <w:rsid w:val="00AA3FBC"/>
    <w:rsid w:val="00AA4F0E"/>
    <w:rsid w:val="00AA7280"/>
    <w:rsid w:val="00AB5F83"/>
    <w:rsid w:val="00AB65A9"/>
    <w:rsid w:val="00AB74A6"/>
    <w:rsid w:val="00AC03CF"/>
    <w:rsid w:val="00AC19AF"/>
    <w:rsid w:val="00AC368A"/>
    <w:rsid w:val="00AC437D"/>
    <w:rsid w:val="00AC54EF"/>
    <w:rsid w:val="00AD1731"/>
    <w:rsid w:val="00AD2218"/>
    <w:rsid w:val="00AD755C"/>
    <w:rsid w:val="00AE3D8B"/>
    <w:rsid w:val="00AE4012"/>
    <w:rsid w:val="00AE44C1"/>
    <w:rsid w:val="00AE5A38"/>
    <w:rsid w:val="00AE6097"/>
    <w:rsid w:val="00AE6206"/>
    <w:rsid w:val="00AF7A16"/>
    <w:rsid w:val="00AF7B09"/>
    <w:rsid w:val="00AF7F2A"/>
    <w:rsid w:val="00B00B31"/>
    <w:rsid w:val="00B014AB"/>
    <w:rsid w:val="00B054C5"/>
    <w:rsid w:val="00B06F34"/>
    <w:rsid w:val="00B10935"/>
    <w:rsid w:val="00B111F9"/>
    <w:rsid w:val="00B13BCB"/>
    <w:rsid w:val="00B1781A"/>
    <w:rsid w:val="00B22F48"/>
    <w:rsid w:val="00B25563"/>
    <w:rsid w:val="00B26680"/>
    <w:rsid w:val="00B31C7C"/>
    <w:rsid w:val="00B36F95"/>
    <w:rsid w:val="00B37AD2"/>
    <w:rsid w:val="00B5090A"/>
    <w:rsid w:val="00B50AD1"/>
    <w:rsid w:val="00B519F8"/>
    <w:rsid w:val="00B51C72"/>
    <w:rsid w:val="00B52F37"/>
    <w:rsid w:val="00B54297"/>
    <w:rsid w:val="00B54B7D"/>
    <w:rsid w:val="00B57241"/>
    <w:rsid w:val="00B60007"/>
    <w:rsid w:val="00B608BF"/>
    <w:rsid w:val="00B71550"/>
    <w:rsid w:val="00B73528"/>
    <w:rsid w:val="00B73708"/>
    <w:rsid w:val="00B772BB"/>
    <w:rsid w:val="00B80F94"/>
    <w:rsid w:val="00B81481"/>
    <w:rsid w:val="00B815BB"/>
    <w:rsid w:val="00B83C43"/>
    <w:rsid w:val="00B87D27"/>
    <w:rsid w:val="00B963C0"/>
    <w:rsid w:val="00BA567A"/>
    <w:rsid w:val="00BA7AD9"/>
    <w:rsid w:val="00BB07CA"/>
    <w:rsid w:val="00BB097B"/>
    <w:rsid w:val="00BB1EF2"/>
    <w:rsid w:val="00BB21A0"/>
    <w:rsid w:val="00BC0121"/>
    <w:rsid w:val="00BC3189"/>
    <w:rsid w:val="00BC5B75"/>
    <w:rsid w:val="00BC646E"/>
    <w:rsid w:val="00BD039A"/>
    <w:rsid w:val="00BD06DB"/>
    <w:rsid w:val="00BE0728"/>
    <w:rsid w:val="00BE642A"/>
    <w:rsid w:val="00BF05B1"/>
    <w:rsid w:val="00BF3DE9"/>
    <w:rsid w:val="00BF402D"/>
    <w:rsid w:val="00C01AE0"/>
    <w:rsid w:val="00C05ED8"/>
    <w:rsid w:val="00C07AD1"/>
    <w:rsid w:val="00C10C79"/>
    <w:rsid w:val="00C15B9B"/>
    <w:rsid w:val="00C164B6"/>
    <w:rsid w:val="00C2006F"/>
    <w:rsid w:val="00C22A3A"/>
    <w:rsid w:val="00C2300D"/>
    <w:rsid w:val="00C26050"/>
    <w:rsid w:val="00C27BA7"/>
    <w:rsid w:val="00C34AE3"/>
    <w:rsid w:val="00C34CC7"/>
    <w:rsid w:val="00C400D5"/>
    <w:rsid w:val="00C43528"/>
    <w:rsid w:val="00C46673"/>
    <w:rsid w:val="00C50A48"/>
    <w:rsid w:val="00C57372"/>
    <w:rsid w:val="00C60823"/>
    <w:rsid w:val="00C60943"/>
    <w:rsid w:val="00C613A0"/>
    <w:rsid w:val="00C623F0"/>
    <w:rsid w:val="00C744C7"/>
    <w:rsid w:val="00C74FC7"/>
    <w:rsid w:val="00C756A6"/>
    <w:rsid w:val="00C803C6"/>
    <w:rsid w:val="00C8336C"/>
    <w:rsid w:val="00C83CC9"/>
    <w:rsid w:val="00C862FE"/>
    <w:rsid w:val="00C86DD7"/>
    <w:rsid w:val="00C90BE6"/>
    <w:rsid w:val="00C93042"/>
    <w:rsid w:val="00C953CD"/>
    <w:rsid w:val="00C965CF"/>
    <w:rsid w:val="00CA0F34"/>
    <w:rsid w:val="00CA482B"/>
    <w:rsid w:val="00CC0E9C"/>
    <w:rsid w:val="00CC1EAF"/>
    <w:rsid w:val="00CC4C16"/>
    <w:rsid w:val="00CC582C"/>
    <w:rsid w:val="00CD1314"/>
    <w:rsid w:val="00CD2DAC"/>
    <w:rsid w:val="00CD4B03"/>
    <w:rsid w:val="00CE1067"/>
    <w:rsid w:val="00CE33BB"/>
    <w:rsid w:val="00CE3C01"/>
    <w:rsid w:val="00CE4AC2"/>
    <w:rsid w:val="00CE6630"/>
    <w:rsid w:val="00CE70A3"/>
    <w:rsid w:val="00CF078F"/>
    <w:rsid w:val="00CF10C3"/>
    <w:rsid w:val="00CF124A"/>
    <w:rsid w:val="00CF3993"/>
    <w:rsid w:val="00CF549A"/>
    <w:rsid w:val="00CF5C47"/>
    <w:rsid w:val="00D022E0"/>
    <w:rsid w:val="00D0253C"/>
    <w:rsid w:val="00D02AE8"/>
    <w:rsid w:val="00D02DB5"/>
    <w:rsid w:val="00D038CD"/>
    <w:rsid w:val="00D043F0"/>
    <w:rsid w:val="00D10838"/>
    <w:rsid w:val="00D20696"/>
    <w:rsid w:val="00D21F5C"/>
    <w:rsid w:val="00D2350A"/>
    <w:rsid w:val="00D265E4"/>
    <w:rsid w:val="00D31B5B"/>
    <w:rsid w:val="00D32575"/>
    <w:rsid w:val="00D34E67"/>
    <w:rsid w:val="00D35BAC"/>
    <w:rsid w:val="00D4328F"/>
    <w:rsid w:val="00D4509F"/>
    <w:rsid w:val="00D45FAF"/>
    <w:rsid w:val="00D476D5"/>
    <w:rsid w:val="00D47754"/>
    <w:rsid w:val="00D51C85"/>
    <w:rsid w:val="00D52298"/>
    <w:rsid w:val="00D5369B"/>
    <w:rsid w:val="00D57FA9"/>
    <w:rsid w:val="00D60D58"/>
    <w:rsid w:val="00D62F3C"/>
    <w:rsid w:val="00D64FD5"/>
    <w:rsid w:val="00D65D97"/>
    <w:rsid w:val="00D66401"/>
    <w:rsid w:val="00D66C6E"/>
    <w:rsid w:val="00D70FEA"/>
    <w:rsid w:val="00D713C8"/>
    <w:rsid w:val="00D71815"/>
    <w:rsid w:val="00D726A4"/>
    <w:rsid w:val="00D726ED"/>
    <w:rsid w:val="00D73A16"/>
    <w:rsid w:val="00D83CEB"/>
    <w:rsid w:val="00D900F4"/>
    <w:rsid w:val="00D91A2C"/>
    <w:rsid w:val="00D92B21"/>
    <w:rsid w:val="00D95AD1"/>
    <w:rsid w:val="00D97349"/>
    <w:rsid w:val="00D9737E"/>
    <w:rsid w:val="00DA0DB7"/>
    <w:rsid w:val="00DA366B"/>
    <w:rsid w:val="00DA6F9F"/>
    <w:rsid w:val="00DB119E"/>
    <w:rsid w:val="00DB3232"/>
    <w:rsid w:val="00DB444A"/>
    <w:rsid w:val="00DB511D"/>
    <w:rsid w:val="00DB7568"/>
    <w:rsid w:val="00DB7EFA"/>
    <w:rsid w:val="00DC11D7"/>
    <w:rsid w:val="00DC16CE"/>
    <w:rsid w:val="00DC26EE"/>
    <w:rsid w:val="00DC70E8"/>
    <w:rsid w:val="00DD6315"/>
    <w:rsid w:val="00DD6E7D"/>
    <w:rsid w:val="00DE43DF"/>
    <w:rsid w:val="00DF0650"/>
    <w:rsid w:val="00DF2B64"/>
    <w:rsid w:val="00DF40EF"/>
    <w:rsid w:val="00E04E98"/>
    <w:rsid w:val="00E111E7"/>
    <w:rsid w:val="00E11767"/>
    <w:rsid w:val="00E119B3"/>
    <w:rsid w:val="00E16A58"/>
    <w:rsid w:val="00E21314"/>
    <w:rsid w:val="00E237D7"/>
    <w:rsid w:val="00E255CA"/>
    <w:rsid w:val="00E25B11"/>
    <w:rsid w:val="00E319F0"/>
    <w:rsid w:val="00E31F34"/>
    <w:rsid w:val="00E341C3"/>
    <w:rsid w:val="00E356EA"/>
    <w:rsid w:val="00E411FF"/>
    <w:rsid w:val="00E4127F"/>
    <w:rsid w:val="00E423B6"/>
    <w:rsid w:val="00E43A76"/>
    <w:rsid w:val="00E4596D"/>
    <w:rsid w:val="00E504E6"/>
    <w:rsid w:val="00E507B7"/>
    <w:rsid w:val="00E50DEF"/>
    <w:rsid w:val="00E532FD"/>
    <w:rsid w:val="00E57EB5"/>
    <w:rsid w:val="00E608EE"/>
    <w:rsid w:val="00E61B7E"/>
    <w:rsid w:val="00E625EA"/>
    <w:rsid w:val="00E62D33"/>
    <w:rsid w:val="00E6457A"/>
    <w:rsid w:val="00E65D85"/>
    <w:rsid w:val="00E66A9F"/>
    <w:rsid w:val="00E70520"/>
    <w:rsid w:val="00E75403"/>
    <w:rsid w:val="00E77B77"/>
    <w:rsid w:val="00E81667"/>
    <w:rsid w:val="00E96BCF"/>
    <w:rsid w:val="00EA3D52"/>
    <w:rsid w:val="00EA3FEE"/>
    <w:rsid w:val="00EA73D6"/>
    <w:rsid w:val="00EA7543"/>
    <w:rsid w:val="00EB01DA"/>
    <w:rsid w:val="00EB16F1"/>
    <w:rsid w:val="00EB193A"/>
    <w:rsid w:val="00EB3A9E"/>
    <w:rsid w:val="00EB5C42"/>
    <w:rsid w:val="00ED0890"/>
    <w:rsid w:val="00ED24BE"/>
    <w:rsid w:val="00ED61AC"/>
    <w:rsid w:val="00ED6331"/>
    <w:rsid w:val="00ED7E3C"/>
    <w:rsid w:val="00EE3447"/>
    <w:rsid w:val="00EE545A"/>
    <w:rsid w:val="00EE66E2"/>
    <w:rsid w:val="00EF32EC"/>
    <w:rsid w:val="00F0087E"/>
    <w:rsid w:val="00F01184"/>
    <w:rsid w:val="00F041D1"/>
    <w:rsid w:val="00F04999"/>
    <w:rsid w:val="00F05A31"/>
    <w:rsid w:val="00F1323B"/>
    <w:rsid w:val="00F16CD9"/>
    <w:rsid w:val="00F16FA7"/>
    <w:rsid w:val="00F22F21"/>
    <w:rsid w:val="00F258BE"/>
    <w:rsid w:val="00F26E4D"/>
    <w:rsid w:val="00F31767"/>
    <w:rsid w:val="00F31B20"/>
    <w:rsid w:val="00F31DED"/>
    <w:rsid w:val="00F343F7"/>
    <w:rsid w:val="00F4581C"/>
    <w:rsid w:val="00F462E4"/>
    <w:rsid w:val="00F46B16"/>
    <w:rsid w:val="00F53C07"/>
    <w:rsid w:val="00F61630"/>
    <w:rsid w:val="00F73D4A"/>
    <w:rsid w:val="00F81F5E"/>
    <w:rsid w:val="00F90BA7"/>
    <w:rsid w:val="00F90CD7"/>
    <w:rsid w:val="00F931D8"/>
    <w:rsid w:val="00F95917"/>
    <w:rsid w:val="00FA0483"/>
    <w:rsid w:val="00FA296E"/>
    <w:rsid w:val="00FA6309"/>
    <w:rsid w:val="00FA6555"/>
    <w:rsid w:val="00FA6751"/>
    <w:rsid w:val="00FA78BD"/>
    <w:rsid w:val="00FB56C2"/>
    <w:rsid w:val="00FC0056"/>
    <w:rsid w:val="00FC176D"/>
    <w:rsid w:val="00FC4282"/>
    <w:rsid w:val="00FC509E"/>
    <w:rsid w:val="00FD0811"/>
    <w:rsid w:val="00FD092E"/>
    <w:rsid w:val="00FD5B34"/>
    <w:rsid w:val="00FE0E12"/>
    <w:rsid w:val="00FE539E"/>
    <w:rsid w:val="00FE6581"/>
    <w:rsid w:val="00FE660A"/>
    <w:rsid w:val="00FF0068"/>
    <w:rsid w:val="00FF75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64B21"/>
  <w15:chartTrackingRefBased/>
  <w15:docId w15:val="{066555E7-BD28-4824-A49E-4E5CF5EF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0"/>
    <w:qFormat/>
    <w:rsid w:val="00794DCB"/>
    <w:pPr>
      <w:spacing w:after="240" w:line="360" w:lineRule="auto"/>
      <w:ind w:left="567"/>
      <w:jc w:val="both"/>
    </w:pPr>
    <w:rPr>
      <w:rFonts w:ascii="Arial" w:hAnsi="Arial"/>
      <w:sz w:val="24"/>
      <w:lang w:val="en-GB"/>
    </w:rPr>
  </w:style>
  <w:style w:type="paragraph" w:styleId="Heading2">
    <w:name w:val="heading 2"/>
    <w:basedOn w:val="Normal"/>
    <w:next w:val="Normal"/>
    <w:link w:val="Heading2Char"/>
    <w:uiPriority w:val="9"/>
    <w:semiHidden/>
    <w:unhideWhenUsed/>
    <w:qFormat/>
    <w:rsid w:val="007345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0">
    <w:name w:val="Judgment Numbered"/>
    <w:basedOn w:val="Normal"/>
    <w:link w:val="JudgmentNumberedChar"/>
    <w:qFormat/>
    <w:rsid w:val="009C08C0"/>
    <w:pPr>
      <w:numPr>
        <w:numId w:val="1"/>
      </w:numPr>
    </w:pPr>
    <w:rPr>
      <w:rFonts w:cs="Arial"/>
    </w:rPr>
  </w:style>
  <w:style w:type="paragraph" w:customStyle="1" w:styleId="JudgmentHeading">
    <w:name w:val="Judgment Heading"/>
    <w:basedOn w:val="JudgmentNumbered0"/>
    <w:next w:val="JudgmentNumbered0"/>
    <w:link w:val="JudgmentHeadingChar"/>
    <w:qFormat/>
    <w:rsid w:val="009C08C0"/>
    <w:pPr>
      <w:numPr>
        <w:numId w:val="0"/>
      </w:numPr>
    </w:pPr>
    <w:rPr>
      <w:i/>
    </w:rPr>
  </w:style>
  <w:style w:type="character" w:customStyle="1" w:styleId="JudgmentNumberedChar">
    <w:name w:val="Judgment Numbered Char"/>
    <w:basedOn w:val="DefaultParagraphFont"/>
    <w:link w:val="JudgmentNumbered0"/>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customStyle="1" w:styleId="JUDGMENTNUMBERED">
    <w:name w:val="JUDGMENT NUMBERED"/>
    <w:basedOn w:val="Normal"/>
    <w:next w:val="JUDGMENTCONTINUED"/>
    <w:link w:val="JUDGMENTNUMBEREDChar0"/>
    <w:qFormat/>
    <w:rsid w:val="00A9018F"/>
    <w:pPr>
      <w:numPr>
        <w:numId w:val="6"/>
      </w:numPr>
      <w:spacing w:after="0"/>
      <w:ind w:left="709" w:hanging="709"/>
    </w:pPr>
    <w:rPr>
      <w:rFonts w:eastAsia="Times New Roman" w:cs="Calibri"/>
      <w:szCs w:val="24"/>
      <w:lang w:val="en-US"/>
    </w:rPr>
  </w:style>
  <w:style w:type="paragraph" w:customStyle="1" w:styleId="JUDGMENTCONTINUED">
    <w:name w:val="JUDGMENT CONTINUED"/>
    <w:basedOn w:val="JUDGMENTNUMBERED"/>
    <w:next w:val="JUDGMENTNUMBERED"/>
    <w:qFormat/>
    <w:rsid w:val="00A9018F"/>
    <w:pPr>
      <w:numPr>
        <w:numId w:val="0"/>
      </w:numPr>
    </w:pPr>
  </w:style>
  <w:style w:type="character" w:customStyle="1" w:styleId="JUDGMENTNUMBEREDChar0">
    <w:name w:val="JUDGMENT NUMBERED Char"/>
    <w:basedOn w:val="DefaultParagraphFont"/>
    <w:link w:val="JUDGMENTNUMBERED"/>
    <w:locked/>
    <w:rsid w:val="00A9018F"/>
    <w:rPr>
      <w:rFonts w:ascii="Arial" w:eastAsia="Times New Roman" w:hAnsi="Arial" w:cs="Calibri"/>
      <w:sz w:val="24"/>
      <w:szCs w:val="24"/>
      <w:lang w:val="en-US"/>
    </w:rPr>
  </w:style>
  <w:style w:type="paragraph" w:customStyle="1" w:styleId="HEADING">
    <w:name w:val="HEADING"/>
    <w:basedOn w:val="Normal"/>
    <w:next w:val="JUDGMENTNUMBERED"/>
    <w:link w:val="HEADINGChar"/>
    <w:qFormat/>
    <w:rsid w:val="00A9018F"/>
    <w:pPr>
      <w:spacing w:after="0" w:line="480" w:lineRule="auto"/>
      <w:ind w:left="0"/>
    </w:pPr>
    <w:rPr>
      <w:rFonts w:eastAsia="Times New Roman" w:cs="Arial"/>
      <w:bCs/>
      <w:sz w:val="25"/>
      <w:szCs w:val="20"/>
      <w:u w:val="single"/>
      <w:lang w:val="en-US"/>
    </w:rPr>
  </w:style>
  <w:style w:type="character" w:customStyle="1" w:styleId="HEADINGChar">
    <w:name w:val="HEADING Char"/>
    <w:basedOn w:val="JUDGMENTNUMBEREDChar0"/>
    <w:link w:val="HEADING"/>
    <w:locked/>
    <w:rsid w:val="00A9018F"/>
    <w:rPr>
      <w:rFonts w:ascii="Arial" w:eastAsia="Times New Roman" w:hAnsi="Arial" w:cs="Arial"/>
      <w:bCs/>
      <w:sz w:val="25"/>
      <w:szCs w:val="20"/>
      <w:u w:val="single"/>
      <w:lang w:val="en-US"/>
    </w:rPr>
  </w:style>
  <w:style w:type="paragraph" w:styleId="FootnoteText">
    <w:name w:val="footnote text"/>
    <w:basedOn w:val="Normal"/>
    <w:link w:val="FootnoteTextChar"/>
    <w:uiPriority w:val="99"/>
    <w:semiHidden/>
    <w:unhideWhenUsed/>
    <w:rsid w:val="00834C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C1D"/>
    <w:rPr>
      <w:rFonts w:ascii="Arial" w:hAnsi="Arial"/>
      <w:sz w:val="20"/>
      <w:szCs w:val="20"/>
      <w:lang w:val="en-GB"/>
    </w:rPr>
  </w:style>
  <w:style w:type="character" w:styleId="FootnoteReference">
    <w:name w:val="footnote reference"/>
    <w:basedOn w:val="DefaultParagraphFont"/>
    <w:uiPriority w:val="99"/>
    <w:semiHidden/>
    <w:unhideWhenUsed/>
    <w:rsid w:val="00834C1D"/>
    <w:rPr>
      <w:vertAlign w:val="superscript"/>
    </w:rPr>
  </w:style>
  <w:style w:type="paragraph" w:styleId="Header">
    <w:name w:val="header"/>
    <w:basedOn w:val="Normal"/>
    <w:link w:val="HeaderChar"/>
    <w:uiPriority w:val="99"/>
    <w:unhideWhenUsed/>
    <w:rsid w:val="00205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B18"/>
    <w:rPr>
      <w:rFonts w:ascii="Arial" w:hAnsi="Arial"/>
      <w:sz w:val="24"/>
      <w:lang w:val="en-GB"/>
    </w:rPr>
  </w:style>
  <w:style w:type="paragraph" w:styleId="Footer">
    <w:name w:val="footer"/>
    <w:basedOn w:val="Normal"/>
    <w:link w:val="FooterChar"/>
    <w:uiPriority w:val="99"/>
    <w:unhideWhenUsed/>
    <w:rsid w:val="00205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B18"/>
    <w:rPr>
      <w:rFonts w:ascii="Arial" w:hAnsi="Arial"/>
      <w:sz w:val="24"/>
      <w:lang w:val="en-GB"/>
    </w:rPr>
  </w:style>
  <w:style w:type="character" w:customStyle="1" w:styleId="Heading2Char">
    <w:name w:val="Heading 2 Char"/>
    <w:basedOn w:val="DefaultParagraphFont"/>
    <w:link w:val="Heading2"/>
    <w:uiPriority w:val="9"/>
    <w:semiHidden/>
    <w:rsid w:val="0073459E"/>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E356EA"/>
    <w:rPr>
      <w:color w:val="0563C1" w:themeColor="hyperlink"/>
      <w:u w:val="single"/>
    </w:rPr>
  </w:style>
  <w:style w:type="character" w:customStyle="1" w:styleId="UnresolvedMention1">
    <w:name w:val="Unresolved Mention1"/>
    <w:basedOn w:val="DefaultParagraphFont"/>
    <w:uiPriority w:val="99"/>
    <w:semiHidden/>
    <w:unhideWhenUsed/>
    <w:rsid w:val="00E356EA"/>
    <w:rPr>
      <w:color w:val="605E5C"/>
      <w:shd w:val="clear" w:color="auto" w:fill="E1DFDD"/>
    </w:rPr>
  </w:style>
  <w:style w:type="paragraph" w:customStyle="1" w:styleId="western">
    <w:name w:val="western"/>
    <w:basedOn w:val="Normal"/>
    <w:rsid w:val="00D4328F"/>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093676">
      <w:bodyDiv w:val="1"/>
      <w:marLeft w:val="0"/>
      <w:marRight w:val="0"/>
      <w:marTop w:val="0"/>
      <w:marBottom w:val="0"/>
      <w:divBdr>
        <w:top w:val="none" w:sz="0" w:space="0" w:color="auto"/>
        <w:left w:val="none" w:sz="0" w:space="0" w:color="auto"/>
        <w:bottom w:val="none" w:sz="0" w:space="0" w:color="auto"/>
        <w:right w:val="none" w:sz="0" w:space="0" w:color="auto"/>
      </w:divBdr>
    </w:div>
    <w:div w:id="343021560">
      <w:bodyDiv w:val="1"/>
      <w:marLeft w:val="0"/>
      <w:marRight w:val="0"/>
      <w:marTop w:val="0"/>
      <w:marBottom w:val="0"/>
      <w:divBdr>
        <w:top w:val="none" w:sz="0" w:space="0" w:color="auto"/>
        <w:left w:val="none" w:sz="0" w:space="0" w:color="auto"/>
        <w:bottom w:val="none" w:sz="0" w:space="0" w:color="auto"/>
        <w:right w:val="none" w:sz="0" w:space="0" w:color="auto"/>
      </w:divBdr>
    </w:div>
    <w:div w:id="1058748058">
      <w:bodyDiv w:val="1"/>
      <w:marLeft w:val="0"/>
      <w:marRight w:val="0"/>
      <w:marTop w:val="0"/>
      <w:marBottom w:val="0"/>
      <w:divBdr>
        <w:top w:val="none" w:sz="0" w:space="0" w:color="auto"/>
        <w:left w:val="none" w:sz="0" w:space="0" w:color="auto"/>
        <w:bottom w:val="none" w:sz="0" w:space="0" w:color="auto"/>
        <w:right w:val="none" w:sz="0" w:space="0" w:color="auto"/>
      </w:divBdr>
    </w:div>
    <w:div w:id="1223171473">
      <w:bodyDiv w:val="1"/>
      <w:marLeft w:val="0"/>
      <w:marRight w:val="0"/>
      <w:marTop w:val="0"/>
      <w:marBottom w:val="0"/>
      <w:divBdr>
        <w:top w:val="none" w:sz="0" w:space="0" w:color="auto"/>
        <w:left w:val="none" w:sz="0" w:space="0" w:color="auto"/>
        <w:bottom w:val="none" w:sz="0" w:space="0" w:color="auto"/>
        <w:right w:val="none" w:sz="0" w:space="0" w:color="auto"/>
      </w:divBdr>
    </w:div>
    <w:div w:id="144102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AppData\Local\Microsoft\Windows\INetCache\Content.Outlook\E8JWXGMU\High%20Court%20Judgment%20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3T13:06:45.166"/>
    </inkml:context>
    <inkml:brush xml:id="br0">
      <inkml:brushProperty name="width" value="0.35" units="cm"/>
      <inkml:brushProperty name="height" value="0.3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D2D54-9790-46A9-B71E-92296B0B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Template.dotx</Template>
  <TotalTime>109</TotalTime>
  <Pages>15</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Krisjan Korf</dc:creator>
  <cp:keywords/>
  <dc:description/>
  <cp:lastModifiedBy>sathish sarshan  mohan</cp:lastModifiedBy>
  <cp:revision>3</cp:revision>
  <cp:lastPrinted>2024-04-03T14:59:00Z</cp:lastPrinted>
  <dcterms:created xsi:type="dcterms:W3CDTF">2024-04-04T09:57:00Z</dcterms:created>
  <dcterms:modified xsi:type="dcterms:W3CDTF">2024-04-04T16:48:00Z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9fea7fb9deab40bde72af2a7d746fefe1c4c64cef2ec10fc9363121bbbb07cce</vt:lpwstr>
  </property>
</Properties>
</file>