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55499417" w:rsidR="00BA0C0C" w:rsidRPr="003B7BDC" w:rsidRDefault="00C82197" w:rsidP="00006CF8">
      <w:pPr>
        <w:pStyle w:val="Title"/>
        <w:rPr>
          <w:sz w:val="24"/>
          <w:szCs w:val="24"/>
        </w:rPr>
      </w:pPr>
      <w:r>
        <w:rPr>
          <w:sz w:val="24"/>
          <w:szCs w:val="24"/>
        </w:rPr>
        <w:t>(</w:t>
      </w:r>
      <w:r w:rsidR="00B16DB4">
        <w:rPr>
          <w:sz w:val="24"/>
          <w:szCs w:val="24"/>
        </w:rPr>
        <w:t>GAUTENG</w:t>
      </w:r>
      <w:r w:rsidR="00467D29">
        <w:rPr>
          <w:sz w:val="24"/>
          <w:szCs w:val="24"/>
        </w:rPr>
        <w:t xml:space="preserve"> LOCAL</w:t>
      </w:r>
      <w:r w:rsidR="00B16DB4">
        <w:rPr>
          <w:sz w:val="24"/>
          <w:szCs w:val="24"/>
        </w:rPr>
        <w:t xml:space="preserve">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31C18BA9" w:rsidR="006F2A2D" w:rsidRDefault="0015127F" w:rsidP="0015127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3DF9C32E" w:rsidR="006F2A2D" w:rsidRDefault="0015127F" w:rsidP="0015127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13DDC5CB" w:rsidR="006F2A2D" w:rsidRDefault="0015127F" w:rsidP="0015127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40306F7D" w:rsidR="006F2A2D" w:rsidRDefault="006F2A2D" w:rsidP="006D4C73">
                            <w:pPr>
                              <w:rPr>
                                <w:noProof/>
                                <w:lang w:val="en-US"/>
                              </w:rPr>
                            </w:pPr>
                            <w:r>
                              <w:rPr>
                                <w:rFonts w:ascii="Century Gothic" w:hAnsi="Century Gothic"/>
                                <w:b/>
                                <w:sz w:val="18"/>
                                <w:szCs w:val="18"/>
                              </w:rPr>
                              <w:t xml:space="preserve"> </w:t>
                            </w:r>
                          </w:p>
                          <w:p w14:paraId="1D31E0FC" w14:textId="126E612F" w:rsidR="00A73A1E" w:rsidRDefault="00A73A1E" w:rsidP="006D4C73">
                            <w:pPr>
                              <w:rPr>
                                <w:rFonts w:ascii="Century Gothic" w:hAnsi="Century Gothic"/>
                                <w:b/>
                                <w:noProof/>
                                <w:sz w:val="18"/>
                                <w:szCs w:val="18"/>
                              </w:rPr>
                            </w:pPr>
                          </w:p>
                          <w:p w14:paraId="2F931028" w14:textId="77777777" w:rsidR="00A73A1E" w:rsidRDefault="00A73A1E"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5FCD186F"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C41CC4">
                              <w:rPr>
                                <w:rFonts w:ascii="Century Gothic" w:hAnsi="Century Gothic"/>
                                <w:sz w:val="18"/>
                                <w:szCs w:val="18"/>
                              </w:rPr>
                              <w:t>10 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">
                <v:textbox>
                  <w:txbxContent>
                    <w:p w14:paraId="56D477FD" w14:textId="31C18BA9" w:rsidR="006F2A2D" w:rsidRDefault="0015127F" w:rsidP="0015127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3DF9C32E" w:rsidR="006F2A2D" w:rsidRDefault="0015127F" w:rsidP="0015127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13DDC5CB" w:rsidR="006F2A2D" w:rsidRDefault="0015127F" w:rsidP="0015127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40306F7D" w:rsidR="006F2A2D" w:rsidRDefault="006F2A2D" w:rsidP="006D4C73">
                      <w:pPr>
                        <w:rPr>
                          <w:noProof/>
                          <w:lang w:val="en-US"/>
                        </w:rPr>
                      </w:pPr>
                      <w:r>
                        <w:rPr>
                          <w:rFonts w:ascii="Century Gothic" w:hAnsi="Century Gothic"/>
                          <w:b/>
                          <w:sz w:val="18"/>
                          <w:szCs w:val="18"/>
                        </w:rPr>
                        <w:t xml:space="preserve"> </w:t>
                      </w:r>
                    </w:p>
                    <w:p w14:paraId="1D31E0FC" w14:textId="126E612F" w:rsidR="00A73A1E" w:rsidRDefault="00A73A1E" w:rsidP="006D4C73">
                      <w:pPr>
                        <w:rPr>
                          <w:rFonts w:ascii="Century Gothic" w:hAnsi="Century Gothic"/>
                          <w:b/>
                          <w:noProof/>
                          <w:sz w:val="18"/>
                          <w:szCs w:val="18"/>
                        </w:rPr>
                      </w:pPr>
                    </w:p>
                    <w:p w14:paraId="2F931028" w14:textId="77777777" w:rsidR="00A73A1E" w:rsidRDefault="00A73A1E"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5FCD186F"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C41CC4">
                        <w:rPr>
                          <w:rFonts w:ascii="Century Gothic" w:hAnsi="Century Gothic"/>
                          <w:sz w:val="18"/>
                          <w:szCs w:val="18"/>
                        </w:rPr>
                        <w:t>10 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60DE05DF"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E57229">
        <w:rPr>
          <w:rFonts w:cs="Arial"/>
          <w:b w:val="0"/>
          <w:sz w:val="24"/>
          <w:szCs w:val="24"/>
          <w:lang w:val="en-US"/>
        </w:rPr>
        <w:t>A2023-049792</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4517CBB" w14:textId="21132571" w:rsidR="00760139" w:rsidRPr="008F5371" w:rsidRDefault="00E57229" w:rsidP="00D261C3">
      <w:pPr>
        <w:tabs>
          <w:tab w:val="right" w:pos="8646"/>
        </w:tabs>
        <w:rPr>
          <w:rFonts w:ascii="Arial" w:hAnsi="Arial"/>
        </w:rPr>
      </w:pPr>
      <w:r>
        <w:rPr>
          <w:rFonts w:ascii="Arial" w:hAnsi="Arial"/>
          <w:b/>
        </w:rPr>
        <w:t>DRIVE CONTR</w:t>
      </w:r>
      <w:r w:rsidR="00C44805">
        <w:rPr>
          <w:rFonts w:ascii="Arial" w:hAnsi="Arial"/>
          <w:b/>
        </w:rPr>
        <w:t>O</w:t>
      </w:r>
      <w:r>
        <w:rPr>
          <w:rFonts w:ascii="Arial" w:hAnsi="Arial"/>
          <w:b/>
        </w:rPr>
        <w:t>L CORPORATION (PTY) LTD</w:t>
      </w:r>
      <w:r w:rsidR="00D7474F">
        <w:rPr>
          <w:rFonts w:ascii="Arial" w:hAnsi="Arial"/>
        </w:rPr>
        <w:tab/>
      </w:r>
      <w:r w:rsidR="005243F1">
        <w:rPr>
          <w:rFonts w:ascii="Arial" w:hAnsi="Arial"/>
        </w:rPr>
        <w:t>Appellant</w:t>
      </w:r>
    </w:p>
    <w:p w14:paraId="577115F9" w14:textId="77777777" w:rsidR="00D7474F" w:rsidRPr="00D261C3" w:rsidRDefault="00D7474F" w:rsidP="00D261C3">
      <w:pPr>
        <w:tabs>
          <w:tab w:val="right" w:pos="8646"/>
        </w:tabs>
        <w:rPr>
          <w:rFonts w:ascii="Arial" w:hAnsi="Arial"/>
        </w:rPr>
      </w:pPr>
    </w:p>
    <w:p w14:paraId="7F2EE8DD" w14:textId="09E38654" w:rsidR="008F5371" w:rsidRDefault="008F5371" w:rsidP="00D261C3">
      <w:pPr>
        <w:tabs>
          <w:tab w:val="right" w:pos="8646"/>
        </w:tabs>
        <w:rPr>
          <w:rFonts w:ascii="Arial" w:hAnsi="Arial"/>
          <w:bCs/>
        </w:rPr>
      </w:pPr>
      <w:r>
        <w:rPr>
          <w:rFonts w:ascii="Arial" w:hAnsi="Arial"/>
          <w:bCs/>
        </w:rPr>
        <w:t>and</w:t>
      </w:r>
    </w:p>
    <w:p w14:paraId="5218E326" w14:textId="77777777" w:rsidR="00840B4E" w:rsidRDefault="00840B4E" w:rsidP="00D261C3">
      <w:pPr>
        <w:tabs>
          <w:tab w:val="right" w:pos="8646"/>
        </w:tabs>
        <w:rPr>
          <w:rFonts w:ascii="Arial" w:hAnsi="Arial"/>
          <w:bCs/>
        </w:rPr>
      </w:pPr>
    </w:p>
    <w:p w14:paraId="64FB5639" w14:textId="64D0C4D3" w:rsidR="00840B4E" w:rsidRDefault="00E57229" w:rsidP="00D261C3">
      <w:pPr>
        <w:tabs>
          <w:tab w:val="right" w:pos="8646"/>
        </w:tabs>
        <w:rPr>
          <w:rFonts w:ascii="Arial" w:hAnsi="Arial"/>
          <w:bCs/>
        </w:rPr>
      </w:pPr>
      <w:r>
        <w:rPr>
          <w:rFonts w:ascii="Arial" w:hAnsi="Arial"/>
          <w:b/>
        </w:rPr>
        <w:t>NATIONAL HEALTH LABORATORY SERVICE</w:t>
      </w:r>
      <w:r w:rsidR="00840B4E">
        <w:rPr>
          <w:rFonts w:ascii="Arial" w:hAnsi="Arial"/>
          <w:bCs/>
        </w:rPr>
        <w:tab/>
        <w:t>Respondent</w:t>
      </w:r>
    </w:p>
    <w:p w14:paraId="01FB6C3E" w14:textId="77777777" w:rsidR="00AC2DC6" w:rsidRDefault="00AC2DC6" w:rsidP="00D261C3">
      <w:pPr>
        <w:tabs>
          <w:tab w:val="right" w:pos="8646"/>
        </w:tabs>
        <w:rPr>
          <w:rFonts w:ascii="Arial" w:hAnsi="Arial"/>
          <w:bCs/>
        </w:rPr>
      </w:pPr>
    </w:p>
    <w:p w14:paraId="5DFFFC2C" w14:textId="4118887C" w:rsidR="00AC2DC6" w:rsidRDefault="00AC2DC6" w:rsidP="00D261C3">
      <w:pPr>
        <w:tabs>
          <w:tab w:val="right" w:pos="8646"/>
        </w:tabs>
        <w:rPr>
          <w:rFonts w:ascii="Arial" w:hAnsi="Arial"/>
          <w:bCs/>
        </w:rPr>
      </w:pPr>
      <w:r>
        <w:rPr>
          <w:rFonts w:ascii="Arial" w:hAnsi="Arial"/>
          <w:bCs/>
        </w:rPr>
        <w:t xml:space="preserve">CORAM: </w:t>
      </w:r>
      <w:r w:rsidR="00E57229">
        <w:rPr>
          <w:rFonts w:ascii="Arial" w:hAnsi="Arial"/>
          <w:bCs/>
        </w:rPr>
        <w:t>ADAMS</w:t>
      </w:r>
      <w:r>
        <w:rPr>
          <w:rFonts w:ascii="Arial" w:hAnsi="Arial"/>
          <w:bCs/>
        </w:rPr>
        <w:t xml:space="preserve"> J, WILSON J AND </w:t>
      </w:r>
      <w:r w:rsidR="00E57229">
        <w:rPr>
          <w:rFonts w:ascii="Arial" w:hAnsi="Arial"/>
          <w:bCs/>
        </w:rPr>
        <w:t>WANLESS</w:t>
      </w:r>
      <w:r>
        <w:rPr>
          <w:rFonts w:ascii="Arial" w:hAnsi="Arial"/>
          <w:bCs/>
        </w:rPr>
        <w:t xml:space="preserve"> J</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165BDBFB"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AC2DC6">
        <w:rPr>
          <w:rFonts w:ascii="Arial" w:eastAsia="Calibri" w:hAnsi="Arial" w:cs="Arial"/>
          <w:b/>
          <w:bCs/>
          <w:color w:val="000000" w:themeColor="text1"/>
          <w:u w:val="single"/>
        </w:rPr>
        <w:t xml:space="preserve"> (with whom </w:t>
      </w:r>
      <w:r w:rsidR="00E57229">
        <w:rPr>
          <w:rFonts w:ascii="Arial" w:eastAsia="Calibri" w:hAnsi="Arial" w:cs="Arial"/>
          <w:b/>
          <w:bCs/>
          <w:color w:val="000000" w:themeColor="text1"/>
          <w:u w:val="single"/>
        </w:rPr>
        <w:t>ADAMS</w:t>
      </w:r>
      <w:r w:rsidR="00AC2DC6">
        <w:rPr>
          <w:rFonts w:ascii="Arial" w:eastAsia="Calibri" w:hAnsi="Arial" w:cs="Arial"/>
          <w:b/>
          <w:bCs/>
          <w:color w:val="000000" w:themeColor="text1"/>
          <w:u w:val="single"/>
        </w:rPr>
        <w:t xml:space="preserve"> J and </w:t>
      </w:r>
      <w:r w:rsidR="00E57229">
        <w:rPr>
          <w:rFonts w:ascii="Arial" w:eastAsia="Calibri" w:hAnsi="Arial" w:cs="Arial"/>
          <w:b/>
          <w:bCs/>
          <w:color w:val="000000" w:themeColor="text1"/>
          <w:u w:val="single"/>
        </w:rPr>
        <w:t>WANLESS</w:t>
      </w:r>
      <w:r w:rsidR="00AC2DC6">
        <w:rPr>
          <w:rFonts w:ascii="Arial" w:eastAsia="Calibri" w:hAnsi="Arial" w:cs="Arial"/>
          <w:b/>
          <w:bCs/>
          <w:color w:val="000000" w:themeColor="text1"/>
          <w:u w:val="single"/>
        </w:rPr>
        <w:t xml:space="preserve"> J agree)</w:t>
      </w:r>
      <w:r w:rsidR="00B92B28" w:rsidRPr="000104F0">
        <w:rPr>
          <w:rFonts w:ascii="Arial" w:eastAsia="Calibri" w:hAnsi="Arial" w:cs="Arial"/>
          <w:b/>
          <w:bCs/>
          <w:color w:val="000000" w:themeColor="text1"/>
        </w:rPr>
        <w:t>:</w:t>
      </w:r>
    </w:p>
    <w:p w14:paraId="6A4FFB19" w14:textId="77777777" w:rsidR="002273FD" w:rsidRPr="00BA0C0C" w:rsidRDefault="002273FD" w:rsidP="00BA0C0C">
      <w:pPr>
        <w:spacing w:line="360" w:lineRule="auto"/>
        <w:contextualSpacing/>
        <w:jc w:val="both"/>
        <w:rPr>
          <w:rFonts w:ascii="Arial" w:eastAsia="Calibri" w:hAnsi="Arial" w:cs="Arial"/>
          <w:b/>
          <w:bCs/>
          <w:color w:val="000000" w:themeColor="text1"/>
        </w:rPr>
      </w:pPr>
    </w:p>
    <w:p w14:paraId="0A83D0A9" w14:textId="5E84487D" w:rsidR="00E57229" w:rsidRPr="009E4D0D" w:rsidRDefault="0015127F" w:rsidP="0015127F">
      <w:pPr>
        <w:pStyle w:val="Paragraph12pt"/>
        <w:tabs>
          <w:tab w:val="left" w:pos="851"/>
        </w:tabs>
        <w:ind w:left="851" w:hanging="851"/>
        <w:rPr>
          <w:bCs/>
          <w:lang w:val="en-GB"/>
        </w:rPr>
      </w:pPr>
      <w:r w:rsidRPr="009E4D0D">
        <w:rPr>
          <w:rFonts w:cs="Arial"/>
          <w:bCs/>
          <w:color w:val="000000"/>
          <w:szCs w:val="24"/>
          <w:lang w:val="en-GB"/>
        </w:rPr>
        <w:t>1</w:t>
      </w:r>
      <w:r w:rsidRPr="009E4D0D">
        <w:rPr>
          <w:rFonts w:cs="Arial"/>
          <w:bCs/>
          <w:color w:val="000000"/>
          <w:szCs w:val="24"/>
          <w:lang w:val="en-GB"/>
        </w:rPr>
        <w:tab/>
      </w:r>
      <w:r w:rsidR="001C2236">
        <w:rPr>
          <w:bCs/>
        </w:rPr>
        <w:t xml:space="preserve">The </w:t>
      </w:r>
      <w:r w:rsidR="00D30272">
        <w:rPr>
          <w:bCs/>
        </w:rPr>
        <w:t>appellant, Drive Control, took cession of a right to receive payment under a contract between the respondent, the NHLS, and a company known as Blue Future Internet and Surveillance CC (“Blue Future”). Blue Future won a tender to supply computers and information technology services to the NHLS. Finding itself unable to purchase the inventory necessary to perform its obligations under its contract with the NHLS, Blue Future ceded</w:t>
      </w:r>
      <w:r w:rsidR="009E4D0D">
        <w:rPr>
          <w:bCs/>
        </w:rPr>
        <w:t xml:space="preserve"> to Drive Control</w:t>
      </w:r>
      <w:r w:rsidR="00D30272">
        <w:rPr>
          <w:bCs/>
        </w:rPr>
        <w:t xml:space="preserve"> its right </w:t>
      </w:r>
      <w:r w:rsidR="00D30272">
        <w:rPr>
          <w:bCs/>
        </w:rPr>
        <w:lastRenderedPageBreak/>
        <w:t>to be paid for the goods and services it was bound to supply</w:t>
      </w:r>
      <w:r w:rsidR="009E4D0D">
        <w:rPr>
          <w:bCs/>
        </w:rPr>
        <w:t xml:space="preserve"> under the contract</w:t>
      </w:r>
      <w:r w:rsidR="00CC0B8A">
        <w:rPr>
          <w:bCs/>
        </w:rPr>
        <w:t>. The cession was to operate</w:t>
      </w:r>
      <w:r w:rsidR="00970904">
        <w:rPr>
          <w:bCs/>
        </w:rPr>
        <w:t xml:space="preserve"> </w:t>
      </w:r>
      <w:r w:rsidR="00CC0B8A">
        <w:rPr>
          <w:bCs/>
        </w:rPr>
        <w:t>as security for the supply of</w:t>
      </w:r>
      <w:r w:rsidR="00970904">
        <w:rPr>
          <w:bCs/>
        </w:rPr>
        <w:t xml:space="preserve"> the inventory Blue Future needed to perform on its obligations to the NHLS</w:t>
      </w:r>
      <w:r w:rsidR="009E4D0D">
        <w:rPr>
          <w:bCs/>
        </w:rPr>
        <w:t>.</w:t>
      </w:r>
    </w:p>
    <w:p w14:paraId="67E76C21" w14:textId="5F41130A" w:rsidR="009E4D0D" w:rsidRPr="009E4D0D" w:rsidRDefault="0015127F" w:rsidP="0015127F">
      <w:pPr>
        <w:pStyle w:val="Paragraph12pt"/>
        <w:tabs>
          <w:tab w:val="left" w:pos="851"/>
        </w:tabs>
        <w:ind w:left="851" w:hanging="851"/>
        <w:rPr>
          <w:bCs/>
          <w:lang w:val="en-GB"/>
        </w:rPr>
      </w:pPr>
      <w:r w:rsidRPr="009E4D0D">
        <w:rPr>
          <w:rFonts w:cs="Arial"/>
          <w:bCs/>
          <w:color w:val="000000"/>
          <w:szCs w:val="24"/>
          <w:lang w:val="en-GB"/>
        </w:rPr>
        <w:t>2</w:t>
      </w:r>
      <w:r w:rsidRPr="009E4D0D">
        <w:rPr>
          <w:rFonts w:cs="Arial"/>
          <w:bCs/>
          <w:color w:val="000000"/>
          <w:szCs w:val="24"/>
          <w:lang w:val="en-GB"/>
        </w:rPr>
        <w:tab/>
      </w:r>
      <w:r w:rsidR="009E4D0D">
        <w:rPr>
          <w:bCs/>
        </w:rPr>
        <w:t xml:space="preserve">Despite securing a written undertaking to honour that cession from one of </w:t>
      </w:r>
      <w:r w:rsidR="00C44805">
        <w:rPr>
          <w:bCs/>
        </w:rPr>
        <w:t xml:space="preserve">the </w:t>
      </w:r>
      <w:r w:rsidR="009E4D0D">
        <w:rPr>
          <w:bCs/>
        </w:rPr>
        <w:t xml:space="preserve">NHLS’ </w:t>
      </w:r>
      <w:r w:rsidR="00221EF5">
        <w:rPr>
          <w:bCs/>
        </w:rPr>
        <w:t>employees</w:t>
      </w:r>
      <w:r w:rsidR="009E4D0D">
        <w:rPr>
          <w:bCs/>
        </w:rPr>
        <w:t>, a Mr. Motsepe, Drive Control was never paid. Instead, the NHLS continued to pay Blue Future. Aggrieved, Drive Control sued the NH</w:t>
      </w:r>
      <w:r w:rsidR="00C44805">
        <w:rPr>
          <w:bCs/>
        </w:rPr>
        <w:t>L</w:t>
      </w:r>
      <w:r w:rsidR="009E4D0D">
        <w:rPr>
          <w:bCs/>
        </w:rPr>
        <w:t xml:space="preserve">S in the court below for the payments it says were due under the cession. Those payments amounted to just over R33.75 million. </w:t>
      </w:r>
    </w:p>
    <w:p w14:paraId="0988240D" w14:textId="55920E72" w:rsidR="00221EF5" w:rsidRPr="00221EF5" w:rsidRDefault="0015127F" w:rsidP="0015127F">
      <w:pPr>
        <w:pStyle w:val="Paragraph12pt"/>
        <w:tabs>
          <w:tab w:val="left" w:pos="851"/>
        </w:tabs>
        <w:ind w:left="851" w:hanging="851"/>
        <w:rPr>
          <w:bCs/>
          <w:lang w:val="en-GB"/>
        </w:rPr>
      </w:pPr>
      <w:r w:rsidRPr="00221EF5">
        <w:rPr>
          <w:rFonts w:cs="Arial"/>
          <w:bCs/>
          <w:color w:val="000000"/>
          <w:szCs w:val="24"/>
          <w:lang w:val="en-GB"/>
        </w:rPr>
        <w:t>3</w:t>
      </w:r>
      <w:r w:rsidRPr="00221EF5">
        <w:rPr>
          <w:rFonts w:cs="Arial"/>
          <w:bCs/>
          <w:color w:val="000000"/>
          <w:szCs w:val="24"/>
          <w:lang w:val="en-GB"/>
        </w:rPr>
        <w:tab/>
      </w:r>
      <w:r w:rsidR="009E4D0D">
        <w:rPr>
          <w:bCs/>
        </w:rPr>
        <w:t xml:space="preserve">The court below absolved </w:t>
      </w:r>
      <w:r w:rsidR="00C44805">
        <w:rPr>
          <w:bCs/>
        </w:rPr>
        <w:t xml:space="preserve">the </w:t>
      </w:r>
      <w:r w:rsidR="009E4D0D">
        <w:rPr>
          <w:bCs/>
        </w:rPr>
        <w:t>NHLS from the instance at the end of Drive Control’s case. The court concluded that Drive Control had failed to lead evidence upon which a reasonable court could give judgment for it. There was accordingly no need to put the NHLS on its defence. The primary bas</w:t>
      </w:r>
      <w:r w:rsidR="006B00D6">
        <w:rPr>
          <w:bCs/>
        </w:rPr>
        <w:t>e</w:t>
      </w:r>
      <w:r w:rsidR="009E4D0D">
        <w:rPr>
          <w:bCs/>
        </w:rPr>
        <w:t xml:space="preserve">s on which the court below reached that conclusion </w:t>
      </w:r>
      <w:r w:rsidR="006B00D6">
        <w:rPr>
          <w:bCs/>
        </w:rPr>
        <w:t>were</w:t>
      </w:r>
      <w:r w:rsidR="009E4D0D">
        <w:rPr>
          <w:bCs/>
        </w:rPr>
        <w:t xml:space="preserve"> that the contract entered into between Blue Future and the NHLS stipulated that Blue Future would not cede any of its rights under the contract without the NHLS’ prior written consent</w:t>
      </w:r>
      <w:r w:rsidR="00CC0B8A">
        <w:rPr>
          <w:bCs/>
        </w:rPr>
        <w:t xml:space="preserve">, and that </w:t>
      </w:r>
      <w:r w:rsidR="00C44805">
        <w:rPr>
          <w:bCs/>
        </w:rPr>
        <w:t xml:space="preserve">the </w:t>
      </w:r>
      <w:r w:rsidR="00CC0B8A">
        <w:rPr>
          <w:bCs/>
        </w:rPr>
        <w:t>NHLS</w:t>
      </w:r>
      <w:r w:rsidR="00C44805">
        <w:rPr>
          <w:bCs/>
        </w:rPr>
        <w:t>’</w:t>
      </w:r>
      <w:r w:rsidR="00CC0B8A">
        <w:rPr>
          <w:bCs/>
        </w:rPr>
        <w:t xml:space="preserve"> prior written consent to the cession was never secured. </w:t>
      </w:r>
    </w:p>
    <w:p w14:paraId="3F86F291" w14:textId="75CD06FD" w:rsidR="009E4D0D" w:rsidRPr="00221EF5" w:rsidRDefault="0015127F" w:rsidP="0015127F">
      <w:pPr>
        <w:pStyle w:val="Paragraph12pt"/>
        <w:tabs>
          <w:tab w:val="left" w:pos="851"/>
        </w:tabs>
        <w:ind w:left="851" w:hanging="851"/>
        <w:rPr>
          <w:bCs/>
          <w:lang w:val="en-GB"/>
        </w:rPr>
      </w:pPr>
      <w:r w:rsidRPr="00221EF5">
        <w:rPr>
          <w:rFonts w:cs="Arial"/>
          <w:bCs/>
          <w:color w:val="000000"/>
          <w:szCs w:val="24"/>
          <w:lang w:val="en-GB"/>
        </w:rPr>
        <w:t>4</w:t>
      </w:r>
      <w:r w:rsidRPr="00221EF5">
        <w:rPr>
          <w:rFonts w:cs="Arial"/>
          <w:bCs/>
          <w:color w:val="000000"/>
          <w:szCs w:val="24"/>
          <w:lang w:val="en-GB"/>
        </w:rPr>
        <w:tab/>
      </w:r>
      <w:r w:rsidR="009E4D0D">
        <w:rPr>
          <w:bCs/>
        </w:rPr>
        <w:t>It was common cause before the court below that Blue Future ceded its rights to Drive Control</w:t>
      </w:r>
      <w:r w:rsidR="00221EF5">
        <w:rPr>
          <w:bCs/>
        </w:rPr>
        <w:t xml:space="preserve"> on 22 August 2016. It did so without having first obtained the NHLS’ consent – whether in writing or at all. It was not until 24 August 2016 that Mr. Motsepe, </w:t>
      </w:r>
      <w:r w:rsidR="00CC0B8A">
        <w:rPr>
          <w:bCs/>
        </w:rPr>
        <w:t xml:space="preserve">the </w:t>
      </w:r>
      <w:r w:rsidR="00221EF5">
        <w:rPr>
          <w:bCs/>
        </w:rPr>
        <w:t>NHLS’ Head of Supply Chain Management, signed a document that purported to acknowledge the cession on</w:t>
      </w:r>
      <w:r w:rsidR="00C44805">
        <w:rPr>
          <w:bCs/>
        </w:rPr>
        <w:t xml:space="preserve"> the</w:t>
      </w:r>
      <w:r w:rsidR="00221EF5">
        <w:rPr>
          <w:bCs/>
        </w:rPr>
        <w:t xml:space="preserve"> NHLS’ behalf, and </w:t>
      </w:r>
      <w:r w:rsidR="00CC0B8A">
        <w:rPr>
          <w:bCs/>
        </w:rPr>
        <w:t>that contained an undertaking that the NHLS</w:t>
      </w:r>
      <w:r w:rsidR="00221EF5">
        <w:rPr>
          <w:bCs/>
        </w:rPr>
        <w:t xml:space="preserve"> </w:t>
      </w:r>
      <w:r w:rsidR="00CC0B8A">
        <w:rPr>
          <w:bCs/>
        </w:rPr>
        <w:t>would</w:t>
      </w:r>
      <w:r w:rsidR="00221EF5">
        <w:rPr>
          <w:bCs/>
        </w:rPr>
        <w:t xml:space="preserve"> pay Drive Control pursuant to it.</w:t>
      </w:r>
    </w:p>
    <w:p w14:paraId="4F112726" w14:textId="55E60EA7" w:rsidR="00F04227" w:rsidRPr="00F04227" w:rsidRDefault="0015127F" w:rsidP="0015127F">
      <w:pPr>
        <w:pStyle w:val="Paragraph12pt"/>
        <w:tabs>
          <w:tab w:val="left" w:pos="851"/>
        </w:tabs>
        <w:ind w:left="851" w:hanging="851"/>
        <w:rPr>
          <w:bCs/>
          <w:lang w:val="en-GB"/>
        </w:rPr>
      </w:pPr>
      <w:r w:rsidRPr="00F04227">
        <w:rPr>
          <w:rFonts w:cs="Arial"/>
          <w:bCs/>
          <w:color w:val="000000"/>
          <w:szCs w:val="24"/>
          <w:lang w:val="en-GB"/>
        </w:rPr>
        <w:lastRenderedPageBreak/>
        <w:t>5</w:t>
      </w:r>
      <w:r w:rsidRPr="00F04227">
        <w:rPr>
          <w:rFonts w:cs="Arial"/>
          <w:bCs/>
          <w:color w:val="000000"/>
          <w:szCs w:val="24"/>
          <w:lang w:val="en-GB"/>
        </w:rPr>
        <w:tab/>
      </w:r>
      <w:r w:rsidR="00221EF5">
        <w:rPr>
          <w:bCs/>
        </w:rPr>
        <w:t xml:space="preserve">The </w:t>
      </w:r>
      <w:r w:rsidR="00847E49">
        <w:rPr>
          <w:bCs/>
        </w:rPr>
        <w:t xml:space="preserve">gist of the decision of the court below was that Drive Control could only succeed in the face of Blue Future’s failure to </w:t>
      </w:r>
      <w:r w:rsidR="00CC0B8A">
        <w:rPr>
          <w:bCs/>
        </w:rPr>
        <w:t>secure the NHLS</w:t>
      </w:r>
      <w:r w:rsidR="00C44805">
        <w:rPr>
          <w:bCs/>
        </w:rPr>
        <w:t>’</w:t>
      </w:r>
      <w:r w:rsidR="00CC0B8A">
        <w:rPr>
          <w:bCs/>
        </w:rPr>
        <w:t xml:space="preserve"> prior written consent to the cession of its right to payment </w:t>
      </w:r>
      <w:r w:rsidR="00847E49">
        <w:rPr>
          <w:bCs/>
        </w:rPr>
        <w:t>if it could be shown that</w:t>
      </w:r>
      <w:r w:rsidR="00CC0B8A">
        <w:rPr>
          <w:bCs/>
        </w:rPr>
        <w:t xml:space="preserve"> the</w:t>
      </w:r>
      <w:r w:rsidR="00847E49">
        <w:rPr>
          <w:bCs/>
        </w:rPr>
        <w:t xml:space="preserve"> NHLS had waived the prohibition on cessions without its prior consent, or if the contract had been varied to delete th</w:t>
      </w:r>
      <w:r w:rsidR="00CC0B8A">
        <w:rPr>
          <w:bCs/>
        </w:rPr>
        <w:t xml:space="preserve">at </w:t>
      </w:r>
      <w:r w:rsidR="00847E49">
        <w:rPr>
          <w:bCs/>
        </w:rPr>
        <w:t xml:space="preserve">prohibition. The court below found that the only person authorised to vary the contract or </w:t>
      </w:r>
      <w:r w:rsidR="00C44805">
        <w:rPr>
          <w:bCs/>
        </w:rPr>
        <w:t xml:space="preserve">to waive </w:t>
      </w:r>
      <w:r w:rsidR="00CC0B8A">
        <w:rPr>
          <w:bCs/>
        </w:rPr>
        <w:t xml:space="preserve">the </w:t>
      </w:r>
      <w:r w:rsidR="00847E49">
        <w:rPr>
          <w:bCs/>
        </w:rPr>
        <w:t xml:space="preserve">NHLS’ rights was </w:t>
      </w:r>
      <w:r w:rsidR="00CC0B8A">
        <w:rPr>
          <w:bCs/>
        </w:rPr>
        <w:t xml:space="preserve">the </w:t>
      </w:r>
      <w:r w:rsidR="00847E49">
        <w:rPr>
          <w:bCs/>
        </w:rPr>
        <w:t>NHLS’ Chief Executive, Ms. Mogale, who had signed the contract on NHLS’ behalf, and who had been authorised by</w:t>
      </w:r>
      <w:r w:rsidR="00CC0B8A">
        <w:rPr>
          <w:bCs/>
        </w:rPr>
        <w:t xml:space="preserve"> the</w:t>
      </w:r>
      <w:r w:rsidR="00847E49">
        <w:rPr>
          <w:bCs/>
        </w:rPr>
        <w:t xml:space="preserve"> NHLS’ board to </w:t>
      </w:r>
      <w:r w:rsidR="00F04227">
        <w:rPr>
          <w:bCs/>
        </w:rPr>
        <w:t xml:space="preserve">implement </w:t>
      </w:r>
      <w:r w:rsidR="00CC0B8A">
        <w:rPr>
          <w:bCs/>
        </w:rPr>
        <w:t>the board’s</w:t>
      </w:r>
      <w:r w:rsidR="00F04227">
        <w:rPr>
          <w:bCs/>
        </w:rPr>
        <w:t xml:space="preserve"> resolution to award the contract to Blue Future. Since no evidence had been led that Ms. Mogale had agreed to vary the contract, or had waived the prohibition on the cession of Blue Future’s rights without </w:t>
      </w:r>
      <w:r w:rsidR="00CC0B8A">
        <w:rPr>
          <w:bCs/>
        </w:rPr>
        <w:t xml:space="preserve">the </w:t>
      </w:r>
      <w:r w:rsidR="00F04227">
        <w:rPr>
          <w:bCs/>
        </w:rPr>
        <w:t>NHLS’ consent, absolution had to be granted.</w:t>
      </w:r>
    </w:p>
    <w:p w14:paraId="741E7B64" w14:textId="602DBE30" w:rsidR="00221EF5" w:rsidRPr="001652F8" w:rsidRDefault="0015127F" w:rsidP="0015127F">
      <w:pPr>
        <w:pStyle w:val="Paragraph12pt"/>
        <w:tabs>
          <w:tab w:val="left" w:pos="851"/>
        </w:tabs>
        <w:ind w:left="851" w:hanging="851"/>
        <w:rPr>
          <w:bCs/>
          <w:lang w:val="en-GB"/>
        </w:rPr>
      </w:pPr>
      <w:r w:rsidRPr="001652F8">
        <w:rPr>
          <w:rFonts w:cs="Arial"/>
          <w:bCs/>
          <w:color w:val="000000"/>
          <w:szCs w:val="24"/>
          <w:lang w:val="en-GB"/>
        </w:rPr>
        <w:t>6</w:t>
      </w:r>
      <w:r w:rsidRPr="001652F8">
        <w:rPr>
          <w:rFonts w:cs="Arial"/>
          <w:bCs/>
          <w:color w:val="000000"/>
          <w:szCs w:val="24"/>
          <w:lang w:val="en-GB"/>
        </w:rPr>
        <w:tab/>
      </w:r>
      <w:r w:rsidR="00F04227">
        <w:rPr>
          <w:bCs/>
        </w:rPr>
        <w:t>The court below also dealt with Drive Control’s argument that</w:t>
      </w:r>
      <w:r w:rsidR="00CC0B8A">
        <w:rPr>
          <w:bCs/>
        </w:rPr>
        <w:t xml:space="preserve"> the</w:t>
      </w:r>
      <w:r w:rsidR="00F04227">
        <w:rPr>
          <w:bCs/>
        </w:rPr>
        <w:t xml:space="preserve"> NHLS was estopped from denying Mr. Motsepe’s authority to consent to</w:t>
      </w:r>
      <w:r w:rsidR="001652F8">
        <w:rPr>
          <w:bCs/>
        </w:rPr>
        <w:t xml:space="preserve"> be bound by</w:t>
      </w:r>
      <w:r w:rsidR="00F04227">
        <w:rPr>
          <w:bCs/>
        </w:rPr>
        <w:t xml:space="preserve"> the cession on</w:t>
      </w:r>
      <w:r w:rsidR="00970904">
        <w:rPr>
          <w:bCs/>
        </w:rPr>
        <w:t xml:space="preserve"> the</w:t>
      </w:r>
      <w:r w:rsidR="00F04227">
        <w:rPr>
          <w:bCs/>
        </w:rPr>
        <w:t xml:space="preserve"> </w:t>
      </w:r>
      <w:r w:rsidR="00970904">
        <w:rPr>
          <w:bCs/>
        </w:rPr>
        <w:t>NHLS’</w:t>
      </w:r>
      <w:r w:rsidR="00F04227">
        <w:rPr>
          <w:bCs/>
        </w:rPr>
        <w:t xml:space="preserve"> behalf. The court below found that Drive Control </w:t>
      </w:r>
      <w:r w:rsidR="001652F8">
        <w:rPr>
          <w:bCs/>
        </w:rPr>
        <w:t>had not led evidence upon which it could conclud</w:t>
      </w:r>
      <w:r w:rsidR="00A13633">
        <w:rPr>
          <w:bCs/>
        </w:rPr>
        <w:t>e that Drive Control’s</w:t>
      </w:r>
      <w:r w:rsidR="001652F8">
        <w:rPr>
          <w:bCs/>
        </w:rPr>
        <w:t xml:space="preserve"> reliance</w:t>
      </w:r>
      <w:r w:rsidR="00F04227">
        <w:rPr>
          <w:bCs/>
        </w:rPr>
        <w:t xml:space="preserve"> on Mr. Motsepe’s a</w:t>
      </w:r>
      <w:r w:rsidR="001652F8">
        <w:rPr>
          <w:bCs/>
        </w:rPr>
        <w:t xml:space="preserve">uthority was reasonable. Drive Control’s own evidence was that it </w:t>
      </w:r>
      <w:r w:rsidR="00F04227">
        <w:rPr>
          <w:bCs/>
        </w:rPr>
        <w:t xml:space="preserve">had done nothing to acquaint itself with the terms of the contract out of which Blue Future’s rights were being ceded, and had made no more than the most cursory inquiries </w:t>
      </w:r>
      <w:r w:rsidR="001652F8">
        <w:rPr>
          <w:bCs/>
        </w:rPr>
        <w:t>about whether Mr. Motsepe was employed at the NHLS</w:t>
      </w:r>
      <w:r w:rsidR="00A13633">
        <w:rPr>
          <w:bCs/>
        </w:rPr>
        <w:t>,</w:t>
      </w:r>
      <w:r w:rsidR="001652F8">
        <w:rPr>
          <w:bCs/>
        </w:rPr>
        <w:t xml:space="preserve"> and what </w:t>
      </w:r>
      <w:r w:rsidR="00A13633">
        <w:rPr>
          <w:bCs/>
        </w:rPr>
        <w:t xml:space="preserve">his position was. In these circumstances, </w:t>
      </w:r>
      <w:r w:rsidR="00CC0B8A">
        <w:rPr>
          <w:bCs/>
        </w:rPr>
        <w:t>Drive Control</w:t>
      </w:r>
      <w:r w:rsidR="00A13633">
        <w:rPr>
          <w:bCs/>
        </w:rPr>
        <w:t xml:space="preserve"> could not reasonably rely on Mr. Motsepe’s </w:t>
      </w:r>
      <w:r w:rsidR="003662F5">
        <w:rPr>
          <w:bCs/>
        </w:rPr>
        <w:t>ostensibl</w:t>
      </w:r>
      <w:r w:rsidR="00CC0B8A">
        <w:rPr>
          <w:bCs/>
        </w:rPr>
        <w:t xml:space="preserve">e </w:t>
      </w:r>
      <w:r w:rsidR="00A13633">
        <w:rPr>
          <w:bCs/>
        </w:rPr>
        <w:t>authority</w:t>
      </w:r>
      <w:r w:rsidR="00434834">
        <w:rPr>
          <w:bCs/>
        </w:rPr>
        <w:t>.</w:t>
      </w:r>
    </w:p>
    <w:p w14:paraId="79A3DEF2" w14:textId="44F40341" w:rsidR="001652F8" w:rsidRPr="001652F8" w:rsidRDefault="0015127F" w:rsidP="0015127F">
      <w:pPr>
        <w:pStyle w:val="Paragraph12pt"/>
        <w:tabs>
          <w:tab w:val="left" w:pos="851"/>
        </w:tabs>
        <w:ind w:left="851" w:hanging="851"/>
        <w:rPr>
          <w:bCs/>
          <w:lang w:val="en-GB"/>
        </w:rPr>
      </w:pPr>
      <w:r w:rsidRPr="001652F8">
        <w:rPr>
          <w:rFonts w:cs="Arial"/>
          <w:bCs/>
          <w:color w:val="000000"/>
          <w:szCs w:val="24"/>
          <w:lang w:val="en-GB"/>
        </w:rPr>
        <w:t>7</w:t>
      </w:r>
      <w:r w:rsidRPr="001652F8">
        <w:rPr>
          <w:rFonts w:cs="Arial"/>
          <w:bCs/>
          <w:color w:val="000000"/>
          <w:szCs w:val="24"/>
          <w:lang w:val="en-GB"/>
        </w:rPr>
        <w:tab/>
      </w:r>
      <w:r w:rsidR="001652F8">
        <w:rPr>
          <w:bCs/>
        </w:rPr>
        <w:t xml:space="preserve">The court below refused Drive Control’s application for leave to appeal, but the appeal is now before us with the Supreme Court of Appeal’s leave. </w:t>
      </w:r>
    </w:p>
    <w:p w14:paraId="53B0FE85" w14:textId="3E685E3C" w:rsidR="003F24F5" w:rsidRPr="003F24F5" w:rsidRDefault="0015127F" w:rsidP="0015127F">
      <w:pPr>
        <w:pStyle w:val="Paragraph12pt"/>
        <w:tabs>
          <w:tab w:val="left" w:pos="851"/>
        </w:tabs>
        <w:ind w:left="851" w:hanging="851"/>
        <w:rPr>
          <w:bCs/>
          <w:lang w:val="en-GB"/>
        </w:rPr>
      </w:pPr>
      <w:r w:rsidRPr="003F24F5">
        <w:rPr>
          <w:rFonts w:cs="Arial"/>
          <w:bCs/>
          <w:color w:val="000000"/>
          <w:szCs w:val="24"/>
          <w:lang w:val="en-GB"/>
        </w:rPr>
        <w:lastRenderedPageBreak/>
        <w:t>8</w:t>
      </w:r>
      <w:r w:rsidRPr="003F24F5">
        <w:rPr>
          <w:rFonts w:cs="Arial"/>
          <w:bCs/>
          <w:color w:val="000000"/>
          <w:szCs w:val="24"/>
          <w:lang w:val="en-GB"/>
        </w:rPr>
        <w:tab/>
      </w:r>
      <w:r w:rsidR="001652F8">
        <w:rPr>
          <w:bCs/>
        </w:rPr>
        <w:t xml:space="preserve">On appeal, Drive Control </w:t>
      </w:r>
      <w:r w:rsidR="00A13633">
        <w:rPr>
          <w:bCs/>
        </w:rPr>
        <w:t>renewed its contentions that Mr. Motsepe had actual or ostensi</w:t>
      </w:r>
      <w:r w:rsidR="003662F5">
        <w:rPr>
          <w:bCs/>
        </w:rPr>
        <w:t>bl</w:t>
      </w:r>
      <w:r w:rsidR="00A13633">
        <w:rPr>
          <w:bCs/>
        </w:rPr>
        <w:t>e authority to acknowledge the cession on</w:t>
      </w:r>
      <w:r w:rsidR="00CC0B8A">
        <w:rPr>
          <w:bCs/>
        </w:rPr>
        <w:t xml:space="preserve"> the</w:t>
      </w:r>
      <w:r w:rsidR="00A13633">
        <w:rPr>
          <w:bCs/>
        </w:rPr>
        <w:t xml:space="preserve"> NHLS’ behalf</w:t>
      </w:r>
      <w:r w:rsidR="00CC0B8A">
        <w:rPr>
          <w:bCs/>
        </w:rPr>
        <w:t>,</w:t>
      </w:r>
      <w:r w:rsidR="00A13633">
        <w:rPr>
          <w:bCs/>
        </w:rPr>
        <w:t xml:space="preserve"> and to bind the NHLS to it. Mr. Sawma, who appeared together with Mr. </w:t>
      </w:r>
      <w:r w:rsidR="00A13633" w:rsidRPr="00A13633">
        <w:rPr>
          <w:bCs/>
          <w:lang w:val="en-GB"/>
        </w:rPr>
        <w:t xml:space="preserve">Roeloffze </w:t>
      </w:r>
      <w:r w:rsidR="00A13633">
        <w:rPr>
          <w:bCs/>
        </w:rPr>
        <w:t xml:space="preserve">for Drive Control before us, also advanced the argument that the written acknowledgement of the cession Mr. Motsepe signed created a basis upon which NHLS is indebted to Drive Control that </w:t>
      </w:r>
      <w:r w:rsidR="00CC0B8A">
        <w:rPr>
          <w:bCs/>
        </w:rPr>
        <w:t>is</w:t>
      </w:r>
      <w:r w:rsidR="00A13633" w:rsidRPr="00A13633">
        <w:rPr>
          <w:rFonts w:ascii="Times New Roman" w:hAnsi="Times New Roman"/>
          <w:bCs/>
          <w:szCs w:val="24"/>
          <w:lang w:val="en-GB" w:eastAsia="en-US"/>
        </w:rPr>
        <w:t xml:space="preserve"> </w:t>
      </w:r>
      <w:r w:rsidR="00A13633" w:rsidRPr="00A13633">
        <w:rPr>
          <w:bCs/>
          <w:lang w:val="en-GB"/>
        </w:rPr>
        <w:t>separate and independent</w:t>
      </w:r>
      <w:r w:rsidR="00A13633">
        <w:rPr>
          <w:bCs/>
          <w:lang w:val="en-GB"/>
        </w:rPr>
        <w:t xml:space="preserve"> from the underlying contract out of which Blue Future ceded its rights</w:t>
      </w:r>
      <w:r w:rsidR="00A13633">
        <w:rPr>
          <w:bCs/>
        </w:rPr>
        <w:t xml:space="preserve">. </w:t>
      </w:r>
    </w:p>
    <w:p w14:paraId="1BF78F42" w14:textId="39CB116D" w:rsidR="001652F8" w:rsidRPr="003F24F5" w:rsidRDefault="0015127F" w:rsidP="0015127F">
      <w:pPr>
        <w:pStyle w:val="Paragraph12pt"/>
        <w:tabs>
          <w:tab w:val="left" w:pos="851"/>
        </w:tabs>
        <w:ind w:left="851" w:hanging="851"/>
        <w:rPr>
          <w:bCs/>
          <w:lang w:val="en-GB"/>
        </w:rPr>
      </w:pPr>
      <w:r w:rsidRPr="003F24F5">
        <w:rPr>
          <w:rFonts w:cs="Arial"/>
          <w:bCs/>
          <w:color w:val="000000"/>
          <w:szCs w:val="24"/>
          <w:lang w:val="en-GB"/>
        </w:rPr>
        <w:t>9</w:t>
      </w:r>
      <w:r w:rsidRPr="003F24F5">
        <w:rPr>
          <w:rFonts w:cs="Arial"/>
          <w:bCs/>
          <w:color w:val="000000"/>
          <w:szCs w:val="24"/>
          <w:lang w:val="en-GB"/>
        </w:rPr>
        <w:tab/>
      </w:r>
      <w:r w:rsidR="00A13633">
        <w:rPr>
          <w:bCs/>
        </w:rPr>
        <w:t xml:space="preserve">The argument, as I understood it, was that the contractual prohibition on Blue Future ceding its rights without the NHLS’ prior consent was only operative between Blue Future and the NHLS. Assuming he had </w:t>
      </w:r>
      <w:r w:rsidR="003F24F5">
        <w:rPr>
          <w:bCs/>
        </w:rPr>
        <w:t xml:space="preserve">the </w:t>
      </w:r>
      <w:r w:rsidR="00A13633">
        <w:rPr>
          <w:bCs/>
        </w:rPr>
        <w:t xml:space="preserve">authority </w:t>
      </w:r>
      <w:r w:rsidR="003F24F5">
        <w:rPr>
          <w:bCs/>
        </w:rPr>
        <w:t xml:space="preserve">to do so </w:t>
      </w:r>
      <w:r w:rsidR="00A13633">
        <w:rPr>
          <w:bCs/>
        </w:rPr>
        <w:t>(whether actual or ostensi</w:t>
      </w:r>
      <w:r w:rsidR="003662F5">
        <w:rPr>
          <w:bCs/>
        </w:rPr>
        <w:t>bl</w:t>
      </w:r>
      <w:r w:rsidR="00A13633">
        <w:rPr>
          <w:bCs/>
        </w:rPr>
        <w:t xml:space="preserve">e), Mr. Motsepe’s acknowledgement of the cession and his agreement on </w:t>
      </w:r>
      <w:r w:rsidR="00C44805">
        <w:rPr>
          <w:bCs/>
        </w:rPr>
        <w:t xml:space="preserve">the </w:t>
      </w:r>
      <w:r w:rsidR="00A13633">
        <w:rPr>
          <w:bCs/>
        </w:rPr>
        <w:t xml:space="preserve">NHLS’ behalf to make payment under it was enough, in itself, to </w:t>
      </w:r>
      <w:r w:rsidR="003F24F5">
        <w:rPr>
          <w:bCs/>
        </w:rPr>
        <w:t>ground Drive Control’s claim. It is, in other words, not necessary to consider whether the cession was consistent with</w:t>
      </w:r>
      <w:r w:rsidR="00C44805">
        <w:rPr>
          <w:bCs/>
        </w:rPr>
        <w:t xml:space="preserve"> the</w:t>
      </w:r>
      <w:r w:rsidR="003F24F5">
        <w:rPr>
          <w:bCs/>
        </w:rPr>
        <w:t xml:space="preserve"> prohibition on cessions without</w:t>
      </w:r>
      <w:r w:rsidR="00C44805">
        <w:rPr>
          <w:bCs/>
        </w:rPr>
        <w:t xml:space="preserve"> the</w:t>
      </w:r>
      <w:r w:rsidR="003F24F5">
        <w:rPr>
          <w:bCs/>
        </w:rPr>
        <w:t xml:space="preserve"> NHLS’ prior written agreement in the underlying contract, because that </w:t>
      </w:r>
      <w:r w:rsidR="00B240B3">
        <w:rPr>
          <w:bCs/>
        </w:rPr>
        <w:t>prohibition</w:t>
      </w:r>
      <w:r w:rsidR="003F24F5">
        <w:rPr>
          <w:bCs/>
        </w:rPr>
        <w:t xml:space="preserve"> is not binding on Drive Control. It accordingly mattered not whether Mr. Motsepe’s conduct amounted to a waiver of </w:t>
      </w:r>
      <w:r w:rsidR="00C44805">
        <w:rPr>
          <w:bCs/>
        </w:rPr>
        <w:t xml:space="preserve">the </w:t>
      </w:r>
      <w:r w:rsidR="003F24F5">
        <w:rPr>
          <w:bCs/>
        </w:rPr>
        <w:t xml:space="preserve">NHLS’ rights under contract. All that mattered was whether Mr. Motsepe had actual authority to acknowledge the cession or whether, if he did not, </w:t>
      </w:r>
      <w:r w:rsidR="00C44805">
        <w:rPr>
          <w:bCs/>
        </w:rPr>
        <w:t xml:space="preserve">the </w:t>
      </w:r>
      <w:r w:rsidR="003F24F5">
        <w:rPr>
          <w:bCs/>
        </w:rPr>
        <w:t xml:space="preserve">NHLS was estopped from denying his authority.  </w:t>
      </w:r>
    </w:p>
    <w:p w14:paraId="249E0895" w14:textId="63A7DCB6" w:rsidR="003F24F5" w:rsidRDefault="0015127F" w:rsidP="0015127F">
      <w:pPr>
        <w:pStyle w:val="Paragraph12pt"/>
        <w:tabs>
          <w:tab w:val="left" w:pos="851"/>
        </w:tabs>
        <w:ind w:left="851" w:hanging="851"/>
        <w:rPr>
          <w:bCs/>
          <w:lang w:val="en-GB"/>
        </w:rPr>
      </w:pPr>
      <w:r>
        <w:rPr>
          <w:rFonts w:cs="Arial"/>
          <w:bCs/>
          <w:color w:val="000000"/>
          <w:szCs w:val="24"/>
          <w:lang w:val="en-GB"/>
        </w:rPr>
        <w:t>10</w:t>
      </w:r>
      <w:r>
        <w:rPr>
          <w:rFonts w:cs="Arial"/>
          <w:bCs/>
          <w:color w:val="000000"/>
          <w:szCs w:val="24"/>
          <w:lang w:val="en-GB"/>
        </w:rPr>
        <w:tab/>
      </w:r>
      <w:r w:rsidR="003F24F5">
        <w:rPr>
          <w:bCs/>
          <w:lang w:val="en-GB"/>
        </w:rPr>
        <w:t>In my view, the court below reached the correct conclusion</w:t>
      </w:r>
      <w:r w:rsidR="0002582E">
        <w:rPr>
          <w:bCs/>
          <w:lang w:val="en-GB"/>
        </w:rPr>
        <w:t xml:space="preserve">. I also find it difficult to fault </w:t>
      </w:r>
      <w:r w:rsidR="00B240B3">
        <w:rPr>
          <w:bCs/>
          <w:lang w:val="en-GB"/>
        </w:rPr>
        <w:t xml:space="preserve">much of </w:t>
      </w:r>
      <w:r w:rsidR="0002582E">
        <w:rPr>
          <w:bCs/>
          <w:lang w:val="en-GB"/>
        </w:rPr>
        <w:t xml:space="preserve">the reasoning </w:t>
      </w:r>
      <w:r w:rsidR="00CC0B8A">
        <w:rPr>
          <w:bCs/>
          <w:lang w:val="en-GB"/>
        </w:rPr>
        <w:t>the court</w:t>
      </w:r>
      <w:r w:rsidR="0002582E">
        <w:rPr>
          <w:bCs/>
          <w:lang w:val="en-GB"/>
        </w:rPr>
        <w:t xml:space="preserve"> adopted. </w:t>
      </w:r>
      <w:r w:rsidR="00CC0B8A">
        <w:rPr>
          <w:bCs/>
          <w:lang w:val="en-GB"/>
        </w:rPr>
        <w:t>That said</w:t>
      </w:r>
      <w:r w:rsidR="0002582E">
        <w:rPr>
          <w:bCs/>
          <w:lang w:val="en-GB"/>
        </w:rPr>
        <w:t xml:space="preserve">, </w:t>
      </w:r>
      <w:r w:rsidR="00FA054D">
        <w:rPr>
          <w:bCs/>
          <w:lang w:val="en-GB"/>
        </w:rPr>
        <w:t xml:space="preserve">the approach I </w:t>
      </w:r>
      <w:r w:rsidR="000D3B92">
        <w:rPr>
          <w:bCs/>
          <w:lang w:val="en-GB"/>
        </w:rPr>
        <w:t xml:space="preserve">prefer to </w:t>
      </w:r>
      <w:r w:rsidR="00FA054D">
        <w:rPr>
          <w:bCs/>
          <w:lang w:val="en-GB"/>
        </w:rPr>
        <w:t xml:space="preserve">take to this matter is slightly different.  </w:t>
      </w:r>
      <w:r w:rsidR="00704C3B">
        <w:rPr>
          <w:bCs/>
          <w:lang w:val="en-GB"/>
        </w:rPr>
        <w:t xml:space="preserve"> </w:t>
      </w:r>
    </w:p>
    <w:p w14:paraId="23705C84" w14:textId="20A48C52" w:rsidR="00704C3B" w:rsidRDefault="0015127F" w:rsidP="0015127F">
      <w:pPr>
        <w:pStyle w:val="Paragraph12pt"/>
        <w:tabs>
          <w:tab w:val="left" w:pos="851"/>
        </w:tabs>
        <w:ind w:left="851" w:hanging="851"/>
        <w:rPr>
          <w:bCs/>
          <w:lang w:val="en-GB"/>
        </w:rPr>
      </w:pPr>
      <w:r>
        <w:rPr>
          <w:rFonts w:cs="Arial"/>
          <w:bCs/>
          <w:color w:val="000000"/>
          <w:szCs w:val="24"/>
          <w:lang w:val="en-GB"/>
        </w:rPr>
        <w:lastRenderedPageBreak/>
        <w:t>11</w:t>
      </w:r>
      <w:r>
        <w:rPr>
          <w:rFonts w:cs="Arial"/>
          <w:bCs/>
          <w:color w:val="000000"/>
          <w:szCs w:val="24"/>
          <w:lang w:val="en-GB"/>
        </w:rPr>
        <w:tab/>
      </w:r>
      <w:r w:rsidR="00704C3B">
        <w:rPr>
          <w:bCs/>
          <w:lang w:val="en-GB"/>
        </w:rPr>
        <w:t xml:space="preserve">Mr. Berger, who appeared together with Mr. Manchu for the NHLS, argued that Blue Future’s cession of its right to payment was void from the outset. It follows, Mr. Berger </w:t>
      </w:r>
      <w:r w:rsidR="00DD5CB8">
        <w:rPr>
          <w:bCs/>
          <w:lang w:val="en-GB"/>
        </w:rPr>
        <w:t>submitted</w:t>
      </w:r>
      <w:r w:rsidR="00704C3B">
        <w:rPr>
          <w:bCs/>
          <w:lang w:val="en-GB"/>
        </w:rPr>
        <w:t xml:space="preserve">, that Mr. Motsepe’s acknowledgement of the cession and his agreement to be bound by its terms was likewise void, because there was in truth no cession to acknowledge. It therefore makes no difference what Mr. Motsepe’s true authority was, or whether he waived any of </w:t>
      </w:r>
      <w:r w:rsidR="00C44805">
        <w:rPr>
          <w:bCs/>
          <w:lang w:val="en-GB"/>
        </w:rPr>
        <w:t xml:space="preserve">the </w:t>
      </w:r>
      <w:r w:rsidR="00704C3B">
        <w:rPr>
          <w:bCs/>
          <w:lang w:val="en-GB"/>
        </w:rPr>
        <w:t xml:space="preserve">NHLS’ rights under the contract, or whether the acknowledgement of </w:t>
      </w:r>
      <w:r w:rsidR="00CC0B8A">
        <w:rPr>
          <w:bCs/>
          <w:lang w:val="en-GB"/>
        </w:rPr>
        <w:t xml:space="preserve">the </w:t>
      </w:r>
      <w:r w:rsidR="00704C3B">
        <w:rPr>
          <w:bCs/>
          <w:lang w:val="en-GB"/>
        </w:rPr>
        <w:t xml:space="preserve">cession could have amounted to a variation of the contract’s terms. The mere fact that the cession was invalid from the outset means that the rights of which Drive Control says it took cession never actually passed to it. </w:t>
      </w:r>
    </w:p>
    <w:p w14:paraId="20EA77C6" w14:textId="04E00175" w:rsidR="00F3447B" w:rsidRDefault="0015127F" w:rsidP="0015127F">
      <w:pPr>
        <w:pStyle w:val="Paragraph12pt"/>
        <w:tabs>
          <w:tab w:val="left" w:pos="851"/>
        </w:tabs>
        <w:ind w:left="851" w:hanging="851"/>
        <w:rPr>
          <w:bCs/>
          <w:lang w:val="en-GB"/>
        </w:rPr>
      </w:pPr>
      <w:r>
        <w:rPr>
          <w:rFonts w:cs="Arial"/>
          <w:bCs/>
          <w:color w:val="000000"/>
          <w:szCs w:val="24"/>
          <w:lang w:val="en-GB"/>
        </w:rPr>
        <w:t>12</w:t>
      </w:r>
      <w:r>
        <w:rPr>
          <w:rFonts w:cs="Arial"/>
          <w:bCs/>
          <w:color w:val="000000"/>
          <w:szCs w:val="24"/>
          <w:lang w:val="en-GB"/>
        </w:rPr>
        <w:tab/>
      </w:r>
      <w:r w:rsidR="00F3447B">
        <w:rPr>
          <w:bCs/>
          <w:lang w:val="en-GB"/>
        </w:rPr>
        <w:t xml:space="preserve">It seems to me that Mr. Berger’s argument must be correct. Its correctness </w:t>
      </w:r>
      <w:r w:rsidR="00434834">
        <w:rPr>
          <w:bCs/>
          <w:lang w:val="en-GB"/>
        </w:rPr>
        <w:t>follows</w:t>
      </w:r>
      <w:r w:rsidR="00704C3B">
        <w:rPr>
          <w:bCs/>
          <w:lang w:val="en-GB"/>
        </w:rPr>
        <w:t xml:space="preserve">, I think, from the decision of the Supreme Court of Appeal in </w:t>
      </w:r>
      <w:r w:rsidR="00704C3B" w:rsidRPr="00704C3B">
        <w:rPr>
          <w:bCs/>
          <w:i/>
          <w:lang w:val="en-GB"/>
        </w:rPr>
        <w:t>Born Free Investments 364 (Pty) Ltd v First</w:t>
      </w:r>
      <w:r w:rsidR="00097255">
        <w:rPr>
          <w:bCs/>
          <w:i/>
          <w:lang w:val="en-GB"/>
        </w:rPr>
        <w:t>R</w:t>
      </w:r>
      <w:r w:rsidR="00704C3B" w:rsidRPr="00704C3B">
        <w:rPr>
          <w:bCs/>
          <w:i/>
          <w:lang w:val="en-GB"/>
        </w:rPr>
        <w:t>and Bank Limited</w:t>
      </w:r>
      <w:r w:rsidR="00704C3B">
        <w:rPr>
          <w:bCs/>
          <w:lang w:val="en-GB"/>
        </w:rPr>
        <w:t xml:space="preserve"> [2013] ZASCA 166 (27 November 2013)</w:t>
      </w:r>
      <w:r w:rsidR="00434834">
        <w:rPr>
          <w:bCs/>
          <w:lang w:val="en-GB"/>
        </w:rPr>
        <w:t xml:space="preserve"> (“</w:t>
      </w:r>
      <w:r w:rsidR="00434834" w:rsidRPr="00434834">
        <w:rPr>
          <w:bCs/>
          <w:i/>
          <w:lang w:val="en-GB"/>
        </w:rPr>
        <w:t>Born Free</w:t>
      </w:r>
      <w:r w:rsidR="00434834">
        <w:rPr>
          <w:bCs/>
          <w:lang w:val="en-GB"/>
        </w:rPr>
        <w:t>”)</w:t>
      </w:r>
      <w:r w:rsidR="00704C3B">
        <w:rPr>
          <w:bCs/>
          <w:lang w:val="en-GB"/>
        </w:rPr>
        <w:t xml:space="preserve">. There, </w:t>
      </w:r>
      <w:r w:rsidR="00F3447B">
        <w:rPr>
          <w:bCs/>
          <w:lang w:val="en-GB"/>
        </w:rPr>
        <w:t>the</w:t>
      </w:r>
      <w:r w:rsidR="00704C3B">
        <w:rPr>
          <w:bCs/>
          <w:lang w:val="en-GB"/>
        </w:rPr>
        <w:t xml:space="preserve"> unanimous court drew a distinction between two types of prohibition on cession. The first t</w:t>
      </w:r>
      <w:r w:rsidR="00434834">
        <w:rPr>
          <w:bCs/>
          <w:lang w:val="en-GB"/>
        </w:rPr>
        <w:t xml:space="preserve">ype is an agreement not to cede a pre-existing right – </w:t>
      </w:r>
      <w:r w:rsidR="00F3447B">
        <w:rPr>
          <w:bCs/>
          <w:lang w:val="en-GB"/>
        </w:rPr>
        <w:t xml:space="preserve">viz. </w:t>
      </w:r>
      <w:r w:rsidR="00434834">
        <w:rPr>
          <w:bCs/>
          <w:lang w:val="en-GB"/>
        </w:rPr>
        <w:t xml:space="preserve">a right that came into being separately and independently from the </w:t>
      </w:r>
      <w:r w:rsidR="00970904">
        <w:rPr>
          <w:bCs/>
          <w:lang w:val="en-GB"/>
        </w:rPr>
        <w:t>prohibition on cession</w:t>
      </w:r>
      <w:r w:rsidR="00434834">
        <w:rPr>
          <w:bCs/>
          <w:lang w:val="en-GB"/>
        </w:rPr>
        <w:t xml:space="preserve"> itself. For example, if A loans B a sum of money to be repaid over 20 years, and A agrees in year 10 of the term of the loan not to cede his right to repayment, the prohibition on cession is separate and distinct from the underlying right to repayment. </w:t>
      </w:r>
    </w:p>
    <w:p w14:paraId="4DDF3E46" w14:textId="0A6FFA3F" w:rsidR="00AF468D" w:rsidRDefault="0015127F" w:rsidP="0015127F">
      <w:pPr>
        <w:pStyle w:val="Paragraph12pt"/>
        <w:tabs>
          <w:tab w:val="left" w:pos="851"/>
        </w:tabs>
        <w:ind w:left="851" w:hanging="851"/>
        <w:rPr>
          <w:bCs/>
          <w:lang w:val="en-GB"/>
        </w:rPr>
      </w:pPr>
      <w:r>
        <w:rPr>
          <w:rFonts w:cs="Arial"/>
          <w:bCs/>
          <w:color w:val="000000"/>
          <w:szCs w:val="24"/>
          <w:lang w:val="en-GB"/>
        </w:rPr>
        <w:t>13</w:t>
      </w:r>
      <w:r>
        <w:rPr>
          <w:rFonts w:cs="Arial"/>
          <w:bCs/>
          <w:color w:val="000000"/>
          <w:szCs w:val="24"/>
          <w:lang w:val="en-GB"/>
        </w:rPr>
        <w:tab/>
      </w:r>
      <w:r w:rsidR="00434834">
        <w:rPr>
          <w:bCs/>
          <w:lang w:val="en-GB"/>
        </w:rPr>
        <w:t>The second type of prohibition is one created at the same time and in the same agreement as the underlying right. Such a prohibition exists</w:t>
      </w:r>
      <w:r w:rsidR="00970904">
        <w:rPr>
          <w:bCs/>
          <w:lang w:val="en-GB"/>
        </w:rPr>
        <w:t>, for example,</w:t>
      </w:r>
      <w:r w:rsidR="00434834">
        <w:rPr>
          <w:bCs/>
          <w:lang w:val="en-GB"/>
        </w:rPr>
        <w:t xml:space="preserve"> if A buys goods and services from B and stipulates in the contract of sale that none of B’s rights under the contract may be ceded to anyone else. </w:t>
      </w:r>
      <w:r w:rsidR="00434834">
        <w:rPr>
          <w:bCs/>
          <w:lang w:val="en-GB"/>
        </w:rPr>
        <w:lastRenderedPageBreak/>
        <w:t>In that event, the prohibition against cession</w:t>
      </w:r>
      <w:r w:rsidR="00AF468D">
        <w:rPr>
          <w:bCs/>
          <w:lang w:val="en-GB"/>
        </w:rPr>
        <w:t xml:space="preserve"> is fused into the rights and obligations between the parties at their inception. The prohibition against cession is part of </w:t>
      </w:r>
      <w:r w:rsidR="003662F5">
        <w:rPr>
          <w:bCs/>
          <w:lang w:val="en-GB"/>
        </w:rPr>
        <w:t xml:space="preserve">the </w:t>
      </w:r>
      <w:r w:rsidR="00AF468D">
        <w:rPr>
          <w:bCs/>
          <w:lang w:val="en-GB"/>
        </w:rPr>
        <w:t xml:space="preserve">character of the rights themselves. </w:t>
      </w:r>
    </w:p>
    <w:p w14:paraId="472D9DF5" w14:textId="5978CD7C" w:rsidR="00704C3B" w:rsidRDefault="0015127F" w:rsidP="0015127F">
      <w:pPr>
        <w:pStyle w:val="Paragraph12pt"/>
        <w:tabs>
          <w:tab w:val="left" w:pos="851"/>
        </w:tabs>
        <w:ind w:left="851" w:hanging="851"/>
        <w:rPr>
          <w:bCs/>
          <w:lang w:val="en-GB"/>
        </w:rPr>
      </w:pPr>
      <w:r>
        <w:rPr>
          <w:rFonts w:cs="Arial"/>
          <w:bCs/>
          <w:color w:val="000000"/>
          <w:szCs w:val="24"/>
          <w:lang w:val="en-GB"/>
        </w:rPr>
        <w:t>14</w:t>
      </w:r>
      <w:r>
        <w:rPr>
          <w:rFonts w:cs="Arial"/>
          <w:bCs/>
          <w:color w:val="000000"/>
          <w:szCs w:val="24"/>
          <w:lang w:val="en-GB"/>
        </w:rPr>
        <w:tab/>
      </w:r>
      <w:r w:rsidR="00AF468D">
        <w:rPr>
          <w:bCs/>
          <w:lang w:val="en-GB"/>
        </w:rPr>
        <w:t xml:space="preserve">In </w:t>
      </w:r>
      <w:r w:rsidR="00AF468D" w:rsidRPr="00AF468D">
        <w:rPr>
          <w:bCs/>
          <w:i/>
          <w:lang w:val="en-GB"/>
        </w:rPr>
        <w:t>Born Free</w:t>
      </w:r>
      <w:r w:rsidR="00AF468D">
        <w:rPr>
          <w:bCs/>
          <w:lang w:val="en-GB"/>
        </w:rPr>
        <w:t>, the Supreme Court of Appeal held that the second type of prohibition applie</w:t>
      </w:r>
      <w:r w:rsidR="00585025">
        <w:rPr>
          <w:bCs/>
          <w:lang w:val="en-GB"/>
        </w:rPr>
        <w:t>s</w:t>
      </w:r>
      <w:r w:rsidR="00AF468D">
        <w:rPr>
          <w:bCs/>
          <w:lang w:val="en-GB"/>
        </w:rPr>
        <w:t xml:space="preserve"> not just between the parties to the contract, but against third parties too. The theory animating the court’s approach was that where a right is created as non</w:t>
      </w:r>
      <w:r w:rsidR="003662F5">
        <w:rPr>
          <w:bCs/>
          <w:lang w:val="en-GB"/>
        </w:rPr>
        <w:t>-transferable</w:t>
      </w:r>
      <w:r w:rsidR="00AF468D">
        <w:rPr>
          <w:bCs/>
          <w:lang w:val="en-GB"/>
        </w:rPr>
        <w:t xml:space="preserve"> – in other words, where it is designed to adhere to one of the parties to a contract and </w:t>
      </w:r>
      <w:r w:rsidR="00B240B3">
        <w:rPr>
          <w:bCs/>
          <w:lang w:val="en-GB"/>
        </w:rPr>
        <w:t xml:space="preserve">to </w:t>
      </w:r>
      <w:r w:rsidR="00AF468D">
        <w:rPr>
          <w:bCs/>
          <w:lang w:val="en-GB"/>
        </w:rPr>
        <w:t>no-one else – a cedent who attempts to cede such a right</w:t>
      </w:r>
      <w:r w:rsidR="009A1621">
        <w:rPr>
          <w:bCs/>
          <w:lang w:val="en-GB"/>
        </w:rPr>
        <w:t xml:space="preserve"> tries to</w:t>
      </w:r>
      <w:r w:rsidR="00AF468D">
        <w:rPr>
          <w:bCs/>
          <w:lang w:val="en-GB"/>
        </w:rPr>
        <w:t xml:space="preserve"> pass</w:t>
      </w:r>
      <w:r w:rsidR="009A1621">
        <w:rPr>
          <w:bCs/>
          <w:lang w:val="en-GB"/>
        </w:rPr>
        <w:t xml:space="preserve"> </w:t>
      </w:r>
      <w:r w:rsidR="00AF468D">
        <w:rPr>
          <w:bCs/>
          <w:lang w:val="en-GB"/>
        </w:rPr>
        <w:t xml:space="preserve">to the cessionary more rights than </w:t>
      </w:r>
      <w:r w:rsidR="009A1621">
        <w:rPr>
          <w:bCs/>
          <w:lang w:val="en-GB"/>
        </w:rPr>
        <w:t>the cedent</w:t>
      </w:r>
      <w:r w:rsidR="00AF468D">
        <w:rPr>
          <w:bCs/>
          <w:lang w:val="en-GB"/>
        </w:rPr>
        <w:t xml:space="preserve"> really </w:t>
      </w:r>
      <w:r w:rsidR="009A1621">
        <w:rPr>
          <w:bCs/>
          <w:lang w:val="en-GB"/>
        </w:rPr>
        <w:t>has</w:t>
      </w:r>
      <w:r w:rsidR="00AF468D">
        <w:rPr>
          <w:bCs/>
          <w:lang w:val="en-GB"/>
        </w:rPr>
        <w:t xml:space="preserve"> (see </w:t>
      </w:r>
      <w:r w:rsidR="00AF468D" w:rsidRPr="00AF468D">
        <w:rPr>
          <w:bCs/>
          <w:i/>
          <w:lang w:val="en-GB"/>
        </w:rPr>
        <w:t>Born Free</w:t>
      </w:r>
      <w:r w:rsidR="00AF468D">
        <w:rPr>
          <w:bCs/>
          <w:lang w:val="en-GB"/>
        </w:rPr>
        <w:t>, paragraph 14). That, of course, cannot be</w:t>
      </w:r>
      <w:r w:rsidR="009A1621">
        <w:rPr>
          <w:bCs/>
          <w:lang w:val="en-GB"/>
        </w:rPr>
        <w:t xml:space="preserve"> done</w:t>
      </w:r>
      <w:r w:rsidR="00AF468D">
        <w:rPr>
          <w:bCs/>
          <w:lang w:val="en-GB"/>
        </w:rPr>
        <w:t xml:space="preserve">. </w:t>
      </w:r>
    </w:p>
    <w:p w14:paraId="52AAC772" w14:textId="31A9C860" w:rsidR="00AF468D" w:rsidRDefault="0015127F" w:rsidP="0015127F">
      <w:pPr>
        <w:pStyle w:val="Paragraph12pt"/>
        <w:tabs>
          <w:tab w:val="left" w:pos="851"/>
        </w:tabs>
        <w:ind w:left="851" w:hanging="851"/>
        <w:rPr>
          <w:bCs/>
          <w:lang w:val="en-GB"/>
        </w:rPr>
      </w:pPr>
      <w:r>
        <w:rPr>
          <w:rFonts w:cs="Arial"/>
          <w:bCs/>
          <w:color w:val="000000"/>
          <w:szCs w:val="24"/>
          <w:lang w:val="en-GB"/>
        </w:rPr>
        <w:t>15</w:t>
      </w:r>
      <w:r>
        <w:rPr>
          <w:rFonts w:cs="Arial"/>
          <w:bCs/>
          <w:color w:val="000000"/>
          <w:szCs w:val="24"/>
          <w:lang w:val="en-GB"/>
        </w:rPr>
        <w:tab/>
      </w:r>
      <w:r w:rsidR="00AF468D">
        <w:rPr>
          <w:bCs/>
          <w:lang w:val="en-GB"/>
        </w:rPr>
        <w:t xml:space="preserve">In my view, the prohibition on cession contained in the contract between Blue Future and the NHLS was of this, second, type. The prohibition on cession was fused into the right to payment the contract itself created. In other words, </w:t>
      </w:r>
      <w:r w:rsidR="00C44805">
        <w:rPr>
          <w:bCs/>
          <w:lang w:val="en-GB"/>
        </w:rPr>
        <w:t>the</w:t>
      </w:r>
      <w:r w:rsidR="00AF468D">
        <w:rPr>
          <w:bCs/>
          <w:lang w:val="en-GB"/>
        </w:rPr>
        <w:t xml:space="preserve"> payment</w:t>
      </w:r>
      <w:r w:rsidR="00C44805">
        <w:rPr>
          <w:bCs/>
          <w:lang w:val="en-GB"/>
        </w:rPr>
        <w:t xml:space="preserve">s due under the contract </w:t>
      </w:r>
      <w:r w:rsidR="0092628D">
        <w:rPr>
          <w:bCs/>
          <w:lang w:val="en-GB"/>
        </w:rPr>
        <w:t>were not</w:t>
      </w:r>
      <w:r w:rsidR="00AF468D">
        <w:rPr>
          <w:bCs/>
          <w:lang w:val="en-GB"/>
        </w:rPr>
        <w:t xml:space="preserve"> </w:t>
      </w:r>
      <w:r w:rsidR="00C44805">
        <w:rPr>
          <w:bCs/>
          <w:iCs/>
          <w:lang w:val="en-GB"/>
        </w:rPr>
        <w:t>objects of commerce in themselves</w:t>
      </w:r>
      <w:r w:rsidR="00AF468D">
        <w:rPr>
          <w:bCs/>
          <w:lang w:val="en-GB"/>
        </w:rPr>
        <w:t xml:space="preserve">. </w:t>
      </w:r>
      <w:r w:rsidR="0092628D">
        <w:rPr>
          <w:bCs/>
          <w:lang w:val="en-GB"/>
        </w:rPr>
        <w:t>They were merely undertakings to pay Blue Future on the terms set out in the contract</w:t>
      </w:r>
      <w:r w:rsidR="00AE43B3">
        <w:rPr>
          <w:bCs/>
          <w:lang w:val="en-GB"/>
        </w:rPr>
        <w:t xml:space="preserve">. </w:t>
      </w:r>
    </w:p>
    <w:p w14:paraId="7D46347B" w14:textId="706D718B" w:rsidR="00AE43B3" w:rsidRDefault="0015127F" w:rsidP="0015127F">
      <w:pPr>
        <w:pStyle w:val="Paragraph12pt"/>
        <w:tabs>
          <w:tab w:val="left" w:pos="851"/>
        </w:tabs>
        <w:ind w:left="851" w:hanging="851"/>
        <w:rPr>
          <w:bCs/>
          <w:lang w:val="en-GB"/>
        </w:rPr>
      </w:pPr>
      <w:r>
        <w:rPr>
          <w:rFonts w:cs="Arial"/>
          <w:bCs/>
          <w:color w:val="000000"/>
          <w:szCs w:val="24"/>
          <w:lang w:val="en-GB"/>
        </w:rPr>
        <w:t>16</w:t>
      </w:r>
      <w:r>
        <w:rPr>
          <w:rFonts w:cs="Arial"/>
          <w:bCs/>
          <w:color w:val="000000"/>
          <w:szCs w:val="24"/>
          <w:lang w:val="en-GB"/>
        </w:rPr>
        <w:tab/>
      </w:r>
      <w:r w:rsidR="00AE43B3">
        <w:rPr>
          <w:bCs/>
          <w:lang w:val="en-GB"/>
        </w:rPr>
        <w:t>It follows from all of this that the cession upon which Drive Control relies was never a cession at all, because the right</w:t>
      </w:r>
      <w:r w:rsidR="00C44805">
        <w:rPr>
          <w:bCs/>
          <w:lang w:val="en-GB"/>
        </w:rPr>
        <w:t xml:space="preserve"> to treat the payments due under the contract as objects of commerce</w:t>
      </w:r>
      <w:r w:rsidR="00AE43B3">
        <w:rPr>
          <w:bCs/>
          <w:lang w:val="en-GB"/>
        </w:rPr>
        <w:t xml:space="preserve"> </w:t>
      </w:r>
      <w:r w:rsidR="00C44805">
        <w:rPr>
          <w:bCs/>
          <w:lang w:val="en-GB"/>
        </w:rPr>
        <w:t xml:space="preserve">capable of transfer to third parties </w:t>
      </w:r>
      <w:r w:rsidR="00AE43B3">
        <w:rPr>
          <w:bCs/>
          <w:lang w:val="en-GB"/>
        </w:rPr>
        <w:t>was not a right that Blue Future really had. Blue Future did not have that right because the NHLS’ prior consent was a condition for its very creation</w:t>
      </w:r>
      <w:r w:rsidR="00F3447B">
        <w:rPr>
          <w:bCs/>
          <w:lang w:val="en-GB"/>
        </w:rPr>
        <w:t>, and the NHLS’ prior consent was never given</w:t>
      </w:r>
      <w:r w:rsidR="00AE43B3">
        <w:rPr>
          <w:bCs/>
          <w:lang w:val="en-GB"/>
        </w:rPr>
        <w:t xml:space="preserve">. There was, therefore, nothing for Mr. Motsepe to acknowledge when he signed the document Drive Control forwarded to him </w:t>
      </w:r>
      <w:r w:rsidR="00AE43B3">
        <w:rPr>
          <w:bCs/>
          <w:lang w:val="en-GB"/>
        </w:rPr>
        <w:lastRenderedPageBreak/>
        <w:t xml:space="preserve">on 24 August 2016, and no cession to which Mr. Motsepe could have bound the NHLS. </w:t>
      </w:r>
    </w:p>
    <w:p w14:paraId="062B25B7" w14:textId="28F8EB73" w:rsidR="00AE43B3" w:rsidRDefault="0015127F" w:rsidP="0015127F">
      <w:pPr>
        <w:pStyle w:val="Paragraph12pt"/>
        <w:tabs>
          <w:tab w:val="left" w:pos="851"/>
        </w:tabs>
        <w:ind w:left="851" w:hanging="851"/>
        <w:rPr>
          <w:bCs/>
          <w:lang w:val="en-GB"/>
        </w:rPr>
      </w:pPr>
      <w:r>
        <w:rPr>
          <w:rFonts w:cs="Arial"/>
          <w:bCs/>
          <w:color w:val="000000"/>
          <w:szCs w:val="24"/>
          <w:lang w:val="en-GB"/>
        </w:rPr>
        <w:t>17</w:t>
      </w:r>
      <w:r>
        <w:rPr>
          <w:rFonts w:cs="Arial"/>
          <w:bCs/>
          <w:color w:val="000000"/>
          <w:szCs w:val="24"/>
          <w:lang w:val="en-GB"/>
        </w:rPr>
        <w:tab/>
      </w:r>
      <w:r w:rsidR="00AE43B3">
        <w:rPr>
          <w:bCs/>
          <w:lang w:val="en-GB"/>
        </w:rPr>
        <w:t>It is accordingly impossible to accept Mr. Sawma’s argument that the</w:t>
      </w:r>
      <w:r w:rsidR="008F58DF">
        <w:rPr>
          <w:bCs/>
          <w:lang w:val="en-GB"/>
        </w:rPr>
        <w:t xml:space="preserve"> acknowledge</w:t>
      </w:r>
      <w:r w:rsidR="00970904">
        <w:rPr>
          <w:bCs/>
          <w:lang w:val="en-GB"/>
        </w:rPr>
        <w:t>ment</w:t>
      </w:r>
      <w:r w:rsidR="008F58DF">
        <w:rPr>
          <w:bCs/>
          <w:lang w:val="en-GB"/>
        </w:rPr>
        <w:t xml:space="preserve"> of</w:t>
      </w:r>
      <w:r w:rsidR="00AE43B3">
        <w:rPr>
          <w:bCs/>
          <w:lang w:val="en-GB"/>
        </w:rPr>
        <w:t xml:space="preserve"> cession</w:t>
      </w:r>
      <w:r w:rsidR="008F58DF">
        <w:rPr>
          <w:bCs/>
          <w:lang w:val="en-GB"/>
        </w:rPr>
        <w:t xml:space="preserve"> Mr. Motsepe signed</w:t>
      </w:r>
      <w:r w:rsidR="00AE43B3">
        <w:rPr>
          <w:bCs/>
          <w:lang w:val="en-GB"/>
        </w:rPr>
        <w:t xml:space="preserve"> created a separate and free-standing basis on which Drive Control’s claim against the NHLS can be pressed. Besides the fact that a cession generally has no life of its own, as it is always accessory to the rights ceded, the cession in this case was invalid because it purported to pass on a right that did not really exist. </w:t>
      </w:r>
    </w:p>
    <w:p w14:paraId="02CF490C" w14:textId="036085C8" w:rsidR="00753F2E" w:rsidRDefault="0015127F" w:rsidP="0015127F">
      <w:pPr>
        <w:pStyle w:val="Paragraph12pt"/>
        <w:tabs>
          <w:tab w:val="left" w:pos="851"/>
        </w:tabs>
        <w:ind w:left="851" w:hanging="851"/>
        <w:rPr>
          <w:bCs/>
          <w:lang w:val="en-GB"/>
        </w:rPr>
      </w:pPr>
      <w:r>
        <w:rPr>
          <w:rFonts w:cs="Arial"/>
          <w:bCs/>
          <w:color w:val="000000"/>
          <w:szCs w:val="24"/>
          <w:lang w:val="en-GB"/>
        </w:rPr>
        <w:t>18</w:t>
      </w:r>
      <w:r>
        <w:rPr>
          <w:rFonts w:cs="Arial"/>
          <w:bCs/>
          <w:color w:val="000000"/>
          <w:szCs w:val="24"/>
          <w:lang w:val="en-GB"/>
        </w:rPr>
        <w:tab/>
      </w:r>
      <w:r w:rsidR="003662F5">
        <w:rPr>
          <w:bCs/>
          <w:lang w:val="en-GB"/>
        </w:rPr>
        <w:t xml:space="preserve">Mr. Sawma’s argument derived much of its force from the judgment of this court in </w:t>
      </w:r>
      <w:r w:rsidR="003662F5" w:rsidRPr="003662F5">
        <w:rPr>
          <w:bCs/>
          <w:i/>
          <w:lang w:val="en-GB"/>
        </w:rPr>
        <w:t>Hilsage Investments v National Exposition</w:t>
      </w:r>
      <w:r w:rsidR="003662F5">
        <w:rPr>
          <w:bCs/>
          <w:lang w:val="en-GB"/>
        </w:rPr>
        <w:t xml:space="preserve"> 1974 (3) SA 346 (W)</w:t>
      </w:r>
      <w:r w:rsidR="0033073E">
        <w:rPr>
          <w:bCs/>
          <w:lang w:val="en-GB"/>
        </w:rPr>
        <w:t xml:space="preserve"> (“</w:t>
      </w:r>
      <w:r w:rsidR="0033073E" w:rsidRPr="0033073E">
        <w:rPr>
          <w:bCs/>
          <w:i/>
          <w:lang w:val="en-GB"/>
        </w:rPr>
        <w:t>Hilsage</w:t>
      </w:r>
      <w:r w:rsidR="0033073E">
        <w:rPr>
          <w:bCs/>
          <w:lang w:val="en-GB"/>
        </w:rPr>
        <w:t>”)</w:t>
      </w:r>
      <w:r w:rsidR="003662F5">
        <w:rPr>
          <w:bCs/>
          <w:lang w:val="en-GB"/>
        </w:rPr>
        <w:t xml:space="preserve"> and the Appellate Division’s decision on appeal in that </w:t>
      </w:r>
      <w:r w:rsidR="00655449">
        <w:rPr>
          <w:bCs/>
          <w:lang w:val="en-GB"/>
        </w:rPr>
        <w:t>matter</w:t>
      </w:r>
      <w:r w:rsidR="003662F5">
        <w:rPr>
          <w:bCs/>
          <w:lang w:val="en-GB"/>
        </w:rPr>
        <w:t xml:space="preserve">: </w:t>
      </w:r>
      <w:r w:rsidR="003662F5" w:rsidRPr="003662F5">
        <w:rPr>
          <w:bCs/>
          <w:i/>
          <w:lang w:val="en-GB"/>
        </w:rPr>
        <w:t>Hil</w:t>
      </w:r>
      <w:r w:rsidR="00800B6E">
        <w:rPr>
          <w:bCs/>
          <w:i/>
          <w:lang w:val="en-GB"/>
        </w:rPr>
        <w:t>l</w:t>
      </w:r>
      <w:r w:rsidR="003662F5" w:rsidRPr="003662F5">
        <w:rPr>
          <w:bCs/>
          <w:i/>
          <w:lang w:val="en-GB"/>
        </w:rPr>
        <w:t xml:space="preserve">ock v Hilsage Investments </w:t>
      </w:r>
      <w:r w:rsidR="003662F5">
        <w:rPr>
          <w:bCs/>
          <w:lang w:val="en-GB"/>
        </w:rPr>
        <w:t>1975 (1) SA 508 (A)</w:t>
      </w:r>
      <w:r w:rsidR="0033073E">
        <w:rPr>
          <w:bCs/>
          <w:lang w:val="en-GB"/>
        </w:rPr>
        <w:t xml:space="preserve"> (“</w:t>
      </w:r>
      <w:r w:rsidR="0033073E" w:rsidRPr="0033073E">
        <w:rPr>
          <w:bCs/>
          <w:i/>
          <w:lang w:val="en-GB"/>
        </w:rPr>
        <w:t>Hil</w:t>
      </w:r>
      <w:r w:rsidR="00800B6E">
        <w:rPr>
          <w:bCs/>
          <w:i/>
          <w:lang w:val="en-GB"/>
        </w:rPr>
        <w:t>l</w:t>
      </w:r>
      <w:r w:rsidR="0033073E" w:rsidRPr="0033073E">
        <w:rPr>
          <w:bCs/>
          <w:i/>
          <w:lang w:val="en-GB"/>
        </w:rPr>
        <w:t>ock</w:t>
      </w:r>
      <w:r w:rsidR="0033073E">
        <w:rPr>
          <w:bCs/>
          <w:lang w:val="en-GB"/>
        </w:rPr>
        <w:t>”)</w:t>
      </w:r>
      <w:r w:rsidR="003662F5">
        <w:rPr>
          <w:bCs/>
          <w:lang w:val="en-GB"/>
        </w:rPr>
        <w:t xml:space="preserve">. In that case, both this court </w:t>
      </w:r>
      <w:r w:rsidR="0033073E">
        <w:rPr>
          <w:bCs/>
          <w:lang w:val="en-GB"/>
        </w:rPr>
        <w:t xml:space="preserve">(see </w:t>
      </w:r>
      <w:r w:rsidR="0033073E" w:rsidRPr="0033073E">
        <w:rPr>
          <w:bCs/>
          <w:i/>
          <w:lang w:val="en-GB"/>
        </w:rPr>
        <w:t>Hilsage</w:t>
      </w:r>
      <w:r w:rsidR="0033073E">
        <w:rPr>
          <w:bCs/>
          <w:lang w:val="en-GB"/>
        </w:rPr>
        <w:t xml:space="preserve"> at </w:t>
      </w:r>
      <w:r w:rsidR="003662F5">
        <w:rPr>
          <w:bCs/>
          <w:lang w:val="en-GB"/>
        </w:rPr>
        <w:t xml:space="preserve">pages </w:t>
      </w:r>
      <w:r w:rsidR="00655449">
        <w:rPr>
          <w:bCs/>
          <w:lang w:val="en-GB"/>
        </w:rPr>
        <w:t>354F to 355C) and the Appellate Division (</w:t>
      </w:r>
      <w:r w:rsidR="0033073E">
        <w:rPr>
          <w:bCs/>
          <w:lang w:val="en-GB"/>
        </w:rPr>
        <w:t xml:space="preserve">see </w:t>
      </w:r>
      <w:r w:rsidR="0033073E" w:rsidRPr="0033073E">
        <w:rPr>
          <w:bCs/>
          <w:i/>
          <w:lang w:val="en-GB"/>
        </w:rPr>
        <w:t>Hil</w:t>
      </w:r>
      <w:r w:rsidR="00800B6E">
        <w:rPr>
          <w:bCs/>
          <w:i/>
          <w:lang w:val="en-GB"/>
        </w:rPr>
        <w:t>l</w:t>
      </w:r>
      <w:r w:rsidR="0033073E" w:rsidRPr="0033073E">
        <w:rPr>
          <w:bCs/>
          <w:i/>
          <w:lang w:val="en-GB"/>
        </w:rPr>
        <w:t>ock</w:t>
      </w:r>
      <w:r w:rsidR="0033073E">
        <w:rPr>
          <w:bCs/>
          <w:lang w:val="en-GB"/>
        </w:rPr>
        <w:t xml:space="preserve"> </w:t>
      </w:r>
      <w:r w:rsidR="00655449">
        <w:rPr>
          <w:bCs/>
          <w:lang w:val="en-GB"/>
        </w:rPr>
        <w:t xml:space="preserve">at page 515A-C) appear to express themselves against the proposition that a prohibition on assignment in a contract of lease could apply to third parties. </w:t>
      </w:r>
      <w:r w:rsidR="0033073E">
        <w:rPr>
          <w:bCs/>
          <w:lang w:val="en-GB"/>
        </w:rPr>
        <w:t>The facts of the matter were that</w:t>
      </w:r>
      <w:r w:rsidR="00753F2E">
        <w:rPr>
          <w:bCs/>
          <w:lang w:val="en-GB"/>
        </w:rPr>
        <w:t xml:space="preserve"> one company, Hilsage,</w:t>
      </w:r>
      <w:r w:rsidR="0033073E">
        <w:rPr>
          <w:bCs/>
          <w:lang w:val="en-GB"/>
        </w:rPr>
        <w:t xml:space="preserve"> had</w:t>
      </w:r>
      <w:r w:rsidR="00753F2E">
        <w:rPr>
          <w:bCs/>
          <w:lang w:val="en-GB"/>
        </w:rPr>
        <w:t xml:space="preserve"> let premises to another company, Hirba. Hirba </w:t>
      </w:r>
      <w:r w:rsidR="00655449">
        <w:rPr>
          <w:bCs/>
          <w:lang w:val="en-GB"/>
        </w:rPr>
        <w:t xml:space="preserve">later </w:t>
      </w:r>
      <w:r w:rsidR="00753F2E">
        <w:rPr>
          <w:bCs/>
          <w:lang w:val="en-GB"/>
        </w:rPr>
        <w:t>assigned its</w:t>
      </w:r>
      <w:r w:rsidR="00655449">
        <w:rPr>
          <w:bCs/>
          <w:lang w:val="en-GB"/>
        </w:rPr>
        <w:t xml:space="preserve"> </w:t>
      </w:r>
      <w:r w:rsidR="00753F2E">
        <w:rPr>
          <w:bCs/>
          <w:lang w:val="en-GB"/>
        </w:rPr>
        <w:t xml:space="preserve">rights and obligations as lessee to </w:t>
      </w:r>
      <w:r w:rsidR="00506430">
        <w:rPr>
          <w:bCs/>
          <w:lang w:val="en-GB"/>
        </w:rPr>
        <w:t xml:space="preserve">a </w:t>
      </w:r>
      <w:r w:rsidR="00753F2E">
        <w:rPr>
          <w:bCs/>
          <w:lang w:val="en-GB"/>
        </w:rPr>
        <w:t xml:space="preserve">third company, National Exposition. Hilsage then sued National Exposition </w:t>
      </w:r>
      <w:r w:rsidR="00655449">
        <w:rPr>
          <w:bCs/>
          <w:lang w:val="en-GB"/>
        </w:rPr>
        <w:t xml:space="preserve">for </w:t>
      </w:r>
      <w:r w:rsidR="00753F2E">
        <w:rPr>
          <w:bCs/>
          <w:lang w:val="en-GB"/>
        </w:rPr>
        <w:t>rent</w:t>
      </w:r>
      <w:r w:rsidR="00655449">
        <w:rPr>
          <w:bCs/>
          <w:lang w:val="en-GB"/>
        </w:rPr>
        <w:t xml:space="preserve">. </w:t>
      </w:r>
      <w:r w:rsidR="00753F2E">
        <w:rPr>
          <w:bCs/>
          <w:lang w:val="en-GB"/>
        </w:rPr>
        <w:t xml:space="preserve">National Exposition denied liability, partly because the lease between Hilsage and Hirba contained a prohibition on assignment. </w:t>
      </w:r>
    </w:p>
    <w:p w14:paraId="585833A4" w14:textId="6C794532" w:rsidR="00D906BB" w:rsidRDefault="0015127F" w:rsidP="0015127F">
      <w:pPr>
        <w:pStyle w:val="Paragraph12pt"/>
        <w:tabs>
          <w:tab w:val="left" w:pos="851"/>
        </w:tabs>
        <w:ind w:left="851" w:hanging="851"/>
        <w:rPr>
          <w:bCs/>
          <w:lang w:val="en-GB"/>
        </w:rPr>
      </w:pPr>
      <w:r>
        <w:rPr>
          <w:rFonts w:cs="Arial"/>
          <w:bCs/>
          <w:color w:val="000000"/>
          <w:szCs w:val="24"/>
          <w:lang w:val="en-GB"/>
        </w:rPr>
        <w:t>19</w:t>
      </w:r>
      <w:r>
        <w:rPr>
          <w:rFonts w:cs="Arial"/>
          <w:bCs/>
          <w:color w:val="000000"/>
          <w:szCs w:val="24"/>
          <w:lang w:val="en-GB"/>
        </w:rPr>
        <w:tab/>
      </w:r>
      <w:r w:rsidR="00753F2E">
        <w:rPr>
          <w:bCs/>
          <w:lang w:val="en-GB"/>
        </w:rPr>
        <w:t>Both this court and the Appellate Division nonetheless held National Exposition liable</w:t>
      </w:r>
      <w:r w:rsidR="0033073E">
        <w:rPr>
          <w:bCs/>
          <w:lang w:val="en-GB"/>
        </w:rPr>
        <w:t xml:space="preserve"> for the rent</w:t>
      </w:r>
      <w:r w:rsidR="00753F2E">
        <w:rPr>
          <w:bCs/>
          <w:lang w:val="en-GB"/>
        </w:rPr>
        <w:t xml:space="preserve">. But neither court actually concluded that </w:t>
      </w:r>
      <w:r w:rsidR="0033073E">
        <w:rPr>
          <w:bCs/>
          <w:lang w:val="en-GB"/>
        </w:rPr>
        <w:t>the</w:t>
      </w:r>
      <w:r w:rsidR="00655449">
        <w:rPr>
          <w:bCs/>
          <w:lang w:val="en-GB"/>
        </w:rPr>
        <w:t xml:space="preserve"> prohibition</w:t>
      </w:r>
      <w:r w:rsidR="0033073E">
        <w:rPr>
          <w:bCs/>
          <w:lang w:val="en-GB"/>
        </w:rPr>
        <w:t xml:space="preserve"> on assignment in the lease between Hilsage and Hirba</w:t>
      </w:r>
      <w:r w:rsidR="00655449">
        <w:rPr>
          <w:bCs/>
          <w:lang w:val="en-GB"/>
        </w:rPr>
        <w:t xml:space="preserve"> could n</w:t>
      </w:r>
      <w:r w:rsidR="0033073E">
        <w:rPr>
          <w:bCs/>
          <w:lang w:val="en-GB"/>
        </w:rPr>
        <w:t>ot</w:t>
      </w:r>
      <w:r w:rsidR="00655449">
        <w:rPr>
          <w:bCs/>
          <w:lang w:val="en-GB"/>
        </w:rPr>
        <w:t xml:space="preserve"> </w:t>
      </w:r>
      <w:r w:rsidR="0033073E">
        <w:rPr>
          <w:bCs/>
          <w:lang w:val="en-GB"/>
        </w:rPr>
        <w:lastRenderedPageBreak/>
        <w:t>have rendered</w:t>
      </w:r>
      <w:r w:rsidR="00655449">
        <w:rPr>
          <w:bCs/>
          <w:lang w:val="en-GB"/>
        </w:rPr>
        <w:t xml:space="preserve"> the assi</w:t>
      </w:r>
      <w:r w:rsidR="00753F2E">
        <w:rPr>
          <w:bCs/>
          <w:lang w:val="en-GB"/>
        </w:rPr>
        <w:t xml:space="preserve">gnment invalid. </w:t>
      </w:r>
      <w:r w:rsidR="0033073E">
        <w:rPr>
          <w:bCs/>
          <w:lang w:val="en-GB"/>
        </w:rPr>
        <w:t>Both courts instead concluded that, whatever the effect of the prohibition on assignment,</w:t>
      </w:r>
      <w:r w:rsidR="00753F2E">
        <w:rPr>
          <w:bCs/>
          <w:lang w:val="en-GB"/>
        </w:rPr>
        <w:t xml:space="preserve"> </w:t>
      </w:r>
      <w:r w:rsidR="0033073E">
        <w:rPr>
          <w:bCs/>
          <w:lang w:val="en-GB"/>
        </w:rPr>
        <w:t>National Exposition</w:t>
      </w:r>
      <w:r w:rsidR="00655449">
        <w:rPr>
          <w:bCs/>
          <w:lang w:val="en-GB"/>
        </w:rPr>
        <w:t xml:space="preserve"> had in any event </w:t>
      </w:r>
      <w:r w:rsidR="0033073E">
        <w:rPr>
          <w:bCs/>
          <w:lang w:val="en-GB"/>
        </w:rPr>
        <w:t xml:space="preserve">later </w:t>
      </w:r>
      <w:r w:rsidR="00655449">
        <w:rPr>
          <w:bCs/>
          <w:lang w:val="en-GB"/>
        </w:rPr>
        <w:t xml:space="preserve">concluded a new contract, directly with </w:t>
      </w:r>
      <w:r w:rsidR="0033073E">
        <w:rPr>
          <w:bCs/>
          <w:lang w:val="en-GB"/>
        </w:rPr>
        <w:t>Hilsage</w:t>
      </w:r>
      <w:r w:rsidR="00655449">
        <w:rPr>
          <w:bCs/>
          <w:lang w:val="en-GB"/>
        </w:rPr>
        <w:t xml:space="preserve">, in terms of which </w:t>
      </w:r>
      <w:r w:rsidR="0033073E">
        <w:rPr>
          <w:bCs/>
          <w:lang w:val="en-GB"/>
        </w:rPr>
        <w:t>National Exposition</w:t>
      </w:r>
      <w:r w:rsidR="00655449">
        <w:rPr>
          <w:bCs/>
          <w:lang w:val="en-GB"/>
        </w:rPr>
        <w:t xml:space="preserve"> a</w:t>
      </w:r>
      <w:r w:rsidR="00753F2E">
        <w:rPr>
          <w:bCs/>
          <w:lang w:val="en-GB"/>
        </w:rPr>
        <w:t xml:space="preserve">ssumed all of </w:t>
      </w:r>
      <w:r w:rsidR="0033073E">
        <w:rPr>
          <w:bCs/>
          <w:lang w:val="en-GB"/>
        </w:rPr>
        <w:t>Hirba’s</w:t>
      </w:r>
      <w:r w:rsidR="00753F2E">
        <w:rPr>
          <w:bCs/>
          <w:lang w:val="en-GB"/>
        </w:rPr>
        <w:t xml:space="preserve"> rights and obligations</w:t>
      </w:r>
      <w:r w:rsidR="0033073E">
        <w:rPr>
          <w:bCs/>
          <w:lang w:val="en-GB"/>
        </w:rPr>
        <w:t xml:space="preserve"> under Hirba’s lease with Hilsage</w:t>
      </w:r>
      <w:r w:rsidR="00753F2E">
        <w:rPr>
          <w:bCs/>
          <w:lang w:val="en-GB"/>
        </w:rPr>
        <w:t>.</w:t>
      </w:r>
      <w:r w:rsidR="0033073E">
        <w:rPr>
          <w:bCs/>
          <w:lang w:val="en-GB"/>
        </w:rPr>
        <w:t xml:space="preserve"> That superseding contract was</w:t>
      </w:r>
      <w:r w:rsidR="00506430">
        <w:rPr>
          <w:bCs/>
          <w:lang w:val="en-GB"/>
        </w:rPr>
        <w:t xml:space="preserve"> the</w:t>
      </w:r>
      <w:r w:rsidR="0033073E">
        <w:rPr>
          <w:bCs/>
          <w:lang w:val="en-GB"/>
        </w:rPr>
        <w:t xml:space="preserve"> basis on</w:t>
      </w:r>
      <w:r w:rsidR="00506430">
        <w:rPr>
          <w:bCs/>
          <w:lang w:val="en-GB"/>
        </w:rPr>
        <w:t xml:space="preserve"> which</w:t>
      </w:r>
      <w:r w:rsidR="0033073E">
        <w:rPr>
          <w:bCs/>
          <w:lang w:val="en-GB"/>
        </w:rPr>
        <w:t xml:space="preserve"> both courts held National Exposition liable (see </w:t>
      </w:r>
      <w:r w:rsidR="0033073E" w:rsidRPr="0033073E">
        <w:rPr>
          <w:bCs/>
          <w:i/>
          <w:lang w:val="en-GB"/>
        </w:rPr>
        <w:t>Hilsage</w:t>
      </w:r>
      <w:r w:rsidR="0033073E">
        <w:rPr>
          <w:bCs/>
          <w:lang w:val="en-GB"/>
        </w:rPr>
        <w:t xml:space="preserve">, at page 355H and </w:t>
      </w:r>
      <w:r w:rsidR="0033073E" w:rsidRPr="0033073E">
        <w:rPr>
          <w:bCs/>
          <w:i/>
          <w:lang w:val="en-GB"/>
        </w:rPr>
        <w:t>Hil</w:t>
      </w:r>
      <w:r w:rsidR="00800B6E">
        <w:rPr>
          <w:bCs/>
          <w:i/>
          <w:lang w:val="en-GB"/>
        </w:rPr>
        <w:t>l</w:t>
      </w:r>
      <w:r w:rsidR="0033073E" w:rsidRPr="0033073E">
        <w:rPr>
          <w:bCs/>
          <w:i/>
          <w:lang w:val="en-GB"/>
        </w:rPr>
        <w:t>ock</w:t>
      </w:r>
      <w:r w:rsidR="0033073E">
        <w:rPr>
          <w:bCs/>
          <w:lang w:val="en-GB"/>
        </w:rPr>
        <w:t xml:space="preserve">, at page 516A-D). </w:t>
      </w:r>
    </w:p>
    <w:p w14:paraId="12B2EBFE" w14:textId="76065860" w:rsidR="003662F5" w:rsidRDefault="0015127F" w:rsidP="0015127F">
      <w:pPr>
        <w:pStyle w:val="Paragraph12pt"/>
        <w:tabs>
          <w:tab w:val="left" w:pos="851"/>
        </w:tabs>
        <w:ind w:left="851" w:hanging="851"/>
        <w:rPr>
          <w:bCs/>
          <w:lang w:val="en-GB"/>
        </w:rPr>
      </w:pPr>
      <w:r>
        <w:rPr>
          <w:rFonts w:cs="Arial"/>
          <w:bCs/>
          <w:color w:val="000000"/>
          <w:szCs w:val="24"/>
          <w:lang w:val="en-GB"/>
        </w:rPr>
        <w:t>20</w:t>
      </w:r>
      <w:r>
        <w:rPr>
          <w:rFonts w:cs="Arial"/>
          <w:bCs/>
          <w:color w:val="000000"/>
          <w:szCs w:val="24"/>
          <w:lang w:val="en-GB"/>
        </w:rPr>
        <w:tab/>
      </w:r>
      <w:r w:rsidR="00D906BB">
        <w:rPr>
          <w:bCs/>
          <w:lang w:val="en-GB"/>
        </w:rPr>
        <w:t>This case is different, for two reasons. The first</w:t>
      </w:r>
      <w:r w:rsidR="005520C9">
        <w:rPr>
          <w:bCs/>
          <w:lang w:val="en-GB"/>
        </w:rPr>
        <w:t xml:space="preserve"> reason</w:t>
      </w:r>
      <w:r w:rsidR="00D906BB">
        <w:rPr>
          <w:bCs/>
          <w:lang w:val="en-GB"/>
        </w:rPr>
        <w:t xml:space="preserve"> is that we are bound by the decision in</w:t>
      </w:r>
      <w:r w:rsidR="00753F2E">
        <w:rPr>
          <w:bCs/>
          <w:lang w:val="en-GB"/>
        </w:rPr>
        <w:t xml:space="preserve"> </w:t>
      </w:r>
      <w:r w:rsidR="00753F2E" w:rsidRPr="00753F2E">
        <w:rPr>
          <w:bCs/>
          <w:i/>
          <w:lang w:val="en-GB"/>
        </w:rPr>
        <w:t>Born Fre</w:t>
      </w:r>
      <w:r w:rsidR="00D906BB">
        <w:rPr>
          <w:bCs/>
          <w:i/>
          <w:lang w:val="en-GB"/>
        </w:rPr>
        <w:t>e</w:t>
      </w:r>
      <w:r w:rsidR="00D906BB">
        <w:rPr>
          <w:bCs/>
          <w:lang w:val="en-GB"/>
        </w:rPr>
        <w:t>, which makes clear that a prohibition on cession of the type agreed to between Blue Future and the NHLS does in fact void any cession purportedly executed in breach of its terms</w:t>
      </w:r>
      <w:r w:rsidR="00753F2E">
        <w:rPr>
          <w:bCs/>
          <w:lang w:val="en-GB"/>
        </w:rPr>
        <w:t>.</w:t>
      </w:r>
      <w:r w:rsidR="00D906BB">
        <w:rPr>
          <w:bCs/>
          <w:lang w:val="en-GB"/>
        </w:rPr>
        <w:t xml:space="preserve"> The second reason is that Mr. Motsepe’s apparent acknowledgement of the cession executed between Blue Future and Drive control did not supersede the original agreement between Blue Future and the NHLS. It pre-supposed the validity of the cession and had no effect independent</w:t>
      </w:r>
      <w:r w:rsidR="00506430">
        <w:rPr>
          <w:bCs/>
          <w:lang w:val="en-GB"/>
        </w:rPr>
        <w:t>ly</w:t>
      </w:r>
      <w:r w:rsidR="00D906BB">
        <w:rPr>
          <w:bCs/>
          <w:lang w:val="en-GB"/>
        </w:rPr>
        <w:t xml:space="preserve"> of it.  </w:t>
      </w:r>
    </w:p>
    <w:p w14:paraId="0902AE60" w14:textId="4552013D" w:rsidR="00AE43B3" w:rsidRDefault="0015127F" w:rsidP="0015127F">
      <w:pPr>
        <w:pStyle w:val="Paragraph12pt"/>
        <w:tabs>
          <w:tab w:val="left" w:pos="851"/>
        </w:tabs>
        <w:ind w:left="851" w:hanging="851"/>
        <w:rPr>
          <w:bCs/>
          <w:lang w:val="en-GB"/>
        </w:rPr>
      </w:pPr>
      <w:r>
        <w:rPr>
          <w:rFonts w:cs="Arial"/>
          <w:bCs/>
          <w:color w:val="000000"/>
          <w:szCs w:val="24"/>
          <w:lang w:val="en-GB"/>
        </w:rPr>
        <w:t>21</w:t>
      </w:r>
      <w:r>
        <w:rPr>
          <w:rFonts w:cs="Arial"/>
          <w:bCs/>
          <w:color w:val="000000"/>
          <w:szCs w:val="24"/>
          <w:lang w:val="en-GB"/>
        </w:rPr>
        <w:tab/>
      </w:r>
      <w:r w:rsidR="00AE43B3">
        <w:rPr>
          <w:bCs/>
          <w:lang w:val="en-GB"/>
        </w:rPr>
        <w:t>During argument</w:t>
      </w:r>
      <w:r w:rsidR="008F58DF">
        <w:rPr>
          <w:bCs/>
          <w:lang w:val="en-GB"/>
        </w:rPr>
        <w:t>,</w:t>
      </w:r>
      <w:r w:rsidR="00AE43B3">
        <w:rPr>
          <w:bCs/>
          <w:lang w:val="en-GB"/>
        </w:rPr>
        <w:t xml:space="preserve"> Mr. Sawma </w:t>
      </w:r>
      <w:r w:rsidR="003662F5">
        <w:rPr>
          <w:bCs/>
          <w:lang w:val="en-GB"/>
        </w:rPr>
        <w:t xml:space="preserve">also </w:t>
      </w:r>
      <w:r w:rsidR="00AE43B3">
        <w:rPr>
          <w:bCs/>
          <w:lang w:val="en-GB"/>
        </w:rPr>
        <w:t>adverted to the injustice of a third party being bound by a prohibition on cession in a contract “of which he knows nothing”. But the answer to this is simple. The third party is only bound where the pro</w:t>
      </w:r>
      <w:r w:rsidR="008F58DF">
        <w:rPr>
          <w:bCs/>
          <w:lang w:val="en-GB"/>
        </w:rPr>
        <w:t>hibition on cession is created at the same time as, and</w:t>
      </w:r>
      <w:r w:rsidR="00970904">
        <w:rPr>
          <w:bCs/>
          <w:lang w:val="en-GB"/>
        </w:rPr>
        <w:t xml:space="preserve"> is</w:t>
      </w:r>
      <w:r w:rsidR="008F58DF">
        <w:rPr>
          <w:bCs/>
          <w:lang w:val="en-GB"/>
        </w:rPr>
        <w:t xml:space="preserve"> fused into, the rights purportedly ceded. A cessionary wishing to protect itself against a prohibition on cession need do no more than examine the contract under which the cedent’s rights were created. If that contract creates a prohibition on cession, then the cessionary is bound by it. If it does not, the cessionary is not bound by it. If the court below was correct when it </w:t>
      </w:r>
      <w:r w:rsidR="00B240B3">
        <w:rPr>
          <w:bCs/>
          <w:lang w:val="en-GB"/>
        </w:rPr>
        <w:t>found</w:t>
      </w:r>
      <w:r w:rsidR="008F58DF">
        <w:rPr>
          <w:bCs/>
          <w:lang w:val="en-GB"/>
        </w:rPr>
        <w:t xml:space="preserve"> that Drive Control </w:t>
      </w:r>
      <w:r w:rsidR="008F58DF">
        <w:rPr>
          <w:bCs/>
          <w:lang w:val="en-GB"/>
        </w:rPr>
        <w:lastRenderedPageBreak/>
        <w:t xml:space="preserve">did nothing to acquaint itself with Blue Future’s contract with the NHLS, then Drive Control has only itself to blame. </w:t>
      </w:r>
    </w:p>
    <w:p w14:paraId="64E1BB75" w14:textId="03F767B3" w:rsidR="00970904" w:rsidRPr="00970904" w:rsidRDefault="0015127F" w:rsidP="0015127F">
      <w:pPr>
        <w:pStyle w:val="Paragraph12pt"/>
        <w:tabs>
          <w:tab w:val="left" w:pos="851"/>
        </w:tabs>
        <w:ind w:left="851" w:hanging="851"/>
        <w:rPr>
          <w:bCs/>
          <w:lang w:val="en-GB"/>
        </w:rPr>
      </w:pPr>
      <w:r w:rsidRPr="00970904">
        <w:rPr>
          <w:rFonts w:cs="Arial"/>
          <w:bCs/>
          <w:color w:val="000000"/>
          <w:szCs w:val="24"/>
          <w:lang w:val="en-GB"/>
        </w:rPr>
        <w:t>22</w:t>
      </w:r>
      <w:r w:rsidRPr="00970904">
        <w:rPr>
          <w:rFonts w:cs="Arial"/>
          <w:bCs/>
          <w:color w:val="000000"/>
          <w:szCs w:val="24"/>
          <w:lang w:val="en-GB"/>
        </w:rPr>
        <w:tab/>
      </w:r>
      <w:r w:rsidR="00FB729D">
        <w:rPr>
          <w:bCs/>
          <w:lang w:val="en-GB"/>
        </w:rPr>
        <w:t>In sum, then,</w:t>
      </w:r>
      <w:r w:rsidR="00970904">
        <w:rPr>
          <w:bCs/>
          <w:lang w:val="en-GB"/>
        </w:rPr>
        <w:t xml:space="preserve"> at the close of Drive Control’s case there was no evidence on which a reasonable court could give judgment for Drive Control. The cession on which Drive Control relied was void from the outset. Mr. Motsepe’s </w:t>
      </w:r>
      <w:r w:rsidR="00FB729D">
        <w:rPr>
          <w:bCs/>
          <w:lang w:val="en-GB"/>
        </w:rPr>
        <w:t>acknowledgement of the cession</w:t>
      </w:r>
      <w:r w:rsidR="00970904">
        <w:rPr>
          <w:bCs/>
          <w:lang w:val="en-GB"/>
        </w:rPr>
        <w:t xml:space="preserve"> – </w:t>
      </w:r>
      <w:r w:rsidR="00FB729D">
        <w:rPr>
          <w:bCs/>
          <w:lang w:val="en-GB"/>
        </w:rPr>
        <w:t>even if it was made with NHLS’</w:t>
      </w:r>
      <w:r w:rsidR="00970904">
        <w:rPr>
          <w:bCs/>
          <w:lang w:val="en-GB"/>
        </w:rPr>
        <w:t xml:space="preserve"> actual or </w:t>
      </w:r>
      <w:r w:rsidR="003662F5">
        <w:rPr>
          <w:bCs/>
          <w:lang w:val="en-GB"/>
        </w:rPr>
        <w:t>ostensibl</w:t>
      </w:r>
      <w:r w:rsidR="00970904">
        <w:rPr>
          <w:bCs/>
          <w:lang w:val="en-GB"/>
        </w:rPr>
        <w:t xml:space="preserve">e authority, and whatever </w:t>
      </w:r>
      <w:r w:rsidR="00FB729D">
        <w:rPr>
          <w:bCs/>
          <w:lang w:val="en-GB"/>
        </w:rPr>
        <w:t xml:space="preserve">the </w:t>
      </w:r>
      <w:r w:rsidR="00970904">
        <w:rPr>
          <w:bCs/>
          <w:lang w:val="en-GB"/>
        </w:rPr>
        <w:t xml:space="preserve">legal consequences </w:t>
      </w:r>
      <w:r w:rsidR="00FB729D">
        <w:rPr>
          <w:bCs/>
          <w:lang w:val="en-GB"/>
        </w:rPr>
        <w:t xml:space="preserve">that </w:t>
      </w:r>
      <w:r w:rsidR="00970904">
        <w:rPr>
          <w:bCs/>
          <w:lang w:val="en-GB"/>
        </w:rPr>
        <w:t xml:space="preserve">may </w:t>
      </w:r>
      <w:r w:rsidR="00FB729D">
        <w:rPr>
          <w:bCs/>
          <w:lang w:val="en-GB"/>
        </w:rPr>
        <w:t xml:space="preserve">otherwise </w:t>
      </w:r>
      <w:r w:rsidR="00970904">
        <w:rPr>
          <w:bCs/>
          <w:lang w:val="en-GB"/>
        </w:rPr>
        <w:t>have attached to it –</w:t>
      </w:r>
      <w:r w:rsidR="00970904" w:rsidRPr="00970904">
        <w:rPr>
          <w:bCs/>
          <w:lang w:val="en-GB"/>
        </w:rPr>
        <w:t xml:space="preserve">  could have done nothing to change that.  </w:t>
      </w:r>
    </w:p>
    <w:p w14:paraId="35F2DC55" w14:textId="64AE0B61" w:rsidR="008F58DF" w:rsidRPr="00AE43B3" w:rsidRDefault="0015127F" w:rsidP="0015127F">
      <w:pPr>
        <w:pStyle w:val="Paragraph12pt"/>
        <w:tabs>
          <w:tab w:val="left" w:pos="851"/>
        </w:tabs>
        <w:ind w:left="851" w:hanging="851"/>
        <w:rPr>
          <w:bCs/>
          <w:lang w:val="en-GB"/>
        </w:rPr>
      </w:pPr>
      <w:r w:rsidRPr="00AE43B3">
        <w:rPr>
          <w:rFonts w:cs="Arial"/>
          <w:bCs/>
          <w:color w:val="000000"/>
          <w:szCs w:val="24"/>
          <w:lang w:val="en-GB"/>
        </w:rPr>
        <w:t>23</w:t>
      </w:r>
      <w:r w:rsidRPr="00AE43B3">
        <w:rPr>
          <w:rFonts w:cs="Arial"/>
          <w:bCs/>
          <w:color w:val="000000"/>
          <w:szCs w:val="24"/>
          <w:lang w:val="en-GB"/>
        </w:rPr>
        <w:tab/>
      </w:r>
      <w:r w:rsidR="008F58DF">
        <w:rPr>
          <w:bCs/>
          <w:lang w:val="en-GB"/>
        </w:rPr>
        <w:t xml:space="preserve">The appeal is dismissed with costs, including the costs of two counsel. </w:t>
      </w:r>
    </w:p>
    <w:p w14:paraId="312EFD3E" w14:textId="18C9E784" w:rsidR="005243F1" w:rsidRDefault="005243F1" w:rsidP="00FB729D">
      <w:pPr>
        <w:pStyle w:val="Paragraph12pt"/>
        <w:spacing w:after="0" w:line="240" w:lineRule="auto"/>
        <w:jc w:val="right"/>
        <w:rPr>
          <w:b/>
          <w:noProof/>
          <w:lang w:val="en-US" w:eastAsia="en-US"/>
        </w:rPr>
      </w:pPr>
    </w:p>
    <w:p w14:paraId="14C3751E" w14:textId="77777777" w:rsidR="00A73A1E" w:rsidRDefault="00A73A1E" w:rsidP="00FB729D">
      <w:pPr>
        <w:pStyle w:val="Paragraph12pt"/>
        <w:spacing w:after="0" w:line="240" w:lineRule="auto"/>
        <w:jc w:val="right"/>
        <w:rPr>
          <w:b/>
        </w:rPr>
      </w:pPr>
    </w:p>
    <w:p w14:paraId="72B5FB3A" w14:textId="77777777" w:rsidR="005243F1" w:rsidRPr="00FE593E" w:rsidRDefault="005243F1" w:rsidP="005243F1">
      <w:pPr>
        <w:pStyle w:val="Paragraph12pt"/>
        <w:spacing w:after="0" w:line="240" w:lineRule="auto"/>
        <w:ind w:left="851"/>
        <w:jc w:val="right"/>
        <w:rPr>
          <w:b/>
          <w:bCs/>
        </w:rPr>
      </w:pPr>
      <w:r w:rsidRPr="00FE593E">
        <w:rPr>
          <w:b/>
          <w:bCs/>
        </w:rPr>
        <w:t>S D J WILSON</w:t>
      </w:r>
    </w:p>
    <w:p w14:paraId="04573C8B" w14:textId="3B3860EF" w:rsidR="005243F1" w:rsidRDefault="005243F1" w:rsidP="00A71FF7">
      <w:pPr>
        <w:pStyle w:val="Paragraph12pt"/>
        <w:spacing w:after="0" w:line="240" w:lineRule="auto"/>
        <w:ind w:left="851"/>
        <w:jc w:val="right"/>
      </w:pPr>
      <w:r w:rsidRPr="00FE593E">
        <w:t>Judge of the High Court</w:t>
      </w:r>
    </w:p>
    <w:p w14:paraId="5003B235" w14:textId="77777777" w:rsidR="005243F1" w:rsidRDefault="005243F1" w:rsidP="005243F1">
      <w:pPr>
        <w:pStyle w:val="Paragraph12pt"/>
        <w:spacing w:after="0" w:line="240" w:lineRule="auto"/>
        <w:ind w:left="851"/>
        <w:jc w:val="right"/>
        <w:rPr>
          <w:b/>
          <w:bCs/>
        </w:rPr>
      </w:pPr>
    </w:p>
    <w:p w14:paraId="55D0B03C" w14:textId="77777777" w:rsidR="00AF5F62" w:rsidRDefault="00AF5F62" w:rsidP="00A51101">
      <w:pPr>
        <w:pStyle w:val="Paragraph12pt"/>
        <w:spacing w:after="0" w:line="240" w:lineRule="auto"/>
      </w:pPr>
    </w:p>
    <w:p w14:paraId="540D0176" w14:textId="3061BF19"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C41CC4">
        <w:t>10 April 2024</w:t>
      </w:r>
      <w:r w:rsidRPr="00973E9F">
        <w:t>.</w:t>
      </w:r>
    </w:p>
    <w:p w14:paraId="6E86AD12" w14:textId="77777777" w:rsidR="00590AC6" w:rsidRDefault="00590AC6" w:rsidP="00D46FD0">
      <w:pPr>
        <w:pStyle w:val="Paragraph12pt"/>
        <w:spacing w:after="0" w:line="240" w:lineRule="auto"/>
        <w:jc w:val="left"/>
      </w:pPr>
    </w:p>
    <w:p w14:paraId="7981210A" w14:textId="77777777" w:rsidR="0013705C" w:rsidRDefault="0013705C" w:rsidP="004F6A2D">
      <w:pPr>
        <w:pStyle w:val="Paragraph12pt"/>
        <w:spacing w:after="0" w:line="240" w:lineRule="auto"/>
        <w:ind w:left="3600" w:hanging="3600"/>
        <w:jc w:val="left"/>
      </w:pPr>
    </w:p>
    <w:p w14:paraId="21605095" w14:textId="4CC43FED" w:rsidR="000315F7" w:rsidRDefault="0004799B" w:rsidP="004F6A2D">
      <w:pPr>
        <w:pStyle w:val="Paragraph12pt"/>
        <w:spacing w:after="0" w:line="240" w:lineRule="auto"/>
        <w:ind w:left="3600" w:hanging="3600"/>
        <w:jc w:val="left"/>
      </w:pPr>
      <w:r>
        <w:t>HEARD ON:</w:t>
      </w:r>
      <w:r>
        <w:tab/>
      </w:r>
      <w:r w:rsidR="005E74FC">
        <w:t>28 February 2024</w:t>
      </w:r>
    </w:p>
    <w:p w14:paraId="296E43AE" w14:textId="77777777" w:rsidR="00B03E19" w:rsidRDefault="00B03E19" w:rsidP="004F6A2D">
      <w:pPr>
        <w:pStyle w:val="Paragraph12pt"/>
        <w:spacing w:after="0" w:line="240" w:lineRule="auto"/>
        <w:ind w:left="3600" w:hanging="3600"/>
        <w:jc w:val="left"/>
      </w:pPr>
    </w:p>
    <w:p w14:paraId="3E05798E" w14:textId="57ED17F5" w:rsidR="00B06BF0" w:rsidRDefault="00104CBB" w:rsidP="00A31389">
      <w:pPr>
        <w:pStyle w:val="Paragraph12pt"/>
        <w:spacing w:after="0" w:line="240" w:lineRule="auto"/>
        <w:jc w:val="left"/>
      </w:pPr>
      <w:r>
        <w:t>DECIDED ON</w:t>
      </w:r>
      <w:r w:rsidR="00B06BF0">
        <w:t>:</w:t>
      </w:r>
      <w:r w:rsidR="00B06BF0">
        <w:tab/>
      </w:r>
      <w:r w:rsidR="00B06BF0">
        <w:tab/>
      </w:r>
      <w:r w:rsidR="00B06BF0">
        <w:tab/>
      </w:r>
      <w:r w:rsidR="00C41CC4">
        <w:t>10 April 2024</w:t>
      </w:r>
    </w:p>
    <w:p w14:paraId="0D0089FF" w14:textId="77777777" w:rsidR="004F4C87" w:rsidRDefault="004F4C87" w:rsidP="006210A1">
      <w:pPr>
        <w:pStyle w:val="Paragraph12pt"/>
        <w:spacing w:after="0" w:line="240" w:lineRule="auto"/>
        <w:jc w:val="left"/>
      </w:pPr>
    </w:p>
    <w:p w14:paraId="4A269309" w14:textId="58491D05" w:rsidR="00A048F5" w:rsidRDefault="0051403A" w:rsidP="006210A1">
      <w:pPr>
        <w:pStyle w:val="Paragraph12pt"/>
        <w:spacing w:after="0" w:line="240" w:lineRule="auto"/>
        <w:jc w:val="left"/>
      </w:pPr>
      <w:r>
        <w:t>For the</w:t>
      </w:r>
      <w:r w:rsidR="00226B2D">
        <w:t xml:space="preserve"> </w:t>
      </w:r>
      <w:r w:rsidR="005243F1">
        <w:t>Appellant</w:t>
      </w:r>
      <w:r>
        <w:t xml:space="preserve">: </w:t>
      </w:r>
      <w:r>
        <w:tab/>
      </w:r>
      <w:r>
        <w:tab/>
      </w:r>
      <w:r w:rsidR="00AC2DC6">
        <w:tab/>
      </w:r>
      <w:r w:rsidR="00E57229">
        <w:t>A Sawma SC</w:t>
      </w:r>
    </w:p>
    <w:p w14:paraId="07EB3E3C" w14:textId="2CFFBAEA" w:rsidR="00E57229" w:rsidRDefault="00E57229" w:rsidP="006210A1">
      <w:pPr>
        <w:pStyle w:val="Paragraph12pt"/>
        <w:spacing w:after="0" w:line="240" w:lineRule="auto"/>
        <w:jc w:val="left"/>
      </w:pPr>
      <w:r>
        <w:tab/>
      </w:r>
      <w:r>
        <w:tab/>
      </w:r>
      <w:r>
        <w:tab/>
      </w:r>
      <w:r>
        <w:tab/>
      </w:r>
      <w:r>
        <w:tab/>
        <w:t>AL Roeloffze</w:t>
      </w:r>
    </w:p>
    <w:p w14:paraId="6AEAAC50" w14:textId="64215CB8" w:rsidR="006210A1" w:rsidRDefault="00840B4E" w:rsidP="00185A98">
      <w:pPr>
        <w:pStyle w:val="Paragraph12pt"/>
        <w:spacing w:after="0" w:line="240" w:lineRule="auto"/>
        <w:jc w:val="left"/>
      </w:pPr>
      <w:r>
        <w:tab/>
      </w:r>
      <w:r>
        <w:tab/>
      </w:r>
      <w:r>
        <w:tab/>
      </w:r>
      <w:r>
        <w:tab/>
      </w:r>
      <w:r>
        <w:tab/>
      </w:r>
      <w:r w:rsidR="006210A1">
        <w:t xml:space="preserve">Instructed by </w:t>
      </w:r>
      <w:r w:rsidR="00E57229">
        <w:t>Hooker Attorneys</w:t>
      </w:r>
    </w:p>
    <w:p w14:paraId="4B3EBF8B" w14:textId="77777777" w:rsidR="000F77C7" w:rsidRDefault="000F77C7" w:rsidP="00B06BF0">
      <w:pPr>
        <w:pStyle w:val="Paragraph12pt"/>
        <w:spacing w:after="0" w:line="240" w:lineRule="auto"/>
        <w:jc w:val="left"/>
      </w:pPr>
    </w:p>
    <w:p w14:paraId="5C21FA2D" w14:textId="54AF7742" w:rsidR="00AC2DC6" w:rsidRDefault="000F77C7" w:rsidP="00185A98">
      <w:pPr>
        <w:pStyle w:val="Paragraph12pt"/>
        <w:spacing w:after="0" w:line="240" w:lineRule="auto"/>
        <w:jc w:val="left"/>
      </w:pPr>
      <w:r>
        <w:t xml:space="preserve">For </w:t>
      </w:r>
      <w:r w:rsidR="00185A98">
        <w:t>the</w:t>
      </w:r>
      <w:r w:rsidR="00486A4C">
        <w:t xml:space="preserve"> Respondent:</w:t>
      </w:r>
      <w:r w:rsidR="00AC2DC6">
        <w:tab/>
      </w:r>
      <w:r w:rsidR="00AC2DC6">
        <w:tab/>
      </w:r>
      <w:r w:rsidR="00E57229">
        <w:t>D Berger SC</w:t>
      </w:r>
    </w:p>
    <w:p w14:paraId="4D2DBD66" w14:textId="41F0BC08" w:rsidR="00E57229" w:rsidRDefault="00486A4C" w:rsidP="00185A98">
      <w:pPr>
        <w:pStyle w:val="Paragraph12pt"/>
        <w:spacing w:after="0" w:line="240" w:lineRule="auto"/>
        <w:jc w:val="left"/>
      </w:pPr>
      <w:r>
        <w:tab/>
      </w:r>
      <w:r>
        <w:tab/>
      </w:r>
      <w:r>
        <w:tab/>
      </w:r>
      <w:r w:rsidR="00AC2DC6">
        <w:tab/>
      </w:r>
      <w:r w:rsidR="00185A98">
        <w:tab/>
      </w:r>
      <w:r w:rsidR="00E57229">
        <w:t>T Manchu</w:t>
      </w:r>
    </w:p>
    <w:p w14:paraId="33D36840" w14:textId="0E55BC02" w:rsidR="0024496A" w:rsidRPr="00D46FD0" w:rsidRDefault="00B06C58" w:rsidP="00E57229">
      <w:pPr>
        <w:pStyle w:val="Paragraph12pt"/>
        <w:spacing w:after="0" w:line="240" w:lineRule="auto"/>
        <w:ind w:left="2880" w:firstLine="720"/>
        <w:jc w:val="left"/>
      </w:pPr>
      <w:r>
        <w:t xml:space="preserve">Instructed by </w:t>
      </w:r>
      <w:r w:rsidR="00E57229">
        <w:t>Lawtons Inc</w:t>
      </w:r>
    </w:p>
    <w:sectPr w:rsidR="0024496A" w:rsidRPr="00D46FD0" w:rsidSect="00980310">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B5A4D" w14:textId="77777777" w:rsidR="00980310" w:rsidRDefault="00980310" w:rsidP="00023136">
      <w:r>
        <w:separator/>
      </w:r>
    </w:p>
  </w:endnote>
  <w:endnote w:type="continuationSeparator" w:id="0">
    <w:p w14:paraId="7D3EC4A0" w14:textId="77777777" w:rsidR="00980310" w:rsidRDefault="00980310"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357904"/>
      <w:docPartObj>
        <w:docPartGallery w:val="Page Numbers (Bottom of Page)"/>
        <w:docPartUnique/>
      </w:docPartObj>
    </w:sdtPr>
    <w:sdtEndPr>
      <w:rPr>
        <w:noProof/>
        <w:sz w:val="24"/>
        <w:szCs w:val="24"/>
      </w:rPr>
    </w:sdtEndPr>
    <w:sdtContent>
      <w:p w14:paraId="526B1D6E" w14:textId="3F3AD322"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AA03B5">
          <w:rPr>
            <w:noProof/>
            <w:sz w:val="24"/>
            <w:szCs w:val="24"/>
          </w:rPr>
          <w:t>9</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8FF20" w14:textId="77777777" w:rsidR="00980310" w:rsidRDefault="00980310" w:rsidP="00023136">
      <w:r>
        <w:separator/>
      </w:r>
    </w:p>
  </w:footnote>
  <w:footnote w:type="continuationSeparator" w:id="0">
    <w:p w14:paraId="288FA48F" w14:textId="77777777" w:rsidR="00980310" w:rsidRDefault="00980310"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91630240">
    <w:abstractNumId w:val="16"/>
  </w:num>
  <w:num w:numId="2" w16cid:durableId="1022975097">
    <w:abstractNumId w:val="7"/>
  </w:num>
  <w:num w:numId="3" w16cid:durableId="522020394">
    <w:abstractNumId w:val="15"/>
  </w:num>
  <w:num w:numId="4" w16cid:durableId="544681769">
    <w:abstractNumId w:val="10"/>
  </w:num>
  <w:num w:numId="5" w16cid:durableId="1269775252">
    <w:abstractNumId w:val="32"/>
  </w:num>
  <w:num w:numId="6" w16cid:durableId="1507550903">
    <w:abstractNumId w:val="19"/>
  </w:num>
  <w:num w:numId="7" w16cid:durableId="204104272">
    <w:abstractNumId w:val="22"/>
  </w:num>
  <w:num w:numId="8" w16cid:durableId="1723017456">
    <w:abstractNumId w:val="3"/>
  </w:num>
  <w:num w:numId="9" w16cid:durableId="768084197">
    <w:abstractNumId w:val="20"/>
  </w:num>
  <w:num w:numId="10" w16cid:durableId="1946233733">
    <w:abstractNumId w:val="28"/>
  </w:num>
  <w:num w:numId="11" w16cid:durableId="662397711">
    <w:abstractNumId w:val="33"/>
  </w:num>
  <w:num w:numId="12" w16cid:durableId="2079356791">
    <w:abstractNumId w:val="24"/>
  </w:num>
  <w:num w:numId="13" w16cid:durableId="214973079">
    <w:abstractNumId w:val="27"/>
  </w:num>
  <w:num w:numId="14" w16cid:durableId="1352026394">
    <w:abstractNumId w:val="40"/>
  </w:num>
  <w:num w:numId="15" w16cid:durableId="133406986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758327269">
    <w:abstractNumId w:val="30"/>
  </w:num>
  <w:num w:numId="17" w16cid:durableId="1072579027">
    <w:abstractNumId w:val="34"/>
  </w:num>
  <w:num w:numId="18" w16cid:durableId="60253110">
    <w:abstractNumId w:val="18"/>
  </w:num>
  <w:num w:numId="19" w16cid:durableId="720514546">
    <w:abstractNumId w:val="39"/>
  </w:num>
  <w:num w:numId="20" w16cid:durableId="13981662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2323518">
    <w:abstractNumId w:val="29"/>
  </w:num>
  <w:num w:numId="22" w16cid:durableId="371731631">
    <w:abstractNumId w:val="17"/>
  </w:num>
  <w:num w:numId="23" w16cid:durableId="526600978">
    <w:abstractNumId w:val="11"/>
  </w:num>
  <w:num w:numId="24" w16cid:durableId="2234938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6755095">
    <w:abstractNumId w:val="4"/>
  </w:num>
  <w:num w:numId="26" w16cid:durableId="1510365407">
    <w:abstractNumId w:val="21"/>
  </w:num>
  <w:num w:numId="27" w16cid:durableId="122117670">
    <w:abstractNumId w:val="0"/>
  </w:num>
  <w:num w:numId="28" w16cid:durableId="1210722720">
    <w:abstractNumId w:val="2"/>
  </w:num>
  <w:num w:numId="29" w16cid:durableId="9210678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9970380">
    <w:abstractNumId w:val="26"/>
  </w:num>
  <w:num w:numId="31" w16cid:durableId="1260719259">
    <w:abstractNumId w:val="37"/>
  </w:num>
  <w:num w:numId="32" w16cid:durableId="1170604983">
    <w:abstractNumId w:val="35"/>
  </w:num>
  <w:num w:numId="33" w16cid:durableId="1489174923">
    <w:abstractNumId w:val="25"/>
  </w:num>
  <w:num w:numId="34" w16cid:durableId="370034012">
    <w:abstractNumId w:val="5"/>
  </w:num>
  <w:num w:numId="35" w16cid:durableId="260115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0625131">
    <w:abstractNumId w:val="8"/>
  </w:num>
  <w:num w:numId="37" w16cid:durableId="1486049476">
    <w:abstractNumId w:val="23"/>
  </w:num>
  <w:num w:numId="38" w16cid:durableId="891305206">
    <w:abstractNumId w:val="12"/>
  </w:num>
  <w:num w:numId="39" w16cid:durableId="671682717">
    <w:abstractNumId w:val="38"/>
  </w:num>
  <w:num w:numId="40" w16cid:durableId="404031160">
    <w:abstractNumId w:val="36"/>
  </w:num>
  <w:num w:numId="41" w16cid:durableId="2047483781">
    <w:abstractNumId w:val="14"/>
  </w:num>
  <w:num w:numId="42" w16cid:durableId="239870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zM1MDY3N7Y0szBT0lEKTi0uzszPAykwrAUADll3jywAAAA="/>
  </w:docVars>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04F0"/>
    <w:rsid w:val="0001207E"/>
    <w:rsid w:val="000133B7"/>
    <w:rsid w:val="000142F6"/>
    <w:rsid w:val="000175D2"/>
    <w:rsid w:val="00020AAC"/>
    <w:rsid w:val="00022522"/>
    <w:rsid w:val="000227EB"/>
    <w:rsid w:val="000228BF"/>
    <w:rsid w:val="00022A59"/>
    <w:rsid w:val="00023136"/>
    <w:rsid w:val="000242E6"/>
    <w:rsid w:val="0002582E"/>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C2B"/>
    <w:rsid w:val="00054B4E"/>
    <w:rsid w:val="00055586"/>
    <w:rsid w:val="000559FB"/>
    <w:rsid w:val="00056363"/>
    <w:rsid w:val="000607DF"/>
    <w:rsid w:val="000608FF"/>
    <w:rsid w:val="000610BF"/>
    <w:rsid w:val="00061450"/>
    <w:rsid w:val="0006303F"/>
    <w:rsid w:val="000647C6"/>
    <w:rsid w:val="000649FE"/>
    <w:rsid w:val="0007163D"/>
    <w:rsid w:val="000739D3"/>
    <w:rsid w:val="00073D16"/>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3C9"/>
    <w:rsid w:val="00092644"/>
    <w:rsid w:val="00094A3E"/>
    <w:rsid w:val="0009563B"/>
    <w:rsid w:val="0009673F"/>
    <w:rsid w:val="00097255"/>
    <w:rsid w:val="00097961"/>
    <w:rsid w:val="000A002D"/>
    <w:rsid w:val="000A0ACA"/>
    <w:rsid w:val="000A108F"/>
    <w:rsid w:val="000A17A7"/>
    <w:rsid w:val="000A2F1E"/>
    <w:rsid w:val="000A30A4"/>
    <w:rsid w:val="000A346F"/>
    <w:rsid w:val="000A5154"/>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B7560"/>
    <w:rsid w:val="000C0419"/>
    <w:rsid w:val="000C111B"/>
    <w:rsid w:val="000C1A4F"/>
    <w:rsid w:val="000C3FD5"/>
    <w:rsid w:val="000C520A"/>
    <w:rsid w:val="000C6EE4"/>
    <w:rsid w:val="000C7667"/>
    <w:rsid w:val="000D0125"/>
    <w:rsid w:val="000D0844"/>
    <w:rsid w:val="000D1822"/>
    <w:rsid w:val="000D1A91"/>
    <w:rsid w:val="000D3B92"/>
    <w:rsid w:val="000D4AB1"/>
    <w:rsid w:val="000D4D49"/>
    <w:rsid w:val="000D54BF"/>
    <w:rsid w:val="000D5651"/>
    <w:rsid w:val="000D5AC6"/>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0F7B34"/>
    <w:rsid w:val="00102D51"/>
    <w:rsid w:val="0010320B"/>
    <w:rsid w:val="001049AD"/>
    <w:rsid w:val="00104CBB"/>
    <w:rsid w:val="00104DCE"/>
    <w:rsid w:val="001052DD"/>
    <w:rsid w:val="00105EBE"/>
    <w:rsid w:val="001070F0"/>
    <w:rsid w:val="0011043D"/>
    <w:rsid w:val="00112426"/>
    <w:rsid w:val="0011340A"/>
    <w:rsid w:val="0011443E"/>
    <w:rsid w:val="00116D9A"/>
    <w:rsid w:val="00117216"/>
    <w:rsid w:val="00120072"/>
    <w:rsid w:val="00120C42"/>
    <w:rsid w:val="00121815"/>
    <w:rsid w:val="00121FF8"/>
    <w:rsid w:val="001223D9"/>
    <w:rsid w:val="00123BF9"/>
    <w:rsid w:val="00124B72"/>
    <w:rsid w:val="001252A4"/>
    <w:rsid w:val="00127B1D"/>
    <w:rsid w:val="00130083"/>
    <w:rsid w:val="001308DE"/>
    <w:rsid w:val="00131873"/>
    <w:rsid w:val="0013238A"/>
    <w:rsid w:val="00132BB9"/>
    <w:rsid w:val="00135544"/>
    <w:rsid w:val="00135E43"/>
    <w:rsid w:val="00136002"/>
    <w:rsid w:val="00136040"/>
    <w:rsid w:val="0013705C"/>
    <w:rsid w:val="00137BDE"/>
    <w:rsid w:val="00137E50"/>
    <w:rsid w:val="00141DF2"/>
    <w:rsid w:val="001446DD"/>
    <w:rsid w:val="001462AA"/>
    <w:rsid w:val="0014691E"/>
    <w:rsid w:val="00147552"/>
    <w:rsid w:val="00147C5C"/>
    <w:rsid w:val="00147CF8"/>
    <w:rsid w:val="001505EB"/>
    <w:rsid w:val="00150CA8"/>
    <w:rsid w:val="0015127F"/>
    <w:rsid w:val="0015187C"/>
    <w:rsid w:val="00153FE3"/>
    <w:rsid w:val="00154598"/>
    <w:rsid w:val="001559B6"/>
    <w:rsid w:val="00156C9A"/>
    <w:rsid w:val="00157307"/>
    <w:rsid w:val="00157DC4"/>
    <w:rsid w:val="0016022C"/>
    <w:rsid w:val="00160B29"/>
    <w:rsid w:val="001619C7"/>
    <w:rsid w:val="001620B5"/>
    <w:rsid w:val="0016237E"/>
    <w:rsid w:val="001625DC"/>
    <w:rsid w:val="001625E9"/>
    <w:rsid w:val="00164C5B"/>
    <w:rsid w:val="001652F8"/>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383E"/>
    <w:rsid w:val="00193C5C"/>
    <w:rsid w:val="0019419A"/>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307"/>
    <w:rsid w:val="001B595B"/>
    <w:rsid w:val="001B5B75"/>
    <w:rsid w:val="001B5F23"/>
    <w:rsid w:val="001C0737"/>
    <w:rsid w:val="001C09A7"/>
    <w:rsid w:val="001C0CE2"/>
    <w:rsid w:val="001C1F4D"/>
    <w:rsid w:val="001C2122"/>
    <w:rsid w:val="001C2236"/>
    <w:rsid w:val="001C30FF"/>
    <w:rsid w:val="001C324E"/>
    <w:rsid w:val="001C3C7F"/>
    <w:rsid w:val="001C3CEE"/>
    <w:rsid w:val="001C4DBE"/>
    <w:rsid w:val="001C4F4C"/>
    <w:rsid w:val="001C63A0"/>
    <w:rsid w:val="001D04E6"/>
    <w:rsid w:val="001D248E"/>
    <w:rsid w:val="001D2DAF"/>
    <w:rsid w:val="001D351D"/>
    <w:rsid w:val="001D46BA"/>
    <w:rsid w:val="001D54BC"/>
    <w:rsid w:val="001D7682"/>
    <w:rsid w:val="001E0372"/>
    <w:rsid w:val="001E0C36"/>
    <w:rsid w:val="001E0D76"/>
    <w:rsid w:val="001E1412"/>
    <w:rsid w:val="001E1A23"/>
    <w:rsid w:val="001E3C28"/>
    <w:rsid w:val="001E4132"/>
    <w:rsid w:val="001E4400"/>
    <w:rsid w:val="001E450F"/>
    <w:rsid w:val="001E4520"/>
    <w:rsid w:val="001E4F79"/>
    <w:rsid w:val="001E5AF5"/>
    <w:rsid w:val="001E5F6A"/>
    <w:rsid w:val="001E60BF"/>
    <w:rsid w:val="001E699D"/>
    <w:rsid w:val="001E6EEB"/>
    <w:rsid w:val="001E7C8D"/>
    <w:rsid w:val="001E7CC4"/>
    <w:rsid w:val="001F0ED5"/>
    <w:rsid w:val="001F2896"/>
    <w:rsid w:val="001F28EE"/>
    <w:rsid w:val="001F3A43"/>
    <w:rsid w:val="001F4149"/>
    <w:rsid w:val="001F43C8"/>
    <w:rsid w:val="001F4842"/>
    <w:rsid w:val="001F684B"/>
    <w:rsid w:val="001F6B3A"/>
    <w:rsid w:val="001F727F"/>
    <w:rsid w:val="001F799C"/>
    <w:rsid w:val="0020076B"/>
    <w:rsid w:val="002007D2"/>
    <w:rsid w:val="00200C95"/>
    <w:rsid w:val="00202681"/>
    <w:rsid w:val="00204A99"/>
    <w:rsid w:val="00204F2B"/>
    <w:rsid w:val="002055DF"/>
    <w:rsid w:val="00205984"/>
    <w:rsid w:val="00207507"/>
    <w:rsid w:val="00207C68"/>
    <w:rsid w:val="002113E2"/>
    <w:rsid w:val="002115A6"/>
    <w:rsid w:val="002115E1"/>
    <w:rsid w:val="002115F6"/>
    <w:rsid w:val="00211A47"/>
    <w:rsid w:val="00211ABF"/>
    <w:rsid w:val="00211AFF"/>
    <w:rsid w:val="00213078"/>
    <w:rsid w:val="00213365"/>
    <w:rsid w:val="00213931"/>
    <w:rsid w:val="002155A7"/>
    <w:rsid w:val="00215B41"/>
    <w:rsid w:val="00217A4E"/>
    <w:rsid w:val="00220654"/>
    <w:rsid w:val="0022152D"/>
    <w:rsid w:val="00221EF5"/>
    <w:rsid w:val="00222181"/>
    <w:rsid w:val="00224200"/>
    <w:rsid w:val="00225614"/>
    <w:rsid w:val="00225EF9"/>
    <w:rsid w:val="00226B2D"/>
    <w:rsid w:val="00226CB5"/>
    <w:rsid w:val="002273FD"/>
    <w:rsid w:val="00230148"/>
    <w:rsid w:val="00230F5F"/>
    <w:rsid w:val="00235ED1"/>
    <w:rsid w:val="00237058"/>
    <w:rsid w:val="002377F5"/>
    <w:rsid w:val="00237B58"/>
    <w:rsid w:val="0024077C"/>
    <w:rsid w:val="00241005"/>
    <w:rsid w:val="002410B1"/>
    <w:rsid w:val="002413DB"/>
    <w:rsid w:val="002420C3"/>
    <w:rsid w:val="00242AA9"/>
    <w:rsid w:val="00242C0C"/>
    <w:rsid w:val="00243145"/>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57F25"/>
    <w:rsid w:val="00261FB6"/>
    <w:rsid w:val="002627EC"/>
    <w:rsid w:val="00262D8F"/>
    <w:rsid w:val="002671BD"/>
    <w:rsid w:val="002704AE"/>
    <w:rsid w:val="00271ACD"/>
    <w:rsid w:val="002739CC"/>
    <w:rsid w:val="00275F50"/>
    <w:rsid w:val="00276034"/>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95FD3"/>
    <w:rsid w:val="00297345"/>
    <w:rsid w:val="002A0B81"/>
    <w:rsid w:val="002A1DE8"/>
    <w:rsid w:val="002A2188"/>
    <w:rsid w:val="002A30D3"/>
    <w:rsid w:val="002A33F4"/>
    <w:rsid w:val="002A35B8"/>
    <w:rsid w:val="002A5C0E"/>
    <w:rsid w:val="002A6607"/>
    <w:rsid w:val="002B021B"/>
    <w:rsid w:val="002B0351"/>
    <w:rsid w:val="002B30C6"/>
    <w:rsid w:val="002B3669"/>
    <w:rsid w:val="002B3B93"/>
    <w:rsid w:val="002B4772"/>
    <w:rsid w:val="002B485D"/>
    <w:rsid w:val="002B4A76"/>
    <w:rsid w:val="002B6285"/>
    <w:rsid w:val="002B68C3"/>
    <w:rsid w:val="002B6DE9"/>
    <w:rsid w:val="002C0728"/>
    <w:rsid w:val="002C14FA"/>
    <w:rsid w:val="002C16B4"/>
    <w:rsid w:val="002C1A93"/>
    <w:rsid w:val="002C21FE"/>
    <w:rsid w:val="002C2A8D"/>
    <w:rsid w:val="002C4C5A"/>
    <w:rsid w:val="002C58DD"/>
    <w:rsid w:val="002C6C6E"/>
    <w:rsid w:val="002C6CD2"/>
    <w:rsid w:val="002D00E0"/>
    <w:rsid w:val="002D0141"/>
    <w:rsid w:val="002D15D0"/>
    <w:rsid w:val="002D1911"/>
    <w:rsid w:val="002D21D8"/>
    <w:rsid w:val="002D30C4"/>
    <w:rsid w:val="002D4B37"/>
    <w:rsid w:val="002D5667"/>
    <w:rsid w:val="002D701F"/>
    <w:rsid w:val="002D7817"/>
    <w:rsid w:val="002E0DED"/>
    <w:rsid w:val="002E2969"/>
    <w:rsid w:val="002E2B97"/>
    <w:rsid w:val="002E3F5D"/>
    <w:rsid w:val="002E52E8"/>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090C"/>
    <w:rsid w:val="00321A27"/>
    <w:rsid w:val="003239E3"/>
    <w:rsid w:val="00323B03"/>
    <w:rsid w:val="00323CC5"/>
    <w:rsid w:val="00324009"/>
    <w:rsid w:val="00324ABF"/>
    <w:rsid w:val="003251B1"/>
    <w:rsid w:val="003257D4"/>
    <w:rsid w:val="0032710A"/>
    <w:rsid w:val="00327E0B"/>
    <w:rsid w:val="00330567"/>
    <w:rsid w:val="0033073E"/>
    <w:rsid w:val="00331120"/>
    <w:rsid w:val="00331296"/>
    <w:rsid w:val="00331601"/>
    <w:rsid w:val="00331A1E"/>
    <w:rsid w:val="00331ACF"/>
    <w:rsid w:val="00335B03"/>
    <w:rsid w:val="00336589"/>
    <w:rsid w:val="00336644"/>
    <w:rsid w:val="00336D7B"/>
    <w:rsid w:val="00336EBA"/>
    <w:rsid w:val="003379AB"/>
    <w:rsid w:val="003404EA"/>
    <w:rsid w:val="003407E0"/>
    <w:rsid w:val="003422F0"/>
    <w:rsid w:val="00342A82"/>
    <w:rsid w:val="003441A3"/>
    <w:rsid w:val="0034660F"/>
    <w:rsid w:val="00350762"/>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2CF"/>
    <w:rsid w:val="003662F5"/>
    <w:rsid w:val="00366969"/>
    <w:rsid w:val="00371110"/>
    <w:rsid w:val="00371284"/>
    <w:rsid w:val="00372C1E"/>
    <w:rsid w:val="00372FE2"/>
    <w:rsid w:val="00374AAA"/>
    <w:rsid w:val="00375125"/>
    <w:rsid w:val="0037538A"/>
    <w:rsid w:val="00376473"/>
    <w:rsid w:val="00377ADF"/>
    <w:rsid w:val="00377BF0"/>
    <w:rsid w:val="00377C65"/>
    <w:rsid w:val="00380795"/>
    <w:rsid w:val="00380EB9"/>
    <w:rsid w:val="00381046"/>
    <w:rsid w:val="0038112D"/>
    <w:rsid w:val="00381FD3"/>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DB5"/>
    <w:rsid w:val="00392E7A"/>
    <w:rsid w:val="00393310"/>
    <w:rsid w:val="00393838"/>
    <w:rsid w:val="003947B5"/>
    <w:rsid w:val="00396145"/>
    <w:rsid w:val="003966CC"/>
    <w:rsid w:val="00396EED"/>
    <w:rsid w:val="00396FC9"/>
    <w:rsid w:val="00397185"/>
    <w:rsid w:val="00397540"/>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3366"/>
    <w:rsid w:val="003C34B9"/>
    <w:rsid w:val="003C499A"/>
    <w:rsid w:val="003C5B1A"/>
    <w:rsid w:val="003C5BCF"/>
    <w:rsid w:val="003C7B79"/>
    <w:rsid w:val="003C7F90"/>
    <w:rsid w:val="003D1021"/>
    <w:rsid w:val="003D1CC4"/>
    <w:rsid w:val="003D3AF7"/>
    <w:rsid w:val="003D3CB5"/>
    <w:rsid w:val="003D3EEF"/>
    <w:rsid w:val="003D413C"/>
    <w:rsid w:val="003D4D89"/>
    <w:rsid w:val="003D505A"/>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4F5"/>
    <w:rsid w:val="003F2743"/>
    <w:rsid w:val="003F3E0D"/>
    <w:rsid w:val="003F4D3A"/>
    <w:rsid w:val="003F54CC"/>
    <w:rsid w:val="003F614A"/>
    <w:rsid w:val="003F65F3"/>
    <w:rsid w:val="003F73A7"/>
    <w:rsid w:val="003F75BB"/>
    <w:rsid w:val="0040019C"/>
    <w:rsid w:val="0040054A"/>
    <w:rsid w:val="00400C55"/>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6719"/>
    <w:rsid w:val="004207D2"/>
    <w:rsid w:val="0042093E"/>
    <w:rsid w:val="00421357"/>
    <w:rsid w:val="0042272B"/>
    <w:rsid w:val="0042290C"/>
    <w:rsid w:val="00422EDC"/>
    <w:rsid w:val="00423481"/>
    <w:rsid w:val="00424137"/>
    <w:rsid w:val="004244E1"/>
    <w:rsid w:val="0042478B"/>
    <w:rsid w:val="00425A7B"/>
    <w:rsid w:val="00426095"/>
    <w:rsid w:val="00426F8B"/>
    <w:rsid w:val="00431651"/>
    <w:rsid w:val="00433EBD"/>
    <w:rsid w:val="00434834"/>
    <w:rsid w:val="00434EBF"/>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AF2"/>
    <w:rsid w:val="00451E8D"/>
    <w:rsid w:val="00452B41"/>
    <w:rsid w:val="00453B1F"/>
    <w:rsid w:val="00453DDF"/>
    <w:rsid w:val="00454560"/>
    <w:rsid w:val="004545EC"/>
    <w:rsid w:val="004546BC"/>
    <w:rsid w:val="00456455"/>
    <w:rsid w:val="0046049B"/>
    <w:rsid w:val="00460B46"/>
    <w:rsid w:val="004618D9"/>
    <w:rsid w:val="00462885"/>
    <w:rsid w:val="0046468D"/>
    <w:rsid w:val="0046498E"/>
    <w:rsid w:val="004656AB"/>
    <w:rsid w:val="00466647"/>
    <w:rsid w:val="00466803"/>
    <w:rsid w:val="00467186"/>
    <w:rsid w:val="00467D29"/>
    <w:rsid w:val="004701EE"/>
    <w:rsid w:val="00470703"/>
    <w:rsid w:val="00472029"/>
    <w:rsid w:val="004728FC"/>
    <w:rsid w:val="00473766"/>
    <w:rsid w:val="00473C00"/>
    <w:rsid w:val="004740CD"/>
    <w:rsid w:val="00474D78"/>
    <w:rsid w:val="00475201"/>
    <w:rsid w:val="004756FD"/>
    <w:rsid w:val="00477028"/>
    <w:rsid w:val="00477127"/>
    <w:rsid w:val="0048014C"/>
    <w:rsid w:val="004824E3"/>
    <w:rsid w:val="0048392D"/>
    <w:rsid w:val="00485754"/>
    <w:rsid w:val="00486242"/>
    <w:rsid w:val="00486A4C"/>
    <w:rsid w:val="00490019"/>
    <w:rsid w:val="004914A5"/>
    <w:rsid w:val="00491A30"/>
    <w:rsid w:val="00492262"/>
    <w:rsid w:val="00492A06"/>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B0356"/>
    <w:rsid w:val="004B0906"/>
    <w:rsid w:val="004B1002"/>
    <w:rsid w:val="004B2125"/>
    <w:rsid w:val="004B25BF"/>
    <w:rsid w:val="004B36F4"/>
    <w:rsid w:val="004B5424"/>
    <w:rsid w:val="004B615F"/>
    <w:rsid w:val="004B631C"/>
    <w:rsid w:val="004B6C09"/>
    <w:rsid w:val="004B72E9"/>
    <w:rsid w:val="004B739B"/>
    <w:rsid w:val="004C0A7B"/>
    <w:rsid w:val="004C0FF1"/>
    <w:rsid w:val="004C318D"/>
    <w:rsid w:val="004C4010"/>
    <w:rsid w:val="004C6FAC"/>
    <w:rsid w:val="004C7405"/>
    <w:rsid w:val="004D0A7F"/>
    <w:rsid w:val="004D0FB8"/>
    <w:rsid w:val="004D37DE"/>
    <w:rsid w:val="004D5A6B"/>
    <w:rsid w:val="004D6A6F"/>
    <w:rsid w:val="004D71DD"/>
    <w:rsid w:val="004D7372"/>
    <w:rsid w:val="004E02F6"/>
    <w:rsid w:val="004E435D"/>
    <w:rsid w:val="004E4384"/>
    <w:rsid w:val="004E4A9F"/>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06430"/>
    <w:rsid w:val="005130D8"/>
    <w:rsid w:val="00513645"/>
    <w:rsid w:val="0051403A"/>
    <w:rsid w:val="005151C4"/>
    <w:rsid w:val="005152CE"/>
    <w:rsid w:val="00515D76"/>
    <w:rsid w:val="00520077"/>
    <w:rsid w:val="00520C15"/>
    <w:rsid w:val="00522C54"/>
    <w:rsid w:val="00523907"/>
    <w:rsid w:val="0052406F"/>
    <w:rsid w:val="005240A6"/>
    <w:rsid w:val="005243F1"/>
    <w:rsid w:val="00524A8D"/>
    <w:rsid w:val="00526D55"/>
    <w:rsid w:val="005271E9"/>
    <w:rsid w:val="00527861"/>
    <w:rsid w:val="00531F76"/>
    <w:rsid w:val="00533AFF"/>
    <w:rsid w:val="005342E1"/>
    <w:rsid w:val="00534EEF"/>
    <w:rsid w:val="00534FF1"/>
    <w:rsid w:val="00535725"/>
    <w:rsid w:val="005357B8"/>
    <w:rsid w:val="00536282"/>
    <w:rsid w:val="0053646E"/>
    <w:rsid w:val="00541924"/>
    <w:rsid w:val="005425DC"/>
    <w:rsid w:val="00542E2F"/>
    <w:rsid w:val="00544704"/>
    <w:rsid w:val="00544A2E"/>
    <w:rsid w:val="005457EA"/>
    <w:rsid w:val="00545F51"/>
    <w:rsid w:val="005461E8"/>
    <w:rsid w:val="00547146"/>
    <w:rsid w:val="0055038F"/>
    <w:rsid w:val="00551283"/>
    <w:rsid w:val="005520C9"/>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054B"/>
    <w:rsid w:val="0057137B"/>
    <w:rsid w:val="0057277F"/>
    <w:rsid w:val="0057332F"/>
    <w:rsid w:val="0057449F"/>
    <w:rsid w:val="00576C1A"/>
    <w:rsid w:val="00580400"/>
    <w:rsid w:val="0058158A"/>
    <w:rsid w:val="00581DDF"/>
    <w:rsid w:val="00582AC3"/>
    <w:rsid w:val="0058373C"/>
    <w:rsid w:val="00583C1D"/>
    <w:rsid w:val="00585025"/>
    <w:rsid w:val="005852DE"/>
    <w:rsid w:val="00585A9C"/>
    <w:rsid w:val="00586023"/>
    <w:rsid w:val="00586068"/>
    <w:rsid w:val="005861E0"/>
    <w:rsid w:val="005867B9"/>
    <w:rsid w:val="0058697E"/>
    <w:rsid w:val="00587A48"/>
    <w:rsid w:val="00587B97"/>
    <w:rsid w:val="00587D3E"/>
    <w:rsid w:val="005901C0"/>
    <w:rsid w:val="005906E6"/>
    <w:rsid w:val="00590AC6"/>
    <w:rsid w:val="00590BC1"/>
    <w:rsid w:val="00590FA8"/>
    <w:rsid w:val="00591864"/>
    <w:rsid w:val="00592870"/>
    <w:rsid w:val="00593432"/>
    <w:rsid w:val="0059468A"/>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25C6"/>
    <w:rsid w:val="005C36D6"/>
    <w:rsid w:val="005C3847"/>
    <w:rsid w:val="005C429C"/>
    <w:rsid w:val="005C4A01"/>
    <w:rsid w:val="005C5B3E"/>
    <w:rsid w:val="005C5D6D"/>
    <w:rsid w:val="005C73B3"/>
    <w:rsid w:val="005C7429"/>
    <w:rsid w:val="005D0973"/>
    <w:rsid w:val="005D170D"/>
    <w:rsid w:val="005D21C1"/>
    <w:rsid w:val="005D2223"/>
    <w:rsid w:val="005D2E79"/>
    <w:rsid w:val="005D2EA5"/>
    <w:rsid w:val="005D4360"/>
    <w:rsid w:val="005D4A9F"/>
    <w:rsid w:val="005D6269"/>
    <w:rsid w:val="005D7499"/>
    <w:rsid w:val="005D758A"/>
    <w:rsid w:val="005D7A48"/>
    <w:rsid w:val="005E108F"/>
    <w:rsid w:val="005E1572"/>
    <w:rsid w:val="005E3A9A"/>
    <w:rsid w:val="005E3B15"/>
    <w:rsid w:val="005E4B3D"/>
    <w:rsid w:val="005E4E43"/>
    <w:rsid w:val="005E661B"/>
    <w:rsid w:val="005E74FC"/>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BDE"/>
    <w:rsid w:val="00612DD1"/>
    <w:rsid w:val="00612F21"/>
    <w:rsid w:val="006141E3"/>
    <w:rsid w:val="00614D8C"/>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564C"/>
    <w:rsid w:val="00635C1A"/>
    <w:rsid w:val="00636146"/>
    <w:rsid w:val="00636596"/>
    <w:rsid w:val="006368E3"/>
    <w:rsid w:val="00640A3B"/>
    <w:rsid w:val="00640A59"/>
    <w:rsid w:val="006413AF"/>
    <w:rsid w:val="006414D1"/>
    <w:rsid w:val="006420FB"/>
    <w:rsid w:val="006454F7"/>
    <w:rsid w:val="00645C75"/>
    <w:rsid w:val="006473F3"/>
    <w:rsid w:val="006478AB"/>
    <w:rsid w:val="00650E2B"/>
    <w:rsid w:val="0065107D"/>
    <w:rsid w:val="00651D8A"/>
    <w:rsid w:val="006520E4"/>
    <w:rsid w:val="00652BD1"/>
    <w:rsid w:val="00655449"/>
    <w:rsid w:val="00655D46"/>
    <w:rsid w:val="00655F2A"/>
    <w:rsid w:val="00656231"/>
    <w:rsid w:val="006562CB"/>
    <w:rsid w:val="00656306"/>
    <w:rsid w:val="0065650F"/>
    <w:rsid w:val="00657395"/>
    <w:rsid w:val="00657EEC"/>
    <w:rsid w:val="0066135C"/>
    <w:rsid w:val="006644DC"/>
    <w:rsid w:val="006649BB"/>
    <w:rsid w:val="00664D3D"/>
    <w:rsid w:val="006666C9"/>
    <w:rsid w:val="00666F66"/>
    <w:rsid w:val="00667036"/>
    <w:rsid w:val="00667A20"/>
    <w:rsid w:val="00667B82"/>
    <w:rsid w:val="00667FED"/>
    <w:rsid w:val="00667FFB"/>
    <w:rsid w:val="006710E5"/>
    <w:rsid w:val="00671776"/>
    <w:rsid w:val="00671CD5"/>
    <w:rsid w:val="00672DEE"/>
    <w:rsid w:val="0067480A"/>
    <w:rsid w:val="00675417"/>
    <w:rsid w:val="006758CC"/>
    <w:rsid w:val="006761B3"/>
    <w:rsid w:val="00676666"/>
    <w:rsid w:val="006775AE"/>
    <w:rsid w:val="00680256"/>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97A8B"/>
    <w:rsid w:val="00697BD8"/>
    <w:rsid w:val="006A0935"/>
    <w:rsid w:val="006A14D2"/>
    <w:rsid w:val="006A27F4"/>
    <w:rsid w:val="006A4261"/>
    <w:rsid w:val="006A4E0E"/>
    <w:rsid w:val="006A4E7F"/>
    <w:rsid w:val="006A4ED2"/>
    <w:rsid w:val="006A611C"/>
    <w:rsid w:val="006B0063"/>
    <w:rsid w:val="006B0082"/>
    <w:rsid w:val="006B00D6"/>
    <w:rsid w:val="006B0801"/>
    <w:rsid w:val="006B0C30"/>
    <w:rsid w:val="006B0DF2"/>
    <w:rsid w:val="006B0E86"/>
    <w:rsid w:val="006B0ED5"/>
    <w:rsid w:val="006B1FFC"/>
    <w:rsid w:val="006B3475"/>
    <w:rsid w:val="006B367A"/>
    <w:rsid w:val="006B501E"/>
    <w:rsid w:val="006B590D"/>
    <w:rsid w:val="006B6CE8"/>
    <w:rsid w:val="006C1853"/>
    <w:rsid w:val="006C1C90"/>
    <w:rsid w:val="006C3436"/>
    <w:rsid w:val="006C35D9"/>
    <w:rsid w:val="006C54B6"/>
    <w:rsid w:val="006C5589"/>
    <w:rsid w:val="006C5F7B"/>
    <w:rsid w:val="006C7D43"/>
    <w:rsid w:val="006D05B3"/>
    <w:rsid w:val="006D08BA"/>
    <w:rsid w:val="006D2A53"/>
    <w:rsid w:val="006D3FDA"/>
    <w:rsid w:val="006D4C73"/>
    <w:rsid w:val="006D4EC3"/>
    <w:rsid w:val="006D4EE0"/>
    <w:rsid w:val="006D5834"/>
    <w:rsid w:val="006D5AF1"/>
    <w:rsid w:val="006D6155"/>
    <w:rsid w:val="006D6598"/>
    <w:rsid w:val="006D6652"/>
    <w:rsid w:val="006D7DF0"/>
    <w:rsid w:val="006E026B"/>
    <w:rsid w:val="006E0D14"/>
    <w:rsid w:val="006E1EE3"/>
    <w:rsid w:val="006F0178"/>
    <w:rsid w:val="006F14A9"/>
    <w:rsid w:val="006F1EAF"/>
    <w:rsid w:val="006F2997"/>
    <w:rsid w:val="006F2A2D"/>
    <w:rsid w:val="006F2EC1"/>
    <w:rsid w:val="006F4F6A"/>
    <w:rsid w:val="006F5477"/>
    <w:rsid w:val="006F560A"/>
    <w:rsid w:val="007002E9"/>
    <w:rsid w:val="00700CBE"/>
    <w:rsid w:val="00701B6F"/>
    <w:rsid w:val="007026F6"/>
    <w:rsid w:val="00702A45"/>
    <w:rsid w:val="00702F3D"/>
    <w:rsid w:val="00704546"/>
    <w:rsid w:val="00704C3B"/>
    <w:rsid w:val="00705DC3"/>
    <w:rsid w:val="0070606A"/>
    <w:rsid w:val="007063D0"/>
    <w:rsid w:val="00707B54"/>
    <w:rsid w:val="00711265"/>
    <w:rsid w:val="00711F5C"/>
    <w:rsid w:val="007121C8"/>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49D"/>
    <w:rsid w:val="007416C3"/>
    <w:rsid w:val="00743443"/>
    <w:rsid w:val="0074351B"/>
    <w:rsid w:val="00746354"/>
    <w:rsid w:val="007466AB"/>
    <w:rsid w:val="0074692A"/>
    <w:rsid w:val="00747128"/>
    <w:rsid w:val="0074720E"/>
    <w:rsid w:val="00747962"/>
    <w:rsid w:val="007517F4"/>
    <w:rsid w:val="00751A42"/>
    <w:rsid w:val="00751E09"/>
    <w:rsid w:val="00752B69"/>
    <w:rsid w:val="0075333F"/>
    <w:rsid w:val="00753F2E"/>
    <w:rsid w:val="007540F4"/>
    <w:rsid w:val="007543B2"/>
    <w:rsid w:val="00754474"/>
    <w:rsid w:val="00754D03"/>
    <w:rsid w:val="00755AE8"/>
    <w:rsid w:val="00760139"/>
    <w:rsid w:val="00760570"/>
    <w:rsid w:val="00763191"/>
    <w:rsid w:val="007636D3"/>
    <w:rsid w:val="0076589A"/>
    <w:rsid w:val="0076704A"/>
    <w:rsid w:val="0076712F"/>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F2B"/>
    <w:rsid w:val="007A7DD2"/>
    <w:rsid w:val="007B09C5"/>
    <w:rsid w:val="007B1EBD"/>
    <w:rsid w:val="007B278B"/>
    <w:rsid w:val="007B2D51"/>
    <w:rsid w:val="007B3D57"/>
    <w:rsid w:val="007B4E46"/>
    <w:rsid w:val="007B5277"/>
    <w:rsid w:val="007B5296"/>
    <w:rsid w:val="007B5EE5"/>
    <w:rsid w:val="007B6692"/>
    <w:rsid w:val="007B683A"/>
    <w:rsid w:val="007B7B1B"/>
    <w:rsid w:val="007C0693"/>
    <w:rsid w:val="007C0887"/>
    <w:rsid w:val="007C2104"/>
    <w:rsid w:val="007C3780"/>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50D"/>
    <w:rsid w:val="007F6AE7"/>
    <w:rsid w:val="007F7122"/>
    <w:rsid w:val="0080019C"/>
    <w:rsid w:val="00800694"/>
    <w:rsid w:val="00800B6E"/>
    <w:rsid w:val="00800EBB"/>
    <w:rsid w:val="00800F69"/>
    <w:rsid w:val="008010E8"/>
    <w:rsid w:val="008023C4"/>
    <w:rsid w:val="0080314D"/>
    <w:rsid w:val="00803CFC"/>
    <w:rsid w:val="008050E5"/>
    <w:rsid w:val="0080570F"/>
    <w:rsid w:val="00806946"/>
    <w:rsid w:val="00806985"/>
    <w:rsid w:val="0080791B"/>
    <w:rsid w:val="008101B5"/>
    <w:rsid w:val="0081435E"/>
    <w:rsid w:val="008162BC"/>
    <w:rsid w:val="00817F36"/>
    <w:rsid w:val="008210A5"/>
    <w:rsid w:val="00821CB9"/>
    <w:rsid w:val="0082202A"/>
    <w:rsid w:val="00822C4A"/>
    <w:rsid w:val="008231D9"/>
    <w:rsid w:val="00823FA1"/>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0FDC"/>
    <w:rsid w:val="00841418"/>
    <w:rsid w:val="00842C7D"/>
    <w:rsid w:val="00844F54"/>
    <w:rsid w:val="00845722"/>
    <w:rsid w:val="008462DB"/>
    <w:rsid w:val="00846418"/>
    <w:rsid w:val="00846425"/>
    <w:rsid w:val="00846EB8"/>
    <w:rsid w:val="00847E49"/>
    <w:rsid w:val="008507F9"/>
    <w:rsid w:val="0085245B"/>
    <w:rsid w:val="00852A7C"/>
    <w:rsid w:val="00854F39"/>
    <w:rsid w:val="00856BDB"/>
    <w:rsid w:val="008570E7"/>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2E2F"/>
    <w:rsid w:val="0087324F"/>
    <w:rsid w:val="008735D2"/>
    <w:rsid w:val="008741FA"/>
    <w:rsid w:val="00874CAA"/>
    <w:rsid w:val="00875E25"/>
    <w:rsid w:val="00875ED9"/>
    <w:rsid w:val="00877096"/>
    <w:rsid w:val="008822F2"/>
    <w:rsid w:val="008826E4"/>
    <w:rsid w:val="008849AB"/>
    <w:rsid w:val="008853F7"/>
    <w:rsid w:val="00885BA8"/>
    <w:rsid w:val="00886E9D"/>
    <w:rsid w:val="00887DE3"/>
    <w:rsid w:val="00890991"/>
    <w:rsid w:val="00890A21"/>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7CA"/>
    <w:rsid w:val="008B4C2B"/>
    <w:rsid w:val="008B5654"/>
    <w:rsid w:val="008B7385"/>
    <w:rsid w:val="008B7929"/>
    <w:rsid w:val="008C0C5D"/>
    <w:rsid w:val="008C134E"/>
    <w:rsid w:val="008C14C9"/>
    <w:rsid w:val="008C32EC"/>
    <w:rsid w:val="008C3766"/>
    <w:rsid w:val="008C4E45"/>
    <w:rsid w:val="008C6275"/>
    <w:rsid w:val="008C64D2"/>
    <w:rsid w:val="008C6579"/>
    <w:rsid w:val="008D2B4C"/>
    <w:rsid w:val="008D31D3"/>
    <w:rsid w:val="008D35F4"/>
    <w:rsid w:val="008D3C4E"/>
    <w:rsid w:val="008D3D6B"/>
    <w:rsid w:val="008D46C8"/>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375A"/>
    <w:rsid w:val="008F4486"/>
    <w:rsid w:val="008F5371"/>
    <w:rsid w:val="008F58DF"/>
    <w:rsid w:val="00900A71"/>
    <w:rsid w:val="00902986"/>
    <w:rsid w:val="00903008"/>
    <w:rsid w:val="00903953"/>
    <w:rsid w:val="00903C32"/>
    <w:rsid w:val="00904073"/>
    <w:rsid w:val="0090487F"/>
    <w:rsid w:val="0090553F"/>
    <w:rsid w:val="009073C7"/>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28D"/>
    <w:rsid w:val="00926422"/>
    <w:rsid w:val="009267EE"/>
    <w:rsid w:val="009268FB"/>
    <w:rsid w:val="00930618"/>
    <w:rsid w:val="009307EB"/>
    <w:rsid w:val="00932FF8"/>
    <w:rsid w:val="00933D47"/>
    <w:rsid w:val="00936B91"/>
    <w:rsid w:val="00937D20"/>
    <w:rsid w:val="00941666"/>
    <w:rsid w:val="0094247E"/>
    <w:rsid w:val="00942801"/>
    <w:rsid w:val="00946291"/>
    <w:rsid w:val="0094712D"/>
    <w:rsid w:val="009503AB"/>
    <w:rsid w:val="009507F5"/>
    <w:rsid w:val="00950F5D"/>
    <w:rsid w:val="00952D3C"/>
    <w:rsid w:val="0095355F"/>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904"/>
    <w:rsid w:val="00970C48"/>
    <w:rsid w:val="00970FB0"/>
    <w:rsid w:val="009710E6"/>
    <w:rsid w:val="00971E3F"/>
    <w:rsid w:val="009735FF"/>
    <w:rsid w:val="00973B62"/>
    <w:rsid w:val="00973E9F"/>
    <w:rsid w:val="00975D3C"/>
    <w:rsid w:val="00980310"/>
    <w:rsid w:val="00980FA6"/>
    <w:rsid w:val="009811E9"/>
    <w:rsid w:val="00983D90"/>
    <w:rsid w:val="00984F1D"/>
    <w:rsid w:val="009855BD"/>
    <w:rsid w:val="00985C74"/>
    <w:rsid w:val="0098747C"/>
    <w:rsid w:val="00990090"/>
    <w:rsid w:val="00990143"/>
    <w:rsid w:val="009929E4"/>
    <w:rsid w:val="00993618"/>
    <w:rsid w:val="00993963"/>
    <w:rsid w:val="00995341"/>
    <w:rsid w:val="00995B83"/>
    <w:rsid w:val="009969EB"/>
    <w:rsid w:val="00997867"/>
    <w:rsid w:val="009A0487"/>
    <w:rsid w:val="009A13A2"/>
    <w:rsid w:val="009A1621"/>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5523"/>
    <w:rsid w:val="009C5F46"/>
    <w:rsid w:val="009C6A0C"/>
    <w:rsid w:val="009C6A7E"/>
    <w:rsid w:val="009C70E6"/>
    <w:rsid w:val="009D1B25"/>
    <w:rsid w:val="009D1B40"/>
    <w:rsid w:val="009D1F6B"/>
    <w:rsid w:val="009D277B"/>
    <w:rsid w:val="009D3680"/>
    <w:rsid w:val="009D3D53"/>
    <w:rsid w:val="009D4303"/>
    <w:rsid w:val="009D4331"/>
    <w:rsid w:val="009D59D2"/>
    <w:rsid w:val="009D5A8E"/>
    <w:rsid w:val="009D629D"/>
    <w:rsid w:val="009D7040"/>
    <w:rsid w:val="009E0560"/>
    <w:rsid w:val="009E08BF"/>
    <w:rsid w:val="009E1568"/>
    <w:rsid w:val="009E4D0D"/>
    <w:rsid w:val="009E52E1"/>
    <w:rsid w:val="009E5532"/>
    <w:rsid w:val="009E5EF1"/>
    <w:rsid w:val="009E65B8"/>
    <w:rsid w:val="009E7D4F"/>
    <w:rsid w:val="009F0548"/>
    <w:rsid w:val="009F1CE6"/>
    <w:rsid w:val="009F4620"/>
    <w:rsid w:val="009F4872"/>
    <w:rsid w:val="009F6E29"/>
    <w:rsid w:val="009F6F21"/>
    <w:rsid w:val="009F75C6"/>
    <w:rsid w:val="00A004E2"/>
    <w:rsid w:val="00A0093D"/>
    <w:rsid w:val="00A00DAC"/>
    <w:rsid w:val="00A00E46"/>
    <w:rsid w:val="00A01416"/>
    <w:rsid w:val="00A0142A"/>
    <w:rsid w:val="00A02B2D"/>
    <w:rsid w:val="00A048F5"/>
    <w:rsid w:val="00A054F1"/>
    <w:rsid w:val="00A06130"/>
    <w:rsid w:val="00A069C9"/>
    <w:rsid w:val="00A12D4A"/>
    <w:rsid w:val="00A13633"/>
    <w:rsid w:val="00A139DC"/>
    <w:rsid w:val="00A1421F"/>
    <w:rsid w:val="00A15B8D"/>
    <w:rsid w:val="00A15D6A"/>
    <w:rsid w:val="00A16175"/>
    <w:rsid w:val="00A1786A"/>
    <w:rsid w:val="00A2166C"/>
    <w:rsid w:val="00A23587"/>
    <w:rsid w:val="00A2403C"/>
    <w:rsid w:val="00A24A88"/>
    <w:rsid w:val="00A24C2A"/>
    <w:rsid w:val="00A24DEF"/>
    <w:rsid w:val="00A252E9"/>
    <w:rsid w:val="00A26727"/>
    <w:rsid w:val="00A27923"/>
    <w:rsid w:val="00A30CFC"/>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1FF7"/>
    <w:rsid w:val="00A73A1E"/>
    <w:rsid w:val="00A746DF"/>
    <w:rsid w:val="00A74A02"/>
    <w:rsid w:val="00A74A8A"/>
    <w:rsid w:val="00A75587"/>
    <w:rsid w:val="00A760AA"/>
    <w:rsid w:val="00A76795"/>
    <w:rsid w:val="00A77A2A"/>
    <w:rsid w:val="00A80B07"/>
    <w:rsid w:val="00A81BD7"/>
    <w:rsid w:val="00A81F29"/>
    <w:rsid w:val="00A82474"/>
    <w:rsid w:val="00A825C7"/>
    <w:rsid w:val="00A8282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03B5"/>
    <w:rsid w:val="00AA1B11"/>
    <w:rsid w:val="00AA4035"/>
    <w:rsid w:val="00AA47A0"/>
    <w:rsid w:val="00AA4A11"/>
    <w:rsid w:val="00AA4B84"/>
    <w:rsid w:val="00AA59EE"/>
    <w:rsid w:val="00AA6575"/>
    <w:rsid w:val="00AA68D5"/>
    <w:rsid w:val="00AA7F56"/>
    <w:rsid w:val="00AB0A05"/>
    <w:rsid w:val="00AB0BE5"/>
    <w:rsid w:val="00AB115D"/>
    <w:rsid w:val="00AB31FE"/>
    <w:rsid w:val="00AB321F"/>
    <w:rsid w:val="00AB4344"/>
    <w:rsid w:val="00AB6440"/>
    <w:rsid w:val="00AB7D63"/>
    <w:rsid w:val="00AC1BE1"/>
    <w:rsid w:val="00AC1D1B"/>
    <w:rsid w:val="00AC2DC6"/>
    <w:rsid w:val="00AC64A8"/>
    <w:rsid w:val="00AD06EB"/>
    <w:rsid w:val="00AD1A65"/>
    <w:rsid w:val="00AD2906"/>
    <w:rsid w:val="00AD31A7"/>
    <w:rsid w:val="00AD34F6"/>
    <w:rsid w:val="00AD3DE5"/>
    <w:rsid w:val="00AD4280"/>
    <w:rsid w:val="00AD4747"/>
    <w:rsid w:val="00AD6331"/>
    <w:rsid w:val="00AD7277"/>
    <w:rsid w:val="00AE0199"/>
    <w:rsid w:val="00AE05B9"/>
    <w:rsid w:val="00AE060F"/>
    <w:rsid w:val="00AE0C6B"/>
    <w:rsid w:val="00AE1309"/>
    <w:rsid w:val="00AE1599"/>
    <w:rsid w:val="00AE202F"/>
    <w:rsid w:val="00AE21FF"/>
    <w:rsid w:val="00AE2AE0"/>
    <w:rsid w:val="00AE43B3"/>
    <w:rsid w:val="00AE4B81"/>
    <w:rsid w:val="00AE546D"/>
    <w:rsid w:val="00AE57DE"/>
    <w:rsid w:val="00AE69F7"/>
    <w:rsid w:val="00AE6AF0"/>
    <w:rsid w:val="00AE7456"/>
    <w:rsid w:val="00AF0322"/>
    <w:rsid w:val="00AF06A4"/>
    <w:rsid w:val="00AF07D8"/>
    <w:rsid w:val="00AF0847"/>
    <w:rsid w:val="00AF0AF6"/>
    <w:rsid w:val="00AF106C"/>
    <w:rsid w:val="00AF1812"/>
    <w:rsid w:val="00AF2620"/>
    <w:rsid w:val="00AF2C07"/>
    <w:rsid w:val="00AF30DB"/>
    <w:rsid w:val="00AF316D"/>
    <w:rsid w:val="00AF3F82"/>
    <w:rsid w:val="00AF468D"/>
    <w:rsid w:val="00AF4861"/>
    <w:rsid w:val="00AF4A12"/>
    <w:rsid w:val="00AF4CB2"/>
    <w:rsid w:val="00AF537A"/>
    <w:rsid w:val="00AF5F62"/>
    <w:rsid w:val="00AF739D"/>
    <w:rsid w:val="00AF76DD"/>
    <w:rsid w:val="00AF7C61"/>
    <w:rsid w:val="00B00409"/>
    <w:rsid w:val="00B01C1B"/>
    <w:rsid w:val="00B02891"/>
    <w:rsid w:val="00B02F42"/>
    <w:rsid w:val="00B0332F"/>
    <w:rsid w:val="00B03855"/>
    <w:rsid w:val="00B03E19"/>
    <w:rsid w:val="00B0514D"/>
    <w:rsid w:val="00B05AED"/>
    <w:rsid w:val="00B06BF0"/>
    <w:rsid w:val="00B06C58"/>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3B8C"/>
    <w:rsid w:val="00B240B3"/>
    <w:rsid w:val="00B24855"/>
    <w:rsid w:val="00B24DF0"/>
    <w:rsid w:val="00B25274"/>
    <w:rsid w:val="00B25F31"/>
    <w:rsid w:val="00B26CE3"/>
    <w:rsid w:val="00B27EC5"/>
    <w:rsid w:val="00B30976"/>
    <w:rsid w:val="00B35360"/>
    <w:rsid w:val="00B355DC"/>
    <w:rsid w:val="00B3660C"/>
    <w:rsid w:val="00B36FEB"/>
    <w:rsid w:val="00B37175"/>
    <w:rsid w:val="00B3738E"/>
    <w:rsid w:val="00B37A24"/>
    <w:rsid w:val="00B40E4A"/>
    <w:rsid w:val="00B418D7"/>
    <w:rsid w:val="00B42C25"/>
    <w:rsid w:val="00B42D40"/>
    <w:rsid w:val="00B43589"/>
    <w:rsid w:val="00B43658"/>
    <w:rsid w:val="00B4433D"/>
    <w:rsid w:val="00B4511C"/>
    <w:rsid w:val="00B45894"/>
    <w:rsid w:val="00B45982"/>
    <w:rsid w:val="00B459E3"/>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6C2B"/>
    <w:rsid w:val="00B67971"/>
    <w:rsid w:val="00B70059"/>
    <w:rsid w:val="00B70EC8"/>
    <w:rsid w:val="00B74666"/>
    <w:rsid w:val="00B74DF6"/>
    <w:rsid w:val="00B75125"/>
    <w:rsid w:val="00B77551"/>
    <w:rsid w:val="00B80948"/>
    <w:rsid w:val="00B81059"/>
    <w:rsid w:val="00B81D62"/>
    <w:rsid w:val="00B838F6"/>
    <w:rsid w:val="00B83CA4"/>
    <w:rsid w:val="00B84243"/>
    <w:rsid w:val="00B85517"/>
    <w:rsid w:val="00B9033C"/>
    <w:rsid w:val="00B90D01"/>
    <w:rsid w:val="00B92B28"/>
    <w:rsid w:val="00B92E44"/>
    <w:rsid w:val="00B93010"/>
    <w:rsid w:val="00B934CE"/>
    <w:rsid w:val="00B93BD3"/>
    <w:rsid w:val="00B93BD9"/>
    <w:rsid w:val="00B93E36"/>
    <w:rsid w:val="00B94BE4"/>
    <w:rsid w:val="00B94DA4"/>
    <w:rsid w:val="00B9532E"/>
    <w:rsid w:val="00B954DB"/>
    <w:rsid w:val="00B95BF2"/>
    <w:rsid w:val="00B96F28"/>
    <w:rsid w:val="00B97346"/>
    <w:rsid w:val="00B9737E"/>
    <w:rsid w:val="00BA0987"/>
    <w:rsid w:val="00BA0C0C"/>
    <w:rsid w:val="00BA314A"/>
    <w:rsid w:val="00BA3322"/>
    <w:rsid w:val="00BA3C3B"/>
    <w:rsid w:val="00BA4860"/>
    <w:rsid w:val="00BA4E4A"/>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B658B"/>
    <w:rsid w:val="00BC1E9B"/>
    <w:rsid w:val="00BC2520"/>
    <w:rsid w:val="00BC266C"/>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2A80"/>
    <w:rsid w:val="00C142AB"/>
    <w:rsid w:val="00C1467F"/>
    <w:rsid w:val="00C15596"/>
    <w:rsid w:val="00C15A80"/>
    <w:rsid w:val="00C16AD3"/>
    <w:rsid w:val="00C173CA"/>
    <w:rsid w:val="00C205A5"/>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1CC4"/>
    <w:rsid w:val="00C44805"/>
    <w:rsid w:val="00C45553"/>
    <w:rsid w:val="00C45F6A"/>
    <w:rsid w:val="00C471C1"/>
    <w:rsid w:val="00C53BE7"/>
    <w:rsid w:val="00C54F90"/>
    <w:rsid w:val="00C57C38"/>
    <w:rsid w:val="00C603D3"/>
    <w:rsid w:val="00C6099C"/>
    <w:rsid w:val="00C60A02"/>
    <w:rsid w:val="00C61B1F"/>
    <w:rsid w:val="00C61E71"/>
    <w:rsid w:val="00C625AA"/>
    <w:rsid w:val="00C6267E"/>
    <w:rsid w:val="00C62EE5"/>
    <w:rsid w:val="00C6570F"/>
    <w:rsid w:val="00C670E9"/>
    <w:rsid w:val="00C67196"/>
    <w:rsid w:val="00C67440"/>
    <w:rsid w:val="00C70310"/>
    <w:rsid w:val="00C70405"/>
    <w:rsid w:val="00C704B8"/>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87C7D"/>
    <w:rsid w:val="00C90BA1"/>
    <w:rsid w:val="00C92DF1"/>
    <w:rsid w:val="00C92DFC"/>
    <w:rsid w:val="00C92E8B"/>
    <w:rsid w:val="00C93224"/>
    <w:rsid w:val="00C96147"/>
    <w:rsid w:val="00C96F60"/>
    <w:rsid w:val="00CA08EC"/>
    <w:rsid w:val="00CA15BD"/>
    <w:rsid w:val="00CA195F"/>
    <w:rsid w:val="00CA3BD6"/>
    <w:rsid w:val="00CA4C81"/>
    <w:rsid w:val="00CA670F"/>
    <w:rsid w:val="00CA7E0F"/>
    <w:rsid w:val="00CB0F9E"/>
    <w:rsid w:val="00CB1B53"/>
    <w:rsid w:val="00CB2319"/>
    <w:rsid w:val="00CB279F"/>
    <w:rsid w:val="00CB2917"/>
    <w:rsid w:val="00CB2C1D"/>
    <w:rsid w:val="00CB349A"/>
    <w:rsid w:val="00CB5317"/>
    <w:rsid w:val="00CB5563"/>
    <w:rsid w:val="00CB5B82"/>
    <w:rsid w:val="00CB5BB3"/>
    <w:rsid w:val="00CB6A5E"/>
    <w:rsid w:val="00CB7B58"/>
    <w:rsid w:val="00CC0657"/>
    <w:rsid w:val="00CC0B8A"/>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6FCF"/>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61C3"/>
    <w:rsid w:val="00D26B90"/>
    <w:rsid w:val="00D276A9"/>
    <w:rsid w:val="00D30272"/>
    <w:rsid w:val="00D31C0E"/>
    <w:rsid w:val="00D328DC"/>
    <w:rsid w:val="00D33899"/>
    <w:rsid w:val="00D33EEF"/>
    <w:rsid w:val="00D349EE"/>
    <w:rsid w:val="00D34E7E"/>
    <w:rsid w:val="00D366AF"/>
    <w:rsid w:val="00D36A21"/>
    <w:rsid w:val="00D37705"/>
    <w:rsid w:val="00D37AB6"/>
    <w:rsid w:val="00D402FC"/>
    <w:rsid w:val="00D43135"/>
    <w:rsid w:val="00D4345D"/>
    <w:rsid w:val="00D435D6"/>
    <w:rsid w:val="00D461C5"/>
    <w:rsid w:val="00D4632E"/>
    <w:rsid w:val="00D46FD0"/>
    <w:rsid w:val="00D50866"/>
    <w:rsid w:val="00D5173A"/>
    <w:rsid w:val="00D5212B"/>
    <w:rsid w:val="00D53629"/>
    <w:rsid w:val="00D56BD2"/>
    <w:rsid w:val="00D62B7C"/>
    <w:rsid w:val="00D62F55"/>
    <w:rsid w:val="00D63747"/>
    <w:rsid w:val="00D648EA"/>
    <w:rsid w:val="00D6496D"/>
    <w:rsid w:val="00D65DDB"/>
    <w:rsid w:val="00D67153"/>
    <w:rsid w:val="00D67E23"/>
    <w:rsid w:val="00D70241"/>
    <w:rsid w:val="00D70920"/>
    <w:rsid w:val="00D70C62"/>
    <w:rsid w:val="00D70FD3"/>
    <w:rsid w:val="00D7184F"/>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62"/>
    <w:rsid w:val="00D83EBD"/>
    <w:rsid w:val="00D84DA7"/>
    <w:rsid w:val="00D84E09"/>
    <w:rsid w:val="00D8506C"/>
    <w:rsid w:val="00D85110"/>
    <w:rsid w:val="00D87B09"/>
    <w:rsid w:val="00D87FE0"/>
    <w:rsid w:val="00D906B2"/>
    <w:rsid w:val="00D906BB"/>
    <w:rsid w:val="00D9115E"/>
    <w:rsid w:val="00D91D70"/>
    <w:rsid w:val="00D94595"/>
    <w:rsid w:val="00D956E1"/>
    <w:rsid w:val="00D95F56"/>
    <w:rsid w:val="00D9606E"/>
    <w:rsid w:val="00D97B78"/>
    <w:rsid w:val="00D97FD0"/>
    <w:rsid w:val="00DA0431"/>
    <w:rsid w:val="00DA2200"/>
    <w:rsid w:val="00DA56E9"/>
    <w:rsid w:val="00DA787C"/>
    <w:rsid w:val="00DB0D8C"/>
    <w:rsid w:val="00DB0F30"/>
    <w:rsid w:val="00DB1749"/>
    <w:rsid w:val="00DB200D"/>
    <w:rsid w:val="00DB4519"/>
    <w:rsid w:val="00DB470F"/>
    <w:rsid w:val="00DB4710"/>
    <w:rsid w:val="00DB495C"/>
    <w:rsid w:val="00DB4BD1"/>
    <w:rsid w:val="00DB5220"/>
    <w:rsid w:val="00DB535E"/>
    <w:rsid w:val="00DB55DC"/>
    <w:rsid w:val="00DB76B8"/>
    <w:rsid w:val="00DC01BD"/>
    <w:rsid w:val="00DC1AF3"/>
    <w:rsid w:val="00DC1B7D"/>
    <w:rsid w:val="00DC22F7"/>
    <w:rsid w:val="00DC369C"/>
    <w:rsid w:val="00DC3C53"/>
    <w:rsid w:val="00DC4667"/>
    <w:rsid w:val="00DC5125"/>
    <w:rsid w:val="00DD0000"/>
    <w:rsid w:val="00DD0092"/>
    <w:rsid w:val="00DD0E55"/>
    <w:rsid w:val="00DD250C"/>
    <w:rsid w:val="00DD2524"/>
    <w:rsid w:val="00DD3864"/>
    <w:rsid w:val="00DD5CB8"/>
    <w:rsid w:val="00DD5F98"/>
    <w:rsid w:val="00DD70EA"/>
    <w:rsid w:val="00DD7321"/>
    <w:rsid w:val="00DD7E93"/>
    <w:rsid w:val="00DE0006"/>
    <w:rsid w:val="00DE0275"/>
    <w:rsid w:val="00DE08A8"/>
    <w:rsid w:val="00DE3ECC"/>
    <w:rsid w:val="00DE55B4"/>
    <w:rsid w:val="00DE5E79"/>
    <w:rsid w:val="00DE60BE"/>
    <w:rsid w:val="00DE715C"/>
    <w:rsid w:val="00DE7272"/>
    <w:rsid w:val="00DE77C4"/>
    <w:rsid w:val="00DE7D66"/>
    <w:rsid w:val="00DF0563"/>
    <w:rsid w:val="00DF12E5"/>
    <w:rsid w:val="00DF1B16"/>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5DEB"/>
    <w:rsid w:val="00E062CE"/>
    <w:rsid w:val="00E06384"/>
    <w:rsid w:val="00E0650B"/>
    <w:rsid w:val="00E0666C"/>
    <w:rsid w:val="00E06E9E"/>
    <w:rsid w:val="00E104C0"/>
    <w:rsid w:val="00E1079B"/>
    <w:rsid w:val="00E108DD"/>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7E5"/>
    <w:rsid w:val="00E31E70"/>
    <w:rsid w:val="00E337FD"/>
    <w:rsid w:val="00E34C05"/>
    <w:rsid w:val="00E362B0"/>
    <w:rsid w:val="00E36B48"/>
    <w:rsid w:val="00E36D44"/>
    <w:rsid w:val="00E40159"/>
    <w:rsid w:val="00E42E9C"/>
    <w:rsid w:val="00E42F7B"/>
    <w:rsid w:val="00E43305"/>
    <w:rsid w:val="00E434FE"/>
    <w:rsid w:val="00E440B1"/>
    <w:rsid w:val="00E469B4"/>
    <w:rsid w:val="00E46DD6"/>
    <w:rsid w:val="00E46EA0"/>
    <w:rsid w:val="00E47A33"/>
    <w:rsid w:val="00E50F24"/>
    <w:rsid w:val="00E510FF"/>
    <w:rsid w:val="00E513D5"/>
    <w:rsid w:val="00E52D10"/>
    <w:rsid w:val="00E5504F"/>
    <w:rsid w:val="00E55143"/>
    <w:rsid w:val="00E55B50"/>
    <w:rsid w:val="00E57229"/>
    <w:rsid w:val="00E60EB5"/>
    <w:rsid w:val="00E62B5B"/>
    <w:rsid w:val="00E64DA7"/>
    <w:rsid w:val="00E65692"/>
    <w:rsid w:val="00E66D95"/>
    <w:rsid w:val="00E67D87"/>
    <w:rsid w:val="00E70467"/>
    <w:rsid w:val="00E706C3"/>
    <w:rsid w:val="00E706D7"/>
    <w:rsid w:val="00E71468"/>
    <w:rsid w:val="00E7203C"/>
    <w:rsid w:val="00E7367D"/>
    <w:rsid w:val="00E74645"/>
    <w:rsid w:val="00E74752"/>
    <w:rsid w:val="00E76643"/>
    <w:rsid w:val="00E76C98"/>
    <w:rsid w:val="00E80CF5"/>
    <w:rsid w:val="00E80EE3"/>
    <w:rsid w:val="00E821D8"/>
    <w:rsid w:val="00E831B2"/>
    <w:rsid w:val="00E83E1E"/>
    <w:rsid w:val="00E83EDD"/>
    <w:rsid w:val="00E8577A"/>
    <w:rsid w:val="00E86BED"/>
    <w:rsid w:val="00E86DD7"/>
    <w:rsid w:val="00E86E06"/>
    <w:rsid w:val="00E926CA"/>
    <w:rsid w:val="00E9302A"/>
    <w:rsid w:val="00E9353D"/>
    <w:rsid w:val="00E93A1D"/>
    <w:rsid w:val="00E93C50"/>
    <w:rsid w:val="00E95A89"/>
    <w:rsid w:val="00E96FC2"/>
    <w:rsid w:val="00E97A76"/>
    <w:rsid w:val="00E97B90"/>
    <w:rsid w:val="00EA0F27"/>
    <w:rsid w:val="00EA25C8"/>
    <w:rsid w:val="00EA36A7"/>
    <w:rsid w:val="00EA6B7E"/>
    <w:rsid w:val="00EA6D62"/>
    <w:rsid w:val="00EA6FA2"/>
    <w:rsid w:val="00EA7284"/>
    <w:rsid w:val="00EA74AF"/>
    <w:rsid w:val="00EA76F1"/>
    <w:rsid w:val="00EA7D53"/>
    <w:rsid w:val="00EA7DA3"/>
    <w:rsid w:val="00EB07E9"/>
    <w:rsid w:val="00EB2FF4"/>
    <w:rsid w:val="00EB3E67"/>
    <w:rsid w:val="00EB44CC"/>
    <w:rsid w:val="00EB4686"/>
    <w:rsid w:val="00EB6084"/>
    <w:rsid w:val="00EC045D"/>
    <w:rsid w:val="00EC1063"/>
    <w:rsid w:val="00EC1695"/>
    <w:rsid w:val="00EC21CF"/>
    <w:rsid w:val="00EC4024"/>
    <w:rsid w:val="00EC4C07"/>
    <w:rsid w:val="00EC4DDE"/>
    <w:rsid w:val="00EC4E76"/>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0376"/>
    <w:rsid w:val="00EF1A93"/>
    <w:rsid w:val="00EF5E2A"/>
    <w:rsid w:val="00EF64B1"/>
    <w:rsid w:val="00EF6548"/>
    <w:rsid w:val="00EF71A8"/>
    <w:rsid w:val="00EF7510"/>
    <w:rsid w:val="00EF7C9C"/>
    <w:rsid w:val="00F00D98"/>
    <w:rsid w:val="00F017D9"/>
    <w:rsid w:val="00F01BC4"/>
    <w:rsid w:val="00F02574"/>
    <w:rsid w:val="00F02C61"/>
    <w:rsid w:val="00F04227"/>
    <w:rsid w:val="00F0444E"/>
    <w:rsid w:val="00F05966"/>
    <w:rsid w:val="00F05E3C"/>
    <w:rsid w:val="00F06D0F"/>
    <w:rsid w:val="00F07248"/>
    <w:rsid w:val="00F07B0D"/>
    <w:rsid w:val="00F07C34"/>
    <w:rsid w:val="00F10664"/>
    <w:rsid w:val="00F10E38"/>
    <w:rsid w:val="00F11CA0"/>
    <w:rsid w:val="00F12C0F"/>
    <w:rsid w:val="00F1367B"/>
    <w:rsid w:val="00F146B3"/>
    <w:rsid w:val="00F14C98"/>
    <w:rsid w:val="00F157CE"/>
    <w:rsid w:val="00F22196"/>
    <w:rsid w:val="00F24423"/>
    <w:rsid w:val="00F24680"/>
    <w:rsid w:val="00F248EB"/>
    <w:rsid w:val="00F252A6"/>
    <w:rsid w:val="00F25FA6"/>
    <w:rsid w:val="00F2730E"/>
    <w:rsid w:val="00F27B9B"/>
    <w:rsid w:val="00F311C0"/>
    <w:rsid w:val="00F31375"/>
    <w:rsid w:val="00F31F4A"/>
    <w:rsid w:val="00F335BE"/>
    <w:rsid w:val="00F3447B"/>
    <w:rsid w:val="00F34E44"/>
    <w:rsid w:val="00F373D4"/>
    <w:rsid w:val="00F37427"/>
    <w:rsid w:val="00F41947"/>
    <w:rsid w:val="00F42672"/>
    <w:rsid w:val="00F44A9F"/>
    <w:rsid w:val="00F4658C"/>
    <w:rsid w:val="00F474A5"/>
    <w:rsid w:val="00F47DCF"/>
    <w:rsid w:val="00F510D8"/>
    <w:rsid w:val="00F528DD"/>
    <w:rsid w:val="00F54574"/>
    <w:rsid w:val="00F54B47"/>
    <w:rsid w:val="00F57E0A"/>
    <w:rsid w:val="00F60713"/>
    <w:rsid w:val="00F61938"/>
    <w:rsid w:val="00F62B76"/>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3C2B"/>
    <w:rsid w:val="00F83E07"/>
    <w:rsid w:val="00F84117"/>
    <w:rsid w:val="00F84386"/>
    <w:rsid w:val="00F84FD8"/>
    <w:rsid w:val="00F8617A"/>
    <w:rsid w:val="00F86C8F"/>
    <w:rsid w:val="00F86D9B"/>
    <w:rsid w:val="00F901AD"/>
    <w:rsid w:val="00F904BB"/>
    <w:rsid w:val="00F9173C"/>
    <w:rsid w:val="00F91C33"/>
    <w:rsid w:val="00F92A93"/>
    <w:rsid w:val="00F94B18"/>
    <w:rsid w:val="00F96F84"/>
    <w:rsid w:val="00F97379"/>
    <w:rsid w:val="00F97E5B"/>
    <w:rsid w:val="00FA00B4"/>
    <w:rsid w:val="00FA054D"/>
    <w:rsid w:val="00FA0C61"/>
    <w:rsid w:val="00FA170C"/>
    <w:rsid w:val="00FA18B9"/>
    <w:rsid w:val="00FA3DB8"/>
    <w:rsid w:val="00FA42CC"/>
    <w:rsid w:val="00FA4357"/>
    <w:rsid w:val="00FA51DC"/>
    <w:rsid w:val="00FA5831"/>
    <w:rsid w:val="00FA594A"/>
    <w:rsid w:val="00FA5D44"/>
    <w:rsid w:val="00FA7C19"/>
    <w:rsid w:val="00FB0692"/>
    <w:rsid w:val="00FB083C"/>
    <w:rsid w:val="00FB0CE8"/>
    <w:rsid w:val="00FB1ED9"/>
    <w:rsid w:val="00FB3154"/>
    <w:rsid w:val="00FB42BD"/>
    <w:rsid w:val="00FB6614"/>
    <w:rsid w:val="00FB6BBA"/>
    <w:rsid w:val="00FB729D"/>
    <w:rsid w:val="00FC27CC"/>
    <w:rsid w:val="00FC2AEC"/>
    <w:rsid w:val="00FC4772"/>
    <w:rsid w:val="00FC58E0"/>
    <w:rsid w:val="00FC5D59"/>
    <w:rsid w:val="00FC6173"/>
    <w:rsid w:val="00FC61A7"/>
    <w:rsid w:val="00FC6303"/>
    <w:rsid w:val="00FC6E4D"/>
    <w:rsid w:val="00FC6EE9"/>
    <w:rsid w:val="00FC7C35"/>
    <w:rsid w:val="00FD1A59"/>
    <w:rsid w:val="00FD2AD0"/>
    <w:rsid w:val="00FD2EB1"/>
    <w:rsid w:val="00FD42CD"/>
    <w:rsid w:val="00FD4871"/>
    <w:rsid w:val="00FD4AF3"/>
    <w:rsid w:val="00FD5DB5"/>
    <w:rsid w:val="00FD6FEC"/>
    <w:rsid w:val="00FE339D"/>
    <w:rsid w:val="00FE4935"/>
    <w:rsid w:val="00FE593E"/>
    <w:rsid w:val="00FE596A"/>
    <w:rsid w:val="00FE652F"/>
    <w:rsid w:val="00FE6C43"/>
    <w:rsid w:val="00FE72B1"/>
    <w:rsid w:val="00FF0A16"/>
    <w:rsid w:val="00FF0C01"/>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966157428">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454248395">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A77E5-31F9-4EFA-BF25-9A418DE36C58}">
  <ds:schemaRefs>
    <ds:schemaRef ds:uri="http://schemas.openxmlformats.org/officeDocument/2006/bibliography"/>
  </ds:schemaRefs>
</ds:datastoreItem>
</file>

<file path=customXml/itemProps2.xml><?xml version="1.0" encoding="utf-8"?>
<ds:datastoreItem xmlns:ds="http://schemas.openxmlformats.org/officeDocument/2006/customXml" ds:itemID="{77AE9072-6424-4E56-9B52-5BE8317C2EBB}">
  <ds:schemaRefs>
    <ds:schemaRef ds:uri="http://schemas.microsoft.com/sharepoint/v3/contenttype/forms"/>
  </ds:schemaRefs>
</ds:datastoreItem>
</file>

<file path=customXml/itemProps3.xml><?xml version="1.0" encoding="utf-8"?>
<ds:datastoreItem xmlns:ds="http://schemas.openxmlformats.org/officeDocument/2006/customXml" ds:itemID="{80C51558-3403-418C-8E39-CA100E3D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57806-C752-4A00-9D86-7496DD1BF3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 sarshan  mohan</cp:lastModifiedBy>
  <cp:revision>4</cp:revision>
  <cp:lastPrinted>2024-04-08T13:22:00Z</cp:lastPrinted>
  <dcterms:created xsi:type="dcterms:W3CDTF">2024-04-12T06:26:00Z</dcterms:created>
  <dcterms:modified xsi:type="dcterms:W3CDTF">2024-04-12T21:11:00Z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